
<file path=[Content_Types].xml><?xml version="1.0" encoding="utf-8"?>
<Types xmlns="http://schemas.openxmlformats.org/package/2006/content-types">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B91" w:rsidRDefault="00D96B91" w:rsidP="007B1576">
      <w:pPr>
        <w:jc w:val="right"/>
        <w:rPr>
          <w:rFonts w:ascii="Times New Roman" w:eastAsia="Times New Roman" w:hAnsi="Times New Roman" w:cs="Times New Roman"/>
          <w:sz w:val="20"/>
          <w:szCs w:val="20"/>
        </w:rPr>
      </w:pPr>
      <w:r w:rsidRPr="00D96B91">
        <w:pict>
          <v:group id="_x0000_s3629" style="position:absolute;left:0;text-align:left;margin-left:0;margin-top:420.95pt;width:595.3pt;height:420.95pt;z-index:251518464;mso-position-horizontal-relative:page;mso-position-vertical-relative:page" coordorigin=",8419" coordsize="11906,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32" type="#_x0000_t75" style="position:absolute;top:8419;width:11906;height:8419">
              <v:imagedata r:id="rId7" o:title=""/>
            </v:shape>
            <v:shape id="_x0000_s3631" type="#_x0000_t75" style="position:absolute;top:9876;width:11906;height:4998">
              <v:imagedata r:id="rId8" o:title=""/>
            </v:shape>
            <v:shapetype id="_x0000_t202" coordsize="21600,21600" o:spt="202" path="m,l,21600r21600,l21600,xe">
              <v:stroke joinstyle="miter"/>
              <v:path gradientshapeok="t" o:connecttype="rect"/>
            </v:shapetype>
            <v:shape id="_x0000_s3630" type="#_x0000_t202" style="position:absolute;left:7603;top:9012;width:3056;height:994" filled="f" stroked="f">
              <v:textbox inset="0,0,0,0">
                <w:txbxContent>
                  <w:p w:rsidR="008A79D5" w:rsidRDefault="008A79D5" w:rsidP="007B1576">
                    <w:pPr>
                      <w:spacing w:line="439" w:lineRule="exact"/>
                      <w:ind w:firstLine="753"/>
                      <w:jc w:val="right"/>
                      <w:rPr>
                        <w:rFonts w:ascii="Avenir Next" w:eastAsia="Avenir Next" w:hAnsi="Avenir Next" w:cs="Avenir Next"/>
                        <w:sz w:val="40"/>
                        <w:szCs w:val="40"/>
                      </w:rPr>
                    </w:pPr>
                    <w:r>
                      <w:rPr>
                        <w:rFonts w:ascii="Avenir Next"/>
                        <w:b/>
                        <w:spacing w:val="-10"/>
                        <w:sz w:val="40"/>
                      </w:rPr>
                      <w:t>Draft</w:t>
                    </w:r>
                    <w:r>
                      <w:rPr>
                        <w:rFonts w:ascii="Avenir Next"/>
                        <w:b/>
                        <w:spacing w:val="-16"/>
                        <w:sz w:val="40"/>
                      </w:rPr>
                      <w:t xml:space="preserve"> </w:t>
                    </w:r>
                    <w:r>
                      <w:rPr>
                        <w:rFonts w:ascii="Avenir Next"/>
                        <w:b/>
                        <w:spacing w:val="-9"/>
                        <w:sz w:val="40"/>
                      </w:rPr>
                      <w:t>Report</w:t>
                    </w:r>
                  </w:p>
                  <w:p w:rsidR="008A79D5" w:rsidRDefault="008A79D5" w:rsidP="007B1576">
                    <w:pPr>
                      <w:spacing w:before="47" w:line="507" w:lineRule="exact"/>
                      <w:jc w:val="right"/>
                      <w:rPr>
                        <w:rFonts w:ascii="Avenir Next" w:eastAsia="Avenir Next" w:hAnsi="Avenir Next" w:cs="Avenir Next"/>
                        <w:sz w:val="40"/>
                        <w:szCs w:val="40"/>
                      </w:rPr>
                    </w:pPr>
                    <w:r>
                      <w:rPr>
                        <w:rFonts w:ascii="Avenir Next"/>
                        <w:b/>
                        <w:spacing w:val="-7"/>
                        <w:sz w:val="40"/>
                      </w:rPr>
                      <w:t>December</w:t>
                    </w:r>
                    <w:r>
                      <w:rPr>
                        <w:rFonts w:ascii="Avenir Next"/>
                        <w:b/>
                        <w:spacing w:val="-16"/>
                        <w:sz w:val="40"/>
                      </w:rPr>
                      <w:t xml:space="preserve"> </w:t>
                    </w:r>
                    <w:r>
                      <w:rPr>
                        <w:rFonts w:ascii="Avenir Next"/>
                        <w:b/>
                        <w:spacing w:val="-8"/>
                        <w:sz w:val="40"/>
                      </w:rPr>
                      <w:t>2014</w:t>
                    </w:r>
                  </w:p>
                </w:txbxContent>
              </v:textbox>
            </v:shape>
            <w10:wrap anchorx="page" anchory="page"/>
          </v:group>
        </w:pict>
      </w: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rsidP="007B1576">
      <w:pPr>
        <w:spacing w:line="1145" w:lineRule="exact"/>
        <w:ind w:right="1262"/>
        <w:jc w:val="right"/>
        <w:rPr>
          <w:rFonts w:ascii="Avenir Next" w:eastAsia="Avenir Next" w:hAnsi="Avenir Next" w:cs="Avenir Next"/>
          <w:sz w:val="84"/>
          <w:szCs w:val="84"/>
        </w:rPr>
      </w:pPr>
      <w:r w:rsidRPr="00D96B91">
        <w:pict>
          <v:group id="_x0000_s3624" style="position:absolute;left:0;text-align:left;margin-left:0;margin-top:-196.35pt;width:595.3pt;height:153.1pt;z-index:251517440;mso-position-horizontal-relative:page" coordorigin=",-3927" coordsize="11906,3062">
            <v:shape id="_x0000_s3628" type="#_x0000_t75" style="position:absolute;top:-3927;width:11906;height:2778">
              <v:imagedata r:id="rId9" o:title=""/>
            </v:shape>
            <v:group id="_x0000_s3625" style="position:absolute;top:-1150;width:11906;height:284" coordorigin=",-1150" coordsize="11906,284">
              <v:shape id="_x0000_s3627" style="position:absolute;top:-1150;width:11906;height:284" coordorigin=",-1150" coordsize="11906,284" path="m,-866r11906,l11906,-1150,,-1150r,284xe" fillcolor="#0778be" stroked="f">
                <v:path arrowok="t"/>
              </v:shape>
              <v:shape id="_x0000_s3626" type="#_x0000_t75" style="position:absolute;top:-3927;width:11906;height:2778">
                <v:imagedata r:id="rId10" o:title=""/>
              </v:shape>
            </v:group>
            <w10:wrap anchorx="page"/>
          </v:group>
        </w:pict>
      </w:r>
      <w:r w:rsidR="00C2656B">
        <w:rPr>
          <w:rFonts w:ascii="Avenir Next"/>
          <w:b/>
          <w:spacing w:val="-17"/>
          <w:sz w:val="84"/>
        </w:rPr>
        <w:t>Industr</w:t>
      </w:r>
      <w:r w:rsidR="00C2656B">
        <w:rPr>
          <w:rFonts w:ascii="Avenir Next"/>
          <w:b/>
          <w:sz w:val="84"/>
        </w:rPr>
        <w:t>y</w:t>
      </w:r>
      <w:r w:rsidR="00C2656B">
        <w:rPr>
          <w:rFonts w:ascii="Avenir Next"/>
          <w:b/>
          <w:spacing w:val="-34"/>
          <w:sz w:val="84"/>
        </w:rPr>
        <w:t xml:space="preserve"> </w:t>
      </w:r>
      <w:r w:rsidR="00C2656B">
        <w:rPr>
          <w:rFonts w:ascii="Avenir Next"/>
          <w:b/>
          <w:spacing w:val="-64"/>
          <w:sz w:val="84"/>
        </w:rPr>
        <w:t>P</w:t>
      </w:r>
      <w:r w:rsidR="00C2656B">
        <w:rPr>
          <w:rFonts w:ascii="Avenir Next"/>
          <w:b/>
          <w:spacing w:val="-17"/>
          <w:sz w:val="84"/>
        </w:rPr>
        <w:t>anel</w:t>
      </w:r>
    </w:p>
    <w:p w:rsidR="00D96B91" w:rsidRDefault="00C2656B" w:rsidP="007B1576">
      <w:pPr>
        <w:spacing w:before="110" w:line="672" w:lineRule="exact"/>
        <w:ind w:left="2113" w:right="1256" w:firstLine="1850"/>
        <w:jc w:val="right"/>
        <w:rPr>
          <w:rFonts w:ascii="Avenir Next Medium" w:eastAsia="Avenir Next Medium" w:hAnsi="Avenir Next Medium" w:cs="Avenir Next Medium"/>
          <w:sz w:val="56"/>
          <w:szCs w:val="56"/>
        </w:rPr>
      </w:pPr>
      <w:r>
        <w:rPr>
          <w:rFonts w:ascii="Avenir Next Medium" w:eastAsia="Avenir Next Medium" w:hAnsi="Avenir Next Medium" w:cs="Avenir Next Medium"/>
          <w:spacing w:val="-11"/>
          <w:sz w:val="56"/>
          <w:szCs w:val="56"/>
        </w:rPr>
        <w:t>Review</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6"/>
          <w:sz w:val="56"/>
          <w:szCs w:val="56"/>
        </w:rPr>
        <w:t>of</w:t>
      </w:r>
      <w:r>
        <w:rPr>
          <w:rFonts w:ascii="Avenir Next Medium" w:eastAsia="Avenir Next Medium" w:hAnsi="Avenir Next Medium" w:cs="Avenir Next Medium"/>
          <w:spacing w:val="-9"/>
          <w:sz w:val="56"/>
          <w:szCs w:val="56"/>
        </w:rPr>
        <w:t xml:space="preserve"> </w:t>
      </w:r>
      <w:r>
        <w:rPr>
          <w:rFonts w:ascii="Avenir Next Medium" w:eastAsia="Avenir Next Medium" w:hAnsi="Avenir Next Medium" w:cs="Avenir Next Medium"/>
          <w:spacing w:val="-8"/>
          <w:sz w:val="56"/>
          <w:szCs w:val="56"/>
        </w:rPr>
        <w:t>the</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12"/>
          <w:sz w:val="56"/>
          <w:szCs w:val="56"/>
        </w:rPr>
        <w:t>Independent</w:t>
      </w:r>
      <w:r>
        <w:rPr>
          <w:rFonts w:ascii="Avenir Next Medium" w:eastAsia="Avenir Next Medium" w:hAnsi="Avenir Next Medium" w:cs="Avenir Next Medium"/>
          <w:spacing w:val="9"/>
          <w:sz w:val="56"/>
          <w:szCs w:val="56"/>
        </w:rPr>
        <w:t xml:space="preserve"> </w:t>
      </w:r>
      <w:r>
        <w:rPr>
          <w:rFonts w:ascii="Avenir Next Medium" w:eastAsia="Avenir Next Medium" w:hAnsi="Avenir Next Medium" w:cs="Avenir Next Medium"/>
          <w:spacing w:val="-12"/>
          <w:sz w:val="56"/>
          <w:szCs w:val="56"/>
        </w:rPr>
        <w:t>Competition</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8"/>
          <w:sz w:val="56"/>
          <w:szCs w:val="56"/>
        </w:rPr>
        <w:t>and</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14"/>
          <w:sz w:val="56"/>
          <w:szCs w:val="56"/>
        </w:rPr>
        <w:t>Regulatory</w:t>
      </w:r>
      <w:r>
        <w:rPr>
          <w:rFonts w:ascii="Avenir Next Medium" w:eastAsia="Avenir Next Medium" w:hAnsi="Avenir Next Medium" w:cs="Avenir Next Medium"/>
          <w:spacing w:val="19"/>
          <w:sz w:val="56"/>
          <w:szCs w:val="56"/>
        </w:rPr>
        <w:t xml:space="preserve"> </w:t>
      </w:r>
      <w:r>
        <w:rPr>
          <w:rFonts w:ascii="Avenir Next Medium" w:eastAsia="Avenir Next Medium" w:hAnsi="Avenir Next Medium" w:cs="Avenir Next Medium"/>
          <w:spacing w:val="-18"/>
          <w:sz w:val="56"/>
          <w:szCs w:val="56"/>
        </w:rPr>
        <w:t>C</w:t>
      </w:r>
      <w:r>
        <w:rPr>
          <w:rFonts w:ascii="Avenir Next Medium" w:eastAsia="Avenir Next Medium" w:hAnsi="Avenir Next Medium" w:cs="Avenir Next Medium"/>
          <w:spacing w:val="-12"/>
          <w:sz w:val="56"/>
          <w:szCs w:val="56"/>
        </w:rPr>
        <w:t>ommission</w:t>
      </w:r>
      <w:r>
        <w:rPr>
          <w:rFonts w:ascii="Avenir Next Medium" w:eastAsia="Avenir Next Medium" w:hAnsi="Avenir Next Medium" w:cs="Avenir Next Medium"/>
          <w:spacing w:val="-39"/>
          <w:sz w:val="56"/>
          <w:szCs w:val="56"/>
        </w:rPr>
        <w:t>’</w:t>
      </w:r>
      <w:r>
        <w:rPr>
          <w:rFonts w:ascii="Avenir Next Medium" w:eastAsia="Avenir Next Medium" w:hAnsi="Avenir Next Medium" w:cs="Avenir Next Medium"/>
          <w:sz w:val="56"/>
          <w:szCs w:val="56"/>
        </w:rPr>
        <w:t>s</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12"/>
          <w:sz w:val="56"/>
          <w:szCs w:val="56"/>
        </w:rPr>
        <w:t>201</w:t>
      </w:r>
      <w:r>
        <w:rPr>
          <w:rFonts w:ascii="Avenir Next Medium" w:eastAsia="Avenir Next Medium" w:hAnsi="Avenir Next Medium" w:cs="Avenir Next Medium"/>
          <w:sz w:val="56"/>
          <w:szCs w:val="56"/>
        </w:rPr>
        <w:t>3</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37"/>
          <w:sz w:val="56"/>
          <w:szCs w:val="56"/>
        </w:rPr>
        <w:t>P</w:t>
      </w:r>
      <w:r>
        <w:rPr>
          <w:rFonts w:ascii="Avenir Next Medium" w:eastAsia="Avenir Next Medium" w:hAnsi="Avenir Next Medium" w:cs="Avenir Next Medium"/>
          <w:spacing w:val="-12"/>
          <w:sz w:val="56"/>
          <w:szCs w:val="56"/>
        </w:rPr>
        <w:t>ric</w:t>
      </w:r>
      <w:r>
        <w:rPr>
          <w:rFonts w:ascii="Avenir Next Medium" w:eastAsia="Avenir Next Medium" w:hAnsi="Avenir Next Medium" w:cs="Avenir Next Medium"/>
          <w:sz w:val="56"/>
          <w:szCs w:val="56"/>
        </w:rPr>
        <w:t>e</w:t>
      </w:r>
      <w:r>
        <w:rPr>
          <w:rFonts w:ascii="Avenir Next Medium" w:eastAsia="Avenir Next Medium" w:hAnsi="Avenir Next Medium" w:cs="Avenir Next Medium"/>
          <w:spacing w:val="-23"/>
          <w:sz w:val="56"/>
          <w:szCs w:val="56"/>
        </w:rPr>
        <w:t xml:space="preserve"> </w:t>
      </w:r>
      <w:r>
        <w:rPr>
          <w:rFonts w:ascii="Avenir Next Medium" w:eastAsia="Avenir Next Medium" w:hAnsi="Avenir Next Medium" w:cs="Avenir Next Medium"/>
          <w:spacing w:val="-12"/>
          <w:sz w:val="56"/>
          <w:szCs w:val="56"/>
        </w:rPr>
        <w:t>Di</w:t>
      </w:r>
      <w:r>
        <w:rPr>
          <w:rFonts w:ascii="Avenir Next Medium" w:eastAsia="Avenir Next Medium" w:hAnsi="Avenir Next Medium" w:cs="Avenir Next Medium"/>
          <w:spacing w:val="-22"/>
          <w:sz w:val="56"/>
          <w:szCs w:val="56"/>
        </w:rPr>
        <w:t>r</w:t>
      </w:r>
      <w:r>
        <w:rPr>
          <w:rFonts w:ascii="Avenir Next Medium" w:eastAsia="Avenir Next Medium" w:hAnsi="Avenir Next Medium" w:cs="Avenir Next Medium"/>
          <w:spacing w:val="-12"/>
          <w:sz w:val="56"/>
          <w:szCs w:val="56"/>
        </w:rPr>
        <w:t>ection</w:t>
      </w:r>
    </w:p>
    <w:p w:rsidR="00D96B91" w:rsidRDefault="00C2656B" w:rsidP="007B1576">
      <w:pPr>
        <w:spacing w:before="281"/>
        <w:ind w:right="1236"/>
        <w:jc w:val="right"/>
        <w:rPr>
          <w:rFonts w:ascii="Avenir Next Medium" w:eastAsia="Avenir Next Medium" w:hAnsi="Avenir Next Medium" w:cs="Avenir Next Medium"/>
          <w:sz w:val="38"/>
          <w:szCs w:val="38"/>
        </w:rPr>
      </w:pPr>
      <w:r>
        <w:rPr>
          <w:rFonts w:ascii="Avenir Next Medium"/>
          <w:spacing w:val="-6"/>
          <w:sz w:val="38"/>
        </w:rPr>
        <w:t>for</w:t>
      </w:r>
      <w:r>
        <w:rPr>
          <w:rFonts w:ascii="Avenir Next Medium"/>
          <w:spacing w:val="-16"/>
          <w:sz w:val="38"/>
        </w:rPr>
        <w:t xml:space="preserve"> </w:t>
      </w:r>
      <w:r>
        <w:rPr>
          <w:rFonts w:ascii="Avenir Next Medium"/>
          <w:spacing w:val="-9"/>
          <w:sz w:val="38"/>
        </w:rPr>
        <w:t>Regulated</w:t>
      </w:r>
      <w:r>
        <w:rPr>
          <w:rFonts w:ascii="Avenir Next Medium"/>
          <w:spacing w:val="-20"/>
          <w:sz w:val="38"/>
        </w:rPr>
        <w:t xml:space="preserve"> </w:t>
      </w:r>
      <w:r>
        <w:rPr>
          <w:rFonts w:ascii="Avenir Next Medium"/>
          <w:spacing w:val="-10"/>
          <w:sz w:val="38"/>
        </w:rPr>
        <w:t>Water</w:t>
      </w:r>
      <w:r>
        <w:rPr>
          <w:rFonts w:ascii="Avenir Next Medium"/>
          <w:spacing w:val="-16"/>
          <w:sz w:val="38"/>
        </w:rPr>
        <w:t xml:space="preserve"> </w:t>
      </w:r>
      <w:r>
        <w:rPr>
          <w:rFonts w:ascii="Avenir Next Medium"/>
          <w:spacing w:val="-6"/>
          <w:sz w:val="38"/>
        </w:rPr>
        <w:t>and</w:t>
      </w:r>
      <w:r>
        <w:rPr>
          <w:rFonts w:ascii="Avenir Next Medium"/>
          <w:spacing w:val="-16"/>
          <w:sz w:val="38"/>
        </w:rPr>
        <w:t xml:space="preserve"> </w:t>
      </w:r>
      <w:r>
        <w:rPr>
          <w:rFonts w:ascii="Avenir Next Medium"/>
          <w:spacing w:val="-8"/>
          <w:sz w:val="38"/>
        </w:rPr>
        <w:t>Sewerage</w:t>
      </w:r>
      <w:r>
        <w:rPr>
          <w:rFonts w:ascii="Avenir Next Medium"/>
          <w:spacing w:val="-16"/>
          <w:sz w:val="38"/>
        </w:rPr>
        <w:t xml:space="preserve"> </w:t>
      </w:r>
      <w:r>
        <w:rPr>
          <w:rFonts w:ascii="Avenir Next Medium"/>
          <w:spacing w:val="-7"/>
          <w:sz w:val="38"/>
        </w:rPr>
        <w:t>Services</w:t>
      </w:r>
      <w:r>
        <w:rPr>
          <w:rFonts w:ascii="Avenir Next Medium"/>
          <w:spacing w:val="-16"/>
          <w:sz w:val="38"/>
        </w:rPr>
        <w:t xml:space="preserve"> </w:t>
      </w:r>
      <w:r>
        <w:rPr>
          <w:rFonts w:ascii="Avenir Next Medium"/>
          <w:spacing w:val="-4"/>
          <w:sz w:val="38"/>
        </w:rPr>
        <w:t>in</w:t>
      </w:r>
      <w:r>
        <w:rPr>
          <w:rFonts w:ascii="Avenir Next Medium"/>
          <w:spacing w:val="-16"/>
          <w:sz w:val="38"/>
        </w:rPr>
        <w:t xml:space="preserve"> </w:t>
      </w:r>
      <w:r>
        <w:rPr>
          <w:rFonts w:ascii="Avenir Next Medium"/>
          <w:spacing w:val="-6"/>
          <w:sz w:val="38"/>
        </w:rPr>
        <w:t>the</w:t>
      </w:r>
      <w:r>
        <w:rPr>
          <w:rFonts w:ascii="Avenir Next Medium"/>
          <w:spacing w:val="-23"/>
          <w:sz w:val="38"/>
        </w:rPr>
        <w:t xml:space="preserve"> </w:t>
      </w:r>
      <w:r>
        <w:rPr>
          <w:rFonts w:ascii="Avenir Next Medium"/>
          <w:spacing w:val="-9"/>
          <w:sz w:val="38"/>
        </w:rPr>
        <w:t>ACT</w:t>
      </w:r>
    </w:p>
    <w:p w:rsidR="00D96B91" w:rsidRDefault="00D96B91" w:rsidP="007B1576">
      <w:pPr>
        <w:jc w:val="right"/>
        <w:rPr>
          <w:rFonts w:ascii="Avenir Next Medium" w:eastAsia="Avenir Next Medium" w:hAnsi="Avenir Next Medium" w:cs="Avenir Next Medium"/>
          <w:sz w:val="38"/>
          <w:szCs w:val="38"/>
        </w:rPr>
        <w:sectPr w:rsidR="00D96B91">
          <w:type w:val="continuous"/>
          <w:pgSz w:w="11910" w:h="16840"/>
          <w:pgMar w:top="0" w:right="0" w:bottom="0" w:left="0" w:header="720" w:footer="720" w:gutter="0"/>
          <w:cols w:space="720"/>
        </w:sectPr>
      </w:pPr>
    </w:p>
    <w:p w:rsidR="00D96B91" w:rsidRDefault="00C2656B">
      <w:pPr>
        <w:spacing w:line="200" w:lineRule="atLeast"/>
        <w:rPr>
          <w:rFonts w:ascii="Avenir Next Medium" w:eastAsia="Avenir Next Medium" w:hAnsi="Avenir Next Medium" w:cs="Avenir Next Medium"/>
          <w:sz w:val="20"/>
          <w:szCs w:val="20"/>
        </w:rPr>
      </w:pPr>
      <w:r>
        <w:rPr>
          <w:rFonts w:ascii="Avenir Next Medium" w:eastAsia="Avenir Next Medium" w:hAnsi="Avenir Next Medium" w:cs="Avenir Next Medium"/>
          <w:noProof/>
          <w:sz w:val="20"/>
          <w:szCs w:val="20"/>
          <w:lang w:val="en-AU" w:eastAsia="en-AU"/>
        </w:rPr>
        <w:drawing>
          <wp:inline distT="0" distB="0" distL="0" distR="0">
            <wp:extent cx="7562087" cy="10693908"/>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7562087" cy="10693908"/>
                    </a:xfrm>
                    <a:prstGeom prst="rect">
                      <a:avLst/>
                    </a:prstGeom>
                  </pic:spPr>
                </pic:pic>
              </a:graphicData>
            </a:graphic>
          </wp:inline>
        </w:drawing>
      </w:r>
    </w:p>
    <w:p w:rsidR="00D96B91" w:rsidRDefault="00D96B91">
      <w:pPr>
        <w:spacing w:line="200" w:lineRule="atLeast"/>
        <w:rPr>
          <w:rFonts w:ascii="Avenir Next Medium" w:eastAsia="Avenir Next Medium" w:hAnsi="Avenir Next Medium" w:cs="Avenir Next Medium"/>
          <w:sz w:val="20"/>
          <w:szCs w:val="20"/>
        </w:rPr>
        <w:sectPr w:rsidR="00D96B91">
          <w:pgSz w:w="11910" w:h="16850"/>
          <w:pgMar w:top="0" w:right="0" w:bottom="0" w:left="0" w:header="720" w:footer="720" w:gutter="0"/>
          <w:cols w:space="720"/>
        </w:sect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18"/>
          <w:szCs w:val="18"/>
        </w:rPr>
      </w:pPr>
    </w:p>
    <w:p w:rsidR="00D96B91" w:rsidRDefault="00C2656B">
      <w:pPr>
        <w:spacing w:before="18" w:line="539" w:lineRule="exact"/>
        <w:ind w:left="1526" w:right="1430"/>
        <w:jc w:val="center"/>
        <w:rPr>
          <w:rFonts w:ascii="Times New Roman" w:eastAsia="Times New Roman" w:hAnsi="Times New Roman" w:cs="Times New Roman"/>
          <w:sz w:val="42"/>
          <w:szCs w:val="42"/>
        </w:rPr>
      </w:pPr>
      <w:r>
        <w:rPr>
          <w:rFonts w:ascii="Avenir Next"/>
          <w:b/>
          <w:spacing w:val="-8"/>
          <w:sz w:val="42"/>
        </w:rPr>
        <w:t>Industry</w:t>
      </w:r>
      <w:r>
        <w:rPr>
          <w:rFonts w:ascii="Avenir Next"/>
          <w:b/>
          <w:spacing w:val="-17"/>
          <w:sz w:val="42"/>
        </w:rPr>
        <w:t xml:space="preserve"> </w:t>
      </w:r>
      <w:r>
        <w:rPr>
          <w:rFonts w:ascii="Avenir Next"/>
          <w:b/>
          <w:spacing w:val="-14"/>
          <w:sz w:val="42"/>
        </w:rPr>
        <w:t>Panel</w:t>
      </w:r>
      <w:r>
        <w:rPr>
          <w:rFonts w:ascii="Times New Roman"/>
          <w:sz w:val="42"/>
        </w:rPr>
        <w:t xml:space="preserve"> </w:t>
      </w:r>
    </w:p>
    <w:p w:rsidR="00D96B91" w:rsidRDefault="00C2656B">
      <w:pPr>
        <w:spacing w:before="16" w:line="210" w:lineRule="auto"/>
        <w:ind w:left="1702" w:right="1603"/>
        <w:jc w:val="center"/>
        <w:rPr>
          <w:rFonts w:ascii="Times New Roman" w:eastAsia="Times New Roman" w:hAnsi="Times New Roman" w:cs="Times New Roman"/>
          <w:sz w:val="42"/>
          <w:szCs w:val="42"/>
        </w:rPr>
      </w:pPr>
      <w:r>
        <w:rPr>
          <w:rFonts w:ascii="Avenir Next" w:eastAsia="Avenir Next" w:hAnsi="Avenir Next" w:cs="Avenir Next"/>
          <w:b/>
          <w:bCs/>
          <w:spacing w:val="-9"/>
          <w:sz w:val="42"/>
          <w:szCs w:val="42"/>
        </w:rPr>
        <w:t>Review</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5"/>
          <w:sz w:val="42"/>
          <w:szCs w:val="42"/>
        </w:rPr>
        <w:t>of</w:t>
      </w:r>
      <w:r>
        <w:rPr>
          <w:rFonts w:ascii="Avenir Next" w:eastAsia="Avenir Next" w:hAnsi="Avenir Next" w:cs="Avenir Next"/>
          <w:b/>
          <w:bCs/>
          <w:spacing w:val="-7"/>
          <w:sz w:val="42"/>
          <w:szCs w:val="42"/>
        </w:rPr>
        <w:t xml:space="preserve"> </w:t>
      </w:r>
      <w:r>
        <w:rPr>
          <w:rFonts w:ascii="Avenir Next" w:eastAsia="Avenir Next" w:hAnsi="Avenir Next" w:cs="Avenir Next"/>
          <w:b/>
          <w:bCs/>
          <w:spacing w:val="-6"/>
          <w:sz w:val="42"/>
          <w:szCs w:val="42"/>
        </w:rPr>
        <w:t>the</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9"/>
          <w:sz w:val="42"/>
          <w:szCs w:val="42"/>
        </w:rPr>
        <w:t>Independent</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9"/>
          <w:sz w:val="42"/>
          <w:szCs w:val="42"/>
        </w:rPr>
        <w:t>Competition</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9"/>
          <w:sz w:val="42"/>
          <w:szCs w:val="42"/>
        </w:rPr>
        <w:t>and</w:t>
      </w:r>
      <w:r>
        <w:rPr>
          <w:rFonts w:ascii="Times New Roman" w:eastAsia="Times New Roman" w:hAnsi="Times New Roman" w:cs="Times New Roman"/>
          <w:spacing w:val="37"/>
          <w:sz w:val="42"/>
          <w:szCs w:val="42"/>
        </w:rPr>
        <w:t xml:space="preserve"> </w:t>
      </w:r>
      <w:r>
        <w:rPr>
          <w:rFonts w:ascii="Avenir Next" w:eastAsia="Avenir Next" w:hAnsi="Avenir Next" w:cs="Avenir Next"/>
          <w:b/>
          <w:bCs/>
          <w:spacing w:val="-9"/>
          <w:sz w:val="42"/>
          <w:szCs w:val="42"/>
        </w:rPr>
        <w:t>Regulatory</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11"/>
          <w:sz w:val="42"/>
          <w:szCs w:val="42"/>
        </w:rPr>
        <w:t>Commission’s</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7"/>
          <w:sz w:val="42"/>
          <w:szCs w:val="42"/>
        </w:rPr>
        <w:t>2013</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11"/>
          <w:sz w:val="42"/>
          <w:szCs w:val="42"/>
        </w:rPr>
        <w:t>Price</w:t>
      </w:r>
      <w:r>
        <w:rPr>
          <w:rFonts w:ascii="Avenir Next" w:eastAsia="Avenir Next" w:hAnsi="Avenir Next" w:cs="Avenir Next"/>
          <w:b/>
          <w:bCs/>
          <w:spacing w:val="-17"/>
          <w:sz w:val="42"/>
          <w:szCs w:val="42"/>
        </w:rPr>
        <w:t xml:space="preserve"> </w:t>
      </w:r>
      <w:r>
        <w:rPr>
          <w:rFonts w:ascii="Avenir Next" w:eastAsia="Avenir Next" w:hAnsi="Avenir Next" w:cs="Avenir Next"/>
          <w:b/>
          <w:bCs/>
          <w:spacing w:val="-10"/>
          <w:sz w:val="42"/>
          <w:szCs w:val="42"/>
        </w:rPr>
        <w:t>Direction</w:t>
      </w:r>
      <w:r>
        <w:rPr>
          <w:rFonts w:ascii="Times New Roman" w:eastAsia="Times New Roman" w:hAnsi="Times New Roman" w:cs="Times New Roman"/>
          <w:sz w:val="42"/>
          <w:szCs w:val="42"/>
        </w:rPr>
        <w:t xml:space="preserve"> </w:t>
      </w:r>
    </w:p>
    <w:p w:rsidR="00D96B91" w:rsidRDefault="00D96B91">
      <w:pPr>
        <w:spacing w:before="10"/>
        <w:rPr>
          <w:rFonts w:ascii="Times New Roman" w:eastAsia="Times New Roman" w:hAnsi="Times New Roman" w:cs="Times New Roman"/>
          <w:sz w:val="44"/>
          <w:szCs w:val="44"/>
        </w:rPr>
      </w:pPr>
    </w:p>
    <w:p w:rsidR="00D96B91" w:rsidRDefault="00C2656B">
      <w:pPr>
        <w:ind w:left="1526" w:right="1429"/>
        <w:jc w:val="center"/>
        <w:rPr>
          <w:rFonts w:ascii="Times New Roman" w:eastAsia="Times New Roman" w:hAnsi="Times New Roman" w:cs="Times New Roman"/>
          <w:sz w:val="42"/>
          <w:szCs w:val="42"/>
        </w:rPr>
      </w:pPr>
      <w:r>
        <w:rPr>
          <w:rFonts w:ascii="Avenir Next"/>
          <w:b/>
          <w:spacing w:val="-10"/>
          <w:sz w:val="42"/>
        </w:rPr>
        <w:t>Draft</w:t>
      </w:r>
      <w:r>
        <w:rPr>
          <w:rFonts w:ascii="Avenir Next"/>
          <w:b/>
          <w:spacing w:val="-17"/>
          <w:sz w:val="42"/>
        </w:rPr>
        <w:t xml:space="preserve"> </w:t>
      </w:r>
      <w:r>
        <w:rPr>
          <w:rFonts w:ascii="Avenir Next"/>
          <w:b/>
          <w:spacing w:val="-11"/>
          <w:sz w:val="42"/>
        </w:rPr>
        <w:t>Report</w:t>
      </w:r>
      <w:r>
        <w:rPr>
          <w:rFonts w:ascii="Times New Roman"/>
          <w:sz w:val="42"/>
        </w:rPr>
        <w:t xml:space="preserve"> </w:t>
      </w:r>
    </w:p>
    <w:p w:rsidR="00D96B91" w:rsidRDefault="00C2656B">
      <w:pPr>
        <w:spacing w:before="197"/>
        <w:ind w:left="1526" w:right="1448"/>
        <w:jc w:val="center"/>
        <w:rPr>
          <w:rFonts w:ascii="Times New Roman" w:eastAsia="Times New Roman" w:hAnsi="Times New Roman" w:cs="Times New Roman"/>
          <w:sz w:val="34"/>
          <w:szCs w:val="34"/>
        </w:rPr>
      </w:pPr>
      <w:r>
        <w:rPr>
          <w:rFonts w:ascii="Avenir Next"/>
          <w:b/>
          <w:spacing w:val="-7"/>
          <w:sz w:val="34"/>
        </w:rPr>
        <w:t>December</w:t>
      </w:r>
      <w:r>
        <w:rPr>
          <w:rFonts w:ascii="Avenir Next"/>
          <w:b/>
          <w:spacing w:val="-14"/>
          <w:sz w:val="34"/>
        </w:rPr>
        <w:t xml:space="preserve"> </w:t>
      </w:r>
      <w:r>
        <w:rPr>
          <w:rFonts w:ascii="Avenir Next"/>
          <w:b/>
          <w:spacing w:val="-7"/>
          <w:sz w:val="34"/>
        </w:rPr>
        <w:t>2014</w:t>
      </w:r>
      <w:r>
        <w:rPr>
          <w:rFonts w:ascii="Times New Roman"/>
          <w:sz w:val="34"/>
        </w:rPr>
        <w:t xml:space="preserve"> </w:t>
      </w:r>
    </w:p>
    <w:p w:rsidR="00D96B91" w:rsidRDefault="00D96B91">
      <w:pPr>
        <w:jc w:val="center"/>
        <w:rPr>
          <w:rFonts w:ascii="Times New Roman" w:eastAsia="Times New Roman" w:hAnsi="Times New Roman" w:cs="Times New Roman"/>
          <w:sz w:val="34"/>
          <w:szCs w:val="34"/>
        </w:rPr>
        <w:sectPr w:rsidR="00D96B91">
          <w:footerReference w:type="even" r:id="rId12"/>
          <w:footerReference w:type="default" r:id="rId13"/>
          <w:pgSz w:w="11910" w:h="16840"/>
          <w:pgMar w:top="1580" w:right="0" w:bottom="1020" w:left="0" w:header="0" w:footer="829" w:gutter="0"/>
          <w:cols w:space="720"/>
        </w:sect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spacing w:before="6"/>
        <w:rPr>
          <w:rFonts w:ascii="Times New Roman" w:eastAsia="Times New Roman" w:hAnsi="Times New Roman" w:cs="Times New Roman"/>
          <w:sz w:val="20"/>
          <w:szCs w:val="20"/>
        </w:rPr>
      </w:pPr>
    </w:p>
    <w:p w:rsidR="00D96B91" w:rsidRDefault="00C2656B">
      <w:pPr>
        <w:pStyle w:val="BodyText"/>
        <w:spacing w:before="38" w:line="260" w:lineRule="exact"/>
        <w:ind w:right="1548"/>
      </w:pPr>
      <w:r>
        <w:rPr>
          <w:rFonts w:cs="Avenir Next"/>
          <w:spacing w:val="-2"/>
        </w:rPr>
        <w:t>The</w:t>
      </w:r>
      <w:r>
        <w:rPr>
          <w:rFonts w:cs="Avenir Next"/>
        </w:rPr>
        <w:t xml:space="preserve"> Industry </w:t>
      </w:r>
      <w:r>
        <w:rPr>
          <w:rFonts w:cs="Avenir Next"/>
          <w:spacing w:val="-3"/>
        </w:rPr>
        <w:t>Panel</w:t>
      </w:r>
      <w:r>
        <w:rPr>
          <w:rFonts w:cs="Avenir Next"/>
        </w:rPr>
        <w:t xml:space="preserve"> is established under the </w:t>
      </w:r>
      <w:r>
        <w:rPr>
          <w:rFonts w:cs="Avenir Next"/>
          <w:i/>
        </w:rPr>
        <w:t xml:space="preserve">Independent </w:t>
      </w:r>
      <w:r>
        <w:rPr>
          <w:rFonts w:cs="Avenir Next"/>
          <w:i/>
          <w:spacing w:val="-1"/>
        </w:rPr>
        <w:t>Competition</w:t>
      </w:r>
      <w:r>
        <w:rPr>
          <w:rFonts w:cs="Avenir Next"/>
          <w:i/>
        </w:rPr>
        <w:t xml:space="preserve"> and </w:t>
      </w:r>
      <w:r>
        <w:rPr>
          <w:rFonts w:cs="Avenir Next"/>
          <w:i/>
          <w:spacing w:val="-1"/>
        </w:rPr>
        <w:t>Regulatory</w:t>
      </w:r>
      <w:r>
        <w:rPr>
          <w:rFonts w:cs="Avenir Next"/>
          <w:i/>
        </w:rPr>
        <w:t xml:space="preserve"> </w:t>
      </w:r>
      <w:r>
        <w:rPr>
          <w:rFonts w:cs="Avenir Next"/>
          <w:i/>
          <w:spacing w:val="-1"/>
        </w:rPr>
        <w:t>Commission</w:t>
      </w:r>
      <w:r>
        <w:rPr>
          <w:rFonts w:cs="Avenir Next"/>
          <w:i/>
          <w:spacing w:val="49"/>
        </w:rPr>
        <w:t xml:space="preserve"> </w:t>
      </w:r>
      <w:r>
        <w:rPr>
          <w:rFonts w:cs="Avenir Next"/>
          <w:i/>
        </w:rPr>
        <w:t>Act 1997</w:t>
      </w:r>
      <w:r>
        <w:rPr>
          <w:rFonts w:cs="Avenir Next"/>
        </w:rPr>
        <w:t>,</w:t>
      </w:r>
      <w:r>
        <w:rPr>
          <w:rFonts w:cs="Avenir Next"/>
          <w:spacing w:val="-6"/>
        </w:rPr>
        <w:t xml:space="preserve"> </w:t>
      </w:r>
      <w:r>
        <w:rPr>
          <w:rFonts w:cs="Avenir Next"/>
        </w:rPr>
        <w:t xml:space="preserve">following an </w:t>
      </w:r>
      <w:r>
        <w:rPr>
          <w:rFonts w:cs="Avenir Next"/>
          <w:spacing w:val="-1"/>
        </w:rPr>
        <w:t>application</w:t>
      </w:r>
      <w:r>
        <w:rPr>
          <w:rFonts w:cs="Avenir Next"/>
        </w:rPr>
        <w:t xml:space="preserve"> by</w:t>
      </w:r>
      <w:r>
        <w:rPr>
          <w:rFonts w:cs="Avenir Next"/>
          <w:spacing w:val="-4"/>
        </w:rPr>
        <w:t xml:space="preserve"> </w:t>
      </w:r>
      <w:r>
        <w:rPr>
          <w:rFonts w:cs="Avenir Next"/>
          <w:spacing w:val="-2"/>
        </w:rPr>
        <w:t>ACTEW</w:t>
      </w:r>
      <w:r>
        <w:rPr>
          <w:rFonts w:cs="Avenir Next"/>
          <w:spacing w:val="-3"/>
        </w:rPr>
        <w:t xml:space="preserve"> </w:t>
      </w:r>
      <w:r>
        <w:rPr>
          <w:rFonts w:cs="Avenir Next"/>
        </w:rPr>
        <w:t xml:space="preserve">for the </w:t>
      </w:r>
      <w:r>
        <w:rPr>
          <w:rFonts w:cs="Avenir Next"/>
          <w:spacing w:val="-1"/>
        </w:rPr>
        <w:t>review</w:t>
      </w:r>
      <w:r>
        <w:rPr>
          <w:rFonts w:cs="Avenir Next"/>
        </w:rPr>
        <w:t xml:space="preserve"> of</w:t>
      </w:r>
      <w:r>
        <w:rPr>
          <w:rFonts w:cs="Avenir Next"/>
          <w:spacing w:val="4"/>
        </w:rPr>
        <w:t xml:space="preserve"> </w:t>
      </w:r>
      <w:r>
        <w:rPr>
          <w:rFonts w:cs="Avenir Next"/>
        </w:rPr>
        <w:t xml:space="preserve">the Independent </w:t>
      </w:r>
      <w:r>
        <w:rPr>
          <w:rFonts w:cs="Avenir Next"/>
          <w:spacing w:val="-1"/>
        </w:rPr>
        <w:t>Competition</w:t>
      </w:r>
      <w:r>
        <w:rPr>
          <w:rFonts w:cs="Avenir Next"/>
        </w:rPr>
        <w:t xml:space="preserve"> and</w:t>
      </w:r>
      <w:r>
        <w:rPr>
          <w:rFonts w:cs="Avenir Next"/>
          <w:spacing w:val="45"/>
        </w:rPr>
        <w:t xml:space="preserve"> </w:t>
      </w:r>
      <w:r>
        <w:rPr>
          <w:spacing w:val="-1"/>
        </w:rPr>
        <w:t>Regulatory</w:t>
      </w:r>
      <w:r>
        <w:t xml:space="preserve"> </w:t>
      </w:r>
      <w:r>
        <w:rPr>
          <w:spacing w:val="-2"/>
        </w:rPr>
        <w:t>Commission’s</w:t>
      </w:r>
      <w:r>
        <w:t xml:space="preserve"> </w:t>
      </w:r>
      <w:r>
        <w:rPr>
          <w:spacing w:val="-2"/>
        </w:rPr>
        <w:t>Price</w:t>
      </w:r>
      <w:r>
        <w:t xml:space="preserve"> </w:t>
      </w:r>
      <w:r>
        <w:rPr>
          <w:spacing w:val="-1"/>
        </w:rPr>
        <w:t>Direction</w:t>
      </w:r>
      <w:r>
        <w:t xml:space="preserve"> for </w:t>
      </w:r>
      <w:r>
        <w:rPr>
          <w:spacing w:val="-1"/>
        </w:rPr>
        <w:t>Regulated</w:t>
      </w:r>
      <w:r>
        <w:rPr>
          <w:spacing w:val="-3"/>
        </w:rPr>
        <w:t xml:space="preserve"> </w:t>
      </w:r>
      <w:r>
        <w:rPr>
          <w:spacing w:val="-2"/>
        </w:rPr>
        <w:t>Water</w:t>
      </w:r>
      <w:r>
        <w:t xml:space="preserve"> and </w:t>
      </w:r>
      <w:r>
        <w:rPr>
          <w:spacing w:val="-1"/>
        </w:rPr>
        <w:t>Sewerage</w:t>
      </w:r>
      <w:r>
        <w:t xml:space="preserve"> Services,</w:t>
      </w:r>
      <w:r>
        <w:rPr>
          <w:spacing w:val="-6"/>
        </w:rPr>
        <w:t xml:space="preserve"> </w:t>
      </w:r>
      <w:r>
        <w:t>1</w:t>
      </w:r>
      <w:r>
        <w:rPr>
          <w:spacing w:val="-3"/>
        </w:rPr>
        <w:t xml:space="preserve"> </w:t>
      </w:r>
      <w:r>
        <w:t>July 2013 to</w:t>
      </w:r>
      <w:r>
        <w:rPr>
          <w:spacing w:val="61"/>
        </w:rPr>
        <w:t xml:space="preserve"> </w:t>
      </w:r>
      <w:r>
        <w:t>30</w:t>
      </w:r>
      <w:r>
        <w:rPr>
          <w:spacing w:val="-3"/>
        </w:rPr>
        <w:t xml:space="preserve"> </w:t>
      </w:r>
      <w:r>
        <w:t>June 2019.</w:t>
      </w:r>
    </w:p>
    <w:p w:rsidR="00D96B91" w:rsidRDefault="00C2656B">
      <w:pPr>
        <w:pStyle w:val="BodyText"/>
        <w:spacing w:before="178"/>
      </w:pPr>
      <w:r>
        <w:rPr>
          <w:spacing w:val="-2"/>
        </w:rPr>
        <w:t>The</w:t>
      </w:r>
      <w:r>
        <w:t xml:space="preserve"> Industry </w:t>
      </w:r>
      <w:r>
        <w:rPr>
          <w:spacing w:val="-3"/>
        </w:rPr>
        <w:t>Panel</w:t>
      </w:r>
      <w:r>
        <w:t xml:space="preserve"> is constituted under the</w:t>
      </w:r>
      <w:r>
        <w:rPr>
          <w:spacing w:val="-4"/>
        </w:rPr>
        <w:t xml:space="preserve"> </w:t>
      </w:r>
      <w:r>
        <w:t xml:space="preserve">Act as one </w:t>
      </w:r>
      <w:r>
        <w:rPr>
          <w:spacing w:val="-2"/>
        </w:rPr>
        <w:t>President</w:t>
      </w:r>
      <w:r>
        <w:t xml:space="preserve"> and two members.</w:t>
      </w:r>
    </w:p>
    <w:p w:rsidR="00D96B91" w:rsidRDefault="00C2656B">
      <w:pPr>
        <w:pStyle w:val="BodyText"/>
        <w:spacing w:before="149" w:line="260" w:lineRule="exact"/>
        <w:ind w:right="2010"/>
      </w:pPr>
      <w:r>
        <w:rPr>
          <w:spacing w:val="-2"/>
        </w:rPr>
        <w:t>The</w:t>
      </w:r>
      <w:r>
        <w:t xml:space="preserve"> </w:t>
      </w:r>
      <w:r>
        <w:rPr>
          <w:spacing w:val="-3"/>
        </w:rPr>
        <w:t>Panel</w:t>
      </w:r>
      <w:r>
        <w:t xml:space="preserve"> Members </w:t>
      </w:r>
      <w:r>
        <w:rPr>
          <w:spacing w:val="-2"/>
        </w:rPr>
        <w:t>are</w:t>
      </w:r>
      <w:r>
        <w:t xml:space="preserve"> </w:t>
      </w:r>
      <w:r>
        <w:rPr>
          <w:spacing w:val="-2"/>
        </w:rPr>
        <w:t>President</w:t>
      </w:r>
      <w:r>
        <w:t xml:space="preserve"> Ms Mary</w:t>
      </w:r>
      <w:r>
        <w:rPr>
          <w:spacing w:val="-4"/>
        </w:rPr>
        <w:t xml:space="preserve"> </w:t>
      </w:r>
      <w:r>
        <w:t xml:space="preserve">Anne </w:t>
      </w:r>
      <w:r>
        <w:rPr>
          <w:spacing w:val="-1"/>
        </w:rPr>
        <w:t>Hartley</w:t>
      </w:r>
      <w:r>
        <w:t xml:space="preserve"> QC,</w:t>
      </w:r>
      <w:r>
        <w:rPr>
          <w:spacing w:val="-6"/>
        </w:rPr>
        <w:t xml:space="preserve"> </w:t>
      </w:r>
      <w:r>
        <w:t xml:space="preserve">and Members Ms Sally </w:t>
      </w:r>
      <w:r>
        <w:rPr>
          <w:spacing w:val="-2"/>
        </w:rPr>
        <w:t>Farrier</w:t>
      </w:r>
      <w:r>
        <w:t xml:space="preserve"> and</w:t>
      </w:r>
      <w:r>
        <w:rPr>
          <w:spacing w:val="39"/>
        </w:rPr>
        <w:t xml:space="preserve"> </w:t>
      </w:r>
      <w:r>
        <w:t xml:space="preserve">Ms </w:t>
      </w:r>
      <w:r>
        <w:rPr>
          <w:spacing w:val="-1"/>
        </w:rPr>
        <w:t>Claire</w:t>
      </w:r>
      <w:r>
        <w:rPr>
          <w:spacing w:val="-5"/>
        </w:rPr>
        <w:t xml:space="preserve"> </w:t>
      </w:r>
      <w:r>
        <w:rPr>
          <w:spacing w:val="-1"/>
        </w:rPr>
        <w:t>Thomas</w:t>
      </w:r>
      <w:r>
        <w:t xml:space="preserve"> PSM.</w:t>
      </w:r>
    </w:p>
    <w:p w:rsidR="00D96B91" w:rsidRDefault="00C2656B">
      <w:pPr>
        <w:pStyle w:val="BodyText"/>
        <w:spacing w:before="21" w:line="430" w:lineRule="atLeast"/>
        <w:ind w:right="1548"/>
        <w:rPr>
          <w:rFonts w:cs="Avenir Next"/>
        </w:rPr>
      </w:pPr>
      <w:r>
        <w:rPr>
          <w:spacing w:val="-1"/>
        </w:rPr>
        <w:t>Correspondence</w:t>
      </w:r>
      <w:r>
        <w:t xml:space="preserve"> or other inquiries may be </w:t>
      </w:r>
      <w:r>
        <w:rPr>
          <w:spacing w:val="-1"/>
        </w:rPr>
        <w:t>directed</w:t>
      </w:r>
      <w:r>
        <w:t xml:space="preserve"> to the Industry </w:t>
      </w:r>
      <w:r>
        <w:rPr>
          <w:spacing w:val="-3"/>
        </w:rPr>
        <w:t>Panel</w:t>
      </w:r>
      <w:r>
        <w:t xml:space="preserve"> </w:t>
      </w:r>
      <w:r>
        <w:rPr>
          <w:spacing w:val="-1"/>
        </w:rPr>
        <w:t>at</w:t>
      </w:r>
      <w:r>
        <w:t xml:space="preserve"> the </w:t>
      </w:r>
      <w:r>
        <w:rPr>
          <w:spacing w:val="-1"/>
        </w:rPr>
        <w:t>addresses</w:t>
      </w:r>
      <w:r>
        <w:t xml:space="preserve"> below:</w:t>
      </w:r>
      <w:r>
        <w:rPr>
          <w:spacing w:val="37"/>
        </w:rPr>
        <w:t xml:space="preserve"> </w:t>
      </w:r>
      <w:r>
        <w:t xml:space="preserve">Industry </w:t>
      </w:r>
      <w:r>
        <w:rPr>
          <w:spacing w:val="-3"/>
        </w:rPr>
        <w:t>Panel</w:t>
      </w:r>
    </w:p>
    <w:p w:rsidR="00D96B91" w:rsidRDefault="00C2656B">
      <w:pPr>
        <w:pStyle w:val="BodyText"/>
        <w:spacing w:line="253" w:lineRule="exact"/>
      </w:pPr>
      <w:r>
        <w:t xml:space="preserve">GPO </w:t>
      </w:r>
      <w:r>
        <w:rPr>
          <w:spacing w:val="-1"/>
        </w:rPr>
        <w:t>Box</w:t>
      </w:r>
      <w:r>
        <w:t xml:space="preserve"> 158</w:t>
      </w:r>
    </w:p>
    <w:p w:rsidR="00D96B91" w:rsidRDefault="00C2656B">
      <w:pPr>
        <w:pStyle w:val="BodyText"/>
        <w:spacing w:line="267" w:lineRule="exact"/>
      </w:pPr>
      <w:r>
        <w:rPr>
          <w:spacing w:val="-1"/>
        </w:rPr>
        <w:t>Canberra</w:t>
      </w:r>
      <w:r>
        <w:rPr>
          <w:spacing w:val="-4"/>
        </w:rPr>
        <w:t xml:space="preserve"> </w:t>
      </w:r>
      <w:r>
        <w:rPr>
          <w:spacing w:val="-2"/>
        </w:rPr>
        <w:t>ACT</w:t>
      </w:r>
      <w:r>
        <w:rPr>
          <w:spacing w:val="-5"/>
        </w:rPr>
        <w:t xml:space="preserve"> </w:t>
      </w:r>
      <w:r>
        <w:t>2601</w:t>
      </w:r>
    </w:p>
    <w:p w:rsidR="00D96B91" w:rsidRDefault="00C2656B">
      <w:pPr>
        <w:pStyle w:val="BodyText"/>
        <w:spacing w:before="157" w:line="267" w:lineRule="exact"/>
      </w:pPr>
      <w:r>
        <w:rPr>
          <w:spacing w:val="-2"/>
        </w:rPr>
        <w:t>The</w:t>
      </w:r>
      <w:r>
        <w:t xml:space="preserve"> </w:t>
      </w:r>
      <w:r>
        <w:rPr>
          <w:spacing w:val="-1"/>
        </w:rPr>
        <w:t>Secretariat</w:t>
      </w:r>
      <w:r>
        <w:t xml:space="preserve"> of</w:t>
      </w:r>
      <w:r>
        <w:rPr>
          <w:spacing w:val="4"/>
        </w:rPr>
        <w:t xml:space="preserve"> </w:t>
      </w:r>
      <w:r>
        <w:t xml:space="preserve">the Industry </w:t>
      </w:r>
      <w:r>
        <w:rPr>
          <w:spacing w:val="-3"/>
        </w:rPr>
        <w:t>Panel</w:t>
      </w:r>
      <w:r>
        <w:t xml:space="preserve"> can be contacted by telephone on (02) 6207 6128,</w:t>
      </w:r>
      <w:r>
        <w:rPr>
          <w:spacing w:val="-7"/>
        </w:rPr>
        <w:t xml:space="preserve"> </w:t>
      </w:r>
      <w:r>
        <w:t>or by fax on</w:t>
      </w:r>
    </w:p>
    <w:p w:rsidR="00D96B91" w:rsidRDefault="00C2656B">
      <w:pPr>
        <w:pStyle w:val="BodyText"/>
        <w:spacing w:line="267" w:lineRule="exact"/>
      </w:pPr>
      <w:r>
        <w:t xml:space="preserve">(02) 6207 0267 or via email </w:t>
      </w:r>
      <w:r>
        <w:rPr>
          <w:spacing w:val="-2"/>
        </w:rPr>
        <w:t>at</w:t>
      </w:r>
      <w:r>
        <w:t xml:space="preserve"> </w:t>
      </w:r>
      <w:hyperlink r:id="rId14">
        <w:r>
          <w:rPr>
            <w:color w:val="0778BE"/>
            <w:spacing w:val="-1"/>
          </w:rPr>
          <w:t>industrypanel@act.gov.au</w:t>
        </w:r>
      </w:hyperlink>
    </w:p>
    <w:p w:rsidR="00D96B91" w:rsidRDefault="00C2656B">
      <w:pPr>
        <w:pStyle w:val="BodyText"/>
        <w:spacing w:before="157" w:line="377" w:lineRule="auto"/>
        <w:ind w:right="1256"/>
        <w:rPr>
          <w:rFonts w:ascii="Times New Roman" w:eastAsia="Times New Roman" w:hAnsi="Times New Roman" w:cs="Times New Roman"/>
        </w:rPr>
      </w:pPr>
      <w:r>
        <w:rPr>
          <w:spacing w:val="-5"/>
        </w:rPr>
        <w:t>Further</w:t>
      </w:r>
      <w:r>
        <w:rPr>
          <w:spacing w:val="-6"/>
        </w:rPr>
        <w:t xml:space="preserve"> </w:t>
      </w:r>
      <w:r>
        <w:rPr>
          <w:spacing w:val="-3"/>
        </w:rPr>
        <w:t>details</w:t>
      </w:r>
      <w:r>
        <w:rPr>
          <w:spacing w:val="-6"/>
        </w:rPr>
        <w:t xml:space="preserve"> </w:t>
      </w:r>
      <w:r>
        <w:rPr>
          <w:spacing w:val="-2"/>
        </w:rPr>
        <w:t>of the</w:t>
      </w:r>
      <w:r>
        <w:rPr>
          <w:spacing w:val="-6"/>
        </w:rPr>
        <w:t xml:space="preserve"> </w:t>
      </w:r>
      <w:r>
        <w:rPr>
          <w:spacing w:val="-3"/>
        </w:rPr>
        <w:t>Industry</w:t>
      </w:r>
      <w:r>
        <w:rPr>
          <w:spacing w:val="-6"/>
        </w:rPr>
        <w:t xml:space="preserve"> </w:t>
      </w:r>
      <w:r>
        <w:rPr>
          <w:spacing w:val="-5"/>
        </w:rPr>
        <w:t>Panel</w:t>
      </w:r>
      <w:r>
        <w:rPr>
          <w:spacing w:val="-6"/>
        </w:rPr>
        <w:t xml:space="preserve"> </w:t>
      </w:r>
      <w:r>
        <w:rPr>
          <w:spacing w:val="-4"/>
        </w:rPr>
        <w:t>process</w:t>
      </w:r>
      <w:r>
        <w:rPr>
          <w:spacing w:val="-6"/>
        </w:rPr>
        <w:t xml:space="preserve"> </w:t>
      </w:r>
      <w:r>
        <w:rPr>
          <w:spacing w:val="-2"/>
        </w:rPr>
        <w:t>can</w:t>
      </w:r>
      <w:r>
        <w:rPr>
          <w:spacing w:val="-6"/>
        </w:rPr>
        <w:t xml:space="preserve"> </w:t>
      </w:r>
      <w:r>
        <w:rPr>
          <w:spacing w:val="-2"/>
        </w:rPr>
        <w:t>be</w:t>
      </w:r>
      <w:r>
        <w:rPr>
          <w:spacing w:val="-6"/>
        </w:rPr>
        <w:t xml:space="preserve"> </w:t>
      </w:r>
      <w:r>
        <w:rPr>
          <w:spacing w:val="-3"/>
        </w:rPr>
        <w:t>found</w:t>
      </w:r>
      <w:r>
        <w:rPr>
          <w:spacing w:val="-6"/>
        </w:rPr>
        <w:t xml:space="preserve"> </w:t>
      </w:r>
      <w:r>
        <w:rPr>
          <w:spacing w:val="-3"/>
        </w:rPr>
        <w:t>at:</w:t>
      </w:r>
      <w:r>
        <w:rPr>
          <w:spacing w:val="-6"/>
        </w:rPr>
        <w:t xml:space="preserve"> </w:t>
      </w:r>
      <w:hyperlink r:id="rId15">
        <w:r>
          <w:rPr>
            <w:color w:val="0778BE"/>
            <w:spacing w:val="-4"/>
          </w:rPr>
          <w:t>http://apps.treasury.act.gov.au/industrypanel</w:t>
        </w:r>
      </w:hyperlink>
      <w:r>
        <w:rPr>
          <w:color w:val="0778BE"/>
          <w:spacing w:val="-4"/>
        </w:rPr>
        <w:t>.</w:t>
      </w:r>
      <w:r>
        <w:rPr>
          <w:color w:val="0778BE"/>
          <w:spacing w:val="92"/>
        </w:rPr>
        <w:t xml:space="preserve"> </w:t>
      </w:r>
      <w:r>
        <w:t xml:space="preserve">14/1129 </w:t>
      </w:r>
      <w:r>
        <w:rPr>
          <w:rFonts w:ascii="Times New Roman"/>
        </w:rPr>
        <w:t xml:space="preserve"> </w:t>
      </w:r>
    </w:p>
    <w:p w:rsidR="00D96B91" w:rsidRDefault="00D96B91">
      <w:pPr>
        <w:spacing w:line="377" w:lineRule="auto"/>
        <w:rPr>
          <w:rFonts w:ascii="Times New Roman" w:eastAsia="Times New Roman" w:hAnsi="Times New Roman" w:cs="Times New Roman"/>
        </w:rPr>
        <w:sectPr w:rsidR="00D96B91">
          <w:pgSz w:w="11910" w:h="16840"/>
          <w:pgMar w:top="1580" w:right="0" w:bottom="1020" w:left="0" w:header="0" w:footer="829" w:gutter="0"/>
          <w:cols w:space="720"/>
        </w:sectPr>
      </w:pPr>
    </w:p>
    <w:p w:rsidR="00D96B91" w:rsidRDefault="00C2656B">
      <w:pPr>
        <w:spacing w:line="516" w:lineRule="exact"/>
        <w:ind w:left="1247"/>
        <w:rPr>
          <w:rFonts w:ascii="Avenir Next Medium" w:eastAsia="Avenir Next Medium" w:hAnsi="Avenir Next Medium" w:cs="Avenir Next Medium"/>
          <w:sz w:val="40"/>
          <w:szCs w:val="40"/>
        </w:rPr>
      </w:pPr>
      <w:r>
        <w:rPr>
          <w:rFonts w:ascii="Avenir Next Medium"/>
          <w:color w:val="0778BE"/>
          <w:sz w:val="40"/>
        </w:rPr>
        <w:t xml:space="preserve">How to </w:t>
      </w:r>
      <w:r>
        <w:rPr>
          <w:rFonts w:ascii="Avenir Next Medium"/>
          <w:color w:val="0778BE"/>
          <w:spacing w:val="-2"/>
          <w:sz w:val="40"/>
        </w:rPr>
        <w:t>make</w:t>
      </w:r>
      <w:r>
        <w:rPr>
          <w:rFonts w:ascii="Avenir Next Medium"/>
          <w:color w:val="0778BE"/>
          <w:sz w:val="40"/>
        </w:rPr>
        <w:t xml:space="preserve"> a submission</w:t>
      </w:r>
    </w:p>
    <w:p w:rsidR="00D96B91" w:rsidRDefault="00C2656B">
      <w:pPr>
        <w:pStyle w:val="BodyText"/>
        <w:spacing w:before="359" w:line="260" w:lineRule="exact"/>
        <w:ind w:right="1256"/>
        <w:rPr>
          <w:rFonts w:cs="Avenir Next"/>
        </w:rPr>
      </w:pPr>
      <w:r>
        <w:rPr>
          <w:spacing w:val="-2"/>
        </w:rPr>
        <w:t>The</w:t>
      </w:r>
      <w:r>
        <w:t xml:space="preserve"> Industry </w:t>
      </w:r>
      <w:r>
        <w:rPr>
          <w:spacing w:val="-3"/>
        </w:rPr>
        <w:t>Panel</w:t>
      </w:r>
      <w:r>
        <w:t xml:space="preserve"> is seeking comment </w:t>
      </w:r>
      <w:r>
        <w:rPr>
          <w:spacing w:val="-1"/>
        </w:rPr>
        <w:t>from</w:t>
      </w:r>
      <w:r>
        <w:t xml:space="preserve"> </w:t>
      </w:r>
      <w:r>
        <w:rPr>
          <w:spacing w:val="-1"/>
        </w:rPr>
        <w:t>interested</w:t>
      </w:r>
      <w:r>
        <w:t xml:space="preserve"> </w:t>
      </w:r>
      <w:r>
        <w:rPr>
          <w:spacing w:val="-1"/>
        </w:rPr>
        <w:t>stakeholders</w:t>
      </w:r>
      <w:r>
        <w:t xml:space="preserve"> and the </w:t>
      </w:r>
      <w:r>
        <w:rPr>
          <w:spacing w:val="-1"/>
        </w:rPr>
        <w:t>general</w:t>
      </w:r>
      <w:r>
        <w:t xml:space="preserve"> public in </w:t>
      </w:r>
      <w:r>
        <w:rPr>
          <w:spacing w:val="-1"/>
        </w:rPr>
        <w:t>relation</w:t>
      </w:r>
      <w:r>
        <w:rPr>
          <w:spacing w:val="49"/>
        </w:rPr>
        <w:t xml:space="preserve"> </w:t>
      </w:r>
      <w:r>
        <w:t>to the contents of</w:t>
      </w:r>
      <w:r>
        <w:rPr>
          <w:spacing w:val="4"/>
        </w:rPr>
        <w:t xml:space="preserve"> </w:t>
      </w:r>
      <w:r>
        <w:t xml:space="preserve">this </w:t>
      </w:r>
      <w:r>
        <w:rPr>
          <w:spacing w:val="-1"/>
        </w:rPr>
        <w:t>report.</w:t>
      </w:r>
      <w:r>
        <w:rPr>
          <w:spacing w:val="-11"/>
        </w:rPr>
        <w:t xml:space="preserve"> </w:t>
      </w:r>
      <w:r>
        <w:rPr>
          <w:spacing w:val="-2"/>
        </w:rPr>
        <w:t>The</w:t>
      </w:r>
      <w:r>
        <w:t xml:space="preserve"> </w:t>
      </w:r>
      <w:r>
        <w:rPr>
          <w:spacing w:val="-3"/>
        </w:rPr>
        <w:t>Panel</w:t>
      </w:r>
      <w:r>
        <w:t xml:space="preserve"> would </w:t>
      </w:r>
      <w:r>
        <w:rPr>
          <w:spacing w:val="-1"/>
        </w:rPr>
        <w:t>prefer</w:t>
      </w:r>
      <w:r>
        <w:t xml:space="preserve"> submissions to be lodged </w:t>
      </w:r>
      <w:r>
        <w:rPr>
          <w:spacing w:val="-1"/>
        </w:rPr>
        <w:t>electronically</w:t>
      </w:r>
      <w:r>
        <w:t xml:space="preserve"> and</w:t>
      </w:r>
      <w:r>
        <w:rPr>
          <w:spacing w:val="35"/>
        </w:rPr>
        <w:t xml:space="preserve"> </w:t>
      </w:r>
      <w:r>
        <w:t>emailed to:</w:t>
      </w:r>
    </w:p>
    <w:p w:rsidR="00D96B91" w:rsidRDefault="00D96B91">
      <w:pPr>
        <w:pStyle w:val="BodyText"/>
        <w:spacing w:before="178"/>
        <w:ind w:left="1476" w:right="1476"/>
        <w:jc w:val="center"/>
      </w:pPr>
      <w:hyperlink r:id="rId16">
        <w:r w:rsidR="00C2656B">
          <w:rPr>
            <w:color w:val="0778BE"/>
            <w:spacing w:val="-1"/>
          </w:rPr>
          <w:t>industrypanel@act.gov.au</w:t>
        </w:r>
      </w:hyperlink>
    </w:p>
    <w:p w:rsidR="00D96B91" w:rsidRDefault="00C2656B">
      <w:pPr>
        <w:pStyle w:val="BodyText"/>
        <w:spacing w:before="149" w:line="260" w:lineRule="exact"/>
        <w:ind w:right="1548"/>
      </w:pPr>
      <w:r>
        <w:rPr>
          <w:rFonts w:cs="Avenir Next"/>
          <w:spacing w:val="-2"/>
        </w:rPr>
        <w:t>The</w:t>
      </w:r>
      <w:r>
        <w:rPr>
          <w:rFonts w:cs="Avenir Next"/>
        </w:rPr>
        <w:t xml:space="preserve"> </w:t>
      </w:r>
      <w:r>
        <w:rPr>
          <w:rFonts w:cs="Avenir Next"/>
          <w:spacing w:val="-3"/>
        </w:rPr>
        <w:t>Panel</w:t>
      </w:r>
      <w:r>
        <w:rPr>
          <w:rFonts w:cs="Avenir Next"/>
        </w:rPr>
        <w:t xml:space="preserve"> </w:t>
      </w:r>
      <w:r>
        <w:rPr>
          <w:rFonts w:cs="Avenir Next"/>
          <w:spacing w:val="-1"/>
        </w:rPr>
        <w:t>encourages</w:t>
      </w:r>
      <w:r>
        <w:rPr>
          <w:rFonts w:cs="Avenir Next"/>
        </w:rPr>
        <w:t xml:space="preserve"> </w:t>
      </w:r>
      <w:r>
        <w:rPr>
          <w:rFonts w:cs="Avenir Next"/>
          <w:spacing w:val="-1"/>
        </w:rPr>
        <w:t>interested</w:t>
      </w:r>
      <w:r>
        <w:rPr>
          <w:rFonts w:cs="Avenir Next"/>
        </w:rPr>
        <w:t xml:space="preserve"> </w:t>
      </w:r>
      <w:r>
        <w:rPr>
          <w:rFonts w:cs="Avenir Next"/>
          <w:spacing w:val="-1"/>
        </w:rPr>
        <w:t>parties</w:t>
      </w:r>
      <w:r>
        <w:rPr>
          <w:rFonts w:cs="Avenir Next"/>
        </w:rPr>
        <w:t xml:space="preserve"> to </w:t>
      </w:r>
      <w:r>
        <w:rPr>
          <w:rFonts w:cs="Avenir Next"/>
          <w:spacing w:val="-1"/>
        </w:rPr>
        <w:t>make</w:t>
      </w:r>
      <w:r>
        <w:rPr>
          <w:rFonts w:cs="Avenir Next"/>
        </w:rPr>
        <w:t xml:space="preserve"> submissions in either </w:t>
      </w:r>
      <w:r>
        <w:rPr>
          <w:rFonts w:cs="Avenir Next"/>
          <w:i/>
          <w:spacing w:val="-1"/>
        </w:rPr>
        <w:t>Microsoft</w:t>
      </w:r>
      <w:r>
        <w:rPr>
          <w:rFonts w:cs="Avenir Next"/>
          <w:i/>
          <w:spacing w:val="-3"/>
        </w:rPr>
        <w:t xml:space="preserve"> </w:t>
      </w:r>
      <w:r>
        <w:rPr>
          <w:rFonts w:cs="Avenir Next"/>
          <w:i/>
          <w:spacing w:val="-2"/>
        </w:rPr>
        <w:t>Word</w:t>
      </w:r>
      <w:r>
        <w:rPr>
          <w:rFonts w:cs="Avenir Next"/>
          <w:i/>
        </w:rPr>
        <w:t xml:space="preserve"> </w:t>
      </w:r>
      <w:r>
        <w:rPr>
          <w:rFonts w:cs="Avenir Next"/>
          <w:spacing w:val="-1"/>
        </w:rPr>
        <w:t>format</w:t>
      </w:r>
      <w:r>
        <w:rPr>
          <w:rFonts w:cs="Avenir Next"/>
        </w:rPr>
        <w:t xml:space="preserve"> or</w:t>
      </w:r>
      <w:r>
        <w:rPr>
          <w:rFonts w:cs="Avenir Next"/>
          <w:spacing w:val="61"/>
        </w:rPr>
        <w:t xml:space="preserve"> </w:t>
      </w:r>
      <w:r>
        <w:t xml:space="preserve">PDF (OCR </w:t>
      </w:r>
      <w:r>
        <w:rPr>
          <w:spacing w:val="-1"/>
        </w:rPr>
        <w:t>readable</w:t>
      </w:r>
      <w:r>
        <w:t xml:space="preserve"> </w:t>
      </w:r>
      <w:r>
        <w:rPr>
          <w:spacing w:val="-1"/>
        </w:rPr>
        <w:t>text</w:t>
      </w:r>
      <w:r>
        <w:t xml:space="preserve"> </w:t>
      </w:r>
      <w:r>
        <w:rPr>
          <w:spacing w:val="-1"/>
        </w:rPr>
        <w:t>format</w:t>
      </w:r>
      <w:r>
        <w:t xml:space="preserve"> – </w:t>
      </w:r>
      <w:r>
        <w:rPr>
          <w:spacing w:val="-1"/>
        </w:rPr>
        <w:t>that</w:t>
      </w:r>
      <w:r>
        <w:t xml:space="preserve"> is,</w:t>
      </w:r>
      <w:r>
        <w:rPr>
          <w:spacing w:val="-6"/>
        </w:rPr>
        <w:t xml:space="preserve"> </w:t>
      </w:r>
      <w:r>
        <w:t xml:space="preserve">they should be </w:t>
      </w:r>
      <w:r>
        <w:rPr>
          <w:spacing w:val="-1"/>
        </w:rPr>
        <w:t>direct</w:t>
      </w:r>
      <w:r>
        <w:t xml:space="preserve"> conversions </w:t>
      </w:r>
      <w:r>
        <w:rPr>
          <w:spacing w:val="-1"/>
        </w:rPr>
        <w:t>from</w:t>
      </w:r>
      <w:r>
        <w:t xml:space="preserve"> the </w:t>
      </w:r>
      <w:r>
        <w:rPr>
          <w:spacing w:val="-1"/>
        </w:rPr>
        <w:t>word-processing</w:t>
      </w:r>
      <w:r>
        <w:rPr>
          <w:spacing w:val="39"/>
        </w:rPr>
        <w:t xml:space="preserve"> </w:t>
      </w:r>
      <w:r>
        <w:rPr>
          <w:spacing w:val="-1"/>
        </w:rPr>
        <w:t>program,</w:t>
      </w:r>
      <w:r>
        <w:rPr>
          <w:spacing w:val="-6"/>
        </w:rPr>
        <w:t xml:space="preserve"> </w:t>
      </w:r>
      <w:r>
        <w:rPr>
          <w:spacing w:val="-1"/>
        </w:rPr>
        <w:t>rather</w:t>
      </w:r>
      <w:r>
        <w:t xml:space="preserve"> than scanned copies in which the </w:t>
      </w:r>
      <w:r>
        <w:rPr>
          <w:spacing w:val="-1"/>
        </w:rPr>
        <w:t>text</w:t>
      </w:r>
      <w:r>
        <w:t xml:space="preserve"> cannot be </w:t>
      </w:r>
      <w:r>
        <w:rPr>
          <w:spacing w:val="-1"/>
        </w:rPr>
        <w:t>searched).</w:t>
      </w:r>
    </w:p>
    <w:p w:rsidR="00D96B91" w:rsidRDefault="00C2656B">
      <w:pPr>
        <w:pStyle w:val="BodyText"/>
        <w:spacing w:before="170" w:line="260" w:lineRule="exact"/>
        <w:ind w:right="1548"/>
        <w:rPr>
          <w:rFonts w:cs="Avenir Next"/>
        </w:rPr>
      </w:pPr>
      <w:r>
        <w:rPr>
          <w:spacing w:val="-1"/>
        </w:rPr>
        <w:t>Alternatively,</w:t>
      </w:r>
      <w:r>
        <w:rPr>
          <w:spacing w:val="-6"/>
        </w:rPr>
        <w:t xml:space="preserve"> </w:t>
      </w:r>
      <w:r>
        <w:t xml:space="preserve">submissions may be </w:t>
      </w:r>
      <w:r>
        <w:rPr>
          <w:spacing w:val="-1"/>
        </w:rPr>
        <w:t>faxed</w:t>
      </w:r>
      <w:r>
        <w:t xml:space="preserve"> to the </w:t>
      </w:r>
      <w:r>
        <w:rPr>
          <w:spacing w:val="-3"/>
        </w:rPr>
        <w:t>Panel</w:t>
      </w:r>
      <w:r>
        <w:t xml:space="preserve"> on </w:t>
      </w:r>
      <w:r>
        <w:rPr>
          <w:b/>
        </w:rPr>
        <w:t>(02) 6207 0267</w:t>
      </w:r>
      <w:r>
        <w:t>,</w:t>
      </w:r>
      <w:r>
        <w:rPr>
          <w:spacing w:val="-6"/>
        </w:rPr>
        <w:t xml:space="preserve"> </w:t>
      </w:r>
      <w:r>
        <w:t>or posted to the following</w:t>
      </w:r>
      <w:r>
        <w:rPr>
          <w:spacing w:val="30"/>
        </w:rPr>
        <w:t xml:space="preserve"> </w:t>
      </w:r>
      <w:r>
        <w:rPr>
          <w:spacing w:val="-1"/>
        </w:rPr>
        <w:t>address:</w:t>
      </w:r>
    </w:p>
    <w:p w:rsidR="00D96B91" w:rsidRDefault="00C2656B">
      <w:pPr>
        <w:spacing w:before="170" w:line="260" w:lineRule="exact"/>
        <w:ind w:left="5300" w:right="5298"/>
        <w:jc w:val="center"/>
        <w:rPr>
          <w:rFonts w:ascii="Avenir Next" w:eastAsia="Avenir Next" w:hAnsi="Avenir Next" w:cs="Avenir Next"/>
          <w:sz w:val="20"/>
          <w:szCs w:val="20"/>
        </w:rPr>
      </w:pPr>
      <w:r>
        <w:rPr>
          <w:rFonts w:ascii="Avenir Next"/>
          <w:b/>
          <w:sz w:val="20"/>
        </w:rPr>
        <w:t xml:space="preserve">Industry </w:t>
      </w:r>
      <w:r>
        <w:rPr>
          <w:rFonts w:ascii="Avenir Next"/>
          <w:b/>
          <w:spacing w:val="-3"/>
          <w:sz w:val="20"/>
        </w:rPr>
        <w:t>Panel</w:t>
      </w:r>
      <w:r>
        <w:rPr>
          <w:rFonts w:ascii="Avenir Next"/>
          <w:b/>
          <w:spacing w:val="23"/>
          <w:sz w:val="20"/>
        </w:rPr>
        <w:t xml:space="preserve"> </w:t>
      </w:r>
      <w:r>
        <w:rPr>
          <w:rFonts w:ascii="Avenir Next"/>
          <w:b/>
          <w:sz w:val="20"/>
        </w:rPr>
        <w:t xml:space="preserve">GPO </w:t>
      </w:r>
      <w:r>
        <w:rPr>
          <w:rFonts w:ascii="Avenir Next"/>
          <w:b/>
          <w:spacing w:val="-1"/>
          <w:sz w:val="20"/>
        </w:rPr>
        <w:t>Box</w:t>
      </w:r>
      <w:r>
        <w:rPr>
          <w:rFonts w:ascii="Avenir Next"/>
          <w:b/>
          <w:sz w:val="20"/>
        </w:rPr>
        <w:t xml:space="preserve"> 158</w:t>
      </w:r>
    </w:p>
    <w:p w:rsidR="00D96B91" w:rsidRDefault="00C2656B">
      <w:pPr>
        <w:spacing w:before="8"/>
        <w:ind w:left="1476" w:right="1476"/>
        <w:jc w:val="center"/>
        <w:rPr>
          <w:rFonts w:ascii="Avenir Next" w:eastAsia="Avenir Next" w:hAnsi="Avenir Next" w:cs="Avenir Next"/>
          <w:sz w:val="20"/>
          <w:szCs w:val="20"/>
        </w:rPr>
      </w:pPr>
      <w:r>
        <w:rPr>
          <w:rFonts w:ascii="Avenir Next"/>
          <w:b/>
          <w:spacing w:val="-1"/>
          <w:sz w:val="20"/>
        </w:rPr>
        <w:t>Canberra</w:t>
      </w:r>
      <w:r>
        <w:rPr>
          <w:rFonts w:ascii="Avenir Next"/>
          <w:b/>
          <w:spacing w:val="-4"/>
          <w:sz w:val="20"/>
        </w:rPr>
        <w:t xml:space="preserve"> </w:t>
      </w:r>
      <w:r>
        <w:rPr>
          <w:rFonts w:ascii="Avenir Next"/>
          <w:b/>
          <w:spacing w:val="-2"/>
          <w:sz w:val="20"/>
        </w:rPr>
        <w:t>ACT</w:t>
      </w:r>
      <w:r>
        <w:rPr>
          <w:rFonts w:ascii="Avenir Next"/>
          <w:b/>
          <w:spacing w:val="-5"/>
          <w:sz w:val="20"/>
        </w:rPr>
        <w:t xml:space="preserve"> </w:t>
      </w:r>
      <w:r>
        <w:rPr>
          <w:rFonts w:ascii="Avenir Next"/>
          <w:b/>
          <w:sz w:val="20"/>
        </w:rPr>
        <w:t>2601</w:t>
      </w:r>
    </w:p>
    <w:p w:rsidR="00D96B91" w:rsidRDefault="00C2656B">
      <w:pPr>
        <w:spacing w:before="157"/>
        <w:ind w:left="1247"/>
        <w:rPr>
          <w:rFonts w:ascii="Avenir Next" w:eastAsia="Avenir Next" w:hAnsi="Avenir Next" w:cs="Avenir Next"/>
          <w:sz w:val="20"/>
          <w:szCs w:val="20"/>
        </w:rPr>
      </w:pPr>
      <w:r>
        <w:rPr>
          <w:rFonts w:ascii="Avenir Next"/>
          <w:sz w:val="20"/>
        </w:rPr>
        <w:t xml:space="preserve">Submissions on this </w:t>
      </w:r>
      <w:r>
        <w:rPr>
          <w:rFonts w:ascii="Avenir Next"/>
          <w:spacing w:val="-2"/>
          <w:sz w:val="20"/>
        </w:rPr>
        <w:t>draft</w:t>
      </w:r>
      <w:r>
        <w:rPr>
          <w:rFonts w:ascii="Avenir Next"/>
          <w:sz w:val="20"/>
        </w:rPr>
        <w:t xml:space="preserve"> </w:t>
      </w:r>
      <w:r>
        <w:rPr>
          <w:rFonts w:ascii="Avenir Next"/>
          <w:spacing w:val="-2"/>
          <w:sz w:val="20"/>
        </w:rPr>
        <w:t>report</w:t>
      </w:r>
      <w:r>
        <w:rPr>
          <w:rFonts w:ascii="Avenir Next"/>
          <w:sz w:val="20"/>
        </w:rPr>
        <w:t xml:space="preserve"> must be </w:t>
      </w:r>
      <w:r>
        <w:rPr>
          <w:rFonts w:ascii="Avenir Next"/>
          <w:spacing w:val="-1"/>
          <w:sz w:val="20"/>
        </w:rPr>
        <w:t>received</w:t>
      </w:r>
      <w:r>
        <w:rPr>
          <w:rFonts w:ascii="Avenir Next"/>
          <w:sz w:val="20"/>
        </w:rPr>
        <w:t xml:space="preserve"> by the </w:t>
      </w:r>
      <w:r>
        <w:rPr>
          <w:rFonts w:ascii="Avenir Next"/>
          <w:spacing w:val="-3"/>
          <w:sz w:val="20"/>
        </w:rPr>
        <w:t>Panel</w:t>
      </w:r>
      <w:r>
        <w:rPr>
          <w:rFonts w:ascii="Avenir Next"/>
          <w:sz w:val="20"/>
        </w:rPr>
        <w:t xml:space="preserve"> no </w:t>
      </w:r>
      <w:r>
        <w:rPr>
          <w:rFonts w:ascii="Avenir Next"/>
          <w:spacing w:val="-1"/>
          <w:sz w:val="20"/>
        </w:rPr>
        <w:t>later</w:t>
      </w:r>
      <w:r>
        <w:rPr>
          <w:rFonts w:ascii="Avenir Next"/>
          <w:sz w:val="20"/>
        </w:rPr>
        <w:t xml:space="preserve"> than </w:t>
      </w:r>
      <w:r>
        <w:rPr>
          <w:rFonts w:ascii="Avenir Next"/>
          <w:b/>
          <w:spacing w:val="-3"/>
          <w:sz w:val="20"/>
        </w:rPr>
        <w:t>Friday,</w:t>
      </w:r>
      <w:r>
        <w:rPr>
          <w:rFonts w:ascii="Avenir Next"/>
          <w:b/>
          <w:spacing w:val="-6"/>
          <w:sz w:val="20"/>
        </w:rPr>
        <w:t xml:space="preserve"> </w:t>
      </w:r>
      <w:r>
        <w:rPr>
          <w:rFonts w:ascii="Avenir Next"/>
          <w:b/>
          <w:sz w:val="20"/>
        </w:rPr>
        <w:t>23</w:t>
      </w:r>
      <w:r>
        <w:rPr>
          <w:rFonts w:ascii="Avenir Next"/>
          <w:b/>
          <w:spacing w:val="-3"/>
          <w:sz w:val="20"/>
        </w:rPr>
        <w:t xml:space="preserve"> </w:t>
      </w:r>
      <w:r>
        <w:rPr>
          <w:rFonts w:ascii="Avenir Next"/>
          <w:b/>
          <w:spacing w:val="-1"/>
          <w:sz w:val="20"/>
        </w:rPr>
        <w:t>January</w:t>
      </w:r>
      <w:r>
        <w:rPr>
          <w:rFonts w:ascii="Avenir Next"/>
          <w:b/>
          <w:sz w:val="20"/>
        </w:rPr>
        <w:t xml:space="preserve"> 2015</w:t>
      </w:r>
      <w:r>
        <w:rPr>
          <w:rFonts w:ascii="Avenir Next"/>
          <w:sz w:val="20"/>
        </w:rPr>
        <w:t>.</w:t>
      </w:r>
    </w:p>
    <w:p w:rsidR="00D96B91" w:rsidRDefault="00C2656B">
      <w:pPr>
        <w:pStyle w:val="BodyText"/>
        <w:spacing w:before="149" w:line="260" w:lineRule="exact"/>
        <w:ind w:right="1395"/>
      </w:pPr>
      <w:r>
        <w:rPr>
          <w:rFonts w:cs="Avenir Next"/>
          <w:spacing w:val="-2"/>
        </w:rPr>
        <w:t>Public</w:t>
      </w:r>
      <w:r>
        <w:rPr>
          <w:rFonts w:cs="Avenir Next"/>
        </w:rPr>
        <w:t xml:space="preserve"> </w:t>
      </w:r>
      <w:r>
        <w:rPr>
          <w:rFonts w:cs="Avenir Next"/>
          <w:spacing w:val="-1"/>
        </w:rPr>
        <w:t>consultation</w:t>
      </w:r>
      <w:r>
        <w:rPr>
          <w:rFonts w:cs="Avenir Next"/>
        </w:rPr>
        <w:t xml:space="preserve"> is a crucial element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1"/>
        </w:rPr>
        <w:t>review</w:t>
      </w:r>
      <w:r>
        <w:rPr>
          <w:rFonts w:cs="Avenir Next"/>
        </w:rPr>
        <w:t xml:space="preserve"> </w:t>
      </w:r>
      <w:r>
        <w:rPr>
          <w:rFonts w:cs="Avenir Next"/>
          <w:spacing w:val="-1"/>
        </w:rPr>
        <w:t>process,</w:t>
      </w:r>
      <w:r>
        <w:rPr>
          <w:rFonts w:cs="Avenir Next"/>
          <w:spacing w:val="-6"/>
        </w:rPr>
        <w:t xml:space="preserve"> </w:t>
      </w:r>
      <w:r>
        <w:rPr>
          <w:rFonts w:cs="Avenir Next"/>
        </w:rPr>
        <w:t xml:space="preserve">and all submissions it </w:t>
      </w:r>
      <w:r>
        <w:rPr>
          <w:rFonts w:cs="Avenir Next"/>
          <w:spacing w:val="-1"/>
        </w:rPr>
        <w:t>receives</w:t>
      </w:r>
      <w:r>
        <w:rPr>
          <w:rFonts w:cs="Avenir Next"/>
          <w:spacing w:val="55"/>
        </w:rPr>
        <w:t xml:space="preserve"> </w:t>
      </w:r>
      <w:r>
        <w:rPr>
          <w:rFonts w:cs="Avenir Next"/>
        </w:rPr>
        <w:t xml:space="preserve">will be </w:t>
      </w:r>
      <w:r>
        <w:rPr>
          <w:rFonts w:cs="Avenir Next"/>
          <w:spacing w:val="-2"/>
        </w:rPr>
        <w:t>treated</w:t>
      </w:r>
      <w:r>
        <w:rPr>
          <w:rFonts w:cs="Avenir Next"/>
        </w:rPr>
        <w:t xml:space="preserve"> as public and be published on the </w:t>
      </w:r>
      <w:r>
        <w:rPr>
          <w:rFonts w:cs="Avenir Next"/>
          <w:spacing w:val="-4"/>
        </w:rPr>
        <w:t>Panel’s</w:t>
      </w:r>
      <w:r>
        <w:rPr>
          <w:rFonts w:cs="Avenir Next"/>
        </w:rPr>
        <w:t xml:space="preserve"> website unless the author of</w:t>
      </w:r>
      <w:r>
        <w:rPr>
          <w:rFonts w:cs="Avenir Next"/>
          <w:spacing w:val="4"/>
        </w:rPr>
        <w:t xml:space="preserve"> </w:t>
      </w:r>
      <w:r>
        <w:rPr>
          <w:rFonts w:cs="Avenir Next"/>
        </w:rPr>
        <w:t>the submission</w:t>
      </w:r>
      <w:r>
        <w:rPr>
          <w:rFonts w:cs="Avenir Next"/>
          <w:spacing w:val="23"/>
        </w:rPr>
        <w:t xml:space="preserve"> </w:t>
      </w:r>
      <w:r>
        <w:rPr>
          <w:spacing w:val="-1"/>
        </w:rPr>
        <w:t>indicates clearly that</w:t>
      </w:r>
      <w:r>
        <w:t xml:space="preserve"> all</w:t>
      </w:r>
      <w:r>
        <w:rPr>
          <w:spacing w:val="-1"/>
        </w:rPr>
        <w:t xml:space="preserve"> </w:t>
      </w:r>
      <w:r>
        <w:t>or</w:t>
      </w:r>
      <w:r>
        <w:rPr>
          <w:spacing w:val="-1"/>
        </w:rPr>
        <w:t xml:space="preserve"> part</w:t>
      </w:r>
      <w:r>
        <w:t xml:space="preserve"> of</w:t>
      </w:r>
      <w:r>
        <w:rPr>
          <w:spacing w:val="3"/>
        </w:rPr>
        <w:t xml:space="preserve"> </w:t>
      </w:r>
      <w:r>
        <w:t>the</w:t>
      </w:r>
      <w:r>
        <w:rPr>
          <w:spacing w:val="-1"/>
        </w:rPr>
        <w:t xml:space="preserve"> </w:t>
      </w:r>
      <w:r>
        <w:t>submission is</w:t>
      </w:r>
      <w:r>
        <w:rPr>
          <w:spacing w:val="-1"/>
        </w:rPr>
        <w:t xml:space="preserve"> </w:t>
      </w:r>
      <w:r>
        <w:t>confidential and</w:t>
      </w:r>
      <w:r>
        <w:rPr>
          <w:spacing w:val="-1"/>
        </w:rPr>
        <w:t xml:space="preserve"> </w:t>
      </w:r>
      <w:r>
        <w:t>not</w:t>
      </w:r>
      <w:r>
        <w:rPr>
          <w:spacing w:val="-1"/>
        </w:rPr>
        <w:t xml:space="preserve"> </w:t>
      </w:r>
      <w:r>
        <w:t>to be</w:t>
      </w:r>
      <w:r>
        <w:rPr>
          <w:spacing w:val="-1"/>
        </w:rPr>
        <w:t xml:space="preserve"> </w:t>
      </w:r>
      <w:r>
        <w:t>made</w:t>
      </w:r>
      <w:r>
        <w:rPr>
          <w:spacing w:val="-1"/>
        </w:rPr>
        <w:t xml:space="preserve"> </w:t>
      </w:r>
      <w:r>
        <w:t xml:space="preserve">available </w:t>
      </w:r>
      <w:r>
        <w:rPr>
          <w:spacing w:val="-1"/>
        </w:rPr>
        <w:t>publicly.</w:t>
      </w:r>
    </w:p>
    <w:p w:rsidR="00D96B91" w:rsidRDefault="00C2656B">
      <w:pPr>
        <w:pStyle w:val="BodyText"/>
        <w:spacing w:before="170" w:line="260" w:lineRule="exact"/>
        <w:ind w:right="1283"/>
      </w:pPr>
      <w:r>
        <w:rPr>
          <w:spacing w:val="-1"/>
        </w:rPr>
        <w:t xml:space="preserve">Where </w:t>
      </w:r>
      <w:r>
        <w:t>confidential</w:t>
      </w:r>
      <w:r>
        <w:rPr>
          <w:spacing w:val="-1"/>
        </w:rPr>
        <w:t xml:space="preserve"> material </w:t>
      </w:r>
      <w:r>
        <w:t>is claimed,</w:t>
      </w:r>
      <w:r>
        <w:rPr>
          <w:spacing w:val="-7"/>
        </w:rPr>
        <w:t xml:space="preserve"> </w:t>
      </w:r>
      <w:r>
        <w:t xml:space="preserve">the </w:t>
      </w:r>
      <w:r>
        <w:rPr>
          <w:spacing w:val="-3"/>
        </w:rPr>
        <w:t>Panel</w:t>
      </w:r>
      <w:r>
        <w:rPr>
          <w:spacing w:val="-1"/>
        </w:rPr>
        <w:t xml:space="preserve"> prefers that</w:t>
      </w:r>
      <w:r>
        <w:t xml:space="preserve"> this</w:t>
      </w:r>
      <w:r>
        <w:rPr>
          <w:spacing w:val="-1"/>
        </w:rPr>
        <w:t xml:space="preserve"> </w:t>
      </w:r>
      <w:r>
        <w:t>be</w:t>
      </w:r>
      <w:r>
        <w:rPr>
          <w:spacing w:val="-1"/>
        </w:rPr>
        <w:t xml:space="preserve"> </w:t>
      </w:r>
      <w:r>
        <w:t>under</w:t>
      </w:r>
      <w:r>
        <w:rPr>
          <w:spacing w:val="-1"/>
        </w:rPr>
        <w:t xml:space="preserve"> </w:t>
      </w:r>
      <w:r>
        <w:t xml:space="preserve">a </w:t>
      </w:r>
      <w:r>
        <w:rPr>
          <w:spacing w:val="-1"/>
        </w:rPr>
        <w:t xml:space="preserve">separate </w:t>
      </w:r>
      <w:r>
        <w:t>cover</w:t>
      </w:r>
      <w:r>
        <w:rPr>
          <w:spacing w:val="-1"/>
        </w:rPr>
        <w:t xml:space="preserve"> </w:t>
      </w:r>
      <w:r>
        <w:t xml:space="preserve">and </w:t>
      </w:r>
      <w:r>
        <w:rPr>
          <w:spacing w:val="-1"/>
        </w:rPr>
        <w:t>clearly</w:t>
      </w:r>
      <w:r>
        <w:rPr>
          <w:spacing w:val="47"/>
        </w:rPr>
        <w:t xml:space="preserve"> </w:t>
      </w:r>
      <w:r>
        <w:rPr>
          <w:spacing w:val="-1"/>
        </w:rPr>
        <w:t xml:space="preserve">marked </w:t>
      </w:r>
      <w:r>
        <w:t>‘In</w:t>
      </w:r>
      <w:r>
        <w:rPr>
          <w:spacing w:val="-1"/>
        </w:rPr>
        <w:t xml:space="preserve"> </w:t>
      </w:r>
      <w:r>
        <w:rPr>
          <w:spacing w:val="-2"/>
        </w:rPr>
        <w:t>Confidence’.</w:t>
      </w:r>
      <w:r>
        <w:rPr>
          <w:spacing w:val="-11"/>
        </w:rPr>
        <w:t xml:space="preserve"> </w:t>
      </w:r>
      <w:r>
        <w:rPr>
          <w:spacing w:val="-2"/>
        </w:rPr>
        <w:t>The</w:t>
      </w:r>
      <w:r>
        <w:rPr>
          <w:spacing w:val="-1"/>
        </w:rPr>
        <w:t xml:space="preserve"> </w:t>
      </w:r>
      <w:r>
        <w:rPr>
          <w:spacing w:val="-3"/>
        </w:rPr>
        <w:t>Panel</w:t>
      </w:r>
      <w:r>
        <w:rPr>
          <w:spacing w:val="-1"/>
        </w:rPr>
        <w:t xml:space="preserve"> </w:t>
      </w:r>
      <w:r>
        <w:t>will assess</w:t>
      </w:r>
      <w:r>
        <w:rPr>
          <w:spacing w:val="-1"/>
        </w:rPr>
        <w:t xml:space="preserve"> </w:t>
      </w:r>
      <w:r>
        <w:t>the</w:t>
      </w:r>
      <w:r>
        <w:rPr>
          <w:spacing w:val="-1"/>
        </w:rPr>
        <w:t xml:space="preserve"> author’s</w:t>
      </w:r>
      <w:r>
        <w:t xml:space="preserve"> claim</w:t>
      </w:r>
      <w:r>
        <w:rPr>
          <w:spacing w:val="-1"/>
        </w:rPr>
        <w:t xml:space="preserve"> </w:t>
      </w:r>
      <w:r>
        <w:t>and</w:t>
      </w:r>
      <w:r>
        <w:rPr>
          <w:spacing w:val="-1"/>
        </w:rPr>
        <w:t xml:space="preserve"> </w:t>
      </w:r>
      <w:r>
        <w:t xml:space="preserve">discuss </w:t>
      </w:r>
      <w:r>
        <w:rPr>
          <w:spacing w:val="-1"/>
        </w:rPr>
        <w:t xml:space="preserve">appropriate </w:t>
      </w:r>
      <w:r>
        <w:t>steps to</w:t>
      </w:r>
      <w:r>
        <w:rPr>
          <w:spacing w:val="-1"/>
        </w:rPr>
        <w:t xml:space="preserve"> ensure</w:t>
      </w:r>
      <w:r>
        <w:rPr>
          <w:spacing w:val="39"/>
        </w:rPr>
        <w:t xml:space="preserve"> </w:t>
      </w:r>
      <w:r>
        <w:rPr>
          <w:spacing w:val="-1"/>
        </w:rPr>
        <w:t xml:space="preserve">that </w:t>
      </w:r>
      <w:r>
        <w:t>confidential</w:t>
      </w:r>
      <w:r>
        <w:rPr>
          <w:spacing w:val="-1"/>
        </w:rPr>
        <w:t xml:space="preserve"> material </w:t>
      </w:r>
      <w:r>
        <w:t>is</w:t>
      </w:r>
      <w:r>
        <w:rPr>
          <w:spacing w:val="-1"/>
        </w:rPr>
        <w:t xml:space="preserve"> protected </w:t>
      </w:r>
      <w:r>
        <w:t>while</w:t>
      </w:r>
      <w:r>
        <w:rPr>
          <w:spacing w:val="-1"/>
        </w:rPr>
        <w:t xml:space="preserve"> </w:t>
      </w:r>
      <w:r>
        <w:t>maintaining</w:t>
      </w:r>
      <w:r>
        <w:rPr>
          <w:spacing w:val="-1"/>
        </w:rPr>
        <w:t xml:space="preserve"> </w:t>
      </w:r>
      <w:r>
        <w:t>the</w:t>
      </w:r>
      <w:r>
        <w:rPr>
          <w:spacing w:val="-1"/>
        </w:rPr>
        <w:t xml:space="preserve"> </w:t>
      </w:r>
      <w:r>
        <w:t>principles</w:t>
      </w:r>
      <w:r>
        <w:rPr>
          <w:spacing w:val="-1"/>
        </w:rPr>
        <w:t xml:space="preserve"> </w:t>
      </w:r>
      <w:r>
        <w:t>of</w:t>
      </w:r>
      <w:r>
        <w:rPr>
          <w:spacing w:val="3"/>
        </w:rPr>
        <w:t xml:space="preserve"> </w:t>
      </w:r>
      <w:r>
        <w:t>openness,</w:t>
      </w:r>
      <w:r>
        <w:rPr>
          <w:spacing w:val="-7"/>
        </w:rPr>
        <w:t xml:space="preserve"> </w:t>
      </w:r>
      <w:r>
        <w:rPr>
          <w:spacing w:val="-2"/>
        </w:rPr>
        <w:t>transparency,</w:t>
      </w:r>
      <w:r>
        <w:rPr>
          <w:spacing w:val="49"/>
        </w:rPr>
        <w:t xml:space="preserve"> </w:t>
      </w:r>
      <w:r>
        <w:t xml:space="preserve">consistency and </w:t>
      </w:r>
      <w:r>
        <w:rPr>
          <w:spacing w:val="-1"/>
        </w:rPr>
        <w:t>accountability.</w:t>
      </w:r>
    </w:p>
    <w:p w:rsidR="00D96B91" w:rsidRDefault="00C2656B">
      <w:pPr>
        <w:pStyle w:val="BodyText"/>
        <w:spacing w:before="170" w:line="260" w:lineRule="exact"/>
        <w:ind w:right="1283"/>
      </w:pPr>
      <w:r>
        <w:t>If</w:t>
      </w:r>
      <w:r>
        <w:rPr>
          <w:spacing w:val="4"/>
        </w:rPr>
        <w:t xml:space="preserve"> </w:t>
      </w:r>
      <w:r>
        <w:t xml:space="preserve">the </w:t>
      </w:r>
      <w:r>
        <w:rPr>
          <w:spacing w:val="-3"/>
        </w:rPr>
        <w:t>Panel</w:t>
      </w:r>
      <w:r>
        <w:t xml:space="preserve"> considers,</w:t>
      </w:r>
      <w:r>
        <w:rPr>
          <w:spacing w:val="-7"/>
        </w:rPr>
        <w:t xml:space="preserve"> </w:t>
      </w:r>
      <w:r>
        <w:t>in its sole judgement,</w:t>
      </w:r>
      <w:r>
        <w:rPr>
          <w:spacing w:val="-7"/>
        </w:rPr>
        <w:t xml:space="preserve"> </w:t>
      </w:r>
      <w:r>
        <w:rPr>
          <w:spacing w:val="-1"/>
        </w:rPr>
        <w:t>that</w:t>
      </w:r>
      <w:r>
        <w:t xml:space="preserve"> the content of</w:t>
      </w:r>
      <w:r>
        <w:rPr>
          <w:spacing w:val="4"/>
        </w:rPr>
        <w:t xml:space="preserve"> </w:t>
      </w:r>
      <w:r>
        <w:t xml:space="preserve">a submission is </w:t>
      </w:r>
      <w:r>
        <w:rPr>
          <w:spacing w:val="-1"/>
        </w:rPr>
        <w:t>inappropriate</w:t>
      </w:r>
      <w:r>
        <w:t xml:space="preserve"> for any</w:t>
      </w:r>
      <w:r>
        <w:rPr>
          <w:spacing w:val="23"/>
        </w:rPr>
        <w:t xml:space="preserve"> </w:t>
      </w:r>
      <w:r>
        <w:rPr>
          <w:spacing w:val="-1"/>
        </w:rPr>
        <w:t>reason</w:t>
      </w:r>
      <w:r>
        <w:t xml:space="preserve"> (such as being </w:t>
      </w:r>
      <w:r>
        <w:rPr>
          <w:spacing w:val="-1"/>
        </w:rPr>
        <w:t>defamatory),</w:t>
      </w:r>
      <w:r>
        <w:rPr>
          <w:spacing w:val="-6"/>
        </w:rPr>
        <w:t xml:space="preserve"> </w:t>
      </w:r>
      <w:r>
        <w:t xml:space="preserve">it may choose not to publish </w:t>
      </w:r>
      <w:r>
        <w:rPr>
          <w:spacing w:val="-1"/>
        </w:rPr>
        <w:t>that</w:t>
      </w:r>
      <w:r>
        <w:t xml:space="preserve"> submission in </w:t>
      </w:r>
      <w:r>
        <w:rPr>
          <w:spacing w:val="-1"/>
        </w:rPr>
        <w:t>part</w:t>
      </w:r>
      <w:r>
        <w:t xml:space="preserve"> or full.</w:t>
      </w:r>
    </w:p>
    <w:p w:rsidR="00D96B91" w:rsidRDefault="00C2656B">
      <w:pPr>
        <w:pStyle w:val="BodyText"/>
        <w:spacing w:before="170" w:line="260" w:lineRule="exact"/>
        <w:ind w:right="1283"/>
      </w:pPr>
      <w:r>
        <w:rPr>
          <w:spacing w:val="-1"/>
        </w:rPr>
        <w:t>Every</w:t>
      </w:r>
      <w:r>
        <w:t xml:space="preserve"> submission is welcome,</w:t>
      </w:r>
      <w:r>
        <w:rPr>
          <w:spacing w:val="-7"/>
        </w:rPr>
        <w:t xml:space="preserve"> </w:t>
      </w:r>
      <w:r>
        <w:t>but multiple,</w:t>
      </w:r>
      <w:r>
        <w:rPr>
          <w:spacing w:val="-6"/>
        </w:rPr>
        <w:t xml:space="preserve"> </w:t>
      </w:r>
      <w:r>
        <w:t xml:space="preserve">identical submissions do not carry any </w:t>
      </w:r>
      <w:r>
        <w:rPr>
          <w:spacing w:val="-1"/>
        </w:rPr>
        <w:t>more</w:t>
      </w:r>
      <w:r>
        <w:t xml:space="preserve"> weight than a</w:t>
      </w:r>
      <w:r>
        <w:rPr>
          <w:spacing w:val="23"/>
        </w:rPr>
        <w:t xml:space="preserve"> </w:t>
      </w:r>
      <w:r>
        <w:t>single submission.</w:t>
      </w:r>
    </w:p>
    <w:p w:rsidR="00D96B91" w:rsidRDefault="00C2656B">
      <w:pPr>
        <w:pStyle w:val="BodyText"/>
        <w:spacing w:before="178"/>
      </w:pPr>
      <w:r>
        <w:rPr>
          <w:spacing w:val="-2"/>
        </w:rPr>
        <w:t>The</w:t>
      </w:r>
      <w:r>
        <w:t xml:space="preserve"> </w:t>
      </w:r>
      <w:r>
        <w:rPr>
          <w:spacing w:val="-4"/>
        </w:rPr>
        <w:t>Panel’s</w:t>
      </w:r>
      <w:r>
        <w:t xml:space="preserve"> </w:t>
      </w:r>
      <w:r>
        <w:rPr>
          <w:spacing w:val="-1"/>
        </w:rPr>
        <w:t>Secretariat</w:t>
      </w:r>
      <w:r>
        <w:t xml:space="preserve"> may be contacted </w:t>
      </w:r>
      <w:r>
        <w:rPr>
          <w:spacing w:val="-1"/>
        </w:rPr>
        <w:t>at</w:t>
      </w:r>
      <w:r>
        <w:t xml:space="preserve"> the above </w:t>
      </w:r>
      <w:r>
        <w:rPr>
          <w:spacing w:val="-1"/>
        </w:rPr>
        <w:t>addresses,</w:t>
      </w:r>
      <w:r>
        <w:rPr>
          <w:spacing w:val="-6"/>
        </w:rPr>
        <w:t xml:space="preserve"> </w:t>
      </w:r>
      <w:r>
        <w:t>or by telephone on (02) 6207 6128.</w:t>
      </w:r>
    </w:p>
    <w:p w:rsidR="00D96B91" w:rsidRDefault="00C2656B">
      <w:pPr>
        <w:pStyle w:val="BodyText"/>
        <w:spacing w:before="149" w:line="260" w:lineRule="exact"/>
        <w:ind w:right="1283"/>
        <w:rPr>
          <w:rFonts w:cs="Avenir Next"/>
        </w:rPr>
      </w:pPr>
      <w:r>
        <w:rPr>
          <w:rFonts w:cs="Avenir Next"/>
        </w:rPr>
        <w:t xml:space="preserve">As soon as possible </w:t>
      </w:r>
      <w:r>
        <w:rPr>
          <w:rFonts w:cs="Avenir Next"/>
          <w:spacing w:val="-1"/>
        </w:rPr>
        <w:t>after</w:t>
      </w:r>
      <w:r>
        <w:rPr>
          <w:rFonts w:cs="Avenir Next"/>
        </w:rPr>
        <w:t xml:space="preserve"> the closing </w:t>
      </w:r>
      <w:r>
        <w:rPr>
          <w:rFonts w:cs="Avenir Next"/>
          <w:spacing w:val="-1"/>
        </w:rPr>
        <w:t>date,</w:t>
      </w:r>
      <w:r>
        <w:rPr>
          <w:rFonts w:cs="Avenir Next"/>
          <w:spacing w:val="-6"/>
        </w:rPr>
        <w:t xml:space="preserve"> </w:t>
      </w:r>
      <w:r>
        <w:rPr>
          <w:rFonts w:cs="Avenir Next"/>
        </w:rPr>
        <w:t xml:space="preserve">submissions will be uploaded to the </w:t>
      </w:r>
      <w:r>
        <w:rPr>
          <w:rFonts w:cs="Avenir Next"/>
          <w:spacing w:val="-4"/>
        </w:rPr>
        <w:t>Panel’s</w:t>
      </w:r>
      <w:r>
        <w:rPr>
          <w:rFonts w:cs="Avenir Next"/>
        </w:rPr>
        <w:t xml:space="preserve"> website,</w:t>
      </w:r>
      <w:r>
        <w:rPr>
          <w:rFonts w:cs="Avenir Next"/>
          <w:spacing w:val="-6"/>
        </w:rPr>
        <w:t xml:space="preserve"> </w:t>
      </w:r>
      <w:r>
        <w:rPr>
          <w:rFonts w:cs="Avenir Next"/>
        </w:rPr>
        <w:t>which</w:t>
      </w:r>
      <w:r>
        <w:rPr>
          <w:rFonts w:cs="Avenir Next"/>
          <w:spacing w:val="30"/>
        </w:rPr>
        <w:t xml:space="preserve"> </w:t>
      </w:r>
      <w:r>
        <w:rPr>
          <w:rFonts w:cs="Avenir Next"/>
        </w:rPr>
        <w:t xml:space="preserve">can be found </w:t>
      </w:r>
      <w:r>
        <w:rPr>
          <w:rFonts w:cs="Avenir Next"/>
          <w:spacing w:val="-1"/>
        </w:rPr>
        <w:t>at:</w:t>
      </w:r>
    </w:p>
    <w:p w:rsidR="00D96B91" w:rsidRDefault="00D96B91">
      <w:pPr>
        <w:pStyle w:val="BodyText"/>
        <w:spacing w:before="178"/>
        <w:ind w:left="1476" w:right="1476"/>
        <w:jc w:val="center"/>
      </w:pPr>
      <w:hyperlink r:id="rId17">
        <w:r w:rsidR="00C2656B">
          <w:rPr>
            <w:color w:val="0778BE"/>
            <w:spacing w:val="-1"/>
          </w:rPr>
          <w:t>http://apps.treasury.act.gov.au/industrypanel</w:t>
        </w:r>
      </w:hyperlink>
    </w:p>
    <w:p w:rsidR="00D96B91" w:rsidRDefault="00D96B91">
      <w:pPr>
        <w:jc w:val="center"/>
        <w:sectPr w:rsidR="00D96B91">
          <w:footerReference w:type="even" r:id="rId18"/>
          <w:footerReference w:type="default" r:id="rId19"/>
          <w:pgSz w:w="11910" w:h="16840"/>
          <w:pgMar w:top="1260" w:right="0" w:bottom="1020" w:left="0" w:header="0" w:footer="829" w:gutter="0"/>
          <w:pgNumType w:start="3"/>
          <w:cols w:space="720"/>
        </w:sectPr>
      </w:pPr>
    </w:p>
    <w:p w:rsidR="00D96B91" w:rsidRDefault="00C2656B">
      <w:pPr>
        <w:spacing w:line="516" w:lineRule="exact"/>
        <w:ind w:left="1247"/>
        <w:rPr>
          <w:rFonts w:ascii="Avenir Next Medium" w:eastAsia="Avenir Next Medium" w:hAnsi="Avenir Next Medium" w:cs="Avenir Next Medium"/>
          <w:sz w:val="40"/>
          <w:szCs w:val="40"/>
        </w:rPr>
      </w:pPr>
      <w:r>
        <w:rPr>
          <w:rFonts w:ascii="Avenir Next Medium"/>
          <w:color w:val="0778BE"/>
          <w:sz w:val="40"/>
        </w:rPr>
        <w:t>Name change</w:t>
      </w:r>
    </w:p>
    <w:p w:rsidR="00D96B91" w:rsidRDefault="00C2656B">
      <w:pPr>
        <w:pStyle w:val="BodyText"/>
        <w:spacing w:before="359" w:line="260" w:lineRule="exact"/>
        <w:ind w:right="1256"/>
      </w:pPr>
      <w:r>
        <w:rPr>
          <w:spacing w:val="-2"/>
        </w:rPr>
        <w:t>ACTEW</w:t>
      </w:r>
      <w:r>
        <w:rPr>
          <w:spacing w:val="-3"/>
        </w:rPr>
        <w:t xml:space="preserve"> </w:t>
      </w:r>
      <w:r>
        <w:rPr>
          <w:spacing w:val="-1"/>
        </w:rPr>
        <w:t>Corporation</w:t>
      </w:r>
      <w:r>
        <w:t xml:space="preserve"> Limited (using the business name</w:t>
      </w:r>
      <w:r>
        <w:rPr>
          <w:spacing w:val="-4"/>
        </w:rPr>
        <w:t xml:space="preserve"> </w:t>
      </w:r>
      <w:r>
        <w:rPr>
          <w:spacing w:val="-2"/>
        </w:rPr>
        <w:t>ACTEW</w:t>
      </w:r>
      <w:r>
        <w:rPr>
          <w:spacing w:val="-5"/>
        </w:rPr>
        <w:t xml:space="preserve"> </w:t>
      </w:r>
      <w:r>
        <w:rPr>
          <w:spacing w:val="-2"/>
        </w:rPr>
        <w:t>Water)</w:t>
      </w:r>
      <w:r>
        <w:t xml:space="preserve"> </w:t>
      </w:r>
      <w:r>
        <w:rPr>
          <w:spacing w:val="-1"/>
        </w:rPr>
        <w:t>registered</w:t>
      </w:r>
      <w:r>
        <w:t xml:space="preserve"> its change of</w:t>
      </w:r>
      <w:r>
        <w:rPr>
          <w:spacing w:val="4"/>
        </w:rPr>
        <w:t xml:space="preserve"> </w:t>
      </w:r>
      <w:r>
        <w:t>name to</w:t>
      </w:r>
      <w:r>
        <w:rPr>
          <w:spacing w:val="31"/>
        </w:rPr>
        <w:t xml:space="preserve"> </w:t>
      </w:r>
      <w:r>
        <w:t>Icon</w:t>
      </w:r>
      <w:r>
        <w:rPr>
          <w:spacing w:val="-3"/>
        </w:rPr>
        <w:t xml:space="preserve"> </w:t>
      </w:r>
      <w:r>
        <w:rPr>
          <w:spacing w:val="-2"/>
        </w:rPr>
        <w:t>Water</w:t>
      </w:r>
      <w:r>
        <w:t xml:space="preserve"> Limited (Icon</w:t>
      </w:r>
      <w:r>
        <w:rPr>
          <w:spacing w:val="-3"/>
        </w:rPr>
        <w:t xml:space="preserve"> </w:t>
      </w:r>
      <w:r>
        <w:rPr>
          <w:spacing w:val="-2"/>
        </w:rPr>
        <w:t>Water)</w:t>
      </w:r>
      <w:r>
        <w:t xml:space="preserve"> on 28 October 2014.</w:t>
      </w:r>
    </w:p>
    <w:p w:rsidR="00D96B91" w:rsidRDefault="00C2656B">
      <w:pPr>
        <w:pStyle w:val="BodyText"/>
        <w:spacing w:before="170" w:line="260" w:lineRule="exact"/>
        <w:ind w:right="1256"/>
      </w:pPr>
      <w:r>
        <w:rPr>
          <w:spacing w:val="-3"/>
        </w:rPr>
        <w:t>The</w:t>
      </w:r>
      <w:r>
        <w:rPr>
          <w:spacing w:val="-4"/>
        </w:rPr>
        <w:t xml:space="preserve"> Panel </w:t>
      </w:r>
      <w:r>
        <w:rPr>
          <w:spacing w:val="-2"/>
        </w:rPr>
        <w:t>understands</w:t>
      </w:r>
      <w:r>
        <w:rPr>
          <w:spacing w:val="-4"/>
        </w:rPr>
        <w:t xml:space="preserve"> </w:t>
      </w:r>
      <w:r>
        <w:rPr>
          <w:spacing w:val="-2"/>
        </w:rPr>
        <w:t>that</w:t>
      </w:r>
      <w:r>
        <w:rPr>
          <w:spacing w:val="-4"/>
        </w:rPr>
        <w:t xml:space="preserve"> </w:t>
      </w:r>
      <w:r>
        <w:rPr>
          <w:spacing w:val="-2"/>
        </w:rPr>
        <w:t>the</w:t>
      </w:r>
      <w:r>
        <w:rPr>
          <w:spacing w:val="-4"/>
        </w:rPr>
        <w:t xml:space="preserve"> </w:t>
      </w:r>
      <w:r>
        <w:rPr>
          <w:spacing w:val="-3"/>
        </w:rPr>
        <w:t>brand</w:t>
      </w:r>
      <w:r>
        <w:rPr>
          <w:spacing w:val="-4"/>
        </w:rPr>
        <w:t xml:space="preserve"> </w:t>
      </w:r>
      <w:r>
        <w:rPr>
          <w:spacing w:val="-2"/>
        </w:rPr>
        <w:t>‘Icon</w:t>
      </w:r>
      <w:r>
        <w:rPr>
          <w:spacing w:val="-7"/>
        </w:rPr>
        <w:t xml:space="preserve"> </w:t>
      </w:r>
      <w:r>
        <w:rPr>
          <w:spacing w:val="-3"/>
        </w:rPr>
        <w:t>Water’</w:t>
      </w:r>
      <w:r>
        <w:rPr>
          <w:spacing w:val="-4"/>
        </w:rPr>
        <w:t xml:space="preserve"> </w:t>
      </w:r>
      <w:r>
        <w:rPr>
          <w:spacing w:val="-1"/>
        </w:rPr>
        <w:t>is</w:t>
      </w:r>
      <w:r>
        <w:rPr>
          <w:spacing w:val="-4"/>
        </w:rPr>
        <w:t xml:space="preserve"> </w:t>
      </w:r>
      <w:r>
        <w:rPr>
          <w:spacing w:val="-2"/>
        </w:rPr>
        <w:t>being</w:t>
      </w:r>
      <w:r>
        <w:rPr>
          <w:spacing w:val="-4"/>
        </w:rPr>
        <w:t xml:space="preserve"> </w:t>
      </w:r>
      <w:r>
        <w:rPr>
          <w:spacing w:val="-2"/>
        </w:rPr>
        <w:t>implemented</w:t>
      </w:r>
      <w:r>
        <w:rPr>
          <w:spacing w:val="-4"/>
        </w:rPr>
        <w:t xml:space="preserve"> </w:t>
      </w:r>
      <w:r>
        <w:rPr>
          <w:spacing w:val="-1"/>
        </w:rPr>
        <w:t>in</w:t>
      </w:r>
      <w:r>
        <w:rPr>
          <w:spacing w:val="-4"/>
        </w:rPr>
        <w:t xml:space="preserve"> </w:t>
      </w:r>
      <w:r>
        <w:rPr>
          <w:spacing w:val="-2"/>
        </w:rPr>
        <w:t>stages</w:t>
      </w:r>
      <w:r>
        <w:rPr>
          <w:spacing w:val="-4"/>
        </w:rPr>
        <w:t xml:space="preserve"> </w:t>
      </w:r>
      <w:r>
        <w:rPr>
          <w:spacing w:val="-3"/>
        </w:rPr>
        <w:t>from</w:t>
      </w:r>
      <w:r>
        <w:rPr>
          <w:spacing w:val="-4"/>
        </w:rPr>
        <w:t xml:space="preserve"> </w:t>
      </w:r>
      <w:r>
        <w:rPr>
          <w:spacing w:val="-2"/>
        </w:rPr>
        <w:t>November</w:t>
      </w:r>
      <w:r>
        <w:rPr>
          <w:spacing w:val="-4"/>
        </w:rPr>
        <w:t xml:space="preserve"> </w:t>
      </w:r>
      <w:r>
        <w:rPr>
          <w:spacing w:val="-2"/>
        </w:rPr>
        <w:t>2014,</w:t>
      </w:r>
      <w:r>
        <w:rPr>
          <w:spacing w:val="46"/>
        </w:rPr>
        <w:t xml:space="preserve"> </w:t>
      </w:r>
      <w:r>
        <w:t>with</w:t>
      </w:r>
      <w:r>
        <w:rPr>
          <w:spacing w:val="-1"/>
        </w:rPr>
        <w:t xml:space="preserve"> </w:t>
      </w:r>
      <w:r>
        <w:t xml:space="preserve">the business name </w:t>
      </w:r>
      <w:r>
        <w:rPr>
          <w:spacing w:val="-4"/>
        </w:rPr>
        <w:t>‘ACTEW</w:t>
      </w:r>
      <w:r>
        <w:rPr>
          <w:spacing w:val="-6"/>
        </w:rPr>
        <w:t xml:space="preserve"> </w:t>
      </w:r>
      <w:r>
        <w:rPr>
          <w:spacing w:val="-1"/>
        </w:rPr>
        <w:t>Water’</w:t>
      </w:r>
      <w:r>
        <w:t xml:space="preserve"> continuing to be used</w:t>
      </w:r>
      <w:r>
        <w:rPr>
          <w:spacing w:val="-1"/>
        </w:rPr>
        <w:t xml:space="preserve"> </w:t>
      </w:r>
      <w:r>
        <w:t>into the first half</w:t>
      </w:r>
      <w:r>
        <w:rPr>
          <w:spacing w:val="3"/>
        </w:rPr>
        <w:t xml:space="preserve"> </w:t>
      </w:r>
      <w:r>
        <w:t>of</w:t>
      </w:r>
      <w:r>
        <w:rPr>
          <w:spacing w:val="4"/>
        </w:rPr>
        <w:t xml:space="preserve"> </w:t>
      </w:r>
      <w:r>
        <w:t>2015.</w:t>
      </w:r>
    </w:p>
    <w:p w:rsidR="00D96B91" w:rsidRDefault="00C2656B">
      <w:pPr>
        <w:pStyle w:val="BodyText"/>
        <w:spacing w:before="178"/>
      </w:pPr>
      <w:r>
        <w:rPr>
          <w:spacing w:val="-4"/>
        </w:rPr>
        <w:t>For</w:t>
      </w:r>
      <w:r>
        <w:t xml:space="preserve"> the </w:t>
      </w:r>
      <w:r>
        <w:rPr>
          <w:spacing w:val="-1"/>
        </w:rPr>
        <w:t>sake</w:t>
      </w:r>
      <w:r>
        <w:t xml:space="preserve"> of</w:t>
      </w:r>
      <w:r>
        <w:rPr>
          <w:spacing w:val="4"/>
        </w:rPr>
        <w:t xml:space="preserve"> </w:t>
      </w:r>
      <w:r>
        <w:rPr>
          <w:spacing w:val="-1"/>
        </w:rPr>
        <w:t>simplicity,</w:t>
      </w:r>
      <w:r>
        <w:rPr>
          <w:spacing w:val="-6"/>
        </w:rPr>
        <w:t xml:space="preserve"> </w:t>
      </w:r>
      <w:r>
        <w:t xml:space="preserve">the entity is </w:t>
      </w:r>
      <w:r>
        <w:rPr>
          <w:spacing w:val="-1"/>
        </w:rPr>
        <w:t>referred</w:t>
      </w:r>
      <w:r>
        <w:t xml:space="preserve"> to as </w:t>
      </w:r>
      <w:r>
        <w:rPr>
          <w:spacing w:val="-3"/>
        </w:rPr>
        <w:t>‘ACTEW’</w:t>
      </w:r>
      <w:r>
        <w:t xml:space="preserve"> for the purposes of</w:t>
      </w:r>
      <w:r>
        <w:rPr>
          <w:spacing w:val="4"/>
        </w:rPr>
        <w:t xml:space="preserve"> </w:t>
      </w:r>
      <w:r>
        <w:t xml:space="preserve">this </w:t>
      </w:r>
      <w:r>
        <w:rPr>
          <w:spacing w:val="-2"/>
        </w:rPr>
        <w:t>draft</w:t>
      </w:r>
      <w:r>
        <w:t xml:space="preserve"> </w:t>
      </w:r>
      <w:r>
        <w:rPr>
          <w:spacing w:val="-1"/>
        </w:rPr>
        <w:t>report.</w:t>
      </w:r>
    </w:p>
    <w:p w:rsidR="00D96B91" w:rsidRDefault="00D96B91">
      <w:pPr>
        <w:sectPr w:rsidR="00D96B91">
          <w:pgSz w:w="11910" w:h="16840"/>
          <w:pgMar w:top="1260" w:right="0" w:bottom="1020" w:left="0" w:header="0" w:footer="829" w:gutter="0"/>
          <w:cols w:space="720"/>
        </w:sectPr>
      </w:pPr>
    </w:p>
    <w:p w:rsidR="00D96B91" w:rsidRDefault="00C2656B">
      <w:pPr>
        <w:spacing w:line="516" w:lineRule="exact"/>
        <w:ind w:left="1247"/>
        <w:rPr>
          <w:rFonts w:ascii="Avenir Next Medium" w:eastAsia="Avenir Next Medium" w:hAnsi="Avenir Next Medium" w:cs="Avenir Next Medium"/>
          <w:sz w:val="40"/>
          <w:szCs w:val="40"/>
        </w:rPr>
      </w:pPr>
      <w:r>
        <w:rPr>
          <w:rFonts w:ascii="Avenir Next Medium"/>
          <w:color w:val="0778BE"/>
          <w:spacing w:val="-1"/>
          <w:sz w:val="40"/>
        </w:rPr>
        <w:t>Abbreviations</w:t>
      </w:r>
      <w:r>
        <w:rPr>
          <w:rFonts w:ascii="Avenir Next Medium"/>
          <w:color w:val="0778BE"/>
          <w:sz w:val="40"/>
        </w:rPr>
        <w:t xml:space="preserve"> and </w:t>
      </w:r>
      <w:r>
        <w:rPr>
          <w:rFonts w:ascii="Avenir Next Medium"/>
          <w:color w:val="0778BE"/>
          <w:spacing w:val="-1"/>
          <w:sz w:val="40"/>
        </w:rPr>
        <w:t>acronyms</w:t>
      </w:r>
    </w:p>
    <w:p w:rsidR="00D96B91" w:rsidRDefault="00D96B91">
      <w:pPr>
        <w:spacing w:before="12"/>
        <w:rPr>
          <w:rFonts w:ascii="Avenir Next Medium" w:eastAsia="Avenir Next Medium" w:hAnsi="Avenir Next Medium" w:cs="Avenir Next Medium"/>
          <w:sz w:val="26"/>
          <w:szCs w:val="26"/>
        </w:rPr>
      </w:pPr>
    </w:p>
    <w:p w:rsidR="00D96B91" w:rsidRDefault="00C2656B">
      <w:pPr>
        <w:pStyle w:val="BodyText"/>
        <w:tabs>
          <w:tab w:val="left" w:pos="3628"/>
        </w:tabs>
        <w:rPr>
          <w:rFonts w:cs="Avenir Next"/>
        </w:rPr>
      </w:pPr>
      <w:r>
        <w:rPr>
          <w:b/>
          <w:spacing w:val="-3"/>
        </w:rPr>
        <w:t>ACCC</w:t>
      </w:r>
      <w:r>
        <w:rPr>
          <w:b/>
          <w:spacing w:val="-3"/>
        </w:rPr>
        <w:tab/>
      </w:r>
      <w:r>
        <w:rPr>
          <w:spacing w:val="-1"/>
        </w:rPr>
        <w:t>Australian</w:t>
      </w:r>
      <w:r>
        <w:t xml:space="preserve"> </w:t>
      </w:r>
      <w:r>
        <w:rPr>
          <w:spacing w:val="-1"/>
        </w:rPr>
        <w:t>Competition</w:t>
      </w:r>
      <w:r>
        <w:t xml:space="preserve"> and </w:t>
      </w:r>
      <w:r>
        <w:rPr>
          <w:spacing w:val="-1"/>
        </w:rPr>
        <w:t>Consumer</w:t>
      </w:r>
      <w:r>
        <w:t xml:space="preserve"> </w:t>
      </w:r>
      <w:r>
        <w:rPr>
          <w:spacing w:val="-1"/>
        </w:rPr>
        <w:t>Commission</w:t>
      </w:r>
    </w:p>
    <w:p w:rsidR="00D96B91" w:rsidRDefault="00C2656B">
      <w:pPr>
        <w:pStyle w:val="BodyText"/>
        <w:tabs>
          <w:tab w:val="left" w:pos="3628"/>
        </w:tabs>
        <w:spacing w:before="64" w:line="260" w:lineRule="exact"/>
        <w:ind w:left="3628" w:right="1399" w:hanging="2382"/>
      </w:pPr>
      <w:r>
        <w:rPr>
          <w:b/>
          <w:spacing w:val="-2"/>
          <w:w w:val="95"/>
        </w:rPr>
        <w:t>ACTEW</w:t>
      </w:r>
      <w:r>
        <w:rPr>
          <w:b/>
          <w:spacing w:val="-2"/>
          <w:w w:val="95"/>
        </w:rPr>
        <w:tab/>
      </w:r>
      <w:r>
        <w:rPr>
          <w:spacing w:val="-2"/>
        </w:rPr>
        <w:t>The</w:t>
      </w:r>
      <w:r>
        <w:t xml:space="preserve"> term</w:t>
      </w:r>
      <w:r>
        <w:rPr>
          <w:spacing w:val="-4"/>
        </w:rPr>
        <w:t xml:space="preserve"> </w:t>
      </w:r>
      <w:r>
        <w:rPr>
          <w:spacing w:val="-2"/>
        </w:rPr>
        <w:t>ACTEW</w:t>
      </w:r>
      <w:r>
        <w:rPr>
          <w:spacing w:val="-3"/>
        </w:rPr>
        <w:t xml:space="preserve"> </w:t>
      </w:r>
      <w:r>
        <w:t xml:space="preserve">is used to </w:t>
      </w:r>
      <w:r>
        <w:rPr>
          <w:spacing w:val="-1"/>
        </w:rPr>
        <w:t>refer</w:t>
      </w:r>
      <w:r>
        <w:t xml:space="preserve"> to</w:t>
      </w:r>
      <w:r>
        <w:rPr>
          <w:spacing w:val="-4"/>
        </w:rPr>
        <w:t xml:space="preserve"> </w:t>
      </w:r>
      <w:r>
        <w:rPr>
          <w:spacing w:val="-2"/>
        </w:rPr>
        <w:t>ACTEW</w:t>
      </w:r>
      <w:r>
        <w:rPr>
          <w:spacing w:val="-3"/>
        </w:rPr>
        <w:t xml:space="preserve"> </w:t>
      </w:r>
      <w:r>
        <w:rPr>
          <w:spacing w:val="-1"/>
        </w:rPr>
        <w:t>Corporation</w:t>
      </w:r>
      <w:r>
        <w:t xml:space="preserve"> Ltd,</w:t>
      </w:r>
      <w:r>
        <w:rPr>
          <w:spacing w:val="-6"/>
        </w:rPr>
        <w:t xml:space="preserve"> </w:t>
      </w:r>
      <w:r>
        <w:t>Icon</w:t>
      </w:r>
      <w:r>
        <w:rPr>
          <w:spacing w:val="-3"/>
        </w:rPr>
        <w:t xml:space="preserve"> </w:t>
      </w:r>
      <w:r>
        <w:rPr>
          <w:spacing w:val="-2"/>
        </w:rPr>
        <w:t>Water</w:t>
      </w:r>
      <w:r>
        <w:t xml:space="preserve"> Ltd</w:t>
      </w:r>
      <w:r>
        <w:rPr>
          <w:spacing w:val="37"/>
        </w:rPr>
        <w:t xml:space="preserve"> </w:t>
      </w:r>
      <w:r>
        <w:t>and</w:t>
      </w:r>
      <w:r>
        <w:rPr>
          <w:spacing w:val="-4"/>
        </w:rPr>
        <w:t xml:space="preserve"> </w:t>
      </w:r>
      <w:r>
        <w:rPr>
          <w:spacing w:val="-2"/>
        </w:rPr>
        <w:t>ACTEW</w:t>
      </w:r>
      <w:r>
        <w:rPr>
          <w:spacing w:val="-5"/>
        </w:rPr>
        <w:t xml:space="preserve"> </w:t>
      </w:r>
      <w:r>
        <w:rPr>
          <w:spacing w:val="-4"/>
        </w:rPr>
        <w:t>Water.</w:t>
      </w:r>
    </w:p>
    <w:p w:rsidR="00D96B91" w:rsidRDefault="00C2656B">
      <w:pPr>
        <w:pStyle w:val="BodyText"/>
        <w:tabs>
          <w:tab w:val="left" w:pos="3628"/>
        </w:tabs>
        <w:spacing w:before="93"/>
        <w:rPr>
          <w:rFonts w:cs="Avenir Next"/>
        </w:rPr>
      </w:pPr>
      <w:r>
        <w:rPr>
          <w:b/>
        </w:rPr>
        <w:t>AEMC</w:t>
      </w:r>
      <w:r>
        <w:rPr>
          <w:b/>
        </w:rPr>
        <w:tab/>
      </w:r>
      <w:r>
        <w:rPr>
          <w:spacing w:val="-1"/>
        </w:rPr>
        <w:t>Australian</w:t>
      </w:r>
      <w:r>
        <w:t xml:space="preserve"> </w:t>
      </w:r>
      <w:r>
        <w:rPr>
          <w:spacing w:val="-1"/>
        </w:rPr>
        <w:t>Energy</w:t>
      </w:r>
      <w:r>
        <w:t xml:space="preserve"> </w:t>
      </w:r>
      <w:r>
        <w:rPr>
          <w:spacing w:val="-1"/>
        </w:rPr>
        <w:t>Market</w:t>
      </w:r>
      <w:r>
        <w:t xml:space="preserve"> </w:t>
      </w:r>
      <w:r>
        <w:rPr>
          <w:spacing w:val="-1"/>
        </w:rPr>
        <w:t>Commission</w:t>
      </w:r>
    </w:p>
    <w:p w:rsidR="00D96B91" w:rsidRDefault="00C2656B">
      <w:pPr>
        <w:pStyle w:val="BodyText"/>
        <w:tabs>
          <w:tab w:val="left" w:pos="3628"/>
        </w:tabs>
        <w:spacing w:before="72"/>
        <w:rPr>
          <w:rFonts w:cs="Avenir Next"/>
        </w:rPr>
      </w:pPr>
      <w:r>
        <w:rPr>
          <w:b/>
        </w:rPr>
        <w:t>AER</w:t>
      </w:r>
      <w:r>
        <w:rPr>
          <w:b/>
        </w:rPr>
        <w:tab/>
      </w:r>
      <w:r>
        <w:rPr>
          <w:spacing w:val="-1"/>
        </w:rPr>
        <w:t>Australian</w:t>
      </w:r>
      <w:r>
        <w:t xml:space="preserve"> </w:t>
      </w:r>
      <w:r>
        <w:rPr>
          <w:spacing w:val="-1"/>
        </w:rPr>
        <w:t>Energy</w:t>
      </w:r>
      <w:r>
        <w:t xml:space="preserve"> </w:t>
      </w:r>
      <w:r>
        <w:rPr>
          <w:spacing w:val="-1"/>
        </w:rPr>
        <w:t>Regulator</w:t>
      </w:r>
    </w:p>
    <w:p w:rsidR="00D96B91" w:rsidRDefault="00C2656B">
      <w:pPr>
        <w:pStyle w:val="BodyText"/>
        <w:tabs>
          <w:tab w:val="left" w:pos="3628"/>
        </w:tabs>
        <w:spacing w:before="72"/>
        <w:rPr>
          <w:rFonts w:cs="Avenir Next"/>
        </w:rPr>
      </w:pPr>
      <w:r>
        <w:rPr>
          <w:b/>
          <w:spacing w:val="-1"/>
          <w:w w:val="95"/>
        </w:rPr>
        <w:t>CAPM</w:t>
      </w:r>
      <w:r>
        <w:rPr>
          <w:b/>
          <w:spacing w:val="-1"/>
          <w:w w:val="95"/>
        </w:rPr>
        <w:tab/>
      </w:r>
      <w:r>
        <w:rPr>
          <w:spacing w:val="-1"/>
        </w:rPr>
        <w:t>Capital</w:t>
      </w:r>
      <w:r>
        <w:rPr>
          <w:spacing w:val="-4"/>
        </w:rPr>
        <w:t xml:space="preserve"> </w:t>
      </w:r>
      <w:r>
        <w:t xml:space="preserve">Asset </w:t>
      </w:r>
      <w:r>
        <w:rPr>
          <w:spacing w:val="-2"/>
        </w:rPr>
        <w:t>Pricing</w:t>
      </w:r>
      <w:r>
        <w:t xml:space="preserve"> Model</w:t>
      </w:r>
    </w:p>
    <w:p w:rsidR="00D96B91" w:rsidRDefault="00C2656B">
      <w:pPr>
        <w:pStyle w:val="BodyText"/>
        <w:tabs>
          <w:tab w:val="left" w:pos="3628"/>
        </w:tabs>
        <w:spacing w:before="72"/>
        <w:rPr>
          <w:rFonts w:cs="Avenir Next"/>
        </w:rPr>
      </w:pPr>
      <w:r>
        <w:rPr>
          <w:b/>
          <w:w w:val="95"/>
        </w:rPr>
        <w:t>CIE</w:t>
      </w:r>
      <w:r>
        <w:rPr>
          <w:b/>
          <w:w w:val="95"/>
        </w:rPr>
        <w:tab/>
      </w:r>
      <w:r>
        <w:rPr>
          <w:spacing w:val="-2"/>
        </w:rPr>
        <w:t>Centre</w:t>
      </w:r>
      <w:r>
        <w:t xml:space="preserve"> for </w:t>
      </w:r>
      <w:r>
        <w:rPr>
          <w:spacing w:val="-1"/>
        </w:rPr>
        <w:t>International</w:t>
      </w:r>
      <w:r>
        <w:t xml:space="preserve"> Economics</w:t>
      </w:r>
    </w:p>
    <w:p w:rsidR="00D96B91" w:rsidRDefault="00C2656B">
      <w:pPr>
        <w:pStyle w:val="BodyText"/>
        <w:tabs>
          <w:tab w:val="left" w:pos="3628"/>
        </w:tabs>
        <w:spacing w:before="72"/>
        <w:rPr>
          <w:rFonts w:cs="Avenir Next"/>
        </w:rPr>
      </w:pPr>
      <w:r>
        <w:rPr>
          <w:b/>
          <w:spacing w:val="-4"/>
        </w:rPr>
        <w:t>CPA</w:t>
      </w:r>
      <w:r>
        <w:rPr>
          <w:b/>
          <w:spacing w:val="-4"/>
        </w:rPr>
        <w:tab/>
      </w:r>
      <w:r>
        <w:rPr>
          <w:spacing w:val="-1"/>
        </w:rPr>
        <w:t>Competition</w:t>
      </w:r>
      <w:r>
        <w:t xml:space="preserve"> </w:t>
      </w:r>
      <w:r>
        <w:rPr>
          <w:spacing w:val="-1"/>
        </w:rPr>
        <w:t>Principles</w:t>
      </w:r>
      <w:r>
        <w:rPr>
          <w:spacing w:val="-4"/>
        </w:rPr>
        <w:t xml:space="preserve"> </w:t>
      </w:r>
      <w:r>
        <w:rPr>
          <w:spacing w:val="-1"/>
        </w:rPr>
        <w:t>Agreement</w:t>
      </w:r>
    </w:p>
    <w:p w:rsidR="00D96B91" w:rsidRDefault="00C2656B">
      <w:pPr>
        <w:pStyle w:val="BodyText"/>
        <w:tabs>
          <w:tab w:val="left" w:pos="3628"/>
        </w:tabs>
        <w:spacing w:before="72"/>
        <w:rPr>
          <w:rFonts w:cs="Avenir Next"/>
        </w:rPr>
      </w:pPr>
      <w:r>
        <w:rPr>
          <w:b/>
          <w:w w:val="95"/>
        </w:rPr>
        <w:t>CPI</w:t>
      </w:r>
      <w:r>
        <w:rPr>
          <w:b/>
          <w:w w:val="95"/>
        </w:rPr>
        <w:tab/>
      </w:r>
      <w:r>
        <w:t xml:space="preserve">consumer price </w:t>
      </w:r>
      <w:r>
        <w:rPr>
          <w:spacing w:val="-1"/>
        </w:rPr>
        <w:t>index</w:t>
      </w:r>
    </w:p>
    <w:p w:rsidR="00D96B91" w:rsidRDefault="00C2656B">
      <w:pPr>
        <w:pStyle w:val="BodyText"/>
        <w:tabs>
          <w:tab w:val="left" w:pos="3628"/>
        </w:tabs>
        <w:spacing w:before="72"/>
        <w:rPr>
          <w:rFonts w:cs="Avenir Next"/>
        </w:rPr>
      </w:pPr>
      <w:r>
        <w:rPr>
          <w:b/>
        </w:rPr>
        <w:t>CSO</w:t>
      </w:r>
      <w:r>
        <w:rPr>
          <w:b/>
        </w:rPr>
        <w:tab/>
      </w:r>
      <w:r>
        <w:rPr>
          <w:spacing w:val="-1"/>
        </w:rPr>
        <w:t>Community</w:t>
      </w:r>
      <w:r>
        <w:t xml:space="preserve"> Service </w:t>
      </w:r>
      <w:r>
        <w:rPr>
          <w:spacing w:val="-1"/>
        </w:rPr>
        <w:t>Obligation</w:t>
      </w:r>
    </w:p>
    <w:p w:rsidR="00D96B91" w:rsidRDefault="00C2656B">
      <w:pPr>
        <w:pStyle w:val="BodyText"/>
        <w:tabs>
          <w:tab w:val="left" w:pos="3628"/>
        </w:tabs>
        <w:spacing w:before="72"/>
        <w:rPr>
          <w:rFonts w:cs="Avenir Next"/>
        </w:rPr>
      </w:pPr>
      <w:r>
        <w:rPr>
          <w:b/>
          <w:w w:val="95"/>
        </w:rPr>
        <w:t>ECD</w:t>
      </w:r>
      <w:r>
        <w:rPr>
          <w:b/>
          <w:w w:val="95"/>
        </w:rPr>
        <w:tab/>
      </w:r>
      <w:r>
        <w:rPr>
          <w:spacing w:val="-1"/>
        </w:rPr>
        <w:t>Enlarged</w:t>
      </w:r>
      <w:r>
        <w:t xml:space="preserve"> </w:t>
      </w:r>
      <w:r>
        <w:rPr>
          <w:spacing w:val="-1"/>
        </w:rPr>
        <w:t>Cotter</w:t>
      </w:r>
      <w:r>
        <w:t xml:space="preserve"> Dam</w:t>
      </w:r>
    </w:p>
    <w:p w:rsidR="00D96B91" w:rsidRDefault="00C2656B">
      <w:pPr>
        <w:pStyle w:val="BodyText"/>
        <w:tabs>
          <w:tab w:val="left" w:pos="3628"/>
        </w:tabs>
        <w:spacing w:before="72"/>
      </w:pPr>
      <w:r>
        <w:rPr>
          <w:b/>
        </w:rPr>
        <w:t>ERA</w:t>
      </w:r>
      <w:r>
        <w:rPr>
          <w:b/>
        </w:rPr>
        <w:tab/>
      </w:r>
      <w:r>
        <w:t xml:space="preserve">Economic </w:t>
      </w:r>
      <w:r>
        <w:rPr>
          <w:spacing w:val="-1"/>
        </w:rPr>
        <w:t>Regulatory</w:t>
      </w:r>
      <w:r>
        <w:rPr>
          <w:spacing w:val="-4"/>
        </w:rPr>
        <w:t xml:space="preserve"> </w:t>
      </w:r>
      <w:r>
        <w:t xml:space="preserve">Authority </w:t>
      </w:r>
      <w:r>
        <w:rPr>
          <w:spacing w:val="-1"/>
        </w:rPr>
        <w:t>(Western</w:t>
      </w:r>
      <w:r>
        <w:rPr>
          <w:spacing w:val="-4"/>
        </w:rPr>
        <w:t xml:space="preserve"> </w:t>
      </w:r>
      <w:r>
        <w:rPr>
          <w:spacing w:val="-1"/>
        </w:rPr>
        <w:t>Australia)</w:t>
      </w:r>
    </w:p>
    <w:p w:rsidR="00D96B91" w:rsidRDefault="00C2656B">
      <w:pPr>
        <w:pStyle w:val="BodyText"/>
        <w:tabs>
          <w:tab w:val="left" w:pos="3628"/>
        </w:tabs>
        <w:spacing w:before="72"/>
      </w:pPr>
      <w:r>
        <w:rPr>
          <w:b/>
        </w:rPr>
        <w:t>ESC</w:t>
      </w:r>
      <w:r>
        <w:rPr>
          <w:b/>
        </w:rPr>
        <w:tab/>
      </w:r>
      <w:r>
        <w:t xml:space="preserve">Essential Services </w:t>
      </w:r>
      <w:r>
        <w:rPr>
          <w:spacing w:val="-1"/>
        </w:rPr>
        <w:t>Commission</w:t>
      </w:r>
      <w:r>
        <w:t xml:space="preserve"> </w:t>
      </w:r>
      <w:r>
        <w:rPr>
          <w:spacing w:val="-1"/>
        </w:rPr>
        <w:t>(Victoria)</w:t>
      </w:r>
    </w:p>
    <w:p w:rsidR="00D96B91" w:rsidRDefault="00C2656B">
      <w:pPr>
        <w:pStyle w:val="BodyText"/>
        <w:tabs>
          <w:tab w:val="left" w:pos="3628"/>
        </w:tabs>
        <w:spacing w:before="72"/>
        <w:rPr>
          <w:rFonts w:cs="Avenir Next"/>
        </w:rPr>
      </w:pPr>
      <w:r>
        <w:rPr>
          <w:b/>
          <w:spacing w:val="-1"/>
          <w:w w:val="95"/>
        </w:rPr>
        <w:t>ESCOSA</w:t>
      </w:r>
      <w:r>
        <w:rPr>
          <w:b/>
          <w:spacing w:val="-1"/>
          <w:w w:val="95"/>
        </w:rPr>
        <w:tab/>
      </w:r>
      <w:r>
        <w:t xml:space="preserve">Essential Services </w:t>
      </w:r>
      <w:r>
        <w:rPr>
          <w:spacing w:val="-1"/>
        </w:rPr>
        <w:t>Commission</w:t>
      </w:r>
      <w:r>
        <w:t xml:space="preserve"> of</w:t>
      </w:r>
      <w:r>
        <w:rPr>
          <w:spacing w:val="4"/>
        </w:rPr>
        <w:t xml:space="preserve"> </w:t>
      </w:r>
      <w:r>
        <w:t>South</w:t>
      </w:r>
      <w:r>
        <w:rPr>
          <w:spacing w:val="-4"/>
        </w:rPr>
        <w:t xml:space="preserve"> </w:t>
      </w:r>
      <w:r>
        <w:rPr>
          <w:spacing w:val="-1"/>
        </w:rPr>
        <w:t>Australia</w:t>
      </w:r>
    </w:p>
    <w:p w:rsidR="00D96B91" w:rsidRDefault="00C2656B">
      <w:pPr>
        <w:pStyle w:val="BodyText"/>
        <w:tabs>
          <w:tab w:val="left" w:pos="3628"/>
        </w:tabs>
        <w:spacing w:before="72"/>
      </w:pPr>
      <w:r>
        <w:rPr>
          <w:b/>
        </w:rPr>
        <w:t>FCR</w:t>
      </w:r>
      <w:r>
        <w:rPr>
          <w:b/>
        </w:rPr>
        <w:tab/>
      </w:r>
      <w:r>
        <w:rPr>
          <w:spacing w:val="-3"/>
        </w:rPr>
        <w:t>Fair</w:t>
      </w:r>
      <w:r>
        <w:t xml:space="preserve"> </w:t>
      </w:r>
      <w:r>
        <w:rPr>
          <w:spacing w:val="-1"/>
        </w:rPr>
        <w:t>Cost</w:t>
      </w:r>
      <w:r>
        <w:t xml:space="preserve"> </w:t>
      </w:r>
      <w:r>
        <w:rPr>
          <w:spacing w:val="-1"/>
        </w:rPr>
        <w:t>Recovery</w:t>
      </w:r>
      <w:r>
        <w:t xml:space="preserve"> Scheme</w:t>
      </w:r>
    </w:p>
    <w:p w:rsidR="00D96B91" w:rsidRDefault="00C2656B">
      <w:pPr>
        <w:pStyle w:val="BodyText"/>
        <w:tabs>
          <w:tab w:val="left" w:pos="3628"/>
        </w:tabs>
        <w:spacing w:before="72"/>
        <w:rPr>
          <w:rFonts w:cs="Avenir Next"/>
        </w:rPr>
      </w:pPr>
      <w:r>
        <w:rPr>
          <w:b/>
        </w:rPr>
        <w:t>FFO</w:t>
      </w:r>
      <w:r>
        <w:rPr>
          <w:b/>
        </w:rPr>
        <w:tab/>
      </w:r>
      <w:r>
        <w:t xml:space="preserve">funds </w:t>
      </w:r>
      <w:r>
        <w:rPr>
          <w:spacing w:val="-1"/>
        </w:rPr>
        <w:t>from</w:t>
      </w:r>
      <w:r>
        <w:t xml:space="preserve"> </w:t>
      </w:r>
      <w:r>
        <w:rPr>
          <w:spacing w:val="-1"/>
        </w:rPr>
        <w:t>operations</w:t>
      </w:r>
    </w:p>
    <w:p w:rsidR="00D96B91" w:rsidRDefault="00C2656B">
      <w:pPr>
        <w:tabs>
          <w:tab w:val="left" w:pos="3628"/>
        </w:tabs>
        <w:spacing w:before="72"/>
        <w:ind w:left="1247"/>
        <w:rPr>
          <w:rFonts w:ascii="Avenir Next" w:eastAsia="Avenir Next" w:hAnsi="Avenir Next" w:cs="Avenir Next"/>
          <w:sz w:val="20"/>
          <w:szCs w:val="20"/>
        </w:rPr>
      </w:pPr>
      <w:r>
        <w:rPr>
          <w:rFonts w:ascii="Avenir Next"/>
          <w:b/>
          <w:sz w:val="20"/>
        </w:rPr>
        <w:t>GL</w:t>
      </w:r>
      <w:r>
        <w:rPr>
          <w:rFonts w:ascii="Avenir Next"/>
          <w:b/>
          <w:sz w:val="20"/>
        </w:rPr>
        <w:tab/>
      </w:r>
      <w:r>
        <w:rPr>
          <w:rFonts w:ascii="Avenir Next"/>
          <w:spacing w:val="-1"/>
          <w:sz w:val="20"/>
        </w:rPr>
        <w:t>gigalitre</w:t>
      </w:r>
    </w:p>
    <w:p w:rsidR="00D96B91" w:rsidRDefault="00C2656B">
      <w:pPr>
        <w:pStyle w:val="BodyText"/>
        <w:tabs>
          <w:tab w:val="left" w:pos="3628"/>
        </w:tabs>
        <w:spacing w:before="72"/>
        <w:rPr>
          <w:rFonts w:cs="Avenir Next"/>
        </w:rPr>
      </w:pPr>
      <w:r>
        <w:rPr>
          <w:b/>
        </w:rPr>
        <w:t>ICRC</w:t>
      </w:r>
      <w:r>
        <w:rPr>
          <w:b/>
        </w:rPr>
        <w:tab/>
      </w:r>
      <w:r>
        <w:t xml:space="preserve">Independent </w:t>
      </w:r>
      <w:r>
        <w:rPr>
          <w:spacing w:val="-1"/>
        </w:rPr>
        <w:t>Competition</w:t>
      </w:r>
      <w:r>
        <w:t xml:space="preserve"> and </w:t>
      </w:r>
      <w:r>
        <w:rPr>
          <w:spacing w:val="-1"/>
        </w:rPr>
        <w:t>Regulatory</w:t>
      </w:r>
      <w:r>
        <w:t xml:space="preserve"> </w:t>
      </w:r>
      <w:r>
        <w:rPr>
          <w:spacing w:val="-1"/>
        </w:rPr>
        <w:t>Commission</w:t>
      </w:r>
    </w:p>
    <w:p w:rsidR="00D96B91" w:rsidRDefault="00C2656B">
      <w:pPr>
        <w:tabs>
          <w:tab w:val="left" w:pos="3628"/>
        </w:tabs>
        <w:spacing w:before="72"/>
        <w:ind w:left="1247"/>
        <w:rPr>
          <w:rFonts w:ascii="Avenir Next" w:eastAsia="Avenir Next" w:hAnsi="Avenir Next" w:cs="Avenir Next"/>
          <w:sz w:val="20"/>
          <w:szCs w:val="20"/>
        </w:rPr>
      </w:pPr>
      <w:r>
        <w:rPr>
          <w:rFonts w:ascii="Avenir Next"/>
          <w:b/>
          <w:sz w:val="20"/>
        </w:rPr>
        <w:t>ICRC</w:t>
      </w:r>
      <w:r>
        <w:rPr>
          <w:rFonts w:ascii="Avenir Next"/>
          <w:b/>
          <w:spacing w:val="-4"/>
          <w:sz w:val="20"/>
        </w:rPr>
        <w:t xml:space="preserve"> </w:t>
      </w:r>
      <w:r>
        <w:rPr>
          <w:rFonts w:ascii="Avenir Next"/>
          <w:b/>
          <w:sz w:val="20"/>
        </w:rPr>
        <w:t>Act</w:t>
      </w:r>
      <w:r>
        <w:rPr>
          <w:rFonts w:ascii="Avenir Next"/>
          <w:b/>
          <w:sz w:val="20"/>
        </w:rPr>
        <w:tab/>
      </w:r>
      <w:r>
        <w:rPr>
          <w:rFonts w:ascii="Avenir Next"/>
          <w:i/>
          <w:sz w:val="20"/>
        </w:rPr>
        <w:t xml:space="preserve">Independent </w:t>
      </w:r>
      <w:r>
        <w:rPr>
          <w:rFonts w:ascii="Avenir Next"/>
          <w:i/>
          <w:spacing w:val="-1"/>
          <w:sz w:val="20"/>
        </w:rPr>
        <w:t>Competition</w:t>
      </w:r>
      <w:r>
        <w:rPr>
          <w:rFonts w:ascii="Avenir Next"/>
          <w:i/>
          <w:sz w:val="20"/>
        </w:rPr>
        <w:t xml:space="preserve"> and </w:t>
      </w:r>
      <w:r>
        <w:rPr>
          <w:rFonts w:ascii="Avenir Next"/>
          <w:i/>
          <w:spacing w:val="-1"/>
          <w:sz w:val="20"/>
        </w:rPr>
        <w:t>Regulatory</w:t>
      </w:r>
      <w:r>
        <w:rPr>
          <w:rFonts w:ascii="Avenir Next"/>
          <w:i/>
          <w:sz w:val="20"/>
        </w:rPr>
        <w:t xml:space="preserve"> </w:t>
      </w:r>
      <w:r>
        <w:rPr>
          <w:rFonts w:ascii="Avenir Next"/>
          <w:i/>
          <w:spacing w:val="-1"/>
          <w:sz w:val="20"/>
        </w:rPr>
        <w:t>Commission</w:t>
      </w:r>
      <w:r>
        <w:rPr>
          <w:rFonts w:ascii="Avenir Next"/>
          <w:i/>
          <w:spacing w:val="-4"/>
          <w:sz w:val="20"/>
        </w:rPr>
        <w:t xml:space="preserve"> </w:t>
      </w:r>
      <w:r>
        <w:rPr>
          <w:rFonts w:ascii="Avenir Next"/>
          <w:i/>
          <w:sz w:val="20"/>
        </w:rPr>
        <w:t xml:space="preserve">Act </w:t>
      </w:r>
      <w:r>
        <w:rPr>
          <w:rFonts w:ascii="Avenir Next"/>
          <w:sz w:val="20"/>
        </w:rPr>
        <w:t>1997 (Act)</w:t>
      </w:r>
    </w:p>
    <w:p w:rsidR="00D96B91" w:rsidRDefault="00C2656B">
      <w:pPr>
        <w:pStyle w:val="BodyText"/>
        <w:tabs>
          <w:tab w:val="left" w:pos="3628"/>
        </w:tabs>
        <w:spacing w:before="72"/>
      </w:pPr>
      <w:r>
        <w:rPr>
          <w:b/>
          <w:spacing w:val="-3"/>
        </w:rPr>
        <w:t>IPART</w:t>
      </w:r>
      <w:r>
        <w:rPr>
          <w:b/>
          <w:spacing w:val="-3"/>
        </w:rPr>
        <w:tab/>
      </w:r>
      <w:r>
        <w:t xml:space="preserve">Independent </w:t>
      </w:r>
      <w:r>
        <w:rPr>
          <w:spacing w:val="-2"/>
        </w:rPr>
        <w:t>Pricing</w:t>
      </w:r>
      <w:r>
        <w:t xml:space="preserve"> and </w:t>
      </w:r>
      <w:r>
        <w:rPr>
          <w:spacing w:val="-1"/>
        </w:rPr>
        <w:t>Regulatory</w:t>
      </w:r>
      <w:r>
        <w:rPr>
          <w:spacing w:val="-5"/>
        </w:rPr>
        <w:t xml:space="preserve"> </w:t>
      </w:r>
      <w:r>
        <w:rPr>
          <w:spacing w:val="-3"/>
        </w:rPr>
        <w:t>Tribunal</w:t>
      </w:r>
      <w:r>
        <w:t xml:space="preserve"> (NSW)</w:t>
      </w:r>
    </w:p>
    <w:p w:rsidR="00D96B91" w:rsidRDefault="00C2656B">
      <w:pPr>
        <w:tabs>
          <w:tab w:val="left" w:pos="3628"/>
        </w:tabs>
        <w:spacing w:before="72"/>
        <w:ind w:left="1247"/>
        <w:rPr>
          <w:rFonts w:ascii="Avenir Next" w:eastAsia="Avenir Next" w:hAnsi="Avenir Next" w:cs="Avenir Next"/>
          <w:sz w:val="20"/>
          <w:szCs w:val="20"/>
        </w:rPr>
      </w:pPr>
      <w:r>
        <w:rPr>
          <w:rFonts w:ascii="Avenir Next"/>
          <w:b/>
          <w:sz w:val="20"/>
        </w:rPr>
        <w:t>kL</w:t>
      </w:r>
      <w:r>
        <w:rPr>
          <w:rFonts w:ascii="Avenir Next"/>
          <w:b/>
          <w:sz w:val="20"/>
        </w:rPr>
        <w:tab/>
      </w:r>
      <w:r>
        <w:rPr>
          <w:rFonts w:ascii="Avenir Next"/>
          <w:spacing w:val="-1"/>
          <w:sz w:val="20"/>
        </w:rPr>
        <w:t>kilolitre</w:t>
      </w:r>
    </w:p>
    <w:p w:rsidR="00D96B91" w:rsidRDefault="00C2656B">
      <w:pPr>
        <w:pStyle w:val="BodyText"/>
        <w:tabs>
          <w:tab w:val="left" w:pos="3628"/>
        </w:tabs>
        <w:spacing w:before="72"/>
      </w:pPr>
      <w:r>
        <w:rPr>
          <w:b/>
          <w:spacing w:val="-1"/>
        </w:rPr>
        <w:t>LMWQCC</w:t>
      </w:r>
      <w:r>
        <w:rPr>
          <w:b/>
          <w:spacing w:val="-1"/>
        </w:rPr>
        <w:tab/>
      </w:r>
      <w:r>
        <w:rPr>
          <w:spacing w:val="-1"/>
        </w:rPr>
        <w:t>Lower</w:t>
      </w:r>
      <w:r>
        <w:t xml:space="preserve"> Molonglo</w:t>
      </w:r>
      <w:r>
        <w:rPr>
          <w:spacing w:val="-3"/>
        </w:rPr>
        <w:t xml:space="preserve"> </w:t>
      </w:r>
      <w:r>
        <w:rPr>
          <w:spacing w:val="-2"/>
        </w:rPr>
        <w:t>Water</w:t>
      </w:r>
      <w:r>
        <w:t xml:space="preserve"> Quality </w:t>
      </w:r>
      <w:r>
        <w:rPr>
          <w:spacing w:val="-1"/>
        </w:rPr>
        <w:t>Control</w:t>
      </w:r>
      <w:r>
        <w:t xml:space="preserve"> </w:t>
      </w:r>
      <w:r>
        <w:rPr>
          <w:spacing w:val="-2"/>
        </w:rPr>
        <w:t>Centre</w:t>
      </w:r>
    </w:p>
    <w:p w:rsidR="00D96B91" w:rsidRDefault="00C2656B">
      <w:pPr>
        <w:pStyle w:val="BodyText"/>
        <w:tabs>
          <w:tab w:val="left" w:pos="3628"/>
        </w:tabs>
        <w:spacing w:before="72"/>
        <w:rPr>
          <w:rFonts w:cs="Avenir Next"/>
        </w:rPr>
      </w:pPr>
      <w:r>
        <w:rPr>
          <w:b/>
        </w:rPr>
        <w:t>M2G</w:t>
      </w:r>
      <w:r>
        <w:rPr>
          <w:b/>
        </w:rPr>
        <w:tab/>
      </w:r>
      <w:r>
        <w:t xml:space="preserve">Murrumbidgee to Googong </w:t>
      </w:r>
      <w:r>
        <w:rPr>
          <w:spacing w:val="-1"/>
        </w:rPr>
        <w:t>Pipeline</w:t>
      </w:r>
    </w:p>
    <w:p w:rsidR="00D96B91" w:rsidRDefault="00C2656B">
      <w:pPr>
        <w:pStyle w:val="BodyText"/>
        <w:tabs>
          <w:tab w:val="left" w:pos="3628"/>
        </w:tabs>
        <w:spacing w:before="72"/>
        <w:rPr>
          <w:rFonts w:cs="Avenir Next"/>
        </w:rPr>
      </w:pPr>
      <w:r>
        <w:rPr>
          <w:b/>
        </w:rPr>
        <w:t>MRP</w:t>
      </w:r>
      <w:r>
        <w:rPr>
          <w:b/>
        </w:rPr>
        <w:tab/>
      </w:r>
      <w:r>
        <w:rPr>
          <w:spacing w:val="-1"/>
        </w:rPr>
        <w:t>market</w:t>
      </w:r>
      <w:r>
        <w:t xml:space="preserve"> risk </w:t>
      </w:r>
      <w:r>
        <w:rPr>
          <w:spacing w:val="-1"/>
        </w:rPr>
        <w:t>premium</w:t>
      </w:r>
    </w:p>
    <w:p w:rsidR="00D96B91" w:rsidRDefault="00C2656B">
      <w:pPr>
        <w:pStyle w:val="BodyText"/>
        <w:tabs>
          <w:tab w:val="left" w:pos="3628"/>
        </w:tabs>
        <w:spacing w:before="72"/>
        <w:rPr>
          <w:rFonts w:cs="Avenir Next"/>
        </w:rPr>
      </w:pPr>
      <w:r>
        <w:rPr>
          <w:b/>
        </w:rPr>
        <w:t>NER</w:t>
      </w:r>
      <w:r>
        <w:rPr>
          <w:b/>
        </w:rPr>
        <w:tab/>
      </w:r>
      <w:r>
        <w:rPr>
          <w:spacing w:val="-1"/>
        </w:rPr>
        <w:t>National</w:t>
      </w:r>
      <w:r>
        <w:t xml:space="preserve"> Electricity </w:t>
      </w:r>
      <w:r>
        <w:rPr>
          <w:spacing w:val="-1"/>
        </w:rPr>
        <w:t>Rules</w:t>
      </w:r>
    </w:p>
    <w:p w:rsidR="00D96B91" w:rsidRDefault="00C2656B">
      <w:pPr>
        <w:pStyle w:val="BodyText"/>
        <w:tabs>
          <w:tab w:val="left" w:pos="3628"/>
        </w:tabs>
        <w:spacing w:before="72"/>
        <w:rPr>
          <w:rFonts w:cs="Avenir Next"/>
        </w:rPr>
      </w:pPr>
      <w:r>
        <w:rPr>
          <w:b/>
          <w:w w:val="95"/>
        </w:rPr>
        <w:t>NGR</w:t>
      </w:r>
      <w:r>
        <w:rPr>
          <w:b/>
          <w:w w:val="95"/>
        </w:rPr>
        <w:tab/>
      </w:r>
      <w:r>
        <w:rPr>
          <w:spacing w:val="-1"/>
        </w:rPr>
        <w:t>National</w:t>
      </w:r>
      <w:r>
        <w:t xml:space="preserve"> Gas </w:t>
      </w:r>
      <w:r>
        <w:rPr>
          <w:spacing w:val="-1"/>
        </w:rPr>
        <w:t>Rules</w:t>
      </w:r>
    </w:p>
    <w:p w:rsidR="00D96B91" w:rsidRDefault="00C2656B">
      <w:pPr>
        <w:pStyle w:val="BodyText"/>
        <w:tabs>
          <w:tab w:val="left" w:pos="3628"/>
        </w:tabs>
        <w:spacing w:before="72"/>
        <w:rPr>
          <w:rFonts w:cs="Avenir Next"/>
        </w:rPr>
      </w:pPr>
      <w:r>
        <w:rPr>
          <w:b/>
        </w:rPr>
        <w:t>NPV</w:t>
      </w:r>
      <w:r>
        <w:rPr>
          <w:b/>
        </w:rPr>
        <w:tab/>
      </w:r>
      <w:r>
        <w:t xml:space="preserve">net </w:t>
      </w:r>
      <w:r>
        <w:rPr>
          <w:spacing w:val="-1"/>
        </w:rPr>
        <w:t>present</w:t>
      </w:r>
      <w:r>
        <w:t xml:space="preserve"> value</w:t>
      </w:r>
    </w:p>
    <w:p w:rsidR="00D96B91" w:rsidRDefault="00C2656B">
      <w:pPr>
        <w:tabs>
          <w:tab w:val="left" w:pos="3628"/>
        </w:tabs>
        <w:spacing w:before="72"/>
        <w:ind w:left="1247"/>
        <w:rPr>
          <w:rFonts w:ascii="Avenir Next" w:eastAsia="Avenir Next" w:hAnsi="Avenir Next" w:cs="Avenir Next"/>
          <w:sz w:val="20"/>
          <w:szCs w:val="20"/>
        </w:rPr>
      </w:pPr>
      <w:r>
        <w:rPr>
          <w:rFonts w:ascii="Avenir Next"/>
          <w:b/>
          <w:spacing w:val="-3"/>
          <w:sz w:val="20"/>
        </w:rPr>
        <w:t>Panel</w:t>
      </w:r>
      <w:r>
        <w:rPr>
          <w:rFonts w:ascii="Avenir Next"/>
          <w:b/>
          <w:spacing w:val="-3"/>
          <w:sz w:val="20"/>
        </w:rPr>
        <w:tab/>
      </w:r>
      <w:r>
        <w:rPr>
          <w:rFonts w:ascii="Avenir Next"/>
          <w:sz w:val="20"/>
        </w:rPr>
        <w:t xml:space="preserve">Industry </w:t>
      </w:r>
      <w:r>
        <w:rPr>
          <w:rFonts w:ascii="Avenir Next"/>
          <w:spacing w:val="-3"/>
          <w:sz w:val="20"/>
        </w:rPr>
        <w:t>Panel</w:t>
      </w:r>
    </w:p>
    <w:p w:rsidR="00D96B91" w:rsidRDefault="00C2656B">
      <w:pPr>
        <w:pStyle w:val="BodyText"/>
        <w:tabs>
          <w:tab w:val="left" w:pos="3628"/>
        </w:tabs>
        <w:spacing w:before="72"/>
      </w:pPr>
      <w:r>
        <w:rPr>
          <w:b/>
          <w:spacing w:val="-1"/>
        </w:rPr>
        <w:t>QCA</w:t>
      </w:r>
      <w:r>
        <w:rPr>
          <w:b/>
          <w:spacing w:val="-1"/>
        </w:rPr>
        <w:tab/>
      </w:r>
      <w:r>
        <w:t xml:space="preserve">Queensland </w:t>
      </w:r>
      <w:r>
        <w:rPr>
          <w:spacing w:val="-1"/>
        </w:rPr>
        <w:t>Competition</w:t>
      </w:r>
      <w:r>
        <w:rPr>
          <w:spacing w:val="-4"/>
        </w:rPr>
        <w:t xml:space="preserve"> </w:t>
      </w:r>
      <w:r>
        <w:t>Authority</w:t>
      </w:r>
    </w:p>
    <w:p w:rsidR="00D96B91" w:rsidRDefault="00C2656B">
      <w:pPr>
        <w:pStyle w:val="BodyText"/>
        <w:tabs>
          <w:tab w:val="left" w:pos="3628"/>
        </w:tabs>
        <w:spacing w:before="72"/>
        <w:rPr>
          <w:rFonts w:cs="Avenir Next"/>
        </w:rPr>
      </w:pPr>
      <w:r>
        <w:rPr>
          <w:b/>
        </w:rPr>
        <w:t>RAB</w:t>
      </w:r>
      <w:r>
        <w:rPr>
          <w:b/>
        </w:rPr>
        <w:tab/>
      </w:r>
      <w:r>
        <w:rPr>
          <w:spacing w:val="-1"/>
        </w:rPr>
        <w:t>regulated</w:t>
      </w:r>
      <w:r>
        <w:t xml:space="preserve"> asset base</w:t>
      </w:r>
    </w:p>
    <w:p w:rsidR="00D96B91" w:rsidRDefault="00C2656B">
      <w:pPr>
        <w:pStyle w:val="BodyText"/>
        <w:tabs>
          <w:tab w:val="left" w:pos="3628"/>
        </w:tabs>
        <w:spacing w:before="72"/>
        <w:rPr>
          <w:rFonts w:cs="Avenir Next"/>
        </w:rPr>
      </w:pPr>
      <w:r>
        <w:rPr>
          <w:b/>
        </w:rPr>
        <w:t>RBA</w:t>
      </w:r>
      <w:r>
        <w:rPr>
          <w:b/>
        </w:rPr>
        <w:tab/>
      </w:r>
      <w:r>
        <w:rPr>
          <w:spacing w:val="-1"/>
        </w:rPr>
        <w:t>Reserve</w:t>
      </w:r>
      <w:r>
        <w:t xml:space="preserve"> Bank of</w:t>
      </w:r>
      <w:r>
        <w:rPr>
          <w:spacing w:val="1"/>
        </w:rPr>
        <w:t xml:space="preserve"> </w:t>
      </w:r>
      <w:r>
        <w:rPr>
          <w:spacing w:val="-1"/>
        </w:rPr>
        <w:t>Australia</w:t>
      </w:r>
    </w:p>
    <w:p w:rsidR="00D96B91" w:rsidRDefault="00C2656B">
      <w:pPr>
        <w:pStyle w:val="BodyText"/>
        <w:tabs>
          <w:tab w:val="left" w:pos="3628"/>
        </w:tabs>
        <w:spacing w:before="72"/>
      </w:pPr>
      <w:r>
        <w:rPr>
          <w:b/>
        </w:rPr>
        <w:t>S-L</w:t>
      </w:r>
      <w:r>
        <w:rPr>
          <w:b/>
          <w:spacing w:val="-5"/>
        </w:rPr>
        <w:t xml:space="preserve"> </w:t>
      </w:r>
      <w:r>
        <w:rPr>
          <w:b/>
          <w:spacing w:val="-1"/>
        </w:rPr>
        <w:t>CAPM</w:t>
      </w:r>
      <w:r>
        <w:rPr>
          <w:b/>
          <w:spacing w:val="-1"/>
        </w:rPr>
        <w:tab/>
      </w:r>
      <w:r>
        <w:t xml:space="preserve">Sharpe-Lintner </w:t>
      </w:r>
      <w:r>
        <w:rPr>
          <w:spacing w:val="-1"/>
        </w:rPr>
        <w:t>Capital</w:t>
      </w:r>
      <w:r>
        <w:rPr>
          <w:spacing w:val="-4"/>
        </w:rPr>
        <w:t xml:space="preserve"> </w:t>
      </w:r>
      <w:r>
        <w:t xml:space="preserve">Asset </w:t>
      </w:r>
      <w:r>
        <w:rPr>
          <w:spacing w:val="-2"/>
        </w:rPr>
        <w:t>Pricing</w:t>
      </w:r>
      <w:r>
        <w:t xml:space="preserve"> Model</w:t>
      </w:r>
    </w:p>
    <w:p w:rsidR="00D96B91" w:rsidRDefault="00C2656B">
      <w:pPr>
        <w:pStyle w:val="BodyText"/>
        <w:tabs>
          <w:tab w:val="left" w:pos="3628"/>
        </w:tabs>
        <w:spacing w:before="72"/>
        <w:rPr>
          <w:rFonts w:cs="Avenir Next"/>
        </w:rPr>
      </w:pPr>
      <w:r>
        <w:rPr>
          <w:b/>
        </w:rPr>
        <w:t>SOFC</w:t>
      </w:r>
      <w:r>
        <w:rPr>
          <w:b/>
        </w:rPr>
        <w:tab/>
      </w:r>
      <w:r>
        <w:rPr>
          <w:spacing w:val="-1"/>
        </w:rPr>
        <w:t>Statement</w:t>
      </w:r>
      <w:r>
        <w:t xml:space="preserve"> of</w:t>
      </w:r>
      <w:r>
        <w:rPr>
          <w:spacing w:val="4"/>
        </w:rPr>
        <w:t xml:space="preserve"> </w:t>
      </w:r>
      <w:r>
        <w:t>facts and contentions</w:t>
      </w:r>
    </w:p>
    <w:p w:rsidR="00D96B91" w:rsidRDefault="00C2656B">
      <w:pPr>
        <w:pStyle w:val="BodyText"/>
        <w:tabs>
          <w:tab w:val="left" w:pos="3628"/>
        </w:tabs>
        <w:spacing w:before="72"/>
        <w:rPr>
          <w:rFonts w:cs="Avenir Next"/>
        </w:rPr>
      </w:pPr>
      <w:r>
        <w:rPr>
          <w:b/>
        </w:rPr>
        <w:t>UMA</w:t>
      </w:r>
      <w:r>
        <w:rPr>
          <w:b/>
        </w:rPr>
        <w:tab/>
      </w:r>
      <w:r>
        <w:t>Utilities Management</w:t>
      </w:r>
      <w:r>
        <w:rPr>
          <w:spacing w:val="-4"/>
        </w:rPr>
        <w:t xml:space="preserve"> </w:t>
      </w:r>
      <w:r>
        <w:rPr>
          <w:spacing w:val="-1"/>
        </w:rPr>
        <w:t>Agreement</w:t>
      </w:r>
    </w:p>
    <w:p w:rsidR="00D96B91" w:rsidRDefault="00C2656B">
      <w:pPr>
        <w:pStyle w:val="BodyText"/>
        <w:tabs>
          <w:tab w:val="left" w:pos="3628"/>
        </w:tabs>
        <w:spacing w:before="72"/>
      </w:pPr>
      <w:r>
        <w:rPr>
          <w:b/>
          <w:w w:val="95"/>
        </w:rPr>
        <w:t>UNFT</w:t>
      </w:r>
      <w:r>
        <w:rPr>
          <w:b/>
          <w:w w:val="95"/>
        </w:rPr>
        <w:tab/>
      </w:r>
      <w:r>
        <w:t xml:space="preserve">Utilities Network </w:t>
      </w:r>
      <w:r>
        <w:rPr>
          <w:spacing w:val="-1"/>
        </w:rPr>
        <w:t>Facilities</w:t>
      </w:r>
      <w:r>
        <w:rPr>
          <w:spacing w:val="-5"/>
        </w:rPr>
        <w:t xml:space="preserve"> </w:t>
      </w:r>
      <w:r>
        <w:rPr>
          <w:spacing w:val="-7"/>
        </w:rPr>
        <w:t>Tax</w:t>
      </w:r>
    </w:p>
    <w:p w:rsidR="00D96B91" w:rsidRDefault="00C2656B">
      <w:pPr>
        <w:pStyle w:val="BodyText"/>
        <w:tabs>
          <w:tab w:val="left" w:pos="3628"/>
        </w:tabs>
        <w:spacing w:before="72"/>
        <w:rPr>
          <w:rFonts w:cs="Avenir Next"/>
        </w:rPr>
      </w:pPr>
      <w:r>
        <w:rPr>
          <w:b/>
          <w:spacing w:val="-3"/>
        </w:rPr>
        <w:t>WAC</w:t>
      </w:r>
      <w:r>
        <w:rPr>
          <w:b/>
          <w:spacing w:val="-3"/>
        </w:rPr>
        <w:tab/>
      </w:r>
      <w:r>
        <w:rPr>
          <w:spacing w:val="-2"/>
        </w:rPr>
        <w:t>Water</w:t>
      </w:r>
      <w:r>
        <w:rPr>
          <w:spacing w:val="-4"/>
        </w:rPr>
        <w:t xml:space="preserve"> </w:t>
      </w:r>
      <w:r>
        <w:rPr>
          <w:spacing w:val="-1"/>
        </w:rPr>
        <w:t>Abstraction</w:t>
      </w:r>
      <w:r>
        <w:t xml:space="preserve"> </w:t>
      </w:r>
      <w:r>
        <w:rPr>
          <w:spacing w:val="-1"/>
        </w:rPr>
        <w:t>Charge</w:t>
      </w:r>
    </w:p>
    <w:p w:rsidR="00D96B91" w:rsidRDefault="00C2656B">
      <w:pPr>
        <w:pStyle w:val="BodyText"/>
        <w:tabs>
          <w:tab w:val="left" w:pos="3628"/>
        </w:tabs>
        <w:spacing w:before="72"/>
        <w:rPr>
          <w:rFonts w:cs="Avenir Next"/>
        </w:rPr>
      </w:pPr>
      <w:r>
        <w:rPr>
          <w:b/>
          <w:spacing w:val="-3"/>
        </w:rPr>
        <w:t>WACC</w:t>
      </w:r>
      <w:r>
        <w:rPr>
          <w:b/>
          <w:spacing w:val="-3"/>
        </w:rPr>
        <w:tab/>
      </w:r>
      <w:r>
        <w:t xml:space="preserve">weighted </w:t>
      </w:r>
      <w:r>
        <w:rPr>
          <w:spacing w:val="-1"/>
        </w:rPr>
        <w:t>average</w:t>
      </w:r>
      <w:r>
        <w:t xml:space="preserve"> cost of</w:t>
      </w:r>
      <w:r>
        <w:rPr>
          <w:spacing w:val="4"/>
        </w:rPr>
        <w:t xml:space="preserve"> </w:t>
      </w:r>
      <w:r>
        <w:t>capital</w:t>
      </w:r>
    </w:p>
    <w:p w:rsidR="00D96B91" w:rsidRDefault="00D96B91">
      <w:pPr>
        <w:rPr>
          <w:rFonts w:ascii="Avenir Next" w:eastAsia="Avenir Next" w:hAnsi="Avenir Next" w:cs="Avenir Next"/>
        </w:rPr>
        <w:sectPr w:rsidR="00D96B91">
          <w:pgSz w:w="11910" w:h="16840"/>
          <w:pgMar w:top="126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3618" style="position:absolute;margin-left:0;margin-top:789.45pt;width:595.3pt;height:52.45pt;z-index:251519488;mso-position-horizontal-relative:page;mso-position-vertical-relative:page" coordorigin=",15789" coordsize="11906,1049">
            <v:group id="_x0000_s3619" style="position:absolute;top:15789;width:11906;height:1049" coordorigin=",15789" coordsize="11906,1049">
              <v:shape id="_x0000_s3623" style="position:absolute;top:15789;width:11906;height:1049" coordorigin=",15789" coordsize="11906,1049" path="m,16838r11906,l11906,15789,,15789r,1049xe" fillcolor="#0778be" stroked="f">
                <v:path arrowok="t"/>
              </v:shape>
              <v:shape id="_x0000_s3622" type="#_x0000_t75" style="position:absolute;top:15789;width:11906;height:1049">
                <v:imagedata r:id="rId20" o:title=""/>
              </v:shape>
              <v:shape id="_x0000_s3621" type="#_x0000_t202" style="position:absolute;left:693;top:16055;width:148;height:200" filled="f" stroked="f">
                <v:textbox style="mso-next-textbox:#_x0000_s3621" inset="0,0,0,0">
                  <w:txbxContent>
                    <w:p w:rsidR="008A79D5" w:rsidRDefault="008A79D5">
                      <w:pPr>
                        <w:spacing w:line="200" w:lineRule="exact"/>
                        <w:rPr>
                          <w:rFonts w:ascii="Avenir Next" w:eastAsia="Avenir Next" w:hAnsi="Avenir Next" w:cs="Avenir Next"/>
                          <w:sz w:val="20"/>
                          <w:szCs w:val="20"/>
                        </w:rPr>
                      </w:pPr>
                      <w:r>
                        <w:rPr>
                          <w:rFonts w:ascii="Avenir Next"/>
                          <w:color w:val="EEF8FE"/>
                          <w:sz w:val="20"/>
                        </w:rPr>
                        <w:t>vi</w:t>
                      </w:r>
                    </w:p>
                  </w:txbxContent>
                </v:textbox>
              </v:shape>
              <v:shape id="_x0000_s3620" type="#_x0000_t202" style="position:absolute;left:1241;top:16055;width:6297;height:200" filled="f" stroked="f">
                <v:textbox style="mso-next-textbox:#_x0000_s3620" inset="0,0,0,0">
                  <w:txbxContent>
                    <w:p w:rsidR="008A79D5" w:rsidRDefault="008A79D5">
                      <w:pPr>
                        <w:spacing w:line="200" w:lineRule="exact"/>
                        <w:rPr>
                          <w:rFonts w:ascii="Avenir Next" w:eastAsia="Avenir Next" w:hAnsi="Avenir Next" w:cs="Avenir Next"/>
                          <w:sz w:val="20"/>
                          <w:szCs w:val="20"/>
                        </w:rPr>
                      </w:pPr>
                      <w:r>
                        <w:rPr>
                          <w:rFonts w:ascii="Avenir Next" w:eastAsia="Avenir Next" w:hAnsi="Avenir Next" w:cs="Avenir Next"/>
                          <w:color w:val="EEF8FE"/>
                          <w:sz w:val="20"/>
                          <w:szCs w:val="20"/>
                        </w:rPr>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21"/>
          <w:pgSz w:w="11910" w:h="16840"/>
          <w:pgMar w:top="1580" w:right="0" w:bottom="0" w:left="0" w:header="0" w:footer="0" w:gutter="0"/>
          <w:cols w:space="720"/>
        </w:sectPr>
      </w:pPr>
    </w:p>
    <w:p w:rsidR="00D96B91" w:rsidRDefault="00C2656B">
      <w:pPr>
        <w:spacing w:line="516" w:lineRule="exact"/>
        <w:ind w:left="1247"/>
        <w:rPr>
          <w:rFonts w:ascii="Avenir Next Medium" w:eastAsia="Avenir Next Medium" w:hAnsi="Avenir Next Medium" w:cs="Avenir Next Medium"/>
          <w:sz w:val="40"/>
          <w:szCs w:val="40"/>
        </w:rPr>
      </w:pPr>
      <w:r>
        <w:rPr>
          <w:rFonts w:ascii="Avenir Next Medium"/>
          <w:color w:val="0778BE"/>
          <w:sz w:val="40"/>
        </w:rPr>
        <w:t>Glossary</w:t>
      </w:r>
    </w:p>
    <w:p w:rsidR="00D96B91" w:rsidRDefault="00D96B91">
      <w:pPr>
        <w:rPr>
          <w:rFonts w:ascii="Avenir Next Medium" w:eastAsia="Avenir Next Medium" w:hAnsi="Avenir Next Medium" w:cs="Avenir Next Medium"/>
          <w:sz w:val="20"/>
          <w:szCs w:val="20"/>
        </w:rPr>
      </w:pPr>
    </w:p>
    <w:p w:rsidR="00D96B91" w:rsidRDefault="00D96B91">
      <w:pPr>
        <w:spacing w:before="10"/>
        <w:rPr>
          <w:rFonts w:ascii="Avenir Next Medium" w:eastAsia="Avenir Next Medium" w:hAnsi="Avenir Next Medium" w:cs="Avenir Next Medium"/>
          <w:sz w:val="13"/>
          <w:szCs w:val="13"/>
        </w:rPr>
      </w:pPr>
    </w:p>
    <w:tbl>
      <w:tblPr>
        <w:tblW w:w="0" w:type="auto"/>
        <w:tblInd w:w="1097" w:type="dxa"/>
        <w:tblLayout w:type="fixed"/>
        <w:tblCellMar>
          <w:left w:w="0" w:type="dxa"/>
          <w:right w:w="0" w:type="dxa"/>
        </w:tblCellMar>
        <w:tblLook w:val="01E0"/>
      </w:tblPr>
      <w:tblGrid>
        <w:gridCol w:w="3104"/>
        <w:gridCol w:w="6576"/>
      </w:tblGrid>
      <w:tr w:rsidR="00D96B91">
        <w:trPr>
          <w:trHeight w:hRule="exact" w:val="600"/>
        </w:trPr>
        <w:tc>
          <w:tcPr>
            <w:tcW w:w="3104" w:type="dxa"/>
            <w:tcBorders>
              <w:top w:val="nil"/>
              <w:left w:val="nil"/>
              <w:bottom w:val="nil"/>
              <w:right w:val="nil"/>
            </w:tcBorders>
          </w:tcPr>
          <w:p w:rsidR="00D96B91" w:rsidRDefault="00C2656B">
            <w:pPr>
              <w:pStyle w:val="TableParagraph"/>
              <w:spacing w:before="6"/>
              <w:ind w:left="230"/>
              <w:rPr>
                <w:rFonts w:ascii="Avenir Next" w:eastAsia="Avenir Next" w:hAnsi="Avenir Next" w:cs="Avenir Next"/>
                <w:sz w:val="20"/>
                <w:szCs w:val="20"/>
              </w:rPr>
            </w:pPr>
            <w:r>
              <w:rPr>
                <w:rFonts w:ascii="Avenir Next"/>
                <w:b/>
                <w:sz w:val="20"/>
              </w:rPr>
              <w:t xml:space="preserve">biennial </w:t>
            </w:r>
            <w:r>
              <w:rPr>
                <w:rFonts w:ascii="Avenir Next"/>
                <w:b/>
                <w:spacing w:val="-1"/>
                <w:sz w:val="20"/>
              </w:rPr>
              <w:t>recalibration</w:t>
            </w:r>
          </w:p>
        </w:tc>
        <w:tc>
          <w:tcPr>
            <w:tcW w:w="6576" w:type="dxa"/>
            <w:tcBorders>
              <w:top w:val="nil"/>
              <w:left w:val="nil"/>
              <w:bottom w:val="nil"/>
              <w:right w:val="nil"/>
            </w:tcBorders>
          </w:tcPr>
          <w:p w:rsidR="00D96B91" w:rsidRDefault="00C2656B">
            <w:pPr>
              <w:pStyle w:val="TableParagraph"/>
              <w:spacing w:before="16" w:line="228" w:lineRule="auto"/>
              <w:ind w:left="130" w:right="888"/>
              <w:rPr>
                <w:rFonts w:ascii="Avenir Next" w:eastAsia="Avenir Next" w:hAnsi="Avenir Next" w:cs="Avenir Next"/>
                <w:sz w:val="20"/>
                <w:szCs w:val="20"/>
              </w:rPr>
            </w:pPr>
            <w:r>
              <w:rPr>
                <w:rFonts w:ascii="Avenir Next"/>
                <w:sz w:val="20"/>
              </w:rPr>
              <w:t xml:space="preserve">Mechanism adopted by the ICRC to </w:t>
            </w:r>
            <w:r>
              <w:rPr>
                <w:rFonts w:ascii="Avenir Next"/>
                <w:spacing w:val="-1"/>
                <w:sz w:val="20"/>
              </w:rPr>
              <w:t>review</w:t>
            </w:r>
            <w:r>
              <w:rPr>
                <w:rFonts w:ascii="Avenir Next"/>
                <w:sz w:val="20"/>
              </w:rPr>
              <w:t xml:space="preserve"> the </w:t>
            </w:r>
            <w:r>
              <w:rPr>
                <w:rFonts w:ascii="Avenir Next"/>
                <w:spacing w:val="-2"/>
                <w:sz w:val="20"/>
              </w:rPr>
              <w:t>key</w:t>
            </w:r>
            <w:r>
              <w:rPr>
                <w:rFonts w:ascii="Avenir Next"/>
                <w:sz w:val="20"/>
              </w:rPr>
              <w:t xml:space="preserve"> pricing</w:t>
            </w:r>
            <w:r>
              <w:rPr>
                <w:rFonts w:ascii="Avenir Next"/>
                <w:spacing w:val="25"/>
                <w:sz w:val="20"/>
              </w:rPr>
              <w:t xml:space="preserve"> </w:t>
            </w:r>
            <w:r>
              <w:rPr>
                <w:rFonts w:ascii="Avenir Next"/>
                <w:spacing w:val="-1"/>
                <w:sz w:val="20"/>
              </w:rPr>
              <w:t>parameters</w:t>
            </w:r>
            <w:r>
              <w:rPr>
                <w:rFonts w:ascii="Avenir Next"/>
                <w:sz w:val="20"/>
              </w:rPr>
              <w:t xml:space="preserve"> of</w:t>
            </w:r>
            <w:r>
              <w:rPr>
                <w:rFonts w:ascii="Avenir Next"/>
                <w:spacing w:val="4"/>
                <w:sz w:val="20"/>
              </w:rPr>
              <w:t xml:space="preserve"> </w:t>
            </w:r>
            <w:r>
              <w:rPr>
                <w:rFonts w:ascii="Avenir Next"/>
                <w:sz w:val="20"/>
              </w:rPr>
              <w:t xml:space="preserve">its price </w:t>
            </w:r>
            <w:r>
              <w:rPr>
                <w:rFonts w:ascii="Avenir Next"/>
                <w:spacing w:val="-1"/>
                <w:sz w:val="20"/>
              </w:rPr>
              <w:t>direction</w:t>
            </w:r>
            <w:r>
              <w:rPr>
                <w:rFonts w:ascii="Avenir Next"/>
                <w:sz w:val="20"/>
              </w:rPr>
              <w:t xml:space="preserve"> during the </w:t>
            </w:r>
            <w:r>
              <w:rPr>
                <w:rFonts w:ascii="Avenir Next"/>
                <w:spacing w:val="-1"/>
                <w:sz w:val="20"/>
              </w:rPr>
              <w:t>regulatory</w:t>
            </w:r>
            <w:r>
              <w:rPr>
                <w:rFonts w:ascii="Avenir Next"/>
                <w:sz w:val="20"/>
              </w:rPr>
              <w:t xml:space="preserve"> period</w:t>
            </w:r>
          </w:p>
        </w:tc>
      </w:tr>
      <w:tr w:rsidR="00D96B91">
        <w:trPr>
          <w:trHeight w:hRule="exact" w:val="62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z w:val="20"/>
              </w:rPr>
              <w:t>bounce back</w:t>
            </w:r>
          </w:p>
        </w:tc>
        <w:tc>
          <w:tcPr>
            <w:tcW w:w="6576" w:type="dxa"/>
            <w:tcBorders>
              <w:top w:val="nil"/>
              <w:left w:val="nil"/>
              <w:bottom w:val="nil"/>
              <w:right w:val="nil"/>
            </w:tcBorders>
          </w:tcPr>
          <w:p w:rsidR="00D96B91" w:rsidRDefault="00C2656B">
            <w:pPr>
              <w:pStyle w:val="TableParagraph"/>
              <w:spacing w:before="18" w:line="260" w:lineRule="exact"/>
              <w:ind w:left="130" w:right="916"/>
              <w:rPr>
                <w:rFonts w:ascii="Avenir Next" w:eastAsia="Avenir Next" w:hAnsi="Avenir Next" w:cs="Avenir Next"/>
                <w:sz w:val="20"/>
                <w:szCs w:val="20"/>
              </w:rPr>
            </w:pPr>
            <w:r>
              <w:rPr>
                <w:rFonts w:ascii="Avenir Next"/>
                <w:sz w:val="20"/>
              </w:rPr>
              <w:t xml:space="preserve">An </w:t>
            </w:r>
            <w:r>
              <w:rPr>
                <w:rFonts w:ascii="Avenir Next"/>
                <w:spacing w:val="-1"/>
                <w:sz w:val="20"/>
              </w:rPr>
              <w:t>increase</w:t>
            </w:r>
            <w:r>
              <w:rPr>
                <w:rFonts w:ascii="Avenir Next"/>
                <w:sz w:val="20"/>
              </w:rPr>
              <w:t xml:space="preserve"> in </w:t>
            </w:r>
            <w:r>
              <w:rPr>
                <w:rFonts w:ascii="Avenir Next"/>
                <w:spacing w:val="-1"/>
                <w:sz w:val="20"/>
              </w:rPr>
              <w:t>water</w:t>
            </w:r>
            <w:r>
              <w:rPr>
                <w:rFonts w:ascii="Avenir Next"/>
                <w:sz w:val="20"/>
              </w:rPr>
              <w:t xml:space="preserve"> use following a period of</w:t>
            </w:r>
            <w:r>
              <w:rPr>
                <w:rFonts w:ascii="Avenir Next"/>
                <w:spacing w:val="4"/>
                <w:sz w:val="20"/>
              </w:rPr>
              <w:t xml:space="preserve"> </w:t>
            </w:r>
            <w:r>
              <w:rPr>
                <w:rFonts w:ascii="Avenir Next"/>
                <w:spacing w:val="-1"/>
                <w:sz w:val="20"/>
              </w:rPr>
              <w:t>reduced</w:t>
            </w:r>
            <w:r>
              <w:rPr>
                <w:rFonts w:ascii="Avenir Next"/>
                <w:sz w:val="20"/>
              </w:rPr>
              <w:t xml:space="preserve"> </w:t>
            </w:r>
            <w:r>
              <w:rPr>
                <w:rFonts w:ascii="Avenir Next"/>
                <w:spacing w:val="-1"/>
                <w:sz w:val="20"/>
              </w:rPr>
              <w:t>water</w:t>
            </w:r>
            <w:r>
              <w:rPr>
                <w:rFonts w:ascii="Avenir Next"/>
                <w:spacing w:val="21"/>
                <w:sz w:val="20"/>
              </w:rPr>
              <w:t xml:space="preserve"> </w:t>
            </w:r>
            <w:r>
              <w:rPr>
                <w:rFonts w:ascii="Avenir Next"/>
                <w:sz w:val="20"/>
              </w:rPr>
              <w:t>demand</w:t>
            </w:r>
          </w:p>
        </w:tc>
      </w:tr>
      <w:tr w:rsidR="00D96B91">
        <w:trPr>
          <w:trHeight w:hRule="exact" w:val="36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pacing w:val="-2"/>
                <w:sz w:val="20"/>
              </w:rPr>
              <w:t>Breusch-Ward</w:t>
            </w:r>
            <w:r>
              <w:rPr>
                <w:rFonts w:ascii="Avenir Next"/>
                <w:b/>
                <w:sz w:val="20"/>
              </w:rPr>
              <w:t xml:space="preserve"> model</w:t>
            </w:r>
          </w:p>
        </w:tc>
        <w:tc>
          <w:tcPr>
            <w:tcW w:w="6576" w:type="dxa"/>
            <w:tcBorders>
              <w:top w:val="nil"/>
              <w:left w:val="nil"/>
              <w:bottom w:val="nil"/>
              <w:right w:val="nil"/>
            </w:tcBorders>
          </w:tcPr>
          <w:p w:rsidR="00D96B91" w:rsidRDefault="00C2656B">
            <w:pPr>
              <w:pStyle w:val="TableParagraph"/>
              <w:spacing w:before="26"/>
              <w:ind w:left="130"/>
              <w:rPr>
                <w:rFonts w:ascii="Avenir Next" w:eastAsia="Avenir Next" w:hAnsi="Avenir Next" w:cs="Avenir Next"/>
                <w:sz w:val="20"/>
                <w:szCs w:val="20"/>
              </w:rPr>
            </w:pPr>
            <w:r>
              <w:rPr>
                <w:rFonts w:ascii="Avenir Next"/>
                <w:spacing w:val="-2"/>
                <w:sz w:val="20"/>
              </w:rPr>
              <w:t>The</w:t>
            </w:r>
            <w:r>
              <w:rPr>
                <w:rFonts w:ascii="Avenir Next"/>
                <w:sz w:val="20"/>
              </w:rPr>
              <w:t xml:space="preserve"> </w:t>
            </w:r>
            <w:r>
              <w:rPr>
                <w:rFonts w:ascii="Avenir Next"/>
                <w:spacing w:val="-1"/>
                <w:sz w:val="20"/>
              </w:rPr>
              <w:t>regression</w:t>
            </w:r>
            <w:r>
              <w:rPr>
                <w:rFonts w:ascii="Avenir Next"/>
                <w:sz w:val="20"/>
              </w:rPr>
              <w:t xml:space="preserve"> model used by</w:t>
            </w:r>
            <w:r>
              <w:rPr>
                <w:rFonts w:ascii="Avenir Next"/>
                <w:spacing w:val="-4"/>
                <w:sz w:val="20"/>
              </w:rPr>
              <w:t xml:space="preserve"> </w:t>
            </w:r>
            <w:r>
              <w:rPr>
                <w:rFonts w:ascii="Avenir Next"/>
                <w:spacing w:val="-2"/>
                <w:sz w:val="20"/>
              </w:rPr>
              <w:t>ACTEW</w:t>
            </w:r>
            <w:r>
              <w:rPr>
                <w:rFonts w:ascii="Avenir Next"/>
                <w:spacing w:val="-3"/>
                <w:sz w:val="20"/>
              </w:rPr>
              <w:t xml:space="preserve"> </w:t>
            </w:r>
            <w:r>
              <w:rPr>
                <w:rFonts w:ascii="Avenir Next"/>
                <w:sz w:val="20"/>
              </w:rPr>
              <w:t xml:space="preserve">to </w:t>
            </w:r>
            <w:r>
              <w:rPr>
                <w:rFonts w:ascii="Avenir Next"/>
                <w:spacing w:val="-1"/>
                <w:sz w:val="20"/>
              </w:rPr>
              <w:t>forecast</w:t>
            </w:r>
            <w:r>
              <w:rPr>
                <w:rFonts w:ascii="Avenir Next"/>
                <w:sz w:val="20"/>
              </w:rPr>
              <w:t xml:space="preserve"> </w:t>
            </w:r>
            <w:r>
              <w:rPr>
                <w:rFonts w:ascii="Avenir Next"/>
                <w:spacing w:val="-1"/>
                <w:sz w:val="20"/>
              </w:rPr>
              <w:t>water</w:t>
            </w:r>
            <w:r>
              <w:rPr>
                <w:rFonts w:ascii="Avenir Next"/>
                <w:sz w:val="20"/>
              </w:rPr>
              <w:t xml:space="preserve"> sales</w:t>
            </w:r>
          </w:p>
        </w:tc>
      </w:tr>
      <w:tr w:rsidR="00D96B91">
        <w:trPr>
          <w:trHeight w:hRule="exact" w:val="114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z w:val="20"/>
              </w:rPr>
              <w:t>building block model</w:t>
            </w:r>
          </w:p>
        </w:tc>
        <w:tc>
          <w:tcPr>
            <w:tcW w:w="6576" w:type="dxa"/>
            <w:tcBorders>
              <w:top w:val="nil"/>
              <w:left w:val="nil"/>
              <w:bottom w:val="nil"/>
              <w:right w:val="nil"/>
            </w:tcBorders>
          </w:tcPr>
          <w:p w:rsidR="00D96B91" w:rsidRDefault="00C2656B">
            <w:pPr>
              <w:pStyle w:val="TableParagraph"/>
              <w:spacing w:before="18" w:line="260" w:lineRule="exact"/>
              <w:ind w:left="130" w:right="326"/>
              <w:rPr>
                <w:rFonts w:ascii="Avenir Next" w:eastAsia="Avenir Next" w:hAnsi="Avenir Next" w:cs="Avenir Next"/>
                <w:sz w:val="20"/>
                <w:szCs w:val="20"/>
              </w:rPr>
            </w:pPr>
            <w:r>
              <w:rPr>
                <w:rFonts w:ascii="Avenir Next"/>
                <w:spacing w:val="-2"/>
                <w:sz w:val="20"/>
              </w:rPr>
              <w:t>The</w:t>
            </w:r>
            <w:r>
              <w:rPr>
                <w:rFonts w:ascii="Avenir Next"/>
                <w:sz w:val="20"/>
              </w:rPr>
              <w:t xml:space="preserve"> underlying cost components </w:t>
            </w:r>
            <w:r>
              <w:rPr>
                <w:rFonts w:ascii="Avenir Next"/>
                <w:spacing w:val="-1"/>
                <w:sz w:val="20"/>
              </w:rPr>
              <w:t>that</w:t>
            </w:r>
            <w:r>
              <w:rPr>
                <w:rFonts w:ascii="Avenir Next"/>
                <w:sz w:val="20"/>
              </w:rPr>
              <w:t xml:space="preserve"> sum to the allowed </w:t>
            </w:r>
            <w:r>
              <w:rPr>
                <w:rFonts w:ascii="Avenir Next"/>
                <w:spacing w:val="-1"/>
                <w:sz w:val="20"/>
              </w:rPr>
              <w:t>revenue</w:t>
            </w:r>
            <w:r>
              <w:rPr>
                <w:rFonts w:ascii="Avenir Next"/>
                <w:spacing w:val="27"/>
                <w:sz w:val="20"/>
              </w:rPr>
              <w:t xml:space="preserve"> </w:t>
            </w:r>
            <w:r>
              <w:rPr>
                <w:rFonts w:ascii="Avenir Next"/>
                <w:sz w:val="20"/>
              </w:rPr>
              <w:t>of</w:t>
            </w:r>
            <w:r>
              <w:rPr>
                <w:rFonts w:ascii="Avenir Next"/>
                <w:spacing w:val="4"/>
                <w:sz w:val="20"/>
              </w:rPr>
              <w:t xml:space="preserve"> </w:t>
            </w:r>
            <w:r>
              <w:rPr>
                <w:rFonts w:ascii="Avenir Next"/>
                <w:sz w:val="20"/>
              </w:rPr>
              <w:t xml:space="preserve">the </w:t>
            </w:r>
            <w:r>
              <w:rPr>
                <w:rFonts w:ascii="Avenir Next"/>
                <w:spacing w:val="-1"/>
                <w:sz w:val="20"/>
              </w:rPr>
              <w:t>regulated</w:t>
            </w:r>
            <w:r>
              <w:rPr>
                <w:rFonts w:ascii="Avenir Next"/>
                <w:sz w:val="20"/>
              </w:rPr>
              <w:t xml:space="preserve"> business (ie,</w:t>
            </w:r>
            <w:r>
              <w:rPr>
                <w:rFonts w:ascii="Avenir Next"/>
                <w:spacing w:val="-6"/>
                <w:sz w:val="20"/>
              </w:rPr>
              <w:t xml:space="preserve"> </w:t>
            </w:r>
            <w:r>
              <w:rPr>
                <w:rFonts w:ascii="Avenir Next"/>
                <w:sz w:val="20"/>
              </w:rPr>
              <w:t xml:space="preserve">the </w:t>
            </w:r>
            <w:r>
              <w:rPr>
                <w:rFonts w:ascii="Avenir Next"/>
                <w:spacing w:val="-1"/>
                <w:sz w:val="20"/>
              </w:rPr>
              <w:t>return</w:t>
            </w:r>
            <w:r>
              <w:rPr>
                <w:rFonts w:ascii="Avenir Next"/>
                <w:sz w:val="20"/>
              </w:rPr>
              <w:t xml:space="preserve"> on capital,</w:t>
            </w:r>
            <w:r>
              <w:rPr>
                <w:rFonts w:ascii="Avenir Next"/>
                <w:spacing w:val="-6"/>
                <w:sz w:val="20"/>
              </w:rPr>
              <w:t xml:space="preserve"> </w:t>
            </w:r>
            <w:r>
              <w:rPr>
                <w:rFonts w:ascii="Avenir Next"/>
                <w:spacing w:val="-1"/>
                <w:sz w:val="20"/>
              </w:rPr>
              <w:t>depreciation</w:t>
            </w:r>
            <w:r>
              <w:rPr>
                <w:rFonts w:ascii="Avenir Next"/>
                <w:spacing w:val="23"/>
                <w:sz w:val="20"/>
              </w:rPr>
              <w:t xml:space="preserve"> </w:t>
            </w:r>
            <w:r>
              <w:rPr>
                <w:rFonts w:ascii="Avenir Next"/>
                <w:sz w:val="20"/>
              </w:rPr>
              <w:t xml:space="preserve">(also known as the </w:t>
            </w:r>
            <w:r>
              <w:rPr>
                <w:rFonts w:ascii="Avenir Next"/>
                <w:spacing w:val="-1"/>
                <w:sz w:val="20"/>
              </w:rPr>
              <w:t>return</w:t>
            </w:r>
            <w:r>
              <w:rPr>
                <w:rFonts w:ascii="Avenir Next"/>
                <w:sz w:val="20"/>
              </w:rPr>
              <w:t xml:space="preserve"> of</w:t>
            </w:r>
            <w:r>
              <w:rPr>
                <w:rFonts w:ascii="Avenir Next"/>
                <w:spacing w:val="4"/>
                <w:sz w:val="20"/>
              </w:rPr>
              <w:t xml:space="preserve"> </w:t>
            </w:r>
            <w:r>
              <w:rPr>
                <w:rFonts w:ascii="Avenir Next"/>
                <w:sz w:val="20"/>
              </w:rPr>
              <w:t xml:space="preserve">capital) the </w:t>
            </w:r>
            <w:r>
              <w:rPr>
                <w:rFonts w:ascii="Avenir Next"/>
                <w:spacing w:val="-1"/>
                <w:sz w:val="20"/>
              </w:rPr>
              <w:t>operating</w:t>
            </w:r>
            <w:r>
              <w:rPr>
                <w:rFonts w:ascii="Avenir Next"/>
                <w:sz w:val="20"/>
              </w:rPr>
              <w:t xml:space="preserve"> </w:t>
            </w:r>
            <w:r>
              <w:rPr>
                <w:rFonts w:ascii="Avenir Next"/>
                <w:spacing w:val="-1"/>
                <w:sz w:val="20"/>
              </w:rPr>
              <w:t>expenditure,</w:t>
            </w:r>
            <w:r>
              <w:rPr>
                <w:rFonts w:ascii="Avenir Next"/>
                <w:spacing w:val="-6"/>
                <w:sz w:val="20"/>
              </w:rPr>
              <w:t xml:space="preserve"> </w:t>
            </w:r>
            <w:r>
              <w:rPr>
                <w:rFonts w:ascii="Avenir Next"/>
                <w:sz w:val="20"/>
              </w:rPr>
              <w:t>and</w:t>
            </w:r>
            <w:r>
              <w:rPr>
                <w:rFonts w:ascii="Avenir Next"/>
                <w:spacing w:val="25"/>
                <w:sz w:val="20"/>
              </w:rPr>
              <w:t xml:space="preserve"> </w:t>
            </w:r>
            <w:r>
              <w:rPr>
                <w:rFonts w:ascii="Avenir Next"/>
                <w:sz w:val="20"/>
              </w:rPr>
              <w:t>various other components such as net tax liabilities)</w:t>
            </w:r>
          </w:p>
        </w:tc>
      </w:tr>
      <w:tr w:rsidR="00D96B91">
        <w:trPr>
          <w:trHeight w:hRule="exact" w:val="88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z w:val="20"/>
              </w:rPr>
              <w:t xml:space="preserve">capital </w:t>
            </w:r>
            <w:r>
              <w:rPr>
                <w:rFonts w:ascii="Avenir Next"/>
                <w:b/>
                <w:spacing w:val="-1"/>
                <w:sz w:val="20"/>
              </w:rPr>
              <w:t>expenditure</w:t>
            </w:r>
          </w:p>
        </w:tc>
        <w:tc>
          <w:tcPr>
            <w:tcW w:w="6576" w:type="dxa"/>
            <w:tcBorders>
              <w:top w:val="nil"/>
              <w:left w:val="nil"/>
              <w:bottom w:val="nil"/>
              <w:right w:val="nil"/>
            </w:tcBorders>
          </w:tcPr>
          <w:p w:rsidR="00D96B91" w:rsidRDefault="00C2656B">
            <w:pPr>
              <w:pStyle w:val="TableParagraph"/>
              <w:spacing w:before="18" w:line="260" w:lineRule="exact"/>
              <w:ind w:left="130" w:right="628"/>
              <w:rPr>
                <w:rFonts w:ascii="Avenir Next" w:eastAsia="Avenir Next" w:hAnsi="Avenir Next" w:cs="Avenir Next"/>
                <w:sz w:val="20"/>
                <w:szCs w:val="20"/>
              </w:rPr>
            </w:pPr>
            <w:r>
              <w:rPr>
                <w:rFonts w:ascii="Avenir Next"/>
                <w:spacing w:val="-1"/>
                <w:sz w:val="20"/>
              </w:rPr>
              <w:t>Expenditure that</w:t>
            </w:r>
            <w:r>
              <w:rPr>
                <w:rFonts w:ascii="Avenir Next"/>
                <w:sz w:val="20"/>
              </w:rPr>
              <w:t xml:space="preserve"> a business incurs to</w:t>
            </w:r>
            <w:r>
              <w:rPr>
                <w:rFonts w:ascii="Avenir Next"/>
                <w:spacing w:val="-1"/>
                <w:sz w:val="20"/>
              </w:rPr>
              <w:t xml:space="preserve"> </w:t>
            </w:r>
            <w:r>
              <w:rPr>
                <w:rFonts w:ascii="Avenir Next"/>
                <w:sz w:val="20"/>
              </w:rPr>
              <w:t xml:space="preserve">buy </w:t>
            </w:r>
            <w:r>
              <w:rPr>
                <w:rFonts w:ascii="Avenir Next"/>
                <w:spacing w:val="-1"/>
                <w:sz w:val="20"/>
              </w:rPr>
              <w:t>fixed</w:t>
            </w:r>
            <w:r>
              <w:rPr>
                <w:rFonts w:ascii="Avenir Next"/>
                <w:sz w:val="20"/>
              </w:rPr>
              <w:t xml:space="preserve"> assets or to</w:t>
            </w:r>
            <w:r>
              <w:rPr>
                <w:rFonts w:ascii="Avenir Next"/>
                <w:spacing w:val="-1"/>
                <w:sz w:val="20"/>
              </w:rPr>
              <w:t xml:space="preserve"> </w:t>
            </w:r>
            <w:r>
              <w:rPr>
                <w:rFonts w:ascii="Avenir Next"/>
                <w:sz w:val="20"/>
              </w:rPr>
              <w:t>add</w:t>
            </w:r>
            <w:r>
              <w:rPr>
                <w:rFonts w:ascii="Avenir Next"/>
                <w:spacing w:val="25"/>
                <w:sz w:val="20"/>
              </w:rPr>
              <w:t xml:space="preserve"> </w:t>
            </w:r>
            <w:r>
              <w:rPr>
                <w:rFonts w:ascii="Avenir Next"/>
                <w:sz w:val="20"/>
              </w:rPr>
              <w:t>to</w:t>
            </w:r>
            <w:r>
              <w:rPr>
                <w:rFonts w:ascii="Avenir Next"/>
                <w:spacing w:val="-1"/>
                <w:sz w:val="20"/>
              </w:rPr>
              <w:t xml:space="preserve"> </w:t>
            </w:r>
            <w:r>
              <w:rPr>
                <w:rFonts w:ascii="Avenir Next"/>
                <w:sz w:val="20"/>
              </w:rPr>
              <w:t>the value of</w:t>
            </w:r>
            <w:r>
              <w:rPr>
                <w:rFonts w:ascii="Avenir Next"/>
                <w:spacing w:val="4"/>
                <w:sz w:val="20"/>
              </w:rPr>
              <w:t xml:space="preserve"> </w:t>
            </w:r>
            <w:r>
              <w:rPr>
                <w:rFonts w:ascii="Avenir Next"/>
                <w:sz w:val="20"/>
              </w:rPr>
              <w:t xml:space="preserve">an </w:t>
            </w:r>
            <w:r>
              <w:rPr>
                <w:rFonts w:ascii="Avenir Next"/>
                <w:spacing w:val="-1"/>
                <w:sz w:val="20"/>
              </w:rPr>
              <w:t>existing fixed</w:t>
            </w:r>
            <w:r>
              <w:rPr>
                <w:rFonts w:ascii="Avenir Next"/>
                <w:sz w:val="20"/>
              </w:rPr>
              <w:t xml:space="preserve"> asset with a useful life</w:t>
            </w:r>
            <w:r>
              <w:rPr>
                <w:rFonts w:ascii="Avenir Next"/>
                <w:spacing w:val="-1"/>
                <w:sz w:val="20"/>
              </w:rPr>
              <w:t xml:space="preserve"> extending</w:t>
            </w:r>
            <w:r>
              <w:rPr>
                <w:rFonts w:ascii="Avenir Next"/>
                <w:spacing w:val="33"/>
                <w:sz w:val="20"/>
              </w:rPr>
              <w:t xml:space="preserve"> </w:t>
            </w:r>
            <w:r>
              <w:rPr>
                <w:rFonts w:ascii="Avenir Next"/>
                <w:sz w:val="20"/>
              </w:rPr>
              <w:t xml:space="preserve">beyond the taxable </w:t>
            </w:r>
            <w:r>
              <w:rPr>
                <w:rFonts w:ascii="Avenir Next"/>
                <w:spacing w:val="-1"/>
                <w:sz w:val="20"/>
              </w:rPr>
              <w:t>year</w:t>
            </w:r>
          </w:p>
        </w:tc>
      </w:tr>
      <w:tr w:rsidR="00D96B91">
        <w:trPr>
          <w:trHeight w:hRule="exact" w:val="62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z w:val="20"/>
              </w:rPr>
              <w:t xml:space="preserve">consumer price </w:t>
            </w:r>
            <w:r>
              <w:rPr>
                <w:rFonts w:ascii="Avenir Next"/>
                <w:b/>
                <w:spacing w:val="-1"/>
                <w:sz w:val="20"/>
              </w:rPr>
              <w:t>index</w:t>
            </w:r>
            <w:r>
              <w:rPr>
                <w:rFonts w:ascii="Avenir Next"/>
                <w:b/>
                <w:sz w:val="20"/>
              </w:rPr>
              <w:t xml:space="preserve"> (CPI)</w:t>
            </w:r>
          </w:p>
        </w:tc>
        <w:tc>
          <w:tcPr>
            <w:tcW w:w="6576" w:type="dxa"/>
            <w:tcBorders>
              <w:top w:val="nil"/>
              <w:left w:val="nil"/>
              <w:bottom w:val="nil"/>
              <w:right w:val="nil"/>
            </w:tcBorders>
          </w:tcPr>
          <w:p w:rsidR="00D96B91" w:rsidRDefault="00C2656B">
            <w:pPr>
              <w:pStyle w:val="TableParagraph"/>
              <w:spacing w:before="18" w:line="260" w:lineRule="exact"/>
              <w:ind w:left="130" w:right="607"/>
              <w:rPr>
                <w:rFonts w:ascii="Avenir Next" w:eastAsia="Avenir Next" w:hAnsi="Avenir Next" w:cs="Avenir Next"/>
                <w:sz w:val="20"/>
                <w:szCs w:val="20"/>
              </w:rPr>
            </w:pPr>
            <w:r>
              <w:rPr>
                <w:rFonts w:ascii="Avenir Next"/>
                <w:spacing w:val="-2"/>
                <w:sz w:val="20"/>
              </w:rPr>
              <w:t>The</w:t>
            </w:r>
            <w:r>
              <w:rPr>
                <w:rFonts w:ascii="Avenir Next"/>
                <w:sz w:val="20"/>
              </w:rPr>
              <w:t xml:space="preserve"> consumer price </w:t>
            </w:r>
            <w:r>
              <w:rPr>
                <w:rFonts w:ascii="Avenir Next"/>
                <w:spacing w:val="-1"/>
                <w:sz w:val="20"/>
              </w:rPr>
              <w:t>index</w:t>
            </w:r>
            <w:r>
              <w:rPr>
                <w:rFonts w:ascii="Avenir Next"/>
                <w:sz w:val="20"/>
              </w:rPr>
              <w:t xml:space="preserve"> published by the</w:t>
            </w:r>
            <w:r>
              <w:rPr>
                <w:rFonts w:ascii="Avenir Next"/>
                <w:spacing w:val="-4"/>
                <w:sz w:val="20"/>
              </w:rPr>
              <w:t xml:space="preserve"> </w:t>
            </w:r>
            <w:r>
              <w:rPr>
                <w:rFonts w:ascii="Avenir Next"/>
                <w:spacing w:val="-1"/>
                <w:sz w:val="20"/>
              </w:rPr>
              <w:t>Australian</w:t>
            </w:r>
            <w:r>
              <w:rPr>
                <w:rFonts w:ascii="Avenir Next"/>
                <w:sz w:val="20"/>
              </w:rPr>
              <w:t xml:space="preserve"> </w:t>
            </w:r>
            <w:r>
              <w:rPr>
                <w:rFonts w:ascii="Avenir Next"/>
                <w:spacing w:val="-1"/>
                <w:sz w:val="20"/>
              </w:rPr>
              <w:t>Bureau</w:t>
            </w:r>
            <w:r>
              <w:rPr>
                <w:rFonts w:ascii="Avenir Next"/>
                <w:sz w:val="20"/>
              </w:rPr>
              <w:t xml:space="preserve"> of</w:t>
            </w:r>
            <w:r>
              <w:rPr>
                <w:rFonts w:ascii="Avenir Next"/>
                <w:spacing w:val="25"/>
                <w:sz w:val="20"/>
              </w:rPr>
              <w:t xml:space="preserve"> </w:t>
            </w:r>
            <w:r>
              <w:rPr>
                <w:rFonts w:ascii="Avenir Next"/>
                <w:spacing w:val="-1"/>
                <w:sz w:val="20"/>
              </w:rPr>
              <w:t>Statistics</w:t>
            </w:r>
          </w:p>
        </w:tc>
      </w:tr>
      <w:tr w:rsidR="00D96B91">
        <w:trPr>
          <w:trHeight w:hRule="exact" w:val="114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z w:val="20"/>
              </w:rPr>
              <w:t xml:space="preserve">cost </w:t>
            </w:r>
            <w:r>
              <w:rPr>
                <w:rFonts w:ascii="Avenir Next"/>
                <w:b/>
                <w:spacing w:val="-1"/>
                <w:sz w:val="20"/>
              </w:rPr>
              <w:t>pass-through</w:t>
            </w:r>
            <w:r>
              <w:rPr>
                <w:rFonts w:ascii="Avenir Next"/>
                <w:b/>
                <w:sz w:val="20"/>
              </w:rPr>
              <w:t xml:space="preserve"> mechanism</w:t>
            </w:r>
          </w:p>
        </w:tc>
        <w:tc>
          <w:tcPr>
            <w:tcW w:w="6576" w:type="dxa"/>
            <w:tcBorders>
              <w:top w:val="nil"/>
              <w:left w:val="nil"/>
              <w:bottom w:val="nil"/>
              <w:right w:val="nil"/>
            </w:tcBorders>
          </w:tcPr>
          <w:p w:rsidR="00D96B91" w:rsidRDefault="00C2656B">
            <w:pPr>
              <w:pStyle w:val="TableParagraph"/>
              <w:spacing w:before="18" w:line="260" w:lineRule="exact"/>
              <w:ind w:left="130" w:right="420"/>
              <w:rPr>
                <w:rFonts w:ascii="Avenir Next" w:eastAsia="Avenir Next" w:hAnsi="Avenir Next" w:cs="Avenir Next"/>
                <w:sz w:val="20"/>
                <w:szCs w:val="20"/>
              </w:rPr>
            </w:pPr>
            <w:r>
              <w:rPr>
                <w:rFonts w:ascii="Avenir Next"/>
                <w:sz w:val="20"/>
              </w:rPr>
              <w:t>A</w:t>
            </w:r>
            <w:r>
              <w:rPr>
                <w:rFonts w:ascii="Avenir Next"/>
                <w:spacing w:val="-4"/>
                <w:sz w:val="20"/>
              </w:rPr>
              <w:t xml:space="preserve"> </w:t>
            </w:r>
            <w:r>
              <w:rPr>
                <w:rFonts w:ascii="Avenir Next"/>
                <w:sz w:val="20"/>
              </w:rPr>
              <w:t>mechanism,</w:t>
            </w:r>
            <w:r>
              <w:rPr>
                <w:rFonts w:ascii="Avenir Next"/>
                <w:spacing w:val="-6"/>
                <w:sz w:val="20"/>
              </w:rPr>
              <w:t xml:space="preserve"> </w:t>
            </w:r>
            <w:r>
              <w:rPr>
                <w:rFonts w:ascii="Avenir Next"/>
                <w:spacing w:val="-1"/>
                <w:sz w:val="20"/>
              </w:rPr>
              <w:t>that</w:t>
            </w:r>
            <w:r>
              <w:rPr>
                <w:rFonts w:ascii="Avenir Next"/>
                <w:sz w:val="20"/>
              </w:rPr>
              <w:t xml:space="preserve"> enables a </w:t>
            </w:r>
            <w:r>
              <w:rPr>
                <w:rFonts w:ascii="Avenir Next"/>
                <w:spacing w:val="-1"/>
                <w:sz w:val="20"/>
              </w:rPr>
              <w:t>regulated</w:t>
            </w:r>
            <w:r>
              <w:rPr>
                <w:rFonts w:ascii="Avenir Next"/>
                <w:sz w:val="20"/>
              </w:rPr>
              <w:t xml:space="preserve"> business to </w:t>
            </w:r>
            <w:r>
              <w:rPr>
                <w:rFonts w:ascii="Avenir Next"/>
                <w:spacing w:val="-1"/>
                <w:sz w:val="20"/>
              </w:rPr>
              <w:t>recover</w:t>
            </w:r>
            <w:r>
              <w:rPr>
                <w:rFonts w:ascii="Avenir Next"/>
                <w:sz w:val="20"/>
              </w:rPr>
              <w:t xml:space="preserve"> </w:t>
            </w:r>
            <w:r>
              <w:rPr>
                <w:rFonts w:ascii="Avenir Next"/>
                <w:spacing w:val="-1"/>
                <w:sz w:val="20"/>
              </w:rPr>
              <w:t>certain</w:t>
            </w:r>
            <w:r>
              <w:rPr>
                <w:rFonts w:ascii="Avenir Next"/>
                <w:spacing w:val="23"/>
                <w:sz w:val="20"/>
              </w:rPr>
              <w:t xml:space="preserve"> </w:t>
            </w:r>
            <w:r>
              <w:rPr>
                <w:rFonts w:ascii="Avenir Next"/>
                <w:spacing w:val="-1"/>
                <w:sz w:val="20"/>
              </w:rPr>
              <w:t>uncontrollable</w:t>
            </w:r>
            <w:r>
              <w:rPr>
                <w:rFonts w:ascii="Avenir Next"/>
                <w:sz w:val="20"/>
              </w:rPr>
              <w:t xml:space="preserve"> costs </w:t>
            </w:r>
            <w:r>
              <w:rPr>
                <w:rFonts w:ascii="Avenir Next"/>
                <w:spacing w:val="-1"/>
                <w:sz w:val="20"/>
              </w:rPr>
              <w:t>through</w:t>
            </w:r>
            <w:r>
              <w:rPr>
                <w:rFonts w:ascii="Avenir Next"/>
                <w:sz w:val="20"/>
              </w:rPr>
              <w:t xml:space="preserve"> over the </w:t>
            </w:r>
            <w:r>
              <w:rPr>
                <w:rFonts w:ascii="Avenir Next"/>
                <w:spacing w:val="-1"/>
                <w:sz w:val="20"/>
              </w:rPr>
              <w:t>regulatory</w:t>
            </w:r>
            <w:r>
              <w:rPr>
                <w:rFonts w:ascii="Avenir Next"/>
                <w:sz w:val="20"/>
              </w:rPr>
              <w:t xml:space="preserve"> period (eg,</w:t>
            </w:r>
            <w:r>
              <w:rPr>
                <w:rFonts w:ascii="Avenir Next"/>
                <w:spacing w:val="35"/>
                <w:sz w:val="20"/>
              </w:rPr>
              <w:t xml:space="preserve"> </w:t>
            </w:r>
            <w:r>
              <w:rPr>
                <w:rFonts w:ascii="Avenir Next"/>
                <w:sz w:val="20"/>
              </w:rPr>
              <w:t xml:space="preserve">changes in the </w:t>
            </w:r>
            <w:r>
              <w:rPr>
                <w:rFonts w:ascii="Avenir Next"/>
                <w:spacing w:val="-1"/>
                <w:sz w:val="20"/>
              </w:rPr>
              <w:t>water</w:t>
            </w:r>
            <w:r>
              <w:rPr>
                <w:rFonts w:ascii="Avenir Next"/>
                <w:sz w:val="20"/>
              </w:rPr>
              <w:t xml:space="preserve"> </w:t>
            </w:r>
            <w:r>
              <w:rPr>
                <w:rFonts w:ascii="Avenir Next"/>
                <w:spacing w:val="-1"/>
                <w:sz w:val="20"/>
              </w:rPr>
              <w:t>abstraction</w:t>
            </w:r>
            <w:r>
              <w:rPr>
                <w:rFonts w:ascii="Avenir Next"/>
                <w:sz w:val="20"/>
              </w:rPr>
              <w:t xml:space="preserve"> </w:t>
            </w:r>
            <w:r>
              <w:rPr>
                <w:rFonts w:ascii="Avenir Next"/>
                <w:spacing w:val="-1"/>
                <w:sz w:val="20"/>
              </w:rPr>
              <w:t>charge,</w:t>
            </w:r>
            <w:r>
              <w:rPr>
                <w:rFonts w:ascii="Avenir Next"/>
                <w:spacing w:val="-7"/>
                <w:sz w:val="20"/>
              </w:rPr>
              <w:t xml:space="preserve"> </w:t>
            </w:r>
            <w:r>
              <w:rPr>
                <w:rFonts w:ascii="Avenir Next"/>
                <w:sz w:val="20"/>
              </w:rPr>
              <w:t>and changes in other</w:t>
            </w:r>
            <w:r>
              <w:rPr>
                <w:rFonts w:ascii="Avenir Next"/>
                <w:spacing w:val="27"/>
                <w:sz w:val="20"/>
              </w:rPr>
              <w:t xml:space="preserve"> </w:t>
            </w:r>
            <w:r>
              <w:rPr>
                <w:rFonts w:ascii="Avenir Next"/>
                <w:sz w:val="20"/>
              </w:rPr>
              <w:t xml:space="preserve">government </w:t>
            </w:r>
            <w:r>
              <w:rPr>
                <w:rFonts w:ascii="Avenir Next"/>
                <w:spacing w:val="-1"/>
                <w:sz w:val="20"/>
              </w:rPr>
              <w:t>charges)</w:t>
            </w:r>
          </w:p>
        </w:tc>
      </w:tr>
      <w:tr w:rsidR="00D96B91">
        <w:trPr>
          <w:trHeight w:hRule="exact" w:val="36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pacing w:val="-1"/>
                <w:sz w:val="20"/>
              </w:rPr>
              <w:t>current</w:t>
            </w:r>
            <w:r>
              <w:rPr>
                <w:rFonts w:ascii="Avenir Next"/>
                <w:b/>
                <w:sz w:val="20"/>
              </w:rPr>
              <w:t xml:space="preserve"> </w:t>
            </w:r>
            <w:r>
              <w:rPr>
                <w:rFonts w:ascii="Avenir Next"/>
                <w:b/>
                <w:spacing w:val="-1"/>
                <w:sz w:val="20"/>
              </w:rPr>
              <w:t>regulatory</w:t>
            </w:r>
            <w:r>
              <w:rPr>
                <w:rFonts w:ascii="Avenir Next"/>
                <w:b/>
                <w:sz w:val="20"/>
              </w:rPr>
              <w:t xml:space="preserve"> period</w:t>
            </w:r>
          </w:p>
        </w:tc>
        <w:tc>
          <w:tcPr>
            <w:tcW w:w="6576" w:type="dxa"/>
            <w:tcBorders>
              <w:top w:val="nil"/>
              <w:left w:val="nil"/>
              <w:bottom w:val="nil"/>
              <w:right w:val="nil"/>
            </w:tcBorders>
          </w:tcPr>
          <w:p w:rsidR="00D96B91" w:rsidRDefault="00C2656B">
            <w:pPr>
              <w:pStyle w:val="TableParagraph"/>
              <w:spacing w:before="26"/>
              <w:ind w:left="130"/>
              <w:rPr>
                <w:rFonts w:ascii="Avenir Next" w:eastAsia="Avenir Next" w:hAnsi="Avenir Next" w:cs="Avenir Next"/>
                <w:sz w:val="20"/>
                <w:szCs w:val="20"/>
              </w:rPr>
            </w:pPr>
            <w:r>
              <w:rPr>
                <w:rFonts w:ascii="Avenir Next"/>
                <w:spacing w:val="-2"/>
                <w:sz w:val="20"/>
              </w:rPr>
              <w:t>The</w:t>
            </w:r>
            <w:r>
              <w:rPr>
                <w:rFonts w:ascii="Avenir Next"/>
                <w:sz w:val="20"/>
              </w:rPr>
              <w:t xml:space="preserve"> period commencing 1</w:t>
            </w:r>
            <w:r>
              <w:rPr>
                <w:rFonts w:ascii="Avenir Next"/>
                <w:spacing w:val="-3"/>
                <w:sz w:val="20"/>
              </w:rPr>
              <w:t xml:space="preserve"> </w:t>
            </w:r>
            <w:r>
              <w:rPr>
                <w:rFonts w:ascii="Avenir Next"/>
                <w:sz w:val="20"/>
              </w:rPr>
              <w:t xml:space="preserve">July 2013 and </w:t>
            </w:r>
            <w:r>
              <w:rPr>
                <w:rFonts w:ascii="Avenir Next"/>
                <w:spacing w:val="-1"/>
                <w:sz w:val="20"/>
              </w:rPr>
              <w:t>expiring</w:t>
            </w:r>
            <w:r>
              <w:rPr>
                <w:rFonts w:ascii="Avenir Next"/>
                <w:sz w:val="20"/>
              </w:rPr>
              <w:t xml:space="preserve"> 30</w:t>
            </w:r>
            <w:r>
              <w:rPr>
                <w:rFonts w:ascii="Avenir Next"/>
                <w:spacing w:val="-3"/>
                <w:sz w:val="20"/>
              </w:rPr>
              <w:t xml:space="preserve"> </w:t>
            </w:r>
            <w:r>
              <w:rPr>
                <w:rFonts w:ascii="Avenir Next"/>
                <w:sz w:val="20"/>
              </w:rPr>
              <w:t>June 2018</w:t>
            </w:r>
          </w:p>
        </w:tc>
      </w:tr>
      <w:tr w:rsidR="00D96B91">
        <w:trPr>
          <w:trHeight w:hRule="exact" w:val="88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pacing w:val="-1"/>
                <w:sz w:val="20"/>
              </w:rPr>
              <w:t>deadband</w:t>
            </w:r>
          </w:p>
        </w:tc>
        <w:tc>
          <w:tcPr>
            <w:tcW w:w="6576" w:type="dxa"/>
            <w:tcBorders>
              <w:top w:val="nil"/>
              <w:left w:val="nil"/>
              <w:bottom w:val="nil"/>
              <w:right w:val="nil"/>
            </w:tcBorders>
          </w:tcPr>
          <w:p w:rsidR="00D96B91" w:rsidRDefault="00C2656B">
            <w:pPr>
              <w:pStyle w:val="TableParagraph"/>
              <w:spacing w:before="18" w:line="260" w:lineRule="exact"/>
              <w:ind w:left="130" w:right="228"/>
              <w:rPr>
                <w:rFonts w:ascii="Avenir Next" w:eastAsia="Avenir Next" w:hAnsi="Avenir Next" w:cs="Avenir Next"/>
                <w:sz w:val="20"/>
                <w:szCs w:val="20"/>
              </w:rPr>
            </w:pPr>
            <w:r>
              <w:rPr>
                <w:rFonts w:ascii="Avenir Next"/>
                <w:spacing w:val="-2"/>
                <w:sz w:val="20"/>
              </w:rPr>
              <w:t>The</w:t>
            </w:r>
            <w:r>
              <w:rPr>
                <w:rFonts w:ascii="Avenir Next"/>
                <w:sz w:val="20"/>
              </w:rPr>
              <w:t xml:space="preserve"> </w:t>
            </w:r>
            <w:r>
              <w:rPr>
                <w:rFonts w:ascii="Avenir Next"/>
                <w:spacing w:val="-1"/>
                <w:sz w:val="20"/>
              </w:rPr>
              <w:t>range</w:t>
            </w:r>
            <w:r>
              <w:rPr>
                <w:rFonts w:ascii="Avenir Next"/>
                <w:sz w:val="20"/>
              </w:rPr>
              <w:t xml:space="preserve"> </w:t>
            </w:r>
            <w:r>
              <w:rPr>
                <w:rFonts w:ascii="Avenir Next"/>
                <w:spacing w:val="-1"/>
                <w:sz w:val="20"/>
              </w:rPr>
              <w:t>around</w:t>
            </w:r>
            <w:r>
              <w:rPr>
                <w:rFonts w:ascii="Avenir Next"/>
                <w:sz w:val="20"/>
              </w:rPr>
              <w:t xml:space="preserve"> </w:t>
            </w:r>
            <w:r>
              <w:rPr>
                <w:rFonts w:ascii="Avenir Next"/>
                <w:spacing w:val="-1"/>
                <w:sz w:val="20"/>
              </w:rPr>
              <w:t>water</w:t>
            </w:r>
            <w:r>
              <w:rPr>
                <w:rFonts w:ascii="Avenir Next"/>
                <w:sz w:val="20"/>
              </w:rPr>
              <w:t xml:space="preserve"> sales </w:t>
            </w:r>
            <w:r>
              <w:rPr>
                <w:rFonts w:ascii="Avenir Next"/>
                <w:spacing w:val="-1"/>
                <w:sz w:val="20"/>
              </w:rPr>
              <w:t>revenue,</w:t>
            </w:r>
            <w:r>
              <w:rPr>
                <w:rFonts w:ascii="Avenir Next"/>
                <w:spacing w:val="-6"/>
                <w:sz w:val="20"/>
              </w:rPr>
              <w:t xml:space="preserve"> </w:t>
            </w:r>
            <w:r>
              <w:rPr>
                <w:rFonts w:ascii="Avenir Next"/>
                <w:sz w:val="20"/>
              </w:rPr>
              <w:t xml:space="preserve">beyond which </w:t>
            </w:r>
            <w:r>
              <w:rPr>
                <w:rFonts w:ascii="Avenir Next"/>
                <w:spacing w:val="-1"/>
                <w:sz w:val="20"/>
              </w:rPr>
              <w:t>compensatory</w:t>
            </w:r>
            <w:r>
              <w:rPr>
                <w:rFonts w:ascii="Avenir Next"/>
                <w:spacing w:val="45"/>
                <w:sz w:val="20"/>
              </w:rPr>
              <w:t xml:space="preserve"> </w:t>
            </w:r>
            <w:r>
              <w:rPr>
                <w:rFonts w:ascii="Avenir Next"/>
                <w:sz w:val="20"/>
              </w:rPr>
              <w:t xml:space="preserve">adjustments </w:t>
            </w:r>
            <w:r>
              <w:rPr>
                <w:rFonts w:ascii="Avenir Next"/>
                <w:spacing w:val="-2"/>
                <w:sz w:val="20"/>
              </w:rPr>
              <w:t>are</w:t>
            </w:r>
            <w:r>
              <w:rPr>
                <w:rFonts w:ascii="Avenir Next"/>
                <w:sz w:val="20"/>
              </w:rPr>
              <w:t xml:space="preserve"> made to the </w:t>
            </w:r>
            <w:r>
              <w:rPr>
                <w:rFonts w:ascii="Avenir Next"/>
                <w:spacing w:val="-1"/>
                <w:sz w:val="20"/>
              </w:rPr>
              <w:t>revenue</w:t>
            </w:r>
            <w:r>
              <w:rPr>
                <w:rFonts w:ascii="Avenir Next"/>
                <w:sz w:val="20"/>
              </w:rPr>
              <w:t xml:space="preserve"> </w:t>
            </w:r>
            <w:r>
              <w:rPr>
                <w:rFonts w:ascii="Avenir Next"/>
                <w:spacing w:val="-1"/>
                <w:sz w:val="20"/>
              </w:rPr>
              <w:t>requirement</w:t>
            </w:r>
            <w:r>
              <w:rPr>
                <w:rFonts w:ascii="Avenir Next"/>
                <w:sz w:val="20"/>
              </w:rPr>
              <w:t xml:space="preserve"> in the</w:t>
            </w:r>
            <w:r>
              <w:rPr>
                <w:rFonts w:ascii="Avenir Next"/>
                <w:spacing w:val="29"/>
                <w:sz w:val="20"/>
              </w:rPr>
              <w:t xml:space="preserve"> </w:t>
            </w:r>
            <w:r>
              <w:rPr>
                <w:rFonts w:ascii="Avenir Next"/>
                <w:sz w:val="20"/>
              </w:rPr>
              <w:t xml:space="preserve">subsequent </w:t>
            </w:r>
            <w:r>
              <w:rPr>
                <w:rFonts w:ascii="Avenir Next"/>
                <w:spacing w:val="-1"/>
                <w:sz w:val="20"/>
              </w:rPr>
              <w:t>regulatory</w:t>
            </w:r>
            <w:r>
              <w:rPr>
                <w:rFonts w:ascii="Avenir Next"/>
                <w:sz w:val="20"/>
              </w:rPr>
              <w:t xml:space="preserve"> period</w:t>
            </w:r>
          </w:p>
        </w:tc>
      </w:tr>
      <w:tr w:rsidR="00D96B91">
        <w:trPr>
          <w:trHeight w:hRule="exact" w:val="860"/>
        </w:trPr>
        <w:tc>
          <w:tcPr>
            <w:tcW w:w="3104"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b/>
                <w:spacing w:val="-1"/>
                <w:sz w:val="20"/>
              </w:rPr>
              <w:t>depreciation</w:t>
            </w:r>
          </w:p>
        </w:tc>
        <w:tc>
          <w:tcPr>
            <w:tcW w:w="6576" w:type="dxa"/>
            <w:tcBorders>
              <w:top w:val="nil"/>
              <w:left w:val="nil"/>
              <w:bottom w:val="nil"/>
              <w:right w:val="nil"/>
            </w:tcBorders>
          </w:tcPr>
          <w:p w:rsidR="00D96B91" w:rsidRDefault="00C2656B">
            <w:pPr>
              <w:pStyle w:val="TableParagraph"/>
              <w:spacing w:before="18" w:line="260" w:lineRule="exact"/>
              <w:ind w:left="130" w:right="706"/>
              <w:jc w:val="both"/>
              <w:rPr>
                <w:rFonts w:ascii="Avenir Next" w:eastAsia="Avenir Next" w:hAnsi="Avenir Next" w:cs="Avenir Next"/>
                <w:sz w:val="20"/>
                <w:szCs w:val="20"/>
              </w:rPr>
            </w:pPr>
            <w:r>
              <w:rPr>
                <w:rFonts w:ascii="Avenir Next"/>
                <w:sz w:val="20"/>
              </w:rPr>
              <w:t xml:space="preserve">An allowance </w:t>
            </w:r>
            <w:r>
              <w:rPr>
                <w:rFonts w:ascii="Avenir Next"/>
                <w:spacing w:val="-1"/>
                <w:sz w:val="20"/>
              </w:rPr>
              <w:t>that</w:t>
            </w:r>
            <w:r>
              <w:rPr>
                <w:rFonts w:ascii="Avenir Next"/>
                <w:sz w:val="20"/>
              </w:rPr>
              <w:t xml:space="preserve"> enables the </w:t>
            </w:r>
            <w:r>
              <w:rPr>
                <w:rFonts w:ascii="Avenir Next"/>
                <w:spacing w:val="-1"/>
                <w:sz w:val="20"/>
              </w:rPr>
              <w:t>regulated</w:t>
            </w:r>
            <w:r>
              <w:rPr>
                <w:rFonts w:ascii="Avenir Next"/>
                <w:sz w:val="20"/>
              </w:rPr>
              <w:t xml:space="preserve"> business to </w:t>
            </w:r>
            <w:r>
              <w:rPr>
                <w:rFonts w:ascii="Avenir Next"/>
                <w:spacing w:val="-1"/>
                <w:sz w:val="20"/>
              </w:rPr>
              <w:t>recover</w:t>
            </w:r>
            <w:r>
              <w:rPr>
                <w:rFonts w:ascii="Avenir Next"/>
                <w:sz w:val="20"/>
              </w:rPr>
              <w:t xml:space="preserve"> its</w:t>
            </w:r>
            <w:r>
              <w:rPr>
                <w:rFonts w:ascii="Avenir Next"/>
                <w:spacing w:val="28"/>
                <w:sz w:val="20"/>
              </w:rPr>
              <w:t xml:space="preserve"> </w:t>
            </w:r>
            <w:r>
              <w:rPr>
                <w:rFonts w:ascii="Avenir Next"/>
                <w:sz w:val="20"/>
              </w:rPr>
              <w:t>investment in the asset over the economic life of</w:t>
            </w:r>
            <w:r>
              <w:rPr>
                <w:rFonts w:ascii="Avenir Next"/>
                <w:spacing w:val="4"/>
                <w:sz w:val="20"/>
              </w:rPr>
              <w:t xml:space="preserve"> </w:t>
            </w:r>
            <w:r>
              <w:rPr>
                <w:rFonts w:ascii="Avenir Next"/>
                <w:sz w:val="20"/>
              </w:rPr>
              <w:t xml:space="preserve">the asset (also </w:t>
            </w:r>
            <w:r>
              <w:rPr>
                <w:rFonts w:ascii="Avenir Next"/>
                <w:spacing w:val="-1"/>
                <w:sz w:val="20"/>
              </w:rPr>
              <w:t>referred</w:t>
            </w:r>
            <w:r>
              <w:rPr>
                <w:rFonts w:ascii="Avenir Next"/>
                <w:sz w:val="20"/>
              </w:rPr>
              <w:t xml:space="preserve"> to as the </w:t>
            </w:r>
            <w:r>
              <w:rPr>
                <w:rFonts w:ascii="Avenir Next"/>
                <w:spacing w:val="-1"/>
                <w:sz w:val="20"/>
              </w:rPr>
              <w:t>return</w:t>
            </w:r>
            <w:r>
              <w:rPr>
                <w:rFonts w:ascii="Avenir Next"/>
                <w:sz w:val="20"/>
              </w:rPr>
              <w:t xml:space="preserve"> of</w:t>
            </w:r>
            <w:r>
              <w:rPr>
                <w:rFonts w:ascii="Avenir Next"/>
                <w:spacing w:val="4"/>
                <w:sz w:val="20"/>
              </w:rPr>
              <w:t xml:space="preserve"> </w:t>
            </w:r>
            <w:r>
              <w:rPr>
                <w:rFonts w:ascii="Avenir Next"/>
                <w:sz w:val="20"/>
              </w:rPr>
              <w:t>capital)</w:t>
            </w:r>
          </w:p>
        </w:tc>
      </w:tr>
    </w:tbl>
    <w:p w:rsidR="00D96B91" w:rsidRDefault="00C2656B">
      <w:pPr>
        <w:spacing w:before="46" w:line="267" w:lineRule="exact"/>
        <w:ind w:left="1327"/>
        <w:rPr>
          <w:rFonts w:ascii="Avenir Next" w:eastAsia="Avenir Next" w:hAnsi="Avenir Next" w:cs="Avenir Next"/>
          <w:sz w:val="20"/>
          <w:szCs w:val="20"/>
        </w:rPr>
      </w:pPr>
      <w:r>
        <w:rPr>
          <w:rFonts w:ascii="Avenir Next"/>
          <w:b/>
          <w:spacing w:val="-1"/>
          <w:sz w:val="20"/>
        </w:rPr>
        <w:t>fixed</w:t>
      </w:r>
      <w:r>
        <w:rPr>
          <w:rFonts w:ascii="Avenir Next"/>
          <w:b/>
          <w:sz w:val="20"/>
        </w:rPr>
        <w:t xml:space="preserve"> </w:t>
      </w:r>
      <w:r>
        <w:rPr>
          <w:rFonts w:ascii="Avenir Next"/>
          <w:b/>
          <w:spacing w:val="-1"/>
          <w:sz w:val="20"/>
        </w:rPr>
        <w:t>charge</w:t>
      </w:r>
      <w:r>
        <w:rPr>
          <w:rFonts w:ascii="Avenir Next"/>
          <w:b/>
          <w:sz w:val="20"/>
        </w:rPr>
        <w:t xml:space="preserve"> / </w:t>
      </w:r>
      <w:r>
        <w:rPr>
          <w:rFonts w:ascii="Avenir Next"/>
          <w:b/>
          <w:spacing w:val="-1"/>
          <w:sz w:val="20"/>
        </w:rPr>
        <w:t>fixed</w:t>
      </w:r>
      <w:r>
        <w:rPr>
          <w:rFonts w:ascii="Avenir Next"/>
          <w:b/>
          <w:sz w:val="20"/>
        </w:rPr>
        <w:t xml:space="preserve"> service fee  </w:t>
      </w:r>
      <w:r>
        <w:rPr>
          <w:rFonts w:ascii="Avenir Next"/>
          <w:b/>
          <w:spacing w:val="21"/>
          <w:sz w:val="20"/>
        </w:rPr>
        <w:t xml:space="preserve"> </w:t>
      </w:r>
      <w:r>
        <w:rPr>
          <w:rFonts w:ascii="Avenir Next"/>
          <w:sz w:val="20"/>
        </w:rPr>
        <w:t>A</w:t>
      </w:r>
      <w:r>
        <w:rPr>
          <w:rFonts w:ascii="Avenir Next"/>
          <w:spacing w:val="-4"/>
          <w:sz w:val="20"/>
        </w:rPr>
        <w:t xml:space="preserve"> </w:t>
      </w:r>
      <w:r>
        <w:rPr>
          <w:rFonts w:ascii="Avenir Next"/>
          <w:spacing w:val="-1"/>
          <w:sz w:val="20"/>
        </w:rPr>
        <w:t>charge</w:t>
      </w:r>
      <w:r>
        <w:rPr>
          <w:rFonts w:ascii="Avenir Next"/>
          <w:sz w:val="20"/>
        </w:rPr>
        <w:t xml:space="preserve"> for a service </w:t>
      </w:r>
      <w:r>
        <w:rPr>
          <w:rFonts w:ascii="Avenir Next"/>
          <w:spacing w:val="-1"/>
          <w:sz w:val="20"/>
        </w:rPr>
        <w:t>that</w:t>
      </w:r>
      <w:r>
        <w:rPr>
          <w:rFonts w:ascii="Avenir Next"/>
          <w:sz w:val="20"/>
        </w:rPr>
        <w:t xml:space="preserve"> is the same </w:t>
      </w:r>
      <w:r>
        <w:rPr>
          <w:rFonts w:ascii="Avenir Next"/>
          <w:spacing w:val="-1"/>
          <w:sz w:val="20"/>
        </w:rPr>
        <w:t>regardless</w:t>
      </w:r>
      <w:r>
        <w:rPr>
          <w:rFonts w:ascii="Avenir Next"/>
          <w:sz w:val="20"/>
        </w:rPr>
        <w:t xml:space="preserve"> of</w:t>
      </w:r>
      <w:r>
        <w:rPr>
          <w:rFonts w:ascii="Avenir Next"/>
          <w:spacing w:val="4"/>
          <w:sz w:val="20"/>
        </w:rPr>
        <w:t xml:space="preserve"> </w:t>
      </w:r>
      <w:r>
        <w:rPr>
          <w:rFonts w:ascii="Avenir Next"/>
          <w:sz w:val="20"/>
        </w:rPr>
        <w:t>the quantity</w:t>
      </w:r>
    </w:p>
    <w:p w:rsidR="00D96B91" w:rsidRDefault="00C2656B">
      <w:pPr>
        <w:pStyle w:val="BodyText"/>
        <w:spacing w:line="267" w:lineRule="exact"/>
        <w:ind w:left="2506" w:right="5298"/>
        <w:jc w:val="center"/>
        <w:rPr>
          <w:rFonts w:cs="Avenir Next"/>
        </w:rPr>
      </w:pPr>
      <w:r>
        <w:t>used</w:t>
      </w:r>
    </w:p>
    <w:p w:rsidR="00D96B91" w:rsidRDefault="00C2656B">
      <w:pPr>
        <w:tabs>
          <w:tab w:val="left" w:pos="4331"/>
        </w:tabs>
        <w:spacing w:before="87" w:line="267" w:lineRule="exact"/>
        <w:ind w:left="1327"/>
        <w:rPr>
          <w:rFonts w:ascii="Avenir Next" w:eastAsia="Avenir Next" w:hAnsi="Avenir Next" w:cs="Avenir Next"/>
          <w:sz w:val="20"/>
          <w:szCs w:val="20"/>
        </w:rPr>
      </w:pPr>
      <w:r>
        <w:rPr>
          <w:rFonts w:ascii="Avenir Next"/>
          <w:b/>
          <w:sz w:val="20"/>
        </w:rPr>
        <w:t>form of</w:t>
      </w:r>
      <w:r>
        <w:rPr>
          <w:rFonts w:ascii="Avenir Next"/>
          <w:b/>
          <w:spacing w:val="4"/>
          <w:sz w:val="20"/>
        </w:rPr>
        <w:t xml:space="preserve"> </w:t>
      </w:r>
      <w:r>
        <w:rPr>
          <w:rFonts w:ascii="Avenir Next"/>
          <w:b/>
          <w:sz w:val="20"/>
        </w:rPr>
        <w:t xml:space="preserve">price </w:t>
      </w:r>
      <w:r>
        <w:rPr>
          <w:rFonts w:ascii="Avenir Next"/>
          <w:b/>
          <w:spacing w:val="-1"/>
          <w:sz w:val="20"/>
        </w:rPr>
        <w:t>control</w:t>
      </w:r>
      <w:r>
        <w:rPr>
          <w:rFonts w:ascii="Avenir Next"/>
          <w:b/>
          <w:spacing w:val="-1"/>
          <w:sz w:val="20"/>
        </w:rPr>
        <w:tab/>
      </w:r>
      <w:r>
        <w:rPr>
          <w:rFonts w:ascii="Avenir Next"/>
          <w:spacing w:val="-2"/>
          <w:sz w:val="20"/>
        </w:rPr>
        <w:t>The</w:t>
      </w:r>
      <w:r>
        <w:rPr>
          <w:rFonts w:ascii="Avenir Next"/>
          <w:sz w:val="20"/>
        </w:rPr>
        <w:t xml:space="preserve"> manner in which prices or </w:t>
      </w:r>
      <w:r>
        <w:rPr>
          <w:rFonts w:ascii="Avenir Next"/>
          <w:spacing w:val="-1"/>
          <w:sz w:val="20"/>
        </w:rPr>
        <w:t>revenue</w:t>
      </w:r>
      <w:r>
        <w:rPr>
          <w:rFonts w:ascii="Avenir Next"/>
          <w:sz w:val="20"/>
        </w:rPr>
        <w:t xml:space="preserve"> </w:t>
      </w:r>
      <w:r>
        <w:rPr>
          <w:rFonts w:ascii="Avenir Next"/>
          <w:spacing w:val="-2"/>
          <w:sz w:val="20"/>
        </w:rPr>
        <w:t>are</w:t>
      </w:r>
      <w:r>
        <w:rPr>
          <w:rFonts w:ascii="Avenir Next"/>
          <w:sz w:val="20"/>
        </w:rPr>
        <w:t xml:space="preserve"> </w:t>
      </w:r>
      <w:r>
        <w:rPr>
          <w:rFonts w:ascii="Avenir Next"/>
          <w:spacing w:val="-1"/>
          <w:sz w:val="20"/>
        </w:rPr>
        <w:t>regulated</w:t>
      </w:r>
      <w:r>
        <w:rPr>
          <w:rFonts w:ascii="Avenir Next"/>
          <w:sz w:val="20"/>
        </w:rPr>
        <w:t xml:space="preserve"> - for </w:t>
      </w:r>
      <w:r>
        <w:rPr>
          <w:rFonts w:ascii="Avenir Next"/>
          <w:spacing w:val="-1"/>
          <w:sz w:val="20"/>
        </w:rPr>
        <w:t>example,</w:t>
      </w:r>
    </w:p>
    <w:p w:rsidR="00D96B91" w:rsidRDefault="00C2656B">
      <w:pPr>
        <w:pStyle w:val="BodyText"/>
        <w:spacing w:line="267" w:lineRule="exact"/>
        <w:ind w:left="808" w:right="1603"/>
        <w:jc w:val="center"/>
        <w:rPr>
          <w:rFonts w:cs="Avenir Next"/>
        </w:rPr>
      </w:pPr>
      <w:r>
        <w:t xml:space="preserve">price caps or </w:t>
      </w:r>
      <w:r>
        <w:rPr>
          <w:spacing w:val="-1"/>
        </w:rPr>
        <w:t>revenue</w:t>
      </w:r>
      <w:r>
        <w:t xml:space="preserve"> caps</w:t>
      </w:r>
    </w:p>
    <w:p w:rsidR="00D96B91" w:rsidRDefault="00C2656B">
      <w:pPr>
        <w:tabs>
          <w:tab w:val="left" w:pos="4331"/>
        </w:tabs>
        <w:spacing w:before="87" w:line="267" w:lineRule="exact"/>
        <w:ind w:left="1327"/>
        <w:rPr>
          <w:rFonts w:ascii="Avenir Next" w:eastAsia="Avenir Next" w:hAnsi="Avenir Next" w:cs="Avenir Next"/>
          <w:sz w:val="20"/>
          <w:szCs w:val="20"/>
        </w:rPr>
      </w:pPr>
      <w:r>
        <w:rPr>
          <w:rFonts w:ascii="Avenir Next"/>
          <w:b/>
          <w:sz w:val="20"/>
        </w:rPr>
        <w:t xml:space="preserve">inclining block </w:t>
      </w:r>
      <w:r>
        <w:rPr>
          <w:rFonts w:ascii="Avenir Next"/>
          <w:b/>
          <w:spacing w:val="-1"/>
          <w:sz w:val="20"/>
        </w:rPr>
        <w:t>tariff</w:t>
      </w:r>
      <w:r>
        <w:rPr>
          <w:rFonts w:ascii="Avenir Next"/>
          <w:b/>
          <w:spacing w:val="-1"/>
          <w:sz w:val="20"/>
        </w:rPr>
        <w:tab/>
      </w:r>
      <w:r>
        <w:rPr>
          <w:rFonts w:ascii="Avenir Next"/>
          <w:spacing w:val="-2"/>
          <w:sz w:val="20"/>
        </w:rPr>
        <w:t>The</w:t>
      </w:r>
      <w:r>
        <w:rPr>
          <w:rFonts w:ascii="Avenir Next"/>
          <w:sz w:val="20"/>
        </w:rPr>
        <w:t xml:space="preserve"> </w:t>
      </w:r>
      <w:r>
        <w:rPr>
          <w:rFonts w:ascii="Avenir Next"/>
          <w:spacing w:val="-1"/>
          <w:sz w:val="20"/>
        </w:rPr>
        <w:t>provision</w:t>
      </w:r>
      <w:r>
        <w:rPr>
          <w:rFonts w:ascii="Avenir Next"/>
          <w:sz w:val="20"/>
        </w:rPr>
        <w:t xml:space="preserve"> of</w:t>
      </w:r>
      <w:r>
        <w:rPr>
          <w:rFonts w:ascii="Avenir Next"/>
          <w:spacing w:val="4"/>
          <w:sz w:val="20"/>
        </w:rPr>
        <w:t xml:space="preserve"> </w:t>
      </w:r>
      <w:r>
        <w:rPr>
          <w:rFonts w:ascii="Avenir Next"/>
          <w:sz w:val="20"/>
        </w:rPr>
        <w:t xml:space="preserve">two or </w:t>
      </w:r>
      <w:r>
        <w:rPr>
          <w:rFonts w:ascii="Avenir Next"/>
          <w:spacing w:val="-1"/>
          <w:sz w:val="20"/>
        </w:rPr>
        <w:t>more</w:t>
      </w:r>
      <w:r>
        <w:rPr>
          <w:rFonts w:ascii="Avenir Next"/>
          <w:sz w:val="20"/>
        </w:rPr>
        <w:t xml:space="preserve"> prices for </w:t>
      </w:r>
      <w:r>
        <w:rPr>
          <w:rFonts w:ascii="Avenir Next"/>
          <w:spacing w:val="-1"/>
          <w:sz w:val="20"/>
        </w:rPr>
        <w:t>water</w:t>
      </w:r>
      <w:r>
        <w:rPr>
          <w:rFonts w:ascii="Avenir Next"/>
          <w:sz w:val="20"/>
        </w:rPr>
        <w:t xml:space="preserve"> used,</w:t>
      </w:r>
      <w:r>
        <w:rPr>
          <w:rFonts w:ascii="Avenir Next"/>
          <w:spacing w:val="-6"/>
          <w:sz w:val="20"/>
        </w:rPr>
        <w:t xml:space="preserve"> </w:t>
      </w:r>
      <w:r>
        <w:rPr>
          <w:rFonts w:ascii="Avenir Next"/>
          <w:spacing w:val="-1"/>
          <w:sz w:val="20"/>
        </w:rPr>
        <w:t>whereby</w:t>
      </w:r>
      <w:r>
        <w:rPr>
          <w:rFonts w:ascii="Avenir Next"/>
          <w:sz w:val="20"/>
        </w:rPr>
        <w:t xml:space="preserve"> </w:t>
      </w:r>
      <w:r>
        <w:rPr>
          <w:rFonts w:ascii="Avenir Next"/>
          <w:spacing w:val="-1"/>
          <w:sz w:val="20"/>
        </w:rPr>
        <w:t>each</w:t>
      </w:r>
    </w:p>
    <w:p w:rsidR="00D96B91" w:rsidRDefault="00C2656B">
      <w:pPr>
        <w:pStyle w:val="BodyText"/>
        <w:spacing w:before="3" w:line="228" w:lineRule="auto"/>
        <w:ind w:left="4332" w:right="1513"/>
        <w:rPr>
          <w:rFonts w:cs="Avenir Next"/>
        </w:rPr>
      </w:pPr>
      <w:r>
        <w:t>price</w:t>
      </w:r>
      <w:r>
        <w:rPr>
          <w:spacing w:val="-1"/>
        </w:rPr>
        <w:t xml:space="preserve"> </w:t>
      </w:r>
      <w:r>
        <w:t>applies</w:t>
      </w:r>
      <w:r>
        <w:rPr>
          <w:spacing w:val="-1"/>
        </w:rPr>
        <w:t xml:space="preserve"> </w:t>
      </w:r>
      <w:r>
        <w:t>to a</w:t>
      </w:r>
      <w:r>
        <w:rPr>
          <w:spacing w:val="-1"/>
        </w:rPr>
        <w:t xml:space="preserve"> customer’s </w:t>
      </w:r>
      <w:r>
        <w:t>use within</w:t>
      </w:r>
      <w:r>
        <w:rPr>
          <w:spacing w:val="-1"/>
        </w:rPr>
        <w:t xml:space="preserve"> </w:t>
      </w:r>
      <w:r>
        <w:t>a</w:t>
      </w:r>
      <w:r>
        <w:rPr>
          <w:spacing w:val="-1"/>
        </w:rPr>
        <w:t xml:space="preserve"> </w:t>
      </w:r>
      <w:r>
        <w:t xml:space="preserve">defined </w:t>
      </w:r>
      <w:r>
        <w:rPr>
          <w:spacing w:val="-2"/>
        </w:rPr>
        <w:t>tier.</w:t>
      </w:r>
      <w:r>
        <w:rPr>
          <w:spacing w:val="-7"/>
        </w:rPr>
        <w:t xml:space="preserve"> </w:t>
      </w:r>
      <w:r>
        <w:rPr>
          <w:spacing w:val="-2"/>
        </w:rPr>
        <w:t>Prices</w:t>
      </w:r>
      <w:r>
        <w:rPr>
          <w:spacing w:val="-1"/>
        </w:rPr>
        <w:t xml:space="preserve"> </w:t>
      </w:r>
      <w:r>
        <w:t>rise</w:t>
      </w:r>
      <w:r>
        <w:rPr>
          <w:spacing w:val="26"/>
        </w:rPr>
        <w:t xml:space="preserve"> </w:t>
      </w:r>
      <w:r>
        <w:rPr>
          <w:rFonts w:cs="Avenir Next"/>
        </w:rPr>
        <w:t xml:space="preserve">with </w:t>
      </w:r>
      <w:r>
        <w:rPr>
          <w:rFonts w:cs="Avenir Next"/>
          <w:spacing w:val="-1"/>
        </w:rPr>
        <w:t>each</w:t>
      </w:r>
      <w:r>
        <w:rPr>
          <w:rFonts w:cs="Avenir Next"/>
        </w:rPr>
        <w:t xml:space="preserve"> successive tier</w:t>
      </w:r>
    </w:p>
    <w:p w:rsidR="00D96B91" w:rsidRDefault="00C2656B">
      <w:pPr>
        <w:pStyle w:val="BodyText"/>
        <w:tabs>
          <w:tab w:val="left" w:pos="4331"/>
        </w:tabs>
        <w:spacing w:before="82" w:line="260" w:lineRule="exact"/>
        <w:ind w:left="4332" w:right="1845" w:hanging="3005"/>
      </w:pPr>
      <w:r>
        <w:rPr>
          <w:b/>
          <w:spacing w:val="-1"/>
        </w:rPr>
        <w:t>indexation</w:t>
      </w:r>
      <w:r>
        <w:rPr>
          <w:b/>
          <w:spacing w:val="-1"/>
        </w:rPr>
        <w:tab/>
      </w:r>
      <w:r>
        <w:t>An</w:t>
      </w:r>
      <w:r>
        <w:rPr>
          <w:spacing w:val="-1"/>
        </w:rPr>
        <w:t xml:space="preserve"> </w:t>
      </w:r>
      <w:r>
        <w:t>adjustment to</w:t>
      </w:r>
      <w:r>
        <w:rPr>
          <w:spacing w:val="-1"/>
        </w:rPr>
        <w:t xml:space="preserve"> take</w:t>
      </w:r>
      <w:r>
        <w:t xml:space="preserve"> into account</w:t>
      </w:r>
      <w:r>
        <w:rPr>
          <w:spacing w:val="-1"/>
        </w:rPr>
        <w:t xml:space="preserve"> </w:t>
      </w:r>
      <w:r>
        <w:t xml:space="preserve">the </w:t>
      </w:r>
      <w:r>
        <w:rPr>
          <w:spacing w:val="-1"/>
        </w:rPr>
        <w:t>effect</w:t>
      </w:r>
      <w:r>
        <w:t xml:space="preserve"> of</w:t>
      </w:r>
      <w:r>
        <w:rPr>
          <w:spacing w:val="3"/>
        </w:rPr>
        <w:t xml:space="preserve"> </w:t>
      </w:r>
      <w:r>
        <w:rPr>
          <w:spacing w:val="-1"/>
        </w:rPr>
        <w:t>inflation</w:t>
      </w:r>
      <w:r>
        <w:t xml:space="preserve"> on the</w:t>
      </w:r>
      <w:r>
        <w:rPr>
          <w:spacing w:val="29"/>
        </w:rPr>
        <w:t xml:space="preserve"> </w:t>
      </w:r>
      <w:r>
        <w:rPr>
          <w:spacing w:val="-1"/>
        </w:rPr>
        <w:t xml:space="preserve">regulated </w:t>
      </w:r>
      <w:r>
        <w:t>asset</w:t>
      </w:r>
      <w:r>
        <w:rPr>
          <w:spacing w:val="-1"/>
        </w:rPr>
        <w:t xml:space="preserve"> </w:t>
      </w:r>
      <w:r>
        <w:t>base</w:t>
      </w:r>
      <w:r>
        <w:rPr>
          <w:spacing w:val="-1"/>
        </w:rPr>
        <w:t xml:space="preserve"> </w:t>
      </w:r>
      <w:r>
        <w:t>(2.5%</w:t>
      </w:r>
      <w:r>
        <w:rPr>
          <w:spacing w:val="-1"/>
        </w:rPr>
        <w:t xml:space="preserve"> inflation</w:t>
      </w:r>
      <w:r>
        <w:t xml:space="preserve"> </w:t>
      </w:r>
      <w:r>
        <w:rPr>
          <w:spacing w:val="-1"/>
        </w:rPr>
        <w:t>forecast)</w:t>
      </w:r>
    </w:p>
    <w:p w:rsidR="00D96B91" w:rsidRDefault="00C2656B">
      <w:pPr>
        <w:tabs>
          <w:tab w:val="left" w:pos="4331"/>
        </w:tabs>
        <w:spacing w:before="108" w:line="267" w:lineRule="exact"/>
        <w:ind w:left="1327"/>
        <w:rPr>
          <w:rFonts w:ascii="Avenir Next" w:eastAsia="Avenir Next" w:hAnsi="Avenir Next" w:cs="Avenir Next"/>
          <w:sz w:val="20"/>
          <w:szCs w:val="20"/>
        </w:rPr>
      </w:pPr>
      <w:r>
        <w:rPr>
          <w:rFonts w:ascii="Avenir Next"/>
          <w:b/>
          <w:sz w:val="20"/>
        </w:rPr>
        <w:t xml:space="preserve">Millennium </w:t>
      </w:r>
      <w:r>
        <w:rPr>
          <w:rFonts w:ascii="Avenir Next"/>
          <w:b/>
          <w:spacing w:val="-1"/>
          <w:sz w:val="20"/>
        </w:rPr>
        <w:t>Drought</w:t>
      </w:r>
      <w:r>
        <w:rPr>
          <w:rFonts w:ascii="Avenir Next"/>
          <w:b/>
          <w:spacing w:val="-1"/>
          <w:sz w:val="20"/>
        </w:rPr>
        <w:tab/>
      </w:r>
      <w:r>
        <w:rPr>
          <w:rFonts w:ascii="Avenir Next"/>
          <w:spacing w:val="-2"/>
          <w:sz w:val="20"/>
        </w:rPr>
        <w:t>The</w:t>
      </w:r>
      <w:r>
        <w:rPr>
          <w:rFonts w:ascii="Avenir Next"/>
          <w:sz w:val="20"/>
        </w:rPr>
        <w:t xml:space="preserve"> name commonly given to the </w:t>
      </w:r>
      <w:r>
        <w:rPr>
          <w:rFonts w:ascii="Avenir Next"/>
          <w:spacing w:val="-1"/>
          <w:sz w:val="20"/>
        </w:rPr>
        <w:t>prolonged</w:t>
      </w:r>
      <w:r>
        <w:rPr>
          <w:rFonts w:ascii="Avenir Next"/>
          <w:sz w:val="20"/>
        </w:rPr>
        <w:t xml:space="preserve"> </w:t>
      </w:r>
      <w:r>
        <w:rPr>
          <w:rFonts w:ascii="Avenir Next"/>
          <w:spacing w:val="-1"/>
          <w:sz w:val="20"/>
        </w:rPr>
        <w:t>drought</w:t>
      </w:r>
      <w:r>
        <w:rPr>
          <w:rFonts w:ascii="Avenir Next"/>
          <w:sz w:val="20"/>
        </w:rPr>
        <w:t xml:space="preserve"> </w:t>
      </w:r>
      <w:r>
        <w:rPr>
          <w:rFonts w:ascii="Avenir Next"/>
          <w:spacing w:val="-1"/>
          <w:sz w:val="20"/>
        </w:rPr>
        <w:t>that</w:t>
      </w:r>
      <w:r>
        <w:rPr>
          <w:rFonts w:ascii="Avenir Next"/>
          <w:sz w:val="20"/>
        </w:rPr>
        <w:t xml:space="preserve"> </w:t>
      </w:r>
      <w:r>
        <w:rPr>
          <w:rFonts w:ascii="Avenir Next"/>
          <w:spacing w:val="-1"/>
          <w:sz w:val="20"/>
        </w:rPr>
        <w:t>affected</w:t>
      </w:r>
    </w:p>
    <w:p w:rsidR="00D96B91" w:rsidRDefault="00C2656B">
      <w:pPr>
        <w:pStyle w:val="BodyText"/>
        <w:spacing w:line="267" w:lineRule="exact"/>
        <w:ind w:left="4332"/>
      </w:pPr>
      <w:r>
        <w:rPr>
          <w:spacing w:val="-1"/>
        </w:rPr>
        <w:t>south-eastern</w:t>
      </w:r>
      <w:r>
        <w:rPr>
          <w:spacing w:val="-4"/>
        </w:rPr>
        <w:t xml:space="preserve"> </w:t>
      </w:r>
      <w:r>
        <w:rPr>
          <w:spacing w:val="-1"/>
        </w:rPr>
        <w:t>Australia</w:t>
      </w:r>
      <w:r>
        <w:t xml:space="preserve"> between 1997 and 2009</w:t>
      </w:r>
    </w:p>
    <w:p w:rsidR="00D96B91" w:rsidRDefault="00C2656B">
      <w:pPr>
        <w:tabs>
          <w:tab w:val="left" w:pos="4331"/>
        </w:tabs>
        <w:spacing w:before="87"/>
        <w:ind w:left="1327"/>
        <w:rPr>
          <w:rFonts w:ascii="Avenir Next" w:eastAsia="Avenir Next" w:hAnsi="Avenir Next" w:cs="Avenir Next"/>
          <w:sz w:val="20"/>
          <w:szCs w:val="20"/>
        </w:rPr>
      </w:pPr>
      <w:r>
        <w:rPr>
          <w:rFonts w:ascii="Avenir Next" w:eastAsia="Avenir Next" w:hAnsi="Avenir Next" w:cs="Avenir Next"/>
          <w:b/>
          <w:bCs/>
          <w:sz w:val="20"/>
          <w:szCs w:val="20"/>
        </w:rPr>
        <w:t>nominal dollars</w:t>
      </w:r>
      <w:r>
        <w:rPr>
          <w:rFonts w:ascii="Avenir Next" w:eastAsia="Avenir Next" w:hAnsi="Avenir Next" w:cs="Avenir Next"/>
          <w:b/>
          <w:bCs/>
          <w:sz w:val="20"/>
          <w:szCs w:val="20"/>
        </w:rPr>
        <w:tab/>
      </w:r>
      <w:r>
        <w:rPr>
          <w:rFonts w:ascii="Avenir Next" w:eastAsia="Avenir Next" w:hAnsi="Avenir Next" w:cs="Avenir Next"/>
          <w:sz w:val="20"/>
          <w:szCs w:val="20"/>
        </w:rPr>
        <w:t xml:space="preserve">Dollars </w:t>
      </w:r>
      <w:r>
        <w:rPr>
          <w:rFonts w:ascii="Avenir Next" w:eastAsia="Avenir Next" w:hAnsi="Avenir Next" w:cs="Avenir Next"/>
          <w:spacing w:val="-1"/>
          <w:sz w:val="20"/>
          <w:szCs w:val="20"/>
        </w:rPr>
        <w:t>expressed</w:t>
      </w:r>
      <w:r>
        <w:rPr>
          <w:rFonts w:ascii="Avenir Next" w:eastAsia="Avenir Next" w:hAnsi="Avenir Next" w:cs="Avenir Next"/>
          <w:sz w:val="20"/>
          <w:szCs w:val="20"/>
        </w:rPr>
        <w:t xml:space="preserve"> in ‘money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the day’ terms</w:t>
      </w:r>
    </w:p>
    <w:p w:rsidR="00D96B91" w:rsidRDefault="00C2656B">
      <w:pPr>
        <w:tabs>
          <w:tab w:val="left" w:pos="4331"/>
        </w:tabs>
        <w:spacing w:before="87" w:line="267" w:lineRule="exact"/>
        <w:ind w:left="1327"/>
        <w:rPr>
          <w:rFonts w:ascii="Avenir Next" w:eastAsia="Avenir Next" w:hAnsi="Avenir Next" w:cs="Avenir Next"/>
          <w:sz w:val="20"/>
          <w:szCs w:val="20"/>
        </w:rPr>
      </w:pPr>
      <w:r>
        <w:rPr>
          <w:rFonts w:ascii="Avenir Next"/>
          <w:b/>
          <w:spacing w:val="-1"/>
          <w:sz w:val="20"/>
        </w:rPr>
        <w:t>operating</w:t>
      </w:r>
      <w:r>
        <w:rPr>
          <w:rFonts w:ascii="Avenir Next"/>
          <w:b/>
          <w:sz w:val="20"/>
        </w:rPr>
        <w:t xml:space="preserve"> </w:t>
      </w:r>
      <w:r>
        <w:rPr>
          <w:rFonts w:ascii="Avenir Next"/>
          <w:b/>
          <w:spacing w:val="-1"/>
          <w:sz w:val="20"/>
        </w:rPr>
        <w:t>expenditure</w:t>
      </w:r>
      <w:r>
        <w:rPr>
          <w:rFonts w:ascii="Avenir Next"/>
          <w:b/>
          <w:spacing w:val="-1"/>
          <w:sz w:val="20"/>
        </w:rPr>
        <w:tab/>
      </w:r>
      <w:r>
        <w:rPr>
          <w:rFonts w:ascii="Avenir Next"/>
          <w:spacing w:val="-2"/>
          <w:sz w:val="20"/>
        </w:rPr>
        <w:t>The</w:t>
      </w:r>
      <w:r>
        <w:rPr>
          <w:rFonts w:ascii="Avenir Next"/>
          <w:sz w:val="20"/>
        </w:rPr>
        <w:t xml:space="preserve"> non-capital costs of</w:t>
      </w:r>
      <w:r>
        <w:rPr>
          <w:rFonts w:ascii="Avenir Next"/>
          <w:spacing w:val="4"/>
          <w:sz w:val="20"/>
        </w:rPr>
        <w:t xml:space="preserve"> </w:t>
      </w:r>
      <w:r>
        <w:rPr>
          <w:rFonts w:ascii="Avenir Next"/>
          <w:spacing w:val="-1"/>
          <w:sz w:val="20"/>
        </w:rPr>
        <w:t>operating</w:t>
      </w:r>
      <w:r>
        <w:rPr>
          <w:rFonts w:ascii="Avenir Next"/>
          <w:sz w:val="20"/>
        </w:rPr>
        <w:t xml:space="preserve"> and maintaining a </w:t>
      </w:r>
      <w:r>
        <w:rPr>
          <w:rFonts w:ascii="Avenir Next"/>
          <w:spacing w:val="-1"/>
          <w:sz w:val="20"/>
        </w:rPr>
        <w:t>product</w:t>
      </w:r>
      <w:r>
        <w:rPr>
          <w:rFonts w:ascii="Avenir Next"/>
          <w:sz w:val="20"/>
        </w:rPr>
        <w:t xml:space="preserve"> or</w:t>
      </w:r>
    </w:p>
    <w:p w:rsidR="00D96B91" w:rsidRDefault="00C2656B">
      <w:pPr>
        <w:pStyle w:val="BodyText"/>
        <w:spacing w:line="267" w:lineRule="exact"/>
        <w:ind w:left="1702" w:right="4304"/>
        <w:jc w:val="center"/>
        <w:rPr>
          <w:rFonts w:cs="Avenir Next"/>
        </w:rPr>
      </w:pPr>
      <w:r>
        <w:t>service</w:t>
      </w:r>
    </w:p>
    <w:p w:rsidR="00D96B91" w:rsidRDefault="00C2656B">
      <w:pPr>
        <w:tabs>
          <w:tab w:val="left" w:pos="4331"/>
        </w:tabs>
        <w:spacing w:before="87"/>
        <w:ind w:left="1327"/>
        <w:rPr>
          <w:rFonts w:ascii="Avenir Next" w:eastAsia="Avenir Next" w:hAnsi="Avenir Next" w:cs="Avenir Next"/>
          <w:sz w:val="20"/>
          <w:szCs w:val="20"/>
        </w:rPr>
      </w:pPr>
      <w:r>
        <w:rPr>
          <w:rFonts w:ascii="Avenir Next"/>
          <w:b/>
          <w:spacing w:val="-1"/>
          <w:sz w:val="20"/>
        </w:rPr>
        <w:t>previous</w:t>
      </w:r>
      <w:r>
        <w:rPr>
          <w:rFonts w:ascii="Avenir Next"/>
          <w:b/>
          <w:sz w:val="20"/>
        </w:rPr>
        <w:t xml:space="preserve"> </w:t>
      </w:r>
      <w:r>
        <w:rPr>
          <w:rFonts w:ascii="Avenir Next"/>
          <w:b/>
          <w:spacing w:val="-1"/>
          <w:sz w:val="20"/>
        </w:rPr>
        <w:t>regulatory</w:t>
      </w:r>
      <w:r>
        <w:rPr>
          <w:rFonts w:ascii="Avenir Next"/>
          <w:b/>
          <w:sz w:val="20"/>
        </w:rPr>
        <w:t xml:space="preserve"> period</w:t>
      </w:r>
      <w:r>
        <w:rPr>
          <w:rFonts w:ascii="Avenir Next"/>
          <w:b/>
          <w:sz w:val="20"/>
        </w:rPr>
        <w:tab/>
      </w:r>
      <w:r>
        <w:rPr>
          <w:rFonts w:ascii="Avenir Next"/>
          <w:spacing w:val="-2"/>
          <w:sz w:val="20"/>
        </w:rPr>
        <w:t>The</w:t>
      </w:r>
      <w:r>
        <w:rPr>
          <w:rFonts w:ascii="Avenir Next"/>
          <w:sz w:val="20"/>
        </w:rPr>
        <w:t xml:space="preserve"> period commencing 1</w:t>
      </w:r>
      <w:r>
        <w:rPr>
          <w:rFonts w:ascii="Avenir Next"/>
          <w:spacing w:val="-3"/>
          <w:sz w:val="20"/>
        </w:rPr>
        <w:t xml:space="preserve"> </w:t>
      </w:r>
      <w:r>
        <w:rPr>
          <w:rFonts w:ascii="Avenir Next"/>
          <w:sz w:val="20"/>
        </w:rPr>
        <w:t xml:space="preserve">July 2008 and </w:t>
      </w:r>
      <w:r>
        <w:rPr>
          <w:rFonts w:ascii="Avenir Next"/>
          <w:spacing w:val="-1"/>
          <w:sz w:val="20"/>
        </w:rPr>
        <w:t>expiring</w:t>
      </w:r>
      <w:r>
        <w:rPr>
          <w:rFonts w:ascii="Avenir Next"/>
          <w:sz w:val="20"/>
        </w:rPr>
        <w:t xml:space="preserve"> 30</w:t>
      </w:r>
      <w:r>
        <w:rPr>
          <w:rFonts w:ascii="Avenir Next"/>
          <w:spacing w:val="-3"/>
          <w:sz w:val="20"/>
        </w:rPr>
        <w:t xml:space="preserve"> </w:t>
      </w:r>
      <w:r>
        <w:rPr>
          <w:rFonts w:ascii="Avenir Next"/>
          <w:sz w:val="20"/>
        </w:rPr>
        <w:t>June 2013</w:t>
      </w:r>
    </w:p>
    <w:p w:rsidR="00D96B91" w:rsidRDefault="00C2656B">
      <w:pPr>
        <w:pStyle w:val="BodyText"/>
        <w:tabs>
          <w:tab w:val="left" w:pos="4331"/>
        </w:tabs>
        <w:spacing w:before="87"/>
        <w:ind w:left="1327"/>
        <w:rPr>
          <w:rFonts w:cs="Avenir Next"/>
        </w:rPr>
      </w:pPr>
      <w:r>
        <w:rPr>
          <w:b/>
        </w:rPr>
        <w:t>price cap</w:t>
      </w:r>
      <w:r>
        <w:rPr>
          <w:b/>
        </w:rPr>
        <w:tab/>
      </w:r>
      <w:r>
        <w:t xml:space="preserve">An imposed limit on how high a price is </w:t>
      </w:r>
      <w:r>
        <w:rPr>
          <w:spacing w:val="-1"/>
        </w:rPr>
        <w:t>charged</w:t>
      </w:r>
      <w:r>
        <w:t xml:space="preserve"> for a </w:t>
      </w:r>
      <w:r>
        <w:rPr>
          <w:spacing w:val="-1"/>
        </w:rPr>
        <w:t>product</w:t>
      </w:r>
    </w:p>
    <w:p w:rsidR="00D96B91" w:rsidRDefault="00C2656B">
      <w:pPr>
        <w:pStyle w:val="BodyText"/>
        <w:tabs>
          <w:tab w:val="left" w:pos="4331"/>
        </w:tabs>
        <w:spacing w:before="79" w:line="260" w:lineRule="exact"/>
        <w:ind w:left="4332" w:right="1513" w:hanging="3005"/>
      </w:pPr>
      <w:r>
        <w:rPr>
          <w:b/>
          <w:spacing w:val="-2"/>
        </w:rPr>
        <w:t>real</w:t>
      </w:r>
      <w:r>
        <w:rPr>
          <w:b/>
        </w:rPr>
        <w:t xml:space="preserve"> dollars</w:t>
      </w:r>
      <w:r>
        <w:rPr>
          <w:b/>
        </w:rPr>
        <w:tab/>
      </w:r>
      <w:r>
        <w:t xml:space="preserve">Dollars </w:t>
      </w:r>
      <w:r>
        <w:rPr>
          <w:spacing w:val="-1"/>
        </w:rPr>
        <w:t>expressed</w:t>
      </w:r>
      <w:r>
        <w:t xml:space="preserve"> as a constant value - ie,</w:t>
      </w:r>
      <w:r>
        <w:rPr>
          <w:spacing w:val="-7"/>
        </w:rPr>
        <w:t xml:space="preserve"> </w:t>
      </w:r>
      <w:r>
        <w:t xml:space="preserve">adjusted to </w:t>
      </w:r>
      <w:r>
        <w:rPr>
          <w:spacing w:val="-1"/>
        </w:rPr>
        <w:t>take</w:t>
      </w:r>
      <w:r>
        <w:t xml:space="preserve"> account</w:t>
      </w:r>
      <w:r>
        <w:rPr>
          <w:spacing w:val="26"/>
        </w:rPr>
        <w:t xml:space="preserve"> </w:t>
      </w:r>
      <w:r>
        <w:t xml:space="preserve">of </w:t>
      </w:r>
      <w:r>
        <w:rPr>
          <w:spacing w:val="-1"/>
        </w:rPr>
        <w:t>inflation</w:t>
      </w:r>
    </w:p>
    <w:p w:rsidR="00D96B91" w:rsidRDefault="00D96B91">
      <w:pPr>
        <w:spacing w:line="260" w:lineRule="exact"/>
        <w:sectPr w:rsidR="00D96B91">
          <w:footerReference w:type="even" r:id="rId22"/>
          <w:footerReference w:type="default" r:id="rId23"/>
          <w:pgSz w:w="11910" w:h="16840"/>
          <w:pgMar w:top="1260" w:right="0" w:bottom="1020" w:left="0" w:header="0" w:footer="829" w:gutter="0"/>
          <w:pgNumType w:start="7"/>
          <w:cols w:space="720"/>
        </w:sectPr>
      </w:pPr>
    </w:p>
    <w:p w:rsidR="00D96B91" w:rsidRDefault="00C2656B">
      <w:pPr>
        <w:spacing w:before="29" w:line="544" w:lineRule="auto"/>
        <w:ind w:left="1327" w:right="574"/>
        <w:rPr>
          <w:rFonts w:ascii="Avenir Next" w:eastAsia="Avenir Next" w:hAnsi="Avenir Next" w:cs="Avenir Next"/>
          <w:sz w:val="20"/>
          <w:szCs w:val="20"/>
        </w:rPr>
      </w:pPr>
      <w:r>
        <w:rPr>
          <w:rFonts w:ascii="Avenir Next"/>
          <w:b/>
          <w:spacing w:val="-1"/>
          <w:sz w:val="20"/>
        </w:rPr>
        <w:t>remaining</w:t>
      </w:r>
      <w:r>
        <w:rPr>
          <w:rFonts w:ascii="Avenir Next"/>
          <w:b/>
          <w:sz w:val="20"/>
        </w:rPr>
        <w:t xml:space="preserve"> economic life</w:t>
      </w:r>
      <w:r>
        <w:rPr>
          <w:rFonts w:ascii="Avenir Next"/>
          <w:b/>
          <w:spacing w:val="25"/>
          <w:sz w:val="20"/>
        </w:rPr>
        <w:t xml:space="preserve"> </w:t>
      </w:r>
      <w:r>
        <w:rPr>
          <w:rFonts w:ascii="Avenir Next"/>
          <w:b/>
          <w:spacing w:val="-1"/>
          <w:sz w:val="20"/>
        </w:rPr>
        <w:t>revenue</w:t>
      </w:r>
      <w:r>
        <w:rPr>
          <w:rFonts w:ascii="Avenir Next"/>
          <w:b/>
          <w:sz w:val="20"/>
        </w:rPr>
        <w:t xml:space="preserve"> cap</w:t>
      </w:r>
    </w:p>
    <w:p w:rsidR="00D96B91" w:rsidRDefault="00C2656B">
      <w:pPr>
        <w:ind w:left="1327"/>
        <w:rPr>
          <w:rFonts w:ascii="Avenir Next" w:eastAsia="Avenir Next" w:hAnsi="Avenir Next" w:cs="Avenir Next"/>
          <w:sz w:val="20"/>
          <w:szCs w:val="20"/>
        </w:rPr>
      </w:pPr>
      <w:r>
        <w:rPr>
          <w:rFonts w:ascii="Avenir Next"/>
          <w:b/>
          <w:spacing w:val="-1"/>
          <w:sz w:val="20"/>
        </w:rPr>
        <w:t>revenue</w:t>
      </w:r>
      <w:r>
        <w:rPr>
          <w:rFonts w:ascii="Avenir Next"/>
          <w:b/>
          <w:sz w:val="20"/>
        </w:rPr>
        <w:t xml:space="preserve"> </w:t>
      </w:r>
      <w:r>
        <w:rPr>
          <w:rFonts w:ascii="Avenir Next"/>
          <w:b/>
          <w:spacing w:val="-1"/>
          <w:sz w:val="20"/>
        </w:rPr>
        <w:t>requirement</w:t>
      </w:r>
    </w:p>
    <w:p w:rsidR="00D96B91" w:rsidRDefault="00D96B91">
      <w:pPr>
        <w:rPr>
          <w:rFonts w:ascii="Avenir Next" w:eastAsia="Avenir Next" w:hAnsi="Avenir Next" w:cs="Avenir Next"/>
          <w:b/>
          <w:bCs/>
          <w:sz w:val="20"/>
          <w:szCs w:val="20"/>
        </w:rPr>
      </w:pPr>
    </w:p>
    <w:p w:rsidR="00D96B91" w:rsidRDefault="00D96B91">
      <w:pPr>
        <w:spacing w:before="6"/>
        <w:rPr>
          <w:rFonts w:ascii="Avenir Next" w:eastAsia="Avenir Next" w:hAnsi="Avenir Next" w:cs="Avenir Next"/>
          <w:b/>
          <w:bCs/>
          <w:sz w:val="24"/>
          <w:szCs w:val="24"/>
        </w:rPr>
      </w:pPr>
    </w:p>
    <w:p w:rsidR="00D96B91" w:rsidRDefault="00C2656B">
      <w:pPr>
        <w:ind w:left="1327"/>
        <w:rPr>
          <w:rFonts w:ascii="Avenir Next" w:eastAsia="Avenir Next" w:hAnsi="Avenir Next" w:cs="Avenir Next"/>
          <w:sz w:val="20"/>
          <w:szCs w:val="20"/>
        </w:rPr>
      </w:pPr>
      <w:r>
        <w:rPr>
          <w:rFonts w:ascii="Avenir Next"/>
          <w:b/>
          <w:spacing w:val="-1"/>
          <w:sz w:val="20"/>
        </w:rPr>
        <w:t>tariff</w:t>
      </w:r>
      <w:r>
        <w:rPr>
          <w:rFonts w:ascii="Avenir Next"/>
          <w:b/>
          <w:spacing w:val="4"/>
          <w:sz w:val="20"/>
        </w:rPr>
        <w:t xml:space="preserve"> </w:t>
      </w:r>
      <w:r>
        <w:rPr>
          <w:rFonts w:ascii="Avenir Next"/>
          <w:b/>
          <w:spacing w:val="-1"/>
          <w:sz w:val="20"/>
        </w:rPr>
        <w:t>structure</w:t>
      </w:r>
    </w:p>
    <w:p w:rsidR="00D96B91" w:rsidRDefault="00D96B91">
      <w:pPr>
        <w:rPr>
          <w:rFonts w:ascii="Avenir Next" w:eastAsia="Avenir Next" w:hAnsi="Avenir Next" w:cs="Avenir Next"/>
          <w:b/>
          <w:bCs/>
          <w:sz w:val="20"/>
          <w:szCs w:val="20"/>
        </w:rPr>
      </w:pPr>
    </w:p>
    <w:p w:rsidR="00D96B91" w:rsidRDefault="00D96B91">
      <w:pPr>
        <w:spacing w:before="6"/>
        <w:rPr>
          <w:rFonts w:ascii="Avenir Next" w:eastAsia="Avenir Next" w:hAnsi="Avenir Next" w:cs="Avenir Next"/>
          <w:b/>
          <w:bCs/>
          <w:sz w:val="24"/>
          <w:szCs w:val="24"/>
        </w:rPr>
      </w:pPr>
    </w:p>
    <w:p w:rsidR="00D96B91" w:rsidRDefault="00C2656B">
      <w:pPr>
        <w:ind w:left="1327"/>
        <w:rPr>
          <w:rFonts w:ascii="Avenir Next" w:eastAsia="Avenir Next" w:hAnsi="Avenir Next" w:cs="Avenir Next"/>
          <w:sz w:val="20"/>
          <w:szCs w:val="20"/>
        </w:rPr>
      </w:pPr>
      <w:r>
        <w:rPr>
          <w:rFonts w:ascii="Avenir Next"/>
          <w:b/>
          <w:sz w:val="20"/>
        </w:rPr>
        <w:t>true-up</w:t>
      </w:r>
    </w:p>
    <w:p w:rsidR="00D96B91" w:rsidRDefault="00D96B91">
      <w:pPr>
        <w:rPr>
          <w:rFonts w:ascii="Avenir Next" w:eastAsia="Avenir Next" w:hAnsi="Avenir Next" w:cs="Avenir Next"/>
          <w:b/>
          <w:bCs/>
          <w:sz w:val="20"/>
          <w:szCs w:val="20"/>
        </w:rPr>
      </w:pPr>
    </w:p>
    <w:p w:rsidR="00D96B91" w:rsidRDefault="00D96B91">
      <w:pPr>
        <w:spacing w:before="6"/>
        <w:rPr>
          <w:rFonts w:ascii="Avenir Next" w:eastAsia="Avenir Next" w:hAnsi="Avenir Next" w:cs="Avenir Next"/>
          <w:b/>
          <w:bCs/>
          <w:sz w:val="24"/>
          <w:szCs w:val="24"/>
        </w:rPr>
      </w:pPr>
    </w:p>
    <w:p w:rsidR="00D96B91" w:rsidRDefault="00C2656B">
      <w:pPr>
        <w:spacing w:line="544" w:lineRule="auto"/>
        <w:ind w:left="1327"/>
        <w:rPr>
          <w:rFonts w:ascii="Avenir Next" w:eastAsia="Avenir Next" w:hAnsi="Avenir Next" w:cs="Avenir Next"/>
          <w:sz w:val="20"/>
          <w:szCs w:val="20"/>
        </w:rPr>
      </w:pPr>
      <w:r>
        <w:rPr>
          <w:rFonts w:ascii="Avenir Next" w:eastAsia="Avenir Next" w:hAnsi="Avenir Next" w:cs="Avenir Next"/>
          <w:b/>
          <w:bCs/>
          <w:sz w:val="20"/>
          <w:szCs w:val="20"/>
        </w:rPr>
        <w:t xml:space="preserve">‘unders and overs’ mechanism variable </w:t>
      </w:r>
      <w:r>
        <w:rPr>
          <w:rFonts w:ascii="Avenir Next" w:eastAsia="Avenir Next" w:hAnsi="Avenir Next" w:cs="Avenir Next"/>
          <w:b/>
          <w:bCs/>
          <w:spacing w:val="-1"/>
          <w:sz w:val="20"/>
          <w:szCs w:val="20"/>
        </w:rPr>
        <w:t>charge</w:t>
      </w:r>
    </w:p>
    <w:p w:rsidR="00D96B91" w:rsidRDefault="00C2656B">
      <w:pPr>
        <w:spacing w:before="9" w:line="228" w:lineRule="auto"/>
        <w:ind w:left="1327" w:right="357"/>
        <w:rPr>
          <w:rFonts w:ascii="Avenir Next" w:eastAsia="Avenir Next" w:hAnsi="Avenir Next" w:cs="Avenir Next"/>
          <w:sz w:val="20"/>
          <w:szCs w:val="20"/>
        </w:rPr>
      </w:pPr>
      <w:r>
        <w:rPr>
          <w:rFonts w:ascii="Avenir Next"/>
          <w:b/>
          <w:spacing w:val="-1"/>
          <w:sz w:val="20"/>
        </w:rPr>
        <w:t>Weighted</w:t>
      </w:r>
      <w:r>
        <w:rPr>
          <w:rFonts w:ascii="Avenir Next"/>
          <w:b/>
          <w:spacing w:val="-4"/>
          <w:sz w:val="20"/>
        </w:rPr>
        <w:t xml:space="preserve"> </w:t>
      </w:r>
      <w:r>
        <w:rPr>
          <w:rFonts w:ascii="Avenir Next"/>
          <w:b/>
          <w:spacing w:val="-1"/>
          <w:sz w:val="20"/>
        </w:rPr>
        <w:t>Average</w:t>
      </w:r>
      <w:r>
        <w:rPr>
          <w:rFonts w:ascii="Avenir Next"/>
          <w:b/>
          <w:sz w:val="20"/>
        </w:rPr>
        <w:t xml:space="preserve"> </w:t>
      </w:r>
      <w:r>
        <w:rPr>
          <w:rFonts w:ascii="Avenir Next"/>
          <w:b/>
          <w:spacing w:val="-1"/>
          <w:sz w:val="20"/>
        </w:rPr>
        <w:t>Cost</w:t>
      </w:r>
      <w:r>
        <w:rPr>
          <w:rFonts w:ascii="Avenir Next"/>
          <w:b/>
          <w:sz w:val="20"/>
        </w:rPr>
        <w:t xml:space="preserve"> of</w:t>
      </w:r>
      <w:r>
        <w:rPr>
          <w:rFonts w:ascii="Avenir Next"/>
          <w:b/>
          <w:spacing w:val="24"/>
          <w:sz w:val="20"/>
        </w:rPr>
        <w:t xml:space="preserve"> </w:t>
      </w:r>
      <w:r>
        <w:rPr>
          <w:rFonts w:ascii="Avenir Next"/>
          <w:b/>
          <w:spacing w:val="-1"/>
          <w:sz w:val="20"/>
        </w:rPr>
        <w:t>Capital</w:t>
      </w:r>
      <w:r>
        <w:rPr>
          <w:rFonts w:ascii="Avenir Next"/>
          <w:b/>
          <w:sz w:val="20"/>
        </w:rPr>
        <w:t xml:space="preserve"> </w:t>
      </w:r>
      <w:r>
        <w:rPr>
          <w:rFonts w:ascii="Avenir Next"/>
          <w:b/>
          <w:spacing w:val="-2"/>
          <w:sz w:val="20"/>
        </w:rPr>
        <w:t>(WACC)</w:t>
      </w:r>
    </w:p>
    <w:p w:rsidR="00D96B91" w:rsidRDefault="00C2656B">
      <w:pPr>
        <w:pStyle w:val="BodyText"/>
        <w:spacing w:before="21" w:line="260" w:lineRule="exact"/>
        <w:ind w:left="162" w:right="1399"/>
        <w:rPr>
          <w:rFonts w:cs="Avenir Next"/>
        </w:rPr>
      </w:pPr>
      <w:r>
        <w:br w:type="column"/>
      </w:r>
      <w:r>
        <w:rPr>
          <w:spacing w:val="-1"/>
        </w:rPr>
        <w:t>The</w:t>
      </w:r>
      <w:r>
        <w:t xml:space="preserve"> </w:t>
      </w:r>
      <w:r>
        <w:rPr>
          <w:spacing w:val="-1"/>
        </w:rPr>
        <w:t>remaining</w:t>
      </w:r>
      <w:r>
        <w:t xml:space="preserve"> period over which an asset will be used to </w:t>
      </w:r>
      <w:r>
        <w:rPr>
          <w:spacing w:val="-1"/>
        </w:rPr>
        <w:t>provide</w:t>
      </w:r>
      <w:r>
        <w:rPr>
          <w:spacing w:val="29"/>
        </w:rPr>
        <w:t xml:space="preserve"> </w:t>
      </w:r>
      <w:r>
        <w:t>services</w:t>
      </w:r>
    </w:p>
    <w:p w:rsidR="00D96B91" w:rsidRDefault="00C2656B">
      <w:pPr>
        <w:pStyle w:val="BodyText"/>
        <w:spacing w:before="100" w:line="260" w:lineRule="exact"/>
        <w:ind w:left="162" w:right="1399"/>
        <w:rPr>
          <w:rFonts w:cs="Avenir Next"/>
        </w:rPr>
      </w:pPr>
      <w:r>
        <w:t xml:space="preserve">An </w:t>
      </w:r>
      <w:r>
        <w:rPr>
          <w:spacing w:val="-1"/>
        </w:rPr>
        <w:t>approved</w:t>
      </w:r>
      <w:r>
        <w:t xml:space="preserve"> maximum amount of</w:t>
      </w:r>
      <w:r>
        <w:rPr>
          <w:spacing w:val="4"/>
        </w:rPr>
        <w:t xml:space="preserve"> </w:t>
      </w:r>
      <w:r>
        <w:rPr>
          <w:spacing w:val="-1"/>
        </w:rPr>
        <w:t>revenue</w:t>
      </w:r>
      <w:r>
        <w:t xml:space="preserve"> </w:t>
      </w:r>
      <w:r>
        <w:rPr>
          <w:spacing w:val="-1"/>
        </w:rPr>
        <w:t>that</w:t>
      </w:r>
      <w:r>
        <w:t xml:space="preserve"> a </w:t>
      </w:r>
      <w:r>
        <w:rPr>
          <w:spacing w:val="-1"/>
        </w:rPr>
        <w:t>regulated</w:t>
      </w:r>
      <w:r>
        <w:rPr>
          <w:spacing w:val="23"/>
        </w:rPr>
        <w:t xml:space="preserve"> </w:t>
      </w:r>
      <w:r>
        <w:t xml:space="preserve">business is allowed to collect in </w:t>
      </w:r>
      <w:r>
        <w:rPr>
          <w:spacing w:val="-1"/>
        </w:rPr>
        <w:t>each</w:t>
      </w:r>
      <w:r>
        <w:t xml:space="preserve"> </w:t>
      </w:r>
      <w:r>
        <w:rPr>
          <w:spacing w:val="-1"/>
        </w:rPr>
        <w:t>year</w:t>
      </w:r>
      <w:r>
        <w:t xml:space="preserve"> of</w:t>
      </w:r>
      <w:r>
        <w:rPr>
          <w:spacing w:val="4"/>
        </w:rPr>
        <w:t xml:space="preserve"> </w:t>
      </w:r>
      <w:r>
        <w:t xml:space="preserve">the </w:t>
      </w:r>
      <w:r>
        <w:rPr>
          <w:spacing w:val="-1"/>
        </w:rPr>
        <w:t>regulatory</w:t>
      </w:r>
      <w:r>
        <w:t xml:space="preserve"> period</w:t>
      </w:r>
    </w:p>
    <w:p w:rsidR="00D96B91" w:rsidRDefault="00C2656B">
      <w:pPr>
        <w:pStyle w:val="BodyText"/>
        <w:spacing w:before="100" w:line="260" w:lineRule="exact"/>
        <w:ind w:left="162" w:right="1399"/>
        <w:rPr>
          <w:rFonts w:cs="Avenir Next"/>
        </w:rPr>
      </w:pPr>
      <w:r>
        <w:rPr>
          <w:spacing w:val="-2"/>
        </w:rPr>
        <w:t>The</w:t>
      </w:r>
      <w:r>
        <w:rPr>
          <w:spacing w:val="-1"/>
        </w:rPr>
        <w:t xml:space="preserve"> revenue required</w:t>
      </w:r>
      <w:r>
        <w:t xml:space="preserve"> by</w:t>
      </w:r>
      <w:r>
        <w:rPr>
          <w:spacing w:val="-1"/>
        </w:rPr>
        <w:t xml:space="preserve"> </w:t>
      </w:r>
      <w:r>
        <w:t>the</w:t>
      </w:r>
      <w:r>
        <w:rPr>
          <w:spacing w:val="-1"/>
        </w:rPr>
        <w:t xml:space="preserve"> regulated</w:t>
      </w:r>
      <w:r>
        <w:t xml:space="preserve"> business</w:t>
      </w:r>
      <w:r>
        <w:rPr>
          <w:spacing w:val="-1"/>
        </w:rPr>
        <w:t xml:space="preserve"> </w:t>
      </w:r>
      <w:r>
        <w:t>to cover</w:t>
      </w:r>
      <w:r>
        <w:rPr>
          <w:spacing w:val="-1"/>
        </w:rPr>
        <w:t xml:space="preserve"> efficient</w:t>
      </w:r>
      <w:r>
        <w:rPr>
          <w:spacing w:val="27"/>
          <w:w w:val="99"/>
        </w:rPr>
        <w:t xml:space="preserve"> </w:t>
      </w:r>
      <w:r>
        <w:rPr>
          <w:spacing w:val="-1"/>
        </w:rPr>
        <w:t>operating</w:t>
      </w:r>
      <w:r>
        <w:t xml:space="preserve"> costs,</w:t>
      </w:r>
      <w:r>
        <w:rPr>
          <w:spacing w:val="-7"/>
        </w:rPr>
        <w:t xml:space="preserve"> </w:t>
      </w:r>
      <w:r>
        <w:t xml:space="preserve">a </w:t>
      </w:r>
      <w:r>
        <w:rPr>
          <w:spacing w:val="-1"/>
        </w:rPr>
        <w:t>return</w:t>
      </w:r>
      <w:r>
        <w:t xml:space="preserve"> on capital,</w:t>
      </w:r>
      <w:r>
        <w:rPr>
          <w:spacing w:val="-6"/>
        </w:rPr>
        <w:t xml:space="preserve"> </w:t>
      </w:r>
      <w:r>
        <w:rPr>
          <w:spacing w:val="-1"/>
        </w:rPr>
        <w:t>depreciation</w:t>
      </w:r>
      <w:r>
        <w:t xml:space="preserve"> and net tax</w:t>
      </w:r>
      <w:r>
        <w:rPr>
          <w:spacing w:val="25"/>
        </w:rPr>
        <w:t xml:space="preserve"> </w:t>
      </w:r>
      <w:r>
        <w:t>liabilities</w:t>
      </w:r>
    </w:p>
    <w:p w:rsidR="00D96B91" w:rsidRDefault="00C2656B">
      <w:pPr>
        <w:pStyle w:val="BodyText"/>
        <w:spacing w:before="100" w:line="260" w:lineRule="exact"/>
        <w:ind w:left="162" w:right="1223"/>
      </w:pPr>
      <w:r>
        <w:rPr>
          <w:spacing w:val="-2"/>
        </w:rPr>
        <w:t>The</w:t>
      </w:r>
      <w:r>
        <w:t xml:space="preserve"> way in which prices </w:t>
      </w:r>
      <w:r>
        <w:rPr>
          <w:spacing w:val="-2"/>
        </w:rPr>
        <w:t>are</w:t>
      </w:r>
      <w:r>
        <w:t xml:space="preserve"> </w:t>
      </w:r>
      <w:r>
        <w:rPr>
          <w:spacing w:val="-1"/>
        </w:rPr>
        <w:t>organised,</w:t>
      </w:r>
      <w:r>
        <w:rPr>
          <w:spacing w:val="-6"/>
        </w:rPr>
        <w:t xml:space="preserve"> </w:t>
      </w:r>
      <w:r>
        <w:t xml:space="preserve">which can </w:t>
      </w:r>
      <w:r>
        <w:rPr>
          <w:spacing w:val="-1"/>
        </w:rPr>
        <w:t>provide</w:t>
      </w:r>
      <w:r>
        <w:t xml:space="preserve"> </w:t>
      </w:r>
      <w:r>
        <w:rPr>
          <w:spacing w:val="-1"/>
        </w:rPr>
        <w:t>different</w:t>
      </w:r>
      <w:r>
        <w:rPr>
          <w:spacing w:val="29"/>
        </w:rPr>
        <w:t xml:space="preserve"> </w:t>
      </w:r>
      <w:r>
        <w:t xml:space="preserve">incentives and signals to customers - for </w:t>
      </w:r>
      <w:r>
        <w:rPr>
          <w:spacing w:val="-1"/>
        </w:rPr>
        <w:t>example,</w:t>
      </w:r>
      <w:r>
        <w:rPr>
          <w:spacing w:val="-6"/>
        </w:rPr>
        <w:t xml:space="preserve"> </w:t>
      </w:r>
      <w:r>
        <w:t xml:space="preserve">a </w:t>
      </w:r>
      <w:r>
        <w:rPr>
          <w:spacing w:val="-1"/>
        </w:rPr>
        <w:t>two-part</w:t>
      </w:r>
      <w:r>
        <w:t xml:space="preserve"> </w:t>
      </w:r>
      <w:r>
        <w:rPr>
          <w:spacing w:val="-1"/>
        </w:rPr>
        <w:t>tariff</w:t>
      </w:r>
      <w:r>
        <w:rPr>
          <w:spacing w:val="4"/>
        </w:rPr>
        <w:t xml:space="preserve"> </w:t>
      </w:r>
      <w:r>
        <w:t>(a</w:t>
      </w:r>
      <w:r>
        <w:rPr>
          <w:spacing w:val="27"/>
        </w:rPr>
        <w:t xml:space="preserve"> </w:t>
      </w:r>
      <w:r>
        <w:rPr>
          <w:spacing w:val="-1"/>
        </w:rPr>
        <w:t xml:space="preserve">fixed </w:t>
      </w:r>
      <w:r>
        <w:t xml:space="preserve">service </w:t>
      </w:r>
      <w:r>
        <w:rPr>
          <w:spacing w:val="-1"/>
        </w:rPr>
        <w:t>charge</w:t>
      </w:r>
      <w:r>
        <w:t xml:space="preserve"> and an</w:t>
      </w:r>
      <w:r>
        <w:rPr>
          <w:spacing w:val="-1"/>
        </w:rPr>
        <w:t xml:space="preserve"> </w:t>
      </w:r>
      <w:r>
        <w:t xml:space="preserve">inclining block </w:t>
      </w:r>
      <w:r>
        <w:rPr>
          <w:spacing w:val="-1"/>
        </w:rPr>
        <w:t>tariff</w:t>
      </w:r>
      <w:r>
        <w:rPr>
          <w:spacing w:val="4"/>
        </w:rPr>
        <w:t xml:space="preserve"> </w:t>
      </w:r>
      <w:r>
        <w:t>variable</w:t>
      </w:r>
      <w:r>
        <w:rPr>
          <w:spacing w:val="-1"/>
        </w:rPr>
        <w:t xml:space="preserve"> charge)</w:t>
      </w:r>
    </w:p>
    <w:p w:rsidR="00D96B91" w:rsidRDefault="00C2656B">
      <w:pPr>
        <w:pStyle w:val="BodyText"/>
        <w:spacing w:before="100" w:line="260" w:lineRule="exact"/>
        <w:ind w:left="162" w:right="1420"/>
      </w:pPr>
      <w:r>
        <w:t xml:space="preserve">Adjustment made to </w:t>
      </w:r>
      <w:r>
        <w:rPr>
          <w:spacing w:val="-1"/>
        </w:rPr>
        <w:t>take</w:t>
      </w:r>
      <w:r>
        <w:t xml:space="preserve"> into account the </w:t>
      </w:r>
      <w:r>
        <w:rPr>
          <w:spacing w:val="-1"/>
        </w:rPr>
        <w:t>over-</w:t>
      </w:r>
      <w:r>
        <w:t xml:space="preserve"> or </w:t>
      </w:r>
      <w:r>
        <w:rPr>
          <w:spacing w:val="-1"/>
        </w:rPr>
        <w:t>under-recovery</w:t>
      </w:r>
      <w:r>
        <w:rPr>
          <w:spacing w:val="26"/>
        </w:rPr>
        <w:t xml:space="preserve"> </w:t>
      </w:r>
      <w:r>
        <w:t>of</w:t>
      </w:r>
      <w:r>
        <w:rPr>
          <w:spacing w:val="4"/>
        </w:rPr>
        <w:t xml:space="preserve"> </w:t>
      </w:r>
      <w:r>
        <w:rPr>
          <w:spacing w:val="-1"/>
        </w:rPr>
        <w:t>revenue</w:t>
      </w:r>
      <w:r>
        <w:t xml:space="preserve"> as a </w:t>
      </w:r>
      <w:r>
        <w:rPr>
          <w:spacing w:val="-1"/>
        </w:rPr>
        <w:t>result</w:t>
      </w:r>
      <w:r>
        <w:t xml:space="preserve"> of</w:t>
      </w:r>
      <w:r>
        <w:rPr>
          <w:spacing w:val="4"/>
        </w:rPr>
        <w:t xml:space="preserve"> </w:t>
      </w:r>
      <w:r>
        <w:t xml:space="preserve">adopting the </w:t>
      </w:r>
      <w:r>
        <w:rPr>
          <w:spacing w:val="-2"/>
        </w:rPr>
        <w:t>ICRC’s</w:t>
      </w:r>
      <w:r>
        <w:t xml:space="preserve"> prices for 2013-14 and</w:t>
      </w:r>
      <w:r>
        <w:rPr>
          <w:spacing w:val="28"/>
        </w:rPr>
        <w:t xml:space="preserve"> </w:t>
      </w:r>
      <w:r>
        <w:t>2014-15</w:t>
      </w:r>
    </w:p>
    <w:p w:rsidR="00D96B91" w:rsidRDefault="00C2656B">
      <w:pPr>
        <w:pStyle w:val="BodyText"/>
        <w:spacing w:before="100" w:line="260" w:lineRule="exact"/>
        <w:ind w:left="162" w:right="1223"/>
      </w:pPr>
      <w:r>
        <w:t>A</w:t>
      </w:r>
      <w:r>
        <w:rPr>
          <w:spacing w:val="-4"/>
        </w:rPr>
        <w:t xml:space="preserve"> </w:t>
      </w:r>
      <w:r>
        <w:t xml:space="preserve">mechanism to </w:t>
      </w:r>
      <w:r>
        <w:rPr>
          <w:spacing w:val="-1"/>
        </w:rPr>
        <w:t>ensure</w:t>
      </w:r>
      <w:r>
        <w:t xml:space="preserve"> </w:t>
      </w:r>
      <w:r>
        <w:rPr>
          <w:spacing w:val="-1"/>
        </w:rPr>
        <w:t>that</w:t>
      </w:r>
      <w:r>
        <w:t xml:space="preserve"> any under (or over) </w:t>
      </w:r>
      <w:r>
        <w:rPr>
          <w:spacing w:val="-1"/>
        </w:rPr>
        <w:t>recovery</w:t>
      </w:r>
      <w:r>
        <w:t xml:space="preserve"> in a</w:t>
      </w:r>
      <w:r>
        <w:rPr>
          <w:spacing w:val="29"/>
        </w:rPr>
        <w:t xml:space="preserve"> </w:t>
      </w:r>
      <w:r>
        <w:rPr>
          <w:spacing w:val="-1"/>
        </w:rPr>
        <w:t>particular</w:t>
      </w:r>
      <w:r>
        <w:t xml:space="preserve"> </w:t>
      </w:r>
      <w:r>
        <w:rPr>
          <w:spacing w:val="-1"/>
        </w:rPr>
        <w:t>year</w:t>
      </w:r>
      <w:r>
        <w:t xml:space="preserve"> can be </w:t>
      </w:r>
      <w:r>
        <w:rPr>
          <w:spacing w:val="-1"/>
        </w:rPr>
        <w:t>recovered</w:t>
      </w:r>
      <w:r>
        <w:t xml:space="preserve"> </w:t>
      </w:r>
      <w:r>
        <w:rPr>
          <w:spacing w:val="-1"/>
        </w:rPr>
        <w:t>from</w:t>
      </w:r>
      <w:r>
        <w:t xml:space="preserve"> (or passed back to) customers</w:t>
      </w:r>
    </w:p>
    <w:p w:rsidR="00D96B91" w:rsidRDefault="00C2656B">
      <w:pPr>
        <w:pStyle w:val="BodyText"/>
        <w:spacing w:before="100" w:line="260" w:lineRule="exact"/>
        <w:ind w:left="162" w:right="1223"/>
        <w:rPr>
          <w:rFonts w:cs="Avenir Next"/>
        </w:rPr>
      </w:pPr>
      <w:r>
        <w:t>A</w:t>
      </w:r>
      <w:r>
        <w:rPr>
          <w:spacing w:val="-4"/>
        </w:rPr>
        <w:t xml:space="preserve"> </w:t>
      </w:r>
      <w:r>
        <w:rPr>
          <w:spacing w:val="-1"/>
        </w:rPr>
        <w:t>charge</w:t>
      </w:r>
      <w:r>
        <w:t xml:space="preserve"> for a </w:t>
      </w:r>
      <w:r>
        <w:rPr>
          <w:spacing w:val="-1"/>
        </w:rPr>
        <w:t>product/service</w:t>
      </w:r>
      <w:r>
        <w:t xml:space="preserve"> based on the quantity used.</w:t>
      </w:r>
      <w:r>
        <w:rPr>
          <w:spacing w:val="-10"/>
        </w:rPr>
        <w:t xml:space="preserve"> </w:t>
      </w:r>
      <w:r>
        <w:t>Also</w:t>
      </w:r>
      <w:r>
        <w:rPr>
          <w:spacing w:val="27"/>
        </w:rPr>
        <w:t xml:space="preserve"> </w:t>
      </w:r>
      <w:r>
        <w:t xml:space="preserve">known as a volumetric </w:t>
      </w:r>
      <w:r>
        <w:rPr>
          <w:spacing w:val="-1"/>
        </w:rPr>
        <w:t>charge</w:t>
      </w:r>
    </w:p>
    <w:p w:rsidR="00D96B91" w:rsidRDefault="00C2656B">
      <w:pPr>
        <w:pStyle w:val="BodyText"/>
        <w:spacing w:before="100" w:line="260" w:lineRule="exact"/>
        <w:ind w:left="162" w:right="1223"/>
      </w:pPr>
      <w:r>
        <w:rPr>
          <w:spacing w:val="-2"/>
        </w:rPr>
        <w:t>The</w:t>
      </w:r>
      <w:r>
        <w:t xml:space="preserve"> </w:t>
      </w:r>
      <w:r>
        <w:rPr>
          <w:spacing w:val="-1"/>
        </w:rPr>
        <w:t>general</w:t>
      </w:r>
      <w:r>
        <w:t xml:space="preserve"> form of</w:t>
      </w:r>
      <w:r>
        <w:rPr>
          <w:spacing w:val="4"/>
        </w:rPr>
        <w:t xml:space="preserve"> </w:t>
      </w:r>
      <w:r>
        <w:t xml:space="preserve">the </w:t>
      </w:r>
      <w:r>
        <w:rPr>
          <w:spacing w:val="-1"/>
        </w:rPr>
        <w:t>opportunity</w:t>
      </w:r>
      <w:r>
        <w:t xml:space="preserve"> cost (or discount </w:t>
      </w:r>
      <w:r>
        <w:rPr>
          <w:spacing w:val="-1"/>
        </w:rPr>
        <w:t>rate)</w:t>
      </w:r>
      <w:r>
        <w:t xml:space="preserve"> most</w:t>
      </w:r>
      <w:r>
        <w:rPr>
          <w:spacing w:val="29"/>
        </w:rPr>
        <w:t xml:space="preserve"> </w:t>
      </w:r>
      <w:r>
        <w:t xml:space="preserve">commonly used and accepted in </w:t>
      </w:r>
      <w:r>
        <w:rPr>
          <w:spacing w:val="-1"/>
        </w:rPr>
        <w:t>regulatory</w:t>
      </w:r>
      <w:r>
        <w:t xml:space="preserve"> </w:t>
      </w:r>
      <w:r>
        <w:rPr>
          <w:spacing w:val="-1"/>
        </w:rPr>
        <w:t>practice</w:t>
      </w:r>
      <w:r>
        <w:t xml:space="preserve"> in</w:t>
      </w:r>
      <w:r>
        <w:rPr>
          <w:spacing w:val="-4"/>
        </w:rPr>
        <w:t xml:space="preserve"> </w:t>
      </w:r>
      <w:r>
        <w:rPr>
          <w:spacing w:val="-1"/>
        </w:rPr>
        <w:t>Australia,</w:t>
      </w:r>
      <w:r>
        <w:rPr>
          <w:spacing w:val="-6"/>
        </w:rPr>
        <w:t xml:space="preserve"> </w:t>
      </w:r>
      <w:r>
        <w:t>and</w:t>
      </w:r>
      <w:r>
        <w:rPr>
          <w:spacing w:val="33"/>
        </w:rPr>
        <w:t xml:space="preserve"> </w:t>
      </w:r>
      <w:r>
        <w:t>is</w:t>
      </w:r>
      <w:r>
        <w:rPr>
          <w:spacing w:val="-1"/>
        </w:rPr>
        <w:t xml:space="preserve"> </w:t>
      </w:r>
      <w:r>
        <w:t>the</w:t>
      </w:r>
      <w:r>
        <w:rPr>
          <w:spacing w:val="-1"/>
        </w:rPr>
        <w:t xml:space="preserve"> </w:t>
      </w:r>
      <w:r>
        <w:t>weighted sum</w:t>
      </w:r>
      <w:r>
        <w:rPr>
          <w:spacing w:val="-1"/>
        </w:rPr>
        <w:t xml:space="preserve"> </w:t>
      </w:r>
      <w:r>
        <w:t>of</w:t>
      </w:r>
      <w:r>
        <w:rPr>
          <w:spacing w:val="4"/>
        </w:rPr>
        <w:t xml:space="preserve"> </w:t>
      </w:r>
      <w:r>
        <w:t>the</w:t>
      </w:r>
      <w:r>
        <w:rPr>
          <w:spacing w:val="-1"/>
        </w:rPr>
        <w:t xml:space="preserve"> </w:t>
      </w:r>
      <w:r>
        <w:t>costs</w:t>
      </w:r>
      <w:r>
        <w:rPr>
          <w:spacing w:val="-1"/>
        </w:rPr>
        <w:t xml:space="preserve"> </w:t>
      </w:r>
      <w:r>
        <w:t>of</w:t>
      </w:r>
      <w:r>
        <w:rPr>
          <w:spacing w:val="4"/>
        </w:rPr>
        <w:t xml:space="preserve"> </w:t>
      </w:r>
      <w:r>
        <w:t>debt</w:t>
      </w:r>
      <w:r>
        <w:rPr>
          <w:spacing w:val="-1"/>
        </w:rPr>
        <w:t xml:space="preserve"> </w:t>
      </w:r>
      <w:r>
        <w:t>and</w:t>
      </w:r>
      <w:r>
        <w:rPr>
          <w:spacing w:val="-1"/>
        </w:rPr>
        <w:t xml:space="preserve"> </w:t>
      </w:r>
      <w:r>
        <w:t>equity finance</w:t>
      </w:r>
    </w:p>
    <w:p w:rsidR="00D96B91" w:rsidRDefault="00D96B91">
      <w:pPr>
        <w:spacing w:line="260" w:lineRule="exact"/>
        <w:sectPr w:rsidR="00D96B91">
          <w:pgSz w:w="11910" w:h="16840"/>
          <w:pgMar w:top="1280" w:right="0" w:bottom="1020" w:left="0" w:header="0" w:footer="829" w:gutter="0"/>
          <w:cols w:num="2" w:space="720" w:equalWidth="0">
            <w:col w:w="4130" w:space="40"/>
            <w:col w:w="7740"/>
          </w:cols>
        </w:sectPr>
      </w:pPr>
    </w:p>
    <w:p w:rsidR="00D96B91" w:rsidRDefault="00C2656B">
      <w:pPr>
        <w:spacing w:line="516" w:lineRule="exact"/>
        <w:ind w:left="1247"/>
        <w:rPr>
          <w:rFonts w:ascii="Avenir Next Medium" w:eastAsia="Avenir Next Medium" w:hAnsi="Avenir Next Medium" w:cs="Avenir Next Medium"/>
          <w:sz w:val="40"/>
          <w:szCs w:val="40"/>
        </w:rPr>
      </w:pPr>
      <w:r>
        <w:rPr>
          <w:rFonts w:ascii="Avenir Next Medium"/>
          <w:color w:val="0778BE"/>
          <w:spacing w:val="-1"/>
          <w:sz w:val="40"/>
        </w:rPr>
        <w:t>Contents</w:t>
      </w:r>
    </w:p>
    <w:p w:rsidR="00D96B91" w:rsidRDefault="00D96B91">
      <w:pPr>
        <w:pStyle w:val="Heading8"/>
        <w:numPr>
          <w:ilvl w:val="0"/>
          <w:numId w:val="141"/>
        </w:numPr>
        <w:tabs>
          <w:tab w:val="left" w:pos="1815"/>
          <w:tab w:val="right" w:pos="10527"/>
        </w:tabs>
        <w:spacing w:before="367"/>
        <w:rPr>
          <w:b w:val="0"/>
          <w:bCs w:val="0"/>
        </w:rPr>
      </w:pPr>
      <w:hyperlink w:anchor="_bookmark0" w:history="1">
        <w:r w:rsidR="00C2656B">
          <w:rPr>
            <w:spacing w:val="-1"/>
          </w:rPr>
          <w:t>Introduction</w:t>
        </w:r>
        <w:r w:rsidR="00C2656B">
          <w:t xml:space="preserve"> and </w:t>
        </w:r>
        <w:r w:rsidR="007B1576">
          <w:rPr>
            <w:spacing w:val="-1"/>
          </w:rPr>
          <w:t>Ex</w:t>
        </w:r>
        <w:r w:rsidR="00C2656B">
          <w:rPr>
            <w:spacing w:val="-1"/>
          </w:rPr>
          <w:t>ecutive</w:t>
        </w:r>
        <w:r w:rsidR="00C2656B">
          <w:t xml:space="preserve"> Summary</w:t>
        </w:r>
        <w:r w:rsidR="00C2656B">
          <w:tab/>
          <w:t>1</w:t>
        </w:r>
      </w:hyperlink>
    </w:p>
    <w:p w:rsidR="00D96B91" w:rsidRDefault="00D96B91">
      <w:pPr>
        <w:pStyle w:val="BodyText"/>
        <w:numPr>
          <w:ilvl w:val="1"/>
          <w:numId w:val="141"/>
        </w:numPr>
        <w:tabs>
          <w:tab w:val="left" w:pos="2027"/>
          <w:tab w:val="left" w:pos="2381"/>
          <w:tab w:val="right" w:pos="10527"/>
        </w:tabs>
        <w:spacing w:before="72"/>
      </w:pPr>
      <w:hyperlink w:anchor="_bookmark0" w:history="1">
        <w:r w:rsidR="00C2656B">
          <w:t>1</w:t>
        </w:r>
        <w:r w:rsidR="00C2656B">
          <w:tab/>
        </w:r>
        <w:r w:rsidR="00C2656B">
          <w:rPr>
            <w:spacing w:val="-2"/>
          </w:rPr>
          <w:t>The</w:t>
        </w:r>
        <w:r w:rsidR="00C2656B">
          <w:t xml:space="preserve"> </w:t>
        </w:r>
        <w:r w:rsidR="00C2656B">
          <w:rPr>
            <w:spacing w:val="-4"/>
          </w:rPr>
          <w:t>Panel’s</w:t>
        </w:r>
        <w:r w:rsidR="00C2656B">
          <w:t xml:space="preserve"> </w:t>
        </w:r>
        <w:r w:rsidR="00C2656B">
          <w:rPr>
            <w:spacing w:val="-2"/>
          </w:rPr>
          <w:t>draft</w:t>
        </w:r>
        <w:r w:rsidR="00C2656B">
          <w:t xml:space="preserve"> decision is to substitute a new price </w:t>
        </w:r>
        <w:r w:rsidR="00C2656B">
          <w:rPr>
            <w:spacing w:val="-1"/>
          </w:rPr>
          <w:t>direction</w:t>
        </w:r>
        <w:r w:rsidR="00C2656B">
          <w:rPr>
            <w:spacing w:val="-1"/>
          </w:rPr>
          <w:tab/>
        </w:r>
        <w:r w:rsidR="00C2656B">
          <w:t>1</w:t>
        </w:r>
      </w:hyperlink>
    </w:p>
    <w:p w:rsidR="00D96B91" w:rsidRDefault="00D96B91">
      <w:pPr>
        <w:pStyle w:val="BodyText"/>
        <w:tabs>
          <w:tab w:val="left" w:pos="2381"/>
          <w:tab w:val="right" w:pos="10527"/>
        </w:tabs>
        <w:spacing w:before="64" w:line="260" w:lineRule="exact"/>
        <w:ind w:left="2381" w:right="1376" w:hanging="567"/>
        <w:rPr>
          <w:rFonts w:cs="Avenir Next"/>
        </w:rPr>
      </w:pPr>
      <w:hyperlink w:anchor="_bookmark0" w:history="1">
        <w:r w:rsidR="00C2656B">
          <w:t>1.</w:t>
        </w:r>
        <w:r w:rsidR="00C2656B">
          <w:rPr>
            <w:spacing w:val="-6"/>
          </w:rPr>
          <w:t xml:space="preserve"> </w:t>
        </w:r>
        <w:r w:rsidR="00C2656B">
          <w:t>2</w:t>
        </w:r>
        <w:r w:rsidR="00C2656B">
          <w:tab/>
        </w:r>
        <w:r w:rsidR="00C2656B">
          <w:rPr>
            <w:spacing w:val="-2"/>
          </w:rPr>
          <w:t>The</w:t>
        </w:r>
        <w:r w:rsidR="00C2656B">
          <w:rPr>
            <w:spacing w:val="-1"/>
          </w:rPr>
          <w:t xml:space="preserve"> </w:t>
        </w:r>
        <w:r w:rsidR="00C2656B">
          <w:rPr>
            <w:spacing w:val="-4"/>
          </w:rPr>
          <w:t>Panel’s</w:t>
        </w:r>
        <w:r w:rsidR="00C2656B">
          <w:rPr>
            <w:spacing w:val="-1"/>
          </w:rPr>
          <w:t xml:space="preserve"> </w:t>
        </w:r>
        <w:r w:rsidR="00C2656B">
          <w:rPr>
            <w:spacing w:val="-2"/>
          </w:rPr>
          <w:t>draft</w:t>
        </w:r>
        <w:r w:rsidR="00C2656B">
          <w:t xml:space="preserve"> </w:t>
        </w:r>
        <w:r w:rsidR="00C2656B">
          <w:rPr>
            <w:spacing w:val="-1"/>
          </w:rPr>
          <w:t xml:space="preserve">direction </w:t>
        </w:r>
        <w:r w:rsidR="00C2656B">
          <w:t>covers a</w:t>
        </w:r>
        <w:r w:rsidR="00C2656B">
          <w:rPr>
            <w:spacing w:val="-1"/>
          </w:rPr>
          <w:t xml:space="preserve"> five-year</w:t>
        </w:r>
        <w:r w:rsidR="00C2656B">
          <w:t xml:space="preserve"> </w:t>
        </w:r>
        <w:r w:rsidR="00C2656B">
          <w:rPr>
            <w:spacing w:val="-1"/>
          </w:rPr>
          <w:t xml:space="preserve">regulatory </w:t>
        </w:r>
        <w:r w:rsidR="00C2656B">
          <w:t>period without</w:t>
        </w:r>
        <w:r w:rsidR="00C2656B">
          <w:rPr>
            <w:spacing w:val="-1"/>
          </w:rPr>
          <w:t xml:space="preserve"> </w:t>
        </w:r>
        <w:r w:rsidR="00C2656B">
          <w:t>a biennial</w:t>
        </w:r>
      </w:hyperlink>
      <w:r w:rsidR="00C2656B">
        <w:rPr>
          <w:spacing w:val="57"/>
        </w:rPr>
        <w:t xml:space="preserve"> </w:t>
      </w:r>
      <w:hyperlink w:anchor="_bookmark0" w:history="1">
        <w:r w:rsidR="00C2656B">
          <w:rPr>
            <w:rFonts w:cs="Avenir Next"/>
            <w:spacing w:val="-1"/>
          </w:rPr>
          <w:t>recalibration</w:t>
        </w:r>
        <w:r w:rsidR="00C2656B">
          <w:rPr>
            <w:rFonts w:cs="Avenir Next"/>
          </w:rPr>
          <w:t xml:space="preserve"> </w:t>
        </w:r>
        <w:r w:rsidR="00C2656B">
          <w:rPr>
            <w:rFonts w:cs="Avenir Next"/>
            <w:spacing w:val="-1"/>
          </w:rPr>
          <w:t>process</w:t>
        </w:r>
        <w:r w:rsidR="00C2656B">
          <w:rPr>
            <w:rFonts w:cs="Avenir Next"/>
            <w:spacing w:val="-1"/>
          </w:rPr>
          <w:tab/>
        </w:r>
        <w:r w:rsidR="00C2656B">
          <w:rPr>
            <w:rFonts w:cs="Avenir Next"/>
          </w:rPr>
          <w:t>1</w:t>
        </w:r>
      </w:hyperlink>
    </w:p>
    <w:p w:rsidR="00D96B91" w:rsidRDefault="00D96B91">
      <w:pPr>
        <w:pStyle w:val="BodyText"/>
        <w:tabs>
          <w:tab w:val="left" w:pos="2381"/>
          <w:tab w:val="right" w:pos="10527"/>
        </w:tabs>
        <w:spacing w:before="93"/>
        <w:ind w:left="1814"/>
      </w:pPr>
      <w:hyperlink w:anchor="_bookmark1" w:history="1">
        <w:r w:rsidR="00C2656B">
          <w:t>1.</w:t>
        </w:r>
        <w:r w:rsidR="00C2656B">
          <w:rPr>
            <w:spacing w:val="-6"/>
          </w:rPr>
          <w:t xml:space="preserve"> </w:t>
        </w:r>
        <w:r w:rsidR="00C2656B">
          <w:t>3</w:t>
        </w:r>
        <w:r w:rsidR="00C2656B">
          <w:tab/>
        </w:r>
        <w:r w:rsidR="00C2656B">
          <w:rPr>
            <w:spacing w:val="-2"/>
          </w:rPr>
          <w:t>The</w:t>
        </w:r>
        <w:r w:rsidR="00C2656B">
          <w:t xml:space="preserve"> </w:t>
        </w:r>
        <w:r w:rsidR="00C2656B">
          <w:rPr>
            <w:spacing w:val="-4"/>
          </w:rPr>
          <w:t>Panel’s</w:t>
        </w:r>
        <w:r w:rsidR="00C2656B">
          <w:t xml:space="preserve"> </w:t>
        </w:r>
        <w:r w:rsidR="00C2656B">
          <w:rPr>
            <w:spacing w:val="-2"/>
          </w:rPr>
          <w:t>draft</w:t>
        </w:r>
        <w:r w:rsidR="00C2656B">
          <w:t xml:space="preserve"> price </w:t>
        </w:r>
        <w:r w:rsidR="00C2656B">
          <w:rPr>
            <w:spacing w:val="-1"/>
          </w:rPr>
          <w:t>direction</w:t>
        </w:r>
        <w:r w:rsidR="00C2656B">
          <w:t xml:space="preserve"> </w:t>
        </w:r>
        <w:r w:rsidR="00C2656B">
          <w:rPr>
            <w:spacing w:val="-1"/>
          </w:rPr>
          <w:t>provides</w:t>
        </w:r>
        <w:r w:rsidR="00C2656B">
          <w:t xml:space="preserve"> stability in prices and bills</w:t>
        </w:r>
        <w:r w:rsidR="00C2656B">
          <w:tab/>
          <w:t>4</w:t>
        </w:r>
      </w:hyperlink>
    </w:p>
    <w:p w:rsidR="00D96B91" w:rsidRDefault="00D96B91">
      <w:pPr>
        <w:pStyle w:val="BodyText"/>
        <w:tabs>
          <w:tab w:val="left" w:pos="2381"/>
        </w:tabs>
        <w:spacing w:before="72" w:line="267" w:lineRule="exact"/>
        <w:ind w:left="1814"/>
      </w:pPr>
      <w:hyperlink w:anchor="_bookmark2" w:history="1">
        <w:r w:rsidR="00C2656B">
          <w:t>1.</w:t>
        </w:r>
        <w:r w:rsidR="00C2656B">
          <w:rPr>
            <w:spacing w:val="-6"/>
          </w:rPr>
          <w:t xml:space="preserve"> </w:t>
        </w:r>
        <w:r w:rsidR="00C2656B">
          <w:t>4</w:t>
        </w:r>
        <w:r w:rsidR="00C2656B">
          <w:tab/>
          <w:t xml:space="preserve">How does the </w:t>
        </w:r>
        <w:r w:rsidR="00C2656B">
          <w:rPr>
            <w:spacing w:val="-4"/>
          </w:rPr>
          <w:t>Panel’s</w:t>
        </w:r>
        <w:r w:rsidR="00C2656B">
          <w:t xml:space="preserve"> </w:t>
        </w:r>
        <w:r w:rsidR="00C2656B">
          <w:rPr>
            <w:spacing w:val="-2"/>
          </w:rPr>
          <w:t>draft</w:t>
        </w:r>
        <w:r w:rsidR="00C2656B">
          <w:t xml:space="preserve"> </w:t>
        </w:r>
        <w:r w:rsidR="00C2656B">
          <w:rPr>
            <w:spacing w:val="-1"/>
          </w:rPr>
          <w:t>direction</w:t>
        </w:r>
        <w:r w:rsidR="00C2656B">
          <w:t xml:space="preserve"> </w:t>
        </w:r>
        <w:r w:rsidR="00C2656B">
          <w:rPr>
            <w:spacing w:val="-1"/>
          </w:rPr>
          <w:t>differ</w:t>
        </w:r>
        <w:r w:rsidR="00C2656B">
          <w:t xml:space="preserve"> </w:t>
        </w:r>
        <w:r w:rsidR="00C2656B">
          <w:rPr>
            <w:spacing w:val="-1"/>
          </w:rPr>
          <w:t>from</w:t>
        </w:r>
        <w:r w:rsidR="00C2656B">
          <w:t xml:space="preserve"> the original price </w:t>
        </w:r>
        <w:r w:rsidR="00C2656B">
          <w:rPr>
            <w:spacing w:val="-1"/>
          </w:rPr>
          <w:t>direction</w:t>
        </w:r>
      </w:hyperlink>
    </w:p>
    <w:p w:rsidR="00D96B91" w:rsidRDefault="00D96B91">
      <w:pPr>
        <w:pStyle w:val="BodyText"/>
        <w:tabs>
          <w:tab w:val="right" w:pos="10527"/>
        </w:tabs>
        <w:spacing w:line="267" w:lineRule="exact"/>
        <w:ind w:left="2381"/>
      </w:pPr>
      <w:hyperlink w:anchor="_bookmark2" w:history="1">
        <w:r w:rsidR="00C2656B">
          <w:t>and</w:t>
        </w:r>
        <w:r w:rsidR="00C2656B">
          <w:rPr>
            <w:spacing w:val="-4"/>
          </w:rPr>
          <w:t xml:space="preserve"> </w:t>
        </w:r>
        <w:r w:rsidR="00C2656B">
          <w:rPr>
            <w:spacing w:val="-2"/>
          </w:rPr>
          <w:t>ACTEW’s</w:t>
        </w:r>
        <w:r w:rsidR="00C2656B">
          <w:t xml:space="preserve"> </w:t>
        </w:r>
        <w:r w:rsidR="00C2656B">
          <w:rPr>
            <w:spacing w:val="-1"/>
          </w:rPr>
          <w:t>proposal?</w:t>
        </w:r>
        <w:r w:rsidR="00C2656B">
          <w:rPr>
            <w:spacing w:val="-1"/>
          </w:rPr>
          <w:tab/>
        </w:r>
        <w:r w:rsidR="00C2656B">
          <w:t>7</w:t>
        </w:r>
      </w:hyperlink>
    </w:p>
    <w:p w:rsidR="00D96B91" w:rsidRDefault="00D96B91">
      <w:pPr>
        <w:pStyle w:val="BodyText"/>
        <w:tabs>
          <w:tab w:val="left" w:pos="2381"/>
          <w:tab w:val="right" w:pos="10527"/>
        </w:tabs>
        <w:spacing w:before="72"/>
        <w:ind w:left="1814"/>
      </w:pPr>
      <w:hyperlink w:anchor="_bookmark3" w:history="1">
        <w:r w:rsidR="00C2656B">
          <w:t>1.</w:t>
        </w:r>
        <w:r w:rsidR="00C2656B">
          <w:rPr>
            <w:spacing w:val="-6"/>
          </w:rPr>
          <w:t xml:space="preserve"> </w:t>
        </w:r>
        <w:r w:rsidR="00C2656B">
          <w:t>5</w:t>
        </w:r>
        <w:r w:rsidR="00C2656B">
          <w:tab/>
          <w:t xml:space="preserve">How did the </w:t>
        </w:r>
        <w:r w:rsidR="00C2656B">
          <w:rPr>
            <w:spacing w:val="-3"/>
          </w:rPr>
          <w:t>Panel</w:t>
        </w:r>
        <w:r w:rsidR="00C2656B">
          <w:t xml:space="preserve"> </w:t>
        </w:r>
        <w:r w:rsidR="00C2656B">
          <w:rPr>
            <w:spacing w:val="-1"/>
          </w:rPr>
          <w:t>approach</w:t>
        </w:r>
        <w:r w:rsidR="00C2656B">
          <w:t xml:space="preserve"> its task?</w:t>
        </w:r>
        <w:r w:rsidR="00C2656B">
          <w:tab/>
          <w:t>12</w:t>
        </w:r>
      </w:hyperlink>
    </w:p>
    <w:p w:rsidR="00D96B91" w:rsidRDefault="00D96B91">
      <w:pPr>
        <w:pStyle w:val="BodyText"/>
        <w:numPr>
          <w:ilvl w:val="0"/>
          <w:numId w:val="140"/>
        </w:numPr>
        <w:tabs>
          <w:tab w:val="left" w:pos="2027"/>
          <w:tab w:val="left" w:pos="2381"/>
          <w:tab w:val="right" w:pos="10527"/>
        </w:tabs>
        <w:spacing w:before="72"/>
      </w:pPr>
      <w:hyperlink w:anchor="_bookmark4" w:history="1">
        <w:r w:rsidR="00C2656B">
          <w:t>6</w:t>
        </w:r>
        <w:r w:rsidR="00C2656B">
          <w:tab/>
          <w:t xml:space="preserve">How can </w:t>
        </w:r>
        <w:r w:rsidR="00C2656B">
          <w:rPr>
            <w:spacing w:val="-1"/>
          </w:rPr>
          <w:t>stakeholders</w:t>
        </w:r>
        <w:r w:rsidR="00C2656B">
          <w:t xml:space="preserve"> comment on the </w:t>
        </w:r>
        <w:r w:rsidR="00C2656B">
          <w:rPr>
            <w:spacing w:val="-4"/>
          </w:rPr>
          <w:t>Panel’s</w:t>
        </w:r>
        <w:r w:rsidR="00C2656B">
          <w:t xml:space="preserve"> </w:t>
        </w:r>
        <w:r w:rsidR="00C2656B">
          <w:rPr>
            <w:spacing w:val="-2"/>
          </w:rPr>
          <w:t>draft</w:t>
        </w:r>
        <w:r w:rsidR="00C2656B">
          <w:t xml:space="preserve"> </w:t>
        </w:r>
        <w:r w:rsidR="00C2656B">
          <w:rPr>
            <w:spacing w:val="-1"/>
          </w:rPr>
          <w:t>direction?</w:t>
        </w:r>
        <w:r w:rsidR="00C2656B">
          <w:rPr>
            <w:spacing w:val="-1"/>
          </w:rPr>
          <w:tab/>
        </w:r>
        <w:r w:rsidR="00C2656B">
          <w:t>13</w:t>
        </w:r>
      </w:hyperlink>
    </w:p>
    <w:p w:rsidR="00D96B91" w:rsidRDefault="00D96B91">
      <w:pPr>
        <w:pStyle w:val="Heading8"/>
        <w:numPr>
          <w:ilvl w:val="0"/>
          <w:numId w:val="141"/>
        </w:numPr>
        <w:tabs>
          <w:tab w:val="left" w:pos="1815"/>
          <w:tab w:val="right" w:pos="10527"/>
        </w:tabs>
        <w:spacing w:before="72"/>
        <w:rPr>
          <w:b w:val="0"/>
          <w:bCs w:val="0"/>
        </w:rPr>
      </w:pPr>
      <w:hyperlink w:anchor="_bookmark5" w:history="1">
        <w:r w:rsidR="00C2656B">
          <w:rPr>
            <w:spacing w:val="-4"/>
          </w:rPr>
          <w:t>Panel’s</w:t>
        </w:r>
        <w:r w:rsidR="00C2656B">
          <w:t xml:space="preserve"> </w:t>
        </w:r>
        <w:r w:rsidR="00C2656B">
          <w:rPr>
            <w:spacing w:val="-1"/>
          </w:rPr>
          <w:t>review</w:t>
        </w:r>
        <w:r w:rsidR="00C2656B">
          <w:t xml:space="preserve"> </w:t>
        </w:r>
        <w:r w:rsidR="00C2656B">
          <w:rPr>
            <w:spacing w:val="-1"/>
          </w:rPr>
          <w:t>process</w:t>
        </w:r>
        <w:r w:rsidR="00C2656B">
          <w:t xml:space="preserve"> and analytical </w:t>
        </w:r>
        <w:r w:rsidR="00C2656B">
          <w:rPr>
            <w:spacing w:val="-1"/>
          </w:rPr>
          <w:t>approach</w:t>
        </w:r>
        <w:r w:rsidR="00C2656B">
          <w:rPr>
            <w:spacing w:val="-1"/>
          </w:rPr>
          <w:tab/>
        </w:r>
        <w:r w:rsidR="00C2656B">
          <w:t>15</w:t>
        </w:r>
      </w:hyperlink>
    </w:p>
    <w:p w:rsidR="00D96B91" w:rsidRDefault="00D96B91">
      <w:pPr>
        <w:pStyle w:val="BodyText"/>
        <w:numPr>
          <w:ilvl w:val="0"/>
          <w:numId w:val="140"/>
        </w:numPr>
        <w:tabs>
          <w:tab w:val="left" w:pos="2027"/>
          <w:tab w:val="left" w:pos="2381"/>
          <w:tab w:val="right" w:pos="10527"/>
        </w:tabs>
        <w:spacing w:before="72"/>
      </w:pPr>
      <w:hyperlink w:anchor="_bookmark5" w:history="1">
        <w:r w:rsidR="00C2656B">
          <w:t>1</w:t>
        </w:r>
        <w:r w:rsidR="00C2656B">
          <w:tab/>
        </w:r>
        <w:r w:rsidR="00C2656B">
          <w:rPr>
            <w:spacing w:val="-4"/>
          </w:rPr>
          <w:t>Panel’s</w:t>
        </w:r>
        <w:r w:rsidR="00C2656B">
          <w:t xml:space="preserve"> </w:t>
        </w:r>
        <w:r w:rsidR="00C2656B">
          <w:rPr>
            <w:spacing w:val="-1"/>
          </w:rPr>
          <w:t>review</w:t>
        </w:r>
        <w:r w:rsidR="00C2656B">
          <w:t xml:space="preserve"> </w:t>
        </w:r>
        <w:r w:rsidR="00C2656B">
          <w:rPr>
            <w:spacing w:val="-1"/>
          </w:rPr>
          <w:t>process</w:t>
        </w:r>
        <w:r w:rsidR="00C2656B">
          <w:rPr>
            <w:spacing w:val="-1"/>
          </w:rPr>
          <w:tab/>
        </w:r>
        <w:r w:rsidR="00C2656B">
          <w:t>15</w:t>
        </w:r>
      </w:hyperlink>
    </w:p>
    <w:p w:rsidR="00D96B91" w:rsidRDefault="00D96B91">
      <w:pPr>
        <w:pStyle w:val="BodyText"/>
        <w:numPr>
          <w:ilvl w:val="0"/>
          <w:numId w:val="139"/>
        </w:numPr>
        <w:tabs>
          <w:tab w:val="left" w:pos="2027"/>
          <w:tab w:val="left" w:pos="2381"/>
          <w:tab w:val="right" w:pos="10527"/>
        </w:tabs>
        <w:spacing w:before="72"/>
      </w:pPr>
      <w:hyperlink w:anchor="_bookmark6" w:history="1">
        <w:r w:rsidR="00C2656B">
          <w:t>2</w:t>
        </w:r>
        <w:r w:rsidR="00C2656B">
          <w:tab/>
        </w:r>
        <w:r w:rsidR="00C2656B">
          <w:rPr>
            <w:spacing w:val="-4"/>
          </w:rPr>
          <w:t>Panel’s</w:t>
        </w:r>
        <w:r w:rsidR="00C2656B">
          <w:t xml:space="preserve"> analytical and decision-making </w:t>
        </w:r>
        <w:r w:rsidR="00C2656B">
          <w:rPr>
            <w:spacing w:val="-1"/>
          </w:rPr>
          <w:t>approach</w:t>
        </w:r>
        <w:r w:rsidR="00C2656B">
          <w:rPr>
            <w:spacing w:val="-1"/>
          </w:rPr>
          <w:tab/>
        </w:r>
        <w:r w:rsidR="00C2656B">
          <w:t>17</w:t>
        </w:r>
      </w:hyperlink>
    </w:p>
    <w:p w:rsidR="00D96B91" w:rsidRDefault="00D96B91">
      <w:pPr>
        <w:pStyle w:val="Heading8"/>
        <w:numPr>
          <w:ilvl w:val="0"/>
          <w:numId w:val="141"/>
        </w:numPr>
        <w:tabs>
          <w:tab w:val="left" w:pos="1815"/>
          <w:tab w:val="right" w:pos="10527"/>
        </w:tabs>
        <w:spacing w:before="72"/>
        <w:rPr>
          <w:b w:val="0"/>
          <w:bCs w:val="0"/>
        </w:rPr>
      </w:pPr>
      <w:hyperlink w:anchor="_bookmark10" w:history="1">
        <w:r w:rsidR="00C2656B">
          <w:rPr>
            <w:spacing w:val="-1"/>
          </w:rPr>
          <w:t>Context</w:t>
        </w:r>
        <w:r w:rsidR="00C2656B">
          <w:t xml:space="preserve"> for the </w:t>
        </w:r>
        <w:r w:rsidR="00C2656B">
          <w:rPr>
            <w:spacing w:val="-1"/>
          </w:rPr>
          <w:t>review</w:t>
        </w:r>
        <w:r w:rsidR="00C2656B">
          <w:rPr>
            <w:spacing w:val="-1"/>
          </w:rPr>
          <w:tab/>
        </w:r>
        <w:r w:rsidR="00C2656B">
          <w:t>21</w:t>
        </w:r>
      </w:hyperlink>
    </w:p>
    <w:p w:rsidR="00D96B91" w:rsidRDefault="00D96B91">
      <w:pPr>
        <w:pStyle w:val="BodyText"/>
        <w:numPr>
          <w:ilvl w:val="0"/>
          <w:numId w:val="139"/>
        </w:numPr>
        <w:tabs>
          <w:tab w:val="left" w:pos="2027"/>
          <w:tab w:val="left" w:pos="2381"/>
          <w:tab w:val="right" w:pos="10527"/>
        </w:tabs>
        <w:spacing w:before="72"/>
      </w:pPr>
      <w:hyperlink w:anchor="_bookmark10" w:history="1">
        <w:r w:rsidR="00C2656B">
          <w:t>1</w:t>
        </w:r>
        <w:r w:rsidR="00C2656B">
          <w:tab/>
        </w:r>
        <w:r w:rsidR="00C2656B">
          <w:rPr>
            <w:spacing w:val="-1"/>
          </w:rPr>
          <w:t>Appropriate</w:t>
        </w:r>
        <w:r w:rsidR="00C2656B">
          <w:t xml:space="preserve"> </w:t>
        </w:r>
        <w:r w:rsidR="00C2656B">
          <w:rPr>
            <w:spacing w:val="-1"/>
          </w:rPr>
          <w:t>roles</w:t>
        </w:r>
        <w:r w:rsidR="00C2656B">
          <w:t xml:space="preserve"> and </w:t>
        </w:r>
        <w:r w:rsidR="00C2656B">
          <w:rPr>
            <w:spacing w:val="-1"/>
          </w:rPr>
          <w:t>responsibilities</w:t>
        </w:r>
        <w:r w:rsidR="00C2656B">
          <w:rPr>
            <w:spacing w:val="-1"/>
          </w:rPr>
          <w:tab/>
        </w:r>
        <w:r w:rsidR="00C2656B">
          <w:t>21</w:t>
        </w:r>
      </w:hyperlink>
    </w:p>
    <w:p w:rsidR="00D96B91" w:rsidRDefault="00D96B91">
      <w:pPr>
        <w:pStyle w:val="BodyText"/>
        <w:tabs>
          <w:tab w:val="left" w:pos="2381"/>
          <w:tab w:val="right" w:pos="10527"/>
        </w:tabs>
        <w:spacing w:before="72"/>
        <w:ind w:left="1814"/>
      </w:pPr>
      <w:hyperlink w:anchor="_bookmark12" w:history="1">
        <w:r w:rsidR="00C2656B">
          <w:t>3.</w:t>
        </w:r>
        <w:r w:rsidR="00C2656B">
          <w:rPr>
            <w:spacing w:val="-6"/>
          </w:rPr>
          <w:t xml:space="preserve"> </w:t>
        </w:r>
        <w:r w:rsidR="00C2656B">
          <w:t>2</w:t>
        </w:r>
        <w:r w:rsidR="00C2656B">
          <w:tab/>
        </w:r>
        <w:r w:rsidR="00C2656B">
          <w:rPr>
            <w:spacing w:val="-1"/>
          </w:rPr>
          <w:t>Implications</w:t>
        </w:r>
        <w:r w:rsidR="00C2656B">
          <w:t xml:space="preserve"> of</w:t>
        </w:r>
        <w:r w:rsidR="00C2656B">
          <w:rPr>
            <w:spacing w:val="4"/>
          </w:rPr>
          <w:t xml:space="preserve"> </w:t>
        </w:r>
        <w:r w:rsidR="00C2656B">
          <w:t xml:space="preserve">the </w:t>
        </w:r>
        <w:r w:rsidR="00C2656B">
          <w:rPr>
            <w:spacing w:val="-1"/>
          </w:rPr>
          <w:t>Competition</w:t>
        </w:r>
        <w:r w:rsidR="00C2656B">
          <w:t xml:space="preserve"> </w:t>
        </w:r>
        <w:r w:rsidR="00C2656B">
          <w:rPr>
            <w:spacing w:val="-1"/>
          </w:rPr>
          <w:t>Principles</w:t>
        </w:r>
        <w:r w:rsidR="00C2656B">
          <w:rPr>
            <w:spacing w:val="-4"/>
          </w:rPr>
          <w:t xml:space="preserve"> </w:t>
        </w:r>
        <w:r w:rsidR="00C2656B">
          <w:rPr>
            <w:spacing w:val="-1"/>
          </w:rPr>
          <w:t>Agreement</w:t>
        </w:r>
        <w:r w:rsidR="00C2656B">
          <w:rPr>
            <w:spacing w:val="-1"/>
          </w:rPr>
          <w:tab/>
        </w:r>
        <w:r w:rsidR="00C2656B">
          <w:t>23</w:t>
        </w:r>
      </w:hyperlink>
    </w:p>
    <w:p w:rsidR="00D96B91" w:rsidRDefault="00D96B91">
      <w:pPr>
        <w:pStyle w:val="BodyText"/>
        <w:tabs>
          <w:tab w:val="left" w:pos="2381"/>
          <w:tab w:val="right" w:pos="10527"/>
        </w:tabs>
        <w:spacing w:before="72"/>
        <w:ind w:left="1814"/>
      </w:pPr>
      <w:hyperlink w:anchor="_bookmark13" w:history="1">
        <w:r w:rsidR="00C2656B">
          <w:t>3.</w:t>
        </w:r>
        <w:r w:rsidR="00C2656B">
          <w:rPr>
            <w:spacing w:val="-6"/>
          </w:rPr>
          <w:t xml:space="preserve"> </w:t>
        </w:r>
        <w:r w:rsidR="00C2656B">
          <w:t>3</w:t>
        </w:r>
        <w:r w:rsidR="00C2656B">
          <w:tab/>
          <w:t xml:space="preserve">Challenges and pricing </w:t>
        </w:r>
        <w:r w:rsidR="00C2656B">
          <w:rPr>
            <w:spacing w:val="-1"/>
          </w:rPr>
          <w:t>implications</w:t>
        </w:r>
        <w:r w:rsidR="00C2656B">
          <w:t xml:space="preserve"> of</w:t>
        </w:r>
        <w:r w:rsidR="00C2656B">
          <w:rPr>
            <w:spacing w:val="4"/>
          </w:rPr>
          <w:t xml:space="preserve"> </w:t>
        </w:r>
        <w:r w:rsidR="00C2656B">
          <w:t>the “Millennium Drought”</w:t>
        </w:r>
        <w:r w:rsidR="00C2656B">
          <w:tab/>
          <w:t>24</w:t>
        </w:r>
      </w:hyperlink>
    </w:p>
    <w:p w:rsidR="00D96B91" w:rsidRDefault="00D96B91">
      <w:pPr>
        <w:pStyle w:val="BodyText"/>
        <w:numPr>
          <w:ilvl w:val="0"/>
          <w:numId w:val="138"/>
        </w:numPr>
        <w:tabs>
          <w:tab w:val="left" w:pos="2027"/>
          <w:tab w:val="left" w:pos="2381"/>
          <w:tab w:val="right" w:pos="10527"/>
        </w:tabs>
        <w:spacing w:before="72"/>
      </w:pPr>
      <w:hyperlink w:anchor="_bookmark14" w:history="1">
        <w:r w:rsidR="00C2656B">
          <w:t>4</w:t>
        </w:r>
        <w:r w:rsidR="00C2656B">
          <w:tab/>
        </w:r>
        <w:r w:rsidR="00C2656B">
          <w:rPr>
            <w:spacing w:val="-2"/>
          </w:rPr>
          <w:t>Key</w:t>
        </w:r>
        <w:r w:rsidR="00C2656B">
          <w:t xml:space="preserve"> </w:t>
        </w:r>
        <w:r w:rsidR="00C2656B">
          <w:rPr>
            <w:spacing w:val="-1"/>
          </w:rPr>
          <w:t>features</w:t>
        </w:r>
        <w:r w:rsidR="00C2656B">
          <w:t xml:space="preserve"> of</w:t>
        </w:r>
        <w:r w:rsidR="00C2656B">
          <w:rPr>
            <w:spacing w:val="4"/>
          </w:rPr>
          <w:t xml:space="preserve"> </w:t>
        </w:r>
        <w:r w:rsidR="00C2656B">
          <w:t xml:space="preserve">the </w:t>
        </w:r>
        <w:r w:rsidR="00C2656B">
          <w:rPr>
            <w:spacing w:val="-2"/>
          </w:rPr>
          <w:t>ICRC’s</w:t>
        </w:r>
        <w:r w:rsidR="00C2656B">
          <w:t xml:space="preserve"> original price </w:t>
        </w:r>
        <w:r w:rsidR="00C2656B">
          <w:rPr>
            <w:spacing w:val="-1"/>
          </w:rPr>
          <w:t>direction</w:t>
        </w:r>
        <w:r w:rsidR="00C2656B">
          <w:rPr>
            <w:spacing w:val="-1"/>
          </w:rPr>
          <w:tab/>
        </w:r>
        <w:r w:rsidR="00C2656B">
          <w:t>25</w:t>
        </w:r>
      </w:hyperlink>
    </w:p>
    <w:p w:rsidR="00D96B91" w:rsidRDefault="00D96B91">
      <w:pPr>
        <w:pStyle w:val="Heading8"/>
        <w:numPr>
          <w:ilvl w:val="0"/>
          <w:numId w:val="141"/>
        </w:numPr>
        <w:tabs>
          <w:tab w:val="left" w:pos="1815"/>
          <w:tab w:val="right" w:pos="10527"/>
        </w:tabs>
        <w:spacing w:before="72"/>
        <w:rPr>
          <w:b w:val="0"/>
          <w:bCs w:val="0"/>
        </w:rPr>
      </w:pPr>
      <w:hyperlink w:anchor="_bookmark15" w:history="1">
        <w:r w:rsidR="00C2656B">
          <w:t xml:space="preserve">Understanding the </w:t>
        </w:r>
        <w:r w:rsidR="00C2656B">
          <w:rPr>
            <w:spacing w:val="-1"/>
          </w:rPr>
          <w:t>regulatory</w:t>
        </w:r>
        <w:r w:rsidR="00C2656B">
          <w:t xml:space="preserve"> </w:t>
        </w:r>
        <w:r w:rsidR="00C2656B">
          <w:rPr>
            <w:spacing w:val="-1"/>
          </w:rPr>
          <w:t>framework</w:t>
        </w:r>
        <w:r w:rsidR="00C2656B">
          <w:t xml:space="preserve"> and best </w:t>
        </w:r>
        <w:r w:rsidR="00C2656B">
          <w:rPr>
            <w:spacing w:val="-1"/>
          </w:rPr>
          <w:t>practice</w:t>
        </w:r>
        <w:r w:rsidR="00C2656B">
          <w:t xml:space="preserve"> </w:t>
        </w:r>
        <w:r w:rsidR="00C2656B">
          <w:rPr>
            <w:spacing w:val="-1"/>
          </w:rPr>
          <w:t>regulatory</w:t>
        </w:r>
        <w:r w:rsidR="00C2656B">
          <w:t xml:space="preserve"> principles</w:t>
        </w:r>
        <w:r w:rsidR="00C2656B">
          <w:tab/>
          <w:t>29</w:t>
        </w:r>
      </w:hyperlink>
    </w:p>
    <w:p w:rsidR="00D96B91" w:rsidRDefault="00D96B91">
      <w:pPr>
        <w:pStyle w:val="BodyText"/>
        <w:numPr>
          <w:ilvl w:val="0"/>
          <w:numId w:val="138"/>
        </w:numPr>
        <w:tabs>
          <w:tab w:val="left" w:pos="2027"/>
          <w:tab w:val="left" w:pos="2381"/>
          <w:tab w:val="right" w:pos="10527"/>
        </w:tabs>
        <w:spacing w:before="72"/>
      </w:pPr>
      <w:hyperlink w:anchor="_bookmark15" w:history="1">
        <w:r w:rsidR="00C2656B">
          <w:t>1</w:t>
        </w:r>
        <w:r w:rsidR="00C2656B">
          <w:tab/>
        </w:r>
        <w:r w:rsidR="00C2656B">
          <w:rPr>
            <w:spacing w:val="-1"/>
          </w:rPr>
          <w:t>Relevant</w:t>
        </w:r>
        <w:r w:rsidR="00C2656B">
          <w:t xml:space="preserve"> </w:t>
        </w:r>
        <w:r w:rsidR="00C2656B">
          <w:rPr>
            <w:spacing w:val="-1"/>
          </w:rPr>
          <w:t>provisions</w:t>
        </w:r>
        <w:r w:rsidR="00C2656B">
          <w:t xml:space="preserve"> of</w:t>
        </w:r>
        <w:r w:rsidR="00C2656B">
          <w:rPr>
            <w:spacing w:val="4"/>
          </w:rPr>
          <w:t xml:space="preserve"> </w:t>
        </w:r>
        <w:r w:rsidR="00C2656B">
          <w:t>the</w:t>
        </w:r>
        <w:r w:rsidR="00C2656B">
          <w:rPr>
            <w:spacing w:val="-4"/>
          </w:rPr>
          <w:t xml:space="preserve"> </w:t>
        </w:r>
        <w:r w:rsidR="00C2656B">
          <w:t>Act</w:t>
        </w:r>
        <w:r w:rsidR="00C2656B">
          <w:tab/>
          <w:t>29</w:t>
        </w:r>
      </w:hyperlink>
    </w:p>
    <w:p w:rsidR="00D96B91" w:rsidRDefault="00D96B91">
      <w:pPr>
        <w:pStyle w:val="BodyText"/>
        <w:tabs>
          <w:tab w:val="left" w:pos="2381"/>
          <w:tab w:val="right" w:pos="10527"/>
        </w:tabs>
        <w:spacing w:before="72"/>
        <w:ind w:left="1814"/>
      </w:pPr>
      <w:hyperlink w:anchor="_bookmark18" w:history="1">
        <w:r w:rsidR="00C2656B">
          <w:t>4.</w:t>
        </w:r>
        <w:r w:rsidR="00C2656B">
          <w:rPr>
            <w:spacing w:val="-6"/>
          </w:rPr>
          <w:t xml:space="preserve"> </w:t>
        </w:r>
        <w:r w:rsidR="00C2656B">
          <w:t>2</w:t>
        </w:r>
        <w:r w:rsidR="00C2656B">
          <w:tab/>
        </w:r>
        <w:r w:rsidR="00C2656B">
          <w:rPr>
            <w:spacing w:val="-2"/>
          </w:rPr>
          <w:t>The</w:t>
        </w:r>
        <w:r w:rsidR="00C2656B">
          <w:t xml:space="preserve"> original terms of</w:t>
        </w:r>
        <w:r w:rsidR="00C2656B">
          <w:rPr>
            <w:spacing w:val="4"/>
          </w:rPr>
          <w:t xml:space="preserve"> </w:t>
        </w:r>
        <w:r w:rsidR="00C2656B">
          <w:rPr>
            <w:spacing w:val="-1"/>
          </w:rPr>
          <w:t>reference</w:t>
        </w:r>
        <w:r w:rsidR="00C2656B">
          <w:rPr>
            <w:spacing w:val="-1"/>
          </w:rPr>
          <w:tab/>
        </w:r>
        <w:r w:rsidR="00C2656B">
          <w:t>32</w:t>
        </w:r>
      </w:hyperlink>
    </w:p>
    <w:p w:rsidR="00D96B91" w:rsidRDefault="00D96B91">
      <w:pPr>
        <w:pStyle w:val="BodyText"/>
        <w:numPr>
          <w:ilvl w:val="0"/>
          <w:numId w:val="137"/>
        </w:numPr>
        <w:tabs>
          <w:tab w:val="left" w:pos="2027"/>
          <w:tab w:val="left" w:pos="2381"/>
          <w:tab w:val="right" w:pos="10527"/>
        </w:tabs>
        <w:spacing w:before="72"/>
      </w:pPr>
      <w:hyperlink w:anchor="_bookmark20" w:history="1">
        <w:r w:rsidR="00C2656B">
          <w:t>3</w:t>
        </w:r>
        <w:r w:rsidR="00C2656B">
          <w:tab/>
          <w:t xml:space="preserve">Best </w:t>
        </w:r>
        <w:r w:rsidR="00C2656B">
          <w:rPr>
            <w:spacing w:val="-1"/>
          </w:rPr>
          <w:t>practice</w:t>
        </w:r>
        <w:r w:rsidR="00C2656B">
          <w:t xml:space="preserve"> </w:t>
        </w:r>
        <w:r w:rsidR="00C2656B">
          <w:rPr>
            <w:spacing w:val="-1"/>
          </w:rPr>
          <w:t>regulatory</w:t>
        </w:r>
        <w:r w:rsidR="00C2656B">
          <w:t xml:space="preserve"> principles</w:t>
        </w:r>
        <w:r w:rsidR="00C2656B">
          <w:tab/>
          <w:t>33</w:t>
        </w:r>
      </w:hyperlink>
    </w:p>
    <w:p w:rsidR="00D96B91" w:rsidRDefault="00D96B91">
      <w:pPr>
        <w:pStyle w:val="Heading8"/>
        <w:numPr>
          <w:ilvl w:val="0"/>
          <w:numId w:val="141"/>
        </w:numPr>
        <w:tabs>
          <w:tab w:val="left" w:pos="1815"/>
          <w:tab w:val="right" w:pos="10527"/>
        </w:tabs>
        <w:spacing w:before="72"/>
        <w:rPr>
          <w:b w:val="0"/>
          <w:bCs w:val="0"/>
        </w:rPr>
      </w:pPr>
      <w:hyperlink w:anchor="_bookmark21" w:history="1">
        <w:r w:rsidR="00C2656B">
          <w:t>Determining the scope of</w:t>
        </w:r>
        <w:r w:rsidR="00C2656B">
          <w:rPr>
            <w:spacing w:val="4"/>
          </w:rPr>
          <w:t xml:space="preserve"> </w:t>
        </w:r>
        <w:r w:rsidR="00C2656B">
          <w:t xml:space="preserve">the </w:t>
        </w:r>
        <w:r w:rsidR="00C2656B">
          <w:rPr>
            <w:spacing w:val="-1"/>
          </w:rPr>
          <w:t>review</w:t>
        </w:r>
        <w:r w:rsidR="00C2656B">
          <w:rPr>
            <w:spacing w:val="-1"/>
          </w:rPr>
          <w:tab/>
        </w:r>
        <w:r w:rsidR="00C2656B">
          <w:t>35</w:t>
        </w:r>
      </w:hyperlink>
    </w:p>
    <w:p w:rsidR="00D96B91" w:rsidRDefault="00D96B91">
      <w:pPr>
        <w:pStyle w:val="BodyText"/>
        <w:numPr>
          <w:ilvl w:val="0"/>
          <w:numId w:val="137"/>
        </w:numPr>
        <w:tabs>
          <w:tab w:val="left" w:pos="2027"/>
          <w:tab w:val="left" w:pos="2381"/>
          <w:tab w:val="right" w:pos="10527"/>
        </w:tabs>
        <w:spacing w:before="72"/>
      </w:pPr>
      <w:hyperlink w:anchor="_bookmark21" w:history="1">
        <w:r w:rsidR="00C2656B">
          <w:t>1</w:t>
        </w:r>
        <w:r w:rsidR="00C2656B">
          <w:tab/>
          <w:t xml:space="preserve">How the </w:t>
        </w:r>
        <w:r w:rsidR="00C2656B">
          <w:rPr>
            <w:spacing w:val="-3"/>
          </w:rPr>
          <w:t>Panel</w:t>
        </w:r>
        <w:r w:rsidR="00C2656B">
          <w:t xml:space="preserve"> determined the scope of</w:t>
        </w:r>
        <w:r w:rsidR="00C2656B">
          <w:rPr>
            <w:spacing w:val="4"/>
          </w:rPr>
          <w:t xml:space="preserve"> </w:t>
        </w:r>
        <w:r w:rsidR="00C2656B">
          <w:t xml:space="preserve">the </w:t>
        </w:r>
        <w:r w:rsidR="00C2656B">
          <w:rPr>
            <w:spacing w:val="-1"/>
          </w:rPr>
          <w:t>review</w:t>
        </w:r>
        <w:r w:rsidR="00C2656B">
          <w:rPr>
            <w:spacing w:val="-1"/>
          </w:rPr>
          <w:tab/>
        </w:r>
        <w:r w:rsidR="00C2656B">
          <w:t>35</w:t>
        </w:r>
      </w:hyperlink>
    </w:p>
    <w:p w:rsidR="00D96B91" w:rsidRDefault="00D96B91">
      <w:pPr>
        <w:pStyle w:val="BodyText"/>
        <w:tabs>
          <w:tab w:val="left" w:pos="2381"/>
          <w:tab w:val="right" w:pos="10527"/>
        </w:tabs>
        <w:spacing w:before="72"/>
        <w:ind w:left="1814"/>
      </w:pPr>
      <w:hyperlink w:anchor="_bookmark22" w:history="1">
        <w:r w:rsidR="00C2656B">
          <w:t>5.</w:t>
        </w:r>
        <w:r w:rsidR="00C2656B">
          <w:rPr>
            <w:spacing w:val="-6"/>
          </w:rPr>
          <w:t xml:space="preserve"> </w:t>
        </w:r>
        <w:r w:rsidR="00C2656B">
          <w:t>2</w:t>
        </w:r>
        <w:r w:rsidR="00C2656B">
          <w:tab/>
        </w:r>
        <w:r w:rsidR="00C2656B">
          <w:rPr>
            <w:spacing w:val="-4"/>
          </w:rPr>
          <w:t>Panel’s</w:t>
        </w:r>
        <w:r w:rsidR="00C2656B">
          <w:t xml:space="preserve"> decisions on which </w:t>
        </w:r>
        <w:r w:rsidR="00C2656B">
          <w:rPr>
            <w:spacing w:val="-1"/>
          </w:rPr>
          <w:t>matters</w:t>
        </w:r>
        <w:r w:rsidR="00C2656B">
          <w:t xml:space="preserve"> </w:t>
        </w:r>
        <w:r w:rsidR="00C2656B">
          <w:rPr>
            <w:spacing w:val="-2"/>
          </w:rPr>
          <w:t>are</w:t>
        </w:r>
        <w:r w:rsidR="00C2656B">
          <w:t xml:space="preserve"> within the scope</w:t>
        </w:r>
        <w:r w:rsidR="00C2656B">
          <w:tab/>
          <w:t>37</w:t>
        </w:r>
      </w:hyperlink>
    </w:p>
    <w:p w:rsidR="00D96B91" w:rsidRDefault="00D96B91">
      <w:pPr>
        <w:pStyle w:val="BodyText"/>
        <w:numPr>
          <w:ilvl w:val="0"/>
          <w:numId w:val="136"/>
        </w:numPr>
        <w:tabs>
          <w:tab w:val="left" w:pos="2027"/>
          <w:tab w:val="left" w:pos="2381"/>
          <w:tab w:val="right" w:pos="10527"/>
        </w:tabs>
        <w:spacing w:before="72"/>
      </w:pPr>
      <w:hyperlink w:anchor="_bookmark23" w:history="1">
        <w:r w:rsidR="00C2656B">
          <w:t>3</w:t>
        </w:r>
        <w:r w:rsidR="00C2656B">
          <w:tab/>
        </w:r>
        <w:r w:rsidR="00C2656B">
          <w:rPr>
            <w:spacing w:val="-1"/>
          </w:rPr>
          <w:t>Components</w:t>
        </w:r>
        <w:r w:rsidR="00C2656B">
          <w:t xml:space="preserve"> of</w:t>
        </w:r>
        <w:r w:rsidR="00C2656B">
          <w:rPr>
            <w:spacing w:val="4"/>
          </w:rPr>
          <w:t xml:space="preserve"> </w:t>
        </w:r>
        <w:r w:rsidR="00C2656B">
          <w:t xml:space="preserve">the original price </w:t>
        </w:r>
        <w:r w:rsidR="00C2656B">
          <w:rPr>
            <w:spacing w:val="-1"/>
          </w:rPr>
          <w:t>direction</w:t>
        </w:r>
        <w:r w:rsidR="00C2656B">
          <w:t xml:space="preserve"> </w:t>
        </w:r>
        <w:r w:rsidR="00C2656B">
          <w:rPr>
            <w:spacing w:val="-1"/>
          </w:rPr>
          <w:t>that</w:t>
        </w:r>
        <w:r w:rsidR="00C2656B">
          <w:t xml:space="preserve"> </w:t>
        </w:r>
        <w:r w:rsidR="00C2656B">
          <w:rPr>
            <w:spacing w:val="-2"/>
          </w:rPr>
          <w:t>require</w:t>
        </w:r>
        <w:r w:rsidR="00C2656B">
          <w:t xml:space="preserve"> </w:t>
        </w:r>
        <w:r w:rsidR="00C2656B">
          <w:rPr>
            <w:spacing w:val="-1"/>
          </w:rPr>
          <w:t>review</w:t>
        </w:r>
        <w:r w:rsidR="00C2656B">
          <w:t xml:space="preserve"> and decision-making</w:t>
        </w:r>
        <w:r w:rsidR="00C2656B">
          <w:tab/>
          <w:t>38</w:t>
        </w:r>
      </w:hyperlink>
    </w:p>
    <w:p w:rsidR="00D96B91" w:rsidRDefault="00D96B91">
      <w:pPr>
        <w:pStyle w:val="Heading8"/>
        <w:numPr>
          <w:ilvl w:val="0"/>
          <w:numId w:val="141"/>
        </w:numPr>
        <w:tabs>
          <w:tab w:val="left" w:pos="1815"/>
          <w:tab w:val="right" w:pos="10527"/>
        </w:tabs>
        <w:spacing w:before="72"/>
        <w:rPr>
          <w:b w:val="0"/>
          <w:bCs w:val="0"/>
        </w:rPr>
      </w:pPr>
      <w:hyperlink w:anchor="_bookmark25" w:history="1">
        <w:r w:rsidR="00C2656B">
          <w:rPr>
            <w:spacing w:val="-1"/>
          </w:rPr>
          <w:t>Regulatory</w:t>
        </w:r>
        <w:r w:rsidR="00C2656B">
          <w:t xml:space="preserve"> period,</w:t>
        </w:r>
        <w:r w:rsidR="00C2656B">
          <w:rPr>
            <w:spacing w:val="-6"/>
          </w:rPr>
          <w:t xml:space="preserve"> </w:t>
        </w:r>
        <w:r w:rsidR="00C2656B">
          <w:t>form of</w:t>
        </w:r>
        <w:r w:rsidR="00C2656B">
          <w:rPr>
            <w:spacing w:val="4"/>
          </w:rPr>
          <w:t xml:space="preserve"> </w:t>
        </w:r>
        <w:r w:rsidR="00C2656B">
          <w:rPr>
            <w:spacing w:val="-1"/>
          </w:rPr>
          <w:t>control</w:t>
        </w:r>
        <w:r w:rsidR="00C2656B">
          <w:t xml:space="preserve"> and other risk </w:t>
        </w:r>
        <w:r w:rsidR="00C2656B">
          <w:rPr>
            <w:spacing w:val="-1"/>
          </w:rPr>
          <w:t>allocation</w:t>
        </w:r>
        <w:r w:rsidR="00C2656B">
          <w:t xml:space="preserve"> </w:t>
        </w:r>
        <w:r w:rsidR="00C2656B">
          <w:rPr>
            <w:spacing w:val="-1"/>
          </w:rPr>
          <w:t>measures</w:t>
        </w:r>
        <w:r w:rsidR="00C2656B">
          <w:rPr>
            <w:spacing w:val="-1"/>
          </w:rPr>
          <w:tab/>
        </w:r>
        <w:r w:rsidR="00C2656B">
          <w:t>41</w:t>
        </w:r>
      </w:hyperlink>
    </w:p>
    <w:p w:rsidR="00D96B91" w:rsidRDefault="00D96B91">
      <w:pPr>
        <w:pStyle w:val="BodyText"/>
        <w:numPr>
          <w:ilvl w:val="0"/>
          <w:numId w:val="136"/>
        </w:numPr>
        <w:tabs>
          <w:tab w:val="left" w:pos="2027"/>
          <w:tab w:val="left" w:pos="2381"/>
          <w:tab w:val="right" w:pos="10527"/>
        </w:tabs>
        <w:spacing w:before="72"/>
      </w:pPr>
      <w:hyperlink w:anchor="_bookmark25" w:history="1">
        <w:r w:rsidR="00C2656B">
          <w:t>1</w:t>
        </w:r>
        <w:r w:rsidR="00C2656B">
          <w:tab/>
          <w:t>Overview of</w:t>
        </w:r>
        <w:r w:rsidR="00C2656B">
          <w:rPr>
            <w:spacing w:val="4"/>
          </w:rPr>
          <w:t xml:space="preserve"> </w:t>
        </w:r>
        <w:r w:rsidR="00C2656B">
          <w:rPr>
            <w:spacing w:val="-4"/>
          </w:rPr>
          <w:t>Panel’s</w:t>
        </w:r>
        <w:r w:rsidR="00C2656B">
          <w:t xml:space="preserve"> </w:t>
        </w:r>
        <w:r w:rsidR="00C2656B">
          <w:rPr>
            <w:spacing w:val="-2"/>
          </w:rPr>
          <w:t>draft</w:t>
        </w:r>
        <w:r w:rsidR="00C2656B">
          <w:t xml:space="preserve"> decision</w:t>
        </w:r>
        <w:r w:rsidR="00C2656B">
          <w:tab/>
          <w:t>41</w:t>
        </w:r>
      </w:hyperlink>
    </w:p>
    <w:p w:rsidR="00D96B91" w:rsidRDefault="00D96B91">
      <w:pPr>
        <w:pStyle w:val="BodyText"/>
        <w:tabs>
          <w:tab w:val="left" w:pos="2381"/>
          <w:tab w:val="right" w:pos="10527"/>
        </w:tabs>
        <w:spacing w:before="72"/>
        <w:ind w:left="1814"/>
      </w:pPr>
      <w:hyperlink w:anchor="_bookmark28" w:history="1">
        <w:r w:rsidR="00C2656B">
          <w:t>6.</w:t>
        </w:r>
        <w:r w:rsidR="00C2656B">
          <w:rPr>
            <w:spacing w:val="-6"/>
          </w:rPr>
          <w:t xml:space="preserve"> </w:t>
        </w:r>
        <w:r w:rsidR="00C2656B">
          <w:t>2</w:t>
        </w:r>
        <w:r w:rsidR="00C2656B">
          <w:tab/>
        </w:r>
        <w:r w:rsidR="00C2656B">
          <w:rPr>
            <w:spacing w:val="-1"/>
          </w:rPr>
          <w:t>Risks</w:t>
        </w:r>
        <w:r w:rsidR="00C2656B">
          <w:t xml:space="preserve"> </w:t>
        </w:r>
        <w:r w:rsidR="00C2656B">
          <w:rPr>
            <w:spacing w:val="-1"/>
          </w:rPr>
          <w:t>that</w:t>
        </w:r>
        <w:r w:rsidR="00C2656B">
          <w:rPr>
            <w:spacing w:val="-4"/>
          </w:rPr>
          <w:t xml:space="preserve"> </w:t>
        </w:r>
        <w:r w:rsidR="00C2656B">
          <w:rPr>
            <w:spacing w:val="-2"/>
          </w:rPr>
          <w:t>ACTEW</w:t>
        </w:r>
        <w:r w:rsidR="00C2656B">
          <w:rPr>
            <w:spacing w:val="-3"/>
          </w:rPr>
          <w:t xml:space="preserve"> </w:t>
        </w:r>
        <w:r w:rsidR="00C2656B">
          <w:t xml:space="preserve">and its customers </w:t>
        </w:r>
        <w:r w:rsidR="00C2656B">
          <w:rPr>
            <w:spacing w:val="-2"/>
          </w:rPr>
          <w:t>are</w:t>
        </w:r>
        <w:r w:rsidR="00C2656B">
          <w:t xml:space="preserve"> </w:t>
        </w:r>
        <w:r w:rsidR="00C2656B">
          <w:rPr>
            <w:spacing w:val="-1"/>
          </w:rPr>
          <w:t>expected</w:t>
        </w:r>
        <w:r w:rsidR="00C2656B">
          <w:t xml:space="preserve"> to face</w:t>
        </w:r>
        <w:r w:rsidR="00C2656B">
          <w:tab/>
          <w:t>42</w:t>
        </w:r>
      </w:hyperlink>
    </w:p>
    <w:p w:rsidR="00D96B91" w:rsidRDefault="00D96B91">
      <w:pPr>
        <w:pStyle w:val="BodyText"/>
        <w:tabs>
          <w:tab w:val="left" w:pos="2381"/>
          <w:tab w:val="right" w:pos="10527"/>
        </w:tabs>
        <w:spacing w:before="72"/>
        <w:ind w:left="1814"/>
      </w:pPr>
      <w:hyperlink w:anchor="_bookmark30" w:history="1">
        <w:r w:rsidR="00C2656B">
          <w:t>6.</w:t>
        </w:r>
        <w:r w:rsidR="00C2656B">
          <w:rPr>
            <w:spacing w:val="-6"/>
          </w:rPr>
          <w:t xml:space="preserve"> </w:t>
        </w:r>
        <w:r w:rsidR="00C2656B">
          <w:t>3</w:t>
        </w:r>
        <w:r w:rsidR="00C2656B">
          <w:tab/>
        </w:r>
        <w:r w:rsidR="00C2656B">
          <w:rPr>
            <w:spacing w:val="-1"/>
          </w:rPr>
          <w:t>Length</w:t>
        </w:r>
        <w:r w:rsidR="00C2656B">
          <w:t xml:space="preserve"> of</w:t>
        </w:r>
        <w:r w:rsidR="00C2656B">
          <w:rPr>
            <w:spacing w:val="4"/>
          </w:rPr>
          <w:t xml:space="preserve"> </w:t>
        </w:r>
        <w:r w:rsidR="00C2656B">
          <w:t xml:space="preserve">the </w:t>
        </w:r>
        <w:r w:rsidR="00C2656B">
          <w:rPr>
            <w:spacing w:val="-1"/>
          </w:rPr>
          <w:t>regulatory</w:t>
        </w:r>
        <w:r w:rsidR="00C2656B">
          <w:t xml:space="preserve"> period</w:t>
        </w:r>
      </w:hyperlink>
      <w:r w:rsidR="00C2656B">
        <w:tab/>
        <w:t>46</w:t>
      </w:r>
    </w:p>
    <w:p w:rsidR="00D96B91" w:rsidRDefault="00D96B91">
      <w:pPr>
        <w:pStyle w:val="BodyText"/>
        <w:tabs>
          <w:tab w:val="left" w:pos="2381"/>
          <w:tab w:val="right" w:pos="10527"/>
        </w:tabs>
        <w:spacing w:before="72"/>
        <w:ind w:left="1814"/>
      </w:pPr>
      <w:hyperlink w:anchor="_bookmark33" w:history="1">
        <w:r w:rsidR="00C2656B">
          <w:t>6.</w:t>
        </w:r>
        <w:r w:rsidR="00C2656B">
          <w:rPr>
            <w:spacing w:val="-6"/>
          </w:rPr>
          <w:t xml:space="preserve"> </w:t>
        </w:r>
        <w:r w:rsidR="00C2656B">
          <w:t>4</w:t>
        </w:r>
        <w:r w:rsidR="00C2656B">
          <w:tab/>
        </w:r>
        <w:r w:rsidR="00C2656B">
          <w:rPr>
            <w:spacing w:val="-3"/>
          </w:rPr>
          <w:t>Form</w:t>
        </w:r>
        <w:r w:rsidR="00C2656B">
          <w:t xml:space="preserve"> of</w:t>
        </w:r>
        <w:r w:rsidR="00C2656B">
          <w:rPr>
            <w:spacing w:val="4"/>
          </w:rPr>
          <w:t xml:space="preserve"> </w:t>
        </w:r>
        <w:r w:rsidR="00C2656B">
          <w:rPr>
            <w:spacing w:val="-1"/>
          </w:rPr>
          <w:t>control</w:t>
        </w:r>
        <w:r w:rsidR="00C2656B">
          <w:t xml:space="preserve"> and </w:t>
        </w:r>
        <w:r w:rsidR="00C2656B">
          <w:rPr>
            <w:spacing w:val="-1"/>
          </w:rPr>
          <w:t>measures</w:t>
        </w:r>
        <w:r w:rsidR="00C2656B">
          <w:t xml:space="preserve"> to </w:t>
        </w:r>
        <w:r w:rsidR="00C2656B">
          <w:rPr>
            <w:spacing w:val="-1"/>
          </w:rPr>
          <w:t>deal</w:t>
        </w:r>
        <w:r w:rsidR="00C2656B">
          <w:t xml:space="preserve"> with demand risk</w:t>
        </w:r>
        <w:r w:rsidR="00C2656B">
          <w:tab/>
          <w:t>49</w:t>
        </w:r>
      </w:hyperlink>
    </w:p>
    <w:p w:rsidR="00D96B91" w:rsidRDefault="00D96B91">
      <w:pPr>
        <w:pStyle w:val="BodyText"/>
        <w:tabs>
          <w:tab w:val="left" w:pos="2381"/>
          <w:tab w:val="right" w:pos="10527"/>
        </w:tabs>
        <w:spacing w:before="72"/>
        <w:ind w:left="1814"/>
      </w:pPr>
      <w:hyperlink w:anchor="_bookmark39" w:history="1">
        <w:r w:rsidR="00C2656B">
          <w:t>6.</w:t>
        </w:r>
        <w:r w:rsidR="00C2656B">
          <w:rPr>
            <w:spacing w:val="-6"/>
          </w:rPr>
          <w:t xml:space="preserve"> </w:t>
        </w:r>
        <w:r w:rsidR="00C2656B">
          <w:t>5</w:t>
        </w:r>
        <w:r w:rsidR="00C2656B">
          <w:tab/>
        </w:r>
        <w:r w:rsidR="00C2656B">
          <w:rPr>
            <w:spacing w:val="-1"/>
          </w:rPr>
          <w:t>Measures</w:t>
        </w:r>
        <w:r w:rsidR="00C2656B">
          <w:t xml:space="preserve"> to </w:t>
        </w:r>
        <w:r w:rsidR="00C2656B">
          <w:rPr>
            <w:spacing w:val="-1"/>
          </w:rPr>
          <w:t>deal</w:t>
        </w:r>
        <w:r w:rsidR="00C2656B">
          <w:t xml:space="preserve"> with </w:t>
        </w:r>
        <w:r w:rsidR="00C2656B">
          <w:rPr>
            <w:spacing w:val="-1"/>
          </w:rPr>
          <w:t>expenditure</w:t>
        </w:r>
        <w:r w:rsidR="00C2656B">
          <w:t xml:space="preserve"> </w:t>
        </w:r>
        <w:r w:rsidR="00C2656B">
          <w:rPr>
            <w:spacing w:val="-1"/>
          </w:rPr>
          <w:t>risks</w:t>
        </w:r>
        <w:r w:rsidR="00C2656B">
          <w:rPr>
            <w:spacing w:val="-1"/>
          </w:rPr>
          <w:tab/>
        </w:r>
        <w:r w:rsidR="00C2656B">
          <w:t>56</w:t>
        </w:r>
      </w:hyperlink>
    </w:p>
    <w:p w:rsidR="00D96B91" w:rsidRDefault="00D96B91">
      <w:pPr>
        <w:pStyle w:val="BodyText"/>
        <w:numPr>
          <w:ilvl w:val="0"/>
          <w:numId w:val="135"/>
        </w:numPr>
        <w:tabs>
          <w:tab w:val="left" w:pos="2027"/>
          <w:tab w:val="left" w:pos="2381"/>
          <w:tab w:val="right" w:pos="10527"/>
        </w:tabs>
        <w:spacing w:before="72"/>
      </w:pPr>
      <w:hyperlink w:anchor="_bookmark43" w:history="1">
        <w:r w:rsidR="00C2656B">
          <w:t>6</w:t>
        </w:r>
        <w:r w:rsidR="00C2656B">
          <w:tab/>
        </w:r>
        <w:r w:rsidR="00C2656B">
          <w:rPr>
            <w:spacing w:val="-1"/>
          </w:rPr>
          <w:t>Measures</w:t>
        </w:r>
        <w:r w:rsidR="00C2656B">
          <w:t xml:space="preserve"> to </w:t>
        </w:r>
        <w:r w:rsidR="00C2656B">
          <w:rPr>
            <w:spacing w:val="-1"/>
          </w:rPr>
          <w:t>deal</w:t>
        </w:r>
        <w:r w:rsidR="00C2656B">
          <w:t xml:space="preserve"> with </w:t>
        </w:r>
        <w:r w:rsidR="00C2656B">
          <w:rPr>
            <w:spacing w:val="-1"/>
          </w:rPr>
          <w:t>unforeseen</w:t>
        </w:r>
        <w:r w:rsidR="00C2656B">
          <w:t xml:space="preserve"> events</w:t>
        </w:r>
        <w:r w:rsidR="00C2656B">
          <w:tab/>
          <w:t>59</w:t>
        </w:r>
      </w:hyperlink>
    </w:p>
    <w:p w:rsidR="00D96B91" w:rsidRDefault="00D96B91">
      <w:pPr>
        <w:pStyle w:val="Heading8"/>
        <w:numPr>
          <w:ilvl w:val="0"/>
          <w:numId w:val="141"/>
        </w:numPr>
        <w:tabs>
          <w:tab w:val="left" w:pos="1815"/>
          <w:tab w:val="right" w:pos="10527"/>
        </w:tabs>
        <w:spacing w:before="72"/>
        <w:rPr>
          <w:b w:val="0"/>
          <w:bCs w:val="0"/>
        </w:rPr>
      </w:pPr>
      <w:hyperlink w:anchor="_bookmark44" w:history="1">
        <w:r w:rsidR="00C2656B">
          <w:t>Method used to determine prices</w:t>
        </w:r>
        <w:r w:rsidR="00C2656B">
          <w:tab/>
          <w:t>61</w:t>
        </w:r>
      </w:hyperlink>
    </w:p>
    <w:p w:rsidR="00D96B91" w:rsidRDefault="00D96B91">
      <w:pPr>
        <w:pStyle w:val="BodyText"/>
        <w:numPr>
          <w:ilvl w:val="0"/>
          <w:numId w:val="135"/>
        </w:numPr>
        <w:tabs>
          <w:tab w:val="left" w:pos="2027"/>
          <w:tab w:val="left" w:pos="2381"/>
          <w:tab w:val="right" w:pos="10527"/>
        </w:tabs>
        <w:spacing w:before="72"/>
      </w:pPr>
      <w:hyperlink w:anchor="_bookmark44" w:history="1">
        <w:r w:rsidR="00C2656B">
          <w:t>1</w:t>
        </w:r>
        <w:r w:rsidR="00C2656B">
          <w:tab/>
          <w:t>Overview of</w:t>
        </w:r>
        <w:r w:rsidR="00C2656B">
          <w:rPr>
            <w:spacing w:val="4"/>
          </w:rPr>
          <w:t xml:space="preserve"> </w:t>
        </w:r>
        <w:r w:rsidR="00C2656B">
          <w:t xml:space="preserve">price </w:t>
        </w:r>
        <w:r w:rsidR="00C2656B">
          <w:rPr>
            <w:spacing w:val="-1"/>
          </w:rPr>
          <w:t>setting</w:t>
        </w:r>
        <w:r w:rsidR="00C2656B">
          <w:t xml:space="preserve"> method for 2015-16 to 2017-18</w:t>
        </w:r>
        <w:r w:rsidR="00C2656B">
          <w:tab/>
          <w:t>61</w:t>
        </w:r>
      </w:hyperlink>
    </w:p>
    <w:p w:rsidR="00D96B91" w:rsidRDefault="00D96B91">
      <w:pPr>
        <w:pStyle w:val="BodyText"/>
        <w:tabs>
          <w:tab w:val="left" w:pos="2381"/>
          <w:tab w:val="right" w:pos="10527"/>
        </w:tabs>
        <w:spacing w:before="72"/>
        <w:ind w:left="1814"/>
      </w:pPr>
      <w:hyperlink w:anchor="_bookmark44" w:history="1">
        <w:r w:rsidR="00C2656B">
          <w:t>7.</w:t>
        </w:r>
        <w:r w:rsidR="00C2656B">
          <w:rPr>
            <w:spacing w:val="-6"/>
          </w:rPr>
          <w:t xml:space="preserve"> </w:t>
        </w:r>
        <w:r w:rsidR="00C2656B">
          <w:t>2</w:t>
        </w:r>
        <w:r w:rsidR="00C2656B">
          <w:tab/>
          <w:t>Determine</w:t>
        </w:r>
        <w:r w:rsidR="00C2656B">
          <w:rPr>
            <w:spacing w:val="-5"/>
          </w:rPr>
          <w:t xml:space="preserve"> </w:t>
        </w:r>
        <w:r w:rsidR="00C2656B">
          <w:rPr>
            <w:spacing w:val="-2"/>
          </w:rPr>
          <w:t>ACTEW’s</w:t>
        </w:r>
        <w:r w:rsidR="00C2656B">
          <w:t xml:space="preserve"> net </w:t>
        </w:r>
        <w:r w:rsidR="00C2656B">
          <w:rPr>
            <w:spacing w:val="-1"/>
          </w:rPr>
          <w:t>revenue</w:t>
        </w:r>
        <w:r w:rsidR="00C2656B">
          <w:t xml:space="preserve"> </w:t>
        </w:r>
        <w:r w:rsidR="00C2656B">
          <w:rPr>
            <w:spacing w:val="-1"/>
          </w:rPr>
          <w:t>requirement</w:t>
        </w:r>
        <w:r w:rsidR="00C2656B">
          <w:t xml:space="preserve"> for full </w:t>
        </w:r>
        <w:r w:rsidR="00C2656B">
          <w:rPr>
            <w:spacing w:val="-1"/>
          </w:rPr>
          <w:t xml:space="preserve">five-year </w:t>
        </w:r>
        <w:r w:rsidR="00C2656B">
          <w:t>period</w:t>
        </w:r>
        <w:r w:rsidR="00C2656B">
          <w:tab/>
          <w:t>61</w:t>
        </w:r>
      </w:hyperlink>
    </w:p>
    <w:p w:rsidR="00D96B91" w:rsidRDefault="00D96B91">
      <w:pPr>
        <w:pStyle w:val="BodyText"/>
        <w:tabs>
          <w:tab w:val="left" w:pos="2381"/>
        </w:tabs>
        <w:spacing w:before="72" w:line="267" w:lineRule="exact"/>
        <w:ind w:left="1814"/>
      </w:pPr>
      <w:hyperlink w:anchor="_bookmark47" w:history="1">
        <w:r w:rsidR="00C2656B">
          <w:t>7.</w:t>
        </w:r>
        <w:r w:rsidR="00C2656B">
          <w:rPr>
            <w:spacing w:val="-6"/>
          </w:rPr>
          <w:t xml:space="preserve"> </w:t>
        </w:r>
        <w:r w:rsidR="00C2656B">
          <w:t>3</w:t>
        </w:r>
        <w:r w:rsidR="00C2656B">
          <w:tab/>
        </w:r>
        <w:r w:rsidR="00C2656B">
          <w:rPr>
            <w:spacing w:val="-1"/>
          </w:rPr>
          <w:t>Calculate</w:t>
        </w:r>
        <w:r w:rsidR="00C2656B">
          <w:t xml:space="preserve"> the ‘true up’ adjustment necessary to account of</w:t>
        </w:r>
        <w:r w:rsidR="00C2656B">
          <w:rPr>
            <w:spacing w:val="4"/>
          </w:rPr>
          <w:t xml:space="preserve"> </w:t>
        </w:r>
        <w:r w:rsidR="00C2656B">
          <w:t>over or under</w:t>
        </w:r>
      </w:hyperlink>
    </w:p>
    <w:p w:rsidR="00D96B91" w:rsidRDefault="00D96B91">
      <w:pPr>
        <w:pStyle w:val="BodyText"/>
        <w:tabs>
          <w:tab w:val="right" w:pos="10527"/>
        </w:tabs>
        <w:spacing w:line="267" w:lineRule="exact"/>
        <w:ind w:left="2381"/>
      </w:pPr>
      <w:hyperlink w:anchor="_bookmark47" w:history="1">
        <w:r w:rsidR="00C2656B">
          <w:rPr>
            <w:spacing w:val="-1"/>
          </w:rPr>
          <w:t xml:space="preserve">recovery </w:t>
        </w:r>
        <w:r w:rsidR="00C2656B">
          <w:t xml:space="preserve">in first two </w:t>
        </w:r>
        <w:r w:rsidR="00C2656B">
          <w:rPr>
            <w:spacing w:val="-1"/>
          </w:rPr>
          <w:t>years</w:t>
        </w:r>
        <w:r w:rsidR="00C2656B">
          <w:rPr>
            <w:spacing w:val="-1"/>
          </w:rPr>
          <w:tab/>
        </w:r>
        <w:r w:rsidR="00C2656B">
          <w:t>64</w:t>
        </w:r>
      </w:hyperlink>
    </w:p>
    <w:p w:rsidR="00D96B91" w:rsidRDefault="00D96B91">
      <w:pPr>
        <w:pStyle w:val="BodyText"/>
        <w:tabs>
          <w:tab w:val="left" w:pos="2381"/>
          <w:tab w:val="right" w:pos="10527"/>
        </w:tabs>
        <w:spacing w:before="72"/>
        <w:ind w:left="1814"/>
      </w:pPr>
      <w:hyperlink w:anchor="_bookmark47" w:history="1">
        <w:r w:rsidR="00C2656B">
          <w:t>7.</w:t>
        </w:r>
        <w:r w:rsidR="00C2656B">
          <w:rPr>
            <w:spacing w:val="-6"/>
          </w:rPr>
          <w:t xml:space="preserve"> </w:t>
        </w:r>
        <w:r w:rsidR="00C2656B">
          <w:t>4</w:t>
        </w:r>
        <w:r w:rsidR="00C2656B">
          <w:tab/>
        </w:r>
        <w:r w:rsidR="00C2656B">
          <w:rPr>
            <w:spacing w:val="-1"/>
          </w:rPr>
          <w:t>Calculate</w:t>
        </w:r>
        <w:r w:rsidR="00C2656B">
          <w:t xml:space="preserve"> prices for the </w:t>
        </w:r>
        <w:r w:rsidR="00C2656B">
          <w:rPr>
            <w:spacing w:val="-1"/>
          </w:rPr>
          <w:t>remaining</w:t>
        </w:r>
        <w:r w:rsidR="00C2656B">
          <w:t xml:space="preserve"> </w:t>
        </w:r>
        <w:r w:rsidR="00C2656B">
          <w:rPr>
            <w:spacing w:val="-1"/>
          </w:rPr>
          <w:t>three</w:t>
        </w:r>
        <w:r w:rsidR="00C2656B">
          <w:t xml:space="preserve"> </w:t>
        </w:r>
        <w:r w:rsidR="00C2656B">
          <w:rPr>
            <w:spacing w:val="-1"/>
          </w:rPr>
          <w:t>years</w:t>
        </w:r>
        <w:r w:rsidR="00C2656B">
          <w:t xml:space="preserve"> of</w:t>
        </w:r>
        <w:r w:rsidR="00C2656B">
          <w:rPr>
            <w:spacing w:val="4"/>
          </w:rPr>
          <w:t xml:space="preserve"> </w:t>
        </w:r>
        <w:r w:rsidR="00C2656B">
          <w:t>the period</w:t>
        </w:r>
        <w:r w:rsidR="00C2656B">
          <w:tab/>
          <w:t>64</w:t>
        </w:r>
      </w:hyperlink>
    </w:p>
    <w:p w:rsidR="00D96B91" w:rsidRDefault="00D96B91">
      <w:pPr>
        <w:pStyle w:val="BodyText"/>
        <w:tabs>
          <w:tab w:val="left" w:pos="2381"/>
          <w:tab w:val="right" w:pos="10527"/>
        </w:tabs>
        <w:spacing w:before="72"/>
        <w:ind w:left="1814"/>
      </w:pPr>
      <w:hyperlink w:anchor="_bookmark48" w:history="1">
        <w:r w:rsidR="00C2656B">
          <w:t>7.</w:t>
        </w:r>
        <w:r w:rsidR="00C2656B">
          <w:rPr>
            <w:spacing w:val="-6"/>
          </w:rPr>
          <w:t xml:space="preserve"> </w:t>
        </w:r>
        <w:r w:rsidR="00C2656B">
          <w:t>5</w:t>
        </w:r>
        <w:r w:rsidR="00C2656B">
          <w:tab/>
        </w:r>
        <w:r w:rsidR="00C2656B">
          <w:rPr>
            <w:spacing w:val="-1"/>
          </w:rPr>
          <w:t>Consider</w:t>
        </w:r>
        <w:r w:rsidR="00C2656B">
          <w:t xml:space="preserve"> whether the </w:t>
        </w:r>
        <w:r w:rsidR="00C2656B">
          <w:rPr>
            <w:spacing w:val="-1"/>
          </w:rPr>
          <w:t>resulting</w:t>
        </w:r>
        <w:r w:rsidR="00C2656B">
          <w:t xml:space="preserve"> prices </w:t>
        </w:r>
        <w:r w:rsidR="00C2656B">
          <w:rPr>
            <w:spacing w:val="-2"/>
          </w:rPr>
          <w:t>are</w:t>
        </w:r>
        <w:r w:rsidR="00C2656B">
          <w:t xml:space="preserve"> </w:t>
        </w:r>
        <w:r w:rsidR="00C2656B">
          <w:rPr>
            <w:spacing w:val="-1"/>
          </w:rPr>
          <w:t>appropriate</w:t>
        </w:r>
        <w:r w:rsidR="00C2656B">
          <w:rPr>
            <w:spacing w:val="-1"/>
          </w:rPr>
          <w:tab/>
        </w:r>
        <w:r w:rsidR="00C2656B">
          <w:t>65</w:t>
        </w:r>
      </w:hyperlink>
    </w:p>
    <w:p w:rsidR="00D96B91" w:rsidRDefault="00D96B91">
      <w:pPr>
        <w:sectPr w:rsidR="00D96B91">
          <w:pgSz w:w="11910" w:h="16840"/>
          <w:pgMar w:top="1260" w:right="0" w:bottom="1020" w:left="0" w:header="0" w:footer="829" w:gutter="0"/>
          <w:cols w:space="720"/>
        </w:sectPr>
      </w:pPr>
    </w:p>
    <w:p w:rsidR="00D96B91" w:rsidRDefault="00D96B91">
      <w:pPr>
        <w:pStyle w:val="Heading8"/>
        <w:numPr>
          <w:ilvl w:val="0"/>
          <w:numId w:val="141"/>
        </w:numPr>
        <w:tabs>
          <w:tab w:val="left" w:pos="1815"/>
          <w:tab w:val="right" w:pos="10527"/>
        </w:tabs>
        <w:spacing w:before="28"/>
        <w:rPr>
          <w:b w:val="0"/>
          <w:bCs w:val="0"/>
        </w:rPr>
      </w:pPr>
      <w:hyperlink w:anchor="_bookmark50" w:history="1">
        <w:r w:rsidR="00C2656B">
          <w:rPr>
            <w:spacing w:val="-3"/>
          </w:rPr>
          <w:t>Treatment</w:t>
        </w:r>
        <w:r w:rsidR="00C2656B">
          <w:t xml:space="preserve"> of</w:t>
        </w:r>
        <w:r w:rsidR="00C2656B">
          <w:rPr>
            <w:spacing w:val="4"/>
          </w:rPr>
          <w:t xml:space="preserve"> </w:t>
        </w:r>
        <w:r w:rsidR="00C2656B">
          <w:t xml:space="preserve">the </w:t>
        </w:r>
        <w:r w:rsidR="00C2656B">
          <w:rPr>
            <w:spacing w:val="-1"/>
          </w:rPr>
          <w:t>water</w:t>
        </w:r>
        <w:r w:rsidR="00C2656B">
          <w:t xml:space="preserve"> security </w:t>
        </w:r>
        <w:r w:rsidR="00C2656B">
          <w:rPr>
            <w:spacing w:val="-1"/>
          </w:rPr>
          <w:t>projects</w:t>
        </w:r>
        <w:r w:rsidR="00C2656B">
          <w:rPr>
            <w:spacing w:val="-1"/>
          </w:rPr>
          <w:tab/>
        </w:r>
        <w:r w:rsidR="00C2656B">
          <w:t>67</w:t>
        </w:r>
      </w:hyperlink>
    </w:p>
    <w:tbl>
      <w:tblPr>
        <w:tblW w:w="0" w:type="auto"/>
        <w:tblInd w:w="1192" w:type="dxa"/>
        <w:tblLayout w:type="fixed"/>
        <w:tblCellMar>
          <w:left w:w="0" w:type="dxa"/>
          <w:right w:w="0" w:type="dxa"/>
        </w:tblCellMar>
        <w:tblLook w:val="01E0"/>
      </w:tblPr>
      <w:tblGrid>
        <w:gridCol w:w="400"/>
        <w:gridCol w:w="765"/>
        <w:gridCol w:w="7450"/>
        <w:gridCol w:w="776"/>
      </w:tblGrid>
      <w:tr w:rsidR="00D96B91">
        <w:trPr>
          <w:trHeight w:hRule="exact" w:val="373"/>
        </w:trPr>
        <w:tc>
          <w:tcPr>
            <w:tcW w:w="400" w:type="dxa"/>
            <w:vMerge w:val="restart"/>
            <w:tcBorders>
              <w:top w:val="nil"/>
              <w:left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55"/>
              <w:ind w:left="222"/>
              <w:rPr>
                <w:rFonts w:ascii="Avenir Next" w:eastAsia="Avenir Next" w:hAnsi="Avenir Next" w:cs="Avenir Next"/>
                <w:sz w:val="20"/>
                <w:szCs w:val="20"/>
              </w:rPr>
            </w:pPr>
            <w:hyperlink w:anchor="_bookmark50" w:history="1">
              <w:r w:rsidR="00C2656B">
                <w:rPr>
                  <w:rFonts w:ascii="Avenir Next"/>
                  <w:sz w:val="20"/>
                </w:rPr>
                <w:t>8.</w:t>
              </w:r>
              <w:r w:rsidR="00C2656B">
                <w:rPr>
                  <w:rFonts w:ascii="Avenir Next"/>
                  <w:spacing w:val="-6"/>
                  <w:sz w:val="20"/>
                </w:rPr>
                <w:t xml:space="preserve"> </w:t>
              </w:r>
              <w:r w:rsidR="00C2656B">
                <w:rPr>
                  <w:rFonts w:ascii="Avenir Next"/>
                  <w:sz w:val="20"/>
                </w:rPr>
                <w:t>1</w:t>
              </w:r>
            </w:hyperlink>
          </w:p>
        </w:tc>
        <w:tc>
          <w:tcPr>
            <w:tcW w:w="7450" w:type="dxa"/>
            <w:tcBorders>
              <w:top w:val="nil"/>
              <w:left w:val="nil"/>
              <w:bottom w:val="nil"/>
              <w:right w:val="nil"/>
            </w:tcBorders>
          </w:tcPr>
          <w:p w:rsidR="00D96B91" w:rsidRDefault="00D96B91">
            <w:pPr>
              <w:pStyle w:val="TableParagraph"/>
              <w:spacing w:before="55"/>
              <w:ind w:left="25"/>
              <w:rPr>
                <w:rFonts w:ascii="Avenir Next" w:eastAsia="Avenir Next" w:hAnsi="Avenir Next" w:cs="Avenir Next"/>
                <w:sz w:val="20"/>
                <w:szCs w:val="20"/>
              </w:rPr>
            </w:pPr>
            <w:hyperlink w:anchor="_bookmark50" w:history="1">
              <w:r w:rsidR="00C2656B">
                <w:rPr>
                  <w:rFonts w:ascii="Avenir Next" w:eastAsia="Avenir Next" w:hAnsi="Avenir Next" w:cs="Avenir Next"/>
                  <w:sz w:val="20"/>
                  <w:szCs w:val="20"/>
                </w:rPr>
                <w:t>Overview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z w:val="20"/>
                  <w:szCs w:val="20"/>
                </w:rPr>
                <w:t xml:space="preserve">the </w:t>
              </w:r>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2"/>
                  <w:sz w:val="20"/>
                  <w:szCs w:val="20"/>
                </w:rPr>
                <w:t>draft</w:t>
              </w:r>
              <w:r w:rsidR="00C2656B">
                <w:rPr>
                  <w:rFonts w:ascii="Avenir Next" w:eastAsia="Avenir Next" w:hAnsi="Avenir Next" w:cs="Avenir Next"/>
                  <w:sz w:val="20"/>
                  <w:szCs w:val="20"/>
                </w:rPr>
                <w:t xml:space="preserve"> decision</w:t>
              </w:r>
            </w:hyperlink>
          </w:p>
        </w:tc>
        <w:tc>
          <w:tcPr>
            <w:tcW w:w="776" w:type="dxa"/>
            <w:tcBorders>
              <w:top w:val="nil"/>
              <w:left w:val="nil"/>
              <w:bottom w:val="nil"/>
              <w:right w:val="nil"/>
            </w:tcBorders>
          </w:tcPr>
          <w:p w:rsidR="00D96B91" w:rsidRDefault="00D96B91">
            <w:pPr>
              <w:pStyle w:val="TableParagraph"/>
              <w:spacing w:before="55"/>
              <w:ind w:left="489"/>
              <w:rPr>
                <w:rFonts w:ascii="Avenir Next" w:eastAsia="Avenir Next" w:hAnsi="Avenir Next" w:cs="Avenir Next"/>
                <w:sz w:val="20"/>
                <w:szCs w:val="20"/>
              </w:rPr>
            </w:pPr>
            <w:hyperlink w:anchor="_bookmark50" w:history="1">
              <w:r w:rsidR="00C2656B">
                <w:rPr>
                  <w:rFonts w:ascii="Avenir Next"/>
                  <w:sz w:val="20"/>
                </w:rPr>
                <w:t>67</w:t>
              </w:r>
            </w:hyperlink>
          </w:p>
        </w:tc>
      </w:tr>
      <w:tr w:rsidR="00D96B91">
        <w:trPr>
          <w:trHeight w:hRule="exact" w:val="345"/>
        </w:trPr>
        <w:tc>
          <w:tcPr>
            <w:tcW w:w="400" w:type="dxa"/>
            <w:vMerge/>
            <w:tcBorders>
              <w:left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51" w:history="1">
              <w:r w:rsidR="00C2656B">
                <w:rPr>
                  <w:rFonts w:ascii="Avenir Next"/>
                  <w:sz w:val="20"/>
                </w:rPr>
                <w:t>8.</w:t>
              </w:r>
              <w:r w:rsidR="00C2656B">
                <w:rPr>
                  <w:rFonts w:ascii="Avenir Next"/>
                  <w:spacing w:val="-6"/>
                  <w:sz w:val="20"/>
                </w:rPr>
                <w:t xml:space="preserve"> </w:t>
              </w:r>
              <w:r w:rsidR="00C2656B">
                <w:rPr>
                  <w:rFonts w:ascii="Avenir Next"/>
                  <w:sz w:val="20"/>
                </w:rPr>
                <w:t>2</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51" w:history="1">
              <w:r w:rsidR="00C2656B">
                <w:rPr>
                  <w:rFonts w:ascii="Avenir Next" w:eastAsia="Avenir Next" w:hAnsi="Avenir Next" w:cs="Avenir Next"/>
                  <w:spacing w:val="-2"/>
                  <w:sz w:val="20"/>
                  <w:szCs w:val="20"/>
                </w:rPr>
                <w:t>ACTEW’s</w:t>
              </w:r>
              <w:r w:rsidR="00C2656B">
                <w:rPr>
                  <w:rFonts w:ascii="Avenir Next" w:eastAsia="Avenir Next" w:hAnsi="Avenir Next" w:cs="Avenir Next"/>
                  <w:spacing w:val="-1"/>
                  <w:sz w:val="20"/>
                  <w:szCs w:val="20"/>
                </w:rPr>
                <w:t xml:space="preserve"> </w:t>
              </w:r>
              <w:r w:rsidR="00C2656B">
                <w:rPr>
                  <w:rFonts w:ascii="Avenir Next" w:eastAsia="Avenir Next" w:hAnsi="Avenir Next" w:cs="Avenir Next"/>
                  <w:sz w:val="20"/>
                  <w:szCs w:val="20"/>
                </w:rPr>
                <w:t>investment</w:t>
              </w:r>
              <w:r w:rsidR="00C2656B">
                <w:rPr>
                  <w:rFonts w:ascii="Avenir Next" w:eastAsia="Avenir Next" w:hAnsi="Avenir Next" w:cs="Avenir Next"/>
                  <w:spacing w:val="-1"/>
                  <w:sz w:val="20"/>
                  <w:szCs w:val="20"/>
                </w:rPr>
                <w:t xml:space="preserve"> </w:t>
              </w:r>
              <w:r w:rsidR="00C2656B">
                <w:rPr>
                  <w:rFonts w:ascii="Avenir Next" w:eastAsia="Avenir Next" w:hAnsi="Avenir Next" w:cs="Avenir Next"/>
                  <w:sz w:val="20"/>
                  <w:szCs w:val="20"/>
                </w:rPr>
                <w:t>in</w:t>
              </w:r>
              <w:r w:rsidR="00C2656B">
                <w:rPr>
                  <w:rFonts w:ascii="Avenir Next" w:eastAsia="Avenir Next" w:hAnsi="Avenir Next" w:cs="Avenir Next"/>
                  <w:spacing w:val="-1"/>
                  <w:sz w:val="20"/>
                  <w:szCs w:val="20"/>
                </w:rPr>
                <w:t xml:space="preserve"> water </w:t>
              </w:r>
              <w:r w:rsidR="00C2656B">
                <w:rPr>
                  <w:rFonts w:ascii="Avenir Next" w:eastAsia="Avenir Next" w:hAnsi="Avenir Next" w:cs="Avenir Next"/>
                  <w:sz w:val="20"/>
                  <w:szCs w:val="20"/>
                </w:rPr>
                <w:t>security</w:t>
              </w:r>
              <w:r w:rsidR="00C2656B">
                <w:rPr>
                  <w:rFonts w:ascii="Avenir Next" w:eastAsia="Avenir Next" w:hAnsi="Avenir Next" w:cs="Avenir Next"/>
                  <w:spacing w:val="-1"/>
                  <w:sz w:val="20"/>
                  <w:szCs w:val="20"/>
                </w:rPr>
                <w:t xml:space="preserve"> projects </w:t>
              </w:r>
              <w:r w:rsidR="00C2656B">
                <w:rPr>
                  <w:rFonts w:ascii="Avenir Next" w:eastAsia="Avenir Next" w:hAnsi="Avenir Next" w:cs="Avenir Next"/>
                  <w:sz w:val="20"/>
                  <w:szCs w:val="20"/>
                </w:rPr>
                <w:t>and</w:t>
              </w:r>
              <w:r w:rsidR="00C2656B">
                <w:rPr>
                  <w:rFonts w:ascii="Avenir Next" w:eastAsia="Avenir Next" w:hAnsi="Avenir Next" w:cs="Avenir Next"/>
                  <w:spacing w:val="-1"/>
                  <w:sz w:val="20"/>
                  <w:szCs w:val="20"/>
                </w:rPr>
                <w:t xml:space="preserve"> </w:t>
              </w:r>
              <w:r w:rsidR="00C2656B">
                <w:rPr>
                  <w:rFonts w:ascii="Avenir Next" w:eastAsia="Avenir Next" w:hAnsi="Avenir Next" w:cs="Avenir Next"/>
                  <w:sz w:val="20"/>
                  <w:szCs w:val="20"/>
                </w:rPr>
                <w:t>customer</w:t>
              </w:r>
              <w:r w:rsidR="00C2656B">
                <w:rPr>
                  <w:rFonts w:ascii="Avenir Next" w:eastAsia="Avenir Next" w:hAnsi="Avenir Next" w:cs="Avenir Next"/>
                  <w:spacing w:val="-1"/>
                  <w:sz w:val="20"/>
                  <w:szCs w:val="20"/>
                </w:rPr>
                <w:t xml:space="preserve"> </w:t>
              </w:r>
              <w:r w:rsidR="00C2656B">
                <w:rPr>
                  <w:rFonts w:ascii="Avenir Next" w:eastAsia="Avenir Next" w:hAnsi="Avenir Next" w:cs="Avenir Next"/>
                  <w:sz w:val="20"/>
                  <w:szCs w:val="20"/>
                </w:rPr>
                <w:t>benefits</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51" w:history="1">
              <w:r w:rsidR="00C2656B">
                <w:rPr>
                  <w:rFonts w:ascii="Avenir Next"/>
                  <w:sz w:val="20"/>
                </w:rPr>
                <w:t>68</w:t>
              </w:r>
            </w:hyperlink>
          </w:p>
        </w:tc>
      </w:tr>
      <w:tr w:rsidR="00D96B91">
        <w:trPr>
          <w:trHeight w:hRule="exact" w:val="345"/>
        </w:trPr>
        <w:tc>
          <w:tcPr>
            <w:tcW w:w="400" w:type="dxa"/>
            <w:vMerge/>
            <w:tcBorders>
              <w:left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53" w:history="1">
              <w:r w:rsidR="00C2656B">
                <w:rPr>
                  <w:rFonts w:ascii="Avenir Next"/>
                  <w:sz w:val="20"/>
                </w:rPr>
                <w:t>8.</w:t>
              </w:r>
              <w:r w:rsidR="00C2656B">
                <w:rPr>
                  <w:rFonts w:ascii="Avenir Next"/>
                  <w:spacing w:val="-6"/>
                  <w:sz w:val="20"/>
                </w:rPr>
                <w:t xml:space="preserve"> </w:t>
              </w:r>
              <w:r w:rsidR="00C2656B">
                <w:rPr>
                  <w:rFonts w:ascii="Avenir Next"/>
                  <w:sz w:val="20"/>
                </w:rPr>
                <w:t>3</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53" w:history="1">
              <w:r w:rsidR="00C2656B">
                <w:rPr>
                  <w:rFonts w:ascii="Avenir Next" w:eastAsia="Avenir Next" w:hAnsi="Avenir Next" w:cs="Avenir Next"/>
                  <w:spacing w:val="-2"/>
                  <w:sz w:val="20"/>
                  <w:szCs w:val="20"/>
                </w:rPr>
                <w:t>ICRC’s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1"/>
                  <w:sz w:val="20"/>
                  <w:szCs w:val="20"/>
                </w:rPr>
                <w:t>treatment</w:t>
              </w:r>
              <w:r w:rsidR="00C2656B">
                <w:rPr>
                  <w:rFonts w:ascii="Avenir Next" w:eastAsia="Avenir Next" w:hAnsi="Avenir Next" w:cs="Avenir Next"/>
                  <w:sz w:val="20"/>
                  <w:szCs w:val="20"/>
                </w:rPr>
                <w:t xml:space="preserve">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pacing w:val="-1"/>
                  <w:sz w:val="20"/>
                  <w:szCs w:val="20"/>
                </w:rPr>
                <w:t>water</w:t>
              </w:r>
              <w:r w:rsidR="00C2656B">
                <w:rPr>
                  <w:rFonts w:ascii="Avenir Next" w:eastAsia="Avenir Next" w:hAnsi="Avenir Next" w:cs="Avenir Next"/>
                  <w:sz w:val="20"/>
                  <w:szCs w:val="20"/>
                </w:rPr>
                <w:t xml:space="preserve"> security </w:t>
              </w:r>
              <w:r w:rsidR="00C2656B">
                <w:rPr>
                  <w:rFonts w:ascii="Avenir Next" w:eastAsia="Avenir Next" w:hAnsi="Avenir Next" w:cs="Avenir Next"/>
                  <w:spacing w:val="-1"/>
                  <w:sz w:val="20"/>
                  <w:szCs w:val="20"/>
                </w:rPr>
                <w:t>project</w:t>
              </w:r>
              <w:r w:rsidR="00C2656B">
                <w:rPr>
                  <w:rFonts w:ascii="Avenir Next" w:eastAsia="Avenir Next" w:hAnsi="Avenir Next" w:cs="Avenir Next"/>
                  <w:sz w:val="20"/>
                  <w:szCs w:val="20"/>
                </w:rPr>
                <w:t xml:space="preserve"> costs in the original price </w:t>
              </w:r>
              <w:r w:rsidR="00C2656B">
                <w:rPr>
                  <w:rFonts w:ascii="Avenir Next" w:eastAsia="Avenir Next" w:hAnsi="Avenir Next" w:cs="Avenir Next"/>
                  <w:spacing w:val="-1"/>
                  <w:sz w:val="20"/>
                  <w:szCs w:val="20"/>
                </w:rPr>
                <w:t>direction</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53" w:history="1">
              <w:r w:rsidR="00C2656B">
                <w:rPr>
                  <w:rFonts w:ascii="Avenir Next"/>
                  <w:sz w:val="20"/>
                </w:rPr>
                <w:t>69</w:t>
              </w:r>
            </w:hyperlink>
          </w:p>
        </w:tc>
      </w:tr>
      <w:tr w:rsidR="00D96B91">
        <w:trPr>
          <w:trHeight w:hRule="exact" w:val="345"/>
        </w:trPr>
        <w:tc>
          <w:tcPr>
            <w:tcW w:w="400" w:type="dxa"/>
            <w:vMerge/>
            <w:tcBorders>
              <w:left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55" w:history="1">
              <w:r w:rsidR="00C2656B">
                <w:rPr>
                  <w:rFonts w:ascii="Avenir Next"/>
                  <w:sz w:val="20"/>
                </w:rPr>
                <w:t>8.</w:t>
              </w:r>
              <w:r w:rsidR="00C2656B">
                <w:rPr>
                  <w:rFonts w:ascii="Avenir Next"/>
                  <w:spacing w:val="-6"/>
                  <w:sz w:val="20"/>
                </w:rPr>
                <w:t xml:space="preserve"> </w:t>
              </w:r>
              <w:r w:rsidR="00C2656B">
                <w:rPr>
                  <w:rFonts w:ascii="Avenir Next"/>
                  <w:sz w:val="20"/>
                </w:rPr>
                <w:t>4</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55" w:history="1">
              <w:r w:rsidR="00C2656B">
                <w:rPr>
                  <w:rFonts w:ascii="Avenir Next"/>
                  <w:spacing w:val="-2"/>
                  <w:sz w:val="20"/>
                </w:rPr>
                <w:t>Techniques</w:t>
              </w:r>
              <w:r w:rsidR="00C2656B">
                <w:rPr>
                  <w:rFonts w:ascii="Avenir Next"/>
                  <w:sz w:val="20"/>
                </w:rPr>
                <w:t xml:space="preserve"> used by other </w:t>
              </w:r>
              <w:r w:rsidR="00C2656B">
                <w:rPr>
                  <w:rFonts w:ascii="Avenir Next"/>
                  <w:spacing w:val="-1"/>
                  <w:sz w:val="20"/>
                </w:rPr>
                <w:t>regulators</w:t>
              </w:r>
              <w:r w:rsidR="00C2656B">
                <w:rPr>
                  <w:rFonts w:ascii="Avenir Next"/>
                  <w:sz w:val="20"/>
                </w:rPr>
                <w:t xml:space="preserve"> and </w:t>
              </w:r>
              <w:r w:rsidR="00C2656B">
                <w:rPr>
                  <w:rFonts w:ascii="Avenir Next"/>
                  <w:spacing w:val="-1"/>
                  <w:sz w:val="20"/>
                </w:rPr>
                <w:t>constraints</w:t>
              </w:r>
              <w:r w:rsidR="00C2656B">
                <w:rPr>
                  <w:rFonts w:ascii="Avenir Next"/>
                  <w:sz w:val="20"/>
                </w:rPr>
                <w:t xml:space="preserve"> on their use</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55" w:history="1">
              <w:r w:rsidR="00C2656B">
                <w:rPr>
                  <w:rFonts w:ascii="Avenir Next"/>
                  <w:sz w:val="20"/>
                </w:rPr>
                <w:t>71</w:t>
              </w:r>
            </w:hyperlink>
          </w:p>
        </w:tc>
      </w:tr>
      <w:tr w:rsidR="00D96B91">
        <w:trPr>
          <w:trHeight w:hRule="exact" w:val="345"/>
        </w:trPr>
        <w:tc>
          <w:tcPr>
            <w:tcW w:w="400" w:type="dxa"/>
            <w:vMerge/>
            <w:tcBorders>
              <w:left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57" w:history="1">
              <w:r w:rsidR="00C2656B">
                <w:rPr>
                  <w:rFonts w:ascii="Avenir Next"/>
                  <w:sz w:val="20"/>
                </w:rPr>
                <w:t>8.</w:t>
              </w:r>
              <w:r w:rsidR="00C2656B">
                <w:rPr>
                  <w:rFonts w:ascii="Avenir Next"/>
                  <w:spacing w:val="-6"/>
                  <w:sz w:val="20"/>
                </w:rPr>
                <w:t xml:space="preserve"> </w:t>
              </w:r>
              <w:r w:rsidR="00C2656B">
                <w:rPr>
                  <w:rFonts w:ascii="Avenir Next"/>
                  <w:sz w:val="20"/>
                </w:rPr>
                <w:t>5</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57" w:history="1">
              <w:r w:rsidR="00C2656B">
                <w:rPr>
                  <w:rFonts w:ascii="Avenir Next"/>
                  <w:sz w:val="20"/>
                </w:rPr>
                <w:t xml:space="preserve">Extent to which </w:t>
              </w:r>
              <w:r w:rsidR="00C2656B">
                <w:rPr>
                  <w:rFonts w:ascii="Avenir Next"/>
                  <w:spacing w:val="-1"/>
                  <w:sz w:val="20"/>
                </w:rPr>
                <w:t>alternative</w:t>
              </w:r>
              <w:r w:rsidR="00C2656B">
                <w:rPr>
                  <w:rFonts w:ascii="Avenir Next"/>
                  <w:sz w:val="20"/>
                </w:rPr>
                <w:t xml:space="preserve"> </w:t>
              </w:r>
              <w:r w:rsidR="00C2656B">
                <w:rPr>
                  <w:rFonts w:ascii="Avenir Next"/>
                  <w:spacing w:val="-1"/>
                  <w:sz w:val="20"/>
                </w:rPr>
                <w:t>regulatory</w:t>
              </w:r>
              <w:r w:rsidR="00C2656B">
                <w:rPr>
                  <w:rFonts w:ascii="Avenir Next"/>
                  <w:sz w:val="20"/>
                </w:rPr>
                <w:t xml:space="preserve"> technique could be implemented</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57" w:history="1">
              <w:r w:rsidR="00C2656B">
                <w:rPr>
                  <w:rFonts w:ascii="Avenir Next"/>
                  <w:sz w:val="20"/>
                </w:rPr>
                <w:t>72</w:t>
              </w:r>
            </w:hyperlink>
          </w:p>
        </w:tc>
      </w:tr>
      <w:tr w:rsidR="00D96B91">
        <w:trPr>
          <w:trHeight w:hRule="exact" w:val="345"/>
        </w:trPr>
        <w:tc>
          <w:tcPr>
            <w:tcW w:w="400" w:type="dxa"/>
            <w:vMerge/>
            <w:tcBorders>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58" w:history="1">
              <w:r w:rsidR="00C2656B">
                <w:rPr>
                  <w:rFonts w:ascii="Avenir Next"/>
                  <w:sz w:val="20"/>
                </w:rPr>
                <w:t>8.</w:t>
              </w:r>
              <w:r w:rsidR="00C2656B">
                <w:rPr>
                  <w:rFonts w:ascii="Avenir Next"/>
                  <w:spacing w:val="-6"/>
                  <w:sz w:val="20"/>
                </w:rPr>
                <w:t xml:space="preserve"> </w:t>
              </w:r>
              <w:r w:rsidR="00C2656B">
                <w:rPr>
                  <w:rFonts w:ascii="Avenir Next"/>
                  <w:sz w:val="20"/>
                </w:rPr>
                <w:t>6</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58" w:history="1">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2"/>
                  <w:sz w:val="20"/>
                  <w:szCs w:val="20"/>
                </w:rPr>
                <w:t>draft</w:t>
              </w:r>
              <w:r w:rsidR="00C2656B">
                <w:rPr>
                  <w:rFonts w:ascii="Avenir Next" w:eastAsia="Avenir Next" w:hAnsi="Avenir Next" w:cs="Avenir Next"/>
                  <w:sz w:val="20"/>
                  <w:szCs w:val="20"/>
                </w:rPr>
                <w:t xml:space="preserve"> decision on the </w:t>
              </w:r>
              <w:r w:rsidR="00C2656B">
                <w:rPr>
                  <w:rFonts w:ascii="Avenir Next" w:eastAsia="Avenir Next" w:hAnsi="Avenir Next" w:cs="Avenir Next"/>
                  <w:spacing w:val="-1"/>
                  <w:sz w:val="20"/>
                  <w:szCs w:val="20"/>
                </w:rPr>
                <w:t>treatment</w:t>
              </w:r>
              <w:r w:rsidR="00C2656B">
                <w:rPr>
                  <w:rFonts w:ascii="Avenir Next" w:eastAsia="Avenir Next" w:hAnsi="Avenir Next" w:cs="Avenir Next"/>
                  <w:sz w:val="20"/>
                  <w:szCs w:val="20"/>
                </w:rPr>
                <w:t xml:space="preserve">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pacing w:val="-1"/>
                  <w:sz w:val="20"/>
                  <w:szCs w:val="20"/>
                </w:rPr>
                <w:t>water</w:t>
              </w:r>
              <w:r w:rsidR="00C2656B">
                <w:rPr>
                  <w:rFonts w:ascii="Avenir Next" w:eastAsia="Avenir Next" w:hAnsi="Avenir Next" w:cs="Avenir Next"/>
                  <w:sz w:val="20"/>
                  <w:szCs w:val="20"/>
                </w:rPr>
                <w:t xml:space="preserve"> security </w:t>
              </w:r>
              <w:r w:rsidR="00C2656B">
                <w:rPr>
                  <w:rFonts w:ascii="Avenir Next" w:eastAsia="Avenir Next" w:hAnsi="Avenir Next" w:cs="Avenir Next"/>
                  <w:spacing w:val="-1"/>
                  <w:sz w:val="20"/>
                  <w:szCs w:val="20"/>
                </w:rPr>
                <w:t>projects</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58" w:history="1">
              <w:r w:rsidR="00C2656B">
                <w:rPr>
                  <w:rFonts w:ascii="Avenir Next"/>
                  <w:sz w:val="20"/>
                </w:rPr>
                <w:t>75</w:t>
              </w:r>
            </w:hyperlink>
          </w:p>
        </w:tc>
      </w:tr>
      <w:tr w:rsidR="00D96B91">
        <w:trPr>
          <w:trHeight w:hRule="exact" w:val="345"/>
        </w:trPr>
        <w:tc>
          <w:tcPr>
            <w:tcW w:w="400" w:type="dxa"/>
            <w:tcBorders>
              <w:top w:val="nil"/>
              <w:left w:val="nil"/>
              <w:bottom w:val="nil"/>
              <w:right w:val="nil"/>
            </w:tcBorders>
          </w:tcPr>
          <w:p w:rsidR="00D96B91" w:rsidRDefault="00D96B91">
            <w:pPr>
              <w:pStyle w:val="TableParagraph"/>
              <w:spacing w:before="27"/>
              <w:ind w:left="55"/>
              <w:rPr>
                <w:rFonts w:ascii="Avenir Next" w:eastAsia="Avenir Next" w:hAnsi="Avenir Next" w:cs="Avenir Next"/>
                <w:sz w:val="20"/>
                <w:szCs w:val="20"/>
              </w:rPr>
            </w:pPr>
            <w:hyperlink w:anchor="_bookmark60" w:history="1">
              <w:r w:rsidR="00C2656B">
                <w:rPr>
                  <w:rFonts w:ascii="Avenir Next"/>
                  <w:b/>
                  <w:sz w:val="20"/>
                </w:rPr>
                <w:t>9</w:t>
              </w:r>
            </w:hyperlink>
          </w:p>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60" w:history="1">
              <w:r w:rsidR="00C2656B">
                <w:rPr>
                  <w:rFonts w:ascii="Avenir Next"/>
                  <w:b/>
                  <w:spacing w:val="-2"/>
                  <w:sz w:val="20"/>
                </w:rPr>
                <w:t>Value</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60" w:history="1">
              <w:r w:rsidR="00C2656B">
                <w:rPr>
                  <w:rFonts w:ascii="Avenir Next"/>
                  <w:b/>
                  <w:sz w:val="20"/>
                </w:rPr>
                <w:t>of</w:t>
              </w:r>
              <w:r w:rsidR="00C2656B">
                <w:rPr>
                  <w:rFonts w:ascii="Avenir Next"/>
                  <w:b/>
                  <w:spacing w:val="4"/>
                  <w:sz w:val="20"/>
                </w:rPr>
                <w:t xml:space="preserve"> </w:t>
              </w:r>
              <w:r w:rsidR="00C2656B">
                <w:rPr>
                  <w:rFonts w:ascii="Avenir Next"/>
                  <w:b/>
                  <w:sz w:val="20"/>
                </w:rPr>
                <w:t xml:space="preserve">the </w:t>
              </w:r>
              <w:r w:rsidR="00C2656B">
                <w:rPr>
                  <w:rFonts w:ascii="Avenir Next"/>
                  <w:b/>
                  <w:spacing w:val="-1"/>
                  <w:sz w:val="20"/>
                </w:rPr>
                <w:t>regulated</w:t>
              </w:r>
              <w:r w:rsidR="00C2656B">
                <w:rPr>
                  <w:rFonts w:ascii="Avenir Next"/>
                  <w:b/>
                  <w:sz w:val="20"/>
                </w:rPr>
                <w:t xml:space="preserve"> asset base</w:t>
              </w:r>
            </w:hyperlink>
          </w:p>
        </w:tc>
        <w:tc>
          <w:tcPr>
            <w:tcW w:w="776" w:type="dxa"/>
            <w:tcBorders>
              <w:top w:val="nil"/>
              <w:left w:val="nil"/>
              <w:bottom w:val="nil"/>
              <w:right w:val="nil"/>
            </w:tcBorders>
          </w:tcPr>
          <w:p w:rsidR="00D96B91" w:rsidRDefault="00D96B91">
            <w:pPr>
              <w:pStyle w:val="TableParagraph"/>
              <w:spacing w:before="27"/>
              <w:ind w:left="476"/>
              <w:rPr>
                <w:rFonts w:ascii="Avenir Next" w:eastAsia="Avenir Next" w:hAnsi="Avenir Next" w:cs="Avenir Next"/>
                <w:sz w:val="20"/>
                <w:szCs w:val="20"/>
              </w:rPr>
            </w:pPr>
            <w:hyperlink w:anchor="_bookmark60" w:history="1">
              <w:r w:rsidR="00C2656B">
                <w:rPr>
                  <w:rFonts w:ascii="Avenir Next"/>
                  <w:b/>
                  <w:sz w:val="20"/>
                </w:rPr>
                <w:t>77</w:t>
              </w:r>
            </w:hyperlink>
          </w:p>
        </w:tc>
      </w:tr>
      <w:tr w:rsidR="00D96B91">
        <w:trPr>
          <w:trHeight w:hRule="exact" w:val="345"/>
        </w:trPr>
        <w:tc>
          <w:tcPr>
            <w:tcW w:w="400" w:type="dxa"/>
            <w:tcBorders>
              <w:top w:val="nil"/>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60" w:history="1">
              <w:r w:rsidR="00C2656B">
                <w:rPr>
                  <w:rFonts w:ascii="Avenir Next"/>
                  <w:sz w:val="20"/>
                </w:rPr>
                <w:t>9.</w:t>
              </w:r>
              <w:r w:rsidR="00C2656B">
                <w:rPr>
                  <w:rFonts w:ascii="Avenir Next"/>
                  <w:spacing w:val="-6"/>
                  <w:sz w:val="20"/>
                </w:rPr>
                <w:t xml:space="preserve"> </w:t>
              </w:r>
              <w:r w:rsidR="00C2656B">
                <w:rPr>
                  <w:rFonts w:ascii="Avenir Next"/>
                  <w:sz w:val="20"/>
                </w:rPr>
                <w:t>1</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60" w:history="1">
              <w:r w:rsidR="00C2656B">
                <w:rPr>
                  <w:rFonts w:ascii="Avenir Next" w:eastAsia="Avenir Next" w:hAnsi="Avenir Next" w:cs="Avenir Next"/>
                  <w:sz w:val="20"/>
                  <w:szCs w:val="20"/>
                </w:rPr>
                <w:t>Overview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z w:val="20"/>
                  <w:szCs w:val="20"/>
                </w:rPr>
                <w:t xml:space="preserve">the </w:t>
              </w:r>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2"/>
                  <w:sz w:val="20"/>
                  <w:szCs w:val="20"/>
                </w:rPr>
                <w:t>draft</w:t>
              </w:r>
              <w:r w:rsidR="00C2656B">
                <w:rPr>
                  <w:rFonts w:ascii="Avenir Next" w:eastAsia="Avenir Next" w:hAnsi="Avenir Next" w:cs="Avenir Next"/>
                  <w:sz w:val="20"/>
                  <w:szCs w:val="20"/>
                </w:rPr>
                <w:t xml:space="preserve"> decision</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60" w:history="1">
              <w:r w:rsidR="00C2656B">
                <w:rPr>
                  <w:rFonts w:ascii="Avenir Next"/>
                  <w:sz w:val="20"/>
                </w:rPr>
                <w:t>77</w:t>
              </w:r>
            </w:hyperlink>
          </w:p>
        </w:tc>
      </w:tr>
      <w:tr w:rsidR="00D96B91">
        <w:trPr>
          <w:trHeight w:hRule="exact" w:val="345"/>
        </w:trPr>
        <w:tc>
          <w:tcPr>
            <w:tcW w:w="400" w:type="dxa"/>
            <w:tcBorders>
              <w:top w:val="nil"/>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61" w:history="1">
              <w:r w:rsidR="00C2656B">
                <w:rPr>
                  <w:rFonts w:ascii="Avenir Next"/>
                  <w:sz w:val="20"/>
                </w:rPr>
                <w:t>9.</w:t>
              </w:r>
              <w:r w:rsidR="00C2656B">
                <w:rPr>
                  <w:rFonts w:ascii="Avenir Next"/>
                  <w:spacing w:val="-6"/>
                  <w:sz w:val="20"/>
                </w:rPr>
                <w:t xml:space="preserve"> </w:t>
              </w:r>
              <w:r w:rsidR="00C2656B">
                <w:rPr>
                  <w:rFonts w:ascii="Avenir Next"/>
                  <w:sz w:val="20"/>
                </w:rPr>
                <w:t>2</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61" w:history="1">
              <w:r w:rsidR="00C2656B">
                <w:rPr>
                  <w:rFonts w:ascii="Avenir Next"/>
                  <w:sz w:val="20"/>
                </w:rPr>
                <w:t>Opening value of</w:t>
              </w:r>
              <w:r w:rsidR="00C2656B">
                <w:rPr>
                  <w:rFonts w:ascii="Avenir Next"/>
                  <w:spacing w:val="4"/>
                  <w:sz w:val="20"/>
                </w:rPr>
                <w:t xml:space="preserve"> </w:t>
              </w:r>
              <w:r w:rsidR="00C2656B">
                <w:rPr>
                  <w:rFonts w:ascii="Avenir Next"/>
                  <w:sz w:val="20"/>
                </w:rPr>
                <w:t xml:space="preserve">the RAB as </w:t>
              </w:r>
              <w:r w:rsidR="00C2656B">
                <w:rPr>
                  <w:rFonts w:ascii="Avenir Next"/>
                  <w:spacing w:val="-1"/>
                  <w:sz w:val="20"/>
                </w:rPr>
                <w:t>at</w:t>
              </w:r>
              <w:r w:rsidR="00C2656B">
                <w:rPr>
                  <w:rFonts w:ascii="Avenir Next"/>
                  <w:sz w:val="20"/>
                </w:rPr>
                <w:t xml:space="preserve"> 1</w:t>
              </w:r>
              <w:r w:rsidR="00C2656B">
                <w:rPr>
                  <w:rFonts w:ascii="Avenir Next"/>
                  <w:spacing w:val="-3"/>
                  <w:sz w:val="20"/>
                </w:rPr>
                <w:t xml:space="preserve"> </w:t>
              </w:r>
              <w:r w:rsidR="00C2656B">
                <w:rPr>
                  <w:rFonts w:ascii="Avenir Next"/>
                  <w:sz w:val="20"/>
                </w:rPr>
                <w:t>July 2013</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61" w:history="1">
              <w:r w:rsidR="00C2656B">
                <w:rPr>
                  <w:rFonts w:ascii="Avenir Next"/>
                  <w:sz w:val="20"/>
                </w:rPr>
                <w:t>79</w:t>
              </w:r>
            </w:hyperlink>
          </w:p>
        </w:tc>
      </w:tr>
      <w:tr w:rsidR="00D96B91">
        <w:trPr>
          <w:trHeight w:hRule="exact" w:val="345"/>
        </w:trPr>
        <w:tc>
          <w:tcPr>
            <w:tcW w:w="400" w:type="dxa"/>
            <w:tcBorders>
              <w:top w:val="nil"/>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67" w:history="1">
              <w:r w:rsidR="00C2656B">
                <w:rPr>
                  <w:rFonts w:ascii="Avenir Next"/>
                  <w:sz w:val="20"/>
                </w:rPr>
                <w:t>9.</w:t>
              </w:r>
              <w:r w:rsidR="00C2656B">
                <w:rPr>
                  <w:rFonts w:ascii="Avenir Next"/>
                  <w:spacing w:val="-6"/>
                  <w:sz w:val="20"/>
                </w:rPr>
                <w:t xml:space="preserve"> </w:t>
              </w:r>
              <w:r w:rsidR="00C2656B">
                <w:rPr>
                  <w:rFonts w:ascii="Avenir Next"/>
                  <w:sz w:val="20"/>
                </w:rPr>
                <w:t>3</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67" w:history="1">
              <w:r w:rsidR="00C2656B">
                <w:rPr>
                  <w:rFonts w:ascii="Avenir Next"/>
                  <w:spacing w:val="-2"/>
                  <w:sz w:val="20"/>
                </w:rPr>
                <w:t>Forecast</w:t>
              </w:r>
              <w:r w:rsidR="00C2656B">
                <w:rPr>
                  <w:rFonts w:ascii="Avenir Next"/>
                  <w:sz w:val="20"/>
                </w:rPr>
                <w:t xml:space="preserve"> capital </w:t>
              </w:r>
              <w:r w:rsidR="00C2656B">
                <w:rPr>
                  <w:rFonts w:ascii="Avenir Next"/>
                  <w:spacing w:val="-1"/>
                  <w:sz w:val="20"/>
                </w:rPr>
                <w:t>expenditure</w:t>
              </w:r>
              <w:r w:rsidR="00C2656B">
                <w:rPr>
                  <w:rFonts w:ascii="Avenir Next"/>
                  <w:sz w:val="20"/>
                </w:rPr>
                <w:t xml:space="preserve"> in the 2013 period</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67" w:history="1">
              <w:r w:rsidR="00C2656B">
                <w:rPr>
                  <w:rFonts w:ascii="Avenir Next"/>
                  <w:sz w:val="20"/>
                </w:rPr>
                <w:t>84</w:t>
              </w:r>
            </w:hyperlink>
          </w:p>
        </w:tc>
      </w:tr>
      <w:tr w:rsidR="00D96B91">
        <w:trPr>
          <w:trHeight w:hRule="exact" w:val="345"/>
        </w:trPr>
        <w:tc>
          <w:tcPr>
            <w:tcW w:w="400" w:type="dxa"/>
            <w:tcBorders>
              <w:top w:val="nil"/>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73" w:history="1">
              <w:r w:rsidR="00C2656B">
                <w:rPr>
                  <w:rFonts w:ascii="Avenir Next"/>
                  <w:sz w:val="20"/>
                </w:rPr>
                <w:t>9.</w:t>
              </w:r>
              <w:r w:rsidR="00C2656B">
                <w:rPr>
                  <w:rFonts w:ascii="Avenir Next"/>
                  <w:spacing w:val="-6"/>
                  <w:sz w:val="20"/>
                </w:rPr>
                <w:t xml:space="preserve"> </w:t>
              </w:r>
              <w:r w:rsidR="00C2656B">
                <w:rPr>
                  <w:rFonts w:ascii="Avenir Next"/>
                  <w:sz w:val="20"/>
                </w:rPr>
                <w:t>4</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73" w:history="1">
              <w:r w:rsidR="00C2656B">
                <w:rPr>
                  <w:rFonts w:ascii="Avenir Next"/>
                  <w:spacing w:val="-1"/>
                  <w:sz w:val="20"/>
                </w:rPr>
                <w:t>Depreciation</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73" w:history="1">
              <w:r w:rsidR="00C2656B">
                <w:rPr>
                  <w:rFonts w:ascii="Avenir Next"/>
                  <w:sz w:val="20"/>
                </w:rPr>
                <w:t>89</w:t>
              </w:r>
            </w:hyperlink>
          </w:p>
        </w:tc>
      </w:tr>
      <w:tr w:rsidR="00D96B91">
        <w:trPr>
          <w:trHeight w:hRule="exact" w:val="373"/>
        </w:trPr>
        <w:tc>
          <w:tcPr>
            <w:tcW w:w="400" w:type="dxa"/>
            <w:tcBorders>
              <w:top w:val="nil"/>
              <w:left w:val="nil"/>
              <w:bottom w:val="nil"/>
              <w:right w:val="nil"/>
            </w:tcBorders>
          </w:tcPr>
          <w:p w:rsidR="00D96B91" w:rsidRDefault="00D96B91"/>
        </w:tc>
        <w:tc>
          <w:tcPr>
            <w:tcW w:w="765" w:type="dxa"/>
            <w:tcBorders>
              <w:top w:val="nil"/>
              <w:left w:val="nil"/>
              <w:bottom w:val="nil"/>
              <w:right w:val="nil"/>
            </w:tcBorders>
          </w:tcPr>
          <w:p w:rsidR="00D96B91" w:rsidRDefault="00D96B91">
            <w:pPr>
              <w:pStyle w:val="TableParagraph"/>
              <w:spacing w:before="27"/>
              <w:ind w:left="222"/>
              <w:rPr>
                <w:rFonts w:ascii="Avenir Next" w:eastAsia="Avenir Next" w:hAnsi="Avenir Next" w:cs="Avenir Next"/>
                <w:sz w:val="20"/>
                <w:szCs w:val="20"/>
              </w:rPr>
            </w:pPr>
            <w:hyperlink w:anchor="_bookmark80" w:history="1">
              <w:r w:rsidR="00C2656B">
                <w:rPr>
                  <w:rFonts w:ascii="Avenir Next"/>
                  <w:sz w:val="20"/>
                </w:rPr>
                <w:t>9.</w:t>
              </w:r>
              <w:r w:rsidR="00C2656B">
                <w:rPr>
                  <w:rFonts w:ascii="Avenir Next"/>
                  <w:spacing w:val="-6"/>
                  <w:sz w:val="20"/>
                </w:rPr>
                <w:t xml:space="preserve"> </w:t>
              </w:r>
              <w:r w:rsidR="00C2656B">
                <w:rPr>
                  <w:rFonts w:ascii="Avenir Next"/>
                  <w:sz w:val="20"/>
                </w:rPr>
                <w:t>5</w:t>
              </w:r>
            </w:hyperlink>
          </w:p>
        </w:tc>
        <w:tc>
          <w:tcPr>
            <w:tcW w:w="7450" w:type="dxa"/>
            <w:tcBorders>
              <w:top w:val="nil"/>
              <w:left w:val="nil"/>
              <w:bottom w:val="nil"/>
              <w:right w:val="nil"/>
            </w:tcBorders>
          </w:tcPr>
          <w:p w:rsidR="00D96B91" w:rsidRDefault="00D96B91">
            <w:pPr>
              <w:pStyle w:val="TableParagraph"/>
              <w:spacing w:before="27"/>
              <w:ind w:left="25"/>
              <w:rPr>
                <w:rFonts w:ascii="Avenir Next" w:eastAsia="Avenir Next" w:hAnsi="Avenir Next" w:cs="Avenir Next"/>
                <w:sz w:val="20"/>
                <w:szCs w:val="20"/>
              </w:rPr>
            </w:pPr>
            <w:hyperlink w:anchor="_bookmark80" w:history="1">
              <w:r w:rsidR="00C2656B">
                <w:rPr>
                  <w:rFonts w:ascii="Avenir Next"/>
                  <w:spacing w:val="-1"/>
                  <w:sz w:val="20"/>
                </w:rPr>
                <w:t>Indexation</w:t>
              </w:r>
              <w:r w:rsidR="00C2656B">
                <w:rPr>
                  <w:rFonts w:ascii="Avenir Next"/>
                  <w:sz w:val="20"/>
                </w:rPr>
                <w:t xml:space="preserve"> of</w:t>
              </w:r>
              <w:r w:rsidR="00C2656B">
                <w:rPr>
                  <w:rFonts w:ascii="Avenir Next"/>
                  <w:spacing w:val="4"/>
                  <w:sz w:val="20"/>
                </w:rPr>
                <w:t xml:space="preserve"> </w:t>
              </w:r>
              <w:r w:rsidR="00C2656B">
                <w:rPr>
                  <w:rFonts w:ascii="Avenir Next"/>
                  <w:sz w:val="20"/>
                </w:rPr>
                <w:t>the RAB</w:t>
              </w:r>
            </w:hyperlink>
          </w:p>
        </w:tc>
        <w:tc>
          <w:tcPr>
            <w:tcW w:w="776" w:type="dxa"/>
            <w:tcBorders>
              <w:top w:val="nil"/>
              <w:left w:val="nil"/>
              <w:bottom w:val="nil"/>
              <w:right w:val="nil"/>
            </w:tcBorders>
          </w:tcPr>
          <w:p w:rsidR="00D96B91" w:rsidRDefault="00D96B91">
            <w:pPr>
              <w:pStyle w:val="TableParagraph"/>
              <w:spacing w:before="27"/>
              <w:ind w:left="489"/>
              <w:rPr>
                <w:rFonts w:ascii="Avenir Next" w:eastAsia="Avenir Next" w:hAnsi="Avenir Next" w:cs="Avenir Next"/>
                <w:sz w:val="20"/>
                <w:szCs w:val="20"/>
              </w:rPr>
            </w:pPr>
            <w:hyperlink w:anchor="_bookmark80" w:history="1">
              <w:r w:rsidR="00C2656B">
                <w:rPr>
                  <w:rFonts w:ascii="Avenir Next"/>
                  <w:sz w:val="20"/>
                </w:rPr>
                <w:t>96</w:t>
              </w:r>
            </w:hyperlink>
          </w:p>
        </w:tc>
      </w:tr>
    </w:tbl>
    <w:p w:rsidR="00D96B91" w:rsidRDefault="00D96B91">
      <w:pPr>
        <w:numPr>
          <w:ilvl w:val="0"/>
          <w:numId w:val="134"/>
        </w:numPr>
        <w:tabs>
          <w:tab w:val="left" w:pos="1815"/>
          <w:tab w:val="left" w:pos="10283"/>
        </w:tabs>
        <w:spacing w:before="17"/>
        <w:rPr>
          <w:rFonts w:ascii="Avenir Next" w:eastAsia="Avenir Next" w:hAnsi="Avenir Next" w:cs="Avenir Next"/>
          <w:sz w:val="20"/>
          <w:szCs w:val="20"/>
        </w:rPr>
      </w:pPr>
      <w:hyperlink w:anchor="_bookmark83" w:history="1">
        <w:r w:rsidR="00C2656B">
          <w:rPr>
            <w:rFonts w:ascii="Avenir Next"/>
            <w:b/>
            <w:spacing w:val="-2"/>
            <w:sz w:val="20"/>
          </w:rPr>
          <w:t>Rate</w:t>
        </w:r>
        <w:r w:rsidR="00C2656B">
          <w:rPr>
            <w:rFonts w:ascii="Avenir Next"/>
            <w:b/>
            <w:sz w:val="20"/>
          </w:rPr>
          <w:t xml:space="preserve"> of</w:t>
        </w:r>
        <w:r w:rsidR="00C2656B">
          <w:rPr>
            <w:rFonts w:ascii="Avenir Next"/>
            <w:b/>
            <w:spacing w:val="4"/>
            <w:sz w:val="20"/>
          </w:rPr>
          <w:t xml:space="preserve"> </w:t>
        </w:r>
        <w:r w:rsidR="00C2656B">
          <w:rPr>
            <w:rFonts w:ascii="Avenir Next"/>
            <w:b/>
            <w:spacing w:val="-1"/>
            <w:sz w:val="20"/>
          </w:rPr>
          <w:t>return</w:t>
        </w:r>
        <w:r w:rsidR="00C2656B">
          <w:rPr>
            <w:rFonts w:ascii="Avenir Next"/>
            <w:b/>
            <w:sz w:val="20"/>
          </w:rPr>
          <w:t xml:space="preserve"> and net tax liabilities</w:t>
        </w:r>
        <w:r w:rsidR="00C2656B">
          <w:rPr>
            <w:rFonts w:ascii="Avenir Next"/>
            <w:b/>
            <w:sz w:val="20"/>
          </w:rPr>
          <w:tab/>
          <w:t>99</w:t>
        </w:r>
      </w:hyperlink>
    </w:p>
    <w:p w:rsidR="00D96B91" w:rsidRDefault="00D96B91">
      <w:pPr>
        <w:pStyle w:val="BodyText"/>
        <w:tabs>
          <w:tab w:val="right" w:pos="10527"/>
        </w:tabs>
        <w:spacing w:before="72"/>
        <w:ind w:left="1814"/>
      </w:pPr>
      <w:hyperlink w:anchor="_bookmark83" w:history="1">
        <w:r w:rsidR="00C2656B">
          <w:t>10.</w:t>
        </w:r>
        <w:r w:rsidR="00C2656B">
          <w:rPr>
            <w:spacing w:val="-6"/>
          </w:rPr>
          <w:t xml:space="preserve"> </w:t>
        </w:r>
        <w:r w:rsidR="00C2656B">
          <w:t xml:space="preserve">1 </w:t>
        </w:r>
        <w:r w:rsidR="00C2656B">
          <w:rPr>
            <w:spacing w:val="23"/>
          </w:rPr>
          <w:t xml:space="preserve"> </w:t>
        </w:r>
        <w:r w:rsidR="00C2656B">
          <w:t>Overview of</w:t>
        </w:r>
        <w:r w:rsidR="00C2656B">
          <w:rPr>
            <w:spacing w:val="4"/>
          </w:rPr>
          <w:t xml:space="preserve"> </w:t>
        </w:r>
        <w:r w:rsidR="00C2656B">
          <w:t xml:space="preserve">the </w:t>
        </w:r>
        <w:r w:rsidR="00C2656B">
          <w:rPr>
            <w:spacing w:val="-4"/>
          </w:rPr>
          <w:t>Panel’s</w:t>
        </w:r>
        <w:r w:rsidR="00C2656B">
          <w:t xml:space="preserve"> </w:t>
        </w:r>
        <w:r w:rsidR="00C2656B">
          <w:rPr>
            <w:spacing w:val="-2"/>
          </w:rPr>
          <w:t>draft</w:t>
        </w:r>
        <w:r w:rsidR="00C2656B">
          <w:t xml:space="preserve"> decision</w:t>
        </w:r>
        <w:r w:rsidR="00C2656B">
          <w:tab/>
          <w:t>99</w:t>
        </w:r>
      </w:hyperlink>
    </w:p>
    <w:p w:rsidR="00D96B91" w:rsidRDefault="00D96B91">
      <w:pPr>
        <w:pStyle w:val="BodyText"/>
        <w:tabs>
          <w:tab w:val="right" w:pos="10527"/>
        </w:tabs>
        <w:spacing w:before="72"/>
        <w:ind w:left="1814"/>
      </w:pPr>
      <w:hyperlink w:anchor="_bookmark86" w:history="1">
        <w:r w:rsidR="00C2656B">
          <w:t>10.</w:t>
        </w:r>
        <w:r w:rsidR="00C2656B">
          <w:rPr>
            <w:spacing w:val="-6"/>
          </w:rPr>
          <w:t xml:space="preserve"> </w:t>
        </w:r>
        <w:r w:rsidR="00C2656B">
          <w:t xml:space="preserve">2 </w:t>
        </w:r>
        <w:r w:rsidR="00C2656B">
          <w:rPr>
            <w:spacing w:val="23"/>
          </w:rPr>
          <w:t xml:space="preserve"> </w:t>
        </w:r>
        <w:r w:rsidR="00C2656B">
          <w:rPr>
            <w:spacing w:val="-1"/>
          </w:rPr>
          <w:t>Appropriate</w:t>
        </w:r>
        <w:r w:rsidR="00C2656B">
          <w:t xml:space="preserve"> </w:t>
        </w:r>
        <w:r w:rsidR="00C2656B">
          <w:rPr>
            <w:spacing w:val="-1"/>
          </w:rPr>
          <w:t>approach</w:t>
        </w:r>
        <w:r w:rsidR="00C2656B">
          <w:t xml:space="preserve"> for </w:t>
        </w:r>
        <w:r w:rsidR="00C2656B">
          <w:rPr>
            <w:spacing w:val="-1"/>
          </w:rPr>
          <w:t>estimating</w:t>
        </w:r>
        <w:r w:rsidR="00C2656B">
          <w:t xml:space="preserve"> the</w:t>
        </w:r>
        <w:r w:rsidR="00C2656B">
          <w:rPr>
            <w:spacing w:val="-3"/>
          </w:rPr>
          <w:t xml:space="preserve"> WACC</w:t>
        </w:r>
        <w:r w:rsidR="00C2656B">
          <w:rPr>
            <w:spacing w:val="-3"/>
          </w:rPr>
          <w:tab/>
        </w:r>
        <w:r w:rsidR="00C2656B">
          <w:t>100</w:t>
        </w:r>
      </w:hyperlink>
    </w:p>
    <w:p w:rsidR="00D96B91" w:rsidRDefault="00D96B91">
      <w:pPr>
        <w:pStyle w:val="BodyText"/>
        <w:tabs>
          <w:tab w:val="right" w:pos="10527"/>
        </w:tabs>
        <w:spacing w:before="72"/>
        <w:ind w:left="1814"/>
      </w:pPr>
      <w:hyperlink w:anchor="_bookmark90" w:history="1">
        <w:r w:rsidR="00C2656B">
          <w:t>10.</w:t>
        </w:r>
        <w:r w:rsidR="00C2656B">
          <w:rPr>
            <w:spacing w:val="-6"/>
          </w:rPr>
          <w:t xml:space="preserve"> </w:t>
        </w:r>
        <w:r w:rsidR="00C2656B">
          <w:t xml:space="preserve">3 </w:t>
        </w:r>
        <w:r w:rsidR="00C2656B">
          <w:rPr>
            <w:spacing w:val="23"/>
          </w:rPr>
          <w:t xml:space="preserve"> </w:t>
        </w:r>
        <w:r w:rsidR="00C2656B">
          <w:rPr>
            <w:spacing w:val="-4"/>
          </w:rPr>
          <w:t>Panel’s</w:t>
        </w:r>
        <w:r w:rsidR="00C2656B">
          <w:t xml:space="preserve"> </w:t>
        </w:r>
        <w:r w:rsidR="00C2656B">
          <w:rPr>
            <w:spacing w:val="-1"/>
          </w:rPr>
          <w:t>estimation</w:t>
        </w:r>
        <w:r w:rsidR="00C2656B">
          <w:t xml:space="preserve"> of</w:t>
        </w:r>
        <w:r w:rsidR="00C2656B">
          <w:rPr>
            <w:spacing w:val="4"/>
          </w:rPr>
          <w:t xml:space="preserve"> </w:t>
        </w:r>
        <w:r w:rsidR="00C2656B">
          <w:t>the</w:t>
        </w:r>
        <w:r w:rsidR="00C2656B">
          <w:rPr>
            <w:spacing w:val="-3"/>
          </w:rPr>
          <w:t xml:space="preserve"> WACC</w:t>
        </w:r>
        <w:r w:rsidR="00C2656B">
          <w:rPr>
            <w:spacing w:val="-3"/>
          </w:rPr>
          <w:tab/>
        </w:r>
        <w:r w:rsidR="00C2656B">
          <w:t>105</w:t>
        </w:r>
      </w:hyperlink>
    </w:p>
    <w:p w:rsidR="00D96B91" w:rsidRDefault="00D96B91">
      <w:pPr>
        <w:pStyle w:val="BodyText"/>
        <w:numPr>
          <w:ilvl w:val="0"/>
          <w:numId w:val="133"/>
        </w:numPr>
        <w:tabs>
          <w:tab w:val="left" w:pos="2143"/>
          <w:tab w:val="right" w:pos="10527"/>
        </w:tabs>
        <w:spacing w:before="72"/>
      </w:pPr>
      <w:hyperlink w:anchor="_bookmark92" w:history="1">
        <w:r w:rsidR="00C2656B">
          <w:t xml:space="preserve">4 </w:t>
        </w:r>
        <w:r w:rsidR="00C2656B">
          <w:rPr>
            <w:spacing w:val="23"/>
          </w:rPr>
          <w:t xml:space="preserve"> </w:t>
        </w:r>
        <w:r w:rsidR="00C2656B">
          <w:t>Allowance for net tax liabilities</w:t>
        </w:r>
        <w:r w:rsidR="00C2656B">
          <w:tab/>
          <w:t>108</w:t>
        </w:r>
      </w:hyperlink>
    </w:p>
    <w:p w:rsidR="00D96B91" w:rsidRDefault="00D96B91">
      <w:pPr>
        <w:pStyle w:val="Heading8"/>
        <w:numPr>
          <w:ilvl w:val="0"/>
          <w:numId w:val="134"/>
        </w:numPr>
        <w:tabs>
          <w:tab w:val="left" w:pos="1815"/>
          <w:tab w:val="right" w:pos="10527"/>
        </w:tabs>
        <w:spacing w:before="72"/>
        <w:rPr>
          <w:b w:val="0"/>
          <w:bCs w:val="0"/>
        </w:rPr>
      </w:pPr>
      <w:hyperlink w:anchor="_bookmark93" w:history="1">
        <w:r w:rsidR="00C2656B">
          <w:rPr>
            <w:spacing w:val="-2"/>
          </w:rPr>
          <w:t>Forecast</w:t>
        </w:r>
        <w:r w:rsidR="00C2656B">
          <w:t xml:space="preserve"> </w:t>
        </w:r>
        <w:r w:rsidR="00C2656B">
          <w:rPr>
            <w:spacing w:val="-1"/>
          </w:rPr>
          <w:t>operating</w:t>
        </w:r>
        <w:r w:rsidR="00C2656B">
          <w:t xml:space="preserve"> </w:t>
        </w:r>
        <w:r w:rsidR="00C2656B">
          <w:rPr>
            <w:spacing w:val="-1"/>
          </w:rPr>
          <w:t>expenditure</w:t>
        </w:r>
        <w:r w:rsidR="00C2656B">
          <w:rPr>
            <w:spacing w:val="-1"/>
          </w:rPr>
          <w:tab/>
        </w:r>
        <w:r w:rsidR="00C2656B">
          <w:t>109</w:t>
        </w:r>
      </w:hyperlink>
    </w:p>
    <w:p w:rsidR="00D96B91" w:rsidRDefault="00D96B91">
      <w:pPr>
        <w:pStyle w:val="BodyText"/>
        <w:numPr>
          <w:ilvl w:val="0"/>
          <w:numId w:val="133"/>
        </w:numPr>
        <w:tabs>
          <w:tab w:val="left" w:pos="2143"/>
          <w:tab w:val="right" w:pos="10527"/>
        </w:tabs>
        <w:spacing w:before="72"/>
      </w:pPr>
      <w:hyperlink w:anchor="_bookmark93" w:history="1">
        <w:r w:rsidR="00C2656B">
          <w:t xml:space="preserve">1 </w:t>
        </w:r>
        <w:r w:rsidR="00C2656B">
          <w:rPr>
            <w:spacing w:val="23"/>
          </w:rPr>
          <w:t xml:space="preserve"> </w:t>
        </w:r>
        <w:r w:rsidR="00C2656B">
          <w:t>Overview of</w:t>
        </w:r>
        <w:r w:rsidR="00C2656B">
          <w:rPr>
            <w:spacing w:val="4"/>
          </w:rPr>
          <w:t xml:space="preserve"> </w:t>
        </w:r>
        <w:r w:rsidR="00C2656B">
          <w:t xml:space="preserve">the </w:t>
        </w:r>
        <w:r w:rsidR="00C2656B">
          <w:rPr>
            <w:spacing w:val="-4"/>
          </w:rPr>
          <w:t>Panel’s</w:t>
        </w:r>
        <w:r w:rsidR="00C2656B">
          <w:t xml:space="preserve"> </w:t>
        </w:r>
        <w:r w:rsidR="00C2656B">
          <w:rPr>
            <w:spacing w:val="-2"/>
          </w:rPr>
          <w:t>draft</w:t>
        </w:r>
        <w:r w:rsidR="00C2656B">
          <w:t xml:space="preserve"> decision</w:t>
        </w:r>
        <w:r w:rsidR="00C2656B">
          <w:tab/>
          <w:t>109</w:t>
        </w:r>
      </w:hyperlink>
    </w:p>
    <w:p w:rsidR="00D96B91" w:rsidRDefault="00D96B91">
      <w:pPr>
        <w:pStyle w:val="BodyText"/>
        <w:tabs>
          <w:tab w:val="right" w:pos="10527"/>
        </w:tabs>
        <w:spacing w:before="72"/>
        <w:ind w:left="1814"/>
      </w:pPr>
      <w:hyperlink w:anchor="_bookmark94" w:history="1">
        <w:r w:rsidR="00C2656B">
          <w:t>11.</w:t>
        </w:r>
        <w:r w:rsidR="00C2656B">
          <w:rPr>
            <w:spacing w:val="-6"/>
          </w:rPr>
          <w:t xml:space="preserve"> </w:t>
        </w:r>
        <w:r w:rsidR="00C2656B">
          <w:t xml:space="preserve">2 </w:t>
        </w:r>
        <w:r w:rsidR="00C2656B">
          <w:rPr>
            <w:spacing w:val="23"/>
          </w:rPr>
          <w:t xml:space="preserve"> </w:t>
        </w:r>
        <w:r w:rsidR="00C2656B">
          <w:rPr>
            <w:spacing w:val="-1"/>
          </w:rPr>
          <w:t>Controllable</w:t>
        </w:r>
        <w:r w:rsidR="00C2656B">
          <w:t xml:space="preserve"> </w:t>
        </w:r>
        <w:r w:rsidR="00C2656B">
          <w:rPr>
            <w:spacing w:val="-1"/>
          </w:rPr>
          <w:t>operating</w:t>
        </w:r>
        <w:r w:rsidR="00C2656B">
          <w:t xml:space="preserve"> </w:t>
        </w:r>
        <w:r w:rsidR="00C2656B">
          <w:rPr>
            <w:spacing w:val="-1"/>
          </w:rPr>
          <w:t>expenditure</w:t>
        </w:r>
        <w:r w:rsidR="00C2656B">
          <w:rPr>
            <w:spacing w:val="-1"/>
          </w:rPr>
          <w:tab/>
        </w:r>
        <w:r w:rsidR="00C2656B">
          <w:t>110</w:t>
        </w:r>
      </w:hyperlink>
    </w:p>
    <w:p w:rsidR="00D96B91" w:rsidRDefault="00D96B91">
      <w:pPr>
        <w:pStyle w:val="BodyText"/>
        <w:numPr>
          <w:ilvl w:val="0"/>
          <w:numId w:val="132"/>
        </w:numPr>
        <w:tabs>
          <w:tab w:val="left" w:pos="2143"/>
          <w:tab w:val="right" w:pos="10527"/>
        </w:tabs>
        <w:spacing w:before="72"/>
      </w:pPr>
      <w:hyperlink w:anchor="_bookmark99" w:history="1">
        <w:r w:rsidR="00C2656B">
          <w:t xml:space="preserve">3 </w:t>
        </w:r>
        <w:r w:rsidR="00C2656B">
          <w:rPr>
            <w:spacing w:val="23"/>
          </w:rPr>
          <w:t xml:space="preserve"> </w:t>
        </w:r>
        <w:r w:rsidR="00C2656B">
          <w:rPr>
            <w:spacing w:val="-3"/>
          </w:rPr>
          <w:t>WAC</w:t>
        </w:r>
        <w:r w:rsidR="00C2656B">
          <w:t xml:space="preserve"> and UNFT</w:t>
        </w:r>
        <w:r w:rsidR="00C2656B">
          <w:tab/>
          <w:t>114</w:t>
        </w:r>
      </w:hyperlink>
    </w:p>
    <w:p w:rsidR="00D96B91" w:rsidRDefault="00D96B91">
      <w:pPr>
        <w:pStyle w:val="Heading8"/>
        <w:numPr>
          <w:ilvl w:val="0"/>
          <w:numId w:val="134"/>
        </w:numPr>
        <w:tabs>
          <w:tab w:val="left" w:pos="1815"/>
          <w:tab w:val="right" w:pos="10527"/>
        </w:tabs>
        <w:spacing w:before="72"/>
        <w:rPr>
          <w:b w:val="0"/>
          <w:bCs w:val="0"/>
        </w:rPr>
      </w:pPr>
      <w:hyperlink w:anchor="_bookmark100" w:history="1">
        <w:r w:rsidR="00C2656B">
          <w:rPr>
            <w:spacing w:val="-2"/>
          </w:rPr>
          <w:t>Forecast</w:t>
        </w:r>
        <w:r w:rsidR="00C2656B">
          <w:t xml:space="preserve"> demand</w:t>
        </w:r>
        <w:r w:rsidR="00C2656B">
          <w:tab/>
          <w:t>117</w:t>
        </w:r>
      </w:hyperlink>
    </w:p>
    <w:p w:rsidR="00D96B91" w:rsidRDefault="00D96B91">
      <w:pPr>
        <w:pStyle w:val="BodyText"/>
        <w:numPr>
          <w:ilvl w:val="0"/>
          <w:numId w:val="132"/>
        </w:numPr>
        <w:tabs>
          <w:tab w:val="left" w:pos="2143"/>
          <w:tab w:val="right" w:pos="10527"/>
        </w:tabs>
        <w:spacing w:before="72"/>
      </w:pPr>
      <w:hyperlink w:anchor="_bookmark100" w:history="1">
        <w:r w:rsidR="00C2656B">
          <w:t xml:space="preserve">1 </w:t>
        </w:r>
        <w:r w:rsidR="00C2656B">
          <w:rPr>
            <w:spacing w:val="23"/>
          </w:rPr>
          <w:t xml:space="preserve"> </w:t>
        </w:r>
        <w:r w:rsidR="00C2656B">
          <w:t>Overview of</w:t>
        </w:r>
        <w:r w:rsidR="00C2656B">
          <w:rPr>
            <w:spacing w:val="4"/>
          </w:rPr>
          <w:t xml:space="preserve"> </w:t>
        </w:r>
        <w:r w:rsidR="00C2656B">
          <w:t xml:space="preserve">the </w:t>
        </w:r>
        <w:r w:rsidR="00C2656B">
          <w:rPr>
            <w:spacing w:val="-4"/>
          </w:rPr>
          <w:t>Panel’s</w:t>
        </w:r>
        <w:r w:rsidR="00C2656B">
          <w:t xml:space="preserve"> </w:t>
        </w:r>
        <w:r w:rsidR="00C2656B">
          <w:rPr>
            <w:spacing w:val="-2"/>
          </w:rPr>
          <w:t>draft</w:t>
        </w:r>
        <w:r w:rsidR="00C2656B">
          <w:t xml:space="preserve"> decision</w:t>
        </w:r>
        <w:r w:rsidR="00C2656B">
          <w:tab/>
          <w:t>117</w:t>
        </w:r>
      </w:hyperlink>
    </w:p>
    <w:p w:rsidR="00D96B91" w:rsidRDefault="00D96B91">
      <w:pPr>
        <w:pStyle w:val="BodyText"/>
        <w:tabs>
          <w:tab w:val="right" w:pos="10527"/>
        </w:tabs>
        <w:spacing w:before="72"/>
        <w:ind w:left="1814"/>
      </w:pPr>
      <w:hyperlink w:anchor="_bookmark103" w:history="1">
        <w:r w:rsidR="00C2656B">
          <w:t>12.</w:t>
        </w:r>
        <w:r w:rsidR="00C2656B">
          <w:rPr>
            <w:spacing w:val="-6"/>
          </w:rPr>
          <w:t xml:space="preserve"> </w:t>
        </w:r>
        <w:r w:rsidR="00C2656B">
          <w:t xml:space="preserve">2 </w:t>
        </w:r>
        <w:r w:rsidR="00C2656B">
          <w:rPr>
            <w:spacing w:val="23"/>
          </w:rPr>
          <w:t xml:space="preserve"> </w:t>
        </w:r>
        <w:r w:rsidR="00C2656B">
          <w:rPr>
            <w:spacing w:val="-2"/>
          </w:rPr>
          <w:t>Forecast</w:t>
        </w:r>
        <w:r w:rsidR="00C2656B">
          <w:t xml:space="preserve"> </w:t>
        </w:r>
        <w:r w:rsidR="00C2656B">
          <w:rPr>
            <w:spacing w:val="-1"/>
          </w:rPr>
          <w:t>water</w:t>
        </w:r>
        <w:r w:rsidR="00C2656B">
          <w:t xml:space="preserve"> sales</w:t>
        </w:r>
        <w:r w:rsidR="00C2656B">
          <w:tab/>
          <w:t>118</w:t>
        </w:r>
      </w:hyperlink>
    </w:p>
    <w:p w:rsidR="00D96B91" w:rsidRDefault="00D96B91">
      <w:pPr>
        <w:pStyle w:val="BodyText"/>
        <w:tabs>
          <w:tab w:val="right" w:pos="10527"/>
        </w:tabs>
        <w:spacing w:before="72"/>
        <w:ind w:left="1814"/>
      </w:pPr>
      <w:hyperlink w:anchor="_bookmark107" w:history="1">
        <w:r w:rsidR="00C2656B">
          <w:t>12.</w:t>
        </w:r>
        <w:r w:rsidR="00C2656B">
          <w:rPr>
            <w:spacing w:val="-7"/>
          </w:rPr>
          <w:t xml:space="preserve"> </w:t>
        </w:r>
        <w:r w:rsidR="00C2656B">
          <w:t xml:space="preserve">3 </w:t>
        </w:r>
        <w:r w:rsidR="00C2656B">
          <w:rPr>
            <w:spacing w:val="23"/>
          </w:rPr>
          <w:t xml:space="preserve"> </w:t>
        </w:r>
        <w:r w:rsidR="00C2656B">
          <w:rPr>
            <w:spacing w:val="-2"/>
          </w:rPr>
          <w:t>Forecast</w:t>
        </w:r>
        <w:r w:rsidR="00C2656B">
          <w:t xml:space="preserve"> </w:t>
        </w:r>
        <w:r w:rsidR="00C2656B">
          <w:rPr>
            <w:spacing w:val="-1"/>
          </w:rPr>
          <w:t>water</w:t>
        </w:r>
        <w:r w:rsidR="00C2656B">
          <w:t xml:space="preserve"> and </w:t>
        </w:r>
        <w:r w:rsidR="00C2656B">
          <w:rPr>
            <w:spacing w:val="-1"/>
          </w:rPr>
          <w:t>sewerage</w:t>
        </w:r>
        <w:r w:rsidR="00C2656B">
          <w:t xml:space="preserve"> customer numbers and</w:t>
        </w:r>
        <w:r w:rsidR="00C2656B">
          <w:rPr>
            <w:spacing w:val="-1"/>
          </w:rPr>
          <w:t xml:space="preserve"> </w:t>
        </w:r>
        <w:r w:rsidR="00C2656B">
          <w:t xml:space="preserve">billable </w:t>
        </w:r>
        <w:r w:rsidR="00C2656B">
          <w:rPr>
            <w:spacing w:val="-1"/>
          </w:rPr>
          <w:t>fixtures</w:t>
        </w:r>
        <w:r w:rsidR="00C2656B">
          <w:rPr>
            <w:spacing w:val="-1"/>
          </w:rPr>
          <w:tab/>
        </w:r>
        <w:r w:rsidR="00C2656B">
          <w:t>123</w:t>
        </w:r>
      </w:hyperlink>
    </w:p>
    <w:p w:rsidR="00D96B91" w:rsidRDefault="00D96B91">
      <w:pPr>
        <w:pStyle w:val="Heading8"/>
        <w:numPr>
          <w:ilvl w:val="0"/>
          <w:numId w:val="134"/>
        </w:numPr>
        <w:tabs>
          <w:tab w:val="left" w:pos="1815"/>
          <w:tab w:val="right" w:pos="10527"/>
        </w:tabs>
        <w:spacing w:before="72"/>
        <w:rPr>
          <w:b w:val="0"/>
          <w:bCs w:val="0"/>
        </w:rPr>
      </w:pPr>
      <w:hyperlink w:anchor="_bookmark111" w:history="1">
        <w:r w:rsidR="00C2656B">
          <w:t xml:space="preserve">Net </w:t>
        </w:r>
        <w:r w:rsidR="00C2656B">
          <w:rPr>
            <w:spacing w:val="-1"/>
          </w:rPr>
          <w:t>revenue</w:t>
        </w:r>
        <w:r w:rsidR="00C2656B">
          <w:t xml:space="preserve"> </w:t>
        </w:r>
        <w:r w:rsidR="00C2656B">
          <w:rPr>
            <w:spacing w:val="-1"/>
          </w:rPr>
          <w:t>requirement</w:t>
        </w:r>
        <w:r w:rsidR="00C2656B">
          <w:t xml:space="preserve"> and ‘true up’ adjustment</w:t>
        </w:r>
        <w:r w:rsidR="00C2656B">
          <w:tab/>
          <w:t>125</w:t>
        </w:r>
      </w:hyperlink>
    </w:p>
    <w:p w:rsidR="00D96B91" w:rsidRDefault="00D96B91">
      <w:pPr>
        <w:rPr>
          <w:rFonts w:ascii="Avenir Next" w:eastAsia="Avenir Next" w:hAnsi="Avenir Next" w:cs="Avenir Next"/>
          <w:b/>
          <w:bCs/>
          <w:sz w:val="2"/>
          <w:szCs w:val="2"/>
        </w:rPr>
      </w:pPr>
    </w:p>
    <w:tbl>
      <w:tblPr>
        <w:tblW w:w="0" w:type="auto"/>
        <w:tblInd w:w="1192" w:type="dxa"/>
        <w:tblLayout w:type="fixed"/>
        <w:tblCellMar>
          <w:left w:w="0" w:type="dxa"/>
          <w:right w:w="0" w:type="dxa"/>
        </w:tblCellMar>
        <w:tblLook w:val="01E0"/>
      </w:tblPr>
      <w:tblGrid>
        <w:gridCol w:w="461"/>
        <w:gridCol w:w="715"/>
        <w:gridCol w:w="6485"/>
        <w:gridCol w:w="1729"/>
      </w:tblGrid>
      <w:tr w:rsidR="00D96B91">
        <w:trPr>
          <w:trHeight w:hRule="exact" w:val="373"/>
        </w:trPr>
        <w:tc>
          <w:tcPr>
            <w:tcW w:w="461" w:type="dxa"/>
            <w:vMerge w:val="restart"/>
            <w:tcBorders>
              <w:top w:val="nil"/>
              <w:left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46"/>
              <w:ind w:left="161"/>
              <w:rPr>
                <w:rFonts w:ascii="Avenir Next" w:eastAsia="Avenir Next" w:hAnsi="Avenir Next" w:cs="Avenir Next"/>
                <w:sz w:val="20"/>
                <w:szCs w:val="20"/>
              </w:rPr>
            </w:pPr>
            <w:hyperlink w:anchor="_bookmark111" w:history="1">
              <w:r w:rsidR="00C2656B">
                <w:rPr>
                  <w:rFonts w:ascii="Avenir Next"/>
                  <w:sz w:val="20"/>
                </w:rPr>
                <w:t>13.</w:t>
              </w:r>
              <w:r w:rsidR="00C2656B">
                <w:rPr>
                  <w:rFonts w:ascii="Avenir Next"/>
                  <w:spacing w:val="-6"/>
                  <w:sz w:val="20"/>
                </w:rPr>
                <w:t xml:space="preserve"> </w:t>
              </w:r>
              <w:r w:rsidR="00C2656B">
                <w:rPr>
                  <w:rFonts w:ascii="Avenir Next"/>
                  <w:sz w:val="20"/>
                </w:rPr>
                <w:t>1</w:t>
              </w:r>
            </w:hyperlink>
          </w:p>
        </w:tc>
        <w:tc>
          <w:tcPr>
            <w:tcW w:w="6485" w:type="dxa"/>
            <w:tcBorders>
              <w:top w:val="nil"/>
              <w:left w:val="nil"/>
              <w:bottom w:val="nil"/>
              <w:right w:val="nil"/>
            </w:tcBorders>
          </w:tcPr>
          <w:p w:rsidR="00D96B91" w:rsidRDefault="00D96B91">
            <w:pPr>
              <w:pStyle w:val="TableParagraph"/>
              <w:spacing w:before="46"/>
              <w:ind w:left="13"/>
              <w:rPr>
                <w:rFonts w:ascii="Avenir Next" w:eastAsia="Avenir Next" w:hAnsi="Avenir Next" w:cs="Avenir Next"/>
                <w:sz w:val="20"/>
                <w:szCs w:val="20"/>
              </w:rPr>
            </w:pPr>
            <w:hyperlink w:anchor="_bookmark111" w:history="1">
              <w:r w:rsidR="00C2656B">
                <w:rPr>
                  <w:rFonts w:ascii="Avenir Next" w:eastAsia="Avenir Next" w:hAnsi="Avenir Next" w:cs="Avenir Next"/>
                  <w:sz w:val="20"/>
                  <w:szCs w:val="20"/>
                </w:rPr>
                <w:t>Overview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z w:val="20"/>
                  <w:szCs w:val="20"/>
                </w:rPr>
                <w:t xml:space="preserve">the </w:t>
              </w:r>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2"/>
                  <w:sz w:val="20"/>
                  <w:szCs w:val="20"/>
                </w:rPr>
                <w:t>draft</w:t>
              </w:r>
              <w:r w:rsidR="00C2656B">
                <w:rPr>
                  <w:rFonts w:ascii="Avenir Next" w:eastAsia="Avenir Next" w:hAnsi="Avenir Next" w:cs="Avenir Next"/>
                  <w:sz w:val="20"/>
                  <w:szCs w:val="20"/>
                </w:rPr>
                <w:t xml:space="preserve"> decision</w:t>
              </w:r>
            </w:hyperlink>
          </w:p>
        </w:tc>
        <w:tc>
          <w:tcPr>
            <w:tcW w:w="1729" w:type="dxa"/>
            <w:tcBorders>
              <w:top w:val="nil"/>
              <w:left w:val="nil"/>
              <w:bottom w:val="nil"/>
              <w:right w:val="nil"/>
            </w:tcBorders>
          </w:tcPr>
          <w:p w:rsidR="00D96B91" w:rsidRDefault="00D96B91">
            <w:pPr>
              <w:pStyle w:val="TableParagraph"/>
              <w:spacing w:before="46"/>
              <w:ind w:right="53"/>
              <w:jc w:val="right"/>
              <w:rPr>
                <w:rFonts w:ascii="Avenir Next" w:eastAsia="Avenir Next" w:hAnsi="Avenir Next" w:cs="Avenir Next"/>
                <w:sz w:val="20"/>
                <w:szCs w:val="20"/>
              </w:rPr>
            </w:pPr>
            <w:hyperlink w:anchor="_bookmark111" w:history="1">
              <w:r w:rsidR="00C2656B">
                <w:rPr>
                  <w:rFonts w:ascii="Avenir Next"/>
                  <w:sz w:val="20"/>
                </w:rPr>
                <w:t>125</w:t>
              </w:r>
            </w:hyperlink>
          </w:p>
        </w:tc>
      </w:tr>
      <w:tr w:rsidR="00D96B91">
        <w:trPr>
          <w:trHeight w:hRule="exact" w:val="345"/>
        </w:trPr>
        <w:tc>
          <w:tcPr>
            <w:tcW w:w="461" w:type="dxa"/>
            <w:vMerge/>
            <w:tcBorders>
              <w:left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13" w:history="1">
              <w:r w:rsidR="00C2656B">
                <w:rPr>
                  <w:rFonts w:ascii="Avenir Next"/>
                  <w:sz w:val="20"/>
                </w:rPr>
                <w:t>13.</w:t>
              </w:r>
              <w:r w:rsidR="00C2656B">
                <w:rPr>
                  <w:rFonts w:ascii="Avenir Next"/>
                  <w:spacing w:val="-6"/>
                  <w:sz w:val="20"/>
                </w:rPr>
                <w:t xml:space="preserve"> </w:t>
              </w:r>
              <w:r w:rsidR="00C2656B">
                <w:rPr>
                  <w:rFonts w:ascii="Avenir Next"/>
                  <w:sz w:val="20"/>
                </w:rPr>
                <w:t>2</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13" w:history="1">
              <w:r w:rsidR="00C2656B">
                <w:rPr>
                  <w:rFonts w:ascii="Avenir Next"/>
                  <w:spacing w:val="-4"/>
                  <w:sz w:val="20"/>
                </w:rPr>
                <w:t>Total</w:t>
              </w:r>
              <w:r w:rsidR="00C2656B">
                <w:rPr>
                  <w:rFonts w:ascii="Avenir Next"/>
                  <w:sz w:val="20"/>
                </w:rPr>
                <w:t xml:space="preserve"> </w:t>
              </w:r>
              <w:r w:rsidR="00C2656B">
                <w:rPr>
                  <w:rFonts w:ascii="Avenir Next"/>
                  <w:spacing w:val="-1"/>
                  <w:sz w:val="20"/>
                </w:rPr>
                <w:t>revenue</w:t>
              </w:r>
              <w:r w:rsidR="00C2656B">
                <w:rPr>
                  <w:rFonts w:ascii="Avenir Next"/>
                  <w:sz w:val="20"/>
                </w:rPr>
                <w:t xml:space="preserve"> </w:t>
              </w:r>
              <w:r w:rsidR="00C2656B">
                <w:rPr>
                  <w:rFonts w:ascii="Avenir Next"/>
                  <w:spacing w:val="-1"/>
                  <w:sz w:val="20"/>
                </w:rPr>
                <w:t>requirement</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13" w:history="1">
              <w:r w:rsidR="00C2656B">
                <w:rPr>
                  <w:rFonts w:ascii="Avenir Next"/>
                  <w:sz w:val="20"/>
                </w:rPr>
                <w:t>126</w:t>
              </w:r>
            </w:hyperlink>
          </w:p>
        </w:tc>
      </w:tr>
      <w:tr w:rsidR="00D96B91">
        <w:trPr>
          <w:trHeight w:hRule="exact" w:val="605"/>
        </w:trPr>
        <w:tc>
          <w:tcPr>
            <w:tcW w:w="461" w:type="dxa"/>
            <w:vMerge/>
            <w:tcBorders>
              <w:left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18" w:history="1">
              <w:r w:rsidR="00C2656B">
                <w:rPr>
                  <w:rFonts w:ascii="Avenir Next"/>
                  <w:sz w:val="20"/>
                </w:rPr>
                <w:t>13.</w:t>
              </w:r>
              <w:r w:rsidR="00C2656B">
                <w:rPr>
                  <w:rFonts w:ascii="Avenir Next"/>
                  <w:spacing w:val="-6"/>
                  <w:sz w:val="20"/>
                </w:rPr>
                <w:t xml:space="preserve"> </w:t>
              </w:r>
              <w:r w:rsidR="00C2656B">
                <w:rPr>
                  <w:rFonts w:ascii="Avenir Next"/>
                  <w:sz w:val="20"/>
                </w:rPr>
                <w:t>3</w:t>
              </w:r>
            </w:hyperlink>
          </w:p>
        </w:tc>
        <w:tc>
          <w:tcPr>
            <w:tcW w:w="6485" w:type="dxa"/>
            <w:tcBorders>
              <w:top w:val="nil"/>
              <w:left w:val="nil"/>
              <w:bottom w:val="nil"/>
              <w:right w:val="nil"/>
            </w:tcBorders>
          </w:tcPr>
          <w:p w:rsidR="00D96B91" w:rsidRDefault="00D96B91">
            <w:pPr>
              <w:pStyle w:val="TableParagraph"/>
              <w:spacing w:before="11" w:line="260" w:lineRule="exact"/>
              <w:ind w:left="13" w:right="1306"/>
              <w:rPr>
                <w:rFonts w:ascii="Avenir Next" w:eastAsia="Avenir Next" w:hAnsi="Avenir Next" w:cs="Avenir Next"/>
                <w:sz w:val="20"/>
                <w:szCs w:val="20"/>
              </w:rPr>
            </w:pPr>
            <w:hyperlink w:anchor="_bookmark118" w:history="1">
              <w:r w:rsidR="00C2656B">
                <w:rPr>
                  <w:rFonts w:ascii="Avenir Next"/>
                  <w:sz w:val="20"/>
                </w:rPr>
                <w:t xml:space="preserve">Deductions for other </w:t>
              </w:r>
              <w:r w:rsidR="00C2656B">
                <w:rPr>
                  <w:rFonts w:ascii="Avenir Next"/>
                  <w:spacing w:val="-1"/>
                  <w:sz w:val="20"/>
                </w:rPr>
                <w:t>sources</w:t>
              </w:r>
              <w:r w:rsidR="00C2656B">
                <w:rPr>
                  <w:rFonts w:ascii="Avenir Next"/>
                  <w:sz w:val="20"/>
                </w:rPr>
                <w:t xml:space="preserve"> of</w:t>
              </w:r>
              <w:r w:rsidR="00C2656B">
                <w:rPr>
                  <w:rFonts w:ascii="Avenir Next"/>
                  <w:spacing w:val="4"/>
                  <w:sz w:val="20"/>
                </w:rPr>
                <w:t xml:space="preserve"> </w:t>
              </w:r>
              <w:r w:rsidR="00C2656B">
                <w:rPr>
                  <w:rFonts w:ascii="Avenir Next"/>
                  <w:sz w:val="20"/>
                </w:rPr>
                <w:t xml:space="preserve">income and </w:t>
              </w:r>
              <w:r w:rsidR="00C2656B">
                <w:rPr>
                  <w:rFonts w:ascii="Avenir Next"/>
                  <w:spacing w:val="-1"/>
                  <w:sz w:val="20"/>
                </w:rPr>
                <w:t>expenditure</w:t>
              </w:r>
            </w:hyperlink>
            <w:r w:rsidR="00C2656B">
              <w:rPr>
                <w:rFonts w:ascii="Avenir Next"/>
                <w:spacing w:val="29"/>
                <w:sz w:val="20"/>
              </w:rPr>
              <w:t xml:space="preserve"> </w:t>
            </w:r>
            <w:hyperlink w:anchor="_bookmark118" w:history="1">
              <w:r w:rsidR="00C2656B">
                <w:rPr>
                  <w:rFonts w:ascii="Avenir Next"/>
                  <w:spacing w:val="-1"/>
                  <w:sz w:val="20"/>
                </w:rPr>
                <w:t>that</w:t>
              </w:r>
              <w:r w:rsidR="00C2656B">
                <w:rPr>
                  <w:rFonts w:ascii="Avenir Next"/>
                  <w:sz w:val="20"/>
                </w:rPr>
                <w:t xml:space="preserve"> should be </w:t>
              </w:r>
              <w:r w:rsidR="00C2656B">
                <w:rPr>
                  <w:rFonts w:ascii="Avenir Next"/>
                  <w:spacing w:val="-2"/>
                  <w:sz w:val="20"/>
                </w:rPr>
                <w:t>treated</w:t>
              </w:r>
              <w:r w:rsidR="00C2656B">
                <w:rPr>
                  <w:rFonts w:ascii="Avenir Next"/>
                  <w:sz w:val="20"/>
                </w:rPr>
                <w:t xml:space="preserve"> as a CSO</w:t>
              </w:r>
            </w:hyperlink>
          </w:p>
        </w:tc>
        <w:tc>
          <w:tcPr>
            <w:tcW w:w="1729" w:type="dxa"/>
            <w:tcBorders>
              <w:top w:val="nil"/>
              <w:left w:val="nil"/>
              <w:bottom w:val="nil"/>
              <w:right w:val="nil"/>
            </w:tcBorders>
          </w:tcPr>
          <w:p w:rsidR="00D96B91" w:rsidRDefault="00D96B91">
            <w:pPr>
              <w:pStyle w:val="TableParagraph"/>
              <w:spacing w:before="6"/>
              <w:rPr>
                <w:rFonts w:ascii="Avenir Next" w:eastAsia="Avenir Next" w:hAnsi="Avenir Next" w:cs="Avenir Next"/>
                <w:b/>
                <w:bCs/>
                <w:sz w:val="20"/>
                <w:szCs w:val="20"/>
              </w:rPr>
            </w:pPr>
          </w:p>
          <w:p w:rsidR="00D96B91" w:rsidRDefault="00D96B91">
            <w:pPr>
              <w:pStyle w:val="TableParagraph"/>
              <w:ind w:right="53"/>
              <w:jc w:val="right"/>
              <w:rPr>
                <w:rFonts w:ascii="Avenir Next" w:eastAsia="Avenir Next" w:hAnsi="Avenir Next" w:cs="Avenir Next"/>
                <w:sz w:val="20"/>
                <w:szCs w:val="20"/>
              </w:rPr>
            </w:pPr>
            <w:hyperlink w:anchor="_bookmark118" w:history="1">
              <w:r w:rsidR="00C2656B">
                <w:rPr>
                  <w:rFonts w:ascii="Avenir Next"/>
                  <w:sz w:val="20"/>
                </w:rPr>
                <w:t>130</w:t>
              </w:r>
            </w:hyperlink>
          </w:p>
        </w:tc>
      </w:tr>
      <w:tr w:rsidR="00D96B91">
        <w:trPr>
          <w:trHeight w:hRule="exact" w:val="345"/>
        </w:trPr>
        <w:tc>
          <w:tcPr>
            <w:tcW w:w="461" w:type="dxa"/>
            <w:vMerge/>
            <w:tcBorders>
              <w:left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21" w:history="1">
              <w:r w:rsidR="00C2656B">
                <w:rPr>
                  <w:rFonts w:ascii="Avenir Next"/>
                  <w:sz w:val="20"/>
                </w:rPr>
                <w:t>13.</w:t>
              </w:r>
              <w:r w:rsidR="00C2656B">
                <w:rPr>
                  <w:rFonts w:ascii="Avenir Next"/>
                  <w:spacing w:val="-6"/>
                  <w:sz w:val="20"/>
                </w:rPr>
                <w:t xml:space="preserve"> </w:t>
              </w:r>
              <w:r w:rsidR="00C2656B">
                <w:rPr>
                  <w:rFonts w:ascii="Avenir Next"/>
                  <w:sz w:val="20"/>
                </w:rPr>
                <w:t>4</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21" w:history="1">
              <w:r w:rsidR="00C2656B">
                <w:rPr>
                  <w:rFonts w:ascii="Avenir Next"/>
                  <w:sz w:val="20"/>
                </w:rPr>
                <w:t xml:space="preserve">Net </w:t>
              </w:r>
              <w:r w:rsidR="00C2656B">
                <w:rPr>
                  <w:rFonts w:ascii="Avenir Next"/>
                  <w:spacing w:val="-1"/>
                  <w:sz w:val="20"/>
                </w:rPr>
                <w:t>revenue</w:t>
              </w:r>
              <w:r w:rsidR="00C2656B">
                <w:rPr>
                  <w:rFonts w:ascii="Avenir Next"/>
                  <w:sz w:val="20"/>
                </w:rPr>
                <w:t xml:space="preserve"> </w:t>
              </w:r>
              <w:r w:rsidR="00C2656B">
                <w:rPr>
                  <w:rFonts w:ascii="Avenir Next"/>
                  <w:spacing w:val="-1"/>
                  <w:sz w:val="20"/>
                </w:rPr>
                <w:t>requirement</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21" w:history="1">
              <w:r w:rsidR="00C2656B">
                <w:rPr>
                  <w:rFonts w:ascii="Avenir Next"/>
                  <w:sz w:val="20"/>
                </w:rPr>
                <w:t>132</w:t>
              </w:r>
            </w:hyperlink>
          </w:p>
        </w:tc>
      </w:tr>
      <w:tr w:rsidR="00D96B91">
        <w:trPr>
          <w:trHeight w:hRule="exact" w:val="345"/>
        </w:trPr>
        <w:tc>
          <w:tcPr>
            <w:tcW w:w="461" w:type="dxa"/>
            <w:vMerge/>
            <w:tcBorders>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24" w:history="1">
              <w:r w:rsidR="00C2656B">
                <w:rPr>
                  <w:rFonts w:ascii="Avenir Next"/>
                  <w:sz w:val="20"/>
                </w:rPr>
                <w:t>13.</w:t>
              </w:r>
              <w:r w:rsidR="00C2656B">
                <w:rPr>
                  <w:rFonts w:ascii="Avenir Next"/>
                  <w:spacing w:val="-6"/>
                  <w:sz w:val="20"/>
                </w:rPr>
                <w:t xml:space="preserve"> </w:t>
              </w:r>
              <w:r w:rsidR="00C2656B">
                <w:rPr>
                  <w:rFonts w:ascii="Avenir Next"/>
                  <w:sz w:val="20"/>
                </w:rPr>
                <w:t>5</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24" w:history="1">
              <w:r w:rsidR="00C2656B">
                <w:rPr>
                  <w:rFonts w:ascii="Avenir Next" w:eastAsia="Avenir Next" w:hAnsi="Avenir Next" w:cs="Avenir Next"/>
                  <w:spacing w:val="-3"/>
                  <w:sz w:val="20"/>
                  <w:szCs w:val="20"/>
                </w:rPr>
                <w:t>‘True</w:t>
              </w:r>
              <w:r w:rsidR="00C2656B">
                <w:rPr>
                  <w:rFonts w:ascii="Avenir Next" w:eastAsia="Avenir Next" w:hAnsi="Avenir Next" w:cs="Avenir Next"/>
                  <w:sz w:val="20"/>
                  <w:szCs w:val="20"/>
                </w:rPr>
                <w:t xml:space="preserve"> up’ adjustment</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24" w:history="1">
              <w:r w:rsidR="00C2656B">
                <w:rPr>
                  <w:rFonts w:ascii="Avenir Next"/>
                  <w:sz w:val="20"/>
                </w:rPr>
                <w:t>133</w:t>
              </w:r>
            </w:hyperlink>
          </w:p>
        </w:tc>
      </w:tr>
      <w:tr w:rsidR="00D96B91">
        <w:trPr>
          <w:trHeight w:hRule="exact" w:val="345"/>
        </w:trPr>
        <w:tc>
          <w:tcPr>
            <w:tcW w:w="461" w:type="dxa"/>
            <w:tcBorders>
              <w:top w:val="nil"/>
              <w:left w:val="nil"/>
              <w:bottom w:val="nil"/>
              <w:right w:val="nil"/>
            </w:tcBorders>
          </w:tcPr>
          <w:p w:rsidR="00D96B91" w:rsidRDefault="00D96B91">
            <w:pPr>
              <w:pStyle w:val="TableParagraph"/>
              <w:spacing w:before="19"/>
              <w:ind w:left="55"/>
              <w:rPr>
                <w:rFonts w:ascii="Avenir Next" w:eastAsia="Avenir Next" w:hAnsi="Avenir Next" w:cs="Avenir Next"/>
                <w:sz w:val="20"/>
                <w:szCs w:val="20"/>
              </w:rPr>
            </w:pPr>
            <w:hyperlink w:anchor="_bookmark126" w:history="1">
              <w:r w:rsidR="00C2656B">
                <w:rPr>
                  <w:rFonts w:ascii="Avenir Next"/>
                  <w:b/>
                  <w:sz w:val="20"/>
                </w:rPr>
                <w:t>14</w:t>
              </w:r>
            </w:hyperlink>
          </w:p>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26" w:history="1">
              <w:r w:rsidR="00C2656B">
                <w:rPr>
                  <w:rFonts w:ascii="Avenir Next"/>
                  <w:b/>
                  <w:spacing w:val="-2"/>
                  <w:sz w:val="20"/>
                </w:rPr>
                <w:t>Prices</w:t>
              </w:r>
            </w:hyperlink>
          </w:p>
        </w:tc>
        <w:tc>
          <w:tcPr>
            <w:tcW w:w="6485" w:type="dxa"/>
            <w:tcBorders>
              <w:top w:val="nil"/>
              <w:left w:val="nil"/>
              <w:bottom w:val="nil"/>
              <w:right w:val="nil"/>
            </w:tcBorders>
          </w:tcPr>
          <w:p w:rsidR="00D96B91" w:rsidRDefault="00D96B91">
            <w:pPr>
              <w:pStyle w:val="TableParagraph"/>
              <w:spacing w:before="19"/>
              <w:ind w:left="36"/>
              <w:rPr>
                <w:rFonts w:ascii="Avenir Next" w:eastAsia="Avenir Next" w:hAnsi="Avenir Next" w:cs="Avenir Next"/>
                <w:sz w:val="20"/>
                <w:szCs w:val="20"/>
              </w:rPr>
            </w:pPr>
            <w:hyperlink w:anchor="_bookmark126" w:history="1">
              <w:r w:rsidR="00C2656B">
                <w:rPr>
                  <w:rFonts w:ascii="Avenir Next"/>
                  <w:b/>
                  <w:sz w:val="20"/>
                </w:rPr>
                <w:t xml:space="preserve">for </w:t>
              </w:r>
              <w:r w:rsidR="00C2656B">
                <w:rPr>
                  <w:rFonts w:ascii="Avenir Next"/>
                  <w:b/>
                  <w:spacing w:val="-1"/>
                  <w:sz w:val="20"/>
                </w:rPr>
                <w:t>water</w:t>
              </w:r>
              <w:r w:rsidR="00C2656B">
                <w:rPr>
                  <w:rFonts w:ascii="Avenir Next"/>
                  <w:b/>
                  <w:sz w:val="20"/>
                </w:rPr>
                <w:t xml:space="preserve"> and </w:t>
              </w:r>
              <w:r w:rsidR="00C2656B">
                <w:rPr>
                  <w:rFonts w:ascii="Avenir Next"/>
                  <w:b/>
                  <w:spacing w:val="-1"/>
                  <w:sz w:val="20"/>
                </w:rPr>
                <w:t>sewerage</w:t>
              </w:r>
              <w:r w:rsidR="00C2656B">
                <w:rPr>
                  <w:rFonts w:ascii="Avenir Next"/>
                  <w:b/>
                  <w:sz w:val="20"/>
                </w:rPr>
                <w:t xml:space="preserve"> services</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26" w:history="1">
              <w:r w:rsidR="00C2656B">
                <w:rPr>
                  <w:rFonts w:ascii="Avenir Next"/>
                  <w:b/>
                  <w:sz w:val="20"/>
                </w:rPr>
                <w:t>135</w:t>
              </w:r>
            </w:hyperlink>
          </w:p>
        </w:tc>
      </w:tr>
      <w:tr w:rsidR="00D96B91">
        <w:trPr>
          <w:trHeight w:hRule="exact" w:val="345"/>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26" w:history="1">
              <w:r w:rsidR="00C2656B">
                <w:rPr>
                  <w:rFonts w:ascii="Avenir Next"/>
                  <w:sz w:val="20"/>
                </w:rPr>
                <w:t>14.</w:t>
              </w:r>
              <w:r w:rsidR="00C2656B">
                <w:rPr>
                  <w:rFonts w:ascii="Avenir Next"/>
                  <w:spacing w:val="-6"/>
                  <w:sz w:val="20"/>
                </w:rPr>
                <w:t xml:space="preserve"> </w:t>
              </w:r>
              <w:r w:rsidR="00C2656B">
                <w:rPr>
                  <w:rFonts w:ascii="Avenir Next"/>
                  <w:sz w:val="20"/>
                </w:rPr>
                <w:t>1</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26" w:history="1">
              <w:r w:rsidR="00C2656B">
                <w:rPr>
                  <w:rFonts w:ascii="Avenir Next" w:eastAsia="Avenir Next" w:hAnsi="Avenir Next" w:cs="Avenir Next"/>
                  <w:sz w:val="20"/>
                  <w:szCs w:val="20"/>
                </w:rPr>
                <w:t>Overview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z w:val="20"/>
                  <w:szCs w:val="20"/>
                </w:rPr>
                <w:t xml:space="preserve">the </w:t>
              </w:r>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w:t>
              </w:r>
              <w:r w:rsidR="00C2656B">
                <w:rPr>
                  <w:rFonts w:ascii="Avenir Next" w:eastAsia="Avenir Next" w:hAnsi="Avenir Next" w:cs="Avenir Next"/>
                  <w:spacing w:val="-2"/>
                  <w:sz w:val="20"/>
                  <w:szCs w:val="20"/>
                </w:rPr>
                <w:t>draft</w:t>
              </w:r>
              <w:r w:rsidR="00C2656B">
                <w:rPr>
                  <w:rFonts w:ascii="Avenir Next" w:eastAsia="Avenir Next" w:hAnsi="Avenir Next" w:cs="Avenir Next"/>
                  <w:sz w:val="20"/>
                  <w:szCs w:val="20"/>
                </w:rPr>
                <w:t xml:space="preserve"> decision</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26" w:history="1">
              <w:r w:rsidR="00C2656B">
                <w:rPr>
                  <w:rFonts w:ascii="Avenir Next"/>
                  <w:sz w:val="20"/>
                </w:rPr>
                <w:t>135</w:t>
              </w:r>
            </w:hyperlink>
          </w:p>
        </w:tc>
      </w:tr>
      <w:tr w:rsidR="00D96B91">
        <w:trPr>
          <w:trHeight w:hRule="exact" w:val="345"/>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28" w:history="1">
              <w:r w:rsidR="00C2656B">
                <w:rPr>
                  <w:rFonts w:ascii="Avenir Next"/>
                  <w:sz w:val="20"/>
                </w:rPr>
                <w:t>14.</w:t>
              </w:r>
              <w:r w:rsidR="00C2656B">
                <w:rPr>
                  <w:rFonts w:ascii="Avenir Next"/>
                  <w:spacing w:val="-6"/>
                  <w:sz w:val="20"/>
                </w:rPr>
                <w:t xml:space="preserve"> </w:t>
              </w:r>
              <w:r w:rsidR="00C2656B">
                <w:rPr>
                  <w:rFonts w:ascii="Avenir Next"/>
                  <w:sz w:val="20"/>
                </w:rPr>
                <w:t>2</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28" w:history="1">
              <w:r w:rsidR="00C2656B">
                <w:rPr>
                  <w:rFonts w:ascii="Avenir Next"/>
                  <w:spacing w:val="-2"/>
                  <w:sz w:val="20"/>
                </w:rPr>
                <w:t>Water</w:t>
              </w:r>
              <w:r w:rsidR="00C2656B">
                <w:rPr>
                  <w:rFonts w:ascii="Avenir Next"/>
                  <w:sz w:val="20"/>
                </w:rPr>
                <w:t xml:space="preserve"> price </w:t>
              </w:r>
              <w:r w:rsidR="00C2656B">
                <w:rPr>
                  <w:rFonts w:ascii="Avenir Next"/>
                  <w:spacing w:val="-1"/>
                  <w:sz w:val="20"/>
                </w:rPr>
                <w:t>path</w:t>
              </w:r>
              <w:r w:rsidR="00C2656B">
                <w:rPr>
                  <w:rFonts w:ascii="Avenir Next"/>
                  <w:sz w:val="20"/>
                </w:rPr>
                <w:t xml:space="preserve"> and </w:t>
              </w:r>
              <w:r w:rsidR="00C2656B">
                <w:rPr>
                  <w:rFonts w:ascii="Avenir Next"/>
                  <w:spacing w:val="-1"/>
                  <w:sz w:val="20"/>
                </w:rPr>
                <w:t>indicative</w:t>
              </w:r>
              <w:r w:rsidR="00C2656B">
                <w:rPr>
                  <w:rFonts w:ascii="Avenir Next"/>
                  <w:sz w:val="20"/>
                </w:rPr>
                <w:t xml:space="preserve"> maximum </w:t>
              </w:r>
              <w:r w:rsidR="00C2656B">
                <w:rPr>
                  <w:rFonts w:ascii="Avenir Next"/>
                  <w:spacing w:val="-1"/>
                  <w:sz w:val="20"/>
                </w:rPr>
                <w:t>charges</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28" w:history="1">
              <w:r w:rsidR="00C2656B">
                <w:rPr>
                  <w:rFonts w:ascii="Avenir Next"/>
                  <w:sz w:val="20"/>
                </w:rPr>
                <w:t>136</w:t>
              </w:r>
            </w:hyperlink>
          </w:p>
        </w:tc>
      </w:tr>
      <w:tr w:rsidR="00D96B91">
        <w:trPr>
          <w:trHeight w:hRule="exact" w:val="345"/>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31" w:history="1">
              <w:r w:rsidR="00C2656B">
                <w:rPr>
                  <w:rFonts w:ascii="Avenir Next"/>
                  <w:sz w:val="20"/>
                </w:rPr>
                <w:t>14.</w:t>
              </w:r>
              <w:r w:rsidR="00C2656B">
                <w:rPr>
                  <w:rFonts w:ascii="Avenir Next"/>
                  <w:spacing w:val="-6"/>
                  <w:sz w:val="20"/>
                </w:rPr>
                <w:t xml:space="preserve"> </w:t>
              </w:r>
              <w:r w:rsidR="00C2656B">
                <w:rPr>
                  <w:rFonts w:ascii="Avenir Next"/>
                  <w:sz w:val="20"/>
                </w:rPr>
                <w:t>3</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31" w:history="1">
              <w:r w:rsidR="00C2656B">
                <w:rPr>
                  <w:rFonts w:ascii="Avenir Next"/>
                  <w:spacing w:val="-1"/>
                  <w:sz w:val="20"/>
                </w:rPr>
                <w:t>Sewerage</w:t>
              </w:r>
              <w:r w:rsidR="00C2656B">
                <w:rPr>
                  <w:rFonts w:ascii="Avenir Next"/>
                  <w:sz w:val="20"/>
                </w:rPr>
                <w:t xml:space="preserve"> price </w:t>
              </w:r>
              <w:r w:rsidR="00C2656B">
                <w:rPr>
                  <w:rFonts w:ascii="Avenir Next"/>
                  <w:spacing w:val="-1"/>
                  <w:sz w:val="20"/>
                </w:rPr>
                <w:t>path</w:t>
              </w:r>
              <w:r w:rsidR="00C2656B">
                <w:rPr>
                  <w:rFonts w:ascii="Avenir Next"/>
                  <w:sz w:val="20"/>
                </w:rPr>
                <w:t xml:space="preserve"> and </w:t>
              </w:r>
              <w:r w:rsidR="00C2656B">
                <w:rPr>
                  <w:rFonts w:ascii="Avenir Next"/>
                  <w:spacing w:val="-1"/>
                  <w:sz w:val="20"/>
                </w:rPr>
                <w:t>indicative</w:t>
              </w:r>
              <w:r w:rsidR="00C2656B">
                <w:rPr>
                  <w:rFonts w:ascii="Avenir Next"/>
                  <w:sz w:val="20"/>
                </w:rPr>
                <w:t xml:space="preserve"> </w:t>
              </w:r>
              <w:r w:rsidR="00C2656B">
                <w:rPr>
                  <w:rFonts w:ascii="Avenir Next"/>
                  <w:spacing w:val="-1"/>
                  <w:sz w:val="20"/>
                </w:rPr>
                <w:t>charges</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31" w:history="1">
              <w:r w:rsidR="00C2656B">
                <w:rPr>
                  <w:rFonts w:ascii="Avenir Next"/>
                  <w:sz w:val="20"/>
                </w:rPr>
                <w:t>138</w:t>
              </w:r>
            </w:hyperlink>
          </w:p>
        </w:tc>
      </w:tr>
      <w:tr w:rsidR="00D96B91">
        <w:trPr>
          <w:trHeight w:hRule="exact" w:val="345"/>
        </w:trPr>
        <w:tc>
          <w:tcPr>
            <w:tcW w:w="461" w:type="dxa"/>
            <w:tcBorders>
              <w:top w:val="nil"/>
              <w:left w:val="nil"/>
              <w:bottom w:val="nil"/>
              <w:right w:val="nil"/>
            </w:tcBorders>
          </w:tcPr>
          <w:p w:rsidR="00D96B91" w:rsidRDefault="00D96B91">
            <w:pPr>
              <w:pStyle w:val="TableParagraph"/>
              <w:spacing w:before="19"/>
              <w:ind w:left="55"/>
              <w:rPr>
                <w:rFonts w:ascii="Avenir Next" w:eastAsia="Avenir Next" w:hAnsi="Avenir Next" w:cs="Avenir Next"/>
                <w:sz w:val="20"/>
                <w:szCs w:val="20"/>
              </w:rPr>
            </w:pPr>
            <w:hyperlink w:anchor="_bookmark135" w:history="1">
              <w:r w:rsidR="00C2656B">
                <w:rPr>
                  <w:rFonts w:ascii="Avenir Next"/>
                  <w:b/>
                  <w:sz w:val="20"/>
                </w:rPr>
                <w:t>15</w:t>
              </w:r>
            </w:hyperlink>
          </w:p>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35" w:history="1">
              <w:r w:rsidR="00C2656B">
                <w:rPr>
                  <w:rFonts w:ascii="Avenir Next"/>
                  <w:b/>
                  <w:spacing w:val="-1"/>
                  <w:sz w:val="20"/>
                </w:rPr>
                <w:t>Effect</w:t>
              </w:r>
            </w:hyperlink>
          </w:p>
        </w:tc>
        <w:tc>
          <w:tcPr>
            <w:tcW w:w="6485" w:type="dxa"/>
            <w:tcBorders>
              <w:top w:val="nil"/>
              <w:left w:val="nil"/>
              <w:bottom w:val="nil"/>
              <w:right w:val="nil"/>
            </w:tcBorders>
          </w:tcPr>
          <w:p w:rsidR="00D96B91" w:rsidRDefault="00D96B91">
            <w:pPr>
              <w:pStyle w:val="TableParagraph"/>
              <w:spacing w:before="19"/>
              <w:ind w:left="24"/>
              <w:rPr>
                <w:rFonts w:ascii="Avenir Next" w:eastAsia="Avenir Next" w:hAnsi="Avenir Next" w:cs="Avenir Next"/>
                <w:sz w:val="20"/>
                <w:szCs w:val="20"/>
              </w:rPr>
            </w:pPr>
            <w:hyperlink w:anchor="_bookmark135" w:history="1">
              <w:r w:rsidR="00C2656B">
                <w:rPr>
                  <w:rFonts w:ascii="Avenir Next" w:eastAsia="Avenir Next" w:hAnsi="Avenir Next" w:cs="Avenir Next"/>
                  <w:b/>
                  <w:bCs/>
                  <w:sz w:val="20"/>
                  <w:szCs w:val="20"/>
                </w:rPr>
                <w:t>on customers,</w:t>
              </w:r>
              <w:r w:rsidR="00C2656B">
                <w:rPr>
                  <w:rFonts w:ascii="Avenir Next" w:eastAsia="Avenir Next" w:hAnsi="Avenir Next" w:cs="Avenir Next"/>
                  <w:b/>
                  <w:bCs/>
                  <w:spacing w:val="-7"/>
                  <w:sz w:val="20"/>
                  <w:szCs w:val="20"/>
                </w:rPr>
                <w:t xml:space="preserve"> </w:t>
              </w:r>
              <w:r w:rsidR="00C2656B">
                <w:rPr>
                  <w:rFonts w:ascii="Avenir Next" w:eastAsia="Avenir Next" w:hAnsi="Avenir Next" w:cs="Avenir Next"/>
                  <w:b/>
                  <w:bCs/>
                  <w:spacing w:val="-1"/>
                  <w:sz w:val="20"/>
                  <w:szCs w:val="20"/>
                </w:rPr>
                <w:t>inflation</w:t>
              </w:r>
              <w:r w:rsidR="00C2656B">
                <w:rPr>
                  <w:rFonts w:ascii="Avenir Next" w:eastAsia="Avenir Next" w:hAnsi="Avenir Next" w:cs="Avenir Next"/>
                  <w:b/>
                  <w:bCs/>
                  <w:sz w:val="20"/>
                  <w:szCs w:val="20"/>
                </w:rPr>
                <w:t xml:space="preserve"> and</w:t>
              </w:r>
              <w:r w:rsidR="00C2656B">
                <w:rPr>
                  <w:rFonts w:ascii="Avenir Next" w:eastAsia="Avenir Next" w:hAnsi="Avenir Next" w:cs="Avenir Next"/>
                  <w:b/>
                  <w:bCs/>
                  <w:spacing w:val="-4"/>
                  <w:sz w:val="20"/>
                  <w:szCs w:val="20"/>
                </w:rPr>
                <w:t xml:space="preserve"> </w:t>
              </w:r>
              <w:r w:rsidR="00C2656B">
                <w:rPr>
                  <w:rFonts w:ascii="Avenir Next" w:eastAsia="Avenir Next" w:hAnsi="Avenir Next" w:cs="Avenir Next"/>
                  <w:b/>
                  <w:bCs/>
                  <w:spacing w:val="-2"/>
                  <w:sz w:val="20"/>
                  <w:szCs w:val="20"/>
                </w:rPr>
                <w:t>ACTEW’s</w:t>
              </w:r>
              <w:r w:rsidR="00C2656B">
                <w:rPr>
                  <w:rFonts w:ascii="Avenir Next" w:eastAsia="Avenir Next" w:hAnsi="Avenir Next" w:cs="Avenir Next"/>
                  <w:b/>
                  <w:bCs/>
                  <w:sz w:val="20"/>
                  <w:szCs w:val="20"/>
                </w:rPr>
                <w:t xml:space="preserve"> financial viability</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35" w:history="1">
              <w:r w:rsidR="00C2656B">
                <w:rPr>
                  <w:rFonts w:ascii="Avenir Next"/>
                  <w:b/>
                  <w:sz w:val="20"/>
                </w:rPr>
                <w:t>141</w:t>
              </w:r>
            </w:hyperlink>
          </w:p>
        </w:tc>
      </w:tr>
      <w:tr w:rsidR="00D96B91">
        <w:trPr>
          <w:trHeight w:hRule="exact" w:val="345"/>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35" w:history="1">
              <w:r w:rsidR="00C2656B">
                <w:rPr>
                  <w:rFonts w:ascii="Avenir Next"/>
                  <w:sz w:val="20"/>
                </w:rPr>
                <w:t>15.</w:t>
              </w:r>
              <w:r w:rsidR="00C2656B">
                <w:rPr>
                  <w:rFonts w:ascii="Avenir Next"/>
                  <w:spacing w:val="-6"/>
                  <w:sz w:val="20"/>
                </w:rPr>
                <w:t xml:space="preserve"> </w:t>
              </w:r>
              <w:r w:rsidR="00C2656B">
                <w:rPr>
                  <w:rFonts w:ascii="Avenir Next"/>
                  <w:sz w:val="20"/>
                </w:rPr>
                <w:t>1</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35" w:history="1">
              <w:r w:rsidR="00C2656B">
                <w:rPr>
                  <w:rFonts w:ascii="Avenir Next" w:eastAsia="Avenir Next" w:hAnsi="Avenir Next" w:cs="Avenir Next"/>
                  <w:sz w:val="20"/>
                  <w:szCs w:val="20"/>
                </w:rPr>
                <w:t>Overview of</w:t>
              </w:r>
              <w:r w:rsidR="00C2656B">
                <w:rPr>
                  <w:rFonts w:ascii="Avenir Next" w:eastAsia="Avenir Next" w:hAnsi="Avenir Next" w:cs="Avenir Next"/>
                  <w:spacing w:val="4"/>
                  <w:sz w:val="20"/>
                  <w:szCs w:val="20"/>
                </w:rPr>
                <w:t xml:space="preserve"> </w:t>
              </w:r>
              <w:r w:rsidR="00C2656B">
                <w:rPr>
                  <w:rFonts w:ascii="Avenir Next" w:eastAsia="Avenir Next" w:hAnsi="Avenir Next" w:cs="Avenir Next"/>
                  <w:sz w:val="20"/>
                  <w:szCs w:val="20"/>
                </w:rPr>
                <w:t xml:space="preserve">the </w:t>
              </w:r>
              <w:r w:rsidR="00C2656B">
                <w:rPr>
                  <w:rFonts w:ascii="Avenir Next" w:eastAsia="Avenir Next" w:hAnsi="Avenir Next" w:cs="Avenir Next"/>
                  <w:spacing w:val="-4"/>
                  <w:sz w:val="20"/>
                  <w:szCs w:val="20"/>
                </w:rPr>
                <w:t>Panel’s</w:t>
              </w:r>
              <w:r w:rsidR="00C2656B">
                <w:rPr>
                  <w:rFonts w:ascii="Avenir Next" w:eastAsia="Avenir Next" w:hAnsi="Avenir Next" w:cs="Avenir Next"/>
                  <w:sz w:val="20"/>
                  <w:szCs w:val="20"/>
                </w:rPr>
                <w:t xml:space="preserve"> assessment</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35" w:history="1">
              <w:r w:rsidR="00C2656B">
                <w:rPr>
                  <w:rFonts w:ascii="Avenir Next"/>
                  <w:sz w:val="20"/>
                </w:rPr>
                <w:t>141</w:t>
              </w:r>
            </w:hyperlink>
          </w:p>
        </w:tc>
      </w:tr>
      <w:tr w:rsidR="00D96B91">
        <w:trPr>
          <w:trHeight w:hRule="exact" w:val="345"/>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35" w:history="1">
              <w:r w:rsidR="00C2656B">
                <w:rPr>
                  <w:rFonts w:ascii="Avenir Next"/>
                  <w:sz w:val="20"/>
                </w:rPr>
                <w:t>15.</w:t>
              </w:r>
              <w:r w:rsidR="00C2656B">
                <w:rPr>
                  <w:rFonts w:ascii="Avenir Next"/>
                  <w:spacing w:val="-6"/>
                  <w:sz w:val="20"/>
                </w:rPr>
                <w:t xml:space="preserve"> </w:t>
              </w:r>
              <w:r w:rsidR="00C2656B">
                <w:rPr>
                  <w:rFonts w:ascii="Avenir Next"/>
                  <w:sz w:val="20"/>
                </w:rPr>
                <w:t>2</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35" w:history="1">
              <w:r w:rsidR="00C2656B">
                <w:rPr>
                  <w:rFonts w:ascii="Avenir Next"/>
                  <w:spacing w:val="-1"/>
                  <w:sz w:val="20"/>
                </w:rPr>
                <w:t>Effect</w:t>
              </w:r>
              <w:r w:rsidR="00C2656B">
                <w:rPr>
                  <w:rFonts w:ascii="Avenir Next"/>
                  <w:sz w:val="20"/>
                </w:rPr>
                <w:t xml:space="preserve"> on </w:t>
              </w:r>
              <w:r w:rsidR="00C2656B">
                <w:rPr>
                  <w:rFonts w:ascii="Avenir Next"/>
                  <w:spacing w:val="-1"/>
                  <w:sz w:val="20"/>
                </w:rPr>
                <w:t>residential</w:t>
              </w:r>
              <w:r w:rsidR="00C2656B">
                <w:rPr>
                  <w:rFonts w:ascii="Avenir Next"/>
                  <w:sz w:val="20"/>
                </w:rPr>
                <w:t xml:space="preserve"> customers</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35" w:history="1">
              <w:r w:rsidR="00C2656B">
                <w:rPr>
                  <w:rFonts w:ascii="Avenir Next"/>
                  <w:sz w:val="20"/>
                </w:rPr>
                <w:t>141</w:t>
              </w:r>
            </w:hyperlink>
          </w:p>
        </w:tc>
      </w:tr>
      <w:tr w:rsidR="00D96B91">
        <w:trPr>
          <w:trHeight w:hRule="exact" w:val="373"/>
        </w:trPr>
        <w:tc>
          <w:tcPr>
            <w:tcW w:w="461" w:type="dxa"/>
            <w:tcBorders>
              <w:top w:val="nil"/>
              <w:left w:val="nil"/>
              <w:bottom w:val="nil"/>
              <w:right w:val="nil"/>
            </w:tcBorders>
          </w:tcPr>
          <w:p w:rsidR="00D96B91" w:rsidRDefault="00D96B91"/>
        </w:tc>
        <w:tc>
          <w:tcPr>
            <w:tcW w:w="715" w:type="dxa"/>
            <w:tcBorders>
              <w:top w:val="nil"/>
              <w:left w:val="nil"/>
              <w:bottom w:val="nil"/>
              <w:right w:val="nil"/>
            </w:tcBorders>
          </w:tcPr>
          <w:p w:rsidR="00D96B91" w:rsidRDefault="00D96B91">
            <w:pPr>
              <w:pStyle w:val="TableParagraph"/>
              <w:spacing w:before="19"/>
              <w:ind w:left="161"/>
              <w:rPr>
                <w:rFonts w:ascii="Avenir Next" w:eastAsia="Avenir Next" w:hAnsi="Avenir Next" w:cs="Avenir Next"/>
                <w:sz w:val="20"/>
                <w:szCs w:val="20"/>
              </w:rPr>
            </w:pPr>
            <w:hyperlink w:anchor="_bookmark138" w:history="1">
              <w:r w:rsidR="00C2656B">
                <w:rPr>
                  <w:rFonts w:ascii="Avenir Next"/>
                  <w:sz w:val="20"/>
                </w:rPr>
                <w:t>15.</w:t>
              </w:r>
              <w:r w:rsidR="00C2656B">
                <w:rPr>
                  <w:rFonts w:ascii="Avenir Next"/>
                  <w:spacing w:val="-6"/>
                  <w:sz w:val="20"/>
                </w:rPr>
                <w:t xml:space="preserve"> </w:t>
              </w:r>
              <w:r w:rsidR="00C2656B">
                <w:rPr>
                  <w:rFonts w:ascii="Avenir Next"/>
                  <w:sz w:val="20"/>
                </w:rPr>
                <w:t>3</w:t>
              </w:r>
            </w:hyperlink>
          </w:p>
        </w:tc>
        <w:tc>
          <w:tcPr>
            <w:tcW w:w="6485" w:type="dxa"/>
            <w:tcBorders>
              <w:top w:val="nil"/>
              <w:left w:val="nil"/>
              <w:bottom w:val="nil"/>
              <w:right w:val="nil"/>
            </w:tcBorders>
          </w:tcPr>
          <w:p w:rsidR="00D96B91" w:rsidRDefault="00D96B91">
            <w:pPr>
              <w:pStyle w:val="TableParagraph"/>
              <w:spacing w:before="19"/>
              <w:ind w:left="13"/>
              <w:rPr>
                <w:rFonts w:ascii="Avenir Next" w:eastAsia="Avenir Next" w:hAnsi="Avenir Next" w:cs="Avenir Next"/>
                <w:sz w:val="20"/>
                <w:szCs w:val="20"/>
              </w:rPr>
            </w:pPr>
            <w:hyperlink w:anchor="_bookmark138" w:history="1">
              <w:r w:rsidR="00C2656B">
                <w:rPr>
                  <w:rFonts w:ascii="Avenir Next"/>
                  <w:spacing w:val="-1"/>
                  <w:sz w:val="20"/>
                </w:rPr>
                <w:t>Effect</w:t>
              </w:r>
              <w:r w:rsidR="00C2656B">
                <w:rPr>
                  <w:rFonts w:ascii="Avenir Next"/>
                  <w:sz w:val="20"/>
                </w:rPr>
                <w:t xml:space="preserve"> on </w:t>
              </w:r>
              <w:r w:rsidR="00C2656B">
                <w:rPr>
                  <w:rFonts w:ascii="Avenir Next"/>
                  <w:spacing w:val="-1"/>
                  <w:sz w:val="20"/>
                </w:rPr>
                <w:t>non-residential</w:t>
              </w:r>
              <w:r w:rsidR="00C2656B">
                <w:rPr>
                  <w:rFonts w:ascii="Avenir Next"/>
                  <w:sz w:val="20"/>
                </w:rPr>
                <w:t xml:space="preserve"> customers</w:t>
              </w:r>
            </w:hyperlink>
          </w:p>
        </w:tc>
        <w:tc>
          <w:tcPr>
            <w:tcW w:w="1729" w:type="dxa"/>
            <w:tcBorders>
              <w:top w:val="nil"/>
              <w:left w:val="nil"/>
              <w:bottom w:val="nil"/>
              <w:right w:val="nil"/>
            </w:tcBorders>
          </w:tcPr>
          <w:p w:rsidR="00D96B91" w:rsidRDefault="00D96B91">
            <w:pPr>
              <w:pStyle w:val="TableParagraph"/>
              <w:spacing w:before="19"/>
              <w:ind w:right="53"/>
              <w:jc w:val="right"/>
              <w:rPr>
                <w:rFonts w:ascii="Avenir Next" w:eastAsia="Avenir Next" w:hAnsi="Avenir Next" w:cs="Avenir Next"/>
                <w:sz w:val="20"/>
                <w:szCs w:val="20"/>
              </w:rPr>
            </w:pPr>
            <w:hyperlink w:anchor="_bookmark138" w:history="1">
              <w:r w:rsidR="00C2656B">
                <w:rPr>
                  <w:rFonts w:ascii="Avenir Next"/>
                  <w:sz w:val="20"/>
                </w:rPr>
                <w:t>145</w:t>
              </w:r>
            </w:hyperlink>
          </w:p>
        </w:tc>
      </w:tr>
    </w:tbl>
    <w:p w:rsidR="00D96B91" w:rsidRDefault="00D96B91">
      <w:pPr>
        <w:jc w:val="right"/>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D96B91">
      <w:pPr>
        <w:pStyle w:val="BodyText"/>
        <w:tabs>
          <w:tab w:val="right" w:pos="10527"/>
        </w:tabs>
        <w:spacing w:before="28"/>
        <w:ind w:left="1814"/>
      </w:pPr>
      <w:hyperlink w:anchor="_bookmark140" w:history="1">
        <w:r w:rsidR="00C2656B">
          <w:t>15.</w:t>
        </w:r>
        <w:r w:rsidR="00C2656B">
          <w:rPr>
            <w:spacing w:val="-7"/>
          </w:rPr>
          <w:t xml:space="preserve"> </w:t>
        </w:r>
        <w:r w:rsidR="00C2656B">
          <w:t xml:space="preserve">4 </w:t>
        </w:r>
        <w:r w:rsidR="00C2656B">
          <w:rPr>
            <w:spacing w:val="23"/>
          </w:rPr>
          <w:t xml:space="preserve"> </w:t>
        </w:r>
        <w:r w:rsidR="00C2656B">
          <w:rPr>
            <w:spacing w:val="-1"/>
          </w:rPr>
          <w:t>Effect</w:t>
        </w:r>
        <w:r w:rsidR="00C2656B">
          <w:t xml:space="preserve"> on </w:t>
        </w:r>
        <w:r w:rsidR="00C2656B">
          <w:rPr>
            <w:spacing w:val="-1"/>
          </w:rPr>
          <w:t>inflation</w:t>
        </w:r>
        <w:r w:rsidR="00C2656B">
          <w:rPr>
            <w:spacing w:val="-1"/>
          </w:rPr>
          <w:tab/>
        </w:r>
        <w:r w:rsidR="00C2656B">
          <w:t>146</w:t>
        </w:r>
      </w:hyperlink>
    </w:p>
    <w:p w:rsidR="00D96B91" w:rsidRDefault="00D96B91">
      <w:pPr>
        <w:pStyle w:val="BodyText"/>
        <w:tabs>
          <w:tab w:val="right" w:pos="10527"/>
        </w:tabs>
        <w:spacing w:before="72"/>
        <w:ind w:left="1814"/>
      </w:pPr>
      <w:hyperlink w:anchor="_bookmark142" w:history="1">
        <w:r w:rsidR="00C2656B">
          <w:t>15.</w:t>
        </w:r>
        <w:r w:rsidR="00C2656B">
          <w:rPr>
            <w:spacing w:val="-7"/>
          </w:rPr>
          <w:t xml:space="preserve"> </w:t>
        </w:r>
        <w:r w:rsidR="00C2656B">
          <w:t xml:space="preserve">5 </w:t>
        </w:r>
        <w:r w:rsidR="00C2656B">
          <w:rPr>
            <w:spacing w:val="23"/>
          </w:rPr>
          <w:t xml:space="preserve"> </w:t>
        </w:r>
        <w:r w:rsidR="00C2656B">
          <w:rPr>
            <w:spacing w:val="-1"/>
          </w:rPr>
          <w:t>Effect</w:t>
        </w:r>
        <w:r w:rsidR="00C2656B">
          <w:t xml:space="preserve"> on</w:t>
        </w:r>
        <w:r w:rsidR="00C2656B">
          <w:rPr>
            <w:spacing w:val="-4"/>
          </w:rPr>
          <w:t xml:space="preserve"> </w:t>
        </w:r>
        <w:r w:rsidR="00C2656B">
          <w:rPr>
            <w:spacing w:val="-2"/>
          </w:rPr>
          <w:t>ACTEW’s</w:t>
        </w:r>
        <w:r w:rsidR="00C2656B">
          <w:t xml:space="preserve"> financial viability</w:t>
        </w:r>
        <w:r w:rsidR="00C2656B">
          <w:tab/>
          <w:t>147</w:t>
        </w:r>
      </w:hyperlink>
    </w:p>
    <w:p w:rsidR="00D96B91" w:rsidRDefault="00D96B91">
      <w:pPr>
        <w:pStyle w:val="Heading8"/>
        <w:tabs>
          <w:tab w:val="right" w:pos="10527"/>
        </w:tabs>
        <w:spacing w:before="72"/>
        <w:rPr>
          <w:b w:val="0"/>
          <w:bCs w:val="0"/>
        </w:rPr>
      </w:pPr>
      <w:hyperlink w:anchor="_bookmark145" w:history="1">
        <w:r w:rsidR="00C2656B">
          <w:t xml:space="preserve">Appendix 1 </w:t>
        </w:r>
        <w:r w:rsidR="00C2656B">
          <w:rPr>
            <w:spacing w:val="-1"/>
          </w:rPr>
          <w:t>Compliance</w:t>
        </w:r>
        <w:r w:rsidR="00C2656B">
          <w:t xml:space="preserve"> with section 20(2) and the terms of</w:t>
        </w:r>
        <w:r w:rsidR="00C2656B">
          <w:rPr>
            <w:spacing w:val="4"/>
          </w:rPr>
          <w:t xml:space="preserve"> </w:t>
        </w:r>
        <w:r w:rsidR="00C2656B">
          <w:rPr>
            <w:spacing w:val="-1"/>
          </w:rPr>
          <w:t>reference</w:t>
        </w:r>
        <w:r w:rsidR="00C2656B">
          <w:rPr>
            <w:spacing w:val="-1"/>
          </w:rPr>
          <w:tab/>
        </w:r>
        <w:r w:rsidR="00C2656B">
          <w:t>149</w:t>
        </w:r>
      </w:hyperlink>
    </w:p>
    <w:p w:rsidR="00D96B91" w:rsidRDefault="00D96B91">
      <w:pPr>
        <w:pStyle w:val="Heading8"/>
        <w:tabs>
          <w:tab w:val="right" w:pos="10527"/>
        </w:tabs>
        <w:spacing w:before="72"/>
        <w:rPr>
          <w:b w:val="0"/>
          <w:bCs w:val="0"/>
        </w:rPr>
      </w:pPr>
      <w:hyperlink w:anchor="_bookmark146" w:history="1">
        <w:r w:rsidR="00C2656B">
          <w:t xml:space="preserve">Appendix 2 </w:t>
        </w:r>
        <w:r w:rsidR="00C2656B">
          <w:rPr>
            <w:spacing w:val="-4"/>
          </w:rPr>
          <w:t>Panel’s</w:t>
        </w:r>
        <w:r w:rsidR="00C2656B">
          <w:t xml:space="preserve"> </w:t>
        </w:r>
        <w:r w:rsidR="00C2656B">
          <w:rPr>
            <w:spacing w:val="-1"/>
          </w:rPr>
          <w:t>charter</w:t>
        </w:r>
        <w:r w:rsidR="00C2656B">
          <w:rPr>
            <w:spacing w:val="-1"/>
          </w:rPr>
          <w:tab/>
        </w:r>
        <w:r w:rsidR="00C2656B">
          <w:t>152</w:t>
        </w:r>
      </w:hyperlink>
    </w:p>
    <w:p w:rsidR="00D96B91" w:rsidRDefault="00D96B91">
      <w:pPr>
        <w:pStyle w:val="Heading8"/>
        <w:tabs>
          <w:tab w:val="right" w:pos="10527"/>
        </w:tabs>
        <w:spacing w:before="72"/>
        <w:rPr>
          <w:b w:val="0"/>
          <w:bCs w:val="0"/>
        </w:rPr>
      </w:pPr>
      <w:hyperlink w:anchor="_bookmark147" w:history="1">
        <w:r w:rsidR="00C2656B">
          <w:t>Appendix 3 List of</w:t>
        </w:r>
        <w:r w:rsidR="00C2656B">
          <w:rPr>
            <w:spacing w:val="4"/>
          </w:rPr>
          <w:t xml:space="preserve"> </w:t>
        </w:r>
        <w:r w:rsidR="00C2656B">
          <w:t>submissions</w:t>
        </w:r>
        <w:r w:rsidR="00C2656B">
          <w:tab/>
          <w:t>153</w:t>
        </w:r>
      </w:hyperlink>
    </w:p>
    <w:p w:rsidR="00D96B91" w:rsidRDefault="00D96B91">
      <w:pPr>
        <w:pStyle w:val="Heading8"/>
        <w:tabs>
          <w:tab w:val="right" w:pos="10527"/>
        </w:tabs>
        <w:spacing w:before="72"/>
        <w:rPr>
          <w:b w:val="0"/>
          <w:bCs w:val="0"/>
        </w:rPr>
      </w:pPr>
      <w:hyperlink w:anchor="_bookmark148" w:history="1">
        <w:r w:rsidR="00C2656B">
          <w:t>Appendix 4 Incentive schemes</w:t>
        </w:r>
        <w:r w:rsidR="00C2656B">
          <w:tab/>
          <w:t>154</w:t>
        </w:r>
      </w:hyperlink>
    </w:p>
    <w:p w:rsidR="00D96B91" w:rsidRDefault="00D96B91">
      <w:pPr>
        <w:pStyle w:val="Heading8"/>
        <w:tabs>
          <w:tab w:val="right" w:pos="10527"/>
        </w:tabs>
        <w:spacing w:before="72"/>
        <w:rPr>
          <w:b w:val="0"/>
          <w:bCs w:val="0"/>
        </w:rPr>
      </w:pPr>
      <w:hyperlink w:anchor="_bookmark149" w:history="1">
        <w:r w:rsidR="00C2656B">
          <w:t xml:space="preserve">Appendix 5 Risk </w:t>
        </w:r>
        <w:r w:rsidR="00C2656B">
          <w:rPr>
            <w:spacing w:val="-1"/>
          </w:rPr>
          <w:t>allocation</w:t>
        </w:r>
        <w:r w:rsidR="00C2656B">
          <w:t xml:space="preserve"> tools used in </w:t>
        </w:r>
        <w:r w:rsidR="00C2656B">
          <w:rPr>
            <w:spacing w:val="-1"/>
          </w:rPr>
          <w:t>recent</w:t>
        </w:r>
        <w:r w:rsidR="00C2656B">
          <w:t xml:space="preserve"> </w:t>
        </w:r>
        <w:r w:rsidR="00C2656B">
          <w:rPr>
            <w:spacing w:val="-1"/>
          </w:rPr>
          <w:t>regulatory</w:t>
        </w:r>
        <w:r w:rsidR="00C2656B">
          <w:t xml:space="preserve"> decisions</w:t>
        </w:r>
        <w:r w:rsidR="00C2656B">
          <w:tab/>
          <w:t>156</w:t>
        </w:r>
      </w:hyperlink>
    </w:p>
    <w:p w:rsidR="00D96B91" w:rsidRDefault="00D96B91">
      <w:pPr>
        <w:pStyle w:val="Heading8"/>
        <w:tabs>
          <w:tab w:val="right" w:pos="10527"/>
        </w:tabs>
        <w:spacing w:before="72"/>
        <w:rPr>
          <w:b w:val="0"/>
          <w:bCs w:val="0"/>
        </w:rPr>
      </w:pPr>
      <w:hyperlink w:anchor="_bookmark150" w:history="1">
        <w:r w:rsidR="00C2656B">
          <w:t xml:space="preserve">Appendix 6 Building </w:t>
        </w:r>
        <w:r w:rsidR="00C2656B">
          <w:rPr>
            <w:spacing w:val="-1"/>
          </w:rPr>
          <w:t>blocks</w:t>
        </w:r>
        <w:r w:rsidR="00C2656B">
          <w:rPr>
            <w:spacing w:val="-1"/>
          </w:rPr>
          <w:tab/>
        </w:r>
        <w:r w:rsidR="00C2656B">
          <w:t>158</w:t>
        </w:r>
      </w:hyperlink>
    </w:p>
    <w:p w:rsidR="00D96B91" w:rsidRDefault="00D96B91">
      <w:pPr>
        <w:pStyle w:val="Heading8"/>
        <w:tabs>
          <w:tab w:val="right" w:pos="10527"/>
        </w:tabs>
        <w:spacing w:before="72"/>
        <w:rPr>
          <w:b w:val="0"/>
          <w:bCs w:val="0"/>
        </w:rPr>
      </w:pPr>
      <w:hyperlink w:anchor="_bookmark151" w:history="1">
        <w:r w:rsidR="00C2656B">
          <w:t>Appendix 7</w:t>
        </w:r>
        <w:r w:rsidR="00C2656B">
          <w:rPr>
            <w:spacing w:val="-5"/>
          </w:rPr>
          <w:t xml:space="preserve"> </w:t>
        </w:r>
        <w:r w:rsidR="00C2656B">
          <w:rPr>
            <w:spacing w:val="-2"/>
          </w:rPr>
          <w:t>Techniques</w:t>
        </w:r>
        <w:r w:rsidR="00C2656B">
          <w:t xml:space="preserve"> to </w:t>
        </w:r>
        <w:r w:rsidR="00C2656B">
          <w:rPr>
            <w:spacing w:val="-1"/>
          </w:rPr>
          <w:t>deal</w:t>
        </w:r>
        <w:r w:rsidR="00C2656B">
          <w:t xml:space="preserve"> with </w:t>
        </w:r>
        <w:r w:rsidR="00C2656B">
          <w:rPr>
            <w:spacing w:val="-1"/>
          </w:rPr>
          <w:t>intergenerational</w:t>
        </w:r>
        <w:r w:rsidR="00C2656B">
          <w:t xml:space="preserve"> equity issues</w:t>
        </w:r>
        <w:r w:rsidR="00C2656B">
          <w:tab/>
          <w:t>159</w:t>
        </w:r>
      </w:hyperlink>
    </w:p>
    <w:p w:rsidR="00D96B91" w:rsidRDefault="00D96B91">
      <w:pPr>
        <w:pStyle w:val="Heading8"/>
        <w:tabs>
          <w:tab w:val="right" w:pos="10527"/>
        </w:tabs>
        <w:spacing w:before="72"/>
        <w:rPr>
          <w:b w:val="0"/>
          <w:bCs w:val="0"/>
        </w:rPr>
      </w:pPr>
      <w:hyperlink w:anchor="_bookmark152" w:history="1">
        <w:r w:rsidR="00C2656B">
          <w:t xml:space="preserve">Appendix 8 </w:t>
        </w:r>
        <w:r w:rsidR="00C2656B">
          <w:rPr>
            <w:spacing w:val="-1"/>
          </w:rPr>
          <w:t>Estimation</w:t>
        </w:r>
        <w:r w:rsidR="00C2656B">
          <w:t xml:space="preserve"> of</w:t>
        </w:r>
        <w:r w:rsidR="00C2656B">
          <w:rPr>
            <w:spacing w:val="2"/>
          </w:rPr>
          <w:t xml:space="preserve"> </w:t>
        </w:r>
        <w:r w:rsidR="00C2656B">
          <w:rPr>
            <w:spacing w:val="-3"/>
          </w:rPr>
          <w:t>WACC</w:t>
        </w:r>
        <w:r w:rsidR="00C2656B">
          <w:rPr>
            <w:spacing w:val="-3"/>
          </w:rPr>
          <w:tab/>
        </w:r>
        <w:r w:rsidR="00C2656B">
          <w:t>163</w:t>
        </w:r>
      </w:hyperlink>
    </w:p>
    <w:p w:rsidR="00D96B91" w:rsidRDefault="00D96B91">
      <w:pPr>
        <w:pStyle w:val="Heading8"/>
        <w:tabs>
          <w:tab w:val="right" w:pos="10527"/>
        </w:tabs>
        <w:spacing w:before="72"/>
        <w:rPr>
          <w:b w:val="0"/>
          <w:bCs w:val="0"/>
        </w:rPr>
      </w:pPr>
      <w:hyperlink w:anchor="_bookmark153" w:history="1">
        <w:r w:rsidR="00C2656B">
          <w:t>Appendix 9 Equity beta empirical analysis</w:t>
        </w:r>
        <w:r w:rsidR="00C2656B">
          <w:tab/>
          <w:t>182</w:t>
        </w:r>
      </w:hyperlink>
    </w:p>
    <w:p w:rsidR="00D96B91" w:rsidRDefault="00D96B91">
      <w:pPr>
        <w:pStyle w:val="Heading8"/>
        <w:tabs>
          <w:tab w:val="right" w:pos="10527"/>
        </w:tabs>
        <w:spacing w:before="72"/>
        <w:rPr>
          <w:b w:val="0"/>
          <w:bCs w:val="0"/>
        </w:rPr>
      </w:pPr>
      <w:hyperlink w:anchor="_bookmark154" w:history="1">
        <w:r w:rsidR="00C2656B">
          <w:t>Appendix 10 Suggested actions for the ICRC</w:t>
        </w:r>
        <w:r w:rsidR="00C2656B">
          <w:tab/>
          <w:t>185</w:t>
        </w:r>
      </w:hyperlink>
    </w:p>
    <w:p w:rsidR="00D96B91" w:rsidRDefault="00D96B91">
      <w:pPr>
        <w:pStyle w:val="Heading8"/>
        <w:tabs>
          <w:tab w:val="right" w:pos="10527"/>
        </w:tabs>
        <w:spacing w:before="72"/>
        <w:rPr>
          <w:b w:val="0"/>
          <w:bCs w:val="0"/>
        </w:rPr>
      </w:pPr>
      <w:hyperlink w:anchor="_bookmark155" w:history="1">
        <w:r w:rsidR="00C2656B">
          <w:t xml:space="preserve">Appendix 11 </w:t>
        </w:r>
        <w:r w:rsidR="00C2656B">
          <w:rPr>
            <w:spacing w:val="-1"/>
          </w:rPr>
          <w:t>References</w:t>
        </w:r>
        <w:r w:rsidR="00C2656B">
          <w:rPr>
            <w:spacing w:val="-1"/>
          </w:rPr>
          <w:tab/>
        </w:r>
        <w:r w:rsidR="00C2656B">
          <w:t>186</w:t>
        </w:r>
      </w:hyperlink>
    </w:p>
    <w:p w:rsidR="00D96B91" w:rsidRDefault="00D96B91">
      <w:pPr>
        <w:pStyle w:val="Heading8"/>
        <w:tabs>
          <w:tab w:val="right" w:pos="10527"/>
        </w:tabs>
        <w:spacing w:before="72"/>
        <w:rPr>
          <w:b w:val="0"/>
          <w:bCs w:val="0"/>
        </w:rPr>
      </w:pPr>
      <w:hyperlink w:anchor="_bookmark156" w:history="1">
        <w:r w:rsidR="00C2656B">
          <w:t xml:space="preserve">Appendix 12 </w:t>
        </w:r>
        <w:r w:rsidR="00C2656B">
          <w:rPr>
            <w:spacing w:val="-2"/>
          </w:rPr>
          <w:t>Draft</w:t>
        </w:r>
        <w:r w:rsidR="00C2656B">
          <w:t xml:space="preserve"> substituted price </w:t>
        </w:r>
        <w:r w:rsidR="00C2656B">
          <w:rPr>
            <w:spacing w:val="-1"/>
          </w:rPr>
          <w:t>direction</w:t>
        </w:r>
        <w:r w:rsidR="00C2656B">
          <w:rPr>
            <w:spacing w:val="-1"/>
          </w:rPr>
          <w:tab/>
        </w:r>
        <w:r w:rsidR="00C2656B">
          <w:t>189</w:t>
        </w:r>
      </w:hyperlink>
    </w:p>
    <w:p w:rsidR="00D96B91" w:rsidRDefault="00D96B91">
      <w:pPr>
        <w:sectPr w:rsidR="00D96B91">
          <w:pgSz w:w="11910" w:h="16840"/>
          <w:pgMar w:top="120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3613" style="position:absolute;margin-left:0;margin-top:789.45pt;width:595.3pt;height:52.45pt;z-index:251520512;mso-position-horizontal-relative:page;mso-position-vertical-relative:page" coordorigin=",15789" coordsize="11906,1049">
            <v:group id="_x0000_s3614" style="position:absolute;top:15789;width:11906;height:1049" coordorigin=",15789" coordsize="11906,1049">
              <v:shape id="_x0000_s3617" style="position:absolute;top:15789;width:11906;height:1049" coordorigin=",15789" coordsize="11906,1049" path="m,16838r11906,l11906,15789,,15789r,1049xe" fillcolor="#0778be" stroked="f">
                <v:path arrowok="t"/>
              </v:shape>
              <v:shape id="_x0000_s3616" type="#_x0000_t75" style="position:absolute;top:15789;width:11906;height:1049">
                <v:imagedata r:id="rId20" o:title=""/>
              </v:shape>
              <v:shape id="_x0000_s3615" type="#_x0000_t202" style="position:absolute;top:15789;width:11906;height:1049" filled="f" stroked="f">
                <v:textbox style="mso-next-textbox:#_x0000_s3615" inset="0,0,0,0">
                  <w:txbxContent>
                    <w:p w:rsidR="008A79D5" w:rsidRDefault="008A79D5">
                      <w:pPr>
                        <w:tabs>
                          <w:tab w:val="left" w:pos="1240"/>
                        </w:tabs>
                        <w:spacing w:before="212"/>
                        <w:ind w:left="692"/>
                        <w:rPr>
                          <w:rFonts w:ascii="Avenir Next" w:eastAsia="Avenir Next" w:hAnsi="Avenir Next" w:cs="Avenir Next"/>
                          <w:sz w:val="20"/>
                          <w:szCs w:val="20"/>
                        </w:rPr>
                      </w:pPr>
                      <w:r>
                        <w:rPr>
                          <w:rFonts w:ascii="Avenir Next" w:eastAsia="Avenir Next" w:hAnsi="Avenir Next" w:cs="Avenir Next"/>
                          <w:color w:val="EEF8FE"/>
                          <w:sz w:val="20"/>
                          <w:szCs w:val="20"/>
                        </w:rPr>
                        <w:t>xii</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24"/>
          <w:pgSz w:w="11910" w:h="16840"/>
          <w:pgMar w:top="1580" w:right="0" w:bottom="0" w:left="0" w:header="0" w:footer="0"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0" w:name="1_Introduction_and_Excecutive_Summary"/>
      <w:bookmarkStart w:id="1" w:name="1._1_The_Panel’s_draft_decision_is_to_su"/>
      <w:bookmarkStart w:id="2" w:name="1._2_The_Panel’s_draft_direction_covers_"/>
      <w:bookmarkStart w:id="3" w:name="_bookmark0"/>
      <w:bookmarkEnd w:id="0"/>
      <w:bookmarkEnd w:id="1"/>
      <w:bookmarkEnd w:id="2"/>
      <w:bookmarkEnd w:id="3"/>
      <w:r>
        <w:rPr>
          <w:rFonts w:ascii="Avenir Next Medium"/>
          <w:color w:val="0778BE"/>
          <w:w w:val="95"/>
          <w:sz w:val="40"/>
        </w:rPr>
        <w:t>1</w:t>
      </w:r>
      <w:r>
        <w:rPr>
          <w:rFonts w:ascii="Avenir Next Medium"/>
          <w:color w:val="0778BE"/>
          <w:w w:val="95"/>
          <w:sz w:val="40"/>
        </w:rPr>
        <w:tab/>
      </w:r>
      <w:r>
        <w:rPr>
          <w:rFonts w:ascii="Avenir Next Medium"/>
          <w:color w:val="0778BE"/>
          <w:spacing w:val="-1"/>
          <w:sz w:val="40"/>
        </w:rPr>
        <w:t>Introduction</w:t>
      </w:r>
      <w:r>
        <w:rPr>
          <w:rFonts w:ascii="Avenir Next Medium"/>
          <w:color w:val="0778BE"/>
          <w:sz w:val="40"/>
        </w:rPr>
        <w:t xml:space="preserve"> and </w:t>
      </w:r>
      <w:r>
        <w:rPr>
          <w:rFonts w:ascii="Avenir Next Medium"/>
          <w:color w:val="0778BE"/>
          <w:spacing w:val="-1"/>
          <w:sz w:val="40"/>
        </w:rPr>
        <w:t>executive</w:t>
      </w:r>
      <w:r>
        <w:rPr>
          <w:rFonts w:ascii="Avenir Next Medium"/>
          <w:color w:val="0778BE"/>
          <w:sz w:val="40"/>
        </w:rPr>
        <w:t xml:space="preserve"> summary</w:t>
      </w:r>
    </w:p>
    <w:p w:rsidR="00D96B91" w:rsidRDefault="00C2656B">
      <w:pPr>
        <w:pStyle w:val="BodyText"/>
        <w:spacing w:before="359" w:line="260" w:lineRule="exact"/>
        <w:ind w:right="1256"/>
      </w:pPr>
      <w:r>
        <w:rPr>
          <w:spacing w:val="-2"/>
        </w:rPr>
        <w:t>The</w:t>
      </w:r>
      <w:r>
        <w:t xml:space="preserve"> Industry </w:t>
      </w:r>
      <w:r>
        <w:rPr>
          <w:spacing w:val="-3"/>
        </w:rPr>
        <w:t>Panel</w:t>
      </w:r>
      <w:r>
        <w:t xml:space="preserve"> was appointed in</w:t>
      </w:r>
      <w:r>
        <w:rPr>
          <w:spacing w:val="-4"/>
        </w:rPr>
        <w:t xml:space="preserve"> </w:t>
      </w:r>
      <w:r>
        <w:t>April 2014 by the</w:t>
      </w:r>
      <w:r>
        <w:rPr>
          <w:spacing w:val="-4"/>
        </w:rPr>
        <w:t xml:space="preserve"> </w:t>
      </w:r>
      <w:r>
        <w:rPr>
          <w:spacing w:val="-2"/>
        </w:rPr>
        <w:t>ACT</w:t>
      </w:r>
      <w:r>
        <w:rPr>
          <w:spacing w:val="-10"/>
        </w:rPr>
        <w:t xml:space="preserve"> </w:t>
      </w:r>
      <w:r>
        <w:rPr>
          <w:spacing w:val="-4"/>
        </w:rPr>
        <w:t>Treasurer</w:t>
      </w:r>
      <w:r>
        <w:t xml:space="preserve"> to </w:t>
      </w:r>
      <w:r>
        <w:rPr>
          <w:spacing w:val="-1"/>
        </w:rPr>
        <w:t>review</w:t>
      </w:r>
      <w:r>
        <w:t xml:space="preserve"> the price </w:t>
      </w:r>
      <w:r>
        <w:rPr>
          <w:spacing w:val="-1"/>
        </w:rPr>
        <w:t>direction</w:t>
      </w:r>
      <w:r>
        <w:rPr>
          <w:spacing w:val="41"/>
        </w:rPr>
        <w:t xml:space="preserve"> </w:t>
      </w:r>
      <w:r>
        <w:rPr>
          <w:spacing w:val="-1"/>
        </w:rPr>
        <w:t>released</w:t>
      </w:r>
      <w:r>
        <w:t xml:space="preserve"> by the Independent </w:t>
      </w:r>
      <w:r>
        <w:rPr>
          <w:spacing w:val="-1"/>
        </w:rPr>
        <w:t>Competition</w:t>
      </w:r>
      <w:r>
        <w:t xml:space="preserve"> and </w:t>
      </w:r>
      <w:r>
        <w:rPr>
          <w:spacing w:val="-1"/>
        </w:rPr>
        <w:t>Regulatory</w:t>
      </w:r>
      <w:r>
        <w:t xml:space="preserve"> </w:t>
      </w:r>
      <w:r>
        <w:rPr>
          <w:spacing w:val="-1"/>
        </w:rPr>
        <w:t>Commission</w:t>
      </w:r>
      <w:r>
        <w:t xml:space="preserve"> (ICRC) in</w:t>
      </w:r>
      <w:r>
        <w:rPr>
          <w:spacing w:val="-3"/>
        </w:rPr>
        <w:t xml:space="preserve"> </w:t>
      </w:r>
      <w:r>
        <w:t>June 2013 for prices</w:t>
      </w:r>
      <w:r>
        <w:rPr>
          <w:spacing w:val="45"/>
        </w:rPr>
        <w:t xml:space="preserve"> </w:t>
      </w:r>
      <w:r>
        <w:t xml:space="preserve">applying to </w:t>
      </w:r>
      <w:r>
        <w:rPr>
          <w:spacing w:val="-1"/>
        </w:rPr>
        <w:t>water</w:t>
      </w:r>
      <w:r>
        <w:t xml:space="preserve"> and </w:t>
      </w:r>
      <w:r>
        <w:rPr>
          <w:spacing w:val="-1"/>
        </w:rPr>
        <w:t>sewerage</w:t>
      </w:r>
      <w:r>
        <w:t xml:space="preserve"> services in the</w:t>
      </w:r>
      <w:r>
        <w:rPr>
          <w:spacing w:val="-4"/>
        </w:rPr>
        <w:t xml:space="preserve"> </w:t>
      </w:r>
      <w:r>
        <w:rPr>
          <w:spacing w:val="-2"/>
        </w:rPr>
        <w:t>ACT</w:t>
      </w:r>
      <w:r>
        <w:rPr>
          <w:spacing w:val="-5"/>
        </w:rPr>
        <w:t xml:space="preserve"> </w:t>
      </w:r>
      <w:r>
        <w:t xml:space="preserve">(see </w:t>
      </w:r>
      <w:r>
        <w:rPr>
          <w:spacing w:val="-1"/>
        </w:rPr>
        <w:t>Box</w:t>
      </w:r>
      <w:r>
        <w:t xml:space="preserve"> 1.1).</w:t>
      </w:r>
    </w:p>
    <w:p w:rsidR="00D96B91" w:rsidRDefault="00C2656B">
      <w:pPr>
        <w:spacing w:before="170" w:line="260" w:lineRule="exact"/>
        <w:ind w:left="1247" w:right="1931"/>
        <w:jc w:val="both"/>
        <w:rPr>
          <w:rFonts w:ascii="Avenir Next" w:eastAsia="Avenir Next" w:hAnsi="Avenir Next" w:cs="Avenir Next"/>
          <w:sz w:val="20"/>
          <w:szCs w:val="20"/>
        </w:rPr>
      </w:pPr>
      <w:r>
        <w:rPr>
          <w:rFonts w:ascii="Avenir Next" w:eastAsia="Avenir Next" w:hAnsi="Avenir Next" w:cs="Avenir Next"/>
          <w:spacing w:val="-2"/>
          <w:sz w:val="20"/>
          <w:szCs w:val="20"/>
        </w:rPr>
        <w:t>The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review</w:t>
      </w:r>
      <w:r>
        <w:rPr>
          <w:rFonts w:ascii="Avenir Next" w:eastAsia="Avenir Next" w:hAnsi="Avenir Next" w:cs="Avenir Next"/>
          <w:sz w:val="20"/>
          <w:szCs w:val="20"/>
        </w:rPr>
        <w:t xml:space="preserve"> was </w:t>
      </w:r>
      <w:r>
        <w:rPr>
          <w:rFonts w:ascii="Avenir Next" w:eastAsia="Avenir Next" w:hAnsi="Avenir Next" w:cs="Avenir Next"/>
          <w:spacing w:val="-1"/>
          <w:sz w:val="20"/>
          <w:szCs w:val="20"/>
        </w:rPr>
        <w:t>initiated</w:t>
      </w:r>
      <w:r>
        <w:rPr>
          <w:rFonts w:ascii="Avenir Next" w:eastAsia="Avenir Next" w:hAnsi="Avenir Next" w:cs="Avenir Next"/>
          <w:sz w:val="20"/>
          <w:szCs w:val="20"/>
        </w:rPr>
        <w:t xml:space="preserve"> by</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w:t>
      </w:r>
      <w:r>
        <w:rPr>
          <w:rFonts w:ascii="Avenir Next" w:eastAsia="Avenir Next" w:hAnsi="Avenir Next" w:cs="Avenir Next"/>
          <w:spacing w:val="-3"/>
          <w:sz w:val="20"/>
          <w:szCs w:val="20"/>
        </w:rPr>
        <w:t xml:space="preserve"> </w:t>
      </w:r>
      <w:r>
        <w:rPr>
          <w:rFonts w:ascii="Avenir Next" w:eastAsia="Avenir Next" w:hAnsi="Avenir Next" w:cs="Avenir Next"/>
          <w:spacing w:val="-1"/>
          <w:sz w:val="20"/>
          <w:szCs w:val="20"/>
        </w:rPr>
        <w:t>Corporation</w:t>
      </w:r>
      <w:r>
        <w:rPr>
          <w:rFonts w:ascii="Avenir Next" w:eastAsia="Avenir Next" w:hAnsi="Avenir Next" w:cs="Avenir Next"/>
          <w:sz w:val="20"/>
          <w:szCs w:val="20"/>
        </w:rPr>
        <w:t xml:space="preserve"> Limited </w:t>
      </w:r>
      <w:r>
        <w:rPr>
          <w:rFonts w:ascii="Avenir Next" w:eastAsia="Avenir Next" w:hAnsi="Avenir Next" w:cs="Avenir Next"/>
          <w:spacing w:val="-1"/>
          <w:sz w:val="20"/>
          <w:szCs w:val="20"/>
        </w:rPr>
        <w:t>(ACTEW)</w:t>
      </w:r>
      <w:r>
        <w:rPr>
          <w:rFonts w:ascii="Avenir Next" w:eastAsia="Avenir Next" w:hAnsi="Avenir Next" w:cs="Avenir Next"/>
          <w:sz w:val="20"/>
          <w:szCs w:val="20"/>
        </w:rPr>
        <w:t xml:space="preserve"> (now </w:t>
      </w:r>
      <w:r>
        <w:rPr>
          <w:rFonts w:ascii="Avenir Next" w:eastAsia="Avenir Next" w:hAnsi="Avenir Next" w:cs="Avenir Next"/>
          <w:spacing w:val="-1"/>
          <w:sz w:val="20"/>
          <w:szCs w:val="20"/>
        </w:rPr>
        <w:t>operating</w:t>
      </w:r>
      <w:r>
        <w:rPr>
          <w:rFonts w:ascii="Avenir Next" w:eastAsia="Avenir Next" w:hAnsi="Avenir Next" w:cs="Avenir Next"/>
          <w:sz w:val="20"/>
          <w:szCs w:val="20"/>
        </w:rPr>
        <w:t xml:space="preserve"> as Icon</w:t>
      </w:r>
      <w:r>
        <w:rPr>
          <w:rFonts w:ascii="Avenir Next" w:eastAsia="Avenir Next" w:hAnsi="Avenir Next" w:cs="Avenir Next"/>
          <w:spacing w:val="-3"/>
          <w:sz w:val="20"/>
          <w:szCs w:val="20"/>
        </w:rPr>
        <w:t xml:space="preserve"> </w:t>
      </w:r>
      <w:r>
        <w:rPr>
          <w:rFonts w:ascii="Avenir Next" w:eastAsia="Avenir Next" w:hAnsi="Avenir Next" w:cs="Avenir Next"/>
          <w:spacing w:val="-2"/>
          <w:sz w:val="20"/>
          <w:szCs w:val="20"/>
        </w:rPr>
        <w:t>Water</w:t>
      </w:r>
      <w:r>
        <w:rPr>
          <w:rFonts w:ascii="Avenir Next" w:eastAsia="Avenir Next" w:hAnsi="Avenir Next" w:cs="Avenir Next"/>
          <w:spacing w:val="47"/>
          <w:sz w:val="20"/>
          <w:szCs w:val="20"/>
        </w:rPr>
        <w:t xml:space="preserve"> </w:t>
      </w:r>
      <w:r>
        <w:rPr>
          <w:rFonts w:ascii="Avenir Next" w:eastAsia="Avenir Next" w:hAnsi="Avenir Next" w:cs="Avenir Next"/>
          <w:sz w:val="20"/>
          <w:szCs w:val="20"/>
        </w:rPr>
        <w:t>Ltd – see page v) in September 2013,</w:t>
      </w:r>
      <w:r>
        <w:rPr>
          <w:rFonts w:ascii="Avenir Next" w:eastAsia="Avenir Next" w:hAnsi="Avenir Next" w:cs="Avenir Next"/>
          <w:spacing w:val="-7"/>
          <w:sz w:val="20"/>
          <w:szCs w:val="20"/>
        </w:rPr>
        <w:t xml:space="preserve"> </w:t>
      </w:r>
      <w:r>
        <w:rPr>
          <w:rFonts w:ascii="Avenir Next" w:eastAsia="Avenir Next" w:hAnsi="Avenir Next" w:cs="Avenir Next"/>
          <w:sz w:val="20"/>
          <w:szCs w:val="20"/>
        </w:rPr>
        <w:t xml:space="preserve">under the </w:t>
      </w:r>
      <w:r>
        <w:rPr>
          <w:rFonts w:ascii="Avenir Next" w:eastAsia="Avenir Next" w:hAnsi="Avenir Next" w:cs="Avenir Next"/>
          <w:spacing w:val="-1"/>
          <w:sz w:val="20"/>
          <w:szCs w:val="20"/>
        </w:rPr>
        <w:t>appeal</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process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provided</w:t>
      </w:r>
      <w:r>
        <w:rPr>
          <w:rFonts w:ascii="Avenir Next" w:eastAsia="Avenir Next" w:hAnsi="Avenir Next" w:cs="Avenir Next"/>
          <w:sz w:val="20"/>
          <w:szCs w:val="20"/>
        </w:rPr>
        <w:t xml:space="preserve"> for in the </w:t>
      </w:r>
      <w:r>
        <w:rPr>
          <w:rFonts w:ascii="Avenir Next" w:eastAsia="Avenir Next" w:hAnsi="Avenir Next" w:cs="Avenir Next"/>
          <w:i/>
          <w:sz w:val="20"/>
          <w:szCs w:val="20"/>
        </w:rPr>
        <w:t>Independent</w:t>
      </w:r>
      <w:r>
        <w:rPr>
          <w:rFonts w:ascii="Avenir Next" w:eastAsia="Avenir Next" w:hAnsi="Avenir Next" w:cs="Avenir Next"/>
          <w:i/>
          <w:spacing w:val="23"/>
          <w:sz w:val="20"/>
          <w:szCs w:val="20"/>
        </w:rPr>
        <w:t xml:space="preserve"> </w:t>
      </w:r>
      <w:r>
        <w:rPr>
          <w:rFonts w:ascii="Avenir Next" w:eastAsia="Avenir Next" w:hAnsi="Avenir Next" w:cs="Avenir Next"/>
          <w:i/>
          <w:spacing w:val="-1"/>
          <w:sz w:val="20"/>
          <w:szCs w:val="20"/>
        </w:rPr>
        <w:t>Competition</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Regulatory</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Commission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Act 1997 </w:t>
      </w:r>
      <w:r>
        <w:rPr>
          <w:rFonts w:ascii="Avenir Next" w:eastAsia="Avenir Next" w:hAnsi="Avenir Next" w:cs="Avenir Next"/>
          <w:sz w:val="20"/>
          <w:szCs w:val="20"/>
        </w:rPr>
        <w:t>(the</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Act).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Under the</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Act,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must:</w:t>
      </w:r>
    </w:p>
    <w:p w:rsidR="00D96B91" w:rsidRDefault="00C2656B">
      <w:pPr>
        <w:pStyle w:val="BodyText"/>
        <w:numPr>
          <w:ilvl w:val="0"/>
          <w:numId w:val="131"/>
        </w:numPr>
        <w:tabs>
          <w:tab w:val="left" w:pos="1531"/>
        </w:tabs>
        <w:spacing w:before="170" w:line="260" w:lineRule="exact"/>
        <w:ind w:right="1533" w:hanging="283"/>
        <w:rPr>
          <w:rFonts w:cs="Avenir Next"/>
        </w:rPr>
      </w:pPr>
      <w:r>
        <w:t>either</w:t>
      </w:r>
      <w:r>
        <w:rPr>
          <w:spacing w:val="-1"/>
        </w:rPr>
        <w:t xml:space="preserve"> </w:t>
      </w:r>
      <w:r>
        <w:t>substitute a</w:t>
      </w:r>
      <w:r>
        <w:rPr>
          <w:spacing w:val="-1"/>
        </w:rPr>
        <w:t xml:space="preserve"> </w:t>
      </w:r>
      <w:r>
        <w:t>new price</w:t>
      </w:r>
      <w:r>
        <w:rPr>
          <w:spacing w:val="-1"/>
        </w:rPr>
        <w:t xml:space="preserve"> direction</w:t>
      </w:r>
      <w:r>
        <w:t xml:space="preserve"> for</w:t>
      </w:r>
      <w:r>
        <w:rPr>
          <w:spacing w:val="-1"/>
        </w:rPr>
        <w:t xml:space="preserve"> </w:t>
      </w:r>
      <w:r>
        <w:t>the original</w:t>
      </w:r>
      <w:r>
        <w:rPr>
          <w:spacing w:val="-1"/>
        </w:rPr>
        <w:t xml:space="preserve"> </w:t>
      </w:r>
      <w:r>
        <w:t xml:space="preserve">price </w:t>
      </w:r>
      <w:r>
        <w:rPr>
          <w:spacing w:val="-1"/>
        </w:rPr>
        <w:t>direction,</w:t>
      </w:r>
      <w:r>
        <w:rPr>
          <w:spacing w:val="-7"/>
        </w:rPr>
        <w:t xml:space="preserve"> </w:t>
      </w:r>
      <w:r>
        <w:t>or confirm</w:t>
      </w:r>
      <w:r>
        <w:rPr>
          <w:spacing w:val="-1"/>
        </w:rPr>
        <w:t xml:space="preserve"> </w:t>
      </w:r>
      <w:r>
        <w:t>the original price</w:t>
      </w:r>
      <w:r>
        <w:rPr>
          <w:spacing w:val="23"/>
        </w:rPr>
        <w:t xml:space="preserve"> </w:t>
      </w:r>
      <w:r>
        <w:rPr>
          <w:spacing w:val="-1"/>
        </w:rPr>
        <w:t>direction,</w:t>
      </w:r>
      <w:r>
        <w:rPr>
          <w:spacing w:val="-6"/>
        </w:rPr>
        <w:t xml:space="preserve"> </w:t>
      </w:r>
      <w:r>
        <w:t>and</w:t>
      </w:r>
    </w:p>
    <w:p w:rsidR="00D96B91" w:rsidRDefault="00C2656B">
      <w:pPr>
        <w:pStyle w:val="BodyText"/>
        <w:numPr>
          <w:ilvl w:val="0"/>
          <w:numId w:val="131"/>
        </w:numPr>
        <w:tabs>
          <w:tab w:val="left" w:pos="1531"/>
        </w:tabs>
        <w:spacing w:before="85" w:line="260" w:lineRule="exact"/>
        <w:ind w:right="1535" w:hanging="283"/>
      </w:pPr>
      <w:r>
        <w:rPr>
          <w:spacing w:val="-1"/>
        </w:rPr>
        <w:t>make</w:t>
      </w:r>
      <w:r>
        <w:t xml:space="preserve"> its decision on the merits of</w:t>
      </w:r>
      <w:r>
        <w:rPr>
          <w:spacing w:val="4"/>
        </w:rPr>
        <w:t xml:space="preserve"> </w:t>
      </w:r>
      <w:r>
        <w:t>the case,</w:t>
      </w:r>
      <w:r>
        <w:rPr>
          <w:spacing w:val="-7"/>
        </w:rPr>
        <w:t xml:space="preserve"> </w:t>
      </w:r>
      <w:r>
        <w:t xml:space="preserve">having </w:t>
      </w:r>
      <w:r>
        <w:rPr>
          <w:spacing w:val="-2"/>
        </w:rPr>
        <w:t>regard</w:t>
      </w:r>
      <w:r>
        <w:t xml:space="preserve"> to the </w:t>
      </w:r>
      <w:r>
        <w:rPr>
          <w:spacing w:val="-1"/>
        </w:rPr>
        <w:t>legislation</w:t>
      </w:r>
      <w:r>
        <w:t xml:space="preserve"> </w:t>
      </w:r>
      <w:r>
        <w:rPr>
          <w:spacing w:val="-1"/>
        </w:rPr>
        <w:t>that</w:t>
      </w:r>
      <w:r>
        <w:t xml:space="preserve"> governs the price</w:t>
      </w:r>
      <w:r>
        <w:rPr>
          <w:spacing w:val="27"/>
        </w:rPr>
        <w:t xml:space="preserve"> </w:t>
      </w:r>
      <w:r>
        <w:rPr>
          <w:spacing w:val="-1"/>
        </w:rPr>
        <w:t>direction.</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2"/>
        </w:rPr>
        <w:t>The</w:t>
      </w:r>
      <w:r>
        <w:rPr>
          <w:spacing w:val="-1"/>
        </w:rPr>
        <w:t xml:space="preserve"> </w:t>
      </w:r>
      <w:r>
        <w:rPr>
          <w:spacing w:val="-3"/>
        </w:rPr>
        <w:t>Panel</w:t>
      </w:r>
      <w:r>
        <w:t xml:space="preserve"> has completed the first</w:t>
      </w:r>
      <w:r>
        <w:rPr>
          <w:spacing w:val="-1"/>
        </w:rPr>
        <w:t xml:space="preserve"> </w:t>
      </w:r>
      <w:r>
        <w:t>phase of</w:t>
      </w:r>
      <w:r>
        <w:rPr>
          <w:spacing w:val="4"/>
        </w:rPr>
        <w:t xml:space="preserve"> </w:t>
      </w:r>
      <w:r>
        <w:t xml:space="preserve">its </w:t>
      </w:r>
      <w:r>
        <w:rPr>
          <w:spacing w:val="-1"/>
        </w:rPr>
        <w:t>review</w:t>
      </w:r>
      <w:r>
        <w:t xml:space="preserve"> and</w:t>
      </w:r>
      <w:r>
        <w:rPr>
          <w:spacing w:val="-1"/>
        </w:rPr>
        <w:t xml:space="preserve"> </w:t>
      </w:r>
      <w:r>
        <w:t xml:space="preserve">made its </w:t>
      </w:r>
      <w:r>
        <w:rPr>
          <w:spacing w:val="-2"/>
        </w:rPr>
        <w:t>draft</w:t>
      </w:r>
      <w:r>
        <w:t xml:space="preserve"> decision.</w:t>
      </w:r>
      <w:r>
        <w:rPr>
          <w:spacing w:val="-11"/>
        </w:rPr>
        <w:t xml:space="preserve"> </w:t>
      </w:r>
      <w:r>
        <w:rPr>
          <w:spacing w:val="-2"/>
        </w:rPr>
        <w:t>The</w:t>
      </w:r>
      <w:r>
        <w:t xml:space="preserve"> purpose</w:t>
      </w:r>
      <w:r>
        <w:rPr>
          <w:spacing w:val="-1"/>
        </w:rPr>
        <w:t xml:space="preserve"> </w:t>
      </w:r>
      <w:r>
        <w:t>of</w:t>
      </w:r>
      <w:r>
        <w:rPr>
          <w:spacing w:val="4"/>
        </w:rPr>
        <w:t xml:space="preserve"> </w:t>
      </w:r>
      <w:r>
        <w:t>this</w:t>
      </w:r>
      <w:r>
        <w:rPr>
          <w:spacing w:val="27"/>
        </w:rPr>
        <w:t xml:space="preserve"> </w:t>
      </w:r>
      <w:r>
        <w:rPr>
          <w:spacing w:val="-2"/>
        </w:rPr>
        <w:t>report</w:t>
      </w:r>
      <w:r>
        <w:t xml:space="preserve"> is to set out the </w:t>
      </w:r>
      <w:r>
        <w:rPr>
          <w:spacing w:val="-2"/>
        </w:rPr>
        <w:t>draft</w:t>
      </w:r>
      <w:r>
        <w:t xml:space="preserve"> decision and </w:t>
      </w:r>
      <w:r>
        <w:rPr>
          <w:spacing w:val="-1"/>
        </w:rPr>
        <w:t>explain</w:t>
      </w:r>
      <w:r>
        <w:t xml:space="preserve"> the </w:t>
      </w:r>
      <w:r>
        <w:rPr>
          <w:spacing w:val="-4"/>
        </w:rPr>
        <w:t>Panel’s</w:t>
      </w:r>
      <w:r>
        <w:t xml:space="preserve"> </w:t>
      </w:r>
      <w:r>
        <w:rPr>
          <w:spacing w:val="-1"/>
        </w:rPr>
        <w:t>reasons</w:t>
      </w:r>
      <w:r>
        <w:t xml:space="preserve"> for </w:t>
      </w:r>
      <w:r>
        <w:rPr>
          <w:spacing w:val="-1"/>
        </w:rPr>
        <w:t>reaching</w:t>
      </w:r>
      <w:r>
        <w:t xml:space="preserve"> this decision.</w:t>
      </w:r>
      <w:r>
        <w:rPr>
          <w:spacing w:val="-11"/>
        </w:rPr>
        <w:t xml:space="preserve"> </w:t>
      </w:r>
      <w:r>
        <w:rPr>
          <w:spacing w:val="-2"/>
        </w:rPr>
        <w:t>The</w:t>
      </w:r>
      <w:r>
        <w:rPr>
          <w:spacing w:val="51"/>
        </w:rPr>
        <w:t xml:space="preserve"> </w:t>
      </w:r>
      <w:r>
        <w:rPr>
          <w:rFonts w:cs="Avenir Next"/>
          <w:spacing w:val="-3"/>
        </w:rPr>
        <w:t>Panel</w:t>
      </w:r>
      <w:r>
        <w:rPr>
          <w:rFonts w:cs="Avenir Next"/>
        </w:rPr>
        <w:t xml:space="preserve"> is now seeking feedback </w:t>
      </w:r>
      <w:r>
        <w:rPr>
          <w:rFonts w:cs="Avenir Next"/>
          <w:spacing w:val="-1"/>
        </w:rPr>
        <w:t>from</w:t>
      </w:r>
      <w:r>
        <w:rPr>
          <w:rFonts w:cs="Avenir Next"/>
        </w:rPr>
        <w:t xml:space="preserve"> the</w:t>
      </w:r>
      <w:r>
        <w:rPr>
          <w:rFonts w:cs="Avenir Next"/>
          <w:spacing w:val="-4"/>
        </w:rPr>
        <w:t xml:space="preserve"> </w:t>
      </w:r>
      <w:r>
        <w:rPr>
          <w:rFonts w:cs="Avenir Next"/>
          <w:spacing w:val="-2"/>
        </w:rPr>
        <w:t>ACT</w:t>
      </w:r>
      <w:r>
        <w:rPr>
          <w:rFonts w:cs="Avenir Next"/>
          <w:spacing w:val="-5"/>
        </w:rPr>
        <w:t xml:space="preserve"> </w:t>
      </w:r>
      <w:r>
        <w:rPr>
          <w:rFonts w:cs="Avenir Next"/>
          <w:spacing w:val="-1"/>
        </w:rPr>
        <w:t>community,</w:t>
      </w:r>
      <w:r>
        <w:rPr>
          <w:rFonts w:cs="Avenir Next"/>
          <w:spacing w:val="-6"/>
        </w:rPr>
        <w:t xml:space="preserve"> </w:t>
      </w:r>
      <w:r>
        <w:rPr>
          <w:rFonts w:cs="Avenir Next"/>
        </w:rPr>
        <w:t xml:space="preserve">which it will </w:t>
      </w:r>
      <w:r>
        <w:rPr>
          <w:rFonts w:cs="Avenir Next"/>
          <w:spacing w:val="-1"/>
        </w:rPr>
        <w:t>take</w:t>
      </w:r>
      <w:r>
        <w:rPr>
          <w:rFonts w:cs="Avenir Next"/>
        </w:rPr>
        <w:t xml:space="preserve"> into account </w:t>
      </w:r>
      <w:r>
        <w:rPr>
          <w:rFonts w:cs="Avenir Next"/>
          <w:spacing w:val="-1"/>
        </w:rPr>
        <w:t>before</w:t>
      </w:r>
      <w:r>
        <w:rPr>
          <w:rFonts w:cs="Avenir Next"/>
        </w:rPr>
        <w:t xml:space="preserve"> making</w:t>
      </w:r>
      <w:r>
        <w:rPr>
          <w:rFonts w:cs="Avenir Next"/>
          <w:spacing w:val="28"/>
        </w:rPr>
        <w:t xml:space="preserve"> </w:t>
      </w:r>
      <w:r>
        <w:t>its</w:t>
      </w:r>
      <w:r>
        <w:rPr>
          <w:spacing w:val="-2"/>
        </w:rPr>
        <w:t xml:space="preserve"> </w:t>
      </w:r>
      <w:r>
        <w:t>final</w:t>
      </w:r>
      <w:r>
        <w:rPr>
          <w:spacing w:val="-1"/>
        </w:rPr>
        <w:t xml:space="preserve"> </w:t>
      </w:r>
      <w:r>
        <w:t>price</w:t>
      </w:r>
      <w:r>
        <w:rPr>
          <w:spacing w:val="-1"/>
        </w:rPr>
        <w:t xml:space="preserve"> direction.</w:t>
      </w:r>
    </w:p>
    <w:p w:rsidR="00D96B91" w:rsidRDefault="00C2656B">
      <w:pPr>
        <w:spacing w:before="158"/>
        <w:ind w:left="1247"/>
        <w:rPr>
          <w:rFonts w:ascii="Avenir Next" w:eastAsia="Avenir Next" w:hAnsi="Avenir Next" w:cs="Avenir Next"/>
          <w:sz w:val="20"/>
          <w:szCs w:val="20"/>
        </w:rPr>
      </w:pPr>
      <w:r>
        <w:rPr>
          <w:rFonts w:ascii="Avenir Next"/>
          <w:b/>
          <w:spacing w:val="-1"/>
          <w:sz w:val="20"/>
        </w:rPr>
        <w:t>Box</w:t>
      </w:r>
      <w:r>
        <w:rPr>
          <w:rFonts w:ascii="Avenir Next"/>
          <w:b/>
          <w:sz w:val="20"/>
        </w:rPr>
        <w:t xml:space="preserve"> 1.1: Original price </w:t>
      </w:r>
      <w:r>
        <w:rPr>
          <w:rFonts w:ascii="Avenir Next"/>
          <w:b/>
          <w:spacing w:val="-1"/>
          <w:sz w:val="20"/>
        </w:rPr>
        <w:t>direction</w:t>
      </w:r>
    </w:p>
    <w:p w:rsidR="00D96B91" w:rsidRDefault="00D96B91">
      <w:pPr>
        <w:spacing w:before="1"/>
        <w:rPr>
          <w:rFonts w:ascii="Avenir Next" w:eastAsia="Avenir Next" w:hAnsi="Avenir Next" w:cs="Avenir Next"/>
          <w:b/>
          <w:bCs/>
          <w:sz w:val="9"/>
          <w:szCs w:val="9"/>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D174F6">
        <w:rPr>
          <w:rFonts w:ascii="Avenir Next" w:eastAsia="Avenir Next" w:hAnsi="Avenir Next" w:cs="Avenir Next"/>
          <w:sz w:val="20"/>
          <w:szCs w:val="20"/>
        </w:rPr>
        <w:pict>
          <v:shape id="_x0000_s3612" type="#_x0000_t202" style="width:470.55pt;height:140.3pt;mso-left-percent:-10001;mso-top-percent:-10001;mso-position-horizontal:absolute;mso-position-horizontal-relative:char;mso-position-vertical:absolute;mso-position-vertical-relative:line;mso-left-percent:-10001;mso-top-percent:-10001" fillcolor="#dff3fd" stroked="f">
            <v:textbox style="mso-next-textbox:#_x0000_s3612" inset="0,0,0,0">
              <w:txbxContent>
                <w:p w:rsidR="008A79D5" w:rsidRDefault="008A79D5">
                  <w:pPr>
                    <w:spacing w:before="162" w:line="260" w:lineRule="exact"/>
                    <w:ind w:left="170" w:right="392"/>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responsible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charges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sewerage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5"/>
                      <w:sz w:val="20"/>
                      <w:szCs w:val="20"/>
                    </w:rPr>
                    <w:t>ACT.</w:t>
                  </w:r>
                  <w:r>
                    <w:rPr>
                      <w:rFonts w:ascii="Avenir Next Condensed" w:eastAsia="Avenir Next Condensed" w:hAnsi="Avenir Next Condensed" w:cs="Avenir Next Condensed"/>
                      <w:spacing w:val="2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ICRC’s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current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2"/>
                      <w:sz w:val="20"/>
                      <w:szCs w:val="20"/>
                    </w:rPr>
                    <w:t xml:space="preserve"> </w:t>
                  </w:r>
                  <w:r>
                    <w:rPr>
                      <w:rFonts w:ascii="Avenir Next Condensed" w:eastAsia="Avenir Next Condensed" w:hAnsi="Avenir Next Condensed" w:cs="Avenir Next Condensed"/>
                      <w:spacing w:val="-2"/>
                      <w:sz w:val="20"/>
                      <w:szCs w:val="20"/>
                    </w:rPr>
                    <w:t>direction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covers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six-year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from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1</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July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2013</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30</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June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2019.</w:t>
                  </w:r>
                </w:p>
                <w:p w:rsidR="008A79D5" w:rsidRDefault="008A79D5">
                  <w:pPr>
                    <w:spacing w:before="113" w:line="260" w:lineRule="exact"/>
                    <w:ind w:left="170" w:right="47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determined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maximum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should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increase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4.9%</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2013-14,</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while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maximum</w:t>
                  </w:r>
                  <w:r>
                    <w:rPr>
                      <w:rFonts w:ascii="Avenir Next Condensed" w:eastAsia="Avenir Next Condensed" w:hAnsi="Avenir Next Condensed" w:cs="Avenir Next Condensed"/>
                      <w:spacing w:val="6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sewerage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should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fall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18.1%.</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2014-15,</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provided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adjusted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account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change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56"/>
                      <w:sz w:val="20"/>
                      <w:szCs w:val="20"/>
                    </w:rPr>
                    <w:t xml:space="preserve"> </w:t>
                  </w:r>
                  <w:r>
                    <w:rPr>
                      <w:rFonts w:ascii="Avenir Next Condensed" w:eastAsia="Avenir Next Condensed" w:hAnsi="Avenir Next Condensed" w:cs="Avenir Next Condensed"/>
                      <w:spacing w:val="-2"/>
                      <w:sz w:val="20"/>
                      <w:szCs w:val="20"/>
                    </w:rPr>
                    <w:t>consumer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index</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pass-through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events.</w:t>
                  </w:r>
                </w:p>
                <w:p w:rsidR="008A79D5" w:rsidRDefault="008A79D5">
                  <w:pPr>
                    <w:spacing w:before="113" w:line="260" w:lineRule="exact"/>
                    <w:ind w:left="170" w:right="199"/>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6"/>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deal</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with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uncertainties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about</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5"/>
                      <w:sz w:val="20"/>
                      <w:szCs w:val="20"/>
                    </w:rPr>
                    <w:t>ACTEW’s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expenditure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customer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demand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over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regulatory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period,</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ICRC</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did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not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set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prices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the</w:t>
                  </w:r>
                  <w:r>
                    <w:rPr>
                      <w:rFonts w:ascii="Avenir Next Condensed" w:eastAsia="Avenir Next Condensed" w:hAnsi="Avenir Next Condensed" w:cs="Avenir Next Condensed"/>
                      <w:spacing w:val="73"/>
                      <w:sz w:val="20"/>
                      <w:szCs w:val="20"/>
                    </w:rPr>
                    <w:t xml:space="preserve"> </w:t>
                  </w:r>
                  <w:r>
                    <w:rPr>
                      <w:rFonts w:ascii="Avenir Next Condensed" w:eastAsia="Avenir Next Condensed" w:hAnsi="Avenir Next Condensed" w:cs="Avenir Next Condensed"/>
                      <w:spacing w:val="-4"/>
                      <w:sz w:val="20"/>
                      <w:szCs w:val="20"/>
                    </w:rPr>
                    <w:t>entire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length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period.</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4"/>
                      <w:sz w:val="20"/>
                      <w:szCs w:val="20"/>
                    </w:rPr>
                    <w:t>Instead,</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2"/>
                      <w:sz w:val="20"/>
                      <w:szCs w:val="20"/>
                    </w:rPr>
                    <w:t>it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made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provision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prices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in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later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years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be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established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through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two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‘biennial</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6"/>
                      <w:sz w:val="20"/>
                      <w:szCs w:val="20"/>
                    </w:rPr>
                    <w:t>recalibrations’,</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be</w:t>
                  </w:r>
                  <w:r>
                    <w:rPr>
                      <w:rFonts w:ascii="Avenir Next Condensed" w:eastAsia="Avenir Next Condensed" w:hAnsi="Avenir Next Condensed" w:cs="Avenir Next Condensed"/>
                      <w:spacing w:val="101"/>
                      <w:sz w:val="20"/>
                      <w:szCs w:val="20"/>
                    </w:rPr>
                    <w:t xml:space="preserve"> </w:t>
                  </w:r>
                  <w:r>
                    <w:rPr>
                      <w:rFonts w:ascii="Avenir Next Condensed" w:eastAsia="Avenir Next Condensed" w:hAnsi="Avenir Next Condensed" w:cs="Avenir Next Condensed"/>
                      <w:spacing w:val="-4"/>
                      <w:sz w:val="20"/>
                      <w:szCs w:val="20"/>
                    </w:rPr>
                    <w:t>conducted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in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2015-16</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2017-18.</w:t>
                  </w:r>
                  <w:r>
                    <w:rPr>
                      <w:rFonts w:ascii="Avenir Next Condensed" w:eastAsia="Avenir Next Condensed" w:hAnsi="Avenir Next Condensed" w:cs="Avenir Next Condensed"/>
                      <w:spacing w:val="-19"/>
                      <w:sz w:val="20"/>
                      <w:szCs w:val="20"/>
                    </w:rPr>
                    <w:t xml:space="preserve"> </w:t>
                  </w:r>
                  <w:r>
                    <w:rPr>
                      <w:rFonts w:ascii="Avenir Next Condensed" w:eastAsia="Avenir Next Condensed" w:hAnsi="Avenir Next Condensed" w:cs="Avenir Next Condensed"/>
                      <w:spacing w:val="-4"/>
                      <w:sz w:val="20"/>
                      <w:szCs w:val="20"/>
                    </w:rPr>
                    <w:t>This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process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was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involve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examining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key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parameters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in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its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price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setting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5"/>
                      <w:sz w:val="20"/>
                      <w:szCs w:val="20"/>
                    </w:rPr>
                    <w:t>approach.</w:t>
                  </w:r>
                </w:p>
              </w:txbxContent>
            </v:textbox>
          </v:shape>
        </w:pict>
      </w:r>
    </w:p>
    <w:p w:rsidR="00D96B91" w:rsidRDefault="00C2656B">
      <w:pPr>
        <w:pStyle w:val="Heading4"/>
        <w:tabs>
          <w:tab w:val="left" w:pos="2040"/>
        </w:tabs>
        <w:spacing w:before="77"/>
      </w:pPr>
      <w:r>
        <w:rPr>
          <w:color w:val="0778BE"/>
        </w:rPr>
        <w:t>1.</w:t>
      </w:r>
      <w:r>
        <w:rPr>
          <w:color w:val="0778BE"/>
          <w:spacing w:val="-9"/>
        </w:rPr>
        <w:t xml:space="preserve"> </w:t>
      </w:r>
      <w:r>
        <w:rPr>
          <w:color w:val="0778BE"/>
        </w:rPr>
        <w:t>1</w:t>
      </w:r>
      <w:r>
        <w:rPr>
          <w:color w:val="0778BE"/>
        </w:rPr>
        <w:tab/>
      </w:r>
      <w:r>
        <w:rPr>
          <w:color w:val="0778BE"/>
          <w:spacing w:val="-2"/>
        </w:rPr>
        <w:t>The</w:t>
      </w:r>
      <w:r>
        <w:rPr>
          <w:color w:val="0778BE"/>
        </w:rPr>
        <w:t xml:space="preserve"> </w:t>
      </w:r>
      <w:r>
        <w:rPr>
          <w:color w:val="0778BE"/>
          <w:spacing w:val="-5"/>
        </w:rPr>
        <w:t>Panel’s</w:t>
      </w:r>
      <w:r>
        <w:rPr>
          <w:color w:val="0778BE"/>
        </w:rPr>
        <w:t xml:space="preserve"> </w:t>
      </w:r>
      <w:r>
        <w:rPr>
          <w:color w:val="0778BE"/>
          <w:spacing w:val="-2"/>
        </w:rPr>
        <w:t>draft</w:t>
      </w:r>
      <w:r>
        <w:rPr>
          <w:color w:val="0778BE"/>
        </w:rPr>
        <w:t xml:space="preserve"> decision is to substitute a new price </w:t>
      </w:r>
      <w:r>
        <w:rPr>
          <w:color w:val="0778BE"/>
          <w:spacing w:val="-1"/>
        </w:rPr>
        <w:t>direction</w:t>
      </w:r>
    </w:p>
    <w:p w:rsidR="00D96B91" w:rsidRDefault="00C2656B">
      <w:pPr>
        <w:pStyle w:val="BodyText"/>
        <w:spacing w:before="55" w:line="260" w:lineRule="exact"/>
        <w:ind w:right="1283"/>
      </w:pPr>
      <w:r>
        <w:rPr>
          <w:rFonts w:cs="Avenir Next"/>
        </w:rPr>
        <w:t xml:space="preserve">Based on its </w:t>
      </w:r>
      <w:r>
        <w:rPr>
          <w:rFonts w:cs="Avenir Next"/>
          <w:spacing w:val="-2"/>
        </w:rPr>
        <w:t>review,</w:t>
      </w:r>
      <w:r>
        <w:rPr>
          <w:rFonts w:cs="Avenir Next"/>
          <w:spacing w:val="-6"/>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is to substitute a new price </w:t>
      </w:r>
      <w:r>
        <w:rPr>
          <w:rFonts w:cs="Avenir Next"/>
          <w:spacing w:val="-1"/>
        </w:rPr>
        <w:t>direction</w:t>
      </w:r>
      <w:r>
        <w:rPr>
          <w:rFonts w:cs="Avenir Next"/>
        </w:rPr>
        <w:t xml:space="preserve"> </w:t>
      </w:r>
      <w:r>
        <w:rPr>
          <w:rFonts w:cs="Avenir Next"/>
          <w:spacing w:val="-1"/>
        </w:rPr>
        <w:t>that</w:t>
      </w:r>
      <w:r>
        <w:rPr>
          <w:rFonts w:cs="Avenir Next"/>
        </w:rPr>
        <w:t xml:space="preserve"> sets prices until</w:t>
      </w:r>
      <w:r>
        <w:rPr>
          <w:rFonts w:cs="Avenir Next"/>
          <w:spacing w:val="37"/>
        </w:rPr>
        <w:t xml:space="preserve"> </w:t>
      </w:r>
      <w:r>
        <w:t>30</w:t>
      </w:r>
      <w:r>
        <w:rPr>
          <w:spacing w:val="-3"/>
        </w:rPr>
        <w:t xml:space="preserve"> </w:t>
      </w:r>
      <w:r>
        <w:t>June 2018,</w:t>
      </w:r>
      <w:r>
        <w:rPr>
          <w:spacing w:val="-6"/>
        </w:rPr>
        <w:t xml:space="preserve"> </w:t>
      </w:r>
      <w:r>
        <w:t xml:space="preserve">without the need for a </w:t>
      </w:r>
      <w:r>
        <w:rPr>
          <w:spacing w:val="-1"/>
        </w:rPr>
        <w:t>recalibration</w:t>
      </w:r>
      <w:r>
        <w:t xml:space="preserve"> </w:t>
      </w:r>
      <w:r>
        <w:rPr>
          <w:spacing w:val="-1"/>
        </w:rPr>
        <w:t>process.</w:t>
      </w:r>
      <w:r>
        <w:rPr>
          <w:spacing w:val="-11"/>
        </w:rPr>
        <w:t xml:space="preserve"> </w:t>
      </w:r>
      <w:r>
        <w:rPr>
          <w:spacing w:val="-2"/>
        </w:rPr>
        <w:t>The</w:t>
      </w:r>
      <w:r>
        <w:t xml:space="preserve"> </w:t>
      </w:r>
      <w:r>
        <w:rPr>
          <w:spacing w:val="-2"/>
        </w:rPr>
        <w:t>draft</w:t>
      </w:r>
      <w:r>
        <w:t xml:space="preserve"> substitute price </w:t>
      </w:r>
      <w:r>
        <w:rPr>
          <w:spacing w:val="-1"/>
        </w:rPr>
        <w:t>direction</w:t>
      </w:r>
      <w:r>
        <w:t xml:space="preserve"> </w:t>
      </w:r>
      <w:r>
        <w:rPr>
          <w:spacing w:val="-1"/>
        </w:rPr>
        <w:t>that</w:t>
      </w:r>
      <w:r>
        <w:rPr>
          <w:spacing w:val="43"/>
        </w:rPr>
        <w:t xml:space="preserve"> </w:t>
      </w:r>
      <w:r>
        <w:t xml:space="preserve">would give legal </w:t>
      </w:r>
      <w:r>
        <w:rPr>
          <w:spacing w:val="-1"/>
        </w:rPr>
        <w:t>effect</w:t>
      </w:r>
      <w:r>
        <w:t xml:space="preserve"> to this decision is appended to this </w:t>
      </w:r>
      <w:r>
        <w:rPr>
          <w:spacing w:val="-1"/>
        </w:rPr>
        <w:t>report.</w:t>
      </w:r>
    </w:p>
    <w:p w:rsidR="00D96B91" w:rsidRDefault="00C2656B">
      <w:pPr>
        <w:pStyle w:val="BodyText"/>
        <w:spacing w:before="170" w:line="260" w:lineRule="exact"/>
        <w:ind w:right="1313"/>
      </w:pPr>
      <w:r>
        <w:rPr>
          <w:rFonts w:cs="Avenir Next"/>
        </w:rPr>
        <w:t xml:space="preserve">In </w:t>
      </w:r>
      <w:r>
        <w:rPr>
          <w:rFonts w:cs="Avenir Next"/>
          <w:spacing w:val="-1"/>
        </w:rPr>
        <w:t>reaching</w:t>
      </w:r>
      <w:r>
        <w:rPr>
          <w:rFonts w:cs="Avenir Next"/>
        </w:rPr>
        <w:t xml:space="preserve"> this </w:t>
      </w:r>
      <w:r>
        <w:rPr>
          <w:rFonts w:cs="Avenir Next"/>
          <w:spacing w:val="-2"/>
        </w:rPr>
        <w:t>draft</w:t>
      </w:r>
      <w:r>
        <w:rPr>
          <w:rFonts w:cs="Avenir Next"/>
        </w:rPr>
        <w:t xml:space="preserve"> decision,</w:t>
      </w:r>
      <w:r>
        <w:rPr>
          <w:rFonts w:cs="Avenir Next"/>
          <w:spacing w:val="-6"/>
        </w:rPr>
        <w:t xml:space="preserve"> </w:t>
      </w:r>
      <w:r>
        <w:rPr>
          <w:rFonts w:cs="Avenir Next"/>
        </w:rPr>
        <w:t xml:space="preserve">the </w:t>
      </w:r>
      <w:r>
        <w:rPr>
          <w:rFonts w:cs="Avenir Next"/>
          <w:spacing w:val="-3"/>
        </w:rPr>
        <w:t>Panel</w:t>
      </w:r>
      <w:r>
        <w:rPr>
          <w:rFonts w:cs="Avenir Next"/>
        </w:rPr>
        <w:t xml:space="preserve"> has conducted analysis and modelling and sought </w:t>
      </w:r>
      <w:r>
        <w:rPr>
          <w:rFonts w:cs="Avenir Next"/>
          <w:spacing w:val="-1"/>
        </w:rPr>
        <w:t>expert</w:t>
      </w:r>
      <w:r>
        <w:rPr>
          <w:rFonts w:cs="Avenir Next"/>
          <w:spacing w:val="21"/>
        </w:rPr>
        <w:t xml:space="preserve"> </w:t>
      </w:r>
      <w:r>
        <w:rPr>
          <w:rFonts w:cs="Avenir Next"/>
        </w:rPr>
        <w:t>advice to form its own view on the costs of</w:t>
      </w:r>
      <w:r>
        <w:rPr>
          <w:rFonts w:cs="Avenir Next"/>
          <w:spacing w:val="4"/>
        </w:rPr>
        <w:t xml:space="preserve"> </w:t>
      </w:r>
      <w:r>
        <w:rPr>
          <w:rFonts w:cs="Avenir Next"/>
          <w:spacing w:val="-1"/>
        </w:rPr>
        <w:t>providing</w:t>
      </w:r>
      <w:r>
        <w:rPr>
          <w:rFonts w:cs="Avenir Next"/>
          <w:spacing w:val="-4"/>
        </w:rPr>
        <w:t xml:space="preserve"> </w:t>
      </w:r>
      <w:r>
        <w:rPr>
          <w:rFonts w:cs="Avenir Next"/>
          <w:spacing w:val="-2"/>
        </w:rPr>
        <w:t>ACTEW’s</w:t>
      </w:r>
      <w:r>
        <w:rPr>
          <w:rFonts w:cs="Avenir Next"/>
        </w:rPr>
        <w:t xml:space="preserve"> </w:t>
      </w:r>
      <w:r>
        <w:rPr>
          <w:rFonts w:cs="Avenir Next"/>
          <w:spacing w:val="-1"/>
        </w:rPr>
        <w:t>water</w:t>
      </w:r>
      <w:r>
        <w:rPr>
          <w:rFonts w:cs="Avenir Next"/>
        </w:rPr>
        <w:t xml:space="preserve"> and </w:t>
      </w:r>
      <w:r>
        <w:rPr>
          <w:rFonts w:cs="Avenir Next"/>
          <w:spacing w:val="-1"/>
        </w:rPr>
        <w:t>sewerage</w:t>
      </w:r>
      <w:r>
        <w:rPr>
          <w:rFonts w:cs="Avenir Next"/>
        </w:rPr>
        <w:t xml:space="preserve"> services,</w:t>
      </w:r>
      <w:r>
        <w:rPr>
          <w:rFonts w:cs="Avenir Next"/>
          <w:spacing w:val="-7"/>
        </w:rPr>
        <w:t xml:space="preserve"> </w:t>
      </w:r>
      <w:r>
        <w:rPr>
          <w:rFonts w:cs="Avenir Next"/>
        </w:rPr>
        <w:t>and the</w:t>
      </w:r>
      <w:r>
        <w:rPr>
          <w:rFonts w:cs="Avenir Next"/>
          <w:spacing w:val="29"/>
        </w:rPr>
        <w:t xml:space="preserve"> </w:t>
      </w:r>
      <w:r>
        <w:rPr>
          <w:spacing w:val="-1"/>
        </w:rPr>
        <w:t>forecast</w:t>
      </w:r>
      <w:r>
        <w:t xml:space="preserve"> demand for these services,</w:t>
      </w:r>
      <w:r>
        <w:rPr>
          <w:spacing w:val="-7"/>
        </w:rPr>
        <w:t xml:space="preserve"> </w:t>
      </w:r>
      <w:r>
        <w:t xml:space="preserve">over the </w:t>
      </w:r>
      <w:r>
        <w:rPr>
          <w:spacing w:val="-1"/>
        </w:rPr>
        <w:t>regulatory</w:t>
      </w:r>
      <w:r>
        <w:t xml:space="preserve"> period.</w:t>
      </w:r>
    </w:p>
    <w:p w:rsidR="00D96B91" w:rsidRDefault="00C2656B">
      <w:pPr>
        <w:pStyle w:val="BodyText"/>
        <w:spacing w:before="170" w:line="260" w:lineRule="exact"/>
        <w:ind w:right="1548"/>
      </w:pPr>
      <w:r>
        <w:rPr>
          <w:spacing w:val="-2"/>
        </w:rPr>
        <w:t>The</w:t>
      </w:r>
      <w:r>
        <w:t xml:space="preserve"> </w:t>
      </w:r>
      <w:r>
        <w:rPr>
          <w:spacing w:val="-3"/>
        </w:rPr>
        <w:t>Panel</w:t>
      </w:r>
      <w:r>
        <w:t xml:space="preserve"> considers </w:t>
      </w:r>
      <w:r>
        <w:rPr>
          <w:spacing w:val="-1"/>
        </w:rPr>
        <w:t>that</w:t>
      </w:r>
      <w:r>
        <w:t xml:space="preserve"> its </w:t>
      </w:r>
      <w:r>
        <w:rPr>
          <w:spacing w:val="-2"/>
        </w:rPr>
        <w:t>draft</w:t>
      </w:r>
      <w:r>
        <w:t xml:space="preserve"> price </w:t>
      </w:r>
      <w:r>
        <w:rPr>
          <w:spacing w:val="-1"/>
        </w:rPr>
        <w:t>direction</w:t>
      </w:r>
      <w:r>
        <w:t xml:space="preserve"> will </w:t>
      </w:r>
      <w:r>
        <w:rPr>
          <w:spacing w:val="-1"/>
        </w:rPr>
        <w:t>provide</w:t>
      </w:r>
      <w:r>
        <w:t xml:space="preserve"> </w:t>
      </w:r>
      <w:r>
        <w:rPr>
          <w:spacing w:val="-1"/>
        </w:rPr>
        <w:t>more</w:t>
      </w:r>
      <w:r>
        <w:t xml:space="preserve"> stability and </w:t>
      </w:r>
      <w:r>
        <w:rPr>
          <w:spacing w:val="-2"/>
        </w:rPr>
        <w:t>greater</w:t>
      </w:r>
      <w:r>
        <w:t xml:space="preserve"> </w:t>
      </w:r>
      <w:r>
        <w:rPr>
          <w:spacing w:val="-1"/>
        </w:rPr>
        <w:t>certainty</w:t>
      </w:r>
      <w:r>
        <w:t xml:space="preserve"> for</w:t>
      </w:r>
      <w:r>
        <w:rPr>
          <w:spacing w:val="61"/>
        </w:rPr>
        <w:t xml:space="preserve"> </w:t>
      </w:r>
      <w:r>
        <w:rPr>
          <w:spacing w:val="-2"/>
        </w:rPr>
        <w:t>ACTEW</w:t>
      </w:r>
      <w:r>
        <w:rPr>
          <w:spacing w:val="-4"/>
        </w:rPr>
        <w:t xml:space="preserve"> </w:t>
      </w:r>
      <w:r>
        <w:t>and</w:t>
      </w:r>
      <w:r>
        <w:rPr>
          <w:spacing w:val="-1"/>
        </w:rPr>
        <w:t xml:space="preserve"> </w:t>
      </w:r>
      <w:r>
        <w:t>its customers,</w:t>
      </w:r>
      <w:r>
        <w:rPr>
          <w:spacing w:val="-8"/>
        </w:rPr>
        <w:t xml:space="preserve"> </w:t>
      </w:r>
      <w:r>
        <w:t>and</w:t>
      </w:r>
      <w:r>
        <w:rPr>
          <w:spacing w:val="-1"/>
        </w:rPr>
        <w:t xml:space="preserve"> </w:t>
      </w:r>
      <w:r>
        <w:rPr>
          <w:spacing w:val="-2"/>
        </w:rPr>
        <w:t>greater</w:t>
      </w:r>
      <w:r>
        <w:t xml:space="preserve"> incentives</w:t>
      </w:r>
      <w:r>
        <w:rPr>
          <w:spacing w:val="-1"/>
        </w:rPr>
        <w:t xml:space="preserve"> </w:t>
      </w:r>
      <w:r>
        <w:t>for</w:t>
      </w:r>
      <w:r>
        <w:rPr>
          <w:spacing w:val="-5"/>
        </w:rPr>
        <w:t xml:space="preserve"> </w:t>
      </w:r>
      <w:r>
        <w:rPr>
          <w:spacing w:val="-2"/>
        </w:rPr>
        <w:t>ACTEW</w:t>
      </w:r>
      <w:r>
        <w:rPr>
          <w:spacing w:val="-3"/>
        </w:rPr>
        <w:t xml:space="preserve"> </w:t>
      </w:r>
      <w:r>
        <w:t>to</w:t>
      </w:r>
      <w:r>
        <w:rPr>
          <w:spacing w:val="-1"/>
        </w:rPr>
        <w:t xml:space="preserve"> </w:t>
      </w:r>
      <w:r>
        <w:t>pursue</w:t>
      </w:r>
      <w:r>
        <w:rPr>
          <w:spacing w:val="-1"/>
        </w:rPr>
        <w:t xml:space="preserve"> efficiencies.</w:t>
      </w:r>
      <w:r>
        <w:rPr>
          <w:spacing w:val="-6"/>
        </w:rPr>
        <w:t xml:space="preserve"> </w:t>
      </w:r>
      <w:r>
        <w:t>It</w:t>
      </w:r>
      <w:r>
        <w:rPr>
          <w:spacing w:val="-1"/>
        </w:rPr>
        <w:t xml:space="preserve"> </w:t>
      </w:r>
      <w:r>
        <w:t>also considers</w:t>
      </w:r>
      <w:r>
        <w:rPr>
          <w:spacing w:val="47"/>
        </w:rPr>
        <w:t xml:space="preserve"> </w:t>
      </w:r>
      <w:r>
        <w:t xml:space="preserve">its </w:t>
      </w:r>
      <w:r>
        <w:rPr>
          <w:spacing w:val="-2"/>
        </w:rPr>
        <w:t>draft</w:t>
      </w:r>
      <w:r>
        <w:t xml:space="preserve"> </w:t>
      </w:r>
      <w:r>
        <w:rPr>
          <w:spacing w:val="-1"/>
        </w:rPr>
        <w:t>direction</w:t>
      </w:r>
      <w:r>
        <w:t xml:space="preserve"> will </w:t>
      </w:r>
      <w:r>
        <w:rPr>
          <w:spacing w:val="-1"/>
        </w:rPr>
        <w:t>reduce</w:t>
      </w:r>
      <w:r>
        <w:t xml:space="preserve"> </w:t>
      </w:r>
      <w:r>
        <w:rPr>
          <w:spacing w:val="-1"/>
        </w:rPr>
        <w:t>regulatory</w:t>
      </w:r>
      <w:r>
        <w:t xml:space="preserve"> costs over the </w:t>
      </w:r>
      <w:r>
        <w:rPr>
          <w:spacing w:val="-1"/>
        </w:rPr>
        <w:t>regulatory</w:t>
      </w:r>
      <w:r>
        <w:t xml:space="preserve"> period.</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4" w:line="360" w:lineRule="exact"/>
        <w:ind w:left="2041" w:right="1355" w:hanging="794"/>
      </w:pPr>
      <w:r>
        <w:rPr>
          <w:color w:val="0778BE"/>
        </w:rPr>
        <w:t>1.</w:t>
      </w:r>
      <w:r>
        <w:rPr>
          <w:color w:val="0778BE"/>
          <w:spacing w:val="-9"/>
        </w:rPr>
        <w:t xml:space="preserve"> </w:t>
      </w:r>
      <w:r>
        <w:rPr>
          <w:color w:val="0778BE"/>
        </w:rPr>
        <w:t>2</w:t>
      </w:r>
      <w:r>
        <w:rPr>
          <w:color w:val="0778BE"/>
        </w:rPr>
        <w:tab/>
      </w:r>
      <w:r>
        <w:rPr>
          <w:rFonts w:cs="Avenir Next Medium"/>
          <w:color w:val="0778BE"/>
          <w:spacing w:val="-2"/>
        </w:rPr>
        <w:t>The</w:t>
      </w:r>
      <w:r>
        <w:rPr>
          <w:rFonts w:cs="Avenir Next Medium"/>
          <w:color w:val="0778BE"/>
        </w:rPr>
        <w:t xml:space="preserve"> </w:t>
      </w:r>
      <w:r>
        <w:rPr>
          <w:rFonts w:cs="Avenir Next Medium"/>
          <w:color w:val="0778BE"/>
          <w:spacing w:val="-5"/>
        </w:rPr>
        <w:t>Panel’s</w:t>
      </w:r>
      <w:r>
        <w:rPr>
          <w:rFonts w:cs="Avenir Next Medium"/>
          <w:color w:val="0778BE"/>
        </w:rPr>
        <w:t xml:space="preserve"> </w:t>
      </w:r>
      <w:r>
        <w:rPr>
          <w:rFonts w:cs="Avenir Next Medium"/>
          <w:color w:val="0778BE"/>
          <w:spacing w:val="-2"/>
        </w:rPr>
        <w:t>draft</w:t>
      </w:r>
      <w:r>
        <w:rPr>
          <w:rFonts w:cs="Avenir Next Medium"/>
          <w:color w:val="0778BE"/>
        </w:rPr>
        <w:t xml:space="preserve"> </w:t>
      </w:r>
      <w:r>
        <w:rPr>
          <w:rFonts w:cs="Avenir Next Medium"/>
          <w:color w:val="0778BE"/>
          <w:spacing w:val="-1"/>
        </w:rPr>
        <w:t>direction</w:t>
      </w:r>
      <w:r>
        <w:rPr>
          <w:rFonts w:cs="Avenir Next Medium"/>
          <w:color w:val="0778BE"/>
        </w:rPr>
        <w:t xml:space="preserve"> covers a </w:t>
      </w:r>
      <w:r>
        <w:rPr>
          <w:rFonts w:cs="Avenir Next Medium"/>
          <w:color w:val="0778BE"/>
          <w:spacing w:val="-1"/>
        </w:rPr>
        <w:t>five-year</w:t>
      </w:r>
      <w:r>
        <w:rPr>
          <w:rFonts w:cs="Avenir Next Medium"/>
          <w:color w:val="0778BE"/>
        </w:rPr>
        <w:t xml:space="preserve"> </w:t>
      </w:r>
      <w:r>
        <w:rPr>
          <w:rFonts w:cs="Avenir Next Medium"/>
          <w:color w:val="0778BE"/>
          <w:spacing w:val="-1"/>
        </w:rPr>
        <w:t>regulatory</w:t>
      </w:r>
      <w:r>
        <w:rPr>
          <w:rFonts w:cs="Avenir Next Medium"/>
          <w:color w:val="0778BE"/>
        </w:rPr>
        <w:t xml:space="preserve"> period</w:t>
      </w:r>
      <w:r>
        <w:rPr>
          <w:rFonts w:cs="Avenir Next Medium"/>
          <w:color w:val="0778BE"/>
          <w:spacing w:val="31"/>
        </w:rPr>
        <w:t xml:space="preserve"> </w:t>
      </w:r>
      <w:r>
        <w:rPr>
          <w:color w:val="0778BE"/>
        </w:rPr>
        <w:t xml:space="preserve">without a biennial </w:t>
      </w:r>
      <w:r>
        <w:rPr>
          <w:color w:val="0778BE"/>
          <w:spacing w:val="-1"/>
        </w:rPr>
        <w:t>recalibration</w:t>
      </w:r>
      <w:r>
        <w:rPr>
          <w:color w:val="0778BE"/>
        </w:rPr>
        <w:t xml:space="preserve"> </w:t>
      </w:r>
      <w:r>
        <w:rPr>
          <w:color w:val="0778BE"/>
          <w:spacing w:val="-1"/>
        </w:rPr>
        <w:t>process</w:t>
      </w:r>
    </w:p>
    <w:p w:rsidR="00D96B91" w:rsidRDefault="00C2656B">
      <w:pPr>
        <w:pStyle w:val="BodyText"/>
        <w:spacing w:before="101"/>
      </w:pPr>
      <w:r>
        <w:rPr>
          <w:spacing w:val="-2"/>
        </w:rPr>
        <w:t>The</w:t>
      </w:r>
      <w:r>
        <w:rPr>
          <w:spacing w:val="-1"/>
        </w:rPr>
        <w:t xml:space="preserve"> </w:t>
      </w:r>
      <w:r>
        <w:rPr>
          <w:spacing w:val="-4"/>
        </w:rPr>
        <w:t>Panel’s</w:t>
      </w:r>
      <w:r>
        <w:t xml:space="preserve"> </w:t>
      </w:r>
      <w:r>
        <w:rPr>
          <w:spacing w:val="-2"/>
        </w:rPr>
        <w:t>draft</w:t>
      </w:r>
      <w:r>
        <w:rPr>
          <w:spacing w:val="-1"/>
        </w:rPr>
        <w:t xml:space="preserve"> </w:t>
      </w:r>
      <w:r>
        <w:t xml:space="preserve">price </w:t>
      </w:r>
      <w:r>
        <w:rPr>
          <w:spacing w:val="-1"/>
        </w:rPr>
        <w:t>direction</w:t>
      </w:r>
      <w:r>
        <w:t xml:space="preserve"> sets</w:t>
      </w:r>
      <w:r>
        <w:rPr>
          <w:spacing w:val="-1"/>
        </w:rPr>
        <w:t xml:space="preserve"> </w:t>
      </w:r>
      <w:r>
        <w:t>prices for the</w:t>
      </w:r>
      <w:r>
        <w:rPr>
          <w:spacing w:val="-1"/>
        </w:rPr>
        <w:t xml:space="preserve"> </w:t>
      </w:r>
      <w:r w:rsidR="008766C4">
        <w:rPr>
          <w:spacing w:val="-1"/>
        </w:rPr>
        <w:t>five-year</w:t>
      </w:r>
      <w:r>
        <w:t xml:space="preserve"> period ending</w:t>
      </w:r>
      <w:r>
        <w:rPr>
          <w:spacing w:val="-1"/>
        </w:rPr>
        <w:t xml:space="preserve"> </w:t>
      </w:r>
      <w:r>
        <w:t>on 30</w:t>
      </w:r>
      <w:r>
        <w:rPr>
          <w:spacing w:val="-3"/>
        </w:rPr>
        <w:t xml:space="preserve"> </w:t>
      </w:r>
      <w:r>
        <w:t>June</w:t>
      </w:r>
      <w:r>
        <w:rPr>
          <w:spacing w:val="-1"/>
        </w:rPr>
        <w:t xml:space="preserve"> </w:t>
      </w:r>
      <w:r>
        <w:t>2018.</w:t>
      </w:r>
    </w:p>
    <w:p w:rsidR="00D96B91" w:rsidRDefault="00C2656B">
      <w:pPr>
        <w:pStyle w:val="BodyText"/>
        <w:spacing w:before="149" w:line="260" w:lineRule="exact"/>
        <w:ind w:right="1283"/>
      </w:pPr>
      <w:r>
        <w:t xml:space="preserve">Although the original pricing </w:t>
      </w:r>
      <w:r>
        <w:rPr>
          <w:spacing w:val="-1"/>
        </w:rPr>
        <w:t>direction</w:t>
      </w:r>
      <w:r>
        <w:t xml:space="preserve"> covers the six </w:t>
      </w:r>
      <w:r>
        <w:rPr>
          <w:spacing w:val="-1"/>
        </w:rPr>
        <w:t>years</w:t>
      </w:r>
      <w:r>
        <w:t xml:space="preserve"> to 30</w:t>
      </w:r>
      <w:r>
        <w:rPr>
          <w:spacing w:val="-3"/>
        </w:rPr>
        <w:t xml:space="preserve"> </w:t>
      </w:r>
      <w:r>
        <w:t>June 2019,</w:t>
      </w:r>
      <w:r>
        <w:rPr>
          <w:spacing w:val="-6"/>
        </w:rPr>
        <w:t xml:space="preserve"> </w:t>
      </w:r>
      <w:r>
        <w:t>the ICRC determined</w:t>
      </w:r>
      <w:r>
        <w:rPr>
          <w:spacing w:val="29"/>
        </w:rPr>
        <w:t xml:space="preserve"> </w:t>
      </w:r>
      <w:r>
        <w:t>maximum</w:t>
      </w:r>
      <w:r>
        <w:rPr>
          <w:spacing w:val="-1"/>
        </w:rPr>
        <w:t xml:space="preserve"> </w:t>
      </w:r>
      <w:r>
        <w:t>prices for the first</w:t>
      </w:r>
      <w:r>
        <w:rPr>
          <w:spacing w:val="-1"/>
        </w:rPr>
        <w:t xml:space="preserve"> </w:t>
      </w:r>
      <w:r>
        <w:t xml:space="preserve">two </w:t>
      </w:r>
      <w:r>
        <w:rPr>
          <w:spacing w:val="-1"/>
        </w:rPr>
        <w:t>years</w:t>
      </w:r>
      <w:r>
        <w:t xml:space="preserve"> of</w:t>
      </w:r>
      <w:r>
        <w:rPr>
          <w:spacing w:val="4"/>
        </w:rPr>
        <w:t xml:space="preserve"> </w:t>
      </w:r>
      <w:r>
        <w:t>this period</w:t>
      </w:r>
      <w:r>
        <w:rPr>
          <w:spacing w:val="-1"/>
        </w:rPr>
        <w:t xml:space="preserve"> </w:t>
      </w:r>
      <w:r>
        <w:rPr>
          <w:spacing w:val="-2"/>
        </w:rPr>
        <w:t>only.</w:t>
      </w:r>
      <w:r>
        <w:rPr>
          <w:spacing w:val="-6"/>
        </w:rPr>
        <w:t xml:space="preserve"> </w:t>
      </w:r>
      <w:r>
        <w:t xml:space="preserve">It </w:t>
      </w:r>
      <w:r>
        <w:rPr>
          <w:spacing w:val="-1"/>
        </w:rPr>
        <w:t>introduced</w:t>
      </w:r>
      <w:r>
        <w:t xml:space="preserve"> a biennial</w:t>
      </w:r>
      <w:r>
        <w:rPr>
          <w:spacing w:val="-1"/>
        </w:rPr>
        <w:t xml:space="preserve"> recalibration</w:t>
      </w:r>
      <w:r>
        <w:t xml:space="preserve"> </w:t>
      </w:r>
      <w:r>
        <w:rPr>
          <w:spacing w:val="-1"/>
        </w:rPr>
        <w:t>process</w:t>
      </w:r>
      <w:r>
        <w:rPr>
          <w:spacing w:val="37"/>
        </w:rPr>
        <w:t xml:space="preserve"> </w:t>
      </w:r>
      <w:r>
        <w:t>to determine prices for 2015-16 and 2017-18.</w:t>
      </w:r>
    </w:p>
    <w:p w:rsidR="00D96B91" w:rsidRDefault="00D96B91">
      <w:pPr>
        <w:spacing w:line="260" w:lineRule="exact"/>
        <w:sectPr w:rsidR="00D96B91">
          <w:footerReference w:type="even" r:id="rId25"/>
          <w:footerReference w:type="default" r:id="rId26"/>
          <w:pgSz w:w="11910" w:h="16840"/>
          <w:pgMar w:top="1260" w:right="0" w:bottom="1020" w:left="0" w:header="0" w:footer="829" w:gutter="0"/>
          <w:pgNumType w:start="1"/>
          <w:cols w:space="720"/>
        </w:sectPr>
      </w:pPr>
    </w:p>
    <w:p w:rsidR="00D96B91" w:rsidRDefault="00C2656B">
      <w:pPr>
        <w:pStyle w:val="BodyText"/>
        <w:spacing w:before="21" w:line="260" w:lineRule="exact"/>
        <w:ind w:right="1548"/>
        <w:rPr>
          <w:rFonts w:cs="Avenir Next"/>
        </w:rPr>
      </w:pPr>
      <w:r>
        <w:t xml:space="preserve">In deciding whether to </w:t>
      </w:r>
      <w:r>
        <w:rPr>
          <w:spacing w:val="-1"/>
        </w:rPr>
        <w:t>retain</w:t>
      </w:r>
      <w:r>
        <w:t xml:space="preserve"> the biennial </w:t>
      </w:r>
      <w:r>
        <w:rPr>
          <w:spacing w:val="-1"/>
        </w:rPr>
        <w:t>recalibration</w:t>
      </w:r>
      <w:r>
        <w:t xml:space="preserve"> </w:t>
      </w:r>
      <w:r>
        <w:rPr>
          <w:spacing w:val="-1"/>
        </w:rPr>
        <w:t>process</w:t>
      </w:r>
      <w:r>
        <w:t xml:space="preserve"> or set prices for the full </w:t>
      </w:r>
      <w:r>
        <w:rPr>
          <w:spacing w:val="-1"/>
        </w:rPr>
        <w:t>regulatory</w:t>
      </w:r>
      <w:r>
        <w:rPr>
          <w:spacing w:val="25"/>
        </w:rPr>
        <w:t xml:space="preserve"> </w:t>
      </w:r>
      <w:r>
        <w:t>period,</w:t>
      </w:r>
      <w:r>
        <w:rPr>
          <w:spacing w:val="-6"/>
        </w:rPr>
        <w:t xml:space="preserve"> </w:t>
      </w:r>
      <w:r>
        <w:t xml:space="preserve">the </w:t>
      </w:r>
      <w:r>
        <w:rPr>
          <w:spacing w:val="-3"/>
        </w:rPr>
        <w:t>Panel</w:t>
      </w:r>
      <w:r>
        <w:t xml:space="preserve"> </w:t>
      </w:r>
      <w:r>
        <w:rPr>
          <w:spacing w:val="-1"/>
        </w:rPr>
        <w:t>considered:</w:t>
      </w:r>
    </w:p>
    <w:p w:rsidR="00D96B91" w:rsidRDefault="00C2656B">
      <w:pPr>
        <w:pStyle w:val="BodyText"/>
        <w:numPr>
          <w:ilvl w:val="0"/>
          <w:numId w:val="131"/>
        </w:numPr>
        <w:tabs>
          <w:tab w:val="left" w:pos="1531"/>
        </w:tabs>
        <w:spacing w:before="170" w:line="260" w:lineRule="exact"/>
        <w:ind w:right="1923" w:hanging="283"/>
        <w:rPr>
          <w:rFonts w:cs="Avenir Next"/>
        </w:rPr>
      </w:pPr>
      <w:r>
        <w:t xml:space="preserve">the </w:t>
      </w:r>
      <w:r>
        <w:rPr>
          <w:spacing w:val="-1"/>
        </w:rPr>
        <w:t>risks</w:t>
      </w:r>
      <w:r>
        <w:t xml:space="preserve"> and </w:t>
      </w:r>
      <w:r>
        <w:rPr>
          <w:spacing w:val="-1"/>
        </w:rPr>
        <w:t>uncertainties</w:t>
      </w:r>
      <w:r>
        <w:t xml:space="preserve"> facing</w:t>
      </w:r>
      <w:r>
        <w:rPr>
          <w:spacing w:val="-4"/>
        </w:rPr>
        <w:t xml:space="preserve"> </w:t>
      </w:r>
      <w:r>
        <w:rPr>
          <w:spacing w:val="-2"/>
        </w:rPr>
        <w:t>ACTEW</w:t>
      </w:r>
      <w:r>
        <w:rPr>
          <w:spacing w:val="-3"/>
        </w:rPr>
        <w:t xml:space="preserve"> </w:t>
      </w:r>
      <w:r>
        <w:t>and its customers in this period,</w:t>
      </w:r>
      <w:r>
        <w:rPr>
          <w:spacing w:val="-7"/>
        </w:rPr>
        <w:t xml:space="preserve"> </w:t>
      </w:r>
      <w:r>
        <w:t>and the options for</w:t>
      </w:r>
      <w:r>
        <w:rPr>
          <w:spacing w:val="35"/>
        </w:rPr>
        <w:t xml:space="preserve"> </w:t>
      </w:r>
      <w:r>
        <w:t xml:space="preserve">managing these </w:t>
      </w:r>
      <w:r>
        <w:rPr>
          <w:spacing w:val="-1"/>
        </w:rPr>
        <w:t>risks</w:t>
      </w:r>
    </w:p>
    <w:p w:rsidR="00D96B91" w:rsidRDefault="00C2656B">
      <w:pPr>
        <w:pStyle w:val="BodyText"/>
        <w:numPr>
          <w:ilvl w:val="0"/>
          <w:numId w:val="131"/>
        </w:numPr>
        <w:tabs>
          <w:tab w:val="left" w:pos="1531"/>
        </w:tabs>
        <w:spacing w:before="93"/>
        <w:ind w:hanging="283"/>
      </w:pPr>
      <w:r>
        <w:t>the</w:t>
      </w:r>
      <w:r>
        <w:rPr>
          <w:spacing w:val="-1"/>
        </w:rPr>
        <w:t xml:space="preserve"> relative </w:t>
      </w:r>
      <w:r>
        <w:t>costs</w:t>
      </w:r>
      <w:r>
        <w:rPr>
          <w:spacing w:val="-1"/>
        </w:rPr>
        <w:t xml:space="preserve"> </w:t>
      </w:r>
      <w:r>
        <w:t>and</w:t>
      </w:r>
      <w:r>
        <w:rPr>
          <w:spacing w:val="-1"/>
        </w:rPr>
        <w:t xml:space="preserve"> </w:t>
      </w:r>
      <w:r>
        <w:t>benefits</w:t>
      </w:r>
      <w:r>
        <w:rPr>
          <w:spacing w:val="-1"/>
        </w:rPr>
        <w:t xml:space="preserve"> </w:t>
      </w:r>
      <w:r>
        <w:t>of</w:t>
      </w:r>
      <w:r>
        <w:rPr>
          <w:spacing w:val="4"/>
        </w:rPr>
        <w:t xml:space="preserve"> </w:t>
      </w:r>
      <w:r>
        <w:t>the</w:t>
      </w:r>
      <w:r>
        <w:rPr>
          <w:spacing w:val="-1"/>
        </w:rPr>
        <w:t xml:space="preserve"> </w:t>
      </w:r>
      <w:r>
        <w:t>biennial</w:t>
      </w:r>
      <w:r>
        <w:rPr>
          <w:spacing w:val="-1"/>
        </w:rPr>
        <w:t xml:space="preserve"> recalibration process</w:t>
      </w:r>
    </w:p>
    <w:p w:rsidR="00D96B91" w:rsidRDefault="00C2656B">
      <w:pPr>
        <w:pStyle w:val="BodyText"/>
        <w:numPr>
          <w:ilvl w:val="0"/>
          <w:numId w:val="131"/>
        </w:numPr>
        <w:tabs>
          <w:tab w:val="left" w:pos="1531"/>
        </w:tabs>
        <w:spacing w:before="72"/>
        <w:ind w:hanging="283"/>
      </w:pPr>
      <w:r>
        <w:t>whether</w:t>
      </w:r>
      <w:r>
        <w:rPr>
          <w:spacing w:val="-1"/>
        </w:rPr>
        <w:t xml:space="preserve"> </w:t>
      </w:r>
      <w:r>
        <w:t>these</w:t>
      </w:r>
      <w:r>
        <w:rPr>
          <w:spacing w:val="-1"/>
        </w:rPr>
        <w:t xml:space="preserve"> </w:t>
      </w:r>
      <w:r>
        <w:t>benefits</w:t>
      </w:r>
      <w:r>
        <w:rPr>
          <w:spacing w:val="-1"/>
        </w:rPr>
        <w:t xml:space="preserve"> </w:t>
      </w:r>
      <w:r>
        <w:t>can be</w:t>
      </w:r>
      <w:r>
        <w:rPr>
          <w:spacing w:val="-1"/>
        </w:rPr>
        <w:t xml:space="preserve"> </w:t>
      </w:r>
      <w:r>
        <w:t>achieved</w:t>
      </w:r>
      <w:r>
        <w:rPr>
          <w:spacing w:val="-1"/>
        </w:rPr>
        <w:t xml:space="preserve"> through</w:t>
      </w:r>
      <w:r>
        <w:t xml:space="preserve"> other</w:t>
      </w:r>
      <w:r>
        <w:rPr>
          <w:spacing w:val="-1"/>
        </w:rPr>
        <w:t xml:space="preserve"> </w:t>
      </w:r>
      <w:r>
        <w:t>less</w:t>
      </w:r>
      <w:r>
        <w:rPr>
          <w:spacing w:val="-1"/>
        </w:rPr>
        <w:t xml:space="preserve"> </w:t>
      </w:r>
      <w:r>
        <w:t xml:space="preserve">costly </w:t>
      </w:r>
      <w:r>
        <w:rPr>
          <w:spacing w:val="-1"/>
        </w:rPr>
        <w:t>measures,</w:t>
      </w:r>
      <w:r>
        <w:rPr>
          <w:spacing w:val="-7"/>
        </w:rPr>
        <w:t xml:space="preserve"> </w:t>
      </w:r>
      <w:r>
        <w:t>and</w:t>
      </w:r>
    </w:p>
    <w:p w:rsidR="00D96B91" w:rsidRDefault="00C2656B">
      <w:pPr>
        <w:pStyle w:val="BodyText"/>
        <w:numPr>
          <w:ilvl w:val="0"/>
          <w:numId w:val="131"/>
        </w:numPr>
        <w:tabs>
          <w:tab w:val="left" w:pos="1531"/>
        </w:tabs>
        <w:spacing w:before="64" w:line="260" w:lineRule="exact"/>
        <w:ind w:right="1390" w:hanging="283"/>
      </w:pPr>
      <w:r>
        <w:t>the</w:t>
      </w:r>
      <w:r>
        <w:rPr>
          <w:spacing w:val="-1"/>
        </w:rPr>
        <w:t xml:space="preserve"> appropriate</w:t>
      </w:r>
      <w:r>
        <w:t xml:space="preserve"> length</w:t>
      </w:r>
      <w:r>
        <w:rPr>
          <w:spacing w:val="-1"/>
        </w:rPr>
        <w:t xml:space="preserve"> </w:t>
      </w:r>
      <w:r>
        <w:t>of</w:t>
      </w:r>
      <w:r>
        <w:rPr>
          <w:spacing w:val="4"/>
        </w:rPr>
        <w:t xml:space="preserve"> </w:t>
      </w:r>
      <w:r>
        <w:t>the</w:t>
      </w:r>
      <w:r>
        <w:rPr>
          <w:spacing w:val="-1"/>
        </w:rPr>
        <w:t xml:space="preserve"> regulatory</w:t>
      </w:r>
      <w:r>
        <w:t xml:space="preserve"> period,</w:t>
      </w:r>
      <w:r>
        <w:rPr>
          <w:spacing w:val="-7"/>
        </w:rPr>
        <w:t xml:space="preserve"> </w:t>
      </w:r>
      <w:r>
        <w:t>taking account</w:t>
      </w:r>
      <w:r>
        <w:rPr>
          <w:spacing w:val="-1"/>
        </w:rPr>
        <w:t xml:space="preserve"> </w:t>
      </w:r>
      <w:r>
        <w:t>of</w:t>
      </w:r>
      <w:r>
        <w:rPr>
          <w:spacing w:val="4"/>
        </w:rPr>
        <w:t xml:space="preserve"> </w:t>
      </w:r>
      <w:r>
        <w:t>its</w:t>
      </w:r>
      <w:r>
        <w:rPr>
          <w:spacing w:val="-1"/>
        </w:rPr>
        <w:t xml:space="preserve"> </w:t>
      </w:r>
      <w:r>
        <w:t>findings on</w:t>
      </w:r>
      <w:r>
        <w:rPr>
          <w:spacing w:val="-1"/>
        </w:rPr>
        <w:t xml:space="preserve"> </w:t>
      </w:r>
      <w:r>
        <w:t>the above</w:t>
      </w:r>
      <w:r>
        <w:rPr>
          <w:spacing w:val="-1"/>
        </w:rPr>
        <w:t xml:space="preserve"> matters</w:t>
      </w:r>
      <w:r>
        <w:rPr>
          <w:spacing w:val="21"/>
        </w:rPr>
        <w:t xml:space="preserve"> </w:t>
      </w:r>
      <w:r>
        <w:t xml:space="preserve">and the </w:t>
      </w:r>
      <w:r>
        <w:rPr>
          <w:spacing w:val="-1"/>
        </w:rPr>
        <w:t>information</w:t>
      </w:r>
      <w:r>
        <w:t xml:space="preserve"> available to it.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rPr>
          <w:rFonts w:cs="Avenir Next"/>
        </w:rPr>
      </w:pPr>
      <w:r>
        <w:rPr>
          <w:rFonts w:cs="Avenir Next"/>
          <w:spacing w:val="-2"/>
        </w:rPr>
        <w:t>The</w:t>
      </w:r>
      <w:r>
        <w:rPr>
          <w:rFonts w:cs="Avenir Next"/>
        </w:rPr>
        <w:t xml:space="preserve"> main </w:t>
      </w:r>
      <w:r>
        <w:rPr>
          <w:rFonts w:cs="Avenir Next"/>
          <w:spacing w:val="-1"/>
        </w:rPr>
        <w:t>risks</w:t>
      </w:r>
      <w:r>
        <w:rPr>
          <w:rFonts w:cs="Avenir Next"/>
        </w:rPr>
        <w:t xml:space="preserve"> facing</w:t>
      </w:r>
      <w:r>
        <w:rPr>
          <w:rFonts w:cs="Avenir Next"/>
          <w:spacing w:val="-4"/>
        </w:rPr>
        <w:t xml:space="preserve"> </w:t>
      </w:r>
      <w:r>
        <w:rPr>
          <w:rFonts w:cs="Avenir Next"/>
          <w:spacing w:val="-2"/>
        </w:rPr>
        <w:t>ACTEW</w:t>
      </w:r>
      <w:r>
        <w:rPr>
          <w:rFonts w:cs="Avenir Next"/>
          <w:spacing w:val="-3"/>
        </w:rPr>
        <w:t xml:space="preserve"> </w:t>
      </w:r>
      <w:r>
        <w:rPr>
          <w:rFonts w:cs="Avenir Next"/>
        </w:rPr>
        <w:t xml:space="preserve">and its customers in this </w:t>
      </w:r>
      <w:r>
        <w:rPr>
          <w:rFonts w:cs="Avenir Next"/>
          <w:spacing w:val="-1"/>
        </w:rPr>
        <w:t>regulatory</w:t>
      </w:r>
      <w:r>
        <w:rPr>
          <w:rFonts w:cs="Avenir Next"/>
        </w:rPr>
        <w:t xml:space="preserve"> period </w:t>
      </w:r>
      <w:r>
        <w:rPr>
          <w:rFonts w:cs="Avenir Next"/>
          <w:spacing w:val="-2"/>
        </w:rPr>
        <w:t>are</w:t>
      </w:r>
      <w:r>
        <w:rPr>
          <w:rFonts w:cs="Avenir Next"/>
        </w:rPr>
        <w:t xml:space="preserve"> the </w:t>
      </w:r>
      <w:r>
        <w:rPr>
          <w:rFonts w:cs="Avenir Next"/>
          <w:spacing w:val="-1"/>
        </w:rPr>
        <w:t>risks</w:t>
      </w:r>
      <w:r>
        <w:rPr>
          <w:rFonts w:cs="Avenir Next"/>
        </w:rPr>
        <w:t xml:space="preserve"> </w:t>
      </w:r>
      <w:r>
        <w:rPr>
          <w:rFonts w:cs="Avenir Next"/>
          <w:spacing w:val="-1"/>
        </w:rPr>
        <w:t>that</w:t>
      </w:r>
      <w:r>
        <w:rPr>
          <w:rFonts w:cs="Avenir Next"/>
        </w:rPr>
        <w:t xml:space="preserve"> prices will</w:t>
      </w:r>
      <w:r>
        <w:rPr>
          <w:rFonts w:cs="Avenir Next"/>
          <w:spacing w:val="41"/>
        </w:rPr>
        <w:t xml:space="preserve"> </w:t>
      </w:r>
      <w:r>
        <w:t xml:space="preserve">be set either too low or too high due to </w:t>
      </w:r>
      <w:r>
        <w:rPr>
          <w:spacing w:val="-1"/>
        </w:rPr>
        <w:t>uncertainties</w:t>
      </w:r>
      <w:r>
        <w:t xml:space="preserve"> about actual </w:t>
      </w:r>
      <w:r>
        <w:rPr>
          <w:spacing w:val="-1"/>
        </w:rPr>
        <w:t>expenditures</w:t>
      </w:r>
      <w:r>
        <w:t xml:space="preserve"> and demand.</w:t>
      </w:r>
      <w:r>
        <w:rPr>
          <w:spacing w:val="-11"/>
        </w:rPr>
        <w:t xml:space="preserve"> </w:t>
      </w:r>
      <w:r>
        <w:rPr>
          <w:spacing w:val="-2"/>
        </w:rPr>
        <w:t>The</w:t>
      </w:r>
      <w:r>
        <w:rPr>
          <w:spacing w:val="37"/>
        </w:rPr>
        <w:t xml:space="preserve"> </w:t>
      </w:r>
      <w:r>
        <w:rPr>
          <w:rFonts w:cs="Avenir Next"/>
          <w:spacing w:val="-3"/>
        </w:rPr>
        <w:t>Panel</w:t>
      </w:r>
      <w:r>
        <w:rPr>
          <w:rFonts w:cs="Avenir Next"/>
        </w:rPr>
        <w:t xml:space="preserve"> </w:t>
      </w:r>
      <w:r>
        <w:rPr>
          <w:rFonts w:cs="Avenir Next"/>
          <w:spacing w:val="-1"/>
        </w:rPr>
        <w:t>recognises</w:t>
      </w:r>
      <w:r>
        <w:rPr>
          <w:rFonts w:cs="Avenir Next"/>
        </w:rPr>
        <w:t xml:space="preserve"> </w:t>
      </w:r>
      <w:r>
        <w:rPr>
          <w:rFonts w:cs="Avenir Next"/>
          <w:spacing w:val="-1"/>
        </w:rPr>
        <w:t>that,</w:t>
      </w:r>
      <w:r>
        <w:rPr>
          <w:rFonts w:cs="Avenir Next"/>
          <w:spacing w:val="-6"/>
        </w:rPr>
        <w:t xml:space="preserve"> </w:t>
      </w:r>
      <w:r>
        <w:rPr>
          <w:rFonts w:cs="Avenir Next"/>
        </w:rPr>
        <w:t xml:space="preserve">as a </w:t>
      </w:r>
      <w:r>
        <w:rPr>
          <w:rFonts w:cs="Avenir Next"/>
          <w:spacing w:val="-1"/>
        </w:rPr>
        <w:t>result</w:t>
      </w:r>
      <w:r>
        <w:rPr>
          <w:rFonts w:cs="Avenir Next"/>
        </w:rPr>
        <w:t xml:space="preserve"> of</w:t>
      </w:r>
      <w:r>
        <w:rPr>
          <w:rFonts w:cs="Avenir Next"/>
          <w:spacing w:val="4"/>
        </w:rPr>
        <w:t xml:space="preserve"> </w:t>
      </w:r>
      <w:r>
        <w:rPr>
          <w:rFonts w:cs="Avenir Next"/>
        </w:rPr>
        <w:t xml:space="preserve">these </w:t>
      </w:r>
      <w:r>
        <w:rPr>
          <w:rFonts w:cs="Avenir Next"/>
          <w:spacing w:val="-1"/>
        </w:rPr>
        <w:t>uncertainties,</w:t>
      </w:r>
      <w:r>
        <w:rPr>
          <w:rFonts w:cs="Avenir Next"/>
          <w:spacing w:val="-7"/>
        </w:rPr>
        <w:t xml:space="preserve"> </w:t>
      </w:r>
      <w:r>
        <w:rPr>
          <w:rFonts w:cs="Avenir Next"/>
        </w:rPr>
        <w:t xml:space="preserve">actual </w:t>
      </w:r>
      <w:r>
        <w:rPr>
          <w:rFonts w:cs="Avenir Next"/>
          <w:spacing w:val="-1"/>
        </w:rPr>
        <w:t>expenditure</w:t>
      </w:r>
      <w:r>
        <w:rPr>
          <w:rFonts w:cs="Avenir Next"/>
        </w:rPr>
        <w:t xml:space="preserve"> and demand </w:t>
      </w:r>
      <w:r>
        <w:rPr>
          <w:rFonts w:cs="Avenir Next"/>
          <w:spacing w:val="-2"/>
        </w:rPr>
        <w:t>are</w:t>
      </w:r>
      <w:r>
        <w:rPr>
          <w:rFonts w:cs="Avenir Next"/>
        </w:rPr>
        <w:t xml:space="preserve"> </w:t>
      </w:r>
      <w:r>
        <w:rPr>
          <w:rFonts w:cs="Avenir Next"/>
          <w:spacing w:val="-1"/>
        </w:rPr>
        <w:t>likely</w:t>
      </w:r>
      <w:r>
        <w:rPr>
          <w:rFonts w:cs="Avenir Next"/>
        </w:rPr>
        <w:t xml:space="preserve"> to</w:t>
      </w:r>
      <w:r>
        <w:rPr>
          <w:rFonts w:cs="Avenir Next"/>
          <w:spacing w:val="67"/>
        </w:rPr>
        <w:t xml:space="preserve"> </w:t>
      </w:r>
      <w:r>
        <w:rPr>
          <w:spacing w:val="-1"/>
        </w:rPr>
        <w:t>deviate</w:t>
      </w:r>
      <w:r>
        <w:t xml:space="preserve"> to some </w:t>
      </w:r>
      <w:r>
        <w:rPr>
          <w:spacing w:val="-1"/>
        </w:rPr>
        <w:t>extent</w:t>
      </w:r>
      <w:r>
        <w:t xml:space="preserve"> </w:t>
      </w:r>
      <w:r>
        <w:rPr>
          <w:spacing w:val="-1"/>
        </w:rPr>
        <w:t>from</w:t>
      </w:r>
      <w:r>
        <w:t xml:space="preserve"> the </w:t>
      </w:r>
      <w:r>
        <w:rPr>
          <w:spacing w:val="-1"/>
        </w:rPr>
        <w:t>forecasts</w:t>
      </w:r>
      <w:r>
        <w:t xml:space="preserve"> used to set </w:t>
      </w:r>
      <w:r>
        <w:rPr>
          <w:spacing w:val="-1"/>
        </w:rPr>
        <w:t>regulated</w:t>
      </w:r>
      <w:r>
        <w:t xml:space="preserve"> prices.</w:t>
      </w:r>
      <w:r>
        <w:rPr>
          <w:spacing w:val="-6"/>
        </w:rPr>
        <w:t xml:space="preserve"> </w:t>
      </w:r>
      <w:r>
        <w:rPr>
          <w:spacing w:val="-2"/>
        </w:rPr>
        <w:t>However,</w:t>
      </w:r>
      <w:r>
        <w:rPr>
          <w:spacing w:val="-6"/>
        </w:rPr>
        <w:t xml:space="preserve"> </w:t>
      </w:r>
      <w:r>
        <w:t xml:space="preserve">in the </w:t>
      </w:r>
      <w:r>
        <w:rPr>
          <w:spacing w:val="-4"/>
        </w:rPr>
        <w:t>Panel’s</w:t>
      </w:r>
      <w:r>
        <w:t xml:space="preserve"> </w:t>
      </w:r>
      <w:r>
        <w:rPr>
          <w:spacing w:val="-2"/>
        </w:rPr>
        <w:t>view,</w:t>
      </w:r>
      <w:r>
        <w:rPr>
          <w:spacing w:val="63"/>
        </w:rPr>
        <w:t xml:space="preserve"> </w:t>
      </w:r>
      <w:r>
        <w:t>the</w:t>
      </w:r>
      <w:r>
        <w:rPr>
          <w:spacing w:val="-1"/>
        </w:rPr>
        <w:t xml:space="preserve"> </w:t>
      </w:r>
      <w:r>
        <w:t>risk</w:t>
      </w:r>
      <w:r>
        <w:rPr>
          <w:spacing w:val="-1"/>
        </w:rPr>
        <w:t xml:space="preserve"> </w:t>
      </w:r>
      <w:r>
        <w:t>of</w:t>
      </w:r>
      <w:r>
        <w:rPr>
          <w:spacing w:val="4"/>
        </w:rPr>
        <w:t xml:space="preserve"> </w:t>
      </w:r>
      <w:r>
        <w:t>significant</w:t>
      </w:r>
      <w:r>
        <w:rPr>
          <w:spacing w:val="-1"/>
        </w:rPr>
        <w:t xml:space="preserve"> deviations </w:t>
      </w:r>
      <w:r>
        <w:t>over the</w:t>
      </w:r>
      <w:r>
        <w:rPr>
          <w:spacing w:val="-1"/>
        </w:rPr>
        <w:t xml:space="preserve"> current</w:t>
      </w:r>
      <w:r>
        <w:t xml:space="preserve"> </w:t>
      </w:r>
      <w:r>
        <w:rPr>
          <w:spacing w:val="-1"/>
        </w:rPr>
        <w:t xml:space="preserve">regulatory </w:t>
      </w:r>
      <w:r>
        <w:t>period</w:t>
      </w:r>
      <w:r>
        <w:rPr>
          <w:spacing w:val="-1"/>
        </w:rPr>
        <w:t xml:space="preserve"> </w:t>
      </w:r>
      <w:r>
        <w:t>can be</w:t>
      </w:r>
      <w:r>
        <w:rPr>
          <w:spacing w:val="-1"/>
        </w:rPr>
        <w:t xml:space="preserve"> dealt </w:t>
      </w:r>
      <w:r>
        <w:t xml:space="preserve">with </w:t>
      </w:r>
      <w:r>
        <w:rPr>
          <w:spacing w:val="-1"/>
        </w:rPr>
        <w:t xml:space="preserve">effectively </w:t>
      </w:r>
      <w:r>
        <w:t>and</w:t>
      </w:r>
      <w:r>
        <w:rPr>
          <w:spacing w:val="51"/>
        </w:rPr>
        <w:t xml:space="preserve"> </w:t>
      </w:r>
      <w:r>
        <w:rPr>
          <w:rFonts w:cs="Avenir Next"/>
          <w:spacing w:val="-1"/>
        </w:rPr>
        <w:t>proportionately</w:t>
      </w:r>
      <w:r>
        <w:rPr>
          <w:rFonts w:cs="Avenir Next"/>
        </w:rPr>
        <w:t xml:space="preserve"> by adopting the following form of</w:t>
      </w:r>
      <w:r>
        <w:rPr>
          <w:rFonts w:cs="Avenir Next"/>
          <w:spacing w:val="4"/>
        </w:rPr>
        <w:t xml:space="preserve"> </w:t>
      </w:r>
      <w:r>
        <w:rPr>
          <w:rFonts w:cs="Avenir Next"/>
          <w:spacing w:val="-1"/>
        </w:rPr>
        <w:t>regulatory</w:t>
      </w:r>
      <w:r>
        <w:rPr>
          <w:rFonts w:cs="Avenir Next"/>
        </w:rPr>
        <w:t xml:space="preserve"> </w:t>
      </w:r>
      <w:r>
        <w:rPr>
          <w:rFonts w:cs="Avenir Next"/>
          <w:spacing w:val="-1"/>
        </w:rPr>
        <w:t>control</w:t>
      </w:r>
      <w:r>
        <w:rPr>
          <w:rFonts w:cs="Avenir Next"/>
        </w:rPr>
        <w:t xml:space="preserve"> and risk </w:t>
      </w:r>
      <w:r>
        <w:rPr>
          <w:rFonts w:cs="Avenir Next"/>
          <w:spacing w:val="-1"/>
        </w:rPr>
        <w:t>allocation</w:t>
      </w:r>
      <w:r>
        <w:rPr>
          <w:rFonts w:cs="Avenir Next"/>
        </w:rPr>
        <w:t xml:space="preserve"> tools:</w:t>
      </w:r>
    </w:p>
    <w:p w:rsidR="00D96B91" w:rsidRDefault="00C2656B">
      <w:pPr>
        <w:pStyle w:val="BodyText"/>
        <w:numPr>
          <w:ilvl w:val="0"/>
          <w:numId w:val="131"/>
        </w:numPr>
        <w:tabs>
          <w:tab w:val="left" w:pos="1531"/>
        </w:tabs>
        <w:spacing w:before="170" w:line="260" w:lineRule="exact"/>
        <w:ind w:right="1356" w:hanging="283"/>
      </w:pPr>
      <w:r>
        <w:t>A</w:t>
      </w:r>
      <w:r>
        <w:rPr>
          <w:spacing w:val="-4"/>
        </w:rPr>
        <w:t xml:space="preserve"> </w:t>
      </w:r>
      <w:r>
        <w:t xml:space="preserve">hybrid price and </w:t>
      </w:r>
      <w:r>
        <w:rPr>
          <w:spacing w:val="-1"/>
        </w:rPr>
        <w:t>revenue</w:t>
      </w:r>
      <w:r>
        <w:t xml:space="preserve"> cap form of</w:t>
      </w:r>
      <w:r>
        <w:rPr>
          <w:spacing w:val="4"/>
        </w:rPr>
        <w:t xml:space="preserve"> </w:t>
      </w:r>
      <w:r>
        <w:rPr>
          <w:spacing w:val="-1"/>
        </w:rPr>
        <w:t>control</w:t>
      </w:r>
      <w:r>
        <w:t xml:space="preserve"> with individual price caps for </w:t>
      </w:r>
      <w:r>
        <w:rPr>
          <w:spacing w:val="-1"/>
        </w:rPr>
        <w:t>water</w:t>
      </w:r>
      <w:r>
        <w:t xml:space="preserve"> and </w:t>
      </w:r>
      <w:r>
        <w:rPr>
          <w:spacing w:val="-1"/>
        </w:rPr>
        <w:t>sewerage</w:t>
      </w:r>
      <w:r>
        <w:rPr>
          <w:spacing w:val="27"/>
        </w:rPr>
        <w:t xml:space="preserve"> </w:t>
      </w:r>
      <w:r>
        <w:rPr>
          <w:spacing w:val="-1"/>
        </w:rPr>
        <w:t>charges</w:t>
      </w:r>
      <w:r>
        <w:t xml:space="preserve"> and a demand </w:t>
      </w:r>
      <w:r>
        <w:rPr>
          <w:spacing w:val="-1"/>
        </w:rPr>
        <w:t>volatility</w:t>
      </w:r>
      <w:r>
        <w:t xml:space="preserve"> adjustment mechanism </w:t>
      </w:r>
      <w:r>
        <w:rPr>
          <w:spacing w:val="-1"/>
        </w:rPr>
        <w:t>that</w:t>
      </w:r>
      <w:r>
        <w:t xml:space="preserve"> will be </w:t>
      </w:r>
      <w:r>
        <w:rPr>
          <w:spacing w:val="-1"/>
        </w:rPr>
        <w:t>triggered</w:t>
      </w:r>
      <w:r>
        <w:t xml:space="preserve"> if</w:t>
      </w:r>
      <w:r>
        <w:rPr>
          <w:spacing w:val="4"/>
        </w:rPr>
        <w:t xml:space="preserve"> </w:t>
      </w:r>
      <w:r>
        <w:rPr>
          <w:spacing w:val="-1"/>
        </w:rPr>
        <w:t>deviations</w:t>
      </w:r>
      <w:r>
        <w:t xml:space="preserve"> between</w:t>
      </w:r>
      <w:r>
        <w:rPr>
          <w:spacing w:val="49"/>
        </w:rPr>
        <w:t xml:space="preserve"> </w:t>
      </w:r>
      <w:r>
        <w:t xml:space="preserve">actual and </w:t>
      </w:r>
      <w:r>
        <w:rPr>
          <w:spacing w:val="-1"/>
        </w:rPr>
        <w:t>forecast</w:t>
      </w:r>
      <w:r>
        <w:t xml:space="preserve"> </w:t>
      </w:r>
      <w:r>
        <w:rPr>
          <w:spacing w:val="-1"/>
        </w:rPr>
        <w:t>water</w:t>
      </w:r>
      <w:r>
        <w:t xml:space="preserve"> sales </w:t>
      </w:r>
      <w:r>
        <w:rPr>
          <w:spacing w:val="-1"/>
        </w:rPr>
        <w:t>revenue</w:t>
      </w:r>
      <w:r>
        <w:t xml:space="preserve"> fall outside a 7% </w:t>
      </w:r>
      <w:r>
        <w:rPr>
          <w:spacing w:val="-1"/>
        </w:rPr>
        <w:t>deadband.</w:t>
      </w:r>
    </w:p>
    <w:p w:rsidR="00D96B91" w:rsidRDefault="00C2656B">
      <w:pPr>
        <w:pStyle w:val="BodyText"/>
        <w:numPr>
          <w:ilvl w:val="0"/>
          <w:numId w:val="131"/>
        </w:numPr>
        <w:tabs>
          <w:tab w:val="left" w:pos="1531"/>
        </w:tabs>
        <w:spacing w:before="85" w:line="260" w:lineRule="exact"/>
        <w:ind w:right="2201" w:hanging="283"/>
      </w:pPr>
      <w:r>
        <w:t>A</w:t>
      </w:r>
      <w:r>
        <w:rPr>
          <w:spacing w:val="-4"/>
        </w:rPr>
        <w:t xml:space="preserve"> </w:t>
      </w:r>
      <w:r>
        <w:t xml:space="preserve">consumer price </w:t>
      </w:r>
      <w:r>
        <w:rPr>
          <w:spacing w:val="-1"/>
        </w:rPr>
        <w:t>index</w:t>
      </w:r>
      <w:r>
        <w:t xml:space="preserve"> (CPI) </w:t>
      </w:r>
      <w:r>
        <w:rPr>
          <w:spacing w:val="-1"/>
        </w:rPr>
        <w:t>escalation</w:t>
      </w:r>
      <w:r>
        <w:t xml:space="preserve"> mechanism,</w:t>
      </w:r>
      <w:r>
        <w:rPr>
          <w:spacing w:val="-6"/>
        </w:rPr>
        <w:t xml:space="preserve"> </w:t>
      </w:r>
      <w:r>
        <w:t xml:space="preserve">which will </w:t>
      </w:r>
      <w:r>
        <w:rPr>
          <w:spacing w:val="-1"/>
        </w:rPr>
        <w:t>provide</w:t>
      </w:r>
      <w:r>
        <w:rPr>
          <w:spacing w:val="-4"/>
        </w:rPr>
        <w:t xml:space="preserve"> </w:t>
      </w:r>
      <w:r>
        <w:rPr>
          <w:spacing w:val="-2"/>
        </w:rPr>
        <w:t>ACTEW</w:t>
      </w:r>
      <w:r>
        <w:rPr>
          <w:spacing w:val="-3"/>
        </w:rPr>
        <w:t xml:space="preserve"> </w:t>
      </w:r>
      <w:r>
        <w:t>with some</w:t>
      </w:r>
      <w:r>
        <w:rPr>
          <w:spacing w:val="37"/>
        </w:rPr>
        <w:t xml:space="preserve"> </w:t>
      </w:r>
      <w:r>
        <w:rPr>
          <w:spacing w:val="-1"/>
        </w:rPr>
        <w:t xml:space="preserve">protection </w:t>
      </w:r>
      <w:r>
        <w:t>against</w:t>
      </w:r>
      <w:r>
        <w:rPr>
          <w:spacing w:val="-1"/>
        </w:rPr>
        <w:t xml:space="preserve"> </w:t>
      </w:r>
      <w:r>
        <w:t>changes in</w:t>
      </w:r>
      <w:r>
        <w:rPr>
          <w:spacing w:val="-1"/>
        </w:rPr>
        <w:t xml:space="preserve"> inflation</w:t>
      </w:r>
      <w:r>
        <w:t xml:space="preserve"> over</w:t>
      </w:r>
      <w:r>
        <w:rPr>
          <w:spacing w:val="-1"/>
        </w:rPr>
        <w:t xml:space="preserve"> </w:t>
      </w:r>
      <w:r>
        <w:t>the period.</w:t>
      </w:r>
    </w:p>
    <w:p w:rsidR="00D96B91" w:rsidRDefault="00C2656B">
      <w:pPr>
        <w:pStyle w:val="BodyText"/>
        <w:numPr>
          <w:ilvl w:val="0"/>
          <w:numId w:val="131"/>
        </w:numPr>
        <w:tabs>
          <w:tab w:val="left" w:pos="1531"/>
        </w:tabs>
        <w:spacing w:before="85" w:line="260" w:lineRule="exact"/>
        <w:ind w:right="1819" w:hanging="283"/>
      </w:pPr>
      <w:r>
        <w:t xml:space="preserve">An annual cost </w:t>
      </w:r>
      <w:r>
        <w:rPr>
          <w:spacing w:val="-1"/>
        </w:rPr>
        <w:t>pass-through</w:t>
      </w:r>
      <w:r>
        <w:t xml:space="preserve"> mechanism,</w:t>
      </w:r>
      <w:r>
        <w:rPr>
          <w:spacing w:val="-6"/>
        </w:rPr>
        <w:t xml:space="preserve"> </w:t>
      </w:r>
      <w:r>
        <w:t xml:space="preserve">which will </w:t>
      </w:r>
      <w:r>
        <w:rPr>
          <w:spacing w:val="-1"/>
        </w:rPr>
        <w:t>provide</w:t>
      </w:r>
      <w:r>
        <w:rPr>
          <w:spacing w:val="-4"/>
        </w:rPr>
        <w:t xml:space="preserve"> </w:t>
      </w:r>
      <w:r>
        <w:rPr>
          <w:spacing w:val="-2"/>
        </w:rPr>
        <w:t>ACTEW</w:t>
      </w:r>
      <w:r>
        <w:rPr>
          <w:spacing w:val="-3"/>
        </w:rPr>
        <w:t xml:space="preserve"> </w:t>
      </w:r>
      <w:r>
        <w:t>and customers with some</w:t>
      </w:r>
      <w:r>
        <w:rPr>
          <w:spacing w:val="31"/>
        </w:rPr>
        <w:t xml:space="preserve"> </w:t>
      </w:r>
      <w:r>
        <w:rPr>
          <w:rFonts w:cs="Avenir Next"/>
          <w:spacing w:val="-1"/>
        </w:rPr>
        <w:t>protection</w:t>
      </w:r>
      <w:r>
        <w:rPr>
          <w:rFonts w:cs="Avenir Next"/>
        </w:rPr>
        <w:t xml:space="preserve"> against changes in government </w:t>
      </w:r>
      <w:r>
        <w:rPr>
          <w:rFonts w:cs="Avenir Next"/>
          <w:spacing w:val="-1"/>
        </w:rPr>
        <w:t>charges</w:t>
      </w:r>
      <w:r>
        <w:rPr>
          <w:rFonts w:cs="Avenir Next"/>
        </w:rPr>
        <w:t xml:space="preserve"> and other </w:t>
      </w:r>
      <w:r>
        <w:rPr>
          <w:rFonts w:cs="Avenir Next"/>
          <w:spacing w:val="-1"/>
        </w:rPr>
        <w:t>material</w:t>
      </w:r>
      <w:r>
        <w:rPr>
          <w:rFonts w:cs="Avenir Next"/>
        </w:rPr>
        <w:t xml:space="preserve"> changes (positive and</w:t>
      </w:r>
      <w:r>
        <w:rPr>
          <w:rFonts w:cs="Avenir Next"/>
          <w:spacing w:val="29"/>
        </w:rPr>
        <w:t xml:space="preserve"> </w:t>
      </w:r>
      <w:r>
        <w:rPr>
          <w:spacing w:val="-1"/>
        </w:rPr>
        <w:t>negative)</w:t>
      </w:r>
      <w:r>
        <w:t xml:space="preserve"> in</w:t>
      </w:r>
      <w:r>
        <w:rPr>
          <w:spacing w:val="-4"/>
        </w:rPr>
        <w:t xml:space="preserve"> </w:t>
      </w:r>
      <w:r>
        <w:rPr>
          <w:spacing w:val="-2"/>
        </w:rPr>
        <w:t>ACTEW’s</w:t>
      </w:r>
      <w:r>
        <w:t xml:space="preserve"> </w:t>
      </w:r>
      <w:r>
        <w:rPr>
          <w:spacing w:val="-1"/>
        </w:rPr>
        <w:t>uncontrollable</w:t>
      </w:r>
      <w:r>
        <w:t xml:space="preserve"> costs over the period.</w:t>
      </w:r>
    </w:p>
    <w:p w:rsidR="00D96B91" w:rsidRDefault="00C2656B">
      <w:pPr>
        <w:pStyle w:val="BodyText"/>
        <w:numPr>
          <w:ilvl w:val="0"/>
          <w:numId w:val="131"/>
        </w:numPr>
        <w:tabs>
          <w:tab w:val="left" w:pos="1531"/>
        </w:tabs>
        <w:spacing w:before="85" w:line="260" w:lineRule="exact"/>
        <w:ind w:right="1411" w:hanging="283"/>
      </w:pPr>
      <w:r>
        <w:t xml:space="preserve">An </w:t>
      </w:r>
      <w:r>
        <w:rPr>
          <w:i/>
          <w:spacing w:val="-1"/>
        </w:rPr>
        <w:t>ex</w:t>
      </w:r>
      <w:r>
        <w:rPr>
          <w:i/>
        </w:rPr>
        <w:t xml:space="preserve"> post </w:t>
      </w:r>
      <w:r>
        <w:t xml:space="preserve">capital </w:t>
      </w:r>
      <w:r>
        <w:rPr>
          <w:spacing w:val="-1"/>
        </w:rPr>
        <w:t>expenditure</w:t>
      </w:r>
      <w:r>
        <w:t xml:space="preserve"> </w:t>
      </w:r>
      <w:r>
        <w:rPr>
          <w:spacing w:val="-2"/>
        </w:rPr>
        <w:t>review,</w:t>
      </w:r>
      <w:r>
        <w:rPr>
          <w:spacing w:val="-7"/>
        </w:rPr>
        <w:t xml:space="preserve"> </w:t>
      </w:r>
      <w:r>
        <w:t>which will allow the ICRC to assess the prudence and</w:t>
      </w:r>
      <w:r>
        <w:rPr>
          <w:spacing w:val="28"/>
        </w:rPr>
        <w:t xml:space="preserve"> </w:t>
      </w:r>
      <w:r>
        <w:rPr>
          <w:spacing w:val="-1"/>
        </w:rPr>
        <w:t xml:space="preserve">efficiency </w:t>
      </w:r>
      <w:r>
        <w:t>of</w:t>
      </w:r>
      <w:r>
        <w:rPr>
          <w:spacing w:val="3"/>
        </w:rPr>
        <w:t xml:space="preserve"> </w:t>
      </w:r>
      <w:r>
        <w:t>the capital</w:t>
      </w:r>
      <w:r>
        <w:rPr>
          <w:spacing w:val="-1"/>
        </w:rPr>
        <w:t xml:space="preserve"> expenditure</w:t>
      </w:r>
      <w:r>
        <w:t xml:space="preserve"> actually</w:t>
      </w:r>
      <w:r>
        <w:rPr>
          <w:spacing w:val="-1"/>
        </w:rPr>
        <w:t xml:space="preserve"> incurred</w:t>
      </w:r>
      <w:r>
        <w:t xml:space="preserve"> by</w:t>
      </w:r>
      <w:r>
        <w:rPr>
          <w:spacing w:val="-5"/>
        </w:rPr>
        <w:t xml:space="preserve"> </w:t>
      </w:r>
      <w:r>
        <w:rPr>
          <w:spacing w:val="-2"/>
        </w:rPr>
        <w:t>ACTEW</w:t>
      </w:r>
      <w:r>
        <w:rPr>
          <w:spacing w:val="-3"/>
        </w:rPr>
        <w:t xml:space="preserve"> </w:t>
      </w:r>
      <w:r>
        <w:t>over</w:t>
      </w:r>
      <w:r>
        <w:rPr>
          <w:spacing w:val="-1"/>
        </w:rPr>
        <w:t xml:space="preserve"> </w:t>
      </w:r>
      <w:r>
        <w:t xml:space="preserve">the </w:t>
      </w:r>
      <w:r>
        <w:rPr>
          <w:spacing w:val="-1"/>
        </w:rPr>
        <w:t>current regulatory</w:t>
      </w:r>
      <w:r>
        <w:t xml:space="preserve"> period</w:t>
      </w:r>
      <w:r>
        <w:rPr>
          <w:spacing w:val="53"/>
        </w:rPr>
        <w:t xml:space="preserve"> </w:t>
      </w:r>
      <w:r>
        <w:rPr>
          <w:spacing w:val="-1"/>
        </w:rPr>
        <w:t>before</w:t>
      </w:r>
      <w:r>
        <w:t xml:space="preserve"> </w:t>
      </w:r>
      <w:r>
        <w:rPr>
          <w:spacing w:val="-1"/>
        </w:rPr>
        <w:t>rolling</w:t>
      </w:r>
      <w:r>
        <w:t xml:space="preserve"> it into the </w:t>
      </w:r>
      <w:r>
        <w:rPr>
          <w:spacing w:val="-1"/>
        </w:rPr>
        <w:t>regulated</w:t>
      </w:r>
      <w:r>
        <w:t xml:space="preserve"> asset base in the </w:t>
      </w:r>
      <w:r>
        <w:rPr>
          <w:spacing w:val="-1"/>
        </w:rPr>
        <w:t>next</w:t>
      </w:r>
      <w:r>
        <w:t xml:space="preserve"> </w:t>
      </w:r>
      <w:r>
        <w:rPr>
          <w:spacing w:val="-1"/>
        </w:rPr>
        <w:t>determination.</w:t>
      </w:r>
    </w:p>
    <w:p w:rsidR="00D96B91" w:rsidRDefault="00C2656B">
      <w:pPr>
        <w:pStyle w:val="BodyText"/>
        <w:numPr>
          <w:ilvl w:val="0"/>
          <w:numId w:val="131"/>
        </w:numPr>
        <w:tabs>
          <w:tab w:val="left" w:pos="1531"/>
        </w:tabs>
        <w:spacing w:before="85" w:line="260" w:lineRule="exact"/>
        <w:ind w:right="1655" w:hanging="283"/>
      </w:pPr>
      <w:r>
        <w:t>A</w:t>
      </w:r>
      <w:r>
        <w:rPr>
          <w:spacing w:val="-4"/>
        </w:rPr>
        <w:t xml:space="preserve"> </w:t>
      </w:r>
      <w:r>
        <w:t xml:space="preserve">price </w:t>
      </w:r>
      <w:r>
        <w:rPr>
          <w:spacing w:val="-1"/>
        </w:rPr>
        <w:t>variation</w:t>
      </w:r>
      <w:r>
        <w:t xml:space="preserve"> trigger event mechanism,</w:t>
      </w:r>
      <w:r>
        <w:rPr>
          <w:spacing w:val="-7"/>
        </w:rPr>
        <w:t xml:space="preserve"> </w:t>
      </w:r>
      <w:r>
        <w:t xml:space="preserve">which will be used to </w:t>
      </w:r>
      <w:r>
        <w:rPr>
          <w:spacing w:val="-1"/>
        </w:rPr>
        <w:t>deal</w:t>
      </w:r>
      <w:r>
        <w:t xml:space="preserve"> with any major </w:t>
      </w:r>
      <w:r>
        <w:rPr>
          <w:spacing w:val="-1"/>
        </w:rPr>
        <w:t>unforeseen</w:t>
      </w:r>
      <w:r>
        <w:rPr>
          <w:spacing w:val="31"/>
        </w:rPr>
        <w:t xml:space="preserve"> </w:t>
      </w:r>
      <w:r>
        <w:t xml:space="preserve">event </w:t>
      </w:r>
      <w:r>
        <w:rPr>
          <w:spacing w:val="-1"/>
        </w:rPr>
        <w:t>that</w:t>
      </w:r>
      <w:r>
        <w:t xml:space="preserve"> may occur in the period.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497"/>
        <w:jc w:val="both"/>
      </w:pPr>
      <w:r>
        <w:rPr>
          <w:spacing w:val="-4"/>
        </w:rPr>
        <w:t>Table</w:t>
      </w:r>
      <w:r>
        <w:t xml:space="preserve"> 1.1 </w:t>
      </w:r>
      <w:r>
        <w:rPr>
          <w:spacing w:val="-1"/>
        </w:rPr>
        <w:t>compares</w:t>
      </w:r>
      <w:r>
        <w:t xml:space="preserve"> the </w:t>
      </w:r>
      <w:r>
        <w:rPr>
          <w:spacing w:val="-4"/>
        </w:rPr>
        <w:t>Panel’s</w:t>
      </w:r>
      <w:r>
        <w:t xml:space="preserve"> </w:t>
      </w:r>
      <w:r>
        <w:rPr>
          <w:spacing w:val="-2"/>
        </w:rPr>
        <w:t>draft</w:t>
      </w:r>
      <w:r>
        <w:t xml:space="preserve"> decision on the </w:t>
      </w:r>
      <w:r>
        <w:rPr>
          <w:spacing w:val="-1"/>
        </w:rPr>
        <w:t>regulatory</w:t>
      </w:r>
      <w:r>
        <w:t xml:space="preserve"> period,</w:t>
      </w:r>
      <w:r>
        <w:rPr>
          <w:spacing w:val="-6"/>
        </w:rPr>
        <w:t xml:space="preserve"> </w:t>
      </w:r>
      <w:r>
        <w:t>form of</w:t>
      </w:r>
      <w:r>
        <w:rPr>
          <w:spacing w:val="4"/>
        </w:rPr>
        <w:t xml:space="preserve"> </w:t>
      </w:r>
      <w:r>
        <w:rPr>
          <w:spacing w:val="-1"/>
        </w:rPr>
        <w:t>control</w:t>
      </w:r>
      <w:r>
        <w:t xml:space="preserve"> and other risk</w:t>
      </w:r>
      <w:r>
        <w:rPr>
          <w:spacing w:val="43"/>
        </w:rPr>
        <w:t xml:space="preserve"> </w:t>
      </w:r>
      <w:r>
        <w:rPr>
          <w:spacing w:val="-1"/>
        </w:rPr>
        <w:t>allocation measures,</w:t>
      </w:r>
      <w:r>
        <w:rPr>
          <w:spacing w:val="-6"/>
        </w:rPr>
        <w:t xml:space="preserve"> </w:t>
      </w:r>
      <w:r>
        <w:t>with the</w:t>
      </w:r>
      <w:r>
        <w:rPr>
          <w:spacing w:val="-1"/>
        </w:rPr>
        <w:t xml:space="preserve"> </w:t>
      </w:r>
      <w:r>
        <w:rPr>
          <w:spacing w:val="-2"/>
        </w:rPr>
        <w:t>ICRC’s</w:t>
      </w:r>
      <w:r>
        <w:t xml:space="preserve"> final decision and</w:t>
      </w:r>
      <w:r>
        <w:rPr>
          <w:spacing w:val="-5"/>
        </w:rPr>
        <w:t xml:space="preserve"> </w:t>
      </w:r>
      <w:r>
        <w:rPr>
          <w:spacing w:val="-2"/>
        </w:rPr>
        <w:t>ACTEW’s</w:t>
      </w:r>
      <w:r>
        <w:t xml:space="preserve"> </w:t>
      </w:r>
      <w:r>
        <w:rPr>
          <w:spacing w:val="-1"/>
        </w:rPr>
        <w:t>proposal</w:t>
      </w:r>
      <w:r>
        <w:t xml:space="preserve"> as outlined</w:t>
      </w:r>
      <w:r>
        <w:rPr>
          <w:spacing w:val="-1"/>
        </w:rPr>
        <w:t xml:space="preserve"> </w:t>
      </w:r>
      <w:r>
        <w:t xml:space="preserve">in its </w:t>
      </w:r>
      <w:r>
        <w:rPr>
          <w:spacing w:val="-1"/>
        </w:rPr>
        <w:t>Statement</w:t>
      </w:r>
      <w:r>
        <w:rPr>
          <w:spacing w:val="47"/>
        </w:rPr>
        <w:t xml:space="preserve"> </w:t>
      </w:r>
      <w:r>
        <w:t>of</w:t>
      </w:r>
      <w:r>
        <w:rPr>
          <w:spacing w:val="4"/>
        </w:rPr>
        <w:t xml:space="preserve"> </w:t>
      </w:r>
      <w:r>
        <w:rPr>
          <w:spacing w:val="-2"/>
        </w:rPr>
        <w:t>Facts</w:t>
      </w:r>
      <w:r>
        <w:t xml:space="preserve"> and </w:t>
      </w:r>
      <w:r>
        <w:rPr>
          <w:spacing w:val="-1"/>
        </w:rPr>
        <w:t>Contentions</w:t>
      </w:r>
      <w:r>
        <w:t xml:space="preserve"> (SOFC).</w:t>
      </w:r>
    </w:p>
    <w:p w:rsidR="00D96B91" w:rsidRDefault="00D96B91">
      <w:pPr>
        <w:spacing w:line="260" w:lineRule="exact"/>
        <w:jc w:val="both"/>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1.1: </w:t>
      </w:r>
      <w:r>
        <w:rPr>
          <w:rFonts w:ascii="Avenir Next"/>
          <w:b/>
          <w:spacing w:val="-1"/>
          <w:sz w:val="20"/>
        </w:rPr>
        <w:t>Comparison</w:t>
      </w:r>
      <w:r>
        <w:rPr>
          <w:rFonts w:ascii="Avenir Next"/>
          <w:b/>
          <w:sz w:val="20"/>
        </w:rPr>
        <w:t xml:space="preserve"> of</w:t>
      </w:r>
      <w:r>
        <w:rPr>
          <w:rFonts w:ascii="Avenir Next"/>
          <w:b/>
          <w:spacing w:val="4"/>
          <w:sz w:val="20"/>
        </w:rPr>
        <w:t xml:space="preserve"> </w:t>
      </w:r>
      <w:r>
        <w:rPr>
          <w:rFonts w:ascii="Avenir Next"/>
          <w:b/>
          <w:spacing w:val="-1"/>
          <w:sz w:val="20"/>
        </w:rPr>
        <w:t>regulatory</w:t>
      </w:r>
      <w:r>
        <w:rPr>
          <w:rFonts w:ascii="Avenir Next"/>
          <w:b/>
          <w:sz w:val="20"/>
        </w:rPr>
        <w:t xml:space="preserve"> period,</w:t>
      </w:r>
      <w:r>
        <w:rPr>
          <w:rFonts w:ascii="Avenir Next"/>
          <w:b/>
          <w:spacing w:val="-6"/>
          <w:sz w:val="20"/>
        </w:rPr>
        <w:t xml:space="preserve"> </w:t>
      </w:r>
      <w:r>
        <w:rPr>
          <w:rFonts w:ascii="Avenir Next"/>
          <w:b/>
          <w:sz w:val="20"/>
        </w:rPr>
        <w:t>form of</w:t>
      </w:r>
      <w:r>
        <w:rPr>
          <w:rFonts w:ascii="Avenir Next"/>
          <w:b/>
          <w:spacing w:val="4"/>
          <w:sz w:val="20"/>
        </w:rPr>
        <w:t xml:space="preserve"> </w:t>
      </w:r>
      <w:r>
        <w:rPr>
          <w:rFonts w:ascii="Avenir Next"/>
          <w:b/>
          <w:spacing w:val="-1"/>
          <w:sz w:val="20"/>
        </w:rPr>
        <w:t>control</w:t>
      </w:r>
      <w:r>
        <w:rPr>
          <w:rFonts w:ascii="Avenir Next"/>
          <w:b/>
          <w:sz w:val="20"/>
        </w:rPr>
        <w:t xml:space="preserve"> and other risk </w:t>
      </w:r>
      <w:r>
        <w:rPr>
          <w:rFonts w:ascii="Avenir Next"/>
          <w:b/>
          <w:spacing w:val="-1"/>
          <w:sz w:val="20"/>
        </w:rPr>
        <w:t>allocation</w:t>
      </w:r>
      <w:r>
        <w:rPr>
          <w:rFonts w:ascii="Avenir Next"/>
          <w:b/>
          <w:sz w:val="20"/>
        </w:rPr>
        <w:t xml:space="preserve"> </w:t>
      </w:r>
      <w:r>
        <w:rPr>
          <w:rFonts w:ascii="Avenir Next"/>
          <w:b/>
          <w:spacing w:val="-1"/>
          <w:sz w:val="20"/>
        </w:rPr>
        <w:t>measures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095"/>
        <w:gridCol w:w="3496"/>
        <w:gridCol w:w="2759"/>
        <w:gridCol w:w="2098"/>
      </w:tblGrid>
      <w:tr w:rsidR="00D96B91" w:rsidTr="00D174F6">
        <w:trPr>
          <w:trHeight w:hRule="exact" w:val="622"/>
        </w:trPr>
        <w:tc>
          <w:tcPr>
            <w:tcW w:w="1095" w:type="dxa"/>
            <w:tcBorders>
              <w:top w:val="nil"/>
              <w:left w:val="single" w:sz="4" w:space="0" w:color="1A9EDA"/>
              <w:bottom w:val="nil"/>
              <w:right w:val="single" w:sz="4" w:space="0" w:color="17A7E0"/>
            </w:tcBorders>
            <w:shd w:val="clear" w:color="auto" w:fill="0070C0"/>
          </w:tcPr>
          <w:p w:rsidR="00D96B91" w:rsidRDefault="00D96B91" w:rsidP="004C4403">
            <w:pPr>
              <w:ind w:left="34"/>
            </w:pPr>
          </w:p>
        </w:tc>
        <w:tc>
          <w:tcPr>
            <w:tcW w:w="3496" w:type="dxa"/>
            <w:tcBorders>
              <w:top w:val="single" w:sz="4" w:space="0" w:color="1A9EDA"/>
              <w:left w:val="single" w:sz="4" w:space="0" w:color="1A9EDA"/>
              <w:bottom w:val="single" w:sz="4" w:space="0" w:color="17A7E0"/>
              <w:right w:val="single" w:sz="4" w:space="0" w:color="1A9EDA"/>
            </w:tcBorders>
            <w:shd w:val="clear" w:color="auto" w:fill="0070C0"/>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2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Panel’s</w:t>
            </w:r>
            <w:r>
              <w:rPr>
                <w:rFonts w:ascii="Avenir Next Condensed" w:eastAsia="Avenir Next Condensed" w:hAnsi="Avenir Next Condensed" w:cs="Avenir Next Condensed"/>
                <w:b/>
                <w:bCs/>
                <w:color w:val="FFFFFF"/>
                <w:sz w:val="18"/>
                <w:szCs w:val="18"/>
              </w:rPr>
              <w:t xml:space="preserve"> </w:t>
            </w:r>
            <w:r>
              <w:rPr>
                <w:rFonts w:ascii="Avenir Next Condensed" w:eastAsia="Avenir Next Condensed" w:hAnsi="Avenir Next Condensed" w:cs="Avenir Next Condensed"/>
                <w:b/>
                <w:bCs/>
                <w:color w:val="FFFFFF"/>
                <w:spacing w:val="-1"/>
                <w:sz w:val="18"/>
                <w:szCs w:val="18"/>
              </w:rPr>
              <w:t>draft</w:t>
            </w:r>
            <w:r>
              <w:rPr>
                <w:rFonts w:ascii="Avenir Next Condensed" w:eastAsia="Avenir Next Condensed" w:hAnsi="Avenir Next Condensed" w:cs="Avenir Next Condensed"/>
                <w:b/>
                <w:bCs/>
                <w:color w:val="FFFFFF"/>
                <w:sz w:val="18"/>
                <w:szCs w:val="18"/>
              </w:rPr>
              <w:t xml:space="preserve"> decision</w:t>
            </w:r>
          </w:p>
        </w:tc>
        <w:tc>
          <w:tcPr>
            <w:tcW w:w="2759" w:type="dxa"/>
            <w:tcBorders>
              <w:top w:val="single" w:sz="4" w:space="0" w:color="1A9EDA"/>
              <w:left w:val="single" w:sz="4" w:space="0" w:color="1A9EDA"/>
              <w:bottom w:val="single" w:sz="4" w:space="0" w:color="1A9EDA"/>
              <w:right w:val="single" w:sz="4" w:space="0" w:color="1A9EDA"/>
            </w:tcBorders>
            <w:shd w:val="clear" w:color="auto" w:fill="0070C0"/>
          </w:tcPr>
          <w:p w:rsidR="00D96B91" w:rsidRDefault="00C2656B">
            <w:pPr>
              <w:pStyle w:val="TableParagraph"/>
              <w:spacing w:before="112" w:line="220" w:lineRule="exact"/>
              <w:ind w:left="646" w:right="592" w:hanging="5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z w:val="18"/>
                <w:szCs w:val="18"/>
              </w:rPr>
              <w:t xml:space="preserve">Original price </w:t>
            </w:r>
            <w:r>
              <w:rPr>
                <w:rFonts w:ascii="Avenir Next Condensed" w:eastAsia="Avenir Next Condensed" w:hAnsi="Avenir Next Condensed" w:cs="Avenir Next Condensed"/>
                <w:b/>
                <w:bCs/>
                <w:color w:val="FFFFFF"/>
                <w:spacing w:val="-1"/>
                <w:sz w:val="18"/>
                <w:szCs w:val="18"/>
              </w:rPr>
              <w:t>direction</w:t>
            </w:r>
            <w:r>
              <w:rPr>
                <w:rFonts w:ascii="Avenir Next Condensed" w:eastAsia="Avenir Next Condensed" w:hAnsi="Avenir Next Condensed" w:cs="Avenir Next Condensed"/>
                <w:b/>
                <w:bCs/>
                <w:color w:val="FFFFFF"/>
                <w:spacing w:val="27"/>
                <w:sz w:val="18"/>
                <w:szCs w:val="18"/>
              </w:rPr>
              <w:t xml:space="preserve"> </w:t>
            </w:r>
            <w:r>
              <w:rPr>
                <w:rFonts w:ascii="Avenir Next Condensed" w:eastAsia="Avenir Next Condensed" w:hAnsi="Avenir Next Condensed" w:cs="Avenir Next Condensed"/>
                <w:b/>
                <w:bCs/>
                <w:color w:val="FFFFFF"/>
                <w:spacing w:val="-1"/>
                <w:sz w:val="18"/>
                <w:szCs w:val="18"/>
              </w:rPr>
              <w:t>(ICRC’s</w:t>
            </w:r>
            <w:r>
              <w:rPr>
                <w:rFonts w:ascii="Avenir Next Condensed" w:eastAsia="Avenir Next Condensed" w:hAnsi="Avenir Next Condensed" w:cs="Avenir Next Condensed"/>
                <w:b/>
                <w:bCs/>
                <w:color w:val="FFFFFF"/>
                <w:sz w:val="18"/>
                <w:szCs w:val="18"/>
              </w:rPr>
              <w:t xml:space="preserve"> final decision)</w:t>
            </w:r>
          </w:p>
        </w:tc>
        <w:tc>
          <w:tcPr>
            <w:tcW w:w="2098" w:type="dxa"/>
            <w:tcBorders>
              <w:top w:val="single" w:sz="4" w:space="0" w:color="1A9EDA"/>
              <w:left w:val="single" w:sz="4" w:space="0" w:color="1A9EDA"/>
              <w:bottom w:val="single" w:sz="4" w:space="0" w:color="1A9EDA"/>
              <w:right w:val="single" w:sz="4" w:space="0" w:color="1A9EDA"/>
            </w:tcBorders>
            <w:shd w:val="clear" w:color="auto" w:fill="0070C0"/>
          </w:tcPr>
          <w:p w:rsidR="00D96B91" w:rsidRDefault="00D96B91" w:rsidP="00E53C47">
            <w:pPr>
              <w:pStyle w:val="TableParagraph"/>
              <w:spacing w:before="1"/>
              <w:ind w:right="58"/>
              <w:rPr>
                <w:rFonts w:ascii="Avenir Next" w:eastAsia="Avenir Next" w:hAnsi="Avenir Next" w:cs="Avenir Next"/>
                <w:b/>
                <w:bCs/>
                <w:sz w:val="24"/>
                <w:szCs w:val="24"/>
              </w:rPr>
            </w:pPr>
          </w:p>
          <w:p w:rsidR="00D96B91" w:rsidRDefault="00C2656B" w:rsidP="00E53C47">
            <w:pPr>
              <w:pStyle w:val="TableParagraph"/>
              <w:ind w:right="5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ACTEW’s</w:t>
            </w:r>
            <w:r>
              <w:rPr>
                <w:rFonts w:ascii="Avenir Next Condensed" w:eastAsia="Avenir Next Condensed" w:hAnsi="Avenir Next Condensed" w:cs="Avenir Next Condensed"/>
                <w:b/>
                <w:bCs/>
                <w:color w:val="FFFFFF"/>
                <w:sz w:val="18"/>
                <w:szCs w:val="18"/>
              </w:rPr>
              <w:t xml:space="preserve"> SOFC </w:t>
            </w:r>
            <w:r>
              <w:rPr>
                <w:rFonts w:ascii="Avenir Next Condensed" w:eastAsia="Avenir Next Condensed" w:hAnsi="Avenir Next Condensed" w:cs="Avenir Next Condensed"/>
                <w:b/>
                <w:bCs/>
                <w:color w:val="FFFFFF"/>
                <w:spacing w:val="-1"/>
                <w:sz w:val="18"/>
                <w:szCs w:val="18"/>
              </w:rPr>
              <w:t>proposal</w:t>
            </w:r>
          </w:p>
        </w:tc>
      </w:tr>
      <w:tr w:rsidR="00D96B91" w:rsidTr="00D174F6">
        <w:trPr>
          <w:trHeight w:hRule="exact" w:val="852"/>
        </w:trPr>
        <w:tc>
          <w:tcPr>
            <w:tcW w:w="1095" w:type="dxa"/>
            <w:tcBorders>
              <w:top w:val="single" w:sz="4" w:space="0" w:color="1A9EDA"/>
              <w:left w:val="single" w:sz="4" w:space="0" w:color="1A9EDA"/>
              <w:bottom w:val="single" w:sz="4" w:space="0" w:color="1A9EDA"/>
              <w:right w:val="single" w:sz="4" w:space="0" w:color="1A9EDA"/>
            </w:tcBorders>
            <w:shd w:val="clear" w:color="auto" w:fill="0070C0"/>
          </w:tcPr>
          <w:p w:rsidR="00D96B91" w:rsidRDefault="00C2656B" w:rsidP="004C4403">
            <w:pPr>
              <w:pStyle w:val="TableParagraph"/>
              <w:spacing w:before="112" w:line="220" w:lineRule="exact"/>
              <w:ind w:left="34"/>
              <w:rPr>
                <w:rFonts w:ascii="Avenir Next Condensed" w:eastAsia="Avenir Next Condensed" w:hAnsi="Avenir Next Condensed" w:cs="Avenir Next Condensed"/>
                <w:sz w:val="18"/>
                <w:szCs w:val="18"/>
              </w:rPr>
            </w:pPr>
            <w:r>
              <w:rPr>
                <w:rFonts w:ascii="Avenir Next Condensed"/>
                <w:b/>
                <w:color w:val="FFFFFF"/>
                <w:spacing w:val="-1"/>
                <w:sz w:val="18"/>
              </w:rPr>
              <w:t>Length</w:t>
            </w:r>
            <w:r>
              <w:rPr>
                <w:rFonts w:ascii="Avenir Next Condensed"/>
                <w:b/>
                <w:color w:val="FFFFFF"/>
                <w:sz w:val="18"/>
              </w:rPr>
              <w:t xml:space="preserve"> of</w:t>
            </w:r>
            <w:r>
              <w:rPr>
                <w:rFonts w:ascii="Avenir Next Condensed"/>
                <w:b/>
                <w:color w:val="FFFFFF"/>
                <w:spacing w:val="23"/>
                <w:sz w:val="18"/>
              </w:rPr>
              <w:t xml:space="preserve"> </w:t>
            </w:r>
            <w:r>
              <w:rPr>
                <w:rFonts w:ascii="Avenir Next Condensed"/>
                <w:b/>
                <w:color w:val="FFFFFF"/>
                <w:spacing w:val="-1"/>
                <w:sz w:val="18"/>
              </w:rPr>
              <w:t>regulatory</w:t>
            </w:r>
            <w:r>
              <w:rPr>
                <w:rFonts w:ascii="Avenir Next Condensed"/>
                <w:b/>
                <w:color w:val="FFFFFF"/>
                <w:spacing w:val="28"/>
                <w:sz w:val="18"/>
              </w:rPr>
              <w:t xml:space="preserve"> </w:t>
            </w:r>
            <w:r>
              <w:rPr>
                <w:rFonts w:ascii="Avenir Next Condensed"/>
                <w:b/>
                <w:color w:val="FFFFFF"/>
                <w:sz w:val="18"/>
              </w:rPr>
              <w:t>period</w:t>
            </w:r>
          </w:p>
        </w:tc>
        <w:tc>
          <w:tcPr>
            <w:tcW w:w="3496" w:type="dxa"/>
            <w:tcBorders>
              <w:top w:val="single" w:sz="4" w:space="0" w:color="17A7E0"/>
              <w:left w:val="single" w:sz="4" w:space="0" w:color="1A9EDA"/>
              <w:bottom w:val="single" w:sz="4" w:space="0" w:color="17A7E0"/>
              <w:right w:val="single" w:sz="4" w:space="0" w:color="17A7E0"/>
            </w:tcBorders>
            <w:shd w:val="clear" w:color="auto" w:fill="DCDDDE"/>
          </w:tcPr>
          <w:p w:rsidR="00D96B91" w:rsidRDefault="00C2656B">
            <w:pPr>
              <w:pStyle w:val="TableParagraph"/>
              <w:spacing w:before="112" w:line="220" w:lineRule="exact"/>
              <w:ind w:left="108" w:right="315"/>
              <w:rPr>
                <w:rFonts w:ascii="Avenir Next Condensed" w:eastAsia="Avenir Next Condensed" w:hAnsi="Avenir Next Condensed" w:cs="Avenir Next Condensed"/>
                <w:sz w:val="18"/>
                <w:szCs w:val="18"/>
              </w:rPr>
            </w:pPr>
            <w:r>
              <w:rPr>
                <w:rFonts w:ascii="Avenir Next Condensed"/>
                <w:spacing w:val="-1"/>
                <w:sz w:val="18"/>
              </w:rPr>
              <w:t>Five</w:t>
            </w:r>
            <w:r>
              <w:rPr>
                <w:rFonts w:ascii="Avenir Next Condensed"/>
                <w:sz w:val="18"/>
              </w:rPr>
              <w:t xml:space="preserve"> </w:t>
            </w:r>
            <w:r>
              <w:rPr>
                <w:rFonts w:ascii="Avenir Next Condensed"/>
                <w:spacing w:val="-1"/>
                <w:sz w:val="18"/>
              </w:rPr>
              <w:t>years</w:t>
            </w:r>
            <w:r>
              <w:rPr>
                <w:rFonts w:ascii="Avenir Next Condensed"/>
                <w:sz w:val="18"/>
              </w:rPr>
              <w:t xml:space="preserve"> (1</w:t>
            </w:r>
            <w:r>
              <w:rPr>
                <w:rFonts w:ascii="Avenir Next Condensed"/>
                <w:spacing w:val="-3"/>
                <w:sz w:val="18"/>
              </w:rPr>
              <w:t xml:space="preserve"> </w:t>
            </w:r>
            <w:r>
              <w:rPr>
                <w:rFonts w:ascii="Avenir Next Condensed"/>
                <w:sz w:val="18"/>
              </w:rPr>
              <w:t>July 2013 to 30</w:t>
            </w:r>
            <w:r>
              <w:rPr>
                <w:rFonts w:ascii="Avenir Next Condensed"/>
                <w:spacing w:val="-3"/>
                <w:sz w:val="18"/>
              </w:rPr>
              <w:t xml:space="preserve"> </w:t>
            </w:r>
            <w:r>
              <w:rPr>
                <w:rFonts w:ascii="Avenir Next Condensed"/>
                <w:sz w:val="18"/>
              </w:rPr>
              <w:t>June 2018) with no</w:t>
            </w:r>
            <w:r>
              <w:rPr>
                <w:rFonts w:ascii="Avenir Next Condensed"/>
                <w:spacing w:val="24"/>
                <w:sz w:val="18"/>
              </w:rPr>
              <w:t xml:space="preserve"> </w:t>
            </w:r>
            <w:r>
              <w:rPr>
                <w:rFonts w:ascii="Avenir Next Condensed"/>
                <w:sz w:val="18"/>
              </w:rPr>
              <w:t xml:space="preserve">biennial </w:t>
            </w:r>
            <w:r>
              <w:rPr>
                <w:rFonts w:ascii="Avenir Next Condensed"/>
                <w:spacing w:val="-1"/>
                <w:sz w:val="18"/>
              </w:rPr>
              <w:t>recalibrations.</w:t>
            </w:r>
          </w:p>
        </w:tc>
        <w:tc>
          <w:tcPr>
            <w:tcW w:w="275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rsidP="00D174F6">
            <w:pPr>
              <w:pStyle w:val="TableParagraph"/>
              <w:spacing w:before="112" w:line="220" w:lineRule="exact"/>
              <w:ind w:left="108" w:right="87"/>
              <w:rPr>
                <w:rFonts w:ascii="Avenir Next Condensed" w:eastAsia="Avenir Next Condensed" w:hAnsi="Avenir Next Condensed" w:cs="Avenir Next Condensed"/>
                <w:sz w:val="18"/>
                <w:szCs w:val="18"/>
              </w:rPr>
            </w:pPr>
            <w:r>
              <w:rPr>
                <w:rFonts w:ascii="Avenir Next Condensed"/>
                <w:sz w:val="18"/>
              </w:rPr>
              <w:t xml:space="preserve">Six </w:t>
            </w:r>
            <w:r>
              <w:rPr>
                <w:rFonts w:ascii="Avenir Next Condensed"/>
                <w:spacing w:val="-1"/>
                <w:sz w:val="18"/>
              </w:rPr>
              <w:t>years</w:t>
            </w:r>
            <w:r>
              <w:rPr>
                <w:rFonts w:ascii="Avenir Next Condensed"/>
                <w:sz w:val="18"/>
              </w:rPr>
              <w:t xml:space="preserve"> (1</w:t>
            </w:r>
            <w:r>
              <w:rPr>
                <w:rFonts w:ascii="Avenir Next Condensed"/>
                <w:spacing w:val="-3"/>
                <w:sz w:val="18"/>
              </w:rPr>
              <w:t xml:space="preserve"> </w:t>
            </w:r>
            <w:r>
              <w:rPr>
                <w:rFonts w:ascii="Avenir Next Condensed"/>
                <w:sz w:val="18"/>
              </w:rPr>
              <w:t>July 2013 to 30</w:t>
            </w:r>
            <w:r>
              <w:rPr>
                <w:rFonts w:ascii="Avenir Next Condensed"/>
                <w:spacing w:val="-3"/>
                <w:sz w:val="18"/>
              </w:rPr>
              <w:t xml:space="preserve"> </w:t>
            </w:r>
            <w:r>
              <w:rPr>
                <w:rFonts w:ascii="Avenir Next Condensed"/>
                <w:sz w:val="18"/>
              </w:rPr>
              <w:t>June 2019)</w:t>
            </w:r>
            <w:r>
              <w:rPr>
                <w:rFonts w:ascii="Avenir Next Condensed"/>
                <w:spacing w:val="23"/>
                <w:sz w:val="18"/>
              </w:rPr>
              <w:t xml:space="preserve"> </w:t>
            </w:r>
            <w:r>
              <w:rPr>
                <w:rFonts w:ascii="Avenir Next Condensed"/>
                <w:sz w:val="18"/>
              </w:rPr>
              <w:t xml:space="preserve">with two biennial </w:t>
            </w:r>
            <w:r>
              <w:rPr>
                <w:rFonts w:ascii="Avenir Next Condensed"/>
                <w:spacing w:val="-1"/>
                <w:sz w:val="18"/>
              </w:rPr>
              <w:t>recalibrations</w:t>
            </w:r>
            <w:r>
              <w:rPr>
                <w:rFonts w:ascii="Avenir Next Condensed"/>
                <w:sz w:val="18"/>
              </w:rPr>
              <w:t xml:space="preserve"> during</w:t>
            </w:r>
            <w:r>
              <w:rPr>
                <w:rFonts w:ascii="Avenir Next Condensed"/>
                <w:spacing w:val="21"/>
                <w:sz w:val="18"/>
              </w:rPr>
              <w:t xml:space="preserve"> </w:t>
            </w:r>
            <w:r>
              <w:rPr>
                <w:rFonts w:ascii="Avenir Next Condensed"/>
                <w:sz w:val="18"/>
              </w:rPr>
              <w:t>in the period.</w:t>
            </w:r>
          </w:p>
        </w:tc>
        <w:tc>
          <w:tcPr>
            <w:tcW w:w="20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rsidP="00E53C47">
            <w:pPr>
              <w:pStyle w:val="TableParagraph"/>
              <w:spacing w:before="112" w:line="220" w:lineRule="exact"/>
              <w:ind w:right="58"/>
              <w:jc w:val="both"/>
              <w:rPr>
                <w:rFonts w:ascii="Avenir Next Condensed" w:eastAsia="Avenir Next Condensed" w:hAnsi="Avenir Next Condensed" w:cs="Avenir Next Condensed"/>
                <w:sz w:val="18"/>
                <w:szCs w:val="18"/>
              </w:rPr>
            </w:pPr>
            <w:r>
              <w:rPr>
                <w:rFonts w:ascii="Avenir Next Condensed"/>
                <w:spacing w:val="-1"/>
                <w:sz w:val="18"/>
              </w:rPr>
              <w:t>Five</w:t>
            </w:r>
            <w:r>
              <w:rPr>
                <w:rFonts w:ascii="Avenir Next Condensed"/>
                <w:sz w:val="18"/>
              </w:rPr>
              <w:t xml:space="preserve"> </w:t>
            </w:r>
            <w:r>
              <w:rPr>
                <w:rFonts w:ascii="Avenir Next Condensed"/>
                <w:spacing w:val="-1"/>
                <w:sz w:val="18"/>
              </w:rPr>
              <w:t>years</w:t>
            </w:r>
            <w:r>
              <w:rPr>
                <w:rFonts w:ascii="Avenir Next Condensed"/>
                <w:sz w:val="18"/>
              </w:rPr>
              <w:t xml:space="preserve"> (1</w:t>
            </w:r>
            <w:r>
              <w:rPr>
                <w:rFonts w:ascii="Avenir Next Condensed"/>
                <w:spacing w:val="-3"/>
                <w:sz w:val="18"/>
              </w:rPr>
              <w:t xml:space="preserve"> </w:t>
            </w:r>
            <w:r>
              <w:rPr>
                <w:rFonts w:ascii="Avenir Next Condensed"/>
                <w:sz w:val="18"/>
              </w:rPr>
              <w:t>July 2013 to 30</w:t>
            </w:r>
            <w:r>
              <w:rPr>
                <w:rFonts w:ascii="Avenir Next Condensed"/>
                <w:spacing w:val="24"/>
                <w:sz w:val="18"/>
              </w:rPr>
              <w:t xml:space="preserve"> </w:t>
            </w:r>
            <w:r>
              <w:rPr>
                <w:rFonts w:ascii="Avenir Next Condensed"/>
                <w:sz w:val="18"/>
              </w:rPr>
              <w:t xml:space="preserve">June 2018) with no biennial </w:t>
            </w:r>
            <w:r>
              <w:rPr>
                <w:rFonts w:ascii="Avenir Next Condensed"/>
                <w:spacing w:val="-1"/>
                <w:sz w:val="18"/>
              </w:rPr>
              <w:t>recalibrations.</w:t>
            </w:r>
          </w:p>
        </w:tc>
      </w:tr>
      <w:tr w:rsidR="00D174F6" w:rsidTr="00D174F6">
        <w:trPr>
          <w:trHeight w:hRule="exact" w:val="2604"/>
        </w:trPr>
        <w:tc>
          <w:tcPr>
            <w:tcW w:w="1095" w:type="dxa"/>
            <w:tcBorders>
              <w:top w:val="single" w:sz="4" w:space="0" w:color="1A9EDA"/>
              <w:left w:val="single" w:sz="4" w:space="0" w:color="1A9EDA"/>
              <w:bottom w:val="single" w:sz="4" w:space="0" w:color="1A9EDA"/>
              <w:right w:val="single" w:sz="4" w:space="0" w:color="1A9EDA"/>
            </w:tcBorders>
            <w:shd w:val="clear" w:color="auto" w:fill="0070C0"/>
          </w:tcPr>
          <w:p w:rsidR="00D174F6" w:rsidRDefault="00D174F6" w:rsidP="004C4403">
            <w:pPr>
              <w:pStyle w:val="TableParagraph"/>
              <w:spacing w:before="112" w:line="220" w:lineRule="exact"/>
              <w:ind w:left="34"/>
              <w:rPr>
                <w:rFonts w:ascii="Avenir Next Condensed" w:eastAsia="Avenir Next Condensed" w:hAnsi="Avenir Next Condensed" w:cs="Avenir Next Condensed"/>
                <w:sz w:val="18"/>
                <w:szCs w:val="18"/>
              </w:rPr>
            </w:pPr>
            <w:r>
              <w:rPr>
                <w:rFonts w:ascii="Avenir Next Condensed"/>
                <w:b/>
                <w:color w:val="FFFFFF"/>
                <w:spacing w:val="-2"/>
                <w:sz w:val="18"/>
              </w:rPr>
              <w:t>Form</w:t>
            </w:r>
            <w:r>
              <w:rPr>
                <w:rFonts w:ascii="Avenir Next Condensed"/>
                <w:b/>
                <w:color w:val="FFFFFF"/>
                <w:sz w:val="18"/>
              </w:rPr>
              <w:t xml:space="preserve"> of</w:t>
            </w:r>
            <w:r>
              <w:rPr>
                <w:rFonts w:ascii="Avenir Next Condensed"/>
                <w:b/>
                <w:color w:val="FFFFFF"/>
                <w:spacing w:val="23"/>
                <w:sz w:val="18"/>
              </w:rPr>
              <w:t xml:space="preserve"> </w:t>
            </w:r>
            <w:r>
              <w:rPr>
                <w:rFonts w:ascii="Avenir Next Condensed"/>
                <w:b/>
                <w:color w:val="FFFFFF"/>
                <w:spacing w:val="-1"/>
                <w:sz w:val="18"/>
              </w:rPr>
              <w:t>control</w:t>
            </w:r>
          </w:p>
        </w:tc>
        <w:tc>
          <w:tcPr>
            <w:tcW w:w="3496" w:type="dxa"/>
            <w:vMerge w:val="restart"/>
            <w:tcBorders>
              <w:top w:val="single" w:sz="4" w:space="0" w:color="17A7E0"/>
              <w:left w:val="single" w:sz="4" w:space="0" w:color="1A9EDA"/>
              <w:right w:val="single" w:sz="4" w:space="0" w:color="17A7E0"/>
            </w:tcBorders>
            <w:shd w:val="clear" w:color="auto" w:fill="DCDDDE"/>
          </w:tcPr>
          <w:p w:rsidR="00D174F6" w:rsidRDefault="00D174F6">
            <w:pPr>
              <w:pStyle w:val="TableParagraph"/>
              <w:spacing w:before="112" w:line="220" w:lineRule="exact"/>
              <w:ind w:left="108" w:right="143"/>
              <w:rPr>
                <w:rFonts w:ascii="Avenir Next Condensed" w:eastAsia="Avenir Next Condensed" w:hAnsi="Avenir Next Condensed" w:cs="Avenir Next Condensed"/>
                <w:sz w:val="18"/>
                <w:szCs w:val="18"/>
              </w:rPr>
            </w:pPr>
            <w:r>
              <w:rPr>
                <w:rFonts w:ascii="Avenir Next Condensed"/>
                <w:sz w:val="18"/>
              </w:rPr>
              <w:t xml:space="preserve">Hybrid price and </w:t>
            </w:r>
            <w:r>
              <w:rPr>
                <w:rFonts w:ascii="Avenir Next Condensed"/>
                <w:spacing w:val="-1"/>
                <w:sz w:val="18"/>
              </w:rPr>
              <w:t>revenue</w:t>
            </w:r>
            <w:r>
              <w:rPr>
                <w:rFonts w:ascii="Avenir Next Condensed"/>
                <w:sz w:val="18"/>
              </w:rPr>
              <w:t xml:space="preserve"> </w:t>
            </w:r>
            <w:r>
              <w:rPr>
                <w:rFonts w:ascii="Avenir Next Condensed"/>
                <w:spacing w:val="-1"/>
                <w:sz w:val="18"/>
              </w:rPr>
              <w:t>cap,</w:t>
            </w:r>
            <w:r>
              <w:rPr>
                <w:rFonts w:ascii="Avenir Next Condensed"/>
                <w:spacing w:val="-6"/>
                <w:sz w:val="18"/>
              </w:rPr>
              <w:t xml:space="preserve"> </w:t>
            </w:r>
            <w:r>
              <w:rPr>
                <w:rFonts w:ascii="Avenir Next Condensed"/>
                <w:sz w:val="18"/>
              </w:rPr>
              <w:t>with individual price</w:t>
            </w:r>
            <w:r>
              <w:rPr>
                <w:rFonts w:ascii="Avenir Next Condensed"/>
                <w:spacing w:val="26"/>
                <w:sz w:val="18"/>
              </w:rPr>
              <w:t xml:space="preserve"> </w:t>
            </w:r>
            <w:r>
              <w:rPr>
                <w:rFonts w:ascii="Avenir Next Condensed"/>
                <w:sz w:val="18"/>
              </w:rPr>
              <w:t xml:space="preserve">caps for water and </w:t>
            </w:r>
            <w:r>
              <w:rPr>
                <w:rFonts w:ascii="Avenir Next Condensed"/>
                <w:spacing w:val="-1"/>
                <w:sz w:val="18"/>
              </w:rPr>
              <w:t>sewerage</w:t>
            </w:r>
            <w:r>
              <w:rPr>
                <w:rFonts w:ascii="Avenir Next Condensed"/>
                <w:sz w:val="18"/>
              </w:rPr>
              <w:t xml:space="preserve"> </w:t>
            </w:r>
            <w:r>
              <w:rPr>
                <w:rFonts w:ascii="Avenir Next Condensed"/>
                <w:spacing w:val="-1"/>
                <w:sz w:val="18"/>
              </w:rPr>
              <w:t>charges</w:t>
            </w:r>
            <w:r>
              <w:rPr>
                <w:rFonts w:ascii="Avenir Next Condensed"/>
                <w:sz w:val="18"/>
              </w:rPr>
              <w:t xml:space="preserve"> and a demand</w:t>
            </w:r>
            <w:r>
              <w:rPr>
                <w:rFonts w:ascii="Avenir Next Condensed"/>
                <w:spacing w:val="23"/>
                <w:sz w:val="18"/>
              </w:rPr>
              <w:t xml:space="preserve"> </w:t>
            </w:r>
            <w:r>
              <w:rPr>
                <w:rFonts w:ascii="Avenir Next Condensed"/>
                <w:sz w:val="18"/>
              </w:rPr>
              <w:t xml:space="preserve">volatility adjustment mechanism to account for deviations between actual and </w:t>
            </w:r>
            <w:r>
              <w:rPr>
                <w:rFonts w:ascii="Avenir Next Condensed"/>
                <w:spacing w:val="-1"/>
                <w:sz w:val="18"/>
              </w:rPr>
              <w:t>forecast</w:t>
            </w:r>
            <w:r>
              <w:rPr>
                <w:rFonts w:ascii="Avenir Next Condensed"/>
                <w:sz w:val="18"/>
              </w:rPr>
              <w:t xml:space="preserve"> volumetric</w:t>
            </w:r>
            <w:r>
              <w:rPr>
                <w:rFonts w:ascii="Avenir Next Condensed"/>
                <w:spacing w:val="26"/>
                <w:sz w:val="18"/>
              </w:rPr>
              <w:t xml:space="preserve"> </w:t>
            </w:r>
            <w:r>
              <w:rPr>
                <w:rFonts w:ascii="Avenir Next Condensed"/>
                <w:sz w:val="18"/>
              </w:rPr>
              <w:t xml:space="preserve">water sales </w:t>
            </w:r>
            <w:r>
              <w:rPr>
                <w:rFonts w:ascii="Avenir Next Condensed"/>
                <w:spacing w:val="-1"/>
                <w:sz w:val="18"/>
              </w:rPr>
              <w:t>revenue</w:t>
            </w:r>
            <w:r>
              <w:rPr>
                <w:rFonts w:ascii="Avenir Next Condensed"/>
                <w:sz w:val="18"/>
              </w:rPr>
              <w:t xml:space="preserve"> in </w:t>
            </w:r>
            <w:r>
              <w:rPr>
                <w:rFonts w:ascii="Avenir Next Condensed"/>
                <w:spacing w:val="-1"/>
                <w:sz w:val="18"/>
              </w:rPr>
              <w:t>excess</w:t>
            </w:r>
            <w:r>
              <w:rPr>
                <w:rFonts w:ascii="Avenir Next Condensed"/>
                <w:sz w:val="18"/>
              </w:rPr>
              <w:t xml:space="preserve"> of</w:t>
            </w:r>
            <w:r>
              <w:rPr>
                <w:rFonts w:ascii="Avenir Next Condensed"/>
                <w:spacing w:val="4"/>
                <w:sz w:val="18"/>
              </w:rPr>
              <w:t xml:space="preserve"> </w:t>
            </w:r>
            <w:r>
              <w:rPr>
                <w:rFonts w:ascii="Avenir Next Condensed"/>
                <w:sz w:val="18"/>
              </w:rPr>
              <w:t xml:space="preserve">a 7% </w:t>
            </w:r>
            <w:r>
              <w:rPr>
                <w:rFonts w:ascii="Avenir Next Condensed"/>
                <w:spacing w:val="-1"/>
                <w:sz w:val="18"/>
              </w:rPr>
              <w:t>deadband</w:t>
            </w:r>
            <w:r>
              <w:rPr>
                <w:rFonts w:ascii="Avenir Next Condensed"/>
                <w:spacing w:val="23"/>
                <w:sz w:val="18"/>
              </w:rPr>
              <w:t xml:space="preserve"> </w:t>
            </w:r>
            <w:r>
              <w:rPr>
                <w:rFonts w:ascii="Avenir Next Condensed"/>
                <w:sz w:val="18"/>
              </w:rPr>
              <w:t xml:space="preserve">over the full five </w:t>
            </w:r>
            <w:r>
              <w:rPr>
                <w:rFonts w:ascii="Avenir Next Condensed"/>
                <w:spacing w:val="-1"/>
                <w:sz w:val="18"/>
              </w:rPr>
              <w:t>year</w:t>
            </w:r>
            <w:r>
              <w:rPr>
                <w:rFonts w:ascii="Avenir Next Condensed"/>
                <w:sz w:val="18"/>
              </w:rPr>
              <w:t xml:space="preserve"> </w:t>
            </w:r>
            <w:r>
              <w:rPr>
                <w:rFonts w:ascii="Avenir Next Condensed"/>
                <w:spacing w:val="-1"/>
                <w:sz w:val="18"/>
              </w:rPr>
              <w:t>regulatory</w:t>
            </w:r>
            <w:r>
              <w:rPr>
                <w:rFonts w:ascii="Avenir Next Condensed"/>
                <w:sz w:val="18"/>
              </w:rPr>
              <w:t xml:space="preserve"> period (2013-14 to</w:t>
            </w:r>
            <w:r>
              <w:rPr>
                <w:rFonts w:ascii="Avenir Next Condensed"/>
                <w:spacing w:val="21"/>
                <w:sz w:val="18"/>
              </w:rPr>
              <w:t xml:space="preserve"> </w:t>
            </w:r>
            <w:r>
              <w:rPr>
                <w:rFonts w:ascii="Avenir Next Condensed"/>
                <w:sz w:val="18"/>
              </w:rPr>
              <w:t>2017-18).</w:t>
            </w:r>
          </w:p>
          <w:p w:rsidR="00D174F6" w:rsidRDefault="00D174F6">
            <w:pPr>
              <w:pStyle w:val="TableParagraph"/>
              <w:spacing w:before="5"/>
              <w:rPr>
                <w:rFonts w:ascii="Avenir Next" w:eastAsia="Avenir Next" w:hAnsi="Avenir Next" w:cs="Avenir Next"/>
                <w:b/>
                <w:bCs/>
                <w:sz w:val="13"/>
                <w:szCs w:val="13"/>
              </w:rPr>
            </w:pPr>
          </w:p>
          <w:p w:rsidR="00D174F6" w:rsidRDefault="00D174F6" w:rsidP="00D174F6">
            <w:pPr>
              <w:pStyle w:val="TableParagraph"/>
              <w:ind w:left="108"/>
              <w:rPr>
                <w:rFonts w:ascii="Avenir Next Condensed"/>
                <w:sz w:val="18"/>
              </w:rPr>
            </w:pPr>
          </w:p>
          <w:p w:rsidR="00D174F6" w:rsidRDefault="00D174F6" w:rsidP="00D174F6">
            <w:pPr>
              <w:pStyle w:val="TableParagraph"/>
              <w:ind w:left="108"/>
              <w:rPr>
                <w:rFonts w:ascii="Avenir Next Condensed"/>
                <w:sz w:val="18"/>
              </w:rPr>
            </w:pPr>
          </w:p>
          <w:p w:rsidR="00D174F6" w:rsidRDefault="00D174F6" w:rsidP="00D174F6">
            <w:pPr>
              <w:pStyle w:val="TableParagraph"/>
              <w:rPr>
                <w:rFonts w:ascii="Avenir Next Condensed"/>
                <w:sz w:val="18"/>
              </w:rPr>
            </w:pPr>
          </w:p>
          <w:p w:rsidR="00D174F6" w:rsidRDefault="00D174F6" w:rsidP="00D174F6">
            <w:pPr>
              <w:pStyle w:val="TableParagraph"/>
              <w:ind w:left="108"/>
              <w:rPr>
                <w:rFonts w:ascii="Avenir Next Condensed" w:eastAsia="Avenir Next Condensed" w:hAnsi="Avenir Next Condensed" w:cs="Avenir Next Condensed"/>
                <w:sz w:val="18"/>
                <w:szCs w:val="18"/>
              </w:rPr>
            </w:pPr>
            <w:r>
              <w:rPr>
                <w:rFonts w:ascii="Avenir Next Condensed"/>
                <w:sz w:val="18"/>
              </w:rPr>
              <w:t>If</w:t>
            </w:r>
            <w:r>
              <w:rPr>
                <w:rFonts w:ascii="Avenir Next Condensed"/>
                <w:spacing w:val="4"/>
                <w:sz w:val="18"/>
              </w:rPr>
              <w:t xml:space="preserve"> </w:t>
            </w:r>
            <w:r>
              <w:rPr>
                <w:rFonts w:ascii="Avenir Next Condensed"/>
                <w:sz w:val="18"/>
              </w:rPr>
              <w:t xml:space="preserve">this mechanism is </w:t>
            </w:r>
            <w:r>
              <w:rPr>
                <w:rFonts w:ascii="Avenir Next Condensed"/>
                <w:spacing w:val="-1"/>
                <w:sz w:val="18"/>
              </w:rPr>
              <w:t>triggered</w:t>
            </w:r>
            <w:r>
              <w:rPr>
                <w:rFonts w:ascii="Avenir Next Condensed"/>
                <w:sz w:val="18"/>
              </w:rPr>
              <w:t xml:space="preserve"> then the ICRC will be </w:t>
            </w:r>
            <w:r>
              <w:rPr>
                <w:rFonts w:ascii="Avenir Next Condensed"/>
                <w:spacing w:val="-1"/>
                <w:sz w:val="18"/>
              </w:rPr>
              <w:t>required</w:t>
            </w:r>
            <w:r>
              <w:rPr>
                <w:rFonts w:ascii="Avenir Next Condensed"/>
                <w:sz w:val="18"/>
              </w:rPr>
              <w:t xml:space="preserve"> </w:t>
            </w:r>
            <w:r>
              <w:rPr>
                <w:rFonts w:ascii="Avenir Next Condensed"/>
                <w:spacing w:val="-1"/>
                <w:sz w:val="18"/>
              </w:rPr>
              <w:t>through</w:t>
            </w:r>
            <w:r>
              <w:rPr>
                <w:rFonts w:ascii="Avenir Next Condensed"/>
                <w:sz w:val="18"/>
              </w:rPr>
              <w:t xml:space="preserve"> a </w:t>
            </w:r>
            <w:r>
              <w:rPr>
                <w:rFonts w:ascii="Avenir Next Condensed"/>
                <w:spacing w:val="-1"/>
                <w:sz w:val="18"/>
              </w:rPr>
              <w:t>reset</w:t>
            </w:r>
            <w:r>
              <w:rPr>
                <w:rFonts w:ascii="Avenir Next Condensed"/>
                <w:sz w:val="18"/>
              </w:rPr>
              <w:t xml:space="preserve"> principle to include any </w:t>
            </w:r>
            <w:r>
              <w:rPr>
                <w:rFonts w:ascii="Avenir Next Condensed" w:eastAsia="Avenir Next Condensed" w:hAnsi="Avenir Next Condensed" w:cs="Avenir Next Condensed"/>
                <w:sz w:val="18"/>
                <w:szCs w:val="18"/>
              </w:rPr>
              <w:t xml:space="preserve">under or over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(measured</w:t>
            </w:r>
            <w:r>
              <w:rPr>
                <w:rFonts w:ascii="Avenir Next Condensed" w:eastAsia="Avenir Next Condensed" w:hAnsi="Avenir Next Condensed" w:cs="Avenir Next Condensed"/>
                <w:sz w:val="18"/>
                <w:szCs w:val="18"/>
              </w:rPr>
              <w:t xml:space="preserve"> in</w:t>
            </w:r>
            <w:r>
              <w:rPr>
                <w:rFonts w:ascii="Avenir Next Condensed" w:eastAsia="Avenir Next Condensed" w:hAnsi="Avenir Next Condensed" w:cs="Avenir Next Condensed"/>
                <w:spacing w:val="33"/>
                <w:sz w:val="18"/>
                <w:szCs w:val="18"/>
              </w:rPr>
              <w:t xml:space="preserve"> </w:t>
            </w:r>
            <w:r>
              <w:rPr>
                <w:rFonts w:ascii="Avenir Next Condensed" w:eastAsia="Avenir Next Condensed" w:hAnsi="Avenir Next Condensed" w:cs="Avenir Next Condensed"/>
                <w:sz w:val="18"/>
                <w:szCs w:val="18"/>
              </w:rPr>
              <w:t>NPV</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terms) in the calculation of</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for water for the </w:t>
            </w:r>
            <w:r>
              <w:rPr>
                <w:rFonts w:ascii="Avenir Next Condensed" w:eastAsia="Avenir Next Condensed" w:hAnsi="Avenir Next Condensed" w:cs="Avenir Next Condensed"/>
                <w:spacing w:val="-1"/>
                <w:sz w:val="18"/>
                <w:szCs w:val="18"/>
              </w:rPr>
              <w:t>next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z w:val="18"/>
                <w:szCs w:val="18"/>
              </w:rPr>
              <w:t>period.</w:t>
            </w:r>
          </w:p>
        </w:tc>
        <w:tc>
          <w:tcPr>
            <w:tcW w:w="2759" w:type="dxa"/>
            <w:tcBorders>
              <w:top w:val="single" w:sz="4" w:space="0" w:color="17A7E0"/>
              <w:left w:val="single" w:sz="4" w:space="0" w:color="17A7E0"/>
              <w:bottom w:val="single" w:sz="4" w:space="0" w:color="17A7E0"/>
              <w:right w:val="single" w:sz="4" w:space="0" w:color="17A7E0"/>
            </w:tcBorders>
            <w:shd w:val="clear" w:color="auto" w:fill="F0F9FE"/>
          </w:tcPr>
          <w:p w:rsidR="00D174F6" w:rsidRDefault="00D174F6" w:rsidP="00D174F6">
            <w:pPr>
              <w:pStyle w:val="TableParagraph"/>
              <w:spacing w:before="112" w:line="220" w:lineRule="exact"/>
              <w:ind w:left="108" w:right="87"/>
              <w:rPr>
                <w:rFonts w:ascii="Avenir Next Condensed" w:eastAsia="Avenir Next Condensed" w:hAnsi="Avenir Next Condensed" w:cs="Avenir Next Condensed"/>
                <w:sz w:val="18"/>
                <w:szCs w:val="18"/>
              </w:rPr>
            </w:pPr>
            <w:r>
              <w:rPr>
                <w:rFonts w:ascii="Avenir Next Condensed"/>
                <w:sz w:val="18"/>
              </w:rPr>
              <w:t>Individual price caps,</w:t>
            </w:r>
            <w:r>
              <w:rPr>
                <w:rFonts w:ascii="Avenir Next Condensed"/>
                <w:spacing w:val="-6"/>
                <w:sz w:val="18"/>
              </w:rPr>
              <w:t xml:space="preserve"> </w:t>
            </w:r>
            <w:r>
              <w:rPr>
                <w:rFonts w:ascii="Avenir Next Condensed"/>
                <w:sz w:val="18"/>
              </w:rPr>
              <w:t xml:space="preserve">with maximum prices for water and </w:t>
            </w:r>
            <w:r>
              <w:rPr>
                <w:rFonts w:ascii="Avenir Next Condensed"/>
                <w:spacing w:val="-1"/>
                <w:sz w:val="18"/>
              </w:rPr>
              <w:t>sewerage.</w:t>
            </w:r>
          </w:p>
        </w:tc>
        <w:tc>
          <w:tcPr>
            <w:tcW w:w="2098" w:type="dxa"/>
            <w:tcBorders>
              <w:top w:val="single" w:sz="4" w:space="0" w:color="17A7E0"/>
              <w:left w:val="single" w:sz="4" w:space="0" w:color="17A7E0"/>
              <w:bottom w:val="single" w:sz="4" w:space="0" w:color="17A7E0"/>
              <w:right w:val="single" w:sz="4" w:space="0" w:color="17A7E0"/>
            </w:tcBorders>
            <w:shd w:val="clear" w:color="auto" w:fill="F0F9FE"/>
          </w:tcPr>
          <w:p w:rsidR="00D174F6" w:rsidRDefault="00D174F6" w:rsidP="00E53C47">
            <w:pPr>
              <w:pStyle w:val="TableParagraph"/>
              <w:spacing w:before="112" w:line="220" w:lineRule="exact"/>
              <w:ind w:right="5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cap with an ‘unders</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z w:val="18"/>
                <w:szCs w:val="18"/>
              </w:rPr>
              <w:t xml:space="preserve">and overs’ mechanism to </w:t>
            </w:r>
            <w:r>
              <w:rPr>
                <w:rFonts w:ascii="Avenir Next Condensed" w:eastAsia="Avenir Next Condensed" w:hAnsi="Avenir Next Condensed" w:cs="Avenir Next Condensed"/>
                <w:spacing w:val="-1"/>
                <w:sz w:val="18"/>
                <w:szCs w:val="18"/>
              </w:rPr>
              <w:t>ensure</w:t>
            </w:r>
            <w:r>
              <w:rPr>
                <w:rFonts w:ascii="Avenir Next Condensed" w:eastAsia="Avenir Next Condensed" w:hAnsi="Avenir Next Condensed" w:cs="Avenir Next Condensed"/>
                <w:sz w:val="18"/>
                <w:szCs w:val="18"/>
              </w:rPr>
              <w:t xml:space="preserve"> that any under (or</w:t>
            </w:r>
            <w:r>
              <w:rPr>
                <w:rFonts w:ascii="Avenir Next Condensed" w:eastAsia="Avenir Next Condensed" w:hAnsi="Avenir Next Condensed" w:cs="Avenir Next Condensed"/>
                <w:spacing w:val="24"/>
                <w:sz w:val="18"/>
                <w:szCs w:val="18"/>
              </w:rPr>
              <w:t xml:space="preserve"> </w:t>
            </w:r>
            <w:r>
              <w:rPr>
                <w:rFonts w:ascii="Avenir Next Condensed" w:eastAsia="Avenir Next Condensed" w:hAnsi="Avenir Next Condensed" w:cs="Avenir Next Condensed"/>
                <w:sz w:val="18"/>
                <w:szCs w:val="18"/>
              </w:rPr>
              <w:t xml:space="preserve">over)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in a particular</w:t>
            </w:r>
            <w:r>
              <w:rPr>
                <w:rFonts w:ascii="Avenir Next Condensed" w:eastAsia="Avenir Next Condensed" w:hAnsi="Avenir Next Condensed" w:cs="Avenir Next Condensed"/>
                <w:spacing w:val="26"/>
                <w:sz w:val="18"/>
                <w:szCs w:val="18"/>
              </w:rPr>
              <w:t xml:space="preserve"> </w:t>
            </w:r>
            <w:r>
              <w:rPr>
                <w:rFonts w:ascii="Avenir Next Condensed" w:eastAsia="Avenir Next Condensed" w:hAnsi="Avenir Next Condensed" w:cs="Avenir Next Condensed"/>
                <w:spacing w:val="-1"/>
                <w:sz w:val="18"/>
                <w:szCs w:val="18"/>
              </w:rPr>
              <w:t>year</w:t>
            </w:r>
            <w:r>
              <w:rPr>
                <w:rFonts w:ascii="Avenir Next Condensed" w:eastAsia="Avenir Next Condensed" w:hAnsi="Avenir Next Condensed" w:cs="Avenir Next Condensed"/>
                <w:sz w:val="18"/>
                <w:szCs w:val="18"/>
              </w:rPr>
              <w:t xml:space="preserve"> can be </w:t>
            </w:r>
            <w:r>
              <w:rPr>
                <w:rFonts w:ascii="Avenir Next Condensed" w:eastAsia="Avenir Next Condensed" w:hAnsi="Avenir Next Condensed" w:cs="Avenir Next Condensed"/>
                <w:spacing w:val="-1"/>
                <w:sz w:val="18"/>
                <w:szCs w:val="18"/>
              </w:rPr>
              <w:t>recovered</w:t>
            </w:r>
          </w:p>
          <w:p w:rsidR="00D174F6" w:rsidRDefault="00D174F6" w:rsidP="00E53C47">
            <w:pPr>
              <w:pStyle w:val="TableParagraph"/>
              <w:spacing w:line="220" w:lineRule="exact"/>
              <w:ind w:right="58"/>
              <w:rPr>
                <w:rFonts w:ascii="Avenir Next Condensed" w:eastAsia="Avenir Next Condensed" w:hAnsi="Avenir Next Condensed" w:cs="Avenir Next Condensed"/>
                <w:sz w:val="18"/>
                <w:szCs w:val="18"/>
              </w:rPr>
            </w:pPr>
            <w:r>
              <w:rPr>
                <w:rFonts w:ascii="Avenir Next Condensed"/>
                <w:spacing w:val="-1"/>
                <w:sz w:val="18"/>
              </w:rPr>
              <w:t>from</w:t>
            </w:r>
            <w:r>
              <w:rPr>
                <w:rFonts w:ascii="Avenir Next Condensed"/>
                <w:sz w:val="18"/>
              </w:rPr>
              <w:t xml:space="preserve"> (or </w:t>
            </w:r>
            <w:r>
              <w:rPr>
                <w:rFonts w:ascii="Avenir Next Condensed"/>
                <w:spacing w:val="-1"/>
                <w:sz w:val="18"/>
              </w:rPr>
              <w:t>passed</w:t>
            </w:r>
            <w:r>
              <w:rPr>
                <w:rFonts w:ascii="Avenir Next Condensed"/>
                <w:sz w:val="18"/>
              </w:rPr>
              <w:t xml:space="preserve"> back to)</w:t>
            </w:r>
            <w:r>
              <w:rPr>
                <w:rFonts w:ascii="Avenir Next Condensed"/>
                <w:spacing w:val="26"/>
                <w:sz w:val="18"/>
              </w:rPr>
              <w:t xml:space="preserve"> </w:t>
            </w:r>
            <w:r>
              <w:rPr>
                <w:rFonts w:ascii="Avenir Next Condensed"/>
                <w:sz w:val="18"/>
              </w:rPr>
              <w:t>customers.</w:t>
            </w:r>
          </w:p>
        </w:tc>
      </w:tr>
      <w:tr w:rsidR="00D174F6" w:rsidTr="008A79D5">
        <w:trPr>
          <w:trHeight w:hRule="exact" w:val="356"/>
        </w:trPr>
        <w:tc>
          <w:tcPr>
            <w:tcW w:w="1095" w:type="dxa"/>
            <w:tcBorders>
              <w:top w:val="single" w:sz="4" w:space="0" w:color="1A9EDA"/>
              <w:left w:val="single" w:sz="4" w:space="0" w:color="1A9EDA"/>
              <w:bottom w:val="nil"/>
              <w:right w:val="single" w:sz="4" w:space="0" w:color="1A9EDA"/>
            </w:tcBorders>
            <w:shd w:val="clear" w:color="auto" w:fill="0070C0"/>
          </w:tcPr>
          <w:p w:rsidR="00D174F6" w:rsidRDefault="00D174F6" w:rsidP="004C4403">
            <w:pPr>
              <w:pStyle w:val="TableParagraph"/>
              <w:spacing w:before="108"/>
              <w:ind w:left="34"/>
              <w:rPr>
                <w:rFonts w:ascii="Avenir Next Condensed" w:eastAsia="Avenir Next Condensed" w:hAnsi="Avenir Next Condensed" w:cs="Avenir Next Condensed"/>
                <w:sz w:val="18"/>
                <w:szCs w:val="18"/>
              </w:rPr>
            </w:pPr>
            <w:r>
              <w:rPr>
                <w:rFonts w:ascii="Avenir Next Condensed"/>
                <w:b/>
                <w:color w:val="FFFFFF"/>
                <w:spacing w:val="-1"/>
                <w:sz w:val="18"/>
              </w:rPr>
              <w:t>Measures</w:t>
            </w:r>
          </w:p>
        </w:tc>
        <w:tc>
          <w:tcPr>
            <w:tcW w:w="3496" w:type="dxa"/>
            <w:vMerge/>
            <w:tcBorders>
              <w:left w:val="single" w:sz="4" w:space="0" w:color="1A9EDA"/>
              <w:right w:val="single" w:sz="4" w:space="0" w:color="17A7E0"/>
            </w:tcBorders>
            <w:shd w:val="clear" w:color="auto" w:fill="DCDDDE"/>
          </w:tcPr>
          <w:p w:rsidR="00D174F6" w:rsidRDefault="00D174F6" w:rsidP="008A79D5">
            <w:pPr>
              <w:pStyle w:val="TableParagraph"/>
              <w:spacing w:line="214" w:lineRule="auto"/>
              <w:ind w:left="108" w:right="303"/>
            </w:pPr>
          </w:p>
        </w:tc>
        <w:tc>
          <w:tcPr>
            <w:tcW w:w="2759" w:type="dxa"/>
            <w:tcBorders>
              <w:top w:val="single" w:sz="4" w:space="0" w:color="17A7E0"/>
              <w:left w:val="single" w:sz="4" w:space="0" w:color="17A7E0"/>
              <w:bottom w:val="nil"/>
              <w:right w:val="single" w:sz="4" w:space="0" w:color="17A7E0"/>
            </w:tcBorders>
            <w:shd w:val="clear" w:color="auto" w:fill="F0F9FE"/>
          </w:tcPr>
          <w:p w:rsidR="00D174F6" w:rsidRDefault="00D174F6">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Biennial </w:t>
            </w:r>
            <w:r>
              <w:rPr>
                <w:rFonts w:ascii="Avenir Next Condensed"/>
                <w:spacing w:val="-1"/>
                <w:sz w:val="18"/>
              </w:rPr>
              <w:t>recalibrations</w:t>
            </w:r>
            <w:r>
              <w:rPr>
                <w:rFonts w:ascii="Avenir Next Condensed"/>
                <w:sz w:val="18"/>
              </w:rPr>
              <w:t xml:space="preserve"> of</w:t>
            </w:r>
            <w:r>
              <w:rPr>
                <w:rFonts w:ascii="Avenir Next Condensed"/>
                <w:spacing w:val="4"/>
                <w:sz w:val="18"/>
              </w:rPr>
              <w:t xml:space="preserve"> </w:t>
            </w:r>
            <w:r>
              <w:rPr>
                <w:rFonts w:ascii="Avenir Next Condensed"/>
                <w:sz w:val="18"/>
              </w:rPr>
              <w:t>water sales</w:t>
            </w:r>
          </w:p>
        </w:tc>
        <w:tc>
          <w:tcPr>
            <w:tcW w:w="2098" w:type="dxa"/>
            <w:tcBorders>
              <w:top w:val="single" w:sz="4" w:space="0" w:color="17A7E0"/>
              <w:left w:val="single" w:sz="4" w:space="0" w:color="17A7E0"/>
              <w:bottom w:val="nil"/>
              <w:right w:val="single" w:sz="4" w:space="0" w:color="17A7E0"/>
            </w:tcBorders>
            <w:shd w:val="clear" w:color="auto" w:fill="F0F9FE"/>
          </w:tcPr>
          <w:p w:rsidR="00D174F6" w:rsidRDefault="00D174F6" w:rsidP="00E53C47">
            <w:pPr>
              <w:pStyle w:val="TableParagraph"/>
              <w:spacing w:before="108"/>
              <w:ind w:right="5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‘Adaptive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approach’</w:t>
            </w:r>
            <w:r>
              <w:rPr>
                <w:rFonts w:ascii="Avenir Next Condensed" w:eastAsia="Avenir Next Condensed" w:hAnsi="Avenir Next Condensed" w:cs="Avenir Next Condensed"/>
                <w:sz w:val="18"/>
                <w:szCs w:val="18"/>
              </w:rPr>
              <w:t xml:space="preserve"> to</w:t>
            </w:r>
          </w:p>
        </w:tc>
      </w:tr>
      <w:tr w:rsidR="00D174F6" w:rsidTr="008A79D5">
        <w:trPr>
          <w:trHeight w:hRule="exact" w:val="220"/>
        </w:trPr>
        <w:tc>
          <w:tcPr>
            <w:tcW w:w="1095" w:type="dxa"/>
            <w:tcBorders>
              <w:top w:val="nil"/>
              <w:left w:val="single" w:sz="4" w:space="0" w:color="1A9EDA"/>
              <w:bottom w:val="nil"/>
              <w:right w:val="single" w:sz="4" w:space="0" w:color="1A9EDA"/>
            </w:tcBorders>
            <w:shd w:val="clear" w:color="auto" w:fill="0070C0"/>
          </w:tcPr>
          <w:p w:rsidR="00D174F6" w:rsidRDefault="00D174F6" w:rsidP="004C4403">
            <w:pPr>
              <w:pStyle w:val="TableParagraph"/>
              <w:spacing w:line="218" w:lineRule="exact"/>
              <w:ind w:left="34"/>
              <w:rPr>
                <w:rFonts w:ascii="Avenir Next Condensed" w:eastAsia="Avenir Next Condensed" w:hAnsi="Avenir Next Condensed" w:cs="Avenir Next Condensed"/>
                <w:sz w:val="18"/>
                <w:szCs w:val="18"/>
              </w:rPr>
            </w:pPr>
            <w:r>
              <w:rPr>
                <w:rFonts w:ascii="Avenir Next Condensed"/>
                <w:b/>
                <w:color w:val="FFFFFF"/>
                <w:sz w:val="18"/>
              </w:rPr>
              <w:t xml:space="preserve">to </w:t>
            </w:r>
            <w:r>
              <w:rPr>
                <w:rFonts w:ascii="Avenir Next Condensed"/>
                <w:b/>
                <w:color w:val="FFFFFF"/>
                <w:spacing w:val="-1"/>
                <w:sz w:val="18"/>
              </w:rPr>
              <w:t>deal</w:t>
            </w:r>
            <w:r>
              <w:rPr>
                <w:rFonts w:ascii="Avenir Next Condensed"/>
                <w:b/>
                <w:color w:val="FFFFFF"/>
                <w:sz w:val="18"/>
              </w:rPr>
              <w:t xml:space="preserve"> with</w:t>
            </w:r>
          </w:p>
        </w:tc>
        <w:tc>
          <w:tcPr>
            <w:tcW w:w="3496" w:type="dxa"/>
            <w:vMerge/>
            <w:tcBorders>
              <w:left w:val="single" w:sz="4" w:space="0" w:color="1A9EDA"/>
              <w:right w:val="single" w:sz="4" w:space="0" w:color="17A7E0"/>
            </w:tcBorders>
            <w:shd w:val="clear" w:color="auto" w:fill="DCDDDE"/>
          </w:tcPr>
          <w:p w:rsidR="00D174F6" w:rsidRDefault="00D174F6" w:rsidP="008A79D5">
            <w:pPr>
              <w:pStyle w:val="TableParagraph"/>
              <w:spacing w:line="214" w:lineRule="auto"/>
              <w:ind w:left="108" w:right="303"/>
              <w:rPr>
                <w:rFonts w:ascii="Avenir Next Condensed" w:eastAsia="Avenir Next Condensed" w:hAnsi="Avenir Next Condensed" w:cs="Avenir Next Condensed"/>
                <w:sz w:val="18"/>
                <w:szCs w:val="18"/>
              </w:rPr>
            </w:pPr>
          </w:p>
        </w:tc>
        <w:tc>
          <w:tcPr>
            <w:tcW w:w="2759" w:type="dxa"/>
            <w:tcBorders>
              <w:top w:val="nil"/>
              <w:left w:val="single" w:sz="4" w:space="0" w:color="17A7E0"/>
              <w:bottom w:val="nil"/>
              <w:right w:val="single" w:sz="4" w:space="0" w:color="17A7E0"/>
            </w:tcBorders>
            <w:shd w:val="clear" w:color="auto" w:fill="F0F9FE"/>
          </w:tcPr>
          <w:p w:rsidR="00D174F6" w:rsidRDefault="00D174F6">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and customer numbers.</w:t>
            </w:r>
          </w:p>
        </w:tc>
        <w:tc>
          <w:tcPr>
            <w:tcW w:w="2098" w:type="dxa"/>
            <w:tcBorders>
              <w:top w:val="nil"/>
              <w:left w:val="single" w:sz="4" w:space="0" w:color="17A7E0"/>
              <w:bottom w:val="nil"/>
              <w:right w:val="single" w:sz="4" w:space="0" w:color="17A7E0"/>
            </w:tcBorders>
            <w:shd w:val="clear" w:color="auto" w:fill="F0F9FE"/>
          </w:tcPr>
          <w:p w:rsidR="00D174F6" w:rsidRDefault="00D174F6"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estimating prices,</w:t>
            </w:r>
            <w:r>
              <w:rPr>
                <w:rFonts w:ascii="Avenir Next Condensed"/>
                <w:spacing w:val="-6"/>
                <w:sz w:val="18"/>
              </w:rPr>
              <w:t xml:space="preserve"> </w:t>
            </w:r>
            <w:r>
              <w:rPr>
                <w:rFonts w:ascii="Avenir Next Condensed"/>
                <w:sz w:val="18"/>
              </w:rPr>
              <w:t>which</w:t>
            </w:r>
          </w:p>
        </w:tc>
      </w:tr>
      <w:tr w:rsidR="00D174F6" w:rsidTr="008A79D5">
        <w:trPr>
          <w:trHeight w:hRule="exact" w:val="1811"/>
        </w:trPr>
        <w:tc>
          <w:tcPr>
            <w:tcW w:w="1095" w:type="dxa"/>
            <w:tcBorders>
              <w:top w:val="nil"/>
              <w:left w:val="single" w:sz="4" w:space="0" w:color="1A9EDA"/>
              <w:bottom w:val="single" w:sz="4" w:space="0" w:color="1A9EDA"/>
              <w:right w:val="single" w:sz="4" w:space="0" w:color="1A9EDA"/>
            </w:tcBorders>
            <w:shd w:val="clear" w:color="auto" w:fill="0070C0"/>
          </w:tcPr>
          <w:p w:rsidR="00D174F6" w:rsidRDefault="00D174F6" w:rsidP="004C4403">
            <w:pPr>
              <w:pStyle w:val="TableParagraph"/>
              <w:spacing w:line="214" w:lineRule="auto"/>
              <w:ind w:left="34"/>
              <w:rPr>
                <w:rFonts w:ascii="Avenir Next Condensed" w:eastAsia="Avenir Next Condensed" w:hAnsi="Avenir Next Condensed" w:cs="Avenir Next Condensed"/>
                <w:sz w:val="18"/>
                <w:szCs w:val="18"/>
              </w:rPr>
            </w:pPr>
            <w:r>
              <w:rPr>
                <w:rFonts w:ascii="Avenir Next Condensed"/>
                <w:b/>
                <w:color w:val="FFFFFF"/>
                <w:sz w:val="18"/>
              </w:rPr>
              <w:t xml:space="preserve">demand </w:t>
            </w:r>
            <w:r>
              <w:rPr>
                <w:rFonts w:ascii="Avenir Next Condensed"/>
                <w:b/>
                <w:color w:val="FFFFFF"/>
                <w:spacing w:val="-1"/>
                <w:sz w:val="18"/>
              </w:rPr>
              <w:t>risks</w:t>
            </w:r>
          </w:p>
        </w:tc>
        <w:tc>
          <w:tcPr>
            <w:tcW w:w="3496" w:type="dxa"/>
            <w:vMerge/>
            <w:tcBorders>
              <w:left w:val="single" w:sz="4" w:space="0" w:color="1A9EDA"/>
              <w:bottom w:val="single" w:sz="4" w:space="0" w:color="17A7E0"/>
              <w:right w:val="single" w:sz="4" w:space="0" w:color="17A7E0"/>
            </w:tcBorders>
            <w:shd w:val="clear" w:color="auto" w:fill="DCDDDE"/>
          </w:tcPr>
          <w:p w:rsidR="00D174F6" w:rsidRDefault="00D174F6">
            <w:pPr>
              <w:pStyle w:val="TableParagraph"/>
              <w:spacing w:line="214" w:lineRule="auto"/>
              <w:ind w:left="108" w:right="303"/>
              <w:rPr>
                <w:rFonts w:ascii="Avenir Next Condensed" w:eastAsia="Avenir Next Condensed" w:hAnsi="Avenir Next Condensed" w:cs="Avenir Next Condensed"/>
                <w:sz w:val="18"/>
                <w:szCs w:val="18"/>
              </w:rPr>
            </w:pPr>
          </w:p>
        </w:tc>
        <w:tc>
          <w:tcPr>
            <w:tcW w:w="2759" w:type="dxa"/>
            <w:tcBorders>
              <w:top w:val="nil"/>
              <w:left w:val="single" w:sz="4" w:space="0" w:color="17A7E0"/>
              <w:bottom w:val="single" w:sz="4" w:space="0" w:color="17A7E0"/>
              <w:right w:val="single" w:sz="4" w:space="0" w:color="17A7E0"/>
            </w:tcBorders>
            <w:shd w:val="clear" w:color="auto" w:fill="F0F9FE"/>
          </w:tcPr>
          <w:p w:rsidR="00D174F6" w:rsidRDefault="00D174F6">
            <w:pPr>
              <w:pStyle w:val="TableParagraph"/>
              <w:spacing w:before="89" w:line="220" w:lineRule="exact"/>
              <w:ind w:left="108" w:right="195"/>
              <w:jc w:val="both"/>
              <w:rPr>
                <w:rFonts w:ascii="Avenir Next Condensed" w:eastAsia="Avenir Next Condensed" w:hAnsi="Avenir Next Condensed" w:cs="Avenir Next Condensed"/>
                <w:sz w:val="18"/>
                <w:szCs w:val="18"/>
              </w:rPr>
            </w:pPr>
            <w:r>
              <w:rPr>
                <w:rFonts w:ascii="Avenir Next Condensed"/>
                <w:spacing w:val="-1"/>
                <w:sz w:val="18"/>
              </w:rPr>
              <w:t>Conservative</w:t>
            </w:r>
            <w:r>
              <w:rPr>
                <w:rFonts w:ascii="Avenir Next Condensed"/>
                <w:sz w:val="18"/>
              </w:rPr>
              <w:t xml:space="preserve"> water sales estimate used</w:t>
            </w:r>
            <w:r>
              <w:rPr>
                <w:rFonts w:ascii="Avenir Next Condensed"/>
                <w:spacing w:val="29"/>
                <w:sz w:val="18"/>
              </w:rPr>
              <w:t xml:space="preserve"> </w:t>
            </w:r>
            <w:r>
              <w:rPr>
                <w:rFonts w:ascii="Avenir Next Condensed"/>
                <w:sz w:val="18"/>
              </w:rPr>
              <w:t xml:space="preserve">in </w:t>
            </w:r>
            <w:r>
              <w:rPr>
                <w:rFonts w:ascii="Avenir Next Condensed"/>
                <w:spacing w:val="-1"/>
                <w:sz w:val="18"/>
              </w:rPr>
              <w:t>setting</w:t>
            </w:r>
            <w:r>
              <w:rPr>
                <w:rFonts w:ascii="Avenir Next Condensed"/>
                <w:sz w:val="18"/>
              </w:rPr>
              <w:t xml:space="preserve"> the tier 1 and tier 2 prices for</w:t>
            </w:r>
            <w:r>
              <w:rPr>
                <w:rFonts w:ascii="Avenir Next Condensed"/>
                <w:spacing w:val="24"/>
                <w:sz w:val="18"/>
              </w:rPr>
              <w:t xml:space="preserve"> </w:t>
            </w:r>
            <w:r>
              <w:rPr>
                <w:rFonts w:ascii="Avenir Next Condensed"/>
                <w:sz w:val="18"/>
              </w:rPr>
              <w:t xml:space="preserve">the volumetric water </w:t>
            </w:r>
            <w:r>
              <w:rPr>
                <w:rFonts w:ascii="Avenir Next Condensed"/>
                <w:spacing w:val="-1"/>
                <w:sz w:val="18"/>
              </w:rPr>
              <w:t>charges.</w:t>
            </w:r>
          </w:p>
        </w:tc>
        <w:tc>
          <w:tcPr>
            <w:tcW w:w="2098" w:type="dxa"/>
            <w:tcBorders>
              <w:top w:val="nil"/>
              <w:left w:val="single" w:sz="4" w:space="0" w:color="17A7E0"/>
              <w:bottom w:val="single" w:sz="4" w:space="0" w:color="17A7E0"/>
              <w:right w:val="single" w:sz="4" w:space="0" w:color="17A7E0"/>
            </w:tcBorders>
            <w:shd w:val="clear" w:color="auto" w:fill="F0F9FE"/>
          </w:tcPr>
          <w:p w:rsidR="00D174F6" w:rsidRDefault="00D174F6" w:rsidP="00D174F6">
            <w:pPr>
              <w:pStyle w:val="TableParagraph"/>
              <w:spacing w:line="214" w:lineRule="auto"/>
              <w:ind w:right="58"/>
              <w:rPr>
                <w:rFonts w:ascii="Avenir Next Condensed" w:eastAsia="Avenir Next Condensed" w:hAnsi="Avenir Next Condensed" w:cs="Avenir Next Condensed"/>
                <w:sz w:val="18"/>
                <w:szCs w:val="18"/>
              </w:rPr>
            </w:pPr>
            <w:r>
              <w:rPr>
                <w:rFonts w:ascii="Avenir Next Condensed"/>
                <w:sz w:val="18"/>
              </w:rPr>
              <w:t xml:space="preserve">involves updating the volumetric and supply </w:t>
            </w:r>
            <w:r>
              <w:rPr>
                <w:rFonts w:ascii="Avenir Next Condensed"/>
                <w:spacing w:val="-1"/>
                <w:sz w:val="18"/>
              </w:rPr>
              <w:t>charges</w:t>
            </w:r>
            <w:r>
              <w:rPr>
                <w:rFonts w:ascii="Avenir Next Condensed"/>
                <w:sz w:val="18"/>
              </w:rPr>
              <w:t xml:space="preserve"> </w:t>
            </w:r>
            <w:r>
              <w:rPr>
                <w:rFonts w:ascii="Avenir Next Condensed"/>
                <w:spacing w:val="-1"/>
                <w:sz w:val="18"/>
              </w:rPr>
              <w:t>each</w:t>
            </w:r>
            <w:r>
              <w:rPr>
                <w:rFonts w:ascii="Avenir Next Condensed"/>
                <w:sz w:val="18"/>
              </w:rPr>
              <w:t xml:space="preserve"> </w:t>
            </w:r>
            <w:r>
              <w:rPr>
                <w:rFonts w:ascii="Avenir Next Condensed"/>
                <w:spacing w:val="-1"/>
                <w:sz w:val="18"/>
              </w:rPr>
              <w:t>year</w:t>
            </w:r>
            <w:r>
              <w:rPr>
                <w:rFonts w:ascii="Avenir Next Condensed"/>
                <w:sz w:val="18"/>
              </w:rPr>
              <w:t xml:space="preserve"> to </w:t>
            </w:r>
            <w:r>
              <w:rPr>
                <w:rFonts w:ascii="Avenir Next Condensed"/>
                <w:spacing w:val="-1"/>
                <w:sz w:val="18"/>
              </w:rPr>
              <w:t>reflect</w:t>
            </w:r>
            <w:r>
              <w:rPr>
                <w:rFonts w:ascii="Avenir Next Condensed"/>
                <w:spacing w:val="29"/>
                <w:sz w:val="18"/>
              </w:rPr>
              <w:t xml:space="preserve"> </w:t>
            </w:r>
            <w:r>
              <w:rPr>
                <w:rFonts w:ascii="Avenir Next Condensed"/>
                <w:sz w:val="18"/>
              </w:rPr>
              <w:t xml:space="preserve">updated water sales </w:t>
            </w:r>
            <w:r>
              <w:rPr>
                <w:rFonts w:ascii="Avenir Next Condensed"/>
                <w:spacing w:val="-1"/>
                <w:sz w:val="18"/>
              </w:rPr>
              <w:t>forecasts</w:t>
            </w:r>
            <w:r>
              <w:rPr>
                <w:rFonts w:ascii="Avenir Next Condensed"/>
                <w:spacing w:val="27"/>
                <w:sz w:val="18"/>
              </w:rPr>
              <w:t xml:space="preserve"> </w:t>
            </w:r>
            <w:r>
              <w:rPr>
                <w:rFonts w:ascii="Avenir Next Condensed"/>
                <w:sz w:val="18"/>
              </w:rPr>
              <w:t xml:space="preserve">(estimated using the </w:t>
            </w:r>
            <w:r>
              <w:rPr>
                <w:rFonts w:ascii="Avenir Next Condensed"/>
                <w:spacing w:val="-1"/>
                <w:sz w:val="18"/>
              </w:rPr>
              <w:t xml:space="preserve">Breusch-Ward </w:t>
            </w:r>
            <w:r>
              <w:rPr>
                <w:rFonts w:ascii="Avenir Next Condensed"/>
                <w:sz w:val="18"/>
              </w:rPr>
              <w:t>model)</w:t>
            </w:r>
            <w:r>
              <w:rPr>
                <w:rFonts w:ascii="Avenir Next Condensed"/>
                <w:spacing w:val="-1"/>
                <w:sz w:val="18"/>
              </w:rPr>
              <w:t xml:space="preserve"> </w:t>
            </w:r>
            <w:r>
              <w:rPr>
                <w:rFonts w:ascii="Avenir Next Condensed"/>
                <w:sz w:val="18"/>
              </w:rPr>
              <w:t>and</w:t>
            </w:r>
            <w:r>
              <w:rPr>
                <w:rFonts w:ascii="Avenir Next Condensed"/>
                <w:spacing w:val="-1"/>
                <w:sz w:val="18"/>
              </w:rPr>
              <w:t xml:space="preserve"> </w:t>
            </w:r>
            <w:r>
              <w:rPr>
                <w:rFonts w:ascii="Avenir Next Condensed"/>
                <w:sz w:val="18"/>
              </w:rPr>
              <w:t>the</w:t>
            </w:r>
            <w:r>
              <w:rPr>
                <w:rFonts w:ascii="Avenir Next Condensed"/>
                <w:spacing w:val="23"/>
                <w:sz w:val="18"/>
              </w:rPr>
              <w:t xml:space="preserve"> </w:t>
            </w:r>
            <w:r>
              <w:rPr>
                <w:rFonts w:ascii="Avenir Next Condensed"/>
                <w:sz w:val="18"/>
              </w:rPr>
              <w:t xml:space="preserve">latest customer and </w:t>
            </w:r>
            <w:r>
              <w:rPr>
                <w:rFonts w:ascii="Avenir Next Condensed"/>
                <w:spacing w:val="-1"/>
                <w:sz w:val="18"/>
              </w:rPr>
              <w:t>fixture</w:t>
            </w:r>
            <w:r>
              <w:rPr>
                <w:rFonts w:ascii="Avenir Next Condensed"/>
                <w:spacing w:val="25"/>
                <w:sz w:val="18"/>
              </w:rPr>
              <w:t xml:space="preserve"> </w:t>
            </w:r>
            <w:r>
              <w:rPr>
                <w:rFonts w:ascii="Avenir Next Condensed"/>
                <w:sz w:val="18"/>
              </w:rPr>
              <w:t>numbers.</w:t>
            </w:r>
          </w:p>
        </w:tc>
      </w:tr>
      <w:tr w:rsidR="00D96B91" w:rsidTr="00D174F6">
        <w:trPr>
          <w:trHeight w:hRule="exact" w:val="356"/>
        </w:trPr>
        <w:tc>
          <w:tcPr>
            <w:tcW w:w="1095" w:type="dxa"/>
            <w:tcBorders>
              <w:top w:val="single" w:sz="4" w:space="0" w:color="1A9EDA"/>
              <w:left w:val="single" w:sz="4" w:space="0" w:color="1A9EDA"/>
              <w:bottom w:val="nil"/>
              <w:right w:val="single" w:sz="4" w:space="0" w:color="1A9EDA"/>
            </w:tcBorders>
            <w:shd w:val="clear" w:color="auto" w:fill="0070C0"/>
          </w:tcPr>
          <w:p w:rsidR="00D96B91" w:rsidRDefault="00C2656B" w:rsidP="004C4403">
            <w:pPr>
              <w:pStyle w:val="TableParagraph"/>
              <w:spacing w:before="107"/>
              <w:ind w:left="34"/>
              <w:rPr>
                <w:rFonts w:ascii="Avenir Next Condensed" w:eastAsia="Avenir Next Condensed" w:hAnsi="Avenir Next Condensed" w:cs="Avenir Next Condensed"/>
                <w:sz w:val="18"/>
                <w:szCs w:val="18"/>
              </w:rPr>
            </w:pPr>
            <w:r>
              <w:rPr>
                <w:rFonts w:ascii="Avenir Next Condensed"/>
                <w:b/>
                <w:color w:val="FFFFFF"/>
                <w:spacing w:val="-1"/>
                <w:sz w:val="18"/>
              </w:rPr>
              <w:t>Measures</w:t>
            </w:r>
          </w:p>
        </w:tc>
        <w:tc>
          <w:tcPr>
            <w:tcW w:w="3496" w:type="dxa"/>
            <w:tcBorders>
              <w:top w:val="single" w:sz="4" w:space="0" w:color="17A7E0"/>
              <w:left w:val="single" w:sz="4" w:space="0" w:color="1A9EDA"/>
              <w:bottom w:val="nil"/>
              <w:right w:val="single" w:sz="4" w:space="0" w:color="17A7E0"/>
            </w:tcBorders>
            <w:shd w:val="clear" w:color="auto" w:fill="DCDDD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CPI escalation mechanism.</w:t>
            </w:r>
          </w:p>
        </w:tc>
        <w:tc>
          <w:tcPr>
            <w:tcW w:w="2759"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 xml:space="preserve">Biennial </w:t>
            </w:r>
            <w:r>
              <w:rPr>
                <w:rFonts w:ascii="Avenir Next Condensed"/>
                <w:spacing w:val="-1"/>
                <w:sz w:val="18"/>
              </w:rPr>
              <w:t>recalibrations</w:t>
            </w:r>
            <w:r>
              <w:rPr>
                <w:rFonts w:ascii="Avenir Next Condensed"/>
                <w:sz w:val="18"/>
              </w:rPr>
              <w:t xml:space="preserve"> of</w:t>
            </w:r>
            <w:r>
              <w:rPr>
                <w:rFonts w:ascii="Avenir Next Condensed"/>
                <w:spacing w:val="4"/>
                <w:sz w:val="18"/>
              </w:rPr>
              <w:t xml:space="preserve"> </w:t>
            </w:r>
            <w:r>
              <w:rPr>
                <w:rFonts w:ascii="Avenir Next Condensed"/>
                <w:spacing w:val="-1"/>
                <w:sz w:val="18"/>
              </w:rPr>
              <w:t>expenditure.</w:t>
            </w:r>
          </w:p>
        </w:tc>
        <w:tc>
          <w:tcPr>
            <w:tcW w:w="2098" w:type="dxa"/>
            <w:tcBorders>
              <w:top w:val="single" w:sz="4" w:space="0" w:color="17A7E0"/>
              <w:left w:val="single" w:sz="4" w:space="0" w:color="17A7E0"/>
              <w:bottom w:val="nil"/>
              <w:right w:val="single" w:sz="4" w:space="0" w:color="17A7E0"/>
            </w:tcBorders>
            <w:shd w:val="clear" w:color="auto" w:fill="F0F9FE"/>
          </w:tcPr>
          <w:p w:rsidR="00D96B91" w:rsidRDefault="00C2656B" w:rsidP="00E53C47">
            <w:pPr>
              <w:pStyle w:val="TableParagraph"/>
              <w:spacing w:before="107"/>
              <w:ind w:right="58"/>
              <w:rPr>
                <w:rFonts w:ascii="Avenir Next Condensed" w:eastAsia="Avenir Next Condensed" w:hAnsi="Avenir Next Condensed" w:cs="Avenir Next Condensed"/>
                <w:sz w:val="18"/>
                <w:szCs w:val="18"/>
              </w:rPr>
            </w:pPr>
            <w:r>
              <w:rPr>
                <w:rFonts w:ascii="Avenir Next Condensed"/>
                <w:sz w:val="18"/>
              </w:rPr>
              <w:t>CPI escalation mechanism.</w:t>
            </w:r>
          </w:p>
        </w:tc>
      </w:tr>
      <w:tr w:rsidR="00D96B91" w:rsidTr="00D174F6">
        <w:trPr>
          <w:trHeight w:hRule="exact" w:val="1986"/>
        </w:trPr>
        <w:tc>
          <w:tcPr>
            <w:tcW w:w="1095" w:type="dxa"/>
            <w:tcBorders>
              <w:top w:val="nil"/>
              <w:left w:val="single" w:sz="4" w:space="0" w:color="1A9EDA"/>
              <w:bottom w:val="nil"/>
              <w:right w:val="single" w:sz="4" w:space="0" w:color="1A9EDA"/>
            </w:tcBorders>
            <w:shd w:val="clear" w:color="auto" w:fill="0070C0"/>
          </w:tcPr>
          <w:p w:rsidR="00D96B91" w:rsidRDefault="00C2656B" w:rsidP="004C4403">
            <w:pPr>
              <w:pStyle w:val="TableParagraph"/>
              <w:spacing w:line="214" w:lineRule="auto"/>
              <w:ind w:left="34"/>
              <w:rPr>
                <w:rFonts w:ascii="Avenir Next Condensed" w:eastAsia="Avenir Next Condensed" w:hAnsi="Avenir Next Condensed" w:cs="Avenir Next Condensed"/>
                <w:sz w:val="18"/>
                <w:szCs w:val="18"/>
              </w:rPr>
            </w:pPr>
            <w:r>
              <w:rPr>
                <w:rFonts w:ascii="Avenir Next Condensed"/>
                <w:b/>
                <w:color w:val="FFFFFF"/>
                <w:sz w:val="18"/>
              </w:rPr>
              <w:t xml:space="preserve">to </w:t>
            </w:r>
            <w:r>
              <w:rPr>
                <w:rFonts w:ascii="Avenir Next Condensed"/>
                <w:b/>
                <w:color w:val="FFFFFF"/>
                <w:spacing w:val="-1"/>
                <w:sz w:val="18"/>
              </w:rPr>
              <w:t>deal</w:t>
            </w:r>
            <w:r>
              <w:rPr>
                <w:rFonts w:ascii="Avenir Next Condensed"/>
                <w:b/>
                <w:color w:val="FFFFFF"/>
                <w:sz w:val="18"/>
              </w:rPr>
              <w:t xml:space="preserve"> with</w:t>
            </w:r>
            <w:r>
              <w:rPr>
                <w:rFonts w:ascii="Avenir Next Condensed"/>
                <w:b/>
                <w:color w:val="FFFFFF"/>
                <w:spacing w:val="22"/>
                <w:sz w:val="18"/>
              </w:rPr>
              <w:t xml:space="preserve"> </w:t>
            </w:r>
            <w:r>
              <w:rPr>
                <w:rFonts w:ascii="Avenir Next Condensed"/>
                <w:b/>
                <w:color w:val="FFFFFF"/>
                <w:spacing w:val="-1"/>
                <w:sz w:val="18"/>
              </w:rPr>
              <w:t>expenditure</w:t>
            </w:r>
            <w:r>
              <w:rPr>
                <w:rFonts w:ascii="Avenir Next Condensed"/>
                <w:b/>
                <w:color w:val="FFFFFF"/>
                <w:spacing w:val="27"/>
                <w:sz w:val="18"/>
              </w:rPr>
              <w:t xml:space="preserve"> </w:t>
            </w:r>
            <w:r>
              <w:rPr>
                <w:rFonts w:ascii="Avenir Next Condensed"/>
                <w:b/>
                <w:color w:val="FFFFFF"/>
                <w:spacing w:val="-1"/>
                <w:sz w:val="18"/>
              </w:rPr>
              <w:t>risks</w:t>
            </w: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before="85"/>
              <w:ind w:left="108"/>
              <w:rPr>
                <w:rFonts w:ascii="Avenir Next Condensed" w:eastAsia="Avenir Next Condensed" w:hAnsi="Avenir Next Condensed" w:cs="Avenir Next Condensed"/>
                <w:sz w:val="18"/>
                <w:szCs w:val="18"/>
              </w:rPr>
            </w:pPr>
            <w:r>
              <w:rPr>
                <w:rFonts w:ascii="Avenir Next Condensed"/>
                <w:sz w:val="18"/>
              </w:rPr>
              <w:t xml:space="preserve">Ex post </w:t>
            </w:r>
            <w:r>
              <w:rPr>
                <w:rFonts w:ascii="Avenir Next Condensed"/>
                <w:spacing w:val="-1"/>
                <w:sz w:val="18"/>
              </w:rPr>
              <w:t>capex</w:t>
            </w:r>
            <w:r>
              <w:rPr>
                <w:rFonts w:ascii="Avenir Next Condensed"/>
                <w:sz w:val="18"/>
              </w:rPr>
              <w:t xml:space="preserve"> </w:t>
            </w:r>
            <w:r>
              <w:rPr>
                <w:rFonts w:ascii="Avenir Next Condensed"/>
                <w:spacing w:val="-2"/>
                <w:sz w:val="18"/>
              </w:rPr>
              <w:t>review.</w:t>
            </w:r>
          </w:p>
          <w:p w:rsidR="00D96B91" w:rsidRDefault="00C2656B">
            <w:pPr>
              <w:pStyle w:val="TableParagraph"/>
              <w:spacing w:before="91" w:line="220" w:lineRule="exact"/>
              <w:ind w:left="108" w:right="226"/>
              <w:rPr>
                <w:rFonts w:ascii="Avenir Next Condensed" w:eastAsia="Avenir Next Condensed" w:hAnsi="Avenir Next Condensed" w:cs="Avenir Next Condensed"/>
                <w:sz w:val="18"/>
                <w:szCs w:val="18"/>
              </w:rPr>
            </w:pPr>
            <w:r>
              <w:rPr>
                <w:rFonts w:ascii="Avenir Next Condensed"/>
                <w:sz w:val="18"/>
              </w:rPr>
              <w:t xml:space="preserve">Annual cost </w:t>
            </w:r>
            <w:r>
              <w:rPr>
                <w:rFonts w:ascii="Avenir Next Condensed"/>
                <w:spacing w:val="-1"/>
                <w:sz w:val="18"/>
              </w:rPr>
              <w:t>pass-through</w:t>
            </w:r>
            <w:r>
              <w:rPr>
                <w:rFonts w:ascii="Avenir Next Condensed"/>
                <w:sz w:val="18"/>
              </w:rPr>
              <w:t xml:space="preserve"> mechanism to </w:t>
            </w:r>
            <w:r>
              <w:rPr>
                <w:rFonts w:ascii="Avenir Next Condensed"/>
                <w:spacing w:val="-1"/>
                <w:sz w:val="18"/>
              </w:rPr>
              <w:t>deal</w:t>
            </w:r>
            <w:r>
              <w:rPr>
                <w:rFonts w:ascii="Avenir Next Condensed"/>
                <w:sz w:val="18"/>
              </w:rPr>
              <w:t xml:space="preserve"> with</w:t>
            </w:r>
            <w:r>
              <w:rPr>
                <w:rFonts w:ascii="Avenir Next Condensed"/>
                <w:spacing w:val="21"/>
                <w:sz w:val="18"/>
              </w:rPr>
              <w:t xml:space="preserve"> </w:t>
            </w:r>
            <w:r>
              <w:rPr>
                <w:rFonts w:ascii="Avenir Next Condensed"/>
                <w:sz w:val="18"/>
              </w:rPr>
              <w:t xml:space="preserve">changes in </w:t>
            </w:r>
            <w:r>
              <w:rPr>
                <w:rFonts w:ascii="Avenir Next Condensed"/>
                <w:spacing w:val="-1"/>
                <w:sz w:val="18"/>
              </w:rPr>
              <w:t>Commonwealth</w:t>
            </w:r>
            <w:r>
              <w:rPr>
                <w:rFonts w:ascii="Avenir Next Condensed"/>
                <w:sz w:val="18"/>
              </w:rPr>
              <w:t xml:space="preserve"> subvention payments,</w:t>
            </w:r>
            <w:r>
              <w:rPr>
                <w:rFonts w:ascii="Avenir Next Condensed"/>
                <w:spacing w:val="27"/>
                <w:sz w:val="18"/>
              </w:rPr>
              <w:t xml:space="preserve"> </w:t>
            </w:r>
            <w:r>
              <w:rPr>
                <w:rFonts w:ascii="Avenir Next Condensed"/>
                <w:sz w:val="18"/>
              </w:rPr>
              <w:t>changes in the amount</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is </w:t>
            </w:r>
            <w:r>
              <w:rPr>
                <w:rFonts w:ascii="Avenir Next Condensed"/>
                <w:spacing w:val="-1"/>
                <w:sz w:val="18"/>
              </w:rPr>
              <w:t>required</w:t>
            </w:r>
            <w:r>
              <w:rPr>
                <w:rFonts w:ascii="Avenir Next Condensed"/>
                <w:sz w:val="18"/>
              </w:rPr>
              <w:t xml:space="preserve"> to pay</w:t>
            </w:r>
            <w:r>
              <w:rPr>
                <w:rFonts w:ascii="Avenir Next Condensed"/>
                <w:spacing w:val="26"/>
                <w:sz w:val="18"/>
              </w:rPr>
              <w:t xml:space="preserve"> </w:t>
            </w:r>
            <w:r>
              <w:rPr>
                <w:rFonts w:ascii="Avenir Next Condensed"/>
                <w:sz w:val="18"/>
              </w:rPr>
              <w:t>the</w:t>
            </w:r>
            <w:r>
              <w:rPr>
                <w:rFonts w:ascii="Avenir Next Condensed"/>
                <w:spacing w:val="-4"/>
                <w:sz w:val="18"/>
              </w:rPr>
              <w:t xml:space="preserve"> </w:t>
            </w:r>
            <w:r>
              <w:rPr>
                <w:rFonts w:ascii="Avenir Next Condensed"/>
                <w:spacing w:val="-2"/>
                <w:sz w:val="18"/>
              </w:rPr>
              <w:t>ACT</w:t>
            </w:r>
            <w:r>
              <w:rPr>
                <w:rFonts w:ascii="Avenir Next Condensed"/>
                <w:spacing w:val="-5"/>
                <w:sz w:val="18"/>
              </w:rPr>
              <w:t xml:space="preserve"> </w:t>
            </w:r>
            <w:r>
              <w:rPr>
                <w:rFonts w:ascii="Avenir Next Condensed"/>
                <w:sz w:val="18"/>
              </w:rPr>
              <w:t>Government for the</w:t>
            </w:r>
            <w:r>
              <w:rPr>
                <w:rFonts w:ascii="Avenir Next Condensed"/>
                <w:spacing w:val="-3"/>
                <w:sz w:val="18"/>
              </w:rPr>
              <w:t xml:space="preserve"> </w:t>
            </w:r>
            <w:r>
              <w:rPr>
                <w:rFonts w:ascii="Avenir Next Condensed"/>
                <w:spacing w:val="-1"/>
                <w:sz w:val="18"/>
              </w:rPr>
              <w:t>Water</w:t>
            </w:r>
            <w:r>
              <w:rPr>
                <w:rFonts w:ascii="Avenir Next Condensed"/>
                <w:spacing w:val="-4"/>
                <w:sz w:val="18"/>
              </w:rPr>
              <w:t xml:space="preserve"> </w:t>
            </w:r>
            <w:r>
              <w:rPr>
                <w:rFonts w:ascii="Avenir Next Condensed"/>
                <w:spacing w:val="-1"/>
                <w:sz w:val="18"/>
              </w:rPr>
              <w:t>Abstraction</w:t>
            </w:r>
          </w:p>
          <w:p w:rsidR="00D96B91" w:rsidRDefault="00C2656B">
            <w:pPr>
              <w:pStyle w:val="TableParagraph"/>
              <w:spacing w:line="220" w:lineRule="exact"/>
              <w:ind w:left="108" w:right="101"/>
              <w:rPr>
                <w:rFonts w:ascii="Avenir Next Condensed" w:eastAsia="Avenir Next Condensed" w:hAnsi="Avenir Next Condensed" w:cs="Avenir Next Condensed"/>
                <w:sz w:val="18"/>
                <w:szCs w:val="18"/>
              </w:rPr>
            </w:pPr>
            <w:r>
              <w:rPr>
                <w:rFonts w:ascii="Avenir Next Condensed"/>
                <w:spacing w:val="-1"/>
                <w:sz w:val="18"/>
              </w:rPr>
              <w:t xml:space="preserve">Charge </w:t>
            </w:r>
            <w:r>
              <w:rPr>
                <w:rFonts w:ascii="Avenir Next Condensed"/>
                <w:spacing w:val="-2"/>
                <w:sz w:val="18"/>
              </w:rPr>
              <w:t>(WAC),</w:t>
            </w:r>
            <w:r>
              <w:rPr>
                <w:rFonts w:ascii="Avenir Next Condensed"/>
                <w:spacing w:val="-6"/>
                <w:sz w:val="18"/>
              </w:rPr>
              <w:t xml:space="preserve"> </w:t>
            </w:r>
            <w:r>
              <w:rPr>
                <w:rFonts w:ascii="Avenir Next Condensed"/>
                <w:sz w:val="18"/>
              </w:rPr>
              <w:t>Utilities</w:t>
            </w:r>
            <w:r>
              <w:rPr>
                <w:rFonts w:ascii="Avenir Next Condensed"/>
                <w:spacing w:val="-1"/>
                <w:sz w:val="18"/>
              </w:rPr>
              <w:t xml:space="preserve"> </w:t>
            </w:r>
            <w:r>
              <w:rPr>
                <w:rFonts w:ascii="Avenir Next Condensed"/>
                <w:sz w:val="18"/>
              </w:rPr>
              <w:t>Network</w:t>
            </w:r>
            <w:r>
              <w:rPr>
                <w:rFonts w:ascii="Avenir Next Condensed"/>
                <w:spacing w:val="-1"/>
                <w:sz w:val="18"/>
              </w:rPr>
              <w:t xml:space="preserve"> Facilities</w:t>
            </w:r>
            <w:r>
              <w:rPr>
                <w:rFonts w:ascii="Avenir Next Condensed"/>
                <w:spacing w:val="-5"/>
                <w:sz w:val="18"/>
              </w:rPr>
              <w:t xml:space="preserve"> </w:t>
            </w:r>
            <w:r>
              <w:rPr>
                <w:rFonts w:ascii="Avenir Next Condensed"/>
                <w:spacing w:val="-3"/>
                <w:sz w:val="18"/>
              </w:rPr>
              <w:t>Tax</w:t>
            </w:r>
            <w:r>
              <w:rPr>
                <w:rFonts w:ascii="Avenir Next Condensed"/>
                <w:spacing w:val="-1"/>
                <w:sz w:val="18"/>
              </w:rPr>
              <w:t xml:space="preserve"> </w:t>
            </w:r>
            <w:r>
              <w:rPr>
                <w:rFonts w:ascii="Avenir Next Condensed"/>
                <w:sz w:val="18"/>
              </w:rPr>
              <w:t>(UNFT),</w:t>
            </w:r>
            <w:r>
              <w:rPr>
                <w:rFonts w:ascii="Avenir Next Condensed"/>
                <w:spacing w:val="33"/>
                <w:sz w:val="18"/>
              </w:rPr>
              <w:t xml:space="preserve"> </w:t>
            </w:r>
            <w:r>
              <w:rPr>
                <w:rFonts w:ascii="Avenir Next Condensed"/>
                <w:sz w:val="18"/>
              </w:rPr>
              <w:t xml:space="preserve">changes in </w:t>
            </w:r>
            <w:r>
              <w:rPr>
                <w:rFonts w:ascii="Avenir Next Condensed"/>
                <w:spacing w:val="-1"/>
                <w:sz w:val="18"/>
              </w:rPr>
              <w:t>taxes,</w:t>
            </w:r>
            <w:r>
              <w:rPr>
                <w:rFonts w:ascii="Avenir Next Condensed"/>
                <w:spacing w:val="-6"/>
                <w:sz w:val="18"/>
              </w:rPr>
              <w:t xml:space="preserve"> </w:t>
            </w:r>
            <w:r>
              <w:rPr>
                <w:rFonts w:ascii="Avenir Next Condensed"/>
                <w:sz w:val="18"/>
              </w:rPr>
              <w:t xml:space="preserve">changes in service </w:t>
            </w:r>
            <w:r>
              <w:rPr>
                <w:rFonts w:ascii="Avenir Next Condensed"/>
                <w:spacing w:val="-1"/>
                <w:sz w:val="18"/>
              </w:rPr>
              <w:t>standards,</w:t>
            </w:r>
            <w:r>
              <w:rPr>
                <w:rFonts w:ascii="Avenir Next Condensed"/>
                <w:spacing w:val="25"/>
                <w:sz w:val="18"/>
              </w:rPr>
              <w:t xml:space="preserve"> </w:t>
            </w:r>
            <w:r>
              <w:rPr>
                <w:rFonts w:ascii="Avenir Next Condensed"/>
                <w:sz w:val="18"/>
              </w:rPr>
              <w:t xml:space="preserve">changes in </w:t>
            </w:r>
            <w:r>
              <w:rPr>
                <w:rFonts w:ascii="Avenir Next Condensed"/>
                <w:spacing w:val="-1"/>
                <w:sz w:val="18"/>
              </w:rPr>
              <w:t>regulation</w:t>
            </w:r>
            <w:r>
              <w:rPr>
                <w:rFonts w:ascii="Avenir Next Condensed"/>
                <w:sz w:val="18"/>
              </w:rPr>
              <w:t xml:space="preserve"> and the</w:t>
            </w:r>
            <w:r>
              <w:rPr>
                <w:rFonts w:ascii="Avenir Next Condensed"/>
                <w:spacing w:val="-5"/>
                <w:sz w:val="18"/>
              </w:rPr>
              <w:t xml:space="preserve"> </w:t>
            </w:r>
            <w:r>
              <w:rPr>
                <w:rFonts w:ascii="Avenir Next Condensed"/>
                <w:spacing w:val="-1"/>
                <w:sz w:val="18"/>
              </w:rPr>
              <w:t>Tantangara</w:t>
            </w:r>
            <w:r>
              <w:rPr>
                <w:rFonts w:ascii="Avenir Next Condensed"/>
                <w:spacing w:val="-5"/>
                <w:sz w:val="18"/>
              </w:rPr>
              <w:t xml:space="preserve"> </w:t>
            </w:r>
            <w:r>
              <w:rPr>
                <w:rFonts w:ascii="Avenir Next Condensed"/>
                <w:spacing w:val="-2"/>
                <w:sz w:val="18"/>
              </w:rPr>
              <w:t>Transfer</w:t>
            </w:r>
          </w:p>
        </w:tc>
        <w:tc>
          <w:tcPr>
            <w:tcW w:w="2759" w:type="dxa"/>
            <w:tcBorders>
              <w:top w:val="nil"/>
              <w:left w:val="single" w:sz="4" w:space="0" w:color="17A7E0"/>
              <w:bottom w:val="nil"/>
              <w:right w:val="single" w:sz="4" w:space="0" w:color="17A7E0"/>
            </w:tcBorders>
            <w:shd w:val="clear" w:color="auto" w:fill="F0F9FE"/>
          </w:tcPr>
          <w:p w:rsidR="00D96B91" w:rsidRDefault="00C2656B">
            <w:pPr>
              <w:pStyle w:val="TableParagraph"/>
              <w:spacing w:before="88" w:line="220" w:lineRule="exact"/>
              <w:ind w:left="108" w:right="837"/>
              <w:rPr>
                <w:rFonts w:ascii="Avenir Next Condensed" w:eastAsia="Avenir Next Condensed" w:hAnsi="Avenir Next Condensed" w:cs="Avenir Next Condensed"/>
                <w:sz w:val="18"/>
                <w:szCs w:val="18"/>
              </w:rPr>
            </w:pPr>
            <w:r>
              <w:rPr>
                <w:rFonts w:ascii="Avenir Next Condensed"/>
                <w:sz w:val="18"/>
              </w:rPr>
              <w:t xml:space="preserve">CPI escalation mechanism in intervening </w:t>
            </w:r>
            <w:r>
              <w:rPr>
                <w:rFonts w:ascii="Avenir Next Condensed"/>
                <w:spacing w:val="-1"/>
                <w:sz w:val="18"/>
              </w:rPr>
              <w:t>years.</w:t>
            </w:r>
          </w:p>
          <w:p w:rsidR="00D96B91" w:rsidRDefault="00C2656B">
            <w:pPr>
              <w:pStyle w:val="TableParagraph"/>
              <w:spacing w:before="113" w:line="220" w:lineRule="exact"/>
              <w:ind w:left="108" w:right="224"/>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w:t>
            </w:r>
            <w:r>
              <w:rPr>
                <w:rFonts w:ascii="Avenir Next Condensed"/>
                <w:spacing w:val="-1"/>
                <w:sz w:val="18"/>
              </w:rPr>
              <w:t>pass-through</w:t>
            </w:r>
            <w:r>
              <w:rPr>
                <w:rFonts w:ascii="Avenir Next Condensed"/>
                <w:sz w:val="18"/>
              </w:rPr>
              <w:t xml:space="preserve"> mechanism in</w:t>
            </w:r>
            <w:r>
              <w:rPr>
                <w:rFonts w:ascii="Avenir Next Condensed"/>
                <w:spacing w:val="30"/>
                <w:sz w:val="18"/>
              </w:rPr>
              <w:t xml:space="preserve"> </w:t>
            </w:r>
            <w:r>
              <w:rPr>
                <w:rFonts w:ascii="Avenir Next Condensed"/>
                <w:sz w:val="18"/>
              </w:rPr>
              <w:t xml:space="preserve">intervening </w:t>
            </w:r>
            <w:r>
              <w:rPr>
                <w:rFonts w:ascii="Avenir Next Condensed"/>
                <w:spacing w:val="-1"/>
                <w:sz w:val="18"/>
              </w:rPr>
              <w:t>years</w:t>
            </w:r>
            <w:r>
              <w:rPr>
                <w:rFonts w:ascii="Avenir Next Condensed"/>
                <w:sz w:val="18"/>
              </w:rPr>
              <w:t xml:space="preserve"> to </w:t>
            </w:r>
            <w:r>
              <w:rPr>
                <w:rFonts w:ascii="Avenir Next Condensed"/>
                <w:spacing w:val="-1"/>
                <w:sz w:val="18"/>
              </w:rPr>
              <w:t>deal</w:t>
            </w:r>
            <w:r>
              <w:rPr>
                <w:rFonts w:ascii="Avenir Next Condensed"/>
                <w:sz w:val="18"/>
              </w:rPr>
              <w:t xml:space="preserve"> with changes</w:t>
            </w:r>
            <w:r>
              <w:rPr>
                <w:rFonts w:ascii="Avenir Next Condensed"/>
                <w:spacing w:val="25"/>
                <w:sz w:val="18"/>
              </w:rPr>
              <w:t xml:space="preserve"> </w:t>
            </w:r>
            <w:r>
              <w:rPr>
                <w:rFonts w:ascii="Avenir Next Condensed"/>
                <w:sz w:val="18"/>
              </w:rPr>
              <w:t>in subvention payments and the</w:t>
            </w:r>
            <w:r>
              <w:rPr>
                <w:rFonts w:ascii="Avenir Next Condensed"/>
                <w:spacing w:val="-3"/>
                <w:sz w:val="18"/>
              </w:rPr>
              <w:t xml:space="preserve"> WAC</w:t>
            </w:r>
            <w:r>
              <w:rPr>
                <w:rFonts w:ascii="Avenir Next Condensed"/>
                <w:spacing w:val="22"/>
                <w:sz w:val="18"/>
              </w:rPr>
              <w:t xml:space="preserve"> </w:t>
            </w:r>
            <w:r>
              <w:rPr>
                <w:rFonts w:ascii="Avenir Next Condensed"/>
                <w:sz w:val="18"/>
              </w:rPr>
              <w:t xml:space="preserve">and </w:t>
            </w:r>
            <w:r>
              <w:rPr>
                <w:rFonts w:ascii="Avenir Next Condensed"/>
                <w:spacing w:val="-2"/>
                <w:sz w:val="18"/>
              </w:rPr>
              <w:t>UNFT.</w:t>
            </w:r>
          </w:p>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before="88" w:line="220" w:lineRule="exact"/>
              <w:ind w:right="5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w:t>
            </w:r>
            <w:r>
              <w:rPr>
                <w:rFonts w:ascii="Avenir Next Condensed"/>
                <w:spacing w:val="-1"/>
                <w:sz w:val="18"/>
              </w:rPr>
              <w:t>pass-through</w:t>
            </w:r>
            <w:r>
              <w:rPr>
                <w:rFonts w:ascii="Avenir Next Condensed"/>
                <w:spacing w:val="30"/>
                <w:sz w:val="18"/>
              </w:rPr>
              <w:t xml:space="preserve"> </w:t>
            </w:r>
            <w:r>
              <w:rPr>
                <w:rFonts w:ascii="Avenir Next Condensed"/>
                <w:sz w:val="18"/>
              </w:rPr>
              <w:t xml:space="preserve">mechanism to </w:t>
            </w:r>
            <w:r>
              <w:rPr>
                <w:rFonts w:ascii="Avenir Next Condensed"/>
                <w:spacing w:val="-1"/>
                <w:sz w:val="18"/>
              </w:rPr>
              <w:t>deal</w:t>
            </w:r>
            <w:r>
              <w:rPr>
                <w:rFonts w:ascii="Avenir Next Condensed"/>
                <w:sz w:val="18"/>
              </w:rPr>
              <w:t xml:space="preserve"> with</w:t>
            </w:r>
            <w:r>
              <w:rPr>
                <w:rFonts w:ascii="Avenir Next Condensed"/>
                <w:spacing w:val="22"/>
                <w:sz w:val="18"/>
              </w:rPr>
              <w:t xml:space="preserve"> </w:t>
            </w:r>
            <w:r>
              <w:rPr>
                <w:rFonts w:ascii="Avenir Next Condensed"/>
                <w:sz w:val="18"/>
              </w:rPr>
              <w:t xml:space="preserve">changes in </w:t>
            </w:r>
            <w:r>
              <w:rPr>
                <w:rFonts w:ascii="Avenir Next Condensed"/>
                <w:spacing w:val="-1"/>
                <w:sz w:val="18"/>
              </w:rPr>
              <w:t>taxes,</w:t>
            </w:r>
            <w:r>
              <w:rPr>
                <w:rFonts w:ascii="Avenir Next Condensed"/>
                <w:spacing w:val="-6"/>
                <w:sz w:val="18"/>
              </w:rPr>
              <w:t xml:space="preserve"> </w:t>
            </w:r>
            <w:r>
              <w:rPr>
                <w:rFonts w:ascii="Avenir Next Condensed"/>
                <w:sz w:val="18"/>
              </w:rPr>
              <w:t>contingent</w:t>
            </w:r>
            <w:r>
              <w:rPr>
                <w:rFonts w:ascii="Avenir Next Condensed"/>
                <w:spacing w:val="2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w:t>
            </w:r>
            <w:r>
              <w:rPr>
                <w:rFonts w:ascii="Avenir Next Condensed"/>
                <w:spacing w:val="-1"/>
                <w:sz w:val="18"/>
              </w:rPr>
              <w:t>projects,</w:t>
            </w:r>
            <w:r>
              <w:rPr>
                <w:rFonts w:ascii="Avenir Next Condensed"/>
                <w:spacing w:val="29"/>
                <w:sz w:val="18"/>
              </w:rPr>
              <w:t xml:space="preserve"> </w:t>
            </w:r>
            <w:r>
              <w:rPr>
                <w:rFonts w:ascii="Avenir Next Condensed"/>
                <w:sz w:val="18"/>
              </w:rPr>
              <w:t>changes in subvention payments,</w:t>
            </w:r>
            <w:r>
              <w:rPr>
                <w:rFonts w:ascii="Avenir Next Condensed"/>
                <w:spacing w:val="-6"/>
                <w:sz w:val="18"/>
              </w:rPr>
              <w:t xml:space="preserve"> </w:t>
            </w:r>
            <w:r>
              <w:rPr>
                <w:rFonts w:ascii="Avenir Next Condensed"/>
                <w:sz w:val="18"/>
              </w:rPr>
              <w:t xml:space="preserve">changes in service </w:t>
            </w:r>
            <w:r>
              <w:rPr>
                <w:rFonts w:ascii="Avenir Next Condensed"/>
                <w:spacing w:val="-1"/>
                <w:sz w:val="18"/>
              </w:rPr>
              <w:t>standards</w:t>
            </w:r>
            <w:r>
              <w:rPr>
                <w:rFonts w:ascii="Avenir Next Condensed"/>
                <w:sz w:val="18"/>
              </w:rPr>
              <w:t xml:space="preserve"> and changes in</w:t>
            </w:r>
            <w:r>
              <w:rPr>
                <w:rFonts w:ascii="Avenir Next Condensed"/>
                <w:spacing w:val="27"/>
                <w:sz w:val="18"/>
              </w:rPr>
              <w:t xml:space="preserve"> </w:t>
            </w:r>
            <w:r>
              <w:rPr>
                <w:rFonts w:ascii="Avenir Next Condensed"/>
                <w:spacing w:val="-1"/>
                <w:sz w:val="18"/>
              </w:rPr>
              <w:t>regulation.</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7" w:lineRule="exact"/>
              <w:ind w:left="108"/>
              <w:rPr>
                <w:rFonts w:ascii="Avenir Next Condensed" w:eastAsia="Avenir Next Condensed" w:hAnsi="Avenir Next Condensed" w:cs="Avenir Next Condensed"/>
                <w:sz w:val="18"/>
                <w:szCs w:val="18"/>
              </w:rPr>
            </w:pPr>
            <w:r>
              <w:rPr>
                <w:rFonts w:ascii="Avenir Next Condensed"/>
                <w:spacing w:val="-1"/>
                <w:sz w:val="18"/>
              </w:rPr>
              <w:t>Payment</w:t>
            </w:r>
            <w:r>
              <w:rPr>
                <w:rFonts w:ascii="Avenir Next Condensed"/>
                <w:sz w:val="18"/>
              </w:rPr>
              <w:t xml:space="preserve"> event.</w:t>
            </w:r>
            <w:r>
              <w:rPr>
                <w:rFonts w:ascii="Avenir Next Condensed"/>
                <w:spacing w:val="-10"/>
                <w:sz w:val="18"/>
              </w:rPr>
              <w:t xml:space="preserve"> </w:t>
            </w:r>
            <w:r>
              <w:rPr>
                <w:rFonts w:ascii="Avenir Next Condensed"/>
                <w:spacing w:val="-1"/>
                <w:sz w:val="18"/>
              </w:rPr>
              <w:t>The</w:t>
            </w:r>
            <w:r>
              <w:rPr>
                <w:rFonts w:ascii="Avenir Next Condensed"/>
                <w:sz w:val="18"/>
              </w:rPr>
              <w:t xml:space="preserve"> materiality </w:t>
            </w:r>
            <w:r>
              <w:rPr>
                <w:rFonts w:ascii="Avenir Next Condensed"/>
                <w:spacing w:val="-1"/>
                <w:sz w:val="18"/>
              </w:rPr>
              <w:t>threshold</w:t>
            </w:r>
            <w:r>
              <w:rPr>
                <w:rFonts w:ascii="Avenir Next Condensed"/>
                <w:sz w:val="18"/>
              </w:rPr>
              <w:t xml:space="preserve"> for</w:t>
            </w:r>
          </w:p>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7" w:lineRule="exact"/>
              <w:ind w:right="58"/>
              <w:rPr>
                <w:rFonts w:ascii="Avenir Next Condensed" w:eastAsia="Avenir Next Condensed" w:hAnsi="Avenir Next Condensed" w:cs="Avenir Next Condensed"/>
                <w:sz w:val="18"/>
                <w:szCs w:val="18"/>
              </w:rPr>
            </w:pPr>
            <w:r>
              <w:rPr>
                <w:rFonts w:ascii="Avenir Next Condensed"/>
                <w:sz w:val="18"/>
              </w:rPr>
              <w:t>A</w:t>
            </w:r>
            <w:r>
              <w:rPr>
                <w:rFonts w:ascii="Avenir Next Condensed"/>
                <w:spacing w:val="-4"/>
                <w:sz w:val="18"/>
              </w:rPr>
              <w:t xml:space="preserve"> </w:t>
            </w:r>
            <w:r>
              <w:rPr>
                <w:rFonts w:ascii="Avenir Next Condensed"/>
                <w:sz w:val="18"/>
              </w:rPr>
              <w:t xml:space="preserve">materiality </w:t>
            </w:r>
            <w:r>
              <w:rPr>
                <w:rFonts w:ascii="Avenir Next Condensed"/>
                <w:spacing w:val="-1"/>
                <w:sz w:val="18"/>
              </w:rPr>
              <w:t>threshold</w:t>
            </w:r>
            <w:r>
              <w:rPr>
                <w:rFonts w:ascii="Avenir Next Condensed"/>
                <w:sz w:val="18"/>
              </w:rPr>
              <w:t xml:space="preserve"> of</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this mechanism will be $0 for</w:t>
            </w:r>
            <w:r>
              <w:rPr>
                <w:rFonts w:ascii="Avenir Next Condensed"/>
                <w:spacing w:val="-3"/>
                <w:sz w:val="18"/>
              </w:rPr>
              <w:t xml:space="preserve"> </w:t>
            </w:r>
            <w:r>
              <w:rPr>
                <w:rFonts w:ascii="Avenir Next Condensed"/>
                <w:spacing w:val="-2"/>
                <w:sz w:val="18"/>
              </w:rPr>
              <w:t>WAC,</w:t>
            </w:r>
            <w:r>
              <w:rPr>
                <w:rFonts w:ascii="Avenir Next Condensed"/>
                <w:spacing w:val="-6"/>
                <w:sz w:val="18"/>
              </w:rPr>
              <w:t xml:space="preserve"> </w:t>
            </w:r>
            <w:r>
              <w:rPr>
                <w:rFonts w:ascii="Avenir Next Condensed"/>
                <w:sz w:val="18"/>
              </w:rPr>
              <w:t>UNFT</w:t>
            </w:r>
            <w:r>
              <w:rPr>
                <w:rFonts w:ascii="Avenir Next Condensed"/>
                <w:spacing w:val="-5"/>
                <w:sz w:val="18"/>
              </w:rPr>
              <w:t xml:space="preserve"> </w:t>
            </w:r>
            <w:r>
              <w:rPr>
                <w:rFonts w:ascii="Avenir Next Condensed"/>
                <w:sz w:val="18"/>
              </w:rPr>
              <w:t>and</w:t>
            </w:r>
          </w:p>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$1 million ($2012-13) for</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subvention payments,</w:t>
            </w:r>
            <w:r>
              <w:rPr>
                <w:rFonts w:ascii="Avenir Next Condensed"/>
                <w:spacing w:val="-6"/>
                <w:sz w:val="18"/>
              </w:rPr>
              <w:t xml:space="preserve"> </w:t>
            </w:r>
            <w:r>
              <w:rPr>
                <w:rFonts w:ascii="Avenir Next Condensed"/>
                <w:sz w:val="18"/>
              </w:rPr>
              <w:t>and $2 million ($2012-13)</w:t>
            </w:r>
          </w:p>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 xml:space="preserve">cost </w:t>
            </w:r>
            <w:r>
              <w:rPr>
                <w:rFonts w:ascii="Avenir Next Condensed"/>
                <w:spacing w:val="-1"/>
                <w:sz w:val="18"/>
              </w:rPr>
              <w:t>pass-through</w:t>
            </w:r>
            <w:r>
              <w:rPr>
                <w:rFonts w:ascii="Avenir Next Condensed"/>
                <w:sz w:val="18"/>
              </w:rPr>
              <w:t xml:space="preserve"> events,</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per event for all other cost </w:t>
            </w:r>
            <w:r>
              <w:rPr>
                <w:rFonts w:ascii="Avenir Next Condensed"/>
                <w:spacing w:val="-1"/>
                <w:sz w:val="18"/>
              </w:rPr>
              <w:t>pass-through</w:t>
            </w:r>
            <w:r>
              <w:rPr>
                <w:rFonts w:ascii="Avenir Next Condensed"/>
                <w:sz w:val="18"/>
              </w:rPr>
              <w:t xml:space="preserve"> categories.</w:t>
            </w:r>
          </w:p>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 xml:space="preserve">with the </w:t>
            </w:r>
            <w:r>
              <w:rPr>
                <w:rFonts w:ascii="Avenir Next Condensed"/>
                <w:spacing w:val="-1"/>
                <w:sz w:val="18"/>
              </w:rPr>
              <w:t>exception</w:t>
            </w:r>
            <w:r>
              <w:rPr>
                <w:rFonts w:ascii="Avenir Next Condensed"/>
                <w:sz w:val="18"/>
              </w:rPr>
              <w:t xml:space="preserve"> of</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D96B91"/>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subvention payments and</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nil"/>
              <w:right w:val="single" w:sz="4" w:space="0" w:color="17A7E0"/>
            </w:tcBorders>
            <w:shd w:val="clear" w:color="auto" w:fill="DCDDDE"/>
          </w:tcPr>
          <w:p w:rsidR="00D96B91" w:rsidRDefault="00D96B91"/>
        </w:tc>
        <w:tc>
          <w:tcPr>
            <w:tcW w:w="2759" w:type="dxa"/>
            <w:tcBorders>
              <w:top w:val="nil"/>
              <w:left w:val="single" w:sz="4" w:space="0" w:color="17A7E0"/>
              <w:bottom w:val="nil"/>
              <w:right w:val="single" w:sz="4" w:space="0" w:color="17A7E0"/>
            </w:tcBorders>
            <w:shd w:val="clear" w:color="auto" w:fill="F0F9FE"/>
          </w:tcPr>
          <w:p w:rsidR="00D96B91" w:rsidRDefault="00D96B91"/>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the</w:t>
            </w:r>
            <w:r>
              <w:rPr>
                <w:rFonts w:ascii="Avenir Next Condensed"/>
                <w:spacing w:val="-3"/>
                <w:sz w:val="18"/>
              </w:rPr>
              <w:t xml:space="preserve"> WAC</w:t>
            </w:r>
            <w:r>
              <w:rPr>
                <w:rFonts w:ascii="Avenir Next Condensed"/>
                <w:sz w:val="18"/>
              </w:rPr>
              <w:t xml:space="preserve"> and </w:t>
            </w:r>
            <w:r>
              <w:rPr>
                <w:rFonts w:ascii="Avenir Next Condensed"/>
                <w:spacing w:val="-2"/>
                <w:sz w:val="18"/>
              </w:rPr>
              <w:t>UNFT,</w:t>
            </w:r>
            <w:r>
              <w:rPr>
                <w:rFonts w:ascii="Avenir Next Condensed"/>
                <w:spacing w:val="-6"/>
                <w:sz w:val="18"/>
              </w:rPr>
              <w:t xml:space="preserve"> </w:t>
            </w:r>
            <w:r>
              <w:rPr>
                <w:rFonts w:ascii="Avenir Next Condensed"/>
                <w:spacing w:val="-1"/>
                <w:sz w:val="18"/>
              </w:rPr>
              <w:t>where</w:t>
            </w:r>
            <w:r>
              <w:rPr>
                <w:rFonts w:ascii="Avenir Next Condensed"/>
                <w:sz w:val="18"/>
              </w:rPr>
              <w:t xml:space="preserve"> no</w:t>
            </w:r>
          </w:p>
        </w:tc>
      </w:tr>
      <w:tr w:rsidR="00D96B91" w:rsidTr="00D174F6">
        <w:trPr>
          <w:trHeight w:hRule="exact" w:val="579"/>
        </w:trPr>
        <w:tc>
          <w:tcPr>
            <w:tcW w:w="1095" w:type="dxa"/>
            <w:tcBorders>
              <w:top w:val="nil"/>
              <w:left w:val="single" w:sz="4" w:space="0" w:color="1A9EDA"/>
              <w:bottom w:val="single" w:sz="4" w:space="0" w:color="1A9EDA"/>
              <w:right w:val="single" w:sz="4" w:space="0" w:color="1A9EDA"/>
            </w:tcBorders>
            <w:shd w:val="clear" w:color="auto" w:fill="0070C0"/>
          </w:tcPr>
          <w:p w:rsidR="00D96B91" w:rsidRDefault="00D96B91" w:rsidP="004C4403">
            <w:pPr>
              <w:ind w:left="34"/>
            </w:pPr>
          </w:p>
        </w:tc>
        <w:tc>
          <w:tcPr>
            <w:tcW w:w="3496" w:type="dxa"/>
            <w:tcBorders>
              <w:top w:val="nil"/>
              <w:left w:val="single" w:sz="4" w:space="0" w:color="1A9EDA"/>
              <w:bottom w:val="single" w:sz="4" w:space="0" w:color="17A7E0"/>
              <w:right w:val="single" w:sz="4" w:space="0" w:color="17A7E0"/>
            </w:tcBorders>
            <w:shd w:val="clear" w:color="auto" w:fill="DCDDDE"/>
          </w:tcPr>
          <w:p w:rsidR="00D96B91" w:rsidRDefault="00D96B91"/>
        </w:tc>
        <w:tc>
          <w:tcPr>
            <w:tcW w:w="2759" w:type="dxa"/>
            <w:tcBorders>
              <w:top w:val="nil"/>
              <w:left w:val="single" w:sz="4" w:space="0" w:color="17A7E0"/>
              <w:bottom w:val="single" w:sz="4" w:space="0" w:color="17A7E0"/>
              <w:right w:val="single" w:sz="4" w:space="0" w:color="17A7E0"/>
            </w:tcBorders>
            <w:shd w:val="clear" w:color="auto" w:fill="F0F9FE"/>
          </w:tcPr>
          <w:p w:rsidR="00D96B91" w:rsidRDefault="00D96B91"/>
        </w:tc>
        <w:tc>
          <w:tcPr>
            <w:tcW w:w="2098" w:type="dxa"/>
            <w:tcBorders>
              <w:top w:val="nil"/>
              <w:left w:val="single" w:sz="4" w:space="0" w:color="17A7E0"/>
              <w:bottom w:val="single" w:sz="4" w:space="0" w:color="17A7E0"/>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 xml:space="preserve">materiality </w:t>
            </w:r>
            <w:r>
              <w:rPr>
                <w:rFonts w:ascii="Avenir Next Condensed"/>
                <w:spacing w:val="-1"/>
                <w:sz w:val="18"/>
              </w:rPr>
              <w:t>threshold</w:t>
            </w:r>
            <w:r>
              <w:rPr>
                <w:rFonts w:ascii="Avenir Next Condensed"/>
                <w:sz w:val="18"/>
              </w:rPr>
              <w:t xml:space="preserve"> applies.</w:t>
            </w:r>
          </w:p>
        </w:tc>
      </w:tr>
      <w:tr w:rsidR="00D96B91" w:rsidTr="00D174F6">
        <w:trPr>
          <w:trHeight w:hRule="exact" w:val="355"/>
        </w:trPr>
        <w:tc>
          <w:tcPr>
            <w:tcW w:w="1095" w:type="dxa"/>
            <w:tcBorders>
              <w:top w:val="single" w:sz="4" w:space="0" w:color="1A9EDA"/>
              <w:left w:val="single" w:sz="4" w:space="0" w:color="1A9EDA"/>
              <w:bottom w:val="nil"/>
              <w:right w:val="single" w:sz="4" w:space="0" w:color="1A9EDA"/>
            </w:tcBorders>
            <w:shd w:val="clear" w:color="auto" w:fill="0070C0"/>
          </w:tcPr>
          <w:p w:rsidR="00D96B91" w:rsidRDefault="00C2656B" w:rsidP="004C4403">
            <w:pPr>
              <w:pStyle w:val="TableParagraph"/>
              <w:spacing w:before="106"/>
              <w:ind w:left="34"/>
              <w:rPr>
                <w:rFonts w:ascii="Avenir Next Condensed" w:eastAsia="Avenir Next Condensed" w:hAnsi="Avenir Next Condensed" w:cs="Avenir Next Condensed"/>
                <w:sz w:val="18"/>
                <w:szCs w:val="18"/>
              </w:rPr>
            </w:pPr>
            <w:r>
              <w:rPr>
                <w:rFonts w:ascii="Avenir Next Condensed"/>
                <w:b/>
                <w:color w:val="FFFFFF"/>
                <w:spacing w:val="-1"/>
                <w:sz w:val="18"/>
              </w:rPr>
              <w:t>Measures</w:t>
            </w:r>
          </w:p>
        </w:tc>
        <w:tc>
          <w:tcPr>
            <w:tcW w:w="3496" w:type="dxa"/>
            <w:tcBorders>
              <w:top w:val="single" w:sz="4" w:space="0" w:color="17A7E0"/>
              <w:left w:val="single" w:sz="4" w:space="0" w:color="1A9EDA"/>
              <w:bottom w:val="nil"/>
              <w:right w:val="single" w:sz="4" w:space="0" w:color="17A7E0"/>
            </w:tcBorders>
            <w:shd w:val="clear" w:color="auto" w:fill="DCDDD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variation trigger event mechanism to </w:t>
            </w:r>
            <w:r>
              <w:rPr>
                <w:rFonts w:ascii="Avenir Next Condensed"/>
                <w:spacing w:val="-1"/>
                <w:sz w:val="18"/>
              </w:rPr>
              <w:t>deal</w:t>
            </w:r>
            <w:r>
              <w:rPr>
                <w:rFonts w:ascii="Avenir Next Condensed"/>
                <w:sz w:val="18"/>
              </w:rPr>
              <w:t xml:space="preserve"> with</w:t>
            </w:r>
          </w:p>
        </w:tc>
        <w:tc>
          <w:tcPr>
            <w:tcW w:w="2759"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z w:val="18"/>
              </w:rPr>
              <w:t>A</w:t>
            </w:r>
            <w:r>
              <w:rPr>
                <w:rFonts w:ascii="Avenir Next Condensed"/>
                <w:spacing w:val="-4"/>
                <w:sz w:val="18"/>
              </w:rPr>
              <w:t xml:space="preserve"> </w:t>
            </w:r>
            <w:r>
              <w:rPr>
                <w:rFonts w:ascii="Avenir Next Condensed"/>
                <w:sz w:val="18"/>
              </w:rPr>
              <w:t>price variation trigger event</w:t>
            </w:r>
          </w:p>
        </w:tc>
        <w:tc>
          <w:tcPr>
            <w:tcW w:w="2098" w:type="dxa"/>
            <w:tcBorders>
              <w:top w:val="single" w:sz="4" w:space="0" w:color="17A7E0"/>
              <w:left w:val="single" w:sz="4" w:space="0" w:color="17A7E0"/>
              <w:bottom w:val="nil"/>
              <w:right w:val="single" w:sz="4" w:space="0" w:color="17A7E0"/>
            </w:tcBorders>
            <w:shd w:val="clear" w:color="auto" w:fill="F0F9FE"/>
          </w:tcPr>
          <w:p w:rsidR="00D96B91" w:rsidRDefault="00C2656B" w:rsidP="00E53C47">
            <w:pPr>
              <w:pStyle w:val="TableParagraph"/>
              <w:spacing w:before="106"/>
              <w:ind w:right="5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w:t>
            </w:r>
            <w:r>
              <w:rPr>
                <w:rFonts w:ascii="Avenir Next Condensed"/>
                <w:spacing w:val="-1"/>
                <w:sz w:val="18"/>
              </w:rPr>
              <w:t>pass-through</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C2656B" w:rsidP="004C4403">
            <w:pPr>
              <w:pStyle w:val="TableParagraph"/>
              <w:spacing w:line="218" w:lineRule="exact"/>
              <w:ind w:left="34"/>
              <w:rPr>
                <w:rFonts w:ascii="Avenir Next Condensed" w:eastAsia="Avenir Next Condensed" w:hAnsi="Avenir Next Condensed" w:cs="Avenir Next Condensed"/>
                <w:sz w:val="18"/>
                <w:szCs w:val="18"/>
              </w:rPr>
            </w:pPr>
            <w:r>
              <w:rPr>
                <w:rFonts w:ascii="Avenir Next Condensed"/>
                <w:b/>
                <w:color w:val="FFFFFF"/>
                <w:sz w:val="18"/>
              </w:rPr>
              <w:t xml:space="preserve">to </w:t>
            </w:r>
            <w:r>
              <w:rPr>
                <w:rFonts w:ascii="Avenir Next Condensed"/>
                <w:b/>
                <w:color w:val="FFFFFF"/>
                <w:spacing w:val="-1"/>
                <w:sz w:val="18"/>
              </w:rPr>
              <w:t>deal</w:t>
            </w:r>
            <w:r>
              <w:rPr>
                <w:rFonts w:ascii="Avenir Next Condensed"/>
                <w:b/>
                <w:color w:val="FFFFFF"/>
                <w:sz w:val="18"/>
              </w:rPr>
              <w:t xml:space="preserve"> with</w:t>
            </w: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the following </w:t>
            </w:r>
            <w:r>
              <w:rPr>
                <w:rFonts w:ascii="Avenir Next Condensed"/>
                <w:spacing w:val="-1"/>
                <w:sz w:val="18"/>
              </w:rPr>
              <w:t>unforeseen</w:t>
            </w:r>
            <w:r>
              <w:rPr>
                <w:rFonts w:ascii="Avenir Next Condensed"/>
                <w:sz w:val="18"/>
              </w:rPr>
              <w:t xml:space="preserve"> events if</w:t>
            </w:r>
            <w:r>
              <w:rPr>
                <w:rFonts w:ascii="Avenir Next Condensed"/>
                <w:spacing w:val="4"/>
                <w:sz w:val="18"/>
              </w:rPr>
              <w:t xml:space="preserve"> </w:t>
            </w:r>
            <w:r>
              <w:rPr>
                <w:rFonts w:ascii="Avenir Next Condensed"/>
                <w:sz w:val="18"/>
              </w:rPr>
              <w:t>they satisfy the</w:t>
            </w:r>
          </w:p>
        </w:tc>
        <w:tc>
          <w:tcPr>
            <w:tcW w:w="2759"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mechanism,</w:t>
            </w:r>
            <w:r>
              <w:rPr>
                <w:rFonts w:ascii="Avenir Next Condensed"/>
                <w:spacing w:val="-6"/>
                <w:sz w:val="18"/>
              </w:rPr>
              <w:t xml:space="preserve"> </w:t>
            </w:r>
            <w:r>
              <w:rPr>
                <w:rFonts w:ascii="Avenir Next Condensed"/>
                <w:sz w:val="18"/>
              </w:rPr>
              <w:t>which allows the ICRC to</w:t>
            </w:r>
          </w:p>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 xml:space="preserve">mechanism to </w:t>
            </w:r>
            <w:r>
              <w:rPr>
                <w:rFonts w:ascii="Avenir Next Condensed"/>
                <w:spacing w:val="-1"/>
                <w:sz w:val="18"/>
              </w:rPr>
              <w:t>deal</w:t>
            </w:r>
            <w:r>
              <w:rPr>
                <w:rFonts w:ascii="Avenir Next Condensed"/>
                <w:sz w:val="18"/>
              </w:rPr>
              <w:t xml:space="preserve"> with a</w:t>
            </w:r>
          </w:p>
        </w:tc>
      </w:tr>
      <w:tr w:rsidR="00D96B91" w:rsidTr="00D174F6">
        <w:trPr>
          <w:trHeight w:hRule="exact" w:val="220"/>
        </w:trPr>
        <w:tc>
          <w:tcPr>
            <w:tcW w:w="1095" w:type="dxa"/>
            <w:tcBorders>
              <w:top w:val="nil"/>
              <w:left w:val="single" w:sz="4" w:space="0" w:color="1A9EDA"/>
              <w:bottom w:val="nil"/>
              <w:right w:val="single" w:sz="4" w:space="0" w:color="1A9EDA"/>
            </w:tcBorders>
            <w:shd w:val="clear" w:color="auto" w:fill="0070C0"/>
          </w:tcPr>
          <w:p w:rsidR="00D96B91" w:rsidRDefault="00C2656B" w:rsidP="004C4403">
            <w:pPr>
              <w:pStyle w:val="TableParagraph"/>
              <w:spacing w:line="218" w:lineRule="exact"/>
              <w:ind w:left="34"/>
              <w:rPr>
                <w:rFonts w:ascii="Avenir Next Condensed" w:eastAsia="Avenir Next Condensed" w:hAnsi="Avenir Next Condensed" w:cs="Avenir Next Condensed"/>
                <w:sz w:val="18"/>
                <w:szCs w:val="18"/>
              </w:rPr>
            </w:pPr>
            <w:r>
              <w:rPr>
                <w:rFonts w:ascii="Avenir Next Condensed"/>
                <w:b/>
                <w:color w:val="FFFFFF"/>
                <w:spacing w:val="-1"/>
                <w:sz w:val="18"/>
              </w:rPr>
              <w:t>unforeseen</w:t>
            </w: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materiality </w:t>
            </w:r>
            <w:r>
              <w:rPr>
                <w:rFonts w:ascii="Avenir Next Condensed"/>
                <w:spacing w:val="-1"/>
                <w:sz w:val="18"/>
              </w:rPr>
              <w:t>threshold:</w:t>
            </w:r>
            <w:r>
              <w:rPr>
                <w:rFonts w:ascii="Avenir Next Condensed"/>
                <w:sz w:val="18"/>
              </w:rPr>
              <w:t xml:space="preserve"> an act of</w:t>
            </w:r>
            <w:r>
              <w:rPr>
                <w:rFonts w:ascii="Avenir Next Condensed"/>
                <w:spacing w:val="4"/>
                <w:sz w:val="18"/>
              </w:rPr>
              <w:t xml:space="preserve"> </w:t>
            </w:r>
            <w:r>
              <w:rPr>
                <w:rFonts w:ascii="Avenir Next Condensed"/>
                <w:spacing w:val="-1"/>
                <w:sz w:val="18"/>
              </w:rPr>
              <w:t>terrorism;</w:t>
            </w:r>
            <w:r>
              <w:rPr>
                <w:rFonts w:ascii="Avenir Next Condensed"/>
                <w:sz w:val="18"/>
              </w:rPr>
              <w:t xml:space="preserve"> a major</w:t>
            </w:r>
          </w:p>
        </w:tc>
        <w:tc>
          <w:tcPr>
            <w:tcW w:w="2759"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initiate a variation to the price </w:t>
            </w:r>
            <w:r>
              <w:rPr>
                <w:rFonts w:ascii="Avenir Next Condensed"/>
                <w:spacing w:val="-1"/>
                <w:sz w:val="18"/>
              </w:rPr>
              <w:t>direction</w:t>
            </w:r>
          </w:p>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line="218" w:lineRule="exact"/>
              <w:ind w:right="58"/>
              <w:rPr>
                <w:rFonts w:ascii="Avenir Next Condensed" w:eastAsia="Avenir Next Condensed" w:hAnsi="Avenir Next Condensed" w:cs="Avenir Next Condensed"/>
                <w:sz w:val="18"/>
                <w:szCs w:val="18"/>
              </w:rPr>
            </w:pPr>
            <w:r>
              <w:rPr>
                <w:rFonts w:ascii="Avenir Next Condensed"/>
                <w:sz w:val="18"/>
              </w:rPr>
              <w:t xml:space="preserve">major </w:t>
            </w:r>
            <w:r>
              <w:rPr>
                <w:rFonts w:ascii="Avenir Next Condensed"/>
                <w:spacing w:val="-1"/>
                <w:sz w:val="18"/>
              </w:rPr>
              <w:t>natural</w:t>
            </w:r>
            <w:r>
              <w:rPr>
                <w:rFonts w:ascii="Avenir Next Condensed"/>
                <w:sz w:val="18"/>
              </w:rPr>
              <w:t xml:space="preserve"> </w:t>
            </w:r>
            <w:r>
              <w:rPr>
                <w:rFonts w:ascii="Avenir Next Condensed"/>
                <w:spacing w:val="-1"/>
                <w:sz w:val="18"/>
              </w:rPr>
              <w:t>disaster.</w:t>
            </w:r>
          </w:p>
        </w:tc>
      </w:tr>
      <w:tr w:rsidR="00D96B91" w:rsidTr="00D174F6">
        <w:trPr>
          <w:trHeight w:hRule="exact" w:val="880"/>
        </w:trPr>
        <w:tc>
          <w:tcPr>
            <w:tcW w:w="1095" w:type="dxa"/>
            <w:tcBorders>
              <w:top w:val="nil"/>
              <w:left w:val="single" w:sz="4" w:space="0" w:color="1A9EDA"/>
              <w:bottom w:val="nil"/>
              <w:right w:val="single" w:sz="4" w:space="0" w:color="1A9EDA"/>
            </w:tcBorders>
            <w:shd w:val="clear" w:color="auto" w:fill="0070C0"/>
          </w:tcPr>
          <w:p w:rsidR="00D96B91" w:rsidRDefault="00C2656B" w:rsidP="004C4403">
            <w:pPr>
              <w:pStyle w:val="TableParagraph"/>
              <w:spacing w:line="218" w:lineRule="exact"/>
              <w:ind w:left="34"/>
              <w:rPr>
                <w:rFonts w:ascii="Avenir Next Condensed" w:eastAsia="Avenir Next Condensed" w:hAnsi="Avenir Next Condensed" w:cs="Avenir Next Condensed"/>
                <w:sz w:val="18"/>
                <w:szCs w:val="18"/>
              </w:rPr>
            </w:pPr>
            <w:r>
              <w:rPr>
                <w:rFonts w:ascii="Avenir Next Condensed"/>
                <w:b/>
                <w:color w:val="FFFFFF"/>
                <w:sz w:val="18"/>
              </w:rPr>
              <w:t>events</w:t>
            </w:r>
          </w:p>
        </w:tc>
        <w:tc>
          <w:tcPr>
            <w:tcW w:w="3496" w:type="dxa"/>
            <w:tcBorders>
              <w:top w:val="nil"/>
              <w:left w:val="single" w:sz="4" w:space="0" w:color="1A9EDA"/>
              <w:bottom w:val="nil"/>
              <w:right w:val="single" w:sz="4" w:space="0" w:color="17A7E0"/>
            </w:tcBorders>
            <w:shd w:val="clear" w:color="auto" w:fill="DCDDDE"/>
          </w:tcPr>
          <w:p w:rsidR="00D96B91" w:rsidRDefault="00C2656B">
            <w:pPr>
              <w:pStyle w:val="TableParagraph"/>
              <w:spacing w:line="214" w:lineRule="auto"/>
              <w:ind w:left="108" w:right="11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natural</w:t>
            </w:r>
            <w:r>
              <w:rPr>
                <w:rFonts w:ascii="Avenir Next Condensed" w:eastAsia="Avenir Next Condensed" w:hAnsi="Avenir Next Condensed" w:cs="Avenir Next Condensed"/>
                <w:sz w:val="18"/>
                <w:szCs w:val="18"/>
              </w:rPr>
              <w:t xml:space="preserve"> disaster; major damage to </w:t>
            </w:r>
            <w:r>
              <w:rPr>
                <w:rFonts w:ascii="Avenir Next Condensed" w:eastAsia="Avenir Next Condensed" w:hAnsi="Avenir Next Condensed" w:cs="Avenir Next Condensed"/>
                <w:spacing w:val="-1"/>
                <w:sz w:val="18"/>
                <w:szCs w:val="18"/>
              </w:rPr>
              <w:t>infrastructure;</w:t>
            </w:r>
            <w:r>
              <w:rPr>
                <w:rFonts w:ascii="Avenir Next Condensed" w:eastAsia="Avenir Next Condensed" w:hAnsi="Avenir Next Condensed" w:cs="Avenir Next Condensed"/>
                <w:sz w:val="18"/>
                <w:szCs w:val="18"/>
              </w:rPr>
              <w:t xml:space="preserve"> a</w:t>
            </w:r>
            <w:r>
              <w:rPr>
                <w:rFonts w:ascii="Avenir Next Condensed" w:eastAsia="Avenir Next Condensed" w:hAnsi="Avenir Next Condensed" w:cs="Avenir Next Condensed"/>
                <w:spacing w:val="33"/>
                <w:sz w:val="18"/>
                <w:szCs w:val="18"/>
              </w:rPr>
              <w:t xml:space="preserve"> </w:t>
            </w:r>
            <w:r>
              <w:rPr>
                <w:rFonts w:ascii="Avenir Next Condensed" w:eastAsia="Avenir Next Condensed" w:hAnsi="Avenir Next Condensed" w:cs="Avenir Next Condensed"/>
                <w:sz w:val="18"/>
                <w:szCs w:val="18"/>
              </w:rPr>
              <w:t>significant change in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or </w:t>
            </w:r>
            <w:r>
              <w:rPr>
                <w:rFonts w:ascii="Avenir Next Condensed" w:eastAsia="Avenir Next Condensed" w:hAnsi="Avenir Next Condensed" w:cs="Avenir Next Condensed"/>
                <w:spacing w:val="-1"/>
                <w:sz w:val="18"/>
                <w:szCs w:val="18"/>
              </w:rPr>
              <w:t>corporate</w:t>
            </w:r>
            <w:r>
              <w:rPr>
                <w:rFonts w:ascii="Avenir Next Condensed" w:eastAsia="Avenir Next Condensed" w:hAnsi="Avenir Next Condensed" w:cs="Avenir Next Condensed"/>
                <w:spacing w:val="27"/>
                <w:sz w:val="18"/>
                <w:szCs w:val="18"/>
              </w:rPr>
              <w:t xml:space="preserve"> </w:t>
            </w:r>
            <w:r>
              <w:rPr>
                <w:rFonts w:ascii="Avenir Next Condensed" w:eastAsia="Avenir Next Condensed" w:hAnsi="Avenir Next Condensed" w:cs="Avenir Next Condensed"/>
                <w:spacing w:val="-1"/>
                <w:sz w:val="18"/>
                <w:szCs w:val="18"/>
              </w:rPr>
              <w:t>structure;</w:t>
            </w:r>
            <w:r>
              <w:rPr>
                <w:rFonts w:ascii="Avenir Next Condensed" w:eastAsia="Avenir Next Condensed" w:hAnsi="Avenir Next Condensed" w:cs="Avenir Next Condensed"/>
                <w:sz w:val="18"/>
                <w:szCs w:val="18"/>
              </w:rPr>
              <w:t xml:space="preserve"> and a </w:t>
            </w:r>
            <w:r>
              <w:rPr>
                <w:rFonts w:ascii="Avenir Next Condensed" w:eastAsia="Avenir Next Condensed" w:hAnsi="Avenir Next Condensed" w:cs="Avenir Next Condensed"/>
                <w:spacing w:val="-1"/>
                <w:sz w:val="18"/>
                <w:szCs w:val="18"/>
              </w:rPr>
              <w:t>force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majeure</w:t>
            </w:r>
            <w:r>
              <w:rPr>
                <w:rFonts w:ascii="Avenir Next Condensed" w:eastAsia="Avenir Next Condensed" w:hAnsi="Avenir Next Condensed" w:cs="Avenir Next Condensed"/>
                <w:sz w:val="18"/>
                <w:szCs w:val="18"/>
              </w:rPr>
              <w:t xml:space="preserve"> event.</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materiality</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pacing w:val="-1"/>
                <w:sz w:val="18"/>
                <w:szCs w:val="18"/>
              </w:rPr>
              <w:t>threshold</w:t>
            </w:r>
            <w:r>
              <w:rPr>
                <w:rFonts w:ascii="Avenir Next Condensed" w:eastAsia="Avenir Next Condensed" w:hAnsi="Avenir Next Condensed" w:cs="Avenir Next Condensed"/>
                <w:sz w:val="18"/>
                <w:szCs w:val="18"/>
              </w:rPr>
              <w:t xml:space="preserve"> will be defined as </w:t>
            </w:r>
            <w:r>
              <w:rPr>
                <w:rFonts w:ascii="Avenir Next Condensed" w:eastAsia="Avenir Next Condensed" w:hAnsi="Avenir Next Condensed" w:cs="Avenir Next Condensed"/>
                <w:spacing w:val="-2"/>
                <w:sz w:val="18"/>
                <w:szCs w:val="18"/>
              </w:rPr>
              <w:t>‘an</w:t>
            </w:r>
            <w:r>
              <w:rPr>
                <w:rFonts w:ascii="Avenir Next Condensed" w:eastAsia="Avenir Next Condensed" w:hAnsi="Avenir Next Condensed" w:cs="Avenir Next Condensed"/>
                <w:sz w:val="18"/>
                <w:szCs w:val="18"/>
              </w:rPr>
              <w:t xml:space="preserve"> event that </w:t>
            </w:r>
            <w:r>
              <w:rPr>
                <w:rFonts w:ascii="Avenir Next Condensed" w:eastAsia="Avenir Next Condensed" w:hAnsi="Avenir Next Condensed" w:cs="Avenir Next Condensed"/>
                <w:spacing w:val="-1"/>
                <w:sz w:val="18"/>
                <w:szCs w:val="18"/>
              </w:rPr>
              <w:t>severely</w:t>
            </w:r>
          </w:p>
        </w:tc>
        <w:tc>
          <w:tcPr>
            <w:tcW w:w="2759"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4" w:lineRule="auto"/>
              <w:ind w:left="108" w:right="125"/>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there</w:t>
            </w:r>
            <w:r>
              <w:rPr>
                <w:rFonts w:ascii="Avenir Next Condensed" w:eastAsia="Avenir Next Condensed" w:hAnsi="Avenir Next Condensed" w:cs="Avenir Next Condensed"/>
                <w:sz w:val="18"/>
                <w:szCs w:val="18"/>
              </w:rPr>
              <w:t xml:space="preserve"> is an act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terrorism,</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major</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natural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disaster,</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major damage to</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pacing w:val="-1"/>
                <w:sz w:val="18"/>
                <w:szCs w:val="18"/>
              </w:rPr>
              <w:t>infrastructure,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a significant change in</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or </w:t>
            </w:r>
            <w:r>
              <w:rPr>
                <w:rFonts w:ascii="Avenir Next Condensed" w:eastAsia="Avenir Next Condensed" w:hAnsi="Avenir Next Condensed" w:cs="Avenir Next Condensed"/>
                <w:spacing w:val="-1"/>
                <w:sz w:val="18"/>
                <w:szCs w:val="18"/>
              </w:rPr>
              <w:t>corporate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structure,</w:t>
            </w:r>
          </w:p>
        </w:tc>
        <w:tc>
          <w:tcPr>
            <w:tcW w:w="2098" w:type="dxa"/>
            <w:tcBorders>
              <w:top w:val="nil"/>
              <w:left w:val="single" w:sz="4" w:space="0" w:color="17A7E0"/>
              <w:bottom w:val="nil"/>
              <w:right w:val="single" w:sz="4" w:space="0" w:color="17A7E0"/>
            </w:tcBorders>
            <w:shd w:val="clear" w:color="auto" w:fill="F0F9FE"/>
          </w:tcPr>
          <w:p w:rsidR="00D96B91" w:rsidRDefault="00C2656B" w:rsidP="00E53C47">
            <w:pPr>
              <w:pStyle w:val="TableParagraph"/>
              <w:spacing w:before="85" w:line="233" w:lineRule="exact"/>
              <w:ind w:right="58"/>
              <w:rPr>
                <w:rFonts w:ascii="Avenir Next Condensed" w:eastAsia="Avenir Next Condensed" w:hAnsi="Avenir Next Condensed" w:cs="Avenir Next Condensed"/>
                <w:sz w:val="18"/>
                <w:szCs w:val="18"/>
              </w:rPr>
            </w:pPr>
            <w:r>
              <w:rPr>
                <w:rFonts w:ascii="Avenir Next Condensed"/>
                <w:sz w:val="18"/>
              </w:rPr>
              <w:t>A</w:t>
            </w:r>
            <w:r>
              <w:rPr>
                <w:rFonts w:ascii="Avenir Next Condensed"/>
                <w:spacing w:val="-4"/>
                <w:sz w:val="18"/>
              </w:rPr>
              <w:t xml:space="preserve"> </w:t>
            </w:r>
            <w:r>
              <w:rPr>
                <w:rFonts w:ascii="Avenir Next Condensed"/>
                <w:sz w:val="18"/>
              </w:rPr>
              <w:t xml:space="preserve">materiality </w:t>
            </w:r>
            <w:r>
              <w:rPr>
                <w:rFonts w:ascii="Avenir Next Condensed"/>
                <w:spacing w:val="-1"/>
                <w:sz w:val="18"/>
              </w:rPr>
              <w:t>threshold</w:t>
            </w:r>
            <w:r>
              <w:rPr>
                <w:rFonts w:ascii="Avenir Next Condensed"/>
                <w:sz w:val="18"/>
              </w:rPr>
              <w:t xml:space="preserve"> of</w:t>
            </w:r>
          </w:p>
          <w:p w:rsidR="00D96B91" w:rsidRDefault="00C2656B" w:rsidP="00E53C47">
            <w:pPr>
              <w:pStyle w:val="TableParagraph"/>
              <w:spacing w:before="6" w:line="214" w:lineRule="auto"/>
              <w:ind w:right="58"/>
              <w:rPr>
                <w:rFonts w:ascii="Avenir Next Condensed" w:eastAsia="Avenir Next Condensed" w:hAnsi="Avenir Next Condensed" w:cs="Avenir Next Condensed"/>
                <w:sz w:val="18"/>
                <w:szCs w:val="18"/>
              </w:rPr>
            </w:pPr>
            <w:r>
              <w:rPr>
                <w:rFonts w:ascii="Avenir Next Condensed"/>
                <w:sz w:val="18"/>
              </w:rPr>
              <w:t>$1 million ($2012-13) for this type of</w:t>
            </w:r>
            <w:r>
              <w:rPr>
                <w:rFonts w:ascii="Avenir Next Condensed"/>
                <w:spacing w:val="4"/>
                <w:sz w:val="18"/>
              </w:rPr>
              <w:t xml:space="preserve"> </w:t>
            </w:r>
            <w:r>
              <w:rPr>
                <w:rFonts w:ascii="Avenir Next Condensed"/>
                <w:sz w:val="18"/>
              </w:rPr>
              <w:t>event.</w:t>
            </w:r>
          </w:p>
        </w:tc>
      </w:tr>
      <w:tr w:rsidR="00D96B91">
        <w:trPr>
          <w:trHeight w:hRule="exact" w:val="933"/>
        </w:trPr>
        <w:tc>
          <w:tcPr>
            <w:tcW w:w="1095" w:type="dxa"/>
            <w:tcBorders>
              <w:top w:val="nil"/>
              <w:left w:val="single" w:sz="4" w:space="0" w:color="1A9EDA"/>
              <w:bottom w:val="single" w:sz="4" w:space="0" w:color="1A9EDA"/>
              <w:right w:val="single" w:sz="4" w:space="0" w:color="1A9EDA"/>
            </w:tcBorders>
            <w:shd w:val="clear" w:color="auto" w:fill="0778BE"/>
          </w:tcPr>
          <w:p w:rsidR="00D96B91" w:rsidRDefault="00D96B91"/>
        </w:tc>
        <w:tc>
          <w:tcPr>
            <w:tcW w:w="3496" w:type="dxa"/>
            <w:tcBorders>
              <w:top w:val="nil"/>
              <w:left w:val="single" w:sz="4" w:space="0" w:color="1A9EDA"/>
              <w:bottom w:val="single" w:sz="4" w:space="0" w:color="17A7E0"/>
              <w:right w:val="single" w:sz="4" w:space="0" w:color="17A7E0"/>
            </w:tcBorders>
            <w:shd w:val="clear" w:color="auto" w:fill="DCDDDE"/>
          </w:tcPr>
          <w:p w:rsidR="00D96B91" w:rsidRDefault="00C2656B">
            <w:pPr>
              <w:pStyle w:val="TableParagraph"/>
              <w:spacing w:line="214" w:lineRule="auto"/>
              <w:ind w:left="108" w:right="30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restricts</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ability to </w:t>
            </w:r>
            <w:r>
              <w:rPr>
                <w:rFonts w:ascii="Avenir Next Condensed" w:eastAsia="Avenir Next Condensed" w:hAnsi="Avenir Next Condensed" w:cs="Avenir Next Condensed"/>
                <w:spacing w:val="-1"/>
                <w:sz w:val="18"/>
                <w:szCs w:val="18"/>
              </w:rPr>
              <w:t>provide</w:t>
            </w:r>
            <w:r>
              <w:rPr>
                <w:rFonts w:ascii="Avenir Next Condensed" w:eastAsia="Avenir Next Condensed" w:hAnsi="Avenir Next Condensed" w:cs="Avenir Next Condensed"/>
                <w:sz w:val="18"/>
                <w:szCs w:val="18"/>
              </w:rPr>
              <w:t xml:space="preserve"> services’ and</w:t>
            </w:r>
            <w:r>
              <w:rPr>
                <w:rFonts w:ascii="Avenir Next Condensed" w:eastAsia="Avenir Next Condensed" w:hAnsi="Avenir Next Condensed" w:cs="Avenir Next Condensed"/>
                <w:spacing w:val="37"/>
                <w:sz w:val="18"/>
                <w:szCs w:val="18"/>
              </w:rPr>
              <w:t xml:space="preserve"> </w:t>
            </w:r>
            <w:r>
              <w:rPr>
                <w:rFonts w:ascii="Avenir Next Condensed" w:eastAsia="Avenir Next Condensed" w:hAnsi="Avenir Next Condensed" w:cs="Avenir Next Condensed"/>
                <w:sz w:val="18"/>
                <w:szCs w:val="18"/>
              </w:rPr>
              <w:t>imposes a total annualised cost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for the</w:t>
            </w:r>
            <w:r>
              <w:rPr>
                <w:rFonts w:ascii="Avenir Next Condensed" w:eastAsia="Avenir Next Condensed" w:hAnsi="Avenir Next Condensed" w:cs="Avenir Next Condensed"/>
                <w:spacing w:val="21"/>
                <w:sz w:val="18"/>
                <w:szCs w:val="18"/>
              </w:rPr>
              <w:t xml:space="preserve"> </w:t>
            </w:r>
            <w:r>
              <w:rPr>
                <w:rFonts w:ascii="Avenir Next Condensed" w:eastAsia="Avenir Next Condensed" w:hAnsi="Avenir Next Condensed" w:cs="Avenir Next Condensed"/>
                <w:spacing w:val="-1"/>
                <w:sz w:val="18"/>
                <w:szCs w:val="18"/>
              </w:rPr>
              <w:t>remainder</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more</w:t>
            </w:r>
            <w:r>
              <w:rPr>
                <w:rFonts w:ascii="Avenir Next Condensed" w:eastAsia="Avenir Next Condensed" w:hAnsi="Avenir Next Condensed" w:cs="Avenir Next Condensed"/>
                <w:sz w:val="18"/>
                <w:szCs w:val="18"/>
              </w:rPr>
              <w:t xml:space="preserve"> than</w:t>
            </w:r>
          </w:p>
          <w:p w:rsidR="00D96B91" w:rsidRDefault="00C2656B">
            <w:pPr>
              <w:pStyle w:val="TableParagraph"/>
              <w:spacing w:line="227" w:lineRule="exact"/>
              <w:ind w:left="108"/>
              <w:rPr>
                <w:rFonts w:ascii="Avenir Next Condensed" w:eastAsia="Avenir Next Condensed" w:hAnsi="Avenir Next Condensed" w:cs="Avenir Next Condensed"/>
                <w:sz w:val="18"/>
                <w:szCs w:val="18"/>
              </w:rPr>
            </w:pPr>
            <w:r>
              <w:rPr>
                <w:rFonts w:ascii="Avenir Next Condensed"/>
                <w:sz w:val="18"/>
              </w:rPr>
              <w:t>$12 million ($2012-13).</w:t>
            </w:r>
          </w:p>
        </w:tc>
        <w:tc>
          <w:tcPr>
            <w:tcW w:w="2759"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7" w:lineRule="exact"/>
              <w:ind w:left="108"/>
              <w:rPr>
                <w:rFonts w:ascii="Avenir Next Condensed" w:eastAsia="Avenir Next Condensed" w:hAnsi="Avenir Next Condensed" w:cs="Avenir Next Condensed"/>
                <w:sz w:val="18"/>
                <w:szCs w:val="18"/>
              </w:rPr>
            </w:pPr>
            <w:r>
              <w:rPr>
                <w:rFonts w:ascii="Avenir Next Condensed"/>
                <w:sz w:val="18"/>
              </w:rPr>
              <w:t xml:space="preserve">an </w:t>
            </w:r>
            <w:r>
              <w:rPr>
                <w:rFonts w:ascii="Avenir Next Condensed"/>
                <w:spacing w:val="-1"/>
                <w:sz w:val="18"/>
              </w:rPr>
              <w:t>unforeseen</w:t>
            </w:r>
            <w:r>
              <w:rPr>
                <w:rFonts w:ascii="Avenir Next Condensed"/>
                <w:sz w:val="18"/>
              </w:rPr>
              <w:t xml:space="preserve"> or </w:t>
            </w:r>
            <w:r>
              <w:rPr>
                <w:rFonts w:ascii="Avenir Next Condensed"/>
                <w:spacing w:val="-1"/>
                <w:sz w:val="18"/>
              </w:rPr>
              <w:t>force</w:t>
            </w:r>
            <w:r>
              <w:rPr>
                <w:rFonts w:ascii="Avenir Next Condensed"/>
                <w:sz w:val="18"/>
              </w:rPr>
              <w:t xml:space="preserve"> </w:t>
            </w:r>
            <w:r>
              <w:rPr>
                <w:rFonts w:ascii="Avenir Next Condensed"/>
                <w:spacing w:val="-1"/>
                <w:sz w:val="18"/>
              </w:rPr>
              <w:t>majeure</w:t>
            </w:r>
            <w:r>
              <w:rPr>
                <w:rFonts w:ascii="Avenir Next Condensed"/>
                <w:sz w:val="18"/>
              </w:rPr>
              <w:t xml:space="preserve"> event.</w:t>
            </w:r>
          </w:p>
        </w:tc>
        <w:tc>
          <w:tcPr>
            <w:tcW w:w="2098" w:type="dxa"/>
            <w:tcBorders>
              <w:top w:val="nil"/>
              <w:left w:val="single" w:sz="4" w:space="0" w:color="17A7E0"/>
              <w:bottom w:val="single" w:sz="4" w:space="0" w:color="17A7E0"/>
              <w:right w:val="single" w:sz="4" w:space="0" w:color="17A7E0"/>
            </w:tcBorders>
            <w:shd w:val="clear" w:color="auto" w:fill="F0F9FE"/>
          </w:tcPr>
          <w:p w:rsidR="00D96B91" w:rsidRDefault="00D96B91"/>
        </w:tc>
      </w:tr>
    </w:tbl>
    <w:p w:rsidR="00D96B91" w:rsidRDefault="00D96B91">
      <w:pPr>
        <w:sectPr w:rsidR="00D96B91">
          <w:pgSz w:w="11910" w:h="16840"/>
          <w:pgMar w:top="1200" w:right="0" w:bottom="1020" w:left="0" w:header="0" w:footer="829" w:gutter="0"/>
          <w:cols w:space="720"/>
        </w:sectPr>
      </w:pPr>
    </w:p>
    <w:p w:rsidR="00D96B91" w:rsidRDefault="00C2656B">
      <w:pPr>
        <w:pStyle w:val="Heading4"/>
        <w:tabs>
          <w:tab w:val="left" w:pos="2040"/>
        </w:tabs>
        <w:spacing w:before="21" w:line="360" w:lineRule="exact"/>
        <w:ind w:left="2041" w:right="1287" w:hanging="794"/>
      </w:pPr>
      <w:bookmarkStart w:id="4" w:name="1._3_The_Panel’s_draft_price_direction_p"/>
      <w:bookmarkStart w:id="5" w:name="_bookmark1"/>
      <w:bookmarkEnd w:id="4"/>
      <w:bookmarkEnd w:id="5"/>
      <w:r>
        <w:rPr>
          <w:color w:val="0778BE"/>
        </w:rPr>
        <w:t>1.</w:t>
      </w:r>
      <w:r>
        <w:rPr>
          <w:color w:val="0778BE"/>
          <w:spacing w:val="-9"/>
        </w:rPr>
        <w:t xml:space="preserve"> </w:t>
      </w:r>
      <w:r>
        <w:rPr>
          <w:color w:val="0778BE"/>
        </w:rPr>
        <w:t>3</w:t>
      </w:r>
      <w:r>
        <w:rPr>
          <w:color w:val="0778BE"/>
        </w:rPr>
        <w:tab/>
      </w:r>
      <w:r>
        <w:rPr>
          <w:color w:val="0778BE"/>
          <w:spacing w:val="-2"/>
        </w:rPr>
        <w:t>The</w:t>
      </w:r>
      <w:r>
        <w:rPr>
          <w:color w:val="0778BE"/>
        </w:rPr>
        <w:t xml:space="preserve"> </w:t>
      </w:r>
      <w:r>
        <w:rPr>
          <w:color w:val="0778BE"/>
          <w:spacing w:val="-5"/>
        </w:rPr>
        <w:t>Panel’s</w:t>
      </w:r>
      <w:r>
        <w:rPr>
          <w:color w:val="0778BE"/>
        </w:rPr>
        <w:t xml:space="preserve"> </w:t>
      </w:r>
      <w:r>
        <w:rPr>
          <w:color w:val="0778BE"/>
          <w:spacing w:val="-2"/>
        </w:rPr>
        <w:t>draft</w:t>
      </w:r>
      <w:r>
        <w:rPr>
          <w:color w:val="0778BE"/>
        </w:rPr>
        <w:t xml:space="preserve"> price </w:t>
      </w:r>
      <w:r>
        <w:rPr>
          <w:color w:val="0778BE"/>
          <w:spacing w:val="-1"/>
        </w:rPr>
        <w:t>direction</w:t>
      </w:r>
      <w:r>
        <w:rPr>
          <w:color w:val="0778BE"/>
        </w:rPr>
        <w:t xml:space="preserve"> </w:t>
      </w:r>
      <w:r>
        <w:rPr>
          <w:color w:val="0778BE"/>
          <w:spacing w:val="-1"/>
        </w:rPr>
        <w:t>provides</w:t>
      </w:r>
      <w:r>
        <w:rPr>
          <w:color w:val="0778BE"/>
        </w:rPr>
        <w:t xml:space="preserve"> stability in prices and</w:t>
      </w:r>
      <w:r>
        <w:rPr>
          <w:color w:val="0778BE"/>
          <w:spacing w:val="30"/>
        </w:rPr>
        <w:t xml:space="preserve"> </w:t>
      </w:r>
      <w:r>
        <w:rPr>
          <w:color w:val="0778BE"/>
        </w:rPr>
        <w:t>bills</w:t>
      </w:r>
    </w:p>
    <w:p w:rsidR="00D96B91" w:rsidRDefault="00C2656B">
      <w:pPr>
        <w:pStyle w:val="BodyText"/>
        <w:spacing w:before="93" w:line="260" w:lineRule="exact"/>
        <w:ind w:right="1256"/>
      </w:pPr>
      <w:r>
        <w:t xml:space="preserve">Because this </w:t>
      </w:r>
      <w:r>
        <w:rPr>
          <w:spacing w:val="-1"/>
        </w:rPr>
        <w:t>review</w:t>
      </w:r>
      <w:r>
        <w:t xml:space="preserve"> is being conducted </w:t>
      </w:r>
      <w:r>
        <w:rPr>
          <w:spacing w:val="-1"/>
        </w:rPr>
        <w:t>part-way</w:t>
      </w:r>
      <w:r>
        <w:t xml:space="preserve"> </w:t>
      </w:r>
      <w:r>
        <w:rPr>
          <w:spacing w:val="-1"/>
        </w:rPr>
        <w:t>through</w:t>
      </w:r>
      <w:r>
        <w:t xml:space="preserve"> the </w:t>
      </w:r>
      <w:r>
        <w:rPr>
          <w:spacing w:val="-1"/>
        </w:rPr>
        <w:t>regulatory</w:t>
      </w:r>
      <w:r>
        <w:t xml:space="preserve"> period,</w:t>
      </w:r>
      <w:r>
        <w:rPr>
          <w:spacing w:val="-6"/>
        </w:rPr>
        <w:t xml:space="preserve"> </w:t>
      </w:r>
      <w:r>
        <w:t>and the prices</w:t>
      </w:r>
      <w:r>
        <w:rPr>
          <w:spacing w:val="29"/>
        </w:rPr>
        <w:t xml:space="preserve"> </w:t>
      </w:r>
      <w:r>
        <w:t xml:space="preserve">determined under the original price </w:t>
      </w:r>
      <w:r>
        <w:rPr>
          <w:spacing w:val="-1"/>
        </w:rPr>
        <w:t>direction</w:t>
      </w:r>
      <w:r>
        <w:t xml:space="preserve"> for 2013-14 and 2014-15 have </w:t>
      </w:r>
      <w:r>
        <w:rPr>
          <w:spacing w:val="-1"/>
        </w:rPr>
        <w:t>already</w:t>
      </w:r>
      <w:r>
        <w:t xml:space="preserve"> been used to</w:t>
      </w:r>
      <w:r>
        <w:rPr>
          <w:spacing w:val="27"/>
        </w:rPr>
        <w:t xml:space="preserve"> </w:t>
      </w:r>
      <w:r>
        <w:rPr>
          <w:spacing w:val="-1"/>
        </w:rPr>
        <w:t>calculate</w:t>
      </w:r>
      <w:r>
        <w:t xml:space="preserve"> customer bills in these </w:t>
      </w:r>
      <w:r>
        <w:rPr>
          <w:spacing w:val="-1"/>
        </w:rPr>
        <w:t>years,</w:t>
      </w:r>
      <w:r>
        <w:rPr>
          <w:spacing w:val="-6"/>
        </w:rPr>
        <w:t xml:space="preserve"> </w:t>
      </w:r>
      <w:r>
        <w:t xml:space="preserve">the </w:t>
      </w:r>
      <w:r>
        <w:rPr>
          <w:spacing w:val="-3"/>
        </w:rPr>
        <w:t>Panel</w:t>
      </w:r>
      <w:r>
        <w:t xml:space="preserve"> does not intend to change these prices </w:t>
      </w:r>
      <w:r>
        <w:rPr>
          <w:spacing w:val="-1"/>
        </w:rPr>
        <w:t>retrospectively.</w:t>
      </w:r>
    </w:p>
    <w:p w:rsidR="00D96B91" w:rsidRDefault="00C2656B">
      <w:pPr>
        <w:pStyle w:val="BodyText"/>
        <w:spacing w:before="170" w:line="260" w:lineRule="exact"/>
        <w:ind w:right="1376"/>
      </w:pPr>
      <w:r>
        <w:rPr>
          <w:spacing w:val="-4"/>
        </w:rPr>
        <w:t>For</w:t>
      </w:r>
      <w:r>
        <w:t xml:space="preserve"> the </w:t>
      </w:r>
      <w:r>
        <w:rPr>
          <w:spacing w:val="-1"/>
        </w:rPr>
        <w:t>remaining</w:t>
      </w:r>
      <w:r>
        <w:t xml:space="preserve"> </w:t>
      </w:r>
      <w:r>
        <w:rPr>
          <w:spacing w:val="-1"/>
        </w:rPr>
        <w:t>three</w:t>
      </w:r>
      <w:r>
        <w:t xml:space="preserve"> </w:t>
      </w:r>
      <w:r>
        <w:rPr>
          <w:spacing w:val="-1"/>
        </w:rPr>
        <w:t>years</w:t>
      </w:r>
      <w:r>
        <w:t xml:space="preserve"> of</w:t>
      </w:r>
      <w:r>
        <w:rPr>
          <w:spacing w:val="4"/>
        </w:rPr>
        <w:t xml:space="preserve"> </w:t>
      </w:r>
      <w:r>
        <w:t xml:space="preserve">the </w:t>
      </w:r>
      <w:r>
        <w:rPr>
          <w:spacing w:val="-1"/>
        </w:rPr>
        <w:t>regulatory</w:t>
      </w:r>
      <w:r>
        <w:t xml:space="preserve"> period (2015-16 to 2017-18),</w:t>
      </w:r>
      <w:r>
        <w:rPr>
          <w:spacing w:val="-7"/>
        </w:rPr>
        <w:t xml:space="preserve"> </w:t>
      </w:r>
      <w:r>
        <w:t xml:space="preserve">the </w:t>
      </w:r>
      <w:r>
        <w:rPr>
          <w:spacing w:val="-4"/>
        </w:rPr>
        <w:t>Panel’s</w:t>
      </w:r>
      <w:r>
        <w:t xml:space="preserve"> </w:t>
      </w:r>
      <w:r>
        <w:rPr>
          <w:spacing w:val="-2"/>
        </w:rPr>
        <w:t>draft</w:t>
      </w:r>
      <w:r>
        <w:t xml:space="preserve"> decision</w:t>
      </w:r>
      <w:r>
        <w:rPr>
          <w:spacing w:val="51"/>
        </w:rPr>
        <w:t xml:space="preserve"> </w:t>
      </w:r>
      <w:r>
        <w:t xml:space="preserve">is to adopt the maximum </w:t>
      </w:r>
      <w:r>
        <w:rPr>
          <w:spacing w:val="-1"/>
        </w:rPr>
        <w:t>charges</w:t>
      </w:r>
      <w:r>
        <w:t xml:space="preserve"> and price </w:t>
      </w:r>
      <w:r>
        <w:rPr>
          <w:spacing w:val="-1"/>
        </w:rPr>
        <w:t>path</w:t>
      </w:r>
      <w:r>
        <w:t xml:space="preserve"> set out in</w:t>
      </w:r>
      <w:r>
        <w:rPr>
          <w:spacing w:val="-5"/>
        </w:rPr>
        <w:t xml:space="preserve"> </w:t>
      </w:r>
      <w:r>
        <w:rPr>
          <w:spacing w:val="-4"/>
        </w:rPr>
        <w:t>Table</w:t>
      </w:r>
      <w:r>
        <w:t xml:space="preserve"> 1.2.</w:t>
      </w:r>
    </w:p>
    <w:p w:rsidR="00D96B91" w:rsidRDefault="00C2656B">
      <w:pPr>
        <w:spacing w:before="158"/>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Maximum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and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and price </w:t>
      </w:r>
      <w:r>
        <w:rPr>
          <w:rFonts w:ascii="Avenir Next" w:eastAsia="Avenir Next" w:hAnsi="Avenir Next" w:cs="Avenir Next"/>
          <w:b/>
          <w:bCs/>
          <w:spacing w:val="-1"/>
          <w:sz w:val="20"/>
          <w:szCs w:val="20"/>
        </w:rPr>
        <w:t>path</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508"/>
        <w:gridCol w:w="1056"/>
        <w:gridCol w:w="1055"/>
        <w:gridCol w:w="1502"/>
        <w:gridCol w:w="1606"/>
        <w:gridCol w:w="1674"/>
      </w:tblGrid>
      <w:tr w:rsidR="00D96B91">
        <w:trPr>
          <w:trHeight w:hRule="exact" w:val="407"/>
        </w:trPr>
        <w:tc>
          <w:tcPr>
            <w:tcW w:w="2508"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0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5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54"/>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60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67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40"/>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2508" w:type="dxa"/>
            <w:vMerge/>
            <w:tcBorders>
              <w:left w:val="single" w:sz="4" w:space="0" w:color="1A9EDA"/>
              <w:bottom w:val="single" w:sz="4" w:space="0" w:color="17A7E0"/>
              <w:right w:val="single" w:sz="4" w:space="0" w:color="1A9EDA"/>
            </w:tcBorders>
            <w:shd w:val="clear" w:color="auto" w:fill="0778BE"/>
          </w:tcPr>
          <w:p w:rsidR="00D96B91" w:rsidRDefault="00D96B91"/>
        </w:tc>
        <w:tc>
          <w:tcPr>
            <w:tcW w:w="2111" w:type="dxa"/>
            <w:gridSpan w:val="2"/>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4C4403">
            <w:pPr>
              <w:pStyle w:val="TableParagraph"/>
              <w:spacing w:before="112" w:line="220" w:lineRule="exact"/>
              <w:ind w:left="78" w:right="180" w:firstLine="70"/>
              <w:jc w:val="center"/>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 ICRC and</w:t>
            </w:r>
            <w:r>
              <w:rPr>
                <w:rFonts w:ascii="Avenir Next Condensed"/>
                <w:b/>
                <w:color w:val="FFFFFF"/>
                <w:spacing w:val="21"/>
                <w:sz w:val="18"/>
              </w:rPr>
              <w:t xml:space="preserve"> </w:t>
            </w:r>
            <w:r>
              <w:rPr>
                <w:rFonts w:ascii="Avenir Next Condensed"/>
                <w:b/>
                <w:color w:val="FFFFFF"/>
                <w:sz w:val="18"/>
              </w:rPr>
              <w:t>paid by customers</w:t>
            </w:r>
          </w:p>
        </w:tc>
        <w:tc>
          <w:tcPr>
            <w:tcW w:w="4782" w:type="dxa"/>
            <w:gridSpan w:val="3"/>
            <w:tcBorders>
              <w:top w:val="single" w:sz="4" w:space="0" w:color="1A9EDA"/>
              <w:left w:val="single" w:sz="4" w:space="0" w:color="1A9EDA"/>
              <w:bottom w:val="single" w:sz="4" w:space="0" w:color="17A7E0"/>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200"/>
              <w:rPr>
                <w:rFonts w:ascii="Avenir Next Condensed" w:eastAsia="Avenir Next Condensed" w:hAnsi="Avenir Next Condensed" w:cs="Avenir Next Condensed"/>
                <w:sz w:val="18"/>
                <w:szCs w:val="18"/>
              </w:rPr>
            </w:pPr>
            <w:r>
              <w:rPr>
                <w:rFonts w:ascii="Avenir Next Condensed"/>
                <w:b/>
                <w:color w:val="FFFFFF"/>
                <w:spacing w:val="-1"/>
                <w:sz w:val="18"/>
              </w:rPr>
              <w:t>Price</w:t>
            </w:r>
            <w:r>
              <w:rPr>
                <w:rFonts w:ascii="Avenir Next Condensed"/>
                <w:b/>
                <w:color w:val="FFFFFF"/>
                <w:sz w:val="18"/>
              </w:rPr>
              <w:t xml:space="preserve"> path for the </w:t>
            </w:r>
            <w:r>
              <w:rPr>
                <w:rFonts w:ascii="Avenir Next Condensed"/>
                <w:b/>
                <w:color w:val="FFFFFF"/>
                <w:spacing w:val="-1"/>
                <w:sz w:val="18"/>
              </w:rPr>
              <w:t>remaining</w:t>
            </w:r>
            <w:r>
              <w:rPr>
                <w:rFonts w:ascii="Avenir Next Condensed"/>
                <w:b/>
                <w:color w:val="FFFFFF"/>
                <w:sz w:val="18"/>
              </w:rPr>
              <w:t xml:space="preserve"> </w:t>
            </w:r>
            <w:r>
              <w:rPr>
                <w:rFonts w:ascii="Avenir Next Condensed"/>
                <w:b/>
                <w:color w:val="FFFFFF"/>
                <w:spacing w:val="-1"/>
                <w:sz w:val="18"/>
              </w:rPr>
              <w:t>years*</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25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57"/>
              <w:rPr>
                <w:rFonts w:ascii="Avenir Next Condensed" w:eastAsia="Avenir Next Condensed" w:hAnsi="Avenir Next Condensed" w:cs="Avenir Next Condensed"/>
                <w:sz w:val="18"/>
                <w:szCs w:val="18"/>
              </w:rPr>
            </w:pPr>
            <w:r>
              <w:rPr>
                <w:rFonts w:ascii="Avenir Next Condensed"/>
                <w:sz w:val="18"/>
              </w:rPr>
              <w:t>100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102.56</w:t>
            </w:r>
          </w:p>
        </w:tc>
        <w:tc>
          <w:tcPr>
            <w:tcW w:w="15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8"/>
              <w:ind w:left="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trPr>
          <w:trHeight w:hRule="exact" w:val="407"/>
        </w:trPr>
        <w:tc>
          <w:tcPr>
            <w:tcW w:w="25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sz w:val="18"/>
              </w:rPr>
              <w:t>2.55</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2.64</w:t>
            </w:r>
          </w:p>
        </w:tc>
        <w:tc>
          <w:tcPr>
            <w:tcW w:w="15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8"/>
              <w:ind w:left="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trPr>
          <w:trHeight w:hRule="exact" w:val="407"/>
        </w:trPr>
        <w:tc>
          <w:tcPr>
            <w:tcW w:w="25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sz w:val="18"/>
              </w:rPr>
              <w:t>5.10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5.29</w:t>
            </w:r>
          </w:p>
        </w:tc>
        <w:tc>
          <w:tcPr>
            <w:tcW w:w="15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8"/>
              <w:ind w:left="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25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8"/>
              <w:rPr>
                <w:rFonts w:ascii="Avenir Next Condensed" w:eastAsia="Avenir Next Condensed" w:hAnsi="Avenir Next Condensed" w:cs="Avenir Next Condensed"/>
                <w:sz w:val="18"/>
                <w:szCs w:val="18"/>
              </w:rPr>
            </w:pPr>
            <w:r>
              <w:rPr>
                <w:rFonts w:ascii="Avenir Next Condensed"/>
                <w:sz w:val="18"/>
              </w:rPr>
              <w:t>492.02</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505.41</w:t>
            </w:r>
          </w:p>
        </w:tc>
        <w:tc>
          <w:tcPr>
            <w:tcW w:w="15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c>
          <w:tcPr>
            <w:tcW w:w="16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r>
      <w:tr w:rsidR="00D96B91">
        <w:trPr>
          <w:trHeight w:hRule="exact" w:val="627"/>
        </w:trPr>
        <w:tc>
          <w:tcPr>
            <w:tcW w:w="25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35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Fixtures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w:t>
            </w:r>
            <w:r>
              <w:rPr>
                <w:rFonts w:ascii="Avenir Next Condensed" w:eastAsia="Avenir Next Condensed" w:hAnsi="Avenir Next Condensed" w:cs="Avenir Next Condensed"/>
                <w:sz w:val="18"/>
                <w:szCs w:val="18"/>
              </w:rPr>
              <w:t xml:space="preserve"> – </w:t>
            </w:r>
            <w:r>
              <w:rPr>
                <w:rFonts w:ascii="Avenir Next Condensed" w:eastAsia="Avenir Next Condensed" w:hAnsi="Avenir Next Condensed" w:cs="Avenir Next Condensed"/>
                <w:spacing w:val="-1"/>
                <w:sz w:val="18"/>
                <w:szCs w:val="18"/>
              </w:rPr>
              <w:t>non-residential</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z w:val="18"/>
                <w:szCs w:val="18"/>
              </w:rPr>
              <w:t>customers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8"/>
              <w:rPr>
                <w:rFonts w:ascii="Avenir Next Condensed" w:eastAsia="Avenir Next Condensed" w:hAnsi="Avenir Next Condensed" w:cs="Avenir Next Condensed"/>
                <w:sz w:val="18"/>
                <w:szCs w:val="18"/>
              </w:rPr>
            </w:pPr>
            <w:r>
              <w:rPr>
                <w:rFonts w:ascii="Avenir Next Condensed"/>
                <w:sz w:val="18"/>
              </w:rPr>
              <w:t>481.18</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494.28</w:t>
            </w:r>
          </w:p>
        </w:tc>
        <w:tc>
          <w:tcPr>
            <w:tcW w:w="15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c>
          <w:tcPr>
            <w:tcW w:w="16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*Note:</w:t>
      </w:r>
      <w:r>
        <w:rPr>
          <w:rFonts w:ascii="Avenir Next"/>
          <w:spacing w:val="-4"/>
          <w:sz w:val="16"/>
        </w:rPr>
        <w:t xml:space="preserve"> </w:t>
      </w:r>
      <w:r>
        <w:rPr>
          <w:rFonts w:ascii="Avenir Next"/>
          <w:spacing w:val="-1"/>
          <w:sz w:val="16"/>
        </w:rPr>
        <w:t>The</w:t>
      </w:r>
      <w:r>
        <w:rPr>
          <w:rFonts w:ascii="Avenir Next"/>
          <w:sz w:val="16"/>
        </w:rPr>
        <w:t xml:space="preserve"> price </w:t>
      </w:r>
      <w:r>
        <w:rPr>
          <w:rFonts w:ascii="Avenir Next"/>
          <w:spacing w:val="-1"/>
          <w:sz w:val="16"/>
        </w:rPr>
        <w:t>path</w:t>
      </w:r>
      <w:r>
        <w:rPr>
          <w:rFonts w:ascii="Avenir Next"/>
          <w:sz w:val="16"/>
        </w:rPr>
        <w:t xml:space="preserve"> is also subject to the </w:t>
      </w:r>
      <w:r>
        <w:rPr>
          <w:rFonts w:ascii="Avenir Next"/>
          <w:spacing w:val="-1"/>
          <w:sz w:val="16"/>
        </w:rPr>
        <w:t>operation</w:t>
      </w:r>
      <w:r>
        <w:rPr>
          <w:rFonts w:ascii="Avenir Next"/>
          <w:sz w:val="16"/>
        </w:rPr>
        <w:t xml:space="preserve"> of</w:t>
      </w:r>
      <w:r>
        <w:rPr>
          <w:rFonts w:ascii="Avenir Next"/>
          <w:spacing w:val="3"/>
          <w:sz w:val="16"/>
        </w:rPr>
        <w:t xml:space="preserve"> </w:t>
      </w:r>
      <w:r>
        <w:rPr>
          <w:rFonts w:ascii="Avenir Next"/>
          <w:sz w:val="16"/>
        </w:rPr>
        <w:t xml:space="preserve">the 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548"/>
      </w:pPr>
      <w:r>
        <w:rPr>
          <w:spacing w:val="-4"/>
        </w:rPr>
        <w:t>Table</w:t>
      </w:r>
      <w:r>
        <w:t xml:space="preserve"> 1.3 sets out the </w:t>
      </w:r>
      <w:r>
        <w:rPr>
          <w:rFonts w:cs="Avenir Next"/>
          <w:b/>
          <w:bCs/>
          <w:spacing w:val="-1"/>
        </w:rPr>
        <w:t>indicative</w:t>
      </w:r>
      <w:r>
        <w:rPr>
          <w:rFonts w:cs="Avenir Next"/>
          <w:b/>
          <w:bCs/>
        </w:rPr>
        <w:t xml:space="preserve">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charges</w:t>
      </w:r>
      <w:r>
        <w:rPr>
          <w:rFonts w:cs="Avenir Next"/>
        </w:rPr>
        <w:t xml:space="preserve"> payable under this </w:t>
      </w:r>
      <w:r>
        <w:rPr>
          <w:rFonts w:cs="Avenir Next"/>
          <w:spacing w:val="-2"/>
        </w:rPr>
        <w:t>draft</w:t>
      </w:r>
      <w:r>
        <w:rPr>
          <w:rFonts w:cs="Avenir Next"/>
        </w:rPr>
        <w:t xml:space="preserve"> decision,</w:t>
      </w:r>
      <w:r>
        <w:rPr>
          <w:rFonts w:cs="Avenir Next"/>
          <w:spacing w:val="45"/>
        </w:rPr>
        <w:t xml:space="preserve"> </w:t>
      </w:r>
      <w:r>
        <w:t>assuming</w:t>
      </w:r>
      <w:r>
        <w:rPr>
          <w:spacing w:val="-1"/>
        </w:rPr>
        <w:t xml:space="preserve"> </w:t>
      </w:r>
      <w:r>
        <w:t xml:space="preserve">the </w:t>
      </w:r>
      <w:r>
        <w:rPr>
          <w:spacing w:val="-1"/>
        </w:rPr>
        <w:t>inflation</w:t>
      </w:r>
      <w:r>
        <w:t xml:space="preserve"> </w:t>
      </w:r>
      <w:r>
        <w:rPr>
          <w:spacing w:val="-2"/>
        </w:rPr>
        <w:t>rate</w:t>
      </w:r>
      <w:r>
        <w:t xml:space="preserve"> (as</w:t>
      </w:r>
      <w:r>
        <w:rPr>
          <w:spacing w:val="-1"/>
        </w:rPr>
        <w:t xml:space="preserve"> measured</w:t>
      </w:r>
      <w:r>
        <w:t xml:space="preserve"> by the CPI)</w:t>
      </w:r>
      <w:r>
        <w:rPr>
          <w:spacing w:val="-1"/>
        </w:rPr>
        <w:t xml:space="preserve"> </w:t>
      </w:r>
      <w:r>
        <w:t>is 2.5% per annum,</w:t>
      </w:r>
      <w:r>
        <w:rPr>
          <w:spacing w:val="-8"/>
        </w:rPr>
        <w:t xml:space="preserve"> </w:t>
      </w:r>
      <w:r>
        <w:t xml:space="preserve">and the cost </w:t>
      </w:r>
      <w:r>
        <w:rPr>
          <w:spacing w:val="-1"/>
        </w:rPr>
        <w:t>pass-through</w:t>
      </w:r>
      <w:r>
        <w:rPr>
          <w:spacing w:val="41"/>
        </w:rPr>
        <w:t xml:space="preserve"> </w:t>
      </w:r>
      <w:r>
        <w:rPr>
          <w:rFonts w:cs="Avenir Next"/>
        </w:rPr>
        <w:t xml:space="preserve">mechanism is not </w:t>
      </w:r>
      <w:r>
        <w:rPr>
          <w:rFonts w:cs="Avenir Next"/>
          <w:spacing w:val="-1"/>
        </w:rPr>
        <w:t>triggered</w:t>
      </w:r>
      <w:r>
        <w:rPr>
          <w:rFonts w:cs="Avenir Next"/>
        </w:rPr>
        <w:t xml:space="preserve"> (for </w:t>
      </w:r>
      <w:r>
        <w:rPr>
          <w:rFonts w:cs="Avenir Next"/>
          <w:spacing w:val="-1"/>
        </w:rPr>
        <w:t>example,</w:t>
      </w:r>
      <w:r>
        <w:rPr>
          <w:rFonts w:cs="Avenir Next"/>
          <w:spacing w:val="-6"/>
        </w:rPr>
        <w:t xml:space="preserve"> </w:t>
      </w:r>
      <w:r>
        <w:rPr>
          <w:rFonts w:cs="Avenir Next"/>
        </w:rPr>
        <w:t>by changes to the</w:t>
      </w:r>
      <w:r>
        <w:rPr>
          <w:rFonts w:cs="Avenir Next"/>
          <w:spacing w:val="-3"/>
        </w:rPr>
        <w:t xml:space="preserve"> </w:t>
      </w:r>
      <w:r>
        <w:rPr>
          <w:rFonts w:cs="Avenir Next"/>
          <w:spacing w:val="-2"/>
        </w:rPr>
        <w:t>Water</w:t>
      </w:r>
      <w:r>
        <w:rPr>
          <w:rFonts w:cs="Avenir Next"/>
          <w:spacing w:val="-4"/>
        </w:rPr>
        <w:t xml:space="preserve"> </w:t>
      </w:r>
      <w:r>
        <w:rPr>
          <w:rFonts w:cs="Avenir Next"/>
          <w:spacing w:val="-1"/>
        </w:rPr>
        <w:t>Abstraction</w:t>
      </w:r>
      <w:r>
        <w:rPr>
          <w:rFonts w:cs="Avenir Next"/>
        </w:rPr>
        <w:t xml:space="preserve"> </w:t>
      </w:r>
      <w:r>
        <w:rPr>
          <w:rFonts w:cs="Avenir Next"/>
          <w:spacing w:val="-1"/>
        </w:rPr>
        <w:t>Charge</w:t>
      </w:r>
      <w:r>
        <w:rPr>
          <w:rFonts w:cs="Avenir Next"/>
        </w:rPr>
        <w:t xml:space="preserve"> or Utilities</w:t>
      </w:r>
      <w:r>
        <w:rPr>
          <w:rFonts w:cs="Avenir Next"/>
          <w:spacing w:val="43"/>
        </w:rPr>
        <w:t xml:space="preserve"> </w:t>
      </w:r>
      <w:r>
        <w:t xml:space="preserve">Network </w:t>
      </w:r>
      <w:r>
        <w:rPr>
          <w:spacing w:val="-1"/>
        </w:rPr>
        <w:t>Facilities</w:t>
      </w:r>
      <w:r>
        <w:rPr>
          <w:spacing w:val="-5"/>
        </w:rPr>
        <w:t xml:space="preserve"> </w:t>
      </w:r>
      <w:r>
        <w:rPr>
          <w:spacing w:val="-4"/>
        </w:rPr>
        <w:t>Tax).</w:t>
      </w:r>
      <w:r>
        <w:rPr>
          <w:spacing w:val="-6"/>
        </w:rPr>
        <w:t xml:space="preserve"> </w:t>
      </w:r>
      <w:r>
        <w:t xml:space="preserve">In other </w:t>
      </w:r>
      <w:r>
        <w:rPr>
          <w:spacing w:val="-1"/>
        </w:rPr>
        <w:t>words,</w:t>
      </w:r>
      <w:r>
        <w:rPr>
          <w:spacing w:val="-6"/>
        </w:rPr>
        <w:t xml:space="preserve"> </w:t>
      </w:r>
      <w:r>
        <w:t xml:space="preserve">the table </w:t>
      </w:r>
      <w:r>
        <w:rPr>
          <w:spacing w:val="-1"/>
        </w:rPr>
        <w:t>indicates</w:t>
      </w:r>
      <w:r>
        <w:t xml:space="preserve"> the underlying price impacts of</w:t>
      </w:r>
      <w:r>
        <w:rPr>
          <w:spacing w:val="4"/>
        </w:rPr>
        <w:t xml:space="preserve"> </w:t>
      </w:r>
      <w:r>
        <w:t xml:space="preserve">the </w:t>
      </w:r>
      <w:r>
        <w:rPr>
          <w:spacing w:val="-4"/>
        </w:rPr>
        <w:t>Panel’s</w:t>
      </w:r>
      <w:r>
        <w:rPr>
          <w:spacing w:val="31"/>
        </w:rPr>
        <w:t xml:space="preserve"> </w:t>
      </w:r>
      <w:r>
        <w:rPr>
          <w:spacing w:val="-2"/>
        </w:rPr>
        <w:t>draft</w:t>
      </w:r>
      <w:r>
        <w:t xml:space="preserve"> price </w:t>
      </w:r>
      <w:r>
        <w:rPr>
          <w:spacing w:val="-1"/>
        </w:rPr>
        <w:t>direction,</w:t>
      </w:r>
      <w:r>
        <w:rPr>
          <w:spacing w:val="-6"/>
        </w:rPr>
        <w:t xml:space="preserve"> </w:t>
      </w:r>
      <w:r>
        <w:t>but not the potential impacts of</w:t>
      </w:r>
      <w:r>
        <w:rPr>
          <w:spacing w:val="4"/>
        </w:rPr>
        <w:t xml:space="preserve"> </w:t>
      </w:r>
      <w:r>
        <w:t xml:space="preserve">any </w:t>
      </w:r>
      <w:r>
        <w:rPr>
          <w:spacing w:val="-1"/>
        </w:rPr>
        <w:t>pass-through</w:t>
      </w:r>
      <w:r>
        <w:t xml:space="preserve"> events </w:t>
      </w:r>
      <w:r>
        <w:rPr>
          <w:spacing w:val="-1"/>
        </w:rPr>
        <w:t>that</w:t>
      </w:r>
      <w:r>
        <w:t xml:space="preserve"> may </w:t>
      </w:r>
      <w:r>
        <w:rPr>
          <w:spacing w:val="-2"/>
        </w:rPr>
        <w:t>occur.</w:t>
      </w:r>
    </w:p>
    <w:p w:rsidR="00D96B91" w:rsidRDefault="00D96B91">
      <w:pPr>
        <w:spacing w:line="260" w:lineRule="exact"/>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1.3: </w:t>
      </w:r>
      <w:r>
        <w:rPr>
          <w:rFonts w:ascii="Avenir Next"/>
          <w:b/>
          <w:spacing w:val="-1"/>
          <w:sz w:val="20"/>
        </w:rPr>
        <w:t>Indicative</w:t>
      </w:r>
      <w:r>
        <w:rPr>
          <w:rFonts w:ascii="Avenir Next"/>
          <w:b/>
          <w:sz w:val="20"/>
        </w:rPr>
        <w:t xml:space="preserve"> maximum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w:t>
      </w:r>
      <w:r>
        <w:rPr>
          <w:rFonts w:ascii="Avenir Next"/>
          <w:b/>
          <w:spacing w:val="-1"/>
          <w:sz w:val="20"/>
        </w:rPr>
        <w:t>charges</w:t>
      </w:r>
      <w:r>
        <w:rPr>
          <w:rFonts w:ascii="Avenir Next"/>
          <w:b/>
          <w:sz w:val="20"/>
        </w:rPr>
        <w:t xml:space="preserve"> ($,</w:t>
      </w:r>
      <w:r>
        <w:rPr>
          <w:rFonts w:ascii="Avenir Next"/>
          <w:b/>
          <w:spacing w:val="-7"/>
          <w:sz w:val="20"/>
        </w:rPr>
        <w:t xml:space="preserve"> </w:t>
      </w:r>
      <w:r>
        <w:rPr>
          <w:rFonts w:ascii="Avenir Next"/>
          <w:b/>
          <w:sz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852"/>
        <w:gridCol w:w="1310"/>
        <w:gridCol w:w="1310"/>
        <w:gridCol w:w="1310"/>
        <w:gridCol w:w="1310"/>
        <w:gridCol w:w="1310"/>
      </w:tblGrid>
      <w:tr w:rsidR="00D96B91">
        <w:trPr>
          <w:trHeight w:hRule="exact" w:val="407"/>
        </w:trPr>
        <w:tc>
          <w:tcPr>
            <w:tcW w:w="2852"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3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3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3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2852" w:type="dxa"/>
            <w:vMerge/>
            <w:tcBorders>
              <w:left w:val="single" w:sz="4" w:space="0" w:color="1A9EDA"/>
              <w:bottom w:val="single" w:sz="4" w:space="0" w:color="1A9EDA"/>
              <w:right w:val="single" w:sz="4" w:space="0" w:color="1A9EDA"/>
            </w:tcBorders>
            <w:shd w:val="clear" w:color="auto" w:fill="0778BE"/>
          </w:tcPr>
          <w:p w:rsidR="00D96B91" w:rsidRDefault="00D96B91"/>
        </w:tc>
        <w:tc>
          <w:tcPr>
            <w:tcW w:w="2619"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12" w:line="220" w:lineRule="exact"/>
              <w:ind w:left="159" w:right="166"/>
              <w:jc w:val="center"/>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 ICRC and paid by</w:t>
            </w:r>
            <w:r>
              <w:rPr>
                <w:rFonts w:ascii="Avenir Next Condensed"/>
                <w:b/>
                <w:color w:val="FFFFFF"/>
                <w:spacing w:val="21"/>
                <w:sz w:val="18"/>
              </w:rPr>
              <w:t xml:space="preserve"> </w:t>
            </w:r>
            <w:r>
              <w:rPr>
                <w:rFonts w:ascii="Avenir Next Condensed"/>
                <w:b/>
                <w:color w:val="FFFFFF"/>
                <w:sz w:val="18"/>
              </w:rPr>
              <w:t>customers</w:t>
            </w:r>
          </w:p>
        </w:tc>
        <w:tc>
          <w:tcPr>
            <w:tcW w:w="3929"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239"/>
              <w:rPr>
                <w:rFonts w:ascii="Avenir Next Condensed" w:eastAsia="Avenir Next Condensed" w:hAnsi="Avenir Next Condensed" w:cs="Avenir Next Condensed"/>
                <w:sz w:val="18"/>
                <w:szCs w:val="18"/>
              </w:rPr>
            </w:pPr>
            <w:r>
              <w:rPr>
                <w:rFonts w:ascii="Avenir Next Condensed"/>
                <w:b/>
                <w:color w:val="FFFFFF"/>
                <w:sz w:val="18"/>
              </w:rPr>
              <w:t>Indicative estimates*</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w:t>
            </w:r>
            <w:r>
              <w:rPr>
                <w:rFonts w:ascii="Avenir Next Condensed"/>
                <w:b/>
                <w:spacing w:val="-1"/>
                <w:sz w:val="18"/>
              </w:rPr>
              <w:t>charges</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5"/>
              <w:rPr>
                <w:rFonts w:ascii="Avenir Next Condensed" w:eastAsia="Avenir Next Condensed" w:hAnsi="Avenir Next Condensed" w:cs="Avenir Next Condensed"/>
                <w:sz w:val="18"/>
                <w:szCs w:val="18"/>
              </w:rPr>
            </w:pPr>
            <w:r>
              <w:rPr>
                <w:rFonts w:ascii="Avenir Next Condensed"/>
                <w:sz w:val="18"/>
              </w:rPr>
              <w:t>100.00</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5"/>
              <w:rPr>
                <w:rFonts w:ascii="Avenir Next Condensed" w:eastAsia="Avenir Next Condensed" w:hAnsi="Avenir Next Condensed" w:cs="Avenir Next Condensed"/>
                <w:sz w:val="18"/>
                <w:szCs w:val="18"/>
              </w:rPr>
            </w:pPr>
            <w:r>
              <w:rPr>
                <w:rFonts w:ascii="Avenir Next Condensed"/>
                <w:sz w:val="18"/>
              </w:rPr>
              <w:t>102.56</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9"/>
              <w:rPr>
                <w:rFonts w:ascii="Avenir Next Condensed" w:eastAsia="Avenir Next Condensed" w:hAnsi="Avenir Next Condensed" w:cs="Avenir Next Condensed"/>
                <w:sz w:val="18"/>
                <w:szCs w:val="18"/>
              </w:rPr>
            </w:pPr>
            <w:r>
              <w:rPr>
                <w:rFonts w:ascii="Avenir Next Condensed"/>
                <w:sz w:val="18"/>
              </w:rPr>
              <w:t>97.21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9"/>
              <w:rPr>
                <w:rFonts w:ascii="Avenir Next Condensed" w:eastAsia="Avenir Next Condensed" w:hAnsi="Avenir Next Condensed" w:cs="Avenir Next Condensed"/>
                <w:sz w:val="18"/>
                <w:szCs w:val="18"/>
              </w:rPr>
            </w:pPr>
            <w:r>
              <w:rPr>
                <w:rFonts w:ascii="Avenir Next Condensed"/>
                <w:sz w:val="18"/>
              </w:rPr>
              <w:t>97.21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9"/>
              <w:rPr>
                <w:rFonts w:ascii="Avenir Next Condensed" w:eastAsia="Avenir Next Condensed" w:hAnsi="Avenir Next Condensed" w:cs="Avenir Next Condensed"/>
                <w:sz w:val="18"/>
                <w:szCs w:val="18"/>
              </w:rPr>
            </w:pPr>
            <w:r>
              <w:rPr>
                <w:rFonts w:ascii="Avenir Next Condensed"/>
                <w:sz w:val="18"/>
              </w:rPr>
              <w:t>97.21</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2.55</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2.64</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2.50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2.50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2.50</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5.10</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5.29</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5.01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4"/>
              <w:rPr>
                <w:rFonts w:ascii="Avenir Next Condensed" w:eastAsia="Avenir Next Condensed" w:hAnsi="Avenir Next Condensed" w:cs="Avenir Next Condensed"/>
                <w:sz w:val="18"/>
                <w:szCs w:val="18"/>
              </w:rPr>
            </w:pPr>
            <w:r>
              <w:rPr>
                <w:rFonts w:ascii="Avenir Next Condensed"/>
                <w:sz w:val="18"/>
              </w:rPr>
              <w:t>5.01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13"/>
              <w:rPr>
                <w:rFonts w:ascii="Avenir Next Condensed" w:eastAsia="Avenir Next Condensed" w:hAnsi="Avenir Next Condensed" w:cs="Avenir Next Condensed"/>
                <w:sz w:val="18"/>
                <w:szCs w:val="18"/>
              </w:rPr>
            </w:pPr>
            <w:r>
              <w:rPr>
                <w:rFonts w:ascii="Avenir Next Condensed"/>
                <w:sz w:val="18"/>
              </w:rPr>
              <w:t>5.01</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z w:val="18"/>
              </w:rPr>
              <w:t xml:space="preserve">% Change on </w:t>
            </w:r>
            <w:r>
              <w:rPr>
                <w:rFonts w:ascii="Avenir Next Condensed"/>
                <w:b/>
                <w:spacing w:val="-1"/>
                <w:sz w:val="18"/>
              </w:rPr>
              <w:t>previous</w:t>
            </w:r>
            <w:r>
              <w:rPr>
                <w:rFonts w:ascii="Avenir Next Condensed"/>
                <w:b/>
                <w:sz w:val="18"/>
              </w:rPr>
              <w:t xml:space="preserve"> </w:t>
            </w:r>
            <w:r>
              <w:rPr>
                <w:rFonts w:ascii="Avenir Next Condensed"/>
                <w:b/>
                <w:spacing w:val="-1"/>
                <w:sz w:val="18"/>
              </w:rPr>
              <w:t>year</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5"/>
              <w:rPr>
                <w:rFonts w:ascii="Avenir Next Condensed" w:eastAsia="Avenir Next Condensed" w:hAnsi="Avenir Next Condensed" w:cs="Avenir Next Condensed"/>
                <w:sz w:val="18"/>
                <w:szCs w:val="18"/>
              </w:rPr>
            </w:pPr>
            <w:r>
              <w:rPr>
                <w:rFonts w:ascii="Avenir Next Condensed"/>
                <w:sz w:val="18"/>
              </w:rPr>
              <w:t>0.2%</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5"/>
              <w:rPr>
                <w:rFonts w:ascii="Avenir Next Condensed" w:eastAsia="Avenir Next Condensed" w:hAnsi="Avenir Next Condensed" w:cs="Avenir Next Condensed"/>
                <w:sz w:val="18"/>
                <w:szCs w:val="18"/>
              </w:rPr>
            </w:pPr>
            <w:r>
              <w:rPr>
                <w:rFonts w:ascii="Avenir Next Condensed"/>
                <w:sz w:val="18"/>
              </w:rPr>
              <w:t>2.6%</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4"/>
              <w:rPr>
                <w:rFonts w:ascii="Avenir Next Condensed" w:eastAsia="Avenir Next Condensed" w:hAnsi="Avenir Next Condensed" w:cs="Avenir Next Condensed"/>
                <w:sz w:val="18"/>
                <w:szCs w:val="18"/>
              </w:rPr>
            </w:pPr>
            <w:r>
              <w:rPr>
                <w:rFonts w:ascii="Avenir Next Condensed"/>
                <w:sz w:val="18"/>
              </w:rPr>
              <w:t>-5.2%</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4.9%</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3.5%</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4"/>
              <w:rPr>
                <w:rFonts w:ascii="Avenir Next Condensed" w:eastAsia="Avenir Next Condensed" w:hAnsi="Avenir Next Condensed" w:cs="Avenir Next Condensed"/>
                <w:sz w:val="18"/>
                <w:szCs w:val="18"/>
              </w:rPr>
            </w:pPr>
            <w:r>
              <w:rPr>
                <w:rFonts w:ascii="Avenir Next Condensed"/>
                <w:sz w:val="18"/>
              </w:rPr>
              <w:t>-5.2%</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4.9%</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3.7%</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3"/>
              <w:rPr>
                <w:rFonts w:ascii="Avenir Next Condensed" w:eastAsia="Avenir Next Condensed" w:hAnsi="Avenir Next Condensed" w:cs="Avenir Next Condensed"/>
                <w:sz w:val="18"/>
                <w:szCs w:val="18"/>
              </w:rPr>
            </w:pPr>
            <w:r>
              <w:rPr>
                <w:rFonts w:ascii="Avenir Next Condensed"/>
                <w:sz w:val="18"/>
              </w:rPr>
              <w:t>-5.2%</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4"/>
              <w:rPr>
                <w:rFonts w:ascii="Avenir Next Condensed" w:eastAsia="Avenir Next Condensed" w:hAnsi="Avenir Next Condensed" w:cs="Avenir Next Condensed"/>
                <w:sz w:val="18"/>
                <w:szCs w:val="18"/>
              </w:rPr>
            </w:pPr>
            <w:r>
              <w:rPr>
                <w:rFonts w:ascii="Avenir Next Condensed"/>
                <w:sz w:val="18"/>
              </w:rPr>
              <w:t>0.0%</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b/>
                <w:sz w:val="18"/>
              </w:rPr>
              <w:t xml:space="preserve"> </w:t>
            </w:r>
            <w:r>
              <w:rPr>
                <w:rFonts w:ascii="Avenir Next Condensed"/>
                <w:b/>
                <w:spacing w:val="-1"/>
                <w:sz w:val="18"/>
              </w:rPr>
              <w:t>charge</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4"/>
              <w:rPr>
                <w:rFonts w:ascii="Avenir Next Condensed" w:eastAsia="Avenir Next Condensed" w:hAnsi="Avenir Next Condensed" w:cs="Avenir Next Condensed"/>
                <w:sz w:val="18"/>
                <w:szCs w:val="18"/>
              </w:rPr>
            </w:pPr>
            <w:r>
              <w:rPr>
                <w:rFonts w:ascii="Avenir Next Condensed"/>
                <w:sz w:val="18"/>
              </w:rPr>
              <w:t>492.02</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4"/>
              <w:rPr>
                <w:rFonts w:ascii="Avenir Next Condensed" w:eastAsia="Avenir Next Condensed" w:hAnsi="Avenir Next Condensed" w:cs="Avenir Next Condensed"/>
                <w:sz w:val="18"/>
                <w:szCs w:val="18"/>
              </w:rPr>
            </w:pPr>
            <w:r>
              <w:rPr>
                <w:rFonts w:ascii="Avenir Next Condensed"/>
                <w:sz w:val="18"/>
              </w:rPr>
              <w:t>505.41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4"/>
              <w:rPr>
                <w:rFonts w:ascii="Avenir Next Condensed" w:eastAsia="Avenir Next Condensed" w:hAnsi="Avenir Next Condensed" w:cs="Avenir Next Condensed"/>
                <w:sz w:val="18"/>
                <w:szCs w:val="18"/>
              </w:rPr>
            </w:pPr>
            <w:r>
              <w:rPr>
                <w:rFonts w:ascii="Avenir Next Condensed"/>
                <w:sz w:val="18"/>
              </w:rPr>
              <w:t>530.34</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543.60</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557.18</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481.18</w:t>
            </w:r>
          </w:p>
        </w:tc>
        <w:tc>
          <w:tcPr>
            <w:tcW w:w="131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494.28</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518.66</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531.62</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3"/>
              <w:rPr>
                <w:rFonts w:ascii="Avenir Next Condensed" w:eastAsia="Avenir Next Condensed" w:hAnsi="Avenir Next Condensed" w:cs="Avenir Next Condensed"/>
                <w:sz w:val="18"/>
                <w:szCs w:val="18"/>
              </w:rPr>
            </w:pPr>
            <w:r>
              <w:rPr>
                <w:rFonts w:ascii="Avenir Next Condensed"/>
                <w:sz w:val="18"/>
              </w:rPr>
              <w:t>544.91</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right="2"/>
              <w:jc w:val="center"/>
              <w:rPr>
                <w:rFonts w:ascii="Avenir Next Condensed" w:eastAsia="Avenir Next Condensed" w:hAnsi="Avenir Next Condensed" w:cs="Avenir Next Condensed"/>
                <w:sz w:val="18"/>
                <w:szCs w:val="18"/>
              </w:rPr>
            </w:pPr>
            <w:r>
              <w:rPr>
                <w:rFonts w:ascii="Avenir Next Condensed"/>
                <w:b/>
                <w:sz w:val="18"/>
              </w:rPr>
              <w:t xml:space="preserve">% Change on </w:t>
            </w:r>
            <w:r>
              <w:rPr>
                <w:rFonts w:ascii="Avenir Next Condensed"/>
                <w:b/>
                <w:spacing w:val="-1"/>
                <w:sz w:val="18"/>
              </w:rPr>
              <w:t>previous</w:t>
            </w:r>
            <w:r>
              <w:rPr>
                <w:rFonts w:ascii="Avenir Next Condensed"/>
                <w:b/>
                <w:sz w:val="18"/>
              </w:rPr>
              <w:t xml:space="preserve"> </w:t>
            </w:r>
            <w:r>
              <w:rPr>
                <w:rFonts w:ascii="Avenir Next Condensed"/>
                <w:b/>
                <w:spacing w:val="-1"/>
                <w:sz w:val="18"/>
              </w:rPr>
              <w:t>year</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-18.1%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2.7%</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4.9%</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2.5%</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2.5%</w:t>
            </w:r>
          </w:p>
        </w:tc>
      </w:tr>
      <w:tr w:rsidR="00D96B91">
        <w:trPr>
          <w:trHeight w:hRule="exact" w:val="407"/>
        </w:trPr>
        <w:tc>
          <w:tcPr>
            <w:tcW w:w="28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z w:val="18"/>
              </w:rPr>
              <w:t xml:space="preserve"> ($ pa)</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-18.1%</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2.7%</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4.9%</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2.5%</w:t>
            </w:r>
          </w:p>
        </w:tc>
        <w:tc>
          <w:tcPr>
            <w:tcW w:w="13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83"/>
              <w:rPr>
                <w:rFonts w:ascii="Avenir Next Condensed" w:eastAsia="Avenir Next Condensed" w:hAnsi="Avenir Next Condensed" w:cs="Avenir Next Condensed"/>
                <w:sz w:val="18"/>
                <w:szCs w:val="18"/>
              </w:rPr>
            </w:pPr>
            <w:r>
              <w:rPr>
                <w:rFonts w:ascii="Avenir Next Condensed"/>
                <w:sz w:val="18"/>
              </w:rPr>
              <w:t>2.5%</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83"/>
        <w:rPr>
          <w:rFonts w:ascii="Avenir Next" w:eastAsia="Avenir Next" w:hAnsi="Avenir Next" w:cs="Avenir Next"/>
          <w:sz w:val="16"/>
          <w:szCs w:val="16"/>
        </w:rPr>
      </w:pPr>
      <w:r>
        <w:rPr>
          <w:rFonts w:ascii="Avenir Next"/>
          <w:sz w:val="16"/>
        </w:rPr>
        <w:t xml:space="preserve">*Note: the actual </w:t>
      </w:r>
      <w:r>
        <w:rPr>
          <w:rFonts w:ascii="Avenir Next"/>
          <w:spacing w:val="-1"/>
          <w:sz w:val="16"/>
        </w:rPr>
        <w:t>water</w:t>
      </w:r>
      <w:r>
        <w:rPr>
          <w:rFonts w:ascii="Avenir Next"/>
          <w:sz w:val="16"/>
        </w:rPr>
        <w:t xml:space="preserve"> </w:t>
      </w:r>
      <w:r>
        <w:rPr>
          <w:rFonts w:ascii="Avenir Next"/>
          <w:spacing w:val="-1"/>
          <w:sz w:val="16"/>
        </w:rPr>
        <w:t>charges</w:t>
      </w:r>
      <w:r>
        <w:rPr>
          <w:rFonts w:ascii="Avenir Next"/>
          <w:sz w:val="16"/>
        </w:rPr>
        <w:t xml:space="preserve"> payable in the </w:t>
      </w:r>
      <w:r>
        <w:rPr>
          <w:rFonts w:ascii="Avenir Next"/>
          <w:spacing w:val="-1"/>
          <w:sz w:val="16"/>
        </w:rPr>
        <w:t>remaining</w:t>
      </w:r>
      <w:r>
        <w:rPr>
          <w:rFonts w:ascii="Avenir Next"/>
          <w:sz w:val="16"/>
        </w:rPr>
        <w:t xml:space="preserve"> </w:t>
      </w:r>
      <w:r>
        <w:rPr>
          <w:rFonts w:ascii="Avenir Next"/>
          <w:spacing w:val="-1"/>
          <w:sz w:val="16"/>
        </w:rPr>
        <w:t>three</w:t>
      </w:r>
      <w:r>
        <w:rPr>
          <w:rFonts w:ascii="Avenir Next"/>
          <w:sz w:val="16"/>
        </w:rPr>
        <w:t xml:space="preserve"> </w:t>
      </w:r>
      <w:r>
        <w:rPr>
          <w:rFonts w:ascii="Avenir Next"/>
          <w:spacing w:val="-1"/>
          <w:sz w:val="16"/>
        </w:rPr>
        <w:t>years</w:t>
      </w:r>
      <w:r>
        <w:rPr>
          <w:rFonts w:ascii="Avenir Next"/>
          <w:sz w:val="16"/>
        </w:rPr>
        <w:t xml:space="preserve"> could </w:t>
      </w:r>
      <w:r>
        <w:rPr>
          <w:rFonts w:ascii="Avenir Next"/>
          <w:spacing w:val="-1"/>
          <w:sz w:val="16"/>
        </w:rPr>
        <w:t>differ</w:t>
      </w:r>
      <w:r>
        <w:rPr>
          <w:rFonts w:ascii="Avenir Next"/>
          <w:sz w:val="16"/>
        </w:rPr>
        <w:t xml:space="preserve"> </w:t>
      </w:r>
      <w:r>
        <w:rPr>
          <w:rFonts w:ascii="Avenir Next"/>
          <w:spacing w:val="-1"/>
          <w:sz w:val="16"/>
        </w:rPr>
        <w:t>from</w:t>
      </w:r>
      <w:r>
        <w:rPr>
          <w:rFonts w:ascii="Avenir Next"/>
          <w:sz w:val="16"/>
        </w:rPr>
        <w:t xml:space="preserve"> the </w:t>
      </w:r>
      <w:r>
        <w:rPr>
          <w:rFonts w:ascii="Avenir Next"/>
          <w:spacing w:val="-1"/>
          <w:sz w:val="16"/>
        </w:rPr>
        <w:t>indicative</w:t>
      </w:r>
      <w:r>
        <w:rPr>
          <w:rFonts w:ascii="Avenir Next"/>
          <w:sz w:val="16"/>
        </w:rPr>
        <w:t xml:space="preserve"> </w:t>
      </w:r>
      <w:r>
        <w:rPr>
          <w:rFonts w:ascii="Avenir Next"/>
          <w:spacing w:val="-1"/>
          <w:sz w:val="16"/>
        </w:rPr>
        <w:t>charges</w:t>
      </w:r>
      <w:r>
        <w:rPr>
          <w:rFonts w:ascii="Avenir Next"/>
          <w:sz w:val="16"/>
        </w:rPr>
        <w:t xml:space="preserve"> in this table if</w:t>
      </w:r>
      <w:r>
        <w:rPr>
          <w:rFonts w:ascii="Avenir Next"/>
          <w:spacing w:val="3"/>
          <w:sz w:val="16"/>
        </w:rPr>
        <w:t xml:space="preserve"> </w:t>
      </w:r>
      <w:r>
        <w:rPr>
          <w:rFonts w:ascii="Avenir Next"/>
          <w:sz w:val="16"/>
        </w:rPr>
        <w:t>actual</w:t>
      </w:r>
      <w:r>
        <w:rPr>
          <w:rFonts w:ascii="Avenir Next"/>
          <w:spacing w:val="71"/>
          <w:sz w:val="16"/>
        </w:rPr>
        <w:t xml:space="preserve"> </w:t>
      </w:r>
      <w:r>
        <w:rPr>
          <w:rFonts w:ascii="Avenir Next"/>
          <w:spacing w:val="-1"/>
          <w:sz w:val="16"/>
        </w:rPr>
        <w:t>inflation differs</w:t>
      </w:r>
      <w:r>
        <w:rPr>
          <w:rFonts w:ascii="Avenir Next"/>
          <w:sz w:val="16"/>
        </w:rPr>
        <w:t xml:space="preserve"> </w:t>
      </w:r>
      <w:r>
        <w:rPr>
          <w:rFonts w:ascii="Avenir Next"/>
          <w:spacing w:val="-1"/>
          <w:sz w:val="16"/>
        </w:rPr>
        <w:t>from forecast inflation</w:t>
      </w:r>
      <w:r>
        <w:rPr>
          <w:rFonts w:ascii="Avenir Next"/>
          <w:sz w:val="16"/>
        </w:rPr>
        <w:t xml:space="preserve"> and/or</w:t>
      </w:r>
      <w:r>
        <w:rPr>
          <w:rFonts w:ascii="Avenir Next"/>
          <w:spacing w:val="-1"/>
          <w:sz w:val="16"/>
        </w:rPr>
        <w:t xml:space="preserve"> </w:t>
      </w:r>
      <w:r>
        <w:rPr>
          <w:rFonts w:ascii="Avenir Next"/>
          <w:sz w:val="16"/>
        </w:rPr>
        <w:t>if</w:t>
      </w:r>
      <w:r>
        <w:rPr>
          <w:rFonts w:ascii="Avenir Next"/>
          <w:spacing w:val="3"/>
          <w:sz w:val="16"/>
        </w:rPr>
        <w:t xml:space="preserve"> </w:t>
      </w:r>
      <w:r>
        <w:rPr>
          <w:rFonts w:ascii="Avenir Next"/>
          <w:sz w:val="16"/>
        </w:rPr>
        <w:t>the</w:t>
      </w:r>
      <w:r>
        <w:rPr>
          <w:rFonts w:ascii="Avenir Next"/>
          <w:spacing w:val="-1"/>
          <w:sz w:val="16"/>
        </w:rPr>
        <w:t xml:space="preserve"> </w:t>
      </w:r>
      <w:r>
        <w:rPr>
          <w:rFonts w:ascii="Avenir Next"/>
          <w:sz w:val="16"/>
        </w:rPr>
        <w:t xml:space="preserve">cost </w:t>
      </w:r>
      <w:r>
        <w:rPr>
          <w:rFonts w:ascii="Avenir Next"/>
          <w:spacing w:val="-1"/>
          <w:sz w:val="16"/>
        </w:rPr>
        <w:t xml:space="preserve">pass-through </w:t>
      </w:r>
      <w:r>
        <w:rPr>
          <w:rFonts w:ascii="Avenir Next"/>
          <w:sz w:val="16"/>
        </w:rPr>
        <w:t>mechanism is</w:t>
      </w:r>
      <w:r>
        <w:rPr>
          <w:rFonts w:ascii="Avenir Next"/>
          <w:spacing w:val="-1"/>
          <w:sz w:val="16"/>
        </w:rPr>
        <w:t xml:space="preserve"> triggered.</w:t>
      </w:r>
    </w:p>
    <w:p w:rsidR="00D96B91" w:rsidRDefault="00D96B91">
      <w:pPr>
        <w:rPr>
          <w:rFonts w:ascii="Avenir Next" w:eastAsia="Avenir Next" w:hAnsi="Avenir Next" w:cs="Avenir Next"/>
          <w:sz w:val="16"/>
          <w:szCs w:val="16"/>
        </w:rPr>
      </w:pPr>
    </w:p>
    <w:p w:rsidR="00D96B91" w:rsidRDefault="00C2656B">
      <w:pPr>
        <w:pStyle w:val="BodyText"/>
        <w:spacing w:before="123"/>
        <w:rPr>
          <w:rFonts w:cs="Avenir Next"/>
        </w:rPr>
      </w:pPr>
      <w:r>
        <w:rPr>
          <w:rFonts w:cs="Avenir Next"/>
        </w:rPr>
        <w:t>As this table shows,</w:t>
      </w:r>
      <w:r>
        <w:rPr>
          <w:rFonts w:cs="Avenir Next"/>
          <w:spacing w:val="-7"/>
        </w:rPr>
        <w:t xml:space="preserve"> </w:t>
      </w:r>
      <w:r>
        <w:rPr>
          <w:rFonts w:cs="Avenir Next"/>
        </w:rPr>
        <w:t xml:space="preserve">the </w:t>
      </w:r>
      <w:r>
        <w:rPr>
          <w:rFonts w:cs="Avenir Next"/>
          <w:spacing w:val="-1"/>
        </w:rPr>
        <w:t>effect</w:t>
      </w:r>
      <w:r>
        <w:rPr>
          <w:rFonts w:cs="Avenir Next"/>
        </w:rPr>
        <w:t xml:space="preserve">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is to:</w:t>
      </w:r>
    </w:p>
    <w:p w:rsidR="00D96B91" w:rsidRDefault="00C2656B">
      <w:pPr>
        <w:pStyle w:val="BodyText"/>
        <w:numPr>
          <w:ilvl w:val="0"/>
          <w:numId w:val="131"/>
        </w:numPr>
        <w:tabs>
          <w:tab w:val="left" w:pos="1531"/>
        </w:tabs>
        <w:spacing w:before="149" w:line="260" w:lineRule="exact"/>
        <w:ind w:right="1540" w:hanging="283"/>
        <w:rPr>
          <w:rFonts w:cs="Avenir Next"/>
          <w:sz w:val="11"/>
          <w:szCs w:val="11"/>
        </w:rPr>
      </w:pPr>
      <w:r>
        <w:rPr>
          <w:b/>
          <w:spacing w:val="-1"/>
        </w:rPr>
        <w:t>Reduce</w:t>
      </w:r>
      <w:r>
        <w:rPr>
          <w:b/>
        </w:rPr>
        <w:t xml:space="preserve"> </w:t>
      </w:r>
      <w:r>
        <w:t xml:space="preserve">the </w:t>
      </w:r>
      <w:r>
        <w:rPr>
          <w:spacing w:val="-1"/>
        </w:rPr>
        <w:t>water</w:t>
      </w:r>
      <w:r>
        <w:t xml:space="preserve"> supply </w:t>
      </w:r>
      <w:r>
        <w:rPr>
          <w:spacing w:val="-1"/>
        </w:rPr>
        <w:t>charges</w:t>
      </w:r>
      <w:r>
        <w:t xml:space="preserve"> by </w:t>
      </w:r>
      <w:r>
        <w:rPr>
          <w:spacing w:val="-1"/>
        </w:rPr>
        <w:t>approximately</w:t>
      </w:r>
      <w:r>
        <w:t xml:space="preserve"> 5.2% in 2015-16 </w:t>
      </w:r>
      <w:r>
        <w:rPr>
          <w:spacing w:val="-1"/>
        </w:rPr>
        <w:t>from</w:t>
      </w:r>
      <w:r>
        <w:t xml:space="preserve"> </w:t>
      </w:r>
      <w:r>
        <w:rPr>
          <w:spacing w:val="-1"/>
        </w:rPr>
        <w:t>current</w:t>
      </w:r>
      <w:r>
        <w:t xml:space="preserve"> levels,</w:t>
      </w:r>
      <w:r>
        <w:rPr>
          <w:spacing w:val="-6"/>
        </w:rPr>
        <w:t xml:space="preserve"> </w:t>
      </w:r>
      <w:r>
        <w:t>and hold</w:t>
      </w:r>
      <w:r>
        <w:rPr>
          <w:spacing w:val="35"/>
        </w:rPr>
        <w:t xml:space="preserve"> </w:t>
      </w:r>
      <w:r>
        <w:t>them constant in</w:t>
      </w:r>
      <w:r>
        <w:rPr>
          <w:spacing w:val="1"/>
        </w:rPr>
        <w:t xml:space="preserve"> </w:t>
      </w:r>
      <w:r>
        <w:t>nominal terms</w:t>
      </w:r>
      <w:r>
        <w:rPr>
          <w:spacing w:val="1"/>
        </w:rPr>
        <w:t xml:space="preserve"> </w:t>
      </w:r>
      <w:r>
        <w:t>in 2016-17 and</w:t>
      </w:r>
      <w:r>
        <w:rPr>
          <w:spacing w:val="1"/>
        </w:rPr>
        <w:t xml:space="preserve"> </w:t>
      </w:r>
      <w:r>
        <w:t>2017-18.</w:t>
      </w:r>
      <w:r>
        <w:rPr>
          <w:position w:val="7"/>
          <w:sz w:val="11"/>
        </w:rPr>
        <w:t>1</w:t>
      </w:r>
    </w:p>
    <w:p w:rsidR="00D96B91" w:rsidRDefault="00C2656B">
      <w:pPr>
        <w:pStyle w:val="BodyText"/>
        <w:numPr>
          <w:ilvl w:val="0"/>
          <w:numId w:val="131"/>
        </w:numPr>
        <w:tabs>
          <w:tab w:val="left" w:pos="1531"/>
        </w:tabs>
        <w:spacing w:before="85" w:line="260" w:lineRule="exact"/>
        <w:ind w:right="1492" w:hanging="283"/>
        <w:rPr>
          <w:sz w:val="11"/>
          <w:szCs w:val="11"/>
        </w:rPr>
      </w:pPr>
      <w:r>
        <w:rPr>
          <w:b/>
          <w:spacing w:val="-1"/>
        </w:rPr>
        <w:t>Increase</w:t>
      </w:r>
      <w:r>
        <w:rPr>
          <w:b/>
        </w:rPr>
        <w:t xml:space="preserve"> </w:t>
      </w:r>
      <w:r>
        <w:rPr>
          <w:spacing w:val="-1"/>
        </w:rPr>
        <w:t>sewerage</w:t>
      </w:r>
      <w:r>
        <w:t xml:space="preserve"> </w:t>
      </w:r>
      <w:r>
        <w:rPr>
          <w:spacing w:val="-1"/>
        </w:rPr>
        <w:t>charges</w:t>
      </w:r>
      <w:r>
        <w:t xml:space="preserve"> by </w:t>
      </w:r>
      <w:r>
        <w:rPr>
          <w:spacing w:val="-1"/>
        </w:rPr>
        <w:t>approximately</w:t>
      </w:r>
      <w:r>
        <w:t xml:space="preserve"> 4.9% in 2015-16 </w:t>
      </w:r>
      <w:r>
        <w:rPr>
          <w:spacing w:val="-1"/>
        </w:rPr>
        <w:t>from</w:t>
      </w:r>
      <w:r>
        <w:t xml:space="preserve"> </w:t>
      </w:r>
      <w:r>
        <w:rPr>
          <w:spacing w:val="-1"/>
        </w:rPr>
        <w:t>current</w:t>
      </w:r>
      <w:r>
        <w:t xml:space="preserve"> levels,</w:t>
      </w:r>
      <w:r>
        <w:rPr>
          <w:spacing w:val="-6"/>
        </w:rPr>
        <w:t xml:space="preserve"> </w:t>
      </w:r>
      <w:r>
        <w:t>and then adjust</w:t>
      </w:r>
      <w:r>
        <w:rPr>
          <w:spacing w:val="37"/>
        </w:rPr>
        <w:t xml:space="preserve"> </w:t>
      </w:r>
      <w:r>
        <w:t xml:space="preserve">these </w:t>
      </w:r>
      <w:r>
        <w:rPr>
          <w:spacing w:val="-1"/>
        </w:rPr>
        <w:t>charges</w:t>
      </w:r>
      <w:r>
        <w:t xml:space="preserve"> for</w:t>
      </w:r>
      <w:r>
        <w:rPr>
          <w:spacing w:val="1"/>
        </w:rPr>
        <w:t xml:space="preserve"> </w:t>
      </w:r>
      <w:r>
        <w:t>changes in CPI</w:t>
      </w:r>
      <w:r>
        <w:rPr>
          <w:spacing w:val="1"/>
        </w:rPr>
        <w:t xml:space="preserve"> </w:t>
      </w:r>
      <w:r>
        <w:t>over the</w:t>
      </w:r>
      <w:r>
        <w:rPr>
          <w:spacing w:val="1"/>
        </w:rPr>
        <w:t xml:space="preserve"> </w:t>
      </w:r>
      <w:r>
        <w:t xml:space="preserve">following two </w:t>
      </w:r>
      <w:r>
        <w:rPr>
          <w:spacing w:val="-1"/>
        </w:rPr>
        <w:t>years.</w:t>
      </w:r>
      <w:r>
        <w:rPr>
          <w:spacing w:val="-1"/>
          <w:position w:val="7"/>
          <w:sz w:val="11"/>
        </w:rPr>
        <w:t>2</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spacing w:val="-4"/>
        </w:rPr>
        <w:t>Table</w:t>
      </w:r>
      <w:r>
        <w:t xml:space="preserve"> 1.4 </w:t>
      </w:r>
      <w:r>
        <w:rPr>
          <w:spacing w:val="-1"/>
        </w:rPr>
        <w:t>translates</w:t>
      </w:r>
      <w:r>
        <w:t xml:space="preserve"> </w:t>
      </w:r>
      <w:r>
        <w:rPr>
          <w:spacing w:val="-1"/>
        </w:rPr>
        <w:t>what</w:t>
      </w:r>
      <w:r>
        <w:t xml:space="preserve"> these </w:t>
      </w:r>
      <w:r>
        <w:rPr>
          <w:spacing w:val="-1"/>
        </w:rPr>
        <w:t>indicative</w:t>
      </w:r>
      <w:r>
        <w:t xml:space="preserve"> prices will </w:t>
      </w:r>
      <w:r>
        <w:rPr>
          <w:spacing w:val="-1"/>
        </w:rPr>
        <w:t>mean</w:t>
      </w:r>
      <w:r>
        <w:t xml:space="preserve"> for the annual </w:t>
      </w:r>
      <w:r>
        <w:rPr>
          <w:spacing w:val="-1"/>
        </w:rPr>
        <w:t>water</w:t>
      </w:r>
      <w:r>
        <w:t xml:space="preserve"> and </w:t>
      </w:r>
      <w:r>
        <w:rPr>
          <w:spacing w:val="-1"/>
        </w:rPr>
        <w:t>sewerage</w:t>
      </w:r>
      <w:r>
        <w:t xml:space="preserve"> bills of</w:t>
      </w:r>
      <w:r>
        <w:rPr>
          <w:spacing w:val="51"/>
        </w:rPr>
        <w:t xml:space="preserve"> </w:t>
      </w:r>
      <w:r>
        <w:rPr>
          <w:spacing w:val="-1"/>
        </w:rPr>
        <w:t xml:space="preserve">residential </w:t>
      </w:r>
      <w:r>
        <w:t>customers (for</w:t>
      </w:r>
      <w:r>
        <w:rPr>
          <w:spacing w:val="-1"/>
        </w:rPr>
        <w:t xml:space="preserve"> </w:t>
      </w:r>
      <w:r>
        <w:t>varying levels</w:t>
      </w:r>
      <w:r>
        <w:rPr>
          <w:spacing w:val="-1"/>
        </w:rPr>
        <w:t xml:space="preserve"> </w:t>
      </w:r>
      <w:r>
        <w:t>of</w:t>
      </w:r>
      <w:r>
        <w:rPr>
          <w:spacing w:val="4"/>
        </w:rPr>
        <w:t xml:space="preserve"> </w:t>
      </w:r>
      <w:r>
        <w:rPr>
          <w:spacing w:val="-1"/>
        </w:rPr>
        <w:t xml:space="preserve">water </w:t>
      </w:r>
      <w:r>
        <w:t>consumption) over</w:t>
      </w:r>
      <w:r>
        <w:rPr>
          <w:spacing w:val="-1"/>
        </w:rPr>
        <w:t xml:space="preserve"> </w:t>
      </w:r>
      <w:r>
        <w:t xml:space="preserve">the </w:t>
      </w:r>
      <w:r>
        <w:rPr>
          <w:spacing w:val="-1"/>
        </w:rPr>
        <w:t>five-year regulatory</w:t>
      </w:r>
      <w:r>
        <w:t xml:space="preserve"> period.</w:t>
      </w:r>
      <w:r>
        <w:rPr>
          <w:spacing w:val="-11"/>
        </w:rPr>
        <w:t xml:space="preserve"> </w:t>
      </w:r>
      <w:r>
        <w:rPr>
          <w:spacing w:val="-2"/>
        </w:rPr>
        <w:t>The</w:t>
      </w:r>
      <w:r>
        <w:rPr>
          <w:spacing w:val="47"/>
        </w:rPr>
        <w:t xml:space="preserve"> </w:t>
      </w:r>
      <w:r>
        <w:rPr>
          <w:spacing w:val="-1"/>
        </w:rPr>
        <w:t>grey</w:t>
      </w:r>
      <w:r>
        <w:t xml:space="preserve"> shaded </w:t>
      </w:r>
      <w:r>
        <w:rPr>
          <w:spacing w:val="-2"/>
        </w:rPr>
        <w:t>row</w:t>
      </w:r>
      <w:r>
        <w:t xml:space="preserve"> in this table highlights the </w:t>
      </w:r>
      <w:r>
        <w:rPr>
          <w:spacing w:val="-1"/>
        </w:rPr>
        <w:t>effects</w:t>
      </w:r>
      <w:r>
        <w:t xml:space="preserve"> the changes </w:t>
      </w:r>
      <w:r>
        <w:rPr>
          <w:spacing w:val="-2"/>
        </w:rPr>
        <w:t>are</w:t>
      </w:r>
      <w:r>
        <w:t xml:space="preserve"> </w:t>
      </w:r>
      <w:r>
        <w:rPr>
          <w:spacing w:val="-1"/>
        </w:rPr>
        <w:t>likely</w:t>
      </w:r>
      <w:r>
        <w:t xml:space="preserve"> to have on a typical </w:t>
      </w:r>
      <w:r>
        <w:rPr>
          <w:spacing w:val="-1"/>
        </w:rPr>
        <w:t>residential</w:t>
      </w:r>
      <w:r>
        <w:rPr>
          <w:spacing w:val="33"/>
        </w:rPr>
        <w:t xml:space="preserve"> </w:t>
      </w:r>
      <w:r>
        <w:t xml:space="preserve">customer </w:t>
      </w:r>
      <w:r>
        <w:rPr>
          <w:spacing w:val="-1"/>
        </w:rPr>
        <w:t>that</w:t>
      </w:r>
      <w:r>
        <w:t xml:space="preserve"> consumes 200 kL</w:t>
      </w:r>
      <w:r>
        <w:rPr>
          <w:spacing w:val="-5"/>
        </w:rPr>
        <w:t xml:space="preserve"> </w:t>
      </w:r>
      <w:r>
        <w:t>pa.</w:t>
      </w:r>
    </w:p>
    <w:p w:rsidR="00D96B91" w:rsidRDefault="00C2656B">
      <w:pPr>
        <w:pStyle w:val="BodyText"/>
        <w:spacing w:before="170" w:line="260" w:lineRule="exact"/>
        <w:ind w:right="1256"/>
      </w:pPr>
      <w:r>
        <w:rPr>
          <w:spacing w:val="-2"/>
        </w:rPr>
        <w:t>The</w:t>
      </w:r>
      <w:r>
        <w:t xml:space="preserve"> </w:t>
      </w:r>
      <w:r>
        <w:rPr>
          <w:spacing w:val="-2"/>
        </w:rPr>
        <w:t>draft</w:t>
      </w:r>
      <w:r>
        <w:t xml:space="preserve"> decision changes the mix of</w:t>
      </w:r>
      <w:r>
        <w:rPr>
          <w:spacing w:val="4"/>
        </w:rPr>
        <w:t xml:space="preserve"> </w:t>
      </w:r>
      <w:r>
        <w:rPr>
          <w:spacing w:val="-1"/>
        </w:rPr>
        <w:t>water</w:t>
      </w:r>
      <w:r>
        <w:t xml:space="preserve"> and </w:t>
      </w:r>
      <w:r>
        <w:rPr>
          <w:spacing w:val="-1"/>
        </w:rPr>
        <w:t>sewerage</w:t>
      </w:r>
      <w:r>
        <w:t xml:space="preserve"> bill amounts.</w:t>
      </w:r>
      <w:r>
        <w:rPr>
          <w:spacing w:val="-6"/>
        </w:rPr>
        <w:t xml:space="preserve"> </w:t>
      </w:r>
      <w:r>
        <w:t>But in most cases (assuming</w:t>
      </w:r>
      <w:r>
        <w:rPr>
          <w:spacing w:val="29"/>
        </w:rPr>
        <w:t xml:space="preserve"> </w:t>
      </w:r>
      <w:r>
        <w:rPr>
          <w:spacing w:val="-1"/>
        </w:rPr>
        <w:t>inflation remains</w:t>
      </w:r>
      <w:r>
        <w:t xml:space="preserve"> </w:t>
      </w:r>
      <w:r>
        <w:rPr>
          <w:spacing w:val="-1"/>
        </w:rPr>
        <w:t>around</w:t>
      </w:r>
      <w:r>
        <w:t xml:space="preserve"> 2.5%</w:t>
      </w:r>
      <w:r>
        <w:rPr>
          <w:spacing w:val="-1"/>
        </w:rPr>
        <w:t xml:space="preserve"> </w:t>
      </w:r>
      <w:r>
        <w:t xml:space="preserve">and no cost </w:t>
      </w:r>
      <w:r>
        <w:rPr>
          <w:spacing w:val="-1"/>
        </w:rPr>
        <w:t xml:space="preserve">pass-through </w:t>
      </w:r>
      <w:r>
        <w:t>events occur),</w:t>
      </w:r>
      <w:r>
        <w:rPr>
          <w:spacing w:val="-6"/>
        </w:rPr>
        <w:t xml:space="preserve"> </w:t>
      </w:r>
      <w:r>
        <w:rPr>
          <w:spacing w:val="-1"/>
        </w:rPr>
        <w:t>there</w:t>
      </w:r>
      <w:r>
        <w:t xml:space="preserve"> is</w:t>
      </w:r>
      <w:r>
        <w:rPr>
          <w:spacing w:val="-1"/>
        </w:rPr>
        <w:t xml:space="preserve"> </w:t>
      </w:r>
      <w:r>
        <w:t xml:space="preserve">only a minimal </w:t>
      </w:r>
      <w:r>
        <w:rPr>
          <w:spacing w:val="-1"/>
        </w:rPr>
        <w:t>increase</w:t>
      </w:r>
      <w:r>
        <w:rPr>
          <w:spacing w:val="47"/>
        </w:rPr>
        <w:t xml:space="preserve"> </w:t>
      </w:r>
      <w:r>
        <w:t xml:space="preserve">in the combined bill amount over the </w:t>
      </w:r>
      <w:r>
        <w:rPr>
          <w:spacing w:val="-1"/>
        </w:rPr>
        <w:t>rest</w:t>
      </w:r>
      <w:r>
        <w:t xml:space="preserve"> of</w:t>
      </w:r>
      <w:r>
        <w:rPr>
          <w:spacing w:val="4"/>
        </w:rPr>
        <w:t xml:space="preserve"> </w:t>
      </w:r>
      <w:r>
        <w:t>the period.</w:t>
      </w:r>
      <w:r>
        <w:rPr>
          <w:spacing w:val="-6"/>
        </w:rPr>
        <w:t xml:space="preserve"> </w:t>
      </w:r>
      <w:r>
        <w:t>In addition,</w:t>
      </w:r>
      <w:r>
        <w:rPr>
          <w:spacing w:val="-6"/>
        </w:rPr>
        <w:t xml:space="preserve"> </w:t>
      </w:r>
      <w:r>
        <w:t xml:space="preserve">this </w:t>
      </w:r>
      <w:r>
        <w:rPr>
          <w:spacing w:val="-1"/>
        </w:rPr>
        <w:t>increase</w:t>
      </w:r>
      <w:r>
        <w:t xml:space="preserve"> is less than the</w:t>
      </w:r>
      <w:r>
        <w:rPr>
          <w:spacing w:val="23"/>
        </w:rPr>
        <w:t xml:space="preserve"> </w:t>
      </w:r>
      <w:r>
        <w:rPr>
          <w:spacing w:val="-1"/>
        </w:rPr>
        <w:t xml:space="preserve">expected </w:t>
      </w:r>
      <w:r>
        <w:rPr>
          <w:spacing w:val="-2"/>
        </w:rPr>
        <w:t>rate</w:t>
      </w:r>
      <w:r>
        <w:rPr>
          <w:spacing w:val="-1"/>
        </w:rPr>
        <w:t xml:space="preserve"> </w:t>
      </w:r>
      <w:r>
        <w:t>of</w:t>
      </w:r>
      <w:r>
        <w:rPr>
          <w:spacing w:val="4"/>
        </w:rPr>
        <w:t xml:space="preserve"> </w:t>
      </w:r>
      <w:r>
        <w:rPr>
          <w:spacing w:val="-1"/>
        </w:rPr>
        <w:t xml:space="preserve">inflation </w:t>
      </w:r>
      <w:r>
        <w:t>over</w:t>
      </w:r>
      <w:r>
        <w:rPr>
          <w:spacing w:val="-1"/>
        </w:rPr>
        <w:t xml:space="preserve"> </w:t>
      </w:r>
      <w:r>
        <w:t>this period.</w:t>
      </w:r>
    </w:p>
    <w:p w:rsidR="00D96B91" w:rsidRDefault="00C2656B">
      <w:pPr>
        <w:pStyle w:val="BodyText"/>
        <w:spacing w:before="170" w:line="260" w:lineRule="exact"/>
        <w:ind w:right="1283"/>
      </w:pPr>
      <w:r>
        <w:rPr>
          <w:spacing w:val="-2"/>
        </w:rPr>
        <w:t>The</w:t>
      </w:r>
      <w:r>
        <w:rPr>
          <w:spacing w:val="-1"/>
        </w:rPr>
        <w:t xml:space="preserve"> </w:t>
      </w:r>
      <w:r>
        <w:rPr>
          <w:spacing w:val="-3"/>
        </w:rPr>
        <w:t>Panel</w:t>
      </w:r>
      <w:r>
        <w:t xml:space="preserve"> is </w:t>
      </w:r>
      <w:r>
        <w:rPr>
          <w:spacing w:val="-1"/>
        </w:rPr>
        <w:t>satisfied that</w:t>
      </w:r>
      <w:r>
        <w:t xml:space="preserve"> the prices</w:t>
      </w:r>
      <w:r>
        <w:rPr>
          <w:spacing w:val="-1"/>
        </w:rPr>
        <w:t xml:space="preserve"> </w:t>
      </w:r>
      <w:r>
        <w:t xml:space="preserve">under the </w:t>
      </w:r>
      <w:r>
        <w:rPr>
          <w:spacing w:val="-2"/>
        </w:rPr>
        <w:t>draft</w:t>
      </w:r>
      <w:r>
        <w:rPr>
          <w:spacing w:val="-1"/>
        </w:rPr>
        <w:t xml:space="preserve"> direction</w:t>
      </w:r>
      <w:r>
        <w:t xml:space="preserve"> </w:t>
      </w:r>
      <w:r>
        <w:rPr>
          <w:spacing w:val="-2"/>
        </w:rPr>
        <w:t>are</w:t>
      </w:r>
      <w:r>
        <w:t xml:space="preserve"> </w:t>
      </w:r>
      <w:r>
        <w:rPr>
          <w:spacing w:val="-1"/>
        </w:rPr>
        <w:t>unlikely</w:t>
      </w:r>
      <w:r>
        <w:t xml:space="preserve"> to</w:t>
      </w:r>
      <w:r>
        <w:rPr>
          <w:spacing w:val="-1"/>
        </w:rPr>
        <w:t xml:space="preserve"> </w:t>
      </w:r>
      <w:r>
        <w:t xml:space="preserve">have a </w:t>
      </w:r>
      <w:r>
        <w:rPr>
          <w:spacing w:val="-1"/>
        </w:rPr>
        <w:t xml:space="preserve">material </w:t>
      </w:r>
      <w:r>
        <w:t>impact on</w:t>
      </w:r>
      <w:r>
        <w:rPr>
          <w:spacing w:val="71"/>
        </w:rPr>
        <w:t xml:space="preserve"> </w:t>
      </w:r>
      <w:r>
        <w:t>the bills of</w:t>
      </w:r>
      <w:r>
        <w:rPr>
          <w:spacing w:val="4"/>
        </w:rPr>
        <w:t xml:space="preserve"> </w:t>
      </w:r>
      <w:r>
        <w:rPr>
          <w:spacing w:val="-1"/>
        </w:rPr>
        <w:t>vulnerable</w:t>
      </w:r>
      <w:r>
        <w:t xml:space="preserve"> customers.</w:t>
      </w:r>
    </w:p>
    <w:p w:rsidR="00D96B91" w:rsidRDefault="00D96B91">
      <w:pPr>
        <w:rPr>
          <w:rFonts w:ascii="Avenir Next" w:eastAsia="Avenir Next" w:hAnsi="Avenir Next" w:cs="Avenir Next"/>
          <w:sz w:val="20"/>
          <w:szCs w:val="20"/>
        </w:rPr>
      </w:pPr>
    </w:p>
    <w:p w:rsidR="00D96B91" w:rsidRDefault="00D96B91">
      <w:pPr>
        <w:spacing w:before="6"/>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609" style="width:72.5pt;height:.5pt;mso-position-horizontal-relative:char;mso-position-vertical-relative:line" coordsize="1450,10">
            <v:group id="_x0000_s3610" style="position:absolute;left:5;top:5;width:1440;height:2" coordorigin="5,5" coordsize="1440,2">
              <v:shape id="_x0000_s3611" style="position:absolute;left:5;top:5;width:1440;height:2" coordorigin="5,5" coordsize="1440,0" path="m5,5r1440,e" filled="f" strokeweight=".5pt">
                <v:path arrowok="t"/>
              </v:shape>
            </v:group>
            <w10:wrap type="none"/>
            <w10:anchorlock/>
          </v:group>
        </w:pict>
      </w:r>
    </w:p>
    <w:p w:rsidR="00D96B91" w:rsidRDefault="00C2656B">
      <w:pPr>
        <w:numPr>
          <w:ilvl w:val="0"/>
          <w:numId w:val="130"/>
        </w:numPr>
        <w:tabs>
          <w:tab w:val="left" w:pos="1758"/>
        </w:tabs>
        <w:spacing w:before="38" w:line="205" w:lineRule="exact"/>
        <w:ind w:hanging="510"/>
        <w:rPr>
          <w:rFonts w:ascii="Avenir Next" w:eastAsia="Avenir Next" w:hAnsi="Avenir Next" w:cs="Avenir Next"/>
          <w:sz w:val="16"/>
          <w:szCs w:val="16"/>
        </w:rPr>
      </w:pPr>
      <w:r>
        <w:rPr>
          <w:rFonts w:ascii="Avenir Next"/>
          <w:spacing w:val="-1"/>
          <w:sz w:val="16"/>
        </w:rPr>
        <w:t xml:space="preserve">This </w:t>
      </w:r>
      <w:r>
        <w:rPr>
          <w:rFonts w:ascii="Avenir Next"/>
          <w:sz w:val="16"/>
        </w:rPr>
        <w:t>is subject</w:t>
      </w:r>
      <w:r>
        <w:rPr>
          <w:rFonts w:ascii="Avenir Next"/>
          <w:spacing w:val="-1"/>
          <w:sz w:val="16"/>
        </w:rPr>
        <w:t xml:space="preserve"> </w:t>
      </w:r>
      <w:r>
        <w:rPr>
          <w:rFonts w:ascii="Avenir Next"/>
          <w:sz w:val="16"/>
        </w:rPr>
        <w:t>to the cost</w:t>
      </w:r>
      <w:r>
        <w:rPr>
          <w:rFonts w:ascii="Avenir Next"/>
          <w:spacing w:val="-1"/>
          <w:sz w:val="16"/>
        </w:rPr>
        <w:t xml:space="preserve"> pass-through</w:t>
      </w:r>
      <w:r>
        <w:rPr>
          <w:rFonts w:ascii="Avenir Next"/>
          <w:sz w:val="16"/>
        </w:rPr>
        <w:t xml:space="preserve"> mechanism and</w:t>
      </w:r>
      <w:r>
        <w:rPr>
          <w:rFonts w:ascii="Avenir Next"/>
          <w:spacing w:val="-1"/>
          <w:sz w:val="16"/>
        </w:rPr>
        <w:t xml:space="preserve"> </w:t>
      </w:r>
      <w:r>
        <w:rPr>
          <w:rFonts w:ascii="Avenir Next"/>
          <w:sz w:val="16"/>
        </w:rPr>
        <w:t xml:space="preserve">actual </w:t>
      </w:r>
      <w:r>
        <w:rPr>
          <w:rFonts w:ascii="Avenir Next"/>
          <w:spacing w:val="-1"/>
          <w:sz w:val="16"/>
        </w:rPr>
        <w:t>inflation.</w:t>
      </w:r>
      <w:r>
        <w:rPr>
          <w:rFonts w:ascii="Avenir Next"/>
          <w:spacing w:val="-5"/>
          <w:sz w:val="16"/>
        </w:rPr>
        <w:t xml:space="preserve"> </w:t>
      </w:r>
      <w:r>
        <w:rPr>
          <w:rFonts w:ascii="Avenir Next"/>
          <w:sz w:val="16"/>
        </w:rPr>
        <w:t>If</w:t>
      </w:r>
      <w:r>
        <w:rPr>
          <w:rFonts w:ascii="Avenir Next"/>
          <w:spacing w:val="2"/>
          <w:sz w:val="16"/>
        </w:rPr>
        <w:t xml:space="preserve"> </w:t>
      </w:r>
      <w:r>
        <w:rPr>
          <w:rFonts w:ascii="Avenir Next"/>
          <w:spacing w:val="-1"/>
          <w:sz w:val="16"/>
        </w:rPr>
        <w:t>inflation</w:t>
      </w:r>
      <w:r>
        <w:rPr>
          <w:rFonts w:ascii="Avenir Next"/>
          <w:sz w:val="16"/>
        </w:rPr>
        <w:t xml:space="preserve"> is </w:t>
      </w:r>
      <w:r>
        <w:rPr>
          <w:rFonts w:ascii="Avenir Next"/>
          <w:spacing w:val="-1"/>
          <w:sz w:val="16"/>
        </w:rPr>
        <w:t xml:space="preserve">greater </w:t>
      </w:r>
      <w:r>
        <w:rPr>
          <w:rFonts w:ascii="Avenir Next"/>
          <w:sz w:val="16"/>
        </w:rPr>
        <w:t>than 2.5% pa</w:t>
      </w:r>
      <w:r>
        <w:rPr>
          <w:rFonts w:ascii="Avenir Next"/>
          <w:spacing w:val="-1"/>
          <w:sz w:val="16"/>
        </w:rPr>
        <w:t xml:space="preserve"> </w:t>
      </w:r>
      <w:r>
        <w:rPr>
          <w:rFonts w:ascii="Avenir Next"/>
          <w:sz w:val="16"/>
        </w:rPr>
        <w:t>between</w:t>
      </w:r>
    </w:p>
    <w:p w:rsidR="00D96B91" w:rsidRDefault="00C2656B">
      <w:pPr>
        <w:spacing w:before="6" w:line="210" w:lineRule="auto"/>
        <w:ind w:left="1757" w:right="1283"/>
        <w:rPr>
          <w:rFonts w:ascii="Avenir Next" w:eastAsia="Avenir Next" w:hAnsi="Avenir Next" w:cs="Avenir Next"/>
          <w:sz w:val="16"/>
          <w:szCs w:val="16"/>
        </w:rPr>
      </w:pPr>
      <w:r>
        <w:rPr>
          <w:rFonts w:ascii="Avenir Next"/>
          <w:sz w:val="16"/>
        </w:rPr>
        <w:t>2015-16</w:t>
      </w:r>
      <w:r>
        <w:rPr>
          <w:rFonts w:ascii="Avenir Next"/>
          <w:spacing w:val="-1"/>
          <w:sz w:val="16"/>
        </w:rPr>
        <w:t xml:space="preserve"> </w:t>
      </w:r>
      <w:r>
        <w:rPr>
          <w:rFonts w:ascii="Avenir Next"/>
          <w:sz w:val="16"/>
        </w:rPr>
        <w:t>and 2017-18,</w:t>
      </w:r>
      <w:r>
        <w:rPr>
          <w:rFonts w:ascii="Avenir Next"/>
          <w:spacing w:val="-5"/>
          <w:sz w:val="16"/>
        </w:rPr>
        <w:t xml:space="preserve"> </w:t>
      </w:r>
      <w:r>
        <w:rPr>
          <w:rFonts w:ascii="Avenir Next"/>
          <w:sz w:val="16"/>
        </w:rPr>
        <w:t>then prices will rise in</w:t>
      </w:r>
      <w:r>
        <w:rPr>
          <w:rFonts w:ascii="Avenir Next"/>
          <w:spacing w:val="-1"/>
          <w:sz w:val="16"/>
        </w:rPr>
        <w:t xml:space="preserve"> </w:t>
      </w:r>
      <w:r>
        <w:rPr>
          <w:rFonts w:ascii="Avenir Next"/>
          <w:sz w:val="16"/>
        </w:rPr>
        <w:t>nominal terms.</w:t>
      </w:r>
      <w:r>
        <w:rPr>
          <w:rFonts w:ascii="Avenir Next"/>
          <w:spacing w:val="-5"/>
          <w:sz w:val="16"/>
        </w:rPr>
        <w:t xml:space="preserve"> </w:t>
      </w:r>
      <w:r>
        <w:rPr>
          <w:rFonts w:ascii="Avenir Next"/>
          <w:sz w:val="16"/>
        </w:rPr>
        <w:t>If</w:t>
      </w:r>
      <w:r>
        <w:rPr>
          <w:rFonts w:ascii="Avenir Next"/>
          <w:spacing w:val="3"/>
          <w:sz w:val="16"/>
        </w:rPr>
        <w:t xml:space="preserve"> </w:t>
      </w:r>
      <w:r>
        <w:rPr>
          <w:rFonts w:ascii="Avenir Next"/>
          <w:spacing w:val="-1"/>
          <w:sz w:val="16"/>
        </w:rPr>
        <w:t>inflation</w:t>
      </w:r>
      <w:r>
        <w:rPr>
          <w:rFonts w:ascii="Avenir Next"/>
          <w:sz w:val="16"/>
        </w:rPr>
        <w:t xml:space="preserve"> is less than</w:t>
      </w:r>
      <w:r>
        <w:rPr>
          <w:rFonts w:ascii="Avenir Next"/>
          <w:spacing w:val="-1"/>
          <w:sz w:val="16"/>
        </w:rPr>
        <w:t xml:space="preserve"> </w:t>
      </w:r>
      <w:r>
        <w:rPr>
          <w:rFonts w:ascii="Avenir Next"/>
          <w:sz w:val="16"/>
        </w:rPr>
        <w:t xml:space="preserve">2.5% pa in these </w:t>
      </w:r>
      <w:r>
        <w:rPr>
          <w:rFonts w:ascii="Avenir Next"/>
          <w:spacing w:val="-1"/>
          <w:sz w:val="16"/>
        </w:rPr>
        <w:t>years,</w:t>
      </w:r>
      <w:r>
        <w:rPr>
          <w:rFonts w:ascii="Avenir Next"/>
          <w:spacing w:val="-5"/>
          <w:sz w:val="16"/>
        </w:rPr>
        <w:t xml:space="preserve"> </w:t>
      </w:r>
      <w:r>
        <w:rPr>
          <w:rFonts w:ascii="Avenir Next"/>
          <w:sz w:val="16"/>
        </w:rPr>
        <w:t>then prices</w:t>
      </w:r>
      <w:r>
        <w:rPr>
          <w:rFonts w:ascii="Avenir Next"/>
          <w:spacing w:val="-1"/>
          <w:sz w:val="16"/>
        </w:rPr>
        <w:t xml:space="preserve"> </w:t>
      </w:r>
      <w:r>
        <w:rPr>
          <w:rFonts w:ascii="Avenir Next"/>
          <w:sz w:val="16"/>
        </w:rPr>
        <w:t>will</w:t>
      </w:r>
      <w:r>
        <w:rPr>
          <w:rFonts w:ascii="Avenir Next"/>
          <w:spacing w:val="25"/>
          <w:sz w:val="16"/>
        </w:rPr>
        <w:t xml:space="preserve"> </w:t>
      </w:r>
      <w:r>
        <w:rPr>
          <w:rFonts w:ascii="Avenir Next"/>
          <w:sz w:val="16"/>
        </w:rPr>
        <w:t>fall in nominal terms.</w:t>
      </w:r>
    </w:p>
    <w:p w:rsidR="00D96B91" w:rsidRDefault="00C2656B">
      <w:pPr>
        <w:numPr>
          <w:ilvl w:val="0"/>
          <w:numId w:val="130"/>
        </w:numPr>
        <w:tabs>
          <w:tab w:val="left" w:pos="1758"/>
        </w:tabs>
        <w:spacing w:before="128"/>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1.4: </w:t>
      </w:r>
      <w:r>
        <w:rPr>
          <w:rFonts w:ascii="Avenir Next"/>
          <w:b/>
          <w:spacing w:val="-1"/>
          <w:sz w:val="20"/>
        </w:rPr>
        <w:t>Indicative</w:t>
      </w:r>
      <w:r>
        <w:rPr>
          <w:rFonts w:ascii="Avenir Next"/>
          <w:b/>
          <w:sz w:val="20"/>
        </w:rPr>
        <w:t xml:space="preserve"> impacts on </w:t>
      </w:r>
      <w:r>
        <w:rPr>
          <w:rFonts w:ascii="Avenir Next"/>
          <w:b/>
          <w:spacing w:val="-1"/>
          <w:sz w:val="20"/>
        </w:rPr>
        <w:t>residential</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bills ($,</w:t>
      </w:r>
      <w:r>
        <w:rPr>
          <w:rFonts w:ascii="Avenir Next"/>
          <w:b/>
          <w:spacing w:val="-7"/>
          <w:sz w:val="20"/>
        </w:rPr>
        <w:t xml:space="preserve"> </w:t>
      </w:r>
      <w:r>
        <w:rPr>
          <w:rFonts w:ascii="Avenir Next"/>
          <w:b/>
          <w:sz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140"/>
        <w:gridCol w:w="966"/>
        <w:gridCol w:w="966"/>
        <w:gridCol w:w="966"/>
        <w:gridCol w:w="966"/>
        <w:gridCol w:w="966"/>
        <w:gridCol w:w="966"/>
        <w:gridCol w:w="1182"/>
        <w:gridCol w:w="1285"/>
      </w:tblGrid>
      <w:tr w:rsidR="00D96B91">
        <w:trPr>
          <w:trHeight w:hRule="exact" w:val="407"/>
        </w:trPr>
        <w:tc>
          <w:tcPr>
            <w:tcW w:w="1140"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rsidP="004C4403">
            <w:pPr>
              <w:pStyle w:val="TableParagraph"/>
              <w:rPr>
                <w:rFonts w:ascii="Avenir Next" w:eastAsia="Avenir Next" w:hAnsi="Avenir Next" w:cs="Avenir Next"/>
                <w:b/>
                <w:bCs/>
                <w:sz w:val="18"/>
                <w:szCs w:val="18"/>
              </w:rPr>
            </w:pPr>
          </w:p>
          <w:p w:rsidR="00D96B91" w:rsidRDefault="00D96B91" w:rsidP="004C4403">
            <w:pPr>
              <w:pStyle w:val="TableParagraph"/>
              <w:spacing w:before="8"/>
              <w:rPr>
                <w:rFonts w:ascii="Avenir Next" w:eastAsia="Avenir Next" w:hAnsi="Avenir Next" w:cs="Avenir Next"/>
                <w:b/>
                <w:bCs/>
                <w:sz w:val="19"/>
                <w:szCs w:val="19"/>
              </w:rPr>
            </w:pPr>
          </w:p>
          <w:p w:rsidR="00D96B91" w:rsidRDefault="00C2656B" w:rsidP="004C4403">
            <w:pPr>
              <w:pStyle w:val="TableParagraph"/>
              <w:spacing w:line="220" w:lineRule="exact"/>
              <w:jc w:val="center"/>
              <w:rPr>
                <w:rFonts w:ascii="Avenir Next Condensed" w:eastAsia="Avenir Next Condensed" w:hAnsi="Avenir Next Condensed" w:cs="Avenir Next Condensed"/>
                <w:sz w:val="18"/>
                <w:szCs w:val="18"/>
              </w:rPr>
            </w:pPr>
            <w:r>
              <w:rPr>
                <w:rFonts w:ascii="Avenir Next Condensed"/>
                <w:b/>
                <w:color w:val="FFFFFF"/>
                <w:sz w:val="18"/>
              </w:rPr>
              <w:t>Annual water consumption (kL)</w:t>
            </w:r>
          </w:p>
        </w:tc>
        <w:tc>
          <w:tcPr>
            <w:tcW w:w="5794" w:type="dxa"/>
            <w:gridSpan w:val="6"/>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Annual bill</w:t>
            </w:r>
          </w:p>
        </w:tc>
        <w:tc>
          <w:tcPr>
            <w:tcW w:w="1182"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rsidP="004C4403">
            <w:pPr>
              <w:pStyle w:val="TableParagraph"/>
              <w:spacing w:before="6"/>
              <w:rPr>
                <w:rFonts w:ascii="Avenir Next" w:eastAsia="Avenir Next" w:hAnsi="Avenir Next" w:cs="Avenir Next"/>
                <w:b/>
                <w:bCs/>
                <w:sz w:val="21"/>
                <w:szCs w:val="21"/>
              </w:rPr>
            </w:pPr>
          </w:p>
          <w:p w:rsidR="00D96B91" w:rsidRDefault="00C2656B" w:rsidP="004C4403">
            <w:pPr>
              <w:pStyle w:val="TableParagraph"/>
              <w:spacing w:line="220" w:lineRule="exact"/>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w:t>
            </w:r>
            <w:r>
              <w:rPr>
                <w:rFonts w:ascii="Avenir Next Condensed"/>
                <w:b/>
                <w:color w:val="FFFFFF"/>
                <w:spacing w:val="-1"/>
                <w:sz w:val="18"/>
              </w:rPr>
              <w:t>from</w:t>
            </w:r>
            <w:r>
              <w:rPr>
                <w:rFonts w:ascii="Avenir Next Condensed"/>
                <w:b/>
                <w:color w:val="FFFFFF"/>
                <w:spacing w:val="22"/>
                <w:sz w:val="18"/>
              </w:rPr>
              <w:t xml:space="preserve"> </w:t>
            </w:r>
            <w:r>
              <w:rPr>
                <w:rFonts w:ascii="Avenir Next Condensed"/>
                <w:b/>
                <w:color w:val="FFFFFF"/>
                <w:spacing w:val="-1"/>
                <w:sz w:val="18"/>
              </w:rPr>
              <w:t>current</w:t>
            </w:r>
            <w:r>
              <w:rPr>
                <w:rFonts w:ascii="Avenir Next Condensed"/>
                <w:b/>
                <w:color w:val="FFFFFF"/>
                <w:sz w:val="18"/>
              </w:rPr>
              <w:t xml:space="preserve"> bill</w:t>
            </w:r>
            <w:r>
              <w:rPr>
                <w:rFonts w:ascii="Avenir Next Condensed"/>
                <w:b/>
                <w:color w:val="FFFFFF"/>
                <w:spacing w:val="25"/>
                <w:sz w:val="18"/>
              </w:rPr>
              <w:t xml:space="preserve"> </w:t>
            </w:r>
            <w:r>
              <w:rPr>
                <w:rFonts w:ascii="Avenir Next Condensed"/>
                <w:b/>
                <w:color w:val="FFFFFF"/>
                <w:sz w:val="18"/>
              </w:rPr>
              <w:t>(2014-15 to</w:t>
            </w:r>
          </w:p>
          <w:p w:rsidR="00D96B91" w:rsidRDefault="00C2656B" w:rsidP="004C4403">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285"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spacing w:before="5"/>
              <w:rPr>
                <w:rFonts w:ascii="Avenir Next" w:eastAsia="Avenir Next" w:hAnsi="Avenir Next" w:cs="Avenir Next"/>
                <w:b/>
                <w:bCs/>
                <w:sz w:val="23"/>
                <w:szCs w:val="23"/>
              </w:rPr>
            </w:pPr>
          </w:p>
          <w:p w:rsidR="00D96B91" w:rsidRDefault="00C2656B" w:rsidP="004C4403">
            <w:pPr>
              <w:pStyle w:val="TableParagraph"/>
              <w:spacing w:line="220" w:lineRule="exact"/>
              <w:ind w:left="138" w:right="155"/>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over </w:t>
            </w:r>
            <w:r>
              <w:rPr>
                <w:rFonts w:ascii="Avenir Next Condensed"/>
                <w:b/>
                <w:color w:val="FFFFFF"/>
                <w:spacing w:val="-1"/>
                <w:sz w:val="18"/>
              </w:rPr>
              <w:t>regulatory</w:t>
            </w:r>
            <w:r>
              <w:rPr>
                <w:rFonts w:ascii="Avenir Next Condensed"/>
                <w:b/>
                <w:color w:val="FFFFFF"/>
                <w:spacing w:val="28"/>
                <w:sz w:val="18"/>
              </w:rPr>
              <w:t xml:space="preserve"> </w:t>
            </w:r>
            <w:r>
              <w:rPr>
                <w:rFonts w:ascii="Avenir Next Condensed"/>
                <w:b/>
                <w:color w:val="FFFFFF"/>
                <w:sz w:val="18"/>
              </w:rPr>
              <w:t>period (2012-13</w:t>
            </w:r>
          </w:p>
          <w:p w:rsidR="00D96B91" w:rsidRDefault="00C2656B" w:rsidP="004C4403">
            <w:pPr>
              <w:pStyle w:val="TableParagraph"/>
              <w:spacing w:line="242" w:lineRule="exact"/>
              <w:ind w:left="138" w:right="155"/>
              <w:jc w:val="center"/>
              <w:rPr>
                <w:rFonts w:ascii="Avenir Next Condensed" w:eastAsia="Avenir Next Condensed" w:hAnsi="Avenir Next Condensed" w:cs="Avenir Next Condensed"/>
                <w:sz w:val="18"/>
                <w:szCs w:val="18"/>
              </w:rPr>
            </w:pPr>
            <w:r>
              <w:rPr>
                <w:rFonts w:ascii="Avenir Next Condensed"/>
                <w:b/>
                <w:color w:val="FFFFFF"/>
                <w:sz w:val="18"/>
              </w:rPr>
              <w:t>to 2017-18)</w:t>
            </w:r>
          </w:p>
        </w:tc>
      </w:tr>
      <w:tr w:rsidR="00D96B91">
        <w:trPr>
          <w:trHeight w:hRule="exact" w:val="680"/>
        </w:trPr>
        <w:tc>
          <w:tcPr>
            <w:tcW w:w="1140" w:type="dxa"/>
            <w:vMerge/>
            <w:tcBorders>
              <w:left w:val="single" w:sz="4" w:space="0" w:color="1A9EDA"/>
              <w:right w:val="single" w:sz="4" w:space="0" w:color="1A9EDA"/>
            </w:tcBorders>
            <w:shd w:val="clear" w:color="auto" w:fill="0778BE"/>
          </w:tcPr>
          <w:p w:rsidR="00D96B91" w:rsidRDefault="00D96B91"/>
        </w:tc>
        <w:tc>
          <w:tcPr>
            <w:tcW w:w="966"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9"/>
              <w:rPr>
                <w:rFonts w:ascii="Avenir Next" w:eastAsia="Avenir Next" w:hAnsi="Avenir Next" w:cs="Avenir Next"/>
                <w:b/>
                <w:bCs/>
                <w:sz w:val="21"/>
                <w:szCs w:val="21"/>
              </w:rPr>
            </w:pPr>
          </w:p>
          <w:p w:rsidR="00D96B91" w:rsidRDefault="00C2656B">
            <w:pPr>
              <w:pStyle w:val="TableParagraph"/>
              <w:ind w:left="186"/>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931"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12"/>
                <w:szCs w:val="12"/>
              </w:rPr>
            </w:pPr>
          </w:p>
          <w:p w:rsidR="00D96B91" w:rsidRDefault="00C2656B" w:rsidP="004C4403">
            <w:pPr>
              <w:pStyle w:val="TableParagraph"/>
              <w:spacing w:line="220" w:lineRule="exact"/>
              <w:ind w:left="54" w:right="35"/>
              <w:jc w:val="center"/>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 ICRC</w:t>
            </w:r>
            <w:r>
              <w:rPr>
                <w:rFonts w:ascii="Avenir Next Condensed"/>
                <w:b/>
                <w:color w:val="FFFFFF"/>
                <w:spacing w:val="21"/>
                <w:sz w:val="18"/>
              </w:rPr>
              <w:t xml:space="preserve"> </w:t>
            </w:r>
            <w:r>
              <w:rPr>
                <w:rFonts w:ascii="Avenir Next Condensed"/>
                <w:b/>
                <w:color w:val="FFFFFF"/>
                <w:sz w:val="18"/>
              </w:rPr>
              <w:t>and paid by customers</w:t>
            </w:r>
          </w:p>
        </w:tc>
        <w:tc>
          <w:tcPr>
            <w:tcW w:w="2897"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12"/>
                <w:szCs w:val="12"/>
              </w:rPr>
            </w:pPr>
          </w:p>
          <w:p w:rsidR="00D96B91" w:rsidRDefault="00C2656B" w:rsidP="004C4403">
            <w:pPr>
              <w:pStyle w:val="TableParagraph"/>
              <w:spacing w:line="220" w:lineRule="exact"/>
              <w:ind w:left="107" w:right="240" w:firstLine="25"/>
              <w:jc w:val="center"/>
              <w:rPr>
                <w:rFonts w:ascii="Avenir Next Condensed" w:eastAsia="Avenir Next Condensed" w:hAnsi="Avenir Next Condensed" w:cs="Avenir Next Condensed"/>
                <w:sz w:val="18"/>
                <w:szCs w:val="18"/>
              </w:rPr>
            </w:pPr>
            <w:r>
              <w:rPr>
                <w:rFonts w:ascii="Avenir Next Condensed"/>
                <w:b/>
                <w:color w:val="FFFFFF"/>
                <w:spacing w:val="-2"/>
                <w:sz w:val="18"/>
              </w:rPr>
              <w:t>Panel</w:t>
            </w:r>
            <w:r>
              <w:rPr>
                <w:rFonts w:ascii="Avenir Next Condensed"/>
                <w:b/>
                <w:color w:val="FFFFFF"/>
                <w:sz w:val="18"/>
              </w:rPr>
              <w:t xml:space="preserve"> </w:t>
            </w:r>
            <w:r>
              <w:rPr>
                <w:rFonts w:ascii="Avenir Next Condensed"/>
                <w:b/>
                <w:color w:val="FFFFFF"/>
                <w:spacing w:val="-1"/>
                <w:sz w:val="18"/>
              </w:rPr>
              <w:t>Draft</w:t>
            </w:r>
            <w:r>
              <w:rPr>
                <w:rFonts w:ascii="Avenir Next Condensed"/>
                <w:b/>
                <w:color w:val="FFFFFF"/>
                <w:sz w:val="18"/>
              </w:rPr>
              <w:t xml:space="preserve"> Decision indicative</w:t>
            </w:r>
            <w:r>
              <w:rPr>
                <w:rFonts w:ascii="Avenir Next Condensed"/>
                <w:b/>
                <w:color w:val="FFFFFF"/>
                <w:spacing w:val="24"/>
                <w:sz w:val="18"/>
              </w:rPr>
              <w:t xml:space="preserve"> </w:t>
            </w:r>
            <w:r>
              <w:rPr>
                <w:rFonts w:ascii="Avenir Next Condensed"/>
                <w:b/>
                <w:color w:val="FFFFFF"/>
                <w:sz w:val="18"/>
              </w:rPr>
              <w:t>estimates*</w:t>
            </w:r>
          </w:p>
        </w:tc>
        <w:tc>
          <w:tcPr>
            <w:tcW w:w="1182" w:type="dxa"/>
            <w:vMerge/>
            <w:tcBorders>
              <w:left w:val="single" w:sz="4" w:space="0" w:color="1A9EDA"/>
              <w:right w:val="single" w:sz="4" w:space="0" w:color="1A9EDA"/>
            </w:tcBorders>
            <w:shd w:val="clear" w:color="auto" w:fill="0778BE"/>
          </w:tcPr>
          <w:p w:rsidR="00D96B91" w:rsidRDefault="00D96B91"/>
        </w:tc>
        <w:tc>
          <w:tcPr>
            <w:tcW w:w="1285" w:type="dxa"/>
            <w:vMerge/>
            <w:tcBorders>
              <w:left w:val="single" w:sz="4" w:space="0" w:color="1A9EDA"/>
              <w:right w:val="single" w:sz="4" w:space="0" w:color="1A9EDA"/>
            </w:tcBorders>
            <w:shd w:val="clear" w:color="auto" w:fill="0778BE"/>
          </w:tcPr>
          <w:p w:rsidR="00D96B91" w:rsidRDefault="00D96B91"/>
        </w:tc>
      </w:tr>
      <w:tr w:rsidR="00D96B91">
        <w:trPr>
          <w:trHeight w:hRule="exact" w:val="407"/>
        </w:trPr>
        <w:tc>
          <w:tcPr>
            <w:tcW w:w="1140" w:type="dxa"/>
            <w:vMerge/>
            <w:tcBorders>
              <w:left w:val="single" w:sz="4" w:space="0" w:color="1A9EDA"/>
              <w:bottom w:val="single" w:sz="4" w:space="0" w:color="1A9EDA"/>
              <w:right w:val="single" w:sz="4" w:space="0" w:color="1A9EDA"/>
            </w:tcBorders>
            <w:shd w:val="clear" w:color="auto" w:fill="0778BE"/>
          </w:tcPr>
          <w:p w:rsidR="00D96B91" w:rsidRDefault="00D96B91"/>
        </w:tc>
        <w:tc>
          <w:tcPr>
            <w:tcW w:w="966" w:type="dxa"/>
            <w:vMerge/>
            <w:tcBorders>
              <w:left w:val="single" w:sz="4" w:space="0" w:color="1A9EDA"/>
              <w:bottom w:val="single" w:sz="4" w:space="0" w:color="1A9EDA"/>
              <w:right w:val="single" w:sz="4" w:space="0" w:color="1A9EDA"/>
            </w:tcBorders>
            <w:shd w:val="clear" w:color="auto" w:fill="0778BE"/>
          </w:tcPr>
          <w:p w:rsidR="00D96B91" w:rsidRDefault="00D96B91"/>
        </w:tc>
        <w:tc>
          <w:tcPr>
            <w:tcW w:w="9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86"/>
              <w:rPr>
                <w:rFonts w:ascii="Avenir Next Condensed" w:eastAsia="Avenir Next Condensed" w:hAnsi="Avenir Next Condensed" w:cs="Avenir Next Condensed"/>
                <w:sz w:val="18"/>
                <w:szCs w:val="18"/>
              </w:rPr>
            </w:pPr>
            <w:r>
              <w:rPr>
                <w:rFonts w:ascii="Avenir Next Condensed"/>
                <w:b/>
                <w:color w:val="FFFFFF"/>
                <w:sz w:val="18"/>
              </w:rPr>
              <w:t>2013-14</w:t>
            </w:r>
          </w:p>
        </w:tc>
        <w:tc>
          <w:tcPr>
            <w:tcW w:w="9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8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9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86"/>
              <w:rPr>
                <w:rFonts w:ascii="Avenir Next Condensed" w:eastAsia="Avenir Next Condensed" w:hAnsi="Avenir Next Condensed" w:cs="Avenir Next Condensed"/>
                <w:sz w:val="18"/>
                <w:szCs w:val="18"/>
              </w:rPr>
            </w:pPr>
            <w:r>
              <w:rPr>
                <w:rFonts w:ascii="Avenir Next Condensed"/>
                <w:b/>
                <w:color w:val="FFFFFF"/>
                <w:sz w:val="18"/>
              </w:rPr>
              <w:t>2015-16</w:t>
            </w:r>
          </w:p>
        </w:tc>
        <w:tc>
          <w:tcPr>
            <w:tcW w:w="9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8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9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86"/>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182" w:type="dxa"/>
            <w:vMerge/>
            <w:tcBorders>
              <w:left w:val="single" w:sz="4" w:space="0" w:color="1A9EDA"/>
              <w:bottom w:val="single" w:sz="4" w:space="0" w:color="1A9EDA"/>
              <w:right w:val="single" w:sz="4" w:space="0" w:color="1A9EDA"/>
            </w:tcBorders>
            <w:shd w:val="clear" w:color="auto" w:fill="0778BE"/>
          </w:tcPr>
          <w:p w:rsidR="00D96B91" w:rsidRDefault="00D96B91"/>
        </w:tc>
        <w:tc>
          <w:tcPr>
            <w:tcW w:w="1285" w:type="dxa"/>
            <w:vMerge/>
            <w:tcBorders>
              <w:left w:val="single" w:sz="4" w:space="0" w:color="1A9EDA"/>
              <w:bottom w:val="single" w:sz="4" w:space="0" w:color="1A9EDA"/>
              <w:right w:val="single" w:sz="4" w:space="0" w:color="1A9EDA"/>
            </w:tcBorders>
            <w:shd w:val="clear" w:color="auto" w:fill="0778BE"/>
          </w:tcPr>
          <w:p w:rsidR="00D96B91" w:rsidRDefault="00D96B91"/>
        </w:tc>
      </w:tr>
      <w:tr w:rsidR="00D96B91">
        <w:trPr>
          <w:trHeight w:hRule="exact" w:val="407"/>
        </w:trPr>
        <w:tc>
          <w:tcPr>
            <w:tcW w:w="11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50 kL</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822</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720</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740</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753</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766</w:t>
            </w:r>
          </w:p>
        </w:tc>
        <w:tc>
          <w:tcPr>
            <w:tcW w:w="9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780</w:t>
            </w:r>
          </w:p>
        </w:tc>
        <w:tc>
          <w:tcPr>
            <w:tcW w:w="11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
              <w:jc w:val="center"/>
              <w:rPr>
                <w:rFonts w:ascii="Avenir Next Condensed" w:eastAsia="Avenir Next Condensed" w:hAnsi="Avenir Next Condensed" w:cs="Avenir Next Condensed"/>
                <w:sz w:val="18"/>
                <w:szCs w:val="18"/>
              </w:rPr>
            </w:pPr>
            <w:r>
              <w:rPr>
                <w:rFonts w:ascii="Avenir Next Condensed"/>
                <w:sz w:val="18"/>
              </w:rPr>
              <w:t>40</w:t>
            </w:r>
          </w:p>
        </w:tc>
        <w:tc>
          <w:tcPr>
            <w:tcW w:w="12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
              <w:jc w:val="center"/>
              <w:rPr>
                <w:rFonts w:ascii="Avenir Next Condensed" w:eastAsia="Avenir Next Condensed" w:hAnsi="Avenir Next Condensed" w:cs="Avenir Next Condensed"/>
                <w:sz w:val="18"/>
                <w:szCs w:val="18"/>
              </w:rPr>
            </w:pPr>
            <w:r>
              <w:rPr>
                <w:rFonts w:ascii="Avenir Next Condensed"/>
                <w:sz w:val="18"/>
              </w:rPr>
              <w:t>-42</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i/>
                <w:sz w:val="18"/>
              </w:rPr>
              <w:t>-12%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6"/>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6"/>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6"/>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2%</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4"/>
              <w:jc w:val="center"/>
              <w:rPr>
                <w:rFonts w:ascii="Avenir Next Condensed" w:eastAsia="Avenir Next Condensed" w:hAnsi="Avenir Next Condensed" w:cs="Avenir Next Condensed"/>
                <w:sz w:val="18"/>
                <w:szCs w:val="18"/>
              </w:rPr>
            </w:pPr>
            <w:r>
              <w:rPr>
                <w:rFonts w:ascii="Avenir Next Condensed"/>
                <w:i/>
                <w:sz w:val="18"/>
              </w:rPr>
              <w:t>5%</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
              <w:jc w:val="center"/>
              <w:rPr>
                <w:rFonts w:ascii="Avenir Next Condensed" w:eastAsia="Avenir Next Condensed" w:hAnsi="Avenir Next Condensed" w:cs="Avenir Next Condensed"/>
                <w:sz w:val="18"/>
                <w:szCs w:val="18"/>
              </w:rPr>
            </w:pPr>
            <w:r>
              <w:rPr>
                <w:rFonts w:ascii="Avenir Next Condensed"/>
                <w:i/>
                <w:sz w:val="18"/>
              </w:rPr>
              <w:t>-5%</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100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943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847</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872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
              <w:jc w:val="center"/>
              <w:rPr>
                <w:rFonts w:ascii="Avenir Next Condensed" w:eastAsia="Avenir Next Condensed" w:hAnsi="Avenir Next Condensed" w:cs="Avenir Next Condensed"/>
                <w:sz w:val="18"/>
                <w:szCs w:val="18"/>
              </w:rPr>
            </w:pPr>
            <w:r>
              <w:rPr>
                <w:rFonts w:ascii="Avenir Next Condensed"/>
                <w:sz w:val="18"/>
              </w:rPr>
              <w:t>878</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
              <w:jc w:val="center"/>
              <w:rPr>
                <w:rFonts w:ascii="Avenir Next Condensed" w:eastAsia="Avenir Next Condensed" w:hAnsi="Avenir Next Condensed" w:cs="Avenir Next Condensed"/>
                <w:sz w:val="18"/>
                <w:szCs w:val="18"/>
              </w:rPr>
            </w:pPr>
            <w:r>
              <w:rPr>
                <w:rFonts w:ascii="Avenir Next Condensed"/>
                <w:sz w:val="18"/>
              </w:rPr>
              <w:t>891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
              <w:jc w:val="center"/>
              <w:rPr>
                <w:rFonts w:ascii="Avenir Next Condensed" w:eastAsia="Avenir Next Condensed" w:hAnsi="Avenir Next Condensed" w:cs="Avenir Next Condensed"/>
                <w:sz w:val="18"/>
                <w:szCs w:val="18"/>
              </w:rPr>
            </w:pPr>
            <w:r>
              <w:rPr>
                <w:rFonts w:ascii="Avenir Next Condensed"/>
                <w:sz w:val="18"/>
              </w:rPr>
              <w:t>905</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
              <w:jc w:val="center"/>
              <w:rPr>
                <w:rFonts w:ascii="Avenir Next Condensed" w:eastAsia="Avenir Next Condensed" w:hAnsi="Avenir Next Condensed" w:cs="Avenir Next Condensed"/>
                <w:sz w:val="18"/>
                <w:szCs w:val="18"/>
              </w:rPr>
            </w:pPr>
            <w:r>
              <w:rPr>
                <w:rFonts w:ascii="Avenir Next Condensed"/>
                <w:sz w:val="18"/>
              </w:rPr>
              <w:t>33</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
              <w:jc w:val="center"/>
              <w:rPr>
                <w:rFonts w:ascii="Avenir Next Condensed" w:eastAsia="Avenir Next Condensed" w:hAnsi="Avenir Next Condensed" w:cs="Avenir Next Condensed"/>
                <w:sz w:val="18"/>
                <w:szCs w:val="18"/>
              </w:rPr>
            </w:pPr>
            <w:r>
              <w:rPr>
                <w:rFonts w:ascii="Avenir Next Condensed"/>
                <w:sz w:val="18"/>
              </w:rPr>
              <w:t>-39</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i/>
                <w:sz w:val="18"/>
              </w:rPr>
              <w:t>-10%</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2%</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4"/>
              <w:jc w:val="center"/>
              <w:rPr>
                <w:rFonts w:ascii="Avenir Next Condensed" w:eastAsia="Avenir Next Condensed" w:hAnsi="Avenir Next Condensed" w:cs="Avenir Next Condensed"/>
                <w:sz w:val="18"/>
                <w:szCs w:val="18"/>
              </w:rPr>
            </w:pPr>
            <w:r>
              <w:rPr>
                <w:rFonts w:ascii="Avenir Next Condensed"/>
                <w:i/>
                <w:sz w:val="18"/>
              </w:rPr>
              <w:t>4%</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
              <w:jc w:val="center"/>
              <w:rPr>
                <w:rFonts w:ascii="Avenir Next Condensed" w:eastAsia="Avenir Next Condensed" w:hAnsi="Avenir Next Condensed" w:cs="Avenir Next Condensed"/>
                <w:sz w:val="18"/>
                <w:szCs w:val="18"/>
              </w:rPr>
            </w:pPr>
            <w:r>
              <w:rPr>
                <w:rFonts w:ascii="Avenir Next Condensed"/>
                <w:i/>
                <w:sz w:val="18"/>
              </w:rPr>
              <w:t>-4%</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150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1,065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
              <w:jc w:val="center"/>
              <w:rPr>
                <w:rFonts w:ascii="Avenir Next Condensed" w:eastAsia="Avenir Next Condensed" w:hAnsi="Avenir Next Condensed" w:cs="Avenir Next Condensed"/>
                <w:sz w:val="18"/>
                <w:szCs w:val="18"/>
              </w:rPr>
            </w:pPr>
            <w:r>
              <w:rPr>
                <w:rFonts w:ascii="Avenir Next Condensed"/>
                <w:sz w:val="18"/>
              </w:rPr>
              <w:t>975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1,004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1,003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1,016</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1,030</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4"/>
              <w:jc w:val="center"/>
              <w:rPr>
                <w:rFonts w:ascii="Avenir Next Condensed" w:eastAsia="Avenir Next Condensed" w:hAnsi="Avenir Next Condensed" w:cs="Avenir Next Condensed"/>
                <w:sz w:val="18"/>
                <w:szCs w:val="18"/>
              </w:rPr>
            </w:pPr>
            <w:r>
              <w:rPr>
                <w:rFonts w:ascii="Avenir Next Condensed"/>
                <w:sz w:val="18"/>
              </w:rPr>
              <w:t>26</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
              <w:jc w:val="center"/>
              <w:rPr>
                <w:rFonts w:ascii="Avenir Next Condensed" w:eastAsia="Avenir Next Condensed" w:hAnsi="Avenir Next Condensed" w:cs="Avenir Next Condensed"/>
                <w:sz w:val="18"/>
                <w:szCs w:val="18"/>
              </w:rPr>
            </w:pPr>
            <w:r>
              <w:rPr>
                <w:rFonts w:ascii="Avenir Next Condensed"/>
                <w:sz w:val="18"/>
              </w:rPr>
              <w:t>-35</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7"/>
              <w:jc w:val="center"/>
              <w:rPr>
                <w:rFonts w:ascii="Avenir Next Condensed" w:eastAsia="Avenir Next Condensed" w:hAnsi="Avenir Next Condensed" w:cs="Avenir Next Condensed"/>
                <w:sz w:val="18"/>
                <w:szCs w:val="18"/>
              </w:rPr>
            </w:pPr>
            <w:r>
              <w:rPr>
                <w:rFonts w:ascii="Avenir Next Condensed"/>
                <w:i/>
                <w:sz w:val="18"/>
              </w:rPr>
              <w:t>-8%</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0%</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4"/>
              <w:jc w:val="center"/>
              <w:rPr>
                <w:rFonts w:ascii="Avenir Next Condensed" w:eastAsia="Avenir Next Condensed" w:hAnsi="Avenir Next Condensed" w:cs="Avenir Next Condensed"/>
                <w:sz w:val="18"/>
                <w:szCs w:val="18"/>
              </w:rPr>
            </w:pPr>
            <w:r>
              <w:rPr>
                <w:rFonts w:ascii="Avenir Next Condensed"/>
                <w:i/>
                <w:sz w:val="18"/>
              </w:rPr>
              <w:t>3%</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
              <w:jc w:val="center"/>
              <w:rPr>
                <w:rFonts w:ascii="Avenir Next Condensed" w:eastAsia="Avenir Next Condensed" w:hAnsi="Avenir Next Condensed" w:cs="Avenir Next Condensed"/>
                <w:sz w:val="18"/>
                <w:szCs w:val="18"/>
              </w:rPr>
            </w:pPr>
            <w:r>
              <w:rPr>
                <w:rFonts w:ascii="Avenir Next Condensed"/>
                <w:i/>
                <w:sz w:val="18"/>
              </w:rPr>
              <w:t>-3%</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200 kL</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1,209</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1,125</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1,160</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1,151</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1,164</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1,178</w:t>
            </w:r>
          </w:p>
        </w:tc>
        <w:tc>
          <w:tcPr>
            <w:tcW w:w="118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right="4"/>
              <w:jc w:val="center"/>
              <w:rPr>
                <w:rFonts w:ascii="Avenir Next Condensed" w:eastAsia="Avenir Next Condensed" w:hAnsi="Avenir Next Condensed" w:cs="Avenir Next Condensed"/>
                <w:sz w:val="18"/>
                <w:szCs w:val="18"/>
              </w:rPr>
            </w:pPr>
            <w:r>
              <w:rPr>
                <w:rFonts w:ascii="Avenir Next Condensed"/>
                <w:sz w:val="18"/>
              </w:rPr>
              <w:t>18</w:t>
            </w:r>
          </w:p>
        </w:tc>
        <w:tc>
          <w:tcPr>
            <w:tcW w:w="128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55"/>
              <w:jc w:val="center"/>
              <w:rPr>
                <w:rFonts w:ascii="Avenir Next Condensed" w:eastAsia="Avenir Next Condensed" w:hAnsi="Avenir Next Condensed" w:cs="Avenir Next Condensed"/>
                <w:sz w:val="18"/>
                <w:szCs w:val="18"/>
              </w:rPr>
            </w:pPr>
            <w:r>
              <w:rPr>
                <w:rFonts w:ascii="Avenir Next Condensed"/>
                <w:sz w:val="18"/>
              </w:rPr>
              <w:t>-31</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-7%</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right="33"/>
              <w:jc w:val="center"/>
              <w:rPr>
                <w:rFonts w:ascii="Avenir Next Condensed" w:eastAsia="Avenir Next Condensed" w:hAnsi="Avenir Next Condensed" w:cs="Avenir Next Condensed"/>
                <w:sz w:val="18"/>
                <w:szCs w:val="18"/>
              </w:rPr>
            </w:pPr>
            <w:r>
              <w:rPr>
                <w:rFonts w:ascii="Avenir Next Condensed"/>
                <w:i/>
                <w:sz w:val="18"/>
              </w:rPr>
              <w:t>2%</w:t>
            </w:r>
          </w:p>
        </w:tc>
        <w:tc>
          <w:tcPr>
            <w:tcW w:w="128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6"/>
              <w:jc w:val="center"/>
              <w:rPr>
                <w:rFonts w:ascii="Avenir Next Condensed" w:eastAsia="Avenir Next Condensed" w:hAnsi="Avenir Next Condensed" w:cs="Avenir Next Condensed"/>
                <w:sz w:val="18"/>
                <w:szCs w:val="18"/>
              </w:rPr>
            </w:pPr>
            <w:r>
              <w:rPr>
                <w:rFonts w:ascii="Avenir Next Condensed"/>
                <w:i/>
                <w:sz w:val="18"/>
              </w:rPr>
              <w:t>-3%</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250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1,429</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1,357</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1,400</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1,379</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1,392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1,406</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8"/>
              <w:jc w:val="center"/>
              <w:rPr>
                <w:rFonts w:ascii="Avenir Next Condensed" w:eastAsia="Avenir Next Condensed" w:hAnsi="Avenir Next Condensed" w:cs="Avenir Next Condensed"/>
                <w:sz w:val="18"/>
                <w:szCs w:val="18"/>
              </w:rPr>
            </w:pPr>
            <w:r>
              <w:rPr>
                <w:rFonts w:ascii="Avenir Next Condensed"/>
                <w:sz w:val="18"/>
              </w:rPr>
              <w:t>5</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
              <w:jc w:val="center"/>
              <w:rPr>
                <w:rFonts w:ascii="Avenir Next Condensed" w:eastAsia="Avenir Next Condensed" w:hAnsi="Avenir Next Condensed" w:cs="Avenir Next Condensed"/>
                <w:sz w:val="18"/>
                <w:szCs w:val="18"/>
              </w:rPr>
            </w:pPr>
            <w:r>
              <w:rPr>
                <w:rFonts w:ascii="Avenir Next Condensed"/>
                <w:sz w:val="18"/>
              </w:rPr>
              <w:t>-24</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
              <w:jc w:val="center"/>
              <w:rPr>
                <w:rFonts w:ascii="Avenir Next Condensed" w:eastAsia="Avenir Next Condensed" w:hAnsi="Avenir Next Condensed" w:cs="Avenir Next Condensed"/>
                <w:sz w:val="18"/>
                <w:szCs w:val="18"/>
              </w:rPr>
            </w:pPr>
            <w:r>
              <w:rPr>
                <w:rFonts w:ascii="Avenir Next Condensed"/>
                <w:i/>
                <w:sz w:val="18"/>
              </w:rPr>
              <w:t>0%</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
              <w:jc w:val="center"/>
              <w:rPr>
                <w:rFonts w:ascii="Avenir Next Condensed" w:eastAsia="Avenir Next Condensed" w:hAnsi="Avenir Next Condensed" w:cs="Avenir Next Condensed"/>
                <w:sz w:val="18"/>
                <w:szCs w:val="18"/>
              </w:rPr>
            </w:pPr>
            <w:r>
              <w:rPr>
                <w:rFonts w:ascii="Avenir Next Condensed"/>
                <w:i/>
                <w:sz w:val="18"/>
              </w:rPr>
              <w:t>-2%</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z w:val="18"/>
              </w:rPr>
              <w:t>300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1,672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1,612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1,665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1,629</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1,643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1,656</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-9</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
              <w:jc w:val="center"/>
              <w:rPr>
                <w:rFonts w:ascii="Avenir Next Condensed" w:eastAsia="Avenir Next Condensed" w:hAnsi="Avenir Next Condensed" w:cs="Avenir Next Condensed"/>
                <w:sz w:val="18"/>
                <w:szCs w:val="18"/>
              </w:rPr>
            </w:pPr>
            <w:r>
              <w:rPr>
                <w:rFonts w:ascii="Avenir Next Condensed"/>
                <w:sz w:val="18"/>
              </w:rPr>
              <w:t>-16</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8"/>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2"/>
              <w:jc w:val="center"/>
              <w:rPr>
                <w:rFonts w:ascii="Avenir Next Condensed" w:eastAsia="Avenir Next Condensed" w:hAnsi="Avenir Next Condensed" w:cs="Avenir Next Condensed"/>
                <w:sz w:val="18"/>
                <w:szCs w:val="18"/>
              </w:rPr>
            </w:pPr>
            <w:r>
              <w:rPr>
                <w:rFonts w:ascii="Avenir Next Condensed"/>
                <w:i/>
                <w:sz w:val="18"/>
              </w:rPr>
              <w:t>-1%</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
              <w:jc w:val="center"/>
              <w:rPr>
                <w:rFonts w:ascii="Avenir Next Condensed" w:eastAsia="Avenir Next Condensed" w:hAnsi="Avenir Next Condensed" w:cs="Avenir Next Condensed"/>
                <w:sz w:val="18"/>
                <w:szCs w:val="18"/>
              </w:rPr>
            </w:pPr>
            <w:r>
              <w:rPr>
                <w:rFonts w:ascii="Avenir Next Condensed"/>
                <w:i/>
                <w:sz w:val="18"/>
              </w:rPr>
              <w:t>-1%</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z w:val="18"/>
              </w:rPr>
              <w:t>400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2,158</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2,122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2,194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2,131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2,144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2,158</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45"/>
              <w:jc w:val="center"/>
              <w:rPr>
                <w:rFonts w:ascii="Avenir Next Condensed" w:eastAsia="Avenir Next Condensed" w:hAnsi="Avenir Next Condensed" w:cs="Avenir Next Condensed"/>
                <w:sz w:val="18"/>
                <w:szCs w:val="18"/>
              </w:rPr>
            </w:pPr>
            <w:r>
              <w:rPr>
                <w:rFonts w:ascii="Avenir Next Condensed"/>
                <w:sz w:val="18"/>
              </w:rPr>
              <w:t>-36</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1"/>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9"/>
              <w:jc w:val="center"/>
              <w:rPr>
                <w:rFonts w:ascii="Avenir Next Condensed" w:eastAsia="Avenir Next Condensed" w:hAnsi="Avenir Next Condensed" w:cs="Avenir Next Condensed"/>
                <w:sz w:val="18"/>
                <w:szCs w:val="18"/>
              </w:rPr>
            </w:pPr>
            <w:r>
              <w:rPr>
                <w:rFonts w:ascii="Avenir Next Condensed"/>
                <w:i/>
                <w:sz w:val="18"/>
              </w:rPr>
              <w:t>-2%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9"/>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2"/>
              <w:jc w:val="center"/>
              <w:rPr>
                <w:rFonts w:ascii="Avenir Next Condensed" w:eastAsia="Avenir Next Condensed" w:hAnsi="Avenir Next Condensed" w:cs="Avenir Next Condensed"/>
                <w:sz w:val="18"/>
                <w:szCs w:val="18"/>
              </w:rPr>
            </w:pPr>
            <w:r>
              <w:rPr>
                <w:rFonts w:ascii="Avenir Next Condensed"/>
                <w:i/>
                <w:sz w:val="18"/>
              </w:rPr>
              <w:t>-2%</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7"/>
              <w:jc w:val="center"/>
              <w:rPr>
                <w:rFonts w:ascii="Avenir Next Condensed" w:eastAsia="Avenir Next Condensed" w:hAnsi="Avenir Next Condensed" w:cs="Avenir Next Condensed"/>
                <w:sz w:val="18"/>
                <w:szCs w:val="18"/>
              </w:rPr>
            </w:pPr>
            <w:r>
              <w:rPr>
                <w:rFonts w:ascii="Avenir Next Condensed"/>
                <w:i/>
                <w:sz w:val="18"/>
              </w:rPr>
              <w:t>0%</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z w:val="18"/>
              </w:rPr>
              <w:t>500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4"/>
              <w:rPr>
                <w:rFonts w:ascii="Avenir Next Condensed" w:eastAsia="Avenir Next Condensed" w:hAnsi="Avenir Next Condensed" w:cs="Avenir Next Condensed"/>
                <w:sz w:val="18"/>
                <w:szCs w:val="18"/>
              </w:rPr>
            </w:pPr>
            <w:r>
              <w:rPr>
                <w:rFonts w:ascii="Avenir Next Condensed"/>
                <w:sz w:val="18"/>
              </w:rPr>
              <w:t>2,644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2,632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2,723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2,632</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2,645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2,659</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46"/>
              <w:jc w:val="center"/>
              <w:rPr>
                <w:rFonts w:ascii="Avenir Next Condensed" w:eastAsia="Avenir Next Condensed" w:hAnsi="Avenir Next Condensed" w:cs="Avenir Next Condensed"/>
                <w:sz w:val="18"/>
                <w:szCs w:val="18"/>
              </w:rPr>
            </w:pPr>
            <w:r>
              <w:rPr>
                <w:rFonts w:ascii="Avenir Next Condensed"/>
                <w:sz w:val="18"/>
              </w:rPr>
              <w:t>-64</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15</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6"/>
              <w:jc w:val="center"/>
              <w:rPr>
                <w:rFonts w:ascii="Avenir Next Condensed" w:eastAsia="Avenir Next Condensed" w:hAnsi="Avenir Next Condensed" w:cs="Avenir Next Condensed"/>
                <w:sz w:val="18"/>
                <w:szCs w:val="18"/>
              </w:rPr>
            </w:pPr>
            <w:r>
              <w:rPr>
                <w:rFonts w:ascii="Avenir Next Condensed"/>
                <w:i/>
                <w:sz w:val="18"/>
              </w:rPr>
              <w:t>0%</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6"/>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7"/>
              <w:jc w:val="center"/>
              <w:rPr>
                <w:rFonts w:ascii="Avenir Next Condensed" w:eastAsia="Avenir Next Condensed" w:hAnsi="Avenir Next Condensed" w:cs="Avenir Next Condensed"/>
                <w:sz w:val="18"/>
                <w:szCs w:val="18"/>
              </w:rPr>
            </w:pPr>
            <w:r>
              <w:rPr>
                <w:rFonts w:ascii="Avenir Next Condensed"/>
                <w:i/>
                <w:sz w:val="18"/>
              </w:rPr>
              <w:t>-3%</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4"/>
              <w:jc w:val="center"/>
              <w:rPr>
                <w:rFonts w:ascii="Avenir Next Condensed" w:eastAsia="Avenir Next Condensed" w:hAnsi="Avenir Next Condensed" w:cs="Avenir Next Condensed"/>
                <w:sz w:val="18"/>
                <w:szCs w:val="18"/>
              </w:rPr>
            </w:pPr>
            <w:r>
              <w:rPr>
                <w:rFonts w:ascii="Avenir Next Condensed"/>
                <w:i/>
                <w:sz w:val="18"/>
              </w:rPr>
              <w:t>-2%</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
              <w:jc w:val="center"/>
              <w:rPr>
                <w:rFonts w:ascii="Avenir Next Condensed" w:eastAsia="Avenir Next Condensed" w:hAnsi="Avenir Next Condensed" w:cs="Avenir Next Condensed"/>
                <w:sz w:val="18"/>
                <w:szCs w:val="18"/>
              </w:rPr>
            </w:pPr>
            <w:r>
              <w:rPr>
                <w:rFonts w:ascii="Avenir Next Condensed"/>
                <w:i/>
                <w:sz w:val="18"/>
              </w:rPr>
              <w:t>1%</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750 kL</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3,859</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3,907</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4,045</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3,886</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3,899</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sz w:val="18"/>
              </w:rPr>
              <w:t>3,913</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2"/>
              <w:rPr>
                <w:rFonts w:ascii="Avenir Next Condensed" w:eastAsia="Avenir Next Condensed" w:hAnsi="Avenir Next Condensed" w:cs="Avenir Next Condensed"/>
                <w:sz w:val="18"/>
                <w:szCs w:val="18"/>
              </w:rPr>
            </w:pPr>
            <w:r>
              <w:rPr>
                <w:rFonts w:ascii="Avenir Next Condensed"/>
                <w:sz w:val="18"/>
              </w:rPr>
              <w:t>-133</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53</w:t>
            </w:r>
          </w:p>
        </w:tc>
      </w:tr>
      <w:tr w:rsidR="00D96B91">
        <w:trPr>
          <w:trHeight w:hRule="exact" w:val="407"/>
        </w:trPr>
        <w:tc>
          <w:tcPr>
            <w:tcW w:w="11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z w:val="18"/>
              </w:rPr>
              <w:t>% change</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1%</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7"/>
              <w:jc w:val="center"/>
              <w:rPr>
                <w:rFonts w:ascii="Avenir Next Condensed" w:eastAsia="Avenir Next Condensed" w:hAnsi="Avenir Next Condensed" w:cs="Avenir Next Condensed"/>
                <w:sz w:val="18"/>
                <w:szCs w:val="18"/>
              </w:rPr>
            </w:pPr>
            <w:r>
              <w:rPr>
                <w:rFonts w:ascii="Avenir Next Condensed"/>
                <w:i/>
                <w:sz w:val="18"/>
              </w:rPr>
              <w:t>-4%</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0%</w:t>
            </w:r>
          </w:p>
        </w:tc>
        <w:tc>
          <w:tcPr>
            <w:tcW w:w="9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7"/>
              <w:jc w:val="center"/>
              <w:rPr>
                <w:rFonts w:ascii="Avenir Next Condensed" w:eastAsia="Avenir Next Condensed" w:hAnsi="Avenir Next Condensed" w:cs="Avenir Next Condensed"/>
                <w:sz w:val="18"/>
                <w:szCs w:val="18"/>
              </w:rPr>
            </w:pPr>
            <w:r>
              <w:rPr>
                <w:rFonts w:ascii="Avenir Next Condensed"/>
                <w:i/>
                <w:sz w:val="18"/>
              </w:rPr>
              <w:t>0%</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4"/>
              <w:jc w:val="center"/>
              <w:rPr>
                <w:rFonts w:ascii="Avenir Next Condensed" w:eastAsia="Avenir Next Condensed" w:hAnsi="Avenir Next Condensed" w:cs="Avenir Next Condensed"/>
                <w:sz w:val="18"/>
                <w:szCs w:val="18"/>
              </w:rPr>
            </w:pPr>
            <w:r>
              <w:rPr>
                <w:rFonts w:ascii="Avenir Next Condensed"/>
                <w:i/>
                <w:sz w:val="18"/>
              </w:rPr>
              <w:t>-3%</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6"/>
              <w:jc w:val="center"/>
              <w:rPr>
                <w:rFonts w:ascii="Avenir Next Condensed" w:eastAsia="Avenir Next Condensed" w:hAnsi="Avenir Next Condensed" w:cs="Avenir Next Condensed"/>
                <w:sz w:val="18"/>
                <w:szCs w:val="18"/>
              </w:rPr>
            </w:pPr>
            <w:r>
              <w:rPr>
                <w:rFonts w:ascii="Avenir Next Condensed"/>
                <w:i/>
                <w:sz w:val="18"/>
              </w:rPr>
              <w:t>1%</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bills assume </w:t>
      </w:r>
      <w:r>
        <w:rPr>
          <w:rFonts w:ascii="Avenir Next"/>
          <w:spacing w:val="-1"/>
          <w:sz w:val="16"/>
        </w:rPr>
        <w:t>inflation</w:t>
      </w:r>
      <w:r>
        <w:rPr>
          <w:rFonts w:ascii="Avenir Next"/>
          <w:sz w:val="16"/>
        </w:rPr>
        <w:t xml:space="preserve"> of</w:t>
      </w:r>
      <w:r>
        <w:rPr>
          <w:rFonts w:ascii="Avenir Next"/>
          <w:spacing w:val="3"/>
          <w:sz w:val="16"/>
        </w:rPr>
        <w:t xml:space="preserve"> </w:t>
      </w:r>
      <w:r>
        <w:rPr>
          <w:rFonts w:ascii="Avenir Next"/>
          <w:sz w:val="16"/>
        </w:rPr>
        <w:t>2.5%</w:t>
      </w:r>
      <w:r>
        <w:rPr>
          <w:rFonts w:ascii="Avenir Next"/>
          <w:spacing w:val="-1"/>
          <w:sz w:val="16"/>
        </w:rPr>
        <w:t xml:space="preserve"> </w:t>
      </w:r>
      <w:r>
        <w:rPr>
          <w:rFonts w:ascii="Avenir Next"/>
          <w:sz w:val="16"/>
        </w:rPr>
        <w:t xml:space="preserve">pa and no </w:t>
      </w:r>
      <w:r>
        <w:rPr>
          <w:rFonts w:ascii="Avenir Next"/>
          <w:spacing w:val="-1"/>
          <w:sz w:val="16"/>
        </w:rPr>
        <w:t>material</w:t>
      </w:r>
      <w:r>
        <w:rPr>
          <w:rFonts w:ascii="Avenir Next"/>
          <w:sz w:val="16"/>
        </w:rPr>
        <w:t xml:space="preserve"> changes in costs</w:t>
      </w:r>
      <w:r>
        <w:rPr>
          <w:rFonts w:ascii="Avenir Next"/>
          <w:spacing w:val="-1"/>
          <w:sz w:val="16"/>
        </w:rPr>
        <w:t xml:space="preserve"> </w:t>
      </w:r>
      <w:r>
        <w:rPr>
          <w:rFonts w:ascii="Avenir Next"/>
          <w:sz w:val="16"/>
        </w:rPr>
        <w:t xml:space="preserve">or Government </w:t>
      </w:r>
      <w:r>
        <w:rPr>
          <w:rFonts w:ascii="Avenir Next"/>
          <w:spacing w:val="-1"/>
          <w:sz w:val="16"/>
        </w:rPr>
        <w:t>charges</w:t>
      </w:r>
      <w:r>
        <w:rPr>
          <w:rFonts w:ascii="Avenir Next"/>
          <w:sz w:val="16"/>
        </w:rPr>
        <w:t xml:space="preserve"> </w:t>
      </w:r>
      <w:r>
        <w:rPr>
          <w:rFonts w:ascii="Avenir Next"/>
          <w:spacing w:val="-1"/>
          <w:sz w:val="16"/>
        </w:rPr>
        <w:t>that</w:t>
      </w:r>
      <w:r>
        <w:rPr>
          <w:rFonts w:ascii="Avenir Next"/>
          <w:sz w:val="16"/>
        </w:rPr>
        <w:t xml:space="preserve"> would trigger</w:t>
      </w:r>
      <w:r>
        <w:rPr>
          <w:rFonts w:ascii="Avenir Next"/>
          <w:spacing w:val="-1"/>
          <w:sz w:val="16"/>
        </w:rPr>
        <w:t xml:space="preserve"> </w:t>
      </w:r>
      <w:r>
        <w:rPr>
          <w:rFonts w:ascii="Avenir Next"/>
          <w:sz w:val="16"/>
        </w:rPr>
        <w:t>the</w:t>
      </w:r>
      <w:r>
        <w:rPr>
          <w:rFonts w:ascii="Avenir Next"/>
          <w:spacing w:val="55"/>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436"/>
      </w:pPr>
      <w:r>
        <w:rPr>
          <w:spacing w:val="-4"/>
        </w:rPr>
        <w:t>Table</w:t>
      </w:r>
      <w:r>
        <w:t xml:space="preserve"> 1.5 </w:t>
      </w:r>
      <w:r>
        <w:rPr>
          <w:spacing w:val="-1"/>
        </w:rPr>
        <w:t>presents</w:t>
      </w:r>
      <w:r>
        <w:t xml:space="preserve"> </w:t>
      </w:r>
      <w:r>
        <w:rPr>
          <w:spacing w:val="-1"/>
        </w:rPr>
        <w:t>indicative</w:t>
      </w:r>
      <w:r>
        <w:t xml:space="preserve"> bill impacts for </w:t>
      </w:r>
      <w:r>
        <w:rPr>
          <w:spacing w:val="-1"/>
        </w:rPr>
        <w:t>non-residential</w:t>
      </w:r>
      <w:r>
        <w:t xml:space="preserve"> customers.</w:t>
      </w:r>
      <w:r>
        <w:rPr>
          <w:spacing w:val="-11"/>
        </w:rPr>
        <w:t xml:space="preserve"> </w:t>
      </w:r>
      <w:r>
        <w:rPr>
          <w:spacing w:val="-1"/>
        </w:rPr>
        <w:t>These</w:t>
      </w:r>
      <w:r>
        <w:t xml:space="preserve"> bills </w:t>
      </w:r>
      <w:r>
        <w:rPr>
          <w:spacing w:val="-2"/>
        </w:rPr>
        <w:t>are</w:t>
      </w:r>
      <w:r>
        <w:t xml:space="preserve"> also </w:t>
      </w:r>
      <w:r>
        <w:rPr>
          <w:spacing w:val="-1"/>
        </w:rPr>
        <w:t>expected</w:t>
      </w:r>
      <w:r>
        <w:rPr>
          <w:spacing w:val="65"/>
        </w:rPr>
        <w:t xml:space="preserve"> </w:t>
      </w:r>
      <w:r>
        <w:t>to</w:t>
      </w:r>
      <w:r>
        <w:rPr>
          <w:spacing w:val="-1"/>
        </w:rPr>
        <w:t xml:space="preserve"> </w:t>
      </w:r>
      <w:r>
        <w:t xml:space="preserve">be </w:t>
      </w:r>
      <w:r>
        <w:rPr>
          <w:spacing w:val="-1"/>
        </w:rPr>
        <w:t>reasonably</w:t>
      </w:r>
      <w:r>
        <w:t xml:space="preserve"> stable over the</w:t>
      </w:r>
      <w:r>
        <w:rPr>
          <w:spacing w:val="-1"/>
        </w:rPr>
        <w:t xml:space="preserve"> </w:t>
      </w:r>
      <w:r>
        <w:t xml:space="preserve">five </w:t>
      </w:r>
      <w:r>
        <w:rPr>
          <w:spacing w:val="-1"/>
        </w:rPr>
        <w:t>years</w:t>
      </w:r>
      <w:r>
        <w:t xml:space="preserve"> to 30</w:t>
      </w:r>
      <w:r>
        <w:rPr>
          <w:spacing w:val="-3"/>
        </w:rPr>
        <w:t xml:space="preserve"> </w:t>
      </w:r>
      <w:r>
        <w:t>June 2018.</w:t>
      </w:r>
      <w:r>
        <w:rPr>
          <w:spacing w:val="-10"/>
        </w:rPr>
        <w:t xml:space="preserve"> </w:t>
      </w:r>
      <w:r>
        <w:t>As</w:t>
      </w:r>
      <w:r>
        <w:rPr>
          <w:spacing w:val="-1"/>
        </w:rPr>
        <w:t xml:space="preserve"> </w:t>
      </w:r>
      <w:r>
        <w:t xml:space="preserve">the table shows the </w:t>
      </w:r>
      <w:r>
        <w:rPr>
          <w:spacing w:val="-1"/>
        </w:rPr>
        <w:t xml:space="preserve">likely </w:t>
      </w:r>
      <w:r>
        <w:t>bill changes</w:t>
      </w:r>
      <w:r>
        <w:rPr>
          <w:spacing w:val="30"/>
        </w:rPr>
        <w:t xml:space="preserve"> </w:t>
      </w:r>
      <w:r>
        <w:t>over</w:t>
      </w:r>
      <w:r>
        <w:rPr>
          <w:spacing w:val="-1"/>
        </w:rPr>
        <w:t xml:space="preserve"> </w:t>
      </w:r>
      <w:r>
        <w:t xml:space="preserve">the period </w:t>
      </w:r>
      <w:r>
        <w:rPr>
          <w:spacing w:val="-1"/>
        </w:rPr>
        <w:t>range</w:t>
      </w:r>
      <w:r>
        <w:t xml:space="preserve"> </w:t>
      </w:r>
      <w:r>
        <w:rPr>
          <w:spacing w:val="-1"/>
        </w:rPr>
        <w:t>from</w:t>
      </w:r>
      <w:r>
        <w:t xml:space="preserve"> 7%</w:t>
      </w:r>
      <w:r>
        <w:rPr>
          <w:spacing w:val="-1"/>
        </w:rPr>
        <w:t xml:space="preserve"> decreases</w:t>
      </w:r>
      <w:r>
        <w:t xml:space="preserve"> to 2% </w:t>
      </w:r>
      <w:r>
        <w:rPr>
          <w:spacing w:val="-1"/>
        </w:rPr>
        <w:t>increases</w:t>
      </w:r>
      <w:r>
        <w:t xml:space="preserve"> over</w:t>
      </w:r>
      <w:r>
        <w:rPr>
          <w:spacing w:val="-1"/>
        </w:rPr>
        <w:t xml:space="preserve"> </w:t>
      </w:r>
      <w:r>
        <w:t xml:space="preserve">the five </w:t>
      </w:r>
      <w:r>
        <w:rPr>
          <w:spacing w:val="-1"/>
        </w:rPr>
        <w:t>years</w:t>
      </w:r>
      <w:r>
        <w:t xml:space="preserve"> of</w:t>
      </w:r>
      <w:r>
        <w:rPr>
          <w:spacing w:val="4"/>
        </w:rPr>
        <w:t xml:space="preserve"> </w:t>
      </w:r>
      <w:r>
        <w:t>the</w:t>
      </w:r>
      <w:r>
        <w:rPr>
          <w:spacing w:val="-1"/>
        </w:rPr>
        <w:t xml:space="preserve"> regulatory</w:t>
      </w:r>
      <w:r>
        <w:t xml:space="preserve"> period,</w:t>
      </w:r>
      <w:r>
        <w:rPr>
          <w:spacing w:val="31"/>
        </w:rPr>
        <w:t xml:space="preserve"> </w:t>
      </w:r>
      <w:r>
        <w:t>depending</w:t>
      </w:r>
      <w:r>
        <w:rPr>
          <w:spacing w:val="-1"/>
        </w:rPr>
        <w:t xml:space="preserve"> </w:t>
      </w:r>
      <w:r>
        <w:t>on the</w:t>
      </w:r>
      <w:r>
        <w:rPr>
          <w:spacing w:val="-1"/>
        </w:rPr>
        <w:t xml:space="preserve"> </w:t>
      </w:r>
      <w:r>
        <w:t>level of</w:t>
      </w:r>
      <w:r>
        <w:rPr>
          <w:spacing w:val="4"/>
        </w:rPr>
        <w:t xml:space="preserve"> </w:t>
      </w:r>
      <w:r>
        <w:t>annual</w:t>
      </w:r>
      <w:r>
        <w:rPr>
          <w:spacing w:val="-1"/>
        </w:rPr>
        <w:t xml:space="preserve"> water</w:t>
      </w:r>
      <w:r>
        <w:t xml:space="preserve"> consumption</w:t>
      </w:r>
      <w:r>
        <w:rPr>
          <w:spacing w:val="-1"/>
        </w:rPr>
        <w:t xml:space="preserve"> </w:t>
      </w:r>
      <w:r>
        <w:t>and number of</w:t>
      </w:r>
      <w:r>
        <w:rPr>
          <w:spacing w:val="3"/>
        </w:rPr>
        <w:t xml:space="preserve"> </w:t>
      </w:r>
      <w:r>
        <w:t xml:space="preserve">billable </w:t>
      </w:r>
      <w:r>
        <w:rPr>
          <w:spacing w:val="-1"/>
        </w:rPr>
        <w:t>fixtures.</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6" w:name="1._4_How_does_the_Panel’s_draft_directio"/>
      <w:bookmarkStart w:id="7" w:name="_bookmark2"/>
      <w:bookmarkEnd w:id="6"/>
      <w:bookmarkEnd w:id="7"/>
      <w:r>
        <w:rPr>
          <w:rFonts w:ascii="Avenir Next"/>
          <w:b/>
          <w:spacing w:val="-4"/>
          <w:sz w:val="20"/>
        </w:rPr>
        <w:t>Table</w:t>
      </w:r>
      <w:r>
        <w:rPr>
          <w:rFonts w:ascii="Avenir Next"/>
          <w:b/>
          <w:sz w:val="20"/>
        </w:rPr>
        <w:t xml:space="preserve"> 1.5: </w:t>
      </w:r>
      <w:r>
        <w:rPr>
          <w:rFonts w:ascii="Avenir Next"/>
          <w:b/>
          <w:spacing w:val="-1"/>
          <w:sz w:val="20"/>
        </w:rPr>
        <w:t>Indicative</w:t>
      </w:r>
      <w:r>
        <w:rPr>
          <w:rFonts w:ascii="Avenir Next"/>
          <w:b/>
          <w:sz w:val="20"/>
        </w:rPr>
        <w:t xml:space="preserve"> impacts on </w:t>
      </w:r>
      <w:r>
        <w:rPr>
          <w:rFonts w:ascii="Avenir Next"/>
          <w:b/>
          <w:spacing w:val="-1"/>
          <w:sz w:val="20"/>
        </w:rPr>
        <w:t>non-residential</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bills ($,</w:t>
      </w:r>
      <w:r>
        <w:rPr>
          <w:rFonts w:ascii="Avenir Next"/>
          <w:b/>
          <w:spacing w:val="-7"/>
          <w:sz w:val="20"/>
        </w:rPr>
        <w:t xml:space="preserve"> </w:t>
      </w:r>
      <w:r>
        <w:rPr>
          <w:rFonts w:ascii="Avenir Next"/>
          <w:b/>
          <w:sz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129"/>
        <w:gridCol w:w="940"/>
        <w:gridCol w:w="868"/>
        <w:gridCol w:w="868"/>
        <w:gridCol w:w="918"/>
        <w:gridCol w:w="868"/>
        <w:gridCol w:w="868"/>
        <w:gridCol w:w="869"/>
        <w:gridCol w:w="1037"/>
        <w:gridCol w:w="1037"/>
      </w:tblGrid>
      <w:tr w:rsidR="00D96B91">
        <w:trPr>
          <w:trHeight w:hRule="exact" w:val="407"/>
        </w:trPr>
        <w:tc>
          <w:tcPr>
            <w:tcW w:w="1129"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rsidP="004C4403">
            <w:pPr>
              <w:pStyle w:val="TableParagraph"/>
              <w:ind w:left="34"/>
              <w:rPr>
                <w:rFonts w:ascii="Avenir Next" w:eastAsia="Avenir Next" w:hAnsi="Avenir Next" w:cs="Avenir Next"/>
                <w:b/>
                <w:bCs/>
                <w:sz w:val="18"/>
                <w:szCs w:val="18"/>
              </w:rPr>
            </w:pPr>
          </w:p>
          <w:p w:rsidR="00D96B91" w:rsidRDefault="00D96B91" w:rsidP="004C4403">
            <w:pPr>
              <w:pStyle w:val="TableParagraph"/>
              <w:spacing w:before="9"/>
              <w:ind w:left="34"/>
              <w:rPr>
                <w:rFonts w:ascii="Avenir Next" w:eastAsia="Avenir Next" w:hAnsi="Avenir Next" w:cs="Avenir Next"/>
                <w:b/>
                <w:bCs/>
                <w:sz w:val="18"/>
                <w:szCs w:val="18"/>
              </w:rPr>
            </w:pPr>
          </w:p>
          <w:p w:rsidR="00D96B91" w:rsidRDefault="00C2656B" w:rsidP="004C4403">
            <w:pPr>
              <w:pStyle w:val="TableParagraph"/>
              <w:spacing w:line="220" w:lineRule="exact"/>
              <w:ind w:left="34"/>
              <w:jc w:val="center"/>
              <w:rPr>
                <w:rFonts w:ascii="Avenir Next Condensed" w:eastAsia="Avenir Next Condensed" w:hAnsi="Avenir Next Condensed" w:cs="Avenir Next Condensed"/>
                <w:sz w:val="18"/>
                <w:szCs w:val="18"/>
              </w:rPr>
            </w:pPr>
            <w:r>
              <w:rPr>
                <w:rFonts w:ascii="Avenir Next Condensed"/>
                <w:b/>
                <w:color w:val="FFFFFF"/>
                <w:sz w:val="18"/>
              </w:rPr>
              <w:t>Annual water consumption (kL)</w:t>
            </w:r>
          </w:p>
        </w:tc>
        <w:tc>
          <w:tcPr>
            <w:tcW w:w="940"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rsidP="004C4403">
            <w:pPr>
              <w:pStyle w:val="TableParagraph"/>
              <w:spacing w:before="9"/>
              <w:rPr>
                <w:rFonts w:ascii="Avenir Next" w:eastAsia="Avenir Next" w:hAnsi="Avenir Next" w:cs="Avenir Next"/>
                <w:b/>
                <w:bCs/>
                <w:sz w:val="18"/>
                <w:szCs w:val="18"/>
              </w:rPr>
            </w:pPr>
          </w:p>
          <w:p w:rsidR="00D96B91" w:rsidRDefault="00C2656B" w:rsidP="004C4403">
            <w:pPr>
              <w:pStyle w:val="TableParagraph"/>
              <w:spacing w:line="220" w:lineRule="exact"/>
              <w:ind w:hanging="1"/>
              <w:jc w:val="center"/>
              <w:rPr>
                <w:rFonts w:ascii="Avenir Next Condensed" w:eastAsia="Avenir Next Condensed" w:hAnsi="Avenir Next Condensed" w:cs="Avenir Next Condensed"/>
                <w:sz w:val="18"/>
                <w:szCs w:val="18"/>
              </w:rPr>
            </w:pPr>
            <w:r>
              <w:rPr>
                <w:rFonts w:ascii="Avenir Next Condensed"/>
                <w:b/>
                <w:color w:val="FFFFFF"/>
                <w:sz w:val="18"/>
              </w:rPr>
              <w:t>Number of</w:t>
            </w:r>
            <w:r>
              <w:rPr>
                <w:rFonts w:ascii="Avenir Next Condensed"/>
                <w:b/>
                <w:color w:val="FFFFFF"/>
                <w:spacing w:val="4"/>
                <w:sz w:val="18"/>
              </w:rPr>
              <w:t xml:space="preserve"> </w:t>
            </w:r>
            <w:r>
              <w:rPr>
                <w:rFonts w:ascii="Avenir Next Condensed"/>
                <w:b/>
                <w:color w:val="FFFFFF"/>
                <w:sz w:val="18"/>
              </w:rPr>
              <w:t xml:space="preserve">billable </w:t>
            </w:r>
            <w:r>
              <w:rPr>
                <w:rFonts w:ascii="Avenir Next Condensed"/>
                <w:b/>
                <w:color w:val="FFFFFF"/>
                <w:spacing w:val="-1"/>
                <w:sz w:val="18"/>
              </w:rPr>
              <w:t>fixtures</w:t>
            </w:r>
          </w:p>
        </w:tc>
        <w:tc>
          <w:tcPr>
            <w:tcW w:w="5259" w:type="dxa"/>
            <w:gridSpan w:val="6"/>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Annual bill</w:t>
            </w:r>
          </w:p>
        </w:tc>
        <w:tc>
          <w:tcPr>
            <w:tcW w:w="1037"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rsidP="004C4403">
            <w:pPr>
              <w:pStyle w:val="TableParagraph"/>
              <w:spacing w:before="6"/>
              <w:rPr>
                <w:rFonts w:ascii="Avenir Next" w:eastAsia="Avenir Next" w:hAnsi="Avenir Next" w:cs="Avenir Next"/>
                <w:b/>
                <w:bCs/>
              </w:rPr>
            </w:pPr>
          </w:p>
          <w:p w:rsidR="00D96B91" w:rsidRDefault="00C2656B" w:rsidP="004C4403">
            <w:pPr>
              <w:pStyle w:val="TableParagraph"/>
              <w:spacing w:line="220" w:lineRule="exact"/>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w:t>
            </w:r>
            <w:r>
              <w:rPr>
                <w:rFonts w:ascii="Avenir Next Condensed"/>
                <w:b/>
                <w:color w:val="FFFFFF"/>
                <w:spacing w:val="-1"/>
                <w:sz w:val="18"/>
              </w:rPr>
              <w:t>from</w:t>
            </w:r>
            <w:r>
              <w:rPr>
                <w:rFonts w:ascii="Avenir Next Condensed"/>
                <w:b/>
                <w:color w:val="FFFFFF"/>
                <w:spacing w:val="22"/>
                <w:sz w:val="18"/>
              </w:rPr>
              <w:t xml:space="preserve"> </w:t>
            </w:r>
            <w:r>
              <w:rPr>
                <w:rFonts w:ascii="Avenir Next Condensed"/>
                <w:b/>
                <w:color w:val="FFFFFF"/>
                <w:spacing w:val="-1"/>
                <w:sz w:val="18"/>
              </w:rPr>
              <w:t>current</w:t>
            </w:r>
            <w:r>
              <w:rPr>
                <w:rFonts w:ascii="Avenir Next Condensed"/>
                <w:b/>
                <w:color w:val="FFFFFF"/>
                <w:sz w:val="18"/>
              </w:rPr>
              <w:t xml:space="preserve"> bill</w:t>
            </w:r>
            <w:r>
              <w:rPr>
                <w:rFonts w:ascii="Avenir Next Condensed"/>
                <w:b/>
                <w:color w:val="FFFFFF"/>
                <w:spacing w:val="25"/>
                <w:sz w:val="18"/>
              </w:rPr>
              <w:t xml:space="preserve"> </w:t>
            </w:r>
            <w:r>
              <w:rPr>
                <w:rFonts w:ascii="Avenir Next Condensed"/>
                <w:b/>
                <w:color w:val="FFFFFF"/>
                <w:sz w:val="18"/>
              </w:rPr>
              <w:t>(2014-15 to</w:t>
            </w:r>
          </w:p>
          <w:p w:rsidR="00D96B91" w:rsidRDefault="00C2656B" w:rsidP="004C4403">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037" w:type="dxa"/>
            <w:vMerge w:val="restart"/>
            <w:tcBorders>
              <w:top w:val="single" w:sz="4" w:space="0" w:color="1A9EDA"/>
              <w:left w:val="single" w:sz="4" w:space="0" w:color="1A9EDA"/>
              <w:right w:val="single" w:sz="4" w:space="0" w:color="1A9EDA"/>
            </w:tcBorders>
            <w:shd w:val="clear" w:color="auto" w:fill="0778BE"/>
          </w:tcPr>
          <w:p w:rsidR="00D96B91" w:rsidRDefault="00D96B91" w:rsidP="004C4403">
            <w:pPr>
              <w:pStyle w:val="TableParagraph"/>
              <w:spacing w:before="4"/>
              <w:rPr>
                <w:rFonts w:ascii="Avenir Next" w:eastAsia="Avenir Next" w:hAnsi="Avenir Next" w:cs="Avenir Next"/>
                <w:b/>
                <w:bCs/>
                <w:sz w:val="24"/>
                <w:szCs w:val="24"/>
              </w:rPr>
            </w:pPr>
          </w:p>
          <w:p w:rsidR="00D96B91" w:rsidRDefault="00C2656B" w:rsidP="004C4403">
            <w:pPr>
              <w:pStyle w:val="TableParagraph"/>
              <w:spacing w:line="220" w:lineRule="exact"/>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over </w:t>
            </w:r>
            <w:r>
              <w:rPr>
                <w:rFonts w:ascii="Avenir Next Condensed"/>
                <w:b/>
                <w:color w:val="FFFFFF"/>
                <w:spacing w:val="-1"/>
                <w:sz w:val="18"/>
              </w:rPr>
              <w:t>regulatory</w:t>
            </w:r>
            <w:r>
              <w:rPr>
                <w:rFonts w:ascii="Avenir Next Condensed"/>
                <w:b/>
                <w:color w:val="FFFFFF"/>
                <w:spacing w:val="28"/>
                <w:sz w:val="18"/>
              </w:rPr>
              <w:t xml:space="preserve"> </w:t>
            </w:r>
            <w:r>
              <w:rPr>
                <w:rFonts w:ascii="Avenir Next Condensed"/>
                <w:b/>
                <w:color w:val="FFFFFF"/>
                <w:sz w:val="18"/>
              </w:rPr>
              <w:t>period (2012</w:t>
            </w:r>
            <w:r w:rsidR="004C4403">
              <w:rPr>
                <w:rFonts w:ascii="Avenir Next Condensed"/>
                <w:b/>
                <w:color w:val="FFFFFF"/>
                <w:sz w:val="18"/>
              </w:rPr>
              <w:noBreakHyphen/>
            </w:r>
            <w:r>
              <w:rPr>
                <w:rFonts w:ascii="Avenir Next Condensed"/>
                <w:b/>
                <w:color w:val="FFFFFF"/>
                <w:sz w:val="18"/>
              </w:rPr>
              <w:t>13 to</w:t>
            </w:r>
          </w:p>
          <w:p w:rsidR="00D96B91" w:rsidRDefault="00C2656B" w:rsidP="004C4403">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1129" w:type="dxa"/>
            <w:vMerge/>
            <w:tcBorders>
              <w:left w:val="single" w:sz="4" w:space="0" w:color="1A9EDA"/>
              <w:right w:val="single" w:sz="4" w:space="0" w:color="1A9EDA"/>
            </w:tcBorders>
            <w:shd w:val="clear" w:color="auto" w:fill="0778BE"/>
          </w:tcPr>
          <w:p w:rsidR="00D96B91" w:rsidRDefault="00D96B91"/>
        </w:tc>
        <w:tc>
          <w:tcPr>
            <w:tcW w:w="940" w:type="dxa"/>
            <w:vMerge/>
            <w:tcBorders>
              <w:left w:val="single" w:sz="4" w:space="0" w:color="1A9EDA"/>
              <w:right w:val="single" w:sz="4" w:space="0" w:color="1A9EDA"/>
            </w:tcBorders>
            <w:shd w:val="clear" w:color="auto" w:fill="0778BE"/>
          </w:tcPr>
          <w:p w:rsidR="00D96B91" w:rsidRDefault="00D96B91"/>
        </w:tc>
        <w:tc>
          <w:tcPr>
            <w:tcW w:w="868"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10"/>
              <w:rPr>
                <w:rFonts w:ascii="Avenir Next" w:eastAsia="Avenir Next" w:hAnsi="Avenir Next" w:cs="Avenir Next"/>
                <w:b/>
                <w:bCs/>
                <w:sz w:val="20"/>
                <w:szCs w:val="20"/>
              </w:rPr>
            </w:pPr>
          </w:p>
          <w:p w:rsidR="00D96B91" w:rsidRDefault="00C2656B">
            <w:pPr>
              <w:pStyle w:val="TableParagraph"/>
              <w:ind w:left="137"/>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786"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24" w:right="122" w:firstLine="42"/>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 ICRC</w:t>
            </w:r>
            <w:r>
              <w:rPr>
                <w:rFonts w:ascii="Avenir Next Condensed"/>
                <w:b/>
                <w:color w:val="FFFFFF"/>
                <w:spacing w:val="21"/>
                <w:sz w:val="18"/>
              </w:rPr>
              <w:t xml:space="preserve"> </w:t>
            </w:r>
            <w:r>
              <w:rPr>
                <w:rFonts w:ascii="Avenir Next Condensed"/>
                <w:b/>
                <w:color w:val="FFFFFF"/>
                <w:sz w:val="18"/>
              </w:rPr>
              <w:t>and paid by customers</w:t>
            </w:r>
          </w:p>
        </w:tc>
        <w:tc>
          <w:tcPr>
            <w:tcW w:w="2605"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12" w:line="220" w:lineRule="exact"/>
              <w:ind w:left="131" w:right="65"/>
              <w:jc w:val="center"/>
              <w:rPr>
                <w:rFonts w:ascii="Avenir Next Condensed" w:eastAsia="Avenir Next Condensed" w:hAnsi="Avenir Next Condensed" w:cs="Avenir Next Condensed"/>
                <w:sz w:val="18"/>
                <w:szCs w:val="18"/>
              </w:rPr>
            </w:pPr>
            <w:r>
              <w:rPr>
                <w:rFonts w:ascii="Avenir Next Condensed"/>
                <w:b/>
                <w:color w:val="FFFFFF"/>
                <w:spacing w:val="-2"/>
                <w:sz w:val="18"/>
              </w:rPr>
              <w:t>Panel</w:t>
            </w:r>
            <w:r>
              <w:rPr>
                <w:rFonts w:ascii="Avenir Next Condensed"/>
                <w:b/>
                <w:color w:val="FFFFFF"/>
                <w:sz w:val="18"/>
              </w:rPr>
              <w:t xml:space="preserve"> </w:t>
            </w:r>
            <w:r>
              <w:rPr>
                <w:rFonts w:ascii="Avenir Next Condensed"/>
                <w:b/>
                <w:color w:val="FFFFFF"/>
                <w:spacing w:val="-1"/>
                <w:sz w:val="18"/>
              </w:rPr>
              <w:t>Draft</w:t>
            </w:r>
            <w:r>
              <w:rPr>
                <w:rFonts w:ascii="Avenir Next Condensed"/>
                <w:b/>
                <w:color w:val="FFFFFF"/>
                <w:sz w:val="18"/>
              </w:rPr>
              <w:t xml:space="preserve"> Decision indicative</w:t>
            </w:r>
            <w:r>
              <w:rPr>
                <w:rFonts w:ascii="Avenir Next Condensed"/>
                <w:b/>
                <w:color w:val="FFFFFF"/>
                <w:spacing w:val="24"/>
                <w:sz w:val="18"/>
              </w:rPr>
              <w:t xml:space="preserve"> </w:t>
            </w:r>
            <w:r>
              <w:rPr>
                <w:rFonts w:ascii="Avenir Next Condensed"/>
                <w:b/>
                <w:color w:val="FFFFFF"/>
                <w:sz w:val="18"/>
              </w:rPr>
              <w:t>estimates*</w:t>
            </w:r>
          </w:p>
        </w:tc>
        <w:tc>
          <w:tcPr>
            <w:tcW w:w="1037" w:type="dxa"/>
            <w:vMerge/>
            <w:tcBorders>
              <w:left w:val="single" w:sz="4" w:space="0" w:color="1A9EDA"/>
              <w:right w:val="single" w:sz="4" w:space="0" w:color="1A9EDA"/>
            </w:tcBorders>
            <w:shd w:val="clear" w:color="auto" w:fill="0778BE"/>
          </w:tcPr>
          <w:p w:rsidR="00D96B91" w:rsidRDefault="00D96B91"/>
        </w:tc>
        <w:tc>
          <w:tcPr>
            <w:tcW w:w="1037" w:type="dxa"/>
            <w:vMerge/>
            <w:tcBorders>
              <w:left w:val="single" w:sz="4" w:space="0" w:color="1A9EDA"/>
              <w:right w:val="single" w:sz="4" w:space="0" w:color="1A9EDA"/>
            </w:tcBorders>
            <w:shd w:val="clear" w:color="auto" w:fill="0778BE"/>
          </w:tcPr>
          <w:p w:rsidR="00D96B91" w:rsidRDefault="00D96B91"/>
        </w:tc>
      </w:tr>
      <w:tr w:rsidR="00D96B91">
        <w:trPr>
          <w:trHeight w:hRule="exact" w:val="693"/>
        </w:trPr>
        <w:tc>
          <w:tcPr>
            <w:tcW w:w="1129" w:type="dxa"/>
            <w:vMerge/>
            <w:tcBorders>
              <w:left w:val="single" w:sz="4" w:space="0" w:color="1A9EDA"/>
              <w:bottom w:val="single" w:sz="4" w:space="0" w:color="1A9EDA"/>
              <w:right w:val="single" w:sz="4" w:space="0" w:color="1A9EDA"/>
            </w:tcBorders>
            <w:shd w:val="clear" w:color="auto" w:fill="0778BE"/>
          </w:tcPr>
          <w:p w:rsidR="00D96B91" w:rsidRDefault="00D96B91"/>
        </w:tc>
        <w:tc>
          <w:tcPr>
            <w:tcW w:w="940" w:type="dxa"/>
            <w:vMerge/>
            <w:tcBorders>
              <w:left w:val="single" w:sz="4" w:space="0" w:color="1A9EDA"/>
              <w:bottom w:val="single" w:sz="4" w:space="0" w:color="1A9EDA"/>
              <w:right w:val="single" w:sz="4" w:space="0" w:color="1A9EDA"/>
            </w:tcBorders>
            <w:shd w:val="clear" w:color="auto" w:fill="0778BE"/>
          </w:tcPr>
          <w:p w:rsidR="00D96B91" w:rsidRDefault="00D96B91"/>
        </w:tc>
        <w:tc>
          <w:tcPr>
            <w:tcW w:w="868" w:type="dxa"/>
            <w:vMerge/>
            <w:tcBorders>
              <w:left w:val="single" w:sz="4" w:space="0" w:color="1A9EDA"/>
              <w:bottom w:val="single" w:sz="4" w:space="0" w:color="1A9EDA"/>
              <w:right w:val="single" w:sz="4" w:space="0" w:color="1A9EDA"/>
            </w:tcBorders>
            <w:shd w:val="clear" w:color="auto" w:fill="0778BE"/>
          </w:tcPr>
          <w:p w:rsidR="00D96B91" w:rsidRDefault="00D96B91"/>
        </w:tc>
        <w:tc>
          <w:tcPr>
            <w:tcW w:w="8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48"/>
              <w:ind w:left="137"/>
              <w:rPr>
                <w:rFonts w:ascii="Avenir Next Condensed" w:eastAsia="Avenir Next Condensed" w:hAnsi="Avenir Next Condensed" w:cs="Avenir Next Condensed"/>
                <w:sz w:val="18"/>
                <w:szCs w:val="18"/>
              </w:rPr>
            </w:pPr>
            <w:r>
              <w:rPr>
                <w:rFonts w:ascii="Avenir Next Condensed"/>
                <w:b/>
                <w:color w:val="FFFFFF"/>
                <w:sz w:val="18"/>
              </w:rPr>
              <w:t>2013-14</w:t>
            </w:r>
          </w:p>
        </w:tc>
        <w:tc>
          <w:tcPr>
            <w:tcW w:w="9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48"/>
              <w:ind w:left="161"/>
              <w:rPr>
                <w:rFonts w:ascii="Avenir Next Condensed" w:eastAsia="Avenir Next Condensed" w:hAnsi="Avenir Next Condensed" w:cs="Avenir Next Condensed"/>
                <w:sz w:val="18"/>
                <w:szCs w:val="18"/>
              </w:rPr>
            </w:pPr>
            <w:r>
              <w:rPr>
                <w:rFonts w:ascii="Avenir Next Condensed"/>
                <w:b/>
                <w:color w:val="FFFFFF"/>
                <w:sz w:val="18"/>
              </w:rPr>
              <w:t>2014-15</w:t>
            </w:r>
          </w:p>
        </w:tc>
        <w:tc>
          <w:tcPr>
            <w:tcW w:w="8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48"/>
              <w:ind w:left="137"/>
              <w:rPr>
                <w:rFonts w:ascii="Avenir Next Condensed" w:eastAsia="Avenir Next Condensed" w:hAnsi="Avenir Next Condensed" w:cs="Avenir Next Condensed"/>
                <w:sz w:val="18"/>
                <w:szCs w:val="18"/>
              </w:rPr>
            </w:pPr>
            <w:r>
              <w:rPr>
                <w:rFonts w:ascii="Avenir Next Condensed"/>
                <w:b/>
                <w:color w:val="FFFFFF"/>
                <w:sz w:val="18"/>
              </w:rPr>
              <w:t>2015-16</w:t>
            </w:r>
          </w:p>
        </w:tc>
        <w:tc>
          <w:tcPr>
            <w:tcW w:w="8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48"/>
              <w:ind w:left="137"/>
              <w:rPr>
                <w:rFonts w:ascii="Avenir Next Condensed" w:eastAsia="Avenir Next Condensed" w:hAnsi="Avenir Next Condensed" w:cs="Avenir Next Condensed"/>
                <w:sz w:val="18"/>
                <w:szCs w:val="18"/>
              </w:rPr>
            </w:pPr>
            <w:r>
              <w:rPr>
                <w:rFonts w:ascii="Avenir Next Condensed"/>
                <w:b/>
                <w:color w:val="FFFFFF"/>
                <w:sz w:val="18"/>
              </w:rPr>
              <w:t>2016-17</w:t>
            </w:r>
          </w:p>
        </w:tc>
        <w:tc>
          <w:tcPr>
            <w:tcW w:w="8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48"/>
              <w:ind w:left="137"/>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037" w:type="dxa"/>
            <w:vMerge/>
            <w:tcBorders>
              <w:left w:val="single" w:sz="4" w:space="0" w:color="1A9EDA"/>
              <w:bottom w:val="single" w:sz="4" w:space="0" w:color="1A9EDA"/>
              <w:right w:val="single" w:sz="4" w:space="0" w:color="1A9EDA"/>
            </w:tcBorders>
            <w:shd w:val="clear" w:color="auto" w:fill="0778BE"/>
          </w:tcPr>
          <w:p w:rsidR="00D96B91" w:rsidRDefault="00D96B91"/>
        </w:tc>
        <w:tc>
          <w:tcPr>
            <w:tcW w:w="1037" w:type="dxa"/>
            <w:vMerge/>
            <w:tcBorders>
              <w:left w:val="single" w:sz="4" w:space="0" w:color="1A9EDA"/>
              <w:bottom w:val="single" w:sz="4" w:space="0" w:color="1A9EDA"/>
              <w:right w:val="single" w:sz="4" w:space="0" w:color="1A9EDA"/>
            </w:tcBorders>
            <w:shd w:val="clear" w:color="auto" w:fill="0778BE"/>
          </w:tcPr>
          <w:p w:rsidR="00D96B91" w:rsidRDefault="00D96B91"/>
        </w:tc>
      </w:tr>
      <w:tr w:rsidR="00D96B91">
        <w:trPr>
          <w:trHeight w:hRule="exact" w:val="407"/>
        </w:trPr>
        <w:tc>
          <w:tcPr>
            <w:tcW w:w="1129"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b/>
                <w:sz w:val="18"/>
              </w:rPr>
              <w:t>1,000</w:t>
            </w:r>
          </w:p>
        </w:tc>
        <w:tc>
          <w:tcPr>
            <w:tcW w:w="9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
              <w:jc w:val="center"/>
              <w:rPr>
                <w:rFonts w:ascii="Avenir Next Condensed" w:eastAsia="Avenir Next Condensed" w:hAnsi="Avenir Next Condensed" w:cs="Avenir Next Condensed"/>
                <w:sz w:val="18"/>
                <w:szCs w:val="18"/>
              </w:rPr>
            </w:pPr>
            <w:r>
              <w:rPr>
                <w:rFonts w:ascii="Avenir Next Condensed"/>
                <w:sz w:val="18"/>
              </w:rPr>
              <w:t>10</w:t>
            </w:r>
          </w:p>
        </w:tc>
        <w:tc>
          <w:tcPr>
            <w:tcW w:w="8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0"/>
              <w:rPr>
                <w:rFonts w:ascii="Avenir Next Condensed" w:eastAsia="Avenir Next Condensed" w:hAnsi="Avenir Next Condensed" w:cs="Avenir Next Condensed"/>
                <w:sz w:val="18"/>
                <w:szCs w:val="18"/>
              </w:rPr>
            </w:pPr>
            <w:r>
              <w:rPr>
                <w:rFonts w:ascii="Avenir Next Condensed"/>
                <w:sz w:val="18"/>
              </w:rPr>
              <w:t>10,949</w:t>
            </w:r>
          </w:p>
        </w:tc>
        <w:tc>
          <w:tcPr>
            <w:tcW w:w="8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5"/>
              <w:rPr>
                <w:rFonts w:ascii="Avenir Next Condensed" w:eastAsia="Avenir Next Condensed" w:hAnsi="Avenir Next Condensed" w:cs="Avenir Next Condensed"/>
                <w:sz w:val="18"/>
                <w:szCs w:val="18"/>
              </w:rPr>
            </w:pPr>
            <w:r>
              <w:rPr>
                <w:rFonts w:ascii="Avenir Next Condensed"/>
                <w:sz w:val="18"/>
              </w:rPr>
              <w:t>9,994</w:t>
            </w:r>
          </w:p>
        </w:tc>
        <w:tc>
          <w:tcPr>
            <w:tcW w:w="9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10,311</w:t>
            </w:r>
          </w:p>
        </w:tc>
        <w:tc>
          <w:tcPr>
            <w:tcW w:w="8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0"/>
              <w:rPr>
                <w:rFonts w:ascii="Avenir Next Condensed" w:eastAsia="Avenir Next Condensed" w:hAnsi="Avenir Next Condensed" w:cs="Avenir Next Condensed"/>
                <w:sz w:val="18"/>
                <w:szCs w:val="18"/>
              </w:rPr>
            </w:pPr>
            <w:r>
              <w:rPr>
                <w:rFonts w:ascii="Avenir Next Condensed"/>
                <w:sz w:val="18"/>
              </w:rPr>
              <w:t>10,326</w:t>
            </w:r>
          </w:p>
        </w:tc>
        <w:tc>
          <w:tcPr>
            <w:tcW w:w="8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10,469</w:t>
            </w:r>
          </w:p>
        </w:tc>
        <w:tc>
          <w:tcPr>
            <w:tcW w:w="8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10,615</w:t>
            </w:r>
          </w:p>
        </w:tc>
        <w:tc>
          <w:tcPr>
            <w:tcW w:w="103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
              <w:jc w:val="center"/>
              <w:rPr>
                <w:rFonts w:ascii="Avenir Next Condensed" w:eastAsia="Avenir Next Condensed" w:hAnsi="Avenir Next Condensed" w:cs="Avenir Next Condensed"/>
                <w:sz w:val="18"/>
                <w:szCs w:val="18"/>
              </w:rPr>
            </w:pPr>
            <w:r>
              <w:rPr>
                <w:rFonts w:ascii="Avenir Next Condensed"/>
                <w:sz w:val="18"/>
              </w:rPr>
              <w:t>3%</w:t>
            </w:r>
          </w:p>
        </w:tc>
        <w:tc>
          <w:tcPr>
            <w:tcW w:w="103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
              <w:jc w:val="center"/>
              <w:rPr>
                <w:rFonts w:ascii="Avenir Next Condensed" w:eastAsia="Avenir Next Condensed" w:hAnsi="Avenir Next Condensed" w:cs="Avenir Next Condensed"/>
                <w:sz w:val="18"/>
                <w:szCs w:val="18"/>
              </w:rPr>
            </w:pPr>
            <w:r>
              <w:rPr>
                <w:rFonts w:ascii="Avenir Next Condensed"/>
                <w:sz w:val="18"/>
              </w:rPr>
              <w:t>-3%</w:t>
            </w:r>
          </w:p>
        </w:tc>
      </w:tr>
      <w:tr w:rsidR="00D96B91">
        <w:trPr>
          <w:trHeight w:hRule="exact" w:val="407"/>
        </w:trPr>
        <w:tc>
          <w:tcPr>
            <w:tcW w:w="1129" w:type="dxa"/>
            <w:vMerge/>
            <w:tcBorders>
              <w:left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0"/>
              <w:jc w:val="center"/>
              <w:rPr>
                <w:rFonts w:ascii="Avenir Next Condensed" w:eastAsia="Avenir Next Condensed" w:hAnsi="Avenir Next Condensed" w:cs="Avenir Next Condensed"/>
                <w:sz w:val="18"/>
                <w:szCs w:val="18"/>
              </w:rPr>
            </w:pPr>
            <w:r>
              <w:rPr>
                <w:rFonts w:ascii="Avenir Next Condensed"/>
                <w:sz w:val="18"/>
              </w:rPr>
              <w:t>50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34,445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29,241</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30,082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31,072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31,734</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32,412</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
              <w:jc w:val="center"/>
              <w:rPr>
                <w:rFonts w:ascii="Avenir Next Condensed" w:eastAsia="Avenir Next Condensed" w:hAnsi="Avenir Next Condensed" w:cs="Avenir Next Condensed"/>
                <w:sz w:val="18"/>
                <w:szCs w:val="18"/>
              </w:rPr>
            </w:pPr>
            <w:r>
              <w:rPr>
                <w:rFonts w:ascii="Avenir Next Condensed"/>
                <w:sz w:val="18"/>
              </w:rPr>
              <w:t>8%</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
              <w:jc w:val="center"/>
              <w:rPr>
                <w:rFonts w:ascii="Avenir Next Condensed" w:eastAsia="Avenir Next Condensed" w:hAnsi="Avenir Next Condensed" w:cs="Avenir Next Condensed"/>
                <w:sz w:val="18"/>
                <w:szCs w:val="18"/>
              </w:rPr>
            </w:pPr>
            <w:r>
              <w:rPr>
                <w:rFonts w:ascii="Avenir Next Condensed"/>
                <w:sz w:val="18"/>
              </w:rPr>
              <w:t>-6%</w:t>
            </w:r>
          </w:p>
        </w:tc>
      </w:tr>
      <w:tr w:rsidR="00D96B91">
        <w:trPr>
          <w:trHeight w:hRule="exact" w:val="407"/>
        </w:trPr>
        <w:tc>
          <w:tcPr>
            <w:tcW w:w="1129" w:type="dxa"/>
            <w:vMerge/>
            <w:tcBorders>
              <w:left w:val="single" w:sz="4" w:space="0" w:color="17A7E0"/>
              <w:bottom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
              <w:jc w:val="center"/>
              <w:rPr>
                <w:rFonts w:ascii="Avenir Next Condensed" w:eastAsia="Avenir Next Condensed" w:hAnsi="Avenir Next Condensed" w:cs="Avenir Next Condensed"/>
                <w:sz w:val="18"/>
                <w:szCs w:val="18"/>
              </w:rPr>
            </w:pPr>
            <w:r>
              <w:rPr>
                <w:rFonts w:ascii="Avenir Next Condensed"/>
                <w:sz w:val="18"/>
              </w:rPr>
              <w:t>100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63,816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53,300</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1"/>
              <w:rPr>
                <w:rFonts w:ascii="Avenir Next Condensed" w:eastAsia="Avenir Next Condensed" w:hAnsi="Avenir Next Condensed" w:cs="Avenir Next Condensed"/>
                <w:sz w:val="18"/>
                <w:szCs w:val="18"/>
              </w:rPr>
            </w:pPr>
            <w:r>
              <w:rPr>
                <w:rFonts w:ascii="Avenir Next Condensed"/>
                <w:sz w:val="18"/>
              </w:rPr>
              <w:t>54,796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57,005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58,315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59,658</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
              <w:jc w:val="center"/>
              <w:rPr>
                <w:rFonts w:ascii="Avenir Next Condensed" w:eastAsia="Avenir Next Condensed" w:hAnsi="Avenir Next Condensed" w:cs="Avenir Next Condensed"/>
                <w:sz w:val="18"/>
                <w:szCs w:val="18"/>
              </w:rPr>
            </w:pPr>
            <w:r>
              <w:rPr>
                <w:rFonts w:ascii="Avenir Next Condensed"/>
                <w:sz w:val="18"/>
              </w:rPr>
              <w:t>9%</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
              <w:jc w:val="center"/>
              <w:rPr>
                <w:rFonts w:ascii="Avenir Next Condensed" w:eastAsia="Avenir Next Condensed" w:hAnsi="Avenir Next Condensed" w:cs="Avenir Next Condensed"/>
                <w:sz w:val="18"/>
                <w:szCs w:val="18"/>
              </w:rPr>
            </w:pPr>
            <w:r>
              <w:rPr>
                <w:rFonts w:ascii="Avenir Next Condensed"/>
                <w:sz w:val="18"/>
              </w:rPr>
              <w:t>-7%</w:t>
            </w:r>
          </w:p>
        </w:tc>
      </w:tr>
      <w:tr w:rsidR="00D96B91">
        <w:trPr>
          <w:trHeight w:hRule="exact" w:val="407"/>
        </w:trPr>
        <w:tc>
          <w:tcPr>
            <w:tcW w:w="1129"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z w:val="18"/>
              </w:rPr>
              <w:t>2,000</w:t>
            </w:r>
          </w:p>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2"/>
              <w:jc w:val="center"/>
              <w:rPr>
                <w:rFonts w:ascii="Avenir Next Condensed" w:eastAsia="Avenir Next Condensed" w:hAnsi="Avenir Next Condensed" w:cs="Avenir Next Condensed"/>
                <w:sz w:val="18"/>
                <w:szCs w:val="18"/>
              </w:rPr>
            </w:pPr>
            <w:r>
              <w:rPr>
                <w:rFonts w:ascii="Avenir Next Condensed"/>
                <w:sz w:val="18"/>
              </w:rPr>
              <w:t>10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sz w:val="18"/>
              </w:rPr>
              <w:t>15,809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15,094</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1"/>
              <w:rPr>
                <w:rFonts w:ascii="Avenir Next Condensed" w:eastAsia="Avenir Next Condensed" w:hAnsi="Avenir Next Condensed" w:cs="Avenir Next Condensed"/>
                <w:sz w:val="18"/>
                <w:szCs w:val="18"/>
              </w:rPr>
            </w:pPr>
            <w:r>
              <w:rPr>
                <w:rFonts w:ascii="Avenir Next Condensed"/>
                <w:sz w:val="18"/>
              </w:rPr>
              <w:t>15,601</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15,340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15,483</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15,629</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7"/>
              <w:jc w:val="center"/>
              <w:rPr>
                <w:rFonts w:ascii="Avenir Next Condensed" w:eastAsia="Avenir Next Condensed" w:hAnsi="Avenir Next Condensed" w:cs="Avenir Next Condensed"/>
                <w:sz w:val="18"/>
                <w:szCs w:val="18"/>
              </w:rPr>
            </w:pPr>
            <w:r>
              <w:rPr>
                <w:rFonts w:ascii="Avenir Next Condensed"/>
                <w:sz w:val="18"/>
              </w:rPr>
              <w:t>0%</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407"/>
        </w:trPr>
        <w:tc>
          <w:tcPr>
            <w:tcW w:w="1129" w:type="dxa"/>
            <w:vMerge/>
            <w:tcBorders>
              <w:left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3"/>
              <w:jc w:val="center"/>
              <w:rPr>
                <w:rFonts w:ascii="Avenir Next Condensed" w:eastAsia="Avenir Next Condensed" w:hAnsi="Avenir Next Condensed" w:cs="Avenir Next Condensed"/>
                <w:sz w:val="18"/>
                <w:szCs w:val="18"/>
              </w:rPr>
            </w:pPr>
            <w:r>
              <w:rPr>
                <w:rFonts w:ascii="Avenir Next Condensed"/>
                <w:sz w:val="18"/>
              </w:rPr>
              <w:t>50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39,305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34,341</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rPr>
                <w:rFonts w:ascii="Avenir Next Condensed" w:eastAsia="Avenir Next Condensed" w:hAnsi="Avenir Next Condensed" w:cs="Avenir Next Condensed"/>
                <w:sz w:val="18"/>
                <w:szCs w:val="18"/>
              </w:rPr>
            </w:pPr>
            <w:r>
              <w:rPr>
                <w:rFonts w:ascii="Avenir Next Condensed"/>
                <w:sz w:val="18"/>
              </w:rPr>
              <w:t>35,372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36,086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36,748</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37,426</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6%</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
              <w:jc w:val="center"/>
              <w:rPr>
                <w:rFonts w:ascii="Avenir Next Condensed" w:eastAsia="Avenir Next Condensed" w:hAnsi="Avenir Next Condensed" w:cs="Avenir Next Condensed"/>
                <w:sz w:val="18"/>
                <w:szCs w:val="18"/>
              </w:rPr>
            </w:pPr>
            <w:r>
              <w:rPr>
                <w:rFonts w:ascii="Avenir Next Condensed"/>
                <w:sz w:val="18"/>
              </w:rPr>
              <w:t>-5%</w:t>
            </w:r>
          </w:p>
        </w:tc>
      </w:tr>
      <w:tr w:rsidR="00D96B91">
        <w:trPr>
          <w:trHeight w:hRule="exact" w:val="407"/>
        </w:trPr>
        <w:tc>
          <w:tcPr>
            <w:tcW w:w="1129" w:type="dxa"/>
            <w:vMerge/>
            <w:tcBorders>
              <w:left w:val="single" w:sz="4" w:space="0" w:color="17A7E0"/>
              <w:bottom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
              <w:jc w:val="center"/>
              <w:rPr>
                <w:rFonts w:ascii="Avenir Next Condensed" w:eastAsia="Avenir Next Condensed" w:hAnsi="Avenir Next Condensed" w:cs="Avenir Next Condensed"/>
                <w:sz w:val="18"/>
                <w:szCs w:val="18"/>
              </w:rPr>
            </w:pPr>
            <w:r>
              <w:rPr>
                <w:rFonts w:ascii="Avenir Next Condensed"/>
                <w:sz w:val="18"/>
              </w:rPr>
              <w:t>100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68,676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58,400</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rPr>
                <w:rFonts w:ascii="Avenir Next Condensed" w:eastAsia="Avenir Next Condensed" w:hAnsi="Avenir Next Condensed" w:cs="Avenir Next Condensed"/>
                <w:sz w:val="18"/>
                <w:szCs w:val="18"/>
              </w:rPr>
            </w:pPr>
            <w:r>
              <w:rPr>
                <w:rFonts w:ascii="Avenir Next Condensed"/>
                <w:sz w:val="18"/>
              </w:rPr>
              <w:t>60,086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2"/>
              <w:rPr>
                <w:rFonts w:ascii="Avenir Next Condensed" w:eastAsia="Avenir Next Condensed" w:hAnsi="Avenir Next Condensed" w:cs="Avenir Next Condensed"/>
                <w:sz w:val="18"/>
                <w:szCs w:val="18"/>
              </w:rPr>
            </w:pPr>
            <w:r>
              <w:rPr>
                <w:rFonts w:ascii="Avenir Next Condensed"/>
                <w:sz w:val="18"/>
              </w:rPr>
              <w:t>62,019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63,329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64,672</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8%</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
              <w:jc w:val="center"/>
              <w:rPr>
                <w:rFonts w:ascii="Avenir Next Condensed" w:eastAsia="Avenir Next Condensed" w:hAnsi="Avenir Next Condensed" w:cs="Avenir Next Condensed"/>
                <w:sz w:val="18"/>
                <w:szCs w:val="18"/>
              </w:rPr>
            </w:pPr>
            <w:r>
              <w:rPr>
                <w:rFonts w:ascii="Avenir Next Condensed"/>
                <w:sz w:val="18"/>
              </w:rPr>
              <w:t>-6%</w:t>
            </w:r>
          </w:p>
        </w:tc>
      </w:tr>
      <w:tr w:rsidR="00D96B91">
        <w:trPr>
          <w:trHeight w:hRule="exact" w:val="407"/>
        </w:trPr>
        <w:tc>
          <w:tcPr>
            <w:tcW w:w="1129"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b/>
                <w:sz w:val="18"/>
              </w:rPr>
              <w:t>5,000</w:t>
            </w:r>
          </w:p>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10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30,389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30,394</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rPr>
                <w:rFonts w:ascii="Avenir Next Condensed" w:eastAsia="Avenir Next Condensed" w:hAnsi="Avenir Next Condensed" w:cs="Avenir Next Condensed"/>
                <w:sz w:val="18"/>
                <w:szCs w:val="18"/>
              </w:rPr>
            </w:pPr>
            <w:r>
              <w:rPr>
                <w:rFonts w:ascii="Avenir Next Condensed"/>
                <w:sz w:val="18"/>
              </w:rPr>
              <w:t>31,471</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30,383</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30,526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30,672</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
              <w:jc w:val="center"/>
              <w:rPr>
                <w:rFonts w:ascii="Avenir Next Condensed" w:eastAsia="Avenir Next Condensed" w:hAnsi="Avenir Next Condensed" w:cs="Avenir Next Condensed"/>
                <w:sz w:val="18"/>
                <w:szCs w:val="18"/>
              </w:rPr>
            </w:pPr>
            <w:r>
              <w:rPr>
                <w:rFonts w:ascii="Avenir Next Condensed"/>
                <w:sz w:val="18"/>
              </w:rPr>
              <w:t>-3%</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9"/>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407"/>
        </w:trPr>
        <w:tc>
          <w:tcPr>
            <w:tcW w:w="1129" w:type="dxa"/>
            <w:vMerge/>
            <w:tcBorders>
              <w:left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50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53,885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49,641</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3"/>
              <w:rPr>
                <w:rFonts w:ascii="Avenir Next Condensed" w:eastAsia="Avenir Next Condensed" w:hAnsi="Avenir Next Condensed" w:cs="Avenir Next Condensed"/>
                <w:sz w:val="18"/>
                <w:szCs w:val="18"/>
              </w:rPr>
            </w:pPr>
            <w:r>
              <w:rPr>
                <w:rFonts w:ascii="Avenir Next Condensed"/>
                <w:sz w:val="18"/>
              </w:rPr>
              <w:t>51,242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51,129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51,791</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52,469</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
              <w:jc w:val="center"/>
              <w:rPr>
                <w:rFonts w:ascii="Avenir Next Condensed" w:eastAsia="Avenir Next Condensed" w:hAnsi="Avenir Next Condensed" w:cs="Avenir Next Condensed"/>
                <w:sz w:val="18"/>
                <w:szCs w:val="18"/>
              </w:rPr>
            </w:pPr>
            <w:r>
              <w:rPr>
                <w:rFonts w:ascii="Avenir Next Condensed"/>
                <w:sz w:val="18"/>
              </w:rPr>
              <w:t>2%</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
              <w:jc w:val="center"/>
              <w:rPr>
                <w:rFonts w:ascii="Avenir Next Condensed" w:eastAsia="Avenir Next Condensed" w:hAnsi="Avenir Next Condensed" w:cs="Avenir Next Condensed"/>
                <w:sz w:val="18"/>
                <w:szCs w:val="18"/>
              </w:rPr>
            </w:pPr>
            <w:r>
              <w:rPr>
                <w:rFonts w:ascii="Avenir Next Condensed"/>
                <w:sz w:val="18"/>
              </w:rPr>
              <w:t>-3%</w:t>
            </w:r>
          </w:p>
        </w:tc>
      </w:tr>
      <w:tr w:rsidR="00D96B91">
        <w:trPr>
          <w:trHeight w:hRule="exact" w:val="407"/>
        </w:trPr>
        <w:tc>
          <w:tcPr>
            <w:tcW w:w="1129" w:type="dxa"/>
            <w:vMerge/>
            <w:tcBorders>
              <w:left w:val="single" w:sz="4" w:space="0" w:color="17A7E0"/>
              <w:bottom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
              <w:jc w:val="center"/>
              <w:rPr>
                <w:rFonts w:ascii="Avenir Next Condensed" w:eastAsia="Avenir Next Condensed" w:hAnsi="Avenir Next Condensed" w:cs="Avenir Next Condensed"/>
                <w:sz w:val="18"/>
                <w:szCs w:val="18"/>
              </w:rPr>
            </w:pPr>
            <w:r>
              <w:rPr>
                <w:rFonts w:ascii="Avenir Next Condensed"/>
                <w:sz w:val="18"/>
              </w:rPr>
              <w:t>100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3"/>
              <w:rPr>
                <w:rFonts w:ascii="Avenir Next Condensed" w:eastAsia="Avenir Next Condensed" w:hAnsi="Avenir Next Condensed" w:cs="Avenir Next Condensed"/>
                <w:sz w:val="18"/>
                <w:szCs w:val="18"/>
              </w:rPr>
            </w:pPr>
            <w:r>
              <w:rPr>
                <w:rFonts w:ascii="Avenir Next Condensed"/>
                <w:sz w:val="18"/>
              </w:rPr>
              <w:t>83,256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73,700</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3"/>
              <w:rPr>
                <w:rFonts w:ascii="Avenir Next Condensed" w:eastAsia="Avenir Next Condensed" w:hAnsi="Avenir Next Condensed" w:cs="Avenir Next Condensed"/>
                <w:sz w:val="18"/>
                <w:szCs w:val="18"/>
              </w:rPr>
            </w:pPr>
            <w:r>
              <w:rPr>
                <w:rFonts w:ascii="Avenir Next Condensed"/>
                <w:sz w:val="18"/>
              </w:rPr>
              <w:t>75,956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77,062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78,372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79,714</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1"/>
              <w:jc w:val="center"/>
              <w:rPr>
                <w:rFonts w:ascii="Avenir Next Condensed" w:eastAsia="Avenir Next Condensed" w:hAnsi="Avenir Next Condensed" w:cs="Avenir Next Condensed"/>
                <w:sz w:val="18"/>
                <w:szCs w:val="18"/>
              </w:rPr>
            </w:pPr>
            <w:r>
              <w:rPr>
                <w:rFonts w:ascii="Avenir Next Condensed"/>
                <w:sz w:val="18"/>
              </w:rPr>
              <w:t>5%</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
              <w:jc w:val="center"/>
              <w:rPr>
                <w:rFonts w:ascii="Avenir Next Condensed" w:eastAsia="Avenir Next Condensed" w:hAnsi="Avenir Next Condensed" w:cs="Avenir Next Condensed"/>
                <w:sz w:val="18"/>
                <w:szCs w:val="18"/>
              </w:rPr>
            </w:pPr>
            <w:r>
              <w:rPr>
                <w:rFonts w:ascii="Avenir Next Condensed"/>
                <w:sz w:val="18"/>
              </w:rPr>
              <w:t>-4%</w:t>
            </w:r>
          </w:p>
        </w:tc>
      </w:tr>
      <w:tr w:rsidR="00D96B91">
        <w:trPr>
          <w:trHeight w:hRule="exact" w:val="407"/>
        </w:trPr>
        <w:tc>
          <w:tcPr>
            <w:tcW w:w="1129"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08"/>
              <w:ind w:left="111"/>
              <w:rPr>
                <w:rFonts w:ascii="Avenir Next Condensed" w:eastAsia="Avenir Next Condensed" w:hAnsi="Avenir Next Condensed" w:cs="Avenir Next Condensed"/>
                <w:sz w:val="18"/>
                <w:szCs w:val="18"/>
              </w:rPr>
            </w:pPr>
            <w:r>
              <w:rPr>
                <w:rFonts w:ascii="Avenir Next Condensed"/>
                <w:b/>
                <w:sz w:val="18"/>
              </w:rPr>
              <w:t>10,000</w:t>
            </w:r>
          </w:p>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7"/>
              <w:jc w:val="center"/>
              <w:rPr>
                <w:rFonts w:ascii="Avenir Next Condensed" w:eastAsia="Avenir Next Condensed" w:hAnsi="Avenir Next Condensed" w:cs="Avenir Next Condensed"/>
                <w:sz w:val="18"/>
                <w:szCs w:val="18"/>
              </w:rPr>
            </w:pPr>
            <w:r>
              <w:rPr>
                <w:rFonts w:ascii="Avenir Next Condensed"/>
                <w:sz w:val="18"/>
              </w:rPr>
              <w:t>10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54,689</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55,894</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4"/>
              <w:rPr>
                <w:rFonts w:ascii="Avenir Next Condensed" w:eastAsia="Avenir Next Condensed" w:hAnsi="Avenir Next Condensed" w:cs="Avenir Next Condensed"/>
                <w:sz w:val="18"/>
                <w:szCs w:val="18"/>
              </w:rPr>
            </w:pPr>
            <w:r>
              <w:rPr>
                <w:rFonts w:ascii="Avenir Next Condensed"/>
                <w:sz w:val="18"/>
              </w:rPr>
              <w:t>57,921</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55,454</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55,596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55,743</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
              <w:jc w:val="center"/>
              <w:rPr>
                <w:rFonts w:ascii="Avenir Next Condensed" w:eastAsia="Avenir Next Condensed" w:hAnsi="Avenir Next Condensed" w:cs="Avenir Next Condensed"/>
                <w:sz w:val="18"/>
                <w:szCs w:val="18"/>
              </w:rPr>
            </w:pPr>
            <w:r>
              <w:rPr>
                <w:rFonts w:ascii="Avenir Next Condensed"/>
                <w:sz w:val="18"/>
              </w:rPr>
              <w:t>-4%</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
              <w:jc w:val="center"/>
              <w:rPr>
                <w:rFonts w:ascii="Avenir Next Condensed" w:eastAsia="Avenir Next Condensed" w:hAnsi="Avenir Next Condensed" w:cs="Avenir Next Condensed"/>
                <w:sz w:val="18"/>
                <w:szCs w:val="18"/>
              </w:rPr>
            </w:pPr>
            <w:r>
              <w:rPr>
                <w:rFonts w:ascii="Avenir Next Condensed"/>
                <w:sz w:val="18"/>
              </w:rPr>
              <w:t>2%</w:t>
            </w:r>
          </w:p>
        </w:tc>
      </w:tr>
      <w:tr w:rsidR="00D96B91">
        <w:trPr>
          <w:trHeight w:hRule="exact" w:val="407"/>
        </w:trPr>
        <w:tc>
          <w:tcPr>
            <w:tcW w:w="1129" w:type="dxa"/>
            <w:vMerge/>
            <w:tcBorders>
              <w:left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8"/>
              <w:jc w:val="center"/>
              <w:rPr>
                <w:rFonts w:ascii="Avenir Next Condensed" w:eastAsia="Avenir Next Condensed" w:hAnsi="Avenir Next Condensed" w:cs="Avenir Next Condensed"/>
                <w:sz w:val="18"/>
                <w:szCs w:val="18"/>
              </w:rPr>
            </w:pPr>
            <w:r>
              <w:rPr>
                <w:rFonts w:ascii="Avenir Next Condensed"/>
                <w:sz w:val="18"/>
              </w:rPr>
              <w:t>50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78,185</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4"/>
              <w:rPr>
                <w:rFonts w:ascii="Avenir Next Condensed" w:eastAsia="Avenir Next Condensed" w:hAnsi="Avenir Next Condensed" w:cs="Avenir Next Condensed"/>
                <w:sz w:val="18"/>
                <w:szCs w:val="18"/>
              </w:rPr>
            </w:pPr>
            <w:r>
              <w:rPr>
                <w:rFonts w:ascii="Avenir Next Condensed"/>
                <w:sz w:val="18"/>
              </w:rPr>
              <w:t>75,141</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4"/>
              <w:rPr>
                <w:rFonts w:ascii="Avenir Next Condensed" w:eastAsia="Avenir Next Condensed" w:hAnsi="Avenir Next Condensed" w:cs="Avenir Next Condensed"/>
                <w:sz w:val="18"/>
                <w:szCs w:val="18"/>
              </w:rPr>
            </w:pPr>
            <w:r>
              <w:rPr>
                <w:rFonts w:ascii="Avenir Next Condensed"/>
                <w:sz w:val="18"/>
              </w:rPr>
              <w:t>77,692</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5"/>
              <w:rPr>
                <w:rFonts w:ascii="Avenir Next Condensed" w:eastAsia="Avenir Next Condensed" w:hAnsi="Avenir Next Condensed" w:cs="Avenir Next Condensed"/>
                <w:sz w:val="18"/>
                <w:szCs w:val="18"/>
              </w:rPr>
            </w:pPr>
            <w:r>
              <w:rPr>
                <w:rFonts w:ascii="Avenir Next Condensed"/>
                <w:sz w:val="18"/>
              </w:rPr>
              <w:t>76,200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5"/>
              <w:rPr>
                <w:rFonts w:ascii="Avenir Next Condensed" w:eastAsia="Avenir Next Condensed" w:hAnsi="Avenir Next Condensed" w:cs="Avenir Next Condensed"/>
                <w:sz w:val="18"/>
                <w:szCs w:val="18"/>
              </w:rPr>
            </w:pPr>
            <w:r>
              <w:rPr>
                <w:rFonts w:ascii="Avenir Next Condensed"/>
                <w:sz w:val="18"/>
              </w:rPr>
              <w:t>76,861</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5"/>
              <w:rPr>
                <w:rFonts w:ascii="Avenir Next Condensed" w:eastAsia="Avenir Next Condensed" w:hAnsi="Avenir Next Condensed" w:cs="Avenir Next Condensed"/>
                <w:sz w:val="18"/>
                <w:szCs w:val="18"/>
              </w:rPr>
            </w:pPr>
            <w:r>
              <w:rPr>
                <w:rFonts w:ascii="Avenir Next Condensed"/>
                <w:sz w:val="18"/>
              </w:rPr>
              <w:t>77,540</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3"/>
              <w:jc w:val="center"/>
              <w:rPr>
                <w:rFonts w:ascii="Avenir Next Condensed" w:eastAsia="Avenir Next Condensed" w:hAnsi="Avenir Next Condensed" w:cs="Avenir Next Condensed"/>
                <w:sz w:val="18"/>
                <w:szCs w:val="18"/>
              </w:rPr>
            </w:pPr>
            <w:r>
              <w:rPr>
                <w:rFonts w:ascii="Avenir Next Condensed"/>
                <w:sz w:val="18"/>
              </w:rPr>
              <w:t>0%</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407"/>
        </w:trPr>
        <w:tc>
          <w:tcPr>
            <w:tcW w:w="1129" w:type="dxa"/>
            <w:vMerge/>
            <w:tcBorders>
              <w:left w:val="single" w:sz="4" w:space="0" w:color="17A7E0"/>
              <w:bottom w:val="single" w:sz="4" w:space="0" w:color="17A7E0"/>
              <w:right w:val="single" w:sz="4" w:space="0" w:color="17A7E0"/>
            </w:tcBorders>
            <w:shd w:val="clear" w:color="auto" w:fill="F0F9FE"/>
          </w:tcPr>
          <w:p w:rsidR="00D96B91" w:rsidRDefault="00D96B91"/>
        </w:tc>
        <w:tc>
          <w:tcPr>
            <w:tcW w:w="9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
              <w:jc w:val="center"/>
              <w:rPr>
                <w:rFonts w:ascii="Avenir Next Condensed" w:eastAsia="Avenir Next Condensed" w:hAnsi="Avenir Next Condensed" w:cs="Avenir Next Condensed"/>
                <w:sz w:val="18"/>
                <w:szCs w:val="18"/>
              </w:rPr>
            </w:pPr>
            <w:r>
              <w:rPr>
                <w:rFonts w:ascii="Avenir Next Condensed"/>
                <w:sz w:val="18"/>
              </w:rPr>
              <w:t>100</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0"/>
              <w:rPr>
                <w:rFonts w:ascii="Avenir Next Condensed" w:eastAsia="Avenir Next Condensed" w:hAnsi="Avenir Next Condensed" w:cs="Avenir Next Condensed"/>
                <w:sz w:val="18"/>
                <w:szCs w:val="18"/>
              </w:rPr>
            </w:pPr>
            <w:r>
              <w:rPr>
                <w:rFonts w:ascii="Avenir Next Condensed"/>
                <w:sz w:val="18"/>
              </w:rPr>
              <w:t>107,556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5"/>
              <w:rPr>
                <w:rFonts w:ascii="Avenir Next Condensed" w:eastAsia="Avenir Next Condensed" w:hAnsi="Avenir Next Condensed" w:cs="Avenir Next Condensed"/>
                <w:sz w:val="18"/>
                <w:szCs w:val="18"/>
              </w:rPr>
            </w:pPr>
            <w:r>
              <w:rPr>
                <w:rFonts w:ascii="Avenir Next Condensed"/>
                <w:sz w:val="18"/>
              </w:rPr>
              <w:t>99,200</w:t>
            </w:r>
          </w:p>
        </w:tc>
        <w:tc>
          <w:tcPr>
            <w:tcW w:w="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00"/>
              <w:rPr>
                <w:rFonts w:ascii="Avenir Next Condensed" w:eastAsia="Avenir Next Condensed" w:hAnsi="Avenir Next Condensed" w:cs="Avenir Next Condensed"/>
                <w:sz w:val="18"/>
                <w:szCs w:val="18"/>
              </w:rPr>
            </w:pPr>
            <w:r>
              <w:rPr>
                <w:rFonts w:ascii="Avenir Next Condensed"/>
                <w:sz w:val="18"/>
              </w:rPr>
              <w:t>102,406</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0"/>
              <w:rPr>
                <w:rFonts w:ascii="Avenir Next Condensed" w:eastAsia="Avenir Next Condensed" w:hAnsi="Avenir Next Condensed" w:cs="Avenir Next Condensed"/>
                <w:sz w:val="18"/>
                <w:szCs w:val="18"/>
              </w:rPr>
            </w:pPr>
            <w:r>
              <w:rPr>
                <w:rFonts w:ascii="Avenir Next Condensed"/>
                <w:sz w:val="18"/>
              </w:rPr>
              <w:t>102,133</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0"/>
              <w:rPr>
                <w:rFonts w:ascii="Avenir Next Condensed" w:eastAsia="Avenir Next Condensed" w:hAnsi="Avenir Next Condensed" w:cs="Avenir Next Condensed"/>
                <w:sz w:val="18"/>
                <w:szCs w:val="18"/>
              </w:rPr>
            </w:pPr>
            <w:r>
              <w:rPr>
                <w:rFonts w:ascii="Avenir Next Condensed"/>
                <w:sz w:val="18"/>
              </w:rPr>
              <w:t>103,443</w:t>
            </w:r>
          </w:p>
        </w:tc>
        <w:tc>
          <w:tcPr>
            <w:tcW w:w="8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1"/>
              <w:rPr>
                <w:rFonts w:ascii="Avenir Next Condensed" w:eastAsia="Avenir Next Condensed" w:hAnsi="Avenir Next Condensed" w:cs="Avenir Next Condensed"/>
                <w:sz w:val="18"/>
                <w:szCs w:val="18"/>
              </w:rPr>
            </w:pPr>
            <w:r>
              <w:rPr>
                <w:rFonts w:ascii="Avenir Next Condensed"/>
                <w:sz w:val="18"/>
              </w:rPr>
              <w:t>104,785</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3"/>
              <w:jc w:val="center"/>
              <w:rPr>
                <w:rFonts w:ascii="Avenir Next Condensed" w:eastAsia="Avenir Next Condensed" w:hAnsi="Avenir Next Condensed" w:cs="Avenir Next Condensed"/>
                <w:sz w:val="18"/>
                <w:szCs w:val="18"/>
              </w:rPr>
            </w:pPr>
            <w:r>
              <w:rPr>
                <w:rFonts w:ascii="Avenir Next Condensed"/>
                <w:sz w:val="18"/>
              </w:rPr>
              <w:t>2%</w:t>
            </w:r>
          </w:p>
        </w:tc>
        <w:tc>
          <w:tcPr>
            <w:tcW w:w="103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
              <w:jc w:val="center"/>
              <w:rPr>
                <w:rFonts w:ascii="Avenir Next Condensed" w:eastAsia="Avenir Next Condensed" w:hAnsi="Avenir Next Condensed" w:cs="Avenir Next Condensed"/>
                <w:sz w:val="18"/>
                <w:szCs w:val="18"/>
              </w:rPr>
            </w:pPr>
            <w:r>
              <w:rPr>
                <w:rFonts w:ascii="Avenir Next Condensed"/>
                <w:sz w:val="18"/>
              </w:rPr>
              <w:t>-3%</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bills assume </w:t>
      </w:r>
      <w:r>
        <w:rPr>
          <w:rFonts w:ascii="Avenir Next"/>
          <w:spacing w:val="-1"/>
          <w:sz w:val="16"/>
        </w:rPr>
        <w:t>inflation</w:t>
      </w:r>
      <w:r>
        <w:rPr>
          <w:rFonts w:ascii="Avenir Next"/>
          <w:sz w:val="16"/>
        </w:rPr>
        <w:t xml:space="preserve"> of</w:t>
      </w:r>
      <w:r>
        <w:rPr>
          <w:rFonts w:ascii="Avenir Next"/>
          <w:spacing w:val="3"/>
          <w:sz w:val="16"/>
        </w:rPr>
        <w:t xml:space="preserve"> </w:t>
      </w:r>
      <w:r>
        <w:rPr>
          <w:rFonts w:ascii="Avenir Next"/>
          <w:sz w:val="16"/>
        </w:rPr>
        <w:t>2.5%</w:t>
      </w:r>
      <w:r>
        <w:rPr>
          <w:rFonts w:ascii="Avenir Next"/>
          <w:spacing w:val="-1"/>
          <w:sz w:val="16"/>
        </w:rPr>
        <w:t xml:space="preserve"> </w:t>
      </w:r>
      <w:r>
        <w:rPr>
          <w:rFonts w:ascii="Avenir Next"/>
          <w:sz w:val="16"/>
        </w:rPr>
        <w:t xml:space="preserve">pa and no </w:t>
      </w:r>
      <w:r>
        <w:rPr>
          <w:rFonts w:ascii="Avenir Next"/>
          <w:spacing w:val="-1"/>
          <w:sz w:val="16"/>
        </w:rPr>
        <w:t>material</w:t>
      </w:r>
      <w:r>
        <w:rPr>
          <w:rFonts w:ascii="Avenir Next"/>
          <w:sz w:val="16"/>
        </w:rPr>
        <w:t xml:space="preserve"> changes in costs</w:t>
      </w:r>
      <w:r>
        <w:rPr>
          <w:rFonts w:ascii="Avenir Next"/>
          <w:spacing w:val="-1"/>
          <w:sz w:val="16"/>
        </w:rPr>
        <w:t xml:space="preserve"> </w:t>
      </w:r>
      <w:r>
        <w:rPr>
          <w:rFonts w:ascii="Avenir Next"/>
          <w:sz w:val="16"/>
        </w:rPr>
        <w:t xml:space="preserve">or Government </w:t>
      </w:r>
      <w:r>
        <w:rPr>
          <w:rFonts w:ascii="Avenir Next"/>
          <w:spacing w:val="-1"/>
          <w:sz w:val="16"/>
        </w:rPr>
        <w:t>charges</w:t>
      </w:r>
      <w:r>
        <w:rPr>
          <w:rFonts w:ascii="Avenir Next"/>
          <w:sz w:val="16"/>
        </w:rPr>
        <w:t xml:space="preserve"> </w:t>
      </w:r>
      <w:r>
        <w:rPr>
          <w:rFonts w:ascii="Avenir Next"/>
          <w:spacing w:val="-1"/>
          <w:sz w:val="16"/>
        </w:rPr>
        <w:t>that</w:t>
      </w:r>
      <w:r>
        <w:rPr>
          <w:rFonts w:ascii="Avenir Next"/>
          <w:sz w:val="16"/>
        </w:rPr>
        <w:t xml:space="preserve"> would trigger</w:t>
      </w:r>
      <w:r>
        <w:rPr>
          <w:rFonts w:ascii="Avenir Next"/>
          <w:spacing w:val="-1"/>
          <w:sz w:val="16"/>
        </w:rPr>
        <w:t xml:space="preserve"> </w:t>
      </w:r>
      <w:r>
        <w:rPr>
          <w:rFonts w:ascii="Avenir Next"/>
          <w:sz w:val="16"/>
        </w:rPr>
        <w:t>the</w:t>
      </w:r>
      <w:r>
        <w:rPr>
          <w:rFonts w:ascii="Avenir Next"/>
          <w:spacing w:val="55"/>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83"/>
      </w:pPr>
      <w:r>
        <w:rPr>
          <w:spacing w:val="-2"/>
        </w:rPr>
        <w:t>The</w:t>
      </w:r>
      <w:r>
        <w:rPr>
          <w:spacing w:val="-1"/>
        </w:rPr>
        <w:t xml:space="preserve"> </w:t>
      </w:r>
      <w:r>
        <w:rPr>
          <w:spacing w:val="-3"/>
        </w:rPr>
        <w:t>Panel</w:t>
      </w:r>
      <w:r>
        <w:t xml:space="preserve"> has</w:t>
      </w:r>
      <w:r>
        <w:rPr>
          <w:spacing w:val="-1"/>
        </w:rPr>
        <w:t xml:space="preserve"> considered</w:t>
      </w:r>
      <w:r>
        <w:t xml:space="preserve"> the impacts</w:t>
      </w:r>
      <w:r>
        <w:rPr>
          <w:spacing w:val="-1"/>
        </w:rPr>
        <w:t xml:space="preserve"> </w:t>
      </w:r>
      <w:r>
        <w:t>of</w:t>
      </w:r>
      <w:r>
        <w:rPr>
          <w:spacing w:val="4"/>
        </w:rPr>
        <w:t xml:space="preserve"> </w:t>
      </w:r>
      <w:r>
        <w:t xml:space="preserve">its </w:t>
      </w:r>
      <w:r>
        <w:rPr>
          <w:spacing w:val="-2"/>
        </w:rPr>
        <w:t>draft</w:t>
      </w:r>
      <w:r>
        <w:rPr>
          <w:spacing w:val="-1"/>
        </w:rPr>
        <w:t xml:space="preserve"> direction</w:t>
      </w:r>
      <w:r>
        <w:t xml:space="preserve"> and is</w:t>
      </w:r>
      <w:r>
        <w:rPr>
          <w:spacing w:val="-1"/>
        </w:rPr>
        <w:t xml:space="preserve"> satisfied</w:t>
      </w:r>
      <w:r>
        <w:t xml:space="preserve"> </w:t>
      </w:r>
      <w:r>
        <w:rPr>
          <w:spacing w:val="-1"/>
        </w:rPr>
        <w:t>that</w:t>
      </w:r>
      <w:r>
        <w:t xml:space="preserve"> its</w:t>
      </w:r>
      <w:r>
        <w:rPr>
          <w:spacing w:val="-1"/>
        </w:rPr>
        <w:t xml:space="preserve"> proposed</w:t>
      </w:r>
      <w:r>
        <w:t xml:space="preserve"> prices</w:t>
      </w:r>
      <w:r>
        <w:rPr>
          <w:spacing w:val="67"/>
        </w:rPr>
        <w:t xml:space="preserve"> </w:t>
      </w:r>
      <w:r>
        <w:t>should</w:t>
      </w:r>
      <w:r>
        <w:rPr>
          <w:spacing w:val="-1"/>
        </w:rPr>
        <w:t xml:space="preserve"> </w:t>
      </w:r>
      <w:r>
        <w:t>enable</w:t>
      </w:r>
      <w:r>
        <w:rPr>
          <w:spacing w:val="-4"/>
        </w:rPr>
        <w:t xml:space="preserve"> </w:t>
      </w:r>
      <w:r>
        <w:rPr>
          <w:spacing w:val="-2"/>
        </w:rPr>
        <w:t>ACTEW</w:t>
      </w:r>
      <w:r>
        <w:rPr>
          <w:spacing w:val="-4"/>
        </w:rPr>
        <w:t xml:space="preserve"> </w:t>
      </w:r>
      <w:r>
        <w:t xml:space="preserve">to </w:t>
      </w:r>
      <w:r>
        <w:rPr>
          <w:spacing w:val="-1"/>
        </w:rPr>
        <w:t>earn</w:t>
      </w:r>
      <w:r>
        <w:t xml:space="preserve"> </w:t>
      </w:r>
      <w:r>
        <w:rPr>
          <w:spacing w:val="-1"/>
        </w:rPr>
        <w:t>sufficient revenue</w:t>
      </w:r>
      <w:r>
        <w:t xml:space="preserve"> to</w:t>
      </w:r>
      <w:r>
        <w:rPr>
          <w:spacing w:val="-1"/>
        </w:rPr>
        <w:t xml:space="preserve"> operate,</w:t>
      </w:r>
      <w:r>
        <w:rPr>
          <w:spacing w:val="-6"/>
        </w:rPr>
        <w:t xml:space="preserve"> </w:t>
      </w:r>
      <w:r>
        <w:t>maintain,</w:t>
      </w:r>
      <w:r>
        <w:rPr>
          <w:spacing w:val="-6"/>
        </w:rPr>
        <w:t xml:space="preserve"> </w:t>
      </w:r>
      <w:r>
        <w:rPr>
          <w:spacing w:val="-1"/>
        </w:rPr>
        <w:t xml:space="preserve">renew </w:t>
      </w:r>
      <w:r>
        <w:t>or develop</w:t>
      </w:r>
      <w:r>
        <w:rPr>
          <w:spacing w:val="-1"/>
        </w:rPr>
        <w:t xml:space="preserve"> </w:t>
      </w:r>
      <w:r>
        <w:t>the assets</w:t>
      </w:r>
      <w:r>
        <w:rPr>
          <w:spacing w:val="39"/>
        </w:rPr>
        <w:t xml:space="preserve"> </w:t>
      </w:r>
      <w:r>
        <w:rPr>
          <w:spacing w:val="-1"/>
        </w:rPr>
        <w:t xml:space="preserve">required </w:t>
      </w:r>
      <w:r>
        <w:t>to deliver</w:t>
      </w:r>
      <w:r>
        <w:rPr>
          <w:spacing w:val="-1"/>
        </w:rPr>
        <w:t xml:space="preserve"> </w:t>
      </w:r>
      <w:r>
        <w:t>services in the</w:t>
      </w:r>
      <w:r>
        <w:rPr>
          <w:spacing w:val="-1"/>
        </w:rPr>
        <w:t xml:space="preserve"> remainder</w:t>
      </w:r>
      <w:r>
        <w:t xml:space="preserve"> of</w:t>
      </w:r>
      <w:r>
        <w:rPr>
          <w:spacing w:val="4"/>
        </w:rPr>
        <w:t xml:space="preserve"> </w:t>
      </w:r>
      <w:r>
        <w:t>the</w:t>
      </w:r>
      <w:r>
        <w:rPr>
          <w:spacing w:val="-1"/>
        </w:rPr>
        <w:t xml:space="preserve"> regulatory</w:t>
      </w:r>
      <w:r>
        <w:t xml:space="preserve"> period.</w:t>
      </w:r>
      <w:r>
        <w:rPr>
          <w:spacing w:val="-6"/>
        </w:rPr>
        <w:t xml:space="preserve"> </w:t>
      </w:r>
      <w:r>
        <w:t>In</w:t>
      </w:r>
      <w:r>
        <w:rPr>
          <w:spacing w:val="-1"/>
        </w:rPr>
        <w:t xml:space="preserve"> </w:t>
      </w:r>
      <w:r>
        <w:t>addition,</w:t>
      </w:r>
      <w:r>
        <w:rPr>
          <w:spacing w:val="-6"/>
        </w:rPr>
        <w:t xml:space="preserve"> </w:t>
      </w:r>
      <w:r>
        <w:t xml:space="preserve">the </w:t>
      </w:r>
      <w:r>
        <w:rPr>
          <w:spacing w:val="-3"/>
        </w:rPr>
        <w:t>Panel</w:t>
      </w:r>
      <w:r>
        <w:rPr>
          <w:spacing w:val="-1"/>
        </w:rPr>
        <w:t xml:space="preserve"> </w:t>
      </w:r>
      <w:r>
        <w:t xml:space="preserve">is </w:t>
      </w:r>
      <w:r>
        <w:rPr>
          <w:spacing w:val="-1"/>
        </w:rPr>
        <w:t>satisfied</w:t>
      </w:r>
      <w:r>
        <w:rPr>
          <w:spacing w:val="39"/>
          <w:w w:val="99"/>
        </w:rPr>
        <w:t xml:space="preserve"> </w:t>
      </w:r>
      <w:r>
        <w:rPr>
          <w:spacing w:val="-1"/>
        </w:rPr>
        <w:t>that</w:t>
      </w:r>
      <w:r>
        <w:rPr>
          <w:spacing w:val="-5"/>
        </w:rPr>
        <w:t xml:space="preserve"> </w:t>
      </w:r>
      <w:r>
        <w:rPr>
          <w:spacing w:val="-2"/>
        </w:rPr>
        <w:t>ACTEW</w:t>
      </w:r>
      <w:r>
        <w:rPr>
          <w:spacing w:val="-4"/>
        </w:rPr>
        <w:t xml:space="preserve"> </w:t>
      </w:r>
      <w:r>
        <w:t>will</w:t>
      </w:r>
      <w:r>
        <w:rPr>
          <w:spacing w:val="-1"/>
        </w:rPr>
        <w:t xml:space="preserve"> remain </w:t>
      </w:r>
      <w:r>
        <w:t>financially</w:t>
      </w:r>
      <w:r>
        <w:rPr>
          <w:spacing w:val="-1"/>
        </w:rPr>
        <w:t xml:space="preserve"> </w:t>
      </w:r>
      <w:r>
        <w:t>viable</w:t>
      </w:r>
      <w:r>
        <w:rPr>
          <w:spacing w:val="-1"/>
        </w:rPr>
        <w:t xml:space="preserve"> </w:t>
      </w:r>
      <w:r>
        <w:t>under</w:t>
      </w:r>
      <w:r>
        <w:rPr>
          <w:spacing w:val="-1"/>
        </w:rPr>
        <w:t xml:space="preserve"> </w:t>
      </w:r>
      <w:r>
        <w:t>the</w:t>
      </w:r>
      <w:r>
        <w:rPr>
          <w:spacing w:val="-1"/>
        </w:rPr>
        <w:t xml:space="preserve"> </w:t>
      </w:r>
      <w:r>
        <w:rPr>
          <w:spacing w:val="-2"/>
        </w:rPr>
        <w:t>draft</w:t>
      </w:r>
      <w:r>
        <w:rPr>
          <w:spacing w:val="-1"/>
        </w:rPr>
        <w:t xml:space="preserve"> </w:t>
      </w:r>
      <w:r>
        <w:t>price</w:t>
      </w:r>
      <w:r>
        <w:rPr>
          <w:spacing w:val="-1"/>
        </w:rPr>
        <w:t xml:space="preserve"> direction.</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3" w:line="360" w:lineRule="exact"/>
        <w:ind w:left="2041" w:right="1746" w:hanging="794"/>
      </w:pPr>
      <w:r>
        <w:rPr>
          <w:color w:val="0778BE"/>
        </w:rPr>
        <w:t>1.</w:t>
      </w:r>
      <w:r>
        <w:rPr>
          <w:color w:val="0778BE"/>
          <w:spacing w:val="-9"/>
        </w:rPr>
        <w:t xml:space="preserve"> </w:t>
      </w:r>
      <w:r>
        <w:rPr>
          <w:color w:val="0778BE"/>
        </w:rPr>
        <w:t>4</w:t>
      </w:r>
      <w:r>
        <w:rPr>
          <w:color w:val="0778BE"/>
        </w:rPr>
        <w:tab/>
        <w:t xml:space="preserve">How does the </w:t>
      </w:r>
      <w:r>
        <w:rPr>
          <w:color w:val="0778BE"/>
          <w:spacing w:val="-5"/>
        </w:rPr>
        <w:t>Panel’s</w:t>
      </w:r>
      <w:r>
        <w:rPr>
          <w:color w:val="0778BE"/>
        </w:rPr>
        <w:t xml:space="preserve"> </w:t>
      </w:r>
      <w:r>
        <w:rPr>
          <w:color w:val="0778BE"/>
          <w:spacing w:val="-2"/>
        </w:rPr>
        <w:t>draft</w:t>
      </w:r>
      <w:r>
        <w:rPr>
          <w:color w:val="0778BE"/>
        </w:rPr>
        <w:t xml:space="preserve"> </w:t>
      </w:r>
      <w:r>
        <w:rPr>
          <w:color w:val="0778BE"/>
          <w:spacing w:val="-1"/>
        </w:rPr>
        <w:t>direction</w:t>
      </w:r>
      <w:r>
        <w:rPr>
          <w:color w:val="0778BE"/>
        </w:rPr>
        <w:t xml:space="preserve"> </w:t>
      </w:r>
      <w:r>
        <w:rPr>
          <w:color w:val="0778BE"/>
          <w:spacing w:val="-2"/>
        </w:rPr>
        <w:t>differ</w:t>
      </w:r>
      <w:r>
        <w:rPr>
          <w:color w:val="0778BE"/>
        </w:rPr>
        <w:t xml:space="preserve"> </w:t>
      </w:r>
      <w:r>
        <w:rPr>
          <w:color w:val="0778BE"/>
          <w:spacing w:val="-2"/>
        </w:rPr>
        <w:t>from</w:t>
      </w:r>
      <w:r>
        <w:rPr>
          <w:color w:val="0778BE"/>
        </w:rPr>
        <w:t xml:space="preserve"> the original</w:t>
      </w:r>
      <w:r>
        <w:rPr>
          <w:color w:val="0778BE"/>
          <w:spacing w:val="29"/>
        </w:rPr>
        <w:t xml:space="preserve"> </w:t>
      </w:r>
      <w:r>
        <w:rPr>
          <w:color w:val="0778BE"/>
        </w:rPr>
        <w:t xml:space="preserve">price </w:t>
      </w:r>
      <w:r>
        <w:rPr>
          <w:color w:val="0778BE"/>
          <w:spacing w:val="-1"/>
        </w:rPr>
        <w:t>direction</w:t>
      </w:r>
      <w:r>
        <w:rPr>
          <w:color w:val="0778BE"/>
        </w:rPr>
        <w:t xml:space="preserve"> and</w:t>
      </w:r>
      <w:r>
        <w:rPr>
          <w:color w:val="0778BE"/>
          <w:spacing w:val="-6"/>
        </w:rPr>
        <w:t xml:space="preserve"> </w:t>
      </w:r>
      <w:r>
        <w:rPr>
          <w:color w:val="0778BE"/>
          <w:spacing w:val="-3"/>
        </w:rPr>
        <w:t>ACTEW’s</w:t>
      </w:r>
      <w:r>
        <w:rPr>
          <w:color w:val="0778BE"/>
        </w:rPr>
        <w:t xml:space="preserve"> </w:t>
      </w:r>
      <w:r>
        <w:rPr>
          <w:color w:val="0778BE"/>
          <w:spacing w:val="-1"/>
        </w:rPr>
        <w:t>proposal?</w:t>
      </w:r>
    </w:p>
    <w:p w:rsidR="00D96B91" w:rsidRDefault="00C2656B">
      <w:pPr>
        <w:pStyle w:val="BodyText"/>
        <w:spacing w:before="93" w:line="260" w:lineRule="exact"/>
        <w:ind w:right="1283"/>
      </w:pPr>
      <w:r>
        <w:rPr>
          <w:rFonts w:cs="Avenir Next"/>
        </w:rPr>
        <w:t xml:space="preserve">Any pricing </w:t>
      </w:r>
      <w:r>
        <w:rPr>
          <w:rFonts w:cs="Avenir Next"/>
          <w:spacing w:val="-1"/>
        </w:rPr>
        <w:t>direction</w:t>
      </w:r>
      <w:r>
        <w:rPr>
          <w:rFonts w:cs="Avenir Next"/>
        </w:rPr>
        <w:t xml:space="preserve"> involves many constituent detailed decisions,</w:t>
      </w:r>
      <w:r>
        <w:rPr>
          <w:rFonts w:cs="Avenir Next"/>
          <w:spacing w:val="-7"/>
        </w:rPr>
        <w:t xml:space="preserve"> </w:t>
      </w:r>
      <w:r>
        <w:rPr>
          <w:rFonts w:cs="Avenir Next"/>
        </w:rPr>
        <w:t>including decisions about the</w:t>
      </w:r>
      <w:r>
        <w:rPr>
          <w:rFonts w:cs="Avenir Next"/>
          <w:spacing w:val="25"/>
        </w:rPr>
        <w:t xml:space="preserve"> </w:t>
      </w:r>
      <w:r>
        <w:rPr>
          <w:spacing w:val="-1"/>
        </w:rPr>
        <w:t>overarching</w:t>
      </w:r>
      <w:r>
        <w:t xml:space="preserve"> methodology and the value of</w:t>
      </w:r>
      <w:r>
        <w:rPr>
          <w:spacing w:val="4"/>
        </w:rPr>
        <w:t xml:space="preserve"> </w:t>
      </w:r>
      <w:r>
        <w:rPr>
          <w:spacing w:val="-1"/>
        </w:rPr>
        <w:t>parameters.</w:t>
      </w:r>
      <w:r>
        <w:rPr>
          <w:spacing w:val="-6"/>
        </w:rPr>
        <w:t xml:space="preserve"> </w:t>
      </w:r>
      <w:r>
        <w:t>In many cases,</w:t>
      </w:r>
      <w:r>
        <w:rPr>
          <w:spacing w:val="-6"/>
        </w:rPr>
        <w:t xml:space="preserve"> </w:t>
      </w:r>
      <w:r>
        <w:rPr>
          <w:spacing w:val="-1"/>
        </w:rPr>
        <w:t>at</w:t>
      </w:r>
      <w:r>
        <w:t xml:space="preserve"> the individual decision level,</w:t>
      </w:r>
      <w:r>
        <w:rPr>
          <w:spacing w:val="25"/>
        </w:rPr>
        <w:t xml:space="preserve"> </w:t>
      </w:r>
      <w:r>
        <w:t>the</w:t>
      </w:r>
      <w:r>
        <w:rPr>
          <w:spacing w:val="-2"/>
        </w:rPr>
        <w:t xml:space="preserve"> </w:t>
      </w:r>
      <w:r>
        <w:rPr>
          <w:spacing w:val="-4"/>
        </w:rPr>
        <w:t>Panel’s</w:t>
      </w:r>
      <w:r>
        <w:rPr>
          <w:spacing w:val="-2"/>
        </w:rPr>
        <w:t xml:space="preserve"> draft </w:t>
      </w:r>
      <w:r>
        <w:rPr>
          <w:spacing w:val="-1"/>
        </w:rPr>
        <w:t xml:space="preserve">direction </w:t>
      </w:r>
      <w:r>
        <w:t>does</w:t>
      </w:r>
      <w:r>
        <w:rPr>
          <w:spacing w:val="-2"/>
        </w:rPr>
        <w:t xml:space="preserve"> </w:t>
      </w:r>
      <w:r>
        <w:t>not</w:t>
      </w:r>
      <w:r>
        <w:rPr>
          <w:spacing w:val="-2"/>
        </w:rPr>
        <w:t xml:space="preserve"> </w:t>
      </w:r>
      <w:r>
        <w:rPr>
          <w:spacing w:val="-1"/>
        </w:rPr>
        <w:t>differ significantly,</w:t>
      </w:r>
      <w:r>
        <w:rPr>
          <w:spacing w:val="-8"/>
        </w:rPr>
        <w:t xml:space="preserve"> </w:t>
      </w:r>
      <w:r>
        <w:t>if</w:t>
      </w:r>
      <w:r>
        <w:rPr>
          <w:spacing w:val="3"/>
        </w:rPr>
        <w:t xml:space="preserve"> </w:t>
      </w:r>
      <w:r>
        <w:rPr>
          <w:spacing w:val="-1"/>
        </w:rPr>
        <w:t xml:space="preserve">at </w:t>
      </w:r>
      <w:r>
        <w:t>all,</w:t>
      </w:r>
      <w:r>
        <w:rPr>
          <w:spacing w:val="-8"/>
        </w:rPr>
        <w:t xml:space="preserve"> </w:t>
      </w:r>
      <w:r>
        <w:rPr>
          <w:spacing w:val="-1"/>
        </w:rPr>
        <w:t>from</w:t>
      </w:r>
      <w:r>
        <w:rPr>
          <w:spacing w:val="-2"/>
        </w:rPr>
        <w:t xml:space="preserve"> </w:t>
      </w:r>
      <w:r>
        <w:t>the</w:t>
      </w:r>
      <w:r>
        <w:rPr>
          <w:spacing w:val="-1"/>
        </w:rPr>
        <w:t xml:space="preserve"> </w:t>
      </w:r>
      <w:r>
        <w:t>original</w:t>
      </w:r>
      <w:r>
        <w:rPr>
          <w:spacing w:val="-2"/>
        </w:rPr>
        <w:t xml:space="preserve"> </w:t>
      </w:r>
      <w:r>
        <w:t>price</w:t>
      </w:r>
      <w:r>
        <w:rPr>
          <w:spacing w:val="-2"/>
        </w:rPr>
        <w:t xml:space="preserve"> </w:t>
      </w:r>
      <w:r>
        <w:rPr>
          <w:spacing w:val="-1"/>
        </w:rPr>
        <w:t>direction.</w:t>
      </w:r>
      <w:r>
        <w:rPr>
          <w:spacing w:val="-7"/>
        </w:rPr>
        <w:t xml:space="preserve"> </w:t>
      </w:r>
      <w:r>
        <w:rPr>
          <w:spacing w:val="-2"/>
        </w:rPr>
        <w:t>However,</w:t>
      </w:r>
      <w:r>
        <w:rPr>
          <w:spacing w:val="71"/>
        </w:rPr>
        <w:t xml:space="preserve"> </w:t>
      </w:r>
      <w:r>
        <w:t>in</w:t>
      </w:r>
      <w:r>
        <w:rPr>
          <w:spacing w:val="-1"/>
        </w:rPr>
        <w:t xml:space="preserve"> </w:t>
      </w:r>
      <w:r>
        <w:t>some</w:t>
      </w:r>
      <w:r>
        <w:rPr>
          <w:spacing w:val="-1"/>
        </w:rPr>
        <w:t xml:space="preserve"> </w:t>
      </w:r>
      <w:r>
        <w:t>cases,</w:t>
      </w:r>
      <w:r>
        <w:rPr>
          <w:spacing w:val="-6"/>
        </w:rPr>
        <w:t xml:space="preserve"> </w:t>
      </w:r>
      <w:r>
        <w:rPr>
          <w:spacing w:val="-1"/>
        </w:rPr>
        <w:t xml:space="preserve">there </w:t>
      </w:r>
      <w:r>
        <w:rPr>
          <w:spacing w:val="-2"/>
        </w:rPr>
        <w:t>are</w:t>
      </w:r>
      <w:r>
        <w:rPr>
          <w:spacing w:val="-1"/>
        </w:rPr>
        <w:t xml:space="preserve"> </w:t>
      </w:r>
      <w:r>
        <w:t>significant points</w:t>
      </w:r>
      <w:r>
        <w:rPr>
          <w:spacing w:val="-1"/>
        </w:rPr>
        <w:t xml:space="preserve"> </w:t>
      </w:r>
      <w:r>
        <w:t>of</w:t>
      </w:r>
      <w:r>
        <w:rPr>
          <w:spacing w:val="3"/>
        </w:rPr>
        <w:t xml:space="preserve"> </w:t>
      </w:r>
      <w:r>
        <w:rPr>
          <w:spacing w:val="-1"/>
        </w:rPr>
        <w:t>difference.</w:t>
      </w:r>
      <w:r>
        <w:rPr>
          <w:spacing w:val="-11"/>
        </w:rPr>
        <w:t xml:space="preserve"> </w:t>
      </w:r>
      <w:r>
        <w:rPr>
          <w:spacing w:val="-4"/>
        </w:rPr>
        <w:t>Table</w:t>
      </w:r>
      <w:r>
        <w:rPr>
          <w:spacing w:val="-1"/>
        </w:rPr>
        <w:t xml:space="preserve"> </w:t>
      </w:r>
      <w:r>
        <w:t>1.6</w:t>
      </w:r>
      <w:r>
        <w:rPr>
          <w:spacing w:val="-1"/>
        </w:rPr>
        <w:t xml:space="preserve"> </w:t>
      </w:r>
      <w:r>
        <w:t>summarises these</w:t>
      </w:r>
      <w:r>
        <w:rPr>
          <w:spacing w:val="-1"/>
        </w:rPr>
        <w:t xml:space="preserve"> differences,</w:t>
      </w:r>
      <w:r>
        <w:rPr>
          <w:spacing w:val="-7"/>
        </w:rPr>
        <w:t xml:space="preserve"> </w:t>
      </w:r>
      <w:r>
        <w:t>while</w:t>
      </w:r>
      <w:r>
        <w:rPr>
          <w:spacing w:val="21"/>
        </w:rPr>
        <w:t xml:space="preserve"> </w:t>
      </w:r>
      <w:r>
        <w:t xml:space="preserve">the following sections discuss the </w:t>
      </w:r>
      <w:r>
        <w:rPr>
          <w:spacing w:val="-2"/>
        </w:rPr>
        <w:t>key</w:t>
      </w:r>
      <w:r>
        <w:t xml:space="preserve"> points of</w:t>
      </w:r>
      <w:r>
        <w:rPr>
          <w:spacing w:val="4"/>
        </w:rPr>
        <w:t xml:space="preserve"> </w:t>
      </w:r>
      <w:r>
        <w:rPr>
          <w:spacing w:val="-1"/>
        </w:rPr>
        <w:t>difference.</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1.6: </w:t>
      </w:r>
      <w:r>
        <w:rPr>
          <w:rFonts w:ascii="Avenir Next"/>
          <w:b/>
          <w:spacing w:val="-1"/>
          <w:sz w:val="20"/>
        </w:rPr>
        <w:t>Comparison</w:t>
      </w:r>
      <w:r>
        <w:rPr>
          <w:rFonts w:ascii="Avenir Next"/>
          <w:b/>
          <w:sz w:val="20"/>
        </w:rPr>
        <w:t xml:space="preserve"> of</w:t>
      </w:r>
      <w:r>
        <w:rPr>
          <w:rFonts w:ascii="Avenir Next"/>
          <w:b/>
          <w:spacing w:val="4"/>
          <w:sz w:val="20"/>
        </w:rPr>
        <w:t xml:space="preserve"> </w:t>
      </w:r>
      <w:r>
        <w:rPr>
          <w:rFonts w:ascii="Avenir Next"/>
          <w:b/>
          <w:sz w:val="20"/>
        </w:rPr>
        <w:t xml:space="preserve">methodological </w:t>
      </w:r>
      <w:r>
        <w:rPr>
          <w:rFonts w:ascii="Avenir Next"/>
          <w:b/>
          <w:spacing w:val="-1"/>
          <w:sz w:val="20"/>
        </w:rPr>
        <w:t>approaches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061"/>
        <w:gridCol w:w="1241"/>
        <w:gridCol w:w="2693"/>
        <w:gridCol w:w="1985"/>
        <w:gridCol w:w="2977"/>
      </w:tblGrid>
      <w:tr w:rsidR="00D96B91" w:rsidTr="004C4403">
        <w:trPr>
          <w:trHeight w:hRule="exact" w:val="627"/>
        </w:trPr>
        <w:tc>
          <w:tcPr>
            <w:tcW w:w="1061"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241" w:type="dxa"/>
            <w:tcBorders>
              <w:top w:val="single" w:sz="4" w:space="0" w:color="1A9EDA"/>
              <w:left w:val="nil"/>
              <w:bottom w:val="single" w:sz="4" w:space="0" w:color="1A9EDA"/>
              <w:right w:val="single" w:sz="4" w:space="0" w:color="1A9EDA"/>
            </w:tcBorders>
            <w:shd w:val="clear" w:color="auto" w:fill="0778BE"/>
          </w:tcPr>
          <w:p w:rsidR="00D96B91" w:rsidRDefault="00D96B91"/>
        </w:tc>
        <w:tc>
          <w:tcPr>
            <w:tcW w:w="269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59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Panel’s</w:t>
            </w:r>
            <w:r>
              <w:rPr>
                <w:rFonts w:ascii="Avenir Next Condensed" w:eastAsia="Avenir Next Condensed" w:hAnsi="Avenir Next Condensed" w:cs="Avenir Next Condensed"/>
                <w:b/>
                <w:bCs/>
                <w:color w:val="FFFFFF"/>
                <w:sz w:val="18"/>
                <w:szCs w:val="18"/>
              </w:rPr>
              <w:t xml:space="preserve"> </w:t>
            </w:r>
            <w:r>
              <w:rPr>
                <w:rFonts w:ascii="Avenir Next Condensed" w:eastAsia="Avenir Next Condensed" w:hAnsi="Avenir Next Condensed" w:cs="Avenir Next Condensed"/>
                <w:b/>
                <w:bCs/>
                <w:color w:val="FFFFFF"/>
                <w:spacing w:val="-1"/>
                <w:sz w:val="18"/>
                <w:szCs w:val="18"/>
              </w:rPr>
              <w:t>draft</w:t>
            </w:r>
            <w:r>
              <w:rPr>
                <w:rFonts w:ascii="Avenir Next Condensed" w:eastAsia="Avenir Next Condensed" w:hAnsi="Avenir Next Condensed" w:cs="Avenir Next Condensed"/>
                <w:b/>
                <w:bCs/>
                <w:color w:val="FFFFFF"/>
                <w:sz w:val="18"/>
                <w:szCs w:val="18"/>
              </w:rPr>
              <w:t xml:space="preserve"> decision</w:t>
            </w:r>
          </w:p>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12" w:line="220" w:lineRule="exact"/>
              <w:ind w:right="142"/>
              <w:jc w:val="center"/>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z w:val="18"/>
                <w:szCs w:val="18"/>
              </w:rPr>
              <w:t xml:space="preserve">Original price </w:t>
            </w:r>
            <w:r>
              <w:rPr>
                <w:rFonts w:ascii="Avenir Next Condensed" w:eastAsia="Avenir Next Condensed" w:hAnsi="Avenir Next Condensed" w:cs="Avenir Next Condensed"/>
                <w:b/>
                <w:bCs/>
                <w:color w:val="FFFFFF"/>
                <w:spacing w:val="-1"/>
                <w:sz w:val="18"/>
                <w:szCs w:val="18"/>
              </w:rPr>
              <w:t>direction</w:t>
            </w:r>
            <w:r>
              <w:rPr>
                <w:rFonts w:ascii="Avenir Next Condensed" w:eastAsia="Avenir Next Condensed" w:hAnsi="Avenir Next Condensed" w:cs="Avenir Next Condensed"/>
                <w:b/>
                <w:bCs/>
                <w:color w:val="FFFFFF"/>
                <w:spacing w:val="27"/>
                <w:sz w:val="18"/>
                <w:szCs w:val="18"/>
              </w:rPr>
              <w:t xml:space="preserve"> </w:t>
            </w:r>
            <w:r>
              <w:rPr>
                <w:rFonts w:ascii="Avenir Next Condensed" w:eastAsia="Avenir Next Condensed" w:hAnsi="Avenir Next Condensed" w:cs="Avenir Next Condensed"/>
                <w:b/>
                <w:bCs/>
                <w:color w:val="FFFFFF"/>
                <w:spacing w:val="-1"/>
                <w:sz w:val="18"/>
                <w:szCs w:val="18"/>
              </w:rPr>
              <w:t>(ICRC’s</w:t>
            </w:r>
            <w:r>
              <w:rPr>
                <w:rFonts w:ascii="Avenir Next Condensed" w:eastAsia="Avenir Next Condensed" w:hAnsi="Avenir Next Condensed" w:cs="Avenir Next Condensed"/>
                <w:b/>
                <w:bCs/>
                <w:color w:val="FFFFFF"/>
                <w:sz w:val="18"/>
                <w:szCs w:val="18"/>
              </w:rPr>
              <w:t xml:space="preserve"> final decision)</w:t>
            </w:r>
          </w:p>
        </w:tc>
        <w:tc>
          <w:tcPr>
            <w:tcW w:w="297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rsidP="004C4403">
            <w:pPr>
              <w:pStyle w:val="TableParagraph"/>
              <w:ind w:left="142"/>
              <w:jc w:val="center"/>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ACTEW’s</w:t>
            </w:r>
            <w:r>
              <w:rPr>
                <w:rFonts w:ascii="Avenir Next Condensed" w:eastAsia="Avenir Next Condensed" w:hAnsi="Avenir Next Condensed" w:cs="Avenir Next Condensed"/>
                <w:b/>
                <w:bCs/>
                <w:color w:val="FFFFFF"/>
                <w:sz w:val="18"/>
                <w:szCs w:val="18"/>
              </w:rPr>
              <w:t xml:space="preserve"> SOFC </w:t>
            </w:r>
            <w:r>
              <w:rPr>
                <w:rFonts w:ascii="Avenir Next Condensed" w:eastAsia="Avenir Next Condensed" w:hAnsi="Avenir Next Condensed" w:cs="Avenir Next Condensed"/>
                <w:b/>
                <w:bCs/>
                <w:color w:val="FFFFFF"/>
                <w:spacing w:val="-1"/>
                <w:sz w:val="18"/>
                <w:szCs w:val="18"/>
              </w:rPr>
              <w:t>proposal</w:t>
            </w:r>
          </w:p>
        </w:tc>
      </w:tr>
      <w:tr w:rsidR="00D96B91" w:rsidTr="004C4403">
        <w:trPr>
          <w:trHeight w:hRule="exact" w:val="1614"/>
        </w:trPr>
        <w:tc>
          <w:tcPr>
            <w:tcW w:w="1061" w:type="dxa"/>
            <w:tcBorders>
              <w:top w:val="single" w:sz="4" w:space="0" w:color="1A9EDA"/>
              <w:left w:val="single" w:sz="4" w:space="0" w:color="1A9EDA"/>
              <w:bottom w:val="nil"/>
              <w:right w:val="single" w:sz="4" w:space="0" w:color="1A9EDA"/>
            </w:tcBorders>
            <w:shd w:val="clear" w:color="auto" w:fill="0778BE"/>
          </w:tcPr>
          <w:p w:rsidR="00D96B91" w:rsidRDefault="00D96B91" w:rsidP="004C4403"/>
        </w:tc>
        <w:tc>
          <w:tcPr>
            <w:tcW w:w="12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12" w:line="220" w:lineRule="exact"/>
              <w:ind w:left="108" w:right="139"/>
              <w:rPr>
                <w:rFonts w:ascii="Avenir Next Condensed" w:eastAsia="Avenir Next Condensed" w:hAnsi="Avenir Next Condensed" w:cs="Avenir Next Condensed"/>
                <w:sz w:val="18"/>
                <w:szCs w:val="18"/>
              </w:rPr>
            </w:pPr>
            <w:r>
              <w:rPr>
                <w:rFonts w:ascii="Avenir Next Condensed"/>
                <w:color w:val="FFFFFF"/>
                <w:sz w:val="18"/>
              </w:rPr>
              <w:t>Opening value (1</w:t>
            </w:r>
            <w:r>
              <w:rPr>
                <w:rFonts w:ascii="Avenir Next Condensed"/>
                <w:color w:val="FFFFFF"/>
                <w:spacing w:val="-3"/>
                <w:sz w:val="18"/>
              </w:rPr>
              <w:t xml:space="preserve"> </w:t>
            </w:r>
            <w:r>
              <w:rPr>
                <w:rFonts w:ascii="Avenir Next Condensed"/>
                <w:color w:val="FFFFFF"/>
                <w:sz w:val="18"/>
              </w:rPr>
              <w:t>July</w:t>
            </w:r>
          </w:p>
          <w:p w:rsidR="00D96B91" w:rsidRDefault="00C2656B" w:rsidP="004C4403">
            <w:pPr>
              <w:pStyle w:val="TableParagraph"/>
              <w:spacing w:line="242" w:lineRule="exact"/>
              <w:ind w:left="108" w:right="139"/>
              <w:rPr>
                <w:rFonts w:ascii="Avenir Next Condensed" w:eastAsia="Avenir Next Condensed" w:hAnsi="Avenir Next Condensed" w:cs="Avenir Next Condensed"/>
                <w:sz w:val="18"/>
                <w:szCs w:val="18"/>
              </w:rPr>
            </w:pPr>
            <w:r>
              <w:rPr>
                <w:rFonts w:ascii="Avenir Next Condensed"/>
                <w:color w:val="FFFFFF"/>
                <w:sz w:val="18"/>
              </w:rPr>
              <w:t>2013)</w:t>
            </w:r>
          </w:p>
        </w:tc>
        <w:tc>
          <w:tcPr>
            <w:tcW w:w="2693" w:type="dxa"/>
            <w:tcBorders>
              <w:top w:val="single" w:sz="4" w:space="0" w:color="1A9EDA"/>
              <w:left w:val="single" w:sz="4" w:space="0" w:color="1A9EDA"/>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45"/>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$1.37 billion ($3.7 million</w:t>
            </w:r>
            <w:r>
              <w:rPr>
                <w:rFonts w:ascii="Avenir Next Condensed"/>
                <w:spacing w:val="23"/>
                <w:sz w:val="18"/>
              </w:rPr>
              <w:t xml:space="preserve"> </w:t>
            </w:r>
            <w:r>
              <w:rPr>
                <w:rFonts w:ascii="Avenir Next Condensed"/>
                <w:sz w:val="18"/>
              </w:rPr>
              <w:t>lower than ICRC)</w:t>
            </w:r>
          </w:p>
          <w:p w:rsidR="00D96B91" w:rsidRDefault="00C2656B">
            <w:pPr>
              <w:pStyle w:val="TableParagraph"/>
              <w:spacing w:before="113" w:line="220" w:lineRule="exact"/>
              <w:ind w:left="108" w:right="572"/>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$0.66 billion ($4.2</w:t>
            </w:r>
            <w:r>
              <w:rPr>
                <w:rFonts w:ascii="Avenir Next Condensed"/>
                <w:spacing w:val="27"/>
                <w:sz w:val="18"/>
              </w:rPr>
              <w:t xml:space="preserve"> </w:t>
            </w:r>
            <w:r>
              <w:rPr>
                <w:rFonts w:ascii="Avenir Next Condensed"/>
                <w:sz w:val="18"/>
              </w:rPr>
              <w:t>million lower than the ICRC)</w:t>
            </w:r>
          </w:p>
        </w:tc>
        <w:tc>
          <w:tcPr>
            <w:tcW w:w="19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$1.37 billion</w:t>
            </w:r>
          </w:p>
          <w:p w:rsidR="00D96B91" w:rsidRDefault="00C2656B">
            <w:pPr>
              <w:pStyle w:val="TableParagraph"/>
              <w:spacing w:before="87"/>
              <w:ind w:left="108"/>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$0.66 billion</w:t>
            </w:r>
          </w:p>
        </w:tc>
        <w:tc>
          <w:tcPr>
            <w:tcW w:w="297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$1.35 billion</w:t>
            </w:r>
          </w:p>
          <w:p w:rsidR="00D96B91" w:rsidRDefault="00C2656B">
            <w:pPr>
              <w:pStyle w:val="TableParagraph"/>
              <w:spacing w:before="87"/>
              <w:ind w:left="108"/>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$0.66 billion</w:t>
            </w:r>
          </w:p>
          <w:p w:rsidR="00D96B91" w:rsidRDefault="00C2656B">
            <w:pPr>
              <w:pStyle w:val="TableParagraph"/>
              <w:spacing w:before="91" w:line="220" w:lineRule="exact"/>
              <w:ind w:left="108" w:right="31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(ACTEW’s</w:t>
            </w:r>
            <w:r>
              <w:rPr>
                <w:rFonts w:ascii="Avenir Next Condensed" w:eastAsia="Avenir Next Condensed" w:hAnsi="Avenir Next Condensed" w:cs="Avenir Next Condensed"/>
                <w:sz w:val="18"/>
                <w:szCs w:val="18"/>
              </w:rPr>
              <w:t xml:space="preserve"> estimates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lower than</w:t>
            </w:r>
            <w:r>
              <w:rPr>
                <w:rFonts w:ascii="Avenir Next Condensed" w:eastAsia="Avenir Next Condensed" w:hAnsi="Avenir Next Condensed" w:cs="Avenir Next Condensed"/>
                <w:spacing w:val="21"/>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Panel’s</w:t>
            </w:r>
            <w:r>
              <w:rPr>
                <w:rFonts w:ascii="Avenir Next Condensed" w:eastAsia="Avenir Next Condensed" w:hAnsi="Avenir Next Condensed" w:cs="Avenir Next Condensed"/>
                <w:sz w:val="18"/>
                <w:szCs w:val="18"/>
              </w:rPr>
              <w:t xml:space="preserve"> because it </w:t>
            </w:r>
            <w:r>
              <w:rPr>
                <w:rFonts w:ascii="Avenir Next Condensed" w:eastAsia="Avenir Next Condensed" w:hAnsi="Avenir Next Condensed" w:cs="Avenir Next Condensed"/>
                <w:spacing w:val="-1"/>
                <w:sz w:val="18"/>
                <w:szCs w:val="18"/>
              </w:rPr>
              <w:t>excluded</w:t>
            </w:r>
            <w:r>
              <w:rPr>
                <w:rFonts w:ascii="Avenir Next Condensed" w:eastAsia="Avenir Next Condensed" w:hAnsi="Avenir Next Condensed" w:cs="Avenir Next Condensed"/>
                <w:sz w:val="18"/>
                <w:szCs w:val="18"/>
              </w:rPr>
              <w:t xml:space="preserve"> CSO</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the RAB)</w:t>
            </w:r>
          </w:p>
        </w:tc>
      </w:tr>
      <w:tr w:rsidR="00D96B91" w:rsidTr="004C4403">
        <w:trPr>
          <w:trHeight w:hRule="exact" w:val="356"/>
        </w:trPr>
        <w:tc>
          <w:tcPr>
            <w:tcW w:w="1061" w:type="dxa"/>
            <w:tcBorders>
              <w:top w:val="nil"/>
              <w:left w:val="single" w:sz="4" w:space="0" w:color="1A9EDA"/>
              <w:bottom w:val="nil"/>
              <w:right w:val="single" w:sz="4" w:space="0" w:color="1A9EDA"/>
            </w:tcBorders>
            <w:shd w:val="clear" w:color="auto" w:fill="0778BE"/>
          </w:tcPr>
          <w:p w:rsidR="00D96B91" w:rsidRDefault="00D96B91" w:rsidP="004C4403"/>
        </w:tc>
        <w:tc>
          <w:tcPr>
            <w:tcW w:w="1241" w:type="dxa"/>
            <w:tcBorders>
              <w:top w:val="single" w:sz="4" w:space="0" w:color="1A9EDA"/>
              <w:left w:val="single" w:sz="4" w:space="0" w:color="1A9EDA"/>
              <w:bottom w:val="nil"/>
              <w:right w:val="single" w:sz="4" w:space="0" w:color="1A9EDA"/>
            </w:tcBorders>
            <w:shd w:val="clear" w:color="auto" w:fill="0778BE"/>
          </w:tcPr>
          <w:p w:rsidR="00D96B91" w:rsidRDefault="00C2656B" w:rsidP="004C4403">
            <w:pPr>
              <w:pStyle w:val="TableParagraph"/>
              <w:spacing w:before="108"/>
              <w:ind w:left="108" w:right="139"/>
              <w:rPr>
                <w:rFonts w:ascii="Avenir Next Condensed" w:eastAsia="Avenir Next Condensed" w:hAnsi="Avenir Next Condensed" w:cs="Avenir Next Condensed"/>
                <w:sz w:val="18"/>
                <w:szCs w:val="18"/>
              </w:rPr>
            </w:pPr>
            <w:r>
              <w:rPr>
                <w:rFonts w:ascii="Avenir Next Condensed"/>
                <w:color w:val="FFFFFF"/>
                <w:spacing w:val="-1"/>
                <w:sz w:val="18"/>
              </w:rPr>
              <w:t>Forecast</w:t>
            </w:r>
          </w:p>
        </w:tc>
        <w:tc>
          <w:tcPr>
            <w:tcW w:w="2693" w:type="dxa"/>
            <w:tcBorders>
              <w:top w:val="single" w:sz="4" w:space="0" w:color="17A7E0"/>
              <w:left w:val="single" w:sz="4" w:space="0" w:color="1A9EDA"/>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$154 million (nominal full 5</w:t>
            </w:r>
          </w:p>
        </w:tc>
        <w:tc>
          <w:tcPr>
            <w:tcW w:w="1985"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$62 million</w:t>
            </w:r>
          </w:p>
        </w:tc>
        <w:tc>
          <w:tcPr>
            <w:tcW w:w="2977"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$171 million (nominal 5 </w:t>
            </w:r>
            <w:r>
              <w:rPr>
                <w:rFonts w:ascii="Avenir Next Condensed"/>
                <w:spacing w:val="-1"/>
                <w:sz w:val="18"/>
              </w:rPr>
              <w:t>years)</w:t>
            </w:r>
          </w:p>
        </w:tc>
      </w:tr>
      <w:tr w:rsidR="00D96B91" w:rsidTr="004C4403">
        <w:trPr>
          <w:trHeight w:hRule="exact" w:val="2470"/>
        </w:trPr>
        <w:tc>
          <w:tcPr>
            <w:tcW w:w="1061" w:type="dxa"/>
            <w:vMerge w:val="restart"/>
            <w:tcBorders>
              <w:top w:val="nil"/>
              <w:left w:val="single" w:sz="4" w:space="0" w:color="1A9EDA"/>
              <w:right w:val="single" w:sz="4" w:space="0" w:color="1A9EDA"/>
            </w:tcBorders>
            <w:shd w:val="clear" w:color="auto" w:fill="0778BE"/>
          </w:tcPr>
          <w:p w:rsidR="00D96B91" w:rsidRDefault="00D96B91" w:rsidP="004C4403">
            <w:pPr>
              <w:pStyle w:val="TableParagraph"/>
              <w:rPr>
                <w:rFonts w:ascii="Avenir Next" w:eastAsia="Avenir Next" w:hAnsi="Avenir Next" w:cs="Avenir Next"/>
                <w:b/>
                <w:bCs/>
                <w:sz w:val="18"/>
                <w:szCs w:val="18"/>
              </w:rPr>
            </w:pPr>
          </w:p>
          <w:p w:rsidR="00D96B91" w:rsidRDefault="00D96B91" w:rsidP="004C4403">
            <w:pPr>
              <w:pStyle w:val="TableParagraph"/>
              <w:rPr>
                <w:rFonts w:ascii="Avenir Next" w:eastAsia="Avenir Next" w:hAnsi="Avenir Next" w:cs="Avenir Next"/>
                <w:b/>
                <w:bCs/>
                <w:sz w:val="18"/>
                <w:szCs w:val="18"/>
              </w:rPr>
            </w:pPr>
          </w:p>
          <w:p w:rsidR="00D96B91" w:rsidRDefault="00D96B91" w:rsidP="004C4403">
            <w:pPr>
              <w:pStyle w:val="TableParagraph"/>
              <w:spacing w:before="6"/>
              <w:rPr>
                <w:rFonts w:ascii="Avenir Next" w:eastAsia="Avenir Next" w:hAnsi="Avenir Next" w:cs="Avenir Next"/>
                <w:b/>
                <w:bCs/>
                <w:sz w:val="25"/>
                <w:szCs w:val="25"/>
              </w:rPr>
            </w:pPr>
          </w:p>
          <w:p w:rsidR="00D96B91" w:rsidRDefault="00C2656B" w:rsidP="004C4403">
            <w:pPr>
              <w:pStyle w:val="TableParagraph"/>
              <w:spacing w:line="220" w:lineRule="exact"/>
              <w:ind w:left="108"/>
              <w:rPr>
                <w:rFonts w:ascii="Avenir Next Condensed" w:eastAsia="Avenir Next Condensed" w:hAnsi="Avenir Next Condensed" w:cs="Avenir Next Condensed"/>
                <w:sz w:val="18"/>
                <w:szCs w:val="18"/>
              </w:rPr>
            </w:pPr>
            <w:r>
              <w:rPr>
                <w:rFonts w:ascii="Avenir Next Condensed"/>
                <w:b/>
                <w:color w:val="FFFFFF"/>
                <w:spacing w:val="-1"/>
                <w:sz w:val="18"/>
              </w:rPr>
              <w:t>Value</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z w:val="18"/>
              </w:rPr>
              <w:t xml:space="preserve">the </w:t>
            </w:r>
            <w:r>
              <w:rPr>
                <w:rFonts w:ascii="Avenir Next Condensed"/>
                <w:b/>
                <w:color w:val="FFFFFF"/>
                <w:spacing w:val="-1"/>
                <w:sz w:val="18"/>
              </w:rPr>
              <w:t>Regulated</w:t>
            </w:r>
            <w:r>
              <w:rPr>
                <w:rFonts w:ascii="Avenir Next Condensed"/>
                <w:b/>
                <w:color w:val="FFFFFF"/>
                <w:spacing w:val="27"/>
                <w:sz w:val="18"/>
              </w:rPr>
              <w:t xml:space="preserve"> </w:t>
            </w:r>
            <w:r>
              <w:rPr>
                <w:rFonts w:ascii="Avenir Next Condensed"/>
                <w:b/>
                <w:color w:val="FFFFFF"/>
                <w:spacing w:val="-1"/>
                <w:sz w:val="18"/>
              </w:rPr>
              <w:t>Asset</w:t>
            </w:r>
            <w:r>
              <w:rPr>
                <w:rFonts w:ascii="Avenir Next Condensed"/>
                <w:b/>
                <w:color w:val="FFFFFF"/>
                <w:sz w:val="18"/>
              </w:rPr>
              <w:t xml:space="preserve"> Base</w:t>
            </w:r>
            <w:r>
              <w:rPr>
                <w:rFonts w:ascii="Avenir Next Condensed"/>
                <w:b/>
                <w:color w:val="FFFFFF"/>
                <w:spacing w:val="23"/>
                <w:sz w:val="18"/>
              </w:rPr>
              <w:t xml:space="preserve"> </w:t>
            </w:r>
            <w:r>
              <w:rPr>
                <w:rFonts w:ascii="Avenir Next Condensed"/>
                <w:b/>
                <w:color w:val="FFFFFF"/>
                <w:sz w:val="18"/>
              </w:rPr>
              <w:t>(RAB)</w:t>
            </w:r>
          </w:p>
        </w:tc>
        <w:tc>
          <w:tcPr>
            <w:tcW w:w="1241" w:type="dxa"/>
            <w:tcBorders>
              <w:top w:val="nil"/>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line="214" w:lineRule="auto"/>
              <w:ind w:left="108" w:right="139"/>
              <w:rPr>
                <w:rFonts w:ascii="Avenir Next Condensed" w:eastAsia="Avenir Next Condensed" w:hAnsi="Avenir Next Condensed" w:cs="Avenir Next Condensed"/>
                <w:sz w:val="18"/>
                <w:szCs w:val="18"/>
              </w:rPr>
            </w:pPr>
            <w:r>
              <w:rPr>
                <w:rFonts w:ascii="Avenir Next Condensed"/>
                <w:color w:val="FFFFFF"/>
                <w:sz w:val="18"/>
              </w:rPr>
              <w:t xml:space="preserve">capital </w:t>
            </w:r>
            <w:r>
              <w:rPr>
                <w:rFonts w:ascii="Avenir Next Condensed"/>
                <w:color w:val="FFFFFF"/>
                <w:spacing w:val="-1"/>
                <w:sz w:val="18"/>
              </w:rPr>
              <w:t>expenditure</w:t>
            </w:r>
          </w:p>
        </w:tc>
        <w:tc>
          <w:tcPr>
            <w:tcW w:w="2693" w:type="dxa"/>
            <w:tcBorders>
              <w:top w:val="nil"/>
              <w:left w:val="single" w:sz="4" w:space="0" w:color="1A9EDA"/>
              <w:bottom w:val="single" w:sz="4" w:space="0" w:color="17A7E0"/>
              <w:right w:val="single" w:sz="4" w:space="0" w:color="17A7E0"/>
            </w:tcBorders>
            <w:shd w:val="clear" w:color="auto" w:fill="F0F9FE"/>
          </w:tcPr>
          <w:p w:rsidR="00D96B91" w:rsidRDefault="00C2656B">
            <w:pPr>
              <w:pStyle w:val="TableParagraph"/>
              <w:spacing w:line="205" w:lineRule="exact"/>
              <w:ind w:left="107"/>
              <w:rPr>
                <w:rFonts w:ascii="Avenir Next Condensed" w:eastAsia="Avenir Next Condensed" w:hAnsi="Avenir Next Condensed" w:cs="Avenir Next Condensed"/>
                <w:sz w:val="18"/>
                <w:szCs w:val="18"/>
              </w:rPr>
            </w:pPr>
            <w:r>
              <w:rPr>
                <w:rFonts w:ascii="Avenir Next Condensed"/>
                <w:spacing w:val="-1"/>
                <w:sz w:val="18"/>
              </w:rPr>
              <w:t>year</w:t>
            </w:r>
            <w:r>
              <w:rPr>
                <w:rFonts w:ascii="Avenir Next Condensed"/>
                <w:sz w:val="18"/>
              </w:rPr>
              <w:t xml:space="preserve"> period)</w:t>
            </w:r>
          </w:p>
          <w:p w:rsidR="00D96B91" w:rsidRDefault="00C2656B">
            <w:pPr>
              <w:pStyle w:val="TableParagraph"/>
              <w:spacing w:before="6" w:line="214" w:lineRule="auto"/>
              <w:ind w:left="107" w:right="184"/>
              <w:rPr>
                <w:rFonts w:ascii="Avenir Next Condensed" w:eastAsia="Avenir Next Condensed" w:hAnsi="Avenir Next Condensed" w:cs="Avenir Next Condensed"/>
                <w:sz w:val="18"/>
                <w:szCs w:val="18"/>
              </w:rPr>
            </w:pPr>
            <w:r>
              <w:rPr>
                <w:rFonts w:ascii="Avenir Next Condensed"/>
                <w:sz w:val="18"/>
              </w:rPr>
              <w:t xml:space="preserve">(15% lower than the ICRC for the first two </w:t>
            </w:r>
            <w:r>
              <w:rPr>
                <w:rFonts w:ascii="Avenir Next Condensed"/>
                <w:spacing w:val="-1"/>
                <w:sz w:val="18"/>
              </w:rPr>
              <w:t>years)</w:t>
            </w:r>
          </w:p>
          <w:p w:rsidR="00D96B91" w:rsidRDefault="00C2656B">
            <w:pPr>
              <w:pStyle w:val="TableParagraph"/>
              <w:spacing w:before="98" w:line="220" w:lineRule="exact"/>
              <w:ind w:left="107" w:right="331"/>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$316 million (nominal</w:t>
            </w:r>
            <w:r>
              <w:rPr>
                <w:rFonts w:ascii="Avenir Next Condensed"/>
                <w:spacing w:val="27"/>
                <w:sz w:val="18"/>
              </w:rPr>
              <w:t xml:space="preserve"> </w:t>
            </w:r>
            <w:r>
              <w:rPr>
                <w:rFonts w:ascii="Avenir Next Condensed"/>
                <w:sz w:val="18"/>
              </w:rPr>
              <w:t xml:space="preserve">full 5 </w:t>
            </w:r>
            <w:r>
              <w:rPr>
                <w:rFonts w:ascii="Avenir Next Condensed"/>
                <w:spacing w:val="-1"/>
                <w:sz w:val="18"/>
              </w:rPr>
              <w:t>year</w:t>
            </w:r>
            <w:r>
              <w:rPr>
                <w:rFonts w:ascii="Avenir Next Condensed"/>
                <w:sz w:val="18"/>
              </w:rPr>
              <w:t xml:space="preserve"> period)</w:t>
            </w:r>
          </w:p>
          <w:p w:rsidR="00D96B91" w:rsidRDefault="00C2656B">
            <w:pPr>
              <w:pStyle w:val="TableParagraph"/>
              <w:spacing w:line="220" w:lineRule="exact"/>
              <w:ind w:left="107" w:right="184"/>
              <w:rPr>
                <w:rFonts w:ascii="Avenir Next Condensed" w:eastAsia="Avenir Next Condensed" w:hAnsi="Avenir Next Condensed" w:cs="Avenir Next Condensed"/>
                <w:sz w:val="18"/>
                <w:szCs w:val="18"/>
              </w:rPr>
            </w:pPr>
            <w:r>
              <w:rPr>
                <w:rFonts w:ascii="Avenir Next Condensed"/>
                <w:sz w:val="18"/>
              </w:rPr>
              <w:t xml:space="preserve">(42% lower than the ICRC for the first two </w:t>
            </w:r>
            <w:r>
              <w:rPr>
                <w:rFonts w:ascii="Avenir Next Condensed"/>
                <w:spacing w:val="-1"/>
                <w:sz w:val="18"/>
              </w:rPr>
              <w:t>years).</w:t>
            </w:r>
          </w:p>
          <w:p w:rsidR="00D96B91" w:rsidRDefault="00C2656B" w:rsidP="004C4403">
            <w:pPr>
              <w:pStyle w:val="TableParagraph"/>
              <w:spacing w:before="113" w:line="220" w:lineRule="exact"/>
              <w:ind w:left="107" w:right="16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Based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most </w:t>
            </w:r>
            <w:r>
              <w:rPr>
                <w:rFonts w:ascii="Avenir Next Condensed" w:eastAsia="Avenir Next Condensed" w:hAnsi="Avenir Next Condensed" w:cs="Avenir Next Condensed"/>
                <w:spacing w:val="-1"/>
                <w:sz w:val="18"/>
                <w:szCs w:val="18"/>
              </w:rPr>
              <w:t>recent</w:t>
            </w:r>
            <w:r>
              <w:rPr>
                <w:rFonts w:ascii="Avenir Next Condensed" w:eastAsia="Avenir Next Condensed" w:hAnsi="Avenir Next Condensed" w:cs="Avenir Next Condensed"/>
                <w:spacing w:val="21"/>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program.</w:t>
            </w:r>
          </w:p>
        </w:tc>
        <w:tc>
          <w:tcPr>
            <w:tcW w:w="1985"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7" w:lineRule="exact"/>
              <w:ind w:left="107"/>
              <w:rPr>
                <w:rFonts w:ascii="Avenir Next Condensed" w:eastAsia="Avenir Next Condensed" w:hAnsi="Avenir Next Condensed" w:cs="Avenir Next Condensed"/>
                <w:sz w:val="18"/>
                <w:szCs w:val="18"/>
              </w:rPr>
            </w:pPr>
            <w:r>
              <w:rPr>
                <w:rFonts w:ascii="Avenir Next Condensed"/>
                <w:sz w:val="18"/>
              </w:rPr>
              <w:t xml:space="preserve">(nominal first 2 </w:t>
            </w:r>
            <w:r>
              <w:rPr>
                <w:rFonts w:ascii="Avenir Next Condensed"/>
                <w:spacing w:val="-1"/>
                <w:sz w:val="18"/>
              </w:rPr>
              <w:t>years</w:t>
            </w:r>
            <w:r>
              <w:rPr>
                <w:rFonts w:ascii="Avenir Next Condensed"/>
                <w:sz w:val="18"/>
              </w:rPr>
              <w:t xml:space="preserve"> only)</w:t>
            </w:r>
          </w:p>
          <w:p w:rsidR="00D96B91" w:rsidRDefault="00C2656B">
            <w:pPr>
              <w:pStyle w:val="TableParagraph"/>
              <w:spacing w:before="91" w:line="220" w:lineRule="exact"/>
              <w:ind w:left="107" w:right="193"/>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$97 million</w:t>
            </w:r>
            <w:r>
              <w:rPr>
                <w:rFonts w:ascii="Avenir Next Condensed"/>
                <w:spacing w:val="27"/>
                <w:sz w:val="18"/>
              </w:rPr>
              <w:t xml:space="preserve"> </w:t>
            </w:r>
            <w:r>
              <w:rPr>
                <w:rFonts w:ascii="Avenir Next Condensed"/>
                <w:sz w:val="18"/>
              </w:rPr>
              <w:t xml:space="preserve">(nominal first 2 </w:t>
            </w:r>
            <w:r>
              <w:rPr>
                <w:rFonts w:ascii="Avenir Next Condensed"/>
                <w:spacing w:val="-1"/>
                <w:sz w:val="18"/>
              </w:rPr>
              <w:t>years</w:t>
            </w:r>
            <w:r>
              <w:rPr>
                <w:rFonts w:ascii="Avenir Next Condensed"/>
                <w:sz w:val="18"/>
              </w:rPr>
              <w:t xml:space="preserve"> only)</w:t>
            </w:r>
          </w:p>
        </w:tc>
        <w:tc>
          <w:tcPr>
            <w:tcW w:w="2977"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before="89" w:line="220" w:lineRule="exact"/>
              <w:ind w:left="108" w:right="276"/>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$325 million (nominal 5</w:t>
            </w:r>
            <w:r>
              <w:rPr>
                <w:rFonts w:ascii="Avenir Next Condensed"/>
                <w:spacing w:val="27"/>
                <w:sz w:val="18"/>
              </w:rPr>
              <w:t xml:space="preserve"> </w:t>
            </w:r>
            <w:r>
              <w:rPr>
                <w:rFonts w:ascii="Avenir Next Condensed"/>
                <w:spacing w:val="-1"/>
                <w:sz w:val="18"/>
              </w:rPr>
              <w:t>years)</w:t>
            </w:r>
          </w:p>
        </w:tc>
      </w:tr>
      <w:tr w:rsidR="00D96B91" w:rsidTr="004C4403">
        <w:trPr>
          <w:trHeight w:hRule="exact" w:val="1507"/>
        </w:trPr>
        <w:tc>
          <w:tcPr>
            <w:tcW w:w="1061" w:type="dxa"/>
            <w:vMerge/>
            <w:tcBorders>
              <w:left w:val="single" w:sz="4" w:space="0" w:color="1A9EDA"/>
              <w:right w:val="single" w:sz="4" w:space="0" w:color="1A9EDA"/>
            </w:tcBorders>
            <w:shd w:val="clear" w:color="auto" w:fill="0778BE"/>
          </w:tcPr>
          <w:p w:rsidR="00D96B91" w:rsidRDefault="00D96B91" w:rsidP="004C4403"/>
        </w:tc>
        <w:tc>
          <w:tcPr>
            <w:tcW w:w="12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07"/>
              <w:ind w:left="108" w:right="139"/>
              <w:rPr>
                <w:rFonts w:ascii="Avenir Next Condensed" w:eastAsia="Avenir Next Condensed" w:hAnsi="Avenir Next Condensed" w:cs="Avenir Next Condensed"/>
                <w:sz w:val="18"/>
                <w:szCs w:val="18"/>
              </w:rPr>
            </w:pPr>
            <w:r>
              <w:rPr>
                <w:rFonts w:ascii="Avenir Next Condensed"/>
                <w:color w:val="FFFFFF"/>
                <w:spacing w:val="-1"/>
                <w:sz w:val="18"/>
              </w:rPr>
              <w:t>Depreciation</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154"/>
              <w:rPr>
                <w:rFonts w:ascii="Avenir Next Condensed" w:eastAsia="Avenir Next Condensed" w:hAnsi="Avenir Next Condensed" w:cs="Avenir Next Condensed"/>
                <w:sz w:val="18"/>
                <w:szCs w:val="18"/>
              </w:rPr>
            </w:pPr>
            <w:r>
              <w:rPr>
                <w:rFonts w:ascii="Avenir Next Condensed"/>
                <w:spacing w:val="-1"/>
                <w:sz w:val="18"/>
              </w:rPr>
              <w:t>Straight</w:t>
            </w:r>
            <w:r>
              <w:rPr>
                <w:rFonts w:ascii="Avenir Next Condensed"/>
                <w:sz w:val="18"/>
              </w:rPr>
              <w:t xml:space="preserve"> line </w:t>
            </w:r>
            <w:r>
              <w:rPr>
                <w:rFonts w:ascii="Avenir Next Condensed"/>
                <w:spacing w:val="-1"/>
                <w:sz w:val="18"/>
              </w:rPr>
              <w:t>depreciation</w:t>
            </w:r>
            <w:r>
              <w:rPr>
                <w:rFonts w:ascii="Avenir Next Condensed"/>
                <w:sz w:val="18"/>
              </w:rPr>
              <w:t xml:space="preserve"> using</w:t>
            </w:r>
            <w:r>
              <w:rPr>
                <w:rFonts w:ascii="Avenir Next Condensed"/>
                <w:spacing w:val="29"/>
                <w:sz w:val="18"/>
              </w:rPr>
              <w:t xml:space="preserve"> </w:t>
            </w:r>
            <w:r>
              <w:rPr>
                <w:rFonts w:ascii="Avenir Next Condensed"/>
                <w:sz w:val="18"/>
              </w:rPr>
              <w:t xml:space="preserve">accounting and engineering weighted </w:t>
            </w:r>
            <w:r>
              <w:rPr>
                <w:rFonts w:ascii="Avenir Next Condensed"/>
                <w:spacing w:val="-1"/>
                <w:sz w:val="18"/>
              </w:rPr>
              <w:t>average</w:t>
            </w:r>
            <w:r>
              <w:rPr>
                <w:rFonts w:ascii="Avenir Next Condensed"/>
                <w:sz w:val="18"/>
              </w:rPr>
              <w:t xml:space="preserve"> </w:t>
            </w:r>
            <w:r>
              <w:rPr>
                <w:rFonts w:ascii="Avenir Next Condensed"/>
                <w:spacing w:val="-1"/>
                <w:sz w:val="18"/>
              </w:rPr>
              <w:t>asset</w:t>
            </w:r>
            <w:r>
              <w:rPr>
                <w:rFonts w:ascii="Avenir Next Condensed"/>
                <w:sz w:val="18"/>
              </w:rPr>
              <w:t xml:space="preserve"> lives for</w:t>
            </w:r>
            <w:r>
              <w:rPr>
                <w:rFonts w:ascii="Avenir Next Condensed"/>
                <w:spacing w:val="28"/>
                <w:sz w:val="18"/>
              </w:rPr>
              <w:t xml:space="preserve"> </w:t>
            </w:r>
            <w:r>
              <w:rPr>
                <w:rFonts w:ascii="Avenir Next Condensed"/>
                <w:spacing w:val="-1"/>
                <w:sz w:val="18"/>
              </w:rPr>
              <w:t>existing</w:t>
            </w:r>
            <w:r>
              <w:rPr>
                <w:rFonts w:ascii="Avenir Next Condensed"/>
                <w:sz w:val="18"/>
              </w:rPr>
              <w:t xml:space="preserve"> </w:t>
            </w:r>
            <w:r>
              <w:rPr>
                <w:rFonts w:ascii="Avenir Next Condensed"/>
                <w:spacing w:val="-1"/>
                <w:sz w:val="18"/>
              </w:rPr>
              <w:t>assets</w:t>
            </w:r>
            <w:r>
              <w:rPr>
                <w:rFonts w:ascii="Avenir Next Condensed"/>
                <w:sz w:val="18"/>
              </w:rPr>
              <w:t xml:space="preserve"> and </w:t>
            </w:r>
            <w:r>
              <w:rPr>
                <w:rFonts w:ascii="Avenir Next Condensed"/>
                <w:spacing w:val="-1"/>
                <w:sz w:val="18"/>
              </w:rPr>
              <w:t>asset</w:t>
            </w:r>
            <w:r>
              <w:rPr>
                <w:rFonts w:ascii="Avenir Next Condensed"/>
                <w:sz w:val="18"/>
              </w:rPr>
              <w:t xml:space="preserve"> specific lives</w:t>
            </w:r>
            <w:r>
              <w:rPr>
                <w:rFonts w:ascii="Avenir Next Condensed"/>
                <w:spacing w:val="27"/>
                <w:sz w:val="18"/>
              </w:rPr>
              <w:t xml:space="preserve"> </w:t>
            </w:r>
            <w:r>
              <w:rPr>
                <w:rFonts w:ascii="Avenir Next Condensed"/>
                <w:sz w:val="18"/>
              </w:rPr>
              <w:t xml:space="preserve">for new </w:t>
            </w:r>
            <w:r>
              <w:rPr>
                <w:rFonts w:ascii="Avenir Next Condensed"/>
                <w:spacing w:val="-1"/>
                <w:sz w:val="18"/>
              </w:rPr>
              <w:t>assets</w:t>
            </w:r>
            <w:r>
              <w:rPr>
                <w:rFonts w:ascii="Avenir Next Condensed"/>
                <w:sz w:val="18"/>
              </w:rPr>
              <w:t xml:space="preserve"> and the water security</w:t>
            </w:r>
            <w:r>
              <w:rPr>
                <w:rFonts w:ascii="Avenir Next Condensed"/>
                <w:spacing w:val="24"/>
                <w:sz w:val="18"/>
              </w:rPr>
              <w:t xml:space="preserve"> </w:t>
            </w:r>
            <w:r>
              <w:rPr>
                <w:rFonts w:ascii="Avenir Next Condensed"/>
                <w:spacing w:val="-1"/>
                <w:sz w:val="18"/>
              </w:rPr>
              <w:t>assets.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272"/>
              <w:rPr>
                <w:rFonts w:ascii="Avenir Next Condensed" w:eastAsia="Avenir Next Condensed" w:hAnsi="Avenir Next Condensed" w:cs="Avenir Next Condensed"/>
                <w:sz w:val="18"/>
                <w:szCs w:val="18"/>
              </w:rPr>
            </w:pPr>
            <w:r>
              <w:rPr>
                <w:rFonts w:ascii="Avenir Next Condensed"/>
                <w:spacing w:val="-1"/>
                <w:sz w:val="18"/>
              </w:rPr>
              <w:t>Straight</w:t>
            </w:r>
            <w:r>
              <w:rPr>
                <w:rFonts w:ascii="Avenir Next Condensed"/>
                <w:sz w:val="18"/>
              </w:rPr>
              <w:t xml:space="preserve"> line </w:t>
            </w:r>
            <w:r>
              <w:rPr>
                <w:rFonts w:ascii="Avenir Next Condensed"/>
                <w:spacing w:val="-1"/>
                <w:sz w:val="18"/>
              </w:rPr>
              <w:t>depreciation</w:t>
            </w:r>
            <w:r>
              <w:rPr>
                <w:rFonts w:ascii="Avenir Next Condensed"/>
                <w:spacing w:val="29"/>
                <w:sz w:val="18"/>
              </w:rPr>
              <w:t xml:space="preserve"> </w:t>
            </w:r>
            <w:r>
              <w:rPr>
                <w:rFonts w:ascii="Avenir Next Condensed"/>
                <w:sz w:val="18"/>
              </w:rPr>
              <w:t xml:space="preserve">using notional weighted </w:t>
            </w:r>
            <w:r>
              <w:rPr>
                <w:rFonts w:ascii="Avenir Next Condensed"/>
                <w:spacing w:val="-1"/>
                <w:sz w:val="18"/>
              </w:rPr>
              <w:t>average</w:t>
            </w:r>
            <w:r>
              <w:rPr>
                <w:rFonts w:ascii="Avenir Next Condensed"/>
                <w:sz w:val="18"/>
              </w:rPr>
              <w:t xml:space="preserve"> </w:t>
            </w:r>
            <w:r>
              <w:rPr>
                <w:rFonts w:ascii="Avenir Next Condensed"/>
                <w:spacing w:val="-1"/>
                <w:sz w:val="18"/>
              </w:rPr>
              <w:t>asset</w:t>
            </w:r>
            <w:r>
              <w:rPr>
                <w:rFonts w:ascii="Avenir Next Condensed"/>
                <w:sz w:val="18"/>
              </w:rPr>
              <w:t xml:space="preserve"> lives for</w:t>
            </w:r>
            <w:r>
              <w:rPr>
                <w:rFonts w:ascii="Avenir Next Condensed"/>
                <w:spacing w:val="28"/>
                <w:sz w:val="18"/>
              </w:rPr>
              <w:t xml:space="preserve"> </w:t>
            </w:r>
            <w:r>
              <w:rPr>
                <w:rFonts w:ascii="Avenir Next Condensed"/>
                <w:spacing w:val="-1"/>
                <w:sz w:val="18"/>
              </w:rPr>
              <w:t>existing</w:t>
            </w:r>
            <w:r>
              <w:rPr>
                <w:rFonts w:ascii="Avenir Next Condensed"/>
                <w:sz w:val="18"/>
              </w:rPr>
              <w:t xml:space="preserve"> </w:t>
            </w:r>
            <w:r>
              <w:rPr>
                <w:rFonts w:ascii="Avenir Next Condensed"/>
                <w:spacing w:val="-1"/>
                <w:sz w:val="18"/>
              </w:rPr>
              <w:t>assets</w:t>
            </w:r>
            <w:r>
              <w:rPr>
                <w:rFonts w:ascii="Avenir Next Condensed"/>
                <w:sz w:val="18"/>
              </w:rPr>
              <w:t xml:space="preserve"> and for all</w:t>
            </w:r>
            <w:r>
              <w:rPr>
                <w:rFonts w:ascii="Avenir Next Condensed"/>
                <w:spacing w:val="21"/>
                <w:sz w:val="18"/>
              </w:rPr>
              <w:t xml:space="preserve"> </w:t>
            </w:r>
            <w:r>
              <w:rPr>
                <w:rFonts w:ascii="Avenir Next Condensed"/>
                <w:sz w:val="18"/>
              </w:rPr>
              <w:t xml:space="preserve">new </w:t>
            </w:r>
            <w:r>
              <w:rPr>
                <w:rFonts w:ascii="Avenir Next Condensed"/>
                <w:spacing w:val="-1"/>
                <w:sz w:val="18"/>
              </w:rPr>
              <w:t>assets.</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69"/>
              <w:rPr>
                <w:rFonts w:ascii="Avenir Next Condensed" w:eastAsia="Avenir Next Condensed" w:hAnsi="Avenir Next Condensed" w:cs="Avenir Next Condensed"/>
                <w:sz w:val="18"/>
                <w:szCs w:val="18"/>
              </w:rPr>
            </w:pPr>
            <w:r>
              <w:rPr>
                <w:rFonts w:ascii="Avenir Next Condensed"/>
                <w:spacing w:val="-1"/>
                <w:sz w:val="18"/>
              </w:rPr>
              <w:t>Straight</w:t>
            </w:r>
            <w:r>
              <w:rPr>
                <w:rFonts w:ascii="Avenir Next Condensed"/>
                <w:sz w:val="18"/>
              </w:rPr>
              <w:t xml:space="preserve"> line </w:t>
            </w:r>
            <w:r>
              <w:rPr>
                <w:rFonts w:ascii="Avenir Next Condensed"/>
                <w:spacing w:val="-1"/>
                <w:sz w:val="18"/>
              </w:rPr>
              <w:t>depreciation</w:t>
            </w:r>
            <w:r>
              <w:rPr>
                <w:rFonts w:ascii="Avenir Next Condensed"/>
                <w:sz w:val="18"/>
              </w:rPr>
              <w:t xml:space="preserve"> using</w:t>
            </w:r>
            <w:r>
              <w:rPr>
                <w:rFonts w:ascii="Avenir Next Condensed"/>
                <w:spacing w:val="29"/>
                <w:sz w:val="18"/>
              </w:rPr>
              <w:t xml:space="preserve"> </w:t>
            </w:r>
            <w:r>
              <w:rPr>
                <w:rFonts w:ascii="Avenir Next Condensed"/>
                <w:sz w:val="18"/>
              </w:rPr>
              <w:t xml:space="preserve">accounting and engineering based weighted </w:t>
            </w:r>
            <w:r>
              <w:rPr>
                <w:rFonts w:ascii="Avenir Next Condensed"/>
                <w:spacing w:val="-1"/>
                <w:sz w:val="18"/>
              </w:rPr>
              <w:t>average</w:t>
            </w:r>
            <w:r>
              <w:rPr>
                <w:rFonts w:ascii="Avenir Next Condensed"/>
                <w:sz w:val="18"/>
              </w:rPr>
              <w:t xml:space="preserve"> </w:t>
            </w:r>
            <w:r>
              <w:rPr>
                <w:rFonts w:ascii="Avenir Next Condensed"/>
                <w:spacing w:val="-1"/>
                <w:sz w:val="18"/>
              </w:rPr>
              <w:t>asset</w:t>
            </w:r>
            <w:r>
              <w:rPr>
                <w:rFonts w:ascii="Avenir Next Condensed"/>
                <w:sz w:val="18"/>
              </w:rPr>
              <w:t xml:space="preserve"> lives for</w:t>
            </w:r>
            <w:r>
              <w:rPr>
                <w:rFonts w:ascii="Avenir Next Condensed"/>
                <w:spacing w:val="28"/>
                <w:sz w:val="18"/>
              </w:rPr>
              <w:t xml:space="preserve"> </w:t>
            </w:r>
            <w:r>
              <w:rPr>
                <w:rFonts w:ascii="Avenir Next Condensed"/>
                <w:spacing w:val="-1"/>
                <w:sz w:val="18"/>
              </w:rPr>
              <w:t>existing</w:t>
            </w:r>
            <w:r>
              <w:rPr>
                <w:rFonts w:ascii="Avenir Next Condensed"/>
                <w:sz w:val="18"/>
              </w:rPr>
              <w:t xml:space="preserve"> </w:t>
            </w:r>
            <w:r>
              <w:rPr>
                <w:rFonts w:ascii="Avenir Next Condensed"/>
                <w:spacing w:val="-1"/>
                <w:sz w:val="18"/>
              </w:rPr>
              <w:t>assets</w:t>
            </w:r>
            <w:r>
              <w:rPr>
                <w:rFonts w:ascii="Avenir Next Condensed"/>
                <w:sz w:val="18"/>
              </w:rPr>
              <w:t xml:space="preserve"> and new </w:t>
            </w:r>
            <w:r>
              <w:rPr>
                <w:rFonts w:ascii="Avenir Next Condensed"/>
                <w:spacing w:val="-1"/>
                <w:sz w:val="18"/>
              </w:rPr>
              <w:t>assets.</w:t>
            </w:r>
          </w:p>
        </w:tc>
      </w:tr>
      <w:tr w:rsidR="00D96B91" w:rsidTr="004C4403">
        <w:trPr>
          <w:trHeight w:hRule="exact" w:val="893"/>
        </w:trPr>
        <w:tc>
          <w:tcPr>
            <w:tcW w:w="1061" w:type="dxa"/>
            <w:vMerge/>
            <w:tcBorders>
              <w:left w:val="single" w:sz="4" w:space="0" w:color="1A9EDA"/>
              <w:bottom w:val="single" w:sz="4" w:space="0" w:color="1A9EDA"/>
              <w:right w:val="single" w:sz="4" w:space="0" w:color="1A9EDA"/>
            </w:tcBorders>
            <w:shd w:val="clear" w:color="auto" w:fill="0778BE"/>
          </w:tcPr>
          <w:p w:rsidR="00D96B91" w:rsidRDefault="00D96B91" w:rsidP="004C4403"/>
        </w:tc>
        <w:tc>
          <w:tcPr>
            <w:tcW w:w="12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07"/>
              <w:ind w:left="108" w:right="139"/>
              <w:rPr>
                <w:rFonts w:ascii="Avenir Next Condensed" w:eastAsia="Avenir Next Condensed" w:hAnsi="Avenir Next Condensed" w:cs="Avenir Next Condensed"/>
                <w:sz w:val="18"/>
                <w:szCs w:val="18"/>
              </w:rPr>
            </w:pPr>
            <w:r>
              <w:rPr>
                <w:rFonts w:ascii="Avenir Next Condensed"/>
                <w:color w:val="FFFFFF"/>
                <w:spacing w:val="-1"/>
                <w:sz w:val="18"/>
              </w:rPr>
              <w:t>Indexation</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217"/>
              <w:rPr>
                <w:rFonts w:ascii="Avenir Next Condensed" w:eastAsia="Avenir Next Condensed" w:hAnsi="Avenir Next Condensed" w:cs="Avenir Next Condensed"/>
                <w:sz w:val="18"/>
                <w:szCs w:val="18"/>
              </w:rPr>
            </w:pPr>
            <w:r>
              <w:rPr>
                <w:rFonts w:ascii="Avenir Next Condensed"/>
                <w:spacing w:val="-1"/>
                <w:sz w:val="18"/>
              </w:rPr>
              <w:t>Provision</w:t>
            </w:r>
            <w:r>
              <w:rPr>
                <w:rFonts w:ascii="Avenir Next Condensed"/>
                <w:sz w:val="18"/>
              </w:rPr>
              <w:t xml:space="preserve"> made for </w:t>
            </w:r>
            <w:r>
              <w:rPr>
                <w:rFonts w:ascii="Avenir Next Condensed"/>
                <w:spacing w:val="-1"/>
                <w:sz w:val="18"/>
              </w:rPr>
              <w:t>indexation</w:t>
            </w:r>
            <w:r>
              <w:rPr>
                <w:rFonts w:ascii="Avenir Next Condensed"/>
                <w:sz w:val="18"/>
              </w:rPr>
              <w:t xml:space="preserve"> (2.5%</w:t>
            </w:r>
            <w:r>
              <w:rPr>
                <w:rFonts w:ascii="Avenir Next Condensed"/>
                <w:spacing w:val="21"/>
                <w:sz w:val="18"/>
              </w:rPr>
              <w:t xml:space="preserve"> </w:t>
            </w:r>
            <w:r>
              <w:rPr>
                <w:rFonts w:ascii="Avenir Next Condensed"/>
                <w:sz w:val="18"/>
              </w:rPr>
              <w:t xml:space="preserve">inflation </w:t>
            </w:r>
            <w:r>
              <w:rPr>
                <w:rFonts w:ascii="Avenir Next Condensed"/>
                <w:spacing w:val="-1"/>
                <w:sz w:val="18"/>
              </w:rPr>
              <w:t>forecast).</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468"/>
              <w:rPr>
                <w:rFonts w:ascii="Avenir Next Condensed" w:eastAsia="Avenir Next Condensed" w:hAnsi="Avenir Next Condensed" w:cs="Avenir Next Condensed"/>
                <w:sz w:val="18"/>
                <w:szCs w:val="18"/>
              </w:rPr>
            </w:pPr>
            <w:r>
              <w:rPr>
                <w:rFonts w:ascii="Avenir Next Condensed"/>
                <w:sz w:val="18"/>
              </w:rPr>
              <w:t xml:space="preserve">No </w:t>
            </w:r>
            <w:r>
              <w:rPr>
                <w:rFonts w:ascii="Avenir Next Condensed"/>
                <w:spacing w:val="-1"/>
                <w:sz w:val="18"/>
              </w:rPr>
              <w:t>provision</w:t>
            </w:r>
            <w:r>
              <w:rPr>
                <w:rFonts w:ascii="Avenir Next Condensed"/>
                <w:sz w:val="18"/>
              </w:rPr>
              <w:t xml:space="preserve"> made for</w:t>
            </w:r>
            <w:r>
              <w:rPr>
                <w:rFonts w:ascii="Avenir Next Condensed"/>
                <w:spacing w:val="27"/>
                <w:sz w:val="18"/>
              </w:rPr>
              <w:t xml:space="preserve"> </w:t>
            </w:r>
            <w:r>
              <w:rPr>
                <w:rFonts w:ascii="Avenir Next Condensed"/>
                <w:spacing w:val="-1"/>
                <w:sz w:val="18"/>
              </w:rPr>
              <w:t>indexation.</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80"/>
              <w:rPr>
                <w:rFonts w:ascii="Avenir Next Condensed" w:eastAsia="Avenir Next Condensed" w:hAnsi="Avenir Next Condensed" w:cs="Avenir Next Condensed"/>
                <w:sz w:val="18"/>
                <w:szCs w:val="18"/>
              </w:rPr>
            </w:pPr>
            <w:r>
              <w:rPr>
                <w:rFonts w:ascii="Avenir Next Condensed"/>
                <w:spacing w:val="-1"/>
                <w:sz w:val="18"/>
              </w:rPr>
              <w:t>Provision</w:t>
            </w:r>
            <w:r>
              <w:rPr>
                <w:rFonts w:ascii="Avenir Next Condensed"/>
                <w:sz w:val="18"/>
              </w:rPr>
              <w:t xml:space="preserve"> made for </w:t>
            </w:r>
            <w:r>
              <w:rPr>
                <w:rFonts w:ascii="Avenir Next Condensed"/>
                <w:spacing w:val="-1"/>
                <w:sz w:val="18"/>
              </w:rPr>
              <w:t>indexation</w:t>
            </w:r>
            <w:r>
              <w:rPr>
                <w:rFonts w:ascii="Avenir Next Condensed"/>
                <w:sz w:val="18"/>
              </w:rPr>
              <w:t xml:space="preserve"> (2.5%</w:t>
            </w:r>
            <w:r>
              <w:rPr>
                <w:rFonts w:ascii="Avenir Next Condensed"/>
                <w:spacing w:val="21"/>
                <w:sz w:val="18"/>
              </w:rPr>
              <w:t xml:space="preserve"> </w:t>
            </w:r>
            <w:r>
              <w:rPr>
                <w:rFonts w:ascii="Avenir Next Condensed"/>
                <w:sz w:val="18"/>
              </w:rPr>
              <w:t>inflation).</w:t>
            </w:r>
          </w:p>
        </w:tc>
      </w:tr>
      <w:tr w:rsidR="00D96B91" w:rsidTr="004C4403">
        <w:trPr>
          <w:trHeight w:hRule="exact" w:val="1067"/>
        </w:trPr>
        <w:tc>
          <w:tcPr>
            <w:tcW w:w="1061" w:type="dxa"/>
            <w:vMerge w:val="restart"/>
            <w:tcBorders>
              <w:top w:val="single" w:sz="4" w:space="0" w:color="1A9EDA"/>
              <w:left w:val="single" w:sz="4" w:space="0" w:color="1A9EDA"/>
              <w:right w:val="single" w:sz="4" w:space="0" w:color="1A9EDA"/>
            </w:tcBorders>
            <w:shd w:val="clear" w:color="auto" w:fill="0778BE"/>
          </w:tcPr>
          <w:p w:rsidR="00D96B91" w:rsidRDefault="00D96B91" w:rsidP="004C4403">
            <w:pPr>
              <w:pStyle w:val="TableParagraph"/>
              <w:rPr>
                <w:rFonts w:ascii="Avenir Next" w:eastAsia="Avenir Next" w:hAnsi="Avenir Next" w:cs="Avenir Next"/>
                <w:b/>
                <w:bCs/>
                <w:sz w:val="18"/>
                <w:szCs w:val="18"/>
              </w:rPr>
            </w:pPr>
          </w:p>
          <w:p w:rsidR="00D96B91" w:rsidRDefault="00D96B91" w:rsidP="004C4403">
            <w:pPr>
              <w:pStyle w:val="TableParagraph"/>
              <w:rPr>
                <w:rFonts w:ascii="Avenir Next" w:eastAsia="Avenir Next" w:hAnsi="Avenir Next" w:cs="Avenir Next"/>
                <w:b/>
                <w:bCs/>
                <w:sz w:val="18"/>
                <w:szCs w:val="18"/>
              </w:rPr>
            </w:pPr>
          </w:p>
          <w:p w:rsidR="00D96B91" w:rsidRDefault="00D96B91" w:rsidP="004C4403">
            <w:pPr>
              <w:pStyle w:val="TableParagraph"/>
              <w:spacing w:before="3"/>
              <w:rPr>
                <w:rFonts w:ascii="Avenir Next" w:eastAsia="Avenir Next" w:hAnsi="Avenir Next" w:cs="Avenir Next"/>
                <w:b/>
                <w:bCs/>
                <w:sz w:val="19"/>
                <w:szCs w:val="19"/>
              </w:rPr>
            </w:pPr>
          </w:p>
          <w:p w:rsidR="00D96B91" w:rsidRDefault="00C2656B" w:rsidP="004C4403">
            <w:pPr>
              <w:pStyle w:val="TableParagraph"/>
              <w:spacing w:line="220" w:lineRule="exact"/>
              <w:ind w:left="107"/>
              <w:rPr>
                <w:rFonts w:ascii="Avenir Next Condensed" w:eastAsia="Avenir Next Condensed" w:hAnsi="Avenir Next Condensed" w:cs="Avenir Next Condensed"/>
                <w:sz w:val="18"/>
                <w:szCs w:val="18"/>
              </w:rPr>
            </w:pPr>
            <w:r>
              <w:rPr>
                <w:rFonts w:ascii="Avenir Next Condensed"/>
                <w:b/>
                <w:color w:val="FFFFFF"/>
                <w:spacing w:val="-1"/>
                <w:sz w:val="18"/>
              </w:rPr>
              <w:t>Rate</w:t>
            </w:r>
            <w:r>
              <w:rPr>
                <w:rFonts w:ascii="Avenir Next Condensed"/>
                <w:b/>
                <w:color w:val="FFFFFF"/>
                <w:sz w:val="18"/>
              </w:rPr>
              <w:t xml:space="preserve"> of</w:t>
            </w:r>
            <w:r>
              <w:rPr>
                <w:rFonts w:ascii="Avenir Next Condensed"/>
                <w:b/>
                <w:color w:val="FFFFFF"/>
                <w:spacing w:val="22"/>
                <w:sz w:val="18"/>
              </w:rPr>
              <w:t xml:space="preserve"> </w:t>
            </w:r>
            <w:r>
              <w:rPr>
                <w:rFonts w:ascii="Avenir Next Condensed"/>
                <w:b/>
                <w:color w:val="FFFFFF"/>
                <w:spacing w:val="-1"/>
                <w:sz w:val="18"/>
              </w:rPr>
              <w:t>return</w:t>
            </w:r>
          </w:p>
        </w:tc>
        <w:tc>
          <w:tcPr>
            <w:tcW w:w="12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07"/>
              <w:ind w:left="107" w:right="139"/>
              <w:rPr>
                <w:rFonts w:ascii="Avenir Next Condensed" w:eastAsia="Avenir Next Condensed" w:hAnsi="Avenir Next Condensed" w:cs="Avenir Next Condensed"/>
                <w:sz w:val="18"/>
                <w:szCs w:val="18"/>
              </w:rPr>
            </w:pPr>
            <w:r>
              <w:rPr>
                <w:rFonts w:ascii="Avenir Next Condensed"/>
                <w:b/>
                <w:color w:val="FFFFFF"/>
                <w:sz w:val="18"/>
              </w:rPr>
              <w:t>Method</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 xml:space="preserve">Benchmark </w:t>
            </w:r>
            <w:r>
              <w:rPr>
                <w:rFonts w:ascii="Avenir Next Condensed"/>
                <w:spacing w:val="-1"/>
                <w:sz w:val="18"/>
              </w:rPr>
              <w:t>efficient</w:t>
            </w:r>
            <w:r>
              <w:rPr>
                <w:rFonts w:ascii="Avenir Next Condensed"/>
                <w:sz w:val="18"/>
              </w:rPr>
              <w:t xml:space="preserve"> entity </w:t>
            </w:r>
            <w:r>
              <w:rPr>
                <w:rFonts w:ascii="Avenir Next Condensed"/>
                <w:spacing w:val="-1"/>
                <w:sz w:val="18"/>
              </w:rPr>
              <w:t>approach.</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157"/>
              <w:rPr>
                <w:rFonts w:ascii="Avenir Next Condensed" w:eastAsia="Avenir Next Condensed" w:hAnsi="Avenir Next Condensed" w:cs="Avenir Next Condensed"/>
                <w:sz w:val="18"/>
                <w:szCs w:val="18"/>
              </w:rPr>
            </w:pPr>
            <w:r>
              <w:rPr>
                <w:rFonts w:ascii="Avenir Next Condensed"/>
                <w:spacing w:val="-1"/>
                <w:sz w:val="18"/>
              </w:rPr>
              <w:t>Firm</w:t>
            </w:r>
            <w:r>
              <w:rPr>
                <w:rFonts w:ascii="Avenir Next Condensed"/>
                <w:sz w:val="18"/>
              </w:rPr>
              <w:t xml:space="preserve"> specific </w:t>
            </w:r>
            <w:r>
              <w:rPr>
                <w:rFonts w:ascii="Avenir Next Condensed"/>
                <w:spacing w:val="-1"/>
                <w:sz w:val="18"/>
              </w:rPr>
              <w:t>approach</w:t>
            </w:r>
            <w:r>
              <w:rPr>
                <w:rFonts w:ascii="Avenir Next Condensed"/>
                <w:sz w:val="18"/>
              </w:rPr>
              <w:t xml:space="preserve"> with</w:t>
            </w:r>
            <w:r>
              <w:rPr>
                <w:rFonts w:ascii="Avenir Next Condensed"/>
                <w:spacing w:val="27"/>
                <w:sz w:val="18"/>
              </w:rPr>
              <w:t xml:space="preserve"> </w:t>
            </w:r>
            <w:r>
              <w:rPr>
                <w:rFonts w:ascii="Avenir Next Condensed"/>
                <w:sz w:val="18"/>
              </w:rPr>
              <w:t>cost of</w:t>
            </w:r>
            <w:r>
              <w:rPr>
                <w:rFonts w:ascii="Avenir Next Condensed"/>
                <w:spacing w:val="4"/>
                <w:sz w:val="18"/>
              </w:rPr>
              <w:t xml:space="preserve"> </w:t>
            </w:r>
            <w:r>
              <w:rPr>
                <w:rFonts w:ascii="Avenir Next Condensed"/>
                <w:sz w:val="18"/>
              </w:rPr>
              <w:t xml:space="preserve">equity set below firm specific </w:t>
            </w:r>
            <w:r>
              <w:rPr>
                <w:rFonts w:ascii="Avenir Next Condensed"/>
                <w:spacing w:val="-1"/>
                <w:sz w:val="18"/>
              </w:rPr>
              <w:t>range</w:t>
            </w:r>
            <w:r>
              <w:rPr>
                <w:rFonts w:ascii="Avenir Next Condensed"/>
                <w:sz w:val="18"/>
              </w:rPr>
              <w:t xml:space="preserve"> as a</w:t>
            </w:r>
            <w:r>
              <w:rPr>
                <w:rFonts w:ascii="Avenir Next Condensed"/>
                <w:spacing w:val="23"/>
                <w:sz w:val="18"/>
              </w:rPr>
              <w:t xml:space="preserve"> </w:t>
            </w:r>
            <w:r>
              <w:rPr>
                <w:rFonts w:ascii="Avenir Next Condensed"/>
                <w:spacing w:val="-1"/>
                <w:sz w:val="18"/>
              </w:rPr>
              <w:t>transitional</w:t>
            </w:r>
            <w:r>
              <w:rPr>
                <w:rFonts w:ascii="Avenir Next Condensed"/>
                <w:sz w:val="18"/>
              </w:rPr>
              <w:t xml:space="preserve"> </w:t>
            </w:r>
            <w:r>
              <w:rPr>
                <w:rFonts w:ascii="Avenir Next Condensed"/>
                <w:spacing w:val="-1"/>
                <w:sz w:val="18"/>
              </w:rPr>
              <w:t>measure.</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7"/>
              <w:rPr>
                <w:rFonts w:ascii="Avenir Next Condensed" w:eastAsia="Avenir Next Condensed" w:hAnsi="Avenir Next Condensed" w:cs="Avenir Next Condensed"/>
                <w:sz w:val="18"/>
                <w:szCs w:val="18"/>
              </w:rPr>
            </w:pPr>
            <w:r>
              <w:rPr>
                <w:rFonts w:ascii="Avenir Next Condensed"/>
                <w:sz w:val="18"/>
              </w:rPr>
              <w:t xml:space="preserve">Benchmark </w:t>
            </w:r>
            <w:r>
              <w:rPr>
                <w:rFonts w:ascii="Avenir Next Condensed"/>
                <w:spacing w:val="-1"/>
                <w:sz w:val="18"/>
              </w:rPr>
              <w:t>efficient</w:t>
            </w:r>
            <w:r>
              <w:rPr>
                <w:rFonts w:ascii="Avenir Next Condensed"/>
                <w:sz w:val="18"/>
              </w:rPr>
              <w:t xml:space="preserve"> entity </w:t>
            </w:r>
            <w:r>
              <w:rPr>
                <w:rFonts w:ascii="Avenir Next Condensed"/>
                <w:spacing w:val="-1"/>
                <w:sz w:val="18"/>
              </w:rPr>
              <w:t>approach.</w:t>
            </w:r>
          </w:p>
        </w:tc>
      </w:tr>
      <w:tr w:rsidR="00D96B91" w:rsidTr="004C4403">
        <w:trPr>
          <w:trHeight w:hRule="exact" w:val="847"/>
        </w:trPr>
        <w:tc>
          <w:tcPr>
            <w:tcW w:w="1061" w:type="dxa"/>
            <w:vMerge/>
            <w:tcBorders>
              <w:left w:val="single" w:sz="4" w:space="0" w:color="1A9EDA"/>
              <w:bottom w:val="single" w:sz="4" w:space="0" w:color="1A9EDA"/>
              <w:right w:val="single" w:sz="4" w:space="0" w:color="1A9EDA"/>
            </w:tcBorders>
            <w:shd w:val="clear" w:color="auto" w:fill="0778BE"/>
          </w:tcPr>
          <w:p w:rsidR="00D96B91" w:rsidRDefault="00D96B91"/>
        </w:tc>
        <w:tc>
          <w:tcPr>
            <w:tcW w:w="12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C4403">
            <w:pPr>
              <w:pStyle w:val="TableParagraph"/>
              <w:spacing w:before="107"/>
              <w:ind w:left="107" w:right="139"/>
              <w:rPr>
                <w:rFonts w:ascii="Avenir Next Condensed" w:eastAsia="Avenir Next Condensed" w:hAnsi="Avenir Next Condensed" w:cs="Avenir Next Condensed"/>
                <w:sz w:val="18"/>
                <w:szCs w:val="18"/>
              </w:rPr>
            </w:pPr>
            <w:r>
              <w:rPr>
                <w:rFonts w:ascii="Avenir Next Condensed"/>
                <w:b/>
                <w:color w:val="FFFFFF"/>
                <w:spacing w:val="-1"/>
                <w:sz w:val="18"/>
              </w:rPr>
              <w:t>Rate</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pacing w:val="-1"/>
                <w:sz w:val="18"/>
              </w:rPr>
              <w:t>Post-tax</w:t>
            </w:r>
            <w:r>
              <w:rPr>
                <w:rFonts w:ascii="Avenir Next Condensed"/>
                <w:sz w:val="18"/>
              </w:rPr>
              <w:t xml:space="preserve"> nominal</w:t>
            </w:r>
            <w:r>
              <w:rPr>
                <w:rFonts w:ascii="Avenir Next Condensed"/>
                <w:spacing w:val="-3"/>
                <w:sz w:val="18"/>
              </w:rPr>
              <w:t xml:space="preserve"> </w:t>
            </w:r>
            <w:r>
              <w:rPr>
                <w:rFonts w:ascii="Avenir Next Condensed"/>
                <w:spacing w:val="-2"/>
                <w:sz w:val="18"/>
              </w:rPr>
              <w:t>WACC:</w:t>
            </w:r>
            <w:r>
              <w:rPr>
                <w:rFonts w:ascii="Avenir Next Condensed"/>
                <w:sz w:val="18"/>
              </w:rPr>
              <w:t xml:space="preserve"> 7.20%</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Nominal</w:t>
            </w:r>
            <w:r>
              <w:rPr>
                <w:rFonts w:ascii="Avenir Next Condensed"/>
                <w:spacing w:val="-3"/>
                <w:sz w:val="18"/>
              </w:rPr>
              <w:t xml:space="preserve"> </w:t>
            </w:r>
            <w:r>
              <w:rPr>
                <w:rFonts w:ascii="Avenir Next Condensed"/>
                <w:spacing w:val="-2"/>
                <w:sz w:val="18"/>
              </w:rPr>
              <w:t>WACC:</w:t>
            </w:r>
            <w:r>
              <w:rPr>
                <w:rFonts w:ascii="Avenir Next Condensed"/>
                <w:sz w:val="18"/>
              </w:rPr>
              <w:t xml:space="preserve"> 4.42%</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277"/>
              <w:rPr>
                <w:rFonts w:ascii="Avenir Next Condensed" w:eastAsia="Avenir Next Condensed" w:hAnsi="Avenir Next Condensed" w:cs="Avenir Next Condensed"/>
                <w:sz w:val="18"/>
                <w:szCs w:val="18"/>
              </w:rPr>
            </w:pPr>
            <w:r>
              <w:rPr>
                <w:rFonts w:ascii="Avenir Next Condensed"/>
                <w:spacing w:val="-1"/>
                <w:sz w:val="18"/>
              </w:rPr>
              <w:t>Post-tax</w:t>
            </w:r>
            <w:r>
              <w:rPr>
                <w:rFonts w:ascii="Avenir Next Condensed"/>
                <w:sz w:val="18"/>
              </w:rPr>
              <w:t xml:space="preserve"> nominal</w:t>
            </w:r>
            <w:r>
              <w:rPr>
                <w:rFonts w:ascii="Avenir Next Condensed"/>
                <w:spacing w:val="-3"/>
                <w:sz w:val="18"/>
              </w:rPr>
              <w:t xml:space="preserve"> </w:t>
            </w:r>
            <w:r>
              <w:rPr>
                <w:rFonts w:ascii="Avenir Next Condensed"/>
                <w:spacing w:val="-2"/>
                <w:sz w:val="18"/>
              </w:rPr>
              <w:t>WACC:</w:t>
            </w:r>
            <w:r>
              <w:rPr>
                <w:rFonts w:ascii="Avenir Next Condensed"/>
                <w:sz w:val="18"/>
              </w:rPr>
              <w:t xml:space="preserve"> 8.95%.</w:t>
            </w:r>
            <w:r>
              <w:rPr>
                <w:rFonts w:ascii="Avenir Next Condensed"/>
                <w:spacing w:val="22"/>
                <w:sz w:val="18"/>
              </w:rPr>
              <w:t xml:space="preserve"> </w:t>
            </w:r>
            <w:r>
              <w:rPr>
                <w:rFonts w:ascii="Avenir Next Condensed"/>
                <w:sz w:val="18"/>
              </w:rPr>
              <w:t xml:space="preserve">(higher equity beta and risk </w:t>
            </w:r>
            <w:r>
              <w:rPr>
                <w:rFonts w:ascii="Avenir Next Condensed"/>
                <w:spacing w:val="-1"/>
                <w:sz w:val="18"/>
              </w:rPr>
              <w:t>free</w:t>
            </w:r>
            <w:r>
              <w:rPr>
                <w:rFonts w:ascii="Avenir Next Condensed"/>
                <w:sz w:val="18"/>
              </w:rPr>
              <w:t xml:space="preserve"> </w:t>
            </w:r>
            <w:r>
              <w:rPr>
                <w:rFonts w:ascii="Avenir Next Condensed"/>
                <w:spacing w:val="-1"/>
                <w:sz w:val="18"/>
              </w:rPr>
              <w:t>rate</w:t>
            </w:r>
            <w:r>
              <w:rPr>
                <w:rFonts w:ascii="Avenir Next Condensed"/>
                <w:spacing w:val="24"/>
                <w:sz w:val="18"/>
              </w:rPr>
              <w:t xml:space="preserve"> </w:t>
            </w:r>
            <w:r>
              <w:rPr>
                <w:rFonts w:ascii="Avenir Next Condensed"/>
                <w:sz w:val="18"/>
              </w:rPr>
              <w:t xml:space="preserve">than the </w:t>
            </w:r>
            <w:r>
              <w:rPr>
                <w:rFonts w:ascii="Avenir Next Condensed"/>
                <w:spacing w:val="-2"/>
                <w:sz w:val="18"/>
              </w:rPr>
              <w:t>Panel)</w:t>
            </w:r>
          </w:p>
        </w:tc>
      </w:tr>
      <w:tr w:rsidR="00D96B91" w:rsidTr="004C4403">
        <w:trPr>
          <w:trHeight w:hRule="exact" w:val="1067"/>
        </w:trPr>
        <w:tc>
          <w:tcPr>
            <w:tcW w:w="2302"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13"/>
              <w:rPr>
                <w:rFonts w:ascii="Avenir Next" w:eastAsia="Avenir Next" w:hAnsi="Avenir Next" w:cs="Avenir Next"/>
                <w:b/>
                <w:bCs/>
                <w:sz w:val="13"/>
                <w:szCs w:val="13"/>
              </w:rPr>
            </w:pPr>
          </w:p>
          <w:p w:rsidR="00D96B91" w:rsidRDefault="00C2656B">
            <w:pPr>
              <w:pStyle w:val="TableParagraph"/>
              <w:ind w:left="107"/>
              <w:rPr>
                <w:rFonts w:ascii="Avenir Next Condensed" w:eastAsia="Avenir Next Condensed" w:hAnsi="Avenir Next Condensed" w:cs="Avenir Next Condensed"/>
                <w:sz w:val="18"/>
                <w:szCs w:val="18"/>
              </w:rPr>
            </w:pPr>
            <w:r>
              <w:rPr>
                <w:rFonts w:ascii="Avenir Next Condensed"/>
                <w:b/>
                <w:color w:val="FFFFFF"/>
                <w:sz w:val="18"/>
              </w:rPr>
              <w:t>Net tax liabilities</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rsidP="004C4403">
            <w:pPr>
              <w:pStyle w:val="TableParagraph"/>
              <w:spacing w:before="110" w:line="220" w:lineRule="exact"/>
              <w:ind w:left="107" w:right="164"/>
              <w:rPr>
                <w:rFonts w:ascii="Avenir Next Condensed" w:eastAsia="Avenir Next Condensed" w:hAnsi="Avenir Next Condensed" w:cs="Avenir Next Condensed"/>
                <w:sz w:val="18"/>
                <w:szCs w:val="18"/>
              </w:rPr>
            </w:pPr>
            <w:r>
              <w:rPr>
                <w:rFonts w:ascii="Avenir Next Condensed"/>
                <w:spacing w:val="-1"/>
                <w:sz w:val="18"/>
              </w:rPr>
              <w:t>Provision</w:t>
            </w:r>
            <w:r>
              <w:rPr>
                <w:rFonts w:ascii="Avenir Next Condensed"/>
                <w:sz w:val="18"/>
              </w:rPr>
              <w:t xml:space="preserve"> made for net tax liabilities</w:t>
            </w:r>
            <w:r>
              <w:rPr>
                <w:rFonts w:ascii="Avenir Next Condensed"/>
                <w:spacing w:val="22"/>
                <w:sz w:val="18"/>
              </w:rPr>
              <w:t xml:space="preserve"> </w:t>
            </w:r>
            <w:r>
              <w:rPr>
                <w:rFonts w:ascii="Avenir Next Condensed"/>
                <w:sz w:val="18"/>
              </w:rPr>
              <w:t xml:space="preserve">calculated </w:t>
            </w:r>
            <w:r>
              <w:rPr>
                <w:rFonts w:ascii="Avenir Next Condensed"/>
                <w:spacing w:val="-1"/>
                <w:sz w:val="18"/>
              </w:rPr>
              <w:t>assuming</w:t>
            </w:r>
            <w:r>
              <w:rPr>
                <w:rFonts w:ascii="Avenir Next Condensed"/>
                <w:sz w:val="18"/>
              </w:rPr>
              <w:t xml:space="preserve"> a 0.5 gamma</w:t>
            </w:r>
            <w:r>
              <w:rPr>
                <w:rFonts w:ascii="Avenir Next Condensed"/>
                <w:spacing w:val="26"/>
                <w:sz w:val="18"/>
              </w:rPr>
              <w:t xml:space="preserve"> </w:t>
            </w:r>
            <w:r>
              <w:rPr>
                <w:rFonts w:ascii="Avenir Next Condensed"/>
                <w:sz w:val="18"/>
              </w:rPr>
              <w:t>value (value of</w:t>
            </w:r>
            <w:r>
              <w:rPr>
                <w:rFonts w:ascii="Avenir Next Condensed"/>
                <w:spacing w:val="4"/>
                <w:sz w:val="18"/>
              </w:rPr>
              <w:t xml:space="preserve"> </w:t>
            </w:r>
            <w:r>
              <w:rPr>
                <w:rFonts w:ascii="Avenir Next Condensed"/>
                <w:sz w:val="18"/>
              </w:rPr>
              <w:t xml:space="preserve">imputation </w:t>
            </w:r>
            <w:r>
              <w:rPr>
                <w:rFonts w:ascii="Avenir Next Condensed"/>
                <w:spacing w:val="-1"/>
                <w:sz w:val="18"/>
              </w:rPr>
              <w:t>credits).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7" w:right="230"/>
              <w:rPr>
                <w:rFonts w:ascii="Avenir Next Condensed" w:eastAsia="Avenir Next Condensed" w:hAnsi="Avenir Next Condensed" w:cs="Avenir Next Condensed"/>
                <w:sz w:val="18"/>
                <w:szCs w:val="18"/>
              </w:rPr>
            </w:pPr>
            <w:r>
              <w:rPr>
                <w:rFonts w:ascii="Avenir Next Condensed"/>
                <w:sz w:val="18"/>
              </w:rPr>
              <w:t xml:space="preserve">No </w:t>
            </w:r>
            <w:r>
              <w:rPr>
                <w:rFonts w:ascii="Avenir Next Condensed"/>
                <w:spacing w:val="-1"/>
                <w:sz w:val="18"/>
              </w:rPr>
              <w:t>provision</w:t>
            </w:r>
            <w:r>
              <w:rPr>
                <w:rFonts w:ascii="Avenir Next Condensed"/>
                <w:sz w:val="18"/>
              </w:rPr>
              <w:t xml:space="preserve"> made for net</w:t>
            </w:r>
            <w:r>
              <w:rPr>
                <w:rFonts w:ascii="Avenir Next Condensed"/>
                <w:spacing w:val="27"/>
                <w:sz w:val="18"/>
              </w:rPr>
              <w:t xml:space="preserve"> </w:t>
            </w:r>
            <w:r>
              <w:rPr>
                <w:rFonts w:ascii="Avenir Next Condensed"/>
                <w:sz w:val="18"/>
              </w:rPr>
              <w:t>tax liabilities.</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7" w:right="112"/>
              <w:rPr>
                <w:rFonts w:ascii="Avenir Next Condensed" w:eastAsia="Avenir Next Condensed" w:hAnsi="Avenir Next Condensed" w:cs="Avenir Next Condensed"/>
                <w:sz w:val="18"/>
                <w:szCs w:val="18"/>
              </w:rPr>
            </w:pPr>
            <w:r>
              <w:rPr>
                <w:rFonts w:ascii="Avenir Next Condensed"/>
                <w:spacing w:val="-1"/>
                <w:sz w:val="18"/>
              </w:rPr>
              <w:t>Provision</w:t>
            </w:r>
            <w:r>
              <w:rPr>
                <w:rFonts w:ascii="Avenir Next Condensed"/>
                <w:sz w:val="18"/>
              </w:rPr>
              <w:t xml:space="preserve"> made for net tax liabilities</w:t>
            </w:r>
            <w:r>
              <w:rPr>
                <w:rFonts w:ascii="Avenir Next Condensed"/>
                <w:spacing w:val="22"/>
                <w:sz w:val="18"/>
              </w:rPr>
              <w:t xml:space="preserve"> </w:t>
            </w:r>
            <w:r>
              <w:rPr>
                <w:rFonts w:ascii="Avenir Next Condensed"/>
                <w:sz w:val="18"/>
              </w:rPr>
              <w:t xml:space="preserve">calculated </w:t>
            </w:r>
            <w:r>
              <w:rPr>
                <w:rFonts w:ascii="Avenir Next Condensed"/>
                <w:spacing w:val="-1"/>
                <w:sz w:val="18"/>
              </w:rPr>
              <w:t>assuming</w:t>
            </w:r>
            <w:r>
              <w:rPr>
                <w:rFonts w:ascii="Avenir Next Condensed"/>
                <w:sz w:val="18"/>
              </w:rPr>
              <w:t xml:space="preserve"> a 0.25 gamma</w:t>
            </w:r>
            <w:r>
              <w:rPr>
                <w:rFonts w:ascii="Avenir Next Condensed"/>
                <w:spacing w:val="26"/>
                <w:sz w:val="18"/>
              </w:rPr>
              <w:t xml:space="preserve"> </w:t>
            </w:r>
            <w:r>
              <w:rPr>
                <w:rFonts w:ascii="Avenir Next Condensed"/>
                <w:sz w:val="18"/>
              </w:rPr>
              <w:t xml:space="preserve">value (note a lower gamma value </w:t>
            </w:r>
            <w:r>
              <w:rPr>
                <w:rFonts w:ascii="Avenir Next Condensed"/>
                <w:spacing w:val="-1"/>
                <w:sz w:val="18"/>
              </w:rPr>
              <w:t>leads</w:t>
            </w:r>
            <w:r>
              <w:rPr>
                <w:rFonts w:ascii="Avenir Next Condensed"/>
                <w:spacing w:val="23"/>
                <w:sz w:val="18"/>
              </w:rPr>
              <w:t xml:space="preserve"> </w:t>
            </w:r>
            <w:r>
              <w:rPr>
                <w:rFonts w:ascii="Avenir Next Condensed"/>
                <w:sz w:val="18"/>
              </w:rPr>
              <w:t>to a higher allowance).</w:t>
            </w:r>
          </w:p>
        </w:tc>
      </w:tr>
      <w:tr w:rsidR="00D96B91" w:rsidTr="004C4403">
        <w:trPr>
          <w:trHeight w:hRule="exact" w:val="2263"/>
        </w:trPr>
        <w:tc>
          <w:tcPr>
            <w:tcW w:w="2302"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8"/>
              <w:rPr>
                <w:rFonts w:ascii="Avenir Next" w:eastAsia="Avenir Next" w:hAnsi="Avenir Next" w:cs="Avenir Next"/>
                <w:b/>
                <w:bCs/>
              </w:rPr>
            </w:pPr>
          </w:p>
          <w:p w:rsidR="00D96B91" w:rsidRDefault="00C2656B">
            <w:pPr>
              <w:pStyle w:val="TableParagraph"/>
              <w:spacing w:line="220" w:lineRule="exact"/>
              <w:ind w:left="107" w:right="555"/>
              <w:rPr>
                <w:rFonts w:ascii="Avenir Next Condensed" w:eastAsia="Avenir Next Condensed" w:hAnsi="Avenir Next Condensed" w:cs="Avenir Next Condensed"/>
                <w:sz w:val="18"/>
                <w:szCs w:val="18"/>
              </w:rPr>
            </w:pPr>
            <w:r>
              <w:rPr>
                <w:rFonts w:ascii="Avenir Next Condensed"/>
                <w:b/>
                <w:color w:val="FFFFFF"/>
                <w:spacing w:val="-1"/>
                <w:sz w:val="18"/>
              </w:rPr>
              <w:t>Forecast</w:t>
            </w:r>
            <w:r>
              <w:rPr>
                <w:rFonts w:ascii="Avenir Next Condensed"/>
                <w:b/>
                <w:color w:val="FFFFFF"/>
                <w:sz w:val="18"/>
              </w:rPr>
              <w:t xml:space="preserve"> </w:t>
            </w:r>
            <w:r>
              <w:rPr>
                <w:rFonts w:ascii="Avenir Next Condensed"/>
                <w:b/>
                <w:color w:val="FFFFFF"/>
                <w:spacing w:val="-1"/>
                <w:sz w:val="18"/>
              </w:rPr>
              <w:t>operating</w:t>
            </w:r>
            <w:r>
              <w:rPr>
                <w:rFonts w:ascii="Avenir Next Condensed"/>
                <w:b/>
                <w:color w:val="FFFFFF"/>
                <w:spacing w:val="28"/>
                <w:sz w:val="18"/>
              </w:rPr>
              <w:t xml:space="preserve"> </w:t>
            </w:r>
            <w:r>
              <w:rPr>
                <w:rFonts w:ascii="Avenir Next Condensed"/>
                <w:b/>
                <w:color w:val="FFFFFF"/>
                <w:spacing w:val="-1"/>
                <w:sz w:val="18"/>
              </w:rPr>
              <w:t>expenditure</w:t>
            </w:r>
            <w:r>
              <w:rPr>
                <w:rFonts w:ascii="Avenir Next Condensed"/>
                <w:b/>
                <w:color w:val="FFFFFF"/>
                <w:sz w:val="18"/>
              </w:rPr>
              <w:t xml:space="preserve"> </w:t>
            </w:r>
            <w:r>
              <w:rPr>
                <w:rFonts w:ascii="Avenir Next Condensed"/>
                <w:b/>
                <w:color w:val="FFFFFF"/>
                <w:spacing w:val="4"/>
                <w:sz w:val="18"/>
              </w:rPr>
              <w:t xml:space="preserve">        </w:t>
            </w:r>
            <w:r>
              <w:rPr>
                <w:rFonts w:ascii="Avenir Next Condensed"/>
                <w:color w:val="FFFFFF"/>
                <w:sz w:val="18"/>
              </w:rPr>
              <w:t>(incl.</w:t>
            </w:r>
            <w:r>
              <w:rPr>
                <w:rFonts w:ascii="Avenir Next Condensed"/>
                <w:color w:val="FFFFFF"/>
                <w:spacing w:val="-8"/>
                <w:sz w:val="18"/>
              </w:rPr>
              <w:t xml:space="preserve"> </w:t>
            </w:r>
            <w:r>
              <w:rPr>
                <w:rFonts w:ascii="Avenir Next Condensed"/>
                <w:color w:val="FFFFFF"/>
                <w:spacing w:val="-1"/>
                <w:sz w:val="18"/>
              </w:rPr>
              <w:t>Water</w:t>
            </w:r>
            <w:r>
              <w:rPr>
                <w:rFonts w:ascii="Avenir Next Condensed"/>
                <w:color w:val="FFFFFF"/>
                <w:spacing w:val="-4"/>
                <w:sz w:val="18"/>
              </w:rPr>
              <w:t xml:space="preserve"> </w:t>
            </w:r>
            <w:r>
              <w:rPr>
                <w:rFonts w:ascii="Avenir Next Condensed"/>
                <w:color w:val="FFFFFF"/>
                <w:spacing w:val="-1"/>
                <w:sz w:val="18"/>
              </w:rPr>
              <w:t>Abstraction</w:t>
            </w:r>
          </w:p>
          <w:p w:rsidR="00D96B91" w:rsidRDefault="00C2656B">
            <w:pPr>
              <w:pStyle w:val="TableParagraph"/>
              <w:spacing w:line="220" w:lineRule="exact"/>
              <w:ind w:left="107" w:right="169"/>
              <w:rPr>
                <w:rFonts w:ascii="Avenir Next Condensed" w:eastAsia="Avenir Next Condensed" w:hAnsi="Avenir Next Condensed" w:cs="Avenir Next Condensed"/>
                <w:sz w:val="18"/>
                <w:szCs w:val="18"/>
              </w:rPr>
            </w:pPr>
            <w:r>
              <w:rPr>
                <w:rFonts w:ascii="Avenir Next Condensed"/>
                <w:color w:val="FFFFFF"/>
                <w:spacing w:val="-1"/>
                <w:sz w:val="18"/>
              </w:rPr>
              <w:t>Charge</w:t>
            </w:r>
            <w:r>
              <w:rPr>
                <w:rFonts w:ascii="Avenir Next Condensed"/>
                <w:color w:val="FFFFFF"/>
                <w:sz w:val="18"/>
              </w:rPr>
              <w:t xml:space="preserve"> </w:t>
            </w:r>
            <w:r>
              <w:rPr>
                <w:rFonts w:ascii="Avenir Next Condensed"/>
                <w:color w:val="FFFFFF"/>
                <w:spacing w:val="-2"/>
                <w:sz w:val="18"/>
              </w:rPr>
              <w:t>(WAC)</w:t>
            </w:r>
            <w:r>
              <w:rPr>
                <w:rFonts w:ascii="Avenir Next Condensed"/>
                <w:color w:val="FFFFFF"/>
                <w:sz w:val="18"/>
              </w:rPr>
              <w:t xml:space="preserve"> and Utilities</w:t>
            </w:r>
            <w:r>
              <w:rPr>
                <w:rFonts w:ascii="Avenir Next Condensed"/>
                <w:color w:val="FFFFFF"/>
                <w:spacing w:val="27"/>
                <w:sz w:val="18"/>
              </w:rPr>
              <w:t xml:space="preserve"> </w:t>
            </w:r>
            <w:r>
              <w:rPr>
                <w:rFonts w:ascii="Avenir Next Condensed"/>
                <w:color w:val="FFFFFF"/>
                <w:sz w:val="18"/>
              </w:rPr>
              <w:t xml:space="preserve">Network </w:t>
            </w:r>
            <w:r>
              <w:rPr>
                <w:rFonts w:ascii="Avenir Next Condensed"/>
                <w:color w:val="FFFFFF"/>
                <w:spacing w:val="-1"/>
                <w:sz w:val="18"/>
              </w:rPr>
              <w:t>Facilities</w:t>
            </w:r>
            <w:r>
              <w:rPr>
                <w:rFonts w:ascii="Avenir Next Condensed"/>
                <w:color w:val="FFFFFF"/>
                <w:spacing w:val="-5"/>
                <w:sz w:val="18"/>
              </w:rPr>
              <w:t xml:space="preserve"> </w:t>
            </w:r>
            <w:r>
              <w:rPr>
                <w:rFonts w:ascii="Avenir Next Condensed"/>
                <w:color w:val="FFFFFF"/>
                <w:spacing w:val="-3"/>
                <w:sz w:val="18"/>
              </w:rPr>
              <w:t>Tax</w:t>
            </w:r>
            <w:r>
              <w:rPr>
                <w:rFonts w:ascii="Avenir Next Condensed"/>
                <w:color w:val="FFFFFF"/>
                <w:sz w:val="18"/>
              </w:rPr>
              <w:t xml:space="preserve"> (UNFT))</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rsidP="004C4403">
            <w:pPr>
              <w:pStyle w:val="TableParagraph"/>
              <w:spacing w:before="110" w:line="220" w:lineRule="exact"/>
              <w:ind w:left="107" w:right="230"/>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$496 million (nominal full 5</w:t>
            </w:r>
            <w:r>
              <w:rPr>
                <w:rFonts w:ascii="Avenir Next Condensed"/>
                <w:spacing w:val="23"/>
                <w:sz w:val="18"/>
              </w:rPr>
              <w:t xml:space="preserve"> </w:t>
            </w:r>
            <w:r>
              <w:rPr>
                <w:rFonts w:ascii="Avenir Next Condensed"/>
                <w:spacing w:val="-1"/>
                <w:sz w:val="18"/>
              </w:rPr>
              <w:t>year</w:t>
            </w:r>
            <w:r>
              <w:rPr>
                <w:rFonts w:ascii="Avenir Next Condensed"/>
                <w:sz w:val="18"/>
              </w:rPr>
              <w:t xml:space="preserve"> period)</w:t>
            </w:r>
          </w:p>
          <w:p w:rsidR="00D96B91" w:rsidRDefault="00C2656B" w:rsidP="004C4403">
            <w:pPr>
              <w:pStyle w:val="TableParagraph"/>
              <w:spacing w:line="220" w:lineRule="exact"/>
              <w:ind w:left="107" w:right="230"/>
              <w:rPr>
                <w:rFonts w:ascii="Avenir Next Condensed" w:eastAsia="Avenir Next Condensed" w:hAnsi="Avenir Next Condensed" w:cs="Avenir Next Condensed"/>
                <w:sz w:val="18"/>
                <w:szCs w:val="18"/>
              </w:rPr>
            </w:pPr>
            <w:r>
              <w:rPr>
                <w:rFonts w:ascii="Avenir Next Condensed"/>
                <w:sz w:val="18"/>
              </w:rPr>
              <w:t xml:space="preserve">(4% higher than the ICRC for the first two </w:t>
            </w:r>
            <w:r>
              <w:rPr>
                <w:rFonts w:ascii="Avenir Next Condensed"/>
                <w:spacing w:val="-1"/>
                <w:sz w:val="18"/>
              </w:rPr>
              <w:t>years</w:t>
            </w:r>
            <w:r>
              <w:rPr>
                <w:rFonts w:ascii="Avenir Next Condensed"/>
                <w:sz w:val="18"/>
              </w:rPr>
              <w:t xml:space="preserve"> due to higher</w:t>
            </w:r>
            <w:r>
              <w:rPr>
                <w:rFonts w:ascii="Avenir Next Condensed"/>
                <w:spacing w:val="-3"/>
                <w:sz w:val="18"/>
              </w:rPr>
              <w:t xml:space="preserve"> WAC</w:t>
            </w:r>
          </w:p>
          <w:p w:rsidR="00D96B91" w:rsidRDefault="00C2656B" w:rsidP="004C4403">
            <w:pPr>
              <w:pStyle w:val="TableParagraph"/>
              <w:spacing w:line="220" w:lineRule="exact"/>
              <w:ind w:left="107" w:right="230"/>
              <w:rPr>
                <w:rFonts w:ascii="Avenir Next Condensed" w:eastAsia="Avenir Next Condensed" w:hAnsi="Avenir Next Condensed" w:cs="Avenir Next Condensed"/>
                <w:sz w:val="18"/>
                <w:szCs w:val="18"/>
              </w:rPr>
            </w:pPr>
            <w:r>
              <w:rPr>
                <w:rFonts w:ascii="Avenir Next Condensed"/>
                <w:sz w:val="18"/>
              </w:rPr>
              <w:t xml:space="preserve">allowance to </w:t>
            </w:r>
            <w:r>
              <w:rPr>
                <w:rFonts w:ascii="Avenir Next Condensed"/>
                <w:spacing w:val="-1"/>
                <w:sz w:val="18"/>
              </w:rPr>
              <w:t>reflect</w:t>
            </w:r>
            <w:r>
              <w:rPr>
                <w:rFonts w:ascii="Avenir Next Condensed"/>
                <w:sz w:val="18"/>
              </w:rPr>
              <w:t xml:space="preserve"> higher water sales</w:t>
            </w:r>
            <w:r>
              <w:rPr>
                <w:rFonts w:ascii="Avenir Next Condensed"/>
                <w:spacing w:val="25"/>
                <w:sz w:val="18"/>
              </w:rPr>
              <w:t xml:space="preserve"> </w:t>
            </w:r>
            <w:r>
              <w:rPr>
                <w:rFonts w:ascii="Avenir Next Condensed"/>
                <w:spacing w:val="-1"/>
                <w:sz w:val="18"/>
              </w:rPr>
              <w:t>forecast)</w:t>
            </w:r>
          </w:p>
          <w:p w:rsidR="00D96B91" w:rsidRDefault="00C2656B" w:rsidP="004C4403">
            <w:pPr>
              <w:pStyle w:val="TableParagraph"/>
              <w:spacing w:before="113" w:line="220" w:lineRule="exact"/>
              <w:ind w:left="107" w:right="230"/>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$377 million (nominal</w:t>
            </w:r>
            <w:r>
              <w:rPr>
                <w:rFonts w:ascii="Avenir Next Condensed"/>
                <w:spacing w:val="27"/>
                <w:sz w:val="18"/>
              </w:rPr>
              <w:t xml:space="preserve"> </w:t>
            </w:r>
            <w:r>
              <w:rPr>
                <w:rFonts w:ascii="Avenir Next Condensed"/>
                <w:sz w:val="18"/>
              </w:rPr>
              <w:t xml:space="preserve">full 5 </w:t>
            </w:r>
            <w:r>
              <w:rPr>
                <w:rFonts w:ascii="Avenir Next Condensed"/>
                <w:spacing w:val="-1"/>
                <w:sz w:val="18"/>
              </w:rPr>
              <w:t>year</w:t>
            </w:r>
            <w:r>
              <w:rPr>
                <w:rFonts w:ascii="Avenir Next Condensed"/>
                <w:sz w:val="18"/>
              </w:rPr>
              <w:t xml:space="preserve"> period)</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7" w:right="193"/>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$183 million</w:t>
            </w:r>
            <w:r>
              <w:rPr>
                <w:rFonts w:ascii="Avenir Next Condensed"/>
                <w:spacing w:val="23"/>
                <w:sz w:val="18"/>
              </w:rPr>
              <w:t xml:space="preserve"> </w:t>
            </w:r>
            <w:r>
              <w:rPr>
                <w:rFonts w:ascii="Avenir Next Condensed"/>
                <w:sz w:val="18"/>
              </w:rPr>
              <w:t xml:space="preserve">(nominal first 2 </w:t>
            </w:r>
            <w:r>
              <w:rPr>
                <w:rFonts w:ascii="Avenir Next Condensed"/>
                <w:spacing w:val="-1"/>
                <w:sz w:val="18"/>
              </w:rPr>
              <w:t>years</w:t>
            </w:r>
            <w:r>
              <w:rPr>
                <w:rFonts w:ascii="Avenir Next Condensed"/>
                <w:sz w:val="18"/>
              </w:rPr>
              <w:t xml:space="preserve"> only)</w:t>
            </w:r>
          </w:p>
          <w:p w:rsidR="00D96B91" w:rsidRDefault="00C2656B">
            <w:pPr>
              <w:pStyle w:val="TableParagraph"/>
              <w:spacing w:before="113" w:line="220" w:lineRule="exact"/>
              <w:ind w:left="107" w:right="193"/>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$144 million</w:t>
            </w:r>
            <w:r>
              <w:rPr>
                <w:rFonts w:ascii="Avenir Next Condensed"/>
                <w:spacing w:val="27"/>
                <w:sz w:val="18"/>
              </w:rPr>
              <w:t xml:space="preserve"> </w:t>
            </w:r>
            <w:r>
              <w:rPr>
                <w:rFonts w:ascii="Avenir Next Condensed"/>
                <w:sz w:val="18"/>
              </w:rPr>
              <w:t xml:space="preserve">(nominal first 2 </w:t>
            </w:r>
            <w:r>
              <w:rPr>
                <w:rFonts w:ascii="Avenir Next Condensed"/>
                <w:spacing w:val="-1"/>
                <w:sz w:val="18"/>
              </w:rPr>
              <w:t>years</w:t>
            </w:r>
            <w:r>
              <w:rPr>
                <w:rFonts w:ascii="Avenir Next Condensed"/>
                <w:sz w:val="18"/>
              </w:rPr>
              <w:t xml:space="preserve"> only)</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4C4403">
            <w:pPr>
              <w:pStyle w:val="TableParagraph"/>
              <w:spacing w:before="106"/>
              <w:ind w:left="107" w:right="152"/>
              <w:jc w:val="both"/>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spacing w:val="-1"/>
                <w:sz w:val="18"/>
              </w:rPr>
              <w:t>:</w:t>
            </w:r>
            <w:r>
              <w:rPr>
                <w:rFonts w:ascii="Avenir Next Condensed"/>
                <w:sz w:val="18"/>
              </w:rPr>
              <w:t xml:space="preserve"> $484 million (nominal 5 </w:t>
            </w:r>
            <w:r>
              <w:rPr>
                <w:rFonts w:ascii="Avenir Next Condensed"/>
                <w:spacing w:val="-1"/>
                <w:sz w:val="18"/>
              </w:rPr>
              <w:t>years)</w:t>
            </w:r>
          </w:p>
          <w:p w:rsidR="00D96B91" w:rsidRDefault="00C2656B" w:rsidP="004C4403">
            <w:pPr>
              <w:pStyle w:val="TableParagraph"/>
              <w:spacing w:before="91" w:line="220" w:lineRule="exact"/>
              <w:ind w:left="107" w:right="152"/>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spacing w:val="-1"/>
                <w:sz w:val="18"/>
              </w:rPr>
              <w:t>:</w:t>
            </w:r>
            <w:r>
              <w:rPr>
                <w:rFonts w:ascii="Avenir Next Condensed"/>
                <w:sz w:val="18"/>
              </w:rPr>
              <w:t xml:space="preserve"> $374 million (nominal 5</w:t>
            </w:r>
            <w:r>
              <w:rPr>
                <w:rFonts w:ascii="Avenir Next Condensed"/>
                <w:spacing w:val="27"/>
                <w:sz w:val="18"/>
              </w:rPr>
              <w:t xml:space="preserve"> </w:t>
            </w:r>
            <w:r>
              <w:rPr>
                <w:rFonts w:ascii="Avenir Next Condensed"/>
                <w:spacing w:val="-1"/>
                <w:sz w:val="18"/>
              </w:rPr>
              <w:t>years)</w:t>
            </w:r>
          </w:p>
          <w:p w:rsidR="00D96B91" w:rsidRDefault="00C2656B" w:rsidP="004C4403">
            <w:pPr>
              <w:pStyle w:val="TableParagraph"/>
              <w:spacing w:before="113" w:line="220" w:lineRule="exact"/>
              <w:ind w:left="107" w:right="152"/>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(ACTEW’s</w:t>
            </w:r>
            <w:r>
              <w:rPr>
                <w:rFonts w:ascii="Avenir Next Condensed" w:eastAsia="Avenir Next Condensed" w:hAnsi="Avenir Next Condensed" w:cs="Avenir Next Condensed"/>
                <w:sz w:val="18"/>
                <w:szCs w:val="18"/>
              </w:rPr>
              <w:t xml:space="preserve"> estimates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lower than the</w:t>
            </w:r>
            <w:r>
              <w:rPr>
                <w:rFonts w:ascii="Avenir Next Condensed" w:eastAsia="Avenir Next Condensed" w:hAnsi="Avenir Next Condensed" w:cs="Avenir Next Condensed"/>
                <w:spacing w:val="21"/>
                <w:sz w:val="18"/>
                <w:szCs w:val="18"/>
              </w:rPr>
              <w:t xml:space="preserve"> </w:t>
            </w:r>
            <w:r>
              <w:rPr>
                <w:rFonts w:ascii="Avenir Next Condensed" w:eastAsia="Avenir Next Condensed" w:hAnsi="Avenir Next Condensed" w:cs="Avenir Next Condensed"/>
                <w:spacing w:val="-2"/>
                <w:sz w:val="18"/>
                <w:szCs w:val="18"/>
              </w:rPr>
              <w:t>Panel’s</w:t>
            </w:r>
            <w:r>
              <w:rPr>
                <w:rFonts w:ascii="Avenir Next Condensed" w:eastAsia="Avenir Next Condensed" w:hAnsi="Avenir Next Condensed" w:cs="Avenir Next Condensed"/>
                <w:sz w:val="18"/>
                <w:szCs w:val="18"/>
              </w:rPr>
              <w:t xml:space="preserve"> because it has adopted a lower</w:t>
            </w:r>
            <w:r>
              <w:rPr>
                <w:rFonts w:ascii="Avenir Next Condensed" w:eastAsia="Avenir Next Condensed" w:hAnsi="Avenir Next Condensed" w:cs="Avenir Next Condensed"/>
                <w:spacing w:val="20"/>
                <w:sz w:val="18"/>
                <w:szCs w:val="18"/>
              </w:rPr>
              <w:t xml:space="preserve"> </w:t>
            </w:r>
            <w:r>
              <w:rPr>
                <w:rFonts w:ascii="Avenir Next Condensed" w:eastAsia="Avenir Next Condensed" w:hAnsi="Avenir Next Condensed" w:cs="Avenir Next Condensed"/>
                <w:sz w:val="18"/>
                <w:szCs w:val="18"/>
              </w:rPr>
              <w:t xml:space="preserve">water sales </w:t>
            </w:r>
            <w:r>
              <w:rPr>
                <w:rFonts w:ascii="Avenir Next Condensed" w:eastAsia="Avenir Next Condensed" w:hAnsi="Avenir Next Condensed" w:cs="Avenir Next Condensed"/>
                <w:spacing w:val="-1"/>
                <w:sz w:val="18"/>
                <w:szCs w:val="18"/>
              </w:rPr>
              <w:t>forecast</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excluded</w:t>
            </w:r>
          </w:p>
          <w:p w:rsidR="00D96B91" w:rsidRDefault="00C2656B" w:rsidP="004C4403">
            <w:pPr>
              <w:pStyle w:val="TableParagraph"/>
              <w:spacing w:line="220" w:lineRule="exact"/>
              <w:ind w:left="107" w:right="152"/>
              <w:rPr>
                <w:rFonts w:ascii="Avenir Next Condensed" w:eastAsia="Avenir Next Condensed" w:hAnsi="Avenir Next Condensed" w:cs="Avenir Next Condensed"/>
                <w:sz w:val="18"/>
                <w:szCs w:val="18"/>
              </w:rPr>
            </w:pPr>
            <w:r>
              <w:rPr>
                <w:rFonts w:ascii="Avenir Next Condensed"/>
                <w:sz w:val="18"/>
              </w:rPr>
              <w:t xml:space="preserve">CSO </w:t>
            </w:r>
            <w:r>
              <w:rPr>
                <w:rFonts w:ascii="Avenir Next Condensed"/>
                <w:spacing w:val="-1"/>
                <w:sz w:val="18"/>
              </w:rPr>
              <w:t>expenditure</w:t>
            </w:r>
            <w:r>
              <w:rPr>
                <w:rFonts w:ascii="Avenir Next Condensed"/>
                <w:sz w:val="18"/>
              </w:rPr>
              <w:t xml:space="preserve"> </w:t>
            </w:r>
            <w:r>
              <w:rPr>
                <w:rFonts w:ascii="Avenir Next Condensed"/>
                <w:spacing w:val="-1"/>
                <w:sz w:val="18"/>
              </w:rPr>
              <w:t>from</w:t>
            </w:r>
            <w:r>
              <w:rPr>
                <w:rFonts w:ascii="Avenir Next Condensed"/>
                <w:sz w:val="18"/>
              </w:rPr>
              <w:t xml:space="preserve"> </w:t>
            </w:r>
            <w:r>
              <w:rPr>
                <w:rFonts w:ascii="Avenir Next Condensed"/>
                <w:spacing w:val="-1"/>
                <w:sz w:val="18"/>
              </w:rPr>
              <w:t>sewerage</w:t>
            </w:r>
            <w:r>
              <w:rPr>
                <w:rFonts w:ascii="Avenir Next Condensed"/>
                <w:spacing w:val="31"/>
                <w:sz w:val="18"/>
              </w:rPr>
              <w:t xml:space="preserve"> </w:t>
            </w:r>
            <w:r>
              <w:rPr>
                <w:rFonts w:ascii="Avenir Next Condensed"/>
                <w:spacing w:val="-1"/>
                <w:sz w:val="18"/>
              </w:rPr>
              <w:t>expenditure)</w:t>
            </w:r>
          </w:p>
        </w:tc>
      </w:tr>
      <w:tr w:rsidR="00D96B91" w:rsidTr="004C4403">
        <w:trPr>
          <w:trHeight w:hRule="exact" w:val="1515"/>
        </w:trPr>
        <w:tc>
          <w:tcPr>
            <w:tcW w:w="2302"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2"/>
              <w:rPr>
                <w:rFonts w:ascii="Avenir Next" w:eastAsia="Avenir Next" w:hAnsi="Avenir Next" w:cs="Avenir Next"/>
                <w:b/>
                <w:bCs/>
                <w:sz w:val="26"/>
                <w:szCs w:val="26"/>
              </w:rPr>
            </w:pPr>
          </w:p>
          <w:p w:rsidR="00D96B91" w:rsidRDefault="00C2656B">
            <w:pPr>
              <w:pStyle w:val="TableParagraph"/>
              <w:ind w:left="107"/>
              <w:rPr>
                <w:rFonts w:ascii="Avenir Next Condensed" w:eastAsia="Avenir Next Condensed" w:hAnsi="Avenir Next Condensed" w:cs="Avenir Next Condensed"/>
                <w:sz w:val="18"/>
                <w:szCs w:val="18"/>
              </w:rPr>
            </w:pPr>
            <w:r>
              <w:rPr>
                <w:rFonts w:ascii="Avenir Next Condensed"/>
                <w:b/>
                <w:color w:val="FFFFFF"/>
                <w:spacing w:val="-1"/>
                <w:sz w:val="18"/>
              </w:rPr>
              <w:t>Forecast</w:t>
            </w:r>
            <w:r>
              <w:rPr>
                <w:rFonts w:ascii="Avenir Next Condensed"/>
                <w:b/>
                <w:color w:val="FFFFFF"/>
                <w:sz w:val="18"/>
              </w:rPr>
              <w:t xml:space="preserve"> demand</w:t>
            </w:r>
          </w:p>
        </w:tc>
        <w:tc>
          <w:tcPr>
            <w:tcW w:w="2693" w:type="dxa"/>
            <w:tcBorders>
              <w:top w:val="single" w:sz="4" w:space="0" w:color="17A7E0"/>
              <w:left w:val="single" w:sz="4" w:space="0" w:color="1A9EDA"/>
              <w:bottom w:val="single" w:sz="4" w:space="0" w:color="17A7E0"/>
              <w:right w:val="single" w:sz="4" w:space="0" w:color="17A7E0"/>
            </w:tcBorders>
            <w:shd w:val="clear" w:color="auto" w:fill="F0F9FE"/>
          </w:tcPr>
          <w:p w:rsidR="00D96B91" w:rsidRDefault="00C2656B" w:rsidP="004C4403">
            <w:pPr>
              <w:pStyle w:val="TableParagraph"/>
              <w:spacing w:before="110" w:line="220" w:lineRule="exact"/>
              <w:ind w:left="107" w:right="164"/>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sales</w:t>
            </w:r>
            <w:r>
              <w:rPr>
                <w:rFonts w:ascii="Avenir Next Condensed"/>
                <w:sz w:val="18"/>
              </w:rPr>
              <w:t>: 42-46 GL</w:t>
            </w:r>
            <w:r>
              <w:rPr>
                <w:rFonts w:ascii="Avenir Next Condensed"/>
                <w:spacing w:val="-5"/>
                <w:sz w:val="18"/>
              </w:rPr>
              <w:t xml:space="preserve"> </w:t>
            </w:r>
            <w:r>
              <w:rPr>
                <w:rFonts w:ascii="Avenir Next Condensed"/>
                <w:sz w:val="18"/>
              </w:rPr>
              <w:t>pa based on</w:t>
            </w:r>
            <w:r>
              <w:rPr>
                <w:rFonts w:ascii="Avenir Next Condensed"/>
                <w:spacing w:val="22"/>
                <w:sz w:val="18"/>
              </w:rPr>
              <w:t xml:space="preserve"> </w:t>
            </w:r>
            <w:r>
              <w:rPr>
                <w:rFonts w:ascii="Avenir Next Condensed"/>
                <w:sz w:val="18"/>
              </w:rPr>
              <w:t xml:space="preserve">advice </w:t>
            </w:r>
            <w:r>
              <w:rPr>
                <w:rFonts w:ascii="Avenir Next Condensed"/>
                <w:spacing w:val="-1"/>
                <w:sz w:val="18"/>
              </w:rPr>
              <w:t>from</w:t>
            </w:r>
            <w:r>
              <w:rPr>
                <w:rFonts w:ascii="Avenir Next Condensed"/>
                <w:sz w:val="18"/>
              </w:rPr>
              <w:t xml:space="preserve"> </w:t>
            </w:r>
            <w:r>
              <w:rPr>
                <w:rFonts w:ascii="Avenir Next Condensed"/>
                <w:spacing w:val="-1"/>
                <w:sz w:val="18"/>
              </w:rPr>
              <w:t>Cardno</w:t>
            </w:r>
          </w:p>
          <w:p w:rsidR="00D96B91" w:rsidRDefault="00C2656B" w:rsidP="004C4403">
            <w:pPr>
              <w:pStyle w:val="TableParagraph"/>
              <w:spacing w:line="229" w:lineRule="exact"/>
              <w:ind w:left="107" w:right="164"/>
              <w:rPr>
                <w:rFonts w:ascii="Avenir Next Condensed" w:eastAsia="Avenir Next Condensed" w:hAnsi="Avenir Next Condensed" w:cs="Avenir Next Condensed"/>
                <w:sz w:val="18"/>
                <w:szCs w:val="18"/>
              </w:rPr>
            </w:pPr>
            <w:r>
              <w:rPr>
                <w:rFonts w:ascii="Avenir Next Condensed"/>
                <w:b/>
                <w:sz w:val="18"/>
              </w:rPr>
              <w:t xml:space="preserve">Customer numbers </w:t>
            </w:r>
            <w:r>
              <w:rPr>
                <w:rFonts w:ascii="Avenir Next Condensed"/>
                <w:b/>
                <w:spacing w:val="-1"/>
                <w:sz w:val="18"/>
              </w:rPr>
              <w:t>growth</w:t>
            </w:r>
            <w:r>
              <w:rPr>
                <w:rFonts w:ascii="Avenir Next Condensed"/>
                <w:spacing w:val="-1"/>
                <w:sz w:val="18"/>
              </w:rPr>
              <w:t>:</w:t>
            </w:r>
            <w:r>
              <w:rPr>
                <w:rFonts w:ascii="Avenir Next Condensed"/>
                <w:sz w:val="18"/>
              </w:rPr>
              <w:t xml:space="preserve"> 2.48%</w:t>
            </w:r>
          </w:p>
          <w:p w:rsidR="00D96B91" w:rsidRDefault="00C2656B" w:rsidP="004C4403">
            <w:pPr>
              <w:pStyle w:val="TableParagraph"/>
              <w:spacing w:line="233" w:lineRule="exact"/>
              <w:ind w:left="107" w:right="164"/>
              <w:rPr>
                <w:rFonts w:ascii="Avenir Next Condensed" w:eastAsia="Avenir Next Condensed" w:hAnsi="Avenir Next Condensed" w:cs="Avenir Next Condensed"/>
                <w:sz w:val="18"/>
                <w:szCs w:val="18"/>
              </w:rPr>
            </w:pPr>
            <w:r>
              <w:rPr>
                <w:rFonts w:ascii="Avenir Next Condensed"/>
                <w:sz w:val="18"/>
              </w:rPr>
              <w:t>-2.5% pa</w:t>
            </w:r>
          </w:p>
          <w:p w:rsidR="00D96B91" w:rsidRDefault="00C2656B">
            <w:pPr>
              <w:pStyle w:val="TableParagraph"/>
              <w:spacing w:before="87"/>
              <w:ind w:left="107"/>
              <w:rPr>
                <w:rFonts w:ascii="Avenir Next Condensed" w:eastAsia="Avenir Next Condensed" w:hAnsi="Avenir Next Condensed" w:cs="Avenir Next Condensed"/>
                <w:sz w:val="18"/>
                <w:szCs w:val="18"/>
              </w:rPr>
            </w:pPr>
            <w:r>
              <w:rPr>
                <w:rFonts w:ascii="Avenir Next Condensed"/>
                <w:b/>
                <w:sz w:val="18"/>
              </w:rPr>
              <w:t xml:space="preserve">Billable </w:t>
            </w:r>
            <w:r>
              <w:rPr>
                <w:rFonts w:ascii="Avenir Next Condensed"/>
                <w:b/>
                <w:spacing w:val="-1"/>
                <w:sz w:val="18"/>
              </w:rPr>
              <w:t>fixtures</w:t>
            </w:r>
            <w:r>
              <w:rPr>
                <w:rFonts w:ascii="Avenir Next Condensed"/>
                <w:b/>
                <w:sz w:val="18"/>
              </w:rPr>
              <w:t xml:space="preserve"> </w:t>
            </w:r>
            <w:r>
              <w:rPr>
                <w:rFonts w:ascii="Avenir Next Condensed"/>
                <w:b/>
                <w:spacing w:val="-1"/>
                <w:sz w:val="18"/>
              </w:rPr>
              <w:t>growth</w:t>
            </w:r>
            <w:r>
              <w:rPr>
                <w:rFonts w:ascii="Avenir Next Condensed"/>
                <w:spacing w:val="-1"/>
                <w:sz w:val="18"/>
              </w:rPr>
              <w:t>:</w:t>
            </w:r>
            <w:r>
              <w:rPr>
                <w:rFonts w:ascii="Avenir Next Condensed"/>
                <w:sz w:val="18"/>
              </w:rPr>
              <w:t xml:space="preserve"> 2.2% pa.</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7" w:right="224"/>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sales</w:t>
            </w:r>
            <w:r>
              <w:rPr>
                <w:rFonts w:ascii="Avenir Next Condensed"/>
                <w:sz w:val="18"/>
              </w:rPr>
              <w:t>: 38 GL</w:t>
            </w:r>
            <w:r>
              <w:rPr>
                <w:rFonts w:ascii="Avenir Next Condensed"/>
                <w:spacing w:val="-5"/>
                <w:sz w:val="18"/>
              </w:rPr>
              <w:t xml:space="preserve"> </w:t>
            </w:r>
            <w:r>
              <w:rPr>
                <w:rFonts w:ascii="Avenir Next Condensed"/>
                <w:sz w:val="18"/>
              </w:rPr>
              <w:t>pa</w:t>
            </w:r>
            <w:r>
              <w:rPr>
                <w:rFonts w:ascii="Avenir Next Condensed"/>
                <w:spacing w:val="22"/>
                <w:sz w:val="18"/>
              </w:rPr>
              <w:t xml:space="preserve"> </w:t>
            </w:r>
            <w:r>
              <w:rPr>
                <w:rFonts w:ascii="Avenir Next Condensed"/>
                <w:b/>
                <w:sz w:val="18"/>
              </w:rPr>
              <w:t xml:space="preserve">Customer numbers </w:t>
            </w:r>
            <w:r>
              <w:rPr>
                <w:rFonts w:ascii="Avenir Next Condensed"/>
                <w:b/>
                <w:spacing w:val="-1"/>
                <w:sz w:val="18"/>
              </w:rPr>
              <w:t>growth</w:t>
            </w:r>
            <w:r>
              <w:rPr>
                <w:rFonts w:ascii="Avenir Next Condensed"/>
                <w:spacing w:val="-1"/>
                <w:sz w:val="18"/>
              </w:rPr>
              <w:t>:</w:t>
            </w:r>
            <w:r>
              <w:rPr>
                <w:rFonts w:ascii="Avenir Next Condensed"/>
                <w:sz w:val="18"/>
              </w:rPr>
              <w:t xml:space="preserve"> 2.17% -2.32% pa</w:t>
            </w:r>
          </w:p>
          <w:p w:rsidR="00D96B91" w:rsidRDefault="00C2656B">
            <w:pPr>
              <w:pStyle w:val="TableParagraph"/>
              <w:spacing w:before="113" w:line="220" w:lineRule="exact"/>
              <w:ind w:left="107" w:right="229"/>
              <w:rPr>
                <w:rFonts w:ascii="Avenir Next Condensed" w:eastAsia="Avenir Next Condensed" w:hAnsi="Avenir Next Condensed" w:cs="Avenir Next Condensed"/>
                <w:sz w:val="18"/>
                <w:szCs w:val="18"/>
              </w:rPr>
            </w:pPr>
            <w:r>
              <w:rPr>
                <w:rFonts w:ascii="Avenir Next Condensed"/>
                <w:b/>
                <w:sz w:val="18"/>
              </w:rPr>
              <w:t xml:space="preserve">Billable </w:t>
            </w:r>
            <w:r>
              <w:rPr>
                <w:rFonts w:ascii="Avenir Next Condensed"/>
                <w:b/>
                <w:spacing w:val="-1"/>
                <w:sz w:val="18"/>
              </w:rPr>
              <w:t>fixtures</w:t>
            </w:r>
            <w:r>
              <w:rPr>
                <w:rFonts w:ascii="Avenir Next Condensed"/>
                <w:b/>
                <w:sz w:val="18"/>
              </w:rPr>
              <w:t xml:space="preserve"> </w:t>
            </w:r>
            <w:r>
              <w:rPr>
                <w:rFonts w:ascii="Avenir Next Condensed"/>
                <w:b/>
                <w:spacing w:val="-1"/>
                <w:sz w:val="18"/>
              </w:rPr>
              <w:t>growth</w:t>
            </w:r>
            <w:r>
              <w:rPr>
                <w:rFonts w:ascii="Avenir Next Condensed"/>
                <w:spacing w:val="-1"/>
                <w:sz w:val="18"/>
              </w:rPr>
              <w:t>:</w:t>
            </w:r>
            <w:r>
              <w:rPr>
                <w:rFonts w:ascii="Avenir Next Condensed"/>
                <w:spacing w:val="23"/>
                <w:sz w:val="18"/>
              </w:rPr>
              <w:t xml:space="preserve"> </w:t>
            </w:r>
            <w:r>
              <w:rPr>
                <w:rFonts w:ascii="Avenir Next Condensed"/>
                <w:sz w:val="18"/>
              </w:rPr>
              <w:t>2.49% pa.</w:t>
            </w:r>
          </w:p>
        </w:tc>
        <w:tc>
          <w:tcPr>
            <w:tcW w:w="297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7" w:right="217"/>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sales</w:t>
            </w:r>
            <w:r>
              <w:rPr>
                <w:rFonts w:ascii="Avenir Next Condensed"/>
                <w:sz w:val="18"/>
              </w:rPr>
              <w:t>: 42-42.5 GL</w:t>
            </w:r>
            <w:r>
              <w:rPr>
                <w:rFonts w:ascii="Avenir Next Condensed"/>
                <w:spacing w:val="-5"/>
                <w:sz w:val="18"/>
              </w:rPr>
              <w:t xml:space="preserve"> </w:t>
            </w:r>
            <w:r>
              <w:rPr>
                <w:rFonts w:ascii="Avenir Next Condensed"/>
                <w:sz w:val="18"/>
              </w:rPr>
              <w:t>pa based on</w:t>
            </w:r>
            <w:r>
              <w:rPr>
                <w:rFonts w:ascii="Avenir Next Condensed"/>
                <w:spacing w:val="22"/>
                <w:sz w:val="18"/>
              </w:rPr>
              <w:t xml:space="preserve"> </w:t>
            </w:r>
            <w:r>
              <w:rPr>
                <w:rFonts w:ascii="Avenir Next Condensed"/>
                <w:spacing w:val="-1"/>
                <w:sz w:val="18"/>
              </w:rPr>
              <w:t>Breusch</w:t>
            </w:r>
            <w:r>
              <w:rPr>
                <w:rFonts w:ascii="Avenir Next Condensed"/>
                <w:spacing w:val="-3"/>
                <w:sz w:val="18"/>
              </w:rPr>
              <w:t xml:space="preserve"> </w:t>
            </w:r>
            <w:r>
              <w:rPr>
                <w:rFonts w:ascii="Avenir Next Condensed"/>
                <w:spacing w:val="-2"/>
                <w:sz w:val="18"/>
              </w:rPr>
              <w:t>Ward</w:t>
            </w:r>
            <w:r>
              <w:rPr>
                <w:rFonts w:ascii="Avenir Next Condensed"/>
                <w:sz w:val="18"/>
              </w:rPr>
              <w:t xml:space="preserve"> model</w:t>
            </w:r>
          </w:p>
          <w:p w:rsidR="00D96B91" w:rsidRDefault="00C2656B">
            <w:pPr>
              <w:pStyle w:val="TableParagraph"/>
              <w:spacing w:line="229" w:lineRule="exact"/>
              <w:ind w:left="107"/>
              <w:rPr>
                <w:rFonts w:ascii="Avenir Next Condensed" w:eastAsia="Avenir Next Condensed" w:hAnsi="Avenir Next Condensed" w:cs="Avenir Next Condensed"/>
                <w:sz w:val="18"/>
                <w:szCs w:val="18"/>
              </w:rPr>
            </w:pPr>
            <w:r>
              <w:rPr>
                <w:rFonts w:ascii="Avenir Next Condensed"/>
                <w:b/>
                <w:sz w:val="18"/>
              </w:rPr>
              <w:t xml:space="preserve">Customer numbers </w:t>
            </w:r>
            <w:r>
              <w:rPr>
                <w:rFonts w:ascii="Avenir Next Condensed"/>
                <w:b/>
                <w:spacing w:val="-1"/>
                <w:sz w:val="18"/>
              </w:rPr>
              <w:t>growth</w:t>
            </w:r>
            <w:r>
              <w:rPr>
                <w:rFonts w:ascii="Avenir Next Condensed"/>
                <w:spacing w:val="-1"/>
                <w:sz w:val="18"/>
              </w:rPr>
              <w:t>:</w:t>
            </w:r>
            <w:r>
              <w:rPr>
                <w:rFonts w:ascii="Avenir Next Condensed"/>
                <w:sz w:val="18"/>
              </w:rPr>
              <w:t xml:space="preserve"> 2.63%</w:t>
            </w:r>
          </w:p>
          <w:p w:rsidR="00D96B91" w:rsidRDefault="00C2656B">
            <w:pPr>
              <w:pStyle w:val="TableParagraph"/>
              <w:spacing w:line="233" w:lineRule="exact"/>
              <w:ind w:left="107"/>
              <w:rPr>
                <w:rFonts w:ascii="Avenir Next Condensed" w:eastAsia="Avenir Next Condensed" w:hAnsi="Avenir Next Condensed" w:cs="Avenir Next Condensed"/>
                <w:sz w:val="18"/>
                <w:szCs w:val="18"/>
              </w:rPr>
            </w:pPr>
            <w:r>
              <w:rPr>
                <w:rFonts w:ascii="Avenir Next Condensed"/>
                <w:sz w:val="18"/>
              </w:rPr>
              <w:t>-2.66% pa</w:t>
            </w:r>
          </w:p>
          <w:p w:rsidR="00D96B91" w:rsidRDefault="00C2656B">
            <w:pPr>
              <w:pStyle w:val="TableParagraph"/>
              <w:spacing w:before="87"/>
              <w:ind w:left="107"/>
              <w:rPr>
                <w:rFonts w:ascii="Avenir Next Condensed" w:eastAsia="Avenir Next Condensed" w:hAnsi="Avenir Next Condensed" w:cs="Avenir Next Condensed"/>
                <w:sz w:val="18"/>
                <w:szCs w:val="18"/>
              </w:rPr>
            </w:pPr>
            <w:r>
              <w:rPr>
                <w:rFonts w:ascii="Avenir Next Condensed"/>
                <w:b/>
                <w:sz w:val="18"/>
              </w:rPr>
              <w:t xml:space="preserve">Billable </w:t>
            </w:r>
            <w:r>
              <w:rPr>
                <w:rFonts w:ascii="Avenir Next Condensed"/>
                <w:b/>
                <w:spacing w:val="-1"/>
                <w:sz w:val="18"/>
              </w:rPr>
              <w:t>fixtures</w:t>
            </w:r>
            <w:r>
              <w:rPr>
                <w:rFonts w:ascii="Avenir Next Condensed"/>
                <w:b/>
                <w:sz w:val="18"/>
              </w:rPr>
              <w:t xml:space="preserve"> </w:t>
            </w:r>
            <w:r>
              <w:rPr>
                <w:rFonts w:ascii="Avenir Next Condensed"/>
                <w:b/>
                <w:spacing w:val="-1"/>
                <w:sz w:val="18"/>
              </w:rPr>
              <w:t>growth</w:t>
            </w:r>
            <w:r>
              <w:rPr>
                <w:rFonts w:ascii="Avenir Next Condensed"/>
                <w:spacing w:val="-1"/>
                <w:sz w:val="18"/>
              </w:rPr>
              <w:t>:</w:t>
            </w:r>
            <w:r>
              <w:rPr>
                <w:rFonts w:ascii="Avenir Next Condensed"/>
                <w:sz w:val="18"/>
              </w:rPr>
              <w:t xml:space="preserve"> 1.5% pa.</w:t>
            </w:r>
          </w:p>
        </w:tc>
      </w:tr>
    </w:tbl>
    <w:p w:rsidR="00D96B91" w:rsidRDefault="00D96B91">
      <w:pPr>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C2656B">
      <w:pPr>
        <w:pStyle w:val="Heading6"/>
        <w:numPr>
          <w:ilvl w:val="2"/>
          <w:numId w:val="129"/>
        </w:numPr>
        <w:tabs>
          <w:tab w:val="left" w:pos="2098"/>
        </w:tabs>
        <w:spacing w:before="19" w:line="288" w:lineRule="exact"/>
        <w:ind w:right="1640" w:hanging="850"/>
      </w:pPr>
      <w:r>
        <w:rPr>
          <w:color w:val="0778BE"/>
          <w:spacing w:val="-2"/>
        </w:rPr>
        <w:t>The</w:t>
      </w:r>
      <w:r>
        <w:rPr>
          <w:color w:val="0778BE"/>
        </w:rPr>
        <w:t xml:space="preserve"> </w:t>
      </w:r>
      <w:r>
        <w:rPr>
          <w:color w:val="0778BE"/>
          <w:spacing w:val="-3"/>
        </w:rPr>
        <w:t>Panel</w:t>
      </w:r>
      <w:r>
        <w:rPr>
          <w:color w:val="0778BE"/>
        </w:rPr>
        <w:t xml:space="preserve"> used </w:t>
      </w:r>
      <w:r>
        <w:rPr>
          <w:color w:val="0778BE"/>
          <w:spacing w:val="-2"/>
        </w:rPr>
        <w:t>different</w:t>
      </w:r>
      <w:r>
        <w:rPr>
          <w:color w:val="0778BE"/>
        </w:rPr>
        <w:t xml:space="preserve"> methods in applying the building block </w:t>
      </w:r>
      <w:r>
        <w:rPr>
          <w:color w:val="0778BE"/>
          <w:spacing w:val="-1"/>
        </w:rPr>
        <w:t>approach</w:t>
      </w:r>
      <w:r>
        <w:rPr>
          <w:color w:val="0778BE"/>
          <w:spacing w:val="25"/>
        </w:rPr>
        <w:t xml:space="preserve"> </w:t>
      </w:r>
      <w:r>
        <w:rPr>
          <w:color w:val="0778BE"/>
        </w:rPr>
        <w:t xml:space="preserve">and higher demand </w:t>
      </w:r>
      <w:r>
        <w:rPr>
          <w:color w:val="0778BE"/>
          <w:spacing w:val="-1"/>
        </w:rPr>
        <w:t>forecasts</w:t>
      </w:r>
      <w:r>
        <w:rPr>
          <w:color w:val="0778BE"/>
        </w:rPr>
        <w:t xml:space="preserve"> than the ICRC</w:t>
      </w:r>
    </w:p>
    <w:p w:rsidR="00D96B91" w:rsidRDefault="00C2656B">
      <w:pPr>
        <w:pStyle w:val="BodyText"/>
        <w:spacing w:before="51" w:line="260" w:lineRule="exact"/>
        <w:ind w:right="1313"/>
      </w:pPr>
      <w:r>
        <w:rPr>
          <w:rFonts w:cs="Avenir Next"/>
        </w:rPr>
        <w:t xml:space="preserve">Both the ICRC and the </w:t>
      </w:r>
      <w:r>
        <w:rPr>
          <w:rFonts w:cs="Avenir Next"/>
          <w:spacing w:val="-3"/>
        </w:rPr>
        <w:t>Panel</w:t>
      </w:r>
      <w:r>
        <w:rPr>
          <w:rFonts w:cs="Avenir Next"/>
        </w:rPr>
        <w:t xml:space="preserve"> used a ‘building block’ </w:t>
      </w:r>
      <w:r>
        <w:rPr>
          <w:rFonts w:cs="Avenir Next"/>
          <w:spacing w:val="-1"/>
        </w:rPr>
        <w:t>approach</w:t>
      </w:r>
      <w:r>
        <w:rPr>
          <w:rFonts w:cs="Avenir Next"/>
        </w:rPr>
        <w:t xml:space="preserve"> to determine the </w:t>
      </w:r>
      <w:r>
        <w:rPr>
          <w:rFonts w:cs="Avenir Next"/>
          <w:spacing w:val="-1"/>
        </w:rPr>
        <w:t>revenue</w:t>
      </w:r>
      <w:r>
        <w:rPr>
          <w:rFonts w:cs="Avenir Next"/>
        </w:rPr>
        <w:t xml:space="preserve"> to be</w:t>
      </w:r>
      <w:r>
        <w:rPr>
          <w:rFonts w:cs="Avenir Next"/>
          <w:spacing w:val="30"/>
        </w:rPr>
        <w:t xml:space="preserve"> </w:t>
      </w:r>
      <w:r>
        <w:rPr>
          <w:spacing w:val="-1"/>
        </w:rPr>
        <w:t>recovered</w:t>
      </w:r>
      <w:r>
        <w:t xml:space="preserve"> </w:t>
      </w:r>
      <w:r>
        <w:rPr>
          <w:spacing w:val="-1"/>
        </w:rPr>
        <w:t>through</w:t>
      </w:r>
      <w:r>
        <w:t xml:space="preserve"> prices (ie,</w:t>
      </w:r>
      <w:r>
        <w:rPr>
          <w:spacing w:val="-6"/>
        </w:rPr>
        <w:t xml:space="preserve"> </w:t>
      </w:r>
      <w:r>
        <w:t xml:space="preserve">the </w:t>
      </w:r>
      <w:r>
        <w:rPr>
          <w:spacing w:val="-1"/>
        </w:rPr>
        <w:t>revenue</w:t>
      </w:r>
      <w:r>
        <w:t xml:space="preserve"> </w:t>
      </w:r>
      <w:r>
        <w:rPr>
          <w:spacing w:val="-1"/>
        </w:rPr>
        <w:t>requirement).</w:t>
      </w:r>
      <w:r>
        <w:rPr>
          <w:spacing w:val="-6"/>
        </w:rPr>
        <w:t xml:space="preserve"> </w:t>
      </w:r>
      <w:r>
        <w:rPr>
          <w:spacing w:val="-2"/>
        </w:rPr>
        <w:t>However,</w:t>
      </w:r>
      <w:r>
        <w:rPr>
          <w:spacing w:val="-6"/>
        </w:rPr>
        <w:t xml:space="preserve"> </w:t>
      </w:r>
      <w:r>
        <w:t xml:space="preserve">the </w:t>
      </w:r>
      <w:r>
        <w:rPr>
          <w:spacing w:val="-3"/>
        </w:rPr>
        <w:t>Panel</w:t>
      </w:r>
      <w:r>
        <w:t xml:space="preserve"> has adopted </w:t>
      </w:r>
      <w:r>
        <w:rPr>
          <w:spacing w:val="-1"/>
        </w:rPr>
        <w:t>different</w:t>
      </w:r>
      <w:r>
        <w:rPr>
          <w:spacing w:val="45"/>
        </w:rPr>
        <w:t xml:space="preserve"> </w:t>
      </w:r>
      <w:r>
        <w:rPr>
          <w:rFonts w:cs="Avenir Next"/>
        </w:rPr>
        <w:t xml:space="preserve">methodologies and bases for assessing the </w:t>
      </w:r>
      <w:r>
        <w:rPr>
          <w:rFonts w:cs="Avenir Next"/>
          <w:spacing w:val="-1"/>
        </w:rPr>
        <w:t>return</w:t>
      </w:r>
      <w:r>
        <w:rPr>
          <w:rFonts w:cs="Avenir Next"/>
        </w:rPr>
        <w:t xml:space="preserve"> on capital building block and the value of</w:t>
      </w:r>
      <w:r>
        <w:rPr>
          <w:rFonts w:cs="Avenir Next"/>
          <w:spacing w:val="4"/>
        </w:rPr>
        <w:t xml:space="preserve"> </w:t>
      </w:r>
      <w:r>
        <w:rPr>
          <w:rFonts w:cs="Avenir Next"/>
        </w:rPr>
        <w:t>the</w:t>
      </w:r>
      <w:r>
        <w:rPr>
          <w:rFonts w:cs="Avenir Next"/>
          <w:spacing w:val="22"/>
        </w:rPr>
        <w:t xml:space="preserve"> </w:t>
      </w:r>
      <w:r>
        <w:rPr>
          <w:spacing w:val="-1"/>
        </w:rPr>
        <w:t>regulated</w:t>
      </w:r>
      <w:r>
        <w:t xml:space="preserve"> asset base (RAB).</w:t>
      </w:r>
      <w:r>
        <w:rPr>
          <w:spacing w:val="-7"/>
        </w:rPr>
        <w:t xml:space="preserve"> </w:t>
      </w:r>
      <w:r>
        <w:t xml:space="preserve">In </w:t>
      </w:r>
      <w:r>
        <w:rPr>
          <w:spacing w:val="-2"/>
        </w:rPr>
        <w:t>particular,</w:t>
      </w:r>
      <w:r>
        <w:rPr>
          <w:spacing w:val="-6"/>
        </w:rPr>
        <w:t xml:space="preserve"> </w:t>
      </w:r>
      <w:r>
        <w:t xml:space="preserve">the </w:t>
      </w:r>
      <w:r>
        <w:rPr>
          <w:spacing w:val="-3"/>
        </w:rPr>
        <w:t>Panel</w:t>
      </w:r>
      <w:r>
        <w:t xml:space="preserve"> has:</w:t>
      </w:r>
    </w:p>
    <w:p w:rsidR="00D96B91" w:rsidRDefault="00C2656B">
      <w:pPr>
        <w:pStyle w:val="BodyText"/>
        <w:numPr>
          <w:ilvl w:val="0"/>
          <w:numId w:val="131"/>
        </w:numPr>
        <w:tabs>
          <w:tab w:val="left" w:pos="1531"/>
        </w:tabs>
        <w:spacing w:before="178"/>
        <w:ind w:hanging="283"/>
      </w:pPr>
      <w:r>
        <w:t>assessed</w:t>
      </w:r>
      <w:r>
        <w:rPr>
          <w:spacing w:val="-2"/>
        </w:rPr>
        <w:t xml:space="preserve"> </w:t>
      </w:r>
      <w:r>
        <w:t>the</w:t>
      </w:r>
      <w:r>
        <w:rPr>
          <w:spacing w:val="-1"/>
        </w:rPr>
        <w:t xml:space="preserve"> </w:t>
      </w:r>
      <w:r>
        <w:t>cost</w:t>
      </w:r>
      <w:r>
        <w:rPr>
          <w:spacing w:val="-1"/>
        </w:rPr>
        <w:t xml:space="preserve"> </w:t>
      </w:r>
      <w:r>
        <w:t>of</w:t>
      </w:r>
      <w:r>
        <w:rPr>
          <w:spacing w:val="3"/>
        </w:rPr>
        <w:t xml:space="preserve"> </w:t>
      </w:r>
      <w:r>
        <w:t>capital</w:t>
      </w:r>
      <w:r>
        <w:rPr>
          <w:spacing w:val="-1"/>
        </w:rPr>
        <w:t xml:space="preserve"> </w:t>
      </w:r>
      <w:r>
        <w:t>on</w:t>
      </w:r>
      <w:r>
        <w:rPr>
          <w:spacing w:val="-1"/>
        </w:rPr>
        <w:t xml:space="preserve"> </w:t>
      </w:r>
      <w:r>
        <w:t>a</w:t>
      </w:r>
      <w:r>
        <w:rPr>
          <w:spacing w:val="-1"/>
        </w:rPr>
        <w:t xml:space="preserve"> </w:t>
      </w:r>
      <w:r>
        <w:t>benchmark</w:t>
      </w:r>
      <w:r>
        <w:rPr>
          <w:spacing w:val="-1"/>
        </w:rPr>
        <w:t xml:space="preserve"> </w:t>
      </w:r>
      <w:r>
        <w:t>firm</w:t>
      </w:r>
      <w:r>
        <w:rPr>
          <w:spacing w:val="-1"/>
        </w:rPr>
        <w:t xml:space="preserve"> rather </w:t>
      </w:r>
      <w:r>
        <w:t>than</w:t>
      </w:r>
      <w:r>
        <w:rPr>
          <w:spacing w:val="-1"/>
        </w:rPr>
        <w:t xml:space="preserve"> </w:t>
      </w:r>
      <w:r>
        <w:t>a</w:t>
      </w:r>
      <w:r>
        <w:rPr>
          <w:spacing w:val="-1"/>
        </w:rPr>
        <w:t xml:space="preserve"> </w:t>
      </w:r>
      <w:r>
        <w:t>firm-specific</w:t>
      </w:r>
      <w:r>
        <w:rPr>
          <w:spacing w:val="-1"/>
        </w:rPr>
        <w:t xml:space="preserve"> </w:t>
      </w:r>
      <w:r>
        <w:t>basis,</w:t>
      </w:r>
      <w:r>
        <w:rPr>
          <w:spacing w:val="-8"/>
        </w:rPr>
        <w:t xml:space="preserve"> </w:t>
      </w:r>
      <w:r>
        <w:t>and</w:t>
      </w:r>
    </w:p>
    <w:p w:rsidR="00D96B91" w:rsidRDefault="00C2656B">
      <w:pPr>
        <w:pStyle w:val="BodyText"/>
        <w:numPr>
          <w:ilvl w:val="0"/>
          <w:numId w:val="131"/>
        </w:numPr>
        <w:tabs>
          <w:tab w:val="left" w:pos="1531"/>
        </w:tabs>
        <w:spacing w:before="72"/>
        <w:ind w:hanging="283"/>
      </w:pPr>
      <w:r>
        <w:rPr>
          <w:spacing w:val="-1"/>
        </w:rPr>
        <w:t>indexed</w:t>
      </w:r>
      <w:r>
        <w:t xml:space="preserve"> the value of</w:t>
      </w:r>
      <w:r>
        <w:rPr>
          <w:spacing w:val="4"/>
        </w:rPr>
        <w:t xml:space="preserve"> </w:t>
      </w:r>
      <w:r>
        <w:t xml:space="preserve">the RAB to </w:t>
      </w:r>
      <w:r>
        <w:rPr>
          <w:spacing w:val="-1"/>
        </w:rPr>
        <w:t>ensure</w:t>
      </w:r>
      <w:r>
        <w:t xml:space="preserve"> the </w:t>
      </w:r>
      <w:r>
        <w:rPr>
          <w:spacing w:val="-2"/>
        </w:rPr>
        <w:t>real</w:t>
      </w:r>
      <w:r>
        <w:t xml:space="preserve"> value of</w:t>
      </w:r>
      <w:r>
        <w:rPr>
          <w:spacing w:val="4"/>
        </w:rPr>
        <w:t xml:space="preserve"> </w:t>
      </w:r>
      <w:r>
        <w:t>assets is maintained over time.</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56"/>
      </w:pPr>
      <w:r>
        <w:t xml:space="preserve">As </w:t>
      </w:r>
      <w:r>
        <w:rPr>
          <w:spacing w:val="-2"/>
        </w:rPr>
        <w:t>Figure</w:t>
      </w:r>
      <w:r>
        <w:t xml:space="preserve"> 1.1 shows,</w:t>
      </w:r>
      <w:r>
        <w:rPr>
          <w:spacing w:val="-6"/>
        </w:rPr>
        <w:t xml:space="preserve"> </w:t>
      </w:r>
      <w:r>
        <w:t xml:space="preserve">these two methodological </w:t>
      </w:r>
      <w:r>
        <w:rPr>
          <w:spacing w:val="-1"/>
        </w:rPr>
        <w:t>differences</w:t>
      </w:r>
      <w:r>
        <w:t xml:space="preserve"> have had opposite and </w:t>
      </w:r>
      <w:r>
        <w:rPr>
          <w:spacing w:val="-1"/>
        </w:rPr>
        <w:t>offsetting</w:t>
      </w:r>
      <w:r>
        <w:t xml:space="preserve"> impacts</w:t>
      </w:r>
      <w:r>
        <w:rPr>
          <w:spacing w:val="21"/>
        </w:rPr>
        <w:t xml:space="preserve"> </w:t>
      </w:r>
      <w:r>
        <w:t>on</w:t>
      </w:r>
      <w:r>
        <w:rPr>
          <w:spacing w:val="-1"/>
        </w:rPr>
        <w:t xml:space="preserve"> water </w:t>
      </w:r>
      <w:r>
        <w:t>and</w:t>
      </w:r>
      <w:r>
        <w:rPr>
          <w:spacing w:val="-1"/>
        </w:rPr>
        <w:t xml:space="preserve"> sewerage </w:t>
      </w:r>
      <w:r>
        <w:t>bills.</w:t>
      </w:r>
      <w:r>
        <w:rPr>
          <w:spacing w:val="-12"/>
        </w:rPr>
        <w:t xml:space="preserve"> </w:t>
      </w:r>
      <w:r>
        <w:rPr>
          <w:spacing w:val="-2"/>
        </w:rPr>
        <w:t>Therefore,</w:t>
      </w:r>
      <w:r>
        <w:rPr>
          <w:spacing w:val="-7"/>
        </w:rPr>
        <w:t xml:space="preserve"> </w:t>
      </w:r>
      <w:r>
        <w:t>their</w:t>
      </w:r>
      <w:r>
        <w:rPr>
          <w:spacing w:val="-1"/>
        </w:rPr>
        <w:t xml:space="preserve"> </w:t>
      </w:r>
      <w:r>
        <w:rPr>
          <w:b/>
        </w:rPr>
        <w:t>net</w:t>
      </w:r>
      <w:r>
        <w:rPr>
          <w:b/>
          <w:spacing w:val="-1"/>
        </w:rPr>
        <w:t xml:space="preserve"> </w:t>
      </w:r>
      <w:r>
        <w:rPr>
          <w:spacing w:val="-1"/>
        </w:rPr>
        <w:t>effect</w:t>
      </w:r>
      <w:r>
        <w:t xml:space="preserve"> is</w:t>
      </w:r>
      <w:r>
        <w:rPr>
          <w:spacing w:val="-1"/>
        </w:rPr>
        <w:t xml:space="preserve"> </w:t>
      </w:r>
      <w:r>
        <w:t>not</w:t>
      </w:r>
      <w:r>
        <w:rPr>
          <w:spacing w:val="-1"/>
        </w:rPr>
        <w:t xml:space="preserve"> </w:t>
      </w:r>
      <w:r>
        <w:t>significant.</w:t>
      </w:r>
    </w:p>
    <w:p w:rsidR="00D96B91" w:rsidRDefault="00C2656B">
      <w:pPr>
        <w:pStyle w:val="BodyText"/>
        <w:tabs>
          <w:tab w:val="left" w:pos="4502"/>
        </w:tabs>
        <w:spacing w:before="170" w:line="260" w:lineRule="exact"/>
        <w:ind w:right="1356"/>
      </w:pPr>
      <w:r>
        <w:rPr>
          <w:rFonts w:cs="Avenir Next"/>
          <w:spacing w:val="-1"/>
        </w:rPr>
        <w:t>In</w:t>
      </w:r>
      <w:r>
        <w:rPr>
          <w:rFonts w:cs="Avenir Next"/>
          <w:spacing w:val="-4"/>
        </w:rPr>
        <w:t xml:space="preserve"> </w:t>
      </w:r>
      <w:r>
        <w:rPr>
          <w:rFonts w:cs="Avenir Next"/>
          <w:spacing w:val="-2"/>
        </w:rPr>
        <w:t>addition,</w:t>
      </w:r>
      <w:r>
        <w:rPr>
          <w:rFonts w:cs="Avenir Next"/>
          <w:spacing w:val="-10"/>
        </w:rPr>
        <w:t xml:space="preserve"> </w:t>
      </w:r>
      <w:r>
        <w:rPr>
          <w:rFonts w:cs="Avenir Next"/>
          <w:spacing w:val="-2"/>
        </w:rPr>
        <w:t>the</w:t>
      </w:r>
      <w:r>
        <w:rPr>
          <w:rFonts w:cs="Avenir Next"/>
          <w:spacing w:val="-4"/>
        </w:rPr>
        <w:t xml:space="preserve"> Panel </w:t>
      </w:r>
      <w:r>
        <w:rPr>
          <w:rFonts w:cs="Avenir Next"/>
          <w:spacing w:val="-2"/>
        </w:rPr>
        <w:t>has</w:t>
      </w:r>
      <w:r>
        <w:rPr>
          <w:rFonts w:cs="Avenir Next"/>
          <w:spacing w:val="-4"/>
        </w:rPr>
        <w:t xml:space="preserve"> </w:t>
      </w:r>
      <w:r>
        <w:rPr>
          <w:rFonts w:cs="Avenir Next"/>
          <w:spacing w:val="-2"/>
        </w:rPr>
        <w:t>adopted</w:t>
      </w:r>
      <w:r>
        <w:rPr>
          <w:rFonts w:cs="Avenir Next"/>
          <w:spacing w:val="-4"/>
        </w:rPr>
        <w:t xml:space="preserve"> </w:t>
      </w:r>
      <w:r>
        <w:rPr>
          <w:rFonts w:cs="Avenir Next"/>
        </w:rPr>
        <w:t>a</w:t>
      </w:r>
      <w:r>
        <w:rPr>
          <w:rFonts w:cs="Avenir Next"/>
          <w:spacing w:val="-4"/>
        </w:rPr>
        <w:t xml:space="preserve"> </w:t>
      </w:r>
      <w:r>
        <w:rPr>
          <w:rFonts w:cs="Avenir Next"/>
          <w:spacing w:val="-2"/>
        </w:rPr>
        <w:t>fundamentally</w:t>
      </w:r>
      <w:r>
        <w:rPr>
          <w:rFonts w:cs="Avenir Next"/>
          <w:spacing w:val="-4"/>
        </w:rPr>
        <w:t xml:space="preserve"> </w:t>
      </w:r>
      <w:r>
        <w:rPr>
          <w:rFonts w:cs="Avenir Next"/>
          <w:spacing w:val="-3"/>
        </w:rPr>
        <w:t>different</w:t>
      </w:r>
      <w:r>
        <w:rPr>
          <w:rFonts w:cs="Avenir Next"/>
          <w:spacing w:val="-4"/>
        </w:rPr>
        <w:t xml:space="preserve"> </w:t>
      </w:r>
      <w:r>
        <w:rPr>
          <w:rFonts w:cs="Avenir Next"/>
          <w:spacing w:val="-2"/>
        </w:rPr>
        <w:t>mechanism</w:t>
      </w:r>
      <w:r>
        <w:rPr>
          <w:rFonts w:cs="Avenir Next"/>
          <w:spacing w:val="-4"/>
        </w:rPr>
        <w:t xml:space="preserve"> </w:t>
      </w:r>
      <w:r>
        <w:rPr>
          <w:rFonts w:cs="Avenir Next"/>
          <w:spacing w:val="-1"/>
        </w:rPr>
        <w:t>to</w:t>
      </w:r>
      <w:r>
        <w:rPr>
          <w:rFonts w:cs="Avenir Next"/>
          <w:spacing w:val="-4"/>
        </w:rPr>
        <w:t xml:space="preserve"> </w:t>
      </w:r>
      <w:r>
        <w:rPr>
          <w:rFonts w:cs="Avenir Next"/>
          <w:spacing w:val="-2"/>
        </w:rPr>
        <w:t>manage</w:t>
      </w:r>
      <w:r>
        <w:rPr>
          <w:rFonts w:cs="Avenir Next"/>
          <w:spacing w:val="-4"/>
        </w:rPr>
        <w:t xml:space="preserve"> </w:t>
      </w:r>
      <w:r>
        <w:rPr>
          <w:rFonts w:cs="Avenir Next"/>
          <w:spacing w:val="-2"/>
        </w:rPr>
        <w:t>the</w:t>
      </w:r>
      <w:r>
        <w:rPr>
          <w:rFonts w:cs="Avenir Next"/>
          <w:spacing w:val="-4"/>
        </w:rPr>
        <w:t xml:space="preserve"> </w:t>
      </w:r>
      <w:r>
        <w:rPr>
          <w:rFonts w:cs="Avenir Next"/>
          <w:spacing w:val="-2"/>
        </w:rPr>
        <w:t>risk</w:t>
      </w:r>
      <w:r>
        <w:rPr>
          <w:rFonts w:cs="Avenir Next"/>
          <w:spacing w:val="-4"/>
        </w:rPr>
        <w:t xml:space="preserve"> </w:t>
      </w:r>
      <w:r>
        <w:rPr>
          <w:rFonts w:cs="Avenir Next"/>
          <w:spacing w:val="-1"/>
        </w:rPr>
        <w:t>to</w:t>
      </w:r>
      <w:r>
        <w:rPr>
          <w:rFonts w:cs="Avenir Next"/>
          <w:spacing w:val="-4"/>
        </w:rPr>
        <w:t xml:space="preserve"> </w:t>
      </w:r>
      <w:r>
        <w:rPr>
          <w:rFonts w:cs="Avenir Next"/>
          <w:spacing w:val="-2"/>
        </w:rPr>
        <w:t>customers</w:t>
      </w:r>
      <w:r>
        <w:rPr>
          <w:rFonts w:cs="Avenir Next"/>
          <w:spacing w:val="42"/>
        </w:rPr>
        <w:t xml:space="preserve"> </w:t>
      </w:r>
      <w:r>
        <w:rPr>
          <w:spacing w:val="-2"/>
        </w:rPr>
        <w:t>and</w:t>
      </w:r>
      <w:r>
        <w:rPr>
          <w:spacing w:val="-8"/>
        </w:rPr>
        <w:t xml:space="preserve"> </w:t>
      </w:r>
      <w:r>
        <w:rPr>
          <w:spacing w:val="-3"/>
        </w:rPr>
        <w:t>ACTEW</w:t>
      </w:r>
      <w:r>
        <w:rPr>
          <w:spacing w:val="-7"/>
        </w:rPr>
        <w:t xml:space="preserve"> </w:t>
      </w:r>
      <w:r>
        <w:rPr>
          <w:spacing w:val="-1"/>
        </w:rPr>
        <w:t>of</w:t>
      </w:r>
      <w:r>
        <w:t xml:space="preserve"> </w:t>
      </w:r>
      <w:r>
        <w:rPr>
          <w:spacing w:val="-2"/>
        </w:rPr>
        <w:t>changes</w:t>
      </w:r>
      <w:r>
        <w:rPr>
          <w:spacing w:val="-4"/>
        </w:rPr>
        <w:t xml:space="preserve"> </w:t>
      </w:r>
      <w:r>
        <w:rPr>
          <w:spacing w:val="-1"/>
        </w:rPr>
        <w:t>in</w:t>
      </w:r>
      <w:r>
        <w:rPr>
          <w:spacing w:val="-4"/>
        </w:rPr>
        <w:t xml:space="preserve"> </w:t>
      </w:r>
      <w:r>
        <w:rPr>
          <w:spacing w:val="-2"/>
        </w:rPr>
        <w:t>water</w:t>
      </w:r>
      <w:r>
        <w:rPr>
          <w:spacing w:val="-4"/>
        </w:rPr>
        <w:t xml:space="preserve"> </w:t>
      </w:r>
      <w:r>
        <w:rPr>
          <w:spacing w:val="-2"/>
        </w:rPr>
        <w:t>demand,</w:t>
      </w:r>
      <w:r>
        <w:rPr>
          <w:spacing w:val="-10"/>
        </w:rPr>
        <w:t xml:space="preserve"> </w:t>
      </w:r>
      <w:r>
        <w:rPr>
          <w:spacing w:val="-2"/>
        </w:rPr>
        <w:t>which</w:t>
      </w:r>
      <w:r>
        <w:rPr>
          <w:spacing w:val="-4"/>
        </w:rPr>
        <w:t xml:space="preserve"> </w:t>
      </w:r>
      <w:r>
        <w:rPr>
          <w:spacing w:val="-2"/>
        </w:rPr>
        <w:t>may</w:t>
      </w:r>
      <w:r>
        <w:rPr>
          <w:spacing w:val="-4"/>
        </w:rPr>
        <w:t xml:space="preserve"> </w:t>
      </w:r>
      <w:r>
        <w:rPr>
          <w:spacing w:val="-1"/>
        </w:rPr>
        <w:t>be</w:t>
      </w:r>
      <w:r>
        <w:rPr>
          <w:spacing w:val="-4"/>
        </w:rPr>
        <w:t xml:space="preserve"> </w:t>
      </w:r>
      <w:r>
        <w:rPr>
          <w:spacing w:val="-2"/>
        </w:rPr>
        <w:t>driven</w:t>
      </w:r>
      <w:r>
        <w:rPr>
          <w:spacing w:val="-4"/>
        </w:rPr>
        <w:t xml:space="preserve"> </w:t>
      </w:r>
      <w:r>
        <w:rPr>
          <w:spacing w:val="-1"/>
        </w:rPr>
        <w:t>by</w:t>
      </w:r>
      <w:r>
        <w:rPr>
          <w:spacing w:val="-4"/>
        </w:rPr>
        <w:t xml:space="preserve"> </w:t>
      </w:r>
      <w:r>
        <w:rPr>
          <w:spacing w:val="-3"/>
        </w:rPr>
        <w:t>weather</w:t>
      </w:r>
      <w:r>
        <w:rPr>
          <w:spacing w:val="-4"/>
        </w:rPr>
        <w:t xml:space="preserve"> </w:t>
      </w:r>
      <w:r>
        <w:rPr>
          <w:spacing w:val="-1"/>
        </w:rPr>
        <w:t>or</w:t>
      </w:r>
      <w:r>
        <w:rPr>
          <w:spacing w:val="-4"/>
        </w:rPr>
        <w:t xml:space="preserve"> </w:t>
      </w:r>
      <w:r>
        <w:rPr>
          <w:spacing w:val="-2"/>
        </w:rPr>
        <w:t>other</w:t>
      </w:r>
      <w:r>
        <w:rPr>
          <w:spacing w:val="-4"/>
        </w:rPr>
        <w:t xml:space="preserve"> </w:t>
      </w:r>
      <w:r>
        <w:rPr>
          <w:spacing w:val="-2"/>
        </w:rPr>
        <w:t>factors.</w:t>
      </w:r>
      <w:r>
        <w:rPr>
          <w:spacing w:val="-10"/>
        </w:rPr>
        <w:t xml:space="preserve"> </w:t>
      </w:r>
      <w:r>
        <w:rPr>
          <w:spacing w:val="-1"/>
        </w:rPr>
        <w:t>In</w:t>
      </w:r>
      <w:r>
        <w:rPr>
          <w:spacing w:val="-4"/>
        </w:rPr>
        <w:t xml:space="preserve"> </w:t>
      </w:r>
      <w:r>
        <w:rPr>
          <w:spacing w:val="-3"/>
        </w:rPr>
        <w:t>particular,</w:t>
      </w:r>
      <w:r>
        <w:rPr>
          <w:spacing w:val="46"/>
        </w:rPr>
        <w:t xml:space="preserve"> </w:t>
      </w:r>
      <w:r>
        <w:rPr>
          <w:rFonts w:cs="Avenir Next"/>
          <w:spacing w:val="-2"/>
        </w:rPr>
        <w:t>the</w:t>
      </w:r>
      <w:r>
        <w:rPr>
          <w:rFonts w:cs="Avenir Next"/>
          <w:spacing w:val="-4"/>
        </w:rPr>
        <w:t xml:space="preserve"> Panel </w:t>
      </w:r>
      <w:r>
        <w:rPr>
          <w:rFonts w:cs="Avenir Next"/>
          <w:spacing w:val="-2"/>
        </w:rPr>
        <w:t>has</w:t>
      </w:r>
      <w:r>
        <w:rPr>
          <w:rFonts w:cs="Avenir Next"/>
          <w:spacing w:val="-4"/>
        </w:rPr>
        <w:t xml:space="preserve"> </w:t>
      </w:r>
      <w:r>
        <w:rPr>
          <w:rFonts w:cs="Avenir Next"/>
          <w:spacing w:val="-2"/>
        </w:rPr>
        <w:t>decided</w:t>
      </w:r>
      <w:r>
        <w:rPr>
          <w:rFonts w:cs="Avenir Next"/>
          <w:spacing w:val="-4"/>
        </w:rPr>
        <w:t xml:space="preserve"> </w:t>
      </w:r>
      <w:r>
        <w:rPr>
          <w:rFonts w:cs="Avenir Next"/>
          <w:spacing w:val="-1"/>
        </w:rPr>
        <w:t>to</w:t>
      </w:r>
      <w:r>
        <w:rPr>
          <w:rFonts w:cs="Avenir Next"/>
          <w:spacing w:val="-4"/>
        </w:rPr>
        <w:t xml:space="preserve"> </w:t>
      </w:r>
      <w:r>
        <w:rPr>
          <w:rFonts w:cs="Avenir Next"/>
          <w:spacing w:val="-2"/>
        </w:rPr>
        <w:t>use</w:t>
      </w:r>
      <w:r>
        <w:rPr>
          <w:rFonts w:cs="Avenir Next"/>
          <w:spacing w:val="-4"/>
        </w:rPr>
        <w:t xml:space="preserve"> </w:t>
      </w:r>
      <w:r>
        <w:rPr>
          <w:rFonts w:cs="Avenir Next"/>
          <w:spacing w:val="-2"/>
        </w:rPr>
        <w:t>demand</w:t>
      </w:r>
      <w:r>
        <w:rPr>
          <w:rFonts w:cs="Avenir Next"/>
          <w:spacing w:val="-4"/>
        </w:rPr>
        <w:t xml:space="preserve"> </w:t>
      </w:r>
      <w:r>
        <w:rPr>
          <w:rFonts w:cs="Avenir Next"/>
          <w:spacing w:val="-3"/>
        </w:rPr>
        <w:t>forecasts</w:t>
      </w:r>
      <w:r>
        <w:rPr>
          <w:rFonts w:cs="Avenir Next"/>
          <w:spacing w:val="-4"/>
        </w:rPr>
        <w:t xml:space="preserve"> </w:t>
      </w:r>
      <w:r>
        <w:rPr>
          <w:rFonts w:cs="Avenir Next"/>
          <w:spacing w:val="-2"/>
        </w:rPr>
        <w:t>for</w:t>
      </w:r>
      <w:r>
        <w:rPr>
          <w:rFonts w:cs="Avenir Next"/>
          <w:spacing w:val="-4"/>
        </w:rPr>
        <w:t xml:space="preserve"> </w:t>
      </w:r>
      <w:r>
        <w:rPr>
          <w:rFonts w:cs="Avenir Next"/>
          <w:spacing w:val="-2"/>
        </w:rPr>
        <w:t>the</w:t>
      </w:r>
      <w:r>
        <w:rPr>
          <w:rFonts w:cs="Avenir Next"/>
          <w:spacing w:val="-4"/>
        </w:rPr>
        <w:t xml:space="preserve"> </w:t>
      </w:r>
      <w:r>
        <w:rPr>
          <w:rFonts w:cs="Avenir Next"/>
          <w:spacing w:val="-2"/>
        </w:rPr>
        <w:t>whole</w:t>
      </w:r>
      <w:r>
        <w:rPr>
          <w:rFonts w:cs="Avenir Next"/>
          <w:spacing w:val="-4"/>
        </w:rPr>
        <w:t xml:space="preserve"> </w:t>
      </w:r>
      <w:r>
        <w:rPr>
          <w:rFonts w:cs="Avenir Next"/>
          <w:spacing w:val="-3"/>
        </w:rPr>
        <w:t>regulatory</w:t>
      </w:r>
      <w:r>
        <w:rPr>
          <w:rFonts w:cs="Avenir Next"/>
          <w:spacing w:val="-4"/>
        </w:rPr>
        <w:t xml:space="preserve"> </w:t>
      </w:r>
      <w:r>
        <w:rPr>
          <w:rFonts w:cs="Avenir Next"/>
          <w:spacing w:val="-2"/>
        </w:rPr>
        <w:t>period</w:t>
      </w:r>
      <w:r>
        <w:rPr>
          <w:rFonts w:cs="Avenir Next"/>
          <w:spacing w:val="-4"/>
        </w:rPr>
        <w:t xml:space="preserve"> </w:t>
      </w:r>
      <w:r>
        <w:rPr>
          <w:rFonts w:cs="Avenir Next"/>
          <w:spacing w:val="-1"/>
        </w:rPr>
        <w:t>to</w:t>
      </w:r>
      <w:r>
        <w:rPr>
          <w:rFonts w:cs="Avenir Next"/>
          <w:spacing w:val="-4"/>
        </w:rPr>
        <w:t xml:space="preserve"> </w:t>
      </w:r>
      <w:r>
        <w:rPr>
          <w:rFonts w:cs="Avenir Next"/>
          <w:spacing w:val="-3"/>
        </w:rPr>
        <w:t>provide</w:t>
      </w:r>
      <w:r>
        <w:rPr>
          <w:rFonts w:cs="Avenir Next"/>
          <w:spacing w:val="-4"/>
        </w:rPr>
        <w:t xml:space="preserve"> </w:t>
      </w:r>
      <w:r>
        <w:rPr>
          <w:rFonts w:cs="Avenir Next"/>
          <w:spacing w:val="-2"/>
        </w:rPr>
        <w:t>price</w:t>
      </w:r>
      <w:r>
        <w:rPr>
          <w:rFonts w:cs="Avenir Next"/>
          <w:spacing w:val="-4"/>
        </w:rPr>
        <w:t xml:space="preserve"> </w:t>
      </w:r>
      <w:r>
        <w:rPr>
          <w:rFonts w:cs="Avenir Next"/>
          <w:spacing w:val="-2"/>
        </w:rPr>
        <w:t>stability</w:t>
      </w:r>
      <w:r>
        <w:rPr>
          <w:rFonts w:cs="Avenir Next"/>
          <w:spacing w:val="76"/>
        </w:rPr>
        <w:t xml:space="preserve"> </w:t>
      </w:r>
      <w:r>
        <w:rPr>
          <w:spacing w:val="-2"/>
        </w:rPr>
        <w:t>and</w:t>
      </w:r>
      <w:r>
        <w:rPr>
          <w:spacing w:val="-4"/>
        </w:rPr>
        <w:t xml:space="preserve"> </w:t>
      </w:r>
      <w:r>
        <w:rPr>
          <w:spacing w:val="-2"/>
        </w:rPr>
        <w:t>investment</w:t>
      </w:r>
      <w:r>
        <w:rPr>
          <w:spacing w:val="-4"/>
        </w:rPr>
        <w:t xml:space="preserve"> </w:t>
      </w:r>
      <w:r>
        <w:rPr>
          <w:spacing w:val="-3"/>
        </w:rPr>
        <w:t>certainty.</w:t>
      </w:r>
      <w:r>
        <w:rPr>
          <w:spacing w:val="-10"/>
        </w:rPr>
        <w:t xml:space="preserve"> </w:t>
      </w:r>
      <w:r>
        <w:rPr>
          <w:spacing w:val="-1"/>
        </w:rPr>
        <w:t>In</w:t>
      </w:r>
      <w:r>
        <w:rPr>
          <w:spacing w:val="-4"/>
        </w:rPr>
        <w:t xml:space="preserve"> </w:t>
      </w:r>
      <w:r>
        <w:rPr>
          <w:spacing w:val="-2"/>
        </w:rPr>
        <w:t>conjunction</w:t>
      </w:r>
      <w:r>
        <w:rPr>
          <w:spacing w:val="-4"/>
        </w:rPr>
        <w:t xml:space="preserve"> </w:t>
      </w:r>
      <w:r>
        <w:rPr>
          <w:spacing w:val="-2"/>
        </w:rPr>
        <w:t>with</w:t>
      </w:r>
      <w:r>
        <w:rPr>
          <w:spacing w:val="-4"/>
        </w:rPr>
        <w:t xml:space="preserve"> </w:t>
      </w:r>
      <w:r>
        <w:rPr>
          <w:spacing w:val="-2"/>
        </w:rPr>
        <w:t>that</w:t>
      </w:r>
      <w:r>
        <w:rPr>
          <w:spacing w:val="-4"/>
        </w:rPr>
        <w:t xml:space="preserve"> </w:t>
      </w:r>
      <w:r>
        <w:rPr>
          <w:spacing w:val="-2"/>
        </w:rPr>
        <w:t>decision,</w:t>
      </w:r>
      <w:r>
        <w:rPr>
          <w:spacing w:val="-10"/>
        </w:rPr>
        <w:t xml:space="preserve"> </w:t>
      </w:r>
      <w:r>
        <w:rPr>
          <w:spacing w:val="-1"/>
        </w:rPr>
        <w:t>it</w:t>
      </w:r>
      <w:r>
        <w:rPr>
          <w:spacing w:val="-4"/>
        </w:rPr>
        <w:t xml:space="preserve"> </w:t>
      </w:r>
      <w:r>
        <w:rPr>
          <w:spacing w:val="-2"/>
        </w:rPr>
        <w:t>has</w:t>
      </w:r>
      <w:r>
        <w:rPr>
          <w:spacing w:val="-4"/>
        </w:rPr>
        <w:t xml:space="preserve"> </w:t>
      </w:r>
      <w:r>
        <w:rPr>
          <w:spacing w:val="-2"/>
        </w:rPr>
        <w:t>added</w:t>
      </w:r>
      <w:r>
        <w:rPr>
          <w:spacing w:val="-4"/>
        </w:rPr>
        <w:t xml:space="preserve"> </w:t>
      </w:r>
      <w:r>
        <w:t>a</w:t>
      </w:r>
      <w:r>
        <w:rPr>
          <w:spacing w:val="-4"/>
        </w:rPr>
        <w:t xml:space="preserve"> </w:t>
      </w:r>
      <w:r>
        <w:rPr>
          <w:spacing w:val="-2"/>
        </w:rPr>
        <w:t>symmetrical</w:t>
      </w:r>
      <w:r>
        <w:rPr>
          <w:spacing w:val="-4"/>
        </w:rPr>
        <w:t xml:space="preserve"> </w:t>
      </w:r>
      <w:r>
        <w:rPr>
          <w:spacing w:val="-2"/>
        </w:rPr>
        <w:t>demand</w:t>
      </w:r>
      <w:r>
        <w:rPr>
          <w:spacing w:val="-4"/>
        </w:rPr>
        <w:t xml:space="preserve"> </w:t>
      </w:r>
      <w:r>
        <w:rPr>
          <w:spacing w:val="-3"/>
        </w:rPr>
        <w:t>volatility</w:t>
      </w:r>
      <w:r>
        <w:rPr>
          <w:spacing w:val="54"/>
        </w:rPr>
        <w:t xml:space="preserve"> </w:t>
      </w:r>
      <w:r>
        <w:rPr>
          <w:spacing w:val="-2"/>
        </w:rPr>
        <w:t>adjustment</w:t>
      </w:r>
      <w:r>
        <w:rPr>
          <w:spacing w:val="-4"/>
        </w:rPr>
        <w:t xml:space="preserve"> </w:t>
      </w:r>
      <w:r>
        <w:rPr>
          <w:spacing w:val="-2"/>
        </w:rPr>
        <w:t>mechanism</w:t>
      </w:r>
      <w:r>
        <w:rPr>
          <w:spacing w:val="-4"/>
        </w:rPr>
        <w:t xml:space="preserve"> </w:t>
      </w:r>
      <w:r>
        <w:rPr>
          <w:spacing w:val="-1"/>
        </w:rPr>
        <w:t>to</w:t>
      </w:r>
      <w:r>
        <w:rPr>
          <w:spacing w:val="-4"/>
        </w:rPr>
        <w:t xml:space="preserve"> </w:t>
      </w:r>
      <w:r>
        <w:rPr>
          <w:spacing w:val="-3"/>
        </w:rPr>
        <w:t>protect</w:t>
      </w:r>
      <w:r>
        <w:rPr>
          <w:spacing w:val="-4"/>
        </w:rPr>
        <w:t xml:space="preserve"> </w:t>
      </w:r>
      <w:r>
        <w:rPr>
          <w:spacing w:val="-2"/>
        </w:rPr>
        <w:t>customers</w:t>
      </w:r>
      <w:r>
        <w:rPr>
          <w:spacing w:val="-4"/>
        </w:rPr>
        <w:t xml:space="preserve"> </w:t>
      </w:r>
      <w:r>
        <w:rPr>
          <w:spacing w:val="-2"/>
        </w:rPr>
        <w:t>and</w:t>
      </w:r>
      <w:r>
        <w:rPr>
          <w:spacing w:val="-8"/>
        </w:rPr>
        <w:t xml:space="preserve"> </w:t>
      </w:r>
      <w:r>
        <w:rPr>
          <w:spacing w:val="-3"/>
        </w:rPr>
        <w:t>ACTEW</w:t>
      </w:r>
      <w:r>
        <w:rPr>
          <w:spacing w:val="-7"/>
        </w:rPr>
        <w:t xml:space="preserve"> </w:t>
      </w:r>
      <w:r>
        <w:rPr>
          <w:spacing w:val="-3"/>
        </w:rPr>
        <w:t>from</w:t>
      </w:r>
      <w:r>
        <w:rPr>
          <w:spacing w:val="-4"/>
        </w:rPr>
        <w:t xml:space="preserve"> </w:t>
      </w:r>
      <w:r>
        <w:rPr>
          <w:spacing w:val="-3"/>
        </w:rPr>
        <w:t>extreme</w:t>
      </w:r>
      <w:r>
        <w:rPr>
          <w:spacing w:val="-4"/>
        </w:rPr>
        <w:t xml:space="preserve"> </w:t>
      </w:r>
      <w:r>
        <w:rPr>
          <w:spacing w:val="-2"/>
        </w:rPr>
        <w:t>changes</w:t>
      </w:r>
      <w:r>
        <w:rPr>
          <w:spacing w:val="-4"/>
        </w:rPr>
        <w:t xml:space="preserve"> </w:t>
      </w:r>
      <w:r>
        <w:rPr>
          <w:spacing w:val="-1"/>
        </w:rPr>
        <w:t>in</w:t>
      </w:r>
      <w:r>
        <w:rPr>
          <w:spacing w:val="-4"/>
        </w:rPr>
        <w:t xml:space="preserve"> </w:t>
      </w:r>
      <w:r>
        <w:rPr>
          <w:spacing w:val="-2"/>
        </w:rPr>
        <w:t>demand</w:t>
      </w:r>
      <w:r>
        <w:rPr>
          <w:spacing w:val="-4"/>
        </w:rPr>
        <w:t xml:space="preserve"> </w:t>
      </w:r>
      <w:r>
        <w:t>–</w:t>
      </w:r>
      <w:r>
        <w:rPr>
          <w:spacing w:val="-4"/>
        </w:rPr>
        <w:t xml:space="preserve"> </w:t>
      </w:r>
      <w:r>
        <w:rPr>
          <w:spacing w:val="-2"/>
        </w:rPr>
        <w:t>which</w:t>
      </w:r>
      <w:r>
        <w:rPr>
          <w:spacing w:val="45"/>
        </w:rPr>
        <w:t xml:space="preserve"> </w:t>
      </w:r>
      <w:r>
        <w:rPr>
          <w:rFonts w:cs="Avenir Next"/>
          <w:spacing w:val="-2"/>
        </w:rPr>
        <w:t>might</w:t>
      </w:r>
      <w:r>
        <w:rPr>
          <w:rFonts w:cs="Avenir Next"/>
          <w:spacing w:val="-4"/>
        </w:rPr>
        <w:t xml:space="preserve"> </w:t>
      </w:r>
      <w:r>
        <w:rPr>
          <w:rFonts w:cs="Avenir Next"/>
          <w:spacing w:val="-2"/>
        </w:rPr>
        <w:t>otherwise</w:t>
      </w:r>
      <w:r>
        <w:rPr>
          <w:rFonts w:cs="Avenir Next"/>
          <w:spacing w:val="-4"/>
        </w:rPr>
        <w:t xml:space="preserve"> </w:t>
      </w:r>
      <w:r>
        <w:rPr>
          <w:rFonts w:cs="Avenir Next"/>
          <w:spacing w:val="-2"/>
        </w:rPr>
        <w:t>mean</w:t>
      </w:r>
      <w:r>
        <w:rPr>
          <w:rFonts w:cs="Avenir Next"/>
          <w:spacing w:val="-4"/>
        </w:rPr>
        <w:t xml:space="preserve"> </w:t>
      </w:r>
      <w:r>
        <w:rPr>
          <w:rFonts w:cs="Avenir Next"/>
          <w:spacing w:val="-2"/>
        </w:rPr>
        <w:t>that</w:t>
      </w:r>
      <w:r>
        <w:rPr>
          <w:rFonts w:cs="Avenir Next"/>
          <w:spacing w:val="-4"/>
        </w:rPr>
        <w:t xml:space="preserve"> </w:t>
      </w:r>
      <w:r>
        <w:rPr>
          <w:rFonts w:cs="Avenir Next"/>
          <w:spacing w:val="-2"/>
        </w:rPr>
        <w:t>customers</w:t>
      </w:r>
      <w:r>
        <w:rPr>
          <w:rFonts w:cs="Avenir Next"/>
          <w:spacing w:val="-4"/>
        </w:rPr>
        <w:t xml:space="preserve"> </w:t>
      </w:r>
      <w:r>
        <w:rPr>
          <w:rFonts w:cs="Avenir Next"/>
          <w:spacing w:val="-2"/>
        </w:rPr>
        <w:t>pay</w:t>
      </w:r>
      <w:r>
        <w:rPr>
          <w:rFonts w:cs="Avenir Next"/>
          <w:spacing w:val="-4"/>
        </w:rPr>
        <w:t xml:space="preserve"> </w:t>
      </w:r>
      <w:r>
        <w:rPr>
          <w:rFonts w:cs="Avenir Next"/>
          <w:spacing w:val="-3"/>
        </w:rPr>
        <w:t>more</w:t>
      </w:r>
      <w:r>
        <w:rPr>
          <w:rFonts w:cs="Avenir Next"/>
          <w:spacing w:val="-4"/>
        </w:rPr>
        <w:t xml:space="preserve"> </w:t>
      </w:r>
      <w:r>
        <w:rPr>
          <w:rFonts w:cs="Avenir Next"/>
          <w:spacing w:val="-2"/>
        </w:rPr>
        <w:t>than</w:t>
      </w:r>
      <w:r>
        <w:rPr>
          <w:rFonts w:cs="Avenir Next"/>
          <w:spacing w:val="-4"/>
        </w:rPr>
        <w:t xml:space="preserve"> </w:t>
      </w:r>
      <w:r>
        <w:rPr>
          <w:rFonts w:cs="Avenir Next"/>
          <w:spacing w:val="-2"/>
        </w:rPr>
        <w:t>needed</w:t>
      </w:r>
      <w:r>
        <w:rPr>
          <w:rFonts w:cs="Avenir Next"/>
          <w:spacing w:val="-4"/>
        </w:rPr>
        <w:t xml:space="preserve"> </w:t>
      </w:r>
      <w:r>
        <w:rPr>
          <w:rFonts w:cs="Avenir Next"/>
          <w:spacing w:val="-1"/>
        </w:rPr>
        <w:t>to</w:t>
      </w:r>
      <w:r>
        <w:rPr>
          <w:rFonts w:cs="Avenir Next"/>
          <w:spacing w:val="-4"/>
        </w:rPr>
        <w:t xml:space="preserve"> </w:t>
      </w:r>
      <w:r>
        <w:rPr>
          <w:rFonts w:cs="Avenir Next"/>
          <w:spacing w:val="-2"/>
        </w:rPr>
        <w:t>cover</w:t>
      </w:r>
      <w:r>
        <w:rPr>
          <w:rFonts w:cs="Avenir Next"/>
          <w:spacing w:val="-4"/>
        </w:rPr>
        <w:t xml:space="preserve"> </w:t>
      </w:r>
      <w:r>
        <w:rPr>
          <w:rFonts w:cs="Avenir Next"/>
          <w:spacing w:val="-2"/>
        </w:rPr>
        <w:t>the</w:t>
      </w:r>
      <w:r>
        <w:rPr>
          <w:rFonts w:cs="Avenir Next"/>
          <w:spacing w:val="-4"/>
        </w:rPr>
        <w:t xml:space="preserve"> </w:t>
      </w:r>
      <w:r>
        <w:rPr>
          <w:rFonts w:cs="Avenir Next"/>
          <w:spacing w:val="-2"/>
        </w:rPr>
        <w:t>costs</w:t>
      </w:r>
      <w:r>
        <w:rPr>
          <w:rFonts w:cs="Avenir Next"/>
          <w:spacing w:val="-4"/>
        </w:rPr>
        <w:t xml:space="preserve"> </w:t>
      </w:r>
      <w:r>
        <w:rPr>
          <w:rFonts w:cs="Avenir Next"/>
          <w:spacing w:val="-1"/>
        </w:rPr>
        <w:t>of</w:t>
      </w:r>
      <w:r>
        <w:rPr>
          <w:rFonts w:cs="Avenir Next"/>
        </w:rPr>
        <w:t xml:space="preserve"> </w:t>
      </w:r>
      <w:r>
        <w:rPr>
          <w:rFonts w:cs="Avenir Next"/>
          <w:spacing w:val="-2"/>
        </w:rPr>
        <w:t>water</w:t>
      </w:r>
      <w:r>
        <w:rPr>
          <w:rFonts w:cs="Avenir Next"/>
          <w:spacing w:val="-4"/>
        </w:rPr>
        <w:t xml:space="preserve"> </w:t>
      </w:r>
      <w:r>
        <w:rPr>
          <w:rFonts w:cs="Avenir Next"/>
          <w:spacing w:val="-2"/>
        </w:rPr>
        <w:t>services,</w:t>
      </w:r>
      <w:r>
        <w:rPr>
          <w:rFonts w:cs="Avenir Next"/>
          <w:spacing w:val="-10"/>
        </w:rPr>
        <w:t xml:space="preserve"> </w:t>
      </w:r>
      <w:r>
        <w:rPr>
          <w:rFonts w:cs="Avenir Next"/>
          <w:spacing w:val="-1"/>
        </w:rPr>
        <w:t>or</w:t>
      </w:r>
      <w:r>
        <w:rPr>
          <w:rFonts w:cs="Avenir Next"/>
          <w:spacing w:val="-4"/>
        </w:rPr>
        <w:t xml:space="preserve"> </w:t>
      </w:r>
      <w:r>
        <w:rPr>
          <w:rFonts w:cs="Avenir Next"/>
          <w:spacing w:val="-2"/>
        </w:rPr>
        <w:t>that</w:t>
      </w:r>
      <w:r>
        <w:rPr>
          <w:rFonts w:cs="Avenir Next"/>
          <w:spacing w:val="46"/>
        </w:rPr>
        <w:t xml:space="preserve"> </w:t>
      </w:r>
      <w:r>
        <w:rPr>
          <w:spacing w:val="-3"/>
        </w:rPr>
        <w:t>ACTEW</w:t>
      </w:r>
      <w:r>
        <w:rPr>
          <w:spacing w:val="-8"/>
        </w:rPr>
        <w:t xml:space="preserve"> </w:t>
      </w:r>
      <w:r>
        <w:rPr>
          <w:spacing w:val="-2"/>
        </w:rPr>
        <w:t>might</w:t>
      </w:r>
      <w:r>
        <w:rPr>
          <w:spacing w:val="-4"/>
        </w:rPr>
        <w:t xml:space="preserve"> </w:t>
      </w:r>
      <w:r>
        <w:rPr>
          <w:spacing w:val="-2"/>
        </w:rPr>
        <w:t>not</w:t>
      </w:r>
      <w:r>
        <w:rPr>
          <w:spacing w:val="-4"/>
        </w:rPr>
        <w:t xml:space="preserve"> </w:t>
      </w:r>
      <w:r>
        <w:rPr>
          <w:spacing w:val="-2"/>
        </w:rPr>
        <w:t>have</w:t>
      </w:r>
      <w:r>
        <w:rPr>
          <w:spacing w:val="-4"/>
        </w:rPr>
        <w:t xml:space="preserve"> </w:t>
      </w:r>
      <w:r>
        <w:rPr>
          <w:spacing w:val="-2"/>
        </w:rPr>
        <w:t>the</w:t>
      </w:r>
      <w:r>
        <w:rPr>
          <w:spacing w:val="-5"/>
        </w:rPr>
        <w:t xml:space="preserve"> </w:t>
      </w:r>
      <w:r>
        <w:rPr>
          <w:spacing w:val="-1"/>
        </w:rPr>
        <w:t>fi</w:t>
      </w:r>
      <w:r w:rsidR="008766C4">
        <w:rPr>
          <w:spacing w:val="-1"/>
        </w:rPr>
        <w:t xml:space="preserve">nancial </w:t>
      </w:r>
      <w:r>
        <w:rPr>
          <w:spacing w:val="-2"/>
        </w:rPr>
        <w:t>capacity</w:t>
      </w:r>
      <w:r>
        <w:rPr>
          <w:spacing w:val="-4"/>
        </w:rPr>
        <w:t xml:space="preserve"> </w:t>
      </w:r>
      <w:r>
        <w:rPr>
          <w:spacing w:val="-1"/>
        </w:rPr>
        <w:t>to</w:t>
      </w:r>
      <w:r>
        <w:rPr>
          <w:spacing w:val="-4"/>
        </w:rPr>
        <w:t xml:space="preserve"> </w:t>
      </w:r>
      <w:r>
        <w:rPr>
          <w:spacing w:val="-2"/>
        </w:rPr>
        <w:t>deliver</w:t>
      </w:r>
      <w:r>
        <w:rPr>
          <w:spacing w:val="-4"/>
        </w:rPr>
        <w:t xml:space="preserve"> </w:t>
      </w:r>
      <w:r>
        <w:rPr>
          <w:spacing w:val="-2"/>
        </w:rPr>
        <w:t>these</w:t>
      </w:r>
      <w:r>
        <w:rPr>
          <w:spacing w:val="-4"/>
        </w:rPr>
        <w:t xml:space="preserve"> </w:t>
      </w:r>
      <w:r>
        <w:rPr>
          <w:spacing w:val="-2"/>
        </w:rPr>
        <w:t>services.</w:t>
      </w:r>
    </w:p>
    <w:p w:rsidR="00D96B91" w:rsidRDefault="00C2656B">
      <w:pPr>
        <w:pStyle w:val="BodyText"/>
        <w:spacing w:before="170" w:line="260" w:lineRule="exact"/>
        <w:ind w:right="1313"/>
      </w:pPr>
      <w:r>
        <w:rPr>
          <w:spacing w:val="-3"/>
        </w:rPr>
        <w:t>Further,</w:t>
      </w:r>
      <w:r>
        <w:rPr>
          <w:spacing w:val="-7"/>
        </w:rPr>
        <w:t xml:space="preserve"> </w:t>
      </w:r>
      <w:r>
        <w:t>the</w:t>
      </w:r>
      <w:r>
        <w:rPr>
          <w:spacing w:val="-1"/>
        </w:rPr>
        <w:t xml:space="preserve"> </w:t>
      </w:r>
      <w:r>
        <w:t>demand</w:t>
      </w:r>
      <w:r>
        <w:rPr>
          <w:spacing w:val="-1"/>
        </w:rPr>
        <w:t xml:space="preserve"> forecasts</w:t>
      </w:r>
      <w:r>
        <w:t xml:space="preserve"> the</w:t>
      </w:r>
      <w:r>
        <w:rPr>
          <w:spacing w:val="-1"/>
        </w:rPr>
        <w:t xml:space="preserve"> </w:t>
      </w:r>
      <w:r>
        <w:rPr>
          <w:spacing w:val="-3"/>
        </w:rPr>
        <w:t>Panel</w:t>
      </w:r>
      <w:r>
        <w:rPr>
          <w:spacing w:val="-1"/>
        </w:rPr>
        <w:t xml:space="preserve"> </w:t>
      </w:r>
      <w:r>
        <w:t>adopted</w:t>
      </w:r>
      <w:r>
        <w:rPr>
          <w:spacing w:val="-1"/>
        </w:rPr>
        <w:t xml:space="preserve"> </w:t>
      </w:r>
      <w:r>
        <w:t>in</w:t>
      </w:r>
      <w:r>
        <w:rPr>
          <w:spacing w:val="-1"/>
        </w:rPr>
        <w:t xml:space="preserve"> </w:t>
      </w:r>
      <w:r>
        <w:t>making its</w:t>
      </w:r>
      <w:r>
        <w:rPr>
          <w:spacing w:val="-1"/>
        </w:rPr>
        <w:t xml:space="preserve"> </w:t>
      </w:r>
      <w:r>
        <w:rPr>
          <w:spacing w:val="-2"/>
        </w:rPr>
        <w:t>draft</w:t>
      </w:r>
      <w:r>
        <w:rPr>
          <w:spacing w:val="-1"/>
        </w:rPr>
        <w:t xml:space="preserve"> direction </w:t>
      </w:r>
      <w:r>
        <w:rPr>
          <w:spacing w:val="-2"/>
        </w:rPr>
        <w:t>are</w:t>
      </w:r>
      <w:r>
        <w:t xml:space="preserve"> significantly</w:t>
      </w:r>
      <w:r>
        <w:rPr>
          <w:spacing w:val="-1"/>
        </w:rPr>
        <w:t xml:space="preserve"> </w:t>
      </w:r>
      <w:r>
        <w:t>higher</w:t>
      </w:r>
      <w:r>
        <w:rPr>
          <w:spacing w:val="43"/>
        </w:rPr>
        <w:t xml:space="preserve"> </w:t>
      </w:r>
      <w:r>
        <w:t>than</w:t>
      </w:r>
      <w:r>
        <w:rPr>
          <w:spacing w:val="-1"/>
        </w:rPr>
        <w:t xml:space="preserve"> </w:t>
      </w:r>
      <w:r>
        <w:t xml:space="preserve">those </w:t>
      </w:r>
      <w:r>
        <w:rPr>
          <w:spacing w:val="-1"/>
        </w:rPr>
        <w:t xml:space="preserve">reflected </w:t>
      </w:r>
      <w:r>
        <w:t>in the</w:t>
      </w:r>
      <w:r>
        <w:rPr>
          <w:spacing w:val="-1"/>
        </w:rPr>
        <w:t xml:space="preserve"> </w:t>
      </w:r>
      <w:r>
        <w:t>original ICRC</w:t>
      </w:r>
      <w:r>
        <w:rPr>
          <w:spacing w:val="-1"/>
        </w:rPr>
        <w:t xml:space="preserve"> </w:t>
      </w:r>
      <w:r>
        <w:t xml:space="preserve">pricing </w:t>
      </w:r>
      <w:r>
        <w:rPr>
          <w:spacing w:val="-1"/>
        </w:rPr>
        <w:t xml:space="preserve">direction </w:t>
      </w:r>
      <w:r>
        <w:t>(see</w:t>
      </w:r>
      <w:r>
        <w:rPr>
          <w:spacing w:val="-1"/>
        </w:rPr>
        <w:t xml:space="preserve"> </w:t>
      </w:r>
      <w:r>
        <w:t>section 1.4.3</w:t>
      </w:r>
      <w:r>
        <w:rPr>
          <w:spacing w:val="-1"/>
        </w:rPr>
        <w:t xml:space="preserve"> </w:t>
      </w:r>
      <w:r>
        <w:t>below).</w:t>
      </w:r>
      <w:r>
        <w:rPr>
          <w:spacing w:val="-10"/>
        </w:rPr>
        <w:t xml:space="preserve"> </w:t>
      </w:r>
      <w:r>
        <w:t xml:space="preserve">As </w:t>
      </w:r>
      <w:r>
        <w:rPr>
          <w:spacing w:val="-2"/>
        </w:rPr>
        <w:t>Figure</w:t>
      </w:r>
      <w:r>
        <w:rPr>
          <w:spacing w:val="-1"/>
        </w:rPr>
        <w:t xml:space="preserve"> </w:t>
      </w:r>
      <w:r>
        <w:t>1.1</w:t>
      </w:r>
      <w:r>
        <w:rPr>
          <w:spacing w:val="29"/>
        </w:rPr>
        <w:t xml:space="preserve"> </w:t>
      </w:r>
      <w:r>
        <w:t>shows,</w:t>
      </w:r>
      <w:r>
        <w:rPr>
          <w:spacing w:val="-6"/>
        </w:rPr>
        <w:t xml:space="preserve"> </w:t>
      </w:r>
      <w:r>
        <w:t xml:space="preserve">these higher demand </w:t>
      </w:r>
      <w:r>
        <w:rPr>
          <w:spacing w:val="-1"/>
        </w:rPr>
        <w:t>forecasts</w:t>
      </w:r>
      <w:r>
        <w:t xml:space="preserve"> had the </w:t>
      </w:r>
      <w:r>
        <w:rPr>
          <w:spacing w:val="-1"/>
        </w:rPr>
        <w:t>effect</w:t>
      </w:r>
      <w:r>
        <w:t xml:space="preserve"> of</w:t>
      </w:r>
      <w:r>
        <w:rPr>
          <w:spacing w:val="4"/>
        </w:rPr>
        <w:t xml:space="preserve"> </w:t>
      </w:r>
      <w:r>
        <w:rPr>
          <w:spacing w:val="-1"/>
        </w:rPr>
        <w:t>reducing</w:t>
      </w:r>
      <w:r>
        <w:t xml:space="preserve"> by $93 the </w:t>
      </w:r>
      <w:r>
        <w:rPr>
          <w:spacing w:val="-1"/>
        </w:rPr>
        <w:t>indicative</w:t>
      </w:r>
      <w:r>
        <w:t xml:space="preserve"> annual bill of</w:t>
      </w:r>
      <w:r>
        <w:rPr>
          <w:spacing w:val="4"/>
        </w:rPr>
        <w:t xml:space="preserve"> </w:t>
      </w:r>
      <w:r>
        <w:t>a</w:t>
      </w:r>
      <w:r>
        <w:rPr>
          <w:spacing w:val="39"/>
        </w:rPr>
        <w:t xml:space="preserve"> </w:t>
      </w:r>
      <w:r>
        <w:rPr>
          <w:spacing w:val="-1"/>
        </w:rPr>
        <w:t>residential</w:t>
      </w:r>
      <w:r>
        <w:t xml:space="preserve"> customer consuming 200 kL</w:t>
      </w:r>
      <w:r>
        <w:rPr>
          <w:spacing w:val="-5"/>
        </w:rPr>
        <w:t xml:space="preserve"> </w:t>
      </w:r>
      <w:r>
        <w:t xml:space="preserve">per </w:t>
      </w:r>
      <w:r>
        <w:rPr>
          <w:spacing w:val="-3"/>
        </w:rPr>
        <w:t>year.</w:t>
      </w:r>
    </w:p>
    <w:p w:rsidR="00D96B91" w:rsidRDefault="00C2656B">
      <w:pPr>
        <w:spacing w:before="166" w:line="240" w:lineRule="exact"/>
        <w:ind w:left="1247" w:right="1283"/>
        <w:rPr>
          <w:rFonts w:ascii="Avenir Next" w:eastAsia="Avenir Next" w:hAnsi="Avenir Next" w:cs="Avenir Next"/>
          <w:sz w:val="20"/>
          <w:szCs w:val="20"/>
        </w:rPr>
      </w:pPr>
      <w:r>
        <w:rPr>
          <w:rFonts w:ascii="Avenir Next" w:eastAsia="Avenir Next" w:hAnsi="Avenir Next" w:cs="Avenir Next"/>
          <w:b/>
          <w:bCs/>
          <w:spacing w:val="-2"/>
          <w:sz w:val="20"/>
          <w:szCs w:val="20"/>
        </w:rPr>
        <w:t>Figure</w:t>
      </w:r>
      <w:r>
        <w:rPr>
          <w:rFonts w:ascii="Avenir Next" w:eastAsia="Avenir Next" w:hAnsi="Avenir Next" w:cs="Avenir Next"/>
          <w:b/>
          <w:bCs/>
          <w:sz w:val="20"/>
          <w:szCs w:val="20"/>
        </w:rPr>
        <w:t xml:space="preserve"> 1.1: </w:t>
      </w:r>
      <w:r>
        <w:rPr>
          <w:rFonts w:ascii="Avenir Next" w:eastAsia="Avenir Next" w:hAnsi="Avenir Next" w:cs="Avenir Next"/>
          <w:b/>
          <w:bCs/>
          <w:spacing w:val="-1"/>
          <w:sz w:val="20"/>
          <w:szCs w:val="20"/>
        </w:rPr>
        <w:t>Differences</w:t>
      </w:r>
      <w:r>
        <w:rPr>
          <w:rFonts w:ascii="Avenir Next" w:eastAsia="Avenir Next" w:hAnsi="Avenir Next" w:cs="Avenir Next"/>
          <w:b/>
          <w:bCs/>
          <w:sz w:val="20"/>
          <w:szCs w:val="20"/>
        </w:rPr>
        <w:t xml:space="preserve"> between the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and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final decision on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and</w:t>
      </w:r>
      <w:r>
        <w:rPr>
          <w:rFonts w:ascii="Avenir Next" w:eastAsia="Avenir Next" w:hAnsi="Avenir Next" w:cs="Avenir Next"/>
          <w:b/>
          <w:bCs/>
          <w:spacing w:val="41"/>
          <w:sz w:val="20"/>
          <w:szCs w:val="20"/>
        </w:rPr>
        <w:t xml:space="preserv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bills in 2014-15 </w:t>
      </w:r>
      <w:r>
        <w:rPr>
          <w:rFonts w:ascii="Avenir Next" w:eastAsia="Avenir Next" w:hAnsi="Avenir Next" w:cs="Avenir Next"/>
          <w:b/>
          <w:bCs/>
          <w:spacing w:val="-1"/>
          <w:sz w:val="20"/>
          <w:szCs w:val="20"/>
        </w:rPr>
        <w:t>(residential</w:t>
      </w:r>
      <w:r>
        <w:rPr>
          <w:rFonts w:ascii="Avenir Next" w:eastAsia="Avenir Next" w:hAnsi="Avenir Next" w:cs="Avenir Next"/>
          <w:b/>
          <w:bCs/>
          <w:sz w:val="20"/>
          <w:szCs w:val="20"/>
        </w:rPr>
        <w:t xml:space="preserve"> customer 200 kL</w:t>
      </w:r>
      <w:r>
        <w:rPr>
          <w:rFonts w:ascii="Avenir Next" w:eastAsia="Avenir Next" w:hAnsi="Avenir Next" w:cs="Avenir Next"/>
          <w:b/>
          <w:bCs/>
          <w:spacing w:val="-5"/>
          <w:sz w:val="20"/>
          <w:szCs w:val="20"/>
        </w:rPr>
        <w:t xml:space="preserve"> </w:t>
      </w:r>
      <w:r>
        <w:rPr>
          <w:rFonts w:ascii="Avenir Next" w:eastAsia="Avenir Next" w:hAnsi="Avenir Next" w:cs="Avenir Next"/>
          <w:b/>
          <w:bCs/>
          <w:sz w:val="20"/>
          <w:szCs w:val="20"/>
        </w:rPr>
        <w:t>pa)</w:t>
      </w:r>
    </w:p>
    <w:p w:rsidR="00D96B91" w:rsidRDefault="00D96B91">
      <w:pPr>
        <w:spacing w:before="7"/>
        <w:rPr>
          <w:rFonts w:ascii="Avenir Next" w:eastAsia="Avenir Next" w:hAnsi="Avenir Next" w:cs="Avenir Next"/>
          <w:b/>
          <w:bCs/>
          <w:sz w:val="17"/>
          <w:szCs w:val="17"/>
        </w:rPr>
      </w:pPr>
    </w:p>
    <w:p w:rsidR="00D96B91" w:rsidRDefault="00D96B91">
      <w:pPr>
        <w:spacing w:line="200" w:lineRule="atLeast"/>
        <w:ind w:left="1256"/>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group id="_x0000_s3466" style="width:470.1pt;height:287pt;mso-position-horizontal-relative:char;mso-position-vertical-relative:line" coordsize="9402,5740">
            <v:group id="_x0000_s3607" style="position:absolute;left:9159;top:4181;width:73;height:2" coordorigin="9159,4181" coordsize="73,2">
              <v:shape id="_x0000_s3608" style="position:absolute;left:9159;top:4181;width:73;height:2" coordorigin="9159,4181" coordsize="73,0" path="m9159,4181r72,e" filled="f" strokecolor="#868686" strokeweight=".17139mm">
                <v:path arrowok="t"/>
              </v:shape>
            </v:group>
            <v:group id="_x0000_s3605" style="position:absolute;left:7459;top:4181;width:991;height:2" coordorigin="7459,4181" coordsize="991,2">
              <v:shape id="_x0000_s3606" style="position:absolute;left:7459;top:4181;width:991;height:2" coordorigin="7459,4181" coordsize="991,0" path="m7459,4181r991,e" filled="f" strokecolor="#868686" strokeweight=".17139mm">
                <v:path arrowok="t"/>
              </v:shape>
            </v:group>
            <v:group id="_x0000_s3603" style="position:absolute;left:1515;top:4181;width:5235;height:2" coordorigin="1515,4181" coordsize="5235,2">
              <v:shape id="_x0000_s3604" style="position:absolute;left:1515;top:4181;width:5235;height:2" coordorigin="1515,4181" coordsize="5235,0" path="m1515,4181r5235,e" filled="f" strokecolor="#868686" strokeweight=".17139mm">
                <v:path arrowok="t"/>
              </v:shape>
            </v:group>
            <v:group id="_x0000_s3601" style="position:absolute;left:7459;top:3589;width:991;height:2" coordorigin="7459,3589" coordsize="991,2">
              <v:shape id="_x0000_s3602" style="position:absolute;left:7459;top:3589;width:991;height:2" coordorigin="7459,3589" coordsize="991,0" path="m7459,3589r991,e" filled="f" strokecolor="#868686" strokeweight=".17139mm">
                <v:path arrowok="t"/>
              </v:shape>
            </v:group>
            <v:group id="_x0000_s3599" style="position:absolute;left:1515;top:3589;width:5235;height:2" coordorigin="1515,3589" coordsize="5235,2">
              <v:shape id="_x0000_s3600" style="position:absolute;left:1515;top:3589;width:5235;height:2" coordorigin="1515,3589" coordsize="5235,0" path="m1515,3589r5235,e" filled="f" strokecolor="#868686" strokeweight=".17139mm">
                <v:path arrowok="t"/>
              </v:shape>
            </v:group>
            <v:group id="_x0000_s3597" style="position:absolute;left:7459;top:2996;width:991;height:2" coordorigin="7459,2996" coordsize="991,2">
              <v:shape id="_x0000_s3598" style="position:absolute;left:7459;top:2996;width:991;height:2" coordorigin="7459,2996" coordsize="991,0" path="m7459,2996r991,e" filled="f" strokecolor="#868686" strokeweight=".17139mm">
                <v:path arrowok="t"/>
              </v:shape>
            </v:group>
            <v:group id="_x0000_s3595" style="position:absolute;left:1515;top:2996;width:5235;height:2" coordorigin="1515,2996" coordsize="5235,2">
              <v:shape id="_x0000_s3596" style="position:absolute;left:1515;top:2996;width:5235;height:2" coordorigin="1515,2996" coordsize="5235,0" path="m1515,2996r5235,e" filled="f" strokecolor="#868686" strokeweight=".17139mm">
                <v:path arrowok="t"/>
              </v:shape>
            </v:group>
            <v:group id="_x0000_s3593" style="position:absolute;left:7459;top:2394;width:991;height:2" coordorigin="7459,2394" coordsize="991,2">
              <v:shape id="_x0000_s3594" style="position:absolute;left:7459;top:2394;width:991;height:2" coordorigin="7459,2394" coordsize="991,0" path="m7459,2394r991,e" filled="f" strokecolor="#868686" strokeweight=".17139mm">
                <v:path arrowok="t"/>
              </v:shape>
            </v:group>
            <v:group id="_x0000_s3591" style="position:absolute;left:1515;top:2394;width:5235;height:2" coordorigin="1515,2394" coordsize="5235,2">
              <v:shape id="_x0000_s3592" style="position:absolute;left:1515;top:2394;width:5235;height:2" coordorigin="1515,2394" coordsize="5235,0" path="m1515,2394r5235,e" filled="f" strokecolor="#868686" strokeweight=".17139mm">
                <v:path arrowok="t"/>
              </v:shape>
            </v:group>
            <v:group id="_x0000_s3589" style="position:absolute;left:7459;top:1802;width:991;height:2" coordorigin="7459,1802" coordsize="991,2">
              <v:shape id="_x0000_s3590" style="position:absolute;left:7459;top:1802;width:991;height:2" coordorigin="7459,1802" coordsize="991,0" path="m7459,1802r991,e" filled="f" strokecolor="#868686" strokeweight=".17139mm">
                <v:path arrowok="t"/>
              </v:shape>
            </v:group>
            <v:group id="_x0000_s3586" style="position:absolute;left:3215;top:1802;width:3536;height:2" coordorigin="3215,1802" coordsize="3536,2">
              <v:shape id="_x0000_s3588" style="position:absolute;left:3215;top:1802;width:3536;height:2" coordorigin="3215,1802" coordsize="3536,0" path="m3215,1802r3535,e" filled="f" strokecolor="#868686" strokeweight=".17139mm">
                <v:path arrowok="t"/>
              </v:shape>
              <v:shape id="_x0000_s3587" type="#_x0000_t75" style="position:absolute;left:6697;top:1384;width:826;height:3404">
                <v:imagedata r:id="rId27" o:title=""/>
              </v:shape>
            </v:group>
            <v:group id="_x0000_s3584" style="position:absolute;left:9159;top:3589;width:73;height:2" coordorigin="9159,3589" coordsize="73,2">
              <v:shape id="_x0000_s3585" style="position:absolute;left:9159;top:3589;width:73;height:2" coordorigin="9159,3589" coordsize="73,0" path="m9159,3589r72,e" filled="f" strokecolor="#868686" strokeweight=".17139mm">
                <v:path arrowok="t"/>
              </v:shape>
            </v:group>
            <v:group id="_x0000_s3582" style="position:absolute;left:9159;top:2996;width:73;height:2" coordorigin="9159,2996" coordsize="73,2">
              <v:shape id="_x0000_s3583" style="position:absolute;left:9159;top:2996;width:73;height:2" coordorigin="9159,2996" coordsize="73,0" path="m9159,2996r72,e" filled="f" strokecolor="#868686" strokeweight=".17139mm">
                <v:path arrowok="t"/>
              </v:shape>
            </v:group>
            <v:group id="_x0000_s3580" style="position:absolute;left:9159;top:2394;width:73;height:2" coordorigin="9159,2394" coordsize="73,2">
              <v:shape id="_x0000_s3581" style="position:absolute;left:9159;top:2394;width:73;height:2" coordorigin="9159,2394" coordsize="73,0" path="m9159,2394r72,e" filled="f" strokecolor="#868686" strokeweight=".17139mm">
                <v:path arrowok="t"/>
              </v:shape>
            </v:group>
            <v:group id="_x0000_s3577" style="position:absolute;left:9159;top:1802;width:73;height:2" coordorigin="9159,1802" coordsize="73,2">
              <v:shape id="_x0000_s3579" style="position:absolute;left:9159;top:1802;width:73;height:2" coordorigin="9159,1802" coordsize="73,0" path="m9159,1802r72,e" filled="f" strokecolor="#868686" strokeweight=".17139mm">
                <v:path arrowok="t"/>
              </v:shape>
              <v:shape id="_x0000_s3578" type="#_x0000_t75" style="position:absolute;left:8396;top:1297;width:826;height:3491">
                <v:imagedata r:id="rId28" o:title=""/>
              </v:shape>
            </v:group>
            <v:group id="_x0000_s3575" style="position:absolute;left:685;top:4181;width:122;height:2" coordorigin="685,4181" coordsize="122,2">
              <v:shape id="_x0000_s3576" style="position:absolute;left:685;top:4181;width:122;height:2" coordorigin="685,4181" coordsize="122,0" path="m685,4181r121,e" filled="f" strokecolor="#868686" strokeweight=".17142mm">
                <v:path arrowok="t"/>
              </v:shape>
            </v:group>
            <v:group id="_x0000_s3573" style="position:absolute;left:685;top:3589;width:122;height:2" coordorigin="685,3589" coordsize="122,2">
              <v:shape id="_x0000_s3574" style="position:absolute;left:685;top:3589;width:122;height:2" coordorigin="685,3589" coordsize="122,0" path="m685,3589r121,e" filled="f" strokecolor="#868686" strokeweight=".17144mm">
                <v:path arrowok="t"/>
              </v:shape>
            </v:group>
            <v:group id="_x0000_s3571" style="position:absolute;left:685;top:2996;width:122;height:2" coordorigin="685,2996" coordsize="122,2">
              <v:shape id="_x0000_s3572" style="position:absolute;left:685;top:2996;width:122;height:2" coordorigin="685,2996" coordsize="122,0" path="m685,2996r121,e" filled="f" strokecolor="#868686" strokeweight=".17147mm">
                <v:path arrowok="t"/>
              </v:shape>
            </v:group>
            <v:group id="_x0000_s3569" style="position:absolute;left:685;top:2394;width:122;height:2" coordorigin="685,2394" coordsize="122,2">
              <v:shape id="_x0000_s3570" style="position:absolute;left:685;top:2394;width:122;height:2" coordorigin="685,2394" coordsize="122,0" path="m685,2394r121,e" filled="f" strokecolor="#868686" strokeweight=".1715mm">
                <v:path arrowok="t"/>
              </v:shape>
            </v:group>
            <v:group id="_x0000_s3567" style="position:absolute;left:1515;top:1802;width:146;height:2" coordorigin="1515,1802" coordsize="146,2">
              <v:shape id="_x0000_s3568" style="position:absolute;left:1515;top:1802;width:146;height:2" coordorigin="1515,1802" coordsize="146,0" path="m1515,1802r146,e" filled="f" strokecolor="#868686" strokeweight=".17139mm">
                <v:path arrowok="t"/>
              </v:shape>
            </v:group>
            <v:group id="_x0000_s3564" style="position:absolute;left:685;top:1802;width:122;height:2" coordorigin="685,1802" coordsize="122,2">
              <v:shape id="_x0000_s3566" style="position:absolute;left:685;top:1802;width:122;height:2" coordorigin="685,1802" coordsize="122,0" path="m685,1802r121,e" filled="f" strokecolor="#868686" strokeweight=".17153mm">
                <v:path arrowok="t"/>
              </v:shape>
              <v:shape id="_x0000_s3565" type="#_x0000_t75" style="position:absolute;left:753;top:1297;width:826;height:3491">
                <v:imagedata r:id="rId29" o:title=""/>
              </v:shape>
            </v:group>
            <v:group id="_x0000_s3562" style="position:absolute;left:6750;top:1418;width:709;height:3361" coordorigin="6750,1418" coordsize="709,3361">
              <v:shape id="_x0000_s3563" style="position:absolute;left:6750;top:1418;width:709;height:3361" coordorigin="6750,1418" coordsize="709,3361" path="m6750,1418r709,l7459,4778r-709,l6750,1418xe" fillcolor="#31859c" stroked="f">
                <v:path arrowok="t"/>
              </v:shape>
            </v:group>
            <v:group id="_x0000_s3560" style="position:absolute;left:8450;top:1331;width:709;height:3448" coordorigin="8450,1331" coordsize="709,3448">
              <v:shape id="_x0000_s3561" style="position:absolute;left:8450;top:1331;width:709;height:3448" coordorigin="8450,1331" coordsize="709,3448" path="m8450,1331r709,l9159,4778r-709,l8450,1331xe" fillcolor="#31859c" stroked="f">
                <v:path arrowok="t"/>
              </v:shape>
            </v:group>
            <v:group id="_x0000_s3558" style="position:absolute;left:806;top:1321;width:709;height:3458" coordorigin="806,1321" coordsize="709,3458">
              <v:shape id="_x0000_s3559" style="position:absolute;left:806;top:1321;width:709;height:3458" coordorigin="806,1321" coordsize="709,3458" path="m806,1321r709,l1515,4778r-709,l806,1321xe" fillcolor="#000090" stroked="f">
                <v:path arrowok="t"/>
              </v:shape>
            </v:group>
            <v:group id="_x0000_s3556" style="position:absolute;left:2360;top:1802;width:146;height:2" coordorigin="2360,1802" coordsize="146,2">
              <v:shape id="_x0000_s3557" style="position:absolute;left:2360;top:1802;width:146;height:2" coordorigin="2360,1802" coordsize="146,0" path="m2360,1802r146,e" filled="f" strokecolor="#868686" strokeweight=".17139mm">
                <v:path arrowok="t"/>
              </v:shape>
            </v:group>
            <v:group id="_x0000_s3554" style="position:absolute;left:3215;top:1209;width:1836;height:2" coordorigin="3215,1209" coordsize="1836,2">
              <v:shape id="_x0000_s3555" style="position:absolute;left:3215;top:1209;width:1836;height:2" coordorigin="3215,1209" coordsize="1836,0" path="m3215,1209r1835,e" filled="f" strokecolor="#868686" strokeweight=".17139mm">
                <v:path arrowok="t"/>
              </v:shape>
            </v:group>
            <v:group id="_x0000_s3552" style="position:absolute;left:685;top:1209;width:1822;height:2" coordorigin="685,1209" coordsize="1822,2">
              <v:shape id="_x0000_s3553" style="position:absolute;left:685;top:1209;width:1822;height:2" coordorigin="685,1209" coordsize="1822,0" path="m685,1209r1821,e" filled="f" strokecolor="#868686" strokeweight=".17156mm">
                <v:path arrowok="t"/>
              </v:shape>
            </v:group>
            <v:group id="_x0000_s3550" style="position:absolute;left:2506;top:1156;width:709;height:748" coordorigin="2506,1156" coordsize="709,748">
              <v:shape id="_x0000_s3551" style="position:absolute;left:2506;top:1156;width:709;height:748" coordorigin="2506,1156" coordsize="709,748" path="m2506,1156r709,l3215,1904r-709,l2506,1156xe" fillcolor="#903" stroked="f">
                <v:path arrowok="t"/>
              </v:shape>
            </v:group>
            <v:group id="_x0000_s3548" style="position:absolute;left:3351;top:1141;width:709;height:2" coordorigin="3351,1141" coordsize="709,2">
              <v:shape id="_x0000_s3549" style="position:absolute;left:3351;top:1141;width:709;height:2" coordorigin="3351,1141" coordsize="709,0" path="m3351,1141r709,e" filled="f" strokecolor="#903" strokeweight=".54928mm">
                <v:path arrowok="t"/>
              </v:shape>
            </v:group>
            <v:group id="_x0000_s3546" style="position:absolute;left:4205;top:1112;width:709;height:2" coordorigin="4205,1112" coordsize="709,2">
              <v:shape id="_x0000_s3547" style="position:absolute;left:4205;top:1112;width:709;height:2" coordorigin="4205,1112" coordsize="709,0" path="m4205,1112r709,e" filled="f" strokecolor="#903" strokeweight=".54911mm">
                <v:path arrowok="t"/>
              </v:shape>
            </v:group>
            <v:group id="_x0000_s3544" style="position:absolute;left:1661;top:1321;width:700;height:583" coordorigin="1661,1321" coordsize="700,583">
              <v:shape id="_x0000_s3545" style="position:absolute;left:1661;top:1321;width:700;height:583" coordorigin="1661,1321" coordsize="700,583" path="m1661,1321r699,l2360,1904r-699,l1661,1321xe" fillcolor="#9bd057" stroked="f">
                <v:path arrowok="t"/>
              </v:shape>
            </v:group>
            <v:group id="_x0000_s3542" style="position:absolute;left:5905;top:1389;width:700;height:2" coordorigin="5905,1389" coordsize="700,2">
              <v:shape id="_x0000_s3543" style="position:absolute;left:5905;top:1389;width:700;height:2" coordorigin="5905,1389" coordsize="700,0" path="m5905,1389r699,e" filled="f" strokecolor="#9bd057" strokeweight=".72047mm">
                <v:path arrowok="t"/>
              </v:shape>
            </v:group>
            <v:group id="_x0000_s3540" style="position:absolute;left:5759;top:1209;width:3473;height:2" coordorigin="5759,1209" coordsize="3473,2">
              <v:shape id="_x0000_s3541" style="position:absolute;left:5759;top:1209;width:3473;height:2" coordorigin="5759,1209" coordsize="3473,0" path="m5759,1209r3472,e" filled="f" strokecolor="#868686" strokeweight=".17139mm">
                <v:path arrowok="t"/>
              </v:shape>
            </v:group>
            <v:group id="_x0000_s3538" style="position:absolute;left:5050;top:1097;width:709;height:272" coordorigin="5050,1097" coordsize="709,272">
              <v:shape id="_x0000_s3539" style="position:absolute;left:5050;top:1097;width:709;height:272" coordorigin="5050,1097" coordsize="709,272" path="m5050,1097r709,l5759,1369r-709,l5050,1097xe" fillcolor="#9bd057" stroked="f">
                <v:path arrowok="t"/>
              </v:shape>
            </v:group>
            <v:group id="_x0000_s3536" style="position:absolute;left:685;top:617;width:8547;height:2" coordorigin="685,617" coordsize="8547,2">
              <v:shape id="_x0000_s3537" style="position:absolute;left:685;top:617;width:8547;height:2" coordorigin="685,617" coordsize="8547,0" path="m685,617r8546,e" filled="f" strokecolor="#868686" strokeweight=".17139mm">
                <v:path arrowok="t"/>
              </v:shape>
            </v:group>
            <v:group id="_x0000_s3534" style="position:absolute;left:743;top:617;width:2;height:4216" coordorigin="743,617" coordsize="2,4216">
              <v:shape id="_x0000_s3535" style="position:absolute;left:743;top:617;width:2;height:4216" coordorigin="743,617" coordsize="0,4216" path="m743,4832r,-4215e" filled="f" strokecolor="#868686" strokeweight=".17139mm">
                <v:path arrowok="t"/>
              </v:shape>
            </v:group>
            <v:group id="_x0000_s3532" style="position:absolute;left:685;top:4774;width:8547;height:2" coordorigin="685,4774" coordsize="8547,2">
              <v:shape id="_x0000_s3533" style="position:absolute;left:685;top:4774;width:8547;height:2" coordorigin="685,4774" coordsize="8547,0" path="m685,4774r8546,e" filled="f" strokecolor="#868686" strokeweight=".17139mm">
                <v:path arrowok="t"/>
              </v:shape>
            </v:group>
            <v:group id="_x0000_s3530" style="position:absolute;left:1588;top:4774;width:2;height:59" coordorigin="1588,4774" coordsize="2,59">
              <v:shape id="_x0000_s3531" style="position:absolute;left:1588;top:4774;width:2;height:59" coordorigin="1588,4774" coordsize="0,59" path="m1588,4774r,58e" filled="f" strokecolor="#868686" strokeweight=".17139mm">
                <v:path arrowok="t"/>
              </v:shape>
            </v:group>
            <v:group id="_x0000_s3528" style="position:absolute;left:2443;top:4774;width:2;height:59" coordorigin="2443,4774" coordsize="2,59">
              <v:shape id="_x0000_s3529" style="position:absolute;left:2443;top:4774;width:2;height:59" coordorigin="2443,4774" coordsize="0,59" path="m2443,4774r,58e" filled="f" strokecolor="#868686" strokeweight=".17139mm">
                <v:path arrowok="t"/>
              </v:shape>
            </v:group>
            <v:group id="_x0000_s3526" style="position:absolute;left:3288;top:4774;width:2;height:59" coordorigin="3288,4774" coordsize="2,59">
              <v:shape id="_x0000_s3527" style="position:absolute;left:3288;top:4774;width:2;height:59" coordorigin="3288,4774" coordsize="0,59" path="m3288,4774r,58e" filled="f" strokecolor="#868686" strokeweight=".17139mm">
                <v:path arrowok="t"/>
              </v:shape>
            </v:group>
            <v:group id="_x0000_s3524" style="position:absolute;left:4133;top:4774;width:2;height:59" coordorigin="4133,4774" coordsize="2,59">
              <v:shape id="_x0000_s3525" style="position:absolute;left:4133;top:4774;width:2;height:59" coordorigin="4133,4774" coordsize="0,59" path="m4133,4774r,58e" filled="f" strokecolor="#868686" strokeweight=".17139mm">
                <v:path arrowok="t"/>
              </v:shape>
            </v:group>
            <v:group id="_x0000_s3522" style="position:absolute;left:4987;top:4774;width:2;height:59" coordorigin="4987,4774" coordsize="2,59">
              <v:shape id="_x0000_s3523" style="position:absolute;left:4987;top:4774;width:2;height:59" coordorigin="4987,4774" coordsize="0,59" path="m4987,4774r,58e" filled="f" strokecolor="#868686" strokeweight=".17139mm">
                <v:path arrowok="t"/>
              </v:shape>
            </v:group>
            <v:group id="_x0000_s3520" style="position:absolute;left:5832;top:4774;width:2;height:59" coordorigin="5832,4774" coordsize="2,59">
              <v:shape id="_x0000_s3521" style="position:absolute;left:5832;top:4774;width:2;height:59" coordorigin="5832,4774" coordsize="0,59" path="m5832,4774r,58e" filled="f" strokecolor="#868686" strokeweight=".17139mm">
                <v:path arrowok="t"/>
              </v:shape>
            </v:group>
            <v:group id="_x0000_s3518" style="position:absolute;left:6677;top:4774;width:2;height:59" coordorigin="6677,4774" coordsize="2,59">
              <v:shape id="_x0000_s3519" style="position:absolute;left:6677;top:4774;width:2;height:59" coordorigin="6677,4774" coordsize="0,59" path="m6677,4774r,58e" filled="f" strokecolor="#868686" strokeweight=".17139mm">
                <v:path arrowok="t"/>
              </v:shape>
            </v:group>
            <v:group id="_x0000_s3516" style="position:absolute;left:7532;top:4774;width:2;height:59" coordorigin="7532,4774" coordsize="2,59">
              <v:shape id="_x0000_s3517" style="position:absolute;left:7532;top:4774;width:2;height:59" coordorigin="7532,4774" coordsize="0,59" path="m7532,4774r,58e" filled="f" strokecolor="#868686" strokeweight=".17139mm">
                <v:path arrowok="t"/>
              </v:shape>
            </v:group>
            <v:group id="_x0000_s3514" style="position:absolute;left:8377;top:4774;width:2;height:59" coordorigin="8377,4774" coordsize="2,59">
              <v:shape id="_x0000_s3515" style="position:absolute;left:8377;top:4774;width:2;height:59" coordorigin="8377,4774" coordsize="0,59" path="m8377,4774r,58e" filled="f" strokecolor="#868686" strokeweight=".17139mm">
                <v:path arrowok="t"/>
              </v:shape>
            </v:group>
            <v:group id="_x0000_s3512" style="position:absolute;left:9231;top:4774;width:2;height:59" coordorigin="9231,4774" coordsize="2,59">
              <v:shape id="_x0000_s3513" style="position:absolute;left:9231;top:4774;width:2;height:59" coordorigin="9231,4774" coordsize="0,59" path="m9231,4774r,58e" filled="f" strokecolor="#868686" strokeweight=".17139mm">
                <v:path arrowok="t"/>
              </v:shape>
            </v:group>
            <v:group id="_x0000_s3510" style="position:absolute;left:1161;top:1326;width:855;height:2" coordorigin="1161,1326" coordsize="855,2">
              <v:shape id="_x0000_s3511" style="position:absolute;left:1161;top:1326;width:855;height:2" coordorigin="1161,1326" coordsize="855,0" path="m1161,1326r854,e" filled="f" strokecolor="#7f7f7f" strokeweight=".17139mm">
                <v:path arrowok="t"/>
              </v:shape>
            </v:group>
            <v:group id="_x0000_s3508" style="position:absolute;left:2015;top:1908;width:845;height:2" coordorigin="2015,1908" coordsize="845,2">
              <v:shape id="_x0000_s3509" style="position:absolute;left:2015;top:1908;width:845;height:2" coordorigin="2015,1908" coordsize="845,0" path="m2015,1908r845,e" filled="f" strokecolor="#7f7f7f" strokeweight=".17139mm">
                <v:path arrowok="t"/>
              </v:shape>
            </v:group>
            <v:group id="_x0000_s3506" style="position:absolute;left:2860;top:1161;width:855;height:2" coordorigin="2860,1161" coordsize="855,2">
              <v:shape id="_x0000_s3507" style="position:absolute;left:2860;top:1161;width:855;height:2" coordorigin="2860,1161" coordsize="855,0" path="m2860,1161r855,e" filled="f" strokecolor="#7f7f7f" strokeweight=".17139mm">
                <v:path arrowok="t"/>
              </v:shape>
            </v:group>
            <v:group id="_x0000_s3504" style="position:absolute;left:3715;top:1131;width:845;height:2" coordorigin="3715,1131" coordsize="845,2">
              <v:shape id="_x0000_s3505" style="position:absolute;left:3715;top:1131;width:845;height:2" coordorigin="3715,1131" coordsize="845,0" path="m3715,1131r845,e" filled="f" strokecolor="#7f7f7f" strokeweight=".17139mm">
                <v:path arrowok="t"/>
              </v:shape>
            </v:group>
            <v:group id="_x0000_s3502" style="position:absolute;left:4560;top:1093;width:845;height:2" coordorigin="4560,1093" coordsize="845,2">
              <v:shape id="_x0000_s3503" style="position:absolute;left:4560;top:1093;width:845;height:2" coordorigin="4560,1093" coordsize="845,0" path="m4560,1093r845,e" filled="f" strokecolor="#7f7f7f" strokeweight=".17139mm">
                <v:path arrowok="t"/>
              </v:shape>
            </v:group>
            <v:group id="_x0000_s3500" style="position:absolute;left:5405;top:1374;width:855;height:2" coordorigin="5405,1374" coordsize="855,2">
              <v:shape id="_x0000_s3501" style="position:absolute;left:5405;top:1374;width:855;height:2" coordorigin="5405,1374" coordsize="855,0" path="m5405,1374r854,e" filled="f" strokecolor="#7f7f7f" strokeweight=".17139mm">
                <v:path arrowok="t"/>
              </v:shape>
            </v:group>
            <v:group id="_x0000_s3498" style="position:absolute;left:6259;top:1413;width:1700;height:2" coordorigin="6259,1413" coordsize="1700,2">
              <v:shape id="_x0000_s3499" style="position:absolute;left:6259;top:1413;width:1700;height:2" coordorigin="6259,1413" coordsize="1700,0" path="m6259,1413r1700,e" filled="f" strokecolor="#7f7f7f" strokeweight=".17139mm">
                <v:path arrowok="t"/>
              </v:shape>
            </v:group>
            <v:group id="_x0000_s3496" style="position:absolute;left:7959;top:1326;width:845;height:2" coordorigin="7959,1326" coordsize="845,2">
              <v:shape id="_x0000_s3497" style="position:absolute;left:7959;top:1326;width:845;height:2" coordorigin="7959,1326" coordsize="845,0" path="m7959,1326r845,e" filled="f" strokecolor="#7f7f7f" strokeweight=".17139mm">
                <v:path arrowok="t"/>
              </v:shape>
            </v:group>
            <v:group id="_x0000_s3494" style="position:absolute;left:5;top:5;width:9392;height:5731" coordorigin="5,5" coordsize="9392,5731">
              <v:shape id="_x0000_s3495" style="position:absolute;left:5;top:5;width:9392;height:5731" coordorigin="5,5" coordsize="9392,5731" path="m5,5r9392,l9397,5735,5,5735,5,5xe" filled="f" strokecolor="#868686" strokeweight=".17156mm">
                <v:path arrowok="t"/>
              </v:shape>
            </v:group>
            <v:group id="_x0000_s3467" style="position:absolute;left:7595;top:1365;width:709;height:2" coordorigin="7595,1365" coordsize="709,2">
              <v:shape id="_x0000_s3493" style="position:absolute;left:7595;top:1365;width:709;height:2" coordorigin="7595,1365" coordsize="709,0" path="m7595,1365r709,e" filled="f" strokecolor="#903" strokeweight="1.57708mm">
                <v:path arrowok="t"/>
              </v:shape>
              <v:shape id="_x0000_s3492" type="#_x0000_t202" style="position:absolute;left:192;top:232;width:385;height:472" filled="f" stroked="f">
                <v:textbox style="mso-next-textbox:#_x0000_s3492" inset="0,0,0,0">
                  <w:txbxContent>
                    <w:p w:rsidR="008A79D5" w:rsidRDefault="008A79D5">
                      <w:pPr>
                        <w:spacing w:line="172" w:lineRule="exact"/>
                        <w:ind w:firstLine="20"/>
                        <w:rPr>
                          <w:rFonts w:ascii="Calibri" w:eastAsia="Calibri" w:hAnsi="Calibri" w:cs="Calibri"/>
                          <w:sz w:val="16"/>
                          <w:szCs w:val="16"/>
                        </w:rPr>
                      </w:pPr>
                      <w:r>
                        <w:rPr>
                          <w:rFonts w:ascii="Calibri"/>
                          <w:b/>
                          <w:w w:val="105"/>
                          <w:sz w:val="16"/>
                        </w:rPr>
                        <w:t>$</w:t>
                      </w:r>
                      <w:r>
                        <w:rPr>
                          <w:rFonts w:ascii="Calibri"/>
                          <w:b/>
                          <w:spacing w:val="-11"/>
                          <w:w w:val="105"/>
                          <w:sz w:val="16"/>
                        </w:rPr>
                        <w:t xml:space="preserve"> </w:t>
                      </w:r>
                      <w:r>
                        <w:rPr>
                          <w:rFonts w:ascii="Calibri"/>
                          <w:b/>
                          <w:spacing w:val="-1"/>
                          <w:w w:val="105"/>
                          <w:sz w:val="16"/>
                        </w:rPr>
                        <w:t>pa</w:t>
                      </w:r>
                    </w:p>
                    <w:p w:rsidR="008A79D5" w:rsidRDefault="008A79D5">
                      <w:pPr>
                        <w:spacing w:before="110" w:line="189" w:lineRule="exact"/>
                        <w:rPr>
                          <w:rFonts w:ascii="Calibri" w:eastAsia="Calibri" w:hAnsi="Calibri" w:cs="Calibri"/>
                          <w:sz w:val="16"/>
                          <w:szCs w:val="16"/>
                        </w:rPr>
                      </w:pPr>
                      <w:r>
                        <w:rPr>
                          <w:rFonts w:ascii="Calibri"/>
                          <w:sz w:val="16"/>
                        </w:rPr>
                        <w:t>1,400</w:t>
                      </w:r>
                    </w:p>
                  </w:txbxContent>
                </v:textbox>
              </v:shape>
              <v:shape id="_x0000_s3491" type="#_x0000_t202" style="position:absolute;left:3578;top:902;width:259;height:166" filled="f" stroked="f">
                <v:textbox style="mso-next-textbox:#_x0000_s3491" inset="0,0,0,0">
                  <w:txbxContent>
                    <w:p w:rsidR="008A79D5" w:rsidRDefault="008A79D5">
                      <w:pPr>
                        <w:spacing w:line="165" w:lineRule="exact"/>
                        <w:rPr>
                          <w:rFonts w:ascii="Calibri" w:eastAsia="Calibri" w:hAnsi="Calibri" w:cs="Calibri"/>
                          <w:sz w:val="16"/>
                          <w:szCs w:val="16"/>
                        </w:rPr>
                      </w:pPr>
                      <w:r>
                        <w:rPr>
                          <w:rFonts w:ascii="Calibri"/>
                          <w:spacing w:val="1"/>
                          <w:sz w:val="16"/>
                        </w:rPr>
                        <w:t>+10</w:t>
                      </w:r>
                    </w:p>
                  </w:txbxContent>
                </v:textbox>
              </v:shape>
              <v:shape id="_x0000_s3490" type="#_x0000_t202" style="position:absolute;left:4427;top:853;width:259;height:166" filled="f" stroked="f">
                <v:textbox style="mso-next-textbox:#_x0000_s3490" inset="0,0,0,0">
                  <w:txbxContent>
                    <w:p w:rsidR="008A79D5" w:rsidRDefault="008A79D5">
                      <w:pPr>
                        <w:spacing w:line="165" w:lineRule="exact"/>
                        <w:rPr>
                          <w:rFonts w:ascii="Calibri" w:eastAsia="Calibri" w:hAnsi="Calibri" w:cs="Calibri"/>
                          <w:sz w:val="16"/>
                          <w:szCs w:val="16"/>
                        </w:rPr>
                      </w:pPr>
                      <w:r>
                        <w:rPr>
                          <w:rFonts w:ascii="Calibri"/>
                          <w:spacing w:val="1"/>
                          <w:sz w:val="16"/>
                        </w:rPr>
                        <w:t>+12</w:t>
                      </w:r>
                    </w:p>
                  </w:txbxContent>
                </v:textbox>
              </v:shape>
              <v:shape id="_x0000_s3489" type="#_x0000_t202" style="position:absolute;left:192;top:1133;width:385;height:166" filled="f" stroked="f">
                <v:textbox style="mso-next-textbox:#_x0000_s3489" inset="0,0,0,0">
                  <w:txbxContent>
                    <w:p w:rsidR="008A79D5" w:rsidRDefault="008A79D5">
                      <w:pPr>
                        <w:spacing w:line="165" w:lineRule="exact"/>
                        <w:rPr>
                          <w:rFonts w:ascii="Calibri" w:eastAsia="Calibri" w:hAnsi="Calibri" w:cs="Calibri"/>
                          <w:sz w:val="16"/>
                          <w:szCs w:val="16"/>
                        </w:rPr>
                      </w:pPr>
                      <w:r>
                        <w:rPr>
                          <w:rFonts w:ascii="Calibri"/>
                          <w:sz w:val="16"/>
                        </w:rPr>
                        <w:t>1,200</w:t>
                      </w:r>
                    </w:p>
                  </w:txbxContent>
                </v:textbox>
              </v:shape>
              <v:shape id="_x0000_s3488" type="#_x0000_t202" style="position:absolute;left:7821;top:1070;width:259;height:166" filled="f" stroked="f">
                <v:textbox style="mso-next-textbox:#_x0000_s3488" inset="0,0,0,0">
                  <w:txbxContent>
                    <w:p w:rsidR="008A79D5" w:rsidRDefault="008A79D5">
                      <w:pPr>
                        <w:spacing w:line="165" w:lineRule="exact"/>
                        <w:rPr>
                          <w:rFonts w:ascii="Calibri" w:eastAsia="Calibri" w:hAnsi="Calibri" w:cs="Calibri"/>
                          <w:sz w:val="16"/>
                          <w:szCs w:val="16"/>
                        </w:rPr>
                      </w:pPr>
                      <w:r>
                        <w:rPr>
                          <w:rFonts w:ascii="Calibri"/>
                          <w:spacing w:val="1"/>
                          <w:sz w:val="16"/>
                        </w:rPr>
                        <w:t>+29</w:t>
                      </w:r>
                    </w:p>
                  </w:txbxContent>
                </v:textbox>
              </v:shape>
              <v:shape id="_x0000_s3487" type="#_x0000_t202" style="position:absolute;left:2681;top:1256;width:346;height:166" filled="f" stroked="f">
                <v:textbox style="mso-next-textbox:#_x0000_s3487" inset="0,0,0,0">
                  <w:txbxContent>
                    <w:p w:rsidR="008A79D5" w:rsidRDefault="008A79D5">
                      <w:pPr>
                        <w:spacing w:line="165" w:lineRule="exact"/>
                        <w:rPr>
                          <w:rFonts w:ascii="Calibri" w:eastAsia="Calibri" w:hAnsi="Calibri" w:cs="Calibri"/>
                          <w:sz w:val="16"/>
                          <w:szCs w:val="16"/>
                        </w:rPr>
                      </w:pPr>
                      <w:r>
                        <w:rPr>
                          <w:rFonts w:ascii="Calibri"/>
                          <w:color w:val="FFFFFF"/>
                          <w:spacing w:val="1"/>
                          <w:sz w:val="16"/>
                        </w:rPr>
                        <w:t>+251</w:t>
                      </w:r>
                    </w:p>
                  </w:txbxContent>
                </v:textbox>
              </v:shape>
              <v:shape id="_x0000_s3486" type="#_x0000_t202" style="position:absolute;left:5343;top:1145;width:172;height:166" filled="f" stroked="f">
                <v:textbox style="mso-next-textbox:#_x0000_s3486" inset="0,0,0,0">
                  <w:txbxContent>
                    <w:p w:rsidR="008A79D5" w:rsidRDefault="008A79D5">
                      <w:pPr>
                        <w:spacing w:line="165" w:lineRule="exact"/>
                        <w:rPr>
                          <w:rFonts w:ascii="Calibri" w:eastAsia="Calibri" w:hAnsi="Calibri" w:cs="Calibri"/>
                          <w:sz w:val="16"/>
                          <w:szCs w:val="16"/>
                        </w:rPr>
                      </w:pPr>
                      <w:r>
                        <w:rPr>
                          <w:rFonts w:ascii="Calibri"/>
                          <w:color w:val="FFFFFF"/>
                          <w:sz w:val="16"/>
                        </w:rPr>
                        <w:t>93</w:t>
                      </w:r>
                    </w:p>
                  </w:txbxContent>
                </v:textbox>
              </v:shape>
              <v:shape id="_x0000_s3485" type="#_x0000_t202" style="position:absolute;left:964;top:1421;width:385;height:166" filled="f" stroked="f">
                <v:textbox style="mso-next-textbox:#_x0000_s3485" inset="0,0,0,0">
                  <w:txbxContent>
                    <w:p w:rsidR="008A79D5" w:rsidRDefault="008A79D5">
                      <w:pPr>
                        <w:spacing w:line="165" w:lineRule="exact"/>
                        <w:rPr>
                          <w:rFonts w:ascii="Calibri" w:eastAsia="Calibri" w:hAnsi="Calibri" w:cs="Calibri"/>
                          <w:sz w:val="16"/>
                          <w:szCs w:val="16"/>
                        </w:rPr>
                      </w:pPr>
                      <w:r>
                        <w:rPr>
                          <w:rFonts w:ascii="Calibri"/>
                          <w:color w:val="FFFFFF"/>
                          <w:sz w:val="16"/>
                        </w:rPr>
                        <w:t>1,160</w:t>
                      </w:r>
                    </w:p>
                  </w:txbxContent>
                </v:textbox>
              </v:shape>
              <v:shape id="_x0000_s3484" type="#_x0000_t202" style="position:absolute;left:6143;top:1486;width:220;height:166" filled="f" stroked="f">
                <v:textbox style="mso-next-textbox:#_x0000_s3484" inset="0,0,0,0">
                  <w:txbxContent>
                    <w:p w:rsidR="008A79D5" w:rsidRDefault="008A79D5">
                      <w:pPr>
                        <w:spacing w:line="165" w:lineRule="exact"/>
                        <w:rPr>
                          <w:rFonts w:ascii="Calibri" w:eastAsia="Calibri" w:hAnsi="Calibri" w:cs="Calibri"/>
                          <w:sz w:val="16"/>
                          <w:szCs w:val="16"/>
                        </w:rPr>
                      </w:pPr>
                      <w:r>
                        <w:rPr>
                          <w:rFonts w:ascii="Calibri"/>
                          <w:sz w:val="16"/>
                        </w:rPr>
                        <w:t>-14</w:t>
                      </w:r>
                    </w:p>
                  </w:txbxContent>
                </v:textbox>
              </v:shape>
              <v:shape id="_x0000_s3483" type="#_x0000_t202" style="position:absolute;left:6905;top:1509;width:385;height:166" filled="f" stroked="f">
                <v:textbox style="mso-next-textbox:#_x0000_s3483" inset="0,0,0,0">
                  <w:txbxContent>
                    <w:p w:rsidR="008A79D5" w:rsidRDefault="008A79D5">
                      <w:pPr>
                        <w:spacing w:line="165" w:lineRule="exact"/>
                        <w:rPr>
                          <w:rFonts w:ascii="Calibri" w:eastAsia="Calibri" w:hAnsi="Calibri" w:cs="Calibri"/>
                          <w:sz w:val="16"/>
                          <w:szCs w:val="16"/>
                        </w:rPr>
                      </w:pPr>
                      <w:r>
                        <w:rPr>
                          <w:rFonts w:ascii="Calibri"/>
                          <w:color w:val="FFFFFF"/>
                          <w:sz w:val="16"/>
                        </w:rPr>
                        <w:t>1,131</w:t>
                      </w:r>
                    </w:p>
                  </w:txbxContent>
                </v:textbox>
              </v:shape>
              <v:shape id="_x0000_s3482" type="#_x0000_t202" style="position:absolute;left:8602;top:1421;width:385;height:166" filled="f" stroked="f">
                <v:textbox style="mso-next-textbox:#_x0000_s3482" inset="0,0,0,0">
                  <w:txbxContent>
                    <w:p w:rsidR="008A79D5" w:rsidRDefault="008A79D5">
                      <w:pPr>
                        <w:spacing w:line="165" w:lineRule="exact"/>
                        <w:rPr>
                          <w:rFonts w:ascii="Calibri" w:eastAsia="Calibri" w:hAnsi="Calibri" w:cs="Calibri"/>
                          <w:sz w:val="16"/>
                          <w:szCs w:val="16"/>
                        </w:rPr>
                      </w:pPr>
                      <w:r>
                        <w:rPr>
                          <w:rFonts w:ascii="Calibri"/>
                          <w:color w:val="FFFFFF"/>
                          <w:sz w:val="16"/>
                        </w:rPr>
                        <w:t>1,160</w:t>
                      </w:r>
                    </w:p>
                  </w:txbxContent>
                </v:textbox>
              </v:shape>
              <v:shape id="_x0000_s3481" type="#_x0000_t202" style="position:absolute;left:192;top:1727;width:385;height:166" filled="f" stroked="f">
                <v:textbox style="mso-next-textbox:#_x0000_s3481" inset="0,0,0,0">
                  <w:txbxContent>
                    <w:p w:rsidR="008A79D5" w:rsidRDefault="008A79D5">
                      <w:pPr>
                        <w:spacing w:line="165" w:lineRule="exact"/>
                        <w:rPr>
                          <w:rFonts w:ascii="Calibri" w:eastAsia="Calibri" w:hAnsi="Calibri" w:cs="Calibri"/>
                          <w:sz w:val="16"/>
                          <w:szCs w:val="16"/>
                        </w:rPr>
                      </w:pPr>
                      <w:r>
                        <w:rPr>
                          <w:rFonts w:ascii="Calibri"/>
                          <w:sz w:val="16"/>
                        </w:rPr>
                        <w:t>1,000</w:t>
                      </w:r>
                    </w:p>
                  </w:txbxContent>
                </v:textbox>
              </v:shape>
              <v:shape id="_x0000_s3480" type="#_x0000_t202" style="position:absolute;left:1900;top:1681;width:259;height:166" filled="f" stroked="f">
                <v:textbox style="mso-next-textbox:#_x0000_s3480" inset="0,0,0,0">
                  <w:txbxContent>
                    <w:p w:rsidR="008A79D5" w:rsidRDefault="008A79D5">
                      <w:pPr>
                        <w:spacing w:line="165" w:lineRule="exact"/>
                        <w:rPr>
                          <w:rFonts w:ascii="Calibri" w:eastAsia="Calibri" w:hAnsi="Calibri" w:cs="Calibri"/>
                          <w:sz w:val="16"/>
                          <w:szCs w:val="16"/>
                        </w:rPr>
                      </w:pPr>
                      <w:r>
                        <w:rPr>
                          <w:rFonts w:ascii="Calibri"/>
                          <w:color w:val="FFFFFF"/>
                          <w:spacing w:val="2"/>
                          <w:sz w:val="16"/>
                        </w:rPr>
                        <w:t>19</w:t>
                      </w:r>
                      <w:r>
                        <w:rPr>
                          <w:rFonts w:ascii="Calibri"/>
                          <w:color w:val="FFFFFF"/>
                          <w:sz w:val="16"/>
                        </w:rPr>
                        <w:t>6</w:t>
                      </w:r>
                    </w:p>
                  </w:txbxContent>
                </v:textbox>
              </v:shape>
              <v:shape id="_x0000_s3479" type="#_x0000_t202" style="position:absolute;left:323;top:2321;width:259;height:166" filled="f" stroked="f">
                <v:textbox style="mso-next-textbox:#_x0000_s3479" inset="0,0,0,0">
                  <w:txbxContent>
                    <w:p w:rsidR="008A79D5" w:rsidRDefault="008A79D5">
                      <w:pPr>
                        <w:spacing w:line="165" w:lineRule="exact"/>
                        <w:rPr>
                          <w:rFonts w:ascii="Calibri" w:eastAsia="Calibri" w:hAnsi="Calibri" w:cs="Calibri"/>
                          <w:sz w:val="16"/>
                          <w:szCs w:val="16"/>
                        </w:rPr>
                      </w:pPr>
                      <w:r>
                        <w:rPr>
                          <w:rFonts w:ascii="Calibri"/>
                          <w:spacing w:val="2"/>
                          <w:sz w:val="16"/>
                        </w:rPr>
                        <w:t>80</w:t>
                      </w:r>
                      <w:r>
                        <w:rPr>
                          <w:rFonts w:ascii="Calibri"/>
                          <w:sz w:val="16"/>
                        </w:rPr>
                        <w:t>0</w:t>
                      </w:r>
                    </w:p>
                  </w:txbxContent>
                </v:textbox>
              </v:shape>
              <v:shape id="_x0000_s3478" type="#_x0000_t202" style="position:absolute;left:323;top:2916;width:259;height:166" filled="f" stroked="f">
                <v:textbox style="mso-next-textbox:#_x0000_s3478" inset="0,0,0,0">
                  <w:txbxContent>
                    <w:p w:rsidR="008A79D5" w:rsidRDefault="008A79D5">
                      <w:pPr>
                        <w:spacing w:line="165" w:lineRule="exact"/>
                        <w:rPr>
                          <w:rFonts w:ascii="Calibri" w:eastAsia="Calibri" w:hAnsi="Calibri" w:cs="Calibri"/>
                          <w:sz w:val="16"/>
                          <w:szCs w:val="16"/>
                        </w:rPr>
                      </w:pPr>
                      <w:r>
                        <w:rPr>
                          <w:rFonts w:ascii="Calibri"/>
                          <w:spacing w:val="2"/>
                          <w:sz w:val="16"/>
                        </w:rPr>
                        <w:t>60</w:t>
                      </w:r>
                      <w:r>
                        <w:rPr>
                          <w:rFonts w:ascii="Calibri"/>
                          <w:sz w:val="16"/>
                        </w:rPr>
                        <w:t>0</w:t>
                      </w:r>
                    </w:p>
                  </w:txbxContent>
                </v:textbox>
              </v:shape>
              <v:shape id="_x0000_s3477" type="#_x0000_t202" style="position:absolute;left:323;top:3510;width:259;height:166" filled="f" stroked="f">
                <v:textbox style="mso-next-textbox:#_x0000_s3477" inset="0,0,0,0">
                  <w:txbxContent>
                    <w:p w:rsidR="008A79D5" w:rsidRDefault="008A79D5">
                      <w:pPr>
                        <w:spacing w:line="165" w:lineRule="exact"/>
                        <w:rPr>
                          <w:rFonts w:ascii="Calibri" w:eastAsia="Calibri" w:hAnsi="Calibri" w:cs="Calibri"/>
                          <w:sz w:val="16"/>
                          <w:szCs w:val="16"/>
                        </w:rPr>
                      </w:pPr>
                      <w:r>
                        <w:rPr>
                          <w:rFonts w:ascii="Calibri"/>
                          <w:spacing w:val="2"/>
                          <w:sz w:val="16"/>
                        </w:rPr>
                        <w:t>40</w:t>
                      </w:r>
                      <w:r>
                        <w:rPr>
                          <w:rFonts w:ascii="Calibri"/>
                          <w:sz w:val="16"/>
                        </w:rPr>
                        <w:t>0</w:t>
                      </w:r>
                    </w:p>
                  </w:txbxContent>
                </v:textbox>
              </v:shape>
              <v:shape id="_x0000_s3476" type="#_x0000_t202" style="position:absolute;left:323;top:4105;width:259;height:166" filled="f" stroked="f">
                <v:textbox style="mso-next-textbox:#_x0000_s3476" inset="0,0,0,0">
                  <w:txbxContent>
                    <w:p w:rsidR="008A79D5" w:rsidRDefault="008A79D5">
                      <w:pPr>
                        <w:spacing w:line="165" w:lineRule="exact"/>
                        <w:rPr>
                          <w:rFonts w:ascii="Calibri" w:eastAsia="Calibri" w:hAnsi="Calibri" w:cs="Calibri"/>
                          <w:sz w:val="16"/>
                          <w:szCs w:val="16"/>
                        </w:rPr>
                      </w:pPr>
                      <w:r>
                        <w:rPr>
                          <w:rFonts w:ascii="Calibri"/>
                          <w:spacing w:val="2"/>
                          <w:sz w:val="16"/>
                        </w:rPr>
                        <w:t>20</w:t>
                      </w:r>
                      <w:r>
                        <w:rPr>
                          <w:rFonts w:ascii="Calibri"/>
                          <w:sz w:val="16"/>
                        </w:rPr>
                        <w:t>0</w:t>
                      </w:r>
                    </w:p>
                  </w:txbxContent>
                </v:textbox>
              </v:shape>
              <v:shape id="_x0000_s3475" type="#_x0000_t202" style="position:absolute;left:496;top:4699;width:84;height:166" filled="f" stroked="f">
                <v:textbox style="mso-next-textbox:#_x0000_s3475" inset="0,0,0,0">
                  <w:txbxContent>
                    <w:p w:rsidR="008A79D5" w:rsidRDefault="008A79D5">
                      <w:pPr>
                        <w:spacing w:line="165" w:lineRule="exact"/>
                        <w:rPr>
                          <w:rFonts w:ascii="Calibri" w:eastAsia="Calibri" w:hAnsi="Calibri" w:cs="Calibri"/>
                          <w:sz w:val="16"/>
                          <w:szCs w:val="16"/>
                        </w:rPr>
                      </w:pPr>
                      <w:r>
                        <w:rPr>
                          <w:rFonts w:ascii="Calibri"/>
                          <w:sz w:val="16"/>
                        </w:rPr>
                        <w:t>0</w:t>
                      </w:r>
                    </w:p>
                  </w:txbxContent>
                </v:textbox>
              </v:shape>
              <v:shape id="_x0000_s3474" type="#_x0000_t202" style="position:absolute;left:780;top:4918;width:767;height:370" filled="f" stroked="f">
                <v:textbox style="mso-next-textbox:#_x0000_s3474" inset="0,0,0,0">
                  <w:txbxContent>
                    <w:p w:rsidR="008A79D5" w:rsidRDefault="008A79D5">
                      <w:pPr>
                        <w:spacing w:line="172" w:lineRule="exact"/>
                        <w:ind w:left="97" w:hanging="98"/>
                        <w:rPr>
                          <w:rFonts w:ascii="Calibri" w:eastAsia="Calibri" w:hAnsi="Calibri" w:cs="Calibri"/>
                          <w:sz w:val="16"/>
                          <w:szCs w:val="16"/>
                        </w:rPr>
                      </w:pPr>
                      <w:r>
                        <w:rPr>
                          <w:rFonts w:ascii="Calibri"/>
                          <w:spacing w:val="-1"/>
                          <w:w w:val="105"/>
                          <w:sz w:val="16"/>
                        </w:rPr>
                        <w:t>ICRC's</w:t>
                      </w:r>
                      <w:r>
                        <w:rPr>
                          <w:rFonts w:ascii="Calibri"/>
                          <w:spacing w:val="-10"/>
                          <w:w w:val="105"/>
                          <w:sz w:val="16"/>
                        </w:rPr>
                        <w:t xml:space="preserve"> </w:t>
                      </w:r>
                      <w:r>
                        <w:rPr>
                          <w:rFonts w:ascii="Calibri"/>
                          <w:spacing w:val="-1"/>
                          <w:w w:val="105"/>
                          <w:sz w:val="16"/>
                        </w:rPr>
                        <w:t>Final</w:t>
                      </w:r>
                    </w:p>
                    <w:p w:rsidR="008A79D5" w:rsidRDefault="008A79D5">
                      <w:pPr>
                        <w:spacing w:before="8" w:line="189" w:lineRule="exact"/>
                        <w:ind w:left="97"/>
                        <w:rPr>
                          <w:rFonts w:ascii="Calibri" w:eastAsia="Calibri" w:hAnsi="Calibri" w:cs="Calibri"/>
                          <w:sz w:val="16"/>
                          <w:szCs w:val="16"/>
                        </w:rPr>
                      </w:pPr>
                      <w:r>
                        <w:rPr>
                          <w:rFonts w:ascii="Calibri"/>
                          <w:spacing w:val="-3"/>
                          <w:w w:val="105"/>
                          <w:sz w:val="16"/>
                        </w:rPr>
                        <w:t>Decision</w:t>
                      </w:r>
                    </w:p>
                  </w:txbxContent>
                </v:textbox>
              </v:shape>
              <v:shape id="_x0000_s3473" type="#_x0000_t202" style="position:absolute;left:1658;top:4918;width:1557;height:166" filled="f" stroked="f">
                <v:textbox style="mso-next-textbox:#_x0000_s3473" inset="0,0,0,0">
                  <w:txbxContent>
                    <w:p w:rsidR="008A79D5" w:rsidRDefault="008A79D5">
                      <w:pPr>
                        <w:spacing w:line="165" w:lineRule="exact"/>
                        <w:rPr>
                          <w:rFonts w:ascii="Calibri" w:eastAsia="Calibri" w:hAnsi="Calibri" w:cs="Calibri"/>
                          <w:sz w:val="16"/>
                          <w:szCs w:val="16"/>
                        </w:rPr>
                      </w:pPr>
                      <w:r>
                        <w:rPr>
                          <w:rFonts w:ascii="Calibri"/>
                          <w:spacing w:val="-3"/>
                          <w:w w:val="105"/>
                          <w:sz w:val="16"/>
                        </w:rPr>
                        <w:t>Indexation</w:t>
                      </w:r>
                      <w:r>
                        <w:rPr>
                          <w:rFonts w:ascii="Calibri"/>
                          <w:spacing w:val="34"/>
                          <w:w w:val="105"/>
                          <w:sz w:val="16"/>
                        </w:rPr>
                        <w:t xml:space="preserve"> </w:t>
                      </w:r>
                      <w:r>
                        <w:rPr>
                          <w:rFonts w:ascii="Calibri"/>
                          <w:spacing w:val="-1"/>
                          <w:w w:val="105"/>
                          <w:sz w:val="16"/>
                        </w:rPr>
                        <w:t>Benchmark</w:t>
                      </w:r>
                    </w:p>
                  </w:txbxContent>
                </v:textbox>
              </v:shape>
              <v:shape id="_x0000_s3472" type="#_x0000_t202" style="position:absolute;left:1794;top:5122;width:440;height:166" filled="f" stroked="f">
                <v:textbox style="mso-next-textbox:#_x0000_s3472" inset="0,0,0,0">
                  <w:txbxContent>
                    <w:p w:rsidR="008A79D5" w:rsidRDefault="008A79D5">
                      <w:pPr>
                        <w:spacing w:line="165" w:lineRule="exact"/>
                        <w:rPr>
                          <w:rFonts w:ascii="Calibri" w:eastAsia="Calibri" w:hAnsi="Calibri" w:cs="Calibri"/>
                          <w:sz w:val="16"/>
                          <w:szCs w:val="16"/>
                        </w:rPr>
                      </w:pPr>
                      <w:r>
                        <w:rPr>
                          <w:rFonts w:ascii="Calibri"/>
                          <w:w w:val="105"/>
                          <w:sz w:val="16"/>
                        </w:rPr>
                        <w:t>of</w:t>
                      </w:r>
                      <w:r>
                        <w:rPr>
                          <w:rFonts w:ascii="Calibri"/>
                          <w:spacing w:val="-19"/>
                          <w:w w:val="105"/>
                          <w:sz w:val="16"/>
                        </w:rPr>
                        <w:t xml:space="preserve"> </w:t>
                      </w:r>
                      <w:r>
                        <w:rPr>
                          <w:rFonts w:ascii="Calibri"/>
                          <w:spacing w:val="-1"/>
                          <w:w w:val="105"/>
                          <w:sz w:val="16"/>
                        </w:rPr>
                        <w:t>RAB</w:t>
                      </w:r>
                    </w:p>
                  </w:txbxContent>
                </v:textbox>
              </v:shape>
              <v:shape id="_x0000_s3471" type="#_x0000_t202" style="position:absolute;left:2604;top:5122;width:478;height:370" filled="f" stroked="f">
                <v:textbox style="mso-next-textbox:#_x0000_s3471" inset="0,0,0,0">
                  <w:txbxContent>
                    <w:p w:rsidR="008A79D5" w:rsidRDefault="008A79D5">
                      <w:pPr>
                        <w:spacing w:line="172" w:lineRule="exact"/>
                        <w:ind w:left="9" w:hanging="10"/>
                        <w:rPr>
                          <w:rFonts w:ascii="Calibri" w:eastAsia="Calibri" w:hAnsi="Calibri" w:cs="Calibri"/>
                          <w:sz w:val="16"/>
                          <w:szCs w:val="16"/>
                        </w:rPr>
                      </w:pPr>
                      <w:r>
                        <w:rPr>
                          <w:rFonts w:ascii="Calibri"/>
                          <w:spacing w:val="-1"/>
                          <w:w w:val="105"/>
                          <w:sz w:val="16"/>
                        </w:rPr>
                        <w:t>Rate</w:t>
                      </w:r>
                      <w:r>
                        <w:rPr>
                          <w:rFonts w:ascii="Calibri"/>
                          <w:spacing w:val="-13"/>
                          <w:w w:val="105"/>
                          <w:sz w:val="16"/>
                        </w:rPr>
                        <w:t xml:space="preserve"> </w:t>
                      </w:r>
                      <w:r>
                        <w:rPr>
                          <w:rFonts w:ascii="Calibri"/>
                          <w:w w:val="105"/>
                          <w:sz w:val="16"/>
                        </w:rPr>
                        <w:t>of</w:t>
                      </w:r>
                    </w:p>
                    <w:p w:rsidR="008A79D5" w:rsidRDefault="008A79D5">
                      <w:pPr>
                        <w:spacing w:before="8" w:line="189" w:lineRule="exact"/>
                        <w:ind w:left="9"/>
                        <w:rPr>
                          <w:rFonts w:ascii="Calibri" w:eastAsia="Calibri" w:hAnsi="Calibri" w:cs="Calibri"/>
                          <w:sz w:val="16"/>
                          <w:szCs w:val="16"/>
                        </w:rPr>
                      </w:pPr>
                      <w:r>
                        <w:rPr>
                          <w:rFonts w:ascii="Calibri"/>
                          <w:spacing w:val="-1"/>
                          <w:w w:val="105"/>
                          <w:sz w:val="16"/>
                        </w:rPr>
                        <w:t>Return</w:t>
                      </w:r>
                    </w:p>
                  </w:txbxContent>
                </v:textbox>
              </v:shape>
              <v:shape id="_x0000_s3470" type="#_x0000_t202" style="position:absolute;left:3394;top:4918;width:4022;height:574" filled="f" stroked="f">
                <v:textbox style="mso-next-textbox:#_x0000_s3470" inset="0,0,0,0">
                  <w:txbxContent>
                    <w:p w:rsidR="008A79D5" w:rsidRDefault="008A79D5">
                      <w:pPr>
                        <w:tabs>
                          <w:tab w:val="left" w:pos="800"/>
                          <w:tab w:val="left" w:pos="1726"/>
                          <w:tab w:val="left" w:pos="2662"/>
                          <w:tab w:val="left" w:pos="3472"/>
                        </w:tabs>
                        <w:spacing w:line="172" w:lineRule="exact"/>
                        <w:ind w:firstLine="68"/>
                        <w:rPr>
                          <w:rFonts w:ascii="Calibri" w:eastAsia="Calibri" w:hAnsi="Calibri" w:cs="Calibri"/>
                          <w:sz w:val="16"/>
                          <w:szCs w:val="16"/>
                        </w:rPr>
                      </w:pPr>
                      <w:r>
                        <w:rPr>
                          <w:rFonts w:ascii="Calibri"/>
                          <w:spacing w:val="-3"/>
                          <w:w w:val="105"/>
                          <w:sz w:val="16"/>
                        </w:rPr>
                        <w:t>Net</w:t>
                      </w:r>
                      <w:r>
                        <w:rPr>
                          <w:rFonts w:ascii="Calibri"/>
                          <w:spacing w:val="-10"/>
                          <w:w w:val="105"/>
                          <w:sz w:val="16"/>
                        </w:rPr>
                        <w:t xml:space="preserve"> </w:t>
                      </w:r>
                      <w:r>
                        <w:rPr>
                          <w:rFonts w:ascii="Calibri"/>
                          <w:spacing w:val="-6"/>
                          <w:w w:val="105"/>
                          <w:sz w:val="16"/>
                        </w:rPr>
                        <w:t>Tax</w:t>
                      </w:r>
                      <w:r>
                        <w:rPr>
                          <w:rFonts w:ascii="Calibri"/>
                          <w:spacing w:val="-6"/>
                          <w:w w:val="105"/>
                          <w:sz w:val="16"/>
                        </w:rPr>
                        <w:tab/>
                      </w:r>
                      <w:r>
                        <w:rPr>
                          <w:rFonts w:ascii="Calibri"/>
                          <w:w w:val="105"/>
                          <w:sz w:val="16"/>
                        </w:rPr>
                        <w:t>Asset</w:t>
                      </w:r>
                      <w:r>
                        <w:rPr>
                          <w:rFonts w:ascii="Calibri"/>
                          <w:spacing w:val="-21"/>
                          <w:w w:val="105"/>
                          <w:sz w:val="16"/>
                        </w:rPr>
                        <w:t xml:space="preserve"> </w:t>
                      </w:r>
                      <w:r>
                        <w:rPr>
                          <w:rFonts w:ascii="Calibri"/>
                          <w:spacing w:val="-1"/>
                          <w:w w:val="105"/>
                          <w:sz w:val="16"/>
                        </w:rPr>
                        <w:t>Lives</w:t>
                      </w:r>
                      <w:r>
                        <w:rPr>
                          <w:rFonts w:ascii="Calibri"/>
                          <w:spacing w:val="-1"/>
                          <w:w w:val="105"/>
                          <w:sz w:val="16"/>
                        </w:rPr>
                        <w:tab/>
                      </w:r>
                      <w:r>
                        <w:rPr>
                          <w:rFonts w:ascii="Calibri"/>
                          <w:spacing w:val="-2"/>
                          <w:sz w:val="16"/>
                        </w:rPr>
                        <w:t>Demand</w:t>
                      </w:r>
                      <w:r>
                        <w:rPr>
                          <w:rFonts w:ascii="Calibri"/>
                          <w:spacing w:val="-2"/>
                          <w:sz w:val="16"/>
                        </w:rPr>
                        <w:tab/>
                        <w:t>Other</w:t>
                      </w:r>
                      <w:r>
                        <w:rPr>
                          <w:rFonts w:ascii="Calibri"/>
                          <w:spacing w:val="-2"/>
                          <w:sz w:val="16"/>
                        </w:rPr>
                        <w:tab/>
                      </w:r>
                      <w:r>
                        <w:rPr>
                          <w:rFonts w:ascii="Calibri"/>
                          <w:spacing w:val="-1"/>
                          <w:w w:val="105"/>
                          <w:sz w:val="16"/>
                        </w:rPr>
                        <w:t>Panel's</w:t>
                      </w:r>
                    </w:p>
                    <w:p w:rsidR="008A79D5" w:rsidRDefault="008A79D5">
                      <w:pPr>
                        <w:tabs>
                          <w:tab w:val="left" w:pos="1726"/>
                        </w:tabs>
                        <w:spacing w:before="8" w:line="250" w:lineRule="auto"/>
                        <w:ind w:left="3608" w:hanging="3609"/>
                        <w:rPr>
                          <w:rFonts w:ascii="Calibri" w:eastAsia="Calibri" w:hAnsi="Calibri" w:cs="Calibri"/>
                          <w:sz w:val="16"/>
                          <w:szCs w:val="16"/>
                        </w:rPr>
                      </w:pPr>
                      <w:r>
                        <w:rPr>
                          <w:rFonts w:ascii="Calibri"/>
                          <w:spacing w:val="-1"/>
                          <w:sz w:val="16"/>
                        </w:rPr>
                        <w:t>Liabilities</w:t>
                      </w:r>
                      <w:r>
                        <w:rPr>
                          <w:rFonts w:ascii="Calibri"/>
                          <w:spacing w:val="-1"/>
                          <w:sz w:val="16"/>
                        </w:rPr>
                        <w:tab/>
                      </w:r>
                      <w:r>
                        <w:rPr>
                          <w:rFonts w:ascii="Calibri"/>
                          <w:spacing w:val="-1"/>
                          <w:w w:val="105"/>
                          <w:sz w:val="16"/>
                        </w:rPr>
                        <w:t>Forecast</w:t>
                      </w:r>
                      <w:r>
                        <w:rPr>
                          <w:rFonts w:ascii="Calibri"/>
                          <w:w w:val="105"/>
                          <w:sz w:val="16"/>
                        </w:rPr>
                        <w:t xml:space="preserve">   </w:t>
                      </w:r>
                      <w:r>
                        <w:rPr>
                          <w:rFonts w:ascii="Calibri"/>
                          <w:spacing w:val="28"/>
                          <w:w w:val="105"/>
                          <w:sz w:val="16"/>
                        </w:rPr>
                        <w:t xml:space="preserve"> </w:t>
                      </w:r>
                      <w:r>
                        <w:rPr>
                          <w:rFonts w:ascii="Calibri"/>
                          <w:spacing w:val="-4"/>
                          <w:w w:val="105"/>
                          <w:sz w:val="16"/>
                        </w:rPr>
                        <w:t>Differences</w:t>
                      </w:r>
                      <w:r>
                        <w:rPr>
                          <w:rFonts w:ascii="Calibri"/>
                          <w:w w:val="105"/>
                          <w:sz w:val="16"/>
                        </w:rPr>
                        <w:t xml:space="preserve">  </w:t>
                      </w:r>
                      <w:r>
                        <w:rPr>
                          <w:rFonts w:ascii="Calibri"/>
                          <w:spacing w:val="29"/>
                          <w:w w:val="105"/>
                          <w:sz w:val="16"/>
                        </w:rPr>
                        <w:t xml:space="preserve"> </w:t>
                      </w:r>
                      <w:r>
                        <w:rPr>
                          <w:rFonts w:ascii="Calibri"/>
                          <w:spacing w:val="-3"/>
                          <w:w w:val="105"/>
                          <w:sz w:val="16"/>
                        </w:rPr>
                        <w:t>Modelled</w:t>
                      </w:r>
                      <w:r>
                        <w:rPr>
                          <w:rFonts w:ascii="Calibri"/>
                          <w:spacing w:val="34"/>
                          <w:w w:val="103"/>
                          <w:sz w:val="16"/>
                        </w:rPr>
                        <w:t xml:space="preserve"> </w:t>
                      </w:r>
                      <w:r>
                        <w:rPr>
                          <w:rFonts w:ascii="Calibri"/>
                          <w:spacing w:val="-1"/>
                          <w:w w:val="105"/>
                          <w:sz w:val="16"/>
                        </w:rPr>
                        <w:t>Bill</w:t>
                      </w:r>
                    </w:p>
                  </w:txbxContent>
                </v:textbox>
              </v:shape>
              <v:shape id="_x0000_s3469" type="#_x0000_t202" style="position:absolute;left:7569;top:4918;width:767;height:777" filled="f" stroked="f">
                <v:textbox style="mso-next-textbox:#_x0000_s3469" inset="0,0,0,0">
                  <w:txbxContent>
                    <w:p w:rsidR="008A79D5" w:rsidRDefault="008A79D5">
                      <w:pPr>
                        <w:spacing w:line="172" w:lineRule="exact"/>
                        <w:ind w:left="-8"/>
                        <w:jc w:val="center"/>
                        <w:rPr>
                          <w:rFonts w:ascii="Calibri" w:eastAsia="Calibri" w:hAnsi="Calibri" w:cs="Calibri"/>
                          <w:sz w:val="16"/>
                          <w:szCs w:val="16"/>
                        </w:rPr>
                      </w:pPr>
                      <w:r>
                        <w:rPr>
                          <w:rFonts w:ascii="Calibri"/>
                          <w:spacing w:val="-1"/>
                          <w:w w:val="105"/>
                          <w:sz w:val="16"/>
                        </w:rPr>
                        <w:t>Over-</w:t>
                      </w:r>
                    </w:p>
                    <w:p w:rsidR="008A79D5" w:rsidRDefault="008A79D5">
                      <w:pPr>
                        <w:spacing w:before="8" w:line="250" w:lineRule="auto"/>
                        <w:jc w:val="center"/>
                        <w:rPr>
                          <w:rFonts w:ascii="Calibri" w:eastAsia="Calibri" w:hAnsi="Calibri" w:cs="Calibri"/>
                          <w:sz w:val="16"/>
                          <w:szCs w:val="16"/>
                        </w:rPr>
                      </w:pPr>
                      <w:r>
                        <w:rPr>
                          <w:rFonts w:ascii="Calibri"/>
                          <w:spacing w:val="-3"/>
                          <w:w w:val="105"/>
                          <w:sz w:val="16"/>
                        </w:rPr>
                        <w:t xml:space="preserve">recovery </w:t>
                      </w:r>
                      <w:r>
                        <w:rPr>
                          <w:rFonts w:ascii="Calibri"/>
                          <w:spacing w:val="1"/>
                          <w:w w:val="105"/>
                          <w:sz w:val="16"/>
                        </w:rPr>
                        <w:t>to</w:t>
                      </w:r>
                      <w:r>
                        <w:rPr>
                          <w:rFonts w:ascii="Calibri"/>
                          <w:spacing w:val="27"/>
                          <w:w w:val="103"/>
                          <w:sz w:val="16"/>
                        </w:rPr>
                        <w:t xml:space="preserve"> </w:t>
                      </w:r>
                      <w:r>
                        <w:rPr>
                          <w:rFonts w:ascii="Calibri"/>
                          <w:w w:val="105"/>
                          <w:sz w:val="16"/>
                        </w:rPr>
                        <w:t>be</w:t>
                      </w:r>
                      <w:r>
                        <w:rPr>
                          <w:rFonts w:ascii="Calibri"/>
                          <w:spacing w:val="-10"/>
                          <w:w w:val="105"/>
                          <w:sz w:val="16"/>
                        </w:rPr>
                        <w:t xml:space="preserve"> </w:t>
                      </w:r>
                      <w:r>
                        <w:rPr>
                          <w:rFonts w:ascii="Calibri"/>
                          <w:spacing w:val="-3"/>
                          <w:w w:val="105"/>
                          <w:sz w:val="16"/>
                        </w:rPr>
                        <w:t>repaid</w:t>
                      </w:r>
                      <w:r>
                        <w:rPr>
                          <w:rFonts w:ascii="Calibri"/>
                          <w:spacing w:val="25"/>
                          <w:w w:val="103"/>
                          <w:sz w:val="16"/>
                        </w:rPr>
                        <w:t xml:space="preserve"> </w:t>
                      </w:r>
                      <w:r>
                        <w:rPr>
                          <w:rFonts w:ascii="Calibri"/>
                          <w:spacing w:val="-3"/>
                          <w:w w:val="105"/>
                          <w:sz w:val="16"/>
                        </w:rPr>
                        <w:t>later</w:t>
                      </w:r>
                    </w:p>
                  </w:txbxContent>
                </v:textbox>
              </v:shape>
              <v:shape id="_x0000_s3468" type="#_x0000_t202" style="position:absolute;left:8515;top:4918;width:563;height:574" filled="f" stroked="f">
                <v:textbox style="mso-next-textbox:#_x0000_s3468" inset="0,0,0,0">
                  <w:txbxContent>
                    <w:p w:rsidR="008A79D5" w:rsidRDefault="008A79D5">
                      <w:pPr>
                        <w:spacing w:line="172" w:lineRule="exact"/>
                        <w:ind w:left="116" w:hanging="68"/>
                        <w:rPr>
                          <w:rFonts w:ascii="Calibri" w:eastAsia="Calibri" w:hAnsi="Calibri" w:cs="Calibri"/>
                          <w:sz w:val="16"/>
                          <w:szCs w:val="16"/>
                        </w:rPr>
                      </w:pPr>
                      <w:r>
                        <w:rPr>
                          <w:rFonts w:ascii="Calibri"/>
                          <w:spacing w:val="-1"/>
                          <w:w w:val="105"/>
                          <w:sz w:val="16"/>
                        </w:rPr>
                        <w:t>Panel's</w:t>
                      </w:r>
                    </w:p>
                    <w:p w:rsidR="008A79D5" w:rsidRDefault="008A79D5">
                      <w:pPr>
                        <w:spacing w:before="8" w:line="250" w:lineRule="auto"/>
                        <w:ind w:firstLine="116"/>
                        <w:rPr>
                          <w:rFonts w:ascii="Calibri" w:eastAsia="Calibri" w:hAnsi="Calibri" w:cs="Calibri"/>
                          <w:sz w:val="16"/>
                          <w:szCs w:val="16"/>
                        </w:rPr>
                      </w:pPr>
                      <w:r>
                        <w:rPr>
                          <w:rFonts w:ascii="Calibri"/>
                          <w:spacing w:val="-3"/>
                          <w:w w:val="105"/>
                          <w:sz w:val="16"/>
                        </w:rPr>
                        <w:t>Draft</w:t>
                      </w:r>
                      <w:r>
                        <w:rPr>
                          <w:rFonts w:ascii="Calibri"/>
                          <w:spacing w:val="21"/>
                          <w:w w:val="103"/>
                          <w:sz w:val="16"/>
                        </w:rPr>
                        <w:t xml:space="preserve"> </w:t>
                      </w:r>
                      <w:r>
                        <w:rPr>
                          <w:rFonts w:ascii="Calibri"/>
                          <w:spacing w:val="-3"/>
                          <w:w w:val="105"/>
                          <w:sz w:val="16"/>
                        </w:rPr>
                        <w:t>Decision</w:t>
                      </w:r>
                    </w:p>
                  </w:txbxContent>
                </v:textbox>
              </v:shape>
            </v:group>
            <w10:wrap type="none"/>
            <w10:anchorlock/>
          </v:group>
        </w:pict>
      </w:r>
    </w:p>
    <w:p w:rsidR="00D96B91" w:rsidRDefault="00D96B91">
      <w:pPr>
        <w:spacing w:line="200" w:lineRule="atLeast"/>
        <w:rPr>
          <w:rFonts w:ascii="Avenir Next" w:eastAsia="Avenir Next" w:hAnsi="Avenir Next" w:cs="Avenir Next"/>
          <w:sz w:val="20"/>
          <w:szCs w:val="20"/>
        </w:rPr>
        <w:sectPr w:rsidR="00D96B91">
          <w:pgSz w:w="11910" w:h="16840"/>
          <w:pgMar w:top="1220" w:right="0" w:bottom="1020" w:left="0" w:header="0" w:footer="829" w:gutter="0"/>
          <w:cols w:space="720"/>
        </w:sectPr>
      </w:pPr>
    </w:p>
    <w:p w:rsidR="00D96B91" w:rsidRDefault="00C2656B" w:rsidP="004C4403">
      <w:pPr>
        <w:pStyle w:val="BodyText"/>
        <w:spacing w:before="21" w:line="260" w:lineRule="exact"/>
        <w:ind w:right="1283"/>
        <w:rPr>
          <w:sz w:val="11"/>
          <w:szCs w:val="11"/>
        </w:rPr>
      </w:pPr>
      <w:r>
        <w:t xml:space="preserve">Note </w:t>
      </w:r>
      <w:r>
        <w:rPr>
          <w:spacing w:val="-1"/>
        </w:rPr>
        <w:t>that</w:t>
      </w:r>
      <w:r>
        <w:t xml:space="preserve"> while the </w:t>
      </w:r>
      <w:r>
        <w:rPr>
          <w:spacing w:val="-3"/>
        </w:rPr>
        <w:t>Panel</w:t>
      </w:r>
      <w:r>
        <w:t xml:space="preserve"> has chosen not to change the prices for 2013-14 and 2014-15 </w:t>
      </w:r>
      <w:r>
        <w:rPr>
          <w:spacing w:val="-1"/>
        </w:rPr>
        <w:t>retrospectively,</w:t>
      </w:r>
      <w:r>
        <w:rPr>
          <w:spacing w:val="26"/>
        </w:rPr>
        <w:t xml:space="preserve"> </w:t>
      </w:r>
      <w:r>
        <w:t xml:space="preserve">it has decided to account for any over or under </w:t>
      </w:r>
      <w:r>
        <w:rPr>
          <w:spacing w:val="-1"/>
        </w:rPr>
        <w:t>recovery</w:t>
      </w:r>
      <w:r>
        <w:t xml:space="preserve"> of</w:t>
      </w:r>
      <w:r>
        <w:rPr>
          <w:spacing w:val="4"/>
        </w:rPr>
        <w:t xml:space="preserve"> </w:t>
      </w:r>
      <w:r>
        <w:rPr>
          <w:spacing w:val="-1"/>
        </w:rPr>
        <w:t>revenue</w:t>
      </w:r>
      <w:r>
        <w:t xml:space="preserve"> by</w:t>
      </w:r>
      <w:r>
        <w:rPr>
          <w:spacing w:val="-4"/>
        </w:rPr>
        <w:t xml:space="preserve"> </w:t>
      </w:r>
      <w:r>
        <w:rPr>
          <w:spacing w:val="-2"/>
        </w:rPr>
        <w:t>ACTEW</w:t>
      </w:r>
      <w:r>
        <w:rPr>
          <w:spacing w:val="-3"/>
        </w:rPr>
        <w:t xml:space="preserve"> </w:t>
      </w:r>
      <w:r>
        <w:t xml:space="preserve">in those </w:t>
      </w:r>
      <w:r>
        <w:rPr>
          <w:spacing w:val="-1"/>
        </w:rPr>
        <w:t>years</w:t>
      </w:r>
      <w:r>
        <w:t xml:space="preserve"> </w:t>
      </w:r>
      <w:r>
        <w:rPr>
          <w:spacing w:val="-1"/>
        </w:rPr>
        <w:t>(relative</w:t>
      </w:r>
      <w:r>
        <w:rPr>
          <w:spacing w:val="35"/>
        </w:rPr>
        <w:t xml:space="preserve"> </w:t>
      </w:r>
      <w:r>
        <w:t xml:space="preserve">to its </w:t>
      </w:r>
      <w:r>
        <w:rPr>
          <w:spacing w:val="-2"/>
        </w:rPr>
        <w:t>draft</w:t>
      </w:r>
      <w:r>
        <w:t xml:space="preserve"> decision on the </w:t>
      </w:r>
      <w:r>
        <w:rPr>
          <w:spacing w:val="-1"/>
        </w:rPr>
        <w:t>revenue</w:t>
      </w:r>
      <w:r>
        <w:t xml:space="preserve"> </w:t>
      </w:r>
      <w:r>
        <w:rPr>
          <w:spacing w:val="-1"/>
        </w:rPr>
        <w:t>requirement</w:t>
      </w:r>
      <w:r>
        <w:t xml:space="preserve"> for those </w:t>
      </w:r>
      <w:r>
        <w:rPr>
          <w:spacing w:val="-1"/>
        </w:rPr>
        <w:t>years).</w:t>
      </w:r>
      <w:r>
        <w:rPr>
          <w:spacing w:val="-6"/>
        </w:rPr>
        <w:t xml:space="preserve"> </w:t>
      </w:r>
      <w:r>
        <w:rPr>
          <w:spacing w:val="-4"/>
        </w:rPr>
        <w:t>For</w:t>
      </w:r>
      <w:r>
        <w:t xml:space="preserve"> </w:t>
      </w:r>
      <w:r>
        <w:rPr>
          <w:spacing w:val="-1"/>
        </w:rPr>
        <w:t>example,</w:t>
      </w:r>
      <w:r>
        <w:rPr>
          <w:spacing w:val="-6"/>
        </w:rPr>
        <w:t xml:space="preserve"> </w:t>
      </w:r>
      <w:r>
        <w:t xml:space="preserve">as </w:t>
      </w:r>
      <w:r>
        <w:rPr>
          <w:spacing w:val="-2"/>
        </w:rPr>
        <w:t>Figure</w:t>
      </w:r>
      <w:r>
        <w:t xml:space="preserve"> 1.1 shows,</w:t>
      </w:r>
      <w:r w:rsidR="004C4403">
        <w:t xml:space="preserve"> </w:t>
      </w:r>
      <w:r>
        <w:t xml:space="preserve">the </w:t>
      </w:r>
      <w:r>
        <w:rPr>
          <w:spacing w:val="-4"/>
        </w:rPr>
        <w:t>Panel’s</w:t>
      </w:r>
      <w:r>
        <w:t xml:space="preserve"> analysis </w:t>
      </w:r>
      <w:r>
        <w:rPr>
          <w:spacing w:val="-1"/>
        </w:rPr>
        <w:t>indicates</w:t>
      </w:r>
      <w:r>
        <w:t xml:space="preserve"> </w:t>
      </w:r>
      <w:r>
        <w:rPr>
          <w:spacing w:val="-1"/>
        </w:rPr>
        <w:t>that</w:t>
      </w:r>
      <w:r>
        <w:t xml:space="preserve"> the prices payable in 2014-15 over </w:t>
      </w:r>
      <w:r>
        <w:rPr>
          <w:spacing w:val="-1"/>
        </w:rPr>
        <w:t>recover</w:t>
      </w:r>
      <w:r>
        <w:t xml:space="preserve"> </w:t>
      </w:r>
      <w:r>
        <w:rPr>
          <w:spacing w:val="-1"/>
        </w:rPr>
        <w:t>approximately</w:t>
      </w:r>
      <w:r>
        <w:t xml:space="preserve"> $29 </w:t>
      </w:r>
      <w:r>
        <w:rPr>
          <w:spacing w:val="-1"/>
        </w:rPr>
        <w:t>from</w:t>
      </w:r>
      <w:r>
        <w:rPr>
          <w:spacing w:val="47"/>
        </w:rPr>
        <w:t xml:space="preserve"> </w:t>
      </w:r>
      <w:r>
        <w:t xml:space="preserve">a </w:t>
      </w:r>
      <w:r>
        <w:rPr>
          <w:spacing w:val="-1"/>
        </w:rPr>
        <w:t>residential</w:t>
      </w:r>
      <w:r>
        <w:t xml:space="preserve"> customer consuming 200 kL</w:t>
      </w:r>
      <w:r>
        <w:rPr>
          <w:spacing w:val="-5"/>
        </w:rPr>
        <w:t xml:space="preserve"> </w:t>
      </w:r>
      <w:r>
        <w:t>per annum.</w:t>
      </w:r>
      <w:r>
        <w:rPr>
          <w:spacing w:val="-11"/>
        </w:rPr>
        <w:t xml:space="preserve"> </w:t>
      </w:r>
      <w:r>
        <w:rPr>
          <w:spacing w:val="-1"/>
        </w:rPr>
        <w:t>This</w:t>
      </w:r>
      <w:r>
        <w:t xml:space="preserve"> </w:t>
      </w:r>
      <w:r>
        <w:rPr>
          <w:spacing w:val="-1"/>
        </w:rPr>
        <w:t>over-recovery</w:t>
      </w:r>
      <w:r>
        <w:t xml:space="preserve"> will be </w:t>
      </w:r>
      <w:r>
        <w:rPr>
          <w:spacing w:val="-1"/>
        </w:rPr>
        <w:t>‘repaid’</w:t>
      </w:r>
      <w:r>
        <w:t xml:space="preserve"> to customers</w:t>
      </w:r>
      <w:r>
        <w:rPr>
          <w:spacing w:val="31"/>
        </w:rPr>
        <w:t xml:space="preserve"> </w:t>
      </w:r>
      <w:r>
        <w:rPr>
          <w:spacing w:val="-1"/>
        </w:rPr>
        <w:t>through</w:t>
      </w:r>
      <w:r>
        <w:t xml:space="preserve"> a ‘true up’ adjustment</w:t>
      </w:r>
      <w:r>
        <w:rPr>
          <w:spacing w:val="1"/>
        </w:rPr>
        <w:t xml:space="preserve"> </w:t>
      </w:r>
      <w:r>
        <w:t>to prices in the</w:t>
      </w:r>
      <w:r>
        <w:rPr>
          <w:spacing w:val="1"/>
        </w:rPr>
        <w:t xml:space="preserve"> </w:t>
      </w:r>
      <w:r>
        <w:rPr>
          <w:spacing w:val="-1"/>
        </w:rPr>
        <w:t>remaining</w:t>
      </w:r>
      <w:r>
        <w:t xml:space="preserve"> </w:t>
      </w:r>
      <w:r>
        <w:rPr>
          <w:spacing w:val="-1"/>
        </w:rPr>
        <w:t>years</w:t>
      </w:r>
      <w:r>
        <w:t xml:space="preserve"> of</w:t>
      </w:r>
      <w:r>
        <w:rPr>
          <w:spacing w:val="4"/>
        </w:rPr>
        <w:t xml:space="preserve"> </w:t>
      </w:r>
      <w:r>
        <w:rPr>
          <w:spacing w:val="-1"/>
        </w:rPr>
        <w:t>regulatory</w:t>
      </w:r>
      <w:r>
        <w:rPr>
          <w:spacing w:val="1"/>
        </w:rPr>
        <w:t xml:space="preserve"> </w:t>
      </w:r>
      <w:r>
        <w:t>period.</w:t>
      </w:r>
      <w:r>
        <w:rPr>
          <w:position w:val="7"/>
          <w:sz w:val="11"/>
          <w:szCs w:val="11"/>
        </w:rPr>
        <w:t>3</w:t>
      </w:r>
    </w:p>
    <w:p w:rsidR="00D96B91" w:rsidRDefault="00D96B91">
      <w:pPr>
        <w:spacing w:before="2"/>
        <w:rPr>
          <w:rFonts w:ascii="Avenir Next" w:eastAsia="Avenir Next" w:hAnsi="Avenir Next" w:cs="Avenir Next"/>
          <w:sz w:val="21"/>
          <w:szCs w:val="21"/>
        </w:rPr>
      </w:pPr>
    </w:p>
    <w:p w:rsidR="00D96B91" w:rsidRDefault="00C2656B">
      <w:pPr>
        <w:pStyle w:val="Heading6"/>
        <w:numPr>
          <w:ilvl w:val="2"/>
          <w:numId w:val="129"/>
        </w:numPr>
        <w:tabs>
          <w:tab w:val="left" w:pos="2098"/>
        </w:tabs>
        <w:spacing w:line="288" w:lineRule="exact"/>
        <w:ind w:right="2033" w:hanging="850"/>
      </w:pPr>
      <w:r>
        <w:rPr>
          <w:color w:val="0778BE"/>
          <w:spacing w:val="-2"/>
        </w:rPr>
        <w:t>The</w:t>
      </w:r>
      <w:r>
        <w:rPr>
          <w:color w:val="0778BE"/>
        </w:rPr>
        <w:t xml:space="preserve"> </w:t>
      </w:r>
      <w:r>
        <w:rPr>
          <w:color w:val="0778BE"/>
          <w:spacing w:val="-3"/>
        </w:rPr>
        <w:t>Panel</w:t>
      </w:r>
      <w:r>
        <w:rPr>
          <w:color w:val="0778BE"/>
        </w:rPr>
        <w:t xml:space="preserve"> used </w:t>
      </w:r>
      <w:r>
        <w:rPr>
          <w:color w:val="0778BE"/>
          <w:spacing w:val="-2"/>
        </w:rPr>
        <w:t>more</w:t>
      </w:r>
      <w:r>
        <w:rPr>
          <w:color w:val="0778BE"/>
        </w:rPr>
        <w:t xml:space="preserve"> </w:t>
      </w:r>
      <w:r>
        <w:rPr>
          <w:color w:val="0778BE"/>
          <w:spacing w:val="-1"/>
        </w:rPr>
        <w:t>recent</w:t>
      </w:r>
      <w:r>
        <w:rPr>
          <w:color w:val="0778BE"/>
        </w:rPr>
        <w:t xml:space="preserve"> capital </w:t>
      </w:r>
      <w:r>
        <w:rPr>
          <w:color w:val="0778BE"/>
          <w:spacing w:val="-1"/>
        </w:rPr>
        <w:t>expenditure</w:t>
      </w:r>
      <w:r>
        <w:rPr>
          <w:color w:val="0778BE"/>
        </w:rPr>
        <w:t xml:space="preserve"> </w:t>
      </w:r>
      <w:r>
        <w:rPr>
          <w:color w:val="0778BE"/>
          <w:spacing w:val="-1"/>
        </w:rPr>
        <w:t>forecasts</w:t>
      </w:r>
      <w:r>
        <w:rPr>
          <w:color w:val="0778BE"/>
        </w:rPr>
        <w:t xml:space="preserve"> and </w:t>
      </w:r>
      <w:r>
        <w:rPr>
          <w:color w:val="0778BE"/>
          <w:spacing w:val="-2"/>
        </w:rPr>
        <w:t>different</w:t>
      </w:r>
      <w:r>
        <w:rPr>
          <w:color w:val="0778BE"/>
          <w:spacing w:val="41"/>
        </w:rPr>
        <w:t xml:space="preserve"> </w:t>
      </w:r>
      <w:r>
        <w:rPr>
          <w:color w:val="0778BE"/>
        </w:rPr>
        <w:t xml:space="preserve">assumptions in </w:t>
      </w:r>
      <w:r>
        <w:rPr>
          <w:color w:val="0778BE"/>
          <w:spacing w:val="-1"/>
        </w:rPr>
        <w:t>calculating</w:t>
      </w:r>
      <w:r>
        <w:rPr>
          <w:color w:val="0778BE"/>
        </w:rPr>
        <w:t xml:space="preserve"> the </w:t>
      </w:r>
      <w:r>
        <w:rPr>
          <w:color w:val="0778BE"/>
          <w:spacing w:val="-1"/>
        </w:rPr>
        <w:t>revenue</w:t>
      </w:r>
      <w:r>
        <w:rPr>
          <w:color w:val="0778BE"/>
        </w:rPr>
        <w:t xml:space="preserve"> </w:t>
      </w:r>
      <w:r>
        <w:rPr>
          <w:color w:val="0778BE"/>
          <w:spacing w:val="-1"/>
        </w:rPr>
        <w:t>requirement</w:t>
      </w:r>
      <w:r>
        <w:rPr>
          <w:color w:val="0778BE"/>
        </w:rPr>
        <w:t xml:space="preserve"> than</w:t>
      </w:r>
      <w:r>
        <w:rPr>
          <w:color w:val="0778BE"/>
          <w:spacing w:val="-5"/>
        </w:rPr>
        <w:t xml:space="preserve"> </w:t>
      </w:r>
      <w:r>
        <w:rPr>
          <w:color w:val="0778BE"/>
          <w:spacing w:val="-2"/>
        </w:rPr>
        <w:t>ACTEW</w:t>
      </w:r>
    </w:p>
    <w:p w:rsidR="00D96B91" w:rsidRDefault="00C2656B">
      <w:pPr>
        <w:pStyle w:val="BodyText"/>
        <w:tabs>
          <w:tab w:val="left" w:pos="6889"/>
        </w:tabs>
        <w:spacing w:before="51" w:line="260" w:lineRule="exact"/>
        <w:ind w:right="1363"/>
      </w:pPr>
      <w:r>
        <w:rPr>
          <w:rFonts w:cs="Avenir Next"/>
          <w:spacing w:val="-2"/>
        </w:rPr>
        <w:t>Both</w:t>
      </w:r>
      <w:r>
        <w:rPr>
          <w:rFonts w:cs="Avenir Next"/>
          <w:spacing w:val="-4"/>
        </w:rPr>
        <w:t xml:space="preserve"> </w:t>
      </w:r>
      <w:r>
        <w:rPr>
          <w:rFonts w:cs="Avenir Next"/>
          <w:spacing w:val="-2"/>
        </w:rPr>
        <w:t>the</w:t>
      </w:r>
      <w:r>
        <w:rPr>
          <w:rFonts w:cs="Avenir Next"/>
          <w:spacing w:val="-4"/>
        </w:rPr>
        <w:t xml:space="preserve"> Panel </w:t>
      </w:r>
      <w:r>
        <w:rPr>
          <w:rFonts w:cs="Avenir Next"/>
          <w:spacing w:val="-2"/>
        </w:rPr>
        <w:t>and</w:t>
      </w:r>
      <w:r>
        <w:rPr>
          <w:rFonts w:cs="Avenir Next"/>
          <w:spacing w:val="-8"/>
        </w:rPr>
        <w:t xml:space="preserve"> </w:t>
      </w:r>
      <w:r>
        <w:rPr>
          <w:rFonts w:cs="Avenir Next"/>
          <w:spacing w:val="-3"/>
        </w:rPr>
        <w:t>ACTEW</w:t>
      </w:r>
      <w:r>
        <w:rPr>
          <w:rFonts w:cs="Avenir Next"/>
          <w:spacing w:val="-7"/>
        </w:rPr>
        <w:t xml:space="preserve"> </w:t>
      </w:r>
      <w:r>
        <w:rPr>
          <w:rFonts w:cs="Avenir Next"/>
          <w:spacing w:val="-2"/>
        </w:rPr>
        <w:t>used</w:t>
      </w:r>
      <w:r>
        <w:rPr>
          <w:rFonts w:cs="Avenir Next"/>
          <w:spacing w:val="-4"/>
        </w:rPr>
        <w:t xml:space="preserve"> </w:t>
      </w:r>
      <w:r>
        <w:rPr>
          <w:rFonts w:cs="Avenir Next"/>
          <w:spacing w:val="-2"/>
        </w:rPr>
        <w:t>similar</w:t>
      </w:r>
      <w:r>
        <w:rPr>
          <w:rFonts w:cs="Avenir Next"/>
          <w:spacing w:val="-4"/>
        </w:rPr>
        <w:t xml:space="preserve"> </w:t>
      </w:r>
      <w:r>
        <w:rPr>
          <w:rFonts w:cs="Avenir Next"/>
          <w:spacing w:val="-2"/>
        </w:rPr>
        <w:t>methodologies</w:t>
      </w:r>
      <w:r>
        <w:rPr>
          <w:rFonts w:cs="Avenir Next"/>
          <w:spacing w:val="-4"/>
        </w:rPr>
        <w:t xml:space="preserve"> </w:t>
      </w:r>
      <w:r>
        <w:rPr>
          <w:rFonts w:cs="Avenir Next"/>
          <w:spacing w:val="-1"/>
        </w:rPr>
        <w:t>to</w:t>
      </w:r>
      <w:r>
        <w:rPr>
          <w:rFonts w:cs="Avenir Next"/>
          <w:spacing w:val="-4"/>
        </w:rPr>
        <w:t xml:space="preserve"> </w:t>
      </w:r>
      <w:r>
        <w:rPr>
          <w:rFonts w:cs="Avenir Next"/>
          <w:spacing w:val="-2"/>
        </w:rPr>
        <w:t>calculate</w:t>
      </w:r>
      <w:r>
        <w:rPr>
          <w:rFonts w:cs="Avenir Next"/>
          <w:spacing w:val="-4"/>
        </w:rPr>
        <w:t xml:space="preserve"> </w:t>
      </w:r>
      <w:r>
        <w:rPr>
          <w:rFonts w:cs="Avenir Next"/>
          <w:spacing w:val="-2"/>
        </w:rPr>
        <w:t>the</w:t>
      </w:r>
      <w:r>
        <w:rPr>
          <w:rFonts w:cs="Avenir Next"/>
          <w:spacing w:val="-4"/>
        </w:rPr>
        <w:t xml:space="preserve"> </w:t>
      </w:r>
      <w:r>
        <w:rPr>
          <w:rFonts w:cs="Avenir Next"/>
          <w:spacing w:val="-3"/>
        </w:rPr>
        <w:t>return</w:t>
      </w:r>
      <w:r>
        <w:rPr>
          <w:rFonts w:cs="Avenir Next"/>
          <w:spacing w:val="-4"/>
        </w:rPr>
        <w:t xml:space="preserve"> </w:t>
      </w:r>
      <w:r>
        <w:rPr>
          <w:rFonts w:cs="Avenir Next"/>
          <w:spacing w:val="-1"/>
        </w:rPr>
        <w:t>on</w:t>
      </w:r>
      <w:r>
        <w:rPr>
          <w:rFonts w:cs="Avenir Next"/>
          <w:spacing w:val="-4"/>
        </w:rPr>
        <w:t xml:space="preserve"> </w:t>
      </w:r>
      <w:r>
        <w:rPr>
          <w:rFonts w:cs="Avenir Next"/>
          <w:spacing w:val="-2"/>
        </w:rPr>
        <w:t>capital</w:t>
      </w:r>
      <w:r>
        <w:rPr>
          <w:rFonts w:cs="Avenir Next"/>
          <w:spacing w:val="-4"/>
        </w:rPr>
        <w:t xml:space="preserve"> </w:t>
      </w:r>
      <w:r>
        <w:rPr>
          <w:rFonts w:cs="Avenir Next"/>
          <w:spacing w:val="-2"/>
        </w:rPr>
        <w:t>and</w:t>
      </w:r>
      <w:r>
        <w:rPr>
          <w:rFonts w:cs="Avenir Next"/>
          <w:spacing w:val="41"/>
        </w:rPr>
        <w:t xml:space="preserve"> </w:t>
      </w:r>
      <w:r>
        <w:rPr>
          <w:spacing w:val="-3"/>
        </w:rPr>
        <w:t>depreciation</w:t>
      </w:r>
      <w:r>
        <w:rPr>
          <w:spacing w:val="-4"/>
        </w:rPr>
        <w:t xml:space="preserve"> </w:t>
      </w:r>
      <w:r>
        <w:rPr>
          <w:spacing w:val="-2"/>
        </w:rPr>
        <w:t>components</w:t>
      </w:r>
      <w:r>
        <w:rPr>
          <w:spacing w:val="-4"/>
        </w:rPr>
        <w:t xml:space="preserve"> </w:t>
      </w:r>
      <w:r>
        <w:rPr>
          <w:spacing w:val="-1"/>
        </w:rPr>
        <w:t>of</w:t>
      </w:r>
      <w:r>
        <w:t xml:space="preserve"> </w:t>
      </w:r>
      <w:r>
        <w:rPr>
          <w:spacing w:val="-2"/>
        </w:rPr>
        <w:t>the</w:t>
      </w:r>
      <w:r>
        <w:rPr>
          <w:spacing w:val="-4"/>
        </w:rPr>
        <w:t xml:space="preserve"> </w:t>
      </w:r>
      <w:r>
        <w:rPr>
          <w:spacing w:val="-3"/>
        </w:rPr>
        <w:t>revenue</w:t>
      </w:r>
      <w:r>
        <w:rPr>
          <w:spacing w:val="-4"/>
        </w:rPr>
        <w:t xml:space="preserve"> </w:t>
      </w:r>
      <w:r>
        <w:rPr>
          <w:spacing w:val="-3"/>
        </w:rPr>
        <w:t>requirement.</w:t>
      </w:r>
      <w:r>
        <w:rPr>
          <w:spacing w:val="-10"/>
        </w:rPr>
        <w:t xml:space="preserve"> </w:t>
      </w:r>
      <w:r>
        <w:rPr>
          <w:spacing w:val="-3"/>
        </w:rPr>
        <w:t>However,</w:t>
      </w:r>
      <w:r>
        <w:rPr>
          <w:spacing w:val="-10"/>
        </w:rPr>
        <w:t xml:space="preserve"> </w:t>
      </w:r>
      <w:r>
        <w:rPr>
          <w:spacing w:val="-2"/>
        </w:rPr>
        <w:t>the</w:t>
      </w:r>
      <w:r>
        <w:rPr>
          <w:spacing w:val="-4"/>
        </w:rPr>
        <w:t xml:space="preserve"> Panel </w:t>
      </w:r>
      <w:r>
        <w:rPr>
          <w:spacing w:val="-2"/>
        </w:rPr>
        <w:t>used</w:t>
      </w:r>
      <w:r>
        <w:rPr>
          <w:spacing w:val="-4"/>
        </w:rPr>
        <w:t xml:space="preserve"> </w:t>
      </w:r>
      <w:r>
        <w:rPr>
          <w:spacing w:val="-3"/>
        </w:rPr>
        <w:t>different</w:t>
      </w:r>
      <w:r>
        <w:rPr>
          <w:spacing w:val="-4"/>
        </w:rPr>
        <w:t xml:space="preserve"> </w:t>
      </w:r>
      <w:r>
        <w:rPr>
          <w:spacing w:val="-3"/>
        </w:rPr>
        <w:t>expenditure</w:t>
      </w:r>
      <w:r>
        <w:rPr>
          <w:spacing w:val="76"/>
        </w:rPr>
        <w:t xml:space="preserve"> </w:t>
      </w:r>
      <w:r>
        <w:rPr>
          <w:spacing w:val="-3"/>
        </w:rPr>
        <w:t>forecasts</w:t>
      </w:r>
      <w:r>
        <w:rPr>
          <w:spacing w:val="-5"/>
        </w:rPr>
        <w:t xml:space="preserve"> </w:t>
      </w:r>
      <w:r>
        <w:rPr>
          <w:spacing w:val="-2"/>
        </w:rPr>
        <w:t>and</w:t>
      </w:r>
      <w:r>
        <w:rPr>
          <w:spacing w:val="-4"/>
        </w:rPr>
        <w:t xml:space="preserve"> </w:t>
      </w:r>
      <w:r>
        <w:rPr>
          <w:spacing w:val="-2"/>
        </w:rPr>
        <w:t>adopted</w:t>
      </w:r>
      <w:r>
        <w:rPr>
          <w:spacing w:val="-4"/>
        </w:rPr>
        <w:t xml:space="preserve"> </w:t>
      </w:r>
      <w:r>
        <w:rPr>
          <w:spacing w:val="-3"/>
        </w:rPr>
        <w:t>different</w:t>
      </w:r>
      <w:r>
        <w:rPr>
          <w:spacing w:val="-4"/>
        </w:rPr>
        <w:t xml:space="preserve"> </w:t>
      </w:r>
      <w:r>
        <w:rPr>
          <w:spacing w:val="-2"/>
        </w:rPr>
        <w:t>assumptions</w:t>
      </w:r>
      <w:r>
        <w:rPr>
          <w:spacing w:val="-4"/>
        </w:rPr>
        <w:t xml:space="preserve"> </w:t>
      </w:r>
      <w:r>
        <w:rPr>
          <w:spacing w:val="-1"/>
        </w:rPr>
        <w:t>to</w:t>
      </w:r>
      <w:r>
        <w:rPr>
          <w:spacing w:val="-4"/>
        </w:rPr>
        <w:t xml:space="preserve"> </w:t>
      </w:r>
      <w:r>
        <w:rPr>
          <w:spacing w:val="-2"/>
        </w:rPr>
        <w:t>those</w:t>
      </w:r>
      <w:r>
        <w:rPr>
          <w:spacing w:val="-5"/>
        </w:rPr>
        <w:t xml:space="preserve"> </w:t>
      </w:r>
      <w:r>
        <w:rPr>
          <w:spacing w:val="-3"/>
        </w:rPr>
        <w:t>refl</w:t>
      </w:r>
      <w:r w:rsidR="004C4403">
        <w:rPr>
          <w:spacing w:val="-3"/>
        </w:rPr>
        <w:t xml:space="preserve">ected </w:t>
      </w:r>
      <w:r>
        <w:rPr>
          <w:spacing w:val="-1"/>
        </w:rPr>
        <w:t>in</w:t>
      </w:r>
      <w:r>
        <w:rPr>
          <w:spacing w:val="-8"/>
        </w:rPr>
        <w:t xml:space="preserve"> </w:t>
      </w:r>
      <w:r>
        <w:rPr>
          <w:spacing w:val="-4"/>
        </w:rPr>
        <w:t xml:space="preserve">ACTEW’s </w:t>
      </w:r>
      <w:r>
        <w:rPr>
          <w:spacing w:val="-2"/>
        </w:rPr>
        <w:t>SOFC</w:t>
      </w:r>
      <w:r>
        <w:rPr>
          <w:spacing w:val="-4"/>
        </w:rPr>
        <w:t xml:space="preserve"> </w:t>
      </w:r>
      <w:r>
        <w:rPr>
          <w:spacing w:val="-3"/>
        </w:rPr>
        <w:t>proposal.</w:t>
      </w:r>
      <w:r>
        <w:rPr>
          <w:spacing w:val="-10"/>
        </w:rPr>
        <w:t xml:space="preserve"> </w:t>
      </w:r>
      <w:r>
        <w:rPr>
          <w:spacing w:val="-1"/>
        </w:rPr>
        <w:t>In</w:t>
      </w:r>
      <w:r>
        <w:rPr>
          <w:spacing w:val="-4"/>
        </w:rPr>
        <w:t xml:space="preserve"> </w:t>
      </w:r>
      <w:r>
        <w:rPr>
          <w:spacing w:val="-3"/>
        </w:rPr>
        <w:t>particular:</w:t>
      </w:r>
    </w:p>
    <w:p w:rsidR="00D96B91" w:rsidRDefault="00C2656B">
      <w:pPr>
        <w:pStyle w:val="BodyText"/>
        <w:numPr>
          <w:ilvl w:val="0"/>
          <w:numId w:val="131"/>
        </w:numPr>
        <w:tabs>
          <w:tab w:val="left" w:pos="1531"/>
        </w:tabs>
        <w:spacing w:before="170" w:line="260" w:lineRule="exact"/>
        <w:ind w:right="1468" w:hanging="283"/>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w:t>
      </w:r>
      <w:r>
        <w:rPr>
          <w:rFonts w:cs="Avenir Next"/>
          <w:spacing w:val="-1"/>
        </w:rPr>
        <w:t>direction</w:t>
      </w:r>
      <w:r>
        <w:rPr>
          <w:rFonts w:cs="Avenir Next"/>
        </w:rPr>
        <w:t xml:space="preserve"> is based on</w:t>
      </w:r>
      <w:r>
        <w:rPr>
          <w:rFonts w:cs="Avenir Next"/>
          <w:spacing w:val="-4"/>
        </w:rPr>
        <w:t xml:space="preserve"> </w:t>
      </w:r>
      <w:r>
        <w:rPr>
          <w:rFonts w:cs="Avenir Next"/>
          <w:spacing w:val="-2"/>
        </w:rPr>
        <w:t>ACTEW’s</w:t>
      </w:r>
      <w:r>
        <w:rPr>
          <w:rFonts w:cs="Avenir Next"/>
        </w:rPr>
        <w:t xml:space="preserve"> most </w:t>
      </w:r>
      <w:r>
        <w:rPr>
          <w:rFonts w:cs="Avenir Next"/>
          <w:spacing w:val="-1"/>
        </w:rPr>
        <w:t>recent</w:t>
      </w:r>
      <w:r>
        <w:rPr>
          <w:rFonts w:cs="Avenir Next"/>
        </w:rPr>
        <w:t xml:space="preserve"> capital </w:t>
      </w:r>
      <w:r>
        <w:rPr>
          <w:rFonts w:cs="Avenir Next"/>
          <w:spacing w:val="-1"/>
        </w:rPr>
        <w:t>expenditure</w:t>
      </w:r>
      <w:r>
        <w:rPr>
          <w:rFonts w:cs="Avenir Next"/>
        </w:rPr>
        <w:t xml:space="preserve"> </w:t>
      </w:r>
      <w:r>
        <w:rPr>
          <w:rFonts w:cs="Avenir Next"/>
          <w:spacing w:val="-1"/>
        </w:rPr>
        <w:t>program</w:t>
      </w:r>
      <w:r>
        <w:rPr>
          <w:rFonts w:cs="Avenir Next"/>
        </w:rPr>
        <w:t xml:space="preserve"> for</w:t>
      </w:r>
      <w:r>
        <w:rPr>
          <w:rFonts w:cs="Avenir Next"/>
          <w:spacing w:val="51"/>
        </w:rPr>
        <w:t xml:space="preserve"> </w:t>
      </w:r>
      <w:r>
        <w:t>2013-14</w:t>
      </w:r>
      <w:r>
        <w:rPr>
          <w:spacing w:val="-1"/>
        </w:rPr>
        <w:t xml:space="preserve"> </w:t>
      </w:r>
      <w:r>
        <w:t>to 2017-18,</w:t>
      </w:r>
      <w:r>
        <w:rPr>
          <w:spacing w:val="-8"/>
        </w:rPr>
        <w:t xml:space="preserve"> </w:t>
      </w:r>
      <w:r>
        <w:rPr>
          <w:spacing w:val="-1"/>
        </w:rPr>
        <w:t>whereas</w:t>
      </w:r>
      <w:r>
        <w:rPr>
          <w:spacing w:val="-4"/>
        </w:rPr>
        <w:t xml:space="preserve"> </w:t>
      </w:r>
      <w:r>
        <w:rPr>
          <w:spacing w:val="-2"/>
        </w:rPr>
        <w:t>ACTEW’s</w:t>
      </w:r>
      <w:r>
        <w:rPr>
          <w:spacing w:val="-1"/>
        </w:rPr>
        <w:t xml:space="preserve"> </w:t>
      </w:r>
      <w:r>
        <w:t xml:space="preserve">SOFC </w:t>
      </w:r>
      <w:r>
        <w:rPr>
          <w:spacing w:val="-1"/>
        </w:rPr>
        <w:t>proposal reflects</w:t>
      </w:r>
      <w:r>
        <w:t xml:space="preserve"> the</w:t>
      </w:r>
      <w:r>
        <w:rPr>
          <w:spacing w:val="-1"/>
        </w:rPr>
        <w:t xml:space="preserve"> forecast</w:t>
      </w:r>
      <w:r>
        <w:t xml:space="preserve"> capital</w:t>
      </w:r>
      <w:r>
        <w:rPr>
          <w:spacing w:val="-1"/>
        </w:rPr>
        <w:t xml:space="preserve"> expenditure</w:t>
      </w:r>
      <w:r>
        <w:t xml:space="preserve"> in</w:t>
      </w:r>
      <w:r>
        <w:rPr>
          <w:spacing w:val="39"/>
        </w:rPr>
        <w:t xml:space="preserve"> </w:t>
      </w:r>
      <w:r>
        <w:t>its</w:t>
      </w:r>
      <w:r>
        <w:rPr>
          <w:spacing w:val="-4"/>
        </w:rPr>
        <w:t xml:space="preserve"> </w:t>
      </w:r>
      <w:r>
        <w:t>April 2013 submission</w:t>
      </w:r>
      <w:r>
        <w:rPr>
          <w:spacing w:val="1"/>
        </w:rPr>
        <w:t xml:space="preserve"> </w:t>
      </w:r>
      <w:r>
        <w:t xml:space="preserve">to the </w:t>
      </w:r>
      <w:r>
        <w:rPr>
          <w:spacing w:val="-2"/>
        </w:rPr>
        <w:t>ICRC’s</w:t>
      </w:r>
      <w:r>
        <w:t xml:space="preserve"> original</w:t>
      </w:r>
      <w:r>
        <w:rPr>
          <w:spacing w:val="1"/>
        </w:rPr>
        <w:t xml:space="preserve"> </w:t>
      </w:r>
      <w:r>
        <w:t xml:space="preserve">price </w:t>
      </w:r>
      <w:r>
        <w:rPr>
          <w:spacing w:val="-1"/>
        </w:rPr>
        <w:t>investigation.</w:t>
      </w:r>
      <w:r>
        <w:rPr>
          <w:rFonts w:cs="Avenir Next"/>
          <w:spacing w:val="-1"/>
          <w:position w:val="7"/>
          <w:sz w:val="11"/>
          <w:szCs w:val="11"/>
        </w:rPr>
        <w:t>4</w:t>
      </w:r>
      <w:r>
        <w:rPr>
          <w:rFonts w:cs="Avenir Next"/>
          <w:spacing w:val="19"/>
          <w:position w:val="7"/>
          <w:sz w:val="11"/>
          <w:szCs w:val="11"/>
        </w:rPr>
        <w:t xml:space="preserve"> </w:t>
      </w:r>
      <w:r>
        <w:rPr>
          <w:rFonts w:cs="Avenir Next"/>
        </w:rPr>
        <w:t xml:space="preserve">As a </w:t>
      </w:r>
      <w:r>
        <w:rPr>
          <w:rFonts w:cs="Avenir Next"/>
          <w:spacing w:val="-1"/>
        </w:rPr>
        <w:t>result,</w:t>
      </w:r>
      <w:r>
        <w:rPr>
          <w:rFonts w:cs="Avenir Next"/>
          <w:spacing w:val="-6"/>
        </w:rPr>
        <w:t xml:space="preserve"> </w:t>
      </w:r>
      <w:r>
        <w:rPr>
          <w:rFonts w:cs="Avenir Next"/>
        </w:rPr>
        <w:t>the</w:t>
      </w:r>
      <w:r>
        <w:rPr>
          <w:rFonts w:cs="Avenir Next"/>
          <w:spacing w:val="1"/>
        </w:rPr>
        <w:t xml:space="preserve"> </w:t>
      </w:r>
      <w:r>
        <w:rPr>
          <w:rFonts w:cs="Avenir Next"/>
          <w:spacing w:val="-1"/>
        </w:rPr>
        <w:t>provision</w:t>
      </w:r>
      <w:r>
        <w:rPr>
          <w:rFonts w:cs="Avenir Next"/>
        </w:rPr>
        <w:t xml:space="preserve"> for</w:t>
      </w:r>
      <w:r>
        <w:rPr>
          <w:rFonts w:cs="Avenir Next"/>
          <w:spacing w:val="47"/>
        </w:rPr>
        <w:t xml:space="preserve"> </w:t>
      </w:r>
      <w:r>
        <w:rPr>
          <w:spacing w:val="-1"/>
        </w:rPr>
        <w:t>forecast</w:t>
      </w:r>
      <w:r>
        <w:t xml:space="preserve"> capital </w:t>
      </w:r>
      <w:r>
        <w:rPr>
          <w:spacing w:val="-1"/>
        </w:rPr>
        <w:t>expenditure</w:t>
      </w:r>
      <w:r>
        <w:t xml:space="preserve"> in the </w:t>
      </w:r>
      <w:r>
        <w:rPr>
          <w:spacing w:val="-4"/>
        </w:rPr>
        <w:t>Panel’s</w:t>
      </w:r>
      <w:r>
        <w:t xml:space="preserve"> </w:t>
      </w:r>
      <w:r>
        <w:rPr>
          <w:spacing w:val="-2"/>
        </w:rPr>
        <w:t>draft</w:t>
      </w:r>
      <w:r>
        <w:t xml:space="preserve"> decision is </w:t>
      </w:r>
      <w:r>
        <w:rPr>
          <w:spacing w:val="-1"/>
        </w:rPr>
        <w:t>around</w:t>
      </w:r>
      <w:r>
        <w:t xml:space="preserve"> $26 million lower than</w:t>
      </w:r>
      <w:r>
        <w:rPr>
          <w:spacing w:val="-4"/>
        </w:rPr>
        <w:t xml:space="preserve"> </w:t>
      </w:r>
      <w:r>
        <w:rPr>
          <w:spacing w:val="-2"/>
        </w:rPr>
        <w:t>ACTEW’s</w:t>
      </w:r>
      <w:r>
        <w:rPr>
          <w:spacing w:val="45"/>
        </w:rPr>
        <w:t xml:space="preserve"> </w:t>
      </w:r>
      <w:r>
        <w:rPr>
          <w:spacing w:val="-1"/>
        </w:rPr>
        <w:t>proposal</w:t>
      </w:r>
      <w:r>
        <w:rPr>
          <w:spacing w:val="-2"/>
        </w:rPr>
        <w:t xml:space="preserve"> </w:t>
      </w:r>
      <w:r>
        <w:t>over</w:t>
      </w:r>
      <w:r>
        <w:rPr>
          <w:spacing w:val="-1"/>
        </w:rPr>
        <w:t xml:space="preserve"> </w:t>
      </w:r>
      <w:r>
        <w:t>the</w:t>
      </w:r>
      <w:r>
        <w:rPr>
          <w:spacing w:val="-1"/>
        </w:rPr>
        <w:t xml:space="preserve"> five-year regulatory </w:t>
      </w:r>
      <w:r>
        <w:t>period.</w:t>
      </w:r>
    </w:p>
    <w:p w:rsidR="00D96B91" w:rsidRDefault="00C2656B">
      <w:pPr>
        <w:pStyle w:val="BodyText"/>
        <w:numPr>
          <w:ilvl w:val="0"/>
          <w:numId w:val="131"/>
        </w:numPr>
        <w:tabs>
          <w:tab w:val="left" w:pos="1531"/>
        </w:tabs>
        <w:spacing w:before="85" w:line="260" w:lineRule="exact"/>
        <w:ind w:right="1248" w:hanging="283"/>
      </w:pPr>
      <w:r>
        <w:rPr>
          <w:spacing w:val="-2"/>
        </w:rPr>
        <w:t>The</w:t>
      </w:r>
      <w:r>
        <w:rPr>
          <w:spacing w:val="-1"/>
        </w:rPr>
        <w:t xml:space="preserve"> </w:t>
      </w:r>
      <w:r>
        <w:rPr>
          <w:spacing w:val="-3"/>
        </w:rPr>
        <w:t>Panel</w:t>
      </w:r>
      <w:r>
        <w:t xml:space="preserve"> has adopted</w:t>
      </w:r>
      <w:r>
        <w:rPr>
          <w:spacing w:val="-1"/>
        </w:rPr>
        <w:t xml:space="preserve"> </w:t>
      </w:r>
      <w:r>
        <w:t xml:space="preserve">the </w:t>
      </w:r>
      <w:r>
        <w:rPr>
          <w:spacing w:val="-1"/>
        </w:rPr>
        <w:t>benchmark-firm</w:t>
      </w:r>
      <w:r>
        <w:t xml:space="preserve"> </w:t>
      </w:r>
      <w:r>
        <w:rPr>
          <w:spacing w:val="-1"/>
        </w:rPr>
        <w:t xml:space="preserve">approach </w:t>
      </w:r>
      <w:r>
        <w:t xml:space="preserve">for </w:t>
      </w:r>
      <w:r>
        <w:rPr>
          <w:spacing w:val="-1"/>
        </w:rPr>
        <w:t>calculating</w:t>
      </w:r>
      <w:r>
        <w:t xml:space="preserve"> the cost</w:t>
      </w:r>
      <w:r>
        <w:rPr>
          <w:spacing w:val="-1"/>
        </w:rPr>
        <w:t xml:space="preserve"> </w:t>
      </w:r>
      <w:r>
        <w:t>of</w:t>
      </w:r>
      <w:r>
        <w:rPr>
          <w:spacing w:val="4"/>
        </w:rPr>
        <w:t xml:space="preserve"> </w:t>
      </w:r>
      <w:r>
        <w:t xml:space="preserve">capital </w:t>
      </w:r>
      <w:r>
        <w:rPr>
          <w:spacing w:val="-1"/>
        </w:rPr>
        <w:t>that</w:t>
      </w:r>
      <w:r>
        <w:rPr>
          <w:spacing w:val="-5"/>
        </w:rPr>
        <w:t xml:space="preserve"> </w:t>
      </w:r>
      <w:r>
        <w:rPr>
          <w:spacing w:val="-2"/>
        </w:rPr>
        <w:t>ACTEW</w:t>
      </w:r>
      <w:r>
        <w:rPr>
          <w:spacing w:val="67"/>
        </w:rPr>
        <w:t xml:space="preserve"> </w:t>
      </w:r>
      <w:r>
        <w:rPr>
          <w:spacing w:val="-1"/>
        </w:rPr>
        <w:t>proposed.</w:t>
      </w:r>
      <w:r>
        <w:rPr>
          <w:spacing w:val="-6"/>
        </w:rPr>
        <w:t xml:space="preserve"> </w:t>
      </w:r>
      <w:r>
        <w:rPr>
          <w:spacing w:val="-2"/>
        </w:rPr>
        <w:t>However,</w:t>
      </w:r>
      <w:r>
        <w:rPr>
          <w:spacing w:val="-6"/>
        </w:rPr>
        <w:t xml:space="preserve"> </w:t>
      </w:r>
      <w:r>
        <w:t xml:space="preserve">in applying this </w:t>
      </w:r>
      <w:r>
        <w:rPr>
          <w:spacing w:val="-1"/>
        </w:rPr>
        <w:t>approach,</w:t>
      </w:r>
      <w:r>
        <w:rPr>
          <w:spacing w:val="-6"/>
        </w:rPr>
        <w:t xml:space="preserve"> </w:t>
      </w:r>
      <w:r>
        <w:t xml:space="preserve">the </w:t>
      </w:r>
      <w:r>
        <w:rPr>
          <w:spacing w:val="-3"/>
        </w:rPr>
        <w:t>Panel</w:t>
      </w:r>
      <w:r>
        <w:t xml:space="preserve"> has made </w:t>
      </w:r>
      <w:r>
        <w:rPr>
          <w:spacing w:val="-1"/>
        </w:rPr>
        <w:t>different</w:t>
      </w:r>
      <w:r>
        <w:t xml:space="preserve"> assumptions about </w:t>
      </w:r>
      <w:r>
        <w:rPr>
          <w:spacing w:val="-2"/>
        </w:rPr>
        <w:t>key</w:t>
      </w:r>
      <w:r>
        <w:rPr>
          <w:spacing w:val="45"/>
        </w:rPr>
        <w:t xml:space="preserve"> </w:t>
      </w:r>
      <w:r>
        <w:rPr>
          <w:spacing w:val="-1"/>
        </w:rPr>
        <w:t>parameters.</w:t>
      </w:r>
      <w:r>
        <w:rPr>
          <w:spacing w:val="-10"/>
        </w:rPr>
        <w:t xml:space="preserve"> </w:t>
      </w:r>
      <w:r>
        <w:t xml:space="preserve">As a </w:t>
      </w:r>
      <w:r>
        <w:rPr>
          <w:spacing w:val="-1"/>
        </w:rPr>
        <w:t>result,</w:t>
      </w:r>
      <w:r>
        <w:rPr>
          <w:spacing w:val="-6"/>
        </w:rPr>
        <w:t xml:space="preserve"> </w:t>
      </w:r>
      <w:r>
        <w:t xml:space="preserve">it has adopted a nominal post-tax weighted </w:t>
      </w:r>
      <w:r>
        <w:rPr>
          <w:spacing w:val="-1"/>
        </w:rPr>
        <w:t>average</w:t>
      </w:r>
      <w:r>
        <w:t xml:space="preserve"> cost of</w:t>
      </w:r>
      <w:r>
        <w:rPr>
          <w:spacing w:val="4"/>
        </w:rPr>
        <w:t xml:space="preserve"> </w:t>
      </w:r>
      <w:r>
        <w:t>capital of</w:t>
      </w:r>
      <w:r>
        <w:rPr>
          <w:spacing w:val="4"/>
        </w:rPr>
        <w:t xml:space="preserve"> </w:t>
      </w:r>
      <w:r>
        <w:t>7.20%,</w:t>
      </w:r>
      <w:r>
        <w:rPr>
          <w:spacing w:val="31"/>
        </w:rPr>
        <w:t xml:space="preserve"> </w:t>
      </w:r>
      <w:r>
        <w:rPr>
          <w:spacing w:val="-1"/>
        </w:rPr>
        <w:t>compared</w:t>
      </w:r>
      <w:r>
        <w:t xml:space="preserve"> to</w:t>
      </w:r>
      <w:r>
        <w:rPr>
          <w:spacing w:val="-4"/>
        </w:rPr>
        <w:t xml:space="preserve"> </w:t>
      </w:r>
      <w:r>
        <w:rPr>
          <w:spacing w:val="-2"/>
        </w:rPr>
        <w:t>ACTEW’s</w:t>
      </w:r>
      <w:r>
        <w:t xml:space="preserve"> </w:t>
      </w:r>
      <w:r>
        <w:rPr>
          <w:spacing w:val="-1"/>
        </w:rPr>
        <w:t>proposal</w:t>
      </w:r>
      <w:r>
        <w:t xml:space="preserve"> of</w:t>
      </w:r>
      <w:r>
        <w:rPr>
          <w:spacing w:val="4"/>
        </w:rPr>
        <w:t xml:space="preserve"> </w:t>
      </w:r>
      <w:r>
        <w:t>8.95%.</w:t>
      </w:r>
    </w:p>
    <w:p w:rsidR="00D96B91" w:rsidRDefault="00C2656B">
      <w:pPr>
        <w:pStyle w:val="BodyText"/>
        <w:numPr>
          <w:ilvl w:val="0"/>
          <w:numId w:val="131"/>
        </w:numPr>
        <w:tabs>
          <w:tab w:val="left" w:pos="1531"/>
        </w:tabs>
        <w:spacing w:before="85" w:line="260" w:lineRule="exact"/>
        <w:ind w:right="1548" w:hanging="283"/>
      </w:pPr>
      <w:r>
        <w:rPr>
          <w:spacing w:val="-2"/>
        </w:rPr>
        <w:t>The</w:t>
      </w:r>
      <w:r>
        <w:t xml:space="preserve"> </w:t>
      </w:r>
      <w:r>
        <w:rPr>
          <w:spacing w:val="-3"/>
        </w:rPr>
        <w:t>Panel</w:t>
      </w:r>
      <w:r>
        <w:t xml:space="preserve"> has adopted demand </w:t>
      </w:r>
      <w:r>
        <w:rPr>
          <w:spacing w:val="-1"/>
        </w:rPr>
        <w:t>forecasts</w:t>
      </w:r>
      <w:r>
        <w:t xml:space="preserve"> for </w:t>
      </w:r>
      <w:r>
        <w:rPr>
          <w:spacing w:val="-1"/>
        </w:rPr>
        <w:t>each</w:t>
      </w:r>
      <w:r>
        <w:t xml:space="preserve"> </w:t>
      </w:r>
      <w:r>
        <w:rPr>
          <w:spacing w:val="-1"/>
        </w:rPr>
        <w:t>year</w:t>
      </w:r>
      <w:r>
        <w:t xml:space="preserve"> of</w:t>
      </w:r>
      <w:r>
        <w:rPr>
          <w:spacing w:val="4"/>
        </w:rPr>
        <w:t xml:space="preserve"> </w:t>
      </w:r>
      <w:r>
        <w:t xml:space="preserve">the </w:t>
      </w:r>
      <w:r>
        <w:rPr>
          <w:spacing w:val="-1"/>
        </w:rPr>
        <w:t>regulatory</w:t>
      </w:r>
      <w:r>
        <w:t xml:space="preserve"> period,</w:t>
      </w:r>
      <w:r>
        <w:rPr>
          <w:spacing w:val="-6"/>
        </w:rPr>
        <w:t xml:space="preserve"> </w:t>
      </w:r>
      <w:r>
        <w:rPr>
          <w:spacing w:val="-1"/>
        </w:rPr>
        <w:t>whereas</w:t>
      </w:r>
      <w:r>
        <w:rPr>
          <w:spacing w:val="-4"/>
        </w:rPr>
        <w:t xml:space="preserve"> </w:t>
      </w:r>
      <w:r>
        <w:rPr>
          <w:spacing w:val="-2"/>
        </w:rPr>
        <w:t>ACTEW</w:t>
      </w:r>
      <w:r>
        <w:rPr>
          <w:spacing w:val="47"/>
        </w:rPr>
        <w:t xml:space="preserve"> </w:t>
      </w:r>
      <w:r>
        <w:t xml:space="preserve">maintained </w:t>
      </w:r>
      <w:r>
        <w:rPr>
          <w:spacing w:val="-1"/>
        </w:rPr>
        <w:t>that</w:t>
      </w:r>
      <w:r>
        <w:t xml:space="preserve"> demand should be </w:t>
      </w:r>
      <w:r>
        <w:rPr>
          <w:spacing w:val="-1"/>
        </w:rPr>
        <w:t>updated</w:t>
      </w:r>
      <w:r>
        <w:t xml:space="preserve"> on an annual basis.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28"/>
      </w:pPr>
      <w:r>
        <w:rPr>
          <w:rFonts w:cs="Avenir Next"/>
          <w:spacing w:val="-1"/>
        </w:rPr>
        <w:t>These</w:t>
      </w:r>
      <w:r>
        <w:rPr>
          <w:rFonts w:cs="Avenir Next"/>
        </w:rPr>
        <w:t xml:space="preserve"> </w:t>
      </w:r>
      <w:r>
        <w:rPr>
          <w:rFonts w:cs="Avenir Next"/>
          <w:spacing w:val="-1"/>
        </w:rPr>
        <w:t>differences</w:t>
      </w:r>
      <w:r>
        <w:rPr>
          <w:rFonts w:cs="Avenir Next"/>
        </w:rPr>
        <w:t xml:space="preserve"> have led to the </w:t>
      </w:r>
      <w:r>
        <w:rPr>
          <w:rFonts w:cs="Avenir Next"/>
          <w:spacing w:val="-3"/>
        </w:rPr>
        <w:t>Panel</w:t>
      </w:r>
      <w:r>
        <w:rPr>
          <w:rFonts w:cs="Avenir Next"/>
        </w:rPr>
        <w:t xml:space="preserve"> and</w:t>
      </w:r>
      <w:r>
        <w:rPr>
          <w:rFonts w:cs="Avenir Next"/>
          <w:spacing w:val="-4"/>
        </w:rPr>
        <w:t xml:space="preserve"> </w:t>
      </w:r>
      <w:r>
        <w:rPr>
          <w:rFonts w:cs="Avenir Next"/>
          <w:spacing w:val="-2"/>
        </w:rPr>
        <w:t>ACTEW</w:t>
      </w:r>
      <w:r>
        <w:rPr>
          <w:rFonts w:cs="Avenir Next"/>
          <w:spacing w:val="-3"/>
        </w:rPr>
        <w:t xml:space="preserve"> </w:t>
      </w:r>
      <w:r>
        <w:rPr>
          <w:rFonts w:cs="Avenir Next"/>
          <w:spacing w:val="-1"/>
        </w:rPr>
        <w:t>reaching</w:t>
      </w:r>
      <w:r>
        <w:rPr>
          <w:rFonts w:cs="Avenir Next"/>
        </w:rPr>
        <w:t xml:space="preserve"> </w:t>
      </w:r>
      <w:r>
        <w:rPr>
          <w:rFonts w:cs="Avenir Next"/>
          <w:spacing w:val="-1"/>
        </w:rPr>
        <w:t>different</w:t>
      </w:r>
      <w:r>
        <w:rPr>
          <w:rFonts w:cs="Avenir Next"/>
        </w:rPr>
        <w:t xml:space="preserve"> </w:t>
      </w:r>
      <w:r>
        <w:rPr>
          <w:rFonts w:cs="Avenir Next"/>
          <w:spacing w:val="-1"/>
        </w:rPr>
        <w:t>estimates</w:t>
      </w:r>
      <w:r>
        <w:rPr>
          <w:rFonts w:cs="Avenir Next"/>
        </w:rPr>
        <w:t xml:space="preserve"> of</w:t>
      </w:r>
      <w:r>
        <w:rPr>
          <w:rFonts w:cs="Avenir Next"/>
          <w:spacing w:val="1"/>
        </w:rPr>
        <w:t xml:space="preserve"> </w:t>
      </w:r>
      <w:r>
        <w:rPr>
          <w:rFonts w:cs="Avenir Next"/>
          <w:spacing w:val="-2"/>
        </w:rPr>
        <w:t>ACTEW’s</w:t>
      </w:r>
      <w:r>
        <w:rPr>
          <w:rFonts w:cs="Avenir Next"/>
        </w:rPr>
        <w:t xml:space="preserve"> </w:t>
      </w:r>
      <w:r>
        <w:rPr>
          <w:rFonts w:cs="Avenir Next"/>
          <w:spacing w:val="-1"/>
        </w:rPr>
        <w:t>revenue</w:t>
      </w:r>
      <w:r>
        <w:rPr>
          <w:rFonts w:cs="Avenir Next"/>
          <w:spacing w:val="49"/>
        </w:rPr>
        <w:t xml:space="preserve"> </w:t>
      </w:r>
      <w:r>
        <w:rPr>
          <w:spacing w:val="-1"/>
        </w:rPr>
        <w:t>requirement</w:t>
      </w:r>
      <w:r>
        <w:t xml:space="preserve"> for the </w:t>
      </w:r>
      <w:r>
        <w:rPr>
          <w:spacing w:val="-1"/>
        </w:rPr>
        <w:t>regulatory</w:t>
      </w:r>
      <w:r>
        <w:t xml:space="preserve"> period.</w:t>
      </w:r>
      <w:r>
        <w:rPr>
          <w:spacing w:val="-10"/>
        </w:rPr>
        <w:t xml:space="preserve"> </w:t>
      </w:r>
      <w:r>
        <w:t xml:space="preserve">As </w:t>
      </w:r>
      <w:r>
        <w:rPr>
          <w:spacing w:val="-2"/>
        </w:rPr>
        <w:t>Figure</w:t>
      </w:r>
      <w:r>
        <w:t xml:space="preserve"> 1.2 shows,</w:t>
      </w:r>
      <w:r>
        <w:rPr>
          <w:spacing w:val="-6"/>
        </w:rPr>
        <w:t xml:space="preserve"> </w:t>
      </w:r>
      <w:r>
        <w:t xml:space="preserve">the </w:t>
      </w:r>
      <w:r>
        <w:rPr>
          <w:spacing w:val="-4"/>
        </w:rPr>
        <w:t>Panel’s</w:t>
      </w:r>
      <w:r>
        <w:t xml:space="preserve"> </w:t>
      </w:r>
      <w:r>
        <w:rPr>
          <w:spacing w:val="-2"/>
        </w:rPr>
        <w:t>draft</w:t>
      </w:r>
      <w:r>
        <w:t xml:space="preserve"> price </w:t>
      </w:r>
      <w:r>
        <w:rPr>
          <w:spacing w:val="-1"/>
        </w:rPr>
        <w:t>direction</w:t>
      </w:r>
      <w:r>
        <w:t xml:space="preserve"> is based on</w:t>
      </w:r>
      <w:r>
        <w:rPr>
          <w:spacing w:val="53"/>
        </w:rPr>
        <w:t xml:space="preserve"> </w:t>
      </w:r>
      <w:r>
        <w:t xml:space="preserve">a </w:t>
      </w:r>
      <w:r>
        <w:rPr>
          <w:spacing w:val="-1"/>
        </w:rPr>
        <w:t>revenue</w:t>
      </w:r>
      <w:r>
        <w:t xml:space="preserve"> </w:t>
      </w:r>
      <w:r>
        <w:rPr>
          <w:spacing w:val="-1"/>
        </w:rPr>
        <w:t>requirement</w:t>
      </w:r>
      <w:r>
        <w:t xml:space="preserve"> </w:t>
      </w:r>
      <w:r>
        <w:rPr>
          <w:spacing w:val="-1"/>
        </w:rPr>
        <w:t>that</w:t>
      </w:r>
      <w:r>
        <w:t xml:space="preserve"> is </w:t>
      </w:r>
      <w:r>
        <w:rPr>
          <w:spacing w:val="-1"/>
        </w:rPr>
        <w:t>around</w:t>
      </w:r>
      <w:r>
        <w:t xml:space="preserve"> $258 million lower than</w:t>
      </w:r>
      <w:r>
        <w:rPr>
          <w:spacing w:val="-4"/>
        </w:rPr>
        <w:t xml:space="preserve"> </w:t>
      </w:r>
      <w:r>
        <w:rPr>
          <w:spacing w:val="-2"/>
        </w:rPr>
        <w:t>ACTEW</w:t>
      </w:r>
      <w:r>
        <w:rPr>
          <w:spacing w:val="-3"/>
        </w:rPr>
        <w:t xml:space="preserve"> </w:t>
      </w:r>
      <w:r>
        <w:rPr>
          <w:spacing w:val="-1"/>
        </w:rPr>
        <w:t>proposed</w:t>
      </w:r>
      <w:r>
        <w:t xml:space="preserve"> in its SOFC for the full</w:t>
      </w:r>
      <w:r>
        <w:rPr>
          <w:spacing w:val="37"/>
        </w:rPr>
        <w:t xml:space="preserve"> </w:t>
      </w:r>
      <w:r>
        <w:rPr>
          <w:spacing w:val="-1"/>
        </w:rPr>
        <w:t xml:space="preserve">five-year </w:t>
      </w:r>
      <w:r>
        <w:t>period</w:t>
      </w:r>
      <w:r>
        <w:rPr>
          <w:spacing w:val="-1"/>
        </w:rPr>
        <w:t xml:space="preserve"> </w:t>
      </w:r>
      <w:r>
        <w:t>($150 million</w:t>
      </w:r>
      <w:r>
        <w:rPr>
          <w:spacing w:val="-1"/>
        </w:rPr>
        <w:t xml:space="preserve"> </w:t>
      </w:r>
      <w:r>
        <w:t xml:space="preserve">for </w:t>
      </w:r>
      <w:r>
        <w:rPr>
          <w:spacing w:val="-1"/>
        </w:rPr>
        <w:t xml:space="preserve">water </w:t>
      </w:r>
      <w:r>
        <w:t>and</w:t>
      </w:r>
      <w:r>
        <w:rPr>
          <w:spacing w:val="-1"/>
        </w:rPr>
        <w:t xml:space="preserve"> </w:t>
      </w:r>
      <w:r>
        <w:t>$108 million</w:t>
      </w:r>
      <w:r>
        <w:rPr>
          <w:spacing w:val="-1"/>
        </w:rPr>
        <w:t xml:space="preserve"> </w:t>
      </w:r>
      <w:r>
        <w:t xml:space="preserve">for </w:t>
      </w:r>
      <w:r>
        <w:rPr>
          <w:spacing w:val="-1"/>
        </w:rPr>
        <w:t>sewerage).</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2"/>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463" style="width:72.5pt;height:.5pt;mso-position-horizontal-relative:char;mso-position-vertical-relative:line" coordsize="1450,10">
            <v:group id="_x0000_s3464" style="position:absolute;left:5;top:5;width:1440;height:2" coordorigin="5,5" coordsize="1440,2">
              <v:shape id="_x0000_s3465" style="position:absolute;left:5;top:5;width:1440;height:2" coordorigin="5,5" coordsize="1440,0" path="m5,5r1440,e" filled="f" strokeweight=".5pt">
                <v:path arrowok="t"/>
              </v:shape>
            </v:group>
            <w10:wrap type="none"/>
            <w10:anchorlock/>
          </v:group>
        </w:pict>
      </w:r>
    </w:p>
    <w:p w:rsidR="00D96B91" w:rsidRDefault="00C2656B">
      <w:pPr>
        <w:numPr>
          <w:ilvl w:val="0"/>
          <w:numId w:val="130"/>
        </w:numPr>
        <w:tabs>
          <w:tab w:val="left" w:pos="1758"/>
        </w:tabs>
        <w:spacing w:before="45" w:line="192" w:lineRule="exact"/>
        <w:ind w:right="1847"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has accounted for the </w:t>
      </w:r>
      <w:r>
        <w:rPr>
          <w:rFonts w:ascii="Avenir Next" w:eastAsia="Avenir Next" w:hAnsi="Avenir Next" w:cs="Avenir Next"/>
          <w:spacing w:val="-1"/>
          <w:sz w:val="16"/>
          <w:szCs w:val="16"/>
        </w:rPr>
        <w:t>over-recovery</w:t>
      </w:r>
      <w:r>
        <w:rPr>
          <w:rFonts w:ascii="Avenir Next" w:eastAsia="Avenir Next" w:hAnsi="Avenir Next" w:cs="Avenir Next"/>
          <w:sz w:val="16"/>
          <w:szCs w:val="16"/>
        </w:rPr>
        <w:t xml:space="preserve"> by making a ‘true-up’ adjustment to the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z w:val="16"/>
          <w:szCs w:val="16"/>
        </w:rPr>
        <w:t xml:space="preserve"> for</w:t>
      </w:r>
      <w:r>
        <w:rPr>
          <w:rFonts w:ascii="Avenir Next" w:eastAsia="Avenir Next" w:hAnsi="Avenir Next" w:cs="Avenir Next"/>
          <w:spacing w:val="31"/>
          <w:sz w:val="16"/>
          <w:szCs w:val="16"/>
        </w:rPr>
        <w:t xml:space="preserve"> </w:t>
      </w:r>
      <w:r>
        <w:rPr>
          <w:rFonts w:ascii="Avenir Next" w:eastAsia="Avenir Next" w:hAnsi="Avenir Next" w:cs="Avenir Next"/>
          <w:sz w:val="16"/>
          <w:szCs w:val="16"/>
        </w:rPr>
        <w:t xml:space="preserve">2015-16 to 2017-18 prior to </w:t>
      </w:r>
      <w:r>
        <w:rPr>
          <w:rFonts w:ascii="Avenir Next" w:eastAsia="Avenir Next" w:hAnsi="Avenir Next" w:cs="Avenir Next"/>
          <w:spacing w:val="-1"/>
          <w:sz w:val="16"/>
          <w:szCs w:val="16"/>
        </w:rPr>
        <w:t>calculating</w:t>
      </w:r>
      <w:r>
        <w:rPr>
          <w:rFonts w:ascii="Avenir Next" w:eastAsia="Avenir Next" w:hAnsi="Avenir Next" w:cs="Avenir Next"/>
          <w:sz w:val="16"/>
          <w:szCs w:val="16"/>
        </w:rPr>
        <w:t xml:space="preserve"> prices for these </w:t>
      </w:r>
      <w:r>
        <w:rPr>
          <w:rFonts w:ascii="Avenir Next" w:eastAsia="Avenir Next" w:hAnsi="Avenir Next" w:cs="Avenir Next"/>
          <w:spacing w:val="-1"/>
          <w:sz w:val="16"/>
          <w:szCs w:val="16"/>
        </w:rPr>
        <w:t>years.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See Chapter 14 for </w:t>
      </w:r>
      <w:r>
        <w:rPr>
          <w:rFonts w:ascii="Avenir Next" w:eastAsia="Avenir Next" w:hAnsi="Avenir Next" w:cs="Avenir Next"/>
          <w:spacing w:val="-1"/>
          <w:sz w:val="16"/>
          <w:szCs w:val="16"/>
        </w:rPr>
        <w:t>further</w:t>
      </w:r>
      <w:r>
        <w:rPr>
          <w:rFonts w:ascii="Avenir Next" w:eastAsia="Avenir Next" w:hAnsi="Avenir Next" w:cs="Avenir Next"/>
          <w:sz w:val="16"/>
          <w:szCs w:val="16"/>
        </w:rPr>
        <w:t xml:space="preserve"> detail on this adjustment.</w:t>
      </w:r>
    </w:p>
    <w:p w:rsidR="00D96B91" w:rsidRDefault="00C2656B">
      <w:pPr>
        <w:numPr>
          <w:ilvl w:val="0"/>
          <w:numId w:val="130"/>
        </w:numPr>
        <w:tabs>
          <w:tab w:val="left" w:pos="1758"/>
        </w:tabs>
        <w:spacing w:before="141"/>
        <w:ind w:hanging="510"/>
        <w:rPr>
          <w:rFonts w:ascii="Avenir Next" w:eastAsia="Avenir Next" w:hAnsi="Avenir Next" w:cs="Avenir Next"/>
          <w:sz w:val="16"/>
          <w:szCs w:val="16"/>
        </w:rPr>
      </w:pPr>
      <w:r>
        <w:rPr>
          <w:rFonts w:ascii="Avenir Next"/>
          <w:spacing w:val="-1"/>
          <w:sz w:val="16"/>
        </w:rPr>
        <w:t>Apart</w:t>
      </w:r>
      <w:r>
        <w:rPr>
          <w:rFonts w:ascii="Avenir Next"/>
          <w:sz w:val="16"/>
        </w:rPr>
        <w:t xml:space="preserve"> </w:t>
      </w:r>
      <w:r>
        <w:rPr>
          <w:rFonts w:ascii="Avenir Next"/>
          <w:spacing w:val="-1"/>
          <w:sz w:val="16"/>
        </w:rPr>
        <w:t>from</w:t>
      </w:r>
      <w:r>
        <w:rPr>
          <w:rFonts w:ascii="Avenir Next"/>
          <w:sz w:val="16"/>
        </w:rPr>
        <w:t xml:space="preserve"> some </w:t>
      </w:r>
      <w:r>
        <w:rPr>
          <w:rFonts w:ascii="Avenir Next"/>
          <w:spacing w:val="-1"/>
          <w:sz w:val="16"/>
        </w:rPr>
        <w:t>relatively</w:t>
      </w:r>
      <w:r>
        <w:rPr>
          <w:rFonts w:ascii="Avenir Next"/>
          <w:sz w:val="16"/>
        </w:rPr>
        <w:t xml:space="preserve"> minor adjustments.</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2"/>
          <w:sz w:val="20"/>
        </w:rPr>
        <w:t>Figure</w:t>
      </w:r>
      <w:r>
        <w:rPr>
          <w:rFonts w:ascii="Avenir Next"/>
          <w:b/>
          <w:sz w:val="20"/>
        </w:rPr>
        <w:t xml:space="preserve"> 1.2: </w:t>
      </w:r>
      <w:r>
        <w:rPr>
          <w:rFonts w:ascii="Avenir Next"/>
          <w:b/>
          <w:spacing w:val="-1"/>
          <w:sz w:val="20"/>
        </w:rPr>
        <w:t>Comparison</w:t>
      </w:r>
      <w:r>
        <w:rPr>
          <w:rFonts w:ascii="Avenir Next"/>
          <w:b/>
          <w:sz w:val="20"/>
        </w:rPr>
        <w:t xml:space="preserve"> of</w:t>
      </w:r>
      <w:r>
        <w:rPr>
          <w:rFonts w:ascii="Avenir Next"/>
          <w:b/>
          <w:spacing w:val="4"/>
          <w:sz w:val="20"/>
        </w:rPr>
        <w:t xml:space="preserve"> </w:t>
      </w:r>
      <w:r>
        <w:rPr>
          <w:rFonts w:ascii="Avenir Next"/>
          <w:b/>
          <w:sz w:val="20"/>
        </w:rPr>
        <w:t xml:space="preserve">total </w:t>
      </w:r>
      <w:r>
        <w:rPr>
          <w:rFonts w:ascii="Avenir Next"/>
          <w:b/>
          <w:spacing w:val="-1"/>
          <w:sz w:val="20"/>
        </w:rPr>
        <w:t>revenue</w:t>
      </w:r>
      <w:r>
        <w:rPr>
          <w:rFonts w:ascii="Avenir Next"/>
          <w:b/>
          <w:sz w:val="20"/>
        </w:rPr>
        <w:t xml:space="preserve"> </w:t>
      </w:r>
      <w:r>
        <w:rPr>
          <w:rFonts w:ascii="Avenir Next"/>
          <w:b/>
          <w:spacing w:val="-1"/>
          <w:sz w:val="20"/>
        </w:rPr>
        <w:t>requirements</w:t>
      </w:r>
    </w:p>
    <w:p w:rsidR="00D96B91" w:rsidRDefault="00D96B91">
      <w:pPr>
        <w:spacing w:before="13"/>
        <w:rPr>
          <w:rFonts w:ascii="Avenir Next" w:eastAsia="Avenir Next" w:hAnsi="Avenir Next" w:cs="Avenir Next"/>
          <w:b/>
          <w:bCs/>
          <w:sz w:val="12"/>
          <w:szCs w:val="12"/>
        </w:rPr>
      </w:pPr>
    </w:p>
    <w:tbl>
      <w:tblPr>
        <w:tblW w:w="0" w:type="auto"/>
        <w:tblInd w:w="1247" w:type="dxa"/>
        <w:tblLayout w:type="fixed"/>
        <w:tblCellMar>
          <w:left w:w="0" w:type="dxa"/>
          <w:right w:w="0" w:type="dxa"/>
        </w:tblCellMar>
        <w:tblLook w:val="01E0"/>
      </w:tblPr>
      <w:tblGrid>
        <w:gridCol w:w="9391"/>
      </w:tblGrid>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2"/>
                <w:sz w:val="20"/>
              </w:rPr>
              <w:t>Water</w:t>
            </w:r>
            <w:r>
              <w:rPr>
                <w:rFonts w:ascii="Avenir Next"/>
                <w:b/>
                <w:sz w:val="20"/>
              </w:rPr>
              <w:t xml:space="preserve"> services</w:t>
            </w:r>
          </w:p>
        </w:tc>
      </w:tr>
      <w:tr w:rsidR="00D96B91">
        <w:trPr>
          <w:trHeight w:hRule="exact" w:val="4976"/>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1000"/>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07266" cy="3076003"/>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0" cstate="print"/>
                          <a:stretch>
                            <a:fillRect/>
                          </a:stretch>
                        </pic:blipFill>
                        <pic:spPr>
                          <a:xfrm>
                            <a:off x="0" y="0"/>
                            <a:ext cx="4707266" cy="3076003"/>
                          </a:xfrm>
                          <a:prstGeom prst="rect">
                            <a:avLst/>
                          </a:prstGeom>
                        </pic:spPr>
                      </pic:pic>
                    </a:graphicData>
                  </a:graphic>
                </wp:inline>
              </w:drawing>
            </w:r>
          </w:p>
        </w:tc>
      </w:tr>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1"/>
                <w:sz w:val="20"/>
              </w:rPr>
              <w:t>Sewerage</w:t>
            </w:r>
            <w:r>
              <w:rPr>
                <w:rFonts w:ascii="Avenir Next"/>
                <w:b/>
                <w:sz w:val="20"/>
              </w:rPr>
              <w:t xml:space="preserve"> services</w:t>
            </w:r>
          </w:p>
        </w:tc>
      </w:tr>
      <w:tr w:rsidR="00D96B91">
        <w:trPr>
          <w:trHeight w:hRule="exact" w:val="4971"/>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1000"/>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12151" cy="3076003"/>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31" cstate="print"/>
                          <a:stretch>
                            <a:fillRect/>
                          </a:stretch>
                        </pic:blipFill>
                        <pic:spPr>
                          <a:xfrm>
                            <a:off x="0" y="0"/>
                            <a:ext cx="4712151" cy="3076003"/>
                          </a:xfrm>
                          <a:prstGeom prst="rect">
                            <a:avLst/>
                          </a:prstGeom>
                        </pic:spPr>
                      </pic:pic>
                    </a:graphicData>
                  </a:graphic>
                </wp:inline>
              </w:drawing>
            </w:r>
          </w:p>
        </w:tc>
      </w:tr>
    </w:tbl>
    <w:p w:rsidR="00D96B91" w:rsidRDefault="00D96B91">
      <w:pPr>
        <w:spacing w:before="8"/>
        <w:rPr>
          <w:rFonts w:ascii="Avenir Next" w:eastAsia="Avenir Next" w:hAnsi="Avenir Next" w:cs="Avenir Next"/>
          <w:b/>
          <w:bCs/>
          <w:sz w:val="7"/>
          <w:szCs w:val="7"/>
        </w:rPr>
      </w:pPr>
    </w:p>
    <w:p w:rsidR="00D96B91" w:rsidRDefault="00C2656B">
      <w:pPr>
        <w:pStyle w:val="BodyText"/>
        <w:spacing w:before="38" w:line="260" w:lineRule="exact"/>
        <w:ind w:right="1263"/>
      </w:pPr>
      <w:r>
        <w:t xml:space="preserve">Note </w:t>
      </w:r>
      <w:r>
        <w:rPr>
          <w:spacing w:val="-1"/>
        </w:rPr>
        <w:t>that</w:t>
      </w:r>
      <w:r>
        <w:t xml:space="preserve"> </w:t>
      </w:r>
      <w:r>
        <w:rPr>
          <w:spacing w:val="-2"/>
        </w:rPr>
        <w:t>Figure</w:t>
      </w:r>
      <w:r>
        <w:t xml:space="preserve"> 1.2 shows the </w:t>
      </w:r>
      <w:r>
        <w:rPr>
          <w:spacing w:val="-4"/>
        </w:rPr>
        <w:t>Panel’s</w:t>
      </w:r>
      <w:r>
        <w:t xml:space="preserve"> </w:t>
      </w:r>
      <w:r>
        <w:rPr>
          <w:spacing w:val="-2"/>
        </w:rPr>
        <w:t>draft</w:t>
      </w:r>
      <w:r>
        <w:t xml:space="preserve"> decision on the total </w:t>
      </w:r>
      <w:r>
        <w:rPr>
          <w:spacing w:val="-1"/>
        </w:rPr>
        <w:t>revenue</w:t>
      </w:r>
      <w:r>
        <w:t xml:space="preserve"> </w:t>
      </w:r>
      <w:r>
        <w:rPr>
          <w:spacing w:val="-1"/>
        </w:rPr>
        <w:t>requirement.</w:t>
      </w:r>
      <w:r>
        <w:rPr>
          <w:spacing w:val="-6"/>
        </w:rPr>
        <w:t xml:space="preserve"> </w:t>
      </w:r>
      <w:r>
        <w:t>In line with usual</w:t>
      </w:r>
      <w:r>
        <w:rPr>
          <w:spacing w:val="47"/>
        </w:rPr>
        <w:t xml:space="preserve"> </w:t>
      </w:r>
      <w:r>
        <w:rPr>
          <w:rFonts w:cs="Avenir Next"/>
          <w:spacing w:val="-1"/>
        </w:rPr>
        <w:t>regulatory</w:t>
      </w:r>
      <w:r>
        <w:rPr>
          <w:rFonts w:cs="Avenir Next"/>
        </w:rPr>
        <w:t xml:space="preserve"> </w:t>
      </w:r>
      <w:r>
        <w:rPr>
          <w:rFonts w:cs="Avenir Next"/>
          <w:spacing w:val="-1"/>
        </w:rPr>
        <w:t>practice,</w:t>
      </w:r>
      <w:r>
        <w:rPr>
          <w:rFonts w:cs="Avenir Next"/>
          <w:spacing w:val="-6"/>
        </w:rPr>
        <w:t xml:space="preserve"> </w:t>
      </w:r>
      <w:r>
        <w:rPr>
          <w:rFonts w:cs="Avenir Next"/>
        </w:rPr>
        <w:t xml:space="preserve">the </w:t>
      </w:r>
      <w:r>
        <w:rPr>
          <w:rFonts w:cs="Avenir Next"/>
          <w:spacing w:val="-3"/>
        </w:rPr>
        <w:t>Panel</w:t>
      </w:r>
      <w:r>
        <w:rPr>
          <w:rFonts w:cs="Avenir Next"/>
        </w:rPr>
        <w:t xml:space="preserve"> has made </w:t>
      </w:r>
      <w:r>
        <w:rPr>
          <w:rFonts w:cs="Avenir Next"/>
          <w:spacing w:val="-1"/>
        </w:rPr>
        <w:t>certain</w:t>
      </w:r>
      <w:r>
        <w:rPr>
          <w:rFonts w:cs="Avenir Next"/>
        </w:rPr>
        <w:t xml:space="preserve"> deductions </w:t>
      </w:r>
      <w:r>
        <w:rPr>
          <w:rFonts w:cs="Avenir Next"/>
          <w:spacing w:val="-1"/>
        </w:rPr>
        <w:t>from</w:t>
      </w:r>
      <w:r>
        <w:rPr>
          <w:rFonts w:cs="Avenir Next"/>
        </w:rPr>
        <w:t xml:space="preserve"> this amount (such as income</w:t>
      </w:r>
      <w:r>
        <w:rPr>
          <w:rFonts w:cs="Avenir Next"/>
          <w:spacing w:val="-4"/>
        </w:rPr>
        <w:t xml:space="preserve"> </w:t>
      </w:r>
      <w:r>
        <w:rPr>
          <w:rFonts w:cs="Avenir Next"/>
          <w:spacing w:val="-2"/>
        </w:rPr>
        <w:t>ACTEW</w:t>
      </w:r>
      <w:r>
        <w:rPr>
          <w:rFonts w:cs="Avenir Next"/>
          <w:spacing w:val="41"/>
        </w:rPr>
        <w:t xml:space="preserve"> </w:t>
      </w:r>
      <w:r>
        <w:rPr>
          <w:spacing w:val="-1"/>
        </w:rPr>
        <w:t>expects</w:t>
      </w:r>
      <w:r>
        <w:t xml:space="preserve"> to </w:t>
      </w:r>
      <w:r>
        <w:rPr>
          <w:spacing w:val="-1"/>
        </w:rPr>
        <w:t>receive</w:t>
      </w:r>
      <w:r>
        <w:t xml:space="preserve"> </w:t>
      </w:r>
      <w:r>
        <w:rPr>
          <w:spacing w:val="-1"/>
        </w:rPr>
        <w:t>from</w:t>
      </w:r>
      <w:r>
        <w:t xml:space="preserve"> other </w:t>
      </w:r>
      <w:r>
        <w:rPr>
          <w:spacing w:val="-1"/>
        </w:rPr>
        <w:t>sources).</w:t>
      </w:r>
      <w:r>
        <w:rPr>
          <w:spacing w:val="-11"/>
        </w:rPr>
        <w:t xml:space="preserve"> </w:t>
      </w:r>
      <w:r>
        <w:rPr>
          <w:spacing w:val="-2"/>
        </w:rPr>
        <w:t>The</w:t>
      </w:r>
      <w:r>
        <w:t xml:space="preserve"> prices under the </w:t>
      </w:r>
      <w:r>
        <w:rPr>
          <w:spacing w:val="-2"/>
        </w:rPr>
        <w:t>draft</w:t>
      </w:r>
      <w:r>
        <w:t xml:space="preserve"> </w:t>
      </w:r>
      <w:r>
        <w:rPr>
          <w:spacing w:val="-1"/>
        </w:rPr>
        <w:t>direction</w:t>
      </w:r>
      <w:r>
        <w:t xml:space="preserve"> have been set to </w:t>
      </w:r>
      <w:r>
        <w:rPr>
          <w:spacing w:val="-1"/>
        </w:rPr>
        <w:t>recover</w:t>
      </w:r>
      <w:r>
        <w:rPr>
          <w:spacing w:val="55"/>
        </w:rPr>
        <w:t xml:space="preserve"> </w:t>
      </w:r>
      <w:r>
        <w:t xml:space="preserve">this net </w:t>
      </w:r>
      <w:r>
        <w:rPr>
          <w:spacing w:val="-1"/>
        </w:rPr>
        <w:t>revenue</w:t>
      </w:r>
      <w:r>
        <w:t xml:space="preserve"> </w:t>
      </w:r>
      <w:r>
        <w:rPr>
          <w:spacing w:val="-1"/>
        </w:rPr>
        <w:t>requirement,</w:t>
      </w:r>
      <w:r>
        <w:rPr>
          <w:spacing w:val="-6"/>
        </w:rPr>
        <w:t xml:space="preserve"> </w:t>
      </w:r>
      <w:r>
        <w:t>taking into account the ‘true up’ adjustment (discussed above) and the</w:t>
      </w:r>
      <w:r>
        <w:rPr>
          <w:spacing w:val="28"/>
        </w:rPr>
        <w:t xml:space="preserve"> </w:t>
      </w:r>
      <w:r>
        <w:t xml:space="preserve">demand </w:t>
      </w:r>
      <w:r>
        <w:rPr>
          <w:spacing w:val="-1"/>
        </w:rPr>
        <w:t>forecasts</w:t>
      </w:r>
      <w:r>
        <w:t xml:space="preserve"> (discussed </w:t>
      </w:r>
      <w:r>
        <w:rPr>
          <w:spacing w:val="-1"/>
        </w:rPr>
        <w:t>further</w:t>
      </w:r>
      <w:r>
        <w:t xml:space="preserve"> below).</w:t>
      </w:r>
    </w:p>
    <w:p w:rsidR="00D96B91" w:rsidRDefault="00D96B91">
      <w:pPr>
        <w:spacing w:line="260" w:lineRule="exact"/>
        <w:sectPr w:rsidR="00D96B91">
          <w:footerReference w:type="even" r:id="rId32"/>
          <w:footerReference w:type="default" r:id="rId33"/>
          <w:pgSz w:w="11910" w:h="16840"/>
          <w:pgMar w:top="1200" w:right="0" w:bottom="1020" w:left="0" w:header="0" w:footer="829" w:gutter="0"/>
          <w:cols w:space="720"/>
        </w:sectPr>
      </w:pPr>
    </w:p>
    <w:p w:rsidR="00D96B91" w:rsidRDefault="00C2656B">
      <w:pPr>
        <w:pStyle w:val="Heading6"/>
        <w:numPr>
          <w:ilvl w:val="2"/>
          <w:numId w:val="129"/>
        </w:numPr>
        <w:tabs>
          <w:tab w:val="left" w:pos="2098"/>
        </w:tabs>
        <w:spacing w:before="9"/>
        <w:ind w:hanging="850"/>
        <w:rPr>
          <w:rFonts w:cs="Avenir Next Medium"/>
        </w:rPr>
      </w:pPr>
      <w:bookmarkStart w:id="8" w:name="1._5_How_did_the_Panel_approach_its_task"/>
      <w:bookmarkStart w:id="9" w:name="_bookmark3"/>
      <w:bookmarkEnd w:id="8"/>
      <w:bookmarkEnd w:id="9"/>
      <w:r>
        <w:rPr>
          <w:rFonts w:cs="Avenir Next Medium"/>
          <w:color w:val="0778BE"/>
          <w:spacing w:val="-2"/>
        </w:rPr>
        <w:t>The</w:t>
      </w:r>
      <w:r>
        <w:rPr>
          <w:rFonts w:cs="Avenir Next Medium"/>
          <w:color w:val="0778BE"/>
        </w:rPr>
        <w:t xml:space="preserve"> </w:t>
      </w:r>
      <w:r>
        <w:rPr>
          <w:rFonts w:cs="Avenir Next Medium"/>
          <w:color w:val="0778BE"/>
          <w:spacing w:val="-4"/>
        </w:rPr>
        <w:t>Panel’s</w:t>
      </w:r>
      <w:r>
        <w:rPr>
          <w:rFonts w:cs="Avenir Next Medium"/>
          <w:color w:val="0778BE"/>
        </w:rPr>
        <w:t xml:space="preserve"> </w:t>
      </w:r>
      <w:r>
        <w:rPr>
          <w:rFonts w:cs="Avenir Next Medium"/>
          <w:color w:val="0778BE"/>
          <w:spacing w:val="-2"/>
        </w:rPr>
        <w:t>draft</w:t>
      </w:r>
      <w:r>
        <w:rPr>
          <w:rFonts w:cs="Avenir Next Medium"/>
          <w:color w:val="0778BE"/>
        </w:rPr>
        <w:t xml:space="preserve"> </w:t>
      </w:r>
      <w:r>
        <w:rPr>
          <w:rFonts w:cs="Avenir Next Medium"/>
          <w:color w:val="0778BE"/>
          <w:spacing w:val="-1"/>
        </w:rPr>
        <w:t>direction</w:t>
      </w:r>
      <w:r>
        <w:rPr>
          <w:rFonts w:cs="Avenir Next Medium"/>
          <w:color w:val="0778BE"/>
        </w:rPr>
        <w:t xml:space="preserve"> is based on a </w:t>
      </w:r>
      <w:r>
        <w:rPr>
          <w:rFonts w:cs="Avenir Next Medium"/>
          <w:color w:val="0778BE"/>
          <w:spacing w:val="-1"/>
        </w:rPr>
        <w:t>multi-year</w:t>
      </w:r>
      <w:r>
        <w:rPr>
          <w:rFonts w:cs="Avenir Next Medium"/>
          <w:color w:val="0778BE"/>
        </w:rPr>
        <w:t xml:space="preserve"> demand </w:t>
      </w:r>
      <w:r>
        <w:rPr>
          <w:rFonts w:cs="Avenir Next Medium"/>
          <w:color w:val="0778BE"/>
          <w:spacing w:val="-1"/>
        </w:rPr>
        <w:t>forecast</w:t>
      </w:r>
    </w:p>
    <w:p w:rsidR="00D96B91" w:rsidRDefault="00C2656B">
      <w:pPr>
        <w:pStyle w:val="BodyText"/>
        <w:spacing w:before="21" w:line="260" w:lineRule="exact"/>
        <w:ind w:right="1283"/>
      </w:pPr>
      <w:r>
        <w:t xml:space="preserve">Because prices </w:t>
      </w:r>
      <w:r>
        <w:rPr>
          <w:spacing w:val="-2"/>
        </w:rPr>
        <w:t>are</w:t>
      </w:r>
      <w:r>
        <w:t xml:space="preserve"> </w:t>
      </w:r>
      <w:r>
        <w:rPr>
          <w:spacing w:val="-1"/>
        </w:rPr>
        <w:t>directly</w:t>
      </w:r>
      <w:r>
        <w:t xml:space="preserve"> </w:t>
      </w:r>
      <w:r>
        <w:rPr>
          <w:spacing w:val="-1"/>
        </w:rPr>
        <w:t>proportional</w:t>
      </w:r>
      <w:r>
        <w:t xml:space="preserve"> to the level of</w:t>
      </w:r>
      <w:r>
        <w:rPr>
          <w:spacing w:val="4"/>
        </w:rPr>
        <w:t xml:space="preserve"> </w:t>
      </w:r>
      <w:r>
        <w:rPr>
          <w:spacing w:val="-1"/>
        </w:rPr>
        <w:t>expected</w:t>
      </w:r>
      <w:r>
        <w:t xml:space="preserve"> consumption,</w:t>
      </w:r>
      <w:r>
        <w:rPr>
          <w:spacing w:val="-7"/>
        </w:rPr>
        <w:t xml:space="preserve"> </w:t>
      </w:r>
      <w:r>
        <w:t xml:space="preserve">the demand </w:t>
      </w:r>
      <w:r>
        <w:rPr>
          <w:spacing w:val="-1"/>
        </w:rPr>
        <w:t>forecasts</w:t>
      </w:r>
      <w:r>
        <w:rPr>
          <w:spacing w:val="45"/>
        </w:rPr>
        <w:t xml:space="preserve"> </w:t>
      </w:r>
      <w:r>
        <w:t xml:space="preserve">used in </w:t>
      </w:r>
      <w:r>
        <w:rPr>
          <w:spacing w:val="-1"/>
        </w:rPr>
        <w:t>setting</w:t>
      </w:r>
      <w:r>
        <w:t xml:space="preserve"> prices have a </w:t>
      </w:r>
      <w:r>
        <w:rPr>
          <w:spacing w:val="-1"/>
        </w:rPr>
        <w:t>material</w:t>
      </w:r>
      <w:r>
        <w:t xml:space="preserve"> impact on the </w:t>
      </w:r>
      <w:r>
        <w:rPr>
          <w:spacing w:val="-1"/>
        </w:rPr>
        <w:t>resulting</w:t>
      </w:r>
      <w:r>
        <w:t xml:space="preserve"> level of</w:t>
      </w:r>
      <w:r>
        <w:rPr>
          <w:spacing w:val="4"/>
        </w:rPr>
        <w:t xml:space="preserve"> </w:t>
      </w:r>
      <w:r>
        <w:t xml:space="preserve">prices within a </w:t>
      </w:r>
      <w:r>
        <w:rPr>
          <w:spacing w:val="-1"/>
        </w:rPr>
        <w:t>regulatory</w:t>
      </w:r>
      <w:r>
        <w:t xml:space="preserve"> period.</w:t>
      </w:r>
    </w:p>
    <w:p w:rsidR="00D96B91" w:rsidRDefault="00C2656B">
      <w:pPr>
        <w:pStyle w:val="BodyText"/>
        <w:spacing w:before="178" w:line="267" w:lineRule="exact"/>
      </w:pPr>
      <w:r>
        <w:rPr>
          <w:spacing w:val="-2"/>
        </w:rPr>
        <w:t>The</w:t>
      </w:r>
      <w:r>
        <w:rPr>
          <w:spacing w:val="-1"/>
        </w:rPr>
        <w:t xml:space="preserve"> </w:t>
      </w:r>
      <w:r>
        <w:rPr>
          <w:spacing w:val="-4"/>
        </w:rPr>
        <w:t>Panel’s</w:t>
      </w:r>
      <w:r>
        <w:t xml:space="preserve"> </w:t>
      </w:r>
      <w:r>
        <w:rPr>
          <w:spacing w:val="-2"/>
        </w:rPr>
        <w:t>draft</w:t>
      </w:r>
      <w:r>
        <w:rPr>
          <w:spacing w:val="-1"/>
        </w:rPr>
        <w:t xml:space="preserve"> direction</w:t>
      </w:r>
      <w:r>
        <w:t xml:space="preserve"> is based</w:t>
      </w:r>
      <w:r>
        <w:rPr>
          <w:spacing w:val="-1"/>
        </w:rPr>
        <w:t xml:space="preserve"> </w:t>
      </w:r>
      <w:r>
        <w:t>on a demand</w:t>
      </w:r>
      <w:r>
        <w:rPr>
          <w:spacing w:val="-1"/>
        </w:rPr>
        <w:t xml:space="preserve"> forecast</w:t>
      </w:r>
      <w:r>
        <w:t xml:space="preserve"> </w:t>
      </w:r>
      <w:r>
        <w:rPr>
          <w:spacing w:val="-1"/>
        </w:rPr>
        <w:t xml:space="preserve">that </w:t>
      </w:r>
      <w:r>
        <w:t>covers the full</w:t>
      </w:r>
      <w:r>
        <w:rPr>
          <w:spacing w:val="-1"/>
        </w:rPr>
        <w:t xml:space="preserve"> five-year</w:t>
      </w:r>
      <w:r>
        <w:t xml:space="preserve"> period to</w:t>
      </w:r>
    </w:p>
    <w:p w:rsidR="00D96B91" w:rsidRDefault="00C2656B">
      <w:pPr>
        <w:pStyle w:val="BodyText"/>
        <w:spacing w:before="3" w:line="228" w:lineRule="auto"/>
        <w:ind w:right="1447"/>
      </w:pPr>
      <w:r>
        <w:t>30</w:t>
      </w:r>
      <w:r>
        <w:rPr>
          <w:spacing w:val="-4"/>
        </w:rPr>
        <w:t xml:space="preserve"> </w:t>
      </w:r>
      <w:r>
        <w:t>June 2018.</w:t>
      </w:r>
      <w:r>
        <w:rPr>
          <w:spacing w:val="-7"/>
        </w:rPr>
        <w:t xml:space="preserve"> </w:t>
      </w:r>
      <w:r>
        <w:t>By comparison,</w:t>
      </w:r>
      <w:r>
        <w:rPr>
          <w:spacing w:val="-7"/>
        </w:rPr>
        <w:t xml:space="preserve"> </w:t>
      </w:r>
      <w:r>
        <w:t>in its</w:t>
      </w:r>
      <w:r>
        <w:rPr>
          <w:spacing w:val="-1"/>
        </w:rPr>
        <w:t xml:space="preserve"> </w:t>
      </w:r>
      <w:r>
        <w:t>final decision,</w:t>
      </w:r>
      <w:r>
        <w:rPr>
          <w:spacing w:val="-6"/>
        </w:rPr>
        <w:t xml:space="preserve"> </w:t>
      </w:r>
      <w:r>
        <w:t>the</w:t>
      </w:r>
      <w:r>
        <w:rPr>
          <w:spacing w:val="-1"/>
        </w:rPr>
        <w:t xml:space="preserve"> </w:t>
      </w:r>
      <w:r>
        <w:t>ICRC adopted</w:t>
      </w:r>
      <w:r>
        <w:rPr>
          <w:spacing w:val="-1"/>
        </w:rPr>
        <w:t xml:space="preserve"> </w:t>
      </w:r>
      <w:r>
        <w:t xml:space="preserve">demand </w:t>
      </w:r>
      <w:r>
        <w:rPr>
          <w:spacing w:val="-1"/>
        </w:rPr>
        <w:t xml:space="preserve">forecasts </w:t>
      </w:r>
      <w:r>
        <w:t>for the</w:t>
      </w:r>
      <w:r>
        <w:rPr>
          <w:spacing w:val="-1"/>
        </w:rPr>
        <w:t xml:space="preserve"> </w:t>
      </w:r>
      <w:r>
        <w:t>first</w:t>
      </w:r>
      <w:r>
        <w:rPr>
          <w:spacing w:val="25"/>
          <w:w w:val="99"/>
        </w:rPr>
        <w:t xml:space="preserve"> </w:t>
      </w:r>
      <w:r>
        <w:t xml:space="preserve">two </w:t>
      </w:r>
      <w:r>
        <w:rPr>
          <w:spacing w:val="-1"/>
        </w:rPr>
        <w:t>years</w:t>
      </w:r>
      <w:r>
        <w:t xml:space="preserve"> of</w:t>
      </w:r>
      <w:r>
        <w:rPr>
          <w:spacing w:val="4"/>
        </w:rPr>
        <w:t xml:space="preserve"> </w:t>
      </w:r>
      <w:r>
        <w:t xml:space="preserve">the </w:t>
      </w:r>
      <w:r>
        <w:rPr>
          <w:spacing w:val="-1"/>
        </w:rPr>
        <w:t>regulatory</w:t>
      </w:r>
      <w:r>
        <w:t xml:space="preserve"> period </w:t>
      </w:r>
      <w:r>
        <w:rPr>
          <w:spacing w:val="-2"/>
        </w:rPr>
        <w:t>only,</w:t>
      </w:r>
      <w:r>
        <w:rPr>
          <w:spacing w:val="-6"/>
        </w:rPr>
        <w:t xml:space="preserve"> </w:t>
      </w:r>
      <w:r>
        <w:t>while</w:t>
      </w:r>
      <w:r>
        <w:rPr>
          <w:spacing w:val="-4"/>
        </w:rPr>
        <w:t xml:space="preserve"> </w:t>
      </w:r>
      <w:r>
        <w:rPr>
          <w:spacing w:val="-2"/>
        </w:rPr>
        <w:t>ACTEW</w:t>
      </w:r>
      <w:r>
        <w:rPr>
          <w:spacing w:val="-3"/>
        </w:rPr>
        <w:t xml:space="preserve"> </w:t>
      </w:r>
      <w:r>
        <w:t xml:space="preserve">contended </w:t>
      </w:r>
      <w:r>
        <w:rPr>
          <w:spacing w:val="-1"/>
        </w:rPr>
        <w:t>that</w:t>
      </w:r>
      <w:r>
        <w:t xml:space="preserve"> demand should be determined</w:t>
      </w:r>
      <w:r>
        <w:rPr>
          <w:spacing w:val="31"/>
        </w:rPr>
        <w:t xml:space="preserve"> </w:t>
      </w:r>
      <w:r>
        <w:t>on an annual basis.</w:t>
      </w:r>
    </w:p>
    <w:p w:rsidR="00D96B91" w:rsidRDefault="00C2656B">
      <w:pPr>
        <w:pStyle w:val="BodyText"/>
        <w:spacing w:before="152" w:line="260" w:lineRule="exact"/>
        <w:ind w:right="1376"/>
      </w:pPr>
      <w:r>
        <w:rPr>
          <w:spacing w:val="-2"/>
        </w:rPr>
        <w:t>The</w:t>
      </w:r>
      <w:r>
        <w:t xml:space="preserve"> </w:t>
      </w:r>
      <w:r>
        <w:rPr>
          <w:spacing w:val="-3"/>
        </w:rPr>
        <w:t>Panel</w:t>
      </w:r>
      <w:r>
        <w:t xml:space="preserve"> considers a </w:t>
      </w:r>
      <w:r>
        <w:rPr>
          <w:spacing w:val="-1"/>
        </w:rPr>
        <w:t>multi-year</w:t>
      </w:r>
      <w:r>
        <w:t xml:space="preserve"> demand </w:t>
      </w:r>
      <w:r>
        <w:rPr>
          <w:spacing w:val="-1"/>
        </w:rPr>
        <w:t>forecast</w:t>
      </w:r>
      <w:r>
        <w:t xml:space="preserve"> is </w:t>
      </w:r>
      <w:r>
        <w:rPr>
          <w:spacing w:val="-1"/>
        </w:rPr>
        <w:t>preferable</w:t>
      </w:r>
      <w:r>
        <w:t xml:space="preserve"> and </w:t>
      </w:r>
      <w:r>
        <w:rPr>
          <w:spacing w:val="-1"/>
        </w:rPr>
        <w:t>appropriate</w:t>
      </w:r>
      <w:r>
        <w:t xml:space="preserve"> given the </w:t>
      </w:r>
      <w:r>
        <w:rPr>
          <w:spacing w:val="-1"/>
        </w:rPr>
        <w:t>importance</w:t>
      </w:r>
      <w:r>
        <w:rPr>
          <w:spacing w:val="65"/>
        </w:rPr>
        <w:t xml:space="preserve"> </w:t>
      </w:r>
      <w:r>
        <w:t>of</w:t>
      </w:r>
      <w:r>
        <w:rPr>
          <w:spacing w:val="4"/>
        </w:rPr>
        <w:t xml:space="preserve"> </w:t>
      </w:r>
      <w:r>
        <w:t xml:space="preserve">these </w:t>
      </w:r>
      <w:r>
        <w:rPr>
          <w:spacing w:val="-1"/>
        </w:rPr>
        <w:t>forecasts</w:t>
      </w:r>
      <w:r>
        <w:t xml:space="preserve"> in the price </w:t>
      </w:r>
      <w:r>
        <w:rPr>
          <w:spacing w:val="-1"/>
        </w:rPr>
        <w:t>setting</w:t>
      </w:r>
      <w:r>
        <w:t xml:space="preserve"> </w:t>
      </w:r>
      <w:r>
        <w:rPr>
          <w:spacing w:val="-1"/>
        </w:rPr>
        <w:t>process,</w:t>
      </w:r>
      <w:r>
        <w:rPr>
          <w:spacing w:val="-6"/>
        </w:rPr>
        <w:t xml:space="preserve"> </w:t>
      </w:r>
      <w:r>
        <w:t xml:space="preserve">and is in </w:t>
      </w:r>
      <w:r>
        <w:rPr>
          <w:spacing w:val="-1"/>
        </w:rPr>
        <w:t>keeping</w:t>
      </w:r>
      <w:r>
        <w:t xml:space="preserve"> with </w:t>
      </w:r>
      <w:r>
        <w:rPr>
          <w:spacing w:val="-1"/>
        </w:rPr>
        <w:t>general</w:t>
      </w:r>
      <w:r>
        <w:t xml:space="preserve"> </w:t>
      </w:r>
      <w:r>
        <w:rPr>
          <w:spacing w:val="-1"/>
        </w:rPr>
        <w:t>regulatory</w:t>
      </w:r>
      <w:r>
        <w:t xml:space="preserve"> </w:t>
      </w:r>
      <w:r>
        <w:rPr>
          <w:spacing w:val="-1"/>
        </w:rPr>
        <w:t>practice.</w:t>
      </w:r>
    </w:p>
    <w:p w:rsidR="00D96B91" w:rsidRDefault="00C2656B">
      <w:pPr>
        <w:pStyle w:val="BodyText"/>
        <w:spacing w:before="170" w:line="260" w:lineRule="exact"/>
        <w:ind w:right="1303"/>
      </w:pPr>
      <w:r>
        <w:t>As</w:t>
      </w:r>
      <w:r>
        <w:rPr>
          <w:spacing w:val="-1"/>
        </w:rPr>
        <w:t xml:space="preserve"> </w:t>
      </w:r>
      <w:r>
        <w:t>noted</w:t>
      </w:r>
      <w:r>
        <w:rPr>
          <w:spacing w:val="-1"/>
        </w:rPr>
        <w:t xml:space="preserve"> </w:t>
      </w:r>
      <w:r>
        <w:t>above,</w:t>
      </w:r>
      <w:r>
        <w:rPr>
          <w:spacing w:val="-7"/>
        </w:rPr>
        <w:t xml:space="preserve"> </w:t>
      </w:r>
      <w:r>
        <w:t>the demand</w:t>
      </w:r>
      <w:r>
        <w:rPr>
          <w:spacing w:val="-1"/>
        </w:rPr>
        <w:t xml:space="preserve"> forecasts </w:t>
      </w:r>
      <w:r>
        <w:t xml:space="preserve">the </w:t>
      </w:r>
      <w:r>
        <w:rPr>
          <w:spacing w:val="-3"/>
        </w:rPr>
        <w:t>Panel</w:t>
      </w:r>
      <w:r>
        <w:rPr>
          <w:spacing w:val="-1"/>
        </w:rPr>
        <w:t xml:space="preserve"> </w:t>
      </w:r>
      <w:r>
        <w:t>adopted</w:t>
      </w:r>
      <w:r>
        <w:rPr>
          <w:spacing w:val="-1"/>
        </w:rPr>
        <w:t xml:space="preserve"> </w:t>
      </w:r>
      <w:r>
        <w:t>for</w:t>
      </w:r>
      <w:r>
        <w:rPr>
          <w:spacing w:val="-1"/>
        </w:rPr>
        <w:t xml:space="preserve"> </w:t>
      </w:r>
      <w:r>
        <w:t xml:space="preserve">its </w:t>
      </w:r>
      <w:r>
        <w:rPr>
          <w:spacing w:val="-2"/>
        </w:rPr>
        <w:t>draft</w:t>
      </w:r>
      <w:r>
        <w:rPr>
          <w:spacing w:val="-1"/>
        </w:rPr>
        <w:t xml:space="preserve"> direction </w:t>
      </w:r>
      <w:r>
        <w:rPr>
          <w:spacing w:val="-2"/>
        </w:rPr>
        <w:t>are</w:t>
      </w:r>
      <w:r>
        <w:rPr>
          <w:spacing w:val="-1"/>
        </w:rPr>
        <w:t xml:space="preserve"> </w:t>
      </w:r>
      <w:r>
        <w:t>significantly higher</w:t>
      </w:r>
      <w:r>
        <w:rPr>
          <w:spacing w:val="39"/>
        </w:rPr>
        <w:t xml:space="preserve"> </w:t>
      </w:r>
      <w:r>
        <w:t>than</w:t>
      </w:r>
      <w:r>
        <w:rPr>
          <w:spacing w:val="-1"/>
        </w:rPr>
        <w:t xml:space="preserve"> </w:t>
      </w:r>
      <w:r>
        <w:t>those adopted by the ICRC</w:t>
      </w:r>
      <w:r>
        <w:rPr>
          <w:spacing w:val="-1"/>
        </w:rPr>
        <w:t xml:space="preserve"> </w:t>
      </w:r>
      <w:r>
        <w:t xml:space="preserve">for the first two </w:t>
      </w:r>
      <w:r>
        <w:rPr>
          <w:spacing w:val="-1"/>
        </w:rPr>
        <w:t xml:space="preserve">years </w:t>
      </w:r>
      <w:r>
        <w:t>of</w:t>
      </w:r>
      <w:r>
        <w:rPr>
          <w:spacing w:val="4"/>
        </w:rPr>
        <w:t xml:space="preserve"> </w:t>
      </w:r>
      <w:r>
        <w:t>the period.</w:t>
      </w:r>
      <w:r>
        <w:rPr>
          <w:spacing w:val="-6"/>
        </w:rPr>
        <w:t xml:space="preserve"> </w:t>
      </w:r>
      <w:r>
        <w:rPr>
          <w:spacing w:val="-4"/>
        </w:rPr>
        <w:t>For</w:t>
      </w:r>
      <w:r>
        <w:t xml:space="preserve"> </w:t>
      </w:r>
      <w:r>
        <w:rPr>
          <w:spacing w:val="-1"/>
        </w:rPr>
        <w:t>example,</w:t>
      </w:r>
      <w:r>
        <w:rPr>
          <w:spacing w:val="-6"/>
        </w:rPr>
        <w:t xml:space="preserve"> </w:t>
      </w:r>
      <w:r>
        <w:t>the</w:t>
      </w:r>
      <w:r>
        <w:rPr>
          <w:spacing w:val="-1"/>
        </w:rPr>
        <w:t xml:space="preserve"> </w:t>
      </w:r>
      <w:r>
        <w:rPr>
          <w:spacing w:val="-4"/>
        </w:rPr>
        <w:t>Panel’s</w:t>
      </w:r>
      <w:r>
        <w:t xml:space="preserve"> </w:t>
      </w:r>
      <w:r>
        <w:rPr>
          <w:spacing w:val="-1"/>
        </w:rPr>
        <w:t>water</w:t>
      </w:r>
      <w:r>
        <w:rPr>
          <w:spacing w:val="41"/>
        </w:rPr>
        <w:t xml:space="preserve"> </w:t>
      </w:r>
      <w:r>
        <w:t xml:space="preserve">sales </w:t>
      </w:r>
      <w:r>
        <w:rPr>
          <w:spacing w:val="-1"/>
        </w:rPr>
        <w:t>forecasts</w:t>
      </w:r>
      <w:r>
        <w:t xml:space="preserve"> for 2013-14 and 2014-15 </w:t>
      </w:r>
      <w:r>
        <w:rPr>
          <w:spacing w:val="-2"/>
        </w:rPr>
        <w:t>are</w:t>
      </w:r>
      <w:r>
        <w:t xml:space="preserve"> 4 to 6 GL</w:t>
      </w:r>
      <w:r>
        <w:rPr>
          <w:spacing w:val="-5"/>
        </w:rPr>
        <w:t xml:space="preserve"> </w:t>
      </w:r>
      <w:r>
        <w:t xml:space="preserve">(or 10% to 16%) higher than the </w:t>
      </w:r>
      <w:r>
        <w:rPr>
          <w:spacing w:val="-2"/>
        </w:rPr>
        <w:t>ICRC’s</w:t>
      </w:r>
      <w:r>
        <w:t xml:space="preserve"> </w:t>
      </w:r>
      <w:r>
        <w:rPr>
          <w:spacing w:val="-1"/>
        </w:rPr>
        <w:t>forecasts.</w:t>
      </w:r>
      <w:r>
        <w:rPr>
          <w:spacing w:val="31"/>
        </w:rPr>
        <w:t xml:space="preserve"> </w:t>
      </w:r>
      <w:r>
        <w:rPr>
          <w:rFonts w:cs="Avenir Next"/>
          <w:spacing w:val="-1"/>
        </w:rPr>
        <w:t>These</w:t>
      </w:r>
      <w:r>
        <w:rPr>
          <w:rFonts w:cs="Avenir Next"/>
        </w:rPr>
        <w:t xml:space="preserve"> </w:t>
      </w:r>
      <w:r>
        <w:rPr>
          <w:rFonts w:cs="Avenir Next"/>
          <w:spacing w:val="-1"/>
        </w:rPr>
        <w:t>forecasts</w:t>
      </w:r>
      <w:r>
        <w:rPr>
          <w:rFonts w:cs="Avenir Next"/>
        </w:rPr>
        <w:t xml:space="preserve"> also </w:t>
      </w:r>
      <w:r>
        <w:rPr>
          <w:rFonts w:cs="Avenir Next"/>
          <w:spacing w:val="-1"/>
        </w:rPr>
        <w:t>exceed</w:t>
      </w:r>
      <w:r>
        <w:rPr>
          <w:rFonts w:cs="Avenir Next"/>
        </w:rPr>
        <w:t xml:space="preserve"> the </w:t>
      </w:r>
      <w:r>
        <w:rPr>
          <w:rFonts w:cs="Avenir Next"/>
          <w:spacing w:val="-1"/>
        </w:rPr>
        <w:t>projections</w:t>
      </w:r>
      <w:r>
        <w:rPr>
          <w:rFonts w:cs="Avenir Next"/>
        </w:rPr>
        <w:t xml:space="preserve"> </w:t>
      </w:r>
      <w:r>
        <w:rPr>
          <w:rFonts w:cs="Avenir Next"/>
          <w:spacing w:val="-1"/>
        </w:rPr>
        <w:t>provided</w:t>
      </w:r>
      <w:r>
        <w:rPr>
          <w:rFonts w:cs="Avenir Next"/>
        </w:rPr>
        <w:t xml:space="preserve"> to the </w:t>
      </w:r>
      <w:r>
        <w:rPr>
          <w:rFonts w:cs="Avenir Next"/>
          <w:spacing w:val="-3"/>
        </w:rPr>
        <w:t>Panel</w:t>
      </w:r>
      <w:r>
        <w:rPr>
          <w:rFonts w:cs="Avenir Next"/>
        </w:rPr>
        <w:t xml:space="preserve"> by</w:t>
      </w:r>
      <w:r>
        <w:rPr>
          <w:rFonts w:cs="Avenir Next"/>
          <w:spacing w:val="-4"/>
        </w:rPr>
        <w:t xml:space="preserve"> ACTEW,</w:t>
      </w:r>
      <w:r>
        <w:rPr>
          <w:rFonts w:cs="Avenir Next"/>
          <w:spacing w:val="-7"/>
        </w:rPr>
        <w:t xml:space="preserve"> </w:t>
      </w:r>
      <w:r>
        <w:rPr>
          <w:rFonts w:cs="Avenir Next"/>
        </w:rPr>
        <w:t xml:space="preserve">in </w:t>
      </w:r>
      <w:r>
        <w:rPr>
          <w:rFonts w:cs="Avenir Next"/>
          <w:spacing w:val="-1"/>
        </w:rPr>
        <w:t>response</w:t>
      </w:r>
      <w:r>
        <w:rPr>
          <w:rFonts w:cs="Avenir Next"/>
        </w:rPr>
        <w:t xml:space="preserve"> to a </w:t>
      </w:r>
      <w:r>
        <w:rPr>
          <w:rFonts w:cs="Avenir Next"/>
          <w:spacing w:val="-1"/>
        </w:rPr>
        <w:t>request</w:t>
      </w:r>
      <w:r>
        <w:rPr>
          <w:rFonts w:cs="Avenir Next"/>
          <w:spacing w:val="65"/>
        </w:rPr>
        <w:t xml:space="preserve"> </w:t>
      </w:r>
      <w:r>
        <w:t xml:space="preserve">for </w:t>
      </w:r>
      <w:r>
        <w:rPr>
          <w:spacing w:val="-1"/>
        </w:rPr>
        <w:t>information.</w:t>
      </w:r>
    </w:p>
    <w:p w:rsidR="00D96B91" w:rsidRDefault="00C2656B">
      <w:pPr>
        <w:pStyle w:val="BodyText"/>
        <w:spacing w:before="170" w:line="260" w:lineRule="exact"/>
        <w:ind w:right="1548"/>
        <w:rPr>
          <w:rFonts w:cs="Avenir Next"/>
        </w:rPr>
      </w:pPr>
      <w:r>
        <w:t xml:space="preserve">In making its </w:t>
      </w:r>
      <w:r>
        <w:rPr>
          <w:spacing w:val="-2"/>
        </w:rPr>
        <w:t>draft</w:t>
      </w:r>
      <w:r>
        <w:t xml:space="preserve"> decision on the </w:t>
      </w:r>
      <w:r>
        <w:rPr>
          <w:spacing w:val="-1"/>
        </w:rPr>
        <w:t>appropriate</w:t>
      </w:r>
      <w:r>
        <w:t xml:space="preserve"> </w:t>
      </w:r>
      <w:r>
        <w:rPr>
          <w:spacing w:val="-1"/>
        </w:rPr>
        <w:t>water</w:t>
      </w:r>
      <w:r>
        <w:t xml:space="preserve"> sales </w:t>
      </w:r>
      <w:r>
        <w:rPr>
          <w:spacing w:val="-1"/>
        </w:rPr>
        <w:t>forecasts</w:t>
      </w:r>
      <w:r>
        <w:t xml:space="preserve"> for 2014-15 to 2017-18,</w:t>
      </w:r>
      <w:r>
        <w:rPr>
          <w:spacing w:val="-7"/>
        </w:rPr>
        <w:t xml:space="preserve"> </w:t>
      </w:r>
      <w:r>
        <w:t>the</w:t>
      </w:r>
      <w:r>
        <w:rPr>
          <w:spacing w:val="35"/>
        </w:rPr>
        <w:t xml:space="preserve"> </w:t>
      </w:r>
      <w:r>
        <w:rPr>
          <w:spacing w:val="-3"/>
        </w:rPr>
        <w:t>Panel</w:t>
      </w:r>
      <w:r>
        <w:rPr>
          <w:spacing w:val="-1"/>
        </w:rPr>
        <w:t xml:space="preserve"> </w:t>
      </w:r>
      <w:r>
        <w:t>was guided by</w:t>
      </w:r>
      <w:r>
        <w:rPr>
          <w:spacing w:val="-1"/>
        </w:rPr>
        <w:t xml:space="preserve"> </w:t>
      </w:r>
      <w:r>
        <w:t xml:space="preserve">the </w:t>
      </w:r>
      <w:r>
        <w:rPr>
          <w:spacing w:val="-1"/>
        </w:rPr>
        <w:t>expert</w:t>
      </w:r>
      <w:r>
        <w:t xml:space="preserve"> advice</w:t>
      </w:r>
      <w:r>
        <w:rPr>
          <w:spacing w:val="-1"/>
        </w:rPr>
        <w:t xml:space="preserve"> </w:t>
      </w:r>
      <w:r>
        <w:t xml:space="preserve">it </w:t>
      </w:r>
      <w:r>
        <w:rPr>
          <w:spacing w:val="-1"/>
        </w:rPr>
        <w:t>received</w:t>
      </w:r>
      <w:r>
        <w:t xml:space="preserve"> </w:t>
      </w:r>
      <w:r>
        <w:rPr>
          <w:spacing w:val="-1"/>
        </w:rPr>
        <w:t>from</w:t>
      </w:r>
      <w:r>
        <w:t xml:space="preserve"> </w:t>
      </w:r>
      <w:r>
        <w:rPr>
          <w:spacing w:val="-2"/>
        </w:rPr>
        <w:t>Cardno,</w:t>
      </w:r>
      <w:r>
        <w:rPr>
          <w:spacing w:val="-7"/>
        </w:rPr>
        <w:t xml:space="preserve"> </w:t>
      </w:r>
      <w:r>
        <w:t>an independent consultancy</w:t>
      </w:r>
      <w:r>
        <w:rPr>
          <w:spacing w:val="-1"/>
        </w:rPr>
        <w:t xml:space="preserve"> </w:t>
      </w:r>
      <w:r>
        <w:t>firm.</w:t>
      </w:r>
      <w:r>
        <w:rPr>
          <w:spacing w:val="23"/>
          <w:w w:val="99"/>
        </w:rPr>
        <w:t xml:space="preserve"> </w:t>
      </w:r>
      <w:r>
        <w:rPr>
          <w:spacing w:val="-2"/>
        </w:rPr>
        <w:t>Cardno</w:t>
      </w:r>
      <w:r>
        <w:t xml:space="preserve"> developed its advice using a modelling </w:t>
      </w:r>
      <w:r>
        <w:rPr>
          <w:spacing w:val="-1"/>
        </w:rPr>
        <w:t>approach</w:t>
      </w:r>
      <w:r>
        <w:t xml:space="preserve"> </w:t>
      </w:r>
      <w:r>
        <w:rPr>
          <w:spacing w:val="-1"/>
        </w:rPr>
        <w:t>that</w:t>
      </w:r>
      <w:r>
        <w:t xml:space="preserve"> </w:t>
      </w:r>
      <w:r>
        <w:rPr>
          <w:spacing w:val="-1"/>
        </w:rPr>
        <w:t>looks</w:t>
      </w:r>
      <w:r>
        <w:t xml:space="preserve"> </w:t>
      </w:r>
      <w:r>
        <w:rPr>
          <w:spacing w:val="-1"/>
        </w:rPr>
        <w:t>at</w:t>
      </w:r>
      <w:r>
        <w:t xml:space="preserve"> </w:t>
      </w:r>
      <w:r>
        <w:rPr>
          <w:spacing w:val="-1"/>
        </w:rPr>
        <w:t>trends</w:t>
      </w:r>
      <w:r>
        <w:t xml:space="preserve"> in </w:t>
      </w:r>
      <w:r>
        <w:rPr>
          <w:spacing w:val="-1"/>
        </w:rPr>
        <w:t>per-property</w:t>
      </w:r>
      <w:r>
        <w:t xml:space="preserve"> </w:t>
      </w:r>
      <w:r>
        <w:rPr>
          <w:spacing w:val="-1"/>
        </w:rPr>
        <w:t>water</w:t>
      </w:r>
      <w:r>
        <w:rPr>
          <w:spacing w:val="37"/>
        </w:rPr>
        <w:t xml:space="preserve"> </w:t>
      </w:r>
      <w:r>
        <w:t>consumption by type of</w:t>
      </w:r>
      <w:r>
        <w:rPr>
          <w:spacing w:val="4"/>
        </w:rPr>
        <w:t xml:space="preserve"> </w:t>
      </w:r>
      <w:r>
        <w:t>dwelling,</w:t>
      </w:r>
      <w:r>
        <w:rPr>
          <w:spacing w:val="-6"/>
        </w:rPr>
        <w:t xml:space="preserve"> </w:t>
      </w:r>
      <w:r>
        <w:t xml:space="preserve">and </w:t>
      </w:r>
      <w:r>
        <w:rPr>
          <w:spacing w:val="-1"/>
        </w:rPr>
        <w:t>takes</w:t>
      </w:r>
      <w:r>
        <w:t xml:space="preserve"> into account historic </w:t>
      </w:r>
      <w:r>
        <w:rPr>
          <w:spacing w:val="-1"/>
        </w:rPr>
        <w:t>trends</w:t>
      </w:r>
      <w:r>
        <w:t xml:space="preserve"> in the </w:t>
      </w:r>
      <w:r>
        <w:rPr>
          <w:spacing w:val="-1"/>
        </w:rPr>
        <w:t>growth</w:t>
      </w:r>
      <w:r>
        <w:t xml:space="preserve"> of</w:t>
      </w:r>
      <w:r>
        <w:rPr>
          <w:spacing w:val="4"/>
        </w:rPr>
        <w:t xml:space="preserve"> </w:t>
      </w:r>
      <w:r>
        <w:t>the housing</w:t>
      </w:r>
    </w:p>
    <w:p w:rsidR="00D96B91" w:rsidRDefault="00C2656B">
      <w:pPr>
        <w:pStyle w:val="BodyText"/>
        <w:spacing w:line="260" w:lineRule="exact"/>
        <w:ind w:right="1256"/>
      </w:pPr>
      <w:r>
        <w:t xml:space="preserve">stock (which is </w:t>
      </w:r>
      <w:r>
        <w:rPr>
          <w:spacing w:val="-1"/>
        </w:rPr>
        <w:t>disaggregated</w:t>
      </w:r>
      <w:r>
        <w:t xml:space="preserve"> by the type of</w:t>
      </w:r>
      <w:r>
        <w:rPr>
          <w:spacing w:val="4"/>
        </w:rPr>
        <w:t xml:space="preserve"> </w:t>
      </w:r>
      <w:r>
        <w:t>dwelling).</w:t>
      </w:r>
      <w:r>
        <w:rPr>
          <w:spacing w:val="-6"/>
        </w:rPr>
        <w:t xml:space="preserve"> </w:t>
      </w:r>
      <w:r>
        <w:rPr>
          <w:spacing w:val="-3"/>
        </w:rPr>
        <w:t>Cardno’s</w:t>
      </w:r>
      <w:r>
        <w:t xml:space="preserve"> modelling </w:t>
      </w:r>
      <w:r>
        <w:rPr>
          <w:spacing w:val="-1"/>
        </w:rPr>
        <w:t>indicates</w:t>
      </w:r>
      <w:r>
        <w:t xml:space="preserve"> </w:t>
      </w:r>
      <w:r>
        <w:rPr>
          <w:spacing w:val="-1"/>
        </w:rPr>
        <w:t>that</w:t>
      </w:r>
      <w:r>
        <w:t xml:space="preserve"> </w:t>
      </w:r>
      <w:r>
        <w:rPr>
          <w:spacing w:val="-1"/>
        </w:rPr>
        <w:t>there</w:t>
      </w:r>
      <w:r>
        <w:t xml:space="preserve"> is close</w:t>
      </w:r>
      <w:r>
        <w:rPr>
          <w:spacing w:val="47"/>
        </w:rPr>
        <w:t xml:space="preserve"> </w:t>
      </w:r>
      <w:r>
        <w:t xml:space="preserve">to a 90% </w:t>
      </w:r>
      <w:r>
        <w:rPr>
          <w:spacing w:val="-1"/>
        </w:rPr>
        <w:t>probability</w:t>
      </w:r>
      <w:r>
        <w:t xml:space="preserve"> </w:t>
      </w:r>
      <w:r>
        <w:rPr>
          <w:spacing w:val="-1"/>
        </w:rPr>
        <w:t>that</w:t>
      </w:r>
      <w:r>
        <w:rPr>
          <w:spacing w:val="-4"/>
        </w:rPr>
        <w:t xml:space="preserve"> </w:t>
      </w:r>
      <w:r>
        <w:rPr>
          <w:spacing w:val="-2"/>
        </w:rPr>
        <w:t>ACTEW’s</w:t>
      </w:r>
      <w:r>
        <w:t xml:space="preserve"> actual </w:t>
      </w:r>
      <w:r>
        <w:rPr>
          <w:spacing w:val="-1"/>
        </w:rPr>
        <w:t>water</w:t>
      </w:r>
      <w:r>
        <w:t xml:space="preserve"> sales will </w:t>
      </w:r>
      <w:r>
        <w:rPr>
          <w:spacing w:val="-1"/>
        </w:rPr>
        <w:t>exceed</w:t>
      </w:r>
      <w:r>
        <w:t xml:space="preserve"> the </w:t>
      </w:r>
      <w:r>
        <w:rPr>
          <w:spacing w:val="-1"/>
        </w:rPr>
        <w:t>projections</w:t>
      </w:r>
      <w:r>
        <w:t xml:space="preserve"> it </w:t>
      </w:r>
      <w:r>
        <w:rPr>
          <w:spacing w:val="-1"/>
        </w:rPr>
        <w:t>provided</w:t>
      </w:r>
      <w:r>
        <w:t xml:space="preserve"> to the </w:t>
      </w:r>
      <w:r>
        <w:rPr>
          <w:spacing w:val="-3"/>
        </w:rPr>
        <w:t>Panel</w:t>
      </w:r>
      <w:r>
        <w:rPr>
          <w:spacing w:val="59"/>
        </w:rPr>
        <w:t xml:space="preserve"> </w:t>
      </w:r>
      <w:r>
        <w:t>over</w:t>
      </w:r>
      <w:r>
        <w:rPr>
          <w:spacing w:val="-2"/>
        </w:rPr>
        <w:t xml:space="preserve"> </w:t>
      </w:r>
      <w:r>
        <w:t>the</w:t>
      </w:r>
      <w:r>
        <w:rPr>
          <w:spacing w:val="-1"/>
        </w:rPr>
        <w:t xml:space="preserve"> five-year</w:t>
      </w:r>
      <w:r>
        <w:rPr>
          <w:spacing w:val="-2"/>
        </w:rPr>
        <w:t xml:space="preserve"> </w:t>
      </w:r>
      <w:r>
        <w:rPr>
          <w:spacing w:val="-1"/>
        </w:rPr>
        <w:t xml:space="preserve">regulatory </w:t>
      </w:r>
      <w:r>
        <w:t>period.</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1.</w:t>
      </w:r>
      <w:r>
        <w:rPr>
          <w:color w:val="0778BE"/>
          <w:spacing w:val="-9"/>
        </w:rPr>
        <w:t xml:space="preserve"> </w:t>
      </w:r>
      <w:r>
        <w:rPr>
          <w:color w:val="0778BE"/>
        </w:rPr>
        <w:t>5</w:t>
      </w:r>
      <w:r>
        <w:rPr>
          <w:color w:val="0778BE"/>
        </w:rPr>
        <w:tab/>
        <w:t xml:space="preserve">How did the </w:t>
      </w:r>
      <w:r>
        <w:rPr>
          <w:color w:val="0778BE"/>
          <w:spacing w:val="-4"/>
        </w:rPr>
        <w:t>Panel</w:t>
      </w:r>
      <w:r>
        <w:rPr>
          <w:color w:val="0778BE"/>
        </w:rPr>
        <w:t xml:space="preserve"> </w:t>
      </w:r>
      <w:r>
        <w:rPr>
          <w:color w:val="0778BE"/>
          <w:spacing w:val="-1"/>
        </w:rPr>
        <w:t>approach</w:t>
      </w:r>
      <w:r>
        <w:rPr>
          <w:color w:val="0778BE"/>
        </w:rPr>
        <w:t xml:space="preserve"> its task?</w:t>
      </w:r>
    </w:p>
    <w:p w:rsidR="00D96B91" w:rsidRDefault="00C2656B">
      <w:pPr>
        <w:pStyle w:val="BodyText"/>
        <w:spacing w:before="55" w:line="260" w:lineRule="exact"/>
        <w:ind w:right="1408"/>
      </w:pPr>
      <w:r>
        <w:rPr>
          <w:rFonts w:cs="Avenir Next"/>
        </w:rPr>
        <w:t xml:space="preserve">In making its </w:t>
      </w:r>
      <w:r>
        <w:rPr>
          <w:rFonts w:cs="Avenir Next"/>
          <w:spacing w:val="-2"/>
        </w:rPr>
        <w:t>draft</w:t>
      </w:r>
      <w:r>
        <w:rPr>
          <w:rFonts w:cs="Avenir Next"/>
        </w:rPr>
        <w:t xml:space="preserve"> decision,</w:t>
      </w:r>
      <w:r>
        <w:rPr>
          <w:rFonts w:cs="Avenir Next"/>
          <w:spacing w:val="-6"/>
        </w:rPr>
        <w:t xml:space="preserve"> </w:t>
      </w:r>
      <w:r>
        <w:rPr>
          <w:rFonts w:cs="Avenir Next"/>
        </w:rPr>
        <w:t xml:space="preserve">the </w:t>
      </w:r>
      <w:r>
        <w:rPr>
          <w:rFonts w:cs="Avenir Next"/>
          <w:spacing w:val="-3"/>
        </w:rPr>
        <w:t>Panel</w:t>
      </w:r>
      <w:r>
        <w:rPr>
          <w:rFonts w:cs="Avenir Next"/>
        </w:rPr>
        <w:t xml:space="preserve"> has </w:t>
      </w:r>
      <w:r>
        <w:rPr>
          <w:rFonts w:cs="Avenir Next"/>
          <w:spacing w:val="-1"/>
        </w:rPr>
        <w:t>worked</w:t>
      </w:r>
      <w:r>
        <w:rPr>
          <w:rFonts w:cs="Avenir Next"/>
        </w:rPr>
        <w:t xml:space="preserve"> within the </w:t>
      </w:r>
      <w:r>
        <w:rPr>
          <w:rFonts w:cs="Avenir Next"/>
          <w:spacing w:val="-1"/>
        </w:rPr>
        <w:t>regulatory</w:t>
      </w:r>
      <w:r>
        <w:rPr>
          <w:rFonts w:cs="Avenir Next"/>
        </w:rPr>
        <w:t xml:space="preserve"> </w:t>
      </w:r>
      <w:r>
        <w:rPr>
          <w:rFonts w:cs="Avenir Next"/>
          <w:spacing w:val="-1"/>
        </w:rPr>
        <w:t>framework</w:t>
      </w:r>
      <w:r>
        <w:rPr>
          <w:rFonts w:cs="Avenir Next"/>
        </w:rPr>
        <w:t xml:space="preserve"> </w:t>
      </w:r>
      <w:r>
        <w:rPr>
          <w:rFonts w:cs="Avenir Next"/>
          <w:spacing w:val="-1"/>
        </w:rPr>
        <w:t>provided</w:t>
      </w:r>
      <w:r>
        <w:rPr>
          <w:rFonts w:cs="Avenir Next"/>
        </w:rPr>
        <w:t xml:space="preserve"> by the</w:t>
      </w:r>
      <w:r>
        <w:rPr>
          <w:rFonts w:cs="Avenir Next"/>
          <w:spacing w:val="45"/>
        </w:rPr>
        <w:t xml:space="preserve"> </w:t>
      </w:r>
      <w:r>
        <w:t>Act</w:t>
      </w:r>
      <w:r>
        <w:rPr>
          <w:spacing w:val="-1"/>
        </w:rPr>
        <w:t xml:space="preserve"> </w:t>
      </w:r>
      <w:r>
        <w:t>and the</w:t>
      </w:r>
      <w:r>
        <w:rPr>
          <w:spacing w:val="-1"/>
        </w:rPr>
        <w:t xml:space="preserve"> </w:t>
      </w:r>
      <w:r>
        <w:t>terms of</w:t>
      </w:r>
      <w:r>
        <w:rPr>
          <w:spacing w:val="3"/>
        </w:rPr>
        <w:t xml:space="preserve"> </w:t>
      </w:r>
      <w:r>
        <w:rPr>
          <w:spacing w:val="-1"/>
        </w:rPr>
        <w:t>reference</w:t>
      </w:r>
      <w:r>
        <w:t xml:space="preserve"> for the</w:t>
      </w:r>
      <w:r>
        <w:rPr>
          <w:spacing w:val="-1"/>
        </w:rPr>
        <w:t xml:space="preserve"> </w:t>
      </w:r>
      <w:r>
        <w:rPr>
          <w:spacing w:val="-2"/>
        </w:rPr>
        <w:t>ICRC’s</w:t>
      </w:r>
      <w:r>
        <w:t xml:space="preserve"> original</w:t>
      </w:r>
      <w:r>
        <w:rPr>
          <w:spacing w:val="-1"/>
        </w:rPr>
        <w:t xml:space="preserve"> </w:t>
      </w:r>
      <w:r>
        <w:t xml:space="preserve">price </w:t>
      </w:r>
      <w:r>
        <w:rPr>
          <w:spacing w:val="-1"/>
        </w:rPr>
        <w:t>direction.</w:t>
      </w:r>
      <w:r>
        <w:rPr>
          <w:spacing w:val="-11"/>
        </w:rPr>
        <w:t xml:space="preserve"> </w:t>
      </w:r>
      <w:r>
        <w:rPr>
          <w:spacing w:val="-1"/>
        </w:rPr>
        <w:t>This framework</w:t>
      </w:r>
      <w:r>
        <w:t xml:space="preserve"> both</w:t>
      </w:r>
      <w:r>
        <w:rPr>
          <w:spacing w:val="-1"/>
        </w:rPr>
        <w:t xml:space="preserve"> </w:t>
      </w:r>
      <w:r>
        <w:t>defines and</w:t>
      </w:r>
      <w:r>
        <w:rPr>
          <w:spacing w:val="31"/>
        </w:rPr>
        <w:t xml:space="preserve"> </w:t>
      </w:r>
      <w:r>
        <w:t xml:space="preserve">limits the </w:t>
      </w:r>
      <w:r>
        <w:rPr>
          <w:spacing w:val="-4"/>
        </w:rPr>
        <w:t>Panel’s</w:t>
      </w:r>
      <w:r>
        <w:t xml:space="preserve"> powers.</w:t>
      </w:r>
      <w:r>
        <w:rPr>
          <w:spacing w:val="-6"/>
        </w:rPr>
        <w:t xml:space="preserve"> </w:t>
      </w:r>
      <w:r>
        <w:t xml:space="preserve">It also imposes </w:t>
      </w:r>
      <w:r>
        <w:rPr>
          <w:spacing w:val="-1"/>
        </w:rPr>
        <w:t>certain</w:t>
      </w:r>
      <w:r>
        <w:t xml:space="preserve"> </w:t>
      </w:r>
      <w:r>
        <w:rPr>
          <w:spacing w:val="-1"/>
        </w:rPr>
        <w:t>obligations</w:t>
      </w:r>
      <w:r>
        <w:t xml:space="preserve"> on the </w:t>
      </w:r>
      <w:r>
        <w:rPr>
          <w:spacing w:val="-3"/>
        </w:rPr>
        <w:t>Panel.</w:t>
      </w:r>
      <w:r>
        <w:rPr>
          <w:spacing w:val="-6"/>
        </w:rPr>
        <w:t xml:space="preserve"> </w:t>
      </w:r>
      <w:r>
        <w:t xml:space="preserve">In </w:t>
      </w:r>
      <w:r>
        <w:rPr>
          <w:spacing w:val="-2"/>
        </w:rPr>
        <w:t>particular,</w:t>
      </w:r>
      <w:r>
        <w:rPr>
          <w:spacing w:val="-6"/>
        </w:rPr>
        <w:t xml:space="preserve"> </w:t>
      </w:r>
      <w:r>
        <w:t xml:space="preserve">it </w:t>
      </w:r>
      <w:r>
        <w:rPr>
          <w:spacing w:val="-1"/>
        </w:rPr>
        <w:t>requires</w:t>
      </w:r>
      <w:r>
        <w:t xml:space="preserve"> the</w:t>
      </w:r>
    </w:p>
    <w:p w:rsidR="00D96B91" w:rsidRDefault="00C2656B">
      <w:pPr>
        <w:pStyle w:val="BodyText"/>
        <w:spacing w:line="260" w:lineRule="exact"/>
        <w:ind w:right="1256"/>
        <w:rPr>
          <w:rFonts w:cs="Avenir Next"/>
        </w:rPr>
      </w:pPr>
      <w:r>
        <w:rPr>
          <w:spacing w:val="-3"/>
        </w:rPr>
        <w:t>Panel</w:t>
      </w:r>
      <w:r>
        <w:t xml:space="preserve"> to </w:t>
      </w:r>
      <w:r>
        <w:rPr>
          <w:spacing w:val="-1"/>
        </w:rPr>
        <w:t>take</w:t>
      </w:r>
      <w:r>
        <w:t xml:space="preserve"> account of</w:t>
      </w:r>
      <w:r>
        <w:rPr>
          <w:spacing w:val="4"/>
        </w:rPr>
        <w:t xml:space="preserve"> </w:t>
      </w:r>
      <w:r>
        <w:t xml:space="preserve">a </w:t>
      </w:r>
      <w:r>
        <w:rPr>
          <w:spacing w:val="-1"/>
        </w:rPr>
        <w:t>broad</w:t>
      </w:r>
      <w:r>
        <w:t xml:space="preserve"> </w:t>
      </w:r>
      <w:r>
        <w:rPr>
          <w:spacing w:val="-1"/>
        </w:rPr>
        <w:t>range</w:t>
      </w:r>
      <w:r>
        <w:t xml:space="preserve"> of</w:t>
      </w:r>
      <w:r>
        <w:rPr>
          <w:spacing w:val="4"/>
        </w:rPr>
        <w:t xml:space="preserve"> </w:t>
      </w:r>
      <w:r>
        <w:rPr>
          <w:spacing w:val="-1"/>
        </w:rPr>
        <w:t>matters</w:t>
      </w:r>
      <w:r>
        <w:t xml:space="preserve"> in </w:t>
      </w:r>
      <w:r>
        <w:rPr>
          <w:spacing w:val="-1"/>
        </w:rPr>
        <w:t>reaching</w:t>
      </w:r>
      <w:r>
        <w:t xml:space="preserve"> its decisions,</w:t>
      </w:r>
      <w:r>
        <w:rPr>
          <w:spacing w:val="-6"/>
        </w:rPr>
        <w:t xml:space="preserve"> </w:t>
      </w:r>
      <w:r>
        <w:t xml:space="preserve">including objectives </w:t>
      </w:r>
      <w:r>
        <w:rPr>
          <w:spacing w:val="-1"/>
        </w:rPr>
        <w:t>related</w:t>
      </w:r>
      <w:r>
        <w:rPr>
          <w:spacing w:val="21"/>
        </w:rPr>
        <w:t xml:space="preserve"> </w:t>
      </w:r>
      <w:r>
        <w:t>to:</w:t>
      </w:r>
    </w:p>
    <w:p w:rsidR="00D96B91" w:rsidRDefault="00C2656B">
      <w:pPr>
        <w:pStyle w:val="BodyText"/>
        <w:numPr>
          <w:ilvl w:val="0"/>
          <w:numId w:val="131"/>
        </w:numPr>
        <w:tabs>
          <w:tab w:val="left" w:pos="1531"/>
        </w:tabs>
        <w:spacing w:before="178"/>
        <w:ind w:hanging="283"/>
        <w:rPr>
          <w:rFonts w:cs="Avenir Next"/>
        </w:rPr>
      </w:pPr>
      <w:r>
        <w:t xml:space="preserve">consumer </w:t>
      </w:r>
      <w:r>
        <w:rPr>
          <w:spacing w:val="-1"/>
        </w:rPr>
        <w:t>protection</w:t>
      </w:r>
    </w:p>
    <w:p w:rsidR="00D96B91" w:rsidRDefault="00C2656B">
      <w:pPr>
        <w:pStyle w:val="BodyText"/>
        <w:numPr>
          <w:ilvl w:val="0"/>
          <w:numId w:val="131"/>
        </w:numPr>
        <w:tabs>
          <w:tab w:val="left" w:pos="1531"/>
        </w:tabs>
        <w:spacing w:before="72"/>
        <w:ind w:hanging="283"/>
      </w:pPr>
      <w:r>
        <w:t>economic</w:t>
      </w:r>
      <w:r>
        <w:rPr>
          <w:spacing w:val="-1"/>
        </w:rPr>
        <w:t xml:space="preserve"> efficiency </w:t>
      </w:r>
      <w:r>
        <w:t>in the</w:t>
      </w:r>
      <w:r>
        <w:rPr>
          <w:spacing w:val="-1"/>
        </w:rPr>
        <w:t xml:space="preserve"> </w:t>
      </w:r>
      <w:r>
        <w:t>use of</w:t>
      </w:r>
      <w:r>
        <w:rPr>
          <w:spacing w:val="3"/>
        </w:rPr>
        <w:t xml:space="preserve"> </w:t>
      </w:r>
      <w:r>
        <w:rPr>
          <w:spacing w:val="-1"/>
        </w:rPr>
        <w:t>water</w:t>
      </w:r>
      <w:r>
        <w:t xml:space="preserve"> and</w:t>
      </w:r>
      <w:r>
        <w:rPr>
          <w:spacing w:val="-1"/>
        </w:rPr>
        <w:t xml:space="preserve"> </w:t>
      </w:r>
      <w:r>
        <w:t xml:space="preserve">the </w:t>
      </w:r>
      <w:r>
        <w:rPr>
          <w:spacing w:val="-1"/>
        </w:rPr>
        <w:t xml:space="preserve">provision </w:t>
      </w:r>
      <w:r>
        <w:t>of</w:t>
      </w:r>
      <w:r>
        <w:rPr>
          <w:spacing w:val="4"/>
        </w:rPr>
        <w:t xml:space="preserve"> </w:t>
      </w:r>
      <w:r>
        <w:rPr>
          <w:spacing w:val="-1"/>
        </w:rPr>
        <w:t xml:space="preserve">water </w:t>
      </w:r>
      <w:r>
        <w:t>services,</w:t>
      </w:r>
      <w:r>
        <w:rPr>
          <w:spacing w:val="-6"/>
        </w:rPr>
        <w:t xml:space="preserve"> </w:t>
      </w:r>
      <w:r>
        <w:t>and</w:t>
      </w:r>
    </w:p>
    <w:p w:rsidR="00D96B91" w:rsidRDefault="00C2656B">
      <w:pPr>
        <w:pStyle w:val="BodyText"/>
        <w:numPr>
          <w:ilvl w:val="0"/>
          <w:numId w:val="131"/>
        </w:numPr>
        <w:tabs>
          <w:tab w:val="left" w:pos="1531"/>
        </w:tabs>
        <w:spacing w:before="72"/>
        <w:ind w:hanging="283"/>
      </w:pPr>
      <w:r>
        <w:t>financial</w:t>
      </w:r>
      <w:r>
        <w:rPr>
          <w:spacing w:val="-2"/>
        </w:rPr>
        <w:t xml:space="preserve"> </w:t>
      </w:r>
      <w:r>
        <w:t>viability</w:t>
      </w:r>
      <w:r>
        <w:rPr>
          <w:spacing w:val="-1"/>
        </w:rPr>
        <w:t xml:space="preserve"> </w:t>
      </w:r>
      <w:r>
        <w:t>of</w:t>
      </w:r>
      <w:r>
        <w:rPr>
          <w:spacing w:val="3"/>
        </w:rPr>
        <w:t xml:space="preserve"> </w:t>
      </w:r>
      <w:r>
        <w:t>the</w:t>
      </w:r>
      <w:r>
        <w:rPr>
          <w:spacing w:val="-2"/>
        </w:rPr>
        <w:t xml:space="preserve"> </w:t>
      </w:r>
      <w:r>
        <w:rPr>
          <w:spacing w:val="-1"/>
        </w:rPr>
        <w:t xml:space="preserve">water </w:t>
      </w:r>
      <w:r>
        <w:t>services</w:t>
      </w:r>
      <w:r>
        <w:rPr>
          <w:spacing w:val="-1"/>
        </w:rPr>
        <w:t xml:space="preserve"> </w:t>
      </w:r>
      <w:r>
        <w:rPr>
          <w:spacing w:val="-2"/>
        </w:rPr>
        <w:t>provider.</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83"/>
      </w:pPr>
      <w:r>
        <w:rPr>
          <w:spacing w:val="-2"/>
        </w:rPr>
        <w:t>The</w:t>
      </w:r>
      <w:r>
        <w:rPr>
          <w:spacing w:val="-4"/>
        </w:rPr>
        <w:t xml:space="preserve"> </w:t>
      </w:r>
      <w:r>
        <w:t xml:space="preserve">Act </w:t>
      </w:r>
      <w:r>
        <w:rPr>
          <w:spacing w:val="-1"/>
        </w:rPr>
        <w:t>requires</w:t>
      </w:r>
      <w:r>
        <w:t xml:space="preserve"> the </w:t>
      </w:r>
      <w:r>
        <w:rPr>
          <w:spacing w:val="-3"/>
        </w:rPr>
        <w:t>Panel</w:t>
      </w:r>
      <w:r>
        <w:t xml:space="preserve"> to </w:t>
      </w:r>
      <w:r>
        <w:rPr>
          <w:spacing w:val="-1"/>
        </w:rPr>
        <w:t>exercise</w:t>
      </w:r>
      <w:r>
        <w:t xml:space="preserve"> its own judgement to </w:t>
      </w:r>
      <w:r>
        <w:rPr>
          <w:spacing w:val="-1"/>
        </w:rPr>
        <w:t>make</w:t>
      </w:r>
      <w:r>
        <w:t xml:space="preserve"> decisions </w:t>
      </w:r>
      <w:r>
        <w:rPr>
          <w:spacing w:val="-1"/>
        </w:rPr>
        <w:t>that</w:t>
      </w:r>
      <w:r>
        <w:t xml:space="preserve"> </w:t>
      </w:r>
      <w:r>
        <w:rPr>
          <w:spacing w:val="-1"/>
        </w:rPr>
        <w:t>strike</w:t>
      </w:r>
      <w:r>
        <w:t xml:space="preserve"> an </w:t>
      </w:r>
      <w:r>
        <w:rPr>
          <w:spacing w:val="-1"/>
        </w:rPr>
        <w:t>appropriate</w:t>
      </w:r>
      <w:r>
        <w:rPr>
          <w:spacing w:val="27"/>
        </w:rPr>
        <w:t xml:space="preserve"> </w:t>
      </w:r>
      <w:r>
        <w:t xml:space="preserve">balance between the various </w:t>
      </w:r>
      <w:r>
        <w:rPr>
          <w:spacing w:val="-1"/>
        </w:rPr>
        <w:t>matters.</w:t>
      </w:r>
    </w:p>
    <w:p w:rsidR="00D96B91" w:rsidRDefault="00C2656B">
      <w:pPr>
        <w:pStyle w:val="BodyText"/>
        <w:spacing w:before="170" w:line="260" w:lineRule="exact"/>
        <w:ind w:right="1283"/>
        <w:rPr>
          <w:rFonts w:cs="Avenir Next"/>
        </w:rPr>
      </w:pPr>
      <w:r>
        <w:t>In addition,</w:t>
      </w:r>
      <w:r>
        <w:rPr>
          <w:spacing w:val="-6"/>
        </w:rPr>
        <w:t xml:space="preserve"> </w:t>
      </w:r>
      <w:r>
        <w:t>the</w:t>
      </w:r>
      <w:r>
        <w:rPr>
          <w:spacing w:val="-4"/>
        </w:rPr>
        <w:t xml:space="preserve"> </w:t>
      </w:r>
      <w:r>
        <w:t xml:space="preserve">Act </w:t>
      </w:r>
      <w:r>
        <w:rPr>
          <w:spacing w:val="-1"/>
        </w:rPr>
        <w:t>requires</w:t>
      </w:r>
      <w:r>
        <w:t xml:space="preserve"> the </w:t>
      </w:r>
      <w:r>
        <w:rPr>
          <w:spacing w:val="-3"/>
        </w:rPr>
        <w:t>Panel</w:t>
      </w:r>
      <w:r>
        <w:t xml:space="preserve"> to </w:t>
      </w:r>
      <w:r>
        <w:rPr>
          <w:spacing w:val="-1"/>
        </w:rPr>
        <w:t>make</w:t>
      </w:r>
      <w:r>
        <w:t xml:space="preserve"> a decision on the merits of</w:t>
      </w:r>
      <w:r>
        <w:rPr>
          <w:spacing w:val="4"/>
        </w:rPr>
        <w:t xml:space="preserve"> </w:t>
      </w:r>
      <w:r>
        <w:t>the case.</w:t>
      </w:r>
      <w:r>
        <w:rPr>
          <w:spacing w:val="-6"/>
        </w:rPr>
        <w:t xml:space="preserve"> </w:t>
      </w:r>
      <w:r>
        <w:t xml:space="preserve">In </w:t>
      </w:r>
      <w:r>
        <w:rPr>
          <w:spacing w:val="-1"/>
        </w:rPr>
        <w:t>keeping</w:t>
      </w:r>
      <w:r>
        <w:t xml:space="preserve"> with the</w:t>
      </w:r>
      <w:r>
        <w:rPr>
          <w:spacing w:val="27"/>
        </w:rPr>
        <w:t xml:space="preserve"> </w:t>
      </w:r>
      <w:r>
        <w:rPr>
          <w:spacing w:val="-1"/>
        </w:rPr>
        <w:t>traditional</w:t>
      </w:r>
      <w:r>
        <w:t xml:space="preserve"> </w:t>
      </w:r>
      <w:r>
        <w:rPr>
          <w:spacing w:val="-1"/>
        </w:rPr>
        <w:t>approach</w:t>
      </w:r>
      <w:r>
        <w:t xml:space="preserve"> to merits-based </w:t>
      </w:r>
      <w:r>
        <w:rPr>
          <w:spacing w:val="-1"/>
        </w:rPr>
        <w:t>appeals,</w:t>
      </w:r>
      <w:r>
        <w:rPr>
          <w:spacing w:val="-6"/>
        </w:rPr>
        <w:t xml:space="preserve"> </w:t>
      </w:r>
      <w:r>
        <w:t xml:space="preserve">the </w:t>
      </w:r>
      <w:r>
        <w:rPr>
          <w:spacing w:val="-3"/>
        </w:rPr>
        <w:t>Panel</w:t>
      </w:r>
      <w:r>
        <w:t xml:space="preserve"> has </w:t>
      </w:r>
      <w:r>
        <w:rPr>
          <w:spacing w:val="-1"/>
        </w:rPr>
        <w:t>considered</w:t>
      </w:r>
      <w:r>
        <w:t xml:space="preserve"> all the evidence in </w:t>
      </w:r>
      <w:r>
        <w:rPr>
          <w:spacing w:val="-1"/>
        </w:rPr>
        <w:t>order</w:t>
      </w:r>
      <w:r>
        <w:t xml:space="preserve"> to</w:t>
      </w:r>
      <w:r>
        <w:rPr>
          <w:spacing w:val="57"/>
        </w:rPr>
        <w:t xml:space="preserve"> </w:t>
      </w:r>
      <w:r>
        <w:t xml:space="preserve">arrive </w:t>
      </w:r>
      <w:r>
        <w:rPr>
          <w:spacing w:val="-1"/>
        </w:rPr>
        <w:t>at</w:t>
      </w:r>
      <w:r>
        <w:t xml:space="preserve"> a </w:t>
      </w:r>
      <w:r>
        <w:rPr>
          <w:b/>
          <w:spacing w:val="-1"/>
        </w:rPr>
        <w:t>correct</w:t>
      </w:r>
      <w:r>
        <w:rPr>
          <w:b/>
        </w:rPr>
        <w:t xml:space="preserve"> or </w:t>
      </w:r>
      <w:r>
        <w:rPr>
          <w:b/>
          <w:spacing w:val="-1"/>
        </w:rPr>
        <w:t>preferable</w:t>
      </w:r>
      <w:r>
        <w:rPr>
          <w:b/>
        </w:rPr>
        <w:t xml:space="preserve"> </w:t>
      </w:r>
      <w:r>
        <w:t>decision:</w:t>
      </w:r>
    </w:p>
    <w:p w:rsidR="00D96B91" w:rsidRDefault="00C2656B">
      <w:pPr>
        <w:pStyle w:val="BodyText"/>
        <w:numPr>
          <w:ilvl w:val="0"/>
          <w:numId w:val="131"/>
        </w:numPr>
        <w:tabs>
          <w:tab w:val="left" w:pos="1531"/>
        </w:tabs>
        <w:spacing w:before="170" w:line="260" w:lineRule="exact"/>
        <w:ind w:right="1640" w:hanging="283"/>
        <w:rPr>
          <w:rFonts w:cs="Avenir Next"/>
        </w:rPr>
      </w:pPr>
      <w:r>
        <w:rPr>
          <w:rFonts w:cs="Avenir Next"/>
          <w:b/>
          <w:bCs/>
          <w:spacing w:val="-1"/>
        </w:rPr>
        <w:t>‘correct’</w:t>
      </w:r>
      <w:r>
        <w:rPr>
          <w:rFonts w:cs="Avenir Next"/>
          <w:b/>
          <w:bCs/>
        </w:rPr>
        <w:t xml:space="preserve"> </w:t>
      </w:r>
      <w:r>
        <w:rPr>
          <w:rFonts w:cs="Avenir Next"/>
        </w:rPr>
        <w:t xml:space="preserve">in the sense </w:t>
      </w:r>
      <w:r>
        <w:rPr>
          <w:rFonts w:cs="Avenir Next"/>
          <w:spacing w:val="-1"/>
        </w:rPr>
        <w:t>that</w:t>
      </w:r>
      <w:r>
        <w:rPr>
          <w:rFonts w:cs="Avenir Next"/>
        </w:rPr>
        <w:t xml:space="preserve"> the decision is made </w:t>
      </w:r>
      <w:r>
        <w:rPr>
          <w:rFonts w:cs="Avenir Next"/>
          <w:spacing w:val="-1"/>
        </w:rPr>
        <w:t>according</w:t>
      </w:r>
      <w:r>
        <w:rPr>
          <w:rFonts w:cs="Avenir Next"/>
        </w:rPr>
        <w:t xml:space="preserve"> to </w:t>
      </w:r>
      <w:r>
        <w:rPr>
          <w:rFonts w:cs="Avenir Next"/>
          <w:spacing w:val="-2"/>
        </w:rPr>
        <w:t>law,</w:t>
      </w:r>
      <w:r>
        <w:rPr>
          <w:rFonts w:cs="Avenir Next"/>
          <w:spacing w:val="-6"/>
        </w:rPr>
        <w:t xml:space="preserve"> </w:t>
      </w:r>
      <w:r>
        <w:rPr>
          <w:rFonts w:cs="Avenir Next"/>
        </w:rPr>
        <w:t xml:space="preserve">and consistent with the </w:t>
      </w:r>
      <w:r>
        <w:rPr>
          <w:rFonts w:cs="Avenir Next"/>
          <w:spacing w:val="-1"/>
        </w:rPr>
        <w:t>relevant</w:t>
      </w:r>
      <w:r>
        <w:rPr>
          <w:rFonts w:cs="Avenir Next"/>
          <w:spacing w:val="21"/>
        </w:rPr>
        <w:t xml:space="preserve"> </w:t>
      </w:r>
      <w:r>
        <w:rPr>
          <w:rFonts w:cs="Avenir Next"/>
          <w:spacing w:val="-1"/>
        </w:rPr>
        <w:t>legislative</w:t>
      </w:r>
      <w:r>
        <w:rPr>
          <w:rFonts w:cs="Avenir Next"/>
        </w:rPr>
        <w:t xml:space="preserve"> </w:t>
      </w:r>
      <w:r>
        <w:rPr>
          <w:rFonts w:cs="Avenir Next"/>
          <w:spacing w:val="-1"/>
        </w:rPr>
        <w:t>mandate,</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85" w:line="260" w:lineRule="exact"/>
        <w:ind w:right="1605" w:hanging="283"/>
      </w:pPr>
      <w:r>
        <w:rPr>
          <w:rFonts w:cs="Avenir Next"/>
          <w:b/>
          <w:bCs/>
          <w:spacing w:val="-1"/>
        </w:rPr>
        <w:t>‘preferable’</w:t>
      </w:r>
      <w:r>
        <w:rPr>
          <w:rFonts w:cs="Avenir Next"/>
          <w:b/>
          <w:bCs/>
        </w:rPr>
        <w:t xml:space="preserve"> </w:t>
      </w:r>
      <w:r>
        <w:rPr>
          <w:rFonts w:cs="Avenir Next"/>
        </w:rPr>
        <w:t xml:space="preserve">in the sense </w:t>
      </w:r>
      <w:r>
        <w:rPr>
          <w:rFonts w:cs="Avenir Next"/>
          <w:spacing w:val="-1"/>
        </w:rPr>
        <w:t>that</w:t>
      </w:r>
      <w:r>
        <w:rPr>
          <w:rFonts w:cs="Avenir Next"/>
        </w:rPr>
        <w:t xml:space="preserve"> if</w:t>
      </w:r>
      <w:r>
        <w:rPr>
          <w:rFonts w:cs="Avenir Next"/>
          <w:spacing w:val="4"/>
        </w:rPr>
        <w:t xml:space="preserve"> </w:t>
      </w:r>
      <w:r>
        <w:rPr>
          <w:rFonts w:cs="Avenir Next"/>
          <w:spacing w:val="-1"/>
        </w:rPr>
        <w:t>there</w:t>
      </w:r>
      <w:r>
        <w:rPr>
          <w:rFonts w:cs="Avenir Next"/>
        </w:rPr>
        <w:t xml:space="preserve"> is a </w:t>
      </w:r>
      <w:r>
        <w:rPr>
          <w:rFonts w:cs="Avenir Next"/>
          <w:spacing w:val="-1"/>
        </w:rPr>
        <w:t>range</w:t>
      </w:r>
      <w:r>
        <w:rPr>
          <w:rFonts w:cs="Avenir Next"/>
        </w:rPr>
        <w:t xml:space="preserve"> of</w:t>
      </w:r>
      <w:r>
        <w:rPr>
          <w:rFonts w:cs="Avenir Next"/>
          <w:spacing w:val="4"/>
        </w:rPr>
        <w:t xml:space="preserve"> </w:t>
      </w:r>
      <w:r>
        <w:rPr>
          <w:rFonts w:cs="Avenir Next"/>
        </w:rPr>
        <w:t xml:space="preserve">decisions </w:t>
      </w:r>
      <w:r>
        <w:rPr>
          <w:rFonts w:cs="Avenir Next"/>
          <w:spacing w:val="-1"/>
        </w:rPr>
        <w:t>that</w:t>
      </w:r>
      <w:r>
        <w:rPr>
          <w:rFonts w:cs="Avenir Next"/>
        </w:rPr>
        <w:t xml:space="preserve"> </w:t>
      </w:r>
      <w:r>
        <w:rPr>
          <w:rFonts w:cs="Avenir Next"/>
          <w:spacing w:val="-2"/>
        </w:rPr>
        <w:t>are</w:t>
      </w:r>
      <w:r>
        <w:rPr>
          <w:rFonts w:cs="Avenir Next"/>
        </w:rPr>
        <w:t xml:space="preserve"> </w:t>
      </w:r>
      <w:r>
        <w:rPr>
          <w:rFonts w:cs="Avenir Next"/>
          <w:spacing w:val="-1"/>
        </w:rPr>
        <w:t>correct</w:t>
      </w:r>
      <w:r>
        <w:rPr>
          <w:rFonts w:cs="Avenir Next"/>
        </w:rPr>
        <w:t xml:space="preserve"> in </w:t>
      </w:r>
      <w:r>
        <w:rPr>
          <w:rFonts w:cs="Avenir Next"/>
          <w:spacing w:val="-2"/>
        </w:rPr>
        <w:t>law,</w:t>
      </w:r>
      <w:r>
        <w:rPr>
          <w:rFonts w:cs="Avenir Next"/>
          <w:spacing w:val="-7"/>
        </w:rPr>
        <w:t xml:space="preserve"> </w:t>
      </w:r>
      <w:r>
        <w:rPr>
          <w:rFonts w:cs="Avenir Next"/>
        </w:rPr>
        <w:t>the decision</w:t>
      </w:r>
      <w:r>
        <w:rPr>
          <w:rFonts w:cs="Avenir Next"/>
          <w:spacing w:val="33"/>
        </w:rPr>
        <w:t xml:space="preserve"> </w:t>
      </w:r>
      <w:r>
        <w:rPr>
          <w:rFonts w:cs="Avenir Next"/>
          <w:spacing w:val="-1"/>
        </w:rPr>
        <w:t>ultimately</w:t>
      </w:r>
      <w:r>
        <w:rPr>
          <w:rFonts w:cs="Avenir Next"/>
        </w:rPr>
        <w:t xml:space="preserve"> </w:t>
      </w:r>
      <w:r>
        <w:rPr>
          <w:rFonts w:cs="Avenir Next"/>
          <w:spacing w:val="-1"/>
        </w:rPr>
        <w:t>settled</w:t>
      </w:r>
      <w:r>
        <w:rPr>
          <w:rFonts w:cs="Avenir Next"/>
        </w:rPr>
        <w:t xml:space="preserve"> upon is the best </w:t>
      </w:r>
      <w:r>
        <w:rPr>
          <w:rFonts w:cs="Avenir Next"/>
          <w:spacing w:val="-1"/>
        </w:rPr>
        <w:t>that</w:t>
      </w:r>
      <w:r>
        <w:rPr>
          <w:rFonts w:cs="Avenir Next"/>
        </w:rPr>
        <w:t xml:space="preserve"> could be made on the basis of</w:t>
      </w:r>
      <w:r>
        <w:rPr>
          <w:rFonts w:cs="Avenir Next"/>
          <w:spacing w:val="4"/>
        </w:rPr>
        <w:t xml:space="preserve"> </w:t>
      </w:r>
      <w:r>
        <w:rPr>
          <w:rFonts w:cs="Avenir Next"/>
        </w:rPr>
        <w:t>the available evidence and</w:t>
      </w:r>
      <w:r>
        <w:rPr>
          <w:rFonts w:cs="Avenir Next"/>
          <w:spacing w:val="27"/>
        </w:rPr>
        <w:t xml:space="preserve"> </w:t>
      </w:r>
      <w:r>
        <w:rPr>
          <w:spacing w:val="-1"/>
        </w:rPr>
        <w:t>relevant</w:t>
      </w:r>
      <w:r>
        <w:t xml:space="preserve"> facts.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10"/>
        </w:rPr>
        <w:t>To</w:t>
      </w:r>
      <w:r>
        <w:t xml:space="preserve"> </w:t>
      </w:r>
      <w:r>
        <w:rPr>
          <w:spacing w:val="-1"/>
        </w:rPr>
        <w:t>ensure</w:t>
      </w:r>
      <w:r>
        <w:t xml:space="preserve"> its methodologies </w:t>
      </w:r>
      <w:r>
        <w:rPr>
          <w:spacing w:val="-2"/>
        </w:rPr>
        <w:t>are</w:t>
      </w:r>
      <w:r>
        <w:t xml:space="preserve"> </w:t>
      </w:r>
      <w:r>
        <w:rPr>
          <w:spacing w:val="-1"/>
        </w:rPr>
        <w:t>robust</w:t>
      </w:r>
      <w:r>
        <w:t xml:space="preserve"> and its decisions will stand up to </w:t>
      </w:r>
      <w:r>
        <w:rPr>
          <w:spacing w:val="-1"/>
        </w:rPr>
        <w:t>scrutiny,</w:t>
      </w:r>
      <w:r>
        <w:rPr>
          <w:spacing w:val="-6"/>
        </w:rPr>
        <w:t xml:space="preserve"> </w:t>
      </w:r>
      <w:r>
        <w:t xml:space="preserve">the </w:t>
      </w:r>
      <w:r>
        <w:rPr>
          <w:spacing w:val="-3"/>
        </w:rPr>
        <w:t>Panel</w:t>
      </w:r>
      <w:r>
        <w:t xml:space="preserve"> has been</w:t>
      </w:r>
      <w:r>
        <w:rPr>
          <w:spacing w:val="30"/>
        </w:rPr>
        <w:t xml:space="preserve"> </w:t>
      </w:r>
      <w:r>
        <w:t>mindful of</w:t>
      </w:r>
      <w:r>
        <w:rPr>
          <w:spacing w:val="4"/>
        </w:rPr>
        <w:t xml:space="preserve"> </w:t>
      </w:r>
      <w:r>
        <w:t xml:space="preserve">well-tested techniques and best </w:t>
      </w:r>
      <w:r>
        <w:rPr>
          <w:spacing w:val="-1"/>
        </w:rPr>
        <w:t>practice</w:t>
      </w:r>
      <w:r>
        <w:t xml:space="preserve"> </w:t>
      </w:r>
      <w:r>
        <w:rPr>
          <w:spacing w:val="-1"/>
        </w:rPr>
        <w:t>regulatory</w:t>
      </w:r>
      <w:r>
        <w:t xml:space="preserve"> principles in its analysis and decision</w:t>
      </w:r>
      <w:r>
        <w:rPr>
          <w:spacing w:val="30"/>
        </w:rPr>
        <w:t xml:space="preserve"> </w:t>
      </w:r>
      <w:r>
        <w:t>making.</w:t>
      </w:r>
    </w:p>
    <w:p w:rsidR="00D96B91" w:rsidRDefault="00D96B91">
      <w:pPr>
        <w:spacing w:line="260" w:lineRule="exact"/>
        <w:sectPr w:rsidR="00D96B91">
          <w:pgSz w:w="11910" w:h="16840"/>
          <w:pgMar w:top="1220" w:right="0" w:bottom="1020" w:left="0" w:header="0" w:footer="829" w:gutter="0"/>
          <w:cols w:space="720"/>
        </w:sectPr>
      </w:pPr>
    </w:p>
    <w:p w:rsidR="00D96B91" w:rsidRDefault="00C2656B">
      <w:pPr>
        <w:pStyle w:val="BodyText"/>
        <w:spacing w:before="21" w:line="260" w:lineRule="exact"/>
        <w:ind w:right="1256"/>
      </w:pPr>
      <w:bookmarkStart w:id="10" w:name="1._6_How_can_stakeholders_comment_on_the"/>
      <w:bookmarkStart w:id="11" w:name="_bookmark4"/>
      <w:bookmarkEnd w:id="10"/>
      <w:bookmarkEnd w:id="11"/>
      <w:r>
        <w:t>Given the potential impacts on</w:t>
      </w:r>
      <w:r>
        <w:rPr>
          <w:spacing w:val="-4"/>
        </w:rPr>
        <w:t xml:space="preserve"> </w:t>
      </w:r>
      <w:r>
        <w:rPr>
          <w:spacing w:val="-2"/>
        </w:rPr>
        <w:t>ACTEW</w:t>
      </w:r>
      <w:r>
        <w:rPr>
          <w:spacing w:val="-3"/>
        </w:rPr>
        <w:t xml:space="preserve"> </w:t>
      </w:r>
      <w:r>
        <w:t xml:space="preserve">and its customers – and the fact </w:t>
      </w:r>
      <w:r>
        <w:rPr>
          <w:spacing w:val="-1"/>
        </w:rPr>
        <w:t>that</w:t>
      </w:r>
      <w:r>
        <w:t xml:space="preserve"> the </w:t>
      </w:r>
      <w:r>
        <w:rPr>
          <w:spacing w:val="-1"/>
        </w:rPr>
        <w:t>regulatory</w:t>
      </w:r>
      <w:r>
        <w:t xml:space="preserve"> period</w:t>
      </w:r>
      <w:r>
        <w:rPr>
          <w:spacing w:val="30"/>
        </w:rPr>
        <w:t xml:space="preserve"> </w:t>
      </w:r>
      <w:r>
        <w:rPr>
          <w:spacing w:val="-1"/>
        </w:rPr>
        <w:t>covered</w:t>
      </w:r>
      <w:r>
        <w:t xml:space="preserve"> by the </w:t>
      </w:r>
      <w:r>
        <w:rPr>
          <w:spacing w:val="-1"/>
        </w:rPr>
        <w:t>review</w:t>
      </w:r>
      <w:r>
        <w:t xml:space="preserve"> has </w:t>
      </w:r>
      <w:r>
        <w:rPr>
          <w:spacing w:val="-1"/>
        </w:rPr>
        <w:t>already</w:t>
      </w:r>
      <w:r>
        <w:t xml:space="preserve"> begun – the </w:t>
      </w:r>
      <w:r>
        <w:rPr>
          <w:spacing w:val="-3"/>
        </w:rPr>
        <w:t>Panel</w:t>
      </w:r>
      <w:r>
        <w:t xml:space="preserve"> considers it </w:t>
      </w:r>
      <w:r>
        <w:rPr>
          <w:spacing w:val="-1"/>
        </w:rPr>
        <w:t>important</w:t>
      </w:r>
      <w:r>
        <w:t xml:space="preserve"> to </w:t>
      </w:r>
      <w:r>
        <w:rPr>
          <w:spacing w:val="-2"/>
        </w:rPr>
        <w:t>reach</w:t>
      </w:r>
      <w:r>
        <w:t xml:space="preserve"> its decisions in a</w:t>
      </w:r>
      <w:r>
        <w:rPr>
          <w:spacing w:val="39"/>
        </w:rPr>
        <w:t xml:space="preserve"> </w:t>
      </w:r>
      <w:r>
        <w:t xml:space="preserve">timely </w:t>
      </w:r>
      <w:r>
        <w:rPr>
          <w:spacing w:val="-2"/>
        </w:rPr>
        <w:t>manner.</w:t>
      </w:r>
      <w:r>
        <w:rPr>
          <w:spacing w:val="-11"/>
        </w:rPr>
        <w:t xml:space="preserve"> </w:t>
      </w:r>
      <w:r>
        <w:rPr>
          <w:spacing w:val="-2"/>
        </w:rPr>
        <w:t>The</w:t>
      </w:r>
      <w:r>
        <w:t xml:space="preserve"> need for timeliness and the limited </w:t>
      </w:r>
      <w:r>
        <w:rPr>
          <w:spacing w:val="-1"/>
        </w:rPr>
        <w:t>resources</w:t>
      </w:r>
      <w:r>
        <w:t xml:space="preserve"> available to the </w:t>
      </w:r>
      <w:r>
        <w:rPr>
          <w:spacing w:val="-3"/>
        </w:rPr>
        <w:t>Panel</w:t>
      </w:r>
      <w:r>
        <w:t xml:space="preserve"> have made it</w:t>
      </w:r>
      <w:r>
        <w:rPr>
          <w:spacing w:val="30"/>
        </w:rPr>
        <w:t xml:space="preserve"> </w:t>
      </w:r>
      <w:r>
        <w:rPr>
          <w:spacing w:val="-1"/>
        </w:rPr>
        <w:t>impractical</w:t>
      </w:r>
      <w:r>
        <w:t xml:space="preserve"> to </w:t>
      </w:r>
      <w:r>
        <w:rPr>
          <w:spacing w:val="-1"/>
        </w:rPr>
        <w:t>examine</w:t>
      </w:r>
      <w:r>
        <w:t xml:space="preserve"> every component of</w:t>
      </w:r>
      <w:r>
        <w:rPr>
          <w:spacing w:val="4"/>
        </w:rPr>
        <w:t xml:space="preserve"> </w:t>
      </w:r>
      <w:r>
        <w:t xml:space="preserve">the original price </w:t>
      </w:r>
      <w:r>
        <w:rPr>
          <w:spacing w:val="-1"/>
        </w:rPr>
        <w:t>direction</w:t>
      </w:r>
      <w:r>
        <w:t xml:space="preserve"> in detail.</w:t>
      </w:r>
      <w:r>
        <w:rPr>
          <w:spacing w:val="-6"/>
        </w:rPr>
        <w:t xml:space="preserve"> </w:t>
      </w:r>
      <w:r>
        <w:rPr>
          <w:spacing w:val="-1"/>
        </w:rPr>
        <w:t>Instead,</w:t>
      </w:r>
      <w:r>
        <w:rPr>
          <w:spacing w:val="-6"/>
        </w:rPr>
        <w:t xml:space="preserve"> </w:t>
      </w:r>
      <w:r>
        <w:t xml:space="preserve">the </w:t>
      </w:r>
      <w:r>
        <w:rPr>
          <w:spacing w:val="-3"/>
        </w:rPr>
        <w:t>Panel</w:t>
      </w:r>
      <w:r>
        <w:t xml:space="preserve"> has</w:t>
      </w:r>
      <w:r>
        <w:rPr>
          <w:spacing w:val="55"/>
        </w:rPr>
        <w:t xml:space="preserve"> </w:t>
      </w:r>
      <w:r>
        <w:rPr>
          <w:rFonts w:cs="Avenir Next"/>
        </w:rPr>
        <w:t xml:space="preserve">focused its </w:t>
      </w:r>
      <w:r>
        <w:rPr>
          <w:rFonts w:cs="Avenir Next"/>
          <w:spacing w:val="-1"/>
        </w:rPr>
        <w:t>review</w:t>
      </w:r>
      <w:r>
        <w:rPr>
          <w:rFonts w:cs="Avenir Next"/>
        </w:rPr>
        <w:t xml:space="preserve"> on the decisions about which</w:t>
      </w:r>
      <w:r>
        <w:rPr>
          <w:rFonts w:cs="Avenir Next"/>
          <w:spacing w:val="-4"/>
        </w:rPr>
        <w:t xml:space="preserve"> </w:t>
      </w:r>
      <w:r>
        <w:rPr>
          <w:rFonts w:cs="Avenir Next"/>
          <w:spacing w:val="-2"/>
        </w:rPr>
        <w:t>ACTEW</w:t>
      </w:r>
      <w:r>
        <w:rPr>
          <w:rFonts w:cs="Avenir Next"/>
          <w:spacing w:val="-3"/>
        </w:rPr>
        <w:t xml:space="preserve"> </w:t>
      </w:r>
      <w:r>
        <w:rPr>
          <w:rFonts w:cs="Avenir Next"/>
        </w:rPr>
        <w:t xml:space="preserve">or other </w:t>
      </w:r>
      <w:r>
        <w:rPr>
          <w:rFonts w:cs="Avenir Next"/>
          <w:spacing w:val="-1"/>
        </w:rPr>
        <w:t>stakeholders</w:t>
      </w:r>
      <w:r>
        <w:rPr>
          <w:rFonts w:cs="Avenir Next"/>
        </w:rPr>
        <w:t xml:space="preserve"> </w:t>
      </w:r>
      <w:r>
        <w:rPr>
          <w:rFonts w:cs="Avenir Next"/>
          <w:spacing w:val="-1"/>
        </w:rPr>
        <w:t>raised</w:t>
      </w:r>
      <w:r>
        <w:rPr>
          <w:rFonts w:cs="Avenir Next"/>
        </w:rPr>
        <w:t xml:space="preserve"> issues and which</w:t>
      </w:r>
      <w:r>
        <w:rPr>
          <w:rFonts w:cs="Avenir Next"/>
          <w:spacing w:val="35"/>
        </w:rPr>
        <w:t xml:space="preserve"> </w:t>
      </w:r>
      <w:r>
        <w:t>could</w:t>
      </w:r>
      <w:r>
        <w:rPr>
          <w:spacing w:val="-1"/>
        </w:rPr>
        <w:t xml:space="preserve"> </w:t>
      </w:r>
      <w:r>
        <w:t>have a</w:t>
      </w:r>
      <w:r>
        <w:rPr>
          <w:spacing w:val="-1"/>
        </w:rPr>
        <w:t xml:space="preserve"> material</w:t>
      </w:r>
      <w:r>
        <w:t xml:space="preserve"> impact</w:t>
      </w:r>
      <w:r>
        <w:rPr>
          <w:spacing w:val="-1"/>
        </w:rPr>
        <w:t xml:space="preserve"> </w:t>
      </w:r>
      <w:r>
        <w:t>on prices</w:t>
      </w:r>
      <w:r>
        <w:rPr>
          <w:spacing w:val="-1"/>
        </w:rPr>
        <w:t xml:space="preserve"> </w:t>
      </w:r>
      <w:r>
        <w:t>or</w:t>
      </w:r>
      <w:r>
        <w:rPr>
          <w:spacing w:val="-4"/>
        </w:rPr>
        <w:t xml:space="preserve"> </w:t>
      </w:r>
      <w:r>
        <w:rPr>
          <w:spacing w:val="-2"/>
        </w:rPr>
        <w:t>ACTEW’s</w:t>
      </w:r>
      <w:r>
        <w:t xml:space="preserve"> financial</w:t>
      </w:r>
      <w:r>
        <w:rPr>
          <w:spacing w:val="-1"/>
        </w:rPr>
        <w:t xml:space="preserve"> </w:t>
      </w:r>
      <w:r>
        <w:t>position.</w:t>
      </w:r>
      <w:r>
        <w:rPr>
          <w:spacing w:val="-6"/>
        </w:rPr>
        <w:t xml:space="preserve"> </w:t>
      </w:r>
      <w:r>
        <w:t>It</w:t>
      </w:r>
      <w:r>
        <w:rPr>
          <w:spacing w:val="-1"/>
        </w:rPr>
        <w:t xml:space="preserve"> </w:t>
      </w:r>
      <w:r>
        <w:t>has also</w:t>
      </w:r>
      <w:r>
        <w:rPr>
          <w:spacing w:val="-1"/>
        </w:rPr>
        <w:t xml:space="preserve"> </w:t>
      </w:r>
      <w:r>
        <w:t>had to</w:t>
      </w:r>
      <w:r>
        <w:rPr>
          <w:spacing w:val="-1"/>
        </w:rPr>
        <w:t xml:space="preserve"> make</w:t>
      </w:r>
      <w:r>
        <w:t xml:space="preserve"> new</w:t>
      </w:r>
      <w:r>
        <w:rPr>
          <w:spacing w:val="28"/>
        </w:rPr>
        <w:t xml:space="preserve"> </w:t>
      </w:r>
      <w:r>
        <w:t>decisions</w:t>
      </w:r>
      <w:r>
        <w:rPr>
          <w:spacing w:val="-1"/>
        </w:rPr>
        <w:t xml:space="preserve"> </w:t>
      </w:r>
      <w:r>
        <w:t>for 2015-16 to 2017-18</w:t>
      </w:r>
      <w:r>
        <w:rPr>
          <w:spacing w:val="-1"/>
        </w:rPr>
        <w:t xml:space="preserve"> where</w:t>
      </w:r>
      <w:r>
        <w:t xml:space="preserve"> the original price </w:t>
      </w:r>
      <w:r>
        <w:rPr>
          <w:spacing w:val="-1"/>
        </w:rPr>
        <w:t>direction covered</w:t>
      </w:r>
      <w:r>
        <w:t xml:space="preserve"> only the first two</w:t>
      </w:r>
      <w:r>
        <w:rPr>
          <w:spacing w:val="-1"/>
        </w:rPr>
        <w:t xml:space="preserve"> years</w:t>
      </w:r>
      <w:r>
        <w:t xml:space="preserve"> of</w:t>
      </w:r>
      <w:r>
        <w:rPr>
          <w:spacing w:val="25"/>
        </w:rPr>
        <w:t xml:space="preserve"> </w:t>
      </w:r>
      <w:r>
        <w:t xml:space="preserve">the </w:t>
      </w:r>
      <w:r>
        <w:rPr>
          <w:spacing w:val="-1"/>
        </w:rPr>
        <w:t>regulatory</w:t>
      </w:r>
      <w:r>
        <w:t xml:space="preserve"> period.</w:t>
      </w:r>
    </w:p>
    <w:p w:rsidR="00D96B91" w:rsidRDefault="00C2656B">
      <w:pPr>
        <w:pStyle w:val="BodyText"/>
        <w:spacing w:before="170" w:line="260" w:lineRule="exact"/>
        <w:ind w:right="1585"/>
      </w:pPr>
      <w:r>
        <w:rPr>
          <w:spacing w:val="-2"/>
        </w:rPr>
        <w:t>The</w:t>
      </w:r>
      <w:r>
        <w:t xml:space="preserve"> </w:t>
      </w:r>
      <w:r>
        <w:rPr>
          <w:spacing w:val="-3"/>
        </w:rPr>
        <w:t>Panel</w:t>
      </w:r>
      <w:r>
        <w:t xml:space="preserve"> notes </w:t>
      </w:r>
      <w:r>
        <w:rPr>
          <w:spacing w:val="-1"/>
        </w:rPr>
        <w:t>that</w:t>
      </w:r>
      <w:r>
        <w:t xml:space="preserve"> it was not able to consider </w:t>
      </w:r>
      <w:r>
        <w:rPr>
          <w:spacing w:val="-1"/>
        </w:rPr>
        <w:t>certain</w:t>
      </w:r>
      <w:r>
        <w:t xml:space="preserve"> </w:t>
      </w:r>
      <w:r>
        <w:rPr>
          <w:spacing w:val="-1"/>
        </w:rPr>
        <w:t>matters</w:t>
      </w:r>
      <w:r>
        <w:t xml:space="preserve"> </w:t>
      </w:r>
      <w:r>
        <w:rPr>
          <w:spacing w:val="-1"/>
        </w:rPr>
        <w:t>raised</w:t>
      </w:r>
      <w:r>
        <w:t xml:space="preserve"> in submissions </w:t>
      </w:r>
      <w:r>
        <w:rPr>
          <w:spacing w:val="-1"/>
        </w:rPr>
        <w:t>from</w:t>
      </w:r>
      <w:r>
        <w:t xml:space="preserve"> other</w:t>
      </w:r>
      <w:r>
        <w:rPr>
          <w:spacing w:val="31"/>
        </w:rPr>
        <w:t xml:space="preserve"> </w:t>
      </w:r>
      <w:r>
        <w:rPr>
          <w:spacing w:val="-1"/>
        </w:rPr>
        <w:t>stakeholders.</w:t>
      </w:r>
      <w:r>
        <w:rPr>
          <w:spacing w:val="-11"/>
        </w:rPr>
        <w:t xml:space="preserve"> </w:t>
      </w:r>
      <w:r>
        <w:rPr>
          <w:spacing w:val="-2"/>
        </w:rPr>
        <w:t>The</w:t>
      </w:r>
      <w:r>
        <w:t xml:space="preserve"> </w:t>
      </w:r>
      <w:r>
        <w:rPr>
          <w:spacing w:val="-3"/>
        </w:rPr>
        <w:t>Panel</w:t>
      </w:r>
      <w:r>
        <w:t xml:space="preserve"> does not have any </w:t>
      </w:r>
      <w:r>
        <w:rPr>
          <w:spacing w:val="-1"/>
        </w:rPr>
        <w:t>remit</w:t>
      </w:r>
      <w:r>
        <w:t xml:space="preserve"> to </w:t>
      </w:r>
      <w:r>
        <w:rPr>
          <w:spacing w:val="-1"/>
        </w:rPr>
        <w:t>propose</w:t>
      </w:r>
      <w:r>
        <w:t xml:space="preserve"> changes to government policies,</w:t>
      </w:r>
      <w:r>
        <w:rPr>
          <w:spacing w:val="-7"/>
        </w:rPr>
        <w:t xml:space="preserve"> </w:t>
      </w:r>
      <w:r>
        <w:t>such</w:t>
      </w:r>
      <w:r>
        <w:rPr>
          <w:spacing w:val="37"/>
        </w:rPr>
        <w:t xml:space="preserve"> </w:t>
      </w:r>
      <w:r>
        <w:t xml:space="preserve">as the </w:t>
      </w:r>
      <w:r>
        <w:rPr>
          <w:spacing w:val="-1"/>
        </w:rPr>
        <w:t>setting</w:t>
      </w:r>
      <w:r>
        <w:t xml:space="preserve"> of</w:t>
      </w:r>
      <w:r>
        <w:rPr>
          <w:spacing w:val="4"/>
        </w:rPr>
        <w:t xml:space="preserve"> </w:t>
      </w:r>
      <w:r>
        <w:t xml:space="preserve">dividends and </w:t>
      </w:r>
      <w:r>
        <w:rPr>
          <w:spacing w:val="-1"/>
        </w:rPr>
        <w:t>water</w:t>
      </w:r>
      <w:r>
        <w:t xml:space="preserve"> </w:t>
      </w:r>
      <w:r>
        <w:rPr>
          <w:spacing w:val="-1"/>
        </w:rPr>
        <w:t>abstraction</w:t>
      </w:r>
      <w:r>
        <w:t xml:space="preserve"> </w:t>
      </w:r>
      <w:r>
        <w:rPr>
          <w:spacing w:val="-1"/>
        </w:rPr>
        <w:t>charges,</w:t>
      </w:r>
      <w:r>
        <w:rPr>
          <w:spacing w:val="-6"/>
        </w:rPr>
        <w:t xml:space="preserve"> </w:t>
      </w:r>
      <w:r>
        <w:t xml:space="preserve">as these </w:t>
      </w:r>
      <w:r>
        <w:rPr>
          <w:spacing w:val="-2"/>
        </w:rPr>
        <w:t>are</w:t>
      </w:r>
      <w:r>
        <w:t xml:space="preserve"> </w:t>
      </w:r>
      <w:r>
        <w:rPr>
          <w:spacing w:val="-1"/>
        </w:rPr>
        <w:t>matters</w:t>
      </w:r>
      <w:r>
        <w:t xml:space="preserve"> for Government and</w:t>
      </w:r>
      <w:r>
        <w:rPr>
          <w:spacing w:val="45"/>
        </w:rPr>
        <w:t xml:space="preserve"> </w:t>
      </w:r>
      <w:r>
        <w:rPr>
          <w:spacing w:val="-2"/>
        </w:rPr>
        <w:t>are</w:t>
      </w:r>
      <w:r>
        <w:t xml:space="preserve"> outside the scope of</w:t>
      </w:r>
      <w:r>
        <w:rPr>
          <w:spacing w:val="4"/>
        </w:rPr>
        <w:t xml:space="preserve"> </w:t>
      </w:r>
      <w:r>
        <w:t>the</w:t>
      </w:r>
      <w:r>
        <w:rPr>
          <w:spacing w:val="-4"/>
        </w:rPr>
        <w:t xml:space="preserve"> </w:t>
      </w:r>
      <w:r>
        <w:t>Act.</w:t>
      </w:r>
      <w:r>
        <w:rPr>
          <w:spacing w:val="-6"/>
        </w:rPr>
        <w:t xml:space="preserve"> </w:t>
      </w:r>
      <w:r>
        <w:t>In addition,</w:t>
      </w:r>
      <w:r>
        <w:rPr>
          <w:spacing w:val="-6"/>
        </w:rPr>
        <w:t xml:space="preserve"> </w:t>
      </w:r>
      <w:r>
        <w:t xml:space="preserve">the </w:t>
      </w:r>
      <w:r>
        <w:rPr>
          <w:spacing w:val="-3"/>
        </w:rPr>
        <w:t>Panel</w:t>
      </w:r>
      <w:r>
        <w:t xml:space="preserve"> has not </w:t>
      </w:r>
      <w:r>
        <w:rPr>
          <w:spacing w:val="-1"/>
        </w:rPr>
        <w:t>considered</w:t>
      </w:r>
      <w:r>
        <w:t xml:space="preserve"> </w:t>
      </w:r>
      <w:r>
        <w:rPr>
          <w:spacing w:val="-1"/>
        </w:rPr>
        <w:t>tariff</w:t>
      </w:r>
      <w:r>
        <w:rPr>
          <w:spacing w:val="4"/>
        </w:rPr>
        <w:t xml:space="preserve"> </w:t>
      </w:r>
      <w:r>
        <w:rPr>
          <w:spacing w:val="-1"/>
        </w:rPr>
        <w:t>structures.</w:t>
      </w:r>
      <w:r>
        <w:rPr>
          <w:spacing w:val="-9"/>
        </w:rPr>
        <w:t xml:space="preserve"> </w:t>
      </w:r>
      <w:r>
        <w:t>While the</w:t>
      </w:r>
    </w:p>
    <w:p w:rsidR="00D96B91" w:rsidRDefault="00C2656B">
      <w:pPr>
        <w:pStyle w:val="BodyText"/>
        <w:spacing w:line="260" w:lineRule="exact"/>
        <w:ind w:right="1313"/>
      </w:pPr>
      <w:r>
        <w:rPr>
          <w:spacing w:val="-3"/>
        </w:rPr>
        <w:t>Panel</w:t>
      </w:r>
      <w:r>
        <w:t xml:space="preserve"> </w:t>
      </w:r>
      <w:r>
        <w:rPr>
          <w:spacing w:val="-1"/>
        </w:rPr>
        <w:t>recognises</w:t>
      </w:r>
      <w:r>
        <w:t xml:space="preserve"> </w:t>
      </w:r>
      <w:r>
        <w:rPr>
          <w:spacing w:val="-1"/>
        </w:rPr>
        <w:t>that</w:t>
      </w:r>
      <w:r>
        <w:t xml:space="preserve"> </w:t>
      </w:r>
      <w:r>
        <w:rPr>
          <w:spacing w:val="-1"/>
        </w:rPr>
        <w:t>tariff</w:t>
      </w:r>
      <w:r>
        <w:rPr>
          <w:spacing w:val="4"/>
        </w:rPr>
        <w:t xml:space="preserve"> </w:t>
      </w:r>
      <w:r>
        <w:rPr>
          <w:spacing w:val="-1"/>
        </w:rPr>
        <w:t>structures</w:t>
      </w:r>
      <w:r>
        <w:t xml:space="preserve"> have a </w:t>
      </w:r>
      <w:r>
        <w:rPr>
          <w:spacing w:val="-1"/>
        </w:rPr>
        <w:t>material</w:t>
      </w:r>
      <w:r>
        <w:t xml:space="preserve"> impact on </w:t>
      </w:r>
      <w:r>
        <w:rPr>
          <w:spacing w:val="-1"/>
        </w:rPr>
        <w:t>water</w:t>
      </w:r>
      <w:r>
        <w:t xml:space="preserve"> customers,</w:t>
      </w:r>
      <w:r>
        <w:rPr>
          <w:spacing w:val="-7"/>
        </w:rPr>
        <w:t xml:space="preserve"> </w:t>
      </w:r>
      <w:r>
        <w:t xml:space="preserve">the </w:t>
      </w:r>
      <w:r>
        <w:rPr>
          <w:spacing w:val="-1"/>
        </w:rPr>
        <w:t>timeframe</w:t>
      </w:r>
      <w:r>
        <w:t xml:space="preserve"> for the</w:t>
      </w:r>
      <w:r>
        <w:rPr>
          <w:spacing w:val="65"/>
        </w:rPr>
        <w:t xml:space="preserve"> </w:t>
      </w:r>
      <w:r>
        <w:rPr>
          <w:spacing w:val="-1"/>
        </w:rPr>
        <w:t>review</w:t>
      </w:r>
      <w:r>
        <w:t xml:space="preserve"> has not allowed for the </w:t>
      </w:r>
      <w:r>
        <w:rPr>
          <w:spacing w:val="-1"/>
        </w:rPr>
        <w:t>extensive</w:t>
      </w:r>
      <w:r>
        <w:t xml:space="preserve"> </w:t>
      </w:r>
      <w:r>
        <w:rPr>
          <w:spacing w:val="-1"/>
        </w:rPr>
        <w:t>consultation</w:t>
      </w:r>
      <w:r>
        <w:t xml:space="preserve"> </w:t>
      </w:r>
      <w:r>
        <w:rPr>
          <w:spacing w:val="-1"/>
        </w:rPr>
        <w:t>that</w:t>
      </w:r>
      <w:r>
        <w:t xml:space="preserve"> this </w:t>
      </w:r>
      <w:r>
        <w:rPr>
          <w:spacing w:val="-1"/>
        </w:rPr>
        <w:t>matter</w:t>
      </w:r>
      <w:r>
        <w:t xml:space="preserve"> </w:t>
      </w:r>
      <w:r>
        <w:rPr>
          <w:spacing w:val="-1"/>
        </w:rPr>
        <w:t>requires.</w:t>
      </w:r>
      <w:r>
        <w:rPr>
          <w:spacing w:val="-6"/>
        </w:rPr>
        <w:t xml:space="preserve"> </w:t>
      </w:r>
      <w:r>
        <w:t>In addition,</w:t>
      </w:r>
      <w:r>
        <w:rPr>
          <w:spacing w:val="-6"/>
        </w:rPr>
        <w:t xml:space="preserve"> </w:t>
      </w:r>
      <w:r>
        <w:t>as the ICRC</w:t>
      </w:r>
      <w:r>
        <w:rPr>
          <w:spacing w:val="47"/>
        </w:rPr>
        <w:t xml:space="preserve"> </w:t>
      </w:r>
      <w:r>
        <w:t xml:space="preserve">has </w:t>
      </w:r>
      <w:r>
        <w:rPr>
          <w:spacing w:val="-1"/>
        </w:rPr>
        <w:t>stated</w:t>
      </w:r>
      <w:r>
        <w:t xml:space="preserve"> its intention to conduct a </w:t>
      </w:r>
      <w:r>
        <w:rPr>
          <w:spacing w:val="-1"/>
        </w:rPr>
        <w:t>separate</w:t>
      </w:r>
      <w:r>
        <w:t xml:space="preserve"> </w:t>
      </w:r>
      <w:r>
        <w:rPr>
          <w:spacing w:val="-1"/>
        </w:rPr>
        <w:t>review</w:t>
      </w:r>
      <w:r>
        <w:t xml:space="preserve"> of</w:t>
      </w:r>
      <w:r>
        <w:rPr>
          <w:spacing w:val="4"/>
        </w:rPr>
        <w:t xml:space="preserve"> </w:t>
      </w:r>
      <w:r>
        <w:rPr>
          <w:spacing w:val="-1"/>
        </w:rPr>
        <w:t>tariff</w:t>
      </w:r>
      <w:r>
        <w:rPr>
          <w:spacing w:val="4"/>
        </w:rPr>
        <w:t xml:space="preserve"> </w:t>
      </w:r>
      <w:r>
        <w:rPr>
          <w:spacing w:val="-1"/>
        </w:rPr>
        <w:t>structures</w:t>
      </w:r>
      <w:r>
        <w:t xml:space="preserve"> during the </w:t>
      </w:r>
      <w:r>
        <w:rPr>
          <w:spacing w:val="-1"/>
        </w:rPr>
        <w:t>current</w:t>
      </w:r>
      <w:r>
        <w:t xml:space="preserve"> </w:t>
      </w:r>
      <w:r>
        <w:rPr>
          <w:spacing w:val="-1"/>
        </w:rPr>
        <w:t>regulatory</w:t>
      </w:r>
      <w:r>
        <w:rPr>
          <w:spacing w:val="47"/>
        </w:rPr>
        <w:t xml:space="preserve"> </w:t>
      </w:r>
      <w:r>
        <w:t>period,</w:t>
      </w:r>
      <w:r>
        <w:rPr>
          <w:position w:val="7"/>
          <w:sz w:val="11"/>
        </w:rPr>
        <w:t>5</w:t>
      </w:r>
      <w:r>
        <w:rPr>
          <w:spacing w:val="22"/>
          <w:position w:val="7"/>
          <w:sz w:val="11"/>
        </w:rPr>
        <w:t xml:space="preserve"> </w:t>
      </w:r>
      <w:r>
        <w:t>the</w:t>
      </w:r>
      <w:r>
        <w:rPr>
          <w:spacing w:val="1"/>
        </w:rPr>
        <w:t xml:space="preserve"> </w:t>
      </w:r>
      <w:r>
        <w:rPr>
          <w:spacing w:val="-3"/>
        </w:rPr>
        <w:t>Panel</w:t>
      </w:r>
      <w:r>
        <w:t xml:space="preserve"> has</w:t>
      </w:r>
      <w:r>
        <w:rPr>
          <w:spacing w:val="1"/>
        </w:rPr>
        <w:t xml:space="preserve"> </w:t>
      </w:r>
      <w:r>
        <w:t xml:space="preserve">seen no </w:t>
      </w:r>
      <w:r>
        <w:rPr>
          <w:spacing w:val="-1"/>
        </w:rPr>
        <w:t>reason</w:t>
      </w:r>
      <w:r>
        <w:rPr>
          <w:spacing w:val="1"/>
        </w:rPr>
        <w:t xml:space="preserve"> </w:t>
      </w:r>
      <w:r>
        <w:t xml:space="preserve">to </w:t>
      </w:r>
      <w:r>
        <w:rPr>
          <w:spacing w:val="-1"/>
        </w:rPr>
        <w:t>duplicate</w:t>
      </w:r>
      <w:r>
        <w:t xml:space="preserve"> this</w:t>
      </w:r>
      <w:r>
        <w:rPr>
          <w:spacing w:val="1"/>
        </w:rPr>
        <w:t xml:space="preserve"> </w:t>
      </w:r>
      <w:r>
        <w:rPr>
          <w:spacing w:val="-1"/>
        </w:rPr>
        <w:t>process.</w:t>
      </w:r>
    </w:p>
    <w:p w:rsidR="00D96B91" w:rsidRDefault="00C2656B">
      <w:pPr>
        <w:pStyle w:val="BodyText"/>
        <w:spacing w:before="170" w:line="260" w:lineRule="exact"/>
        <w:ind w:right="1314"/>
      </w:pPr>
      <w:r>
        <w:rPr>
          <w:spacing w:val="-2"/>
        </w:rPr>
        <w:t>Finally,</w:t>
      </w:r>
      <w:r>
        <w:rPr>
          <w:spacing w:val="-6"/>
        </w:rPr>
        <w:t xml:space="preserve"> </w:t>
      </w:r>
      <w:r>
        <w:t xml:space="preserve">the </w:t>
      </w:r>
      <w:r>
        <w:rPr>
          <w:spacing w:val="-3"/>
        </w:rPr>
        <w:t>Panel</w:t>
      </w:r>
      <w:r>
        <w:t xml:space="preserve"> notes </w:t>
      </w:r>
      <w:r>
        <w:rPr>
          <w:spacing w:val="-1"/>
        </w:rPr>
        <w:t>that</w:t>
      </w:r>
      <w:r>
        <w:t xml:space="preserve"> </w:t>
      </w:r>
      <w:r>
        <w:rPr>
          <w:spacing w:val="-1"/>
        </w:rPr>
        <w:t>there</w:t>
      </w:r>
      <w:r>
        <w:t xml:space="preserve"> </w:t>
      </w:r>
      <w:r>
        <w:rPr>
          <w:spacing w:val="-2"/>
        </w:rPr>
        <w:t>are</w:t>
      </w:r>
      <w:r>
        <w:t xml:space="preserve"> </w:t>
      </w:r>
      <w:r>
        <w:rPr>
          <w:spacing w:val="-1"/>
        </w:rPr>
        <w:t>inter-linkages</w:t>
      </w:r>
      <w:r>
        <w:t xml:space="preserve"> between the various building </w:t>
      </w:r>
      <w:r>
        <w:rPr>
          <w:spacing w:val="-1"/>
        </w:rPr>
        <w:t>blocks</w:t>
      </w:r>
      <w:r>
        <w:t xml:space="preserve"> and</w:t>
      </w:r>
      <w:r>
        <w:rPr>
          <w:spacing w:val="47"/>
        </w:rPr>
        <w:t xml:space="preserve"> </w:t>
      </w:r>
      <w:r>
        <w:rPr>
          <w:rFonts w:cs="Avenir Next"/>
          <w:spacing w:val="-1"/>
        </w:rPr>
        <w:t>parameters</w:t>
      </w:r>
      <w:r>
        <w:rPr>
          <w:rFonts w:cs="Avenir Next"/>
        </w:rPr>
        <w:t xml:space="preserve"> used to determine</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and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charges</w:t>
      </w:r>
      <w:r>
        <w:rPr>
          <w:rFonts w:cs="Avenir Next"/>
        </w:rPr>
        <w:t xml:space="preserve"> as well</w:t>
      </w:r>
      <w:r>
        <w:rPr>
          <w:rFonts w:cs="Avenir Next"/>
          <w:spacing w:val="51"/>
        </w:rPr>
        <w:t xml:space="preserve"> </w:t>
      </w:r>
      <w:r>
        <w:t>as the form of</w:t>
      </w:r>
      <w:r>
        <w:rPr>
          <w:spacing w:val="4"/>
        </w:rPr>
        <w:t xml:space="preserve"> </w:t>
      </w:r>
      <w:r>
        <w:rPr>
          <w:spacing w:val="-1"/>
        </w:rPr>
        <w:t>regulatory</w:t>
      </w:r>
      <w:r>
        <w:t xml:space="preserve"> </w:t>
      </w:r>
      <w:r>
        <w:rPr>
          <w:spacing w:val="-1"/>
        </w:rPr>
        <w:t>control</w:t>
      </w:r>
      <w:r>
        <w:t xml:space="preserve"> and risk </w:t>
      </w:r>
      <w:r>
        <w:rPr>
          <w:spacing w:val="-1"/>
        </w:rPr>
        <w:t>allocation</w:t>
      </w:r>
      <w:r>
        <w:t xml:space="preserve"> </w:t>
      </w:r>
      <w:r>
        <w:rPr>
          <w:spacing w:val="-1"/>
        </w:rPr>
        <w:t>measures.</w:t>
      </w:r>
      <w:r>
        <w:rPr>
          <w:spacing w:val="-11"/>
        </w:rPr>
        <w:t xml:space="preserve"> </w:t>
      </w:r>
      <w:r>
        <w:rPr>
          <w:spacing w:val="-10"/>
        </w:rPr>
        <w:t>To</w:t>
      </w:r>
      <w:r>
        <w:t xml:space="preserve"> the </w:t>
      </w:r>
      <w:r>
        <w:rPr>
          <w:spacing w:val="-1"/>
        </w:rPr>
        <w:t>extent</w:t>
      </w:r>
      <w:r>
        <w:t xml:space="preserve"> </w:t>
      </w:r>
      <w:r>
        <w:rPr>
          <w:spacing w:val="-1"/>
        </w:rPr>
        <w:t>that</w:t>
      </w:r>
      <w:r>
        <w:t xml:space="preserve"> any new </w:t>
      </w:r>
      <w:r>
        <w:rPr>
          <w:spacing w:val="-1"/>
        </w:rPr>
        <w:t>information</w:t>
      </w:r>
      <w:r>
        <w:rPr>
          <w:spacing w:val="67"/>
        </w:rPr>
        <w:t xml:space="preserve"> </w:t>
      </w:r>
      <w:r>
        <w:t>comes</w:t>
      </w:r>
      <w:r>
        <w:rPr>
          <w:spacing w:val="-1"/>
        </w:rPr>
        <w:t xml:space="preserve"> </w:t>
      </w:r>
      <w:r>
        <w:t>to light between the</w:t>
      </w:r>
      <w:r>
        <w:rPr>
          <w:spacing w:val="-1"/>
        </w:rPr>
        <w:t xml:space="preserve"> </w:t>
      </w:r>
      <w:r>
        <w:rPr>
          <w:spacing w:val="-2"/>
        </w:rPr>
        <w:t>draft</w:t>
      </w:r>
      <w:r>
        <w:t xml:space="preserve"> and final decisions </w:t>
      </w:r>
      <w:r>
        <w:rPr>
          <w:spacing w:val="-1"/>
        </w:rPr>
        <w:t xml:space="preserve">that </w:t>
      </w:r>
      <w:r>
        <w:t>causes a change to</w:t>
      </w:r>
      <w:r>
        <w:rPr>
          <w:spacing w:val="-1"/>
        </w:rPr>
        <w:t xml:space="preserve"> </w:t>
      </w:r>
      <w:r>
        <w:t>one of</w:t>
      </w:r>
      <w:r>
        <w:rPr>
          <w:spacing w:val="4"/>
        </w:rPr>
        <w:t xml:space="preserve"> </w:t>
      </w:r>
      <w:r>
        <w:t>these elements</w:t>
      </w:r>
    </w:p>
    <w:p w:rsidR="00D96B91" w:rsidRDefault="00C2656B">
      <w:pPr>
        <w:pStyle w:val="BodyText"/>
        <w:spacing w:line="260" w:lineRule="exact"/>
        <w:ind w:right="1283"/>
      </w:pPr>
      <w:r>
        <w:t>of</w:t>
      </w:r>
      <w:r>
        <w:rPr>
          <w:spacing w:val="4"/>
        </w:rPr>
        <w:t xml:space="preserve"> </w:t>
      </w:r>
      <w:r>
        <w:t xml:space="preserve">the price </w:t>
      </w:r>
      <w:r>
        <w:rPr>
          <w:spacing w:val="-1"/>
        </w:rPr>
        <w:t>direction,</w:t>
      </w:r>
      <w:r>
        <w:rPr>
          <w:spacing w:val="-6"/>
        </w:rPr>
        <w:t xml:space="preserve"> </w:t>
      </w:r>
      <w:r>
        <w:t xml:space="preserve">the </w:t>
      </w:r>
      <w:r>
        <w:rPr>
          <w:spacing w:val="-3"/>
        </w:rPr>
        <w:t>Panel</w:t>
      </w:r>
      <w:r>
        <w:t xml:space="preserve"> will need to consider the </w:t>
      </w:r>
      <w:r>
        <w:rPr>
          <w:spacing w:val="-1"/>
        </w:rPr>
        <w:t>implications</w:t>
      </w:r>
      <w:r>
        <w:t xml:space="preserve"> for other elements of</w:t>
      </w:r>
      <w:r>
        <w:rPr>
          <w:spacing w:val="4"/>
        </w:rPr>
        <w:t xml:space="preserve"> </w:t>
      </w:r>
      <w:r>
        <w:t>the price</w:t>
      </w:r>
      <w:r>
        <w:rPr>
          <w:spacing w:val="35"/>
        </w:rPr>
        <w:t xml:space="preserve"> </w:t>
      </w:r>
      <w:r>
        <w:rPr>
          <w:spacing w:val="-1"/>
        </w:rPr>
        <w:t>direction.</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128"/>
        </w:numPr>
        <w:tabs>
          <w:tab w:val="left" w:pos="1570"/>
          <w:tab w:val="left" w:pos="2040"/>
        </w:tabs>
        <w:ind w:hanging="322"/>
      </w:pPr>
      <w:r>
        <w:rPr>
          <w:color w:val="0778BE"/>
        </w:rPr>
        <w:t>6</w:t>
      </w:r>
      <w:r>
        <w:rPr>
          <w:color w:val="0778BE"/>
        </w:rPr>
        <w:tab/>
        <w:t xml:space="preserve">How can </w:t>
      </w:r>
      <w:r>
        <w:rPr>
          <w:color w:val="0778BE"/>
          <w:spacing w:val="-1"/>
        </w:rPr>
        <w:t>stakeholders</w:t>
      </w:r>
      <w:r>
        <w:rPr>
          <w:color w:val="0778BE"/>
        </w:rPr>
        <w:t xml:space="preserve"> comment on the </w:t>
      </w:r>
      <w:r>
        <w:rPr>
          <w:color w:val="0778BE"/>
          <w:spacing w:val="-5"/>
        </w:rPr>
        <w:t>Panel’s</w:t>
      </w:r>
      <w:r>
        <w:rPr>
          <w:color w:val="0778BE"/>
        </w:rPr>
        <w:t xml:space="preserve"> </w:t>
      </w:r>
      <w:r>
        <w:rPr>
          <w:color w:val="0778BE"/>
          <w:spacing w:val="-2"/>
        </w:rPr>
        <w:t>draft</w:t>
      </w:r>
      <w:r>
        <w:rPr>
          <w:color w:val="0778BE"/>
        </w:rPr>
        <w:t xml:space="preserve"> </w:t>
      </w:r>
      <w:r>
        <w:rPr>
          <w:color w:val="0778BE"/>
          <w:spacing w:val="-1"/>
        </w:rPr>
        <w:t>direction?</w:t>
      </w:r>
    </w:p>
    <w:p w:rsidR="00D96B91" w:rsidRDefault="00C2656B">
      <w:pPr>
        <w:pStyle w:val="BodyText"/>
        <w:spacing w:before="55" w:line="260" w:lineRule="exact"/>
        <w:ind w:right="1548"/>
      </w:pPr>
      <w:r>
        <w:rPr>
          <w:spacing w:val="-2"/>
        </w:rPr>
        <w:t>The</w:t>
      </w:r>
      <w:r>
        <w:t xml:space="preserve"> </w:t>
      </w:r>
      <w:r>
        <w:rPr>
          <w:spacing w:val="-3"/>
        </w:rPr>
        <w:t>Panel</w:t>
      </w:r>
      <w:r>
        <w:t xml:space="preserve"> is now consulting with the</w:t>
      </w:r>
      <w:r>
        <w:rPr>
          <w:spacing w:val="-4"/>
        </w:rPr>
        <w:t xml:space="preserve"> </w:t>
      </w:r>
      <w:r>
        <w:rPr>
          <w:spacing w:val="-2"/>
        </w:rPr>
        <w:t>ACT</w:t>
      </w:r>
      <w:r>
        <w:rPr>
          <w:spacing w:val="-5"/>
        </w:rPr>
        <w:t xml:space="preserve"> </w:t>
      </w:r>
      <w:r>
        <w:t xml:space="preserve">community about its </w:t>
      </w:r>
      <w:r>
        <w:rPr>
          <w:spacing w:val="-2"/>
        </w:rPr>
        <w:t>draft</w:t>
      </w:r>
      <w:r>
        <w:t xml:space="preserve"> price </w:t>
      </w:r>
      <w:r>
        <w:rPr>
          <w:spacing w:val="-1"/>
        </w:rPr>
        <w:t>direction.</w:t>
      </w:r>
      <w:r>
        <w:rPr>
          <w:spacing w:val="-11"/>
        </w:rPr>
        <w:t xml:space="preserve"> </w:t>
      </w:r>
      <w:r>
        <w:rPr>
          <w:spacing w:val="-1"/>
        </w:rPr>
        <w:t>This</w:t>
      </w:r>
      <w:r>
        <w:t xml:space="preserve"> </w:t>
      </w:r>
      <w:r>
        <w:rPr>
          <w:spacing w:val="-1"/>
        </w:rPr>
        <w:t>consultation</w:t>
      </w:r>
      <w:r>
        <w:rPr>
          <w:spacing w:val="51"/>
        </w:rPr>
        <w:t xml:space="preserve"> </w:t>
      </w:r>
      <w:r>
        <w:rPr>
          <w:rFonts w:cs="Avenir Next"/>
        </w:rPr>
        <w:t xml:space="preserve">phase </w:t>
      </w:r>
      <w:r>
        <w:rPr>
          <w:rFonts w:cs="Avenir Next"/>
          <w:spacing w:val="-1"/>
        </w:rPr>
        <w:t>represents</w:t>
      </w:r>
      <w:r>
        <w:rPr>
          <w:rFonts w:cs="Avenir Next"/>
        </w:rPr>
        <w:t xml:space="preserve"> the best </w:t>
      </w:r>
      <w:r>
        <w:rPr>
          <w:rFonts w:cs="Avenir Next"/>
          <w:spacing w:val="-1"/>
        </w:rPr>
        <w:t>opportunity</w:t>
      </w:r>
      <w:r>
        <w:rPr>
          <w:rFonts w:cs="Avenir Next"/>
        </w:rPr>
        <w:t xml:space="preserve"> for the </w:t>
      </w:r>
      <w:r>
        <w:rPr>
          <w:rFonts w:cs="Avenir Next"/>
          <w:spacing w:val="-1"/>
        </w:rPr>
        <w:t>broader</w:t>
      </w:r>
      <w:r>
        <w:rPr>
          <w:rFonts w:cs="Avenir Next"/>
          <w:spacing w:val="-4"/>
        </w:rPr>
        <w:t xml:space="preserve"> </w:t>
      </w:r>
      <w:r>
        <w:rPr>
          <w:rFonts w:cs="Avenir Next"/>
          <w:spacing w:val="-2"/>
        </w:rPr>
        <w:t>ACT</w:t>
      </w:r>
      <w:r>
        <w:rPr>
          <w:rFonts w:cs="Avenir Next"/>
          <w:spacing w:val="-5"/>
        </w:rPr>
        <w:t xml:space="preserve"> </w:t>
      </w:r>
      <w:r>
        <w:rPr>
          <w:rFonts w:cs="Avenir Next"/>
        </w:rPr>
        <w:t xml:space="preserve">community to have input into the </w:t>
      </w:r>
      <w:r>
        <w:rPr>
          <w:rFonts w:cs="Avenir Next"/>
          <w:spacing w:val="-4"/>
        </w:rPr>
        <w:t>Panel’s</w:t>
      </w:r>
      <w:r>
        <w:rPr>
          <w:rFonts w:cs="Avenir Next"/>
          <w:spacing w:val="37"/>
        </w:rPr>
        <w:t xml:space="preserve"> </w:t>
      </w:r>
      <w:r>
        <w:rPr>
          <w:spacing w:val="-1"/>
        </w:rPr>
        <w:t>process.</w:t>
      </w:r>
      <w:r>
        <w:rPr>
          <w:spacing w:val="-6"/>
        </w:rPr>
        <w:t xml:space="preserve"> </w:t>
      </w:r>
      <w:r>
        <w:t>Under the</w:t>
      </w:r>
      <w:r>
        <w:rPr>
          <w:spacing w:val="-4"/>
        </w:rPr>
        <w:t xml:space="preserve"> </w:t>
      </w:r>
      <w:r>
        <w:t>Act,</w:t>
      </w:r>
      <w:r>
        <w:rPr>
          <w:spacing w:val="-6"/>
        </w:rPr>
        <w:t xml:space="preserve"> </w:t>
      </w:r>
      <w:r>
        <w:t xml:space="preserve">the </w:t>
      </w:r>
      <w:r>
        <w:rPr>
          <w:spacing w:val="-3"/>
        </w:rPr>
        <w:t>Panel</w:t>
      </w:r>
      <w:r>
        <w:t xml:space="preserve"> must </w:t>
      </w:r>
      <w:r>
        <w:rPr>
          <w:spacing w:val="-1"/>
        </w:rPr>
        <w:t>take</w:t>
      </w:r>
      <w:r>
        <w:t xml:space="preserve"> into account issues </w:t>
      </w:r>
      <w:r>
        <w:rPr>
          <w:spacing w:val="-1"/>
        </w:rPr>
        <w:t>raised</w:t>
      </w:r>
      <w:r>
        <w:t xml:space="preserve"> in submissions </w:t>
      </w:r>
      <w:r>
        <w:rPr>
          <w:spacing w:val="-1"/>
        </w:rPr>
        <w:t>received</w:t>
      </w:r>
      <w:r>
        <w:t xml:space="preserve"> in</w:t>
      </w:r>
      <w:r>
        <w:rPr>
          <w:spacing w:val="29"/>
        </w:rPr>
        <w:t xml:space="preserve"> </w:t>
      </w:r>
      <w:r>
        <w:rPr>
          <w:spacing w:val="-1"/>
        </w:rPr>
        <w:t xml:space="preserve">response </w:t>
      </w:r>
      <w:r>
        <w:t>to</w:t>
      </w:r>
      <w:r>
        <w:rPr>
          <w:spacing w:val="-2"/>
        </w:rPr>
        <w:t xml:space="preserve"> </w:t>
      </w:r>
      <w:r>
        <w:t>this</w:t>
      </w:r>
      <w:r>
        <w:rPr>
          <w:spacing w:val="-1"/>
        </w:rPr>
        <w:t xml:space="preserve"> </w:t>
      </w:r>
      <w:r>
        <w:rPr>
          <w:spacing w:val="-2"/>
        </w:rPr>
        <w:t>report</w:t>
      </w:r>
      <w:r>
        <w:rPr>
          <w:spacing w:val="-1"/>
        </w:rPr>
        <w:t xml:space="preserve"> before </w:t>
      </w:r>
      <w:r>
        <w:t>finalising</w:t>
      </w:r>
      <w:r>
        <w:rPr>
          <w:spacing w:val="-1"/>
        </w:rPr>
        <w:t xml:space="preserve"> </w:t>
      </w:r>
      <w:r>
        <w:t>its</w:t>
      </w:r>
      <w:r>
        <w:rPr>
          <w:spacing w:val="-1"/>
        </w:rPr>
        <w:t xml:space="preserve"> </w:t>
      </w:r>
      <w:r>
        <w:t>pricing</w:t>
      </w:r>
      <w:r>
        <w:rPr>
          <w:spacing w:val="-1"/>
        </w:rPr>
        <w:t xml:space="preserve"> direction.</w:t>
      </w:r>
    </w:p>
    <w:p w:rsidR="00D96B91" w:rsidRDefault="00C2656B">
      <w:pPr>
        <w:pStyle w:val="BodyText"/>
        <w:spacing w:before="178" w:line="267" w:lineRule="exact"/>
        <w:rPr>
          <w:rFonts w:cs="Avenir Next"/>
        </w:rPr>
      </w:pPr>
      <w:r>
        <w:rPr>
          <w:spacing w:val="-2"/>
        </w:rPr>
        <w:t>Written</w:t>
      </w:r>
      <w:r>
        <w:t xml:space="preserve"> submissions on this </w:t>
      </w:r>
      <w:r>
        <w:rPr>
          <w:spacing w:val="-2"/>
        </w:rPr>
        <w:t>draft</w:t>
      </w:r>
      <w:r>
        <w:t xml:space="preserve"> </w:t>
      </w:r>
      <w:r>
        <w:rPr>
          <w:spacing w:val="-2"/>
        </w:rPr>
        <w:t>report</w:t>
      </w:r>
      <w:r>
        <w:t xml:space="preserve"> must be </w:t>
      </w:r>
      <w:r>
        <w:rPr>
          <w:spacing w:val="-1"/>
        </w:rPr>
        <w:t>received</w:t>
      </w:r>
      <w:r>
        <w:t xml:space="preserve"> by the </w:t>
      </w:r>
      <w:r>
        <w:rPr>
          <w:spacing w:val="-3"/>
        </w:rPr>
        <w:t>Panel</w:t>
      </w:r>
      <w:r>
        <w:t xml:space="preserve"> no </w:t>
      </w:r>
      <w:r>
        <w:rPr>
          <w:spacing w:val="-1"/>
        </w:rPr>
        <w:t>later</w:t>
      </w:r>
      <w:r>
        <w:t xml:space="preserve"> than</w:t>
      </w:r>
    </w:p>
    <w:p w:rsidR="00D96B91" w:rsidRDefault="00C2656B">
      <w:pPr>
        <w:spacing w:line="267" w:lineRule="exact"/>
        <w:ind w:left="1247"/>
        <w:rPr>
          <w:rFonts w:ascii="Avenir Next" w:eastAsia="Avenir Next" w:hAnsi="Avenir Next" w:cs="Avenir Next"/>
          <w:sz w:val="20"/>
          <w:szCs w:val="20"/>
        </w:rPr>
      </w:pPr>
      <w:r>
        <w:rPr>
          <w:rFonts w:ascii="Avenir Next"/>
          <w:b/>
          <w:spacing w:val="-3"/>
          <w:sz w:val="20"/>
        </w:rPr>
        <w:t>Friday,</w:t>
      </w:r>
      <w:r>
        <w:rPr>
          <w:rFonts w:ascii="Avenir Next"/>
          <w:b/>
          <w:spacing w:val="-6"/>
          <w:sz w:val="20"/>
        </w:rPr>
        <w:t xml:space="preserve"> </w:t>
      </w:r>
      <w:r>
        <w:rPr>
          <w:rFonts w:ascii="Avenir Next"/>
          <w:b/>
          <w:sz w:val="20"/>
        </w:rPr>
        <w:t>23</w:t>
      </w:r>
      <w:r>
        <w:rPr>
          <w:rFonts w:ascii="Avenir Next"/>
          <w:b/>
          <w:spacing w:val="-3"/>
          <w:sz w:val="20"/>
        </w:rPr>
        <w:t xml:space="preserve"> </w:t>
      </w:r>
      <w:r>
        <w:rPr>
          <w:rFonts w:ascii="Avenir Next"/>
          <w:b/>
          <w:spacing w:val="-1"/>
          <w:sz w:val="20"/>
        </w:rPr>
        <w:t>January</w:t>
      </w:r>
      <w:r>
        <w:rPr>
          <w:rFonts w:ascii="Avenir Next"/>
          <w:b/>
          <w:sz w:val="20"/>
        </w:rPr>
        <w:t xml:space="preserve"> 2015, </w:t>
      </w:r>
      <w:r>
        <w:rPr>
          <w:rFonts w:ascii="Avenir Next"/>
          <w:sz w:val="20"/>
        </w:rPr>
        <w:t xml:space="preserve">and should be </w:t>
      </w:r>
      <w:r>
        <w:rPr>
          <w:rFonts w:ascii="Avenir Next"/>
          <w:spacing w:val="-1"/>
          <w:sz w:val="20"/>
        </w:rPr>
        <w:t>addressed</w:t>
      </w:r>
      <w:r>
        <w:rPr>
          <w:rFonts w:ascii="Avenir Next"/>
          <w:sz w:val="20"/>
        </w:rPr>
        <w:t xml:space="preserve"> to:</w:t>
      </w:r>
    </w:p>
    <w:p w:rsidR="00D96B91" w:rsidRDefault="00D96B91">
      <w:pPr>
        <w:spacing w:before="5"/>
        <w:rPr>
          <w:rFonts w:ascii="Avenir Next" w:eastAsia="Avenir Next" w:hAnsi="Avenir Next" w:cs="Avenir Next"/>
          <w:sz w:val="18"/>
          <w:szCs w:val="18"/>
        </w:rPr>
      </w:pPr>
    </w:p>
    <w:tbl>
      <w:tblPr>
        <w:tblW w:w="0" w:type="auto"/>
        <w:tblInd w:w="3267" w:type="dxa"/>
        <w:tblLayout w:type="fixed"/>
        <w:tblCellMar>
          <w:left w:w="0" w:type="dxa"/>
          <w:right w:w="0" w:type="dxa"/>
        </w:tblCellMar>
        <w:tblLook w:val="01E0"/>
      </w:tblPr>
      <w:tblGrid>
        <w:gridCol w:w="2352"/>
        <w:gridCol w:w="2824"/>
      </w:tblGrid>
      <w:tr w:rsidR="00D96B91">
        <w:trPr>
          <w:trHeight w:hRule="exact" w:val="340"/>
        </w:trPr>
        <w:tc>
          <w:tcPr>
            <w:tcW w:w="2352" w:type="dxa"/>
            <w:tcBorders>
              <w:top w:val="nil"/>
              <w:left w:val="nil"/>
              <w:bottom w:val="nil"/>
              <w:right w:val="nil"/>
            </w:tcBorders>
          </w:tcPr>
          <w:p w:rsidR="00D96B91" w:rsidRDefault="00C2656B">
            <w:pPr>
              <w:pStyle w:val="TableParagraph"/>
              <w:spacing w:before="6"/>
              <w:ind w:left="230"/>
              <w:rPr>
                <w:rFonts w:ascii="Avenir Next" w:eastAsia="Avenir Next" w:hAnsi="Avenir Next" w:cs="Avenir Next"/>
                <w:sz w:val="20"/>
                <w:szCs w:val="20"/>
              </w:rPr>
            </w:pPr>
            <w:r>
              <w:rPr>
                <w:rFonts w:ascii="Avenir Next"/>
                <w:sz w:val="20"/>
              </w:rPr>
              <w:t xml:space="preserve">By email </w:t>
            </w:r>
            <w:r>
              <w:rPr>
                <w:rFonts w:ascii="Avenir Next"/>
                <w:spacing w:val="-1"/>
                <w:sz w:val="20"/>
              </w:rPr>
              <w:t>(preferred):</w:t>
            </w:r>
          </w:p>
        </w:tc>
        <w:tc>
          <w:tcPr>
            <w:tcW w:w="2824" w:type="dxa"/>
            <w:tcBorders>
              <w:top w:val="nil"/>
              <w:left w:val="nil"/>
              <w:bottom w:val="nil"/>
              <w:right w:val="nil"/>
            </w:tcBorders>
          </w:tcPr>
          <w:p w:rsidR="00D96B91" w:rsidRDefault="00D96B91">
            <w:pPr>
              <w:pStyle w:val="TableParagraph"/>
              <w:spacing w:before="6"/>
              <w:ind w:left="253"/>
              <w:rPr>
                <w:rFonts w:ascii="Avenir Next" w:eastAsia="Avenir Next" w:hAnsi="Avenir Next" w:cs="Avenir Next"/>
                <w:sz w:val="20"/>
                <w:szCs w:val="20"/>
              </w:rPr>
            </w:pPr>
            <w:hyperlink r:id="rId34">
              <w:r w:rsidR="00C2656B">
                <w:rPr>
                  <w:rFonts w:ascii="Avenir Next"/>
                  <w:color w:val="0778BE"/>
                  <w:spacing w:val="-1"/>
                  <w:sz w:val="20"/>
                </w:rPr>
                <w:t>industrypanel@act.gov.au</w:t>
              </w:r>
            </w:hyperlink>
          </w:p>
        </w:tc>
      </w:tr>
      <w:tr w:rsidR="00D96B91">
        <w:trPr>
          <w:trHeight w:hRule="exact" w:val="586"/>
        </w:trPr>
        <w:tc>
          <w:tcPr>
            <w:tcW w:w="2352" w:type="dxa"/>
            <w:tcBorders>
              <w:top w:val="nil"/>
              <w:left w:val="nil"/>
              <w:bottom w:val="nil"/>
              <w:right w:val="nil"/>
            </w:tcBorders>
          </w:tcPr>
          <w:p w:rsidR="00D96B91" w:rsidRDefault="00C2656B">
            <w:pPr>
              <w:pStyle w:val="TableParagraph"/>
              <w:spacing w:before="26"/>
              <w:ind w:left="230"/>
              <w:rPr>
                <w:rFonts w:ascii="Avenir Next" w:eastAsia="Avenir Next" w:hAnsi="Avenir Next" w:cs="Avenir Next"/>
                <w:sz w:val="20"/>
                <w:szCs w:val="20"/>
              </w:rPr>
            </w:pPr>
            <w:r>
              <w:rPr>
                <w:rFonts w:ascii="Avenir Next"/>
                <w:sz w:val="20"/>
              </w:rPr>
              <w:t>By post:</w:t>
            </w:r>
          </w:p>
        </w:tc>
        <w:tc>
          <w:tcPr>
            <w:tcW w:w="2824" w:type="dxa"/>
            <w:tcBorders>
              <w:top w:val="nil"/>
              <w:left w:val="nil"/>
              <w:bottom w:val="nil"/>
              <w:right w:val="nil"/>
            </w:tcBorders>
          </w:tcPr>
          <w:p w:rsidR="00D96B91" w:rsidRDefault="00C2656B">
            <w:pPr>
              <w:pStyle w:val="TableParagraph"/>
              <w:spacing w:before="38" w:line="260" w:lineRule="exact"/>
              <w:ind w:left="253" w:right="1134"/>
              <w:rPr>
                <w:rFonts w:ascii="Avenir Next" w:eastAsia="Avenir Next" w:hAnsi="Avenir Next" w:cs="Avenir Next"/>
              </w:rPr>
            </w:pPr>
            <w:r>
              <w:rPr>
                <w:rFonts w:ascii="Avenir Next"/>
                <w:b/>
              </w:rPr>
              <w:t xml:space="preserve">Industry </w:t>
            </w:r>
            <w:r>
              <w:rPr>
                <w:rFonts w:ascii="Avenir Next"/>
                <w:b/>
                <w:spacing w:val="-3"/>
              </w:rPr>
              <w:t>Panel</w:t>
            </w:r>
            <w:r>
              <w:rPr>
                <w:rFonts w:ascii="Avenir Next"/>
                <w:b/>
                <w:spacing w:val="22"/>
              </w:rPr>
              <w:t xml:space="preserve"> </w:t>
            </w:r>
            <w:r>
              <w:rPr>
                <w:rFonts w:ascii="Avenir Next"/>
                <w:b/>
              </w:rPr>
              <w:t xml:space="preserve">GPO </w:t>
            </w:r>
            <w:r>
              <w:rPr>
                <w:rFonts w:ascii="Avenir Next"/>
                <w:b/>
                <w:spacing w:val="-1"/>
              </w:rPr>
              <w:t>Box</w:t>
            </w:r>
            <w:r>
              <w:rPr>
                <w:rFonts w:ascii="Avenir Next"/>
                <w:b/>
              </w:rPr>
              <w:t xml:space="preserve"> 158</w:t>
            </w:r>
          </w:p>
        </w:tc>
      </w:tr>
      <w:tr w:rsidR="00D96B91">
        <w:trPr>
          <w:trHeight w:hRule="exact" w:val="317"/>
        </w:trPr>
        <w:tc>
          <w:tcPr>
            <w:tcW w:w="5176" w:type="dxa"/>
            <w:gridSpan w:val="2"/>
            <w:tcBorders>
              <w:top w:val="nil"/>
              <w:left w:val="nil"/>
              <w:bottom w:val="nil"/>
              <w:right w:val="nil"/>
            </w:tcBorders>
          </w:tcPr>
          <w:p w:rsidR="00D96B91" w:rsidRDefault="00C2656B">
            <w:pPr>
              <w:pStyle w:val="TableParagraph"/>
              <w:spacing w:line="262" w:lineRule="exact"/>
              <w:ind w:left="2605"/>
              <w:rPr>
                <w:rFonts w:ascii="Avenir Next" w:eastAsia="Avenir Next" w:hAnsi="Avenir Next" w:cs="Avenir Next"/>
              </w:rPr>
            </w:pPr>
            <w:r>
              <w:rPr>
                <w:rFonts w:ascii="Avenir Next"/>
                <w:b/>
                <w:spacing w:val="-1"/>
              </w:rPr>
              <w:t>Canberra</w:t>
            </w:r>
            <w:r>
              <w:rPr>
                <w:rFonts w:ascii="Avenir Next"/>
                <w:b/>
                <w:spacing w:val="-4"/>
              </w:rPr>
              <w:t xml:space="preserve"> </w:t>
            </w:r>
            <w:r>
              <w:rPr>
                <w:rFonts w:ascii="Avenir Next"/>
                <w:b/>
                <w:spacing w:val="-2"/>
              </w:rPr>
              <w:t>ACT</w:t>
            </w:r>
            <w:r>
              <w:rPr>
                <w:rFonts w:ascii="Avenir Next"/>
                <w:b/>
                <w:spacing w:val="-6"/>
              </w:rPr>
              <w:t xml:space="preserve"> </w:t>
            </w:r>
            <w:r>
              <w:rPr>
                <w:rFonts w:ascii="Avenir Next"/>
                <w:b/>
              </w:rPr>
              <w:t>2601</w:t>
            </w:r>
          </w:p>
        </w:tc>
      </w:tr>
      <w:tr w:rsidR="00D96B91">
        <w:trPr>
          <w:trHeight w:hRule="exact" w:val="363"/>
        </w:trPr>
        <w:tc>
          <w:tcPr>
            <w:tcW w:w="2352" w:type="dxa"/>
            <w:tcBorders>
              <w:top w:val="nil"/>
              <w:left w:val="nil"/>
              <w:bottom w:val="nil"/>
              <w:right w:val="nil"/>
            </w:tcBorders>
          </w:tcPr>
          <w:p w:rsidR="00D96B91" w:rsidRDefault="00C2656B">
            <w:pPr>
              <w:pStyle w:val="TableParagraph"/>
              <w:spacing w:before="23"/>
              <w:ind w:left="230"/>
              <w:rPr>
                <w:rFonts w:ascii="Avenir Next" w:eastAsia="Avenir Next" w:hAnsi="Avenir Next" w:cs="Avenir Next"/>
                <w:sz w:val="20"/>
                <w:szCs w:val="20"/>
              </w:rPr>
            </w:pPr>
            <w:r>
              <w:rPr>
                <w:rFonts w:ascii="Avenir Next"/>
                <w:sz w:val="20"/>
              </w:rPr>
              <w:t>By fax:</w:t>
            </w:r>
          </w:p>
        </w:tc>
        <w:tc>
          <w:tcPr>
            <w:tcW w:w="2824" w:type="dxa"/>
            <w:tcBorders>
              <w:top w:val="nil"/>
              <w:left w:val="nil"/>
              <w:bottom w:val="nil"/>
              <w:right w:val="nil"/>
            </w:tcBorders>
          </w:tcPr>
          <w:p w:rsidR="00D96B91" w:rsidRDefault="00C2656B">
            <w:pPr>
              <w:pStyle w:val="TableParagraph"/>
              <w:spacing w:before="23"/>
              <w:ind w:left="253"/>
              <w:rPr>
                <w:rFonts w:ascii="Avenir Next" w:eastAsia="Avenir Next" w:hAnsi="Avenir Next" w:cs="Avenir Next"/>
              </w:rPr>
            </w:pPr>
            <w:r>
              <w:rPr>
                <w:rFonts w:ascii="Avenir Next"/>
                <w:b/>
              </w:rPr>
              <w:t>(02) 6207 0267</w:t>
            </w:r>
          </w:p>
        </w:tc>
      </w:tr>
    </w:tbl>
    <w:p w:rsidR="00D96B91" w:rsidRDefault="00D96B91">
      <w:pPr>
        <w:spacing w:before="10"/>
        <w:rPr>
          <w:rFonts w:ascii="Avenir Next" w:eastAsia="Avenir Next" w:hAnsi="Avenir Next" w:cs="Avenir Next"/>
          <w:sz w:val="4"/>
          <w:szCs w:val="4"/>
        </w:rPr>
      </w:pPr>
    </w:p>
    <w:p w:rsidR="00D96B91" w:rsidRDefault="00C2656B">
      <w:pPr>
        <w:pStyle w:val="BodyText"/>
        <w:spacing w:before="38" w:line="260" w:lineRule="exact"/>
        <w:ind w:right="1256"/>
      </w:pPr>
      <w:r>
        <w:rPr>
          <w:spacing w:val="-2"/>
        </w:rPr>
        <w:t>Further</w:t>
      </w:r>
      <w:r>
        <w:t xml:space="preserve"> details about how to </w:t>
      </w:r>
      <w:r>
        <w:rPr>
          <w:spacing w:val="-1"/>
        </w:rPr>
        <w:t>make</w:t>
      </w:r>
      <w:r>
        <w:t xml:space="preserve"> a </w:t>
      </w:r>
      <w:r>
        <w:rPr>
          <w:spacing w:val="-1"/>
        </w:rPr>
        <w:t>written</w:t>
      </w:r>
      <w:r>
        <w:t xml:space="preserve"> submission and the </w:t>
      </w:r>
      <w:r>
        <w:rPr>
          <w:spacing w:val="-4"/>
        </w:rPr>
        <w:t>Panel’s</w:t>
      </w:r>
      <w:r>
        <w:t xml:space="preserve"> submission policy can be found</w:t>
      </w:r>
      <w:r>
        <w:rPr>
          <w:spacing w:val="23"/>
        </w:rPr>
        <w:t xml:space="preserve"> </w:t>
      </w:r>
      <w:r>
        <w:t>on page iii.</w:t>
      </w:r>
    </w:p>
    <w:p w:rsidR="00D96B91" w:rsidRDefault="00C2656B">
      <w:pPr>
        <w:pStyle w:val="BodyText"/>
        <w:spacing w:before="170" w:line="260" w:lineRule="exact"/>
        <w:ind w:right="1513"/>
      </w:pPr>
      <w:r>
        <w:t>In addition,</w:t>
      </w:r>
      <w:r>
        <w:rPr>
          <w:spacing w:val="-6"/>
        </w:rPr>
        <w:t xml:space="preserve"> </w:t>
      </w:r>
      <w:r>
        <w:t xml:space="preserve">the </w:t>
      </w:r>
      <w:r>
        <w:rPr>
          <w:spacing w:val="-3"/>
        </w:rPr>
        <w:t>Panel</w:t>
      </w:r>
      <w:r>
        <w:t xml:space="preserve"> will be holding a public </w:t>
      </w:r>
      <w:r>
        <w:rPr>
          <w:spacing w:val="-1"/>
        </w:rPr>
        <w:t>hearing</w:t>
      </w:r>
      <w:r>
        <w:t xml:space="preserve"> in </w:t>
      </w:r>
      <w:r>
        <w:rPr>
          <w:spacing w:val="-1"/>
        </w:rPr>
        <w:t>Canberra</w:t>
      </w:r>
      <w:r>
        <w:t xml:space="preserve"> in </w:t>
      </w:r>
      <w:r>
        <w:rPr>
          <w:spacing w:val="-1"/>
        </w:rPr>
        <w:t>early</w:t>
      </w:r>
      <w:r>
        <w:t xml:space="preserve"> </w:t>
      </w:r>
      <w:r>
        <w:rPr>
          <w:spacing w:val="-2"/>
        </w:rPr>
        <w:t>February</w:t>
      </w:r>
      <w:r>
        <w:t xml:space="preserve"> 2015 </w:t>
      </w:r>
      <w:r>
        <w:rPr>
          <w:spacing w:val="-1"/>
        </w:rPr>
        <w:t>at</w:t>
      </w:r>
      <w:r>
        <w:t xml:space="preserve"> which it</w:t>
      </w:r>
      <w:r>
        <w:rPr>
          <w:spacing w:val="37"/>
        </w:rPr>
        <w:t xml:space="preserve"> </w:t>
      </w:r>
      <w:r>
        <w:t xml:space="preserve">will </w:t>
      </w:r>
      <w:r>
        <w:rPr>
          <w:spacing w:val="-1"/>
        </w:rPr>
        <w:t>hear</w:t>
      </w:r>
      <w:r>
        <w:t xml:space="preserve"> </w:t>
      </w:r>
      <w:r>
        <w:rPr>
          <w:spacing w:val="-1"/>
        </w:rPr>
        <w:t>oral</w:t>
      </w:r>
      <w:r>
        <w:t xml:space="preserve"> submissions </w:t>
      </w:r>
      <w:r>
        <w:rPr>
          <w:spacing w:val="-1"/>
        </w:rPr>
        <w:t>from</w:t>
      </w:r>
      <w:r>
        <w:t xml:space="preserve"> the </w:t>
      </w:r>
      <w:r>
        <w:rPr>
          <w:spacing w:val="-1"/>
        </w:rPr>
        <w:t>community.</w:t>
      </w:r>
      <w:r>
        <w:rPr>
          <w:spacing w:val="-6"/>
        </w:rPr>
        <w:t xml:space="preserve"> </w:t>
      </w:r>
      <w:r>
        <w:t xml:space="preserve">Details about the public </w:t>
      </w:r>
      <w:r>
        <w:rPr>
          <w:spacing w:val="-1"/>
        </w:rPr>
        <w:t>hearing</w:t>
      </w:r>
      <w:r>
        <w:t xml:space="preserve"> will be </w:t>
      </w:r>
      <w:r>
        <w:rPr>
          <w:spacing w:val="-1"/>
        </w:rPr>
        <w:t>advertised</w:t>
      </w:r>
      <w:r>
        <w:t xml:space="preserve"> in</w:t>
      </w:r>
      <w:r>
        <w:rPr>
          <w:spacing w:val="35"/>
        </w:rPr>
        <w:t xml:space="preserve"> </w:t>
      </w:r>
      <w:r>
        <w:t xml:space="preserve">newspapers and published on the </w:t>
      </w:r>
      <w:r>
        <w:rPr>
          <w:spacing w:val="-4"/>
        </w:rPr>
        <w:t>Panel’s</w:t>
      </w:r>
      <w:r>
        <w:t xml:space="preserve"> website.</w:t>
      </w:r>
      <w:r>
        <w:rPr>
          <w:spacing w:val="-10"/>
        </w:rPr>
        <w:t xml:space="preserve"> </w:t>
      </w:r>
      <w:r>
        <w:t xml:space="preserve">All those making </w:t>
      </w:r>
      <w:r>
        <w:rPr>
          <w:spacing w:val="-1"/>
        </w:rPr>
        <w:t>written</w:t>
      </w:r>
      <w:r>
        <w:t xml:space="preserve"> submissions to this </w:t>
      </w:r>
      <w:r>
        <w:rPr>
          <w:spacing w:val="-2"/>
        </w:rPr>
        <w:t>draft</w:t>
      </w:r>
      <w:r>
        <w:rPr>
          <w:spacing w:val="27"/>
        </w:rPr>
        <w:t xml:space="preserve"> </w:t>
      </w:r>
      <w:r>
        <w:rPr>
          <w:spacing w:val="-2"/>
        </w:rPr>
        <w:t>report</w:t>
      </w:r>
      <w:r>
        <w:rPr>
          <w:spacing w:val="-1"/>
        </w:rPr>
        <w:t xml:space="preserve"> </w:t>
      </w:r>
      <w:r>
        <w:t>will</w:t>
      </w:r>
      <w:r>
        <w:rPr>
          <w:spacing w:val="-1"/>
        </w:rPr>
        <w:t xml:space="preserve"> </w:t>
      </w:r>
      <w:r>
        <w:t>be</w:t>
      </w:r>
      <w:r>
        <w:rPr>
          <w:spacing w:val="-1"/>
        </w:rPr>
        <w:t xml:space="preserve"> </w:t>
      </w:r>
      <w:r>
        <w:t>notified</w:t>
      </w:r>
      <w:r>
        <w:rPr>
          <w:spacing w:val="-1"/>
        </w:rPr>
        <w:t xml:space="preserve"> </w:t>
      </w:r>
      <w:r>
        <w:t>about</w:t>
      </w:r>
      <w:r>
        <w:rPr>
          <w:spacing w:val="-1"/>
        </w:rPr>
        <w:t xml:space="preserve"> </w:t>
      </w:r>
      <w:r>
        <w:t>the</w:t>
      </w:r>
      <w:r>
        <w:rPr>
          <w:spacing w:val="-2"/>
        </w:rPr>
        <w:t xml:space="preserve"> </w:t>
      </w:r>
      <w:r>
        <w:t>public</w:t>
      </w:r>
      <w:r>
        <w:rPr>
          <w:spacing w:val="-1"/>
        </w:rPr>
        <w:t xml:space="preserve"> hearing.</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460" style="width:72.5pt;height:.5pt;mso-position-horizontal-relative:char;mso-position-vertical-relative:line" coordsize="1450,10">
            <v:group id="_x0000_s3461" style="position:absolute;left:5;top:5;width:1440;height:2" coordorigin="5,5" coordsize="1440,2">
              <v:shape id="_x0000_s3462" style="position:absolute;left:5;top:5;width:1440;height:2" coordorigin="5,5" coordsize="1440,0" path="m5,5r1440,e" filled="f" strokeweight=".5pt">
                <v:path arrowok="t"/>
              </v:shape>
            </v:group>
            <w10:wrap type="none"/>
            <w10:anchorlock/>
          </v:group>
        </w:pict>
      </w:r>
    </w:p>
    <w:p w:rsidR="00D96B91" w:rsidRDefault="00C2656B">
      <w:pPr>
        <w:tabs>
          <w:tab w:val="left" w:pos="1757"/>
        </w:tabs>
        <w:spacing w:before="38"/>
        <w:ind w:left="1247"/>
        <w:rPr>
          <w:rFonts w:ascii="Avenir Next" w:eastAsia="Avenir Next" w:hAnsi="Avenir Next" w:cs="Avenir Next"/>
          <w:sz w:val="16"/>
          <w:szCs w:val="16"/>
        </w:rPr>
      </w:pPr>
      <w:r>
        <w:rPr>
          <w:rFonts w:ascii="Avenir Next"/>
          <w:sz w:val="16"/>
        </w:rPr>
        <w:t>5</w:t>
      </w:r>
      <w:r>
        <w:rPr>
          <w:rFonts w:ascii="Avenir Next"/>
          <w:sz w:val="16"/>
        </w:rPr>
        <w:tab/>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pacing w:val="-2"/>
          <w:sz w:val="16"/>
        </w:rPr>
        <w:t>xxiv.</w:t>
      </w:r>
    </w:p>
    <w:p w:rsidR="00D96B91" w:rsidRDefault="00D96B91">
      <w:pPr>
        <w:rPr>
          <w:rFonts w:ascii="Avenir Next" w:eastAsia="Avenir Next" w:hAnsi="Avenir Next" w:cs="Avenir Next"/>
          <w:sz w:val="16"/>
          <w:szCs w:val="16"/>
        </w:rPr>
        <w:sectPr w:rsidR="00D96B91">
          <w:footerReference w:type="default" r:id="rId35"/>
          <w:pgSz w:w="11910" w:h="16840"/>
          <w:pgMar w:top="120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3455" style="position:absolute;margin-left:0;margin-top:789.45pt;width:595.3pt;height:52.45pt;z-index:251521536;mso-position-horizontal-relative:page;mso-position-vertical-relative:page" coordorigin=",15789" coordsize="11906,1049">
            <v:group id="_x0000_s3456" style="position:absolute;top:15789;width:11906;height:1049" coordorigin=",15789" coordsize="11906,1049">
              <v:shape id="_x0000_s3459" style="position:absolute;top:15789;width:11906;height:1049" coordorigin=",15789" coordsize="11906,1049" path="m,16838r11906,l11906,15789,,15789r,1049xe" fillcolor="#0778be" stroked="f">
                <v:path arrowok="t"/>
              </v:shape>
              <v:shape id="_x0000_s3458" type="#_x0000_t75" style="position:absolute;top:15789;width:11906;height:1049">
                <v:imagedata r:id="rId20" o:title=""/>
              </v:shape>
              <v:shape id="_x0000_s3457" type="#_x0000_t202" style="position:absolute;top:15789;width:11906;height:1049" filled="f" stroked="f">
                <v:textbox style="mso-next-textbox:#_x0000_s3457"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240"/>
                        </w:tabs>
                        <w:ind w:left="692"/>
                        <w:rPr>
                          <w:rFonts w:ascii="Avenir Next" w:eastAsia="Avenir Next" w:hAnsi="Avenir Next" w:cs="Avenir Next"/>
                          <w:sz w:val="20"/>
                          <w:szCs w:val="20"/>
                        </w:rPr>
                      </w:pPr>
                      <w:r>
                        <w:rPr>
                          <w:rFonts w:ascii="Avenir Next" w:eastAsia="Avenir Next" w:hAnsi="Avenir Next" w:cs="Avenir Next"/>
                          <w:color w:val="EEF8FE"/>
                          <w:sz w:val="20"/>
                          <w:szCs w:val="20"/>
                        </w:rPr>
                        <w:t>14</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36"/>
          <w:pgSz w:w="11910" w:h="16840"/>
          <w:pgMar w:top="1580" w:right="0" w:bottom="0" w:left="0" w:header="0" w:footer="0"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2" w:name="2_Panel’s_review_process_and_analytical_"/>
      <w:bookmarkStart w:id="13" w:name="2._1_Panel’s_review_process_"/>
      <w:bookmarkStart w:id="14" w:name="_bookmark5"/>
      <w:bookmarkEnd w:id="12"/>
      <w:bookmarkEnd w:id="13"/>
      <w:bookmarkEnd w:id="14"/>
      <w:r>
        <w:rPr>
          <w:rFonts w:ascii="Avenir Next Medium" w:eastAsia="Avenir Next Medium" w:hAnsi="Avenir Next Medium" w:cs="Avenir Next Medium"/>
          <w:color w:val="0778BE"/>
          <w:w w:val="95"/>
          <w:sz w:val="40"/>
          <w:szCs w:val="40"/>
        </w:rPr>
        <w:t>2</w:t>
      </w:r>
      <w:r>
        <w:rPr>
          <w:rFonts w:ascii="Avenir Next Medium" w:eastAsia="Avenir Next Medium" w:hAnsi="Avenir Next Medium" w:cs="Avenir Next Medium"/>
          <w:color w:val="0778BE"/>
          <w:w w:val="95"/>
          <w:sz w:val="40"/>
          <w:szCs w:val="40"/>
        </w:rPr>
        <w:tab/>
      </w:r>
      <w:r>
        <w:rPr>
          <w:rFonts w:ascii="Avenir Next Medium" w:eastAsia="Avenir Next Medium" w:hAnsi="Avenir Next Medium" w:cs="Avenir Next Medium"/>
          <w:color w:val="0778BE"/>
          <w:spacing w:val="-7"/>
          <w:sz w:val="40"/>
          <w:szCs w:val="40"/>
        </w:rPr>
        <w:t>Panel’s</w:t>
      </w:r>
      <w:r>
        <w:rPr>
          <w:rFonts w:ascii="Avenir Next Medium" w:eastAsia="Avenir Next Medium" w:hAnsi="Avenir Next Medium" w:cs="Avenir Next Medium"/>
          <w:color w:val="0778BE"/>
          <w:sz w:val="40"/>
          <w:szCs w:val="40"/>
        </w:rPr>
        <w:t xml:space="preserve"> </w:t>
      </w:r>
      <w:r>
        <w:rPr>
          <w:rFonts w:ascii="Avenir Next Medium" w:eastAsia="Avenir Next Medium" w:hAnsi="Avenir Next Medium" w:cs="Avenir Next Medium"/>
          <w:color w:val="0778BE"/>
          <w:spacing w:val="-2"/>
          <w:sz w:val="40"/>
          <w:szCs w:val="40"/>
        </w:rPr>
        <w:t>review</w:t>
      </w:r>
      <w:r>
        <w:rPr>
          <w:rFonts w:ascii="Avenir Next Medium" w:eastAsia="Avenir Next Medium" w:hAnsi="Avenir Next Medium" w:cs="Avenir Next Medium"/>
          <w:color w:val="0778BE"/>
          <w:sz w:val="40"/>
          <w:szCs w:val="40"/>
        </w:rPr>
        <w:t xml:space="preserve"> </w:t>
      </w:r>
      <w:r>
        <w:rPr>
          <w:rFonts w:ascii="Avenir Next Medium" w:eastAsia="Avenir Next Medium" w:hAnsi="Avenir Next Medium" w:cs="Avenir Next Medium"/>
          <w:color w:val="0778BE"/>
          <w:spacing w:val="-2"/>
          <w:sz w:val="40"/>
          <w:szCs w:val="40"/>
        </w:rPr>
        <w:t>process</w:t>
      </w:r>
      <w:r>
        <w:rPr>
          <w:rFonts w:ascii="Avenir Next Medium" w:eastAsia="Avenir Next Medium" w:hAnsi="Avenir Next Medium" w:cs="Avenir Next Medium"/>
          <w:color w:val="0778BE"/>
          <w:sz w:val="40"/>
          <w:szCs w:val="40"/>
        </w:rPr>
        <w:t xml:space="preserve"> and analytical </w:t>
      </w:r>
      <w:r>
        <w:rPr>
          <w:rFonts w:ascii="Avenir Next Medium" w:eastAsia="Avenir Next Medium" w:hAnsi="Avenir Next Medium" w:cs="Avenir Next Medium"/>
          <w:color w:val="0778BE"/>
          <w:spacing w:val="-1"/>
          <w:sz w:val="40"/>
          <w:szCs w:val="40"/>
        </w:rPr>
        <w:t>approach</w:t>
      </w:r>
    </w:p>
    <w:p w:rsidR="00D96B91" w:rsidRDefault="00C2656B">
      <w:pPr>
        <w:pStyle w:val="BodyText"/>
        <w:spacing w:before="359" w:line="260" w:lineRule="exact"/>
        <w:ind w:right="1356"/>
      </w:pPr>
      <w:r>
        <w:t>As Chapter 1 discussed,</w:t>
      </w:r>
      <w:r>
        <w:rPr>
          <w:spacing w:val="-7"/>
        </w:rPr>
        <w:t xml:space="preserve"> </w:t>
      </w:r>
      <w:r>
        <w:t xml:space="preserve">the </w:t>
      </w:r>
      <w:r>
        <w:rPr>
          <w:spacing w:val="-3"/>
        </w:rPr>
        <w:t>Panel</w:t>
      </w:r>
      <w:r>
        <w:t xml:space="preserve"> was appointed by the</w:t>
      </w:r>
      <w:r>
        <w:rPr>
          <w:spacing w:val="-4"/>
        </w:rPr>
        <w:t xml:space="preserve"> </w:t>
      </w:r>
      <w:r>
        <w:rPr>
          <w:spacing w:val="-2"/>
        </w:rPr>
        <w:t>ACT</w:t>
      </w:r>
      <w:r>
        <w:rPr>
          <w:spacing w:val="-10"/>
        </w:rPr>
        <w:t xml:space="preserve"> </w:t>
      </w:r>
      <w:r>
        <w:rPr>
          <w:spacing w:val="-4"/>
        </w:rPr>
        <w:t>Treasurer</w:t>
      </w:r>
      <w:r>
        <w:t xml:space="preserve"> to </w:t>
      </w:r>
      <w:r>
        <w:rPr>
          <w:spacing w:val="-1"/>
        </w:rPr>
        <w:t>review</w:t>
      </w:r>
      <w:r>
        <w:t xml:space="preserve"> the</w:t>
      </w:r>
      <w:r>
        <w:rPr>
          <w:spacing w:val="-3"/>
        </w:rPr>
        <w:t xml:space="preserve"> </w:t>
      </w:r>
      <w:r>
        <w:t>June 2013 price</w:t>
      </w:r>
      <w:r>
        <w:rPr>
          <w:spacing w:val="25"/>
        </w:rPr>
        <w:t xml:space="preserve"> </w:t>
      </w:r>
      <w:r>
        <w:rPr>
          <w:rFonts w:cs="Avenir Next"/>
          <w:spacing w:val="-1"/>
        </w:rPr>
        <w:t>direction</w:t>
      </w:r>
      <w:r>
        <w:rPr>
          <w:rFonts w:cs="Avenir Next"/>
        </w:rPr>
        <w:t xml:space="preserve"> made by the ICRC in </w:t>
      </w:r>
      <w:r>
        <w:rPr>
          <w:rFonts w:cs="Avenir Next"/>
          <w:spacing w:val="-1"/>
        </w:rPr>
        <w:t>relation</w:t>
      </w:r>
      <w:r>
        <w:rPr>
          <w:rFonts w:cs="Avenir Next"/>
        </w:rPr>
        <w:t xml:space="preserve"> to the prices</w:t>
      </w:r>
      <w:r>
        <w:rPr>
          <w:rFonts w:cs="Avenir Next"/>
          <w:spacing w:val="-4"/>
        </w:rPr>
        <w:t xml:space="preserve"> </w:t>
      </w:r>
      <w:r>
        <w:rPr>
          <w:rFonts w:cs="Avenir Next"/>
          <w:spacing w:val="-2"/>
        </w:rPr>
        <w:t>ACTEW</w:t>
      </w:r>
      <w:r>
        <w:rPr>
          <w:rFonts w:cs="Avenir Next"/>
          <w:spacing w:val="-3"/>
        </w:rPr>
        <w:t xml:space="preserve"> </w:t>
      </w:r>
      <w:r>
        <w:rPr>
          <w:rFonts w:cs="Avenir Next"/>
        </w:rPr>
        <w:t xml:space="preserve">can </w:t>
      </w:r>
      <w:r>
        <w:rPr>
          <w:rFonts w:cs="Avenir Next"/>
          <w:spacing w:val="-1"/>
        </w:rPr>
        <w:t>charge</w:t>
      </w:r>
      <w:r>
        <w:rPr>
          <w:rFonts w:cs="Avenir Next"/>
        </w:rPr>
        <w:t xml:space="preserve"> for </w:t>
      </w:r>
      <w:r>
        <w:rPr>
          <w:rFonts w:cs="Avenir Next"/>
          <w:spacing w:val="-1"/>
        </w:rPr>
        <w:t>water</w:t>
      </w:r>
      <w:r>
        <w:rPr>
          <w:rFonts w:cs="Avenir Next"/>
        </w:rPr>
        <w:t xml:space="preserve"> and </w:t>
      </w:r>
      <w:r>
        <w:rPr>
          <w:rFonts w:cs="Avenir Next"/>
          <w:spacing w:val="-1"/>
        </w:rPr>
        <w:t>sewerage</w:t>
      </w:r>
      <w:r>
        <w:rPr>
          <w:rFonts w:cs="Avenir Next"/>
          <w:spacing w:val="41"/>
        </w:rPr>
        <w:t xml:space="preserve"> </w:t>
      </w:r>
      <w:r>
        <w:t xml:space="preserve">services </w:t>
      </w:r>
      <w:r>
        <w:rPr>
          <w:spacing w:val="-1"/>
        </w:rPr>
        <w:t>from</w:t>
      </w:r>
      <w:r>
        <w:t xml:space="preserve"> 1</w:t>
      </w:r>
      <w:r>
        <w:rPr>
          <w:spacing w:val="-3"/>
        </w:rPr>
        <w:t xml:space="preserve"> </w:t>
      </w:r>
      <w:r>
        <w:t>July 2013 to 30</w:t>
      </w:r>
      <w:r>
        <w:rPr>
          <w:spacing w:val="-3"/>
        </w:rPr>
        <w:t xml:space="preserve"> </w:t>
      </w:r>
      <w:r>
        <w:t>June 2019.</w:t>
      </w:r>
      <w:r>
        <w:rPr>
          <w:spacing w:val="-11"/>
        </w:rPr>
        <w:t xml:space="preserve"> </w:t>
      </w:r>
      <w:r>
        <w:rPr>
          <w:spacing w:val="-2"/>
        </w:rPr>
        <w:t>The</w:t>
      </w:r>
      <w:r>
        <w:t xml:space="preserve"> </w:t>
      </w:r>
      <w:r>
        <w:rPr>
          <w:spacing w:val="-1"/>
        </w:rPr>
        <w:t>review</w:t>
      </w:r>
      <w:r>
        <w:t xml:space="preserve"> was </w:t>
      </w:r>
      <w:r>
        <w:rPr>
          <w:spacing w:val="-1"/>
        </w:rPr>
        <w:t>triggered</w:t>
      </w:r>
      <w:r>
        <w:t xml:space="preserve"> by</w:t>
      </w:r>
      <w:r>
        <w:rPr>
          <w:spacing w:val="-4"/>
        </w:rPr>
        <w:t xml:space="preserve"> </w:t>
      </w:r>
      <w:r>
        <w:rPr>
          <w:spacing w:val="-2"/>
        </w:rPr>
        <w:t>ACTEW’s</w:t>
      </w:r>
      <w:r>
        <w:t xml:space="preserve"> </w:t>
      </w:r>
      <w:r>
        <w:rPr>
          <w:spacing w:val="-1"/>
        </w:rPr>
        <w:t>application</w:t>
      </w:r>
      <w:r>
        <w:t xml:space="preserve"> for a</w:t>
      </w:r>
      <w:r>
        <w:rPr>
          <w:spacing w:val="39"/>
        </w:rPr>
        <w:t xml:space="preserve"> </w:t>
      </w:r>
      <w:r>
        <w:rPr>
          <w:rFonts w:cs="Avenir Next"/>
          <w:spacing w:val="-1"/>
        </w:rPr>
        <w:t>review</w:t>
      </w:r>
      <w:r>
        <w:rPr>
          <w:rFonts w:cs="Avenir Next"/>
        </w:rPr>
        <w:t xml:space="preserve"> under </w:t>
      </w:r>
      <w:r>
        <w:rPr>
          <w:rFonts w:cs="Avenir Next"/>
          <w:spacing w:val="-4"/>
        </w:rPr>
        <w:t>Part</w:t>
      </w:r>
      <w:r>
        <w:rPr>
          <w:rFonts w:cs="Avenir Next"/>
        </w:rPr>
        <w:t xml:space="preserve"> 4C of</w:t>
      </w:r>
      <w:r>
        <w:rPr>
          <w:rFonts w:cs="Avenir Next"/>
          <w:spacing w:val="4"/>
        </w:rPr>
        <w:t xml:space="preserve"> </w:t>
      </w:r>
      <w:r>
        <w:rPr>
          <w:rFonts w:cs="Avenir Next"/>
        </w:rPr>
        <w:t xml:space="preserve">the </w:t>
      </w:r>
      <w:r>
        <w:rPr>
          <w:rFonts w:cs="Avenir Next"/>
          <w:i/>
        </w:rPr>
        <w:t xml:space="preserve">Independent </w:t>
      </w:r>
      <w:r>
        <w:rPr>
          <w:rFonts w:cs="Avenir Next"/>
          <w:i/>
          <w:spacing w:val="-1"/>
        </w:rPr>
        <w:t>Competition</w:t>
      </w:r>
      <w:r>
        <w:rPr>
          <w:rFonts w:cs="Avenir Next"/>
          <w:i/>
        </w:rPr>
        <w:t xml:space="preserve"> and </w:t>
      </w:r>
      <w:r>
        <w:rPr>
          <w:rFonts w:cs="Avenir Next"/>
          <w:i/>
          <w:spacing w:val="-1"/>
        </w:rPr>
        <w:t>Regulatory</w:t>
      </w:r>
      <w:r>
        <w:rPr>
          <w:rFonts w:cs="Avenir Next"/>
          <w:i/>
        </w:rPr>
        <w:t xml:space="preserve"> </w:t>
      </w:r>
      <w:r>
        <w:rPr>
          <w:rFonts w:cs="Avenir Next"/>
          <w:i/>
          <w:spacing w:val="-1"/>
        </w:rPr>
        <w:t>Commission</w:t>
      </w:r>
      <w:r>
        <w:rPr>
          <w:rFonts w:cs="Avenir Next"/>
          <w:i/>
          <w:spacing w:val="-4"/>
        </w:rPr>
        <w:t xml:space="preserve"> </w:t>
      </w:r>
      <w:r>
        <w:rPr>
          <w:rFonts w:cs="Avenir Next"/>
          <w:i/>
        </w:rPr>
        <w:t xml:space="preserve">Act 1997 </w:t>
      </w:r>
      <w:r>
        <w:t>(the</w:t>
      </w:r>
      <w:r>
        <w:rPr>
          <w:spacing w:val="-4"/>
        </w:rPr>
        <w:t xml:space="preserve"> </w:t>
      </w:r>
      <w:r>
        <w:t>Act).</w:t>
      </w:r>
      <w:r>
        <w:rPr>
          <w:spacing w:val="45"/>
        </w:rPr>
        <w:t xml:space="preserve"> </w:t>
      </w:r>
      <w:r>
        <w:rPr>
          <w:spacing w:val="-1"/>
        </w:rPr>
        <w:t>Box</w:t>
      </w:r>
      <w:r>
        <w:t xml:space="preserve"> 2.1 </w:t>
      </w:r>
      <w:r>
        <w:rPr>
          <w:spacing w:val="-1"/>
        </w:rPr>
        <w:t>provides</w:t>
      </w:r>
      <w:r>
        <w:t xml:space="preserve"> details of</w:t>
      </w:r>
      <w:r>
        <w:rPr>
          <w:spacing w:val="4"/>
        </w:rPr>
        <w:t xml:space="preserve"> </w:t>
      </w:r>
      <w:r>
        <w:t xml:space="preserve">the </w:t>
      </w:r>
      <w:r>
        <w:rPr>
          <w:spacing w:val="-4"/>
        </w:rPr>
        <w:t>Panel’s</w:t>
      </w:r>
      <w:r>
        <w:t xml:space="preserve"> members and </w:t>
      </w:r>
      <w:r>
        <w:rPr>
          <w:spacing w:val="-1"/>
        </w:rPr>
        <w:t>support</w:t>
      </w:r>
      <w:r>
        <w:t xml:space="preserve"> </w:t>
      </w:r>
      <w:r>
        <w:rPr>
          <w:spacing w:val="-1"/>
        </w:rPr>
        <w:t>arrangements.</w:t>
      </w:r>
    </w:p>
    <w:p w:rsidR="00D96B91" w:rsidRDefault="00C2656B">
      <w:pPr>
        <w:pStyle w:val="BodyText"/>
        <w:spacing w:before="170" w:line="260" w:lineRule="exact"/>
        <w:ind w:right="1313"/>
      </w:pPr>
      <w:r>
        <w:t xml:space="preserve">In </w:t>
      </w:r>
      <w:r>
        <w:rPr>
          <w:spacing w:val="-1"/>
        </w:rPr>
        <w:t>undertaking</w:t>
      </w:r>
      <w:r>
        <w:t xml:space="preserve"> the </w:t>
      </w:r>
      <w:r>
        <w:rPr>
          <w:spacing w:val="-2"/>
        </w:rPr>
        <w:t>review,</w:t>
      </w:r>
      <w:r>
        <w:rPr>
          <w:spacing w:val="-6"/>
        </w:rPr>
        <w:t xml:space="preserve"> </w:t>
      </w:r>
      <w:r>
        <w:t xml:space="preserve">the </w:t>
      </w:r>
      <w:r>
        <w:rPr>
          <w:spacing w:val="-3"/>
        </w:rPr>
        <w:t>Panel</w:t>
      </w:r>
      <w:r>
        <w:t xml:space="preserve"> has </w:t>
      </w:r>
      <w:r>
        <w:rPr>
          <w:spacing w:val="-1"/>
        </w:rPr>
        <w:t>broadly</w:t>
      </w:r>
      <w:r>
        <w:t xml:space="preserve"> the same powers as the ICRC when conducting a</w:t>
      </w:r>
      <w:r>
        <w:rPr>
          <w:spacing w:val="33"/>
        </w:rPr>
        <w:t xml:space="preserve"> </w:t>
      </w:r>
      <w:r>
        <w:t xml:space="preserve">price </w:t>
      </w:r>
      <w:r>
        <w:rPr>
          <w:spacing w:val="-1"/>
        </w:rPr>
        <w:t>regulation</w:t>
      </w:r>
      <w:r>
        <w:t xml:space="preserve"> </w:t>
      </w:r>
      <w:r>
        <w:rPr>
          <w:spacing w:val="-1"/>
        </w:rPr>
        <w:t>investigation.</w:t>
      </w:r>
      <w:r>
        <w:rPr>
          <w:spacing w:val="-6"/>
        </w:rPr>
        <w:t xml:space="preserve"> </w:t>
      </w:r>
      <w:r>
        <w:t xml:space="preserve">It also has the same </w:t>
      </w:r>
      <w:r>
        <w:rPr>
          <w:spacing w:val="-1"/>
        </w:rPr>
        <w:t>responsibilities</w:t>
      </w:r>
      <w:r>
        <w:t xml:space="preserve"> as the ICRC in terms of</w:t>
      </w:r>
      <w:r>
        <w:rPr>
          <w:spacing w:val="4"/>
        </w:rPr>
        <w:t xml:space="preserve"> </w:t>
      </w:r>
      <w:r>
        <w:rPr>
          <w:spacing w:val="-1"/>
        </w:rPr>
        <w:t>requirements</w:t>
      </w:r>
      <w:r>
        <w:rPr>
          <w:spacing w:val="65"/>
        </w:rPr>
        <w:t xml:space="preserve"> </w:t>
      </w:r>
      <w:r>
        <w:t>to</w:t>
      </w:r>
      <w:r>
        <w:rPr>
          <w:spacing w:val="-1"/>
        </w:rPr>
        <w:t xml:space="preserve"> </w:t>
      </w:r>
      <w:r>
        <w:rPr>
          <w:spacing w:val="-2"/>
        </w:rPr>
        <w:t>prepare</w:t>
      </w:r>
      <w:r>
        <w:t xml:space="preserve"> </w:t>
      </w:r>
      <w:r>
        <w:rPr>
          <w:spacing w:val="-2"/>
        </w:rPr>
        <w:t>draft</w:t>
      </w:r>
      <w:r>
        <w:t xml:space="preserve"> and</w:t>
      </w:r>
      <w:r>
        <w:rPr>
          <w:spacing w:val="-1"/>
        </w:rPr>
        <w:t xml:space="preserve"> </w:t>
      </w:r>
      <w:r>
        <w:t xml:space="preserve">final </w:t>
      </w:r>
      <w:r>
        <w:rPr>
          <w:spacing w:val="-1"/>
        </w:rPr>
        <w:t>reports,</w:t>
      </w:r>
      <w:r>
        <w:rPr>
          <w:spacing w:val="-6"/>
        </w:rPr>
        <w:t xml:space="preserve"> </w:t>
      </w:r>
      <w:r>
        <w:t>invite public</w:t>
      </w:r>
      <w:r>
        <w:rPr>
          <w:spacing w:val="-1"/>
        </w:rPr>
        <w:t xml:space="preserve"> </w:t>
      </w:r>
      <w:r>
        <w:t>submissions,</w:t>
      </w:r>
      <w:r>
        <w:rPr>
          <w:spacing w:val="-7"/>
        </w:rPr>
        <w:t xml:space="preserve"> </w:t>
      </w:r>
      <w:r>
        <w:t>and conduct</w:t>
      </w:r>
      <w:r>
        <w:rPr>
          <w:spacing w:val="-1"/>
        </w:rPr>
        <w:t xml:space="preserve"> </w:t>
      </w:r>
      <w:r>
        <w:t xml:space="preserve">public </w:t>
      </w:r>
      <w:r>
        <w:rPr>
          <w:spacing w:val="-1"/>
        </w:rPr>
        <w:t>hearings.</w:t>
      </w:r>
      <w:r>
        <w:rPr>
          <w:spacing w:val="-10"/>
        </w:rPr>
        <w:t xml:space="preserve"> </w:t>
      </w:r>
      <w:r>
        <w:t>At the</w:t>
      </w:r>
      <w:r>
        <w:rPr>
          <w:spacing w:val="37"/>
        </w:rPr>
        <w:t xml:space="preserve"> </w:t>
      </w:r>
      <w:r>
        <w:t>conclusion</w:t>
      </w:r>
      <w:r>
        <w:rPr>
          <w:spacing w:val="-1"/>
        </w:rPr>
        <w:t xml:space="preserve"> </w:t>
      </w:r>
      <w:r>
        <w:t>of</w:t>
      </w:r>
      <w:r>
        <w:rPr>
          <w:spacing w:val="4"/>
        </w:rPr>
        <w:t xml:space="preserve"> </w:t>
      </w:r>
      <w:r>
        <w:t xml:space="preserve">the </w:t>
      </w:r>
      <w:r>
        <w:rPr>
          <w:spacing w:val="-2"/>
        </w:rPr>
        <w:t>review,</w:t>
      </w:r>
      <w:r>
        <w:rPr>
          <w:spacing w:val="-6"/>
        </w:rPr>
        <w:t xml:space="preserve"> </w:t>
      </w:r>
      <w:r>
        <w:t>the</w:t>
      </w:r>
      <w:r>
        <w:rPr>
          <w:spacing w:val="-1"/>
        </w:rPr>
        <w:t xml:space="preserve"> </w:t>
      </w:r>
      <w:r>
        <w:rPr>
          <w:spacing w:val="-3"/>
        </w:rPr>
        <w:t>Panel</w:t>
      </w:r>
      <w:r>
        <w:t xml:space="preserve"> must submit a final</w:t>
      </w:r>
      <w:r>
        <w:rPr>
          <w:spacing w:val="-1"/>
        </w:rPr>
        <w:t xml:space="preserve"> </w:t>
      </w:r>
      <w:r>
        <w:rPr>
          <w:spacing w:val="-2"/>
        </w:rPr>
        <w:t>report</w:t>
      </w:r>
      <w:r>
        <w:t xml:space="preserve"> to the</w:t>
      </w:r>
      <w:r>
        <w:rPr>
          <w:spacing w:val="-5"/>
        </w:rPr>
        <w:t xml:space="preserve"> </w:t>
      </w:r>
      <w:r>
        <w:rPr>
          <w:spacing w:val="-4"/>
        </w:rPr>
        <w:t>Treasurer,</w:t>
      </w:r>
      <w:r>
        <w:rPr>
          <w:spacing w:val="-6"/>
        </w:rPr>
        <w:t xml:space="preserve"> </w:t>
      </w:r>
      <w:r>
        <w:t>who</w:t>
      </w:r>
      <w:r>
        <w:rPr>
          <w:spacing w:val="-1"/>
        </w:rPr>
        <w:t xml:space="preserve"> </w:t>
      </w:r>
      <w:r>
        <w:t xml:space="preserve">will then </w:t>
      </w:r>
      <w:r>
        <w:rPr>
          <w:spacing w:val="-1"/>
        </w:rPr>
        <w:t>present</w:t>
      </w:r>
      <w:r>
        <w:t xml:space="preserve"> the</w:t>
      </w:r>
      <w:r>
        <w:rPr>
          <w:spacing w:val="31"/>
        </w:rPr>
        <w:t xml:space="preserve"> </w:t>
      </w:r>
      <w:r>
        <w:rPr>
          <w:spacing w:val="-2"/>
        </w:rPr>
        <w:t>report</w:t>
      </w:r>
      <w:r>
        <w:t xml:space="preserve"> to the</w:t>
      </w:r>
      <w:r>
        <w:rPr>
          <w:spacing w:val="-4"/>
        </w:rPr>
        <w:t xml:space="preserve"> </w:t>
      </w:r>
      <w:r>
        <w:rPr>
          <w:spacing w:val="-2"/>
        </w:rPr>
        <w:t>ACT</w:t>
      </w:r>
      <w:r>
        <w:rPr>
          <w:spacing w:val="-5"/>
        </w:rPr>
        <w:t xml:space="preserve"> </w:t>
      </w:r>
      <w:r>
        <w:rPr>
          <w:spacing w:val="-1"/>
        </w:rPr>
        <w:t>Legislative</w:t>
      </w:r>
      <w:r>
        <w:rPr>
          <w:spacing w:val="-4"/>
        </w:rPr>
        <w:t xml:space="preserve"> </w:t>
      </w:r>
      <w:r>
        <w:rPr>
          <w:spacing w:val="-1"/>
        </w:rPr>
        <w:t>Assembly.</w:t>
      </w:r>
    </w:p>
    <w:p w:rsidR="00D96B91" w:rsidRDefault="00C2656B">
      <w:pPr>
        <w:pStyle w:val="BodyText"/>
        <w:spacing w:before="170" w:line="260" w:lineRule="exact"/>
        <w:ind w:right="1283"/>
      </w:pPr>
      <w:r>
        <w:rPr>
          <w:spacing w:val="-1"/>
        </w:rPr>
        <w:t>Apart from</w:t>
      </w:r>
      <w:r>
        <w:t xml:space="preserve"> some</w:t>
      </w:r>
      <w:r>
        <w:rPr>
          <w:spacing w:val="-1"/>
        </w:rPr>
        <w:t xml:space="preserve"> prescriptions</w:t>
      </w:r>
      <w:r>
        <w:t xml:space="preserve"> in</w:t>
      </w:r>
      <w:r>
        <w:rPr>
          <w:spacing w:val="-1"/>
        </w:rPr>
        <w:t xml:space="preserve"> </w:t>
      </w:r>
      <w:r>
        <w:t>the</w:t>
      </w:r>
      <w:r>
        <w:rPr>
          <w:spacing w:val="-4"/>
        </w:rPr>
        <w:t xml:space="preserve"> </w:t>
      </w:r>
      <w:r>
        <w:t>Act,</w:t>
      </w:r>
      <w:r>
        <w:rPr>
          <w:spacing w:val="-7"/>
        </w:rPr>
        <w:t xml:space="preserve"> </w:t>
      </w:r>
      <w:r>
        <w:rPr>
          <w:spacing w:val="-1"/>
        </w:rPr>
        <w:t>there</w:t>
      </w:r>
      <w:r>
        <w:t xml:space="preserve"> is no</w:t>
      </w:r>
      <w:r>
        <w:rPr>
          <w:spacing w:val="-1"/>
        </w:rPr>
        <w:t xml:space="preserve"> </w:t>
      </w:r>
      <w:r>
        <w:t xml:space="preserve">defined </w:t>
      </w:r>
      <w:r>
        <w:rPr>
          <w:spacing w:val="-1"/>
        </w:rPr>
        <w:t xml:space="preserve">process </w:t>
      </w:r>
      <w:r>
        <w:t xml:space="preserve">the </w:t>
      </w:r>
      <w:r>
        <w:rPr>
          <w:spacing w:val="-3"/>
        </w:rPr>
        <w:t>Panel</w:t>
      </w:r>
      <w:r>
        <w:rPr>
          <w:spacing w:val="-1"/>
        </w:rPr>
        <w:t xml:space="preserve"> </w:t>
      </w:r>
      <w:r>
        <w:t>must follow</w:t>
      </w:r>
      <w:r>
        <w:rPr>
          <w:spacing w:val="-1"/>
        </w:rPr>
        <w:t xml:space="preserve"> </w:t>
      </w:r>
      <w:r>
        <w:t>in</w:t>
      </w:r>
      <w:r>
        <w:rPr>
          <w:spacing w:val="37"/>
        </w:rPr>
        <w:t xml:space="preserve"> </w:t>
      </w:r>
      <w:r>
        <w:rPr>
          <w:spacing w:val="-1"/>
        </w:rPr>
        <w:t xml:space="preserve">undertaking </w:t>
      </w:r>
      <w:r>
        <w:t xml:space="preserve">the </w:t>
      </w:r>
      <w:r>
        <w:rPr>
          <w:spacing w:val="-2"/>
        </w:rPr>
        <w:t>review.</w:t>
      </w:r>
      <w:r>
        <w:rPr>
          <w:spacing w:val="-6"/>
        </w:rPr>
        <w:t xml:space="preserve"> </w:t>
      </w:r>
      <w:r>
        <w:t>In addition,</w:t>
      </w:r>
      <w:r>
        <w:rPr>
          <w:spacing w:val="-6"/>
        </w:rPr>
        <w:t xml:space="preserve"> </w:t>
      </w:r>
      <w:r>
        <w:t>as</w:t>
      </w:r>
      <w:r>
        <w:rPr>
          <w:spacing w:val="-1"/>
        </w:rPr>
        <w:t xml:space="preserve"> </w:t>
      </w:r>
      <w:r>
        <w:t xml:space="preserve">this is the first </w:t>
      </w:r>
      <w:r>
        <w:rPr>
          <w:spacing w:val="-1"/>
        </w:rPr>
        <w:t xml:space="preserve">review </w:t>
      </w:r>
      <w:r>
        <w:t>of</w:t>
      </w:r>
      <w:r>
        <w:rPr>
          <w:spacing w:val="4"/>
        </w:rPr>
        <w:t xml:space="preserve"> </w:t>
      </w:r>
      <w:r>
        <w:t xml:space="preserve">a price </w:t>
      </w:r>
      <w:r>
        <w:rPr>
          <w:spacing w:val="-1"/>
        </w:rPr>
        <w:t>direction</w:t>
      </w:r>
      <w:r>
        <w:t xml:space="preserve"> conducted</w:t>
      </w:r>
      <w:r>
        <w:rPr>
          <w:spacing w:val="-1"/>
        </w:rPr>
        <w:t xml:space="preserve"> </w:t>
      </w:r>
      <w:r>
        <w:t>under the</w:t>
      </w:r>
      <w:r>
        <w:rPr>
          <w:spacing w:val="35"/>
        </w:rPr>
        <w:t xml:space="preserve"> </w:t>
      </w:r>
      <w:r>
        <w:t>Act,</w:t>
      </w:r>
      <w:r>
        <w:rPr>
          <w:spacing w:val="-6"/>
        </w:rPr>
        <w:t xml:space="preserve"> </w:t>
      </w:r>
      <w:r>
        <w:t xml:space="preserve">the </w:t>
      </w:r>
      <w:r>
        <w:rPr>
          <w:spacing w:val="-3"/>
        </w:rPr>
        <w:t>Panel</w:t>
      </w:r>
      <w:r>
        <w:t xml:space="preserve"> has no </w:t>
      </w:r>
      <w:r>
        <w:rPr>
          <w:spacing w:val="-1"/>
        </w:rPr>
        <w:t>precedent</w:t>
      </w:r>
      <w:r>
        <w:t xml:space="preserve"> to guide it other than the legal principles </w:t>
      </w:r>
      <w:r>
        <w:rPr>
          <w:spacing w:val="-1"/>
        </w:rPr>
        <w:t>that</w:t>
      </w:r>
      <w:r>
        <w:t xml:space="preserve"> apply to merits </w:t>
      </w:r>
      <w:r>
        <w:rPr>
          <w:spacing w:val="-1"/>
        </w:rPr>
        <w:t>reviews.</w:t>
      </w:r>
      <w:r>
        <w:rPr>
          <w:spacing w:val="27"/>
        </w:rPr>
        <w:t xml:space="preserve"> </w:t>
      </w:r>
      <w:r>
        <w:rPr>
          <w:spacing w:val="-2"/>
        </w:rPr>
        <w:t>Therefore,</w:t>
      </w:r>
      <w:r>
        <w:rPr>
          <w:spacing w:val="-7"/>
        </w:rPr>
        <w:t xml:space="preserve"> </w:t>
      </w:r>
      <w:r>
        <w:t xml:space="preserve">the </w:t>
      </w:r>
      <w:r>
        <w:rPr>
          <w:spacing w:val="-3"/>
        </w:rPr>
        <w:t>Panel</w:t>
      </w:r>
      <w:r>
        <w:t xml:space="preserve"> has developed its own </w:t>
      </w:r>
      <w:r>
        <w:rPr>
          <w:spacing w:val="-1"/>
        </w:rPr>
        <w:t>review</w:t>
      </w:r>
      <w:r>
        <w:t xml:space="preserve"> </w:t>
      </w:r>
      <w:r>
        <w:rPr>
          <w:spacing w:val="-1"/>
        </w:rPr>
        <w:t>process</w:t>
      </w:r>
      <w:r>
        <w:t xml:space="preserve"> and analytical </w:t>
      </w:r>
      <w:r>
        <w:rPr>
          <w:spacing w:val="-1"/>
        </w:rPr>
        <w:t>approach,</w:t>
      </w:r>
      <w:r>
        <w:rPr>
          <w:spacing w:val="-6"/>
        </w:rPr>
        <w:t xml:space="preserve"> </w:t>
      </w:r>
      <w:r>
        <w:rPr>
          <w:spacing w:val="-1"/>
        </w:rPr>
        <w:t>drawing</w:t>
      </w:r>
      <w:r>
        <w:t xml:space="preserve"> on best</w:t>
      </w:r>
      <w:r>
        <w:rPr>
          <w:spacing w:val="51"/>
        </w:rPr>
        <w:t xml:space="preserve"> </w:t>
      </w:r>
      <w:r>
        <w:rPr>
          <w:spacing w:val="-1"/>
        </w:rPr>
        <w:t>regulatory</w:t>
      </w:r>
      <w:r>
        <w:t xml:space="preserve"> </w:t>
      </w:r>
      <w:r>
        <w:rPr>
          <w:spacing w:val="-1"/>
        </w:rPr>
        <w:t>practice</w:t>
      </w:r>
      <w:r>
        <w:t xml:space="preserve"> and taking account of</w:t>
      </w:r>
      <w:r>
        <w:rPr>
          <w:spacing w:val="4"/>
        </w:rPr>
        <w:t xml:space="preserve"> </w:t>
      </w:r>
      <w:r>
        <w:t xml:space="preserve">the </w:t>
      </w:r>
      <w:r>
        <w:rPr>
          <w:spacing w:val="-1"/>
        </w:rPr>
        <w:t>context</w:t>
      </w:r>
      <w:r>
        <w:t xml:space="preserve"> and timing of</w:t>
      </w:r>
      <w:r>
        <w:rPr>
          <w:spacing w:val="4"/>
        </w:rPr>
        <w:t xml:space="preserve"> </w:t>
      </w:r>
      <w:r>
        <w:t xml:space="preserve">the </w:t>
      </w:r>
      <w:r>
        <w:rPr>
          <w:spacing w:val="-1"/>
        </w:rPr>
        <w:t>appeal</w:t>
      </w:r>
      <w:r>
        <w:t xml:space="preserve"> and </w:t>
      </w:r>
      <w:r>
        <w:rPr>
          <w:spacing w:val="-2"/>
        </w:rPr>
        <w:t>review.</w:t>
      </w:r>
    </w:p>
    <w:p w:rsidR="00D96B91" w:rsidRDefault="00C2656B">
      <w:pPr>
        <w:spacing w:before="158"/>
        <w:ind w:left="1247"/>
        <w:rPr>
          <w:rFonts w:ascii="Avenir Next" w:eastAsia="Avenir Next" w:hAnsi="Avenir Next" w:cs="Avenir Next"/>
          <w:sz w:val="20"/>
          <w:szCs w:val="20"/>
        </w:rPr>
      </w:pPr>
      <w:r>
        <w:rPr>
          <w:rFonts w:ascii="Avenir Next"/>
          <w:b/>
          <w:spacing w:val="-1"/>
          <w:sz w:val="20"/>
        </w:rPr>
        <w:t>Box</w:t>
      </w:r>
      <w:r>
        <w:rPr>
          <w:rFonts w:ascii="Avenir Next"/>
          <w:b/>
          <w:sz w:val="20"/>
        </w:rPr>
        <w:t xml:space="preserve"> 2.1: Industry </w:t>
      </w:r>
      <w:r>
        <w:rPr>
          <w:rFonts w:ascii="Avenir Next"/>
          <w:b/>
          <w:spacing w:val="-3"/>
          <w:sz w:val="20"/>
        </w:rPr>
        <w:t>Panel</w:t>
      </w:r>
      <w:r>
        <w:rPr>
          <w:rFonts w:ascii="Avenir Next"/>
          <w:b/>
          <w:sz w:val="20"/>
        </w:rPr>
        <w:t xml:space="preserve"> </w:t>
      </w:r>
      <w:r>
        <w:rPr>
          <w:rFonts w:ascii="Avenir Next"/>
          <w:b/>
          <w:spacing w:val="-1"/>
          <w:sz w:val="20"/>
        </w:rPr>
        <w:t>profile</w:t>
      </w: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4C4403">
        <w:rPr>
          <w:rFonts w:ascii="Avenir Next" w:eastAsia="Avenir Next" w:hAnsi="Avenir Next" w:cs="Avenir Next"/>
          <w:sz w:val="20"/>
          <w:szCs w:val="20"/>
        </w:rPr>
        <w:pict>
          <v:shape id="_x0000_s3454" type="#_x0000_t202" style="width:470.55pt;height:166.85pt;mso-left-percent:-10001;mso-top-percent:-10001;mso-position-horizontal:absolute;mso-position-horizontal-relative:char;mso-position-vertical:absolute;mso-position-vertical-relative:line;mso-left-percent:-10001;mso-top-percent:-10001" fillcolor="#dff3fd" stroked="f">
            <v:textbox style="mso-next-textbox:#_x0000_s3454" inset="0,0,0,0">
              <w:txbxContent>
                <w:p w:rsidR="008A79D5" w:rsidRDefault="008A79D5">
                  <w:pPr>
                    <w:spacing w:before="170"/>
                    <w:ind w:left="170"/>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three</w:t>
                  </w:r>
                  <w:r>
                    <w:rPr>
                      <w:rFonts w:ascii="Avenir Next Condensed"/>
                      <w:spacing w:val="-4"/>
                      <w:sz w:val="20"/>
                    </w:rPr>
                    <w:t xml:space="preserve"> </w:t>
                  </w:r>
                  <w:r>
                    <w:rPr>
                      <w:rFonts w:ascii="Avenir Next Condensed"/>
                      <w:spacing w:val="-2"/>
                      <w:sz w:val="20"/>
                    </w:rPr>
                    <w:t>members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Panel </w:t>
                  </w:r>
                  <w:r>
                    <w:rPr>
                      <w:rFonts w:ascii="Avenir Next Condensed"/>
                      <w:spacing w:val="-3"/>
                      <w:sz w:val="20"/>
                    </w:rPr>
                    <w:t>are:</w:t>
                  </w:r>
                </w:p>
                <w:p w:rsidR="008A79D5" w:rsidRDefault="008A79D5">
                  <w:pPr>
                    <w:numPr>
                      <w:ilvl w:val="0"/>
                      <w:numId w:val="127"/>
                    </w:numPr>
                    <w:tabs>
                      <w:tab w:val="left" w:pos="397"/>
                    </w:tabs>
                    <w:spacing w:before="100"/>
                    <w:ind w:hanging="226"/>
                    <w:rPr>
                      <w:rFonts w:ascii="Avenir Next Condensed" w:eastAsia="Avenir Next Condensed" w:hAnsi="Avenir Next Condensed" w:cs="Avenir Next Condensed"/>
                      <w:sz w:val="20"/>
                      <w:szCs w:val="20"/>
                    </w:rPr>
                  </w:pPr>
                  <w:r>
                    <w:rPr>
                      <w:rFonts w:ascii="Avenir Next Condensed"/>
                      <w:spacing w:val="-1"/>
                      <w:sz w:val="20"/>
                    </w:rPr>
                    <w:t>Ms</w:t>
                  </w:r>
                  <w:r>
                    <w:rPr>
                      <w:rFonts w:ascii="Avenir Next Condensed"/>
                      <w:spacing w:val="-4"/>
                      <w:sz w:val="20"/>
                    </w:rPr>
                    <w:t xml:space="preserve"> </w:t>
                  </w:r>
                  <w:r>
                    <w:rPr>
                      <w:rFonts w:ascii="Avenir Next Condensed"/>
                      <w:spacing w:val="-2"/>
                      <w:sz w:val="20"/>
                    </w:rPr>
                    <w:t>Mary</w:t>
                  </w:r>
                  <w:r>
                    <w:rPr>
                      <w:rFonts w:ascii="Avenir Next Condensed"/>
                      <w:spacing w:val="-8"/>
                      <w:sz w:val="20"/>
                    </w:rPr>
                    <w:t xml:space="preserve"> </w:t>
                  </w:r>
                  <w:r>
                    <w:rPr>
                      <w:rFonts w:ascii="Avenir Next Condensed"/>
                      <w:spacing w:val="-2"/>
                      <w:sz w:val="20"/>
                    </w:rPr>
                    <w:t>Anne</w:t>
                  </w:r>
                  <w:r>
                    <w:rPr>
                      <w:rFonts w:ascii="Avenir Next Condensed"/>
                      <w:spacing w:val="-4"/>
                      <w:sz w:val="20"/>
                    </w:rPr>
                    <w:t xml:space="preserve"> </w:t>
                  </w:r>
                  <w:r>
                    <w:rPr>
                      <w:rFonts w:ascii="Avenir Next Condensed"/>
                      <w:spacing w:val="-2"/>
                      <w:sz w:val="20"/>
                    </w:rPr>
                    <w:t>Hartley</w:t>
                  </w:r>
                  <w:r>
                    <w:rPr>
                      <w:rFonts w:ascii="Avenir Next Condensed"/>
                      <w:spacing w:val="-4"/>
                      <w:sz w:val="20"/>
                    </w:rPr>
                    <w:t xml:space="preserve"> </w:t>
                  </w:r>
                  <w:r>
                    <w:rPr>
                      <w:rFonts w:ascii="Avenir Next Condensed"/>
                      <w:spacing w:val="-1"/>
                      <w:sz w:val="20"/>
                    </w:rPr>
                    <w:t>QC</w:t>
                  </w:r>
                  <w:r>
                    <w:rPr>
                      <w:rFonts w:ascii="Avenir Next Condensed"/>
                      <w:spacing w:val="-4"/>
                      <w:sz w:val="20"/>
                    </w:rPr>
                    <w:t xml:space="preserve"> </w:t>
                  </w:r>
                  <w:r>
                    <w:rPr>
                      <w:rFonts w:ascii="Avenir Next Condensed"/>
                      <w:spacing w:val="-2"/>
                      <w:sz w:val="20"/>
                    </w:rPr>
                    <w:t>(presiding</w:t>
                  </w:r>
                  <w:r>
                    <w:rPr>
                      <w:rFonts w:ascii="Avenir Next Condensed"/>
                      <w:spacing w:val="-4"/>
                      <w:sz w:val="20"/>
                    </w:rPr>
                    <w:t xml:space="preserve"> </w:t>
                  </w:r>
                  <w:r>
                    <w:rPr>
                      <w:rFonts w:ascii="Avenir Next Condensed"/>
                      <w:spacing w:val="-2"/>
                      <w:sz w:val="20"/>
                    </w:rPr>
                    <w:t>member)</w:t>
                  </w:r>
                </w:p>
                <w:p w:rsidR="008A79D5" w:rsidRDefault="008A79D5">
                  <w:pPr>
                    <w:numPr>
                      <w:ilvl w:val="0"/>
                      <w:numId w:val="127"/>
                    </w:numPr>
                    <w:tabs>
                      <w:tab w:val="left" w:pos="397"/>
                    </w:tabs>
                    <w:spacing w:before="43"/>
                    <w:ind w:hanging="226"/>
                    <w:rPr>
                      <w:rFonts w:ascii="Avenir Next Condensed" w:eastAsia="Avenir Next Condensed" w:hAnsi="Avenir Next Condensed" w:cs="Avenir Next Condensed"/>
                      <w:sz w:val="20"/>
                      <w:szCs w:val="20"/>
                    </w:rPr>
                  </w:pPr>
                  <w:r>
                    <w:rPr>
                      <w:rFonts w:ascii="Avenir Next Condensed"/>
                      <w:spacing w:val="-1"/>
                      <w:sz w:val="20"/>
                    </w:rPr>
                    <w:t>Ms</w:t>
                  </w:r>
                  <w:r>
                    <w:rPr>
                      <w:rFonts w:ascii="Avenir Next Condensed"/>
                      <w:spacing w:val="-4"/>
                      <w:sz w:val="20"/>
                    </w:rPr>
                    <w:t xml:space="preserve"> </w:t>
                  </w:r>
                  <w:r>
                    <w:rPr>
                      <w:rFonts w:ascii="Avenir Next Condensed"/>
                      <w:spacing w:val="-2"/>
                      <w:sz w:val="20"/>
                    </w:rPr>
                    <w:t>Sally</w:t>
                  </w:r>
                  <w:r>
                    <w:rPr>
                      <w:rFonts w:ascii="Avenir Next Condensed"/>
                      <w:spacing w:val="-4"/>
                      <w:sz w:val="20"/>
                    </w:rPr>
                    <w:t xml:space="preserve"> </w:t>
                  </w:r>
                  <w:r>
                    <w:rPr>
                      <w:rFonts w:ascii="Avenir Next Condensed"/>
                      <w:spacing w:val="-3"/>
                      <w:sz w:val="20"/>
                    </w:rPr>
                    <w:t>Farrier</w:t>
                  </w:r>
                </w:p>
                <w:p w:rsidR="008A79D5" w:rsidRDefault="008A79D5">
                  <w:pPr>
                    <w:numPr>
                      <w:ilvl w:val="0"/>
                      <w:numId w:val="127"/>
                    </w:numPr>
                    <w:tabs>
                      <w:tab w:val="left" w:pos="397"/>
                    </w:tabs>
                    <w:spacing w:before="43"/>
                    <w:ind w:hanging="226"/>
                    <w:rPr>
                      <w:rFonts w:ascii="Avenir Next Condensed" w:eastAsia="Avenir Next Condensed" w:hAnsi="Avenir Next Condensed" w:cs="Avenir Next Condensed"/>
                      <w:sz w:val="20"/>
                      <w:szCs w:val="20"/>
                    </w:rPr>
                  </w:pPr>
                  <w:r>
                    <w:rPr>
                      <w:rFonts w:ascii="Avenir Next Condensed"/>
                      <w:spacing w:val="-1"/>
                      <w:sz w:val="20"/>
                    </w:rPr>
                    <w:t>Ms</w:t>
                  </w:r>
                  <w:r>
                    <w:rPr>
                      <w:rFonts w:ascii="Avenir Next Condensed"/>
                      <w:spacing w:val="-4"/>
                      <w:sz w:val="20"/>
                    </w:rPr>
                    <w:t xml:space="preserve"> </w:t>
                  </w:r>
                  <w:r>
                    <w:rPr>
                      <w:rFonts w:ascii="Avenir Next Condensed"/>
                      <w:spacing w:val="-2"/>
                      <w:sz w:val="20"/>
                    </w:rPr>
                    <w:t>Claire</w:t>
                  </w:r>
                  <w:r>
                    <w:rPr>
                      <w:rFonts w:ascii="Avenir Next Condensed"/>
                      <w:spacing w:val="-9"/>
                      <w:sz w:val="20"/>
                    </w:rPr>
                    <w:t xml:space="preserve"> </w:t>
                  </w:r>
                  <w:r>
                    <w:rPr>
                      <w:rFonts w:ascii="Avenir Next Condensed"/>
                      <w:spacing w:val="-2"/>
                      <w:sz w:val="20"/>
                    </w:rPr>
                    <w:t>Thomas</w:t>
                  </w:r>
                  <w:r>
                    <w:rPr>
                      <w:rFonts w:ascii="Avenir Next Condensed"/>
                      <w:spacing w:val="-4"/>
                      <w:sz w:val="20"/>
                    </w:rPr>
                    <w:t xml:space="preserve"> </w:t>
                  </w:r>
                  <w:r>
                    <w:rPr>
                      <w:rFonts w:ascii="Avenir Next Condensed"/>
                      <w:spacing w:val="-2"/>
                      <w:sz w:val="20"/>
                    </w:rPr>
                    <w:t>PSM</w:t>
                  </w:r>
                </w:p>
                <w:p w:rsidR="008A79D5" w:rsidRDefault="008A79D5">
                  <w:pPr>
                    <w:tabs>
                      <w:tab w:val="left" w:pos="1437"/>
                    </w:tabs>
                    <w:spacing w:before="92" w:line="260" w:lineRule="exact"/>
                    <w:ind w:left="170" w:right="3853"/>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Individual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profi</w:t>
                  </w:r>
                  <w:r w:rsidR="00710124">
                    <w:rPr>
                      <w:rFonts w:ascii="Avenir Next Condensed" w:eastAsia="Avenir Next Condensed" w:hAnsi="Avenir Next Condensed" w:cs="Avenir Next Condensed"/>
                      <w:spacing w:val="-2"/>
                      <w:sz w:val="20"/>
                      <w:szCs w:val="20"/>
                    </w:rPr>
                    <w:t xml:space="preserve">les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 </w:t>
                  </w:r>
                  <w:r>
                    <w:rPr>
                      <w:rFonts w:ascii="Avenir Next Condensed" w:eastAsia="Avenir Next Condensed" w:hAnsi="Avenir Next Condensed" w:cs="Avenir Next Condensed"/>
                      <w:spacing w:val="-2"/>
                      <w:sz w:val="20"/>
                      <w:szCs w:val="20"/>
                    </w:rPr>
                    <w:t>members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found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Panel’s </w:t>
                  </w:r>
                  <w:r>
                    <w:rPr>
                      <w:rFonts w:ascii="Avenir Next Condensed" w:eastAsia="Avenir Next Condensed" w:hAnsi="Avenir Next Condensed" w:cs="Avenir Next Condensed"/>
                      <w:spacing w:val="-2"/>
                      <w:sz w:val="20"/>
                      <w:szCs w:val="20"/>
                    </w:rPr>
                    <w:t>website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at:</w:t>
                  </w:r>
                  <w:r>
                    <w:rPr>
                      <w:rFonts w:ascii="Avenir Next Condensed" w:eastAsia="Avenir Next Condensed" w:hAnsi="Avenir Next Condensed" w:cs="Avenir Next Condensed"/>
                      <w:spacing w:val="37"/>
                      <w:sz w:val="20"/>
                      <w:szCs w:val="20"/>
                    </w:rPr>
                    <w:t xml:space="preserve"> </w:t>
                  </w:r>
                  <w:hyperlink r:id="rId37">
                    <w:r>
                      <w:rPr>
                        <w:rFonts w:ascii="Avenir Next Condensed" w:eastAsia="Avenir Next Condensed" w:hAnsi="Avenir Next Condensed" w:cs="Avenir Next Condensed"/>
                        <w:color w:val="0778BE"/>
                        <w:spacing w:val="-3"/>
                        <w:sz w:val="20"/>
                        <w:szCs w:val="20"/>
                      </w:rPr>
                      <w:t>http://apps.treasury.act.gov.au/industrypanel/panelbiographies</w:t>
                    </w:r>
                  </w:hyperlink>
                  <w:r>
                    <w:rPr>
                      <w:rFonts w:ascii="Avenir Next Condensed" w:eastAsia="Avenir Next Condensed" w:hAnsi="Avenir Next Condensed" w:cs="Avenir Next Condensed"/>
                      <w:spacing w:val="-3"/>
                      <w:sz w:val="20"/>
                      <w:szCs w:val="20"/>
                    </w:rPr>
                    <w:t>.</w:t>
                  </w:r>
                </w:p>
                <w:p w:rsidR="008A79D5" w:rsidRDefault="008A79D5">
                  <w:pPr>
                    <w:tabs>
                      <w:tab w:val="left" w:pos="689"/>
                    </w:tabs>
                    <w:spacing w:before="113" w:line="260" w:lineRule="exact"/>
                    <w:ind w:left="170" w:right="253"/>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Panel </w:t>
                  </w:r>
                  <w:r>
                    <w:rPr>
                      <w:rFonts w:ascii="Avenir Next Condensed"/>
                      <w:spacing w:val="-1"/>
                      <w:sz w:val="20"/>
                    </w:rPr>
                    <w:t>is</w:t>
                  </w:r>
                  <w:r>
                    <w:rPr>
                      <w:rFonts w:ascii="Avenir Next Condensed"/>
                      <w:spacing w:val="-4"/>
                      <w:sz w:val="20"/>
                    </w:rPr>
                    <w:t xml:space="preserve"> </w:t>
                  </w:r>
                  <w:r>
                    <w:rPr>
                      <w:rFonts w:ascii="Avenir Next Condensed"/>
                      <w:spacing w:val="-2"/>
                      <w:sz w:val="20"/>
                    </w:rPr>
                    <w:t>supported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secretariat,</w:t>
                  </w:r>
                  <w:r>
                    <w:rPr>
                      <w:rFonts w:ascii="Avenir Next Condensed"/>
                      <w:spacing w:val="-10"/>
                      <w:sz w:val="20"/>
                    </w:rPr>
                    <w:t xml:space="preserve"> </w:t>
                  </w:r>
                  <w:r>
                    <w:rPr>
                      <w:rFonts w:ascii="Avenir Next Condensed"/>
                      <w:spacing w:val="-2"/>
                      <w:sz w:val="20"/>
                    </w:rPr>
                    <w:t>comprising</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project</w:t>
                  </w:r>
                  <w:r>
                    <w:rPr>
                      <w:rFonts w:ascii="Avenir Next Condensed"/>
                      <w:spacing w:val="-4"/>
                      <w:sz w:val="20"/>
                    </w:rPr>
                    <w:t xml:space="preserve"> </w:t>
                  </w:r>
                  <w:r>
                    <w:rPr>
                      <w:rFonts w:ascii="Avenir Next Condensed"/>
                      <w:spacing w:val="-2"/>
                      <w:sz w:val="20"/>
                    </w:rPr>
                    <w:t>manager</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range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technical</w:t>
                  </w:r>
                  <w:r>
                    <w:rPr>
                      <w:rFonts w:ascii="Avenir Next Condensed"/>
                      <w:spacing w:val="-4"/>
                      <w:sz w:val="20"/>
                    </w:rPr>
                    <w:t xml:space="preserve"> </w:t>
                  </w:r>
                  <w:r>
                    <w:rPr>
                      <w:rFonts w:ascii="Avenir Next Condensed"/>
                      <w:spacing w:val="-2"/>
                      <w:sz w:val="20"/>
                    </w:rPr>
                    <w:t>specialists,</w:t>
                  </w:r>
                  <w:r>
                    <w:rPr>
                      <w:rFonts w:ascii="Avenir Next Condensed"/>
                      <w:spacing w:val="-10"/>
                      <w:sz w:val="20"/>
                    </w:rPr>
                    <w:t xml:space="preserve"> </w:t>
                  </w:r>
                  <w:r>
                    <w:rPr>
                      <w:rFonts w:ascii="Avenir Next Condensed"/>
                      <w:spacing w:val="-2"/>
                      <w:sz w:val="20"/>
                    </w:rPr>
                    <w:t>including</w:t>
                  </w:r>
                  <w:r>
                    <w:rPr>
                      <w:rFonts w:ascii="Avenir Next Condensed"/>
                      <w:spacing w:val="-4"/>
                      <w:sz w:val="20"/>
                    </w:rPr>
                    <w:t xml:space="preserve"> </w:t>
                  </w:r>
                  <w:r>
                    <w:rPr>
                      <w:rFonts w:ascii="Avenir Next Condensed"/>
                      <w:spacing w:val="-2"/>
                      <w:sz w:val="20"/>
                    </w:rPr>
                    <w:t>those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3"/>
                      <w:sz w:val="20"/>
                    </w:rPr>
                    <w:t>expert</w:t>
                  </w:r>
                  <w:r>
                    <w:rPr>
                      <w:rFonts w:ascii="Avenir Next Condensed"/>
                      <w:spacing w:val="52"/>
                      <w:sz w:val="20"/>
                    </w:rPr>
                    <w:t xml:space="preserve"> </w:t>
                  </w:r>
                  <w:r>
                    <w:rPr>
                      <w:rFonts w:ascii="Avenir Next Condensed"/>
                      <w:spacing w:val="-2"/>
                      <w:sz w:val="20"/>
                    </w:rPr>
                    <w:t>knowledge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determinations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utility</w:t>
                  </w:r>
                  <w:r>
                    <w:rPr>
                      <w:rFonts w:ascii="Avenir Next Condensed"/>
                      <w:spacing w:val="-4"/>
                      <w:sz w:val="20"/>
                    </w:rPr>
                    <w:t xml:space="preserve"> </w:t>
                  </w:r>
                  <w:r>
                    <w:rPr>
                      <w:rFonts w:ascii="Avenir Next Condensed"/>
                      <w:spacing w:val="-2"/>
                      <w:sz w:val="20"/>
                    </w:rPr>
                    <w:t>sectors,</w:t>
                  </w:r>
                  <w:r>
                    <w:rPr>
                      <w:rFonts w:ascii="Avenir Next Condensed"/>
                      <w:spacing w:val="-10"/>
                      <w:sz w:val="20"/>
                    </w:rPr>
                    <w:t xml:space="preserve"> </w:t>
                  </w:r>
                  <w:r>
                    <w:rPr>
                      <w:rFonts w:ascii="Avenir Next Condensed"/>
                      <w:spacing w:val="-2"/>
                      <w:sz w:val="20"/>
                    </w:rPr>
                    <w:t>including</w:t>
                  </w:r>
                  <w:r>
                    <w:rPr>
                      <w:rFonts w:ascii="Avenir Next Condensed"/>
                      <w:spacing w:val="-4"/>
                      <w:sz w:val="20"/>
                    </w:rPr>
                    <w:t xml:space="preserve"> </w:t>
                  </w:r>
                  <w:r>
                    <w:rPr>
                      <w:rFonts w:ascii="Avenir Next Condensed"/>
                      <w:spacing w:val="-3"/>
                      <w:sz w:val="20"/>
                    </w:rPr>
                    <w:t>water.</w:t>
                  </w:r>
                  <w:r>
                    <w:rPr>
                      <w:rFonts w:ascii="Avenir Next Condensed"/>
                      <w:spacing w:val="-15"/>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administrative</w:t>
                  </w:r>
                  <w:r>
                    <w:rPr>
                      <w:rFonts w:ascii="Avenir Next Condensed"/>
                      <w:spacing w:val="-4"/>
                      <w:sz w:val="20"/>
                    </w:rPr>
                    <w:t xml:space="preserve"> </w:t>
                  </w:r>
                  <w:r>
                    <w:rPr>
                      <w:rFonts w:ascii="Avenir Next Condensed"/>
                      <w:spacing w:val="-2"/>
                      <w:sz w:val="20"/>
                    </w:rPr>
                    <w:t>functions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secretariat</w:t>
                  </w:r>
                  <w:r>
                    <w:rPr>
                      <w:rFonts w:ascii="Avenir Next Condensed"/>
                      <w:spacing w:val="-4"/>
                      <w:sz w:val="20"/>
                    </w:rPr>
                    <w:t xml:space="preserve"> </w:t>
                  </w:r>
                  <w:r>
                    <w:rPr>
                      <w:rFonts w:ascii="Avenir Next Condensed"/>
                      <w:spacing w:val="-2"/>
                      <w:sz w:val="20"/>
                    </w:rPr>
                    <w:t>are</w:t>
                  </w:r>
                  <w:r>
                    <w:rPr>
                      <w:rFonts w:ascii="Avenir Next Condensed"/>
                      <w:spacing w:val="-4"/>
                      <w:sz w:val="20"/>
                    </w:rPr>
                    <w:t xml:space="preserve"> </w:t>
                  </w:r>
                  <w:r>
                    <w:rPr>
                      <w:rFonts w:ascii="Avenir Next Condensed"/>
                      <w:spacing w:val="-2"/>
                      <w:sz w:val="20"/>
                    </w:rPr>
                    <w:t>provided</w:t>
                  </w:r>
                  <w:r>
                    <w:rPr>
                      <w:rFonts w:ascii="Avenir Next Condensed"/>
                      <w:spacing w:val="-4"/>
                      <w:sz w:val="20"/>
                    </w:rPr>
                    <w:t xml:space="preserve"> </w:t>
                  </w:r>
                  <w:r>
                    <w:rPr>
                      <w:rFonts w:ascii="Avenir Next Condensed"/>
                      <w:spacing w:val="-2"/>
                      <w:sz w:val="20"/>
                    </w:rPr>
                    <w:t>by</w:t>
                  </w:r>
                  <w:r>
                    <w:rPr>
                      <w:rFonts w:ascii="Avenir Next Condensed"/>
                      <w:spacing w:val="38"/>
                      <w:sz w:val="20"/>
                    </w:rPr>
                    <w:t xml:space="preserve"> </w:t>
                  </w:r>
                  <w:r>
                    <w:rPr>
                      <w:rFonts w:ascii="Avenir Next Condensed"/>
                      <w:spacing w:val="-2"/>
                      <w:sz w:val="20"/>
                    </w:rPr>
                    <w:t>officers</w:t>
                  </w:r>
                  <w:r>
                    <w:rPr>
                      <w:rFonts w:ascii="Avenir Next Condensed"/>
                      <w:spacing w:val="-2"/>
                      <w:sz w:val="20"/>
                    </w:rPr>
                    <w:tab/>
                    <w:t>from</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Chief</w:t>
                  </w:r>
                  <w:r>
                    <w:rPr>
                      <w:rFonts w:ascii="Avenir Next Condensed"/>
                      <w:sz w:val="20"/>
                    </w:rPr>
                    <w:t xml:space="preserve"> </w:t>
                  </w:r>
                  <w:r>
                    <w:rPr>
                      <w:rFonts w:ascii="Avenir Next Condensed"/>
                      <w:spacing w:val="-3"/>
                      <w:sz w:val="20"/>
                    </w:rPr>
                    <w:t>Minister,</w:t>
                  </w:r>
                  <w:r>
                    <w:rPr>
                      <w:rFonts w:ascii="Avenir Next Condensed"/>
                      <w:spacing w:val="-15"/>
                      <w:sz w:val="20"/>
                    </w:rPr>
                    <w:t xml:space="preserve"> </w:t>
                  </w:r>
                  <w:r>
                    <w:rPr>
                      <w:rFonts w:ascii="Avenir Next Condensed"/>
                      <w:spacing w:val="-4"/>
                      <w:sz w:val="20"/>
                    </w:rPr>
                    <w:t xml:space="preserve">Treasury </w:t>
                  </w:r>
                  <w:r>
                    <w:rPr>
                      <w:rFonts w:ascii="Avenir Next Condensed"/>
                      <w:spacing w:val="-2"/>
                      <w:sz w:val="20"/>
                    </w:rPr>
                    <w:t>and</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Development</w:t>
                  </w:r>
                  <w:r>
                    <w:rPr>
                      <w:rFonts w:ascii="Avenir Next Condensed"/>
                      <w:spacing w:val="-4"/>
                      <w:sz w:val="20"/>
                    </w:rPr>
                    <w:t xml:space="preserve"> </w:t>
                  </w:r>
                  <w:r>
                    <w:rPr>
                      <w:rFonts w:ascii="Avenir Next Condensed"/>
                      <w:spacing w:val="-3"/>
                      <w:sz w:val="20"/>
                    </w:rPr>
                    <w:t>Directorate.</w:t>
                  </w:r>
                </w:p>
              </w:txbxContent>
            </v:textbox>
          </v:shape>
        </w:pict>
      </w:r>
    </w:p>
    <w:p w:rsidR="00D96B91" w:rsidRDefault="00D96B91">
      <w:pPr>
        <w:spacing w:before="5"/>
        <w:rPr>
          <w:rFonts w:ascii="Avenir Next" w:eastAsia="Avenir Next" w:hAnsi="Avenir Next" w:cs="Avenir Next"/>
          <w:b/>
          <w:bCs/>
          <w:sz w:val="12"/>
          <w:szCs w:val="12"/>
        </w:rPr>
      </w:pPr>
    </w:p>
    <w:p w:rsidR="00D96B91" w:rsidRDefault="00C2656B">
      <w:pPr>
        <w:pStyle w:val="Heading4"/>
        <w:numPr>
          <w:ilvl w:val="0"/>
          <w:numId w:val="128"/>
        </w:numPr>
        <w:tabs>
          <w:tab w:val="left" w:pos="1570"/>
          <w:tab w:val="left" w:pos="2040"/>
        </w:tabs>
        <w:spacing w:before="19"/>
        <w:ind w:hanging="322"/>
      </w:pPr>
      <w:r>
        <w:rPr>
          <w:color w:val="0778BE"/>
        </w:rPr>
        <w:t>1</w:t>
      </w:r>
      <w:r>
        <w:rPr>
          <w:color w:val="0778BE"/>
        </w:rPr>
        <w:tab/>
      </w:r>
      <w:r>
        <w:rPr>
          <w:color w:val="0778BE"/>
          <w:spacing w:val="-5"/>
        </w:rPr>
        <w:t>Panel’s</w:t>
      </w:r>
      <w:r>
        <w:rPr>
          <w:color w:val="0778BE"/>
        </w:rPr>
        <w:t xml:space="preserve"> </w:t>
      </w:r>
      <w:r>
        <w:rPr>
          <w:color w:val="0778BE"/>
          <w:spacing w:val="-1"/>
        </w:rPr>
        <w:t>review</w:t>
      </w:r>
      <w:r>
        <w:rPr>
          <w:color w:val="0778BE"/>
        </w:rPr>
        <w:t xml:space="preserve"> </w:t>
      </w:r>
      <w:r>
        <w:rPr>
          <w:color w:val="0778BE"/>
          <w:spacing w:val="-1"/>
        </w:rPr>
        <w:t>process</w:t>
      </w:r>
    </w:p>
    <w:p w:rsidR="00D96B91" w:rsidRDefault="00C2656B">
      <w:pPr>
        <w:pStyle w:val="BodyText"/>
        <w:spacing w:before="63"/>
        <w:rPr>
          <w:rFonts w:cs="Avenir Next"/>
        </w:rPr>
      </w:pPr>
      <w:r>
        <w:rPr>
          <w:spacing w:val="-2"/>
        </w:rPr>
        <w:t>The</w:t>
      </w:r>
      <w:r>
        <w:t xml:space="preserve"> </w:t>
      </w:r>
      <w:r>
        <w:rPr>
          <w:spacing w:val="-1"/>
        </w:rPr>
        <w:t>process</w:t>
      </w:r>
      <w:r>
        <w:t xml:space="preserve"> the </w:t>
      </w:r>
      <w:r>
        <w:rPr>
          <w:spacing w:val="-3"/>
        </w:rPr>
        <w:t>Panel</w:t>
      </w:r>
      <w:r>
        <w:t xml:space="preserve"> has followed in conducting this </w:t>
      </w:r>
      <w:r>
        <w:rPr>
          <w:spacing w:val="-1"/>
        </w:rPr>
        <w:t>review</w:t>
      </w:r>
      <w:r>
        <w:t xml:space="preserve"> involves </w:t>
      </w:r>
      <w:r>
        <w:rPr>
          <w:spacing w:val="-1"/>
        </w:rPr>
        <w:t>three</w:t>
      </w:r>
      <w:r>
        <w:t xml:space="preserve"> phases:</w:t>
      </w:r>
    </w:p>
    <w:p w:rsidR="00D96B91" w:rsidRDefault="00C2656B">
      <w:pPr>
        <w:pStyle w:val="BodyText"/>
        <w:numPr>
          <w:ilvl w:val="0"/>
          <w:numId w:val="126"/>
        </w:numPr>
        <w:tabs>
          <w:tab w:val="left" w:pos="1588"/>
        </w:tabs>
        <w:spacing w:before="157"/>
        <w:ind w:hanging="340"/>
        <w:rPr>
          <w:rFonts w:cs="Avenir Next"/>
        </w:rPr>
      </w:pPr>
      <w:r>
        <w:rPr>
          <w:spacing w:val="-2"/>
        </w:rPr>
        <w:t>Preliminary</w:t>
      </w:r>
      <w:r>
        <w:t xml:space="preserve"> analysis,</w:t>
      </w:r>
      <w:r>
        <w:rPr>
          <w:spacing w:val="-6"/>
        </w:rPr>
        <w:t xml:space="preserve"> </w:t>
      </w:r>
      <w:r>
        <w:rPr>
          <w:spacing w:val="-1"/>
        </w:rPr>
        <w:t>information</w:t>
      </w:r>
      <w:r>
        <w:t xml:space="preserve"> </w:t>
      </w:r>
      <w:r>
        <w:rPr>
          <w:spacing w:val="-1"/>
        </w:rPr>
        <w:t>gathering</w:t>
      </w:r>
      <w:r>
        <w:t xml:space="preserve"> and </w:t>
      </w:r>
      <w:r>
        <w:rPr>
          <w:spacing w:val="-1"/>
        </w:rPr>
        <w:t>consultation</w:t>
      </w:r>
    </w:p>
    <w:p w:rsidR="00D96B91" w:rsidRDefault="00C2656B">
      <w:pPr>
        <w:pStyle w:val="BodyText"/>
        <w:numPr>
          <w:ilvl w:val="0"/>
          <w:numId w:val="126"/>
        </w:numPr>
        <w:tabs>
          <w:tab w:val="left" w:pos="1588"/>
        </w:tabs>
        <w:spacing w:before="72"/>
        <w:ind w:hanging="340"/>
      </w:pPr>
      <w:r>
        <w:t xml:space="preserve">Detailed analysis and </w:t>
      </w:r>
      <w:r>
        <w:rPr>
          <w:spacing w:val="-2"/>
        </w:rPr>
        <w:t>draft</w:t>
      </w:r>
      <w:r>
        <w:t xml:space="preserve"> decision-making,</w:t>
      </w:r>
      <w:r>
        <w:rPr>
          <w:spacing w:val="-6"/>
        </w:rPr>
        <w:t xml:space="preserve"> </w:t>
      </w:r>
      <w:r>
        <w:t>and</w:t>
      </w:r>
    </w:p>
    <w:p w:rsidR="00D96B91" w:rsidRDefault="00C2656B">
      <w:pPr>
        <w:pStyle w:val="BodyText"/>
        <w:numPr>
          <w:ilvl w:val="0"/>
          <w:numId w:val="126"/>
        </w:numPr>
        <w:tabs>
          <w:tab w:val="left" w:pos="1588"/>
        </w:tabs>
        <w:spacing w:before="72"/>
        <w:ind w:hanging="340"/>
      </w:pPr>
      <w:r>
        <w:rPr>
          <w:spacing w:val="-2"/>
        </w:rPr>
        <w:t>Public</w:t>
      </w:r>
      <w:r>
        <w:rPr>
          <w:spacing w:val="-1"/>
        </w:rPr>
        <w:t xml:space="preserve"> consultation </w:t>
      </w:r>
      <w:r>
        <w:t>and</w:t>
      </w:r>
      <w:r>
        <w:rPr>
          <w:spacing w:val="-1"/>
        </w:rPr>
        <w:t xml:space="preserve"> </w:t>
      </w:r>
      <w:r>
        <w:t>final</w:t>
      </w:r>
      <w:r>
        <w:rPr>
          <w:spacing w:val="-1"/>
        </w:rPr>
        <w:t xml:space="preserve"> </w:t>
      </w:r>
      <w:r>
        <w:t>decision-making.</w:t>
      </w:r>
    </w:p>
    <w:p w:rsidR="00D96B91" w:rsidRDefault="00C2656B">
      <w:pPr>
        <w:pStyle w:val="BodyText"/>
        <w:spacing w:before="72"/>
      </w:pPr>
      <w:r>
        <w:rPr>
          <w:spacing w:val="-2"/>
        </w:rPr>
        <w:t>The</w:t>
      </w:r>
      <w:r>
        <w:rPr>
          <w:spacing w:val="-1"/>
        </w:rPr>
        <w:t xml:space="preserve"> </w:t>
      </w:r>
      <w:r>
        <w:t>sections below describe these</w:t>
      </w:r>
      <w:r>
        <w:rPr>
          <w:spacing w:val="-1"/>
        </w:rPr>
        <w:t xml:space="preserve"> </w:t>
      </w:r>
      <w:r>
        <w:t>phases,</w:t>
      </w:r>
      <w:r>
        <w:rPr>
          <w:spacing w:val="-7"/>
        </w:rPr>
        <w:t xml:space="preserve"> </w:t>
      </w:r>
      <w:r>
        <w:t>the first two of</w:t>
      </w:r>
      <w:r>
        <w:rPr>
          <w:spacing w:val="3"/>
        </w:rPr>
        <w:t xml:space="preserve"> </w:t>
      </w:r>
      <w:r>
        <w:t xml:space="preserve">which the </w:t>
      </w:r>
      <w:r>
        <w:rPr>
          <w:spacing w:val="-3"/>
        </w:rPr>
        <w:t>Panel</w:t>
      </w:r>
      <w:r>
        <w:t xml:space="preserve"> has</w:t>
      </w:r>
      <w:r>
        <w:rPr>
          <w:spacing w:val="-1"/>
        </w:rPr>
        <w:t xml:space="preserve"> </w:t>
      </w:r>
      <w:r>
        <w:t>now completed.</w:t>
      </w:r>
    </w:p>
    <w:p w:rsidR="00D96B91" w:rsidRDefault="00D96B91">
      <w:pPr>
        <w:spacing w:before="13"/>
        <w:rPr>
          <w:rFonts w:ascii="Avenir Next" w:eastAsia="Avenir Next" w:hAnsi="Avenir Next" w:cs="Avenir Next"/>
          <w:sz w:val="18"/>
          <w:szCs w:val="18"/>
        </w:rPr>
      </w:pPr>
    </w:p>
    <w:p w:rsidR="00D96B91" w:rsidRDefault="00C2656B">
      <w:pPr>
        <w:numPr>
          <w:ilvl w:val="2"/>
          <w:numId w:val="125"/>
        </w:numPr>
        <w:tabs>
          <w:tab w:val="left" w:pos="2098"/>
        </w:tabs>
        <w:spacing w:line="244" w:lineRule="auto"/>
        <w:ind w:right="1627" w:firstLine="0"/>
        <w:rPr>
          <w:rFonts w:ascii="Avenir Next" w:eastAsia="Avenir Next" w:hAnsi="Avenir Next" w:cs="Avenir Next"/>
          <w:sz w:val="20"/>
          <w:szCs w:val="20"/>
        </w:rPr>
      </w:pPr>
      <w:r>
        <w:rPr>
          <w:rFonts w:ascii="Avenir Next Medium" w:eastAsia="Avenir Next Medium" w:hAnsi="Avenir Next Medium" w:cs="Avenir Next Medium"/>
          <w:color w:val="0778BE"/>
          <w:sz w:val="24"/>
          <w:szCs w:val="24"/>
        </w:rPr>
        <w:t xml:space="preserve">Phase 1: </w:t>
      </w:r>
      <w:r>
        <w:rPr>
          <w:rFonts w:ascii="Avenir Next Medium" w:eastAsia="Avenir Next Medium" w:hAnsi="Avenir Next Medium" w:cs="Avenir Next Medium"/>
          <w:color w:val="0778BE"/>
          <w:spacing w:val="-2"/>
          <w:sz w:val="24"/>
          <w:szCs w:val="24"/>
        </w:rPr>
        <w:t>Preliminary</w:t>
      </w:r>
      <w:r>
        <w:rPr>
          <w:rFonts w:ascii="Avenir Next Medium" w:eastAsia="Avenir Next Medium" w:hAnsi="Avenir Next Medium" w:cs="Avenir Next Medium"/>
          <w:color w:val="0778BE"/>
          <w:sz w:val="24"/>
          <w:szCs w:val="24"/>
        </w:rPr>
        <w:t xml:space="preserve"> analysis,</w:t>
      </w:r>
      <w:r>
        <w:rPr>
          <w:rFonts w:ascii="Avenir Next Medium" w:eastAsia="Avenir Next Medium" w:hAnsi="Avenir Next Medium" w:cs="Avenir Next Medium"/>
          <w:color w:val="0778BE"/>
          <w:spacing w:val="-8"/>
          <w:sz w:val="24"/>
          <w:szCs w:val="24"/>
        </w:rPr>
        <w:t xml:space="preserve"> </w:t>
      </w:r>
      <w:r>
        <w:rPr>
          <w:rFonts w:ascii="Avenir Next Medium" w:eastAsia="Avenir Next Medium" w:hAnsi="Avenir Next Medium" w:cs="Avenir Next Medium"/>
          <w:color w:val="0778BE"/>
          <w:spacing w:val="-1"/>
          <w:sz w:val="24"/>
          <w:szCs w:val="24"/>
        </w:rPr>
        <w:t>information</w:t>
      </w:r>
      <w:r>
        <w:rPr>
          <w:rFonts w:ascii="Avenir Next Medium" w:eastAsia="Avenir Next Medium" w:hAnsi="Avenir Next Medium" w:cs="Avenir Next Medium"/>
          <w:color w:val="0778BE"/>
          <w:sz w:val="24"/>
          <w:szCs w:val="24"/>
        </w:rPr>
        <w:t xml:space="preserve"> </w:t>
      </w:r>
      <w:r>
        <w:rPr>
          <w:rFonts w:ascii="Avenir Next Medium" w:eastAsia="Avenir Next Medium" w:hAnsi="Avenir Next Medium" w:cs="Avenir Next Medium"/>
          <w:color w:val="0778BE"/>
          <w:spacing w:val="-1"/>
          <w:sz w:val="24"/>
          <w:szCs w:val="24"/>
        </w:rPr>
        <w:t>gathering</w:t>
      </w:r>
      <w:r>
        <w:rPr>
          <w:rFonts w:ascii="Avenir Next Medium" w:eastAsia="Avenir Next Medium" w:hAnsi="Avenir Next Medium" w:cs="Avenir Next Medium"/>
          <w:color w:val="0778BE"/>
          <w:sz w:val="24"/>
          <w:szCs w:val="24"/>
        </w:rPr>
        <w:t xml:space="preserve"> and </w:t>
      </w:r>
      <w:r>
        <w:rPr>
          <w:rFonts w:ascii="Avenir Next Medium" w:eastAsia="Avenir Next Medium" w:hAnsi="Avenir Next Medium" w:cs="Avenir Next Medium"/>
          <w:color w:val="0778BE"/>
          <w:spacing w:val="-1"/>
          <w:sz w:val="24"/>
          <w:szCs w:val="24"/>
        </w:rPr>
        <w:t>consultation</w:t>
      </w:r>
      <w:r>
        <w:rPr>
          <w:rFonts w:ascii="Avenir Next Medium" w:eastAsia="Avenir Next Medium" w:hAnsi="Avenir Next Medium" w:cs="Avenir Next Medium"/>
          <w:color w:val="0778BE"/>
          <w:spacing w:val="57"/>
          <w:sz w:val="24"/>
          <w:szCs w:val="24"/>
        </w:rPr>
        <w:t xml:space="preserve"> </w:t>
      </w:r>
      <w:r>
        <w:rPr>
          <w:rFonts w:ascii="Avenir Next" w:eastAsia="Avenir Next" w:hAnsi="Avenir Next" w:cs="Avenir Next"/>
          <w:sz w:val="20"/>
          <w:szCs w:val="20"/>
        </w:rPr>
        <w:t>Under section 24R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the</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Act,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can decide </w:t>
      </w:r>
      <w:r>
        <w:rPr>
          <w:rFonts w:ascii="Avenir Next" w:eastAsia="Avenir Next" w:hAnsi="Avenir Next" w:cs="Avenir Next"/>
          <w:spacing w:val="-1"/>
          <w:sz w:val="20"/>
          <w:szCs w:val="20"/>
        </w:rPr>
        <w:t>at</w:t>
      </w:r>
      <w:r>
        <w:rPr>
          <w:rFonts w:ascii="Avenir Next" w:eastAsia="Avenir Next" w:hAnsi="Avenir Next" w:cs="Avenir Next"/>
          <w:sz w:val="20"/>
          <w:szCs w:val="20"/>
        </w:rPr>
        <w:t xml:space="preserve"> any stage </w:t>
      </w:r>
      <w:r>
        <w:rPr>
          <w:rFonts w:ascii="Avenir Next" w:eastAsia="Avenir Next" w:hAnsi="Avenir Next" w:cs="Avenir Next"/>
          <w:spacing w:val="-1"/>
          <w:sz w:val="20"/>
          <w:szCs w:val="20"/>
        </w:rPr>
        <w:t>that</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application</w:t>
      </w:r>
      <w:r>
        <w:rPr>
          <w:rFonts w:ascii="Avenir Next" w:eastAsia="Avenir Next" w:hAnsi="Avenir Next" w:cs="Avenir Next"/>
          <w:sz w:val="20"/>
          <w:szCs w:val="20"/>
        </w:rPr>
        <w:t xml:space="preserve"> for </w:t>
      </w:r>
      <w:r>
        <w:rPr>
          <w:rFonts w:ascii="Avenir Next" w:eastAsia="Avenir Next" w:hAnsi="Avenir Next" w:cs="Avenir Next"/>
          <w:spacing w:val="-1"/>
          <w:sz w:val="20"/>
          <w:szCs w:val="20"/>
        </w:rPr>
        <w:t>review</w:t>
      </w:r>
      <w:r>
        <w:rPr>
          <w:rFonts w:ascii="Avenir Next" w:eastAsia="Avenir Next" w:hAnsi="Avenir Next" w:cs="Avenir Next"/>
          <w:spacing w:val="35"/>
          <w:sz w:val="20"/>
          <w:szCs w:val="20"/>
        </w:rPr>
        <w:t xml:space="preserve"> </w:t>
      </w:r>
      <w:r>
        <w:rPr>
          <w:rFonts w:ascii="Avenir Next" w:eastAsia="Avenir Next" w:hAnsi="Avenir Next" w:cs="Avenir Next"/>
          <w:sz w:val="20"/>
          <w:szCs w:val="20"/>
        </w:rPr>
        <w:t xml:space="preserve">should be dismissed on the </w:t>
      </w:r>
      <w:r>
        <w:rPr>
          <w:rFonts w:ascii="Avenir Next" w:eastAsia="Avenir Next" w:hAnsi="Avenir Next" w:cs="Avenir Next"/>
          <w:spacing w:val="-1"/>
          <w:sz w:val="20"/>
          <w:szCs w:val="20"/>
        </w:rPr>
        <w:t>grounds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that</w:t>
      </w:r>
      <w:r>
        <w:rPr>
          <w:rFonts w:ascii="Avenir Next" w:eastAsia="Avenir Next" w:hAnsi="Avenir Next" w:cs="Avenir Next"/>
          <w:sz w:val="20"/>
          <w:szCs w:val="20"/>
        </w:rPr>
        <w:t xml:space="preserve"> it is frivolous or </w:t>
      </w:r>
      <w:r>
        <w:rPr>
          <w:rFonts w:ascii="Avenir Next" w:eastAsia="Avenir Next" w:hAnsi="Avenir Next" w:cs="Avenir Next"/>
          <w:spacing w:val="-1"/>
          <w:sz w:val="20"/>
          <w:szCs w:val="20"/>
        </w:rPr>
        <w:t>vexatious.</w:t>
      </w:r>
      <w:r>
        <w:rPr>
          <w:rFonts w:ascii="Avenir Next" w:eastAsia="Avenir Next" w:hAnsi="Avenir Next" w:cs="Avenir Next"/>
          <w:spacing w:val="-11"/>
          <w:sz w:val="20"/>
          <w:szCs w:val="20"/>
        </w:rPr>
        <w:t xml:space="preserve"> </w:t>
      </w:r>
      <w:r>
        <w:rPr>
          <w:rFonts w:ascii="Avenir Next" w:eastAsia="Avenir Next" w:hAnsi="Avenir Next" w:cs="Avenir Next"/>
          <w:spacing w:val="-2"/>
          <w:sz w:val="20"/>
          <w:szCs w:val="20"/>
        </w:rPr>
        <w:t>Therefore,</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one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4"/>
          <w:sz w:val="20"/>
          <w:szCs w:val="20"/>
        </w:rPr>
        <w:t>Panel’s</w:t>
      </w:r>
    </w:p>
    <w:p w:rsidR="00D96B91" w:rsidRDefault="00C2656B">
      <w:pPr>
        <w:pStyle w:val="BodyText"/>
        <w:spacing w:line="228" w:lineRule="auto"/>
        <w:ind w:right="1313"/>
      </w:pPr>
      <w:r>
        <w:t xml:space="preserve">objectives in Phase 1 was to form a </w:t>
      </w:r>
      <w:r>
        <w:rPr>
          <w:spacing w:val="-1"/>
        </w:rPr>
        <w:t>preliminary</w:t>
      </w:r>
      <w:r>
        <w:t xml:space="preserve"> view on this issue and,</w:t>
      </w:r>
      <w:r>
        <w:rPr>
          <w:spacing w:val="-7"/>
        </w:rPr>
        <w:t xml:space="preserve"> </w:t>
      </w:r>
      <w:r>
        <w:t>if</w:t>
      </w:r>
      <w:r>
        <w:rPr>
          <w:spacing w:val="4"/>
        </w:rPr>
        <w:t xml:space="preserve"> </w:t>
      </w:r>
      <w:r>
        <w:rPr>
          <w:spacing w:val="-1"/>
        </w:rPr>
        <w:t>warranted,</w:t>
      </w:r>
      <w:r>
        <w:rPr>
          <w:spacing w:val="-6"/>
        </w:rPr>
        <w:t xml:space="preserve"> </w:t>
      </w:r>
      <w:r>
        <w:rPr>
          <w:spacing w:val="-1"/>
        </w:rPr>
        <w:t>gather</w:t>
      </w:r>
      <w:r>
        <w:t xml:space="preserve"> </w:t>
      </w:r>
      <w:r>
        <w:rPr>
          <w:spacing w:val="-1"/>
        </w:rPr>
        <w:t>information</w:t>
      </w:r>
      <w:r>
        <w:rPr>
          <w:spacing w:val="53"/>
        </w:rPr>
        <w:t xml:space="preserve"> </w:t>
      </w:r>
      <w:r>
        <w:t xml:space="preserve">needed to </w:t>
      </w:r>
      <w:r>
        <w:rPr>
          <w:spacing w:val="-1"/>
        </w:rPr>
        <w:t>proceed</w:t>
      </w:r>
      <w:r>
        <w:t xml:space="preserve"> with the </w:t>
      </w:r>
      <w:r>
        <w:rPr>
          <w:spacing w:val="-2"/>
        </w:rPr>
        <w:t>review.</w:t>
      </w:r>
      <w:r>
        <w:rPr>
          <w:spacing w:val="-10"/>
        </w:rPr>
        <w:t xml:space="preserve"> </w:t>
      </w:r>
      <w:r>
        <w:t xml:space="preserve">As </w:t>
      </w:r>
      <w:r>
        <w:rPr>
          <w:spacing w:val="-1"/>
        </w:rPr>
        <w:t>part</w:t>
      </w:r>
      <w:r>
        <w:t xml:space="preserve"> of</w:t>
      </w:r>
      <w:r>
        <w:rPr>
          <w:spacing w:val="4"/>
        </w:rPr>
        <w:t xml:space="preserve"> </w:t>
      </w:r>
      <w:r>
        <w:t>this phase,</w:t>
      </w:r>
      <w:r>
        <w:rPr>
          <w:spacing w:val="-6"/>
        </w:rPr>
        <w:t xml:space="preserve"> </w:t>
      </w:r>
      <w:r>
        <w:t xml:space="preserve">the </w:t>
      </w:r>
      <w:r>
        <w:rPr>
          <w:spacing w:val="-2"/>
        </w:rPr>
        <w:t>Panel:</w:t>
      </w:r>
    </w:p>
    <w:p w:rsidR="00D96B91" w:rsidRDefault="00C2656B">
      <w:pPr>
        <w:numPr>
          <w:ilvl w:val="0"/>
          <w:numId w:val="131"/>
        </w:numPr>
        <w:tabs>
          <w:tab w:val="left" w:pos="1531"/>
        </w:tabs>
        <w:spacing w:before="152" w:line="260" w:lineRule="exact"/>
        <w:ind w:right="1447" w:hanging="283"/>
        <w:rPr>
          <w:rFonts w:ascii="Avenir Next" w:eastAsia="Avenir Next" w:hAnsi="Avenir Next" w:cs="Avenir Next"/>
          <w:sz w:val="20"/>
          <w:szCs w:val="20"/>
        </w:rPr>
      </w:pPr>
      <w:r>
        <w:rPr>
          <w:rFonts w:ascii="Avenir Next" w:eastAsia="Avenir Next" w:hAnsi="Avenir Next" w:cs="Avenir Next"/>
          <w:b/>
          <w:bCs/>
          <w:sz w:val="20"/>
          <w:szCs w:val="20"/>
        </w:rPr>
        <w:t xml:space="preserve">Examined the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original price </w:t>
      </w:r>
      <w:r>
        <w:rPr>
          <w:rFonts w:ascii="Avenir Next" w:eastAsia="Avenir Next" w:hAnsi="Avenir Next" w:cs="Avenir Next"/>
          <w:b/>
          <w:bCs/>
          <w:spacing w:val="-1"/>
          <w:sz w:val="20"/>
          <w:szCs w:val="20"/>
        </w:rPr>
        <w:t>direction</w:t>
      </w:r>
      <w:r>
        <w:rPr>
          <w:rFonts w:ascii="Avenir Next" w:eastAsia="Avenir Next" w:hAnsi="Avenir Next" w:cs="Avenir Next"/>
          <w:b/>
          <w:bCs/>
          <w:sz w:val="20"/>
          <w:szCs w:val="20"/>
        </w:rPr>
        <w:t xml:space="preserve"> and</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letter</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application.</w:t>
      </w:r>
      <w:r>
        <w:rPr>
          <w:rFonts w:ascii="Avenir Next" w:eastAsia="Avenir Next" w:hAnsi="Avenir Next" w:cs="Avenir Next"/>
          <w:b/>
          <w:bCs/>
          <w:sz w:val="20"/>
          <w:szCs w:val="20"/>
        </w:rPr>
        <w:t xml:space="preserve"> </w:t>
      </w:r>
      <w:r>
        <w:rPr>
          <w:rFonts w:ascii="Avenir Next" w:eastAsia="Avenir Next" w:hAnsi="Avenir Next" w:cs="Avenir Next"/>
          <w:sz w:val="20"/>
          <w:szCs w:val="20"/>
        </w:rPr>
        <w:t>It formed the</w:t>
      </w:r>
      <w:r>
        <w:rPr>
          <w:rFonts w:ascii="Avenir Next" w:eastAsia="Avenir Next" w:hAnsi="Avenir Next" w:cs="Avenir Next"/>
          <w:spacing w:val="43"/>
          <w:sz w:val="20"/>
          <w:szCs w:val="20"/>
        </w:rPr>
        <w:t xml:space="preserve"> </w:t>
      </w:r>
      <w:r>
        <w:rPr>
          <w:rFonts w:ascii="Avenir Next" w:eastAsia="Avenir Next" w:hAnsi="Avenir Next" w:cs="Avenir Next"/>
          <w:spacing w:val="-1"/>
          <w:sz w:val="20"/>
          <w:szCs w:val="20"/>
        </w:rPr>
        <w:t>preliminary</w:t>
      </w:r>
      <w:r>
        <w:rPr>
          <w:rFonts w:ascii="Avenir Next" w:eastAsia="Avenir Next" w:hAnsi="Avenir Next" w:cs="Avenir Next"/>
          <w:sz w:val="20"/>
          <w:szCs w:val="20"/>
        </w:rPr>
        <w:t xml:space="preserve"> view </w:t>
      </w:r>
      <w:r>
        <w:rPr>
          <w:rFonts w:ascii="Avenir Next" w:eastAsia="Avenir Next" w:hAnsi="Avenir Next" w:cs="Avenir Next"/>
          <w:spacing w:val="-1"/>
          <w:sz w:val="20"/>
          <w:szCs w:val="20"/>
        </w:rPr>
        <w:t>that</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application</w:t>
      </w:r>
      <w:r>
        <w:rPr>
          <w:rFonts w:ascii="Avenir Next" w:eastAsia="Avenir Next" w:hAnsi="Avenir Next" w:cs="Avenir Next"/>
          <w:sz w:val="20"/>
          <w:szCs w:val="20"/>
        </w:rPr>
        <w:t xml:space="preserve"> was </w:t>
      </w:r>
      <w:r>
        <w:rPr>
          <w:rFonts w:ascii="Avenir Next" w:eastAsia="Avenir Next" w:hAnsi="Avenir Next" w:cs="Avenir Next"/>
          <w:b/>
          <w:bCs/>
          <w:sz w:val="20"/>
          <w:szCs w:val="20"/>
        </w:rPr>
        <w:t xml:space="preserve">not </w:t>
      </w:r>
      <w:r>
        <w:rPr>
          <w:rFonts w:ascii="Avenir Next" w:eastAsia="Avenir Next" w:hAnsi="Avenir Next" w:cs="Avenir Next"/>
          <w:sz w:val="20"/>
          <w:szCs w:val="20"/>
        </w:rPr>
        <w:t xml:space="preserve">frivolous or </w:t>
      </w:r>
      <w:r>
        <w:rPr>
          <w:rFonts w:ascii="Avenir Next" w:eastAsia="Avenir Next" w:hAnsi="Avenir Next" w:cs="Avenir Next"/>
          <w:spacing w:val="-1"/>
          <w:sz w:val="20"/>
          <w:szCs w:val="20"/>
        </w:rPr>
        <w:t>vexatious.</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It </w:t>
      </w:r>
      <w:r>
        <w:rPr>
          <w:rFonts w:ascii="Avenir Next" w:eastAsia="Avenir Next" w:hAnsi="Avenir Next" w:cs="Avenir Next"/>
          <w:spacing w:val="-1"/>
          <w:sz w:val="20"/>
          <w:szCs w:val="20"/>
        </w:rPr>
        <w:t>considered</w:t>
      </w:r>
      <w:r>
        <w:rPr>
          <w:rFonts w:ascii="Avenir Next" w:eastAsia="Avenir Next" w:hAnsi="Avenir Next" w:cs="Avenir Next"/>
          <w:sz w:val="20"/>
          <w:szCs w:val="20"/>
        </w:rPr>
        <w:t xml:space="preserve"> the </w:t>
      </w:r>
      <w:r>
        <w:rPr>
          <w:rFonts w:ascii="Avenir Next" w:eastAsia="Avenir Next" w:hAnsi="Avenir Next" w:cs="Avenir Next"/>
          <w:spacing w:val="-1"/>
          <w:sz w:val="20"/>
          <w:szCs w:val="20"/>
        </w:rPr>
        <w:t>matters</w:t>
      </w:r>
      <w:r>
        <w:rPr>
          <w:rFonts w:ascii="Avenir Next" w:eastAsia="Avenir Next" w:hAnsi="Avenir Next" w:cs="Avenir Next"/>
          <w:spacing w:val="65"/>
          <w:sz w:val="20"/>
          <w:szCs w:val="20"/>
        </w:rPr>
        <w:t xml:space="preserve"> </w:t>
      </w:r>
      <w:r>
        <w:rPr>
          <w:rFonts w:ascii="Avenir Next" w:eastAsia="Avenir Next" w:hAnsi="Avenir Next" w:cs="Avenir Next"/>
          <w:spacing w:val="-1"/>
          <w:sz w:val="20"/>
          <w:szCs w:val="20"/>
        </w:rPr>
        <w:t>raised</w:t>
      </w:r>
      <w:r>
        <w:rPr>
          <w:rFonts w:ascii="Avenir Next" w:eastAsia="Avenir Next" w:hAnsi="Avenir Next" w:cs="Avenir Next"/>
          <w:sz w:val="20"/>
          <w:szCs w:val="20"/>
        </w:rPr>
        <w:t xml:space="preserve"> in</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letter</w:t>
      </w:r>
      <w:r>
        <w:rPr>
          <w:rFonts w:ascii="Avenir Next" w:eastAsia="Avenir Next" w:hAnsi="Avenir Next" w:cs="Avenir Next"/>
          <w:sz w:val="20"/>
          <w:szCs w:val="20"/>
        </w:rPr>
        <w:t xml:space="preserve"> of</w:t>
      </w:r>
      <w:r>
        <w:rPr>
          <w:rFonts w:ascii="Avenir Next" w:eastAsia="Avenir Next" w:hAnsi="Avenir Next" w:cs="Avenir Next"/>
          <w:spacing w:val="4"/>
          <w:sz w:val="20"/>
          <w:szCs w:val="20"/>
        </w:rPr>
        <w:t xml:space="preserve"> </w:t>
      </w:r>
      <w:r>
        <w:rPr>
          <w:rFonts w:ascii="Avenir Next" w:eastAsia="Avenir Next" w:hAnsi="Avenir Next" w:cs="Avenir Next"/>
          <w:spacing w:val="-1"/>
          <w:sz w:val="20"/>
          <w:szCs w:val="20"/>
        </w:rPr>
        <w:t>application</w:t>
      </w:r>
      <w:r>
        <w:rPr>
          <w:rFonts w:ascii="Avenir Next" w:eastAsia="Avenir Next" w:hAnsi="Avenir Next" w:cs="Avenir Next"/>
          <w:sz w:val="20"/>
          <w:szCs w:val="20"/>
        </w:rPr>
        <w:t xml:space="preserve"> could potentially have a </w:t>
      </w:r>
      <w:r>
        <w:rPr>
          <w:rFonts w:ascii="Avenir Next" w:eastAsia="Avenir Next" w:hAnsi="Avenir Next" w:cs="Avenir Next"/>
          <w:spacing w:val="-1"/>
          <w:sz w:val="20"/>
          <w:szCs w:val="20"/>
        </w:rPr>
        <w:t>material</w:t>
      </w:r>
      <w:r>
        <w:rPr>
          <w:rFonts w:ascii="Avenir Next" w:eastAsia="Avenir Next" w:hAnsi="Avenir Next" w:cs="Avenir Next"/>
          <w:sz w:val="20"/>
          <w:szCs w:val="20"/>
        </w:rPr>
        <w:t xml:space="preserve"> impact on</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pacing w:val="45"/>
          <w:sz w:val="20"/>
          <w:szCs w:val="20"/>
        </w:rPr>
        <w:t xml:space="preserve"> </w:t>
      </w:r>
      <w:r>
        <w:rPr>
          <w:rFonts w:ascii="Avenir Next" w:eastAsia="Avenir Next" w:hAnsi="Avenir Next" w:cs="Avenir Next"/>
          <w:sz w:val="20"/>
          <w:szCs w:val="20"/>
        </w:rPr>
        <w:t>business,</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and </w:t>
      </w:r>
      <w:r>
        <w:rPr>
          <w:rFonts w:ascii="Avenir Next" w:eastAsia="Avenir Next" w:hAnsi="Avenir Next" w:cs="Avenir Next"/>
          <w:spacing w:val="-1"/>
          <w:sz w:val="20"/>
          <w:szCs w:val="20"/>
        </w:rPr>
        <w:t>were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therefore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worthy</w:t>
      </w:r>
      <w:r>
        <w:rPr>
          <w:rFonts w:ascii="Avenir Next" w:eastAsia="Avenir Next" w:hAnsi="Avenir Next" w:cs="Avenir Next"/>
          <w:sz w:val="20"/>
          <w:szCs w:val="20"/>
        </w:rPr>
        <w:t xml:space="preserve"> of</w:t>
      </w:r>
      <w:r>
        <w:rPr>
          <w:rFonts w:ascii="Avenir Next" w:eastAsia="Avenir Next" w:hAnsi="Avenir Next" w:cs="Avenir Next"/>
          <w:spacing w:val="4"/>
          <w:sz w:val="20"/>
          <w:szCs w:val="20"/>
        </w:rPr>
        <w:t xml:space="preserve"> </w:t>
      </w:r>
      <w:r>
        <w:rPr>
          <w:rFonts w:ascii="Avenir Next" w:eastAsia="Avenir Next" w:hAnsi="Avenir Next" w:cs="Avenir Next"/>
          <w:spacing w:val="-1"/>
          <w:sz w:val="20"/>
          <w:szCs w:val="20"/>
        </w:rPr>
        <w:t>further</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investigation.</w:t>
      </w:r>
    </w:p>
    <w:p w:rsidR="00D96B91" w:rsidRDefault="00D96B91">
      <w:pPr>
        <w:spacing w:line="260" w:lineRule="exact"/>
        <w:rPr>
          <w:rFonts w:ascii="Avenir Next" w:eastAsia="Avenir Next" w:hAnsi="Avenir Next" w:cs="Avenir Next"/>
          <w:sz w:val="20"/>
          <w:szCs w:val="20"/>
        </w:rPr>
        <w:sectPr w:rsidR="00D96B91">
          <w:footerReference w:type="even" r:id="rId38"/>
          <w:footerReference w:type="default" r:id="rId39"/>
          <w:pgSz w:w="11910" w:h="16840"/>
          <w:pgMar w:top="1260" w:right="0" w:bottom="1020" w:left="0" w:header="0" w:footer="829" w:gutter="0"/>
          <w:pgNumType w:start="15"/>
          <w:cols w:space="720"/>
        </w:sectPr>
      </w:pPr>
    </w:p>
    <w:p w:rsidR="00D96B91" w:rsidRDefault="00C2656B">
      <w:pPr>
        <w:pStyle w:val="BodyText"/>
        <w:numPr>
          <w:ilvl w:val="0"/>
          <w:numId w:val="131"/>
        </w:numPr>
        <w:tabs>
          <w:tab w:val="left" w:pos="1531"/>
        </w:tabs>
        <w:spacing w:before="21" w:line="260" w:lineRule="exact"/>
        <w:ind w:right="1302" w:hanging="283"/>
      </w:pPr>
      <w:r>
        <w:rPr>
          <w:b/>
        </w:rPr>
        <w:t xml:space="preserve">Developed a </w:t>
      </w:r>
      <w:r>
        <w:rPr>
          <w:b/>
          <w:spacing w:val="-1"/>
        </w:rPr>
        <w:t>charter</w:t>
      </w:r>
      <w:r>
        <w:rPr>
          <w:b/>
        </w:rPr>
        <w:t xml:space="preserve"> </w:t>
      </w:r>
      <w:r>
        <w:t xml:space="preserve">to </w:t>
      </w:r>
      <w:r>
        <w:rPr>
          <w:spacing w:val="-1"/>
        </w:rPr>
        <w:t>articulate</w:t>
      </w:r>
      <w:r>
        <w:t xml:space="preserve"> how it intends to conduct itself</w:t>
      </w:r>
      <w:r>
        <w:rPr>
          <w:spacing w:val="4"/>
        </w:rPr>
        <w:t xml:space="preserve"> </w:t>
      </w:r>
      <w:r>
        <w:t xml:space="preserve">during the </w:t>
      </w:r>
      <w:r>
        <w:rPr>
          <w:spacing w:val="-2"/>
        </w:rPr>
        <w:t>review.</w:t>
      </w:r>
      <w:r>
        <w:rPr>
          <w:spacing w:val="-11"/>
        </w:rPr>
        <w:t xml:space="preserve"> </w:t>
      </w:r>
      <w:r>
        <w:rPr>
          <w:spacing w:val="-1"/>
        </w:rPr>
        <w:t>This</w:t>
      </w:r>
      <w:r>
        <w:t xml:space="preserve"> </w:t>
      </w:r>
      <w:r>
        <w:rPr>
          <w:spacing w:val="-1"/>
        </w:rPr>
        <w:t>charter</w:t>
      </w:r>
      <w:r>
        <w:t xml:space="preserve"> (see</w:t>
      </w:r>
      <w:r>
        <w:rPr>
          <w:spacing w:val="31"/>
        </w:rPr>
        <w:t xml:space="preserve"> </w:t>
      </w:r>
      <w:r>
        <w:t>Appendix</w:t>
      </w:r>
      <w:r w:rsidR="004C4403">
        <w:rPr>
          <w:rFonts w:hint="cs"/>
        </w:rPr>
        <w:t> </w:t>
      </w:r>
      <w:r>
        <w:t>2),</w:t>
      </w:r>
      <w:r>
        <w:rPr>
          <w:spacing w:val="-7"/>
        </w:rPr>
        <w:t xml:space="preserve"> </w:t>
      </w:r>
      <w:r>
        <w:t>covers</w:t>
      </w:r>
      <w:r>
        <w:rPr>
          <w:spacing w:val="-1"/>
        </w:rPr>
        <w:t xml:space="preserve"> </w:t>
      </w:r>
      <w:r>
        <w:rPr>
          <w:spacing w:val="-2"/>
        </w:rPr>
        <w:t>areas</w:t>
      </w:r>
      <w:r>
        <w:t xml:space="preserve"> such</w:t>
      </w:r>
      <w:r>
        <w:rPr>
          <w:spacing w:val="-1"/>
        </w:rPr>
        <w:t xml:space="preserve"> </w:t>
      </w:r>
      <w:r>
        <w:t>as</w:t>
      </w:r>
      <w:r>
        <w:rPr>
          <w:spacing w:val="-1"/>
        </w:rPr>
        <w:t xml:space="preserve"> </w:t>
      </w:r>
      <w:r>
        <w:t>independence,</w:t>
      </w:r>
      <w:r>
        <w:rPr>
          <w:spacing w:val="-7"/>
        </w:rPr>
        <w:t xml:space="preserve"> </w:t>
      </w:r>
      <w:r>
        <w:t>openness,</w:t>
      </w:r>
      <w:r>
        <w:rPr>
          <w:spacing w:val="-7"/>
        </w:rPr>
        <w:t xml:space="preserve"> </w:t>
      </w:r>
      <w:r>
        <w:rPr>
          <w:spacing w:val="-1"/>
        </w:rPr>
        <w:t>accessibility,</w:t>
      </w:r>
      <w:r>
        <w:rPr>
          <w:spacing w:val="-7"/>
        </w:rPr>
        <w:t xml:space="preserve"> </w:t>
      </w:r>
      <w:r>
        <w:rPr>
          <w:spacing w:val="-1"/>
        </w:rPr>
        <w:t>pragmatism,</w:t>
      </w:r>
      <w:r>
        <w:rPr>
          <w:spacing w:val="-6"/>
        </w:rPr>
        <w:t xml:space="preserve"> </w:t>
      </w:r>
      <w:r>
        <w:rPr>
          <w:spacing w:val="-1"/>
        </w:rPr>
        <w:t>efficiency</w:t>
      </w:r>
      <w:r>
        <w:rPr>
          <w:spacing w:val="45"/>
          <w:w w:val="99"/>
        </w:rPr>
        <w:t xml:space="preserve"> </w:t>
      </w:r>
      <w:r>
        <w:t>and timeliness.</w:t>
      </w:r>
    </w:p>
    <w:p w:rsidR="00D96B91" w:rsidRDefault="00C2656B">
      <w:pPr>
        <w:pStyle w:val="BodyText"/>
        <w:numPr>
          <w:ilvl w:val="0"/>
          <w:numId w:val="131"/>
        </w:numPr>
        <w:tabs>
          <w:tab w:val="left" w:pos="1531"/>
        </w:tabs>
        <w:spacing w:before="85" w:line="260" w:lineRule="exact"/>
        <w:ind w:right="1289" w:hanging="283"/>
      </w:pPr>
      <w:r>
        <w:rPr>
          <w:rFonts w:cs="Avenir Next"/>
          <w:b/>
          <w:bCs/>
          <w:spacing w:val="-1"/>
        </w:rPr>
        <w:t>Released</w:t>
      </w:r>
      <w:r>
        <w:rPr>
          <w:rFonts w:cs="Avenir Next"/>
          <w:b/>
          <w:bCs/>
        </w:rPr>
        <w:t xml:space="preserve"> an </w:t>
      </w:r>
      <w:r>
        <w:rPr>
          <w:rFonts w:cs="Avenir Next"/>
          <w:b/>
          <w:bCs/>
          <w:spacing w:val="-1"/>
        </w:rPr>
        <w:t>approach</w:t>
      </w:r>
      <w:r>
        <w:rPr>
          <w:rFonts w:cs="Avenir Next"/>
          <w:b/>
          <w:bCs/>
        </w:rPr>
        <w:t xml:space="preserve"> paper in</w:t>
      </w:r>
      <w:r>
        <w:rPr>
          <w:rFonts w:cs="Avenir Next"/>
          <w:b/>
          <w:bCs/>
          <w:spacing w:val="-3"/>
        </w:rPr>
        <w:t xml:space="preserve"> </w:t>
      </w:r>
      <w:r>
        <w:rPr>
          <w:rFonts w:cs="Avenir Next"/>
          <w:b/>
          <w:bCs/>
        </w:rPr>
        <w:t xml:space="preserve">June 2014 </w:t>
      </w:r>
      <w:r>
        <w:rPr>
          <w:rFonts w:cs="Avenir Next"/>
          <w:spacing w:val="-1"/>
        </w:rPr>
        <w:t>that</w:t>
      </w:r>
      <w:r>
        <w:rPr>
          <w:rFonts w:cs="Avenir Next"/>
        </w:rPr>
        <w:t xml:space="preserve"> </w:t>
      </w:r>
      <w:r>
        <w:rPr>
          <w:rFonts w:cs="Avenir Next"/>
          <w:spacing w:val="-1"/>
        </w:rPr>
        <w:t>explained</w:t>
      </w:r>
      <w:r>
        <w:rPr>
          <w:rFonts w:cs="Avenir Next"/>
        </w:rPr>
        <w:t xml:space="preserve"> the </w:t>
      </w:r>
      <w:r>
        <w:rPr>
          <w:rFonts w:cs="Avenir Next"/>
          <w:spacing w:val="-1"/>
        </w:rPr>
        <w:t>background</w:t>
      </w:r>
      <w:r>
        <w:rPr>
          <w:rFonts w:cs="Avenir Next"/>
        </w:rPr>
        <w:t xml:space="preserve"> to the </w:t>
      </w:r>
      <w:r>
        <w:rPr>
          <w:rFonts w:cs="Avenir Next"/>
          <w:spacing w:val="-2"/>
        </w:rPr>
        <w:t>review,</w:t>
      </w:r>
      <w:r>
        <w:rPr>
          <w:rFonts w:cs="Avenir Next"/>
          <w:spacing w:val="-6"/>
        </w:rPr>
        <w:t xml:space="preserve"> </w:t>
      </w:r>
      <w:r>
        <w:rPr>
          <w:rFonts w:cs="Avenir Next"/>
        </w:rPr>
        <w:t>outlined</w:t>
      </w:r>
      <w:r>
        <w:rPr>
          <w:rFonts w:cs="Avenir Next"/>
          <w:spacing w:val="49"/>
        </w:rPr>
        <w:t xml:space="preserve"> </w:t>
      </w:r>
      <w:r>
        <w:rPr>
          <w:rFonts w:cs="Avenir Next"/>
        </w:rPr>
        <w:t xml:space="preserve">the above </w:t>
      </w:r>
      <w:r>
        <w:rPr>
          <w:rFonts w:cs="Avenir Next"/>
          <w:spacing w:val="-1"/>
        </w:rPr>
        <w:t>preliminary</w:t>
      </w:r>
      <w:r>
        <w:rPr>
          <w:rFonts w:cs="Avenir Next"/>
        </w:rPr>
        <w:t xml:space="preserve"> </w:t>
      </w:r>
      <w:r>
        <w:rPr>
          <w:rFonts w:cs="Avenir Next"/>
          <w:spacing w:val="-2"/>
        </w:rPr>
        <w:t>view,</w:t>
      </w:r>
      <w:r>
        <w:rPr>
          <w:rFonts w:cs="Avenir Next"/>
          <w:spacing w:val="-6"/>
        </w:rPr>
        <w:t xml:space="preserve"> </w:t>
      </w:r>
      <w:r>
        <w:rPr>
          <w:rFonts w:cs="Avenir Next"/>
        </w:rPr>
        <w:t xml:space="preserve">and invited submissions </w:t>
      </w:r>
      <w:r>
        <w:rPr>
          <w:rFonts w:cs="Avenir Next"/>
          <w:spacing w:val="-1"/>
        </w:rPr>
        <w:t>from</w:t>
      </w:r>
      <w:r>
        <w:rPr>
          <w:rFonts w:cs="Avenir Next"/>
          <w:spacing w:val="-4"/>
        </w:rPr>
        <w:t xml:space="preserve"> </w:t>
      </w:r>
      <w:r>
        <w:rPr>
          <w:rFonts w:cs="Avenir Next"/>
          <w:spacing w:val="-2"/>
        </w:rPr>
        <w:t>ACTEW</w:t>
      </w:r>
      <w:r>
        <w:rPr>
          <w:rFonts w:cs="Avenir Next"/>
          <w:spacing w:val="-3"/>
        </w:rPr>
        <w:t xml:space="preserve"> </w:t>
      </w:r>
      <w:r>
        <w:rPr>
          <w:rFonts w:cs="Avenir Next"/>
        </w:rPr>
        <w:t xml:space="preserve">and other </w:t>
      </w:r>
      <w:r>
        <w:rPr>
          <w:rFonts w:cs="Avenir Next"/>
          <w:spacing w:val="-1"/>
        </w:rPr>
        <w:t>stakeholders</w:t>
      </w:r>
      <w:r>
        <w:rPr>
          <w:rFonts w:cs="Avenir Next"/>
        </w:rPr>
        <w:t xml:space="preserve"> who had</w:t>
      </w:r>
      <w:r>
        <w:rPr>
          <w:rFonts w:cs="Avenir Next"/>
          <w:spacing w:val="43"/>
        </w:rPr>
        <w:t xml:space="preserve"> </w:t>
      </w:r>
      <w:r>
        <w:rPr>
          <w:rFonts w:cs="Avenir Next"/>
        </w:rPr>
        <w:t xml:space="preserve">made submissions to the original price </w:t>
      </w:r>
      <w:r>
        <w:rPr>
          <w:rFonts w:cs="Avenir Next"/>
          <w:spacing w:val="-1"/>
        </w:rPr>
        <w:t>investigation</w:t>
      </w:r>
      <w:r>
        <w:rPr>
          <w:rFonts w:cs="Avenir Next"/>
        </w:rPr>
        <w:t xml:space="preserve"> and had informed the ICRC of</w:t>
      </w:r>
      <w:r>
        <w:rPr>
          <w:rFonts w:cs="Avenir Next"/>
          <w:spacing w:val="4"/>
        </w:rPr>
        <w:t xml:space="preserve"> </w:t>
      </w:r>
      <w:r>
        <w:rPr>
          <w:rFonts w:cs="Avenir Next"/>
        </w:rPr>
        <w:t>their intention to</w:t>
      </w:r>
      <w:r>
        <w:rPr>
          <w:rFonts w:cs="Avenir Next"/>
          <w:spacing w:val="21"/>
        </w:rPr>
        <w:t xml:space="preserve"> </w:t>
      </w:r>
      <w:r>
        <w:rPr>
          <w:spacing w:val="-1"/>
        </w:rPr>
        <w:t>provide</w:t>
      </w:r>
      <w:r>
        <w:t xml:space="preserve"> input to the </w:t>
      </w:r>
      <w:r>
        <w:rPr>
          <w:spacing w:val="-1"/>
        </w:rPr>
        <w:t>review</w:t>
      </w:r>
      <w:r>
        <w:t xml:space="preserve"> once</w:t>
      </w:r>
      <w:r>
        <w:rPr>
          <w:spacing w:val="-4"/>
        </w:rPr>
        <w:t xml:space="preserve"> </w:t>
      </w:r>
      <w:r>
        <w:rPr>
          <w:spacing w:val="-2"/>
        </w:rPr>
        <w:t>ACTEW’s</w:t>
      </w:r>
      <w:r>
        <w:t xml:space="preserve"> </w:t>
      </w:r>
      <w:r>
        <w:rPr>
          <w:spacing w:val="-1"/>
        </w:rPr>
        <w:t>letter</w:t>
      </w:r>
      <w:r>
        <w:t xml:space="preserve"> of</w:t>
      </w:r>
      <w:r>
        <w:rPr>
          <w:spacing w:val="4"/>
        </w:rPr>
        <w:t xml:space="preserve"> </w:t>
      </w:r>
      <w:r>
        <w:rPr>
          <w:spacing w:val="-1"/>
        </w:rPr>
        <w:t>application</w:t>
      </w:r>
      <w:r>
        <w:t xml:space="preserve"> was made.</w:t>
      </w:r>
      <w:r>
        <w:rPr>
          <w:position w:val="7"/>
          <w:sz w:val="11"/>
          <w:szCs w:val="11"/>
        </w:rPr>
        <w:t>6</w:t>
      </w:r>
      <w:r>
        <w:rPr>
          <w:spacing w:val="17"/>
          <w:position w:val="7"/>
          <w:sz w:val="11"/>
          <w:szCs w:val="11"/>
        </w:rPr>
        <w:t xml:space="preserve"> </w:t>
      </w:r>
      <w:r>
        <w:rPr>
          <w:spacing w:val="-2"/>
        </w:rPr>
        <w:t>The</w:t>
      </w:r>
      <w:r>
        <w:t xml:space="preserve"> </w:t>
      </w:r>
      <w:r>
        <w:rPr>
          <w:spacing w:val="-3"/>
        </w:rPr>
        <w:t>Panel</w:t>
      </w:r>
      <w:r>
        <w:t xml:space="preserve"> </w:t>
      </w:r>
      <w:r>
        <w:rPr>
          <w:spacing w:val="-1"/>
        </w:rPr>
        <w:t>received</w:t>
      </w:r>
      <w:r>
        <w:t xml:space="preserve"> five</w:t>
      </w:r>
      <w:r>
        <w:rPr>
          <w:spacing w:val="55"/>
          <w:w w:val="99"/>
        </w:rPr>
        <w:t xml:space="preserve"> </w:t>
      </w:r>
      <w:r>
        <w:t xml:space="preserve">submissions in </w:t>
      </w:r>
      <w:r>
        <w:rPr>
          <w:spacing w:val="-1"/>
        </w:rPr>
        <w:t>response</w:t>
      </w:r>
      <w:r>
        <w:t xml:space="preserve"> to this </w:t>
      </w:r>
      <w:r>
        <w:rPr>
          <w:spacing w:val="-2"/>
        </w:rPr>
        <w:t>paper.</w:t>
      </w:r>
    </w:p>
    <w:p w:rsidR="00D96B91" w:rsidRDefault="00C2656B">
      <w:pPr>
        <w:pStyle w:val="BodyText"/>
        <w:numPr>
          <w:ilvl w:val="0"/>
          <w:numId w:val="131"/>
        </w:numPr>
        <w:tabs>
          <w:tab w:val="left" w:pos="1531"/>
        </w:tabs>
        <w:spacing w:before="85" w:line="260" w:lineRule="exact"/>
        <w:ind w:right="1288" w:hanging="283"/>
      </w:pPr>
      <w:r>
        <w:rPr>
          <w:rFonts w:cs="Avenir Next"/>
          <w:b/>
          <w:bCs/>
        </w:rPr>
        <w:t xml:space="preserve">Held a </w:t>
      </w:r>
      <w:r>
        <w:rPr>
          <w:rFonts w:cs="Avenir Next"/>
          <w:b/>
          <w:bCs/>
          <w:spacing w:val="-1"/>
        </w:rPr>
        <w:t>directions</w:t>
      </w:r>
      <w:r>
        <w:rPr>
          <w:rFonts w:cs="Avenir Next"/>
          <w:b/>
          <w:bCs/>
        </w:rPr>
        <w:t xml:space="preserve"> </w:t>
      </w:r>
      <w:r>
        <w:rPr>
          <w:rFonts w:cs="Avenir Next"/>
          <w:b/>
          <w:bCs/>
          <w:spacing w:val="-1"/>
        </w:rPr>
        <w:t>hearing</w:t>
      </w:r>
      <w:r>
        <w:rPr>
          <w:rFonts w:cs="Avenir Next"/>
          <w:b/>
          <w:bCs/>
        </w:rPr>
        <w:t xml:space="preserve"> in </w:t>
      </w:r>
      <w:r>
        <w:rPr>
          <w:rFonts w:cs="Avenir Next"/>
          <w:b/>
          <w:bCs/>
          <w:spacing w:val="-1"/>
        </w:rPr>
        <w:t>Canberra</w:t>
      </w:r>
      <w:r>
        <w:rPr>
          <w:rFonts w:cs="Avenir Next"/>
          <w:b/>
          <w:bCs/>
        </w:rPr>
        <w:t xml:space="preserve"> on 25</w:t>
      </w:r>
      <w:r>
        <w:rPr>
          <w:rFonts w:cs="Avenir Next"/>
          <w:b/>
          <w:bCs/>
          <w:spacing w:val="-3"/>
        </w:rPr>
        <w:t xml:space="preserve"> </w:t>
      </w:r>
      <w:r>
        <w:rPr>
          <w:rFonts w:cs="Avenir Next"/>
          <w:b/>
          <w:bCs/>
        </w:rPr>
        <w:t xml:space="preserve">July 2014 </w:t>
      </w:r>
      <w:r>
        <w:t xml:space="preserve">to </w:t>
      </w:r>
      <w:r>
        <w:rPr>
          <w:spacing w:val="-1"/>
        </w:rPr>
        <w:t>respond</w:t>
      </w:r>
      <w:r>
        <w:t xml:space="preserve"> to these submissions.</w:t>
      </w:r>
      <w:r>
        <w:rPr>
          <w:spacing w:val="-10"/>
        </w:rPr>
        <w:t xml:space="preserve"> </w:t>
      </w:r>
      <w:r>
        <w:t>As no</w:t>
      </w:r>
      <w:r>
        <w:rPr>
          <w:spacing w:val="31"/>
        </w:rPr>
        <w:t xml:space="preserve"> </w:t>
      </w:r>
      <w:r>
        <w:rPr>
          <w:rFonts w:cs="Avenir Next"/>
        </w:rPr>
        <w:t xml:space="preserve">submissions </w:t>
      </w:r>
      <w:r>
        <w:rPr>
          <w:rFonts w:cs="Avenir Next"/>
          <w:spacing w:val="-1"/>
        </w:rPr>
        <w:t>disagreed</w:t>
      </w:r>
      <w:r>
        <w:rPr>
          <w:rFonts w:cs="Avenir Next"/>
        </w:rPr>
        <w:t xml:space="preserve"> with its </w:t>
      </w:r>
      <w:r>
        <w:rPr>
          <w:rFonts w:cs="Avenir Next"/>
          <w:spacing w:val="-1"/>
        </w:rPr>
        <w:t>preliminary</w:t>
      </w:r>
      <w:r>
        <w:rPr>
          <w:rFonts w:cs="Avenir Next"/>
        </w:rPr>
        <w:t xml:space="preserve"> position,</w:t>
      </w:r>
      <w:r>
        <w:rPr>
          <w:rFonts w:cs="Avenir Next"/>
          <w:spacing w:val="-6"/>
        </w:rPr>
        <w:t xml:space="preserve"> </w:t>
      </w:r>
      <w:r>
        <w:rPr>
          <w:rFonts w:cs="Avenir Next"/>
        </w:rPr>
        <w:t xml:space="preserve">the </w:t>
      </w:r>
      <w:r>
        <w:rPr>
          <w:rFonts w:cs="Avenir Next"/>
          <w:spacing w:val="-3"/>
        </w:rPr>
        <w:t>Panel</w:t>
      </w:r>
      <w:r>
        <w:rPr>
          <w:rFonts w:cs="Avenir Next"/>
        </w:rPr>
        <w:t xml:space="preserve"> concluded </w:t>
      </w:r>
      <w:r>
        <w:rPr>
          <w:rFonts w:cs="Avenir Next"/>
          <w:spacing w:val="-1"/>
        </w:rPr>
        <w:t>that</w:t>
      </w:r>
      <w:r>
        <w:rPr>
          <w:rFonts w:cs="Avenir Next"/>
          <w:spacing w:val="-4"/>
        </w:rPr>
        <w:t xml:space="preserve"> </w:t>
      </w:r>
      <w:r>
        <w:rPr>
          <w:rFonts w:cs="Avenir Next"/>
          <w:spacing w:val="-2"/>
        </w:rPr>
        <w:t>ACTEW’s</w:t>
      </w:r>
      <w:r>
        <w:rPr>
          <w:rFonts w:cs="Avenir Next"/>
        </w:rPr>
        <w:t xml:space="preserve"> </w:t>
      </w:r>
      <w:r>
        <w:rPr>
          <w:rFonts w:cs="Avenir Next"/>
          <w:spacing w:val="-1"/>
        </w:rPr>
        <w:t>application</w:t>
      </w:r>
      <w:r>
        <w:rPr>
          <w:rFonts w:cs="Avenir Next"/>
          <w:spacing w:val="51"/>
        </w:rPr>
        <w:t xml:space="preserve"> </w:t>
      </w:r>
      <w:r>
        <w:t xml:space="preserve">was not frivolous or </w:t>
      </w:r>
      <w:r>
        <w:rPr>
          <w:spacing w:val="-1"/>
        </w:rPr>
        <w:t>vexatious,</w:t>
      </w:r>
      <w:r>
        <w:rPr>
          <w:spacing w:val="-6"/>
        </w:rPr>
        <w:t xml:space="preserve"> </w:t>
      </w:r>
      <w:r>
        <w:t xml:space="preserve">and decided to </w:t>
      </w:r>
      <w:r>
        <w:rPr>
          <w:spacing w:val="-1"/>
        </w:rPr>
        <w:t>proceed</w:t>
      </w:r>
      <w:r>
        <w:t xml:space="preserve"> with the </w:t>
      </w:r>
      <w:r>
        <w:rPr>
          <w:spacing w:val="-2"/>
        </w:rPr>
        <w:t>review.</w:t>
      </w:r>
      <w:r>
        <w:rPr>
          <w:spacing w:val="-6"/>
        </w:rPr>
        <w:t xml:space="preserve"> </w:t>
      </w:r>
      <w:r>
        <w:t xml:space="preserve">It </w:t>
      </w:r>
      <w:r>
        <w:rPr>
          <w:spacing w:val="-1"/>
        </w:rPr>
        <w:t>directed</w:t>
      </w:r>
      <w:r>
        <w:rPr>
          <w:spacing w:val="-4"/>
        </w:rPr>
        <w:t xml:space="preserve"> </w:t>
      </w:r>
      <w:r>
        <w:rPr>
          <w:spacing w:val="-2"/>
        </w:rPr>
        <w:t>ACTEW</w:t>
      </w:r>
      <w:r>
        <w:rPr>
          <w:spacing w:val="-3"/>
        </w:rPr>
        <w:t xml:space="preserve"> </w:t>
      </w:r>
      <w:r>
        <w:t>to submit</w:t>
      </w:r>
      <w:r>
        <w:rPr>
          <w:spacing w:val="39"/>
        </w:rPr>
        <w:t xml:space="preserve"> </w:t>
      </w:r>
      <w:r>
        <w:t xml:space="preserve">a </w:t>
      </w:r>
      <w:r>
        <w:rPr>
          <w:spacing w:val="-1"/>
        </w:rPr>
        <w:t>Statement</w:t>
      </w:r>
      <w:r>
        <w:t xml:space="preserve"> of</w:t>
      </w:r>
      <w:r>
        <w:rPr>
          <w:spacing w:val="4"/>
        </w:rPr>
        <w:t xml:space="preserve"> </w:t>
      </w:r>
      <w:r>
        <w:rPr>
          <w:spacing w:val="-2"/>
        </w:rPr>
        <w:t>Facts</w:t>
      </w:r>
      <w:r>
        <w:t xml:space="preserve"> and </w:t>
      </w:r>
      <w:r>
        <w:rPr>
          <w:spacing w:val="-1"/>
        </w:rPr>
        <w:t>Contentions</w:t>
      </w:r>
      <w:r>
        <w:t xml:space="preserve"> (SOFC),</w:t>
      </w:r>
      <w:r>
        <w:rPr>
          <w:spacing w:val="-6"/>
        </w:rPr>
        <w:t xml:space="preserve"> </w:t>
      </w:r>
      <w:r>
        <w:t xml:space="preserve">and invited other </w:t>
      </w:r>
      <w:r>
        <w:rPr>
          <w:spacing w:val="-1"/>
        </w:rPr>
        <w:t>stakeholders</w:t>
      </w:r>
      <w:r>
        <w:t xml:space="preserve"> to </w:t>
      </w:r>
      <w:r>
        <w:rPr>
          <w:spacing w:val="-1"/>
        </w:rPr>
        <w:t>make</w:t>
      </w:r>
      <w:r>
        <w:t xml:space="preserve"> </w:t>
      </w:r>
      <w:r>
        <w:rPr>
          <w:spacing w:val="-1"/>
        </w:rPr>
        <w:t>further</w:t>
      </w:r>
      <w:r>
        <w:rPr>
          <w:spacing w:val="51"/>
        </w:rPr>
        <w:t xml:space="preserve"> </w:t>
      </w:r>
      <w:r>
        <w:t>submissions.</w:t>
      </w:r>
      <w:r>
        <w:rPr>
          <w:spacing w:val="-11"/>
        </w:rPr>
        <w:t xml:space="preserve"> </w:t>
      </w:r>
      <w:r>
        <w:rPr>
          <w:spacing w:val="-2"/>
        </w:rPr>
        <w:t>The</w:t>
      </w:r>
      <w:r>
        <w:t xml:space="preserve"> </w:t>
      </w:r>
      <w:r>
        <w:rPr>
          <w:spacing w:val="-3"/>
        </w:rPr>
        <w:t>Panel</w:t>
      </w:r>
      <w:r>
        <w:t xml:space="preserve"> </w:t>
      </w:r>
      <w:r>
        <w:rPr>
          <w:spacing w:val="-1"/>
        </w:rPr>
        <w:t>indicated</w:t>
      </w:r>
      <w:r>
        <w:t xml:space="preserve"> </w:t>
      </w:r>
      <w:r>
        <w:rPr>
          <w:spacing w:val="-1"/>
        </w:rPr>
        <w:t>that</w:t>
      </w:r>
      <w:r>
        <w:rPr>
          <w:spacing w:val="-4"/>
        </w:rPr>
        <w:t xml:space="preserve"> </w:t>
      </w:r>
      <w:r>
        <w:rPr>
          <w:spacing w:val="-2"/>
        </w:rPr>
        <w:t>ACTEW’s</w:t>
      </w:r>
      <w:r>
        <w:t xml:space="preserve"> SOFC was to include:</w:t>
      </w:r>
    </w:p>
    <w:p w:rsidR="00D96B91" w:rsidRDefault="00C2656B">
      <w:pPr>
        <w:pStyle w:val="BodyText"/>
        <w:numPr>
          <w:ilvl w:val="1"/>
          <w:numId w:val="131"/>
        </w:numPr>
        <w:tabs>
          <w:tab w:val="left" w:pos="1815"/>
        </w:tabs>
        <w:spacing w:before="85" w:line="260" w:lineRule="exact"/>
        <w:ind w:right="1411"/>
        <w:rPr>
          <w:rFonts w:cs="Avenir Next"/>
        </w:rPr>
      </w:pPr>
      <w:r>
        <w:rPr>
          <w:rFonts w:cs="Avenir Next"/>
        </w:rPr>
        <w:t>the full list of</w:t>
      </w:r>
      <w:r>
        <w:rPr>
          <w:rFonts w:cs="Avenir Next"/>
          <w:spacing w:val="4"/>
        </w:rPr>
        <w:t xml:space="preserve"> </w:t>
      </w:r>
      <w:r>
        <w:rPr>
          <w:rFonts w:cs="Avenir Next"/>
          <w:spacing w:val="-1"/>
        </w:rPr>
        <w:t>matters</w:t>
      </w:r>
      <w:r>
        <w:rPr>
          <w:rFonts w:cs="Avenir Next"/>
        </w:rPr>
        <w:t xml:space="preserve"> </w:t>
      </w:r>
      <w:r>
        <w:rPr>
          <w:rFonts w:cs="Avenir Next"/>
          <w:spacing w:val="-1"/>
        </w:rPr>
        <w:t>that</w:t>
      </w:r>
      <w:r>
        <w:rPr>
          <w:rFonts w:cs="Avenir Next"/>
        </w:rPr>
        <w:t xml:space="preserve"> </w:t>
      </w:r>
      <w:r>
        <w:rPr>
          <w:rFonts w:cs="Avenir Next"/>
          <w:spacing w:val="-2"/>
        </w:rPr>
        <w:t>are</w:t>
      </w:r>
      <w:r>
        <w:rPr>
          <w:rFonts w:cs="Avenir Next"/>
        </w:rPr>
        <w:t xml:space="preserve"> the subject of</w:t>
      </w:r>
      <w:r>
        <w:rPr>
          <w:rFonts w:cs="Avenir Next"/>
          <w:spacing w:val="1"/>
        </w:rPr>
        <w:t xml:space="preserve"> </w:t>
      </w:r>
      <w:r>
        <w:rPr>
          <w:rFonts w:cs="Avenir Next"/>
          <w:spacing w:val="-2"/>
        </w:rPr>
        <w:t>ACTEW’s</w:t>
      </w:r>
      <w:r>
        <w:rPr>
          <w:rFonts w:cs="Avenir Next"/>
        </w:rPr>
        <w:t xml:space="preserve"> </w:t>
      </w:r>
      <w:r>
        <w:rPr>
          <w:rFonts w:cs="Avenir Next"/>
          <w:spacing w:val="-1"/>
        </w:rPr>
        <w:t>application</w:t>
      </w:r>
      <w:r>
        <w:rPr>
          <w:rFonts w:cs="Avenir Next"/>
        </w:rPr>
        <w:t xml:space="preserve"> for </w:t>
      </w:r>
      <w:r>
        <w:rPr>
          <w:rFonts w:cs="Avenir Next"/>
          <w:spacing w:val="-1"/>
        </w:rPr>
        <w:t>review</w:t>
      </w:r>
      <w:r>
        <w:rPr>
          <w:rFonts w:cs="Avenir Next"/>
        </w:rPr>
        <w:t xml:space="preserve"> and,</w:t>
      </w:r>
      <w:r>
        <w:rPr>
          <w:rFonts w:cs="Avenir Next"/>
          <w:spacing w:val="-7"/>
        </w:rPr>
        <w:t xml:space="preserve"> </w:t>
      </w:r>
      <w:r>
        <w:rPr>
          <w:rFonts w:cs="Avenir Next"/>
          <w:spacing w:val="-1"/>
        </w:rPr>
        <w:t>potentially,</w:t>
      </w:r>
      <w:r>
        <w:rPr>
          <w:rFonts w:cs="Avenir Next"/>
          <w:spacing w:val="-6"/>
        </w:rPr>
        <w:t xml:space="preserve"> </w:t>
      </w:r>
      <w:r>
        <w:rPr>
          <w:rFonts w:cs="Avenir Next"/>
        </w:rPr>
        <w:t>any</w:t>
      </w:r>
      <w:r>
        <w:rPr>
          <w:rFonts w:cs="Avenir Next"/>
          <w:spacing w:val="43"/>
        </w:rPr>
        <w:t xml:space="preserve"> </w:t>
      </w:r>
      <w:r>
        <w:rPr>
          <w:rFonts w:cs="Avenir Next"/>
        </w:rPr>
        <w:t xml:space="preserve">other contentious </w:t>
      </w:r>
      <w:r>
        <w:rPr>
          <w:rFonts w:cs="Avenir Next"/>
          <w:spacing w:val="-1"/>
        </w:rPr>
        <w:t>matters</w:t>
      </w:r>
      <w:r>
        <w:rPr>
          <w:rFonts w:cs="Avenir Next"/>
        </w:rPr>
        <w:t xml:space="preserve"> </w:t>
      </w:r>
      <w:r>
        <w:rPr>
          <w:rFonts w:cs="Avenir Next"/>
          <w:spacing w:val="-1"/>
        </w:rPr>
        <w:t>raised</w:t>
      </w:r>
      <w:r>
        <w:rPr>
          <w:rFonts w:cs="Avenir Next"/>
        </w:rPr>
        <w:t xml:space="preserve"> on its behalf</w:t>
      </w:r>
      <w:r>
        <w:rPr>
          <w:rFonts w:cs="Avenir Next"/>
          <w:spacing w:val="4"/>
        </w:rPr>
        <w:t xml:space="preserve"> </w:t>
      </w:r>
      <w:r>
        <w:rPr>
          <w:rFonts w:cs="Avenir Next"/>
        </w:rPr>
        <w:t>in submissions to the ICRC</w:t>
      </w:r>
    </w:p>
    <w:p w:rsidR="00D96B91" w:rsidRDefault="00C2656B">
      <w:pPr>
        <w:pStyle w:val="BodyText"/>
        <w:numPr>
          <w:ilvl w:val="1"/>
          <w:numId w:val="131"/>
        </w:numPr>
        <w:tabs>
          <w:tab w:val="left" w:pos="1815"/>
        </w:tabs>
        <w:spacing w:before="93"/>
        <w:rPr>
          <w:rFonts w:cs="Avenir Next"/>
        </w:rPr>
      </w:pPr>
      <w:r>
        <w:t xml:space="preserve">the </w:t>
      </w:r>
      <w:r>
        <w:rPr>
          <w:spacing w:val="-1"/>
        </w:rPr>
        <w:t>alternative</w:t>
      </w:r>
      <w:r>
        <w:t xml:space="preserve"> form of</w:t>
      </w:r>
      <w:r>
        <w:rPr>
          <w:spacing w:val="4"/>
        </w:rPr>
        <w:t xml:space="preserve"> </w:t>
      </w:r>
      <w:r>
        <w:t xml:space="preserve">price </w:t>
      </w:r>
      <w:r>
        <w:rPr>
          <w:spacing w:val="-1"/>
        </w:rPr>
        <w:t>direction</w:t>
      </w:r>
      <w:r>
        <w:t xml:space="preserve"> </w:t>
      </w:r>
      <w:r>
        <w:rPr>
          <w:spacing w:val="-1"/>
        </w:rPr>
        <w:t>that</w:t>
      </w:r>
      <w:r>
        <w:rPr>
          <w:spacing w:val="-4"/>
        </w:rPr>
        <w:t xml:space="preserve"> </w:t>
      </w:r>
      <w:r>
        <w:rPr>
          <w:spacing w:val="-2"/>
        </w:rPr>
        <w:t>ACTEW</w:t>
      </w:r>
      <w:r>
        <w:rPr>
          <w:spacing w:val="-3"/>
        </w:rPr>
        <w:t xml:space="preserve"> </w:t>
      </w:r>
      <w:r>
        <w:rPr>
          <w:spacing w:val="-1"/>
        </w:rPr>
        <w:t>proposes,</w:t>
      </w:r>
      <w:r>
        <w:rPr>
          <w:spacing w:val="-6"/>
        </w:rPr>
        <w:t xml:space="preserve"> </w:t>
      </w:r>
      <w:r>
        <w:t>and</w:t>
      </w:r>
    </w:p>
    <w:p w:rsidR="00D96B91" w:rsidRDefault="00C2656B">
      <w:pPr>
        <w:pStyle w:val="BodyText"/>
        <w:numPr>
          <w:ilvl w:val="1"/>
          <w:numId w:val="131"/>
        </w:numPr>
        <w:tabs>
          <w:tab w:val="left" w:pos="1815"/>
        </w:tabs>
        <w:spacing w:before="64" w:line="260" w:lineRule="exact"/>
        <w:ind w:right="1436"/>
      </w:pPr>
      <w:r>
        <w:t xml:space="preserve">in </w:t>
      </w:r>
      <w:r>
        <w:rPr>
          <w:spacing w:val="-1"/>
        </w:rPr>
        <w:t>respect</w:t>
      </w:r>
      <w:r>
        <w:t xml:space="preserve"> of</w:t>
      </w:r>
      <w:r>
        <w:rPr>
          <w:spacing w:val="4"/>
        </w:rPr>
        <w:t xml:space="preserve"> </w:t>
      </w:r>
      <w:r>
        <w:rPr>
          <w:spacing w:val="-1"/>
        </w:rPr>
        <w:t>each</w:t>
      </w:r>
      <w:r>
        <w:t xml:space="preserve"> </w:t>
      </w:r>
      <w:r>
        <w:rPr>
          <w:spacing w:val="-1"/>
        </w:rPr>
        <w:t>matter</w:t>
      </w:r>
      <w:r>
        <w:t xml:space="preserve"> it has </w:t>
      </w:r>
      <w:r>
        <w:rPr>
          <w:spacing w:val="-1"/>
        </w:rPr>
        <w:t>raised,</w:t>
      </w:r>
      <w:r>
        <w:rPr>
          <w:spacing w:val="-6"/>
        </w:rPr>
        <w:t xml:space="preserve"> </w:t>
      </w:r>
      <w:r>
        <w:t>the facts and contentions</w:t>
      </w:r>
      <w:r>
        <w:rPr>
          <w:spacing w:val="-4"/>
        </w:rPr>
        <w:t xml:space="preserve"> </w:t>
      </w:r>
      <w:r>
        <w:rPr>
          <w:spacing w:val="-2"/>
        </w:rPr>
        <w:t>ACTEW</w:t>
      </w:r>
      <w:r>
        <w:rPr>
          <w:spacing w:val="-3"/>
        </w:rPr>
        <w:t xml:space="preserve"> </w:t>
      </w:r>
      <w:r>
        <w:t xml:space="preserve">is </w:t>
      </w:r>
      <w:r>
        <w:rPr>
          <w:spacing w:val="-1"/>
        </w:rPr>
        <w:t>relying</w:t>
      </w:r>
      <w:r>
        <w:t xml:space="preserve"> on in </w:t>
      </w:r>
      <w:r>
        <w:rPr>
          <w:spacing w:val="-1"/>
        </w:rPr>
        <w:t>support</w:t>
      </w:r>
      <w:r>
        <w:rPr>
          <w:spacing w:val="43"/>
        </w:rPr>
        <w:t xml:space="preserve"> </w:t>
      </w:r>
      <w:r>
        <w:t>of</w:t>
      </w:r>
      <w:r>
        <w:rPr>
          <w:spacing w:val="4"/>
        </w:rPr>
        <w:t xml:space="preserve"> </w:t>
      </w:r>
      <w:r>
        <w:rPr>
          <w:spacing w:val="-1"/>
        </w:rPr>
        <w:t>that</w:t>
      </w:r>
      <w:r>
        <w:t xml:space="preserve"> </w:t>
      </w:r>
      <w:r>
        <w:rPr>
          <w:spacing w:val="-3"/>
        </w:rPr>
        <w:t>matter.</w:t>
      </w:r>
    </w:p>
    <w:p w:rsidR="00D96B91" w:rsidRDefault="00C2656B">
      <w:pPr>
        <w:numPr>
          <w:ilvl w:val="0"/>
          <w:numId w:val="131"/>
        </w:numPr>
        <w:tabs>
          <w:tab w:val="left" w:pos="1531"/>
        </w:tabs>
        <w:spacing w:before="93"/>
        <w:ind w:hanging="283"/>
        <w:rPr>
          <w:rFonts w:ascii="Avenir Next" w:eastAsia="Avenir Next" w:hAnsi="Avenir Next" w:cs="Avenir Next"/>
          <w:sz w:val="20"/>
          <w:szCs w:val="20"/>
        </w:rPr>
      </w:pPr>
      <w:r>
        <w:rPr>
          <w:rFonts w:ascii="Avenir Next"/>
          <w:b/>
          <w:sz w:val="20"/>
        </w:rPr>
        <w:t xml:space="preserve">Obtained </w:t>
      </w:r>
      <w:r>
        <w:rPr>
          <w:rFonts w:ascii="Avenir Next"/>
          <w:b/>
          <w:spacing w:val="-1"/>
          <w:sz w:val="20"/>
        </w:rPr>
        <w:t>information</w:t>
      </w:r>
      <w:r>
        <w:rPr>
          <w:rFonts w:ascii="Avenir Next"/>
          <w:b/>
          <w:sz w:val="20"/>
        </w:rPr>
        <w:t xml:space="preserve"> </w:t>
      </w:r>
      <w:r>
        <w:rPr>
          <w:rFonts w:ascii="Avenir Next"/>
          <w:b/>
          <w:spacing w:val="-1"/>
          <w:sz w:val="20"/>
        </w:rPr>
        <w:t>from</w:t>
      </w:r>
      <w:r>
        <w:rPr>
          <w:rFonts w:ascii="Avenir Next"/>
          <w:b/>
          <w:sz w:val="20"/>
        </w:rPr>
        <w:t xml:space="preserve"> the ICRC </w:t>
      </w:r>
      <w:r>
        <w:rPr>
          <w:rFonts w:ascii="Avenir Next"/>
          <w:spacing w:val="-1"/>
          <w:sz w:val="20"/>
        </w:rPr>
        <w:t>that</w:t>
      </w:r>
      <w:r>
        <w:rPr>
          <w:rFonts w:ascii="Avenir Next"/>
          <w:sz w:val="20"/>
        </w:rPr>
        <w:t xml:space="preserve"> was </w:t>
      </w:r>
      <w:r>
        <w:rPr>
          <w:rFonts w:ascii="Avenir Next"/>
          <w:spacing w:val="-1"/>
          <w:sz w:val="20"/>
        </w:rPr>
        <w:t>provided</w:t>
      </w:r>
      <w:r>
        <w:rPr>
          <w:rFonts w:ascii="Avenir Next"/>
          <w:sz w:val="20"/>
        </w:rPr>
        <w:t xml:space="preserve"> to it in the original price </w:t>
      </w:r>
      <w:r>
        <w:rPr>
          <w:rFonts w:ascii="Avenir Next"/>
          <w:spacing w:val="-1"/>
          <w:sz w:val="20"/>
        </w:rPr>
        <w:t>investigation.</w:t>
      </w:r>
    </w:p>
    <w:p w:rsidR="00D96B91" w:rsidRDefault="00C2656B">
      <w:pPr>
        <w:pStyle w:val="BodyText"/>
        <w:numPr>
          <w:ilvl w:val="0"/>
          <w:numId w:val="131"/>
        </w:numPr>
        <w:tabs>
          <w:tab w:val="left" w:pos="1531"/>
        </w:tabs>
        <w:spacing w:before="64" w:line="260" w:lineRule="exact"/>
        <w:ind w:right="1676" w:hanging="283"/>
      </w:pPr>
      <w:r>
        <w:rPr>
          <w:rFonts w:cs="Avenir Next"/>
          <w:b/>
          <w:bCs/>
          <w:spacing w:val="-1"/>
        </w:rPr>
        <w:t>Received</w:t>
      </w:r>
      <w:r>
        <w:rPr>
          <w:rFonts w:cs="Avenir Next"/>
          <w:b/>
          <w:bCs/>
          <w:spacing w:val="-5"/>
        </w:rPr>
        <w:t xml:space="preserve"> </w:t>
      </w:r>
      <w:r>
        <w:rPr>
          <w:rFonts w:cs="Avenir Next"/>
          <w:b/>
          <w:bCs/>
          <w:spacing w:val="-2"/>
        </w:rPr>
        <w:t>ACTEW’s</w:t>
      </w:r>
      <w:r>
        <w:rPr>
          <w:rFonts w:cs="Avenir Next"/>
          <w:b/>
          <w:bCs/>
        </w:rPr>
        <w:t xml:space="preserve"> SOFC on 31</w:t>
      </w:r>
      <w:r>
        <w:rPr>
          <w:rFonts w:cs="Avenir Next"/>
          <w:b/>
          <w:bCs/>
          <w:spacing w:val="-4"/>
        </w:rPr>
        <w:t xml:space="preserve"> </w:t>
      </w:r>
      <w:r>
        <w:rPr>
          <w:rFonts w:cs="Avenir Next"/>
          <w:b/>
          <w:bCs/>
        </w:rPr>
        <w:t xml:space="preserve">July 2014 </w:t>
      </w:r>
      <w:r>
        <w:t>(discussed in Chapter</w:t>
      </w:r>
      <w:r>
        <w:rPr>
          <w:spacing w:val="-1"/>
        </w:rPr>
        <w:t xml:space="preserve"> </w:t>
      </w:r>
      <w:r>
        <w:t>5),</w:t>
      </w:r>
      <w:r>
        <w:rPr>
          <w:spacing w:val="-7"/>
        </w:rPr>
        <w:t xml:space="preserve"> </w:t>
      </w:r>
      <w:r>
        <w:t>as well as five</w:t>
      </w:r>
      <w:r>
        <w:rPr>
          <w:spacing w:val="-1"/>
        </w:rPr>
        <w:t xml:space="preserve"> </w:t>
      </w:r>
      <w:r>
        <w:t>other</w:t>
      </w:r>
      <w:r>
        <w:rPr>
          <w:spacing w:val="27"/>
        </w:rPr>
        <w:t xml:space="preserve"> </w:t>
      </w:r>
      <w:r>
        <w:t>submissions by 15</w:t>
      </w:r>
      <w:r>
        <w:rPr>
          <w:spacing w:val="-4"/>
        </w:rPr>
        <w:t xml:space="preserve"> </w:t>
      </w:r>
      <w:r>
        <w:t>August 2014.</w:t>
      </w:r>
      <w:r>
        <w:rPr>
          <w:spacing w:val="-6"/>
        </w:rPr>
        <w:t xml:space="preserve"> </w:t>
      </w:r>
      <w:r>
        <w:t>In the course of</w:t>
      </w:r>
      <w:r>
        <w:rPr>
          <w:spacing w:val="4"/>
        </w:rPr>
        <w:t xml:space="preserve"> </w:t>
      </w:r>
      <w:r>
        <w:t xml:space="preserve">the </w:t>
      </w:r>
      <w:r>
        <w:rPr>
          <w:spacing w:val="-4"/>
        </w:rPr>
        <w:t>Panel’s</w:t>
      </w:r>
      <w:r>
        <w:t xml:space="preserve"> </w:t>
      </w:r>
      <w:r>
        <w:rPr>
          <w:spacing w:val="-2"/>
        </w:rPr>
        <w:t>review,</w:t>
      </w:r>
      <w:r>
        <w:rPr>
          <w:spacing w:val="-10"/>
        </w:rPr>
        <w:t xml:space="preserve"> </w:t>
      </w:r>
      <w:r>
        <w:rPr>
          <w:spacing w:val="-2"/>
        </w:rPr>
        <w:t>ACTEW</w:t>
      </w:r>
      <w:r>
        <w:rPr>
          <w:spacing w:val="-3"/>
        </w:rPr>
        <w:t xml:space="preserve"> </w:t>
      </w:r>
      <w:r>
        <w:t xml:space="preserve">also </w:t>
      </w:r>
      <w:r>
        <w:rPr>
          <w:spacing w:val="-1"/>
        </w:rPr>
        <w:t>responded</w:t>
      </w:r>
      <w:r>
        <w:t xml:space="preserve"> to a</w:t>
      </w:r>
      <w:r>
        <w:rPr>
          <w:spacing w:val="35"/>
        </w:rPr>
        <w:t xml:space="preserve"> </w:t>
      </w:r>
      <w:r>
        <w:t>number of</w:t>
      </w:r>
      <w:r>
        <w:rPr>
          <w:spacing w:val="4"/>
        </w:rPr>
        <w:t xml:space="preserve"> </w:t>
      </w:r>
      <w:r>
        <w:t xml:space="preserve">other </w:t>
      </w:r>
      <w:r>
        <w:rPr>
          <w:spacing w:val="-1"/>
        </w:rPr>
        <w:t>information</w:t>
      </w:r>
      <w:r>
        <w:t xml:space="preserve"> </w:t>
      </w:r>
      <w:r>
        <w:rPr>
          <w:spacing w:val="-1"/>
        </w:rPr>
        <w:t>requests</w:t>
      </w:r>
      <w:r>
        <w:t xml:space="preserve"> </w:t>
      </w:r>
      <w:r>
        <w:rPr>
          <w:spacing w:val="-1"/>
        </w:rPr>
        <w:t>from</w:t>
      </w:r>
      <w:r>
        <w:t xml:space="preserve"> the </w:t>
      </w:r>
      <w:r>
        <w:rPr>
          <w:spacing w:val="-3"/>
        </w:rPr>
        <w:t>Panel</w:t>
      </w:r>
      <w:r>
        <w:t xml:space="preserve"> and its advisers.</w:t>
      </w:r>
    </w:p>
    <w:p w:rsidR="00D96B91" w:rsidRDefault="00C2656B">
      <w:pPr>
        <w:pStyle w:val="BodyText"/>
        <w:numPr>
          <w:ilvl w:val="0"/>
          <w:numId w:val="131"/>
        </w:numPr>
        <w:tabs>
          <w:tab w:val="left" w:pos="1531"/>
        </w:tabs>
        <w:spacing w:before="85" w:line="260" w:lineRule="exact"/>
        <w:ind w:right="1256" w:hanging="283"/>
      </w:pPr>
      <w:r>
        <w:rPr>
          <w:rFonts w:cs="Avenir Next"/>
          <w:b/>
          <w:bCs/>
        </w:rPr>
        <w:t>Held</w:t>
      </w:r>
      <w:r>
        <w:rPr>
          <w:rFonts w:cs="Avenir Next"/>
          <w:b/>
          <w:bCs/>
          <w:spacing w:val="-1"/>
        </w:rPr>
        <w:t xml:space="preserve"> </w:t>
      </w:r>
      <w:r>
        <w:rPr>
          <w:rFonts w:cs="Avenir Next"/>
          <w:b/>
          <w:bCs/>
        </w:rPr>
        <w:t>a</w:t>
      </w:r>
      <w:r>
        <w:rPr>
          <w:rFonts w:cs="Avenir Next"/>
          <w:b/>
          <w:bCs/>
          <w:spacing w:val="-1"/>
        </w:rPr>
        <w:t xml:space="preserve"> hearing</w:t>
      </w:r>
      <w:r>
        <w:rPr>
          <w:rFonts w:cs="Avenir Next"/>
          <w:b/>
          <w:bCs/>
        </w:rPr>
        <w:t xml:space="preserve"> of</w:t>
      </w:r>
      <w:r>
        <w:rPr>
          <w:rFonts w:cs="Avenir Next"/>
          <w:b/>
          <w:bCs/>
          <w:spacing w:val="3"/>
        </w:rPr>
        <w:t xml:space="preserve"> </w:t>
      </w:r>
      <w:r>
        <w:rPr>
          <w:rFonts w:cs="Avenir Next"/>
          <w:b/>
          <w:bCs/>
          <w:spacing w:val="-1"/>
        </w:rPr>
        <w:t>review</w:t>
      </w:r>
      <w:r>
        <w:rPr>
          <w:rFonts w:cs="Avenir Next"/>
          <w:b/>
          <w:bCs/>
        </w:rPr>
        <w:t xml:space="preserve"> issues</w:t>
      </w:r>
      <w:r>
        <w:rPr>
          <w:rFonts w:cs="Avenir Next"/>
          <w:b/>
          <w:bCs/>
          <w:spacing w:val="-1"/>
        </w:rPr>
        <w:t xml:space="preserve"> </w:t>
      </w:r>
      <w:r>
        <w:rPr>
          <w:rFonts w:cs="Avenir Next"/>
          <w:b/>
          <w:bCs/>
        </w:rPr>
        <w:t xml:space="preserve">in </w:t>
      </w:r>
      <w:r>
        <w:rPr>
          <w:rFonts w:cs="Avenir Next"/>
          <w:b/>
          <w:bCs/>
          <w:spacing w:val="-1"/>
        </w:rPr>
        <w:t xml:space="preserve">Canberra </w:t>
      </w:r>
      <w:r>
        <w:rPr>
          <w:rFonts w:cs="Avenir Next"/>
          <w:b/>
          <w:bCs/>
        </w:rPr>
        <w:t>on 1</w:t>
      </w:r>
      <w:r>
        <w:rPr>
          <w:rFonts w:cs="Avenir Next"/>
          <w:b/>
          <w:bCs/>
          <w:spacing w:val="-1"/>
        </w:rPr>
        <w:t xml:space="preserve"> </w:t>
      </w:r>
      <w:r>
        <w:rPr>
          <w:rFonts w:cs="Avenir Next"/>
          <w:b/>
          <w:bCs/>
        </w:rPr>
        <w:t>September 2014</w:t>
      </w:r>
      <w:r>
        <w:rPr>
          <w:rFonts w:cs="Avenir Next"/>
          <w:b/>
          <w:bCs/>
          <w:spacing w:val="-1"/>
        </w:rPr>
        <w:t xml:space="preserve"> </w:t>
      </w:r>
      <w:r>
        <w:t>to</w:t>
      </w:r>
      <w:r>
        <w:rPr>
          <w:spacing w:val="-1"/>
        </w:rPr>
        <w:t xml:space="preserve"> </w:t>
      </w:r>
      <w:r>
        <w:t>discuss the</w:t>
      </w:r>
      <w:r>
        <w:rPr>
          <w:spacing w:val="-1"/>
        </w:rPr>
        <w:t xml:space="preserve"> matters</w:t>
      </w:r>
      <w:r>
        <w:t xml:space="preserve"> identified</w:t>
      </w:r>
      <w:r>
        <w:rPr>
          <w:spacing w:val="21"/>
          <w:w w:val="99"/>
        </w:rPr>
        <w:t xml:space="preserve"> </w:t>
      </w:r>
      <w:r>
        <w:t>in</w:t>
      </w:r>
      <w:r>
        <w:rPr>
          <w:spacing w:val="-4"/>
        </w:rPr>
        <w:t xml:space="preserve"> </w:t>
      </w:r>
      <w:r>
        <w:rPr>
          <w:spacing w:val="-2"/>
        </w:rPr>
        <w:t>ACTEW’s</w:t>
      </w:r>
      <w:r>
        <w:t xml:space="preserve"> SOFC and</w:t>
      </w:r>
      <w:r>
        <w:rPr>
          <w:spacing w:val="1"/>
        </w:rPr>
        <w:t xml:space="preserve"> </w:t>
      </w:r>
      <w:r>
        <w:t xml:space="preserve">the issues </w:t>
      </w:r>
      <w:r>
        <w:rPr>
          <w:spacing w:val="-1"/>
        </w:rPr>
        <w:t>raised</w:t>
      </w:r>
      <w:r>
        <w:t xml:space="preserve"> in</w:t>
      </w:r>
      <w:r>
        <w:rPr>
          <w:spacing w:val="1"/>
        </w:rPr>
        <w:t xml:space="preserve"> </w:t>
      </w:r>
      <w:r>
        <w:t>other submissions,</w:t>
      </w:r>
      <w:r>
        <w:rPr>
          <w:position w:val="7"/>
          <w:sz w:val="11"/>
          <w:szCs w:val="11"/>
        </w:rPr>
        <w:t>7</w:t>
      </w:r>
      <w:r>
        <w:rPr>
          <w:spacing w:val="23"/>
          <w:position w:val="7"/>
          <w:sz w:val="11"/>
          <w:szCs w:val="11"/>
        </w:rPr>
        <w:t xml:space="preserve"> </w:t>
      </w:r>
      <w:r>
        <w:rPr>
          <w:rFonts w:cs="Avenir Next"/>
        </w:rPr>
        <w:t xml:space="preserve">and to </w:t>
      </w:r>
      <w:r>
        <w:rPr>
          <w:rFonts w:cs="Avenir Next"/>
          <w:spacing w:val="-1"/>
        </w:rPr>
        <w:t>hear</w:t>
      </w:r>
      <w:r>
        <w:rPr>
          <w:rFonts w:cs="Avenir Next"/>
        </w:rPr>
        <w:t xml:space="preserve"> </w:t>
      </w:r>
      <w:r>
        <w:rPr>
          <w:rFonts w:cs="Avenir Next"/>
          <w:spacing w:val="-1"/>
        </w:rPr>
        <w:t>oral</w:t>
      </w:r>
      <w:r>
        <w:rPr>
          <w:rFonts w:cs="Avenir Next"/>
          <w:spacing w:val="1"/>
        </w:rPr>
        <w:t xml:space="preserve"> </w:t>
      </w:r>
      <w:r>
        <w:rPr>
          <w:rFonts w:cs="Avenir Next"/>
        </w:rPr>
        <w:t xml:space="preserve">submissions </w:t>
      </w:r>
      <w:r>
        <w:rPr>
          <w:rFonts w:cs="Avenir Next"/>
          <w:spacing w:val="-1"/>
        </w:rPr>
        <w:t>from</w:t>
      </w:r>
      <w:r>
        <w:rPr>
          <w:rFonts w:cs="Avenir Next"/>
          <w:spacing w:val="28"/>
        </w:rPr>
        <w:t xml:space="preserve"> </w:t>
      </w:r>
      <w:r>
        <w:rPr>
          <w:spacing w:val="-1"/>
        </w:rPr>
        <w:t>participants.</w:t>
      </w:r>
      <w:r>
        <w:rPr>
          <w:spacing w:val="-11"/>
        </w:rPr>
        <w:t xml:space="preserve"> </w:t>
      </w:r>
      <w:r>
        <w:rPr>
          <w:spacing w:val="-2"/>
        </w:rPr>
        <w:t>The</w:t>
      </w:r>
      <w:r>
        <w:t xml:space="preserve"> primary purpose of</w:t>
      </w:r>
      <w:r>
        <w:rPr>
          <w:spacing w:val="4"/>
        </w:rPr>
        <w:t xml:space="preserve"> </w:t>
      </w:r>
      <w:r>
        <w:t xml:space="preserve">this </w:t>
      </w:r>
      <w:r>
        <w:rPr>
          <w:spacing w:val="-1"/>
        </w:rPr>
        <w:t>hearing</w:t>
      </w:r>
      <w:r>
        <w:t xml:space="preserve"> was to assist the </w:t>
      </w:r>
      <w:r>
        <w:rPr>
          <w:spacing w:val="-3"/>
        </w:rPr>
        <w:t>Panel</w:t>
      </w:r>
      <w:r>
        <w:t xml:space="preserve"> in its </w:t>
      </w:r>
      <w:r>
        <w:rPr>
          <w:spacing w:val="-1"/>
        </w:rPr>
        <w:t>deliberations</w:t>
      </w:r>
      <w:r>
        <w:t xml:space="preserve"> about the</w:t>
      </w:r>
      <w:r>
        <w:rPr>
          <w:spacing w:val="57"/>
        </w:rPr>
        <w:t xml:space="preserve"> </w:t>
      </w:r>
      <w:r>
        <w:rPr>
          <w:rFonts w:cs="Avenir Next"/>
        </w:rPr>
        <w:t>scope of</w:t>
      </w:r>
      <w:r>
        <w:rPr>
          <w:rFonts w:cs="Avenir Next"/>
          <w:spacing w:val="4"/>
        </w:rPr>
        <w:t xml:space="preserve"> </w:t>
      </w:r>
      <w:r>
        <w:rPr>
          <w:rFonts w:cs="Avenir Next"/>
        </w:rPr>
        <w:t xml:space="preserve">its </w:t>
      </w:r>
      <w:r>
        <w:rPr>
          <w:rFonts w:cs="Avenir Next"/>
          <w:spacing w:val="-1"/>
        </w:rPr>
        <w:t>review</w:t>
      </w:r>
      <w:r>
        <w:rPr>
          <w:rFonts w:cs="Avenir Next"/>
        </w:rPr>
        <w:t xml:space="preserve"> (discussed in Chapter </w:t>
      </w:r>
      <w:r>
        <w:t>5).</w:t>
      </w:r>
    </w:p>
    <w:p w:rsidR="00D96B91" w:rsidRDefault="00C2656B">
      <w:pPr>
        <w:pStyle w:val="BodyText"/>
        <w:spacing w:before="85" w:line="260" w:lineRule="exact"/>
        <w:ind w:right="1283"/>
      </w:pPr>
      <w:r>
        <w:rPr>
          <w:rFonts w:cs="Avenir Next"/>
          <w:spacing w:val="-2"/>
        </w:rPr>
        <w:t>The</w:t>
      </w:r>
      <w:r>
        <w:rPr>
          <w:rFonts w:cs="Avenir Next"/>
        </w:rPr>
        <w:t xml:space="preserve"> </w:t>
      </w:r>
      <w:r>
        <w:rPr>
          <w:rFonts w:cs="Avenir Next"/>
          <w:spacing w:val="-1"/>
        </w:rPr>
        <w:t>transcripts</w:t>
      </w:r>
      <w:r>
        <w:rPr>
          <w:rFonts w:cs="Avenir Next"/>
        </w:rPr>
        <w:t xml:space="preserve"> </w:t>
      </w:r>
      <w:r>
        <w:rPr>
          <w:rFonts w:cs="Avenir Next"/>
          <w:spacing w:val="-1"/>
        </w:rPr>
        <w:t>from</w:t>
      </w:r>
      <w:r>
        <w:rPr>
          <w:rFonts w:cs="Avenir Next"/>
        </w:rPr>
        <w:t xml:space="preserve"> the two </w:t>
      </w:r>
      <w:r>
        <w:rPr>
          <w:rFonts w:cs="Avenir Next"/>
          <w:spacing w:val="-1"/>
        </w:rPr>
        <w:t>hearings</w:t>
      </w:r>
      <w:r>
        <w:rPr>
          <w:rFonts w:cs="Avenir Next"/>
        </w:rPr>
        <w:t xml:space="preserve"> and copies of</w:t>
      </w:r>
      <w:r>
        <w:rPr>
          <w:rFonts w:cs="Avenir Next"/>
          <w:spacing w:val="4"/>
        </w:rPr>
        <w:t xml:space="preserve"> </w:t>
      </w:r>
      <w:r>
        <w:rPr>
          <w:rFonts w:cs="Avenir Next"/>
        </w:rPr>
        <w:t xml:space="preserve">all submissions made to the </w:t>
      </w:r>
      <w:r>
        <w:rPr>
          <w:rFonts w:cs="Avenir Next"/>
          <w:spacing w:val="-3"/>
        </w:rPr>
        <w:t>Panel</w:t>
      </w:r>
      <w:r>
        <w:rPr>
          <w:rFonts w:cs="Avenir Next"/>
        </w:rPr>
        <w:t xml:space="preserve"> to </w:t>
      </w:r>
      <w:r>
        <w:rPr>
          <w:rFonts w:cs="Avenir Next"/>
          <w:spacing w:val="-1"/>
        </w:rPr>
        <w:t>date</w:t>
      </w:r>
      <w:r>
        <w:rPr>
          <w:rFonts w:cs="Avenir Next"/>
        </w:rPr>
        <w:t xml:space="preserve"> </w:t>
      </w:r>
      <w:r>
        <w:rPr>
          <w:rFonts w:cs="Avenir Next"/>
          <w:spacing w:val="-2"/>
        </w:rPr>
        <w:t>are</w:t>
      </w:r>
      <w:r>
        <w:rPr>
          <w:rFonts w:cs="Avenir Next"/>
          <w:spacing w:val="43"/>
        </w:rPr>
        <w:t xml:space="preserve"> </w:t>
      </w:r>
      <w:r>
        <w:rPr>
          <w:rFonts w:cs="Avenir Next"/>
        </w:rPr>
        <w:t xml:space="preserve">available </w:t>
      </w:r>
      <w:r>
        <w:rPr>
          <w:rFonts w:cs="Avenir Next"/>
          <w:spacing w:val="-1"/>
        </w:rPr>
        <w:t>from</w:t>
      </w:r>
      <w:r>
        <w:rPr>
          <w:rFonts w:cs="Avenir Next"/>
        </w:rPr>
        <w:t xml:space="preserve"> the </w:t>
      </w:r>
      <w:r>
        <w:rPr>
          <w:rFonts w:cs="Avenir Next"/>
          <w:spacing w:val="-4"/>
        </w:rPr>
        <w:t>Panel’s</w:t>
      </w:r>
      <w:r>
        <w:rPr>
          <w:rFonts w:cs="Avenir Next"/>
        </w:rPr>
        <w:t xml:space="preserve"> website </w:t>
      </w:r>
      <w:r>
        <w:rPr>
          <w:rFonts w:cs="Avenir Next"/>
          <w:spacing w:val="-1"/>
        </w:rPr>
        <w:t>(</w:t>
      </w:r>
      <w:hyperlink r:id="rId40">
        <w:r>
          <w:rPr>
            <w:color w:val="0778BE"/>
            <w:spacing w:val="-1"/>
          </w:rPr>
          <w:t>http://apps.treasury.act.gov.au/industrypanel</w:t>
        </w:r>
      </w:hyperlink>
      <w:r>
        <w:rPr>
          <w:spacing w:val="-1"/>
        </w:rPr>
        <w:t>).</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25"/>
        </w:numPr>
        <w:tabs>
          <w:tab w:val="left" w:pos="2098"/>
        </w:tabs>
        <w:ind w:left="2097" w:hanging="850"/>
        <w:rPr>
          <w:rFonts w:cs="Avenir Next Medium"/>
        </w:rPr>
      </w:pPr>
      <w:r>
        <w:rPr>
          <w:color w:val="0778BE"/>
        </w:rPr>
        <w:t xml:space="preserve">Phase 2: Detailed analysis and </w:t>
      </w:r>
      <w:r>
        <w:rPr>
          <w:color w:val="0778BE"/>
          <w:spacing w:val="-2"/>
        </w:rPr>
        <w:t>draft</w:t>
      </w:r>
      <w:r>
        <w:rPr>
          <w:color w:val="0778BE"/>
        </w:rPr>
        <w:t xml:space="preserve"> decision-making</w:t>
      </w:r>
    </w:p>
    <w:p w:rsidR="00D96B91" w:rsidRDefault="00C2656B">
      <w:pPr>
        <w:pStyle w:val="BodyText"/>
        <w:spacing w:before="21" w:line="260" w:lineRule="exact"/>
        <w:ind w:right="1313"/>
        <w:rPr>
          <w:rFonts w:cs="Avenir Next"/>
        </w:rPr>
      </w:pPr>
      <w:r>
        <w:t>Phase 2 of</w:t>
      </w:r>
      <w:r>
        <w:rPr>
          <w:spacing w:val="4"/>
        </w:rPr>
        <w:t xml:space="preserve"> </w:t>
      </w:r>
      <w:r>
        <w:t xml:space="preserve">the </w:t>
      </w:r>
      <w:r>
        <w:rPr>
          <w:spacing w:val="-4"/>
        </w:rPr>
        <w:t>Panel’s</w:t>
      </w:r>
      <w:r>
        <w:t xml:space="preserve"> </w:t>
      </w:r>
      <w:r>
        <w:rPr>
          <w:spacing w:val="-1"/>
        </w:rPr>
        <w:t>process</w:t>
      </w:r>
      <w:r>
        <w:t xml:space="preserve"> involved detailed analysis and </w:t>
      </w:r>
      <w:r>
        <w:rPr>
          <w:spacing w:val="-2"/>
        </w:rPr>
        <w:t>draft</w:t>
      </w:r>
      <w:r>
        <w:t xml:space="preserve"> decision-making.</w:t>
      </w:r>
      <w:r>
        <w:rPr>
          <w:spacing w:val="-10"/>
        </w:rPr>
        <w:t xml:space="preserve"> </w:t>
      </w:r>
      <w:r>
        <w:t xml:space="preserve">As </w:t>
      </w:r>
      <w:r>
        <w:rPr>
          <w:spacing w:val="-1"/>
        </w:rPr>
        <w:t>part</w:t>
      </w:r>
      <w:r>
        <w:t xml:space="preserve"> of</w:t>
      </w:r>
      <w:r>
        <w:rPr>
          <w:spacing w:val="4"/>
        </w:rPr>
        <w:t xml:space="preserve"> </w:t>
      </w:r>
      <w:r>
        <w:t>this</w:t>
      </w:r>
      <w:r>
        <w:rPr>
          <w:spacing w:val="29"/>
        </w:rPr>
        <w:t xml:space="preserve"> </w:t>
      </w:r>
      <w:r>
        <w:rPr>
          <w:rFonts w:cs="Avenir Next"/>
        </w:rPr>
        <w:t>phase,</w:t>
      </w:r>
      <w:r>
        <w:rPr>
          <w:rFonts w:cs="Avenir Next"/>
          <w:spacing w:val="-6"/>
        </w:rPr>
        <w:t xml:space="preserve"> </w:t>
      </w:r>
      <w:r>
        <w:rPr>
          <w:rFonts w:cs="Avenir Next"/>
        </w:rPr>
        <w:t xml:space="preserve">the </w:t>
      </w:r>
      <w:r>
        <w:rPr>
          <w:rFonts w:cs="Avenir Next"/>
          <w:spacing w:val="-3"/>
        </w:rPr>
        <w:t>Panel:</w:t>
      </w:r>
    </w:p>
    <w:p w:rsidR="00D96B91" w:rsidRDefault="00C2656B">
      <w:pPr>
        <w:numPr>
          <w:ilvl w:val="0"/>
          <w:numId w:val="131"/>
        </w:numPr>
        <w:tabs>
          <w:tab w:val="left" w:pos="1531"/>
        </w:tabs>
        <w:spacing w:before="170" w:line="260" w:lineRule="exact"/>
        <w:ind w:right="1390" w:hanging="283"/>
        <w:rPr>
          <w:rFonts w:ascii="Avenir Next" w:eastAsia="Avenir Next" w:hAnsi="Avenir Next" w:cs="Avenir Next"/>
          <w:sz w:val="20"/>
          <w:szCs w:val="20"/>
        </w:rPr>
      </w:pPr>
      <w:r>
        <w:rPr>
          <w:rFonts w:ascii="Avenir Next"/>
          <w:b/>
          <w:spacing w:val="-1"/>
          <w:sz w:val="20"/>
        </w:rPr>
        <w:t>Considered</w:t>
      </w:r>
      <w:r>
        <w:rPr>
          <w:rFonts w:ascii="Avenir Next"/>
          <w:b/>
          <w:sz w:val="20"/>
        </w:rPr>
        <w:t xml:space="preserve"> the </w:t>
      </w:r>
      <w:r>
        <w:rPr>
          <w:rFonts w:ascii="Avenir Next"/>
          <w:b/>
          <w:spacing w:val="-1"/>
          <w:sz w:val="20"/>
        </w:rPr>
        <w:t>data</w:t>
      </w:r>
      <w:r>
        <w:rPr>
          <w:rFonts w:ascii="Avenir Next"/>
          <w:b/>
          <w:sz w:val="20"/>
        </w:rPr>
        <w:t xml:space="preserve"> and </w:t>
      </w:r>
      <w:r>
        <w:rPr>
          <w:rFonts w:ascii="Avenir Next"/>
          <w:b/>
          <w:spacing w:val="-1"/>
          <w:sz w:val="20"/>
        </w:rPr>
        <w:t>information</w:t>
      </w:r>
      <w:r>
        <w:rPr>
          <w:rFonts w:ascii="Avenir Next"/>
          <w:b/>
          <w:sz w:val="20"/>
        </w:rPr>
        <w:t xml:space="preserve"> available to it</w:t>
      </w:r>
      <w:r>
        <w:rPr>
          <w:rFonts w:ascii="Avenir Next"/>
          <w:sz w:val="20"/>
        </w:rPr>
        <w:t>,</w:t>
      </w:r>
      <w:r>
        <w:rPr>
          <w:rFonts w:ascii="Avenir Next"/>
          <w:spacing w:val="-6"/>
          <w:sz w:val="20"/>
        </w:rPr>
        <w:t xml:space="preserve"> </w:t>
      </w:r>
      <w:r>
        <w:rPr>
          <w:rFonts w:ascii="Avenir Next"/>
          <w:sz w:val="20"/>
        </w:rPr>
        <w:t xml:space="preserve">noting </w:t>
      </w:r>
      <w:r>
        <w:rPr>
          <w:rFonts w:ascii="Avenir Next"/>
          <w:spacing w:val="-1"/>
          <w:sz w:val="20"/>
        </w:rPr>
        <w:t>that</w:t>
      </w:r>
      <w:r>
        <w:rPr>
          <w:rFonts w:ascii="Avenir Next"/>
          <w:sz w:val="20"/>
        </w:rPr>
        <w:t xml:space="preserve"> this </w:t>
      </w:r>
      <w:r>
        <w:rPr>
          <w:rFonts w:ascii="Avenir Next"/>
          <w:spacing w:val="-1"/>
          <w:sz w:val="20"/>
        </w:rPr>
        <w:t>review</w:t>
      </w:r>
      <w:r>
        <w:rPr>
          <w:rFonts w:ascii="Avenir Next"/>
          <w:sz w:val="20"/>
        </w:rPr>
        <w:t xml:space="preserve"> is taking place </w:t>
      </w:r>
      <w:r>
        <w:rPr>
          <w:rFonts w:ascii="Avenir Next"/>
          <w:spacing w:val="-1"/>
          <w:sz w:val="20"/>
        </w:rPr>
        <w:t>part</w:t>
      </w:r>
      <w:r>
        <w:rPr>
          <w:rFonts w:ascii="Avenir Next"/>
          <w:sz w:val="20"/>
        </w:rPr>
        <w:t xml:space="preserve"> way</w:t>
      </w:r>
      <w:r>
        <w:rPr>
          <w:rFonts w:ascii="Avenir Next"/>
          <w:spacing w:val="35"/>
          <w:sz w:val="20"/>
        </w:rPr>
        <w:t xml:space="preserve"> </w:t>
      </w:r>
      <w:r>
        <w:rPr>
          <w:rFonts w:ascii="Avenir Next"/>
          <w:spacing w:val="-1"/>
          <w:sz w:val="20"/>
        </w:rPr>
        <w:t>through</w:t>
      </w:r>
      <w:r>
        <w:rPr>
          <w:rFonts w:ascii="Avenir Next"/>
          <w:sz w:val="20"/>
        </w:rPr>
        <w:t xml:space="preserve"> the </w:t>
      </w:r>
      <w:r>
        <w:rPr>
          <w:rFonts w:ascii="Avenir Next"/>
          <w:spacing w:val="-1"/>
          <w:sz w:val="20"/>
        </w:rPr>
        <w:t>regulatory</w:t>
      </w:r>
      <w:r>
        <w:rPr>
          <w:rFonts w:ascii="Avenir Next"/>
          <w:sz w:val="20"/>
        </w:rPr>
        <w:t xml:space="preserve"> period </w:t>
      </w:r>
      <w:r>
        <w:rPr>
          <w:rFonts w:ascii="Avenir Next"/>
          <w:spacing w:val="-1"/>
          <w:sz w:val="20"/>
        </w:rPr>
        <w:t>covered</w:t>
      </w:r>
      <w:r>
        <w:rPr>
          <w:rFonts w:ascii="Avenir Next"/>
          <w:sz w:val="20"/>
        </w:rPr>
        <w:t xml:space="preserve"> by the original price </w:t>
      </w:r>
      <w:r>
        <w:rPr>
          <w:rFonts w:ascii="Avenir Next"/>
          <w:spacing w:val="-1"/>
          <w:sz w:val="20"/>
        </w:rPr>
        <w:t>direction</w:t>
      </w:r>
      <w:r>
        <w:rPr>
          <w:rFonts w:ascii="Avenir Next"/>
          <w:sz w:val="20"/>
        </w:rPr>
        <w:t xml:space="preserve"> (see </w:t>
      </w:r>
      <w:hyperlink w:anchor="_bookmark7" w:history="1">
        <w:r>
          <w:rPr>
            <w:rFonts w:ascii="Avenir Next"/>
            <w:spacing w:val="-1"/>
            <w:sz w:val="20"/>
          </w:rPr>
          <w:t>Box</w:t>
        </w:r>
        <w:r>
          <w:rPr>
            <w:rFonts w:ascii="Avenir Next"/>
            <w:sz w:val="20"/>
          </w:rPr>
          <w:t xml:space="preserve"> 2.2</w:t>
        </w:r>
      </w:hyperlink>
      <w:r>
        <w:rPr>
          <w:rFonts w:ascii="Avenir Next"/>
          <w:sz w:val="20"/>
        </w:rPr>
        <w:t>).</w:t>
      </w:r>
    </w:p>
    <w:p w:rsidR="00D96B91" w:rsidRDefault="00C2656B">
      <w:pPr>
        <w:numPr>
          <w:ilvl w:val="0"/>
          <w:numId w:val="131"/>
        </w:numPr>
        <w:tabs>
          <w:tab w:val="left" w:pos="1531"/>
        </w:tabs>
        <w:spacing w:before="85" w:line="260" w:lineRule="exact"/>
        <w:ind w:right="1453" w:hanging="283"/>
        <w:rPr>
          <w:rFonts w:ascii="Avenir Next" w:eastAsia="Avenir Next" w:hAnsi="Avenir Next" w:cs="Avenir Next"/>
          <w:sz w:val="20"/>
          <w:szCs w:val="20"/>
        </w:rPr>
      </w:pPr>
      <w:r>
        <w:rPr>
          <w:rFonts w:ascii="Avenir Next" w:eastAsia="Avenir Next" w:hAnsi="Avenir Next" w:cs="Avenir Next"/>
          <w:b/>
          <w:bCs/>
          <w:sz w:val="20"/>
          <w:szCs w:val="20"/>
        </w:rPr>
        <w:t xml:space="preserve">Engaged technical </w:t>
      </w:r>
      <w:r>
        <w:rPr>
          <w:rFonts w:ascii="Avenir Next" w:eastAsia="Avenir Next" w:hAnsi="Avenir Next" w:cs="Avenir Next"/>
          <w:b/>
          <w:bCs/>
          <w:spacing w:val="-1"/>
          <w:sz w:val="20"/>
          <w:szCs w:val="20"/>
        </w:rPr>
        <w:t>experts</w:t>
      </w:r>
      <w:r>
        <w:rPr>
          <w:rFonts w:ascii="Avenir Next" w:eastAsia="Avenir Next" w:hAnsi="Avenir Next" w:cs="Avenir Next"/>
          <w:b/>
          <w:bCs/>
          <w:sz w:val="20"/>
          <w:szCs w:val="20"/>
        </w:rPr>
        <w:t xml:space="preserve"> and commissioned the services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a consultant – </w:t>
      </w:r>
      <w:r>
        <w:rPr>
          <w:rFonts w:ascii="Avenir Next" w:eastAsia="Avenir Next" w:hAnsi="Avenir Next" w:cs="Avenir Next"/>
          <w:spacing w:val="-2"/>
          <w:sz w:val="20"/>
          <w:szCs w:val="20"/>
        </w:rPr>
        <w:t>Cardno</w:t>
      </w:r>
      <w:r>
        <w:rPr>
          <w:rFonts w:ascii="Avenir Next" w:eastAsia="Avenir Next" w:hAnsi="Avenir Next" w:cs="Avenir Next"/>
          <w:sz w:val="20"/>
          <w:szCs w:val="20"/>
        </w:rPr>
        <w:t xml:space="preserve"> (QLD) Pty Ltd</w:t>
      </w:r>
      <w:r>
        <w:rPr>
          <w:rFonts w:ascii="Avenir Next" w:eastAsia="Avenir Next" w:hAnsi="Avenir Next" w:cs="Avenir Next"/>
          <w:spacing w:val="26"/>
          <w:sz w:val="20"/>
          <w:szCs w:val="20"/>
        </w:rPr>
        <w:t xml:space="preserve"> </w:t>
      </w:r>
      <w:r>
        <w:rPr>
          <w:rFonts w:ascii="Avenir Next" w:eastAsia="Avenir Next" w:hAnsi="Avenir Next" w:cs="Avenir Next"/>
          <w:spacing w:val="-1"/>
          <w:sz w:val="20"/>
          <w:szCs w:val="20"/>
        </w:rPr>
        <w:t>(Cardno)</w:t>
      </w:r>
      <w:r>
        <w:rPr>
          <w:rFonts w:ascii="Avenir Next" w:eastAsia="Avenir Next" w:hAnsi="Avenir Next" w:cs="Avenir Next"/>
          <w:spacing w:val="-1"/>
          <w:position w:val="7"/>
          <w:sz w:val="11"/>
          <w:szCs w:val="11"/>
        </w:rPr>
        <w:t>8</w:t>
      </w:r>
      <w:r>
        <w:rPr>
          <w:rFonts w:ascii="Avenir Next" w:eastAsia="Avenir Next" w:hAnsi="Avenir Next" w:cs="Avenir Next"/>
          <w:spacing w:val="22"/>
          <w:position w:val="7"/>
          <w:sz w:val="11"/>
          <w:szCs w:val="11"/>
        </w:rPr>
        <w:t xml:space="preserve"> </w:t>
      </w:r>
      <w:r>
        <w:rPr>
          <w:rFonts w:ascii="Avenir Next" w:eastAsia="Avenir Next" w:hAnsi="Avenir Next" w:cs="Avenir Next"/>
          <w:sz w:val="20"/>
          <w:szCs w:val="20"/>
        </w:rPr>
        <w:t>–</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 xml:space="preserve">to </w:t>
      </w:r>
      <w:r>
        <w:rPr>
          <w:rFonts w:ascii="Avenir Next" w:eastAsia="Avenir Next" w:hAnsi="Avenir Next" w:cs="Avenir Next"/>
          <w:spacing w:val="-1"/>
          <w:sz w:val="20"/>
          <w:szCs w:val="20"/>
        </w:rPr>
        <w:t>provide</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independent analysis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and advice</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on:</w:t>
      </w:r>
    </w:p>
    <w:p w:rsidR="00D96B91" w:rsidRDefault="00C2656B">
      <w:pPr>
        <w:pStyle w:val="BodyText"/>
        <w:numPr>
          <w:ilvl w:val="1"/>
          <w:numId w:val="131"/>
        </w:numPr>
        <w:tabs>
          <w:tab w:val="left" w:pos="1815"/>
        </w:tabs>
        <w:spacing w:before="93"/>
        <w:rPr>
          <w:rFonts w:cs="Avenir Next"/>
        </w:rPr>
      </w:pPr>
      <w:r>
        <w:rPr>
          <w:rFonts w:cs="Avenir Next"/>
          <w:spacing w:val="-2"/>
        </w:rPr>
        <w:t>ACTEW’s</w:t>
      </w:r>
      <w:r>
        <w:rPr>
          <w:rFonts w:cs="Avenir Next"/>
        </w:rPr>
        <w:t xml:space="preserve"> </w:t>
      </w:r>
      <w:r>
        <w:rPr>
          <w:rFonts w:cs="Avenir Next"/>
          <w:spacing w:val="-1"/>
        </w:rPr>
        <w:t>operating</w:t>
      </w:r>
      <w:r>
        <w:rPr>
          <w:rFonts w:cs="Avenir Next"/>
        </w:rPr>
        <w:t xml:space="preserve"> and capital </w:t>
      </w:r>
      <w:r>
        <w:rPr>
          <w:rFonts w:cs="Avenir Next"/>
          <w:spacing w:val="-1"/>
        </w:rPr>
        <w:t>expenditure</w:t>
      </w:r>
      <w:r>
        <w:rPr>
          <w:rFonts w:cs="Avenir Next"/>
        </w:rPr>
        <w:t xml:space="preserve"> </w:t>
      </w:r>
      <w:r>
        <w:rPr>
          <w:rFonts w:cs="Avenir Next"/>
          <w:spacing w:val="-1"/>
        </w:rPr>
        <w:t>forecasts</w:t>
      </w:r>
      <w:r>
        <w:rPr>
          <w:rFonts w:cs="Avenir Next"/>
        </w:rPr>
        <w:t xml:space="preserve"> for the </w:t>
      </w:r>
      <w:r>
        <w:rPr>
          <w:rFonts w:cs="Avenir Next"/>
          <w:spacing w:val="-1"/>
        </w:rPr>
        <w:t>regulatory</w:t>
      </w:r>
      <w:r>
        <w:rPr>
          <w:rFonts w:cs="Avenir Next"/>
        </w:rPr>
        <w:t xml:space="preserve"> period</w:t>
      </w:r>
    </w:p>
    <w:p w:rsidR="00D96B91" w:rsidRDefault="00C2656B">
      <w:pPr>
        <w:pStyle w:val="BodyText"/>
        <w:numPr>
          <w:ilvl w:val="1"/>
          <w:numId w:val="131"/>
        </w:numPr>
        <w:tabs>
          <w:tab w:val="left" w:pos="1815"/>
        </w:tabs>
        <w:spacing w:before="72"/>
        <w:rPr>
          <w:rFonts w:cs="Avenir Next"/>
        </w:rPr>
      </w:pPr>
      <w:r>
        <w:rPr>
          <w:spacing w:val="-1"/>
        </w:rPr>
        <w:t>forecast</w:t>
      </w:r>
      <w:r>
        <w:t xml:space="preserve"> </w:t>
      </w:r>
      <w:r>
        <w:rPr>
          <w:spacing w:val="-1"/>
        </w:rPr>
        <w:t>water</w:t>
      </w:r>
      <w:r>
        <w:t xml:space="preserve"> sales for the </w:t>
      </w:r>
      <w:r>
        <w:rPr>
          <w:spacing w:val="-1"/>
        </w:rPr>
        <w:t>regulatory</w:t>
      </w:r>
      <w:r>
        <w:t xml:space="preserve"> period,</w:t>
      </w:r>
      <w:r>
        <w:rPr>
          <w:spacing w:val="-6"/>
        </w:rPr>
        <w:t xml:space="preserve"> </w:t>
      </w:r>
      <w:r>
        <w:t>and</w:t>
      </w:r>
    </w:p>
    <w:p w:rsidR="00D96B91" w:rsidRDefault="00C2656B">
      <w:pPr>
        <w:pStyle w:val="BodyText"/>
        <w:numPr>
          <w:ilvl w:val="1"/>
          <w:numId w:val="131"/>
        </w:numPr>
        <w:tabs>
          <w:tab w:val="left" w:pos="1815"/>
        </w:tabs>
        <w:spacing w:before="72"/>
      </w:pPr>
      <w:r>
        <w:t xml:space="preserve">the </w:t>
      </w:r>
      <w:r>
        <w:rPr>
          <w:spacing w:val="-1"/>
        </w:rPr>
        <w:t>regulatory</w:t>
      </w:r>
      <w:r>
        <w:t xml:space="preserve"> </w:t>
      </w:r>
      <w:r>
        <w:rPr>
          <w:spacing w:val="-1"/>
        </w:rPr>
        <w:t>treatment</w:t>
      </w:r>
      <w:r>
        <w:t xml:space="preserve"> of</w:t>
      </w:r>
      <w:r>
        <w:rPr>
          <w:spacing w:val="4"/>
        </w:rPr>
        <w:t xml:space="preserve"> </w:t>
      </w:r>
      <w:r>
        <w:t xml:space="preserve">the </w:t>
      </w:r>
      <w:r>
        <w:rPr>
          <w:spacing w:val="-1"/>
        </w:rPr>
        <w:t>water</w:t>
      </w:r>
      <w:r>
        <w:t xml:space="preserve"> security </w:t>
      </w:r>
      <w:r>
        <w:rPr>
          <w:spacing w:val="-1"/>
        </w:rPr>
        <w:t>projects.</w:t>
      </w:r>
    </w:p>
    <w:p w:rsidR="00D96B91" w:rsidRDefault="00C2656B">
      <w:pPr>
        <w:numPr>
          <w:ilvl w:val="0"/>
          <w:numId w:val="131"/>
        </w:numPr>
        <w:tabs>
          <w:tab w:val="left" w:pos="1531"/>
        </w:tabs>
        <w:spacing w:before="64" w:line="260" w:lineRule="exact"/>
        <w:ind w:right="1631" w:hanging="283"/>
        <w:rPr>
          <w:rFonts w:ascii="Avenir Next" w:eastAsia="Avenir Next" w:hAnsi="Avenir Next" w:cs="Avenir Next"/>
          <w:sz w:val="20"/>
          <w:szCs w:val="20"/>
        </w:rPr>
      </w:pPr>
      <w:r>
        <w:rPr>
          <w:rFonts w:ascii="Avenir Next"/>
          <w:b/>
          <w:spacing w:val="-1"/>
          <w:sz w:val="20"/>
        </w:rPr>
        <w:t>Undertook</w:t>
      </w:r>
      <w:r>
        <w:rPr>
          <w:rFonts w:ascii="Avenir Next"/>
          <w:b/>
          <w:sz w:val="20"/>
        </w:rPr>
        <w:t xml:space="preserve"> its own technical analysis </w:t>
      </w:r>
      <w:r>
        <w:rPr>
          <w:rFonts w:ascii="Avenir Next"/>
          <w:sz w:val="20"/>
        </w:rPr>
        <w:t>of</w:t>
      </w:r>
      <w:r>
        <w:rPr>
          <w:rFonts w:ascii="Avenir Next"/>
          <w:spacing w:val="4"/>
          <w:sz w:val="20"/>
        </w:rPr>
        <w:t xml:space="preserve"> </w:t>
      </w:r>
      <w:r>
        <w:rPr>
          <w:rFonts w:ascii="Avenir Next"/>
          <w:sz w:val="20"/>
        </w:rPr>
        <w:t xml:space="preserve">the </w:t>
      </w:r>
      <w:r>
        <w:rPr>
          <w:rFonts w:ascii="Avenir Next"/>
          <w:spacing w:val="-1"/>
          <w:sz w:val="20"/>
        </w:rPr>
        <w:t>remaining</w:t>
      </w:r>
      <w:r>
        <w:rPr>
          <w:rFonts w:ascii="Avenir Next"/>
          <w:sz w:val="20"/>
        </w:rPr>
        <w:t xml:space="preserve"> </w:t>
      </w:r>
      <w:r>
        <w:rPr>
          <w:rFonts w:ascii="Avenir Next"/>
          <w:spacing w:val="-1"/>
          <w:sz w:val="20"/>
        </w:rPr>
        <w:t>matters</w:t>
      </w:r>
      <w:r>
        <w:rPr>
          <w:rFonts w:ascii="Avenir Next"/>
          <w:sz w:val="20"/>
        </w:rPr>
        <w:t xml:space="preserve"> within the scope of</w:t>
      </w:r>
      <w:r>
        <w:rPr>
          <w:rFonts w:ascii="Avenir Next"/>
          <w:spacing w:val="4"/>
          <w:sz w:val="20"/>
        </w:rPr>
        <w:t xml:space="preserve"> </w:t>
      </w:r>
      <w:r>
        <w:rPr>
          <w:rFonts w:ascii="Avenir Next"/>
          <w:sz w:val="20"/>
        </w:rPr>
        <w:t xml:space="preserve">its </w:t>
      </w:r>
      <w:r>
        <w:rPr>
          <w:rFonts w:ascii="Avenir Next"/>
          <w:spacing w:val="-1"/>
          <w:sz w:val="20"/>
        </w:rPr>
        <w:t>review</w:t>
      </w:r>
      <w:r>
        <w:rPr>
          <w:rFonts w:ascii="Avenir Next"/>
          <w:sz w:val="20"/>
        </w:rPr>
        <w:t xml:space="preserve"> (see</w:t>
      </w:r>
      <w:r>
        <w:rPr>
          <w:rFonts w:ascii="Avenir Next"/>
          <w:spacing w:val="31"/>
          <w:sz w:val="20"/>
        </w:rPr>
        <w:t xml:space="preserve"> </w:t>
      </w:r>
      <w:r>
        <w:rPr>
          <w:rFonts w:ascii="Avenir Next"/>
          <w:sz w:val="20"/>
        </w:rPr>
        <w:t>Chapter</w:t>
      </w:r>
      <w:r w:rsidR="004C4403">
        <w:rPr>
          <w:rFonts w:ascii="Avenir Next"/>
          <w:sz w:val="20"/>
        </w:rPr>
        <w:t> </w:t>
      </w:r>
      <w:r>
        <w:rPr>
          <w:rFonts w:ascii="Avenir Next"/>
          <w:sz w:val="20"/>
        </w:rPr>
        <w:t>5).</w:t>
      </w:r>
    </w:p>
    <w:p w:rsidR="00D96B91" w:rsidRDefault="00C2656B">
      <w:pPr>
        <w:numPr>
          <w:ilvl w:val="0"/>
          <w:numId w:val="131"/>
        </w:numPr>
        <w:tabs>
          <w:tab w:val="left" w:pos="1531"/>
        </w:tabs>
        <w:spacing w:before="93"/>
        <w:ind w:hanging="283"/>
        <w:rPr>
          <w:rFonts w:ascii="Avenir Next" w:eastAsia="Avenir Next" w:hAnsi="Avenir Next" w:cs="Avenir Next"/>
          <w:sz w:val="20"/>
          <w:szCs w:val="20"/>
        </w:rPr>
      </w:pPr>
      <w:r>
        <w:rPr>
          <w:rFonts w:ascii="Avenir Next"/>
          <w:b/>
          <w:spacing w:val="-3"/>
          <w:sz w:val="20"/>
        </w:rPr>
        <w:t>Considered</w:t>
      </w:r>
      <w:r>
        <w:rPr>
          <w:rFonts w:ascii="Avenir Next"/>
          <w:b/>
          <w:spacing w:val="-4"/>
          <w:sz w:val="20"/>
        </w:rPr>
        <w:t xml:space="preserve"> </w:t>
      </w:r>
      <w:r>
        <w:rPr>
          <w:rFonts w:ascii="Avenir Next"/>
          <w:b/>
          <w:spacing w:val="-2"/>
          <w:sz w:val="20"/>
        </w:rPr>
        <w:t>all</w:t>
      </w:r>
      <w:r>
        <w:rPr>
          <w:rFonts w:ascii="Avenir Next"/>
          <w:b/>
          <w:spacing w:val="-4"/>
          <w:sz w:val="20"/>
        </w:rPr>
        <w:t xml:space="preserve"> </w:t>
      </w:r>
      <w:r>
        <w:rPr>
          <w:rFonts w:ascii="Avenir Next"/>
          <w:b/>
          <w:spacing w:val="-1"/>
          <w:sz w:val="20"/>
        </w:rPr>
        <w:t>of</w:t>
      </w:r>
      <w:r>
        <w:rPr>
          <w:rFonts w:ascii="Avenir Next"/>
          <w:b/>
          <w:sz w:val="20"/>
        </w:rPr>
        <w:t xml:space="preserve"> </w:t>
      </w:r>
      <w:r>
        <w:rPr>
          <w:rFonts w:ascii="Avenir Next"/>
          <w:b/>
          <w:spacing w:val="-2"/>
          <w:sz w:val="20"/>
        </w:rPr>
        <w:t>the</w:t>
      </w:r>
      <w:r>
        <w:rPr>
          <w:rFonts w:ascii="Avenir Next"/>
          <w:b/>
          <w:spacing w:val="-4"/>
          <w:sz w:val="20"/>
        </w:rPr>
        <w:t xml:space="preserve"> </w:t>
      </w:r>
      <w:r>
        <w:rPr>
          <w:rFonts w:ascii="Avenir Next"/>
          <w:b/>
          <w:spacing w:val="-2"/>
          <w:sz w:val="20"/>
        </w:rPr>
        <w:t>above</w:t>
      </w:r>
      <w:r>
        <w:rPr>
          <w:rFonts w:ascii="Avenir Next"/>
          <w:b/>
          <w:spacing w:val="-4"/>
          <w:sz w:val="20"/>
        </w:rPr>
        <w:t xml:space="preserve"> </w:t>
      </w:r>
      <w:r>
        <w:rPr>
          <w:rFonts w:ascii="Avenir Next"/>
          <w:b/>
          <w:spacing w:val="-2"/>
          <w:sz w:val="20"/>
        </w:rPr>
        <w:t>analysis</w:t>
      </w:r>
      <w:r>
        <w:rPr>
          <w:rFonts w:ascii="Avenir Next"/>
          <w:b/>
          <w:spacing w:val="-4"/>
          <w:sz w:val="20"/>
        </w:rPr>
        <w:t xml:space="preserve"> </w:t>
      </w:r>
      <w:r>
        <w:rPr>
          <w:rFonts w:ascii="Avenir Next"/>
          <w:b/>
          <w:spacing w:val="-1"/>
          <w:sz w:val="20"/>
        </w:rPr>
        <w:t>to</w:t>
      </w:r>
      <w:r>
        <w:rPr>
          <w:rFonts w:ascii="Avenir Next"/>
          <w:b/>
          <w:spacing w:val="-4"/>
          <w:sz w:val="20"/>
        </w:rPr>
        <w:t xml:space="preserve"> </w:t>
      </w:r>
      <w:r>
        <w:rPr>
          <w:rFonts w:ascii="Avenir Next"/>
          <w:b/>
          <w:spacing w:val="-3"/>
          <w:sz w:val="20"/>
        </w:rPr>
        <w:t>make</w:t>
      </w:r>
      <w:r>
        <w:rPr>
          <w:rFonts w:ascii="Avenir Next"/>
          <w:b/>
          <w:spacing w:val="-4"/>
          <w:sz w:val="20"/>
        </w:rPr>
        <w:t xml:space="preserve"> </w:t>
      </w:r>
      <w:r>
        <w:rPr>
          <w:rFonts w:ascii="Avenir Next"/>
          <w:b/>
          <w:spacing w:val="-2"/>
          <w:sz w:val="20"/>
        </w:rPr>
        <w:t>its</w:t>
      </w:r>
      <w:r>
        <w:rPr>
          <w:rFonts w:ascii="Avenir Next"/>
          <w:b/>
          <w:spacing w:val="-4"/>
          <w:sz w:val="20"/>
        </w:rPr>
        <w:t xml:space="preserve"> </w:t>
      </w:r>
      <w:r>
        <w:rPr>
          <w:rFonts w:ascii="Avenir Next"/>
          <w:b/>
          <w:spacing w:val="-3"/>
          <w:sz w:val="20"/>
        </w:rPr>
        <w:t>draft</w:t>
      </w:r>
      <w:r>
        <w:rPr>
          <w:rFonts w:ascii="Avenir Next"/>
          <w:b/>
          <w:spacing w:val="-4"/>
          <w:sz w:val="20"/>
        </w:rPr>
        <w:t xml:space="preserve"> </w:t>
      </w:r>
      <w:r>
        <w:rPr>
          <w:rFonts w:ascii="Avenir Next"/>
          <w:b/>
          <w:spacing w:val="-2"/>
          <w:sz w:val="20"/>
        </w:rPr>
        <w:t>decision</w:t>
      </w:r>
      <w:r>
        <w:rPr>
          <w:rFonts w:ascii="Avenir Next"/>
          <w:b/>
          <w:spacing w:val="-5"/>
          <w:sz w:val="20"/>
        </w:rPr>
        <w:t xml:space="preserve"> </w:t>
      </w:r>
      <w:r>
        <w:rPr>
          <w:rFonts w:ascii="Avenir Next"/>
          <w:spacing w:val="-2"/>
          <w:sz w:val="20"/>
        </w:rPr>
        <w:t>and</w:t>
      </w:r>
      <w:r>
        <w:rPr>
          <w:rFonts w:ascii="Avenir Next"/>
          <w:spacing w:val="-4"/>
          <w:sz w:val="20"/>
        </w:rPr>
        <w:t xml:space="preserve"> </w:t>
      </w:r>
      <w:r>
        <w:rPr>
          <w:rFonts w:ascii="Avenir Next"/>
          <w:spacing w:val="-2"/>
          <w:sz w:val="20"/>
        </w:rPr>
        <w:t>has</w:t>
      </w:r>
      <w:r>
        <w:rPr>
          <w:rFonts w:ascii="Avenir Next"/>
          <w:spacing w:val="-4"/>
          <w:sz w:val="20"/>
        </w:rPr>
        <w:t xml:space="preserve"> </w:t>
      </w:r>
      <w:r>
        <w:rPr>
          <w:rFonts w:ascii="Avenir Next"/>
          <w:spacing w:val="-2"/>
          <w:sz w:val="20"/>
        </w:rPr>
        <w:t>now</w:t>
      </w:r>
      <w:r>
        <w:rPr>
          <w:rFonts w:ascii="Avenir Next"/>
          <w:spacing w:val="-4"/>
          <w:sz w:val="20"/>
        </w:rPr>
        <w:t xml:space="preserve"> </w:t>
      </w:r>
      <w:r>
        <w:rPr>
          <w:rFonts w:ascii="Avenir Next"/>
          <w:spacing w:val="-3"/>
          <w:sz w:val="20"/>
        </w:rPr>
        <w:t>released</w:t>
      </w:r>
      <w:r>
        <w:rPr>
          <w:rFonts w:ascii="Avenir Next"/>
          <w:spacing w:val="-4"/>
          <w:sz w:val="20"/>
        </w:rPr>
        <w:t xml:space="preserve"> </w:t>
      </w:r>
      <w:r>
        <w:rPr>
          <w:rFonts w:ascii="Avenir Next"/>
          <w:spacing w:val="-2"/>
          <w:sz w:val="20"/>
        </w:rPr>
        <w:t>this</w:t>
      </w:r>
      <w:r>
        <w:rPr>
          <w:rFonts w:ascii="Avenir Next"/>
          <w:spacing w:val="-4"/>
          <w:sz w:val="20"/>
        </w:rPr>
        <w:t xml:space="preserve"> </w:t>
      </w:r>
      <w:r>
        <w:rPr>
          <w:rFonts w:ascii="Avenir Next"/>
          <w:spacing w:val="-3"/>
          <w:sz w:val="20"/>
        </w:rPr>
        <w:t>draft</w:t>
      </w:r>
      <w:r>
        <w:rPr>
          <w:rFonts w:ascii="Avenir Next"/>
          <w:spacing w:val="-4"/>
          <w:sz w:val="20"/>
        </w:rPr>
        <w:t xml:space="preserve"> </w:t>
      </w:r>
      <w:r>
        <w:rPr>
          <w:rFonts w:ascii="Avenir Next"/>
          <w:spacing w:val="-3"/>
          <w:sz w:val="20"/>
        </w:rPr>
        <w:t>report.</w:t>
      </w:r>
    </w:p>
    <w:p w:rsidR="00D96B91" w:rsidRDefault="00D96B91">
      <w:pPr>
        <w:spacing w:before="8"/>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451" style="width:72.5pt;height:.5pt;mso-position-horizontal-relative:char;mso-position-vertical-relative:line" coordsize="1450,10">
            <v:group id="_x0000_s3452" style="position:absolute;left:5;top:5;width:1440;height:2" coordorigin="5,5" coordsize="1440,2">
              <v:shape id="_x0000_s3453" style="position:absolute;left:5;top:5;width:1440;height:2" coordorigin="5,5" coordsize="1440,0" path="m5,5r1440,e" filled="f" strokeweight=".5pt">
                <v:path arrowok="t"/>
              </v:shape>
            </v:group>
            <w10:wrap type="none"/>
            <w10:anchorlock/>
          </v:group>
        </w:pict>
      </w:r>
    </w:p>
    <w:p w:rsidR="00D96B91" w:rsidRDefault="00C2656B">
      <w:pPr>
        <w:numPr>
          <w:ilvl w:val="0"/>
          <w:numId w:val="124"/>
        </w:numPr>
        <w:tabs>
          <w:tab w:val="left" w:pos="1758"/>
        </w:tabs>
        <w:spacing w:before="45" w:line="192" w:lineRule="exact"/>
        <w:ind w:right="2010" w:hanging="510"/>
        <w:rPr>
          <w:rFonts w:ascii="Avenir Next" w:eastAsia="Avenir Next" w:hAnsi="Avenir Next" w:cs="Avenir Next"/>
          <w:sz w:val="16"/>
          <w:szCs w:val="16"/>
        </w:rPr>
      </w:pPr>
      <w:r>
        <w:rPr>
          <w:rFonts w:ascii="Avenir Next"/>
          <w:sz w:val="16"/>
        </w:rPr>
        <w:t>In</w:t>
      </w:r>
      <w:r>
        <w:rPr>
          <w:rFonts w:ascii="Avenir Next"/>
          <w:spacing w:val="-1"/>
          <w:sz w:val="16"/>
        </w:rPr>
        <w:t xml:space="preserve"> </w:t>
      </w:r>
      <w:r>
        <w:rPr>
          <w:rFonts w:ascii="Avenir Next"/>
          <w:sz w:val="16"/>
        </w:rPr>
        <w:t>the first phase of</w:t>
      </w:r>
      <w:r>
        <w:rPr>
          <w:rFonts w:ascii="Avenir Next"/>
          <w:spacing w:val="3"/>
          <w:sz w:val="16"/>
        </w:rPr>
        <w:t xml:space="preserve"> </w:t>
      </w:r>
      <w:r>
        <w:rPr>
          <w:rFonts w:ascii="Avenir Next"/>
          <w:sz w:val="16"/>
        </w:rPr>
        <w:t xml:space="preserve">the </w:t>
      </w:r>
      <w:r>
        <w:rPr>
          <w:rFonts w:ascii="Avenir Next"/>
          <w:spacing w:val="-1"/>
          <w:sz w:val="16"/>
        </w:rPr>
        <w:t>review</w:t>
      </w:r>
      <w:r>
        <w:rPr>
          <w:rFonts w:ascii="Avenir Next"/>
          <w:sz w:val="16"/>
        </w:rPr>
        <w:t xml:space="preserve"> </w:t>
      </w:r>
      <w:r>
        <w:rPr>
          <w:rFonts w:ascii="Avenir Next"/>
          <w:spacing w:val="-1"/>
          <w:sz w:val="16"/>
        </w:rPr>
        <w:t>process,</w:t>
      </w:r>
      <w:r>
        <w:rPr>
          <w:rFonts w:ascii="Avenir Next"/>
          <w:spacing w:val="-6"/>
          <w:sz w:val="16"/>
        </w:rPr>
        <w:t xml:space="preserve"> </w:t>
      </w:r>
      <w:r>
        <w:rPr>
          <w:rFonts w:ascii="Avenir Next"/>
          <w:sz w:val="16"/>
        </w:rPr>
        <w:t xml:space="preserve">the </w:t>
      </w:r>
      <w:r>
        <w:rPr>
          <w:rFonts w:ascii="Avenir Next"/>
          <w:spacing w:val="-2"/>
          <w:sz w:val="16"/>
        </w:rPr>
        <w:t>Panel</w:t>
      </w:r>
      <w:r>
        <w:rPr>
          <w:rFonts w:ascii="Avenir Next"/>
          <w:sz w:val="16"/>
        </w:rPr>
        <w:t xml:space="preserve"> adopted a </w:t>
      </w:r>
      <w:r>
        <w:rPr>
          <w:rFonts w:ascii="Avenir Next"/>
          <w:spacing w:val="-1"/>
          <w:sz w:val="16"/>
        </w:rPr>
        <w:t>targeted</w:t>
      </w:r>
      <w:r>
        <w:rPr>
          <w:rFonts w:ascii="Avenir Next"/>
          <w:sz w:val="16"/>
        </w:rPr>
        <w:t xml:space="preserve"> </w:t>
      </w:r>
      <w:r>
        <w:rPr>
          <w:rFonts w:ascii="Avenir Next"/>
          <w:spacing w:val="-1"/>
          <w:sz w:val="16"/>
        </w:rPr>
        <w:t>approach</w:t>
      </w:r>
      <w:r>
        <w:rPr>
          <w:rFonts w:ascii="Avenir Next"/>
          <w:sz w:val="16"/>
        </w:rPr>
        <w:t xml:space="preserve"> to</w:t>
      </w:r>
      <w:r>
        <w:rPr>
          <w:rFonts w:ascii="Avenir Next"/>
          <w:spacing w:val="-1"/>
          <w:sz w:val="16"/>
        </w:rPr>
        <w:t xml:space="preserve"> consultation</w:t>
      </w:r>
      <w:r>
        <w:rPr>
          <w:rFonts w:ascii="Avenir Next"/>
          <w:sz w:val="16"/>
        </w:rPr>
        <w:t xml:space="preserve"> in the </w:t>
      </w:r>
      <w:r>
        <w:rPr>
          <w:rFonts w:ascii="Avenir Next"/>
          <w:spacing w:val="-1"/>
          <w:sz w:val="16"/>
        </w:rPr>
        <w:t>interests</w:t>
      </w:r>
      <w:r>
        <w:rPr>
          <w:rFonts w:ascii="Avenir Next"/>
          <w:sz w:val="16"/>
        </w:rPr>
        <w:t xml:space="preserve"> of</w:t>
      </w:r>
      <w:r>
        <w:rPr>
          <w:rFonts w:ascii="Avenir Next"/>
          <w:spacing w:val="69"/>
          <w:sz w:val="16"/>
        </w:rPr>
        <w:t xml:space="preserve"> </w:t>
      </w:r>
      <w:r>
        <w:rPr>
          <w:rFonts w:ascii="Avenir Next"/>
          <w:sz w:val="16"/>
        </w:rPr>
        <w:t>timeliness.</w:t>
      </w:r>
    </w:p>
    <w:p w:rsidR="00D96B91" w:rsidRDefault="00D96B91">
      <w:pPr>
        <w:spacing w:before="12"/>
        <w:rPr>
          <w:rFonts w:ascii="Avenir Next" w:eastAsia="Avenir Next" w:hAnsi="Avenir Next" w:cs="Avenir Next"/>
          <w:sz w:val="10"/>
          <w:szCs w:val="10"/>
        </w:rPr>
      </w:pPr>
    </w:p>
    <w:p w:rsidR="00D96B91" w:rsidRDefault="00C2656B">
      <w:pPr>
        <w:numPr>
          <w:ilvl w:val="0"/>
          <w:numId w:val="124"/>
        </w:numPr>
        <w:tabs>
          <w:tab w:val="left" w:pos="1758"/>
        </w:tabs>
        <w:spacing w:line="192" w:lineRule="exact"/>
        <w:ind w:right="2076" w:hanging="510"/>
        <w:rPr>
          <w:rFonts w:ascii="Avenir Next" w:eastAsia="Avenir Next" w:hAnsi="Avenir Next" w:cs="Avenir Next"/>
          <w:sz w:val="16"/>
          <w:szCs w:val="16"/>
        </w:rPr>
      </w:pPr>
      <w:r>
        <w:rPr>
          <w:rFonts w:ascii="Avenir Next"/>
          <w:sz w:val="16"/>
        </w:rPr>
        <w:t>In</w:t>
      </w:r>
      <w:r>
        <w:rPr>
          <w:rFonts w:ascii="Avenir Next"/>
          <w:spacing w:val="-1"/>
          <w:sz w:val="16"/>
        </w:rPr>
        <w:t xml:space="preserve"> </w:t>
      </w:r>
      <w:r>
        <w:rPr>
          <w:rFonts w:ascii="Avenir Next"/>
          <w:sz w:val="16"/>
        </w:rPr>
        <w:t xml:space="preserve">addition to the five submissions </w:t>
      </w:r>
      <w:r>
        <w:rPr>
          <w:rFonts w:ascii="Avenir Next"/>
          <w:spacing w:val="-1"/>
          <w:sz w:val="16"/>
        </w:rPr>
        <w:t xml:space="preserve">received </w:t>
      </w:r>
      <w:r>
        <w:rPr>
          <w:rFonts w:ascii="Avenir Next"/>
          <w:sz w:val="16"/>
        </w:rPr>
        <w:t xml:space="preserve">in </w:t>
      </w:r>
      <w:r>
        <w:rPr>
          <w:rFonts w:ascii="Avenir Next"/>
          <w:spacing w:val="-1"/>
          <w:sz w:val="16"/>
        </w:rPr>
        <w:t>response</w:t>
      </w:r>
      <w:r>
        <w:rPr>
          <w:rFonts w:ascii="Avenir Next"/>
          <w:sz w:val="16"/>
        </w:rPr>
        <w:t xml:space="preserve"> to the </w:t>
      </w:r>
      <w:r>
        <w:rPr>
          <w:rFonts w:ascii="Avenir Next"/>
          <w:spacing w:val="-1"/>
          <w:sz w:val="16"/>
        </w:rPr>
        <w:t>directions</w:t>
      </w:r>
      <w:r>
        <w:rPr>
          <w:rFonts w:ascii="Avenir Next"/>
          <w:sz w:val="16"/>
        </w:rPr>
        <w:t xml:space="preserve"> </w:t>
      </w:r>
      <w:r>
        <w:rPr>
          <w:rFonts w:ascii="Avenir Next"/>
          <w:spacing w:val="-1"/>
          <w:sz w:val="16"/>
        </w:rPr>
        <w:t>hearing,</w:t>
      </w:r>
      <w:r>
        <w:rPr>
          <w:rFonts w:ascii="Avenir Next"/>
          <w:spacing w:val="-6"/>
          <w:sz w:val="16"/>
        </w:rPr>
        <w:t xml:space="preserve"> </w:t>
      </w:r>
      <w:r>
        <w:rPr>
          <w:rFonts w:ascii="Avenir Next"/>
          <w:sz w:val="16"/>
        </w:rPr>
        <w:t xml:space="preserve">the </w:t>
      </w:r>
      <w:r>
        <w:rPr>
          <w:rFonts w:ascii="Avenir Next"/>
          <w:spacing w:val="-2"/>
          <w:sz w:val="16"/>
        </w:rPr>
        <w:t>Panel</w:t>
      </w:r>
      <w:r>
        <w:rPr>
          <w:rFonts w:ascii="Avenir Next"/>
          <w:sz w:val="16"/>
        </w:rPr>
        <w:t xml:space="preserve"> </w:t>
      </w:r>
      <w:r>
        <w:rPr>
          <w:rFonts w:ascii="Avenir Next"/>
          <w:spacing w:val="-1"/>
          <w:sz w:val="16"/>
        </w:rPr>
        <w:t>considered</w:t>
      </w:r>
      <w:r>
        <w:rPr>
          <w:rFonts w:ascii="Avenir Next"/>
          <w:sz w:val="16"/>
        </w:rPr>
        <w:t xml:space="preserve"> another</w:t>
      </w:r>
      <w:r>
        <w:rPr>
          <w:rFonts w:ascii="Avenir Next"/>
          <w:spacing w:val="63"/>
          <w:sz w:val="16"/>
        </w:rPr>
        <w:t xml:space="preserve"> </w:t>
      </w:r>
      <w:r>
        <w:rPr>
          <w:rFonts w:ascii="Avenir Next"/>
          <w:sz w:val="16"/>
        </w:rPr>
        <w:t xml:space="preserve">submission it </w:t>
      </w:r>
      <w:r>
        <w:rPr>
          <w:rFonts w:ascii="Avenir Next"/>
          <w:spacing w:val="-1"/>
          <w:sz w:val="16"/>
        </w:rPr>
        <w:t>received</w:t>
      </w:r>
      <w:r>
        <w:rPr>
          <w:rFonts w:ascii="Avenir Next"/>
          <w:sz w:val="16"/>
        </w:rPr>
        <w:t xml:space="preserve"> </w:t>
      </w:r>
      <w:r>
        <w:rPr>
          <w:rFonts w:ascii="Avenir Next"/>
          <w:spacing w:val="-1"/>
          <w:sz w:val="16"/>
        </w:rPr>
        <w:t>earlier</w:t>
      </w:r>
      <w:r>
        <w:rPr>
          <w:rFonts w:ascii="Avenir Next"/>
          <w:sz w:val="16"/>
        </w:rPr>
        <w:t xml:space="preserve"> in the </w:t>
      </w:r>
      <w:r>
        <w:rPr>
          <w:rFonts w:ascii="Avenir Next"/>
          <w:spacing w:val="-1"/>
          <w:sz w:val="16"/>
        </w:rPr>
        <w:t>process</w:t>
      </w:r>
      <w:r>
        <w:rPr>
          <w:rFonts w:ascii="Avenir Next"/>
          <w:sz w:val="16"/>
        </w:rPr>
        <w:t xml:space="preserve"> </w:t>
      </w:r>
      <w:r>
        <w:rPr>
          <w:rFonts w:ascii="Avenir Next"/>
          <w:spacing w:val="-1"/>
          <w:sz w:val="16"/>
        </w:rPr>
        <w:t>from</w:t>
      </w:r>
      <w:r>
        <w:rPr>
          <w:rFonts w:ascii="Avenir Next"/>
          <w:sz w:val="16"/>
        </w:rPr>
        <w:t xml:space="preserve"> the </w:t>
      </w:r>
      <w:r>
        <w:rPr>
          <w:rFonts w:ascii="Avenir Next"/>
          <w:spacing w:val="-1"/>
          <w:sz w:val="16"/>
        </w:rPr>
        <w:t>Ratepayers</w:t>
      </w:r>
      <w:r>
        <w:rPr>
          <w:rFonts w:ascii="Avenir Next"/>
          <w:spacing w:val="-3"/>
          <w:sz w:val="16"/>
        </w:rPr>
        <w:t xml:space="preserve"> </w:t>
      </w:r>
      <w:r>
        <w:rPr>
          <w:rFonts w:ascii="Avenir Next"/>
          <w:spacing w:val="-1"/>
          <w:sz w:val="16"/>
        </w:rPr>
        <w:t>Association.</w:t>
      </w:r>
    </w:p>
    <w:p w:rsidR="00D96B91" w:rsidRDefault="00C2656B">
      <w:pPr>
        <w:numPr>
          <w:ilvl w:val="0"/>
          <w:numId w:val="124"/>
        </w:numPr>
        <w:tabs>
          <w:tab w:val="left" w:pos="1758"/>
        </w:tabs>
        <w:spacing w:before="141"/>
        <w:ind w:hanging="510"/>
        <w:rPr>
          <w:rFonts w:ascii="Avenir Next" w:eastAsia="Avenir Next" w:hAnsi="Avenir Next" w:cs="Avenir Next"/>
          <w:sz w:val="16"/>
          <w:szCs w:val="16"/>
        </w:rPr>
      </w:pPr>
      <w:r>
        <w:rPr>
          <w:rFonts w:ascii="Avenir Next"/>
          <w:spacing w:val="-1"/>
          <w:sz w:val="16"/>
        </w:rPr>
        <w:t>Cardno</w:t>
      </w:r>
      <w:r>
        <w:rPr>
          <w:rFonts w:ascii="Avenir Next"/>
          <w:sz w:val="16"/>
        </w:rPr>
        <w:t xml:space="preserve"> </w:t>
      </w:r>
      <w:r>
        <w:rPr>
          <w:rFonts w:ascii="Avenir Next"/>
          <w:spacing w:val="-1"/>
          <w:sz w:val="16"/>
        </w:rPr>
        <w:t>undertook</w:t>
      </w:r>
      <w:r>
        <w:rPr>
          <w:rFonts w:ascii="Avenir Next"/>
          <w:sz w:val="16"/>
        </w:rPr>
        <w:t xml:space="preserve"> </w:t>
      </w:r>
      <w:r>
        <w:rPr>
          <w:rFonts w:ascii="Avenir Next"/>
          <w:spacing w:val="-1"/>
          <w:sz w:val="16"/>
        </w:rPr>
        <w:t>investigations</w:t>
      </w:r>
      <w:r>
        <w:rPr>
          <w:rFonts w:ascii="Avenir Next"/>
          <w:sz w:val="16"/>
        </w:rPr>
        <w:t xml:space="preserve"> and analysis for the ICRC on similar </w:t>
      </w:r>
      <w:r>
        <w:rPr>
          <w:rFonts w:ascii="Avenir Next"/>
          <w:spacing w:val="-1"/>
          <w:sz w:val="16"/>
        </w:rPr>
        <w:t>matters.</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15" w:name="2._2_Panel’s_analytical_and_decision-mak"/>
      <w:bookmarkStart w:id="16" w:name="_bookmark6"/>
      <w:bookmarkStart w:id="17" w:name="_bookmark7"/>
      <w:bookmarkEnd w:id="15"/>
      <w:bookmarkEnd w:id="16"/>
      <w:bookmarkEnd w:id="17"/>
      <w:r>
        <w:rPr>
          <w:rFonts w:ascii="Avenir Next"/>
          <w:b/>
          <w:spacing w:val="-1"/>
          <w:sz w:val="20"/>
        </w:rPr>
        <w:t>Box</w:t>
      </w:r>
      <w:r>
        <w:rPr>
          <w:rFonts w:ascii="Avenir Next"/>
          <w:b/>
          <w:sz w:val="20"/>
        </w:rPr>
        <w:t xml:space="preserve"> 2.2: </w:t>
      </w:r>
      <w:r>
        <w:rPr>
          <w:rFonts w:ascii="Avenir Next"/>
          <w:b/>
          <w:spacing w:val="-1"/>
          <w:sz w:val="20"/>
        </w:rPr>
        <w:t>Review</w:t>
      </w:r>
      <w:r>
        <w:rPr>
          <w:rFonts w:ascii="Avenir Next"/>
          <w:b/>
          <w:sz w:val="20"/>
        </w:rPr>
        <w:t xml:space="preserve"> being conducted </w:t>
      </w:r>
      <w:r>
        <w:rPr>
          <w:rFonts w:ascii="Avenir Next"/>
          <w:b/>
          <w:spacing w:val="-1"/>
          <w:sz w:val="20"/>
        </w:rPr>
        <w:t>part</w:t>
      </w:r>
      <w:r>
        <w:rPr>
          <w:rFonts w:ascii="Avenir Next"/>
          <w:b/>
          <w:sz w:val="20"/>
        </w:rPr>
        <w:t xml:space="preserve"> way </w:t>
      </w:r>
      <w:r>
        <w:rPr>
          <w:rFonts w:ascii="Avenir Next"/>
          <w:b/>
          <w:spacing w:val="-1"/>
          <w:sz w:val="20"/>
        </w:rPr>
        <w:t>through</w:t>
      </w:r>
      <w:r>
        <w:rPr>
          <w:rFonts w:ascii="Avenir Next"/>
          <w:b/>
          <w:sz w:val="20"/>
        </w:rPr>
        <w:t xml:space="preserve"> the </w:t>
      </w:r>
      <w:r>
        <w:rPr>
          <w:rFonts w:ascii="Avenir Next"/>
          <w:b/>
          <w:spacing w:val="-1"/>
          <w:sz w:val="20"/>
        </w:rPr>
        <w:t>regulatory</w:t>
      </w:r>
      <w:r>
        <w:rPr>
          <w:rFonts w:ascii="Avenir Next"/>
          <w:b/>
          <w:sz w:val="20"/>
        </w:rPr>
        <w:t xml:space="preserve"> period</w:t>
      </w:r>
    </w:p>
    <w:p w:rsidR="00D96B91" w:rsidRDefault="00D96B91">
      <w:pPr>
        <w:spacing w:before="7"/>
        <w:rPr>
          <w:rFonts w:ascii="Avenir Next" w:eastAsia="Avenir Next" w:hAnsi="Avenir Next" w:cs="Avenir Next"/>
          <w:b/>
          <w:bCs/>
          <w:sz w:val="9"/>
          <w:szCs w:val="9"/>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4C4403">
        <w:rPr>
          <w:rFonts w:ascii="Avenir Next" w:eastAsia="Avenir Next" w:hAnsi="Avenir Next" w:cs="Avenir Next"/>
          <w:sz w:val="20"/>
          <w:szCs w:val="20"/>
        </w:rPr>
        <w:pict>
          <v:shape id="_x0000_s3450" type="#_x0000_t202" style="width:470.55pt;height:166.8pt;mso-left-percent:-10001;mso-top-percent:-10001;mso-position-horizontal:absolute;mso-position-horizontal-relative:char;mso-position-vertical:absolute;mso-position-vertical-relative:line;mso-left-percent:-10001;mso-top-percent:-10001" fillcolor="#dff3fd" stroked="f">
            <v:textbox style="mso-next-textbox:#_x0000_s3450" inset="0,0,0,0">
              <w:txbxContent>
                <w:p w:rsidR="008A79D5" w:rsidRDefault="008A79D5">
                  <w:pPr>
                    <w:spacing w:before="162" w:line="260" w:lineRule="exact"/>
                    <w:ind w:left="169" w:right="177"/>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One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key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differences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between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Panel’s </w:t>
                  </w:r>
                  <w:r>
                    <w:rPr>
                      <w:rFonts w:ascii="Avenir Next Condensed" w:eastAsia="Avenir Next Condensed" w:hAnsi="Avenir Next Condensed" w:cs="Avenir Next Condensed"/>
                      <w:spacing w:val="-2"/>
                      <w:sz w:val="20"/>
                      <w:szCs w:val="20"/>
                    </w:rPr>
                    <w:t>review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typical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investigation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review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taking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place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part</w:t>
                  </w:r>
                  <w:r>
                    <w:rPr>
                      <w:rFonts w:ascii="Avenir Next Condensed" w:eastAsia="Avenir Next Condensed" w:hAnsi="Avenir Next Condensed" w:cs="Avenir Next Condensed"/>
                      <w:spacing w:val="68"/>
                      <w:sz w:val="20"/>
                      <w:szCs w:val="20"/>
                    </w:rPr>
                    <w:t xml:space="preserve"> </w:t>
                  </w:r>
                  <w:r>
                    <w:rPr>
                      <w:rFonts w:ascii="Avenir Next Condensed" w:eastAsia="Avenir Next Condensed" w:hAnsi="Avenir Next Condensed" w:cs="Avenir Next Condensed"/>
                      <w:spacing w:val="-2"/>
                      <w:sz w:val="20"/>
                      <w:szCs w:val="20"/>
                    </w:rPr>
                    <w:t>way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through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regulatory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original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direction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(2013-14</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2018-19).</w:t>
                  </w:r>
                </w:p>
                <w:p w:rsidR="008A79D5" w:rsidRDefault="008A79D5">
                  <w:pPr>
                    <w:spacing w:before="113" w:line="260" w:lineRule="exact"/>
                    <w:ind w:left="169" w:right="243"/>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typical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direction,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makes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decisions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before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start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3"/>
                      <w:sz w:val="20"/>
                      <w:szCs w:val="20"/>
                    </w:rPr>
                    <w:t>Therefore,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must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entirely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forecast</w:t>
                  </w:r>
                  <w:r>
                    <w:rPr>
                      <w:rFonts w:ascii="Avenir Next Condensed" w:eastAsia="Avenir Next Condensed" w:hAnsi="Avenir Next Condensed" w:cs="Avenir Next Condensed"/>
                      <w:spacing w:val="72"/>
                      <w:sz w:val="20"/>
                      <w:szCs w:val="20"/>
                    </w:rPr>
                    <w:t xml:space="preserve"> </w:t>
                  </w:r>
                  <w:r>
                    <w:rPr>
                      <w:rFonts w:ascii="Avenir Next Condensed" w:eastAsia="Avenir Next Condensed" w:hAnsi="Avenir Next Condensed" w:cs="Avenir Next Condensed"/>
                      <w:spacing w:val="-2"/>
                      <w:sz w:val="20"/>
                      <w:szCs w:val="20"/>
                    </w:rPr>
                    <w:t>data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about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business’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operating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expenditures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regulatory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demand</w:t>
                  </w:r>
                  <w:r>
                    <w:rPr>
                      <w:rFonts w:ascii="Avenir Next Condensed" w:eastAsia="Avenir Next Condensed" w:hAnsi="Avenir Next Condensed" w:cs="Avenir Next Condensed"/>
                      <w:spacing w:val="56"/>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p>
                <w:p w:rsidR="008A79D5" w:rsidRDefault="008A79D5">
                  <w:pPr>
                    <w:tabs>
                      <w:tab w:val="left" w:pos="2305"/>
                    </w:tabs>
                    <w:spacing w:before="113" w:line="260" w:lineRule="exact"/>
                    <w:ind w:left="169" w:right="259"/>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case,</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Panel </w:t>
                  </w:r>
                  <w:r>
                    <w:rPr>
                      <w:rFonts w:ascii="Avenir Next Condensed"/>
                      <w:spacing w:val="-1"/>
                      <w:sz w:val="20"/>
                    </w:rPr>
                    <w:t>is</w:t>
                  </w:r>
                  <w:r>
                    <w:rPr>
                      <w:rFonts w:ascii="Avenir Next Condensed"/>
                      <w:spacing w:val="-4"/>
                      <w:sz w:val="20"/>
                    </w:rPr>
                    <w:t xml:space="preserve"> </w:t>
                  </w:r>
                  <w:r>
                    <w:rPr>
                      <w:rFonts w:ascii="Avenir Next Condensed"/>
                      <w:spacing w:val="-2"/>
                      <w:sz w:val="20"/>
                    </w:rPr>
                    <w:t>conducting</w:t>
                  </w:r>
                  <w:r>
                    <w:rPr>
                      <w:rFonts w:ascii="Avenir Next Condensed"/>
                      <w:spacing w:val="-4"/>
                      <w:sz w:val="20"/>
                    </w:rPr>
                    <w:t xml:space="preserve"> </w:t>
                  </w:r>
                  <w:r>
                    <w:rPr>
                      <w:rFonts w:ascii="Avenir Next Condensed"/>
                      <w:spacing w:val="-2"/>
                      <w:sz w:val="20"/>
                    </w:rPr>
                    <w:t>its</w:t>
                  </w:r>
                  <w:r>
                    <w:rPr>
                      <w:rFonts w:ascii="Avenir Next Condensed"/>
                      <w:spacing w:val="-4"/>
                      <w:sz w:val="20"/>
                    </w:rPr>
                    <w:t xml:space="preserve"> </w:t>
                  </w:r>
                  <w:r>
                    <w:rPr>
                      <w:rFonts w:ascii="Avenir Next Condensed"/>
                      <w:spacing w:val="-2"/>
                      <w:sz w:val="20"/>
                    </w:rPr>
                    <w:t>review</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second</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r>
                    <w:rPr>
                      <w:rFonts w:ascii="Avenir Next Condensed"/>
                      <w:spacing w:val="-15"/>
                      <w:sz w:val="20"/>
                    </w:rPr>
                    <w:t xml:space="preserve"> </w:t>
                  </w:r>
                  <w:r>
                    <w:rPr>
                      <w:rFonts w:ascii="Avenir Next Condensed"/>
                      <w:spacing w:val="-2"/>
                      <w:sz w:val="20"/>
                    </w:rPr>
                    <w:t>Thus,</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Panel </w:t>
                  </w:r>
                  <w:r>
                    <w:rPr>
                      <w:rFonts w:ascii="Avenir Next Condensed"/>
                      <w:spacing w:val="-2"/>
                      <w:sz w:val="20"/>
                    </w:rPr>
                    <w:t>has</w:t>
                  </w:r>
                  <w:r>
                    <w:rPr>
                      <w:rFonts w:ascii="Avenir Next Condensed"/>
                      <w:spacing w:val="-4"/>
                      <w:sz w:val="20"/>
                    </w:rPr>
                    <w:t xml:space="preserve"> </w:t>
                  </w:r>
                  <w:r>
                    <w:rPr>
                      <w:rFonts w:ascii="Avenir Next Condensed"/>
                      <w:spacing w:val="-2"/>
                      <w:sz w:val="20"/>
                    </w:rPr>
                    <w:t>access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some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or</w:t>
                  </w:r>
                  <w:r>
                    <w:rPr>
                      <w:rFonts w:ascii="Avenir Next Condensed"/>
                      <w:spacing w:val="68"/>
                      <w:sz w:val="20"/>
                    </w:rPr>
                    <w:t xml:space="preserve"> </w:t>
                  </w:r>
                  <w:r>
                    <w:rPr>
                      <w:rFonts w:ascii="Avenir Next Condensed"/>
                      <w:spacing w:val="-2"/>
                      <w:sz w:val="20"/>
                    </w:rPr>
                    <w:t>revised</w:t>
                  </w:r>
                  <w:r>
                    <w:rPr>
                      <w:rFonts w:ascii="Avenir Next Condensed"/>
                      <w:spacing w:val="-4"/>
                      <w:sz w:val="20"/>
                    </w:rPr>
                    <w:t xml:space="preserve"> </w:t>
                  </w:r>
                  <w:r>
                    <w:rPr>
                      <w:rFonts w:ascii="Avenir Next Condensed"/>
                      <w:spacing w:val="-2"/>
                      <w:sz w:val="20"/>
                    </w:rPr>
                    <w:t>data</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1"/>
                      <w:sz w:val="20"/>
                    </w:rPr>
                    <w:t>at</w:t>
                  </w:r>
                  <w:r>
                    <w:rPr>
                      <w:rFonts w:ascii="Avenir Next Condensed"/>
                      <w:spacing w:val="-4"/>
                      <w:sz w:val="20"/>
                    </w:rPr>
                    <w:t xml:space="preserve"> </w:t>
                  </w:r>
                  <w:r>
                    <w:rPr>
                      <w:rFonts w:ascii="Avenir Next Condensed"/>
                      <w:spacing w:val="-2"/>
                      <w:sz w:val="20"/>
                    </w:rPr>
                    <w:t>least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 xml:space="preserve">first </w:t>
                  </w:r>
                  <w:r>
                    <w:rPr>
                      <w:rFonts w:ascii="Avenir Next Condensed"/>
                      <w:spacing w:val="-2"/>
                      <w:sz w:val="20"/>
                    </w:rPr>
                    <w:t>year</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period</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some</w:t>
                  </w:r>
                  <w:r>
                    <w:rPr>
                      <w:rFonts w:ascii="Avenir Next Condensed"/>
                      <w:spacing w:val="-4"/>
                      <w:sz w:val="20"/>
                    </w:rPr>
                    <w:t xml:space="preserve"> </w:t>
                  </w:r>
                  <w:r>
                    <w:rPr>
                      <w:rFonts w:ascii="Avenir Next Condensed"/>
                      <w:spacing w:val="-2"/>
                      <w:sz w:val="20"/>
                    </w:rPr>
                    <w:t>revised</w:t>
                  </w:r>
                  <w:r>
                    <w:rPr>
                      <w:rFonts w:ascii="Avenir Next Condensed"/>
                      <w:spacing w:val="-4"/>
                      <w:sz w:val="20"/>
                    </w:rPr>
                    <w:t xml:space="preserve"> </w:t>
                  </w:r>
                  <w:r>
                    <w:rPr>
                      <w:rFonts w:ascii="Avenir Next Condensed"/>
                      <w:spacing w:val="-2"/>
                      <w:sz w:val="20"/>
                    </w:rPr>
                    <w:t>forecasts</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second</w:t>
                  </w:r>
                  <w:r>
                    <w:rPr>
                      <w:rFonts w:ascii="Avenir Next Condensed"/>
                      <w:spacing w:val="-4"/>
                      <w:sz w:val="20"/>
                    </w:rPr>
                    <w:t xml:space="preserve"> </w:t>
                  </w:r>
                  <w:r>
                    <w:rPr>
                      <w:rFonts w:ascii="Avenir Next Condensed"/>
                      <w:spacing w:val="-3"/>
                      <w:sz w:val="20"/>
                    </w:rPr>
                    <w:t>year.</w:t>
                  </w:r>
                  <w:r>
                    <w:rPr>
                      <w:rFonts w:ascii="Avenir Next Condensed"/>
                      <w:spacing w:val="-15"/>
                      <w:sz w:val="20"/>
                    </w:rPr>
                    <w:t xml:space="preserve"> </w:t>
                  </w:r>
                  <w:r>
                    <w:rPr>
                      <w:rFonts w:ascii="Avenir Next Condensed"/>
                      <w:spacing w:val="-2"/>
                      <w:sz w:val="20"/>
                    </w:rPr>
                    <w:t>The</w:t>
                  </w:r>
                  <w:r>
                    <w:rPr>
                      <w:rFonts w:ascii="Avenir Next Condensed"/>
                      <w:spacing w:val="-4"/>
                      <w:sz w:val="20"/>
                    </w:rPr>
                    <w:t xml:space="preserve"> Panel </w:t>
                  </w:r>
                  <w:r>
                    <w:rPr>
                      <w:rFonts w:ascii="Avenir Next Condensed"/>
                      <w:spacing w:val="-2"/>
                      <w:sz w:val="20"/>
                    </w:rPr>
                    <w:t>has</w:t>
                  </w:r>
                  <w:r>
                    <w:rPr>
                      <w:rFonts w:ascii="Avenir Next Condensed"/>
                      <w:spacing w:val="-4"/>
                      <w:sz w:val="20"/>
                    </w:rPr>
                    <w:t xml:space="preserve"> </w:t>
                  </w:r>
                  <w:r>
                    <w:rPr>
                      <w:rFonts w:ascii="Avenir Next Condensed"/>
                      <w:spacing w:val="-2"/>
                      <w:sz w:val="20"/>
                    </w:rPr>
                    <w:t>obtained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62"/>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revised</w:t>
                  </w:r>
                  <w:r>
                    <w:rPr>
                      <w:rFonts w:ascii="Avenir Next Condensed"/>
                      <w:spacing w:val="-4"/>
                      <w:sz w:val="20"/>
                    </w:rPr>
                    <w:t xml:space="preserve"> </w:t>
                  </w:r>
                  <w:r>
                    <w:rPr>
                      <w:rFonts w:ascii="Avenir Next Condensed"/>
                      <w:spacing w:val="-2"/>
                      <w:sz w:val="20"/>
                    </w:rPr>
                    <w:t>data,</w:t>
                  </w:r>
                  <w:r>
                    <w:rPr>
                      <w:rFonts w:ascii="Avenir Next Condensed"/>
                      <w:spacing w:val="-10"/>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has</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2"/>
                      <w:sz w:val="20"/>
                    </w:rPr>
                    <w:t>careful</w:t>
                  </w:r>
                  <w:r>
                    <w:rPr>
                      <w:rFonts w:ascii="Avenir Next Condensed"/>
                      <w:spacing w:val="-4"/>
                      <w:sz w:val="20"/>
                    </w:rPr>
                    <w:t xml:space="preserve"> </w:t>
                  </w:r>
                  <w:r>
                    <w:rPr>
                      <w:rFonts w:ascii="Avenir Next Condensed"/>
                      <w:spacing w:val="-2"/>
                      <w:sz w:val="20"/>
                    </w:rPr>
                    <w:t>decisions</w:t>
                  </w:r>
                  <w:r>
                    <w:rPr>
                      <w:rFonts w:ascii="Avenir Next Condensed"/>
                      <w:spacing w:val="-4"/>
                      <w:sz w:val="20"/>
                    </w:rPr>
                    <w:t xml:space="preserve"> </w:t>
                  </w:r>
                  <w:r>
                    <w:rPr>
                      <w:rFonts w:ascii="Avenir Next Condensed"/>
                      <w:spacing w:val="-2"/>
                      <w:sz w:val="20"/>
                    </w:rPr>
                    <w:t>about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use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data</w:t>
                  </w:r>
                  <w:r>
                    <w:rPr>
                      <w:rFonts w:ascii="Avenir Next Condensed"/>
                      <w:spacing w:val="-4"/>
                      <w:sz w:val="20"/>
                    </w:rPr>
                    <w:t xml:space="preserve"> </w:t>
                  </w:r>
                  <w:r>
                    <w:rPr>
                      <w:rFonts w:ascii="Avenir Next Condensed"/>
                      <w:spacing w:val="-2"/>
                      <w:sz w:val="20"/>
                    </w:rPr>
                    <w:t>when</w:t>
                  </w:r>
                  <w:r>
                    <w:rPr>
                      <w:rFonts w:ascii="Avenir Next Condensed"/>
                      <w:spacing w:val="-4"/>
                      <w:sz w:val="20"/>
                    </w:rPr>
                    <w:t xml:space="preserve"> </w:t>
                  </w:r>
                  <w:r>
                    <w:rPr>
                      <w:rFonts w:ascii="Avenir Next Condensed"/>
                      <w:spacing w:val="-2"/>
                      <w:sz w:val="20"/>
                    </w:rPr>
                    <w:t>evaluating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individual</w:t>
                  </w:r>
                  <w:r>
                    <w:rPr>
                      <w:rFonts w:ascii="Avenir Next Condensed"/>
                      <w:spacing w:val="-4"/>
                      <w:sz w:val="20"/>
                    </w:rPr>
                    <w:t xml:space="preserve"> </w:t>
                  </w:r>
                  <w:r>
                    <w:rPr>
                      <w:rFonts w:ascii="Avenir Next Condensed"/>
                      <w:spacing w:val="-2"/>
                      <w:sz w:val="20"/>
                    </w:rPr>
                    <w:t>variables</w:t>
                  </w:r>
                  <w:r>
                    <w:rPr>
                      <w:rFonts w:ascii="Avenir Next Condensed"/>
                      <w:spacing w:val="64"/>
                      <w:sz w:val="20"/>
                    </w:rPr>
                    <w:t xml:space="preserve"> </w:t>
                  </w:r>
                  <w:r>
                    <w:rPr>
                      <w:rFonts w:ascii="Avenir Next Condensed"/>
                      <w:spacing w:val="-2"/>
                      <w:sz w:val="20"/>
                    </w:rPr>
                    <w:t>included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pricing</w:t>
                  </w:r>
                  <w:r>
                    <w:rPr>
                      <w:rFonts w:ascii="Avenir Next Condensed"/>
                      <w:spacing w:val="-4"/>
                      <w:sz w:val="20"/>
                    </w:rPr>
                    <w:t xml:space="preserve"> </w:t>
                  </w:r>
                  <w:r>
                    <w:rPr>
                      <w:rFonts w:ascii="Avenir Next Condensed"/>
                      <w:spacing w:val="-2"/>
                      <w:sz w:val="20"/>
                    </w:rPr>
                    <w:t>decision.</w:t>
                  </w:r>
                  <w:r>
                    <w:rPr>
                      <w:rFonts w:ascii="Avenir Next Condensed"/>
                      <w:spacing w:val="-13"/>
                      <w:sz w:val="20"/>
                    </w:rPr>
                    <w:t xml:space="preserve"> </w:t>
                  </w:r>
                  <w:r>
                    <w:rPr>
                      <w:rFonts w:ascii="Avenir Next Condensed"/>
                      <w:spacing w:val="-2"/>
                      <w:sz w:val="20"/>
                    </w:rPr>
                    <w:t>Where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Panel </w:t>
                  </w:r>
                  <w:r>
                    <w:rPr>
                      <w:rFonts w:ascii="Avenir Next Condensed"/>
                      <w:spacing w:val="-2"/>
                      <w:sz w:val="20"/>
                    </w:rPr>
                    <w:t>has</w:t>
                  </w:r>
                  <w:r>
                    <w:rPr>
                      <w:rFonts w:ascii="Avenir Next Condensed"/>
                      <w:spacing w:val="-4"/>
                      <w:sz w:val="20"/>
                    </w:rPr>
                    <w:t xml:space="preserve"> </w:t>
                  </w:r>
                  <w:r>
                    <w:rPr>
                      <w:rFonts w:ascii="Avenir Next Condensed"/>
                      <w:spacing w:val="-2"/>
                      <w:sz w:val="20"/>
                    </w:rPr>
                    <w:t>determined</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ignoring</w:t>
                  </w:r>
                  <w:r>
                    <w:rPr>
                      <w:rFonts w:ascii="Avenir Next Condensed"/>
                      <w:spacing w:val="-4"/>
                      <w:sz w:val="20"/>
                    </w:rPr>
                    <w:t xml:space="preserve"> </w:t>
                  </w:r>
                  <w:r>
                    <w:rPr>
                      <w:rFonts w:ascii="Avenir Next Condensed"/>
                      <w:spacing w:val="-2"/>
                      <w:sz w:val="20"/>
                    </w:rPr>
                    <w:t>new</w:t>
                  </w:r>
                  <w:r>
                    <w:rPr>
                      <w:rFonts w:ascii="Avenir Next Condensed"/>
                      <w:spacing w:val="-4"/>
                      <w:sz w:val="20"/>
                    </w:rPr>
                    <w:t xml:space="preserve"> </w:t>
                  </w:r>
                  <w:r>
                    <w:rPr>
                      <w:rFonts w:ascii="Avenir Next Condensed"/>
                      <w:spacing w:val="-2"/>
                      <w:sz w:val="20"/>
                    </w:rPr>
                    <w:t>information</w:t>
                  </w:r>
                  <w:r>
                    <w:rPr>
                      <w:rFonts w:ascii="Avenir Next Condensed"/>
                      <w:spacing w:val="-4"/>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2"/>
                      <w:sz w:val="20"/>
                    </w:rPr>
                    <w:t>prevent</w:t>
                  </w:r>
                  <w:r>
                    <w:rPr>
                      <w:rFonts w:ascii="Avenir Next Condensed"/>
                      <w:spacing w:val="-4"/>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2"/>
                      <w:sz w:val="20"/>
                    </w:rPr>
                    <w:t>making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correct</w:t>
                  </w:r>
                  <w:r>
                    <w:rPr>
                      <w:rFonts w:ascii="Avenir Next Condensed"/>
                      <w:spacing w:val="7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3"/>
                      <w:sz w:val="20"/>
                    </w:rPr>
                    <w:t>preferable</w:t>
                  </w:r>
                  <w:r>
                    <w:rPr>
                      <w:rFonts w:ascii="Avenir Next Condensed"/>
                      <w:spacing w:val="-4"/>
                      <w:sz w:val="20"/>
                    </w:rPr>
                    <w:t xml:space="preserve"> </w:t>
                  </w:r>
                  <w:r>
                    <w:rPr>
                      <w:rFonts w:ascii="Avenir Next Condensed"/>
                      <w:spacing w:val="-2"/>
                      <w:sz w:val="20"/>
                    </w:rPr>
                    <w:t>decision,</w:t>
                  </w:r>
                  <w:r>
                    <w:rPr>
                      <w:rFonts w:ascii="Avenir Next Condensed"/>
                      <w:spacing w:val="-10"/>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2"/>
                      <w:sz w:val="20"/>
                    </w:rPr>
                    <w:t>has</w:t>
                  </w:r>
                  <w:r>
                    <w:rPr>
                      <w:rFonts w:ascii="Avenir Next Condensed"/>
                      <w:spacing w:val="-4"/>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new</w:t>
                  </w:r>
                  <w:r>
                    <w:rPr>
                      <w:rFonts w:ascii="Avenir Next Condensed"/>
                      <w:spacing w:val="-4"/>
                      <w:sz w:val="20"/>
                    </w:rPr>
                    <w:t xml:space="preserve"> </w:t>
                  </w:r>
                  <w:r>
                    <w:rPr>
                      <w:rFonts w:ascii="Avenir Next Condensed"/>
                      <w:spacing w:val="-2"/>
                      <w:sz w:val="20"/>
                    </w:rPr>
                    <w:t>information.</w:t>
                  </w:r>
                </w:p>
              </w:txbxContent>
            </v:textbox>
          </v:shape>
        </w:pict>
      </w:r>
    </w:p>
    <w:p w:rsidR="00D96B91" w:rsidRDefault="00D96B91">
      <w:pPr>
        <w:spacing w:before="7"/>
        <w:rPr>
          <w:rFonts w:ascii="Avenir Next" w:eastAsia="Avenir Next" w:hAnsi="Avenir Next" w:cs="Avenir Next"/>
          <w:b/>
          <w:bCs/>
          <w:sz w:val="21"/>
          <w:szCs w:val="21"/>
        </w:rPr>
      </w:pPr>
    </w:p>
    <w:p w:rsidR="00D96B91" w:rsidRDefault="00C2656B">
      <w:pPr>
        <w:pStyle w:val="Heading6"/>
        <w:numPr>
          <w:ilvl w:val="2"/>
          <w:numId w:val="125"/>
        </w:numPr>
        <w:tabs>
          <w:tab w:val="left" w:pos="2098"/>
        </w:tabs>
        <w:spacing w:before="35"/>
        <w:ind w:left="2097" w:hanging="850"/>
        <w:rPr>
          <w:rFonts w:cs="Avenir Next Medium"/>
        </w:rPr>
      </w:pPr>
      <w:r>
        <w:rPr>
          <w:color w:val="0778BE"/>
        </w:rPr>
        <w:t xml:space="preserve">Phase 3: </w:t>
      </w:r>
      <w:r>
        <w:rPr>
          <w:color w:val="0778BE"/>
          <w:spacing w:val="-2"/>
        </w:rPr>
        <w:t>Public</w:t>
      </w:r>
      <w:r>
        <w:rPr>
          <w:color w:val="0778BE"/>
        </w:rPr>
        <w:t xml:space="preserve"> </w:t>
      </w:r>
      <w:r>
        <w:rPr>
          <w:color w:val="0778BE"/>
          <w:spacing w:val="-1"/>
        </w:rPr>
        <w:t>consultation</w:t>
      </w:r>
      <w:r>
        <w:rPr>
          <w:color w:val="0778BE"/>
        </w:rPr>
        <w:t xml:space="preserve"> and final decision-making</w:t>
      </w:r>
    </w:p>
    <w:p w:rsidR="00D96B91" w:rsidRDefault="00C2656B">
      <w:pPr>
        <w:pStyle w:val="BodyText"/>
        <w:spacing w:before="21" w:line="260" w:lineRule="exact"/>
        <w:ind w:right="1513"/>
      </w:pPr>
      <w:r>
        <w:rPr>
          <w:spacing w:val="-2"/>
        </w:rPr>
        <w:t>The</w:t>
      </w:r>
      <w:r>
        <w:t xml:space="preserve"> </w:t>
      </w:r>
      <w:r>
        <w:rPr>
          <w:spacing w:val="-3"/>
        </w:rPr>
        <w:t>Panel</w:t>
      </w:r>
      <w:r>
        <w:t xml:space="preserve"> now invites all </w:t>
      </w:r>
      <w:r>
        <w:rPr>
          <w:spacing w:val="-1"/>
        </w:rPr>
        <w:t>stakeholders</w:t>
      </w:r>
      <w:r>
        <w:t xml:space="preserve"> including members of</w:t>
      </w:r>
      <w:r>
        <w:rPr>
          <w:spacing w:val="4"/>
        </w:rPr>
        <w:t xml:space="preserve"> </w:t>
      </w:r>
      <w:r>
        <w:t xml:space="preserve">the community to </w:t>
      </w:r>
      <w:r>
        <w:rPr>
          <w:spacing w:val="-1"/>
        </w:rPr>
        <w:t>make</w:t>
      </w:r>
      <w:r>
        <w:t xml:space="preserve"> a </w:t>
      </w:r>
      <w:r>
        <w:rPr>
          <w:spacing w:val="-1"/>
        </w:rPr>
        <w:t>written</w:t>
      </w:r>
      <w:r>
        <w:rPr>
          <w:spacing w:val="35"/>
        </w:rPr>
        <w:t xml:space="preserve"> </w:t>
      </w:r>
      <w:r>
        <w:t xml:space="preserve">submission in </w:t>
      </w:r>
      <w:r>
        <w:rPr>
          <w:spacing w:val="-1"/>
        </w:rPr>
        <w:t>response</w:t>
      </w:r>
      <w:r>
        <w:t xml:space="preserve"> to this </w:t>
      </w:r>
      <w:r>
        <w:rPr>
          <w:spacing w:val="-2"/>
        </w:rPr>
        <w:t>draft</w:t>
      </w:r>
      <w:r>
        <w:t xml:space="preserve"> </w:t>
      </w:r>
      <w:r>
        <w:rPr>
          <w:spacing w:val="-1"/>
        </w:rPr>
        <w:t>report.</w:t>
      </w:r>
      <w:r>
        <w:rPr>
          <w:spacing w:val="-11"/>
        </w:rPr>
        <w:t xml:space="preserve"> </w:t>
      </w:r>
      <w:r>
        <w:rPr>
          <w:spacing w:val="-1"/>
        </w:rPr>
        <w:t>These</w:t>
      </w:r>
      <w:r>
        <w:t xml:space="preserve"> </w:t>
      </w:r>
      <w:r>
        <w:rPr>
          <w:spacing w:val="-1"/>
        </w:rPr>
        <w:t>written</w:t>
      </w:r>
      <w:r>
        <w:t xml:space="preserve"> submissions must be </w:t>
      </w:r>
      <w:r>
        <w:rPr>
          <w:spacing w:val="-1"/>
        </w:rPr>
        <w:t>received</w:t>
      </w:r>
      <w:r>
        <w:t xml:space="preserve"> by the </w:t>
      </w:r>
      <w:r>
        <w:rPr>
          <w:spacing w:val="-3"/>
        </w:rPr>
        <w:t>Panel</w:t>
      </w:r>
      <w:r>
        <w:rPr>
          <w:spacing w:val="41"/>
        </w:rPr>
        <w:t xml:space="preserve"> </w:t>
      </w:r>
      <w:r>
        <w:t xml:space="preserve">by </w:t>
      </w:r>
      <w:r>
        <w:rPr>
          <w:b/>
          <w:spacing w:val="-3"/>
        </w:rPr>
        <w:t>Friday,</w:t>
      </w:r>
      <w:r>
        <w:rPr>
          <w:b/>
          <w:spacing w:val="-6"/>
        </w:rPr>
        <w:t xml:space="preserve"> </w:t>
      </w:r>
      <w:r>
        <w:rPr>
          <w:b/>
        </w:rPr>
        <w:t>23</w:t>
      </w:r>
      <w:r>
        <w:rPr>
          <w:b/>
          <w:spacing w:val="-3"/>
        </w:rPr>
        <w:t xml:space="preserve"> </w:t>
      </w:r>
      <w:r>
        <w:rPr>
          <w:b/>
          <w:spacing w:val="-1"/>
        </w:rPr>
        <w:t>January</w:t>
      </w:r>
      <w:r>
        <w:rPr>
          <w:b/>
        </w:rPr>
        <w:t xml:space="preserve"> 2015</w:t>
      </w:r>
      <w:r>
        <w:t>.</w:t>
      </w:r>
      <w:r>
        <w:rPr>
          <w:spacing w:val="-6"/>
        </w:rPr>
        <w:t xml:space="preserve"> </w:t>
      </w:r>
      <w:r>
        <w:t xml:space="preserve">Details on how to </w:t>
      </w:r>
      <w:r>
        <w:rPr>
          <w:spacing w:val="-1"/>
        </w:rPr>
        <w:t>make</w:t>
      </w:r>
      <w:r>
        <w:t xml:space="preserve"> a </w:t>
      </w:r>
      <w:r>
        <w:rPr>
          <w:spacing w:val="-1"/>
        </w:rPr>
        <w:t>written</w:t>
      </w:r>
      <w:r>
        <w:t xml:space="preserve"> submission </w:t>
      </w:r>
      <w:r>
        <w:rPr>
          <w:spacing w:val="-2"/>
        </w:rPr>
        <w:t>are</w:t>
      </w:r>
      <w:r>
        <w:t xml:space="preserve"> </w:t>
      </w:r>
      <w:r>
        <w:rPr>
          <w:spacing w:val="-1"/>
        </w:rPr>
        <w:t>provided</w:t>
      </w:r>
      <w:r>
        <w:t xml:space="preserve"> on page iii.</w:t>
      </w:r>
    </w:p>
    <w:p w:rsidR="00D96B91" w:rsidRDefault="00C2656B">
      <w:pPr>
        <w:pStyle w:val="BodyText"/>
        <w:spacing w:before="178"/>
        <w:rPr>
          <w:rFonts w:cs="Avenir Next"/>
        </w:rPr>
      </w:pPr>
      <w:r>
        <w:t>In addition,</w:t>
      </w:r>
      <w:r>
        <w:rPr>
          <w:spacing w:val="-7"/>
        </w:rPr>
        <w:t xml:space="preserve"> </w:t>
      </w:r>
      <w:r>
        <w:t xml:space="preserve">the </w:t>
      </w:r>
      <w:r>
        <w:rPr>
          <w:spacing w:val="-3"/>
        </w:rPr>
        <w:t>Panel</w:t>
      </w:r>
      <w:r>
        <w:t xml:space="preserve"> will:</w:t>
      </w:r>
    </w:p>
    <w:p w:rsidR="00D96B91" w:rsidRDefault="00C2656B">
      <w:pPr>
        <w:numPr>
          <w:ilvl w:val="0"/>
          <w:numId w:val="131"/>
        </w:numPr>
        <w:tabs>
          <w:tab w:val="left" w:pos="1531"/>
        </w:tabs>
        <w:spacing w:before="157" w:line="267" w:lineRule="exact"/>
        <w:ind w:hanging="283"/>
        <w:rPr>
          <w:rFonts w:ascii="Avenir Next" w:eastAsia="Avenir Next" w:hAnsi="Avenir Next" w:cs="Avenir Next"/>
          <w:sz w:val="20"/>
          <w:szCs w:val="20"/>
        </w:rPr>
      </w:pPr>
      <w:r>
        <w:rPr>
          <w:rFonts w:ascii="Avenir Next"/>
          <w:b/>
          <w:sz w:val="20"/>
        </w:rPr>
        <w:t xml:space="preserve">Hold a public </w:t>
      </w:r>
      <w:r>
        <w:rPr>
          <w:rFonts w:ascii="Avenir Next"/>
          <w:b/>
          <w:spacing w:val="-1"/>
          <w:sz w:val="20"/>
        </w:rPr>
        <w:t>hearing</w:t>
      </w:r>
      <w:r>
        <w:rPr>
          <w:rFonts w:ascii="Avenir Next"/>
          <w:b/>
          <w:sz w:val="20"/>
        </w:rPr>
        <w:t xml:space="preserve"> </w:t>
      </w:r>
      <w:r>
        <w:rPr>
          <w:rFonts w:ascii="Avenir Next"/>
          <w:spacing w:val="-1"/>
          <w:sz w:val="20"/>
        </w:rPr>
        <w:t>(targeted</w:t>
      </w:r>
      <w:r>
        <w:rPr>
          <w:rFonts w:ascii="Avenir Next"/>
          <w:sz w:val="20"/>
        </w:rPr>
        <w:t xml:space="preserve"> for </w:t>
      </w:r>
      <w:r>
        <w:rPr>
          <w:rFonts w:ascii="Avenir Next"/>
          <w:spacing w:val="-1"/>
          <w:sz w:val="20"/>
        </w:rPr>
        <w:t>early</w:t>
      </w:r>
      <w:r>
        <w:rPr>
          <w:rFonts w:ascii="Avenir Next"/>
          <w:sz w:val="20"/>
        </w:rPr>
        <w:t xml:space="preserve"> </w:t>
      </w:r>
      <w:r>
        <w:rPr>
          <w:rFonts w:ascii="Avenir Next"/>
          <w:spacing w:val="-2"/>
          <w:sz w:val="20"/>
        </w:rPr>
        <w:t>February)</w:t>
      </w:r>
      <w:r>
        <w:rPr>
          <w:rFonts w:ascii="Avenir Next"/>
          <w:sz w:val="20"/>
        </w:rPr>
        <w:t xml:space="preserve"> to </w:t>
      </w:r>
      <w:r>
        <w:rPr>
          <w:rFonts w:ascii="Avenir Next"/>
          <w:spacing w:val="-1"/>
          <w:sz w:val="20"/>
        </w:rPr>
        <w:t>provide</w:t>
      </w:r>
      <w:r>
        <w:rPr>
          <w:rFonts w:ascii="Avenir Next"/>
          <w:sz w:val="20"/>
        </w:rPr>
        <w:t xml:space="preserve"> an </w:t>
      </w:r>
      <w:r>
        <w:rPr>
          <w:rFonts w:ascii="Avenir Next"/>
          <w:spacing w:val="-1"/>
          <w:sz w:val="20"/>
        </w:rPr>
        <w:t>opportunity</w:t>
      </w:r>
      <w:r>
        <w:rPr>
          <w:rFonts w:ascii="Avenir Next"/>
          <w:sz w:val="20"/>
        </w:rPr>
        <w:t xml:space="preserve"> for</w:t>
      </w:r>
      <w:r>
        <w:rPr>
          <w:rFonts w:ascii="Avenir Next"/>
          <w:spacing w:val="-4"/>
          <w:sz w:val="20"/>
        </w:rPr>
        <w:t xml:space="preserve"> </w:t>
      </w:r>
      <w:r>
        <w:rPr>
          <w:rFonts w:ascii="Avenir Next"/>
          <w:spacing w:val="-2"/>
          <w:sz w:val="20"/>
        </w:rPr>
        <w:t>ACTEW</w:t>
      </w:r>
      <w:r>
        <w:rPr>
          <w:rFonts w:ascii="Avenir Next"/>
          <w:spacing w:val="-3"/>
          <w:sz w:val="20"/>
        </w:rPr>
        <w:t xml:space="preserve"> </w:t>
      </w:r>
      <w:r>
        <w:rPr>
          <w:rFonts w:ascii="Avenir Next"/>
          <w:sz w:val="20"/>
        </w:rPr>
        <w:t>and</w:t>
      </w:r>
    </w:p>
    <w:p w:rsidR="00D96B91" w:rsidRDefault="00C2656B">
      <w:pPr>
        <w:pStyle w:val="BodyText"/>
        <w:spacing w:before="3" w:line="228" w:lineRule="auto"/>
        <w:ind w:left="1530" w:right="1356"/>
      </w:pPr>
      <w:r>
        <w:t xml:space="preserve">other </w:t>
      </w:r>
      <w:r>
        <w:rPr>
          <w:spacing w:val="-1"/>
        </w:rPr>
        <w:t>stakeholders</w:t>
      </w:r>
      <w:r>
        <w:t xml:space="preserve"> to </w:t>
      </w:r>
      <w:r>
        <w:rPr>
          <w:spacing w:val="-1"/>
        </w:rPr>
        <w:t>make</w:t>
      </w:r>
      <w:r>
        <w:t xml:space="preserve"> </w:t>
      </w:r>
      <w:r>
        <w:rPr>
          <w:spacing w:val="-1"/>
        </w:rPr>
        <w:t>oral</w:t>
      </w:r>
      <w:r>
        <w:t xml:space="preserve"> submissions.</w:t>
      </w:r>
      <w:r>
        <w:rPr>
          <w:spacing w:val="-6"/>
        </w:rPr>
        <w:t xml:space="preserve"> </w:t>
      </w:r>
      <w:r>
        <w:t xml:space="preserve">Details about the </w:t>
      </w:r>
      <w:r>
        <w:rPr>
          <w:spacing w:val="-1"/>
        </w:rPr>
        <w:t>date,</w:t>
      </w:r>
      <w:r>
        <w:rPr>
          <w:spacing w:val="-6"/>
        </w:rPr>
        <w:t xml:space="preserve"> </w:t>
      </w:r>
      <w:r>
        <w:t>time and venue for this public</w:t>
      </w:r>
      <w:r>
        <w:rPr>
          <w:spacing w:val="25"/>
        </w:rPr>
        <w:t xml:space="preserve"> </w:t>
      </w:r>
      <w:r>
        <w:rPr>
          <w:rFonts w:cs="Avenir Next"/>
          <w:spacing w:val="-1"/>
        </w:rPr>
        <w:t>hearing</w:t>
      </w:r>
      <w:r>
        <w:rPr>
          <w:rFonts w:cs="Avenir Next"/>
        </w:rPr>
        <w:t xml:space="preserve"> will be publicised </w:t>
      </w:r>
      <w:r>
        <w:rPr>
          <w:rFonts w:cs="Avenir Next"/>
          <w:spacing w:val="-2"/>
        </w:rPr>
        <w:t>widely,</w:t>
      </w:r>
      <w:r>
        <w:rPr>
          <w:rFonts w:cs="Avenir Next"/>
          <w:spacing w:val="-6"/>
        </w:rPr>
        <w:t xml:space="preserve"> </w:t>
      </w:r>
      <w:r>
        <w:rPr>
          <w:rFonts w:cs="Avenir Next"/>
        </w:rPr>
        <w:t xml:space="preserve">including in the </w:t>
      </w:r>
      <w:r>
        <w:rPr>
          <w:rFonts w:cs="Avenir Next"/>
          <w:i/>
          <w:spacing w:val="-1"/>
        </w:rPr>
        <w:t>Canberra</w:t>
      </w:r>
      <w:r>
        <w:rPr>
          <w:rFonts w:cs="Avenir Next"/>
          <w:i/>
          <w:spacing w:val="-5"/>
        </w:rPr>
        <w:t xml:space="preserve"> </w:t>
      </w:r>
      <w:r>
        <w:rPr>
          <w:rFonts w:cs="Avenir Next"/>
          <w:i/>
          <w:spacing w:val="-1"/>
        </w:rPr>
        <w:t>Times</w:t>
      </w:r>
      <w:r>
        <w:rPr>
          <w:rFonts w:cs="Avenir Next"/>
          <w:spacing w:val="-1"/>
        </w:rPr>
        <w:t>,</w:t>
      </w:r>
      <w:r>
        <w:rPr>
          <w:rFonts w:cs="Avenir Next"/>
          <w:spacing w:val="-6"/>
        </w:rPr>
        <w:t xml:space="preserve"> </w:t>
      </w:r>
      <w:r>
        <w:rPr>
          <w:rFonts w:cs="Avenir Next"/>
        </w:rPr>
        <w:t>on the</w:t>
      </w:r>
      <w:r>
        <w:rPr>
          <w:rFonts w:cs="Avenir Next"/>
          <w:spacing w:val="-4"/>
        </w:rPr>
        <w:t xml:space="preserve"> </w:t>
      </w:r>
      <w:r>
        <w:rPr>
          <w:rFonts w:cs="Avenir Next"/>
          <w:spacing w:val="-2"/>
        </w:rPr>
        <w:t>ACT</w:t>
      </w:r>
      <w:r>
        <w:rPr>
          <w:rFonts w:cs="Avenir Next"/>
          <w:spacing w:val="-5"/>
        </w:rPr>
        <w:t xml:space="preserve"> </w:t>
      </w:r>
      <w:r>
        <w:rPr>
          <w:rFonts w:cs="Avenir Next"/>
          <w:spacing w:val="-1"/>
        </w:rPr>
        <w:t>Government’s</w:t>
      </w:r>
      <w:r>
        <w:rPr>
          <w:rFonts w:cs="Avenir Next"/>
          <w:spacing w:val="43"/>
        </w:rPr>
        <w:t xml:space="preserve"> </w:t>
      </w:r>
      <w:r>
        <w:rPr>
          <w:spacing w:val="-1"/>
        </w:rPr>
        <w:t>Community</w:t>
      </w:r>
      <w:r>
        <w:t xml:space="preserve"> </w:t>
      </w:r>
      <w:r>
        <w:rPr>
          <w:spacing w:val="-1"/>
        </w:rPr>
        <w:t>Noticeboard,</w:t>
      </w:r>
      <w:r>
        <w:rPr>
          <w:spacing w:val="-6"/>
        </w:rPr>
        <w:t xml:space="preserve"> </w:t>
      </w:r>
      <w:r>
        <w:t xml:space="preserve">and on the </w:t>
      </w:r>
      <w:r>
        <w:rPr>
          <w:spacing w:val="-4"/>
        </w:rPr>
        <w:t>Panel’s</w:t>
      </w:r>
      <w:r>
        <w:t xml:space="preserve"> website.</w:t>
      </w:r>
      <w:r>
        <w:rPr>
          <w:spacing w:val="-11"/>
        </w:rPr>
        <w:t xml:space="preserve"> </w:t>
      </w:r>
      <w:r>
        <w:rPr>
          <w:spacing w:val="-2"/>
        </w:rPr>
        <w:t>The</w:t>
      </w:r>
      <w:r>
        <w:t xml:space="preserve"> </w:t>
      </w:r>
      <w:r>
        <w:rPr>
          <w:spacing w:val="-3"/>
        </w:rPr>
        <w:t>Panel</w:t>
      </w:r>
      <w:r>
        <w:t xml:space="preserve"> will also send details about the</w:t>
      </w:r>
      <w:r>
        <w:rPr>
          <w:spacing w:val="51"/>
        </w:rPr>
        <w:t xml:space="preserve"> </w:t>
      </w:r>
      <w:r>
        <w:t xml:space="preserve">public </w:t>
      </w:r>
      <w:r>
        <w:rPr>
          <w:spacing w:val="-1"/>
        </w:rPr>
        <w:t>hearing</w:t>
      </w:r>
      <w:r>
        <w:t xml:space="preserve"> to all those who have made a </w:t>
      </w:r>
      <w:r>
        <w:rPr>
          <w:spacing w:val="-1"/>
        </w:rPr>
        <w:t>written</w:t>
      </w:r>
      <w:r>
        <w:t xml:space="preserve"> submission to its </w:t>
      </w:r>
      <w:r>
        <w:rPr>
          <w:spacing w:val="-2"/>
        </w:rPr>
        <w:t>draft</w:t>
      </w:r>
      <w:r>
        <w:t xml:space="preserve"> </w:t>
      </w:r>
      <w:r>
        <w:rPr>
          <w:spacing w:val="-1"/>
        </w:rPr>
        <w:t>report.</w:t>
      </w:r>
    </w:p>
    <w:p w:rsidR="00D96B91" w:rsidRDefault="00C2656B">
      <w:pPr>
        <w:numPr>
          <w:ilvl w:val="0"/>
          <w:numId w:val="131"/>
        </w:numPr>
        <w:tabs>
          <w:tab w:val="left" w:pos="1531"/>
        </w:tabs>
        <w:spacing w:before="75"/>
        <w:ind w:hanging="283"/>
        <w:rPr>
          <w:rFonts w:ascii="Avenir Next" w:eastAsia="Avenir Next" w:hAnsi="Avenir Next" w:cs="Avenir Next"/>
          <w:sz w:val="20"/>
          <w:szCs w:val="20"/>
        </w:rPr>
      </w:pPr>
      <w:r>
        <w:rPr>
          <w:rFonts w:ascii="Avenir Next"/>
          <w:b/>
          <w:spacing w:val="-1"/>
          <w:sz w:val="20"/>
        </w:rPr>
        <w:t>Consider</w:t>
      </w:r>
      <w:r>
        <w:rPr>
          <w:rFonts w:ascii="Avenir Next"/>
          <w:b/>
          <w:sz w:val="20"/>
        </w:rPr>
        <w:t xml:space="preserve"> all </w:t>
      </w:r>
      <w:r>
        <w:rPr>
          <w:rFonts w:ascii="Avenir Next"/>
          <w:b/>
          <w:spacing w:val="-1"/>
          <w:sz w:val="20"/>
        </w:rPr>
        <w:t>written</w:t>
      </w:r>
      <w:r>
        <w:rPr>
          <w:rFonts w:ascii="Avenir Next"/>
          <w:b/>
          <w:sz w:val="20"/>
        </w:rPr>
        <w:t xml:space="preserve"> and </w:t>
      </w:r>
      <w:r>
        <w:rPr>
          <w:rFonts w:ascii="Avenir Next"/>
          <w:b/>
          <w:spacing w:val="-1"/>
          <w:sz w:val="20"/>
        </w:rPr>
        <w:t>oral</w:t>
      </w:r>
      <w:r>
        <w:rPr>
          <w:rFonts w:ascii="Avenir Next"/>
          <w:b/>
          <w:sz w:val="20"/>
        </w:rPr>
        <w:t xml:space="preserve"> submissions,</w:t>
      </w:r>
      <w:r>
        <w:rPr>
          <w:rFonts w:ascii="Avenir Next"/>
          <w:b/>
          <w:spacing w:val="-7"/>
          <w:sz w:val="20"/>
        </w:rPr>
        <w:t xml:space="preserve"> </w:t>
      </w:r>
      <w:r>
        <w:rPr>
          <w:rFonts w:ascii="Avenir Next"/>
          <w:b/>
          <w:spacing w:val="-1"/>
          <w:sz w:val="20"/>
        </w:rPr>
        <w:t>before</w:t>
      </w:r>
      <w:r>
        <w:rPr>
          <w:rFonts w:ascii="Avenir Next"/>
          <w:b/>
          <w:sz w:val="20"/>
        </w:rPr>
        <w:t xml:space="preserve"> making its final decisions.</w:t>
      </w:r>
    </w:p>
    <w:p w:rsidR="00D96B91" w:rsidRDefault="00C2656B">
      <w:pPr>
        <w:numPr>
          <w:ilvl w:val="0"/>
          <w:numId w:val="131"/>
        </w:numPr>
        <w:tabs>
          <w:tab w:val="left" w:pos="1531"/>
        </w:tabs>
        <w:spacing w:before="64" w:line="260" w:lineRule="exact"/>
        <w:ind w:right="2116" w:hanging="283"/>
        <w:rPr>
          <w:rFonts w:ascii="Avenir Next" w:eastAsia="Avenir Next" w:hAnsi="Avenir Next" w:cs="Avenir Next"/>
          <w:sz w:val="20"/>
          <w:szCs w:val="20"/>
        </w:rPr>
      </w:pPr>
      <w:r>
        <w:rPr>
          <w:rFonts w:ascii="Avenir Next"/>
          <w:b/>
          <w:sz w:val="20"/>
        </w:rPr>
        <w:t xml:space="preserve">Deliver its final </w:t>
      </w:r>
      <w:r>
        <w:rPr>
          <w:rFonts w:ascii="Avenir Next"/>
          <w:b/>
          <w:spacing w:val="-2"/>
          <w:sz w:val="20"/>
        </w:rPr>
        <w:t>report</w:t>
      </w:r>
      <w:r>
        <w:rPr>
          <w:rFonts w:ascii="Avenir Next"/>
          <w:b/>
          <w:sz w:val="20"/>
        </w:rPr>
        <w:t xml:space="preserve"> and price </w:t>
      </w:r>
      <w:r>
        <w:rPr>
          <w:rFonts w:ascii="Avenir Next"/>
          <w:b/>
          <w:spacing w:val="-1"/>
          <w:sz w:val="20"/>
        </w:rPr>
        <w:t>direction</w:t>
      </w:r>
      <w:r>
        <w:rPr>
          <w:rFonts w:ascii="Avenir Next"/>
          <w:b/>
          <w:sz w:val="20"/>
        </w:rPr>
        <w:t xml:space="preserve"> to the</w:t>
      </w:r>
      <w:r>
        <w:rPr>
          <w:rFonts w:ascii="Avenir Next"/>
          <w:b/>
          <w:spacing w:val="-4"/>
          <w:sz w:val="20"/>
        </w:rPr>
        <w:t xml:space="preserve"> </w:t>
      </w:r>
      <w:r>
        <w:rPr>
          <w:rFonts w:ascii="Avenir Next"/>
          <w:b/>
          <w:spacing w:val="-2"/>
          <w:sz w:val="20"/>
        </w:rPr>
        <w:t>ACT</w:t>
      </w:r>
      <w:r>
        <w:rPr>
          <w:rFonts w:ascii="Avenir Next"/>
          <w:b/>
          <w:spacing w:val="-10"/>
          <w:sz w:val="20"/>
        </w:rPr>
        <w:t xml:space="preserve"> </w:t>
      </w:r>
      <w:r>
        <w:rPr>
          <w:rFonts w:ascii="Avenir Next"/>
          <w:b/>
          <w:spacing w:val="-3"/>
          <w:sz w:val="20"/>
        </w:rPr>
        <w:t>Treasurer</w:t>
      </w:r>
      <w:r>
        <w:rPr>
          <w:rFonts w:ascii="Avenir Next"/>
          <w:spacing w:val="-3"/>
          <w:sz w:val="20"/>
        </w:rPr>
        <w:t>,</w:t>
      </w:r>
      <w:r>
        <w:rPr>
          <w:rFonts w:ascii="Avenir Next"/>
          <w:spacing w:val="-6"/>
          <w:sz w:val="20"/>
        </w:rPr>
        <w:t xml:space="preserve"> </w:t>
      </w:r>
      <w:r>
        <w:rPr>
          <w:rFonts w:ascii="Avenir Next"/>
          <w:sz w:val="20"/>
        </w:rPr>
        <w:t xml:space="preserve">who is then </w:t>
      </w:r>
      <w:r>
        <w:rPr>
          <w:rFonts w:ascii="Avenir Next"/>
          <w:spacing w:val="-1"/>
          <w:sz w:val="20"/>
        </w:rPr>
        <w:t>responsible</w:t>
      </w:r>
      <w:r>
        <w:rPr>
          <w:rFonts w:ascii="Avenir Next"/>
          <w:sz w:val="20"/>
        </w:rPr>
        <w:t xml:space="preserve"> for</w:t>
      </w:r>
      <w:r>
        <w:rPr>
          <w:rFonts w:ascii="Avenir Next"/>
          <w:spacing w:val="39"/>
          <w:sz w:val="20"/>
        </w:rPr>
        <w:t xml:space="preserve"> </w:t>
      </w:r>
      <w:r>
        <w:rPr>
          <w:rFonts w:ascii="Avenir Next"/>
          <w:spacing w:val="-1"/>
          <w:sz w:val="20"/>
        </w:rPr>
        <w:t>providing</w:t>
      </w:r>
      <w:r>
        <w:rPr>
          <w:rFonts w:ascii="Avenir Next"/>
          <w:sz w:val="20"/>
        </w:rPr>
        <w:t xml:space="preserve"> the </w:t>
      </w:r>
      <w:r>
        <w:rPr>
          <w:rFonts w:ascii="Avenir Next"/>
          <w:spacing w:val="-2"/>
          <w:sz w:val="20"/>
        </w:rPr>
        <w:t>report</w:t>
      </w:r>
      <w:r>
        <w:rPr>
          <w:rFonts w:ascii="Avenir Next"/>
          <w:sz w:val="20"/>
        </w:rPr>
        <w:t xml:space="preserve"> to the</w:t>
      </w:r>
      <w:r>
        <w:rPr>
          <w:rFonts w:ascii="Avenir Next"/>
          <w:spacing w:val="-4"/>
          <w:sz w:val="20"/>
        </w:rPr>
        <w:t xml:space="preserve"> </w:t>
      </w:r>
      <w:r>
        <w:rPr>
          <w:rFonts w:ascii="Avenir Next"/>
          <w:spacing w:val="-2"/>
          <w:sz w:val="20"/>
        </w:rPr>
        <w:t>ACT</w:t>
      </w:r>
      <w:r>
        <w:rPr>
          <w:rFonts w:ascii="Avenir Next"/>
          <w:spacing w:val="-5"/>
          <w:sz w:val="20"/>
        </w:rPr>
        <w:t xml:space="preserve"> </w:t>
      </w:r>
      <w:r>
        <w:rPr>
          <w:rFonts w:ascii="Avenir Next"/>
          <w:spacing w:val="-1"/>
          <w:sz w:val="20"/>
        </w:rPr>
        <w:t>Legislative</w:t>
      </w:r>
      <w:r>
        <w:rPr>
          <w:rFonts w:ascii="Avenir Next"/>
          <w:spacing w:val="-4"/>
          <w:sz w:val="20"/>
        </w:rPr>
        <w:t xml:space="preserve"> </w:t>
      </w:r>
      <w:r>
        <w:rPr>
          <w:rFonts w:ascii="Avenir Next"/>
          <w:spacing w:val="-1"/>
          <w:sz w:val="20"/>
        </w:rPr>
        <w:t>Assembly.</w:t>
      </w:r>
    </w:p>
    <w:p w:rsidR="00D96B91" w:rsidRDefault="00C2656B">
      <w:pPr>
        <w:pStyle w:val="BodyText"/>
        <w:spacing w:before="85" w:line="260" w:lineRule="exact"/>
        <w:ind w:right="1256"/>
      </w:pPr>
      <w:r>
        <w:t>At</w:t>
      </w:r>
      <w:r>
        <w:rPr>
          <w:spacing w:val="-1"/>
        </w:rPr>
        <w:t xml:space="preserve"> </w:t>
      </w:r>
      <w:r>
        <w:t>this stage,</w:t>
      </w:r>
      <w:r>
        <w:rPr>
          <w:spacing w:val="-6"/>
        </w:rPr>
        <w:t xml:space="preserve"> </w:t>
      </w:r>
      <w:r>
        <w:t>the timing of</w:t>
      </w:r>
      <w:r>
        <w:rPr>
          <w:spacing w:val="3"/>
        </w:rPr>
        <w:t xml:space="preserve"> </w:t>
      </w:r>
      <w:r>
        <w:t>delivery of</w:t>
      </w:r>
      <w:r>
        <w:rPr>
          <w:spacing w:val="4"/>
        </w:rPr>
        <w:t xml:space="preserve"> </w:t>
      </w:r>
      <w:r>
        <w:t xml:space="preserve">the final </w:t>
      </w:r>
      <w:r>
        <w:rPr>
          <w:spacing w:val="-2"/>
        </w:rPr>
        <w:t>report</w:t>
      </w:r>
      <w:r>
        <w:t xml:space="preserve"> is</w:t>
      </w:r>
      <w:r>
        <w:rPr>
          <w:spacing w:val="-1"/>
        </w:rPr>
        <w:t xml:space="preserve"> </w:t>
      </w:r>
      <w:r>
        <w:t xml:space="preserve">not </w:t>
      </w:r>
      <w:r>
        <w:rPr>
          <w:spacing w:val="-2"/>
        </w:rPr>
        <w:t>clear,</w:t>
      </w:r>
      <w:r>
        <w:rPr>
          <w:spacing w:val="-6"/>
        </w:rPr>
        <w:t xml:space="preserve"> </w:t>
      </w:r>
      <w:r>
        <w:t>as this will</w:t>
      </w:r>
      <w:r>
        <w:rPr>
          <w:spacing w:val="-1"/>
        </w:rPr>
        <w:t xml:space="preserve"> </w:t>
      </w:r>
      <w:r>
        <w:t xml:space="preserve">depend on the </w:t>
      </w:r>
      <w:r>
        <w:rPr>
          <w:spacing w:val="-2"/>
        </w:rPr>
        <w:t>nature</w:t>
      </w:r>
      <w:r>
        <w:t xml:space="preserve"> of</w:t>
      </w:r>
      <w:r>
        <w:rPr>
          <w:spacing w:val="21"/>
        </w:rPr>
        <w:t xml:space="preserve"> </w:t>
      </w:r>
      <w:r>
        <w:t xml:space="preserve">submissions the </w:t>
      </w:r>
      <w:r>
        <w:rPr>
          <w:spacing w:val="-3"/>
        </w:rPr>
        <w:t>Panel</w:t>
      </w:r>
      <w:r>
        <w:t xml:space="preserve"> </w:t>
      </w:r>
      <w:r>
        <w:rPr>
          <w:spacing w:val="-1"/>
        </w:rPr>
        <w:t>receives</w:t>
      </w:r>
      <w:r>
        <w:t xml:space="preserve"> in </w:t>
      </w:r>
      <w:r>
        <w:rPr>
          <w:spacing w:val="-1"/>
        </w:rPr>
        <w:t>response</w:t>
      </w:r>
      <w:r>
        <w:t xml:space="preserve"> to the </w:t>
      </w:r>
      <w:r>
        <w:rPr>
          <w:spacing w:val="-2"/>
        </w:rPr>
        <w:t>draft</w:t>
      </w:r>
      <w:r>
        <w:t xml:space="preserve"> </w:t>
      </w:r>
      <w:r>
        <w:rPr>
          <w:spacing w:val="-1"/>
        </w:rPr>
        <w:t>report,</w:t>
      </w:r>
      <w:r>
        <w:rPr>
          <w:spacing w:val="-6"/>
        </w:rPr>
        <w:t xml:space="preserve"> </w:t>
      </w:r>
      <w:r>
        <w:t xml:space="preserve">and the </w:t>
      </w:r>
      <w:r>
        <w:rPr>
          <w:spacing w:val="-1"/>
        </w:rPr>
        <w:t>extent</w:t>
      </w:r>
      <w:r>
        <w:t xml:space="preserve"> to which </w:t>
      </w:r>
      <w:r>
        <w:rPr>
          <w:spacing w:val="-1"/>
        </w:rPr>
        <w:t>further</w:t>
      </w:r>
      <w:r>
        <w:t xml:space="preserve"> analysis is</w:t>
      </w:r>
      <w:r>
        <w:rPr>
          <w:spacing w:val="45"/>
        </w:rPr>
        <w:t xml:space="preserve"> </w:t>
      </w:r>
      <w:r>
        <w:rPr>
          <w:spacing w:val="-1"/>
        </w:rPr>
        <w:t>required.</w:t>
      </w:r>
      <w:r>
        <w:rPr>
          <w:spacing w:val="-12"/>
        </w:rPr>
        <w:t xml:space="preserve"> </w:t>
      </w:r>
      <w:r>
        <w:rPr>
          <w:spacing w:val="-2"/>
        </w:rPr>
        <w:t>The</w:t>
      </w:r>
      <w:r>
        <w:t xml:space="preserve"> </w:t>
      </w:r>
      <w:r>
        <w:rPr>
          <w:spacing w:val="-3"/>
        </w:rPr>
        <w:t>Panel</w:t>
      </w:r>
      <w:r>
        <w:t xml:space="preserve"> will continue</w:t>
      </w:r>
      <w:r>
        <w:rPr>
          <w:spacing w:val="-1"/>
        </w:rPr>
        <w:t xml:space="preserve"> </w:t>
      </w:r>
      <w:r>
        <w:t xml:space="preserve">to </w:t>
      </w:r>
      <w:r>
        <w:rPr>
          <w:spacing w:val="-1"/>
        </w:rPr>
        <w:t>review</w:t>
      </w:r>
      <w:r>
        <w:t xml:space="preserve"> the timing of</w:t>
      </w:r>
      <w:r>
        <w:rPr>
          <w:spacing w:val="3"/>
        </w:rPr>
        <w:t xml:space="preserve"> </w:t>
      </w:r>
      <w:r>
        <w:t>delivery of</w:t>
      </w:r>
      <w:r>
        <w:rPr>
          <w:spacing w:val="4"/>
        </w:rPr>
        <w:t xml:space="preserve"> </w:t>
      </w:r>
      <w:r>
        <w:t>its final</w:t>
      </w:r>
      <w:r>
        <w:rPr>
          <w:spacing w:val="-1"/>
        </w:rPr>
        <w:t xml:space="preserve"> report,</w:t>
      </w:r>
      <w:r>
        <w:rPr>
          <w:spacing w:val="-6"/>
        </w:rPr>
        <w:t xml:space="preserve"> </w:t>
      </w:r>
      <w:r>
        <w:t xml:space="preserve">and </w:t>
      </w:r>
      <w:r>
        <w:rPr>
          <w:spacing w:val="-1"/>
        </w:rPr>
        <w:t>provide</w:t>
      </w:r>
      <w:r>
        <w:t xml:space="preserve"> </w:t>
      </w:r>
      <w:r>
        <w:rPr>
          <w:spacing w:val="-1"/>
        </w:rPr>
        <w:t>updates</w:t>
      </w:r>
      <w:r>
        <w:rPr>
          <w:spacing w:val="33"/>
        </w:rPr>
        <w:t xml:space="preserve"> </w:t>
      </w:r>
      <w:r>
        <w:t>on its website.</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rPr>
          <w:rFonts w:cs="Avenir Next Medium"/>
        </w:rPr>
      </w:pPr>
      <w:r>
        <w:rPr>
          <w:color w:val="0778BE"/>
        </w:rPr>
        <w:t>2.</w:t>
      </w:r>
      <w:r>
        <w:rPr>
          <w:color w:val="0778BE"/>
          <w:spacing w:val="-9"/>
        </w:rPr>
        <w:t xml:space="preserve"> </w:t>
      </w:r>
      <w:r>
        <w:rPr>
          <w:color w:val="0778BE"/>
        </w:rPr>
        <w:t>2</w:t>
      </w:r>
      <w:r>
        <w:rPr>
          <w:color w:val="0778BE"/>
        </w:rPr>
        <w:tab/>
      </w:r>
      <w:r>
        <w:rPr>
          <w:rFonts w:cs="Avenir Next Medium"/>
          <w:color w:val="0778BE"/>
          <w:spacing w:val="-5"/>
        </w:rPr>
        <w:t>Panel’s</w:t>
      </w:r>
      <w:r>
        <w:rPr>
          <w:rFonts w:cs="Avenir Next Medium"/>
          <w:color w:val="0778BE"/>
        </w:rPr>
        <w:t xml:space="preserve"> analytical and decision-making </w:t>
      </w:r>
      <w:r>
        <w:rPr>
          <w:rFonts w:cs="Avenir Next Medium"/>
          <w:color w:val="0778BE"/>
          <w:spacing w:val="-1"/>
        </w:rPr>
        <w:t>approach</w:t>
      </w:r>
    </w:p>
    <w:p w:rsidR="00D96B91" w:rsidRDefault="00C2656B">
      <w:pPr>
        <w:pStyle w:val="BodyText"/>
        <w:spacing w:before="55" w:line="260" w:lineRule="exact"/>
        <w:ind w:right="1256"/>
        <w:rPr>
          <w:rFonts w:cs="Avenir Next"/>
        </w:rPr>
      </w:pPr>
      <w:r>
        <w:t xml:space="preserve">In making its </w:t>
      </w:r>
      <w:r>
        <w:rPr>
          <w:spacing w:val="-2"/>
        </w:rPr>
        <w:t>draft</w:t>
      </w:r>
      <w:r>
        <w:t xml:space="preserve"> decision and </w:t>
      </w:r>
      <w:r>
        <w:rPr>
          <w:spacing w:val="-1"/>
        </w:rPr>
        <w:t>reaching</w:t>
      </w:r>
      <w:r>
        <w:t xml:space="preserve"> its </w:t>
      </w:r>
      <w:r>
        <w:rPr>
          <w:spacing w:val="-2"/>
        </w:rPr>
        <w:t>draft</w:t>
      </w:r>
      <w:r>
        <w:t xml:space="preserve"> pricing </w:t>
      </w:r>
      <w:r>
        <w:rPr>
          <w:spacing w:val="-1"/>
        </w:rPr>
        <w:t>direction,</w:t>
      </w:r>
      <w:r>
        <w:rPr>
          <w:spacing w:val="-6"/>
        </w:rPr>
        <w:t xml:space="preserve"> </w:t>
      </w:r>
      <w:r>
        <w:t xml:space="preserve">the </w:t>
      </w:r>
      <w:r>
        <w:rPr>
          <w:spacing w:val="-3"/>
        </w:rPr>
        <w:t>Panel</w:t>
      </w:r>
      <w:r>
        <w:t xml:space="preserve"> has followed an analytical</w:t>
      </w:r>
      <w:r>
        <w:rPr>
          <w:spacing w:val="37"/>
        </w:rPr>
        <w:t xml:space="preserve"> </w:t>
      </w:r>
      <w:r>
        <w:rPr>
          <w:spacing w:val="-1"/>
        </w:rPr>
        <w:t>framework</w:t>
      </w:r>
      <w:r>
        <w:t xml:space="preserve"> </w:t>
      </w:r>
      <w:r>
        <w:rPr>
          <w:spacing w:val="-1"/>
        </w:rPr>
        <w:t>that</w:t>
      </w:r>
      <w:r>
        <w:t xml:space="preserve"> comprised the following nine steps:</w:t>
      </w:r>
    </w:p>
    <w:p w:rsidR="00D96B91" w:rsidRDefault="00C2656B">
      <w:pPr>
        <w:numPr>
          <w:ilvl w:val="0"/>
          <w:numId w:val="123"/>
        </w:numPr>
        <w:tabs>
          <w:tab w:val="left" w:pos="1588"/>
        </w:tabs>
        <w:spacing w:before="170" w:line="260" w:lineRule="exact"/>
        <w:ind w:right="1419" w:hanging="340"/>
        <w:rPr>
          <w:rFonts w:ascii="Avenir Next" w:eastAsia="Avenir Next" w:hAnsi="Avenir Next" w:cs="Avenir Next"/>
          <w:sz w:val="20"/>
          <w:szCs w:val="20"/>
        </w:rPr>
      </w:pPr>
      <w:r>
        <w:rPr>
          <w:rFonts w:ascii="Avenir Next"/>
          <w:b/>
          <w:sz w:val="20"/>
        </w:rPr>
        <w:t xml:space="preserve">Understand the </w:t>
      </w:r>
      <w:r>
        <w:rPr>
          <w:rFonts w:ascii="Avenir Next"/>
          <w:b/>
          <w:spacing w:val="-1"/>
          <w:sz w:val="20"/>
        </w:rPr>
        <w:t>context</w:t>
      </w:r>
      <w:r>
        <w:rPr>
          <w:rFonts w:ascii="Avenir Next"/>
          <w:b/>
          <w:sz w:val="20"/>
        </w:rPr>
        <w:t xml:space="preserve"> in which its decisions </w:t>
      </w:r>
      <w:r>
        <w:rPr>
          <w:rFonts w:ascii="Avenir Next"/>
          <w:b/>
          <w:spacing w:val="-2"/>
          <w:sz w:val="20"/>
        </w:rPr>
        <w:t>are</w:t>
      </w:r>
      <w:r>
        <w:rPr>
          <w:rFonts w:ascii="Avenir Next"/>
          <w:b/>
          <w:sz w:val="20"/>
        </w:rPr>
        <w:t xml:space="preserve"> being made,</w:t>
      </w:r>
      <w:r>
        <w:rPr>
          <w:rFonts w:ascii="Avenir Next"/>
          <w:b/>
          <w:spacing w:val="-6"/>
          <w:sz w:val="20"/>
        </w:rPr>
        <w:t xml:space="preserve"> </w:t>
      </w:r>
      <w:r>
        <w:rPr>
          <w:rFonts w:ascii="Avenir Next"/>
          <w:sz w:val="20"/>
        </w:rPr>
        <w:t xml:space="preserve">including the </w:t>
      </w:r>
      <w:r>
        <w:rPr>
          <w:rFonts w:ascii="Avenir Next"/>
          <w:spacing w:val="-1"/>
          <w:sz w:val="20"/>
        </w:rPr>
        <w:t>delineation</w:t>
      </w:r>
      <w:r>
        <w:rPr>
          <w:rFonts w:ascii="Avenir Next"/>
          <w:sz w:val="20"/>
        </w:rPr>
        <w:t xml:space="preserve"> between</w:t>
      </w:r>
      <w:r>
        <w:rPr>
          <w:rFonts w:ascii="Avenir Next"/>
          <w:spacing w:val="27"/>
          <w:sz w:val="20"/>
        </w:rPr>
        <w:t xml:space="preserve"> </w:t>
      </w:r>
      <w:r>
        <w:rPr>
          <w:rFonts w:ascii="Avenir Next"/>
          <w:sz w:val="20"/>
        </w:rPr>
        <w:t xml:space="preserve">the </w:t>
      </w:r>
      <w:r>
        <w:rPr>
          <w:rFonts w:ascii="Avenir Next"/>
          <w:spacing w:val="-1"/>
          <w:sz w:val="20"/>
        </w:rPr>
        <w:t>roles</w:t>
      </w:r>
      <w:r>
        <w:rPr>
          <w:rFonts w:ascii="Avenir Next"/>
          <w:sz w:val="20"/>
        </w:rPr>
        <w:t xml:space="preserve"> and </w:t>
      </w:r>
      <w:r>
        <w:rPr>
          <w:rFonts w:ascii="Avenir Next"/>
          <w:spacing w:val="-1"/>
          <w:sz w:val="20"/>
        </w:rPr>
        <w:t>responsibilities</w:t>
      </w:r>
      <w:r>
        <w:rPr>
          <w:rFonts w:ascii="Avenir Next"/>
          <w:sz w:val="20"/>
        </w:rPr>
        <w:t xml:space="preserve"> of</w:t>
      </w:r>
      <w:r>
        <w:rPr>
          <w:rFonts w:ascii="Avenir Next"/>
          <w:spacing w:val="4"/>
          <w:sz w:val="20"/>
        </w:rPr>
        <w:t xml:space="preserve"> </w:t>
      </w:r>
      <w:r>
        <w:rPr>
          <w:rFonts w:ascii="Avenir Next"/>
          <w:sz w:val="20"/>
        </w:rPr>
        <w:t xml:space="preserve">the </w:t>
      </w:r>
      <w:r>
        <w:rPr>
          <w:rFonts w:ascii="Avenir Next"/>
          <w:spacing w:val="-3"/>
          <w:sz w:val="20"/>
        </w:rPr>
        <w:t>Panel</w:t>
      </w:r>
      <w:r>
        <w:rPr>
          <w:rFonts w:ascii="Avenir Next"/>
          <w:sz w:val="20"/>
        </w:rPr>
        <w:t xml:space="preserve"> and other </w:t>
      </w:r>
      <w:r>
        <w:rPr>
          <w:rFonts w:ascii="Avenir Next"/>
          <w:spacing w:val="-1"/>
          <w:sz w:val="20"/>
        </w:rPr>
        <w:t>participants</w:t>
      </w:r>
      <w:r>
        <w:rPr>
          <w:rFonts w:ascii="Avenir Next"/>
          <w:sz w:val="20"/>
        </w:rPr>
        <w:t xml:space="preserve"> in the </w:t>
      </w:r>
      <w:r>
        <w:rPr>
          <w:rFonts w:ascii="Avenir Next"/>
          <w:spacing w:val="-1"/>
          <w:sz w:val="20"/>
        </w:rPr>
        <w:t>regulatory</w:t>
      </w:r>
      <w:r>
        <w:rPr>
          <w:rFonts w:ascii="Avenir Next"/>
          <w:sz w:val="20"/>
        </w:rPr>
        <w:t xml:space="preserve"> system.</w:t>
      </w:r>
    </w:p>
    <w:p w:rsidR="00D96B91" w:rsidRDefault="00C2656B">
      <w:pPr>
        <w:numPr>
          <w:ilvl w:val="0"/>
          <w:numId w:val="123"/>
        </w:numPr>
        <w:tabs>
          <w:tab w:val="left" w:pos="1588"/>
        </w:tabs>
        <w:spacing w:before="85" w:line="260" w:lineRule="exact"/>
        <w:ind w:right="1335" w:hanging="340"/>
        <w:rPr>
          <w:rFonts w:ascii="Avenir Next" w:eastAsia="Avenir Next" w:hAnsi="Avenir Next" w:cs="Avenir Next"/>
          <w:sz w:val="20"/>
          <w:szCs w:val="20"/>
        </w:rPr>
      </w:pPr>
      <w:r>
        <w:rPr>
          <w:rFonts w:ascii="Avenir Next"/>
          <w:b/>
          <w:sz w:val="20"/>
        </w:rPr>
        <w:t xml:space="preserve">Understand the </w:t>
      </w:r>
      <w:r>
        <w:rPr>
          <w:rFonts w:ascii="Avenir Next"/>
          <w:b/>
          <w:spacing w:val="-1"/>
          <w:sz w:val="20"/>
        </w:rPr>
        <w:t>regulatory</w:t>
      </w:r>
      <w:r>
        <w:rPr>
          <w:rFonts w:ascii="Avenir Next"/>
          <w:b/>
          <w:sz w:val="20"/>
        </w:rPr>
        <w:t xml:space="preserve"> </w:t>
      </w:r>
      <w:r>
        <w:rPr>
          <w:rFonts w:ascii="Avenir Next"/>
          <w:b/>
          <w:spacing w:val="-1"/>
          <w:sz w:val="20"/>
        </w:rPr>
        <w:t>framework</w:t>
      </w:r>
      <w:r>
        <w:rPr>
          <w:rFonts w:ascii="Avenir Next"/>
          <w:b/>
          <w:sz w:val="20"/>
        </w:rPr>
        <w:t xml:space="preserve"> and best </w:t>
      </w:r>
      <w:r>
        <w:rPr>
          <w:rFonts w:ascii="Avenir Next"/>
          <w:b/>
          <w:spacing w:val="-1"/>
          <w:sz w:val="20"/>
        </w:rPr>
        <w:t>practice</w:t>
      </w:r>
      <w:r>
        <w:rPr>
          <w:rFonts w:ascii="Avenir Next"/>
          <w:b/>
          <w:sz w:val="20"/>
        </w:rPr>
        <w:t xml:space="preserve"> </w:t>
      </w:r>
      <w:r>
        <w:rPr>
          <w:rFonts w:ascii="Avenir Next"/>
          <w:b/>
          <w:spacing w:val="-1"/>
          <w:sz w:val="20"/>
        </w:rPr>
        <w:t>regulatory</w:t>
      </w:r>
      <w:r>
        <w:rPr>
          <w:rFonts w:ascii="Avenir Next"/>
          <w:b/>
          <w:sz w:val="20"/>
        </w:rPr>
        <w:t xml:space="preserve"> principles,</w:t>
      </w:r>
      <w:r>
        <w:rPr>
          <w:rFonts w:ascii="Avenir Next"/>
          <w:b/>
          <w:spacing w:val="-7"/>
          <w:sz w:val="20"/>
        </w:rPr>
        <w:t xml:space="preserve"> </w:t>
      </w:r>
      <w:r>
        <w:rPr>
          <w:rFonts w:ascii="Avenir Next"/>
          <w:sz w:val="20"/>
        </w:rPr>
        <w:t xml:space="preserve">to </w:t>
      </w:r>
      <w:r>
        <w:rPr>
          <w:rFonts w:ascii="Avenir Next"/>
          <w:spacing w:val="-1"/>
          <w:sz w:val="20"/>
        </w:rPr>
        <w:t>ensure</w:t>
      </w:r>
      <w:r>
        <w:rPr>
          <w:rFonts w:ascii="Avenir Next"/>
          <w:sz w:val="20"/>
        </w:rPr>
        <w:t xml:space="preserve"> it is </w:t>
      </w:r>
      <w:r>
        <w:rPr>
          <w:rFonts w:ascii="Avenir Next"/>
          <w:spacing w:val="-1"/>
          <w:sz w:val="20"/>
        </w:rPr>
        <w:t>aware</w:t>
      </w:r>
      <w:r>
        <w:rPr>
          <w:rFonts w:ascii="Avenir Next"/>
          <w:spacing w:val="43"/>
          <w:sz w:val="20"/>
        </w:rPr>
        <w:t xml:space="preserve"> </w:t>
      </w:r>
      <w:r>
        <w:rPr>
          <w:rFonts w:ascii="Avenir Next"/>
          <w:sz w:val="20"/>
        </w:rPr>
        <w:t>of</w:t>
      </w:r>
      <w:r>
        <w:rPr>
          <w:rFonts w:ascii="Avenir Next"/>
          <w:spacing w:val="4"/>
          <w:sz w:val="20"/>
        </w:rPr>
        <w:t xml:space="preserve"> </w:t>
      </w:r>
      <w:r>
        <w:rPr>
          <w:rFonts w:ascii="Avenir Next"/>
          <w:sz w:val="20"/>
        </w:rPr>
        <w:t xml:space="preserve">all legal </w:t>
      </w:r>
      <w:r>
        <w:rPr>
          <w:rFonts w:ascii="Avenir Next"/>
          <w:spacing w:val="-1"/>
          <w:sz w:val="20"/>
        </w:rPr>
        <w:t>matters</w:t>
      </w:r>
      <w:r>
        <w:rPr>
          <w:rFonts w:ascii="Avenir Next"/>
          <w:sz w:val="20"/>
        </w:rPr>
        <w:t xml:space="preserve"> and government </w:t>
      </w:r>
      <w:r>
        <w:rPr>
          <w:rFonts w:ascii="Avenir Next"/>
          <w:spacing w:val="-1"/>
          <w:sz w:val="20"/>
        </w:rPr>
        <w:t>directions</w:t>
      </w:r>
      <w:r>
        <w:rPr>
          <w:rFonts w:ascii="Avenir Next"/>
          <w:sz w:val="20"/>
        </w:rPr>
        <w:t xml:space="preserve"> it must have </w:t>
      </w:r>
      <w:r>
        <w:rPr>
          <w:rFonts w:ascii="Avenir Next"/>
          <w:spacing w:val="-2"/>
          <w:sz w:val="20"/>
        </w:rPr>
        <w:t>regard</w:t>
      </w:r>
      <w:r>
        <w:rPr>
          <w:rFonts w:ascii="Avenir Next"/>
          <w:sz w:val="20"/>
        </w:rPr>
        <w:t xml:space="preserve"> to in </w:t>
      </w:r>
      <w:r>
        <w:rPr>
          <w:rFonts w:ascii="Avenir Next"/>
          <w:spacing w:val="-1"/>
          <w:sz w:val="20"/>
        </w:rPr>
        <w:t>reaching</w:t>
      </w:r>
      <w:r>
        <w:rPr>
          <w:rFonts w:ascii="Avenir Next"/>
          <w:sz w:val="20"/>
        </w:rPr>
        <w:t xml:space="preserve"> its decisions,</w:t>
      </w:r>
    </w:p>
    <w:p w:rsidR="00D96B91" w:rsidRDefault="00C2656B">
      <w:pPr>
        <w:pStyle w:val="BodyText"/>
        <w:spacing w:line="260" w:lineRule="exact"/>
        <w:ind w:left="1587" w:right="1283"/>
      </w:pPr>
      <w:r>
        <w:t xml:space="preserve">and </w:t>
      </w:r>
      <w:r>
        <w:rPr>
          <w:spacing w:val="-1"/>
        </w:rPr>
        <w:t>that</w:t>
      </w:r>
      <w:r>
        <w:t xml:space="preserve"> its analytical and decision-making methods </w:t>
      </w:r>
      <w:r>
        <w:rPr>
          <w:spacing w:val="-2"/>
        </w:rPr>
        <w:t>are</w:t>
      </w:r>
      <w:r>
        <w:t xml:space="preserve"> consistent with best </w:t>
      </w:r>
      <w:r>
        <w:rPr>
          <w:spacing w:val="-1"/>
        </w:rPr>
        <w:t>practice</w:t>
      </w:r>
      <w:r>
        <w:t xml:space="preserve"> </w:t>
      </w:r>
      <w:r>
        <w:rPr>
          <w:spacing w:val="-1"/>
        </w:rPr>
        <w:t>regulation</w:t>
      </w:r>
      <w:r>
        <w:t xml:space="preserve"> in</w:t>
      </w:r>
      <w:r>
        <w:rPr>
          <w:spacing w:val="27"/>
        </w:rPr>
        <w:t xml:space="preserve"> </w:t>
      </w:r>
      <w:r>
        <w:rPr>
          <w:spacing w:val="-1"/>
        </w:rPr>
        <w:t>Australia.</w:t>
      </w:r>
    </w:p>
    <w:p w:rsidR="00D96B91" w:rsidRDefault="00C2656B">
      <w:pPr>
        <w:pStyle w:val="BodyText"/>
        <w:numPr>
          <w:ilvl w:val="0"/>
          <w:numId w:val="123"/>
        </w:numPr>
        <w:tabs>
          <w:tab w:val="left" w:pos="1588"/>
        </w:tabs>
        <w:spacing w:before="85" w:line="260" w:lineRule="exact"/>
        <w:ind w:right="1567" w:hanging="340"/>
        <w:jc w:val="both"/>
      </w:pPr>
      <w:r>
        <w:rPr>
          <w:rFonts w:cs="Avenir Next"/>
          <w:b/>
          <w:bCs/>
        </w:rPr>
        <w:t>Determine the scope of</w:t>
      </w:r>
      <w:r>
        <w:rPr>
          <w:rFonts w:cs="Avenir Next"/>
          <w:b/>
          <w:bCs/>
          <w:spacing w:val="4"/>
        </w:rPr>
        <w:t xml:space="preserve"> </w:t>
      </w:r>
      <w:r>
        <w:rPr>
          <w:rFonts w:cs="Avenir Next"/>
          <w:b/>
          <w:bCs/>
        </w:rPr>
        <w:t xml:space="preserve">the </w:t>
      </w:r>
      <w:r>
        <w:rPr>
          <w:rFonts w:cs="Avenir Next"/>
          <w:b/>
          <w:bCs/>
          <w:spacing w:val="-4"/>
        </w:rPr>
        <w:t>Panel’s</w:t>
      </w:r>
      <w:r>
        <w:rPr>
          <w:rFonts w:cs="Avenir Next"/>
          <w:b/>
          <w:bCs/>
        </w:rPr>
        <w:t xml:space="preserve"> </w:t>
      </w:r>
      <w:r>
        <w:rPr>
          <w:rFonts w:cs="Avenir Next"/>
          <w:b/>
          <w:bCs/>
          <w:spacing w:val="-1"/>
        </w:rPr>
        <w:t>review</w:t>
      </w:r>
      <w:r>
        <w:rPr>
          <w:rFonts w:cs="Avenir Next"/>
          <w:spacing w:val="-1"/>
        </w:rPr>
        <w:t>,</w:t>
      </w:r>
      <w:r>
        <w:rPr>
          <w:rFonts w:cs="Avenir Next"/>
          <w:spacing w:val="-6"/>
        </w:rPr>
        <w:t xml:space="preserve"> </w:t>
      </w:r>
      <w:r>
        <w:rPr>
          <w:rFonts w:cs="Avenir Next"/>
        </w:rPr>
        <w:t xml:space="preserve">to </w:t>
      </w:r>
      <w:r>
        <w:rPr>
          <w:rFonts w:cs="Avenir Next"/>
          <w:spacing w:val="-1"/>
        </w:rPr>
        <w:t>ensure</w:t>
      </w:r>
      <w:r>
        <w:rPr>
          <w:rFonts w:cs="Avenir Next"/>
        </w:rPr>
        <w:t xml:space="preserve"> it will </w:t>
      </w:r>
      <w:r>
        <w:rPr>
          <w:rFonts w:cs="Avenir Next"/>
          <w:spacing w:val="-1"/>
        </w:rPr>
        <w:t>address</w:t>
      </w:r>
      <w:r>
        <w:rPr>
          <w:rFonts w:cs="Avenir Next"/>
        </w:rPr>
        <w:t xml:space="preserve"> all </w:t>
      </w:r>
      <w:r>
        <w:rPr>
          <w:rFonts w:cs="Avenir Next"/>
          <w:spacing w:val="-1"/>
        </w:rPr>
        <w:t>matters</w:t>
      </w:r>
      <w:r>
        <w:rPr>
          <w:rFonts w:cs="Avenir Next"/>
        </w:rPr>
        <w:t xml:space="preserve"> </w:t>
      </w:r>
      <w:r>
        <w:rPr>
          <w:rFonts w:cs="Avenir Next"/>
          <w:spacing w:val="-1"/>
        </w:rPr>
        <w:t>that</w:t>
      </w:r>
      <w:r>
        <w:rPr>
          <w:rFonts w:cs="Avenir Next"/>
        </w:rPr>
        <w:t xml:space="preserve"> </w:t>
      </w:r>
      <w:r>
        <w:rPr>
          <w:rFonts w:cs="Avenir Next"/>
          <w:spacing w:val="-2"/>
        </w:rPr>
        <w:t>are</w:t>
      </w:r>
      <w:r>
        <w:rPr>
          <w:rFonts w:cs="Avenir Next"/>
        </w:rPr>
        <w:t xml:space="preserve"> within its</w:t>
      </w:r>
      <w:r>
        <w:rPr>
          <w:rFonts w:cs="Avenir Next"/>
          <w:spacing w:val="39"/>
        </w:rPr>
        <w:t xml:space="preserve"> </w:t>
      </w:r>
      <w:r>
        <w:rPr>
          <w:spacing w:val="-1"/>
        </w:rPr>
        <w:t xml:space="preserve">remit </w:t>
      </w:r>
      <w:r>
        <w:t>and may</w:t>
      </w:r>
      <w:r>
        <w:rPr>
          <w:spacing w:val="-1"/>
        </w:rPr>
        <w:t xml:space="preserve"> </w:t>
      </w:r>
      <w:r>
        <w:t>have a</w:t>
      </w:r>
      <w:r>
        <w:rPr>
          <w:spacing w:val="-1"/>
        </w:rPr>
        <w:t xml:space="preserve"> material</w:t>
      </w:r>
      <w:r>
        <w:t xml:space="preserve"> impact</w:t>
      </w:r>
      <w:r>
        <w:rPr>
          <w:spacing w:val="-1"/>
        </w:rPr>
        <w:t xml:space="preserve"> </w:t>
      </w:r>
      <w:r>
        <w:t xml:space="preserve">on </w:t>
      </w:r>
      <w:r>
        <w:rPr>
          <w:spacing w:val="-1"/>
        </w:rPr>
        <w:t xml:space="preserve">water </w:t>
      </w:r>
      <w:r>
        <w:t xml:space="preserve">and </w:t>
      </w:r>
      <w:r>
        <w:rPr>
          <w:spacing w:val="-1"/>
        </w:rPr>
        <w:t xml:space="preserve">sewerage </w:t>
      </w:r>
      <w:r>
        <w:t>prices and/or</w:t>
      </w:r>
      <w:r>
        <w:rPr>
          <w:spacing w:val="-1"/>
        </w:rPr>
        <w:t xml:space="preserve"> </w:t>
      </w:r>
      <w:r>
        <w:t>the financial</w:t>
      </w:r>
      <w:r>
        <w:rPr>
          <w:spacing w:val="-1"/>
        </w:rPr>
        <w:t xml:space="preserve"> </w:t>
      </w:r>
      <w:r>
        <w:t>viability</w:t>
      </w:r>
      <w:r>
        <w:rPr>
          <w:spacing w:val="31"/>
        </w:rPr>
        <w:t xml:space="preserve"> </w:t>
      </w:r>
      <w:r>
        <w:t>of</w:t>
      </w:r>
      <w:r>
        <w:rPr>
          <w:spacing w:val="1"/>
        </w:rPr>
        <w:t xml:space="preserve"> </w:t>
      </w:r>
      <w:r>
        <w:rPr>
          <w:spacing w:val="-4"/>
        </w:rPr>
        <w:t>ACTEW.</w:t>
      </w:r>
    </w:p>
    <w:p w:rsidR="00D96B91" w:rsidRDefault="00C2656B">
      <w:pPr>
        <w:numPr>
          <w:ilvl w:val="0"/>
          <w:numId w:val="123"/>
        </w:numPr>
        <w:tabs>
          <w:tab w:val="left" w:pos="1588"/>
        </w:tabs>
        <w:spacing w:before="85" w:line="260" w:lineRule="exact"/>
        <w:ind w:right="1705" w:hanging="340"/>
        <w:rPr>
          <w:rFonts w:ascii="Avenir Next" w:eastAsia="Avenir Next" w:hAnsi="Avenir Next" w:cs="Avenir Next"/>
          <w:sz w:val="20"/>
          <w:szCs w:val="20"/>
        </w:rPr>
      </w:pPr>
      <w:r>
        <w:rPr>
          <w:rFonts w:ascii="Avenir Next"/>
          <w:b/>
          <w:sz w:val="20"/>
        </w:rPr>
        <w:t>Decide on the form of</w:t>
      </w:r>
      <w:r>
        <w:rPr>
          <w:rFonts w:ascii="Avenir Next"/>
          <w:b/>
          <w:spacing w:val="4"/>
          <w:sz w:val="20"/>
        </w:rPr>
        <w:t xml:space="preserve"> </w:t>
      </w:r>
      <w:r>
        <w:rPr>
          <w:rFonts w:ascii="Avenir Next"/>
          <w:b/>
          <w:spacing w:val="-1"/>
          <w:sz w:val="20"/>
        </w:rPr>
        <w:t>regulatory</w:t>
      </w:r>
      <w:r>
        <w:rPr>
          <w:rFonts w:ascii="Avenir Next"/>
          <w:b/>
          <w:sz w:val="20"/>
        </w:rPr>
        <w:t xml:space="preserve"> </w:t>
      </w:r>
      <w:r>
        <w:rPr>
          <w:rFonts w:ascii="Avenir Next"/>
          <w:b/>
          <w:spacing w:val="-1"/>
          <w:sz w:val="20"/>
        </w:rPr>
        <w:t>control,</w:t>
      </w:r>
      <w:r>
        <w:rPr>
          <w:rFonts w:ascii="Avenir Next"/>
          <w:b/>
          <w:spacing w:val="-6"/>
          <w:sz w:val="20"/>
        </w:rPr>
        <w:t xml:space="preserve"> </w:t>
      </w:r>
      <w:r>
        <w:rPr>
          <w:rFonts w:ascii="Avenir Next"/>
          <w:b/>
          <w:sz w:val="20"/>
        </w:rPr>
        <w:t>length of</w:t>
      </w:r>
      <w:r>
        <w:rPr>
          <w:rFonts w:ascii="Avenir Next"/>
          <w:b/>
          <w:spacing w:val="4"/>
          <w:sz w:val="20"/>
        </w:rPr>
        <w:t xml:space="preserve"> </w:t>
      </w:r>
      <w:r>
        <w:rPr>
          <w:rFonts w:ascii="Avenir Next"/>
          <w:b/>
          <w:spacing w:val="-1"/>
          <w:sz w:val="20"/>
        </w:rPr>
        <w:t>regulatory</w:t>
      </w:r>
      <w:r>
        <w:rPr>
          <w:rFonts w:ascii="Avenir Next"/>
          <w:b/>
          <w:sz w:val="20"/>
        </w:rPr>
        <w:t xml:space="preserve"> period and other risk </w:t>
      </w:r>
      <w:r>
        <w:rPr>
          <w:rFonts w:ascii="Avenir Next"/>
          <w:b/>
          <w:spacing w:val="-1"/>
          <w:sz w:val="20"/>
        </w:rPr>
        <w:t>allocation</w:t>
      </w:r>
      <w:r>
        <w:rPr>
          <w:rFonts w:ascii="Avenir Next"/>
          <w:b/>
          <w:spacing w:val="39"/>
          <w:sz w:val="20"/>
        </w:rPr>
        <w:t xml:space="preserve"> </w:t>
      </w:r>
      <w:r>
        <w:rPr>
          <w:rFonts w:ascii="Avenir Next"/>
          <w:b/>
          <w:sz w:val="20"/>
        </w:rPr>
        <w:t xml:space="preserve">tools </w:t>
      </w:r>
      <w:r>
        <w:rPr>
          <w:rFonts w:ascii="Avenir Next"/>
          <w:sz w:val="20"/>
        </w:rPr>
        <w:t xml:space="preserve">to be used in the </w:t>
      </w:r>
      <w:r>
        <w:rPr>
          <w:rFonts w:ascii="Avenir Next"/>
          <w:spacing w:val="-1"/>
          <w:sz w:val="20"/>
        </w:rPr>
        <w:t>regulatory</w:t>
      </w:r>
      <w:r>
        <w:rPr>
          <w:rFonts w:ascii="Avenir Next"/>
          <w:sz w:val="20"/>
        </w:rPr>
        <w:t xml:space="preserve"> period.</w:t>
      </w:r>
    </w:p>
    <w:p w:rsidR="00D96B91" w:rsidRDefault="00C2656B">
      <w:pPr>
        <w:numPr>
          <w:ilvl w:val="0"/>
          <w:numId w:val="123"/>
        </w:numPr>
        <w:tabs>
          <w:tab w:val="left" w:pos="1588"/>
        </w:tabs>
        <w:spacing w:before="93"/>
        <w:ind w:hanging="340"/>
        <w:rPr>
          <w:rFonts w:ascii="Avenir Next" w:eastAsia="Avenir Next" w:hAnsi="Avenir Next" w:cs="Avenir Next"/>
          <w:sz w:val="20"/>
          <w:szCs w:val="20"/>
        </w:rPr>
      </w:pPr>
      <w:bookmarkStart w:id="18" w:name="_bookmark8"/>
      <w:bookmarkEnd w:id="18"/>
      <w:r>
        <w:rPr>
          <w:rFonts w:ascii="Avenir Next"/>
          <w:b/>
          <w:sz w:val="20"/>
        </w:rPr>
        <w:t xml:space="preserve">Determine the methodology to be used to </w:t>
      </w:r>
      <w:r>
        <w:rPr>
          <w:rFonts w:ascii="Avenir Next"/>
          <w:b/>
          <w:spacing w:val="-1"/>
          <w:sz w:val="20"/>
        </w:rPr>
        <w:t>calculate</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prices</w:t>
      </w:r>
      <w:r>
        <w:rPr>
          <w:rFonts w:ascii="Avenir Next"/>
          <w:sz w:val="20"/>
        </w:rPr>
        <w:t>.</w:t>
      </w:r>
    </w:p>
    <w:p w:rsidR="00D96B91" w:rsidRDefault="00D96B91">
      <w:pPr>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C2656B">
      <w:pPr>
        <w:numPr>
          <w:ilvl w:val="0"/>
          <w:numId w:val="123"/>
        </w:numPr>
        <w:tabs>
          <w:tab w:val="left" w:pos="1588"/>
        </w:tabs>
        <w:spacing w:before="21" w:line="260" w:lineRule="exact"/>
        <w:ind w:right="1454" w:hanging="340"/>
        <w:rPr>
          <w:rFonts w:ascii="Avenir Next" w:eastAsia="Avenir Next" w:hAnsi="Avenir Next" w:cs="Avenir Next"/>
          <w:sz w:val="20"/>
          <w:szCs w:val="20"/>
        </w:rPr>
      </w:pPr>
      <w:bookmarkStart w:id="19" w:name="_bookmark9"/>
      <w:bookmarkEnd w:id="19"/>
      <w:r>
        <w:rPr>
          <w:rFonts w:ascii="Avenir Next" w:eastAsia="Avenir Next" w:hAnsi="Avenir Next" w:cs="Avenir Next"/>
          <w:b/>
          <w:bCs/>
          <w:spacing w:val="-1"/>
          <w:sz w:val="20"/>
          <w:szCs w:val="20"/>
        </w:rPr>
        <w:t>Undertake</w:t>
      </w:r>
      <w:r>
        <w:rPr>
          <w:rFonts w:ascii="Avenir Next" w:eastAsia="Avenir Next" w:hAnsi="Avenir Next" w:cs="Avenir Next"/>
          <w:b/>
          <w:bCs/>
          <w:sz w:val="20"/>
          <w:szCs w:val="20"/>
        </w:rPr>
        <w:t xml:space="preserve"> a </w:t>
      </w:r>
      <w:r>
        <w:rPr>
          <w:rFonts w:ascii="Avenir Next" w:eastAsia="Avenir Next" w:hAnsi="Avenir Next" w:cs="Avenir Next"/>
          <w:b/>
          <w:bCs/>
          <w:spacing w:val="-1"/>
          <w:sz w:val="20"/>
          <w:szCs w:val="20"/>
        </w:rPr>
        <w:t>review</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all the pricing </w:t>
      </w:r>
      <w:r>
        <w:rPr>
          <w:rFonts w:ascii="Avenir Next" w:eastAsia="Avenir Next" w:hAnsi="Avenir Next" w:cs="Avenir Next"/>
          <w:b/>
          <w:bCs/>
          <w:spacing w:val="-1"/>
          <w:sz w:val="20"/>
          <w:szCs w:val="20"/>
        </w:rPr>
        <w:t>related</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matters</w:t>
      </w:r>
      <w:r>
        <w:rPr>
          <w:rFonts w:ascii="Avenir Next" w:eastAsia="Avenir Next" w:hAnsi="Avenir Next" w:cs="Avenir Next"/>
          <w:b/>
          <w:bCs/>
          <w:sz w:val="20"/>
          <w:szCs w:val="20"/>
        </w:rPr>
        <w:t xml:space="preserve"> </w:t>
      </w:r>
      <w:r>
        <w:rPr>
          <w:rFonts w:ascii="Avenir Next" w:eastAsia="Avenir Next" w:hAnsi="Avenir Next" w:cs="Avenir Next"/>
          <w:spacing w:val="-1"/>
          <w:sz w:val="20"/>
          <w:szCs w:val="20"/>
        </w:rPr>
        <w:t>that</w:t>
      </w:r>
      <w:r>
        <w:rPr>
          <w:rFonts w:ascii="Avenir Next" w:eastAsia="Avenir Next" w:hAnsi="Avenir Next" w:cs="Avenir Next"/>
          <w:sz w:val="20"/>
          <w:szCs w:val="20"/>
        </w:rPr>
        <w:t xml:space="preserve"> </w:t>
      </w:r>
      <w:r>
        <w:rPr>
          <w:rFonts w:ascii="Avenir Next" w:eastAsia="Avenir Next" w:hAnsi="Avenir Next" w:cs="Avenir Next"/>
          <w:spacing w:val="-2"/>
          <w:sz w:val="20"/>
          <w:szCs w:val="20"/>
        </w:rPr>
        <w:t>are</w:t>
      </w:r>
      <w:r>
        <w:rPr>
          <w:rFonts w:ascii="Avenir Next" w:eastAsia="Avenir Next" w:hAnsi="Avenir Next" w:cs="Avenir Next"/>
          <w:sz w:val="20"/>
          <w:szCs w:val="20"/>
        </w:rPr>
        <w:t xml:space="preserve"> within scope and decide whether or</w:t>
      </w:r>
      <w:r>
        <w:rPr>
          <w:rFonts w:ascii="Avenir Next" w:eastAsia="Avenir Next" w:hAnsi="Avenir Next" w:cs="Avenir Next"/>
          <w:spacing w:val="23"/>
          <w:sz w:val="20"/>
          <w:szCs w:val="20"/>
        </w:rPr>
        <w:t xml:space="preserve"> </w:t>
      </w:r>
      <w:r>
        <w:rPr>
          <w:rFonts w:ascii="Avenir Next" w:eastAsia="Avenir Next" w:hAnsi="Avenir Next" w:cs="Avenir Next"/>
          <w:sz w:val="20"/>
          <w:szCs w:val="20"/>
        </w:rPr>
        <w:t xml:space="preserve">not to accept the </w:t>
      </w:r>
      <w:r>
        <w:rPr>
          <w:rFonts w:ascii="Avenir Next" w:eastAsia="Avenir Next" w:hAnsi="Avenir Next" w:cs="Avenir Next"/>
          <w:spacing w:val="-2"/>
          <w:sz w:val="20"/>
          <w:szCs w:val="20"/>
        </w:rPr>
        <w:t>ICRC’s</w:t>
      </w:r>
      <w:r>
        <w:rPr>
          <w:rFonts w:ascii="Avenir Next" w:eastAsia="Avenir Next" w:hAnsi="Avenir Next" w:cs="Avenir Next"/>
          <w:sz w:val="20"/>
          <w:szCs w:val="20"/>
        </w:rPr>
        <w:t xml:space="preserve"> constituent decisions.</w:t>
      </w:r>
    </w:p>
    <w:p w:rsidR="00D96B91" w:rsidRDefault="00C2656B">
      <w:pPr>
        <w:numPr>
          <w:ilvl w:val="0"/>
          <w:numId w:val="123"/>
        </w:numPr>
        <w:tabs>
          <w:tab w:val="left" w:pos="1588"/>
        </w:tabs>
        <w:spacing w:before="93"/>
        <w:ind w:hanging="340"/>
        <w:rPr>
          <w:rFonts w:ascii="Avenir Next" w:eastAsia="Avenir Next" w:hAnsi="Avenir Next" w:cs="Avenir Next"/>
          <w:sz w:val="20"/>
          <w:szCs w:val="20"/>
        </w:rPr>
      </w:pPr>
      <w:r>
        <w:rPr>
          <w:rFonts w:ascii="Avenir Next" w:eastAsia="Avenir Next" w:hAnsi="Avenir Next" w:cs="Avenir Next"/>
          <w:spacing w:val="-1"/>
          <w:sz w:val="20"/>
          <w:szCs w:val="20"/>
        </w:rPr>
        <w:t>C</w:t>
      </w:r>
      <w:r>
        <w:rPr>
          <w:rFonts w:ascii="Avenir Next" w:eastAsia="Avenir Next" w:hAnsi="Avenir Next" w:cs="Avenir Next"/>
          <w:b/>
          <w:bCs/>
          <w:spacing w:val="-1"/>
          <w:sz w:val="20"/>
          <w:szCs w:val="20"/>
        </w:rPr>
        <w:t>alculate</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annual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w:t>
      </w:r>
      <w:r>
        <w:rPr>
          <w:rFonts w:ascii="Avenir Next" w:eastAsia="Avenir Next" w:hAnsi="Avenir Next" w:cs="Avenir Next"/>
          <w:sz w:val="20"/>
          <w:szCs w:val="20"/>
        </w:rPr>
        <w:t>using the decisions in steps 4 to 6.</w:t>
      </w:r>
    </w:p>
    <w:p w:rsidR="00D96B91" w:rsidRDefault="00C2656B">
      <w:pPr>
        <w:numPr>
          <w:ilvl w:val="0"/>
          <w:numId w:val="123"/>
        </w:numPr>
        <w:tabs>
          <w:tab w:val="left" w:pos="1588"/>
        </w:tabs>
        <w:spacing w:before="64" w:line="260" w:lineRule="exact"/>
        <w:ind w:right="1501" w:hanging="340"/>
        <w:rPr>
          <w:rFonts w:ascii="Avenir Next" w:eastAsia="Avenir Next" w:hAnsi="Avenir Next" w:cs="Avenir Next"/>
          <w:sz w:val="20"/>
          <w:szCs w:val="20"/>
        </w:rPr>
      </w:pPr>
      <w:r>
        <w:rPr>
          <w:rFonts w:ascii="Avenir Next"/>
          <w:b/>
          <w:spacing w:val="-1"/>
          <w:sz w:val="20"/>
        </w:rPr>
        <w:t>Calculate</w:t>
      </w:r>
      <w:r>
        <w:rPr>
          <w:rFonts w:ascii="Avenir Next"/>
          <w:b/>
          <w:sz w:val="20"/>
        </w:rPr>
        <w:t xml:space="preserve"> the prices for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services </w:t>
      </w:r>
      <w:r>
        <w:rPr>
          <w:rFonts w:ascii="Avenir Next"/>
          <w:spacing w:val="-1"/>
          <w:sz w:val="20"/>
        </w:rPr>
        <w:t>that</w:t>
      </w:r>
      <w:r>
        <w:rPr>
          <w:rFonts w:ascii="Avenir Next"/>
          <w:sz w:val="20"/>
        </w:rPr>
        <w:t xml:space="preserve"> </w:t>
      </w:r>
      <w:r>
        <w:rPr>
          <w:rFonts w:ascii="Avenir Next"/>
          <w:spacing w:val="-2"/>
          <w:sz w:val="20"/>
        </w:rPr>
        <w:t>are</w:t>
      </w:r>
      <w:r>
        <w:rPr>
          <w:rFonts w:ascii="Avenir Next"/>
          <w:sz w:val="20"/>
        </w:rPr>
        <w:t xml:space="preserve"> consistent with enabling</w:t>
      </w:r>
      <w:r>
        <w:rPr>
          <w:rFonts w:ascii="Avenir Next"/>
          <w:spacing w:val="-4"/>
          <w:sz w:val="20"/>
        </w:rPr>
        <w:t xml:space="preserve"> </w:t>
      </w:r>
      <w:r>
        <w:rPr>
          <w:rFonts w:ascii="Avenir Next"/>
          <w:spacing w:val="-2"/>
          <w:sz w:val="20"/>
        </w:rPr>
        <w:t>ACTEW</w:t>
      </w:r>
      <w:r>
        <w:rPr>
          <w:rFonts w:ascii="Avenir Next"/>
          <w:spacing w:val="-3"/>
          <w:sz w:val="20"/>
        </w:rPr>
        <w:t xml:space="preserve"> </w:t>
      </w:r>
      <w:r>
        <w:rPr>
          <w:rFonts w:ascii="Avenir Next"/>
          <w:sz w:val="20"/>
        </w:rPr>
        <w:t>to</w:t>
      </w:r>
      <w:r>
        <w:rPr>
          <w:rFonts w:ascii="Avenir Next"/>
          <w:spacing w:val="35"/>
          <w:sz w:val="20"/>
        </w:rPr>
        <w:t xml:space="preserve"> </w:t>
      </w:r>
      <w:r>
        <w:rPr>
          <w:rFonts w:ascii="Avenir Next"/>
          <w:spacing w:val="-1"/>
          <w:sz w:val="20"/>
        </w:rPr>
        <w:t>generate</w:t>
      </w:r>
      <w:r>
        <w:rPr>
          <w:rFonts w:ascii="Avenir Next"/>
          <w:sz w:val="20"/>
        </w:rPr>
        <w:t xml:space="preserve"> this </w:t>
      </w:r>
      <w:r>
        <w:rPr>
          <w:rFonts w:ascii="Avenir Next"/>
          <w:spacing w:val="-1"/>
          <w:sz w:val="20"/>
        </w:rPr>
        <w:t>revenue</w:t>
      </w:r>
      <w:r>
        <w:rPr>
          <w:rFonts w:ascii="Avenir Next"/>
          <w:sz w:val="20"/>
        </w:rPr>
        <w:t xml:space="preserve"> given the </w:t>
      </w:r>
      <w:r>
        <w:rPr>
          <w:rFonts w:ascii="Avenir Next"/>
          <w:spacing w:val="-1"/>
          <w:sz w:val="20"/>
        </w:rPr>
        <w:t>forecast</w:t>
      </w:r>
      <w:r>
        <w:rPr>
          <w:rFonts w:ascii="Avenir Next"/>
          <w:sz w:val="20"/>
        </w:rPr>
        <w:t xml:space="preserve"> demand for these services (determined in step 6).</w:t>
      </w:r>
    </w:p>
    <w:p w:rsidR="00D96B91" w:rsidRDefault="00C2656B">
      <w:pPr>
        <w:numPr>
          <w:ilvl w:val="0"/>
          <w:numId w:val="123"/>
        </w:numPr>
        <w:tabs>
          <w:tab w:val="left" w:pos="1588"/>
        </w:tabs>
        <w:spacing w:before="85" w:line="260" w:lineRule="exact"/>
        <w:ind w:right="1251" w:hanging="340"/>
        <w:rPr>
          <w:rFonts w:ascii="Avenir Next" w:eastAsia="Avenir Next" w:hAnsi="Avenir Next" w:cs="Avenir Next"/>
          <w:sz w:val="20"/>
          <w:szCs w:val="20"/>
        </w:rPr>
      </w:pPr>
      <w:r>
        <w:rPr>
          <w:rFonts w:ascii="Avenir Next" w:eastAsia="Avenir Next" w:hAnsi="Avenir Next" w:cs="Avenir Next"/>
          <w:b/>
          <w:bCs/>
          <w:spacing w:val="-1"/>
          <w:sz w:val="20"/>
          <w:szCs w:val="20"/>
        </w:rPr>
        <w:t xml:space="preserve">Consider </w:t>
      </w:r>
      <w:r>
        <w:rPr>
          <w:rFonts w:ascii="Avenir Next" w:eastAsia="Avenir Next" w:hAnsi="Avenir Next" w:cs="Avenir Next"/>
          <w:b/>
          <w:bCs/>
          <w:sz w:val="20"/>
          <w:szCs w:val="20"/>
        </w:rPr>
        <w:t>whether these prices</w:t>
      </w:r>
      <w:r>
        <w:rPr>
          <w:rFonts w:ascii="Avenir Next" w:eastAsia="Avenir Next" w:hAnsi="Avenir Next" w:cs="Avenir Next"/>
          <w:b/>
          <w:bCs/>
          <w:spacing w:val="-1"/>
          <w:sz w:val="20"/>
          <w:szCs w:val="20"/>
        </w:rPr>
        <w:t xml:space="preserve"> </w:t>
      </w:r>
      <w:r>
        <w:rPr>
          <w:rFonts w:ascii="Avenir Next" w:eastAsia="Avenir Next" w:hAnsi="Avenir Next" w:cs="Avenir Next"/>
          <w:b/>
          <w:bCs/>
          <w:spacing w:val="-2"/>
          <w:sz w:val="20"/>
          <w:szCs w:val="20"/>
        </w:rPr>
        <w:t>are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reasonable</w:t>
      </w:r>
      <w:r>
        <w:rPr>
          <w:rFonts w:ascii="Avenir Next" w:eastAsia="Avenir Next" w:hAnsi="Avenir Next" w:cs="Avenir Next"/>
          <w:b/>
          <w:bCs/>
          <w:sz w:val="20"/>
          <w:szCs w:val="20"/>
        </w:rPr>
        <w:t xml:space="preserve"> </w:t>
      </w:r>
      <w:r>
        <w:rPr>
          <w:rFonts w:ascii="Avenir Next" w:eastAsia="Avenir Next" w:hAnsi="Avenir Next" w:cs="Avenir Next"/>
          <w:sz w:val="20"/>
          <w:szCs w:val="20"/>
        </w:rPr>
        <w:t>by</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assessing their impact on</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customers,</w:t>
      </w:r>
      <w:r>
        <w:rPr>
          <w:rFonts w:ascii="Avenir Next" w:eastAsia="Avenir Next" w:hAnsi="Avenir Next" w:cs="Avenir Next"/>
          <w:spacing w:val="-7"/>
          <w:sz w:val="20"/>
          <w:szCs w:val="20"/>
        </w:rPr>
        <w:t xml:space="preserve"> </w:t>
      </w:r>
      <w:r>
        <w:rPr>
          <w:rFonts w:ascii="Avenir Next" w:eastAsia="Avenir Next" w:hAnsi="Avenir Next" w:cs="Avenir Next"/>
          <w:spacing w:val="-1"/>
          <w:sz w:val="20"/>
          <w:szCs w:val="20"/>
        </w:rPr>
        <w:t>inflation</w:t>
      </w:r>
      <w:r>
        <w:rPr>
          <w:rFonts w:ascii="Avenir Next" w:eastAsia="Avenir Next" w:hAnsi="Avenir Next" w:cs="Avenir Next"/>
          <w:sz w:val="20"/>
          <w:szCs w:val="20"/>
        </w:rPr>
        <w:t xml:space="preserve"> and</w:t>
      </w:r>
      <w:r>
        <w:rPr>
          <w:rFonts w:ascii="Avenir Next" w:eastAsia="Avenir Next" w:hAnsi="Avenir Next" w:cs="Avenir Next"/>
          <w:spacing w:val="37"/>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financial</w:t>
      </w:r>
      <w:r>
        <w:rPr>
          <w:rFonts w:ascii="Avenir Next" w:eastAsia="Avenir Next" w:hAnsi="Avenir Next" w:cs="Avenir Next"/>
          <w:spacing w:val="-4"/>
          <w:sz w:val="20"/>
          <w:szCs w:val="20"/>
        </w:rPr>
        <w:t xml:space="preserve"> </w:t>
      </w:r>
      <w:r>
        <w:rPr>
          <w:rFonts w:ascii="Avenir Next" w:eastAsia="Avenir Next" w:hAnsi="Avenir Next" w:cs="Avenir Next"/>
          <w:spacing w:val="-1"/>
          <w:sz w:val="20"/>
          <w:szCs w:val="20"/>
        </w:rPr>
        <w:t>viability.</w:t>
      </w:r>
    </w:p>
    <w:p w:rsidR="00D96B91" w:rsidRDefault="00C2656B">
      <w:pPr>
        <w:numPr>
          <w:ilvl w:val="0"/>
          <w:numId w:val="123"/>
        </w:numPr>
        <w:tabs>
          <w:tab w:val="left" w:pos="1588"/>
        </w:tabs>
        <w:spacing w:before="85" w:line="260" w:lineRule="exact"/>
        <w:ind w:right="1725" w:hanging="340"/>
        <w:rPr>
          <w:rFonts w:ascii="Avenir Next" w:eastAsia="Avenir Next" w:hAnsi="Avenir Next" w:cs="Avenir Next"/>
          <w:sz w:val="20"/>
          <w:szCs w:val="20"/>
        </w:rPr>
      </w:pPr>
      <w:r>
        <w:rPr>
          <w:rFonts w:ascii="Avenir Next"/>
          <w:b/>
          <w:sz w:val="20"/>
        </w:rPr>
        <w:t xml:space="preserve">Decide to confirm the original price </w:t>
      </w:r>
      <w:r>
        <w:rPr>
          <w:rFonts w:ascii="Avenir Next"/>
          <w:b/>
          <w:spacing w:val="-1"/>
          <w:sz w:val="20"/>
        </w:rPr>
        <w:t>direction</w:t>
      </w:r>
      <w:r>
        <w:rPr>
          <w:rFonts w:ascii="Avenir Next"/>
          <w:b/>
          <w:sz w:val="20"/>
        </w:rPr>
        <w:t xml:space="preserve"> or substitute a new price decision</w:t>
      </w:r>
      <w:r>
        <w:rPr>
          <w:rFonts w:ascii="Avenir Next"/>
          <w:sz w:val="20"/>
        </w:rPr>
        <w:t>,</w:t>
      </w:r>
      <w:r>
        <w:rPr>
          <w:rFonts w:ascii="Avenir Next"/>
          <w:spacing w:val="-6"/>
          <w:sz w:val="20"/>
        </w:rPr>
        <w:t xml:space="preserve"> </w:t>
      </w:r>
      <w:r>
        <w:rPr>
          <w:rFonts w:ascii="Avenir Next"/>
          <w:sz w:val="20"/>
        </w:rPr>
        <w:t>based on the</w:t>
      </w:r>
      <w:r>
        <w:rPr>
          <w:rFonts w:ascii="Avenir Next"/>
          <w:spacing w:val="25"/>
          <w:sz w:val="20"/>
        </w:rPr>
        <w:t xml:space="preserve"> </w:t>
      </w:r>
      <w:r>
        <w:rPr>
          <w:rFonts w:ascii="Avenir Next"/>
          <w:sz w:val="20"/>
        </w:rPr>
        <w:t>outputs of</w:t>
      </w:r>
      <w:r>
        <w:rPr>
          <w:rFonts w:ascii="Avenir Next"/>
          <w:spacing w:val="4"/>
          <w:sz w:val="20"/>
        </w:rPr>
        <w:t xml:space="preserve"> </w:t>
      </w:r>
      <w:r>
        <w:rPr>
          <w:rFonts w:ascii="Avenir Next"/>
          <w:sz w:val="20"/>
        </w:rPr>
        <w:t>the above steps.</w:t>
      </w:r>
    </w:p>
    <w:p w:rsidR="00D96B91" w:rsidRDefault="00C2656B">
      <w:pPr>
        <w:pStyle w:val="BodyText"/>
        <w:spacing w:before="93" w:line="267" w:lineRule="exact"/>
      </w:pPr>
      <w:r>
        <w:rPr>
          <w:spacing w:val="-2"/>
        </w:rPr>
        <w:t>The</w:t>
      </w:r>
      <w:r>
        <w:t xml:space="preserve"> </w:t>
      </w:r>
      <w:r>
        <w:rPr>
          <w:spacing w:val="-1"/>
        </w:rPr>
        <w:t>structure</w:t>
      </w:r>
      <w:r>
        <w:t xml:space="preserve"> of</w:t>
      </w:r>
      <w:r>
        <w:rPr>
          <w:spacing w:val="4"/>
        </w:rPr>
        <w:t xml:space="preserve"> </w:t>
      </w:r>
      <w:r>
        <w:t xml:space="preserve">the </w:t>
      </w:r>
      <w:r>
        <w:rPr>
          <w:spacing w:val="-1"/>
        </w:rPr>
        <w:t>rest</w:t>
      </w:r>
      <w:r>
        <w:t xml:space="preserve"> of</w:t>
      </w:r>
      <w:r>
        <w:rPr>
          <w:spacing w:val="4"/>
        </w:rPr>
        <w:t xml:space="preserve"> </w:t>
      </w:r>
      <w:r>
        <w:t xml:space="preserve">this </w:t>
      </w:r>
      <w:r>
        <w:rPr>
          <w:spacing w:val="-2"/>
        </w:rPr>
        <w:t>draft</w:t>
      </w:r>
      <w:r>
        <w:t xml:space="preserve"> </w:t>
      </w:r>
      <w:r>
        <w:rPr>
          <w:spacing w:val="-2"/>
        </w:rPr>
        <w:t>report</w:t>
      </w:r>
      <w:r>
        <w:t xml:space="preserve"> follows the sequence of</w:t>
      </w:r>
      <w:r>
        <w:rPr>
          <w:spacing w:val="4"/>
        </w:rPr>
        <w:t xml:space="preserve"> </w:t>
      </w:r>
      <w:r>
        <w:t>these steps,</w:t>
      </w:r>
      <w:r>
        <w:rPr>
          <w:spacing w:val="-7"/>
        </w:rPr>
        <w:t xml:space="preserve"> </w:t>
      </w:r>
      <w:r>
        <w:t xml:space="preserve">as </w:t>
      </w:r>
      <w:r>
        <w:rPr>
          <w:spacing w:val="-1"/>
        </w:rPr>
        <w:t>illustrated</w:t>
      </w:r>
      <w:r>
        <w:t xml:space="preserve"> in </w:t>
      </w:r>
      <w:hyperlink w:anchor="_bookmark9" w:history="1">
        <w:r>
          <w:rPr>
            <w:spacing w:val="-2"/>
          </w:rPr>
          <w:t>Figure</w:t>
        </w:r>
      </w:hyperlink>
    </w:p>
    <w:p w:rsidR="00D96B91" w:rsidRDefault="00D96B91">
      <w:pPr>
        <w:pStyle w:val="BodyText"/>
        <w:spacing w:line="267" w:lineRule="exact"/>
      </w:pPr>
      <w:hyperlink w:anchor="_bookmark9" w:history="1">
        <w:r w:rsidR="00C2656B">
          <w:t>2.1</w:t>
        </w:r>
      </w:hyperlink>
      <w:r w:rsidR="00C2656B">
        <w:t xml:space="preserve"> </w:t>
      </w:r>
      <w:r w:rsidR="00C2656B">
        <w:rPr>
          <w:spacing w:val="-2"/>
        </w:rPr>
        <w:t>below.</w:t>
      </w:r>
    </w:p>
    <w:p w:rsidR="00D96B91" w:rsidRDefault="00D96B91">
      <w:pPr>
        <w:spacing w:line="267"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2"/>
          <w:sz w:val="20"/>
          <w:szCs w:val="20"/>
        </w:rPr>
        <w:t>Figure</w:t>
      </w:r>
      <w:r>
        <w:rPr>
          <w:rFonts w:ascii="Avenir Next" w:eastAsia="Avenir Next" w:hAnsi="Avenir Next" w:cs="Avenir Next"/>
          <w:b/>
          <w:bCs/>
          <w:sz w:val="20"/>
          <w:szCs w:val="20"/>
        </w:rPr>
        <w:t xml:space="preserve"> 2.1:</w:t>
      </w:r>
      <w:r>
        <w:rPr>
          <w:rFonts w:ascii="Avenir Next" w:eastAsia="Avenir Next" w:hAnsi="Avenir Next" w:cs="Avenir Next"/>
          <w:b/>
          <w:bCs/>
          <w:spacing w:val="-5"/>
          <w:sz w:val="20"/>
          <w:szCs w:val="20"/>
        </w:rPr>
        <w:t xml:space="preserve"> </w:t>
      </w:r>
      <w:r>
        <w:rPr>
          <w:rFonts w:ascii="Avenir Next" w:eastAsia="Avenir Next" w:hAnsi="Avenir Next" w:cs="Avenir Next"/>
          <w:b/>
          <w:bCs/>
          <w:spacing w:val="-2"/>
          <w:sz w:val="20"/>
          <w:szCs w:val="20"/>
        </w:rPr>
        <w:t>The</w:t>
      </w:r>
      <w:r>
        <w:rPr>
          <w:rFonts w:ascii="Avenir Next" w:eastAsia="Avenir Next" w:hAnsi="Avenir Next" w:cs="Avenir Next"/>
          <w:b/>
          <w:bCs/>
          <w:sz w:val="20"/>
          <w:szCs w:val="20"/>
        </w:rPr>
        <w:t xml:space="preserv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analytical </w:t>
      </w:r>
      <w:r>
        <w:rPr>
          <w:rFonts w:ascii="Avenir Next" w:eastAsia="Avenir Next" w:hAnsi="Avenir Next" w:cs="Avenir Next"/>
          <w:b/>
          <w:bCs/>
          <w:spacing w:val="-1"/>
          <w:sz w:val="20"/>
          <w:szCs w:val="20"/>
        </w:rPr>
        <w:t>framework</w:t>
      </w:r>
    </w:p>
    <w:p w:rsidR="00D96B91" w:rsidRDefault="00D96B91">
      <w:pPr>
        <w:spacing w:before="11"/>
        <w:rPr>
          <w:rFonts w:ascii="Avenir Next" w:eastAsia="Avenir Next" w:hAnsi="Avenir Next" w:cs="Avenir Next"/>
          <w:b/>
          <w:bCs/>
          <w:sz w:val="17"/>
          <w:szCs w:val="17"/>
        </w:rPr>
      </w:pPr>
    </w:p>
    <w:p w:rsidR="00D96B91" w:rsidRDefault="00D96B91">
      <w:pPr>
        <w:pStyle w:val="BodyText"/>
        <w:tabs>
          <w:tab w:val="left" w:pos="8135"/>
        </w:tabs>
        <w:spacing w:line="200" w:lineRule="atLeast"/>
        <w:ind w:left="1261"/>
        <w:rPr>
          <w:rFonts w:cs="Avenir Next"/>
        </w:rPr>
      </w:pPr>
      <w:r w:rsidRPr="00D96B91">
        <w:pict>
          <v:group id="_x0000_s3444" style="width:324.05pt;height:62.05pt;mso-position-horizontal-relative:char;mso-position-vertical-relative:line" coordsize="6481,1241">
            <v:group id="_x0000_s3445" style="position:absolute;width:6481;height:1241" coordsize="6481,1241">
              <v:shape id="_x0000_s3449" style="position:absolute;width:6481;height:1241" coordsize="6481,1241" path="m5305,952r-4130,l3240,1240,5305,952xe" fillcolor="#f26921" stroked="f">
                <v:path arrowok="t"/>
              </v:shape>
              <v:shape id="_x0000_s3448" style="position:absolute;width:6481;height:1241" coordsize="6481,1241" path="m3801,834r-1122,l2679,952r1122,l3801,834xe" fillcolor="#f26921" stroked="f">
                <v:path arrowok="t"/>
              </v:shape>
              <v:shape id="_x0000_s3447" style="position:absolute;width:6481;height:1241" coordsize="6481,1241" path="m6480,l,,,834r6480,l6480,xe" fillcolor="#f26921" stroked="f">
                <v:path arrowok="t"/>
              </v:shape>
              <v:shape id="_x0000_s3446" type="#_x0000_t202" style="position:absolute;width:6481;height:1241" filled="f" stroked="f">
                <v:textbox style="mso-next-textbox:#_x0000_s3446" inset="0,0,0,0">
                  <w:txbxContent>
                    <w:p w:rsidR="008A79D5" w:rsidRDefault="008A79D5">
                      <w:pPr>
                        <w:spacing w:before="6"/>
                        <w:rPr>
                          <w:rFonts w:ascii="Avenir Next" w:eastAsia="Avenir Next" w:hAnsi="Avenir Next" w:cs="Avenir Next"/>
                          <w:b/>
                          <w:bCs/>
                          <w:sz w:val="16"/>
                          <w:szCs w:val="16"/>
                        </w:rPr>
                      </w:pPr>
                    </w:p>
                    <w:p w:rsidR="008A79D5" w:rsidRDefault="008A79D5">
                      <w:pPr>
                        <w:spacing w:line="190" w:lineRule="auto"/>
                        <w:ind w:left="1681" w:right="1058" w:hanging="638"/>
                        <w:rPr>
                          <w:rFonts w:ascii="Avenir Next" w:eastAsia="Avenir Next" w:hAnsi="Avenir Next" w:cs="Avenir Next"/>
                          <w:sz w:val="24"/>
                          <w:szCs w:val="24"/>
                        </w:rPr>
                      </w:pPr>
                      <w:r>
                        <w:rPr>
                          <w:rFonts w:ascii="Avenir Next" w:eastAsia="Avenir Next" w:hAnsi="Avenir Next" w:cs="Avenir Next"/>
                          <w:b/>
                          <w:bCs/>
                          <w:color w:val="FFFFFF"/>
                          <w:spacing w:val="-1"/>
                          <w:sz w:val="24"/>
                          <w:szCs w:val="24"/>
                        </w:rPr>
                        <w:t>Step1:</w:t>
                      </w:r>
                      <w:r>
                        <w:rPr>
                          <w:rFonts w:ascii="Avenir Next" w:eastAsia="Avenir Next" w:hAnsi="Avenir Next" w:cs="Avenir Next"/>
                          <w:b/>
                          <w:bCs/>
                          <w:color w:val="FFFFFF"/>
                          <w:sz w:val="24"/>
                          <w:szCs w:val="24"/>
                        </w:rPr>
                        <w:t xml:space="preserve"> Understand the </w:t>
                      </w:r>
                      <w:r>
                        <w:rPr>
                          <w:rFonts w:ascii="Avenir Next" w:eastAsia="Avenir Next" w:hAnsi="Avenir Next" w:cs="Avenir Next"/>
                          <w:b/>
                          <w:bCs/>
                          <w:color w:val="FFFFFF"/>
                          <w:spacing w:val="-1"/>
                          <w:sz w:val="24"/>
                          <w:szCs w:val="24"/>
                        </w:rPr>
                        <w:t>context</w:t>
                      </w:r>
                      <w:r>
                        <w:rPr>
                          <w:rFonts w:ascii="Avenir Next" w:eastAsia="Avenir Next" w:hAnsi="Avenir Next" w:cs="Avenir Next"/>
                          <w:b/>
                          <w:bCs/>
                          <w:color w:val="FFFFFF"/>
                          <w:sz w:val="24"/>
                          <w:szCs w:val="24"/>
                        </w:rPr>
                        <w:t xml:space="preserve"> in which</w:t>
                      </w:r>
                      <w:r>
                        <w:rPr>
                          <w:rFonts w:ascii="Avenir Next" w:eastAsia="Avenir Next" w:hAnsi="Avenir Next" w:cs="Avenir Next"/>
                          <w:b/>
                          <w:bCs/>
                          <w:color w:val="FFFFFF"/>
                          <w:spacing w:val="28"/>
                          <w:sz w:val="24"/>
                          <w:szCs w:val="24"/>
                        </w:rPr>
                        <w:t xml:space="preserve"> </w:t>
                      </w:r>
                      <w:r>
                        <w:rPr>
                          <w:rFonts w:ascii="Avenir Next" w:eastAsia="Avenir Next" w:hAnsi="Avenir Next" w:cs="Avenir Next"/>
                          <w:b/>
                          <w:bCs/>
                          <w:color w:val="FFFFFF"/>
                          <w:sz w:val="24"/>
                          <w:szCs w:val="24"/>
                        </w:rPr>
                        <w:t xml:space="preserve">the </w:t>
                      </w:r>
                      <w:r>
                        <w:rPr>
                          <w:rFonts w:ascii="Avenir Next" w:eastAsia="Avenir Next" w:hAnsi="Avenir Next" w:cs="Avenir Next"/>
                          <w:b/>
                          <w:bCs/>
                          <w:color w:val="FFFFFF"/>
                          <w:spacing w:val="-4"/>
                          <w:sz w:val="24"/>
                          <w:szCs w:val="24"/>
                        </w:rPr>
                        <w:t>Panel’s</w:t>
                      </w:r>
                      <w:r>
                        <w:rPr>
                          <w:rFonts w:ascii="Avenir Next" w:eastAsia="Avenir Next" w:hAnsi="Avenir Next" w:cs="Avenir Next"/>
                          <w:b/>
                          <w:bCs/>
                          <w:color w:val="FFFFFF"/>
                          <w:sz w:val="24"/>
                          <w:szCs w:val="24"/>
                        </w:rPr>
                        <w:t xml:space="preserve"> decision is made</w:t>
                      </w:r>
                    </w:p>
                  </w:txbxContent>
                </v:textbox>
              </v:shape>
            </v:group>
            <w10:wrap type="none"/>
            <w10:anchorlock/>
          </v:group>
        </w:pict>
      </w:r>
      <w:r w:rsidR="00C2656B">
        <w:tab/>
      </w:r>
      <w:r w:rsidRPr="00D96B91">
        <w:rPr>
          <w:position w:val="42"/>
        </w:rPr>
      </w:r>
      <w:r w:rsidRPr="00D96B91">
        <w:rPr>
          <w:position w:val="42"/>
        </w:rPr>
        <w:pict>
          <v:group id="_x0000_s3441" style="width:126.2pt;height:41.15pt;mso-position-horizontal-relative:char;mso-position-vertical-relative:line" coordsize="2524,823">
            <v:shape id="_x0000_s3443" type="#_x0000_t75" style="position:absolute;width:2524;height:822">
              <v:imagedata r:id="rId41" o:title=""/>
            </v:shape>
            <v:shape id="_x0000_s3442" type="#_x0000_t202" style="position:absolute;width:2524;height:823" filled="f" stroked="f">
              <v:textbox style="mso-next-textbox:#_x0000_s3442" inset="0,0,0,0">
                <w:txbxContent>
                  <w:p w:rsidR="008A79D5" w:rsidRDefault="008A79D5">
                    <w:pPr>
                      <w:spacing w:before="11"/>
                      <w:rPr>
                        <w:rFonts w:ascii="Avenir Next" w:eastAsia="Avenir Next" w:hAnsi="Avenir Next" w:cs="Avenir Next"/>
                        <w:b/>
                        <w:bCs/>
                        <w:sz w:val="21"/>
                        <w:szCs w:val="21"/>
                      </w:rPr>
                    </w:pPr>
                  </w:p>
                  <w:p w:rsidR="008A79D5" w:rsidRDefault="008A79D5">
                    <w:pPr>
                      <w:ind w:left="721"/>
                      <w:rPr>
                        <w:rFonts w:ascii="Avenir Next" w:eastAsia="Avenir Next" w:hAnsi="Avenir Next" w:cs="Avenir Next"/>
                        <w:sz w:val="24"/>
                        <w:szCs w:val="24"/>
                      </w:rPr>
                    </w:pPr>
                    <w:r>
                      <w:rPr>
                        <w:rFonts w:ascii="Avenir Next"/>
                        <w:b/>
                        <w:color w:val="FFFFFF"/>
                        <w:sz w:val="24"/>
                      </w:rPr>
                      <w:t>Chapter 3</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435" style="width:324.05pt;height:62.05pt;mso-position-horizontal-relative:char;mso-position-vertical-relative:line" coordsize="6481,1241">
            <v:group id="_x0000_s3436" style="position:absolute;width:6481;height:1241" coordsize="6481,1241">
              <v:shape id="_x0000_s3440" style="position:absolute;width:6481;height:1241" coordsize="6481,1241" path="m5305,952r-4130,l3240,1240,5305,952xe" fillcolor="#f26921" stroked="f">
                <v:path arrowok="t"/>
              </v:shape>
              <v:shape id="_x0000_s3439" style="position:absolute;width:6481;height:1241" coordsize="6481,1241" path="m3801,834r-1122,l2679,952r1122,l3801,834xe" fillcolor="#f26921" stroked="f">
                <v:path arrowok="t"/>
              </v:shape>
              <v:shape id="_x0000_s3438" style="position:absolute;width:6481;height:1241" coordsize="6481,1241" path="m6480,l,,,834r6480,l6480,xe" fillcolor="#f26921" stroked="f">
                <v:path arrowok="t"/>
              </v:shape>
              <v:shape id="_x0000_s3437" type="#_x0000_t202" style="position:absolute;width:6481;height:1241" filled="f" stroked="f">
                <v:textbox style="mso-next-textbox:#_x0000_s3437" inset="0,0,0,0">
                  <w:txbxContent>
                    <w:p w:rsidR="008A79D5" w:rsidRDefault="008A79D5">
                      <w:pPr>
                        <w:spacing w:before="6"/>
                        <w:rPr>
                          <w:rFonts w:ascii="Avenir Next" w:eastAsia="Avenir Next" w:hAnsi="Avenir Next" w:cs="Avenir Next"/>
                          <w:b/>
                          <w:bCs/>
                          <w:sz w:val="16"/>
                          <w:szCs w:val="16"/>
                        </w:rPr>
                      </w:pPr>
                    </w:p>
                    <w:p w:rsidR="008A79D5" w:rsidRDefault="008A79D5">
                      <w:pPr>
                        <w:spacing w:line="190" w:lineRule="auto"/>
                        <w:ind w:left="1089" w:right="743" w:hanging="388"/>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2: Understand the </w:t>
                      </w:r>
                      <w:r>
                        <w:rPr>
                          <w:rFonts w:ascii="Avenir Next"/>
                          <w:b/>
                          <w:color w:val="FFFFFF"/>
                          <w:spacing w:val="-1"/>
                          <w:sz w:val="24"/>
                        </w:rPr>
                        <w:t>regulatory</w:t>
                      </w:r>
                      <w:r>
                        <w:rPr>
                          <w:rFonts w:ascii="Avenir Next"/>
                          <w:b/>
                          <w:color w:val="FFFFFF"/>
                          <w:sz w:val="24"/>
                        </w:rPr>
                        <w:t xml:space="preserve"> </w:t>
                      </w:r>
                      <w:r>
                        <w:rPr>
                          <w:rFonts w:ascii="Avenir Next"/>
                          <w:b/>
                          <w:color w:val="FFFFFF"/>
                          <w:spacing w:val="-1"/>
                          <w:sz w:val="24"/>
                        </w:rPr>
                        <w:t>framework</w:t>
                      </w:r>
                      <w:r>
                        <w:rPr>
                          <w:rFonts w:ascii="Avenir Next"/>
                          <w:b/>
                          <w:color w:val="FFFFFF"/>
                          <w:spacing w:val="30"/>
                          <w:sz w:val="24"/>
                        </w:rPr>
                        <w:t xml:space="preserve"> </w:t>
                      </w:r>
                      <w:r>
                        <w:rPr>
                          <w:rFonts w:ascii="Avenir Next"/>
                          <w:b/>
                          <w:color w:val="FFFFFF"/>
                          <w:sz w:val="24"/>
                        </w:rPr>
                        <w:t xml:space="preserve">and best </w:t>
                      </w:r>
                      <w:r>
                        <w:rPr>
                          <w:rFonts w:ascii="Avenir Next"/>
                          <w:b/>
                          <w:color w:val="FFFFFF"/>
                          <w:spacing w:val="-1"/>
                          <w:sz w:val="24"/>
                        </w:rPr>
                        <w:t>practice</w:t>
                      </w:r>
                      <w:r>
                        <w:rPr>
                          <w:rFonts w:ascii="Avenir Next"/>
                          <w:b/>
                          <w:color w:val="FFFFFF"/>
                          <w:sz w:val="24"/>
                        </w:rPr>
                        <w:t xml:space="preserve"> </w:t>
                      </w:r>
                      <w:r>
                        <w:rPr>
                          <w:rFonts w:ascii="Avenir Next"/>
                          <w:b/>
                          <w:color w:val="FFFFFF"/>
                          <w:spacing w:val="-1"/>
                          <w:sz w:val="24"/>
                        </w:rPr>
                        <w:t>regulatory</w:t>
                      </w:r>
                      <w:r>
                        <w:rPr>
                          <w:rFonts w:ascii="Avenir Next"/>
                          <w:b/>
                          <w:color w:val="FFFFFF"/>
                          <w:sz w:val="24"/>
                        </w:rPr>
                        <w:t xml:space="preserve"> principles</w:t>
                      </w:r>
                    </w:p>
                  </w:txbxContent>
                </v:textbox>
              </v:shape>
            </v:group>
            <w10:wrap type="none"/>
            <w10:anchorlock/>
          </v:group>
        </w:pict>
      </w:r>
      <w:r w:rsidR="00C2656B">
        <w:tab/>
      </w:r>
      <w:r w:rsidRPr="00D96B91">
        <w:rPr>
          <w:position w:val="42"/>
        </w:rPr>
      </w:r>
      <w:r w:rsidRPr="00D96B91">
        <w:rPr>
          <w:position w:val="42"/>
        </w:rPr>
        <w:pict>
          <v:group id="_x0000_s3432" style="width:126.2pt;height:41.15pt;mso-position-horizontal-relative:char;mso-position-vertical-relative:line" coordsize="2524,823">
            <v:shape id="_x0000_s3434" type="#_x0000_t75" style="position:absolute;width:2524;height:822">
              <v:imagedata r:id="rId41" o:title=""/>
            </v:shape>
            <v:shape id="_x0000_s3433" type="#_x0000_t202" style="position:absolute;width:2524;height:823" filled="f" stroked="f">
              <v:textbox style="mso-next-textbox:#_x0000_s3433" inset="0,0,0,0">
                <w:txbxContent>
                  <w:p w:rsidR="008A79D5" w:rsidRDefault="008A79D5">
                    <w:pPr>
                      <w:spacing w:before="11"/>
                      <w:rPr>
                        <w:rFonts w:ascii="Avenir Next" w:eastAsia="Avenir Next" w:hAnsi="Avenir Next" w:cs="Avenir Next"/>
                        <w:b/>
                        <w:bCs/>
                        <w:sz w:val="21"/>
                        <w:szCs w:val="21"/>
                      </w:rPr>
                    </w:pPr>
                  </w:p>
                  <w:p w:rsidR="008A79D5" w:rsidRDefault="008A79D5">
                    <w:pPr>
                      <w:ind w:left="708"/>
                      <w:rPr>
                        <w:rFonts w:ascii="Avenir Next" w:eastAsia="Avenir Next" w:hAnsi="Avenir Next" w:cs="Avenir Next"/>
                        <w:sz w:val="24"/>
                        <w:szCs w:val="24"/>
                      </w:rPr>
                    </w:pPr>
                    <w:r>
                      <w:rPr>
                        <w:rFonts w:ascii="Avenir Next"/>
                        <w:b/>
                        <w:color w:val="FFFFFF"/>
                        <w:sz w:val="24"/>
                      </w:rPr>
                      <w:t>Chapter 4</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426" style="width:324.05pt;height:62.05pt;mso-position-horizontal-relative:char;mso-position-vertical-relative:line" coordsize="6481,1241">
            <v:group id="_x0000_s3427" style="position:absolute;width:6481;height:1241" coordsize="6481,1241">
              <v:shape id="_x0000_s3431" style="position:absolute;width:6481;height:1241" coordsize="6481,1241" path="m5305,952r-4130,l3240,1240,5305,952xe" fillcolor="#f26921" stroked="f">
                <v:path arrowok="t"/>
              </v:shape>
              <v:shape id="_x0000_s3430" style="position:absolute;width:6481;height:1241" coordsize="6481,1241" path="m3801,834r-1122,l2679,952r1122,l3801,834xe" fillcolor="#f26921" stroked="f">
                <v:path arrowok="t"/>
              </v:shape>
              <v:shape id="_x0000_s3429" style="position:absolute;width:6481;height:1241" coordsize="6481,1241" path="m6480,l,,,834r6480,l6480,xe" fillcolor="#f26921" stroked="f">
                <v:path arrowok="t"/>
              </v:shape>
              <v:shape id="_x0000_s3428" type="#_x0000_t202" style="position:absolute;width:6481;height:1241" filled="f" stroked="f">
                <v:textbox style="mso-next-textbox:#_x0000_s3428" inset="0,0,0,0">
                  <w:txbxContent>
                    <w:p w:rsidR="008A79D5" w:rsidRDefault="008A79D5">
                      <w:pPr>
                        <w:spacing w:before="5"/>
                        <w:rPr>
                          <w:rFonts w:ascii="Avenir Next" w:eastAsia="Avenir Next" w:hAnsi="Avenir Next" w:cs="Avenir Next"/>
                          <w:b/>
                          <w:bCs/>
                        </w:rPr>
                      </w:pPr>
                    </w:p>
                    <w:p w:rsidR="008A79D5" w:rsidRDefault="008A79D5">
                      <w:pPr>
                        <w:ind w:left="466"/>
                        <w:rPr>
                          <w:rFonts w:ascii="Avenir Next" w:eastAsia="Avenir Next" w:hAnsi="Avenir Next" w:cs="Avenir Next"/>
                          <w:sz w:val="24"/>
                          <w:szCs w:val="24"/>
                        </w:rPr>
                      </w:pPr>
                      <w:r>
                        <w:rPr>
                          <w:rFonts w:ascii="Avenir Next" w:eastAsia="Avenir Next" w:hAnsi="Avenir Next" w:cs="Avenir Next"/>
                          <w:b/>
                          <w:bCs/>
                          <w:color w:val="FFFFFF"/>
                          <w:spacing w:val="-1"/>
                          <w:sz w:val="24"/>
                          <w:szCs w:val="24"/>
                        </w:rPr>
                        <w:t>Step</w:t>
                      </w:r>
                      <w:r>
                        <w:rPr>
                          <w:rFonts w:ascii="Avenir Next" w:eastAsia="Avenir Next" w:hAnsi="Avenir Next" w:cs="Avenir Next"/>
                          <w:b/>
                          <w:bCs/>
                          <w:color w:val="FFFFFF"/>
                          <w:sz w:val="24"/>
                          <w:szCs w:val="24"/>
                        </w:rPr>
                        <w:t xml:space="preserve"> 3: Determine the scope of</w:t>
                      </w:r>
                      <w:r>
                        <w:rPr>
                          <w:rFonts w:ascii="Avenir Next" w:eastAsia="Avenir Next" w:hAnsi="Avenir Next" w:cs="Avenir Next"/>
                          <w:b/>
                          <w:bCs/>
                          <w:color w:val="FFFFFF"/>
                          <w:spacing w:val="5"/>
                          <w:sz w:val="24"/>
                          <w:szCs w:val="24"/>
                        </w:rPr>
                        <w:t xml:space="preserve"> </w:t>
                      </w:r>
                      <w:r>
                        <w:rPr>
                          <w:rFonts w:ascii="Avenir Next" w:eastAsia="Avenir Next" w:hAnsi="Avenir Next" w:cs="Avenir Next"/>
                          <w:b/>
                          <w:bCs/>
                          <w:color w:val="FFFFFF"/>
                          <w:sz w:val="24"/>
                          <w:szCs w:val="24"/>
                        </w:rPr>
                        <w:t xml:space="preserve">the </w:t>
                      </w:r>
                      <w:r>
                        <w:rPr>
                          <w:rFonts w:ascii="Avenir Next" w:eastAsia="Avenir Next" w:hAnsi="Avenir Next" w:cs="Avenir Next"/>
                          <w:b/>
                          <w:bCs/>
                          <w:color w:val="FFFFFF"/>
                          <w:spacing w:val="-4"/>
                          <w:sz w:val="24"/>
                          <w:szCs w:val="24"/>
                        </w:rPr>
                        <w:t>Panel’s</w:t>
                      </w:r>
                      <w:r>
                        <w:rPr>
                          <w:rFonts w:ascii="Avenir Next" w:eastAsia="Avenir Next" w:hAnsi="Avenir Next" w:cs="Avenir Next"/>
                          <w:b/>
                          <w:bCs/>
                          <w:color w:val="FFFFFF"/>
                          <w:sz w:val="24"/>
                          <w:szCs w:val="24"/>
                        </w:rPr>
                        <w:t xml:space="preserve"> </w:t>
                      </w:r>
                      <w:r>
                        <w:rPr>
                          <w:rFonts w:ascii="Avenir Next" w:eastAsia="Avenir Next" w:hAnsi="Avenir Next" w:cs="Avenir Next"/>
                          <w:b/>
                          <w:bCs/>
                          <w:color w:val="FFFFFF"/>
                          <w:spacing w:val="-1"/>
                          <w:sz w:val="24"/>
                          <w:szCs w:val="24"/>
                        </w:rPr>
                        <w:t>review</w:t>
                      </w:r>
                    </w:p>
                  </w:txbxContent>
                </v:textbox>
              </v:shape>
            </v:group>
            <w10:wrap type="none"/>
            <w10:anchorlock/>
          </v:group>
        </w:pict>
      </w:r>
      <w:r w:rsidR="00C2656B">
        <w:tab/>
      </w:r>
      <w:r w:rsidRPr="00D96B91">
        <w:rPr>
          <w:position w:val="42"/>
        </w:rPr>
      </w:r>
      <w:r w:rsidRPr="00D96B91">
        <w:rPr>
          <w:position w:val="42"/>
        </w:rPr>
        <w:pict>
          <v:group id="_x0000_s3423" style="width:126.2pt;height:41.15pt;mso-position-horizontal-relative:char;mso-position-vertical-relative:line" coordsize="2524,823">
            <v:shape id="_x0000_s3425" type="#_x0000_t75" style="position:absolute;width:2524;height:822">
              <v:imagedata r:id="rId41" o:title=""/>
            </v:shape>
            <v:shape id="_x0000_s3424" type="#_x0000_t202" style="position:absolute;width:2524;height:823" filled="f" stroked="f">
              <v:textbox style="mso-next-textbox:#_x0000_s3424" inset="0,0,0,0">
                <w:txbxContent>
                  <w:p w:rsidR="008A79D5" w:rsidRDefault="008A79D5">
                    <w:pPr>
                      <w:spacing w:before="4"/>
                      <w:rPr>
                        <w:rFonts w:ascii="Avenir Next" w:eastAsia="Avenir Next" w:hAnsi="Avenir Next" w:cs="Avenir Next"/>
                        <w:b/>
                        <w:bCs/>
                      </w:rPr>
                    </w:pPr>
                  </w:p>
                  <w:p w:rsidR="008A79D5" w:rsidRDefault="008A79D5">
                    <w:pPr>
                      <w:ind w:left="708"/>
                      <w:rPr>
                        <w:rFonts w:ascii="Avenir Next" w:eastAsia="Avenir Next" w:hAnsi="Avenir Next" w:cs="Avenir Next"/>
                        <w:sz w:val="24"/>
                        <w:szCs w:val="24"/>
                      </w:rPr>
                    </w:pPr>
                    <w:r>
                      <w:rPr>
                        <w:rFonts w:ascii="Avenir Next"/>
                        <w:b/>
                        <w:color w:val="FFFFFF"/>
                        <w:sz w:val="24"/>
                      </w:rPr>
                      <w:t>Chapter 5</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417" style="width:324.05pt;height:62.05pt;mso-position-horizontal-relative:char;mso-position-vertical-relative:line" coordsize="6481,1241">
            <v:group id="_x0000_s3418" style="position:absolute;width:6481;height:1241" coordsize="6481,1241">
              <v:shape id="_x0000_s3422" style="position:absolute;width:6481;height:1241" coordsize="6481,1241" path="m5305,952r-4130,l3240,1240,5305,952xe" fillcolor="#f26921" stroked="f">
                <v:path arrowok="t"/>
              </v:shape>
              <v:shape id="_x0000_s3421" style="position:absolute;width:6481;height:1241" coordsize="6481,1241" path="m3801,834r-1122,l2679,952r1122,l3801,834xe" fillcolor="#f26921" stroked="f">
                <v:path arrowok="t"/>
              </v:shape>
              <v:shape id="_x0000_s3420" style="position:absolute;width:6481;height:1241" coordsize="6481,1241" path="m6480,l,,,834r6480,l6480,xe" fillcolor="#f26921" stroked="f">
                <v:path arrowok="t"/>
              </v:shape>
              <v:shape id="_x0000_s3419" type="#_x0000_t202" style="position:absolute;width:6481;height:1241" filled="f" stroked="f">
                <v:textbox style="mso-next-textbox:#_x0000_s3419" inset="0,0,0,0">
                  <w:txbxContent>
                    <w:p w:rsidR="008A79D5" w:rsidRDefault="008A79D5">
                      <w:pPr>
                        <w:spacing w:before="210" w:line="190" w:lineRule="auto"/>
                        <w:ind w:left="433" w:right="183" w:hanging="291"/>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4: Decide on the form of</w:t>
                      </w:r>
                      <w:r>
                        <w:rPr>
                          <w:rFonts w:ascii="Avenir Next"/>
                          <w:b/>
                          <w:color w:val="FFFFFF"/>
                          <w:spacing w:val="5"/>
                          <w:sz w:val="24"/>
                        </w:rPr>
                        <w:t xml:space="preserve"> </w:t>
                      </w:r>
                      <w:r>
                        <w:rPr>
                          <w:rFonts w:ascii="Avenir Next"/>
                          <w:b/>
                          <w:color w:val="FFFFFF"/>
                          <w:spacing w:val="-1"/>
                          <w:sz w:val="24"/>
                        </w:rPr>
                        <w:t>regulatory</w:t>
                      </w:r>
                      <w:r>
                        <w:rPr>
                          <w:rFonts w:ascii="Avenir Next"/>
                          <w:b/>
                          <w:color w:val="FFFFFF"/>
                          <w:sz w:val="24"/>
                        </w:rPr>
                        <w:t xml:space="preserve"> </w:t>
                      </w:r>
                      <w:r>
                        <w:rPr>
                          <w:rFonts w:ascii="Avenir Next"/>
                          <w:b/>
                          <w:color w:val="FFFFFF"/>
                          <w:spacing w:val="-1"/>
                          <w:sz w:val="24"/>
                        </w:rPr>
                        <w:t>control,</w:t>
                      </w:r>
                      <w:r>
                        <w:rPr>
                          <w:rFonts w:ascii="Avenir Next"/>
                          <w:b/>
                          <w:color w:val="FFFFFF"/>
                          <w:spacing w:val="-8"/>
                          <w:sz w:val="24"/>
                        </w:rPr>
                        <w:t xml:space="preserve"> </w:t>
                      </w:r>
                      <w:r>
                        <w:rPr>
                          <w:rFonts w:ascii="Avenir Next"/>
                          <w:b/>
                          <w:color w:val="FFFFFF"/>
                          <w:sz w:val="24"/>
                        </w:rPr>
                        <w:t>length</w:t>
                      </w:r>
                      <w:r>
                        <w:rPr>
                          <w:rFonts w:ascii="Avenir Next"/>
                          <w:b/>
                          <w:color w:val="FFFFFF"/>
                          <w:spacing w:val="27"/>
                          <w:sz w:val="24"/>
                        </w:rPr>
                        <w:t xml:space="preserve"> </w:t>
                      </w:r>
                      <w:r>
                        <w:rPr>
                          <w:rFonts w:ascii="Avenir Next"/>
                          <w:b/>
                          <w:color w:val="FFFFFF"/>
                          <w:sz w:val="24"/>
                        </w:rPr>
                        <w:t>of</w:t>
                      </w:r>
                      <w:r>
                        <w:rPr>
                          <w:rFonts w:ascii="Avenir Next"/>
                          <w:b/>
                          <w:color w:val="FFFFFF"/>
                          <w:spacing w:val="5"/>
                          <w:sz w:val="24"/>
                        </w:rPr>
                        <w:t xml:space="preserve"> </w:t>
                      </w:r>
                      <w:r>
                        <w:rPr>
                          <w:rFonts w:ascii="Avenir Next"/>
                          <w:b/>
                          <w:color w:val="FFFFFF"/>
                          <w:spacing w:val="-1"/>
                          <w:sz w:val="24"/>
                        </w:rPr>
                        <w:t>regulatory</w:t>
                      </w:r>
                      <w:r>
                        <w:rPr>
                          <w:rFonts w:ascii="Avenir Next"/>
                          <w:b/>
                          <w:color w:val="FFFFFF"/>
                          <w:sz w:val="24"/>
                        </w:rPr>
                        <w:t xml:space="preserve"> period and other risk </w:t>
                      </w:r>
                      <w:r>
                        <w:rPr>
                          <w:rFonts w:ascii="Avenir Next"/>
                          <w:b/>
                          <w:color w:val="FFFFFF"/>
                          <w:spacing w:val="-1"/>
                          <w:sz w:val="24"/>
                        </w:rPr>
                        <w:t>allocation</w:t>
                      </w:r>
                      <w:r>
                        <w:rPr>
                          <w:rFonts w:ascii="Avenir Next"/>
                          <w:b/>
                          <w:color w:val="FFFFFF"/>
                          <w:sz w:val="24"/>
                        </w:rPr>
                        <w:t xml:space="preserve"> tools</w:t>
                      </w:r>
                    </w:p>
                  </w:txbxContent>
                </v:textbox>
              </v:shape>
            </v:group>
            <w10:wrap type="none"/>
            <w10:anchorlock/>
          </v:group>
        </w:pict>
      </w:r>
      <w:r w:rsidR="00C2656B">
        <w:tab/>
      </w:r>
      <w:r w:rsidRPr="00D96B91">
        <w:rPr>
          <w:position w:val="42"/>
        </w:rPr>
      </w:r>
      <w:r w:rsidRPr="00D96B91">
        <w:rPr>
          <w:position w:val="42"/>
        </w:rPr>
        <w:pict>
          <v:group id="_x0000_s3414" style="width:126.2pt;height:41.15pt;mso-position-horizontal-relative:char;mso-position-vertical-relative:line" coordsize="2524,823">
            <v:shape id="_x0000_s3416" type="#_x0000_t75" style="position:absolute;width:2524;height:822">
              <v:imagedata r:id="rId41" o:title=""/>
            </v:shape>
            <v:shape id="_x0000_s3415" type="#_x0000_t202" style="position:absolute;width:2524;height:823" filled="f" stroked="f">
              <v:textbox style="mso-next-textbox:#_x0000_s3415" inset="0,0,0,0">
                <w:txbxContent>
                  <w:p w:rsidR="008A79D5" w:rsidRDefault="008A79D5">
                    <w:pPr>
                      <w:spacing w:before="5"/>
                      <w:rPr>
                        <w:rFonts w:ascii="Avenir Next" w:eastAsia="Avenir Next" w:hAnsi="Avenir Next" w:cs="Avenir Next"/>
                        <w:b/>
                        <w:bCs/>
                      </w:rPr>
                    </w:pPr>
                  </w:p>
                  <w:p w:rsidR="008A79D5" w:rsidRDefault="008A79D5">
                    <w:pPr>
                      <w:ind w:left="708"/>
                      <w:rPr>
                        <w:rFonts w:ascii="Avenir Next" w:eastAsia="Avenir Next" w:hAnsi="Avenir Next" w:cs="Avenir Next"/>
                        <w:sz w:val="24"/>
                        <w:szCs w:val="24"/>
                      </w:rPr>
                    </w:pPr>
                    <w:r>
                      <w:rPr>
                        <w:rFonts w:ascii="Avenir Next"/>
                        <w:b/>
                        <w:color w:val="FFFFFF"/>
                        <w:sz w:val="24"/>
                      </w:rPr>
                      <w:t>Chapter 6</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408" style="width:324.05pt;height:62.05pt;mso-position-horizontal-relative:char;mso-position-vertical-relative:line" coordsize="6481,1241">
            <v:group id="_x0000_s3409" style="position:absolute;width:6481;height:1241" coordsize="6481,1241">
              <v:shape id="_x0000_s3413" style="position:absolute;width:6481;height:1241" coordsize="6481,1241" path="m5305,952r-4130,l3240,1240,5305,952xe" fillcolor="#f26921" stroked="f">
                <v:path arrowok="t"/>
              </v:shape>
              <v:shape id="_x0000_s3412" style="position:absolute;width:6481;height:1241" coordsize="6481,1241" path="m3801,834r-1122,l2679,952r1122,l3801,834xe" fillcolor="#f26921" stroked="f">
                <v:path arrowok="t"/>
              </v:shape>
              <v:shape id="_x0000_s3411" style="position:absolute;width:6481;height:1241" coordsize="6481,1241" path="m6480,l,,,834r6480,l6480,xe" fillcolor="#f26921" stroked="f">
                <v:path arrowok="t"/>
              </v:shape>
              <v:shape id="_x0000_s3410" type="#_x0000_t202" style="position:absolute;width:6481;height:1241" filled="f" stroked="f">
                <v:textbox style="mso-next-textbox:#_x0000_s3410" inset="0,0,0,0">
                  <w:txbxContent>
                    <w:p w:rsidR="008A79D5" w:rsidRDefault="008A79D5">
                      <w:pPr>
                        <w:spacing w:before="211" w:line="190" w:lineRule="auto"/>
                        <w:ind w:left="1922" w:right="933" w:hanging="1029"/>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5: Determine the methodology to be</w:t>
                      </w:r>
                      <w:r>
                        <w:rPr>
                          <w:rFonts w:ascii="Avenir Next"/>
                          <w:b/>
                          <w:color w:val="FFFFFF"/>
                          <w:spacing w:val="22"/>
                          <w:sz w:val="24"/>
                        </w:rPr>
                        <w:t xml:space="preserve"> </w:t>
                      </w:r>
                      <w:r>
                        <w:rPr>
                          <w:rFonts w:ascii="Avenir Next"/>
                          <w:b/>
                          <w:color w:val="FFFFFF"/>
                          <w:sz w:val="24"/>
                        </w:rPr>
                        <w:t xml:space="preserve">used to </w:t>
                      </w:r>
                      <w:r>
                        <w:rPr>
                          <w:rFonts w:ascii="Avenir Next"/>
                          <w:b/>
                          <w:color w:val="FFFFFF"/>
                          <w:spacing w:val="-1"/>
                          <w:sz w:val="24"/>
                        </w:rPr>
                        <w:t>calculate</w:t>
                      </w:r>
                      <w:r>
                        <w:rPr>
                          <w:rFonts w:ascii="Avenir Next"/>
                          <w:b/>
                          <w:color w:val="FFFFFF"/>
                          <w:sz w:val="24"/>
                        </w:rPr>
                        <w:t xml:space="preserve"> prices</w:t>
                      </w:r>
                    </w:p>
                  </w:txbxContent>
                </v:textbox>
              </v:shape>
            </v:group>
            <w10:wrap type="none"/>
            <w10:anchorlock/>
          </v:group>
        </w:pict>
      </w:r>
      <w:r w:rsidR="00C2656B">
        <w:tab/>
      </w:r>
      <w:r w:rsidRPr="00D96B91">
        <w:rPr>
          <w:position w:val="42"/>
        </w:rPr>
      </w:r>
      <w:r w:rsidRPr="00D96B91">
        <w:rPr>
          <w:position w:val="42"/>
        </w:rPr>
        <w:pict>
          <v:group id="_x0000_s3405" style="width:126.2pt;height:41.15pt;mso-position-horizontal-relative:char;mso-position-vertical-relative:line" coordsize="2524,823">
            <v:shape id="_x0000_s3407" type="#_x0000_t75" style="position:absolute;width:2524;height:822">
              <v:imagedata r:id="rId41" o:title=""/>
            </v:shape>
            <v:shape id="_x0000_s3406" type="#_x0000_t202" style="position:absolute;width:2524;height:823" filled="f" stroked="f">
              <v:textbox style="mso-next-textbox:#_x0000_s3406" inset="0,0,0,0">
                <w:txbxContent>
                  <w:p w:rsidR="008A79D5" w:rsidRDefault="008A79D5">
                    <w:pPr>
                      <w:spacing w:before="5"/>
                      <w:rPr>
                        <w:rFonts w:ascii="Avenir Next" w:eastAsia="Avenir Next" w:hAnsi="Avenir Next" w:cs="Avenir Next"/>
                        <w:b/>
                        <w:bCs/>
                        <w:sz w:val="21"/>
                        <w:szCs w:val="21"/>
                      </w:rPr>
                    </w:pPr>
                  </w:p>
                  <w:p w:rsidR="008A79D5" w:rsidRDefault="008A79D5">
                    <w:pPr>
                      <w:ind w:left="699"/>
                      <w:rPr>
                        <w:rFonts w:ascii="Avenir Next" w:eastAsia="Avenir Next" w:hAnsi="Avenir Next" w:cs="Avenir Next"/>
                        <w:sz w:val="24"/>
                        <w:szCs w:val="24"/>
                      </w:rPr>
                    </w:pPr>
                    <w:r>
                      <w:rPr>
                        <w:rFonts w:ascii="Avenir Next"/>
                        <w:b/>
                        <w:color w:val="FFFFFF"/>
                        <w:sz w:val="24"/>
                      </w:rPr>
                      <w:t>Chapter 7</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399" style="width:324.05pt;height:62.05pt;mso-position-horizontal-relative:char;mso-position-vertical-relative:line" coordsize="6481,1241">
            <v:group id="_x0000_s3400" style="position:absolute;width:6481;height:1241" coordsize="6481,1241">
              <v:shape id="_x0000_s3404" style="position:absolute;width:6481;height:1241" coordsize="6481,1241" path="m5305,952r-4130,l3240,1240,5305,952xe" fillcolor="#f26921" stroked="f">
                <v:path arrowok="t"/>
              </v:shape>
              <v:shape id="_x0000_s3403" style="position:absolute;width:6481;height:1241" coordsize="6481,1241" path="m3801,834r-1122,l2679,952r1122,l3801,834xe" fillcolor="#f26921" stroked="f">
                <v:path arrowok="t"/>
              </v:shape>
              <v:shape id="_x0000_s3402" style="position:absolute;width:6481;height:1241" coordsize="6481,1241" path="m6480,l,,,834r6480,l6480,xe" fillcolor="#f26921" stroked="f">
                <v:path arrowok="t"/>
              </v:shape>
              <v:shape id="_x0000_s3401" type="#_x0000_t202" style="position:absolute;width:6481;height:1241" filled="f" stroked="f">
                <v:textbox style="mso-next-textbox:#_x0000_s3401" inset="0,0,0,0">
                  <w:txbxContent>
                    <w:p w:rsidR="008A79D5" w:rsidRDefault="008A79D5">
                      <w:pPr>
                        <w:spacing w:before="6"/>
                        <w:rPr>
                          <w:rFonts w:ascii="Avenir Next" w:eastAsia="Avenir Next" w:hAnsi="Avenir Next" w:cs="Avenir Next"/>
                          <w:b/>
                          <w:bCs/>
                          <w:sz w:val="16"/>
                          <w:szCs w:val="16"/>
                        </w:rPr>
                      </w:pPr>
                    </w:p>
                    <w:p w:rsidR="008A79D5" w:rsidRDefault="008A79D5">
                      <w:pPr>
                        <w:spacing w:line="190" w:lineRule="auto"/>
                        <w:ind w:left="1855" w:right="1035" w:hanging="860"/>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6: </w:t>
                      </w:r>
                      <w:r>
                        <w:rPr>
                          <w:rFonts w:ascii="Avenir Next"/>
                          <w:b/>
                          <w:color w:val="FFFFFF"/>
                          <w:spacing w:val="-1"/>
                          <w:sz w:val="24"/>
                        </w:rPr>
                        <w:t>Undertake</w:t>
                      </w:r>
                      <w:r>
                        <w:rPr>
                          <w:rFonts w:ascii="Avenir Next"/>
                          <w:b/>
                          <w:color w:val="FFFFFF"/>
                          <w:sz w:val="24"/>
                        </w:rPr>
                        <w:t xml:space="preserve"> a </w:t>
                      </w:r>
                      <w:r>
                        <w:rPr>
                          <w:rFonts w:ascii="Avenir Next"/>
                          <w:b/>
                          <w:color w:val="FFFFFF"/>
                          <w:spacing w:val="-1"/>
                          <w:sz w:val="24"/>
                        </w:rPr>
                        <w:t>review</w:t>
                      </w:r>
                      <w:r>
                        <w:rPr>
                          <w:rFonts w:ascii="Avenir Next"/>
                          <w:b/>
                          <w:color w:val="FFFFFF"/>
                          <w:sz w:val="24"/>
                        </w:rPr>
                        <w:t xml:space="preserve"> of</w:t>
                      </w:r>
                      <w:r>
                        <w:rPr>
                          <w:rFonts w:ascii="Avenir Next"/>
                          <w:b/>
                          <w:color w:val="FFFFFF"/>
                          <w:spacing w:val="5"/>
                          <w:sz w:val="24"/>
                        </w:rPr>
                        <w:t xml:space="preserve"> </w:t>
                      </w:r>
                      <w:r>
                        <w:rPr>
                          <w:rFonts w:ascii="Avenir Next"/>
                          <w:b/>
                          <w:color w:val="FFFFFF"/>
                          <w:sz w:val="24"/>
                        </w:rPr>
                        <w:t>all pricing</w:t>
                      </w:r>
                      <w:r>
                        <w:rPr>
                          <w:rFonts w:ascii="Avenir Next"/>
                          <w:b/>
                          <w:color w:val="FFFFFF"/>
                          <w:spacing w:val="24"/>
                          <w:sz w:val="24"/>
                        </w:rPr>
                        <w:t xml:space="preserve"> </w:t>
                      </w:r>
                      <w:r>
                        <w:rPr>
                          <w:rFonts w:ascii="Avenir Next"/>
                          <w:b/>
                          <w:color w:val="FFFFFF"/>
                          <w:spacing w:val="-1"/>
                          <w:sz w:val="24"/>
                        </w:rPr>
                        <w:t>parameters</w:t>
                      </w:r>
                      <w:r>
                        <w:rPr>
                          <w:rFonts w:ascii="Avenir Next"/>
                          <w:b/>
                          <w:color w:val="FFFFFF"/>
                          <w:sz w:val="24"/>
                        </w:rPr>
                        <w:t xml:space="preserve"> within scope</w:t>
                      </w:r>
                    </w:p>
                  </w:txbxContent>
                </v:textbox>
              </v:shape>
            </v:group>
            <w10:wrap type="none"/>
            <w10:anchorlock/>
          </v:group>
        </w:pict>
      </w:r>
      <w:r w:rsidR="00C2656B">
        <w:tab/>
      </w:r>
      <w:r w:rsidRPr="00D96B91">
        <w:rPr>
          <w:position w:val="42"/>
        </w:rPr>
      </w:r>
      <w:r w:rsidRPr="00D96B91">
        <w:rPr>
          <w:position w:val="42"/>
        </w:rPr>
        <w:pict>
          <v:group id="_x0000_s3396" style="width:126.2pt;height:41.15pt;mso-position-horizontal-relative:char;mso-position-vertical-relative:line" coordsize="2524,823">
            <v:shape id="_x0000_s3398" type="#_x0000_t75" style="position:absolute;width:2524;height:822">
              <v:imagedata r:id="rId41" o:title=""/>
            </v:shape>
            <v:shape id="_x0000_s3397" type="#_x0000_t202" style="position:absolute;width:2524;height:823" filled="f" stroked="f">
              <v:textbox style="mso-next-textbox:#_x0000_s3397" inset="0,0,0,0">
                <w:txbxContent>
                  <w:p w:rsidR="008A79D5" w:rsidRDefault="008A79D5">
                    <w:pPr>
                      <w:spacing w:before="5"/>
                      <w:rPr>
                        <w:rFonts w:ascii="Avenir Next" w:eastAsia="Avenir Next" w:hAnsi="Avenir Next" w:cs="Avenir Next"/>
                        <w:b/>
                        <w:bCs/>
                      </w:rPr>
                    </w:pPr>
                  </w:p>
                  <w:p w:rsidR="008A79D5" w:rsidRDefault="008A79D5">
                    <w:pPr>
                      <w:ind w:left="334"/>
                      <w:rPr>
                        <w:rFonts w:ascii="Avenir Next" w:eastAsia="Avenir Next" w:hAnsi="Avenir Next" w:cs="Avenir Next"/>
                        <w:sz w:val="24"/>
                        <w:szCs w:val="24"/>
                      </w:rPr>
                    </w:pPr>
                    <w:r>
                      <w:rPr>
                        <w:rFonts w:ascii="Avenir Next"/>
                        <w:b/>
                        <w:color w:val="FFFFFF"/>
                        <w:sz w:val="24"/>
                      </w:rPr>
                      <w:t>Chapters 8 to 12</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390" style="width:324.05pt;height:62.05pt;mso-position-horizontal-relative:char;mso-position-vertical-relative:line" coordsize="6481,1241">
            <v:group id="_x0000_s3391" style="position:absolute;width:6481;height:1241" coordsize="6481,1241">
              <v:shape id="_x0000_s3395" style="position:absolute;width:6481;height:1241" coordsize="6481,1241" path="m5305,952r-4130,l3240,1240,5305,952xe" fillcolor="#f26921" stroked="f">
                <v:path arrowok="t"/>
              </v:shape>
              <v:shape id="_x0000_s3394" style="position:absolute;width:6481;height:1241" coordsize="6481,1241" path="m3801,834r-1122,l2679,952r1122,l3801,834xe" fillcolor="#f26921" stroked="f">
                <v:path arrowok="t"/>
              </v:shape>
              <v:shape id="_x0000_s3393" style="position:absolute;width:6481;height:1241" coordsize="6481,1241" path="m6480,l,,,834r6480,l6480,xe" fillcolor="#f26921" stroked="f">
                <v:path arrowok="t"/>
              </v:shape>
              <v:shape id="_x0000_s3392" type="#_x0000_t202" style="position:absolute;width:6481;height:1241" filled="f" stroked="f">
                <v:textbox style="mso-next-textbox:#_x0000_s3392" inset="0,0,0,0">
                  <w:txbxContent>
                    <w:p w:rsidR="008A79D5" w:rsidRDefault="008A79D5">
                      <w:pPr>
                        <w:spacing w:before="6"/>
                        <w:rPr>
                          <w:rFonts w:ascii="Avenir Next" w:eastAsia="Avenir Next" w:hAnsi="Avenir Next" w:cs="Avenir Next"/>
                          <w:b/>
                          <w:bCs/>
                          <w:sz w:val="17"/>
                          <w:szCs w:val="17"/>
                        </w:rPr>
                      </w:pPr>
                    </w:p>
                    <w:p w:rsidR="008A79D5" w:rsidRDefault="008A79D5">
                      <w:pPr>
                        <w:spacing w:line="190" w:lineRule="auto"/>
                        <w:ind w:left="1966" w:right="1218" w:hanging="788"/>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7: </w:t>
                      </w:r>
                      <w:r>
                        <w:rPr>
                          <w:rFonts w:ascii="Avenir Next"/>
                          <w:b/>
                          <w:color w:val="FFFFFF"/>
                          <w:spacing w:val="-1"/>
                          <w:sz w:val="24"/>
                        </w:rPr>
                        <w:t>Calculate</w:t>
                      </w:r>
                      <w:r>
                        <w:rPr>
                          <w:rFonts w:ascii="Avenir Next"/>
                          <w:b/>
                          <w:color w:val="FFFFFF"/>
                          <w:sz w:val="24"/>
                        </w:rPr>
                        <w:t xml:space="preserve"> the prices for </w:t>
                      </w:r>
                      <w:r>
                        <w:rPr>
                          <w:rFonts w:ascii="Avenir Next"/>
                          <w:b/>
                          <w:color w:val="FFFFFF"/>
                          <w:spacing w:val="-1"/>
                          <w:sz w:val="24"/>
                        </w:rPr>
                        <w:t>water</w:t>
                      </w:r>
                      <w:r>
                        <w:rPr>
                          <w:rFonts w:ascii="Avenir Next"/>
                          <w:b/>
                          <w:color w:val="FFFFFF"/>
                          <w:spacing w:val="26"/>
                          <w:sz w:val="24"/>
                        </w:rPr>
                        <w:t xml:space="preserve"> </w:t>
                      </w:r>
                      <w:r>
                        <w:rPr>
                          <w:rFonts w:ascii="Avenir Next"/>
                          <w:b/>
                          <w:color w:val="FFFFFF"/>
                          <w:sz w:val="24"/>
                        </w:rPr>
                        <w:t xml:space="preserve">and </w:t>
                      </w:r>
                      <w:r>
                        <w:rPr>
                          <w:rFonts w:ascii="Avenir Next"/>
                          <w:b/>
                          <w:color w:val="FFFFFF"/>
                          <w:spacing w:val="-1"/>
                          <w:sz w:val="24"/>
                        </w:rPr>
                        <w:t>sewerage</w:t>
                      </w:r>
                      <w:r>
                        <w:rPr>
                          <w:rFonts w:ascii="Avenir Next"/>
                          <w:b/>
                          <w:color w:val="FFFFFF"/>
                          <w:sz w:val="24"/>
                        </w:rPr>
                        <w:t xml:space="preserve"> services</w:t>
                      </w:r>
                    </w:p>
                  </w:txbxContent>
                </v:textbox>
              </v:shape>
            </v:group>
            <w10:wrap type="none"/>
            <w10:anchorlock/>
          </v:group>
        </w:pict>
      </w:r>
      <w:r w:rsidR="00C2656B">
        <w:tab/>
      </w:r>
      <w:r w:rsidRPr="00D96B91">
        <w:rPr>
          <w:position w:val="42"/>
        </w:rPr>
      </w:r>
      <w:r w:rsidRPr="00D96B91">
        <w:rPr>
          <w:position w:val="42"/>
        </w:rPr>
        <w:pict>
          <v:group id="_x0000_s3387" style="width:126.2pt;height:41.15pt;mso-position-horizontal-relative:char;mso-position-vertical-relative:line" coordsize="2524,823">
            <v:shape id="_x0000_s3389" type="#_x0000_t75" style="position:absolute;width:2524;height:822">
              <v:imagedata r:id="rId41" o:title=""/>
            </v:shape>
            <v:shape id="_x0000_s3388" type="#_x0000_t202" style="position:absolute;width:2524;height:823" filled="f" stroked="f">
              <v:textbox style="mso-next-textbox:#_x0000_s3388" inset="0,0,0,0">
                <w:txbxContent>
                  <w:p w:rsidR="008A79D5" w:rsidRDefault="008A79D5">
                    <w:pPr>
                      <w:spacing w:before="3"/>
                      <w:rPr>
                        <w:rFonts w:ascii="Avenir Next" w:eastAsia="Avenir Next" w:hAnsi="Avenir Next" w:cs="Avenir Next"/>
                        <w:b/>
                        <w:bCs/>
                      </w:rPr>
                    </w:pPr>
                  </w:p>
                  <w:p w:rsidR="008A79D5" w:rsidRDefault="008A79D5">
                    <w:pPr>
                      <w:ind w:left="277"/>
                      <w:rPr>
                        <w:rFonts w:ascii="Avenir Next" w:eastAsia="Avenir Next" w:hAnsi="Avenir Next" w:cs="Avenir Next"/>
                        <w:sz w:val="24"/>
                        <w:szCs w:val="24"/>
                      </w:rPr>
                    </w:pPr>
                    <w:r>
                      <w:rPr>
                        <w:rFonts w:ascii="Avenir Next"/>
                        <w:b/>
                        <w:color w:val="FFFFFF"/>
                        <w:sz w:val="24"/>
                      </w:rPr>
                      <w:t>Chapters 13 &amp; 14</w:t>
                    </w:r>
                  </w:p>
                </w:txbxContent>
              </v:textbox>
            </v:shape>
            <w10:wrap type="none"/>
            <w10:anchorlock/>
          </v:group>
        </w:pict>
      </w:r>
    </w:p>
    <w:p w:rsidR="00D96B91" w:rsidRDefault="00D96B91">
      <w:pPr>
        <w:spacing w:before="3"/>
        <w:rPr>
          <w:rFonts w:ascii="Avenir Next" w:eastAsia="Avenir Next" w:hAnsi="Avenir Next" w:cs="Avenir Next"/>
          <w:b/>
          <w:bCs/>
          <w:sz w:val="20"/>
          <w:szCs w:val="20"/>
        </w:rPr>
      </w:pPr>
    </w:p>
    <w:p w:rsidR="00D96B91" w:rsidRDefault="00D96B91">
      <w:pPr>
        <w:pStyle w:val="BodyText"/>
        <w:tabs>
          <w:tab w:val="left" w:pos="8148"/>
        </w:tabs>
        <w:spacing w:line="200" w:lineRule="atLeast"/>
        <w:ind w:left="1274"/>
        <w:rPr>
          <w:rFonts w:cs="Avenir Next"/>
        </w:rPr>
      </w:pPr>
      <w:r w:rsidRPr="00D96B91">
        <w:pict>
          <v:group id="_x0000_s3381" style="width:324.05pt;height:62.05pt;mso-position-horizontal-relative:char;mso-position-vertical-relative:line" coordsize="6481,1241">
            <v:group id="_x0000_s3382" style="position:absolute;width:6481;height:1241" coordsize="6481,1241">
              <v:shape id="_x0000_s3386" style="position:absolute;width:6481;height:1241" coordsize="6481,1241" path="m5305,952r-4130,l3240,1240,5305,952xe" fillcolor="#f26921" stroked="f">
                <v:path arrowok="t"/>
              </v:shape>
              <v:shape id="_x0000_s3385" style="position:absolute;width:6481;height:1241" coordsize="6481,1241" path="m3801,834r-1122,l2679,952r1122,l3801,834xe" fillcolor="#f26921" stroked="f">
                <v:path arrowok="t"/>
              </v:shape>
              <v:shape id="_x0000_s3384" style="position:absolute;width:6481;height:1241" coordsize="6481,1241" path="m6480,l,,,834r6480,l6480,xe" fillcolor="#f26921" stroked="f">
                <v:path arrowok="t"/>
              </v:shape>
              <v:shape id="_x0000_s3383" type="#_x0000_t202" style="position:absolute;width:6481;height:1241" filled="f" stroked="f">
                <v:textbox style="mso-next-textbox:#_x0000_s3383" inset="0,0,0,0">
                  <w:txbxContent>
                    <w:p w:rsidR="008A79D5" w:rsidRDefault="008A79D5">
                      <w:pPr>
                        <w:spacing w:before="10"/>
                        <w:rPr>
                          <w:rFonts w:ascii="Avenir Next" w:eastAsia="Avenir Next" w:hAnsi="Avenir Next" w:cs="Avenir Next"/>
                          <w:b/>
                          <w:bCs/>
                          <w:sz w:val="21"/>
                          <w:szCs w:val="21"/>
                        </w:rPr>
                      </w:pPr>
                    </w:p>
                    <w:p w:rsidR="008A79D5" w:rsidRDefault="008A79D5">
                      <w:pPr>
                        <w:ind w:left="440"/>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8: </w:t>
                      </w:r>
                      <w:r>
                        <w:rPr>
                          <w:rFonts w:ascii="Avenir Next"/>
                          <w:b/>
                          <w:color w:val="FFFFFF"/>
                          <w:spacing w:val="-1"/>
                          <w:sz w:val="24"/>
                        </w:rPr>
                        <w:t>Consider</w:t>
                      </w:r>
                      <w:r>
                        <w:rPr>
                          <w:rFonts w:ascii="Avenir Next"/>
                          <w:b/>
                          <w:color w:val="FFFFFF"/>
                          <w:sz w:val="24"/>
                        </w:rPr>
                        <w:t xml:space="preserve"> whether the prices </w:t>
                      </w:r>
                      <w:r>
                        <w:rPr>
                          <w:rFonts w:ascii="Avenir Next"/>
                          <w:b/>
                          <w:color w:val="FFFFFF"/>
                          <w:spacing w:val="-2"/>
                          <w:sz w:val="24"/>
                        </w:rPr>
                        <w:t>are</w:t>
                      </w:r>
                      <w:r>
                        <w:rPr>
                          <w:rFonts w:ascii="Avenir Next"/>
                          <w:b/>
                          <w:color w:val="FFFFFF"/>
                          <w:sz w:val="24"/>
                        </w:rPr>
                        <w:t xml:space="preserve"> </w:t>
                      </w:r>
                      <w:r>
                        <w:rPr>
                          <w:rFonts w:ascii="Avenir Next"/>
                          <w:b/>
                          <w:color w:val="FFFFFF"/>
                          <w:spacing w:val="-1"/>
                          <w:sz w:val="24"/>
                        </w:rPr>
                        <w:t>reasonable</w:t>
                      </w:r>
                    </w:p>
                  </w:txbxContent>
                </v:textbox>
              </v:shape>
            </v:group>
            <w10:wrap type="none"/>
            <w10:anchorlock/>
          </v:group>
        </w:pict>
      </w:r>
      <w:r w:rsidR="00C2656B">
        <w:tab/>
      </w:r>
      <w:r w:rsidRPr="00D96B91">
        <w:rPr>
          <w:position w:val="42"/>
        </w:rPr>
      </w:r>
      <w:r w:rsidRPr="00D96B91">
        <w:rPr>
          <w:position w:val="42"/>
        </w:rPr>
        <w:pict>
          <v:group id="_x0000_s3378" style="width:126.2pt;height:41.15pt;mso-position-horizontal-relative:char;mso-position-vertical-relative:line" coordsize="2524,823">
            <v:shape id="_x0000_s3380" type="#_x0000_t75" style="position:absolute;width:2524;height:822">
              <v:imagedata r:id="rId41" o:title=""/>
            </v:shape>
            <v:shape id="_x0000_s3379" type="#_x0000_t202" style="position:absolute;width:2524;height:823" filled="f" stroked="f">
              <v:textbox style="mso-next-textbox:#_x0000_s3379" inset="0,0,0,0">
                <w:txbxContent>
                  <w:p w:rsidR="008A79D5" w:rsidRDefault="008A79D5">
                    <w:pPr>
                      <w:spacing w:before="2"/>
                      <w:rPr>
                        <w:rFonts w:ascii="Avenir Next" w:eastAsia="Avenir Next" w:hAnsi="Avenir Next" w:cs="Avenir Next"/>
                        <w:b/>
                        <w:bCs/>
                      </w:rPr>
                    </w:pPr>
                  </w:p>
                  <w:p w:rsidR="008A79D5" w:rsidRDefault="008A79D5">
                    <w:pPr>
                      <w:ind w:left="635"/>
                      <w:rPr>
                        <w:rFonts w:ascii="Avenir Next" w:eastAsia="Avenir Next" w:hAnsi="Avenir Next" w:cs="Avenir Next"/>
                        <w:sz w:val="24"/>
                        <w:szCs w:val="24"/>
                      </w:rPr>
                    </w:pPr>
                    <w:r>
                      <w:rPr>
                        <w:rFonts w:ascii="Avenir Next"/>
                        <w:b/>
                        <w:color w:val="FFFFFF"/>
                        <w:sz w:val="24"/>
                      </w:rPr>
                      <w:t>Chapter 15</w:t>
                    </w:r>
                  </w:p>
                </w:txbxContent>
              </v:textbox>
            </v:shape>
            <w10:wrap type="none"/>
            <w10:anchorlock/>
          </v:group>
        </w:pict>
      </w:r>
    </w:p>
    <w:p w:rsidR="00D96B91" w:rsidRDefault="00D96B91">
      <w:pPr>
        <w:rPr>
          <w:rFonts w:ascii="Avenir Next" w:eastAsia="Avenir Next" w:hAnsi="Avenir Next" w:cs="Avenir Next"/>
          <w:b/>
          <w:bCs/>
          <w:sz w:val="25"/>
          <w:szCs w:val="25"/>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377" type="#_x0000_t202" style="width:323.15pt;height:41.85pt;mso-left-percent:-10001;mso-top-percent:-10001;mso-position-horizontal:absolute;mso-position-horizontal-relative:char;mso-position-vertical:absolute;mso-position-vertical-relative:line;mso-left-percent:-10001;mso-top-percent:-10001" fillcolor="#f26921" stroked="f">
            <v:textbox style="mso-next-textbox:#_x0000_s3377" inset="0,0,0,0">
              <w:txbxContent>
                <w:p w:rsidR="008A79D5" w:rsidRDefault="008A79D5">
                  <w:pPr>
                    <w:spacing w:before="152" w:line="190" w:lineRule="auto"/>
                    <w:ind w:left="1669" w:right="1076" w:hanging="564"/>
                    <w:rPr>
                      <w:rFonts w:ascii="Avenir Next" w:eastAsia="Avenir Next" w:hAnsi="Avenir Next" w:cs="Avenir Next"/>
                      <w:sz w:val="24"/>
                      <w:szCs w:val="24"/>
                    </w:rPr>
                  </w:pPr>
                  <w:r>
                    <w:rPr>
                      <w:rFonts w:ascii="Avenir Next"/>
                      <w:b/>
                      <w:color w:val="FFFFFF"/>
                      <w:spacing w:val="-1"/>
                      <w:sz w:val="24"/>
                    </w:rPr>
                    <w:t>Step</w:t>
                  </w:r>
                  <w:r>
                    <w:rPr>
                      <w:rFonts w:ascii="Avenir Next"/>
                      <w:b/>
                      <w:color w:val="FFFFFF"/>
                      <w:sz w:val="24"/>
                    </w:rPr>
                    <w:t xml:space="preserve"> 9: Decide to substitute or confirm</w:t>
                  </w:r>
                  <w:r>
                    <w:rPr>
                      <w:rFonts w:ascii="Avenir Next"/>
                      <w:b/>
                      <w:color w:val="FFFFFF"/>
                      <w:spacing w:val="22"/>
                      <w:sz w:val="24"/>
                    </w:rPr>
                    <w:t xml:space="preserve"> </w:t>
                  </w:r>
                  <w:r>
                    <w:rPr>
                      <w:rFonts w:ascii="Avenir Next"/>
                      <w:b/>
                      <w:color w:val="FFFFFF"/>
                      <w:sz w:val="24"/>
                    </w:rPr>
                    <w:t xml:space="preserve">the original pricing </w:t>
                  </w:r>
                  <w:r>
                    <w:rPr>
                      <w:rFonts w:ascii="Avenir Next"/>
                      <w:b/>
                      <w:color w:val="FFFFFF"/>
                      <w:spacing w:val="-1"/>
                      <w:sz w:val="24"/>
                    </w:rPr>
                    <w:t>direction</w:t>
                  </w:r>
                </w:p>
              </w:txbxContent>
            </v:textbox>
          </v:shape>
        </w:pict>
      </w:r>
    </w:p>
    <w:p w:rsidR="00D96B91" w:rsidRDefault="00D96B91">
      <w:pPr>
        <w:spacing w:line="200" w:lineRule="atLeast"/>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3372" style="position:absolute;margin-left:0;margin-top:789.45pt;width:595.3pt;height:52.45pt;z-index:251522560;mso-position-horizontal-relative:page;mso-position-vertical-relative:page" coordorigin=",15789" coordsize="11906,1049">
            <v:group id="_x0000_s3373" style="position:absolute;top:15789;width:11906;height:1049" coordorigin=",15789" coordsize="11906,1049">
              <v:shape id="_x0000_s3376" style="position:absolute;top:15789;width:11906;height:1049" coordorigin=",15789" coordsize="11906,1049" path="m,16838r11906,l11906,15789,,15789r,1049xe" fillcolor="#0778be" stroked="f">
                <v:path arrowok="t"/>
              </v:shape>
              <v:shape id="_x0000_s3375" type="#_x0000_t75" style="position:absolute;top:15789;width:11906;height:1049">
                <v:imagedata r:id="rId20" o:title=""/>
              </v:shape>
              <v:shape id="_x0000_s3374" type="#_x0000_t202" style="position:absolute;top:15789;width:11906;height:1049" filled="f" stroked="f">
                <v:textbox style="mso-next-textbox:#_x0000_s3374"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240"/>
                        </w:tabs>
                        <w:ind w:left="692"/>
                        <w:rPr>
                          <w:rFonts w:ascii="Avenir Next" w:eastAsia="Avenir Next" w:hAnsi="Avenir Next" w:cs="Avenir Next"/>
                          <w:sz w:val="20"/>
                          <w:szCs w:val="20"/>
                        </w:rPr>
                      </w:pPr>
                      <w:r>
                        <w:rPr>
                          <w:rFonts w:ascii="Avenir Next" w:eastAsia="Avenir Next" w:hAnsi="Avenir Next" w:cs="Avenir Next"/>
                          <w:color w:val="EEF8FE"/>
                          <w:sz w:val="20"/>
                          <w:szCs w:val="20"/>
                        </w:rPr>
                        <w:t>20</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42"/>
          <w:pgSz w:w="11910" w:h="16840"/>
          <w:pgMar w:top="1580" w:right="0" w:bottom="0" w:left="0" w:header="0" w:footer="0"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20" w:name="3_Context_for_the_review"/>
      <w:bookmarkStart w:id="21" w:name="3._1_Appropriate_roles_and_responsibilit"/>
      <w:bookmarkStart w:id="22" w:name="_bookmark10"/>
      <w:bookmarkEnd w:id="20"/>
      <w:bookmarkEnd w:id="21"/>
      <w:bookmarkEnd w:id="22"/>
      <w:r>
        <w:rPr>
          <w:rFonts w:ascii="Avenir Next Medium"/>
          <w:color w:val="0778BE"/>
          <w:w w:val="95"/>
          <w:sz w:val="40"/>
        </w:rPr>
        <w:t>3</w:t>
      </w:r>
      <w:r>
        <w:rPr>
          <w:rFonts w:ascii="Avenir Next Medium"/>
          <w:color w:val="0778BE"/>
          <w:w w:val="95"/>
          <w:sz w:val="40"/>
        </w:rPr>
        <w:tab/>
      </w:r>
      <w:r>
        <w:rPr>
          <w:rFonts w:ascii="Avenir Next Medium"/>
          <w:color w:val="0778BE"/>
          <w:spacing w:val="-2"/>
          <w:sz w:val="40"/>
        </w:rPr>
        <w:t>C</w:t>
      </w:r>
      <w:bookmarkStart w:id="23" w:name="_bookmark11"/>
      <w:bookmarkEnd w:id="23"/>
      <w:r>
        <w:rPr>
          <w:rFonts w:ascii="Avenir Next Medium"/>
          <w:color w:val="0778BE"/>
          <w:spacing w:val="-2"/>
          <w:sz w:val="40"/>
        </w:rPr>
        <w:t>ontext</w:t>
      </w:r>
      <w:r>
        <w:rPr>
          <w:rFonts w:ascii="Avenir Next Medium"/>
          <w:color w:val="0778BE"/>
          <w:sz w:val="40"/>
        </w:rPr>
        <w:t xml:space="preserve"> for the </w:t>
      </w:r>
      <w:r>
        <w:rPr>
          <w:rFonts w:ascii="Avenir Next Medium"/>
          <w:color w:val="0778BE"/>
          <w:spacing w:val="-2"/>
          <w:sz w:val="40"/>
        </w:rPr>
        <w:t>review</w:t>
      </w:r>
    </w:p>
    <w:p w:rsidR="00D96B91" w:rsidRDefault="00C2656B">
      <w:pPr>
        <w:pStyle w:val="BodyText"/>
        <w:spacing w:before="359" w:line="260" w:lineRule="exact"/>
        <w:ind w:right="1513"/>
      </w:pPr>
      <w:r>
        <w:rPr>
          <w:rFonts w:cs="Avenir Next"/>
          <w:spacing w:val="-2"/>
        </w:rPr>
        <w:t>The</w:t>
      </w:r>
      <w:r>
        <w:rPr>
          <w:rFonts w:cs="Avenir Next"/>
        </w:rPr>
        <w:t xml:space="preserve"> </w:t>
      </w:r>
      <w:r>
        <w:rPr>
          <w:rFonts w:cs="Avenir Next"/>
          <w:spacing w:val="-3"/>
        </w:rPr>
        <w:t>Panel</w:t>
      </w:r>
      <w:r>
        <w:rPr>
          <w:rFonts w:cs="Avenir Next"/>
        </w:rPr>
        <w:t xml:space="preserve"> began its task by considering the </w:t>
      </w:r>
      <w:r>
        <w:rPr>
          <w:rFonts w:cs="Avenir Next"/>
          <w:spacing w:val="-1"/>
        </w:rPr>
        <w:t>context</w:t>
      </w:r>
      <w:r>
        <w:rPr>
          <w:rFonts w:cs="Avenir Next"/>
        </w:rPr>
        <w:t xml:space="preserve"> in which it is conducting the </w:t>
      </w:r>
      <w:r>
        <w:rPr>
          <w:rFonts w:cs="Avenir Next"/>
          <w:spacing w:val="-2"/>
        </w:rPr>
        <w:t>review,</w:t>
      </w:r>
      <w:r>
        <w:rPr>
          <w:rFonts w:cs="Avenir Next"/>
          <w:spacing w:val="-6"/>
        </w:rPr>
        <w:t xml:space="preserve"> </w:t>
      </w:r>
      <w:r>
        <w:rPr>
          <w:rFonts w:cs="Avenir Next"/>
        </w:rPr>
        <w:t>and by</w:t>
      </w:r>
      <w:r>
        <w:rPr>
          <w:rFonts w:cs="Avenir Next"/>
          <w:spacing w:val="25"/>
        </w:rPr>
        <w:t xml:space="preserve"> </w:t>
      </w:r>
      <w:r>
        <w:rPr>
          <w:rFonts w:cs="Avenir Next"/>
        </w:rPr>
        <w:t xml:space="preserve">ensuring it understood the </w:t>
      </w:r>
      <w:r>
        <w:rPr>
          <w:rFonts w:cs="Avenir Next"/>
          <w:spacing w:val="-2"/>
        </w:rPr>
        <w:t>key</w:t>
      </w:r>
      <w:r>
        <w:rPr>
          <w:rFonts w:cs="Avenir Next"/>
        </w:rPr>
        <w:t xml:space="preserve"> </w:t>
      </w:r>
      <w:r>
        <w:rPr>
          <w:rFonts w:cs="Avenir Next"/>
          <w:spacing w:val="-1"/>
        </w:rPr>
        <w:t>contextual</w:t>
      </w:r>
      <w:r>
        <w:rPr>
          <w:rFonts w:cs="Avenir Next"/>
        </w:rPr>
        <w:t xml:space="preserve"> </w:t>
      </w:r>
      <w:r>
        <w:rPr>
          <w:rFonts w:cs="Avenir Next"/>
          <w:spacing w:val="-1"/>
        </w:rPr>
        <w:t>matters</w:t>
      </w:r>
      <w:r>
        <w:rPr>
          <w:rFonts w:cs="Avenir Next"/>
        </w:rPr>
        <w:t xml:space="preserve"> </w:t>
      </w:r>
      <w:r>
        <w:rPr>
          <w:rFonts w:cs="Avenir Next"/>
          <w:spacing w:val="-1"/>
        </w:rPr>
        <w:t>that</w:t>
      </w:r>
      <w:r>
        <w:rPr>
          <w:rFonts w:cs="Avenir Next"/>
        </w:rPr>
        <w:t xml:space="preserve"> should be </w:t>
      </w:r>
      <w:r>
        <w:rPr>
          <w:rFonts w:cs="Avenir Next"/>
          <w:spacing w:val="-1"/>
        </w:rPr>
        <w:t>taken</w:t>
      </w:r>
      <w:r>
        <w:rPr>
          <w:rFonts w:cs="Avenir Next"/>
        </w:rPr>
        <w:t xml:space="preserve"> into account in making its</w:t>
      </w:r>
      <w:r>
        <w:rPr>
          <w:rFonts w:cs="Avenir Next"/>
          <w:spacing w:val="29"/>
        </w:rPr>
        <w:t xml:space="preserve"> </w:t>
      </w:r>
      <w:r>
        <w:t>decisions.</w:t>
      </w:r>
      <w:r>
        <w:rPr>
          <w:spacing w:val="-6"/>
        </w:rPr>
        <w:t xml:space="preserve"> </w:t>
      </w:r>
      <w:r>
        <w:t xml:space="preserve">In the </w:t>
      </w:r>
      <w:r>
        <w:rPr>
          <w:spacing w:val="-4"/>
        </w:rPr>
        <w:t>Panel’s</w:t>
      </w:r>
      <w:r>
        <w:t xml:space="preserve"> </w:t>
      </w:r>
      <w:r>
        <w:rPr>
          <w:spacing w:val="-2"/>
        </w:rPr>
        <w:t>view,</w:t>
      </w:r>
      <w:r>
        <w:rPr>
          <w:spacing w:val="-6"/>
        </w:rPr>
        <w:t xml:space="preserve"> </w:t>
      </w:r>
      <w:r>
        <w:t xml:space="preserve">these </w:t>
      </w:r>
      <w:r>
        <w:rPr>
          <w:spacing w:val="-1"/>
        </w:rPr>
        <w:t>matters</w:t>
      </w:r>
      <w:r>
        <w:t xml:space="preserve"> include:</w:t>
      </w:r>
    </w:p>
    <w:p w:rsidR="00D96B91" w:rsidRDefault="00C2656B">
      <w:pPr>
        <w:pStyle w:val="BodyText"/>
        <w:numPr>
          <w:ilvl w:val="0"/>
          <w:numId w:val="131"/>
        </w:numPr>
        <w:tabs>
          <w:tab w:val="left" w:pos="1531"/>
        </w:tabs>
        <w:spacing w:before="170" w:line="260" w:lineRule="exact"/>
        <w:ind w:right="1920" w:hanging="283"/>
        <w:rPr>
          <w:rFonts w:cs="Avenir Next"/>
        </w:rPr>
      </w:pPr>
      <w:r>
        <w:t xml:space="preserve">the </w:t>
      </w:r>
      <w:r>
        <w:rPr>
          <w:spacing w:val="-1"/>
        </w:rPr>
        <w:t>appropriate</w:t>
      </w:r>
      <w:r>
        <w:t xml:space="preserve"> </w:t>
      </w:r>
      <w:r>
        <w:rPr>
          <w:spacing w:val="-1"/>
        </w:rPr>
        <w:t>roles</w:t>
      </w:r>
      <w:r>
        <w:t xml:space="preserve"> and </w:t>
      </w:r>
      <w:r>
        <w:rPr>
          <w:spacing w:val="-1"/>
        </w:rPr>
        <w:t>responsibilities</w:t>
      </w:r>
      <w:r>
        <w:t xml:space="preserve"> of</w:t>
      </w:r>
      <w:r>
        <w:rPr>
          <w:spacing w:val="4"/>
        </w:rPr>
        <w:t xml:space="preserve"> </w:t>
      </w:r>
      <w:r>
        <w:t xml:space="preserve">the </w:t>
      </w:r>
      <w:r>
        <w:rPr>
          <w:spacing w:val="-3"/>
        </w:rPr>
        <w:t>Panel</w:t>
      </w:r>
      <w:r>
        <w:t xml:space="preserve"> and other </w:t>
      </w:r>
      <w:r>
        <w:rPr>
          <w:spacing w:val="-1"/>
        </w:rPr>
        <w:t>participants</w:t>
      </w:r>
      <w:r>
        <w:t xml:space="preserve"> in the </w:t>
      </w:r>
      <w:r>
        <w:rPr>
          <w:spacing w:val="-1"/>
        </w:rPr>
        <w:t>regulatory</w:t>
      </w:r>
      <w:r>
        <w:rPr>
          <w:spacing w:val="67"/>
        </w:rPr>
        <w:t xml:space="preserve"> </w:t>
      </w:r>
      <w:r>
        <w:t>system</w:t>
      </w:r>
    </w:p>
    <w:p w:rsidR="00D96B91" w:rsidRDefault="00C2656B">
      <w:pPr>
        <w:pStyle w:val="BodyText"/>
        <w:numPr>
          <w:ilvl w:val="0"/>
          <w:numId w:val="131"/>
        </w:numPr>
        <w:tabs>
          <w:tab w:val="left" w:pos="1531"/>
        </w:tabs>
        <w:spacing w:before="85" w:line="260" w:lineRule="exact"/>
        <w:ind w:right="1570" w:hanging="283"/>
        <w:rPr>
          <w:rFonts w:cs="Avenir Next"/>
        </w:rPr>
      </w:pPr>
      <w:r>
        <w:t xml:space="preserve">the </w:t>
      </w:r>
      <w:r>
        <w:rPr>
          <w:spacing w:val="-1"/>
        </w:rPr>
        <w:t>implications</w:t>
      </w:r>
      <w:r>
        <w:t xml:space="preserve"> of</w:t>
      </w:r>
      <w:r>
        <w:rPr>
          <w:spacing w:val="4"/>
        </w:rPr>
        <w:t xml:space="preserve"> </w:t>
      </w:r>
      <w:r>
        <w:t xml:space="preserve">the </w:t>
      </w:r>
      <w:r>
        <w:rPr>
          <w:spacing w:val="-1"/>
        </w:rPr>
        <w:t>Competition</w:t>
      </w:r>
      <w:r>
        <w:t xml:space="preserve"> </w:t>
      </w:r>
      <w:r>
        <w:rPr>
          <w:spacing w:val="-1"/>
        </w:rPr>
        <w:t>Principles</w:t>
      </w:r>
      <w:r>
        <w:rPr>
          <w:spacing w:val="-4"/>
        </w:rPr>
        <w:t xml:space="preserve"> </w:t>
      </w:r>
      <w:r>
        <w:rPr>
          <w:spacing w:val="-1"/>
        </w:rPr>
        <w:t>Agreement,</w:t>
      </w:r>
      <w:r>
        <w:rPr>
          <w:spacing w:val="-6"/>
        </w:rPr>
        <w:t xml:space="preserve"> </w:t>
      </w:r>
      <w:r>
        <w:t>which the</w:t>
      </w:r>
      <w:r>
        <w:rPr>
          <w:spacing w:val="-4"/>
        </w:rPr>
        <w:t xml:space="preserve"> </w:t>
      </w:r>
      <w:r>
        <w:rPr>
          <w:spacing w:val="-2"/>
        </w:rPr>
        <w:t>ACT</w:t>
      </w:r>
      <w:r>
        <w:rPr>
          <w:spacing w:val="-5"/>
        </w:rPr>
        <w:t xml:space="preserve"> </w:t>
      </w:r>
      <w:r>
        <w:t xml:space="preserve">and all other </w:t>
      </w:r>
      <w:r>
        <w:rPr>
          <w:spacing w:val="-1"/>
        </w:rPr>
        <w:t>states</w:t>
      </w:r>
      <w:r>
        <w:t xml:space="preserve"> and</w:t>
      </w:r>
      <w:r>
        <w:rPr>
          <w:spacing w:val="55"/>
        </w:rPr>
        <w:t xml:space="preserve"> </w:t>
      </w:r>
      <w:r>
        <w:t>territories have signed</w:t>
      </w:r>
    </w:p>
    <w:p w:rsidR="00D96B91" w:rsidRDefault="00C2656B">
      <w:pPr>
        <w:pStyle w:val="BodyText"/>
        <w:numPr>
          <w:ilvl w:val="0"/>
          <w:numId w:val="131"/>
        </w:numPr>
        <w:tabs>
          <w:tab w:val="left" w:pos="1531"/>
        </w:tabs>
        <w:spacing w:before="85" w:line="260" w:lineRule="exact"/>
        <w:ind w:right="1394" w:hanging="283"/>
        <w:rPr>
          <w:rFonts w:cs="Avenir Next"/>
        </w:rPr>
      </w:pPr>
      <w:r>
        <w:rPr>
          <w:rFonts w:cs="Avenir Next"/>
        </w:rPr>
        <w:t>the challenges facing</w:t>
      </w:r>
      <w:r>
        <w:rPr>
          <w:rFonts w:cs="Avenir Next"/>
          <w:spacing w:val="-4"/>
        </w:rPr>
        <w:t xml:space="preserve"> </w:t>
      </w:r>
      <w:r>
        <w:rPr>
          <w:rFonts w:cs="Avenir Next"/>
          <w:spacing w:val="-1"/>
        </w:rPr>
        <w:t>Australian</w:t>
      </w:r>
      <w:r>
        <w:rPr>
          <w:rFonts w:cs="Avenir Next"/>
        </w:rPr>
        <w:t xml:space="preserve"> </w:t>
      </w:r>
      <w:r>
        <w:rPr>
          <w:rFonts w:cs="Avenir Next"/>
          <w:spacing w:val="-1"/>
        </w:rPr>
        <w:t>water</w:t>
      </w:r>
      <w:r>
        <w:rPr>
          <w:rFonts w:cs="Avenir Next"/>
        </w:rPr>
        <w:t xml:space="preserve"> utilities </w:t>
      </w:r>
      <w:r>
        <w:rPr>
          <w:rFonts w:cs="Avenir Next"/>
          <w:spacing w:val="-2"/>
        </w:rPr>
        <w:t>at</w:t>
      </w:r>
      <w:r>
        <w:rPr>
          <w:rFonts w:cs="Avenir Next"/>
        </w:rPr>
        <w:t xml:space="preserve"> the time</w:t>
      </w:r>
      <w:r>
        <w:rPr>
          <w:rFonts w:cs="Avenir Next"/>
          <w:spacing w:val="-4"/>
        </w:rPr>
        <w:t xml:space="preserve"> </w:t>
      </w:r>
      <w:r>
        <w:rPr>
          <w:rFonts w:cs="Avenir Next"/>
          <w:spacing w:val="-2"/>
        </w:rPr>
        <w:t>ACTEW</w:t>
      </w:r>
      <w:r>
        <w:rPr>
          <w:rFonts w:cs="Avenir Next"/>
          <w:spacing w:val="-3"/>
        </w:rPr>
        <w:t xml:space="preserve"> </w:t>
      </w:r>
      <w:r>
        <w:rPr>
          <w:rFonts w:cs="Avenir Next"/>
        </w:rPr>
        <w:t>made its original submission to</w:t>
      </w:r>
      <w:r>
        <w:rPr>
          <w:rFonts w:cs="Avenir Next"/>
          <w:spacing w:val="31"/>
        </w:rPr>
        <w:t xml:space="preserve"> </w:t>
      </w:r>
      <w:r>
        <w:t xml:space="preserve">the ICRC – </w:t>
      </w:r>
      <w:r>
        <w:rPr>
          <w:spacing w:val="-1"/>
        </w:rPr>
        <w:t>particularly</w:t>
      </w:r>
      <w:r>
        <w:t xml:space="preserve"> those </w:t>
      </w:r>
      <w:r>
        <w:rPr>
          <w:spacing w:val="-1"/>
        </w:rPr>
        <w:t>related</w:t>
      </w:r>
      <w:r>
        <w:t xml:space="preserve"> to the “Millennium Drought” – and how economic </w:t>
      </w:r>
      <w:r>
        <w:rPr>
          <w:spacing w:val="-1"/>
        </w:rPr>
        <w:t>regulators</w:t>
      </w:r>
      <w:r>
        <w:t xml:space="preserve"> in</w:t>
      </w:r>
      <w:r>
        <w:rPr>
          <w:spacing w:val="29"/>
        </w:rPr>
        <w:t xml:space="preserve"> </w:t>
      </w:r>
      <w:r>
        <w:rPr>
          <w:rFonts w:cs="Avenir Next"/>
        </w:rPr>
        <w:t xml:space="preserve">other jurisdictions have </w:t>
      </w:r>
      <w:r>
        <w:rPr>
          <w:rFonts w:cs="Avenir Next"/>
          <w:spacing w:val="-1"/>
        </w:rPr>
        <w:t>dealt</w:t>
      </w:r>
      <w:r>
        <w:rPr>
          <w:rFonts w:cs="Avenir Next"/>
        </w:rPr>
        <w:t xml:space="preserve"> with these challenges,</w:t>
      </w:r>
      <w:r>
        <w:rPr>
          <w:rFonts w:cs="Avenir Next"/>
          <w:spacing w:val="-7"/>
        </w:rPr>
        <w:t xml:space="preserve"> </w:t>
      </w:r>
      <w:r>
        <w:rPr>
          <w:rFonts w:cs="Avenir Next"/>
        </w:rPr>
        <w:t>and</w:t>
      </w:r>
    </w:p>
    <w:p w:rsidR="00D96B91" w:rsidRDefault="00C2656B">
      <w:pPr>
        <w:pStyle w:val="BodyText"/>
        <w:numPr>
          <w:ilvl w:val="0"/>
          <w:numId w:val="131"/>
        </w:numPr>
        <w:tabs>
          <w:tab w:val="left" w:pos="1531"/>
        </w:tabs>
        <w:spacing w:before="93"/>
        <w:ind w:hanging="283"/>
      </w:pPr>
      <w:r>
        <w:t xml:space="preserve">the </w:t>
      </w:r>
      <w:r>
        <w:rPr>
          <w:spacing w:val="-2"/>
        </w:rPr>
        <w:t>key</w:t>
      </w:r>
      <w:r>
        <w:t xml:space="preserve"> </w:t>
      </w:r>
      <w:r>
        <w:rPr>
          <w:spacing w:val="-1"/>
        </w:rPr>
        <w:t>features</w:t>
      </w:r>
      <w:r>
        <w:t xml:space="preserve"> of</w:t>
      </w:r>
      <w:r>
        <w:rPr>
          <w:spacing w:val="4"/>
        </w:rPr>
        <w:t xml:space="preserve"> </w:t>
      </w:r>
      <w:r>
        <w:t xml:space="preserve">the </w:t>
      </w:r>
      <w:r>
        <w:rPr>
          <w:spacing w:val="-2"/>
        </w:rPr>
        <w:t>ICRC’s</w:t>
      </w:r>
      <w:r>
        <w:t xml:space="preserve"> original price </w:t>
      </w:r>
      <w:r>
        <w:rPr>
          <w:spacing w:val="-1"/>
        </w:rPr>
        <w:t>direction.</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pPr>
      <w:r>
        <w:rPr>
          <w:rFonts w:cs="Avenir Next"/>
          <w:spacing w:val="-2"/>
        </w:rPr>
        <w:t>The</w:t>
      </w:r>
      <w:r>
        <w:rPr>
          <w:rFonts w:cs="Avenir Next"/>
        </w:rPr>
        <w:t xml:space="preserve"> sections below discuss the </w:t>
      </w:r>
      <w:r>
        <w:rPr>
          <w:rFonts w:cs="Avenir Next"/>
          <w:spacing w:val="-4"/>
        </w:rPr>
        <w:t>Panel’s</w:t>
      </w:r>
      <w:r>
        <w:rPr>
          <w:rFonts w:cs="Avenir Next"/>
        </w:rPr>
        <w:t xml:space="preserve"> understanding of</w:t>
      </w:r>
      <w:r>
        <w:rPr>
          <w:rFonts w:cs="Avenir Next"/>
          <w:spacing w:val="4"/>
        </w:rPr>
        <w:t xml:space="preserve"> </w:t>
      </w:r>
      <w:r>
        <w:rPr>
          <w:rFonts w:cs="Avenir Next"/>
          <w:spacing w:val="-1"/>
        </w:rPr>
        <w:t>each</w:t>
      </w:r>
      <w:r>
        <w:rPr>
          <w:rFonts w:cs="Avenir Next"/>
        </w:rPr>
        <w:t xml:space="preserve"> of</w:t>
      </w:r>
      <w:r>
        <w:rPr>
          <w:rFonts w:cs="Avenir Next"/>
          <w:spacing w:val="4"/>
        </w:rPr>
        <w:t xml:space="preserve"> </w:t>
      </w:r>
      <w:r>
        <w:rPr>
          <w:rFonts w:cs="Avenir Next"/>
        </w:rPr>
        <w:t xml:space="preserve">these </w:t>
      </w:r>
      <w:r>
        <w:rPr>
          <w:rFonts w:cs="Avenir Next"/>
          <w:spacing w:val="-1"/>
        </w:rPr>
        <w:t>matters,</w:t>
      </w:r>
      <w:r>
        <w:rPr>
          <w:rFonts w:cs="Avenir Next"/>
          <w:spacing w:val="-6"/>
        </w:rPr>
        <w:t xml:space="preserve"> </w:t>
      </w:r>
      <w:r>
        <w:rPr>
          <w:rFonts w:cs="Avenir Next"/>
        </w:rPr>
        <w:t>many of</w:t>
      </w:r>
      <w:r>
        <w:rPr>
          <w:rFonts w:cs="Avenir Next"/>
          <w:spacing w:val="4"/>
        </w:rPr>
        <w:t xml:space="preserve"> </w:t>
      </w:r>
      <w:r>
        <w:rPr>
          <w:rFonts w:cs="Avenir Next"/>
        </w:rPr>
        <w:t xml:space="preserve">which </w:t>
      </w:r>
      <w:r>
        <w:rPr>
          <w:rFonts w:cs="Avenir Next"/>
          <w:spacing w:val="-2"/>
        </w:rPr>
        <w:t>are</w:t>
      </w:r>
      <w:r>
        <w:rPr>
          <w:rFonts w:cs="Avenir Next"/>
          <w:spacing w:val="27"/>
        </w:rPr>
        <w:t xml:space="preserve"> </w:t>
      </w:r>
      <w:r>
        <w:rPr>
          <w:rFonts w:cs="Avenir Next"/>
          <w:spacing w:val="-1"/>
        </w:rPr>
        <w:t>picked</w:t>
      </w:r>
      <w:r>
        <w:rPr>
          <w:rFonts w:cs="Avenir Next"/>
        </w:rPr>
        <w:t xml:space="preserve"> up in the analysis </w:t>
      </w:r>
      <w:r>
        <w:rPr>
          <w:rFonts w:cs="Avenir Next"/>
          <w:spacing w:val="-1"/>
        </w:rPr>
        <w:t>presented</w:t>
      </w:r>
      <w:r>
        <w:rPr>
          <w:rFonts w:cs="Avenir Next"/>
        </w:rPr>
        <w:t xml:space="preserve"> </w:t>
      </w:r>
      <w:r>
        <w:rPr>
          <w:rFonts w:cs="Avenir Next"/>
          <w:spacing w:val="-1"/>
        </w:rPr>
        <w:t>elsewhere</w:t>
      </w:r>
      <w:r>
        <w:rPr>
          <w:rFonts w:cs="Avenir Next"/>
        </w:rPr>
        <w:t xml:space="preserve"> in this </w:t>
      </w:r>
      <w:r>
        <w:rPr>
          <w:rFonts w:cs="Avenir Next"/>
          <w:spacing w:val="-2"/>
        </w:rPr>
        <w:t>draft</w:t>
      </w:r>
      <w:r>
        <w:rPr>
          <w:rFonts w:cs="Avenir Next"/>
        </w:rPr>
        <w:t xml:space="preserve"> </w:t>
      </w:r>
      <w:r>
        <w:rPr>
          <w:rFonts w:cs="Avenir Next"/>
          <w:spacing w:val="-1"/>
        </w:rPr>
        <w:t>report,</w:t>
      </w:r>
      <w:r>
        <w:rPr>
          <w:rFonts w:cs="Avenir Next"/>
          <w:spacing w:val="-6"/>
        </w:rPr>
        <w:t xml:space="preserve"> </w:t>
      </w:r>
      <w:r>
        <w:rPr>
          <w:rFonts w:cs="Avenir Next"/>
        </w:rPr>
        <w:t xml:space="preserve">and have informed the </w:t>
      </w:r>
      <w:r>
        <w:rPr>
          <w:rFonts w:cs="Avenir Next"/>
          <w:spacing w:val="-4"/>
        </w:rPr>
        <w:t>Panel’s</w:t>
      </w:r>
      <w:r>
        <w:rPr>
          <w:rFonts w:cs="Avenir Next"/>
        </w:rPr>
        <w:t xml:space="preserve"> </w:t>
      </w:r>
      <w:r>
        <w:rPr>
          <w:rFonts w:cs="Avenir Next"/>
          <w:spacing w:val="-2"/>
        </w:rPr>
        <w:t>draft</w:t>
      </w:r>
      <w:r>
        <w:rPr>
          <w:rFonts w:cs="Avenir Next"/>
          <w:spacing w:val="51"/>
        </w:rPr>
        <w:t xml:space="preserve"> </w:t>
      </w:r>
      <w:r>
        <w:t>decision.</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3.</w:t>
      </w:r>
      <w:r>
        <w:rPr>
          <w:color w:val="0778BE"/>
          <w:spacing w:val="-9"/>
        </w:rPr>
        <w:t xml:space="preserve"> </w:t>
      </w:r>
      <w:r>
        <w:rPr>
          <w:color w:val="0778BE"/>
        </w:rPr>
        <w:t>1</w:t>
      </w:r>
      <w:r>
        <w:rPr>
          <w:color w:val="0778BE"/>
        </w:rPr>
        <w:tab/>
      </w:r>
      <w:r>
        <w:rPr>
          <w:color w:val="0778BE"/>
          <w:spacing w:val="-1"/>
        </w:rPr>
        <w:t>Appropriate</w:t>
      </w:r>
      <w:r>
        <w:rPr>
          <w:color w:val="0778BE"/>
        </w:rPr>
        <w:t xml:space="preserve"> </w:t>
      </w:r>
      <w:r>
        <w:rPr>
          <w:color w:val="0778BE"/>
          <w:spacing w:val="-2"/>
        </w:rPr>
        <w:t>roles</w:t>
      </w:r>
      <w:r>
        <w:rPr>
          <w:color w:val="0778BE"/>
        </w:rPr>
        <w:t xml:space="preserve"> and </w:t>
      </w:r>
      <w:r>
        <w:rPr>
          <w:color w:val="0778BE"/>
          <w:spacing w:val="-1"/>
        </w:rPr>
        <w:t>responsibilities</w:t>
      </w:r>
    </w:p>
    <w:p w:rsidR="00D96B91" w:rsidRDefault="00C2656B">
      <w:pPr>
        <w:pStyle w:val="BodyText"/>
        <w:spacing w:before="55" w:line="260" w:lineRule="exact"/>
        <w:ind w:right="1256"/>
      </w:pPr>
      <w:r>
        <w:rPr>
          <w:rFonts w:cs="Avenir Next"/>
          <w:spacing w:val="-2"/>
        </w:rPr>
        <w:t>The</w:t>
      </w:r>
      <w:r>
        <w:rPr>
          <w:rFonts w:cs="Avenir Next"/>
        </w:rPr>
        <w:t xml:space="preserve"> </w:t>
      </w:r>
      <w:r>
        <w:rPr>
          <w:rFonts w:cs="Avenir Next"/>
          <w:spacing w:val="-4"/>
        </w:rPr>
        <w:t>Panel’s</w:t>
      </w:r>
      <w:r>
        <w:rPr>
          <w:rFonts w:cs="Avenir Next"/>
        </w:rPr>
        <w:t xml:space="preserve"> task for this </w:t>
      </w:r>
      <w:r>
        <w:rPr>
          <w:rFonts w:cs="Avenir Next"/>
          <w:spacing w:val="-1"/>
        </w:rPr>
        <w:t>review</w:t>
      </w:r>
      <w:r>
        <w:rPr>
          <w:rFonts w:cs="Avenir Next"/>
        </w:rPr>
        <w:t xml:space="preserve"> </w:t>
      </w:r>
      <w:r>
        <w:rPr>
          <w:rFonts w:cs="Avenir Next"/>
          <w:spacing w:val="-1"/>
        </w:rPr>
        <w:t>effectively</w:t>
      </w:r>
      <w:r>
        <w:rPr>
          <w:rFonts w:cs="Avenir Next"/>
        </w:rPr>
        <w:t xml:space="preserve"> </w:t>
      </w:r>
      <w:r>
        <w:rPr>
          <w:rFonts w:cs="Avenir Next"/>
          <w:spacing w:val="-1"/>
        </w:rPr>
        <w:t>requires</w:t>
      </w:r>
      <w:r>
        <w:rPr>
          <w:rFonts w:cs="Avenir Next"/>
        </w:rPr>
        <w:t xml:space="preserve"> it to step into the shoes of</w:t>
      </w:r>
      <w:r>
        <w:rPr>
          <w:rFonts w:cs="Avenir Next"/>
          <w:spacing w:val="4"/>
        </w:rPr>
        <w:t xml:space="preserve"> </w:t>
      </w:r>
      <w:r>
        <w:rPr>
          <w:rFonts w:cs="Avenir Next"/>
        </w:rPr>
        <w:t>the</w:t>
      </w:r>
      <w:r>
        <w:rPr>
          <w:rFonts w:cs="Avenir Next"/>
          <w:spacing w:val="-4"/>
        </w:rPr>
        <w:t xml:space="preserve"> ACT’s</w:t>
      </w:r>
      <w:r>
        <w:rPr>
          <w:rFonts w:cs="Avenir Next"/>
        </w:rPr>
        <w:t xml:space="preserve"> independent</w:t>
      </w:r>
      <w:r>
        <w:rPr>
          <w:rFonts w:cs="Avenir Next"/>
          <w:spacing w:val="43"/>
        </w:rPr>
        <w:t xml:space="preserve"> </w:t>
      </w:r>
      <w:r>
        <w:t xml:space="preserve">economic </w:t>
      </w:r>
      <w:r>
        <w:rPr>
          <w:spacing w:val="-1"/>
        </w:rPr>
        <w:t>regulator</w:t>
      </w:r>
      <w:r>
        <w:t xml:space="preserve"> and </w:t>
      </w:r>
      <w:r>
        <w:rPr>
          <w:spacing w:val="-1"/>
        </w:rPr>
        <w:t>make</w:t>
      </w:r>
      <w:r>
        <w:t xml:space="preserve"> pricing decisions.</w:t>
      </w:r>
      <w:r>
        <w:rPr>
          <w:spacing w:val="-11"/>
        </w:rPr>
        <w:t xml:space="preserve"> </w:t>
      </w:r>
      <w:r>
        <w:rPr>
          <w:spacing w:val="-1"/>
        </w:rPr>
        <w:t>These</w:t>
      </w:r>
      <w:r>
        <w:t xml:space="preserve"> decisions will </w:t>
      </w:r>
      <w:r>
        <w:rPr>
          <w:spacing w:val="-1"/>
        </w:rPr>
        <w:t>affect</w:t>
      </w:r>
      <w:r>
        <w:t xml:space="preserve"> the other </w:t>
      </w:r>
      <w:r>
        <w:rPr>
          <w:spacing w:val="-1"/>
        </w:rPr>
        <w:t>participants</w:t>
      </w:r>
      <w:r>
        <w:t xml:space="preserve"> in the</w:t>
      </w:r>
      <w:r>
        <w:rPr>
          <w:spacing w:val="31"/>
        </w:rPr>
        <w:t xml:space="preserve"> </w:t>
      </w:r>
      <w:r>
        <w:rPr>
          <w:spacing w:val="-1"/>
        </w:rPr>
        <w:t>regulatory</w:t>
      </w:r>
      <w:r>
        <w:t xml:space="preserve"> system – including the</w:t>
      </w:r>
      <w:r>
        <w:rPr>
          <w:spacing w:val="-4"/>
        </w:rPr>
        <w:t xml:space="preserve"> </w:t>
      </w:r>
      <w:r>
        <w:rPr>
          <w:spacing w:val="-2"/>
        </w:rPr>
        <w:t>ACT</w:t>
      </w:r>
      <w:r>
        <w:rPr>
          <w:spacing w:val="-5"/>
        </w:rPr>
        <w:t xml:space="preserve"> </w:t>
      </w:r>
      <w:r>
        <w:t>Government,</w:t>
      </w:r>
      <w:r>
        <w:rPr>
          <w:spacing w:val="-10"/>
        </w:rPr>
        <w:t xml:space="preserve"> </w:t>
      </w:r>
      <w:r>
        <w:rPr>
          <w:spacing w:val="-2"/>
        </w:rPr>
        <w:t>ACTEW’s</w:t>
      </w:r>
      <w:r>
        <w:t xml:space="preserve"> </w:t>
      </w:r>
      <w:r>
        <w:rPr>
          <w:spacing w:val="-1"/>
        </w:rPr>
        <w:t>water</w:t>
      </w:r>
      <w:r>
        <w:t xml:space="preserve"> business and </w:t>
      </w:r>
      <w:r>
        <w:rPr>
          <w:spacing w:val="-1"/>
        </w:rPr>
        <w:t>water</w:t>
      </w:r>
      <w:r>
        <w:t xml:space="preserve"> customers.</w:t>
      </w:r>
      <w:r>
        <w:rPr>
          <w:spacing w:val="-11"/>
        </w:rPr>
        <w:t xml:space="preserve"> </w:t>
      </w:r>
      <w:r>
        <w:rPr>
          <w:spacing w:val="-2"/>
        </w:rPr>
        <w:t>The</w:t>
      </w:r>
      <w:r>
        <w:rPr>
          <w:spacing w:val="27"/>
        </w:rPr>
        <w:t xml:space="preserve"> </w:t>
      </w:r>
      <w:r>
        <w:rPr>
          <w:rFonts w:cs="Avenir Next"/>
          <w:spacing w:val="-3"/>
        </w:rPr>
        <w:t>Panel</w:t>
      </w:r>
      <w:r>
        <w:rPr>
          <w:rFonts w:cs="Avenir Next"/>
        </w:rPr>
        <w:t xml:space="preserve"> considers it </w:t>
      </w:r>
      <w:r>
        <w:rPr>
          <w:rFonts w:cs="Avenir Next"/>
          <w:spacing w:val="-1"/>
        </w:rPr>
        <w:t>important</w:t>
      </w:r>
      <w:r>
        <w:rPr>
          <w:rFonts w:cs="Avenir Next"/>
        </w:rPr>
        <w:t xml:space="preserve"> to have </w:t>
      </w:r>
      <w:r>
        <w:rPr>
          <w:rFonts w:cs="Avenir Next"/>
          <w:spacing w:val="-2"/>
        </w:rPr>
        <w:t>regard</w:t>
      </w:r>
      <w:r>
        <w:rPr>
          <w:rFonts w:cs="Avenir Next"/>
        </w:rPr>
        <w:t xml:space="preserve"> to the purpose of</w:t>
      </w:r>
      <w:r>
        <w:rPr>
          <w:rFonts w:cs="Avenir Next"/>
          <w:spacing w:val="4"/>
        </w:rPr>
        <w:t xml:space="preserve"> </w:t>
      </w:r>
      <w:r>
        <w:rPr>
          <w:rFonts w:cs="Avenir Next"/>
        </w:rPr>
        <w:t xml:space="preserve">economic </w:t>
      </w:r>
      <w:r>
        <w:rPr>
          <w:rFonts w:cs="Avenir Next"/>
          <w:spacing w:val="-1"/>
        </w:rPr>
        <w:t>regulation,</w:t>
      </w:r>
      <w:r>
        <w:rPr>
          <w:rFonts w:cs="Avenir Next"/>
          <w:spacing w:val="-6"/>
        </w:rPr>
        <w:t xml:space="preserve"> </w:t>
      </w:r>
      <w:r>
        <w:rPr>
          <w:rFonts w:cs="Avenir Next"/>
        </w:rPr>
        <w:t xml:space="preserve">and the </w:t>
      </w:r>
      <w:r>
        <w:rPr>
          <w:rFonts w:cs="Avenir Next"/>
          <w:spacing w:val="-1"/>
        </w:rPr>
        <w:t>delineation</w:t>
      </w:r>
      <w:r>
        <w:rPr>
          <w:rFonts w:cs="Avenir Next"/>
          <w:spacing w:val="51"/>
        </w:rPr>
        <w:t xml:space="preserve"> </w:t>
      </w:r>
      <w:r>
        <w:t xml:space="preserve">between the </w:t>
      </w:r>
      <w:r>
        <w:rPr>
          <w:spacing w:val="-1"/>
        </w:rPr>
        <w:t>roles</w:t>
      </w:r>
      <w:r>
        <w:t xml:space="preserve"> and </w:t>
      </w:r>
      <w:r>
        <w:rPr>
          <w:spacing w:val="-1"/>
        </w:rPr>
        <w:t>responsibilities</w:t>
      </w:r>
      <w:r>
        <w:t xml:space="preserve"> of</w:t>
      </w:r>
      <w:r>
        <w:rPr>
          <w:spacing w:val="4"/>
        </w:rPr>
        <w:t xml:space="preserve"> </w:t>
      </w:r>
      <w:r>
        <w:t xml:space="preserve">the </w:t>
      </w:r>
      <w:r>
        <w:rPr>
          <w:spacing w:val="-1"/>
        </w:rPr>
        <w:t>regulator</w:t>
      </w:r>
      <w:r>
        <w:t xml:space="preserve"> and the other </w:t>
      </w:r>
      <w:r>
        <w:rPr>
          <w:spacing w:val="-1"/>
        </w:rPr>
        <w:t>participants.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22"/>
        </w:numPr>
        <w:tabs>
          <w:tab w:val="left" w:pos="2098"/>
        </w:tabs>
        <w:ind w:hanging="850"/>
      </w:pPr>
      <w:r>
        <w:rPr>
          <w:color w:val="0778BE"/>
          <w:spacing w:val="-2"/>
        </w:rPr>
        <w:t>Purpose</w:t>
      </w:r>
      <w:r>
        <w:rPr>
          <w:color w:val="0778BE"/>
        </w:rPr>
        <w:t xml:space="preserve"> of</w:t>
      </w:r>
      <w:r>
        <w:rPr>
          <w:color w:val="0778BE"/>
          <w:spacing w:val="5"/>
        </w:rPr>
        <w:t xml:space="preserve"> </w:t>
      </w:r>
      <w:r>
        <w:rPr>
          <w:color w:val="0778BE"/>
        </w:rPr>
        <w:t xml:space="preserve">economic </w:t>
      </w:r>
      <w:r>
        <w:rPr>
          <w:color w:val="0778BE"/>
          <w:spacing w:val="-1"/>
        </w:rPr>
        <w:t>regulation</w:t>
      </w:r>
    </w:p>
    <w:p w:rsidR="00D96B91" w:rsidRDefault="00C2656B">
      <w:pPr>
        <w:pStyle w:val="BodyText"/>
        <w:spacing w:before="21" w:line="260" w:lineRule="exact"/>
        <w:ind w:right="1313"/>
      </w:pPr>
      <w:r>
        <w:t>In</w:t>
      </w:r>
      <w:r>
        <w:rPr>
          <w:spacing w:val="-4"/>
        </w:rPr>
        <w:t xml:space="preserve"> </w:t>
      </w:r>
      <w:r>
        <w:rPr>
          <w:spacing w:val="-1"/>
        </w:rPr>
        <w:t>Australia,</w:t>
      </w:r>
      <w:r>
        <w:rPr>
          <w:spacing w:val="-6"/>
        </w:rPr>
        <w:t xml:space="preserve"> </w:t>
      </w:r>
      <w:r>
        <w:t xml:space="preserve">economic </w:t>
      </w:r>
      <w:r>
        <w:rPr>
          <w:spacing w:val="-1"/>
        </w:rPr>
        <w:t>regulation</w:t>
      </w:r>
      <w:r>
        <w:t xml:space="preserve"> of</w:t>
      </w:r>
      <w:r>
        <w:rPr>
          <w:spacing w:val="4"/>
        </w:rPr>
        <w:t xml:space="preserve"> </w:t>
      </w:r>
      <w:r>
        <w:t>utility businesses,</w:t>
      </w:r>
      <w:r>
        <w:rPr>
          <w:spacing w:val="-6"/>
        </w:rPr>
        <w:t xml:space="preserve"> </w:t>
      </w:r>
      <w:r>
        <w:t xml:space="preserve">such as those </w:t>
      </w:r>
      <w:r>
        <w:rPr>
          <w:spacing w:val="-1"/>
        </w:rPr>
        <w:t>that</w:t>
      </w:r>
      <w:r>
        <w:t xml:space="preserve"> </w:t>
      </w:r>
      <w:r>
        <w:rPr>
          <w:spacing w:val="-1"/>
        </w:rPr>
        <w:t>provide</w:t>
      </w:r>
      <w:r>
        <w:t xml:space="preserve"> </w:t>
      </w:r>
      <w:r>
        <w:rPr>
          <w:spacing w:val="-1"/>
        </w:rPr>
        <w:t>water</w:t>
      </w:r>
      <w:r>
        <w:t xml:space="preserve"> and </w:t>
      </w:r>
      <w:r>
        <w:rPr>
          <w:spacing w:val="-1"/>
        </w:rPr>
        <w:t>sewerage</w:t>
      </w:r>
      <w:r>
        <w:rPr>
          <w:spacing w:val="47"/>
        </w:rPr>
        <w:t xml:space="preserve"> </w:t>
      </w:r>
      <w:r>
        <w:t>services,</w:t>
      </w:r>
      <w:r>
        <w:rPr>
          <w:spacing w:val="-6"/>
        </w:rPr>
        <w:t xml:space="preserve"> </w:t>
      </w:r>
      <w:r>
        <w:t xml:space="preserve">was </w:t>
      </w:r>
      <w:r>
        <w:rPr>
          <w:spacing w:val="-1"/>
        </w:rPr>
        <w:t>introduced</w:t>
      </w:r>
      <w:r>
        <w:t xml:space="preserve"> as </w:t>
      </w:r>
      <w:r>
        <w:rPr>
          <w:spacing w:val="-1"/>
        </w:rPr>
        <w:t>part</w:t>
      </w:r>
      <w:r>
        <w:t xml:space="preserve"> of</w:t>
      </w:r>
      <w:r>
        <w:rPr>
          <w:spacing w:val="4"/>
        </w:rPr>
        <w:t xml:space="preserve"> </w:t>
      </w:r>
      <w:r>
        <w:t xml:space="preserve">the </w:t>
      </w:r>
      <w:r>
        <w:rPr>
          <w:spacing w:val="-1"/>
        </w:rPr>
        <w:t>microeconomic</w:t>
      </w:r>
      <w:r>
        <w:t xml:space="preserve"> </w:t>
      </w:r>
      <w:r>
        <w:rPr>
          <w:spacing w:val="-1"/>
        </w:rPr>
        <w:t>reforms</w:t>
      </w:r>
      <w:r>
        <w:t xml:space="preserve"> </w:t>
      </w:r>
      <w:r>
        <w:rPr>
          <w:spacing w:val="-1"/>
        </w:rPr>
        <w:t>that</w:t>
      </w:r>
      <w:r>
        <w:t xml:space="preserve"> began in the 1990s.</w:t>
      </w:r>
      <w:r>
        <w:rPr>
          <w:spacing w:val="-9"/>
        </w:rPr>
        <w:t xml:space="preserve"> </w:t>
      </w:r>
      <w:r>
        <w:t>While</w:t>
      </w:r>
    </w:p>
    <w:p w:rsidR="00D96B91" w:rsidRDefault="00C2656B">
      <w:pPr>
        <w:pStyle w:val="BodyText"/>
        <w:spacing w:line="260" w:lineRule="exact"/>
        <w:ind w:right="1256"/>
      </w:pPr>
      <w:r>
        <w:t xml:space="preserve">the </w:t>
      </w:r>
      <w:r>
        <w:rPr>
          <w:spacing w:val="-1"/>
        </w:rPr>
        <w:t>arrangements</w:t>
      </w:r>
      <w:r>
        <w:t xml:space="preserve"> </w:t>
      </w:r>
      <w:r>
        <w:rPr>
          <w:spacing w:val="-1"/>
        </w:rPr>
        <w:t>differ</w:t>
      </w:r>
      <w:r>
        <w:t xml:space="preserve"> </w:t>
      </w:r>
      <w:r>
        <w:rPr>
          <w:spacing w:val="-1"/>
        </w:rPr>
        <w:t>across</w:t>
      </w:r>
      <w:r>
        <w:t xml:space="preserve"> jurisdictions,</w:t>
      </w:r>
      <w:r>
        <w:rPr>
          <w:spacing w:val="-7"/>
        </w:rPr>
        <w:t xml:space="preserve"> </w:t>
      </w:r>
      <w:r>
        <w:t xml:space="preserve">independent economic </w:t>
      </w:r>
      <w:r>
        <w:rPr>
          <w:spacing w:val="-1"/>
        </w:rPr>
        <w:t>regulators</w:t>
      </w:r>
      <w:r>
        <w:t xml:space="preserve"> now play a </w:t>
      </w:r>
      <w:r>
        <w:rPr>
          <w:spacing w:val="-1"/>
        </w:rPr>
        <w:t>role</w:t>
      </w:r>
      <w:r>
        <w:t xml:space="preserve"> in</w:t>
      </w:r>
      <w:r>
        <w:rPr>
          <w:spacing w:val="35"/>
        </w:rPr>
        <w:t xml:space="preserve"> </w:t>
      </w:r>
      <w:r>
        <w:t xml:space="preserve">determining the prices </w:t>
      </w:r>
      <w:r>
        <w:rPr>
          <w:spacing w:val="-1"/>
        </w:rPr>
        <w:t>charged</w:t>
      </w:r>
      <w:r>
        <w:t xml:space="preserve"> by publicly owned </w:t>
      </w:r>
      <w:r>
        <w:rPr>
          <w:spacing w:val="-1"/>
        </w:rPr>
        <w:t>water</w:t>
      </w:r>
      <w:r>
        <w:t xml:space="preserve"> utilities in New South</w:t>
      </w:r>
      <w:r>
        <w:rPr>
          <w:spacing w:val="-3"/>
        </w:rPr>
        <w:t xml:space="preserve"> </w:t>
      </w:r>
      <w:r>
        <w:rPr>
          <w:spacing w:val="-2"/>
        </w:rPr>
        <w:t>Wales,</w:t>
      </w:r>
      <w:r>
        <w:rPr>
          <w:spacing w:val="-10"/>
        </w:rPr>
        <w:t xml:space="preserve"> </w:t>
      </w:r>
      <w:r>
        <w:rPr>
          <w:spacing w:val="-1"/>
        </w:rPr>
        <w:t>Victoria,</w:t>
      </w:r>
      <w:r>
        <w:rPr>
          <w:spacing w:val="-6"/>
        </w:rPr>
        <w:t xml:space="preserve"> </w:t>
      </w:r>
      <w:r>
        <w:t>South</w:t>
      </w:r>
      <w:r>
        <w:rPr>
          <w:spacing w:val="29"/>
        </w:rPr>
        <w:t xml:space="preserve"> </w:t>
      </w:r>
      <w:r>
        <w:rPr>
          <w:spacing w:val="-1"/>
        </w:rPr>
        <w:t>Australia,</w:t>
      </w:r>
      <w:r>
        <w:rPr>
          <w:spacing w:val="-11"/>
        </w:rPr>
        <w:t xml:space="preserve"> </w:t>
      </w:r>
      <w:r>
        <w:rPr>
          <w:spacing w:val="-3"/>
        </w:rPr>
        <w:t>Tasmania</w:t>
      </w:r>
      <w:r>
        <w:t xml:space="preserve"> and the </w:t>
      </w:r>
      <w:r>
        <w:rPr>
          <w:spacing w:val="-1"/>
        </w:rPr>
        <w:t>Northern</w:t>
      </w:r>
      <w:r>
        <w:rPr>
          <w:spacing w:val="-5"/>
        </w:rPr>
        <w:t xml:space="preserve"> </w:t>
      </w:r>
      <w:r>
        <w:rPr>
          <w:spacing w:val="-3"/>
        </w:rPr>
        <w:t>Territory</w:t>
      </w:r>
      <w:r>
        <w:t xml:space="preserve"> as well as in the</w:t>
      </w:r>
      <w:r>
        <w:rPr>
          <w:spacing w:val="-4"/>
        </w:rPr>
        <w:t xml:space="preserve"> </w:t>
      </w:r>
      <w:r>
        <w:rPr>
          <w:spacing w:val="-6"/>
        </w:rPr>
        <w:t>ACT.</w:t>
      </w:r>
    </w:p>
    <w:p w:rsidR="00D96B91" w:rsidRDefault="00C2656B">
      <w:pPr>
        <w:pStyle w:val="BodyText"/>
        <w:spacing w:before="170" w:line="260" w:lineRule="exact"/>
        <w:ind w:right="1356"/>
      </w:pPr>
      <w:r>
        <w:rPr>
          <w:rFonts w:cs="Avenir Next"/>
          <w:spacing w:val="-1"/>
        </w:rPr>
        <w:t>Where</w:t>
      </w:r>
      <w:r>
        <w:rPr>
          <w:rFonts w:cs="Avenir Next"/>
        </w:rPr>
        <w:t xml:space="preserve"> economies of</w:t>
      </w:r>
      <w:r>
        <w:rPr>
          <w:rFonts w:cs="Avenir Next"/>
          <w:spacing w:val="4"/>
        </w:rPr>
        <w:t xml:space="preserve"> </w:t>
      </w:r>
      <w:r>
        <w:rPr>
          <w:rFonts w:cs="Avenir Next"/>
        </w:rPr>
        <w:t>scale</w:t>
      </w:r>
      <w:r>
        <w:rPr>
          <w:rFonts w:cs="Avenir Next"/>
          <w:spacing w:val="1"/>
        </w:rPr>
        <w:t xml:space="preserve"> </w:t>
      </w:r>
      <w:r>
        <w:rPr>
          <w:rFonts w:cs="Avenir Next"/>
        </w:rPr>
        <w:t xml:space="preserve">give rise to </w:t>
      </w:r>
      <w:r>
        <w:rPr>
          <w:rFonts w:cs="Avenir Next"/>
          <w:spacing w:val="-1"/>
        </w:rPr>
        <w:t>what</w:t>
      </w:r>
      <w:r>
        <w:rPr>
          <w:rFonts w:cs="Avenir Next"/>
          <w:spacing w:val="1"/>
        </w:rPr>
        <w:t xml:space="preserve"> </w:t>
      </w:r>
      <w:r>
        <w:rPr>
          <w:rFonts w:cs="Avenir Next"/>
          <w:spacing w:val="-2"/>
        </w:rPr>
        <w:t>are</w:t>
      </w:r>
      <w:r>
        <w:rPr>
          <w:rFonts w:cs="Avenir Next"/>
        </w:rPr>
        <w:t xml:space="preserve"> known as </w:t>
      </w:r>
      <w:r>
        <w:rPr>
          <w:rFonts w:cs="Avenir Next"/>
          <w:spacing w:val="-1"/>
        </w:rPr>
        <w:t>‘natural</w:t>
      </w:r>
      <w:r>
        <w:rPr>
          <w:rFonts w:cs="Avenir Next"/>
          <w:spacing w:val="1"/>
        </w:rPr>
        <w:t xml:space="preserve"> </w:t>
      </w:r>
      <w:r>
        <w:rPr>
          <w:rFonts w:cs="Avenir Next"/>
        </w:rPr>
        <w:t xml:space="preserve">monopoly’ </w:t>
      </w:r>
      <w:r>
        <w:rPr>
          <w:rFonts w:cs="Avenir Next"/>
          <w:spacing w:val="-1"/>
        </w:rPr>
        <w:t>characteristics,</w:t>
      </w:r>
      <w:r>
        <w:rPr>
          <w:spacing w:val="-1"/>
          <w:position w:val="7"/>
          <w:sz w:val="11"/>
          <w:szCs w:val="11"/>
        </w:rPr>
        <w:t>9</w:t>
      </w:r>
      <w:r>
        <w:rPr>
          <w:spacing w:val="23"/>
          <w:position w:val="7"/>
          <w:sz w:val="11"/>
          <w:szCs w:val="11"/>
        </w:rPr>
        <w:t xml:space="preserve"> </w:t>
      </w:r>
      <w:r>
        <w:rPr>
          <w:rFonts w:cs="Avenir Next"/>
        </w:rPr>
        <w:t>the main</w:t>
      </w:r>
      <w:r>
        <w:rPr>
          <w:rFonts w:cs="Avenir Next"/>
          <w:spacing w:val="41"/>
        </w:rPr>
        <w:t xml:space="preserve"> </w:t>
      </w:r>
      <w:r>
        <w:rPr>
          <w:rFonts w:cs="Avenir Next"/>
        </w:rPr>
        <w:t>purpose of</w:t>
      </w:r>
      <w:r>
        <w:rPr>
          <w:rFonts w:cs="Avenir Next"/>
          <w:spacing w:val="4"/>
        </w:rPr>
        <w:t xml:space="preserve"> </w:t>
      </w:r>
      <w:r>
        <w:rPr>
          <w:rFonts w:cs="Avenir Next"/>
        </w:rPr>
        <w:t xml:space="preserve">economic </w:t>
      </w:r>
      <w:r>
        <w:rPr>
          <w:rFonts w:cs="Avenir Next"/>
          <w:spacing w:val="-1"/>
        </w:rPr>
        <w:t>regulation</w:t>
      </w:r>
      <w:r>
        <w:rPr>
          <w:rFonts w:cs="Avenir Next"/>
        </w:rPr>
        <w:t xml:space="preserve"> is to </w:t>
      </w:r>
      <w:r>
        <w:rPr>
          <w:rFonts w:cs="Avenir Next"/>
          <w:spacing w:val="-1"/>
        </w:rPr>
        <w:t>ensure</w:t>
      </w:r>
      <w:r>
        <w:rPr>
          <w:rFonts w:cs="Avenir Next"/>
        </w:rPr>
        <w:t xml:space="preserve"> </w:t>
      </w:r>
      <w:r>
        <w:rPr>
          <w:rFonts w:cs="Avenir Next"/>
          <w:spacing w:val="-1"/>
        </w:rPr>
        <w:t>that</w:t>
      </w:r>
      <w:r>
        <w:rPr>
          <w:rFonts w:cs="Avenir Next"/>
        </w:rPr>
        <w:t xml:space="preserve"> the </w:t>
      </w:r>
      <w:r>
        <w:rPr>
          <w:rFonts w:cs="Avenir Next"/>
          <w:spacing w:val="-1"/>
        </w:rPr>
        <w:t>regulated</w:t>
      </w:r>
      <w:r>
        <w:rPr>
          <w:rFonts w:cs="Avenir Next"/>
        </w:rPr>
        <w:t xml:space="preserve"> business cannot misuse its </w:t>
      </w:r>
      <w:r>
        <w:rPr>
          <w:rFonts w:cs="Avenir Next"/>
          <w:spacing w:val="-1"/>
        </w:rPr>
        <w:t>market</w:t>
      </w:r>
      <w:r>
        <w:rPr>
          <w:rFonts w:cs="Avenir Next"/>
          <w:spacing w:val="25"/>
        </w:rPr>
        <w:t xml:space="preserve"> </w:t>
      </w:r>
      <w:r>
        <w:t>power</w:t>
      </w:r>
      <w:r>
        <w:rPr>
          <w:spacing w:val="-1"/>
        </w:rPr>
        <w:t xml:space="preserve"> </w:t>
      </w:r>
      <w:r>
        <w:t>to</w:t>
      </w:r>
      <w:r>
        <w:rPr>
          <w:spacing w:val="-1"/>
        </w:rPr>
        <w:t xml:space="preserve"> earn </w:t>
      </w:r>
      <w:r>
        <w:t xml:space="preserve">monopoly </w:t>
      </w:r>
      <w:r>
        <w:rPr>
          <w:spacing w:val="-1"/>
        </w:rPr>
        <w:t>profits,</w:t>
      </w:r>
      <w:r>
        <w:rPr>
          <w:spacing w:val="-7"/>
        </w:rPr>
        <w:t xml:space="preserve"> </w:t>
      </w:r>
      <w:r>
        <w:t>and</w:t>
      </w:r>
      <w:r>
        <w:rPr>
          <w:spacing w:val="-1"/>
        </w:rPr>
        <w:t xml:space="preserve"> </w:t>
      </w:r>
      <w:r>
        <w:t xml:space="preserve">to </w:t>
      </w:r>
      <w:r>
        <w:rPr>
          <w:spacing w:val="-1"/>
        </w:rPr>
        <w:t xml:space="preserve">encourage </w:t>
      </w:r>
      <w:r>
        <w:t>it</w:t>
      </w:r>
      <w:r>
        <w:rPr>
          <w:spacing w:val="-1"/>
        </w:rPr>
        <w:t xml:space="preserve"> </w:t>
      </w:r>
      <w:r>
        <w:t>to</w:t>
      </w:r>
      <w:r>
        <w:rPr>
          <w:spacing w:val="-1"/>
        </w:rPr>
        <w:t xml:space="preserve"> </w:t>
      </w:r>
      <w:r>
        <w:t>run the</w:t>
      </w:r>
      <w:r>
        <w:rPr>
          <w:spacing w:val="-1"/>
        </w:rPr>
        <w:t xml:space="preserve"> </w:t>
      </w:r>
      <w:r>
        <w:t>business</w:t>
      </w:r>
      <w:r>
        <w:rPr>
          <w:spacing w:val="-1"/>
        </w:rPr>
        <w:t xml:space="preserve"> </w:t>
      </w:r>
      <w:r>
        <w:t xml:space="preserve">as </w:t>
      </w:r>
      <w:r>
        <w:rPr>
          <w:spacing w:val="-1"/>
        </w:rPr>
        <w:t xml:space="preserve">efficiently </w:t>
      </w:r>
      <w:r>
        <w:t>as</w:t>
      </w:r>
      <w:r>
        <w:rPr>
          <w:spacing w:val="-1"/>
        </w:rPr>
        <w:t xml:space="preserve"> </w:t>
      </w:r>
      <w:r>
        <w:t>possible.</w:t>
      </w:r>
    </w:p>
    <w:p w:rsidR="00D96B91" w:rsidRDefault="00C2656B">
      <w:pPr>
        <w:pStyle w:val="BodyText"/>
        <w:spacing w:line="260" w:lineRule="exact"/>
        <w:ind w:right="1283"/>
        <w:rPr>
          <w:rFonts w:cs="Avenir Next"/>
        </w:rPr>
      </w:pPr>
      <w:r>
        <w:t>In simple terms,</w:t>
      </w:r>
      <w:r>
        <w:rPr>
          <w:spacing w:val="-7"/>
        </w:rPr>
        <w:t xml:space="preserve"> </w:t>
      </w:r>
      <w:r>
        <w:t xml:space="preserve">economic </w:t>
      </w:r>
      <w:r>
        <w:rPr>
          <w:spacing w:val="-1"/>
        </w:rPr>
        <w:t>regulation</w:t>
      </w:r>
      <w:r>
        <w:t xml:space="preserve"> aims to mimic the price and service outcomes </w:t>
      </w:r>
      <w:r>
        <w:rPr>
          <w:spacing w:val="-1"/>
        </w:rPr>
        <w:t>that</w:t>
      </w:r>
      <w:r>
        <w:t xml:space="preserve"> would be</w:t>
      </w:r>
      <w:r>
        <w:rPr>
          <w:spacing w:val="26"/>
        </w:rPr>
        <w:t xml:space="preserve"> </w:t>
      </w:r>
      <w:r>
        <w:rPr>
          <w:spacing w:val="-1"/>
        </w:rPr>
        <w:t>expected</w:t>
      </w:r>
      <w:r>
        <w:t xml:space="preserve"> in a </w:t>
      </w:r>
      <w:r>
        <w:rPr>
          <w:spacing w:val="-1"/>
        </w:rPr>
        <w:t>workably</w:t>
      </w:r>
      <w:r>
        <w:t xml:space="preserve"> competitive </w:t>
      </w:r>
      <w:r>
        <w:rPr>
          <w:spacing w:val="-1"/>
        </w:rPr>
        <w:t>environment</w:t>
      </w:r>
      <w:r>
        <w:t xml:space="preserve"> by:</w:t>
      </w:r>
    </w:p>
    <w:p w:rsidR="00D96B91" w:rsidRDefault="00C2656B">
      <w:pPr>
        <w:pStyle w:val="BodyText"/>
        <w:numPr>
          <w:ilvl w:val="0"/>
          <w:numId w:val="131"/>
        </w:numPr>
        <w:tabs>
          <w:tab w:val="left" w:pos="1531"/>
        </w:tabs>
        <w:spacing w:before="170" w:line="260" w:lineRule="exact"/>
        <w:ind w:right="1248" w:hanging="283"/>
      </w:pPr>
      <w:r>
        <w:rPr>
          <w:spacing w:val="-1"/>
        </w:rPr>
        <w:t>setting regulated</w:t>
      </w:r>
      <w:r>
        <w:t xml:space="preserve"> prices</w:t>
      </w:r>
      <w:r>
        <w:rPr>
          <w:spacing w:val="-1"/>
        </w:rPr>
        <w:t xml:space="preserve"> at</w:t>
      </w:r>
      <w:r>
        <w:t xml:space="preserve"> the level</w:t>
      </w:r>
      <w:r>
        <w:rPr>
          <w:spacing w:val="-1"/>
        </w:rPr>
        <w:t xml:space="preserve"> </w:t>
      </w:r>
      <w:r>
        <w:t xml:space="preserve">necessary to </w:t>
      </w:r>
      <w:r>
        <w:rPr>
          <w:spacing w:val="-1"/>
        </w:rPr>
        <w:t xml:space="preserve">recover </w:t>
      </w:r>
      <w:r>
        <w:t>the prudent</w:t>
      </w:r>
      <w:r>
        <w:rPr>
          <w:spacing w:val="-1"/>
        </w:rPr>
        <w:t xml:space="preserve"> </w:t>
      </w:r>
      <w:r>
        <w:t xml:space="preserve">and </w:t>
      </w:r>
      <w:r>
        <w:rPr>
          <w:spacing w:val="-1"/>
        </w:rPr>
        <w:t>efficient</w:t>
      </w:r>
      <w:r>
        <w:t xml:space="preserve"> costs</w:t>
      </w:r>
      <w:r>
        <w:rPr>
          <w:spacing w:val="-1"/>
        </w:rPr>
        <w:t xml:space="preserve"> </w:t>
      </w:r>
      <w:r>
        <w:t>of</w:t>
      </w:r>
      <w:r>
        <w:rPr>
          <w:spacing w:val="4"/>
        </w:rPr>
        <w:t xml:space="preserve"> </w:t>
      </w:r>
      <w:r>
        <w:t>supplying</w:t>
      </w:r>
      <w:r>
        <w:rPr>
          <w:spacing w:val="31"/>
        </w:rPr>
        <w:t xml:space="preserve"> </w:t>
      </w:r>
      <w:r>
        <w:t xml:space="preserve">the </w:t>
      </w:r>
      <w:r>
        <w:rPr>
          <w:spacing w:val="-1"/>
        </w:rPr>
        <w:t>regulated</w:t>
      </w:r>
      <w:r>
        <w:t xml:space="preserve"> services (including an </w:t>
      </w:r>
      <w:r>
        <w:rPr>
          <w:spacing w:val="-1"/>
        </w:rPr>
        <w:t>appropriate</w:t>
      </w:r>
      <w:r>
        <w:t xml:space="preserve"> </w:t>
      </w:r>
      <w:r>
        <w:rPr>
          <w:spacing w:val="-1"/>
        </w:rPr>
        <w:t>return</w:t>
      </w:r>
      <w:r>
        <w:t xml:space="preserve"> on the assets involved),</w:t>
      </w:r>
      <w:r>
        <w:rPr>
          <w:spacing w:val="-7"/>
        </w:rPr>
        <w:t xml:space="preserve"> </w:t>
      </w:r>
      <w:r>
        <w:t>and</w:t>
      </w:r>
    </w:p>
    <w:p w:rsidR="00D96B91" w:rsidRDefault="00C2656B">
      <w:pPr>
        <w:pStyle w:val="BodyText"/>
        <w:numPr>
          <w:ilvl w:val="0"/>
          <w:numId w:val="131"/>
        </w:numPr>
        <w:tabs>
          <w:tab w:val="left" w:pos="1531"/>
        </w:tabs>
        <w:spacing w:before="85" w:line="260" w:lineRule="exact"/>
        <w:ind w:right="1646" w:hanging="283"/>
      </w:pPr>
      <w:r>
        <w:rPr>
          <w:spacing w:val="-1"/>
        </w:rPr>
        <w:t>promoting efficient</w:t>
      </w:r>
      <w:r>
        <w:t xml:space="preserve"> investment</w:t>
      </w:r>
      <w:r>
        <w:rPr>
          <w:spacing w:val="-1"/>
        </w:rPr>
        <w:t xml:space="preserve"> </w:t>
      </w:r>
      <w:r>
        <w:t>in,</w:t>
      </w:r>
      <w:r>
        <w:rPr>
          <w:spacing w:val="-6"/>
        </w:rPr>
        <w:t xml:space="preserve"> </w:t>
      </w:r>
      <w:r>
        <w:t xml:space="preserve">and </w:t>
      </w:r>
      <w:r>
        <w:rPr>
          <w:spacing w:val="-1"/>
        </w:rPr>
        <w:t xml:space="preserve">operation </w:t>
      </w:r>
      <w:r>
        <w:t>and use</w:t>
      </w:r>
      <w:r>
        <w:rPr>
          <w:spacing w:val="-1"/>
        </w:rPr>
        <w:t xml:space="preserve"> </w:t>
      </w:r>
      <w:r>
        <w:t>of,</w:t>
      </w:r>
      <w:r>
        <w:rPr>
          <w:spacing w:val="-6"/>
        </w:rPr>
        <w:t xml:space="preserve"> </w:t>
      </w:r>
      <w:r>
        <w:t>the assets</w:t>
      </w:r>
      <w:r>
        <w:rPr>
          <w:spacing w:val="-1"/>
        </w:rPr>
        <w:t xml:space="preserve"> </w:t>
      </w:r>
      <w:r>
        <w:t>involved in</w:t>
      </w:r>
      <w:r>
        <w:rPr>
          <w:spacing w:val="-1"/>
        </w:rPr>
        <w:t xml:space="preserve"> </w:t>
      </w:r>
      <w:r>
        <w:t>supplying the</w:t>
      </w:r>
      <w:r>
        <w:rPr>
          <w:spacing w:val="29"/>
        </w:rPr>
        <w:t xml:space="preserve"> </w:t>
      </w:r>
      <w:r>
        <w:rPr>
          <w:spacing w:val="-1"/>
        </w:rPr>
        <w:t>regulated</w:t>
      </w:r>
      <w:r>
        <w:t xml:space="preserve"> services.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56"/>
      </w:pPr>
      <w:r>
        <w:rPr>
          <w:spacing w:val="-1"/>
        </w:rPr>
        <w:t>This</w:t>
      </w:r>
      <w:r>
        <w:t xml:space="preserve"> </w:t>
      </w:r>
      <w:r>
        <w:rPr>
          <w:spacing w:val="-1"/>
        </w:rPr>
        <w:t>approach</w:t>
      </w:r>
      <w:r>
        <w:t xml:space="preserve"> is designed to serve the long-term </w:t>
      </w:r>
      <w:r>
        <w:rPr>
          <w:spacing w:val="-1"/>
        </w:rPr>
        <w:t>interests</w:t>
      </w:r>
      <w:r>
        <w:t xml:space="preserve"> of</w:t>
      </w:r>
      <w:r>
        <w:rPr>
          <w:spacing w:val="4"/>
        </w:rPr>
        <w:t xml:space="preserve"> </w:t>
      </w:r>
      <w:r>
        <w:t>customers.</w:t>
      </w:r>
      <w:r>
        <w:rPr>
          <w:spacing w:val="-6"/>
        </w:rPr>
        <w:t xml:space="preserve"> </w:t>
      </w:r>
      <w:r>
        <w:rPr>
          <w:spacing w:val="-4"/>
        </w:rPr>
        <w:t>For</w:t>
      </w:r>
      <w:r>
        <w:t xml:space="preserve"> </w:t>
      </w:r>
      <w:r>
        <w:rPr>
          <w:spacing w:val="-1"/>
        </w:rPr>
        <w:t>example,</w:t>
      </w:r>
      <w:r>
        <w:rPr>
          <w:spacing w:val="-6"/>
        </w:rPr>
        <w:t xml:space="preserve"> </w:t>
      </w:r>
      <w:r>
        <w:t>if</w:t>
      </w:r>
      <w:r>
        <w:rPr>
          <w:spacing w:val="4"/>
        </w:rPr>
        <w:t xml:space="preserve"> </w:t>
      </w:r>
      <w:r>
        <w:t xml:space="preserve">prices </w:t>
      </w:r>
      <w:r>
        <w:rPr>
          <w:spacing w:val="-2"/>
        </w:rPr>
        <w:t>are</w:t>
      </w:r>
      <w:r>
        <w:t xml:space="preserve"> set</w:t>
      </w:r>
      <w:r>
        <w:rPr>
          <w:spacing w:val="39"/>
        </w:rPr>
        <w:t xml:space="preserve"> </w:t>
      </w:r>
      <w:r>
        <w:t>below</w:t>
      </w:r>
      <w:r>
        <w:rPr>
          <w:spacing w:val="-1"/>
        </w:rPr>
        <w:t xml:space="preserve"> </w:t>
      </w:r>
      <w:r>
        <w:t>the level</w:t>
      </w:r>
      <w:r>
        <w:rPr>
          <w:spacing w:val="-1"/>
        </w:rPr>
        <w:t xml:space="preserve"> required</w:t>
      </w:r>
      <w:r>
        <w:t xml:space="preserve"> to </w:t>
      </w:r>
      <w:r>
        <w:rPr>
          <w:spacing w:val="-1"/>
        </w:rPr>
        <w:t xml:space="preserve">recover </w:t>
      </w:r>
      <w:r>
        <w:t xml:space="preserve">the </w:t>
      </w:r>
      <w:r>
        <w:rPr>
          <w:spacing w:val="-1"/>
        </w:rPr>
        <w:t>efficient</w:t>
      </w:r>
      <w:r>
        <w:t xml:space="preserve"> cost</w:t>
      </w:r>
      <w:r>
        <w:rPr>
          <w:spacing w:val="-1"/>
        </w:rPr>
        <w:t xml:space="preserve"> </w:t>
      </w:r>
      <w:r>
        <w:t>of</w:t>
      </w:r>
      <w:r>
        <w:rPr>
          <w:spacing w:val="4"/>
        </w:rPr>
        <w:t xml:space="preserve"> </w:t>
      </w:r>
      <w:r>
        <w:t>supply in</w:t>
      </w:r>
      <w:r>
        <w:rPr>
          <w:spacing w:val="-1"/>
        </w:rPr>
        <w:t xml:space="preserve"> </w:t>
      </w:r>
      <w:r>
        <w:t xml:space="preserve">one </w:t>
      </w:r>
      <w:r>
        <w:rPr>
          <w:spacing w:val="-1"/>
        </w:rPr>
        <w:t>regulatory</w:t>
      </w:r>
      <w:r>
        <w:t xml:space="preserve"> period,</w:t>
      </w:r>
      <w:r>
        <w:rPr>
          <w:spacing w:val="-7"/>
        </w:rPr>
        <w:t xml:space="preserve"> </w:t>
      </w:r>
      <w:r>
        <w:rPr>
          <w:spacing w:val="-1"/>
        </w:rPr>
        <w:t>large</w:t>
      </w:r>
      <w:r>
        <w:t xml:space="preserve"> </w:t>
      </w:r>
      <w:r>
        <w:rPr>
          <w:spacing w:val="-2"/>
        </w:rPr>
        <w:t>‘catch-</w:t>
      </w:r>
      <w:r>
        <w:rPr>
          <w:spacing w:val="33"/>
        </w:rPr>
        <w:t xml:space="preserve"> </w:t>
      </w:r>
      <w:r>
        <w:t xml:space="preserve">up’ price rises may be necessary in </w:t>
      </w:r>
      <w:r>
        <w:rPr>
          <w:spacing w:val="-1"/>
        </w:rPr>
        <w:t>later</w:t>
      </w:r>
      <w:r>
        <w:t xml:space="preserve"> periods,</w:t>
      </w:r>
      <w:r>
        <w:rPr>
          <w:spacing w:val="-6"/>
        </w:rPr>
        <w:t xml:space="preserve"> </w:t>
      </w:r>
      <w:r>
        <w:rPr>
          <w:spacing w:val="-1"/>
        </w:rPr>
        <w:t>resulting</w:t>
      </w:r>
      <w:r>
        <w:t xml:space="preserve"> in price </w:t>
      </w:r>
      <w:r>
        <w:rPr>
          <w:spacing w:val="-1"/>
        </w:rPr>
        <w:t>shocks</w:t>
      </w:r>
      <w:r>
        <w:t xml:space="preserve"> for customers.</w:t>
      </w:r>
      <w:r>
        <w:rPr>
          <w:spacing w:val="-6"/>
        </w:rPr>
        <w:t xml:space="preserve"> </w:t>
      </w:r>
      <w:r>
        <w:t>If</w:t>
      </w:r>
      <w:r>
        <w:rPr>
          <w:spacing w:val="4"/>
        </w:rPr>
        <w:t xml:space="preserve"> </w:t>
      </w:r>
      <w:r>
        <w:t xml:space="preserve">prices </w:t>
      </w:r>
      <w:r>
        <w:rPr>
          <w:spacing w:val="-2"/>
        </w:rPr>
        <w:t>are</w:t>
      </w:r>
      <w:r>
        <w:rPr>
          <w:spacing w:val="27"/>
        </w:rPr>
        <w:t xml:space="preserve"> </w:t>
      </w:r>
      <w:r>
        <w:t>consistently</w:t>
      </w:r>
      <w:r>
        <w:rPr>
          <w:spacing w:val="-1"/>
        </w:rPr>
        <w:t xml:space="preserve"> </w:t>
      </w:r>
      <w:r>
        <w:t>set below</w:t>
      </w:r>
      <w:r>
        <w:rPr>
          <w:spacing w:val="-1"/>
        </w:rPr>
        <w:t xml:space="preserve"> </w:t>
      </w:r>
      <w:r>
        <w:t>this</w:t>
      </w:r>
      <w:r>
        <w:rPr>
          <w:spacing w:val="-1"/>
        </w:rPr>
        <w:t xml:space="preserve"> </w:t>
      </w:r>
      <w:r>
        <w:t>level,</w:t>
      </w:r>
      <w:r>
        <w:rPr>
          <w:spacing w:val="-7"/>
        </w:rPr>
        <w:t xml:space="preserve"> </w:t>
      </w:r>
      <w:r>
        <w:t>it could</w:t>
      </w:r>
      <w:r>
        <w:rPr>
          <w:spacing w:val="-1"/>
        </w:rPr>
        <w:t xml:space="preserve"> threaten</w:t>
      </w:r>
      <w:r>
        <w:t xml:space="preserve"> the</w:t>
      </w:r>
      <w:r>
        <w:rPr>
          <w:spacing w:val="-1"/>
        </w:rPr>
        <w:t xml:space="preserve"> </w:t>
      </w:r>
      <w:r>
        <w:t>financial viability</w:t>
      </w:r>
      <w:r>
        <w:rPr>
          <w:spacing w:val="-1"/>
        </w:rPr>
        <w:t xml:space="preserve"> </w:t>
      </w:r>
      <w:r>
        <w:t>of</w:t>
      </w:r>
      <w:r>
        <w:rPr>
          <w:spacing w:val="3"/>
        </w:rPr>
        <w:t xml:space="preserve"> </w:t>
      </w:r>
      <w:r>
        <w:t xml:space="preserve">the </w:t>
      </w:r>
      <w:r>
        <w:rPr>
          <w:spacing w:val="-1"/>
        </w:rPr>
        <w:t xml:space="preserve">regulated </w:t>
      </w:r>
      <w:r>
        <w:t>business and</w:t>
      </w:r>
    </w:p>
    <w:p w:rsidR="00D96B91" w:rsidRDefault="00D96B91">
      <w:pPr>
        <w:spacing w:before="11"/>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69" style="width:72.5pt;height:.5pt;mso-position-horizontal-relative:char;mso-position-vertical-relative:line" coordsize="1450,10">
            <v:group id="_x0000_s3370" style="position:absolute;left:5;top:5;width:1440;height:2" coordorigin="5,5" coordsize="1440,2">
              <v:shape id="_x0000_s3371" style="position:absolute;left:5;top:5;width:1440;height:2" coordorigin="5,5" coordsize="1440,0" path="m5,5r1440,e" filled="f" strokeweight=".5pt">
                <v:path arrowok="t"/>
              </v:shape>
            </v:group>
            <w10:wrap type="none"/>
            <w10:anchorlock/>
          </v:group>
        </w:pict>
      </w:r>
    </w:p>
    <w:p w:rsidR="00D96B91" w:rsidRDefault="00C2656B">
      <w:pPr>
        <w:numPr>
          <w:ilvl w:val="0"/>
          <w:numId w:val="121"/>
        </w:numPr>
        <w:tabs>
          <w:tab w:val="left" w:pos="1758"/>
        </w:tabs>
        <w:spacing w:before="45" w:line="192" w:lineRule="exact"/>
        <w:ind w:right="1272" w:hanging="510"/>
        <w:jc w:val="both"/>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pacing w:val="-1"/>
          <w:sz w:val="16"/>
          <w:szCs w:val="16"/>
        </w:rPr>
        <w:t xml:space="preserve"> example,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it would be </w:t>
      </w:r>
      <w:r>
        <w:rPr>
          <w:rFonts w:ascii="Avenir Next" w:eastAsia="Avenir Next" w:hAnsi="Avenir Next" w:cs="Avenir Next"/>
          <w:spacing w:val="-1"/>
          <w:sz w:val="16"/>
          <w:szCs w:val="16"/>
        </w:rPr>
        <w:t xml:space="preserve">inefficient </w:t>
      </w:r>
      <w:r>
        <w:rPr>
          <w:rFonts w:ascii="Avenir Next" w:eastAsia="Avenir Next" w:hAnsi="Avenir Next" w:cs="Avenir Next"/>
          <w:sz w:val="16"/>
          <w:szCs w:val="16"/>
        </w:rPr>
        <w:t xml:space="preserve">to have </w:t>
      </w:r>
      <w:r>
        <w:rPr>
          <w:rFonts w:ascii="Avenir Next" w:eastAsia="Avenir Next" w:hAnsi="Avenir Next" w:cs="Avenir Next"/>
          <w:spacing w:val="-1"/>
          <w:sz w:val="16"/>
          <w:szCs w:val="16"/>
        </w:rPr>
        <w:t>more</w:t>
      </w:r>
      <w:r>
        <w:rPr>
          <w:rFonts w:ascii="Avenir Next" w:eastAsia="Avenir Next" w:hAnsi="Avenir Next" w:cs="Avenir Next"/>
          <w:sz w:val="16"/>
          <w:szCs w:val="16"/>
        </w:rPr>
        <w:t xml:space="preserve"> than one</w:t>
      </w:r>
      <w:r>
        <w:rPr>
          <w:rFonts w:ascii="Avenir Next" w:eastAsia="Avenir Next" w:hAnsi="Avenir Next" w:cs="Avenir Next"/>
          <w:spacing w:val="-1"/>
          <w:sz w:val="16"/>
          <w:szCs w:val="16"/>
        </w:rPr>
        <w:t xml:space="preserve"> provider</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certain</w:t>
      </w:r>
      <w:r>
        <w:rPr>
          <w:rFonts w:ascii="Avenir Next" w:eastAsia="Avenir Next" w:hAnsi="Avenir Next" w:cs="Avenir Next"/>
          <w:sz w:val="16"/>
          <w:szCs w:val="16"/>
        </w:rPr>
        <w:t xml:space="preserve"> network </w:t>
      </w:r>
      <w:r>
        <w:rPr>
          <w:rFonts w:ascii="Avenir Next" w:eastAsia="Avenir Next" w:hAnsi="Avenir Next" w:cs="Avenir Next"/>
          <w:spacing w:val="-1"/>
          <w:sz w:val="16"/>
          <w:szCs w:val="16"/>
        </w:rPr>
        <w:t>water infrastructure</w:t>
      </w:r>
      <w:r>
        <w:rPr>
          <w:rFonts w:ascii="Avenir Next" w:eastAsia="Avenir Next" w:hAnsi="Avenir Next" w:cs="Avenir Next"/>
          <w:sz w:val="16"/>
          <w:szCs w:val="16"/>
        </w:rPr>
        <w:t xml:space="preserve"> – such as </w:t>
      </w:r>
      <w:r>
        <w:rPr>
          <w:rFonts w:ascii="Avenir Next" w:eastAsia="Avenir Next" w:hAnsi="Avenir Next" w:cs="Avenir Next"/>
          <w:spacing w:val="-1"/>
          <w:sz w:val="16"/>
          <w:szCs w:val="16"/>
        </w:rPr>
        <w:t>water</w:t>
      </w:r>
      <w:r>
        <w:rPr>
          <w:rFonts w:ascii="Avenir Next" w:eastAsia="Avenir Next" w:hAnsi="Avenir Next" w:cs="Avenir Next"/>
          <w:spacing w:val="85"/>
          <w:sz w:val="16"/>
          <w:szCs w:val="16"/>
        </w:rPr>
        <w:t xml:space="preserve"> </w:t>
      </w:r>
      <w:r>
        <w:rPr>
          <w:rFonts w:ascii="Avenir Next" w:eastAsia="Avenir Next" w:hAnsi="Avenir Next" w:cs="Avenir Next"/>
          <w:spacing w:val="-1"/>
          <w:sz w:val="16"/>
          <w:szCs w:val="16"/>
        </w:rPr>
        <w:t>transportation</w:t>
      </w:r>
      <w:r>
        <w:rPr>
          <w:rFonts w:ascii="Avenir Next" w:eastAsia="Avenir Next" w:hAnsi="Avenir Next" w:cs="Avenir Next"/>
          <w:sz w:val="16"/>
          <w:szCs w:val="16"/>
        </w:rPr>
        <w:t xml:space="preserve"> pipelines – because it would be uneconomic to </w:t>
      </w:r>
      <w:r>
        <w:rPr>
          <w:rFonts w:ascii="Avenir Next" w:eastAsia="Avenir Next" w:hAnsi="Avenir Next" w:cs="Avenir Next"/>
          <w:spacing w:val="-1"/>
          <w:sz w:val="16"/>
          <w:szCs w:val="16"/>
        </w:rPr>
        <w:t>duplicate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infrastructure.</w:t>
      </w:r>
      <w:r>
        <w:rPr>
          <w:rFonts w:ascii="Avenir Next" w:eastAsia="Avenir Next" w:hAnsi="Avenir Next" w:cs="Avenir Next"/>
          <w:spacing w:val="-9"/>
          <w:sz w:val="16"/>
          <w:szCs w:val="16"/>
        </w:rPr>
        <w:t xml:space="preserve"> </w:t>
      </w:r>
      <w:r>
        <w:rPr>
          <w:rFonts w:ascii="Avenir Next" w:eastAsia="Avenir Next" w:hAnsi="Avenir Next" w:cs="Avenir Next"/>
          <w:spacing w:val="-2"/>
          <w:sz w:val="16"/>
          <w:szCs w:val="16"/>
        </w:rPr>
        <w:t>That</w:t>
      </w:r>
      <w:r>
        <w:rPr>
          <w:rFonts w:ascii="Avenir Next" w:eastAsia="Avenir Next" w:hAnsi="Avenir Next" w:cs="Avenir Next"/>
          <w:sz w:val="16"/>
          <w:szCs w:val="16"/>
        </w:rPr>
        <w:t xml:space="preserve"> is,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 new </w:t>
      </w:r>
      <w:r>
        <w:rPr>
          <w:rFonts w:ascii="Avenir Next" w:eastAsia="Avenir Next" w:hAnsi="Avenir Next" w:cs="Avenir Next"/>
          <w:spacing w:val="-1"/>
          <w:sz w:val="16"/>
          <w:szCs w:val="16"/>
        </w:rPr>
        <w:t>entrant</w:t>
      </w:r>
      <w:r>
        <w:rPr>
          <w:rFonts w:ascii="Avenir Next" w:eastAsia="Avenir Next" w:hAnsi="Avenir Next" w:cs="Avenir Next"/>
          <w:sz w:val="16"/>
          <w:szCs w:val="16"/>
        </w:rPr>
        <w:t xml:space="preserve"> could not</w:t>
      </w:r>
      <w:r>
        <w:rPr>
          <w:rFonts w:ascii="Avenir Next" w:eastAsia="Avenir Next" w:hAnsi="Avenir Next" w:cs="Avenir Next"/>
          <w:spacing w:val="71"/>
          <w:sz w:val="16"/>
          <w:szCs w:val="16"/>
        </w:rPr>
        <w:t xml:space="preserve"> </w:t>
      </w:r>
      <w:r>
        <w:rPr>
          <w:rFonts w:ascii="Avenir Next" w:eastAsia="Avenir Next" w:hAnsi="Avenir Next" w:cs="Avenir Next"/>
          <w:spacing w:val="-1"/>
          <w:sz w:val="16"/>
          <w:szCs w:val="16"/>
        </w:rPr>
        <w:t xml:space="preserve">earn </w:t>
      </w:r>
      <w:r>
        <w:rPr>
          <w:rFonts w:ascii="Avenir Next" w:eastAsia="Avenir Next" w:hAnsi="Avenir Next" w:cs="Avenir Next"/>
          <w:sz w:val="16"/>
          <w:szCs w:val="16"/>
        </w:rPr>
        <w:t xml:space="preserve">a </w:t>
      </w:r>
      <w:r>
        <w:rPr>
          <w:rFonts w:ascii="Avenir Next" w:eastAsia="Avenir Next" w:hAnsi="Avenir Next" w:cs="Avenir Next"/>
          <w:spacing w:val="-1"/>
          <w:sz w:val="16"/>
          <w:szCs w:val="16"/>
        </w:rPr>
        <w:t>sufficient rate</w:t>
      </w:r>
      <w:r>
        <w:rPr>
          <w:rFonts w:ascii="Avenir Next" w:eastAsia="Avenir Next" w:hAnsi="Avenir Next" w:cs="Avenir Next"/>
          <w:sz w:val="16"/>
          <w:szCs w:val="16"/>
        </w:rPr>
        <w:t xml:space="preserve"> of</w:t>
      </w:r>
      <w:r>
        <w:rPr>
          <w:rFonts w:ascii="Avenir Next" w:eastAsia="Avenir Next" w:hAnsi="Avenir Next" w:cs="Avenir Next"/>
          <w:spacing w:val="2"/>
          <w:sz w:val="16"/>
          <w:szCs w:val="16"/>
        </w:rPr>
        <w:t xml:space="preserv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to</w:t>
      </w:r>
      <w:r>
        <w:rPr>
          <w:rFonts w:ascii="Avenir Next" w:eastAsia="Avenir Next" w:hAnsi="Avenir Next" w:cs="Avenir Next"/>
          <w:spacing w:val="-1"/>
          <w:sz w:val="16"/>
          <w:szCs w:val="16"/>
        </w:rPr>
        <w:t xml:space="preserve"> make</w:t>
      </w:r>
      <w:r>
        <w:rPr>
          <w:rFonts w:ascii="Avenir Next" w:eastAsia="Avenir Next" w:hAnsi="Avenir Next" w:cs="Avenir Next"/>
          <w:sz w:val="16"/>
          <w:szCs w:val="16"/>
        </w:rPr>
        <w:t xml:space="preserve"> the investment</w:t>
      </w:r>
      <w:r>
        <w:rPr>
          <w:rFonts w:ascii="Avenir Next" w:eastAsia="Avenir Next" w:hAnsi="Avenir Next" w:cs="Avenir Next"/>
          <w:spacing w:val="-1"/>
          <w:sz w:val="16"/>
          <w:szCs w:val="16"/>
        </w:rPr>
        <w:t xml:space="preserve"> worthwhile.</w:t>
      </w:r>
    </w:p>
    <w:p w:rsidR="00D96B91" w:rsidRDefault="00D96B91">
      <w:pPr>
        <w:spacing w:line="192" w:lineRule="exact"/>
        <w:jc w:val="both"/>
        <w:rPr>
          <w:rFonts w:ascii="Avenir Next" w:eastAsia="Avenir Next" w:hAnsi="Avenir Next" w:cs="Avenir Next"/>
          <w:sz w:val="16"/>
          <w:szCs w:val="16"/>
        </w:rPr>
        <w:sectPr w:rsidR="00D96B91">
          <w:footerReference w:type="even" r:id="rId43"/>
          <w:footerReference w:type="default" r:id="rId44"/>
          <w:pgSz w:w="11910" w:h="16840"/>
          <w:pgMar w:top="1260" w:right="0" w:bottom="1020" w:left="0" w:header="0" w:footer="829" w:gutter="0"/>
          <w:pgNumType w:start="21"/>
          <w:cols w:space="720"/>
        </w:sectPr>
      </w:pPr>
    </w:p>
    <w:p w:rsidR="00D96B91" w:rsidRDefault="00C2656B">
      <w:pPr>
        <w:pStyle w:val="BodyText"/>
        <w:spacing w:before="21" w:line="260" w:lineRule="exact"/>
        <w:ind w:right="1548"/>
      </w:pPr>
      <w:r>
        <w:t xml:space="preserve">adversely </w:t>
      </w:r>
      <w:r>
        <w:rPr>
          <w:spacing w:val="-1"/>
        </w:rPr>
        <w:t>affect</w:t>
      </w:r>
      <w:r>
        <w:t xml:space="preserve"> the quality and </w:t>
      </w:r>
      <w:r>
        <w:rPr>
          <w:spacing w:val="-1"/>
        </w:rPr>
        <w:t>reliability</w:t>
      </w:r>
      <w:r>
        <w:t xml:space="preserve"> of</w:t>
      </w:r>
      <w:r>
        <w:rPr>
          <w:spacing w:val="4"/>
        </w:rPr>
        <w:t xml:space="preserve"> </w:t>
      </w:r>
      <w:r>
        <w:t xml:space="preserve">the services it </w:t>
      </w:r>
      <w:r>
        <w:rPr>
          <w:spacing w:val="-1"/>
        </w:rPr>
        <w:t>provides.</w:t>
      </w:r>
      <w:r>
        <w:rPr>
          <w:spacing w:val="-6"/>
        </w:rPr>
        <w:t xml:space="preserve"> </w:t>
      </w:r>
      <w:r>
        <w:t xml:space="preserve">In the </w:t>
      </w:r>
      <w:r>
        <w:rPr>
          <w:spacing w:val="-1"/>
        </w:rPr>
        <w:t>water</w:t>
      </w:r>
      <w:r>
        <w:t xml:space="preserve"> </w:t>
      </w:r>
      <w:r>
        <w:rPr>
          <w:spacing w:val="-2"/>
        </w:rPr>
        <w:t>sector,</w:t>
      </w:r>
      <w:r>
        <w:rPr>
          <w:spacing w:val="-6"/>
        </w:rPr>
        <w:t xml:space="preserve"> </w:t>
      </w:r>
      <w:r>
        <w:t>this could</w:t>
      </w:r>
      <w:r>
        <w:rPr>
          <w:spacing w:val="43"/>
        </w:rPr>
        <w:t xml:space="preserve"> </w:t>
      </w:r>
      <w:r>
        <w:rPr>
          <w:spacing w:val="-1"/>
        </w:rPr>
        <w:t>threaten</w:t>
      </w:r>
      <w:r>
        <w:t xml:space="preserve"> the security of</w:t>
      </w:r>
      <w:r>
        <w:rPr>
          <w:spacing w:val="4"/>
        </w:rPr>
        <w:t xml:space="preserve"> </w:t>
      </w:r>
      <w:r>
        <w:t xml:space="preserve">essential </w:t>
      </w:r>
      <w:r>
        <w:rPr>
          <w:spacing w:val="-1"/>
        </w:rPr>
        <w:t>water</w:t>
      </w:r>
      <w:r>
        <w:t xml:space="preserve"> supplies.</w:t>
      </w:r>
    </w:p>
    <w:p w:rsidR="00D96B91" w:rsidRDefault="00C2656B">
      <w:pPr>
        <w:pStyle w:val="BodyText"/>
        <w:spacing w:before="170" w:line="260" w:lineRule="exact"/>
        <w:ind w:right="1283"/>
      </w:pPr>
      <w:r>
        <w:t>In</w:t>
      </w:r>
      <w:r>
        <w:rPr>
          <w:spacing w:val="-1"/>
        </w:rPr>
        <w:t xml:space="preserve"> </w:t>
      </w:r>
      <w:r>
        <w:t>addition,</w:t>
      </w:r>
      <w:r>
        <w:rPr>
          <w:spacing w:val="-6"/>
        </w:rPr>
        <w:t xml:space="preserve"> </w:t>
      </w:r>
      <w:r>
        <w:t>if</w:t>
      </w:r>
      <w:r>
        <w:rPr>
          <w:spacing w:val="3"/>
        </w:rPr>
        <w:t xml:space="preserve"> </w:t>
      </w:r>
      <w:r>
        <w:t xml:space="preserve">price </w:t>
      </w:r>
      <w:r>
        <w:rPr>
          <w:spacing w:val="-1"/>
        </w:rPr>
        <w:t>regulation</w:t>
      </w:r>
      <w:r>
        <w:t xml:space="preserve"> did</w:t>
      </w:r>
      <w:r>
        <w:rPr>
          <w:spacing w:val="-1"/>
        </w:rPr>
        <w:t xml:space="preserve"> </w:t>
      </w:r>
      <w:r>
        <w:t xml:space="preserve">not </w:t>
      </w:r>
      <w:r>
        <w:rPr>
          <w:spacing w:val="-2"/>
        </w:rPr>
        <w:t>create</w:t>
      </w:r>
      <w:r>
        <w:t xml:space="preserve"> incentives</w:t>
      </w:r>
      <w:r>
        <w:rPr>
          <w:spacing w:val="-1"/>
        </w:rPr>
        <w:t xml:space="preserve"> </w:t>
      </w:r>
      <w:r>
        <w:t xml:space="preserve">for </w:t>
      </w:r>
      <w:r>
        <w:rPr>
          <w:spacing w:val="-1"/>
        </w:rPr>
        <w:t xml:space="preserve">efficient </w:t>
      </w:r>
      <w:r>
        <w:t>investment in assets</w:t>
      </w:r>
      <w:r>
        <w:rPr>
          <w:spacing w:val="-1"/>
        </w:rPr>
        <w:t xml:space="preserve"> </w:t>
      </w:r>
      <w:r>
        <w:t>and asset</w:t>
      </w:r>
      <w:r>
        <w:rPr>
          <w:spacing w:val="27"/>
        </w:rPr>
        <w:t xml:space="preserve"> </w:t>
      </w:r>
      <w:r>
        <w:t>management,</w:t>
      </w:r>
      <w:r>
        <w:rPr>
          <w:spacing w:val="-6"/>
        </w:rPr>
        <w:t xml:space="preserve"> </w:t>
      </w:r>
      <w:r>
        <w:t xml:space="preserve">the </w:t>
      </w:r>
      <w:r>
        <w:rPr>
          <w:spacing w:val="-1"/>
        </w:rPr>
        <w:t>regulated</w:t>
      </w:r>
      <w:r>
        <w:t xml:space="preserve"> business may either </w:t>
      </w:r>
      <w:r>
        <w:rPr>
          <w:spacing w:val="-1"/>
        </w:rPr>
        <w:t>under-</w:t>
      </w:r>
      <w:r>
        <w:t xml:space="preserve"> or </w:t>
      </w:r>
      <w:r>
        <w:rPr>
          <w:spacing w:val="-1"/>
        </w:rPr>
        <w:t>over-invest</w:t>
      </w:r>
      <w:r>
        <w:t xml:space="preserve"> in the assets used to supply the</w:t>
      </w:r>
      <w:r>
        <w:rPr>
          <w:spacing w:val="21"/>
        </w:rPr>
        <w:t xml:space="preserve"> </w:t>
      </w:r>
      <w:r>
        <w:t>services.</w:t>
      </w:r>
      <w:r>
        <w:rPr>
          <w:spacing w:val="-11"/>
        </w:rPr>
        <w:t xml:space="preserve"> </w:t>
      </w:r>
      <w:r>
        <w:rPr>
          <w:spacing w:val="-1"/>
        </w:rPr>
        <w:t>This</w:t>
      </w:r>
      <w:r>
        <w:t xml:space="preserve"> could </w:t>
      </w:r>
      <w:r>
        <w:rPr>
          <w:spacing w:val="-1"/>
        </w:rPr>
        <w:t>lead</w:t>
      </w:r>
      <w:r>
        <w:t xml:space="preserve"> to either falling service </w:t>
      </w:r>
      <w:r>
        <w:rPr>
          <w:spacing w:val="-1"/>
        </w:rPr>
        <w:t>standards</w:t>
      </w:r>
      <w:r>
        <w:t xml:space="preserve"> or higher than necessary prices.</w:t>
      </w:r>
    </w:p>
    <w:p w:rsidR="00D96B91" w:rsidRDefault="00D96B91">
      <w:pPr>
        <w:spacing w:before="2"/>
        <w:rPr>
          <w:rFonts w:ascii="Avenir Next" w:eastAsia="Avenir Next" w:hAnsi="Avenir Next" w:cs="Avenir Next"/>
          <w:sz w:val="21"/>
          <w:szCs w:val="21"/>
        </w:rPr>
      </w:pPr>
    </w:p>
    <w:p w:rsidR="00D96B91" w:rsidRDefault="00C2656B">
      <w:pPr>
        <w:pStyle w:val="Heading6"/>
        <w:numPr>
          <w:ilvl w:val="2"/>
          <w:numId w:val="122"/>
        </w:numPr>
        <w:tabs>
          <w:tab w:val="left" w:pos="2098"/>
        </w:tabs>
        <w:spacing w:line="288" w:lineRule="exact"/>
        <w:ind w:right="1379" w:hanging="850"/>
      </w:pPr>
      <w:r>
        <w:rPr>
          <w:color w:val="0778BE"/>
          <w:spacing w:val="-1"/>
        </w:rPr>
        <w:t>Delineation</w:t>
      </w:r>
      <w:r>
        <w:rPr>
          <w:color w:val="0778BE"/>
        </w:rPr>
        <w:t xml:space="preserve"> between the </w:t>
      </w:r>
      <w:r>
        <w:rPr>
          <w:color w:val="0778BE"/>
          <w:spacing w:val="-1"/>
        </w:rPr>
        <w:t>roles</w:t>
      </w:r>
      <w:r>
        <w:rPr>
          <w:color w:val="0778BE"/>
        </w:rPr>
        <w:t xml:space="preserve"> and </w:t>
      </w:r>
      <w:r>
        <w:rPr>
          <w:color w:val="0778BE"/>
          <w:spacing w:val="-1"/>
        </w:rPr>
        <w:t>responsibilities</w:t>
      </w:r>
      <w:r>
        <w:rPr>
          <w:color w:val="0778BE"/>
        </w:rPr>
        <w:t xml:space="preserve"> of</w:t>
      </w:r>
      <w:r>
        <w:rPr>
          <w:color w:val="0778BE"/>
          <w:spacing w:val="5"/>
        </w:rPr>
        <w:t xml:space="preserve"> </w:t>
      </w:r>
      <w:r>
        <w:rPr>
          <w:color w:val="0778BE"/>
        </w:rPr>
        <w:t xml:space="preserve">the </w:t>
      </w:r>
      <w:r>
        <w:rPr>
          <w:color w:val="0778BE"/>
          <w:spacing w:val="-1"/>
        </w:rPr>
        <w:t>regulator</w:t>
      </w:r>
      <w:r>
        <w:rPr>
          <w:color w:val="0778BE"/>
        </w:rPr>
        <w:t xml:space="preserve"> and other</w:t>
      </w:r>
      <w:r>
        <w:rPr>
          <w:color w:val="0778BE"/>
          <w:spacing w:val="37"/>
        </w:rPr>
        <w:t xml:space="preserve"> </w:t>
      </w:r>
      <w:r>
        <w:rPr>
          <w:color w:val="0778BE"/>
          <w:spacing w:val="-1"/>
        </w:rPr>
        <w:t>participants</w:t>
      </w:r>
      <w:r>
        <w:rPr>
          <w:color w:val="0778BE"/>
        </w:rPr>
        <w:t xml:space="preserve"> in the </w:t>
      </w:r>
      <w:r>
        <w:rPr>
          <w:color w:val="0778BE"/>
          <w:spacing w:val="-1"/>
        </w:rPr>
        <w:t>regulatory</w:t>
      </w:r>
      <w:r>
        <w:rPr>
          <w:color w:val="0778BE"/>
        </w:rPr>
        <w:t xml:space="preserve"> system</w:t>
      </w:r>
    </w:p>
    <w:p w:rsidR="00D96B91" w:rsidRDefault="00C2656B">
      <w:pPr>
        <w:pStyle w:val="BodyText"/>
        <w:spacing w:before="51" w:line="260" w:lineRule="exact"/>
        <w:ind w:right="1513"/>
      </w:pPr>
      <w:r>
        <w:rPr>
          <w:rFonts w:cs="Avenir Next"/>
          <w:spacing w:val="-2"/>
        </w:rPr>
        <w:t>There</w:t>
      </w:r>
      <w:r>
        <w:rPr>
          <w:rFonts w:cs="Avenir Next"/>
        </w:rPr>
        <w:t xml:space="preserve"> is a </w:t>
      </w:r>
      <w:r>
        <w:rPr>
          <w:rFonts w:cs="Avenir Next"/>
          <w:spacing w:val="-1"/>
        </w:rPr>
        <w:t>clear</w:t>
      </w:r>
      <w:r>
        <w:rPr>
          <w:rFonts w:cs="Avenir Next"/>
        </w:rPr>
        <w:t xml:space="preserve"> </w:t>
      </w:r>
      <w:r>
        <w:rPr>
          <w:rFonts w:cs="Avenir Next"/>
          <w:spacing w:val="-1"/>
        </w:rPr>
        <w:t>delineation</w:t>
      </w:r>
      <w:r>
        <w:rPr>
          <w:rFonts w:cs="Avenir Next"/>
        </w:rPr>
        <w:t xml:space="preserve"> between the </w:t>
      </w:r>
      <w:r>
        <w:rPr>
          <w:rFonts w:cs="Avenir Next"/>
          <w:spacing w:val="-1"/>
        </w:rPr>
        <w:t>roles</w:t>
      </w:r>
      <w:r>
        <w:rPr>
          <w:rFonts w:cs="Avenir Next"/>
        </w:rPr>
        <w:t xml:space="preserve"> and </w:t>
      </w:r>
      <w:r>
        <w:rPr>
          <w:rFonts w:cs="Avenir Next"/>
          <w:spacing w:val="-1"/>
        </w:rPr>
        <w:t>responsibilities</w:t>
      </w:r>
      <w:r>
        <w:rPr>
          <w:rFonts w:cs="Avenir Next"/>
        </w:rPr>
        <w:t xml:space="preserve"> of</w:t>
      </w:r>
      <w:r>
        <w:rPr>
          <w:rFonts w:cs="Avenir Next"/>
          <w:spacing w:val="4"/>
        </w:rPr>
        <w:t xml:space="preserve"> </w:t>
      </w:r>
      <w:r>
        <w:rPr>
          <w:rFonts w:cs="Avenir Next"/>
        </w:rPr>
        <w:t xml:space="preserve">the </w:t>
      </w:r>
      <w:r>
        <w:rPr>
          <w:rFonts w:cs="Avenir Next"/>
          <w:spacing w:val="-1"/>
        </w:rPr>
        <w:t>regulator</w:t>
      </w:r>
      <w:r>
        <w:rPr>
          <w:rFonts w:cs="Avenir Next"/>
        </w:rPr>
        <w:t xml:space="preserve"> and the other</w:t>
      </w:r>
      <w:r>
        <w:rPr>
          <w:rFonts w:cs="Avenir Next"/>
          <w:spacing w:val="55"/>
        </w:rPr>
        <w:t xml:space="preserve"> </w:t>
      </w:r>
      <w:r>
        <w:rPr>
          <w:spacing w:val="-1"/>
        </w:rPr>
        <w:t>participants</w:t>
      </w:r>
      <w:r>
        <w:t xml:space="preserve"> in the </w:t>
      </w:r>
      <w:r>
        <w:rPr>
          <w:spacing w:val="-1"/>
        </w:rPr>
        <w:t>regulatory</w:t>
      </w:r>
      <w:r>
        <w:t xml:space="preserve"> system – including government,</w:t>
      </w:r>
      <w:r>
        <w:rPr>
          <w:spacing w:val="-7"/>
        </w:rPr>
        <w:t xml:space="preserve"> </w:t>
      </w:r>
      <w:r>
        <w:t xml:space="preserve">the </w:t>
      </w:r>
      <w:r>
        <w:rPr>
          <w:spacing w:val="-1"/>
        </w:rPr>
        <w:t>water</w:t>
      </w:r>
      <w:r>
        <w:t xml:space="preserve"> utility (in this case</w:t>
      </w:r>
      <w:r>
        <w:rPr>
          <w:spacing w:val="-4"/>
        </w:rPr>
        <w:t xml:space="preserve"> </w:t>
      </w:r>
      <w:r>
        <w:rPr>
          <w:spacing w:val="-1"/>
        </w:rPr>
        <w:t>ACTEW)</w:t>
      </w:r>
      <w:r>
        <w:rPr>
          <w:spacing w:val="33"/>
        </w:rPr>
        <w:t xml:space="preserve"> </w:t>
      </w:r>
      <w:r>
        <w:t xml:space="preserve">and </w:t>
      </w:r>
      <w:r>
        <w:rPr>
          <w:spacing w:val="-1"/>
        </w:rPr>
        <w:t>water</w:t>
      </w:r>
      <w:r>
        <w:t xml:space="preserve"> customers.</w:t>
      </w:r>
      <w:r>
        <w:rPr>
          <w:spacing w:val="-11"/>
        </w:rPr>
        <w:t xml:space="preserve"> </w:t>
      </w:r>
      <w:r>
        <w:rPr>
          <w:spacing w:val="-2"/>
        </w:rPr>
        <w:t>The</w:t>
      </w:r>
      <w:r>
        <w:t xml:space="preserve"> </w:t>
      </w:r>
      <w:r>
        <w:rPr>
          <w:spacing w:val="-2"/>
        </w:rPr>
        <w:t>Productivity</w:t>
      </w:r>
      <w:r>
        <w:t xml:space="preserve"> </w:t>
      </w:r>
      <w:r>
        <w:rPr>
          <w:spacing w:val="-1"/>
        </w:rPr>
        <w:t>Commission</w:t>
      </w:r>
      <w:r>
        <w:t xml:space="preserve"> </w:t>
      </w:r>
      <w:r>
        <w:rPr>
          <w:spacing w:val="-1"/>
        </w:rPr>
        <w:t>articulated</w:t>
      </w:r>
      <w:r>
        <w:t xml:space="preserve"> this </w:t>
      </w:r>
      <w:r>
        <w:rPr>
          <w:spacing w:val="-1"/>
        </w:rPr>
        <w:t>delineation</w:t>
      </w:r>
      <w:r>
        <w:t xml:space="preserve"> in its 2011 inquiry on</w:t>
      </w:r>
      <w:r>
        <w:rPr>
          <w:spacing w:val="71"/>
        </w:rPr>
        <w:t xml:space="preserve"> </w:t>
      </w:r>
      <w:r>
        <w:rPr>
          <w:rFonts w:cs="Avenir Next"/>
          <w:i/>
          <w:spacing w:val="-2"/>
        </w:rPr>
        <w:t>Australia’s</w:t>
      </w:r>
      <w:r>
        <w:rPr>
          <w:rFonts w:cs="Avenir Next"/>
          <w:i/>
        </w:rPr>
        <w:t xml:space="preserve"> Urban</w:t>
      </w:r>
      <w:r>
        <w:rPr>
          <w:rFonts w:cs="Avenir Next"/>
          <w:i/>
          <w:spacing w:val="-3"/>
        </w:rPr>
        <w:t xml:space="preserve"> </w:t>
      </w:r>
      <w:r>
        <w:rPr>
          <w:rFonts w:cs="Avenir Next"/>
          <w:i/>
          <w:spacing w:val="-2"/>
        </w:rPr>
        <w:t>Water</w:t>
      </w:r>
      <w:r>
        <w:rPr>
          <w:rFonts w:cs="Avenir Next"/>
          <w:i/>
        </w:rPr>
        <w:t xml:space="preserve"> Sector </w:t>
      </w:r>
      <w:r>
        <w:t xml:space="preserve">(summarised in </w:t>
      </w:r>
      <w:r>
        <w:rPr>
          <w:spacing w:val="-1"/>
        </w:rPr>
        <w:t>Box</w:t>
      </w:r>
      <w:r>
        <w:t xml:space="preserve"> 3.1).</w:t>
      </w:r>
    </w:p>
    <w:p w:rsidR="00D96B91" w:rsidRDefault="00C2656B">
      <w:pPr>
        <w:pStyle w:val="BodyText"/>
        <w:spacing w:before="170" w:line="260" w:lineRule="exact"/>
        <w:ind w:right="1356"/>
        <w:rPr>
          <w:rFonts w:cs="Avenir Next"/>
        </w:rPr>
      </w:pPr>
      <w:r>
        <w:rPr>
          <w:rFonts w:cs="Avenir Next"/>
          <w:spacing w:val="-2"/>
        </w:rPr>
        <w:t>The</w:t>
      </w:r>
      <w:r>
        <w:rPr>
          <w:rFonts w:cs="Avenir Next"/>
        </w:rPr>
        <w:t xml:space="preserve"> </w:t>
      </w:r>
      <w:r>
        <w:rPr>
          <w:rFonts w:cs="Avenir Next"/>
          <w:spacing w:val="-3"/>
        </w:rPr>
        <w:t>Panel</w:t>
      </w:r>
      <w:r>
        <w:rPr>
          <w:rFonts w:cs="Avenir Next"/>
        </w:rPr>
        <w:t xml:space="preserve"> has been conscious of</w:t>
      </w:r>
      <w:r>
        <w:rPr>
          <w:rFonts w:cs="Avenir Next"/>
          <w:spacing w:val="4"/>
        </w:rPr>
        <w:t xml:space="preserve"> </w:t>
      </w:r>
      <w:r>
        <w:rPr>
          <w:rFonts w:cs="Avenir Next"/>
        </w:rPr>
        <w:t xml:space="preserve">the </w:t>
      </w:r>
      <w:r>
        <w:rPr>
          <w:rFonts w:cs="Avenir Next"/>
          <w:spacing w:val="-1"/>
        </w:rPr>
        <w:t>implications</w:t>
      </w:r>
      <w:r>
        <w:rPr>
          <w:rFonts w:cs="Avenir Next"/>
        </w:rPr>
        <w:t xml:space="preserve"> of</w:t>
      </w:r>
      <w:r>
        <w:rPr>
          <w:rFonts w:cs="Avenir Next"/>
          <w:spacing w:val="4"/>
        </w:rPr>
        <w:t xml:space="preserve"> </w:t>
      </w:r>
      <w:r>
        <w:rPr>
          <w:rFonts w:cs="Avenir Next"/>
        </w:rPr>
        <w:t xml:space="preserve">these </w:t>
      </w:r>
      <w:r>
        <w:rPr>
          <w:rFonts w:cs="Avenir Next"/>
          <w:spacing w:val="-1"/>
        </w:rPr>
        <w:t>roles</w:t>
      </w:r>
      <w:r>
        <w:rPr>
          <w:rFonts w:cs="Avenir Next"/>
        </w:rPr>
        <w:t xml:space="preserve"> when conducting the </w:t>
      </w:r>
      <w:r>
        <w:rPr>
          <w:rFonts w:cs="Avenir Next"/>
          <w:spacing w:val="-1"/>
        </w:rPr>
        <w:t>review</w:t>
      </w:r>
      <w:r>
        <w:rPr>
          <w:rFonts w:cs="Avenir Next"/>
        </w:rPr>
        <w:t xml:space="preserve"> and</w:t>
      </w:r>
      <w:r>
        <w:rPr>
          <w:rFonts w:cs="Avenir Next"/>
          <w:spacing w:val="37"/>
        </w:rPr>
        <w:t xml:space="preserve"> </w:t>
      </w:r>
      <w:r>
        <w:t xml:space="preserve">making its </w:t>
      </w:r>
      <w:r>
        <w:rPr>
          <w:spacing w:val="-2"/>
        </w:rPr>
        <w:t>draft</w:t>
      </w:r>
      <w:r>
        <w:t xml:space="preserve"> decision – </w:t>
      </w:r>
      <w:r>
        <w:rPr>
          <w:spacing w:val="-1"/>
        </w:rPr>
        <w:t>particularly</w:t>
      </w:r>
      <w:r>
        <w:t xml:space="preserve"> in determining the scope of</w:t>
      </w:r>
      <w:r>
        <w:rPr>
          <w:spacing w:val="4"/>
        </w:rPr>
        <w:t xml:space="preserve"> </w:t>
      </w:r>
      <w:r>
        <w:t xml:space="preserve">its </w:t>
      </w:r>
      <w:r>
        <w:rPr>
          <w:spacing w:val="-1"/>
        </w:rPr>
        <w:t>r</w:t>
      </w:r>
      <w:hyperlink w:anchor="_bookmark8" w:history="1">
        <w:r>
          <w:rPr>
            <w:spacing w:val="-1"/>
          </w:rPr>
          <w:t>eview</w:t>
        </w:r>
        <w:r>
          <w:t xml:space="preserve"> (discussed in Chapter 5</w:t>
        </w:r>
      </w:hyperlink>
      <w:r>
        <w:t>).</w:t>
      </w:r>
      <w:r>
        <w:rPr>
          <w:spacing w:val="31"/>
        </w:rPr>
        <w:t xml:space="preserve"> </w:t>
      </w:r>
      <w:r>
        <w:rPr>
          <w:rFonts w:cs="Avenir Next"/>
          <w:spacing w:val="-1"/>
        </w:rPr>
        <w:t>These</w:t>
      </w:r>
      <w:r>
        <w:rPr>
          <w:rFonts w:cs="Avenir Next"/>
        </w:rPr>
        <w:t xml:space="preserve"> </w:t>
      </w:r>
      <w:r>
        <w:rPr>
          <w:rFonts w:cs="Avenir Next"/>
          <w:spacing w:val="-1"/>
        </w:rPr>
        <w:t>implications</w:t>
      </w:r>
      <w:r>
        <w:rPr>
          <w:rFonts w:cs="Avenir Next"/>
        </w:rPr>
        <w:t xml:space="preserve"> </w:t>
      </w:r>
      <w:r>
        <w:rPr>
          <w:rFonts w:cs="Avenir Next"/>
          <w:spacing w:val="-2"/>
        </w:rPr>
        <w:t>are</w:t>
      </w:r>
      <w:r>
        <w:rPr>
          <w:rFonts w:cs="Avenir Next"/>
        </w:rPr>
        <w:t xml:space="preserve"> as follows:</w:t>
      </w:r>
    </w:p>
    <w:p w:rsidR="00D96B91" w:rsidRDefault="00C2656B">
      <w:pPr>
        <w:pStyle w:val="BodyText"/>
        <w:numPr>
          <w:ilvl w:val="0"/>
          <w:numId w:val="131"/>
        </w:numPr>
        <w:tabs>
          <w:tab w:val="left" w:pos="1531"/>
        </w:tabs>
        <w:spacing w:before="170" w:line="260" w:lineRule="exact"/>
        <w:ind w:right="1431" w:hanging="283"/>
      </w:pPr>
      <w:r>
        <w:rPr>
          <w:rFonts w:cs="Avenir Next"/>
          <w:spacing w:val="-2"/>
        </w:rPr>
        <w:t>The</w:t>
      </w:r>
      <w:r>
        <w:rPr>
          <w:rFonts w:cs="Avenir Next"/>
        </w:rPr>
        <w:t xml:space="preserve"> primary </w:t>
      </w:r>
      <w:r>
        <w:rPr>
          <w:rFonts w:cs="Avenir Next"/>
          <w:spacing w:val="-1"/>
        </w:rPr>
        <w:t>role</w:t>
      </w:r>
      <w:r>
        <w:rPr>
          <w:rFonts w:cs="Avenir Next"/>
        </w:rPr>
        <w:t xml:space="preserve"> of</w:t>
      </w:r>
      <w:r>
        <w:rPr>
          <w:rFonts w:cs="Avenir Next"/>
          <w:spacing w:val="4"/>
        </w:rPr>
        <w:t xml:space="preserve"> </w:t>
      </w:r>
      <w:r>
        <w:rPr>
          <w:rFonts w:cs="Avenir Next"/>
        </w:rPr>
        <w:t xml:space="preserve">the </w:t>
      </w:r>
      <w:r>
        <w:rPr>
          <w:rFonts w:cs="Avenir Next"/>
          <w:spacing w:val="-3"/>
        </w:rPr>
        <w:t>Panel</w:t>
      </w:r>
      <w:r>
        <w:rPr>
          <w:rFonts w:cs="Avenir Next"/>
        </w:rPr>
        <w:t xml:space="preserve"> is to </w:t>
      </w:r>
      <w:r>
        <w:rPr>
          <w:rFonts w:cs="Avenir Next"/>
          <w:spacing w:val="-1"/>
        </w:rPr>
        <w:t>make</w:t>
      </w:r>
      <w:r>
        <w:rPr>
          <w:rFonts w:cs="Avenir Next"/>
        </w:rPr>
        <w:t xml:space="preserve"> a pricing decision </w:t>
      </w:r>
      <w:r>
        <w:rPr>
          <w:rFonts w:cs="Avenir Next"/>
          <w:spacing w:val="-1"/>
        </w:rPr>
        <w:t>that</w:t>
      </w:r>
      <w:r>
        <w:rPr>
          <w:rFonts w:cs="Avenir Next"/>
        </w:rPr>
        <w:t xml:space="preserve"> </w:t>
      </w:r>
      <w:r>
        <w:rPr>
          <w:rFonts w:cs="Avenir Next"/>
          <w:spacing w:val="-1"/>
        </w:rPr>
        <w:t>takes</w:t>
      </w:r>
      <w:r>
        <w:rPr>
          <w:rFonts w:cs="Avenir Next"/>
        </w:rPr>
        <w:t xml:space="preserve"> account of</w:t>
      </w:r>
      <w:r>
        <w:rPr>
          <w:rFonts w:cs="Avenir Next"/>
          <w:spacing w:val="4"/>
        </w:rPr>
        <w:t xml:space="preserve"> </w:t>
      </w:r>
      <w:r>
        <w:rPr>
          <w:rFonts w:cs="Avenir Next"/>
        </w:rPr>
        <w:t xml:space="preserve">the </w:t>
      </w:r>
      <w:r>
        <w:rPr>
          <w:rFonts w:cs="Avenir Next"/>
          <w:spacing w:val="-1"/>
        </w:rPr>
        <w:t>matters</w:t>
      </w:r>
      <w:r>
        <w:rPr>
          <w:rFonts w:cs="Avenir Next"/>
        </w:rPr>
        <w:t xml:space="preserve"> it is</w:t>
      </w:r>
      <w:r>
        <w:rPr>
          <w:rFonts w:cs="Avenir Next"/>
          <w:spacing w:val="29"/>
        </w:rPr>
        <w:t xml:space="preserve"> </w:t>
      </w:r>
      <w:r>
        <w:rPr>
          <w:spacing w:val="-1"/>
        </w:rPr>
        <w:t>required</w:t>
      </w:r>
      <w:r>
        <w:t xml:space="preserve"> to under the </w:t>
      </w:r>
      <w:r>
        <w:rPr>
          <w:spacing w:val="-1"/>
        </w:rPr>
        <w:t>regulatory</w:t>
      </w:r>
      <w:r>
        <w:t xml:space="preserve"> </w:t>
      </w:r>
      <w:r>
        <w:rPr>
          <w:spacing w:val="-1"/>
        </w:rPr>
        <w:t>framework</w:t>
      </w:r>
      <w:r>
        <w:t xml:space="preserve"> (discussed in Chapter 4) and which,</w:t>
      </w:r>
      <w:r>
        <w:rPr>
          <w:spacing w:val="-7"/>
        </w:rPr>
        <w:t xml:space="preserve"> </w:t>
      </w:r>
      <w:r>
        <w:t xml:space="preserve">in the </w:t>
      </w:r>
      <w:r>
        <w:rPr>
          <w:spacing w:val="-4"/>
        </w:rPr>
        <w:t>Panel’s</w:t>
      </w:r>
      <w:r>
        <w:rPr>
          <w:spacing w:val="33"/>
        </w:rPr>
        <w:t xml:space="preserve"> </w:t>
      </w:r>
      <w:r>
        <w:rPr>
          <w:rFonts w:cs="Avenir Next"/>
        </w:rPr>
        <w:t>independent judgement,</w:t>
      </w:r>
      <w:r>
        <w:rPr>
          <w:rFonts w:cs="Avenir Next"/>
          <w:spacing w:val="-7"/>
        </w:rPr>
        <w:t xml:space="preserve"> </w:t>
      </w:r>
      <w:r>
        <w:rPr>
          <w:rFonts w:cs="Avenir Next"/>
          <w:spacing w:val="-1"/>
        </w:rPr>
        <w:t>appropriately</w:t>
      </w:r>
      <w:r>
        <w:rPr>
          <w:rFonts w:cs="Avenir Next"/>
        </w:rPr>
        <w:t xml:space="preserve"> balances the multiple </w:t>
      </w:r>
      <w:r>
        <w:rPr>
          <w:rFonts w:cs="Avenir Next"/>
          <w:spacing w:val="-1"/>
        </w:rPr>
        <w:t>matters</w:t>
      </w:r>
      <w:r>
        <w:rPr>
          <w:rFonts w:cs="Avenir Next"/>
        </w:rPr>
        <w:t xml:space="preserve"> it must have </w:t>
      </w:r>
      <w:r>
        <w:rPr>
          <w:rFonts w:cs="Avenir Next"/>
          <w:spacing w:val="-2"/>
        </w:rPr>
        <w:t>regard</w:t>
      </w:r>
      <w:r>
        <w:rPr>
          <w:rFonts w:cs="Avenir Next"/>
        </w:rPr>
        <w:t xml:space="preserve"> to under</w:t>
      </w:r>
      <w:r>
        <w:rPr>
          <w:rFonts w:cs="Avenir Next"/>
          <w:spacing w:val="25"/>
        </w:rPr>
        <w:t xml:space="preserve"> </w:t>
      </w:r>
      <w:r>
        <w:t xml:space="preserve">this </w:t>
      </w:r>
      <w:r>
        <w:rPr>
          <w:spacing w:val="-1"/>
        </w:rPr>
        <w:t>framework.</w:t>
      </w:r>
    </w:p>
    <w:p w:rsidR="00D96B91" w:rsidRDefault="00C2656B">
      <w:pPr>
        <w:pStyle w:val="BodyText"/>
        <w:numPr>
          <w:ilvl w:val="0"/>
          <w:numId w:val="131"/>
        </w:numPr>
        <w:tabs>
          <w:tab w:val="left" w:pos="1531"/>
        </w:tabs>
        <w:spacing w:before="85" w:line="260" w:lineRule="exact"/>
        <w:ind w:right="1260" w:hanging="283"/>
      </w:pPr>
      <w:r>
        <w:rPr>
          <w:rFonts w:cs="Avenir Next"/>
        </w:rPr>
        <w:t xml:space="preserve">It is not the </w:t>
      </w:r>
      <w:r>
        <w:rPr>
          <w:rFonts w:cs="Avenir Next"/>
          <w:spacing w:val="-4"/>
        </w:rPr>
        <w:t>Panel’s</w:t>
      </w:r>
      <w:r>
        <w:rPr>
          <w:rFonts w:cs="Avenir Next"/>
        </w:rPr>
        <w:t xml:space="preserve"> </w:t>
      </w:r>
      <w:r>
        <w:rPr>
          <w:rFonts w:cs="Avenir Next"/>
          <w:spacing w:val="-1"/>
        </w:rPr>
        <w:t>role</w:t>
      </w:r>
      <w:r>
        <w:rPr>
          <w:rFonts w:cs="Avenir Next"/>
        </w:rPr>
        <w:t xml:space="preserve"> to </w:t>
      </w:r>
      <w:r>
        <w:rPr>
          <w:rFonts w:cs="Avenir Next"/>
          <w:spacing w:val="-1"/>
        </w:rPr>
        <w:t>make</w:t>
      </w:r>
      <w:r>
        <w:rPr>
          <w:rFonts w:cs="Avenir Next"/>
        </w:rPr>
        <w:t xml:space="preserve"> decisions on </w:t>
      </w:r>
      <w:r>
        <w:rPr>
          <w:rFonts w:cs="Avenir Next"/>
          <w:spacing w:val="-1"/>
        </w:rPr>
        <w:t>matters</w:t>
      </w:r>
      <w:r>
        <w:rPr>
          <w:rFonts w:cs="Avenir Next"/>
        </w:rPr>
        <w:t xml:space="preserve"> of</w:t>
      </w:r>
      <w:r>
        <w:rPr>
          <w:rFonts w:cs="Avenir Next"/>
          <w:spacing w:val="4"/>
        </w:rPr>
        <w:t xml:space="preserve"> </w:t>
      </w:r>
      <w:r>
        <w:rPr>
          <w:rFonts w:cs="Avenir Next"/>
        </w:rPr>
        <w:t xml:space="preserve">public </w:t>
      </w:r>
      <w:r>
        <w:rPr>
          <w:rFonts w:cs="Avenir Next"/>
          <w:spacing w:val="-2"/>
        </w:rPr>
        <w:t>policy,</w:t>
      </w:r>
      <w:r>
        <w:rPr>
          <w:rFonts w:cs="Avenir Next"/>
          <w:spacing w:val="-6"/>
        </w:rPr>
        <w:t xml:space="preserve"> </w:t>
      </w:r>
      <w:r>
        <w:rPr>
          <w:rFonts w:cs="Avenir Next"/>
        </w:rPr>
        <w:t xml:space="preserve">as this is the </w:t>
      </w:r>
      <w:r>
        <w:rPr>
          <w:rFonts w:cs="Avenir Next"/>
          <w:spacing w:val="-1"/>
        </w:rPr>
        <w:t>role</w:t>
      </w:r>
      <w:r>
        <w:rPr>
          <w:rFonts w:cs="Avenir Next"/>
        </w:rPr>
        <w:t xml:space="preserve"> of</w:t>
      </w:r>
      <w:r>
        <w:rPr>
          <w:rFonts w:cs="Avenir Next"/>
          <w:spacing w:val="4"/>
        </w:rPr>
        <w:t xml:space="preserve"> </w:t>
      </w:r>
      <w:r>
        <w:rPr>
          <w:rFonts w:cs="Avenir Next"/>
        </w:rPr>
        <w:t>the</w:t>
      </w:r>
      <w:r>
        <w:rPr>
          <w:rFonts w:cs="Avenir Next"/>
          <w:spacing w:val="-4"/>
        </w:rPr>
        <w:t xml:space="preserve"> </w:t>
      </w:r>
      <w:r>
        <w:rPr>
          <w:rFonts w:cs="Avenir Next"/>
          <w:spacing w:val="-2"/>
        </w:rPr>
        <w:t>ACT</w:t>
      </w:r>
      <w:r>
        <w:rPr>
          <w:rFonts w:cs="Avenir Next"/>
          <w:spacing w:val="25"/>
        </w:rPr>
        <w:t xml:space="preserve"> </w:t>
      </w:r>
      <w:r>
        <w:t>Government.</w:t>
      </w:r>
      <w:r>
        <w:rPr>
          <w:spacing w:val="-11"/>
        </w:rPr>
        <w:t xml:space="preserve"> </w:t>
      </w:r>
      <w:r>
        <w:rPr>
          <w:spacing w:val="-1"/>
        </w:rPr>
        <w:t>This</w:t>
      </w:r>
      <w:r>
        <w:t xml:space="preserve"> includes policies designed to achieve distributional outcomes,</w:t>
      </w:r>
      <w:r>
        <w:rPr>
          <w:spacing w:val="-7"/>
        </w:rPr>
        <w:t xml:space="preserve"> </w:t>
      </w:r>
      <w:r>
        <w:t>such as concession</w:t>
      </w:r>
      <w:r>
        <w:rPr>
          <w:spacing w:val="20"/>
        </w:rPr>
        <w:t xml:space="preserve"> </w:t>
      </w:r>
      <w:r>
        <w:rPr>
          <w:spacing w:val="-1"/>
        </w:rPr>
        <w:t>arrangements</w:t>
      </w:r>
      <w:r>
        <w:t xml:space="preserve"> for low income or </w:t>
      </w:r>
      <w:r>
        <w:rPr>
          <w:spacing w:val="-1"/>
        </w:rPr>
        <w:t>vulnerable</w:t>
      </w:r>
      <w:r>
        <w:t xml:space="preserve"> consumer </w:t>
      </w:r>
      <w:r>
        <w:rPr>
          <w:spacing w:val="-1"/>
        </w:rPr>
        <w:t>groups.</w:t>
      </w:r>
      <w:r>
        <w:rPr>
          <w:spacing w:val="-11"/>
        </w:rPr>
        <w:t xml:space="preserve"> </w:t>
      </w:r>
      <w:r>
        <w:rPr>
          <w:spacing w:val="-2"/>
        </w:rPr>
        <w:t>The</w:t>
      </w:r>
      <w:r>
        <w:t xml:space="preserve"> </w:t>
      </w:r>
      <w:r>
        <w:rPr>
          <w:spacing w:val="-3"/>
        </w:rPr>
        <w:t>Panel</w:t>
      </w:r>
      <w:r>
        <w:t xml:space="preserve"> is not in a position to</w:t>
      </w:r>
      <w:r>
        <w:rPr>
          <w:spacing w:val="49"/>
        </w:rPr>
        <w:t xml:space="preserve"> </w:t>
      </w:r>
      <w:r>
        <w:t xml:space="preserve">decide whether government policies </w:t>
      </w:r>
      <w:r>
        <w:rPr>
          <w:spacing w:val="-1"/>
        </w:rPr>
        <w:t>that</w:t>
      </w:r>
      <w:r>
        <w:t xml:space="preserve"> impact on </w:t>
      </w:r>
      <w:r>
        <w:rPr>
          <w:spacing w:val="-1"/>
        </w:rPr>
        <w:t>water</w:t>
      </w:r>
      <w:r>
        <w:t xml:space="preserve"> prices </w:t>
      </w:r>
      <w:r>
        <w:rPr>
          <w:spacing w:val="-2"/>
        </w:rPr>
        <w:t>are</w:t>
      </w:r>
      <w:r>
        <w:t xml:space="preserve"> </w:t>
      </w:r>
      <w:r>
        <w:rPr>
          <w:spacing w:val="-1"/>
        </w:rPr>
        <w:t>appropriate</w:t>
      </w:r>
      <w:r>
        <w:t xml:space="preserve"> or </w:t>
      </w:r>
      <w:r>
        <w:rPr>
          <w:spacing w:val="-1"/>
        </w:rPr>
        <w:t>correct</w:t>
      </w:r>
      <w:r>
        <w:t xml:space="preserve"> – for</w:t>
      </w:r>
      <w:r>
        <w:rPr>
          <w:spacing w:val="29"/>
        </w:rPr>
        <w:t xml:space="preserve"> </w:t>
      </w:r>
      <w:r>
        <w:rPr>
          <w:spacing w:val="-1"/>
        </w:rPr>
        <w:t>example,</w:t>
      </w:r>
      <w:r>
        <w:rPr>
          <w:spacing w:val="-6"/>
        </w:rPr>
        <w:t xml:space="preserve"> </w:t>
      </w:r>
      <w:r>
        <w:t xml:space="preserve">the </w:t>
      </w:r>
      <w:r>
        <w:rPr>
          <w:spacing w:val="-3"/>
        </w:rPr>
        <w:t>Panel</w:t>
      </w:r>
      <w:r>
        <w:t xml:space="preserve"> has no scope to consider the </w:t>
      </w:r>
      <w:r>
        <w:rPr>
          <w:spacing w:val="-1"/>
        </w:rPr>
        <w:t>appropriateness</w:t>
      </w:r>
      <w:r>
        <w:t xml:space="preserve"> of</w:t>
      </w:r>
      <w:r>
        <w:rPr>
          <w:spacing w:val="4"/>
        </w:rPr>
        <w:t xml:space="preserve"> </w:t>
      </w:r>
      <w:r>
        <w:t>the</w:t>
      </w:r>
      <w:r>
        <w:rPr>
          <w:spacing w:val="-3"/>
        </w:rPr>
        <w:t xml:space="preserve"> </w:t>
      </w:r>
      <w:r>
        <w:rPr>
          <w:spacing w:val="-2"/>
        </w:rPr>
        <w:t>Water</w:t>
      </w:r>
      <w:r>
        <w:rPr>
          <w:spacing w:val="-4"/>
        </w:rPr>
        <w:t xml:space="preserve"> </w:t>
      </w:r>
      <w:r>
        <w:rPr>
          <w:spacing w:val="-1"/>
        </w:rPr>
        <w:t>Abstraction</w:t>
      </w:r>
      <w:r>
        <w:t xml:space="preserve"> </w:t>
      </w:r>
      <w:r>
        <w:rPr>
          <w:spacing w:val="-1"/>
        </w:rPr>
        <w:t>Charge.</w:t>
      </w:r>
      <w:r>
        <w:rPr>
          <w:spacing w:val="59"/>
        </w:rPr>
        <w:t xml:space="preserve"> </w:t>
      </w:r>
      <w:r>
        <w:t xml:space="preserve">Nor does it have scope to consider the </w:t>
      </w:r>
      <w:r>
        <w:rPr>
          <w:spacing w:val="-1"/>
        </w:rPr>
        <w:t>appropriateness</w:t>
      </w:r>
      <w:r>
        <w:t xml:space="preserve"> of</w:t>
      </w:r>
      <w:r>
        <w:rPr>
          <w:spacing w:val="4"/>
        </w:rPr>
        <w:t xml:space="preserve"> </w:t>
      </w:r>
      <w:r>
        <w:t>dividend policies.</w:t>
      </w:r>
    </w:p>
    <w:p w:rsidR="00D96B91" w:rsidRDefault="00C2656B">
      <w:pPr>
        <w:pStyle w:val="BodyText"/>
        <w:numPr>
          <w:ilvl w:val="0"/>
          <w:numId w:val="131"/>
        </w:numPr>
        <w:tabs>
          <w:tab w:val="left" w:pos="1531"/>
        </w:tabs>
        <w:spacing w:before="85" w:line="260" w:lineRule="exact"/>
        <w:ind w:right="1264" w:hanging="283"/>
      </w:pPr>
      <w:r>
        <w:rPr>
          <w:spacing w:val="-2"/>
        </w:rPr>
        <w:t>The</w:t>
      </w:r>
      <w:r>
        <w:t xml:space="preserve"> </w:t>
      </w:r>
      <w:r>
        <w:rPr>
          <w:spacing w:val="-3"/>
        </w:rPr>
        <w:t>Panel</w:t>
      </w:r>
      <w:r>
        <w:t xml:space="preserve"> does not </w:t>
      </w:r>
      <w:r>
        <w:rPr>
          <w:spacing w:val="-1"/>
        </w:rPr>
        <w:t>make</w:t>
      </w:r>
      <w:r>
        <w:t xml:space="preserve"> decisions about the governance of</w:t>
      </w:r>
      <w:r>
        <w:rPr>
          <w:spacing w:val="1"/>
        </w:rPr>
        <w:t xml:space="preserve"> </w:t>
      </w:r>
      <w:r>
        <w:rPr>
          <w:spacing w:val="-4"/>
        </w:rPr>
        <w:t>ACTEW,</w:t>
      </w:r>
      <w:r>
        <w:rPr>
          <w:spacing w:val="-6"/>
        </w:rPr>
        <w:t xml:space="preserve"> </w:t>
      </w:r>
      <w:r>
        <w:t xml:space="preserve">as this is a </w:t>
      </w:r>
      <w:r>
        <w:rPr>
          <w:spacing w:val="-1"/>
        </w:rPr>
        <w:t>matter</w:t>
      </w:r>
      <w:r>
        <w:t xml:space="preserve"> for</w:t>
      </w:r>
      <w:r>
        <w:rPr>
          <w:spacing w:val="-4"/>
        </w:rPr>
        <w:t xml:space="preserve"> </w:t>
      </w:r>
      <w:r>
        <w:rPr>
          <w:spacing w:val="-2"/>
        </w:rPr>
        <w:t>ACTEW</w:t>
      </w:r>
      <w:r>
        <w:rPr>
          <w:spacing w:val="29"/>
        </w:rPr>
        <w:t xml:space="preserve"> </w:t>
      </w:r>
      <w:r>
        <w:t>and its</w:t>
      </w:r>
      <w:r>
        <w:rPr>
          <w:spacing w:val="1"/>
        </w:rPr>
        <w:t xml:space="preserve"> </w:t>
      </w:r>
      <w:r>
        <w:rPr>
          <w:spacing w:val="-2"/>
        </w:rPr>
        <w:t>shareholder,</w:t>
      </w:r>
      <w:r>
        <w:rPr>
          <w:spacing w:val="-6"/>
        </w:rPr>
        <w:t xml:space="preserve"> </w:t>
      </w:r>
      <w:r>
        <w:t>the</w:t>
      </w:r>
      <w:r>
        <w:rPr>
          <w:spacing w:val="-3"/>
        </w:rPr>
        <w:t xml:space="preserve"> </w:t>
      </w:r>
      <w:r>
        <w:rPr>
          <w:spacing w:val="-2"/>
        </w:rPr>
        <w:t>ACT</w:t>
      </w:r>
      <w:r>
        <w:rPr>
          <w:spacing w:val="-5"/>
        </w:rPr>
        <w:t xml:space="preserve"> </w:t>
      </w:r>
      <w:r>
        <w:t>Government.</w:t>
      </w:r>
      <w:r>
        <w:rPr>
          <w:position w:val="7"/>
          <w:sz w:val="11"/>
        </w:rPr>
        <w:t>10</w:t>
      </w:r>
      <w:r>
        <w:rPr>
          <w:spacing w:val="23"/>
          <w:position w:val="7"/>
          <w:sz w:val="11"/>
        </w:rPr>
        <w:t xml:space="preserve"> </w:t>
      </w:r>
      <w:r>
        <w:t>Nor</w:t>
      </w:r>
      <w:r>
        <w:rPr>
          <w:spacing w:val="1"/>
        </w:rPr>
        <w:t xml:space="preserve"> </w:t>
      </w:r>
      <w:r>
        <w:t>does the</w:t>
      </w:r>
      <w:r>
        <w:rPr>
          <w:spacing w:val="1"/>
        </w:rPr>
        <w:t xml:space="preserve"> </w:t>
      </w:r>
      <w:r>
        <w:rPr>
          <w:spacing w:val="-3"/>
        </w:rPr>
        <w:t>Panel</w:t>
      </w:r>
      <w:r>
        <w:t xml:space="preserve"> judge</w:t>
      </w:r>
      <w:r>
        <w:rPr>
          <w:spacing w:val="1"/>
        </w:rPr>
        <w:t xml:space="preserve"> </w:t>
      </w:r>
      <w:r>
        <w:t>or decide</w:t>
      </w:r>
      <w:r>
        <w:rPr>
          <w:spacing w:val="1"/>
        </w:rPr>
        <w:t xml:space="preserve"> </w:t>
      </w:r>
      <w:r>
        <w:t>how</w:t>
      </w:r>
      <w:r>
        <w:rPr>
          <w:spacing w:val="-4"/>
        </w:rPr>
        <w:t xml:space="preserve"> </w:t>
      </w:r>
      <w:r>
        <w:rPr>
          <w:spacing w:val="-2"/>
        </w:rPr>
        <w:t xml:space="preserve">ACTEW </w:t>
      </w:r>
      <w:r>
        <w:t>should</w:t>
      </w:r>
      <w:r>
        <w:rPr>
          <w:spacing w:val="33"/>
        </w:rPr>
        <w:t xml:space="preserve"> </w:t>
      </w:r>
      <w:r>
        <w:t xml:space="preserve">manage its </w:t>
      </w:r>
      <w:r>
        <w:rPr>
          <w:spacing w:val="-1"/>
        </w:rPr>
        <w:t>water</w:t>
      </w:r>
      <w:r>
        <w:t xml:space="preserve"> business.</w:t>
      </w:r>
    </w:p>
    <w:p w:rsidR="00D96B91" w:rsidRDefault="00C2656B">
      <w:pPr>
        <w:pStyle w:val="BodyText"/>
        <w:numPr>
          <w:ilvl w:val="0"/>
          <w:numId w:val="131"/>
        </w:numPr>
        <w:tabs>
          <w:tab w:val="left" w:pos="1531"/>
        </w:tabs>
        <w:spacing w:before="85" w:line="260" w:lineRule="exact"/>
        <w:ind w:right="1270" w:hanging="283"/>
      </w:pPr>
      <w:r>
        <w:rPr>
          <w:rFonts w:cs="Avenir Next"/>
        </w:rPr>
        <w:t xml:space="preserve">While the </w:t>
      </w:r>
      <w:r>
        <w:rPr>
          <w:rFonts w:cs="Avenir Next"/>
          <w:spacing w:val="-3"/>
        </w:rPr>
        <w:t>Panel</w:t>
      </w:r>
      <w:r>
        <w:rPr>
          <w:rFonts w:cs="Avenir Next"/>
        </w:rPr>
        <w:t xml:space="preserve"> does have a </w:t>
      </w:r>
      <w:r>
        <w:rPr>
          <w:rFonts w:cs="Avenir Next"/>
          <w:spacing w:val="-1"/>
        </w:rPr>
        <w:t>mandate</w:t>
      </w:r>
      <w:r>
        <w:rPr>
          <w:rFonts w:cs="Avenir Next"/>
        </w:rPr>
        <w:t xml:space="preserve"> to </w:t>
      </w:r>
      <w:r>
        <w:rPr>
          <w:rFonts w:cs="Avenir Next"/>
          <w:spacing w:val="-1"/>
        </w:rPr>
        <w:t>examine</w:t>
      </w:r>
      <w:r>
        <w:rPr>
          <w:rFonts w:cs="Avenir Next"/>
        </w:rPr>
        <w:t xml:space="preserve"> whether</w:t>
      </w:r>
      <w:r>
        <w:rPr>
          <w:rFonts w:cs="Avenir Next"/>
          <w:spacing w:val="-4"/>
        </w:rPr>
        <w:t xml:space="preserve"> </w:t>
      </w:r>
      <w:r>
        <w:rPr>
          <w:rFonts w:cs="Avenir Next"/>
          <w:spacing w:val="-2"/>
        </w:rPr>
        <w:t>ACTEW’s</w:t>
      </w:r>
      <w:r>
        <w:rPr>
          <w:rFonts w:cs="Avenir Next"/>
        </w:rPr>
        <w:t xml:space="preserve"> </w:t>
      </w:r>
      <w:r>
        <w:rPr>
          <w:rFonts w:cs="Avenir Next"/>
          <w:spacing w:val="-1"/>
        </w:rPr>
        <w:t>overall</w:t>
      </w:r>
      <w:r>
        <w:rPr>
          <w:rFonts w:cs="Avenir Next"/>
        </w:rPr>
        <w:t xml:space="preserve"> level of</w:t>
      </w:r>
      <w:r>
        <w:rPr>
          <w:rFonts w:cs="Avenir Next"/>
          <w:spacing w:val="4"/>
        </w:rPr>
        <w:t xml:space="preserve"> </w:t>
      </w:r>
      <w:r>
        <w:rPr>
          <w:rFonts w:cs="Avenir Next"/>
          <w:spacing w:val="-1"/>
        </w:rPr>
        <w:t>expenditure</w:t>
      </w:r>
      <w:r>
        <w:rPr>
          <w:rFonts w:cs="Avenir Next"/>
        </w:rPr>
        <w:t xml:space="preserve"> is</w:t>
      </w:r>
      <w:r>
        <w:rPr>
          <w:rFonts w:cs="Avenir Next"/>
          <w:spacing w:val="45"/>
        </w:rPr>
        <w:t xml:space="preserve"> </w:t>
      </w:r>
      <w:r>
        <w:t>prudent</w:t>
      </w:r>
      <w:r>
        <w:rPr>
          <w:spacing w:val="-1"/>
        </w:rPr>
        <w:t xml:space="preserve"> </w:t>
      </w:r>
      <w:r>
        <w:t xml:space="preserve">and </w:t>
      </w:r>
      <w:r>
        <w:rPr>
          <w:spacing w:val="-1"/>
        </w:rPr>
        <w:t xml:space="preserve">efficient </w:t>
      </w:r>
      <w:r>
        <w:t>(which may be</w:t>
      </w:r>
      <w:r>
        <w:rPr>
          <w:spacing w:val="-1"/>
        </w:rPr>
        <w:t xml:space="preserve"> </w:t>
      </w:r>
      <w:r>
        <w:t>judged by looking</w:t>
      </w:r>
      <w:r>
        <w:rPr>
          <w:spacing w:val="-1"/>
        </w:rPr>
        <w:t xml:space="preserve"> </w:t>
      </w:r>
      <w:r>
        <w:rPr>
          <w:spacing w:val="-2"/>
        </w:rPr>
        <w:t>at</w:t>
      </w:r>
      <w:r>
        <w:t xml:space="preserve"> </w:t>
      </w:r>
      <w:r>
        <w:rPr>
          <w:spacing w:val="-1"/>
        </w:rPr>
        <w:t>relevant benchmarks),</w:t>
      </w:r>
      <w:r>
        <w:rPr>
          <w:spacing w:val="-6"/>
        </w:rPr>
        <w:t xml:space="preserve"> </w:t>
      </w:r>
      <w:r>
        <w:t>it is</w:t>
      </w:r>
      <w:r>
        <w:rPr>
          <w:spacing w:val="-1"/>
        </w:rPr>
        <w:t xml:space="preserve"> </w:t>
      </w:r>
      <w:r>
        <w:t xml:space="preserve">not </w:t>
      </w:r>
      <w:r>
        <w:rPr>
          <w:spacing w:val="-1"/>
        </w:rPr>
        <w:t>appropriate</w:t>
      </w:r>
      <w:r>
        <w:rPr>
          <w:spacing w:val="51"/>
        </w:rPr>
        <w:t xml:space="preserve"> </w:t>
      </w:r>
      <w:r>
        <w:t>for</w:t>
      </w:r>
      <w:r>
        <w:rPr>
          <w:spacing w:val="-1"/>
        </w:rPr>
        <w:t xml:space="preserve"> </w:t>
      </w:r>
      <w:r>
        <w:t>it to tell</w:t>
      </w:r>
      <w:r>
        <w:rPr>
          <w:spacing w:val="-5"/>
        </w:rPr>
        <w:t xml:space="preserve"> </w:t>
      </w:r>
      <w:r>
        <w:rPr>
          <w:spacing w:val="-2"/>
        </w:rPr>
        <w:t>ACTEW</w:t>
      </w:r>
      <w:r>
        <w:rPr>
          <w:spacing w:val="-3"/>
        </w:rPr>
        <w:t xml:space="preserve"> </w:t>
      </w:r>
      <w:r>
        <w:rPr>
          <w:spacing w:val="-1"/>
        </w:rPr>
        <w:t>exactly</w:t>
      </w:r>
      <w:r>
        <w:t xml:space="preserve"> </w:t>
      </w:r>
      <w:r>
        <w:rPr>
          <w:spacing w:val="-1"/>
        </w:rPr>
        <w:t xml:space="preserve">what </w:t>
      </w:r>
      <w:r>
        <w:t>it should spend</w:t>
      </w:r>
      <w:r>
        <w:rPr>
          <w:spacing w:val="-1"/>
        </w:rPr>
        <w:t xml:space="preserve"> </w:t>
      </w:r>
      <w:r>
        <w:t>on individual items</w:t>
      </w:r>
      <w:r>
        <w:rPr>
          <w:spacing w:val="-1"/>
        </w:rPr>
        <w:t xml:space="preserve"> </w:t>
      </w:r>
      <w:r>
        <w:t>to achieve these</w:t>
      </w:r>
      <w:r>
        <w:rPr>
          <w:spacing w:val="-1"/>
        </w:rPr>
        <w:t xml:space="preserve"> efficient</w:t>
      </w:r>
      <w:r>
        <w:t xml:space="preserve"> and</w:t>
      </w:r>
      <w:r>
        <w:rPr>
          <w:spacing w:val="33"/>
        </w:rPr>
        <w:t xml:space="preserve"> </w:t>
      </w:r>
      <w:r>
        <w:t xml:space="preserve">prudent </w:t>
      </w:r>
      <w:r>
        <w:rPr>
          <w:spacing w:val="-1"/>
        </w:rPr>
        <w:t>expenditure</w:t>
      </w:r>
      <w:r>
        <w:t xml:space="preserve"> levels.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3"/>
        <w:rPr>
          <w:rFonts w:ascii="Avenir Next" w:eastAsia="Avenir Next" w:hAnsi="Avenir Next" w:cs="Avenir Next"/>
          <w:sz w:val="23"/>
          <w:szCs w:val="2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66" style="width:72.5pt;height:.5pt;mso-position-horizontal-relative:char;mso-position-vertical-relative:line" coordsize="1450,10">
            <v:group id="_x0000_s3367" style="position:absolute;left:5;top:5;width:1440;height:2" coordorigin="5,5" coordsize="1440,2">
              <v:shape id="_x0000_s3368" style="position:absolute;left:5;top:5;width:1440;height:2" coordorigin="5,5" coordsize="1440,0" path="m5,5r1440,e" filled="f" strokeweight=".5pt">
                <v:path arrowok="t"/>
              </v:shape>
            </v:group>
            <w10:wrap type="none"/>
            <w10:anchorlock/>
          </v:group>
        </w:pict>
      </w:r>
    </w:p>
    <w:p w:rsidR="00D96B91" w:rsidRDefault="00C2656B">
      <w:pPr>
        <w:numPr>
          <w:ilvl w:val="0"/>
          <w:numId w:val="121"/>
        </w:numPr>
        <w:tabs>
          <w:tab w:val="left" w:pos="1758"/>
        </w:tabs>
        <w:spacing w:before="45" w:line="192" w:lineRule="exact"/>
        <w:ind w:right="1299" w:hanging="510"/>
        <w:rPr>
          <w:rFonts w:ascii="Avenir Next" w:eastAsia="Avenir Next" w:hAnsi="Avenir Next" w:cs="Avenir Next"/>
          <w:sz w:val="16"/>
          <w:szCs w:val="16"/>
        </w:rPr>
      </w:pPr>
      <w:r>
        <w:rPr>
          <w:rFonts w:ascii="Avenir Next"/>
          <w:sz w:val="16"/>
        </w:rPr>
        <w:t xml:space="preserve">In </w:t>
      </w:r>
      <w:r>
        <w:rPr>
          <w:rFonts w:ascii="Avenir Next"/>
          <w:spacing w:val="-1"/>
          <w:sz w:val="16"/>
        </w:rPr>
        <w:t>relation</w:t>
      </w:r>
      <w:r>
        <w:rPr>
          <w:rFonts w:ascii="Avenir Next"/>
          <w:sz w:val="16"/>
        </w:rPr>
        <w:t xml:space="preserve"> to governance,</w:t>
      </w:r>
      <w:r>
        <w:rPr>
          <w:rFonts w:ascii="Avenir Next"/>
          <w:spacing w:val="-5"/>
          <w:sz w:val="16"/>
        </w:rPr>
        <w:t xml:space="preserve"> </w:t>
      </w:r>
      <w:r>
        <w:rPr>
          <w:rFonts w:ascii="Avenir Next"/>
          <w:sz w:val="16"/>
        </w:rPr>
        <w:t xml:space="preserve">the </w:t>
      </w:r>
      <w:r>
        <w:rPr>
          <w:rFonts w:ascii="Avenir Next"/>
          <w:spacing w:val="-2"/>
          <w:sz w:val="16"/>
        </w:rPr>
        <w:t>Panel</w:t>
      </w:r>
      <w:r>
        <w:rPr>
          <w:rFonts w:ascii="Avenir Next"/>
          <w:sz w:val="16"/>
        </w:rPr>
        <w:t xml:space="preserve"> notes </w:t>
      </w:r>
      <w:r>
        <w:rPr>
          <w:rFonts w:ascii="Avenir Next"/>
          <w:spacing w:val="-1"/>
          <w:sz w:val="16"/>
        </w:rPr>
        <w:t>that</w:t>
      </w:r>
      <w:r>
        <w:rPr>
          <w:rFonts w:ascii="Avenir Next"/>
          <w:sz w:val="16"/>
        </w:rPr>
        <w:t xml:space="preserve"> an 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the institutional </w:t>
      </w:r>
      <w:r>
        <w:rPr>
          <w:rFonts w:ascii="Avenir Next"/>
          <w:spacing w:val="-1"/>
          <w:sz w:val="16"/>
        </w:rPr>
        <w:t>arrangements</w:t>
      </w:r>
      <w:r>
        <w:rPr>
          <w:rFonts w:ascii="Avenir Next"/>
          <w:sz w:val="16"/>
        </w:rPr>
        <w:t xml:space="preserve"> </w:t>
      </w:r>
      <w:r>
        <w:rPr>
          <w:rFonts w:ascii="Avenir Next"/>
          <w:spacing w:val="-1"/>
          <w:sz w:val="16"/>
        </w:rPr>
        <w:t>relating</w:t>
      </w:r>
      <w:r>
        <w:rPr>
          <w:rFonts w:ascii="Avenir Next"/>
          <w:sz w:val="16"/>
        </w:rPr>
        <w:t xml:space="preserve"> to</w:t>
      </w:r>
      <w:r>
        <w:rPr>
          <w:rFonts w:ascii="Avenir Next"/>
          <w:spacing w:val="-3"/>
          <w:sz w:val="16"/>
        </w:rPr>
        <w:t xml:space="preserve"> </w:t>
      </w:r>
      <w:r>
        <w:rPr>
          <w:rFonts w:ascii="Avenir Next"/>
          <w:spacing w:val="-1"/>
          <w:sz w:val="16"/>
        </w:rPr>
        <w:t>ACTEW</w:t>
      </w:r>
      <w:r>
        <w:rPr>
          <w:rFonts w:ascii="Avenir Next"/>
          <w:spacing w:val="45"/>
          <w:sz w:val="16"/>
        </w:rPr>
        <w:t xml:space="preserve"> </w:t>
      </w:r>
      <w:r>
        <w:rPr>
          <w:rFonts w:ascii="Avenir Next"/>
          <w:sz w:val="16"/>
        </w:rPr>
        <w:t xml:space="preserve">was completed by Dr Bruce </w:t>
      </w:r>
      <w:r>
        <w:rPr>
          <w:rFonts w:ascii="Avenir Next"/>
          <w:spacing w:val="-1"/>
          <w:sz w:val="16"/>
        </w:rPr>
        <w:t>Cohen</w:t>
      </w:r>
      <w:r>
        <w:rPr>
          <w:rFonts w:ascii="Avenir Next"/>
          <w:sz w:val="16"/>
        </w:rPr>
        <w:t xml:space="preserve"> in December 2013.</w:t>
      </w:r>
      <w:r>
        <w:rPr>
          <w:rFonts w:ascii="Avenir Next"/>
          <w:spacing w:val="-9"/>
          <w:sz w:val="16"/>
        </w:rPr>
        <w:t xml:space="preserve"> </w:t>
      </w:r>
      <w:hyperlink r:id="rId45">
        <w:r>
          <w:rPr>
            <w:rFonts w:ascii="Avenir Next"/>
            <w:spacing w:val="-1"/>
            <w:sz w:val="16"/>
          </w:rPr>
          <w:t>This</w:t>
        </w:r>
        <w:r>
          <w:rPr>
            <w:rFonts w:ascii="Avenir Next"/>
            <w:sz w:val="16"/>
          </w:rPr>
          <w:t xml:space="preserve"> </w:t>
        </w:r>
        <w:r>
          <w:rPr>
            <w:rFonts w:ascii="Avenir Next"/>
            <w:spacing w:val="-1"/>
            <w:sz w:val="16"/>
          </w:rPr>
          <w:t>review</w:t>
        </w:r>
        <w:r>
          <w:rPr>
            <w:rFonts w:ascii="Avenir Next"/>
            <w:sz w:val="16"/>
          </w:rPr>
          <w:t xml:space="preserve"> contained 22 </w:t>
        </w:r>
        <w:r>
          <w:rPr>
            <w:rFonts w:ascii="Avenir Next"/>
            <w:spacing w:val="-1"/>
            <w:sz w:val="16"/>
          </w:rPr>
          <w:t>recommendations</w:t>
        </w:r>
      </w:hyperlink>
      <w:r>
        <w:rPr>
          <w:rFonts w:ascii="Avenir Next"/>
          <w:spacing w:val="-1"/>
          <w:sz w:val="16"/>
        </w:rPr>
        <w:t>,</w:t>
      </w:r>
      <w:r>
        <w:rPr>
          <w:rFonts w:ascii="Avenir Next"/>
          <w:spacing w:val="-5"/>
          <w:sz w:val="16"/>
        </w:rPr>
        <w:t xml:space="preserve"> </w:t>
      </w:r>
      <w:r>
        <w:rPr>
          <w:rFonts w:ascii="Avenir Next"/>
          <w:sz w:val="16"/>
        </w:rPr>
        <w:t xml:space="preserve">including some </w:t>
      </w:r>
      <w:r>
        <w:rPr>
          <w:rFonts w:ascii="Avenir Next"/>
          <w:spacing w:val="-1"/>
          <w:sz w:val="16"/>
        </w:rPr>
        <w:t>that</w:t>
      </w:r>
      <w:r>
        <w:rPr>
          <w:rFonts w:ascii="Avenir Next"/>
          <w:spacing w:val="41"/>
          <w:sz w:val="16"/>
        </w:rPr>
        <w:t xml:space="preserve"> </w:t>
      </w:r>
      <w:r>
        <w:rPr>
          <w:rFonts w:ascii="Avenir Next"/>
          <w:spacing w:val="-1"/>
          <w:sz w:val="16"/>
        </w:rPr>
        <w:t xml:space="preserve">covered </w:t>
      </w:r>
      <w:r>
        <w:rPr>
          <w:rFonts w:ascii="Avenir Next"/>
          <w:sz w:val="16"/>
        </w:rPr>
        <w:t xml:space="preserve">financial </w:t>
      </w:r>
      <w:r>
        <w:rPr>
          <w:rFonts w:ascii="Avenir Next"/>
          <w:spacing w:val="-1"/>
          <w:sz w:val="16"/>
        </w:rPr>
        <w:t xml:space="preserve">interactions </w:t>
      </w:r>
      <w:r>
        <w:rPr>
          <w:rFonts w:ascii="Avenir Next"/>
          <w:sz w:val="16"/>
        </w:rPr>
        <w:t>between</w:t>
      </w:r>
      <w:r>
        <w:rPr>
          <w:rFonts w:ascii="Avenir Next"/>
          <w:spacing w:val="-3"/>
          <w:sz w:val="16"/>
        </w:rPr>
        <w:t xml:space="preserve"> </w:t>
      </w:r>
      <w:r>
        <w:rPr>
          <w:rFonts w:ascii="Avenir Next"/>
          <w:spacing w:val="-1"/>
          <w:sz w:val="16"/>
        </w:rPr>
        <w:t>ACTEW</w:t>
      </w:r>
      <w:r>
        <w:rPr>
          <w:rFonts w:ascii="Avenir Next"/>
          <w:spacing w:val="-3"/>
          <w:sz w:val="16"/>
        </w:rPr>
        <w:t xml:space="preserve"> </w:t>
      </w:r>
      <w:r>
        <w:rPr>
          <w:rFonts w:ascii="Avenir Next"/>
          <w:sz w:val="16"/>
        </w:rPr>
        <w:t>and the</w:t>
      </w:r>
      <w:r>
        <w:rPr>
          <w:rFonts w:ascii="Avenir Next"/>
          <w:spacing w:val="-3"/>
          <w:sz w:val="16"/>
        </w:rPr>
        <w:t xml:space="preserve"> </w:t>
      </w:r>
      <w:r>
        <w:rPr>
          <w:rFonts w:ascii="Avenir Next"/>
          <w:spacing w:val="-2"/>
          <w:sz w:val="16"/>
        </w:rPr>
        <w:t>ACT</w:t>
      </w:r>
      <w:r>
        <w:rPr>
          <w:rFonts w:ascii="Avenir Next"/>
          <w:spacing w:val="-5"/>
          <w:sz w:val="16"/>
        </w:rPr>
        <w:t xml:space="preserve"> </w:t>
      </w:r>
      <w:r>
        <w:rPr>
          <w:rFonts w:ascii="Avenir Next"/>
          <w:sz w:val="16"/>
        </w:rPr>
        <w:t>Government,</w:t>
      </w:r>
      <w:r>
        <w:rPr>
          <w:rFonts w:ascii="Avenir Next"/>
          <w:spacing w:val="-5"/>
          <w:sz w:val="16"/>
        </w:rPr>
        <w:t xml:space="preserve"> </w:t>
      </w:r>
      <w:r>
        <w:rPr>
          <w:rFonts w:ascii="Avenir Next"/>
          <w:sz w:val="16"/>
        </w:rPr>
        <w:t>such as</w:t>
      </w:r>
      <w:r>
        <w:rPr>
          <w:rFonts w:ascii="Avenir Next"/>
          <w:spacing w:val="-1"/>
          <w:sz w:val="16"/>
        </w:rPr>
        <w:t xml:space="preserve"> </w:t>
      </w:r>
      <w:r>
        <w:rPr>
          <w:rFonts w:ascii="Avenir Next"/>
          <w:sz w:val="16"/>
        </w:rPr>
        <w:t>dividends and</w:t>
      </w:r>
      <w:r>
        <w:rPr>
          <w:rFonts w:ascii="Avenir Next"/>
          <w:spacing w:val="-1"/>
          <w:sz w:val="16"/>
        </w:rPr>
        <w:t xml:space="preserve"> charges</w:t>
      </w:r>
      <w:r>
        <w:rPr>
          <w:rFonts w:ascii="Avenir Next"/>
          <w:sz w:val="16"/>
        </w:rPr>
        <w:t xml:space="preserve"> for</w:t>
      </w:r>
      <w:r>
        <w:rPr>
          <w:rFonts w:ascii="Avenir Next"/>
          <w:spacing w:val="-1"/>
          <w:sz w:val="16"/>
        </w:rPr>
        <w:t xml:space="preserve"> </w:t>
      </w:r>
      <w:r>
        <w:rPr>
          <w:rFonts w:ascii="Avenir Next"/>
          <w:sz w:val="16"/>
        </w:rPr>
        <w:t>government</w:t>
      </w:r>
      <w:r>
        <w:rPr>
          <w:rFonts w:ascii="Avenir Next"/>
          <w:spacing w:val="43"/>
          <w:sz w:val="16"/>
        </w:rPr>
        <w:t xml:space="preserve"> </w:t>
      </w:r>
      <w:r>
        <w:rPr>
          <w:rFonts w:ascii="Avenir Next"/>
          <w:spacing w:val="-1"/>
          <w:sz w:val="16"/>
        </w:rPr>
        <w:t>borrowings.</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417" w:hanging="170"/>
        <w:rPr>
          <w:rFonts w:ascii="Avenir Next" w:eastAsia="Avenir Next" w:hAnsi="Avenir Next" w:cs="Avenir Next"/>
          <w:sz w:val="20"/>
          <w:szCs w:val="20"/>
        </w:rPr>
      </w:pPr>
      <w:bookmarkStart w:id="24" w:name="3._2_Implications_of_the_Competition_Pri"/>
      <w:bookmarkStart w:id="25" w:name="_bookmark12"/>
      <w:bookmarkEnd w:id="24"/>
      <w:bookmarkEnd w:id="25"/>
      <w:r>
        <w:rPr>
          <w:rFonts w:ascii="Avenir Next"/>
          <w:b/>
          <w:spacing w:val="-1"/>
          <w:sz w:val="20"/>
        </w:rPr>
        <w:t>Box</w:t>
      </w:r>
      <w:r>
        <w:rPr>
          <w:rFonts w:ascii="Avenir Next"/>
          <w:b/>
          <w:sz w:val="20"/>
        </w:rPr>
        <w:t xml:space="preserve"> 3.1: </w:t>
      </w:r>
      <w:r>
        <w:rPr>
          <w:rFonts w:ascii="Avenir Next"/>
          <w:b/>
          <w:spacing w:val="-1"/>
          <w:sz w:val="20"/>
        </w:rPr>
        <w:t>Roles</w:t>
      </w:r>
      <w:r>
        <w:rPr>
          <w:rFonts w:ascii="Avenir Next"/>
          <w:b/>
          <w:sz w:val="20"/>
        </w:rPr>
        <w:t xml:space="preserve"> and </w:t>
      </w:r>
      <w:r>
        <w:rPr>
          <w:rFonts w:ascii="Avenir Next"/>
          <w:b/>
          <w:spacing w:val="-1"/>
          <w:sz w:val="20"/>
        </w:rPr>
        <w:t>responsibilities</w:t>
      </w:r>
      <w:r>
        <w:rPr>
          <w:rFonts w:ascii="Avenir Next"/>
          <w:b/>
          <w:sz w:val="20"/>
        </w:rPr>
        <w:t xml:space="preserve"> of</w:t>
      </w:r>
      <w:r>
        <w:rPr>
          <w:rFonts w:ascii="Avenir Next"/>
          <w:b/>
          <w:spacing w:val="4"/>
          <w:sz w:val="20"/>
        </w:rPr>
        <w:t xml:space="preserve"> </w:t>
      </w:r>
      <w:r>
        <w:rPr>
          <w:rFonts w:ascii="Avenir Next"/>
          <w:b/>
          <w:spacing w:val="-1"/>
          <w:sz w:val="20"/>
        </w:rPr>
        <w:t>different</w:t>
      </w:r>
      <w:r>
        <w:rPr>
          <w:rFonts w:ascii="Avenir Next"/>
          <w:b/>
          <w:sz w:val="20"/>
        </w:rPr>
        <w:t xml:space="preserve"> </w:t>
      </w:r>
      <w:r>
        <w:rPr>
          <w:rFonts w:ascii="Avenir Next"/>
          <w:b/>
          <w:spacing w:val="-1"/>
          <w:sz w:val="20"/>
        </w:rPr>
        <w:t>participants</w:t>
      </w:r>
      <w:r>
        <w:rPr>
          <w:rFonts w:ascii="Avenir Next"/>
          <w:b/>
          <w:sz w:val="20"/>
        </w:rPr>
        <w:t xml:space="preserve"> in the </w:t>
      </w:r>
      <w:r>
        <w:rPr>
          <w:rFonts w:ascii="Avenir Next"/>
          <w:b/>
          <w:spacing w:val="-1"/>
          <w:sz w:val="20"/>
        </w:rPr>
        <w:t>regulatory</w:t>
      </w:r>
      <w:r>
        <w:rPr>
          <w:rFonts w:ascii="Avenir Next"/>
          <w:b/>
          <w:sz w:val="20"/>
        </w:rPr>
        <w:t xml:space="preserve"> system</w:t>
      </w:r>
    </w:p>
    <w:p w:rsidR="00D96B91" w:rsidRDefault="00255AC1">
      <w:pPr>
        <w:spacing w:before="8"/>
        <w:rPr>
          <w:rFonts w:ascii="Avenir Next" w:eastAsia="Avenir Next" w:hAnsi="Avenir Next" w:cs="Avenir Next"/>
          <w:b/>
          <w:bCs/>
          <w:sz w:val="18"/>
          <w:szCs w:val="18"/>
        </w:rPr>
      </w:pPr>
      <w:r w:rsidRPr="00D96B91">
        <w:pict>
          <v:group id="_x0000_s3364" style="position:absolute;margin-left:62.35pt;margin-top:6.35pt;width:470.55pt;height:438.95pt;z-index:-251744768;mso-position-horizontal-relative:page" coordorigin="1247,386" coordsize="9411,8413">
            <v:shape id="_x0000_s3365" style="position:absolute;left:1247;top:386;width:9411;height:8413" coordorigin="1247,386" coordsize="9411,8413" path="m1247,8798r9411,l10658,386r-9411,l1247,8798xe" fillcolor="#dff3fd" stroked="f">
              <v:path arrowok="t"/>
            </v:shape>
            <w10:wrap anchorx="page"/>
          </v:group>
        </w:pict>
      </w:r>
    </w:p>
    <w:p w:rsidR="00D96B91" w:rsidRDefault="00C2656B">
      <w:pPr>
        <w:ind w:left="1417"/>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b/>
          <w:bCs/>
          <w:spacing w:val="-3"/>
          <w:sz w:val="20"/>
          <w:szCs w:val="20"/>
        </w:rPr>
        <w:t>Government’s</w:t>
      </w:r>
      <w:r>
        <w:rPr>
          <w:rFonts w:ascii="Avenir Next Condensed" w:eastAsia="Avenir Next Condensed" w:hAnsi="Avenir Next Condensed" w:cs="Avenir Next Condensed"/>
          <w:b/>
          <w:bCs/>
          <w:spacing w:val="-6"/>
          <w:sz w:val="20"/>
          <w:szCs w:val="20"/>
        </w:rPr>
        <w:t xml:space="preserve"> </w:t>
      </w:r>
      <w:r>
        <w:rPr>
          <w:rFonts w:ascii="Avenir Next Condensed" w:eastAsia="Avenir Next Condensed" w:hAnsi="Avenir Next Condensed" w:cs="Avenir Next Condensed"/>
          <w:spacing w:val="-2"/>
          <w:sz w:val="20"/>
          <w:szCs w:val="20"/>
        </w:rPr>
        <w:t>role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w:t>
      </w:r>
    </w:p>
    <w:p w:rsidR="00D96B91" w:rsidRDefault="00C2656B">
      <w:pPr>
        <w:pStyle w:val="BodyText"/>
        <w:numPr>
          <w:ilvl w:val="1"/>
          <w:numId w:val="121"/>
        </w:numPr>
        <w:tabs>
          <w:tab w:val="left" w:pos="1645"/>
        </w:tabs>
        <w:spacing w:before="100"/>
        <w:rPr>
          <w:rFonts w:ascii="Avenir Next Condensed" w:eastAsia="Avenir Next Condensed" w:hAnsi="Avenir Next Condensed" w:cs="Avenir Next Condensed"/>
        </w:rPr>
      </w:pPr>
      <w:r>
        <w:rPr>
          <w:rFonts w:ascii="Avenir Next Condensed"/>
          <w:spacing w:val="-2"/>
        </w:rPr>
        <w:t>set</w:t>
      </w:r>
      <w:r>
        <w:rPr>
          <w:rFonts w:ascii="Avenir Next Condensed"/>
          <w:spacing w:val="-4"/>
        </w:rPr>
        <w:t xml:space="preserve"> </w:t>
      </w:r>
      <w:r>
        <w:rPr>
          <w:rFonts w:ascii="Avenir Next Condensed"/>
          <w:spacing w:val="-2"/>
        </w:rPr>
        <w:t>objectives</w:t>
      </w:r>
      <w:r>
        <w:rPr>
          <w:rFonts w:ascii="Avenir Next Condensed"/>
          <w:spacing w:val="-4"/>
        </w:rPr>
        <w:t xml:space="preserve"> </w:t>
      </w:r>
      <w:r>
        <w:rPr>
          <w:rFonts w:ascii="Avenir Next Condensed"/>
          <w:spacing w:val="-2"/>
        </w:rPr>
        <w:t>for</w:t>
      </w:r>
      <w:r>
        <w:rPr>
          <w:rFonts w:ascii="Avenir Next Condensed"/>
          <w:spacing w:val="-4"/>
        </w:rPr>
        <w:t xml:space="preserve"> </w:t>
      </w:r>
      <w:r>
        <w:rPr>
          <w:rFonts w:ascii="Avenir Next Condensed"/>
          <w:spacing w:val="-2"/>
        </w:rPr>
        <w:t>the</w:t>
      </w:r>
      <w:r>
        <w:rPr>
          <w:rFonts w:ascii="Avenir Next Condensed"/>
          <w:spacing w:val="-4"/>
        </w:rPr>
        <w:t xml:space="preserve"> </w:t>
      </w:r>
      <w:r>
        <w:rPr>
          <w:rFonts w:ascii="Avenir Next Condensed"/>
          <w:spacing w:val="-2"/>
        </w:rPr>
        <w:t>development</w:t>
      </w:r>
      <w:r>
        <w:rPr>
          <w:rFonts w:ascii="Avenir Next Condensed"/>
          <w:spacing w:val="-4"/>
        </w:rPr>
        <w:t xml:space="preserve"> </w:t>
      </w:r>
      <w:r>
        <w:rPr>
          <w:rFonts w:ascii="Avenir Next Condensed"/>
          <w:spacing w:val="-1"/>
        </w:rPr>
        <w:t>of</w:t>
      </w:r>
      <w:r>
        <w:rPr>
          <w:rFonts w:ascii="Avenir Next Condensed"/>
        </w:rPr>
        <w:t xml:space="preserve"> </w:t>
      </w:r>
      <w:r>
        <w:rPr>
          <w:rFonts w:ascii="Avenir Next Condensed"/>
          <w:spacing w:val="-2"/>
        </w:rPr>
        <w:t>water</w:t>
      </w:r>
      <w:r>
        <w:rPr>
          <w:rFonts w:ascii="Avenir Next Condensed"/>
          <w:spacing w:val="-4"/>
        </w:rPr>
        <w:t xml:space="preserve"> </w:t>
      </w:r>
      <w:r>
        <w:rPr>
          <w:rFonts w:ascii="Avenir Next Condensed"/>
          <w:spacing w:val="-2"/>
        </w:rPr>
        <w:t>policy</w:t>
      </w:r>
    </w:p>
    <w:p w:rsidR="00D96B91" w:rsidRDefault="00C2656B">
      <w:pPr>
        <w:pStyle w:val="BodyText"/>
        <w:numPr>
          <w:ilvl w:val="1"/>
          <w:numId w:val="121"/>
        </w:numPr>
        <w:tabs>
          <w:tab w:val="left" w:pos="1645"/>
        </w:tabs>
        <w:spacing w:before="35" w:line="260" w:lineRule="exact"/>
        <w:ind w:right="1605"/>
        <w:rPr>
          <w:rFonts w:ascii="Avenir Next Condensed" w:eastAsia="Avenir Next Condensed" w:hAnsi="Avenir Next Condensed" w:cs="Avenir Next Condensed"/>
        </w:rPr>
      </w:pPr>
      <w:r>
        <w:rPr>
          <w:rFonts w:ascii="Avenir Next Condensed"/>
          <w:spacing w:val="-2"/>
        </w:rPr>
        <w:t>develop</w:t>
      </w:r>
      <w:r>
        <w:rPr>
          <w:rFonts w:ascii="Avenir Next Condensed"/>
          <w:spacing w:val="-4"/>
        </w:rPr>
        <w:t xml:space="preserve"> </w:t>
      </w:r>
      <w:r>
        <w:rPr>
          <w:rFonts w:ascii="Avenir Next Condensed"/>
          <w:spacing w:val="-2"/>
        </w:rPr>
        <w:t>best-practice</w:t>
      </w:r>
      <w:r>
        <w:rPr>
          <w:rFonts w:ascii="Avenir Next Condensed"/>
          <w:spacing w:val="-4"/>
        </w:rPr>
        <w:t xml:space="preserve"> </w:t>
      </w:r>
      <w:r>
        <w:rPr>
          <w:rFonts w:ascii="Avenir Next Condensed"/>
          <w:spacing w:val="-2"/>
        </w:rPr>
        <w:t>policy</w:t>
      </w:r>
      <w:r>
        <w:rPr>
          <w:rFonts w:ascii="Avenir Next Condensed"/>
          <w:spacing w:val="-4"/>
        </w:rPr>
        <w:t xml:space="preserve"> </w:t>
      </w:r>
      <w:r>
        <w:rPr>
          <w:rFonts w:ascii="Avenir Next Condensed"/>
          <w:spacing w:val="-3"/>
        </w:rPr>
        <w:t>frameworks</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principles</w:t>
      </w:r>
      <w:r>
        <w:rPr>
          <w:rFonts w:ascii="Avenir Next Condensed"/>
          <w:spacing w:val="-4"/>
        </w:rPr>
        <w:t xml:space="preserve"> </w:t>
      </w:r>
      <w:r>
        <w:rPr>
          <w:rFonts w:ascii="Avenir Next Condensed"/>
          <w:spacing w:val="-1"/>
        </w:rPr>
        <w:t>in</w:t>
      </w:r>
      <w:r>
        <w:rPr>
          <w:rFonts w:ascii="Avenir Next Condensed"/>
          <w:spacing w:val="-4"/>
        </w:rPr>
        <w:t xml:space="preserve"> </w:t>
      </w:r>
      <w:r>
        <w:rPr>
          <w:rFonts w:ascii="Avenir Next Condensed"/>
          <w:spacing w:val="-2"/>
        </w:rPr>
        <w:t>relation</w:t>
      </w:r>
      <w:r>
        <w:rPr>
          <w:rFonts w:ascii="Avenir Next Condensed"/>
          <w:spacing w:val="-4"/>
        </w:rPr>
        <w:t xml:space="preserve"> </w:t>
      </w:r>
      <w:r>
        <w:rPr>
          <w:rFonts w:ascii="Avenir Next Condensed"/>
          <w:spacing w:val="-1"/>
        </w:rPr>
        <w:t>to</w:t>
      </w:r>
      <w:r>
        <w:rPr>
          <w:rFonts w:ascii="Avenir Next Condensed"/>
          <w:spacing w:val="-4"/>
        </w:rPr>
        <w:t xml:space="preserve"> </w:t>
      </w:r>
      <w:r>
        <w:rPr>
          <w:rFonts w:ascii="Avenir Next Condensed"/>
          <w:spacing w:val="-2"/>
        </w:rPr>
        <w:t>public</w:t>
      </w:r>
      <w:r>
        <w:rPr>
          <w:rFonts w:ascii="Avenir Next Condensed"/>
          <w:spacing w:val="-4"/>
        </w:rPr>
        <w:t xml:space="preserve"> </w:t>
      </w:r>
      <w:r>
        <w:rPr>
          <w:rFonts w:ascii="Avenir Next Condensed"/>
          <w:spacing w:val="-2"/>
        </w:rPr>
        <w:t>health,</w:t>
      </w:r>
      <w:r>
        <w:rPr>
          <w:rFonts w:ascii="Avenir Next Condensed"/>
          <w:spacing w:val="-10"/>
        </w:rPr>
        <w:t xml:space="preserve"> </w:t>
      </w:r>
      <w:r>
        <w:rPr>
          <w:rFonts w:ascii="Avenir Next Condensed"/>
          <w:spacing w:val="-2"/>
        </w:rPr>
        <w:t>the</w:t>
      </w:r>
      <w:r>
        <w:rPr>
          <w:rFonts w:ascii="Avenir Next Condensed"/>
          <w:spacing w:val="-4"/>
        </w:rPr>
        <w:t xml:space="preserve"> </w:t>
      </w:r>
      <w:r>
        <w:rPr>
          <w:rFonts w:ascii="Avenir Next Condensed"/>
          <w:spacing w:val="-2"/>
        </w:rPr>
        <w:t>environment</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service</w:t>
      </w:r>
      <w:r>
        <w:rPr>
          <w:rFonts w:ascii="Avenir Next Condensed"/>
          <w:spacing w:val="-4"/>
        </w:rPr>
        <w:t xml:space="preserve"> </w:t>
      </w:r>
      <w:r>
        <w:rPr>
          <w:rFonts w:ascii="Avenir Next Condensed"/>
          <w:spacing w:val="-2"/>
        </w:rPr>
        <w:t>delivery</w:t>
      </w:r>
      <w:r>
        <w:rPr>
          <w:rFonts w:ascii="Avenir Next Condensed"/>
          <w:spacing w:val="-4"/>
        </w:rPr>
        <w:t xml:space="preserve"> </w:t>
      </w:r>
      <w:r>
        <w:rPr>
          <w:rFonts w:ascii="Avenir Next Condensed"/>
          <w:spacing w:val="-2"/>
        </w:rPr>
        <w:t>that</w:t>
      </w:r>
      <w:r>
        <w:rPr>
          <w:rFonts w:ascii="Avenir Next Condensed"/>
          <w:spacing w:val="-4"/>
        </w:rPr>
        <w:t xml:space="preserve"> </w:t>
      </w:r>
      <w:r>
        <w:rPr>
          <w:rFonts w:ascii="Avenir Next Condensed"/>
          <w:spacing w:val="-2"/>
        </w:rPr>
        <w:t>are</w:t>
      </w:r>
      <w:r>
        <w:rPr>
          <w:rFonts w:ascii="Avenir Next Condensed"/>
          <w:spacing w:val="58"/>
        </w:rPr>
        <w:t xml:space="preserve"> </w:t>
      </w:r>
      <w:r>
        <w:rPr>
          <w:rFonts w:ascii="Avenir Next Condensed"/>
          <w:spacing w:val="-2"/>
        </w:rPr>
        <w:t>consistent</w:t>
      </w:r>
      <w:r>
        <w:rPr>
          <w:rFonts w:ascii="Avenir Next Condensed"/>
          <w:spacing w:val="-4"/>
        </w:rPr>
        <w:t xml:space="preserve"> </w:t>
      </w:r>
      <w:r>
        <w:rPr>
          <w:rFonts w:ascii="Avenir Next Condensed"/>
          <w:spacing w:val="-2"/>
        </w:rPr>
        <w:t>with</w:t>
      </w:r>
      <w:r>
        <w:rPr>
          <w:rFonts w:ascii="Avenir Next Condensed"/>
          <w:spacing w:val="-4"/>
        </w:rPr>
        <w:t xml:space="preserve"> </w:t>
      </w:r>
      <w:r>
        <w:rPr>
          <w:rFonts w:ascii="Avenir Next Condensed"/>
          <w:spacing w:val="-2"/>
        </w:rPr>
        <w:t>the</w:t>
      </w:r>
      <w:r>
        <w:rPr>
          <w:rFonts w:ascii="Avenir Next Condensed"/>
          <w:spacing w:val="-4"/>
        </w:rPr>
        <w:t xml:space="preserve"> </w:t>
      </w:r>
      <w:r>
        <w:rPr>
          <w:rFonts w:ascii="Avenir Next Condensed"/>
          <w:spacing w:val="-2"/>
        </w:rPr>
        <w:t>objectives</w:t>
      </w:r>
    </w:p>
    <w:p w:rsidR="00D96B91" w:rsidRDefault="00C2656B">
      <w:pPr>
        <w:pStyle w:val="BodyText"/>
        <w:numPr>
          <w:ilvl w:val="1"/>
          <w:numId w:val="121"/>
        </w:numPr>
        <w:tabs>
          <w:tab w:val="left" w:pos="1645"/>
          <w:tab w:val="left" w:pos="2116"/>
        </w:tabs>
        <w:spacing w:before="64"/>
        <w:rPr>
          <w:rFonts w:ascii="Avenir Next Condensed" w:eastAsia="Avenir Next Condensed" w:hAnsi="Avenir Next Condensed" w:cs="Avenir Next Condensed"/>
        </w:rPr>
      </w:pPr>
      <w:r>
        <w:rPr>
          <w:rFonts w:ascii="Avenir Next Condensed"/>
          <w:spacing w:val="-2"/>
        </w:rPr>
        <w:t>defi</w:t>
      </w:r>
      <w:r w:rsidR="008766C4">
        <w:rPr>
          <w:rFonts w:ascii="Avenir Next Condensed"/>
          <w:spacing w:val="-2"/>
        </w:rPr>
        <w:t xml:space="preserve">ne </w:t>
      </w:r>
      <w:r>
        <w:rPr>
          <w:rFonts w:ascii="Avenir Next Condensed"/>
          <w:spacing w:val="-2"/>
        </w:rPr>
        <w:t>property</w:t>
      </w:r>
      <w:r>
        <w:rPr>
          <w:rFonts w:ascii="Avenir Next Condensed"/>
          <w:spacing w:val="-4"/>
        </w:rPr>
        <w:t xml:space="preserve"> </w:t>
      </w:r>
      <w:r>
        <w:rPr>
          <w:rFonts w:ascii="Avenir Next Condensed"/>
          <w:spacing w:val="-2"/>
        </w:rPr>
        <w:t>rights</w:t>
      </w:r>
      <w:r>
        <w:rPr>
          <w:rFonts w:ascii="Avenir Next Condensed"/>
          <w:spacing w:val="-4"/>
        </w:rPr>
        <w:t xml:space="preserve"> </w:t>
      </w:r>
      <w:r>
        <w:rPr>
          <w:rFonts w:ascii="Avenir Next Condensed"/>
          <w:spacing w:val="-2"/>
        </w:rPr>
        <w:t>for</w:t>
      </w:r>
      <w:r>
        <w:rPr>
          <w:rFonts w:ascii="Avenir Next Condensed"/>
          <w:spacing w:val="-4"/>
        </w:rPr>
        <w:t xml:space="preserve"> </w:t>
      </w:r>
      <w:r>
        <w:rPr>
          <w:rFonts w:ascii="Avenir Next Condensed"/>
          <w:spacing w:val="-2"/>
        </w:rPr>
        <w:t>environmental</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consumptive</w:t>
      </w:r>
      <w:r>
        <w:rPr>
          <w:rFonts w:ascii="Avenir Next Condensed"/>
          <w:spacing w:val="-4"/>
        </w:rPr>
        <w:t xml:space="preserve"> </w:t>
      </w:r>
      <w:r>
        <w:rPr>
          <w:rFonts w:ascii="Avenir Next Condensed"/>
          <w:spacing w:val="-2"/>
        </w:rPr>
        <w:t>water</w:t>
      </w:r>
      <w:r>
        <w:rPr>
          <w:rFonts w:ascii="Avenir Next Condensed"/>
          <w:spacing w:val="-4"/>
        </w:rPr>
        <w:t xml:space="preserve"> </w:t>
      </w:r>
      <w:r>
        <w:rPr>
          <w:rFonts w:ascii="Avenir Next Condensed"/>
          <w:spacing w:val="-2"/>
        </w:rPr>
        <w:t>use</w:t>
      </w:r>
    </w:p>
    <w:p w:rsidR="00D96B91" w:rsidRDefault="00C2656B">
      <w:pPr>
        <w:pStyle w:val="BodyText"/>
        <w:numPr>
          <w:ilvl w:val="1"/>
          <w:numId w:val="121"/>
        </w:numPr>
        <w:tabs>
          <w:tab w:val="left" w:pos="1645"/>
        </w:tabs>
        <w:spacing w:before="43"/>
        <w:rPr>
          <w:rFonts w:ascii="Avenir Next Condensed" w:eastAsia="Avenir Next Condensed" w:hAnsi="Avenir Next Condensed" w:cs="Avenir Next Condensed"/>
        </w:rPr>
      </w:pPr>
      <w:r>
        <w:rPr>
          <w:rFonts w:ascii="Avenir Next Condensed"/>
          <w:spacing w:val="-2"/>
        </w:rPr>
        <w:t>appropriately</w:t>
      </w:r>
      <w:r>
        <w:rPr>
          <w:rFonts w:ascii="Avenir Next Condensed"/>
          <w:spacing w:val="-4"/>
        </w:rPr>
        <w:t xml:space="preserve"> </w:t>
      </w:r>
      <w:r>
        <w:rPr>
          <w:rFonts w:ascii="Avenir Next Condensed"/>
          <w:spacing w:val="-2"/>
        </w:rPr>
        <w:t>assign</w:t>
      </w:r>
      <w:r>
        <w:rPr>
          <w:rFonts w:ascii="Avenir Next Condensed"/>
          <w:spacing w:val="-4"/>
        </w:rPr>
        <w:t xml:space="preserve"> </w:t>
      </w:r>
      <w:r>
        <w:rPr>
          <w:rFonts w:ascii="Avenir Next Condensed"/>
          <w:spacing w:val="-2"/>
        </w:rPr>
        <w:t>roles</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functions</w:t>
      </w:r>
      <w:r>
        <w:rPr>
          <w:rFonts w:ascii="Avenir Next Condensed"/>
          <w:spacing w:val="-4"/>
        </w:rPr>
        <w:t xml:space="preserve"> </w:t>
      </w:r>
      <w:r>
        <w:rPr>
          <w:rFonts w:ascii="Avenir Next Condensed"/>
          <w:spacing w:val="-1"/>
        </w:rPr>
        <w:t>to</w:t>
      </w:r>
      <w:r>
        <w:rPr>
          <w:rFonts w:ascii="Avenir Next Condensed"/>
          <w:spacing w:val="-4"/>
        </w:rPr>
        <w:t xml:space="preserve"> </w:t>
      </w:r>
      <w:r>
        <w:rPr>
          <w:rFonts w:ascii="Avenir Next Condensed"/>
          <w:spacing w:val="-2"/>
        </w:rPr>
        <w:t>institutions</w:t>
      </w:r>
      <w:r>
        <w:rPr>
          <w:rFonts w:ascii="Avenir Next Condensed"/>
          <w:spacing w:val="-4"/>
        </w:rPr>
        <w:t xml:space="preserve"> </w:t>
      </w:r>
      <w:r>
        <w:rPr>
          <w:rFonts w:ascii="Avenir Next Condensed"/>
          <w:spacing w:val="-2"/>
        </w:rPr>
        <w:t>(including</w:t>
      </w:r>
      <w:r>
        <w:rPr>
          <w:rFonts w:ascii="Avenir Next Condensed"/>
          <w:spacing w:val="-4"/>
        </w:rPr>
        <w:t xml:space="preserve"> </w:t>
      </w:r>
      <w:r>
        <w:rPr>
          <w:rFonts w:ascii="Avenir Next Condensed"/>
          <w:spacing w:val="-2"/>
        </w:rPr>
        <w:t>economic</w:t>
      </w:r>
      <w:r>
        <w:rPr>
          <w:rFonts w:ascii="Avenir Next Condensed"/>
          <w:spacing w:val="-4"/>
        </w:rPr>
        <w:t xml:space="preserve"> </w:t>
      </w:r>
      <w:r>
        <w:rPr>
          <w:rFonts w:ascii="Avenir Next Condensed"/>
          <w:spacing w:val="-3"/>
        </w:rPr>
        <w:t>regulators)</w:t>
      </w:r>
    </w:p>
    <w:p w:rsidR="00D96B91" w:rsidRDefault="00C2656B">
      <w:pPr>
        <w:pStyle w:val="BodyText"/>
        <w:numPr>
          <w:ilvl w:val="1"/>
          <w:numId w:val="121"/>
        </w:numPr>
        <w:tabs>
          <w:tab w:val="left" w:pos="1645"/>
        </w:tabs>
        <w:spacing w:before="43"/>
        <w:rPr>
          <w:rFonts w:ascii="Avenir Next Condensed" w:eastAsia="Avenir Next Condensed" w:hAnsi="Avenir Next Condensed" w:cs="Avenir Next Condensed"/>
        </w:rPr>
      </w:pPr>
      <w:r>
        <w:rPr>
          <w:rFonts w:ascii="Avenir Next Condensed"/>
          <w:spacing w:val="-2"/>
        </w:rPr>
        <w:t>put</w:t>
      </w:r>
      <w:r>
        <w:rPr>
          <w:rFonts w:ascii="Avenir Next Condensed"/>
          <w:spacing w:val="-4"/>
        </w:rPr>
        <w:t xml:space="preserve"> </w:t>
      </w:r>
      <w:r>
        <w:rPr>
          <w:rFonts w:ascii="Avenir Next Condensed"/>
          <w:spacing w:val="-1"/>
        </w:rPr>
        <w:t>in</w:t>
      </w:r>
      <w:r>
        <w:rPr>
          <w:rFonts w:ascii="Avenir Next Condensed"/>
          <w:spacing w:val="-4"/>
        </w:rPr>
        <w:t xml:space="preserve"> </w:t>
      </w:r>
      <w:r>
        <w:rPr>
          <w:rFonts w:ascii="Avenir Next Condensed"/>
          <w:spacing w:val="-2"/>
        </w:rPr>
        <w:t>place</w:t>
      </w:r>
      <w:r>
        <w:rPr>
          <w:rFonts w:ascii="Avenir Next Condensed"/>
          <w:spacing w:val="-4"/>
        </w:rPr>
        <w:t xml:space="preserve"> </w:t>
      </w:r>
      <w:r>
        <w:rPr>
          <w:rFonts w:ascii="Avenir Next Condensed"/>
          <w:spacing w:val="-2"/>
        </w:rPr>
        <w:t>best-practice</w:t>
      </w:r>
      <w:r>
        <w:rPr>
          <w:rFonts w:ascii="Avenir Next Condensed"/>
          <w:spacing w:val="-4"/>
        </w:rPr>
        <w:t xml:space="preserve"> </w:t>
      </w:r>
      <w:r>
        <w:rPr>
          <w:rFonts w:ascii="Avenir Next Condensed"/>
          <w:spacing w:val="-2"/>
        </w:rPr>
        <w:t>institutional</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governance</w:t>
      </w:r>
      <w:r>
        <w:rPr>
          <w:rFonts w:ascii="Avenir Next Condensed"/>
          <w:spacing w:val="-4"/>
        </w:rPr>
        <w:t xml:space="preserve"> </w:t>
      </w:r>
      <w:r>
        <w:rPr>
          <w:rFonts w:ascii="Avenir Next Condensed"/>
          <w:spacing w:val="-2"/>
        </w:rPr>
        <w:t>arrangements</w:t>
      </w:r>
      <w:r>
        <w:rPr>
          <w:rFonts w:ascii="Avenir Next Condensed"/>
          <w:spacing w:val="-4"/>
        </w:rPr>
        <w:t xml:space="preserve"> </w:t>
      </w:r>
      <w:r>
        <w:rPr>
          <w:rFonts w:ascii="Avenir Next Condensed"/>
          <w:spacing w:val="-2"/>
        </w:rPr>
        <w:t>for:</w:t>
      </w:r>
    </w:p>
    <w:p w:rsidR="00D96B91" w:rsidRDefault="00C2656B">
      <w:pPr>
        <w:pStyle w:val="BodyText"/>
        <w:numPr>
          <w:ilvl w:val="2"/>
          <w:numId w:val="121"/>
        </w:numPr>
        <w:tabs>
          <w:tab w:val="left" w:pos="1985"/>
        </w:tabs>
        <w:spacing w:before="43"/>
        <w:rPr>
          <w:rFonts w:ascii="Avenir Next Condensed" w:eastAsia="Avenir Next Condensed" w:hAnsi="Avenir Next Condensed" w:cs="Avenir Next Condensed"/>
        </w:rPr>
      </w:pPr>
      <w:r>
        <w:rPr>
          <w:rFonts w:ascii="Avenir Next Condensed"/>
          <w:spacing w:val="-2"/>
        </w:rPr>
        <w:t>public</w:t>
      </w:r>
      <w:r>
        <w:rPr>
          <w:rFonts w:ascii="Avenir Next Condensed"/>
          <w:spacing w:val="-4"/>
        </w:rPr>
        <w:t xml:space="preserve"> </w:t>
      </w:r>
      <w:r>
        <w:rPr>
          <w:rFonts w:ascii="Avenir Next Condensed"/>
          <w:spacing w:val="-2"/>
        </w:rPr>
        <w:t>health,</w:t>
      </w:r>
      <w:r>
        <w:rPr>
          <w:rFonts w:ascii="Avenir Next Condensed"/>
          <w:spacing w:val="-10"/>
        </w:rPr>
        <w:t xml:space="preserve"> </w:t>
      </w:r>
      <w:r>
        <w:rPr>
          <w:rFonts w:ascii="Avenir Next Condensed"/>
          <w:spacing w:val="-2"/>
        </w:rPr>
        <w:t>environmental</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economic</w:t>
      </w:r>
      <w:r>
        <w:rPr>
          <w:rFonts w:ascii="Avenir Next Condensed"/>
          <w:spacing w:val="-4"/>
        </w:rPr>
        <w:t xml:space="preserve"> </w:t>
      </w:r>
      <w:r>
        <w:rPr>
          <w:rFonts w:ascii="Avenir Next Condensed"/>
          <w:spacing w:val="-2"/>
        </w:rPr>
        <w:t>regulation</w:t>
      </w:r>
      <w:r>
        <w:rPr>
          <w:rFonts w:ascii="Avenir Next Condensed"/>
          <w:spacing w:val="-4"/>
        </w:rPr>
        <w:t xml:space="preserve"> </w:t>
      </w:r>
      <w:r>
        <w:rPr>
          <w:rFonts w:ascii="Avenir Next Condensed"/>
          <w:spacing w:val="-2"/>
        </w:rPr>
        <w:t>relating</w:t>
      </w:r>
      <w:r>
        <w:rPr>
          <w:rFonts w:ascii="Avenir Next Condensed"/>
          <w:spacing w:val="-4"/>
        </w:rPr>
        <w:t xml:space="preserve"> </w:t>
      </w:r>
      <w:r>
        <w:rPr>
          <w:rFonts w:ascii="Avenir Next Condensed"/>
          <w:spacing w:val="-1"/>
        </w:rPr>
        <w:t>to</w:t>
      </w:r>
      <w:r>
        <w:rPr>
          <w:rFonts w:ascii="Avenir Next Condensed"/>
          <w:spacing w:val="-4"/>
        </w:rPr>
        <w:t xml:space="preserve"> </w:t>
      </w:r>
      <w:r>
        <w:rPr>
          <w:rFonts w:ascii="Avenir Next Condensed"/>
          <w:spacing w:val="-2"/>
        </w:rPr>
        <w:t>the</w:t>
      </w:r>
      <w:r>
        <w:rPr>
          <w:rFonts w:ascii="Avenir Next Condensed"/>
          <w:spacing w:val="-4"/>
        </w:rPr>
        <w:t xml:space="preserve"> </w:t>
      </w:r>
      <w:r>
        <w:rPr>
          <w:rFonts w:ascii="Avenir Next Condensed"/>
          <w:spacing w:val="-3"/>
        </w:rPr>
        <w:t>sector,</w:t>
      </w:r>
      <w:r>
        <w:rPr>
          <w:rFonts w:ascii="Avenir Next Condensed"/>
          <w:spacing w:val="-10"/>
        </w:rPr>
        <w:t xml:space="preserve"> </w:t>
      </w:r>
      <w:r>
        <w:rPr>
          <w:rFonts w:ascii="Avenir Next Condensed"/>
          <w:spacing w:val="-2"/>
        </w:rPr>
        <w:t>and</w:t>
      </w:r>
    </w:p>
    <w:p w:rsidR="00D96B91" w:rsidRDefault="00C2656B">
      <w:pPr>
        <w:pStyle w:val="BodyText"/>
        <w:numPr>
          <w:ilvl w:val="2"/>
          <w:numId w:val="121"/>
        </w:numPr>
        <w:tabs>
          <w:tab w:val="left" w:pos="1985"/>
        </w:tabs>
        <w:spacing w:before="43"/>
        <w:rPr>
          <w:rFonts w:ascii="Avenir Next Condensed" w:eastAsia="Avenir Next Condensed" w:hAnsi="Avenir Next Condensed" w:cs="Avenir Next Condensed"/>
        </w:rPr>
      </w:pPr>
      <w:r>
        <w:rPr>
          <w:rFonts w:ascii="Avenir Next Condensed"/>
          <w:spacing w:val="-2"/>
        </w:rPr>
        <w:t>delivery</w:t>
      </w:r>
      <w:r>
        <w:rPr>
          <w:rFonts w:ascii="Avenir Next Condensed"/>
          <w:spacing w:val="-4"/>
        </w:rPr>
        <w:t xml:space="preserve"> </w:t>
      </w:r>
      <w:r>
        <w:rPr>
          <w:rFonts w:ascii="Avenir Next Condensed"/>
          <w:spacing w:val="-1"/>
        </w:rPr>
        <w:t>of</w:t>
      </w:r>
      <w:r>
        <w:rPr>
          <w:rFonts w:ascii="Avenir Next Condensed"/>
        </w:rPr>
        <w:t xml:space="preserve"> </w:t>
      </w:r>
      <w:r>
        <w:rPr>
          <w:rFonts w:ascii="Avenir Next Condensed"/>
          <w:spacing w:val="-3"/>
        </w:rPr>
        <w:t>water,</w:t>
      </w:r>
      <w:r>
        <w:rPr>
          <w:rFonts w:ascii="Avenir Next Condensed"/>
          <w:spacing w:val="-10"/>
        </w:rPr>
        <w:t xml:space="preserve"> </w:t>
      </w:r>
      <w:r>
        <w:rPr>
          <w:rFonts w:ascii="Avenir Next Condensed"/>
          <w:spacing w:val="-2"/>
        </w:rPr>
        <w:t>wastewater</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stormwater</w:t>
      </w:r>
      <w:r>
        <w:rPr>
          <w:rFonts w:ascii="Avenir Next Condensed"/>
          <w:spacing w:val="-4"/>
        </w:rPr>
        <w:t xml:space="preserve"> </w:t>
      </w:r>
      <w:r>
        <w:rPr>
          <w:rFonts w:ascii="Avenir Next Condensed"/>
          <w:spacing w:val="-2"/>
        </w:rPr>
        <w:t>services.</w:t>
      </w:r>
    </w:p>
    <w:p w:rsidR="00D96B91" w:rsidRDefault="00C2656B">
      <w:pPr>
        <w:pStyle w:val="BodyText"/>
        <w:tabs>
          <w:tab w:val="left" w:pos="9542"/>
        </w:tabs>
        <w:spacing w:before="35" w:line="260" w:lineRule="exact"/>
        <w:ind w:left="1417" w:right="1419"/>
        <w:rPr>
          <w:rFonts w:ascii="Avenir Next Condensed" w:eastAsia="Avenir Next Condensed" w:hAnsi="Avenir Next Condensed" w:cs="Avenir Next Condensed"/>
        </w:rPr>
      </w:pPr>
      <w:r>
        <w:rPr>
          <w:rFonts w:ascii="Avenir Next Condensed" w:eastAsia="Avenir Next Condensed" w:hAnsi="Avenir Next Condensed" w:cs="Avenir Next Condensed"/>
          <w:spacing w:val="-4"/>
        </w:rPr>
        <w:t>Backed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authority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rPr>
        <w:t>a</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democratic</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mandate,</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governments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best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placed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resolve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trade-offs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between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confl</w:t>
      </w:r>
      <w:r w:rsidR="00255AC1">
        <w:rPr>
          <w:rFonts w:ascii="Avenir Next Condensed" w:eastAsia="Avenir Next Condensed" w:hAnsi="Avenir Next Condensed" w:cs="Avenir Next Condensed"/>
          <w:spacing w:val="-3"/>
        </w:rPr>
        <w:t xml:space="preserve">icting </w:t>
      </w:r>
      <w:r>
        <w:rPr>
          <w:rFonts w:ascii="Avenir Next Condensed" w:eastAsia="Avenir Next Condensed" w:hAnsi="Avenir Next Condensed" w:cs="Avenir Next Condensed"/>
          <w:spacing w:val="-4"/>
        </w:rPr>
        <w:t>public</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interest</w:t>
      </w:r>
      <w:r>
        <w:rPr>
          <w:rFonts w:ascii="Avenir Next Condensed" w:eastAsia="Avenir Next Condensed" w:hAnsi="Avenir Next Condensed" w:cs="Avenir Next Condensed"/>
          <w:spacing w:val="97"/>
        </w:rPr>
        <w:t xml:space="preserve"> </w:t>
      </w:r>
      <w:r>
        <w:rPr>
          <w:rFonts w:ascii="Avenir Next Condensed" w:eastAsia="Avenir Next Condensed" w:hAnsi="Avenir Next Condensed" w:cs="Avenir Next Condensed"/>
          <w:spacing w:val="-4"/>
        </w:rPr>
        <w:t>matters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arising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urban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water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sector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(although</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some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these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trade-offs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can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delegated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independent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regulators).</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Governments</w:t>
      </w:r>
      <w:r>
        <w:rPr>
          <w:rFonts w:ascii="Avenir Next Condensed" w:eastAsia="Avenir Next Condensed" w:hAnsi="Avenir Next Condensed" w:cs="Avenir Next Condensed"/>
          <w:spacing w:val="91"/>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also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best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placed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make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decisions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about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distributional</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outcomes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rPr>
        <w: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eg,</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addressing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any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affordability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concerns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low</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income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and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other</w:t>
      </w:r>
      <w:r>
        <w:rPr>
          <w:rFonts w:ascii="Avenir Next Condensed" w:eastAsia="Avenir Next Condensed" w:hAnsi="Avenir Next Condensed" w:cs="Avenir Next Condensed"/>
          <w:spacing w:val="93"/>
        </w:rPr>
        <w:t xml:space="preserve"> </w:t>
      </w:r>
      <w:r>
        <w:rPr>
          <w:rFonts w:ascii="Avenir Next Condensed" w:eastAsia="Avenir Next Condensed" w:hAnsi="Avenir Next Condensed" w:cs="Avenir Next Condensed"/>
          <w:spacing w:val="-4"/>
        </w:rPr>
        <w:t>vulnerable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consumers.</w:t>
      </w:r>
      <w:r>
        <w:rPr>
          <w:rFonts w:ascii="Avenir Next Condensed" w:eastAsia="Avenir Next Condensed" w:hAnsi="Avenir Next Condensed" w:cs="Avenir Next Condensed"/>
          <w:spacing w:val="-19"/>
        </w:rPr>
        <w:t xml:space="preserve"> </w:t>
      </w:r>
      <w:r>
        <w:rPr>
          <w:rFonts w:ascii="Avenir Next Condensed" w:eastAsia="Avenir Next Condensed" w:hAnsi="Avenir Next Condensed" w:cs="Avenir Next Condensed"/>
          <w:spacing w:val="-4"/>
        </w:rPr>
        <w:t>This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because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broader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welfare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objectives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best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achieved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using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other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policy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measures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(such</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as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concessions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and</w:t>
      </w:r>
      <w:r>
        <w:rPr>
          <w:rFonts w:ascii="Avenir Next Condensed" w:eastAsia="Avenir Next Condensed" w:hAnsi="Avenir Next Condensed" w:cs="Avenir Next Condensed"/>
          <w:spacing w:val="87"/>
        </w:rPr>
        <w:t xml:space="preserve"> </w:t>
      </w:r>
      <w:r>
        <w:rPr>
          <w:rFonts w:ascii="Avenir Next Condensed" w:eastAsia="Avenir Next Condensed" w:hAnsi="Avenir Next Condensed" w:cs="Avenir Next Condensed"/>
          <w:spacing w:val="-4"/>
        </w:rPr>
        <w:t>rebates),</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rather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than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water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pricing.</w:t>
      </w:r>
      <w:r>
        <w:rPr>
          <w:rFonts w:ascii="Avenir Next Condensed" w:eastAsia="Avenir Next Condensed" w:hAnsi="Avenir Next Condensed" w:cs="Avenir Next Condensed"/>
          <w:spacing w:val="-19"/>
        </w:rPr>
        <w:t xml:space="preserve"> </w:t>
      </w:r>
      <w:r>
        <w:rPr>
          <w:rFonts w:ascii="Avenir Next Condensed" w:eastAsia="Avenir Next Condensed" w:hAnsi="Avenir Next Condensed" w:cs="Avenir Next Condensed"/>
          <w:spacing w:val="-5"/>
        </w:rPr>
        <w:t>Trying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use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pricing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achieve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too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many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objectives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may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result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achieving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none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them</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very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well.</w:t>
      </w:r>
    </w:p>
    <w:p w:rsidR="00D96B91" w:rsidRDefault="00C2656B">
      <w:pPr>
        <w:pStyle w:val="BodyText"/>
        <w:tabs>
          <w:tab w:val="left" w:pos="5369"/>
          <w:tab w:val="left" w:pos="6471"/>
        </w:tabs>
        <w:spacing w:before="113" w:line="260" w:lineRule="exact"/>
        <w:ind w:left="1417" w:right="1605"/>
        <w:rPr>
          <w:rFonts w:ascii="Avenir Next Condensed" w:eastAsia="Avenir Next Condensed" w:hAnsi="Avenir Next Condensed" w:cs="Avenir Next Condensed"/>
        </w:rPr>
      </w:pPr>
      <w:r>
        <w:rPr>
          <w:rFonts w:ascii="Avenir Next Condensed" w:eastAsia="Avenir Next Condensed" w:hAnsi="Avenir Next Condensed" w:cs="Avenir Next Condensed"/>
          <w:b/>
          <w:bCs/>
          <w:spacing w:val="-4"/>
        </w:rPr>
        <w:t>Independent</w:t>
      </w:r>
      <w:r>
        <w:rPr>
          <w:rFonts w:ascii="Avenir Next Condensed" w:eastAsia="Avenir Next Condensed" w:hAnsi="Avenir Next Condensed" w:cs="Avenir Next Condensed"/>
          <w:b/>
          <w:bCs/>
          <w:spacing w:val="-8"/>
        </w:rPr>
        <w:t xml:space="preserve"> </w:t>
      </w:r>
      <w:r>
        <w:rPr>
          <w:rFonts w:ascii="Avenir Next Condensed" w:eastAsia="Avenir Next Condensed" w:hAnsi="Avenir Next Condensed" w:cs="Avenir Next Condensed"/>
          <w:b/>
          <w:bCs/>
          <w:spacing w:val="-4"/>
        </w:rPr>
        <w:t>regulators’</w:t>
      </w:r>
      <w:r>
        <w:rPr>
          <w:rFonts w:ascii="Avenir Next Condensed" w:eastAsia="Avenir Next Condensed" w:hAnsi="Avenir Next Condensed" w:cs="Avenir Next Condensed"/>
          <w:b/>
          <w:bCs/>
          <w:spacing w:val="-10"/>
        </w:rPr>
        <w:t xml:space="preserve"> </w:t>
      </w:r>
      <w:r>
        <w:rPr>
          <w:rFonts w:ascii="Avenir Next Condensed" w:eastAsia="Avenir Next Condensed" w:hAnsi="Avenir Next Condensed" w:cs="Avenir Next Condensed"/>
          <w:spacing w:val="-4"/>
        </w:rPr>
        <w:t>role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achieve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governments’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regulatory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objectives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rPr>
        <w:t>a</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manner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unencumbered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political</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considerations.</w:t>
      </w:r>
      <w:r>
        <w:rPr>
          <w:rFonts w:ascii="Avenir Next Condensed" w:eastAsia="Avenir Next Condensed" w:hAnsi="Avenir Next Condensed" w:cs="Avenir Next Condensed"/>
          <w:spacing w:val="90"/>
        </w:rPr>
        <w:t xml:space="preserve"> </w:t>
      </w:r>
      <w:r>
        <w:rPr>
          <w:rFonts w:ascii="Avenir Next Condensed" w:eastAsia="Avenir Next Condensed" w:hAnsi="Avenir Next Condensed" w:cs="Avenir Next Condensed"/>
          <w:spacing w:val="-4"/>
        </w:rPr>
        <w:t>They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make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decisions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matters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assigned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them</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government,</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particularly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relation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setting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water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prices.</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5"/>
        </w:rPr>
        <w:t>However,</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governments</w:t>
      </w:r>
      <w:r>
        <w:rPr>
          <w:rFonts w:ascii="Avenir Next Condensed" w:eastAsia="Avenir Next Condensed" w:hAnsi="Avenir Next Condensed" w:cs="Avenir Next Condensed"/>
          <w:spacing w:val="71"/>
        </w:rPr>
        <w:t xml:space="preserve"> </w:t>
      </w:r>
      <w:r>
        <w:rPr>
          <w:rFonts w:ascii="Avenir Next Condensed" w:eastAsia="Avenir Next Condensed" w:hAnsi="Avenir Next Condensed" w:cs="Avenir Next Condensed"/>
          <w:spacing w:val="-4"/>
        </w:rPr>
        <w:t>typically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specify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matters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that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need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be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taken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into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account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when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making</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such</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decisions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(eg,</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relevant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legislation).</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2"/>
        </w:rPr>
        <w:t>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performing</w:t>
      </w:r>
      <w:r>
        <w:rPr>
          <w:rFonts w:ascii="Avenir Next Condensed" w:eastAsia="Avenir Next Condensed" w:hAnsi="Avenir Next Condensed" w:cs="Avenir Next Condensed"/>
          <w:spacing w:val="57"/>
        </w:rPr>
        <w:t xml:space="preserve"> </w:t>
      </w:r>
      <w:r>
        <w:rPr>
          <w:rFonts w:ascii="Avenir Next Condensed" w:eastAsia="Avenir Next Condensed" w:hAnsi="Avenir Next Condensed" w:cs="Avenir Next Condensed"/>
          <w:spacing w:val="-3"/>
        </w:rPr>
        <w:t>this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role,</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regulators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often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required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balance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confl</w:t>
      </w:r>
      <w:r w:rsidR="00255AC1">
        <w:rPr>
          <w:rFonts w:ascii="Avenir Next Condensed" w:eastAsia="Avenir Next Condensed" w:hAnsi="Avenir Next Condensed" w:cs="Avenir Next Condensed"/>
          <w:spacing w:val="-3"/>
        </w:rPr>
        <w:t xml:space="preserve">icting </w:t>
      </w:r>
      <w:r>
        <w:rPr>
          <w:rFonts w:ascii="Avenir Next Condensed" w:eastAsia="Avenir Next Condensed" w:hAnsi="Avenir Next Condensed" w:cs="Avenir Next Condensed"/>
          <w:spacing w:val="-4"/>
        </w:rPr>
        <w:t>regulatory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objectives.</w:t>
      </w:r>
      <w:r>
        <w:rPr>
          <w:rFonts w:ascii="Avenir Next Condensed" w:eastAsia="Avenir Next Condensed" w:hAnsi="Avenir Next Condensed" w:cs="Avenir Next Condensed"/>
          <w:spacing w:val="-19"/>
        </w:rPr>
        <w:t xml:space="preserve"> </w:t>
      </w:r>
      <w:r>
        <w:rPr>
          <w:rFonts w:ascii="Avenir Next Condensed" w:eastAsia="Avenir Next Condensed" w:hAnsi="Avenir Next Condensed" w:cs="Avenir Next Condensed"/>
          <w:spacing w:val="-4"/>
        </w:rPr>
        <w:t>They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best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placed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do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this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as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their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independence</w:t>
      </w:r>
      <w:r>
        <w:rPr>
          <w:rFonts w:ascii="Avenir Next Condensed" w:eastAsia="Avenir Next Condensed" w:hAnsi="Avenir Next Condensed" w:cs="Avenir Next Condensed"/>
          <w:spacing w:val="59"/>
        </w:rPr>
        <w:t xml:space="preserve"> </w:t>
      </w:r>
      <w:r>
        <w:rPr>
          <w:rFonts w:ascii="Avenir Next Condensed" w:eastAsia="Avenir Next Condensed" w:hAnsi="Avenir Next Condensed" w:cs="Avenir Next Condensed"/>
          <w:spacing w:val="-4"/>
        </w:rPr>
        <w:t>means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that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not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prone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politicisation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(eg,</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tendency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artifi</w:t>
      </w:r>
      <w:r w:rsidR="00255AC1">
        <w:rPr>
          <w:rFonts w:ascii="Avenir Next Condensed" w:eastAsia="Avenir Next Condensed" w:hAnsi="Avenir Next Condensed" w:cs="Avenir Next Condensed"/>
          <w:spacing w:val="-3"/>
        </w:rPr>
        <w:t xml:space="preserve">cially </w:t>
      </w:r>
      <w:r>
        <w:rPr>
          <w:rFonts w:ascii="Avenir Next Condensed" w:eastAsia="Avenir Next Condensed" w:hAnsi="Avenir Next Condensed" w:cs="Avenir Next Condensed"/>
          <w:spacing w:val="-4"/>
        </w:rPr>
        <w:t>lower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prices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to</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win</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favour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voters),</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3"/>
        </w:rPr>
        <w:t>nor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are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the</w:t>
      </w:r>
      <w:r>
        <w:rPr>
          <w:rFonts w:ascii="Avenir Next Condensed" w:eastAsia="Avenir Next Condensed" w:hAnsi="Avenir Next Condensed" w:cs="Avenir Next Condensed"/>
          <w:spacing w:val="73"/>
        </w:rPr>
        <w:t xml:space="preserve"> </w:t>
      </w:r>
      <w:r>
        <w:rPr>
          <w:rFonts w:ascii="Avenir Next Condensed" w:eastAsia="Avenir Next Condensed" w:hAnsi="Avenir Next Condensed" w:cs="Avenir Next Condensed"/>
          <w:spacing w:val="-4"/>
        </w:rPr>
        <w:t>advocates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interests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4"/>
        </w:rPr>
        <w:t xml:space="preserve"> particular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interest</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groups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(such</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as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3"/>
        </w:rPr>
        <w:t>the</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regulated</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entity,</w:t>
      </w:r>
      <w:r>
        <w:rPr>
          <w:rFonts w:ascii="Avenir Next Condensed" w:eastAsia="Avenir Next Condensed" w:hAnsi="Avenir Next Condensed" w:cs="Avenir Next Condensed"/>
          <w:spacing w:val="-14"/>
        </w:rPr>
        <w:t xml:space="preserve"> </w:t>
      </w:r>
      <w:r>
        <w:rPr>
          <w:rFonts w:ascii="Avenir Next Condensed" w:eastAsia="Avenir Next Condensed" w:hAnsi="Avenir Next Condensed" w:cs="Avenir Next Condensed"/>
          <w:spacing w:val="-4"/>
        </w:rPr>
        <w:t>customers</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2"/>
        </w:rPr>
        <w:t>or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other</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4"/>
        </w:rPr>
        <w:t>lobby</w:t>
      </w:r>
      <w:r>
        <w:rPr>
          <w:rFonts w:ascii="Avenir Next Condensed" w:eastAsia="Avenir Next Condensed" w:hAnsi="Avenir Next Condensed" w:cs="Avenir Next Condensed"/>
          <w:spacing w:val="-8"/>
        </w:rPr>
        <w:t xml:space="preserve"> </w:t>
      </w:r>
      <w:r>
        <w:rPr>
          <w:rFonts w:ascii="Avenir Next Condensed" w:eastAsia="Avenir Next Condensed" w:hAnsi="Avenir Next Condensed" w:cs="Avenir Next Condensed"/>
          <w:spacing w:val="-5"/>
        </w:rPr>
        <w:t>groups).</w:t>
      </w:r>
    </w:p>
    <w:p w:rsidR="00D96B91" w:rsidRDefault="00C2656B">
      <w:pPr>
        <w:pStyle w:val="BodyText"/>
        <w:spacing w:before="113" w:line="260" w:lineRule="exact"/>
        <w:ind w:left="1417" w:right="1561"/>
        <w:rPr>
          <w:rFonts w:ascii="Avenir Next Condensed" w:eastAsia="Avenir Next Condensed" w:hAnsi="Avenir Next Condensed" w:cs="Avenir Next Condensed"/>
        </w:rPr>
      </w:pPr>
      <w:r>
        <w:rPr>
          <w:rFonts w:ascii="Avenir Next Condensed" w:eastAsia="Avenir Next Condensed" w:hAnsi="Avenir Next Condensed" w:cs="Avenir Next Condensed"/>
          <w:b/>
          <w:bCs/>
          <w:spacing w:val="-3"/>
        </w:rPr>
        <w:t>Water</w:t>
      </w:r>
      <w:r>
        <w:rPr>
          <w:rFonts w:ascii="Avenir Next Condensed" w:eastAsia="Avenir Next Condensed" w:hAnsi="Avenir Next Condensed" w:cs="Avenir Next Condensed"/>
          <w:b/>
          <w:bCs/>
          <w:spacing w:val="-4"/>
        </w:rPr>
        <w:t xml:space="preserve"> </w:t>
      </w:r>
      <w:r>
        <w:rPr>
          <w:rFonts w:ascii="Avenir Next Condensed" w:eastAsia="Avenir Next Condensed" w:hAnsi="Avenir Next Condensed" w:cs="Avenir Next Condensed"/>
          <w:b/>
          <w:bCs/>
          <w:spacing w:val="-2"/>
        </w:rPr>
        <w:t>utilities’</w:t>
      </w:r>
      <w:r>
        <w:rPr>
          <w:rFonts w:ascii="Avenir Next Condensed" w:eastAsia="Avenir Next Condensed" w:hAnsi="Avenir Next Condensed" w:cs="Avenir Next Condensed"/>
          <w:b/>
          <w:bCs/>
          <w:spacing w:val="-6"/>
        </w:rPr>
        <w:t xml:space="preserve"> </w:t>
      </w:r>
      <w:r>
        <w:rPr>
          <w:rFonts w:ascii="Avenir Next Condensed" w:eastAsia="Avenir Next Condensed" w:hAnsi="Avenir Next Condensed" w:cs="Avenir Next Condensed"/>
          <w:spacing w:val="-2"/>
        </w:rPr>
        <w:t>role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is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to</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make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the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‘day-to-day’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commercial</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decisions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about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operations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investments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required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to</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deliver</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water</w:t>
      </w:r>
      <w:r>
        <w:rPr>
          <w:rFonts w:ascii="Avenir Next Condensed" w:eastAsia="Avenir Next Condensed" w:hAnsi="Avenir Next Condensed" w:cs="Avenir Next Condensed"/>
          <w:spacing w:val="64"/>
        </w:rPr>
        <w:t xml:space="preserve"> </w:t>
      </w:r>
      <w:r>
        <w:rPr>
          <w:rFonts w:ascii="Avenir Next Condensed" w:eastAsia="Avenir Next Condensed" w:hAnsi="Avenir Next Condensed" w:cs="Avenir Next Condensed"/>
          <w:spacing w:val="-2"/>
        </w:rPr>
        <w:t>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sewerage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services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that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meet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regulatory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requirements.</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2"/>
        </w:rPr>
        <w:t>Utilities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should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not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be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policy-making</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bodies,</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2"/>
        </w:rPr>
        <w:t>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should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operate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within</w:t>
      </w:r>
      <w:r>
        <w:rPr>
          <w:rFonts w:ascii="Avenir Next Condensed" w:eastAsia="Avenir Next Condensed" w:hAnsi="Avenir Next Condensed" w:cs="Avenir Next Condensed"/>
          <w:spacing w:val="66"/>
        </w:rPr>
        <w:t xml:space="preserve"> </w:t>
      </w:r>
      <w:r>
        <w:rPr>
          <w:rFonts w:ascii="Avenir Next Condensed" w:eastAsia="Avenir Next Condensed" w:hAnsi="Avenir Next Condensed" w:cs="Avenir Next Condensed"/>
          <w:spacing w:val="-2"/>
        </w:rPr>
        <w:t>the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health</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environmental</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policies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determined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by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governments.</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3"/>
        </w:rPr>
        <w:t>However,</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2"/>
        </w:rPr>
        <w:t>they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do</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have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rPr>
        <w:t>a</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legitimate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b/>
          <w:bCs/>
          <w:spacing w:val="-2"/>
        </w:rPr>
        <w:t>advisory</w:t>
      </w:r>
      <w:r>
        <w:rPr>
          <w:rFonts w:ascii="Avenir Next Condensed" w:eastAsia="Avenir Next Condensed" w:hAnsi="Avenir Next Condensed" w:cs="Avenir Next Condensed"/>
          <w:b/>
          <w:bCs/>
          <w:spacing w:val="-5"/>
        </w:rPr>
        <w:t xml:space="preserve"> </w:t>
      </w:r>
      <w:r>
        <w:rPr>
          <w:rFonts w:ascii="Avenir Next Condensed" w:eastAsia="Avenir Next Condensed" w:hAnsi="Avenir Next Condensed" w:cs="Avenir Next Condensed"/>
          <w:spacing w:val="-2"/>
        </w:rPr>
        <w:t>role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in</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policy</w:t>
      </w:r>
      <w:r>
        <w:rPr>
          <w:rFonts w:ascii="Avenir Next Condensed" w:eastAsia="Avenir Next Condensed" w:hAnsi="Avenir Next Condensed" w:cs="Avenir Next Condensed"/>
          <w:spacing w:val="46"/>
        </w:rPr>
        <w:t xml:space="preserve"> </w:t>
      </w:r>
      <w:r>
        <w:rPr>
          <w:rFonts w:ascii="Avenir Next Condensed" w:eastAsia="Avenir Next Condensed" w:hAnsi="Avenir Next Condensed" w:cs="Avenir Next Condensed"/>
          <w:spacing w:val="-2"/>
        </w:rPr>
        <w:t>development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rPr>
        <w: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for</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example,</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1"/>
        </w:rPr>
        <w:t>in</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providing</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information</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to</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governments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about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the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likely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cost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of</w:t>
      </w:r>
      <w:r>
        <w:rPr>
          <w:rFonts w:ascii="Avenir Next Condensed" w:eastAsia="Avenir Next Condensed" w:hAnsi="Avenir Next Condensed" w:cs="Avenir Next Condensed"/>
        </w:rPr>
        <w:t xml:space="preserve"> </w:t>
      </w:r>
      <w:r>
        <w:rPr>
          <w:rFonts w:ascii="Avenir Next Condensed" w:eastAsia="Avenir Next Condensed" w:hAnsi="Avenir Next Condensed" w:cs="Avenir Next Condensed"/>
          <w:spacing w:val="-3"/>
        </w:rPr>
        <w:t>infrastructure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provision,</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2"/>
        </w:rPr>
        <w:t>future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levels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of</w:t>
      </w:r>
      <w:r>
        <w:rPr>
          <w:rFonts w:ascii="Avenir Next Condensed" w:eastAsia="Avenir Next Condensed" w:hAnsi="Avenir Next Condensed" w:cs="Avenir Next Condensed"/>
          <w:spacing w:val="66"/>
        </w:rPr>
        <w:t xml:space="preserve"> </w:t>
      </w:r>
      <w:r>
        <w:rPr>
          <w:rFonts w:ascii="Avenir Next Condensed" w:eastAsia="Avenir Next Condensed" w:hAnsi="Avenir Next Condensed" w:cs="Avenir Next Condensed"/>
          <w:spacing w:val="-2"/>
        </w:rPr>
        <w:t>demand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and</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likely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timing</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of</w:t>
      </w:r>
      <w:r>
        <w:rPr>
          <w:rFonts w:ascii="Avenir Next Condensed" w:eastAsia="Avenir Next Condensed" w:hAnsi="Avenir Next Condensed" w:cs="Avenir Next Condensed"/>
        </w:rPr>
        <w:t xml:space="preserve"> </w:t>
      </w:r>
      <w:r>
        <w:rPr>
          <w:rFonts w:ascii="Avenir Next Condensed" w:eastAsia="Avenir Next Condensed" w:hAnsi="Avenir Next Condensed" w:cs="Avenir Next Condensed"/>
          <w:spacing w:val="-2"/>
        </w:rPr>
        <w:t>supply</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augmentation,</w:t>
      </w:r>
      <w:r>
        <w:rPr>
          <w:rFonts w:ascii="Avenir Next Condensed" w:eastAsia="Avenir Next Condensed" w:hAnsi="Avenir Next Condensed" w:cs="Avenir Next Condensed"/>
          <w:spacing w:val="-10"/>
        </w:rPr>
        <w:t xml:space="preserve"> </w:t>
      </w:r>
      <w:r>
        <w:rPr>
          <w:rFonts w:ascii="Avenir Next Condensed" w:eastAsia="Avenir Next Condensed" w:hAnsi="Avenir Next Condensed" w:cs="Avenir Next Condensed"/>
          <w:spacing w:val="-1"/>
        </w:rPr>
        <w:t>or</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about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the</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effects</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of</w:t>
      </w:r>
      <w:r>
        <w:rPr>
          <w:rFonts w:ascii="Avenir Next Condensed" w:eastAsia="Avenir Next Condensed" w:hAnsi="Avenir Next Condensed" w:cs="Avenir Next Condensed"/>
        </w:rPr>
        <w:t xml:space="preserve"> </w:t>
      </w:r>
      <w:r>
        <w:rPr>
          <w:rFonts w:ascii="Avenir Next Condensed" w:eastAsia="Avenir Next Condensed" w:hAnsi="Avenir Next Condensed" w:cs="Avenir Next Condensed"/>
          <w:spacing w:val="-2"/>
        </w:rPr>
        <w:t>development</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1"/>
        </w:rPr>
        <w:t>on</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2"/>
        </w:rPr>
        <w:t>water</w:t>
      </w:r>
      <w:r>
        <w:rPr>
          <w:rFonts w:ascii="Avenir Next Condensed" w:eastAsia="Avenir Next Condensed" w:hAnsi="Avenir Next Condensed" w:cs="Avenir Next Condensed"/>
          <w:spacing w:val="-4"/>
        </w:rPr>
        <w:t xml:space="preserve"> </w:t>
      </w:r>
      <w:r>
        <w:rPr>
          <w:rFonts w:ascii="Avenir Next Condensed" w:eastAsia="Avenir Next Condensed" w:hAnsi="Avenir Next Condensed" w:cs="Avenir Next Condensed"/>
          <w:spacing w:val="-3"/>
        </w:rPr>
        <w:t>quality.</w:t>
      </w:r>
    </w:p>
    <w:p w:rsidR="00D96B91" w:rsidRDefault="00C2656B">
      <w:pPr>
        <w:pStyle w:val="BodyText"/>
        <w:tabs>
          <w:tab w:val="left" w:pos="3670"/>
        </w:tabs>
        <w:spacing w:before="113" w:line="260" w:lineRule="exact"/>
        <w:ind w:left="1417" w:right="1585"/>
        <w:rPr>
          <w:rFonts w:ascii="Avenir Next Condensed" w:eastAsia="Avenir Next Condensed" w:hAnsi="Avenir Next Condensed" w:cs="Avenir Next Condensed"/>
        </w:rPr>
      </w:pPr>
      <w:r>
        <w:rPr>
          <w:rFonts w:ascii="Avenir Next Condensed"/>
          <w:b/>
          <w:spacing w:val="-3"/>
        </w:rPr>
        <w:t>Water</w:t>
      </w:r>
      <w:r>
        <w:rPr>
          <w:rFonts w:ascii="Avenir Next Condensed"/>
          <w:b/>
          <w:spacing w:val="-4"/>
        </w:rPr>
        <w:t xml:space="preserve"> </w:t>
      </w:r>
      <w:r>
        <w:rPr>
          <w:rFonts w:ascii="Avenir Next Condensed"/>
          <w:b/>
          <w:spacing w:val="-2"/>
        </w:rPr>
        <w:t>customers</w:t>
      </w:r>
      <w:r>
        <w:rPr>
          <w:rFonts w:ascii="Avenir Next Condensed"/>
          <w:b/>
          <w:spacing w:val="-6"/>
        </w:rPr>
        <w:t xml:space="preserve"> </w:t>
      </w:r>
      <w:r>
        <w:rPr>
          <w:rFonts w:ascii="Avenir Next Condensed"/>
          <w:spacing w:val="-2"/>
        </w:rPr>
        <w:t>are</w:t>
      </w:r>
      <w:r>
        <w:rPr>
          <w:rFonts w:ascii="Avenir Next Condensed"/>
          <w:spacing w:val="-4"/>
        </w:rPr>
        <w:t xml:space="preserve"> </w:t>
      </w:r>
      <w:r>
        <w:rPr>
          <w:rFonts w:ascii="Avenir Next Condensed"/>
          <w:spacing w:val="-2"/>
        </w:rPr>
        <w:t>best</w:t>
      </w:r>
      <w:r>
        <w:rPr>
          <w:rFonts w:ascii="Avenir Next Condensed"/>
          <w:spacing w:val="-4"/>
        </w:rPr>
        <w:t xml:space="preserve"> </w:t>
      </w:r>
      <w:r>
        <w:rPr>
          <w:rFonts w:ascii="Avenir Next Condensed"/>
          <w:spacing w:val="-2"/>
        </w:rPr>
        <w:t>placed</w:t>
      </w:r>
      <w:r>
        <w:rPr>
          <w:rFonts w:ascii="Avenir Next Condensed"/>
          <w:spacing w:val="-4"/>
        </w:rPr>
        <w:t xml:space="preserve"> </w:t>
      </w:r>
      <w:r>
        <w:rPr>
          <w:rFonts w:ascii="Avenir Next Condensed"/>
          <w:spacing w:val="-1"/>
        </w:rPr>
        <w:t>to</w:t>
      </w:r>
      <w:r>
        <w:rPr>
          <w:rFonts w:ascii="Avenir Next Condensed"/>
          <w:spacing w:val="-4"/>
        </w:rPr>
        <w:t xml:space="preserve"> </w:t>
      </w:r>
      <w:r>
        <w:rPr>
          <w:rFonts w:ascii="Avenir Next Condensed"/>
          <w:spacing w:val="-3"/>
        </w:rPr>
        <w:t>make</w:t>
      </w:r>
      <w:r>
        <w:rPr>
          <w:rFonts w:ascii="Avenir Next Condensed"/>
          <w:spacing w:val="-4"/>
        </w:rPr>
        <w:t xml:space="preserve"> </w:t>
      </w:r>
      <w:r>
        <w:rPr>
          <w:rFonts w:ascii="Avenir Next Condensed"/>
          <w:spacing w:val="-2"/>
        </w:rPr>
        <w:t>decisions</w:t>
      </w:r>
      <w:r>
        <w:rPr>
          <w:rFonts w:ascii="Avenir Next Condensed"/>
          <w:spacing w:val="-4"/>
        </w:rPr>
        <w:t xml:space="preserve"> </w:t>
      </w:r>
      <w:r>
        <w:rPr>
          <w:rFonts w:ascii="Avenir Next Condensed"/>
          <w:spacing w:val="-2"/>
        </w:rPr>
        <w:t>about</w:t>
      </w:r>
      <w:r>
        <w:rPr>
          <w:rFonts w:ascii="Avenir Next Condensed"/>
          <w:spacing w:val="-4"/>
        </w:rPr>
        <w:t xml:space="preserve"> </w:t>
      </w:r>
      <w:r>
        <w:rPr>
          <w:rFonts w:ascii="Avenir Next Condensed"/>
          <w:spacing w:val="-2"/>
        </w:rPr>
        <w:t>their</w:t>
      </w:r>
      <w:r>
        <w:rPr>
          <w:rFonts w:ascii="Avenir Next Condensed"/>
          <w:spacing w:val="-4"/>
        </w:rPr>
        <w:t xml:space="preserve"> </w:t>
      </w:r>
      <w:r>
        <w:rPr>
          <w:rFonts w:ascii="Avenir Next Condensed"/>
          <w:spacing w:val="-2"/>
        </w:rPr>
        <w:t>own</w:t>
      </w:r>
      <w:r>
        <w:rPr>
          <w:rFonts w:ascii="Avenir Next Condensed"/>
          <w:spacing w:val="-4"/>
        </w:rPr>
        <w:t xml:space="preserve"> </w:t>
      </w:r>
      <w:r>
        <w:rPr>
          <w:rFonts w:ascii="Avenir Next Condensed"/>
          <w:spacing w:val="-2"/>
        </w:rPr>
        <w:t>consumption</w:t>
      </w:r>
      <w:r>
        <w:rPr>
          <w:rFonts w:ascii="Avenir Next Condensed"/>
          <w:spacing w:val="-4"/>
        </w:rPr>
        <w:t xml:space="preserve"> </w:t>
      </w:r>
      <w:r>
        <w:rPr>
          <w:rFonts w:ascii="Avenir Next Condensed"/>
          <w:spacing w:val="-3"/>
        </w:rPr>
        <w:t>patterns,</w:t>
      </w:r>
      <w:r>
        <w:rPr>
          <w:rFonts w:ascii="Avenir Next Condensed"/>
          <w:spacing w:val="-10"/>
        </w:rPr>
        <w:t xml:space="preserve"> </w:t>
      </w:r>
      <w:r>
        <w:rPr>
          <w:rFonts w:ascii="Avenir Next Condensed"/>
          <w:spacing w:val="-2"/>
        </w:rPr>
        <w:t>although</w:t>
      </w:r>
      <w:r>
        <w:rPr>
          <w:rFonts w:ascii="Avenir Next Condensed"/>
          <w:spacing w:val="-4"/>
        </w:rPr>
        <w:t xml:space="preserve"> </w:t>
      </w:r>
      <w:r>
        <w:rPr>
          <w:rFonts w:ascii="Avenir Next Condensed"/>
          <w:spacing w:val="-2"/>
        </w:rPr>
        <w:t>governments</w:t>
      </w:r>
      <w:r>
        <w:rPr>
          <w:rFonts w:ascii="Avenir Next Condensed"/>
          <w:spacing w:val="-4"/>
        </w:rPr>
        <w:t xml:space="preserve"> </w:t>
      </w:r>
      <w:r>
        <w:rPr>
          <w:rFonts w:ascii="Avenir Next Condensed"/>
          <w:spacing w:val="-2"/>
        </w:rPr>
        <w:t>and</w:t>
      </w:r>
      <w:r>
        <w:rPr>
          <w:rFonts w:ascii="Avenir Next Condensed"/>
          <w:spacing w:val="-4"/>
        </w:rPr>
        <w:t xml:space="preserve"> </w:t>
      </w:r>
      <w:r>
        <w:rPr>
          <w:rFonts w:ascii="Avenir Next Condensed"/>
          <w:spacing w:val="-2"/>
        </w:rPr>
        <w:t>utilities</w:t>
      </w:r>
      <w:r>
        <w:rPr>
          <w:rFonts w:ascii="Avenir Next Condensed"/>
          <w:spacing w:val="-4"/>
        </w:rPr>
        <w:t xml:space="preserve"> </w:t>
      </w:r>
      <w:r>
        <w:rPr>
          <w:rFonts w:ascii="Avenir Next Condensed"/>
          <w:spacing w:val="-2"/>
        </w:rPr>
        <w:t>can</w:t>
      </w:r>
      <w:r>
        <w:rPr>
          <w:rFonts w:ascii="Avenir Next Condensed"/>
          <w:spacing w:val="78"/>
        </w:rPr>
        <w:t xml:space="preserve"> </w:t>
      </w:r>
      <w:r>
        <w:rPr>
          <w:rFonts w:ascii="Avenir Next Condensed"/>
          <w:spacing w:val="-2"/>
        </w:rPr>
        <w:t>facilitate</w:t>
      </w:r>
      <w:r>
        <w:rPr>
          <w:rFonts w:ascii="Avenir Next Condensed"/>
          <w:spacing w:val="-4"/>
        </w:rPr>
        <w:t xml:space="preserve"> </w:t>
      </w:r>
      <w:r>
        <w:rPr>
          <w:rFonts w:ascii="Avenir Next Condensed"/>
          <w:spacing w:val="-2"/>
        </w:rPr>
        <w:t>this</w:t>
      </w:r>
      <w:r>
        <w:rPr>
          <w:rFonts w:ascii="Avenir Next Condensed"/>
          <w:spacing w:val="-4"/>
        </w:rPr>
        <w:t xml:space="preserve"> </w:t>
      </w:r>
      <w:r>
        <w:rPr>
          <w:rFonts w:ascii="Avenir Next Condensed"/>
          <w:spacing w:val="-1"/>
        </w:rPr>
        <w:t>by</w:t>
      </w:r>
      <w:r>
        <w:rPr>
          <w:rFonts w:ascii="Avenir Next Condensed"/>
          <w:spacing w:val="-4"/>
        </w:rPr>
        <w:t xml:space="preserve"> </w:t>
      </w:r>
      <w:r>
        <w:rPr>
          <w:rFonts w:ascii="Avenir Next Condensed"/>
          <w:spacing w:val="-2"/>
        </w:rPr>
        <w:t>pricing</w:t>
      </w:r>
      <w:r>
        <w:rPr>
          <w:rFonts w:ascii="Avenir Next Condensed"/>
          <w:spacing w:val="-4"/>
        </w:rPr>
        <w:t xml:space="preserve"> </w:t>
      </w:r>
      <w:r>
        <w:rPr>
          <w:rFonts w:ascii="Avenir Next Condensed"/>
          <w:spacing w:val="-2"/>
        </w:rPr>
        <w:t>effi</w:t>
      </w:r>
      <w:r w:rsidR="00255AC1">
        <w:rPr>
          <w:rFonts w:ascii="Avenir Next Condensed"/>
          <w:spacing w:val="-2"/>
        </w:rPr>
        <w:t>ciently</w:t>
      </w:r>
      <w:r>
        <w:rPr>
          <w:rFonts w:ascii="Avenir Next Condensed"/>
        </w:rPr>
        <w:t>,</w:t>
      </w:r>
      <w:r>
        <w:rPr>
          <w:rFonts w:ascii="Avenir Next Condensed"/>
          <w:spacing w:val="-10"/>
        </w:rPr>
        <w:t xml:space="preserve"> </w:t>
      </w:r>
      <w:r>
        <w:rPr>
          <w:rFonts w:ascii="Avenir Next Condensed"/>
          <w:spacing w:val="-2"/>
        </w:rPr>
        <w:t>providing</w:t>
      </w:r>
      <w:r>
        <w:rPr>
          <w:rFonts w:ascii="Avenir Next Condensed"/>
          <w:spacing w:val="-4"/>
        </w:rPr>
        <w:t xml:space="preserve"> </w:t>
      </w:r>
      <w:r>
        <w:rPr>
          <w:rFonts w:ascii="Avenir Next Condensed"/>
          <w:spacing w:val="-2"/>
        </w:rPr>
        <w:t>choice</w:t>
      </w:r>
      <w:r>
        <w:rPr>
          <w:rFonts w:ascii="Avenir Next Condensed"/>
          <w:spacing w:val="-4"/>
        </w:rPr>
        <w:t xml:space="preserve"> </w:t>
      </w:r>
      <w:r>
        <w:rPr>
          <w:rFonts w:ascii="Avenir Next Condensed"/>
          <w:spacing w:val="-1"/>
        </w:rPr>
        <w:t>in</w:t>
      </w:r>
      <w:r>
        <w:rPr>
          <w:rFonts w:ascii="Avenir Next Condensed"/>
          <w:spacing w:val="-4"/>
        </w:rPr>
        <w:t xml:space="preserve"> </w:t>
      </w:r>
      <w:r>
        <w:rPr>
          <w:rFonts w:ascii="Avenir Next Condensed"/>
          <w:spacing w:val="-3"/>
        </w:rPr>
        <w:t>tariff</w:t>
      </w:r>
      <w:r>
        <w:rPr>
          <w:rFonts w:ascii="Avenir Next Condensed"/>
        </w:rPr>
        <w:t xml:space="preserve"> </w:t>
      </w:r>
      <w:r>
        <w:rPr>
          <w:rFonts w:ascii="Avenir Next Condensed"/>
          <w:spacing w:val="-2"/>
        </w:rPr>
        <w:t>and</w:t>
      </w:r>
      <w:r>
        <w:rPr>
          <w:rFonts w:ascii="Avenir Next Condensed"/>
          <w:spacing w:val="-4"/>
        </w:rPr>
        <w:t xml:space="preserve"> </w:t>
      </w:r>
      <w:r>
        <w:rPr>
          <w:rFonts w:ascii="Avenir Next Condensed"/>
          <w:spacing w:val="-2"/>
        </w:rPr>
        <w:t>service</w:t>
      </w:r>
      <w:r>
        <w:rPr>
          <w:rFonts w:ascii="Avenir Next Condensed"/>
          <w:spacing w:val="-4"/>
        </w:rPr>
        <w:t xml:space="preserve"> </w:t>
      </w:r>
      <w:r>
        <w:rPr>
          <w:rFonts w:ascii="Avenir Next Condensed"/>
          <w:spacing w:val="-3"/>
        </w:rPr>
        <w:t>offerings,</w:t>
      </w:r>
      <w:r>
        <w:rPr>
          <w:rFonts w:ascii="Avenir Next Condensed"/>
          <w:spacing w:val="-10"/>
        </w:rPr>
        <w:t xml:space="preserve"> </w:t>
      </w:r>
      <w:r>
        <w:rPr>
          <w:rFonts w:ascii="Avenir Next Condensed"/>
          <w:spacing w:val="-2"/>
        </w:rPr>
        <w:t>and</w:t>
      </w:r>
      <w:r>
        <w:rPr>
          <w:rFonts w:ascii="Avenir Next Condensed"/>
          <w:spacing w:val="-4"/>
        </w:rPr>
        <w:t xml:space="preserve"> </w:t>
      </w:r>
      <w:r>
        <w:rPr>
          <w:rFonts w:ascii="Avenir Next Condensed"/>
          <w:spacing w:val="-2"/>
        </w:rPr>
        <w:t>consulting</w:t>
      </w:r>
      <w:r>
        <w:rPr>
          <w:rFonts w:ascii="Avenir Next Condensed"/>
          <w:spacing w:val="-4"/>
        </w:rPr>
        <w:t xml:space="preserve"> </w:t>
      </w:r>
      <w:r>
        <w:rPr>
          <w:rFonts w:ascii="Avenir Next Condensed"/>
          <w:spacing w:val="-2"/>
        </w:rPr>
        <w:t>with</w:t>
      </w:r>
      <w:r>
        <w:rPr>
          <w:rFonts w:ascii="Avenir Next Condensed"/>
          <w:spacing w:val="-4"/>
        </w:rPr>
        <w:t xml:space="preserve"> </w:t>
      </w:r>
      <w:r>
        <w:rPr>
          <w:rFonts w:ascii="Avenir Next Condensed"/>
          <w:spacing w:val="-2"/>
        </w:rPr>
        <w:t>consumers</w:t>
      </w:r>
      <w:r>
        <w:rPr>
          <w:rFonts w:ascii="Avenir Next Condensed"/>
          <w:spacing w:val="-4"/>
        </w:rPr>
        <w:t xml:space="preserve"> </w:t>
      </w:r>
      <w:r>
        <w:rPr>
          <w:rFonts w:ascii="Avenir Next Condensed"/>
          <w:spacing w:val="-2"/>
        </w:rPr>
        <w:t>about</w:t>
      </w:r>
      <w:r>
        <w:rPr>
          <w:rFonts w:ascii="Avenir Next Condensed"/>
          <w:spacing w:val="-4"/>
        </w:rPr>
        <w:t xml:space="preserve"> </w:t>
      </w:r>
      <w:r>
        <w:rPr>
          <w:rFonts w:ascii="Avenir Next Condensed"/>
          <w:spacing w:val="-2"/>
        </w:rPr>
        <w:t>pricing</w:t>
      </w:r>
      <w:r>
        <w:rPr>
          <w:rFonts w:ascii="Avenir Next Condensed"/>
          <w:spacing w:val="-4"/>
        </w:rPr>
        <w:t xml:space="preserve"> </w:t>
      </w:r>
      <w:r>
        <w:rPr>
          <w:rFonts w:ascii="Avenir Next Condensed"/>
          <w:spacing w:val="-2"/>
        </w:rPr>
        <w:t>and</w:t>
      </w:r>
      <w:r>
        <w:rPr>
          <w:rFonts w:ascii="Avenir Next Condensed"/>
          <w:spacing w:val="76"/>
        </w:rPr>
        <w:t xml:space="preserve"> </w:t>
      </w:r>
      <w:r>
        <w:rPr>
          <w:rFonts w:ascii="Avenir Next Condensed"/>
          <w:spacing w:val="-2"/>
        </w:rPr>
        <w:t>supply</w:t>
      </w:r>
      <w:r>
        <w:rPr>
          <w:rFonts w:ascii="Avenir Next Condensed"/>
          <w:spacing w:val="-4"/>
        </w:rPr>
        <w:t xml:space="preserve"> </w:t>
      </w:r>
      <w:r>
        <w:rPr>
          <w:rFonts w:ascii="Avenir Next Condensed"/>
          <w:spacing w:val="-2"/>
        </w:rPr>
        <w:t>augmentation</w:t>
      </w:r>
      <w:r>
        <w:rPr>
          <w:rFonts w:ascii="Avenir Next Condensed"/>
          <w:spacing w:val="-4"/>
        </w:rPr>
        <w:t xml:space="preserve"> </w:t>
      </w:r>
      <w:r>
        <w:rPr>
          <w:rFonts w:ascii="Avenir Next Condensed"/>
          <w:spacing w:val="-2"/>
        </w:rPr>
        <w:t>options.</w:t>
      </w:r>
    </w:p>
    <w:p w:rsidR="00D96B91" w:rsidRDefault="00D96B91">
      <w:pPr>
        <w:spacing w:before="6"/>
        <w:rPr>
          <w:rFonts w:ascii="Avenir Next Condensed" w:eastAsia="Avenir Next Condensed" w:hAnsi="Avenir Next Condensed" w:cs="Avenir Next Condensed"/>
          <w:sz w:val="17"/>
          <w:szCs w:val="17"/>
        </w:rPr>
      </w:pPr>
    </w:p>
    <w:p w:rsidR="00D96B91" w:rsidRDefault="00C2656B">
      <w:pPr>
        <w:ind w:left="1247"/>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Drawn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Chapter 10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Productivity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Commission,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October 2011,</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Australia’s</w:t>
      </w:r>
      <w:r>
        <w:rPr>
          <w:rFonts w:ascii="Avenir Next" w:eastAsia="Avenir Next" w:hAnsi="Avenir Next" w:cs="Avenir Next"/>
          <w:sz w:val="16"/>
          <w:szCs w:val="16"/>
        </w:rPr>
        <w:t xml:space="preserve"> Urban</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Sector,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p>
    <w:p w:rsidR="00D96B91" w:rsidRDefault="00D96B91">
      <w:pPr>
        <w:rPr>
          <w:rFonts w:ascii="Avenir Next" w:eastAsia="Avenir Next" w:hAnsi="Avenir Next" w:cs="Avenir Next"/>
          <w:sz w:val="16"/>
          <w:szCs w:val="16"/>
        </w:rPr>
      </w:pPr>
    </w:p>
    <w:p w:rsidR="00D96B91" w:rsidRDefault="00C2656B">
      <w:pPr>
        <w:pStyle w:val="Heading4"/>
        <w:tabs>
          <w:tab w:val="left" w:pos="2040"/>
        </w:tabs>
        <w:spacing w:before="123"/>
      </w:pPr>
      <w:r>
        <w:rPr>
          <w:color w:val="0778BE"/>
        </w:rPr>
        <w:t>3.</w:t>
      </w:r>
      <w:r>
        <w:rPr>
          <w:color w:val="0778BE"/>
          <w:spacing w:val="-9"/>
        </w:rPr>
        <w:t xml:space="preserve"> </w:t>
      </w:r>
      <w:r>
        <w:rPr>
          <w:color w:val="0778BE"/>
        </w:rPr>
        <w:t>2</w:t>
      </w:r>
      <w:r>
        <w:rPr>
          <w:color w:val="0778BE"/>
        </w:rPr>
        <w:tab/>
      </w:r>
      <w:r>
        <w:rPr>
          <w:color w:val="0778BE"/>
          <w:spacing w:val="-1"/>
        </w:rPr>
        <w:t>Implications</w:t>
      </w:r>
      <w:r>
        <w:rPr>
          <w:color w:val="0778BE"/>
        </w:rPr>
        <w:t xml:space="preserve"> of</w:t>
      </w:r>
      <w:r>
        <w:rPr>
          <w:color w:val="0778BE"/>
          <w:spacing w:val="7"/>
        </w:rPr>
        <w:t xml:space="preserve"> </w:t>
      </w:r>
      <w:r>
        <w:rPr>
          <w:color w:val="0778BE"/>
        </w:rPr>
        <w:t xml:space="preserve">the </w:t>
      </w:r>
      <w:r>
        <w:rPr>
          <w:color w:val="0778BE"/>
          <w:spacing w:val="-1"/>
        </w:rPr>
        <w:t>Competition</w:t>
      </w:r>
      <w:r>
        <w:rPr>
          <w:color w:val="0778BE"/>
        </w:rPr>
        <w:t xml:space="preserve"> </w:t>
      </w:r>
      <w:r>
        <w:rPr>
          <w:color w:val="0778BE"/>
          <w:spacing w:val="-2"/>
        </w:rPr>
        <w:t>Principles</w:t>
      </w:r>
      <w:r>
        <w:rPr>
          <w:color w:val="0778BE"/>
          <w:spacing w:val="-6"/>
        </w:rPr>
        <w:t xml:space="preserve"> </w:t>
      </w:r>
      <w:r>
        <w:rPr>
          <w:color w:val="0778BE"/>
          <w:spacing w:val="-1"/>
        </w:rPr>
        <w:t>Agreement</w:t>
      </w:r>
    </w:p>
    <w:p w:rsidR="00D96B91" w:rsidRDefault="00C2656B">
      <w:pPr>
        <w:pStyle w:val="BodyText"/>
        <w:spacing w:before="55" w:line="260" w:lineRule="exact"/>
        <w:ind w:right="1283"/>
      </w:pPr>
      <w:r>
        <w:rPr>
          <w:rFonts w:cs="Avenir Next"/>
        </w:rPr>
        <w:t>A</w:t>
      </w:r>
      <w:r>
        <w:rPr>
          <w:rFonts w:cs="Avenir Next"/>
          <w:spacing w:val="-4"/>
        </w:rPr>
        <w:t xml:space="preserve"> </w:t>
      </w:r>
      <w:r>
        <w:rPr>
          <w:rFonts w:cs="Avenir Next"/>
        </w:rPr>
        <w:t>number of</w:t>
      </w:r>
      <w:r>
        <w:rPr>
          <w:rFonts w:cs="Avenir Next"/>
          <w:spacing w:val="4"/>
        </w:rPr>
        <w:t xml:space="preserve"> </w:t>
      </w:r>
      <w:r>
        <w:rPr>
          <w:rFonts w:cs="Avenir Next"/>
        </w:rPr>
        <w:t xml:space="preserve">submissions to the </w:t>
      </w:r>
      <w:r>
        <w:rPr>
          <w:rFonts w:cs="Avenir Next"/>
          <w:spacing w:val="-3"/>
        </w:rPr>
        <w:t>Panel</w:t>
      </w:r>
      <w:r>
        <w:rPr>
          <w:rFonts w:cs="Avenir Next"/>
        </w:rPr>
        <w:t xml:space="preserve"> in Phase 1 of</w:t>
      </w:r>
      <w:r>
        <w:rPr>
          <w:rFonts w:cs="Avenir Next"/>
          <w:spacing w:val="4"/>
        </w:rPr>
        <w:t xml:space="preserve"> </w:t>
      </w:r>
      <w:r>
        <w:rPr>
          <w:rFonts w:cs="Avenir Next"/>
        </w:rPr>
        <w:t xml:space="preserve">the </w:t>
      </w:r>
      <w:r>
        <w:rPr>
          <w:rFonts w:cs="Avenir Next"/>
          <w:spacing w:val="-1"/>
        </w:rPr>
        <w:t>review</w:t>
      </w:r>
      <w:r>
        <w:rPr>
          <w:rFonts w:cs="Avenir Next"/>
        </w:rPr>
        <w:t xml:space="preserve"> </w:t>
      </w:r>
      <w:r>
        <w:rPr>
          <w:rFonts w:cs="Avenir Next"/>
          <w:spacing w:val="-1"/>
        </w:rPr>
        <w:t>process</w:t>
      </w:r>
      <w:r>
        <w:rPr>
          <w:rFonts w:cs="Avenir Next"/>
        </w:rPr>
        <w:t xml:space="preserve"> </w:t>
      </w:r>
      <w:r>
        <w:rPr>
          <w:rFonts w:cs="Avenir Next"/>
          <w:spacing w:val="-1"/>
        </w:rPr>
        <w:t>argued</w:t>
      </w:r>
      <w:r>
        <w:rPr>
          <w:rFonts w:cs="Avenir Next"/>
        </w:rPr>
        <w:t xml:space="preserve"> </w:t>
      </w:r>
      <w:r>
        <w:rPr>
          <w:rFonts w:cs="Avenir Next"/>
          <w:spacing w:val="-1"/>
        </w:rPr>
        <w:t>that</w:t>
      </w:r>
      <w:r>
        <w:rPr>
          <w:rFonts w:cs="Avenir Next"/>
        </w:rPr>
        <w:t xml:space="preserve"> the </w:t>
      </w:r>
      <w:r>
        <w:rPr>
          <w:rFonts w:cs="Avenir Next"/>
          <w:spacing w:val="-3"/>
        </w:rPr>
        <w:t>Panel</w:t>
      </w:r>
      <w:r>
        <w:rPr>
          <w:rFonts w:cs="Avenir Next"/>
        </w:rPr>
        <w:t xml:space="preserve"> should</w:t>
      </w:r>
      <w:r>
        <w:rPr>
          <w:rFonts w:cs="Avenir Next"/>
          <w:spacing w:val="27"/>
        </w:rPr>
        <w:t xml:space="preserve"> </w:t>
      </w:r>
      <w:r>
        <w:rPr>
          <w:spacing w:val="-1"/>
        </w:rPr>
        <w:t>take</w:t>
      </w:r>
      <w:r>
        <w:t xml:space="preserve"> account of</w:t>
      </w:r>
      <w:r>
        <w:rPr>
          <w:spacing w:val="4"/>
        </w:rPr>
        <w:t xml:space="preserve"> </w:t>
      </w:r>
      <w:r>
        <w:t>the public ownership of</w:t>
      </w:r>
      <w:r>
        <w:rPr>
          <w:spacing w:val="1"/>
        </w:rPr>
        <w:t xml:space="preserve"> </w:t>
      </w:r>
      <w:r>
        <w:rPr>
          <w:spacing w:val="-2"/>
        </w:rPr>
        <w:t>ACTEW</w:t>
      </w:r>
      <w:r>
        <w:rPr>
          <w:spacing w:val="-3"/>
        </w:rPr>
        <w:t xml:space="preserve"> </w:t>
      </w:r>
      <w:r>
        <w:t xml:space="preserve">when making its price decision – </w:t>
      </w:r>
      <w:r>
        <w:rPr>
          <w:spacing w:val="-1"/>
        </w:rPr>
        <w:t>particularly</w:t>
      </w:r>
      <w:r>
        <w:t xml:space="preserve"> when</w:t>
      </w:r>
      <w:r>
        <w:rPr>
          <w:spacing w:val="27"/>
        </w:rPr>
        <w:t xml:space="preserve"> </w:t>
      </w:r>
      <w:r>
        <w:t xml:space="preserve">considering the </w:t>
      </w:r>
      <w:r>
        <w:rPr>
          <w:spacing w:val="-1"/>
        </w:rPr>
        <w:t>appropriate</w:t>
      </w:r>
      <w:r>
        <w:t xml:space="preserve"> </w:t>
      </w:r>
      <w:r>
        <w:rPr>
          <w:spacing w:val="-2"/>
        </w:rPr>
        <w:t>rate</w:t>
      </w:r>
      <w:r>
        <w:t xml:space="preserve"> of</w:t>
      </w:r>
      <w:r>
        <w:rPr>
          <w:spacing w:val="4"/>
        </w:rPr>
        <w:t xml:space="preserve"> </w:t>
      </w:r>
      <w:r>
        <w:rPr>
          <w:spacing w:val="-1"/>
        </w:rPr>
        <w:t>return.</w:t>
      </w:r>
      <w:r>
        <w:rPr>
          <w:spacing w:val="-6"/>
        </w:rPr>
        <w:t xml:space="preserve"> </w:t>
      </w:r>
      <w:r>
        <w:rPr>
          <w:spacing w:val="-2"/>
        </w:rPr>
        <w:t>However,</w:t>
      </w:r>
      <w:r>
        <w:rPr>
          <w:spacing w:val="-6"/>
        </w:rPr>
        <w:t xml:space="preserve"> </w:t>
      </w:r>
      <w:r>
        <w:t xml:space="preserve">the </w:t>
      </w:r>
      <w:r>
        <w:rPr>
          <w:spacing w:val="-3"/>
        </w:rPr>
        <w:t>Panel</w:t>
      </w:r>
      <w:r>
        <w:t xml:space="preserve"> considers </w:t>
      </w:r>
      <w:r>
        <w:rPr>
          <w:spacing w:val="-1"/>
        </w:rPr>
        <w:t>that</w:t>
      </w:r>
      <w:r>
        <w:t xml:space="preserve"> doing so would,</w:t>
      </w:r>
      <w:r>
        <w:rPr>
          <w:spacing w:val="-6"/>
        </w:rPr>
        <w:t xml:space="preserve"> </w:t>
      </w:r>
      <w:r>
        <w:t>inter</w:t>
      </w:r>
    </w:p>
    <w:p w:rsidR="00D96B91" w:rsidRDefault="00C2656B">
      <w:pPr>
        <w:pStyle w:val="BodyText"/>
        <w:spacing w:line="260" w:lineRule="exact"/>
        <w:ind w:right="1283"/>
        <w:rPr>
          <w:rFonts w:cs="Avenir Next"/>
          <w:sz w:val="11"/>
          <w:szCs w:val="11"/>
        </w:rPr>
      </w:pPr>
      <w:r>
        <w:t>alia,</w:t>
      </w:r>
      <w:r>
        <w:rPr>
          <w:spacing w:val="-6"/>
        </w:rPr>
        <w:t xml:space="preserve"> </w:t>
      </w:r>
      <w:r>
        <w:t xml:space="preserve">be </w:t>
      </w:r>
      <w:r>
        <w:rPr>
          <w:spacing w:val="-1"/>
        </w:rPr>
        <w:t>contrary</w:t>
      </w:r>
      <w:r>
        <w:t xml:space="preserve"> to the </w:t>
      </w:r>
      <w:r>
        <w:rPr>
          <w:spacing w:val="-1"/>
        </w:rPr>
        <w:t>Competition</w:t>
      </w:r>
      <w:r>
        <w:t xml:space="preserve"> </w:t>
      </w:r>
      <w:r>
        <w:rPr>
          <w:spacing w:val="-1"/>
        </w:rPr>
        <w:t>Principles</w:t>
      </w:r>
      <w:r>
        <w:rPr>
          <w:spacing w:val="-4"/>
        </w:rPr>
        <w:t xml:space="preserve"> </w:t>
      </w:r>
      <w:r>
        <w:rPr>
          <w:spacing w:val="-1"/>
        </w:rPr>
        <w:t>Agreement</w:t>
      </w:r>
      <w:r>
        <w:t xml:space="preserve"> </w:t>
      </w:r>
      <w:r>
        <w:rPr>
          <w:spacing w:val="-2"/>
        </w:rPr>
        <w:t>(CPA),</w:t>
      </w:r>
      <w:r>
        <w:rPr>
          <w:spacing w:val="-6"/>
        </w:rPr>
        <w:t xml:space="preserve"> </w:t>
      </w:r>
      <w:r>
        <w:t>which the</w:t>
      </w:r>
      <w:r>
        <w:rPr>
          <w:spacing w:val="-4"/>
        </w:rPr>
        <w:t xml:space="preserve"> </w:t>
      </w:r>
      <w:r>
        <w:rPr>
          <w:spacing w:val="-2"/>
        </w:rPr>
        <w:t>ACT</w:t>
      </w:r>
      <w:r>
        <w:rPr>
          <w:spacing w:val="-5"/>
        </w:rPr>
        <w:t xml:space="preserve"> </w:t>
      </w:r>
      <w:r>
        <w:t>and all other</w:t>
      </w:r>
      <w:r>
        <w:rPr>
          <w:spacing w:val="-4"/>
        </w:rPr>
        <w:t xml:space="preserve"> </w:t>
      </w:r>
      <w:r>
        <w:rPr>
          <w:spacing w:val="-1"/>
        </w:rPr>
        <w:t>Australian</w:t>
      </w:r>
      <w:r>
        <w:rPr>
          <w:spacing w:val="51"/>
        </w:rPr>
        <w:t xml:space="preserve"> </w:t>
      </w:r>
      <w:r>
        <w:rPr>
          <w:spacing w:val="-1"/>
        </w:rPr>
        <w:t>states</w:t>
      </w:r>
      <w:r>
        <w:t xml:space="preserve"> and</w:t>
      </w:r>
      <w:r>
        <w:rPr>
          <w:spacing w:val="1"/>
        </w:rPr>
        <w:t xml:space="preserve"> </w:t>
      </w:r>
      <w:r>
        <w:t>territories signed</w:t>
      </w:r>
      <w:r>
        <w:rPr>
          <w:spacing w:val="1"/>
        </w:rPr>
        <w:t xml:space="preserve"> </w:t>
      </w:r>
      <w:r>
        <w:t>in 1995</w:t>
      </w:r>
      <w:r>
        <w:rPr>
          <w:spacing w:val="1"/>
        </w:rPr>
        <w:t xml:space="preserve"> </w:t>
      </w:r>
      <w:r>
        <w:t xml:space="preserve">as </w:t>
      </w:r>
      <w:r>
        <w:rPr>
          <w:spacing w:val="-1"/>
        </w:rPr>
        <w:t>part</w:t>
      </w:r>
      <w:r>
        <w:rPr>
          <w:spacing w:val="1"/>
        </w:rPr>
        <w:t xml:space="preserve"> </w:t>
      </w:r>
      <w:r>
        <w:t>of</w:t>
      </w:r>
      <w:r>
        <w:rPr>
          <w:spacing w:val="4"/>
        </w:rPr>
        <w:t xml:space="preserve"> </w:t>
      </w:r>
      <w:r>
        <w:t>the</w:t>
      </w:r>
      <w:r>
        <w:rPr>
          <w:spacing w:val="1"/>
        </w:rPr>
        <w:t xml:space="preserve"> </w:t>
      </w:r>
      <w:r>
        <w:rPr>
          <w:spacing w:val="-1"/>
        </w:rPr>
        <w:t>National</w:t>
      </w:r>
      <w:r>
        <w:rPr>
          <w:spacing w:val="1"/>
        </w:rPr>
        <w:t xml:space="preserve"> </w:t>
      </w:r>
      <w:r>
        <w:rPr>
          <w:spacing w:val="-1"/>
        </w:rPr>
        <w:t>Competition</w:t>
      </w:r>
      <w:r>
        <w:t xml:space="preserve"> </w:t>
      </w:r>
      <w:r>
        <w:rPr>
          <w:spacing w:val="-3"/>
        </w:rPr>
        <w:t>Policy</w:t>
      </w:r>
      <w:r>
        <w:rPr>
          <w:spacing w:val="1"/>
        </w:rPr>
        <w:t xml:space="preserve"> </w:t>
      </w:r>
      <w:r>
        <w:rPr>
          <w:spacing w:val="-1"/>
        </w:rPr>
        <w:t>reform</w:t>
      </w:r>
      <w:r>
        <w:t xml:space="preserve"> </w:t>
      </w:r>
      <w:r>
        <w:rPr>
          <w:spacing w:val="-1"/>
        </w:rPr>
        <w:t>process.</w:t>
      </w:r>
      <w:r>
        <w:rPr>
          <w:spacing w:val="-1"/>
          <w:position w:val="7"/>
          <w:sz w:val="11"/>
        </w:rPr>
        <w:t>11</w:t>
      </w:r>
    </w:p>
    <w:p w:rsidR="00D96B91" w:rsidRDefault="00C2656B">
      <w:pPr>
        <w:pStyle w:val="BodyText"/>
        <w:spacing w:before="170" w:line="260" w:lineRule="exact"/>
        <w:ind w:right="1548"/>
        <w:rPr>
          <w:rFonts w:cs="Avenir Next"/>
        </w:rPr>
      </w:pPr>
      <w:r>
        <w:t xml:space="preserve">Under the </w:t>
      </w:r>
      <w:r>
        <w:rPr>
          <w:spacing w:val="-4"/>
        </w:rPr>
        <w:t>CPA,</w:t>
      </w:r>
      <w:r>
        <w:rPr>
          <w:spacing w:val="-6"/>
        </w:rPr>
        <w:t xml:space="preserve"> </w:t>
      </w:r>
      <w:r>
        <w:t xml:space="preserve">governments </w:t>
      </w:r>
      <w:r>
        <w:rPr>
          <w:spacing w:val="-1"/>
        </w:rPr>
        <w:t>agreed</w:t>
      </w:r>
      <w:r>
        <w:t xml:space="preserve"> to apply competitive </w:t>
      </w:r>
      <w:r>
        <w:rPr>
          <w:spacing w:val="-1"/>
        </w:rPr>
        <w:t>neutrality</w:t>
      </w:r>
      <w:r>
        <w:t xml:space="preserve"> principles,</w:t>
      </w:r>
      <w:r>
        <w:rPr>
          <w:spacing w:val="-6"/>
        </w:rPr>
        <w:t xml:space="preserve"> </w:t>
      </w:r>
      <w:r>
        <w:rPr>
          <w:spacing w:val="-1"/>
        </w:rPr>
        <w:t>where</w:t>
      </w:r>
      <w:r>
        <w:t xml:space="preserve"> </w:t>
      </w:r>
      <w:r>
        <w:rPr>
          <w:spacing w:val="-1"/>
        </w:rPr>
        <w:t>appropriate,</w:t>
      </w:r>
      <w:r>
        <w:rPr>
          <w:spacing w:val="39"/>
        </w:rPr>
        <w:t xml:space="preserve"> </w:t>
      </w:r>
      <w:r>
        <w:t>to</w:t>
      </w:r>
      <w:r>
        <w:rPr>
          <w:spacing w:val="-2"/>
        </w:rPr>
        <w:t xml:space="preserve"> </w:t>
      </w:r>
      <w:r>
        <w:t>all</w:t>
      </w:r>
      <w:r>
        <w:rPr>
          <w:spacing w:val="-1"/>
        </w:rPr>
        <w:t xml:space="preserve"> </w:t>
      </w:r>
      <w:r>
        <w:t>significant</w:t>
      </w:r>
      <w:r>
        <w:rPr>
          <w:spacing w:val="-1"/>
        </w:rPr>
        <w:t xml:space="preserve"> </w:t>
      </w:r>
      <w:r>
        <w:t>government-owned</w:t>
      </w:r>
      <w:r>
        <w:rPr>
          <w:spacing w:val="-1"/>
        </w:rPr>
        <w:t xml:space="preserve"> </w:t>
      </w:r>
      <w:r>
        <w:t>businesses.</w:t>
      </w:r>
      <w:r>
        <w:rPr>
          <w:spacing w:val="-12"/>
        </w:rPr>
        <w:t xml:space="preserve"> </w:t>
      </w:r>
      <w:r>
        <w:rPr>
          <w:spacing w:val="-2"/>
        </w:rPr>
        <w:t>The</w:t>
      </w:r>
      <w:r>
        <w:rPr>
          <w:spacing w:val="-1"/>
        </w:rPr>
        <w:t xml:space="preserve"> </w:t>
      </w:r>
      <w:r>
        <w:t>objective</w:t>
      </w:r>
      <w:r>
        <w:rPr>
          <w:spacing w:val="-1"/>
        </w:rPr>
        <w:t xml:space="preserve"> </w:t>
      </w:r>
      <w:r>
        <w:t>of</w:t>
      </w:r>
      <w:r>
        <w:rPr>
          <w:spacing w:val="3"/>
        </w:rPr>
        <w:t xml:space="preserve"> </w:t>
      </w:r>
      <w:r>
        <w:t>these</w:t>
      </w:r>
      <w:r>
        <w:rPr>
          <w:spacing w:val="-2"/>
        </w:rPr>
        <w:t xml:space="preserve"> </w:t>
      </w:r>
      <w:r>
        <w:t>principles</w:t>
      </w:r>
      <w:r>
        <w:rPr>
          <w:spacing w:val="-1"/>
        </w:rPr>
        <w:t xml:space="preserve"> </w:t>
      </w:r>
      <w:r>
        <w:t>is</w:t>
      </w:r>
      <w:r>
        <w:rPr>
          <w:spacing w:val="-1"/>
        </w:rPr>
        <w:t xml:space="preserve"> </w:t>
      </w:r>
      <w:r>
        <w:t>to</w:t>
      </w:r>
      <w:r>
        <w:rPr>
          <w:spacing w:val="-1"/>
        </w:rPr>
        <w:t xml:space="preserve"> </w:t>
      </w:r>
      <w:r>
        <w:t>the</w:t>
      </w:r>
      <w:r>
        <w:rPr>
          <w:spacing w:val="-1"/>
        </w:rPr>
        <w:t xml:space="preserve"> </w:t>
      </w:r>
      <w:r>
        <w:t>benefit</w:t>
      </w:r>
      <w:r>
        <w:rPr>
          <w:spacing w:val="-1"/>
        </w:rPr>
        <w:t xml:space="preserve"> </w:t>
      </w:r>
      <w:r>
        <w:t>of</w:t>
      </w:r>
      <w:r>
        <w:rPr>
          <w:spacing w:val="22"/>
        </w:rPr>
        <w:t xml:space="preserve"> </w:t>
      </w:r>
      <w:r>
        <w:t xml:space="preserve">consumers and taxpayers by ensuring </w:t>
      </w:r>
      <w:r>
        <w:rPr>
          <w:spacing w:val="-1"/>
        </w:rPr>
        <w:t>that</w:t>
      </w:r>
      <w:r>
        <w:t xml:space="preserve"> these businesses do not have an unfair advantage in the</w:t>
      </w:r>
    </w:p>
    <w:p w:rsidR="00D96B91" w:rsidRDefault="00C2656B">
      <w:pPr>
        <w:pStyle w:val="BodyText"/>
        <w:spacing w:line="260" w:lineRule="exact"/>
        <w:ind w:right="1256"/>
      </w:pPr>
      <w:r>
        <w:rPr>
          <w:spacing w:val="-1"/>
        </w:rPr>
        <w:t>market</w:t>
      </w:r>
      <w:r>
        <w:t xml:space="preserve"> place.</w:t>
      </w:r>
      <w:r>
        <w:rPr>
          <w:spacing w:val="-11"/>
        </w:rPr>
        <w:t xml:space="preserve"> </w:t>
      </w:r>
      <w:r>
        <w:rPr>
          <w:spacing w:val="-2"/>
        </w:rPr>
        <w:t>The</w:t>
      </w:r>
      <w:r>
        <w:t xml:space="preserve"> </w:t>
      </w:r>
      <w:r>
        <w:rPr>
          <w:spacing w:val="-4"/>
        </w:rPr>
        <w:t xml:space="preserve">CPA </w:t>
      </w:r>
      <w:r>
        <w:t>imposes a set of</w:t>
      </w:r>
      <w:r>
        <w:rPr>
          <w:spacing w:val="4"/>
        </w:rPr>
        <w:t xml:space="preserve"> </w:t>
      </w:r>
      <w:r>
        <w:rPr>
          <w:spacing w:val="-1"/>
        </w:rPr>
        <w:t>obligations</w:t>
      </w:r>
      <w:r>
        <w:t xml:space="preserve"> on all governments in </w:t>
      </w:r>
      <w:r>
        <w:rPr>
          <w:spacing w:val="-1"/>
        </w:rPr>
        <w:t>relation</w:t>
      </w:r>
      <w:r>
        <w:t xml:space="preserve"> to </w:t>
      </w:r>
      <w:r>
        <w:rPr>
          <w:spacing w:val="-1"/>
        </w:rPr>
        <w:t>taxation,</w:t>
      </w:r>
      <w:r>
        <w:rPr>
          <w:spacing w:val="-6"/>
        </w:rPr>
        <w:t xml:space="preserve"> </w:t>
      </w:r>
      <w:r>
        <w:t>debt and</w:t>
      </w:r>
      <w:r>
        <w:rPr>
          <w:spacing w:val="45"/>
        </w:rPr>
        <w:t xml:space="preserve"> </w:t>
      </w:r>
      <w:r>
        <w:rPr>
          <w:spacing w:val="-1"/>
        </w:rPr>
        <w:t>regulatory</w:t>
      </w:r>
      <w:r>
        <w:t xml:space="preserve"> </w:t>
      </w:r>
      <w:r>
        <w:rPr>
          <w:spacing w:val="-1"/>
        </w:rPr>
        <w:t>neutrality,</w:t>
      </w:r>
      <w:r>
        <w:rPr>
          <w:spacing w:val="-6"/>
        </w:rPr>
        <w:t xml:space="preserve"> </w:t>
      </w:r>
      <w:r>
        <w:t xml:space="preserve">full cost </w:t>
      </w:r>
      <w:r>
        <w:rPr>
          <w:spacing w:val="-1"/>
        </w:rPr>
        <w:t>attribution</w:t>
      </w:r>
      <w:r>
        <w:t xml:space="preserve"> and </w:t>
      </w:r>
      <w:r>
        <w:rPr>
          <w:spacing w:val="-1"/>
        </w:rPr>
        <w:t>setting</w:t>
      </w:r>
      <w:r>
        <w:t xml:space="preserve"> prices to </w:t>
      </w:r>
      <w:r>
        <w:rPr>
          <w:spacing w:val="-1"/>
        </w:rPr>
        <w:t>earn</w:t>
      </w:r>
      <w:r>
        <w:t xml:space="preserve"> a </w:t>
      </w:r>
      <w:r>
        <w:rPr>
          <w:spacing w:val="-1"/>
        </w:rPr>
        <w:t>commercial</w:t>
      </w:r>
      <w:r>
        <w:t xml:space="preserve"> </w:t>
      </w:r>
      <w:r>
        <w:rPr>
          <w:spacing w:val="-2"/>
        </w:rPr>
        <w:t>rate</w:t>
      </w:r>
      <w:r>
        <w:t xml:space="preserve"> of</w:t>
      </w:r>
      <w:r>
        <w:rPr>
          <w:spacing w:val="4"/>
        </w:rPr>
        <w:t xml:space="preserve"> </w:t>
      </w:r>
      <w:r>
        <w:rPr>
          <w:spacing w:val="-1"/>
        </w:rPr>
        <w:t>return.</w:t>
      </w:r>
    </w:p>
    <w:p w:rsidR="00D96B91" w:rsidRDefault="00C2656B">
      <w:pPr>
        <w:pStyle w:val="BodyText"/>
        <w:spacing w:before="170" w:line="260" w:lineRule="exact"/>
        <w:ind w:right="1270"/>
      </w:pPr>
      <w:r>
        <w:rPr>
          <w:spacing w:val="-2"/>
        </w:rPr>
        <w:t>The</w:t>
      </w:r>
      <w:r>
        <w:rPr>
          <w:spacing w:val="-1"/>
        </w:rPr>
        <w:t xml:space="preserve"> overarching</w:t>
      </w:r>
      <w:r>
        <w:t xml:space="preserve"> aim</w:t>
      </w:r>
      <w:r>
        <w:rPr>
          <w:spacing w:val="-1"/>
        </w:rPr>
        <w:t xml:space="preserve"> </w:t>
      </w:r>
      <w:r>
        <w:t>of</w:t>
      </w:r>
      <w:r>
        <w:rPr>
          <w:spacing w:val="4"/>
        </w:rPr>
        <w:t xml:space="preserve"> </w:t>
      </w:r>
      <w:r>
        <w:t xml:space="preserve">competitive </w:t>
      </w:r>
      <w:r>
        <w:rPr>
          <w:spacing w:val="-1"/>
        </w:rPr>
        <w:t xml:space="preserve">neutrality </w:t>
      </w:r>
      <w:r>
        <w:t>principles is</w:t>
      </w:r>
      <w:r>
        <w:rPr>
          <w:spacing w:val="-1"/>
        </w:rPr>
        <w:t xml:space="preserve"> </w:t>
      </w:r>
      <w:r>
        <w:t xml:space="preserve">to </w:t>
      </w:r>
      <w:r>
        <w:rPr>
          <w:spacing w:val="-1"/>
        </w:rPr>
        <w:t>promote</w:t>
      </w:r>
      <w:r>
        <w:t xml:space="preserve"> the</w:t>
      </w:r>
      <w:r>
        <w:rPr>
          <w:spacing w:val="-1"/>
        </w:rPr>
        <w:t xml:space="preserve"> efficient</w:t>
      </w:r>
      <w:r>
        <w:t xml:space="preserve"> </w:t>
      </w:r>
      <w:r>
        <w:rPr>
          <w:spacing w:val="-1"/>
        </w:rPr>
        <w:t xml:space="preserve">allocation </w:t>
      </w:r>
      <w:r>
        <w:t>of</w:t>
      </w:r>
      <w:r>
        <w:rPr>
          <w:spacing w:val="4"/>
        </w:rPr>
        <w:t xml:space="preserve"> </w:t>
      </w:r>
      <w:r>
        <w:rPr>
          <w:spacing w:val="-1"/>
        </w:rPr>
        <w:t>scarce</w:t>
      </w:r>
      <w:r>
        <w:rPr>
          <w:spacing w:val="63"/>
        </w:rPr>
        <w:t xml:space="preserve"> </w:t>
      </w:r>
      <w:r>
        <w:rPr>
          <w:spacing w:val="-1"/>
        </w:rPr>
        <w:t>resources</w:t>
      </w:r>
      <w:r>
        <w:t xml:space="preserve"> by ensuring those </w:t>
      </w:r>
      <w:r>
        <w:rPr>
          <w:spacing w:val="-1"/>
        </w:rPr>
        <w:t>resources</w:t>
      </w:r>
      <w:r>
        <w:t xml:space="preserve"> </w:t>
      </w:r>
      <w:r>
        <w:rPr>
          <w:spacing w:val="-2"/>
        </w:rPr>
        <w:t>are</w:t>
      </w:r>
      <w:r>
        <w:t xml:space="preserve"> applied to their highest value use.</w:t>
      </w:r>
      <w:r>
        <w:rPr>
          <w:spacing w:val="-11"/>
        </w:rPr>
        <w:t xml:space="preserve"> </w:t>
      </w:r>
      <w:r>
        <w:rPr>
          <w:spacing w:val="-10"/>
        </w:rPr>
        <w:t>To</w:t>
      </w:r>
      <w:r>
        <w:t xml:space="preserve"> this end,</w:t>
      </w:r>
      <w:r>
        <w:rPr>
          <w:spacing w:val="-6"/>
        </w:rPr>
        <w:t xml:space="preserve"> </w:t>
      </w:r>
      <w:r>
        <w:t xml:space="preserve">the </w:t>
      </w:r>
      <w:r>
        <w:rPr>
          <w:spacing w:val="-4"/>
        </w:rPr>
        <w:t xml:space="preserve">CPA </w:t>
      </w:r>
      <w:r>
        <w:rPr>
          <w:spacing w:val="-1"/>
        </w:rPr>
        <w:t>seeks</w:t>
      </w:r>
      <w:r>
        <w:rPr>
          <w:spacing w:val="28"/>
        </w:rPr>
        <w:t xml:space="preserve"> </w:t>
      </w:r>
      <w:r>
        <w:t xml:space="preserve">to </w:t>
      </w:r>
      <w:r>
        <w:rPr>
          <w:spacing w:val="-1"/>
        </w:rPr>
        <w:t>ensure</w:t>
      </w:r>
      <w:r>
        <w:t xml:space="preserve"> government-owned businesses </w:t>
      </w:r>
      <w:r>
        <w:rPr>
          <w:spacing w:val="-1"/>
        </w:rPr>
        <w:t>like</w:t>
      </w:r>
      <w:r>
        <w:rPr>
          <w:spacing w:val="-4"/>
        </w:rPr>
        <w:t xml:space="preserve"> </w:t>
      </w:r>
      <w:r>
        <w:rPr>
          <w:spacing w:val="-2"/>
        </w:rPr>
        <w:t>ACTEW</w:t>
      </w:r>
      <w:r>
        <w:rPr>
          <w:spacing w:val="-3"/>
        </w:rPr>
        <w:t xml:space="preserve"> </w:t>
      </w:r>
      <w:r>
        <w:t xml:space="preserve">do not enjoy competitive advantages (or </w:t>
      </w:r>
      <w:r>
        <w:rPr>
          <w:spacing w:val="-1"/>
        </w:rPr>
        <w:t>suffer</w:t>
      </w:r>
    </w:p>
    <w:p w:rsidR="00D96B91" w:rsidRDefault="00D96B91">
      <w:pPr>
        <w:spacing w:before="9"/>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61" style="width:72.5pt;height:.5pt;mso-position-horizontal-relative:char;mso-position-vertical-relative:line" coordsize="1450,10">
            <v:group id="_x0000_s3362" style="position:absolute;left:5;top:5;width:1440;height:2" coordorigin="5,5" coordsize="1440,2">
              <v:shape id="_x0000_s3363" style="position:absolute;left:5;top:5;width:1440;height:2" coordorigin="5,5" coordsize="1440,0" path="m5,5r1440,e" filled="f" strokeweight=".5pt">
                <v:path arrowok="t"/>
              </v:shape>
            </v:group>
            <w10:wrap type="none"/>
            <w10:anchorlock/>
          </v:group>
        </w:pict>
      </w:r>
    </w:p>
    <w:p w:rsidR="00D96B91" w:rsidRDefault="00C2656B">
      <w:pPr>
        <w:numPr>
          <w:ilvl w:val="0"/>
          <w:numId w:val="121"/>
        </w:numPr>
        <w:tabs>
          <w:tab w:val="left" w:pos="1798"/>
        </w:tabs>
        <w:spacing w:before="38"/>
        <w:ind w:left="1797" w:hanging="550"/>
        <w:rPr>
          <w:rFonts w:ascii="Avenir Next" w:eastAsia="Avenir Next" w:hAnsi="Avenir Next" w:cs="Avenir Next"/>
          <w:sz w:val="16"/>
          <w:szCs w:val="16"/>
        </w:rPr>
      </w:pPr>
      <w:r>
        <w:rPr>
          <w:rFonts w:ascii="Avenir Next"/>
          <w:spacing w:val="-1"/>
          <w:sz w:val="16"/>
        </w:rPr>
        <w:t>Council</w:t>
      </w:r>
      <w:r>
        <w:rPr>
          <w:rFonts w:ascii="Avenir Next"/>
          <w:sz w:val="16"/>
        </w:rPr>
        <w:t xml:space="preserve"> of </w:t>
      </w:r>
      <w:r>
        <w:rPr>
          <w:rFonts w:ascii="Avenir Next"/>
          <w:spacing w:val="-1"/>
          <w:sz w:val="16"/>
        </w:rPr>
        <w:t>Australian</w:t>
      </w:r>
      <w:r>
        <w:rPr>
          <w:rFonts w:ascii="Avenir Next"/>
          <w:sz w:val="16"/>
        </w:rPr>
        <w:t xml:space="preserve"> Governments,</w:t>
      </w:r>
      <w:r>
        <w:rPr>
          <w:rFonts w:ascii="Avenir Next"/>
          <w:spacing w:val="-5"/>
          <w:sz w:val="16"/>
        </w:rPr>
        <w:t xml:space="preserve"> </w:t>
      </w:r>
      <w:r>
        <w:rPr>
          <w:rFonts w:ascii="Avenir Next"/>
          <w:i/>
          <w:spacing w:val="-1"/>
          <w:sz w:val="16"/>
        </w:rPr>
        <w:t>Competition</w:t>
      </w:r>
      <w:r>
        <w:rPr>
          <w:rFonts w:ascii="Avenir Next"/>
          <w:i/>
          <w:sz w:val="16"/>
        </w:rPr>
        <w:t xml:space="preserve"> </w:t>
      </w:r>
      <w:r>
        <w:rPr>
          <w:rFonts w:ascii="Avenir Next"/>
          <w:i/>
          <w:spacing w:val="-1"/>
          <w:sz w:val="16"/>
        </w:rPr>
        <w:t>Principles</w:t>
      </w:r>
      <w:r>
        <w:rPr>
          <w:rFonts w:ascii="Avenir Next"/>
          <w:i/>
          <w:spacing w:val="-3"/>
          <w:sz w:val="16"/>
        </w:rPr>
        <w:t xml:space="preserve"> </w:t>
      </w:r>
      <w:r>
        <w:rPr>
          <w:rFonts w:ascii="Avenir Next"/>
          <w:i/>
          <w:spacing w:val="-1"/>
          <w:sz w:val="16"/>
        </w:rPr>
        <w:t>Agreement,</w:t>
      </w:r>
      <w:r>
        <w:rPr>
          <w:rFonts w:ascii="Avenir Next"/>
          <w:i/>
          <w:spacing w:val="-5"/>
          <w:sz w:val="16"/>
        </w:rPr>
        <w:t xml:space="preserve"> </w:t>
      </w:r>
      <w:r>
        <w:rPr>
          <w:rFonts w:ascii="Avenir Next"/>
          <w:sz w:val="16"/>
        </w:rPr>
        <w:t>11</w:t>
      </w:r>
      <w:r>
        <w:rPr>
          <w:rFonts w:ascii="Avenir Next"/>
          <w:spacing w:val="-3"/>
          <w:sz w:val="16"/>
        </w:rPr>
        <w:t xml:space="preserve"> </w:t>
      </w:r>
      <w:r>
        <w:rPr>
          <w:rFonts w:ascii="Avenir Next"/>
          <w:sz w:val="16"/>
        </w:rPr>
        <w:t>April 1995.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83"/>
      </w:pPr>
      <w:bookmarkStart w:id="26" w:name="3._3_Challenges_and_pricing_implications"/>
      <w:bookmarkStart w:id="27" w:name="_bookmark13"/>
      <w:bookmarkEnd w:id="26"/>
      <w:bookmarkEnd w:id="27"/>
      <w:r>
        <w:t xml:space="preserve">competitive disadvantages) </w:t>
      </w:r>
      <w:r>
        <w:rPr>
          <w:spacing w:val="-1"/>
        </w:rPr>
        <w:t>relative</w:t>
      </w:r>
      <w:r>
        <w:t xml:space="preserve"> to their </w:t>
      </w:r>
      <w:r>
        <w:rPr>
          <w:spacing w:val="-1"/>
        </w:rPr>
        <w:t>private</w:t>
      </w:r>
      <w:r>
        <w:t xml:space="preserve"> sector </w:t>
      </w:r>
      <w:r>
        <w:rPr>
          <w:spacing w:val="-1"/>
        </w:rPr>
        <w:t>counterparts</w:t>
      </w:r>
      <w:r>
        <w:t xml:space="preserve"> simply by </w:t>
      </w:r>
      <w:r>
        <w:rPr>
          <w:spacing w:val="-1"/>
        </w:rPr>
        <w:t>virtue</w:t>
      </w:r>
      <w:r>
        <w:t xml:space="preserve"> of</w:t>
      </w:r>
      <w:r>
        <w:rPr>
          <w:spacing w:val="4"/>
        </w:rPr>
        <w:t xml:space="preserve"> </w:t>
      </w:r>
      <w:r>
        <w:t>their public</w:t>
      </w:r>
      <w:r>
        <w:rPr>
          <w:spacing w:val="39"/>
        </w:rPr>
        <w:t xml:space="preserve"> </w:t>
      </w:r>
      <w:r>
        <w:rPr>
          <w:spacing w:val="-1"/>
        </w:rPr>
        <w:t>ownership.</w:t>
      </w:r>
    </w:p>
    <w:p w:rsidR="00D96B91" w:rsidRDefault="00C2656B">
      <w:pPr>
        <w:pStyle w:val="BodyText"/>
        <w:spacing w:before="170" w:line="260" w:lineRule="exact"/>
        <w:ind w:right="1548"/>
      </w:pPr>
      <w:r>
        <w:t xml:space="preserve">In </w:t>
      </w:r>
      <w:r>
        <w:rPr>
          <w:spacing w:val="-1"/>
        </w:rPr>
        <w:t>markets</w:t>
      </w:r>
      <w:r>
        <w:t xml:space="preserve"> </w:t>
      </w:r>
      <w:r>
        <w:rPr>
          <w:spacing w:val="-1"/>
        </w:rPr>
        <w:t>where</w:t>
      </w:r>
      <w:r>
        <w:t xml:space="preserve"> a government-owned business has no </w:t>
      </w:r>
      <w:r>
        <w:rPr>
          <w:spacing w:val="-1"/>
        </w:rPr>
        <w:t>private</w:t>
      </w:r>
      <w:r>
        <w:t xml:space="preserve"> sector competitors – as is the case in</w:t>
      </w:r>
      <w:r>
        <w:rPr>
          <w:spacing w:val="29"/>
        </w:rPr>
        <w:t xml:space="preserve"> </w:t>
      </w:r>
      <w:r>
        <w:t>the</w:t>
      </w:r>
      <w:r>
        <w:rPr>
          <w:spacing w:val="-5"/>
        </w:rPr>
        <w:t xml:space="preserve"> </w:t>
      </w:r>
      <w:r>
        <w:rPr>
          <w:spacing w:val="-2"/>
        </w:rPr>
        <w:t>ACT</w:t>
      </w:r>
      <w:r>
        <w:rPr>
          <w:spacing w:val="-6"/>
        </w:rPr>
        <w:t xml:space="preserve"> </w:t>
      </w:r>
      <w:r>
        <w:rPr>
          <w:spacing w:val="-1"/>
        </w:rPr>
        <w:t>water</w:t>
      </w:r>
      <w:r>
        <w:t xml:space="preserve"> </w:t>
      </w:r>
      <w:r>
        <w:rPr>
          <w:spacing w:val="-1"/>
        </w:rPr>
        <w:t xml:space="preserve">market </w:t>
      </w:r>
      <w:r>
        <w:t>–</w:t>
      </w:r>
      <w:r>
        <w:rPr>
          <w:spacing w:val="-1"/>
        </w:rPr>
        <w:t xml:space="preserve"> </w:t>
      </w:r>
      <w:r>
        <w:t xml:space="preserve">the </w:t>
      </w:r>
      <w:r>
        <w:rPr>
          <w:spacing w:val="-1"/>
        </w:rPr>
        <w:t xml:space="preserve">removal </w:t>
      </w:r>
      <w:r>
        <w:t>of</w:t>
      </w:r>
      <w:r>
        <w:rPr>
          <w:spacing w:val="3"/>
        </w:rPr>
        <w:t xml:space="preserve"> </w:t>
      </w:r>
      <w:r>
        <w:t>any significant</w:t>
      </w:r>
      <w:r>
        <w:rPr>
          <w:spacing w:val="-1"/>
        </w:rPr>
        <w:t xml:space="preserve"> </w:t>
      </w:r>
      <w:r>
        <w:t>advantages</w:t>
      </w:r>
      <w:r>
        <w:rPr>
          <w:spacing w:val="-1"/>
        </w:rPr>
        <w:t xml:space="preserve"> </w:t>
      </w:r>
      <w:r>
        <w:t>(or disadvantages)</w:t>
      </w:r>
      <w:r>
        <w:rPr>
          <w:spacing w:val="-1"/>
        </w:rPr>
        <w:t xml:space="preserve"> </w:t>
      </w:r>
      <w:r>
        <w:t>of</w:t>
      </w:r>
      <w:r>
        <w:rPr>
          <w:spacing w:val="3"/>
        </w:rPr>
        <w:t xml:space="preserve"> </w:t>
      </w:r>
      <w:r>
        <w:t>government</w:t>
      </w:r>
      <w:r>
        <w:rPr>
          <w:spacing w:val="29"/>
        </w:rPr>
        <w:t xml:space="preserve"> </w:t>
      </w:r>
      <w:r>
        <w:t>ownership</w:t>
      </w:r>
      <w:r>
        <w:rPr>
          <w:spacing w:val="-1"/>
        </w:rPr>
        <w:t xml:space="preserve"> seeks</w:t>
      </w:r>
      <w:r>
        <w:t xml:space="preserve"> to</w:t>
      </w:r>
      <w:r>
        <w:rPr>
          <w:spacing w:val="-1"/>
        </w:rPr>
        <w:t xml:space="preserve"> </w:t>
      </w:r>
      <w:r>
        <w:t>benefit consumers</w:t>
      </w:r>
      <w:r>
        <w:rPr>
          <w:spacing w:val="-1"/>
        </w:rPr>
        <w:t xml:space="preserve"> </w:t>
      </w:r>
      <w:r>
        <w:t>and taxpayers</w:t>
      </w:r>
      <w:r>
        <w:rPr>
          <w:spacing w:val="-1"/>
        </w:rPr>
        <w:t xml:space="preserve"> </w:t>
      </w:r>
      <w:r>
        <w:t xml:space="preserve">by </w:t>
      </w:r>
      <w:r>
        <w:rPr>
          <w:spacing w:val="-1"/>
        </w:rPr>
        <w:t xml:space="preserve">removing </w:t>
      </w:r>
      <w:r>
        <w:t>cost and</w:t>
      </w:r>
      <w:r>
        <w:rPr>
          <w:spacing w:val="-1"/>
        </w:rPr>
        <w:t xml:space="preserve"> </w:t>
      </w:r>
      <w:r>
        <w:t>other advantages</w:t>
      </w:r>
      <w:r>
        <w:rPr>
          <w:spacing w:val="-1"/>
        </w:rPr>
        <w:t xml:space="preserve"> that</w:t>
      </w:r>
      <w:r>
        <w:rPr>
          <w:spacing w:val="29"/>
        </w:rPr>
        <w:t xml:space="preserve"> </w:t>
      </w:r>
      <w:r>
        <w:t xml:space="preserve">could </w:t>
      </w:r>
      <w:r>
        <w:rPr>
          <w:spacing w:val="-1"/>
        </w:rPr>
        <w:t>lead</w:t>
      </w:r>
      <w:r>
        <w:t xml:space="preserve"> the business to </w:t>
      </w:r>
      <w:r>
        <w:rPr>
          <w:spacing w:val="-1"/>
        </w:rPr>
        <w:t>make</w:t>
      </w:r>
      <w:r>
        <w:t xml:space="preserve"> wasteful </w:t>
      </w:r>
      <w:r>
        <w:rPr>
          <w:spacing w:val="-1"/>
        </w:rPr>
        <w:t>resource</w:t>
      </w:r>
      <w:r>
        <w:t xml:space="preserve"> </w:t>
      </w:r>
      <w:r>
        <w:rPr>
          <w:spacing w:val="-1"/>
        </w:rPr>
        <w:t>allocation</w:t>
      </w:r>
      <w:r>
        <w:t xml:space="preserve"> decisions.</w:t>
      </w:r>
    </w:p>
    <w:p w:rsidR="00D96B91" w:rsidRDefault="00C2656B">
      <w:pPr>
        <w:pStyle w:val="BodyText"/>
        <w:spacing w:before="170" w:line="260" w:lineRule="exact"/>
        <w:ind w:right="1548"/>
        <w:rPr>
          <w:rFonts w:cs="Avenir Next"/>
        </w:rPr>
      </w:pPr>
      <w:r>
        <w:rPr>
          <w:rFonts w:cs="Avenir Next"/>
          <w:spacing w:val="-2"/>
        </w:rPr>
        <w:t>The</w:t>
      </w:r>
      <w:r>
        <w:rPr>
          <w:rFonts w:cs="Avenir Next"/>
          <w:spacing w:val="-4"/>
        </w:rPr>
        <w:t xml:space="preserve"> </w:t>
      </w:r>
      <w:r>
        <w:rPr>
          <w:rFonts w:cs="Avenir Next"/>
          <w:spacing w:val="-2"/>
        </w:rPr>
        <w:t>ACT</w:t>
      </w:r>
      <w:r>
        <w:rPr>
          <w:rFonts w:cs="Avenir Next"/>
          <w:spacing w:val="-5"/>
        </w:rPr>
        <w:t xml:space="preserve"> </w:t>
      </w:r>
      <w:r>
        <w:rPr>
          <w:rFonts w:cs="Avenir Next"/>
          <w:spacing w:val="-1"/>
        </w:rPr>
        <w:t>Government’s</w:t>
      </w:r>
      <w:r>
        <w:rPr>
          <w:rFonts w:cs="Avenir Next"/>
        </w:rPr>
        <w:t xml:space="preserve"> policy on competitive </w:t>
      </w:r>
      <w:r>
        <w:rPr>
          <w:rFonts w:cs="Avenir Next"/>
          <w:spacing w:val="-1"/>
        </w:rPr>
        <w:t>neutrality</w:t>
      </w:r>
      <w:r>
        <w:rPr>
          <w:rFonts w:cs="Avenir Next"/>
        </w:rPr>
        <w:t xml:space="preserve"> is in line with the other </w:t>
      </w:r>
      <w:r>
        <w:rPr>
          <w:rFonts w:cs="Avenir Next"/>
          <w:spacing w:val="-1"/>
        </w:rPr>
        <w:t>states</w:t>
      </w:r>
      <w:r>
        <w:rPr>
          <w:rFonts w:cs="Avenir Next"/>
        </w:rPr>
        <w:t xml:space="preserve"> and territories,</w:t>
      </w:r>
      <w:r>
        <w:rPr>
          <w:rFonts w:cs="Avenir Next"/>
          <w:spacing w:val="37"/>
        </w:rPr>
        <w:t xml:space="preserve"> </w:t>
      </w:r>
      <w:r>
        <w:t xml:space="preserve">and with the </w:t>
      </w:r>
      <w:r>
        <w:rPr>
          <w:spacing w:val="-1"/>
        </w:rPr>
        <w:t>requirements</w:t>
      </w:r>
      <w:r>
        <w:t xml:space="preserve"> of</w:t>
      </w:r>
      <w:r>
        <w:rPr>
          <w:spacing w:val="4"/>
        </w:rPr>
        <w:t xml:space="preserve"> </w:t>
      </w:r>
      <w:r>
        <w:t xml:space="preserve">the </w:t>
      </w:r>
      <w:r>
        <w:rPr>
          <w:spacing w:val="-3"/>
        </w:rPr>
        <w:t>CPA.</w:t>
      </w:r>
      <w:r>
        <w:rPr>
          <w:spacing w:val="-11"/>
        </w:rPr>
        <w:t xml:space="preserve"> </w:t>
      </w:r>
      <w:r>
        <w:rPr>
          <w:spacing w:val="-2"/>
        </w:rPr>
        <w:t>The</w:t>
      </w:r>
      <w:r>
        <w:t xml:space="preserve"> policy </w:t>
      </w:r>
      <w:r>
        <w:rPr>
          <w:spacing w:val="-1"/>
        </w:rPr>
        <w:t>states</w:t>
      </w:r>
      <w:r>
        <w:t xml:space="preserve"> </w:t>
      </w:r>
      <w:r>
        <w:rPr>
          <w:spacing w:val="-1"/>
        </w:rPr>
        <w:t>that</w:t>
      </w:r>
      <w:r>
        <w:rPr>
          <w:spacing w:val="-5"/>
        </w:rPr>
        <w:t xml:space="preserve"> </w:t>
      </w:r>
      <w:r>
        <w:rPr>
          <w:spacing w:val="-2"/>
        </w:rPr>
        <w:t>Territory-Owned</w:t>
      </w:r>
      <w:r>
        <w:t xml:space="preserve"> </w:t>
      </w:r>
      <w:r>
        <w:rPr>
          <w:spacing w:val="-1"/>
        </w:rPr>
        <w:t>Corporations</w:t>
      </w:r>
      <w:r>
        <w:t xml:space="preserve"> will be</w:t>
      </w:r>
      <w:r>
        <w:rPr>
          <w:spacing w:val="53"/>
        </w:rPr>
        <w:t xml:space="preserve"> </w:t>
      </w:r>
      <w:r>
        <w:rPr>
          <w:rFonts w:cs="Avenir Next"/>
        </w:rPr>
        <w:t>subject to the following principles of</w:t>
      </w:r>
      <w:r>
        <w:rPr>
          <w:rFonts w:cs="Avenir Next"/>
          <w:spacing w:val="4"/>
        </w:rPr>
        <w:t xml:space="preserve"> </w:t>
      </w:r>
      <w:r>
        <w:rPr>
          <w:rFonts w:cs="Avenir Next"/>
        </w:rPr>
        <w:t xml:space="preserve">competitive </w:t>
      </w:r>
      <w:r>
        <w:rPr>
          <w:rFonts w:cs="Avenir Next"/>
          <w:spacing w:val="-1"/>
        </w:rPr>
        <w:t>neutrality</w:t>
      </w:r>
      <w:r>
        <w:rPr>
          <w:rFonts w:cs="Avenir Next"/>
        </w:rPr>
        <w:t xml:space="preserve"> as </w:t>
      </w:r>
      <w:r>
        <w:rPr>
          <w:rFonts w:cs="Avenir Next"/>
          <w:spacing w:val="-1"/>
        </w:rPr>
        <w:t>appropriate:</w:t>
      </w:r>
    </w:p>
    <w:p w:rsidR="00D96B91" w:rsidRDefault="00C2656B">
      <w:pPr>
        <w:pStyle w:val="BodyText"/>
        <w:numPr>
          <w:ilvl w:val="0"/>
          <w:numId w:val="131"/>
        </w:numPr>
        <w:tabs>
          <w:tab w:val="left" w:pos="1531"/>
        </w:tabs>
        <w:spacing w:before="178"/>
        <w:ind w:hanging="283"/>
        <w:rPr>
          <w:rFonts w:cs="Avenir Next"/>
        </w:rPr>
      </w:pPr>
      <w:r>
        <w:rPr>
          <w:spacing w:val="-1"/>
        </w:rPr>
        <w:t>commercial</w:t>
      </w:r>
      <w:r>
        <w:t xml:space="preserve"> </w:t>
      </w:r>
      <w:r>
        <w:rPr>
          <w:spacing w:val="-1"/>
        </w:rPr>
        <w:t>target</w:t>
      </w:r>
      <w:r>
        <w:t xml:space="preserve"> </w:t>
      </w:r>
      <w:r>
        <w:rPr>
          <w:spacing w:val="-1"/>
        </w:rPr>
        <w:t>rates</w:t>
      </w:r>
      <w:r>
        <w:t xml:space="preserve"> of</w:t>
      </w:r>
      <w:r>
        <w:rPr>
          <w:spacing w:val="4"/>
        </w:rPr>
        <w:t xml:space="preserve"> </w:t>
      </w:r>
      <w:r>
        <w:rPr>
          <w:spacing w:val="-1"/>
        </w:rPr>
        <w:t>return,</w:t>
      </w:r>
      <w:r>
        <w:rPr>
          <w:spacing w:val="-6"/>
        </w:rPr>
        <w:t xml:space="preserve"> </w:t>
      </w:r>
      <w:r>
        <w:t xml:space="preserve">capital </w:t>
      </w:r>
      <w:r>
        <w:rPr>
          <w:spacing w:val="-1"/>
        </w:rPr>
        <w:t>structures</w:t>
      </w:r>
      <w:r>
        <w:t xml:space="preserve"> and dividend payments</w:t>
      </w:r>
    </w:p>
    <w:p w:rsidR="00D96B91" w:rsidRDefault="00C2656B">
      <w:pPr>
        <w:pStyle w:val="BodyText"/>
        <w:numPr>
          <w:ilvl w:val="0"/>
          <w:numId w:val="131"/>
        </w:numPr>
        <w:tabs>
          <w:tab w:val="left" w:pos="1531"/>
        </w:tabs>
        <w:spacing w:before="72"/>
        <w:ind w:hanging="283"/>
        <w:rPr>
          <w:rFonts w:cs="Avenir Next"/>
        </w:rPr>
      </w:pPr>
      <w:r>
        <w:t xml:space="preserve">full payment of </w:t>
      </w:r>
      <w:r>
        <w:rPr>
          <w:spacing w:val="-3"/>
        </w:rPr>
        <w:t>Territory</w:t>
      </w:r>
      <w:r>
        <w:t xml:space="preserve"> </w:t>
      </w:r>
      <w:r>
        <w:rPr>
          <w:spacing w:val="-1"/>
        </w:rPr>
        <w:t>taxes</w:t>
      </w:r>
      <w:r>
        <w:t xml:space="preserve"> and </w:t>
      </w:r>
      <w:r>
        <w:rPr>
          <w:spacing w:val="-1"/>
        </w:rPr>
        <w:t>Commonwealth</w:t>
      </w:r>
      <w:r>
        <w:t xml:space="preserve"> income and sales tax equivalents</w:t>
      </w:r>
    </w:p>
    <w:p w:rsidR="00D96B91" w:rsidRDefault="00C2656B">
      <w:pPr>
        <w:pStyle w:val="BodyText"/>
        <w:numPr>
          <w:ilvl w:val="0"/>
          <w:numId w:val="131"/>
        </w:numPr>
        <w:tabs>
          <w:tab w:val="left" w:pos="1531"/>
        </w:tabs>
        <w:spacing w:before="64" w:line="260" w:lineRule="exact"/>
        <w:ind w:right="1376" w:hanging="283"/>
        <w:rPr>
          <w:rFonts w:cs="Avenir Next"/>
        </w:rPr>
      </w:pPr>
      <w:r>
        <w:t>loan</w:t>
      </w:r>
      <w:r>
        <w:rPr>
          <w:spacing w:val="-1"/>
        </w:rPr>
        <w:t xml:space="preserve"> </w:t>
      </w:r>
      <w:r>
        <w:t xml:space="preserve">or debt </w:t>
      </w:r>
      <w:r>
        <w:rPr>
          <w:spacing w:val="-1"/>
        </w:rPr>
        <w:t xml:space="preserve">guarantee </w:t>
      </w:r>
      <w:r>
        <w:t xml:space="preserve">fees </w:t>
      </w:r>
      <w:r>
        <w:rPr>
          <w:spacing w:val="-1"/>
        </w:rPr>
        <w:t>where</w:t>
      </w:r>
      <w:r>
        <w:t xml:space="preserve"> they</w:t>
      </w:r>
      <w:r>
        <w:rPr>
          <w:spacing w:val="-1"/>
        </w:rPr>
        <w:t xml:space="preserve"> </w:t>
      </w:r>
      <w:r>
        <w:rPr>
          <w:spacing w:val="-2"/>
        </w:rPr>
        <w:t>are</w:t>
      </w:r>
      <w:r>
        <w:t xml:space="preserve"> in </w:t>
      </w:r>
      <w:r>
        <w:rPr>
          <w:spacing w:val="-1"/>
        </w:rPr>
        <w:t xml:space="preserve">receipt </w:t>
      </w:r>
      <w:r>
        <w:t>of</w:t>
      </w:r>
      <w:r>
        <w:rPr>
          <w:spacing w:val="4"/>
        </w:rPr>
        <w:t xml:space="preserve"> </w:t>
      </w:r>
      <w:r>
        <w:t xml:space="preserve">concessional </w:t>
      </w:r>
      <w:r>
        <w:rPr>
          <w:spacing w:val="-1"/>
        </w:rPr>
        <w:t>interest rates</w:t>
      </w:r>
      <w:r>
        <w:t xml:space="preserve"> </w:t>
      </w:r>
      <w:r>
        <w:rPr>
          <w:spacing w:val="-1"/>
        </w:rPr>
        <w:t>that</w:t>
      </w:r>
      <w:r>
        <w:t xml:space="preserve"> </w:t>
      </w:r>
      <w:r>
        <w:rPr>
          <w:spacing w:val="-1"/>
        </w:rPr>
        <w:t>reflect</w:t>
      </w:r>
      <w:r>
        <w:t xml:space="preserve"> their</w:t>
      </w:r>
      <w:r>
        <w:rPr>
          <w:spacing w:val="43"/>
        </w:rPr>
        <w:t xml:space="preserve"> </w:t>
      </w:r>
      <w:r>
        <w:t xml:space="preserve">government ownership </w:t>
      </w:r>
      <w:r>
        <w:rPr>
          <w:spacing w:val="-1"/>
        </w:rPr>
        <w:t>rather</w:t>
      </w:r>
      <w:r>
        <w:t xml:space="preserve"> than their </w:t>
      </w:r>
      <w:r>
        <w:rPr>
          <w:spacing w:val="-1"/>
        </w:rPr>
        <w:t>commercial</w:t>
      </w:r>
      <w:r>
        <w:t xml:space="preserve"> </w:t>
      </w:r>
      <w:r>
        <w:rPr>
          <w:spacing w:val="-1"/>
        </w:rPr>
        <w:t>status</w:t>
      </w:r>
    </w:p>
    <w:p w:rsidR="00D96B91" w:rsidRDefault="00C2656B">
      <w:pPr>
        <w:pStyle w:val="BodyText"/>
        <w:numPr>
          <w:ilvl w:val="0"/>
          <w:numId w:val="131"/>
        </w:numPr>
        <w:tabs>
          <w:tab w:val="left" w:pos="1531"/>
        </w:tabs>
        <w:spacing w:before="93"/>
        <w:ind w:hanging="283"/>
        <w:rPr>
          <w:rFonts w:cs="Avenir Next"/>
        </w:rPr>
      </w:pPr>
      <w:r>
        <w:t xml:space="preserve">the same business </w:t>
      </w:r>
      <w:r>
        <w:rPr>
          <w:spacing w:val="-1"/>
        </w:rPr>
        <w:t>regulation</w:t>
      </w:r>
      <w:r>
        <w:t xml:space="preserve"> as their </w:t>
      </w:r>
      <w:r>
        <w:rPr>
          <w:spacing w:val="-1"/>
        </w:rPr>
        <w:t>private</w:t>
      </w:r>
      <w:r>
        <w:t xml:space="preserve"> sector </w:t>
      </w:r>
      <w:r>
        <w:rPr>
          <w:spacing w:val="-1"/>
        </w:rPr>
        <w:t>counterparts</w:t>
      </w:r>
    </w:p>
    <w:p w:rsidR="00D96B91" w:rsidRDefault="00C2656B">
      <w:pPr>
        <w:pStyle w:val="BodyText"/>
        <w:numPr>
          <w:ilvl w:val="0"/>
          <w:numId w:val="131"/>
        </w:numPr>
        <w:tabs>
          <w:tab w:val="left" w:pos="1531"/>
        </w:tabs>
        <w:spacing w:before="72"/>
        <w:ind w:hanging="283"/>
        <w:rPr>
          <w:rFonts w:cs="Avenir Next"/>
        </w:rPr>
      </w:pPr>
      <w:r>
        <w:rPr>
          <w:spacing w:val="-1"/>
        </w:rPr>
        <w:t>explicit</w:t>
      </w:r>
      <w:r>
        <w:t xml:space="preserve"> funding for community service </w:t>
      </w:r>
      <w:r>
        <w:rPr>
          <w:spacing w:val="-1"/>
        </w:rPr>
        <w:t>obligations,</w:t>
      </w:r>
      <w:r>
        <w:rPr>
          <w:spacing w:val="-7"/>
        </w:rPr>
        <w:t xml:space="preserve"> </w:t>
      </w:r>
      <w:r>
        <w:t>and</w:t>
      </w:r>
    </w:p>
    <w:p w:rsidR="00D96B91" w:rsidRDefault="00C2656B">
      <w:pPr>
        <w:pStyle w:val="BodyText"/>
        <w:numPr>
          <w:ilvl w:val="0"/>
          <w:numId w:val="131"/>
        </w:numPr>
        <w:tabs>
          <w:tab w:val="left" w:pos="1531"/>
        </w:tabs>
        <w:spacing w:before="72"/>
        <w:ind w:hanging="283"/>
      </w:pPr>
      <w:r>
        <w:t>independent performance monitoring.</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46"/>
      </w:pPr>
      <w:r>
        <w:rPr>
          <w:spacing w:val="-3"/>
        </w:rPr>
        <w:t>The</w:t>
      </w:r>
      <w:r>
        <w:rPr>
          <w:spacing w:val="-5"/>
        </w:rPr>
        <w:t xml:space="preserve"> </w:t>
      </w:r>
      <w:r>
        <w:rPr>
          <w:spacing w:val="-2"/>
        </w:rPr>
        <w:t>policy</w:t>
      </w:r>
      <w:r>
        <w:rPr>
          <w:spacing w:val="-5"/>
        </w:rPr>
        <w:t xml:space="preserve"> </w:t>
      </w:r>
      <w:r>
        <w:rPr>
          <w:spacing w:val="-2"/>
        </w:rPr>
        <w:t>also</w:t>
      </w:r>
      <w:r>
        <w:rPr>
          <w:spacing w:val="-5"/>
        </w:rPr>
        <w:t xml:space="preserve"> </w:t>
      </w:r>
      <w:r>
        <w:rPr>
          <w:spacing w:val="-2"/>
        </w:rPr>
        <w:t>states</w:t>
      </w:r>
      <w:r>
        <w:rPr>
          <w:spacing w:val="-5"/>
        </w:rPr>
        <w:t xml:space="preserve"> </w:t>
      </w:r>
      <w:r>
        <w:rPr>
          <w:spacing w:val="-2"/>
        </w:rPr>
        <w:t>that</w:t>
      </w:r>
      <w:r>
        <w:rPr>
          <w:spacing w:val="-5"/>
        </w:rPr>
        <w:t xml:space="preserve"> </w:t>
      </w:r>
      <w:r>
        <w:rPr>
          <w:spacing w:val="-3"/>
        </w:rPr>
        <w:t>corporatisation</w:t>
      </w:r>
      <w:r>
        <w:rPr>
          <w:spacing w:val="-5"/>
        </w:rPr>
        <w:t xml:space="preserve"> </w:t>
      </w:r>
      <w:r>
        <w:rPr>
          <w:spacing w:val="-2"/>
        </w:rPr>
        <w:t>seeks</w:t>
      </w:r>
      <w:r>
        <w:rPr>
          <w:spacing w:val="-5"/>
        </w:rPr>
        <w:t xml:space="preserve"> </w:t>
      </w:r>
      <w:r>
        <w:rPr>
          <w:spacing w:val="-1"/>
        </w:rPr>
        <w:t>to</w:t>
      </w:r>
      <w:r>
        <w:rPr>
          <w:spacing w:val="-5"/>
        </w:rPr>
        <w:t xml:space="preserve"> </w:t>
      </w:r>
      <w:r>
        <w:rPr>
          <w:spacing w:val="-2"/>
        </w:rPr>
        <w:t>subject</w:t>
      </w:r>
      <w:r>
        <w:rPr>
          <w:spacing w:val="-5"/>
        </w:rPr>
        <w:t xml:space="preserve"> </w:t>
      </w:r>
      <w:r>
        <w:rPr>
          <w:spacing w:val="-2"/>
        </w:rPr>
        <w:t>government</w:t>
      </w:r>
      <w:r>
        <w:rPr>
          <w:spacing w:val="-5"/>
        </w:rPr>
        <w:t xml:space="preserve"> </w:t>
      </w:r>
      <w:r>
        <w:rPr>
          <w:spacing w:val="-2"/>
        </w:rPr>
        <w:t>business</w:t>
      </w:r>
      <w:r>
        <w:rPr>
          <w:spacing w:val="-5"/>
        </w:rPr>
        <w:t xml:space="preserve"> </w:t>
      </w:r>
      <w:r>
        <w:rPr>
          <w:spacing w:val="-2"/>
        </w:rPr>
        <w:t>enterprises</w:t>
      </w:r>
      <w:r>
        <w:rPr>
          <w:spacing w:val="-5"/>
        </w:rPr>
        <w:t xml:space="preserve"> </w:t>
      </w:r>
      <w:r>
        <w:rPr>
          <w:spacing w:val="-1"/>
        </w:rPr>
        <w:t>to</w:t>
      </w:r>
      <w:r>
        <w:rPr>
          <w:spacing w:val="-5"/>
        </w:rPr>
        <w:t xml:space="preserve"> </w:t>
      </w:r>
      <w:r>
        <w:rPr>
          <w:spacing w:val="-2"/>
        </w:rPr>
        <w:t>disciplines,</w:t>
      </w:r>
      <w:r>
        <w:rPr>
          <w:spacing w:val="46"/>
        </w:rPr>
        <w:t xml:space="preserve"> </w:t>
      </w:r>
      <w:r>
        <w:rPr>
          <w:spacing w:val="-2"/>
        </w:rPr>
        <w:t>incentives</w:t>
      </w:r>
      <w:r>
        <w:rPr>
          <w:spacing w:val="-4"/>
        </w:rPr>
        <w:t xml:space="preserve"> </w:t>
      </w:r>
      <w:r>
        <w:rPr>
          <w:spacing w:val="-2"/>
        </w:rPr>
        <w:t>and</w:t>
      </w:r>
      <w:r>
        <w:rPr>
          <w:spacing w:val="-4"/>
        </w:rPr>
        <w:t xml:space="preserve"> </w:t>
      </w:r>
      <w:r>
        <w:rPr>
          <w:spacing w:val="-2"/>
        </w:rPr>
        <w:t>sanctions</w:t>
      </w:r>
      <w:r>
        <w:rPr>
          <w:spacing w:val="-4"/>
        </w:rPr>
        <w:t xml:space="preserve"> </w:t>
      </w:r>
      <w:r>
        <w:rPr>
          <w:spacing w:val="-2"/>
        </w:rPr>
        <w:t>that</w:t>
      </w:r>
      <w:r>
        <w:rPr>
          <w:spacing w:val="-4"/>
        </w:rPr>
        <w:t xml:space="preserve"> </w:t>
      </w:r>
      <w:r>
        <w:rPr>
          <w:spacing w:val="-3"/>
        </w:rPr>
        <w:t>are</w:t>
      </w:r>
      <w:r>
        <w:rPr>
          <w:spacing w:val="-4"/>
        </w:rPr>
        <w:t xml:space="preserve"> </w:t>
      </w:r>
      <w:r>
        <w:rPr>
          <w:spacing w:val="-3"/>
        </w:rPr>
        <w:t>effectively</w:t>
      </w:r>
      <w:r>
        <w:rPr>
          <w:spacing w:val="-4"/>
        </w:rPr>
        <w:t xml:space="preserve"> </w:t>
      </w:r>
      <w:r>
        <w:rPr>
          <w:spacing w:val="-2"/>
        </w:rPr>
        <w:t>the</w:t>
      </w:r>
      <w:r>
        <w:rPr>
          <w:spacing w:val="-4"/>
        </w:rPr>
        <w:t xml:space="preserve"> </w:t>
      </w:r>
      <w:r>
        <w:rPr>
          <w:spacing w:val="-2"/>
        </w:rPr>
        <w:t>same</w:t>
      </w:r>
      <w:r>
        <w:rPr>
          <w:spacing w:val="-4"/>
        </w:rPr>
        <w:t xml:space="preserve"> </w:t>
      </w:r>
      <w:r>
        <w:rPr>
          <w:spacing w:val="-1"/>
        </w:rPr>
        <w:t>as</w:t>
      </w:r>
      <w:r>
        <w:rPr>
          <w:spacing w:val="-4"/>
        </w:rPr>
        <w:t xml:space="preserve"> </w:t>
      </w:r>
      <w:r>
        <w:rPr>
          <w:spacing w:val="-2"/>
        </w:rPr>
        <w:t>those</w:t>
      </w:r>
      <w:r>
        <w:rPr>
          <w:spacing w:val="-4"/>
        </w:rPr>
        <w:t xml:space="preserve"> </w:t>
      </w:r>
      <w:r>
        <w:rPr>
          <w:spacing w:val="-2"/>
        </w:rPr>
        <w:t>applying</w:t>
      </w:r>
      <w:r>
        <w:rPr>
          <w:spacing w:val="-4"/>
        </w:rPr>
        <w:t xml:space="preserve"> </w:t>
      </w:r>
      <w:r>
        <w:rPr>
          <w:spacing w:val="-1"/>
        </w:rPr>
        <w:t>to</w:t>
      </w:r>
      <w:r>
        <w:rPr>
          <w:spacing w:val="-4"/>
        </w:rPr>
        <w:t xml:space="preserve"> </w:t>
      </w:r>
      <w:r>
        <w:rPr>
          <w:spacing w:val="-2"/>
        </w:rPr>
        <w:t>private</w:t>
      </w:r>
      <w:r>
        <w:rPr>
          <w:spacing w:val="-4"/>
        </w:rPr>
        <w:t xml:space="preserve"> </w:t>
      </w:r>
      <w:r>
        <w:rPr>
          <w:spacing w:val="-2"/>
        </w:rPr>
        <w:t>business</w:t>
      </w:r>
      <w:r>
        <w:rPr>
          <w:spacing w:val="-4"/>
        </w:rPr>
        <w:t xml:space="preserve"> </w:t>
      </w:r>
      <w:r>
        <w:rPr>
          <w:spacing w:val="-2"/>
        </w:rPr>
        <w:t>enterprises.</w:t>
      </w:r>
    </w:p>
    <w:p w:rsidR="00D96B91" w:rsidRDefault="00C2656B">
      <w:pPr>
        <w:pStyle w:val="BodyText"/>
        <w:spacing w:before="170" w:line="260" w:lineRule="exact"/>
        <w:ind w:right="1256"/>
      </w:pPr>
      <w:r>
        <w:rPr>
          <w:rFonts w:cs="Avenir Next"/>
          <w:spacing w:val="-2"/>
        </w:rPr>
        <w:t>The</w:t>
      </w:r>
      <w:r>
        <w:rPr>
          <w:rFonts w:cs="Avenir Next"/>
        </w:rPr>
        <w:t xml:space="preserve"> </w:t>
      </w:r>
      <w:r>
        <w:rPr>
          <w:rFonts w:cs="Avenir Next"/>
          <w:spacing w:val="-3"/>
        </w:rPr>
        <w:t>Panel</w:t>
      </w:r>
      <w:r>
        <w:rPr>
          <w:rFonts w:cs="Avenir Next"/>
        </w:rPr>
        <w:t xml:space="preserve"> has been conscious of</w:t>
      </w:r>
      <w:r>
        <w:rPr>
          <w:rFonts w:cs="Avenir Next"/>
          <w:spacing w:val="4"/>
        </w:rPr>
        <w:t xml:space="preserve"> </w:t>
      </w:r>
      <w:r>
        <w:rPr>
          <w:rFonts w:cs="Avenir Next"/>
        </w:rPr>
        <w:t>the</w:t>
      </w:r>
      <w:r>
        <w:rPr>
          <w:rFonts w:cs="Avenir Next"/>
          <w:spacing w:val="-4"/>
        </w:rPr>
        <w:t xml:space="preserve"> </w:t>
      </w:r>
      <w:r>
        <w:rPr>
          <w:rFonts w:cs="Avenir Next"/>
          <w:spacing w:val="-2"/>
        </w:rPr>
        <w:t>ACT</w:t>
      </w:r>
      <w:r>
        <w:rPr>
          <w:rFonts w:cs="Avenir Next"/>
          <w:spacing w:val="-5"/>
        </w:rPr>
        <w:t xml:space="preserve"> </w:t>
      </w:r>
      <w:r>
        <w:rPr>
          <w:rFonts w:cs="Avenir Next"/>
          <w:spacing w:val="-1"/>
        </w:rPr>
        <w:t>Government’s</w:t>
      </w:r>
      <w:r>
        <w:rPr>
          <w:rFonts w:cs="Avenir Next"/>
        </w:rPr>
        <w:t xml:space="preserve"> policy on competitive </w:t>
      </w:r>
      <w:r>
        <w:rPr>
          <w:rFonts w:cs="Avenir Next"/>
          <w:spacing w:val="-1"/>
        </w:rPr>
        <w:t>neutrality</w:t>
      </w:r>
      <w:r>
        <w:rPr>
          <w:rFonts w:cs="Avenir Next"/>
        </w:rPr>
        <w:t xml:space="preserve"> in making its</w:t>
      </w:r>
      <w:r>
        <w:rPr>
          <w:rFonts w:cs="Avenir Next"/>
          <w:spacing w:val="37"/>
        </w:rPr>
        <w:t xml:space="preserve"> </w:t>
      </w:r>
      <w:r>
        <w:rPr>
          <w:spacing w:val="-2"/>
        </w:rPr>
        <w:t>draft</w:t>
      </w:r>
      <w:r>
        <w:t xml:space="preserve"> price </w:t>
      </w:r>
      <w:r>
        <w:rPr>
          <w:spacing w:val="-1"/>
        </w:rPr>
        <w:t>direction</w:t>
      </w:r>
      <w:r>
        <w:t xml:space="preserve"> – </w:t>
      </w:r>
      <w:r>
        <w:rPr>
          <w:spacing w:val="-1"/>
        </w:rPr>
        <w:t>particularly</w:t>
      </w:r>
      <w:r>
        <w:t xml:space="preserve"> in considering </w:t>
      </w:r>
      <w:r>
        <w:rPr>
          <w:spacing w:val="-2"/>
        </w:rPr>
        <w:t>rate</w:t>
      </w:r>
      <w:r>
        <w:t xml:space="preserve"> of</w:t>
      </w:r>
      <w:r>
        <w:rPr>
          <w:spacing w:val="4"/>
        </w:rPr>
        <w:t xml:space="preserve"> </w:t>
      </w:r>
      <w:r>
        <w:rPr>
          <w:spacing w:val="-1"/>
        </w:rPr>
        <w:t>return</w:t>
      </w:r>
      <w:r>
        <w:t xml:space="preserve"> issues,</w:t>
      </w:r>
      <w:r>
        <w:rPr>
          <w:spacing w:val="-6"/>
        </w:rPr>
        <w:t xml:space="preserve"> </w:t>
      </w:r>
      <w:r>
        <w:t>discussed in Chapter 10.</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spacing w:val="-3"/>
        </w:rPr>
        <w:t>3.</w:t>
      </w:r>
      <w:r>
        <w:rPr>
          <w:color w:val="0778BE"/>
          <w:spacing w:val="-21"/>
        </w:rPr>
        <w:t xml:space="preserve"> </w:t>
      </w:r>
      <w:r>
        <w:rPr>
          <w:color w:val="0778BE"/>
        </w:rPr>
        <w:t>3</w:t>
      </w:r>
      <w:r>
        <w:rPr>
          <w:color w:val="0778BE"/>
        </w:rPr>
        <w:tab/>
      </w:r>
      <w:r>
        <w:rPr>
          <w:color w:val="0778BE"/>
          <w:spacing w:val="-6"/>
        </w:rPr>
        <w:t>Challenges</w:t>
      </w:r>
      <w:r>
        <w:rPr>
          <w:color w:val="0778BE"/>
          <w:spacing w:val="-12"/>
        </w:rPr>
        <w:t xml:space="preserve"> </w:t>
      </w:r>
      <w:r>
        <w:rPr>
          <w:color w:val="0778BE"/>
          <w:spacing w:val="-4"/>
        </w:rPr>
        <w:t>and</w:t>
      </w:r>
      <w:r>
        <w:rPr>
          <w:color w:val="0778BE"/>
          <w:spacing w:val="-12"/>
        </w:rPr>
        <w:t xml:space="preserve"> </w:t>
      </w:r>
      <w:r>
        <w:rPr>
          <w:color w:val="0778BE"/>
          <w:spacing w:val="-6"/>
        </w:rPr>
        <w:t>pricing</w:t>
      </w:r>
      <w:r>
        <w:rPr>
          <w:color w:val="0778BE"/>
          <w:spacing w:val="-12"/>
        </w:rPr>
        <w:t xml:space="preserve"> </w:t>
      </w:r>
      <w:r>
        <w:rPr>
          <w:color w:val="0778BE"/>
          <w:spacing w:val="-6"/>
        </w:rPr>
        <w:t>implications</w:t>
      </w:r>
      <w:r>
        <w:rPr>
          <w:color w:val="0778BE"/>
          <w:spacing w:val="-12"/>
        </w:rPr>
        <w:t xml:space="preserve"> </w:t>
      </w:r>
      <w:r>
        <w:rPr>
          <w:color w:val="0778BE"/>
          <w:spacing w:val="-3"/>
        </w:rPr>
        <w:t>of</w:t>
      </w:r>
      <w:r>
        <w:rPr>
          <w:color w:val="0778BE"/>
          <w:spacing w:val="-5"/>
        </w:rPr>
        <w:t xml:space="preserve"> </w:t>
      </w:r>
      <w:r>
        <w:rPr>
          <w:color w:val="0778BE"/>
          <w:spacing w:val="-4"/>
        </w:rPr>
        <w:t>the</w:t>
      </w:r>
      <w:r>
        <w:rPr>
          <w:color w:val="0778BE"/>
          <w:spacing w:val="-12"/>
        </w:rPr>
        <w:t xml:space="preserve"> </w:t>
      </w:r>
      <w:r>
        <w:rPr>
          <w:color w:val="0778BE"/>
          <w:spacing w:val="-6"/>
        </w:rPr>
        <w:t>“Millennium</w:t>
      </w:r>
      <w:r>
        <w:rPr>
          <w:color w:val="0778BE"/>
          <w:spacing w:val="-12"/>
        </w:rPr>
        <w:t xml:space="preserve"> </w:t>
      </w:r>
      <w:r>
        <w:rPr>
          <w:color w:val="0778BE"/>
          <w:spacing w:val="-6"/>
        </w:rPr>
        <w:t>Drought”</w:t>
      </w:r>
    </w:p>
    <w:p w:rsidR="00D96B91" w:rsidRDefault="00C2656B">
      <w:pPr>
        <w:pStyle w:val="BodyText"/>
        <w:spacing w:before="55" w:line="260" w:lineRule="exact"/>
        <w:ind w:right="1270"/>
      </w:pPr>
      <w:r>
        <w:rPr>
          <w:spacing w:val="-2"/>
        </w:rPr>
        <w:t>The</w:t>
      </w:r>
      <w:r>
        <w:rPr>
          <w:spacing w:val="-1"/>
        </w:rPr>
        <w:t xml:space="preserve"> </w:t>
      </w:r>
      <w:r>
        <w:rPr>
          <w:spacing w:val="-2"/>
        </w:rPr>
        <w:t>ICRC’s</w:t>
      </w:r>
      <w:r>
        <w:rPr>
          <w:spacing w:val="-1"/>
        </w:rPr>
        <w:t xml:space="preserve"> </w:t>
      </w:r>
      <w:r>
        <w:t>original</w:t>
      </w:r>
      <w:r>
        <w:rPr>
          <w:spacing w:val="-1"/>
        </w:rPr>
        <w:t xml:space="preserve"> </w:t>
      </w:r>
      <w:r>
        <w:t xml:space="preserve">price </w:t>
      </w:r>
      <w:r>
        <w:rPr>
          <w:spacing w:val="-1"/>
        </w:rPr>
        <w:t xml:space="preserve">direction investigation </w:t>
      </w:r>
      <w:r>
        <w:t>was</w:t>
      </w:r>
      <w:r>
        <w:rPr>
          <w:spacing w:val="-1"/>
        </w:rPr>
        <w:t xml:space="preserve"> undertaken</w:t>
      </w:r>
      <w:r>
        <w:t xml:space="preserve"> </w:t>
      </w:r>
      <w:r>
        <w:rPr>
          <w:spacing w:val="-1"/>
        </w:rPr>
        <w:t xml:space="preserve">after </w:t>
      </w:r>
      <w:r>
        <w:t>significant</w:t>
      </w:r>
      <w:r>
        <w:rPr>
          <w:spacing w:val="-1"/>
        </w:rPr>
        <w:t xml:space="preserve"> </w:t>
      </w:r>
      <w:r>
        <w:t>changes in</w:t>
      </w:r>
      <w:r>
        <w:rPr>
          <w:spacing w:val="-1"/>
        </w:rPr>
        <w:t xml:space="preserve"> </w:t>
      </w:r>
      <w:r>
        <w:t>the</w:t>
      </w:r>
      <w:r>
        <w:rPr>
          <w:spacing w:val="-5"/>
        </w:rPr>
        <w:t xml:space="preserve"> </w:t>
      </w:r>
      <w:r>
        <w:rPr>
          <w:spacing w:val="-2"/>
        </w:rPr>
        <w:t>ACT</w:t>
      </w:r>
      <w:r>
        <w:rPr>
          <w:spacing w:val="51"/>
        </w:rPr>
        <w:t xml:space="preserve"> </w:t>
      </w:r>
      <w:r>
        <w:rPr>
          <w:spacing w:val="-1"/>
        </w:rPr>
        <w:t>water</w:t>
      </w:r>
      <w:r>
        <w:t xml:space="preserve"> system in </w:t>
      </w:r>
      <w:r>
        <w:rPr>
          <w:spacing w:val="-1"/>
        </w:rPr>
        <w:t>response</w:t>
      </w:r>
      <w:r>
        <w:t xml:space="preserve"> to </w:t>
      </w:r>
      <w:r>
        <w:rPr>
          <w:spacing w:val="-1"/>
        </w:rPr>
        <w:t>severe</w:t>
      </w:r>
      <w:r>
        <w:t xml:space="preserve"> and </w:t>
      </w:r>
      <w:r>
        <w:rPr>
          <w:spacing w:val="-1"/>
        </w:rPr>
        <w:t>prolonged</w:t>
      </w:r>
      <w:r>
        <w:t xml:space="preserve"> </w:t>
      </w:r>
      <w:r>
        <w:rPr>
          <w:spacing w:val="-1"/>
        </w:rPr>
        <w:t>drought</w:t>
      </w:r>
      <w:r>
        <w:t xml:space="preserve"> conditions between 1997 and 2009.</w:t>
      </w:r>
      <w:r>
        <w:rPr>
          <w:spacing w:val="-11"/>
        </w:rPr>
        <w:t xml:space="preserve"> </w:t>
      </w:r>
      <w:r>
        <w:rPr>
          <w:spacing w:val="-1"/>
        </w:rPr>
        <w:t>This</w:t>
      </w:r>
      <w:r>
        <w:rPr>
          <w:spacing w:val="35"/>
        </w:rPr>
        <w:t xml:space="preserve"> </w:t>
      </w:r>
      <w:r>
        <w:t>d</w:t>
      </w:r>
      <w:r>
        <w:rPr>
          <w:spacing w:val="-4"/>
        </w:rPr>
        <w:t>r</w:t>
      </w:r>
      <w:r>
        <w:t>ought,</w:t>
      </w:r>
      <w:r>
        <w:rPr>
          <w:spacing w:val="-6"/>
        </w:rPr>
        <w:t xml:space="preserve"> </w:t>
      </w:r>
      <w:r>
        <w:t>which has become known as the “Millennium D</w:t>
      </w:r>
      <w:r>
        <w:rPr>
          <w:spacing w:val="-4"/>
        </w:rPr>
        <w:t>r</w:t>
      </w:r>
      <w:r>
        <w:t>ough</w:t>
      </w:r>
      <w:r>
        <w:rPr>
          <w:spacing w:val="4"/>
        </w:rPr>
        <w:t>t</w:t>
      </w:r>
      <w:r>
        <w:rPr>
          <w:spacing w:val="-24"/>
        </w:rPr>
        <w:t>”</w:t>
      </w:r>
      <w:r>
        <w:t>,</w:t>
      </w:r>
      <w:r>
        <w:rPr>
          <w:spacing w:val="-6"/>
        </w:rPr>
        <w:t xml:space="preserve"> </w:t>
      </w:r>
      <w:r>
        <w:t>did not just a</w:t>
      </w:r>
      <w:r>
        <w:rPr>
          <w:spacing w:val="-4"/>
        </w:rPr>
        <w:t>f</w:t>
      </w:r>
      <w:r>
        <w:t>fect the</w:t>
      </w:r>
      <w:r>
        <w:rPr>
          <w:spacing w:val="-4"/>
        </w:rPr>
        <w:t xml:space="preserve"> A</w:t>
      </w:r>
      <w:r>
        <w:rPr>
          <w:spacing w:val="-2"/>
        </w:rPr>
        <w:t>C</w:t>
      </w:r>
      <w:r>
        <w:rPr>
          <w:spacing w:val="-16"/>
        </w:rPr>
        <w:t>T</w:t>
      </w:r>
      <w:r>
        <w:t>.</w:t>
      </w:r>
      <w:r>
        <w:rPr>
          <w:spacing w:val="-6"/>
        </w:rPr>
        <w:t xml:space="preserve"> </w:t>
      </w:r>
      <w:r>
        <w:t xml:space="preserve">Most of </w:t>
      </w:r>
      <w:r>
        <w:rPr>
          <w:spacing w:val="-1"/>
        </w:rPr>
        <w:t>southeastern</w:t>
      </w:r>
      <w:r>
        <w:rPr>
          <w:spacing w:val="-5"/>
        </w:rPr>
        <w:t xml:space="preserve"> </w:t>
      </w:r>
      <w:r>
        <w:rPr>
          <w:spacing w:val="-1"/>
        </w:rPr>
        <w:t>Australia</w:t>
      </w:r>
      <w:r>
        <w:t xml:space="preserve"> </w:t>
      </w:r>
      <w:r>
        <w:rPr>
          <w:spacing w:val="-1"/>
        </w:rPr>
        <w:t xml:space="preserve">experienced </w:t>
      </w:r>
      <w:r>
        <w:t>the most persistent</w:t>
      </w:r>
      <w:r>
        <w:rPr>
          <w:spacing w:val="-1"/>
        </w:rPr>
        <w:t xml:space="preserve"> rainfall</w:t>
      </w:r>
      <w:r>
        <w:t xml:space="preserve"> deficit</w:t>
      </w:r>
      <w:r>
        <w:rPr>
          <w:spacing w:val="-1"/>
        </w:rPr>
        <w:t xml:space="preserve"> </w:t>
      </w:r>
      <w:r>
        <w:t xml:space="preserve">since the </w:t>
      </w:r>
      <w:r>
        <w:rPr>
          <w:spacing w:val="-1"/>
        </w:rPr>
        <w:t xml:space="preserve">start </w:t>
      </w:r>
      <w:r>
        <w:t>of</w:t>
      </w:r>
      <w:r>
        <w:rPr>
          <w:spacing w:val="4"/>
        </w:rPr>
        <w:t xml:space="preserve"> </w:t>
      </w:r>
      <w:r>
        <w:t>the</w:t>
      </w:r>
      <w:r>
        <w:rPr>
          <w:spacing w:val="-1"/>
        </w:rPr>
        <w:t xml:space="preserve"> </w:t>
      </w:r>
      <w:r>
        <w:t xml:space="preserve">20th </w:t>
      </w:r>
      <w:r>
        <w:rPr>
          <w:spacing w:val="-1"/>
        </w:rPr>
        <w:t>century,</w:t>
      </w:r>
      <w:r>
        <w:rPr>
          <w:spacing w:val="65"/>
        </w:rPr>
        <w:t xml:space="preserve"> </w:t>
      </w:r>
      <w:r>
        <w:rPr>
          <w:spacing w:val="-1"/>
        </w:rPr>
        <w:t>resulting</w:t>
      </w:r>
      <w:r>
        <w:rPr>
          <w:spacing w:val="-2"/>
        </w:rPr>
        <w:t xml:space="preserve"> </w:t>
      </w:r>
      <w:r>
        <w:t>in</w:t>
      </w:r>
      <w:r>
        <w:rPr>
          <w:spacing w:val="-1"/>
        </w:rPr>
        <w:t xml:space="preserve"> </w:t>
      </w:r>
      <w:r>
        <w:t>significant</w:t>
      </w:r>
      <w:r>
        <w:rPr>
          <w:spacing w:val="-1"/>
        </w:rPr>
        <w:t xml:space="preserve"> </w:t>
      </w:r>
      <w:r>
        <w:t>loss</w:t>
      </w:r>
      <w:r>
        <w:rPr>
          <w:spacing w:val="-1"/>
        </w:rPr>
        <w:t xml:space="preserve"> </w:t>
      </w:r>
      <w:r>
        <w:t>of</w:t>
      </w:r>
      <w:r>
        <w:rPr>
          <w:spacing w:val="3"/>
        </w:rPr>
        <w:t xml:space="preserve"> </w:t>
      </w:r>
      <w:r>
        <w:t>soil</w:t>
      </w:r>
      <w:r>
        <w:rPr>
          <w:spacing w:val="-1"/>
        </w:rPr>
        <w:t xml:space="preserve"> moisture </w:t>
      </w:r>
      <w:r>
        <w:t>in</w:t>
      </w:r>
      <w:r>
        <w:rPr>
          <w:spacing w:val="-1"/>
        </w:rPr>
        <w:t xml:space="preserve"> </w:t>
      </w:r>
      <w:r>
        <w:t>many</w:t>
      </w:r>
      <w:r>
        <w:rPr>
          <w:spacing w:val="-1"/>
        </w:rPr>
        <w:t xml:space="preserve"> water catchments,</w:t>
      </w:r>
      <w:r>
        <w:rPr>
          <w:spacing w:val="-7"/>
        </w:rPr>
        <w:t xml:space="preserve"> </w:t>
      </w:r>
      <w:r>
        <w:t>and</w:t>
      </w:r>
      <w:r>
        <w:rPr>
          <w:spacing w:val="-1"/>
        </w:rPr>
        <w:t xml:space="preserve"> severe reductions </w:t>
      </w:r>
      <w:r>
        <w:t>in</w:t>
      </w:r>
      <w:r>
        <w:rPr>
          <w:spacing w:val="-1"/>
        </w:rPr>
        <w:t xml:space="preserve"> </w:t>
      </w:r>
      <w:r>
        <w:t>inflows</w:t>
      </w:r>
      <w:r>
        <w:rPr>
          <w:spacing w:val="59"/>
          <w:w w:val="99"/>
        </w:rPr>
        <w:t xml:space="preserve"> </w:t>
      </w:r>
      <w:r>
        <w:t>to</w:t>
      </w:r>
      <w:r>
        <w:rPr>
          <w:spacing w:val="-1"/>
        </w:rPr>
        <w:t xml:space="preserve"> </w:t>
      </w:r>
      <w:r>
        <w:t>major</w:t>
      </w:r>
      <w:r>
        <w:rPr>
          <w:spacing w:val="-1"/>
        </w:rPr>
        <w:t xml:space="preserve"> water</w:t>
      </w:r>
      <w:r>
        <w:t xml:space="preserve"> </w:t>
      </w:r>
      <w:r>
        <w:rPr>
          <w:spacing w:val="-1"/>
        </w:rPr>
        <w:t>storages.</w:t>
      </w:r>
      <w:r>
        <w:rPr>
          <w:spacing w:val="-11"/>
        </w:rPr>
        <w:t xml:space="preserve"> </w:t>
      </w:r>
      <w:r>
        <w:t>As a</w:t>
      </w:r>
      <w:r>
        <w:rPr>
          <w:spacing w:val="-1"/>
        </w:rPr>
        <w:t xml:space="preserve"> result,</w:t>
      </w:r>
      <w:r>
        <w:rPr>
          <w:spacing w:val="-6"/>
        </w:rPr>
        <w:t xml:space="preserve"> </w:t>
      </w:r>
      <w:r>
        <w:t>even</w:t>
      </w:r>
      <w:r>
        <w:rPr>
          <w:spacing w:val="-1"/>
        </w:rPr>
        <w:t xml:space="preserve"> </w:t>
      </w:r>
      <w:r>
        <w:t>when</w:t>
      </w:r>
      <w:r>
        <w:rPr>
          <w:spacing w:val="-1"/>
        </w:rPr>
        <w:t xml:space="preserve"> there</w:t>
      </w:r>
      <w:r>
        <w:t xml:space="preserve"> </w:t>
      </w:r>
      <w:r>
        <w:rPr>
          <w:spacing w:val="-1"/>
        </w:rPr>
        <w:t xml:space="preserve">were </w:t>
      </w:r>
      <w:r>
        <w:t xml:space="preserve">significant </w:t>
      </w:r>
      <w:r>
        <w:rPr>
          <w:spacing w:val="-1"/>
        </w:rPr>
        <w:t xml:space="preserve">rain </w:t>
      </w:r>
      <w:r>
        <w:t>events,</w:t>
      </w:r>
      <w:r>
        <w:rPr>
          <w:spacing w:val="-7"/>
        </w:rPr>
        <w:t xml:space="preserve"> </w:t>
      </w:r>
      <w:r>
        <w:rPr>
          <w:spacing w:val="-1"/>
        </w:rPr>
        <w:t>water</w:t>
      </w:r>
      <w:r>
        <w:t xml:space="preserve"> </w:t>
      </w:r>
      <w:r>
        <w:rPr>
          <w:spacing w:val="-1"/>
        </w:rPr>
        <w:t xml:space="preserve">storage </w:t>
      </w:r>
      <w:r>
        <w:t>levels</w:t>
      </w:r>
      <w:r>
        <w:rPr>
          <w:spacing w:val="43"/>
        </w:rPr>
        <w:t xml:space="preserve"> </w:t>
      </w:r>
      <w:r>
        <w:t xml:space="preserve">did not </w:t>
      </w:r>
      <w:r>
        <w:rPr>
          <w:spacing w:val="-1"/>
        </w:rPr>
        <w:t>recover</w:t>
      </w:r>
      <w:r>
        <w:t xml:space="preserve"> in the </w:t>
      </w:r>
      <w:r>
        <w:rPr>
          <w:spacing w:val="-1"/>
        </w:rPr>
        <w:t>expected</w:t>
      </w:r>
      <w:r>
        <w:t xml:space="preserve"> </w:t>
      </w:r>
      <w:r>
        <w:rPr>
          <w:spacing w:val="-2"/>
        </w:rPr>
        <w:t>way.</w:t>
      </w:r>
    </w:p>
    <w:p w:rsidR="00D96B91" w:rsidRDefault="00C2656B">
      <w:pPr>
        <w:pStyle w:val="BodyText"/>
        <w:spacing w:before="170" w:line="260" w:lineRule="exact"/>
        <w:ind w:right="1283"/>
        <w:rPr>
          <w:rFonts w:cs="Avenir Next"/>
        </w:rPr>
      </w:pPr>
      <w:r>
        <w:t>In the</w:t>
      </w:r>
      <w:r>
        <w:rPr>
          <w:spacing w:val="-4"/>
        </w:rPr>
        <w:t xml:space="preserve"> </w:t>
      </w:r>
      <w:r>
        <w:rPr>
          <w:spacing w:val="-6"/>
        </w:rPr>
        <w:t xml:space="preserve">ACT, </w:t>
      </w:r>
      <w:r>
        <w:t xml:space="preserve">as </w:t>
      </w:r>
      <w:r>
        <w:rPr>
          <w:spacing w:val="-1"/>
        </w:rPr>
        <w:t>elsewhere,</w:t>
      </w:r>
      <w:r>
        <w:rPr>
          <w:spacing w:val="-6"/>
        </w:rPr>
        <w:t xml:space="preserve"> </w:t>
      </w:r>
      <w:r>
        <w:t xml:space="preserve">the </w:t>
      </w:r>
      <w:r>
        <w:rPr>
          <w:spacing w:val="-1"/>
        </w:rPr>
        <w:t>drought</w:t>
      </w:r>
      <w:r>
        <w:t xml:space="preserve"> </w:t>
      </w:r>
      <w:r>
        <w:rPr>
          <w:spacing w:val="-1"/>
        </w:rPr>
        <w:t>response</w:t>
      </w:r>
      <w:r>
        <w:t xml:space="preserve"> involved making major investments in </w:t>
      </w:r>
      <w:r>
        <w:rPr>
          <w:spacing w:val="-1"/>
        </w:rPr>
        <w:t>infrastructure</w:t>
      </w:r>
      <w:r>
        <w:t xml:space="preserve"> to</w:t>
      </w:r>
      <w:r>
        <w:rPr>
          <w:spacing w:val="45"/>
        </w:rPr>
        <w:t xml:space="preserve"> </w:t>
      </w:r>
      <w:r>
        <w:t>boost the security of</w:t>
      </w:r>
      <w:r>
        <w:rPr>
          <w:spacing w:val="4"/>
        </w:rPr>
        <w:t xml:space="preserve"> </w:t>
      </w:r>
      <w:r>
        <w:rPr>
          <w:spacing w:val="-1"/>
        </w:rPr>
        <w:t>water</w:t>
      </w:r>
      <w:r>
        <w:t xml:space="preserve"> </w:t>
      </w:r>
      <w:r>
        <w:rPr>
          <w:spacing w:val="-2"/>
        </w:rPr>
        <w:t>supply,</w:t>
      </w:r>
      <w:r>
        <w:rPr>
          <w:spacing w:val="-6"/>
        </w:rPr>
        <w:t xml:space="preserve"> </w:t>
      </w:r>
      <w:r>
        <w:t xml:space="preserve">as well as </w:t>
      </w:r>
      <w:r>
        <w:rPr>
          <w:spacing w:val="-1"/>
        </w:rPr>
        <w:t>increasing</w:t>
      </w:r>
      <w:r>
        <w:t xml:space="preserve"> the focus on </w:t>
      </w:r>
      <w:r>
        <w:rPr>
          <w:spacing w:val="-1"/>
        </w:rPr>
        <w:t>water</w:t>
      </w:r>
      <w:r>
        <w:t xml:space="preserve"> demand management:</w:t>
      </w:r>
    </w:p>
    <w:p w:rsidR="00D96B91" w:rsidRDefault="00C2656B">
      <w:pPr>
        <w:pStyle w:val="BodyText"/>
        <w:numPr>
          <w:ilvl w:val="0"/>
          <w:numId w:val="131"/>
        </w:numPr>
        <w:tabs>
          <w:tab w:val="left" w:pos="1531"/>
        </w:tabs>
        <w:spacing w:before="170" w:line="260" w:lineRule="exact"/>
        <w:ind w:right="1273" w:hanging="283"/>
      </w:pPr>
      <w:r>
        <w:rPr>
          <w:rFonts w:cs="Avenir Next"/>
        </w:rPr>
        <w:t>On the supply side,</w:t>
      </w:r>
      <w:r>
        <w:rPr>
          <w:rFonts w:cs="Avenir Next"/>
          <w:spacing w:val="-7"/>
        </w:rPr>
        <w:t xml:space="preserve"> </w:t>
      </w:r>
      <w:r>
        <w:rPr>
          <w:rFonts w:cs="Avenir Next"/>
          <w:spacing w:val="-3"/>
        </w:rPr>
        <w:t>Canberra’s</w:t>
      </w:r>
      <w:r>
        <w:rPr>
          <w:rFonts w:cs="Avenir Next"/>
        </w:rPr>
        <w:t xml:space="preserve"> </w:t>
      </w:r>
      <w:r>
        <w:rPr>
          <w:rFonts w:cs="Avenir Next"/>
          <w:spacing w:val="-1"/>
        </w:rPr>
        <w:t>water</w:t>
      </w:r>
      <w:r>
        <w:rPr>
          <w:rFonts w:cs="Avenir Next"/>
        </w:rPr>
        <w:t xml:space="preserve"> supply was augmented </w:t>
      </w:r>
      <w:r>
        <w:rPr>
          <w:rFonts w:cs="Avenir Next"/>
          <w:spacing w:val="-1"/>
        </w:rPr>
        <w:t>through</w:t>
      </w:r>
      <w:r>
        <w:rPr>
          <w:rFonts w:cs="Avenir Next"/>
        </w:rPr>
        <w:t xml:space="preserve"> a major </w:t>
      </w:r>
      <w:r>
        <w:rPr>
          <w:rFonts w:cs="Avenir Next"/>
          <w:spacing w:val="-1"/>
        </w:rPr>
        <w:t>expansion</w:t>
      </w:r>
      <w:r>
        <w:rPr>
          <w:rFonts w:cs="Avenir Next"/>
        </w:rPr>
        <w:t xml:space="preserve"> of</w:t>
      </w:r>
      <w:r>
        <w:rPr>
          <w:rFonts w:cs="Avenir Next"/>
          <w:spacing w:val="4"/>
        </w:rPr>
        <w:t xml:space="preserve"> </w:t>
      </w:r>
      <w:r>
        <w:rPr>
          <w:rFonts w:cs="Avenir Next"/>
        </w:rPr>
        <w:t>the</w:t>
      </w:r>
      <w:r>
        <w:rPr>
          <w:rFonts w:cs="Avenir Next"/>
          <w:spacing w:val="43"/>
        </w:rPr>
        <w:t xml:space="preserve"> </w:t>
      </w:r>
      <w:r>
        <w:rPr>
          <w:spacing w:val="-1"/>
        </w:rPr>
        <w:t>Cotter</w:t>
      </w:r>
      <w:r>
        <w:t xml:space="preserve"> Dam (ECD) (which,</w:t>
      </w:r>
      <w:r>
        <w:rPr>
          <w:spacing w:val="-7"/>
        </w:rPr>
        <w:t xml:space="preserve"> </w:t>
      </w:r>
      <w:r>
        <w:rPr>
          <w:spacing w:val="-1"/>
        </w:rPr>
        <w:t>at</w:t>
      </w:r>
      <w:r>
        <w:t xml:space="preserve"> 78 GL,</w:t>
      </w:r>
      <w:r>
        <w:rPr>
          <w:spacing w:val="-6"/>
        </w:rPr>
        <w:t xml:space="preserve"> </w:t>
      </w:r>
      <w:r>
        <w:t>is now 20 times its original capacity) and the construction of</w:t>
      </w:r>
      <w:r>
        <w:rPr>
          <w:spacing w:val="4"/>
        </w:rPr>
        <w:t xml:space="preserve"> </w:t>
      </w:r>
      <w:r>
        <w:t>the</w:t>
      </w:r>
      <w:r>
        <w:rPr>
          <w:spacing w:val="21"/>
        </w:rPr>
        <w:t xml:space="preserve"> </w:t>
      </w:r>
      <w:r>
        <w:t xml:space="preserve">Murrumbidgee to Googong </w:t>
      </w:r>
      <w:r>
        <w:rPr>
          <w:spacing w:val="-1"/>
        </w:rPr>
        <w:t>water</w:t>
      </w:r>
      <w:r>
        <w:t xml:space="preserve"> </w:t>
      </w:r>
      <w:r>
        <w:rPr>
          <w:spacing w:val="-1"/>
        </w:rPr>
        <w:t>transfer</w:t>
      </w:r>
      <w:r>
        <w:t xml:space="preserve"> pipeline (M2G).</w:t>
      </w:r>
      <w:r>
        <w:rPr>
          <w:spacing w:val="-6"/>
        </w:rPr>
        <w:t xml:space="preserve"> </w:t>
      </w:r>
      <w:r>
        <w:t>Governments in other jurisdictions made</w:t>
      </w:r>
      <w:r>
        <w:rPr>
          <w:spacing w:val="28"/>
        </w:rPr>
        <w:t xml:space="preserve"> </w:t>
      </w:r>
      <w:r>
        <w:t>similar investments.</w:t>
      </w:r>
      <w:r>
        <w:rPr>
          <w:spacing w:val="-7"/>
        </w:rPr>
        <w:t xml:space="preserve"> </w:t>
      </w:r>
      <w:r>
        <w:rPr>
          <w:spacing w:val="-4"/>
        </w:rPr>
        <w:t>For</w:t>
      </w:r>
      <w:r>
        <w:t xml:space="preserve"> </w:t>
      </w:r>
      <w:r>
        <w:rPr>
          <w:spacing w:val="-1"/>
        </w:rPr>
        <w:t>example,</w:t>
      </w:r>
      <w:r>
        <w:rPr>
          <w:spacing w:val="-6"/>
        </w:rPr>
        <w:t xml:space="preserve"> </w:t>
      </w:r>
      <w:r>
        <w:t>New South</w:t>
      </w:r>
      <w:r>
        <w:rPr>
          <w:spacing w:val="-3"/>
        </w:rPr>
        <w:t xml:space="preserve"> </w:t>
      </w:r>
      <w:r>
        <w:rPr>
          <w:spacing w:val="-2"/>
        </w:rPr>
        <w:t>Wales,</w:t>
      </w:r>
      <w:r>
        <w:rPr>
          <w:spacing w:val="-10"/>
        </w:rPr>
        <w:t xml:space="preserve"> </w:t>
      </w:r>
      <w:r>
        <w:rPr>
          <w:spacing w:val="-1"/>
        </w:rPr>
        <w:t>Victoria,</w:t>
      </w:r>
      <w:r>
        <w:rPr>
          <w:spacing w:val="-6"/>
        </w:rPr>
        <w:t xml:space="preserve"> </w:t>
      </w:r>
      <w:r>
        <w:t>South</w:t>
      </w:r>
      <w:r>
        <w:rPr>
          <w:spacing w:val="-4"/>
        </w:rPr>
        <w:t xml:space="preserve"> </w:t>
      </w:r>
      <w:r>
        <w:rPr>
          <w:spacing w:val="-1"/>
        </w:rPr>
        <w:t>Australia,</w:t>
      </w:r>
      <w:r>
        <w:rPr>
          <w:spacing w:val="-9"/>
        </w:rPr>
        <w:t xml:space="preserve"> </w:t>
      </w:r>
      <w:r>
        <w:rPr>
          <w:spacing w:val="-2"/>
        </w:rPr>
        <w:t>Western</w:t>
      </w:r>
      <w:r>
        <w:rPr>
          <w:spacing w:val="-4"/>
        </w:rPr>
        <w:t xml:space="preserve"> </w:t>
      </w:r>
      <w:r>
        <w:rPr>
          <w:spacing w:val="-1"/>
        </w:rPr>
        <w:t>Australia</w:t>
      </w:r>
      <w:r>
        <w:t xml:space="preserve"> and</w:t>
      </w:r>
      <w:r>
        <w:rPr>
          <w:spacing w:val="73"/>
        </w:rPr>
        <w:t xml:space="preserve"> </w:t>
      </w:r>
      <w:r>
        <w:t xml:space="preserve">Queensland constructed </w:t>
      </w:r>
      <w:r>
        <w:rPr>
          <w:spacing w:val="-1"/>
        </w:rPr>
        <w:t>desalination</w:t>
      </w:r>
      <w:r>
        <w:t xml:space="preserve"> plants,</w:t>
      </w:r>
      <w:r>
        <w:rPr>
          <w:spacing w:val="-6"/>
        </w:rPr>
        <w:t xml:space="preserve"> </w:t>
      </w:r>
      <w:r>
        <w:t xml:space="preserve">and </w:t>
      </w:r>
      <w:r>
        <w:rPr>
          <w:spacing w:val="-1"/>
        </w:rPr>
        <w:t>several</w:t>
      </w:r>
      <w:r>
        <w:t xml:space="preserve"> </w:t>
      </w:r>
      <w:r>
        <w:rPr>
          <w:spacing w:val="-1"/>
        </w:rPr>
        <w:t>states</w:t>
      </w:r>
      <w:r>
        <w:t xml:space="preserve"> built new pipelines to connect major</w:t>
      </w:r>
      <w:r>
        <w:rPr>
          <w:spacing w:val="35"/>
        </w:rPr>
        <w:t xml:space="preserve"> </w:t>
      </w:r>
      <w:r>
        <w:rPr>
          <w:rFonts w:cs="Avenir Next"/>
        </w:rPr>
        <w:t xml:space="preserve">urban </w:t>
      </w:r>
      <w:r>
        <w:rPr>
          <w:rFonts w:cs="Avenir Next"/>
          <w:spacing w:val="-1"/>
        </w:rPr>
        <w:t>centres</w:t>
      </w:r>
      <w:r>
        <w:rPr>
          <w:rFonts w:cs="Avenir Next"/>
        </w:rPr>
        <w:t xml:space="preserve"> to </w:t>
      </w:r>
      <w:r>
        <w:rPr>
          <w:rFonts w:cs="Avenir Next"/>
          <w:spacing w:val="-1"/>
        </w:rPr>
        <w:t>alternative</w:t>
      </w:r>
      <w:r>
        <w:rPr>
          <w:rFonts w:cs="Avenir Next"/>
        </w:rPr>
        <w:t xml:space="preserve"> </w:t>
      </w:r>
      <w:r>
        <w:rPr>
          <w:rFonts w:cs="Avenir Next"/>
          <w:spacing w:val="-1"/>
        </w:rPr>
        <w:t>water</w:t>
      </w:r>
      <w:r>
        <w:rPr>
          <w:rFonts w:cs="Avenir Next"/>
        </w:rPr>
        <w:t xml:space="preserve"> </w:t>
      </w:r>
      <w:r>
        <w:rPr>
          <w:rFonts w:cs="Avenir Next"/>
          <w:spacing w:val="-1"/>
        </w:rPr>
        <w:t>sources</w:t>
      </w:r>
      <w:r>
        <w:rPr>
          <w:rFonts w:cs="Avenir Next"/>
        </w:rPr>
        <w:t xml:space="preserve"> against the contingency </w:t>
      </w:r>
      <w:r>
        <w:rPr>
          <w:rFonts w:cs="Avenir Next"/>
          <w:spacing w:val="-1"/>
        </w:rPr>
        <w:t>that</w:t>
      </w:r>
      <w:r>
        <w:rPr>
          <w:rFonts w:cs="Avenir Next"/>
        </w:rPr>
        <w:t xml:space="preserve"> local </w:t>
      </w:r>
      <w:r>
        <w:rPr>
          <w:rFonts w:cs="Avenir Next"/>
          <w:spacing w:val="-1"/>
        </w:rPr>
        <w:t>sources</w:t>
      </w:r>
      <w:r>
        <w:rPr>
          <w:rFonts w:cs="Avenir Next"/>
        </w:rPr>
        <w:t xml:space="preserve"> could in </w:t>
      </w:r>
      <w:r>
        <w:rPr>
          <w:rFonts w:cs="Avenir Next"/>
          <w:spacing w:val="-1"/>
        </w:rPr>
        <w:t>future</w:t>
      </w:r>
      <w:r>
        <w:rPr>
          <w:rFonts w:cs="Avenir Next"/>
          <w:spacing w:val="47"/>
        </w:rPr>
        <w:t xml:space="preserve"> </w:t>
      </w:r>
      <w:r>
        <w:t xml:space="preserve">be </w:t>
      </w:r>
      <w:r>
        <w:rPr>
          <w:spacing w:val="-1"/>
        </w:rPr>
        <w:t>temporarily</w:t>
      </w:r>
      <w:r>
        <w:t xml:space="preserve"> depleted.</w:t>
      </w:r>
    </w:p>
    <w:p w:rsidR="00D96B91" w:rsidRDefault="00C2656B">
      <w:pPr>
        <w:pStyle w:val="BodyText"/>
        <w:numPr>
          <w:ilvl w:val="0"/>
          <w:numId w:val="131"/>
        </w:numPr>
        <w:tabs>
          <w:tab w:val="left" w:pos="1531"/>
        </w:tabs>
        <w:spacing w:before="85" w:line="260" w:lineRule="exact"/>
        <w:ind w:right="1314" w:hanging="283"/>
      </w:pPr>
      <w:r>
        <w:t>On the demand side,</w:t>
      </w:r>
      <w:r>
        <w:rPr>
          <w:spacing w:val="-7"/>
        </w:rPr>
        <w:t xml:space="preserve"> </w:t>
      </w:r>
      <w:r>
        <w:t>the</w:t>
      </w:r>
      <w:r>
        <w:rPr>
          <w:spacing w:val="-4"/>
        </w:rPr>
        <w:t xml:space="preserve"> </w:t>
      </w:r>
      <w:r>
        <w:rPr>
          <w:spacing w:val="-2"/>
        </w:rPr>
        <w:t>ACT</w:t>
      </w:r>
      <w:r>
        <w:rPr>
          <w:spacing w:val="-5"/>
        </w:rPr>
        <w:t xml:space="preserve"> </w:t>
      </w:r>
      <w:r>
        <w:t>Government (in common with governments in many other</w:t>
      </w:r>
      <w:r>
        <w:rPr>
          <w:spacing w:val="21"/>
        </w:rPr>
        <w:t xml:space="preserve"> </w:t>
      </w:r>
      <w:r>
        <w:t xml:space="preserve">jurisdictions) </w:t>
      </w:r>
      <w:r>
        <w:rPr>
          <w:spacing w:val="-1"/>
        </w:rPr>
        <w:t>introduced</w:t>
      </w:r>
      <w:r>
        <w:t xml:space="preserve"> </w:t>
      </w:r>
      <w:r>
        <w:rPr>
          <w:spacing w:val="-1"/>
        </w:rPr>
        <w:t>water</w:t>
      </w:r>
      <w:r>
        <w:t xml:space="preserve"> </w:t>
      </w:r>
      <w:r>
        <w:rPr>
          <w:spacing w:val="-1"/>
        </w:rPr>
        <w:t>restrictions</w:t>
      </w:r>
      <w:r>
        <w:t xml:space="preserve"> during the </w:t>
      </w:r>
      <w:r>
        <w:rPr>
          <w:spacing w:val="-1"/>
        </w:rPr>
        <w:t>drought.</w:t>
      </w:r>
      <w:r>
        <w:rPr>
          <w:spacing w:val="-9"/>
        </w:rPr>
        <w:t xml:space="preserve"> </w:t>
      </w:r>
      <w:r>
        <w:t xml:space="preserve">While these </w:t>
      </w:r>
      <w:r>
        <w:rPr>
          <w:spacing w:val="-1"/>
        </w:rPr>
        <w:t>restrictions</w:t>
      </w:r>
      <w:r>
        <w:t xml:space="preserve"> have since</w:t>
      </w:r>
      <w:r>
        <w:rPr>
          <w:spacing w:val="59"/>
        </w:rPr>
        <w:t xml:space="preserve"> </w:t>
      </w:r>
      <w:r>
        <w:t xml:space="preserve">been </w:t>
      </w:r>
      <w:r>
        <w:rPr>
          <w:spacing w:val="-1"/>
        </w:rPr>
        <w:t>lifted,</w:t>
      </w:r>
      <w:r>
        <w:rPr>
          <w:spacing w:val="-5"/>
        </w:rPr>
        <w:t xml:space="preserve"> </w:t>
      </w:r>
      <w:r>
        <w:t xml:space="preserve">permanent </w:t>
      </w:r>
      <w:r>
        <w:rPr>
          <w:spacing w:val="-1"/>
        </w:rPr>
        <w:t>water</w:t>
      </w:r>
      <w:r>
        <w:rPr>
          <w:spacing w:val="1"/>
        </w:rPr>
        <w:t xml:space="preserve"> </w:t>
      </w:r>
      <w:r>
        <w:rPr>
          <w:spacing w:val="-1"/>
        </w:rPr>
        <w:t>conservation</w:t>
      </w:r>
      <w:r>
        <w:t xml:space="preserve"> </w:t>
      </w:r>
      <w:r>
        <w:rPr>
          <w:spacing w:val="-1"/>
        </w:rPr>
        <w:t>measures</w:t>
      </w:r>
      <w:r>
        <w:rPr>
          <w:spacing w:val="1"/>
        </w:rPr>
        <w:t xml:space="preserve"> </w:t>
      </w:r>
      <w:r>
        <w:rPr>
          <w:spacing w:val="-1"/>
        </w:rPr>
        <w:t>introduced</w:t>
      </w:r>
      <w:r>
        <w:t xml:space="preserve"> in</w:t>
      </w:r>
      <w:r>
        <w:rPr>
          <w:spacing w:val="1"/>
        </w:rPr>
        <w:t xml:space="preserve"> </w:t>
      </w:r>
      <w:r>
        <w:t xml:space="preserve">2006 </w:t>
      </w:r>
      <w:r>
        <w:rPr>
          <w:spacing w:val="-1"/>
        </w:rPr>
        <w:t>remain</w:t>
      </w:r>
      <w:r>
        <w:rPr>
          <w:spacing w:val="1"/>
        </w:rPr>
        <w:t xml:space="preserve"> </w:t>
      </w:r>
      <w:r>
        <w:t>in place.</w:t>
      </w:r>
      <w:r>
        <w:rPr>
          <w:position w:val="7"/>
          <w:sz w:val="11"/>
        </w:rPr>
        <w:t>12</w:t>
      </w:r>
      <w:r>
        <w:rPr>
          <w:spacing w:val="18"/>
          <w:position w:val="7"/>
          <w:sz w:val="11"/>
        </w:rPr>
        <w:t xml:space="preserve"> </w:t>
      </w:r>
      <w:r>
        <w:rPr>
          <w:spacing w:val="-3"/>
        </w:rPr>
        <w:t>Together</w:t>
      </w:r>
      <w:r>
        <w:rPr>
          <w:spacing w:val="63"/>
        </w:rPr>
        <w:t xml:space="preserve"> </w:t>
      </w:r>
      <w:r>
        <w:t>with technological,</w:t>
      </w:r>
      <w:r>
        <w:rPr>
          <w:spacing w:val="-7"/>
        </w:rPr>
        <w:t xml:space="preserve"> </w:t>
      </w:r>
      <w:r>
        <w:t>appliance and other changes,</w:t>
      </w:r>
      <w:r>
        <w:rPr>
          <w:spacing w:val="-7"/>
        </w:rPr>
        <w:t xml:space="preserve"> </w:t>
      </w:r>
      <w:r>
        <w:t xml:space="preserve">this has </w:t>
      </w:r>
      <w:r>
        <w:rPr>
          <w:spacing w:val="-1"/>
        </w:rPr>
        <w:t>meant</w:t>
      </w:r>
      <w:r>
        <w:t xml:space="preserve"> </w:t>
      </w:r>
      <w:r>
        <w:rPr>
          <w:spacing w:val="-1"/>
        </w:rPr>
        <w:t>that</w:t>
      </w:r>
      <w:r>
        <w:t xml:space="preserve"> the demand for </w:t>
      </w:r>
      <w:r>
        <w:rPr>
          <w:spacing w:val="-1"/>
        </w:rPr>
        <w:t>water</w:t>
      </w:r>
      <w:r>
        <w:t xml:space="preserve"> has not</w:t>
      </w:r>
      <w:r>
        <w:rPr>
          <w:spacing w:val="27"/>
        </w:rPr>
        <w:t xml:space="preserve"> </w:t>
      </w:r>
      <w:r>
        <w:rPr>
          <w:spacing w:val="-1"/>
        </w:rPr>
        <w:t>returned</w:t>
      </w:r>
      <w:r>
        <w:t xml:space="preserve"> to </w:t>
      </w:r>
      <w:r>
        <w:rPr>
          <w:spacing w:val="-1"/>
        </w:rPr>
        <w:t>pre-restriction</w:t>
      </w:r>
      <w:r>
        <w:t xml:space="preserve"> levels.</w:t>
      </w:r>
    </w:p>
    <w:p w:rsidR="00D96B91" w:rsidRDefault="00D96B91">
      <w:pPr>
        <w:rPr>
          <w:rFonts w:ascii="Avenir Next" w:eastAsia="Avenir Next" w:hAnsi="Avenir Next" w:cs="Avenir Next"/>
          <w:sz w:val="20"/>
          <w:szCs w:val="20"/>
        </w:rPr>
      </w:pPr>
    </w:p>
    <w:p w:rsidR="00D96B91" w:rsidRDefault="00D96B91">
      <w:pPr>
        <w:spacing w:before="5"/>
        <w:rPr>
          <w:rFonts w:ascii="Avenir Next" w:eastAsia="Avenir Next" w:hAnsi="Avenir Next" w:cs="Avenir Next"/>
          <w:sz w:val="14"/>
          <w:szCs w:val="14"/>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58" style="width:72.5pt;height:.5pt;mso-position-horizontal-relative:char;mso-position-vertical-relative:line" coordsize="1450,10">
            <v:group id="_x0000_s3359" style="position:absolute;left:5;top:5;width:1440;height:2" coordorigin="5,5" coordsize="1440,2">
              <v:shape id="_x0000_s3360" style="position:absolute;left:5;top:5;width:1440;height:2" coordorigin="5,5" coordsize="1440,0" path="m5,5r1440,e" filled="f" strokeweight=".5pt">
                <v:path arrowok="t"/>
              </v:shape>
            </v:group>
            <w10:wrap type="none"/>
            <w10:anchorlock/>
          </v:group>
        </w:pict>
      </w:r>
    </w:p>
    <w:p w:rsidR="00D96B91" w:rsidRDefault="00C2656B">
      <w:pPr>
        <w:numPr>
          <w:ilvl w:val="0"/>
          <w:numId w:val="121"/>
        </w:numPr>
        <w:tabs>
          <w:tab w:val="left" w:pos="1758"/>
        </w:tabs>
        <w:spacing w:before="45" w:line="192" w:lineRule="exact"/>
        <w:ind w:right="1570" w:hanging="510"/>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prohibition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certain</w:t>
      </w:r>
      <w:r>
        <w:rPr>
          <w:rFonts w:ascii="Avenir Next" w:eastAsia="Avenir Next" w:hAnsi="Avenir Next" w:cs="Avenir Next"/>
          <w:sz w:val="16"/>
          <w:szCs w:val="16"/>
        </w:rPr>
        <w:t xml:space="preserve"> forms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outdoor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use – such as hosing down </w:t>
      </w:r>
      <w:r>
        <w:rPr>
          <w:rFonts w:ascii="Avenir Next" w:eastAsia="Avenir Next" w:hAnsi="Avenir Next" w:cs="Avenir Next"/>
          <w:spacing w:val="-1"/>
          <w:sz w:val="16"/>
          <w:szCs w:val="16"/>
        </w:rPr>
        <w:t>exterior</w:t>
      </w:r>
      <w:r>
        <w:rPr>
          <w:rFonts w:ascii="Avenir Next" w:eastAsia="Avenir Next" w:hAnsi="Avenir Next" w:cs="Avenir Next"/>
          <w:sz w:val="16"/>
          <w:szCs w:val="16"/>
        </w:rPr>
        <w:t xml:space="preserve"> surfaces,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car washing or</w:t>
      </w:r>
      <w:r>
        <w:rPr>
          <w:rFonts w:ascii="Avenir Next" w:eastAsia="Avenir Next" w:hAnsi="Avenir Next" w:cs="Avenir Next"/>
          <w:spacing w:val="63"/>
          <w:sz w:val="16"/>
          <w:szCs w:val="16"/>
        </w:rPr>
        <w:t xml:space="preserve"> </w:t>
      </w:r>
      <w:r>
        <w:rPr>
          <w:rFonts w:ascii="Avenir Next" w:eastAsia="Avenir Next" w:hAnsi="Avenir Next" w:cs="Avenir Next"/>
          <w:sz w:val="16"/>
          <w:szCs w:val="16"/>
        </w:rPr>
        <w:t xml:space="preserve">lawn </w:t>
      </w:r>
      <w:r>
        <w:rPr>
          <w:rFonts w:ascii="Avenir Next" w:eastAsia="Avenir Next" w:hAnsi="Avenir Next" w:cs="Avenir Next"/>
          <w:spacing w:val="-1"/>
          <w:sz w:val="16"/>
          <w:szCs w:val="16"/>
        </w:rPr>
        <w:t>watering</w:t>
      </w:r>
      <w:r>
        <w:rPr>
          <w:rFonts w:ascii="Avenir Next" w:eastAsia="Avenir Next" w:hAnsi="Avenir Next" w:cs="Avenir Next"/>
          <w:sz w:val="16"/>
          <w:szCs w:val="16"/>
        </w:rPr>
        <w:t xml:space="preserve"> other than in the night or </w:t>
      </w:r>
      <w:r>
        <w:rPr>
          <w:rFonts w:ascii="Avenir Next" w:eastAsia="Avenir Next" w:hAnsi="Avenir Next" w:cs="Avenir Next"/>
          <w:spacing w:val="-1"/>
          <w:sz w:val="16"/>
          <w:szCs w:val="16"/>
        </w:rPr>
        <w:t>early</w:t>
      </w:r>
      <w:r>
        <w:rPr>
          <w:rFonts w:ascii="Avenir Next" w:eastAsia="Avenir Next" w:hAnsi="Avenir Next" w:cs="Avenir Next"/>
          <w:sz w:val="16"/>
          <w:szCs w:val="16"/>
        </w:rPr>
        <w:t xml:space="preserve"> morning.</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56"/>
      </w:pPr>
      <w:bookmarkStart w:id="28" w:name="3._4_Key_features_of_the_ICRC’s_original"/>
      <w:bookmarkStart w:id="29" w:name="_bookmark14"/>
      <w:bookmarkEnd w:id="28"/>
      <w:bookmarkEnd w:id="29"/>
      <w:r>
        <w:t xml:space="preserve">Both the supply and demand </w:t>
      </w:r>
      <w:r>
        <w:rPr>
          <w:spacing w:val="-1"/>
        </w:rPr>
        <w:t>responses</w:t>
      </w:r>
      <w:r>
        <w:t xml:space="preserve"> to the </w:t>
      </w:r>
      <w:r>
        <w:rPr>
          <w:spacing w:val="-1"/>
        </w:rPr>
        <w:t>drought</w:t>
      </w:r>
      <w:r>
        <w:t xml:space="preserve"> have placed </w:t>
      </w:r>
      <w:r>
        <w:rPr>
          <w:spacing w:val="-1"/>
        </w:rPr>
        <w:t>upward</w:t>
      </w:r>
      <w:r>
        <w:t xml:space="preserve"> </w:t>
      </w:r>
      <w:r>
        <w:rPr>
          <w:spacing w:val="-1"/>
        </w:rPr>
        <w:t>pressure</w:t>
      </w:r>
      <w:r>
        <w:t xml:space="preserve"> on </w:t>
      </w:r>
      <w:r>
        <w:rPr>
          <w:spacing w:val="-1"/>
        </w:rPr>
        <w:t>water</w:t>
      </w:r>
      <w:r>
        <w:t xml:space="preserve"> prices</w:t>
      </w:r>
      <w:r>
        <w:rPr>
          <w:spacing w:val="27"/>
        </w:rPr>
        <w:t xml:space="preserve"> </w:t>
      </w:r>
      <w:r>
        <w:rPr>
          <w:spacing w:val="-1"/>
        </w:rPr>
        <w:t>across</w:t>
      </w:r>
      <w:r>
        <w:rPr>
          <w:spacing w:val="-4"/>
        </w:rPr>
        <w:t xml:space="preserve"> </w:t>
      </w:r>
      <w:r>
        <w:rPr>
          <w:spacing w:val="-1"/>
        </w:rPr>
        <w:t>Australia.</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20"/>
        </w:numPr>
        <w:tabs>
          <w:tab w:val="left" w:pos="2098"/>
        </w:tabs>
        <w:ind w:hanging="850"/>
        <w:rPr>
          <w:rFonts w:cs="Avenir Next Medium"/>
        </w:rPr>
      </w:pPr>
      <w:r>
        <w:rPr>
          <w:color w:val="0778BE"/>
          <w:spacing w:val="-2"/>
        </w:rPr>
        <w:t>Pricing</w:t>
      </w:r>
      <w:r>
        <w:rPr>
          <w:color w:val="0778BE"/>
        </w:rPr>
        <w:t xml:space="preserve"> </w:t>
      </w:r>
      <w:r>
        <w:rPr>
          <w:color w:val="0778BE"/>
          <w:spacing w:val="-1"/>
        </w:rPr>
        <w:t>implications</w:t>
      </w:r>
      <w:r>
        <w:rPr>
          <w:color w:val="0778BE"/>
        </w:rPr>
        <w:t xml:space="preserve"> of</w:t>
      </w:r>
      <w:r>
        <w:rPr>
          <w:color w:val="0778BE"/>
          <w:spacing w:val="5"/>
        </w:rPr>
        <w:t xml:space="preserve"> </w:t>
      </w:r>
      <w:r>
        <w:rPr>
          <w:color w:val="0778BE"/>
        </w:rPr>
        <w:t xml:space="preserve">supply-side </w:t>
      </w:r>
      <w:r>
        <w:rPr>
          <w:color w:val="0778BE"/>
          <w:spacing w:val="-1"/>
        </w:rPr>
        <w:t>responses</w:t>
      </w:r>
    </w:p>
    <w:p w:rsidR="00D96B91" w:rsidRDefault="00C2656B">
      <w:pPr>
        <w:pStyle w:val="BodyText"/>
        <w:spacing w:before="21" w:line="260" w:lineRule="exact"/>
        <w:ind w:right="1256"/>
      </w:pPr>
      <w:r>
        <w:rPr>
          <w:spacing w:val="-2"/>
        </w:rPr>
        <w:t>The</w:t>
      </w:r>
      <w:r>
        <w:rPr>
          <w:spacing w:val="-1"/>
        </w:rPr>
        <w:t xml:space="preserve"> </w:t>
      </w:r>
      <w:r>
        <w:t xml:space="preserve">investment in </w:t>
      </w:r>
      <w:r>
        <w:rPr>
          <w:spacing w:val="-1"/>
        </w:rPr>
        <w:t>water</w:t>
      </w:r>
      <w:r>
        <w:t xml:space="preserve"> security </w:t>
      </w:r>
      <w:r>
        <w:rPr>
          <w:spacing w:val="-1"/>
        </w:rPr>
        <w:t>measures that</w:t>
      </w:r>
      <w:r>
        <w:t xml:space="preserve"> have </w:t>
      </w:r>
      <w:r>
        <w:rPr>
          <w:spacing w:val="-1"/>
        </w:rPr>
        <w:t>occurred</w:t>
      </w:r>
      <w:r>
        <w:t xml:space="preserve"> over the last</w:t>
      </w:r>
      <w:r>
        <w:rPr>
          <w:spacing w:val="-1"/>
        </w:rPr>
        <w:t xml:space="preserve"> </w:t>
      </w:r>
      <w:r>
        <w:t xml:space="preserve">five to ten </w:t>
      </w:r>
      <w:r>
        <w:rPr>
          <w:spacing w:val="-1"/>
        </w:rPr>
        <w:t>years</w:t>
      </w:r>
      <w:r>
        <w:t xml:space="preserve"> have</w:t>
      </w:r>
      <w:r>
        <w:rPr>
          <w:spacing w:val="-1"/>
        </w:rPr>
        <w:t xml:space="preserve"> </w:t>
      </w:r>
      <w:r>
        <w:t>been a</w:t>
      </w:r>
      <w:r>
        <w:rPr>
          <w:spacing w:val="33"/>
        </w:rPr>
        <w:t xml:space="preserve"> </w:t>
      </w:r>
      <w:r>
        <w:t xml:space="preserve">major factor behind rising </w:t>
      </w:r>
      <w:r>
        <w:rPr>
          <w:spacing w:val="-1"/>
        </w:rPr>
        <w:t>water</w:t>
      </w:r>
      <w:r>
        <w:t xml:space="preserve"> prices and household </w:t>
      </w:r>
      <w:r>
        <w:rPr>
          <w:spacing w:val="-1"/>
        </w:rPr>
        <w:t>water</w:t>
      </w:r>
      <w:r>
        <w:t xml:space="preserve"> bills </w:t>
      </w:r>
      <w:r>
        <w:rPr>
          <w:spacing w:val="-1"/>
        </w:rPr>
        <w:t>across</w:t>
      </w:r>
      <w:r>
        <w:rPr>
          <w:spacing w:val="-4"/>
        </w:rPr>
        <w:t xml:space="preserve"> </w:t>
      </w:r>
      <w:r>
        <w:rPr>
          <w:spacing w:val="-1"/>
        </w:rPr>
        <w:t>Australia</w:t>
      </w:r>
      <w:r>
        <w:t xml:space="preserve"> in </w:t>
      </w:r>
      <w:r>
        <w:rPr>
          <w:spacing w:val="-1"/>
        </w:rPr>
        <w:t>recent</w:t>
      </w:r>
      <w:r>
        <w:t xml:space="preserve"> </w:t>
      </w:r>
      <w:r>
        <w:rPr>
          <w:spacing w:val="-1"/>
        </w:rPr>
        <w:t>years.</w:t>
      </w:r>
    </w:p>
    <w:p w:rsidR="00D96B91" w:rsidRDefault="00C2656B">
      <w:pPr>
        <w:pStyle w:val="BodyText"/>
        <w:spacing w:before="170" w:line="260" w:lineRule="exact"/>
        <w:ind w:right="1548"/>
      </w:pPr>
      <w:r>
        <w:t xml:space="preserve">In </w:t>
      </w:r>
      <w:r>
        <w:rPr>
          <w:spacing w:val="-1"/>
        </w:rPr>
        <w:t>approving</w:t>
      </w:r>
      <w:r>
        <w:t xml:space="preserve"> price </w:t>
      </w:r>
      <w:r>
        <w:rPr>
          <w:spacing w:val="-1"/>
        </w:rPr>
        <w:t>increases,</w:t>
      </w:r>
      <w:r>
        <w:rPr>
          <w:spacing w:val="-7"/>
        </w:rPr>
        <w:t xml:space="preserve"> </w:t>
      </w:r>
      <w:r>
        <w:t>one of</w:t>
      </w:r>
      <w:r>
        <w:rPr>
          <w:spacing w:val="4"/>
        </w:rPr>
        <w:t xml:space="preserve"> </w:t>
      </w:r>
      <w:r>
        <w:t xml:space="preserve">the </w:t>
      </w:r>
      <w:r>
        <w:rPr>
          <w:spacing w:val="-2"/>
        </w:rPr>
        <w:t>key</w:t>
      </w:r>
      <w:r>
        <w:t xml:space="preserve"> questions </w:t>
      </w:r>
      <w:r>
        <w:rPr>
          <w:spacing w:val="-1"/>
        </w:rPr>
        <w:t>that</w:t>
      </w:r>
      <w:r>
        <w:rPr>
          <w:spacing w:val="-4"/>
        </w:rPr>
        <w:t xml:space="preserve"> </w:t>
      </w:r>
      <w:r>
        <w:rPr>
          <w:spacing w:val="-1"/>
        </w:rPr>
        <w:t>Australian</w:t>
      </w:r>
      <w:r>
        <w:t xml:space="preserve"> </w:t>
      </w:r>
      <w:r>
        <w:rPr>
          <w:spacing w:val="-1"/>
        </w:rPr>
        <w:t>regulators</w:t>
      </w:r>
      <w:r>
        <w:t xml:space="preserve"> have had to </w:t>
      </w:r>
      <w:r>
        <w:rPr>
          <w:spacing w:val="-1"/>
        </w:rPr>
        <w:t>grapple</w:t>
      </w:r>
      <w:r>
        <w:rPr>
          <w:spacing w:val="55"/>
        </w:rPr>
        <w:t xml:space="preserve"> </w:t>
      </w:r>
      <w:r>
        <w:t>with is how much of</w:t>
      </w:r>
      <w:r>
        <w:rPr>
          <w:spacing w:val="4"/>
        </w:rPr>
        <w:t xml:space="preserve"> </w:t>
      </w:r>
      <w:r>
        <w:t>the cost of</w:t>
      </w:r>
      <w:r>
        <w:rPr>
          <w:spacing w:val="4"/>
        </w:rPr>
        <w:t xml:space="preserve"> </w:t>
      </w:r>
      <w:r>
        <w:t xml:space="preserve">the </w:t>
      </w:r>
      <w:r>
        <w:rPr>
          <w:spacing w:val="-1"/>
        </w:rPr>
        <w:t>water</w:t>
      </w:r>
      <w:r>
        <w:t xml:space="preserve"> security </w:t>
      </w:r>
      <w:r>
        <w:rPr>
          <w:spacing w:val="-1"/>
        </w:rPr>
        <w:t>measures</w:t>
      </w:r>
      <w:r>
        <w:t xml:space="preserve"> should be paid for by the </w:t>
      </w:r>
      <w:r>
        <w:rPr>
          <w:spacing w:val="-1"/>
        </w:rPr>
        <w:t>current</w:t>
      </w:r>
      <w:r>
        <w:rPr>
          <w:spacing w:val="28"/>
        </w:rPr>
        <w:t xml:space="preserve"> </w:t>
      </w:r>
      <w:r>
        <w:rPr>
          <w:spacing w:val="-1"/>
        </w:rPr>
        <w:t>generation</w:t>
      </w:r>
      <w:r>
        <w:t xml:space="preserve"> of</w:t>
      </w:r>
      <w:r>
        <w:rPr>
          <w:spacing w:val="4"/>
        </w:rPr>
        <w:t xml:space="preserve"> </w:t>
      </w:r>
      <w:r>
        <w:rPr>
          <w:spacing w:val="-1"/>
        </w:rPr>
        <w:t>water</w:t>
      </w:r>
      <w:r>
        <w:t xml:space="preserve"> consumers,</w:t>
      </w:r>
      <w:r>
        <w:rPr>
          <w:spacing w:val="-7"/>
        </w:rPr>
        <w:t xml:space="preserve"> </w:t>
      </w:r>
      <w:r>
        <w:t xml:space="preserve">and how much should be </w:t>
      </w:r>
      <w:r>
        <w:rPr>
          <w:spacing w:val="-1"/>
        </w:rPr>
        <w:t>recovered</w:t>
      </w:r>
      <w:r>
        <w:t xml:space="preserve"> </w:t>
      </w:r>
      <w:r>
        <w:rPr>
          <w:spacing w:val="-1"/>
        </w:rPr>
        <w:t>from</w:t>
      </w:r>
      <w:r>
        <w:t xml:space="preserve"> </w:t>
      </w:r>
      <w:r>
        <w:rPr>
          <w:spacing w:val="-1"/>
        </w:rPr>
        <w:t>future</w:t>
      </w:r>
      <w:r>
        <w:t xml:space="preserve"> consumers?</w:t>
      </w:r>
      <w:r>
        <w:rPr>
          <w:spacing w:val="-5"/>
        </w:rPr>
        <w:t xml:space="preserve"> </w:t>
      </w:r>
      <w:r>
        <w:rPr>
          <w:spacing w:val="-1"/>
        </w:rPr>
        <w:t>This</w:t>
      </w:r>
      <w:r>
        <w:rPr>
          <w:spacing w:val="23"/>
        </w:rPr>
        <w:t xml:space="preserve"> </w:t>
      </w:r>
      <w:r>
        <w:t>question</w:t>
      </w:r>
      <w:r>
        <w:rPr>
          <w:spacing w:val="-1"/>
        </w:rPr>
        <w:t xml:space="preserve"> </w:t>
      </w:r>
      <w:r>
        <w:t>is</w:t>
      </w:r>
      <w:r>
        <w:rPr>
          <w:spacing w:val="-1"/>
        </w:rPr>
        <w:t xml:space="preserve"> </w:t>
      </w:r>
      <w:r>
        <w:t>significant because</w:t>
      </w:r>
      <w:r>
        <w:rPr>
          <w:spacing w:val="-1"/>
        </w:rPr>
        <w:t xml:space="preserve"> future </w:t>
      </w:r>
      <w:r>
        <w:t>consumers will</w:t>
      </w:r>
      <w:r>
        <w:rPr>
          <w:spacing w:val="-1"/>
        </w:rPr>
        <w:t xml:space="preserve"> </w:t>
      </w:r>
      <w:r>
        <w:t>enjoy</w:t>
      </w:r>
      <w:r>
        <w:rPr>
          <w:spacing w:val="-1"/>
        </w:rPr>
        <w:t xml:space="preserve"> </w:t>
      </w:r>
      <w:r>
        <w:t>access to</w:t>
      </w:r>
      <w:r>
        <w:rPr>
          <w:spacing w:val="-1"/>
        </w:rPr>
        <w:t xml:space="preserve"> water </w:t>
      </w:r>
      <w:r>
        <w:t>supplies due</w:t>
      </w:r>
      <w:r>
        <w:rPr>
          <w:spacing w:val="-1"/>
        </w:rPr>
        <w:t xml:space="preserve"> </w:t>
      </w:r>
      <w:r>
        <w:t>to</w:t>
      </w:r>
      <w:r>
        <w:rPr>
          <w:spacing w:val="-1"/>
        </w:rPr>
        <w:t xml:space="preserve"> </w:t>
      </w:r>
      <w:r>
        <w:t>the</w:t>
      </w:r>
      <w:r>
        <w:rPr>
          <w:spacing w:val="25"/>
        </w:rPr>
        <w:t xml:space="preserve"> </w:t>
      </w:r>
      <w:r>
        <w:t>investments</w:t>
      </w:r>
      <w:r>
        <w:rPr>
          <w:spacing w:val="-1"/>
        </w:rPr>
        <w:t xml:space="preserve"> </w:t>
      </w:r>
      <w:r>
        <w:t xml:space="preserve">made </w:t>
      </w:r>
      <w:r>
        <w:rPr>
          <w:spacing w:val="-2"/>
        </w:rPr>
        <w:t>now,</w:t>
      </w:r>
      <w:r>
        <w:rPr>
          <w:spacing w:val="-7"/>
        </w:rPr>
        <w:t xml:space="preserve"> </w:t>
      </w:r>
      <w:r>
        <w:t>and may</w:t>
      </w:r>
      <w:r>
        <w:rPr>
          <w:spacing w:val="-1"/>
        </w:rPr>
        <w:t xml:space="preserve"> </w:t>
      </w:r>
      <w:r>
        <w:t>in fact</w:t>
      </w:r>
      <w:r>
        <w:rPr>
          <w:spacing w:val="-1"/>
        </w:rPr>
        <w:t xml:space="preserve"> </w:t>
      </w:r>
      <w:r>
        <w:t>derive a</w:t>
      </w:r>
      <w:r>
        <w:rPr>
          <w:spacing w:val="-1"/>
        </w:rPr>
        <w:t xml:space="preserve"> </w:t>
      </w:r>
      <w:r>
        <w:rPr>
          <w:spacing w:val="-2"/>
        </w:rPr>
        <w:t>greater</w:t>
      </w:r>
      <w:r>
        <w:t xml:space="preserve"> benefit</w:t>
      </w:r>
      <w:r>
        <w:rPr>
          <w:spacing w:val="-1"/>
        </w:rPr>
        <w:t xml:space="preserve"> </w:t>
      </w:r>
      <w:r>
        <w:t xml:space="preserve">than </w:t>
      </w:r>
      <w:r>
        <w:rPr>
          <w:spacing w:val="-1"/>
        </w:rPr>
        <w:t xml:space="preserve">current </w:t>
      </w:r>
      <w:r>
        <w:t>consumers.</w:t>
      </w:r>
    </w:p>
    <w:p w:rsidR="00D96B91" w:rsidRDefault="00C2656B">
      <w:pPr>
        <w:pStyle w:val="BodyText"/>
        <w:spacing w:before="170" w:line="260" w:lineRule="exact"/>
        <w:ind w:right="1356"/>
      </w:pPr>
      <w:r>
        <w:rPr>
          <w:rFonts w:cs="Avenir Next"/>
        </w:rPr>
        <w:t>In the terms of</w:t>
      </w:r>
      <w:r>
        <w:rPr>
          <w:rFonts w:cs="Avenir Next"/>
          <w:spacing w:val="4"/>
        </w:rPr>
        <w:t xml:space="preserve"> </w:t>
      </w:r>
      <w:r>
        <w:rPr>
          <w:rFonts w:cs="Avenir Next"/>
          <w:spacing w:val="-1"/>
        </w:rPr>
        <w:t>reference</w:t>
      </w:r>
      <w:r>
        <w:rPr>
          <w:rFonts w:cs="Avenir Next"/>
        </w:rPr>
        <w:t xml:space="preserve"> for the original price </w:t>
      </w:r>
      <w:r>
        <w:rPr>
          <w:rFonts w:cs="Avenir Next"/>
          <w:spacing w:val="-1"/>
        </w:rPr>
        <w:t>direction,</w:t>
      </w:r>
      <w:r>
        <w:rPr>
          <w:rFonts w:cs="Avenir Next"/>
          <w:spacing w:val="-6"/>
        </w:rPr>
        <w:t xml:space="preserve"> </w:t>
      </w:r>
      <w:r>
        <w:rPr>
          <w:rFonts w:cs="Avenir Next"/>
        </w:rPr>
        <w:t xml:space="preserve">the ICRC was </w:t>
      </w:r>
      <w:r>
        <w:rPr>
          <w:rFonts w:cs="Avenir Next"/>
          <w:spacing w:val="-1"/>
        </w:rPr>
        <w:t>directed</w:t>
      </w:r>
      <w:r>
        <w:rPr>
          <w:rFonts w:cs="Avenir Next"/>
        </w:rPr>
        <w:t xml:space="preserve"> to have </w:t>
      </w:r>
      <w:r>
        <w:rPr>
          <w:rFonts w:cs="Avenir Next"/>
          <w:spacing w:val="-2"/>
        </w:rPr>
        <w:t>regard</w:t>
      </w:r>
      <w:r>
        <w:rPr>
          <w:rFonts w:cs="Avenir Next"/>
        </w:rPr>
        <w:t xml:space="preserve"> to a</w:t>
      </w:r>
      <w:r>
        <w:rPr>
          <w:rFonts w:cs="Avenir Next"/>
          <w:spacing w:val="31"/>
        </w:rPr>
        <w:t xml:space="preserve"> </w:t>
      </w:r>
      <w:r>
        <w:t>similar</w:t>
      </w:r>
      <w:r>
        <w:rPr>
          <w:spacing w:val="-1"/>
        </w:rPr>
        <w:t xml:space="preserve"> intergenerational </w:t>
      </w:r>
      <w:r>
        <w:t>equity</w:t>
      </w:r>
      <w:r>
        <w:rPr>
          <w:spacing w:val="-1"/>
        </w:rPr>
        <w:t xml:space="preserve"> </w:t>
      </w:r>
      <w:r>
        <w:t>question.</w:t>
      </w:r>
      <w:r>
        <w:rPr>
          <w:spacing w:val="-8"/>
        </w:rPr>
        <w:t xml:space="preserve"> </w:t>
      </w:r>
      <w:r>
        <w:rPr>
          <w:spacing w:val="-1"/>
        </w:rPr>
        <w:t>Specifically,</w:t>
      </w:r>
      <w:r>
        <w:rPr>
          <w:spacing w:val="-7"/>
        </w:rPr>
        <w:t xml:space="preserve"> </w:t>
      </w:r>
      <w:r>
        <w:t>the ICRC</w:t>
      </w:r>
      <w:r>
        <w:rPr>
          <w:spacing w:val="-1"/>
        </w:rPr>
        <w:t xml:space="preserve"> </w:t>
      </w:r>
      <w:r>
        <w:t>was</w:t>
      </w:r>
      <w:r>
        <w:rPr>
          <w:spacing w:val="-1"/>
        </w:rPr>
        <w:t xml:space="preserve"> directed </w:t>
      </w:r>
      <w:r>
        <w:t>to</w:t>
      </w:r>
      <w:r>
        <w:rPr>
          <w:spacing w:val="-1"/>
        </w:rPr>
        <w:t xml:space="preserve"> take </w:t>
      </w:r>
      <w:r>
        <w:t>into</w:t>
      </w:r>
      <w:r>
        <w:rPr>
          <w:spacing w:val="-1"/>
        </w:rPr>
        <w:t xml:space="preserve"> consideration</w:t>
      </w:r>
      <w:r>
        <w:rPr>
          <w:spacing w:val="51"/>
        </w:rPr>
        <w:t xml:space="preserve"> </w:t>
      </w:r>
      <w:r>
        <w:t>the</w:t>
      </w:r>
      <w:r>
        <w:rPr>
          <w:spacing w:val="-1"/>
        </w:rPr>
        <w:t xml:space="preserve"> </w:t>
      </w:r>
      <w:r>
        <w:t>ability of</w:t>
      </w:r>
      <w:r>
        <w:rPr>
          <w:spacing w:val="3"/>
        </w:rPr>
        <w:t xml:space="preserve"> </w:t>
      </w:r>
      <w:r>
        <w:t>the price</w:t>
      </w:r>
      <w:r>
        <w:rPr>
          <w:spacing w:val="-1"/>
        </w:rPr>
        <w:t xml:space="preserve"> path</w:t>
      </w:r>
      <w:r>
        <w:t xml:space="preserve"> to</w:t>
      </w:r>
      <w:r>
        <w:rPr>
          <w:spacing w:val="-1"/>
        </w:rPr>
        <w:t xml:space="preserve"> match</w:t>
      </w:r>
      <w:r>
        <w:t xml:space="preserve"> the</w:t>
      </w:r>
      <w:r>
        <w:rPr>
          <w:spacing w:val="-1"/>
        </w:rPr>
        <w:t xml:space="preserve"> revenue</w:t>
      </w:r>
      <w:r>
        <w:t xml:space="preserve"> </w:t>
      </w:r>
      <w:r>
        <w:rPr>
          <w:spacing w:val="-1"/>
        </w:rPr>
        <w:t xml:space="preserve">requirements </w:t>
      </w:r>
      <w:r>
        <w:t>to the consumer</w:t>
      </w:r>
      <w:r>
        <w:rPr>
          <w:spacing w:val="-1"/>
        </w:rPr>
        <w:t xml:space="preserve"> </w:t>
      </w:r>
      <w:r>
        <w:t>benefits accrued</w:t>
      </w:r>
      <w:r>
        <w:rPr>
          <w:spacing w:val="-1"/>
        </w:rPr>
        <w:t xml:space="preserve"> from</w:t>
      </w:r>
      <w:r>
        <w:rPr>
          <w:spacing w:val="25"/>
        </w:rPr>
        <w:t xml:space="preserve"> </w:t>
      </w:r>
      <w:r>
        <w:t xml:space="preserve">the </w:t>
      </w:r>
      <w:r>
        <w:rPr>
          <w:spacing w:val="-1"/>
        </w:rPr>
        <w:t>water</w:t>
      </w:r>
      <w:r>
        <w:t xml:space="preserve"> security </w:t>
      </w:r>
      <w:r>
        <w:rPr>
          <w:spacing w:val="-1"/>
        </w:rPr>
        <w:t>program.</w:t>
      </w:r>
      <w:r>
        <w:rPr>
          <w:spacing w:val="-11"/>
        </w:rPr>
        <w:t xml:space="preserve"> </w:t>
      </w:r>
      <w:r>
        <w:rPr>
          <w:spacing w:val="-2"/>
        </w:rPr>
        <w:t>The</w:t>
      </w:r>
      <w:r>
        <w:t xml:space="preserve"> </w:t>
      </w:r>
      <w:r>
        <w:rPr>
          <w:spacing w:val="-3"/>
        </w:rPr>
        <w:t>Panel</w:t>
      </w:r>
      <w:r>
        <w:t xml:space="preserve"> is </w:t>
      </w:r>
      <w:r>
        <w:rPr>
          <w:spacing w:val="-1"/>
        </w:rPr>
        <w:t>required</w:t>
      </w:r>
      <w:r>
        <w:t xml:space="preserve"> to consider the same issues when </w:t>
      </w:r>
      <w:r>
        <w:rPr>
          <w:spacing w:val="-1"/>
        </w:rPr>
        <w:t>examining</w:t>
      </w:r>
      <w:r>
        <w:t xml:space="preserve"> the</w:t>
      </w:r>
      <w:r>
        <w:rPr>
          <w:spacing w:val="33"/>
        </w:rPr>
        <w:t xml:space="preserve"> </w:t>
      </w:r>
      <w:r>
        <w:rPr>
          <w:spacing w:val="-1"/>
        </w:rPr>
        <w:t>water</w:t>
      </w:r>
      <w:r>
        <w:t xml:space="preserve"> security investments</w:t>
      </w:r>
      <w:r>
        <w:rPr>
          <w:spacing w:val="-4"/>
        </w:rPr>
        <w:t xml:space="preserve"> </w:t>
      </w:r>
      <w:r>
        <w:rPr>
          <w:spacing w:val="-2"/>
        </w:rPr>
        <w:t>ACTEW</w:t>
      </w:r>
      <w:r>
        <w:rPr>
          <w:spacing w:val="-3"/>
        </w:rPr>
        <w:t xml:space="preserve"> </w:t>
      </w:r>
      <w:r>
        <w:t xml:space="preserve">made in the </w:t>
      </w:r>
      <w:r>
        <w:rPr>
          <w:spacing w:val="-1"/>
        </w:rPr>
        <w:t>previous</w:t>
      </w:r>
      <w:r>
        <w:t xml:space="preserve"> </w:t>
      </w:r>
      <w:r>
        <w:rPr>
          <w:spacing w:val="-1"/>
        </w:rPr>
        <w:t>regulatory</w:t>
      </w:r>
      <w:r>
        <w:t xml:space="preserve"> period.</w:t>
      </w:r>
      <w:r>
        <w:rPr>
          <w:spacing w:val="-11"/>
        </w:rPr>
        <w:t xml:space="preserve"> </w:t>
      </w:r>
      <w:r>
        <w:rPr>
          <w:spacing w:val="-2"/>
        </w:rPr>
        <w:t>The</w:t>
      </w:r>
      <w:r>
        <w:t xml:space="preserve"> </w:t>
      </w:r>
      <w:r>
        <w:rPr>
          <w:spacing w:val="-4"/>
        </w:rPr>
        <w:t>Panel’s</w:t>
      </w:r>
      <w:r>
        <w:t xml:space="preserve"> assessment of</w:t>
      </w:r>
      <w:r>
        <w:rPr>
          <w:spacing w:val="47"/>
        </w:rPr>
        <w:t xml:space="preserve"> </w:t>
      </w:r>
      <w:r>
        <w:t>this issue is set out in Chapter 8.</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20"/>
        </w:numPr>
        <w:tabs>
          <w:tab w:val="left" w:pos="2098"/>
        </w:tabs>
        <w:ind w:hanging="850"/>
        <w:rPr>
          <w:rFonts w:cs="Avenir Next Medium"/>
        </w:rPr>
      </w:pPr>
      <w:r>
        <w:rPr>
          <w:color w:val="0778BE"/>
          <w:spacing w:val="-2"/>
        </w:rPr>
        <w:t>Pricing</w:t>
      </w:r>
      <w:r>
        <w:rPr>
          <w:color w:val="0778BE"/>
        </w:rPr>
        <w:t xml:space="preserve"> </w:t>
      </w:r>
      <w:r>
        <w:rPr>
          <w:color w:val="0778BE"/>
          <w:spacing w:val="-1"/>
        </w:rPr>
        <w:t>implications</w:t>
      </w:r>
      <w:r>
        <w:rPr>
          <w:color w:val="0778BE"/>
        </w:rPr>
        <w:t xml:space="preserve"> of</w:t>
      </w:r>
      <w:r>
        <w:rPr>
          <w:color w:val="0778BE"/>
          <w:spacing w:val="5"/>
        </w:rPr>
        <w:t xml:space="preserve"> </w:t>
      </w:r>
      <w:r>
        <w:rPr>
          <w:color w:val="0778BE"/>
        </w:rPr>
        <w:t xml:space="preserve">demand-side </w:t>
      </w:r>
      <w:r>
        <w:rPr>
          <w:color w:val="0778BE"/>
          <w:spacing w:val="-1"/>
        </w:rPr>
        <w:t>responses</w:t>
      </w:r>
    </w:p>
    <w:p w:rsidR="00D96B91" w:rsidRDefault="00C2656B">
      <w:pPr>
        <w:pStyle w:val="BodyText"/>
        <w:spacing w:before="21" w:line="260" w:lineRule="exact"/>
        <w:ind w:right="1256"/>
        <w:rPr>
          <w:sz w:val="11"/>
          <w:szCs w:val="11"/>
        </w:rPr>
      </w:pPr>
      <w:r>
        <w:rPr>
          <w:spacing w:val="-1"/>
        </w:rPr>
        <w:t>Across</w:t>
      </w:r>
      <w:r>
        <w:rPr>
          <w:spacing w:val="-4"/>
        </w:rPr>
        <w:t xml:space="preserve"> </w:t>
      </w:r>
      <w:r>
        <w:rPr>
          <w:spacing w:val="-1"/>
        </w:rPr>
        <w:t>Australia,</w:t>
      </w:r>
      <w:r>
        <w:rPr>
          <w:spacing w:val="-6"/>
        </w:rPr>
        <w:t xml:space="preserve"> </w:t>
      </w:r>
      <w:r>
        <w:t>the imposition of</w:t>
      </w:r>
      <w:r>
        <w:rPr>
          <w:spacing w:val="4"/>
        </w:rPr>
        <w:t xml:space="preserve"> </w:t>
      </w:r>
      <w:r>
        <w:t xml:space="preserve">compulsory </w:t>
      </w:r>
      <w:r>
        <w:rPr>
          <w:spacing w:val="-1"/>
        </w:rPr>
        <w:t>water</w:t>
      </w:r>
      <w:r>
        <w:t xml:space="preserve"> </w:t>
      </w:r>
      <w:r>
        <w:rPr>
          <w:spacing w:val="-1"/>
        </w:rPr>
        <w:t>restrictions</w:t>
      </w:r>
      <w:r>
        <w:t xml:space="preserve"> to </w:t>
      </w:r>
      <w:r>
        <w:rPr>
          <w:spacing w:val="-1"/>
        </w:rPr>
        <w:t>ration</w:t>
      </w:r>
      <w:r>
        <w:t xml:space="preserve"> </w:t>
      </w:r>
      <w:r>
        <w:rPr>
          <w:spacing w:val="-1"/>
        </w:rPr>
        <w:t>scarce</w:t>
      </w:r>
      <w:r>
        <w:t xml:space="preserve"> </w:t>
      </w:r>
      <w:r>
        <w:rPr>
          <w:spacing w:val="-1"/>
        </w:rPr>
        <w:t>water</w:t>
      </w:r>
      <w:r>
        <w:t xml:space="preserve"> supplies during</w:t>
      </w:r>
      <w:r>
        <w:rPr>
          <w:spacing w:val="51"/>
        </w:rPr>
        <w:t xml:space="preserve"> </w:t>
      </w:r>
      <w:r>
        <w:t xml:space="preserve">the Millennium </w:t>
      </w:r>
      <w:r>
        <w:rPr>
          <w:spacing w:val="-1"/>
        </w:rPr>
        <w:t>Drought</w:t>
      </w:r>
      <w:r>
        <w:t xml:space="preserve"> </w:t>
      </w:r>
      <w:r>
        <w:rPr>
          <w:spacing w:val="-1"/>
        </w:rPr>
        <w:t>resulted</w:t>
      </w:r>
      <w:r>
        <w:t xml:space="preserve"> in </w:t>
      </w:r>
      <w:r>
        <w:rPr>
          <w:spacing w:val="-1"/>
        </w:rPr>
        <w:t>reductions</w:t>
      </w:r>
      <w:r>
        <w:t xml:space="preserve"> in </w:t>
      </w:r>
      <w:r>
        <w:rPr>
          <w:spacing w:val="-1"/>
        </w:rPr>
        <w:t>water</w:t>
      </w:r>
      <w:r>
        <w:t xml:space="preserve"> consumption.</w:t>
      </w:r>
      <w:r>
        <w:rPr>
          <w:spacing w:val="-9"/>
        </w:rPr>
        <w:t xml:space="preserve"> </w:t>
      </w:r>
      <w:r>
        <w:t>While many of</w:t>
      </w:r>
      <w:r>
        <w:rPr>
          <w:spacing w:val="4"/>
        </w:rPr>
        <w:t xml:space="preserve"> </w:t>
      </w:r>
      <w:r>
        <w:t xml:space="preserve">these </w:t>
      </w:r>
      <w:r>
        <w:rPr>
          <w:spacing w:val="-1"/>
        </w:rPr>
        <w:t>restrictions</w:t>
      </w:r>
      <w:r>
        <w:rPr>
          <w:spacing w:val="49"/>
        </w:rPr>
        <w:t xml:space="preserve"> </w:t>
      </w:r>
      <w:r>
        <w:t xml:space="preserve">have now been </w:t>
      </w:r>
      <w:r>
        <w:rPr>
          <w:spacing w:val="-1"/>
        </w:rPr>
        <w:t>lifted,</w:t>
      </w:r>
      <w:r>
        <w:rPr>
          <w:spacing w:val="-6"/>
        </w:rPr>
        <w:t xml:space="preserve"> </w:t>
      </w:r>
      <w:r>
        <w:t xml:space="preserve">the demand for </w:t>
      </w:r>
      <w:r>
        <w:rPr>
          <w:spacing w:val="-1"/>
        </w:rPr>
        <w:t>water</w:t>
      </w:r>
      <w:r>
        <w:t xml:space="preserve"> (and </w:t>
      </w:r>
      <w:r>
        <w:rPr>
          <w:spacing w:val="-1"/>
        </w:rPr>
        <w:t>therefore</w:t>
      </w:r>
      <w:r>
        <w:t xml:space="preserve"> </w:t>
      </w:r>
      <w:r>
        <w:rPr>
          <w:spacing w:val="-1"/>
        </w:rPr>
        <w:t>water</w:t>
      </w:r>
      <w:r>
        <w:t xml:space="preserve"> sales) has not to </w:t>
      </w:r>
      <w:r>
        <w:rPr>
          <w:spacing w:val="-1"/>
        </w:rPr>
        <w:t>date</w:t>
      </w:r>
      <w:r>
        <w:t xml:space="preserve"> </w:t>
      </w:r>
      <w:r>
        <w:rPr>
          <w:spacing w:val="-1"/>
        </w:rPr>
        <w:t>returned</w:t>
      </w:r>
      <w:r>
        <w:t xml:space="preserve"> to </w:t>
      </w:r>
      <w:r>
        <w:rPr>
          <w:spacing w:val="-1"/>
        </w:rPr>
        <w:t>pre-</w:t>
      </w:r>
      <w:r>
        <w:rPr>
          <w:spacing w:val="35"/>
        </w:rPr>
        <w:t xml:space="preserve"> </w:t>
      </w:r>
      <w:r>
        <w:rPr>
          <w:spacing w:val="-1"/>
        </w:rPr>
        <w:t>restriction</w:t>
      </w:r>
      <w:r>
        <w:t xml:space="preserve"> levels.</w:t>
      </w:r>
      <w:r>
        <w:rPr>
          <w:spacing w:val="-6"/>
        </w:rPr>
        <w:t xml:space="preserve"> </w:t>
      </w:r>
      <w:r>
        <w:t xml:space="preserve">In addition to the </w:t>
      </w:r>
      <w:r>
        <w:rPr>
          <w:spacing w:val="-1"/>
        </w:rPr>
        <w:t>introduction</w:t>
      </w:r>
      <w:r>
        <w:t xml:space="preserve"> of</w:t>
      </w:r>
      <w:r>
        <w:rPr>
          <w:spacing w:val="4"/>
        </w:rPr>
        <w:t xml:space="preserve"> </w:t>
      </w:r>
      <w:r>
        <w:t xml:space="preserve">permanent </w:t>
      </w:r>
      <w:r>
        <w:rPr>
          <w:spacing w:val="-1"/>
        </w:rPr>
        <w:t>restrictions</w:t>
      </w:r>
      <w:r>
        <w:t xml:space="preserve"> on </w:t>
      </w:r>
      <w:r>
        <w:rPr>
          <w:spacing w:val="-1"/>
        </w:rPr>
        <w:t>certain</w:t>
      </w:r>
      <w:r>
        <w:t xml:space="preserve"> </w:t>
      </w:r>
      <w:r>
        <w:rPr>
          <w:spacing w:val="-1"/>
        </w:rPr>
        <w:t>water</w:t>
      </w:r>
      <w:r>
        <w:t xml:space="preserve"> uses,</w:t>
      </w:r>
      <w:r>
        <w:rPr>
          <w:spacing w:val="-6"/>
        </w:rPr>
        <w:t xml:space="preserve"> </w:t>
      </w:r>
      <w:r>
        <w:t>this is</w:t>
      </w:r>
      <w:r>
        <w:rPr>
          <w:spacing w:val="61"/>
        </w:rPr>
        <w:t xml:space="preserve"> </w:t>
      </w:r>
      <w:r>
        <w:t>due</w:t>
      </w:r>
      <w:r>
        <w:rPr>
          <w:spacing w:val="-1"/>
        </w:rPr>
        <w:t xml:space="preserve"> </w:t>
      </w:r>
      <w:r>
        <w:t>to changes</w:t>
      </w:r>
      <w:r>
        <w:rPr>
          <w:spacing w:val="-1"/>
        </w:rPr>
        <w:t xml:space="preserve"> </w:t>
      </w:r>
      <w:r>
        <w:t>in building</w:t>
      </w:r>
      <w:r>
        <w:rPr>
          <w:spacing w:val="-1"/>
        </w:rPr>
        <w:t xml:space="preserve"> regulations,</w:t>
      </w:r>
      <w:r>
        <w:rPr>
          <w:spacing w:val="-6"/>
        </w:rPr>
        <w:t xml:space="preserve"> </w:t>
      </w:r>
      <w:r>
        <w:rPr>
          <w:spacing w:val="-1"/>
        </w:rPr>
        <w:t xml:space="preserve">improvements </w:t>
      </w:r>
      <w:r>
        <w:t>in the</w:t>
      </w:r>
      <w:r>
        <w:rPr>
          <w:spacing w:val="-1"/>
        </w:rPr>
        <w:t xml:space="preserve"> water</w:t>
      </w:r>
      <w:r>
        <w:t xml:space="preserve"> </w:t>
      </w:r>
      <w:r>
        <w:rPr>
          <w:spacing w:val="-1"/>
        </w:rPr>
        <w:t xml:space="preserve">efficiency </w:t>
      </w:r>
      <w:r>
        <w:t>of</w:t>
      </w:r>
      <w:r>
        <w:rPr>
          <w:spacing w:val="4"/>
        </w:rPr>
        <w:t xml:space="preserve"> </w:t>
      </w:r>
      <w:r>
        <w:t>appliances,</w:t>
      </w:r>
      <w:r>
        <w:rPr>
          <w:spacing w:val="-7"/>
        </w:rPr>
        <w:t xml:space="preserve"> </w:t>
      </w:r>
      <w:r>
        <w:t>and social</w:t>
      </w:r>
      <w:r>
        <w:rPr>
          <w:spacing w:val="47"/>
        </w:rPr>
        <w:t xml:space="preserve"> </w:t>
      </w:r>
      <w:r>
        <w:t>and</w:t>
      </w:r>
      <w:r>
        <w:rPr>
          <w:spacing w:val="3"/>
        </w:rPr>
        <w:t xml:space="preserve"> </w:t>
      </w:r>
      <w:r>
        <w:rPr>
          <w:spacing w:val="-1"/>
        </w:rPr>
        <w:t>cultural</w:t>
      </w:r>
      <w:r>
        <w:rPr>
          <w:spacing w:val="4"/>
        </w:rPr>
        <w:t xml:space="preserve"> </w:t>
      </w:r>
      <w:r>
        <w:rPr>
          <w:spacing w:val="-1"/>
        </w:rPr>
        <w:t>shifts.</w:t>
      </w:r>
      <w:r>
        <w:rPr>
          <w:spacing w:val="-1"/>
          <w:position w:val="7"/>
          <w:sz w:val="11"/>
        </w:rPr>
        <w:t>13</w:t>
      </w:r>
    </w:p>
    <w:p w:rsidR="00D96B91" w:rsidRDefault="00C2656B">
      <w:pPr>
        <w:pStyle w:val="BodyText"/>
        <w:spacing w:before="170" w:line="260" w:lineRule="exact"/>
        <w:ind w:right="1345"/>
        <w:jc w:val="both"/>
      </w:pPr>
      <w:r>
        <w:rPr>
          <w:rFonts w:cs="Avenir Next"/>
          <w:spacing w:val="-1"/>
        </w:rPr>
        <w:t>Reduced</w:t>
      </w:r>
      <w:r>
        <w:rPr>
          <w:rFonts w:cs="Avenir Next"/>
        </w:rPr>
        <w:t xml:space="preserve"> demand necessarily </w:t>
      </w:r>
      <w:r>
        <w:rPr>
          <w:rFonts w:cs="Avenir Next"/>
          <w:spacing w:val="-1"/>
        </w:rPr>
        <w:t>leads</w:t>
      </w:r>
      <w:r>
        <w:rPr>
          <w:rFonts w:cs="Avenir Next"/>
        </w:rPr>
        <w:t xml:space="preserve"> to an </w:t>
      </w:r>
      <w:r>
        <w:rPr>
          <w:rFonts w:cs="Avenir Next"/>
          <w:spacing w:val="-1"/>
        </w:rPr>
        <w:t>increase</w:t>
      </w:r>
      <w:r>
        <w:rPr>
          <w:rFonts w:cs="Avenir Next"/>
        </w:rPr>
        <w:t xml:space="preserve"> in </w:t>
      </w:r>
      <w:r>
        <w:rPr>
          <w:rFonts w:cs="Avenir Next"/>
          <w:spacing w:val="-1"/>
        </w:rPr>
        <w:t>water</w:t>
      </w:r>
      <w:r>
        <w:rPr>
          <w:rFonts w:cs="Avenir Next"/>
        </w:rPr>
        <w:t xml:space="preserve"> prices because the costs of</w:t>
      </w:r>
      <w:r>
        <w:rPr>
          <w:rFonts w:cs="Avenir Next"/>
          <w:spacing w:val="4"/>
        </w:rPr>
        <w:t xml:space="preserve"> </w:t>
      </w:r>
      <w:r>
        <w:rPr>
          <w:rFonts w:cs="Avenir Next"/>
          <w:spacing w:val="-1"/>
        </w:rPr>
        <w:t>providing</w:t>
      </w:r>
      <w:r>
        <w:rPr>
          <w:rFonts w:cs="Avenir Next"/>
        </w:rPr>
        <w:t xml:space="preserve"> </w:t>
      </w:r>
      <w:r>
        <w:rPr>
          <w:rFonts w:cs="Avenir Next"/>
          <w:spacing w:val="-1"/>
        </w:rPr>
        <w:t>water</w:t>
      </w:r>
      <w:r>
        <w:rPr>
          <w:rFonts w:cs="Avenir Next"/>
          <w:spacing w:val="37"/>
        </w:rPr>
        <w:t xml:space="preserve"> </w:t>
      </w:r>
      <w:r>
        <w:t>and</w:t>
      </w:r>
      <w:r>
        <w:rPr>
          <w:spacing w:val="-1"/>
        </w:rPr>
        <w:t xml:space="preserve"> sewerage</w:t>
      </w:r>
      <w:r>
        <w:t xml:space="preserve"> services </w:t>
      </w:r>
      <w:r>
        <w:rPr>
          <w:spacing w:val="-2"/>
        </w:rPr>
        <w:t>are</w:t>
      </w:r>
      <w:r>
        <w:t xml:space="preserve"> </w:t>
      </w:r>
      <w:r>
        <w:rPr>
          <w:spacing w:val="-1"/>
        </w:rPr>
        <w:t>predominantly</w:t>
      </w:r>
      <w:r>
        <w:t xml:space="preserve"> </w:t>
      </w:r>
      <w:r>
        <w:rPr>
          <w:spacing w:val="-1"/>
        </w:rPr>
        <w:t>fixed.</w:t>
      </w:r>
      <w:r>
        <w:rPr>
          <w:spacing w:val="-11"/>
        </w:rPr>
        <w:t xml:space="preserve"> </w:t>
      </w:r>
      <w:r>
        <w:rPr>
          <w:spacing w:val="-2"/>
        </w:rPr>
        <w:t>That</w:t>
      </w:r>
      <w:r>
        <w:t xml:space="preserve"> is,</w:t>
      </w:r>
      <w:r>
        <w:rPr>
          <w:spacing w:val="-6"/>
        </w:rPr>
        <w:t xml:space="preserve"> </w:t>
      </w:r>
      <w:r>
        <w:t>they</w:t>
      </w:r>
      <w:r>
        <w:rPr>
          <w:spacing w:val="-1"/>
        </w:rPr>
        <w:t xml:space="preserve"> </w:t>
      </w:r>
      <w:r>
        <w:t xml:space="preserve">don’t vary </w:t>
      </w:r>
      <w:r>
        <w:rPr>
          <w:spacing w:val="-1"/>
        </w:rPr>
        <w:t>directly</w:t>
      </w:r>
      <w:r>
        <w:t xml:space="preserve"> in line with the demand</w:t>
      </w:r>
      <w:r>
        <w:rPr>
          <w:spacing w:val="53"/>
        </w:rPr>
        <w:t xml:space="preserve"> </w:t>
      </w:r>
      <w:r>
        <w:t>for these services.</w:t>
      </w:r>
      <w:r>
        <w:rPr>
          <w:spacing w:val="-7"/>
        </w:rPr>
        <w:t xml:space="preserve"> </w:t>
      </w:r>
      <w:r>
        <w:t>So as the demand for services falls,</w:t>
      </w:r>
      <w:r>
        <w:rPr>
          <w:spacing w:val="-7"/>
        </w:rPr>
        <w:t xml:space="preserve"> </w:t>
      </w:r>
      <w:r>
        <w:t xml:space="preserve">the price per unit must </w:t>
      </w:r>
      <w:r>
        <w:rPr>
          <w:spacing w:val="-1"/>
        </w:rPr>
        <w:t>increase.</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119"/>
        </w:numPr>
        <w:tabs>
          <w:tab w:val="left" w:pos="1570"/>
          <w:tab w:val="left" w:pos="2040"/>
        </w:tabs>
        <w:ind w:hanging="322"/>
      </w:pPr>
      <w:r>
        <w:rPr>
          <w:color w:val="0778BE"/>
        </w:rPr>
        <w:t>4</w:t>
      </w:r>
      <w:r>
        <w:rPr>
          <w:color w:val="0778BE"/>
        </w:rPr>
        <w:tab/>
      </w:r>
      <w:r>
        <w:rPr>
          <w:color w:val="0778BE"/>
          <w:spacing w:val="-3"/>
        </w:rPr>
        <w:t>Key</w:t>
      </w:r>
      <w:r>
        <w:rPr>
          <w:color w:val="0778BE"/>
        </w:rPr>
        <w:t xml:space="preserve"> </w:t>
      </w:r>
      <w:r>
        <w:rPr>
          <w:color w:val="0778BE"/>
          <w:spacing w:val="-2"/>
        </w:rPr>
        <w:t>features</w:t>
      </w:r>
      <w:r>
        <w:rPr>
          <w:color w:val="0778BE"/>
        </w:rPr>
        <w:t xml:space="preserve"> of</w:t>
      </w:r>
      <w:r>
        <w:rPr>
          <w:color w:val="0778BE"/>
          <w:spacing w:val="7"/>
        </w:rPr>
        <w:t xml:space="preserve"> </w:t>
      </w:r>
      <w:r>
        <w:rPr>
          <w:color w:val="0778BE"/>
        </w:rPr>
        <w:t xml:space="preserve">the </w:t>
      </w:r>
      <w:r>
        <w:rPr>
          <w:color w:val="0778BE"/>
          <w:spacing w:val="-3"/>
        </w:rPr>
        <w:t>ICRC’s</w:t>
      </w:r>
      <w:r>
        <w:rPr>
          <w:color w:val="0778BE"/>
        </w:rPr>
        <w:t xml:space="preserve"> original price </w:t>
      </w:r>
      <w:r>
        <w:rPr>
          <w:color w:val="0778BE"/>
          <w:spacing w:val="-1"/>
        </w:rPr>
        <w:t>direction</w:t>
      </w:r>
    </w:p>
    <w:p w:rsidR="00D96B91" w:rsidRDefault="00C2656B">
      <w:pPr>
        <w:pStyle w:val="BodyText"/>
        <w:spacing w:before="63" w:line="267" w:lineRule="exact"/>
      </w:pPr>
      <w:r>
        <w:rPr>
          <w:spacing w:val="-2"/>
        </w:rPr>
        <w:t>The</w:t>
      </w:r>
      <w:r>
        <w:t xml:space="preserve"> </w:t>
      </w:r>
      <w:r>
        <w:rPr>
          <w:spacing w:val="-2"/>
        </w:rPr>
        <w:t>ICRC’s</w:t>
      </w:r>
      <w:r>
        <w:t xml:space="preserve"> original price </w:t>
      </w:r>
      <w:r>
        <w:rPr>
          <w:spacing w:val="-1"/>
        </w:rPr>
        <w:t>direction</w:t>
      </w:r>
      <w:r>
        <w:t xml:space="preserve"> was made on 26</w:t>
      </w:r>
      <w:r>
        <w:rPr>
          <w:spacing w:val="-3"/>
        </w:rPr>
        <w:t xml:space="preserve"> </w:t>
      </w:r>
      <w:r>
        <w:t>June 2013 and covers the period 1</w:t>
      </w:r>
      <w:r>
        <w:rPr>
          <w:spacing w:val="-3"/>
        </w:rPr>
        <w:t xml:space="preserve"> </w:t>
      </w:r>
      <w:r>
        <w:t>July 2013 to</w:t>
      </w:r>
    </w:p>
    <w:p w:rsidR="00D96B91" w:rsidRDefault="00C2656B">
      <w:pPr>
        <w:pStyle w:val="BodyText"/>
        <w:spacing w:before="3" w:line="228" w:lineRule="auto"/>
        <w:ind w:right="1256"/>
      </w:pPr>
      <w:r>
        <w:t>30</w:t>
      </w:r>
      <w:r>
        <w:rPr>
          <w:spacing w:val="-3"/>
        </w:rPr>
        <w:t xml:space="preserve"> </w:t>
      </w:r>
      <w:r>
        <w:t>June 2019.</w:t>
      </w:r>
      <w:r>
        <w:rPr>
          <w:spacing w:val="-11"/>
        </w:rPr>
        <w:t xml:space="preserve"> </w:t>
      </w:r>
      <w:r>
        <w:rPr>
          <w:spacing w:val="-1"/>
        </w:rPr>
        <w:t>This</w:t>
      </w:r>
      <w:r>
        <w:t xml:space="preserve"> decision </w:t>
      </w:r>
      <w:r>
        <w:rPr>
          <w:spacing w:val="-1"/>
        </w:rPr>
        <w:t>provided</w:t>
      </w:r>
      <w:r>
        <w:t xml:space="preserve"> for a 4.9% </w:t>
      </w:r>
      <w:r>
        <w:rPr>
          <w:spacing w:val="-1"/>
        </w:rPr>
        <w:t>increase</w:t>
      </w:r>
      <w:r>
        <w:t xml:space="preserve"> in the volumetric </w:t>
      </w:r>
      <w:r>
        <w:rPr>
          <w:spacing w:val="-1"/>
        </w:rPr>
        <w:t>water</w:t>
      </w:r>
      <w:r>
        <w:t xml:space="preserve"> </w:t>
      </w:r>
      <w:r>
        <w:rPr>
          <w:spacing w:val="-1"/>
        </w:rPr>
        <w:t>charge</w:t>
      </w:r>
      <w:r>
        <w:t xml:space="preserve"> and an 18.1%</w:t>
      </w:r>
      <w:r>
        <w:rPr>
          <w:spacing w:val="23"/>
        </w:rPr>
        <w:t xml:space="preserve"> </w:t>
      </w:r>
      <w:r>
        <w:rPr>
          <w:spacing w:val="-1"/>
        </w:rPr>
        <w:t>reduction</w:t>
      </w:r>
      <w:r>
        <w:t xml:space="preserve"> in the </w:t>
      </w:r>
      <w:r>
        <w:rPr>
          <w:spacing w:val="-1"/>
        </w:rPr>
        <w:t>sewerage</w:t>
      </w:r>
      <w:r>
        <w:t xml:space="preserve"> </w:t>
      </w:r>
      <w:r>
        <w:rPr>
          <w:spacing w:val="-1"/>
        </w:rPr>
        <w:t>charge</w:t>
      </w:r>
      <w:r>
        <w:t xml:space="preserve"> in 2013-14.</w:t>
      </w:r>
    </w:p>
    <w:p w:rsidR="00D96B91" w:rsidRDefault="00C2656B">
      <w:pPr>
        <w:pStyle w:val="BodyText"/>
        <w:spacing w:before="152" w:line="260" w:lineRule="exact"/>
        <w:ind w:right="1548"/>
      </w:pPr>
      <w:r>
        <w:rPr>
          <w:spacing w:val="-2"/>
        </w:rPr>
        <w:t>The</w:t>
      </w:r>
      <w:r>
        <w:t xml:space="preserve"> </w:t>
      </w:r>
      <w:r>
        <w:rPr>
          <w:spacing w:val="-4"/>
        </w:rPr>
        <w:t>Panel’s</w:t>
      </w:r>
      <w:r>
        <w:t xml:space="preserve"> understanding of</w:t>
      </w:r>
      <w:r>
        <w:rPr>
          <w:spacing w:val="4"/>
        </w:rPr>
        <w:t xml:space="preserve"> </w:t>
      </w:r>
      <w:r>
        <w:t xml:space="preserve">this price </w:t>
      </w:r>
      <w:r>
        <w:rPr>
          <w:spacing w:val="-1"/>
        </w:rPr>
        <w:t>direction</w:t>
      </w:r>
      <w:r>
        <w:t xml:space="preserve"> – and the </w:t>
      </w:r>
      <w:r>
        <w:rPr>
          <w:spacing w:val="-1"/>
        </w:rPr>
        <w:t>considerations</w:t>
      </w:r>
      <w:r>
        <w:t xml:space="preserve"> underlying many of</w:t>
      </w:r>
      <w:r>
        <w:rPr>
          <w:spacing w:val="4"/>
        </w:rPr>
        <w:t xml:space="preserve"> </w:t>
      </w:r>
      <w:r>
        <w:t>the</w:t>
      </w:r>
      <w:r>
        <w:rPr>
          <w:spacing w:val="45"/>
        </w:rPr>
        <w:t xml:space="preserve"> </w:t>
      </w:r>
      <w:r>
        <w:t>component individual decisions – underpins much of</w:t>
      </w:r>
      <w:r>
        <w:rPr>
          <w:spacing w:val="4"/>
        </w:rPr>
        <w:t xml:space="preserve"> </w:t>
      </w:r>
      <w:r>
        <w:t xml:space="preserve">the analysis </w:t>
      </w:r>
      <w:r>
        <w:rPr>
          <w:spacing w:val="-1"/>
        </w:rPr>
        <w:t>presented</w:t>
      </w:r>
      <w:r>
        <w:t xml:space="preserve"> in this </w:t>
      </w:r>
      <w:r>
        <w:rPr>
          <w:spacing w:val="-1"/>
        </w:rPr>
        <w:t>report.</w:t>
      </w:r>
    </w:p>
    <w:p w:rsidR="00D96B91" w:rsidRDefault="00C2656B">
      <w:pPr>
        <w:pStyle w:val="BodyText"/>
        <w:spacing w:before="178"/>
        <w:rPr>
          <w:rFonts w:cs="Avenir Next"/>
        </w:rPr>
      </w:pPr>
      <w:r>
        <w:rPr>
          <w:spacing w:val="-2"/>
        </w:rPr>
        <w:t>The</w:t>
      </w:r>
      <w:r>
        <w:t xml:space="preserve"> sections below summarise the </w:t>
      </w:r>
      <w:r>
        <w:rPr>
          <w:spacing w:val="-2"/>
        </w:rPr>
        <w:t>key</w:t>
      </w:r>
      <w:r>
        <w:t xml:space="preserve"> components of</w:t>
      </w:r>
      <w:r>
        <w:rPr>
          <w:spacing w:val="4"/>
        </w:rPr>
        <w:t xml:space="preserve"> </w:t>
      </w:r>
      <w:r>
        <w:t xml:space="preserve">the original price </w:t>
      </w:r>
      <w:r>
        <w:rPr>
          <w:spacing w:val="-1"/>
        </w:rPr>
        <w:t>direction,</w:t>
      </w:r>
      <w:r>
        <w:rPr>
          <w:spacing w:val="-6"/>
        </w:rPr>
        <w:t xml:space="preserve"> </w:t>
      </w:r>
      <w:r>
        <w:t>including:</w:t>
      </w:r>
    </w:p>
    <w:p w:rsidR="00D96B91" w:rsidRDefault="00C2656B">
      <w:pPr>
        <w:pStyle w:val="BodyText"/>
        <w:numPr>
          <w:ilvl w:val="0"/>
          <w:numId w:val="131"/>
        </w:numPr>
        <w:tabs>
          <w:tab w:val="left" w:pos="1531"/>
        </w:tabs>
        <w:spacing w:before="157"/>
        <w:ind w:hanging="283"/>
        <w:rPr>
          <w:rFonts w:cs="Avenir Next"/>
        </w:rPr>
      </w:pPr>
      <w:r>
        <w:t>the length of</w:t>
      </w:r>
      <w:r>
        <w:rPr>
          <w:spacing w:val="4"/>
        </w:rPr>
        <w:t xml:space="preserve"> </w:t>
      </w:r>
      <w:r>
        <w:t xml:space="preserve">the </w:t>
      </w:r>
      <w:r>
        <w:rPr>
          <w:spacing w:val="-1"/>
        </w:rPr>
        <w:t>regulatory</w:t>
      </w:r>
      <w:r>
        <w:t xml:space="preserve"> period,</w:t>
      </w:r>
      <w:r>
        <w:rPr>
          <w:spacing w:val="-6"/>
        </w:rPr>
        <w:t xml:space="preserve"> </w:t>
      </w:r>
      <w:r>
        <w:t>form of</w:t>
      </w:r>
      <w:r>
        <w:rPr>
          <w:spacing w:val="4"/>
        </w:rPr>
        <w:t xml:space="preserve"> </w:t>
      </w:r>
      <w:r>
        <w:rPr>
          <w:spacing w:val="-1"/>
        </w:rPr>
        <w:t>regulatory</w:t>
      </w:r>
      <w:r>
        <w:t xml:space="preserve"> </w:t>
      </w:r>
      <w:r>
        <w:rPr>
          <w:spacing w:val="-1"/>
        </w:rPr>
        <w:t>control,</w:t>
      </w:r>
      <w:r>
        <w:rPr>
          <w:spacing w:val="-6"/>
        </w:rPr>
        <w:t xml:space="preserve"> </w:t>
      </w:r>
      <w:r>
        <w:t xml:space="preserve">and other risk </w:t>
      </w:r>
      <w:r>
        <w:rPr>
          <w:spacing w:val="-1"/>
        </w:rPr>
        <w:t>allocation</w:t>
      </w:r>
      <w:r>
        <w:t xml:space="preserve"> </w:t>
      </w:r>
      <w:r>
        <w:rPr>
          <w:spacing w:val="-1"/>
        </w:rPr>
        <w:t>measures</w:t>
      </w:r>
    </w:p>
    <w:p w:rsidR="00D96B91" w:rsidRDefault="00C2656B">
      <w:pPr>
        <w:pStyle w:val="BodyText"/>
        <w:numPr>
          <w:ilvl w:val="0"/>
          <w:numId w:val="131"/>
        </w:numPr>
        <w:tabs>
          <w:tab w:val="left" w:pos="1531"/>
        </w:tabs>
        <w:spacing w:before="72"/>
        <w:ind w:hanging="283"/>
        <w:rPr>
          <w:rFonts w:cs="Avenir Next"/>
        </w:rPr>
      </w:pPr>
      <w:r>
        <w:rPr>
          <w:rFonts w:cs="Avenir Next"/>
        </w:rPr>
        <w:t xml:space="preserve">the </w:t>
      </w:r>
      <w:r>
        <w:rPr>
          <w:rFonts w:cs="Avenir Next"/>
          <w:spacing w:val="-1"/>
        </w:rPr>
        <w:t>approach</w:t>
      </w:r>
      <w:r>
        <w:rPr>
          <w:rFonts w:cs="Avenir Next"/>
        </w:rPr>
        <w:t xml:space="preserve"> used to establish</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over the </w:t>
      </w:r>
      <w:r>
        <w:rPr>
          <w:rFonts w:cs="Avenir Next"/>
          <w:spacing w:val="-1"/>
        </w:rPr>
        <w:t>regulatory</w:t>
      </w:r>
      <w:r>
        <w:rPr>
          <w:rFonts w:cs="Avenir Next"/>
        </w:rPr>
        <w:t xml:space="preserve"> period</w:t>
      </w:r>
    </w:p>
    <w:p w:rsidR="00D96B91" w:rsidRDefault="00C2656B">
      <w:pPr>
        <w:pStyle w:val="BodyText"/>
        <w:numPr>
          <w:ilvl w:val="0"/>
          <w:numId w:val="131"/>
        </w:numPr>
        <w:tabs>
          <w:tab w:val="left" w:pos="1531"/>
        </w:tabs>
        <w:spacing w:before="64" w:line="260" w:lineRule="exact"/>
        <w:ind w:right="1676" w:hanging="283"/>
      </w:pPr>
      <w:r>
        <w:t xml:space="preserve">the </w:t>
      </w:r>
      <w:r>
        <w:rPr>
          <w:spacing w:val="-1"/>
        </w:rPr>
        <w:t>treatment</w:t>
      </w:r>
      <w:r>
        <w:t xml:space="preserve"> of</w:t>
      </w:r>
      <w:r>
        <w:rPr>
          <w:spacing w:val="4"/>
        </w:rPr>
        <w:t xml:space="preserve"> </w:t>
      </w:r>
      <w:r>
        <w:t xml:space="preserve">the costs </w:t>
      </w:r>
      <w:r>
        <w:rPr>
          <w:spacing w:val="-1"/>
        </w:rPr>
        <w:t>that</w:t>
      </w:r>
      <w:r>
        <w:rPr>
          <w:spacing w:val="-4"/>
        </w:rPr>
        <w:t xml:space="preserve"> </w:t>
      </w:r>
      <w:r>
        <w:rPr>
          <w:spacing w:val="-2"/>
        </w:rPr>
        <w:t>ACTEW</w:t>
      </w:r>
      <w:r>
        <w:rPr>
          <w:spacing w:val="-3"/>
        </w:rPr>
        <w:t xml:space="preserve"> </w:t>
      </w:r>
      <w:r>
        <w:rPr>
          <w:spacing w:val="-1"/>
        </w:rPr>
        <w:t>incurred</w:t>
      </w:r>
      <w:r>
        <w:t xml:space="preserve"> in developing the </w:t>
      </w:r>
      <w:r>
        <w:rPr>
          <w:spacing w:val="-1"/>
        </w:rPr>
        <w:t>water</w:t>
      </w:r>
      <w:r>
        <w:t xml:space="preserve"> security </w:t>
      </w:r>
      <w:r>
        <w:rPr>
          <w:spacing w:val="-1"/>
        </w:rPr>
        <w:t>projects</w:t>
      </w:r>
      <w:r>
        <w:t xml:space="preserve"> (ie,</w:t>
      </w:r>
      <w:r>
        <w:rPr>
          <w:spacing w:val="-6"/>
        </w:rPr>
        <w:t xml:space="preserve"> </w:t>
      </w:r>
      <w:r>
        <w:t>the</w:t>
      </w:r>
      <w:r>
        <w:rPr>
          <w:spacing w:val="33"/>
        </w:rPr>
        <w:t xml:space="preserve"> </w:t>
      </w:r>
      <w:r>
        <w:t xml:space="preserve">ECD and the M2G </w:t>
      </w:r>
      <w:r>
        <w:rPr>
          <w:spacing w:val="-1"/>
        </w:rPr>
        <w:t>Pipeline),</w:t>
      </w:r>
      <w:r>
        <w:rPr>
          <w:spacing w:val="-6"/>
        </w:rPr>
        <w:t xml:space="preserve"> </w:t>
      </w:r>
      <w:r>
        <w:t>and</w:t>
      </w:r>
    </w:p>
    <w:p w:rsidR="00D96B91" w:rsidRDefault="00C2656B">
      <w:pPr>
        <w:pStyle w:val="BodyText"/>
        <w:numPr>
          <w:ilvl w:val="0"/>
          <w:numId w:val="131"/>
        </w:numPr>
        <w:tabs>
          <w:tab w:val="left" w:pos="1531"/>
        </w:tabs>
        <w:spacing w:before="93"/>
        <w:ind w:hanging="283"/>
      </w:pPr>
      <w:r>
        <w:t xml:space="preserve">the </w:t>
      </w:r>
      <w:r>
        <w:rPr>
          <w:spacing w:val="-1"/>
        </w:rPr>
        <w:t>water</w:t>
      </w:r>
      <w:r>
        <w:t xml:space="preserve"> sales and other demand </w:t>
      </w:r>
      <w:r>
        <w:rPr>
          <w:spacing w:val="-1"/>
        </w:rPr>
        <w:t>forecasts</w:t>
      </w:r>
      <w:r>
        <w:t xml:space="preserve"> used to </w:t>
      </w:r>
      <w:r>
        <w:rPr>
          <w:spacing w:val="-1"/>
        </w:rPr>
        <w:t>convert</w:t>
      </w:r>
      <w:r>
        <w:t xml:space="preserve"> the </w:t>
      </w:r>
      <w:r>
        <w:rPr>
          <w:spacing w:val="-1"/>
        </w:rPr>
        <w:t>revenue</w:t>
      </w:r>
      <w:r>
        <w:t xml:space="preserve"> </w:t>
      </w:r>
      <w:r>
        <w:rPr>
          <w:spacing w:val="-1"/>
        </w:rPr>
        <w:t>requirement</w:t>
      </w:r>
      <w:r>
        <w:t xml:space="preserve"> into prices.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5"/>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55" style="width:72.5pt;height:.5pt;mso-position-horizontal-relative:char;mso-position-vertical-relative:line" coordsize="1450,10">
            <v:group id="_x0000_s3356" style="position:absolute;left:5;top:5;width:1440;height:2" coordorigin="5,5" coordsize="1440,2">
              <v:shape id="_x0000_s3357" style="position:absolute;left:5;top:5;width:1440;height:2" coordorigin="5,5" coordsize="1440,0" path="m5,5r1440,e" filled="f" strokeweight=".5pt">
                <v:path arrowok="t"/>
              </v:shape>
            </v:group>
            <w10:wrap type="none"/>
            <w10:anchorlock/>
          </v:group>
        </w:pict>
      </w:r>
    </w:p>
    <w:p w:rsidR="00D96B91" w:rsidRDefault="00C2656B">
      <w:pPr>
        <w:numPr>
          <w:ilvl w:val="0"/>
          <w:numId w:val="118"/>
        </w:numPr>
        <w:tabs>
          <w:tab w:val="left" w:pos="1758"/>
        </w:tabs>
        <w:spacing w:before="45" w:line="192" w:lineRule="exact"/>
        <w:ind w:right="1376" w:hanging="510"/>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these </w:t>
      </w:r>
      <w:r>
        <w:rPr>
          <w:rFonts w:ascii="Avenir Next" w:eastAsia="Avenir Next" w:hAnsi="Avenir Next" w:cs="Avenir Next"/>
          <w:spacing w:val="-1"/>
          <w:sz w:val="16"/>
          <w:szCs w:val="16"/>
        </w:rPr>
        <w:t>shifts</w:t>
      </w:r>
      <w:r>
        <w:rPr>
          <w:rFonts w:ascii="Avenir Next" w:eastAsia="Avenir Next" w:hAnsi="Avenir Next" w:cs="Avenir Next"/>
          <w:sz w:val="16"/>
          <w:szCs w:val="16"/>
        </w:rPr>
        <w:t xml:space="preserve"> include the </w:t>
      </w:r>
      <w:r>
        <w:rPr>
          <w:rFonts w:ascii="Avenir Next" w:eastAsia="Avenir Next" w:hAnsi="Avenir Next" w:cs="Avenir Next"/>
          <w:spacing w:val="-1"/>
          <w:sz w:val="16"/>
          <w:szCs w:val="16"/>
        </w:rPr>
        <w:t>widespread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installation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rainwater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tanks,</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water-saving,</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and/or </w:t>
      </w:r>
      <w:r>
        <w:rPr>
          <w:rFonts w:ascii="Avenir Next" w:eastAsia="Avenir Next" w:hAnsi="Avenir Next" w:cs="Avenir Next"/>
          <w:spacing w:val="-1"/>
          <w:sz w:val="16"/>
          <w:szCs w:val="16"/>
        </w:rPr>
        <w:t>‘greywater’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recycling</w:t>
      </w:r>
      <w:r>
        <w:rPr>
          <w:rFonts w:ascii="Avenir Next" w:eastAsia="Avenir Next" w:hAnsi="Avenir Next" w:cs="Avenir Next"/>
          <w:spacing w:val="107"/>
          <w:sz w:val="16"/>
          <w:szCs w:val="16"/>
        </w:rPr>
        <w:t xml:space="preserve"> </w:t>
      </w:r>
      <w:r>
        <w:rPr>
          <w:rFonts w:ascii="Avenir Next" w:eastAsia="Avenir Next" w:hAnsi="Avenir Next" w:cs="Avenir Next"/>
          <w:sz w:val="16"/>
          <w:szCs w:val="16"/>
        </w:rPr>
        <w:t>systems.</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Further,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more</w:t>
      </w:r>
      <w:r>
        <w:rPr>
          <w:rFonts w:ascii="Avenir Next" w:eastAsia="Avenir Next" w:hAnsi="Avenir Next" w:cs="Avenir Next"/>
          <w:sz w:val="16"/>
          <w:szCs w:val="16"/>
        </w:rPr>
        <w:t xml:space="preserve"> people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choosing to live in </w:t>
      </w:r>
      <w:r>
        <w:rPr>
          <w:rFonts w:ascii="Avenir Next" w:eastAsia="Avenir Next" w:hAnsi="Avenir Next" w:cs="Avenir Next"/>
          <w:spacing w:val="-1"/>
          <w:sz w:val="16"/>
          <w:szCs w:val="16"/>
        </w:rPr>
        <w:t>apartments</w:t>
      </w:r>
      <w:r>
        <w:rPr>
          <w:rFonts w:ascii="Avenir Next" w:eastAsia="Avenir Next" w:hAnsi="Avenir Next" w:cs="Avenir Next"/>
          <w:sz w:val="16"/>
          <w:szCs w:val="16"/>
        </w:rPr>
        <w:t xml:space="preserve"> with less </w:t>
      </w:r>
      <w:r>
        <w:rPr>
          <w:rFonts w:ascii="Avenir Next" w:eastAsia="Avenir Next" w:hAnsi="Avenir Next" w:cs="Avenir Next"/>
          <w:spacing w:val="-1"/>
          <w:sz w:val="16"/>
          <w:szCs w:val="16"/>
        </w:rPr>
        <w:t>green</w:t>
      </w:r>
      <w:r>
        <w:rPr>
          <w:rFonts w:ascii="Avenir Next" w:eastAsia="Avenir Next" w:hAnsi="Avenir Next" w:cs="Avenir Next"/>
          <w:sz w:val="16"/>
          <w:szCs w:val="16"/>
        </w:rPr>
        <w:t xml:space="preserve"> space.</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117"/>
        </w:numPr>
        <w:tabs>
          <w:tab w:val="left" w:pos="2098"/>
        </w:tabs>
        <w:spacing w:before="19" w:line="288" w:lineRule="exact"/>
        <w:ind w:right="2179" w:hanging="850"/>
      </w:pPr>
      <w:r>
        <w:rPr>
          <w:color w:val="0778BE"/>
          <w:spacing w:val="-1"/>
        </w:rPr>
        <w:t>Length</w:t>
      </w:r>
      <w:r>
        <w:rPr>
          <w:color w:val="0778BE"/>
        </w:rPr>
        <w:t xml:space="preserve"> of</w:t>
      </w:r>
      <w:r>
        <w:rPr>
          <w:color w:val="0778BE"/>
          <w:spacing w:val="5"/>
        </w:rPr>
        <w:t xml:space="preserve"> </w:t>
      </w:r>
      <w:r>
        <w:rPr>
          <w:color w:val="0778BE"/>
          <w:spacing w:val="-1"/>
        </w:rPr>
        <w:t>regulatory</w:t>
      </w:r>
      <w:r>
        <w:rPr>
          <w:color w:val="0778BE"/>
        </w:rPr>
        <w:t xml:space="preserve"> period,</w:t>
      </w:r>
      <w:r>
        <w:rPr>
          <w:color w:val="0778BE"/>
          <w:spacing w:val="-8"/>
        </w:rPr>
        <w:t xml:space="preserve"> </w:t>
      </w:r>
      <w:r>
        <w:rPr>
          <w:color w:val="0778BE"/>
        </w:rPr>
        <w:t>form of</w:t>
      </w:r>
      <w:r>
        <w:rPr>
          <w:color w:val="0778BE"/>
          <w:spacing w:val="5"/>
        </w:rPr>
        <w:t xml:space="preserve"> </w:t>
      </w:r>
      <w:r>
        <w:rPr>
          <w:color w:val="0778BE"/>
          <w:spacing w:val="-1"/>
        </w:rPr>
        <w:t>regulatory</w:t>
      </w:r>
      <w:r>
        <w:rPr>
          <w:color w:val="0778BE"/>
        </w:rPr>
        <w:t xml:space="preserve"> </w:t>
      </w:r>
      <w:r>
        <w:rPr>
          <w:color w:val="0778BE"/>
          <w:spacing w:val="-1"/>
        </w:rPr>
        <w:t>control,</w:t>
      </w:r>
      <w:r>
        <w:rPr>
          <w:color w:val="0778BE"/>
          <w:spacing w:val="-8"/>
        </w:rPr>
        <w:t xml:space="preserve"> </w:t>
      </w:r>
      <w:r>
        <w:rPr>
          <w:color w:val="0778BE"/>
        </w:rPr>
        <w:t>and other risk</w:t>
      </w:r>
      <w:r>
        <w:rPr>
          <w:color w:val="0778BE"/>
          <w:spacing w:val="29"/>
        </w:rPr>
        <w:t xml:space="preserve"> </w:t>
      </w:r>
      <w:r>
        <w:rPr>
          <w:color w:val="0778BE"/>
        </w:rPr>
        <w:t>management tools</w:t>
      </w:r>
    </w:p>
    <w:p w:rsidR="00D96B91" w:rsidRDefault="00C2656B">
      <w:pPr>
        <w:pStyle w:val="BodyText"/>
        <w:spacing w:before="51" w:line="260" w:lineRule="exact"/>
        <w:ind w:right="1629"/>
        <w:jc w:val="both"/>
      </w:pPr>
      <w:r>
        <w:rPr>
          <w:rFonts w:cs="Avenir Next"/>
          <w:spacing w:val="-2"/>
        </w:rPr>
        <w:t>The</w:t>
      </w:r>
      <w:r>
        <w:rPr>
          <w:rFonts w:cs="Avenir Next"/>
        </w:rPr>
        <w:t xml:space="preserve"> ICRC </w:t>
      </w:r>
      <w:r>
        <w:rPr>
          <w:rFonts w:cs="Avenir Next"/>
          <w:spacing w:val="-1"/>
        </w:rPr>
        <w:t>provided</w:t>
      </w:r>
      <w:r>
        <w:rPr>
          <w:rFonts w:cs="Avenir Next"/>
        </w:rPr>
        <w:t xml:space="preserve"> for a </w:t>
      </w:r>
      <w:r>
        <w:rPr>
          <w:rFonts w:cs="Avenir Next"/>
          <w:b/>
          <w:bCs/>
          <w:spacing w:val="-1"/>
        </w:rPr>
        <w:t>six-year</w:t>
      </w:r>
      <w:r>
        <w:rPr>
          <w:rFonts w:cs="Avenir Next"/>
          <w:b/>
          <w:bCs/>
        </w:rPr>
        <w:t xml:space="preserve"> </w:t>
      </w:r>
      <w:r>
        <w:rPr>
          <w:rFonts w:cs="Avenir Next"/>
          <w:b/>
          <w:bCs/>
          <w:spacing w:val="-1"/>
        </w:rPr>
        <w:t>regulatory</w:t>
      </w:r>
      <w:r>
        <w:rPr>
          <w:rFonts w:cs="Avenir Next"/>
          <w:b/>
          <w:bCs/>
        </w:rPr>
        <w:t xml:space="preserve"> period</w:t>
      </w:r>
      <w:r>
        <w:rPr>
          <w:rFonts w:cs="Avenir Next"/>
        </w:rPr>
        <w:t>,</w:t>
      </w:r>
      <w:r>
        <w:rPr>
          <w:rFonts w:cs="Avenir Next"/>
          <w:spacing w:val="-6"/>
        </w:rPr>
        <w:t xml:space="preserve"> </w:t>
      </w:r>
      <w:r>
        <w:rPr>
          <w:rFonts w:cs="Avenir Next"/>
        </w:rPr>
        <w:t xml:space="preserve">and used a </w:t>
      </w:r>
      <w:r>
        <w:rPr>
          <w:rFonts w:cs="Avenir Next"/>
          <w:b/>
          <w:bCs/>
        </w:rPr>
        <w:t xml:space="preserve">price cap </w:t>
      </w:r>
      <w:r>
        <w:rPr>
          <w:rFonts w:cs="Avenir Next"/>
        </w:rPr>
        <w:t>as the form of</w:t>
      </w:r>
      <w:r>
        <w:rPr>
          <w:rFonts w:cs="Avenir Next"/>
          <w:spacing w:val="4"/>
        </w:rPr>
        <w:t xml:space="preserve"> </w:t>
      </w:r>
      <w:r>
        <w:rPr>
          <w:rFonts w:cs="Avenir Next"/>
          <w:spacing w:val="-1"/>
        </w:rPr>
        <w:t>regulation</w:t>
      </w:r>
      <w:r>
        <w:rPr>
          <w:rFonts w:cs="Avenir Next"/>
          <w:spacing w:val="35"/>
        </w:rPr>
        <w:t xml:space="preserve"> </w:t>
      </w:r>
      <w:r>
        <w:rPr>
          <w:spacing w:val="-1"/>
        </w:rPr>
        <w:t>(rather</w:t>
      </w:r>
      <w:r>
        <w:t xml:space="preserve"> than a </w:t>
      </w:r>
      <w:r>
        <w:rPr>
          <w:spacing w:val="-1"/>
        </w:rPr>
        <w:t>revenue</w:t>
      </w:r>
      <w:r>
        <w:t xml:space="preserve"> cap).</w:t>
      </w:r>
      <w:r>
        <w:rPr>
          <w:spacing w:val="-10"/>
        </w:rPr>
        <w:t xml:space="preserve"> </w:t>
      </w:r>
      <w:r>
        <w:t>As noted above,</w:t>
      </w:r>
      <w:r>
        <w:rPr>
          <w:spacing w:val="-6"/>
        </w:rPr>
        <w:t xml:space="preserve"> </w:t>
      </w:r>
      <w:r>
        <w:t xml:space="preserve">the price </w:t>
      </w:r>
      <w:r>
        <w:rPr>
          <w:spacing w:val="-1"/>
        </w:rPr>
        <w:t>direction</w:t>
      </w:r>
      <w:r>
        <w:t xml:space="preserve"> sets maximum prices for </w:t>
      </w:r>
      <w:r>
        <w:rPr>
          <w:spacing w:val="-1"/>
        </w:rPr>
        <w:t>water</w:t>
      </w:r>
      <w:r>
        <w:t xml:space="preserve"> and</w:t>
      </w:r>
      <w:r>
        <w:rPr>
          <w:spacing w:val="25"/>
        </w:rPr>
        <w:t xml:space="preserve"> </w:t>
      </w:r>
      <w:r>
        <w:rPr>
          <w:spacing w:val="-1"/>
        </w:rPr>
        <w:t xml:space="preserve">sewerage </w:t>
      </w:r>
      <w:r>
        <w:t xml:space="preserve">services in the first </w:t>
      </w:r>
      <w:r>
        <w:rPr>
          <w:spacing w:val="-1"/>
        </w:rPr>
        <w:t xml:space="preserve">year </w:t>
      </w:r>
      <w:r>
        <w:t>of</w:t>
      </w:r>
      <w:r>
        <w:rPr>
          <w:spacing w:val="4"/>
        </w:rPr>
        <w:t xml:space="preserve"> </w:t>
      </w:r>
      <w:r>
        <w:rPr>
          <w:spacing w:val="-1"/>
        </w:rPr>
        <w:t>regulatory</w:t>
      </w:r>
      <w:r>
        <w:t xml:space="preserve"> period.</w:t>
      </w:r>
      <w:r>
        <w:rPr>
          <w:spacing w:val="-6"/>
        </w:rPr>
        <w:t xml:space="preserve"> </w:t>
      </w:r>
      <w:r>
        <w:t xml:space="preserve">It </w:t>
      </w:r>
      <w:r>
        <w:rPr>
          <w:spacing w:val="-1"/>
        </w:rPr>
        <w:t xml:space="preserve">provides </w:t>
      </w:r>
      <w:r>
        <w:t>for these prices to be</w:t>
      </w:r>
      <w:r>
        <w:rPr>
          <w:spacing w:val="-1"/>
        </w:rPr>
        <w:t xml:space="preserve"> </w:t>
      </w:r>
      <w:r>
        <w:t>adjusted in</w:t>
      </w:r>
      <w:r>
        <w:rPr>
          <w:spacing w:val="31"/>
        </w:rPr>
        <w:t xml:space="preserve"> </w:t>
      </w:r>
      <w:r>
        <w:rPr>
          <w:spacing w:val="-1"/>
        </w:rPr>
        <w:t>each</w:t>
      </w:r>
      <w:r>
        <w:t xml:space="preserve"> of</w:t>
      </w:r>
      <w:r>
        <w:rPr>
          <w:spacing w:val="4"/>
        </w:rPr>
        <w:t xml:space="preserve"> </w:t>
      </w:r>
      <w:r>
        <w:t xml:space="preserve">the subsequent </w:t>
      </w:r>
      <w:r>
        <w:rPr>
          <w:spacing w:val="-1"/>
        </w:rPr>
        <w:t>years</w:t>
      </w:r>
      <w:r>
        <w:t xml:space="preserve"> – </w:t>
      </w:r>
      <w:r>
        <w:rPr>
          <w:spacing w:val="-1"/>
        </w:rPr>
        <w:t>through</w:t>
      </w:r>
      <w:r>
        <w:t xml:space="preserve"> an annual CPI </w:t>
      </w:r>
      <w:r>
        <w:rPr>
          <w:spacing w:val="-1"/>
        </w:rPr>
        <w:t>escalation</w:t>
      </w:r>
      <w:r>
        <w:t xml:space="preserve"> and cost </w:t>
      </w:r>
      <w:r>
        <w:rPr>
          <w:spacing w:val="-1"/>
        </w:rPr>
        <w:t>pass-through</w:t>
      </w:r>
      <w:r>
        <w:t xml:space="preserve"> mechanism</w:t>
      </w:r>
      <w:r>
        <w:rPr>
          <w:spacing w:val="47"/>
        </w:rPr>
        <w:t xml:space="preserve"> </w:t>
      </w:r>
      <w:r>
        <w:t xml:space="preserve">and a biennial </w:t>
      </w:r>
      <w:r>
        <w:rPr>
          <w:spacing w:val="-1"/>
        </w:rPr>
        <w:t>recalibration.</w:t>
      </w:r>
    </w:p>
    <w:p w:rsidR="00D96B91" w:rsidRDefault="00C2656B">
      <w:pPr>
        <w:pStyle w:val="BodyText"/>
        <w:spacing w:before="170" w:line="260" w:lineRule="exact"/>
        <w:ind w:right="1256"/>
      </w:pPr>
      <w:r>
        <w:rPr>
          <w:spacing w:val="-2"/>
        </w:rPr>
        <w:t>The</w:t>
      </w:r>
      <w:r>
        <w:t xml:space="preserve"> biennial </w:t>
      </w:r>
      <w:r>
        <w:rPr>
          <w:spacing w:val="-1"/>
        </w:rPr>
        <w:t>recalibrations</w:t>
      </w:r>
      <w:r>
        <w:t xml:space="preserve"> and cost </w:t>
      </w:r>
      <w:r>
        <w:rPr>
          <w:spacing w:val="-1"/>
        </w:rPr>
        <w:t>pass-through</w:t>
      </w:r>
      <w:r>
        <w:t xml:space="preserve"> mechanism can be seen as risk </w:t>
      </w:r>
      <w:r>
        <w:rPr>
          <w:spacing w:val="-1"/>
        </w:rPr>
        <w:t>allocation</w:t>
      </w:r>
      <w:r>
        <w:t xml:space="preserve"> </w:t>
      </w:r>
      <w:r>
        <w:rPr>
          <w:spacing w:val="-1"/>
        </w:rPr>
        <w:t>measures.</w:t>
      </w:r>
      <w:r>
        <w:rPr>
          <w:spacing w:val="51"/>
        </w:rPr>
        <w:t xml:space="preserve"> </w:t>
      </w:r>
      <w:r>
        <w:rPr>
          <w:rFonts w:cs="Avenir Next"/>
          <w:spacing w:val="-2"/>
        </w:rPr>
        <w:t>The</w:t>
      </w:r>
      <w:r>
        <w:rPr>
          <w:rFonts w:cs="Avenir Next"/>
        </w:rPr>
        <w:t xml:space="preserve"> </w:t>
      </w:r>
      <w:r>
        <w:rPr>
          <w:rFonts w:cs="Avenir Next"/>
          <w:b/>
          <w:bCs/>
        </w:rPr>
        <w:t xml:space="preserve">biennial </w:t>
      </w:r>
      <w:r>
        <w:rPr>
          <w:rFonts w:cs="Avenir Next"/>
          <w:b/>
          <w:bCs/>
          <w:spacing w:val="-1"/>
        </w:rPr>
        <w:t>recalibrations</w:t>
      </w:r>
      <w:r>
        <w:rPr>
          <w:rFonts w:cs="Avenir Next"/>
          <w:b/>
          <w:bCs/>
        </w:rPr>
        <w:t xml:space="preserve"> </w:t>
      </w:r>
      <w:r>
        <w:rPr>
          <w:rFonts w:cs="Avenir Next"/>
        </w:rPr>
        <w:t xml:space="preserve">allow for </w:t>
      </w:r>
      <w:r>
        <w:rPr>
          <w:rFonts w:cs="Avenir Next"/>
          <w:spacing w:val="-1"/>
        </w:rPr>
        <w:t>certain</w:t>
      </w:r>
      <w:r>
        <w:rPr>
          <w:rFonts w:cs="Avenir Next"/>
        </w:rPr>
        <w:t xml:space="preserve"> inputs into the </w:t>
      </w:r>
      <w:r>
        <w:rPr>
          <w:rFonts w:cs="Avenir Next"/>
          <w:spacing w:val="-2"/>
        </w:rPr>
        <w:t>ICRC’s</w:t>
      </w:r>
      <w:r>
        <w:rPr>
          <w:rFonts w:cs="Avenir Next"/>
        </w:rPr>
        <w:t xml:space="preserve"> price </w:t>
      </w:r>
      <w:r>
        <w:rPr>
          <w:rFonts w:cs="Avenir Next"/>
          <w:spacing w:val="-1"/>
        </w:rPr>
        <w:t>setting</w:t>
      </w:r>
      <w:r>
        <w:rPr>
          <w:rFonts w:cs="Avenir Next"/>
        </w:rPr>
        <w:t xml:space="preserve"> </w:t>
      </w:r>
      <w:r>
        <w:rPr>
          <w:rFonts w:cs="Avenir Next"/>
          <w:spacing w:val="-1"/>
        </w:rPr>
        <w:t>approach</w:t>
      </w:r>
      <w:r>
        <w:rPr>
          <w:rFonts w:cs="Avenir Next"/>
        </w:rPr>
        <w:t xml:space="preserve"> to be </w:t>
      </w:r>
      <w:r>
        <w:rPr>
          <w:rFonts w:cs="Avenir Next"/>
          <w:spacing w:val="-1"/>
        </w:rPr>
        <w:t>updated</w:t>
      </w:r>
      <w:r>
        <w:rPr>
          <w:rFonts w:cs="Avenir Next"/>
          <w:spacing w:val="53"/>
        </w:rPr>
        <w:t xml:space="preserve"> </w:t>
      </w:r>
      <w:r>
        <w:t>to</w:t>
      </w:r>
      <w:r>
        <w:rPr>
          <w:spacing w:val="-1"/>
        </w:rPr>
        <w:t xml:space="preserve"> reset</w:t>
      </w:r>
      <w:r>
        <w:t xml:space="preserve"> prices in the </w:t>
      </w:r>
      <w:r>
        <w:rPr>
          <w:spacing w:val="-1"/>
        </w:rPr>
        <w:t>third</w:t>
      </w:r>
      <w:r>
        <w:t xml:space="preserve"> and </w:t>
      </w:r>
      <w:r>
        <w:rPr>
          <w:spacing w:val="-1"/>
        </w:rPr>
        <w:t>fifth</w:t>
      </w:r>
      <w:r>
        <w:t xml:space="preserve"> </w:t>
      </w:r>
      <w:r>
        <w:rPr>
          <w:spacing w:val="-1"/>
        </w:rPr>
        <w:t>years</w:t>
      </w:r>
      <w:r>
        <w:t xml:space="preserve"> of</w:t>
      </w:r>
      <w:r>
        <w:rPr>
          <w:spacing w:val="4"/>
        </w:rPr>
        <w:t xml:space="preserve"> </w:t>
      </w:r>
      <w:r>
        <w:t>the</w:t>
      </w:r>
      <w:r>
        <w:rPr>
          <w:spacing w:val="-1"/>
        </w:rPr>
        <w:t xml:space="preserve"> regulatory</w:t>
      </w:r>
      <w:r>
        <w:t xml:space="preserve"> period.</w:t>
      </w:r>
      <w:r>
        <w:rPr>
          <w:spacing w:val="-11"/>
        </w:rPr>
        <w:t xml:space="preserve"> </w:t>
      </w:r>
      <w:r>
        <w:rPr>
          <w:spacing w:val="-1"/>
        </w:rPr>
        <w:t>These</w:t>
      </w:r>
      <w:r>
        <w:t xml:space="preserve"> inputs include </w:t>
      </w:r>
      <w:r>
        <w:rPr>
          <w:spacing w:val="-2"/>
        </w:rPr>
        <w:t>key</w:t>
      </w:r>
      <w:r>
        <w:t xml:space="preserve"> inputs to</w:t>
      </w:r>
    </w:p>
    <w:p w:rsidR="00D96B91" w:rsidRDefault="00C2656B">
      <w:pPr>
        <w:pStyle w:val="BodyText"/>
        <w:spacing w:line="260" w:lineRule="exact"/>
        <w:ind w:right="1256"/>
      </w:pPr>
      <w:r>
        <w:rPr>
          <w:rFonts w:cs="Avenir Next"/>
        </w:rPr>
        <w:t>the building block model used to establish</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(ie,</w:t>
      </w:r>
      <w:r>
        <w:rPr>
          <w:rFonts w:cs="Avenir Next"/>
          <w:spacing w:val="-6"/>
        </w:rPr>
        <w:t xml:space="preserve"> </w:t>
      </w:r>
      <w:r>
        <w:rPr>
          <w:rFonts w:cs="Avenir Next"/>
          <w:spacing w:val="-1"/>
        </w:rPr>
        <w:t>forecast</w:t>
      </w:r>
      <w:r>
        <w:rPr>
          <w:rFonts w:cs="Avenir Next"/>
        </w:rPr>
        <w:t xml:space="preserve"> </w:t>
      </w:r>
      <w:r>
        <w:rPr>
          <w:rFonts w:cs="Avenir Next"/>
          <w:spacing w:val="-1"/>
        </w:rPr>
        <w:t>operating</w:t>
      </w:r>
      <w:r>
        <w:rPr>
          <w:rFonts w:cs="Avenir Next"/>
        </w:rPr>
        <w:t xml:space="preserve"> and</w:t>
      </w:r>
      <w:r>
        <w:rPr>
          <w:rFonts w:cs="Avenir Next"/>
          <w:spacing w:val="31"/>
        </w:rPr>
        <w:t xml:space="preserve"> </w:t>
      </w:r>
      <w:r>
        <w:t xml:space="preserve">capital </w:t>
      </w:r>
      <w:r>
        <w:rPr>
          <w:spacing w:val="-1"/>
        </w:rPr>
        <w:t>expenditure,</w:t>
      </w:r>
      <w:r>
        <w:rPr>
          <w:spacing w:val="-6"/>
        </w:rPr>
        <w:t xml:space="preserve"> </w:t>
      </w:r>
      <w:r>
        <w:t>cost of</w:t>
      </w:r>
      <w:r>
        <w:rPr>
          <w:spacing w:val="4"/>
        </w:rPr>
        <w:t xml:space="preserve"> </w:t>
      </w:r>
      <w:r>
        <w:t>capital),</w:t>
      </w:r>
      <w:r>
        <w:rPr>
          <w:spacing w:val="-6"/>
        </w:rPr>
        <w:t xml:space="preserve"> </w:t>
      </w:r>
      <w:r>
        <w:t xml:space="preserve">as well as </w:t>
      </w:r>
      <w:r>
        <w:rPr>
          <w:spacing w:val="-1"/>
        </w:rPr>
        <w:t>forecast</w:t>
      </w:r>
      <w:r>
        <w:t xml:space="preserve"> demand and </w:t>
      </w:r>
      <w:r>
        <w:rPr>
          <w:spacing w:val="-1"/>
        </w:rPr>
        <w:t>revenue</w:t>
      </w:r>
      <w:r>
        <w:t xml:space="preserve"> adjustments.</w:t>
      </w:r>
    </w:p>
    <w:p w:rsidR="00D96B91" w:rsidRDefault="00C2656B">
      <w:pPr>
        <w:pStyle w:val="BodyText"/>
        <w:spacing w:before="170" w:line="260" w:lineRule="exact"/>
        <w:ind w:right="1246"/>
      </w:pPr>
      <w:r>
        <w:rPr>
          <w:rFonts w:cs="Avenir Next"/>
          <w:spacing w:val="-2"/>
        </w:rPr>
        <w:t>The</w:t>
      </w:r>
      <w:r>
        <w:rPr>
          <w:rFonts w:cs="Avenir Next"/>
        </w:rPr>
        <w:t xml:space="preserve"> decision to include these </w:t>
      </w:r>
      <w:r>
        <w:rPr>
          <w:rFonts w:cs="Avenir Next"/>
          <w:spacing w:val="-1"/>
        </w:rPr>
        <w:t>recalibrations</w:t>
      </w:r>
      <w:r>
        <w:rPr>
          <w:rFonts w:cs="Avenir Next"/>
        </w:rPr>
        <w:t xml:space="preserve"> </w:t>
      </w:r>
      <w:r>
        <w:rPr>
          <w:rFonts w:cs="Avenir Next"/>
          <w:spacing w:val="-1"/>
        </w:rPr>
        <w:t>appears</w:t>
      </w:r>
      <w:r>
        <w:rPr>
          <w:rFonts w:cs="Avenir Next"/>
        </w:rPr>
        <w:t xml:space="preserve"> to have been made to </w:t>
      </w:r>
      <w:r>
        <w:rPr>
          <w:rFonts w:cs="Avenir Next"/>
          <w:spacing w:val="-1"/>
        </w:rPr>
        <w:t>address</w:t>
      </w:r>
      <w:r>
        <w:rPr>
          <w:rFonts w:cs="Avenir Next"/>
        </w:rPr>
        <w:t xml:space="preserve"> the risk </w:t>
      </w:r>
      <w:r>
        <w:rPr>
          <w:rFonts w:cs="Avenir Next"/>
          <w:spacing w:val="-1"/>
        </w:rPr>
        <w:t>associated</w:t>
      </w:r>
      <w:r>
        <w:rPr>
          <w:rFonts w:cs="Avenir Next"/>
          <w:spacing w:val="45"/>
        </w:rPr>
        <w:t xml:space="preserve"> </w:t>
      </w:r>
      <w:r>
        <w:rPr>
          <w:rFonts w:cs="Avenir Next"/>
        </w:rPr>
        <w:t xml:space="preserve">with </w:t>
      </w:r>
      <w:r>
        <w:rPr>
          <w:rFonts w:cs="Avenir Next"/>
          <w:spacing w:val="-1"/>
        </w:rPr>
        <w:t>uncertainty</w:t>
      </w:r>
      <w:r>
        <w:rPr>
          <w:rFonts w:cs="Avenir Next"/>
        </w:rPr>
        <w:t xml:space="preserve"> about </w:t>
      </w:r>
      <w:r>
        <w:rPr>
          <w:rFonts w:cs="Avenir Next"/>
          <w:spacing w:val="-1"/>
        </w:rPr>
        <w:t>water</w:t>
      </w:r>
      <w:r>
        <w:rPr>
          <w:rFonts w:cs="Avenir Next"/>
        </w:rPr>
        <w:t xml:space="preserve"> demand over the period,</w:t>
      </w:r>
      <w:r>
        <w:rPr>
          <w:rFonts w:cs="Avenir Next"/>
          <w:spacing w:val="-6"/>
        </w:rPr>
        <w:t xml:space="preserve"> </w:t>
      </w:r>
      <w:r>
        <w:rPr>
          <w:rFonts w:cs="Avenir Next"/>
        </w:rPr>
        <w:t xml:space="preserve">and to </w:t>
      </w:r>
      <w:r>
        <w:rPr>
          <w:rFonts w:cs="Avenir Next"/>
          <w:spacing w:val="-1"/>
        </w:rPr>
        <w:t>address</w:t>
      </w:r>
      <w:r>
        <w:rPr>
          <w:rFonts w:cs="Avenir Next"/>
        </w:rPr>
        <w:t xml:space="preserve"> the observed </w:t>
      </w:r>
      <w:r>
        <w:rPr>
          <w:rFonts w:cs="Avenir Next"/>
          <w:spacing w:val="-1"/>
        </w:rPr>
        <w:t>deviations</w:t>
      </w:r>
      <w:r>
        <w:rPr>
          <w:rFonts w:cs="Avenir Next"/>
        </w:rPr>
        <w:t xml:space="preserve"> between</w:t>
      </w:r>
      <w:r>
        <w:rPr>
          <w:rFonts w:cs="Avenir Next"/>
          <w:spacing w:val="43"/>
        </w:rPr>
        <w:t xml:space="preserve"> </w:t>
      </w:r>
      <w:r>
        <w:rPr>
          <w:spacing w:val="-2"/>
        </w:rPr>
        <w:t>ACTEW’s</w:t>
      </w:r>
      <w:r>
        <w:t xml:space="preserve"> </w:t>
      </w:r>
      <w:r>
        <w:rPr>
          <w:spacing w:val="-1"/>
        </w:rPr>
        <w:t>forecast</w:t>
      </w:r>
      <w:r>
        <w:t xml:space="preserve"> and actual </w:t>
      </w:r>
      <w:r>
        <w:rPr>
          <w:spacing w:val="-1"/>
        </w:rPr>
        <w:t>operating</w:t>
      </w:r>
      <w:r>
        <w:t xml:space="preserve"> and capital </w:t>
      </w:r>
      <w:r>
        <w:rPr>
          <w:spacing w:val="-1"/>
        </w:rPr>
        <w:t>expenditure</w:t>
      </w:r>
      <w:r>
        <w:t xml:space="preserve"> in the </w:t>
      </w:r>
      <w:r>
        <w:rPr>
          <w:spacing w:val="-1"/>
        </w:rPr>
        <w:t>previous</w:t>
      </w:r>
      <w:r>
        <w:t xml:space="preserve"> </w:t>
      </w:r>
      <w:r>
        <w:rPr>
          <w:spacing w:val="-1"/>
        </w:rPr>
        <w:t>regulatory</w:t>
      </w:r>
      <w:r>
        <w:t xml:space="preserve"> period.</w:t>
      </w:r>
    </w:p>
    <w:p w:rsidR="00D96B91" w:rsidRDefault="00C2656B">
      <w:pPr>
        <w:pStyle w:val="BodyText"/>
        <w:spacing w:before="170" w:line="260" w:lineRule="exact"/>
        <w:ind w:right="1548"/>
      </w:pPr>
      <w:r>
        <w:rPr>
          <w:spacing w:val="-2"/>
        </w:rPr>
        <w:t>The</w:t>
      </w:r>
      <w:r>
        <w:t xml:space="preserve"> </w:t>
      </w:r>
      <w:r>
        <w:rPr>
          <w:b/>
        </w:rPr>
        <w:t xml:space="preserve">cost </w:t>
      </w:r>
      <w:r>
        <w:rPr>
          <w:b/>
          <w:spacing w:val="-1"/>
        </w:rPr>
        <w:t>pass-through</w:t>
      </w:r>
      <w:r>
        <w:rPr>
          <w:b/>
        </w:rPr>
        <w:t xml:space="preserve"> mechanism </w:t>
      </w:r>
      <w:r>
        <w:t>allows</w:t>
      </w:r>
      <w:r>
        <w:rPr>
          <w:spacing w:val="-4"/>
        </w:rPr>
        <w:t xml:space="preserve"> </w:t>
      </w:r>
      <w:r>
        <w:rPr>
          <w:spacing w:val="-2"/>
        </w:rPr>
        <w:t>ACTEW</w:t>
      </w:r>
      <w:r>
        <w:rPr>
          <w:spacing w:val="-3"/>
        </w:rPr>
        <w:t xml:space="preserve"> </w:t>
      </w:r>
      <w:r>
        <w:t xml:space="preserve">to pass </w:t>
      </w:r>
      <w:r>
        <w:rPr>
          <w:spacing w:val="-1"/>
        </w:rPr>
        <w:t>through</w:t>
      </w:r>
      <w:r>
        <w:t xml:space="preserve"> changes in </w:t>
      </w:r>
      <w:r>
        <w:rPr>
          <w:spacing w:val="-1"/>
        </w:rPr>
        <w:t>certain</w:t>
      </w:r>
      <w:r>
        <w:t xml:space="preserve"> </w:t>
      </w:r>
      <w:r>
        <w:rPr>
          <w:spacing w:val="-1"/>
        </w:rPr>
        <w:t>uncontrollable</w:t>
      </w:r>
      <w:r>
        <w:rPr>
          <w:spacing w:val="63"/>
        </w:rPr>
        <w:t xml:space="preserve"> </w:t>
      </w:r>
      <w:r>
        <w:t xml:space="preserve">costs </w:t>
      </w:r>
      <w:r>
        <w:rPr>
          <w:spacing w:val="-1"/>
        </w:rPr>
        <w:t>that</w:t>
      </w:r>
      <w:r>
        <w:t xml:space="preserve"> it incurs during the </w:t>
      </w:r>
      <w:r>
        <w:rPr>
          <w:spacing w:val="-1"/>
        </w:rPr>
        <w:t>regulatory</w:t>
      </w:r>
      <w:r>
        <w:t xml:space="preserve"> period,</w:t>
      </w:r>
      <w:r>
        <w:rPr>
          <w:spacing w:val="-6"/>
        </w:rPr>
        <w:t xml:space="preserve"> </w:t>
      </w:r>
      <w:r>
        <w:t>such as changes in the</w:t>
      </w:r>
      <w:r>
        <w:rPr>
          <w:spacing w:val="-3"/>
        </w:rPr>
        <w:t xml:space="preserve"> </w:t>
      </w:r>
      <w:r>
        <w:rPr>
          <w:spacing w:val="-2"/>
        </w:rPr>
        <w:t>Water</w:t>
      </w:r>
      <w:r>
        <w:rPr>
          <w:spacing w:val="-4"/>
        </w:rPr>
        <w:t xml:space="preserve"> </w:t>
      </w:r>
      <w:r>
        <w:rPr>
          <w:spacing w:val="-1"/>
        </w:rPr>
        <w:t>Abstraction</w:t>
      </w:r>
      <w:r>
        <w:t xml:space="preserve"> </w:t>
      </w:r>
      <w:r>
        <w:rPr>
          <w:spacing w:val="-1"/>
        </w:rPr>
        <w:t>Charge</w:t>
      </w:r>
      <w:r>
        <w:rPr>
          <w:spacing w:val="31"/>
        </w:rPr>
        <w:t xml:space="preserve"> </w:t>
      </w:r>
      <w:r>
        <w:rPr>
          <w:spacing w:val="-2"/>
        </w:rPr>
        <w:t>(WAC)</w:t>
      </w:r>
      <w:r>
        <w:t xml:space="preserve"> and the Utilities Network </w:t>
      </w:r>
      <w:r>
        <w:rPr>
          <w:spacing w:val="-1"/>
        </w:rPr>
        <w:t>Facilities</w:t>
      </w:r>
      <w:r>
        <w:rPr>
          <w:spacing w:val="-5"/>
        </w:rPr>
        <w:t xml:space="preserve"> </w:t>
      </w:r>
      <w:r>
        <w:rPr>
          <w:spacing w:val="-7"/>
        </w:rPr>
        <w:t>Tax</w:t>
      </w:r>
      <w:r>
        <w:t xml:space="preserve"> (UNFT).</w:t>
      </w:r>
    </w:p>
    <w:p w:rsidR="00D96B91" w:rsidRDefault="00C2656B">
      <w:pPr>
        <w:pStyle w:val="BodyText"/>
        <w:spacing w:before="170" w:line="260" w:lineRule="exact"/>
        <w:ind w:right="1251"/>
      </w:pPr>
      <w:r>
        <w:rPr>
          <w:spacing w:val="-3"/>
        </w:rPr>
        <w:t>The</w:t>
      </w:r>
      <w:r>
        <w:rPr>
          <w:spacing w:val="-4"/>
        </w:rPr>
        <w:t xml:space="preserve"> </w:t>
      </w:r>
      <w:r>
        <w:rPr>
          <w:spacing w:val="-2"/>
        </w:rPr>
        <w:t>ICRC</w:t>
      </w:r>
      <w:r>
        <w:rPr>
          <w:spacing w:val="-4"/>
        </w:rPr>
        <w:t xml:space="preserve"> </w:t>
      </w:r>
      <w:r>
        <w:rPr>
          <w:spacing w:val="-3"/>
        </w:rPr>
        <w:t>considered providing</w:t>
      </w:r>
      <w:r>
        <w:rPr>
          <w:spacing w:val="-4"/>
        </w:rPr>
        <w:t xml:space="preserve"> </w:t>
      </w:r>
      <w:r>
        <w:rPr>
          <w:spacing w:val="-2"/>
        </w:rPr>
        <w:t>for</w:t>
      </w:r>
      <w:r>
        <w:rPr>
          <w:spacing w:val="-3"/>
        </w:rPr>
        <w:t xml:space="preserve"> </w:t>
      </w:r>
      <w:r>
        <w:rPr>
          <w:spacing w:val="-1"/>
        </w:rPr>
        <w:t>an</w:t>
      </w:r>
      <w:r>
        <w:rPr>
          <w:spacing w:val="-4"/>
        </w:rPr>
        <w:t xml:space="preserve"> </w:t>
      </w:r>
      <w:r>
        <w:rPr>
          <w:spacing w:val="-2"/>
        </w:rPr>
        <w:t>‘unders’</w:t>
      </w:r>
      <w:r>
        <w:rPr>
          <w:spacing w:val="-3"/>
        </w:rPr>
        <w:t xml:space="preserve"> </w:t>
      </w:r>
      <w:r>
        <w:rPr>
          <w:spacing w:val="-1"/>
        </w:rPr>
        <w:t>or</w:t>
      </w:r>
      <w:r>
        <w:rPr>
          <w:spacing w:val="-4"/>
        </w:rPr>
        <w:t xml:space="preserve"> </w:t>
      </w:r>
      <w:r>
        <w:rPr>
          <w:spacing w:val="-3"/>
        </w:rPr>
        <w:t>‘overs’</w:t>
      </w:r>
      <w:r>
        <w:rPr>
          <w:spacing w:val="-4"/>
        </w:rPr>
        <w:t xml:space="preserve"> </w:t>
      </w:r>
      <w:r>
        <w:rPr>
          <w:spacing w:val="-2"/>
        </w:rPr>
        <w:t>mechanism</w:t>
      </w:r>
      <w:r>
        <w:rPr>
          <w:spacing w:val="-3"/>
        </w:rPr>
        <w:t xml:space="preserve"> </w:t>
      </w:r>
      <w:r>
        <w:rPr>
          <w:spacing w:val="-1"/>
        </w:rPr>
        <w:t>to</w:t>
      </w:r>
      <w:r>
        <w:rPr>
          <w:spacing w:val="-4"/>
        </w:rPr>
        <w:t xml:space="preserve"> </w:t>
      </w:r>
      <w:r>
        <w:rPr>
          <w:spacing w:val="-3"/>
        </w:rPr>
        <w:t xml:space="preserve">address </w:t>
      </w:r>
      <w:r>
        <w:rPr>
          <w:spacing w:val="-2"/>
        </w:rPr>
        <w:t>risk.</w:t>
      </w:r>
      <w:r>
        <w:rPr>
          <w:rFonts w:cs="Avenir Next"/>
          <w:spacing w:val="-2"/>
          <w:position w:val="7"/>
          <w:sz w:val="11"/>
          <w:szCs w:val="11"/>
        </w:rPr>
        <w:t>14</w:t>
      </w:r>
      <w:r>
        <w:rPr>
          <w:rFonts w:cs="Avenir Next"/>
          <w:spacing w:val="19"/>
          <w:position w:val="7"/>
          <w:sz w:val="11"/>
          <w:szCs w:val="11"/>
        </w:rPr>
        <w:t xml:space="preserve"> </w:t>
      </w:r>
      <w:r>
        <w:rPr>
          <w:spacing w:val="-3"/>
        </w:rPr>
        <w:t>However,</w:t>
      </w:r>
      <w:r>
        <w:rPr>
          <w:spacing w:val="-10"/>
        </w:rPr>
        <w:t xml:space="preserve"> </w:t>
      </w:r>
      <w:r>
        <w:rPr>
          <w:spacing w:val="-1"/>
        </w:rPr>
        <w:t>it</w:t>
      </w:r>
      <w:r>
        <w:rPr>
          <w:spacing w:val="-4"/>
        </w:rPr>
        <w:t xml:space="preserve"> </w:t>
      </w:r>
      <w:r>
        <w:rPr>
          <w:spacing w:val="-2"/>
        </w:rPr>
        <w:t>decided</w:t>
      </w:r>
      <w:r>
        <w:rPr>
          <w:spacing w:val="60"/>
        </w:rPr>
        <w:t xml:space="preserve"> </w:t>
      </w:r>
      <w:r>
        <w:rPr>
          <w:spacing w:val="-2"/>
        </w:rPr>
        <w:t>against</w:t>
      </w:r>
      <w:r>
        <w:rPr>
          <w:spacing w:val="-4"/>
        </w:rPr>
        <w:t xml:space="preserve"> </w:t>
      </w:r>
      <w:r>
        <w:rPr>
          <w:spacing w:val="-2"/>
        </w:rPr>
        <w:t>this,</w:t>
      </w:r>
      <w:r>
        <w:rPr>
          <w:spacing w:val="-10"/>
        </w:rPr>
        <w:t xml:space="preserve"> </w:t>
      </w:r>
      <w:r>
        <w:rPr>
          <w:spacing w:val="-2"/>
        </w:rPr>
        <w:t>noting</w:t>
      </w:r>
      <w:r>
        <w:rPr>
          <w:spacing w:val="-4"/>
        </w:rPr>
        <w:t xml:space="preserve"> </w:t>
      </w:r>
      <w:r>
        <w:rPr>
          <w:spacing w:val="-2"/>
        </w:rPr>
        <w:t>that</w:t>
      </w:r>
      <w:r>
        <w:rPr>
          <w:spacing w:val="-4"/>
        </w:rPr>
        <w:t xml:space="preserve"> </w:t>
      </w:r>
      <w:r>
        <w:rPr>
          <w:spacing w:val="-2"/>
        </w:rPr>
        <w:t>such</w:t>
      </w:r>
      <w:r>
        <w:rPr>
          <w:spacing w:val="-4"/>
        </w:rPr>
        <w:t xml:space="preserve"> </w:t>
      </w:r>
      <w:r>
        <w:rPr>
          <w:spacing w:val="-2"/>
        </w:rPr>
        <w:t>mechanisms</w:t>
      </w:r>
      <w:r>
        <w:rPr>
          <w:spacing w:val="-4"/>
        </w:rPr>
        <w:t xml:space="preserve"> </w:t>
      </w:r>
      <w:r>
        <w:rPr>
          <w:spacing w:val="-2"/>
        </w:rPr>
        <w:t>should</w:t>
      </w:r>
      <w:r>
        <w:rPr>
          <w:spacing w:val="-4"/>
        </w:rPr>
        <w:t xml:space="preserve"> </w:t>
      </w:r>
      <w:r>
        <w:rPr>
          <w:spacing w:val="-2"/>
        </w:rPr>
        <w:t>“not</w:t>
      </w:r>
      <w:r>
        <w:rPr>
          <w:spacing w:val="-4"/>
        </w:rPr>
        <w:t xml:space="preserve"> </w:t>
      </w:r>
      <w:r>
        <w:rPr>
          <w:spacing w:val="-1"/>
        </w:rPr>
        <w:t>be</w:t>
      </w:r>
      <w:r>
        <w:rPr>
          <w:spacing w:val="-4"/>
        </w:rPr>
        <w:t xml:space="preserve"> </w:t>
      </w:r>
      <w:r>
        <w:rPr>
          <w:spacing w:val="-3"/>
        </w:rPr>
        <w:t>part</w:t>
      </w:r>
      <w:r>
        <w:rPr>
          <w:spacing w:val="-4"/>
        </w:rPr>
        <w:t xml:space="preserve"> </w:t>
      </w:r>
      <w:r>
        <w:rPr>
          <w:spacing w:val="-1"/>
        </w:rPr>
        <w:t>of</w:t>
      </w:r>
      <w:r>
        <w:t xml:space="preserve"> </w:t>
      </w:r>
      <w:r>
        <w:rPr>
          <w:spacing w:val="-3"/>
        </w:rPr>
        <w:t>regulatory</w:t>
      </w:r>
      <w:r>
        <w:rPr>
          <w:spacing w:val="-4"/>
        </w:rPr>
        <w:t xml:space="preserve"> </w:t>
      </w:r>
      <w:r>
        <w:rPr>
          <w:spacing w:val="-3"/>
        </w:rPr>
        <w:t>arrangements</w:t>
      </w:r>
      <w:r>
        <w:rPr>
          <w:spacing w:val="-4"/>
        </w:rPr>
        <w:t xml:space="preserve"> </w:t>
      </w:r>
      <w:r>
        <w:rPr>
          <w:spacing w:val="-2"/>
        </w:rPr>
        <w:t>applied</w:t>
      </w:r>
      <w:r>
        <w:rPr>
          <w:spacing w:val="-4"/>
        </w:rPr>
        <w:t xml:space="preserve"> </w:t>
      </w:r>
      <w:r>
        <w:rPr>
          <w:spacing w:val="-2"/>
        </w:rPr>
        <w:t>to</w:t>
      </w:r>
      <w:r>
        <w:rPr>
          <w:spacing w:val="72"/>
        </w:rPr>
        <w:t xml:space="preserve"> </w:t>
      </w:r>
      <w:r>
        <w:rPr>
          <w:spacing w:val="-2"/>
        </w:rPr>
        <w:t>government-owned</w:t>
      </w:r>
      <w:r>
        <w:rPr>
          <w:spacing w:val="-4"/>
        </w:rPr>
        <w:t xml:space="preserve"> </w:t>
      </w:r>
      <w:r>
        <w:rPr>
          <w:spacing w:val="-2"/>
        </w:rPr>
        <w:t>businesses”</w:t>
      </w:r>
      <w:r>
        <w:rPr>
          <w:spacing w:val="-4"/>
        </w:rPr>
        <w:t xml:space="preserve"> </w:t>
      </w:r>
      <w:r>
        <w:rPr>
          <w:spacing w:val="-2"/>
        </w:rPr>
        <w:t>(ie,</w:t>
      </w:r>
      <w:r>
        <w:rPr>
          <w:spacing w:val="-10"/>
        </w:rPr>
        <w:t xml:space="preserve"> </w:t>
      </w:r>
      <w:r>
        <w:rPr>
          <w:spacing w:val="-2"/>
        </w:rPr>
        <w:t>because</w:t>
      </w:r>
      <w:r>
        <w:rPr>
          <w:spacing w:val="-4"/>
        </w:rPr>
        <w:t xml:space="preserve"> </w:t>
      </w:r>
      <w:r>
        <w:rPr>
          <w:spacing w:val="-2"/>
        </w:rPr>
        <w:t>customers</w:t>
      </w:r>
      <w:r>
        <w:rPr>
          <w:spacing w:val="-4"/>
        </w:rPr>
        <w:t xml:space="preserve"> </w:t>
      </w:r>
      <w:r>
        <w:rPr>
          <w:spacing w:val="-2"/>
        </w:rPr>
        <w:t>and</w:t>
      </w:r>
      <w:r>
        <w:rPr>
          <w:spacing w:val="-4"/>
        </w:rPr>
        <w:t xml:space="preserve"> </w:t>
      </w:r>
      <w:r>
        <w:rPr>
          <w:spacing w:val="-3"/>
        </w:rPr>
        <w:t>shareholders</w:t>
      </w:r>
      <w:r>
        <w:rPr>
          <w:spacing w:val="-4"/>
        </w:rPr>
        <w:t xml:space="preserve"> </w:t>
      </w:r>
      <w:r>
        <w:rPr>
          <w:spacing w:val="-3"/>
        </w:rPr>
        <w:t>are</w:t>
      </w:r>
      <w:r>
        <w:rPr>
          <w:spacing w:val="-4"/>
        </w:rPr>
        <w:t xml:space="preserve"> </w:t>
      </w:r>
      <w:r>
        <w:rPr>
          <w:spacing w:val="-2"/>
        </w:rPr>
        <w:t>one</w:t>
      </w:r>
      <w:r>
        <w:rPr>
          <w:spacing w:val="-4"/>
        </w:rPr>
        <w:t xml:space="preserve"> </w:t>
      </w:r>
      <w:r>
        <w:rPr>
          <w:spacing w:val="-2"/>
        </w:rPr>
        <w:t>and</w:t>
      </w:r>
      <w:r>
        <w:rPr>
          <w:spacing w:val="-4"/>
        </w:rPr>
        <w:t xml:space="preserve"> </w:t>
      </w:r>
      <w:r>
        <w:rPr>
          <w:spacing w:val="-2"/>
        </w:rPr>
        <w:t>the</w:t>
      </w:r>
      <w:r>
        <w:rPr>
          <w:spacing w:val="-4"/>
        </w:rPr>
        <w:t xml:space="preserve"> </w:t>
      </w:r>
      <w:r>
        <w:rPr>
          <w:spacing w:val="-2"/>
        </w:rPr>
        <w:t>same).</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7"/>
        </w:numPr>
        <w:tabs>
          <w:tab w:val="left" w:pos="2098"/>
        </w:tabs>
        <w:ind w:hanging="850"/>
      </w:pPr>
      <w:r>
        <w:rPr>
          <w:color w:val="0778BE"/>
          <w:spacing w:val="-1"/>
        </w:rPr>
        <w:t>Approach</w:t>
      </w:r>
      <w:r>
        <w:rPr>
          <w:color w:val="0778BE"/>
        </w:rPr>
        <w:t xml:space="preserve"> used to establish </w:t>
      </w:r>
      <w:r>
        <w:rPr>
          <w:color w:val="0778BE"/>
          <w:spacing w:val="-1"/>
        </w:rPr>
        <w:t>revenue</w:t>
      </w:r>
      <w:r>
        <w:rPr>
          <w:color w:val="0778BE"/>
        </w:rPr>
        <w:t xml:space="preserve"> </w:t>
      </w:r>
      <w:r>
        <w:rPr>
          <w:color w:val="0778BE"/>
          <w:spacing w:val="-1"/>
        </w:rPr>
        <w:t>requirement</w:t>
      </w:r>
    </w:p>
    <w:p w:rsidR="00D96B91" w:rsidRDefault="00C2656B">
      <w:pPr>
        <w:pStyle w:val="BodyText"/>
        <w:spacing w:before="21" w:line="260" w:lineRule="exact"/>
        <w:ind w:right="1283"/>
      </w:pPr>
      <w:r>
        <w:rPr>
          <w:rFonts w:cs="Avenir Next"/>
          <w:spacing w:val="-2"/>
        </w:rPr>
        <w:t>The</w:t>
      </w:r>
      <w:r>
        <w:rPr>
          <w:rFonts w:cs="Avenir Next"/>
        </w:rPr>
        <w:t xml:space="preserve"> ICRC used a </w:t>
      </w:r>
      <w:r>
        <w:rPr>
          <w:rFonts w:cs="Avenir Next"/>
          <w:b/>
          <w:bCs/>
        </w:rPr>
        <w:t xml:space="preserve">‘building block’ methodology </w:t>
      </w:r>
      <w:r>
        <w:t>to establish</w:t>
      </w:r>
      <w:r>
        <w:rPr>
          <w:spacing w:val="-4"/>
        </w:rPr>
        <w:t xml:space="preserve"> </w:t>
      </w:r>
      <w:r>
        <w:rPr>
          <w:spacing w:val="-2"/>
        </w:rPr>
        <w:t>ACTEW’s</w:t>
      </w:r>
      <w:r>
        <w:t xml:space="preserve"> </w:t>
      </w:r>
      <w:r>
        <w:rPr>
          <w:spacing w:val="-1"/>
        </w:rPr>
        <w:t>revenue</w:t>
      </w:r>
      <w:r>
        <w:t xml:space="preserve"> </w:t>
      </w:r>
      <w:r>
        <w:rPr>
          <w:spacing w:val="-1"/>
        </w:rPr>
        <w:t>requirement.</w:t>
      </w:r>
      <w:r>
        <w:rPr>
          <w:spacing w:val="-11"/>
        </w:rPr>
        <w:t xml:space="preserve"> </w:t>
      </w:r>
      <w:r>
        <w:rPr>
          <w:spacing w:val="-1"/>
        </w:rPr>
        <w:t>This</w:t>
      </w:r>
      <w:r>
        <w:rPr>
          <w:spacing w:val="21"/>
        </w:rPr>
        <w:t xml:space="preserve"> </w:t>
      </w:r>
      <w:r>
        <w:t>method,</w:t>
      </w:r>
      <w:r>
        <w:rPr>
          <w:spacing w:val="-6"/>
        </w:rPr>
        <w:t xml:space="preserve"> </w:t>
      </w:r>
      <w:r>
        <w:t xml:space="preserve">which is described in </w:t>
      </w:r>
      <w:r>
        <w:rPr>
          <w:spacing w:val="-1"/>
        </w:rPr>
        <w:t>more</w:t>
      </w:r>
      <w:r>
        <w:t xml:space="preserve"> detail in Chapter 7,</w:t>
      </w:r>
      <w:r>
        <w:rPr>
          <w:spacing w:val="-6"/>
        </w:rPr>
        <w:t xml:space="preserve"> </w:t>
      </w:r>
      <w:r>
        <w:t xml:space="preserve">is commonly used by economic </w:t>
      </w:r>
      <w:r>
        <w:rPr>
          <w:spacing w:val="-1"/>
        </w:rPr>
        <w:t>regulators.</w:t>
      </w:r>
    </w:p>
    <w:p w:rsidR="00D96B91" w:rsidRDefault="00C2656B">
      <w:pPr>
        <w:pStyle w:val="BodyText"/>
        <w:spacing w:before="170" w:line="260" w:lineRule="exact"/>
        <w:ind w:right="1655"/>
        <w:rPr>
          <w:rFonts w:cs="Avenir Next"/>
        </w:rPr>
      </w:pPr>
      <w:r>
        <w:rPr>
          <w:spacing w:val="-2"/>
        </w:rPr>
        <w:t>The</w:t>
      </w:r>
      <w:r>
        <w:t xml:space="preserve"> ICRC </w:t>
      </w:r>
      <w:r>
        <w:rPr>
          <w:spacing w:val="-1"/>
        </w:rPr>
        <w:t>calculated</w:t>
      </w:r>
      <w:r>
        <w:t xml:space="preserve"> the </w:t>
      </w:r>
      <w:r>
        <w:rPr>
          <w:b/>
        </w:rPr>
        <w:t xml:space="preserve">allowance for a </w:t>
      </w:r>
      <w:r>
        <w:rPr>
          <w:b/>
          <w:spacing w:val="-1"/>
        </w:rPr>
        <w:t>return</w:t>
      </w:r>
      <w:r>
        <w:rPr>
          <w:b/>
        </w:rPr>
        <w:t xml:space="preserve"> on capital </w:t>
      </w:r>
      <w:r>
        <w:t>by applying a nominal cost of</w:t>
      </w:r>
      <w:r>
        <w:rPr>
          <w:spacing w:val="4"/>
        </w:rPr>
        <w:t xml:space="preserve"> </w:t>
      </w:r>
      <w:r>
        <w:t>capital to</w:t>
      </w:r>
      <w:r>
        <w:rPr>
          <w:spacing w:val="23"/>
        </w:rPr>
        <w:t xml:space="preserve"> </w:t>
      </w:r>
      <w:r>
        <w:t xml:space="preserve">an </w:t>
      </w:r>
      <w:r>
        <w:rPr>
          <w:spacing w:val="-1"/>
        </w:rPr>
        <w:t>unindexed</w:t>
      </w:r>
      <w:r>
        <w:t xml:space="preserve"> </w:t>
      </w:r>
      <w:r>
        <w:rPr>
          <w:spacing w:val="-1"/>
        </w:rPr>
        <w:t>regulated</w:t>
      </w:r>
      <w:r>
        <w:t xml:space="preserve"> asset base (RAB),</w:t>
      </w:r>
      <w:r>
        <w:rPr>
          <w:spacing w:val="-7"/>
        </w:rPr>
        <w:t xml:space="preserve"> </w:t>
      </w:r>
      <w:r>
        <w:t xml:space="preserve">which </w:t>
      </w:r>
      <w:r>
        <w:rPr>
          <w:spacing w:val="-1"/>
        </w:rPr>
        <w:t>brought</w:t>
      </w:r>
      <w:r>
        <w:t xml:space="preserve"> </w:t>
      </w:r>
      <w:r>
        <w:rPr>
          <w:spacing w:val="-1"/>
        </w:rPr>
        <w:t>forward</w:t>
      </w:r>
      <w:r>
        <w:t xml:space="preserve"> the </w:t>
      </w:r>
      <w:r>
        <w:rPr>
          <w:spacing w:val="-1"/>
        </w:rPr>
        <w:t>recovery</w:t>
      </w:r>
      <w:r>
        <w:t xml:space="preserve"> of</w:t>
      </w:r>
      <w:r>
        <w:rPr>
          <w:spacing w:val="4"/>
        </w:rPr>
        <w:t xml:space="preserve"> </w:t>
      </w:r>
      <w:r>
        <w:rPr>
          <w:spacing w:val="-1"/>
        </w:rPr>
        <w:t>depreciation.</w:t>
      </w:r>
      <w:r>
        <w:rPr>
          <w:spacing w:val="-11"/>
        </w:rPr>
        <w:t xml:space="preserve"> </w:t>
      </w:r>
      <w:r>
        <w:rPr>
          <w:spacing w:val="-1"/>
        </w:rPr>
        <w:t>This</w:t>
      </w:r>
      <w:r>
        <w:rPr>
          <w:spacing w:val="51"/>
        </w:rPr>
        <w:t xml:space="preserve"> </w:t>
      </w:r>
      <w:r>
        <w:t xml:space="preserve">modelling </w:t>
      </w:r>
      <w:r>
        <w:rPr>
          <w:spacing w:val="-1"/>
        </w:rPr>
        <w:t>approach</w:t>
      </w:r>
      <w:r>
        <w:t xml:space="preserve"> </w:t>
      </w:r>
      <w:r>
        <w:rPr>
          <w:spacing w:val="-1"/>
        </w:rPr>
        <w:t>differs</w:t>
      </w:r>
      <w:r>
        <w:t xml:space="preserve"> </w:t>
      </w:r>
      <w:r>
        <w:rPr>
          <w:spacing w:val="-1"/>
        </w:rPr>
        <w:t>from</w:t>
      </w:r>
      <w:r>
        <w:t xml:space="preserve"> the </w:t>
      </w:r>
      <w:r>
        <w:rPr>
          <w:spacing w:val="-1"/>
        </w:rPr>
        <w:t>approach</w:t>
      </w:r>
      <w:r>
        <w:t xml:space="preserve"> </w:t>
      </w:r>
      <w:r>
        <w:rPr>
          <w:spacing w:val="-1"/>
        </w:rPr>
        <w:t>generally</w:t>
      </w:r>
      <w:r>
        <w:t xml:space="preserve"> adopted by other</w:t>
      </w:r>
      <w:r>
        <w:rPr>
          <w:spacing w:val="-4"/>
        </w:rPr>
        <w:t xml:space="preserve"> </w:t>
      </w:r>
      <w:r>
        <w:rPr>
          <w:spacing w:val="-1"/>
        </w:rPr>
        <w:t>Australian</w:t>
      </w:r>
      <w:r>
        <w:t xml:space="preserve"> </w:t>
      </w:r>
      <w:r>
        <w:rPr>
          <w:spacing w:val="-1"/>
        </w:rPr>
        <w:t>regulators</w:t>
      </w:r>
    </w:p>
    <w:p w:rsidR="00D96B91" w:rsidRDefault="00C2656B">
      <w:pPr>
        <w:pStyle w:val="BodyText"/>
        <w:spacing w:line="260" w:lineRule="exact"/>
        <w:ind w:right="1283"/>
      </w:pPr>
      <w:r>
        <w:rPr>
          <w:spacing w:val="-2"/>
        </w:rPr>
        <w:t>(whereby,</w:t>
      </w:r>
      <w:r>
        <w:rPr>
          <w:spacing w:val="-7"/>
        </w:rPr>
        <w:t xml:space="preserve"> </w:t>
      </w:r>
      <w:r>
        <w:t xml:space="preserve">under a nominal </w:t>
      </w:r>
      <w:r>
        <w:rPr>
          <w:spacing w:val="-1"/>
        </w:rPr>
        <w:t>framework,</w:t>
      </w:r>
      <w:r>
        <w:rPr>
          <w:spacing w:val="-7"/>
        </w:rPr>
        <w:t xml:space="preserve"> </w:t>
      </w:r>
      <w:r>
        <w:t xml:space="preserve">the RAB is </w:t>
      </w:r>
      <w:r>
        <w:rPr>
          <w:spacing w:val="-1"/>
        </w:rPr>
        <w:t>indexed</w:t>
      </w:r>
      <w:r>
        <w:t xml:space="preserve"> for</w:t>
      </w:r>
      <w:r>
        <w:rPr>
          <w:spacing w:val="-1"/>
        </w:rPr>
        <w:t xml:space="preserve"> inflation).</w:t>
      </w:r>
      <w:r>
        <w:rPr>
          <w:spacing w:val="-6"/>
        </w:rPr>
        <w:t xml:space="preserve"> </w:t>
      </w:r>
      <w:r>
        <w:t xml:space="preserve">It also </w:t>
      </w:r>
      <w:r>
        <w:rPr>
          <w:spacing w:val="-1"/>
        </w:rPr>
        <w:t>differed from</w:t>
      </w:r>
      <w:r>
        <w:t xml:space="preserve"> the one the</w:t>
      </w:r>
      <w:r>
        <w:rPr>
          <w:spacing w:val="51"/>
        </w:rPr>
        <w:t xml:space="preserve"> </w:t>
      </w:r>
      <w:r>
        <w:t xml:space="preserve">ICRC used in its </w:t>
      </w:r>
      <w:r>
        <w:rPr>
          <w:spacing w:val="-1"/>
        </w:rPr>
        <w:t>previous</w:t>
      </w:r>
      <w:r>
        <w:t xml:space="preserve"> price </w:t>
      </w:r>
      <w:r>
        <w:rPr>
          <w:spacing w:val="-1"/>
        </w:rPr>
        <w:t>directions,</w:t>
      </w:r>
      <w:r>
        <w:rPr>
          <w:spacing w:val="-6"/>
        </w:rPr>
        <w:t xml:space="preserve"> </w:t>
      </w:r>
      <w:r>
        <w:t xml:space="preserve">and its </w:t>
      </w:r>
      <w:r>
        <w:rPr>
          <w:spacing w:val="-2"/>
        </w:rPr>
        <w:t>draft</w:t>
      </w:r>
      <w:r>
        <w:t xml:space="preserve"> price </w:t>
      </w:r>
      <w:r>
        <w:rPr>
          <w:spacing w:val="-1"/>
        </w:rPr>
        <w:t>direction</w:t>
      </w:r>
      <w:r>
        <w:t xml:space="preserve"> for the 2013 period.</w:t>
      </w:r>
    </w:p>
    <w:p w:rsidR="00D96B91" w:rsidRDefault="00C2656B">
      <w:pPr>
        <w:pStyle w:val="BodyText"/>
        <w:spacing w:before="170" w:line="260" w:lineRule="exact"/>
        <w:ind w:right="1256"/>
      </w:pPr>
      <w:r>
        <w:t>In</w:t>
      </w:r>
      <w:r>
        <w:rPr>
          <w:spacing w:val="-1"/>
        </w:rPr>
        <w:t xml:space="preserve"> </w:t>
      </w:r>
      <w:r>
        <w:t>addition,</w:t>
      </w:r>
      <w:r>
        <w:rPr>
          <w:spacing w:val="-8"/>
        </w:rPr>
        <w:t xml:space="preserve"> </w:t>
      </w:r>
      <w:r>
        <w:t>the</w:t>
      </w:r>
      <w:r>
        <w:rPr>
          <w:spacing w:val="-1"/>
        </w:rPr>
        <w:t xml:space="preserve"> </w:t>
      </w:r>
      <w:r>
        <w:t xml:space="preserve">ICRC </w:t>
      </w:r>
      <w:r>
        <w:rPr>
          <w:spacing w:val="-1"/>
        </w:rPr>
        <w:t xml:space="preserve">calculated </w:t>
      </w:r>
      <w:r>
        <w:t>the</w:t>
      </w:r>
      <w:r>
        <w:rPr>
          <w:spacing w:val="-1"/>
        </w:rPr>
        <w:t xml:space="preserve"> </w:t>
      </w:r>
      <w:r>
        <w:rPr>
          <w:b/>
          <w:spacing w:val="-2"/>
        </w:rPr>
        <w:t>rate</w:t>
      </w:r>
      <w:r>
        <w:rPr>
          <w:b/>
          <w:spacing w:val="-1"/>
        </w:rPr>
        <w:t xml:space="preserve"> </w:t>
      </w:r>
      <w:r>
        <w:rPr>
          <w:b/>
        </w:rPr>
        <w:t>of</w:t>
      </w:r>
      <w:r>
        <w:rPr>
          <w:b/>
          <w:spacing w:val="4"/>
        </w:rPr>
        <w:t xml:space="preserve"> </w:t>
      </w:r>
      <w:r>
        <w:rPr>
          <w:b/>
          <w:spacing w:val="-1"/>
        </w:rPr>
        <w:t xml:space="preserve">return </w:t>
      </w:r>
      <w:r>
        <w:t>using</w:t>
      </w:r>
      <w:r>
        <w:rPr>
          <w:spacing w:val="-1"/>
        </w:rPr>
        <w:t xml:space="preserve"> </w:t>
      </w:r>
      <w:r>
        <w:t>a</w:t>
      </w:r>
      <w:r>
        <w:rPr>
          <w:spacing w:val="-1"/>
        </w:rPr>
        <w:t xml:space="preserve"> </w:t>
      </w:r>
      <w:r>
        <w:t xml:space="preserve">firm-specific </w:t>
      </w:r>
      <w:r>
        <w:rPr>
          <w:spacing w:val="-1"/>
        </w:rPr>
        <w:t>approach,</w:t>
      </w:r>
      <w:r>
        <w:rPr>
          <w:spacing w:val="-7"/>
        </w:rPr>
        <w:t xml:space="preserve"> </w:t>
      </w:r>
      <w:r>
        <w:rPr>
          <w:spacing w:val="-1"/>
        </w:rPr>
        <w:t xml:space="preserve">rather </w:t>
      </w:r>
      <w:r>
        <w:t>than</w:t>
      </w:r>
      <w:r>
        <w:rPr>
          <w:spacing w:val="-1"/>
        </w:rPr>
        <w:t xml:space="preserve"> </w:t>
      </w:r>
      <w:r>
        <w:t>the</w:t>
      </w:r>
      <w:r>
        <w:rPr>
          <w:spacing w:val="39"/>
        </w:rPr>
        <w:t xml:space="preserve"> </w:t>
      </w:r>
      <w:r>
        <w:t>benchmark</w:t>
      </w:r>
      <w:r>
        <w:rPr>
          <w:spacing w:val="-2"/>
        </w:rPr>
        <w:t xml:space="preserve"> </w:t>
      </w:r>
      <w:r>
        <w:rPr>
          <w:spacing w:val="-1"/>
        </w:rPr>
        <w:t>efficient</w:t>
      </w:r>
      <w:r>
        <w:rPr>
          <w:spacing w:val="-2"/>
        </w:rPr>
        <w:t xml:space="preserve"> </w:t>
      </w:r>
      <w:r>
        <w:t>entity</w:t>
      </w:r>
      <w:r>
        <w:rPr>
          <w:spacing w:val="-1"/>
        </w:rPr>
        <w:t xml:space="preserve"> approach</w:t>
      </w:r>
      <w:r>
        <w:rPr>
          <w:spacing w:val="-2"/>
        </w:rPr>
        <w:t xml:space="preserve"> </w:t>
      </w:r>
      <w:r>
        <w:rPr>
          <w:spacing w:val="-1"/>
        </w:rPr>
        <w:t xml:space="preserve">generally </w:t>
      </w:r>
      <w:r>
        <w:t>adopted</w:t>
      </w:r>
      <w:r>
        <w:rPr>
          <w:spacing w:val="-2"/>
        </w:rPr>
        <w:t xml:space="preserve"> </w:t>
      </w:r>
      <w:r>
        <w:t>by</w:t>
      </w:r>
      <w:r>
        <w:rPr>
          <w:spacing w:val="-1"/>
        </w:rPr>
        <w:t xml:space="preserve"> </w:t>
      </w:r>
      <w:r>
        <w:t>other</w:t>
      </w:r>
      <w:r>
        <w:rPr>
          <w:spacing w:val="-6"/>
        </w:rPr>
        <w:t xml:space="preserve"> </w:t>
      </w:r>
      <w:r>
        <w:rPr>
          <w:spacing w:val="-1"/>
        </w:rPr>
        <w:t>Australian regulators.</w:t>
      </w:r>
      <w:r>
        <w:rPr>
          <w:spacing w:val="-13"/>
        </w:rPr>
        <w:t xml:space="preserve"> </w:t>
      </w:r>
      <w:r>
        <w:rPr>
          <w:spacing w:val="-2"/>
        </w:rPr>
        <w:t>The</w:t>
      </w:r>
      <w:r>
        <w:rPr>
          <w:spacing w:val="-1"/>
        </w:rPr>
        <w:t xml:space="preserve"> </w:t>
      </w:r>
      <w:r>
        <w:t>firm-specific</w:t>
      </w:r>
      <w:r>
        <w:rPr>
          <w:spacing w:val="59"/>
          <w:w w:val="99"/>
        </w:rPr>
        <w:t xml:space="preserve"> </w:t>
      </w:r>
      <w:r>
        <w:rPr>
          <w:spacing w:val="-1"/>
        </w:rPr>
        <w:t>approach</w:t>
      </w:r>
      <w:r>
        <w:t xml:space="preserve"> also </w:t>
      </w:r>
      <w:r>
        <w:rPr>
          <w:spacing w:val="-1"/>
        </w:rPr>
        <w:t>differs</w:t>
      </w:r>
      <w:r>
        <w:t xml:space="preserve"> </w:t>
      </w:r>
      <w:r>
        <w:rPr>
          <w:spacing w:val="-1"/>
        </w:rPr>
        <w:t>from</w:t>
      </w:r>
      <w:r>
        <w:t xml:space="preserve"> the </w:t>
      </w:r>
      <w:r>
        <w:rPr>
          <w:spacing w:val="-1"/>
        </w:rPr>
        <w:t>approach</w:t>
      </w:r>
      <w:r>
        <w:t xml:space="preserve"> the ICRC used in </w:t>
      </w:r>
      <w:r>
        <w:rPr>
          <w:spacing w:val="-1"/>
        </w:rPr>
        <w:t>previous</w:t>
      </w:r>
      <w:r>
        <w:t xml:space="preserve"> price </w:t>
      </w:r>
      <w:r>
        <w:rPr>
          <w:spacing w:val="-1"/>
        </w:rPr>
        <w:t>directions.</w:t>
      </w:r>
    </w:p>
    <w:p w:rsidR="00D96B91" w:rsidRDefault="00C2656B">
      <w:pPr>
        <w:pStyle w:val="BodyText"/>
        <w:spacing w:before="170" w:line="260" w:lineRule="exact"/>
        <w:ind w:right="1356"/>
      </w:pPr>
      <w:r>
        <w:rPr>
          <w:spacing w:val="-3"/>
        </w:rPr>
        <w:t>Further,</w:t>
      </w:r>
      <w:r>
        <w:rPr>
          <w:spacing w:val="-7"/>
        </w:rPr>
        <w:t xml:space="preserve"> </w:t>
      </w:r>
      <w:r>
        <w:t xml:space="preserve">the ICRC adopted a </w:t>
      </w:r>
      <w:r>
        <w:rPr>
          <w:b/>
        </w:rPr>
        <w:t>cost</w:t>
      </w:r>
      <w:r>
        <w:rPr>
          <w:b/>
          <w:spacing w:val="-1"/>
        </w:rPr>
        <w:t xml:space="preserve"> </w:t>
      </w:r>
      <w:r>
        <w:rPr>
          <w:b/>
        </w:rPr>
        <w:t>of</w:t>
      </w:r>
      <w:r>
        <w:rPr>
          <w:b/>
          <w:spacing w:val="4"/>
        </w:rPr>
        <w:t xml:space="preserve"> </w:t>
      </w:r>
      <w:r>
        <w:rPr>
          <w:b/>
        </w:rPr>
        <w:t xml:space="preserve">equity </w:t>
      </w:r>
      <w:r>
        <w:rPr>
          <w:spacing w:val="-1"/>
        </w:rPr>
        <w:t>that</w:t>
      </w:r>
      <w:r>
        <w:t xml:space="preserve"> was,</w:t>
      </w:r>
      <w:r>
        <w:rPr>
          <w:spacing w:val="-6"/>
        </w:rPr>
        <w:t xml:space="preserve"> </w:t>
      </w:r>
      <w:r>
        <w:t>for the</w:t>
      </w:r>
      <w:r>
        <w:rPr>
          <w:spacing w:val="-1"/>
        </w:rPr>
        <w:t xml:space="preserve"> </w:t>
      </w:r>
      <w:r>
        <w:t xml:space="preserve">first two </w:t>
      </w:r>
      <w:r>
        <w:rPr>
          <w:spacing w:val="-1"/>
        </w:rPr>
        <w:t>years</w:t>
      </w:r>
      <w:r>
        <w:t xml:space="preserve"> of</w:t>
      </w:r>
      <w:r>
        <w:rPr>
          <w:spacing w:val="4"/>
        </w:rPr>
        <w:t xml:space="preserve"> </w:t>
      </w:r>
      <w:r>
        <w:t>the</w:t>
      </w:r>
      <w:r>
        <w:rPr>
          <w:spacing w:val="-1"/>
        </w:rPr>
        <w:t xml:space="preserve"> regulatory</w:t>
      </w:r>
      <w:r>
        <w:t xml:space="preserve"> period,</w:t>
      </w:r>
      <w:r>
        <w:rPr>
          <w:spacing w:val="23"/>
        </w:rPr>
        <w:t xml:space="preserve"> </w:t>
      </w:r>
      <w:r>
        <w:t xml:space="preserve">below the lower bound it had established in its </w:t>
      </w:r>
      <w:r>
        <w:rPr>
          <w:spacing w:val="-2"/>
        </w:rPr>
        <w:t>draft</w:t>
      </w:r>
      <w:r>
        <w:t xml:space="preserve"> </w:t>
      </w:r>
      <w:r>
        <w:rPr>
          <w:spacing w:val="-2"/>
        </w:rPr>
        <w:t>report</w:t>
      </w:r>
      <w:r>
        <w:t xml:space="preserve"> for this cost (ie,</w:t>
      </w:r>
      <w:r>
        <w:rPr>
          <w:spacing w:val="-6"/>
        </w:rPr>
        <w:t xml:space="preserve"> </w:t>
      </w:r>
      <w:r>
        <w:t xml:space="preserve">although it established </w:t>
      </w:r>
      <w:r>
        <w:rPr>
          <w:spacing w:val="-1"/>
        </w:rPr>
        <w:t>that</w:t>
      </w:r>
      <w:r>
        <w:rPr>
          <w:spacing w:val="21"/>
        </w:rPr>
        <w:t xml:space="preserve"> </w:t>
      </w:r>
      <w:r>
        <w:t>the lower bound for the value of</w:t>
      </w:r>
      <w:r>
        <w:rPr>
          <w:spacing w:val="4"/>
        </w:rPr>
        <w:t xml:space="preserve"> </w:t>
      </w:r>
      <w:r>
        <w:t>the cost of</w:t>
      </w:r>
      <w:r>
        <w:rPr>
          <w:spacing w:val="4"/>
        </w:rPr>
        <w:t xml:space="preserve"> </w:t>
      </w:r>
      <w:r>
        <w:t>equity was 4.25%,</w:t>
      </w:r>
      <w:r>
        <w:rPr>
          <w:spacing w:val="-6"/>
        </w:rPr>
        <w:t xml:space="preserve"> </w:t>
      </w:r>
      <w:r>
        <w:t>it adopted a value of</w:t>
      </w:r>
      <w:r>
        <w:rPr>
          <w:spacing w:val="4"/>
        </w:rPr>
        <w:t xml:space="preserve"> </w:t>
      </w:r>
      <w:r>
        <w:t>2.8% in 2013-14 and 2014-15).</w:t>
      </w:r>
      <w:r>
        <w:rPr>
          <w:spacing w:val="-11"/>
        </w:rPr>
        <w:t xml:space="preserve"> </w:t>
      </w:r>
      <w:r>
        <w:rPr>
          <w:spacing w:val="-2"/>
        </w:rPr>
        <w:t>The</w:t>
      </w:r>
      <w:r>
        <w:t xml:space="preserve"> ICRC </w:t>
      </w:r>
      <w:r>
        <w:rPr>
          <w:spacing w:val="-1"/>
        </w:rPr>
        <w:t>characterised</w:t>
      </w:r>
      <w:r>
        <w:t xml:space="preserve"> this decision as a </w:t>
      </w:r>
      <w:r>
        <w:rPr>
          <w:spacing w:val="-1"/>
        </w:rPr>
        <w:t>transitional</w:t>
      </w:r>
      <w:r>
        <w:t xml:space="preserve"> </w:t>
      </w:r>
      <w:r>
        <w:rPr>
          <w:spacing w:val="-1"/>
        </w:rPr>
        <w:t>measure</w:t>
      </w:r>
      <w:r>
        <w:t xml:space="preserve"> </w:t>
      </w:r>
      <w:r>
        <w:rPr>
          <w:spacing w:val="-1"/>
        </w:rPr>
        <w:t>that</w:t>
      </w:r>
      <w:r>
        <w:t xml:space="preserve"> was </w:t>
      </w:r>
      <w:r>
        <w:rPr>
          <w:spacing w:val="-1"/>
        </w:rPr>
        <w:t>required</w:t>
      </w:r>
      <w:r>
        <w:t xml:space="preserve"> to:</w:t>
      </w:r>
    </w:p>
    <w:p w:rsidR="00D96B91" w:rsidRDefault="00C2656B">
      <w:pPr>
        <w:pStyle w:val="BodyText"/>
        <w:numPr>
          <w:ilvl w:val="0"/>
          <w:numId w:val="131"/>
        </w:numPr>
        <w:tabs>
          <w:tab w:val="left" w:pos="1531"/>
        </w:tabs>
        <w:spacing w:before="170" w:line="260" w:lineRule="exact"/>
        <w:ind w:right="1402" w:hanging="283"/>
      </w:pPr>
      <w:r>
        <w:rPr>
          <w:rFonts w:cs="Avenir Next"/>
          <w:spacing w:val="-1"/>
        </w:rPr>
        <w:t>mitigate</w:t>
      </w:r>
      <w:r>
        <w:rPr>
          <w:rFonts w:cs="Avenir Next"/>
        </w:rPr>
        <w:t xml:space="preserve"> the step </w:t>
      </w:r>
      <w:r>
        <w:rPr>
          <w:rFonts w:cs="Avenir Next"/>
          <w:spacing w:val="-1"/>
        </w:rPr>
        <w:t>increase</w:t>
      </w:r>
      <w:r>
        <w:rPr>
          <w:rFonts w:cs="Avenir Next"/>
        </w:rPr>
        <w:t xml:space="preserve"> in prices </w:t>
      </w:r>
      <w:r>
        <w:rPr>
          <w:rFonts w:cs="Avenir Next"/>
          <w:spacing w:val="-1"/>
        </w:rPr>
        <w:t>that</w:t>
      </w:r>
      <w:r>
        <w:rPr>
          <w:rFonts w:cs="Avenir Next"/>
        </w:rPr>
        <w:t xml:space="preserve"> would otherwise have </w:t>
      </w:r>
      <w:r>
        <w:rPr>
          <w:rFonts w:cs="Avenir Next"/>
          <w:spacing w:val="-1"/>
        </w:rPr>
        <w:t>occurred</w:t>
      </w:r>
      <w:r>
        <w:rPr>
          <w:rFonts w:cs="Avenir Next"/>
        </w:rPr>
        <w:t xml:space="preserve"> as a </w:t>
      </w:r>
      <w:r>
        <w:rPr>
          <w:rFonts w:cs="Avenir Next"/>
          <w:spacing w:val="-1"/>
        </w:rPr>
        <w:t>result</w:t>
      </w:r>
      <w:r>
        <w:rPr>
          <w:rFonts w:cs="Avenir Next"/>
        </w:rPr>
        <w:t xml:space="preserve"> of</w:t>
      </w:r>
      <w:r>
        <w:rPr>
          <w:rFonts w:cs="Avenir Next"/>
          <w:spacing w:val="4"/>
        </w:rPr>
        <w:t xml:space="preserve"> </w:t>
      </w:r>
      <w:r>
        <w:rPr>
          <w:rFonts w:cs="Avenir Next"/>
        </w:rPr>
        <w:t>its decision to</w:t>
      </w:r>
      <w:r>
        <w:rPr>
          <w:rFonts w:cs="Avenir Next"/>
          <w:spacing w:val="31"/>
        </w:rPr>
        <w:t xml:space="preserve"> </w:t>
      </w:r>
      <w:r>
        <w:rPr>
          <w:rFonts w:cs="Avenir Next"/>
        </w:rPr>
        <w:t>model</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by applying a nominal cost of</w:t>
      </w:r>
      <w:r>
        <w:rPr>
          <w:rFonts w:cs="Avenir Next"/>
          <w:spacing w:val="4"/>
        </w:rPr>
        <w:t xml:space="preserve"> </w:t>
      </w:r>
      <w:r>
        <w:rPr>
          <w:rFonts w:cs="Avenir Next"/>
        </w:rPr>
        <w:t xml:space="preserve">capital to an </w:t>
      </w:r>
      <w:r>
        <w:rPr>
          <w:rFonts w:cs="Avenir Next"/>
          <w:spacing w:val="-1"/>
        </w:rPr>
        <w:t>unindexed</w:t>
      </w:r>
      <w:r>
        <w:rPr>
          <w:rFonts w:cs="Avenir Next"/>
        </w:rPr>
        <w:t xml:space="preserve"> RAB</w:t>
      </w:r>
      <w:r>
        <w:rPr>
          <w:rFonts w:cs="Avenir Next"/>
          <w:spacing w:val="25"/>
        </w:rPr>
        <w:t xml:space="preserve"> </w:t>
      </w:r>
      <w:r>
        <w:t>(discussed above),</w:t>
      </w:r>
      <w:r>
        <w:rPr>
          <w:spacing w:val="-6"/>
        </w:rPr>
        <w:t xml:space="preserve"> </w:t>
      </w:r>
      <w:r>
        <w:t>and</w:t>
      </w:r>
    </w:p>
    <w:p w:rsidR="00D96B91" w:rsidRDefault="00C2656B">
      <w:pPr>
        <w:pStyle w:val="BodyText"/>
        <w:numPr>
          <w:ilvl w:val="0"/>
          <w:numId w:val="131"/>
        </w:numPr>
        <w:tabs>
          <w:tab w:val="left" w:pos="1531"/>
        </w:tabs>
        <w:spacing w:before="85" w:line="260" w:lineRule="exact"/>
        <w:ind w:right="1485" w:hanging="283"/>
      </w:pPr>
      <w:r>
        <w:rPr>
          <w:spacing w:val="-1"/>
        </w:rPr>
        <w:t>transfer</w:t>
      </w:r>
      <w:r>
        <w:t xml:space="preserve"> the task of</w:t>
      </w:r>
      <w:r>
        <w:rPr>
          <w:spacing w:val="4"/>
        </w:rPr>
        <w:t xml:space="preserve"> </w:t>
      </w:r>
      <w:r>
        <w:rPr>
          <w:spacing w:val="-1"/>
        </w:rPr>
        <w:t>dealing</w:t>
      </w:r>
      <w:r>
        <w:t xml:space="preserve"> with the </w:t>
      </w:r>
      <w:r>
        <w:rPr>
          <w:spacing w:val="-1"/>
        </w:rPr>
        <w:t>intergenerational</w:t>
      </w:r>
      <w:r>
        <w:t xml:space="preserve"> equity issue </w:t>
      </w:r>
      <w:r>
        <w:rPr>
          <w:spacing w:val="-1"/>
        </w:rPr>
        <w:t>associated</w:t>
      </w:r>
      <w:r>
        <w:t xml:space="preserve"> with the </w:t>
      </w:r>
      <w:r>
        <w:rPr>
          <w:spacing w:val="-1"/>
        </w:rPr>
        <w:t>treatment</w:t>
      </w:r>
      <w:r>
        <w:t xml:space="preserve"> of</w:t>
      </w:r>
      <w:r>
        <w:rPr>
          <w:spacing w:val="53"/>
        </w:rPr>
        <w:t xml:space="preserve"> </w:t>
      </w:r>
      <w:r>
        <w:rPr>
          <w:spacing w:val="-1"/>
        </w:rPr>
        <w:t>water</w:t>
      </w:r>
      <w:r>
        <w:t xml:space="preserve"> security </w:t>
      </w:r>
      <w:r>
        <w:rPr>
          <w:spacing w:val="-1"/>
        </w:rPr>
        <w:t>project</w:t>
      </w:r>
      <w:r>
        <w:t xml:space="preserve"> costs back to the</w:t>
      </w:r>
      <w:r>
        <w:rPr>
          <w:spacing w:val="-4"/>
        </w:rPr>
        <w:t xml:space="preserve"> </w:t>
      </w:r>
      <w:r>
        <w:rPr>
          <w:spacing w:val="-2"/>
        </w:rPr>
        <w:t>ACT</w:t>
      </w:r>
      <w:r>
        <w:rPr>
          <w:spacing w:val="-5"/>
        </w:rPr>
        <w:t xml:space="preserve"> </w:t>
      </w:r>
      <w:r>
        <w:t>Government (discussed below).</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4"/>
        </w:rPr>
        <w:t>For</w:t>
      </w:r>
      <w:r>
        <w:t xml:space="preserve"> the </w:t>
      </w:r>
      <w:r>
        <w:rPr>
          <w:spacing w:val="-1"/>
        </w:rPr>
        <w:t>remainder</w:t>
      </w:r>
      <w:r>
        <w:t xml:space="preserve"> of</w:t>
      </w:r>
      <w:r>
        <w:rPr>
          <w:spacing w:val="4"/>
        </w:rPr>
        <w:t xml:space="preserve"> </w:t>
      </w:r>
      <w:r>
        <w:t xml:space="preserve">the </w:t>
      </w:r>
      <w:r>
        <w:rPr>
          <w:spacing w:val="-1"/>
        </w:rPr>
        <w:t>regulatory</w:t>
      </w:r>
      <w:r>
        <w:t xml:space="preserve"> period,</w:t>
      </w:r>
      <w:r>
        <w:rPr>
          <w:spacing w:val="-6"/>
        </w:rPr>
        <w:t xml:space="preserve"> </w:t>
      </w:r>
      <w:r>
        <w:t xml:space="preserve">the ICRC </w:t>
      </w:r>
      <w:r>
        <w:rPr>
          <w:spacing w:val="-1"/>
        </w:rPr>
        <w:t>indicated</w:t>
      </w:r>
      <w:r>
        <w:t xml:space="preserve"> </w:t>
      </w:r>
      <w:r>
        <w:rPr>
          <w:spacing w:val="-1"/>
        </w:rPr>
        <w:t>that</w:t>
      </w:r>
      <w:r>
        <w:t xml:space="preserve"> it </w:t>
      </w:r>
      <w:r>
        <w:rPr>
          <w:spacing w:val="-1"/>
        </w:rPr>
        <w:t>expected</w:t>
      </w:r>
      <w:r>
        <w:t xml:space="preserve"> to </w:t>
      </w:r>
      <w:r>
        <w:rPr>
          <w:spacing w:val="-1"/>
        </w:rPr>
        <w:t>increase</w:t>
      </w:r>
      <w:r>
        <w:t xml:space="preserve"> the cost of</w:t>
      </w:r>
      <w:r>
        <w:rPr>
          <w:spacing w:val="57"/>
        </w:rPr>
        <w:t xml:space="preserve"> </w:t>
      </w:r>
      <w:r>
        <w:t>equity to 4.4% in 2015-16 and 2016-17 and 6.0% in 2017-18 and 2018-19.</w:t>
      </w: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52" style="width:72.5pt;height:.5pt;mso-position-horizontal-relative:char;mso-position-vertical-relative:line" coordsize="1450,10">
            <v:group id="_x0000_s3353" style="position:absolute;left:5;top:5;width:1440;height:2" coordorigin="5,5" coordsize="1440,2">
              <v:shape id="_x0000_s3354" style="position:absolute;left:5;top:5;width:1440;height:2" coordorigin="5,5" coordsize="1440,0" path="m5,5r1440,e" filled="f" strokeweight=".5pt">
                <v:path arrowok="t"/>
              </v:shape>
            </v:group>
            <w10:wrap type="none"/>
            <w10:anchorlock/>
          </v:group>
        </w:pict>
      </w:r>
    </w:p>
    <w:p w:rsidR="00D96B91" w:rsidRDefault="00C2656B">
      <w:pPr>
        <w:numPr>
          <w:ilvl w:val="0"/>
          <w:numId w:val="118"/>
        </w:numPr>
        <w:tabs>
          <w:tab w:val="left" w:pos="1758"/>
        </w:tabs>
        <w:spacing w:before="45" w:line="192" w:lineRule="exact"/>
        <w:ind w:right="1717" w:hanging="510"/>
        <w:rPr>
          <w:rFonts w:ascii="Avenir Next" w:eastAsia="Avenir Next" w:hAnsi="Avenir Next" w:cs="Avenir Next"/>
          <w:sz w:val="16"/>
          <w:szCs w:val="16"/>
        </w:rPr>
      </w:pPr>
      <w:r>
        <w:rPr>
          <w:rFonts w:ascii="Avenir Next" w:eastAsia="Avenir Next" w:hAnsi="Avenir Next" w:cs="Avenir Next"/>
          <w:sz w:val="16"/>
          <w:szCs w:val="16"/>
        </w:rPr>
        <w:t xml:space="preserve">An ‘unders’ or </w:t>
      </w:r>
      <w:r>
        <w:rPr>
          <w:rFonts w:ascii="Avenir Next" w:eastAsia="Avenir Next" w:hAnsi="Avenir Next" w:cs="Avenir Next"/>
          <w:spacing w:val="-1"/>
          <w:sz w:val="16"/>
          <w:szCs w:val="16"/>
        </w:rPr>
        <w:t>‘overs’</w:t>
      </w:r>
      <w:r>
        <w:rPr>
          <w:rFonts w:ascii="Avenir Next" w:eastAsia="Avenir Next" w:hAnsi="Avenir Next" w:cs="Avenir Next"/>
          <w:sz w:val="16"/>
          <w:szCs w:val="16"/>
        </w:rPr>
        <w:t xml:space="preserve"> mechanism involves adjusting </w:t>
      </w:r>
      <w:r>
        <w:rPr>
          <w:rFonts w:ascii="Avenir Next" w:eastAsia="Avenir Next" w:hAnsi="Avenir Next" w:cs="Avenir Next"/>
          <w:spacing w:val="-1"/>
          <w:sz w:val="16"/>
          <w:szCs w:val="16"/>
        </w:rPr>
        <w:t>future</w:t>
      </w:r>
      <w:r>
        <w:rPr>
          <w:rFonts w:ascii="Avenir Next" w:eastAsia="Avenir Next" w:hAnsi="Avenir Next" w:cs="Avenir Next"/>
          <w:sz w:val="16"/>
          <w:szCs w:val="16"/>
        </w:rPr>
        <w:t xml:space="preserve"> prices to </w:t>
      </w:r>
      <w:r>
        <w:rPr>
          <w:rFonts w:ascii="Avenir Next" w:eastAsia="Avenir Next" w:hAnsi="Avenir Next" w:cs="Avenir Next"/>
          <w:spacing w:val="-1"/>
          <w:sz w:val="16"/>
          <w:szCs w:val="16"/>
        </w:rPr>
        <w:t>generate</w:t>
      </w:r>
      <w:r>
        <w:rPr>
          <w:rFonts w:ascii="Avenir Next" w:eastAsia="Avenir Next" w:hAnsi="Avenir Next" w:cs="Avenir Next"/>
          <w:sz w:val="16"/>
          <w:szCs w:val="16"/>
        </w:rPr>
        <w:t xml:space="preserve"> a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offset</w:t>
      </w:r>
      <w:r>
        <w:rPr>
          <w:rFonts w:ascii="Avenir Next" w:eastAsia="Avenir Next" w:hAnsi="Avenir Next" w:cs="Avenir Next"/>
          <w:sz w:val="16"/>
          <w:szCs w:val="16"/>
        </w:rPr>
        <w:t xml:space="preserve"> to counterbalance the</w:t>
      </w:r>
      <w:r>
        <w:rPr>
          <w:rFonts w:ascii="Avenir Next" w:eastAsia="Avenir Next" w:hAnsi="Avenir Next" w:cs="Avenir Next"/>
          <w:spacing w:val="29"/>
          <w:sz w:val="16"/>
          <w:szCs w:val="16"/>
        </w:rPr>
        <w:t xml:space="preserv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consequences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failure</w:t>
      </w:r>
      <w:r>
        <w:rPr>
          <w:rFonts w:ascii="Avenir Next" w:eastAsia="Avenir Next" w:hAnsi="Avenir Next" w:cs="Avenir Next"/>
          <w:sz w:val="16"/>
          <w:szCs w:val="16"/>
        </w:rPr>
        <w:t xml:space="preserve"> to </w:t>
      </w:r>
      <w:r>
        <w:rPr>
          <w:rFonts w:ascii="Avenir Next" w:eastAsia="Avenir Next" w:hAnsi="Avenir Next" w:cs="Avenir Next"/>
          <w:spacing w:val="-1"/>
          <w:sz w:val="16"/>
          <w:szCs w:val="16"/>
        </w:rPr>
        <w:t>accurately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foresee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future</w:t>
      </w:r>
      <w:r>
        <w:rPr>
          <w:rFonts w:ascii="Avenir Next" w:eastAsia="Avenir Next" w:hAnsi="Avenir Next" w:cs="Avenir Next"/>
          <w:sz w:val="16"/>
          <w:szCs w:val="16"/>
        </w:rPr>
        <w:t xml:space="preserve"> costs or demand.</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6"/>
        <w:numPr>
          <w:ilvl w:val="2"/>
          <w:numId w:val="117"/>
        </w:numPr>
        <w:tabs>
          <w:tab w:val="left" w:pos="2098"/>
        </w:tabs>
        <w:spacing w:before="9"/>
        <w:ind w:hanging="850"/>
      </w:pPr>
      <w:r>
        <w:rPr>
          <w:color w:val="0778BE"/>
          <w:spacing w:val="-4"/>
        </w:rPr>
        <w:t>Treatment</w:t>
      </w:r>
      <w:r>
        <w:rPr>
          <w:color w:val="0778BE"/>
        </w:rPr>
        <w:t xml:space="preserve"> of</w:t>
      </w:r>
      <w:r>
        <w:rPr>
          <w:color w:val="0778BE"/>
          <w:spacing w:val="5"/>
        </w:rPr>
        <w:t xml:space="preserve"> </w:t>
      </w:r>
      <w:r>
        <w:rPr>
          <w:color w:val="0778BE"/>
          <w:spacing w:val="-1"/>
        </w:rPr>
        <w:t>water</w:t>
      </w:r>
      <w:r>
        <w:rPr>
          <w:color w:val="0778BE"/>
        </w:rPr>
        <w:t xml:space="preserve"> security </w:t>
      </w:r>
      <w:r>
        <w:rPr>
          <w:color w:val="0778BE"/>
          <w:spacing w:val="-1"/>
        </w:rPr>
        <w:t>project</w:t>
      </w:r>
      <w:r>
        <w:rPr>
          <w:color w:val="0778BE"/>
        </w:rPr>
        <w:t xml:space="preserve"> costs</w:t>
      </w:r>
    </w:p>
    <w:p w:rsidR="00D96B91" w:rsidRDefault="00C2656B">
      <w:pPr>
        <w:pStyle w:val="BodyText"/>
        <w:spacing w:before="21" w:line="260" w:lineRule="exact"/>
        <w:ind w:right="1301"/>
        <w:rPr>
          <w:sz w:val="11"/>
          <w:szCs w:val="11"/>
        </w:rPr>
      </w:pPr>
      <w:r>
        <w:rPr>
          <w:spacing w:val="-2"/>
        </w:rPr>
        <w:t>The</w:t>
      </w:r>
      <w:r>
        <w:rPr>
          <w:spacing w:val="-1"/>
        </w:rPr>
        <w:t xml:space="preserve"> </w:t>
      </w:r>
      <w:r>
        <w:t>ICRC</w:t>
      </w:r>
      <w:r>
        <w:rPr>
          <w:spacing w:val="-1"/>
        </w:rPr>
        <w:t xml:space="preserve"> considered</w:t>
      </w:r>
      <w:r>
        <w:t xml:space="preserve"> </w:t>
      </w:r>
      <w:r>
        <w:rPr>
          <w:spacing w:val="-1"/>
        </w:rPr>
        <w:t xml:space="preserve">several </w:t>
      </w:r>
      <w:r>
        <w:t>options</w:t>
      </w:r>
      <w:r>
        <w:rPr>
          <w:spacing w:val="-1"/>
        </w:rPr>
        <w:t xml:space="preserve"> </w:t>
      </w:r>
      <w:r>
        <w:t>for the</w:t>
      </w:r>
      <w:r>
        <w:rPr>
          <w:spacing w:val="-1"/>
        </w:rPr>
        <w:t xml:space="preserve"> treatment </w:t>
      </w:r>
      <w:r>
        <w:t>of</w:t>
      </w:r>
      <w:r>
        <w:rPr>
          <w:spacing w:val="3"/>
        </w:rPr>
        <w:t xml:space="preserve"> </w:t>
      </w:r>
      <w:r>
        <w:t>the significant</w:t>
      </w:r>
      <w:r>
        <w:rPr>
          <w:spacing w:val="-1"/>
        </w:rPr>
        <w:t xml:space="preserve"> </w:t>
      </w:r>
      <w:r>
        <w:t>capital</w:t>
      </w:r>
      <w:r>
        <w:rPr>
          <w:spacing w:val="-1"/>
        </w:rPr>
        <w:t xml:space="preserve"> </w:t>
      </w:r>
      <w:r>
        <w:t>costs</w:t>
      </w:r>
      <w:r>
        <w:rPr>
          <w:spacing w:val="-4"/>
        </w:rPr>
        <w:t xml:space="preserve"> </w:t>
      </w:r>
      <w:r>
        <w:rPr>
          <w:spacing w:val="-2"/>
        </w:rPr>
        <w:t>ACTEW</w:t>
      </w:r>
      <w:r>
        <w:rPr>
          <w:spacing w:val="-4"/>
        </w:rPr>
        <w:t xml:space="preserve"> </w:t>
      </w:r>
      <w:r>
        <w:t>invested</w:t>
      </w:r>
      <w:r>
        <w:rPr>
          <w:spacing w:val="35"/>
        </w:rPr>
        <w:t xml:space="preserve"> </w:t>
      </w:r>
      <w:r>
        <w:t xml:space="preserve">in </w:t>
      </w:r>
      <w:r>
        <w:rPr>
          <w:spacing w:val="-1"/>
        </w:rPr>
        <w:t>water</w:t>
      </w:r>
      <w:r>
        <w:t xml:space="preserve"> security </w:t>
      </w:r>
      <w:r>
        <w:rPr>
          <w:spacing w:val="-1"/>
        </w:rPr>
        <w:t>projects</w:t>
      </w:r>
      <w:r>
        <w:t xml:space="preserve"> over the </w:t>
      </w:r>
      <w:r>
        <w:rPr>
          <w:spacing w:val="-1"/>
        </w:rPr>
        <w:t>previous</w:t>
      </w:r>
      <w:r>
        <w:t xml:space="preserve"> </w:t>
      </w:r>
      <w:r>
        <w:rPr>
          <w:spacing w:val="-1"/>
        </w:rPr>
        <w:t>regulatory</w:t>
      </w:r>
      <w:r>
        <w:t xml:space="preserve"> period (see section 2.3 above),</w:t>
      </w:r>
      <w:r>
        <w:rPr>
          <w:spacing w:val="-7"/>
        </w:rPr>
        <w:t xml:space="preserve"> </w:t>
      </w:r>
      <w:r>
        <w:t xml:space="preserve">so as to </w:t>
      </w:r>
      <w:r>
        <w:rPr>
          <w:spacing w:val="-1"/>
        </w:rPr>
        <w:t>recover</w:t>
      </w:r>
      <w:r>
        <w:rPr>
          <w:spacing w:val="37"/>
        </w:rPr>
        <w:t xml:space="preserve"> </w:t>
      </w:r>
      <w:r>
        <w:t xml:space="preserve">these costs in a manner consistent with </w:t>
      </w:r>
      <w:r>
        <w:rPr>
          <w:spacing w:val="-1"/>
        </w:rPr>
        <w:t>intergenerational</w:t>
      </w:r>
      <w:r>
        <w:t xml:space="preserve"> </w:t>
      </w:r>
      <w:r>
        <w:rPr>
          <w:spacing w:val="-2"/>
        </w:rPr>
        <w:t>equity.</w:t>
      </w:r>
      <w:r>
        <w:rPr>
          <w:spacing w:val="-6"/>
        </w:rPr>
        <w:t xml:space="preserve"> </w:t>
      </w:r>
      <w:r>
        <w:rPr>
          <w:spacing w:val="-2"/>
        </w:rPr>
        <w:t>However,</w:t>
      </w:r>
      <w:r>
        <w:rPr>
          <w:spacing w:val="-6"/>
        </w:rPr>
        <w:t xml:space="preserve"> </w:t>
      </w:r>
      <w:r>
        <w:t>it decided against using any</w:t>
      </w:r>
      <w:r>
        <w:rPr>
          <w:spacing w:val="41"/>
        </w:rPr>
        <w:t xml:space="preserve"> </w:t>
      </w:r>
      <w:r>
        <w:t>of</w:t>
      </w:r>
      <w:r>
        <w:rPr>
          <w:spacing w:val="3"/>
        </w:rPr>
        <w:t xml:space="preserve"> </w:t>
      </w:r>
      <w:r>
        <w:t>the</w:t>
      </w:r>
      <w:r>
        <w:rPr>
          <w:spacing w:val="-1"/>
        </w:rPr>
        <w:t xml:space="preserve"> </w:t>
      </w:r>
      <w:r>
        <w:t>‘fair cost</w:t>
      </w:r>
      <w:r>
        <w:rPr>
          <w:spacing w:val="-1"/>
        </w:rPr>
        <w:t xml:space="preserve"> recovery’</w:t>
      </w:r>
      <w:r>
        <w:t xml:space="preserve"> (FCR)</w:t>
      </w:r>
      <w:r>
        <w:rPr>
          <w:spacing w:val="-1"/>
        </w:rPr>
        <w:t xml:space="preserve"> </w:t>
      </w:r>
      <w:r>
        <w:t>options identified</w:t>
      </w:r>
      <w:r>
        <w:rPr>
          <w:spacing w:val="-1"/>
        </w:rPr>
        <w:t xml:space="preserve"> </w:t>
      </w:r>
      <w:r>
        <w:t>in its</w:t>
      </w:r>
      <w:r>
        <w:rPr>
          <w:spacing w:val="-1"/>
        </w:rPr>
        <w:t xml:space="preserve"> </w:t>
      </w:r>
      <w:r>
        <w:rPr>
          <w:spacing w:val="-2"/>
        </w:rPr>
        <w:t>draft</w:t>
      </w:r>
      <w:r>
        <w:t xml:space="preserve"> </w:t>
      </w:r>
      <w:r>
        <w:rPr>
          <w:spacing w:val="-1"/>
        </w:rPr>
        <w:t>report.</w:t>
      </w:r>
      <w:r>
        <w:rPr>
          <w:spacing w:val="-7"/>
        </w:rPr>
        <w:t xml:space="preserve"> </w:t>
      </w:r>
      <w:r>
        <w:rPr>
          <w:spacing w:val="-1"/>
        </w:rPr>
        <w:t>Instead,</w:t>
      </w:r>
      <w:r>
        <w:rPr>
          <w:spacing w:val="-6"/>
        </w:rPr>
        <w:t xml:space="preserve"> </w:t>
      </w:r>
      <w:r>
        <w:t>it</w:t>
      </w:r>
      <w:r>
        <w:rPr>
          <w:spacing w:val="-1"/>
        </w:rPr>
        <w:t xml:space="preserve"> </w:t>
      </w:r>
      <w:r>
        <w:t>decided to</w:t>
      </w:r>
      <w:r>
        <w:rPr>
          <w:spacing w:val="-1"/>
        </w:rPr>
        <w:t xml:space="preserve"> </w:t>
      </w:r>
      <w:r>
        <w:rPr>
          <w:rFonts w:cs="Avenir Next"/>
          <w:b/>
          <w:bCs/>
          <w:spacing w:val="-1"/>
        </w:rPr>
        <w:t>extend</w:t>
      </w:r>
      <w:r>
        <w:rPr>
          <w:rFonts w:cs="Avenir Next"/>
          <w:b/>
          <w:bCs/>
        </w:rPr>
        <w:t xml:space="preserve"> the</w:t>
      </w:r>
      <w:r>
        <w:rPr>
          <w:rFonts w:cs="Avenir Next"/>
          <w:b/>
          <w:bCs/>
          <w:spacing w:val="39"/>
        </w:rPr>
        <w:t xml:space="preserve"> </w:t>
      </w:r>
      <w:r>
        <w:rPr>
          <w:rFonts w:cs="Avenir Next"/>
          <w:b/>
          <w:bCs/>
        </w:rPr>
        <w:t>economic life of</w:t>
      </w:r>
      <w:r>
        <w:rPr>
          <w:rFonts w:cs="Avenir Next"/>
          <w:b/>
          <w:bCs/>
          <w:spacing w:val="4"/>
        </w:rPr>
        <w:t xml:space="preserve"> </w:t>
      </w:r>
      <w:r>
        <w:rPr>
          <w:rFonts w:cs="Avenir Next"/>
          <w:b/>
          <w:bCs/>
        </w:rPr>
        <w:t xml:space="preserve">the ECD </w:t>
      </w:r>
      <w:r>
        <w:rPr>
          <w:spacing w:val="-1"/>
        </w:rPr>
        <w:t>from</w:t>
      </w:r>
      <w:r>
        <w:t xml:space="preserve"> 66 </w:t>
      </w:r>
      <w:r>
        <w:rPr>
          <w:spacing w:val="-1"/>
        </w:rPr>
        <w:t>years</w:t>
      </w:r>
      <w:r>
        <w:t xml:space="preserve"> to 100 </w:t>
      </w:r>
      <w:r>
        <w:rPr>
          <w:spacing w:val="-1"/>
        </w:rPr>
        <w:t>years,</w:t>
      </w:r>
      <w:r>
        <w:rPr>
          <w:spacing w:val="-6"/>
        </w:rPr>
        <w:t xml:space="preserve"> </w:t>
      </w:r>
      <w:r>
        <w:t xml:space="preserve">and to ‘transfer’ the </w:t>
      </w:r>
      <w:r>
        <w:rPr>
          <w:spacing w:val="-1"/>
        </w:rPr>
        <w:t>intergenerational</w:t>
      </w:r>
      <w:r>
        <w:t xml:space="preserve"> equity issue</w:t>
      </w:r>
      <w:r>
        <w:rPr>
          <w:spacing w:val="33"/>
        </w:rPr>
        <w:t xml:space="preserve"> </w:t>
      </w:r>
      <w:r>
        <w:t>back the</w:t>
      </w:r>
      <w:r>
        <w:rPr>
          <w:spacing w:val="-3"/>
        </w:rPr>
        <w:t xml:space="preserve"> </w:t>
      </w:r>
      <w:r>
        <w:rPr>
          <w:spacing w:val="-2"/>
        </w:rPr>
        <w:t>ACT</w:t>
      </w:r>
      <w:r>
        <w:rPr>
          <w:spacing w:val="-5"/>
        </w:rPr>
        <w:t xml:space="preserve"> </w:t>
      </w:r>
      <w:r>
        <w:t>Government</w:t>
      </w:r>
      <w:r>
        <w:rPr>
          <w:spacing w:val="1"/>
        </w:rPr>
        <w:t xml:space="preserve"> </w:t>
      </w:r>
      <w:r>
        <w:t xml:space="preserve">by </w:t>
      </w:r>
      <w:r>
        <w:rPr>
          <w:spacing w:val="-1"/>
        </w:rPr>
        <w:t>reducing</w:t>
      </w:r>
      <w:r>
        <w:rPr>
          <w:spacing w:val="1"/>
        </w:rPr>
        <w:t xml:space="preserve"> </w:t>
      </w:r>
      <w:r>
        <w:t>the</w:t>
      </w:r>
      <w:r>
        <w:rPr>
          <w:spacing w:val="1"/>
        </w:rPr>
        <w:t xml:space="preserve"> </w:t>
      </w:r>
      <w:r>
        <w:t>cost of</w:t>
      </w:r>
      <w:r>
        <w:rPr>
          <w:spacing w:val="5"/>
        </w:rPr>
        <w:t xml:space="preserve"> </w:t>
      </w:r>
      <w:r>
        <w:t>equity used</w:t>
      </w:r>
      <w:r>
        <w:rPr>
          <w:spacing w:val="1"/>
        </w:rPr>
        <w:t xml:space="preserve"> </w:t>
      </w:r>
      <w:r>
        <w:t>to</w:t>
      </w:r>
      <w:r>
        <w:rPr>
          <w:spacing w:val="1"/>
        </w:rPr>
        <w:t xml:space="preserve"> </w:t>
      </w:r>
      <w:r>
        <w:t xml:space="preserve">derive </w:t>
      </w:r>
      <w:r>
        <w:rPr>
          <w:spacing w:val="-1"/>
        </w:rPr>
        <w:t>prices.</w:t>
      </w:r>
      <w:r>
        <w:rPr>
          <w:spacing w:val="-1"/>
          <w:position w:val="7"/>
          <w:sz w:val="11"/>
          <w:szCs w:val="11"/>
        </w:rPr>
        <w:t>15</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7"/>
        </w:numPr>
        <w:tabs>
          <w:tab w:val="left" w:pos="2098"/>
        </w:tabs>
        <w:ind w:hanging="850"/>
      </w:pPr>
      <w:r>
        <w:rPr>
          <w:color w:val="0778BE"/>
          <w:spacing w:val="-3"/>
        </w:rPr>
        <w:t>Water</w:t>
      </w:r>
      <w:r>
        <w:rPr>
          <w:color w:val="0778BE"/>
        </w:rPr>
        <w:t xml:space="preserve"> sales </w:t>
      </w:r>
      <w:r>
        <w:rPr>
          <w:color w:val="0778BE"/>
          <w:spacing w:val="-1"/>
        </w:rPr>
        <w:t>forecasts</w:t>
      </w:r>
    </w:p>
    <w:p w:rsidR="00D96B91" w:rsidRDefault="00C2656B">
      <w:pPr>
        <w:pStyle w:val="BodyText"/>
        <w:spacing w:before="21" w:line="260" w:lineRule="exact"/>
        <w:ind w:right="1256"/>
      </w:pPr>
      <w:r>
        <w:rPr>
          <w:rFonts w:cs="Avenir Next"/>
          <w:spacing w:val="-10"/>
        </w:rPr>
        <w:t>To</w:t>
      </w:r>
      <w:r>
        <w:rPr>
          <w:rFonts w:cs="Avenir Next"/>
        </w:rPr>
        <w:t xml:space="preserve"> </w:t>
      </w:r>
      <w:r>
        <w:rPr>
          <w:rFonts w:cs="Avenir Next"/>
          <w:spacing w:val="-1"/>
        </w:rPr>
        <w:t>convert</w:t>
      </w:r>
      <w:r>
        <w:rPr>
          <w:rFonts w:cs="Avenir Next"/>
        </w:rPr>
        <w:t xml:space="preserve"> the </w:t>
      </w:r>
      <w:r>
        <w:rPr>
          <w:rFonts w:cs="Avenir Next"/>
          <w:spacing w:val="-1"/>
        </w:rPr>
        <w:t>revenue</w:t>
      </w:r>
      <w:r>
        <w:rPr>
          <w:rFonts w:cs="Avenir Next"/>
        </w:rPr>
        <w:t xml:space="preserve"> </w:t>
      </w:r>
      <w:r>
        <w:rPr>
          <w:rFonts w:cs="Avenir Next"/>
          <w:spacing w:val="-1"/>
        </w:rPr>
        <w:t>requirement</w:t>
      </w:r>
      <w:r>
        <w:rPr>
          <w:rFonts w:cs="Avenir Next"/>
        </w:rPr>
        <w:t xml:space="preserve"> into prices,</w:t>
      </w:r>
      <w:r>
        <w:rPr>
          <w:rFonts w:cs="Avenir Next"/>
          <w:spacing w:val="-6"/>
        </w:rPr>
        <w:t xml:space="preserve"> </w:t>
      </w:r>
      <w:r>
        <w:rPr>
          <w:rFonts w:cs="Avenir Next"/>
        </w:rPr>
        <w:t xml:space="preserve">the ICRC decided to adopt a </w:t>
      </w:r>
      <w:r>
        <w:rPr>
          <w:rFonts w:cs="Avenir Next"/>
          <w:b/>
          <w:bCs/>
          <w:spacing w:val="-1"/>
        </w:rPr>
        <w:t>conservative</w:t>
      </w:r>
      <w:r>
        <w:rPr>
          <w:rFonts w:cs="Avenir Next"/>
          <w:b/>
          <w:bCs/>
        </w:rPr>
        <w:t xml:space="preserve"> </w:t>
      </w:r>
      <w:r>
        <w:rPr>
          <w:rFonts w:cs="Avenir Next"/>
          <w:b/>
          <w:bCs/>
          <w:spacing w:val="-1"/>
        </w:rPr>
        <w:t>water</w:t>
      </w:r>
      <w:r>
        <w:rPr>
          <w:rFonts w:cs="Avenir Next"/>
          <w:b/>
          <w:bCs/>
        </w:rPr>
        <w:t xml:space="preserve"> sales</w:t>
      </w:r>
      <w:r>
        <w:rPr>
          <w:rFonts w:cs="Avenir Next"/>
          <w:b/>
          <w:bCs/>
          <w:spacing w:val="45"/>
        </w:rPr>
        <w:t xml:space="preserve"> </w:t>
      </w:r>
      <w:r>
        <w:rPr>
          <w:rFonts w:cs="Avenir Next"/>
          <w:b/>
          <w:bCs/>
          <w:spacing w:val="-1"/>
        </w:rPr>
        <w:t xml:space="preserve">forecast </w:t>
      </w:r>
      <w:r>
        <w:t>of</w:t>
      </w:r>
      <w:r>
        <w:rPr>
          <w:spacing w:val="4"/>
        </w:rPr>
        <w:t xml:space="preserve"> </w:t>
      </w:r>
      <w:r>
        <w:t>38 GL</w:t>
      </w:r>
      <w:r>
        <w:rPr>
          <w:spacing w:val="-5"/>
        </w:rPr>
        <w:t xml:space="preserve"> </w:t>
      </w:r>
      <w:r>
        <w:t>per annum</w:t>
      </w:r>
      <w:r>
        <w:rPr>
          <w:spacing w:val="-1"/>
        </w:rPr>
        <w:t xml:space="preserve"> </w:t>
      </w:r>
      <w:r>
        <w:t xml:space="preserve">for the first two </w:t>
      </w:r>
      <w:r>
        <w:rPr>
          <w:spacing w:val="-1"/>
        </w:rPr>
        <w:t xml:space="preserve">years </w:t>
      </w:r>
      <w:r>
        <w:t>of</w:t>
      </w:r>
      <w:r>
        <w:rPr>
          <w:spacing w:val="4"/>
        </w:rPr>
        <w:t xml:space="preserve"> </w:t>
      </w:r>
      <w:r>
        <w:t xml:space="preserve">the </w:t>
      </w:r>
      <w:r>
        <w:rPr>
          <w:spacing w:val="-1"/>
        </w:rPr>
        <w:t>regulatory</w:t>
      </w:r>
      <w:r>
        <w:t xml:space="preserve"> period to </w:t>
      </w:r>
      <w:r>
        <w:rPr>
          <w:spacing w:val="-1"/>
        </w:rPr>
        <w:t>ensure that</w:t>
      </w:r>
      <w:r>
        <w:rPr>
          <w:spacing w:val="-4"/>
        </w:rPr>
        <w:t xml:space="preserve"> </w:t>
      </w:r>
      <w:r>
        <w:rPr>
          <w:spacing w:val="-2"/>
        </w:rPr>
        <w:t>ACTEW</w:t>
      </w:r>
      <w:r>
        <w:rPr>
          <w:spacing w:val="39"/>
        </w:rPr>
        <w:t xml:space="preserve"> </w:t>
      </w:r>
      <w:r>
        <w:rPr>
          <w:spacing w:val="-1"/>
        </w:rPr>
        <w:t>received</w:t>
      </w:r>
      <w:r>
        <w:t xml:space="preserve"> </w:t>
      </w:r>
      <w:r>
        <w:rPr>
          <w:spacing w:val="-1"/>
        </w:rPr>
        <w:t>“adequate</w:t>
      </w:r>
      <w:r>
        <w:t xml:space="preserve"> </w:t>
      </w:r>
      <w:r>
        <w:rPr>
          <w:spacing w:val="-1"/>
        </w:rPr>
        <w:t>revenue”</w:t>
      </w:r>
      <w:r>
        <w:rPr>
          <w:spacing w:val="1"/>
        </w:rPr>
        <w:t xml:space="preserve"> </w:t>
      </w:r>
      <w:r>
        <w:t>in these</w:t>
      </w:r>
      <w:r>
        <w:rPr>
          <w:spacing w:val="1"/>
        </w:rPr>
        <w:t xml:space="preserve"> </w:t>
      </w:r>
      <w:r>
        <w:t xml:space="preserve">two </w:t>
      </w:r>
      <w:r>
        <w:rPr>
          <w:spacing w:val="-1"/>
        </w:rPr>
        <w:t>years.</w:t>
      </w:r>
      <w:r>
        <w:rPr>
          <w:spacing w:val="-1"/>
          <w:position w:val="7"/>
          <w:sz w:val="11"/>
          <w:szCs w:val="11"/>
        </w:rPr>
        <w:t>16</w:t>
      </w:r>
      <w:r>
        <w:rPr>
          <w:spacing w:val="18"/>
          <w:position w:val="7"/>
          <w:sz w:val="11"/>
          <w:szCs w:val="11"/>
        </w:rPr>
        <w:t xml:space="preserve"> </w:t>
      </w:r>
      <w:r>
        <w:rPr>
          <w:spacing w:val="-1"/>
        </w:rPr>
        <w:t>This</w:t>
      </w:r>
      <w:r>
        <w:t xml:space="preserve"> was</w:t>
      </w:r>
      <w:r>
        <w:rPr>
          <w:spacing w:val="1"/>
        </w:rPr>
        <w:t xml:space="preserve"> </w:t>
      </w:r>
      <w:r>
        <w:rPr>
          <w:spacing w:val="-1"/>
        </w:rPr>
        <w:t>around</w:t>
      </w:r>
      <w:r>
        <w:t xml:space="preserve"> 2</w:t>
      </w:r>
      <w:r>
        <w:rPr>
          <w:spacing w:val="1"/>
        </w:rPr>
        <w:t xml:space="preserve"> </w:t>
      </w:r>
      <w:r>
        <w:t>GL</w:t>
      </w:r>
      <w:r>
        <w:rPr>
          <w:spacing w:val="-5"/>
        </w:rPr>
        <w:t xml:space="preserve"> </w:t>
      </w:r>
      <w:r>
        <w:t>lower</w:t>
      </w:r>
      <w:r>
        <w:rPr>
          <w:spacing w:val="1"/>
        </w:rPr>
        <w:t xml:space="preserve"> </w:t>
      </w:r>
      <w:r>
        <w:t>than</w:t>
      </w:r>
      <w:r>
        <w:rPr>
          <w:spacing w:val="-4"/>
        </w:rPr>
        <w:t xml:space="preserve"> </w:t>
      </w:r>
      <w:r>
        <w:rPr>
          <w:spacing w:val="-2"/>
        </w:rPr>
        <w:t>ACTEW’s</w:t>
      </w:r>
      <w:r>
        <w:t xml:space="preserve"> </w:t>
      </w:r>
      <w:r>
        <w:rPr>
          <w:spacing w:val="-1"/>
        </w:rPr>
        <w:t>proposal</w:t>
      </w:r>
      <w:r>
        <w:rPr>
          <w:spacing w:val="43"/>
        </w:rPr>
        <w:t xml:space="preserve"> </w:t>
      </w:r>
      <w:r>
        <w:t>for</w:t>
      </w:r>
      <w:r>
        <w:rPr>
          <w:spacing w:val="-1"/>
        </w:rPr>
        <w:t xml:space="preserve"> </w:t>
      </w:r>
      <w:r>
        <w:t>the first</w:t>
      </w:r>
      <w:r>
        <w:rPr>
          <w:spacing w:val="-1"/>
        </w:rPr>
        <w:t xml:space="preserve"> year</w:t>
      </w:r>
      <w:r>
        <w:t xml:space="preserve"> of</w:t>
      </w:r>
      <w:r>
        <w:rPr>
          <w:spacing w:val="3"/>
        </w:rPr>
        <w:t xml:space="preserve"> </w:t>
      </w:r>
      <w:r>
        <w:t xml:space="preserve">the </w:t>
      </w:r>
      <w:r>
        <w:rPr>
          <w:spacing w:val="-1"/>
        </w:rPr>
        <w:t>regulatory</w:t>
      </w:r>
      <w:r>
        <w:t xml:space="preserve"> period</w:t>
      </w:r>
      <w:r>
        <w:rPr>
          <w:spacing w:val="-1"/>
        </w:rPr>
        <w:t xml:space="preserve"> </w:t>
      </w:r>
      <w:r>
        <w:t>(2013-14).</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7"/>
        </w:numPr>
        <w:tabs>
          <w:tab w:val="left" w:pos="2098"/>
        </w:tabs>
        <w:ind w:hanging="850"/>
      </w:pPr>
      <w:r>
        <w:rPr>
          <w:color w:val="0778BE"/>
          <w:spacing w:val="-1"/>
        </w:rPr>
        <w:t>Interrelationship</w:t>
      </w:r>
      <w:r>
        <w:rPr>
          <w:color w:val="0778BE"/>
        </w:rPr>
        <w:t xml:space="preserve"> between various aspects of</w:t>
      </w:r>
      <w:r>
        <w:rPr>
          <w:color w:val="0778BE"/>
          <w:spacing w:val="5"/>
        </w:rPr>
        <w:t xml:space="preserve"> </w:t>
      </w:r>
      <w:r>
        <w:rPr>
          <w:color w:val="0778BE"/>
        </w:rPr>
        <w:t xml:space="preserve">the </w:t>
      </w:r>
      <w:r>
        <w:rPr>
          <w:color w:val="0778BE"/>
          <w:spacing w:val="-2"/>
        </w:rPr>
        <w:t>ICRC’s</w:t>
      </w:r>
      <w:r>
        <w:rPr>
          <w:color w:val="0778BE"/>
        </w:rPr>
        <w:t xml:space="preserve"> decisions</w:t>
      </w:r>
    </w:p>
    <w:p w:rsidR="00D96B91" w:rsidRDefault="00C2656B">
      <w:pPr>
        <w:spacing w:before="21" w:line="260" w:lineRule="exact"/>
        <w:ind w:left="1247" w:right="1299"/>
        <w:rPr>
          <w:rFonts w:ascii="Avenir Next" w:eastAsia="Avenir Next" w:hAnsi="Avenir Next" w:cs="Avenir Next"/>
          <w:sz w:val="11"/>
          <w:szCs w:val="11"/>
        </w:rPr>
      </w:pPr>
      <w:r>
        <w:rPr>
          <w:rFonts w:ascii="Avenir Next" w:eastAsia="Avenir Next" w:hAnsi="Avenir Next" w:cs="Avenir Next"/>
          <w:spacing w:val="-2"/>
          <w:sz w:val="20"/>
          <w:szCs w:val="20"/>
        </w:rPr>
        <w:t>The</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 xml:space="preserve">following </w:t>
      </w:r>
      <w:r>
        <w:rPr>
          <w:rFonts w:ascii="Avenir Next" w:eastAsia="Avenir Next" w:hAnsi="Avenir Next" w:cs="Avenir Next"/>
          <w:spacing w:val="-1"/>
          <w:sz w:val="20"/>
          <w:szCs w:val="20"/>
        </w:rPr>
        <w:t>extracts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from</w:t>
      </w:r>
      <w:r>
        <w:rPr>
          <w:rFonts w:ascii="Avenir Next" w:eastAsia="Avenir Next" w:hAnsi="Avenir Next" w:cs="Avenir Next"/>
          <w:sz w:val="20"/>
          <w:szCs w:val="20"/>
        </w:rPr>
        <w:t xml:space="preserve"> the</w:t>
      </w:r>
      <w:r>
        <w:rPr>
          <w:rFonts w:ascii="Avenir Next" w:eastAsia="Avenir Next" w:hAnsi="Avenir Next" w:cs="Avenir Next"/>
          <w:spacing w:val="-1"/>
          <w:sz w:val="20"/>
          <w:szCs w:val="20"/>
        </w:rPr>
        <w:t xml:space="preserve"> </w:t>
      </w:r>
      <w:r>
        <w:rPr>
          <w:rFonts w:ascii="Avenir Next" w:eastAsia="Avenir Next" w:hAnsi="Avenir Next" w:cs="Avenir Next"/>
          <w:spacing w:val="-2"/>
          <w:sz w:val="20"/>
          <w:szCs w:val="20"/>
        </w:rPr>
        <w:t>ICRC’s</w:t>
      </w:r>
      <w:r>
        <w:rPr>
          <w:rFonts w:ascii="Avenir Next" w:eastAsia="Avenir Next" w:hAnsi="Avenir Next" w:cs="Avenir Next"/>
          <w:sz w:val="20"/>
          <w:szCs w:val="20"/>
        </w:rPr>
        <w:t xml:space="preserve"> final </w:t>
      </w:r>
      <w:r>
        <w:rPr>
          <w:rFonts w:ascii="Avenir Next" w:eastAsia="Avenir Next" w:hAnsi="Avenir Next" w:cs="Avenir Next"/>
          <w:spacing w:val="-2"/>
          <w:sz w:val="20"/>
          <w:szCs w:val="20"/>
        </w:rPr>
        <w:t>report</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on the original price</w:t>
      </w:r>
      <w:r>
        <w:rPr>
          <w:rFonts w:ascii="Avenir Next" w:eastAsia="Avenir Next" w:hAnsi="Avenir Next" w:cs="Avenir Next"/>
          <w:spacing w:val="-1"/>
          <w:sz w:val="20"/>
          <w:szCs w:val="20"/>
        </w:rPr>
        <w:t xml:space="preserve"> direction</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indicate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that</w:t>
      </w:r>
      <w:r>
        <w:rPr>
          <w:rFonts w:ascii="Avenir Next" w:eastAsia="Avenir Next" w:hAnsi="Avenir Next" w:cs="Avenir Next"/>
          <w:sz w:val="20"/>
          <w:szCs w:val="20"/>
        </w:rPr>
        <w:t xml:space="preserve"> its</w:t>
      </w:r>
      <w:r>
        <w:rPr>
          <w:rFonts w:ascii="Avenir Next" w:eastAsia="Avenir Next" w:hAnsi="Avenir Next" w:cs="Avenir Next"/>
          <w:spacing w:val="51"/>
          <w:sz w:val="20"/>
          <w:szCs w:val="20"/>
        </w:rPr>
        <w:t xml:space="preserve"> </w:t>
      </w:r>
      <w:r>
        <w:rPr>
          <w:rFonts w:ascii="Avenir Next" w:eastAsia="Avenir Next" w:hAnsi="Avenir Next" w:cs="Avenir Next"/>
          <w:sz w:val="20"/>
          <w:szCs w:val="20"/>
        </w:rPr>
        <w:t xml:space="preserve">decisions on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sales </w:t>
      </w:r>
      <w:r>
        <w:rPr>
          <w:rFonts w:ascii="Avenir Next" w:eastAsia="Avenir Next" w:hAnsi="Avenir Next" w:cs="Avenir Next"/>
          <w:b/>
          <w:bCs/>
          <w:spacing w:val="-1"/>
          <w:sz w:val="20"/>
          <w:szCs w:val="20"/>
        </w:rPr>
        <w:t>forecasts,</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1"/>
          <w:sz w:val="20"/>
          <w:szCs w:val="20"/>
        </w:rPr>
        <w:t>treatment</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security </w:t>
      </w:r>
      <w:r>
        <w:rPr>
          <w:rFonts w:ascii="Avenir Next" w:eastAsia="Avenir Next" w:hAnsi="Avenir Next" w:cs="Avenir Next"/>
          <w:b/>
          <w:bCs/>
          <w:spacing w:val="-1"/>
          <w:sz w:val="20"/>
          <w:szCs w:val="20"/>
        </w:rPr>
        <w:t>project</w:t>
      </w:r>
      <w:r>
        <w:rPr>
          <w:rFonts w:ascii="Avenir Next" w:eastAsia="Avenir Next" w:hAnsi="Avenir Next" w:cs="Avenir Next"/>
          <w:b/>
          <w:bCs/>
          <w:sz w:val="20"/>
          <w:szCs w:val="20"/>
        </w:rPr>
        <w:t xml:space="preserve"> costs,</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the cost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equity and</w:t>
      </w:r>
      <w:r>
        <w:rPr>
          <w:rFonts w:ascii="Avenir Next" w:eastAsia="Avenir Next" w:hAnsi="Avenir Next" w:cs="Avenir Next"/>
          <w:b/>
          <w:bCs/>
          <w:spacing w:val="33"/>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2"/>
          <w:sz w:val="20"/>
          <w:szCs w:val="20"/>
        </w:rPr>
        <w:t>rate</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return</w:t>
      </w:r>
      <w:r>
        <w:rPr>
          <w:rFonts w:ascii="Avenir Next" w:eastAsia="Avenir Next" w:hAnsi="Avenir Next" w:cs="Avenir Next"/>
          <w:b/>
          <w:bCs/>
          <w:sz w:val="20"/>
          <w:szCs w:val="20"/>
        </w:rPr>
        <w:t xml:space="preserve"> </w:t>
      </w:r>
      <w:r>
        <w:rPr>
          <w:rFonts w:ascii="Avenir Next" w:eastAsia="Avenir Next" w:hAnsi="Avenir Next" w:cs="Avenir Next"/>
          <w:spacing w:val="-1"/>
          <w:sz w:val="20"/>
          <w:szCs w:val="20"/>
        </w:rPr>
        <w:t>were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interrelated,</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and </w:t>
      </w:r>
      <w:r>
        <w:rPr>
          <w:rFonts w:ascii="Avenir Next" w:eastAsia="Avenir Next" w:hAnsi="Avenir Next" w:cs="Avenir Next"/>
          <w:spacing w:val="-1"/>
          <w:sz w:val="20"/>
          <w:szCs w:val="20"/>
        </w:rPr>
        <w:t>were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expected</w:t>
      </w:r>
      <w:r>
        <w:rPr>
          <w:rFonts w:ascii="Avenir Next" w:eastAsia="Avenir Next" w:hAnsi="Avenir Next" w:cs="Avenir Next"/>
          <w:sz w:val="20"/>
          <w:szCs w:val="20"/>
        </w:rPr>
        <w:t xml:space="preserve"> to shield customers </w:t>
      </w:r>
      <w:r>
        <w:rPr>
          <w:rFonts w:ascii="Avenir Next" w:eastAsia="Avenir Next" w:hAnsi="Avenir Next" w:cs="Avenir Next"/>
          <w:spacing w:val="-1"/>
          <w:sz w:val="20"/>
          <w:szCs w:val="20"/>
        </w:rPr>
        <w:t>from</w:t>
      </w:r>
      <w:r>
        <w:rPr>
          <w:rFonts w:ascii="Avenir Next" w:eastAsia="Avenir Next" w:hAnsi="Avenir Next" w:cs="Avenir Next"/>
          <w:sz w:val="20"/>
          <w:szCs w:val="20"/>
        </w:rPr>
        <w:t xml:space="preserve"> a price shock,</w:t>
      </w:r>
      <w:r>
        <w:rPr>
          <w:rFonts w:ascii="Avenir Next" w:eastAsia="Avenir Next" w:hAnsi="Avenir Next" w:cs="Avenir Next"/>
          <w:spacing w:val="-7"/>
          <w:sz w:val="20"/>
          <w:szCs w:val="20"/>
        </w:rPr>
        <w:t xml:space="preserve"> </w:t>
      </w:r>
      <w:r>
        <w:rPr>
          <w:rFonts w:ascii="Avenir Next" w:eastAsia="Avenir Next" w:hAnsi="Avenir Next" w:cs="Avenir Next"/>
          <w:sz w:val="20"/>
          <w:szCs w:val="20"/>
        </w:rPr>
        <w:t>while</w:t>
      </w:r>
      <w:r>
        <w:rPr>
          <w:rFonts w:ascii="Avenir Next" w:eastAsia="Avenir Next" w:hAnsi="Avenir Next" w:cs="Avenir Next"/>
          <w:spacing w:val="37"/>
          <w:sz w:val="20"/>
          <w:szCs w:val="20"/>
        </w:rPr>
        <w:t xml:space="preserve"> </w:t>
      </w:r>
      <w:r>
        <w:rPr>
          <w:rFonts w:ascii="Avenir Next" w:eastAsia="Avenir Next" w:hAnsi="Avenir Next" w:cs="Avenir Next"/>
          <w:sz w:val="20"/>
          <w:szCs w:val="20"/>
        </w:rPr>
        <w:t>also</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ensuring</w:t>
      </w:r>
      <w:r>
        <w:rPr>
          <w:rFonts w:ascii="Avenir Next" w:eastAsia="Avenir Next" w:hAnsi="Avenir Next" w:cs="Avenir Next"/>
          <w:spacing w:val="-5"/>
          <w:sz w:val="20"/>
          <w:szCs w:val="20"/>
        </w:rPr>
        <w:t xml:space="preserve"> </w:t>
      </w:r>
      <w:r>
        <w:rPr>
          <w:rFonts w:ascii="Avenir Next" w:eastAsia="Avenir Next" w:hAnsi="Avenir Next" w:cs="Avenir Next"/>
          <w:spacing w:val="-2"/>
          <w:sz w:val="20"/>
          <w:szCs w:val="20"/>
        </w:rPr>
        <w:t>ACTEW</w:t>
      </w:r>
      <w:r>
        <w:rPr>
          <w:rFonts w:ascii="Avenir Next" w:eastAsia="Avenir Next" w:hAnsi="Avenir Next" w:cs="Avenir Next"/>
          <w:spacing w:val="-3"/>
          <w:sz w:val="20"/>
          <w:szCs w:val="20"/>
        </w:rPr>
        <w:t xml:space="preserve"> </w:t>
      </w:r>
      <w:r>
        <w:rPr>
          <w:rFonts w:ascii="Avenir Next" w:eastAsia="Avenir Next" w:hAnsi="Avenir Next" w:cs="Avenir Next"/>
          <w:spacing w:val="-1"/>
          <w:sz w:val="20"/>
          <w:szCs w:val="20"/>
        </w:rPr>
        <w:t xml:space="preserve">remained </w:t>
      </w:r>
      <w:r>
        <w:rPr>
          <w:rFonts w:ascii="Avenir Next" w:eastAsia="Avenir Next" w:hAnsi="Avenir Next" w:cs="Avenir Next"/>
          <w:sz w:val="20"/>
          <w:szCs w:val="20"/>
        </w:rPr>
        <w:t xml:space="preserve">financially </w:t>
      </w:r>
      <w:r>
        <w:rPr>
          <w:rFonts w:ascii="Avenir Next" w:eastAsia="Avenir Next" w:hAnsi="Avenir Next" w:cs="Avenir Next"/>
          <w:spacing w:val="-1"/>
          <w:sz w:val="20"/>
          <w:szCs w:val="20"/>
        </w:rPr>
        <w:t>viable:</w:t>
      </w:r>
      <w:r>
        <w:rPr>
          <w:rFonts w:ascii="Avenir Next" w:eastAsia="Avenir Next" w:hAnsi="Avenir Next" w:cs="Avenir Next"/>
          <w:spacing w:val="-1"/>
          <w:position w:val="7"/>
          <w:sz w:val="11"/>
          <w:szCs w:val="11"/>
        </w:rPr>
        <w:t>17</w:t>
      </w:r>
    </w:p>
    <w:p w:rsidR="00D96B91" w:rsidRDefault="00C2656B">
      <w:pPr>
        <w:pStyle w:val="BodyText"/>
        <w:spacing w:before="170" w:line="260" w:lineRule="exact"/>
        <w:ind w:left="1644" w:right="1576"/>
        <w:rPr>
          <w:sz w:val="11"/>
          <w:szCs w:val="11"/>
        </w:rPr>
      </w:pPr>
      <w:r>
        <w:t>“In</w:t>
      </w:r>
      <w:r>
        <w:rPr>
          <w:spacing w:val="-1"/>
        </w:rPr>
        <w:t xml:space="preserve"> </w:t>
      </w:r>
      <w:r>
        <w:t xml:space="preserve">its </w:t>
      </w:r>
      <w:r>
        <w:rPr>
          <w:spacing w:val="-2"/>
        </w:rPr>
        <w:t>draft</w:t>
      </w:r>
      <w:r>
        <w:t xml:space="preserve"> </w:t>
      </w:r>
      <w:r>
        <w:rPr>
          <w:spacing w:val="-1"/>
        </w:rPr>
        <w:t>report,</w:t>
      </w:r>
      <w:r>
        <w:rPr>
          <w:spacing w:val="-6"/>
        </w:rPr>
        <w:t xml:space="preserve"> </w:t>
      </w:r>
      <w:r>
        <w:t>the</w:t>
      </w:r>
      <w:r>
        <w:rPr>
          <w:spacing w:val="-1"/>
        </w:rPr>
        <w:t xml:space="preserve"> Commission</w:t>
      </w:r>
      <w:r>
        <w:t xml:space="preserve"> was critical of</w:t>
      </w:r>
      <w:r>
        <w:rPr>
          <w:spacing w:val="3"/>
        </w:rPr>
        <w:t xml:space="preserve"> </w:t>
      </w:r>
      <w:r>
        <w:t xml:space="preserve">the typical firm </w:t>
      </w:r>
      <w:r>
        <w:rPr>
          <w:spacing w:val="-1"/>
        </w:rPr>
        <w:t xml:space="preserve">approach </w:t>
      </w:r>
      <w:r>
        <w:t>to determining the</w:t>
      </w:r>
      <w:r>
        <w:rPr>
          <w:spacing w:val="31"/>
        </w:rPr>
        <w:t xml:space="preserve"> </w:t>
      </w:r>
      <w:r>
        <w:rPr>
          <w:rFonts w:cs="Avenir Next"/>
        </w:rPr>
        <w:t>cost of</w:t>
      </w:r>
      <w:r>
        <w:rPr>
          <w:rFonts w:cs="Avenir Next"/>
          <w:spacing w:val="4"/>
        </w:rPr>
        <w:t xml:space="preserve"> </w:t>
      </w:r>
      <w:r>
        <w:rPr>
          <w:rFonts w:cs="Avenir Next"/>
        </w:rPr>
        <w:t xml:space="preserve">capital because it could not be </w:t>
      </w:r>
      <w:r>
        <w:rPr>
          <w:rFonts w:cs="Avenir Next"/>
          <w:spacing w:val="-1"/>
        </w:rPr>
        <w:t>relied</w:t>
      </w:r>
      <w:r>
        <w:rPr>
          <w:rFonts w:cs="Avenir Next"/>
        </w:rPr>
        <w:t xml:space="preserve"> upon to </w:t>
      </w:r>
      <w:r>
        <w:rPr>
          <w:rFonts w:cs="Avenir Next"/>
          <w:spacing w:val="-1"/>
        </w:rPr>
        <w:t>indicate</w:t>
      </w:r>
      <w:r>
        <w:rPr>
          <w:rFonts w:cs="Avenir Next"/>
        </w:rPr>
        <w:t xml:space="preserve"> </w:t>
      </w:r>
      <w:r>
        <w:rPr>
          <w:rFonts w:cs="Avenir Next"/>
          <w:spacing w:val="-1"/>
        </w:rPr>
        <w:t>accurately</w:t>
      </w:r>
      <w:r>
        <w:rPr>
          <w:rFonts w:cs="Avenir Next"/>
        </w:rPr>
        <w:t xml:space="preserve"> the true cost of</w:t>
      </w:r>
      <w:r>
        <w:rPr>
          <w:rFonts w:cs="Avenir Next"/>
          <w:spacing w:val="4"/>
        </w:rPr>
        <w:t xml:space="preserve"> </w:t>
      </w:r>
      <w:r>
        <w:rPr>
          <w:rFonts w:cs="Avenir Next"/>
        </w:rPr>
        <w:t>capital</w:t>
      </w:r>
      <w:r>
        <w:rPr>
          <w:rFonts w:cs="Avenir Next"/>
          <w:spacing w:val="25"/>
        </w:rPr>
        <w:t xml:space="preserve"> </w:t>
      </w:r>
      <w:r>
        <w:rPr>
          <w:spacing w:val="-1"/>
        </w:rPr>
        <w:t xml:space="preserve">confronted </w:t>
      </w:r>
      <w:r>
        <w:t>by</w:t>
      </w:r>
      <w:r>
        <w:rPr>
          <w:spacing w:val="-5"/>
        </w:rPr>
        <w:t xml:space="preserve"> </w:t>
      </w:r>
      <w:r>
        <w:rPr>
          <w:spacing w:val="-4"/>
        </w:rPr>
        <w:t>ACTEW.</w:t>
      </w:r>
      <w:r>
        <w:rPr>
          <w:spacing w:val="-12"/>
        </w:rPr>
        <w:t xml:space="preserve"> </w:t>
      </w:r>
      <w:r>
        <w:rPr>
          <w:spacing w:val="-2"/>
        </w:rPr>
        <w:t>The</w:t>
      </w:r>
      <w:r>
        <w:rPr>
          <w:spacing w:val="-1"/>
        </w:rPr>
        <w:t xml:space="preserve"> Commission</w:t>
      </w:r>
      <w:r>
        <w:t xml:space="preserve"> </w:t>
      </w:r>
      <w:r>
        <w:rPr>
          <w:spacing w:val="-1"/>
        </w:rPr>
        <w:t xml:space="preserve">proposed instead </w:t>
      </w:r>
      <w:r>
        <w:t>to</w:t>
      </w:r>
      <w:r>
        <w:rPr>
          <w:spacing w:val="-1"/>
        </w:rPr>
        <w:t xml:space="preserve"> </w:t>
      </w:r>
      <w:r>
        <w:t>use</w:t>
      </w:r>
      <w:r>
        <w:rPr>
          <w:spacing w:val="-1"/>
        </w:rPr>
        <w:t xml:space="preserve"> </w:t>
      </w:r>
      <w:r>
        <w:t>a firm</w:t>
      </w:r>
      <w:r>
        <w:rPr>
          <w:spacing w:val="-1"/>
        </w:rPr>
        <w:t xml:space="preserve"> </w:t>
      </w:r>
      <w:r>
        <w:t>specific</w:t>
      </w:r>
      <w:r>
        <w:rPr>
          <w:spacing w:val="-1"/>
        </w:rPr>
        <w:t xml:space="preserve"> approach </w:t>
      </w:r>
      <w:r>
        <w:t>and</w:t>
      </w:r>
      <w:r>
        <w:rPr>
          <w:spacing w:val="65"/>
        </w:rPr>
        <w:t xml:space="preserve"> </w:t>
      </w:r>
      <w:r>
        <w:rPr>
          <w:spacing w:val="-1"/>
        </w:rPr>
        <w:t>attempt</w:t>
      </w:r>
      <w:r>
        <w:t xml:space="preserve"> to </w:t>
      </w:r>
      <w:r>
        <w:rPr>
          <w:spacing w:val="-1"/>
        </w:rPr>
        <w:t>measure</w:t>
      </w:r>
      <w:r>
        <w:rPr>
          <w:spacing w:val="-4"/>
        </w:rPr>
        <w:t xml:space="preserve"> </w:t>
      </w:r>
      <w:r>
        <w:rPr>
          <w:spacing w:val="-2"/>
        </w:rPr>
        <w:t>ACTEW’s</w:t>
      </w:r>
      <w:r>
        <w:t xml:space="preserve"> true cost of</w:t>
      </w:r>
      <w:r>
        <w:rPr>
          <w:spacing w:val="4"/>
        </w:rPr>
        <w:t xml:space="preserve"> </w:t>
      </w:r>
      <w:r>
        <w:t xml:space="preserve">capital </w:t>
      </w:r>
      <w:r>
        <w:rPr>
          <w:spacing w:val="-2"/>
        </w:rPr>
        <w:t>directly.</w:t>
      </w:r>
      <w:r>
        <w:rPr>
          <w:spacing w:val="-6"/>
        </w:rPr>
        <w:t xml:space="preserve"> </w:t>
      </w:r>
      <w:r>
        <w:rPr>
          <w:spacing w:val="-1"/>
        </w:rPr>
        <w:t>Unfortunately,</w:t>
      </w:r>
      <w:r>
        <w:rPr>
          <w:spacing w:val="-6"/>
        </w:rPr>
        <w:t xml:space="preserve"> </w:t>
      </w:r>
      <w:r>
        <w:t xml:space="preserve">as the </w:t>
      </w:r>
      <w:r>
        <w:rPr>
          <w:spacing w:val="-1"/>
        </w:rPr>
        <w:t>Commission</w:t>
      </w:r>
      <w:r>
        <w:t xml:space="preserve"> now</w:t>
      </w:r>
      <w:r>
        <w:rPr>
          <w:spacing w:val="37"/>
        </w:rPr>
        <w:t xml:space="preserve"> </w:t>
      </w:r>
      <w:r>
        <w:rPr>
          <w:rFonts w:cs="Avenir Next"/>
          <w:spacing w:val="-1"/>
        </w:rPr>
        <w:t>recognises,</w:t>
      </w:r>
      <w:r>
        <w:rPr>
          <w:rFonts w:cs="Avenir Next"/>
          <w:spacing w:val="-6"/>
        </w:rPr>
        <w:t xml:space="preserve"> </w:t>
      </w:r>
      <w:r>
        <w:rPr>
          <w:rFonts w:cs="Avenir Next"/>
        </w:rPr>
        <w:t>changing one of</w:t>
      </w:r>
      <w:r>
        <w:rPr>
          <w:rFonts w:cs="Avenir Next"/>
          <w:spacing w:val="4"/>
        </w:rPr>
        <w:t xml:space="preserve"> </w:t>
      </w:r>
      <w:r>
        <w:rPr>
          <w:rFonts w:cs="Avenir Next"/>
        </w:rPr>
        <w:t>the elements of</w:t>
      </w:r>
      <w:r>
        <w:rPr>
          <w:rFonts w:cs="Avenir Next"/>
          <w:spacing w:val="4"/>
        </w:rPr>
        <w:t xml:space="preserve"> </w:t>
      </w:r>
      <w:r>
        <w:rPr>
          <w:rFonts w:cs="Avenir Next"/>
        </w:rPr>
        <w:t xml:space="preserve">the </w:t>
      </w:r>
      <w:r>
        <w:rPr>
          <w:rFonts w:cs="Avenir Next"/>
          <w:spacing w:val="-1"/>
        </w:rPr>
        <w:t>traditional</w:t>
      </w:r>
      <w:r>
        <w:rPr>
          <w:rFonts w:cs="Avenir Next"/>
        </w:rPr>
        <w:t xml:space="preserve"> </w:t>
      </w:r>
      <w:r>
        <w:rPr>
          <w:rFonts w:cs="Avenir Next"/>
          <w:spacing w:val="-1"/>
        </w:rPr>
        <w:t>approach</w:t>
      </w:r>
      <w:r>
        <w:rPr>
          <w:rFonts w:cs="Avenir Next"/>
        </w:rPr>
        <w:t xml:space="preserve"> without </w:t>
      </w:r>
      <w:r>
        <w:rPr>
          <w:rFonts w:cs="Avenir Next"/>
          <w:spacing w:val="-1"/>
        </w:rPr>
        <w:t>recognising</w:t>
      </w:r>
      <w:r>
        <w:rPr>
          <w:rFonts w:cs="Avenir Next"/>
        </w:rPr>
        <w:t xml:space="preserve"> the</w:t>
      </w:r>
      <w:r>
        <w:rPr>
          <w:rFonts w:cs="Avenir Next"/>
          <w:spacing w:val="53"/>
        </w:rPr>
        <w:t xml:space="preserve"> </w:t>
      </w:r>
      <w:r>
        <w:rPr>
          <w:spacing w:val="-1"/>
        </w:rPr>
        <w:t xml:space="preserve">implications </w:t>
      </w:r>
      <w:r>
        <w:t>of</w:t>
      </w:r>
      <w:r>
        <w:rPr>
          <w:spacing w:val="3"/>
        </w:rPr>
        <w:t xml:space="preserve"> </w:t>
      </w:r>
      <w:r>
        <w:t>persisting with</w:t>
      </w:r>
      <w:r>
        <w:rPr>
          <w:spacing w:val="-1"/>
        </w:rPr>
        <w:t xml:space="preserve"> </w:t>
      </w:r>
      <w:r>
        <w:t>the other</w:t>
      </w:r>
      <w:r>
        <w:rPr>
          <w:spacing w:val="-1"/>
        </w:rPr>
        <w:t xml:space="preserve"> </w:t>
      </w:r>
      <w:r>
        <w:t>will</w:t>
      </w:r>
      <w:r>
        <w:rPr>
          <w:spacing w:val="-1"/>
        </w:rPr>
        <w:t xml:space="preserve"> further</w:t>
      </w:r>
      <w:r>
        <w:t xml:space="preserve"> </w:t>
      </w:r>
      <w:r>
        <w:rPr>
          <w:spacing w:val="-1"/>
        </w:rPr>
        <w:t xml:space="preserve">increase </w:t>
      </w:r>
      <w:r>
        <w:t>the financial</w:t>
      </w:r>
      <w:r>
        <w:rPr>
          <w:spacing w:val="-1"/>
        </w:rPr>
        <w:t xml:space="preserve"> pressure</w:t>
      </w:r>
      <w:r>
        <w:t xml:space="preserve"> on</w:t>
      </w:r>
      <w:r>
        <w:rPr>
          <w:spacing w:val="-5"/>
        </w:rPr>
        <w:t xml:space="preserve"> </w:t>
      </w:r>
      <w:r>
        <w:rPr>
          <w:spacing w:val="-4"/>
        </w:rPr>
        <w:t>ACTEW,</w:t>
      </w:r>
      <w:r>
        <w:rPr>
          <w:spacing w:val="41"/>
        </w:rPr>
        <w:t xml:space="preserve"> </w:t>
      </w:r>
      <w:r>
        <w:t>perhaps</w:t>
      </w:r>
      <w:r>
        <w:rPr>
          <w:spacing w:val="-1"/>
        </w:rPr>
        <w:t xml:space="preserve"> </w:t>
      </w:r>
      <w:r>
        <w:t>undermining</w:t>
      </w:r>
      <w:r>
        <w:rPr>
          <w:spacing w:val="-1"/>
        </w:rPr>
        <w:t xml:space="preserve"> </w:t>
      </w:r>
      <w:r>
        <w:t>its</w:t>
      </w:r>
      <w:r>
        <w:rPr>
          <w:spacing w:val="-1"/>
        </w:rPr>
        <w:t xml:space="preserve"> </w:t>
      </w:r>
      <w:r>
        <w:t xml:space="preserve">financial </w:t>
      </w:r>
      <w:r>
        <w:rPr>
          <w:spacing w:val="-1"/>
        </w:rPr>
        <w:t>stability.</w:t>
      </w:r>
      <w:r>
        <w:rPr>
          <w:spacing w:val="-12"/>
        </w:rPr>
        <w:t xml:space="preserve"> </w:t>
      </w:r>
      <w:r>
        <w:rPr>
          <w:spacing w:val="-2"/>
        </w:rPr>
        <w:t>The</w:t>
      </w:r>
      <w:r>
        <w:rPr>
          <w:spacing w:val="-1"/>
        </w:rPr>
        <w:t xml:space="preserve"> Commission</w:t>
      </w:r>
      <w:r>
        <w:t xml:space="preserve"> has</w:t>
      </w:r>
      <w:r>
        <w:rPr>
          <w:spacing w:val="-1"/>
        </w:rPr>
        <w:t xml:space="preserve"> </w:t>
      </w:r>
      <w:r>
        <w:t>now</w:t>
      </w:r>
      <w:r>
        <w:rPr>
          <w:spacing w:val="-1"/>
        </w:rPr>
        <w:t xml:space="preserve"> </w:t>
      </w:r>
      <w:r>
        <w:t xml:space="preserve">concluded </w:t>
      </w:r>
      <w:r>
        <w:rPr>
          <w:spacing w:val="-1"/>
        </w:rPr>
        <w:t xml:space="preserve">that </w:t>
      </w:r>
      <w:r>
        <w:t>adopting</w:t>
      </w:r>
      <w:r>
        <w:rPr>
          <w:spacing w:val="27"/>
        </w:rPr>
        <w:t xml:space="preserve"> </w:t>
      </w:r>
      <w:r>
        <w:t>the</w:t>
      </w:r>
      <w:r>
        <w:rPr>
          <w:spacing w:val="-1"/>
        </w:rPr>
        <w:t xml:space="preserve"> </w:t>
      </w:r>
      <w:r>
        <w:t>firm</w:t>
      </w:r>
      <w:r>
        <w:rPr>
          <w:spacing w:val="-1"/>
        </w:rPr>
        <w:t xml:space="preserve"> </w:t>
      </w:r>
      <w:r>
        <w:t>specific</w:t>
      </w:r>
      <w:r>
        <w:rPr>
          <w:spacing w:val="-1"/>
        </w:rPr>
        <w:t xml:space="preserve"> approach</w:t>
      </w:r>
      <w:r>
        <w:t xml:space="preserve"> to</w:t>
      </w:r>
      <w:r>
        <w:rPr>
          <w:spacing w:val="-1"/>
        </w:rPr>
        <w:t xml:space="preserve"> measuring </w:t>
      </w:r>
      <w:r>
        <w:t>the cost</w:t>
      </w:r>
      <w:r>
        <w:rPr>
          <w:spacing w:val="-1"/>
        </w:rPr>
        <w:t xml:space="preserve"> </w:t>
      </w:r>
      <w:r>
        <w:t>of</w:t>
      </w:r>
      <w:r>
        <w:rPr>
          <w:spacing w:val="3"/>
        </w:rPr>
        <w:t xml:space="preserve"> </w:t>
      </w:r>
      <w:r>
        <w:t>capital needs</w:t>
      </w:r>
      <w:r>
        <w:rPr>
          <w:spacing w:val="-1"/>
        </w:rPr>
        <w:t xml:space="preserve"> </w:t>
      </w:r>
      <w:r>
        <w:t>to</w:t>
      </w:r>
      <w:r>
        <w:rPr>
          <w:spacing w:val="-1"/>
        </w:rPr>
        <w:t xml:space="preserve"> </w:t>
      </w:r>
      <w:r>
        <w:t>be</w:t>
      </w:r>
      <w:r>
        <w:rPr>
          <w:spacing w:val="-1"/>
        </w:rPr>
        <w:t xml:space="preserve"> </w:t>
      </w:r>
      <w:r>
        <w:t>coupled with</w:t>
      </w:r>
      <w:r>
        <w:rPr>
          <w:spacing w:val="-1"/>
        </w:rPr>
        <w:t xml:space="preserve"> </w:t>
      </w:r>
      <w:r>
        <w:t>applying</w:t>
      </w:r>
      <w:r>
        <w:rPr>
          <w:spacing w:val="23"/>
        </w:rPr>
        <w:t xml:space="preserve"> </w:t>
      </w:r>
      <w:r>
        <w:rPr>
          <w:spacing w:val="-1"/>
        </w:rPr>
        <w:t xml:space="preserve">that </w:t>
      </w:r>
      <w:r>
        <w:rPr>
          <w:spacing w:val="-2"/>
        </w:rPr>
        <w:t>rate</w:t>
      </w:r>
      <w:r>
        <w:t xml:space="preserve"> of</w:t>
      </w:r>
      <w:r>
        <w:rPr>
          <w:spacing w:val="3"/>
        </w:rPr>
        <w:t xml:space="preserve"> </w:t>
      </w:r>
      <w:r>
        <w:rPr>
          <w:spacing w:val="-1"/>
        </w:rPr>
        <w:t>return,</w:t>
      </w:r>
      <w:r>
        <w:rPr>
          <w:spacing w:val="-6"/>
        </w:rPr>
        <w:t xml:space="preserve"> </w:t>
      </w:r>
      <w:r>
        <w:rPr>
          <w:spacing w:val="-1"/>
        </w:rPr>
        <w:t xml:space="preserve">uncorrected </w:t>
      </w:r>
      <w:r>
        <w:t xml:space="preserve">for </w:t>
      </w:r>
      <w:r>
        <w:rPr>
          <w:spacing w:val="-1"/>
        </w:rPr>
        <w:t>inflation,</w:t>
      </w:r>
      <w:r>
        <w:rPr>
          <w:spacing w:val="-7"/>
        </w:rPr>
        <w:t xml:space="preserve"> </w:t>
      </w:r>
      <w:r>
        <w:t>to a</w:t>
      </w:r>
      <w:r>
        <w:rPr>
          <w:spacing w:val="-1"/>
        </w:rPr>
        <w:t xml:space="preserve"> </w:t>
      </w:r>
      <w:r>
        <w:t xml:space="preserve">RAB </w:t>
      </w:r>
      <w:r>
        <w:rPr>
          <w:spacing w:val="-1"/>
        </w:rPr>
        <w:t>that</w:t>
      </w:r>
      <w:r>
        <w:t xml:space="preserve"> has</w:t>
      </w:r>
      <w:r>
        <w:rPr>
          <w:spacing w:val="-1"/>
        </w:rPr>
        <w:t xml:space="preserve"> </w:t>
      </w:r>
      <w:r>
        <w:t>not been</w:t>
      </w:r>
      <w:r>
        <w:rPr>
          <w:spacing w:val="-1"/>
        </w:rPr>
        <w:t xml:space="preserve"> indexed</w:t>
      </w:r>
      <w:r>
        <w:t xml:space="preserve"> for</w:t>
      </w:r>
      <w:r>
        <w:rPr>
          <w:spacing w:val="-1"/>
        </w:rPr>
        <w:t xml:space="preserve"> inflation.</w:t>
      </w:r>
      <w:r>
        <w:rPr>
          <w:spacing w:val="-6"/>
        </w:rPr>
        <w:t xml:space="preserve"> </w:t>
      </w:r>
      <w:r>
        <w:t>In</w:t>
      </w:r>
      <w:r>
        <w:rPr>
          <w:spacing w:val="73"/>
        </w:rPr>
        <w:t xml:space="preserve"> </w:t>
      </w:r>
      <w:r>
        <w:t>this</w:t>
      </w:r>
      <w:r>
        <w:rPr>
          <w:spacing w:val="-1"/>
        </w:rPr>
        <w:t xml:space="preserve"> </w:t>
      </w:r>
      <w:r>
        <w:t>way the</w:t>
      </w:r>
      <w:r>
        <w:rPr>
          <w:spacing w:val="-1"/>
        </w:rPr>
        <w:t xml:space="preserve"> </w:t>
      </w:r>
      <w:r>
        <w:t xml:space="preserve">cash flows </w:t>
      </w:r>
      <w:r>
        <w:rPr>
          <w:spacing w:val="-1"/>
        </w:rPr>
        <w:t xml:space="preserve">provided </w:t>
      </w:r>
      <w:r>
        <w:t>to</w:t>
      </w:r>
      <w:r>
        <w:rPr>
          <w:spacing w:val="-4"/>
        </w:rPr>
        <w:t xml:space="preserve"> ACTEW,</w:t>
      </w:r>
      <w:r>
        <w:rPr>
          <w:spacing w:val="-6"/>
        </w:rPr>
        <w:t xml:space="preserve"> </w:t>
      </w:r>
      <w:r>
        <w:rPr>
          <w:spacing w:val="-1"/>
        </w:rPr>
        <w:t>through</w:t>
      </w:r>
      <w:r>
        <w:t xml:space="preserve"> the</w:t>
      </w:r>
      <w:r>
        <w:rPr>
          <w:spacing w:val="-1"/>
        </w:rPr>
        <w:t xml:space="preserve"> water</w:t>
      </w:r>
      <w:r>
        <w:t xml:space="preserve"> and </w:t>
      </w:r>
      <w:r>
        <w:rPr>
          <w:spacing w:val="-1"/>
        </w:rPr>
        <w:t xml:space="preserve">sewerage </w:t>
      </w:r>
      <w:r>
        <w:t>services prices</w:t>
      </w:r>
      <w:r>
        <w:rPr>
          <w:spacing w:val="39"/>
        </w:rPr>
        <w:t xml:space="preserve"> </w:t>
      </w:r>
      <w:r>
        <w:rPr>
          <w:rFonts w:cs="Avenir Next"/>
          <w:spacing w:val="-1"/>
        </w:rPr>
        <w:t>resulting</w:t>
      </w:r>
      <w:r>
        <w:rPr>
          <w:rFonts w:cs="Avenir Next"/>
        </w:rPr>
        <w:t xml:space="preserve"> </w:t>
      </w:r>
      <w:r>
        <w:rPr>
          <w:rFonts w:cs="Avenir Next"/>
          <w:spacing w:val="-1"/>
        </w:rPr>
        <w:t>from</w:t>
      </w:r>
      <w:r>
        <w:rPr>
          <w:rFonts w:cs="Avenir Next"/>
        </w:rPr>
        <w:t xml:space="preserve"> this </w:t>
      </w:r>
      <w:r>
        <w:rPr>
          <w:rFonts w:cs="Avenir Next"/>
          <w:spacing w:val="-1"/>
        </w:rPr>
        <w:t>approach,</w:t>
      </w:r>
      <w:r>
        <w:rPr>
          <w:rFonts w:cs="Avenir Next"/>
          <w:spacing w:val="-6"/>
        </w:rPr>
        <w:t xml:space="preserve"> </w:t>
      </w:r>
      <w:r>
        <w:rPr>
          <w:rFonts w:cs="Avenir Next"/>
        </w:rPr>
        <w:t xml:space="preserve">will </w:t>
      </w:r>
      <w:r>
        <w:rPr>
          <w:rFonts w:cs="Avenir Next"/>
          <w:spacing w:val="-1"/>
        </w:rPr>
        <w:t>match</w:t>
      </w:r>
      <w:r>
        <w:rPr>
          <w:rFonts w:cs="Avenir Next"/>
        </w:rPr>
        <w:t xml:space="preserve"> those </w:t>
      </w:r>
      <w:r>
        <w:rPr>
          <w:rFonts w:cs="Avenir Next"/>
          <w:spacing w:val="-1"/>
        </w:rPr>
        <w:t>required</w:t>
      </w:r>
      <w:r>
        <w:rPr>
          <w:rFonts w:cs="Avenir Next"/>
        </w:rPr>
        <w:t xml:space="preserve"> to service its debt and </w:t>
      </w:r>
      <w:r>
        <w:rPr>
          <w:rFonts w:cs="Avenir Next"/>
          <w:spacing w:val="-1"/>
        </w:rPr>
        <w:t>provide</w:t>
      </w:r>
      <w:r>
        <w:rPr>
          <w:rFonts w:cs="Avenir Next"/>
        </w:rPr>
        <w:t xml:space="preserve"> a </w:t>
      </w:r>
      <w:r>
        <w:rPr>
          <w:rFonts w:cs="Avenir Next"/>
          <w:spacing w:val="-1"/>
        </w:rPr>
        <w:t>return</w:t>
      </w:r>
      <w:r>
        <w:rPr>
          <w:rFonts w:cs="Avenir Next"/>
          <w:spacing w:val="37"/>
        </w:rPr>
        <w:t xml:space="preserve"> </w:t>
      </w:r>
      <w:r>
        <w:t>to</w:t>
      </w:r>
      <w:r>
        <w:rPr>
          <w:spacing w:val="2"/>
        </w:rPr>
        <w:t xml:space="preserve"> </w:t>
      </w:r>
      <w:r>
        <w:t>its</w:t>
      </w:r>
      <w:r>
        <w:rPr>
          <w:spacing w:val="3"/>
        </w:rPr>
        <w:t xml:space="preserve"> </w:t>
      </w:r>
      <w:r>
        <w:t>equity</w:t>
      </w:r>
      <w:r>
        <w:rPr>
          <w:spacing w:val="2"/>
        </w:rPr>
        <w:t xml:space="preserve"> </w:t>
      </w:r>
      <w:r>
        <w:rPr>
          <w:spacing w:val="-3"/>
        </w:rPr>
        <w:t>holder.’</w:t>
      </w:r>
      <w:r>
        <w:rPr>
          <w:spacing w:val="-3"/>
          <w:position w:val="7"/>
          <w:sz w:val="11"/>
          <w:szCs w:val="11"/>
        </w:rPr>
        <w:t>18</w:t>
      </w:r>
    </w:p>
    <w:p w:rsidR="00D96B91" w:rsidRDefault="00C2656B">
      <w:pPr>
        <w:pStyle w:val="BodyText"/>
        <w:spacing w:before="170" w:line="260" w:lineRule="exact"/>
        <w:ind w:left="1644" w:right="1548"/>
      </w:pPr>
      <w:r>
        <w:rPr>
          <w:rFonts w:cs="Avenir Next"/>
          <w:spacing w:val="-2"/>
        </w:rPr>
        <w:t>‘Adopting</w:t>
      </w:r>
      <w:r>
        <w:rPr>
          <w:rFonts w:cs="Avenir Next"/>
        </w:rPr>
        <w:t xml:space="preserve"> this </w:t>
      </w:r>
      <w:r>
        <w:rPr>
          <w:rFonts w:cs="Avenir Next"/>
          <w:spacing w:val="-1"/>
        </w:rPr>
        <w:t>proposal</w:t>
      </w:r>
      <w:r>
        <w:rPr>
          <w:rFonts w:cs="Avenir Next"/>
        </w:rPr>
        <w:t xml:space="preserve"> </w:t>
      </w:r>
      <w:r>
        <w:rPr>
          <w:rFonts w:cs="Avenir Next"/>
          <w:spacing w:val="-1"/>
        </w:rPr>
        <w:t>immediately,</w:t>
      </w:r>
      <w:r>
        <w:rPr>
          <w:rFonts w:cs="Avenir Next"/>
          <w:spacing w:val="-6"/>
        </w:rPr>
        <w:t xml:space="preserve"> </w:t>
      </w:r>
      <w:r>
        <w:rPr>
          <w:rFonts w:cs="Avenir Next"/>
        </w:rPr>
        <w:t xml:space="preserve">with the </w:t>
      </w:r>
      <w:r>
        <w:rPr>
          <w:rFonts w:cs="Avenir Next"/>
          <w:spacing w:val="-1"/>
        </w:rPr>
        <w:t>parameters</w:t>
      </w:r>
      <w:r>
        <w:rPr>
          <w:rFonts w:cs="Avenir Next"/>
        </w:rPr>
        <w:t xml:space="preserve"> adopted for the </w:t>
      </w:r>
      <w:r>
        <w:rPr>
          <w:rFonts w:cs="Avenir Next"/>
          <w:spacing w:val="-1"/>
        </w:rPr>
        <w:t>consultation</w:t>
      </w:r>
      <w:r>
        <w:rPr>
          <w:rFonts w:cs="Avenir Next"/>
        </w:rPr>
        <w:t xml:space="preserve"> with</w:t>
      </w:r>
      <w:r>
        <w:rPr>
          <w:rFonts w:cs="Avenir Next"/>
          <w:spacing w:val="49"/>
        </w:rPr>
        <w:t xml:space="preserve"> </w:t>
      </w:r>
      <w:r>
        <w:rPr>
          <w:rFonts w:cs="Avenir Next"/>
        </w:rPr>
        <w:t>government,</w:t>
      </w:r>
      <w:r>
        <w:rPr>
          <w:rFonts w:cs="Avenir Next"/>
          <w:spacing w:val="-7"/>
        </w:rPr>
        <w:t xml:space="preserve"> </w:t>
      </w:r>
      <w:r>
        <w:rPr>
          <w:rFonts w:cs="Avenir Next"/>
        </w:rPr>
        <w:t xml:space="preserve">would place a </w:t>
      </w:r>
      <w:r>
        <w:rPr>
          <w:rFonts w:cs="Avenir Next"/>
          <w:spacing w:val="-1"/>
        </w:rPr>
        <w:t>disproportionate</w:t>
      </w:r>
      <w:r>
        <w:rPr>
          <w:rFonts w:cs="Avenir Next"/>
        </w:rPr>
        <w:t xml:space="preserve"> </w:t>
      </w:r>
      <w:r>
        <w:rPr>
          <w:rFonts w:cs="Avenir Next"/>
          <w:spacing w:val="-1"/>
        </w:rPr>
        <w:t>share</w:t>
      </w:r>
      <w:r>
        <w:rPr>
          <w:rFonts w:cs="Avenir Next"/>
        </w:rPr>
        <w:t xml:space="preserve"> of</w:t>
      </w:r>
      <w:r>
        <w:rPr>
          <w:rFonts w:cs="Avenir Next"/>
          <w:spacing w:val="4"/>
        </w:rPr>
        <w:t xml:space="preserve"> </w:t>
      </w:r>
      <w:r>
        <w:rPr>
          <w:rFonts w:cs="Avenir Next"/>
        </w:rPr>
        <w:t xml:space="preserve">the </w:t>
      </w:r>
      <w:r>
        <w:rPr>
          <w:rFonts w:cs="Avenir Next"/>
          <w:spacing w:val="-1"/>
        </w:rPr>
        <w:t>burden</w:t>
      </w:r>
      <w:r>
        <w:rPr>
          <w:rFonts w:cs="Avenir Next"/>
        </w:rPr>
        <w:t xml:space="preserve"> of</w:t>
      </w:r>
      <w:r>
        <w:rPr>
          <w:rFonts w:cs="Avenir Next"/>
          <w:spacing w:val="4"/>
        </w:rPr>
        <w:t xml:space="preserve"> </w:t>
      </w:r>
      <w:r>
        <w:rPr>
          <w:rFonts w:cs="Avenir Next"/>
        </w:rPr>
        <w:t>meeting the cost of</w:t>
      </w:r>
      <w:r>
        <w:rPr>
          <w:rFonts w:cs="Avenir Next"/>
          <w:spacing w:val="4"/>
        </w:rPr>
        <w:t xml:space="preserve"> </w:t>
      </w:r>
      <w:r>
        <w:rPr>
          <w:rFonts w:cs="Avenir Next"/>
        </w:rPr>
        <w:t>the</w:t>
      </w:r>
      <w:r>
        <w:rPr>
          <w:rFonts w:cs="Avenir Next"/>
          <w:spacing w:val="21"/>
        </w:rPr>
        <w:t xml:space="preserve"> </w:t>
      </w:r>
      <w:r>
        <w:rPr>
          <w:rFonts w:cs="Avenir Next"/>
          <w:spacing w:val="-1"/>
        </w:rPr>
        <w:t>recent</w:t>
      </w:r>
      <w:r>
        <w:rPr>
          <w:rFonts w:cs="Avenir Next"/>
        </w:rPr>
        <w:t xml:space="preserve"> </w:t>
      </w:r>
      <w:r>
        <w:rPr>
          <w:rFonts w:cs="Avenir Next"/>
          <w:spacing w:val="-1"/>
        </w:rPr>
        <w:t>large</w:t>
      </w:r>
      <w:r>
        <w:rPr>
          <w:rFonts w:cs="Avenir Next"/>
        </w:rPr>
        <w:t xml:space="preserve"> investments in </w:t>
      </w:r>
      <w:r>
        <w:rPr>
          <w:rFonts w:cs="Avenir Next"/>
          <w:spacing w:val="-1"/>
        </w:rPr>
        <w:t>water</w:t>
      </w:r>
      <w:r>
        <w:rPr>
          <w:rFonts w:cs="Avenir Next"/>
        </w:rPr>
        <w:t xml:space="preserve"> </w:t>
      </w:r>
      <w:r>
        <w:rPr>
          <w:rFonts w:cs="Avenir Next"/>
          <w:spacing w:val="-1"/>
        </w:rPr>
        <w:t>infrastructure</w:t>
      </w:r>
      <w:r>
        <w:rPr>
          <w:rFonts w:cs="Avenir Next"/>
        </w:rPr>
        <w:t xml:space="preserve"> on </w:t>
      </w:r>
      <w:r>
        <w:rPr>
          <w:rFonts w:cs="Avenir Next"/>
          <w:spacing w:val="-1"/>
        </w:rPr>
        <w:t>current</w:t>
      </w:r>
      <w:r>
        <w:rPr>
          <w:rFonts w:cs="Avenir Next"/>
          <w:spacing w:val="-4"/>
        </w:rPr>
        <w:t xml:space="preserve"> </w:t>
      </w:r>
      <w:r>
        <w:rPr>
          <w:rFonts w:cs="Avenir Next"/>
          <w:spacing w:val="-2"/>
        </w:rPr>
        <w:t>ACTEW</w:t>
      </w:r>
      <w:r>
        <w:rPr>
          <w:rFonts w:cs="Avenir Next"/>
          <w:spacing w:val="-3"/>
        </w:rPr>
        <w:t xml:space="preserve"> </w:t>
      </w:r>
      <w:r>
        <w:rPr>
          <w:rFonts w:cs="Avenir Next"/>
        </w:rPr>
        <w:t>customers,</w:t>
      </w:r>
      <w:r>
        <w:rPr>
          <w:rFonts w:cs="Avenir Next"/>
          <w:spacing w:val="-7"/>
        </w:rPr>
        <w:t xml:space="preserve"> </w:t>
      </w:r>
      <w:r>
        <w:rPr>
          <w:rFonts w:cs="Avenir Next"/>
          <w:spacing w:val="-1"/>
        </w:rPr>
        <w:t>resulting</w:t>
      </w:r>
      <w:r>
        <w:rPr>
          <w:rFonts w:cs="Avenir Next"/>
        </w:rPr>
        <w:t xml:space="preserve"> in</w:t>
      </w:r>
      <w:r>
        <w:rPr>
          <w:rFonts w:cs="Avenir Next"/>
          <w:spacing w:val="49"/>
        </w:rPr>
        <w:t xml:space="preserve"> </w:t>
      </w:r>
      <w:r>
        <w:t xml:space="preserve">volumetric </w:t>
      </w:r>
      <w:r>
        <w:rPr>
          <w:spacing w:val="-1"/>
        </w:rPr>
        <w:t>water</w:t>
      </w:r>
      <w:r>
        <w:t xml:space="preserve"> prices </w:t>
      </w:r>
      <w:r>
        <w:rPr>
          <w:spacing w:val="-1"/>
        </w:rPr>
        <w:t>increasing</w:t>
      </w:r>
      <w:r>
        <w:t xml:space="preserve"> by </w:t>
      </w:r>
      <w:r>
        <w:rPr>
          <w:spacing w:val="-1"/>
        </w:rPr>
        <w:t>around</w:t>
      </w:r>
      <w:r>
        <w:t xml:space="preserve"> 25 per cent and the price of</w:t>
      </w:r>
      <w:r>
        <w:rPr>
          <w:spacing w:val="4"/>
        </w:rPr>
        <w:t xml:space="preserve"> </w:t>
      </w:r>
      <w:r>
        <w:rPr>
          <w:spacing w:val="-1"/>
        </w:rPr>
        <w:t>sewerage</w:t>
      </w:r>
      <w:r>
        <w:t xml:space="preserve"> services</w:t>
      </w:r>
      <w:r>
        <w:rPr>
          <w:spacing w:val="29"/>
        </w:rPr>
        <w:t xml:space="preserve"> </w:t>
      </w:r>
      <w:r>
        <w:rPr>
          <w:spacing w:val="-1"/>
        </w:rPr>
        <w:t>reducing</w:t>
      </w:r>
      <w:r>
        <w:t xml:space="preserve"> by 8 per cent with combined </w:t>
      </w:r>
      <w:r>
        <w:rPr>
          <w:spacing w:val="-1"/>
        </w:rPr>
        <w:t>water</w:t>
      </w:r>
      <w:r>
        <w:t xml:space="preserve"> and </w:t>
      </w:r>
      <w:r>
        <w:rPr>
          <w:spacing w:val="-1"/>
        </w:rPr>
        <w:t>sewerage</w:t>
      </w:r>
      <w:r>
        <w:t xml:space="preserve"> bills rising by 6 per cent.</w:t>
      </w:r>
    </w:p>
    <w:p w:rsidR="00D96B91" w:rsidRDefault="00C2656B">
      <w:pPr>
        <w:pStyle w:val="BodyText"/>
        <w:spacing w:before="170" w:line="260" w:lineRule="exact"/>
        <w:ind w:left="1644" w:right="1513"/>
      </w:pPr>
      <w:r>
        <w:rPr>
          <w:spacing w:val="-2"/>
        </w:rPr>
        <w:t>The</w:t>
      </w:r>
      <w:r>
        <w:t xml:space="preserve"> only viable way of</w:t>
      </w:r>
      <w:r>
        <w:rPr>
          <w:spacing w:val="4"/>
        </w:rPr>
        <w:t xml:space="preserve"> </w:t>
      </w:r>
      <w:r>
        <w:rPr>
          <w:spacing w:val="-1"/>
        </w:rPr>
        <w:t>reducing</w:t>
      </w:r>
      <w:r>
        <w:t xml:space="preserve"> this impost on </w:t>
      </w:r>
      <w:r>
        <w:rPr>
          <w:spacing w:val="-1"/>
        </w:rPr>
        <w:t>current</w:t>
      </w:r>
      <w:r>
        <w:t xml:space="preserve"> customers is to </w:t>
      </w:r>
      <w:r>
        <w:rPr>
          <w:spacing w:val="-1"/>
        </w:rPr>
        <w:t>reduce,</w:t>
      </w:r>
      <w:r>
        <w:rPr>
          <w:spacing w:val="-7"/>
        </w:rPr>
        <w:t xml:space="preserve"> </w:t>
      </w:r>
      <w:r>
        <w:rPr>
          <w:spacing w:val="-1"/>
        </w:rPr>
        <w:t>at</w:t>
      </w:r>
      <w:r>
        <w:t xml:space="preserve"> </w:t>
      </w:r>
      <w:r>
        <w:rPr>
          <w:spacing w:val="-1"/>
        </w:rPr>
        <w:t>least</w:t>
      </w:r>
      <w:r>
        <w:rPr>
          <w:spacing w:val="31"/>
        </w:rPr>
        <w:t xml:space="preserve"> </w:t>
      </w:r>
      <w:r>
        <w:rPr>
          <w:spacing w:val="-1"/>
        </w:rPr>
        <w:t>temporarily,</w:t>
      </w:r>
      <w:r>
        <w:rPr>
          <w:spacing w:val="-7"/>
        </w:rPr>
        <w:t xml:space="preserve"> </w:t>
      </w:r>
      <w:r>
        <w:t xml:space="preserve">the </w:t>
      </w:r>
      <w:r>
        <w:rPr>
          <w:spacing w:val="-1"/>
        </w:rPr>
        <w:t>return</w:t>
      </w:r>
      <w:r>
        <w:t xml:space="preserve"> on</w:t>
      </w:r>
      <w:r>
        <w:rPr>
          <w:spacing w:val="-1"/>
        </w:rPr>
        <w:t xml:space="preserve"> </w:t>
      </w:r>
      <w:r>
        <w:rPr>
          <w:spacing w:val="-2"/>
        </w:rPr>
        <w:t>equity.</w:t>
      </w:r>
      <w:r>
        <w:rPr>
          <w:spacing w:val="-6"/>
        </w:rPr>
        <w:t xml:space="preserve"> </w:t>
      </w:r>
      <w:r>
        <w:rPr>
          <w:spacing w:val="-1"/>
        </w:rPr>
        <w:t>Reducing</w:t>
      </w:r>
      <w:r>
        <w:t xml:space="preserve"> the</w:t>
      </w:r>
      <w:r>
        <w:rPr>
          <w:spacing w:val="-1"/>
        </w:rPr>
        <w:t xml:space="preserve"> </w:t>
      </w:r>
      <w:r>
        <w:t>cash flows</w:t>
      </w:r>
      <w:r>
        <w:rPr>
          <w:spacing w:val="-1"/>
        </w:rPr>
        <w:t xml:space="preserve"> required</w:t>
      </w:r>
      <w:r>
        <w:t xml:space="preserve"> by</w:t>
      </w:r>
      <w:r>
        <w:rPr>
          <w:spacing w:val="-4"/>
        </w:rPr>
        <w:t xml:space="preserve"> </w:t>
      </w:r>
      <w:r>
        <w:rPr>
          <w:spacing w:val="-2"/>
        </w:rPr>
        <w:t>ACTEW</w:t>
      </w:r>
      <w:r>
        <w:rPr>
          <w:spacing w:val="-3"/>
        </w:rPr>
        <w:t xml:space="preserve"> </w:t>
      </w:r>
      <w:r>
        <w:t>to</w:t>
      </w:r>
      <w:r>
        <w:rPr>
          <w:spacing w:val="-1"/>
        </w:rPr>
        <w:t xml:space="preserve"> </w:t>
      </w:r>
      <w:r>
        <w:t>meet its</w:t>
      </w:r>
      <w:r>
        <w:rPr>
          <w:spacing w:val="37"/>
        </w:rPr>
        <w:t xml:space="preserve"> </w:t>
      </w:r>
      <w:r>
        <w:rPr>
          <w:spacing w:val="-1"/>
        </w:rPr>
        <w:t>operating</w:t>
      </w:r>
      <w:r>
        <w:t xml:space="preserve"> or debt servicing costs would </w:t>
      </w:r>
      <w:r>
        <w:rPr>
          <w:spacing w:val="-1"/>
        </w:rPr>
        <w:t>threaten</w:t>
      </w:r>
      <w:r>
        <w:t xml:space="preserve"> its </w:t>
      </w:r>
      <w:r>
        <w:rPr>
          <w:spacing w:val="-1"/>
        </w:rPr>
        <w:t>solvency.</w:t>
      </w:r>
      <w:r>
        <w:rPr>
          <w:spacing w:val="-6"/>
        </w:rPr>
        <w:t xml:space="preserve"> </w:t>
      </w:r>
      <w:r>
        <w:t>Making adjustments to the</w:t>
      </w:r>
      <w:r>
        <w:rPr>
          <w:spacing w:val="26"/>
        </w:rPr>
        <w:t xml:space="preserve"> </w:t>
      </w:r>
      <w:r>
        <w:rPr>
          <w:spacing w:val="-1"/>
        </w:rPr>
        <w:t xml:space="preserve">depreciation </w:t>
      </w:r>
      <w:r>
        <w:t>schedule,</w:t>
      </w:r>
      <w:r>
        <w:rPr>
          <w:spacing w:val="-6"/>
        </w:rPr>
        <w:t xml:space="preserve"> </w:t>
      </w:r>
      <w:r>
        <w:t>as</w:t>
      </w:r>
      <w:r>
        <w:rPr>
          <w:spacing w:val="-1"/>
        </w:rPr>
        <w:t xml:space="preserve"> </w:t>
      </w:r>
      <w:r>
        <w:t>in the</w:t>
      </w:r>
      <w:r>
        <w:rPr>
          <w:spacing w:val="-1"/>
        </w:rPr>
        <w:t xml:space="preserve"> </w:t>
      </w:r>
      <w:r>
        <w:t>FCR scheme,</w:t>
      </w:r>
      <w:r>
        <w:rPr>
          <w:spacing w:val="-7"/>
        </w:rPr>
        <w:t xml:space="preserve"> </w:t>
      </w:r>
      <w:r>
        <w:t>is subject</w:t>
      </w:r>
      <w:r>
        <w:rPr>
          <w:spacing w:val="-1"/>
        </w:rPr>
        <w:t xml:space="preserve"> </w:t>
      </w:r>
      <w:r>
        <w:t>to the</w:t>
      </w:r>
      <w:r>
        <w:rPr>
          <w:spacing w:val="-1"/>
        </w:rPr>
        <w:t xml:space="preserve"> difficulties</w:t>
      </w:r>
      <w:r>
        <w:t xml:space="preserve"> discussed</w:t>
      </w:r>
      <w:r>
        <w:rPr>
          <w:spacing w:val="-1"/>
        </w:rPr>
        <w:t xml:space="preserve"> </w:t>
      </w:r>
      <w:r>
        <w:t>above and</w:t>
      </w:r>
      <w:r>
        <w:rPr>
          <w:spacing w:val="29"/>
        </w:rPr>
        <w:t xml:space="preserve"> </w:t>
      </w:r>
      <w:r>
        <w:rPr>
          <w:spacing w:val="-1"/>
        </w:rPr>
        <w:t>ultimately</w:t>
      </w:r>
      <w:r>
        <w:t xml:space="preserve"> </w:t>
      </w:r>
      <w:r>
        <w:rPr>
          <w:spacing w:val="-1"/>
        </w:rPr>
        <w:t>reduces</w:t>
      </w:r>
      <w:r>
        <w:t xml:space="preserve"> the </w:t>
      </w:r>
      <w:r>
        <w:rPr>
          <w:spacing w:val="-1"/>
        </w:rPr>
        <w:t>return</w:t>
      </w:r>
      <w:r>
        <w:t xml:space="preserve"> on equity </w:t>
      </w:r>
      <w:r>
        <w:rPr>
          <w:spacing w:val="-2"/>
        </w:rPr>
        <w:t>anyway.</w:t>
      </w:r>
    </w:p>
    <w:p w:rsidR="00D96B91" w:rsidRDefault="00C2656B">
      <w:pPr>
        <w:pStyle w:val="BodyText"/>
        <w:spacing w:before="178"/>
        <w:ind w:left="1644"/>
        <w:rPr>
          <w:rFonts w:cs="Avenir Next"/>
        </w:rPr>
      </w:pPr>
      <w:r>
        <w:rPr>
          <w:rFonts w:cs="Avenir Next"/>
        </w:rPr>
        <w:t>…</w:t>
      </w:r>
    </w:p>
    <w:p w:rsidR="00D96B91" w:rsidRDefault="00C2656B">
      <w:pPr>
        <w:pStyle w:val="BodyText"/>
        <w:spacing w:before="149" w:line="260" w:lineRule="exact"/>
        <w:ind w:left="1644" w:right="2010"/>
        <w:rPr>
          <w:rFonts w:cs="Avenir Next"/>
        </w:rPr>
      </w:pPr>
      <w:r>
        <w:rPr>
          <w:rFonts w:cs="Avenir Next"/>
        </w:rPr>
        <w:t xml:space="preserve">It is the </w:t>
      </w:r>
      <w:r>
        <w:rPr>
          <w:rFonts w:cs="Avenir Next"/>
          <w:spacing w:val="-2"/>
        </w:rPr>
        <w:t>Commission’s</w:t>
      </w:r>
      <w:r>
        <w:rPr>
          <w:rFonts w:cs="Avenir Next"/>
        </w:rPr>
        <w:t xml:space="preserve"> view </w:t>
      </w:r>
      <w:r>
        <w:rPr>
          <w:rFonts w:cs="Avenir Next"/>
          <w:spacing w:val="-1"/>
        </w:rPr>
        <w:t>that</w:t>
      </w:r>
      <w:r>
        <w:rPr>
          <w:rFonts w:cs="Avenir Next"/>
        </w:rPr>
        <w:t xml:space="preserve"> the </w:t>
      </w:r>
      <w:r>
        <w:rPr>
          <w:rFonts w:cs="Avenir Next"/>
          <w:spacing w:val="-1"/>
        </w:rPr>
        <w:t>extent</w:t>
      </w:r>
      <w:r>
        <w:rPr>
          <w:rFonts w:cs="Avenir Next"/>
        </w:rPr>
        <w:t xml:space="preserve"> of</w:t>
      </w:r>
      <w:r>
        <w:rPr>
          <w:rFonts w:cs="Avenir Next"/>
          <w:spacing w:val="4"/>
        </w:rPr>
        <w:t xml:space="preserve"> </w:t>
      </w:r>
      <w:r>
        <w:rPr>
          <w:rFonts w:cs="Avenir Next"/>
        </w:rPr>
        <w:t xml:space="preserve">adjustment in </w:t>
      </w:r>
      <w:r>
        <w:rPr>
          <w:rFonts w:cs="Avenir Next"/>
          <w:spacing w:val="-1"/>
        </w:rPr>
        <w:t>water</w:t>
      </w:r>
      <w:r>
        <w:rPr>
          <w:rFonts w:cs="Avenir Next"/>
        </w:rPr>
        <w:t xml:space="preserve"> and </w:t>
      </w:r>
      <w:r>
        <w:rPr>
          <w:rFonts w:cs="Avenir Next"/>
          <w:spacing w:val="-1"/>
        </w:rPr>
        <w:t>sewerage</w:t>
      </w:r>
      <w:r>
        <w:rPr>
          <w:rFonts w:cs="Avenir Next"/>
        </w:rPr>
        <w:t xml:space="preserve"> services</w:t>
      </w:r>
      <w:r>
        <w:rPr>
          <w:rFonts w:cs="Avenir Next"/>
          <w:spacing w:val="47"/>
        </w:rPr>
        <w:t xml:space="preserve"> </w:t>
      </w:r>
      <w:r>
        <w:rPr>
          <w:rFonts w:cs="Avenir Next"/>
        </w:rPr>
        <w:t xml:space="preserve">prices </w:t>
      </w:r>
      <w:r>
        <w:rPr>
          <w:rFonts w:cs="Avenir Next"/>
          <w:spacing w:val="-1"/>
        </w:rPr>
        <w:t>required</w:t>
      </w:r>
      <w:r>
        <w:rPr>
          <w:rFonts w:cs="Avenir Next"/>
        </w:rPr>
        <w:t xml:space="preserve"> to </w:t>
      </w:r>
      <w:r>
        <w:rPr>
          <w:rFonts w:cs="Avenir Next"/>
          <w:spacing w:val="-1"/>
        </w:rPr>
        <w:t>ensure</w:t>
      </w:r>
      <w:r>
        <w:rPr>
          <w:rFonts w:cs="Avenir Next"/>
        </w:rPr>
        <w:t xml:space="preserve"> the continued viability of</w:t>
      </w:r>
      <w:r>
        <w:rPr>
          <w:rFonts w:cs="Avenir Next"/>
          <w:spacing w:val="1"/>
        </w:rPr>
        <w:t xml:space="preserve"> </w:t>
      </w:r>
      <w:r>
        <w:rPr>
          <w:rFonts w:cs="Avenir Next"/>
          <w:spacing w:val="-2"/>
        </w:rPr>
        <w:t>ACTEW</w:t>
      </w:r>
      <w:r>
        <w:rPr>
          <w:rFonts w:cs="Avenir Next"/>
          <w:spacing w:val="-3"/>
        </w:rPr>
        <w:t xml:space="preserve"> </w:t>
      </w:r>
      <w:r>
        <w:rPr>
          <w:rFonts w:cs="Avenir Next"/>
        </w:rPr>
        <w:t xml:space="preserve">and </w:t>
      </w:r>
      <w:r>
        <w:rPr>
          <w:rFonts w:cs="Avenir Next"/>
          <w:spacing w:val="-1"/>
        </w:rPr>
        <w:t>provide</w:t>
      </w:r>
      <w:r>
        <w:rPr>
          <w:rFonts w:cs="Avenir Next"/>
        </w:rPr>
        <w:t xml:space="preserve"> government with</w:t>
      </w:r>
    </w:p>
    <w:p w:rsidR="00D96B91" w:rsidRDefault="00D96B91">
      <w:pPr>
        <w:spacing w:before="3"/>
        <w:rPr>
          <w:rFonts w:ascii="Avenir Next" w:eastAsia="Avenir Next" w:hAnsi="Avenir Next" w:cs="Avenir Next"/>
          <w:sz w:val="24"/>
          <w:szCs w:val="24"/>
        </w:rPr>
      </w:pPr>
    </w:p>
    <w:tbl>
      <w:tblPr>
        <w:tblW w:w="0" w:type="auto"/>
        <w:tblInd w:w="1247" w:type="dxa"/>
        <w:tblLayout w:type="fixed"/>
        <w:tblCellMar>
          <w:left w:w="0" w:type="dxa"/>
          <w:right w:w="0" w:type="dxa"/>
        </w:tblCellMar>
        <w:tblLook w:val="01E0"/>
      </w:tblPr>
      <w:tblGrid>
        <w:gridCol w:w="348"/>
        <w:gridCol w:w="6641"/>
      </w:tblGrid>
      <w:tr w:rsidR="00D96B91">
        <w:trPr>
          <w:trHeight w:hRule="exact" w:val="355"/>
        </w:trPr>
        <w:tc>
          <w:tcPr>
            <w:tcW w:w="348" w:type="dxa"/>
            <w:tcBorders>
              <w:top w:val="single" w:sz="4" w:space="0" w:color="000000"/>
              <w:left w:val="nil"/>
              <w:bottom w:val="nil"/>
              <w:right w:val="nil"/>
            </w:tcBorders>
          </w:tcPr>
          <w:p w:rsidR="00D96B91" w:rsidRDefault="00C2656B">
            <w:pPr>
              <w:pStyle w:val="TableParagraph"/>
              <w:spacing w:before="61"/>
              <w:rPr>
                <w:rFonts w:ascii="Avenir Next" w:eastAsia="Avenir Next" w:hAnsi="Avenir Next" w:cs="Avenir Next"/>
                <w:sz w:val="16"/>
                <w:szCs w:val="16"/>
              </w:rPr>
            </w:pPr>
            <w:r>
              <w:rPr>
                <w:rFonts w:ascii="Avenir Next"/>
                <w:sz w:val="16"/>
              </w:rPr>
              <w:t>15</w:t>
            </w:r>
          </w:p>
        </w:tc>
        <w:tc>
          <w:tcPr>
            <w:tcW w:w="6641" w:type="dxa"/>
            <w:tcBorders>
              <w:top w:val="nil"/>
              <w:left w:val="nil"/>
              <w:bottom w:val="nil"/>
              <w:right w:val="nil"/>
            </w:tcBorders>
          </w:tcPr>
          <w:p w:rsidR="00D96B91" w:rsidRDefault="00C2656B">
            <w:pPr>
              <w:pStyle w:val="TableParagraph"/>
              <w:spacing w:before="66"/>
              <w:ind w:left="162"/>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iii and 66.</w:t>
            </w:r>
          </w:p>
        </w:tc>
      </w:tr>
      <w:tr w:rsidR="00D96B91">
        <w:trPr>
          <w:trHeight w:hRule="exact" w:val="34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16</w:t>
            </w:r>
          </w:p>
        </w:tc>
        <w:tc>
          <w:tcPr>
            <w:tcW w:w="6641"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112.</w:t>
            </w:r>
          </w:p>
        </w:tc>
      </w:tr>
      <w:tr w:rsidR="00D96B91">
        <w:trPr>
          <w:trHeight w:hRule="exact" w:val="34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17</w:t>
            </w:r>
          </w:p>
        </w:tc>
        <w:tc>
          <w:tcPr>
            <w:tcW w:w="6641"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66-67.</w:t>
            </w:r>
          </w:p>
        </w:tc>
      </w:tr>
      <w:tr w:rsidR="00D96B91">
        <w:trPr>
          <w:trHeight w:hRule="exact" w:val="31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18</w:t>
            </w:r>
          </w:p>
        </w:tc>
        <w:tc>
          <w:tcPr>
            <w:tcW w:w="6641"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3-4.</w:t>
            </w:r>
          </w:p>
        </w:tc>
      </w:tr>
    </w:tbl>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left="1644" w:right="1548"/>
      </w:pPr>
      <w:r>
        <w:t xml:space="preserve">an </w:t>
      </w:r>
      <w:r>
        <w:rPr>
          <w:spacing w:val="-1"/>
        </w:rPr>
        <w:t>appropriate</w:t>
      </w:r>
      <w:r>
        <w:t xml:space="preserve"> </w:t>
      </w:r>
      <w:r>
        <w:rPr>
          <w:spacing w:val="-1"/>
        </w:rPr>
        <w:t>return</w:t>
      </w:r>
      <w:r>
        <w:t xml:space="preserve"> on equity </w:t>
      </w:r>
      <w:r>
        <w:rPr>
          <w:spacing w:val="-1"/>
        </w:rPr>
        <w:t>requires</w:t>
      </w:r>
      <w:r>
        <w:t xml:space="preserve"> a </w:t>
      </w:r>
      <w:r>
        <w:rPr>
          <w:spacing w:val="-1"/>
        </w:rPr>
        <w:t>gradual</w:t>
      </w:r>
      <w:r>
        <w:t xml:space="preserve"> </w:t>
      </w:r>
      <w:r>
        <w:rPr>
          <w:spacing w:val="-1"/>
        </w:rPr>
        <w:t>transition.</w:t>
      </w:r>
      <w:r>
        <w:rPr>
          <w:spacing w:val="-6"/>
        </w:rPr>
        <w:t xml:space="preserve"> </w:t>
      </w:r>
      <w:r>
        <w:t xml:space="preserve">In </w:t>
      </w:r>
      <w:r>
        <w:rPr>
          <w:spacing w:val="-1"/>
        </w:rPr>
        <w:t>reaching</w:t>
      </w:r>
      <w:r>
        <w:t xml:space="preserve"> this conclusion the</w:t>
      </w:r>
      <w:r>
        <w:rPr>
          <w:spacing w:val="43"/>
        </w:rPr>
        <w:t xml:space="preserve"> </w:t>
      </w:r>
      <w:r>
        <w:rPr>
          <w:rFonts w:cs="Avenir Next"/>
          <w:spacing w:val="-1"/>
        </w:rPr>
        <w:t>Commission</w:t>
      </w:r>
      <w:r>
        <w:rPr>
          <w:rFonts w:cs="Avenir Next"/>
        </w:rPr>
        <w:t xml:space="preserve"> has been mindful of</w:t>
      </w:r>
      <w:r>
        <w:rPr>
          <w:rFonts w:cs="Avenir Next"/>
          <w:spacing w:val="4"/>
        </w:rPr>
        <w:t xml:space="preserve"> </w:t>
      </w:r>
      <w:r>
        <w:rPr>
          <w:rFonts w:cs="Avenir Next"/>
        </w:rPr>
        <w:t xml:space="preserve">the </w:t>
      </w:r>
      <w:r>
        <w:rPr>
          <w:rFonts w:cs="Avenir Next"/>
          <w:spacing w:val="-1"/>
        </w:rPr>
        <w:t>strong</w:t>
      </w:r>
      <w:r>
        <w:rPr>
          <w:rFonts w:cs="Avenir Next"/>
        </w:rPr>
        <w:t xml:space="preserve"> </w:t>
      </w:r>
      <w:r>
        <w:rPr>
          <w:rFonts w:cs="Avenir Next"/>
          <w:spacing w:val="-1"/>
        </w:rPr>
        <w:t>preference,</w:t>
      </w:r>
      <w:r>
        <w:rPr>
          <w:rFonts w:cs="Avenir Next"/>
          <w:spacing w:val="-6"/>
        </w:rPr>
        <w:t xml:space="preserve"> </w:t>
      </w:r>
      <w:r>
        <w:rPr>
          <w:rFonts w:cs="Avenir Next"/>
          <w:spacing w:val="-1"/>
        </w:rPr>
        <w:t>expressed</w:t>
      </w:r>
      <w:r>
        <w:rPr>
          <w:rFonts w:cs="Avenir Next"/>
        </w:rPr>
        <w:t xml:space="preserve"> in submissions </w:t>
      </w:r>
      <w:r>
        <w:rPr>
          <w:rFonts w:cs="Avenir Next"/>
          <w:spacing w:val="-1"/>
        </w:rPr>
        <w:t>from</w:t>
      </w:r>
      <w:r>
        <w:rPr>
          <w:rFonts w:cs="Avenir Next"/>
        </w:rPr>
        <w:t xml:space="preserve"> both</w:t>
      </w:r>
      <w:r>
        <w:rPr>
          <w:rFonts w:cs="Avenir Next"/>
          <w:spacing w:val="31"/>
        </w:rPr>
        <w:t xml:space="preserve"> </w:t>
      </w:r>
      <w:r>
        <w:rPr>
          <w:rFonts w:cs="Avenir Next"/>
        </w:rPr>
        <w:t xml:space="preserve">government and the wider </w:t>
      </w:r>
      <w:r>
        <w:rPr>
          <w:rFonts w:cs="Avenir Next"/>
          <w:spacing w:val="-1"/>
        </w:rPr>
        <w:t>community,</w:t>
      </w:r>
      <w:r>
        <w:rPr>
          <w:rFonts w:cs="Avenir Next"/>
          <w:spacing w:val="-6"/>
        </w:rPr>
        <w:t xml:space="preserve"> </w:t>
      </w:r>
      <w:r>
        <w:rPr>
          <w:rFonts w:cs="Avenir Next"/>
        </w:rPr>
        <w:t xml:space="preserve">to </w:t>
      </w:r>
      <w:r>
        <w:rPr>
          <w:rFonts w:cs="Avenir Next"/>
          <w:spacing w:val="-1"/>
        </w:rPr>
        <w:t>spread</w:t>
      </w:r>
      <w:r>
        <w:rPr>
          <w:rFonts w:cs="Avenir Next"/>
        </w:rPr>
        <w:t xml:space="preserve"> the </w:t>
      </w:r>
      <w:r>
        <w:rPr>
          <w:rFonts w:cs="Avenir Next"/>
          <w:spacing w:val="-1"/>
        </w:rPr>
        <w:t>burden</w:t>
      </w:r>
      <w:r>
        <w:rPr>
          <w:rFonts w:cs="Avenir Next"/>
        </w:rPr>
        <w:t xml:space="preserve"> of</w:t>
      </w:r>
      <w:r>
        <w:rPr>
          <w:rFonts w:cs="Avenir Next"/>
          <w:spacing w:val="4"/>
        </w:rPr>
        <w:t xml:space="preserve"> </w:t>
      </w:r>
      <w:r>
        <w:rPr>
          <w:rFonts w:cs="Avenir Next"/>
        </w:rPr>
        <w:t xml:space="preserve">funding the </w:t>
      </w:r>
      <w:r>
        <w:rPr>
          <w:rFonts w:cs="Avenir Next"/>
          <w:spacing w:val="-1"/>
        </w:rPr>
        <w:t>water</w:t>
      </w:r>
      <w:r>
        <w:rPr>
          <w:rFonts w:cs="Avenir Next"/>
        </w:rPr>
        <w:t xml:space="preserve"> security</w:t>
      </w:r>
      <w:r>
        <w:rPr>
          <w:rFonts w:cs="Avenir Next"/>
          <w:spacing w:val="27"/>
        </w:rPr>
        <w:t xml:space="preserve"> </w:t>
      </w:r>
      <w:r>
        <w:t xml:space="preserve">investments beyond </w:t>
      </w:r>
      <w:r>
        <w:rPr>
          <w:spacing w:val="-1"/>
        </w:rPr>
        <w:t>current</w:t>
      </w:r>
      <w:r>
        <w:rPr>
          <w:spacing w:val="-4"/>
        </w:rPr>
        <w:t xml:space="preserve"> </w:t>
      </w:r>
      <w:r>
        <w:rPr>
          <w:spacing w:val="-2"/>
        </w:rPr>
        <w:t>ACTEW</w:t>
      </w:r>
      <w:r>
        <w:rPr>
          <w:spacing w:val="-3"/>
        </w:rPr>
        <w:t xml:space="preserve"> </w:t>
      </w:r>
      <w:r>
        <w:t>customers.</w:t>
      </w:r>
      <w:r>
        <w:rPr>
          <w:spacing w:val="-6"/>
        </w:rPr>
        <w:t xml:space="preserve"> </w:t>
      </w:r>
      <w:r>
        <w:t xml:space="preserve">Such a </w:t>
      </w:r>
      <w:r>
        <w:rPr>
          <w:spacing w:val="-1"/>
        </w:rPr>
        <w:t>transition</w:t>
      </w:r>
      <w:r>
        <w:t xml:space="preserve"> can only be funded </w:t>
      </w:r>
      <w:r>
        <w:rPr>
          <w:spacing w:val="-1"/>
        </w:rPr>
        <w:t>through</w:t>
      </w:r>
      <w:r>
        <w:rPr>
          <w:spacing w:val="35"/>
        </w:rPr>
        <w:t xml:space="preserve"> </w:t>
      </w:r>
      <w:r>
        <w:t>the government budget….</w:t>
      </w:r>
    </w:p>
    <w:p w:rsidR="00D96B91" w:rsidRDefault="00C2656B">
      <w:pPr>
        <w:pStyle w:val="BodyText"/>
        <w:spacing w:before="170" w:line="260" w:lineRule="exact"/>
        <w:ind w:left="1644" w:right="1585"/>
      </w:pPr>
      <w:r>
        <w:rPr>
          <w:rFonts w:cs="Avenir Next"/>
        </w:rPr>
        <w:t xml:space="preserve">In designing a </w:t>
      </w:r>
      <w:r>
        <w:rPr>
          <w:rFonts w:cs="Avenir Next"/>
          <w:spacing w:val="-1"/>
        </w:rPr>
        <w:t>transition,</w:t>
      </w:r>
      <w:r>
        <w:rPr>
          <w:rFonts w:cs="Avenir Next"/>
          <w:spacing w:val="-6"/>
        </w:rPr>
        <w:t xml:space="preserve"> </w:t>
      </w:r>
      <w:r>
        <w:rPr>
          <w:rFonts w:cs="Avenir Next"/>
        </w:rPr>
        <w:t xml:space="preserve">the </w:t>
      </w:r>
      <w:r>
        <w:rPr>
          <w:rFonts w:cs="Avenir Next"/>
          <w:spacing w:val="-1"/>
        </w:rPr>
        <w:t>Commission</w:t>
      </w:r>
      <w:r>
        <w:rPr>
          <w:rFonts w:cs="Avenir Next"/>
        </w:rPr>
        <w:t xml:space="preserve"> has had </w:t>
      </w:r>
      <w:r>
        <w:rPr>
          <w:rFonts w:cs="Avenir Next"/>
          <w:spacing w:val="-2"/>
        </w:rPr>
        <w:t>regard</w:t>
      </w:r>
      <w:r>
        <w:rPr>
          <w:rFonts w:cs="Avenir Next"/>
        </w:rPr>
        <w:t xml:space="preserve"> to the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on equity</w:t>
      </w:r>
      <w:r>
        <w:rPr>
          <w:rFonts w:cs="Avenir Next"/>
          <w:spacing w:val="49"/>
        </w:rPr>
        <w:t xml:space="preserve"> </w:t>
      </w:r>
      <w:r>
        <w:rPr>
          <w:rFonts w:cs="Avenir Next"/>
        </w:rPr>
        <w:t>achieved by</w:t>
      </w:r>
      <w:r>
        <w:rPr>
          <w:rFonts w:cs="Avenir Next"/>
          <w:spacing w:val="-4"/>
        </w:rPr>
        <w:t xml:space="preserve"> </w:t>
      </w:r>
      <w:r>
        <w:rPr>
          <w:rFonts w:cs="Avenir Next"/>
          <w:spacing w:val="-2"/>
        </w:rPr>
        <w:t>ACTEW</w:t>
      </w:r>
      <w:r>
        <w:rPr>
          <w:rFonts w:cs="Avenir Next"/>
          <w:spacing w:val="-3"/>
        </w:rPr>
        <w:t xml:space="preserve"> </w:t>
      </w:r>
      <w:r>
        <w:rPr>
          <w:rFonts w:cs="Avenir Next"/>
        </w:rPr>
        <w:t xml:space="preserve">in </w:t>
      </w:r>
      <w:r>
        <w:rPr>
          <w:rFonts w:cs="Avenir Next"/>
          <w:spacing w:val="-1"/>
        </w:rPr>
        <w:t>recent</w:t>
      </w:r>
      <w:r>
        <w:rPr>
          <w:rFonts w:cs="Avenir Next"/>
        </w:rPr>
        <w:t xml:space="preserve"> </w:t>
      </w:r>
      <w:r>
        <w:rPr>
          <w:rFonts w:cs="Avenir Next"/>
          <w:spacing w:val="-1"/>
        </w:rPr>
        <w:t>years,</w:t>
      </w:r>
      <w:r>
        <w:rPr>
          <w:rFonts w:cs="Avenir Next"/>
          <w:spacing w:val="-7"/>
        </w:rPr>
        <w:t xml:space="preserve"> </w:t>
      </w:r>
      <w:r>
        <w:rPr>
          <w:rFonts w:cs="Avenir Next"/>
        </w:rPr>
        <w:t>as well as the analysis of</w:t>
      </w:r>
      <w:r>
        <w:rPr>
          <w:rFonts w:cs="Avenir Next"/>
          <w:spacing w:val="4"/>
        </w:rPr>
        <w:t xml:space="preserve"> </w:t>
      </w:r>
      <w:r>
        <w:rPr>
          <w:rFonts w:cs="Avenir Next"/>
        </w:rPr>
        <w:t xml:space="preserve">the </w:t>
      </w:r>
      <w:r>
        <w:rPr>
          <w:rFonts w:cs="Avenir Next"/>
          <w:spacing w:val="-1"/>
        </w:rPr>
        <w:t>Commission</w:t>
      </w:r>
      <w:r>
        <w:rPr>
          <w:rFonts w:cs="Avenir Next"/>
        </w:rPr>
        <w:t xml:space="preserve"> and views</w:t>
      </w:r>
      <w:r>
        <w:rPr>
          <w:rFonts w:cs="Avenir Next"/>
          <w:spacing w:val="35"/>
        </w:rPr>
        <w:t xml:space="preserve"> </w:t>
      </w:r>
      <w:r>
        <w:rPr>
          <w:spacing w:val="-1"/>
        </w:rPr>
        <w:t>expressed</w:t>
      </w:r>
      <w:r>
        <w:t xml:space="preserve"> by government cited above.</w:t>
      </w:r>
      <w:r>
        <w:rPr>
          <w:spacing w:val="-11"/>
        </w:rPr>
        <w:t xml:space="preserve"> </w:t>
      </w:r>
      <w:r>
        <w:rPr>
          <w:spacing w:val="-2"/>
        </w:rPr>
        <w:t>The</w:t>
      </w:r>
      <w:r>
        <w:t xml:space="preserve"> </w:t>
      </w:r>
      <w:r>
        <w:rPr>
          <w:spacing w:val="-2"/>
        </w:rPr>
        <w:t>rate</w:t>
      </w:r>
      <w:r>
        <w:t xml:space="preserve"> of</w:t>
      </w:r>
      <w:r>
        <w:rPr>
          <w:spacing w:val="4"/>
        </w:rPr>
        <w:t xml:space="preserve"> </w:t>
      </w:r>
      <w:r>
        <w:rPr>
          <w:spacing w:val="-1"/>
        </w:rPr>
        <w:t>return</w:t>
      </w:r>
      <w:r>
        <w:t xml:space="preserve"> on </w:t>
      </w:r>
      <w:r>
        <w:rPr>
          <w:spacing w:val="-2"/>
        </w:rPr>
        <w:t>equity,</w:t>
      </w:r>
      <w:r>
        <w:rPr>
          <w:spacing w:val="-6"/>
        </w:rPr>
        <w:t xml:space="preserve"> </w:t>
      </w:r>
      <w:r>
        <w:rPr>
          <w:spacing w:val="-1"/>
        </w:rPr>
        <w:t>measured</w:t>
      </w:r>
      <w:r>
        <w:t xml:space="preserve"> against 40 per</w:t>
      </w:r>
      <w:r>
        <w:rPr>
          <w:spacing w:val="37"/>
        </w:rPr>
        <w:t xml:space="preserve"> </w:t>
      </w:r>
      <w:r>
        <w:t>cent</w:t>
      </w:r>
      <w:r>
        <w:rPr>
          <w:spacing w:val="-1"/>
        </w:rPr>
        <w:t xml:space="preserve"> </w:t>
      </w:r>
      <w:r>
        <w:t>of</w:t>
      </w:r>
      <w:r>
        <w:rPr>
          <w:spacing w:val="4"/>
        </w:rPr>
        <w:t xml:space="preserve"> </w:t>
      </w:r>
      <w:r>
        <w:t>the RAB,</w:t>
      </w:r>
      <w:r>
        <w:rPr>
          <w:spacing w:val="-6"/>
        </w:rPr>
        <w:t xml:space="preserve"> </w:t>
      </w:r>
      <w:r>
        <w:t xml:space="preserve">has </w:t>
      </w:r>
      <w:r>
        <w:rPr>
          <w:spacing w:val="-1"/>
        </w:rPr>
        <w:t xml:space="preserve">ranged </w:t>
      </w:r>
      <w:r>
        <w:t>between 2.2 and 5.5 per cent</w:t>
      </w:r>
      <w:r>
        <w:rPr>
          <w:spacing w:val="-1"/>
        </w:rPr>
        <w:t xml:space="preserve"> </w:t>
      </w:r>
      <w:r>
        <w:t xml:space="preserve">over the first four </w:t>
      </w:r>
      <w:r>
        <w:rPr>
          <w:spacing w:val="-1"/>
        </w:rPr>
        <w:t>years</w:t>
      </w:r>
      <w:r>
        <w:t xml:space="preserve"> of</w:t>
      </w:r>
      <w:r>
        <w:rPr>
          <w:spacing w:val="3"/>
        </w:rPr>
        <w:t xml:space="preserve"> </w:t>
      </w:r>
      <w:r>
        <w:t xml:space="preserve">the </w:t>
      </w:r>
      <w:r>
        <w:rPr>
          <w:spacing w:val="-1"/>
        </w:rPr>
        <w:t>current</w:t>
      </w:r>
      <w:r>
        <w:rPr>
          <w:spacing w:val="30"/>
        </w:rPr>
        <w:t xml:space="preserve"> </w:t>
      </w:r>
      <w:r>
        <w:rPr>
          <w:spacing w:val="-1"/>
        </w:rPr>
        <w:t xml:space="preserve">regulatory </w:t>
      </w:r>
      <w:r>
        <w:t>period.</w:t>
      </w:r>
      <w:r>
        <w:rPr>
          <w:spacing w:val="-11"/>
        </w:rPr>
        <w:t xml:space="preserve"> </w:t>
      </w:r>
      <w:r>
        <w:rPr>
          <w:spacing w:val="-2"/>
        </w:rPr>
        <w:t>The</w:t>
      </w:r>
      <w:r>
        <w:t xml:space="preserve"> </w:t>
      </w:r>
      <w:r>
        <w:rPr>
          <w:spacing w:val="-1"/>
        </w:rPr>
        <w:t>Commission</w:t>
      </w:r>
      <w:r>
        <w:t xml:space="preserve"> </w:t>
      </w:r>
      <w:r>
        <w:rPr>
          <w:spacing w:val="-1"/>
        </w:rPr>
        <w:t>proposes</w:t>
      </w:r>
      <w:r>
        <w:t xml:space="preserve"> to</w:t>
      </w:r>
      <w:r>
        <w:rPr>
          <w:spacing w:val="-1"/>
        </w:rPr>
        <w:t xml:space="preserve"> </w:t>
      </w:r>
      <w:r>
        <w:t xml:space="preserve">adopt a </w:t>
      </w:r>
      <w:r>
        <w:rPr>
          <w:spacing w:val="-2"/>
        </w:rPr>
        <w:t>rate</w:t>
      </w:r>
      <w:r>
        <w:t xml:space="preserve"> of</w:t>
      </w:r>
      <w:r>
        <w:rPr>
          <w:spacing w:val="3"/>
        </w:rPr>
        <w:t xml:space="preserve"> </w:t>
      </w:r>
      <w:r>
        <w:rPr>
          <w:spacing w:val="-1"/>
        </w:rPr>
        <w:t>return</w:t>
      </w:r>
      <w:r>
        <w:t xml:space="preserve"> on equity for the</w:t>
      </w:r>
      <w:r>
        <w:rPr>
          <w:spacing w:val="-1"/>
        </w:rPr>
        <w:t xml:space="preserve"> </w:t>
      </w:r>
      <w:r>
        <w:t>first two</w:t>
      </w:r>
      <w:r>
        <w:rPr>
          <w:spacing w:val="45"/>
        </w:rPr>
        <w:t xml:space="preserve"> </w:t>
      </w:r>
      <w:r>
        <w:rPr>
          <w:spacing w:val="-1"/>
        </w:rPr>
        <w:t>years</w:t>
      </w:r>
      <w:r>
        <w:t xml:space="preserve"> of</w:t>
      </w:r>
      <w:r>
        <w:rPr>
          <w:spacing w:val="4"/>
        </w:rPr>
        <w:t xml:space="preserve"> </w:t>
      </w:r>
      <w:r>
        <w:t xml:space="preserve">the </w:t>
      </w:r>
      <w:r>
        <w:rPr>
          <w:spacing w:val="-1"/>
        </w:rPr>
        <w:t>regulatory</w:t>
      </w:r>
      <w:r>
        <w:t xml:space="preserve"> period of</w:t>
      </w:r>
      <w:r>
        <w:rPr>
          <w:spacing w:val="4"/>
        </w:rPr>
        <w:t xml:space="preserve"> </w:t>
      </w:r>
      <w:r>
        <w:t>2.8 per cent.</w:t>
      </w:r>
      <w:r>
        <w:rPr>
          <w:spacing w:val="-9"/>
        </w:rPr>
        <w:t xml:space="preserve"> </w:t>
      </w:r>
      <w:r>
        <w:t xml:space="preserve">With </w:t>
      </w:r>
      <w:r>
        <w:rPr>
          <w:spacing w:val="-1"/>
        </w:rPr>
        <w:t>water</w:t>
      </w:r>
      <w:r>
        <w:t xml:space="preserve"> sales </w:t>
      </w:r>
      <w:r>
        <w:rPr>
          <w:spacing w:val="-1"/>
        </w:rPr>
        <w:t>at</w:t>
      </w:r>
      <w:r>
        <w:t xml:space="preserve"> the </w:t>
      </w:r>
      <w:r>
        <w:rPr>
          <w:spacing w:val="-2"/>
        </w:rPr>
        <w:t>Commission’s</w:t>
      </w:r>
      <w:r>
        <w:t xml:space="preserve"> </w:t>
      </w:r>
      <w:r>
        <w:rPr>
          <w:spacing w:val="-1"/>
        </w:rPr>
        <w:t>forecast</w:t>
      </w:r>
      <w:r>
        <w:t xml:space="preserve"> of</w:t>
      </w:r>
      <w:r>
        <w:rPr>
          <w:spacing w:val="51"/>
        </w:rPr>
        <w:t xml:space="preserve"> </w:t>
      </w:r>
      <w:r>
        <w:t>38 GL</w:t>
      </w:r>
      <w:r>
        <w:rPr>
          <w:spacing w:val="-5"/>
        </w:rPr>
        <w:t xml:space="preserve"> </w:t>
      </w:r>
      <w:r>
        <w:t xml:space="preserve">per </w:t>
      </w:r>
      <w:r>
        <w:rPr>
          <w:spacing w:val="-3"/>
        </w:rPr>
        <w:t>year,</w:t>
      </w:r>
      <w:r>
        <w:rPr>
          <w:spacing w:val="-6"/>
        </w:rPr>
        <w:t xml:space="preserve"> </w:t>
      </w:r>
      <w:r>
        <w:t xml:space="preserve">this should </w:t>
      </w:r>
      <w:r>
        <w:rPr>
          <w:spacing w:val="-1"/>
        </w:rPr>
        <w:t>produce</w:t>
      </w:r>
      <w:r>
        <w:t xml:space="preserve"> net income for the </w:t>
      </w:r>
      <w:r>
        <w:rPr>
          <w:spacing w:val="-1"/>
        </w:rPr>
        <w:t>water</w:t>
      </w:r>
      <w:r>
        <w:t xml:space="preserve"> and </w:t>
      </w:r>
      <w:r>
        <w:rPr>
          <w:spacing w:val="-1"/>
        </w:rPr>
        <w:t>sewerage</w:t>
      </w:r>
      <w:r>
        <w:t xml:space="preserve"> business of</w:t>
      </w:r>
      <w:r>
        <w:rPr>
          <w:spacing w:val="4"/>
        </w:rPr>
        <w:t xml:space="preserve"> </w:t>
      </w:r>
      <w:r>
        <w:t>about</w:t>
      </w:r>
    </w:p>
    <w:p w:rsidR="00D96B91" w:rsidRDefault="00C2656B">
      <w:pPr>
        <w:pStyle w:val="BodyText"/>
        <w:spacing w:line="260" w:lineRule="exact"/>
        <w:ind w:left="1644" w:right="1548"/>
      </w:pPr>
      <w:r>
        <w:t>$21</w:t>
      </w:r>
      <w:r>
        <w:rPr>
          <w:spacing w:val="-1"/>
        </w:rPr>
        <w:t xml:space="preserve"> </w:t>
      </w:r>
      <w:r>
        <w:t>million or about 70 per</w:t>
      </w:r>
      <w:r>
        <w:rPr>
          <w:spacing w:val="-1"/>
        </w:rPr>
        <w:t xml:space="preserve"> </w:t>
      </w:r>
      <w:r>
        <w:t>cent of</w:t>
      </w:r>
      <w:r>
        <w:rPr>
          <w:spacing w:val="4"/>
        </w:rPr>
        <w:t xml:space="preserve"> </w:t>
      </w:r>
      <w:r>
        <w:t xml:space="preserve">the </w:t>
      </w:r>
      <w:r>
        <w:rPr>
          <w:spacing w:val="-1"/>
        </w:rPr>
        <w:t>average</w:t>
      </w:r>
      <w:r>
        <w:t xml:space="preserve"> net income</w:t>
      </w:r>
      <w:r>
        <w:rPr>
          <w:spacing w:val="-1"/>
        </w:rPr>
        <w:t xml:space="preserve"> </w:t>
      </w:r>
      <w:r>
        <w:t xml:space="preserve">for the first four </w:t>
      </w:r>
      <w:r>
        <w:rPr>
          <w:spacing w:val="-1"/>
        </w:rPr>
        <w:t>years</w:t>
      </w:r>
      <w:r>
        <w:t xml:space="preserve"> of</w:t>
      </w:r>
      <w:r>
        <w:rPr>
          <w:spacing w:val="3"/>
        </w:rPr>
        <w:t xml:space="preserve"> </w:t>
      </w:r>
      <w:r>
        <w:t xml:space="preserve">the </w:t>
      </w:r>
      <w:r>
        <w:rPr>
          <w:spacing w:val="-1"/>
        </w:rPr>
        <w:t>current</w:t>
      </w:r>
      <w:r>
        <w:rPr>
          <w:spacing w:val="21"/>
        </w:rPr>
        <w:t xml:space="preserve"> </w:t>
      </w:r>
      <w:r>
        <w:rPr>
          <w:spacing w:val="-1"/>
        </w:rPr>
        <w:t>regulatory</w:t>
      </w:r>
      <w:r>
        <w:t xml:space="preserve"> period.</w:t>
      </w:r>
    </w:p>
    <w:p w:rsidR="00D96B91" w:rsidRDefault="00C2656B">
      <w:pPr>
        <w:pStyle w:val="BodyText"/>
        <w:spacing w:before="170" w:line="260" w:lineRule="exact"/>
        <w:ind w:left="1644" w:right="1548"/>
        <w:rPr>
          <w:rFonts w:cs="Avenir Next"/>
        </w:rPr>
      </w:pPr>
      <w:r>
        <w:rPr>
          <w:rFonts w:cs="Avenir Next"/>
          <w:spacing w:val="-1"/>
        </w:rPr>
        <w:t>This</w:t>
      </w:r>
      <w:r>
        <w:rPr>
          <w:rFonts w:cs="Avenir Next"/>
        </w:rPr>
        <w:t xml:space="preserv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on equity is substantially below </w:t>
      </w:r>
      <w:r>
        <w:rPr>
          <w:rFonts w:cs="Avenir Next"/>
          <w:spacing w:val="-1"/>
        </w:rPr>
        <w:t>that</w:t>
      </w:r>
      <w:r>
        <w:rPr>
          <w:rFonts w:cs="Avenir Next"/>
        </w:rPr>
        <w:t xml:space="preserve"> </w:t>
      </w:r>
      <w:r>
        <w:rPr>
          <w:rFonts w:cs="Avenir Next"/>
          <w:spacing w:val="-1"/>
        </w:rPr>
        <w:t>proposed</w:t>
      </w:r>
      <w:r>
        <w:rPr>
          <w:rFonts w:cs="Avenir Next"/>
        </w:rPr>
        <w:t xml:space="preserve"> in the </w:t>
      </w:r>
      <w:r>
        <w:rPr>
          <w:rFonts w:cs="Avenir Next"/>
          <w:spacing w:val="-2"/>
        </w:rPr>
        <w:t>draft</w:t>
      </w:r>
      <w:r>
        <w:rPr>
          <w:rFonts w:cs="Avenir Next"/>
        </w:rPr>
        <w:t xml:space="preserve"> </w:t>
      </w:r>
      <w:r>
        <w:rPr>
          <w:rFonts w:cs="Avenir Next"/>
          <w:spacing w:val="-2"/>
        </w:rPr>
        <w:t>report</w:t>
      </w:r>
      <w:r>
        <w:rPr>
          <w:rFonts w:cs="Avenir Next"/>
        </w:rPr>
        <w:t xml:space="preserve"> and </w:t>
      </w:r>
      <w:r>
        <w:rPr>
          <w:rFonts w:cs="Avenir Next"/>
          <w:spacing w:val="-1"/>
        </w:rPr>
        <w:t>that</w:t>
      </w:r>
      <w:r>
        <w:rPr>
          <w:rFonts w:cs="Avenir Next"/>
          <w:spacing w:val="41"/>
        </w:rPr>
        <w:t xml:space="preserve"> </w:t>
      </w:r>
      <w:r>
        <w:rPr>
          <w:rFonts w:cs="Avenir Next"/>
          <w:spacing w:val="-1"/>
        </w:rPr>
        <w:t>proposed</w:t>
      </w:r>
      <w:r>
        <w:rPr>
          <w:rFonts w:cs="Avenir Next"/>
        </w:rPr>
        <w:t xml:space="preserve"> in the </w:t>
      </w:r>
      <w:r>
        <w:rPr>
          <w:rFonts w:cs="Avenir Next"/>
          <w:spacing w:val="-1"/>
        </w:rPr>
        <w:t>Government’s</w:t>
      </w:r>
      <w:r>
        <w:rPr>
          <w:rFonts w:cs="Avenir Next"/>
        </w:rPr>
        <w:t xml:space="preserve"> most </w:t>
      </w:r>
      <w:r>
        <w:rPr>
          <w:rFonts w:cs="Avenir Next"/>
          <w:spacing w:val="-1"/>
        </w:rPr>
        <w:t>recent</w:t>
      </w:r>
      <w:r>
        <w:rPr>
          <w:rFonts w:cs="Avenir Next"/>
        </w:rPr>
        <w:t xml:space="preserve"> submission…</w:t>
      </w:r>
    </w:p>
    <w:p w:rsidR="00D96B91" w:rsidRDefault="00C2656B">
      <w:pPr>
        <w:pStyle w:val="BodyText"/>
        <w:spacing w:before="170" w:line="260" w:lineRule="exact"/>
        <w:ind w:left="1644" w:right="1513"/>
      </w:pPr>
      <w:r>
        <w:rPr>
          <w:rFonts w:cs="Avenir Next"/>
        </w:rPr>
        <w:t xml:space="preserve">Subject to any submissions made in the biennial </w:t>
      </w:r>
      <w:r>
        <w:rPr>
          <w:rFonts w:cs="Avenir Next"/>
          <w:spacing w:val="-1"/>
        </w:rPr>
        <w:t>recalibrations</w:t>
      </w:r>
      <w:r>
        <w:rPr>
          <w:rFonts w:cs="Avenir Next"/>
        </w:rPr>
        <w:t xml:space="preserve"> and evolving business conditions</w:t>
      </w:r>
      <w:r>
        <w:rPr>
          <w:rFonts w:cs="Avenir Next"/>
          <w:spacing w:val="26"/>
        </w:rPr>
        <w:t xml:space="preserve"> </w:t>
      </w:r>
      <w:r>
        <w:rPr>
          <w:rFonts w:cs="Avenir Next"/>
        </w:rPr>
        <w:t>for</w:t>
      </w:r>
      <w:r>
        <w:rPr>
          <w:rFonts w:cs="Avenir Next"/>
          <w:spacing w:val="-4"/>
        </w:rPr>
        <w:t xml:space="preserve"> </w:t>
      </w:r>
      <w:r>
        <w:rPr>
          <w:rFonts w:cs="Avenir Next"/>
          <w:spacing w:val="-2"/>
        </w:rPr>
        <w:t>ACTEW</w:t>
      </w:r>
      <w:r>
        <w:rPr>
          <w:rFonts w:cs="Avenir Next"/>
          <w:spacing w:val="-3"/>
        </w:rPr>
        <w:t xml:space="preserve"> </w:t>
      </w:r>
      <w:r>
        <w:rPr>
          <w:rFonts w:cs="Avenir Next"/>
        </w:rPr>
        <w:t xml:space="preserve">as the </w:t>
      </w:r>
      <w:r>
        <w:rPr>
          <w:rFonts w:cs="Avenir Next"/>
          <w:spacing w:val="-1"/>
        </w:rPr>
        <w:t>next</w:t>
      </w:r>
      <w:r>
        <w:rPr>
          <w:rFonts w:cs="Avenir Next"/>
        </w:rPr>
        <w:t xml:space="preserve"> </w:t>
      </w:r>
      <w:r>
        <w:rPr>
          <w:rFonts w:cs="Avenir Next"/>
          <w:spacing w:val="-1"/>
        </w:rPr>
        <w:t>regulatory</w:t>
      </w:r>
      <w:r>
        <w:rPr>
          <w:rFonts w:cs="Avenir Next"/>
        </w:rPr>
        <w:t xml:space="preserve"> period unfolds,</w:t>
      </w:r>
      <w:r>
        <w:rPr>
          <w:rFonts w:cs="Avenir Next"/>
          <w:spacing w:val="-7"/>
        </w:rPr>
        <w:t xml:space="preserve"> </w:t>
      </w:r>
      <w:r>
        <w:rPr>
          <w:rFonts w:cs="Avenir Next"/>
        </w:rPr>
        <w:t xml:space="preserve">the </w:t>
      </w:r>
      <w:r>
        <w:rPr>
          <w:rFonts w:cs="Avenir Next"/>
          <w:spacing w:val="-1"/>
        </w:rPr>
        <w:t>Commission</w:t>
      </w:r>
      <w:r>
        <w:rPr>
          <w:rFonts w:cs="Avenir Next"/>
        </w:rPr>
        <w:t xml:space="preserve"> </w:t>
      </w:r>
      <w:r>
        <w:rPr>
          <w:rFonts w:cs="Avenir Next"/>
          <w:spacing w:val="-1"/>
        </w:rPr>
        <w:t>proposes</w:t>
      </w:r>
      <w:r>
        <w:rPr>
          <w:rFonts w:cs="Avenir Next"/>
        </w:rPr>
        <w:t xml:space="preserve"> to </w:t>
      </w:r>
      <w:r>
        <w:rPr>
          <w:rFonts w:cs="Avenir Next"/>
          <w:spacing w:val="-1"/>
        </w:rPr>
        <w:t>lift</w:t>
      </w:r>
      <w:r>
        <w:rPr>
          <w:rFonts w:cs="Avenir Next"/>
        </w:rPr>
        <w:t xml:space="preserve"> the </w:t>
      </w:r>
      <w:r>
        <w:rPr>
          <w:rFonts w:cs="Avenir Next"/>
          <w:spacing w:val="-2"/>
        </w:rPr>
        <w:t>rate</w:t>
      </w:r>
      <w:r>
        <w:rPr>
          <w:rFonts w:cs="Avenir Next"/>
        </w:rPr>
        <w:t xml:space="preserve"> of</w:t>
      </w:r>
      <w:r>
        <w:rPr>
          <w:rFonts w:cs="Avenir Next"/>
          <w:spacing w:val="51"/>
        </w:rPr>
        <w:t xml:space="preserve"> </w:t>
      </w:r>
      <w:r>
        <w:rPr>
          <w:spacing w:val="-1"/>
        </w:rPr>
        <w:t xml:space="preserve">return </w:t>
      </w:r>
      <w:r>
        <w:t>on equity to 4.4 per</w:t>
      </w:r>
      <w:r>
        <w:rPr>
          <w:spacing w:val="-1"/>
        </w:rPr>
        <w:t xml:space="preserve"> </w:t>
      </w:r>
      <w:r>
        <w:t xml:space="preserve">cent </w:t>
      </w:r>
      <w:r>
        <w:rPr>
          <w:spacing w:val="-2"/>
        </w:rPr>
        <w:t>at</w:t>
      </w:r>
      <w:r>
        <w:t xml:space="preserve"> the first biennial </w:t>
      </w:r>
      <w:r>
        <w:rPr>
          <w:spacing w:val="-1"/>
        </w:rPr>
        <w:t xml:space="preserve">recalibration </w:t>
      </w:r>
      <w:r>
        <w:t xml:space="preserve">and to 6 per cent </w:t>
      </w:r>
      <w:r>
        <w:rPr>
          <w:spacing w:val="-1"/>
        </w:rPr>
        <w:t xml:space="preserve">at </w:t>
      </w:r>
      <w:r>
        <w:t>the second.</w:t>
      </w:r>
      <w:r>
        <w:rPr>
          <w:spacing w:val="28"/>
        </w:rPr>
        <w:t xml:space="preserve"> </w:t>
      </w:r>
      <w:r>
        <w:rPr>
          <w:rFonts w:cs="Avenir Next"/>
        </w:rPr>
        <w:t xml:space="preserve">Whether a </w:t>
      </w:r>
      <w:r>
        <w:rPr>
          <w:rFonts w:cs="Avenir Next"/>
          <w:spacing w:val="-1"/>
        </w:rPr>
        <w:t>further</w:t>
      </w:r>
      <w:r>
        <w:rPr>
          <w:rFonts w:cs="Avenir Next"/>
        </w:rPr>
        <w:t xml:space="preserve"> </w:t>
      </w:r>
      <w:r>
        <w:rPr>
          <w:rFonts w:cs="Avenir Next"/>
          <w:spacing w:val="-1"/>
        </w:rPr>
        <w:t>increase</w:t>
      </w:r>
      <w:r>
        <w:rPr>
          <w:rFonts w:cs="Avenir Next"/>
        </w:rPr>
        <w:t xml:space="preserve"> is </w:t>
      </w:r>
      <w:r>
        <w:rPr>
          <w:rFonts w:cs="Avenir Next"/>
          <w:spacing w:val="-1"/>
        </w:rPr>
        <w:t>desirable</w:t>
      </w:r>
      <w:r>
        <w:rPr>
          <w:rFonts w:cs="Avenir Next"/>
        </w:rPr>
        <w:t xml:space="preserve"> could be canvassed in the terms of</w:t>
      </w:r>
      <w:r>
        <w:rPr>
          <w:rFonts w:cs="Avenir Next"/>
          <w:spacing w:val="4"/>
        </w:rPr>
        <w:t xml:space="preserve"> </w:t>
      </w:r>
      <w:r>
        <w:rPr>
          <w:rFonts w:cs="Avenir Next"/>
          <w:spacing w:val="-1"/>
        </w:rPr>
        <w:t>reference</w:t>
      </w:r>
      <w:r>
        <w:rPr>
          <w:rFonts w:cs="Avenir Next"/>
        </w:rPr>
        <w:t xml:space="preserve"> for </w:t>
      </w:r>
      <w:r>
        <w:rPr>
          <w:rFonts w:cs="Avenir Next"/>
          <w:spacing w:val="-1"/>
        </w:rPr>
        <w:t>next</w:t>
      </w:r>
      <w:r>
        <w:rPr>
          <w:rFonts w:cs="Avenir Next"/>
          <w:spacing w:val="31"/>
        </w:rPr>
        <w:t xml:space="preserve"> </w:t>
      </w:r>
      <w:r>
        <w:rPr>
          <w:spacing w:val="-1"/>
        </w:rPr>
        <w:t>review</w:t>
      </w:r>
      <w:r>
        <w:t xml:space="preserve"> of</w:t>
      </w:r>
      <w:r>
        <w:rPr>
          <w:spacing w:val="4"/>
        </w:rPr>
        <w:t xml:space="preserve"> </w:t>
      </w:r>
      <w:r>
        <w:rPr>
          <w:spacing w:val="-1"/>
        </w:rPr>
        <w:t>water</w:t>
      </w:r>
      <w:r>
        <w:t xml:space="preserve"> and </w:t>
      </w:r>
      <w:r>
        <w:rPr>
          <w:spacing w:val="-1"/>
        </w:rPr>
        <w:t>sewerage</w:t>
      </w:r>
      <w:r>
        <w:t xml:space="preserve"> </w:t>
      </w:r>
      <w:r>
        <w:rPr>
          <w:spacing w:val="-2"/>
        </w:rPr>
        <w:t>services.”</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tabs>
          <w:tab w:val="left" w:pos="1927"/>
        </w:tabs>
        <w:spacing w:before="18" w:line="210" w:lineRule="auto"/>
        <w:ind w:left="1927" w:right="1665" w:hanging="681"/>
        <w:rPr>
          <w:rFonts w:ascii="Avenir Next Medium" w:eastAsia="Avenir Next Medium" w:hAnsi="Avenir Next Medium" w:cs="Avenir Next Medium"/>
          <w:sz w:val="40"/>
          <w:szCs w:val="40"/>
        </w:rPr>
      </w:pPr>
      <w:bookmarkStart w:id="30" w:name="4_Understanding_the_regulatory_framework"/>
      <w:bookmarkStart w:id="31" w:name="4._1_Relevant_provisions_of_the_Act"/>
      <w:bookmarkStart w:id="32" w:name="_bookmark15"/>
      <w:bookmarkEnd w:id="30"/>
      <w:bookmarkEnd w:id="31"/>
      <w:bookmarkEnd w:id="32"/>
      <w:r>
        <w:rPr>
          <w:rFonts w:ascii="Avenir Next Medium"/>
          <w:color w:val="0778BE"/>
          <w:w w:val="95"/>
          <w:sz w:val="40"/>
        </w:rPr>
        <w:t>4</w:t>
      </w:r>
      <w:r>
        <w:rPr>
          <w:rFonts w:ascii="Avenir Next Medium"/>
          <w:color w:val="0778BE"/>
          <w:w w:val="95"/>
          <w:sz w:val="40"/>
        </w:rPr>
        <w:tab/>
      </w:r>
      <w:bookmarkStart w:id="33" w:name="_bookmark16"/>
      <w:bookmarkEnd w:id="33"/>
      <w:r>
        <w:rPr>
          <w:rFonts w:ascii="Avenir Next Medium"/>
          <w:color w:val="0778BE"/>
          <w:sz w:val="40"/>
        </w:rPr>
        <w:t xml:space="preserve">Understanding the </w:t>
      </w:r>
      <w:r>
        <w:rPr>
          <w:rFonts w:ascii="Avenir Next Medium"/>
          <w:color w:val="0778BE"/>
          <w:spacing w:val="-2"/>
          <w:sz w:val="40"/>
        </w:rPr>
        <w:t>regulatory</w:t>
      </w:r>
      <w:r>
        <w:rPr>
          <w:rFonts w:ascii="Avenir Next Medium"/>
          <w:color w:val="0778BE"/>
          <w:sz w:val="40"/>
        </w:rPr>
        <w:t xml:space="preserve"> </w:t>
      </w:r>
      <w:r>
        <w:rPr>
          <w:rFonts w:ascii="Avenir Next Medium"/>
          <w:color w:val="0778BE"/>
          <w:spacing w:val="-1"/>
          <w:sz w:val="40"/>
        </w:rPr>
        <w:t>framework</w:t>
      </w:r>
      <w:r>
        <w:rPr>
          <w:rFonts w:ascii="Avenir Next Medium"/>
          <w:color w:val="0778BE"/>
          <w:sz w:val="40"/>
        </w:rPr>
        <w:t xml:space="preserve"> and</w:t>
      </w:r>
      <w:r>
        <w:rPr>
          <w:rFonts w:ascii="Avenir Next Medium"/>
          <w:color w:val="0778BE"/>
          <w:spacing w:val="23"/>
          <w:sz w:val="40"/>
        </w:rPr>
        <w:t xml:space="preserve"> </w:t>
      </w:r>
      <w:r>
        <w:rPr>
          <w:rFonts w:ascii="Avenir Next Medium"/>
          <w:color w:val="0778BE"/>
          <w:sz w:val="40"/>
        </w:rPr>
        <w:t xml:space="preserve">best </w:t>
      </w:r>
      <w:r>
        <w:rPr>
          <w:rFonts w:ascii="Avenir Next Medium"/>
          <w:color w:val="0778BE"/>
          <w:spacing w:val="-1"/>
          <w:sz w:val="40"/>
        </w:rPr>
        <w:t>practice</w:t>
      </w:r>
      <w:r>
        <w:rPr>
          <w:rFonts w:ascii="Avenir Next Medium"/>
          <w:color w:val="0778BE"/>
          <w:sz w:val="40"/>
        </w:rPr>
        <w:t xml:space="preserve"> </w:t>
      </w:r>
      <w:r>
        <w:rPr>
          <w:rFonts w:ascii="Avenir Next Medium"/>
          <w:color w:val="0778BE"/>
          <w:spacing w:val="-2"/>
          <w:sz w:val="40"/>
        </w:rPr>
        <w:t>regulatory</w:t>
      </w:r>
      <w:r>
        <w:rPr>
          <w:rFonts w:ascii="Avenir Next Medium"/>
          <w:color w:val="0778BE"/>
          <w:sz w:val="40"/>
        </w:rPr>
        <w:t xml:space="preserve"> principles</w:t>
      </w:r>
    </w:p>
    <w:p w:rsidR="00D96B91" w:rsidRDefault="00D96B91">
      <w:pPr>
        <w:spacing w:before="8"/>
        <w:rPr>
          <w:rFonts w:ascii="Avenir Next Medium" w:eastAsia="Avenir Next Medium" w:hAnsi="Avenir Next Medium" w:cs="Avenir Next Medium"/>
          <w:sz w:val="27"/>
          <w:szCs w:val="27"/>
        </w:rPr>
      </w:pPr>
    </w:p>
    <w:p w:rsidR="00D96B91" w:rsidRDefault="00C2656B">
      <w:pPr>
        <w:pStyle w:val="BodyText"/>
        <w:spacing w:line="260" w:lineRule="exact"/>
        <w:ind w:right="1246"/>
      </w:pPr>
      <w:r>
        <w:rPr>
          <w:rFonts w:cs="Avenir Next"/>
        </w:rPr>
        <w:t xml:space="preserve">In conducting this </w:t>
      </w:r>
      <w:r>
        <w:rPr>
          <w:rFonts w:cs="Avenir Next"/>
          <w:spacing w:val="-2"/>
        </w:rPr>
        <w:t>review,</w:t>
      </w:r>
      <w:r>
        <w:rPr>
          <w:rFonts w:cs="Avenir Next"/>
          <w:spacing w:val="-6"/>
        </w:rPr>
        <w:t xml:space="preserve"> </w:t>
      </w:r>
      <w:r>
        <w:rPr>
          <w:rFonts w:cs="Avenir Next"/>
        </w:rPr>
        <w:t xml:space="preserve">the </w:t>
      </w:r>
      <w:r>
        <w:rPr>
          <w:rFonts w:cs="Avenir Next"/>
          <w:spacing w:val="-3"/>
        </w:rPr>
        <w:t>Panel</w:t>
      </w:r>
      <w:r>
        <w:rPr>
          <w:rFonts w:cs="Avenir Next"/>
        </w:rPr>
        <w:t xml:space="preserve"> is </w:t>
      </w:r>
      <w:r>
        <w:rPr>
          <w:rFonts w:cs="Avenir Next"/>
          <w:spacing w:val="-1"/>
        </w:rPr>
        <w:t>required</w:t>
      </w:r>
      <w:r>
        <w:rPr>
          <w:rFonts w:cs="Avenir Next"/>
        </w:rPr>
        <w:t xml:space="preserve"> to work within the </w:t>
      </w:r>
      <w:r>
        <w:rPr>
          <w:rFonts w:cs="Avenir Next"/>
          <w:spacing w:val="-1"/>
        </w:rPr>
        <w:t>regulatory</w:t>
      </w:r>
      <w:r>
        <w:rPr>
          <w:rFonts w:cs="Avenir Next"/>
        </w:rPr>
        <w:t xml:space="preserve"> </w:t>
      </w:r>
      <w:r>
        <w:rPr>
          <w:rFonts w:cs="Avenir Next"/>
          <w:spacing w:val="-1"/>
        </w:rPr>
        <w:t>framework</w:t>
      </w:r>
      <w:r>
        <w:rPr>
          <w:rFonts w:cs="Avenir Next"/>
        </w:rPr>
        <w:t xml:space="preserve"> </w:t>
      </w:r>
      <w:r>
        <w:rPr>
          <w:rFonts w:cs="Avenir Next"/>
          <w:spacing w:val="-1"/>
        </w:rPr>
        <w:t>provided</w:t>
      </w:r>
      <w:r>
        <w:rPr>
          <w:rFonts w:cs="Avenir Next"/>
        </w:rPr>
        <w:t xml:space="preserve"> by the</w:t>
      </w:r>
      <w:r>
        <w:rPr>
          <w:rFonts w:cs="Avenir Next"/>
          <w:spacing w:val="37"/>
        </w:rPr>
        <w:t xml:space="preserve"> </w:t>
      </w:r>
      <w:r>
        <w:t>Act,</w:t>
      </w:r>
      <w:r>
        <w:rPr>
          <w:spacing w:val="-6"/>
        </w:rPr>
        <w:t xml:space="preserve"> </w:t>
      </w:r>
      <w:r>
        <w:t>and the terms of</w:t>
      </w:r>
      <w:r>
        <w:rPr>
          <w:spacing w:val="4"/>
        </w:rPr>
        <w:t xml:space="preserve"> </w:t>
      </w:r>
      <w:r>
        <w:rPr>
          <w:spacing w:val="-1"/>
        </w:rPr>
        <w:t>reference</w:t>
      </w:r>
      <w:r>
        <w:t xml:space="preserve"> for the </w:t>
      </w:r>
      <w:r>
        <w:rPr>
          <w:spacing w:val="-2"/>
        </w:rPr>
        <w:t>ICRC’s</w:t>
      </w:r>
      <w:r>
        <w:t xml:space="preserve"> original price </w:t>
      </w:r>
      <w:r>
        <w:rPr>
          <w:spacing w:val="-1"/>
        </w:rPr>
        <w:t>direction</w:t>
      </w:r>
      <w:r>
        <w:t xml:space="preserve"> (issued by the</w:t>
      </w:r>
      <w:r>
        <w:rPr>
          <w:spacing w:val="-4"/>
        </w:rPr>
        <w:t xml:space="preserve"> </w:t>
      </w:r>
      <w:r>
        <w:rPr>
          <w:spacing w:val="-2"/>
        </w:rPr>
        <w:t>ACT</w:t>
      </w:r>
      <w:r>
        <w:rPr>
          <w:spacing w:val="-10"/>
        </w:rPr>
        <w:t xml:space="preserve"> </w:t>
      </w:r>
      <w:r>
        <w:rPr>
          <w:spacing w:val="-3"/>
        </w:rPr>
        <w:t>Treasurer).</w:t>
      </w:r>
      <w:r>
        <w:rPr>
          <w:spacing w:val="-11"/>
        </w:rPr>
        <w:t xml:space="preserve"> </w:t>
      </w:r>
      <w:r>
        <w:rPr>
          <w:spacing w:val="-1"/>
        </w:rPr>
        <w:t>This</w:t>
      </w:r>
      <w:r>
        <w:rPr>
          <w:spacing w:val="27"/>
        </w:rPr>
        <w:t xml:space="preserve"> </w:t>
      </w:r>
      <w:r>
        <w:rPr>
          <w:spacing w:val="-1"/>
        </w:rPr>
        <w:t xml:space="preserve">framework </w:t>
      </w:r>
      <w:r>
        <w:t>both defines</w:t>
      </w:r>
      <w:r>
        <w:rPr>
          <w:spacing w:val="-1"/>
        </w:rPr>
        <w:t xml:space="preserve"> </w:t>
      </w:r>
      <w:r>
        <w:t>and limits</w:t>
      </w:r>
      <w:r>
        <w:rPr>
          <w:spacing w:val="-1"/>
        </w:rPr>
        <w:t xml:space="preserve"> </w:t>
      </w:r>
      <w:r>
        <w:t xml:space="preserve">the </w:t>
      </w:r>
      <w:r>
        <w:rPr>
          <w:spacing w:val="-4"/>
        </w:rPr>
        <w:t>Panel’s</w:t>
      </w:r>
      <w:r>
        <w:rPr>
          <w:spacing w:val="-1"/>
        </w:rPr>
        <w:t xml:space="preserve"> </w:t>
      </w:r>
      <w:r>
        <w:t>powers.</w:t>
      </w:r>
      <w:r>
        <w:rPr>
          <w:spacing w:val="-6"/>
        </w:rPr>
        <w:t xml:space="preserve"> </w:t>
      </w:r>
      <w:r>
        <w:t>It also</w:t>
      </w:r>
      <w:r>
        <w:rPr>
          <w:spacing w:val="-1"/>
        </w:rPr>
        <w:t xml:space="preserve"> </w:t>
      </w:r>
      <w:r>
        <w:t xml:space="preserve">imposes </w:t>
      </w:r>
      <w:r>
        <w:rPr>
          <w:spacing w:val="-1"/>
        </w:rPr>
        <w:t>certain obligations</w:t>
      </w:r>
      <w:r>
        <w:t xml:space="preserve"> on</w:t>
      </w:r>
      <w:r>
        <w:rPr>
          <w:spacing w:val="-1"/>
        </w:rPr>
        <w:t xml:space="preserve"> </w:t>
      </w:r>
      <w:r>
        <w:t xml:space="preserve">the </w:t>
      </w:r>
      <w:r>
        <w:rPr>
          <w:spacing w:val="-2"/>
        </w:rPr>
        <w:t>Panel,</w:t>
      </w:r>
      <w:r>
        <w:rPr>
          <w:spacing w:val="49"/>
        </w:rPr>
        <w:t xml:space="preserve"> </w:t>
      </w:r>
      <w:r>
        <w:t>and</w:t>
      </w:r>
      <w:r>
        <w:rPr>
          <w:spacing w:val="-1"/>
        </w:rPr>
        <w:t xml:space="preserve"> </w:t>
      </w:r>
      <w:r>
        <w:t>identifies the</w:t>
      </w:r>
      <w:r>
        <w:rPr>
          <w:spacing w:val="-1"/>
        </w:rPr>
        <w:t xml:space="preserve"> </w:t>
      </w:r>
      <w:r>
        <w:t xml:space="preserve">various </w:t>
      </w:r>
      <w:r>
        <w:rPr>
          <w:spacing w:val="-1"/>
        </w:rPr>
        <w:t xml:space="preserve">matters </w:t>
      </w:r>
      <w:r>
        <w:t xml:space="preserve">the </w:t>
      </w:r>
      <w:r>
        <w:rPr>
          <w:spacing w:val="-3"/>
        </w:rPr>
        <w:t>Panel</w:t>
      </w:r>
      <w:r>
        <w:rPr>
          <w:spacing w:val="-1"/>
        </w:rPr>
        <w:t xml:space="preserve"> </w:t>
      </w:r>
      <w:r>
        <w:t>must have</w:t>
      </w:r>
      <w:r>
        <w:rPr>
          <w:spacing w:val="-1"/>
        </w:rPr>
        <w:t xml:space="preserve"> </w:t>
      </w:r>
      <w:r>
        <w:rPr>
          <w:spacing w:val="-2"/>
        </w:rPr>
        <w:t>regard</w:t>
      </w:r>
      <w:r>
        <w:t xml:space="preserve"> to</w:t>
      </w:r>
      <w:r>
        <w:rPr>
          <w:spacing w:val="-1"/>
        </w:rPr>
        <w:t xml:space="preserve"> </w:t>
      </w:r>
      <w:r>
        <w:t>in making</w:t>
      </w:r>
      <w:r>
        <w:rPr>
          <w:spacing w:val="-1"/>
        </w:rPr>
        <w:t xml:space="preserve"> </w:t>
      </w:r>
      <w:r>
        <w:t>its decisions.</w:t>
      </w:r>
      <w:r>
        <w:rPr>
          <w:spacing w:val="-7"/>
        </w:rPr>
        <w:t xml:space="preserve"> </w:t>
      </w:r>
      <w:r>
        <w:t>In addition,</w:t>
      </w:r>
      <w:r>
        <w:rPr>
          <w:spacing w:val="-7"/>
        </w:rPr>
        <w:t xml:space="preserve"> </w:t>
      </w:r>
      <w:r>
        <w:t>the</w:t>
      </w:r>
      <w:r>
        <w:rPr>
          <w:spacing w:val="29"/>
        </w:rPr>
        <w:t xml:space="preserve"> </w:t>
      </w:r>
      <w:r>
        <w:rPr>
          <w:rFonts w:cs="Avenir Next"/>
          <w:spacing w:val="-3"/>
        </w:rPr>
        <w:t>Panel</w:t>
      </w:r>
      <w:r>
        <w:rPr>
          <w:rFonts w:cs="Avenir Next"/>
        </w:rPr>
        <w:t xml:space="preserve"> has chosen to be mindful of</w:t>
      </w:r>
      <w:r>
        <w:rPr>
          <w:rFonts w:cs="Avenir Next"/>
          <w:spacing w:val="4"/>
        </w:rPr>
        <w:t xml:space="preserve"> </w:t>
      </w:r>
      <w:r>
        <w:rPr>
          <w:rFonts w:cs="Avenir Next"/>
        </w:rPr>
        <w:t xml:space="preserve">best </w:t>
      </w:r>
      <w:r>
        <w:rPr>
          <w:rFonts w:cs="Avenir Next"/>
          <w:spacing w:val="-1"/>
        </w:rPr>
        <w:t>practice</w:t>
      </w:r>
      <w:r>
        <w:rPr>
          <w:rFonts w:cs="Avenir Next"/>
        </w:rPr>
        <w:t xml:space="preserve"> </w:t>
      </w:r>
      <w:r>
        <w:rPr>
          <w:rFonts w:cs="Avenir Next"/>
          <w:spacing w:val="-1"/>
        </w:rPr>
        <w:t>regulatory</w:t>
      </w:r>
      <w:r>
        <w:rPr>
          <w:rFonts w:cs="Avenir Next"/>
        </w:rPr>
        <w:t xml:space="preserve"> principles in both its analysis and decision</w:t>
      </w:r>
      <w:r>
        <w:rPr>
          <w:rFonts w:cs="Avenir Next"/>
          <w:spacing w:val="25"/>
        </w:rPr>
        <w:t xml:space="preserve"> </w:t>
      </w:r>
      <w:r>
        <w:t xml:space="preserve">making given </w:t>
      </w:r>
      <w:r>
        <w:rPr>
          <w:spacing w:val="-1"/>
        </w:rPr>
        <w:t>that</w:t>
      </w:r>
      <w:r>
        <w:t xml:space="preserve"> tried and tested methods assist with ensuring a </w:t>
      </w:r>
      <w:r>
        <w:rPr>
          <w:spacing w:val="-1"/>
        </w:rPr>
        <w:t>correct</w:t>
      </w:r>
      <w:r>
        <w:t xml:space="preserve"> or </w:t>
      </w:r>
      <w:r>
        <w:rPr>
          <w:spacing w:val="-1"/>
        </w:rPr>
        <w:t>preferable</w:t>
      </w:r>
      <w:r>
        <w:t xml:space="preserve"> decision.</w:t>
      </w:r>
    </w:p>
    <w:p w:rsidR="00D96B91" w:rsidRDefault="00C2656B">
      <w:pPr>
        <w:pStyle w:val="BodyText"/>
        <w:spacing w:before="170" w:line="260" w:lineRule="exact"/>
        <w:ind w:right="1283"/>
      </w:pPr>
      <w:r>
        <w:rPr>
          <w:rFonts w:cs="Avenir Next"/>
          <w:spacing w:val="-2"/>
        </w:rPr>
        <w:t>The</w:t>
      </w:r>
      <w:r>
        <w:rPr>
          <w:rFonts w:cs="Avenir Next"/>
        </w:rPr>
        <w:t xml:space="preserve"> sections below summarise the </w:t>
      </w:r>
      <w:r>
        <w:rPr>
          <w:rFonts w:cs="Avenir Next"/>
          <w:spacing w:val="-1"/>
        </w:rPr>
        <w:t>relevant</w:t>
      </w:r>
      <w:r>
        <w:rPr>
          <w:rFonts w:cs="Avenir Next"/>
        </w:rPr>
        <w:t xml:space="preserve"> </w:t>
      </w:r>
      <w:r>
        <w:rPr>
          <w:rFonts w:cs="Avenir Next"/>
          <w:spacing w:val="-1"/>
        </w:rPr>
        <w:t>provisions</w:t>
      </w:r>
      <w:r>
        <w:rPr>
          <w:rFonts w:cs="Avenir Next"/>
        </w:rPr>
        <w:t xml:space="preserve"> of</w:t>
      </w:r>
      <w:r>
        <w:rPr>
          <w:rFonts w:cs="Avenir Next"/>
          <w:spacing w:val="4"/>
        </w:rPr>
        <w:t xml:space="preserve"> </w:t>
      </w:r>
      <w:r>
        <w:rPr>
          <w:rFonts w:cs="Avenir Next"/>
        </w:rPr>
        <w:t>the</w:t>
      </w:r>
      <w:r>
        <w:rPr>
          <w:rFonts w:cs="Avenir Next"/>
          <w:spacing w:val="-4"/>
        </w:rPr>
        <w:t xml:space="preserve"> </w:t>
      </w:r>
      <w:r>
        <w:rPr>
          <w:rFonts w:cs="Avenir Next"/>
        </w:rPr>
        <w:t>Act,</w:t>
      </w:r>
      <w:r>
        <w:rPr>
          <w:rFonts w:cs="Avenir Next"/>
          <w:spacing w:val="-6"/>
        </w:rPr>
        <w:t xml:space="preserve"> </w:t>
      </w:r>
      <w:r>
        <w:rPr>
          <w:rFonts w:cs="Avenir Next"/>
        </w:rPr>
        <w:t>the original terms of</w:t>
      </w:r>
      <w:r>
        <w:rPr>
          <w:rFonts w:cs="Avenir Next"/>
          <w:spacing w:val="4"/>
        </w:rPr>
        <w:t xml:space="preserve"> </w:t>
      </w:r>
      <w:r>
        <w:rPr>
          <w:rFonts w:cs="Avenir Next"/>
          <w:spacing w:val="-1"/>
        </w:rPr>
        <w:t>reference</w:t>
      </w:r>
      <w:r>
        <w:rPr>
          <w:rFonts w:cs="Avenir Next"/>
        </w:rPr>
        <w:t xml:space="preserve"> and</w:t>
      </w:r>
      <w:r>
        <w:rPr>
          <w:rFonts w:cs="Avenir Next"/>
          <w:spacing w:val="27"/>
        </w:rPr>
        <w:t xml:space="preserve"> </w:t>
      </w:r>
      <w:r>
        <w:t xml:space="preserve">best </w:t>
      </w:r>
      <w:r>
        <w:rPr>
          <w:spacing w:val="-1"/>
        </w:rPr>
        <w:t>practice</w:t>
      </w:r>
      <w:r>
        <w:t xml:space="preserve"> </w:t>
      </w:r>
      <w:r>
        <w:rPr>
          <w:spacing w:val="-1"/>
        </w:rPr>
        <w:t>regulatory</w:t>
      </w:r>
      <w:r>
        <w:t xml:space="preserve"> principles,</w:t>
      </w:r>
      <w:r>
        <w:rPr>
          <w:spacing w:val="-6"/>
        </w:rPr>
        <w:t xml:space="preserve"> </w:t>
      </w:r>
      <w:r>
        <w:t xml:space="preserve">and discuss how they impact on the </w:t>
      </w:r>
      <w:r>
        <w:rPr>
          <w:spacing w:val="-4"/>
        </w:rPr>
        <w:t>Panel’s</w:t>
      </w:r>
      <w:r>
        <w:t xml:space="preserve"> decision making.</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119"/>
        </w:numPr>
        <w:tabs>
          <w:tab w:val="left" w:pos="1570"/>
          <w:tab w:val="left" w:pos="2040"/>
        </w:tabs>
        <w:ind w:hanging="322"/>
      </w:pPr>
      <w:r>
        <w:rPr>
          <w:color w:val="0778BE"/>
        </w:rPr>
        <w:t>1</w:t>
      </w:r>
      <w:r>
        <w:rPr>
          <w:color w:val="0778BE"/>
        </w:rPr>
        <w:tab/>
      </w:r>
      <w:r>
        <w:rPr>
          <w:color w:val="0778BE"/>
          <w:spacing w:val="-1"/>
        </w:rPr>
        <w:t>Relevant</w:t>
      </w:r>
      <w:r>
        <w:rPr>
          <w:color w:val="0778BE"/>
        </w:rPr>
        <w:t xml:space="preserve"> </w:t>
      </w:r>
      <w:r>
        <w:rPr>
          <w:color w:val="0778BE"/>
          <w:spacing w:val="-1"/>
        </w:rPr>
        <w:t>provisions</w:t>
      </w:r>
      <w:r>
        <w:rPr>
          <w:color w:val="0778BE"/>
        </w:rPr>
        <w:t xml:space="preserve"> of</w:t>
      </w:r>
      <w:r>
        <w:rPr>
          <w:color w:val="0778BE"/>
          <w:spacing w:val="7"/>
        </w:rPr>
        <w:t xml:space="preserve"> </w:t>
      </w:r>
      <w:r>
        <w:rPr>
          <w:color w:val="0778BE"/>
        </w:rPr>
        <w:t>the</w:t>
      </w:r>
      <w:r>
        <w:rPr>
          <w:color w:val="0778BE"/>
          <w:spacing w:val="-6"/>
        </w:rPr>
        <w:t xml:space="preserve"> </w:t>
      </w:r>
      <w:r>
        <w:rPr>
          <w:color w:val="0778BE"/>
        </w:rPr>
        <w:t>Act</w:t>
      </w:r>
    </w:p>
    <w:p w:rsidR="00D96B91" w:rsidRDefault="00C2656B">
      <w:pPr>
        <w:pStyle w:val="BodyText"/>
        <w:spacing w:before="55" w:line="260" w:lineRule="exact"/>
        <w:ind w:right="1548"/>
      </w:pPr>
      <w:r>
        <w:rPr>
          <w:spacing w:val="-2"/>
        </w:rPr>
        <w:t>The</w:t>
      </w:r>
      <w:r>
        <w:t xml:space="preserve"> </w:t>
      </w:r>
      <w:r>
        <w:rPr>
          <w:spacing w:val="-1"/>
        </w:rPr>
        <w:t>provisions</w:t>
      </w:r>
      <w:r>
        <w:t xml:space="preserve"> </w:t>
      </w:r>
      <w:r>
        <w:rPr>
          <w:spacing w:val="-1"/>
        </w:rPr>
        <w:t>relating</w:t>
      </w:r>
      <w:r>
        <w:t xml:space="preserve"> to the </w:t>
      </w:r>
      <w:r>
        <w:rPr>
          <w:spacing w:val="-4"/>
        </w:rPr>
        <w:t>Panel’s</w:t>
      </w:r>
      <w:r>
        <w:t xml:space="preserve"> </w:t>
      </w:r>
      <w:r>
        <w:rPr>
          <w:spacing w:val="-1"/>
        </w:rPr>
        <w:t>review</w:t>
      </w:r>
      <w:r>
        <w:t xml:space="preserve"> </w:t>
      </w:r>
      <w:r>
        <w:rPr>
          <w:spacing w:val="-2"/>
        </w:rPr>
        <w:t>are</w:t>
      </w:r>
      <w:r>
        <w:t xml:space="preserve"> set out in </w:t>
      </w:r>
      <w:r>
        <w:rPr>
          <w:spacing w:val="-4"/>
        </w:rPr>
        <w:t>Part</w:t>
      </w:r>
      <w:r>
        <w:t xml:space="preserve"> 4C of</w:t>
      </w:r>
      <w:r>
        <w:rPr>
          <w:spacing w:val="4"/>
        </w:rPr>
        <w:t xml:space="preserve"> </w:t>
      </w:r>
      <w:r>
        <w:t>the</w:t>
      </w:r>
      <w:r>
        <w:rPr>
          <w:spacing w:val="-4"/>
        </w:rPr>
        <w:t xml:space="preserve"> </w:t>
      </w:r>
      <w:r>
        <w:t>Act.</w:t>
      </w:r>
      <w:r>
        <w:rPr>
          <w:spacing w:val="-6"/>
        </w:rPr>
        <w:t xml:space="preserve"> </w:t>
      </w:r>
      <w:r>
        <w:t xml:space="preserve">In </w:t>
      </w:r>
      <w:r>
        <w:rPr>
          <w:spacing w:val="-1"/>
        </w:rPr>
        <w:t>keeping</w:t>
      </w:r>
      <w:r>
        <w:t xml:space="preserve"> with section</w:t>
      </w:r>
      <w:r>
        <w:rPr>
          <w:spacing w:val="49"/>
        </w:rPr>
        <w:t xml:space="preserve"> </w:t>
      </w:r>
      <w:r>
        <w:t>24N(1) of</w:t>
      </w:r>
      <w:r>
        <w:rPr>
          <w:spacing w:val="4"/>
        </w:rPr>
        <w:t xml:space="preserve"> </w:t>
      </w:r>
      <w:r>
        <w:t>the</w:t>
      </w:r>
      <w:r>
        <w:rPr>
          <w:spacing w:val="-4"/>
        </w:rPr>
        <w:t xml:space="preserve"> </w:t>
      </w:r>
      <w:r>
        <w:t>Act,</w:t>
      </w:r>
      <w:r>
        <w:rPr>
          <w:spacing w:val="-6"/>
        </w:rPr>
        <w:t xml:space="preserve"> </w:t>
      </w:r>
      <w:r>
        <w:t xml:space="preserve">the </w:t>
      </w:r>
      <w:r>
        <w:rPr>
          <w:spacing w:val="-2"/>
        </w:rPr>
        <w:t>Panel,</w:t>
      </w:r>
      <w:r>
        <w:rPr>
          <w:spacing w:val="-6"/>
        </w:rPr>
        <w:t xml:space="preserve"> </w:t>
      </w:r>
      <w:r>
        <w:t xml:space="preserve">on an </w:t>
      </w:r>
      <w:r>
        <w:rPr>
          <w:spacing w:val="-1"/>
        </w:rPr>
        <w:t>application</w:t>
      </w:r>
      <w:r>
        <w:t xml:space="preserve"> for </w:t>
      </w:r>
      <w:r>
        <w:rPr>
          <w:spacing w:val="-1"/>
        </w:rPr>
        <w:t>review</w:t>
      </w:r>
      <w:r>
        <w:t xml:space="preserve"> of</w:t>
      </w:r>
      <w:r>
        <w:rPr>
          <w:spacing w:val="4"/>
        </w:rPr>
        <w:t xml:space="preserve"> </w:t>
      </w:r>
      <w:r>
        <w:t xml:space="preserve">a price </w:t>
      </w:r>
      <w:r>
        <w:rPr>
          <w:spacing w:val="-1"/>
        </w:rPr>
        <w:t>direction,</w:t>
      </w:r>
      <w:r>
        <w:rPr>
          <w:spacing w:val="-6"/>
        </w:rPr>
        <w:t xml:space="preserve"> </w:t>
      </w:r>
      <w:r>
        <w:t>may:</w:t>
      </w:r>
    </w:p>
    <w:p w:rsidR="00D96B91" w:rsidRDefault="00C2656B">
      <w:pPr>
        <w:pStyle w:val="BodyText"/>
        <w:numPr>
          <w:ilvl w:val="0"/>
          <w:numId w:val="131"/>
        </w:numPr>
        <w:tabs>
          <w:tab w:val="left" w:pos="1531"/>
        </w:tabs>
        <w:spacing w:before="170" w:line="260" w:lineRule="exact"/>
        <w:ind w:right="1511" w:hanging="283"/>
        <w:rPr>
          <w:rFonts w:cs="Avenir Next"/>
        </w:rPr>
      </w:pPr>
      <w:r>
        <w:t xml:space="preserve">substitute a new price </w:t>
      </w:r>
      <w:r>
        <w:rPr>
          <w:spacing w:val="-1"/>
        </w:rPr>
        <w:t>direction</w:t>
      </w:r>
      <w:r>
        <w:t xml:space="preserve"> for the original price </w:t>
      </w:r>
      <w:r>
        <w:rPr>
          <w:spacing w:val="-1"/>
        </w:rPr>
        <w:t>direction</w:t>
      </w:r>
      <w:r>
        <w:t xml:space="preserve"> made by the ICRC in </w:t>
      </w:r>
      <w:r>
        <w:rPr>
          <w:spacing w:val="-1"/>
        </w:rPr>
        <w:t>relation</w:t>
      </w:r>
      <w:r>
        <w:t xml:space="preserve"> to the</w:t>
      </w:r>
      <w:r>
        <w:rPr>
          <w:spacing w:val="25"/>
        </w:rPr>
        <w:t xml:space="preserve"> </w:t>
      </w:r>
      <w:r>
        <w:t xml:space="preserve">prices for </w:t>
      </w:r>
      <w:r>
        <w:rPr>
          <w:spacing w:val="-1"/>
        </w:rPr>
        <w:t>regulated</w:t>
      </w:r>
      <w:r>
        <w:t xml:space="preserve"> </w:t>
      </w:r>
      <w:r>
        <w:rPr>
          <w:spacing w:val="-1"/>
        </w:rPr>
        <w:t>water</w:t>
      </w:r>
      <w:r>
        <w:t xml:space="preserve"> and </w:t>
      </w:r>
      <w:r>
        <w:rPr>
          <w:spacing w:val="-1"/>
        </w:rPr>
        <w:t>sewerage</w:t>
      </w:r>
      <w:r>
        <w:t xml:space="preserve"> services,</w:t>
      </w:r>
      <w:r>
        <w:rPr>
          <w:spacing w:val="-7"/>
        </w:rPr>
        <w:t xml:space="preserve"> </w:t>
      </w:r>
      <w:r>
        <w:t>or</w:t>
      </w:r>
    </w:p>
    <w:p w:rsidR="00D96B91" w:rsidRDefault="00C2656B">
      <w:pPr>
        <w:pStyle w:val="BodyText"/>
        <w:numPr>
          <w:ilvl w:val="0"/>
          <w:numId w:val="131"/>
        </w:numPr>
        <w:tabs>
          <w:tab w:val="left" w:pos="1531"/>
        </w:tabs>
        <w:spacing w:before="93"/>
        <w:ind w:hanging="283"/>
      </w:pPr>
      <w:r>
        <w:t>confirm</w:t>
      </w:r>
      <w:r>
        <w:rPr>
          <w:spacing w:val="-2"/>
        </w:rPr>
        <w:t xml:space="preserve"> </w:t>
      </w:r>
      <w:r>
        <w:t>the</w:t>
      </w:r>
      <w:r>
        <w:rPr>
          <w:spacing w:val="-2"/>
        </w:rPr>
        <w:t xml:space="preserve"> </w:t>
      </w:r>
      <w:r>
        <w:t>original</w:t>
      </w:r>
      <w:r>
        <w:rPr>
          <w:spacing w:val="-2"/>
        </w:rPr>
        <w:t xml:space="preserve"> </w:t>
      </w:r>
      <w:r>
        <w:t>price</w:t>
      </w:r>
      <w:r>
        <w:rPr>
          <w:spacing w:val="-1"/>
        </w:rPr>
        <w:t xml:space="preserve"> direction.</w:t>
      </w:r>
    </w:p>
    <w:p w:rsidR="00D96B91" w:rsidRDefault="00D96B91">
      <w:pPr>
        <w:spacing w:before="9"/>
        <w:rPr>
          <w:rFonts w:ascii="Avenir Next" w:eastAsia="Avenir Next" w:hAnsi="Avenir Next" w:cs="Avenir Next"/>
          <w:sz w:val="15"/>
          <w:szCs w:val="15"/>
        </w:rPr>
      </w:pPr>
    </w:p>
    <w:p w:rsidR="00D96B91" w:rsidRDefault="00C2656B">
      <w:pPr>
        <w:pStyle w:val="BodyText"/>
      </w:pPr>
      <w:r>
        <w:t xml:space="preserve">In </w:t>
      </w:r>
      <w:r>
        <w:rPr>
          <w:spacing w:val="-1"/>
        </w:rPr>
        <w:t>undertaking</w:t>
      </w:r>
      <w:r>
        <w:t xml:space="preserve"> this task,</w:t>
      </w:r>
      <w:r>
        <w:rPr>
          <w:spacing w:val="-7"/>
        </w:rPr>
        <w:t xml:space="preserve"> </w:t>
      </w:r>
      <w:r>
        <w:t>section 24N(2) of</w:t>
      </w:r>
      <w:r>
        <w:rPr>
          <w:spacing w:val="4"/>
        </w:rPr>
        <w:t xml:space="preserve"> </w:t>
      </w:r>
      <w:r>
        <w:t>the</w:t>
      </w:r>
      <w:r>
        <w:rPr>
          <w:spacing w:val="-4"/>
        </w:rPr>
        <w:t xml:space="preserve"> </w:t>
      </w:r>
      <w:r>
        <w:t xml:space="preserve">Act </w:t>
      </w:r>
      <w:r>
        <w:rPr>
          <w:spacing w:val="-1"/>
        </w:rPr>
        <w:t>requires</w:t>
      </w:r>
      <w:r>
        <w:t xml:space="preserve"> the </w:t>
      </w:r>
      <w:r>
        <w:rPr>
          <w:spacing w:val="-3"/>
        </w:rPr>
        <w:t>Panel</w:t>
      </w:r>
      <w:r>
        <w:t xml:space="preserve"> to </w:t>
      </w:r>
      <w:r>
        <w:rPr>
          <w:spacing w:val="-1"/>
        </w:rPr>
        <w:t>make</w:t>
      </w:r>
      <w:r>
        <w:t xml:space="preserve"> a decision:</w:t>
      </w:r>
    </w:p>
    <w:p w:rsidR="00D96B91" w:rsidRDefault="00C2656B">
      <w:pPr>
        <w:pStyle w:val="BodyText"/>
        <w:numPr>
          <w:ilvl w:val="0"/>
          <w:numId w:val="131"/>
        </w:numPr>
        <w:tabs>
          <w:tab w:val="left" w:pos="1531"/>
        </w:tabs>
        <w:spacing w:before="157"/>
        <w:ind w:hanging="283"/>
      </w:pPr>
      <w:r>
        <w:t>on “the merits of</w:t>
      </w:r>
      <w:r>
        <w:rPr>
          <w:spacing w:val="4"/>
        </w:rPr>
        <w:t xml:space="preserve"> </w:t>
      </w:r>
      <w:r>
        <w:t xml:space="preserve">the </w:t>
      </w:r>
      <w:r>
        <w:rPr>
          <w:spacing w:val="-4"/>
        </w:rPr>
        <w:t>case”,</w:t>
      </w:r>
      <w:r>
        <w:rPr>
          <w:spacing w:val="-6"/>
        </w:rPr>
        <w:t xml:space="preserve"> </w:t>
      </w:r>
      <w:r>
        <w:t xml:space="preserve">having </w:t>
      </w:r>
      <w:r>
        <w:rPr>
          <w:spacing w:val="-2"/>
        </w:rPr>
        <w:t>regard</w:t>
      </w:r>
      <w:r>
        <w:t xml:space="preserve"> to the criteria listed in section 20(2),</w:t>
      </w:r>
      <w:r>
        <w:rPr>
          <w:spacing w:val="-7"/>
        </w:rPr>
        <w:t xml:space="preserve"> </w:t>
      </w:r>
      <w:r>
        <w:t>and</w:t>
      </w:r>
    </w:p>
    <w:p w:rsidR="00D96B91" w:rsidRDefault="00C2656B">
      <w:pPr>
        <w:pStyle w:val="BodyText"/>
        <w:numPr>
          <w:ilvl w:val="0"/>
          <w:numId w:val="131"/>
        </w:numPr>
        <w:tabs>
          <w:tab w:val="left" w:pos="1531"/>
        </w:tabs>
        <w:spacing w:before="72"/>
        <w:ind w:hanging="283"/>
      </w:pPr>
      <w:r>
        <w:t xml:space="preserve">as </w:t>
      </w:r>
      <w:r>
        <w:rPr>
          <w:spacing w:val="-1"/>
        </w:rPr>
        <w:t>required</w:t>
      </w:r>
      <w:r>
        <w:t xml:space="preserve"> by sections 20A,</w:t>
      </w:r>
      <w:r>
        <w:rPr>
          <w:spacing w:val="-6"/>
        </w:rPr>
        <w:t xml:space="preserve"> </w:t>
      </w:r>
      <w:r>
        <w:t>20B and 20C.</w:t>
      </w:r>
    </w:p>
    <w:p w:rsidR="00D96B91" w:rsidRDefault="00D96B91">
      <w:pPr>
        <w:spacing w:before="1"/>
        <w:rPr>
          <w:rFonts w:ascii="Avenir Next" w:eastAsia="Avenir Next" w:hAnsi="Avenir Next" w:cs="Avenir Next"/>
          <w:sz w:val="23"/>
          <w:szCs w:val="23"/>
        </w:rPr>
      </w:pPr>
    </w:p>
    <w:p w:rsidR="00D96B91" w:rsidRDefault="00C2656B">
      <w:pPr>
        <w:pStyle w:val="Heading6"/>
        <w:numPr>
          <w:ilvl w:val="2"/>
          <w:numId w:val="116"/>
        </w:numPr>
        <w:tabs>
          <w:tab w:val="left" w:pos="2098"/>
        </w:tabs>
        <w:ind w:hanging="850"/>
      </w:pPr>
      <w:r>
        <w:rPr>
          <w:color w:val="0778BE"/>
        </w:rPr>
        <w:t>Merits of</w:t>
      </w:r>
      <w:r>
        <w:rPr>
          <w:color w:val="0778BE"/>
          <w:spacing w:val="5"/>
        </w:rPr>
        <w:t xml:space="preserve"> </w:t>
      </w:r>
      <w:r>
        <w:rPr>
          <w:color w:val="0778BE"/>
        </w:rPr>
        <w:t>the case</w:t>
      </w:r>
    </w:p>
    <w:p w:rsidR="00D96B91" w:rsidRDefault="00C2656B">
      <w:pPr>
        <w:pStyle w:val="BodyText"/>
        <w:spacing w:before="21" w:line="260" w:lineRule="exact"/>
        <w:ind w:right="1313"/>
        <w:rPr>
          <w:rFonts w:cs="Avenir Next"/>
        </w:rPr>
      </w:pPr>
      <w:r>
        <w:t xml:space="preserve">In </w:t>
      </w:r>
      <w:r>
        <w:rPr>
          <w:spacing w:val="-1"/>
        </w:rPr>
        <w:t>keeping</w:t>
      </w:r>
      <w:r>
        <w:t xml:space="preserve"> with the </w:t>
      </w:r>
      <w:r>
        <w:rPr>
          <w:spacing w:val="-1"/>
        </w:rPr>
        <w:t>traditional</w:t>
      </w:r>
      <w:r>
        <w:t xml:space="preserve"> </w:t>
      </w:r>
      <w:r>
        <w:rPr>
          <w:spacing w:val="-1"/>
        </w:rPr>
        <w:t>approach</w:t>
      </w:r>
      <w:r>
        <w:t xml:space="preserve"> to merits-based </w:t>
      </w:r>
      <w:r>
        <w:rPr>
          <w:spacing w:val="-1"/>
        </w:rPr>
        <w:t>appeals,</w:t>
      </w:r>
      <w:r>
        <w:rPr>
          <w:spacing w:val="-6"/>
        </w:rPr>
        <w:t xml:space="preserve"> </w:t>
      </w:r>
      <w:r>
        <w:t xml:space="preserve">the </w:t>
      </w:r>
      <w:r>
        <w:rPr>
          <w:spacing w:val="-3"/>
        </w:rPr>
        <w:t>Panel</w:t>
      </w:r>
      <w:r>
        <w:t xml:space="preserve"> is </w:t>
      </w:r>
      <w:r>
        <w:rPr>
          <w:spacing w:val="-1"/>
        </w:rPr>
        <w:t>required</w:t>
      </w:r>
      <w:r>
        <w:t xml:space="preserve"> to consider all</w:t>
      </w:r>
      <w:r>
        <w:rPr>
          <w:spacing w:val="49"/>
        </w:rPr>
        <w:t xml:space="preserve"> </w:t>
      </w:r>
      <w:r>
        <w:t>the evidence about the merits of</w:t>
      </w:r>
      <w:r>
        <w:rPr>
          <w:spacing w:val="4"/>
        </w:rPr>
        <w:t xml:space="preserve"> </w:t>
      </w:r>
      <w:r>
        <w:t>a decision.</w:t>
      </w:r>
      <w:r>
        <w:rPr>
          <w:spacing w:val="-11"/>
        </w:rPr>
        <w:t xml:space="preserve"> </w:t>
      </w:r>
      <w:r>
        <w:rPr>
          <w:spacing w:val="-1"/>
        </w:rPr>
        <w:t>Then,</w:t>
      </w:r>
      <w:r>
        <w:rPr>
          <w:spacing w:val="-6"/>
        </w:rPr>
        <w:t xml:space="preserve"> </w:t>
      </w:r>
      <w:r>
        <w:t>if</w:t>
      </w:r>
      <w:r>
        <w:rPr>
          <w:spacing w:val="4"/>
        </w:rPr>
        <w:t xml:space="preserve"> </w:t>
      </w:r>
      <w:r>
        <w:t>it decides the original decision should not stand,</w:t>
      </w:r>
      <w:r>
        <w:rPr>
          <w:spacing w:val="-7"/>
        </w:rPr>
        <w:t xml:space="preserve"> </w:t>
      </w:r>
      <w:r>
        <w:t>it</w:t>
      </w:r>
      <w:r>
        <w:rPr>
          <w:spacing w:val="21"/>
        </w:rPr>
        <w:t xml:space="preserve"> </w:t>
      </w:r>
      <w:r>
        <w:t xml:space="preserve">must impose a </w:t>
      </w:r>
      <w:r>
        <w:rPr>
          <w:b/>
          <w:spacing w:val="-1"/>
        </w:rPr>
        <w:t>correct</w:t>
      </w:r>
      <w:r>
        <w:rPr>
          <w:b/>
        </w:rPr>
        <w:t xml:space="preserve"> or </w:t>
      </w:r>
      <w:r>
        <w:rPr>
          <w:b/>
          <w:spacing w:val="-1"/>
        </w:rPr>
        <w:t>preferable</w:t>
      </w:r>
      <w:r>
        <w:rPr>
          <w:b/>
        </w:rPr>
        <w:t xml:space="preserve"> </w:t>
      </w:r>
      <w:r>
        <w:t>decision:</w:t>
      </w:r>
    </w:p>
    <w:p w:rsidR="00D96B91" w:rsidRDefault="00C2656B">
      <w:pPr>
        <w:pStyle w:val="BodyText"/>
        <w:numPr>
          <w:ilvl w:val="0"/>
          <w:numId w:val="131"/>
        </w:numPr>
        <w:tabs>
          <w:tab w:val="left" w:pos="1531"/>
        </w:tabs>
        <w:spacing w:before="170" w:line="260" w:lineRule="exact"/>
        <w:ind w:right="1640" w:hanging="283"/>
        <w:rPr>
          <w:rFonts w:cs="Avenir Next"/>
        </w:rPr>
      </w:pPr>
      <w:r>
        <w:rPr>
          <w:rFonts w:cs="Avenir Next"/>
          <w:b/>
          <w:bCs/>
          <w:spacing w:val="-1"/>
        </w:rPr>
        <w:t>‘correct’</w:t>
      </w:r>
      <w:r>
        <w:rPr>
          <w:rFonts w:cs="Avenir Next"/>
          <w:b/>
          <w:bCs/>
        </w:rPr>
        <w:t xml:space="preserve"> </w:t>
      </w:r>
      <w:r>
        <w:rPr>
          <w:rFonts w:cs="Avenir Next"/>
        </w:rPr>
        <w:t xml:space="preserve">in the sense </w:t>
      </w:r>
      <w:r>
        <w:rPr>
          <w:rFonts w:cs="Avenir Next"/>
          <w:spacing w:val="-1"/>
        </w:rPr>
        <w:t>that</w:t>
      </w:r>
      <w:r>
        <w:rPr>
          <w:rFonts w:cs="Avenir Next"/>
        </w:rPr>
        <w:t xml:space="preserve"> the decision is made </w:t>
      </w:r>
      <w:r>
        <w:rPr>
          <w:rFonts w:cs="Avenir Next"/>
          <w:spacing w:val="-1"/>
        </w:rPr>
        <w:t>according</w:t>
      </w:r>
      <w:r>
        <w:rPr>
          <w:rFonts w:cs="Avenir Next"/>
        </w:rPr>
        <w:t xml:space="preserve"> to </w:t>
      </w:r>
      <w:r>
        <w:rPr>
          <w:rFonts w:cs="Avenir Next"/>
          <w:spacing w:val="-2"/>
        </w:rPr>
        <w:t>law,</w:t>
      </w:r>
      <w:r>
        <w:rPr>
          <w:rFonts w:cs="Avenir Next"/>
          <w:spacing w:val="-6"/>
        </w:rPr>
        <w:t xml:space="preserve"> </w:t>
      </w:r>
      <w:r>
        <w:rPr>
          <w:rFonts w:cs="Avenir Next"/>
        </w:rPr>
        <w:t xml:space="preserve">and consistent with the </w:t>
      </w:r>
      <w:r>
        <w:rPr>
          <w:rFonts w:cs="Avenir Next"/>
          <w:spacing w:val="-1"/>
        </w:rPr>
        <w:t>relevant</w:t>
      </w:r>
      <w:r>
        <w:rPr>
          <w:rFonts w:cs="Avenir Next"/>
          <w:spacing w:val="21"/>
        </w:rPr>
        <w:t xml:space="preserve"> </w:t>
      </w:r>
      <w:r>
        <w:rPr>
          <w:rFonts w:cs="Avenir Next"/>
          <w:spacing w:val="-1"/>
        </w:rPr>
        <w:t>legislative</w:t>
      </w:r>
      <w:r>
        <w:rPr>
          <w:rFonts w:cs="Avenir Next"/>
        </w:rPr>
        <w:t xml:space="preserve"> </w:t>
      </w:r>
      <w:r>
        <w:rPr>
          <w:rFonts w:cs="Avenir Next"/>
          <w:spacing w:val="-1"/>
        </w:rPr>
        <w:t>mandate,</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85" w:line="260" w:lineRule="exact"/>
        <w:ind w:right="1605" w:hanging="283"/>
      </w:pPr>
      <w:r>
        <w:rPr>
          <w:rFonts w:cs="Avenir Next"/>
          <w:b/>
          <w:bCs/>
          <w:spacing w:val="-1"/>
        </w:rPr>
        <w:t>‘preferable’</w:t>
      </w:r>
      <w:r>
        <w:rPr>
          <w:rFonts w:cs="Avenir Next"/>
          <w:b/>
          <w:bCs/>
        </w:rPr>
        <w:t xml:space="preserve"> </w:t>
      </w:r>
      <w:r>
        <w:rPr>
          <w:rFonts w:cs="Avenir Next"/>
        </w:rPr>
        <w:t xml:space="preserve">in the sense </w:t>
      </w:r>
      <w:r>
        <w:rPr>
          <w:rFonts w:cs="Avenir Next"/>
          <w:spacing w:val="-1"/>
        </w:rPr>
        <w:t>that</w:t>
      </w:r>
      <w:r>
        <w:rPr>
          <w:rFonts w:cs="Avenir Next"/>
        </w:rPr>
        <w:t xml:space="preserve"> if</w:t>
      </w:r>
      <w:r>
        <w:rPr>
          <w:rFonts w:cs="Avenir Next"/>
          <w:spacing w:val="4"/>
        </w:rPr>
        <w:t xml:space="preserve"> </w:t>
      </w:r>
      <w:r>
        <w:rPr>
          <w:rFonts w:cs="Avenir Next"/>
          <w:spacing w:val="-1"/>
        </w:rPr>
        <w:t>there</w:t>
      </w:r>
      <w:r>
        <w:rPr>
          <w:rFonts w:cs="Avenir Next"/>
        </w:rPr>
        <w:t xml:space="preserve"> is a </w:t>
      </w:r>
      <w:r>
        <w:rPr>
          <w:rFonts w:cs="Avenir Next"/>
          <w:spacing w:val="-1"/>
        </w:rPr>
        <w:t>range</w:t>
      </w:r>
      <w:r>
        <w:rPr>
          <w:rFonts w:cs="Avenir Next"/>
        </w:rPr>
        <w:t xml:space="preserve"> of</w:t>
      </w:r>
      <w:r>
        <w:rPr>
          <w:rFonts w:cs="Avenir Next"/>
          <w:spacing w:val="4"/>
        </w:rPr>
        <w:t xml:space="preserve"> </w:t>
      </w:r>
      <w:r>
        <w:rPr>
          <w:rFonts w:cs="Avenir Next"/>
        </w:rPr>
        <w:t xml:space="preserve">decisions </w:t>
      </w:r>
      <w:r>
        <w:rPr>
          <w:rFonts w:cs="Avenir Next"/>
          <w:spacing w:val="-1"/>
        </w:rPr>
        <w:t>that</w:t>
      </w:r>
      <w:r>
        <w:rPr>
          <w:rFonts w:cs="Avenir Next"/>
        </w:rPr>
        <w:t xml:space="preserve"> </w:t>
      </w:r>
      <w:r>
        <w:rPr>
          <w:rFonts w:cs="Avenir Next"/>
          <w:spacing w:val="-2"/>
        </w:rPr>
        <w:t>are</w:t>
      </w:r>
      <w:r>
        <w:rPr>
          <w:rFonts w:cs="Avenir Next"/>
        </w:rPr>
        <w:t xml:space="preserve"> </w:t>
      </w:r>
      <w:r>
        <w:rPr>
          <w:rFonts w:cs="Avenir Next"/>
          <w:spacing w:val="-1"/>
        </w:rPr>
        <w:t>correct</w:t>
      </w:r>
      <w:r>
        <w:rPr>
          <w:rFonts w:cs="Avenir Next"/>
        </w:rPr>
        <w:t xml:space="preserve"> in </w:t>
      </w:r>
      <w:r>
        <w:rPr>
          <w:rFonts w:cs="Avenir Next"/>
          <w:spacing w:val="-2"/>
        </w:rPr>
        <w:t>law,</w:t>
      </w:r>
      <w:r>
        <w:rPr>
          <w:rFonts w:cs="Avenir Next"/>
          <w:spacing w:val="-7"/>
        </w:rPr>
        <w:t xml:space="preserve"> </w:t>
      </w:r>
      <w:r>
        <w:rPr>
          <w:rFonts w:cs="Avenir Next"/>
        </w:rPr>
        <w:t>the decision</w:t>
      </w:r>
      <w:r>
        <w:rPr>
          <w:rFonts w:cs="Avenir Next"/>
          <w:spacing w:val="33"/>
        </w:rPr>
        <w:t xml:space="preserve"> </w:t>
      </w:r>
      <w:r>
        <w:rPr>
          <w:rFonts w:cs="Avenir Next"/>
          <w:spacing w:val="-1"/>
        </w:rPr>
        <w:t>ultimately</w:t>
      </w:r>
      <w:r>
        <w:rPr>
          <w:rFonts w:cs="Avenir Next"/>
        </w:rPr>
        <w:t xml:space="preserve"> </w:t>
      </w:r>
      <w:r>
        <w:rPr>
          <w:rFonts w:cs="Avenir Next"/>
          <w:spacing w:val="-1"/>
        </w:rPr>
        <w:t>settled</w:t>
      </w:r>
      <w:r>
        <w:rPr>
          <w:rFonts w:cs="Avenir Next"/>
        </w:rPr>
        <w:t xml:space="preserve"> upon is the best </w:t>
      </w:r>
      <w:r>
        <w:rPr>
          <w:rFonts w:cs="Avenir Next"/>
          <w:spacing w:val="-1"/>
        </w:rPr>
        <w:t>that</w:t>
      </w:r>
      <w:r>
        <w:rPr>
          <w:rFonts w:cs="Avenir Next"/>
        </w:rPr>
        <w:t xml:space="preserve"> could be made on the basis of</w:t>
      </w:r>
      <w:r>
        <w:rPr>
          <w:rFonts w:cs="Avenir Next"/>
          <w:spacing w:val="4"/>
        </w:rPr>
        <w:t xml:space="preserve"> </w:t>
      </w:r>
      <w:r>
        <w:rPr>
          <w:rFonts w:cs="Avenir Next"/>
        </w:rPr>
        <w:t>the available evidence and</w:t>
      </w:r>
      <w:r>
        <w:rPr>
          <w:rFonts w:cs="Avenir Next"/>
          <w:spacing w:val="27"/>
        </w:rPr>
        <w:t xml:space="preserve"> </w:t>
      </w:r>
      <w:r>
        <w:rPr>
          <w:spacing w:val="-1"/>
        </w:rPr>
        <w:t>relevant</w:t>
      </w:r>
      <w:r>
        <w:t xml:space="preserve"> facts.</w:t>
      </w:r>
    </w:p>
    <w:p w:rsidR="00D96B91" w:rsidRDefault="00C2656B">
      <w:pPr>
        <w:pStyle w:val="BodyText"/>
        <w:spacing w:before="85" w:line="260" w:lineRule="exact"/>
        <w:ind w:right="1280"/>
        <w:jc w:val="both"/>
      </w:pPr>
      <w:r>
        <w:t xml:space="preserve">Section 24O bestows the </w:t>
      </w:r>
      <w:r>
        <w:rPr>
          <w:spacing w:val="-3"/>
        </w:rPr>
        <w:t>Panel</w:t>
      </w:r>
      <w:r>
        <w:t xml:space="preserve"> with the same price </w:t>
      </w:r>
      <w:r>
        <w:rPr>
          <w:spacing w:val="-1"/>
        </w:rPr>
        <w:t>investigation</w:t>
      </w:r>
      <w:r>
        <w:t xml:space="preserve"> powers as the ICRC in considering the</w:t>
      </w:r>
      <w:r>
        <w:rPr>
          <w:spacing w:val="25"/>
        </w:rPr>
        <w:t xml:space="preserve"> </w:t>
      </w:r>
      <w:r>
        <w:rPr>
          <w:spacing w:val="-1"/>
        </w:rPr>
        <w:t>application</w:t>
      </w:r>
      <w:r>
        <w:t xml:space="preserve"> for </w:t>
      </w:r>
      <w:r>
        <w:rPr>
          <w:spacing w:val="-2"/>
        </w:rPr>
        <w:t>review.</w:t>
      </w:r>
      <w:r>
        <w:rPr>
          <w:spacing w:val="-11"/>
        </w:rPr>
        <w:t xml:space="preserve"> </w:t>
      </w:r>
      <w:r>
        <w:rPr>
          <w:spacing w:val="-2"/>
        </w:rPr>
        <w:t>Therefore,</w:t>
      </w:r>
      <w:r>
        <w:rPr>
          <w:spacing w:val="-6"/>
        </w:rPr>
        <w:t xml:space="preserve"> </w:t>
      </w:r>
      <w:r>
        <w:t xml:space="preserve">in making the </w:t>
      </w:r>
      <w:r>
        <w:rPr>
          <w:spacing w:val="-1"/>
        </w:rPr>
        <w:t>correct</w:t>
      </w:r>
      <w:r>
        <w:t xml:space="preserve"> or </w:t>
      </w:r>
      <w:r>
        <w:rPr>
          <w:spacing w:val="-1"/>
        </w:rPr>
        <w:t>preferable</w:t>
      </w:r>
      <w:r>
        <w:t xml:space="preserve"> decision,</w:t>
      </w:r>
      <w:r>
        <w:rPr>
          <w:spacing w:val="-6"/>
        </w:rPr>
        <w:t xml:space="preserve"> </w:t>
      </w:r>
      <w:r>
        <w:t xml:space="preserve">the </w:t>
      </w:r>
      <w:r>
        <w:rPr>
          <w:spacing w:val="-3"/>
        </w:rPr>
        <w:t>Panel</w:t>
      </w:r>
      <w:r>
        <w:t xml:space="preserve"> is </w:t>
      </w:r>
      <w:r>
        <w:rPr>
          <w:spacing w:val="-1"/>
        </w:rPr>
        <w:t>permitted</w:t>
      </w:r>
      <w:r>
        <w:t xml:space="preserve"> to</w:t>
      </w:r>
      <w:r>
        <w:rPr>
          <w:spacing w:val="69"/>
        </w:rPr>
        <w:t xml:space="preserve"> </w:t>
      </w:r>
      <w:r>
        <w:t xml:space="preserve">conduct its own analysis and consider all the evidence </w:t>
      </w:r>
      <w:r>
        <w:rPr>
          <w:spacing w:val="-1"/>
        </w:rPr>
        <w:t>from</w:t>
      </w:r>
      <w:r>
        <w:t xml:space="preserve"> a </w:t>
      </w:r>
      <w:r>
        <w:rPr>
          <w:spacing w:val="-1"/>
        </w:rPr>
        <w:t>fresh</w:t>
      </w:r>
      <w:r>
        <w:t xml:space="preserve"> perspective.</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6"/>
        </w:numPr>
        <w:tabs>
          <w:tab w:val="left" w:pos="2098"/>
        </w:tabs>
        <w:ind w:hanging="850"/>
      </w:pPr>
      <w:r>
        <w:rPr>
          <w:color w:val="0778BE"/>
        </w:rPr>
        <w:t>Criteria listed in section 20(2)</w:t>
      </w:r>
    </w:p>
    <w:p w:rsidR="00D96B91" w:rsidRDefault="00C2656B">
      <w:pPr>
        <w:pStyle w:val="BodyText"/>
        <w:spacing w:before="21" w:line="260" w:lineRule="exact"/>
        <w:ind w:right="1283"/>
        <w:rPr>
          <w:rFonts w:cs="Avenir Next"/>
        </w:rPr>
      </w:pPr>
      <w:r>
        <w:t>Section 20(2) of</w:t>
      </w:r>
      <w:r>
        <w:rPr>
          <w:spacing w:val="4"/>
        </w:rPr>
        <w:t xml:space="preserve"> </w:t>
      </w:r>
      <w:r>
        <w:t>the</w:t>
      </w:r>
      <w:r>
        <w:rPr>
          <w:spacing w:val="-4"/>
        </w:rPr>
        <w:t xml:space="preserve"> </w:t>
      </w:r>
      <w:r>
        <w:t xml:space="preserve">Act </w:t>
      </w:r>
      <w:r>
        <w:rPr>
          <w:spacing w:val="-1"/>
        </w:rPr>
        <w:t>requires</w:t>
      </w:r>
      <w:r>
        <w:t xml:space="preserve"> the </w:t>
      </w:r>
      <w:r>
        <w:rPr>
          <w:spacing w:val="-3"/>
        </w:rPr>
        <w:t>Panel</w:t>
      </w:r>
      <w:r>
        <w:t xml:space="preserve"> to have </w:t>
      </w:r>
      <w:r>
        <w:rPr>
          <w:spacing w:val="-2"/>
        </w:rPr>
        <w:t>regard</w:t>
      </w:r>
      <w:r>
        <w:t xml:space="preserve"> to a </w:t>
      </w:r>
      <w:r>
        <w:rPr>
          <w:spacing w:val="-1"/>
        </w:rPr>
        <w:t>range</w:t>
      </w:r>
      <w:r>
        <w:t xml:space="preserve"> of</w:t>
      </w:r>
      <w:r>
        <w:rPr>
          <w:spacing w:val="4"/>
        </w:rPr>
        <w:t xml:space="preserve"> </w:t>
      </w:r>
      <w:r>
        <w:rPr>
          <w:spacing w:val="-1"/>
        </w:rPr>
        <w:t>matters</w:t>
      </w:r>
      <w:r>
        <w:t xml:space="preserve"> in making its decision,</w:t>
      </w:r>
      <w:r>
        <w:rPr>
          <w:spacing w:val="23"/>
        </w:rPr>
        <w:t xml:space="preserve"> </w:t>
      </w:r>
      <w:r>
        <w:t xml:space="preserve">which can </w:t>
      </w:r>
      <w:r>
        <w:rPr>
          <w:spacing w:val="-1"/>
        </w:rPr>
        <w:t>broadly</w:t>
      </w:r>
      <w:r>
        <w:t xml:space="preserve"> be </w:t>
      </w:r>
      <w:r>
        <w:rPr>
          <w:spacing w:val="-1"/>
        </w:rPr>
        <w:t>categorised</w:t>
      </w:r>
      <w:r>
        <w:t xml:space="preserve"> as follows:</w:t>
      </w:r>
    </w:p>
    <w:p w:rsidR="00D96B91" w:rsidRDefault="00C2656B">
      <w:pPr>
        <w:pStyle w:val="BodyText"/>
        <w:numPr>
          <w:ilvl w:val="0"/>
          <w:numId w:val="131"/>
        </w:numPr>
        <w:tabs>
          <w:tab w:val="left" w:pos="1531"/>
        </w:tabs>
        <w:spacing w:before="170" w:line="260" w:lineRule="exact"/>
        <w:ind w:right="1594" w:hanging="283"/>
        <w:jc w:val="both"/>
      </w:pPr>
      <w:r>
        <w:rPr>
          <w:rFonts w:cs="Avenir Next"/>
          <w:b/>
          <w:bCs/>
        </w:rPr>
        <w:t xml:space="preserve">consumer </w:t>
      </w:r>
      <w:r>
        <w:rPr>
          <w:rFonts w:cs="Avenir Next"/>
          <w:b/>
          <w:bCs/>
          <w:spacing w:val="-1"/>
        </w:rPr>
        <w:t>protection</w:t>
      </w:r>
      <w:r>
        <w:rPr>
          <w:rFonts w:cs="Avenir Next"/>
          <w:b/>
          <w:bCs/>
        </w:rPr>
        <w:t xml:space="preserve"> </w:t>
      </w:r>
      <w:r>
        <w:t xml:space="preserve">– the </w:t>
      </w:r>
      <w:r>
        <w:rPr>
          <w:spacing w:val="-1"/>
        </w:rPr>
        <w:t>protection</w:t>
      </w:r>
      <w:r>
        <w:t xml:space="preserve"> of</w:t>
      </w:r>
      <w:r>
        <w:rPr>
          <w:spacing w:val="4"/>
        </w:rPr>
        <w:t xml:space="preserve"> </w:t>
      </w:r>
      <w:r>
        <w:t xml:space="preserve">consumers </w:t>
      </w:r>
      <w:r>
        <w:rPr>
          <w:spacing w:val="-1"/>
        </w:rPr>
        <w:t>from</w:t>
      </w:r>
      <w:r>
        <w:t xml:space="preserve"> abuses of</w:t>
      </w:r>
      <w:r>
        <w:rPr>
          <w:spacing w:val="4"/>
        </w:rPr>
        <w:t xml:space="preserve"> </w:t>
      </w:r>
      <w:r>
        <w:t xml:space="preserve">monopoly </w:t>
      </w:r>
      <w:r>
        <w:rPr>
          <w:spacing w:val="-2"/>
        </w:rPr>
        <w:t>power,</w:t>
      </w:r>
      <w:r>
        <w:rPr>
          <w:spacing w:val="-6"/>
        </w:rPr>
        <w:t xml:space="preserve"> </w:t>
      </w:r>
      <w:r>
        <w:t xml:space="preserve">the </w:t>
      </w:r>
      <w:r>
        <w:rPr>
          <w:spacing w:val="-1"/>
        </w:rPr>
        <w:t>quality,</w:t>
      </w:r>
      <w:r>
        <w:rPr>
          <w:spacing w:val="29"/>
        </w:rPr>
        <w:t xml:space="preserve"> </w:t>
      </w:r>
      <w:r>
        <w:rPr>
          <w:rFonts w:cs="Avenir Next"/>
          <w:spacing w:val="-1"/>
        </w:rPr>
        <w:t>reliability</w:t>
      </w:r>
      <w:r>
        <w:rPr>
          <w:rFonts w:cs="Avenir Next"/>
        </w:rPr>
        <w:t xml:space="preserve"> and safety </w:t>
      </w:r>
      <w:r>
        <w:rPr>
          <w:rFonts w:cs="Avenir Next"/>
          <w:spacing w:val="-1"/>
        </w:rPr>
        <w:t>standards</w:t>
      </w:r>
      <w:r>
        <w:rPr>
          <w:rFonts w:cs="Avenir Next"/>
        </w:rPr>
        <w:t xml:space="preserve"> of</w:t>
      </w:r>
      <w:r>
        <w:rPr>
          <w:rFonts w:cs="Avenir Next"/>
          <w:spacing w:val="4"/>
        </w:rPr>
        <w:t xml:space="preserve"> </w:t>
      </w:r>
      <w:r>
        <w:rPr>
          <w:rFonts w:cs="Avenir Next"/>
        </w:rPr>
        <w:t xml:space="preserve">the </w:t>
      </w:r>
      <w:r>
        <w:rPr>
          <w:rFonts w:cs="Avenir Next"/>
          <w:spacing w:val="-1"/>
        </w:rPr>
        <w:t>regulated</w:t>
      </w:r>
      <w:r>
        <w:rPr>
          <w:rFonts w:cs="Avenir Next"/>
        </w:rPr>
        <w:t xml:space="preserve"> services,</w:t>
      </w:r>
      <w:r>
        <w:rPr>
          <w:rFonts w:cs="Avenir Next"/>
          <w:spacing w:val="-7"/>
        </w:rPr>
        <w:t xml:space="preserve"> </w:t>
      </w:r>
      <w:r>
        <w:rPr>
          <w:rFonts w:cs="Avenir Next"/>
        </w:rPr>
        <w:t>the social impact of</w:t>
      </w:r>
      <w:r>
        <w:rPr>
          <w:rFonts w:cs="Avenir Next"/>
          <w:spacing w:val="4"/>
        </w:rPr>
        <w:t xml:space="preserve"> </w:t>
      </w:r>
      <w:r>
        <w:rPr>
          <w:rFonts w:cs="Avenir Next"/>
        </w:rPr>
        <w:t>the pricing decision</w:t>
      </w:r>
      <w:r>
        <w:rPr>
          <w:rFonts w:cs="Avenir Next"/>
          <w:spacing w:val="29"/>
        </w:rPr>
        <w:t xml:space="preserve"> </w:t>
      </w:r>
      <w:r>
        <w:t>and</w:t>
      </w:r>
      <w:r>
        <w:rPr>
          <w:spacing w:val="-1"/>
        </w:rPr>
        <w:t xml:space="preserve"> </w:t>
      </w:r>
      <w:r>
        <w:t>their</w:t>
      </w:r>
      <w:r>
        <w:rPr>
          <w:spacing w:val="-1"/>
        </w:rPr>
        <w:t xml:space="preserve"> effect </w:t>
      </w:r>
      <w:r>
        <w:t>on</w:t>
      </w:r>
      <w:r>
        <w:rPr>
          <w:spacing w:val="-1"/>
        </w:rPr>
        <w:t xml:space="preserve"> inflation</w:t>
      </w:r>
    </w:p>
    <w:p w:rsidR="00D96B91" w:rsidRDefault="00C2656B">
      <w:pPr>
        <w:pStyle w:val="BodyText"/>
        <w:numPr>
          <w:ilvl w:val="0"/>
          <w:numId w:val="131"/>
        </w:numPr>
        <w:tabs>
          <w:tab w:val="left" w:pos="1531"/>
        </w:tabs>
        <w:spacing w:before="85" w:line="260" w:lineRule="exact"/>
        <w:ind w:right="1303" w:hanging="283"/>
      </w:pPr>
      <w:r>
        <w:rPr>
          <w:rFonts w:cs="Avenir Next"/>
          <w:b/>
          <w:bCs/>
        </w:rPr>
        <w:t>economic</w:t>
      </w:r>
      <w:r>
        <w:rPr>
          <w:rFonts w:cs="Avenir Next"/>
          <w:b/>
          <w:bCs/>
          <w:spacing w:val="-1"/>
        </w:rPr>
        <w:t xml:space="preserve"> efficiency</w:t>
      </w:r>
      <w:r>
        <w:rPr>
          <w:rFonts w:cs="Avenir Next"/>
          <w:b/>
          <w:bCs/>
        </w:rPr>
        <w:t xml:space="preserve"> </w:t>
      </w:r>
      <w:r>
        <w:t>–</w:t>
      </w:r>
      <w:r>
        <w:rPr>
          <w:spacing w:val="-1"/>
        </w:rPr>
        <w:t xml:space="preserve"> </w:t>
      </w:r>
      <w:r>
        <w:t>the need</w:t>
      </w:r>
      <w:r>
        <w:rPr>
          <w:spacing w:val="-1"/>
        </w:rPr>
        <w:t xml:space="preserve"> </w:t>
      </w:r>
      <w:r>
        <w:t xml:space="preserve">for </w:t>
      </w:r>
      <w:r>
        <w:rPr>
          <w:spacing w:val="-2"/>
        </w:rPr>
        <w:t>greater</w:t>
      </w:r>
      <w:r>
        <w:t xml:space="preserve"> </w:t>
      </w:r>
      <w:r>
        <w:rPr>
          <w:spacing w:val="-1"/>
        </w:rPr>
        <w:t xml:space="preserve">efficiency </w:t>
      </w:r>
      <w:r>
        <w:t>in the</w:t>
      </w:r>
      <w:r>
        <w:rPr>
          <w:spacing w:val="-1"/>
        </w:rPr>
        <w:t xml:space="preserve"> </w:t>
      </w:r>
      <w:r>
        <w:t>use and</w:t>
      </w:r>
      <w:r>
        <w:rPr>
          <w:spacing w:val="-1"/>
        </w:rPr>
        <w:t xml:space="preserve"> </w:t>
      </w:r>
      <w:r>
        <w:t>supply of</w:t>
      </w:r>
      <w:r>
        <w:rPr>
          <w:spacing w:val="4"/>
        </w:rPr>
        <w:t xml:space="preserve"> </w:t>
      </w:r>
      <w:r>
        <w:t>the</w:t>
      </w:r>
      <w:r>
        <w:rPr>
          <w:spacing w:val="-1"/>
        </w:rPr>
        <w:t xml:space="preserve"> regulated</w:t>
      </w:r>
      <w:r>
        <w:t xml:space="preserve"> services,</w:t>
      </w:r>
      <w:r>
        <w:rPr>
          <w:spacing w:val="41"/>
        </w:rPr>
        <w:t xml:space="preserve"> </w:t>
      </w:r>
      <w:r>
        <w:t xml:space="preserve">and </w:t>
      </w:r>
      <w:r>
        <w:rPr>
          <w:spacing w:val="-1"/>
        </w:rPr>
        <w:t>considerations</w:t>
      </w:r>
      <w:r>
        <w:t xml:space="preserve"> of</w:t>
      </w:r>
      <w:r>
        <w:rPr>
          <w:spacing w:val="4"/>
        </w:rPr>
        <w:t xml:space="preserve"> </w:t>
      </w:r>
      <w:r>
        <w:t xml:space="preserve">demand management and </w:t>
      </w:r>
      <w:r>
        <w:rPr>
          <w:spacing w:val="-1"/>
        </w:rPr>
        <w:t>least-cost</w:t>
      </w:r>
      <w:r>
        <w:t xml:space="preserve"> planning</w:t>
      </w:r>
    </w:p>
    <w:p w:rsidR="00D96B91" w:rsidRDefault="00D96B91">
      <w:pPr>
        <w:spacing w:line="260" w:lineRule="exact"/>
        <w:sectPr w:rsidR="00D96B91">
          <w:footerReference w:type="even" r:id="rId46"/>
          <w:footerReference w:type="default" r:id="rId47"/>
          <w:pgSz w:w="11910" w:h="16840"/>
          <w:pgMar w:top="1260" w:right="0" w:bottom="1020" w:left="0" w:header="0" w:footer="829" w:gutter="0"/>
          <w:pgNumType w:start="29"/>
          <w:cols w:space="720"/>
        </w:sectPr>
      </w:pPr>
    </w:p>
    <w:p w:rsidR="00D96B91" w:rsidRDefault="00C2656B">
      <w:pPr>
        <w:pStyle w:val="BodyText"/>
        <w:numPr>
          <w:ilvl w:val="0"/>
          <w:numId w:val="131"/>
        </w:numPr>
        <w:tabs>
          <w:tab w:val="left" w:pos="1531"/>
        </w:tabs>
        <w:spacing w:before="21" w:line="260" w:lineRule="exact"/>
        <w:ind w:right="1646" w:hanging="283"/>
      </w:pPr>
      <w:r>
        <w:rPr>
          <w:rFonts w:cs="Avenir Next"/>
          <w:b/>
          <w:bCs/>
        </w:rPr>
        <w:t xml:space="preserve">financial viability </w:t>
      </w:r>
      <w:r>
        <w:t>– the cost of</w:t>
      </w:r>
      <w:r>
        <w:rPr>
          <w:spacing w:val="4"/>
        </w:rPr>
        <w:t xml:space="preserve"> </w:t>
      </w:r>
      <w:r>
        <w:rPr>
          <w:spacing w:val="-1"/>
        </w:rPr>
        <w:t>providing</w:t>
      </w:r>
      <w:r>
        <w:t xml:space="preserve"> the </w:t>
      </w:r>
      <w:r>
        <w:rPr>
          <w:spacing w:val="-1"/>
        </w:rPr>
        <w:t>regulated</w:t>
      </w:r>
      <w:r>
        <w:t xml:space="preserve"> services,</w:t>
      </w:r>
      <w:r>
        <w:rPr>
          <w:spacing w:val="-6"/>
        </w:rPr>
        <w:t xml:space="preserve"> </w:t>
      </w:r>
      <w:r>
        <w:t xml:space="preserve">the </w:t>
      </w:r>
      <w:r>
        <w:rPr>
          <w:spacing w:val="-1"/>
        </w:rPr>
        <w:t>appropriate</w:t>
      </w:r>
      <w:r>
        <w:t xml:space="preserve"> </w:t>
      </w:r>
      <w:r>
        <w:rPr>
          <w:spacing w:val="-2"/>
        </w:rPr>
        <w:t>rate</w:t>
      </w:r>
      <w:r>
        <w:t xml:space="preserve"> of</w:t>
      </w:r>
      <w:r>
        <w:rPr>
          <w:spacing w:val="4"/>
        </w:rPr>
        <w:t xml:space="preserve"> </w:t>
      </w:r>
      <w:r>
        <w:rPr>
          <w:spacing w:val="-1"/>
        </w:rPr>
        <w:t>return</w:t>
      </w:r>
      <w:r>
        <w:t xml:space="preserve"> on</w:t>
      </w:r>
      <w:r>
        <w:rPr>
          <w:spacing w:val="37"/>
        </w:rPr>
        <w:t xml:space="preserve"> </w:t>
      </w:r>
      <w:r>
        <w:rPr>
          <w:rFonts w:cs="Avenir Next"/>
        </w:rPr>
        <w:t xml:space="preserve">investments in the </w:t>
      </w:r>
      <w:r>
        <w:rPr>
          <w:rFonts w:cs="Avenir Next"/>
          <w:spacing w:val="-1"/>
        </w:rPr>
        <w:t>regulated</w:t>
      </w:r>
      <w:r>
        <w:rPr>
          <w:rFonts w:cs="Avenir Next"/>
        </w:rPr>
        <w:t xml:space="preserve"> </w:t>
      </w:r>
      <w:r>
        <w:rPr>
          <w:rFonts w:cs="Avenir Next"/>
          <w:spacing w:val="-1"/>
        </w:rPr>
        <w:t>industry,</w:t>
      </w:r>
      <w:r>
        <w:rPr>
          <w:rFonts w:cs="Avenir Next"/>
          <w:spacing w:val="-6"/>
        </w:rPr>
        <w:t xml:space="preserve"> </w:t>
      </w:r>
      <w:r>
        <w:rPr>
          <w:rFonts w:cs="Avenir Next"/>
        </w:rPr>
        <w:t>and the impact of</w:t>
      </w:r>
      <w:r>
        <w:rPr>
          <w:rFonts w:cs="Avenir Next"/>
          <w:spacing w:val="4"/>
        </w:rPr>
        <w:t xml:space="preserve"> </w:t>
      </w:r>
      <w:r>
        <w:rPr>
          <w:rFonts w:cs="Avenir Next"/>
        </w:rPr>
        <w:t xml:space="preserve">the pricing decisions on the </w:t>
      </w:r>
      <w:r>
        <w:rPr>
          <w:rFonts w:cs="Avenir Next"/>
          <w:spacing w:val="-1"/>
        </w:rPr>
        <w:t>regulated</w:t>
      </w:r>
      <w:r>
        <w:rPr>
          <w:rFonts w:cs="Avenir Next"/>
          <w:spacing w:val="26"/>
        </w:rPr>
        <w:t xml:space="preserve"> </w:t>
      </w:r>
      <w:r>
        <w:rPr>
          <w:spacing w:val="-2"/>
        </w:rPr>
        <w:t>entity’s</w:t>
      </w:r>
      <w:r>
        <w:rPr>
          <w:spacing w:val="-1"/>
        </w:rPr>
        <w:t xml:space="preserve"> borrowing,</w:t>
      </w:r>
      <w:r>
        <w:rPr>
          <w:spacing w:val="-7"/>
        </w:rPr>
        <w:t xml:space="preserve"> </w:t>
      </w:r>
      <w:r>
        <w:t>capital and</w:t>
      </w:r>
      <w:r>
        <w:rPr>
          <w:spacing w:val="-1"/>
        </w:rPr>
        <w:t xml:space="preserve"> </w:t>
      </w:r>
      <w:r>
        <w:t>cash flow</w:t>
      </w:r>
      <w:r>
        <w:rPr>
          <w:spacing w:val="-1"/>
        </w:rPr>
        <w:t xml:space="preserve"> requirements,</w:t>
      </w:r>
      <w:r>
        <w:rPr>
          <w:spacing w:val="-6"/>
        </w:rPr>
        <w:t xml:space="preserve"> </w:t>
      </w:r>
      <w:r>
        <w:t>and</w:t>
      </w:r>
    </w:p>
    <w:p w:rsidR="00D96B91" w:rsidRDefault="00C2656B">
      <w:pPr>
        <w:numPr>
          <w:ilvl w:val="0"/>
          <w:numId w:val="131"/>
        </w:numPr>
        <w:tabs>
          <w:tab w:val="left" w:pos="1531"/>
        </w:tabs>
        <w:spacing w:before="93"/>
        <w:ind w:hanging="283"/>
        <w:rPr>
          <w:rFonts w:ascii="Avenir Next" w:eastAsia="Avenir Next" w:hAnsi="Avenir Next" w:cs="Avenir Next"/>
          <w:sz w:val="20"/>
          <w:szCs w:val="20"/>
        </w:rPr>
      </w:pPr>
      <w:r>
        <w:rPr>
          <w:rFonts w:ascii="Avenir Next" w:eastAsia="Avenir Next" w:hAnsi="Avenir Next" w:cs="Avenir Next"/>
          <w:b/>
          <w:bCs/>
          <w:spacing w:val="-1"/>
          <w:sz w:val="20"/>
          <w:szCs w:val="20"/>
        </w:rPr>
        <w:t>environmental</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protection</w:t>
      </w:r>
      <w:r>
        <w:rPr>
          <w:rFonts w:ascii="Avenir Next" w:eastAsia="Avenir Next" w:hAnsi="Avenir Next" w:cs="Avenir Next"/>
          <w:b/>
          <w:bCs/>
          <w:sz w:val="20"/>
          <w:szCs w:val="20"/>
        </w:rPr>
        <w:t xml:space="preserve"> </w:t>
      </w:r>
      <w:r>
        <w:rPr>
          <w:rFonts w:ascii="Avenir Next" w:eastAsia="Avenir Next" w:hAnsi="Avenir Next" w:cs="Avenir Next"/>
          <w:sz w:val="20"/>
          <w:szCs w:val="20"/>
        </w:rPr>
        <w:t>– the principles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ecologically sustainable development.</w:t>
      </w:r>
    </w:p>
    <w:p w:rsidR="00D96B91" w:rsidRDefault="00D96B91">
      <w:pPr>
        <w:spacing w:before="9"/>
        <w:rPr>
          <w:rFonts w:ascii="Avenir Next" w:eastAsia="Avenir Next" w:hAnsi="Avenir Next" w:cs="Avenir Next"/>
          <w:sz w:val="15"/>
          <w:szCs w:val="15"/>
        </w:rPr>
      </w:pPr>
    </w:p>
    <w:p w:rsidR="00D96B91" w:rsidRDefault="00C2656B">
      <w:pPr>
        <w:pStyle w:val="BodyText"/>
      </w:pPr>
      <w:r>
        <w:rPr>
          <w:spacing w:val="-2"/>
        </w:rPr>
        <w:t>The</w:t>
      </w:r>
      <w:r>
        <w:rPr>
          <w:spacing w:val="-1"/>
        </w:rPr>
        <w:t xml:space="preserve"> </w:t>
      </w:r>
      <w:r>
        <w:t xml:space="preserve">specific </w:t>
      </w:r>
      <w:r>
        <w:rPr>
          <w:spacing w:val="-1"/>
        </w:rPr>
        <w:t xml:space="preserve">matters </w:t>
      </w:r>
      <w:r>
        <w:t xml:space="preserve">the </w:t>
      </w:r>
      <w:r>
        <w:rPr>
          <w:spacing w:val="-3"/>
        </w:rPr>
        <w:t>Panel</w:t>
      </w:r>
      <w:r>
        <w:t xml:space="preserve"> is</w:t>
      </w:r>
      <w:r>
        <w:rPr>
          <w:spacing w:val="-1"/>
        </w:rPr>
        <w:t xml:space="preserve"> required</w:t>
      </w:r>
      <w:r>
        <w:t xml:space="preserve"> by section</w:t>
      </w:r>
      <w:r>
        <w:rPr>
          <w:spacing w:val="-1"/>
        </w:rPr>
        <w:t xml:space="preserve"> </w:t>
      </w:r>
      <w:r>
        <w:t>20(2) to have</w:t>
      </w:r>
      <w:r>
        <w:rPr>
          <w:spacing w:val="-1"/>
        </w:rPr>
        <w:t xml:space="preserve"> </w:t>
      </w:r>
      <w:r>
        <w:rPr>
          <w:spacing w:val="-2"/>
        </w:rPr>
        <w:t>regard</w:t>
      </w:r>
      <w:r>
        <w:t xml:space="preserve"> to</w:t>
      </w:r>
      <w:r>
        <w:rPr>
          <w:spacing w:val="-1"/>
        </w:rPr>
        <w:t xml:space="preserve"> </w:t>
      </w:r>
      <w:r>
        <w:rPr>
          <w:spacing w:val="-2"/>
        </w:rPr>
        <w:t>are</w:t>
      </w:r>
      <w:r>
        <w:t xml:space="preserve"> set out</w:t>
      </w:r>
      <w:r>
        <w:rPr>
          <w:spacing w:val="-1"/>
        </w:rPr>
        <w:t xml:space="preserve"> </w:t>
      </w:r>
      <w:r>
        <w:t>in</w:t>
      </w:r>
      <w:r>
        <w:rPr>
          <w:spacing w:val="-5"/>
        </w:rPr>
        <w:t xml:space="preserve"> </w:t>
      </w:r>
      <w:hyperlink w:anchor="_bookmark17" w:history="1">
        <w:r>
          <w:rPr>
            <w:spacing w:val="-4"/>
          </w:rPr>
          <w:t>Table</w:t>
        </w:r>
        <w:r>
          <w:t xml:space="preserve"> 4.1</w:t>
        </w:r>
      </w:hyperlink>
      <w:r>
        <w:t>.</w:t>
      </w:r>
    </w:p>
    <w:p w:rsidR="00D96B91" w:rsidRDefault="00C2656B">
      <w:pPr>
        <w:spacing w:before="137"/>
        <w:ind w:left="1247"/>
        <w:rPr>
          <w:rFonts w:ascii="Avenir Next" w:eastAsia="Avenir Next" w:hAnsi="Avenir Next" w:cs="Avenir Next"/>
          <w:sz w:val="20"/>
          <w:szCs w:val="20"/>
        </w:rPr>
      </w:pPr>
      <w:bookmarkStart w:id="34" w:name="_bookmark17"/>
      <w:bookmarkEnd w:id="34"/>
      <w:r>
        <w:rPr>
          <w:rFonts w:ascii="Avenir Next"/>
          <w:b/>
          <w:spacing w:val="-4"/>
          <w:sz w:val="20"/>
        </w:rPr>
        <w:t>Table</w:t>
      </w:r>
      <w:r>
        <w:rPr>
          <w:rFonts w:ascii="Avenir Next"/>
          <w:b/>
          <w:sz w:val="20"/>
        </w:rPr>
        <w:t xml:space="preserve"> 4.1: Section 20(2) of</w:t>
      </w:r>
      <w:r>
        <w:rPr>
          <w:rFonts w:ascii="Avenir Next"/>
          <w:b/>
          <w:spacing w:val="4"/>
          <w:sz w:val="20"/>
        </w:rPr>
        <w:t xml:space="preserve"> </w:t>
      </w:r>
      <w:r>
        <w:rPr>
          <w:rFonts w:ascii="Avenir Next"/>
          <w:b/>
          <w:sz w:val="20"/>
        </w:rPr>
        <w:t>the</w:t>
      </w:r>
      <w:r>
        <w:rPr>
          <w:rFonts w:ascii="Avenir Next"/>
          <w:b/>
          <w:spacing w:val="-4"/>
          <w:sz w:val="20"/>
        </w:rPr>
        <w:t xml:space="preserve"> </w:t>
      </w:r>
      <w:r>
        <w:rPr>
          <w:rFonts w:ascii="Avenir Next"/>
          <w:b/>
          <w:sz w:val="20"/>
        </w:rPr>
        <w:t>Act</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200"/>
        <w:gridCol w:w="8201"/>
      </w:tblGrid>
      <w:tr w:rsidR="00D96B91">
        <w:trPr>
          <w:trHeight w:hRule="exact" w:val="407"/>
        </w:trPr>
        <w:tc>
          <w:tcPr>
            <w:tcW w:w="120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Sub-section</w:t>
            </w:r>
          </w:p>
        </w:tc>
        <w:tc>
          <w:tcPr>
            <w:tcW w:w="82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Provision</w:t>
            </w:r>
          </w:p>
        </w:tc>
      </w:tr>
      <w:tr w:rsidR="00D96B91">
        <w:trPr>
          <w:trHeight w:hRule="exact" w:val="627"/>
        </w:trPr>
        <w:tc>
          <w:tcPr>
            <w:tcW w:w="120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w:t>
            </w:r>
          </w:p>
        </w:tc>
        <w:tc>
          <w:tcPr>
            <w:tcW w:w="82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50"/>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protection</w:t>
            </w:r>
            <w:r>
              <w:rPr>
                <w:rFonts w:ascii="Avenir Next Condensed"/>
                <w:sz w:val="18"/>
              </w:rPr>
              <w:t xml:space="preserve"> of</w:t>
            </w:r>
            <w:r>
              <w:rPr>
                <w:rFonts w:ascii="Avenir Next Condensed"/>
                <w:spacing w:val="4"/>
                <w:sz w:val="18"/>
              </w:rPr>
              <w:t xml:space="preserve"> </w:t>
            </w:r>
            <w:r>
              <w:rPr>
                <w:rFonts w:ascii="Avenir Next Condensed"/>
                <w:sz w:val="18"/>
              </w:rPr>
              <w:t xml:space="preserve">consumers </w:t>
            </w:r>
            <w:r>
              <w:rPr>
                <w:rFonts w:ascii="Avenir Next Condensed"/>
                <w:spacing w:val="-1"/>
                <w:sz w:val="18"/>
              </w:rPr>
              <w:t>from</w:t>
            </w:r>
            <w:r>
              <w:rPr>
                <w:rFonts w:ascii="Avenir Next Condensed"/>
                <w:sz w:val="18"/>
              </w:rPr>
              <w:t xml:space="preserve"> abuses of</w:t>
            </w:r>
            <w:r>
              <w:rPr>
                <w:rFonts w:ascii="Avenir Next Condensed"/>
                <w:spacing w:val="4"/>
                <w:sz w:val="18"/>
              </w:rPr>
              <w:t xml:space="preserve"> </w:t>
            </w:r>
            <w:r>
              <w:rPr>
                <w:rFonts w:ascii="Avenir Next Condensed"/>
                <w:sz w:val="18"/>
              </w:rPr>
              <w:t>monopoly power in terms of</w:t>
            </w:r>
            <w:r>
              <w:rPr>
                <w:rFonts w:ascii="Avenir Next Condensed"/>
                <w:spacing w:val="4"/>
                <w:sz w:val="18"/>
              </w:rPr>
              <w:t xml:space="preserve"> </w:t>
            </w:r>
            <w:r>
              <w:rPr>
                <w:rFonts w:ascii="Avenir Next Condensed"/>
                <w:sz w:val="18"/>
              </w:rPr>
              <w:t>prices,</w:t>
            </w:r>
            <w:r>
              <w:rPr>
                <w:rFonts w:ascii="Avenir Next Condensed"/>
                <w:spacing w:val="-6"/>
                <w:sz w:val="18"/>
              </w:rPr>
              <w:t xml:space="preserve"> </w:t>
            </w:r>
            <w:r>
              <w:rPr>
                <w:rFonts w:ascii="Avenir Next Condensed"/>
                <w:sz w:val="18"/>
              </w:rPr>
              <w:t xml:space="preserve">pricing policies (including policies </w:t>
            </w:r>
            <w:r>
              <w:rPr>
                <w:rFonts w:ascii="Avenir Next Condensed"/>
                <w:spacing w:val="-1"/>
                <w:sz w:val="18"/>
              </w:rPr>
              <w:t>relating</w:t>
            </w:r>
            <w:r>
              <w:rPr>
                <w:rFonts w:ascii="Avenir Next Condensed"/>
                <w:sz w:val="18"/>
              </w:rPr>
              <w:t xml:space="preserve"> to</w:t>
            </w:r>
            <w:r>
              <w:rPr>
                <w:rFonts w:ascii="Avenir Next Condensed"/>
                <w:spacing w:val="33"/>
                <w:sz w:val="18"/>
              </w:rPr>
              <w:t xml:space="preserve"> </w:t>
            </w:r>
            <w:r>
              <w:rPr>
                <w:rFonts w:ascii="Avenir Next Condensed"/>
                <w:sz w:val="18"/>
              </w:rPr>
              <w:t xml:space="preserve">the level or </w:t>
            </w:r>
            <w:r>
              <w:rPr>
                <w:rFonts w:ascii="Avenir Next Condensed"/>
                <w:spacing w:val="-1"/>
                <w:sz w:val="18"/>
              </w:rPr>
              <w:t>structure</w:t>
            </w:r>
            <w:r>
              <w:rPr>
                <w:rFonts w:ascii="Avenir Next Condensed"/>
                <w:sz w:val="18"/>
              </w:rPr>
              <w:t xml:space="preserve"> of</w:t>
            </w:r>
            <w:r>
              <w:rPr>
                <w:rFonts w:ascii="Avenir Next Condensed"/>
                <w:spacing w:val="4"/>
                <w:sz w:val="18"/>
              </w:rPr>
              <w:t xml:space="preserve"> </w:t>
            </w:r>
            <w:r>
              <w:rPr>
                <w:rFonts w:ascii="Avenir Next Condensed"/>
                <w:sz w:val="18"/>
              </w:rPr>
              <w:t xml:space="preserve">prices for services) and </w:t>
            </w:r>
            <w:r>
              <w:rPr>
                <w:rFonts w:ascii="Avenir Next Condensed"/>
                <w:spacing w:val="-1"/>
                <w:sz w:val="18"/>
              </w:rPr>
              <w:t>standard</w:t>
            </w:r>
            <w:r>
              <w:rPr>
                <w:rFonts w:ascii="Avenir Next Condensed"/>
                <w:sz w:val="18"/>
              </w:rPr>
              <w:t xml:space="preserve"> of</w:t>
            </w:r>
            <w:r>
              <w:rPr>
                <w:rFonts w:ascii="Avenir Next Condensed"/>
                <w:spacing w:val="4"/>
                <w:sz w:val="18"/>
              </w:rPr>
              <w:t xml:space="preserve"> </w:t>
            </w:r>
            <w:r>
              <w:rPr>
                <w:rFonts w:ascii="Avenir Next Condensed"/>
                <w:spacing w:val="-1"/>
                <w:sz w:val="18"/>
              </w:rPr>
              <w:t>regulated</w:t>
            </w:r>
            <w:r>
              <w:rPr>
                <w:rFonts w:ascii="Avenir Next Condensed"/>
                <w:sz w:val="18"/>
              </w:rPr>
              <w:t xml:space="preserve"> services</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standards</w:t>
            </w:r>
            <w:r>
              <w:rPr>
                <w:rFonts w:ascii="Avenir Next Condensed"/>
                <w:sz w:val="18"/>
              </w:rPr>
              <w:t xml:space="preserve"> of</w:t>
            </w:r>
            <w:r>
              <w:rPr>
                <w:rFonts w:ascii="Avenir Next Condensed"/>
                <w:spacing w:val="4"/>
                <w:sz w:val="18"/>
              </w:rPr>
              <w:t xml:space="preserve"> </w:t>
            </w:r>
            <w:r>
              <w:rPr>
                <w:rFonts w:ascii="Avenir Next Condensed"/>
                <w:spacing w:val="-1"/>
                <w:sz w:val="18"/>
              </w:rPr>
              <w:t>quality,</w:t>
            </w:r>
            <w:r>
              <w:rPr>
                <w:rFonts w:ascii="Avenir Next Condensed"/>
                <w:spacing w:val="-6"/>
                <w:sz w:val="18"/>
              </w:rPr>
              <w:t xml:space="preserve"> </w:t>
            </w:r>
            <w:r>
              <w:rPr>
                <w:rFonts w:ascii="Avenir Next Condensed"/>
                <w:spacing w:val="-1"/>
                <w:sz w:val="18"/>
              </w:rPr>
              <w:t>reliability</w:t>
            </w:r>
            <w:r>
              <w:rPr>
                <w:rFonts w:ascii="Avenir Next Condensed"/>
                <w:sz w:val="18"/>
              </w:rPr>
              <w:t xml:space="preserve"> and safety of</w:t>
            </w:r>
            <w:r>
              <w:rPr>
                <w:rFonts w:ascii="Avenir Next Condensed"/>
                <w:spacing w:val="4"/>
                <w:sz w:val="18"/>
              </w:rPr>
              <w:t xml:space="preserve"> </w:t>
            </w:r>
            <w:r>
              <w:rPr>
                <w:rFonts w:ascii="Avenir Next Condensed"/>
                <w:sz w:val="18"/>
              </w:rPr>
              <w:t xml:space="preserve">the </w:t>
            </w:r>
            <w:r>
              <w:rPr>
                <w:rFonts w:ascii="Avenir Next Condensed"/>
                <w:spacing w:val="-1"/>
                <w:sz w:val="18"/>
              </w:rPr>
              <w:t>regulated</w:t>
            </w:r>
            <w:r>
              <w:rPr>
                <w:rFonts w:ascii="Avenir Next Condensed"/>
                <w:sz w:val="18"/>
              </w:rPr>
              <w:t xml:space="preserve"> services</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(c)</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the need for </w:t>
            </w:r>
            <w:r>
              <w:rPr>
                <w:rFonts w:ascii="Avenir Next Condensed"/>
                <w:spacing w:val="-1"/>
                <w:sz w:val="18"/>
              </w:rPr>
              <w:t>greater</w:t>
            </w:r>
            <w:r>
              <w:rPr>
                <w:rFonts w:ascii="Avenir Next Condensed"/>
                <w:sz w:val="18"/>
              </w:rPr>
              <w:t xml:space="preserve"> </w:t>
            </w:r>
            <w:r>
              <w:rPr>
                <w:rFonts w:ascii="Avenir Next Condensed"/>
                <w:spacing w:val="-1"/>
                <w:sz w:val="18"/>
              </w:rPr>
              <w:t>efficiency</w:t>
            </w:r>
            <w:r>
              <w:rPr>
                <w:rFonts w:ascii="Avenir Next Condensed"/>
                <w:sz w:val="18"/>
              </w:rPr>
              <w:t xml:space="preserve"> in the </w:t>
            </w:r>
            <w:r>
              <w:rPr>
                <w:rFonts w:ascii="Avenir Next Condensed"/>
                <w:spacing w:val="-1"/>
                <w:sz w:val="18"/>
              </w:rPr>
              <w:t>provision</w:t>
            </w:r>
            <w:r>
              <w:rPr>
                <w:rFonts w:ascii="Avenir Next Condensed"/>
                <w:sz w:val="18"/>
              </w:rPr>
              <w:t xml:space="preserve"> of</w:t>
            </w:r>
            <w:r>
              <w:rPr>
                <w:rFonts w:ascii="Avenir Next Condensed"/>
                <w:spacing w:val="4"/>
                <w:sz w:val="18"/>
              </w:rPr>
              <w:t xml:space="preserve"> </w:t>
            </w:r>
            <w:r>
              <w:rPr>
                <w:rFonts w:ascii="Avenir Next Condensed"/>
                <w:spacing w:val="-1"/>
                <w:sz w:val="18"/>
              </w:rPr>
              <w:t>regulated</w:t>
            </w:r>
            <w:r>
              <w:rPr>
                <w:rFonts w:ascii="Avenir Next Condensed"/>
                <w:sz w:val="18"/>
              </w:rPr>
              <w:t xml:space="preserve"> services to </w:t>
            </w:r>
            <w:r>
              <w:rPr>
                <w:rFonts w:ascii="Avenir Next Condensed"/>
                <w:spacing w:val="-1"/>
                <w:sz w:val="18"/>
              </w:rPr>
              <w:t>reduce</w:t>
            </w:r>
            <w:r>
              <w:rPr>
                <w:rFonts w:ascii="Avenir Next Condensed"/>
                <w:sz w:val="18"/>
              </w:rPr>
              <w:t xml:space="preserve"> costs to consumers and taxpayers</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(d)</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an </w:t>
            </w:r>
            <w:r>
              <w:rPr>
                <w:rFonts w:ascii="Avenir Next Condensed"/>
                <w:spacing w:val="-1"/>
                <w:sz w:val="18"/>
              </w:rPr>
              <w:t>appropriate</w:t>
            </w:r>
            <w:r>
              <w:rPr>
                <w:rFonts w:ascii="Avenir Next Condensed"/>
                <w:sz w:val="18"/>
              </w:rPr>
              <w:t xml:space="preserve"> </w:t>
            </w:r>
            <w:r>
              <w:rPr>
                <w:rFonts w:ascii="Avenir Next Condensed"/>
                <w:spacing w:val="-1"/>
                <w:sz w:val="18"/>
              </w:rPr>
              <w:t>rate</w:t>
            </w:r>
            <w:r>
              <w:rPr>
                <w:rFonts w:ascii="Avenir Next Condensed"/>
                <w:sz w:val="18"/>
              </w:rPr>
              <w:t xml:space="preserve"> of</w:t>
            </w:r>
            <w:r>
              <w:rPr>
                <w:rFonts w:ascii="Avenir Next Condensed"/>
                <w:spacing w:val="4"/>
                <w:sz w:val="18"/>
              </w:rPr>
              <w:t xml:space="preserve"> </w:t>
            </w:r>
            <w:r>
              <w:rPr>
                <w:rFonts w:ascii="Avenir Next Condensed"/>
                <w:spacing w:val="-1"/>
                <w:sz w:val="18"/>
              </w:rPr>
              <w:t>return</w:t>
            </w:r>
            <w:r>
              <w:rPr>
                <w:rFonts w:ascii="Avenir Next Condensed"/>
                <w:sz w:val="18"/>
              </w:rPr>
              <w:t xml:space="preserve"> on any investment in the </w:t>
            </w:r>
            <w:r>
              <w:rPr>
                <w:rFonts w:ascii="Avenir Next Condensed"/>
                <w:spacing w:val="-1"/>
                <w:sz w:val="18"/>
              </w:rPr>
              <w:t>regulated</w:t>
            </w:r>
            <w:r>
              <w:rPr>
                <w:rFonts w:ascii="Avenir Next Condensed"/>
                <w:sz w:val="18"/>
              </w:rPr>
              <w:t xml:space="preserve"> industry</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the cost of</w:t>
            </w:r>
            <w:r>
              <w:rPr>
                <w:rFonts w:ascii="Avenir Next Condensed"/>
                <w:spacing w:val="4"/>
                <w:sz w:val="18"/>
              </w:rPr>
              <w:t xml:space="preserve"> </w:t>
            </w:r>
            <w:r>
              <w:rPr>
                <w:rFonts w:ascii="Avenir Next Condensed"/>
                <w:spacing w:val="-1"/>
                <w:sz w:val="18"/>
              </w:rPr>
              <w:t>providing</w:t>
            </w:r>
            <w:r>
              <w:rPr>
                <w:rFonts w:ascii="Avenir Next Condensed"/>
                <w:sz w:val="18"/>
              </w:rPr>
              <w:t xml:space="preserve"> the </w:t>
            </w:r>
            <w:r>
              <w:rPr>
                <w:rFonts w:ascii="Avenir Next Condensed"/>
                <w:spacing w:val="-1"/>
                <w:sz w:val="18"/>
              </w:rPr>
              <w:t>regulated</w:t>
            </w:r>
            <w:r>
              <w:rPr>
                <w:rFonts w:ascii="Avenir Next Condensed"/>
                <w:sz w:val="18"/>
              </w:rPr>
              <w:t xml:space="preserve"> services</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the principles of</w:t>
            </w:r>
            <w:r>
              <w:rPr>
                <w:rFonts w:ascii="Avenir Next Condensed"/>
                <w:spacing w:val="4"/>
                <w:sz w:val="18"/>
              </w:rPr>
              <w:t xml:space="preserve"> </w:t>
            </w:r>
            <w:r>
              <w:rPr>
                <w:rFonts w:ascii="Avenir Next Condensed"/>
                <w:sz w:val="18"/>
              </w:rPr>
              <w:t xml:space="preserve">ecologically sustainable development mentioned in subsection (5) </w:t>
            </w:r>
            <w:r>
              <w:rPr>
                <w:rFonts w:ascii="Avenir Next Condensed"/>
                <w:spacing w:val="-1"/>
                <w:sz w:val="18"/>
              </w:rPr>
              <w:t>of</w:t>
            </w:r>
            <w:r>
              <w:rPr>
                <w:rFonts w:ascii="Avenir Next Condensed"/>
                <w:spacing w:val="4"/>
                <w:sz w:val="18"/>
              </w:rPr>
              <w:t xml:space="preserve"> </w:t>
            </w:r>
            <w:r>
              <w:rPr>
                <w:rFonts w:ascii="Avenir Next Condensed"/>
                <w:sz w:val="18"/>
              </w:rPr>
              <w:t>the</w:t>
            </w:r>
            <w:r>
              <w:rPr>
                <w:rFonts w:ascii="Avenir Next Condensed"/>
                <w:spacing w:val="-4"/>
                <w:sz w:val="18"/>
              </w:rPr>
              <w:t xml:space="preserve"> </w:t>
            </w:r>
            <w:r>
              <w:rPr>
                <w:rFonts w:ascii="Avenir Next Condensed"/>
                <w:sz w:val="18"/>
              </w:rPr>
              <w:t>Act</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the social impacts of</w:t>
            </w:r>
            <w:r>
              <w:rPr>
                <w:rFonts w:ascii="Avenir Next Condensed"/>
                <w:spacing w:val="4"/>
                <w:sz w:val="18"/>
              </w:rPr>
              <w:t xml:space="preserve"> </w:t>
            </w:r>
            <w:r>
              <w:rPr>
                <w:rFonts w:ascii="Avenir Next Condensed"/>
                <w:sz w:val="18"/>
              </w:rPr>
              <w:t>the decision</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considerations</w:t>
            </w:r>
            <w:r>
              <w:rPr>
                <w:rFonts w:ascii="Avenir Next Condensed"/>
                <w:sz w:val="18"/>
              </w:rPr>
              <w:t xml:space="preserve"> of</w:t>
            </w:r>
            <w:r>
              <w:rPr>
                <w:rFonts w:ascii="Avenir Next Condensed"/>
                <w:spacing w:val="4"/>
                <w:sz w:val="18"/>
              </w:rPr>
              <w:t xml:space="preserve"> </w:t>
            </w:r>
            <w:r>
              <w:rPr>
                <w:rFonts w:ascii="Avenir Next Condensed"/>
                <w:sz w:val="18"/>
              </w:rPr>
              <w:t xml:space="preserve">demand management and </w:t>
            </w:r>
            <w:r>
              <w:rPr>
                <w:rFonts w:ascii="Avenir Next Condensed"/>
                <w:spacing w:val="-1"/>
                <w:sz w:val="18"/>
              </w:rPr>
              <w:t>least</w:t>
            </w:r>
            <w:r>
              <w:rPr>
                <w:rFonts w:ascii="Avenir Next Condensed"/>
                <w:sz w:val="18"/>
              </w:rPr>
              <w:t xml:space="preserve"> cost planning</w:t>
            </w:r>
          </w:p>
        </w:tc>
      </w:tr>
      <w:tr w:rsidR="00D96B91">
        <w:trPr>
          <w:trHeight w:hRule="exact" w:val="62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(i)</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36"/>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borrowing,</w:t>
            </w:r>
            <w:r>
              <w:rPr>
                <w:rFonts w:ascii="Avenir Next Condensed"/>
                <w:spacing w:val="-6"/>
                <w:sz w:val="18"/>
              </w:rPr>
              <w:t xml:space="preserve"> </w:t>
            </w:r>
            <w:r>
              <w:rPr>
                <w:rFonts w:ascii="Avenir Next Condensed"/>
                <w:sz w:val="18"/>
              </w:rPr>
              <w:t xml:space="preserve">capital and cash flow </w:t>
            </w:r>
            <w:r>
              <w:rPr>
                <w:rFonts w:ascii="Avenir Next Condensed"/>
                <w:spacing w:val="-1"/>
                <w:sz w:val="18"/>
              </w:rPr>
              <w:t>requirements</w:t>
            </w:r>
            <w:r>
              <w:rPr>
                <w:rFonts w:ascii="Avenir Next Condensed"/>
                <w:sz w:val="18"/>
              </w:rPr>
              <w:t xml:space="preserve"> of</w:t>
            </w:r>
            <w:r>
              <w:rPr>
                <w:rFonts w:ascii="Avenir Next Condensed"/>
                <w:spacing w:val="4"/>
                <w:sz w:val="18"/>
              </w:rPr>
              <w:t xml:space="preserve"> </w:t>
            </w:r>
            <w:r>
              <w:rPr>
                <w:rFonts w:ascii="Avenir Next Condensed"/>
                <w:sz w:val="18"/>
              </w:rPr>
              <w:t xml:space="preserve">people </w:t>
            </w:r>
            <w:r>
              <w:rPr>
                <w:rFonts w:ascii="Avenir Next Condensed"/>
                <w:spacing w:val="-1"/>
                <w:sz w:val="18"/>
              </w:rPr>
              <w:t>providing</w:t>
            </w:r>
            <w:r>
              <w:rPr>
                <w:rFonts w:ascii="Avenir Next Condensed"/>
                <w:sz w:val="18"/>
              </w:rPr>
              <w:t xml:space="preserve"> </w:t>
            </w:r>
            <w:r>
              <w:rPr>
                <w:rFonts w:ascii="Avenir Next Condensed"/>
                <w:spacing w:val="-1"/>
                <w:sz w:val="18"/>
              </w:rPr>
              <w:t>regulated</w:t>
            </w:r>
            <w:r>
              <w:rPr>
                <w:rFonts w:ascii="Avenir Next Condensed"/>
                <w:sz w:val="18"/>
              </w:rPr>
              <w:t xml:space="preserve"> services and the need to </w:t>
            </w:r>
            <w:r>
              <w:rPr>
                <w:rFonts w:ascii="Avenir Next Condensed"/>
                <w:spacing w:val="-1"/>
                <w:sz w:val="18"/>
              </w:rPr>
              <w:t>renew</w:t>
            </w:r>
            <w:r>
              <w:rPr>
                <w:rFonts w:ascii="Avenir Next Condensed"/>
                <w:sz w:val="18"/>
              </w:rPr>
              <w:t xml:space="preserve"> or </w:t>
            </w:r>
            <w:r>
              <w:rPr>
                <w:rFonts w:ascii="Avenir Next Condensed"/>
                <w:spacing w:val="-1"/>
                <w:sz w:val="18"/>
              </w:rPr>
              <w:t>increase</w:t>
            </w:r>
            <w:r>
              <w:rPr>
                <w:rFonts w:ascii="Avenir Next Condensed"/>
                <w:spacing w:val="75"/>
                <w:sz w:val="18"/>
              </w:rPr>
              <w:t xml:space="preserve"> </w:t>
            </w:r>
            <w:r>
              <w:rPr>
                <w:rFonts w:ascii="Avenir Next Condensed"/>
                <w:spacing w:val="-1"/>
                <w:sz w:val="18"/>
              </w:rPr>
              <w:t>relevant</w:t>
            </w:r>
            <w:r>
              <w:rPr>
                <w:rFonts w:ascii="Avenir Next Condensed"/>
                <w:sz w:val="18"/>
              </w:rPr>
              <w:t xml:space="preserve"> </w:t>
            </w:r>
            <w:r>
              <w:rPr>
                <w:rFonts w:ascii="Avenir Next Condensed"/>
                <w:spacing w:val="-1"/>
                <w:sz w:val="18"/>
              </w:rPr>
              <w:t>assets</w:t>
            </w:r>
            <w:r>
              <w:rPr>
                <w:rFonts w:ascii="Avenir Next Condensed"/>
                <w:sz w:val="18"/>
              </w:rPr>
              <w:t xml:space="preserve"> in the </w:t>
            </w:r>
            <w:r>
              <w:rPr>
                <w:rFonts w:ascii="Avenir Next Condensed"/>
                <w:spacing w:val="-1"/>
                <w:sz w:val="18"/>
              </w:rPr>
              <w:t>regulated</w:t>
            </w:r>
            <w:r>
              <w:rPr>
                <w:rFonts w:ascii="Avenir Next Condensed"/>
                <w:sz w:val="18"/>
              </w:rPr>
              <w:t xml:space="preserve"> industry</w:t>
            </w:r>
          </w:p>
        </w:tc>
      </w:tr>
      <w:tr w:rsidR="00D96B91">
        <w:trPr>
          <w:trHeight w:hRule="exact" w:val="40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3"/>
                <w:sz w:val="18"/>
              </w:rPr>
              <w:t>(j)</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effect</w:t>
            </w:r>
            <w:r>
              <w:rPr>
                <w:rFonts w:ascii="Avenir Next Condensed"/>
                <w:sz w:val="18"/>
              </w:rPr>
              <w:t xml:space="preserve"> on </w:t>
            </w:r>
            <w:r>
              <w:rPr>
                <w:rFonts w:ascii="Avenir Next Condensed"/>
                <w:spacing w:val="-1"/>
                <w:sz w:val="18"/>
              </w:rPr>
              <w:t>general</w:t>
            </w:r>
            <w:r>
              <w:rPr>
                <w:rFonts w:ascii="Avenir Next Condensed"/>
                <w:sz w:val="18"/>
              </w:rPr>
              <w:t xml:space="preserve"> price inflation over the medium term</w:t>
            </w:r>
          </w:p>
        </w:tc>
      </w:tr>
      <w:tr w:rsidR="00D96B91">
        <w:trPr>
          <w:trHeight w:hRule="exact" w:val="62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(k)</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53"/>
              <w:rPr>
                <w:rFonts w:ascii="Avenir Next Condensed" w:eastAsia="Avenir Next Condensed" w:hAnsi="Avenir Next Condensed" w:cs="Avenir Next Condensed"/>
                <w:sz w:val="18"/>
                <w:szCs w:val="18"/>
              </w:rPr>
            </w:pPr>
            <w:r>
              <w:rPr>
                <w:rFonts w:ascii="Avenir Next Condensed"/>
                <w:sz w:val="18"/>
              </w:rPr>
              <w:t xml:space="preserve">any </w:t>
            </w:r>
            <w:r>
              <w:rPr>
                <w:rFonts w:ascii="Avenir Next Condensed"/>
                <w:spacing w:val="-1"/>
                <w:sz w:val="18"/>
              </w:rPr>
              <w:t>arrangements</w:t>
            </w:r>
            <w:r>
              <w:rPr>
                <w:rFonts w:ascii="Avenir Next Condensed"/>
                <w:sz w:val="18"/>
              </w:rPr>
              <w:t xml:space="preserve"> that a person </w:t>
            </w:r>
            <w:r>
              <w:rPr>
                <w:rFonts w:ascii="Avenir Next Condensed"/>
                <w:spacing w:val="-1"/>
                <w:sz w:val="18"/>
              </w:rPr>
              <w:t>providing</w:t>
            </w:r>
            <w:r>
              <w:rPr>
                <w:rFonts w:ascii="Avenir Next Condensed"/>
                <w:sz w:val="18"/>
              </w:rPr>
              <w:t xml:space="preserve"> </w:t>
            </w:r>
            <w:r>
              <w:rPr>
                <w:rFonts w:ascii="Avenir Next Condensed"/>
                <w:spacing w:val="-1"/>
                <w:sz w:val="18"/>
              </w:rPr>
              <w:t>regulated</w:t>
            </w:r>
            <w:r>
              <w:rPr>
                <w:rFonts w:ascii="Avenir Next Condensed"/>
                <w:sz w:val="18"/>
              </w:rPr>
              <w:t xml:space="preserve"> services has </w:t>
            </w:r>
            <w:r>
              <w:rPr>
                <w:rFonts w:ascii="Avenir Next Condensed"/>
                <w:spacing w:val="-1"/>
                <w:sz w:val="18"/>
              </w:rPr>
              <w:t>entered</w:t>
            </w:r>
            <w:r>
              <w:rPr>
                <w:rFonts w:ascii="Avenir Next Condensed"/>
                <w:sz w:val="18"/>
              </w:rPr>
              <w:t xml:space="preserve"> into for the </w:t>
            </w:r>
            <w:r>
              <w:rPr>
                <w:rFonts w:ascii="Avenir Next Condensed"/>
                <w:spacing w:val="-1"/>
                <w:sz w:val="18"/>
              </w:rPr>
              <w:t>exercise</w:t>
            </w:r>
            <w:r>
              <w:rPr>
                <w:rFonts w:ascii="Avenir Next Condensed"/>
                <w:sz w:val="18"/>
              </w:rPr>
              <w:t xml:space="preserve"> of</w:t>
            </w:r>
            <w:r>
              <w:rPr>
                <w:rFonts w:ascii="Avenir Next Condensed"/>
                <w:spacing w:val="4"/>
                <w:sz w:val="18"/>
              </w:rPr>
              <w:t xml:space="preserve"> </w:t>
            </w:r>
            <w:r>
              <w:rPr>
                <w:rFonts w:ascii="Avenir Next Condensed"/>
                <w:sz w:val="18"/>
              </w:rPr>
              <w:t>its functions by some other</w:t>
            </w:r>
            <w:r>
              <w:rPr>
                <w:rFonts w:ascii="Avenir Next Condensed"/>
                <w:spacing w:val="63"/>
                <w:sz w:val="18"/>
              </w:rPr>
              <w:t xml:space="preserve"> </w:t>
            </w:r>
            <w:r>
              <w:rPr>
                <w:rFonts w:ascii="Avenir Next Condensed"/>
                <w:sz w:val="18"/>
              </w:rPr>
              <w:t>person</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388"/>
      </w:pPr>
      <w:r>
        <w:rPr>
          <w:spacing w:val="-2"/>
        </w:rPr>
        <w:t>There</w:t>
      </w:r>
      <w:r>
        <w:t xml:space="preserve"> is a </w:t>
      </w:r>
      <w:r>
        <w:rPr>
          <w:spacing w:val="-1"/>
        </w:rPr>
        <w:t>degree</w:t>
      </w:r>
      <w:r>
        <w:t xml:space="preserve"> of</w:t>
      </w:r>
      <w:r>
        <w:rPr>
          <w:spacing w:val="4"/>
        </w:rPr>
        <w:t xml:space="preserve"> </w:t>
      </w:r>
      <w:r>
        <w:t xml:space="preserve">tension between these </w:t>
      </w:r>
      <w:r>
        <w:rPr>
          <w:spacing w:val="-1"/>
        </w:rPr>
        <w:t>matters.</w:t>
      </w:r>
      <w:r>
        <w:rPr>
          <w:spacing w:val="-11"/>
        </w:rPr>
        <w:t xml:space="preserve"> </w:t>
      </w:r>
      <w:r>
        <w:rPr>
          <w:spacing w:val="-2"/>
        </w:rPr>
        <w:t>Therefore,</w:t>
      </w:r>
      <w:r>
        <w:rPr>
          <w:spacing w:val="-6"/>
        </w:rPr>
        <w:t xml:space="preserve"> </w:t>
      </w:r>
      <w:r>
        <w:t xml:space="preserve">while the </w:t>
      </w:r>
      <w:r>
        <w:rPr>
          <w:spacing w:val="-3"/>
        </w:rPr>
        <w:t>Panel</w:t>
      </w:r>
      <w:r>
        <w:t xml:space="preserve"> is </w:t>
      </w:r>
      <w:r>
        <w:rPr>
          <w:spacing w:val="-1"/>
        </w:rPr>
        <w:t>required</w:t>
      </w:r>
      <w:r>
        <w:t xml:space="preserve"> to have</w:t>
      </w:r>
      <w:r>
        <w:rPr>
          <w:spacing w:val="35"/>
        </w:rPr>
        <w:t xml:space="preserve"> </w:t>
      </w:r>
      <w:r>
        <w:rPr>
          <w:spacing w:val="-2"/>
        </w:rPr>
        <w:t>regard</w:t>
      </w:r>
      <w:r>
        <w:t xml:space="preserve"> to all the </w:t>
      </w:r>
      <w:r>
        <w:rPr>
          <w:spacing w:val="-1"/>
        </w:rPr>
        <w:t>matters,</w:t>
      </w:r>
      <w:r>
        <w:rPr>
          <w:spacing w:val="-6"/>
        </w:rPr>
        <w:t xml:space="preserve"> </w:t>
      </w:r>
      <w:r>
        <w:t xml:space="preserve">it may need to </w:t>
      </w:r>
      <w:r>
        <w:rPr>
          <w:spacing w:val="-1"/>
        </w:rPr>
        <w:t>make</w:t>
      </w:r>
      <w:r>
        <w:t xml:space="preserve"> </w:t>
      </w:r>
      <w:r>
        <w:rPr>
          <w:spacing w:val="-1"/>
        </w:rPr>
        <w:t>trade-offs</w:t>
      </w:r>
      <w:r>
        <w:t xml:space="preserve"> between them in making its decisions.</w:t>
      </w:r>
      <w:r>
        <w:rPr>
          <w:spacing w:val="-7"/>
        </w:rPr>
        <w:t xml:space="preserve"> </w:t>
      </w:r>
      <w:r>
        <w:t>In</w:t>
      </w:r>
      <w:r>
        <w:rPr>
          <w:spacing w:val="21"/>
        </w:rPr>
        <w:t xml:space="preserve"> </w:t>
      </w:r>
      <w:r>
        <w:t xml:space="preserve">other </w:t>
      </w:r>
      <w:r>
        <w:rPr>
          <w:spacing w:val="-1"/>
        </w:rPr>
        <w:t>words,</w:t>
      </w:r>
      <w:r>
        <w:rPr>
          <w:spacing w:val="-6"/>
        </w:rPr>
        <w:t xml:space="preserve"> </w:t>
      </w:r>
      <w:r>
        <w:t xml:space="preserve">the </w:t>
      </w:r>
      <w:r>
        <w:rPr>
          <w:spacing w:val="-3"/>
        </w:rPr>
        <w:t>Panel</w:t>
      </w:r>
      <w:r>
        <w:t xml:space="preserve"> will need to </w:t>
      </w:r>
      <w:r>
        <w:rPr>
          <w:spacing w:val="-1"/>
        </w:rPr>
        <w:t>exercise</w:t>
      </w:r>
      <w:r>
        <w:t xml:space="preserve"> its judgement to </w:t>
      </w:r>
      <w:r>
        <w:rPr>
          <w:spacing w:val="-1"/>
        </w:rPr>
        <w:t>make</w:t>
      </w:r>
      <w:r>
        <w:t xml:space="preserve"> decisions </w:t>
      </w:r>
      <w:r>
        <w:rPr>
          <w:spacing w:val="-1"/>
        </w:rPr>
        <w:t>that</w:t>
      </w:r>
      <w:r>
        <w:t xml:space="preserve"> </w:t>
      </w:r>
      <w:r>
        <w:rPr>
          <w:spacing w:val="-1"/>
        </w:rPr>
        <w:t>strike</w:t>
      </w:r>
      <w:r>
        <w:t xml:space="preserve"> an </w:t>
      </w:r>
      <w:r>
        <w:rPr>
          <w:spacing w:val="-1"/>
        </w:rPr>
        <w:t>appropriate</w:t>
      </w:r>
      <w:r>
        <w:rPr>
          <w:spacing w:val="27"/>
        </w:rPr>
        <w:t xml:space="preserve"> </w:t>
      </w:r>
      <w:r>
        <w:t xml:space="preserve">balance between the various </w:t>
      </w:r>
      <w:r>
        <w:rPr>
          <w:spacing w:val="-1"/>
        </w:rPr>
        <w:t>matters.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6"/>
        </w:numPr>
        <w:tabs>
          <w:tab w:val="left" w:pos="2098"/>
        </w:tabs>
        <w:ind w:hanging="850"/>
      </w:pPr>
      <w:r>
        <w:rPr>
          <w:color w:val="0778BE"/>
        </w:rPr>
        <w:t>Sections 20A,</w:t>
      </w:r>
      <w:r>
        <w:rPr>
          <w:color w:val="0778BE"/>
          <w:spacing w:val="-8"/>
        </w:rPr>
        <w:t xml:space="preserve"> </w:t>
      </w:r>
      <w:r>
        <w:rPr>
          <w:color w:val="0778BE"/>
        </w:rPr>
        <w:t>20B and 20C</w:t>
      </w:r>
    </w:p>
    <w:p w:rsidR="00D96B91" w:rsidRDefault="00C2656B">
      <w:pPr>
        <w:pStyle w:val="BodyText"/>
        <w:spacing w:before="21" w:line="260" w:lineRule="exact"/>
        <w:ind w:right="1283"/>
      </w:pPr>
      <w:r>
        <w:t>Sections 20A,</w:t>
      </w:r>
      <w:r>
        <w:rPr>
          <w:spacing w:val="-6"/>
        </w:rPr>
        <w:t xml:space="preserve"> </w:t>
      </w:r>
      <w:r>
        <w:t>20B and 20C of</w:t>
      </w:r>
      <w:r>
        <w:rPr>
          <w:spacing w:val="4"/>
        </w:rPr>
        <w:t xml:space="preserve"> </w:t>
      </w:r>
      <w:r>
        <w:t>the</w:t>
      </w:r>
      <w:r>
        <w:rPr>
          <w:spacing w:val="-4"/>
        </w:rPr>
        <w:t xml:space="preserve"> </w:t>
      </w:r>
      <w:r>
        <w:t xml:space="preserve">Act set out additional </w:t>
      </w:r>
      <w:r>
        <w:rPr>
          <w:spacing w:val="-1"/>
        </w:rPr>
        <w:t>provisions</w:t>
      </w:r>
      <w:r>
        <w:t xml:space="preserve"> </w:t>
      </w:r>
      <w:r>
        <w:rPr>
          <w:spacing w:val="-1"/>
        </w:rPr>
        <w:t>that</w:t>
      </w:r>
      <w:r>
        <w:t xml:space="preserve"> the </w:t>
      </w:r>
      <w:r>
        <w:rPr>
          <w:spacing w:val="-3"/>
        </w:rPr>
        <w:t>Panel</w:t>
      </w:r>
      <w:r>
        <w:t xml:space="preserve"> is </w:t>
      </w:r>
      <w:r>
        <w:rPr>
          <w:spacing w:val="-1"/>
        </w:rPr>
        <w:t>required</w:t>
      </w:r>
      <w:r>
        <w:t xml:space="preserve"> to have</w:t>
      </w:r>
      <w:r>
        <w:rPr>
          <w:spacing w:val="23"/>
        </w:rPr>
        <w:t xml:space="preserve"> </w:t>
      </w:r>
      <w:r>
        <w:rPr>
          <w:spacing w:val="-2"/>
        </w:rPr>
        <w:t>regard</w:t>
      </w:r>
      <w:r>
        <w:t xml:space="preserve"> to when making its decisions.</w:t>
      </w:r>
      <w:r>
        <w:rPr>
          <w:spacing w:val="-7"/>
        </w:rPr>
        <w:t xml:space="preserve"> </w:t>
      </w:r>
      <w:r>
        <w:rPr>
          <w:spacing w:val="-1"/>
        </w:rPr>
        <w:t>Boxes</w:t>
      </w:r>
      <w:r>
        <w:t xml:space="preserve"> 4.1 to 4.3 outline these sections of</w:t>
      </w:r>
      <w:r>
        <w:rPr>
          <w:spacing w:val="4"/>
        </w:rPr>
        <w:t xml:space="preserve"> </w:t>
      </w:r>
      <w:r>
        <w:t>the</w:t>
      </w:r>
      <w:r>
        <w:rPr>
          <w:spacing w:val="-4"/>
        </w:rPr>
        <w:t xml:space="preserve"> </w:t>
      </w:r>
      <w:r>
        <w:t>Act.</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4.1: Section 20A</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Price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regulation</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provisions</w:t>
      </w:r>
    </w:p>
    <w:p w:rsidR="00D96B91" w:rsidRDefault="00D96B91">
      <w:pPr>
        <w:spacing w:before="1"/>
        <w:rPr>
          <w:rFonts w:ascii="Avenir Next" w:eastAsia="Avenir Next" w:hAnsi="Avenir Next" w:cs="Avenir Next"/>
          <w:b/>
          <w:bCs/>
          <w:sz w:val="9"/>
          <w:szCs w:val="9"/>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255AC1">
        <w:rPr>
          <w:rFonts w:ascii="Avenir Next" w:eastAsia="Avenir Next" w:hAnsi="Avenir Next" w:cs="Avenir Next"/>
          <w:sz w:val="20"/>
          <w:szCs w:val="20"/>
        </w:rPr>
        <w:pict>
          <v:shape id="_x0000_s3351" type="#_x0000_t202" style="width:470.55pt;height:237.15pt;mso-left-percent:-10001;mso-top-percent:-10001;mso-position-horizontal:absolute;mso-position-horizontal-relative:char;mso-position-vertical:absolute;mso-position-vertical-relative:line;mso-left-percent:-10001;mso-top-percent:-10001" fillcolor="#dff3fd" stroked="f">
            <v:textbox style="mso-next-textbox:#_x0000_s3351" inset="0,0,0,0">
              <w:txbxContent>
                <w:p w:rsidR="008A79D5" w:rsidRDefault="008A79D5">
                  <w:pPr>
                    <w:spacing w:before="170"/>
                    <w:ind w:left="170"/>
                    <w:rPr>
                      <w:rFonts w:ascii="Avenir Next Condensed" w:eastAsia="Avenir Next Condensed" w:hAnsi="Avenir Next Condensed" w:cs="Avenir Next Condensed"/>
                      <w:sz w:val="20"/>
                      <w:szCs w:val="20"/>
                    </w:rPr>
                  </w:pPr>
                  <w:r>
                    <w:rPr>
                      <w:rFonts w:ascii="Avenir Next Condensed"/>
                      <w:spacing w:val="-2"/>
                      <w:sz w:val="20"/>
                    </w:rPr>
                    <w:t>Section</w:t>
                  </w:r>
                  <w:r>
                    <w:rPr>
                      <w:rFonts w:ascii="Avenir Next Condensed"/>
                      <w:spacing w:val="-4"/>
                      <w:sz w:val="20"/>
                    </w:rPr>
                    <w:t xml:space="preserve"> </w:t>
                  </w:r>
                  <w:r>
                    <w:rPr>
                      <w:rFonts w:ascii="Avenir Next Condensed"/>
                      <w:spacing w:val="-2"/>
                      <w:sz w:val="20"/>
                    </w:rPr>
                    <w:t>20A</w:t>
                  </w:r>
                  <w:r>
                    <w:rPr>
                      <w:rFonts w:ascii="Avenir Next Condensed"/>
                      <w:spacing w:val="-8"/>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2"/>
                      <w:sz w:val="20"/>
                    </w:rPr>
                    <w:t>Act</w:t>
                  </w:r>
                  <w:r>
                    <w:rPr>
                      <w:rFonts w:ascii="Avenir Next Condensed"/>
                      <w:spacing w:val="-4"/>
                      <w:sz w:val="20"/>
                    </w:rPr>
                    <w:t xml:space="preserve"> </w:t>
                  </w:r>
                  <w:r>
                    <w:rPr>
                      <w:rFonts w:ascii="Avenir Next Condensed"/>
                      <w:spacing w:val="-2"/>
                      <w:sz w:val="20"/>
                    </w:rPr>
                    <w:t>states</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p>
                <w:p w:rsidR="008A79D5" w:rsidRDefault="008A79D5">
                  <w:pPr>
                    <w:numPr>
                      <w:ilvl w:val="0"/>
                      <w:numId w:val="115"/>
                    </w:numPr>
                    <w:tabs>
                      <w:tab w:val="left" w:pos="511"/>
                    </w:tabs>
                    <w:spacing w:before="100"/>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2"/>
                      <w:sz w:val="20"/>
                    </w:rPr>
                    <w:t>include</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about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pricing</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services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form</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either</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both</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p>
                <w:p w:rsidR="008A79D5" w:rsidRDefault="008A79D5">
                  <w:pPr>
                    <w:numPr>
                      <w:ilvl w:val="1"/>
                      <w:numId w:val="115"/>
                    </w:numPr>
                    <w:tabs>
                      <w:tab w:val="left" w:pos="851"/>
                    </w:tabs>
                    <w:spacing w:before="100"/>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4"/>
                      <w:sz w:val="20"/>
                    </w:rPr>
                    <w:t xml:space="preserve"> </w:t>
                  </w:r>
                  <w:r>
                    <w:rPr>
                      <w:rFonts w:ascii="Avenir Next Condensed"/>
                      <w:spacing w:val="-2"/>
                      <w:sz w:val="20"/>
                    </w:rPr>
                    <w:t>price,</w:t>
                  </w:r>
                  <w:r>
                    <w:rPr>
                      <w:rFonts w:ascii="Avenir Next Condensed"/>
                      <w:spacing w:val="-10"/>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maximum</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both</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minimum</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maximum</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each</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service;</w:t>
                  </w:r>
                </w:p>
                <w:p w:rsidR="008A79D5" w:rsidRDefault="008A79D5">
                  <w:pPr>
                    <w:numPr>
                      <w:ilvl w:val="1"/>
                      <w:numId w:val="115"/>
                    </w:numPr>
                    <w:tabs>
                      <w:tab w:val="left" w:pos="851"/>
                    </w:tabs>
                    <w:spacing w:before="92" w:line="260" w:lineRule="exact"/>
                    <w:ind w:right="296"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4"/>
                      <w:sz w:val="20"/>
                    </w:rPr>
                    <w:t xml:space="preserve"> </w:t>
                  </w:r>
                  <w:r>
                    <w:rPr>
                      <w:rFonts w:ascii="Avenir Next Condensed"/>
                      <w:spacing w:val="-2"/>
                      <w:sz w:val="20"/>
                    </w:rPr>
                    <w:t>maximum</w:t>
                  </w:r>
                  <w:r>
                    <w:rPr>
                      <w:rFonts w:ascii="Avenir Next Condensed"/>
                      <w:spacing w:val="-4"/>
                      <w:sz w:val="20"/>
                    </w:rPr>
                    <w:t xml:space="preserve"> </w:t>
                  </w:r>
                  <w:r>
                    <w:rPr>
                      <w:rFonts w:ascii="Avenir Next Condensed"/>
                      <w:spacing w:val="-2"/>
                      <w:sz w:val="20"/>
                    </w:rPr>
                    <w:t>total</w:t>
                  </w:r>
                  <w:r>
                    <w:rPr>
                      <w:rFonts w:ascii="Avenir Next Condensed"/>
                      <w:spacing w:val="-4"/>
                      <w:sz w:val="20"/>
                    </w:rPr>
                    <w:t xml:space="preserve"> </w:t>
                  </w:r>
                  <w:r>
                    <w:rPr>
                      <w:rFonts w:ascii="Avenir Next Condensed"/>
                      <w:spacing w:val="-2"/>
                      <w:sz w:val="20"/>
                    </w:rPr>
                    <w:t>amount</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earned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person</w:t>
                  </w:r>
                  <w:r>
                    <w:rPr>
                      <w:rFonts w:ascii="Avenir Next Condensed"/>
                      <w:spacing w:val="-4"/>
                      <w:sz w:val="20"/>
                    </w:rPr>
                    <w:t xml:space="preserve"> </w:t>
                  </w:r>
                  <w:r>
                    <w:rPr>
                      <w:rFonts w:ascii="Avenir Next Condensed"/>
                      <w:spacing w:val="-2"/>
                      <w:sz w:val="20"/>
                    </w:rPr>
                    <w:t>providing</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services</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of</w:t>
                  </w:r>
                  <w:r>
                    <w:rPr>
                      <w:rFonts w:ascii="Avenir Next Condensed"/>
                      <w:spacing w:val="36"/>
                      <w:sz w:val="20"/>
                    </w:rPr>
                    <w:t xml:space="preserve"> </w:t>
                  </w:r>
                  <w:r>
                    <w:rPr>
                      <w:rFonts w:ascii="Avenir Next Condensed"/>
                      <w:spacing w:val="-2"/>
                      <w:sz w:val="20"/>
                    </w:rPr>
                    <w:t>those</w:t>
                  </w:r>
                  <w:r>
                    <w:rPr>
                      <w:rFonts w:ascii="Avenir Next Condensed"/>
                      <w:spacing w:val="-4"/>
                      <w:sz w:val="20"/>
                    </w:rPr>
                    <w:t xml:space="preserve"> </w:t>
                  </w:r>
                  <w:r>
                    <w:rPr>
                      <w:rFonts w:ascii="Avenir Next Condensed"/>
                      <w:spacing w:val="-2"/>
                      <w:sz w:val="20"/>
                    </w:rPr>
                    <w:t>services.</w:t>
                  </w:r>
                </w:p>
                <w:p w:rsidR="008A79D5" w:rsidRDefault="008A79D5">
                  <w:pPr>
                    <w:numPr>
                      <w:ilvl w:val="0"/>
                      <w:numId w:val="115"/>
                    </w:numPr>
                    <w:tabs>
                      <w:tab w:val="left" w:pos="511"/>
                    </w:tabs>
                    <w:spacing w:before="121"/>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industry</w:t>
                  </w:r>
                  <w:r>
                    <w:rPr>
                      <w:rFonts w:ascii="Avenir Next Condensed"/>
                      <w:spacing w:val="-4"/>
                      <w:sz w:val="20"/>
                    </w:rPr>
                    <w:t xml:space="preserve"> </w:t>
                  </w:r>
                  <w:r>
                    <w:rPr>
                      <w:rFonts w:ascii="Avenir Next Condensed"/>
                      <w:spacing w:val="-2"/>
                      <w:sz w:val="20"/>
                    </w:rPr>
                    <w:t>(see</w:t>
                  </w:r>
                  <w:r>
                    <w:rPr>
                      <w:rFonts w:ascii="Avenir Next Condensed"/>
                      <w:spacing w:val="-4"/>
                      <w:sz w:val="20"/>
                    </w:rPr>
                    <w:t xml:space="preserve"> </w:t>
                  </w:r>
                  <w:r>
                    <w:rPr>
                      <w:rFonts w:ascii="Avenir Next Condensed"/>
                      <w:spacing w:val="-2"/>
                      <w:sz w:val="20"/>
                    </w:rPr>
                    <w:t>section</w:t>
                  </w:r>
                  <w:r>
                    <w:rPr>
                      <w:rFonts w:ascii="Avenir Next Condensed"/>
                      <w:spacing w:val="-4"/>
                      <w:sz w:val="20"/>
                    </w:rPr>
                    <w:t xml:space="preserve"> </w:t>
                  </w:r>
                  <w:r>
                    <w:rPr>
                      <w:rFonts w:ascii="Avenir Next Condensed"/>
                      <w:spacing w:val="-2"/>
                      <w:sz w:val="20"/>
                    </w:rPr>
                    <w:t>20B).</w:t>
                  </w:r>
                </w:p>
                <w:p w:rsidR="008A79D5" w:rsidRDefault="008A79D5">
                  <w:pPr>
                    <w:numPr>
                      <w:ilvl w:val="0"/>
                      <w:numId w:val="115"/>
                    </w:numPr>
                    <w:tabs>
                      <w:tab w:val="left" w:pos="511"/>
                    </w:tabs>
                    <w:spacing w:before="100"/>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2"/>
                      <w:sz w:val="20"/>
                    </w:rPr>
                    <w:t>include</w:t>
                  </w:r>
                  <w:r>
                    <w:rPr>
                      <w:rFonts w:ascii="Avenir Next Condensed"/>
                      <w:spacing w:val="-4"/>
                      <w:sz w:val="20"/>
                    </w:rPr>
                    <w:t xml:space="preserve"> </w:t>
                  </w:r>
                  <w:r>
                    <w:rPr>
                      <w:rFonts w:ascii="Avenir Next Condensed"/>
                      <w:spacing w:val="-2"/>
                      <w:sz w:val="20"/>
                    </w:rPr>
                    <w:t>any</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all</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p>
                <w:p w:rsidR="008A79D5" w:rsidRDefault="008A79D5">
                  <w:pPr>
                    <w:numPr>
                      <w:ilvl w:val="1"/>
                      <w:numId w:val="115"/>
                    </w:numPr>
                    <w:tabs>
                      <w:tab w:val="left" w:pos="851"/>
                    </w:tabs>
                    <w:spacing w:before="100"/>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4"/>
                      <w:sz w:val="20"/>
                    </w:rPr>
                    <w:t xml:space="preserve"> </w:t>
                  </w:r>
                  <w:r>
                    <w:rPr>
                      <w:rFonts w:ascii="Avenir Next Condensed"/>
                      <w:spacing w:val="-2"/>
                      <w:sz w:val="20"/>
                    </w:rPr>
                    <w:t>formula</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calculating</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amount</w:t>
                  </w:r>
                  <w:r>
                    <w:rPr>
                      <w:rFonts w:ascii="Avenir Next Condensed"/>
                      <w:spacing w:val="-4"/>
                      <w:sz w:val="20"/>
                    </w:rPr>
                    <w:t xml:space="preserve"> </w:t>
                  </w:r>
                  <w:r>
                    <w:rPr>
                      <w:rFonts w:ascii="Avenir Next Condensed"/>
                      <w:spacing w:val="-2"/>
                      <w:sz w:val="20"/>
                    </w:rPr>
                    <w:t>mentioned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subsection</w:t>
                  </w:r>
                  <w:r>
                    <w:rPr>
                      <w:rFonts w:ascii="Avenir Next Condensed"/>
                      <w:spacing w:val="-4"/>
                      <w:sz w:val="20"/>
                    </w:rPr>
                    <w:t xml:space="preserve"> </w:t>
                  </w:r>
                  <w:r>
                    <w:rPr>
                      <w:rFonts w:ascii="Avenir Next Condensed"/>
                      <w:spacing w:val="-2"/>
                      <w:sz w:val="20"/>
                    </w:rPr>
                    <w:t>(1);</w:t>
                  </w:r>
                </w:p>
                <w:p w:rsidR="008A79D5" w:rsidRDefault="008A79D5">
                  <w:pPr>
                    <w:numPr>
                      <w:ilvl w:val="1"/>
                      <w:numId w:val="115"/>
                    </w:numPr>
                    <w:tabs>
                      <w:tab w:val="left" w:pos="851"/>
                    </w:tabs>
                    <w:spacing w:before="100"/>
                    <w:ind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4"/>
                      <w:sz w:val="20"/>
                    </w:rPr>
                    <w:t xml:space="preserve"> </w:t>
                  </w:r>
                  <w:r>
                    <w:rPr>
                      <w:rFonts w:ascii="Avenir Next Condensed"/>
                      <w:spacing w:val="-2"/>
                      <w:sz w:val="20"/>
                    </w:rPr>
                    <w:t>method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which</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amount</w:t>
                  </w:r>
                  <w:r>
                    <w:rPr>
                      <w:rFonts w:ascii="Avenir Next Condensed"/>
                      <w:spacing w:val="-4"/>
                      <w:sz w:val="20"/>
                    </w:rPr>
                    <w:t xml:space="preserve"> </w:t>
                  </w:r>
                  <w:r>
                    <w:rPr>
                      <w:rFonts w:ascii="Avenir Next Condensed"/>
                      <w:spacing w:val="-2"/>
                      <w:sz w:val="20"/>
                    </w:rPr>
                    <w:t>mentioned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subsection</w:t>
                  </w:r>
                  <w:r>
                    <w:rPr>
                      <w:rFonts w:ascii="Avenir Next Condensed"/>
                      <w:spacing w:val="-4"/>
                      <w:sz w:val="20"/>
                    </w:rPr>
                    <w:t xml:space="preserve"> </w:t>
                  </w:r>
                  <w:r>
                    <w:rPr>
                      <w:rFonts w:ascii="Avenir Next Condensed"/>
                      <w:spacing w:val="-2"/>
                      <w:sz w:val="20"/>
                    </w:rPr>
                    <w:t>(1)</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ascertained;</w:t>
                  </w:r>
                </w:p>
                <w:p w:rsidR="008A79D5" w:rsidRDefault="008A79D5">
                  <w:pPr>
                    <w:numPr>
                      <w:ilvl w:val="1"/>
                      <w:numId w:val="115"/>
                    </w:numPr>
                    <w:tabs>
                      <w:tab w:val="left" w:pos="851"/>
                    </w:tabs>
                    <w:spacing w:before="92" w:line="260" w:lineRule="exact"/>
                    <w:ind w:right="215" w:hanging="340"/>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4"/>
                      <w:sz w:val="20"/>
                    </w:rPr>
                    <w:t xml:space="preserve"> </w:t>
                  </w:r>
                  <w:r>
                    <w:rPr>
                      <w:rFonts w:ascii="Avenir Next Condensed"/>
                      <w:spacing w:val="-3"/>
                      <w:sz w:val="20"/>
                    </w:rPr>
                    <w:t>reference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an</w:t>
                  </w:r>
                  <w:r>
                    <w:rPr>
                      <w:rFonts w:ascii="Avenir Next Condensed"/>
                      <w:spacing w:val="-4"/>
                      <w:sz w:val="20"/>
                    </w:rPr>
                    <w:t xml:space="preserve"> </w:t>
                  </w:r>
                  <w:r>
                    <w:rPr>
                      <w:rFonts w:ascii="Avenir Next Condensed"/>
                      <w:spacing w:val="-2"/>
                      <w:sz w:val="20"/>
                    </w:rPr>
                    <w:t>event</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events</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variation</w:t>
                  </w:r>
                  <w:r>
                    <w:rPr>
                      <w:rFonts w:ascii="Avenir Next Condensed"/>
                      <w:spacing w:val="-4"/>
                      <w:sz w:val="20"/>
                    </w:rPr>
                    <w:t xml:space="preserve"> </w:t>
                  </w:r>
                  <w:r>
                    <w:rPr>
                      <w:rFonts w:ascii="Avenir Next Condensed"/>
                      <w:spacing w:val="-2"/>
                      <w:sz w:val="20"/>
                    </w:rPr>
                    <w:t>triggers)</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happening</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2"/>
                      <w:sz w:val="20"/>
                    </w:rPr>
                    <w:t>entitle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commission</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initiate</w:t>
                  </w:r>
                  <w:r>
                    <w:rPr>
                      <w:rFonts w:ascii="Avenir Next Condensed"/>
                      <w:spacing w:val="-4"/>
                      <w:sz w:val="20"/>
                    </w:rPr>
                    <w:t xml:space="preserve"> </w:t>
                  </w:r>
                  <w:r>
                    <w:rPr>
                      <w:rFonts w:ascii="Avenir Next Condensed"/>
                      <w:sz w:val="20"/>
                    </w:rPr>
                    <w:t>a</w:t>
                  </w:r>
                  <w:r>
                    <w:rPr>
                      <w:rFonts w:ascii="Avenir Next Condensed"/>
                      <w:spacing w:val="64"/>
                      <w:sz w:val="20"/>
                    </w:rPr>
                    <w:t xml:space="preserve"> </w:t>
                  </w:r>
                  <w:r>
                    <w:rPr>
                      <w:rFonts w:ascii="Avenir Next Condensed"/>
                      <w:spacing w:val="-3"/>
                      <w:sz w:val="20"/>
                    </w:rPr>
                    <w:t>reference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1"/>
                      <w:sz w:val="20"/>
                    </w:rPr>
                    <w:t>an</w:t>
                  </w:r>
                  <w:r>
                    <w:rPr>
                      <w:rFonts w:ascii="Avenir Next Condensed"/>
                      <w:spacing w:val="-4"/>
                      <w:sz w:val="20"/>
                    </w:rPr>
                    <w:t xml:space="preserve"> </w:t>
                  </w:r>
                  <w:r>
                    <w:rPr>
                      <w:rFonts w:ascii="Avenir Next Condensed"/>
                      <w:spacing w:val="-2"/>
                      <w:sz w:val="20"/>
                    </w:rPr>
                    <w:t>investigation</w:t>
                  </w:r>
                  <w:r>
                    <w:rPr>
                      <w:rFonts w:ascii="Avenir Next Condensed"/>
                      <w:spacing w:val="-4"/>
                      <w:sz w:val="20"/>
                    </w:rPr>
                    <w:t xml:space="preserve"> </w:t>
                  </w:r>
                  <w:r>
                    <w:rPr>
                      <w:rFonts w:ascii="Avenir Next Condensed"/>
                      <w:spacing w:val="-2"/>
                      <w:sz w:val="20"/>
                    </w:rPr>
                    <w:t>into</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variation</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(under</w:t>
                  </w:r>
                  <w:r>
                    <w:rPr>
                      <w:rFonts w:ascii="Avenir Next Condensed"/>
                      <w:spacing w:val="-4"/>
                      <w:sz w:val="20"/>
                    </w:rPr>
                    <w:t xml:space="preserve"> </w:t>
                  </w:r>
                  <w:r>
                    <w:rPr>
                      <w:rFonts w:ascii="Avenir Next Condensed"/>
                      <w:spacing w:val="-2"/>
                      <w:sz w:val="20"/>
                    </w:rPr>
                    <w:t>section</w:t>
                  </w:r>
                  <w:r>
                    <w:rPr>
                      <w:rFonts w:ascii="Avenir Next Condensed"/>
                      <w:spacing w:val="-4"/>
                      <w:sz w:val="20"/>
                    </w:rPr>
                    <w:t xml:space="preserve"> </w:t>
                  </w:r>
                  <w:r>
                    <w:rPr>
                      <w:rFonts w:ascii="Avenir Next Condensed"/>
                      <w:spacing w:val="-2"/>
                      <w:sz w:val="20"/>
                    </w:rPr>
                    <w:t>24F</w:t>
                  </w:r>
                  <w:r>
                    <w:rPr>
                      <w:rFonts w:ascii="Avenir Next Condensed"/>
                      <w:spacing w:val="-4"/>
                      <w:sz w:val="20"/>
                    </w:rPr>
                    <w:t xml:space="preserve"> </w:t>
                  </w:r>
                  <w:r>
                    <w:rPr>
                      <w:rFonts w:ascii="Avenir Next Condensed"/>
                      <w:spacing w:val="-3"/>
                      <w:sz w:val="20"/>
                    </w:rPr>
                    <w:t>(Commission-initiated</w:t>
                  </w:r>
                  <w:r>
                    <w:rPr>
                      <w:rFonts w:ascii="Avenir Next Condensed"/>
                      <w:spacing w:val="-4"/>
                      <w:sz w:val="20"/>
                    </w:rPr>
                    <w:t xml:space="preserve"> </w:t>
                  </w:r>
                  <w:r>
                    <w:rPr>
                      <w:rFonts w:ascii="Avenir Next Condensed"/>
                      <w:spacing w:val="-2"/>
                      <w:sz w:val="20"/>
                    </w:rPr>
                    <w:t>variation)).</w:t>
                  </w:r>
                </w:p>
                <w:p w:rsidR="008A79D5" w:rsidRDefault="008A79D5">
                  <w:pPr>
                    <w:spacing w:before="121"/>
                    <w:ind w:left="17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Example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(c)—method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reference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indices</w:t>
                  </w:r>
                </w:p>
              </w:txbxContent>
            </v:textbox>
          </v:shape>
        </w:pict>
      </w:r>
    </w:p>
    <w:p w:rsidR="00D96B91" w:rsidRDefault="00D96B91">
      <w:pPr>
        <w:spacing w:before="11"/>
        <w:rPr>
          <w:rFonts w:ascii="Avenir Next" w:eastAsia="Avenir Next" w:hAnsi="Avenir Next" w:cs="Avenir Next"/>
          <w:b/>
          <w:bCs/>
          <w:sz w:val="15"/>
          <w:szCs w:val="15"/>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4.2: Section 20B – </w:t>
      </w:r>
      <w:r>
        <w:rPr>
          <w:rFonts w:ascii="Avenir Next" w:eastAsia="Avenir Next" w:hAnsi="Avenir Next" w:cs="Avenir Next"/>
          <w:b/>
          <w:bCs/>
          <w:spacing w:val="-1"/>
          <w:sz w:val="20"/>
          <w:szCs w:val="20"/>
        </w:rPr>
        <w:t>Reset</w:t>
      </w:r>
      <w:r>
        <w:rPr>
          <w:rFonts w:ascii="Avenir Next" w:eastAsia="Avenir Next" w:hAnsi="Avenir Next" w:cs="Avenir Next"/>
          <w:b/>
          <w:bCs/>
          <w:sz w:val="20"/>
          <w:szCs w:val="20"/>
        </w:rPr>
        <w:t xml:space="preserve"> principles</w:t>
      </w:r>
    </w:p>
    <w:p w:rsidR="00D96B91" w:rsidRDefault="00D96B91">
      <w:pPr>
        <w:spacing w:before="12"/>
        <w:rPr>
          <w:rFonts w:ascii="Avenir Next" w:eastAsia="Avenir Next" w:hAnsi="Avenir Next" w:cs="Avenir Next"/>
          <w:b/>
          <w:bCs/>
          <w:sz w:val="14"/>
          <w:szCs w:val="14"/>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350" type="#_x0000_t202" style="width:470.55pt;height:200.5pt;mso-left-percent:-10001;mso-top-percent:-10001;mso-position-horizontal:absolute;mso-position-horizontal-relative:char;mso-position-vertical:absolute;mso-position-vertical-relative:line;mso-left-percent:-10001;mso-top-percent:-10001" fillcolor="#dff3fd" stroked="f">
            <v:textbox style="mso-next-textbox:#_x0000_s3350" inset="0,0,0,0">
              <w:txbxContent>
                <w:p w:rsidR="008A79D5" w:rsidRDefault="008A79D5">
                  <w:pPr>
                    <w:tabs>
                      <w:tab w:val="left" w:pos="2222"/>
                    </w:tabs>
                    <w:spacing w:before="162" w:line="260" w:lineRule="exact"/>
                    <w:ind w:left="170" w:right="283"/>
                    <w:rPr>
                      <w:rFonts w:ascii="Avenir Next Condensed" w:eastAsia="Avenir Next Condensed" w:hAnsi="Avenir Next Condensed" w:cs="Avenir Next Condensed"/>
                      <w:sz w:val="20"/>
                      <w:szCs w:val="20"/>
                    </w:rPr>
                  </w:pPr>
                  <w:r>
                    <w:rPr>
                      <w:rFonts w:ascii="Avenir Next Condensed"/>
                      <w:spacing w:val="-2"/>
                      <w:sz w:val="20"/>
                    </w:rPr>
                    <w:t>Section</w:t>
                  </w:r>
                  <w:r>
                    <w:rPr>
                      <w:rFonts w:ascii="Avenir Next Condensed"/>
                      <w:spacing w:val="-4"/>
                      <w:sz w:val="20"/>
                    </w:rPr>
                    <w:t xml:space="preserve"> </w:t>
                  </w:r>
                  <w:r>
                    <w:rPr>
                      <w:rFonts w:ascii="Avenir Next Condensed"/>
                      <w:spacing w:val="-2"/>
                      <w:sz w:val="20"/>
                    </w:rPr>
                    <w:t>20B</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2"/>
                      <w:sz w:val="20"/>
                    </w:rPr>
                    <w:t>Act</w:t>
                  </w:r>
                  <w:r>
                    <w:rPr>
                      <w:rFonts w:ascii="Avenir Next Condensed"/>
                      <w:spacing w:val="-4"/>
                      <w:sz w:val="20"/>
                    </w:rPr>
                    <w:t xml:space="preserve"> </w:t>
                  </w:r>
                  <w:r>
                    <w:rPr>
                      <w:rFonts w:ascii="Avenir Next Condensed"/>
                      <w:spacing w:val="-2"/>
                      <w:sz w:val="20"/>
                    </w:rPr>
                    <w:t>defines what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meant</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term</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future)</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(sub-sections</w:t>
                  </w:r>
                  <w:r>
                    <w:rPr>
                      <w:rFonts w:ascii="Avenir Next Condensed"/>
                      <w:spacing w:val="-4"/>
                      <w:sz w:val="20"/>
                    </w:rPr>
                    <w:t xml:space="preserve"> </w:t>
                  </w:r>
                  <w:r>
                    <w:rPr>
                      <w:rFonts w:ascii="Avenir Next Condensed"/>
                      <w:spacing w:val="-2"/>
                      <w:sz w:val="20"/>
                    </w:rPr>
                    <w:t>(1)-(3))</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also</w:t>
                  </w:r>
                  <w:r>
                    <w:rPr>
                      <w:rFonts w:ascii="Avenir Next Condensed"/>
                      <w:spacing w:val="-4"/>
                      <w:sz w:val="20"/>
                    </w:rPr>
                    <w:t xml:space="preserve"> </w:t>
                  </w:r>
                  <w:r>
                    <w:rPr>
                      <w:rFonts w:ascii="Avenir Next Condensed"/>
                      <w:spacing w:val="-2"/>
                      <w:sz w:val="20"/>
                    </w:rPr>
                    <w:t>states</w:t>
                  </w:r>
                  <w:r>
                    <w:rPr>
                      <w:rFonts w:ascii="Avenir Next Condensed"/>
                      <w:spacing w:val="-4"/>
                      <w:sz w:val="20"/>
                    </w:rPr>
                    <w:t xml:space="preserve"> </w:t>
                  </w:r>
                  <w:r>
                    <w:rPr>
                      <w:rFonts w:ascii="Avenir Next Condensed"/>
                      <w:spacing w:val="-2"/>
                      <w:sz w:val="20"/>
                    </w:rPr>
                    <w:t>the</w:t>
                  </w:r>
                  <w:r>
                    <w:rPr>
                      <w:rFonts w:ascii="Avenir Next Condensed"/>
                      <w:spacing w:val="62"/>
                      <w:sz w:val="20"/>
                    </w:rPr>
                    <w:t xml:space="preserve"> </w:t>
                  </w:r>
                  <w:r>
                    <w:rPr>
                      <w:rFonts w:ascii="Avenir Next Condensed"/>
                      <w:spacing w:val="-2"/>
                      <w:sz w:val="20"/>
                    </w:rPr>
                    <w:t>following:</w:t>
                  </w:r>
                </w:p>
                <w:p w:rsidR="008A79D5" w:rsidRDefault="008A79D5">
                  <w:pPr>
                    <w:numPr>
                      <w:ilvl w:val="0"/>
                      <w:numId w:val="114"/>
                    </w:numPr>
                    <w:tabs>
                      <w:tab w:val="left" w:pos="511"/>
                    </w:tabs>
                    <w:spacing w:before="121"/>
                    <w:ind w:hanging="34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direction,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commission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not—</w:t>
                  </w:r>
                </w:p>
                <w:p w:rsidR="008A79D5" w:rsidRDefault="008A79D5">
                  <w:pPr>
                    <w:numPr>
                      <w:ilvl w:val="1"/>
                      <w:numId w:val="114"/>
                    </w:numPr>
                    <w:tabs>
                      <w:tab w:val="left" w:pos="851"/>
                    </w:tabs>
                    <w:spacing w:before="100"/>
                    <w:ind w:hanging="340"/>
                    <w:rPr>
                      <w:rFonts w:ascii="Avenir Next Condensed" w:eastAsia="Avenir Next Condensed" w:hAnsi="Avenir Next Condensed" w:cs="Avenir Next Condensed"/>
                      <w:sz w:val="20"/>
                      <w:szCs w:val="20"/>
                    </w:rPr>
                  </w:pPr>
                  <w:r>
                    <w:rPr>
                      <w:rFonts w:ascii="Avenir Next Condensed"/>
                      <w:spacing w:val="-4"/>
                      <w:sz w:val="20"/>
                    </w:rPr>
                    <w:t>vary,</w:t>
                  </w:r>
                  <w:r>
                    <w:rPr>
                      <w:rFonts w:ascii="Avenir Next Condensed"/>
                      <w:spacing w:val="-10"/>
                      <w:sz w:val="20"/>
                    </w:rPr>
                    <w:t xml:space="preserve"> </w:t>
                  </w:r>
                  <w:r>
                    <w:rPr>
                      <w:rFonts w:ascii="Avenir Next Condensed"/>
                      <w:spacing w:val="-2"/>
                      <w:sz w:val="20"/>
                    </w:rPr>
                    <w:t>omit</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replace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or</w:t>
                  </w:r>
                </w:p>
                <w:p w:rsidR="008A79D5" w:rsidRDefault="008A79D5">
                  <w:pPr>
                    <w:numPr>
                      <w:ilvl w:val="1"/>
                      <w:numId w:val="114"/>
                    </w:numPr>
                    <w:tabs>
                      <w:tab w:val="left" w:pos="851"/>
                    </w:tabs>
                    <w:spacing w:before="92" w:line="260" w:lineRule="exact"/>
                    <w:ind w:right="438" w:hanging="340"/>
                    <w:rPr>
                      <w:rFonts w:ascii="Avenir Next Condensed" w:eastAsia="Avenir Next Condensed" w:hAnsi="Avenir Next Condensed" w:cs="Avenir Next Condensed"/>
                      <w:sz w:val="20"/>
                      <w:szCs w:val="20"/>
                    </w:rPr>
                  </w:pPr>
                  <w:r>
                    <w:rPr>
                      <w:rFonts w:ascii="Avenir Next Condensed"/>
                      <w:spacing w:val="-2"/>
                      <w:sz w:val="20"/>
                    </w:rPr>
                    <w:t>include</w:t>
                  </w:r>
                  <w:r>
                    <w:rPr>
                      <w:rFonts w:ascii="Avenir Next Condensed"/>
                      <w:spacing w:val="-4"/>
                      <w:sz w:val="20"/>
                    </w:rPr>
                    <w:t xml:space="preserve"> </w:t>
                  </w:r>
                  <w:r>
                    <w:rPr>
                      <w:rFonts w:ascii="Avenir Next Condensed"/>
                      <w:spacing w:val="-2"/>
                      <w:sz w:val="20"/>
                    </w:rPr>
                    <w:t>any</w:t>
                  </w:r>
                  <w:r>
                    <w:rPr>
                      <w:rFonts w:ascii="Avenir Next Condensed"/>
                      <w:spacing w:val="-4"/>
                      <w:sz w:val="20"/>
                    </w:rPr>
                    <w:t xml:space="preserve"> </w:t>
                  </w:r>
                  <w:r>
                    <w:rPr>
                      <w:rFonts w:ascii="Avenir Next Condensed"/>
                      <w:spacing w:val="-2"/>
                      <w:sz w:val="20"/>
                    </w:rPr>
                    <w:t>future</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varying,</w:t>
                  </w:r>
                  <w:r>
                    <w:rPr>
                      <w:rFonts w:ascii="Avenir Next Condensed"/>
                      <w:spacing w:val="-10"/>
                      <w:sz w:val="20"/>
                    </w:rPr>
                    <w:t xml:space="preserve"> </w:t>
                  </w:r>
                  <w:r>
                    <w:rPr>
                      <w:rFonts w:ascii="Avenir Next Condensed"/>
                      <w:spacing w:val="-3"/>
                      <w:sz w:val="20"/>
                    </w:rPr>
                    <w:t>omitting</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replacing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in</w:t>
                  </w:r>
                  <w:r>
                    <w:rPr>
                      <w:rFonts w:ascii="Avenir Next Condensed"/>
                      <w:spacing w:val="64"/>
                      <w:sz w:val="20"/>
                    </w:rPr>
                    <w:t xml:space="preserve"> </w:t>
                  </w:r>
                  <w:r>
                    <w:rPr>
                      <w:rFonts w:ascii="Avenir Next Condensed"/>
                      <w:spacing w:val="-2"/>
                      <w:sz w:val="20"/>
                    </w:rPr>
                    <w:t>their</w:t>
                  </w:r>
                  <w:r>
                    <w:rPr>
                      <w:rFonts w:ascii="Avenir Next Condensed"/>
                      <w:spacing w:val="-4"/>
                      <w:sz w:val="20"/>
                    </w:rPr>
                    <w:t xml:space="preserve"> </w:t>
                  </w:r>
                  <w:r>
                    <w:rPr>
                      <w:rFonts w:ascii="Avenir Next Condensed"/>
                      <w:spacing w:val="-2"/>
                      <w:sz w:val="20"/>
                    </w:rPr>
                    <w:t>application</w:t>
                  </w:r>
                  <w:r>
                    <w:rPr>
                      <w:rFonts w:ascii="Avenir Next Condensed"/>
                      <w:spacing w:val="-4"/>
                      <w:sz w:val="20"/>
                    </w:rPr>
                    <w:t xml:space="preserve"> </w:t>
                  </w:r>
                  <w:r>
                    <w:rPr>
                      <w:rFonts w:ascii="Avenir Next Condensed"/>
                      <w:spacing w:val="-1"/>
                      <w:sz w:val="20"/>
                    </w:rPr>
                    <w:t>at</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future</w:t>
                  </w:r>
                  <w:r>
                    <w:rPr>
                      <w:rFonts w:ascii="Avenir Next Condensed"/>
                      <w:spacing w:val="-4"/>
                      <w:sz w:val="20"/>
                    </w:rPr>
                    <w:t xml:space="preserve"> </w:t>
                  </w:r>
                  <w:r>
                    <w:rPr>
                      <w:rFonts w:ascii="Avenir Next Condensed"/>
                      <w:spacing w:val="-2"/>
                      <w:sz w:val="20"/>
                    </w:rPr>
                    <w:t>date.</w:t>
                  </w:r>
                </w:p>
                <w:p w:rsidR="008A79D5" w:rsidRDefault="008A79D5">
                  <w:pPr>
                    <w:numPr>
                      <w:ilvl w:val="0"/>
                      <w:numId w:val="114"/>
                    </w:numPr>
                    <w:tabs>
                      <w:tab w:val="left" w:pos="511"/>
                    </w:tabs>
                    <w:spacing w:before="113" w:line="260" w:lineRule="exact"/>
                    <w:ind w:right="561" w:hanging="340"/>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commission</w:t>
                  </w:r>
                  <w:r>
                    <w:rPr>
                      <w:rFonts w:ascii="Avenir Next Condensed"/>
                      <w:spacing w:val="-4"/>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1"/>
                      <w:sz w:val="20"/>
                    </w:rPr>
                    <w:t>fi</w:t>
                  </w:r>
                  <w:r w:rsidR="00710124">
                    <w:rPr>
                      <w:rFonts w:ascii="Avenir Next Condensed"/>
                      <w:spacing w:val="-1"/>
                      <w:sz w:val="20"/>
                    </w:rPr>
                    <w:t xml:space="preserve">x </w:t>
                  </w:r>
                  <w:r>
                    <w:rPr>
                      <w:rFonts w:ascii="Avenir Next Condensed"/>
                      <w:sz w:val="20"/>
                    </w:rPr>
                    <w:t>a</w:t>
                  </w:r>
                  <w:r>
                    <w:rPr>
                      <w:rFonts w:ascii="Avenir Next Condensed"/>
                      <w:spacing w:val="-4"/>
                      <w:sz w:val="20"/>
                    </w:rPr>
                    <w:t xml:space="preserve"> </w:t>
                  </w:r>
                  <w:r>
                    <w:rPr>
                      <w:rFonts w:ascii="Avenir Next Condensed"/>
                      <w:spacing w:val="-2"/>
                      <w:sz w:val="20"/>
                    </w:rPr>
                    <w:t>period</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regulation</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1"/>
                      <w:sz w:val="20"/>
                    </w:rPr>
                    <w:t>of</w:t>
                  </w:r>
                  <w:r>
                    <w:rPr>
                      <w:rFonts w:ascii="Avenir Next Condensed"/>
                      <w:sz w:val="20"/>
                    </w:rPr>
                    <w:t xml:space="preserve"> 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services</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ends</w:t>
                  </w:r>
                  <w:r>
                    <w:rPr>
                      <w:rFonts w:ascii="Avenir Next Condensed"/>
                      <w:spacing w:val="44"/>
                      <w:sz w:val="20"/>
                    </w:rPr>
                    <w:t xml:space="preserve"> </w:t>
                  </w:r>
                  <w:r>
                    <w:rPr>
                      <w:rFonts w:ascii="Avenir Next Condensed"/>
                      <w:spacing w:val="-2"/>
                      <w:sz w:val="20"/>
                    </w:rPr>
                    <w:t>before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day</w:t>
                  </w:r>
                  <w:r>
                    <w:rPr>
                      <w:rFonts w:ascii="Avenir Next Condensed"/>
                      <w:spacing w:val="-4"/>
                      <w:sz w:val="20"/>
                    </w:rPr>
                    <w:t xml:space="preserve"> </w:t>
                  </w:r>
                  <w:r>
                    <w:rPr>
                      <w:rFonts w:ascii="Avenir Next Condensed"/>
                      <w:spacing w:val="-2"/>
                      <w:sz w:val="20"/>
                    </w:rPr>
                    <w:t>when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services</w:t>
                  </w:r>
                  <w:r>
                    <w:rPr>
                      <w:rFonts w:ascii="Avenir Next Condensed"/>
                      <w:spacing w:val="-4"/>
                      <w:sz w:val="20"/>
                    </w:rPr>
                    <w:t xml:space="preserve"> </w:t>
                  </w:r>
                  <w:r>
                    <w:rPr>
                      <w:rFonts w:ascii="Avenir Next Condensed"/>
                      <w:spacing w:val="-2"/>
                      <w:sz w:val="20"/>
                    </w:rPr>
                    <w:t>end.</w:t>
                  </w:r>
                </w:p>
                <w:p w:rsidR="008A79D5" w:rsidRDefault="008A79D5">
                  <w:pPr>
                    <w:numPr>
                      <w:ilvl w:val="0"/>
                      <w:numId w:val="114"/>
                    </w:numPr>
                    <w:tabs>
                      <w:tab w:val="left" w:pos="511"/>
                    </w:tabs>
                    <w:spacing w:before="113" w:line="260" w:lineRule="exact"/>
                    <w:ind w:right="474" w:hanging="340"/>
                    <w:rPr>
                      <w:rFonts w:ascii="Avenir Next Condensed" w:eastAsia="Avenir Next Condensed" w:hAnsi="Avenir Next Condensed" w:cs="Avenir Next Condensed"/>
                      <w:sz w:val="20"/>
                      <w:szCs w:val="20"/>
                    </w:rPr>
                  </w:pPr>
                  <w:r>
                    <w:rPr>
                      <w:rFonts w:ascii="Avenir Next Condensed"/>
                      <w:spacing w:val="-1"/>
                      <w:sz w:val="20"/>
                    </w:rPr>
                    <w:t>If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reset</w:t>
                  </w:r>
                  <w:r>
                    <w:rPr>
                      <w:rFonts w:ascii="Avenir Next Condensed"/>
                      <w:spacing w:val="-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governing</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earlier</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end</w:t>
                  </w:r>
                  <w:r>
                    <w:rPr>
                      <w:rFonts w:ascii="Avenir Next Condensed"/>
                      <w:spacing w:val="-4"/>
                      <w:sz w:val="20"/>
                    </w:rPr>
                    <w:t xml:space="preserve"> </w:t>
                  </w:r>
                  <w:r>
                    <w:rPr>
                      <w:rFonts w:ascii="Avenir Next Condensed"/>
                      <w:spacing w:val="-1"/>
                      <w:sz w:val="20"/>
                    </w:rPr>
                    <w:t>on</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before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date</w:t>
                  </w:r>
                  <w:r>
                    <w:rPr>
                      <w:rFonts w:ascii="Avenir Next Condensed"/>
                      <w:spacing w:val="-4"/>
                      <w:sz w:val="20"/>
                    </w:rPr>
                    <w:t xml:space="preserve"> </w:t>
                  </w:r>
                  <w:r>
                    <w:rPr>
                      <w:rFonts w:ascii="Avenir Next Condensed"/>
                      <w:spacing w:val="-2"/>
                      <w:sz w:val="20"/>
                    </w:rPr>
                    <w:t>when</w:t>
                  </w:r>
                  <w:r>
                    <w:rPr>
                      <w:rFonts w:ascii="Avenir Next Condensed"/>
                      <w:spacing w:val="-4"/>
                      <w:sz w:val="20"/>
                    </w:rPr>
                    <w:t xml:space="preserve"> </w:t>
                  </w:r>
                  <w:r>
                    <w:rPr>
                      <w:rFonts w:ascii="Avenir Next Condensed"/>
                      <w:spacing w:val="-2"/>
                      <w:sz w:val="20"/>
                    </w:rPr>
                    <w:t>any</w:t>
                  </w:r>
                  <w:r>
                    <w:rPr>
                      <w:rFonts w:ascii="Avenir Next Condensed"/>
                      <w:spacing w:val="-4"/>
                      <w:sz w:val="20"/>
                    </w:rPr>
                    <w:t xml:space="preserve"> </w:t>
                  </w:r>
                  <w:r>
                    <w:rPr>
                      <w:rFonts w:ascii="Avenir Next Condensed"/>
                      <w:spacing w:val="-2"/>
                      <w:sz w:val="20"/>
                    </w:rPr>
                    <w:t>price</w:t>
                  </w:r>
                  <w:r>
                    <w:rPr>
                      <w:rFonts w:ascii="Avenir Next Condensed"/>
                      <w:spacing w:val="44"/>
                      <w:sz w:val="20"/>
                    </w:rPr>
                    <w:t xml:space="preserve"> </w:t>
                  </w:r>
                  <w:r>
                    <w:rPr>
                      <w:rFonts w:ascii="Avenir Next Condensed"/>
                      <w:spacing w:val="-2"/>
                      <w:sz w:val="20"/>
                    </w:rPr>
                    <w:t>regulation</w:t>
                  </w:r>
                  <w:r>
                    <w:rPr>
                      <w:rFonts w:ascii="Avenir Next Condensed"/>
                      <w:spacing w:val="-4"/>
                      <w:sz w:val="20"/>
                    </w:rPr>
                    <w:t xml:space="preserve"> </w:t>
                  </w:r>
                  <w:r>
                    <w:rPr>
                      <w:rFonts w:ascii="Avenir Next Condensed"/>
                      <w:spacing w:val="-2"/>
                      <w:sz w:val="20"/>
                    </w:rPr>
                    <w:t>provisions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earlier</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earlier</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end,</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earlier</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2"/>
                      <w:sz w:val="20"/>
                    </w:rPr>
                    <w:t>include</w:t>
                  </w:r>
                  <w:r>
                    <w:rPr>
                      <w:rFonts w:ascii="Avenir Next Condensed"/>
                      <w:spacing w:val="-4"/>
                      <w:sz w:val="20"/>
                    </w:rPr>
                    <w:t xml:space="preserve"> </w:t>
                  </w:r>
                  <w:r>
                    <w:rPr>
                      <w:rFonts w:ascii="Avenir Next Condensed"/>
                      <w:spacing w:val="-2"/>
                      <w:sz w:val="20"/>
                    </w:rPr>
                    <w:t>future</w:t>
                  </w:r>
                  <w:r>
                    <w:rPr>
                      <w:rFonts w:ascii="Avenir Next Condensed"/>
                      <w:spacing w:val="-4"/>
                      <w:sz w:val="20"/>
                    </w:rPr>
                    <w:t xml:space="preserve"> </w:t>
                  </w:r>
                  <w:r>
                    <w:rPr>
                      <w:rFonts w:ascii="Avenir Next Condensed"/>
                      <w:spacing w:val="-3"/>
                      <w:sz w:val="20"/>
                    </w:rPr>
                    <w:t>reset</w:t>
                  </w:r>
                  <w:r>
                    <w:rPr>
                      <w:rFonts w:ascii="Avenir Next Condensed"/>
                      <w:spacing w:val="34"/>
                      <w:sz w:val="20"/>
                    </w:rPr>
                    <w:t xml:space="preserve"> </w:t>
                  </w:r>
                  <w:r>
                    <w:rPr>
                      <w:rFonts w:ascii="Avenir Next Condensed"/>
                      <w:spacing w:val="-2"/>
                      <w:sz w:val="20"/>
                    </w:rPr>
                    <w:t>principles</w:t>
                  </w:r>
                  <w:r>
                    <w:rPr>
                      <w:rFonts w:ascii="Avenir Next Condensed"/>
                      <w:spacing w:val="-4"/>
                      <w:sz w:val="20"/>
                    </w:rPr>
                    <w:t xml:space="preserve"> </w:t>
                  </w:r>
                  <w:r>
                    <w:rPr>
                      <w:rFonts w:ascii="Avenir Next Condensed"/>
                      <w:spacing w:val="-2"/>
                      <w:sz w:val="20"/>
                    </w:rPr>
                    <w:t>governing</w:t>
                  </w:r>
                  <w:r>
                    <w:rPr>
                      <w:rFonts w:ascii="Avenir Next Condensed"/>
                      <w:spacing w:val="-4"/>
                      <w:sz w:val="20"/>
                    </w:rPr>
                    <w:t xml:space="preserve"> </w:t>
                  </w:r>
                  <w:r>
                    <w:rPr>
                      <w:rFonts w:ascii="Avenir Next Condensed"/>
                      <w:spacing w:val="-2"/>
                      <w:sz w:val="20"/>
                    </w:rPr>
                    <w:t>any</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regulation</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next</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industry)</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supersede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earlier</w:t>
                  </w:r>
                  <w:r>
                    <w:rPr>
                      <w:rFonts w:ascii="Avenir Next Condensed"/>
                      <w:spacing w:val="66"/>
                      <w:sz w:val="20"/>
                    </w:rPr>
                    <w:t xml:space="preserve"> </w:t>
                  </w:r>
                  <w:r>
                    <w:rPr>
                      <w:rFonts w:ascii="Avenir Next Condensed"/>
                      <w:spacing w:val="-3"/>
                      <w:sz w:val="20"/>
                    </w:rPr>
                    <w:t>provision.</w:t>
                  </w:r>
                </w:p>
              </w:txbxContent>
            </v:textbox>
          </v:shape>
        </w:pict>
      </w:r>
    </w:p>
    <w:p w:rsidR="00D96B91" w:rsidRDefault="00D96B91">
      <w:pPr>
        <w:rPr>
          <w:rFonts w:ascii="Avenir Next" w:eastAsia="Avenir Next" w:hAnsi="Avenir Next" w:cs="Avenir Next"/>
          <w:b/>
          <w:bCs/>
          <w:sz w:val="12"/>
          <w:szCs w:val="12"/>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4.3: Section 20C – </w:t>
      </w:r>
      <w:r>
        <w:rPr>
          <w:rFonts w:ascii="Avenir Next" w:eastAsia="Avenir Next" w:hAnsi="Avenir Next" w:cs="Avenir Next"/>
          <w:b/>
          <w:bCs/>
          <w:spacing w:val="-1"/>
          <w:sz w:val="20"/>
          <w:szCs w:val="20"/>
        </w:rPr>
        <w:t>Effective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dates</w:t>
      </w:r>
    </w:p>
    <w:p w:rsidR="00D96B91" w:rsidRDefault="00D96B91">
      <w:pPr>
        <w:spacing w:before="12"/>
        <w:rPr>
          <w:rFonts w:ascii="Avenir Next" w:eastAsia="Avenir Next" w:hAnsi="Avenir Next" w:cs="Avenir Next"/>
          <w:b/>
          <w:bCs/>
          <w:sz w:val="14"/>
          <w:szCs w:val="14"/>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349" type="#_x0000_t202" style="width:470.55pt;height:124.05pt;mso-left-percent:-10001;mso-top-percent:-10001;mso-position-horizontal:absolute;mso-position-horizontal-relative:char;mso-position-vertical:absolute;mso-position-vertical-relative:line;mso-left-percent:-10001;mso-top-percent:-10001" fillcolor="#dff3fd" stroked="f">
            <v:textbox style="mso-next-textbox:#_x0000_s3349" inset="0,0,0,0">
              <w:txbxContent>
                <w:p w:rsidR="008A79D5" w:rsidRDefault="008A79D5">
                  <w:pPr>
                    <w:spacing w:before="170"/>
                    <w:ind w:left="170"/>
                    <w:rPr>
                      <w:rFonts w:ascii="Avenir Next Condensed" w:eastAsia="Avenir Next Condensed" w:hAnsi="Avenir Next Condensed" w:cs="Avenir Next Condensed"/>
                      <w:sz w:val="20"/>
                      <w:szCs w:val="20"/>
                    </w:rPr>
                  </w:pPr>
                  <w:r>
                    <w:rPr>
                      <w:rFonts w:ascii="Avenir Next Condensed"/>
                      <w:spacing w:val="-2"/>
                      <w:sz w:val="20"/>
                    </w:rPr>
                    <w:t>Section</w:t>
                  </w:r>
                  <w:r>
                    <w:rPr>
                      <w:rFonts w:ascii="Avenir Next Condensed"/>
                      <w:spacing w:val="-4"/>
                      <w:sz w:val="20"/>
                    </w:rPr>
                    <w:t xml:space="preserve"> </w:t>
                  </w:r>
                  <w:r>
                    <w:rPr>
                      <w:rFonts w:ascii="Avenir Next Condensed"/>
                      <w:spacing w:val="-2"/>
                      <w:sz w:val="20"/>
                    </w:rPr>
                    <w:t>20C</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2"/>
                      <w:sz w:val="20"/>
                    </w:rPr>
                    <w:t>Act</w:t>
                  </w:r>
                  <w:r>
                    <w:rPr>
                      <w:rFonts w:ascii="Avenir Next Condensed"/>
                      <w:spacing w:val="-4"/>
                      <w:sz w:val="20"/>
                    </w:rPr>
                    <w:t xml:space="preserve"> </w:t>
                  </w:r>
                  <w:r>
                    <w:rPr>
                      <w:rFonts w:ascii="Avenir Next Condensed"/>
                      <w:spacing w:val="-2"/>
                      <w:sz w:val="20"/>
                    </w:rPr>
                    <w:t>states</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p>
                <w:p w:rsidR="008A79D5" w:rsidRDefault="008A79D5">
                  <w:pPr>
                    <w:numPr>
                      <w:ilvl w:val="0"/>
                      <w:numId w:val="113"/>
                    </w:numPr>
                    <w:tabs>
                      <w:tab w:val="left" w:pos="511"/>
                    </w:tabs>
                    <w:spacing w:before="100"/>
                    <w:ind w:hanging="34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Each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provision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direction—</w:t>
                  </w:r>
                </w:p>
                <w:p w:rsidR="008A79D5" w:rsidRDefault="008A79D5">
                  <w:pPr>
                    <w:numPr>
                      <w:ilvl w:val="1"/>
                      <w:numId w:val="113"/>
                    </w:numPr>
                    <w:tabs>
                      <w:tab w:val="left" w:pos="851"/>
                      <w:tab w:val="left" w:pos="7874"/>
                    </w:tabs>
                    <w:spacing w:before="92" w:line="260" w:lineRule="exact"/>
                    <w:ind w:right="357" w:hanging="340"/>
                    <w:rPr>
                      <w:rFonts w:ascii="Avenir Next Condensed" w:eastAsia="Avenir Next Condensed" w:hAnsi="Avenir Next Condensed" w:cs="Avenir Next Condensed"/>
                      <w:sz w:val="20"/>
                      <w:szCs w:val="20"/>
                    </w:rPr>
                  </w:pPr>
                  <w:r>
                    <w:rPr>
                      <w:rFonts w:ascii="Avenir Next Condensed"/>
                      <w:spacing w:val="-2"/>
                      <w:sz w:val="20"/>
                    </w:rPr>
                    <w:t>comes</w:t>
                  </w:r>
                  <w:r>
                    <w:rPr>
                      <w:rFonts w:ascii="Avenir Next Condensed"/>
                      <w:spacing w:val="-4"/>
                      <w:sz w:val="20"/>
                    </w:rPr>
                    <w:t xml:space="preserve"> </w:t>
                  </w:r>
                  <w:r>
                    <w:rPr>
                      <w:rFonts w:ascii="Avenir Next Condensed"/>
                      <w:spacing w:val="-2"/>
                      <w:sz w:val="20"/>
                    </w:rPr>
                    <w:t>into</w:t>
                  </w:r>
                  <w:r>
                    <w:rPr>
                      <w:rFonts w:ascii="Avenir Next Condensed"/>
                      <w:spacing w:val="-4"/>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1"/>
                      <w:sz w:val="20"/>
                    </w:rPr>
                    <w:t>on</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day</w:t>
                  </w:r>
                  <w:r>
                    <w:rPr>
                      <w:rFonts w:ascii="Avenir Next Condensed"/>
                      <w:spacing w:val="-4"/>
                      <w:sz w:val="20"/>
                    </w:rPr>
                    <w:t xml:space="preserve"> </w:t>
                  </w:r>
                  <w:r>
                    <w:rPr>
                      <w:rFonts w:ascii="Avenir Next Condensed"/>
                      <w:spacing w:val="-2"/>
                      <w:sz w:val="20"/>
                    </w:rPr>
                    <w:t>ascertained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direction,</w:t>
                  </w:r>
                  <w:r>
                    <w:rPr>
                      <w:rFonts w:ascii="Avenir Next Condensed"/>
                      <w:spacing w:val="-10"/>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1"/>
                      <w:sz w:val="20"/>
                    </w:rPr>
                    <w:t>14</w:t>
                  </w:r>
                  <w:r>
                    <w:rPr>
                      <w:rFonts w:ascii="Avenir Next Condensed"/>
                      <w:spacing w:val="-4"/>
                      <w:sz w:val="20"/>
                    </w:rPr>
                    <w:t xml:space="preserve"> </w:t>
                  </w:r>
                  <w:r>
                    <w:rPr>
                      <w:rFonts w:ascii="Avenir Next Condensed"/>
                      <w:spacing w:val="-2"/>
                      <w:sz w:val="20"/>
                    </w:rPr>
                    <w:t>days</w:t>
                  </w:r>
                  <w:r>
                    <w:rPr>
                      <w:rFonts w:ascii="Avenir Next Condensed"/>
                      <w:spacing w:val="-4"/>
                      <w:sz w:val="20"/>
                    </w:rPr>
                    <w:t xml:space="preserve"> </w:t>
                  </w:r>
                  <w:r>
                    <w:rPr>
                      <w:rFonts w:ascii="Avenir Next Condensed"/>
                      <w:spacing w:val="-3"/>
                      <w:sz w:val="20"/>
                    </w:rPr>
                    <w:t>after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day</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fi</w:t>
                  </w:r>
                  <w:r w:rsidR="00710124">
                    <w:rPr>
                      <w:rFonts w:ascii="Avenir Next Condensed"/>
                      <w:spacing w:val="-1"/>
                      <w:sz w:val="20"/>
                    </w:rPr>
                    <w:t>nal</w:t>
                  </w:r>
                  <w:r>
                    <w:rPr>
                      <w:rFonts w:ascii="Avenir Next Condensed"/>
                      <w:spacing w:val="-1"/>
                      <w:sz w:val="20"/>
                    </w:rPr>
                    <w:tab/>
                  </w:r>
                  <w:r>
                    <w:rPr>
                      <w:rFonts w:ascii="Avenir Next Condensed"/>
                      <w:spacing w:val="-2"/>
                      <w:sz w:val="20"/>
                    </w:rPr>
                    <w:t>report</w:t>
                  </w:r>
                  <w:r>
                    <w:rPr>
                      <w:rFonts w:ascii="Avenir Next Condensed"/>
                      <w:spacing w:val="-4"/>
                      <w:sz w:val="20"/>
                    </w:rPr>
                    <w:t xml:space="preserve"> </w:t>
                  </w:r>
                  <w:r>
                    <w:rPr>
                      <w:rFonts w:ascii="Avenir Next Condensed"/>
                      <w:spacing w:val="-2"/>
                      <w:sz w:val="20"/>
                    </w:rPr>
                    <w:t>containing</w:t>
                  </w:r>
                  <w:r>
                    <w:rPr>
                      <w:rFonts w:ascii="Avenir Next Condensed"/>
                      <w:spacing w:val="6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presented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Legislative</w:t>
                  </w:r>
                  <w:r>
                    <w:rPr>
                      <w:rFonts w:ascii="Avenir Next Condensed"/>
                      <w:spacing w:val="-8"/>
                      <w:sz w:val="20"/>
                    </w:rPr>
                    <w:t xml:space="preserve"> </w:t>
                  </w:r>
                  <w:r>
                    <w:rPr>
                      <w:rFonts w:ascii="Avenir Next Condensed"/>
                      <w:spacing w:val="-3"/>
                      <w:sz w:val="20"/>
                    </w:rPr>
                    <w:t>Assembly,</w:t>
                  </w:r>
                  <w:r>
                    <w:rPr>
                      <w:rFonts w:ascii="Avenir Next Condensed"/>
                      <w:spacing w:val="-10"/>
                      <w:sz w:val="20"/>
                    </w:rPr>
                    <w:t xml:space="preserve"> </w:t>
                  </w:r>
                  <w:r>
                    <w:rPr>
                      <w:rFonts w:ascii="Avenir Next Condensed"/>
                      <w:spacing w:val="-2"/>
                      <w:sz w:val="20"/>
                    </w:rPr>
                    <w:t>whichever</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later;</w:t>
                  </w:r>
                  <w:r>
                    <w:rPr>
                      <w:rFonts w:ascii="Avenir Next Condensed"/>
                      <w:spacing w:val="-4"/>
                      <w:sz w:val="20"/>
                    </w:rPr>
                    <w:t xml:space="preserve"> </w:t>
                  </w:r>
                  <w:r>
                    <w:rPr>
                      <w:rFonts w:ascii="Avenir Next Condensed"/>
                      <w:spacing w:val="-2"/>
                      <w:sz w:val="20"/>
                    </w:rPr>
                    <w:t>and</w:t>
                  </w:r>
                </w:p>
                <w:p w:rsidR="008A79D5" w:rsidRDefault="008A79D5">
                  <w:pPr>
                    <w:numPr>
                      <w:ilvl w:val="1"/>
                      <w:numId w:val="113"/>
                    </w:numPr>
                    <w:tabs>
                      <w:tab w:val="left" w:pos="851"/>
                    </w:tabs>
                    <w:spacing w:before="121"/>
                    <w:ind w:hanging="340"/>
                    <w:rPr>
                      <w:rFonts w:ascii="Avenir Next Condensed" w:eastAsia="Avenir Next Condensed" w:hAnsi="Avenir Next Condensed" w:cs="Avenir Next Condensed"/>
                      <w:sz w:val="20"/>
                      <w:szCs w:val="20"/>
                    </w:rPr>
                  </w:pPr>
                  <w:r>
                    <w:rPr>
                      <w:rFonts w:ascii="Avenir Next Condensed"/>
                      <w:spacing w:val="-2"/>
                      <w:sz w:val="20"/>
                    </w:rPr>
                    <w:t>remains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2"/>
                      <w:sz w:val="20"/>
                    </w:rPr>
                    <w:t>until</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day</w:t>
                  </w:r>
                  <w:r>
                    <w:rPr>
                      <w:rFonts w:ascii="Avenir Next Condensed"/>
                      <w:spacing w:val="-4"/>
                      <w:sz w:val="20"/>
                    </w:rPr>
                    <w:t xml:space="preserve"> </w:t>
                  </w:r>
                  <w:r>
                    <w:rPr>
                      <w:rFonts w:ascii="Avenir Next Condensed"/>
                      <w:spacing w:val="-2"/>
                      <w:sz w:val="20"/>
                    </w:rPr>
                    <w:t>ascertained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direction.</w:t>
                  </w:r>
                </w:p>
                <w:p w:rsidR="008A79D5" w:rsidRDefault="008A79D5">
                  <w:pPr>
                    <w:numPr>
                      <w:ilvl w:val="0"/>
                      <w:numId w:val="113"/>
                    </w:numPr>
                    <w:tabs>
                      <w:tab w:val="left" w:pos="511"/>
                    </w:tabs>
                    <w:spacing w:before="100"/>
                    <w:ind w:hanging="340"/>
                    <w:rPr>
                      <w:rFonts w:ascii="Avenir Next Condensed" w:eastAsia="Avenir Next Condensed" w:hAnsi="Avenir Next Condensed" w:cs="Avenir Next Condensed"/>
                      <w:sz w:val="20"/>
                      <w:szCs w:val="20"/>
                    </w:rPr>
                  </w:pPr>
                  <w:r>
                    <w:rPr>
                      <w:rFonts w:ascii="Avenir Next Condensed"/>
                      <w:spacing w:val="-2"/>
                      <w:sz w:val="20"/>
                    </w:rPr>
                    <w:t>Under</w:t>
                  </w:r>
                  <w:r>
                    <w:rPr>
                      <w:rFonts w:ascii="Avenir Next Condensed"/>
                      <w:spacing w:val="-4"/>
                      <w:sz w:val="20"/>
                    </w:rPr>
                    <w:t xml:space="preserve"> </w:t>
                  </w:r>
                  <w:r>
                    <w:rPr>
                      <w:rFonts w:ascii="Avenir Next Condensed"/>
                      <w:spacing w:val="-2"/>
                      <w:sz w:val="20"/>
                    </w:rPr>
                    <w:t>subsection</w:t>
                  </w:r>
                  <w:r>
                    <w:rPr>
                      <w:rFonts w:ascii="Avenir Next Condensed"/>
                      <w:spacing w:val="-4"/>
                      <w:sz w:val="20"/>
                    </w:rPr>
                    <w:t xml:space="preserve"> </w:t>
                  </w:r>
                  <w:r>
                    <w:rPr>
                      <w:rFonts w:ascii="Avenir Next Condensed"/>
                      <w:spacing w:val="-2"/>
                      <w:sz w:val="20"/>
                    </w:rPr>
                    <w:t>(1),</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dates</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periods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3"/>
                      <w:sz w:val="20"/>
                    </w:rPr>
                    <w:t>different</w:t>
                  </w:r>
                  <w:r>
                    <w:rPr>
                      <w:rFonts w:ascii="Avenir Next Condensed"/>
                      <w:spacing w:val="-4"/>
                      <w:sz w:val="20"/>
                    </w:rPr>
                    <w:t xml:space="preserve"> </w:t>
                  </w:r>
                  <w:r>
                    <w:rPr>
                      <w:rFonts w:ascii="Avenir Next Condensed"/>
                      <w:spacing w:val="-2"/>
                      <w:sz w:val="20"/>
                    </w:rPr>
                    <w:t>provisions</w:t>
                  </w:r>
                  <w:r>
                    <w:rPr>
                      <w:rFonts w:ascii="Avenir Next Condensed"/>
                      <w:spacing w:val="-4"/>
                      <w:sz w:val="20"/>
                    </w:rPr>
                    <w:t xml:space="preserve"> </w:t>
                  </w:r>
                  <w:r>
                    <w:rPr>
                      <w:rFonts w:ascii="Avenir Next Condensed"/>
                      <w:spacing w:val="-1"/>
                      <w:sz w:val="20"/>
                    </w:rPr>
                    <w:t>of</w:t>
                  </w:r>
                  <w:r>
                    <w:rPr>
                      <w:rFonts w:ascii="Avenir Next Condensed"/>
                      <w:sz w:val="20"/>
                    </w:rPr>
                    <w:t xml:space="preserve"> a</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direction</w:t>
                  </w:r>
                  <w:r>
                    <w:rPr>
                      <w:rFonts w:ascii="Avenir Next Condensed"/>
                      <w:spacing w:val="-4"/>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3"/>
                      <w:sz w:val="20"/>
                    </w:rPr>
                    <w:t>different.</w:t>
                  </w:r>
                </w:p>
              </w:txbxContent>
            </v:textbox>
          </v:shape>
        </w:pict>
      </w:r>
    </w:p>
    <w:p w:rsidR="00D96B91" w:rsidRDefault="00D96B91">
      <w:pPr>
        <w:spacing w:line="200" w:lineRule="atLeast"/>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C2656B">
      <w:pPr>
        <w:pStyle w:val="Heading4"/>
        <w:tabs>
          <w:tab w:val="left" w:pos="2040"/>
        </w:tabs>
        <w:spacing w:before="9"/>
      </w:pPr>
      <w:bookmarkStart w:id="35" w:name="4._2_The_original_terms_of_reference_"/>
      <w:bookmarkStart w:id="36" w:name="_bookmark18"/>
      <w:bookmarkEnd w:id="35"/>
      <w:bookmarkEnd w:id="36"/>
      <w:r>
        <w:rPr>
          <w:color w:val="0778BE"/>
        </w:rPr>
        <w:t>4.</w:t>
      </w:r>
      <w:r>
        <w:rPr>
          <w:color w:val="0778BE"/>
          <w:spacing w:val="-9"/>
        </w:rPr>
        <w:t xml:space="preserve"> </w:t>
      </w:r>
      <w:r>
        <w:rPr>
          <w:color w:val="0778BE"/>
        </w:rPr>
        <w:t>2</w:t>
      </w:r>
      <w:r>
        <w:rPr>
          <w:color w:val="0778BE"/>
        </w:rPr>
        <w:tab/>
      </w:r>
      <w:r>
        <w:rPr>
          <w:color w:val="0778BE"/>
          <w:spacing w:val="-2"/>
        </w:rPr>
        <w:t>The</w:t>
      </w:r>
      <w:r>
        <w:rPr>
          <w:color w:val="0778BE"/>
        </w:rPr>
        <w:t xml:space="preserve"> </w:t>
      </w:r>
      <w:bookmarkStart w:id="37" w:name="_bookmark19"/>
      <w:bookmarkEnd w:id="37"/>
      <w:r>
        <w:rPr>
          <w:color w:val="0778BE"/>
        </w:rPr>
        <w:t>original terms of</w:t>
      </w:r>
      <w:r>
        <w:rPr>
          <w:color w:val="0778BE"/>
          <w:spacing w:val="7"/>
        </w:rPr>
        <w:t xml:space="preserve"> </w:t>
      </w:r>
      <w:r>
        <w:rPr>
          <w:color w:val="0778BE"/>
          <w:spacing w:val="-2"/>
        </w:rPr>
        <w:t>reference</w:t>
      </w:r>
    </w:p>
    <w:p w:rsidR="00D96B91" w:rsidRDefault="00C2656B">
      <w:pPr>
        <w:pStyle w:val="BodyText"/>
        <w:spacing w:before="55" w:line="260" w:lineRule="exact"/>
        <w:ind w:right="1258"/>
        <w:rPr>
          <w:rFonts w:cs="Avenir Next"/>
        </w:rPr>
      </w:pPr>
      <w:r>
        <w:t>Section 24O of</w:t>
      </w:r>
      <w:r>
        <w:rPr>
          <w:spacing w:val="4"/>
        </w:rPr>
        <w:t xml:space="preserve"> </w:t>
      </w:r>
      <w:r>
        <w:t>the</w:t>
      </w:r>
      <w:r>
        <w:rPr>
          <w:spacing w:val="-4"/>
        </w:rPr>
        <w:t xml:space="preserve"> </w:t>
      </w:r>
      <w:r>
        <w:t xml:space="preserve">Act </w:t>
      </w:r>
      <w:r>
        <w:rPr>
          <w:spacing w:val="-1"/>
        </w:rPr>
        <w:t>states</w:t>
      </w:r>
      <w:r>
        <w:t xml:space="preserve"> </w:t>
      </w:r>
      <w:r>
        <w:rPr>
          <w:spacing w:val="-1"/>
        </w:rPr>
        <w:t>that</w:t>
      </w:r>
      <w:r>
        <w:t xml:space="preserve"> in conducting its </w:t>
      </w:r>
      <w:r>
        <w:rPr>
          <w:spacing w:val="-2"/>
        </w:rPr>
        <w:t>review,</w:t>
      </w:r>
      <w:r>
        <w:rPr>
          <w:spacing w:val="-6"/>
        </w:rPr>
        <w:t xml:space="preserve"> </w:t>
      </w:r>
      <w:r>
        <w:rPr>
          <w:spacing w:val="-1"/>
        </w:rPr>
        <w:t>several</w:t>
      </w:r>
      <w:r>
        <w:t xml:space="preserve"> </w:t>
      </w:r>
      <w:r>
        <w:rPr>
          <w:spacing w:val="-1"/>
        </w:rPr>
        <w:t>provisions</w:t>
      </w:r>
      <w:r>
        <w:t xml:space="preserve"> of</w:t>
      </w:r>
      <w:r>
        <w:rPr>
          <w:spacing w:val="4"/>
        </w:rPr>
        <w:t xml:space="preserve"> </w:t>
      </w:r>
      <w:r>
        <w:t>the</w:t>
      </w:r>
      <w:r>
        <w:rPr>
          <w:spacing w:val="-4"/>
        </w:rPr>
        <w:t xml:space="preserve"> </w:t>
      </w:r>
      <w:r>
        <w:t>Act apply to the</w:t>
      </w:r>
      <w:r>
        <w:rPr>
          <w:spacing w:val="37"/>
        </w:rPr>
        <w:t xml:space="preserve"> </w:t>
      </w:r>
      <w:r>
        <w:rPr>
          <w:spacing w:val="-12"/>
        </w:rPr>
        <w:t>P</w:t>
      </w:r>
      <w:r>
        <w:t xml:space="preserve">anel </w:t>
      </w:r>
      <w:r>
        <w:rPr>
          <w:spacing w:val="-6"/>
        </w:rPr>
        <w:t>“</w:t>
      </w:r>
      <w:r>
        <w:t>as if</w:t>
      </w:r>
      <w:r>
        <w:rPr>
          <w:spacing w:val="4"/>
        </w:rPr>
        <w:t xml:space="preserve"> </w:t>
      </w:r>
      <w:r>
        <w:t>it we</w:t>
      </w:r>
      <w:r>
        <w:rPr>
          <w:spacing w:val="-4"/>
        </w:rPr>
        <w:t>r</w:t>
      </w:r>
      <w:r>
        <w:t xml:space="preserve">e the commission conducting a price </w:t>
      </w:r>
      <w:r>
        <w:rPr>
          <w:spacing w:val="-4"/>
        </w:rPr>
        <w:t>r</w:t>
      </w:r>
      <w:r>
        <w:t>egul</w:t>
      </w:r>
      <w:r>
        <w:rPr>
          <w:spacing w:val="-2"/>
        </w:rPr>
        <w:t>a</w:t>
      </w:r>
      <w:r>
        <w:t>tion investig</w:t>
      </w:r>
      <w:r>
        <w:rPr>
          <w:spacing w:val="-2"/>
        </w:rPr>
        <w:t>a</w:t>
      </w:r>
      <w:r>
        <w:t>tion</w:t>
      </w:r>
      <w:r>
        <w:rPr>
          <w:spacing w:val="-24"/>
        </w:rPr>
        <w:t>”</w:t>
      </w:r>
      <w:r>
        <w:t>.</w:t>
      </w:r>
      <w:r>
        <w:rPr>
          <w:spacing w:val="-6"/>
        </w:rPr>
        <w:t xml:space="preserve"> </w:t>
      </w:r>
      <w:r>
        <w:t>In line with one of</w:t>
      </w:r>
      <w:r>
        <w:rPr>
          <w:spacing w:val="4"/>
        </w:rPr>
        <w:t xml:space="preserve"> </w:t>
      </w:r>
      <w:r>
        <w:t xml:space="preserve">these </w:t>
      </w:r>
      <w:r>
        <w:rPr>
          <w:spacing w:val="-1"/>
        </w:rPr>
        <w:t>provisions</w:t>
      </w:r>
      <w:r>
        <w:t xml:space="preserve"> (section 17(1)),</w:t>
      </w:r>
      <w:r>
        <w:rPr>
          <w:spacing w:val="-7"/>
        </w:rPr>
        <w:t xml:space="preserve"> </w:t>
      </w:r>
      <w:r>
        <w:t xml:space="preserve">the </w:t>
      </w:r>
      <w:r>
        <w:rPr>
          <w:spacing w:val="-3"/>
        </w:rPr>
        <w:t>Panel</w:t>
      </w:r>
      <w:r>
        <w:t xml:space="preserve"> must conduct its </w:t>
      </w:r>
      <w:r>
        <w:rPr>
          <w:spacing w:val="-1"/>
        </w:rPr>
        <w:t>review</w:t>
      </w:r>
      <w:r>
        <w:t xml:space="preserve"> as authorised by the terms of</w:t>
      </w:r>
      <w:r>
        <w:rPr>
          <w:spacing w:val="4"/>
        </w:rPr>
        <w:t xml:space="preserve"> </w:t>
      </w:r>
      <w:r>
        <w:t xml:space="preserve">the </w:t>
      </w:r>
      <w:r>
        <w:rPr>
          <w:spacing w:val="-1"/>
        </w:rPr>
        <w:t>reference</w:t>
      </w:r>
      <w:r>
        <w:rPr>
          <w:spacing w:val="25"/>
        </w:rPr>
        <w:t xml:space="preserve"> </w:t>
      </w:r>
      <w:r>
        <w:t xml:space="preserve">for the </w:t>
      </w:r>
      <w:r>
        <w:rPr>
          <w:spacing w:val="-2"/>
        </w:rPr>
        <w:t>ICRC’s</w:t>
      </w:r>
      <w:r>
        <w:t xml:space="preserve"> original price </w:t>
      </w:r>
      <w:r>
        <w:rPr>
          <w:spacing w:val="-1"/>
        </w:rPr>
        <w:t>regulation</w:t>
      </w:r>
      <w:r>
        <w:t xml:space="preserve"> </w:t>
      </w:r>
      <w:r>
        <w:rPr>
          <w:spacing w:val="-1"/>
        </w:rPr>
        <w:t>investigation.</w:t>
      </w:r>
      <w:r>
        <w:rPr>
          <w:spacing w:val="-11"/>
        </w:rPr>
        <w:t xml:space="preserve"> </w:t>
      </w:r>
      <w:r>
        <w:rPr>
          <w:spacing w:val="-1"/>
        </w:rPr>
        <w:t>These</w:t>
      </w:r>
      <w:r>
        <w:t xml:space="preserve"> terms of</w:t>
      </w:r>
      <w:r>
        <w:rPr>
          <w:spacing w:val="4"/>
        </w:rPr>
        <w:t xml:space="preserve"> </w:t>
      </w:r>
      <w:r>
        <w:rPr>
          <w:spacing w:val="-1"/>
        </w:rPr>
        <w:t>reference</w:t>
      </w:r>
      <w:r>
        <w:t xml:space="preserve"> </w:t>
      </w:r>
      <w:r>
        <w:rPr>
          <w:spacing w:val="-2"/>
        </w:rPr>
        <w:t>require</w:t>
      </w:r>
      <w:r>
        <w:t xml:space="preserve"> it to have </w:t>
      </w:r>
      <w:r>
        <w:rPr>
          <w:spacing w:val="-2"/>
        </w:rPr>
        <w:t>regard</w:t>
      </w:r>
      <w:r>
        <w:rPr>
          <w:spacing w:val="61"/>
        </w:rPr>
        <w:t xml:space="preserve"> </w:t>
      </w:r>
      <w:r>
        <w:rPr>
          <w:rFonts w:cs="Avenir Next"/>
        </w:rPr>
        <w:t xml:space="preserve">to the following </w:t>
      </w:r>
      <w:r>
        <w:rPr>
          <w:rFonts w:cs="Avenir Next"/>
          <w:spacing w:val="-1"/>
        </w:rPr>
        <w:t>matters</w:t>
      </w:r>
      <w:r>
        <w:rPr>
          <w:rFonts w:cs="Avenir Next"/>
        </w:rPr>
        <w:t xml:space="preserve"> in making its pricing decisions:</w:t>
      </w:r>
    </w:p>
    <w:p w:rsidR="00D96B91" w:rsidRDefault="00C2656B">
      <w:pPr>
        <w:pStyle w:val="BodyText"/>
        <w:numPr>
          <w:ilvl w:val="0"/>
          <w:numId w:val="131"/>
        </w:numPr>
        <w:tabs>
          <w:tab w:val="left" w:pos="1531"/>
        </w:tabs>
        <w:spacing w:before="178"/>
        <w:ind w:hanging="283"/>
      </w:pPr>
      <w:r>
        <w:t>policies of</w:t>
      </w:r>
      <w:r>
        <w:rPr>
          <w:spacing w:val="4"/>
        </w:rPr>
        <w:t xml:space="preserve"> </w:t>
      </w:r>
      <w:r>
        <w:t>the</w:t>
      </w:r>
      <w:r>
        <w:rPr>
          <w:spacing w:val="-4"/>
        </w:rPr>
        <w:t xml:space="preserve"> </w:t>
      </w:r>
      <w:r>
        <w:rPr>
          <w:spacing w:val="-2"/>
        </w:rPr>
        <w:t>ACT</w:t>
      </w:r>
      <w:r>
        <w:rPr>
          <w:spacing w:val="-5"/>
        </w:rPr>
        <w:t xml:space="preserve"> </w:t>
      </w:r>
      <w:r>
        <w:t xml:space="preserve">Government as they </w:t>
      </w:r>
      <w:r>
        <w:rPr>
          <w:spacing w:val="-1"/>
        </w:rPr>
        <w:t>relate</w:t>
      </w:r>
      <w:r>
        <w:t xml:space="preserve"> to </w:t>
      </w:r>
      <w:r>
        <w:rPr>
          <w:spacing w:val="-1"/>
        </w:rPr>
        <w:t>water</w:t>
      </w:r>
      <w:r>
        <w:t xml:space="preserve"> security and the use of</w:t>
      </w:r>
      <w:r>
        <w:rPr>
          <w:spacing w:val="4"/>
        </w:rPr>
        <w:t xml:space="preserve"> </w:t>
      </w:r>
      <w:r>
        <w:rPr>
          <w:spacing w:val="-1"/>
        </w:rPr>
        <w:t>water</w:t>
      </w:r>
      <w:r>
        <w:t xml:space="preserve"> (see </w:t>
      </w:r>
      <w:r>
        <w:rPr>
          <w:spacing w:val="-1"/>
        </w:rPr>
        <w:t>Box</w:t>
      </w:r>
      <w:r>
        <w:t xml:space="preserve"> 4.4)</w:t>
      </w:r>
    </w:p>
    <w:p w:rsidR="00D96B91" w:rsidRDefault="00C2656B">
      <w:pPr>
        <w:pStyle w:val="BodyText"/>
        <w:numPr>
          <w:ilvl w:val="0"/>
          <w:numId w:val="131"/>
        </w:numPr>
        <w:tabs>
          <w:tab w:val="left" w:pos="1531"/>
        </w:tabs>
        <w:spacing w:before="72"/>
        <w:ind w:hanging="283"/>
      </w:pPr>
      <w:r>
        <w:rPr>
          <w:spacing w:val="-1"/>
        </w:rPr>
        <w:t>national</w:t>
      </w:r>
      <w:r>
        <w:t xml:space="preserve"> </w:t>
      </w:r>
      <w:r>
        <w:rPr>
          <w:spacing w:val="-1"/>
        </w:rPr>
        <w:t>water</w:t>
      </w:r>
      <w:r>
        <w:t xml:space="preserve"> </w:t>
      </w:r>
      <w:r>
        <w:rPr>
          <w:spacing w:val="-1"/>
        </w:rPr>
        <w:t>initiatives,</w:t>
      </w:r>
      <w:r>
        <w:rPr>
          <w:spacing w:val="-6"/>
        </w:rPr>
        <w:t xml:space="preserve"> </w:t>
      </w:r>
      <w:r>
        <w:t xml:space="preserve">policies and </w:t>
      </w:r>
      <w:r>
        <w:rPr>
          <w:spacing w:val="-1"/>
        </w:rPr>
        <w:t>agreements</w:t>
      </w:r>
      <w:r>
        <w:t xml:space="preserve"> (see </w:t>
      </w:r>
      <w:r>
        <w:rPr>
          <w:spacing w:val="-1"/>
        </w:rPr>
        <w:t>Box</w:t>
      </w:r>
      <w:r>
        <w:t xml:space="preserve"> 4.5)</w:t>
      </w:r>
    </w:p>
    <w:p w:rsidR="00D96B91" w:rsidRDefault="00C2656B">
      <w:pPr>
        <w:pStyle w:val="BodyText"/>
        <w:numPr>
          <w:ilvl w:val="0"/>
          <w:numId w:val="131"/>
        </w:numPr>
        <w:tabs>
          <w:tab w:val="left" w:pos="1531"/>
        </w:tabs>
        <w:spacing w:before="72"/>
        <w:ind w:hanging="283"/>
        <w:rPr>
          <w:sz w:val="11"/>
          <w:szCs w:val="11"/>
        </w:rPr>
      </w:pPr>
      <w:r>
        <w:t>the impact of</w:t>
      </w:r>
      <w:r>
        <w:rPr>
          <w:spacing w:val="5"/>
        </w:rPr>
        <w:t xml:space="preserve"> </w:t>
      </w:r>
      <w:r>
        <w:t>a price</w:t>
      </w:r>
      <w:r>
        <w:rPr>
          <w:spacing w:val="1"/>
        </w:rPr>
        <w:t xml:space="preserve"> </w:t>
      </w:r>
      <w:r>
        <w:t>of</w:t>
      </w:r>
      <w:r>
        <w:rPr>
          <w:spacing w:val="4"/>
        </w:rPr>
        <w:t xml:space="preserve"> </w:t>
      </w:r>
      <w:r>
        <w:t>carbon</w:t>
      </w:r>
      <w:r>
        <w:rPr>
          <w:spacing w:val="1"/>
        </w:rPr>
        <w:t xml:space="preserve"> </w:t>
      </w:r>
      <w:r>
        <w:t>on the</w:t>
      </w:r>
      <w:r>
        <w:rPr>
          <w:spacing w:val="1"/>
        </w:rPr>
        <w:t xml:space="preserve"> </w:t>
      </w:r>
      <w:r>
        <w:rPr>
          <w:spacing w:val="-1"/>
        </w:rPr>
        <w:t>provision</w:t>
      </w:r>
      <w:r>
        <w:t xml:space="preserve"> of</w:t>
      </w:r>
      <w:r>
        <w:rPr>
          <w:spacing w:val="5"/>
        </w:rPr>
        <w:t xml:space="preserve"> </w:t>
      </w:r>
      <w:r>
        <w:rPr>
          <w:spacing w:val="-1"/>
        </w:rPr>
        <w:t>water</w:t>
      </w:r>
      <w:r>
        <w:t xml:space="preserve"> and </w:t>
      </w:r>
      <w:r>
        <w:rPr>
          <w:spacing w:val="-1"/>
        </w:rPr>
        <w:t>sewerage</w:t>
      </w:r>
      <w:r>
        <w:rPr>
          <w:spacing w:val="1"/>
        </w:rPr>
        <w:t xml:space="preserve"> </w:t>
      </w:r>
      <w:r>
        <w:t>services</w:t>
      </w:r>
      <w:r>
        <w:rPr>
          <w:position w:val="7"/>
          <w:sz w:val="11"/>
        </w:rPr>
        <w:t>19</w:t>
      </w:r>
    </w:p>
    <w:p w:rsidR="00D96B91" w:rsidRDefault="00C2656B">
      <w:pPr>
        <w:pStyle w:val="BodyText"/>
        <w:numPr>
          <w:ilvl w:val="0"/>
          <w:numId w:val="131"/>
        </w:numPr>
        <w:tabs>
          <w:tab w:val="left" w:pos="1531"/>
        </w:tabs>
        <w:spacing w:before="64" w:line="260" w:lineRule="exact"/>
        <w:ind w:right="1551" w:hanging="283"/>
        <w:rPr>
          <w:rFonts w:cs="Avenir Next"/>
        </w:rPr>
      </w:pPr>
      <w:r>
        <w:t>the</w:t>
      </w:r>
      <w:r>
        <w:rPr>
          <w:spacing w:val="-1"/>
        </w:rPr>
        <w:t xml:space="preserve"> </w:t>
      </w:r>
      <w:r>
        <w:t>ability of</w:t>
      </w:r>
      <w:r>
        <w:rPr>
          <w:spacing w:val="3"/>
        </w:rPr>
        <w:t xml:space="preserve"> </w:t>
      </w:r>
      <w:r>
        <w:t>the price</w:t>
      </w:r>
      <w:r>
        <w:rPr>
          <w:spacing w:val="-1"/>
        </w:rPr>
        <w:t xml:space="preserve"> path</w:t>
      </w:r>
      <w:r>
        <w:t xml:space="preserve"> to</w:t>
      </w:r>
      <w:r>
        <w:rPr>
          <w:spacing w:val="-1"/>
        </w:rPr>
        <w:t xml:space="preserve"> </w:t>
      </w:r>
      <w:r>
        <w:t>align the</w:t>
      </w:r>
      <w:r>
        <w:rPr>
          <w:spacing w:val="-1"/>
        </w:rPr>
        <w:t xml:space="preserve"> recovery</w:t>
      </w:r>
      <w:r>
        <w:t xml:space="preserve"> of</w:t>
      </w:r>
      <w:r>
        <w:rPr>
          <w:spacing w:val="3"/>
        </w:rPr>
        <w:t xml:space="preserve"> </w:t>
      </w:r>
      <w:r>
        <w:rPr>
          <w:spacing w:val="-1"/>
        </w:rPr>
        <w:t>revenue</w:t>
      </w:r>
      <w:r>
        <w:t xml:space="preserve"> with consumer</w:t>
      </w:r>
      <w:r>
        <w:rPr>
          <w:spacing w:val="-1"/>
        </w:rPr>
        <w:t xml:space="preserve"> </w:t>
      </w:r>
      <w:r>
        <w:t>benefits accrued</w:t>
      </w:r>
      <w:r>
        <w:rPr>
          <w:spacing w:val="-1"/>
        </w:rPr>
        <w:t xml:space="preserve"> from</w:t>
      </w:r>
      <w:r>
        <w:rPr>
          <w:spacing w:val="30"/>
        </w:rPr>
        <w:t xml:space="preserve"> </w:t>
      </w:r>
      <w:r>
        <w:t xml:space="preserve">the </w:t>
      </w:r>
      <w:r>
        <w:rPr>
          <w:spacing w:val="-1"/>
        </w:rPr>
        <w:t>water</w:t>
      </w:r>
      <w:r>
        <w:t xml:space="preserve"> security </w:t>
      </w:r>
      <w:r>
        <w:rPr>
          <w:spacing w:val="-1"/>
        </w:rPr>
        <w:t>projects,</w:t>
      </w:r>
      <w:r>
        <w:rPr>
          <w:spacing w:val="-6"/>
        </w:rPr>
        <w:t xml:space="preserve"> </w:t>
      </w:r>
      <w:r>
        <w:t>and</w:t>
      </w:r>
    </w:p>
    <w:p w:rsidR="00D96B91" w:rsidRDefault="00C2656B">
      <w:pPr>
        <w:pStyle w:val="BodyText"/>
        <w:numPr>
          <w:ilvl w:val="0"/>
          <w:numId w:val="131"/>
        </w:numPr>
        <w:tabs>
          <w:tab w:val="left" w:pos="1531"/>
        </w:tabs>
        <w:spacing w:before="85" w:line="260" w:lineRule="exact"/>
        <w:ind w:right="1714" w:hanging="283"/>
      </w:pPr>
      <w:r>
        <w:t>all</w:t>
      </w:r>
      <w:r>
        <w:rPr>
          <w:spacing w:val="-1"/>
        </w:rPr>
        <w:t xml:space="preserve"> </w:t>
      </w:r>
      <w:r>
        <w:t>potential</w:t>
      </w:r>
      <w:r>
        <w:rPr>
          <w:spacing w:val="-1"/>
        </w:rPr>
        <w:t xml:space="preserve"> regulatory</w:t>
      </w:r>
      <w:r>
        <w:t xml:space="preserve"> models,</w:t>
      </w:r>
      <w:r>
        <w:rPr>
          <w:spacing w:val="-7"/>
        </w:rPr>
        <w:t xml:space="preserve"> </w:t>
      </w:r>
      <w:r>
        <w:t>including</w:t>
      </w:r>
      <w:r>
        <w:rPr>
          <w:spacing w:val="-1"/>
        </w:rPr>
        <w:t xml:space="preserve"> consideration</w:t>
      </w:r>
      <w:r>
        <w:t xml:space="preserve"> of</w:t>
      </w:r>
      <w:r>
        <w:rPr>
          <w:spacing w:val="3"/>
        </w:rPr>
        <w:t xml:space="preserve"> </w:t>
      </w:r>
      <w:r>
        <w:t>the</w:t>
      </w:r>
      <w:r>
        <w:rPr>
          <w:spacing w:val="-1"/>
        </w:rPr>
        <w:t xml:space="preserve"> provision</w:t>
      </w:r>
      <w:r>
        <w:t xml:space="preserve"> of</w:t>
      </w:r>
      <w:r>
        <w:rPr>
          <w:spacing w:val="3"/>
        </w:rPr>
        <w:t xml:space="preserve"> </w:t>
      </w:r>
      <w:r>
        <w:rPr>
          <w:spacing w:val="-1"/>
        </w:rPr>
        <w:t>sufficient flexibility</w:t>
      </w:r>
      <w:r>
        <w:t xml:space="preserve"> in</w:t>
      </w:r>
      <w:r>
        <w:rPr>
          <w:spacing w:val="65"/>
        </w:rPr>
        <w:t xml:space="preserve"> </w:t>
      </w:r>
      <w:r>
        <w:t>price</w:t>
      </w:r>
      <w:r>
        <w:rPr>
          <w:spacing w:val="-2"/>
        </w:rPr>
        <w:t xml:space="preserve"> </w:t>
      </w:r>
      <w:r>
        <w:rPr>
          <w:spacing w:val="-1"/>
        </w:rPr>
        <w:t>setting</w:t>
      </w:r>
      <w:r>
        <w:rPr>
          <w:spacing w:val="-2"/>
        </w:rPr>
        <w:t xml:space="preserve"> </w:t>
      </w:r>
      <w:r>
        <w:t>to</w:t>
      </w:r>
      <w:r>
        <w:rPr>
          <w:spacing w:val="-2"/>
        </w:rPr>
        <w:t xml:space="preserve"> </w:t>
      </w:r>
      <w:r>
        <w:t>minimise</w:t>
      </w:r>
      <w:r>
        <w:rPr>
          <w:spacing w:val="-1"/>
        </w:rPr>
        <w:t xml:space="preserve"> </w:t>
      </w:r>
      <w:r>
        <w:t>the</w:t>
      </w:r>
      <w:r>
        <w:rPr>
          <w:spacing w:val="-2"/>
        </w:rPr>
        <w:t xml:space="preserve"> </w:t>
      </w:r>
      <w:r>
        <w:t>impact</w:t>
      </w:r>
      <w:r>
        <w:rPr>
          <w:spacing w:val="-2"/>
        </w:rPr>
        <w:t xml:space="preserve"> </w:t>
      </w:r>
      <w:r>
        <w:t>of</w:t>
      </w:r>
      <w:r>
        <w:rPr>
          <w:spacing w:val="3"/>
        </w:rPr>
        <w:t xml:space="preserve"> </w:t>
      </w:r>
      <w:r>
        <w:t>significant</w:t>
      </w:r>
      <w:r>
        <w:rPr>
          <w:spacing w:val="-2"/>
        </w:rPr>
        <w:t xml:space="preserve"> </w:t>
      </w:r>
      <w:r>
        <w:t>price</w:t>
      </w:r>
      <w:r>
        <w:rPr>
          <w:spacing w:val="-2"/>
        </w:rPr>
        <w:t xml:space="preserve"> </w:t>
      </w:r>
      <w:r>
        <w:rPr>
          <w:spacing w:val="-1"/>
        </w:rPr>
        <w:t>fluctuations.</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r>
        <w:rPr>
          <w:rFonts w:ascii="Avenir Next"/>
          <w:b/>
          <w:spacing w:val="-1"/>
          <w:sz w:val="20"/>
        </w:rPr>
        <w:t>Box</w:t>
      </w:r>
      <w:r>
        <w:rPr>
          <w:rFonts w:ascii="Avenir Next"/>
          <w:b/>
          <w:sz w:val="20"/>
        </w:rPr>
        <w:t xml:space="preserve"> 4.4:</w:t>
      </w:r>
      <w:r>
        <w:rPr>
          <w:rFonts w:ascii="Avenir Next"/>
          <w:b/>
          <w:spacing w:val="-4"/>
          <w:sz w:val="20"/>
        </w:rPr>
        <w:t xml:space="preserve"> </w:t>
      </w:r>
      <w:r>
        <w:rPr>
          <w:rFonts w:ascii="Avenir Next"/>
          <w:b/>
          <w:spacing w:val="-2"/>
          <w:sz w:val="20"/>
        </w:rPr>
        <w:t>ACT</w:t>
      </w:r>
      <w:r>
        <w:rPr>
          <w:rFonts w:ascii="Avenir Next"/>
          <w:b/>
          <w:spacing w:val="-5"/>
          <w:sz w:val="20"/>
        </w:rPr>
        <w:t xml:space="preserve"> </w:t>
      </w:r>
      <w:r>
        <w:rPr>
          <w:rFonts w:ascii="Avenir Next"/>
          <w:b/>
          <w:sz w:val="20"/>
        </w:rPr>
        <w:t xml:space="preserve">Government policies on </w:t>
      </w:r>
      <w:r>
        <w:rPr>
          <w:rFonts w:ascii="Avenir Next"/>
          <w:b/>
          <w:spacing w:val="-1"/>
          <w:sz w:val="20"/>
        </w:rPr>
        <w:t>water</w:t>
      </w:r>
      <w:r>
        <w:rPr>
          <w:rFonts w:ascii="Avenir Next"/>
          <w:b/>
          <w:sz w:val="20"/>
        </w:rPr>
        <w:t xml:space="preserve"> security and use of</w:t>
      </w:r>
      <w:r>
        <w:rPr>
          <w:rFonts w:ascii="Avenir Next"/>
          <w:b/>
          <w:spacing w:val="4"/>
          <w:sz w:val="20"/>
        </w:rPr>
        <w:t xml:space="preserve"> </w:t>
      </w:r>
      <w:r>
        <w:rPr>
          <w:rFonts w:ascii="Avenir Next"/>
          <w:b/>
          <w:spacing w:val="-1"/>
          <w:sz w:val="20"/>
        </w:rPr>
        <w:t>water</w:t>
      </w:r>
    </w:p>
    <w:p w:rsidR="00D96B91" w:rsidRDefault="00D96B91">
      <w:pPr>
        <w:spacing w:before="12"/>
        <w:rPr>
          <w:rFonts w:ascii="Avenir Next" w:eastAsia="Avenir Next" w:hAnsi="Avenir Next" w:cs="Avenir Next"/>
          <w:b/>
          <w:bCs/>
          <w:sz w:val="14"/>
          <w:szCs w:val="14"/>
        </w:rPr>
      </w:pPr>
    </w:p>
    <w:p w:rsidR="00D96B91" w:rsidRDefault="0037199C">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pict>
          <v:shape id="_x0000_s3643" type="#_x0000_t202" style="position:absolute;left:0;text-align:left;margin-left:71.35pt;margin-top:84.25pt;width:458.9pt;height:13pt;z-index:251661312;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ed="f" stroked="f">
            <v:textbox style="mso-next-textbox:#_x0000_s3643" inset="0,0,0,0">
              <w:txbxContent>
                <w:p w:rsidR="008A79D5" w:rsidRDefault="008A79D5" w:rsidP="0037199C">
                  <w:pPr>
                    <w:tabs>
                      <w:tab w:val="left" w:pos="1991"/>
                    </w:tabs>
                    <w:spacing w:line="210" w:lineRule="exact"/>
                    <w:rPr>
                      <w:rFonts w:ascii="Arial Narrow" w:eastAsia="Arial Narrow" w:hAnsi="Arial Narrow" w:cs="Arial Narrow"/>
                      <w:sz w:val="21"/>
                      <w:szCs w:val="21"/>
                    </w:rPr>
                  </w:pPr>
                  <w:r>
                    <w:rPr>
                      <w:rFonts w:ascii="Arial Narrow"/>
                      <w:spacing w:val="-2"/>
                      <w:sz w:val="21"/>
                    </w:rPr>
                    <w:t xml:space="preserve">2.     </w:t>
                  </w:r>
                  <w:r>
                    <w:rPr>
                      <w:rFonts w:ascii="Arial Narrow"/>
                      <w:sz w:val="21"/>
                    </w:rPr>
                    <w:t>A</w:t>
                  </w:r>
                  <w:r>
                    <w:rPr>
                      <w:rFonts w:ascii="Arial Narrow"/>
                      <w:spacing w:val="-14"/>
                      <w:sz w:val="21"/>
                    </w:rPr>
                    <w:t xml:space="preserve"> </w:t>
                  </w:r>
                  <w:r>
                    <w:rPr>
                      <w:rFonts w:ascii="Arial Narrow"/>
                      <w:spacing w:val="-3"/>
                      <w:sz w:val="21"/>
                    </w:rPr>
                    <w:t>sustainable</w:t>
                  </w:r>
                  <w:r>
                    <w:rPr>
                      <w:rFonts w:ascii="Arial Narrow"/>
                      <w:spacing w:val="-5"/>
                      <w:sz w:val="21"/>
                    </w:rPr>
                    <w:t xml:space="preserve"> </w:t>
                  </w:r>
                  <w:r>
                    <w:rPr>
                      <w:rFonts w:ascii="Arial Narrow"/>
                      <w:spacing w:val="-3"/>
                      <w:sz w:val="21"/>
                    </w:rPr>
                    <w:t>water</w:t>
                  </w:r>
                  <w:r>
                    <w:rPr>
                      <w:rFonts w:ascii="Arial Narrow"/>
                      <w:spacing w:val="-5"/>
                      <w:sz w:val="21"/>
                    </w:rPr>
                    <w:t xml:space="preserve"> </w:t>
                  </w:r>
                  <w:r>
                    <w:rPr>
                      <w:rFonts w:ascii="Arial Narrow"/>
                      <w:spacing w:val="-3"/>
                      <w:sz w:val="21"/>
                    </w:rPr>
                    <w:t>supply</w:t>
                  </w:r>
                  <w:r>
                    <w:rPr>
                      <w:rFonts w:ascii="Arial Narrow"/>
                      <w:spacing w:val="-5"/>
                      <w:sz w:val="21"/>
                    </w:rPr>
                    <w:t xml:space="preserve"> </w:t>
                  </w:r>
                  <w:r>
                    <w:rPr>
                      <w:rFonts w:ascii="Arial Narrow"/>
                      <w:spacing w:val="-3"/>
                      <w:sz w:val="21"/>
                    </w:rPr>
                    <w:t xml:space="preserve">used efficiently: </w:t>
                  </w:r>
                  <w:r>
                    <w:rPr>
                      <w:rFonts w:ascii="Arial Narrow"/>
                      <w:spacing w:val="-2"/>
                      <w:sz w:val="21"/>
                    </w:rPr>
                    <w:t>An</w:t>
                  </w:r>
                  <w:r>
                    <w:rPr>
                      <w:rFonts w:ascii="Arial Narrow"/>
                      <w:spacing w:val="-5"/>
                      <w:sz w:val="21"/>
                    </w:rPr>
                    <w:t xml:space="preserve"> </w:t>
                  </w:r>
                  <w:r>
                    <w:rPr>
                      <w:rFonts w:ascii="Arial Narrow"/>
                      <w:spacing w:val="-3"/>
                      <w:sz w:val="21"/>
                    </w:rPr>
                    <w:t>integrated</w:t>
                  </w:r>
                  <w:r>
                    <w:rPr>
                      <w:rFonts w:ascii="Arial Narrow"/>
                      <w:spacing w:val="-5"/>
                      <w:sz w:val="21"/>
                    </w:rPr>
                    <w:t xml:space="preserve"> </w:t>
                  </w:r>
                  <w:r>
                    <w:rPr>
                      <w:rFonts w:ascii="Arial Narrow"/>
                      <w:spacing w:val="-2"/>
                      <w:sz w:val="21"/>
                    </w:rPr>
                    <w:t>and</w:t>
                  </w:r>
                  <w:r>
                    <w:rPr>
                      <w:rFonts w:ascii="Arial Narrow"/>
                      <w:spacing w:val="-5"/>
                      <w:sz w:val="21"/>
                    </w:rPr>
                    <w:t xml:space="preserve"> </w:t>
                  </w:r>
                  <w:r>
                    <w:rPr>
                      <w:rFonts w:ascii="Arial Narrow"/>
                      <w:spacing w:val="-2"/>
                      <w:sz w:val="21"/>
                    </w:rPr>
                    <w:t xml:space="preserve">efficient </w:t>
                  </w:r>
                  <w:r>
                    <w:rPr>
                      <w:rFonts w:ascii="Arial Narrow"/>
                      <w:spacing w:val="-3"/>
                      <w:sz w:val="21"/>
                    </w:rPr>
                    <w:t>water</w:t>
                  </w:r>
                  <w:r>
                    <w:rPr>
                      <w:rFonts w:ascii="Arial Narrow"/>
                      <w:spacing w:val="-5"/>
                      <w:sz w:val="21"/>
                    </w:rPr>
                    <w:t xml:space="preserve"> </w:t>
                  </w:r>
                  <w:r>
                    <w:rPr>
                      <w:rFonts w:ascii="Arial Narrow"/>
                      <w:spacing w:val="-3"/>
                      <w:sz w:val="21"/>
                    </w:rPr>
                    <w:t>supply</w:t>
                  </w:r>
                  <w:r>
                    <w:rPr>
                      <w:rFonts w:ascii="Arial Narrow"/>
                      <w:spacing w:val="-5"/>
                      <w:sz w:val="21"/>
                    </w:rPr>
                    <w:t xml:space="preserve"> </w:t>
                  </w:r>
                  <w:r>
                    <w:rPr>
                      <w:rFonts w:ascii="Arial Narrow"/>
                      <w:spacing w:val="-3"/>
                      <w:sz w:val="21"/>
                    </w:rPr>
                    <w:t>system</w:t>
                  </w:r>
                  <w:r>
                    <w:rPr>
                      <w:rFonts w:ascii="Arial Narrow"/>
                      <w:spacing w:val="-5"/>
                      <w:sz w:val="21"/>
                    </w:rPr>
                    <w:t xml:space="preserve"> </w:t>
                  </w:r>
                  <w:r>
                    <w:rPr>
                      <w:rFonts w:ascii="Arial Narrow"/>
                      <w:spacing w:val="-3"/>
                      <w:sz w:val="21"/>
                    </w:rPr>
                    <w:t>that</w:t>
                  </w:r>
                  <w:r>
                    <w:rPr>
                      <w:rFonts w:ascii="Arial Narrow"/>
                      <w:spacing w:val="-5"/>
                      <w:sz w:val="21"/>
                    </w:rPr>
                    <w:t xml:space="preserve"> </w:t>
                  </w:r>
                  <w:r>
                    <w:rPr>
                      <w:rFonts w:ascii="Arial Narrow"/>
                      <w:spacing w:val="-3"/>
                      <w:sz w:val="21"/>
                    </w:rPr>
                    <w:t>provides</w:t>
                  </w:r>
                  <w:r>
                    <w:rPr>
                      <w:rFonts w:ascii="Arial Narrow"/>
                      <w:spacing w:val="-5"/>
                      <w:sz w:val="21"/>
                    </w:rPr>
                    <w:t xml:space="preserve"> </w:t>
                  </w:r>
                  <w:r>
                    <w:rPr>
                      <w:rFonts w:ascii="Arial Narrow"/>
                      <w:spacing w:val="-2"/>
                      <w:sz w:val="21"/>
                    </w:rPr>
                    <w:t>for</w:t>
                  </w:r>
                  <w:r>
                    <w:rPr>
                      <w:rFonts w:ascii="Arial Narrow"/>
                      <w:spacing w:val="-5"/>
                      <w:sz w:val="21"/>
                    </w:rPr>
                    <w:t xml:space="preserve"> </w:t>
                  </w:r>
                  <w:r>
                    <w:rPr>
                      <w:rFonts w:ascii="Arial Narrow"/>
                      <w:spacing w:val="-3"/>
                      <w:sz w:val="21"/>
                    </w:rPr>
                    <w:t>the</w:t>
                  </w:r>
                </w:p>
                <w:p w:rsidR="008A79D5" w:rsidRDefault="008A79D5"/>
              </w:txbxContent>
            </v:textbox>
          </v:shape>
        </w:pict>
      </w:r>
      <w:r w:rsidR="00D96B91" w:rsidRPr="00D96B91">
        <w:rPr>
          <w:rFonts w:ascii="Avenir Next" w:eastAsia="Avenir Next" w:hAnsi="Avenir Next" w:cs="Avenir Next"/>
          <w:sz w:val="20"/>
          <w:szCs w:val="20"/>
        </w:rPr>
      </w:r>
      <w:r>
        <w:rPr>
          <w:rFonts w:ascii="Avenir Next" w:eastAsia="Avenir Next" w:hAnsi="Avenir Next" w:cs="Avenir Next"/>
          <w:sz w:val="20"/>
          <w:szCs w:val="20"/>
        </w:rPr>
        <w:pict>
          <v:group id="_x0000_s3342" style="width:497.15pt;height:252.4pt;mso-position-horizontal-relative:char;mso-position-vertical-relative:line" coordsize="9411,5048">
            <v:group id="_x0000_s3343" style="position:absolute;width:9411;height:5048" coordsize="9411,5048">
              <v:shape id="_x0000_s3348" style="position:absolute;width:9411;height:5048" coordsize="9411,5048" path="m,5047r9411,l9411,,,,,5047xe" fillcolor="#dff3fd" stroked="f">
                <v:path arrowok="t"/>
              </v:shape>
              <v:shape id="_x0000_s3347" type="#_x0000_t202" style="position:absolute;left:170;top:152;width:9038;height:1371" filled="f" stroked="f">
                <v:textbox style="mso-next-textbox:#_x0000_s3347" inset="0,0,0,0">
                  <w:txbxContent>
                    <w:p w:rsidR="008A79D5" w:rsidRDefault="008A79D5">
                      <w:pPr>
                        <w:spacing w:line="216" w:lineRule="exact"/>
                        <w:rPr>
                          <w:rFonts w:ascii="Arial Narrow" w:eastAsia="Arial Narrow" w:hAnsi="Arial Narrow" w:cs="Arial Narrow"/>
                          <w:sz w:val="21"/>
                          <w:szCs w:val="21"/>
                        </w:rPr>
                      </w:pPr>
                      <w:r>
                        <w:rPr>
                          <w:rFonts w:ascii="Arial Narrow" w:eastAsia="Arial Narrow" w:hAnsi="Arial Narrow" w:cs="Arial Narrow"/>
                          <w:sz w:val="21"/>
                          <w:szCs w:val="21"/>
                        </w:rPr>
                        <w:t>The</w:t>
                      </w:r>
                      <w:r>
                        <w:rPr>
                          <w:rFonts w:ascii="Arial Narrow" w:eastAsia="Arial Narrow" w:hAnsi="Arial Narrow" w:cs="Arial Narrow"/>
                          <w:spacing w:val="-11"/>
                          <w:sz w:val="21"/>
                          <w:szCs w:val="21"/>
                        </w:rPr>
                        <w:t xml:space="preserve"> </w:t>
                      </w:r>
                      <w:r>
                        <w:rPr>
                          <w:rFonts w:ascii="Arial Narrow" w:eastAsia="Arial Narrow" w:hAnsi="Arial Narrow" w:cs="Arial Narrow"/>
                          <w:sz w:val="21"/>
                          <w:szCs w:val="21"/>
                        </w:rPr>
                        <w:t>ACT</w:t>
                      </w:r>
                      <w:r>
                        <w:rPr>
                          <w:rFonts w:ascii="Arial Narrow" w:eastAsia="Arial Narrow" w:hAnsi="Arial Narrow" w:cs="Arial Narrow"/>
                          <w:spacing w:val="-5"/>
                          <w:sz w:val="21"/>
                          <w:szCs w:val="21"/>
                        </w:rPr>
                        <w:t xml:space="preserve"> </w:t>
                      </w:r>
                      <w:r>
                        <w:rPr>
                          <w:rFonts w:ascii="Arial Narrow" w:eastAsia="Arial Narrow" w:hAnsi="Arial Narrow" w:cs="Arial Narrow"/>
                          <w:spacing w:val="-2"/>
                          <w:sz w:val="21"/>
                          <w:szCs w:val="21"/>
                        </w:rPr>
                        <w:t xml:space="preserve">Government’s </w:t>
                      </w:r>
                      <w:r>
                        <w:rPr>
                          <w:rFonts w:ascii="Arial Narrow" w:eastAsia="Arial Narrow" w:hAnsi="Arial Narrow" w:cs="Arial Narrow"/>
                          <w:spacing w:val="-1"/>
                          <w:sz w:val="21"/>
                          <w:szCs w:val="21"/>
                        </w:rPr>
                        <w:t xml:space="preserve">current </w:t>
                      </w:r>
                      <w:r>
                        <w:rPr>
                          <w:rFonts w:ascii="Arial Narrow" w:eastAsia="Arial Narrow" w:hAnsi="Arial Narrow" w:cs="Arial Narrow"/>
                          <w:sz w:val="21"/>
                          <w:szCs w:val="21"/>
                        </w:rPr>
                        <w:t>water</w:t>
                      </w:r>
                      <w:r>
                        <w:rPr>
                          <w:rFonts w:ascii="Arial Narrow" w:eastAsia="Arial Narrow" w:hAnsi="Arial Narrow" w:cs="Arial Narrow"/>
                          <w:spacing w:val="-1"/>
                          <w:sz w:val="21"/>
                          <w:szCs w:val="21"/>
                        </w:rPr>
                        <w:t xml:space="preserve"> policy</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 xml:space="preserve">is contained in </w:t>
                      </w:r>
                      <w:r>
                        <w:rPr>
                          <w:rFonts w:ascii="Arial Narrow" w:eastAsia="Arial Narrow" w:hAnsi="Arial Narrow" w:cs="Arial Narrow"/>
                          <w:sz w:val="21"/>
                          <w:szCs w:val="21"/>
                        </w:rPr>
                        <w:t xml:space="preserve">the </w:t>
                      </w:r>
                      <w:r>
                        <w:rPr>
                          <w:rFonts w:ascii="Arial Narrow" w:eastAsia="Arial Narrow" w:hAnsi="Arial Narrow" w:cs="Arial Narrow"/>
                          <w:i/>
                          <w:sz w:val="21"/>
                          <w:szCs w:val="21"/>
                        </w:rPr>
                        <w:t>ACT</w:t>
                      </w:r>
                      <w:r>
                        <w:rPr>
                          <w:rFonts w:ascii="Arial Narrow" w:eastAsia="Arial Narrow" w:hAnsi="Arial Narrow" w:cs="Arial Narrow"/>
                          <w:i/>
                          <w:spacing w:val="-5"/>
                          <w:sz w:val="21"/>
                          <w:szCs w:val="21"/>
                        </w:rPr>
                        <w:t xml:space="preserve"> </w:t>
                      </w:r>
                      <w:r>
                        <w:rPr>
                          <w:rFonts w:ascii="Arial Narrow" w:eastAsia="Arial Narrow" w:hAnsi="Arial Narrow" w:cs="Arial Narrow"/>
                          <w:i/>
                          <w:spacing w:val="-3"/>
                          <w:sz w:val="21"/>
                          <w:szCs w:val="21"/>
                        </w:rPr>
                        <w:t>Water</w:t>
                      </w:r>
                      <w:r>
                        <w:rPr>
                          <w:rFonts w:ascii="Arial Narrow" w:eastAsia="Arial Narrow" w:hAnsi="Arial Narrow" w:cs="Arial Narrow"/>
                          <w:i/>
                          <w:spacing w:val="-1"/>
                          <w:sz w:val="21"/>
                          <w:szCs w:val="21"/>
                        </w:rPr>
                        <w:t xml:space="preserve"> </w:t>
                      </w:r>
                      <w:r>
                        <w:rPr>
                          <w:rFonts w:ascii="Arial Narrow" w:eastAsia="Arial Narrow" w:hAnsi="Arial Narrow" w:cs="Arial Narrow"/>
                          <w:i/>
                          <w:sz w:val="21"/>
                          <w:szCs w:val="21"/>
                        </w:rPr>
                        <w:t>Strategy</w:t>
                      </w:r>
                      <w:r>
                        <w:rPr>
                          <w:rFonts w:ascii="Arial Narrow" w:eastAsia="Arial Narrow" w:hAnsi="Arial Narrow" w:cs="Arial Narrow"/>
                          <w:i/>
                          <w:spacing w:val="-2"/>
                          <w:sz w:val="21"/>
                          <w:szCs w:val="21"/>
                        </w:rPr>
                        <w:t xml:space="preserve"> </w:t>
                      </w:r>
                      <w:r>
                        <w:rPr>
                          <w:rFonts w:ascii="Arial Narrow" w:eastAsia="Arial Narrow" w:hAnsi="Arial Narrow" w:cs="Arial Narrow"/>
                          <w:i/>
                          <w:spacing w:val="-1"/>
                          <w:sz w:val="21"/>
                          <w:szCs w:val="21"/>
                        </w:rPr>
                        <w:t xml:space="preserve">2014-44, </w:t>
                      </w:r>
                      <w:r>
                        <w:rPr>
                          <w:rFonts w:ascii="Arial Narrow" w:eastAsia="Arial Narrow" w:hAnsi="Arial Narrow" w:cs="Arial Narrow"/>
                          <w:i/>
                          <w:sz w:val="21"/>
                          <w:szCs w:val="21"/>
                        </w:rPr>
                        <w:t>Striking</w:t>
                      </w:r>
                      <w:r>
                        <w:rPr>
                          <w:rFonts w:ascii="Arial Narrow" w:eastAsia="Arial Narrow" w:hAnsi="Arial Narrow" w:cs="Arial Narrow"/>
                          <w:i/>
                          <w:spacing w:val="-1"/>
                          <w:sz w:val="21"/>
                          <w:szCs w:val="21"/>
                        </w:rPr>
                        <w:t xml:space="preserve"> </w:t>
                      </w:r>
                      <w:r>
                        <w:rPr>
                          <w:rFonts w:ascii="Arial Narrow" w:eastAsia="Arial Narrow" w:hAnsi="Arial Narrow" w:cs="Arial Narrow"/>
                          <w:i/>
                          <w:sz w:val="21"/>
                          <w:szCs w:val="21"/>
                        </w:rPr>
                        <w:t>the</w:t>
                      </w:r>
                      <w:r>
                        <w:rPr>
                          <w:rFonts w:ascii="Arial Narrow" w:eastAsia="Arial Narrow" w:hAnsi="Arial Narrow" w:cs="Arial Narrow"/>
                          <w:i/>
                          <w:spacing w:val="-1"/>
                          <w:sz w:val="21"/>
                          <w:szCs w:val="21"/>
                        </w:rPr>
                        <w:t xml:space="preserve"> </w:t>
                      </w:r>
                      <w:r>
                        <w:rPr>
                          <w:rFonts w:ascii="Arial Narrow" w:eastAsia="Arial Narrow" w:hAnsi="Arial Narrow" w:cs="Arial Narrow"/>
                          <w:i/>
                          <w:sz w:val="21"/>
                          <w:szCs w:val="21"/>
                        </w:rPr>
                        <w:t>Balance</w:t>
                      </w:r>
                      <w:r>
                        <w:rPr>
                          <w:rFonts w:ascii="Arial Narrow" w:eastAsia="Arial Narrow" w:hAnsi="Arial Narrow" w:cs="Arial Narrow"/>
                          <w:sz w:val="21"/>
                          <w:szCs w:val="21"/>
                        </w:rPr>
                        <w:t>,</w:t>
                      </w:r>
                    </w:p>
                    <w:p w:rsidR="008A79D5" w:rsidRDefault="008A79D5">
                      <w:pPr>
                        <w:spacing w:before="19" w:line="258" w:lineRule="auto"/>
                        <w:rPr>
                          <w:rFonts w:ascii="Arial Narrow" w:eastAsia="Arial Narrow" w:hAnsi="Arial Narrow" w:cs="Arial Narrow"/>
                          <w:sz w:val="21"/>
                          <w:szCs w:val="21"/>
                        </w:rPr>
                      </w:pPr>
                      <w:r>
                        <w:rPr>
                          <w:rFonts w:ascii="Arial Narrow" w:eastAsia="Arial Narrow" w:hAnsi="Arial Narrow" w:cs="Arial Narrow"/>
                          <w:sz w:val="21"/>
                          <w:szCs w:val="21"/>
                        </w:rPr>
                        <w:t>which</w:t>
                      </w:r>
                      <w:r>
                        <w:rPr>
                          <w:rFonts w:ascii="Arial Narrow" w:eastAsia="Arial Narrow" w:hAnsi="Arial Narrow" w:cs="Arial Narrow"/>
                          <w:spacing w:val="-2"/>
                          <w:sz w:val="21"/>
                          <w:szCs w:val="21"/>
                        </w:rPr>
                        <w:t xml:space="preserve"> </w:t>
                      </w:r>
                      <w:r>
                        <w:rPr>
                          <w:rFonts w:ascii="Arial Narrow" w:eastAsia="Arial Narrow" w:hAnsi="Arial Narrow" w:cs="Arial Narrow"/>
                          <w:sz w:val="21"/>
                          <w:szCs w:val="21"/>
                        </w:rPr>
                        <w:t>was</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released</w:t>
                      </w:r>
                      <w:r>
                        <w:rPr>
                          <w:rFonts w:ascii="Arial Narrow" w:eastAsia="Arial Narrow" w:hAnsi="Arial Narrow" w:cs="Arial Narrow"/>
                          <w:spacing w:val="-1"/>
                          <w:sz w:val="21"/>
                          <w:szCs w:val="21"/>
                        </w:rPr>
                        <w:t xml:space="preserve"> in</w:t>
                      </w:r>
                      <w:r>
                        <w:rPr>
                          <w:rFonts w:ascii="Arial Narrow" w:eastAsia="Arial Narrow" w:hAnsi="Arial Narrow" w:cs="Arial Narrow"/>
                          <w:spacing w:val="-11"/>
                          <w:sz w:val="21"/>
                          <w:szCs w:val="21"/>
                        </w:rPr>
                        <w:t xml:space="preserve"> </w:t>
                      </w:r>
                      <w:r>
                        <w:rPr>
                          <w:rFonts w:ascii="Arial Narrow" w:eastAsia="Arial Narrow" w:hAnsi="Arial Narrow" w:cs="Arial Narrow"/>
                          <w:sz w:val="21"/>
                          <w:szCs w:val="21"/>
                        </w:rPr>
                        <w:t>August</w:t>
                      </w:r>
                      <w:r>
                        <w:rPr>
                          <w:rFonts w:ascii="Arial Narrow" w:eastAsia="Arial Narrow" w:hAnsi="Arial Narrow" w:cs="Arial Narrow"/>
                          <w:spacing w:val="-1"/>
                          <w:sz w:val="21"/>
                          <w:szCs w:val="21"/>
                        </w:rPr>
                        <w:t xml:space="preserve"> 2014.</w:t>
                      </w:r>
                      <w:r>
                        <w:rPr>
                          <w:rFonts w:ascii="Arial Narrow" w:eastAsia="Arial Narrow" w:hAnsi="Arial Narrow" w:cs="Arial Narrow"/>
                          <w:sz w:val="21"/>
                          <w:szCs w:val="21"/>
                        </w:rPr>
                        <w:t xml:space="preserve"> It</w:t>
                      </w:r>
                      <w:r>
                        <w:rPr>
                          <w:rFonts w:ascii="Arial Narrow" w:eastAsia="Arial Narrow" w:hAnsi="Arial Narrow" w:cs="Arial Narrow"/>
                          <w:spacing w:val="-1"/>
                          <w:sz w:val="21"/>
                          <w:szCs w:val="21"/>
                        </w:rPr>
                        <w:t xml:space="preserve"> guides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management</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of </w:t>
                      </w:r>
                      <w:r>
                        <w:rPr>
                          <w:rFonts w:ascii="Arial Narrow" w:eastAsia="Arial Narrow" w:hAnsi="Arial Narrow" w:cs="Arial Narrow"/>
                          <w:sz w:val="21"/>
                          <w:szCs w:val="21"/>
                        </w:rPr>
                        <w:t>the</w:t>
                      </w:r>
                      <w:r>
                        <w:rPr>
                          <w:rFonts w:ascii="Arial Narrow" w:eastAsia="Arial Narrow" w:hAnsi="Arial Narrow" w:cs="Arial Narrow"/>
                          <w:spacing w:val="-3"/>
                          <w:sz w:val="21"/>
                          <w:szCs w:val="21"/>
                        </w:rPr>
                        <w:t xml:space="preserve"> Territory’s</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water</w:t>
                      </w:r>
                      <w:r>
                        <w:rPr>
                          <w:rFonts w:ascii="Arial Narrow" w:eastAsia="Arial Narrow" w:hAnsi="Arial Narrow" w:cs="Arial Narrow"/>
                          <w:spacing w:val="-2"/>
                          <w:sz w:val="21"/>
                          <w:szCs w:val="21"/>
                        </w:rPr>
                        <w:t xml:space="preserve"> </w:t>
                      </w:r>
                      <w:r>
                        <w:rPr>
                          <w:rFonts w:ascii="Arial Narrow" w:eastAsia="Arial Narrow" w:hAnsi="Arial Narrow" w:cs="Arial Narrow"/>
                          <w:spacing w:val="-3"/>
                          <w:sz w:val="21"/>
                          <w:szCs w:val="21"/>
                        </w:rPr>
                        <w:t>supply,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management</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and catchment</w:t>
                      </w:r>
                      <w:r>
                        <w:rPr>
                          <w:rFonts w:ascii="Arial Narrow" w:eastAsia="Arial Narrow" w:hAnsi="Arial Narrow" w:cs="Arial Narrow"/>
                          <w:spacing w:val="40"/>
                          <w:sz w:val="21"/>
                          <w:szCs w:val="21"/>
                        </w:rPr>
                        <w:t xml:space="preserve"> </w:t>
                      </w:r>
                      <w:r>
                        <w:rPr>
                          <w:rFonts w:ascii="Arial Narrow" w:eastAsia="Arial Narrow" w:hAnsi="Arial Narrow" w:cs="Arial Narrow"/>
                          <w:spacing w:val="-1"/>
                          <w:sz w:val="21"/>
                          <w:szCs w:val="21"/>
                        </w:rPr>
                        <w:t>practices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over</w:t>
                      </w:r>
                      <w:r>
                        <w:rPr>
                          <w:rFonts w:ascii="Arial Narrow" w:eastAsia="Arial Narrow" w:hAnsi="Arial Narrow" w:cs="Arial Narrow"/>
                          <w:sz w:val="21"/>
                          <w:szCs w:val="21"/>
                        </w:rPr>
                        <w:t xml:space="preserve"> the </w:t>
                      </w:r>
                      <w:r>
                        <w:rPr>
                          <w:rFonts w:ascii="Arial Narrow" w:eastAsia="Arial Narrow" w:hAnsi="Arial Narrow" w:cs="Arial Narrow"/>
                          <w:spacing w:val="-1"/>
                          <w:sz w:val="21"/>
                          <w:szCs w:val="21"/>
                        </w:rPr>
                        <w:t>next</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30</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years,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and</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is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based</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around</w:t>
                      </w:r>
                      <w:r>
                        <w:rPr>
                          <w:rFonts w:ascii="Arial Narrow" w:eastAsia="Arial Narrow" w:hAnsi="Arial Narrow" w:cs="Arial Narrow"/>
                          <w:sz w:val="21"/>
                          <w:szCs w:val="21"/>
                        </w:rPr>
                        <w:t xml:space="preserve"> three </w:t>
                      </w:r>
                      <w:r>
                        <w:rPr>
                          <w:rFonts w:ascii="Arial Narrow" w:eastAsia="Arial Narrow" w:hAnsi="Arial Narrow" w:cs="Arial Narrow"/>
                          <w:spacing w:val="-1"/>
                          <w:sz w:val="21"/>
                          <w:szCs w:val="21"/>
                        </w:rPr>
                        <w:t>‘outcomes’:</w:t>
                      </w:r>
                    </w:p>
                    <w:p w:rsidR="008A79D5" w:rsidRDefault="008A79D5">
                      <w:pPr>
                        <w:tabs>
                          <w:tab w:val="left" w:pos="359"/>
                        </w:tabs>
                        <w:spacing w:before="120" w:line="258" w:lineRule="auto"/>
                        <w:ind w:left="359" w:right="78" w:hanging="360"/>
                        <w:rPr>
                          <w:rFonts w:ascii="Arial Narrow" w:eastAsia="Arial Narrow" w:hAnsi="Arial Narrow" w:cs="Arial Narrow"/>
                          <w:sz w:val="21"/>
                          <w:szCs w:val="21"/>
                        </w:rPr>
                      </w:pPr>
                      <w:r>
                        <w:rPr>
                          <w:rFonts w:ascii="Arial Narrow"/>
                          <w:spacing w:val="-2"/>
                          <w:sz w:val="21"/>
                        </w:rPr>
                        <w:t>1.</w:t>
                      </w:r>
                      <w:r>
                        <w:rPr>
                          <w:rFonts w:ascii="Arial Narrow"/>
                          <w:spacing w:val="-2"/>
                          <w:sz w:val="21"/>
                        </w:rPr>
                        <w:tab/>
                        <w:t>Healthy</w:t>
                      </w:r>
                      <w:r>
                        <w:rPr>
                          <w:rFonts w:ascii="Arial Narrow"/>
                          <w:spacing w:val="-6"/>
                          <w:sz w:val="21"/>
                        </w:rPr>
                        <w:t xml:space="preserve"> </w:t>
                      </w:r>
                      <w:r>
                        <w:rPr>
                          <w:rFonts w:ascii="Arial Narrow"/>
                          <w:spacing w:val="-3"/>
                          <w:sz w:val="21"/>
                        </w:rPr>
                        <w:t>catchments</w:t>
                      </w:r>
                      <w:r>
                        <w:rPr>
                          <w:rFonts w:ascii="Arial Narrow"/>
                          <w:spacing w:val="-4"/>
                          <w:sz w:val="21"/>
                        </w:rPr>
                        <w:t xml:space="preserve"> </w:t>
                      </w:r>
                      <w:r>
                        <w:rPr>
                          <w:rFonts w:ascii="Arial Narrow"/>
                          <w:spacing w:val="-2"/>
                          <w:sz w:val="21"/>
                        </w:rPr>
                        <w:t>and</w:t>
                      </w:r>
                      <w:r>
                        <w:rPr>
                          <w:rFonts w:ascii="Arial Narrow"/>
                          <w:spacing w:val="-6"/>
                          <w:sz w:val="21"/>
                        </w:rPr>
                        <w:t xml:space="preserve"> </w:t>
                      </w:r>
                      <w:r>
                        <w:rPr>
                          <w:rFonts w:ascii="Arial Narrow"/>
                          <w:spacing w:val="-2"/>
                          <w:sz w:val="21"/>
                        </w:rPr>
                        <w:t>water</w:t>
                      </w:r>
                      <w:r>
                        <w:rPr>
                          <w:rFonts w:ascii="Arial Narrow"/>
                          <w:spacing w:val="-5"/>
                          <w:sz w:val="21"/>
                        </w:rPr>
                        <w:t xml:space="preserve"> </w:t>
                      </w:r>
                      <w:r>
                        <w:rPr>
                          <w:rFonts w:ascii="Arial Narrow"/>
                          <w:spacing w:val="-3"/>
                          <w:sz w:val="21"/>
                        </w:rPr>
                        <w:t>bodies:</w:t>
                      </w:r>
                      <w:r>
                        <w:rPr>
                          <w:rFonts w:ascii="Arial Narrow"/>
                          <w:spacing w:val="-6"/>
                          <w:sz w:val="21"/>
                        </w:rPr>
                        <w:t xml:space="preserve"> </w:t>
                      </w:r>
                      <w:r>
                        <w:rPr>
                          <w:rFonts w:ascii="Arial Narrow"/>
                          <w:spacing w:val="-3"/>
                          <w:sz w:val="21"/>
                        </w:rPr>
                        <w:t>Well-managed,</w:t>
                      </w:r>
                      <w:r>
                        <w:rPr>
                          <w:rFonts w:ascii="Arial Narrow"/>
                          <w:spacing w:val="-5"/>
                          <w:sz w:val="21"/>
                        </w:rPr>
                        <w:t xml:space="preserve"> </w:t>
                      </w:r>
                      <w:r>
                        <w:rPr>
                          <w:rFonts w:ascii="Arial Narrow"/>
                          <w:spacing w:val="-3"/>
                          <w:sz w:val="21"/>
                        </w:rPr>
                        <w:t>functioning</w:t>
                      </w:r>
                      <w:r>
                        <w:rPr>
                          <w:rFonts w:ascii="Arial Narrow"/>
                          <w:spacing w:val="-6"/>
                          <w:sz w:val="21"/>
                        </w:rPr>
                        <w:t xml:space="preserve"> </w:t>
                      </w:r>
                      <w:r>
                        <w:rPr>
                          <w:rFonts w:ascii="Arial Narrow"/>
                          <w:spacing w:val="-3"/>
                          <w:sz w:val="21"/>
                        </w:rPr>
                        <w:t>aquatic</w:t>
                      </w:r>
                      <w:r>
                        <w:rPr>
                          <w:rFonts w:ascii="Arial Narrow"/>
                          <w:spacing w:val="-5"/>
                          <w:sz w:val="21"/>
                        </w:rPr>
                        <w:t xml:space="preserve"> </w:t>
                      </w:r>
                      <w:r>
                        <w:rPr>
                          <w:rFonts w:ascii="Arial Narrow"/>
                          <w:spacing w:val="-3"/>
                          <w:sz w:val="21"/>
                        </w:rPr>
                        <w:t>ecosystems</w:t>
                      </w:r>
                      <w:r>
                        <w:rPr>
                          <w:rFonts w:ascii="Arial Narrow"/>
                          <w:spacing w:val="-6"/>
                          <w:sz w:val="21"/>
                        </w:rPr>
                        <w:t xml:space="preserve"> </w:t>
                      </w:r>
                      <w:r>
                        <w:rPr>
                          <w:rFonts w:ascii="Arial Narrow"/>
                          <w:spacing w:val="-3"/>
                          <w:sz w:val="21"/>
                        </w:rPr>
                        <w:t>that</w:t>
                      </w:r>
                      <w:r>
                        <w:rPr>
                          <w:rFonts w:ascii="Arial Narrow"/>
                          <w:spacing w:val="-5"/>
                          <w:sz w:val="21"/>
                        </w:rPr>
                        <w:t xml:space="preserve"> </w:t>
                      </w:r>
                      <w:r>
                        <w:rPr>
                          <w:rFonts w:ascii="Arial Narrow"/>
                          <w:spacing w:val="-3"/>
                          <w:sz w:val="21"/>
                        </w:rPr>
                        <w:t>protect</w:t>
                      </w:r>
                      <w:r>
                        <w:rPr>
                          <w:rFonts w:ascii="Arial Narrow"/>
                          <w:spacing w:val="-6"/>
                          <w:sz w:val="21"/>
                        </w:rPr>
                        <w:t xml:space="preserve"> </w:t>
                      </w:r>
                      <w:r>
                        <w:rPr>
                          <w:rFonts w:ascii="Arial Narrow"/>
                          <w:spacing w:val="-3"/>
                          <w:sz w:val="21"/>
                        </w:rPr>
                        <w:t>ecological</w:t>
                      </w:r>
                      <w:r>
                        <w:rPr>
                          <w:rFonts w:ascii="Arial Narrow"/>
                          <w:spacing w:val="-5"/>
                          <w:sz w:val="21"/>
                        </w:rPr>
                        <w:t xml:space="preserve"> </w:t>
                      </w:r>
                      <w:r>
                        <w:rPr>
                          <w:rFonts w:ascii="Arial Narrow"/>
                          <w:spacing w:val="-3"/>
                          <w:sz w:val="21"/>
                        </w:rPr>
                        <w:t>values</w:t>
                      </w:r>
                      <w:r>
                        <w:rPr>
                          <w:rFonts w:ascii="Arial Narrow"/>
                          <w:spacing w:val="57"/>
                          <w:sz w:val="21"/>
                        </w:rPr>
                        <w:t xml:space="preserve"> </w:t>
                      </w:r>
                      <w:r>
                        <w:rPr>
                          <w:rFonts w:ascii="Arial Narrow"/>
                          <w:spacing w:val="-2"/>
                          <w:sz w:val="21"/>
                        </w:rPr>
                        <w:t>and</w:t>
                      </w:r>
                      <w:r>
                        <w:rPr>
                          <w:rFonts w:ascii="Arial Narrow"/>
                          <w:spacing w:val="-6"/>
                          <w:sz w:val="21"/>
                        </w:rPr>
                        <w:t xml:space="preserve"> </w:t>
                      </w:r>
                      <w:r>
                        <w:rPr>
                          <w:rFonts w:ascii="Arial Narrow"/>
                          <w:spacing w:val="-3"/>
                          <w:sz w:val="21"/>
                        </w:rPr>
                        <w:t>contribute</w:t>
                      </w:r>
                      <w:r>
                        <w:rPr>
                          <w:rFonts w:ascii="Arial Narrow"/>
                          <w:spacing w:val="-4"/>
                          <w:sz w:val="21"/>
                        </w:rPr>
                        <w:t xml:space="preserve"> </w:t>
                      </w:r>
                      <w:r>
                        <w:rPr>
                          <w:rFonts w:ascii="Arial Narrow"/>
                          <w:spacing w:val="-2"/>
                          <w:sz w:val="21"/>
                        </w:rPr>
                        <w:t>to</w:t>
                      </w:r>
                      <w:r>
                        <w:rPr>
                          <w:rFonts w:ascii="Arial Narrow"/>
                          <w:spacing w:val="-6"/>
                          <w:sz w:val="21"/>
                        </w:rPr>
                        <w:t xml:space="preserve"> </w:t>
                      </w:r>
                      <w:r>
                        <w:rPr>
                          <w:rFonts w:ascii="Arial Narrow"/>
                          <w:spacing w:val="-2"/>
                          <w:sz w:val="21"/>
                        </w:rPr>
                        <w:t>the</w:t>
                      </w:r>
                      <w:r>
                        <w:rPr>
                          <w:rFonts w:ascii="Arial Narrow"/>
                          <w:spacing w:val="-5"/>
                          <w:sz w:val="21"/>
                        </w:rPr>
                        <w:t xml:space="preserve"> </w:t>
                      </w:r>
                      <w:r>
                        <w:rPr>
                          <w:rFonts w:ascii="Arial Narrow"/>
                          <w:spacing w:val="-3"/>
                          <w:sz w:val="21"/>
                        </w:rPr>
                        <w:t>liveability</w:t>
                      </w:r>
                      <w:r>
                        <w:rPr>
                          <w:rFonts w:ascii="Arial Narrow"/>
                          <w:spacing w:val="-5"/>
                          <w:sz w:val="21"/>
                        </w:rPr>
                        <w:t xml:space="preserve"> </w:t>
                      </w:r>
                      <w:r>
                        <w:rPr>
                          <w:rFonts w:ascii="Arial Narrow"/>
                          <w:spacing w:val="-2"/>
                          <w:sz w:val="21"/>
                        </w:rPr>
                        <w:t>of</w:t>
                      </w:r>
                      <w:r>
                        <w:rPr>
                          <w:rFonts w:ascii="Arial Narrow"/>
                          <w:spacing w:val="-5"/>
                          <w:sz w:val="21"/>
                        </w:rPr>
                        <w:t xml:space="preserve"> </w:t>
                      </w:r>
                      <w:r>
                        <w:rPr>
                          <w:rFonts w:ascii="Arial Narrow"/>
                          <w:spacing w:val="-2"/>
                          <w:sz w:val="21"/>
                        </w:rPr>
                        <w:t>the</w:t>
                      </w:r>
                      <w:r>
                        <w:rPr>
                          <w:rFonts w:ascii="Arial Narrow"/>
                          <w:spacing w:val="-15"/>
                          <w:sz w:val="21"/>
                        </w:rPr>
                        <w:t xml:space="preserve"> </w:t>
                      </w:r>
                      <w:r>
                        <w:rPr>
                          <w:rFonts w:ascii="Arial Narrow"/>
                          <w:spacing w:val="-2"/>
                          <w:sz w:val="21"/>
                        </w:rPr>
                        <w:t>ACT</w:t>
                      </w:r>
                      <w:r>
                        <w:rPr>
                          <w:rFonts w:ascii="Arial Narrow"/>
                          <w:spacing w:val="-8"/>
                          <w:sz w:val="21"/>
                        </w:rPr>
                        <w:t xml:space="preserve"> </w:t>
                      </w:r>
                      <w:r>
                        <w:rPr>
                          <w:rFonts w:ascii="Arial Narrow"/>
                          <w:spacing w:val="-4"/>
                          <w:sz w:val="21"/>
                        </w:rPr>
                        <w:t>community.</w:t>
                      </w:r>
                    </w:p>
                  </w:txbxContent>
                </v:textbox>
              </v:shape>
              <v:shape id="_x0000_s3346" type="#_x0000_t202" style="position:absolute;left:170;top:1685;width:3025;height:210" filled="f" stroked="f">
                <v:textbox style="mso-next-textbox:#_x0000_s3346;mso-fit-shape-to-text:t" inset="0,0,0,0">
                  <w:txbxContent>
                    <w:p w:rsidR="008A79D5" w:rsidRDefault="008A79D5">
                      <w:pPr>
                        <w:tabs>
                          <w:tab w:val="left" w:pos="359"/>
                        </w:tabs>
                        <w:spacing w:line="210" w:lineRule="exact"/>
                        <w:rPr>
                          <w:rFonts w:ascii="Arial Narrow" w:eastAsia="Arial Narrow" w:hAnsi="Arial Narrow" w:cs="Arial Narrow"/>
                          <w:sz w:val="21"/>
                          <w:szCs w:val="21"/>
                        </w:rPr>
                      </w:pPr>
                    </w:p>
                  </w:txbxContent>
                </v:textbox>
              </v:shape>
              <v:shape id="_x0000_s3345" type="#_x0000_t202" style="position:absolute;left:3750;top:1685;width:5036;height:210" filled="f" stroked="f">
                <v:textbox style="mso-next-textbox:#_x0000_s3345" inset="0,0,0,0">
                  <w:txbxContent>
                    <w:p w:rsidR="008A79D5" w:rsidRPr="0037199C" w:rsidRDefault="008A79D5" w:rsidP="0037199C">
                      <w:pPr>
                        <w:rPr>
                          <w:szCs w:val="21"/>
                        </w:rPr>
                      </w:pPr>
                    </w:p>
                  </w:txbxContent>
                </v:textbox>
              </v:shape>
              <v:shape id="_x0000_s3344" type="#_x0000_t202" style="position:absolute;left:170;top:1945;width:9041;height:2937" filled="f" stroked="f">
                <v:textbox style="mso-next-textbox:#_x0000_s3344" inset="0,0,0,0">
                  <w:txbxContent>
                    <w:p w:rsidR="008A79D5" w:rsidRDefault="008A79D5">
                      <w:pPr>
                        <w:tabs>
                          <w:tab w:val="left" w:pos="4148"/>
                        </w:tabs>
                        <w:spacing w:line="216" w:lineRule="exact"/>
                        <w:ind w:left="359"/>
                        <w:rPr>
                          <w:rFonts w:ascii="Arial Narrow" w:eastAsia="Arial Narrow" w:hAnsi="Arial Narrow" w:cs="Arial Narrow"/>
                          <w:sz w:val="21"/>
                          <w:szCs w:val="21"/>
                        </w:rPr>
                      </w:pPr>
                      <w:r>
                        <w:rPr>
                          <w:rFonts w:ascii="Arial Narrow"/>
                          <w:spacing w:val="-3"/>
                          <w:sz w:val="21"/>
                        </w:rPr>
                        <w:t>optimal</w:t>
                      </w:r>
                      <w:r>
                        <w:rPr>
                          <w:rFonts w:ascii="Arial Narrow"/>
                          <w:spacing w:val="-5"/>
                          <w:sz w:val="21"/>
                        </w:rPr>
                        <w:t xml:space="preserve"> </w:t>
                      </w:r>
                      <w:r>
                        <w:rPr>
                          <w:rFonts w:ascii="Arial Narrow"/>
                          <w:spacing w:val="-2"/>
                          <w:sz w:val="21"/>
                        </w:rPr>
                        <w:t>mix</w:t>
                      </w:r>
                      <w:r>
                        <w:rPr>
                          <w:rFonts w:ascii="Arial Narrow"/>
                          <w:spacing w:val="-5"/>
                          <w:sz w:val="21"/>
                        </w:rPr>
                        <w:t xml:space="preserve"> </w:t>
                      </w:r>
                      <w:r>
                        <w:rPr>
                          <w:rFonts w:ascii="Arial Narrow"/>
                          <w:spacing w:val="-2"/>
                          <w:sz w:val="21"/>
                        </w:rPr>
                        <w:t>of</w:t>
                      </w:r>
                      <w:r>
                        <w:rPr>
                          <w:rFonts w:ascii="Arial Narrow"/>
                          <w:spacing w:val="-5"/>
                          <w:sz w:val="21"/>
                        </w:rPr>
                        <w:t xml:space="preserve"> </w:t>
                      </w:r>
                      <w:r>
                        <w:rPr>
                          <w:rFonts w:ascii="Arial Narrow"/>
                          <w:spacing w:val="-3"/>
                          <w:sz w:val="21"/>
                        </w:rPr>
                        <w:t>supply</w:t>
                      </w:r>
                      <w:r>
                        <w:rPr>
                          <w:rFonts w:ascii="Arial Narrow"/>
                          <w:spacing w:val="-5"/>
                          <w:sz w:val="21"/>
                        </w:rPr>
                        <w:t xml:space="preserve"> </w:t>
                      </w:r>
                      <w:r>
                        <w:rPr>
                          <w:rFonts w:ascii="Arial Narrow"/>
                          <w:spacing w:val="-3"/>
                          <w:sz w:val="21"/>
                        </w:rPr>
                        <w:t>options,</w:t>
                      </w:r>
                      <w:r>
                        <w:rPr>
                          <w:rFonts w:ascii="Arial Narrow"/>
                          <w:spacing w:val="-5"/>
                          <w:sz w:val="21"/>
                        </w:rPr>
                        <w:t xml:space="preserve"> </w:t>
                      </w:r>
                      <w:r>
                        <w:rPr>
                          <w:rFonts w:ascii="Arial Narrow"/>
                          <w:spacing w:val="-3"/>
                          <w:sz w:val="21"/>
                        </w:rPr>
                        <w:t>encourages</w:t>
                      </w:r>
                      <w:r>
                        <w:rPr>
                          <w:rFonts w:ascii="Arial Narrow"/>
                          <w:spacing w:val="-5"/>
                          <w:sz w:val="21"/>
                        </w:rPr>
                        <w:t xml:space="preserve"> </w:t>
                      </w:r>
                      <w:r>
                        <w:rPr>
                          <w:rFonts w:ascii="Arial Narrow"/>
                          <w:spacing w:val="-2"/>
                          <w:sz w:val="21"/>
                        </w:rPr>
                        <w:t>efficient</w:t>
                      </w:r>
                      <w:r>
                        <w:rPr>
                          <w:rFonts w:ascii="Arial Narrow"/>
                          <w:spacing w:val="-2"/>
                          <w:sz w:val="21"/>
                        </w:rPr>
                        <w:tab/>
                        <w:t>use</w:t>
                      </w:r>
                      <w:r>
                        <w:rPr>
                          <w:rFonts w:ascii="Arial Narrow"/>
                          <w:spacing w:val="-5"/>
                          <w:sz w:val="21"/>
                        </w:rPr>
                        <w:t xml:space="preserve"> </w:t>
                      </w:r>
                      <w:r>
                        <w:rPr>
                          <w:rFonts w:ascii="Arial Narrow"/>
                          <w:spacing w:val="-2"/>
                          <w:sz w:val="21"/>
                        </w:rPr>
                        <w:t>of</w:t>
                      </w:r>
                      <w:r>
                        <w:rPr>
                          <w:rFonts w:ascii="Arial Narrow"/>
                          <w:spacing w:val="-5"/>
                          <w:sz w:val="21"/>
                        </w:rPr>
                        <w:t xml:space="preserve"> </w:t>
                      </w:r>
                      <w:r>
                        <w:rPr>
                          <w:rFonts w:ascii="Arial Narrow"/>
                          <w:spacing w:val="-4"/>
                          <w:sz w:val="21"/>
                        </w:rPr>
                        <w:t>water,</w:t>
                      </w:r>
                      <w:r>
                        <w:rPr>
                          <w:rFonts w:ascii="Arial Narrow"/>
                          <w:spacing w:val="-5"/>
                          <w:sz w:val="21"/>
                        </w:rPr>
                        <w:t xml:space="preserve"> </w:t>
                      </w:r>
                      <w:r>
                        <w:rPr>
                          <w:rFonts w:ascii="Arial Narrow"/>
                          <w:spacing w:val="-2"/>
                          <w:sz w:val="21"/>
                        </w:rPr>
                        <w:t>and</w:t>
                      </w:r>
                      <w:r>
                        <w:rPr>
                          <w:rFonts w:ascii="Arial Narrow"/>
                          <w:spacing w:val="-5"/>
                          <w:sz w:val="21"/>
                        </w:rPr>
                        <w:t xml:space="preserve"> </w:t>
                      </w:r>
                      <w:r>
                        <w:rPr>
                          <w:rFonts w:ascii="Arial Narrow"/>
                          <w:spacing w:val="-2"/>
                          <w:sz w:val="21"/>
                        </w:rPr>
                        <w:t>is</w:t>
                      </w:r>
                      <w:r>
                        <w:rPr>
                          <w:rFonts w:ascii="Arial Narrow"/>
                          <w:spacing w:val="-5"/>
                          <w:sz w:val="21"/>
                        </w:rPr>
                        <w:t xml:space="preserve"> </w:t>
                      </w:r>
                      <w:r>
                        <w:rPr>
                          <w:rFonts w:ascii="Arial Narrow"/>
                          <w:spacing w:val="-3"/>
                          <w:sz w:val="21"/>
                        </w:rPr>
                        <w:t>resilient</w:t>
                      </w:r>
                      <w:r>
                        <w:rPr>
                          <w:rFonts w:ascii="Arial Narrow"/>
                          <w:spacing w:val="-5"/>
                          <w:sz w:val="21"/>
                        </w:rPr>
                        <w:t xml:space="preserve"> </w:t>
                      </w:r>
                      <w:r>
                        <w:rPr>
                          <w:rFonts w:ascii="Arial Narrow"/>
                          <w:spacing w:val="-2"/>
                          <w:sz w:val="21"/>
                        </w:rPr>
                        <w:t>to</w:t>
                      </w:r>
                      <w:r>
                        <w:rPr>
                          <w:rFonts w:ascii="Arial Narrow"/>
                          <w:spacing w:val="-5"/>
                          <w:sz w:val="21"/>
                        </w:rPr>
                        <w:t xml:space="preserve"> </w:t>
                      </w:r>
                      <w:r>
                        <w:rPr>
                          <w:rFonts w:ascii="Arial Narrow"/>
                          <w:spacing w:val="-3"/>
                          <w:sz w:val="21"/>
                        </w:rPr>
                        <w:t>climate</w:t>
                      </w:r>
                      <w:r>
                        <w:rPr>
                          <w:rFonts w:ascii="Arial Narrow"/>
                          <w:spacing w:val="-5"/>
                          <w:sz w:val="21"/>
                        </w:rPr>
                        <w:t xml:space="preserve"> </w:t>
                      </w:r>
                      <w:r>
                        <w:rPr>
                          <w:rFonts w:ascii="Arial Narrow"/>
                          <w:spacing w:val="-4"/>
                          <w:sz w:val="21"/>
                        </w:rPr>
                        <w:t>variability,</w:t>
                      </w:r>
                      <w:r>
                        <w:rPr>
                          <w:rFonts w:ascii="Arial Narrow"/>
                          <w:spacing w:val="-5"/>
                          <w:sz w:val="21"/>
                        </w:rPr>
                        <w:t xml:space="preserve"> </w:t>
                      </w:r>
                      <w:r>
                        <w:rPr>
                          <w:rFonts w:ascii="Arial Narrow"/>
                          <w:spacing w:val="-2"/>
                          <w:sz w:val="21"/>
                        </w:rPr>
                        <w:t>and</w:t>
                      </w:r>
                      <w:r>
                        <w:rPr>
                          <w:rFonts w:ascii="Arial Narrow"/>
                          <w:spacing w:val="-5"/>
                          <w:sz w:val="21"/>
                        </w:rPr>
                        <w:t xml:space="preserve"> </w:t>
                      </w:r>
                      <w:r>
                        <w:rPr>
                          <w:rFonts w:ascii="Arial Narrow"/>
                          <w:spacing w:val="-3"/>
                          <w:sz w:val="21"/>
                        </w:rPr>
                        <w:t>supports</w:t>
                      </w:r>
                      <w:r>
                        <w:rPr>
                          <w:rFonts w:ascii="Arial Narrow"/>
                          <w:spacing w:val="-5"/>
                          <w:sz w:val="21"/>
                        </w:rPr>
                        <w:t xml:space="preserve"> </w:t>
                      </w:r>
                      <w:r>
                        <w:rPr>
                          <w:rFonts w:ascii="Arial Narrow"/>
                          <w:spacing w:val="-3"/>
                          <w:sz w:val="21"/>
                        </w:rPr>
                        <w:t>the</w:t>
                      </w:r>
                    </w:p>
                    <w:p w:rsidR="008A79D5" w:rsidRDefault="008A79D5">
                      <w:pPr>
                        <w:spacing w:before="19"/>
                        <w:ind w:left="359"/>
                        <w:rPr>
                          <w:rFonts w:ascii="Arial Narrow" w:eastAsia="Arial Narrow" w:hAnsi="Arial Narrow" w:cs="Arial Narrow"/>
                          <w:sz w:val="21"/>
                          <w:szCs w:val="21"/>
                        </w:rPr>
                      </w:pPr>
                      <w:r>
                        <w:rPr>
                          <w:rFonts w:ascii="Arial Narrow"/>
                          <w:spacing w:val="-3"/>
                          <w:sz w:val="21"/>
                        </w:rPr>
                        <w:t>social,</w:t>
                      </w:r>
                      <w:r>
                        <w:rPr>
                          <w:rFonts w:ascii="Arial Narrow"/>
                          <w:spacing w:val="-5"/>
                          <w:sz w:val="21"/>
                        </w:rPr>
                        <w:t xml:space="preserve"> </w:t>
                      </w:r>
                      <w:r>
                        <w:rPr>
                          <w:rFonts w:ascii="Arial Narrow"/>
                          <w:spacing w:val="-3"/>
                          <w:sz w:val="21"/>
                        </w:rPr>
                        <w:t>economic</w:t>
                      </w:r>
                      <w:r>
                        <w:rPr>
                          <w:rFonts w:ascii="Arial Narrow"/>
                          <w:spacing w:val="-5"/>
                          <w:sz w:val="21"/>
                        </w:rPr>
                        <w:t xml:space="preserve"> </w:t>
                      </w:r>
                      <w:r>
                        <w:rPr>
                          <w:rFonts w:ascii="Arial Narrow"/>
                          <w:spacing w:val="-2"/>
                          <w:sz w:val="21"/>
                        </w:rPr>
                        <w:t>and</w:t>
                      </w:r>
                      <w:r>
                        <w:rPr>
                          <w:rFonts w:ascii="Arial Narrow"/>
                          <w:spacing w:val="-6"/>
                          <w:sz w:val="21"/>
                        </w:rPr>
                        <w:t xml:space="preserve"> </w:t>
                      </w:r>
                      <w:r>
                        <w:rPr>
                          <w:rFonts w:ascii="Arial Narrow"/>
                          <w:spacing w:val="-3"/>
                          <w:sz w:val="21"/>
                        </w:rPr>
                        <w:t>environmental</w:t>
                      </w:r>
                      <w:r>
                        <w:rPr>
                          <w:rFonts w:ascii="Arial Narrow"/>
                          <w:spacing w:val="-5"/>
                          <w:sz w:val="21"/>
                        </w:rPr>
                        <w:t xml:space="preserve"> </w:t>
                      </w:r>
                      <w:r>
                        <w:rPr>
                          <w:rFonts w:ascii="Arial Narrow"/>
                          <w:spacing w:val="-3"/>
                          <w:sz w:val="21"/>
                        </w:rPr>
                        <w:t>needs</w:t>
                      </w:r>
                      <w:r>
                        <w:rPr>
                          <w:rFonts w:ascii="Arial Narrow"/>
                          <w:spacing w:val="-6"/>
                          <w:sz w:val="21"/>
                        </w:rPr>
                        <w:t xml:space="preserve"> </w:t>
                      </w:r>
                      <w:r>
                        <w:rPr>
                          <w:rFonts w:ascii="Arial Narrow"/>
                          <w:spacing w:val="-2"/>
                          <w:sz w:val="21"/>
                        </w:rPr>
                        <w:t>of</w:t>
                      </w:r>
                      <w:r>
                        <w:rPr>
                          <w:rFonts w:ascii="Arial Narrow"/>
                          <w:spacing w:val="-5"/>
                          <w:sz w:val="21"/>
                        </w:rPr>
                        <w:t xml:space="preserve"> </w:t>
                      </w:r>
                      <w:r>
                        <w:rPr>
                          <w:rFonts w:ascii="Arial Narrow"/>
                          <w:spacing w:val="-2"/>
                          <w:sz w:val="21"/>
                        </w:rPr>
                        <w:t>the</w:t>
                      </w:r>
                      <w:r>
                        <w:rPr>
                          <w:rFonts w:ascii="Arial Narrow"/>
                          <w:spacing w:val="-15"/>
                          <w:sz w:val="21"/>
                        </w:rPr>
                        <w:t xml:space="preserve"> </w:t>
                      </w:r>
                      <w:r>
                        <w:rPr>
                          <w:rFonts w:ascii="Arial Narrow"/>
                          <w:spacing w:val="-2"/>
                          <w:sz w:val="21"/>
                        </w:rPr>
                        <w:t>ACT</w:t>
                      </w:r>
                      <w:r>
                        <w:rPr>
                          <w:rFonts w:ascii="Arial Narrow"/>
                          <w:spacing w:val="-8"/>
                          <w:sz w:val="21"/>
                        </w:rPr>
                        <w:t xml:space="preserve"> </w:t>
                      </w:r>
                      <w:r>
                        <w:rPr>
                          <w:rFonts w:ascii="Arial Narrow"/>
                          <w:spacing w:val="-4"/>
                          <w:sz w:val="21"/>
                        </w:rPr>
                        <w:t>community.</w:t>
                      </w:r>
                    </w:p>
                    <w:p w:rsidR="008A79D5" w:rsidRDefault="008A79D5">
                      <w:pPr>
                        <w:tabs>
                          <w:tab w:val="left" w:pos="359"/>
                          <w:tab w:val="left" w:pos="2682"/>
                        </w:tabs>
                        <w:spacing w:before="132" w:line="258" w:lineRule="auto"/>
                        <w:ind w:left="359" w:right="331" w:hanging="360"/>
                        <w:rPr>
                          <w:rFonts w:ascii="Arial Narrow" w:eastAsia="Arial Narrow" w:hAnsi="Arial Narrow" w:cs="Arial Narrow"/>
                          <w:sz w:val="21"/>
                          <w:szCs w:val="21"/>
                        </w:rPr>
                      </w:pPr>
                      <w:r>
                        <w:rPr>
                          <w:rFonts w:ascii="Arial Narrow"/>
                          <w:spacing w:val="-2"/>
                          <w:sz w:val="21"/>
                        </w:rPr>
                        <w:t>3.</w:t>
                      </w:r>
                      <w:r>
                        <w:rPr>
                          <w:rFonts w:ascii="Arial Narrow"/>
                          <w:spacing w:val="-2"/>
                          <w:sz w:val="21"/>
                        </w:rPr>
                        <w:tab/>
                      </w:r>
                      <w:r>
                        <w:rPr>
                          <w:rFonts w:ascii="Arial Narrow"/>
                          <w:sz w:val="21"/>
                        </w:rPr>
                        <w:t>A</w:t>
                      </w:r>
                      <w:r>
                        <w:rPr>
                          <w:rFonts w:ascii="Arial Narrow"/>
                          <w:spacing w:val="-15"/>
                          <w:sz w:val="21"/>
                        </w:rPr>
                        <w:t xml:space="preserve"> </w:t>
                      </w:r>
                      <w:r>
                        <w:rPr>
                          <w:rFonts w:ascii="Arial Narrow"/>
                          <w:spacing w:val="-3"/>
                          <w:sz w:val="21"/>
                        </w:rPr>
                        <w:t>community</w:t>
                      </w:r>
                      <w:r>
                        <w:rPr>
                          <w:rFonts w:ascii="Arial Narrow"/>
                          <w:spacing w:val="-4"/>
                          <w:sz w:val="21"/>
                        </w:rPr>
                        <w:t xml:space="preserve"> </w:t>
                      </w:r>
                      <w:r>
                        <w:rPr>
                          <w:rFonts w:ascii="Arial Narrow"/>
                          <w:spacing w:val="-3"/>
                          <w:sz w:val="21"/>
                        </w:rPr>
                        <w:t>that</w:t>
                      </w:r>
                      <w:r>
                        <w:rPr>
                          <w:rFonts w:ascii="Arial Narrow"/>
                          <w:spacing w:val="-6"/>
                          <w:sz w:val="21"/>
                        </w:rPr>
                        <w:t xml:space="preserve"> </w:t>
                      </w:r>
                      <w:r>
                        <w:rPr>
                          <w:rFonts w:ascii="Arial Narrow"/>
                          <w:spacing w:val="-3"/>
                          <w:sz w:val="21"/>
                        </w:rPr>
                        <w:t>values</w:t>
                      </w:r>
                      <w:r>
                        <w:rPr>
                          <w:rFonts w:ascii="Arial Narrow"/>
                          <w:spacing w:val="-4"/>
                          <w:sz w:val="21"/>
                        </w:rPr>
                        <w:t xml:space="preserve"> </w:t>
                      </w:r>
                      <w:r>
                        <w:rPr>
                          <w:rFonts w:ascii="Arial Narrow"/>
                          <w:spacing w:val="-2"/>
                          <w:sz w:val="21"/>
                        </w:rPr>
                        <w:t>and</w:t>
                      </w:r>
                      <w:r>
                        <w:rPr>
                          <w:rFonts w:ascii="Arial Narrow"/>
                          <w:spacing w:val="-5"/>
                          <w:sz w:val="21"/>
                        </w:rPr>
                        <w:t xml:space="preserve"> </w:t>
                      </w:r>
                      <w:r>
                        <w:rPr>
                          <w:rFonts w:ascii="Arial Narrow"/>
                          <w:spacing w:val="-3"/>
                          <w:sz w:val="21"/>
                        </w:rPr>
                        <w:t>enjoys</w:t>
                      </w:r>
                      <w:r>
                        <w:rPr>
                          <w:rFonts w:ascii="Arial Narrow"/>
                          <w:spacing w:val="-6"/>
                          <w:sz w:val="21"/>
                        </w:rPr>
                        <w:t xml:space="preserve"> </w:t>
                      </w:r>
                      <w:r>
                        <w:rPr>
                          <w:rFonts w:ascii="Arial Narrow"/>
                          <w:spacing w:val="-3"/>
                          <w:sz w:val="21"/>
                        </w:rPr>
                        <w:t>clean,</w:t>
                      </w:r>
                      <w:r>
                        <w:rPr>
                          <w:rFonts w:ascii="Arial Narrow"/>
                          <w:spacing w:val="-4"/>
                          <w:sz w:val="21"/>
                        </w:rPr>
                        <w:t xml:space="preserve"> </w:t>
                      </w:r>
                      <w:r>
                        <w:rPr>
                          <w:rFonts w:ascii="Arial Narrow"/>
                          <w:spacing w:val="-3"/>
                          <w:sz w:val="21"/>
                        </w:rPr>
                        <w:t>healthy</w:t>
                      </w:r>
                      <w:r>
                        <w:rPr>
                          <w:rFonts w:ascii="Arial Narrow"/>
                          <w:spacing w:val="-6"/>
                          <w:sz w:val="21"/>
                        </w:rPr>
                        <w:t xml:space="preserve"> </w:t>
                      </w:r>
                      <w:r>
                        <w:rPr>
                          <w:rFonts w:ascii="Arial Narrow"/>
                          <w:spacing w:val="-3"/>
                          <w:sz w:val="21"/>
                        </w:rPr>
                        <w:t>catchments</w:t>
                      </w:r>
                      <w:r>
                        <w:rPr>
                          <w:rFonts w:ascii="Arial Narrow"/>
                          <w:spacing w:val="-4"/>
                          <w:sz w:val="21"/>
                        </w:rPr>
                        <w:t xml:space="preserve"> </w:t>
                      </w:r>
                      <w:r>
                        <w:rPr>
                          <w:rFonts w:ascii="Arial Narrow"/>
                          <w:spacing w:val="-2"/>
                          <w:sz w:val="21"/>
                        </w:rPr>
                        <w:t>and</w:t>
                      </w:r>
                      <w:r>
                        <w:rPr>
                          <w:rFonts w:ascii="Arial Narrow"/>
                          <w:spacing w:val="-5"/>
                          <w:sz w:val="21"/>
                        </w:rPr>
                        <w:t xml:space="preserve"> </w:t>
                      </w:r>
                      <w:r>
                        <w:rPr>
                          <w:rFonts w:ascii="Arial Narrow"/>
                          <w:spacing w:val="-2"/>
                          <w:sz w:val="21"/>
                        </w:rPr>
                        <w:t>waterways:</w:t>
                      </w:r>
                      <w:r>
                        <w:rPr>
                          <w:rFonts w:ascii="Arial Narrow"/>
                          <w:spacing w:val="-6"/>
                          <w:sz w:val="21"/>
                        </w:rPr>
                        <w:t xml:space="preserve"> </w:t>
                      </w:r>
                      <w:r>
                        <w:rPr>
                          <w:rFonts w:ascii="Arial Narrow"/>
                          <w:spacing w:val="-3"/>
                          <w:sz w:val="21"/>
                        </w:rPr>
                        <w:t>Work</w:t>
                      </w:r>
                      <w:r>
                        <w:rPr>
                          <w:rFonts w:ascii="Arial Narrow"/>
                          <w:spacing w:val="-5"/>
                          <w:sz w:val="21"/>
                        </w:rPr>
                        <w:t xml:space="preserve"> </w:t>
                      </w:r>
                      <w:r>
                        <w:rPr>
                          <w:rFonts w:ascii="Arial Narrow"/>
                          <w:spacing w:val="-2"/>
                          <w:sz w:val="21"/>
                        </w:rPr>
                        <w:t>with</w:t>
                      </w:r>
                      <w:r>
                        <w:rPr>
                          <w:rFonts w:ascii="Arial Narrow"/>
                          <w:spacing w:val="-6"/>
                          <w:sz w:val="21"/>
                        </w:rPr>
                        <w:t xml:space="preserve"> </w:t>
                      </w:r>
                      <w:r>
                        <w:rPr>
                          <w:rFonts w:ascii="Arial Narrow"/>
                          <w:spacing w:val="-2"/>
                          <w:sz w:val="21"/>
                        </w:rPr>
                        <w:t>the</w:t>
                      </w:r>
                      <w:r>
                        <w:rPr>
                          <w:rFonts w:ascii="Arial Narrow"/>
                          <w:spacing w:val="-14"/>
                          <w:sz w:val="21"/>
                        </w:rPr>
                        <w:t xml:space="preserve"> </w:t>
                      </w:r>
                      <w:r>
                        <w:rPr>
                          <w:rFonts w:ascii="Arial Narrow"/>
                          <w:spacing w:val="-2"/>
                          <w:sz w:val="21"/>
                        </w:rPr>
                        <w:t>ACT</w:t>
                      </w:r>
                      <w:r>
                        <w:rPr>
                          <w:rFonts w:ascii="Arial Narrow"/>
                          <w:spacing w:val="-8"/>
                          <w:sz w:val="21"/>
                        </w:rPr>
                        <w:t xml:space="preserve"> </w:t>
                      </w:r>
                      <w:r>
                        <w:rPr>
                          <w:rFonts w:ascii="Arial Narrow"/>
                          <w:spacing w:val="-3"/>
                          <w:sz w:val="21"/>
                        </w:rPr>
                        <w:t>community</w:t>
                      </w:r>
                      <w:r>
                        <w:rPr>
                          <w:rFonts w:ascii="Arial Narrow"/>
                          <w:spacing w:val="-5"/>
                          <w:sz w:val="21"/>
                        </w:rPr>
                        <w:t xml:space="preserve"> </w:t>
                      </w:r>
                      <w:r>
                        <w:rPr>
                          <w:rFonts w:ascii="Arial Narrow"/>
                          <w:spacing w:val="-3"/>
                          <w:sz w:val="21"/>
                        </w:rPr>
                        <w:t>to</w:t>
                      </w:r>
                      <w:r>
                        <w:rPr>
                          <w:rFonts w:ascii="Arial Narrow"/>
                          <w:spacing w:val="57"/>
                          <w:sz w:val="21"/>
                        </w:rPr>
                        <w:t xml:space="preserve"> </w:t>
                      </w:r>
                      <w:r>
                        <w:rPr>
                          <w:rFonts w:ascii="Arial Narrow"/>
                          <w:spacing w:val="-3"/>
                          <w:sz w:val="21"/>
                        </w:rPr>
                        <w:t>continue</w:t>
                      </w:r>
                      <w:r>
                        <w:rPr>
                          <w:rFonts w:ascii="Arial Narrow"/>
                          <w:spacing w:val="-5"/>
                          <w:sz w:val="21"/>
                        </w:rPr>
                        <w:t xml:space="preserve"> </w:t>
                      </w:r>
                      <w:r>
                        <w:rPr>
                          <w:rFonts w:ascii="Arial Narrow"/>
                          <w:spacing w:val="-2"/>
                          <w:sz w:val="21"/>
                        </w:rPr>
                        <w:t>to</w:t>
                      </w:r>
                      <w:r>
                        <w:rPr>
                          <w:rFonts w:ascii="Arial Narrow"/>
                          <w:spacing w:val="-5"/>
                          <w:sz w:val="21"/>
                        </w:rPr>
                        <w:t xml:space="preserve"> </w:t>
                      </w:r>
                      <w:r>
                        <w:rPr>
                          <w:rFonts w:ascii="Arial Narrow"/>
                          <w:spacing w:val="-2"/>
                          <w:sz w:val="21"/>
                        </w:rPr>
                        <w:t>use</w:t>
                      </w:r>
                      <w:r>
                        <w:rPr>
                          <w:rFonts w:ascii="Arial Narrow"/>
                          <w:spacing w:val="-5"/>
                          <w:sz w:val="21"/>
                        </w:rPr>
                        <w:t xml:space="preserve"> </w:t>
                      </w:r>
                      <w:r>
                        <w:rPr>
                          <w:rFonts w:ascii="Arial Narrow"/>
                          <w:spacing w:val="-3"/>
                          <w:sz w:val="21"/>
                        </w:rPr>
                        <w:t>water</w:t>
                      </w:r>
                      <w:r>
                        <w:rPr>
                          <w:rFonts w:ascii="Arial Narrow"/>
                          <w:spacing w:val="-5"/>
                          <w:sz w:val="21"/>
                        </w:rPr>
                        <w:t xml:space="preserve"> </w:t>
                      </w:r>
                      <w:r>
                        <w:rPr>
                          <w:rFonts w:ascii="Arial Narrow"/>
                          <w:spacing w:val="-2"/>
                          <w:sz w:val="21"/>
                        </w:rPr>
                        <w:t>efficiently</w:t>
                      </w:r>
                      <w:r>
                        <w:rPr>
                          <w:rFonts w:ascii="Arial Narrow"/>
                          <w:sz w:val="21"/>
                        </w:rPr>
                        <w:t>,</w:t>
                      </w:r>
                      <w:r>
                        <w:rPr>
                          <w:rFonts w:ascii="Arial Narrow"/>
                          <w:spacing w:val="-5"/>
                          <w:sz w:val="21"/>
                        </w:rPr>
                        <w:t xml:space="preserve"> </w:t>
                      </w:r>
                      <w:r>
                        <w:rPr>
                          <w:rFonts w:ascii="Arial Narrow"/>
                          <w:spacing w:val="-2"/>
                          <w:sz w:val="21"/>
                        </w:rPr>
                        <w:t>and</w:t>
                      </w:r>
                      <w:r>
                        <w:rPr>
                          <w:rFonts w:ascii="Arial Narrow"/>
                          <w:spacing w:val="-5"/>
                          <w:sz w:val="21"/>
                        </w:rPr>
                        <w:t xml:space="preserve"> </w:t>
                      </w:r>
                      <w:r>
                        <w:rPr>
                          <w:rFonts w:ascii="Arial Narrow"/>
                          <w:spacing w:val="-2"/>
                          <w:sz w:val="21"/>
                        </w:rPr>
                        <w:t>to</w:t>
                      </w:r>
                      <w:r>
                        <w:rPr>
                          <w:rFonts w:ascii="Arial Narrow"/>
                          <w:spacing w:val="-5"/>
                          <w:sz w:val="21"/>
                        </w:rPr>
                        <w:t xml:space="preserve"> </w:t>
                      </w:r>
                      <w:r>
                        <w:rPr>
                          <w:rFonts w:ascii="Arial Narrow"/>
                          <w:spacing w:val="-3"/>
                          <w:sz w:val="21"/>
                        </w:rPr>
                        <w:t>ensure</w:t>
                      </w:r>
                      <w:r>
                        <w:rPr>
                          <w:rFonts w:ascii="Arial Narrow"/>
                          <w:spacing w:val="-5"/>
                          <w:sz w:val="21"/>
                        </w:rPr>
                        <w:t xml:space="preserve"> </w:t>
                      </w:r>
                      <w:r>
                        <w:rPr>
                          <w:rFonts w:ascii="Arial Narrow"/>
                          <w:spacing w:val="-3"/>
                          <w:sz w:val="21"/>
                        </w:rPr>
                        <w:t>safe,</w:t>
                      </w:r>
                      <w:r>
                        <w:rPr>
                          <w:rFonts w:ascii="Arial Narrow"/>
                          <w:spacing w:val="-5"/>
                          <w:sz w:val="21"/>
                        </w:rPr>
                        <w:t xml:space="preserve"> </w:t>
                      </w:r>
                      <w:r>
                        <w:rPr>
                          <w:rFonts w:ascii="Arial Narrow"/>
                          <w:spacing w:val="-3"/>
                          <w:sz w:val="21"/>
                        </w:rPr>
                        <w:t>clean</w:t>
                      </w:r>
                      <w:r>
                        <w:rPr>
                          <w:rFonts w:ascii="Arial Narrow"/>
                          <w:spacing w:val="-5"/>
                          <w:sz w:val="21"/>
                        </w:rPr>
                        <w:t xml:space="preserve"> </w:t>
                      </w:r>
                      <w:r>
                        <w:rPr>
                          <w:rFonts w:ascii="Arial Narrow"/>
                          <w:spacing w:val="-3"/>
                          <w:sz w:val="21"/>
                        </w:rPr>
                        <w:t>water</w:t>
                      </w:r>
                      <w:r>
                        <w:rPr>
                          <w:rFonts w:ascii="Arial Narrow"/>
                          <w:spacing w:val="-5"/>
                          <w:sz w:val="21"/>
                        </w:rPr>
                        <w:t xml:space="preserve"> </w:t>
                      </w:r>
                      <w:r>
                        <w:rPr>
                          <w:rFonts w:ascii="Arial Narrow"/>
                          <w:spacing w:val="-2"/>
                          <w:sz w:val="21"/>
                        </w:rPr>
                        <w:t>for</w:t>
                      </w:r>
                      <w:r>
                        <w:rPr>
                          <w:rFonts w:ascii="Arial Narrow"/>
                          <w:spacing w:val="-5"/>
                          <w:sz w:val="21"/>
                        </w:rPr>
                        <w:t xml:space="preserve"> </w:t>
                      </w:r>
                      <w:r>
                        <w:rPr>
                          <w:rFonts w:ascii="Arial Narrow"/>
                          <w:spacing w:val="-3"/>
                          <w:sz w:val="21"/>
                        </w:rPr>
                        <w:t>recreation</w:t>
                      </w:r>
                      <w:r>
                        <w:rPr>
                          <w:rFonts w:ascii="Arial Narrow"/>
                          <w:spacing w:val="-5"/>
                          <w:sz w:val="21"/>
                        </w:rPr>
                        <w:t xml:space="preserve"> </w:t>
                      </w:r>
                      <w:r>
                        <w:rPr>
                          <w:rFonts w:ascii="Arial Narrow"/>
                          <w:spacing w:val="-2"/>
                          <w:sz w:val="21"/>
                        </w:rPr>
                        <w:t>and</w:t>
                      </w:r>
                      <w:r>
                        <w:rPr>
                          <w:rFonts w:ascii="Arial Narrow"/>
                          <w:spacing w:val="-5"/>
                          <w:sz w:val="21"/>
                        </w:rPr>
                        <w:t xml:space="preserve"> </w:t>
                      </w:r>
                      <w:r>
                        <w:rPr>
                          <w:rFonts w:ascii="Arial Narrow"/>
                          <w:spacing w:val="-2"/>
                          <w:sz w:val="21"/>
                        </w:rPr>
                        <w:t>the</w:t>
                      </w:r>
                      <w:r>
                        <w:rPr>
                          <w:rFonts w:ascii="Arial Narrow"/>
                          <w:spacing w:val="-5"/>
                          <w:sz w:val="21"/>
                        </w:rPr>
                        <w:t xml:space="preserve"> </w:t>
                      </w:r>
                      <w:r>
                        <w:rPr>
                          <w:rFonts w:ascii="Arial Narrow"/>
                          <w:spacing w:val="-3"/>
                          <w:sz w:val="21"/>
                        </w:rPr>
                        <w:t>environment.</w:t>
                      </w:r>
                    </w:p>
                    <w:p w:rsidR="008A79D5" w:rsidRDefault="008A79D5">
                      <w:pPr>
                        <w:spacing w:before="173" w:line="278" w:lineRule="auto"/>
                        <w:ind w:right="25"/>
                        <w:rPr>
                          <w:rFonts w:ascii="Arial Narrow" w:eastAsia="Arial Narrow" w:hAnsi="Arial Narrow" w:cs="Arial Narrow"/>
                          <w:sz w:val="21"/>
                          <w:szCs w:val="21"/>
                        </w:rPr>
                      </w:pPr>
                      <w:r>
                        <w:rPr>
                          <w:rFonts w:ascii="Arial Narrow" w:eastAsia="Arial Narrow" w:hAnsi="Arial Narrow" w:cs="Arial Narrow"/>
                          <w:sz w:val="21"/>
                          <w:szCs w:val="21"/>
                        </w:rPr>
                        <w:t>In</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terms</w:t>
                      </w:r>
                      <w:r>
                        <w:rPr>
                          <w:rFonts w:ascii="Arial Narrow" w:eastAsia="Arial Narrow" w:hAnsi="Arial Narrow" w:cs="Arial Narrow"/>
                          <w:spacing w:val="-1"/>
                          <w:sz w:val="21"/>
                          <w:szCs w:val="21"/>
                        </w:rPr>
                        <w:t xml:space="preserve"> of</w:t>
                      </w:r>
                      <w:r>
                        <w:rPr>
                          <w:rFonts w:ascii="Arial Narrow" w:eastAsia="Arial Narrow" w:hAnsi="Arial Narrow" w:cs="Arial Narrow"/>
                          <w:sz w:val="21"/>
                          <w:szCs w:val="21"/>
                        </w:rPr>
                        <w:t xml:space="preserve"> water</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security and</w:t>
                      </w:r>
                      <w:r>
                        <w:rPr>
                          <w:rFonts w:ascii="Arial Narrow" w:eastAsia="Arial Narrow" w:hAnsi="Arial Narrow" w:cs="Arial Narrow"/>
                          <w:sz w:val="21"/>
                          <w:szCs w:val="21"/>
                        </w:rPr>
                        <w:t xml:space="preserve"> the</w:t>
                      </w:r>
                      <w:r>
                        <w:rPr>
                          <w:rFonts w:ascii="Arial Narrow" w:eastAsia="Arial Narrow" w:hAnsi="Arial Narrow" w:cs="Arial Narrow"/>
                          <w:spacing w:val="-1"/>
                          <w:sz w:val="21"/>
                          <w:szCs w:val="21"/>
                        </w:rPr>
                        <w:t xml:space="preserve"> use of</w:t>
                      </w:r>
                      <w:r>
                        <w:rPr>
                          <w:rFonts w:ascii="Arial Narrow" w:eastAsia="Arial Narrow" w:hAnsi="Arial Narrow" w:cs="Arial Narrow"/>
                          <w:sz w:val="21"/>
                          <w:szCs w:val="21"/>
                        </w:rPr>
                        <w:t xml:space="preserve"> water</w:t>
                      </w:r>
                      <w:r>
                        <w:rPr>
                          <w:rFonts w:ascii="Arial Narrow" w:eastAsia="Arial Narrow" w:hAnsi="Arial Narrow" w:cs="Arial Narrow"/>
                          <w:spacing w:val="-2"/>
                          <w:sz w:val="21"/>
                          <w:szCs w:val="21"/>
                        </w:rPr>
                        <w:t xml:space="preserve"> </w:t>
                      </w:r>
                      <w:r>
                        <w:rPr>
                          <w:rFonts w:ascii="Arial Narrow" w:eastAsia="Arial Narrow" w:hAnsi="Arial Narrow" w:cs="Arial Narrow"/>
                          <w:sz w:val="21"/>
                          <w:szCs w:val="21"/>
                        </w:rPr>
                        <w:t>(outcome</w:t>
                      </w:r>
                      <w:r>
                        <w:rPr>
                          <w:rFonts w:ascii="Arial Narrow" w:eastAsia="Arial Narrow" w:hAnsi="Arial Narrow" w:cs="Arial Narrow"/>
                          <w:spacing w:val="-1"/>
                          <w:sz w:val="21"/>
                          <w:szCs w:val="21"/>
                        </w:rPr>
                        <w:t xml:space="preserve"> 2), </w:t>
                      </w:r>
                      <w:r>
                        <w:rPr>
                          <w:rFonts w:ascii="Arial Narrow" w:eastAsia="Arial Narrow" w:hAnsi="Arial Narrow" w:cs="Arial Narrow"/>
                          <w:sz w:val="21"/>
                          <w:szCs w:val="21"/>
                        </w:rPr>
                        <w:t>the</w:t>
                      </w:r>
                      <w:r>
                        <w:rPr>
                          <w:rFonts w:ascii="Arial Narrow" w:eastAsia="Arial Narrow" w:hAnsi="Arial Narrow" w:cs="Arial Narrow"/>
                          <w:spacing w:val="-1"/>
                          <w:sz w:val="21"/>
                          <w:szCs w:val="21"/>
                        </w:rPr>
                        <w:t xml:space="preserve"> strategy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notes </w:t>
                      </w:r>
                      <w:r>
                        <w:rPr>
                          <w:rFonts w:ascii="Arial Narrow" w:eastAsia="Arial Narrow" w:hAnsi="Arial Narrow" w:cs="Arial Narrow"/>
                          <w:sz w:val="21"/>
                          <w:szCs w:val="21"/>
                        </w:rPr>
                        <w:t>that</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the water</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supply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system is</w:t>
                      </w:r>
                      <w:r>
                        <w:rPr>
                          <w:rFonts w:ascii="Arial Narrow" w:eastAsia="Arial Narrow" w:hAnsi="Arial Narrow" w:cs="Arial Narrow"/>
                          <w:spacing w:val="20"/>
                          <w:sz w:val="21"/>
                          <w:szCs w:val="21"/>
                        </w:rPr>
                        <w:t xml:space="preserve"> </w:t>
                      </w:r>
                      <w:r>
                        <w:rPr>
                          <w:rFonts w:ascii="Arial Narrow" w:eastAsia="Arial Narrow" w:hAnsi="Arial Narrow" w:cs="Arial Narrow"/>
                          <w:spacing w:val="-1"/>
                          <w:sz w:val="21"/>
                          <w:szCs w:val="21"/>
                        </w:rPr>
                        <w:t>considered secure</w:t>
                      </w:r>
                      <w:r>
                        <w:rPr>
                          <w:rFonts w:ascii="Arial Narrow" w:eastAsia="Arial Narrow" w:hAnsi="Arial Narrow" w:cs="Arial Narrow"/>
                          <w:sz w:val="21"/>
                          <w:szCs w:val="21"/>
                        </w:rPr>
                        <w:t xml:space="preserve"> for </w:t>
                      </w:r>
                      <w:r>
                        <w:rPr>
                          <w:rFonts w:ascii="Arial Narrow" w:eastAsia="Arial Narrow" w:hAnsi="Arial Narrow" w:cs="Arial Narrow"/>
                          <w:spacing w:val="-1"/>
                          <w:sz w:val="21"/>
                          <w:szCs w:val="21"/>
                        </w:rPr>
                        <w:t>at</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least </w:t>
                      </w:r>
                      <w:r>
                        <w:rPr>
                          <w:rFonts w:ascii="Arial Narrow" w:eastAsia="Arial Narrow" w:hAnsi="Arial Narrow" w:cs="Arial Narrow"/>
                          <w:sz w:val="21"/>
                          <w:szCs w:val="21"/>
                        </w:rPr>
                        <w:t xml:space="preserve">the </w:t>
                      </w:r>
                      <w:r>
                        <w:rPr>
                          <w:rFonts w:ascii="Arial Narrow" w:eastAsia="Arial Narrow" w:hAnsi="Arial Narrow" w:cs="Arial Narrow"/>
                          <w:spacing w:val="-1"/>
                          <w:sz w:val="21"/>
                          <w:szCs w:val="21"/>
                        </w:rPr>
                        <w:t>next</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20</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years,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and details</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measures</w:t>
                      </w:r>
                      <w:r>
                        <w:rPr>
                          <w:rFonts w:ascii="Arial Narrow" w:eastAsia="Arial Narrow" w:hAnsi="Arial Narrow" w:cs="Arial Narrow"/>
                          <w:sz w:val="21"/>
                          <w:szCs w:val="21"/>
                        </w:rPr>
                        <w:t xml:space="preserve"> to </w:t>
                      </w:r>
                      <w:r>
                        <w:rPr>
                          <w:rFonts w:ascii="Arial Narrow" w:eastAsia="Arial Narrow" w:hAnsi="Arial Narrow" w:cs="Arial Narrow"/>
                          <w:spacing w:val="-1"/>
                          <w:sz w:val="21"/>
                          <w:szCs w:val="21"/>
                        </w:rPr>
                        <w:t>plan</w:t>
                      </w:r>
                      <w:r>
                        <w:rPr>
                          <w:rFonts w:ascii="Arial Narrow" w:eastAsia="Arial Narrow" w:hAnsi="Arial Narrow" w:cs="Arial Narrow"/>
                          <w:sz w:val="21"/>
                          <w:szCs w:val="21"/>
                        </w:rPr>
                        <w:t xml:space="preserve"> for</w:t>
                      </w:r>
                      <w:r>
                        <w:rPr>
                          <w:rFonts w:ascii="Arial Narrow" w:eastAsia="Arial Narrow" w:hAnsi="Arial Narrow" w:cs="Arial Narrow"/>
                          <w:spacing w:val="-1"/>
                          <w:sz w:val="21"/>
                          <w:szCs w:val="21"/>
                        </w:rPr>
                        <w:t xml:space="preserve"> long-term</w:t>
                      </w:r>
                      <w:r>
                        <w:rPr>
                          <w:rFonts w:ascii="Arial Narrow" w:eastAsia="Arial Narrow" w:hAnsi="Arial Narrow" w:cs="Arial Narrow"/>
                          <w:sz w:val="21"/>
                          <w:szCs w:val="21"/>
                        </w:rPr>
                        <w:t xml:space="preserve"> water</w:t>
                      </w:r>
                      <w:r>
                        <w:rPr>
                          <w:rFonts w:ascii="Arial Narrow" w:eastAsia="Arial Narrow" w:hAnsi="Arial Narrow" w:cs="Arial Narrow"/>
                          <w:spacing w:val="-1"/>
                          <w:sz w:val="21"/>
                          <w:szCs w:val="21"/>
                        </w:rPr>
                        <w:t xml:space="preserve"> security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in</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order </w:t>
                      </w:r>
                      <w:r>
                        <w:rPr>
                          <w:rFonts w:ascii="Arial Narrow" w:eastAsia="Arial Narrow" w:hAnsi="Arial Narrow" w:cs="Arial Narrow"/>
                          <w:sz w:val="21"/>
                          <w:szCs w:val="21"/>
                        </w:rPr>
                        <w:t>to</w:t>
                      </w:r>
                      <w:r>
                        <w:rPr>
                          <w:rFonts w:ascii="Arial Narrow" w:eastAsia="Arial Narrow" w:hAnsi="Arial Narrow" w:cs="Arial Narrow"/>
                          <w:spacing w:val="31"/>
                          <w:sz w:val="21"/>
                          <w:szCs w:val="21"/>
                        </w:rPr>
                        <w:t xml:space="preserve"> </w:t>
                      </w:r>
                      <w:r>
                        <w:rPr>
                          <w:rFonts w:ascii="Arial Narrow" w:eastAsia="Arial Narrow" w:hAnsi="Arial Narrow" w:cs="Arial Narrow"/>
                          <w:spacing w:val="-1"/>
                          <w:sz w:val="21"/>
                          <w:szCs w:val="21"/>
                        </w:rPr>
                        <w:t xml:space="preserve">strengthen </w:t>
                      </w:r>
                      <w:r>
                        <w:rPr>
                          <w:rFonts w:ascii="Arial Narrow" w:eastAsia="Arial Narrow" w:hAnsi="Arial Narrow" w:cs="Arial Narrow"/>
                          <w:sz w:val="21"/>
                          <w:szCs w:val="21"/>
                        </w:rPr>
                        <w:t>the</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resilience</w:t>
                      </w:r>
                      <w:r>
                        <w:rPr>
                          <w:rFonts w:ascii="Arial Narrow" w:eastAsia="Arial Narrow" w:hAnsi="Arial Narrow" w:cs="Arial Narrow"/>
                          <w:spacing w:val="-1"/>
                          <w:sz w:val="21"/>
                          <w:szCs w:val="21"/>
                        </w:rPr>
                        <w:t xml:space="preserve"> of </w:t>
                      </w:r>
                      <w:r>
                        <w:rPr>
                          <w:rFonts w:ascii="Arial Narrow" w:eastAsia="Arial Narrow" w:hAnsi="Arial Narrow" w:cs="Arial Narrow"/>
                          <w:sz w:val="21"/>
                          <w:szCs w:val="21"/>
                        </w:rPr>
                        <w:t>the</w:t>
                      </w:r>
                      <w:r>
                        <w:rPr>
                          <w:rFonts w:ascii="Arial Narrow" w:eastAsia="Arial Narrow" w:hAnsi="Arial Narrow" w:cs="Arial Narrow"/>
                          <w:spacing w:val="-10"/>
                          <w:sz w:val="21"/>
                          <w:szCs w:val="21"/>
                        </w:rPr>
                        <w:t xml:space="preserve"> </w:t>
                      </w:r>
                      <w:r>
                        <w:rPr>
                          <w:rFonts w:ascii="Arial Narrow" w:eastAsia="Arial Narrow" w:hAnsi="Arial Narrow" w:cs="Arial Narrow"/>
                          <w:spacing w:val="-1"/>
                          <w:sz w:val="21"/>
                          <w:szCs w:val="21"/>
                        </w:rPr>
                        <w:t xml:space="preserve">ACT’s </w:t>
                      </w:r>
                      <w:r>
                        <w:rPr>
                          <w:rFonts w:ascii="Arial Narrow" w:eastAsia="Arial Narrow" w:hAnsi="Arial Narrow" w:cs="Arial Narrow"/>
                          <w:sz w:val="21"/>
                          <w:szCs w:val="21"/>
                        </w:rPr>
                        <w:t>water</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supply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system against</w:t>
                      </w:r>
                      <w:r>
                        <w:rPr>
                          <w:rFonts w:ascii="Arial Narrow" w:eastAsia="Arial Narrow" w:hAnsi="Arial Narrow" w:cs="Arial Narrow"/>
                          <w:sz w:val="21"/>
                          <w:szCs w:val="21"/>
                        </w:rPr>
                        <w:t xml:space="preserve"> a</w:t>
                      </w:r>
                      <w:r>
                        <w:rPr>
                          <w:rFonts w:ascii="Arial Narrow" w:eastAsia="Arial Narrow" w:hAnsi="Arial Narrow" w:cs="Arial Narrow"/>
                          <w:spacing w:val="-1"/>
                          <w:sz w:val="21"/>
                          <w:szCs w:val="21"/>
                        </w:rPr>
                        <w:t xml:space="preserve"> number</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of supply-</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and demand-related variables,</w:t>
                      </w:r>
                      <w:r>
                        <w:rPr>
                          <w:rFonts w:ascii="Arial Narrow" w:eastAsia="Arial Narrow" w:hAnsi="Arial Narrow" w:cs="Arial Narrow"/>
                          <w:spacing w:val="22"/>
                          <w:sz w:val="21"/>
                          <w:szCs w:val="21"/>
                        </w:rPr>
                        <w:t xml:space="preserve"> </w:t>
                      </w:r>
                      <w:r>
                        <w:rPr>
                          <w:rFonts w:ascii="Arial Narrow" w:eastAsia="Arial Narrow" w:hAnsi="Arial Narrow" w:cs="Arial Narrow"/>
                          <w:spacing w:val="-1"/>
                          <w:sz w:val="21"/>
                          <w:szCs w:val="21"/>
                        </w:rPr>
                        <w:t>such as</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climate</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change, </w:t>
                      </w:r>
                      <w:r>
                        <w:rPr>
                          <w:rFonts w:ascii="Arial Narrow" w:eastAsia="Arial Narrow" w:hAnsi="Arial Narrow" w:cs="Arial Narrow"/>
                          <w:sz w:val="21"/>
                          <w:szCs w:val="21"/>
                        </w:rPr>
                        <w:t>future</w:t>
                      </w:r>
                      <w:r>
                        <w:rPr>
                          <w:rFonts w:ascii="Arial Narrow" w:eastAsia="Arial Narrow" w:hAnsi="Arial Narrow" w:cs="Arial Narrow"/>
                          <w:spacing w:val="-1"/>
                          <w:sz w:val="21"/>
                          <w:szCs w:val="21"/>
                        </w:rPr>
                        <w:t xml:space="preserve"> population</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 xml:space="preserve">growth, </w:t>
                      </w:r>
                      <w:r>
                        <w:rPr>
                          <w:rFonts w:ascii="Arial Narrow" w:eastAsia="Arial Narrow" w:hAnsi="Arial Narrow" w:cs="Arial Narrow"/>
                          <w:sz w:val="21"/>
                          <w:szCs w:val="21"/>
                        </w:rPr>
                        <w:t>targets for</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reductions</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in</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per capita</w:t>
                      </w:r>
                      <w:r>
                        <w:rPr>
                          <w:rFonts w:ascii="Arial Narrow" w:eastAsia="Arial Narrow" w:hAnsi="Arial Narrow" w:cs="Arial Narrow"/>
                          <w:sz w:val="21"/>
                          <w:szCs w:val="21"/>
                        </w:rPr>
                        <w:t xml:space="preserve"> water</w:t>
                      </w:r>
                      <w:r>
                        <w:rPr>
                          <w:rFonts w:ascii="Arial Narrow" w:eastAsia="Arial Narrow" w:hAnsi="Arial Narrow" w:cs="Arial Narrow"/>
                          <w:spacing w:val="-2"/>
                          <w:sz w:val="21"/>
                          <w:szCs w:val="21"/>
                        </w:rPr>
                        <w:t xml:space="preserve"> </w:t>
                      </w:r>
                      <w:r>
                        <w:rPr>
                          <w:rFonts w:ascii="Arial Narrow" w:eastAsia="Arial Narrow" w:hAnsi="Arial Narrow" w:cs="Arial Narrow"/>
                          <w:spacing w:val="-1"/>
                          <w:sz w:val="21"/>
                          <w:szCs w:val="21"/>
                        </w:rPr>
                        <w:t>use and</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environment</w:t>
                      </w:r>
                    </w:p>
                    <w:p w:rsidR="008A79D5" w:rsidRDefault="008A79D5">
                      <w:pPr>
                        <w:rPr>
                          <w:rFonts w:ascii="Arial Narrow" w:eastAsia="Arial Narrow" w:hAnsi="Arial Narrow" w:cs="Arial Narrow"/>
                          <w:sz w:val="21"/>
                          <w:szCs w:val="21"/>
                        </w:rPr>
                      </w:pPr>
                      <w:r>
                        <w:rPr>
                          <w:rFonts w:ascii="Arial Narrow"/>
                          <w:sz w:val="21"/>
                        </w:rPr>
                        <w:t>flow requirements.</w:t>
                      </w:r>
                      <w:r>
                        <w:rPr>
                          <w:rFonts w:ascii="Arial Narrow"/>
                          <w:spacing w:val="-3"/>
                          <w:sz w:val="21"/>
                        </w:rPr>
                        <w:t xml:space="preserve"> </w:t>
                      </w:r>
                      <w:r>
                        <w:rPr>
                          <w:rFonts w:ascii="Arial Narrow"/>
                          <w:sz w:val="21"/>
                        </w:rPr>
                        <w:t>The strategy also highlights options for more diverse water supply options, and identifies further</w:t>
                      </w:r>
                    </w:p>
                    <w:p w:rsidR="008A79D5" w:rsidRDefault="008A79D5">
                      <w:pPr>
                        <w:spacing w:before="39" w:line="235" w:lineRule="exact"/>
                        <w:rPr>
                          <w:rFonts w:ascii="Arial Narrow" w:eastAsia="Arial Narrow" w:hAnsi="Arial Narrow" w:cs="Arial Narrow"/>
                          <w:sz w:val="21"/>
                          <w:szCs w:val="21"/>
                        </w:rPr>
                      </w:pPr>
                      <w:r>
                        <w:rPr>
                          <w:rFonts w:ascii="Arial Narrow"/>
                          <w:spacing w:val="-1"/>
                          <w:sz w:val="21"/>
                        </w:rPr>
                        <w:t>measures</w:t>
                      </w:r>
                      <w:r>
                        <w:rPr>
                          <w:rFonts w:ascii="Arial Narrow"/>
                          <w:spacing w:val="-2"/>
                          <w:sz w:val="21"/>
                        </w:rPr>
                        <w:t xml:space="preserve"> </w:t>
                      </w:r>
                      <w:r>
                        <w:rPr>
                          <w:rFonts w:ascii="Arial Narrow"/>
                          <w:sz w:val="21"/>
                        </w:rPr>
                        <w:t>to</w:t>
                      </w:r>
                      <w:r>
                        <w:rPr>
                          <w:rFonts w:ascii="Arial Narrow"/>
                          <w:spacing w:val="-1"/>
                          <w:sz w:val="21"/>
                        </w:rPr>
                        <w:t xml:space="preserve"> encourage </w:t>
                      </w:r>
                      <w:r>
                        <w:rPr>
                          <w:rFonts w:ascii="Arial Narrow"/>
                          <w:sz w:val="21"/>
                        </w:rPr>
                        <w:t>water</w:t>
                      </w:r>
                      <w:r>
                        <w:rPr>
                          <w:rFonts w:ascii="Arial Narrow"/>
                          <w:spacing w:val="-2"/>
                          <w:sz w:val="21"/>
                        </w:rPr>
                        <w:t xml:space="preserve"> </w:t>
                      </w:r>
                      <w:r>
                        <w:rPr>
                          <w:rFonts w:ascii="Arial Narrow"/>
                          <w:spacing w:val="-1"/>
                          <w:sz w:val="21"/>
                        </w:rPr>
                        <w:t xml:space="preserve">users </w:t>
                      </w:r>
                      <w:r>
                        <w:rPr>
                          <w:rFonts w:ascii="Arial Narrow"/>
                          <w:sz w:val="21"/>
                        </w:rPr>
                        <w:t>to</w:t>
                      </w:r>
                      <w:r>
                        <w:rPr>
                          <w:rFonts w:ascii="Arial Narrow"/>
                          <w:spacing w:val="-2"/>
                          <w:sz w:val="21"/>
                        </w:rPr>
                        <w:t xml:space="preserve"> </w:t>
                      </w:r>
                      <w:r>
                        <w:rPr>
                          <w:rFonts w:ascii="Arial Narrow"/>
                          <w:spacing w:val="-1"/>
                          <w:sz w:val="21"/>
                        </w:rPr>
                        <w:t xml:space="preserve">conserve </w:t>
                      </w:r>
                      <w:r>
                        <w:rPr>
                          <w:rFonts w:ascii="Arial Narrow"/>
                          <w:spacing w:val="-2"/>
                          <w:sz w:val="21"/>
                        </w:rPr>
                        <w:t>water.</w:t>
                      </w:r>
                    </w:p>
                  </w:txbxContent>
                </v:textbox>
              </v:shape>
            </v:group>
            <w10:wrap type="none"/>
            <w10:anchorlock/>
          </v:group>
        </w:pict>
      </w: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spacing w:before="9"/>
        <w:rPr>
          <w:rFonts w:ascii="Avenir Next" w:eastAsia="Avenir Next" w:hAnsi="Avenir Next" w:cs="Avenir Next"/>
          <w:b/>
          <w:bCs/>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39" style="width:72.5pt;height:.5pt;mso-position-horizontal-relative:char;mso-position-vertical-relative:line" coordsize="1450,10">
            <v:group id="_x0000_s3340" style="position:absolute;left:5;top:5;width:1440;height:2" coordorigin="5,5" coordsize="1440,2">
              <v:shape id="_x0000_s3341" style="position:absolute;left:5;top:5;width:1440;height:2" coordorigin="5,5" coordsize="1440,0" path="m5,5r1440,e" filled="f" strokeweight=".5pt">
                <v:path arrowok="t"/>
              </v:shape>
            </v:group>
            <w10:wrap type="none"/>
            <w10:anchorlock/>
          </v:group>
        </w:pict>
      </w:r>
    </w:p>
    <w:p w:rsidR="00D96B91" w:rsidRDefault="00C2656B">
      <w:pPr>
        <w:tabs>
          <w:tab w:val="left" w:pos="1757"/>
        </w:tabs>
        <w:spacing w:before="38"/>
        <w:ind w:left="1247"/>
        <w:rPr>
          <w:rFonts w:ascii="Avenir Next" w:eastAsia="Avenir Next" w:hAnsi="Avenir Next" w:cs="Avenir Next"/>
          <w:sz w:val="16"/>
          <w:szCs w:val="16"/>
        </w:rPr>
      </w:pPr>
      <w:r>
        <w:rPr>
          <w:rFonts w:ascii="Avenir Next"/>
          <w:sz w:val="16"/>
        </w:rPr>
        <w:t>19</w:t>
      </w:r>
      <w:r>
        <w:rPr>
          <w:rFonts w:ascii="Avenir Next"/>
          <w:sz w:val="16"/>
        </w:rPr>
        <w:tab/>
      </w:r>
      <w:r>
        <w:rPr>
          <w:rFonts w:ascii="Avenir Next"/>
          <w:spacing w:val="-1"/>
          <w:sz w:val="16"/>
        </w:rPr>
        <w:t>The</w:t>
      </w:r>
      <w:r>
        <w:rPr>
          <w:rFonts w:ascii="Avenir Next"/>
          <w:sz w:val="16"/>
        </w:rPr>
        <w:t xml:space="preserve"> </w:t>
      </w:r>
      <w:r>
        <w:rPr>
          <w:rFonts w:ascii="Avenir Next"/>
          <w:spacing w:val="-2"/>
          <w:sz w:val="16"/>
        </w:rPr>
        <w:t>Panel</w:t>
      </w:r>
      <w:r>
        <w:rPr>
          <w:rFonts w:ascii="Avenir Next"/>
          <w:sz w:val="16"/>
        </w:rPr>
        <w:t xml:space="preserve"> notes </w:t>
      </w:r>
      <w:r>
        <w:rPr>
          <w:rFonts w:ascii="Avenir Next"/>
          <w:spacing w:val="-1"/>
          <w:sz w:val="16"/>
        </w:rPr>
        <w:t>that</w:t>
      </w:r>
      <w:r>
        <w:rPr>
          <w:rFonts w:ascii="Avenir Next"/>
          <w:sz w:val="16"/>
        </w:rPr>
        <w:t xml:space="preserve"> the impact of</w:t>
      </w:r>
      <w:r>
        <w:rPr>
          <w:rFonts w:ascii="Avenir Next"/>
          <w:spacing w:val="3"/>
          <w:sz w:val="16"/>
        </w:rPr>
        <w:t xml:space="preserve"> </w:t>
      </w:r>
      <w:r>
        <w:rPr>
          <w:rFonts w:ascii="Avenir Next"/>
          <w:sz w:val="16"/>
        </w:rPr>
        <w:t xml:space="preserve">the </w:t>
      </w:r>
      <w:r>
        <w:rPr>
          <w:rFonts w:ascii="Avenir Next"/>
          <w:spacing w:val="-1"/>
          <w:sz w:val="16"/>
        </w:rPr>
        <w:t>(now-repealed)</w:t>
      </w:r>
      <w:r>
        <w:rPr>
          <w:rFonts w:ascii="Avenir Next"/>
          <w:sz w:val="16"/>
        </w:rPr>
        <w:t xml:space="preserve"> carbon price on customer </w:t>
      </w:r>
      <w:r>
        <w:rPr>
          <w:rFonts w:ascii="Avenir Next"/>
          <w:spacing w:val="-1"/>
          <w:sz w:val="16"/>
        </w:rPr>
        <w:t>water</w:t>
      </w:r>
      <w:r>
        <w:rPr>
          <w:rFonts w:ascii="Avenir Next"/>
          <w:sz w:val="16"/>
        </w:rPr>
        <w:t xml:space="preserve"> bills is not </w:t>
      </w:r>
      <w:r>
        <w:rPr>
          <w:rFonts w:ascii="Avenir Next"/>
          <w:spacing w:val="-1"/>
          <w:sz w:val="16"/>
        </w:rPr>
        <w:t>material.</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38" w:name="4._3_Best_practice_regulatory_principles"/>
      <w:bookmarkStart w:id="39" w:name="_bookmark20"/>
      <w:bookmarkEnd w:id="38"/>
      <w:bookmarkEnd w:id="39"/>
      <w:r>
        <w:rPr>
          <w:rFonts w:ascii="Avenir Next"/>
          <w:b/>
          <w:spacing w:val="-1"/>
          <w:sz w:val="20"/>
        </w:rPr>
        <w:t>Box</w:t>
      </w:r>
      <w:r>
        <w:rPr>
          <w:rFonts w:ascii="Avenir Next"/>
          <w:b/>
          <w:sz w:val="20"/>
        </w:rPr>
        <w:t xml:space="preserve"> 4.5:</w:t>
      </w:r>
      <w:r>
        <w:rPr>
          <w:rFonts w:ascii="Avenir Next"/>
          <w:b/>
          <w:spacing w:val="-5"/>
          <w:sz w:val="20"/>
        </w:rPr>
        <w:t xml:space="preserve"> </w:t>
      </w:r>
      <w:r>
        <w:rPr>
          <w:rFonts w:ascii="Avenir Next"/>
          <w:b/>
          <w:spacing w:val="-2"/>
          <w:sz w:val="20"/>
        </w:rPr>
        <w:t>The</w:t>
      </w:r>
      <w:r>
        <w:rPr>
          <w:rFonts w:ascii="Avenir Next"/>
          <w:b/>
          <w:sz w:val="20"/>
        </w:rPr>
        <w:t xml:space="preserve"> </w:t>
      </w:r>
      <w:r>
        <w:rPr>
          <w:rFonts w:ascii="Avenir Next"/>
          <w:b/>
          <w:spacing w:val="-1"/>
          <w:sz w:val="20"/>
        </w:rPr>
        <w:t>National</w:t>
      </w:r>
      <w:r>
        <w:rPr>
          <w:rFonts w:ascii="Avenir Next"/>
          <w:b/>
          <w:spacing w:val="-3"/>
          <w:sz w:val="20"/>
        </w:rPr>
        <w:t xml:space="preserve"> </w:t>
      </w:r>
      <w:r>
        <w:rPr>
          <w:rFonts w:ascii="Avenir Next"/>
          <w:b/>
          <w:spacing w:val="-2"/>
          <w:sz w:val="20"/>
        </w:rPr>
        <w:t>Water</w:t>
      </w:r>
      <w:r>
        <w:rPr>
          <w:rFonts w:ascii="Avenir Next"/>
          <w:b/>
          <w:sz w:val="20"/>
        </w:rPr>
        <w:t xml:space="preserve"> </w:t>
      </w:r>
      <w:r>
        <w:rPr>
          <w:rFonts w:ascii="Avenir Next"/>
          <w:b/>
          <w:spacing w:val="-1"/>
          <w:sz w:val="20"/>
        </w:rPr>
        <w:t>Initiative</w:t>
      </w:r>
    </w:p>
    <w:p w:rsidR="00D96B91" w:rsidRDefault="00D96B91">
      <w:pPr>
        <w:spacing w:before="12"/>
        <w:rPr>
          <w:rFonts w:ascii="Avenir Next" w:eastAsia="Avenir Next" w:hAnsi="Avenir Next" w:cs="Avenir Next"/>
          <w:b/>
          <w:bCs/>
          <w:sz w:val="14"/>
          <w:szCs w:val="14"/>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37199C">
        <w:rPr>
          <w:rFonts w:ascii="Avenir Next" w:eastAsia="Avenir Next" w:hAnsi="Avenir Next" w:cs="Avenir Next"/>
          <w:sz w:val="20"/>
          <w:szCs w:val="20"/>
        </w:rPr>
        <w:pict>
          <v:shape id="_x0000_s3338" type="#_x0000_t202" style="width:470.55pt;height:232.65pt;mso-left-percent:-10001;mso-top-percent:-10001;mso-position-horizontal:absolute;mso-position-horizontal-relative:char;mso-position-vertical:absolute;mso-position-vertical-relative:line;mso-left-percent:-10001;mso-top-percent:-10001" fillcolor="#dff3fd" stroked="f">
            <v:textbox style="mso-next-textbox:#_x0000_s3338" inset="0,0,0,0">
              <w:txbxContent>
                <w:p w:rsidR="008A79D5" w:rsidRDefault="008A79D5">
                  <w:pPr>
                    <w:spacing w:before="162" w:line="260" w:lineRule="exact"/>
                    <w:ind w:left="170" w:right="29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National</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3"/>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Initiative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(NWI),</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which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Council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Australian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Governments’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principal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policy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agreement,</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signed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on</w:t>
                  </w:r>
                  <w:r>
                    <w:rPr>
                      <w:rFonts w:ascii="Avenir Next Condensed" w:eastAsia="Avenir Next Condensed" w:hAnsi="Avenir Next Condensed" w:cs="Avenir Next Condensed"/>
                      <w:spacing w:val="64"/>
                      <w:sz w:val="20"/>
                      <w:szCs w:val="20"/>
                    </w:rPr>
                    <w:t xml:space="preserve"> </w:t>
                  </w:r>
                  <w:r>
                    <w:rPr>
                      <w:rFonts w:ascii="Avenir Next Condensed" w:eastAsia="Avenir Next Condensed" w:hAnsi="Avenir Next Condensed" w:cs="Avenir Next Condensed"/>
                      <w:spacing w:val="-1"/>
                      <w:sz w:val="20"/>
                      <w:szCs w:val="20"/>
                    </w:rPr>
                    <w:t>25</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June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2004.</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out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actions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achieve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more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cohesive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national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Australia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manages,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measures,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plans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70"/>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trades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water.</w:t>
                  </w:r>
                </w:p>
                <w:p w:rsidR="008A79D5" w:rsidRDefault="008A79D5">
                  <w:pPr>
                    <w:tabs>
                      <w:tab w:val="left" w:pos="6663"/>
                    </w:tabs>
                    <w:spacing w:before="113" w:line="260" w:lineRule="exact"/>
                    <w:ind w:left="170" w:right="373"/>
                    <w:jc w:val="both"/>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NWI</w:t>
                  </w:r>
                  <w:r>
                    <w:rPr>
                      <w:rFonts w:ascii="Avenir Next Condensed"/>
                      <w:spacing w:val="-4"/>
                      <w:sz w:val="20"/>
                    </w:rPr>
                    <w:t xml:space="preserve"> </w:t>
                  </w:r>
                  <w:r>
                    <w:rPr>
                      <w:rFonts w:ascii="Avenir Next Condensed"/>
                      <w:spacing w:val="-2"/>
                      <w:sz w:val="20"/>
                    </w:rPr>
                    <w:t>includes</w:t>
                  </w:r>
                  <w:r>
                    <w:rPr>
                      <w:rFonts w:ascii="Avenir Next Condensed"/>
                      <w:spacing w:val="-4"/>
                      <w:sz w:val="20"/>
                    </w:rPr>
                    <w:t xml:space="preserve"> </w:t>
                  </w:r>
                  <w:r>
                    <w:rPr>
                      <w:rFonts w:ascii="Avenir Next Condensed"/>
                      <w:spacing w:val="-2"/>
                      <w:sz w:val="20"/>
                    </w:rPr>
                    <w:t>reforms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pricing</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3"/>
                      <w:sz w:val="20"/>
                    </w:rPr>
                    <w:t>water.</w:t>
                  </w:r>
                  <w:r>
                    <w:rPr>
                      <w:rFonts w:ascii="Avenir Next Condensed"/>
                      <w:spacing w:val="-15"/>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primary</w:t>
                  </w:r>
                  <w:r>
                    <w:rPr>
                      <w:rFonts w:ascii="Avenir Next Condensed"/>
                      <w:spacing w:val="-4"/>
                      <w:sz w:val="20"/>
                    </w:rPr>
                    <w:t xml:space="preserve"> </w:t>
                  </w:r>
                  <w:r>
                    <w:rPr>
                      <w:rFonts w:ascii="Avenir Next Condensed"/>
                      <w:spacing w:val="-2"/>
                      <w:sz w:val="20"/>
                    </w:rPr>
                    <w:t>objective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these</w:t>
                  </w:r>
                  <w:r>
                    <w:rPr>
                      <w:rFonts w:ascii="Avenir Next Condensed"/>
                      <w:spacing w:val="-4"/>
                      <w:sz w:val="20"/>
                    </w:rPr>
                    <w:t xml:space="preserve"> </w:t>
                  </w:r>
                  <w:r>
                    <w:rPr>
                      <w:rFonts w:ascii="Avenir Next Condensed"/>
                      <w:spacing w:val="-2"/>
                      <w:sz w:val="20"/>
                    </w:rPr>
                    <w:t>reforms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ensure</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pricing</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2"/>
                      <w:sz w:val="20"/>
                    </w:rPr>
                    <w:t>primarily</w:t>
                  </w:r>
                  <w:r>
                    <w:rPr>
                      <w:rFonts w:ascii="Avenir Next Condensed"/>
                      <w:spacing w:val="-4"/>
                      <w:sz w:val="20"/>
                    </w:rPr>
                    <w:t xml:space="preserve"> </w:t>
                  </w:r>
                  <w:r>
                    <w:rPr>
                      <w:rFonts w:ascii="Avenir Next Condensed"/>
                      <w:spacing w:val="-2"/>
                      <w:sz w:val="20"/>
                    </w:rPr>
                    <w:t>to</w:t>
                  </w:r>
                  <w:r>
                    <w:rPr>
                      <w:rFonts w:ascii="Avenir Next Condensed"/>
                      <w:spacing w:val="50"/>
                      <w:sz w:val="20"/>
                    </w:rPr>
                    <w:t xml:space="preserve"> </w:t>
                  </w:r>
                  <w:r>
                    <w:rPr>
                      <w:rFonts w:ascii="Avenir Next Condensed"/>
                      <w:spacing w:val="-2"/>
                      <w:sz w:val="20"/>
                    </w:rPr>
                    <w:t>achieve</w:t>
                  </w:r>
                  <w:r>
                    <w:rPr>
                      <w:rFonts w:ascii="Avenir Next Condensed"/>
                      <w:spacing w:val="-4"/>
                      <w:sz w:val="20"/>
                    </w:rPr>
                    <w:t xml:space="preserve"> </w:t>
                  </w:r>
                  <w:r>
                    <w:rPr>
                      <w:rFonts w:ascii="Avenir Next Condensed"/>
                      <w:spacing w:val="-2"/>
                      <w:sz w:val="20"/>
                    </w:rPr>
                    <w:t>economically</w:t>
                  </w:r>
                  <w:r>
                    <w:rPr>
                      <w:rFonts w:ascii="Avenir Next Condensed"/>
                      <w:spacing w:val="-4"/>
                      <w:sz w:val="20"/>
                    </w:rPr>
                    <w:t xml:space="preserve"> </w:t>
                  </w:r>
                  <w:r>
                    <w:rPr>
                      <w:rFonts w:ascii="Avenir Next Condensed"/>
                      <w:spacing w:val="-2"/>
                      <w:sz w:val="20"/>
                    </w:rPr>
                    <w:t>efficient water</w:t>
                  </w:r>
                  <w:r>
                    <w:rPr>
                      <w:rFonts w:ascii="Avenir Next Condensed"/>
                      <w:spacing w:val="-4"/>
                      <w:sz w:val="20"/>
                    </w:rPr>
                    <w:t xml:space="preserve"> </w:t>
                  </w:r>
                  <w:r>
                    <w:rPr>
                      <w:rFonts w:ascii="Avenir Next Condensed"/>
                      <w:spacing w:val="-2"/>
                      <w:sz w:val="20"/>
                    </w:rPr>
                    <w:t>use</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service</w:t>
                  </w:r>
                  <w:r>
                    <w:rPr>
                      <w:rFonts w:ascii="Avenir Next Condensed"/>
                      <w:spacing w:val="-4"/>
                      <w:sz w:val="20"/>
                    </w:rPr>
                    <w:t xml:space="preserve"> </w:t>
                  </w:r>
                  <w:r>
                    <w:rPr>
                      <w:rFonts w:ascii="Avenir Next Condensed"/>
                      <w:spacing w:val="-2"/>
                      <w:sz w:val="20"/>
                    </w:rPr>
                    <w:t>provision,</w:t>
                  </w:r>
                  <w:r>
                    <w:rPr>
                      <w:rFonts w:ascii="Avenir Next Condensed"/>
                      <w:spacing w:val="-10"/>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ensure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 xml:space="preserve">financial </w:t>
                  </w:r>
                  <w:r>
                    <w:rPr>
                      <w:rFonts w:ascii="Avenir Next Condensed"/>
                      <w:spacing w:val="-2"/>
                      <w:sz w:val="20"/>
                    </w:rPr>
                    <w:t>viability</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service</w:t>
                  </w:r>
                  <w:r>
                    <w:rPr>
                      <w:rFonts w:ascii="Avenir Next Condensed"/>
                      <w:spacing w:val="-4"/>
                      <w:sz w:val="20"/>
                    </w:rPr>
                    <w:t xml:space="preserve"> </w:t>
                  </w:r>
                  <w:r>
                    <w:rPr>
                      <w:rFonts w:ascii="Avenir Next Condensed"/>
                      <w:spacing w:val="-3"/>
                      <w:sz w:val="20"/>
                    </w:rPr>
                    <w:t>providers.</w:t>
                  </w:r>
                  <w:r>
                    <w:rPr>
                      <w:rFonts w:ascii="Avenir Next Condensed"/>
                      <w:spacing w:val="66"/>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agreed</w:t>
                  </w:r>
                  <w:r>
                    <w:rPr>
                      <w:rFonts w:ascii="Avenir Next Condensed"/>
                      <w:spacing w:val="-4"/>
                      <w:sz w:val="20"/>
                    </w:rPr>
                    <w:t xml:space="preserve"> </w:t>
                  </w:r>
                  <w:r>
                    <w:rPr>
                      <w:rFonts w:ascii="Avenir Next Condensed"/>
                      <w:spacing w:val="-2"/>
                      <w:sz w:val="20"/>
                    </w:rPr>
                    <w:t>pricing</w:t>
                  </w:r>
                  <w:r>
                    <w:rPr>
                      <w:rFonts w:ascii="Avenir Next Condensed"/>
                      <w:spacing w:val="-4"/>
                      <w:sz w:val="20"/>
                    </w:rPr>
                    <w:t xml:space="preserve"> </w:t>
                  </w:r>
                  <w:r>
                    <w:rPr>
                      <w:rFonts w:ascii="Avenir Next Condensed"/>
                      <w:spacing w:val="-2"/>
                      <w:sz w:val="20"/>
                    </w:rPr>
                    <w:t>reforms</w:t>
                  </w:r>
                  <w:r>
                    <w:rPr>
                      <w:rFonts w:ascii="Avenir Next Condensed"/>
                      <w:spacing w:val="-4"/>
                      <w:sz w:val="20"/>
                    </w:rPr>
                    <w:t xml:space="preserve"> </w:t>
                  </w:r>
                  <w:r>
                    <w:rPr>
                      <w:rFonts w:ascii="Avenir Next Condensed"/>
                      <w:spacing w:val="-2"/>
                      <w:sz w:val="20"/>
                    </w:rPr>
                    <w:t>entail</w:t>
                  </w:r>
                  <w:r>
                    <w:rPr>
                      <w:rFonts w:ascii="Avenir Next Condensed"/>
                      <w:spacing w:val="-4"/>
                      <w:sz w:val="20"/>
                    </w:rPr>
                    <w:t xml:space="preserve"> </w:t>
                  </w:r>
                  <w:r>
                    <w:rPr>
                      <w:rFonts w:ascii="Avenir Next Condensed"/>
                      <w:spacing w:val="-3"/>
                      <w:sz w:val="20"/>
                    </w:rPr>
                    <w:t>addressing:</w:t>
                  </w:r>
                </w:p>
                <w:p w:rsidR="008A79D5" w:rsidRDefault="008A79D5">
                  <w:pPr>
                    <w:numPr>
                      <w:ilvl w:val="0"/>
                      <w:numId w:val="112"/>
                    </w:numPr>
                    <w:tabs>
                      <w:tab w:val="left" w:pos="397"/>
                      <w:tab w:val="left" w:pos="5191"/>
                    </w:tabs>
                    <w:spacing w:before="113" w:line="260" w:lineRule="exact"/>
                    <w:ind w:right="661" w:hanging="22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overall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level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prices—to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ensure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full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efficient cost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providing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from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customers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(also</w:t>
                  </w:r>
                  <w:r>
                    <w:rPr>
                      <w:rFonts w:ascii="Avenir Next Condensed" w:eastAsia="Avenir Next Condensed" w:hAnsi="Avenir Next Condensed" w:cs="Avenir Next Condensed"/>
                      <w:spacing w:val="44"/>
                      <w:sz w:val="20"/>
                      <w:szCs w:val="20"/>
                    </w:rPr>
                    <w:t xml:space="preserve"> </w:t>
                  </w:r>
                  <w:r>
                    <w:rPr>
                      <w:rFonts w:ascii="Avenir Next Condensed" w:eastAsia="Avenir Next Condensed" w:hAnsi="Avenir Next Condensed" w:cs="Avenir Next Condensed"/>
                      <w:spacing w:val="-3"/>
                      <w:sz w:val="20"/>
                      <w:szCs w:val="20"/>
                    </w:rPr>
                    <w:t>referred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‘full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with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government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subsidies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made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transparent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gradually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removed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where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possible</w:t>
                  </w:r>
                </w:p>
                <w:p w:rsidR="008A79D5" w:rsidRDefault="008A79D5">
                  <w:pPr>
                    <w:numPr>
                      <w:ilvl w:val="0"/>
                      <w:numId w:val="112"/>
                    </w:numPr>
                    <w:tabs>
                      <w:tab w:val="left" w:pos="397"/>
                      <w:tab w:val="left" w:pos="830"/>
                      <w:tab w:val="left" w:pos="6422"/>
                    </w:tabs>
                    <w:spacing w:before="56" w:line="260" w:lineRule="exact"/>
                    <w:ind w:right="266" w:hanging="22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4"/>
                      <w:sz w:val="20"/>
                      <w:szCs w:val="20"/>
                    </w:rPr>
                    <w:t>the</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structure</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3"/>
                      <w:sz w:val="20"/>
                      <w:szCs w:val="20"/>
                    </w:rPr>
                    <w:t>of</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6"/>
                      <w:sz w:val="20"/>
                      <w:szCs w:val="20"/>
                    </w:rPr>
                    <w:t>tariffs—to</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introduce</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consumption-based</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charges</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3"/>
                      <w:sz w:val="20"/>
                      <w:szCs w:val="20"/>
                    </w:rPr>
                    <w:t>to</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provide</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5"/>
                      <w:sz w:val="20"/>
                      <w:szCs w:val="20"/>
                    </w:rPr>
                    <w:t>signal</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4"/>
                      <w:sz w:val="20"/>
                      <w:szCs w:val="20"/>
                    </w:rPr>
                    <w:t>for</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5"/>
                      <w:sz w:val="20"/>
                      <w:szCs w:val="20"/>
                    </w:rPr>
                    <w:t>efficient water</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5"/>
                      <w:sz w:val="20"/>
                      <w:szCs w:val="20"/>
                    </w:rPr>
                    <w:t>use,</w:t>
                  </w:r>
                  <w:r>
                    <w:rPr>
                      <w:rFonts w:ascii="Avenir Next Condensed" w:eastAsia="Avenir Next Condensed" w:hAnsi="Avenir Next Condensed" w:cs="Avenir Next Condensed"/>
                      <w:spacing w:val="-18"/>
                      <w:sz w:val="20"/>
                      <w:szCs w:val="20"/>
                    </w:rPr>
                    <w:t xml:space="preserve"> </w:t>
                  </w:r>
                  <w:r>
                    <w:rPr>
                      <w:rFonts w:ascii="Avenir Next Condensed" w:eastAsia="Avenir Next Condensed" w:hAnsi="Avenir Next Condensed" w:cs="Avenir Next Condensed"/>
                      <w:spacing w:val="-4"/>
                      <w:sz w:val="20"/>
                      <w:szCs w:val="20"/>
                    </w:rPr>
                    <w:t>and</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3"/>
                      <w:sz w:val="20"/>
                      <w:szCs w:val="20"/>
                    </w:rPr>
                    <w:t>to</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6"/>
                      <w:sz w:val="20"/>
                      <w:szCs w:val="20"/>
                    </w:rPr>
                    <w:t>ensure</w:t>
                  </w:r>
                  <w:r>
                    <w:rPr>
                      <w:rFonts w:ascii="Avenir Next Condensed" w:eastAsia="Avenir Next Condensed" w:hAnsi="Avenir Next Condensed" w:cs="Avenir Next Condensed"/>
                      <w:spacing w:val="-12"/>
                      <w:sz w:val="20"/>
                      <w:szCs w:val="20"/>
                    </w:rPr>
                    <w:t xml:space="preserve"> </w:t>
                  </w:r>
                  <w:r>
                    <w:rPr>
                      <w:rFonts w:ascii="Avenir Next Condensed" w:eastAsia="Avenir Next Condensed" w:hAnsi="Avenir Next Condensed" w:cs="Avenir Next Condensed"/>
                      <w:spacing w:val="-5"/>
                      <w:sz w:val="20"/>
                      <w:szCs w:val="20"/>
                    </w:rPr>
                    <w:t>that</w:t>
                  </w:r>
                  <w:r>
                    <w:rPr>
                      <w:rFonts w:ascii="Avenir Next Condensed" w:eastAsia="Avenir Next Condensed" w:hAnsi="Avenir Next Condensed" w:cs="Avenir Next Condensed"/>
                      <w:spacing w:val="-12"/>
                      <w:sz w:val="20"/>
                      <w:szCs w:val="20"/>
                    </w:rPr>
                    <w:t xml:space="preserve"> </w:t>
                  </w:r>
                  <w:r w:rsidRPr="0037199C">
                    <w:rPr>
                      <w:rFonts w:ascii="Avenir Next Condensed" w:eastAsia="Avenir Next Condensed" w:hAnsi="Avenir Next Condensed" w:cs="Avenir Next Condensed"/>
                      <w:spacing w:val="-6"/>
                      <w:sz w:val="20"/>
                      <w:szCs w:val="20"/>
                    </w:rPr>
                    <w:t xml:space="preserve">fixed </w:t>
                  </w:r>
                  <w:r>
                    <w:rPr>
                      <w:rFonts w:ascii="Avenir Next Condensed" w:eastAsia="Avenir Next Condensed" w:hAnsi="Avenir Next Condensed" w:cs="Avenir Next Condensed"/>
                      <w:spacing w:val="-7"/>
                      <w:sz w:val="20"/>
                      <w:szCs w:val="20"/>
                    </w:rPr>
                    <w:t>charges</w:t>
                  </w:r>
                  <w:r>
                    <w:rPr>
                      <w:rFonts w:ascii="Avenir Next Condensed" w:eastAsia="Avenir Next Condensed" w:hAnsi="Avenir Next Condensed" w:cs="Avenir Next Condensed"/>
                      <w:spacing w:val="79"/>
                      <w:sz w:val="20"/>
                      <w:szCs w:val="20"/>
                    </w:rPr>
                    <w:t xml:space="preserve"> </w:t>
                  </w:r>
                  <w:r>
                    <w:rPr>
                      <w:rFonts w:ascii="Avenir Next Condensed" w:eastAsia="Avenir Next Condensed" w:hAnsi="Avenir Next Condensed" w:cs="Avenir Next Condensed"/>
                      <w:spacing w:val="-4"/>
                      <w:sz w:val="20"/>
                      <w:szCs w:val="20"/>
                    </w:rPr>
                    <w:t>reflect the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fix</w:t>
                  </w:r>
                  <w:r>
                    <w:rPr>
                      <w:rFonts w:ascii="Avenir Next Condensed" w:eastAsia="Avenir Next Condensed" w:hAnsi="Avenir Next Condensed" w:cs="Avenir Next Condensed"/>
                      <w:spacing w:val="-3"/>
                      <w:sz w:val="20"/>
                      <w:szCs w:val="20"/>
                    </w:rPr>
                    <w:t>ed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costs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of</w:t>
                  </w:r>
                  <w:r>
                    <w:rPr>
                      <w:rFonts w:ascii="Avenir Next Condensed" w:eastAsia="Avenir Next Condensed" w:hAnsi="Avenir Next Condensed" w:cs="Avenir Next Condensed"/>
                      <w:spacing w:val="-6"/>
                      <w:sz w:val="20"/>
                      <w:szCs w:val="20"/>
                    </w:rPr>
                    <w:t xml:space="preserve"> </w:t>
                  </w:r>
                  <w:r>
                    <w:rPr>
                      <w:rFonts w:ascii="Avenir Next Condensed" w:eastAsia="Avenir Next Condensed" w:hAnsi="Avenir Next Condensed" w:cs="Avenir Next Condensed"/>
                      <w:spacing w:val="-5"/>
                      <w:sz w:val="20"/>
                      <w:szCs w:val="20"/>
                    </w:rPr>
                    <w:t>service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provision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(rather</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than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being</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based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on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property</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values,</w:t>
                  </w:r>
                  <w:r>
                    <w:rPr>
                      <w:rFonts w:ascii="Avenir Next Condensed" w:eastAsia="Avenir Next Condensed" w:hAnsi="Avenir Next Condensed" w:cs="Avenir Next Condensed"/>
                      <w:spacing w:val="-16"/>
                      <w:sz w:val="20"/>
                      <w:szCs w:val="20"/>
                    </w:rPr>
                    <w:t xml:space="preserve"> </w:t>
                  </w:r>
                  <w:r>
                    <w:rPr>
                      <w:rFonts w:ascii="Avenir Next Condensed" w:eastAsia="Avenir Next Condensed" w:hAnsi="Avenir Next Condensed" w:cs="Avenir Next Condensed"/>
                      <w:spacing w:val="-4"/>
                      <w:sz w:val="20"/>
                      <w:szCs w:val="20"/>
                    </w:rPr>
                    <w:t>which</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makes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them</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5"/>
                      <w:sz w:val="20"/>
                      <w:szCs w:val="20"/>
                    </w:rPr>
                    <w:t>more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akin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to</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tax),</w:t>
                  </w:r>
                  <w:r>
                    <w:rPr>
                      <w:rFonts w:ascii="Avenir Next Condensed" w:eastAsia="Avenir Next Condensed" w:hAnsi="Avenir Next Condensed" w:cs="Avenir Next Condensed"/>
                      <w:spacing w:val="-16"/>
                      <w:sz w:val="20"/>
                      <w:szCs w:val="20"/>
                    </w:rPr>
                    <w:t xml:space="preserve"> </w:t>
                  </w:r>
                  <w:r>
                    <w:rPr>
                      <w:rFonts w:ascii="Avenir Next Condensed" w:eastAsia="Avenir Next Condensed" w:hAnsi="Avenir Next Condensed" w:cs="Avenir Next Condensed"/>
                      <w:spacing w:val="-5"/>
                      <w:sz w:val="20"/>
                      <w:szCs w:val="20"/>
                    </w:rPr>
                    <w:t>and</w:t>
                  </w:r>
                </w:p>
                <w:p w:rsidR="008A79D5" w:rsidRDefault="008A79D5">
                  <w:pPr>
                    <w:numPr>
                      <w:ilvl w:val="0"/>
                      <w:numId w:val="112"/>
                    </w:numPr>
                    <w:tabs>
                      <w:tab w:val="left" w:pos="397"/>
                      <w:tab w:val="left" w:pos="3749"/>
                      <w:tab w:val="left" w:pos="8256"/>
                    </w:tabs>
                    <w:spacing w:before="56" w:line="260" w:lineRule="exact"/>
                    <w:ind w:right="236" w:hanging="22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4"/>
                      <w:sz w:val="20"/>
                      <w:szCs w:val="20"/>
                    </w:rPr>
                    <w:t>price-setting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processes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related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institutional</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arrangements—to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move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towards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independent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economic</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regulation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4"/>
                      <w:sz w:val="20"/>
                      <w:szCs w:val="20"/>
                    </w:rPr>
                    <w:t xml:space="preserve"> water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prices,</w:t>
                  </w:r>
                  <w:r>
                    <w:rPr>
                      <w:rFonts w:ascii="Avenir Next Condensed" w:eastAsia="Avenir Next Condensed" w:hAnsi="Avenir Next Condensed" w:cs="Avenir Next Condensed"/>
                      <w:spacing w:val="51"/>
                      <w:sz w:val="20"/>
                      <w:szCs w:val="20"/>
                    </w:rPr>
                    <w:t xml:space="preserve"> </w:t>
                  </w:r>
                  <w:r>
                    <w:rPr>
                      <w:rFonts w:ascii="Avenir Next Condensed" w:eastAsia="Avenir Next Condensed" w:hAnsi="Avenir Next Condensed" w:cs="Avenir Next Condensed"/>
                      <w:spacing w:val="-3"/>
                      <w:sz w:val="20"/>
                      <w:szCs w:val="20"/>
                    </w:rPr>
                    <w:t>with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regulators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aiming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ensure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only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efficient costs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recovered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through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prices,</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3"/>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those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costs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 xml:space="preserve">sufficient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provide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the</w:t>
                  </w:r>
                  <w:r>
                    <w:rPr>
                      <w:rFonts w:ascii="Avenir Next Condensed" w:eastAsia="Avenir Next Condensed" w:hAnsi="Avenir Next Condensed" w:cs="Avenir Next Condensed"/>
                      <w:spacing w:val="77"/>
                      <w:sz w:val="20"/>
                      <w:szCs w:val="20"/>
                    </w:rPr>
                    <w:t xml:space="preserve"> </w:t>
                  </w:r>
                  <w:r>
                    <w:rPr>
                      <w:rFonts w:ascii="Avenir Next Condensed" w:eastAsia="Avenir Next Condensed" w:hAnsi="Avenir Next Condensed" w:cs="Avenir Next Condensed"/>
                      <w:spacing w:val="-4"/>
                      <w:sz w:val="20"/>
                      <w:szCs w:val="20"/>
                    </w:rPr>
                    <w:t>levels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4"/>
                      <w:sz w:val="20"/>
                      <w:szCs w:val="20"/>
                    </w:rPr>
                    <w:t xml:space="preserve"> service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customers</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are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willing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pay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for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maintain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economic</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viability</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service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provider</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in</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long</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term.</w:t>
                  </w:r>
                </w:p>
              </w:txbxContent>
            </v:textbox>
          </v:shape>
        </w:pict>
      </w:r>
    </w:p>
    <w:p w:rsidR="00D96B91" w:rsidRDefault="00D96B91">
      <w:pPr>
        <w:spacing w:before="1"/>
        <w:rPr>
          <w:rFonts w:ascii="Avenir Next" w:eastAsia="Avenir Next" w:hAnsi="Avenir Next" w:cs="Avenir Next"/>
          <w:b/>
          <w:bCs/>
          <w:sz w:val="14"/>
          <w:szCs w:val="14"/>
        </w:rPr>
      </w:pPr>
    </w:p>
    <w:p w:rsidR="00D96B91" w:rsidRDefault="00C2656B">
      <w:pPr>
        <w:spacing w:before="57"/>
        <w:ind w:left="1247"/>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z w:val="16"/>
          <w:szCs w:val="16"/>
        </w:rPr>
        <w:t xml:space="preserve"> Based on </w:t>
      </w:r>
      <w:r>
        <w:rPr>
          <w:rFonts w:ascii="Avenir Next" w:eastAsia="Avenir Next" w:hAnsi="Avenir Next" w:cs="Avenir Next"/>
          <w:spacing w:val="-1"/>
          <w:sz w:val="16"/>
          <w:szCs w:val="16"/>
        </w:rPr>
        <w:t>National</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Commission,</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National</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Initiative</w:t>
      </w:r>
      <w:r>
        <w:rPr>
          <w:rFonts w:ascii="Avenir Next" w:eastAsia="Avenir Next" w:hAnsi="Avenir Next" w:cs="Avenir Next"/>
          <w:sz w:val="16"/>
          <w:szCs w:val="16"/>
        </w:rPr>
        <w:t xml:space="preserve"> – securing</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Australia’s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future:</w:t>
      </w:r>
      <w:r>
        <w:rPr>
          <w:rFonts w:ascii="Avenir Next" w:eastAsia="Avenir Next" w:hAnsi="Avenir Next" w:cs="Avenir Next"/>
          <w:sz w:val="16"/>
          <w:szCs w:val="16"/>
        </w:rPr>
        <w:t xml:space="preserve"> 2011 assessment</w:t>
      </w:r>
    </w:p>
    <w:p w:rsidR="00D96B91" w:rsidRDefault="00D96B91">
      <w:pPr>
        <w:rPr>
          <w:rFonts w:ascii="Avenir Next" w:eastAsia="Avenir Next" w:hAnsi="Avenir Next" w:cs="Avenir Next"/>
          <w:sz w:val="16"/>
          <w:szCs w:val="16"/>
        </w:rPr>
      </w:pPr>
    </w:p>
    <w:p w:rsidR="00D96B91" w:rsidRDefault="00C2656B">
      <w:pPr>
        <w:pStyle w:val="Heading4"/>
        <w:numPr>
          <w:ilvl w:val="0"/>
          <w:numId w:val="111"/>
        </w:numPr>
        <w:tabs>
          <w:tab w:val="left" w:pos="1570"/>
          <w:tab w:val="left" w:pos="2040"/>
        </w:tabs>
        <w:spacing w:before="123"/>
        <w:ind w:hanging="322"/>
      </w:pPr>
      <w:r>
        <w:rPr>
          <w:color w:val="0778BE"/>
        </w:rPr>
        <w:t>3</w:t>
      </w:r>
      <w:r>
        <w:rPr>
          <w:color w:val="0778BE"/>
        </w:rPr>
        <w:tab/>
        <w:t xml:space="preserve">Best </w:t>
      </w:r>
      <w:r>
        <w:rPr>
          <w:color w:val="0778BE"/>
          <w:spacing w:val="-1"/>
        </w:rPr>
        <w:t>practice</w:t>
      </w:r>
      <w:r>
        <w:rPr>
          <w:color w:val="0778BE"/>
        </w:rPr>
        <w:t xml:space="preserve"> </w:t>
      </w:r>
      <w:r>
        <w:rPr>
          <w:color w:val="0778BE"/>
          <w:spacing w:val="-1"/>
        </w:rPr>
        <w:t>regulatory</w:t>
      </w:r>
      <w:r>
        <w:rPr>
          <w:color w:val="0778BE"/>
        </w:rPr>
        <w:t xml:space="preserve"> principles</w:t>
      </w:r>
    </w:p>
    <w:p w:rsidR="00D96B91" w:rsidRDefault="00C2656B">
      <w:pPr>
        <w:pStyle w:val="BodyText"/>
        <w:spacing w:before="55" w:line="260" w:lineRule="exact"/>
        <w:ind w:right="1256"/>
        <w:rPr>
          <w:rFonts w:cs="Avenir Next"/>
        </w:rPr>
      </w:pPr>
      <w:r>
        <w:rPr>
          <w:spacing w:val="-2"/>
        </w:rPr>
        <w:t>The</w:t>
      </w:r>
      <w:r>
        <w:t xml:space="preserve"> </w:t>
      </w:r>
      <w:r>
        <w:rPr>
          <w:spacing w:val="-3"/>
        </w:rPr>
        <w:t>Panel</w:t>
      </w:r>
      <w:r>
        <w:t xml:space="preserve"> considers it </w:t>
      </w:r>
      <w:r>
        <w:rPr>
          <w:spacing w:val="-1"/>
        </w:rPr>
        <w:t>appropriate</w:t>
      </w:r>
      <w:r>
        <w:t xml:space="preserve"> for its decisions to be guided by best </w:t>
      </w:r>
      <w:r>
        <w:rPr>
          <w:spacing w:val="-1"/>
        </w:rPr>
        <w:t>practice</w:t>
      </w:r>
      <w:r>
        <w:t xml:space="preserve"> </w:t>
      </w:r>
      <w:r>
        <w:rPr>
          <w:spacing w:val="-1"/>
        </w:rPr>
        <w:t>regulatory</w:t>
      </w:r>
      <w:r>
        <w:t xml:space="preserve"> principles</w:t>
      </w:r>
      <w:r>
        <w:rPr>
          <w:spacing w:val="39"/>
        </w:rPr>
        <w:t xml:space="preserve"> </w:t>
      </w:r>
      <w:r>
        <w:t>as,</w:t>
      </w:r>
      <w:r>
        <w:rPr>
          <w:spacing w:val="-6"/>
        </w:rPr>
        <w:t xml:space="preserve"> </w:t>
      </w:r>
      <w:r>
        <w:rPr>
          <w:i/>
        </w:rPr>
        <w:t>inter alia</w:t>
      </w:r>
      <w:r>
        <w:t>,</w:t>
      </w:r>
      <w:r>
        <w:rPr>
          <w:spacing w:val="-6"/>
        </w:rPr>
        <w:t xml:space="preserve"> </w:t>
      </w:r>
      <w:r>
        <w:t xml:space="preserve">this will help to </w:t>
      </w:r>
      <w:r>
        <w:rPr>
          <w:spacing w:val="-1"/>
        </w:rPr>
        <w:t>ensure</w:t>
      </w:r>
      <w:r>
        <w:t xml:space="preserve"> </w:t>
      </w:r>
      <w:r>
        <w:rPr>
          <w:spacing w:val="-1"/>
        </w:rPr>
        <w:t>that</w:t>
      </w:r>
      <w:r>
        <w:t xml:space="preserve"> its decisions </w:t>
      </w:r>
      <w:r>
        <w:rPr>
          <w:spacing w:val="-2"/>
        </w:rPr>
        <w:t>are</w:t>
      </w:r>
      <w:r>
        <w:t xml:space="preserve"> </w:t>
      </w:r>
      <w:r>
        <w:rPr>
          <w:spacing w:val="-1"/>
        </w:rPr>
        <w:t>robust</w:t>
      </w:r>
      <w:r>
        <w:t xml:space="preserve"> and stand up to </w:t>
      </w:r>
      <w:r>
        <w:rPr>
          <w:spacing w:val="-1"/>
        </w:rPr>
        <w:t>scrutiny.</w:t>
      </w:r>
      <w:r>
        <w:rPr>
          <w:spacing w:val="-11"/>
        </w:rPr>
        <w:t xml:space="preserve"> </w:t>
      </w:r>
      <w:r>
        <w:rPr>
          <w:spacing w:val="-1"/>
        </w:rPr>
        <w:t>These</w:t>
      </w:r>
      <w:r>
        <w:rPr>
          <w:spacing w:val="21"/>
        </w:rPr>
        <w:t xml:space="preserve"> </w:t>
      </w:r>
      <w:r>
        <w:t>principles include the following:</w:t>
      </w:r>
    </w:p>
    <w:p w:rsidR="00D96B91" w:rsidRDefault="00C2656B">
      <w:pPr>
        <w:pStyle w:val="BodyText"/>
        <w:numPr>
          <w:ilvl w:val="0"/>
          <w:numId w:val="131"/>
        </w:numPr>
        <w:tabs>
          <w:tab w:val="left" w:pos="1531"/>
        </w:tabs>
        <w:spacing w:before="170" w:line="260" w:lineRule="exact"/>
        <w:ind w:right="1270" w:hanging="283"/>
      </w:pPr>
      <w:r>
        <w:rPr>
          <w:b/>
          <w:spacing w:val="-1"/>
        </w:rPr>
        <w:t>Regulation</w:t>
      </w:r>
      <w:r>
        <w:rPr>
          <w:b/>
        </w:rPr>
        <w:t xml:space="preserve"> should be cost </w:t>
      </w:r>
      <w:r>
        <w:rPr>
          <w:b/>
          <w:spacing w:val="-1"/>
        </w:rPr>
        <w:t>effective,</w:t>
      </w:r>
      <w:r>
        <w:rPr>
          <w:b/>
          <w:spacing w:val="-7"/>
        </w:rPr>
        <w:t xml:space="preserve"> </w:t>
      </w:r>
      <w:r>
        <w:rPr>
          <w:b/>
          <w:spacing w:val="-1"/>
        </w:rPr>
        <w:t>transparent,</w:t>
      </w:r>
      <w:r>
        <w:rPr>
          <w:b/>
          <w:spacing w:val="-6"/>
        </w:rPr>
        <w:t xml:space="preserve"> </w:t>
      </w:r>
      <w:r>
        <w:rPr>
          <w:b/>
        </w:rPr>
        <w:t>accountable,</w:t>
      </w:r>
      <w:r>
        <w:rPr>
          <w:b/>
          <w:spacing w:val="-6"/>
        </w:rPr>
        <w:t xml:space="preserve"> </w:t>
      </w:r>
      <w:r>
        <w:rPr>
          <w:b/>
          <w:spacing w:val="-1"/>
        </w:rPr>
        <w:t>proportionate</w:t>
      </w:r>
      <w:r>
        <w:rPr>
          <w:b/>
        </w:rPr>
        <w:t xml:space="preserve"> and </w:t>
      </w:r>
      <w:r>
        <w:rPr>
          <w:b/>
          <w:spacing w:val="-1"/>
        </w:rPr>
        <w:t>targeted.</w:t>
      </w:r>
      <w:r>
        <w:rPr>
          <w:b/>
          <w:spacing w:val="-7"/>
        </w:rPr>
        <w:t xml:space="preserve"> </w:t>
      </w:r>
      <w:r>
        <w:rPr>
          <w:spacing w:val="-2"/>
        </w:rPr>
        <w:t>The</w:t>
      </w:r>
      <w:r>
        <w:rPr>
          <w:spacing w:val="51"/>
        </w:rPr>
        <w:t xml:space="preserve"> </w:t>
      </w:r>
      <w:r>
        <w:t>costs of</w:t>
      </w:r>
      <w:r>
        <w:rPr>
          <w:spacing w:val="4"/>
        </w:rPr>
        <w:t xml:space="preserve"> </w:t>
      </w:r>
      <w:r>
        <w:t xml:space="preserve">economic </w:t>
      </w:r>
      <w:r>
        <w:rPr>
          <w:spacing w:val="-1"/>
        </w:rPr>
        <w:t>regulation</w:t>
      </w:r>
      <w:r>
        <w:t xml:space="preserve"> </w:t>
      </w:r>
      <w:r>
        <w:rPr>
          <w:spacing w:val="-2"/>
        </w:rPr>
        <w:t>are</w:t>
      </w:r>
      <w:r>
        <w:t xml:space="preserve"> </w:t>
      </w:r>
      <w:r>
        <w:rPr>
          <w:spacing w:val="-1"/>
        </w:rPr>
        <w:t>ultimately</w:t>
      </w:r>
      <w:r>
        <w:t xml:space="preserve"> borne by customers.</w:t>
      </w:r>
      <w:r>
        <w:rPr>
          <w:spacing w:val="-7"/>
        </w:rPr>
        <w:t xml:space="preserve"> </w:t>
      </w:r>
      <w:r>
        <w:rPr>
          <w:spacing w:val="-1"/>
        </w:rPr>
        <w:t>Cost-effective</w:t>
      </w:r>
      <w:r>
        <w:t xml:space="preserve"> </w:t>
      </w:r>
      <w:r>
        <w:rPr>
          <w:spacing w:val="-1"/>
        </w:rPr>
        <w:t>regulation</w:t>
      </w:r>
      <w:r>
        <w:t xml:space="preserve"> </w:t>
      </w:r>
      <w:r>
        <w:rPr>
          <w:spacing w:val="-1"/>
        </w:rPr>
        <w:t>means</w:t>
      </w:r>
      <w:r>
        <w:t xml:space="preserve"> the</w:t>
      </w:r>
      <w:r>
        <w:rPr>
          <w:spacing w:val="57"/>
        </w:rPr>
        <w:t xml:space="preserve"> </w:t>
      </w:r>
      <w:r>
        <w:t>long-term</w:t>
      </w:r>
      <w:r>
        <w:rPr>
          <w:spacing w:val="-1"/>
        </w:rPr>
        <w:t xml:space="preserve"> </w:t>
      </w:r>
      <w:r>
        <w:t>benefits</w:t>
      </w:r>
      <w:r>
        <w:rPr>
          <w:spacing w:val="-1"/>
        </w:rPr>
        <w:t xml:space="preserve"> </w:t>
      </w:r>
      <w:r>
        <w:t>to customers</w:t>
      </w:r>
      <w:r>
        <w:rPr>
          <w:spacing w:val="-1"/>
        </w:rPr>
        <w:t xml:space="preserve"> </w:t>
      </w:r>
      <w:r>
        <w:t>of</w:t>
      </w:r>
      <w:r>
        <w:rPr>
          <w:spacing w:val="3"/>
        </w:rPr>
        <w:t xml:space="preserve"> </w:t>
      </w:r>
      <w:r>
        <w:rPr>
          <w:spacing w:val="-1"/>
        </w:rPr>
        <w:t>regulation</w:t>
      </w:r>
      <w:r>
        <w:t xml:space="preserve"> </w:t>
      </w:r>
      <w:r>
        <w:rPr>
          <w:spacing w:val="-1"/>
        </w:rPr>
        <w:t xml:space="preserve">exceed </w:t>
      </w:r>
      <w:r>
        <w:t>the costs.</w:t>
      </w:r>
      <w:r>
        <w:rPr>
          <w:spacing w:val="-12"/>
        </w:rPr>
        <w:t xml:space="preserve"> </w:t>
      </w:r>
      <w:r>
        <w:rPr>
          <w:spacing w:val="-3"/>
        </w:rPr>
        <w:t>Transparent</w:t>
      </w:r>
      <w:r>
        <w:rPr>
          <w:spacing w:val="-1"/>
        </w:rPr>
        <w:t xml:space="preserve"> means</w:t>
      </w:r>
      <w:r>
        <w:t xml:space="preserve"> </w:t>
      </w:r>
      <w:r>
        <w:rPr>
          <w:spacing w:val="-1"/>
        </w:rPr>
        <w:t>that regulators</w:t>
      </w:r>
      <w:r>
        <w:rPr>
          <w:spacing w:val="45"/>
        </w:rPr>
        <w:t xml:space="preserve"> </w:t>
      </w:r>
      <w:r>
        <w:t>should be open,</w:t>
      </w:r>
      <w:r>
        <w:rPr>
          <w:spacing w:val="-6"/>
        </w:rPr>
        <w:t xml:space="preserve"> </w:t>
      </w:r>
      <w:r>
        <w:t xml:space="preserve">and </w:t>
      </w:r>
      <w:r>
        <w:rPr>
          <w:spacing w:val="-1"/>
        </w:rPr>
        <w:t>keep</w:t>
      </w:r>
      <w:r>
        <w:t xml:space="preserve"> </w:t>
      </w:r>
      <w:r>
        <w:rPr>
          <w:spacing w:val="-1"/>
        </w:rPr>
        <w:t>regulations</w:t>
      </w:r>
      <w:r>
        <w:t xml:space="preserve"> simple and </w:t>
      </w:r>
      <w:r>
        <w:rPr>
          <w:spacing w:val="-2"/>
        </w:rPr>
        <w:t>clear.</w:t>
      </w:r>
      <w:r>
        <w:rPr>
          <w:spacing w:val="-10"/>
        </w:rPr>
        <w:t xml:space="preserve"> </w:t>
      </w:r>
      <w:r>
        <w:t xml:space="preserve">Accountable </w:t>
      </w:r>
      <w:r>
        <w:rPr>
          <w:spacing w:val="-1"/>
        </w:rPr>
        <w:t>means</w:t>
      </w:r>
      <w:r>
        <w:t xml:space="preserve"> </w:t>
      </w:r>
      <w:r>
        <w:rPr>
          <w:spacing w:val="-1"/>
        </w:rPr>
        <w:t>that</w:t>
      </w:r>
      <w:r>
        <w:t xml:space="preserve"> </w:t>
      </w:r>
      <w:r>
        <w:rPr>
          <w:spacing w:val="-1"/>
        </w:rPr>
        <w:t>regulators</w:t>
      </w:r>
      <w:r>
        <w:t xml:space="preserve"> should</w:t>
      </w:r>
      <w:r>
        <w:rPr>
          <w:spacing w:val="29"/>
        </w:rPr>
        <w:t xml:space="preserve"> </w:t>
      </w:r>
      <w:r>
        <w:t xml:space="preserve">be able to justify decisions and be subject to public </w:t>
      </w:r>
      <w:r>
        <w:rPr>
          <w:spacing w:val="-1"/>
        </w:rPr>
        <w:t>scrutiny.</w:t>
      </w:r>
      <w:r>
        <w:rPr>
          <w:spacing w:val="-6"/>
        </w:rPr>
        <w:t xml:space="preserve"> </w:t>
      </w:r>
      <w:r>
        <w:rPr>
          <w:spacing w:val="-2"/>
        </w:rPr>
        <w:t>Proportionate</w:t>
      </w:r>
      <w:r>
        <w:t xml:space="preserve"> </w:t>
      </w:r>
      <w:r>
        <w:rPr>
          <w:spacing w:val="-1"/>
        </w:rPr>
        <w:t>means</w:t>
      </w:r>
      <w:r>
        <w:t xml:space="preserve"> </w:t>
      </w:r>
      <w:r>
        <w:rPr>
          <w:spacing w:val="-1"/>
        </w:rPr>
        <w:t>that</w:t>
      </w:r>
      <w:r>
        <w:t xml:space="preserve"> </w:t>
      </w:r>
      <w:r>
        <w:rPr>
          <w:spacing w:val="-1"/>
        </w:rPr>
        <w:t>regulators</w:t>
      </w:r>
      <w:r>
        <w:rPr>
          <w:spacing w:val="35"/>
        </w:rPr>
        <w:t xml:space="preserve"> </w:t>
      </w:r>
      <w:r>
        <w:t xml:space="preserve">should intervene only when </w:t>
      </w:r>
      <w:r>
        <w:rPr>
          <w:spacing w:val="-1"/>
        </w:rPr>
        <w:t>necessary,</w:t>
      </w:r>
      <w:r>
        <w:rPr>
          <w:spacing w:val="-6"/>
        </w:rPr>
        <w:t xml:space="preserve"> </w:t>
      </w:r>
      <w:r>
        <w:rPr>
          <w:spacing w:val="-1"/>
        </w:rPr>
        <w:t>that</w:t>
      </w:r>
      <w:r>
        <w:t xml:space="preserve"> </w:t>
      </w:r>
      <w:r>
        <w:rPr>
          <w:spacing w:val="-1"/>
        </w:rPr>
        <w:t>remedies</w:t>
      </w:r>
      <w:r>
        <w:t xml:space="preserve"> or mechanisms </w:t>
      </w:r>
      <w:r>
        <w:rPr>
          <w:spacing w:val="-2"/>
        </w:rPr>
        <w:t>are</w:t>
      </w:r>
      <w:r>
        <w:t xml:space="preserve"> </w:t>
      </w:r>
      <w:r>
        <w:rPr>
          <w:spacing w:val="-1"/>
        </w:rPr>
        <w:t>appropriate</w:t>
      </w:r>
      <w:r>
        <w:t xml:space="preserve"> to the risk</w:t>
      </w:r>
      <w:r>
        <w:rPr>
          <w:spacing w:val="31"/>
        </w:rPr>
        <w:t xml:space="preserve"> </w:t>
      </w:r>
      <w:r>
        <w:t>posed,</w:t>
      </w:r>
      <w:r>
        <w:rPr>
          <w:spacing w:val="-7"/>
        </w:rPr>
        <w:t xml:space="preserve"> </w:t>
      </w:r>
      <w:r>
        <w:t>and</w:t>
      </w:r>
      <w:r>
        <w:rPr>
          <w:spacing w:val="-1"/>
        </w:rPr>
        <w:t xml:space="preserve"> that</w:t>
      </w:r>
      <w:r>
        <w:t xml:space="preserve"> costs</w:t>
      </w:r>
      <w:r>
        <w:rPr>
          <w:spacing w:val="-1"/>
        </w:rPr>
        <w:t xml:space="preserve"> </w:t>
      </w:r>
      <w:r>
        <w:rPr>
          <w:spacing w:val="-2"/>
        </w:rPr>
        <w:t>are</w:t>
      </w:r>
      <w:r>
        <w:t xml:space="preserve"> identified</w:t>
      </w:r>
      <w:r>
        <w:rPr>
          <w:spacing w:val="-1"/>
        </w:rPr>
        <w:t xml:space="preserve"> </w:t>
      </w:r>
      <w:r>
        <w:t>and minimised.</w:t>
      </w:r>
      <w:r>
        <w:rPr>
          <w:spacing w:val="-12"/>
        </w:rPr>
        <w:t xml:space="preserve"> </w:t>
      </w:r>
      <w:r>
        <w:rPr>
          <w:spacing w:val="-2"/>
        </w:rPr>
        <w:t>There</w:t>
      </w:r>
      <w:r>
        <w:t xml:space="preserve"> should</w:t>
      </w:r>
      <w:r>
        <w:rPr>
          <w:spacing w:val="-1"/>
        </w:rPr>
        <w:t xml:space="preserve"> </w:t>
      </w:r>
      <w:r>
        <w:t>also be</w:t>
      </w:r>
      <w:r>
        <w:rPr>
          <w:spacing w:val="-1"/>
        </w:rPr>
        <w:t xml:space="preserve"> </w:t>
      </w:r>
      <w:r>
        <w:t>a</w:t>
      </w:r>
      <w:r>
        <w:rPr>
          <w:spacing w:val="-1"/>
        </w:rPr>
        <w:t xml:space="preserve"> clear</w:t>
      </w:r>
      <w:r>
        <w:t xml:space="preserve"> </w:t>
      </w:r>
      <w:r>
        <w:rPr>
          <w:spacing w:val="-1"/>
        </w:rPr>
        <w:t xml:space="preserve">match </w:t>
      </w:r>
      <w:r>
        <w:t>between the</w:t>
      </w:r>
      <w:r>
        <w:rPr>
          <w:spacing w:val="25"/>
        </w:rPr>
        <w:t xml:space="preserve"> </w:t>
      </w:r>
      <w:r>
        <w:t>choice of</w:t>
      </w:r>
      <w:r>
        <w:rPr>
          <w:spacing w:val="4"/>
        </w:rPr>
        <w:t xml:space="preserve"> </w:t>
      </w:r>
      <w:r>
        <w:rPr>
          <w:spacing w:val="-1"/>
        </w:rPr>
        <w:t>remedy/mechanism</w:t>
      </w:r>
      <w:r>
        <w:t xml:space="preserve"> and the </w:t>
      </w:r>
      <w:r>
        <w:rPr>
          <w:spacing w:val="-1"/>
        </w:rPr>
        <w:t>regulatory</w:t>
      </w:r>
      <w:r>
        <w:t xml:space="preserve"> objectives.</w:t>
      </w:r>
      <w:r>
        <w:rPr>
          <w:spacing w:val="-11"/>
        </w:rPr>
        <w:t xml:space="preserve"> </w:t>
      </w:r>
      <w:r>
        <w:rPr>
          <w:spacing w:val="-3"/>
        </w:rPr>
        <w:t>Targeted</w:t>
      </w:r>
      <w:r>
        <w:t xml:space="preserve"> </w:t>
      </w:r>
      <w:r>
        <w:rPr>
          <w:spacing w:val="-1"/>
        </w:rPr>
        <w:t>means</w:t>
      </w:r>
      <w:r>
        <w:t xml:space="preserve"> </w:t>
      </w:r>
      <w:r>
        <w:rPr>
          <w:spacing w:val="-1"/>
        </w:rPr>
        <w:t>that</w:t>
      </w:r>
      <w:r>
        <w:t xml:space="preserve"> </w:t>
      </w:r>
      <w:r>
        <w:rPr>
          <w:spacing w:val="-1"/>
        </w:rPr>
        <w:t>regulation</w:t>
      </w:r>
      <w:r>
        <w:t xml:space="preserve"> should</w:t>
      </w:r>
      <w:r>
        <w:rPr>
          <w:spacing w:val="51"/>
        </w:rPr>
        <w:t xml:space="preserve"> </w:t>
      </w:r>
      <w:r>
        <w:t xml:space="preserve">be focused on the </w:t>
      </w:r>
      <w:r>
        <w:rPr>
          <w:spacing w:val="-1"/>
        </w:rPr>
        <w:t>problem</w:t>
      </w:r>
      <w:r>
        <w:t xml:space="preserve"> and minimise </w:t>
      </w:r>
      <w:r>
        <w:rPr>
          <w:spacing w:val="-1"/>
        </w:rPr>
        <w:t>side-effects.</w:t>
      </w:r>
    </w:p>
    <w:p w:rsidR="00D96B91" w:rsidRDefault="00C2656B">
      <w:pPr>
        <w:numPr>
          <w:ilvl w:val="0"/>
          <w:numId w:val="131"/>
        </w:numPr>
        <w:tabs>
          <w:tab w:val="left" w:pos="1531"/>
        </w:tabs>
        <w:spacing w:before="85" w:line="260" w:lineRule="exact"/>
        <w:ind w:right="1458" w:hanging="283"/>
        <w:rPr>
          <w:rFonts w:ascii="Avenir Next" w:eastAsia="Avenir Next" w:hAnsi="Avenir Next" w:cs="Avenir Next"/>
          <w:sz w:val="20"/>
          <w:szCs w:val="20"/>
        </w:rPr>
      </w:pPr>
      <w:r>
        <w:rPr>
          <w:rFonts w:ascii="Avenir Next"/>
          <w:b/>
          <w:spacing w:val="-1"/>
          <w:sz w:val="20"/>
        </w:rPr>
        <w:t>Regulation</w:t>
      </w:r>
      <w:r>
        <w:rPr>
          <w:rFonts w:ascii="Avenir Next"/>
          <w:b/>
          <w:sz w:val="20"/>
        </w:rPr>
        <w:t xml:space="preserve"> can adapt,</w:t>
      </w:r>
      <w:r>
        <w:rPr>
          <w:rFonts w:ascii="Avenir Next"/>
          <w:b/>
          <w:spacing w:val="-7"/>
          <w:sz w:val="20"/>
        </w:rPr>
        <w:t xml:space="preserve"> </w:t>
      </w:r>
      <w:r>
        <w:rPr>
          <w:rFonts w:ascii="Avenir Next"/>
          <w:b/>
          <w:sz w:val="20"/>
        </w:rPr>
        <w:t xml:space="preserve">but it should be </w:t>
      </w:r>
      <w:r>
        <w:rPr>
          <w:rFonts w:ascii="Avenir Next"/>
          <w:b/>
          <w:spacing w:val="-1"/>
          <w:sz w:val="20"/>
        </w:rPr>
        <w:t>predictable.</w:t>
      </w:r>
      <w:r>
        <w:rPr>
          <w:rFonts w:ascii="Avenir Next"/>
          <w:b/>
          <w:spacing w:val="-6"/>
          <w:sz w:val="20"/>
        </w:rPr>
        <w:t xml:space="preserve"> </w:t>
      </w:r>
      <w:r>
        <w:rPr>
          <w:rFonts w:ascii="Avenir Next"/>
          <w:sz w:val="20"/>
        </w:rPr>
        <w:t xml:space="preserve">Economic </w:t>
      </w:r>
      <w:r>
        <w:rPr>
          <w:rFonts w:ascii="Avenir Next"/>
          <w:spacing w:val="-1"/>
          <w:sz w:val="20"/>
        </w:rPr>
        <w:t>regulation</w:t>
      </w:r>
      <w:r>
        <w:rPr>
          <w:rFonts w:ascii="Avenir Next"/>
          <w:sz w:val="20"/>
        </w:rPr>
        <w:t xml:space="preserve"> should have the capacity</w:t>
      </w:r>
      <w:r>
        <w:rPr>
          <w:rFonts w:ascii="Avenir Next"/>
          <w:spacing w:val="33"/>
          <w:sz w:val="20"/>
        </w:rPr>
        <w:t xml:space="preserve"> </w:t>
      </w:r>
      <w:r>
        <w:rPr>
          <w:rFonts w:ascii="Avenir Next"/>
          <w:sz w:val="20"/>
        </w:rPr>
        <w:t>to evolve,</w:t>
      </w:r>
      <w:r>
        <w:rPr>
          <w:rFonts w:ascii="Avenir Next"/>
          <w:spacing w:val="-6"/>
          <w:sz w:val="20"/>
        </w:rPr>
        <w:t xml:space="preserve"> </w:t>
      </w:r>
      <w:r>
        <w:rPr>
          <w:rFonts w:ascii="Avenir Next"/>
          <w:spacing w:val="-1"/>
          <w:sz w:val="20"/>
        </w:rPr>
        <w:t>respond</w:t>
      </w:r>
      <w:r>
        <w:rPr>
          <w:rFonts w:ascii="Avenir Next"/>
          <w:sz w:val="20"/>
        </w:rPr>
        <w:t xml:space="preserve"> to changing </w:t>
      </w:r>
      <w:r>
        <w:rPr>
          <w:rFonts w:ascii="Avenir Next"/>
          <w:spacing w:val="-1"/>
          <w:sz w:val="20"/>
        </w:rPr>
        <w:t>circumstances</w:t>
      </w:r>
      <w:r>
        <w:rPr>
          <w:rFonts w:ascii="Avenir Next"/>
          <w:sz w:val="20"/>
        </w:rPr>
        <w:t xml:space="preserve"> and continue to be </w:t>
      </w:r>
      <w:r>
        <w:rPr>
          <w:rFonts w:ascii="Avenir Next"/>
          <w:spacing w:val="-1"/>
          <w:sz w:val="20"/>
        </w:rPr>
        <w:t>relevant</w:t>
      </w:r>
      <w:r>
        <w:rPr>
          <w:rFonts w:ascii="Avenir Next"/>
          <w:sz w:val="20"/>
        </w:rPr>
        <w:t xml:space="preserve"> and </w:t>
      </w:r>
      <w:r>
        <w:rPr>
          <w:rFonts w:ascii="Avenir Next"/>
          <w:spacing w:val="-1"/>
          <w:sz w:val="20"/>
        </w:rPr>
        <w:t>effective</w:t>
      </w:r>
      <w:r>
        <w:rPr>
          <w:rFonts w:ascii="Avenir Next"/>
          <w:sz w:val="20"/>
        </w:rPr>
        <w:t xml:space="preserve"> over time.</w:t>
      </w:r>
    </w:p>
    <w:p w:rsidR="00D96B91" w:rsidRDefault="00C2656B">
      <w:pPr>
        <w:pStyle w:val="BodyText"/>
        <w:spacing w:line="260" w:lineRule="exact"/>
        <w:ind w:left="1530" w:right="1705"/>
      </w:pPr>
      <w:r>
        <w:rPr>
          <w:spacing w:val="-2"/>
        </w:rPr>
        <w:t>However,</w:t>
      </w:r>
      <w:r>
        <w:rPr>
          <w:spacing w:val="-6"/>
        </w:rPr>
        <w:t xml:space="preserve"> </w:t>
      </w:r>
      <w:r>
        <w:rPr>
          <w:spacing w:val="-1"/>
        </w:rPr>
        <w:t>regulation</w:t>
      </w:r>
      <w:r>
        <w:t xml:space="preserve"> should </w:t>
      </w:r>
      <w:r>
        <w:rPr>
          <w:spacing w:val="-1"/>
        </w:rPr>
        <w:t>provide</w:t>
      </w:r>
      <w:r>
        <w:t xml:space="preserve"> a stable,</w:t>
      </w:r>
      <w:r>
        <w:rPr>
          <w:spacing w:val="-6"/>
        </w:rPr>
        <w:t xml:space="preserve"> </w:t>
      </w:r>
      <w:r>
        <w:rPr>
          <w:spacing w:val="-1"/>
        </w:rPr>
        <w:t>predictable</w:t>
      </w:r>
      <w:r>
        <w:t xml:space="preserve"> and objective </w:t>
      </w:r>
      <w:r>
        <w:rPr>
          <w:spacing w:val="-1"/>
        </w:rPr>
        <w:t>environment</w:t>
      </w:r>
      <w:r>
        <w:t xml:space="preserve"> enabling</w:t>
      </w:r>
      <w:r>
        <w:rPr>
          <w:spacing w:val="55"/>
        </w:rPr>
        <w:t xml:space="preserve"> </w:t>
      </w:r>
      <w:r>
        <w:t>all</w:t>
      </w:r>
      <w:r>
        <w:rPr>
          <w:spacing w:val="-1"/>
        </w:rPr>
        <w:t xml:space="preserve"> </w:t>
      </w:r>
      <w:r>
        <w:t xml:space="preserve">those </w:t>
      </w:r>
      <w:r>
        <w:rPr>
          <w:spacing w:val="-1"/>
        </w:rPr>
        <w:t xml:space="preserve">affected </w:t>
      </w:r>
      <w:r>
        <w:t xml:space="preserve">to </w:t>
      </w:r>
      <w:r>
        <w:rPr>
          <w:spacing w:val="-1"/>
        </w:rPr>
        <w:t>anticipate</w:t>
      </w:r>
      <w:r>
        <w:t xml:space="preserve"> the</w:t>
      </w:r>
      <w:r>
        <w:rPr>
          <w:spacing w:val="-1"/>
        </w:rPr>
        <w:t xml:space="preserve"> context</w:t>
      </w:r>
      <w:r>
        <w:t xml:space="preserve"> for</w:t>
      </w:r>
      <w:r>
        <w:rPr>
          <w:spacing w:val="-1"/>
        </w:rPr>
        <w:t xml:space="preserve"> future</w:t>
      </w:r>
      <w:r>
        <w:t xml:space="preserve"> decisions and</w:t>
      </w:r>
      <w:r>
        <w:rPr>
          <w:spacing w:val="-1"/>
        </w:rPr>
        <w:t xml:space="preserve"> </w:t>
      </w:r>
      <w:r>
        <w:t xml:space="preserve">to </w:t>
      </w:r>
      <w:r>
        <w:rPr>
          <w:spacing w:val="-1"/>
        </w:rPr>
        <w:t>make efficient</w:t>
      </w:r>
      <w:r>
        <w:t xml:space="preserve"> long-term</w:t>
      </w:r>
      <w:r>
        <w:rPr>
          <w:spacing w:val="49"/>
        </w:rPr>
        <w:t xml:space="preserve"> </w:t>
      </w:r>
      <w:r>
        <w:t>investment</w:t>
      </w:r>
      <w:r>
        <w:rPr>
          <w:spacing w:val="-1"/>
        </w:rPr>
        <w:t xml:space="preserve"> </w:t>
      </w:r>
      <w:r>
        <w:t>decisions</w:t>
      </w:r>
      <w:r>
        <w:rPr>
          <w:spacing w:val="-1"/>
        </w:rPr>
        <w:t xml:space="preserve"> </w:t>
      </w:r>
      <w:r>
        <w:t>with</w:t>
      </w:r>
      <w:r>
        <w:rPr>
          <w:spacing w:val="-1"/>
        </w:rPr>
        <w:t xml:space="preserve"> </w:t>
      </w:r>
      <w:r>
        <w:t>confidence.</w:t>
      </w:r>
      <w:r>
        <w:rPr>
          <w:spacing w:val="-8"/>
        </w:rPr>
        <w:t xml:space="preserve"> </w:t>
      </w:r>
      <w:r>
        <w:t>Decisions</w:t>
      </w:r>
      <w:r>
        <w:rPr>
          <w:spacing w:val="-1"/>
        </w:rPr>
        <w:t xml:space="preserve"> </w:t>
      </w:r>
      <w:r>
        <w:t>should</w:t>
      </w:r>
      <w:r>
        <w:rPr>
          <w:spacing w:val="-1"/>
        </w:rPr>
        <w:t xml:space="preserve"> </w:t>
      </w:r>
      <w:r>
        <w:t>avoid</w:t>
      </w:r>
      <w:r>
        <w:rPr>
          <w:spacing w:val="-1"/>
        </w:rPr>
        <w:t xml:space="preserve"> </w:t>
      </w:r>
      <w:r>
        <w:t>adding</w:t>
      </w:r>
      <w:r>
        <w:rPr>
          <w:spacing w:val="-1"/>
        </w:rPr>
        <w:t xml:space="preserve"> </w:t>
      </w:r>
      <w:r>
        <w:t>undue</w:t>
      </w:r>
      <w:r>
        <w:rPr>
          <w:spacing w:val="-1"/>
        </w:rPr>
        <w:t xml:space="preserve"> uncertainty </w:t>
      </w:r>
      <w:r>
        <w:t>to</w:t>
      </w:r>
      <w:r>
        <w:rPr>
          <w:spacing w:val="-1"/>
        </w:rPr>
        <w:t xml:space="preserve"> </w:t>
      </w:r>
      <w:r>
        <w:t>the</w:t>
      </w:r>
      <w:r>
        <w:rPr>
          <w:spacing w:val="28"/>
        </w:rPr>
        <w:t xml:space="preserve"> </w:t>
      </w:r>
      <w:r>
        <w:t>business</w:t>
      </w:r>
      <w:r>
        <w:rPr>
          <w:spacing w:val="-1"/>
        </w:rPr>
        <w:t xml:space="preserve"> environment.</w:t>
      </w:r>
      <w:r>
        <w:rPr>
          <w:spacing w:val="-6"/>
        </w:rPr>
        <w:t xml:space="preserve"> </w:t>
      </w:r>
      <w:r>
        <w:rPr>
          <w:spacing w:val="-3"/>
        </w:rPr>
        <w:t>Past</w:t>
      </w:r>
      <w:r>
        <w:rPr>
          <w:spacing w:val="-1"/>
        </w:rPr>
        <w:t xml:space="preserve"> </w:t>
      </w:r>
      <w:r>
        <w:t>decisions should</w:t>
      </w:r>
      <w:r>
        <w:rPr>
          <w:spacing w:val="-1"/>
        </w:rPr>
        <w:t xml:space="preserve"> </w:t>
      </w:r>
      <w:r>
        <w:t>not</w:t>
      </w:r>
      <w:r>
        <w:rPr>
          <w:spacing w:val="-1"/>
        </w:rPr>
        <w:t xml:space="preserve"> </w:t>
      </w:r>
      <w:r>
        <w:t xml:space="preserve">be </w:t>
      </w:r>
      <w:r>
        <w:rPr>
          <w:spacing w:val="-1"/>
        </w:rPr>
        <w:t xml:space="preserve">unreasonably </w:t>
      </w:r>
      <w:r>
        <w:t>undone,</w:t>
      </w:r>
      <w:r>
        <w:rPr>
          <w:spacing w:val="-6"/>
        </w:rPr>
        <w:t xml:space="preserve"> </w:t>
      </w:r>
      <w:r>
        <w:t xml:space="preserve">and </w:t>
      </w:r>
      <w:r>
        <w:rPr>
          <w:spacing w:val="-1"/>
        </w:rPr>
        <w:t xml:space="preserve">efficient </w:t>
      </w:r>
      <w:r>
        <w:t>and</w:t>
      </w:r>
      <w:r>
        <w:rPr>
          <w:spacing w:val="39"/>
        </w:rPr>
        <w:t xml:space="preserve"> </w:t>
      </w:r>
      <w:r>
        <w:t xml:space="preserve">necessary investments should </w:t>
      </w:r>
      <w:r>
        <w:rPr>
          <w:spacing w:val="-1"/>
        </w:rPr>
        <w:t>receive</w:t>
      </w:r>
      <w:r>
        <w:t xml:space="preserve"> an </w:t>
      </w:r>
      <w:r>
        <w:rPr>
          <w:spacing w:val="-1"/>
        </w:rPr>
        <w:t>appropriate</w:t>
      </w:r>
      <w:r>
        <w:t xml:space="preserve"> </w:t>
      </w:r>
      <w:r>
        <w:rPr>
          <w:spacing w:val="-1"/>
        </w:rPr>
        <w:t>return.</w:t>
      </w:r>
    </w:p>
    <w:p w:rsidR="00D96B91" w:rsidRDefault="00C2656B">
      <w:pPr>
        <w:pStyle w:val="BodyText"/>
        <w:numPr>
          <w:ilvl w:val="0"/>
          <w:numId w:val="131"/>
        </w:numPr>
        <w:tabs>
          <w:tab w:val="left" w:pos="1531"/>
        </w:tabs>
        <w:spacing w:before="85" w:line="260" w:lineRule="exact"/>
        <w:ind w:right="1298" w:hanging="283"/>
      </w:pPr>
      <w:r>
        <w:rPr>
          <w:b/>
          <w:spacing w:val="-1"/>
        </w:rPr>
        <w:t>Regulation</w:t>
      </w:r>
      <w:r>
        <w:rPr>
          <w:b/>
        </w:rPr>
        <w:t xml:space="preserve"> should be </w:t>
      </w:r>
      <w:r>
        <w:rPr>
          <w:b/>
          <w:spacing w:val="-1"/>
        </w:rPr>
        <w:t>practical,</w:t>
      </w:r>
      <w:r>
        <w:rPr>
          <w:b/>
          <w:spacing w:val="-6"/>
        </w:rPr>
        <w:t xml:space="preserve"> </w:t>
      </w:r>
      <w:r>
        <w:rPr>
          <w:b/>
          <w:spacing w:val="-1"/>
        </w:rPr>
        <w:t>pragmatic</w:t>
      </w:r>
      <w:r>
        <w:rPr>
          <w:b/>
        </w:rPr>
        <w:t xml:space="preserve"> and </w:t>
      </w:r>
      <w:r>
        <w:rPr>
          <w:b/>
          <w:spacing w:val="-1"/>
        </w:rPr>
        <w:t>feasible.</w:t>
      </w:r>
      <w:r>
        <w:rPr>
          <w:b/>
          <w:spacing w:val="-6"/>
        </w:rPr>
        <w:t xml:space="preserve"> </w:t>
      </w:r>
      <w:r>
        <w:rPr>
          <w:spacing w:val="-1"/>
        </w:rPr>
        <w:t>Regulatory</w:t>
      </w:r>
      <w:r>
        <w:t xml:space="preserve"> decisions must be able to be</w:t>
      </w:r>
      <w:r>
        <w:rPr>
          <w:spacing w:val="55"/>
        </w:rPr>
        <w:t xml:space="preserve"> </w:t>
      </w:r>
      <w:r>
        <w:t>implemented,</w:t>
      </w:r>
      <w:r>
        <w:rPr>
          <w:spacing w:val="-6"/>
        </w:rPr>
        <w:t xml:space="preserve"> </w:t>
      </w:r>
      <w:r>
        <w:t>taking account of</w:t>
      </w:r>
      <w:r>
        <w:rPr>
          <w:spacing w:val="4"/>
        </w:rPr>
        <w:t xml:space="preserve"> </w:t>
      </w:r>
      <w:r>
        <w:rPr>
          <w:spacing w:val="-1"/>
        </w:rPr>
        <w:t>information,</w:t>
      </w:r>
      <w:r>
        <w:rPr>
          <w:spacing w:val="-6"/>
        </w:rPr>
        <w:t xml:space="preserve"> </w:t>
      </w:r>
      <w:r>
        <w:t xml:space="preserve">systems and </w:t>
      </w:r>
      <w:r>
        <w:rPr>
          <w:spacing w:val="-1"/>
        </w:rPr>
        <w:t>capability.</w:t>
      </w:r>
      <w:r>
        <w:rPr>
          <w:spacing w:val="-11"/>
        </w:rPr>
        <w:t xml:space="preserve"> </w:t>
      </w:r>
      <w:r>
        <w:rPr>
          <w:spacing w:val="-2"/>
        </w:rPr>
        <w:t>The</w:t>
      </w:r>
      <w:r>
        <w:t xml:space="preserve"> development of</w:t>
      </w:r>
      <w:r>
        <w:rPr>
          <w:spacing w:val="4"/>
        </w:rPr>
        <w:t xml:space="preserve"> </w:t>
      </w:r>
      <w:r>
        <w:t xml:space="preserve">a </w:t>
      </w:r>
      <w:r>
        <w:rPr>
          <w:spacing w:val="-1"/>
        </w:rPr>
        <w:t>complex</w:t>
      </w:r>
      <w:r>
        <w:rPr>
          <w:spacing w:val="41"/>
        </w:rPr>
        <w:t xml:space="preserve"> </w:t>
      </w:r>
      <w:r>
        <w:t xml:space="preserve">new </w:t>
      </w:r>
      <w:r>
        <w:rPr>
          <w:spacing w:val="-1"/>
        </w:rPr>
        <w:t>regime</w:t>
      </w:r>
      <w:r>
        <w:t xml:space="preserve"> and </w:t>
      </w:r>
      <w:r>
        <w:rPr>
          <w:spacing w:val="-1"/>
        </w:rPr>
        <w:t>information</w:t>
      </w:r>
      <w:r>
        <w:t xml:space="preserve"> </w:t>
      </w:r>
      <w:r>
        <w:rPr>
          <w:spacing w:val="-1"/>
        </w:rPr>
        <w:t>requirements,</w:t>
      </w:r>
      <w:r>
        <w:rPr>
          <w:spacing w:val="-6"/>
        </w:rPr>
        <w:t xml:space="preserve"> </w:t>
      </w:r>
      <w:r>
        <w:t>for instance,</w:t>
      </w:r>
      <w:r>
        <w:rPr>
          <w:spacing w:val="-7"/>
        </w:rPr>
        <w:t xml:space="preserve"> </w:t>
      </w:r>
      <w:r>
        <w:t xml:space="preserve">is neither </w:t>
      </w:r>
      <w:r>
        <w:rPr>
          <w:spacing w:val="-1"/>
        </w:rPr>
        <w:t>pragmatic</w:t>
      </w:r>
      <w:r>
        <w:t xml:space="preserve"> nor cost </w:t>
      </w:r>
      <w:r>
        <w:rPr>
          <w:spacing w:val="-1"/>
        </w:rPr>
        <w:t>effective</w:t>
      </w:r>
      <w:r>
        <w:t xml:space="preserve"> in the</w:t>
      </w:r>
      <w:r>
        <w:rPr>
          <w:spacing w:val="49"/>
        </w:rPr>
        <w:t xml:space="preserve"> </w:t>
      </w:r>
      <w:r>
        <w:rPr>
          <w:spacing w:val="-1"/>
        </w:rPr>
        <w:t>context</w:t>
      </w:r>
      <w:r>
        <w:t xml:space="preserve"> of</w:t>
      </w:r>
      <w:r>
        <w:rPr>
          <w:spacing w:val="4"/>
        </w:rPr>
        <w:t xml:space="preserve"> </w:t>
      </w:r>
      <w:r>
        <w:t xml:space="preserve">this </w:t>
      </w:r>
      <w:r>
        <w:rPr>
          <w:spacing w:val="-2"/>
        </w:rPr>
        <w:t>review.</w:t>
      </w:r>
    </w:p>
    <w:p w:rsidR="00D96B91" w:rsidRDefault="00D96B91">
      <w:pPr>
        <w:spacing w:line="260" w:lineRule="exact"/>
        <w:sectPr w:rsidR="00D96B91">
          <w:pgSz w:w="11910" w:h="16840"/>
          <w:pgMar w:top="120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3333" style="position:absolute;margin-left:0;margin-top:789.45pt;width:595.3pt;height:52.45pt;z-index:251523584;mso-position-horizontal-relative:page;mso-position-vertical-relative:page" coordorigin=",15789" coordsize="11906,1049">
            <v:group id="_x0000_s3334" style="position:absolute;top:15789;width:11906;height:1049" coordorigin=",15789" coordsize="11906,1049">
              <v:shape id="_x0000_s3337" style="position:absolute;top:15789;width:11906;height:1049" coordorigin=",15789" coordsize="11906,1049" path="m,16838r11906,l11906,15789,,15789r,1049xe" fillcolor="#0778be" stroked="f">
                <v:path arrowok="t"/>
              </v:shape>
              <v:shape id="_x0000_s3336" type="#_x0000_t75" style="position:absolute;top:15789;width:11906;height:1049">
                <v:imagedata r:id="rId20" o:title=""/>
              </v:shape>
              <v:shape id="_x0000_s3335" type="#_x0000_t202" style="position:absolute;top:15789;width:11906;height:1049" filled="f" stroked="f">
                <v:textbox style="mso-next-textbox:#_x0000_s3335"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240"/>
                        </w:tabs>
                        <w:ind w:left="692"/>
                        <w:rPr>
                          <w:rFonts w:ascii="Avenir Next" w:eastAsia="Avenir Next" w:hAnsi="Avenir Next" w:cs="Avenir Next"/>
                          <w:sz w:val="20"/>
                          <w:szCs w:val="20"/>
                        </w:rPr>
                      </w:pPr>
                      <w:r>
                        <w:rPr>
                          <w:rFonts w:ascii="Avenir Next" w:eastAsia="Avenir Next" w:hAnsi="Avenir Next" w:cs="Avenir Next"/>
                          <w:color w:val="EEF8FE"/>
                          <w:sz w:val="20"/>
                          <w:szCs w:val="20"/>
                        </w:rPr>
                        <w:t>34</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48"/>
          <w:pgSz w:w="11910" w:h="16840"/>
          <w:pgMar w:top="1580" w:right="0" w:bottom="0" w:left="0" w:header="0" w:footer="0"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40" w:name="5_Determining_the_scope_of_the_review_"/>
      <w:bookmarkStart w:id="41" w:name="5._1_How_the_Panel_determined_the_scope_"/>
      <w:bookmarkStart w:id="42" w:name="_bookmark21"/>
      <w:bookmarkEnd w:id="40"/>
      <w:bookmarkEnd w:id="41"/>
      <w:bookmarkEnd w:id="42"/>
      <w:r>
        <w:rPr>
          <w:rFonts w:ascii="Avenir Next Medium"/>
          <w:color w:val="0778BE"/>
          <w:w w:val="95"/>
          <w:sz w:val="40"/>
        </w:rPr>
        <w:t>5</w:t>
      </w:r>
      <w:r>
        <w:rPr>
          <w:rFonts w:ascii="Avenir Next Medium"/>
          <w:color w:val="0778BE"/>
          <w:w w:val="95"/>
          <w:sz w:val="40"/>
        </w:rPr>
        <w:tab/>
      </w:r>
      <w:r>
        <w:rPr>
          <w:rFonts w:ascii="Avenir Next Medium"/>
          <w:color w:val="0778BE"/>
          <w:sz w:val="40"/>
        </w:rPr>
        <w:t>Determining the scope of</w:t>
      </w:r>
      <w:r>
        <w:rPr>
          <w:rFonts w:ascii="Avenir Next Medium"/>
          <w:color w:val="0778BE"/>
          <w:spacing w:val="9"/>
          <w:sz w:val="40"/>
        </w:rPr>
        <w:t xml:space="preserve"> </w:t>
      </w:r>
      <w:r>
        <w:rPr>
          <w:rFonts w:ascii="Avenir Next Medium"/>
          <w:color w:val="0778BE"/>
          <w:sz w:val="40"/>
        </w:rPr>
        <w:t xml:space="preserve">the </w:t>
      </w:r>
      <w:r>
        <w:rPr>
          <w:rFonts w:ascii="Avenir Next Medium"/>
          <w:color w:val="0778BE"/>
          <w:spacing w:val="-2"/>
          <w:sz w:val="40"/>
        </w:rPr>
        <w:t>review</w:t>
      </w:r>
    </w:p>
    <w:p w:rsidR="00D96B91" w:rsidRDefault="00C2656B">
      <w:pPr>
        <w:pStyle w:val="BodyText"/>
        <w:spacing w:before="359" w:line="260" w:lineRule="exact"/>
        <w:ind w:right="1261"/>
      </w:pPr>
      <w:r>
        <w:rPr>
          <w:rFonts w:cs="Avenir Next"/>
          <w:spacing w:val="-1"/>
        </w:rPr>
        <w:t>After</w:t>
      </w:r>
      <w:r>
        <w:rPr>
          <w:rFonts w:cs="Avenir Next"/>
        </w:rPr>
        <w:t xml:space="preserve"> considering the </w:t>
      </w:r>
      <w:r>
        <w:rPr>
          <w:rFonts w:cs="Avenir Next"/>
          <w:spacing w:val="-1"/>
        </w:rPr>
        <w:t>context,</w:t>
      </w:r>
      <w:r>
        <w:rPr>
          <w:rFonts w:cs="Avenir Next"/>
          <w:spacing w:val="-6"/>
        </w:rPr>
        <w:t xml:space="preserve"> </w:t>
      </w:r>
      <w:r>
        <w:rPr>
          <w:rFonts w:cs="Avenir Next"/>
          <w:spacing w:val="-1"/>
        </w:rPr>
        <w:t>regulatory</w:t>
      </w:r>
      <w:r>
        <w:rPr>
          <w:rFonts w:cs="Avenir Next"/>
        </w:rPr>
        <w:t xml:space="preserve"> </w:t>
      </w:r>
      <w:r>
        <w:rPr>
          <w:rFonts w:cs="Avenir Next"/>
          <w:spacing w:val="-1"/>
        </w:rPr>
        <w:t>framework</w:t>
      </w:r>
      <w:r>
        <w:rPr>
          <w:rFonts w:cs="Avenir Next"/>
        </w:rPr>
        <w:t xml:space="preserve"> and other </w:t>
      </w:r>
      <w:r>
        <w:rPr>
          <w:rFonts w:cs="Avenir Next"/>
          <w:spacing w:val="-1"/>
        </w:rPr>
        <w:t>matters</w:t>
      </w:r>
      <w:r>
        <w:rPr>
          <w:rFonts w:cs="Avenir Next"/>
        </w:rPr>
        <w:t xml:space="preserve"> it will have </w:t>
      </w:r>
      <w:r>
        <w:rPr>
          <w:rFonts w:cs="Avenir Next"/>
          <w:spacing w:val="-2"/>
        </w:rPr>
        <w:t>regard</w:t>
      </w:r>
      <w:r>
        <w:rPr>
          <w:rFonts w:cs="Avenir Next"/>
        </w:rPr>
        <w:t xml:space="preserve"> to in making</w:t>
      </w:r>
      <w:r>
        <w:rPr>
          <w:rFonts w:cs="Avenir Next"/>
          <w:spacing w:val="47"/>
        </w:rPr>
        <w:t xml:space="preserve"> </w:t>
      </w:r>
      <w:r>
        <w:t>its decisions,</w:t>
      </w:r>
      <w:r>
        <w:rPr>
          <w:spacing w:val="-6"/>
        </w:rPr>
        <w:t xml:space="preserve"> </w:t>
      </w:r>
      <w:r>
        <w:t xml:space="preserve">the </w:t>
      </w:r>
      <w:r>
        <w:rPr>
          <w:spacing w:val="-3"/>
        </w:rPr>
        <w:t>Panel</w:t>
      </w:r>
      <w:r>
        <w:t xml:space="preserve"> turned to the scope of</w:t>
      </w:r>
      <w:r>
        <w:rPr>
          <w:spacing w:val="4"/>
        </w:rPr>
        <w:t xml:space="preserve"> </w:t>
      </w:r>
      <w:r>
        <w:t xml:space="preserve">the </w:t>
      </w:r>
      <w:r>
        <w:rPr>
          <w:spacing w:val="-2"/>
        </w:rPr>
        <w:t>review.</w:t>
      </w:r>
      <w:r>
        <w:rPr>
          <w:spacing w:val="-6"/>
        </w:rPr>
        <w:t xml:space="preserve"> </w:t>
      </w:r>
      <w:r>
        <w:t>Given the potential impacts on</w:t>
      </w:r>
      <w:r>
        <w:rPr>
          <w:spacing w:val="-4"/>
        </w:rPr>
        <w:t xml:space="preserve"> </w:t>
      </w:r>
      <w:r>
        <w:rPr>
          <w:spacing w:val="-2"/>
        </w:rPr>
        <w:t>ACTEW</w:t>
      </w:r>
      <w:r>
        <w:rPr>
          <w:spacing w:val="-3"/>
        </w:rPr>
        <w:t xml:space="preserve"> </w:t>
      </w:r>
      <w:r>
        <w:t>and its</w:t>
      </w:r>
      <w:r>
        <w:rPr>
          <w:spacing w:val="30"/>
        </w:rPr>
        <w:t xml:space="preserve"> </w:t>
      </w:r>
      <w:r>
        <w:t xml:space="preserve">customers – and the fact </w:t>
      </w:r>
      <w:r>
        <w:rPr>
          <w:spacing w:val="-1"/>
        </w:rPr>
        <w:t>that</w:t>
      </w:r>
      <w:r>
        <w:t xml:space="preserve"> the </w:t>
      </w:r>
      <w:r>
        <w:rPr>
          <w:spacing w:val="-1"/>
        </w:rPr>
        <w:t>regulatory</w:t>
      </w:r>
      <w:r>
        <w:t xml:space="preserve"> period </w:t>
      </w:r>
      <w:r>
        <w:rPr>
          <w:spacing w:val="-1"/>
        </w:rPr>
        <w:t>covered</w:t>
      </w:r>
      <w:r>
        <w:t xml:space="preserve"> by the </w:t>
      </w:r>
      <w:r>
        <w:rPr>
          <w:spacing w:val="-1"/>
        </w:rPr>
        <w:t>review</w:t>
      </w:r>
      <w:r>
        <w:t xml:space="preserve"> has </w:t>
      </w:r>
      <w:r>
        <w:rPr>
          <w:spacing w:val="-1"/>
        </w:rPr>
        <w:t>already</w:t>
      </w:r>
      <w:r>
        <w:t xml:space="preserve"> begun – the </w:t>
      </w:r>
      <w:r>
        <w:rPr>
          <w:spacing w:val="-3"/>
        </w:rPr>
        <w:t>Panel</w:t>
      </w:r>
      <w:r>
        <w:rPr>
          <w:spacing w:val="29"/>
        </w:rPr>
        <w:t xml:space="preserve"> </w:t>
      </w:r>
      <w:r>
        <w:t xml:space="preserve">considers it </w:t>
      </w:r>
      <w:r>
        <w:rPr>
          <w:spacing w:val="-1"/>
        </w:rPr>
        <w:t>important</w:t>
      </w:r>
      <w:r>
        <w:t xml:space="preserve"> </w:t>
      </w:r>
      <w:r>
        <w:rPr>
          <w:spacing w:val="-1"/>
        </w:rPr>
        <w:t>that</w:t>
      </w:r>
      <w:r>
        <w:t xml:space="preserve"> it </w:t>
      </w:r>
      <w:r>
        <w:rPr>
          <w:spacing w:val="-1"/>
        </w:rPr>
        <w:t>reaches</w:t>
      </w:r>
      <w:r>
        <w:t xml:space="preserve"> its decisions in a timely </w:t>
      </w:r>
      <w:r>
        <w:rPr>
          <w:spacing w:val="-2"/>
        </w:rPr>
        <w:t>manner.</w:t>
      </w:r>
      <w:r>
        <w:rPr>
          <w:spacing w:val="-11"/>
        </w:rPr>
        <w:t xml:space="preserve"> </w:t>
      </w:r>
      <w:r>
        <w:rPr>
          <w:spacing w:val="-2"/>
        </w:rPr>
        <w:t>The</w:t>
      </w:r>
      <w:r>
        <w:t xml:space="preserve"> need for timeliness,</w:t>
      </w:r>
      <w:r>
        <w:rPr>
          <w:spacing w:val="-6"/>
        </w:rPr>
        <w:t xml:space="preserve"> </w:t>
      </w:r>
      <w:r>
        <w:t>and the</w:t>
      </w:r>
      <w:r>
        <w:rPr>
          <w:spacing w:val="31"/>
        </w:rPr>
        <w:t xml:space="preserve"> </w:t>
      </w:r>
      <w:r>
        <w:rPr>
          <w:rFonts w:cs="Avenir Next"/>
        </w:rPr>
        <w:t xml:space="preserve">limited </w:t>
      </w:r>
      <w:r>
        <w:rPr>
          <w:rFonts w:cs="Avenir Next"/>
          <w:spacing w:val="-1"/>
        </w:rPr>
        <w:t>resources</w:t>
      </w:r>
      <w:r>
        <w:rPr>
          <w:rFonts w:cs="Avenir Next"/>
        </w:rPr>
        <w:t xml:space="preserve"> available to the </w:t>
      </w:r>
      <w:r>
        <w:rPr>
          <w:rFonts w:cs="Avenir Next"/>
          <w:spacing w:val="-3"/>
        </w:rPr>
        <w:t>Panel,</w:t>
      </w:r>
      <w:r>
        <w:rPr>
          <w:rFonts w:cs="Avenir Next"/>
          <w:spacing w:val="-6"/>
        </w:rPr>
        <w:t xml:space="preserve"> </w:t>
      </w:r>
      <w:r>
        <w:rPr>
          <w:rFonts w:cs="Avenir Next"/>
          <w:spacing w:val="-1"/>
        </w:rPr>
        <w:t>makes</w:t>
      </w:r>
      <w:r>
        <w:rPr>
          <w:rFonts w:cs="Avenir Next"/>
        </w:rPr>
        <w:t xml:space="preserve"> it </w:t>
      </w:r>
      <w:r>
        <w:rPr>
          <w:rFonts w:cs="Avenir Next"/>
          <w:spacing w:val="-1"/>
        </w:rPr>
        <w:t>impractical</w:t>
      </w:r>
      <w:r>
        <w:rPr>
          <w:rFonts w:cs="Avenir Next"/>
        </w:rPr>
        <w:t xml:space="preserve"> for it to </w:t>
      </w:r>
      <w:r>
        <w:rPr>
          <w:rFonts w:cs="Avenir Next"/>
          <w:spacing w:val="-1"/>
        </w:rPr>
        <w:t>examine</w:t>
      </w:r>
      <w:r>
        <w:rPr>
          <w:rFonts w:cs="Avenir Next"/>
        </w:rPr>
        <w:t xml:space="preserve"> </w:t>
      </w:r>
      <w:r>
        <w:rPr>
          <w:rFonts w:cs="Avenir Next"/>
          <w:b/>
          <w:bCs/>
        </w:rPr>
        <w:t xml:space="preserve">every </w:t>
      </w:r>
      <w:r>
        <w:rPr>
          <w:rFonts w:cs="Avenir Next"/>
        </w:rPr>
        <w:t>component of</w:t>
      </w:r>
      <w:r>
        <w:rPr>
          <w:rFonts w:cs="Avenir Next"/>
          <w:spacing w:val="4"/>
        </w:rPr>
        <w:t xml:space="preserve"> </w:t>
      </w:r>
      <w:r>
        <w:rPr>
          <w:rFonts w:cs="Avenir Next"/>
        </w:rPr>
        <w:t>the</w:t>
      </w:r>
      <w:r>
        <w:rPr>
          <w:rFonts w:cs="Avenir Next"/>
          <w:spacing w:val="41"/>
        </w:rPr>
        <w:t xml:space="preserve"> </w:t>
      </w:r>
      <w:r>
        <w:t xml:space="preserve">original price </w:t>
      </w:r>
      <w:r>
        <w:rPr>
          <w:spacing w:val="-1"/>
        </w:rPr>
        <w:t>direction</w:t>
      </w:r>
      <w:r>
        <w:t xml:space="preserve"> in detail.</w:t>
      </w:r>
      <w:r>
        <w:rPr>
          <w:spacing w:val="-6"/>
        </w:rPr>
        <w:t xml:space="preserve"> </w:t>
      </w:r>
      <w:r>
        <w:rPr>
          <w:spacing w:val="-1"/>
        </w:rPr>
        <w:t>Instead,</w:t>
      </w:r>
      <w:r>
        <w:rPr>
          <w:spacing w:val="-6"/>
        </w:rPr>
        <w:t xml:space="preserve"> </w:t>
      </w:r>
      <w:r>
        <w:t xml:space="preserve">the </w:t>
      </w:r>
      <w:r>
        <w:rPr>
          <w:spacing w:val="-3"/>
        </w:rPr>
        <w:t>Panel</w:t>
      </w:r>
      <w:r>
        <w:t xml:space="preserve"> has chosen to:</w:t>
      </w:r>
    </w:p>
    <w:p w:rsidR="00D96B91" w:rsidRDefault="00C2656B">
      <w:pPr>
        <w:pStyle w:val="BodyText"/>
        <w:numPr>
          <w:ilvl w:val="0"/>
          <w:numId w:val="131"/>
        </w:numPr>
        <w:tabs>
          <w:tab w:val="left" w:pos="1531"/>
        </w:tabs>
        <w:spacing w:before="178"/>
        <w:ind w:hanging="283"/>
      </w:pPr>
      <w:r>
        <w:t xml:space="preserve">consider and </w:t>
      </w:r>
      <w:r>
        <w:rPr>
          <w:spacing w:val="-1"/>
        </w:rPr>
        <w:t>respond</w:t>
      </w:r>
      <w:r>
        <w:t xml:space="preserve"> to the issues </w:t>
      </w:r>
      <w:r>
        <w:rPr>
          <w:spacing w:val="-1"/>
        </w:rPr>
        <w:t>raised</w:t>
      </w:r>
      <w:r>
        <w:t xml:space="preserve"> by</w:t>
      </w:r>
      <w:r>
        <w:rPr>
          <w:spacing w:val="-4"/>
        </w:rPr>
        <w:t xml:space="preserve"> </w:t>
      </w:r>
      <w:r>
        <w:rPr>
          <w:spacing w:val="-2"/>
        </w:rPr>
        <w:t>ACTEW</w:t>
      </w:r>
      <w:r>
        <w:rPr>
          <w:spacing w:val="-3"/>
        </w:rPr>
        <w:t xml:space="preserve"> </w:t>
      </w:r>
      <w:r>
        <w:t>in its SOFC</w:t>
      </w:r>
    </w:p>
    <w:p w:rsidR="00D96B91" w:rsidRDefault="00C2656B">
      <w:pPr>
        <w:pStyle w:val="BodyText"/>
        <w:numPr>
          <w:ilvl w:val="0"/>
          <w:numId w:val="131"/>
        </w:numPr>
        <w:tabs>
          <w:tab w:val="left" w:pos="1531"/>
        </w:tabs>
        <w:spacing w:before="64" w:line="260" w:lineRule="exact"/>
        <w:ind w:right="1355" w:hanging="283"/>
      </w:pPr>
      <w:r>
        <w:t xml:space="preserve">consider and </w:t>
      </w:r>
      <w:r>
        <w:rPr>
          <w:spacing w:val="-1"/>
        </w:rPr>
        <w:t>respond</w:t>
      </w:r>
      <w:r>
        <w:t xml:space="preserve"> to </w:t>
      </w:r>
      <w:r>
        <w:rPr>
          <w:spacing w:val="-1"/>
        </w:rPr>
        <w:t>certain</w:t>
      </w:r>
      <w:r>
        <w:t xml:space="preserve"> issues </w:t>
      </w:r>
      <w:r>
        <w:rPr>
          <w:spacing w:val="-1"/>
        </w:rPr>
        <w:t>raised</w:t>
      </w:r>
      <w:r>
        <w:t xml:space="preserve"> by other </w:t>
      </w:r>
      <w:r>
        <w:rPr>
          <w:spacing w:val="-1"/>
        </w:rPr>
        <w:t>stakeholders</w:t>
      </w:r>
      <w:r>
        <w:t xml:space="preserve"> in submissions and the </w:t>
      </w:r>
      <w:r>
        <w:rPr>
          <w:spacing w:val="-1"/>
        </w:rPr>
        <w:t>hearing</w:t>
      </w:r>
      <w:r>
        <w:rPr>
          <w:spacing w:val="47"/>
        </w:rPr>
        <w:t xml:space="preserve"> </w:t>
      </w:r>
      <w:r>
        <w:t>in</w:t>
      </w:r>
      <w:r>
        <w:rPr>
          <w:spacing w:val="-1"/>
        </w:rPr>
        <w:t xml:space="preserve"> </w:t>
      </w:r>
      <w:r>
        <w:t>the first</w:t>
      </w:r>
      <w:r>
        <w:rPr>
          <w:spacing w:val="-1"/>
        </w:rPr>
        <w:t xml:space="preserve"> </w:t>
      </w:r>
      <w:r>
        <w:t>phase of</w:t>
      </w:r>
      <w:r>
        <w:rPr>
          <w:spacing w:val="3"/>
        </w:rPr>
        <w:t xml:space="preserve"> </w:t>
      </w:r>
      <w:r>
        <w:t xml:space="preserve">the </w:t>
      </w:r>
      <w:r>
        <w:rPr>
          <w:spacing w:val="-1"/>
        </w:rPr>
        <w:t>review process</w:t>
      </w:r>
    </w:p>
    <w:p w:rsidR="00D96B91" w:rsidRDefault="00C2656B">
      <w:pPr>
        <w:pStyle w:val="BodyText"/>
        <w:numPr>
          <w:ilvl w:val="0"/>
          <w:numId w:val="131"/>
        </w:numPr>
        <w:tabs>
          <w:tab w:val="left" w:pos="1531"/>
        </w:tabs>
        <w:spacing w:before="85" w:line="260" w:lineRule="exact"/>
        <w:ind w:right="1513" w:hanging="283"/>
      </w:pPr>
      <w:r>
        <w:t xml:space="preserve">focus its </w:t>
      </w:r>
      <w:r>
        <w:rPr>
          <w:spacing w:val="-1"/>
        </w:rPr>
        <w:t>investigation</w:t>
      </w:r>
      <w:r>
        <w:t xml:space="preserve"> on those </w:t>
      </w:r>
      <w:r>
        <w:rPr>
          <w:spacing w:val="-1"/>
        </w:rPr>
        <w:t>matters</w:t>
      </w:r>
      <w:r>
        <w:t xml:space="preserve"> </w:t>
      </w:r>
      <w:r>
        <w:rPr>
          <w:spacing w:val="-1"/>
        </w:rPr>
        <w:t>that</w:t>
      </w:r>
      <w:r>
        <w:t xml:space="preserve"> </w:t>
      </w:r>
      <w:r>
        <w:rPr>
          <w:spacing w:val="-2"/>
        </w:rPr>
        <w:t>are</w:t>
      </w:r>
      <w:r>
        <w:t xml:space="preserve"> within its </w:t>
      </w:r>
      <w:r>
        <w:rPr>
          <w:spacing w:val="-1"/>
        </w:rPr>
        <w:t>remit</w:t>
      </w:r>
      <w:r>
        <w:t xml:space="preserve"> </w:t>
      </w:r>
      <w:r>
        <w:rPr>
          <w:b/>
        </w:rPr>
        <w:t xml:space="preserve">and </w:t>
      </w:r>
      <w:r>
        <w:t xml:space="preserve">may have a </w:t>
      </w:r>
      <w:r>
        <w:rPr>
          <w:spacing w:val="-1"/>
        </w:rPr>
        <w:t>material</w:t>
      </w:r>
      <w:r>
        <w:t xml:space="preserve"> impact on</w:t>
      </w:r>
      <w:r>
        <w:rPr>
          <w:spacing w:val="41"/>
        </w:rPr>
        <w:t xml:space="preserve"> </w:t>
      </w:r>
      <w:r>
        <w:t>prices</w:t>
      </w:r>
      <w:r>
        <w:rPr>
          <w:spacing w:val="-2"/>
        </w:rPr>
        <w:t xml:space="preserve"> </w:t>
      </w:r>
      <w:r>
        <w:t>and/or</w:t>
      </w:r>
      <w:r>
        <w:rPr>
          <w:spacing w:val="-1"/>
        </w:rPr>
        <w:t xml:space="preserve"> </w:t>
      </w:r>
      <w:r>
        <w:t>the</w:t>
      </w:r>
      <w:r>
        <w:rPr>
          <w:spacing w:val="-1"/>
        </w:rPr>
        <w:t xml:space="preserve"> </w:t>
      </w:r>
      <w:r>
        <w:t>financial</w:t>
      </w:r>
      <w:r>
        <w:rPr>
          <w:spacing w:val="-1"/>
        </w:rPr>
        <w:t xml:space="preserve"> </w:t>
      </w:r>
      <w:r>
        <w:t>viability</w:t>
      </w:r>
      <w:r>
        <w:rPr>
          <w:spacing w:val="-1"/>
        </w:rPr>
        <w:t xml:space="preserve"> </w:t>
      </w:r>
      <w:r>
        <w:t xml:space="preserve">of </w:t>
      </w:r>
      <w:r>
        <w:rPr>
          <w:spacing w:val="-4"/>
        </w:rPr>
        <w:t>ACTEW,</w:t>
      </w:r>
      <w:r>
        <w:rPr>
          <w:spacing w:val="-7"/>
        </w:rPr>
        <w:t xml:space="preserve"> </w:t>
      </w:r>
      <w:r>
        <w:t>and</w:t>
      </w:r>
    </w:p>
    <w:p w:rsidR="00D96B91" w:rsidRDefault="00C2656B">
      <w:pPr>
        <w:pStyle w:val="BodyText"/>
        <w:numPr>
          <w:ilvl w:val="0"/>
          <w:numId w:val="131"/>
        </w:numPr>
        <w:tabs>
          <w:tab w:val="left" w:pos="1531"/>
        </w:tabs>
        <w:spacing w:before="85" w:line="260" w:lineRule="exact"/>
        <w:ind w:right="1558" w:hanging="283"/>
      </w:pPr>
      <w:r>
        <w:t>within this limited scope,</w:t>
      </w:r>
      <w:r>
        <w:rPr>
          <w:spacing w:val="-7"/>
        </w:rPr>
        <w:t xml:space="preserve"> </w:t>
      </w:r>
      <w:r>
        <w:t>identify the individual components of</w:t>
      </w:r>
      <w:r>
        <w:rPr>
          <w:spacing w:val="4"/>
        </w:rPr>
        <w:t xml:space="preserve"> </w:t>
      </w:r>
      <w:r>
        <w:t xml:space="preserve">the original price </w:t>
      </w:r>
      <w:r>
        <w:rPr>
          <w:spacing w:val="-1"/>
        </w:rPr>
        <w:t>direction</w:t>
      </w:r>
      <w:r>
        <w:t xml:space="preserve"> it must</w:t>
      </w:r>
      <w:r>
        <w:rPr>
          <w:spacing w:val="25"/>
        </w:rPr>
        <w:t xml:space="preserve"> </w:t>
      </w:r>
      <w:r>
        <w:rPr>
          <w:spacing w:val="-1"/>
        </w:rPr>
        <w:t xml:space="preserve">review </w:t>
      </w:r>
      <w:r>
        <w:t>and decide</w:t>
      </w:r>
      <w:r>
        <w:rPr>
          <w:spacing w:val="-1"/>
        </w:rPr>
        <w:t xml:space="preserve"> </w:t>
      </w:r>
      <w:r>
        <w:t>on in</w:t>
      </w:r>
      <w:r>
        <w:rPr>
          <w:spacing w:val="-1"/>
        </w:rPr>
        <w:t xml:space="preserve"> order</w:t>
      </w:r>
      <w:r>
        <w:t xml:space="preserve"> to</w:t>
      </w:r>
      <w:r>
        <w:rPr>
          <w:spacing w:val="-1"/>
        </w:rPr>
        <w:t xml:space="preserve"> </w:t>
      </w:r>
      <w:r>
        <w:t>determine whether</w:t>
      </w:r>
      <w:r>
        <w:rPr>
          <w:spacing w:val="-1"/>
        </w:rPr>
        <w:t xml:space="preserve"> </w:t>
      </w:r>
      <w:r>
        <w:t>to confirm</w:t>
      </w:r>
      <w:r>
        <w:rPr>
          <w:spacing w:val="-1"/>
        </w:rPr>
        <w:t xml:space="preserve"> </w:t>
      </w:r>
      <w:r>
        <w:t>the original</w:t>
      </w:r>
      <w:r>
        <w:rPr>
          <w:spacing w:val="-1"/>
        </w:rPr>
        <w:t xml:space="preserve"> </w:t>
      </w:r>
      <w:r>
        <w:t xml:space="preserve">price </w:t>
      </w:r>
      <w:r>
        <w:rPr>
          <w:spacing w:val="-1"/>
        </w:rPr>
        <w:t>direction</w:t>
      </w:r>
      <w:r>
        <w:t xml:space="preserve"> or</w:t>
      </w:r>
      <w:r>
        <w:rPr>
          <w:spacing w:val="29"/>
        </w:rPr>
        <w:t xml:space="preserve"> </w:t>
      </w:r>
      <w:r>
        <w:t xml:space="preserve">substitute a new price </w:t>
      </w:r>
      <w:r>
        <w:rPr>
          <w:spacing w:val="-1"/>
        </w:rPr>
        <w:t>direction.</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640"/>
      </w:pPr>
      <w:r>
        <w:rPr>
          <w:spacing w:val="-2"/>
        </w:rPr>
        <w:t>The</w:t>
      </w:r>
      <w:r>
        <w:t xml:space="preserve"> </w:t>
      </w:r>
      <w:r>
        <w:rPr>
          <w:spacing w:val="-3"/>
        </w:rPr>
        <w:t>Panel</w:t>
      </w:r>
      <w:r>
        <w:t xml:space="preserve"> considers </w:t>
      </w:r>
      <w:r>
        <w:rPr>
          <w:spacing w:val="-1"/>
        </w:rPr>
        <w:t>that</w:t>
      </w:r>
      <w:r>
        <w:t xml:space="preserve"> limiting the scope in this way is consistent with its task,</w:t>
      </w:r>
      <w:r>
        <w:rPr>
          <w:spacing w:val="-7"/>
        </w:rPr>
        <w:t xml:space="preserve"> </w:t>
      </w:r>
      <w:r>
        <w:t xml:space="preserve">which is to </w:t>
      </w:r>
      <w:r>
        <w:rPr>
          <w:spacing w:val="-1"/>
        </w:rPr>
        <w:t>review</w:t>
      </w:r>
      <w:r>
        <w:rPr>
          <w:spacing w:val="29"/>
        </w:rPr>
        <w:t xml:space="preserve"> </w:t>
      </w:r>
      <w:r>
        <w:t xml:space="preserve">an </w:t>
      </w:r>
      <w:r>
        <w:rPr>
          <w:spacing w:val="-1"/>
        </w:rPr>
        <w:t>existing</w:t>
      </w:r>
      <w:r>
        <w:t xml:space="preserve"> price </w:t>
      </w:r>
      <w:r>
        <w:rPr>
          <w:spacing w:val="-1"/>
        </w:rPr>
        <w:t>direction,</w:t>
      </w:r>
      <w:r>
        <w:rPr>
          <w:spacing w:val="-6"/>
        </w:rPr>
        <w:t xml:space="preserve"> </w:t>
      </w:r>
      <w:r>
        <w:t xml:space="preserve">not to conduct a new price </w:t>
      </w:r>
      <w:r>
        <w:rPr>
          <w:spacing w:val="-1"/>
        </w:rPr>
        <w:t>regulation</w:t>
      </w:r>
      <w:r>
        <w:t xml:space="preserve"> </w:t>
      </w:r>
      <w:r>
        <w:rPr>
          <w:spacing w:val="-1"/>
        </w:rPr>
        <w:t>investigation</w:t>
      </w:r>
      <w:r>
        <w:t xml:space="preserve"> and develop a price</w:t>
      </w:r>
      <w:r>
        <w:rPr>
          <w:spacing w:val="53"/>
        </w:rPr>
        <w:t xml:space="preserve"> </w:t>
      </w:r>
      <w:r>
        <w:rPr>
          <w:spacing w:val="-1"/>
        </w:rPr>
        <w:t>direction</w:t>
      </w:r>
      <w:r>
        <w:t xml:space="preserve"> </w:t>
      </w:r>
      <w:r>
        <w:rPr>
          <w:spacing w:val="-1"/>
        </w:rPr>
        <w:t>from</w:t>
      </w:r>
      <w:r>
        <w:t xml:space="preserve"> </w:t>
      </w:r>
      <w:r>
        <w:rPr>
          <w:spacing w:val="-1"/>
        </w:rPr>
        <w:t>scratch.</w:t>
      </w:r>
    </w:p>
    <w:p w:rsidR="00D96B91" w:rsidRDefault="00C2656B">
      <w:pPr>
        <w:pStyle w:val="BodyText"/>
        <w:spacing w:before="170" w:line="260" w:lineRule="exact"/>
        <w:ind w:right="1486"/>
        <w:jc w:val="both"/>
      </w:pPr>
      <w:r>
        <w:rPr>
          <w:spacing w:val="-2"/>
        </w:rPr>
        <w:t>The</w:t>
      </w:r>
      <w:r>
        <w:t xml:space="preserve"> sections below </w:t>
      </w:r>
      <w:r>
        <w:rPr>
          <w:spacing w:val="-1"/>
        </w:rPr>
        <w:t>provide</w:t>
      </w:r>
      <w:r>
        <w:t xml:space="preserve"> </w:t>
      </w:r>
      <w:r>
        <w:rPr>
          <w:spacing w:val="-1"/>
        </w:rPr>
        <w:t>more</w:t>
      </w:r>
      <w:r>
        <w:t xml:space="preserve"> detailed discussion on how the </w:t>
      </w:r>
      <w:r>
        <w:rPr>
          <w:spacing w:val="-3"/>
        </w:rPr>
        <w:t>Panel</w:t>
      </w:r>
      <w:r>
        <w:t xml:space="preserve"> determined the scope of</w:t>
      </w:r>
      <w:r>
        <w:rPr>
          <w:spacing w:val="4"/>
        </w:rPr>
        <w:t xml:space="preserve"> </w:t>
      </w:r>
      <w:r>
        <w:t>the</w:t>
      </w:r>
      <w:r>
        <w:rPr>
          <w:spacing w:val="28"/>
        </w:rPr>
        <w:t xml:space="preserve"> </w:t>
      </w:r>
      <w:r>
        <w:rPr>
          <w:spacing w:val="-2"/>
        </w:rPr>
        <w:t>review,</w:t>
      </w:r>
      <w:r>
        <w:rPr>
          <w:spacing w:val="-6"/>
        </w:rPr>
        <w:t xml:space="preserve"> </w:t>
      </w:r>
      <w:r>
        <w:t xml:space="preserve">its decisions on the </w:t>
      </w:r>
      <w:r>
        <w:rPr>
          <w:spacing w:val="-1"/>
        </w:rPr>
        <w:t>matters</w:t>
      </w:r>
      <w:r>
        <w:t xml:space="preserve"> inside and outside this scope,</w:t>
      </w:r>
      <w:r>
        <w:rPr>
          <w:spacing w:val="-7"/>
        </w:rPr>
        <w:t xml:space="preserve"> </w:t>
      </w:r>
      <w:r>
        <w:t>and the components of</w:t>
      </w:r>
      <w:r>
        <w:rPr>
          <w:spacing w:val="4"/>
        </w:rPr>
        <w:t xml:space="preserve"> </w:t>
      </w:r>
      <w:r>
        <w:t>the original</w:t>
      </w:r>
      <w:r>
        <w:rPr>
          <w:spacing w:val="24"/>
        </w:rPr>
        <w:t xml:space="preserve"> </w:t>
      </w:r>
      <w:r>
        <w:t xml:space="preserve">price </w:t>
      </w:r>
      <w:r>
        <w:rPr>
          <w:spacing w:val="-1"/>
        </w:rPr>
        <w:t>direction</w:t>
      </w:r>
      <w:r>
        <w:t xml:space="preserve"> </w:t>
      </w:r>
      <w:r>
        <w:rPr>
          <w:spacing w:val="-1"/>
        </w:rPr>
        <w:t>that</w:t>
      </w:r>
      <w:r>
        <w:t xml:space="preserve"> </w:t>
      </w:r>
      <w:r>
        <w:rPr>
          <w:spacing w:val="-2"/>
        </w:rPr>
        <w:t>require</w:t>
      </w:r>
      <w:r>
        <w:t xml:space="preserve"> its </w:t>
      </w:r>
      <w:r>
        <w:rPr>
          <w:spacing w:val="-1"/>
        </w:rPr>
        <w:t>review</w:t>
      </w:r>
      <w:r>
        <w:t xml:space="preserve"> and decision-making.</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111"/>
        </w:numPr>
        <w:tabs>
          <w:tab w:val="left" w:pos="1570"/>
          <w:tab w:val="left" w:pos="2040"/>
        </w:tabs>
        <w:ind w:hanging="322"/>
      </w:pPr>
      <w:r>
        <w:rPr>
          <w:color w:val="0778BE"/>
        </w:rPr>
        <w:t>1</w:t>
      </w:r>
      <w:r>
        <w:rPr>
          <w:color w:val="0778BE"/>
        </w:rPr>
        <w:tab/>
        <w:t xml:space="preserve">How the </w:t>
      </w:r>
      <w:r>
        <w:rPr>
          <w:color w:val="0778BE"/>
          <w:spacing w:val="-4"/>
        </w:rPr>
        <w:t>Panel</w:t>
      </w:r>
      <w:r>
        <w:rPr>
          <w:color w:val="0778BE"/>
        </w:rPr>
        <w:t xml:space="preserve"> determined the scope of</w:t>
      </w:r>
      <w:r>
        <w:rPr>
          <w:color w:val="0778BE"/>
          <w:spacing w:val="7"/>
        </w:rPr>
        <w:t xml:space="preserve"> </w:t>
      </w:r>
      <w:r>
        <w:rPr>
          <w:color w:val="0778BE"/>
        </w:rPr>
        <w:t xml:space="preserve">the </w:t>
      </w:r>
      <w:r>
        <w:rPr>
          <w:color w:val="0778BE"/>
          <w:spacing w:val="-1"/>
        </w:rPr>
        <w:t>review</w:t>
      </w:r>
    </w:p>
    <w:p w:rsidR="00D96B91" w:rsidRDefault="00C2656B">
      <w:pPr>
        <w:pStyle w:val="BodyText"/>
        <w:spacing w:before="55" w:line="260" w:lineRule="exact"/>
        <w:ind w:right="1355"/>
      </w:pPr>
      <w:r>
        <w:rPr>
          <w:spacing w:val="-10"/>
        </w:rPr>
        <w:t>To</w:t>
      </w:r>
      <w:r>
        <w:rPr>
          <w:spacing w:val="-1"/>
        </w:rPr>
        <w:t xml:space="preserve"> </w:t>
      </w:r>
      <w:r>
        <w:t>determine</w:t>
      </w:r>
      <w:r>
        <w:rPr>
          <w:spacing w:val="-1"/>
        </w:rPr>
        <w:t xml:space="preserve"> </w:t>
      </w:r>
      <w:r>
        <w:t>the scope</w:t>
      </w:r>
      <w:r>
        <w:rPr>
          <w:spacing w:val="-1"/>
        </w:rPr>
        <w:t xml:space="preserve"> </w:t>
      </w:r>
      <w:r>
        <w:t>of</w:t>
      </w:r>
      <w:r>
        <w:rPr>
          <w:spacing w:val="4"/>
        </w:rPr>
        <w:t xml:space="preserve"> </w:t>
      </w:r>
      <w:r>
        <w:t>the</w:t>
      </w:r>
      <w:r>
        <w:rPr>
          <w:spacing w:val="-1"/>
        </w:rPr>
        <w:t xml:space="preserve"> </w:t>
      </w:r>
      <w:r>
        <w:rPr>
          <w:spacing w:val="-2"/>
        </w:rPr>
        <w:t>review,</w:t>
      </w:r>
      <w:r>
        <w:rPr>
          <w:spacing w:val="-6"/>
        </w:rPr>
        <w:t xml:space="preserve"> </w:t>
      </w:r>
      <w:r>
        <w:t>the</w:t>
      </w:r>
      <w:r>
        <w:rPr>
          <w:spacing w:val="-1"/>
        </w:rPr>
        <w:t xml:space="preserve"> </w:t>
      </w:r>
      <w:r>
        <w:rPr>
          <w:spacing w:val="-3"/>
        </w:rPr>
        <w:t>Panel</w:t>
      </w:r>
      <w:r>
        <w:t xml:space="preserve"> </w:t>
      </w:r>
      <w:r>
        <w:rPr>
          <w:spacing w:val="-1"/>
        </w:rPr>
        <w:t>considered each</w:t>
      </w:r>
      <w:r>
        <w:t xml:space="preserve"> of</w:t>
      </w:r>
      <w:r>
        <w:rPr>
          <w:spacing w:val="3"/>
        </w:rPr>
        <w:t xml:space="preserve"> </w:t>
      </w:r>
      <w:r>
        <w:t>the</w:t>
      </w:r>
      <w:r>
        <w:rPr>
          <w:spacing w:val="-1"/>
        </w:rPr>
        <w:t xml:space="preserve"> matters</w:t>
      </w:r>
      <w:r>
        <w:rPr>
          <w:spacing w:val="-4"/>
        </w:rPr>
        <w:t xml:space="preserve"> </w:t>
      </w:r>
      <w:r>
        <w:rPr>
          <w:spacing w:val="-2"/>
        </w:rPr>
        <w:t>ACTEW</w:t>
      </w:r>
      <w:r>
        <w:rPr>
          <w:spacing w:val="-4"/>
        </w:rPr>
        <w:t xml:space="preserve"> </w:t>
      </w:r>
      <w:r>
        <w:t>identified as</w:t>
      </w:r>
      <w:r>
        <w:rPr>
          <w:spacing w:val="39"/>
        </w:rPr>
        <w:t xml:space="preserve"> </w:t>
      </w:r>
      <w:r>
        <w:t>the subject of</w:t>
      </w:r>
      <w:r>
        <w:rPr>
          <w:spacing w:val="4"/>
        </w:rPr>
        <w:t xml:space="preserve"> </w:t>
      </w:r>
      <w:r>
        <w:t xml:space="preserve">its </w:t>
      </w:r>
      <w:r>
        <w:rPr>
          <w:spacing w:val="-1"/>
        </w:rPr>
        <w:t>application</w:t>
      </w:r>
      <w:r>
        <w:t xml:space="preserve"> for </w:t>
      </w:r>
      <w:r>
        <w:rPr>
          <w:spacing w:val="-1"/>
        </w:rPr>
        <w:t>review</w:t>
      </w:r>
      <w:r>
        <w:t xml:space="preserve"> in its SOFC,</w:t>
      </w:r>
      <w:r>
        <w:rPr>
          <w:spacing w:val="-6"/>
        </w:rPr>
        <w:t xml:space="preserve"> </w:t>
      </w:r>
      <w:r>
        <w:t xml:space="preserve">and the </w:t>
      </w:r>
      <w:r>
        <w:rPr>
          <w:spacing w:val="-1"/>
        </w:rPr>
        <w:t>matters</w:t>
      </w:r>
      <w:r>
        <w:t xml:space="preserve"> </w:t>
      </w:r>
      <w:r>
        <w:rPr>
          <w:spacing w:val="-1"/>
        </w:rPr>
        <w:t>raised</w:t>
      </w:r>
      <w:r>
        <w:t xml:space="preserve"> in other submissions.</w:t>
      </w:r>
      <w:r>
        <w:rPr>
          <w:spacing w:val="-7"/>
        </w:rPr>
        <w:t xml:space="preserve"> </w:t>
      </w:r>
      <w:r>
        <w:t>It then</w:t>
      </w:r>
      <w:r>
        <w:rPr>
          <w:spacing w:val="33"/>
        </w:rPr>
        <w:t xml:space="preserve"> </w:t>
      </w:r>
      <w:r>
        <w:t xml:space="preserve">assessed </w:t>
      </w:r>
      <w:r>
        <w:rPr>
          <w:spacing w:val="-1"/>
        </w:rPr>
        <w:t>each</w:t>
      </w:r>
      <w:r>
        <w:t xml:space="preserve"> </w:t>
      </w:r>
      <w:r>
        <w:rPr>
          <w:spacing w:val="-1"/>
        </w:rPr>
        <w:t>matter</w:t>
      </w:r>
      <w:r>
        <w:t xml:space="preserve"> against a set of</w:t>
      </w:r>
      <w:r>
        <w:rPr>
          <w:spacing w:val="4"/>
        </w:rPr>
        <w:t xml:space="preserve"> </w:t>
      </w:r>
      <w:r>
        <w:rPr>
          <w:spacing w:val="-1"/>
        </w:rPr>
        <w:t>three</w:t>
      </w:r>
      <w:r>
        <w:t xml:space="preserve"> criteria.</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0"/>
        </w:numPr>
        <w:tabs>
          <w:tab w:val="left" w:pos="2098"/>
        </w:tabs>
        <w:ind w:hanging="850"/>
      </w:pPr>
      <w:r>
        <w:rPr>
          <w:color w:val="0778BE"/>
          <w:spacing w:val="-1"/>
        </w:rPr>
        <w:t>Matters</w:t>
      </w:r>
      <w:r>
        <w:rPr>
          <w:color w:val="0778BE"/>
        </w:rPr>
        <w:t xml:space="preserve"> </w:t>
      </w:r>
      <w:r>
        <w:rPr>
          <w:color w:val="0778BE"/>
          <w:spacing w:val="-1"/>
        </w:rPr>
        <w:t>raised</w:t>
      </w:r>
      <w:r>
        <w:rPr>
          <w:color w:val="0778BE"/>
        </w:rPr>
        <w:t xml:space="preserve"> by</w:t>
      </w:r>
      <w:r>
        <w:rPr>
          <w:color w:val="0778BE"/>
          <w:spacing w:val="-5"/>
        </w:rPr>
        <w:t xml:space="preserve"> </w:t>
      </w:r>
      <w:r>
        <w:rPr>
          <w:color w:val="0778BE"/>
          <w:spacing w:val="-2"/>
        </w:rPr>
        <w:t>ACTEW</w:t>
      </w:r>
    </w:p>
    <w:p w:rsidR="00D96B91" w:rsidRDefault="00C2656B">
      <w:pPr>
        <w:pStyle w:val="BodyText"/>
        <w:spacing w:before="29"/>
      </w:pPr>
      <w:r>
        <w:rPr>
          <w:spacing w:val="-2"/>
        </w:rPr>
        <w:t>ACTEW</w:t>
      </w:r>
      <w:r>
        <w:rPr>
          <w:spacing w:val="-3"/>
        </w:rPr>
        <w:t xml:space="preserve"> </w:t>
      </w:r>
      <w:r>
        <w:rPr>
          <w:spacing w:val="-1"/>
        </w:rPr>
        <w:t>raised</w:t>
      </w:r>
      <w:r>
        <w:t xml:space="preserve"> the following </w:t>
      </w:r>
      <w:r>
        <w:rPr>
          <w:spacing w:val="-1"/>
        </w:rPr>
        <w:t>matters</w:t>
      </w:r>
      <w:r>
        <w:t xml:space="preserve"> in its SOFC:</w:t>
      </w:r>
    </w:p>
    <w:p w:rsidR="00D96B91" w:rsidRDefault="00C2656B">
      <w:pPr>
        <w:numPr>
          <w:ilvl w:val="0"/>
          <w:numId w:val="131"/>
        </w:numPr>
        <w:tabs>
          <w:tab w:val="left" w:pos="1531"/>
        </w:tabs>
        <w:spacing w:before="149" w:line="260" w:lineRule="exact"/>
        <w:ind w:right="1872" w:hanging="283"/>
        <w:rPr>
          <w:rFonts w:ascii="Avenir Next" w:eastAsia="Avenir Next" w:hAnsi="Avenir Next" w:cs="Avenir Next"/>
          <w:sz w:val="20"/>
          <w:szCs w:val="20"/>
        </w:rPr>
      </w:pPr>
      <w:r>
        <w:rPr>
          <w:rFonts w:ascii="Avenir Next"/>
          <w:b/>
          <w:spacing w:val="-4"/>
          <w:sz w:val="20"/>
        </w:rPr>
        <w:t>The</w:t>
      </w:r>
      <w:r>
        <w:rPr>
          <w:rFonts w:ascii="Avenir Next"/>
          <w:b/>
          <w:spacing w:val="-8"/>
          <w:sz w:val="20"/>
        </w:rPr>
        <w:t xml:space="preserve"> </w:t>
      </w:r>
      <w:r>
        <w:rPr>
          <w:rFonts w:ascii="Avenir Next"/>
          <w:b/>
          <w:spacing w:val="-5"/>
          <w:sz w:val="20"/>
        </w:rPr>
        <w:t>six-year</w:t>
      </w:r>
      <w:r>
        <w:rPr>
          <w:rFonts w:ascii="Avenir Next"/>
          <w:b/>
          <w:spacing w:val="-8"/>
          <w:sz w:val="20"/>
        </w:rPr>
        <w:t xml:space="preserve"> </w:t>
      </w:r>
      <w:r>
        <w:rPr>
          <w:rFonts w:ascii="Avenir Next"/>
          <w:b/>
          <w:spacing w:val="-5"/>
          <w:sz w:val="20"/>
        </w:rPr>
        <w:t>regulatory</w:t>
      </w:r>
      <w:r>
        <w:rPr>
          <w:rFonts w:ascii="Avenir Next"/>
          <w:b/>
          <w:spacing w:val="-8"/>
          <w:sz w:val="20"/>
        </w:rPr>
        <w:t xml:space="preserve"> </w:t>
      </w:r>
      <w:r>
        <w:rPr>
          <w:rFonts w:ascii="Avenir Next"/>
          <w:b/>
          <w:spacing w:val="-4"/>
          <w:sz w:val="20"/>
        </w:rPr>
        <w:t>period</w:t>
      </w:r>
      <w:r>
        <w:rPr>
          <w:rFonts w:ascii="Avenir Next"/>
          <w:b/>
          <w:spacing w:val="-8"/>
          <w:sz w:val="20"/>
        </w:rPr>
        <w:t xml:space="preserve"> </w:t>
      </w:r>
      <w:r>
        <w:rPr>
          <w:rFonts w:ascii="Avenir Next"/>
          <w:b/>
          <w:spacing w:val="-3"/>
          <w:sz w:val="20"/>
        </w:rPr>
        <w:t>and</w:t>
      </w:r>
      <w:r>
        <w:rPr>
          <w:rFonts w:ascii="Avenir Next"/>
          <w:b/>
          <w:spacing w:val="-8"/>
          <w:sz w:val="20"/>
        </w:rPr>
        <w:t xml:space="preserve"> </w:t>
      </w:r>
      <w:r>
        <w:rPr>
          <w:rFonts w:ascii="Avenir Next"/>
          <w:b/>
          <w:spacing w:val="-4"/>
          <w:sz w:val="20"/>
        </w:rPr>
        <w:t>biennial</w:t>
      </w:r>
      <w:r>
        <w:rPr>
          <w:rFonts w:ascii="Avenir Next"/>
          <w:b/>
          <w:spacing w:val="-8"/>
          <w:sz w:val="20"/>
        </w:rPr>
        <w:t xml:space="preserve"> </w:t>
      </w:r>
      <w:r>
        <w:rPr>
          <w:rFonts w:ascii="Avenir Next"/>
          <w:b/>
          <w:spacing w:val="-5"/>
          <w:sz w:val="20"/>
        </w:rPr>
        <w:t>recalibration</w:t>
      </w:r>
      <w:r>
        <w:rPr>
          <w:rFonts w:ascii="Avenir Next"/>
          <w:b/>
          <w:spacing w:val="-8"/>
          <w:sz w:val="20"/>
        </w:rPr>
        <w:t xml:space="preserve"> </w:t>
      </w:r>
      <w:r>
        <w:rPr>
          <w:rFonts w:ascii="Avenir Next"/>
          <w:b/>
          <w:spacing w:val="-4"/>
          <w:sz w:val="20"/>
        </w:rPr>
        <w:t>mechanism</w:t>
      </w:r>
      <w:r>
        <w:rPr>
          <w:rFonts w:ascii="Avenir Next"/>
          <w:spacing w:val="-4"/>
          <w:sz w:val="20"/>
        </w:rPr>
        <w:t>.</w:t>
      </w:r>
      <w:r>
        <w:rPr>
          <w:rFonts w:ascii="Avenir Next"/>
          <w:spacing w:val="-18"/>
          <w:sz w:val="20"/>
        </w:rPr>
        <w:t xml:space="preserve"> </w:t>
      </w:r>
      <w:r>
        <w:rPr>
          <w:rFonts w:ascii="Avenir Next"/>
          <w:spacing w:val="-5"/>
          <w:sz w:val="20"/>
        </w:rPr>
        <w:t>ACTEW</w:t>
      </w:r>
      <w:r>
        <w:rPr>
          <w:rFonts w:ascii="Avenir Next"/>
          <w:spacing w:val="-11"/>
          <w:sz w:val="20"/>
        </w:rPr>
        <w:t xml:space="preserve"> </w:t>
      </w:r>
      <w:r>
        <w:rPr>
          <w:rFonts w:ascii="Avenir Next"/>
          <w:spacing w:val="-4"/>
          <w:sz w:val="20"/>
        </w:rPr>
        <w:t>contended</w:t>
      </w:r>
      <w:r>
        <w:rPr>
          <w:rFonts w:ascii="Avenir Next"/>
          <w:spacing w:val="-8"/>
          <w:sz w:val="20"/>
        </w:rPr>
        <w:t xml:space="preserve"> </w:t>
      </w:r>
      <w:r>
        <w:rPr>
          <w:rFonts w:ascii="Avenir Next"/>
          <w:spacing w:val="-4"/>
          <w:sz w:val="20"/>
        </w:rPr>
        <w:t>that</w:t>
      </w:r>
      <w:r>
        <w:rPr>
          <w:rFonts w:ascii="Avenir Next"/>
          <w:spacing w:val="-8"/>
          <w:sz w:val="20"/>
        </w:rPr>
        <w:t xml:space="preserve"> </w:t>
      </w:r>
      <w:r>
        <w:rPr>
          <w:rFonts w:ascii="Avenir Next"/>
          <w:spacing w:val="-4"/>
          <w:sz w:val="20"/>
        </w:rPr>
        <w:t>in</w:t>
      </w:r>
      <w:r>
        <w:rPr>
          <w:rFonts w:ascii="Avenir Next"/>
          <w:spacing w:val="89"/>
          <w:sz w:val="20"/>
        </w:rPr>
        <w:t xml:space="preserve"> </w:t>
      </w:r>
      <w:r>
        <w:rPr>
          <w:rFonts w:ascii="Avenir Next"/>
          <w:spacing w:val="-4"/>
          <w:sz w:val="20"/>
        </w:rPr>
        <w:t>deciding</w:t>
      </w:r>
      <w:r>
        <w:rPr>
          <w:rFonts w:ascii="Avenir Next"/>
          <w:spacing w:val="-8"/>
          <w:sz w:val="20"/>
        </w:rPr>
        <w:t xml:space="preserve"> </w:t>
      </w:r>
      <w:r>
        <w:rPr>
          <w:rFonts w:ascii="Avenir Next"/>
          <w:spacing w:val="-2"/>
          <w:sz w:val="20"/>
        </w:rPr>
        <w:t>on</w:t>
      </w:r>
      <w:r>
        <w:rPr>
          <w:rFonts w:ascii="Avenir Next"/>
          <w:spacing w:val="-8"/>
          <w:sz w:val="20"/>
        </w:rPr>
        <w:t xml:space="preserve"> </w:t>
      </w:r>
      <w:r>
        <w:rPr>
          <w:rFonts w:ascii="Avenir Next"/>
          <w:sz w:val="20"/>
        </w:rPr>
        <w:t>a</w:t>
      </w:r>
      <w:r>
        <w:rPr>
          <w:rFonts w:ascii="Avenir Next"/>
          <w:spacing w:val="-8"/>
          <w:sz w:val="20"/>
        </w:rPr>
        <w:t xml:space="preserve"> </w:t>
      </w:r>
      <w:r>
        <w:rPr>
          <w:rFonts w:ascii="Avenir Next"/>
          <w:spacing w:val="-5"/>
          <w:sz w:val="20"/>
        </w:rPr>
        <w:t>six-year</w:t>
      </w:r>
      <w:r>
        <w:rPr>
          <w:rFonts w:ascii="Avenir Next"/>
          <w:spacing w:val="-8"/>
          <w:sz w:val="20"/>
        </w:rPr>
        <w:t xml:space="preserve"> </w:t>
      </w:r>
      <w:r>
        <w:rPr>
          <w:rFonts w:ascii="Avenir Next"/>
          <w:spacing w:val="-5"/>
          <w:sz w:val="20"/>
        </w:rPr>
        <w:t>regulatory</w:t>
      </w:r>
      <w:r>
        <w:rPr>
          <w:rFonts w:ascii="Avenir Next"/>
          <w:spacing w:val="-8"/>
          <w:sz w:val="20"/>
        </w:rPr>
        <w:t xml:space="preserve"> </w:t>
      </w:r>
      <w:r>
        <w:rPr>
          <w:rFonts w:ascii="Avenir Next"/>
          <w:spacing w:val="-4"/>
          <w:sz w:val="20"/>
        </w:rPr>
        <w:t>period</w:t>
      </w:r>
      <w:r>
        <w:rPr>
          <w:rFonts w:ascii="Avenir Next"/>
          <w:spacing w:val="-8"/>
          <w:sz w:val="20"/>
        </w:rPr>
        <w:t xml:space="preserve"> </w:t>
      </w:r>
      <w:r>
        <w:rPr>
          <w:rFonts w:ascii="Avenir Next"/>
          <w:spacing w:val="-3"/>
          <w:sz w:val="20"/>
        </w:rPr>
        <w:t>with</w:t>
      </w:r>
      <w:r>
        <w:rPr>
          <w:rFonts w:ascii="Avenir Next"/>
          <w:spacing w:val="-8"/>
          <w:sz w:val="20"/>
        </w:rPr>
        <w:t xml:space="preserve"> </w:t>
      </w:r>
      <w:r>
        <w:rPr>
          <w:rFonts w:ascii="Avenir Next"/>
          <w:spacing w:val="-4"/>
          <w:sz w:val="20"/>
        </w:rPr>
        <w:t>biennial</w:t>
      </w:r>
      <w:r>
        <w:rPr>
          <w:rFonts w:ascii="Avenir Next"/>
          <w:spacing w:val="-8"/>
          <w:sz w:val="20"/>
        </w:rPr>
        <w:t xml:space="preserve"> </w:t>
      </w:r>
      <w:r>
        <w:rPr>
          <w:rFonts w:ascii="Avenir Next"/>
          <w:spacing w:val="-5"/>
          <w:sz w:val="20"/>
        </w:rPr>
        <w:t>recalibrations,</w:t>
      </w:r>
      <w:r>
        <w:rPr>
          <w:rFonts w:ascii="Avenir Next"/>
          <w:spacing w:val="-14"/>
          <w:sz w:val="20"/>
        </w:rPr>
        <w:t xml:space="preserve"> </w:t>
      </w:r>
      <w:r>
        <w:rPr>
          <w:rFonts w:ascii="Avenir Next"/>
          <w:spacing w:val="-3"/>
          <w:sz w:val="20"/>
        </w:rPr>
        <w:t>the</w:t>
      </w:r>
      <w:r>
        <w:rPr>
          <w:rFonts w:ascii="Avenir Next"/>
          <w:spacing w:val="-8"/>
          <w:sz w:val="20"/>
        </w:rPr>
        <w:t xml:space="preserve"> </w:t>
      </w:r>
      <w:r>
        <w:rPr>
          <w:rFonts w:ascii="Avenir Next"/>
          <w:spacing w:val="-3"/>
          <w:sz w:val="20"/>
        </w:rPr>
        <w:t>ICRC</w:t>
      </w:r>
      <w:r>
        <w:rPr>
          <w:rFonts w:ascii="Avenir Next"/>
          <w:spacing w:val="-8"/>
          <w:sz w:val="20"/>
        </w:rPr>
        <w:t xml:space="preserve"> </w:t>
      </w:r>
      <w:r>
        <w:rPr>
          <w:rFonts w:ascii="Avenir Next"/>
          <w:spacing w:val="-3"/>
          <w:sz w:val="20"/>
        </w:rPr>
        <w:t>did</w:t>
      </w:r>
      <w:r>
        <w:rPr>
          <w:rFonts w:ascii="Avenir Next"/>
          <w:spacing w:val="-8"/>
          <w:sz w:val="20"/>
        </w:rPr>
        <w:t xml:space="preserve"> </w:t>
      </w:r>
      <w:r>
        <w:rPr>
          <w:rFonts w:ascii="Avenir Next"/>
          <w:spacing w:val="-3"/>
          <w:sz w:val="20"/>
        </w:rPr>
        <w:t>not</w:t>
      </w:r>
      <w:r>
        <w:rPr>
          <w:rFonts w:ascii="Avenir Next"/>
          <w:spacing w:val="-8"/>
          <w:sz w:val="20"/>
        </w:rPr>
        <w:t xml:space="preserve"> </w:t>
      </w:r>
      <w:r>
        <w:rPr>
          <w:rFonts w:ascii="Avenir Next"/>
          <w:spacing w:val="-3"/>
          <w:sz w:val="20"/>
        </w:rPr>
        <w:t>have</w:t>
      </w:r>
      <w:r>
        <w:rPr>
          <w:rFonts w:ascii="Avenir Next"/>
          <w:spacing w:val="-8"/>
          <w:sz w:val="20"/>
        </w:rPr>
        <w:t xml:space="preserve"> </w:t>
      </w:r>
      <w:r>
        <w:rPr>
          <w:rFonts w:ascii="Avenir Next"/>
          <w:spacing w:val="-5"/>
          <w:sz w:val="20"/>
        </w:rPr>
        <w:t>proper</w:t>
      </w:r>
    </w:p>
    <w:p w:rsidR="00D96B91" w:rsidRDefault="00C2656B">
      <w:pPr>
        <w:pStyle w:val="BodyText"/>
        <w:spacing w:line="260" w:lineRule="exact"/>
        <w:ind w:left="1530" w:right="1256"/>
      </w:pPr>
      <w:r>
        <w:rPr>
          <w:spacing w:val="-5"/>
        </w:rPr>
        <w:t>regard</w:t>
      </w:r>
      <w:r>
        <w:rPr>
          <w:spacing w:val="-8"/>
        </w:rPr>
        <w:t xml:space="preserve"> </w:t>
      </w:r>
      <w:r>
        <w:rPr>
          <w:spacing w:val="-2"/>
        </w:rPr>
        <w:t>to</w:t>
      </w:r>
      <w:r>
        <w:rPr>
          <w:spacing w:val="-8"/>
        </w:rPr>
        <w:t xml:space="preserve"> </w:t>
      </w:r>
      <w:r>
        <w:rPr>
          <w:spacing w:val="-4"/>
        </w:rPr>
        <w:t>sub-sections</w:t>
      </w:r>
      <w:r>
        <w:rPr>
          <w:spacing w:val="-7"/>
        </w:rPr>
        <w:t xml:space="preserve"> </w:t>
      </w:r>
      <w:r>
        <w:rPr>
          <w:spacing w:val="-4"/>
        </w:rPr>
        <w:t>20(2)(d),</w:t>
      </w:r>
      <w:r>
        <w:rPr>
          <w:spacing w:val="-14"/>
        </w:rPr>
        <w:t xml:space="preserve"> </w:t>
      </w:r>
      <w:r>
        <w:rPr>
          <w:spacing w:val="-3"/>
        </w:rPr>
        <w:t>(e)</w:t>
      </w:r>
      <w:r>
        <w:rPr>
          <w:spacing w:val="-7"/>
        </w:rPr>
        <w:t xml:space="preserve"> </w:t>
      </w:r>
      <w:r>
        <w:rPr>
          <w:spacing w:val="-3"/>
        </w:rPr>
        <w:t>and</w:t>
      </w:r>
      <w:r>
        <w:rPr>
          <w:spacing w:val="-8"/>
        </w:rPr>
        <w:t xml:space="preserve"> </w:t>
      </w:r>
      <w:r>
        <w:rPr>
          <w:spacing w:val="-3"/>
        </w:rPr>
        <w:t>(i)</w:t>
      </w:r>
      <w:r>
        <w:rPr>
          <w:spacing w:val="-7"/>
        </w:rPr>
        <w:t xml:space="preserve"> </w:t>
      </w:r>
      <w:r>
        <w:rPr>
          <w:spacing w:val="-2"/>
        </w:rPr>
        <w:t>of</w:t>
      </w:r>
      <w:r>
        <w:rPr>
          <w:spacing w:val="-4"/>
        </w:rPr>
        <w:t xml:space="preserve"> </w:t>
      </w:r>
      <w:r>
        <w:rPr>
          <w:spacing w:val="-3"/>
        </w:rPr>
        <w:t>the</w:t>
      </w:r>
      <w:r>
        <w:rPr>
          <w:spacing w:val="-11"/>
        </w:rPr>
        <w:t xml:space="preserve"> </w:t>
      </w:r>
      <w:r>
        <w:rPr>
          <w:spacing w:val="-4"/>
        </w:rPr>
        <w:t>Act.</w:t>
      </w:r>
      <w:r>
        <w:rPr>
          <w:spacing w:val="-4"/>
          <w:position w:val="7"/>
          <w:sz w:val="11"/>
        </w:rPr>
        <w:t>20</w:t>
      </w:r>
      <w:r>
        <w:rPr>
          <w:spacing w:val="16"/>
          <w:position w:val="7"/>
          <w:sz w:val="11"/>
        </w:rPr>
        <w:t xml:space="preserve"> </w:t>
      </w:r>
      <w:r>
        <w:rPr>
          <w:spacing w:val="-2"/>
        </w:rPr>
        <w:t>It</w:t>
      </w:r>
      <w:r>
        <w:rPr>
          <w:spacing w:val="-8"/>
        </w:rPr>
        <w:t xml:space="preserve"> </w:t>
      </w:r>
      <w:r>
        <w:rPr>
          <w:spacing w:val="-3"/>
        </w:rPr>
        <w:t>also</w:t>
      </w:r>
      <w:r>
        <w:rPr>
          <w:spacing w:val="-8"/>
        </w:rPr>
        <w:t xml:space="preserve"> </w:t>
      </w:r>
      <w:r>
        <w:rPr>
          <w:spacing w:val="-4"/>
        </w:rPr>
        <w:t>contended</w:t>
      </w:r>
      <w:r>
        <w:rPr>
          <w:spacing w:val="-7"/>
        </w:rPr>
        <w:t xml:space="preserve"> </w:t>
      </w:r>
      <w:r>
        <w:rPr>
          <w:spacing w:val="-3"/>
        </w:rPr>
        <w:t>this</w:t>
      </w:r>
      <w:r>
        <w:rPr>
          <w:spacing w:val="-8"/>
        </w:rPr>
        <w:t xml:space="preserve"> </w:t>
      </w:r>
      <w:r>
        <w:rPr>
          <w:spacing w:val="-4"/>
        </w:rPr>
        <w:t>decision</w:t>
      </w:r>
      <w:r>
        <w:rPr>
          <w:spacing w:val="-7"/>
        </w:rPr>
        <w:t xml:space="preserve"> </w:t>
      </w:r>
      <w:r>
        <w:rPr>
          <w:spacing w:val="-3"/>
        </w:rPr>
        <w:t>may</w:t>
      </w:r>
      <w:r>
        <w:rPr>
          <w:spacing w:val="-8"/>
        </w:rPr>
        <w:t xml:space="preserve"> </w:t>
      </w:r>
      <w:r>
        <w:rPr>
          <w:spacing w:val="-2"/>
        </w:rPr>
        <w:t>be</w:t>
      </w:r>
      <w:r>
        <w:rPr>
          <w:spacing w:val="-7"/>
        </w:rPr>
        <w:t xml:space="preserve"> </w:t>
      </w:r>
      <w:r>
        <w:rPr>
          <w:spacing w:val="-4"/>
        </w:rPr>
        <w:t>inconsistent</w:t>
      </w:r>
      <w:r>
        <w:rPr>
          <w:spacing w:val="55"/>
        </w:rPr>
        <w:t xml:space="preserve"> </w:t>
      </w:r>
      <w:r>
        <w:rPr>
          <w:spacing w:val="-3"/>
        </w:rPr>
        <w:t>with</w:t>
      </w:r>
      <w:r>
        <w:rPr>
          <w:spacing w:val="-8"/>
        </w:rPr>
        <w:t xml:space="preserve"> </w:t>
      </w:r>
      <w:r>
        <w:rPr>
          <w:spacing w:val="-4"/>
        </w:rPr>
        <w:t>section</w:t>
      </w:r>
      <w:r>
        <w:rPr>
          <w:spacing w:val="-8"/>
        </w:rPr>
        <w:t xml:space="preserve"> </w:t>
      </w:r>
      <w:r>
        <w:rPr>
          <w:spacing w:val="-3"/>
        </w:rPr>
        <w:t>20A</w:t>
      </w:r>
      <w:r>
        <w:rPr>
          <w:spacing w:val="-11"/>
        </w:rPr>
        <w:t xml:space="preserve"> </w:t>
      </w:r>
      <w:r>
        <w:rPr>
          <w:spacing w:val="-2"/>
        </w:rPr>
        <w:t>of</w:t>
      </w:r>
      <w:r>
        <w:rPr>
          <w:spacing w:val="-4"/>
        </w:rPr>
        <w:t xml:space="preserve"> </w:t>
      </w:r>
      <w:r>
        <w:rPr>
          <w:spacing w:val="-3"/>
        </w:rPr>
        <w:t>the</w:t>
      </w:r>
      <w:r>
        <w:rPr>
          <w:spacing w:val="-11"/>
        </w:rPr>
        <w:t xml:space="preserve"> </w:t>
      </w:r>
      <w:r>
        <w:rPr>
          <w:spacing w:val="-3"/>
        </w:rPr>
        <w:t>Act</w:t>
      </w:r>
      <w:r>
        <w:rPr>
          <w:spacing w:val="-3"/>
          <w:position w:val="7"/>
          <w:sz w:val="11"/>
        </w:rPr>
        <w:t>21</w:t>
      </w:r>
      <w:r>
        <w:rPr>
          <w:spacing w:val="16"/>
          <w:position w:val="7"/>
          <w:sz w:val="11"/>
        </w:rPr>
        <w:t xml:space="preserve"> </w:t>
      </w:r>
      <w:r>
        <w:rPr>
          <w:spacing w:val="-4"/>
        </w:rPr>
        <w:t>because</w:t>
      </w:r>
      <w:r>
        <w:rPr>
          <w:spacing w:val="-8"/>
        </w:rPr>
        <w:t xml:space="preserve"> </w:t>
      </w:r>
      <w:r>
        <w:rPr>
          <w:spacing w:val="-4"/>
        </w:rPr>
        <w:t>there</w:t>
      </w:r>
      <w:r>
        <w:rPr>
          <w:spacing w:val="-7"/>
        </w:rPr>
        <w:t xml:space="preserve"> </w:t>
      </w:r>
      <w:r>
        <w:rPr>
          <w:spacing w:val="-4"/>
        </w:rPr>
        <w:t>are</w:t>
      </w:r>
      <w:r>
        <w:rPr>
          <w:spacing w:val="-8"/>
        </w:rPr>
        <w:t xml:space="preserve"> </w:t>
      </w:r>
      <w:r>
        <w:rPr>
          <w:spacing w:val="-2"/>
        </w:rPr>
        <w:t>no</w:t>
      </w:r>
      <w:r>
        <w:rPr>
          <w:spacing w:val="-7"/>
        </w:rPr>
        <w:t xml:space="preserve"> </w:t>
      </w:r>
      <w:r>
        <w:rPr>
          <w:spacing w:val="-4"/>
        </w:rPr>
        <w:t>clear</w:t>
      </w:r>
      <w:r>
        <w:rPr>
          <w:spacing w:val="-8"/>
        </w:rPr>
        <w:t xml:space="preserve"> </w:t>
      </w:r>
      <w:r>
        <w:rPr>
          <w:spacing w:val="-4"/>
        </w:rPr>
        <w:t>principles</w:t>
      </w:r>
      <w:r>
        <w:rPr>
          <w:spacing w:val="-7"/>
        </w:rPr>
        <w:t xml:space="preserve"> </w:t>
      </w:r>
      <w:r>
        <w:rPr>
          <w:spacing w:val="-2"/>
        </w:rPr>
        <w:t>or</w:t>
      </w:r>
      <w:r>
        <w:rPr>
          <w:spacing w:val="-8"/>
        </w:rPr>
        <w:t xml:space="preserve"> </w:t>
      </w:r>
      <w:r>
        <w:rPr>
          <w:spacing w:val="-4"/>
        </w:rPr>
        <w:t>methods</w:t>
      </w:r>
      <w:r>
        <w:rPr>
          <w:spacing w:val="-7"/>
        </w:rPr>
        <w:t xml:space="preserve"> </w:t>
      </w:r>
      <w:r>
        <w:rPr>
          <w:spacing w:val="-3"/>
        </w:rPr>
        <w:t>for</w:t>
      </w:r>
      <w:r>
        <w:rPr>
          <w:spacing w:val="-8"/>
        </w:rPr>
        <w:t xml:space="preserve"> </w:t>
      </w:r>
      <w:r>
        <w:rPr>
          <w:spacing w:val="-4"/>
        </w:rPr>
        <w:t>determining</w:t>
      </w:r>
      <w:r>
        <w:rPr>
          <w:spacing w:val="-7"/>
        </w:rPr>
        <w:t xml:space="preserve"> </w:t>
      </w:r>
      <w:r>
        <w:rPr>
          <w:spacing w:val="-5"/>
        </w:rPr>
        <w:t>forecast</w:t>
      </w:r>
      <w:r>
        <w:rPr>
          <w:spacing w:val="57"/>
        </w:rPr>
        <w:t xml:space="preserve"> </w:t>
      </w:r>
      <w:r>
        <w:rPr>
          <w:spacing w:val="-4"/>
        </w:rPr>
        <w:t>demand</w:t>
      </w:r>
      <w:r>
        <w:rPr>
          <w:spacing w:val="-8"/>
        </w:rPr>
        <w:t xml:space="preserve"> </w:t>
      </w:r>
      <w:r>
        <w:rPr>
          <w:spacing w:val="-2"/>
        </w:rPr>
        <w:t>or</w:t>
      </w:r>
      <w:r>
        <w:rPr>
          <w:spacing w:val="-8"/>
        </w:rPr>
        <w:t xml:space="preserve"> </w:t>
      </w:r>
      <w:r>
        <w:rPr>
          <w:spacing w:val="-3"/>
        </w:rPr>
        <w:t>the</w:t>
      </w:r>
      <w:r>
        <w:rPr>
          <w:spacing w:val="-8"/>
        </w:rPr>
        <w:t xml:space="preserve"> </w:t>
      </w:r>
      <w:r>
        <w:rPr>
          <w:spacing w:val="-3"/>
        </w:rPr>
        <w:t>cost</w:t>
      </w:r>
      <w:r>
        <w:rPr>
          <w:spacing w:val="-8"/>
        </w:rPr>
        <w:t xml:space="preserve"> </w:t>
      </w:r>
      <w:r>
        <w:rPr>
          <w:spacing w:val="-2"/>
        </w:rPr>
        <w:t>of</w:t>
      </w:r>
      <w:r>
        <w:rPr>
          <w:spacing w:val="-4"/>
        </w:rPr>
        <w:t xml:space="preserve"> </w:t>
      </w:r>
      <w:r>
        <w:rPr>
          <w:spacing w:val="-5"/>
        </w:rPr>
        <w:t>equity.</w:t>
      </w:r>
      <w:r>
        <w:rPr>
          <w:spacing w:val="-14"/>
        </w:rPr>
        <w:t xml:space="preserve"> </w:t>
      </w:r>
      <w:r>
        <w:rPr>
          <w:spacing w:val="-7"/>
        </w:rPr>
        <w:t>Further,</w:t>
      </w:r>
      <w:r>
        <w:rPr>
          <w:spacing w:val="-14"/>
        </w:rPr>
        <w:t xml:space="preserve"> </w:t>
      </w:r>
      <w:r>
        <w:rPr>
          <w:spacing w:val="-2"/>
        </w:rPr>
        <w:t>it</w:t>
      </w:r>
      <w:r>
        <w:rPr>
          <w:spacing w:val="-8"/>
        </w:rPr>
        <w:t xml:space="preserve"> </w:t>
      </w:r>
      <w:r>
        <w:rPr>
          <w:spacing w:val="-4"/>
        </w:rPr>
        <w:t>argued</w:t>
      </w:r>
      <w:r>
        <w:rPr>
          <w:spacing w:val="-8"/>
        </w:rPr>
        <w:t xml:space="preserve"> </w:t>
      </w:r>
      <w:r>
        <w:rPr>
          <w:spacing w:val="-4"/>
        </w:rPr>
        <w:t>that</w:t>
      </w:r>
      <w:r>
        <w:rPr>
          <w:spacing w:val="-8"/>
        </w:rPr>
        <w:t xml:space="preserve"> </w:t>
      </w:r>
      <w:r>
        <w:rPr>
          <w:spacing w:val="-3"/>
        </w:rPr>
        <w:t>the</w:t>
      </w:r>
      <w:r>
        <w:rPr>
          <w:spacing w:val="-8"/>
        </w:rPr>
        <w:t xml:space="preserve"> </w:t>
      </w:r>
      <w:r>
        <w:rPr>
          <w:spacing w:val="-4"/>
        </w:rPr>
        <w:t>biennial</w:t>
      </w:r>
      <w:r>
        <w:rPr>
          <w:spacing w:val="-8"/>
        </w:rPr>
        <w:t xml:space="preserve"> </w:t>
      </w:r>
      <w:r>
        <w:rPr>
          <w:spacing w:val="-5"/>
        </w:rPr>
        <w:t>recalibration</w:t>
      </w:r>
      <w:r>
        <w:rPr>
          <w:spacing w:val="-8"/>
        </w:rPr>
        <w:t xml:space="preserve"> </w:t>
      </w:r>
      <w:r>
        <w:rPr>
          <w:spacing w:val="-4"/>
        </w:rPr>
        <w:t>mechanism:</w:t>
      </w:r>
    </w:p>
    <w:p w:rsidR="00D96B91" w:rsidRDefault="00C2656B">
      <w:pPr>
        <w:pStyle w:val="BodyText"/>
        <w:numPr>
          <w:ilvl w:val="1"/>
          <w:numId w:val="131"/>
        </w:numPr>
        <w:tabs>
          <w:tab w:val="left" w:pos="1815"/>
        </w:tabs>
        <w:spacing w:before="93"/>
        <w:rPr>
          <w:rFonts w:cs="Avenir Next"/>
        </w:rPr>
      </w:pPr>
      <w:r>
        <w:rPr>
          <w:spacing w:val="-1"/>
        </w:rPr>
        <w:t>provides</w:t>
      </w:r>
      <w:r>
        <w:t xml:space="preserve"> an </w:t>
      </w:r>
      <w:r>
        <w:rPr>
          <w:spacing w:val="-1"/>
        </w:rPr>
        <w:t>uncertain</w:t>
      </w:r>
      <w:r>
        <w:t xml:space="preserve"> basis for its investment decisions</w:t>
      </w:r>
    </w:p>
    <w:p w:rsidR="00D96B91" w:rsidRDefault="00C2656B">
      <w:pPr>
        <w:pStyle w:val="BodyText"/>
        <w:numPr>
          <w:ilvl w:val="1"/>
          <w:numId w:val="131"/>
        </w:numPr>
        <w:tabs>
          <w:tab w:val="left" w:pos="1815"/>
        </w:tabs>
        <w:spacing w:before="72"/>
      </w:pPr>
      <w:r>
        <w:rPr>
          <w:spacing w:val="-1"/>
        </w:rPr>
        <w:t>reduces</w:t>
      </w:r>
      <w:r>
        <w:rPr>
          <w:spacing w:val="-2"/>
        </w:rPr>
        <w:t xml:space="preserve"> </w:t>
      </w:r>
      <w:r>
        <w:t>its</w:t>
      </w:r>
      <w:r>
        <w:rPr>
          <w:spacing w:val="-1"/>
        </w:rPr>
        <w:t xml:space="preserve"> </w:t>
      </w:r>
      <w:r>
        <w:t>incentives</w:t>
      </w:r>
      <w:r>
        <w:rPr>
          <w:spacing w:val="-2"/>
        </w:rPr>
        <w:t xml:space="preserve"> </w:t>
      </w:r>
      <w:r>
        <w:t>for</w:t>
      </w:r>
      <w:r>
        <w:rPr>
          <w:spacing w:val="-1"/>
        </w:rPr>
        <w:t xml:space="preserve"> </w:t>
      </w:r>
      <w:r>
        <w:rPr>
          <w:spacing w:val="-2"/>
        </w:rPr>
        <w:t>efficiency,</w:t>
      </w:r>
      <w:r>
        <w:rPr>
          <w:spacing w:val="-7"/>
        </w:rPr>
        <w:t xml:space="preserve"> </w:t>
      </w:r>
      <w:r>
        <w:t>and</w:t>
      </w:r>
    </w:p>
    <w:p w:rsidR="00D96B91" w:rsidRDefault="00C2656B">
      <w:pPr>
        <w:pStyle w:val="BodyText"/>
        <w:numPr>
          <w:ilvl w:val="1"/>
          <w:numId w:val="131"/>
        </w:numPr>
        <w:tabs>
          <w:tab w:val="left" w:pos="1815"/>
        </w:tabs>
        <w:spacing w:before="72"/>
      </w:pPr>
      <w:r>
        <w:rPr>
          <w:spacing w:val="-1"/>
        </w:rPr>
        <w:t>increases</w:t>
      </w:r>
      <w:r>
        <w:t xml:space="preserve"> the cost of</w:t>
      </w:r>
      <w:r>
        <w:rPr>
          <w:spacing w:val="4"/>
        </w:rPr>
        <w:t xml:space="preserve"> </w:t>
      </w:r>
      <w:r>
        <w:t xml:space="preserve">the </w:t>
      </w:r>
      <w:r>
        <w:rPr>
          <w:spacing w:val="-1"/>
        </w:rPr>
        <w:t>regulatory</w:t>
      </w:r>
      <w:r>
        <w:t xml:space="preserve"> </w:t>
      </w:r>
      <w:r>
        <w:rPr>
          <w:spacing w:val="-1"/>
        </w:rPr>
        <w:t>regime.</w:t>
      </w:r>
    </w:p>
    <w:p w:rsidR="00D96B91" w:rsidRDefault="00C2656B">
      <w:pPr>
        <w:pStyle w:val="BodyText"/>
        <w:numPr>
          <w:ilvl w:val="0"/>
          <w:numId w:val="131"/>
        </w:numPr>
        <w:tabs>
          <w:tab w:val="left" w:pos="1531"/>
        </w:tabs>
        <w:spacing w:before="64" w:line="260" w:lineRule="exact"/>
        <w:ind w:right="1246" w:hanging="283"/>
      </w:pPr>
      <w:r>
        <w:rPr>
          <w:spacing w:val="-1"/>
        </w:rPr>
        <w:t>Instead</w:t>
      </w:r>
      <w:r>
        <w:t xml:space="preserve"> of</w:t>
      </w:r>
      <w:r>
        <w:rPr>
          <w:spacing w:val="4"/>
        </w:rPr>
        <w:t xml:space="preserve"> </w:t>
      </w:r>
      <w:r>
        <w:t xml:space="preserve">a </w:t>
      </w:r>
      <w:r>
        <w:rPr>
          <w:spacing w:val="-1"/>
        </w:rPr>
        <w:t>six-year</w:t>
      </w:r>
      <w:r>
        <w:t xml:space="preserve"> </w:t>
      </w:r>
      <w:r>
        <w:rPr>
          <w:spacing w:val="-1"/>
        </w:rPr>
        <w:t>regulatory</w:t>
      </w:r>
      <w:r>
        <w:t xml:space="preserve"> period and biennial </w:t>
      </w:r>
      <w:r>
        <w:rPr>
          <w:spacing w:val="-1"/>
        </w:rPr>
        <w:t>recalibration</w:t>
      </w:r>
      <w:r>
        <w:t xml:space="preserve"> mechanisms,</w:t>
      </w:r>
      <w:r>
        <w:rPr>
          <w:spacing w:val="-10"/>
        </w:rPr>
        <w:t xml:space="preserve"> </w:t>
      </w:r>
      <w:r>
        <w:rPr>
          <w:spacing w:val="-2"/>
        </w:rPr>
        <w:t>ACTEW</w:t>
      </w:r>
      <w:r>
        <w:rPr>
          <w:spacing w:val="-3"/>
        </w:rPr>
        <w:t xml:space="preserve"> </w:t>
      </w:r>
      <w:r>
        <w:rPr>
          <w:spacing w:val="-1"/>
        </w:rPr>
        <w:t>proposed</w:t>
      </w:r>
      <w:r>
        <w:t xml:space="preserve"> a</w:t>
      </w:r>
      <w:r>
        <w:rPr>
          <w:spacing w:val="49"/>
        </w:rPr>
        <w:t xml:space="preserve"> </w:t>
      </w:r>
      <w:r>
        <w:rPr>
          <w:spacing w:val="-1"/>
        </w:rPr>
        <w:t xml:space="preserve">five-year </w:t>
      </w:r>
      <w:r>
        <w:t xml:space="preserve">period </w:t>
      </w:r>
      <w:r>
        <w:rPr>
          <w:spacing w:val="-1"/>
        </w:rPr>
        <w:t xml:space="preserve">from </w:t>
      </w:r>
      <w:r>
        <w:t>2013-14 to 2017-18,</w:t>
      </w:r>
      <w:r>
        <w:rPr>
          <w:spacing w:val="-8"/>
        </w:rPr>
        <w:t xml:space="preserve"> </w:t>
      </w:r>
      <w:r>
        <w:t>and a</w:t>
      </w:r>
      <w:r>
        <w:rPr>
          <w:spacing w:val="-1"/>
        </w:rPr>
        <w:t xml:space="preserve"> range</w:t>
      </w:r>
      <w:r>
        <w:t xml:space="preserve"> of</w:t>
      </w:r>
      <w:r>
        <w:rPr>
          <w:spacing w:val="4"/>
        </w:rPr>
        <w:t xml:space="preserve"> </w:t>
      </w:r>
      <w:r>
        <w:rPr>
          <w:spacing w:val="-1"/>
        </w:rPr>
        <w:t>alternative measures</w:t>
      </w:r>
      <w:r>
        <w:t xml:space="preserve"> to</w:t>
      </w:r>
      <w:r>
        <w:rPr>
          <w:spacing w:val="-1"/>
        </w:rPr>
        <w:t xml:space="preserve"> address</w:t>
      </w:r>
      <w:r>
        <w:t xml:space="preserve"> risk and</w:t>
      </w:r>
      <w:r>
        <w:rPr>
          <w:spacing w:val="47"/>
        </w:rPr>
        <w:t xml:space="preserve"> </w:t>
      </w:r>
      <w:r>
        <w:rPr>
          <w:spacing w:val="-1"/>
        </w:rPr>
        <w:t>uncertainty</w:t>
      </w:r>
      <w:r>
        <w:t xml:space="preserve"> – including a </w:t>
      </w:r>
      <w:r>
        <w:rPr>
          <w:spacing w:val="-1"/>
        </w:rPr>
        <w:t>revenue</w:t>
      </w:r>
      <w:r>
        <w:t xml:space="preserve"> cap form of</w:t>
      </w:r>
      <w:r>
        <w:rPr>
          <w:spacing w:val="4"/>
        </w:rPr>
        <w:t xml:space="preserve"> </w:t>
      </w:r>
      <w:r>
        <w:rPr>
          <w:spacing w:val="-1"/>
        </w:rPr>
        <w:t>regulation</w:t>
      </w:r>
      <w:r>
        <w:t xml:space="preserve"> </w:t>
      </w:r>
      <w:r>
        <w:rPr>
          <w:spacing w:val="-1"/>
        </w:rPr>
        <w:t>(rather</w:t>
      </w:r>
      <w:r>
        <w:t xml:space="preserve"> than a price cap) with an ‘unders and</w:t>
      </w:r>
      <w:r>
        <w:rPr>
          <w:spacing w:val="35"/>
        </w:rPr>
        <w:t xml:space="preserve"> </w:t>
      </w:r>
      <w:r>
        <w:t>overs’ mechanism,</w:t>
      </w:r>
      <w:r>
        <w:rPr>
          <w:spacing w:val="-6"/>
        </w:rPr>
        <w:t xml:space="preserve"> </w:t>
      </w:r>
      <w:r>
        <w:t xml:space="preserve">annual demand </w:t>
      </w:r>
      <w:r>
        <w:rPr>
          <w:spacing w:val="-1"/>
        </w:rPr>
        <w:t>updates</w:t>
      </w:r>
      <w:r>
        <w:t xml:space="preserve"> and </w:t>
      </w:r>
      <w:r>
        <w:rPr>
          <w:spacing w:val="-1"/>
        </w:rPr>
        <w:t>more</w:t>
      </w:r>
      <w:r>
        <w:t xml:space="preserve"> </w:t>
      </w:r>
      <w:r>
        <w:rPr>
          <w:spacing w:val="-1"/>
        </w:rPr>
        <w:t>extensive</w:t>
      </w:r>
      <w:r>
        <w:t xml:space="preserve"> </w:t>
      </w:r>
      <w:r>
        <w:rPr>
          <w:spacing w:val="-1"/>
        </w:rPr>
        <w:t>pass-through</w:t>
      </w:r>
      <w:r>
        <w:t xml:space="preserve"> </w:t>
      </w:r>
      <w:r>
        <w:rPr>
          <w:spacing w:val="-1"/>
        </w:rPr>
        <w:t>provisions.</w:t>
      </w:r>
    </w:p>
    <w:p w:rsidR="00D96B91" w:rsidRDefault="00D96B91">
      <w:pPr>
        <w:rPr>
          <w:rFonts w:ascii="Avenir Next" w:eastAsia="Avenir Next" w:hAnsi="Avenir Next" w:cs="Avenir Next"/>
          <w:sz w:val="20"/>
          <w:szCs w:val="20"/>
        </w:rPr>
      </w:pPr>
    </w:p>
    <w:p w:rsidR="00D96B91" w:rsidRDefault="00D96B91">
      <w:pPr>
        <w:spacing w:before="13"/>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30" style="width:72.5pt;height:.5pt;mso-position-horizontal-relative:char;mso-position-vertical-relative:line" coordsize="1450,10">
            <v:group id="_x0000_s3331" style="position:absolute;left:5;top:5;width:1440;height:2" coordorigin="5,5" coordsize="1440,2">
              <v:shape id="_x0000_s3332" style="position:absolute;left:5;top:5;width:1440;height:2" coordorigin="5,5" coordsize="1440,0" path="m5,5r1440,e" filled="f" strokeweight=".5pt">
                <v:path arrowok="t"/>
              </v:shape>
            </v:group>
            <w10:wrap type="none"/>
            <w10:anchorlock/>
          </v:group>
        </w:pict>
      </w:r>
    </w:p>
    <w:p w:rsidR="00D96B91" w:rsidRDefault="00C2656B">
      <w:pPr>
        <w:numPr>
          <w:ilvl w:val="0"/>
          <w:numId w:val="109"/>
        </w:numPr>
        <w:tabs>
          <w:tab w:val="left" w:pos="1758"/>
        </w:tabs>
        <w:spacing w:before="38"/>
        <w:ind w:hanging="510"/>
        <w:rPr>
          <w:rFonts w:ascii="Avenir Next" w:eastAsia="Avenir Next" w:hAnsi="Avenir Next" w:cs="Avenir Next"/>
          <w:sz w:val="16"/>
          <w:szCs w:val="16"/>
        </w:rPr>
      </w:pPr>
      <w:r>
        <w:rPr>
          <w:rFonts w:ascii="Avenir Next"/>
          <w:sz w:val="16"/>
        </w:rPr>
        <w:t>See</w:t>
      </w:r>
      <w:r>
        <w:rPr>
          <w:rFonts w:ascii="Avenir Next"/>
          <w:spacing w:val="-4"/>
          <w:sz w:val="16"/>
        </w:rPr>
        <w:t xml:space="preserve"> Table</w:t>
      </w:r>
      <w:r>
        <w:rPr>
          <w:rFonts w:ascii="Avenir Next"/>
          <w:sz w:val="16"/>
        </w:rPr>
        <w:t xml:space="preserve"> 4.1 for these sub-sections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Act.</w:t>
      </w:r>
    </w:p>
    <w:p w:rsidR="00D96B91" w:rsidRDefault="00C2656B">
      <w:pPr>
        <w:numPr>
          <w:ilvl w:val="0"/>
          <w:numId w:val="109"/>
        </w:numPr>
        <w:tabs>
          <w:tab w:val="left" w:pos="1758"/>
        </w:tabs>
        <w:spacing w:before="121"/>
        <w:ind w:hanging="510"/>
        <w:rPr>
          <w:rFonts w:ascii="Avenir Next" w:eastAsia="Avenir Next" w:hAnsi="Avenir Next" w:cs="Avenir Next"/>
          <w:sz w:val="16"/>
          <w:szCs w:val="16"/>
        </w:rPr>
      </w:pPr>
      <w:r>
        <w:rPr>
          <w:rFonts w:ascii="Avenir Next"/>
          <w:sz w:val="16"/>
        </w:rPr>
        <w:t xml:space="preserve">See </w:t>
      </w:r>
      <w:r>
        <w:rPr>
          <w:rFonts w:ascii="Avenir Next"/>
          <w:spacing w:val="-1"/>
          <w:sz w:val="16"/>
        </w:rPr>
        <w:t>Box</w:t>
      </w:r>
      <w:r>
        <w:rPr>
          <w:rFonts w:ascii="Avenir Next"/>
          <w:sz w:val="16"/>
        </w:rPr>
        <w:t xml:space="preserve"> 4.1 for this section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Act.</w:t>
      </w:r>
    </w:p>
    <w:p w:rsidR="00D96B91" w:rsidRDefault="00D96B91">
      <w:pPr>
        <w:rPr>
          <w:rFonts w:ascii="Avenir Next" w:eastAsia="Avenir Next" w:hAnsi="Avenir Next" w:cs="Avenir Next"/>
          <w:sz w:val="16"/>
          <w:szCs w:val="16"/>
        </w:rPr>
        <w:sectPr w:rsidR="00D96B91">
          <w:footerReference w:type="even" r:id="rId49"/>
          <w:footerReference w:type="default" r:id="rId50"/>
          <w:pgSz w:w="11910" w:h="16840"/>
          <w:pgMar w:top="1260" w:right="0" w:bottom="1020" w:left="0" w:header="0" w:footer="829" w:gutter="0"/>
          <w:pgNumType w:start="35"/>
          <w:cols w:space="720"/>
        </w:sectPr>
      </w:pPr>
    </w:p>
    <w:p w:rsidR="00D96B91" w:rsidRDefault="00C2656B">
      <w:pPr>
        <w:numPr>
          <w:ilvl w:val="0"/>
          <w:numId w:val="131"/>
        </w:numPr>
        <w:tabs>
          <w:tab w:val="left" w:pos="1531"/>
        </w:tabs>
        <w:spacing w:before="21" w:line="260" w:lineRule="exact"/>
        <w:ind w:right="1355" w:hanging="283"/>
        <w:rPr>
          <w:rFonts w:ascii="Avenir Next" w:eastAsia="Avenir Next" w:hAnsi="Avenir Next" w:cs="Avenir Next"/>
          <w:sz w:val="20"/>
          <w:szCs w:val="20"/>
        </w:rPr>
      </w:pPr>
      <w:r>
        <w:rPr>
          <w:rFonts w:ascii="Avenir Next"/>
          <w:b/>
          <w:spacing w:val="-2"/>
          <w:sz w:val="20"/>
        </w:rPr>
        <w:t>The</w:t>
      </w:r>
      <w:r>
        <w:rPr>
          <w:rFonts w:ascii="Avenir Next"/>
          <w:b/>
          <w:sz w:val="20"/>
        </w:rPr>
        <w:t xml:space="preserve"> firm-specific </w:t>
      </w:r>
      <w:r>
        <w:rPr>
          <w:rFonts w:ascii="Avenir Next"/>
          <w:b/>
          <w:spacing w:val="-1"/>
          <w:sz w:val="20"/>
        </w:rPr>
        <w:t>approach</w:t>
      </w:r>
      <w:r>
        <w:rPr>
          <w:rFonts w:ascii="Avenir Next"/>
          <w:b/>
          <w:spacing w:val="1"/>
          <w:sz w:val="20"/>
        </w:rPr>
        <w:t xml:space="preserve"> </w:t>
      </w:r>
      <w:r>
        <w:rPr>
          <w:rFonts w:ascii="Avenir Next"/>
          <w:b/>
          <w:sz w:val="20"/>
        </w:rPr>
        <w:t>the ICRC</w:t>
      </w:r>
      <w:r>
        <w:rPr>
          <w:rFonts w:ascii="Avenir Next"/>
          <w:b/>
          <w:spacing w:val="1"/>
          <w:sz w:val="20"/>
        </w:rPr>
        <w:t xml:space="preserve"> </w:t>
      </w:r>
      <w:r>
        <w:rPr>
          <w:rFonts w:ascii="Avenir Next"/>
          <w:b/>
          <w:sz w:val="20"/>
        </w:rPr>
        <w:t xml:space="preserve">used in </w:t>
      </w:r>
      <w:r>
        <w:rPr>
          <w:rFonts w:ascii="Avenir Next"/>
          <w:b/>
          <w:spacing w:val="-1"/>
          <w:sz w:val="20"/>
        </w:rPr>
        <w:t>calculating</w:t>
      </w:r>
      <w:r>
        <w:rPr>
          <w:rFonts w:ascii="Avenir Next"/>
          <w:b/>
          <w:spacing w:val="1"/>
          <w:sz w:val="20"/>
        </w:rPr>
        <w:t xml:space="preserve"> </w:t>
      </w:r>
      <w:r>
        <w:rPr>
          <w:rFonts w:ascii="Avenir Next"/>
          <w:b/>
          <w:sz w:val="20"/>
        </w:rPr>
        <w:t xml:space="preserve">the </w:t>
      </w:r>
      <w:r>
        <w:rPr>
          <w:rFonts w:ascii="Avenir Next"/>
          <w:b/>
          <w:spacing w:val="-2"/>
          <w:sz w:val="20"/>
        </w:rPr>
        <w:t>rate</w:t>
      </w:r>
      <w:r>
        <w:rPr>
          <w:rFonts w:ascii="Avenir Next"/>
          <w:b/>
          <w:spacing w:val="1"/>
          <w:sz w:val="20"/>
        </w:rPr>
        <w:t xml:space="preserve"> </w:t>
      </w:r>
      <w:r>
        <w:rPr>
          <w:rFonts w:ascii="Avenir Next"/>
          <w:b/>
          <w:sz w:val="20"/>
        </w:rPr>
        <w:t>of</w:t>
      </w:r>
      <w:r>
        <w:rPr>
          <w:rFonts w:ascii="Avenir Next"/>
          <w:b/>
          <w:spacing w:val="4"/>
          <w:sz w:val="20"/>
        </w:rPr>
        <w:t xml:space="preserve"> </w:t>
      </w:r>
      <w:r>
        <w:rPr>
          <w:rFonts w:ascii="Avenir Next"/>
          <w:b/>
          <w:spacing w:val="-1"/>
          <w:sz w:val="20"/>
        </w:rPr>
        <w:t>return</w:t>
      </w:r>
      <w:r>
        <w:rPr>
          <w:rFonts w:ascii="Avenir Next"/>
          <w:spacing w:val="-1"/>
          <w:position w:val="7"/>
          <w:sz w:val="11"/>
        </w:rPr>
        <w:t>22</w:t>
      </w:r>
      <w:r>
        <w:rPr>
          <w:rFonts w:ascii="Avenir Next"/>
          <w:spacing w:val="23"/>
          <w:position w:val="7"/>
          <w:sz w:val="11"/>
        </w:rPr>
        <w:t xml:space="preserve"> </w:t>
      </w:r>
      <w:r>
        <w:rPr>
          <w:rFonts w:ascii="Avenir Next"/>
          <w:b/>
          <w:sz w:val="20"/>
        </w:rPr>
        <w:t>(including</w:t>
      </w:r>
      <w:r>
        <w:rPr>
          <w:rFonts w:ascii="Avenir Next"/>
          <w:b/>
          <w:spacing w:val="1"/>
          <w:sz w:val="20"/>
        </w:rPr>
        <w:t xml:space="preserve"> </w:t>
      </w:r>
      <w:r>
        <w:rPr>
          <w:rFonts w:ascii="Avenir Next"/>
          <w:b/>
          <w:sz w:val="20"/>
        </w:rPr>
        <w:t xml:space="preserve">the </w:t>
      </w:r>
      <w:r>
        <w:rPr>
          <w:rFonts w:ascii="Avenir Next"/>
          <w:b/>
          <w:spacing w:val="-1"/>
          <w:sz w:val="20"/>
        </w:rPr>
        <w:t>failure</w:t>
      </w:r>
      <w:r>
        <w:rPr>
          <w:rFonts w:ascii="Avenir Next"/>
          <w:b/>
          <w:sz w:val="20"/>
        </w:rPr>
        <w:t xml:space="preserve"> to</w:t>
      </w:r>
      <w:r>
        <w:rPr>
          <w:rFonts w:ascii="Avenir Next"/>
          <w:b/>
          <w:spacing w:val="49"/>
          <w:sz w:val="20"/>
        </w:rPr>
        <w:t xml:space="preserve"> </w:t>
      </w:r>
      <w:r>
        <w:rPr>
          <w:rFonts w:ascii="Avenir Next"/>
          <w:b/>
          <w:spacing w:val="-1"/>
          <w:sz w:val="20"/>
        </w:rPr>
        <w:t>recognise</w:t>
      </w:r>
      <w:r>
        <w:rPr>
          <w:rFonts w:ascii="Avenir Next"/>
          <w:b/>
          <w:sz w:val="20"/>
        </w:rPr>
        <w:t xml:space="preserve"> tax).</w:t>
      </w:r>
      <w:r>
        <w:rPr>
          <w:rFonts w:ascii="Avenir Next"/>
          <w:b/>
          <w:spacing w:val="-4"/>
          <w:sz w:val="20"/>
        </w:rPr>
        <w:t xml:space="preserve"> </w:t>
      </w:r>
      <w:r>
        <w:rPr>
          <w:rFonts w:ascii="Avenir Next"/>
          <w:spacing w:val="-2"/>
          <w:sz w:val="20"/>
        </w:rPr>
        <w:t>ACTEW</w:t>
      </w:r>
      <w:r>
        <w:rPr>
          <w:rFonts w:ascii="Avenir Next"/>
          <w:spacing w:val="-3"/>
          <w:sz w:val="20"/>
        </w:rPr>
        <w:t xml:space="preserve"> </w:t>
      </w:r>
      <w:r>
        <w:rPr>
          <w:rFonts w:ascii="Avenir Next"/>
          <w:sz w:val="20"/>
        </w:rPr>
        <w:t xml:space="preserve">contended </w:t>
      </w:r>
      <w:r>
        <w:rPr>
          <w:rFonts w:ascii="Avenir Next"/>
          <w:spacing w:val="-1"/>
          <w:sz w:val="20"/>
        </w:rPr>
        <w:t>that</w:t>
      </w:r>
      <w:r>
        <w:rPr>
          <w:rFonts w:ascii="Avenir Next"/>
          <w:sz w:val="20"/>
        </w:rPr>
        <w:t xml:space="preserve"> the </w:t>
      </w:r>
      <w:r>
        <w:rPr>
          <w:rFonts w:ascii="Avenir Next"/>
          <w:spacing w:val="-4"/>
          <w:sz w:val="20"/>
        </w:rPr>
        <w:t xml:space="preserve">CPA </w:t>
      </w:r>
      <w:r>
        <w:rPr>
          <w:rFonts w:ascii="Avenir Next"/>
          <w:sz w:val="20"/>
        </w:rPr>
        <w:t xml:space="preserve">(discussed in Chapter 3) </w:t>
      </w:r>
      <w:r>
        <w:rPr>
          <w:rFonts w:ascii="Avenir Next"/>
          <w:spacing w:val="-1"/>
          <w:sz w:val="20"/>
        </w:rPr>
        <w:t>requires</w:t>
      </w:r>
      <w:r>
        <w:rPr>
          <w:rFonts w:ascii="Avenir Next"/>
          <w:sz w:val="20"/>
        </w:rPr>
        <w:t xml:space="preserve"> the </w:t>
      </w:r>
      <w:r>
        <w:rPr>
          <w:rFonts w:ascii="Avenir Next"/>
          <w:spacing w:val="-1"/>
          <w:sz w:val="20"/>
        </w:rPr>
        <w:t>application</w:t>
      </w:r>
    </w:p>
    <w:p w:rsidR="00D96B91" w:rsidRDefault="00C2656B">
      <w:pPr>
        <w:pStyle w:val="BodyText"/>
        <w:spacing w:line="260" w:lineRule="exact"/>
        <w:ind w:left="1530" w:right="1283"/>
        <w:rPr>
          <w:rFonts w:cs="Avenir Next"/>
        </w:rPr>
      </w:pPr>
      <w:r>
        <w:t>of</w:t>
      </w:r>
      <w:r>
        <w:rPr>
          <w:spacing w:val="3"/>
        </w:rPr>
        <w:t xml:space="preserve"> </w:t>
      </w:r>
      <w:r>
        <w:t xml:space="preserve">competitive </w:t>
      </w:r>
      <w:r>
        <w:rPr>
          <w:spacing w:val="-1"/>
        </w:rPr>
        <w:t>neutrality</w:t>
      </w:r>
      <w:r>
        <w:t xml:space="preserve"> principles</w:t>
      </w:r>
      <w:r>
        <w:rPr>
          <w:spacing w:val="-1"/>
        </w:rPr>
        <w:t xml:space="preserve"> </w:t>
      </w:r>
      <w:r>
        <w:t>to</w:t>
      </w:r>
      <w:r>
        <w:rPr>
          <w:spacing w:val="-4"/>
        </w:rPr>
        <w:t xml:space="preserve"> </w:t>
      </w:r>
      <w:r>
        <w:rPr>
          <w:spacing w:val="-2"/>
        </w:rPr>
        <w:t>ACTEW</w:t>
      </w:r>
      <w:r>
        <w:rPr>
          <w:spacing w:val="-3"/>
        </w:rPr>
        <w:t xml:space="preserve"> </w:t>
      </w:r>
      <w:r>
        <w:t xml:space="preserve">and </w:t>
      </w:r>
      <w:r>
        <w:rPr>
          <w:spacing w:val="-1"/>
        </w:rPr>
        <w:t xml:space="preserve">that </w:t>
      </w:r>
      <w:r>
        <w:t xml:space="preserve">these principles </w:t>
      </w:r>
      <w:r>
        <w:rPr>
          <w:spacing w:val="-1"/>
        </w:rPr>
        <w:t xml:space="preserve">preclude </w:t>
      </w:r>
      <w:r>
        <w:t>the use of</w:t>
      </w:r>
      <w:r>
        <w:rPr>
          <w:spacing w:val="4"/>
        </w:rPr>
        <w:t xml:space="preserve"> </w:t>
      </w:r>
      <w:r>
        <w:t>a</w:t>
      </w:r>
      <w:r>
        <w:rPr>
          <w:spacing w:val="-1"/>
        </w:rPr>
        <w:t xml:space="preserve"> </w:t>
      </w:r>
      <w:r>
        <w:t>firm-</w:t>
      </w:r>
      <w:r>
        <w:rPr>
          <w:spacing w:val="35"/>
          <w:w w:val="99"/>
        </w:rPr>
        <w:t xml:space="preserve"> </w:t>
      </w:r>
      <w:r>
        <w:t>specific</w:t>
      </w:r>
      <w:r>
        <w:rPr>
          <w:spacing w:val="-1"/>
        </w:rPr>
        <w:t xml:space="preserve"> approach </w:t>
      </w:r>
      <w:r>
        <w:t>to</w:t>
      </w:r>
      <w:r>
        <w:rPr>
          <w:spacing w:val="-1"/>
        </w:rPr>
        <w:t xml:space="preserve"> calculating</w:t>
      </w:r>
      <w:r>
        <w:t xml:space="preserve"> the</w:t>
      </w:r>
      <w:r>
        <w:rPr>
          <w:spacing w:val="-1"/>
        </w:rPr>
        <w:t xml:space="preserve"> </w:t>
      </w:r>
      <w:r>
        <w:rPr>
          <w:spacing w:val="-2"/>
        </w:rPr>
        <w:t>rate</w:t>
      </w:r>
      <w:r>
        <w:rPr>
          <w:spacing w:val="-1"/>
        </w:rPr>
        <w:t xml:space="preserve"> </w:t>
      </w:r>
      <w:r>
        <w:t>of</w:t>
      </w:r>
      <w:r>
        <w:rPr>
          <w:spacing w:val="4"/>
        </w:rPr>
        <w:t xml:space="preserve"> </w:t>
      </w:r>
      <w:r>
        <w:rPr>
          <w:spacing w:val="-1"/>
        </w:rPr>
        <w:t>return.</w:t>
      </w:r>
      <w:r>
        <w:rPr>
          <w:spacing w:val="-7"/>
        </w:rPr>
        <w:t xml:space="preserve"> </w:t>
      </w:r>
      <w:r>
        <w:t>It</w:t>
      </w:r>
      <w:r>
        <w:rPr>
          <w:spacing w:val="-1"/>
        </w:rPr>
        <w:t xml:space="preserve"> </w:t>
      </w:r>
      <w:r>
        <w:t xml:space="preserve">also </w:t>
      </w:r>
      <w:r>
        <w:rPr>
          <w:spacing w:val="-1"/>
        </w:rPr>
        <w:t xml:space="preserve">argued that </w:t>
      </w:r>
      <w:r>
        <w:t>its use</w:t>
      </w:r>
      <w:r>
        <w:rPr>
          <w:spacing w:val="-1"/>
        </w:rPr>
        <w:t xml:space="preserve"> results </w:t>
      </w:r>
      <w:r>
        <w:t>in</w:t>
      </w:r>
      <w:r>
        <w:rPr>
          <w:spacing w:val="-1"/>
        </w:rPr>
        <w:t xml:space="preserve"> </w:t>
      </w:r>
      <w:r>
        <w:t>a less</w:t>
      </w:r>
      <w:r>
        <w:rPr>
          <w:spacing w:val="-1"/>
        </w:rPr>
        <w:t xml:space="preserve"> efficient</w:t>
      </w:r>
      <w:r>
        <w:rPr>
          <w:spacing w:val="63"/>
          <w:w w:val="99"/>
        </w:rPr>
        <w:t xml:space="preserve"> </w:t>
      </w:r>
      <w:r>
        <w:rPr>
          <w:spacing w:val="-1"/>
        </w:rPr>
        <w:t>allocation</w:t>
      </w:r>
      <w:r>
        <w:t xml:space="preserve"> of</w:t>
      </w:r>
      <w:r>
        <w:rPr>
          <w:spacing w:val="4"/>
        </w:rPr>
        <w:t xml:space="preserve"> </w:t>
      </w:r>
      <w:r>
        <w:rPr>
          <w:spacing w:val="-1"/>
        </w:rPr>
        <w:t>resources,</w:t>
      </w:r>
      <w:r>
        <w:rPr>
          <w:spacing w:val="-6"/>
        </w:rPr>
        <w:t xml:space="preserve"> </w:t>
      </w:r>
      <w:r>
        <w:t xml:space="preserve">and </w:t>
      </w:r>
      <w:r>
        <w:rPr>
          <w:spacing w:val="-1"/>
        </w:rPr>
        <w:t>leads</w:t>
      </w:r>
      <w:r>
        <w:t xml:space="preserve"> to the absence of</w:t>
      </w:r>
      <w:r>
        <w:rPr>
          <w:spacing w:val="4"/>
        </w:rPr>
        <w:t xml:space="preserve"> </w:t>
      </w:r>
      <w:r>
        <w:t xml:space="preserve">a </w:t>
      </w:r>
      <w:r>
        <w:rPr>
          <w:spacing w:val="-1"/>
        </w:rPr>
        <w:t>clear</w:t>
      </w:r>
      <w:r>
        <w:t xml:space="preserve"> methodology for </w:t>
      </w:r>
      <w:r>
        <w:rPr>
          <w:spacing w:val="-1"/>
        </w:rPr>
        <w:t>estimating</w:t>
      </w:r>
      <w:r>
        <w:t xml:space="preserve"> the cost</w:t>
      </w:r>
    </w:p>
    <w:p w:rsidR="00D96B91" w:rsidRDefault="00C2656B">
      <w:pPr>
        <w:pStyle w:val="BodyText"/>
        <w:spacing w:line="260" w:lineRule="exact"/>
        <w:ind w:left="1530" w:right="1548"/>
      </w:pPr>
      <w:r>
        <w:t>of</w:t>
      </w:r>
      <w:r>
        <w:rPr>
          <w:spacing w:val="4"/>
        </w:rPr>
        <w:t xml:space="preserve"> </w:t>
      </w:r>
      <w:r>
        <w:t>equity (discussed below).</w:t>
      </w:r>
      <w:r>
        <w:rPr>
          <w:spacing w:val="-10"/>
        </w:rPr>
        <w:t xml:space="preserve"> </w:t>
      </w:r>
      <w:r>
        <w:rPr>
          <w:spacing w:val="-2"/>
        </w:rPr>
        <w:t>ACTEW</w:t>
      </w:r>
      <w:r>
        <w:rPr>
          <w:spacing w:val="-3"/>
        </w:rPr>
        <w:t xml:space="preserve"> </w:t>
      </w:r>
      <w:r>
        <w:t xml:space="preserve">noted </w:t>
      </w:r>
      <w:r>
        <w:rPr>
          <w:spacing w:val="-1"/>
        </w:rPr>
        <w:t>that</w:t>
      </w:r>
      <w:r>
        <w:t xml:space="preserve"> all other </w:t>
      </w:r>
      <w:r>
        <w:rPr>
          <w:spacing w:val="-1"/>
        </w:rPr>
        <w:t>regulators</w:t>
      </w:r>
      <w:r>
        <w:t xml:space="preserve"> in</w:t>
      </w:r>
      <w:r>
        <w:rPr>
          <w:spacing w:val="-4"/>
        </w:rPr>
        <w:t xml:space="preserve"> </w:t>
      </w:r>
      <w:r>
        <w:rPr>
          <w:spacing w:val="-1"/>
        </w:rPr>
        <w:t>Australia</w:t>
      </w:r>
      <w:r>
        <w:t xml:space="preserve"> have </w:t>
      </w:r>
      <w:r>
        <w:rPr>
          <w:spacing w:val="-1"/>
        </w:rPr>
        <w:t>rejected</w:t>
      </w:r>
      <w:r>
        <w:t xml:space="preserve"> this</w:t>
      </w:r>
      <w:r>
        <w:rPr>
          <w:spacing w:val="41"/>
        </w:rPr>
        <w:t xml:space="preserve"> </w:t>
      </w:r>
      <w:r>
        <w:rPr>
          <w:spacing w:val="-1"/>
        </w:rPr>
        <w:t xml:space="preserve">approach </w:t>
      </w:r>
      <w:r>
        <w:t xml:space="preserve">and </w:t>
      </w:r>
      <w:r>
        <w:rPr>
          <w:spacing w:val="-1"/>
        </w:rPr>
        <w:t>proposed that</w:t>
      </w:r>
      <w:r>
        <w:t xml:space="preserve"> the benchmark</w:t>
      </w:r>
      <w:r>
        <w:rPr>
          <w:spacing w:val="-1"/>
        </w:rPr>
        <w:t xml:space="preserve"> </w:t>
      </w:r>
      <w:r>
        <w:t>entity (or typical</w:t>
      </w:r>
      <w:r>
        <w:rPr>
          <w:spacing w:val="-1"/>
        </w:rPr>
        <w:t xml:space="preserve"> </w:t>
      </w:r>
      <w:r>
        <w:t xml:space="preserve">firm) </w:t>
      </w:r>
      <w:r>
        <w:rPr>
          <w:spacing w:val="-1"/>
        </w:rPr>
        <w:t>approach</w:t>
      </w:r>
      <w:r>
        <w:t xml:space="preserve"> be</w:t>
      </w:r>
      <w:r>
        <w:rPr>
          <w:spacing w:val="-1"/>
        </w:rPr>
        <w:t xml:space="preserve"> </w:t>
      </w:r>
      <w:r>
        <w:t>adopted.</w:t>
      </w:r>
    </w:p>
    <w:p w:rsidR="00D96B91" w:rsidRDefault="00C2656B">
      <w:pPr>
        <w:numPr>
          <w:ilvl w:val="0"/>
          <w:numId w:val="131"/>
        </w:numPr>
        <w:tabs>
          <w:tab w:val="left" w:pos="1531"/>
        </w:tabs>
        <w:spacing w:before="85" w:line="260" w:lineRule="exact"/>
        <w:ind w:right="1288" w:hanging="283"/>
        <w:rPr>
          <w:rFonts w:ascii="Avenir Next" w:eastAsia="Avenir Next" w:hAnsi="Avenir Next" w:cs="Avenir Next"/>
          <w:sz w:val="20"/>
          <w:szCs w:val="20"/>
        </w:rPr>
      </w:pPr>
      <w:r>
        <w:rPr>
          <w:rFonts w:ascii="Avenir Next"/>
          <w:b/>
          <w:spacing w:val="-2"/>
          <w:sz w:val="20"/>
        </w:rPr>
        <w:t>The</w:t>
      </w:r>
      <w:r>
        <w:rPr>
          <w:rFonts w:ascii="Avenir Next"/>
          <w:b/>
          <w:sz w:val="20"/>
        </w:rPr>
        <w:t xml:space="preserve"> cost of</w:t>
      </w:r>
      <w:r>
        <w:rPr>
          <w:rFonts w:ascii="Avenir Next"/>
          <w:b/>
          <w:spacing w:val="4"/>
          <w:sz w:val="20"/>
        </w:rPr>
        <w:t xml:space="preserve"> </w:t>
      </w:r>
      <w:r>
        <w:rPr>
          <w:rFonts w:ascii="Avenir Next"/>
          <w:b/>
          <w:sz w:val="20"/>
        </w:rPr>
        <w:t xml:space="preserve">equity the ICRC adopted for the first two </w:t>
      </w:r>
      <w:r>
        <w:rPr>
          <w:rFonts w:ascii="Avenir Next"/>
          <w:b/>
          <w:spacing w:val="-1"/>
          <w:sz w:val="20"/>
        </w:rPr>
        <w:t>years</w:t>
      </w:r>
      <w:r>
        <w:rPr>
          <w:rFonts w:ascii="Avenir Next"/>
          <w:b/>
          <w:sz w:val="20"/>
        </w:rPr>
        <w:t xml:space="preserve"> of</w:t>
      </w:r>
      <w:r>
        <w:rPr>
          <w:rFonts w:ascii="Avenir Next"/>
          <w:b/>
          <w:spacing w:val="4"/>
          <w:sz w:val="20"/>
        </w:rPr>
        <w:t xml:space="preserve"> </w:t>
      </w:r>
      <w:r>
        <w:rPr>
          <w:rFonts w:ascii="Avenir Next"/>
          <w:b/>
          <w:sz w:val="20"/>
        </w:rPr>
        <w:t xml:space="preserve">the </w:t>
      </w:r>
      <w:r>
        <w:rPr>
          <w:rFonts w:ascii="Avenir Next"/>
          <w:b/>
          <w:spacing w:val="-1"/>
          <w:sz w:val="20"/>
        </w:rPr>
        <w:t>regulatory</w:t>
      </w:r>
      <w:r>
        <w:rPr>
          <w:rFonts w:ascii="Avenir Next"/>
          <w:b/>
          <w:sz w:val="20"/>
        </w:rPr>
        <w:t xml:space="preserve"> period.</w:t>
      </w:r>
      <w:r>
        <w:rPr>
          <w:rFonts w:ascii="Avenir Next"/>
          <w:b/>
          <w:spacing w:val="-7"/>
          <w:sz w:val="20"/>
        </w:rPr>
        <w:t xml:space="preserve"> </w:t>
      </w:r>
      <w:r>
        <w:rPr>
          <w:rFonts w:ascii="Avenir Next"/>
          <w:sz w:val="20"/>
        </w:rPr>
        <w:t>In determining</w:t>
      </w:r>
      <w:r>
        <w:rPr>
          <w:rFonts w:ascii="Avenir Next"/>
          <w:spacing w:val="30"/>
          <w:sz w:val="20"/>
        </w:rPr>
        <w:t xml:space="preserve"> </w:t>
      </w:r>
      <w:r>
        <w:rPr>
          <w:rFonts w:ascii="Avenir Next"/>
          <w:sz w:val="20"/>
        </w:rPr>
        <w:t xml:space="preserve">the </w:t>
      </w:r>
      <w:r>
        <w:rPr>
          <w:rFonts w:ascii="Avenir Next"/>
          <w:spacing w:val="-2"/>
          <w:sz w:val="20"/>
        </w:rPr>
        <w:t>rate</w:t>
      </w:r>
      <w:r>
        <w:rPr>
          <w:rFonts w:ascii="Avenir Next"/>
          <w:sz w:val="20"/>
        </w:rPr>
        <w:t xml:space="preserve"> of</w:t>
      </w:r>
      <w:r>
        <w:rPr>
          <w:rFonts w:ascii="Avenir Next"/>
          <w:spacing w:val="4"/>
          <w:sz w:val="20"/>
        </w:rPr>
        <w:t xml:space="preserve"> </w:t>
      </w:r>
      <w:r>
        <w:rPr>
          <w:rFonts w:ascii="Avenir Next"/>
          <w:spacing w:val="-1"/>
          <w:sz w:val="20"/>
        </w:rPr>
        <w:t>return,</w:t>
      </w:r>
      <w:r>
        <w:rPr>
          <w:rFonts w:ascii="Avenir Next"/>
          <w:spacing w:val="-6"/>
          <w:sz w:val="20"/>
        </w:rPr>
        <w:t xml:space="preserve"> </w:t>
      </w:r>
      <w:r>
        <w:rPr>
          <w:rFonts w:ascii="Avenir Next"/>
          <w:sz w:val="20"/>
        </w:rPr>
        <w:t>the ICRC adopted a value for the cost of</w:t>
      </w:r>
      <w:r>
        <w:rPr>
          <w:rFonts w:ascii="Avenir Next"/>
          <w:spacing w:val="4"/>
          <w:sz w:val="20"/>
        </w:rPr>
        <w:t xml:space="preserve"> </w:t>
      </w:r>
      <w:r>
        <w:rPr>
          <w:rFonts w:ascii="Avenir Next"/>
          <w:sz w:val="20"/>
        </w:rPr>
        <w:t xml:space="preserve">equity </w:t>
      </w:r>
      <w:r>
        <w:rPr>
          <w:rFonts w:ascii="Avenir Next"/>
          <w:spacing w:val="-1"/>
          <w:sz w:val="20"/>
        </w:rPr>
        <w:t>that</w:t>
      </w:r>
      <w:r>
        <w:rPr>
          <w:rFonts w:ascii="Avenir Next"/>
          <w:sz w:val="20"/>
        </w:rPr>
        <w:t xml:space="preserve"> was below the lower bound</w:t>
      </w:r>
      <w:r>
        <w:rPr>
          <w:rFonts w:ascii="Avenir Next"/>
          <w:spacing w:val="28"/>
          <w:sz w:val="20"/>
        </w:rPr>
        <w:t xml:space="preserve"> </w:t>
      </w:r>
      <w:r>
        <w:rPr>
          <w:rFonts w:ascii="Avenir Next"/>
          <w:sz w:val="20"/>
        </w:rPr>
        <w:t>of</w:t>
      </w:r>
      <w:r>
        <w:rPr>
          <w:rFonts w:ascii="Avenir Next"/>
          <w:spacing w:val="3"/>
          <w:sz w:val="20"/>
        </w:rPr>
        <w:t xml:space="preserve"> </w:t>
      </w:r>
      <w:r>
        <w:rPr>
          <w:rFonts w:ascii="Avenir Next"/>
          <w:sz w:val="20"/>
        </w:rPr>
        <w:t xml:space="preserve">the </w:t>
      </w:r>
      <w:r>
        <w:rPr>
          <w:rFonts w:ascii="Avenir Next"/>
          <w:spacing w:val="-1"/>
          <w:sz w:val="20"/>
        </w:rPr>
        <w:t>range</w:t>
      </w:r>
      <w:r>
        <w:rPr>
          <w:rFonts w:ascii="Avenir Next"/>
          <w:sz w:val="20"/>
        </w:rPr>
        <w:t xml:space="preserve"> it had </w:t>
      </w:r>
      <w:r>
        <w:rPr>
          <w:rFonts w:ascii="Avenir Next"/>
          <w:spacing w:val="-1"/>
          <w:sz w:val="20"/>
        </w:rPr>
        <w:t>previously</w:t>
      </w:r>
      <w:r>
        <w:rPr>
          <w:rFonts w:ascii="Avenir Next"/>
          <w:sz w:val="20"/>
        </w:rPr>
        <w:t xml:space="preserve"> identified</w:t>
      </w:r>
      <w:r>
        <w:rPr>
          <w:rFonts w:ascii="Avenir Next"/>
          <w:spacing w:val="-1"/>
          <w:sz w:val="20"/>
        </w:rPr>
        <w:t xml:space="preserve"> </w:t>
      </w:r>
      <w:r>
        <w:rPr>
          <w:rFonts w:ascii="Avenir Next"/>
          <w:sz w:val="20"/>
        </w:rPr>
        <w:t>for this value.</w:t>
      </w:r>
      <w:r>
        <w:rPr>
          <w:rFonts w:ascii="Avenir Next"/>
          <w:position w:val="7"/>
          <w:sz w:val="11"/>
        </w:rPr>
        <w:t>23</w:t>
      </w:r>
      <w:r>
        <w:rPr>
          <w:rFonts w:ascii="Avenir Next"/>
          <w:spacing w:val="19"/>
          <w:position w:val="7"/>
          <w:sz w:val="11"/>
        </w:rPr>
        <w:t xml:space="preserve"> </w:t>
      </w:r>
      <w:r>
        <w:rPr>
          <w:rFonts w:ascii="Avenir Next"/>
          <w:spacing w:val="-2"/>
          <w:sz w:val="20"/>
        </w:rPr>
        <w:t>ACTEW</w:t>
      </w:r>
      <w:r>
        <w:rPr>
          <w:rFonts w:ascii="Avenir Next"/>
          <w:spacing w:val="-4"/>
          <w:sz w:val="20"/>
        </w:rPr>
        <w:t xml:space="preserve"> </w:t>
      </w:r>
      <w:r>
        <w:rPr>
          <w:rFonts w:ascii="Avenir Next"/>
          <w:sz w:val="20"/>
        </w:rPr>
        <w:t xml:space="preserve">claimed </w:t>
      </w:r>
      <w:r>
        <w:rPr>
          <w:rFonts w:ascii="Avenir Next"/>
          <w:spacing w:val="-1"/>
          <w:sz w:val="20"/>
        </w:rPr>
        <w:t>that</w:t>
      </w:r>
      <w:r>
        <w:rPr>
          <w:rFonts w:ascii="Avenir Next"/>
          <w:sz w:val="20"/>
        </w:rPr>
        <w:t xml:space="preserve"> in making this decision,</w:t>
      </w:r>
      <w:r>
        <w:rPr>
          <w:rFonts w:ascii="Avenir Next"/>
          <w:spacing w:val="27"/>
          <w:sz w:val="20"/>
        </w:rPr>
        <w:t xml:space="preserve"> </w:t>
      </w:r>
      <w:r>
        <w:rPr>
          <w:rFonts w:ascii="Avenir Next"/>
          <w:sz w:val="20"/>
        </w:rPr>
        <w:t xml:space="preserve">the ICRC did not have </w:t>
      </w:r>
      <w:r>
        <w:rPr>
          <w:rFonts w:ascii="Avenir Next"/>
          <w:spacing w:val="-1"/>
          <w:sz w:val="20"/>
        </w:rPr>
        <w:t>proper</w:t>
      </w:r>
      <w:r>
        <w:rPr>
          <w:rFonts w:ascii="Avenir Next"/>
          <w:sz w:val="20"/>
        </w:rPr>
        <w:t xml:space="preserve"> </w:t>
      </w:r>
      <w:r>
        <w:rPr>
          <w:rFonts w:ascii="Avenir Next"/>
          <w:spacing w:val="-2"/>
          <w:sz w:val="20"/>
        </w:rPr>
        <w:t>regard</w:t>
      </w:r>
      <w:r>
        <w:rPr>
          <w:rFonts w:ascii="Avenir Next"/>
          <w:sz w:val="20"/>
        </w:rPr>
        <w:t xml:space="preserve"> to sections 20(2)(d),</w:t>
      </w:r>
      <w:r>
        <w:rPr>
          <w:rFonts w:ascii="Avenir Next"/>
          <w:spacing w:val="-7"/>
          <w:sz w:val="20"/>
        </w:rPr>
        <w:t xml:space="preserve"> </w:t>
      </w:r>
      <w:r>
        <w:rPr>
          <w:rFonts w:ascii="Avenir Next"/>
          <w:sz w:val="20"/>
        </w:rPr>
        <w:t>(e) and (i) of</w:t>
      </w:r>
      <w:r>
        <w:rPr>
          <w:rFonts w:ascii="Avenir Next"/>
          <w:spacing w:val="4"/>
          <w:sz w:val="20"/>
        </w:rPr>
        <w:t xml:space="preserve"> </w:t>
      </w:r>
      <w:r>
        <w:rPr>
          <w:rFonts w:ascii="Avenir Next"/>
          <w:sz w:val="20"/>
        </w:rPr>
        <w:t>the</w:t>
      </w:r>
      <w:r>
        <w:rPr>
          <w:rFonts w:ascii="Avenir Next"/>
          <w:spacing w:val="-4"/>
          <w:sz w:val="20"/>
        </w:rPr>
        <w:t xml:space="preserve"> </w:t>
      </w:r>
      <w:r>
        <w:rPr>
          <w:rFonts w:ascii="Avenir Next"/>
          <w:sz w:val="20"/>
        </w:rPr>
        <w:t>Act.</w:t>
      </w:r>
      <w:r>
        <w:rPr>
          <w:rFonts w:ascii="Avenir Next"/>
          <w:spacing w:val="-6"/>
          <w:sz w:val="20"/>
        </w:rPr>
        <w:t xml:space="preserve"> </w:t>
      </w:r>
      <w:r>
        <w:rPr>
          <w:rFonts w:ascii="Avenir Next"/>
          <w:sz w:val="20"/>
        </w:rPr>
        <w:t xml:space="preserve">It also noted </w:t>
      </w:r>
      <w:r>
        <w:rPr>
          <w:rFonts w:ascii="Avenir Next"/>
          <w:spacing w:val="-1"/>
          <w:sz w:val="20"/>
        </w:rPr>
        <w:t>that</w:t>
      </w:r>
    </w:p>
    <w:p w:rsidR="00D96B91" w:rsidRDefault="00C2656B">
      <w:pPr>
        <w:pStyle w:val="BodyText"/>
        <w:spacing w:line="260" w:lineRule="exact"/>
        <w:ind w:left="1530" w:right="1256"/>
      </w:pPr>
      <w:r>
        <w:t xml:space="preserve">the ICRC did not </w:t>
      </w:r>
      <w:r>
        <w:rPr>
          <w:spacing w:val="-1"/>
        </w:rPr>
        <w:t>provide</w:t>
      </w:r>
      <w:r>
        <w:t xml:space="preserve"> </w:t>
      </w:r>
      <w:r>
        <w:rPr>
          <w:spacing w:val="-1"/>
        </w:rPr>
        <w:t>clear</w:t>
      </w:r>
      <w:r>
        <w:t xml:space="preserve"> principles or theory on how the cost of</w:t>
      </w:r>
      <w:r>
        <w:rPr>
          <w:spacing w:val="4"/>
        </w:rPr>
        <w:t xml:space="preserve"> </w:t>
      </w:r>
      <w:r>
        <w:t xml:space="preserve">equity should be </w:t>
      </w:r>
      <w:r>
        <w:rPr>
          <w:spacing w:val="-1"/>
        </w:rPr>
        <w:t>calculated</w:t>
      </w:r>
      <w:r>
        <w:rPr>
          <w:spacing w:val="27"/>
        </w:rPr>
        <w:t xml:space="preserve"> </w:t>
      </w:r>
      <w:r>
        <w:rPr>
          <w:spacing w:val="-1"/>
        </w:rPr>
        <w:t xml:space="preserve">after </w:t>
      </w:r>
      <w:r>
        <w:t xml:space="preserve">the first two </w:t>
      </w:r>
      <w:r>
        <w:rPr>
          <w:spacing w:val="-1"/>
        </w:rPr>
        <w:t>years</w:t>
      </w:r>
      <w:r>
        <w:t xml:space="preserve"> of</w:t>
      </w:r>
      <w:r>
        <w:rPr>
          <w:spacing w:val="3"/>
        </w:rPr>
        <w:t xml:space="preserve"> </w:t>
      </w:r>
      <w:r>
        <w:t>the period.</w:t>
      </w:r>
      <w:r>
        <w:rPr>
          <w:spacing w:val="-6"/>
        </w:rPr>
        <w:t xml:space="preserve"> </w:t>
      </w:r>
      <w:r>
        <w:t>In addition,</w:t>
      </w:r>
      <w:r>
        <w:rPr>
          <w:spacing w:val="-6"/>
        </w:rPr>
        <w:t xml:space="preserve"> </w:t>
      </w:r>
      <w:r>
        <w:t>it</w:t>
      </w:r>
      <w:r>
        <w:rPr>
          <w:spacing w:val="-1"/>
        </w:rPr>
        <w:t xml:space="preserve"> argued</w:t>
      </w:r>
      <w:r>
        <w:t xml:space="preserve"> </w:t>
      </w:r>
      <w:r>
        <w:rPr>
          <w:spacing w:val="-1"/>
        </w:rPr>
        <w:t>that</w:t>
      </w:r>
      <w:r>
        <w:t xml:space="preserve"> the decision subjects</w:t>
      </w:r>
      <w:r>
        <w:rPr>
          <w:spacing w:val="-5"/>
        </w:rPr>
        <w:t xml:space="preserve"> </w:t>
      </w:r>
      <w:r>
        <w:rPr>
          <w:spacing w:val="-2"/>
        </w:rPr>
        <w:t>ACTEW</w:t>
      </w:r>
      <w:r>
        <w:rPr>
          <w:spacing w:val="-3"/>
        </w:rPr>
        <w:t xml:space="preserve"> </w:t>
      </w:r>
      <w:r>
        <w:t>to</w:t>
      </w:r>
    </w:p>
    <w:p w:rsidR="00D96B91" w:rsidRDefault="00C2656B">
      <w:pPr>
        <w:pStyle w:val="BodyText"/>
        <w:spacing w:line="260" w:lineRule="exact"/>
        <w:ind w:left="1530" w:right="1256"/>
      </w:pPr>
      <w:r>
        <w:t>a</w:t>
      </w:r>
      <w:r>
        <w:rPr>
          <w:spacing w:val="-2"/>
        </w:rPr>
        <w:t xml:space="preserve"> </w:t>
      </w:r>
      <w:r>
        <w:t>significant</w:t>
      </w:r>
      <w:r>
        <w:rPr>
          <w:spacing w:val="-1"/>
        </w:rPr>
        <w:t xml:space="preserve"> </w:t>
      </w:r>
      <w:r>
        <w:t>loss,</w:t>
      </w:r>
      <w:r>
        <w:rPr>
          <w:spacing w:val="-7"/>
        </w:rPr>
        <w:t xml:space="preserve"> </w:t>
      </w:r>
      <w:r>
        <w:rPr>
          <w:spacing w:val="-2"/>
        </w:rPr>
        <w:t>creates</w:t>
      </w:r>
      <w:r>
        <w:rPr>
          <w:spacing w:val="-1"/>
        </w:rPr>
        <w:t xml:space="preserve"> uncertainty</w:t>
      </w:r>
      <w:r>
        <w:rPr>
          <w:spacing w:val="-2"/>
        </w:rPr>
        <w:t xml:space="preserve"> </w:t>
      </w:r>
      <w:r>
        <w:t>over</w:t>
      </w:r>
      <w:r>
        <w:rPr>
          <w:spacing w:val="-1"/>
        </w:rPr>
        <w:t xml:space="preserve"> future </w:t>
      </w:r>
      <w:r>
        <w:t>decisions,</w:t>
      </w:r>
      <w:r>
        <w:rPr>
          <w:spacing w:val="-7"/>
        </w:rPr>
        <w:t xml:space="preserve"> </w:t>
      </w:r>
      <w:r>
        <w:t>and</w:t>
      </w:r>
      <w:r>
        <w:rPr>
          <w:spacing w:val="-2"/>
        </w:rPr>
        <w:t xml:space="preserve"> </w:t>
      </w:r>
      <w:r>
        <w:t>hampers</w:t>
      </w:r>
      <w:r>
        <w:rPr>
          <w:spacing w:val="-1"/>
        </w:rPr>
        <w:t xml:space="preserve"> </w:t>
      </w:r>
      <w:r>
        <w:t>incentives</w:t>
      </w:r>
      <w:r>
        <w:rPr>
          <w:spacing w:val="-1"/>
        </w:rPr>
        <w:t xml:space="preserve"> </w:t>
      </w:r>
      <w:r>
        <w:t>for</w:t>
      </w:r>
      <w:r>
        <w:rPr>
          <w:spacing w:val="-1"/>
        </w:rPr>
        <w:t xml:space="preserve"> efficient</w:t>
      </w:r>
      <w:r>
        <w:rPr>
          <w:spacing w:val="43"/>
          <w:w w:val="99"/>
        </w:rPr>
        <w:t xml:space="preserve"> </w:t>
      </w:r>
      <w:r>
        <w:t>investment.</w:t>
      </w:r>
      <w:r>
        <w:rPr>
          <w:spacing w:val="-6"/>
        </w:rPr>
        <w:t xml:space="preserve"> </w:t>
      </w:r>
      <w:r>
        <w:t xml:space="preserve">It </w:t>
      </w:r>
      <w:r>
        <w:rPr>
          <w:spacing w:val="-1"/>
        </w:rPr>
        <w:t>proposed</w:t>
      </w:r>
      <w:r>
        <w:t xml:space="preserve"> </w:t>
      </w:r>
      <w:r>
        <w:rPr>
          <w:spacing w:val="-1"/>
        </w:rPr>
        <w:t>that</w:t>
      </w:r>
      <w:r>
        <w:t xml:space="preserve"> the cost of</w:t>
      </w:r>
      <w:r>
        <w:rPr>
          <w:spacing w:val="4"/>
        </w:rPr>
        <w:t xml:space="preserve"> </w:t>
      </w:r>
      <w:r>
        <w:t xml:space="preserve">equity be </w:t>
      </w:r>
      <w:r>
        <w:rPr>
          <w:spacing w:val="-1"/>
        </w:rPr>
        <w:t>calculated</w:t>
      </w:r>
      <w:r>
        <w:t xml:space="preserve"> using the </w:t>
      </w:r>
      <w:r>
        <w:rPr>
          <w:spacing w:val="-1"/>
        </w:rPr>
        <w:t>Capital</w:t>
      </w:r>
      <w:r>
        <w:rPr>
          <w:spacing w:val="-4"/>
        </w:rPr>
        <w:t xml:space="preserve"> </w:t>
      </w:r>
      <w:r>
        <w:t xml:space="preserve">Asset </w:t>
      </w:r>
      <w:r>
        <w:rPr>
          <w:spacing w:val="-2"/>
        </w:rPr>
        <w:t>Pricing</w:t>
      </w:r>
      <w:r>
        <w:t xml:space="preserve"> Model.</w:t>
      </w:r>
    </w:p>
    <w:p w:rsidR="00D96B91" w:rsidRDefault="00C2656B">
      <w:pPr>
        <w:pStyle w:val="BodyText"/>
        <w:numPr>
          <w:ilvl w:val="0"/>
          <w:numId w:val="131"/>
        </w:numPr>
        <w:tabs>
          <w:tab w:val="left" w:pos="1531"/>
        </w:tabs>
        <w:spacing w:before="85" w:line="260" w:lineRule="exact"/>
        <w:ind w:right="1493" w:hanging="283"/>
      </w:pPr>
      <w:r>
        <w:rPr>
          <w:rFonts w:cs="Avenir Next"/>
          <w:b/>
          <w:bCs/>
          <w:spacing w:val="-2"/>
        </w:rPr>
        <w:t>The</w:t>
      </w:r>
      <w:r>
        <w:rPr>
          <w:rFonts w:cs="Avenir Next"/>
          <w:b/>
          <w:bCs/>
        </w:rPr>
        <w:t xml:space="preserve"> </w:t>
      </w:r>
      <w:r>
        <w:rPr>
          <w:rFonts w:cs="Avenir Next"/>
          <w:b/>
          <w:bCs/>
          <w:spacing w:val="-1"/>
        </w:rPr>
        <w:t>calculation</w:t>
      </w:r>
      <w:r>
        <w:rPr>
          <w:rFonts w:cs="Avenir Next"/>
          <w:b/>
          <w:bCs/>
          <w:spacing w:val="1"/>
        </w:rPr>
        <w:t xml:space="preserve"> </w:t>
      </w:r>
      <w:r>
        <w:rPr>
          <w:rFonts w:cs="Avenir Next"/>
          <w:b/>
          <w:bCs/>
        </w:rPr>
        <w:t>of</w:t>
      </w:r>
      <w:r>
        <w:rPr>
          <w:rFonts w:cs="Avenir Next"/>
          <w:b/>
          <w:bCs/>
          <w:spacing w:val="4"/>
        </w:rPr>
        <w:t xml:space="preserve"> </w:t>
      </w:r>
      <w:r>
        <w:rPr>
          <w:rFonts w:cs="Avenir Next"/>
          <w:b/>
          <w:bCs/>
          <w:spacing w:val="-1"/>
        </w:rPr>
        <w:t>depreciation</w:t>
      </w:r>
      <w:r>
        <w:rPr>
          <w:spacing w:val="-1"/>
        </w:rPr>
        <w:t>.</w:t>
      </w:r>
      <w:r>
        <w:rPr>
          <w:spacing w:val="-1"/>
          <w:position w:val="7"/>
          <w:sz w:val="11"/>
          <w:szCs w:val="11"/>
        </w:rPr>
        <w:t>24</w:t>
      </w:r>
      <w:r>
        <w:rPr>
          <w:spacing w:val="19"/>
          <w:position w:val="7"/>
          <w:sz w:val="11"/>
          <w:szCs w:val="11"/>
        </w:rPr>
        <w:t xml:space="preserve"> </w:t>
      </w:r>
      <w:r>
        <w:rPr>
          <w:rFonts w:cs="Avenir Next"/>
          <w:spacing w:val="-2"/>
        </w:rPr>
        <w:t xml:space="preserve">ACTEW </w:t>
      </w:r>
      <w:r>
        <w:rPr>
          <w:rFonts w:cs="Avenir Next"/>
          <w:spacing w:val="-1"/>
        </w:rPr>
        <w:t>submitted</w:t>
      </w:r>
      <w:r>
        <w:rPr>
          <w:rFonts w:cs="Avenir Next"/>
        </w:rPr>
        <w:t xml:space="preserve"> </w:t>
      </w:r>
      <w:r>
        <w:rPr>
          <w:rFonts w:cs="Avenir Next"/>
          <w:spacing w:val="-1"/>
        </w:rPr>
        <w:t>that</w:t>
      </w:r>
      <w:r>
        <w:rPr>
          <w:rFonts w:cs="Avenir Next"/>
          <w:spacing w:val="1"/>
        </w:rPr>
        <w:t xml:space="preserve"> </w:t>
      </w:r>
      <w:r>
        <w:rPr>
          <w:rFonts w:cs="Avenir Next"/>
        </w:rPr>
        <w:t>the ICRC</w:t>
      </w:r>
      <w:r>
        <w:rPr>
          <w:rFonts w:cs="Avenir Next"/>
          <w:spacing w:val="1"/>
        </w:rPr>
        <w:t xml:space="preserve"> </w:t>
      </w:r>
      <w:r>
        <w:rPr>
          <w:rFonts w:cs="Avenir Next"/>
        </w:rPr>
        <w:t>made a</w:t>
      </w:r>
      <w:r>
        <w:rPr>
          <w:rFonts w:cs="Avenir Next"/>
          <w:spacing w:val="1"/>
        </w:rPr>
        <w:t xml:space="preserve"> </w:t>
      </w:r>
      <w:r>
        <w:rPr>
          <w:rFonts w:cs="Avenir Next"/>
        </w:rPr>
        <w:t>number</w:t>
      </w:r>
      <w:r>
        <w:rPr>
          <w:rFonts w:cs="Avenir Next"/>
          <w:spacing w:val="1"/>
        </w:rPr>
        <w:t xml:space="preserve"> </w:t>
      </w:r>
      <w:r>
        <w:rPr>
          <w:rFonts w:cs="Avenir Next"/>
        </w:rPr>
        <w:t>of</w:t>
      </w:r>
      <w:r>
        <w:rPr>
          <w:rFonts w:cs="Avenir Next"/>
          <w:spacing w:val="4"/>
        </w:rPr>
        <w:t xml:space="preserve"> </w:t>
      </w:r>
      <w:r>
        <w:rPr>
          <w:rFonts w:cs="Avenir Next"/>
          <w:spacing w:val="-1"/>
        </w:rPr>
        <w:t>errors</w:t>
      </w:r>
      <w:r>
        <w:rPr>
          <w:rFonts w:cs="Avenir Next"/>
          <w:spacing w:val="1"/>
        </w:rPr>
        <w:t xml:space="preserve"> </w:t>
      </w:r>
      <w:r>
        <w:rPr>
          <w:rFonts w:cs="Avenir Next"/>
        </w:rPr>
        <w:t>when</w:t>
      </w:r>
      <w:r>
        <w:rPr>
          <w:rFonts w:cs="Avenir Next"/>
          <w:spacing w:val="67"/>
        </w:rPr>
        <w:t xml:space="preserve"> </w:t>
      </w:r>
      <w:r>
        <w:rPr>
          <w:rFonts w:cs="Avenir Next"/>
          <w:spacing w:val="-1"/>
        </w:rPr>
        <w:t>calculating</w:t>
      </w:r>
      <w:r>
        <w:rPr>
          <w:rFonts w:cs="Avenir Next"/>
        </w:rPr>
        <w:t xml:space="preserve"> </w:t>
      </w:r>
      <w:r>
        <w:rPr>
          <w:rFonts w:cs="Avenir Next"/>
          <w:spacing w:val="-1"/>
        </w:rPr>
        <w:t>depreciation</w:t>
      </w:r>
      <w:r>
        <w:rPr>
          <w:rFonts w:cs="Avenir Next"/>
        </w:rPr>
        <w:t xml:space="preserve"> and </w:t>
      </w:r>
      <w:r>
        <w:rPr>
          <w:rFonts w:cs="Avenir Next"/>
          <w:spacing w:val="-1"/>
        </w:rPr>
        <w:t>that</w:t>
      </w:r>
      <w:r>
        <w:rPr>
          <w:rFonts w:cs="Avenir Next"/>
        </w:rPr>
        <w:t xml:space="preserve"> if</w:t>
      </w:r>
      <w:r>
        <w:rPr>
          <w:rFonts w:cs="Avenir Next"/>
          <w:spacing w:val="4"/>
        </w:rPr>
        <w:t xml:space="preserve"> </w:t>
      </w:r>
      <w:r>
        <w:rPr>
          <w:rFonts w:cs="Avenir Next"/>
        </w:rPr>
        <w:t xml:space="preserve">these </w:t>
      </w:r>
      <w:r>
        <w:rPr>
          <w:rFonts w:cs="Avenir Next"/>
          <w:spacing w:val="-1"/>
        </w:rPr>
        <w:t>were</w:t>
      </w:r>
      <w:r>
        <w:rPr>
          <w:rFonts w:cs="Avenir Next"/>
        </w:rPr>
        <w:t xml:space="preserve"> not </w:t>
      </w:r>
      <w:r>
        <w:rPr>
          <w:rFonts w:cs="Avenir Next"/>
          <w:spacing w:val="-1"/>
        </w:rPr>
        <w:t>corrected,</w:t>
      </w:r>
      <w:r>
        <w:rPr>
          <w:rFonts w:cs="Avenir Next"/>
          <w:spacing w:val="-6"/>
        </w:rPr>
        <w:t xml:space="preserve"> </w:t>
      </w:r>
      <w:r>
        <w:rPr>
          <w:rFonts w:cs="Avenir Next"/>
        </w:rPr>
        <w:t xml:space="preserve">they would </w:t>
      </w:r>
      <w:r>
        <w:rPr>
          <w:rFonts w:cs="Avenir Next"/>
          <w:spacing w:val="-1"/>
        </w:rPr>
        <w:t>reduce</w:t>
      </w:r>
      <w:r>
        <w:rPr>
          <w:rFonts w:cs="Avenir Next"/>
          <w:spacing w:val="-4"/>
        </w:rPr>
        <w:t xml:space="preserve"> </w:t>
      </w:r>
      <w:r>
        <w:rPr>
          <w:rFonts w:cs="Avenir Next"/>
          <w:spacing w:val="-2"/>
        </w:rPr>
        <w:t>ACTEW’s</w:t>
      </w:r>
      <w:r>
        <w:rPr>
          <w:rFonts w:cs="Avenir Next"/>
        </w:rPr>
        <w:t xml:space="preserve"> cash</w:t>
      </w:r>
      <w:r>
        <w:rPr>
          <w:rFonts w:cs="Avenir Next"/>
          <w:spacing w:val="53"/>
        </w:rPr>
        <w:t xml:space="preserve"> </w:t>
      </w:r>
      <w:r>
        <w:t>flow</w:t>
      </w:r>
      <w:r>
        <w:rPr>
          <w:spacing w:val="-1"/>
        </w:rPr>
        <w:t xml:space="preserve"> </w:t>
      </w:r>
      <w:r>
        <w:t xml:space="preserve">in the </w:t>
      </w:r>
      <w:r>
        <w:rPr>
          <w:spacing w:val="-1"/>
        </w:rPr>
        <w:t xml:space="preserve">short </w:t>
      </w:r>
      <w:r>
        <w:t>term,</w:t>
      </w:r>
      <w:r>
        <w:rPr>
          <w:spacing w:val="-6"/>
        </w:rPr>
        <w:t xml:space="preserve"> </w:t>
      </w:r>
      <w:r>
        <w:t xml:space="preserve">and </w:t>
      </w:r>
      <w:r>
        <w:rPr>
          <w:spacing w:val="-2"/>
        </w:rPr>
        <w:t>create</w:t>
      </w:r>
      <w:r>
        <w:t xml:space="preserve"> </w:t>
      </w:r>
      <w:r>
        <w:rPr>
          <w:spacing w:val="-1"/>
        </w:rPr>
        <w:t>uncertainty</w:t>
      </w:r>
      <w:r>
        <w:t xml:space="preserve"> about</w:t>
      </w:r>
      <w:r>
        <w:rPr>
          <w:spacing w:val="-1"/>
        </w:rPr>
        <w:t xml:space="preserve"> </w:t>
      </w:r>
      <w:r>
        <w:t xml:space="preserve">how </w:t>
      </w:r>
      <w:r>
        <w:rPr>
          <w:spacing w:val="-1"/>
        </w:rPr>
        <w:t>depreciation</w:t>
      </w:r>
      <w:r>
        <w:t xml:space="preserve"> will</w:t>
      </w:r>
      <w:r>
        <w:rPr>
          <w:spacing w:val="-1"/>
        </w:rPr>
        <w:t xml:space="preserve"> </w:t>
      </w:r>
      <w:r>
        <w:t xml:space="preserve">be </w:t>
      </w:r>
      <w:r>
        <w:rPr>
          <w:spacing w:val="-1"/>
        </w:rPr>
        <w:t>calculated</w:t>
      </w:r>
      <w:r>
        <w:t xml:space="preserve"> in </w:t>
      </w:r>
      <w:r>
        <w:rPr>
          <w:spacing w:val="-1"/>
        </w:rPr>
        <w:t>future</w:t>
      </w:r>
      <w:r>
        <w:rPr>
          <w:spacing w:val="61"/>
        </w:rPr>
        <w:t xml:space="preserve"> </w:t>
      </w:r>
      <w:r>
        <w:rPr>
          <w:spacing w:val="-1"/>
        </w:rPr>
        <w:t>regulatory</w:t>
      </w:r>
      <w:r>
        <w:t xml:space="preserve"> decisions.</w:t>
      </w:r>
      <w:r>
        <w:rPr>
          <w:spacing w:val="-10"/>
        </w:rPr>
        <w:t xml:space="preserve"> </w:t>
      </w:r>
      <w:r>
        <w:rPr>
          <w:spacing w:val="-2"/>
        </w:rPr>
        <w:t>ACTEW</w:t>
      </w:r>
      <w:r>
        <w:rPr>
          <w:spacing w:val="-3"/>
        </w:rPr>
        <w:t xml:space="preserve"> </w:t>
      </w:r>
      <w:r>
        <w:t xml:space="preserve">also </w:t>
      </w:r>
      <w:r>
        <w:rPr>
          <w:spacing w:val="-1"/>
        </w:rPr>
        <w:t>proposed</w:t>
      </w:r>
      <w:r>
        <w:t xml:space="preserve"> </w:t>
      </w:r>
      <w:r>
        <w:rPr>
          <w:spacing w:val="-1"/>
        </w:rPr>
        <w:t>that</w:t>
      </w:r>
      <w:r>
        <w:t xml:space="preserve"> </w:t>
      </w:r>
      <w:r>
        <w:rPr>
          <w:spacing w:val="-1"/>
        </w:rPr>
        <w:t>depreciation</w:t>
      </w:r>
      <w:r>
        <w:t xml:space="preserve"> for new capital </w:t>
      </w:r>
      <w:r>
        <w:rPr>
          <w:spacing w:val="-1"/>
        </w:rPr>
        <w:t>expenditure</w:t>
      </w:r>
      <w:r>
        <w:t xml:space="preserve"> be</w:t>
      </w:r>
      <w:r>
        <w:rPr>
          <w:spacing w:val="51"/>
        </w:rPr>
        <w:t xml:space="preserve"> </w:t>
      </w:r>
      <w:r>
        <w:rPr>
          <w:spacing w:val="-1"/>
        </w:rPr>
        <w:t>calculated</w:t>
      </w:r>
      <w:r>
        <w:t xml:space="preserve"> using the accounting and engineering based asset lives.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624"/>
      </w:pPr>
      <w:r>
        <w:rPr>
          <w:spacing w:val="-2"/>
        </w:rPr>
        <w:t>ACTEW</w:t>
      </w:r>
      <w:r>
        <w:rPr>
          <w:spacing w:val="-3"/>
        </w:rPr>
        <w:t xml:space="preserve"> </w:t>
      </w:r>
      <w:r>
        <w:t xml:space="preserve">also noted </w:t>
      </w:r>
      <w:r>
        <w:rPr>
          <w:spacing w:val="-1"/>
        </w:rPr>
        <w:t>that</w:t>
      </w:r>
      <w:r>
        <w:t xml:space="preserve"> if</w:t>
      </w:r>
      <w:r>
        <w:rPr>
          <w:spacing w:val="4"/>
        </w:rPr>
        <w:t xml:space="preserve"> </w:t>
      </w:r>
      <w:r>
        <w:t xml:space="preserve">the </w:t>
      </w:r>
      <w:r>
        <w:rPr>
          <w:spacing w:val="-3"/>
        </w:rPr>
        <w:t>Panel</w:t>
      </w:r>
      <w:r>
        <w:t xml:space="preserve"> decides not to implement the biennial </w:t>
      </w:r>
      <w:r>
        <w:rPr>
          <w:spacing w:val="-1"/>
        </w:rPr>
        <w:t>recalibration</w:t>
      </w:r>
      <w:r>
        <w:t xml:space="preserve"> </w:t>
      </w:r>
      <w:r>
        <w:rPr>
          <w:spacing w:val="-1"/>
        </w:rPr>
        <w:t>process,</w:t>
      </w:r>
      <w:r>
        <w:rPr>
          <w:spacing w:val="-6"/>
        </w:rPr>
        <w:t xml:space="preserve"> </w:t>
      </w:r>
      <w:r>
        <w:t>it</w:t>
      </w:r>
      <w:r>
        <w:rPr>
          <w:spacing w:val="31"/>
        </w:rPr>
        <w:t xml:space="preserve"> </w:t>
      </w:r>
      <w:r>
        <w:t xml:space="preserve">will need to </w:t>
      </w:r>
      <w:r>
        <w:rPr>
          <w:spacing w:val="-1"/>
        </w:rPr>
        <w:t>make</w:t>
      </w:r>
      <w:r>
        <w:t xml:space="preserve"> decisions about </w:t>
      </w:r>
      <w:r>
        <w:rPr>
          <w:spacing w:val="-1"/>
        </w:rPr>
        <w:t>forecast</w:t>
      </w:r>
      <w:r>
        <w:t xml:space="preserve"> </w:t>
      </w:r>
      <w:r>
        <w:rPr>
          <w:spacing w:val="-1"/>
        </w:rPr>
        <w:t>expenditure,</w:t>
      </w:r>
      <w:r>
        <w:rPr>
          <w:spacing w:val="-6"/>
        </w:rPr>
        <w:t xml:space="preserve"> </w:t>
      </w:r>
      <w:r>
        <w:t>demand and a number of</w:t>
      </w:r>
      <w:r>
        <w:rPr>
          <w:spacing w:val="4"/>
        </w:rPr>
        <w:t xml:space="preserve"> </w:t>
      </w:r>
      <w:r>
        <w:t xml:space="preserve">other </w:t>
      </w:r>
      <w:r>
        <w:rPr>
          <w:spacing w:val="-1"/>
        </w:rPr>
        <w:t>matters</w:t>
      </w:r>
      <w:r>
        <w:t xml:space="preserve"> for</w:t>
      </w:r>
      <w:r>
        <w:rPr>
          <w:spacing w:val="23"/>
        </w:rPr>
        <w:t xml:space="preserve"> </w:t>
      </w:r>
      <w:r>
        <w:t xml:space="preserve">2015-16 to 2017-18 because no decisions </w:t>
      </w:r>
      <w:r>
        <w:rPr>
          <w:spacing w:val="-1"/>
        </w:rPr>
        <w:t>were</w:t>
      </w:r>
      <w:r>
        <w:t xml:space="preserve"> made about these in the original price </w:t>
      </w:r>
      <w:r>
        <w:rPr>
          <w:spacing w:val="-1"/>
        </w:rPr>
        <w:t>direction.</w:t>
      </w:r>
    </w:p>
    <w:p w:rsidR="00D96B91" w:rsidRDefault="00C2656B">
      <w:pPr>
        <w:pStyle w:val="BodyText"/>
        <w:spacing w:before="170" w:line="260" w:lineRule="exact"/>
        <w:ind w:right="1256"/>
      </w:pPr>
      <w:r>
        <w:rPr>
          <w:spacing w:val="-2"/>
        </w:rPr>
        <w:t>ACTEW</w:t>
      </w:r>
      <w:r>
        <w:rPr>
          <w:spacing w:val="-4"/>
        </w:rPr>
        <w:t xml:space="preserve"> </w:t>
      </w:r>
      <w:r>
        <w:rPr>
          <w:spacing w:val="-1"/>
        </w:rPr>
        <w:t>stated</w:t>
      </w:r>
      <w:r>
        <w:t xml:space="preserve"> </w:t>
      </w:r>
      <w:r>
        <w:rPr>
          <w:spacing w:val="-1"/>
        </w:rPr>
        <w:t>that</w:t>
      </w:r>
      <w:r>
        <w:t xml:space="preserve"> it was not</w:t>
      </w:r>
      <w:r>
        <w:rPr>
          <w:spacing w:val="-1"/>
        </w:rPr>
        <w:t xml:space="preserve"> </w:t>
      </w:r>
      <w:r>
        <w:t xml:space="preserve">seeking </w:t>
      </w:r>
      <w:r>
        <w:rPr>
          <w:spacing w:val="-1"/>
        </w:rPr>
        <w:t>review</w:t>
      </w:r>
      <w:r>
        <w:t xml:space="preserve"> of</w:t>
      </w:r>
      <w:r>
        <w:rPr>
          <w:spacing w:val="4"/>
        </w:rPr>
        <w:t xml:space="preserve"> </w:t>
      </w:r>
      <w:r>
        <w:t xml:space="preserve">the </w:t>
      </w:r>
      <w:r>
        <w:rPr>
          <w:spacing w:val="-2"/>
        </w:rPr>
        <w:t>ICRC’s</w:t>
      </w:r>
      <w:r>
        <w:rPr>
          <w:spacing w:val="-1"/>
        </w:rPr>
        <w:t xml:space="preserve"> </w:t>
      </w:r>
      <w:r>
        <w:t>final decision not to allow</w:t>
      </w:r>
      <w:r>
        <w:rPr>
          <w:spacing w:val="-1"/>
        </w:rPr>
        <w:t xml:space="preserve"> recovery</w:t>
      </w:r>
      <w:r>
        <w:t xml:space="preserve"> of</w:t>
      </w:r>
      <w:r>
        <w:rPr>
          <w:spacing w:val="4"/>
        </w:rPr>
        <w:t xml:space="preserve"> </w:t>
      </w:r>
      <w:r>
        <w:t>any of</w:t>
      </w:r>
      <w:r>
        <w:rPr>
          <w:spacing w:val="37"/>
        </w:rPr>
        <w:t xml:space="preserve"> </w:t>
      </w:r>
      <w:r>
        <w:t xml:space="preserve">the $238 million </w:t>
      </w:r>
      <w:r>
        <w:rPr>
          <w:spacing w:val="-1"/>
        </w:rPr>
        <w:t>shortfall</w:t>
      </w:r>
      <w:r>
        <w:t xml:space="preserve"> in </w:t>
      </w:r>
      <w:r>
        <w:rPr>
          <w:spacing w:val="-1"/>
        </w:rPr>
        <w:t>revenue</w:t>
      </w:r>
      <w:r>
        <w:t xml:space="preserve"> in the </w:t>
      </w:r>
      <w:r>
        <w:rPr>
          <w:spacing w:val="-1"/>
        </w:rPr>
        <w:t>previous</w:t>
      </w:r>
      <w:r>
        <w:t xml:space="preserve"> </w:t>
      </w:r>
      <w:r>
        <w:rPr>
          <w:spacing w:val="-1"/>
        </w:rPr>
        <w:t>regulatory</w:t>
      </w:r>
      <w:r>
        <w:t xml:space="preserve"> </w:t>
      </w:r>
      <w:r>
        <w:rPr>
          <w:spacing w:val="-1"/>
        </w:rPr>
        <w:t>review</w:t>
      </w:r>
      <w:r>
        <w:t xml:space="preserve"> (even though</w:t>
      </w:r>
      <w:r>
        <w:rPr>
          <w:spacing w:val="-4"/>
        </w:rPr>
        <w:t xml:space="preserve"> </w:t>
      </w:r>
      <w:r>
        <w:rPr>
          <w:spacing w:val="-2"/>
        </w:rPr>
        <w:t>ACTEW</w:t>
      </w:r>
      <w:r>
        <w:rPr>
          <w:spacing w:val="-3"/>
        </w:rPr>
        <w:t xml:space="preserve"> </w:t>
      </w:r>
      <w:r>
        <w:t>contends</w:t>
      </w:r>
      <w:r>
        <w:rPr>
          <w:spacing w:val="47"/>
        </w:rPr>
        <w:t xml:space="preserve"> </w:t>
      </w:r>
      <w:r>
        <w:rPr>
          <w:spacing w:val="-1"/>
        </w:rPr>
        <w:t>that</w:t>
      </w:r>
      <w:r>
        <w:t xml:space="preserve"> this </w:t>
      </w:r>
      <w:r>
        <w:rPr>
          <w:spacing w:val="-1"/>
        </w:rPr>
        <w:t>shortfall</w:t>
      </w:r>
      <w:r>
        <w:t xml:space="preserve"> was eligible for full </w:t>
      </w:r>
      <w:r>
        <w:rPr>
          <w:spacing w:val="-1"/>
        </w:rPr>
        <w:t>pass-through</w:t>
      </w:r>
      <w:r>
        <w:t xml:space="preserve"> in the </w:t>
      </w:r>
      <w:r>
        <w:rPr>
          <w:spacing w:val="-1"/>
        </w:rPr>
        <w:t>current</w:t>
      </w:r>
      <w:r>
        <w:t xml:space="preserve"> </w:t>
      </w:r>
      <w:r>
        <w:rPr>
          <w:spacing w:val="-1"/>
        </w:rPr>
        <w:t>regulatory</w:t>
      </w:r>
      <w:r>
        <w:t xml:space="preserve"> period).</w:t>
      </w:r>
      <w:r>
        <w:rPr>
          <w:spacing w:val="-11"/>
        </w:rPr>
        <w:t xml:space="preserve"> </w:t>
      </w:r>
      <w:r>
        <w:rPr>
          <w:spacing w:val="-2"/>
        </w:rPr>
        <w:t>The</w:t>
      </w:r>
      <w:r>
        <w:t xml:space="preserve"> </w:t>
      </w:r>
      <w:r>
        <w:rPr>
          <w:spacing w:val="-3"/>
        </w:rPr>
        <w:t>Panel</w:t>
      </w:r>
      <w:r>
        <w:t xml:space="preserve"> </w:t>
      </w:r>
      <w:r>
        <w:rPr>
          <w:spacing w:val="-1"/>
        </w:rPr>
        <w:t>therefore</w:t>
      </w:r>
      <w:r>
        <w:rPr>
          <w:spacing w:val="59"/>
        </w:rPr>
        <w:t xml:space="preserve"> </w:t>
      </w:r>
      <w:r>
        <w:t xml:space="preserve">did not consider this issue as </w:t>
      </w:r>
      <w:r>
        <w:rPr>
          <w:spacing w:val="-1"/>
        </w:rPr>
        <w:t>part</w:t>
      </w:r>
      <w:r>
        <w:t xml:space="preserve"> of</w:t>
      </w:r>
      <w:r>
        <w:rPr>
          <w:spacing w:val="4"/>
        </w:rPr>
        <w:t xml:space="preserve"> </w:t>
      </w:r>
      <w:r>
        <w:t xml:space="preserve">its </w:t>
      </w:r>
      <w:r>
        <w:rPr>
          <w:spacing w:val="-1"/>
        </w:rPr>
        <w:t>deliberations</w:t>
      </w:r>
      <w:r>
        <w:t xml:space="preserve"> about the scope of</w:t>
      </w:r>
      <w:r>
        <w:rPr>
          <w:spacing w:val="4"/>
        </w:rPr>
        <w:t xml:space="preserve"> </w:t>
      </w:r>
      <w:r>
        <w:t xml:space="preserve">its </w:t>
      </w:r>
      <w:r>
        <w:rPr>
          <w:spacing w:val="-2"/>
        </w:rPr>
        <w:t>review.</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110"/>
        </w:numPr>
        <w:tabs>
          <w:tab w:val="left" w:pos="2098"/>
        </w:tabs>
        <w:ind w:hanging="850"/>
      </w:pPr>
      <w:r>
        <w:rPr>
          <w:color w:val="0778BE"/>
          <w:spacing w:val="-1"/>
        </w:rPr>
        <w:t>Matters</w:t>
      </w:r>
      <w:r>
        <w:rPr>
          <w:color w:val="0778BE"/>
        </w:rPr>
        <w:t xml:space="preserve"> </w:t>
      </w:r>
      <w:r>
        <w:rPr>
          <w:color w:val="0778BE"/>
          <w:spacing w:val="-1"/>
        </w:rPr>
        <w:t>raised</w:t>
      </w:r>
      <w:r>
        <w:rPr>
          <w:color w:val="0778BE"/>
        </w:rPr>
        <w:t xml:space="preserve"> in other submissions</w:t>
      </w:r>
    </w:p>
    <w:p w:rsidR="00D96B91" w:rsidRDefault="00C2656B">
      <w:pPr>
        <w:pStyle w:val="BodyText"/>
        <w:spacing w:before="21" w:line="260" w:lineRule="exact"/>
        <w:ind w:right="1256"/>
      </w:pPr>
      <w:r>
        <w:rPr>
          <w:rFonts w:cs="Avenir Next"/>
        </w:rPr>
        <w:t>A</w:t>
      </w:r>
      <w:r>
        <w:rPr>
          <w:rFonts w:cs="Avenir Next"/>
          <w:spacing w:val="-4"/>
        </w:rPr>
        <w:t xml:space="preserve"> </w:t>
      </w:r>
      <w:r>
        <w:rPr>
          <w:rFonts w:cs="Avenir Next"/>
        </w:rPr>
        <w:t xml:space="preserve">wide </w:t>
      </w:r>
      <w:r>
        <w:rPr>
          <w:rFonts w:cs="Avenir Next"/>
          <w:spacing w:val="-1"/>
        </w:rPr>
        <w:t>range</w:t>
      </w:r>
      <w:r>
        <w:rPr>
          <w:rFonts w:cs="Avenir Next"/>
        </w:rPr>
        <w:t xml:space="preserve"> of</w:t>
      </w:r>
      <w:r>
        <w:rPr>
          <w:rFonts w:cs="Avenir Next"/>
          <w:spacing w:val="4"/>
        </w:rPr>
        <w:t xml:space="preserve"> </w:t>
      </w:r>
      <w:r>
        <w:rPr>
          <w:rFonts w:cs="Avenir Next"/>
        </w:rPr>
        <w:t xml:space="preserve">issues </w:t>
      </w:r>
      <w:r>
        <w:rPr>
          <w:rFonts w:cs="Avenir Next"/>
          <w:spacing w:val="-1"/>
        </w:rPr>
        <w:t>were</w:t>
      </w:r>
      <w:r>
        <w:rPr>
          <w:rFonts w:cs="Avenir Next"/>
        </w:rPr>
        <w:t xml:space="preserve"> </w:t>
      </w:r>
      <w:r>
        <w:rPr>
          <w:rFonts w:cs="Avenir Next"/>
          <w:spacing w:val="-1"/>
        </w:rPr>
        <w:t>raised</w:t>
      </w:r>
      <w:r>
        <w:rPr>
          <w:rFonts w:cs="Avenir Next"/>
        </w:rPr>
        <w:t xml:space="preserve"> in other submissions in </w:t>
      </w:r>
      <w:r>
        <w:rPr>
          <w:rFonts w:cs="Avenir Next"/>
          <w:spacing w:val="-1"/>
        </w:rPr>
        <w:t>response</w:t>
      </w:r>
      <w:r>
        <w:rPr>
          <w:rFonts w:cs="Avenir Next"/>
        </w:rPr>
        <w:t xml:space="preserve"> to the </w:t>
      </w:r>
      <w:r>
        <w:rPr>
          <w:rFonts w:cs="Avenir Next"/>
          <w:spacing w:val="-4"/>
        </w:rPr>
        <w:t>Panel’s</w:t>
      </w:r>
      <w:r>
        <w:rPr>
          <w:rFonts w:cs="Avenir Next"/>
        </w:rPr>
        <w:t xml:space="preserve"> </w:t>
      </w:r>
      <w:r>
        <w:rPr>
          <w:rFonts w:cs="Avenir Next"/>
          <w:spacing w:val="-1"/>
        </w:rPr>
        <w:t>directions</w:t>
      </w:r>
      <w:r>
        <w:rPr>
          <w:rFonts w:cs="Avenir Next"/>
        </w:rPr>
        <w:t xml:space="preserve"> </w:t>
      </w:r>
      <w:r>
        <w:rPr>
          <w:rFonts w:cs="Avenir Next"/>
          <w:spacing w:val="-1"/>
        </w:rPr>
        <w:t>hearing</w:t>
      </w:r>
      <w:r>
        <w:rPr>
          <w:rFonts w:cs="Avenir Next"/>
          <w:spacing w:val="51"/>
        </w:rPr>
        <w:t xml:space="preserve"> </w:t>
      </w:r>
      <w:r>
        <w:t>(discussed in Chapter 2).</w:t>
      </w:r>
      <w:r>
        <w:rPr>
          <w:spacing w:val="-11"/>
        </w:rPr>
        <w:t xml:space="preserve"> </w:t>
      </w:r>
      <w:r>
        <w:rPr>
          <w:spacing w:val="-1"/>
        </w:rPr>
        <w:t>These</w:t>
      </w:r>
      <w:r>
        <w:t xml:space="preserve"> include:</w:t>
      </w:r>
    </w:p>
    <w:p w:rsidR="00D96B91" w:rsidRDefault="00C2656B">
      <w:pPr>
        <w:pStyle w:val="BodyText"/>
        <w:numPr>
          <w:ilvl w:val="0"/>
          <w:numId w:val="131"/>
        </w:numPr>
        <w:tabs>
          <w:tab w:val="left" w:pos="1531"/>
        </w:tabs>
        <w:spacing w:before="178"/>
        <w:ind w:hanging="283"/>
        <w:rPr>
          <w:rFonts w:cs="Avenir Next"/>
        </w:rPr>
      </w:pPr>
      <w:r>
        <w:t xml:space="preserve">the </w:t>
      </w:r>
      <w:r>
        <w:rPr>
          <w:spacing w:val="-1"/>
        </w:rPr>
        <w:t>appropriate</w:t>
      </w:r>
      <w:r>
        <w:t xml:space="preserve"> </w:t>
      </w:r>
      <w:r>
        <w:rPr>
          <w:spacing w:val="-2"/>
        </w:rPr>
        <w:t>rate</w:t>
      </w:r>
      <w:r>
        <w:t xml:space="preserve"> of</w:t>
      </w:r>
      <w:r>
        <w:rPr>
          <w:spacing w:val="4"/>
        </w:rPr>
        <w:t xml:space="preserve"> </w:t>
      </w:r>
      <w:r>
        <w:rPr>
          <w:spacing w:val="-1"/>
        </w:rPr>
        <w:t>return</w:t>
      </w:r>
    </w:p>
    <w:p w:rsidR="00D96B91" w:rsidRDefault="00C2656B">
      <w:pPr>
        <w:pStyle w:val="BodyText"/>
        <w:numPr>
          <w:ilvl w:val="0"/>
          <w:numId w:val="131"/>
        </w:numPr>
        <w:tabs>
          <w:tab w:val="left" w:pos="1531"/>
        </w:tabs>
        <w:spacing w:before="72"/>
        <w:ind w:hanging="283"/>
      </w:pPr>
      <w:r>
        <w:t>the value of</w:t>
      </w:r>
      <w:r>
        <w:rPr>
          <w:spacing w:val="4"/>
        </w:rPr>
        <w:t xml:space="preserve"> </w:t>
      </w:r>
      <w:r>
        <w:t xml:space="preserve">the </w:t>
      </w:r>
      <w:r>
        <w:rPr>
          <w:spacing w:val="-1"/>
        </w:rPr>
        <w:t>regulated</w:t>
      </w:r>
      <w:r>
        <w:t xml:space="preserve"> asset base (RAB)</w:t>
      </w:r>
    </w:p>
    <w:p w:rsidR="00D96B91" w:rsidRDefault="00C2656B">
      <w:pPr>
        <w:pStyle w:val="BodyText"/>
        <w:numPr>
          <w:ilvl w:val="0"/>
          <w:numId w:val="131"/>
        </w:numPr>
        <w:tabs>
          <w:tab w:val="left" w:pos="1531"/>
        </w:tabs>
        <w:spacing w:before="72"/>
        <w:ind w:hanging="283"/>
        <w:rPr>
          <w:rFonts w:cs="Avenir Next"/>
        </w:rPr>
      </w:pPr>
      <w:r>
        <w:rPr>
          <w:rFonts w:cs="Avenir Next"/>
          <w:spacing w:val="-2"/>
        </w:rPr>
        <w:t>ACTEW’s</w:t>
      </w:r>
      <w:r>
        <w:rPr>
          <w:rFonts w:cs="Avenir Next"/>
        </w:rPr>
        <w:t xml:space="preserve"> </w:t>
      </w:r>
      <w:r>
        <w:rPr>
          <w:rFonts w:cs="Avenir Next"/>
          <w:spacing w:val="-1"/>
        </w:rPr>
        <w:t>operating</w:t>
      </w:r>
      <w:r>
        <w:rPr>
          <w:rFonts w:cs="Avenir Next"/>
        </w:rPr>
        <w:t xml:space="preserve"> costs</w:t>
      </w:r>
    </w:p>
    <w:p w:rsidR="00D96B91" w:rsidRDefault="00C2656B">
      <w:pPr>
        <w:pStyle w:val="BodyText"/>
        <w:numPr>
          <w:ilvl w:val="0"/>
          <w:numId w:val="131"/>
        </w:numPr>
        <w:tabs>
          <w:tab w:val="left" w:pos="1531"/>
        </w:tabs>
        <w:spacing w:before="64" w:line="260" w:lineRule="exact"/>
        <w:ind w:right="1331" w:hanging="283"/>
      </w:pPr>
      <w:r>
        <w:t xml:space="preserve">the </w:t>
      </w:r>
      <w:r>
        <w:rPr>
          <w:spacing w:val="-1"/>
        </w:rPr>
        <w:t>regulatory</w:t>
      </w:r>
      <w:r>
        <w:t xml:space="preserve"> </w:t>
      </w:r>
      <w:r>
        <w:rPr>
          <w:spacing w:val="-1"/>
        </w:rPr>
        <w:t>treatment</w:t>
      </w:r>
      <w:r>
        <w:t xml:space="preserve"> of</w:t>
      </w:r>
      <w:r>
        <w:rPr>
          <w:spacing w:val="4"/>
        </w:rPr>
        <w:t xml:space="preserve"> </w:t>
      </w:r>
      <w:r>
        <w:rPr>
          <w:spacing w:val="-1"/>
        </w:rPr>
        <w:t>water</w:t>
      </w:r>
      <w:r>
        <w:t xml:space="preserve"> security </w:t>
      </w:r>
      <w:r>
        <w:rPr>
          <w:spacing w:val="-1"/>
        </w:rPr>
        <w:t>projects</w:t>
      </w:r>
      <w:r>
        <w:t xml:space="preserve"> (ie,</w:t>
      </w:r>
      <w:r>
        <w:rPr>
          <w:spacing w:val="-6"/>
        </w:rPr>
        <w:t xml:space="preserve"> </w:t>
      </w:r>
      <w:r>
        <w:t>how the costs of</w:t>
      </w:r>
      <w:r>
        <w:rPr>
          <w:spacing w:val="4"/>
        </w:rPr>
        <w:t xml:space="preserve"> </w:t>
      </w:r>
      <w:r>
        <w:t xml:space="preserve">these </w:t>
      </w:r>
      <w:r>
        <w:rPr>
          <w:spacing w:val="-1"/>
        </w:rPr>
        <w:t>projects</w:t>
      </w:r>
      <w:r>
        <w:t xml:space="preserve"> </w:t>
      </w:r>
      <w:r>
        <w:rPr>
          <w:spacing w:val="-2"/>
        </w:rPr>
        <w:t>are</w:t>
      </w:r>
      <w:r>
        <w:t xml:space="preserve"> </w:t>
      </w:r>
      <w:r>
        <w:rPr>
          <w:spacing w:val="-1"/>
        </w:rPr>
        <w:t>recovered</w:t>
      </w:r>
      <w:r>
        <w:rPr>
          <w:spacing w:val="37"/>
        </w:rPr>
        <w:t xml:space="preserve"> </w:t>
      </w:r>
      <w:r>
        <w:t>over time)</w:t>
      </w:r>
    </w:p>
    <w:p w:rsidR="00D96B91" w:rsidRDefault="00C2656B">
      <w:pPr>
        <w:pStyle w:val="BodyText"/>
        <w:numPr>
          <w:ilvl w:val="0"/>
          <w:numId w:val="131"/>
        </w:numPr>
        <w:tabs>
          <w:tab w:val="left" w:pos="1531"/>
        </w:tabs>
        <w:spacing w:before="93"/>
        <w:ind w:hanging="283"/>
        <w:rPr>
          <w:rFonts w:cs="Avenir Next"/>
        </w:rPr>
      </w:pPr>
      <w:r>
        <w:rPr>
          <w:rFonts w:cs="Avenir Next"/>
        </w:rPr>
        <w:t xml:space="preserve">the </w:t>
      </w:r>
      <w:r>
        <w:rPr>
          <w:rFonts w:cs="Avenir Next"/>
          <w:spacing w:val="-1"/>
        </w:rPr>
        <w:t>structure</w:t>
      </w:r>
      <w:r>
        <w:rPr>
          <w:rFonts w:cs="Avenir Next"/>
        </w:rPr>
        <w:t xml:space="preserve"> of</w:t>
      </w:r>
      <w:r>
        <w:rPr>
          <w:rFonts w:cs="Avenir Next"/>
          <w:spacing w:val="1"/>
        </w:rPr>
        <w:t xml:space="preserve"> </w:t>
      </w:r>
      <w:r>
        <w:rPr>
          <w:rFonts w:cs="Avenir Next"/>
          <w:spacing w:val="-2"/>
        </w:rPr>
        <w:t>ACTEW’s</w:t>
      </w:r>
      <w:r>
        <w:rPr>
          <w:rFonts w:cs="Avenir Next"/>
        </w:rPr>
        <w:t xml:space="preserve"> </w:t>
      </w:r>
      <w:r>
        <w:rPr>
          <w:rFonts w:cs="Avenir Next"/>
          <w:spacing w:val="-1"/>
        </w:rPr>
        <w:t>water</w:t>
      </w:r>
      <w:r>
        <w:rPr>
          <w:rFonts w:cs="Avenir Next"/>
        </w:rPr>
        <w:t xml:space="preserve"> </w:t>
      </w:r>
      <w:r>
        <w:rPr>
          <w:rFonts w:cs="Avenir Next"/>
          <w:spacing w:val="-1"/>
        </w:rPr>
        <w:t>tariffs</w:t>
      </w:r>
    </w:p>
    <w:p w:rsidR="00D96B91" w:rsidRDefault="00C2656B">
      <w:pPr>
        <w:pStyle w:val="BodyText"/>
        <w:numPr>
          <w:ilvl w:val="0"/>
          <w:numId w:val="131"/>
        </w:numPr>
        <w:tabs>
          <w:tab w:val="left" w:pos="1531"/>
        </w:tabs>
        <w:spacing w:before="72"/>
        <w:ind w:hanging="283"/>
        <w:rPr>
          <w:rFonts w:cs="Avenir Next"/>
        </w:rPr>
      </w:pPr>
      <w:r>
        <w:t>the social impact of</w:t>
      </w:r>
      <w:r>
        <w:rPr>
          <w:spacing w:val="4"/>
        </w:rPr>
        <w:t xml:space="preserve"> </w:t>
      </w:r>
      <w:r>
        <w:rPr>
          <w:spacing w:val="-1"/>
        </w:rPr>
        <w:t>increases</w:t>
      </w:r>
      <w:r>
        <w:t xml:space="preserve"> in the prices of</w:t>
      </w:r>
      <w:r>
        <w:rPr>
          <w:spacing w:val="4"/>
        </w:rPr>
        <w:t xml:space="preserve"> </w:t>
      </w:r>
      <w:r>
        <w:rPr>
          <w:spacing w:val="-1"/>
        </w:rPr>
        <w:t>water</w:t>
      </w:r>
      <w:r>
        <w:t xml:space="preserve"> and </w:t>
      </w:r>
      <w:r>
        <w:rPr>
          <w:spacing w:val="-1"/>
        </w:rPr>
        <w:t>sewerage</w:t>
      </w:r>
      <w:r>
        <w:t xml:space="preserve"> services</w:t>
      </w:r>
    </w:p>
    <w:p w:rsidR="00D96B91" w:rsidRDefault="00C2656B">
      <w:pPr>
        <w:pStyle w:val="BodyText"/>
        <w:numPr>
          <w:ilvl w:val="0"/>
          <w:numId w:val="131"/>
        </w:numPr>
        <w:tabs>
          <w:tab w:val="left" w:pos="1531"/>
        </w:tabs>
        <w:spacing w:before="72"/>
        <w:ind w:hanging="283"/>
        <w:rPr>
          <w:rFonts w:cs="Avenir Next"/>
        </w:rPr>
      </w:pPr>
      <w:r>
        <w:t>the governance of</w:t>
      </w:r>
      <w:r>
        <w:rPr>
          <w:spacing w:val="1"/>
        </w:rPr>
        <w:t xml:space="preserve"> </w:t>
      </w:r>
      <w:r>
        <w:rPr>
          <w:spacing w:val="-4"/>
        </w:rPr>
        <w:t>ACTEW,</w:t>
      </w:r>
      <w:r>
        <w:rPr>
          <w:spacing w:val="-6"/>
        </w:rPr>
        <w:t xml:space="preserve"> </w:t>
      </w:r>
      <w:r>
        <w:t>and</w:t>
      </w:r>
    </w:p>
    <w:p w:rsidR="00D96B91" w:rsidRDefault="00C2656B">
      <w:pPr>
        <w:pStyle w:val="BodyText"/>
        <w:numPr>
          <w:ilvl w:val="0"/>
          <w:numId w:val="131"/>
        </w:numPr>
        <w:tabs>
          <w:tab w:val="left" w:pos="1531"/>
        </w:tabs>
        <w:spacing w:before="72"/>
        <w:ind w:hanging="283"/>
      </w:pPr>
      <w:r>
        <w:t>the dividends and</w:t>
      </w:r>
      <w:r>
        <w:rPr>
          <w:spacing w:val="-3"/>
        </w:rPr>
        <w:t xml:space="preserve"> </w:t>
      </w:r>
      <w:r>
        <w:rPr>
          <w:spacing w:val="-2"/>
        </w:rPr>
        <w:t>Water</w:t>
      </w:r>
      <w:r>
        <w:rPr>
          <w:spacing w:val="-4"/>
        </w:rPr>
        <w:t xml:space="preserve"> </w:t>
      </w:r>
      <w:r>
        <w:rPr>
          <w:spacing w:val="-1"/>
        </w:rPr>
        <w:t>Abstraction</w:t>
      </w:r>
      <w:r>
        <w:t xml:space="preserve"> </w:t>
      </w:r>
      <w:r>
        <w:rPr>
          <w:spacing w:val="-1"/>
        </w:rPr>
        <w:t>Charge</w:t>
      </w:r>
      <w:r>
        <w:rPr>
          <w:spacing w:val="-4"/>
        </w:rPr>
        <w:t xml:space="preserve"> </w:t>
      </w:r>
      <w:r>
        <w:rPr>
          <w:spacing w:val="-2"/>
        </w:rPr>
        <w:t>ACTEW</w:t>
      </w:r>
      <w:r>
        <w:rPr>
          <w:spacing w:val="-3"/>
        </w:rPr>
        <w:t xml:space="preserve"> </w:t>
      </w:r>
      <w:r>
        <w:t>pays to the</w:t>
      </w:r>
      <w:r>
        <w:rPr>
          <w:spacing w:val="-4"/>
        </w:rPr>
        <w:t xml:space="preserve"> </w:t>
      </w:r>
      <w:r>
        <w:rPr>
          <w:spacing w:val="-2"/>
        </w:rPr>
        <w:t>ACT</w:t>
      </w:r>
      <w:r>
        <w:rPr>
          <w:spacing w:val="-5"/>
        </w:rPr>
        <w:t xml:space="preserve"> </w:t>
      </w:r>
      <w:r>
        <w:t>Government.</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9"/>
          <w:szCs w:val="2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27" style="width:72.5pt;height:.5pt;mso-position-horizontal-relative:char;mso-position-vertical-relative:line" coordsize="1450,10">
            <v:group id="_x0000_s3328" style="position:absolute;left:5;top:5;width:1440;height:2" coordorigin="5,5" coordsize="1440,2">
              <v:shape id="_x0000_s3329" style="position:absolute;left:5;top:5;width:1440;height:2" coordorigin="5,5" coordsize="1440,0" path="m5,5r1440,e" filled="f" strokeweight=".5pt">
                <v:path arrowok="t"/>
              </v:shape>
            </v:group>
            <w10:wrap type="none"/>
            <w10:anchorlock/>
          </v:group>
        </w:pict>
      </w:r>
    </w:p>
    <w:p w:rsidR="00D96B91" w:rsidRDefault="00C2656B">
      <w:pPr>
        <w:numPr>
          <w:ilvl w:val="0"/>
          <w:numId w:val="109"/>
        </w:numPr>
        <w:tabs>
          <w:tab w:val="left" w:pos="1758"/>
        </w:tabs>
        <w:spacing w:before="45" w:line="192" w:lineRule="exact"/>
        <w:ind w:right="1251"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is a </w:t>
      </w:r>
      <w:r>
        <w:rPr>
          <w:rFonts w:ascii="Avenir Next" w:eastAsia="Avenir Next" w:hAnsi="Avenir Next" w:cs="Avenir Next"/>
          <w:spacing w:val="-1"/>
          <w:sz w:val="16"/>
          <w:szCs w:val="16"/>
        </w:rPr>
        <w:t>key</w:t>
      </w:r>
      <w:r>
        <w:rPr>
          <w:rFonts w:ascii="Avenir Next" w:eastAsia="Avenir Next" w:hAnsi="Avenir Next" w:cs="Avenir Next"/>
          <w:sz w:val="16"/>
          <w:szCs w:val="16"/>
        </w:rPr>
        <w:t xml:space="preserve"> input for </w:t>
      </w:r>
      <w:r>
        <w:rPr>
          <w:rFonts w:ascii="Avenir Next" w:eastAsia="Avenir Next" w:hAnsi="Avenir Next" w:cs="Avenir Next"/>
          <w:spacing w:val="-1"/>
          <w:sz w:val="16"/>
          <w:szCs w:val="16"/>
        </w:rPr>
        <w:t>calculating</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capital (which is one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‘building </w:t>
      </w:r>
      <w:r>
        <w:rPr>
          <w:rFonts w:ascii="Avenir Next" w:eastAsia="Avenir Next" w:hAnsi="Avenir Next" w:cs="Avenir Next"/>
          <w:spacing w:val="-1"/>
          <w:sz w:val="16"/>
          <w:szCs w:val="16"/>
        </w:rPr>
        <w:t>blocks’</w:t>
      </w:r>
      <w:r>
        <w:rPr>
          <w:rFonts w:ascii="Avenir Next" w:eastAsia="Avenir Next" w:hAnsi="Avenir Next" w:cs="Avenir Next"/>
          <w:sz w:val="16"/>
          <w:szCs w:val="16"/>
        </w:rPr>
        <w:t xml:space="preserve"> used to determine</w:t>
      </w:r>
      <w:r>
        <w:rPr>
          <w:rFonts w:ascii="Avenir Next" w:eastAsia="Avenir Next" w:hAnsi="Avenir Next" w:cs="Avenir Next"/>
          <w:spacing w:val="4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and is a function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both the cost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equity and the cost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debt.</w:t>
      </w:r>
    </w:p>
    <w:p w:rsidR="00D96B91" w:rsidRDefault="00C2656B">
      <w:pPr>
        <w:numPr>
          <w:ilvl w:val="0"/>
          <w:numId w:val="109"/>
        </w:numPr>
        <w:tabs>
          <w:tab w:val="left" w:pos="1758"/>
        </w:tabs>
        <w:spacing w:before="141"/>
        <w:ind w:hanging="510"/>
        <w:rPr>
          <w:rFonts w:ascii="Avenir Next" w:eastAsia="Avenir Next" w:hAnsi="Avenir Next" w:cs="Avenir Next"/>
          <w:sz w:val="16"/>
          <w:szCs w:val="16"/>
        </w:rPr>
      </w:pPr>
      <w:r>
        <w:rPr>
          <w:rFonts w:ascii="Avenir Next"/>
          <w:spacing w:val="-1"/>
          <w:sz w:val="16"/>
        </w:rPr>
        <w:t xml:space="preserve">The </w:t>
      </w:r>
      <w:r>
        <w:rPr>
          <w:rFonts w:ascii="Avenir Next"/>
          <w:sz w:val="16"/>
        </w:rPr>
        <w:t>ICRC identified</w:t>
      </w:r>
      <w:r>
        <w:rPr>
          <w:rFonts w:ascii="Avenir Next"/>
          <w:spacing w:val="-1"/>
          <w:sz w:val="16"/>
        </w:rPr>
        <w:t xml:space="preserve"> </w:t>
      </w:r>
      <w:r>
        <w:rPr>
          <w:rFonts w:ascii="Avenir Next"/>
          <w:sz w:val="16"/>
        </w:rPr>
        <w:t xml:space="preserve">the </w:t>
      </w:r>
      <w:r>
        <w:rPr>
          <w:rFonts w:ascii="Avenir Next"/>
          <w:spacing w:val="-1"/>
          <w:sz w:val="16"/>
        </w:rPr>
        <w:t>feasible range</w:t>
      </w:r>
      <w:r>
        <w:rPr>
          <w:rFonts w:ascii="Avenir Next"/>
          <w:sz w:val="16"/>
        </w:rPr>
        <w:t xml:space="preserve"> of</w:t>
      </w:r>
      <w:r>
        <w:rPr>
          <w:rFonts w:ascii="Avenir Next"/>
          <w:spacing w:val="2"/>
          <w:sz w:val="16"/>
        </w:rPr>
        <w:t xml:space="preserve"> </w:t>
      </w:r>
      <w:r>
        <w:rPr>
          <w:rFonts w:ascii="Avenir Next"/>
          <w:sz w:val="16"/>
        </w:rPr>
        <w:t>the cost</w:t>
      </w:r>
      <w:r>
        <w:rPr>
          <w:rFonts w:ascii="Avenir Next"/>
          <w:spacing w:val="-1"/>
          <w:sz w:val="16"/>
        </w:rPr>
        <w:t xml:space="preserve"> </w:t>
      </w:r>
      <w:r>
        <w:rPr>
          <w:rFonts w:ascii="Avenir Next"/>
          <w:sz w:val="16"/>
        </w:rPr>
        <w:t>of</w:t>
      </w:r>
      <w:r>
        <w:rPr>
          <w:rFonts w:ascii="Avenir Next"/>
          <w:spacing w:val="3"/>
          <w:sz w:val="16"/>
        </w:rPr>
        <w:t xml:space="preserve"> </w:t>
      </w:r>
      <w:r>
        <w:rPr>
          <w:rFonts w:ascii="Avenir Next"/>
          <w:sz w:val="16"/>
        </w:rPr>
        <w:t>equity</w:t>
      </w:r>
      <w:r>
        <w:rPr>
          <w:rFonts w:ascii="Avenir Next"/>
          <w:spacing w:val="-1"/>
          <w:sz w:val="16"/>
        </w:rPr>
        <w:t xml:space="preserve"> </w:t>
      </w:r>
      <w:r>
        <w:rPr>
          <w:rFonts w:ascii="Avenir Next"/>
          <w:sz w:val="16"/>
        </w:rPr>
        <w:t>in its</w:t>
      </w:r>
      <w:r>
        <w:rPr>
          <w:rFonts w:ascii="Avenir Next"/>
          <w:spacing w:val="-1"/>
          <w:sz w:val="16"/>
        </w:rPr>
        <w:t xml:space="preserve"> draft</w:t>
      </w:r>
      <w:r>
        <w:rPr>
          <w:rFonts w:ascii="Avenir Next"/>
          <w:sz w:val="16"/>
        </w:rPr>
        <w:t xml:space="preserve"> </w:t>
      </w:r>
      <w:r>
        <w:rPr>
          <w:rFonts w:ascii="Avenir Next"/>
          <w:spacing w:val="-1"/>
          <w:sz w:val="16"/>
        </w:rPr>
        <w:t>report.</w:t>
      </w:r>
    </w:p>
    <w:p w:rsidR="00D96B91" w:rsidRDefault="00C2656B">
      <w:pPr>
        <w:numPr>
          <w:ilvl w:val="0"/>
          <w:numId w:val="109"/>
        </w:numPr>
        <w:tabs>
          <w:tab w:val="left" w:pos="1758"/>
        </w:tabs>
        <w:spacing w:before="121"/>
        <w:ind w:hanging="510"/>
        <w:rPr>
          <w:rFonts w:ascii="Avenir Next" w:eastAsia="Avenir Next" w:hAnsi="Avenir Next" w:cs="Avenir Next"/>
          <w:sz w:val="16"/>
          <w:szCs w:val="16"/>
        </w:rPr>
      </w:pPr>
      <w:r>
        <w:rPr>
          <w:rFonts w:ascii="Avenir Next" w:eastAsia="Avenir Next" w:hAnsi="Avenir Next" w:cs="Avenir Next"/>
          <w:spacing w:val="-1"/>
          <w:sz w:val="16"/>
          <w:szCs w:val="16"/>
        </w:rPr>
        <w:t>Depreciation</w:t>
      </w:r>
      <w:r>
        <w:rPr>
          <w:rFonts w:ascii="Avenir Next" w:eastAsia="Avenir Next" w:hAnsi="Avenir Next" w:cs="Avenir Next"/>
          <w:sz w:val="16"/>
          <w:szCs w:val="16"/>
        </w:rPr>
        <w:t xml:space="preserve"> is another ‘building block’ used to determine the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110"/>
        </w:numPr>
        <w:tabs>
          <w:tab w:val="left" w:pos="2098"/>
        </w:tabs>
        <w:spacing w:before="9"/>
        <w:ind w:hanging="850"/>
      </w:pPr>
      <w:bookmarkStart w:id="43" w:name="5._2_Panel’s_decisions_on_which_matters_"/>
      <w:bookmarkStart w:id="44" w:name="_bookmark22"/>
      <w:bookmarkEnd w:id="43"/>
      <w:bookmarkEnd w:id="44"/>
      <w:r>
        <w:rPr>
          <w:color w:val="0778BE"/>
          <w:spacing w:val="-4"/>
        </w:rPr>
        <w:t>Panel’s</w:t>
      </w:r>
      <w:r>
        <w:rPr>
          <w:color w:val="0778BE"/>
        </w:rPr>
        <w:t xml:space="preserve"> assessment criteria</w:t>
      </w:r>
    </w:p>
    <w:p w:rsidR="00D96B91" w:rsidRDefault="00C2656B">
      <w:pPr>
        <w:pStyle w:val="BodyText"/>
        <w:spacing w:before="21" w:line="260" w:lineRule="exact"/>
        <w:ind w:right="1513"/>
      </w:pPr>
      <w:r>
        <w:rPr>
          <w:spacing w:val="-10"/>
        </w:rPr>
        <w:t>To</w:t>
      </w:r>
      <w:r>
        <w:t xml:space="preserve"> </w:t>
      </w:r>
      <w:r>
        <w:rPr>
          <w:spacing w:val="-1"/>
        </w:rPr>
        <w:t>make</w:t>
      </w:r>
      <w:r>
        <w:t xml:space="preserve"> its decision on whether </w:t>
      </w:r>
      <w:r>
        <w:rPr>
          <w:spacing w:val="-1"/>
        </w:rPr>
        <w:t>each</w:t>
      </w:r>
      <w:r>
        <w:t xml:space="preserve"> of</w:t>
      </w:r>
      <w:r>
        <w:rPr>
          <w:spacing w:val="4"/>
        </w:rPr>
        <w:t xml:space="preserve"> </w:t>
      </w:r>
      <w:r>
        <w:t xml:space="preserve">the </w:t>
      </w:r>
      <w:r>
        <w:rPr>
          <w:spacing w:val="-1"/>
        </w:rPr>
        <w:t>matters</w:t>
      </w:r>
      <w:r>
        <w:t xml:space="preserve"> </w:t>
      </w:r>
      <w:r>
        <w:rPr>
          <w:spacing w:val="-1"/>
        </w:rPr>
        <w:t>raised</w:t>
      </w:r>
      <w:r>
        <w:t xml:space="preserve"> in</w:t>
      </w:r>
      <w:r>
        <w:rPr>
          <w:spacing w:val="-4"/>
        </w:rPr>
        <w:t xml:space="preserve"> </w:t>
      </w:r>
      <w:r>
        <w:rPr>
          <w:spacing w:val="-2"/>
        </w:rPr>
        <w:t>ACTEW’s</w:t>
      </w:r>
      <w:r>
        <w:t xml:space="preserve"> SOFC and other submissions</w:t>
      </w:r>
      <w:r>
        <w:rPr>
          <w:spacing w:val="29"/>
        </w:rPr>
        <w:t xml:space="preserve"> </w:t>
      </w:r>
      <w:r>
        <w:t>fall inside or outside the scope of</w:t>
      </w:r>
      <w:r>
        <w:rPr>
          <w:spacing w:val="4"/>
        </w:rPr>
        <w:t xml:space="preserve"> </w:t>
      </w:r>
      <w:r>
        <w:t xml:space="preserve">the </w:t>
      </w:r>
      <w:r>
        <w:rPr>
          <w:spacing w:val="-2"/>
        </w:rPr>
        <w:t>review,</w:t>
      </w:r>
      <w:r>
        <w:rPr>
          <w:spacing w:val="-6"/>
        </w:rPr>
        <w:t xml:space="preserve"> </w:t>
      </w:r>
      <w:r>
        <w:t xml:space="preserve">the </w:t>
      </w:r>
      <w:r>
        <w:rPr>
          <w:spacing w:val="-3"/>
        </w:rPr>
        <w:t>Panel</w:t>
      </w:r>
      <w:r>
        <w:t xml:space="preserve"> assessed the </w:t>
      </w:r>
      <w:r>
        <w:rPr>
          <w:spacing w:val="-1"/>
        </w:rPr>
        <w:t>matter</w:t>
      </w:r>
      <w:r>
        <w:t xml:space="preserve"> against </w:t>
      </w:r>
      <w:r>
        <w:rPr>
          <w:spacing w:val="-1"/>
        </w:rPr>
        <w:t>three</w:t>
      </w:r>
      <w:r>
        <w:t xml:space="preserve"> criteria.</w:t>
      </w:r>
    </w:p>
    <w:p w:rsidR="00D96B91" w:rsidRDefault="00C2656B">
      <w:pPr>
        <w:spacing w:before="170" w:line="260" w:lineRule="exact"/>
        <w:ind w:left="1247" w:right="1548"/>
        <w:rPr>
          <w:rFonts w:ascii="Avenir Next" w:eastAsia="Avenir Next" w:hAnsi="Avenir Next" w:cs="Avenir Next"/>
          <w:sz w:val="20"/>
          <w:szCs w:val="20"/>
        </w:rPr>
      </w:pPr>
      <w:r>
        <w:rPr>
          <w:rFonts w:ascii="Avenir Next" w:eastAsia="Avenir Next" w:hAnsi="Avenir Next" w:cs="Avenir Next"/>
          <w:b/>
          <w:bCs/>
          <w:spacing w:val="-1"/>
          <w:sz w:val="20"/>
          <w:szCs w:val="20"/>
        </w:rPr>
        <w:t>First,</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 xml:space="preserve">it assessed whether the </w:t>
      </w:r>
      <w:r>
        <w:rPr>
          <w:rFonts w:ascii="Avenir Next" w:eastAsia="Avenir Next" w:hAnsi="Avenir Next" w:cs="Avenir Next"/>
          <w:b/>
          <w:bCs/>
          <w:spacing w:val="-1"/>
          <w:sz w:val="20"/>
          <w:szCs w:val="20"/>
        </w:rPr>
        <w:t>matter</w:t>
      </w:r>
      <w:r>
        <w:rPr>
          <w:rFonts w:ascii="Avenir Next" w:eastAsia="Avenir Next" w:hAnsi="Avenir Next" w:cs="Avenir Next"/>
          <w:b/>
          <w:bCs/>
          <w:sz w:val="20"/>
          <w:szCs w:val="20"/>
        </w:rPr>
        <w:t xml:space="preserve"> falls within the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remit</w:t>
      </w:r>
      <w:r>
        <w:rPr>
          <w:rFonts w:ascii="Avenir Next" w:eastAsia="Avenir Next" w:hAnsi="Avenir Next" w:cs="Avenir Next"/>
          <w:b/>
          <w:bCs/>
          <w:sz w:val="20"/>
          <w:szCs w:val="20"/>
        </w:rPr>
        <w:t xml:space="preserve"> and the </w:t>
      </w:r>
      <w:r>
        <w:rPr>
          <w:rFonts w:ascii="Avenir Next" w:eastAsia="Avenir Next" w:hAnsi="Avenir Next" w:cs="Avenir Next"/>
          <w:b/>
          <w:bCs/>
          <w:spacing w:val="-1"/>
          <w:sz w:val="20"/>
          <w:szCs w:val="20"/>
        </w:rPr>
        <w:t>appropriate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role</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an</w:t>
      </w:r>
      <w:r>
        <w:rPr>
          <w:rFonts w:ascii="Avenir Next" w:eastAsia="Avenir Next" w:hAnsi="Avenir Next" w:cs="Avenir Next"/>
          <w:b/>
          <w:bCs/>
          <w:spacing w:val="29"/>
          <w:sz w:val="20"/>
          <w:szCs w:val="20"/>
        </w:rPr>
        <w:t xml:space="preserve"> </w:t>
      </w:r>
      <w:r>
        <w:rPr>
          <w:rFonts w:ascii="Avenir Next" w:eastAsia="Avenir Next" w:hAnsi="Avenir Next" w:cs="Avenir Next"/>
          <w:b/>
          <w:bCs/>
          <w:sz w:val="20"/>
          <w:szCs w:val="20"/>
        </w:rPr>
        <w:t xml:space="preserve">economic </w:t>
      </w:r>
      <w:r>
        <w:rPr>
          <w:rFonts w:ascii="Avenir Next" w:eastAsia="Avenir Next" w:hAnsi="Avenir Next" w:cs="Avenir Next"/>
          <w:b/>
          <w:bCs/>
          <w:spacing w:val="-2"/>
          <w:sz w:val="20"/>
          <w:szCs w:val="20"/>
        </w:rPr>
        <w:t>regulator.</w:t>
      </w:r>
      <w:r>
        <w:rPr>
          <w:rFonts w:ascii="Avenir Next" w:eastAsia="Avenir Next" w:hAnsi="Avenir Next" w:cs="Avenir Next"/>
          <w:b/>
          <w:bCs/>
          <w:spacing w:val="-6"/>
          <w:sz w:val="20"/>
          <w:szCs w:val="20"/>
        </w:rPr>
        <w:t xml:space="preserve"> </w:t>
      </w:r>
      <w:r>
        <w:rPr>
          <w:rFonts w:ascii="Avenir Next" w:eastAsia="Avenir Next" w:hAnsi="Avenir Next" w:cs="Avenir Next"/>
          <w:sz w:val="20"/>
          <w:szCs w:val="20"/>
        </w:rPr>
        <w:t>As Chapter 4 outlined,</w:t>
      </w:r>
      <w:r>
        <w:rPr>
          <w:rFonts w:ascii="Avenir Next" w:eastAsia="Avenir Next" w:hAnsi="Avenir Next" w:cs="Avenir Next"/>
          <w:spacing w:val="-7"/>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1"/>
          <w:sz w:val="20"/>
          <w:szCs w:val="20"/>
        </w:rPr>
        <w:t>regulatory</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framework</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provided</w:t>
      </w:r>
      <w:r>
        <w:rPr>
          <w:rFonts w:ascii="Avenir Next" w:eastAsia="Avenir Next" w:hAnsi="Avenir Next" w:cs="Avenir Next"/>
          <w:sz w:val="20"/>
          <w:szCs w:val="20"/>
        </w:rPr>
        <w:t xml:space="preserve"> by the</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Act both</w:t>
      </w:r>
      <w:r>
        <w:rPr>
          <w:rFonts w:ascii="Avenir Next" w:eastAsia="Avenir Next" w:hAnsi="Avenir Next" w:cs="Avenir Next"/>
          <w:spacing w:val="37"/>
          <w:sz w:val="20"/>
          <w:szCs w:val="20"/>
        </w:rPr>
        <w:t xml:space="preserve"> </w:t>
      </w:r>
      <w:r>
        <w:rPr>
          <w:rFonts w:ascii="Avenir Next" w:eastAsia="Avenir Next" w:hAnsi="Avenir Next" w:cs="Avenir Next"/>
          <w:sz w:val="20"/>
          <w:szCs w:val="20"/>
        </w:rPr>
        <w:t>defines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and limits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4"/>
          <w:sz w:val="20"/>
          <w:szCs w:val="20"/>
        </w:rPr>
        <w:t>Panel’s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powers.</w:t>
      </w:r>
      <w:r>
        <w:rPr>
          <w:rFonts w:ascii="Avenir Next" w:eastAsia="Avenir Next" w:hAnsi="Avenir Next" w:cs="Avenir Next"/>
          <w:spacing w:val="-11"/>
          <w:sz w:val="20"/>
          <w:szCs w:val="20"/>
        </w:rPr>
        <w:t xml:space="preserve"> </w:t>
      </w:r>
      <w:r>
        <w:rPr>
          <w:rFonts w:ascii="Avenir Next" w:eastAsia="Avenir Next" w:hAnsi="Avenir Next" w:cs="Avenir Next"/>
          <w:spacing w:val="-2"/>
          <w:sz w:val="20"/>
          <w:szCs w:val="20"/>
        </w:rPr>
        <w:t>The</w:t>
      </w:r>
      <w:r>
        <w:rPr>
          <w:rFonts w:ascii="Avenir Next" w:eastAsia="Avenir Next" w:hAnsi="Avenir Next" w:cs="Avenir Next"/>
          <w:spacing w:val="-1"/>
          <w:sz w:val="20"/>
          <w:szCs w:val="20"/>
        </w:rPr>
        <w:t xml:space="preserve">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can only</w:t>
      </w:r>
      <w:r>
        <w:rPr>
          <w:rFonts w:ascii="Avenir Next" w:eastAsia="Avenir Next" w:hAnsi="Avenir Next" w:cs="Avenir Next"/>
          <w:spacing w:val="-1"/>
          <w:sz w:val="20"/>
          <w:szCs w:val="20"/>
        </w:rPr>
        <w:t xml:space="preserve"> investigate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matters that</w:t>
      </w:r>
      <w:r>
        <w:rPr>
          <w:rFonts w:ascii="Avenir Next" w:eastAsia="Avenir Next" w:hAnsi="Avenir Next" w:cs="Avenir Next"/>
          <w:sz w:val="20"/>
          <w:szCs w:val="20"/>
        </w:rPr>
        <w:t xml:space="preserve"> fall</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within these</w:t>
      </w:r>
      <w:r>
        <w:rPr>
          <w:rFonts w:ascii="Avenir Next" w:eastAsia="Avenir Next" w:hAnsi="Avenir Next" w:cs="Avenir Next"/>
          <w:spacing w:val="47"/>
          <w:sz w:val="20"/>
          <w:szCs w:val="20"/>
        </w:rPr>
        <w:t xml:space="preserve"> </w:t>
      </w:r>
      <w:r>
        <w:rPr>
          <w:rFonts w:ascii="Avenir Next" w:eastAsia="Avenir Next" w:hAnsi="Avenir Next" w:cs="Avenir Next"/>
          <w:sz w:val="20"/>
          <w:szCs w:val="20"/>
        </w:rPr>
        <w:t>defined</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powers.</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In</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addition,</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as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Chapter 3</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discussed,</w:t>
      </w:r>
      <w:r>
        <w:rPr>
          <w:rFonts w:ascii="Avenir Next" w:eastAsia="Avenir Next" w:hAnsi="Avenir Next" w:cs="Avenir Next"/>
          <w:spacing w:val="-6"/>
          <w:sz w:val="20"/>
          <w:szCs w:val="20"/>
        </w:rPr>
        <w:t xml:space="preserve"> </w:t>
      </w:r>
      <w:r>
        <w:rPr>
          <w:rFonts w:ascii="Avenir Next" w:eastAsia="Avenir Next" w:hAnsi="Avenir Next" w:cs="Avenir Next"/>
          <w:spacing w:val="-1"/>
          <w:sz w:val="20"/>
          <w:szCs w:val="20"/>
        </w:rPr>
        <w:t xml:space="preserve">there </w:t>
      </w:r>
      <w:r>
        <w:rPr>
          <w:rFonts w:ascii="Avenir Next" w:eastAsia="Avenir Next" w:hAnsi="Avenir Next" w:cs="Avenir Next"/>
          <w:sz w:val="20"/>
          <w:szCs w:val="20"/>
        </w:rPr>
        <w:t>is a</w:t>
      </w:r>
      <w:r>
        <w:rPr>
          <w:rFonts w:ascii="Avenir Next" w:eastAsia="Avenir Next" w:hAnsi="Avenir Next" w:cs="Avenir Next"/>
          <w:spacing w:val="-1"/>
          <w:sz w:val="20"/>
          <w:szCs w:val="20"/>
        </w:rPr>
        <w:t xml:space="preserve"> clear</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 xml:space="preserve">delineation </w:t>
      </w:r>
      <w:r>
        <w:rPr>
          <w:rFonts w:ascii="Avenir Next" w:eastAsia="Avenir Next" w:hAnsi="Avenir Next" w:cs="Avenir Next"/>
          <w:sz w:val="20"/>
          <w:szCs w:val="20"/>
        </w:rPr>
        <w:t>between the</w:t>
      </w:r>
      <w:r>
        <w:rPr>
          <w:rFonts w:ascii="Avenir Next" w:eastAsia="Avenir Next" w:hAnsi="Avenir Next" w:cs="Avenir Next"/>
          <w:spacing w:val="-1"/>
          <w:sz w:val="20"/>
          <w:szCs w:val="20"/>
        </w:rPr>
        <w:t xml:space="preserve"> roles</w:t>
      </w:r>
      <w:r>
        <w:rPr>
          <w:rFonts w:ascii="Avenir Next" w:eastAsia="Avenir Next" w:hAnsi="Avenir Next" w:cs="Avenir Next"/>
          <w:spacing w:val="25"/>
          <w:sz w:val="20"/>
          <w:szCs w:val="20"/>
        </w:rPr>
        <w:t xml:space="preserve"> </w:t>
      </w:r>
      <w:r>
        <w:rPr>
          <w:rFonts w:ascii="Avenir Next" w:eastAsia="Avenir Next" w:hAnsi="Avenir Next" w:cs="Avenir Next"/>
          <w:sz w:val="20"/>
          <w:szCs w:val="20"/>
        </w:rPr>
        <w:t xml:space="preserve">and </w:t>
      </w:r>
      <w:r>
        <w:rPr>
          <w:rFonts w:ascii="Avenir Next" w:eastAsia="Avenir Next" w:hAnsi="Avenir Next" w:cs="Avenir Next"/>
          <w:spacing w:val="-1"/>
          <w:sz w:val="20"/>
          <w:szCs w:val="20"/>
        </w:rPr>
        <w:t>responsibilities</w:t>
      </w:r>
      <w:r>
        <w:rPr>
          <w:rFonts w:ascii="Avenir Next" w:eastAsia="Avenir Next" w:hAnsi="Avenir Next" w:cs="Avenir Next"/>
          <w:sz w:val="20"/>
          <w:szCs w:val="20"/>
        </w:rPr>
        <w:t xml:space="preserve">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(as economic </w:t>
      </w:r>
      <w:r>
        <w:rPr>
          <w:rFonts w:ascii="Avenir Next" w:eastAsia="Avenir Next" w:hAnsi="Avenir Next" w:cs="Avenir Next"/>
          <w:spacing w:val="-1"/>
          <w:sz w:val="20"/>
          <w:szCs w:val="20"/>
        </w:rPr>
        <w:t>regulator)</w:t>
      </w:r>
      <w:r>
        <w:rPr>
          <w:rFonts w:ascii="Avenir Next" w:eastAsia="Avenir Next" w:hAnsi="Avenir Next" w:cs="Avenir Next"/>
          <w:sz w:val="20"/>
          <w:szCs w:val="20"/>
        </w:rPr>
        <w:t xml:space="preserve"> and those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 xml:space="preserve">the other </w:t>
      </w:r>
      <w:r>
        <w:rPr>
          <w:rFonts w:ascii="Avenir Next" w:eastAsia="Avenir Next" w:hAnsi="Avenir Next" w:cs="Avenir Next"/>
          <w:spacing w:val="-1"/>
          <w:sz w:val="20"/>
          <w:szCs w:val="20"/>
        </w:rPr>
        <w:t>participants</w:t>
      </w:r>
      <w:r>
        <w:rPr>
          <w:rFonts w:ascii="Avenir Next" w:eastAsia="Avenir Next" w:hAnsi="Avenir Next" w:cs="Avenir Next"/>
          <w:sz w:val="20"/>
          <w:szCs w:val="20"/>
        </w:rPr>
        <w:t xml:space="preserve"> in the</w:t>
      </w:r>
    </w:p>
    <w:p w:rsidR="00D96B91" w:rsidRDefault="00C2656B">
      <w:pPr>
        <w:pStyle w:val="BodyText"/>
        <w:spacing w:line="260" w:lineRule="exact"/>
        <w:ind w:right="1256"/>
      </w:pPr>
      <w:r>
        <w:rPr>
          <w:spacing w:val="-2"/>
        </w:rPr>
        <w:t>ACT</w:t>
      </w:r>
      <w:r>
        <w:rPr>
          <w:spacing w:val="-5"/>
        </w:rPr>
        <w:t xml:space="preserve"> </w:t>
      </w:r>
      <w:r>
        <w:rPr>
          <w:spacing w:val="-1"/>
        </w:rPr>
        <w:t>water</w:t>
      </w:r>
      <w:r>
        <w:t xml:space="preserve"> </w:t>
      </w:r>
      <w:r>
        <w:rPr>
          <w:spacing w:val="-1"/>
        </w:rPr>
        <w:t>regulatory</w:t>
      </w:r>
      <w:r>
        <w:t xml:space="preserve"> system – including government,</w:t>
      </w:r>
      <w:r>
        <w:rPr>
          <w:spacing w:val="-10"/>
        </w:rPr>
        <w:t xml:space="preserve"> </w:t>
      </w:r>
      <w:r>
        <w:rPr>
          <w:spacing w:val="-2"/>
        </w:rPr>
        <w:t>ACTEW</w:t>
      </w:r>
      <w:r>
        <w:rPr>
          <w:spacing w:val="-3"/>
        </w:rPr>
        <w:t xml:space="preserve"> </w:t>
      </w:r>
      <w:r>
        <w:t>and customers.</w:t>
      </w:r>
      <w:r>
        <w:rPr>
          <w:spacing w:val="-6"/>
        </w:rPr>
        <w:t xml:space="preserve"> </w:t>
      </w:r>
      <w:r>
        <w:t xml:space="preserve">It is only </w:t>
      </w:r>
      <w:r>
        <w:rPr>
          <w:spacing w:val="-1"/>
        </w:rPr>
        <w:t>appropriate</w:t>
      </w:r>
      <w:r>
        <w:t xml:space="preserve"> for</w:t>
      </w:r>
      <w:r>
        <w:rPr>
          <w:spacing w:val="33"/>
        </w:rPr>
        <w:t xml:space="preserve"> </w:t>
      </w:r>
      <w:r>
        <w:rPr>
          <w:rFonts w:cs="Avenir Next"/>
        </w:rPr>
        <w:t xml:space="preserve">the </w:t>
      </w:r>
      <w:r>
        <w:rPr>
          <w:rFonts w:cs="Avenir Next"/>
          <w:spacing w:val="-3"/>
        </w:rPr>
        <w:t>Panel</w:t>
      </w:r>
      <w:r>
        <w:rPr>
          <w:rFonts w:cs="Avenir Next"/>
        </w:rPr>
        <w:t xml:space="preserve"> to </w:t>
      </w:r>
      <w:r>
        <w:rPr>
          <w:rFonts w:cs="Avenir Next"/>
          <w:spacing w:val="-1"/>
        </w:rPr>
        <w:t>investigate</w:t>
      </w:r>
      <w:r>
        <w:rPr>
          <w:rFonts w:cs="Avenir Next"/>
        </w:rPr>
        <w:t xml:space="preserve"> </w:t>
      </w:r>
      <w:r>
        <w:rPr>
          <w:rFonts w:cs="Avenir Next"/>
          <w:spacing w:val="-1"/>
        </w:rPr>
        <w:t>matters</w:t>
      </w:r>
      <w:r>
        <w:rPr>
          <w:rFonts w:cs="Avenir Next"/>
        </w:rPr>
        <w:t xml:space="preserve"> </w:t>
      </w:r>
      <w:r>
        <w:rPr>
          <w:rFonts w:cs="Avenir Next"/>
          <w:spacing w:val="-1"/>
        </w:rPr>
        <w:t>that</w:t>
      </w:r>
      <w:r>
        <w:rPr>
          <w:rFonts w:cs="Avenir Next"/>
        </w:rPr>
        <w:t xml:space="preserve"> </w:t>
      </w:r>
      <w:r>
        <w:rPr>
          <w:rFonts w:cs="Avenir Next"/>
          <w:spacing w:val="-2"/>
        </w:rPr>
        <w:t>are</w:t>
      </w:r>
      <w:r>
        <w:rPr>
          <w:rFonts w:cs="Avenir Next"/>
        </w:rPr>
        <w:t xml:space="preserve"> consistent with the </w:t>
      </w:r>
      <w:r>
        <w:rPr>
          <w:rFonts w:cs="Avenir Next"/>
          <w:spacing w:val="-1"/>
        </w:rPr>
        <w:t>roles</w:t>
      </w:r>
      <w:r>
        <w:rPr>
          <w:rFonts w:cs="Avenir Next"/>
        </w:rPr>
        <w:t xml:space="preserve"> and </w:t>
      </w:r>
      <w:r>
        <w:rPr>
          <w:rFonts w:cs="Avenir Next"/>
          <w:spacing w:val="-1"/>
        </w:rPr>
        <w:t>responsibilities</w:t>
      </w:r>
      <w:r>
        <w:rPr>
          <w:rFonts w:cs="Avenir Next"/>
        </w:rPr>
        <w:t xml:space="preserve"> of</w:t>
      </w:r>
      <w:r>
        <w:rPr>
          <w:rFonts w:cs="Avenir Next"/>
          <w:spacing w:val="4"/>
        </w:rPr>
        <w:t xml:space="preserve"> </w:t>
      </w:r>
      <w:r>
        <w:rPr>
          <w:rFonts w:cs="Avenir Next"/>
        </w:rPr>
        <w:t>an economic</w:t>
      </w:r>
      <w:r>
        <w:rPr>
          <w:rFonts w:cs="Avenir Next"/>
          <w:spacing w:val="59"/>
        </w:rPr>
        <w:t xml:space="preserve"> </w:t>
      </w:r>
      <w:r>
        <w:rPr>
          <w:spacing w:val="-2"/>
        </w:rPr>
        <w:t>regulator.</w:t>
      </w:r>
    </w:p>
    <w:p w:rsidR="00D96B91" w:rsidRDefault="00C2656B">
      <w:pPr>
        <w:pStyle w:val="BodyText"/>
        <w:spacing w:before="170" w:line="260" w:lineRule="exact"/>
        <w:ind w:right="1329"/>
        <w:jc w:val="both"/>
        <w:rPr>
          <w:sz w:val="11"/>
          <w:szCs w:val="11"/>
        </w:rPr>
      </w:pPr>
      <w:r>
        <w:rPr>
          <w:rFonts w:cs="Avenir Next"/>
          <w:b/>
          <w:bCs/>
        </w:rPr>
        <w:t>Second,</w:t>
      </w:r>
      <w:r>
        <w:rPr>
          <w:rFonts w:cs="Avenir Next"/>
          <w:b/>
          <w:bCs/>
          <w:spacing w:val="-7"/>
        </w:rPr>
        <w:t xml:space="preserve"> </w:t>
      </w:r>
      <w:r>
        <w:rPr>
          <w:rFonts w:cs="Avenir Next"/>
          <w:b/>
          <w:bCs/>
        </w:rPr>
        <w:t xml:space="preserve">it assessed the </w:t>
      </w:r>
      <w:r>
        <w:rPr>
          <w:rFonts w:cs="Avenir Next"/>
          <w:b/>
          <w:bCs/>
          <w:spacing w:val="-1"/>
        </w:rPr>
        <w:t>materiality</w:t>
      </w:r>
      <w:r>
        <w:rPr>
          <w:rFonts w:cs="Avenir Next"/>
          <w:b/>
          <w:bCs/>
        </w:rPr>
        <w:t xml:space="preserve"> of</w:t>
      </w:r>
      <w:r>
        <w:rPr>
          <w:rFonts w:cs="Avenir Next"/>
          <w:b/>
          <w:bCs/>
          <w:spacing w:val="4"/>
        </w:rPr>
        <w:t xml:space="preserve"> </w:t>
      </w:r>
      <w:r>
        <w:rPr>
          <w:rFonts w:cs="Avenir Next"/>
          <w:b/>
          <w:bCs/>
        </w:rPr>
        <w:t xml:space="preserve">the </w:t>
      </w:r>
      <w:r>
        <w:rPr>
          <w:rFonts w:cs="Avenir Next"/>
          <w:b/>
          <w:bCs/>
          <w:spacing w:val="-3"/>
        </w:rPr>
        <w:t>matter.</w:t>
      </w:r>
      <w:r>
        <w:rPr>
          <w:rFonts w:cs="Avenir Next"/>
          <w:b/>
          <w:bCs/>
          <w:spacing w:val="-6"/>
        </w:rPr>
        <w:t xml:space="preserve"> </w:t>
      </w:r>
      <w:r>
        <w:rPr>
          <w:rFonts w:cs="Avenir Next"/>
          <w:spacing w:val="-2"/>
        </w:rPr>
        <w:t>The</w:t>
      </w:r>
      <w:r>
        <w:rPr>
          <w:rFonts w:cs="Avenir Next"/>
        </w:rPr>
        <w:t xml:space="preserve"> </w:t>
      </w:r>
      <w:r>
        <w:rPr>
          <w:rFonts w:cs="Avenir Next"/>
          <w:spacing w:val="-3"/>
        </w:rPr>
        <w:t>Panel</w:t>
      </w:r>
      <w:r>
        <w:rPr>
          <w:rFonts w:cs="Avenir Next"/>
        </w:rPr>
        <w:t xml:space="preserve"> has given emphasis to the </w:t>
      </w:r>
      <w:r>
        <w:rPr>
          <w:rFonts w:cs="Avenir Next"/>
          <w:spacing w:val="-1"/>
        </w:rPr>
        <w:t>matters</w:t>
      </w:r>
      <w:r>
        <w:rPr>
          <w:rFonts w:cs="Avenir Next"/>
        </w:rPr>
        <w:t xml:space="preserve"> </w:t>
      </w:r>
      <w:r>
        <w:rPr>
          <w:rFonts w:cs="Avenir Next"/>
          <w:spacing w:val="-1"/>
        </w:rPr>
        <w:t>likely</w:t>
      </w:r>
      <w:r>
        <w:rPr>
          <w:rFonts w:cs="Avenir Next"/>
        </w:rPr>
        <w:t xml:space="preserve"> to</w:t>
      </w:r>
      <w:r>
        <w:rPr>
          <w:rFonts w:cs="Avenir Next"/>
          <w:spacing w:val="43"/>
        </w:rPr>
        <w:t xml:space="preserve"> </w:t>
      </w:r>
      <w:r>
        <w:t>have</w:t>
      </w:r>
      <w:r>
        <w:rPr>
          <w:spacing w:val="-1"/>
        </w:rPr>
        <w:t xml:space="preserve"> </w:t>
      </w:r>
      <w:r>
        <w:t xml:space="preserve">a </w:t>
      </w:r>
      <w:r>
        <w:rPr>
          <w:spacing w:val="-1"/>
        </w:rPr>
        <w:t xml:space="preserve">material </w:t>
      </w:r>
      <w:r>
        <w:t>impact on</w:t>
      </w:r>
      <w:r>
        <w:rPr>
          <w:spacing w:val="-1"/>
        </w:rPr>
        <w:t xml:space="preserve"> </w:t>
      </w:r>
      <w:r>
        <w:t>the prices of</w:t>
      </w:r>
      <w:r>
        <w:rPr>
          <w:spacing w:val="3"/>
        </w:rPr>
        <w:t xml:space="preserve"> </w:t>
      </w:r>
      <w:r>
        <w:rPr>
          <w:spacing w:val="-1"/>
        </w:rPr>
        <w:t>water</w:t>
      </w:r>
      <w:r>
        <w:t xml:space="preserve"> and</w:t>
      </w:r>
      <w:r>
        <w:rPr>
          <w:spacing w:val="-1"/>
        </w:rPr>
        <w:t xml:space="preserve"> sewerage</w:t>
      </w:r>
      <w:r>
        <w:t xml:space="preserve"> services in</w:t>
      </w:r>
      <w:r>
        <w:rPr>
          <w:spacing w:val="-1"/>
        </w:rPr>
        <w:t xml:space="preserve"> </w:t>
      </w:r>
      <w:r>
        <w:t>the</w:t>
      </w:r>
      <w:r>
        <w:rPr>
          <w:spacing w:val="-4"/>
        </w:rPr>
        <w:t xml:space="preserve"> </w:t>
      </w:r>
      <w:r>
        <w:rPr>
          <w:spacing w:val="-6"/>
        </w:rPr>
        <w:t>ACT,</w:t>
      </w:r>
      <w:r>
        <w:rPr>
          <w:spacing w:val="-7"/>
        </w:rPr>
        <w:t xml:space="preserve"> </w:t>
      </w:r>
      <w:r>
        <w:t>and/or on the</w:t>
      </w:r>
      <w:r>
        <w:rPr>
          <w:spacing w:val="-1"/>
        </w:rPr>
        <w:t xml:space="preserve"> </w:t>
      </w:r>
      <w:r>
        <w:t>financial</w:t>
      </w:r>
      <w:r>
        <w:rPr>
          <w:spacing w:val="33"/>
          <w:w w:val="99"/>
        </w:rPr>
        <w:t xml:space="preserve"> </w:t>
      </w:r>
      <w:r>
        <w:t>viability of</w:t>
      </w:r>
      <w:r>
        <w:rPr>
          <w:spacing w:val="1"/>
        </w:rPr>
        <w:t xml:space="preserve"> </w:t>
      </w:r>
      <w:r>
        <w:rPr>
          <w:spacing w:val="-4"/>
        </w:rPr>
        <w:t>ACTEW.</w:t>
      </w:r>
      <w:r>
        <w:rPr>
          <w:spacing w:val="-6"/>
        </w:rPr>
        <w:t xml:space="preserve"> </w:t>
      </w:r>
      <w:r>
        <w:rPr>
          <w:spacing w:val="-1"/>
        </w:rPr>
        <w:t>(This</w:t>
      </w:r>
      <w:r>
        <w:t xml:space="preserve"> </w:t>
      </w:r>
      <w:r>
        <w:rPr>
          <w:spacing w:val="-1"/>
        </w:rPr>
        <w:t>means,</w:t>
      </w:r>
      <w:r>
        <w:rPr>
          <w:spacing w:val="-6"/>
        </w:rPr>
        <w:t xml:space="preserve"> </w:t>
      </w:r>
      <w:r>
        <w:t xml:space="preserve">for </w:t>
      </w:r>
      <w:r>
        <w:rPr>
          <w:spacing w:val="-1"/>
        </w:rPr>
        <w:t>example,</w:t>
      </w:r>
      <w:r>
        <w:rPr>
          <w:spacing w:val="-6"/>
        </w:rPr>
        <w:t xml:space="preserve"> </w:t>
      </w:r>
      <w:r>
        <w:rPr>
          <w:spacing w:val="-1"/>
        </w:rPr>
        <w:t>that</w:t>
      </w:r>
      <w:r>
        <w:t xml:space="preserve"> </w:t>
      </w:r>
      <w:r>
        <w:rPr>
          <w:spacing w:val="-1"/>
        </w:rPr>
        <w:t>matters</w:t>
      </w:r>
      <w:r>
        <w:t xml:space="preserve"> such as the pricing of</w:t>
      </w:r>
      <w:r>
        <w:rPr>
          <w:spacing w:val="4"/>
        </w:rPr>
        <w:t xml:space="preserve"> </w:t>
      </w:r>
      <w:r>
        <w:t>miscellaneous services</w:t>
      </w:r>
      <w:r>
        <w:rPr>
          <w:spacing w:val="39"/>
        </w:rPr>
        <w:t xml:space="preserve"> </w:t>
      </w:r>
      <w:r>
        <w:rPr>
          <w:spacing w:val="-1"/>
        </w:rPr>
        <w:t>were</w:t>
      </w:r>
      <w:r>
        <w:t xml:space="preserve"> not</w:t>
      </w:r>
      <w:r>
        <w:rPr>
          <w:spacing w:val="1"/>
        </w:rPr>
        <w:t xml:space="preserve"> </w:t>
      </w:r>
      <w:r>
        <w:rPr>
          <w:spacing w:val="-1"/>
        </w:rPr>
        <w:t>investigated</w:t>
      </w:r>
      <w:r>
        <w:rPr>
          <w:spacing w:val="1"/>
        </w:rPr>
        <w:t xml:space="preserve"> </w:t>
      </w:r>
      <w:r>
        <w:t>as</w:t>
      </w:r>
      <w:r>
        <w:rPr>
          <w:spacing w:val="1"/>
        </w:rPr>
        <w:t xml:space="preserve"> </w:t>
      </w:r>
      <w:r>
        <w:rPr>
          <w:spacing w:val="-1"/>
        </w:rPr>
        <w:t>part</w:t>
      </w:r>
      <w:r>
        <w:rPr>
          <w:spacing w:val="1"/>
        </w:rPr>
        <w:t xml:space="preserve"> </w:t>
      </w:r>
      <w:r>
        <w:t>of</w:t>
      </w:r>
      <w:r>
        <w:rPr>
          <w:spacing w:val="5"/>
        </w:rPr>
        <w:t xml:space="preserve"> </w:t>
      </w:r>
      <w:r>
        <w:t>the</w:t>
      </w:r>
      <w:r>
        <w:rPr>
          <w:spacing w:val="1"/>
        </w:rPr>
        <w:t xml:space="preserve"> </w:t>
      </w:r>
      <w:r>
        <w:rPr>
          <w:spacing w:val="-4"/>
        </w:rPr>
        <w:t>Panel’s</w:t>
      </w:r>
      <w:r>
        <w:rPr>
          <w:spacing w:val="1"/>
        </w:rPr>
        <w:t xml:space="preserve"> </w:t>
      </w:r>
      <w:r>
        <w:rPr>
          <w:spacing w:val="-2"/>
        </w:rPr>
        <w:t>review.)</w:t>
      </w:r>
      <w:r>
        <w:rPr>
          <w:spacing w:val="-2"/>
          <w:position w:val="7"/>
          <w:sz w:val="11"/>
          <w:szCs w:val="11"/>
        </w:rPr>
        <w:t>25</w:t>
      </w:r>
    </w:p>
    <w:p w:rsidR="00D96B91" w:rsidRDefault="00C2656B">
      <w:pPr>
        <w:pStyle w:val="BodyText"/>
        <w:spacing w:before="170" w:line="260" w:lineRule="exact"/>
        <w:ind w:right="1269"/>
      </w:pPr>
      <w:r>
        <w:rPr>
          <w:b/>
          <w:spacing w:val="-2"/>
        </w:rPr>
        <w:t>Third,</w:t>
      </w:r>
      <w:r>
        <w:rPr>
          <w:b/>
          <w:spacing w:val="-6"/>
        </w:rPr>
        <w:t xml:space="preserve"> </w:t>
      </w:r>
      <w:r>
        <w:rPr>
          <w:b/>
        </w:rPr>
        <w:t xml:space="preserve">it assessed whether it was </w:t>
      </w:r>
      <w:r>
        <w:rPr>
          <w:b/>
          <w:spacing w:val="-1"/>
        </w:rPr>
        <w:t>practical</w:t>
      </w:r>
      <w:r>
        <w:rPr>
          <w:b/>
        </w:rPr>
        <w:t xml:space="preserve"> or </w:t>
      </w:r>
      <w:r>
        <w:rPr>
          <w:b/>
          <w:spacing w:val="-1"/>
        </w:rPr>
        <w:t>pragmatic</w:t>
      </w:r>
      <w:r>
        <w:rPr>
          <w:b/>
        </w:rPr>
        <w:t xml:space="preserve"> to </w:t>
      </w:r>
      <w:r>
        <w:rPr>
          <w:b/>
          <w:spacing w:val="-1"/>
        </w:rPr>
        <w:t>investigate</w:t>
      </w:r>
      <w:r>
        <w:rPr>
          <w:b/>
        </w:rPr>
        <w:t xml:space="preserve"> the </w:t>
      </w:r>
      <w:r>
        <w:rPr>
          <w:b/>
          <w:spacing w:val="-3"/>
        </w:rPr>
        <w:t>matter.</w:t>
      </w:r>
      <w:r>
        <w:rPr>
          <w:b/>
        </w:rPr>
        <w:t xml:space="preserve"> </w:t>
      </w:r>
      <w:r>
        <w:t xml:space="preserve">In line with its </w:t>
      </w:r>
      <w:r>
        <w:rPr>
          <w:spacing w:val="-1"/>
        </w:rPr>
        <w:t>Charter</w:t>
      </w:r>
      <w:r>
        <w:rPr>
          <w:spacing w:val="65"/>
        </w:rPr>
        <w:t xml:space="preserve"> </w:t>
      </w:r>
      <w:r>
        <w:t>(see</w:t>
      </w:r>
      <w:r>
        <w:rPr>
          <w:spacing w:val="-4"/>
        </w:rPr>
        <w:t xml:space="preserve"> </w:t>
      </w:r>
      <w:r>
        <w:t>Appendix 2),</w:t>
      </w:r>
      <w:r>
        <w:rPr>
          <w:spacing w:val="-6"/>
        </w:rPr>
        <w:t xml:space="preserve"> </w:t>
      </w:r>
      <w:r>
        <w:t xml:space="preserve">the </w:t>
      </w:r>
      <w:r>
        <w:rPr>
          <w:spacing w:val="-3"/>
        </w:rPr>
        <w:t>Panel</w:t>
      </w:r>
      <w:r>
        <w:t xml:space="preserve"> is </w:t>
      </w:r>
      <w:r>
        <w:rPr>
          <w:spacing w:val="-1"/>
        </w:rPr>
        <w:t>committed</w:t>
      </w:r>
      <w:r>
        <w:t xml:space="preserve"> to taking a </w:t>
      </w:r>
      <w:r>
        <w:rPr>
          <w:spacing w:val="-1"/>
        </w:rPr>
        <w:t>pragmatic</w:t>
      </w:r>
      <w:r>
        <w:t xml:space="preserve"> </w:t>
      </w:r>
      <w:r>
        <w:rPr>
          <w:spacing w:val="-1"/>
        </w:rPr>
        <w:t>approach</w:t>
      </w:r>
      <w:r>
        <w:t xml:space="preserve"> to this </w:t>
      </w:r>
      <w:r>
        <w:rPr>
          <w:spacing w:val="-2"/>
        </w:rPr>
        <w:t>review.</w:t>
      </w:r>
      <w:r>
        <w:rPr>
          <w:spacing w:val="-6"/>
        </w:rPr>
        <w:t xml:space="preserve"> </w:t>
      </w:r>
      <w:r>
        <w:t>It aims to</w:t>
      </w:r>
      <w:r>
        <w:rPr>
          <w:spacing w:val="39"/>
        </w:rPr>
        <w:t xml:space="preserve"> </w:t>
      </w:r>
      <w:r>
        <w:t xml:space="preserve">deliver </w:t>
      </w:r>
      <w:r>
        <w:rPr>
          <w:spacing w:val="-1"/>
        </w:rPr>
        <w:t>pragmatic</w:t>
      </w:r>
      <w:r>
        <w:t xml:space="preserve"> outcomes,</w:t>
      </w:r>
      <w:r>
        <w:rPr>
          <w:spacing w:val="-6"/>
        </w:rPr>
        <w:t xml:space="preserve"> </w:t>
      </w:r>
      <w:r>
        <w:t xml:space="preserve">taking into account the limited </w:t>
      </w:r>
      <w:r>
        <w:rPr>
          <w:spacing w:val="-1"/>
        </w:rPr>
        <w:t>resources</w:t>
      </w:r>
      <w:r>
        <w:t xml:space="preserve"> available to it,</w:t>
      </w:r>
      <w:r>
        <w:rPr>
          <w:spacing w:val="-7"/>
        </w:rPr>
        <w:t xml:space="preserve"> </w:t>
      </w:r>
      <w:r>
        <w:t xml:space="preserve">the </w:t>
      </w:r>
      <w:r>
        <w:rPr>
          <w:spacing w:val="-1"/>
        </w:rPr>
        <w:t>importance</w:t>
      </w:r>
      <w:r>
        <w:t xml:space="preserve"> of</w:t>
      </w:r>
      <w:r>
        <w:rPr>
          <w:spacing w:val="25"/>
        </w:rPr>
        <w:t xml:space="preserve"> </w:t>
      </w:r>
      <w:r>
        <w:rPr>
          <w:spacing w:val="-1"/>
        </w:rPr>
        <w:t>reaching</w:t>
      </w:r>
      <w:r>
        <w:t xml:space="preserve"> decisions in a timely fashion,</w:t>
      </w:r>
      <w:r>
        <w:rPr>
          <w:spacing w:val="-7"/>
        </w:rPr>
        <w:t xml:space="preserve"> </w:t>
      </w:r>
      <w:r>
        <w:t xml:space="preserve">and the need for those decisions to stand up to </w:t>
      </w:r>
      <w:r>
        <w:rPr>
          <w:spacing w:val="-1"/>
        </w:rPr>
        <w:t>scrutiny.</w:t>
      </w:r>
      <w:r>
        <w:rPr>
          <w:spacing w:val="-6"/>
        </w:rPr>
        <w:t xml:space="preserve"> </w:t>
      </w:r>
      <w:r>
        <w:t>Given</w:t>
      </w:r>
      <w:r>
        <w:rPr>
          <w:spacing w:val="24"/>
        </w:rPr>
        <w:t xml:space="preserve"> </w:t>
      </w:r>
      <w:r>
        <w:t>this,</w:t>
      </w:r>
      <w:r>
        <w:rPr>
          <w:spacing w:val="-6"/>
        </w:rPr>
        <w:t xml:space="preserve"> </w:t>
      </w:r>
      <w:r>
        <w:t xml:space="preserve">it has limited ability to </w:t>
      </w:r>
      <w:r>
        <w:rPr>
          <w:spacing w:val="-1"/>
        </w:rPr>
        <w:t>investigate</w:t>
      </w:r>
      <w:r>
        <w:t xml:space="preserve"> </w:t>
      </w:r>
      <w:r>
        <w:rPr>
          <w:spacing w:val="-1"/>
        </w:rPr>
        <w:t>innovative</w:t>
      </w:r>
      <w:r>
        <w:t xml:space="preserve"> </w:t>
      </w:r>
      <w:r>
        <w:rPr>
          <w:spacing w:val="-1"/>
        </w:rPr>
        <w:t>approaches</w:t>
      </w:r>
      <w:r>
        <w:t xml:space="preserve"> and/or </w:t>
      </w:r>
      <w:r>
        <w:rPr>
          <w:spacing w:val="-1"/>
        </w:rPr>
        <w:t>examine</w:t>
      </w:r>
      <w:r>
        <w:t xml:space="preserve"> </w:t>
      </w:r>
      <w:r>
        <w:rPr>
          <w:spacing w:val="-1"/>
        </w:rPr>
        <w:t>matters</w:t>
      </w:r>
      <w:r>
        <w:t xml:space="preserve"> </w:t>
      </w:r>
      <w:r>
        <w:rPr>
          <w:spacing w:val="-1"/>
        </w:rPr>
        <w:t>likely</w:t>
      </w:r>
      <w:r>
        <w:t xml:space="preserve"> to </w:t>
      </w:r>
      <w:r>
        <w:rPr>
          <w:spacing w:val="-2"/>
        </w:rPr>
        <w:t>require</w:t>
      </w:r>
      <w:r>
        <w:rPr>
          <w:spacing w:val="71"/>
        </w:rPr>
        <w:t xml:space="preserve"> </w:t>
      </w:r>
      <w:r>
        <w:rPr>
          <w:spacing w:val="-1"/>
        </w:rPr>
        <w:t>extensive</w:t>
      </w:r>
      <w:r>
        <w:t xml:space="preserve"> </w:t>
      </w:r>
      <w:r>
        <w:rPr>
          <w:spacing w:val="-1"/>
        </w:rPr>
        <w:t>consultation,</w:t>
      </w:r>
      <w:r>
        <w:rPr>
          <w:spacing w:val="-6"/>
        </w:rPr>
        <w:t xml:space="preserve"> </w:t>
      </w:r>
      <w:r>
        <w:t xml:space="preserve">and a </w:t>
      </w:r>
      <w:r>
        <w:rPr>
          <w:spacing w:val="-1"/>
        </w:rPr>
        <w:t>preference</w:t>
      </w:r>
      <w:r>
        <w:t xml:space="preserve"> for </w:t>
      </w:r>
      <w:r>
        <w:rPr>
          <w:spacing w:val="-1"/>
        </w:rPr>
        <w:t>relying</w:t>
      </w:r>
      <w:r>
        <w:t xml:space="preserve"> on accepted,</w:t>
      </w:r>
      <w:r>
        <w:rPr>
          <w:spacing w:val="-6"/>
        </w:rPr>
        <w:t xml:space="preserve"> </w:t>
      </w:r>
      <w:r>
        <w:t xml:space="preserve">well-tested </w:t>
      </w:r>
      <w:r>
        <w:rPr>
          <w:spacing w:val="-1"/>
        </w:rPr>
        <w:t>regulatory</w:t>
      </w:r>
      <w:r>
        <w:t xml:space="preserve"> techniques in</w:t>
      </w:r>
      <w:r>
        <w:rPr>
          <w:spacing w:val="55"/>
        </w:rPr>
        <w:t xml:space="preserve"> </w:t>
      </w:r>
      <w:r>
        <w:t>making its decisions.</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5.</w:t>
      </w:r>
      <w:r>
        <w:rPr>
          <w:color w:val="0778BE"/>
          <w:spacing w:val="-9"/>
        </w:rPr>
        <w:t xml:space="preserve"> </w:t>
      </w:r>
      <w:r>
        <w:rPr>
          <w:color w:val="0778BE"/>
        </w:rPr>
        <w:t>2</w:t>
      </w:r>
      <w:r>
        <w:rPr>
          <w:color w:val="0778BE"/>
        </w:rPr>
        <w:tab/>
      </w:r>
      <w:r>
        <w:rPr>
          <w:color w:val="0778BE"/>
          <w:spacing w:val="-5"/>
        </w:rPr>
        <w:t>Panel’s</w:t>
      </w:r>
      <w:r>
        <w:rPr>
          <w:color w:val="0778BE"/>
        </w:rPr>
        <w:t xml:space="preserve"> decisions on which </w:t>
      </w:r>
      <w:r>
        <w:rPr>
          <w:color w:val="0778BE"/>
          <w:spacing w:val="-2"/>
        </w:rPr>
        <w:t>matters</w:t>
      </w:r>
      <w:r>
        <w:rPr>
          <w:color w:val="0778BE"/>
        </w:rPr>
        <w:t xml:space="preserve"> </w:t>
      </w:r>
      <w:r>
        <w:rPr>
          <w:color w:val="0778BE"/>
          <w:spacing w:val="-2"/>
        </w:rPr>
        <w:t>are</w:t>
      </w:r>
      <w:r>
        <w:rPr>
          <w:color w:val="0778BE"/>
        </w:rPr>
        <w:t xml:space="preserve"> within the scope</w:t>
      </w:r>
    </w:p>
    <w:p w:rsidR="00D96B91" w:rsidRDefault="00C2656B">
      <w:pPr>
        <w:pStyle w:val="BodyText"/>
        <w:spacing w:before="55" w:line="260" w:lineRule="exact"/>
        <w:ind w:right="1564"/>
        <w:jc w:val="both"/>
      </w:pPr>
      <w:r>
        <w:t xml:space="preserve">In the </w:t>
      </w:r>
      <w:r>
        <w:rPr>
          <w:spacing w:val="-4"/>
        </w:rPr>
        <w:t>Panel’s</w:t>
      </w:r>
      <w:r>
        <w:t xml:space="preserve"> </w:t>
      </w:r>
      <w:r>
        <w:rPr>
          <w:spacing w:val="-2"/>
        </w:rPr>
        <w:t>view,</w:t>
      </w:r>
      <w:r>
        <w:rPr>
          <w:spacing w:val="-6"/>
        </w:rPr>
        <w:t xml:space="preserve"> </w:t>
      </w:r>
      <w:r>
        <w:t>all of</w:t>
      </w:r>
      <w:r>
        <w:rPr>
          <w:spacing w:val="4"/>
        </w:rPr>
        <w:t xml:space="preserve"> </w:t>
      </w:r>
      <w:r>
        <w:t xml:space="preserve">the </w:t>
      </w:r>
      <w:r>
        <w:rPr>
          <w:spacing w:val="-1"/>
        </w:rPr>
        <w:t>matters</w:t>
      </w:r>
      <w:r>
        <w:t xml:space="preserve"> in</w:t>
      </w:r>
      <w:r>
        <w:rPr>
          <w:spacing w:val="-4"/>
        </w:rPr>
        <w:t xml:space="preserve"> </w:t>
      </w:r>
      <w:r>
        <w:rPr>
          <w:spacing w:val="-2"/>
        </w:rPr>
        <w:t>ACTEW’s</w:t>
      </w:r>
      <w:r>
        <w:t xml:space="preserve"> SOFC </w:t>
      </w:r>
      <w:r>
        <w:rPr>
          <w:spacing w:val="-2"/>
        </w:rPr>
        <w:t>are</w:t>
      </w:r>
      <w:r>
        <w:t xml:space="preserve"> within the scope of</w:t>
      </w:r>
      <w:r>
        <w:rPr>
          <w:spacing w:val="4"/>
        </w:rPr>
        <w:t xml:space="preserve"> </w:t>
      </w:r>
      <w:r>
        <w:t xml:space="preserve">its </w:t>
      </w:r>
      <w:r>
        <w:rPr>
          <w:spacing w:val="-2"/>
        </w:rPr>
        <w:t>review.</w:t>
      </w:r>
      <w:r>
        <w:rPr>
          <w:spacing w:val="-6"/>
        </w:rPr>
        <w:t xml:space="preserve"> </w:t>
      </w:r>
      <w:r>
        <w:t>It considers</w:t>
      </w:r>
      <w:r>
        <w:rPr>
          <w:spacing w:val="31"/>
        </w:rPr>
        <w:t xml:space="preserve"> </w:t>
      </w:r>
      <w:r>
        <w:rPr>
          <w:rFonts w:cs="Avenir Next"/>
          <w:spacing w:val="-1"/>
        </w:rPr>
        <w:t>each</w:t>
      </w:r>
      <w:r>
        <w:rPr>
          <w:rFonts w:cs="Avenir Next"/>
        </w:rPr>
        <w:t xml:space="preserve"> of</w:t>
      </w:r>
      <w:r>
        <w:rPr>
          <w:rFonts w:cs="Avenir Next"/>
          <w:spacing w:val="4"/>
        </w:rPr>
        <w:t xml:space="preserve"> </w:t>
      </w:r>
      <w:r>
        <w:rPr>
          <w:rFonts w:cs="Avenir Next"/>
        </w:rPr>
        <w:t xml:space="preserve">these </w:t>
      </w:r>
      <w:r>
        <w:rPr>
          <w:rFonts w:cs="Avenir Next"/>
          <w:spacing w:val="-1"/>
        </w:rPr>
        <w:t>matters</w:t>
      </w:r>
      <w:r>
        <w:rPr>
          <w:rFonts w:cs="Avenir Next"/>
        </w:rPr>
        <w:t xml:space="preserve"> is consistent with the </w:t>
      </w:r>
      <w:r>
        <w:rPr>
          <w:rFonts w:cs="Avenir Next"/>
          <w:spacing w:val="-4"/>
        </w:rPr>
        <w:t>Panel’s</w:t>
      </w:r>
      <w:r>
        <w:rPr>
          <w:rFonts w:cs="Avenir Next"/>
        </w:rPr>
        <w:t xml:space="preserve"> </w:t>
      </w:r>
      <w:r>
        <w:rPr>
          <w:rFonts w:cs="Avenir Next"/>
          <w:spacing w:val="-1"/>
        </w:rPr>
        <w:t>remit,</w:t>
      </w:r>
      <w:r>
        <w:rPr>
          <w:rFonts w:cs="Avenir Next"/>
          <w:spacing w:val="-6"/>
        </w:rPr>
        <w:t xml:space="preserve"> </w:t>
      </w:r>
      <w:r>
        <w:rPr>
          <w:rFonts w:cs="Avenir Next"/>
        </w:rPr>
        <w:t xml:space="preserve">could potentially have a </w:t>
      </w:r>
      <w:r>
        <w:rPr>
          <w:rFonts w:cs="Avenir Next"/>
          <w:spacing w:val="-1"/>
        </w:rPr>
        <w:t>material</w:t>
      </w:r>
      <w:r>
        <w:rPr>
          <w:rFonts w:cs="Avenir Next"/>
        </w:rPr>
        <w:t xml:space="preserve"> impact on</w:t>
      </w:r>
      <w:r>
        <w:rPr>
          <w:rFonts w:cs="Avenir Next"/>
          <w:spacing w:val="31"/>
        </w:rPr>
        <w:t xml:space="preserve"> </w:t>
      </w:r>
      <w:r>
        <w:rPr>
          <w:spacing w:val="-2"/>
        </w:rPr>
        <w:t>ACTEW’s</w:t>
      </w:r>
      <w:r>
        <w:rPr>
          <w:spacing w:val="-1"/>
        </w:rPr>
        <w:t xml:space="preserve"> </w:t>
      </w:r>
      <w:r>
        <w:t>financial</w:t>
      </w:r>
      <w:r>
        <w:rPr>
          <w:spacing w:val="-1"/>
        </w:rPr>
        <w:t xml:space="preserve"> viability,</w:t>
      </w:r>
      <w:r>
        <w:rPr>
          <w:spacing w:val="-6"/>
        </w:rPr>
        <w:t xml:space="preserve"> </w:t>
      </w:r>
      <w:r>
        <w:t>and</w:t>
      </w:r>
      <w:r>
        <w:rPr>
          <w:spacing w:val="-1"/>
        </w:rPr>
        <w:t xml:space="preserve"> </w:t>
      </w:r>
      <w:r>
        <w:t>can be</w:t>
      </w:r>
      <w:r>
        <w:rPr>
          <w:spacing w:val="-1"/>
        </w:rPr>
        <w:t xml:space="preserve"> investigated</w:t>
      </w:r>
      <w:r>
        <w:t xml:space="preserve"> within</w:t>
      </w:r>
      <w:r>
        <w:rPr>
          <w:spacing w:val="-1"/>
        </w:rPr>
        <w:t xml:space="preserve"> </w:t>
      </w:r>
      <w:r>
        <w:t>the time</w:t>
      </w:r>
      <w:r>
        <w:rPr>
          <w:spacing w:val="-1"/>
        </w:rPr>
        <w:t xml:space="preserve"> </w:t>
      </w:r>
      <w:r>
        <w:t xml:space="preserve">and </w:t>
      </w:r>
      <w:r>
        <w:rPr>
          <w:spacing w:val="-1"/>
        </w:rPr>
        <w:t xml:space="preserve">resources </w:t>
      </w:r>
      <w:r>
        <w:t>for the</w:t>
      </w:r>
      <w:r>
        <w:rPr>
          <w:spacing w:val="-1"/>
        </w:rPr>
        <w:t xml:space="preserve"> </w:t>
      </w:r>
      <w:r>
        <w:rPr>
          <w:spacing w:val="-2"/>
        </w:rPr>
        <w:t>review.</w:t>
      </w:r>
    </w:p>
    <w:p w:rsidR="00D96B91" w:rsidRDefault="00C2656B">
      <w:pPr>
        <w:pStyle w:val="BodyText"/>
        <w:spacing w:before="170" w:line="260" w:lineRule="exact"/>
        <w:ind w:right="1246"/>
      </w:pPr>
      <w:r>
        <w:rPr>
          <w:spacing w:val="-2"/>
        </w:rPr>
        <w:t>The</w:t>
      </w:r>
      <w:r>
        <w:rPr>
          <w:spacing w:val="-1"/>
        </w:rPr>
        <w:t xml:space="preserve"> </w:t>
      </w:r>
      <w:r>
        <w:rPr>
          <w:spacing w:val="-3"/>
        </w:rPr>
        <w:t>Panel</w:t>
      </w:r>
      <w:r>
        <w:rPr>
          <w:spacing w:val="-1"/>
        </w:rPr>
        <w:t xml:space="preserve"> </w:t>
      </w:r>
      <w:r>
        <w:t>also</w:t>
      </w:r>
      <w:r>
        <w:rPr>
          <w:spacing w:val="-1"/>
        </w:rPr>
        <w:t xml:space="preserve"> agreed that,</w:t>
      </w:r>
      <w:r>
        <w:rPr>
          <w:spacing w:val="-7"/>
        </w:rPr>
        <w:t xml:space="preserve"> </w:t>
      </w:r>
      <w:r>
        <w:t>given</w:t>
      </w:r>
      <w:r>
        <w:rPr>
          <w:spacing w:val="-1"/>
        </w:rPr>
        <w:t xml:space="preserve"> </w:t>
      </w:r>
      <w:r>
        <w:t>the</w:t>
      </w:r>
      <w:r>
        <w:rPr>
          <w:spacing w:val="-1"/>
        </w:rPr>
        <w:t xml:space="preserve"> </w:t>
      </w:r>
      <w:r>
        <w:t>biennial</w:t>
      </w:r>
      <w:r>
        <w:rPr>
          <w:spacing w:val="-1"/>
        </w:rPr>
        <w:t xml:space="preserve"> recalibration </w:t>
      </w:r>
      <w:r>
        <w:t>mechanism</w:t>
      </w:r>
      <w:r>
        <w:rPr>
          <w:spacing w:val="-1"/>
        </w:rPr>
        <w:t xml:space="preserve"> </w:t>
      </w:r>
      <w:r>
        <w:t>is</w:t>
      </w:r>
      <w:r>
        <w:rPr>
          <w:spacing w:val="-1"/>
        </w:rPr>
        <w:t xml:space="preserve"> </w:t>
      </w:r>
      <w:r>
        <w:t>within</w:t>
      </w:r>
      <w:r>
        <w:rPr>
          <w:spacing w:val="-1"/>
        </w:rPr>
        <w:t xml:space="preserve"> </w:t>
      </w:r>
      <w:r>
        <w:t>the</w:t>
      </w:r>
      <w:r>
        <w:rPr>
          <w:spacing w:val="-1"/>
        </w:rPr>
        <w:t xml:space="preserve"> </w:t>
      </w:r>
      <w:r>
        <w:t>scope</w:t>
      </w:r>
      <w:r>
        <w:rPr>
          <w:spacing w:val="-1"/>
        </w:rPr>
        <w:t xml:space="preserve"> </w:t>
      </w:r>
      <w:r>
        <w:t>of</w:t>
      </w:r>
      <w:r>
        <w:rPr>
          <w:spacing w:val="4"/>
        </w:rPr>
        <w:t xml:space="preserve"> </w:t>
      </w:r>
      <w:r>
        <w:t>the</w:t>
      </w:r>
      <w:r>
        <w:rPr>
          <w:spacing w:val="-1"/>
        </w:rPr>
        <w:t xml:space="preserve"> </w:t>
      </w:r>
      <w:r>
        <w:rPr>
          <w:spacing w:val="-2"/>
        </w:rPr>
        <w:t>review,</w:t>
      </w:r>
      <w:r>
        <w:rPr>
          <w:spacing w:val="33"/>
        </w:rPr>
        <w:t xml:space="preserve"> </w:t>
      </w:r>
      <w:r>
        <w:t>a</w:t>
      </w:r>
      <w:r>
        <w:rPr>
          <w:spacing w:val="-1"/>
        </w:rPr>
        <w:t xml:space="preserve"> range </w:t>
      </w:r>
      <w:r>
        <w:t>of</w:t>
      </w:r>
      <w:r>
        <w:rPr>
          <w:spacing w:val="3"/>
        </w:rPr>
        <w:t xml:space="preserve"> </w:t>
      </w:r>
      <w:r>
        <w:rPr>
          <w:spacing w:val="-1"/>
        </w:rPr>
        <w:t>matters</w:t>
      </w:r>
      <w:r>
        <w:t xml:space="preserve"> connected</w:t>
      </w:r>
      <w:r>
        <w:rPr>
          <w:spacing w:val="-1"/>
        </w:rPr>
        <w:t xml:space="preserve"> </w:t>
      </w:r>
      <w:r>
        <w:t>to</w:t>
      </w:r>
      <w:r>
        <w:rPr>
          <w:spacing w:val="-1"/>
        </w:rPr>
        <w:t xml:space="preserve"> </w:t>
      </w:r>
      <w:r>
        <w:t>this</w:t>
      </w:r>
      <w:r>
        <w:rPr>
          <w:spacing w:val="-1"/>
        </w:rPr>
        <w:t xml:space="preserve"> </w:t>
      </w:r>
      <w:r>
        <w:t>mechanism also</w:t>
      </w:r>
      <w:r>
        <w:rPr>
          <w:spacing w:val="-1"/>
        </w:rPr>
        <w:t xml:space="preserve"> </w:t>
      </w:r>
      <w:r>
        <w:t>need</w:t>
      </w:r>
      <w:r>
        <w:rPr>
          <w:spacing w:val="-1"/>
        </w:rPr>
        <w:t xml:space="preserve"> </w:t>
      </w:r>
      <w:r>
        <w:t>to</w:t>
      </w:r>
      <w:r>
        <w:rPr>
          <w:spacing w:val="-1"/>
        </w:rPr>
        <w:t xml:space="preserve"> </w:t>
      </w:r>
      <w:r>
        <w:t xml:space="preserve">be </w:t>
      </w:r>
      <w:r>
        <w:rPr>
          <w:spacing w:val="-1"/>
        </w:rPr>
        <w:t>reviewed.</w:t>
      </w:r>
      <w:r>
        <w:rPr>
          <w:spacing w:val="-7"/>
        </w:rPr>
        <w:t xml:space="preserve"> </w:t>
      </w:r>
      <w:r>
        <w:t>Most</w:t>
      </w:r>
      <w:r>
        <w:rPr>
          <w:spacing w:val="-1"/>
        </w:rPr>
        <w:t xml:space="preserve"> significantly,</w:t>
      </w:r>
      <w:r>
        <w:rPr>
          <w:spacing w:val="-6"/>
        </w:rPr>
        <w:t xml:space="preserve"> </w:t>
      </w:r>
      <w:r>
        <w:t>these</w:t>
      </w:r>
      <w:r>
        <w:rPr>
          <w:spacing w:val="31"/>
        </w:rPr>
        <w:t xml:space="preserve"> </w:t>
      </w:r>
      <w:r>
        <w:t xml:space="preserve">include </w:t>
      </w:r>
      <w:r>
        <w:rPr>
          <w:spacing w:val="-1"/>
        </w:rPr>
        <w:t>forecast</w:t>
      </w:r>
      <w:r>
        <w:t xml:space="preserve"> </w:t>
      </w:r>
      <w:r>
        <w:rPr>
          <w:spacing w:val="-1"/>
        </w:rPr>
        <w:t>operating</w:t>
      </w:r>
      <w:r>
        <w:t xml:space="preserve"> and capital </w:t>
      </w:r>
      <w:r>
        <w:rPr>
          <w:spacing w:val="-1"/>
        </w:rPr>
        <w:t>expenditure</w:t>
      </w:r>
      <w:r>
        <w:t xml:space="preserve"> and </w:t>
      </w:r>
      <w:r>
        <w:rPr>
          <w:spacing w:val="-1"/>
        </w:rPr>
        <w:t>forecast</w:t>
      </w:r>
      <w:r>
        <w:t xml:space="preserve"> demand in the </w:t>
      </w:r>
      <w:r>
        <w:rPr>
          <w:spacing w:val="-1"/>
        </w:rPr>
        <w:t>years</w:t>
      </w:r>
      <w:r>
        <w:t xml:space="preserve"> beyond 2013-14</w:t>
      </w:r>
      <w:r>
        <w:rPr>
          <w:spacing w:val="41"/>
        </w:rPr>
        <w:t xml:space="preserve"> </w:t>
      </w:r>
      <w:r>
        <w:t>and 2014-15.</w:t>
      </w:r>
    </w:p>
    <w:p w:rsidR="00D96B91" w:rsidRDefault="00C2656B">
      <w:pPr>
        <w:pStyle w:val="BodyText"/>
        <w:spacing w:before="170" w:line="260" w:lineRule="exact"/>
        <w:ind w:right="1313"/>
        <w:rPr>
          <w:rFonts w:cs="Avenir Next"/>
        </w:rPr>
      </w:pPr>
      <w:r>
        <w:rPr>
          <w:spacing w:val="-2"/>
        </w:rPr>
        <w:t>The</w:t>
      </w:r>
      <w:r>
        <w:t xml:space="preserve"> </w:t>
      </w:r>
      <w:r>
        <w:rPr>
          <w:spacing w:val="-3"/>
        </w:rPr>
        <w:t>Panel</w:t>
      </w:r>
      <w:r>
        <w:t xml:space="preserve"> notes </w:t>
      </w:r>
      <w:r>
        <w:rPr>
          <w:spacing w:val="-1"/>
        </w:rPr>
        <w:t>that</w:t>
      </w:r>
      <w:r>
        <w:t xml:space="preserve"> many of</w:t>
      </w:r>
      <w:r>
        <w:rPr>
          <w:spacing w:val="4"/>
        </w:rPr>
        <w:t xml:space="preserve"> </w:t>
      </w:r>
      <w:r>
        <w:t xml:space="preserve">the </w:t>
      </w:r>
      <w:r>
        <w:rPr>
          <w:spacing w:val="-1"/>
        </w:rPr>
        <w:t>matters</w:t>
      </w:r>
      <w:r>
        <w:t xml:space="preserve"> </w:t>
      </w:r>
      <w:r>
        <w:rPr>
          <w:spacing w:val="-1"/>
        </w:rPr>
        <w:t>raised</w:t>
      </w:r>
      <w:r>
        <w:t xml:space="preserve"> in other submissions </w:t>
      </w:r>
      <w:r>
        <w:rPr>
          <w:spacing w:val="-2"/>
        </w:rPr>
        <w:t>are</w:t>
      </w:r>
      <w:r>
        <w:t xml:space="preserve"> </w:t>
      </w:r>
      <w:r>
        <w:rPr>
          <w:spacing w:val="-1"/>
        </w:rPr>
        <w:t>related</w:t>
      </w:r>
      <w:r>
        <w:t xml:space="preserve"> to the </w:t>
      </w:r>
      <w:r>
        <w:rPr>
          <w:spacing w:val="-1"/>
        </w:rPr>
        <w:t>matters</w:t>
      </w:r>
      <w:r>
        <w:t xml:space="preserve"> </w:t>
      </w:r>
      <w:r>
        <w:rPr>
          <w:spacing w:val="-1"/>
        </w:rPr>
        <w:t>raised</w:t>
      </w:r>
      <w:r>
        <w:rPr>
          <w:spacing w:val="37"/>
        </w:rPr>
        <w:t xml:space="preserve"> </w:t>
      </w:r>
      <w:r>
        <w:t>by</w:t>
      </w:r>
      <w:r>
        <w:rPr>
          <w:spacing w:val="-4"/>
        </w:rPr>
        <w:t xml:space="preserve"> ACTEW,</w:t>
      </w:r>
      <w:r>
        <w:rPr>
          <w:spacing w:val="-6"/>
        </w:rPr>
        <w:t xml:space="preserve"> </w:t>
      </w:r>
      <w:r>
        <w:t xml:space="preserve">and </w:t>
      </w:r>
      <w:r>
        <w:rPr>
          <w:spacing w:val="-1"/>
        </w:rPr>
        <w:t>therefore</w:t>
      </w:r>
      <w:r>
        <w:t xml:space="preserve"> </w:t>
      </w:r>
      <w:r>
        <w:rPr>
          <w:spacing w:val="-2"/>
        </w:rPr>
        <w:t>are</w:t>
      </w:r>
      <w:r>
        <w:t xml:space="preserve"> within the scope the </w:t>
      </w:r>
      <w:r>
        <w:rPr>
          <w:spacing w:val="-2"/>
        </w:rPr>
        <w:t>review.</w:t>
      </w:r>
      <w:r>
        <w:rPr>
          <w:spacing w:val="-6"/>
        </w:rPr>
        <w:t xml:space="preserve"> </w:t>
      </w:r>
      <w:r>
        <w:t>Of</w:t>
      </w:r>
      <w:r>
        <w:rPr>
          <w:spacing w:val="4"/>
        </w:rPr>
        <w:t xml:space="preserve"> </w:t>
      </w:r>
      <w:r>
        <w:t xml:space="preserve">those </w:t>
      </w:r>
      <w:r>
        <w:rPr>
          <w:spacing w:val="-1"/>
        </w:rPr>
        <w:t>that</w:t>
      </w:r>
      <w:r>
        <w:t xml:space="preserve"> </w:t>
      </w:r>
      <w:r>
        <w:rPr>
          <w:spacing w:val="-2"/>
        </w:rPr>
        <w:t>are</w:t>
      </w:r>
      <w:r>
        <w:t xml:space="preserve"> </w:t>
      </w:r>
      <w:r>
        <w:rPr>
          <w:b/>
        </w:rPr>
        <w:t xml:space="preserve">additional </w:t>
      </w:r>
      <w:r>
        <w:t xml:space="preserve">to the </w:t>
      </w:r>
      <w:r>
        <w:rPr>
          <w:spacing w:val="-1"/>
        </w:rPr>
        <w:t>matters</w:t>
      </w:r>
      <w:r>
        <w:rPr>
          <w:spacing w:val="29"/>
        </w:rPr>
        <w:t xml:space="preserve"> </w:t>
      </w:r>
      <w:r>
        <w:rPr>
          <w:spacing w:val="-1"/>
        </w:rPr>
        <w:t>raised</w:t>
      </w:r>
      <w:r>
        <w:t xml:space="preserve"> by</w:t>
      </w:r>
      <w:r>
        <w:rPr>
          <w:spacing w:val="-4"/>
        </w:rPr>
        <w:t xml:space="preserve"> ACTEW,</w:t>
      </w:r>
      <w:r>
        <w:rPr>
          <w:spacing w:val="-6"/>
        </w:rPr>
        <w:t xml:space="preserve"> </w:t>
      </w:r>
      <w:r>
        <w:t xml:space="preserve">the </w:t>
      </w:r>
      <w:r>
        <w:rPr>
          <w:spacing w:val="-3"/>
        </w:rPr>
        <w:t>Panel</w:t>
      </w:r>
      <w:r>
        <w:t xml:space="preserve"> decided the following </w:t>
      </w:r>
      <w:r>
        <w:rPr>
          <w:spacing w:val="-2"/>
        </w:rPr>
        <w:t>are</w:t>
      </w:r>
      <w:r>
        <w:t xml:space="preserve"> within the scope:</w:t>
      </w:r>
    </w:p>
    <w:p w:rsidR="00D96B91" w:rsidRDefault="00C2656B">
      <w:pPr>
        <w:pStyle w:val="BodyText"/>
        <w:numPr>
          <w:ilvl w:val="0"/>
          <w:numId w:val="131"/>
        </w:numPr>
        <w:tabs>
          <w:tab w:val="left" w:pos="1531"/>
        </w:tabs>
        <w:spacing w:before="178"/>
        <w:ind w:hanging="283"/>
        <w:rPr>
          <w:sz w:val="11"/>
          <w:szCs w:val="11"/>
        </w:rPr>
      </w:pPr>
      <w:r>
        <w:t>the</w:t>
      </w:r>
      <w:r>
        <w:rPr>
          <w:spacing w:val="1"/>
        </w:rPr>
        <w:t xml:space="preserve"> </w:t>
      </w:r>
      <w:r>
        <w:rPr>
          <w:spacing w:val="-1"/>
        </w:rPr>
        <w:t>regulatory</w:t>
      </w:r>
      <w:r>
        <w:rPr>
          <w:spacing w:val="1"/>
        </w:rPr>
        <w:t xml:space="preserve"> </w:t>
      </w:r>
      <w:r>
        <w:rPr>
          <w:spacing w:val="-1"/>
        </w:rPr>
        <w:t>treatment</w:t>
      </w:r>
      <w:r>
        <w:rPr>
          <w:spacing w:val="1"/>
        </w:rPr>
        <w:t xml:space="preserve"> </w:t>
      </w:r>
      <w:r>
        <w:t>of</w:t>
      </w:r>
      <w:r>
        <w:rPr>
          <w:spacing w:val="5"/>
        </w:rPr>
        <w:t xml:space="preserve"> </w:t>
      </w:r>
      <w:r>
        <w:t>the</w:t>
      </w:r>
      <w:r>
        <w:rPr>
          <w:spacing w:val="1"/>
        </w:rPr>
        <w:t xml:space="preserve"> </w:t>
      </w:r>
      <w:r>
        <w:rPr>
          <w:spacing w:val="-1"/>
        </w:rPr>
        <w:t>water</w:t>
      </w:r>
      <w:r>
        <w:rPr>
          <w:spacing w:val="1"/>
        </w:rPr>
        <w:t xml:space="preserve"> </w:t>
      </w:r>
      <w:r>
        <w:t>security</w:t>
      </w:r>
      <w:r>
        <w:rPr>
          <w:spacing w:val="1"/>
        </w:rPr>
        <w:t xml:space="preserve"> </w:t>
      </w:r>
      <w:r>
        <w:rPr>
          <w:spacing w:val="-1"/>
        </w:rPr>
        <w:t>projects</w:t>
      </w:r>
      <w:r>
        <w:rPr>
          <w:spacing w:val="-1"/>
          <w:position w:val="7"/>
          <w:sz w:val="11"/>
        </w:rPr>
        <w:t>26</w:t>
      </w:r>
    </w:p>
    <w:p w:rsidR="00D96B91" w:rsidRDefault="00C2656B">
      <w:pPr>
        <w:pStyle w:val="BodyText"/>
        <w:numPr>
          <w:ilvl w:val="0"/>
          <w:numId w:val="131"/>
        </w:numPr>
        <w:tabs>
          <w:tab w:val="left" w:pos="1531"/>
        </w:tabs>
        <w:spacing w:before="72"/>
        <w:ind w:hanging="283"/>
        <w:rPr>
          <w:rFonts w:cs="Avenir Next"/>
        </w:rPr>
      </w:pPr>
      <w:r>
        <w:t>the value of</w:t>
      </w:r>
      <w:r>
        <w:rPr>
          <w:spacing w:val="4"/>
        </w:rPr>
        <w:t xml:space="preserve"> </w:t>
      </w:r>
      <w:r>
        <w:t>the RAB,</w:t>
      </w:r>
      <w:r>
        <w:rPr>
          <w:spacing w:val="-6"/>
        </w:rPr>
        <w:t xml:space="preserve"> </w:t>
      </w:r>
      <w:r>
        <w:t>and</w:t>
      </w:r>
    </w:p>
    <w:p w:rsidR="00D96B91" w:rsidRDefault="00C2656B">
      <w:pPr>
        <w:pStyle w:val="BodyText"/>
        <w:numPr>
          <w:ilvl w:val="0"/>
          <w:numId w:val="131"/>
        </w:numPr>
        <w:tabs>
          <w:tab w:val="left" w:pos="1531"/>
        </w:tabs>
        <w:spacing w:before="72"/>
        <w:ind w:hanging="283"/>
      </w:pPr>
      <w:r>
        <w:t>the social impact of</w:t>
      </w:r>
      <w:r>
        <w:rPr>
          <w:spacing w:val="4"/>
        </w:rPr>
        <w:t xml:space="preserve"> </w:t>
      </w:r>
      <w:r>
        <w:rPr>
          <w:spacing w:val="-1"/>
        </w:rPr>
        <w:t>increases</w:t>
      </w:r>
      <w:r>
        <w:t xml:space="preserve"> in the prices of</w:t>
      </w:r>
      <w:r>
        <w:rPr>
          <w:spacing w:val="4"/>
        </w:rPr>
        <w:t xml:space="preserve"> </w:t>
      </w:r>
      <w:r>
        <w:rPr>
          <w:spacing w:val="-1"/>
        </w:rPr>
        <w:t>water</w:t>
      </w:r>
      <w:r>
        <w:t xml:space="preserve"> and </w:t>
      </w:r>
      <w:r>
        <w:rPr>
          <w:spacing w:val="-1"/>
        </w:rPr>
        <w:t>sewerage</w:t>
      </w:r>
      <w:r>
        <w:t xml:space="preserve"> services.</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73"/>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these additional </w:t>
      </w:r>
      <w:r>
        <w:rPr>
          <w:rFonts w:cs="Avenir Next"/>
          <w:spacing w:val="-1"/>
        </w:rPr>
        <w:t>matters</w:t>
      </w:r>
      <w:r>
        <w:rPr>
          <w:rFonts w:cs="Avenir Next"/>
        </w:rPr>
        <w:t xml:space="preserve"> </w:t>
      </w:r>
      <w:r>
        <w:rPr>
          <w:rFonts w:cs="Avenir Next"/>
          <w:spacing w:val="-2"/>
        </w:rPr>
        <w:t>are</w:t>
      </w:r>
      <w:r>
        <w:rPr>
          <w:rFonts w:cs="Avenir Next"/>
        </w:rPr>
        <w:t xml:space="preserve"> consistent with the </w:t>
      </w:r>
      <w:r>
        <w:rPr>
          <w:rFonts w:cs="Avenir Next"/>
          <w:spacing w:val="-4"/>
        </w:rPr>
        <w:t>Panel’s</w:t>
      </w:r>
      <w:r>
        <w:rPr>
          <w:rFonts w:cs="Avenir Next"/>
        </w:rPr>
        <w:t xml:space="preserve"> </w:t>
      </w:r>
      <w:r>
        <w:rPr>
          <w:rFonts w:cs="Avenir Next"/>
          <w:spacing w:val="-1"/>
        </w:rPr>
        <w:t>remit,</w:t>
      </w:r>
      <w:r>
        <w:rPr>
          <w:rFonts w:cs="Avenir Next"/>
          <w:spacing w:val="-6"/>
        </w:rPr>
        <w:t xml:space="preserve"> </w:t>
      </w:r>
      <w:r>
        <w:rPr>
          <w:rFonts w:cs="Avenir Next"/>
        </w:rPr>
        <w:t>could potentially have</w:t>
      </w:r>
      <w:r>
        <w:rPr>
          <w:rFonts w:cs="Avenir Next"/>
          <w:spacing w:val="37"/>
        </w:rPr>
        <w:t xml:space="preserve"> </w:t>
      </w:r>
      <w:r>
        <w:t>a</w:t>
      </w:r>
      <w:r>
        <w:rPr>
          <w:spacing w:val="-1"/>
        </w:rPr>
        <w:t xml:space="preserve"> material </w:t>
      </w:r>
      <w:r>
        <w:t>impact on</w:t>
      </w:r>
      <w:r>
        <w:rPr>
          <w:spacing w:val="-4"/>
        </w:rPr>
        <w:t xml:space="preserve"> </w:t>
      </w:r>
      <w:r>
        <w:rPr>
          <w:spacing w:val="-2"/>
        </w:rPr>
        <w:t>ACTEW’s</w:t>
      </w:r>
      <w:r>
        <w:rPr>
          <w:spacing w:val="-1"/>
        </w:rPr>
        <w:t xml:space="preserve"> </w:t>
      </w:r>
      <w:r>
        <w:t>financial</w:t>
      </w:r>
      <w:r>
        <w:rPr>
          <w:spacing w:val="-1"/>
        </w:rPr>
        <w:t xml:space="preserve"> viability,</w:t>
      </w:r>
      <w:r>
        <w:rPr>
          <w:spacing w:val="-6"/>
        </w:rPr>
        <w:t xml:space="preserve"> </w:t>
      </w:r>
      <w:r>
        <w:t>and can</w:t>
      </w:r>
      <w:r>
        <w:rPr>
          <w:spacing w:val="-1"/>
        </w:rPr>
        <w:t xml:space="preserve"> </w:t>
      </w:r>
      <w:r>
        <w:t xml:space="preserve">be </w:t>
      </w:r>
      <w:r>
        <w:rPr>
          <w:spacing w:val="-1"/>
        </w:rPr>
        <w:t xml:space="preserve">investigated </w:t>
      </w:r>
      <w:r>
        <w:t>within</w:t>
      </w:r>
      <w:r>
        <w:rPr>
          <w:spacing w:val="-1"/>
        </w:rPr>
        <w:t xml:space="preserve"> </w:t>
      </w:r>
      <w:r>
        <w:t>the time</w:t>
      </w:r>
      <w:r>
        <w:rPr>
          <w:spacing w:val="-1"/>
        </w:rPr>
        <w:t xml:space="preserve"> </w:t>
      </w:r>
      <w:r>
        <w:t xml:space="preserve">and </w:t>
      </w:r>
      <w:r>
        <w:rPr>
          <w:spacing w:val="-1"/>
        </w:rPr>
        <w:t>resources</w:t>
      </w:r>
      <w:r>
        <w:rPr>
          <w:spacing w:val="41"/>
        </w:rPr>
        <w:t xml:space="preserve"> </w:t>
      </w:r>
      <w:r>
        <w:t xml:space="preserve">for the </w:t>
      </w:r>
      <w:r>
        <w:rPr>
          <w:spacing w:val="-2"/>
        </w:rPr>
        <w:t>review.</w:t>
      </w:r>
      <w:r>
        <w:rPr>
          <w:spacing w:val="-11"/>
        </w:rPr>
        <w:t xml:space="preserve"> </w:t>
      </w:r>
      <w:r>
        <w:rPr>
          <w:spacing w:val="-2"/>
        </w:rPr>
        <w:t>The</w:t>
      </w:r>
      <w:r>
        <w:t xml:space="preserve"> </w:t>
      </w:r>
      <w:r>
        <w:rPr>
          <w:spacing w:val="-3"/>
        </w:rPr>
        <w:t>Panel</w:t>
      </w:r>
      <w:r>
        <w:t xml:space="preserve"> also notes </w:t>
      </w:r>
      <w:r>
        <w:rPr>
          <w:spacing w:val="-1"/>
        </w:rPr>
        <w:t>that</w:t>
      </w:r>
      <w:r>
        <w:t xml:space="preserve"> it is </w:t>
      </w:r>
      <w:r>
        <w:rPr>
          <w:spacing w:val="-1"/>
        </w:rPr>
        <w:t>required</w:t>
      </w:r>
      <w:r>
        <w:t xml:space="preserve"> to consider the social impact of</w:t>
      </w:r>
      <w:r>
        <w:rPr>
          <w:spacing w:val="4"/>
        </w:rPr>
        <w:t xml:space="preserve"> </w:t>
      </w:r>
      <w:r>
        <w:rPr>
          <w:spacing w:val="-1"/>
        </w:rPr>
        <w:t>increases</w:t>
      </w:r>
      <w:r>
        <w:t xml:space="preserve"> in prices</w:t>
      </w:r>
      <w:r>
        <w:rPr>
          <w:spacing w:val="25"/>
        </w:rPr>
        <w:t xml:space="preserve"> </w:t>
      </w:r>
      <w:r>
        <w:t>under section 20(2) of</w:t>
      </w:r>
      <w:r>
        <w:rPr>
          <w:spacing w:val="4"/>
        </w:rPr>
        <w:t xml:space="preserve"> </w:t>
      </w:r>
      <w:r>
        <w:t>the</w:t>
      </w:r>
      <w:r>
        <w:rPr>
          <w:spacing w:val="-4"/>
        </w:rPr>
        <w:t xml:space="preserve"> </w:t>
      </w:r>
      <w:r>
        <w:t>Act.</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11"/>
          <w:szCs w:val="1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24" style="width:72.5pt;height:.5pt;mso-position-horizontal-relative:char;mso-position-vertical-relative:line" coordsize="1450,10">
            <v:group id="_x0000_s3325" style="position:absolute;left:5;top:5;width:1440;height:2" coordorigin="5,5" coordsize="1440,2">
              <v:shape id="_x0000_s3326" style="position:absolute;left:5;top:5;width:1440;height:2" coordorigin="5,5" coordsize="1440,0" path="m5,5r1440,e" filled="f" strokeweight=".5pt">
                <v:path arrowok="t"/>
              </v:shape>
            </v:group>
            <w10:wrap type="none"/>
            <w10:anchorlock/>
          </v:group>
        </w:pict>
      </w:r>
    </w:p>
    <w:p w:rsidR="00D96B91" w:rsidRDefault="00C2656B">
      <w:pPr>
        <w:numPr>
          <w:ilvl w:val="0"/>
          <w:numId w:val="109"/>
        </w:numPr>
        <w:tabs>
          <w:tab w:val="left" w:pos="1758"/>
        </w:tabs>
        <w:spacing w:before="38"/>
        <w:ind w:hanging="510"/>
        <w:rPr>
          <w:rFonts w:ascii="Avenir Next" w:eastAsia="Avenir Next" w:hAnsi="Avenir Next" w:cs="Avenir Next"/>
          <w:sz w:val="16"/>
          <w:szCs w:val="16"/>
        </w:rPr>
      </w:pPr>
      <w:r>
        <w:rPr>
          <w:rFonts w:ascii="Avenir Next"/>
          <w:sz w:val="16"/>
        </w:rPr>
        <w:t xml:space="preserve">In these cases the </w:t>
      </w:r>
      <w:r>
        <w:rPr>
          <w:rFonts w:ascii="Avenir Next"/>
          <w:spacing w:val="-2"/>
          <w:sz w:val="16"/>
        </w:rPr>
        <w:t>Panel</w:t>
      </w:r>
      <w:r>
        <w:rPr>
          <w:rFonts w:ascii="Avenir Next"/>
          <w:sz w:val="16"/>
        </w:rPr>
        <w:t xml:space="preserve"> has just adopted the same </w:t>
      </w:r>
      <w:r>
        <w:rPr>
          <w:rFonts w:ascii="Avenir Next"/>
          <w:spacing w:val="-1"/>
          <w:sz w:val="16"/>
        </w:rPr>
        <w:t>approach</w:t>
      </w:r>
      <w:r>
        <w:rPr>
          <w:rFonts w:ascii="Avenir Next"/>
          <w:sz w:val="16"/>
        </w:rPr>
        <w:t xml:space="preserve"> as the ICRC.</w:t>
      </w:r>
    </w:p>
    <w:p w:rsidR="00D96B91" w:rsidRDefault="00C2656B">
      <w:pPr>
        <w:numPr>
          <w:ilvl w:val="0"/>
          <w:numId w:val="109"/>
        </w:numPr>
        <w:tabs>
          <w:tab w:val="left" w:pos="1758"/>
        </w:tabs>
        <w:spacing w:before="128" w:line="192" w:lineRule="exact"/>
        <w:ind w:right="1522" w:hanging="510"/>
        <w:rPr>
          <w:rFonts w:ascii="Avenir Next" w:eastAsia="Avenir Next" w:hAnsi="Avenir Next" w:cs="Avenir Next"/>
          <w:sz w:val="16"/>
          <w:szCs w:val="16"/>
        </w:rPr>
      </w:pPr>
      <w:r>
        <w:rPr>
          <w:rFonts w:ascii="Avenir Next" w:eastAsia="Avenir Next" w:hAnsi="Avenir Next" w:cs="Avenir Next"/>
          <w:sz w:val="16"/>
          <w:szCs w:val="16"/>
        </w:rPr>
        <w:t>26</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notes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terms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reference</w:t>
      </w:r>
      <w:r>
        <w:rPr>
          <w:rFonts w:ascii="Avenir Next" w:eastAsia="Avenir Next" w:hAnsi="Avenir Next" w:cs="Avenir Next"/>
          <w:sz w:val="16"/>
          <w:szCs w:val="16"/>
        </w:rPr>
        <w:t xml:space="preserve"> for the original price </w:t>
      </w:r>
      <w:r>
        <w:rPr>
          <w:rFonts w:ascii="Avenir Next" w:eastAsia="Avenir Next" w:hAnsi="Avenir Next" w:cs="Avenir Next"/>
          <w:spacing w:val="-1"/>
          <w:sz w:val="16"/>
          <w:szCs w:val="16"/>
        </w:rPr>
        <w:t>regulation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investigation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undertaken</w:t>
      </w:r>
      <w:r>
        <w:rPr>
          <w:rFonts w:ascii="Avenir Next" w:eastAsia="Avenir Next" w:hAnsi="Avenir Next" w:cs="Avenir Next"/>
          <w:sz w:val="16"/>
          <w:szCs w:val="16"/>
        </w:rPr>
        <w:t xml:space="preserve"> by the ICRC</w:t>
      </w:r>
      <w:r>
        <w:rPr>
          <w:rFonts w:ascii="Avenir Next" w:eastAsia="Avenir Next" w:hAnsi="Avenir Next" w:cs="Avenir Next"/>
          <w:spacing w:val="53"/>
          <w:sz w:val="16"/>
          <w:szCs w:val="16"/>
        </w:rPr>
        <w:t xml:space="preserve"> </w:t>
      </w:r>
      <w:r>
        <w:rPr>
          <w:rFonts w:ascii="Avenir Next" w:eastAsia="Avenir Next" w:hAnsi="Avenir Next" w:cs="Avenir Next"/>
          <w:spacing w:val="-1"/>
          <w:sz w:val="16"/>
          <w:szCs w:val="16"/>
        </w:rPr>
        <w:t>required consideration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ability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price </w:t>
      </w:r>
      <w:r>
        <w:rPr>
          <w:rFonts w:ascii="Avenir Next" w:eastAsia="Avenir Next" w:hAnsi="Avenir Next" w:cs="Avenir Next"/>
          <w:spacing w:val="-1"/>
          <w:sz w:val="16"/>
          <w:szCs w:val="16"/>
        </w:rPr>
        <w:t>path</w:t>
      </w:r>
      <w:r>
        <w:rPr>
          <w:rFonts w:ascii="Avenir Next" w:eastAsia="Avenir Next" w:hAnsi="Avenir Next" w:cs="Avenir Next"/>
          <w:sz w:val="16"/>
          <w:szCs w:val="16"/>
        </w:rPr>
        <w:t xml:space="preserve"> to</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align the </w:t>
      </w:r>
      <w:r>
        <w:rPr>
          <w:rFonts w:ascii="Avenir Next" w:eastAsia="Avenir Next" w:hAnsi="Avenir Next" w:cs="Avenir Next"/>
          <w:spacing w:val="-1"/>
          <w:sz w:val="16"/>
          <w:szCs w:val="16"/>
        </w:rPr>
        <w:t xml:space="preserve">recovery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with</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consumer benefits accrued</w:t>
      </w:r>
      <w:r>
        <w:rPr>
          <w:rFonts w:ascii="Avenir Next" w:eastAsia="Avenir Next" w:hAnsi="Avenir Next" w:cs="Avenir Next"/>
          <w:spacing w:val="45"/>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security </w:t>
      </w:r>
      <w:r>
        <w:rPr>
          <w:rFonts w:ascii="Avenir Next" w:eastAsia="Avenir Next" w:hAnsi="Avenir Next" w:cs="Avenir Next"/>
          <w:spacing w:val="-3"/>
          <w:sz w:val="16"/>
          <w:szCs w:val="16"/>
        </w:rPr>
        <w:t>projects”.</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548"/>
      </w:pPr>
      <w:bookmarkStart w:id="45" w:name="5._3_Components_of_the_original_price_di"/>
      <w:bookmarkStart w:id="46" w:name="_bookmark23"/>
      <w:bookmarkEnd w:id="45"/>
      <w:bookmarkEnd w:id="46"/>
      <w:r>
        <w:rPr>
          <w:spacing w:val="-2"/>
        </w:rPr>
        <w:t>However,</w:t>
      </w:r>
      <w:r>
        <w:rPr>
          <w:spacing w:val="-6"/>
        </w:rPr>
        <w:t xml:space="preserve"> </w:t>
      </w:r>
      <w:r>
        <w:t xml:space="preserve">the </w:t>
      </w:r>
      <w:r>
        <w:rPr>
          <w:spacing w:val="-3"/>
        </w:rPr>
        <w:t>Panel</w:t>
      </w:r>
      <w:r>
        <w:t xml:space="preserve"> assessed some of</w:t>
      </w:r>
      <w:r>
        <w:rPr>
          <w:spacing w:val="4"/>
        </w:rPr>
        <w:t xml:space="preserve"> </w:t>
      </w:r>
      <w:r>
        <w:t xml:space="preserve">the </w:t>
      </w:r>
      <w:r>
        <w:rPr>
          <w:spacing w:val="-1"/>
        </w:rPr>
        <w:t>matters</w:t>
      </w:r>
      <w:r>
        <w:t xml:space="preserve"> </w:t>
      </w:r>
      <w:r>
        <w:rPr>
          <w:spacing w:val="-1"/>
        </w:rPr>
        <w:t>raised</w:t>
      </w:r>
      <w:r>
        <w:t xml:space="preserve"> in other submissions as falling outside the</w:t>
      </w:r>
      <w:r>
        <w:rPr>
          <w:spacing w:val="29"/>
        </w:rPr>
        <w:t xml:space="preserve"> </w:t>
      </w:r>
      <w:r>
        <w:t>scope of</w:t>
      </w:r>
      <w:r>
        <w:rPr>
          <w:spacing w:val="4"/>
        </w:rPr>
        <w:t xml:space="preserve"> </w:t>
      </w:r>
      <w:r>
        <w:t xml:space="preserve">its </w:t>
      </w:r>
      <w:r>
        <w:rPr>
          <w:spacing w:val="-2"/>
        </w:rPr>
        <w:t>review.</w:t>
      </w:r>
      <w:r>
        <w:rPr>
          <w:spacing w:val="-11"/>
        </w:rPr>
        <w:t xml:space="preserve"> </w:t>
      </w:r>
      <w:r>
        <w:rPr>
          <w:spacing w:val="-1"/>
        </w:rPr>
        <w:t>These</w:t>
      </w:r>
      <w:r>
        <w:t xml:space="preserve"> include:</w:t>
      </w:r>
    </w:p>
    <w:p w:rsidR="00D96B91" w:rsidRDefault="00C2656B">
      <w:pPr>
        <w:pStyle w:val="BodyText"/>
        <w:numPr>
          <w:ilvl w:val="0"/>
          <w:numId w:val="131"/>
        </w:numPr>
        <w:tabs>
          <w:tab w:val="left" w:pos="1531"/>
        </w:tabs>
        <w:spacing w:before="170" w:line="260" w:lineRule="exact"/>
        <w:ind w:right="1363" w:hanging="283"/>
      </w:pPr>
      <w:r>
        <w:rPr>
          <w:rFonts w:cs="Avenir Next"/>
          <w:b/>
          <w:bCs/>
          <w:spacing w:val="-2"/>
        </w:rPr>
        <w:t>The</w:t>
      </w:r>
      <w:r>
        <w:rPr>
          <w:rFonts w:cs="Avenir Next"/>
          <w:b/>
          <w:bCs/>
        </w:rPr>
        <w:t xml:space="preserve"> </w:t>
      </w:r>
      <w:r>
        <w:rPr>
          <w:rFonts w:cs="Avenir Next"/>
          <w:b/>
          <w:bCs/>
          <w:spacing w:val="-1"/>
        </w:rPr>
        <w:t>structure</w:t>
      </w:r>
      <w:r>
        <w:rPr>
          <w:rFonts w:cs="Avenir Next"/>
          <w:b/>
          <w:bCs/>
        </w:rPr>
        <w:t xml:space="preserve"> of</w:t>
      </w:r>
      <w:r>
        <w:rPr>
          <w:rFonts w:cs="Avenir Next"/>
          <w:b/>
          <w:bCs/>
          <w:spacing w:val="4"/>
        </w:rPr>
        <w:t xml:space="preserve"> </w:t>
      </w:r>
      <w:r>
        <w:rPr>
          <w:rFonts w:cs="Avenir Next"/>
          <w:b/>
          <w:bCs/>
          <w:spacing w:val="-1"/>
        </w:rPr>
        <w:t>water</w:t>
      </w:r>
      <w:r>
        <w:rPr>
          <w:rFonts w:cs="Avenir Next"/>
          <w:b/>
          <w:bCs/>
        </w:rPr>
        <w:t xml:space="preserve"> </w:t>
      </w:r>
      <w:r>
        <w:rPr>
          <w:rFonts w:cs="Avenir Next"/>
          <w:b/>
          <w:bCs/>
          <w:spacing w:val="-1"/>
        </w:rPr>
        <w:t>tariffs.</w:t>
      </w:r>
      <w:r>
        <w:rPr>
          <w:rFonts w:cs="Avenir Next"/>
          <w:b/>
          <w:bCs/>
          <w:spacing w:val="-3"/>
        </w:rPr>
        <w:t xml:space="preserve"> </w:t>
      </w:r>
      <w:r>
        <w:rPr>
          <w:rFonts w:cs="Avenir Next"/>
        </w:rPr>
        <w:t xml:space="preserve">While within the </w:t>
      </w:r>
      <w:r>
        <w:rPr>
          <w:rFonts w:cs="Avenir Next"/>
          <w:spacing w:val="-4"/>
        </w:rPr>
        <w:t>Panel’s</w:t>
      </w:r>
      <w:r>
        <w:rPr>
          <w:rFonts w:cs="Avenir Next"/>
        </w:rPr>
        <w:t xml:space="preserve"> </w:t>
      </w:r>
      <w:r>
        <w:rPr>
          <w:rFonts w:cs="Avenir Next"/>
          <w:spacing w:val="-1"/>
        </w:rPr>
        <w:t>remit,</w:t>
      </w:r>
      <w:r>
        <w:rPr>
          <w:rFonts w:cs="Avenir Next"/>
          <w:spacing w:val="-6"/>
        </w:rPr>
        <w:t xml:space="preserve"> </w:t>
      </w:r>
      <w:r>
        <w:rPr>
          <w:rFonts w:cs="Avenir Next"/>
        </w:rPr>
        <w:t xml:space="preserve">the </w:t>
      </w:r>
      <w:r>
        <w:rPr>
          <w:rFonts w:cs="Avenir Next"/>
          <w:spacing w:val="-3"/>
        </w:rPr>
        <w:t>Panel</w:t>
      </w:r>
      <w:r>
        <w:rPr>
          <w:rFonts w:cs="Avenir Next"/>
        </w:rPr>
        <w:t xml:space="preserve"> considers it is not </w:t>
      </w:r>
      <w:r>
        <w:rPr>
          <w:rFonts w:cs="Avenir Next"/>
          <w:spacing w:val="-1"/>
        </w:rPr>
        <w:t>practical</w:t>
      </w:r>
      <w:r>
        <w:rPr>
          <w:rFonts w:cs="Avenir Next"/>
          <w:spacing w:val="59"/>
        </w:rPr>
        <w:t xml:space="preserve"> </w:t>
      </w:r>
      <w:r>
        <w:t xml:space="preserve">for it to </w:t>
      </w:r>
      <w:r>
        <w:rPr>
          <w:spacing w:val="-1"/>
        </w:rPr>
        <w:t>investigate</w:t>
      </w:r>
      <w:r>
        <w:rPr>
          <w:spacing w:val="-4"/>
        </w:rPr>
        <w:t xml:space="preserve"> </w:t>
      </w:r>
      <w:r>
        <w:rPr>
          <w:spacing w:val="-2"/>
        </w:rPr>
        <w:t>ACTEW’s</w:t>
      </w:r>
      <w:r>
        <w:t xml:space="preserve"> </w:t>
      </w:r>
      <w:r>
        <w:rPr>
          <w:spacing w:val="-1"/>
        </w:rPr>
        <w:t>tariff</w:t>
      </w:r>
      <w:r>
        <w:rPr>
          <w:spacing w:val="4"/>
        </w:rPr>
        <w:t xml:space="preserve"> </w:t>
      </w:r>
      <w:r>
        <w:rPr>
          <w:spacing w:val="-1"/>
        </w:rPr>
        <w:t>structures.</w:t>
      </w:r>
      <w:r>
        <w:rPr>
          <w:spacing w:val="-11"/>
        </w:rPr>
        <w:t xml:space="preserve"> </w:t>
      </w:r>
      <w:r>
        <w:rPr>
          <w:spacing w:val="-2"/>
        </w:rPr>
        <w:t>The</w:t>
      </w:r>
      <w:r>
        <w:t xml:space="preserve"> </w:t>
      </w:r>
      <w:r>
        <w:rPr>
          <w:spacing w:val="-3"/>
        </w:rPr>
        <w:t>Panel</w:t>
      </w:r>
      <w:r>
        <w:t xml:space="preserve"> accepts </w:t>
      </w:r>
      <w:r>
        <w:rPr>
          <w:spacing w:val="-1"/>
        </w:rPr>
        <w:t>assertions</w:t>
      </w:r>
      <w:r>
        <w:t xml:space="preserve"> made in submissions </w:t>
      </w:r>
      <w:r>
        <w:rPr>
          <w:spacing w:val="-1"/>
        </w:rPr>
        <w:t>that</w:t>
      </w:r>
      <w:r>
        <w:rPr>
          <w:spacing w:val="67"/>
        </w:rPr>
        <w:t xml:space="preserve"> </w:t>
      </w:r>
      <w:r>
        <w:rPr>
          <w:spacing w:val="-1"/>
        </w:rPr>
        <w:t>tariff</w:t>
      </w:r>
      <w:r>
        <w:rPr>
          <w:spacing w:val="4"/>
        </w:rPr>
        <w:t xml:space="preserve"> </w:t>
      </w:r>
      <w:r>
        <w:rPr>
          <w:spacing w:val="-1"/>
        </w:rPr>
        <w:t>structures</w:t>
      </w:r>
      <w:r>
        <w:t xml:space="preserve"> have a </w:t>
      </w:r>
      <w:r>
        <w:rPr>
          <w:spacing w:val="-1"/>
        </w:rPr>
        <w:t>material</w:t>
      </w:r>
      <w:r>
        <w:t xml:space="preserve"> impact on </w:t>
      </w:r>
      <w:r>
        <w:rPr>
          <w:spacing w:val="-1"/>
        </w:rPr>
        <w:t>water</w:t>
      </w:r>
      <w:r>
        <w:t xml:space="preserve"> customers.</w:t>
      </w:r>
      <w:r>
        <w:rPr>
          <w:spacing w:val="-6"/>
        </w:rPr>
        <w:t xml:space="preserve"> </w:t>
      </w:r>
      <w:r>
        <w:rPr>
          <w:spacing w:val="-2"/>
        </w:rPr>
        <w:t>However,</w:t>
      </w:r>
      <w:r>
        <w:rPr>
          <w:spacing w:val="-6"/>
        </w:rPr>
        <w:t xml:space="preserve"> </w:t>
      </w:r>
      <w:r>
        <w:t xml:space="preserve">a </w:t>
      </w:r>
      <w:r>
        <w:rPr>
          <w:spacing w:val="-1"/>
        </w:rPr>
        <w:t>review</w:t>
      </w:r>
      <w:r>
        <w:t xml:space="preserve"> of</w:t>
      </w:r>
      <w:r>
        <w:rPr>
          <w:spacing w:val="4"/>
        </w:rPr>
        <w:t xml:space="preserve"> </w:t>
      </w:r>
      <w:r>
        <w:rPr>
          <w:spacing w:val="-1"/>
        </w:rPr>
        <w:t>tariff</w:t>
      </w:r>
      <w:r>
        <w:rPr>
          <w:spacing w:val="4"/>
        </w:rPr>
        <w:t xml:space="preserve"> </w:t>
      </w:r>
      <w:r>
        <w:rPr>
          <w:spacing w:val="-1"/>
        </w:rPr>
        <w:t>structures</w:t>
      </w:r>
    </w:p>
    <w:p w:rsidR="00D96B91" w:rsidRDefault="00C2656B">
      <w:pPr>
        <w:pStyle w:val="BodyText"/>
        <w:spacing w:line="260" w:lineRule="exact"/>
        <w:ind w:left="1530" w:right="1283"/>
      </w:pPr>
      <w:r>
        <w:t xml:space="preserve">would </w:t>
      </w:r>
      <w:r>
        <w:rPr>
          <w:spacing w:val="-2"/>
        </w:rPr>
        <w:t>require</w:t>
      </w:r>
      <w:r>
        <w:t xml:space="preserve"> </w:t>
      </w:r>
      <w:r>
        <w:rPr>
          <w:spacing w:val="-1"/>
        </w:rPr>
        <w:t>extensive</w:t>
      </w:r>
      <w:r>
        <w:t xml:space="preserve"> </w:t>
      </w:r>
      <w:r>
        <w:rPr>
          <w:spacing w:val="-1"/>
        </w:rPr>
        <w:t>consultation</w:t>
      </w:r>
      <w:r>
        <w:t xml:space="preserve"> and analysis,</w:t>
      </w:r>
      <w:r>
        <w:rPr>
          <w:spacing w:val="-6"/>
        </w:rPr>
        <w:t xml:space="preserve"> </w:t>
      </w:r>
      <w:r>
        <w:t>which is not possible within the time available for</w:t>
      </w:r>
      <w:r>
        <w:rPr>
          <w:spacing w:val="45"/>
        </w:rPr>
        <w:t xml:space="preserve"> </w:t>
      </w:r>
      <w:r>
        <w:t xml:space="preserve">this </w:t>
      </w:r>
      <w:r>
        <w:rPr>
          <w:spacing w:val="-2"/>
        </w:rPr>
        <w:t>review.</w:t>
      </w:r>
      <w:r>
        <w:rPr>
          <w:spacing w:val="-11"/>
        </w:rPr>
        <w:t xml:space="preserve"> </w:t>
      </w:r>
      <w:r>
        <w:rPr>
          <w:spacing w:val="-2"/>
        </w:rPr>
        <w:t>The</w:t>
      </w:r>
      <w:r>
        <w:t xml:space="preserve"> </w:t>
      </w:r>
      <w:r>
        <w:rPr>
          <w:spacing w:val="-3"/>
        </w:rPr>
        <w:t>Panel</w:t>
      </w:r>
      <w:r>
        <w:t xml:space="preserve"> also notes </w:t>
      </w:r>
      <w:r>
        <w:rPr>
          <w:spacing w:val="-1"/>
        </w:rPr>
        <w:t>that</w:t>
      </w:r>
      <w:r>
        <w:t xml:space="preserve"> the ICRC has </w:t>
      </w:r>
      <w:r>
        <w:rPr>
          <w:spacing w:val="-1"/>
        </w:rPr>
        <w:t>indicated</w:t>
      </w:r>
      <w:r>
        <w:t xml:space="preserve"> it may use other </w:t>
      </w:r>
      <w:r>
        <w:rPr>
          <w:spacing w:val="-1"/>
        </w:rPr>
        <w:t>processes</w:t>
      </w:r>
      <w:r>
        <w:t xml:space="preserve"> to </w:t>
      </w:r>
      <w:r>
        <w:rPr>
          <w:spacing w:val="-1"/>
        </w:rPr>
        <w:t>review</w:t>
      </w:r>
      <w:r>
        <w:rPr>
          <w:spacing w:val="47"/>
        </w:rPr>
        <w:t xml:space="preserve"> </w:t>
      </w:r>
      <w:r>
        <w:rPr>
          <w:spacing w:val="-1"/>
        </w:rPr>
        <w:t>tariff</w:t>
      </w:r>
      <w:r>
        <w:rPr>
          <w:spacing w:val="4"/>
        </w:rPr>
        <w:t xml:space="preserve"> </w:t>
      </w:r>
      <w:r>
        <w:rPr>
          <w:spacing w:val="-1"/>
        </w:rPr>
        <w:t>structures</w:t>
      </w:r>
      <w:r>
        <w:t xml:space="preserve"> within this </w:t>
      </w:r>
      <w:r>
        <w:rPr>
          <w:spacing w:val="-1"/>
        </w:rPr>
        <w:t>regulatory</w:t>
      </w:r>
      <w:r>
        <w:t xml:space="preserve"> period.</w:t>
      </w:r>
      <w:r>
        <w:rPr>
          <w:spacing w:val="-6"/>
        </w:rPr>
        <w:t xml:space="preserve"> </w:t>
      </w:r>
      <w:r>
        <w:t>Given this,</w:t>
      </w:r>
      <w:r>
        <w:rPr>
          <w:spacing w:val="-6"/>
        </w:rPr>
        <w:t xml:space="preserve"> </w:t>
      </w:r>
      <w:r>
        <w:t xml:space="preserve">the </w:t>
      </w:r>
      <w:r>
        <w:rPr>
          <w:spacing w:val="-3"/>
        </w:rPr>
        <w:t>Panel</w:t>
      </w:r>
      <w:r>
        <w:t xml:space="preserve"> considers it would not be sensible</w:t>
      </w:r>
      <w:r>
        <w:rPr>
          <w:spacing w:val="31"/>
        </w:rPr>
        <w:t xml:space="preserve"> </w:t>
      </w:r>
      <w:r>
        <w:t xml:space="preserve">for it to also </w:t>
      </w:r>
      <w:r>
        <w:rPr>
          <w:spacing w:val="-1"/>
        </w:rPr>
        <w:t>review</w:t>
      </w:r>
      <w:r>
        <w:t xml:space="preserve"> </w:t>
      </w:r>
      <w:r>
        <w:rPr>
          <w:spacing w:val="-1"/>
        </w:rPr>
        <w:t>tariff</w:t>
      </w:r>
      <w:r>
        <w:rPr>
          <w:spacing w:val="4"/>
        </w:rPr>
        <w:t xml:space="preserve"> </w:t>
      </w:r>
      <w:r>
        <w:rPr>
          <w:spacing w:val="-1"/>
        </w:rPr>
        <w:t>structures.</w:t>
      </w:r>
    </w:p>
    <w:p w:rsidR="00D96B91" w:rsidRDefault="00C2656B">
      <w:pPr>
        <w:numPr>
          <w:ilvl w:val="0"/>
          <w:numId w:val="131"/>
        </w:numPr>
        <w:tabs>
          <w:tab w:val="left" w:pos="1531"/>
        </w:tabs>
        <w:spacing w:before="85" w:line="260" w:lineRule="exact"/>
        <w:ind w:right="1690" w:hanging="283"/>
        <w:rPr>
          <w:rFonts w:ascii="Avenir Next" w:eastAsia="Avenir Next" w:hAnsi="Avenir Next" w:cs="Avenir Next"/>
          <w:sz w:val="20"/>
          <w:szCs w:val="20"/>
        </w:rPr>
      </w:pPr>
      <w:r>
        <w:rPr>
          <w:rFonts w:ascii="Avenir Next"/>
          <w:b/>
          <w:spacing w:val="-2"/>
          <w:sz w:val="20"/>
        </w:rPr>
        <w:t>The</w:t>
      </w:r>
      <w:r>
        <w:rPr>
          <w:rFonts w:ascii="Avenir Next"/>
          <w:b/>
          <w:sz w:val="20"/>
        </w:rPr>
        <w:t xml:space="preserve"> governance of</w:t>
      </w:r>
      <w:r>
        <w:rPr>
          <w:rFonts w:ascii="Avenir Next"/>
          <w:b/>
          <w:spacing w:val="1"/>
          <w:sz w:val="20"/>
        </w:rPr>
        <w:t xml:space="preserve"> </w:t>
      </w:r>
      <w:r>
        <w:rPr>
          <w:rFonts w:ascii="Avenir Next"/>
          <w:b/>
          <w:spacing w:val="-2"/>
          <w:sz w:val="20"/>
        </w:rPr>
        <w:t>ACTEW</w:t>
      </w:r>
      <w:r>
        <w:rPr>
          <w:rFonts w:ascii="Avenir Next"/>
          <w:b/>
          <w:spacing w:val="-3"/>
          <w:sz w:val="20"/>
        </w:rPr>
        <w:t xml:space="preserve"> </w:t>
      </w:r>
      <w:r>
        <w:rPr>
          <w:rFonts w:ascii="Avenir Next"/>
          <w:b/>
          <w:sz w:val="20"/>
        </w:rPr>
        <w:t>and the dividends and</w:t>
      </w:r>
      <w:r>
        <w:rPr>
          <w:rFonts w:ascii="Avenir Next"/>
          <w:b/>
          <w:spacing w:val="-3"/>
          <w:sz w:val="20"/>
        </w:rPr>
        <w:t xml:space="preserve"> </w:t>
      </w:r>
      <w:r>
        <w:rPr>
          <w:rFonts w:ascii="Avenir Next"/>
          <w:b/>
          <w:spacing w:val="-2"/>
          <w:sz w:val="20"/>
        </w:rPr>
        <w:t>Water</w:t>
      </w:r>
      <w:r>
        <w:rPr>
          <w:rFonts w:ascii="Avenir Next"/>
          <w:b/>
          <w:spacing w:val="-4"/>
          <w:sz w:val="20"/>
        </w:rPr>
        <w:t xml:space="preserve"> </w:t>
      </w:r>
      <w:r>
        <w:rPr>
          <w:rFonts w:ascii="Avenir Next"/>
          <w:b/>
          <w:spacing w:val="-1"/>
          <w:sz w:val="20"/>
        </w:rPr>
        <w:t>Abstraction</w:t>
      </w:r>
      <w:r>
        <w:rPr>
          <w:rFonts w:ascii="Avenir Next"/>
          <w:b/>
          <w:sz w:val="20"/>
        </w:rPr>
        <w:t xml:space="preserve"> </w:t>
      </w:r>
      <w:r>
        <w:rPr>
          <w:rFonts w:ascii="Avenir Next"/>
          <w:b/>
          <w:spacing w:val="-1"/>
          <w:sz w:val="20"/>
        </w:rPr>
        <w:t>Charge</w:t>
      </w:r>
      <w:r>
        <w:rPr>
          <w:rFonts w:ascii="Avenir Next"/>
          <w:b/>
          <w:spacing w:val="-4"/>
          <w:sz w:val="20"/>
        </w:rPr>
        <w:t xml:space="preserve"> </w:t>
      </w:r>
      <w:r>
        <w:rPr>
          <w:rFonts w:ascii="Avenir Next"/>
          <w:b/>
          <w:spacing w:val="-2"/>
          <w:sz w:val="20"/>
        </w:rPr>
        <w:t>ACTEW</w:t>
      </w:r>
      <w:r>
        <w:rPr>
          <w:rFonts w:ascii="Avenir Next"/>
          <w:b/>
          <w:spacing w:val="-3"/>
          <w:sz w:val="20"/>
        </w:rPr>
        <w:t xml:space="preserve"> </w:t>
      </w:r>
      <w:r>
        <w:rPr>
          <w:rFonts w:ascii="Avenir Next"/>
          <w:b/>
          <w:sz w:val="20"/>
        </w:rPr>
        <w:t>pays.</w:t>
      </w:r>
      <w:r>
        <w:rPr>
          <w:rFonts w:ascii="Avenir Next"/>
          <w:b/>
          <w:spacing w:val="41"/>
          <w:sz w:val="20"/>
        </w:rPr>
        <w:t xml:space="preserve"> </w:t>
      </w:r>
      <w:r>
        <w:rPr>
          <w:rFonts w:ascii="Avenir Next"/>
          <w:spacing w:val="-2"/>
          <w:sz w:val="20"/>
        </w:rPr>
        <w:t>The</w:t>
      </w:r>
      <w:r>
        <w:rPr>
          <w:rFonts w:ascii="Avenir Next"/>
          <w:sz w:val="20"/>
        </w:rPr>
        <w:t xml:space="preserve"> </w:t>
      </w:r>
      <w:r>
        <w:rPr>
          <w:rFonts w:ascii="Avenir Next"/>
          <w:spacing w:val="-3"/>
          <w:sz w:val="20"/>
        </w:rPr>
        <w:t>Panel</w:t>
      </w:r>
      <w:r>
        <w:rPr>
          <w:rFonts w:ascii="Avenir Next"/>
          <w:sz w:val="20"/>
        </w:rPr>
        <w:t xml:space="preserve"> does not have a </w:t>
      </w:r>
      <w:r>
        <w:rPr>
          <w:rFonts w:ascii="Avenir Next"/>
          <w:spacing w:val="-1"/>
          <w:sz w:val="20"/>
        </w:rPr>
        <w:t>mandate</w:t>
      </w:r>
      <w:r>
        <w:rPr>
          <w:rFonts w:ascii="Avenir Next"/>
          <w:sz w:val="20"/>
        </w:rPr>
        <w:t xml:space="preserve"> to look </w:t>
      </w:r>
      <w:r>
        <w:rPr>
          <w:rFonts w:ascii="Avenir Next"/>
          <w:spacing w:val="-1"/>
          <w:sz w:val="20"/>
        </w:rPr>
        <w:t>at</w:t>
      </w:r>
      <w:r>
        <w:rPr>
          <w:rFonts w:ascii="Avenir Next"/>
          <w:sz w:val="20"/>
        </w:rPr>
        <w:t xml:space="preserve"> these </w:t>
      </w:r>
      <w:r>
        <w:rPr>
          <w:rFonts w:ascii="Avenir Next"/>
          <w:spacing w:val="-1"/>
          <w:sz w:val="20"/>
        </w:rPr>
        <w:t>matters.</w:t>
      </w:r>
      <w:r>
        <w:rPr>
          <w:rFonts w:ascii="Avenir Next"/>
          <w:spacing w:val="-10"/>
          <w:sz w:val="20"/>
        </w:rPr>
        <w:t xml:space="preserve"> </w:t>
      </w:r>
      <w:r>
        <w:rPr>
          <w:rFonts w:ascii="Avenir Next"/>
          <w:sz w:val="20"/>
        </w:rPr>
        <w:t>As section 3.1.2 discussed,</w:t>
      </w:r>
      <w:r>
        <w:rPr>
          <w:rFonts w:ascii="Avenir Next"/>
          <w:spacing w:val="-7"/>
          <w:sz w:val="20"/>
        </w:rPr>
        <w:t xml:space="preserve"> </w:t>
      </w:r>
      <w:r>
        <w:rPr>
          <w:rFonts w:ascii="Avenir Next"/>
          <w:sz w:val="20"/>
        </w:rPr>
        <w:t>both</w:t>
      </w:r>
      <w:r>
        <w:rPr>
          <w:rFonts w:ascii="Avenir Next"/>
          <w:spacing w:val="25"/>
          <w:sz w:val="20"/>
        </w:rPr>
        <w:t xml:space="preserve"> </w:t>
      </w:r>
      <w:r>
        <w:rPr>
          <w:rFonts w:ascii="Avenir Next"/>
          <w:spacing w:val="-2"/>
          <w:sz w:val="20"/>
        </w:rPr>
        <w:t>are</w:t>
      </w:r>
      <w:r>
        <w:rPr>
          <w:rFonts w:ascii="Avenir Next"/>
          <w:sz w:val="20"/>
        </w:rPr>
        <w:t xml:space="preserve"> </w:t>
      </w:r>
      <w:r>
        <w:rPr>
          <w:rFonts w:ascii="Avenir Next"/>
          <w:spacing w:val="-1"/>
          <w:sz w:val="20"/>
        </w:rPr>
        <w:t>matters</w:t>
      </w:r>
      <w:r>
        <w:rPr>
          <w:rFonts w:ascii="Avenir Next"/>
          <w:sz w:val="20"/>
        </w:rPr>
        <w:t xml:space="preserve"> for the</w:t>
      </w:r>
      <w:r>
        <w:rPr>
          <w:rFonts w:ascii="Avenir Next"/>
          <w:spacing w:val="-4"/>
          <w:sz w:val="20"/>
        </w:rPr>
        <w:t xml:space="preserve"> </w:t>
      </w:r>
      <w:r>
        <w:rPr>
          <w:rFonts w:ascii="Avenir Next"/>
          <w:spacing w:val="-2"/>
          <w:sz w:val="20"/>
        </w:rPr>
        <w:t>ACT</w:t>
      </w:r>
      <w:r>
        <w:rPr>
          <w:rFonts w:ascii="Avenir Next"/>
          <w:spacing w:val="-5"/>
          <w:sz w:val="20"/>
        </w:rPr>
        <w:t xml:space="preserve"> </w:t>
      </w:r>
      <w:r>
        <w:rPr>
          <w:rFonts w:ascii="Avenir Next"/>
          <w:sz w:val="20"/>
        </w:rPr>
        <w:t>Government,</w:t>
      </w:r>
      <w:r>
        <w:rPr>
          <w:rFonts w:ascii="Avenir Next"/>
          <w:spacing w:val="-6"/>
          <w:sz w:val="20"/>
        </w:rPr>
        <w:t xml:space="preserve"> </w:t>
      </w:r>
      <w:r>
        <w:rPr>
          <w:rFonts w:ascii="Avenir Next"/>
          <w:sz w:val="20"/>
        </w:rPr>
        <w:t xml:space="preserve">not the economic </w:t>
      </w:r>
      <w:r>
        <w:rPr>
          <w:rFonts w:ascii="Avenir Next"/>
          <w:spacing w:val="-2"/>
          <w:sz w:val="20"/>
        </w:rPr>
        <w:t>regulator.</w:t>
      </w:r>
      <w:r>
        <w:rPr>
          <w:rFonts w:ascii="Avenir Next"/>
          <w:spacing w:val="-11"/>
          <w:sz w:val="20"/>
        </w:rPr>
        <w:t xml:space="preserve"> </w:t>
      </w:r>
      <w:r>
        <w:rPr>
          <w:rFonts w:ascii="Avenir Next"/>
          <w:spacing w:val="-2"/>
          <w:sz w:val="20"/>
        </w:rPr>
        <w:t>The</w:t>
      </w:r>
      <w:r>
        <w:rPr>
          <w:rFonts w:ascii="Avenir Next"/>
          <w:sz w:val="20"/>
        </w:rPr>
        <w:t xml:space="preserve"> </w:t>
      </w:r>
      <w:r>
        <w:rPr>
          <w:rFonts w:ascii="Avenir Next"/>
          <w:spacing w:val="-3"/>
          <w:sz w:val="20"/>
        </w:rPr>
        <w:t>Panel</w:t>
      </w:r>
      <w:r>
        <w:rPr>
          <w:rFonts w:ascii="Avenir Next"/>
          <w:sz w:val="20"/>
        </w:rPr>
        <w:t xml:space="preserve"> notes </w:t>
      </w:r>
      <w:r>
        <w:rPr>
          <w:rFonts w:ascii="Avenir Next"/>
          <w:spacing w:val="-1"/>
          <w:sz w:val="20"/>
        </w:rPr>
        <w:t>that</w:t>
      </w:r>
      <w:r>
        <w:rPr>
          <w:rFonts w:ascii="Avenir Next"/>
          <w:sz w:val="20"/>
        </w:rPr>
        <w:t xml:space="preserve"> the same</w:t>
      </w:r>
    </w:p>
    <w:p w:rsidR="00D96B91" w:rsidRDefault="00C2656B">
      <w:pPr>
        <w:pStyle w:val="BodyText"/>
        <w:spacing w:line="260" w:lineRule="exact"/>
        <w:ind w:left="1530" w:right="1283"/>
        <w:rPr>
          <w:sz w:val="11"/>
          <w:szCs w:val="11"/>
        </w:rPr>
      </w:pPr>
      <w:r>
        <w:t>applies</w:t>
      </w:r>
      <w:r>
        <w:rPr>
          <w:spacing w:val="-1"/>
        </w:rPr>
        <w:t xml:space="preserve"> </w:t>
      </w:r>
      <w:r>
        <w:t>to</w:t>
      </w:r>
      <w:r>
        <w:rPr>
          <w:spacing w:val="-1"/>
        </w:rPr>
        <w:t xml:space="preserve"> alternative</w:t>
      </w:r>
      <w:r>
        <w:t xml:space="preserve"> government</w:t>
      </w:r>
      <w:r>
        <w:rPr>
          <w:spacing w:val="-1"/>
        </w:rPr>
        <w:t xml:space="preserve"> </w:t>
      </w:r>
      <w:r>
        <w:t>financing</w:t>
      </w:r>
      <w:r>
        <w:rPr>
          <w:spacing w:val="-1"/>
        </w:rPr>
        <w:t xml:space="preserve"> strategies</w:t>
      </w:r>
      <w:r>
        <w:t xml:space="preserve"> for</w:t>
      </w:r>
      <w:r>
        <w:rPr>
          <w:spacing w:val="-1"/>
        </w:rPr>
        <w:t xml:space="preserve"> </w:t>
      </w:r>
      <w:r>
        <w:t>long-lived</w:t>
      </w:r>
      <w:r>
        <w:rPr>
          <w:spacing w:val="-1"/>
        </w:rPr>
        <w:t xml:space="preserve"> </w:t>
      </w:r>
      <w:r>
        <w:t>assets,</w:t>
      </w:r>
      <w:r>
        <w:rPr>
          <w:spacing w:val="-7"/>
        </w:rPr>
        <w:t xml:space="preserve"> </w:t>
      </w:r>
      <w:r>
        <w:t>which</w:t>
      </w:r>
      <w:r>
        <w:rPr>
          <w:spacing w:val="-1"/>
        </w:rPr>
        <w:t xml:space="preserve"> </w:t>
      </w:r>
      <w:r>
        <w:t>was</w:t>
      </w:r>
      <w:r>
        <w:rPr>
          <w:spacing w:val="-1"/>
        </w:rPr>
        <w:t xml:space="preserve"> raised</w:t>
      </w:r>
      <w:r>
        <w:t xml:space="preserve"> in</w:t>
      </w:r>
      <w:r>
        <w:rPr>
          <w:spacing w:val="-1"/>
        </w:rPr>
        <w:t xml:space="preserve"> </w:t>
      </w:r>
      <w:r>
        <w:t>one</w:t>
      </w:r>
      <w:r>
        <w:rPr>
          <w:spacing w:val="35"/>
        </w:rPr>
        <w:t xml:space="preserve"> </w:t>
      </w:r>
      <w:r>
        <w:t>submission.</w:t>
      </w:r>
      <w:r>
        <w:rPr>
          <w:position w:val="7"/>
          <w:sz w:val="11"/>
        </w:rPr>
        <w:t>27</w:t>
      </w:r>
    </w:p>
    <w:p w:rsidR="00D96B91" w:rsidRDefault="00D96B91">
      <w:pPr>
        <w:spacing w:before="4"/>
        <w:rPr>
          <w:rFonts w:ascii="Avenir Next" w:eastAsia="Avenir Next" w:hAnsi="Avenir Next" w:cs="Avenir Next"/>
          <w:sz w:val="24"/>
          <w:szCs w:val="24"/>
        </w:rPr>
      </w:pPr>
    </w:p>
    <w:p w:rsidR="00D96B91" w:rsidRDefault="00C2656B">
      <w:pPr>
        <w:pStyle w:val="Heading4"/>
        <w:numPr>
          <w:ilvl w:val="0"/>
          <w:numId w:val="108"/>
        </w:numPr>
        <w:tabs>
          <w:tab w:val="left" w:pos="1570"/>
          <w:tab w:val="left" w:pos="2040"/>
        </w:tabs>
        <w:spacing w:line="360" w:lineRule="exact"/>
        <w:ind w:right="1343" w:hanging="794"/>
        <w:rPr>
          <w:rFonts w:cs="Avenir Next Medium"/>
        </w:rPr>
      </w:pPr>
      <w:r>
        <w:rPr>
          <w:color w:val="0778BE"/>
        </w:rPr>
        <w:t>3</w:t>
      </w:r>
      <w:r>
        <w:rPr>
          <w:color w:val="0778BE"/>
        </w:rPr>
        <w:tab/>
      </w:r>
      <w:r>
        <w:rPr>
          <w:color w:val="0778BE"/>
          <w:spacing w:val="-1"/>
        </w:rPr>
        <w:t>Components</w:t>
      </w:r>
      <w:r>
        <w:rPr>
          <w:color w:val="0778BE"/>
        </w:rPr>
        <w:t xml:space="preserve"> of</w:t>
      </w:r>
      <w:r>
        <w:rPr>
          <w:color w:val="0778BE"/>
          <w:spacing w:val="7"/>
        </w:rPr>
        <w:t xml:space="preserve"> </w:t>
      </w:r>
      <w:r>
        <w:rPr>
          <w:color w:val="0778BE"/>
        </w:rPr>
        <w:t xml:space="preserve">the original price </w:t>
      </w:r>
      <w:r>
        <w:rPr>
          <w:color w:val="0778BE"/>
          <w:spacing w:val="-1"/>
        </w:rPr>
        <w:t>direction</w:t>
      </w:r>
      <w:r>
        <w:rPr>
          <w:color w:val="0778BE"/>
        </w:rPr>
        <w:t xml:space="preserve"> </w:t>
      </w:r>
      <w:r>
        <w:rPr>
          <w:color w:val="0778BE"/>
          <w:spacing w:val="-1"/>
        </w:rPr>
        <w:t>that</w:t>
      </w:r>
      <w:r>
        <w:rPr>
          <w:color w:val="0778BE"/>
        </w:rPr>
        <w:t xml:space="preserve"> </w:t>
      </w:r>
      <w:r>
        <w:rPr>
          <w:color w:val="0778BE"/>
          <w:spacing w:val="-2"/>
        </w:rPr>
        <w:t>require</w:t>
      </w:r>
      <w:r>
        <w:rPr>
          <w:color w:val="0778BE"/>
        </w:rPr>
        <w:t xml:space="preserve"> </w:t>
      </w:r>
      <w:r>
        <w:rPr>
          <w:color w:val="0778BE"/>
          <w:spacing w:val="-1"/>
        </w:rPr>
        <w:t>review</w:t>
      </w:r>
      <w:r>
        <w:rPr>
          <w:color w:val="0778BE"/>
          <w:spacing w:val="25"/>
        </w:rPr>
        <w:t xml:space="preserve"> </w:t>
      </w:r>
      <w:r>
        <w:rPr>
          <w:color w:val="0778BE"/>
        </w:rPr>
        <w:t>and decision-making</w:t>
      </w:r>
    </w:p>
    <w:p w:rsidR="00D96B91" w:rsidRDefault="00C2656B">
      <w:pPr>
        <w:pStyle w:val="BodyText"/>
        <w:spacing w:before="93" w:line="260" w:lineRule="exact"/>
        <w:ind w:right="1411"/>
      </w:pPr>
      <w:r>
        <w:t>In</w:t>
      </w:r>
      <w:r>
        <w:rPr>
          <w:spacing w:val="-1"/>
        </w:rPr>
        <w:t xml:space="preserve"> </w:t>
      </w:r>
      <w:r>
        <w:t>line</w:t>
      </w:r>
      <w:r>
        <w:rPr>
          <w:spacing w:val="-1"/>
        </w:rPr>
        <w:t xml:space="preserve"> </w:t>
      </w:r>
      <w:r>
        <w:t>with its</w:t>
      </w:r>
      <w:r>
        <w:rPr>
          <w:spacing w:val="-1"/>
        </w:rPr>
        <w:t xml:space="preserve"> </w:t>
      </w:r>
      <w:r>
        <w:t>decisions on</w:t>
      </w:r>
      <w:r>
        <w:rPr>
          <w:spacing w:val="-1"/>
        </w:rPr>
        <w:t xml:space="preserve"> </w:t>
      </w:r>
      <w:r>
        <w:t>the scope,</w:t>
      </w:r>
      <w:r>
        <w:rPr>
          <w:spacing w:val="-8"/>
        </w:rPr>
        <w:t xml:space="preserve"> </w:t>
      </w:r>
      <w:r>
        <w:t xml:space="preserve">the </w:t>
      </w:r>
      <w:r>
        <w:rPr>
          <w:spacing w:val="-3"/>
        </w:rPr>
        <w:t>Panel</w:t>
      </w:r>
      <w:r>
        <w:rPr>
          <w:spacing w:val="-1"/>
        </w:rPr>
        <w:t xml:space="preserve"> </w:t>
      </w:r>
      <w:r>
        <w:t>identified the</w:t>
      </w:r>
      <w:r>
        <w:rPr>
          <w:spacing w:val="-1"/>
        </w:rPr>
        <w:t xml:space="preserve"> </w:t>
      </w:r>
      <w:r>
        <w:t>individual</w:t>
      </w:r>
      <w:r>
        <w:rPr>
          <w:spacing w:val="-1"/>
        </w:rPr>
        <w:t xml:space="preserve"> </w:t>
      </w:r>
      <w:r>
        <w:t>components of</w:t>
      </w:r>
      <w:r>
        <w:rPr>
          <w:spacing w:val="3"/>
        </w:rPr>
        <w:t xml:space="preserve"> </w:t>
      </w:r>
      <w:r>
        <w:t>the original</w:t>
      </w:r>
      <w:r>
        <w:rPr>
          <w:spacing w:val="23"/>
        </w:rPr>
        <w:t xml:space="preserve"> </w:t>
      </w:r>
      <w:r>
        <w:rPr>
          <w:rFonts w:cs="Avenir Next"/>
        </w:rPr>
        <w:t xml:space="preserve">price </w:t>
      </w:r>
      <w:r>
        <w:rPr>
          <w:rFonts w:cs="Avenir Next"/>
          <w:spacing w:val="-1"/>
        </w:rPr>
        <w:t>direction</w:t>
      </w:r>
      <w:r>
        <w:rPr>
          <w:rFonts w:cs="Avenir Next"/>
        </w:rPr>
        <w:t xml:space="preserve"> </w:t>
      </w:r>
      <w:r>
        <w:rPr>
          <w:rFonts w:cs="Avenir Next"/>
          <w:spacing w:val="-1"/>
        </w:rPr>
        <w:t>that</w:t>
      </w:r>
      <w:r>
        <w:rPr>
          <w:rFonts w:cs="Avenir Next"/>
        </w:rPr>
        <w:t xml:space="preserve"> it will need to </w:t>
      </w:r>
      <w:r>
        <w:rPr>
          <w:rFonts w:cs="Avenir Next"/>
          <w:spacing w:val="-1"/>
        </w:rPr>
        <w:t>review</w:t>
      </w:r>
      <w:r>
        <w:rPr>
          <w:rFonts w:cs="Avenir Next"/>
        </w:rPr>
        <w:t xml:space="preserve"> in </w:t>
      </w:r>
      <w:r>
        <w:rPr>
          <w:rFonts w:cs="Avenir Next"/>
          <w:spacing w:val="-1"/>
        </w:rPr>
        <w:t>order</w:t>
      </w:r>
      <w:r>
        <w:rPr>
          <w:rFonts w:cs="Avenir Next"/>
        </w:rPr>
        <w:t xml:space="preserve"> to </w:t>
      </w:r>
      <w:r>
        <w:rPr>
          <w:rFonts w:cs="Avenir Next"/>
          <w:spacing w:val="-2"/>
        </w:rPr>
        <w:t>reach</w:t>
      </w:r>
      <w:r>
        <w:rPr>
          <w:rFonts w:cs="Avenir Next"/>
        </w:rPr>
        <w:t xml:space="preserve"> its </w:t>
      </w:r>
      <w:r>
        <w:rPr>
          <w:rFonts w:cs="Avenir Next"/>
          <w:spacing w:val="-1"/>
        </w:rPr>
        <w:t>overall</w:t>
      </w:r>
      <w:r>
        <w:rPr>
          <w:rFonts w:cs="Avenir Next"/>
        </w:rPr>
        <w:t xml:space="preserve"> decision on whether to substitute</w:t>
      </w:r>
      <w:r>
        <w:rPr>
          <w:rFonts w:cs="Avenir Next"/>
          <w:spacing w:val="35"/>
        </w:rPr>
        <w:t xml:space="preserve"> </w:t>
      </w:r>
      <w:r>
        <w:t>a</w:t>
      </w:r>
      <w:r>
        <w:rPr>
          <w:spacing w:val="-1"/>
        </w:rPr>
        <w:t xml:space="preserve"> </w:t>
      </w:r>
      <w:r>
        <w:t>new price</w:t>
      </w:r>
      <w:r>
        <w:rPr>
          <w:spacing w:val="-1"/>
        </w:rPr>
        <w:t xml:space="preserve"> direction</w:t>
      </w:r>
      <w:r>
        <w:t xml:space="preserve"> for</w:t>
      </w:r>
      <w:r>
        <w:rPr>
          <w:spacing w:val="-1"/>
        </w:rPr>
        <w:t xml:space="preserve"> </w:t>
      </w:r>
      <w:r>
        <w:t>the original</w:t>
      </w:r>
      <w:r>
        <w:rPr>
          <w:spacing w:val="-1"/>
        </w:rPr>
        <w:t xml:space="preserve"> </w:t>
      </w:r>
      <w:r>
        <w:t xml:space="preserve">price </w:t>
      </w:r>
      <w:r>
        <w:rPr>
          <w:spacing w:val="-1"/>
        </w:rPr>
        <w:t xml:space="preserve">direction </w:t>
      </w:r>
      <w:r>
        <w:t>or to</w:t>
      </w:r>
      <w:r>
        <w:rPr>
          <w:spacing w:val="-1"/>
        </w:rPr>
        <w:t xml:space="preserve"> </w:t>
      </w:r>
      <w:r>
        <w:t>confirm the</w:t>
      </w:r>
      <w:r>
        <w:rPr>
          <w:spacing w:val="-1"/>
        </w:rPr>
        <w:t xml:space="preserve"> </w:t>
      </w:r>
      <w:r>
        <w:rPr>
          <w:spacing w:val="-2"/>
        </w:rPr>
        <w:t>ICRC’s</w:t>
      </w:r>
      <w:r>
        <w:t xml:space="preserve"> original </w:t>
      </w:r>
      <w:r>
        <w:rPr>
          <w:spacing w:val="-1"/>
        </w:rPr>
        <w:t>direction.</w:t>
      </w:r>
    </w:p>
    <w:p w:rsidR="00D96B91" w:rsidRDefault="00D96B91">
      <w:pPr>
        <w:pStyle w:val="BodyText"/>
        <w:spacing w:before="170" w:line="260" w:lineRule="exact"/>
        <w:ind w:right="1548"/>
      </w:pPr>
      <w:hyperlink w:anchor="_bookmark24" w:history="1">
        <w:r w:rsidR="00C2656B">
          <w:rPr>
            <w:spacing w:val="-2"/>
          </w:rPr>
          <w:t>Figure</w:t>
        </w:r>
        <w:r w:rsidR="00C2656B">
          <w:t xml:space="preserve"> 5.1</w:t>
        </w:r>
      </w:hyperlink>
      <w:r w:rsidR="00C2656B">
        <w:t xml:space="preserve"> sets out these components,</w:t>
      </w:r>
      <w:r w:rsidR="00C2656B">
        <w:rPr>
          <w:spacing w:val="-7"/>
        </w:rPr>
        <w:t xml:space="preserve"> </w:t>
      </w:r>
      <w:r w:rsidR="00C2656B">
        <w:t xml:space="preserve">and </w:t>
      </w:r>
      <w:r w:rsidR="00C2656B">
        <w:rPr>
          <w:spacing w:val="-1"/>
        </w:rPr>
        <w:t>indicates</w:t>
      </w:r>
      <w:r w:rsidR="00C2656B">
        <w:t xml:space="preserve"> the </w:t>
      </w:r>
      <w:r w:rsidR="00C2656B">
        <w:rPr>
          <w:spacing w:val="-1"/>
        </w:rPr>
        <w:t>starting</w:t>
      </w:r>
      <w:r w:rsidR="00C2656B">
        <w:t xml:space="preserve"> point for the </w:t>
      </w:r>
      <w:r w:rsidR="00C2656B">
        <w:rPr>
          <w:spacing w:val="-4"/>
        </w:rPr>
        <w:t>Panel’s</w:t>
      </w:r>
      <w:r w:rsidR="00C2656B">
        <w:t xml:space="preserve"> </w:t>
      </w:r>
      <w:r w:rsidR="00C2656B">
        <w:rPr>
          <w:spacing w:val="-1"/>
        </w:rPr>
        <w:t>review</w:t>
      </w:r>
      <w:r w:rsidR="00C2656B">
        <w:t xml:space="preserve"> of</w:t>
      </w:r>
      <w:r w:rsidR="00C2656B">
        <w:rPr>
          <w:spacing w:val="4"/>
        </w:rPr>
        <w:t xml:space="preserve"> </w:t>
      </w:r>
      <w:r w:rsidR="00C2656B">
        <w:rPr>
          <w:spacing w:val="-1"/>
        </w:rPr>
        <w:t>each.</w:t>
      </w:r>
      <w:r w:rsidR="00C2656B">
        <w:rPr>
          <w:spacing w:val="53"/>
        </w:rPr>
        <w:t xml:space="preserve"> </w:t>
      </w:r>
      <w:r w:rsidR="00C2656B">
        <w:rPr>
          <w:spacing w:val="-1"/>
        </w:rPr>
        <w:t>This figure</w:t>
      </w:r>
      <w:r w:rsidR="00C2656B">
        <w:t xml:space="preserve"> also </w:t>
      </w:r>
      <w:r w:rsidR="00C2656B">
        <w:rPr>
          <w:spacing w:val="-1"/>
        </w:rPr>
        <w:t xml:space="preserve">indicates </w:t>
      </w:r>
      <w:r w:rsidR="00C2656B">
        <w:t>the chapter in which</w:t>
      </w:r>
      <w:r w:rsidR="00C2656B">
        <w:rPr>
          <w:spacing w:val="-1"/>
        </w:rPr>
        <w:t xml:space="preserve"> </w:t>
      </w:r>
      <w:r w:rsidR="00C2656B">
        <w:t xml:space="preserve">the </w:t>
      </w:r>
      <w:r w:rsidR="00C2656B">
        <w:rPr>
          <w:spacing w:val="-4"/>
        </w:rPr>
        <w:t>Panel’s</w:t>
      </w:r>
      <w:r w:rsidR="00C2656B">
        <w:t xml:space="preserve"> decision</w:t>
      </w:r>
      <w:r w:rsidR="00C2656B">
        <w:rPr>
          <w:spacing w:val="-1"/>
        </w:rPr>
        <w:t xml:space="preserve"> </w:t>
      </w:r>
      <w:r w:rsidR="00C2656B">
        <w:t xml:space="preserve">on </w:t>
      </w:r>
      <w:r w:rsidR="00C2656B">
        <w:rPr>
          <w:spacing w:val="-1"/>
        </w:rPr>
        <w:t>each</w:t>
      </w:r>
      <w:r w:rsidR="00C2656B">
        <w:t xml:space="preserve"> component is</w:t>
      </w:r>
      <w:r w:rsidR="00C2656B">
        <w:rPr>
          <w:spacing w:val="-1"/>
        </w:rPr>
        <w:t xml:space="preserve"> </w:t>
      </w:r>
      <w:r w:rsidR="00C2656B">
        <w:t>discussed.</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24"/>
          <w:szCs w:val="24"/>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321" style="width:72.5pt;height:.5pt;mso-position-horizontal-relative:char;mso-position-vertical-relative:line" coordsize="1450,10">
            <v:group id="_x0000_s3322" style="position:absolute;left:5;top:5;width:1440;height:2" coordorigin="5,5" coordsize="1440,2">
              <v:shape id="_x0000_s3323" style="position:absolute;left:5;top:5;width:1440;height:2" coordorigin="5,5" coordsize="1440,0" path="m5,5r1440,e" filled="f" strokeweight=".5pt">
                <v:path arrowok="t"/>
              </v:shape>
            </v:group>
            <w10:wrap type="none"/>
            <w10:anchorlock/>
          </v:group>
        </w:pict>
      </w:r>
    </w:p>
    <w:p w:rsidR="00D96B91" w:rsidRDefault="00C2656B">
      <w:pPr>
        <w:numPr>
          <w:ilvl w:val="0"/>
          <w:numId w:val="109"/>
        </w:numPr>
        <w:tabs>
          <w:tab w:val="left" w:pos="1758"/>
        </w:tabs>
        <w:spacing w:before="38"/>
        <w:ind w:hanging="510"/>
        <w:rPr>
          <w:rFonts w:ascii="Avenir Next" w:eastAsia="Avenir Next" w:hAnsi="Avenir Next" w:cs="Avenir Next"/>
          <w:sz w:val="16"/>
          <w:szCs w:val="16"/>
        </w:rPr>
      </w:pPr>
      <w:bookmarkStart w:id="47" w:name="_bookmark24"/>
      <w:bookmarkEnd w:id="47"/>
      <w:r>
        <w:rPr>
          <w:rFonts w:ascii="Avenir Next"/>
          <w:sz w:val="16"/>
        </w:rPr>
        <w:t xml:space="preserve">Submission to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z w:val="16"/>
        </w:rPr>
        <w:t>6</w:t>
      </w:r>
      <w:r>
        <w:rPr>
          <w:rFonts w:ascii="Avenir Next"/>
          <w:spacing w:val="-3"/>
          <w:sz w:val="16"/>
        </w:rPr>
        <w:t xml:space="preserve"> </w:t>
      </w:r>
      <w:r>
        <w:rPr>
          <w:rFonts w:ascii="Avenir Next"/>
          <w:sz w:val="16"/>
        </w:rPr>
        <w:t>August 2014.</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D96B91">
      <w:pPr>
        <w:spacing w:before="29"/>
        <w:ind w:left="1247"/>
        <w:rPr>
          <w:rFonts w:ascii="Avenir Next" w:eastAsia="Avenir Next" w:hAnsi="Avenir Next" w:cs="Avenir Next"/>
          <w:sz w:val="20"/>
          <w:szCs w:val="20"/>
        </w:rPr>
      </w:pPr>
      <w:r w:rsidRPr="00D96B91">
        <w:pict>
          <v:shape id="_x0000_s3320" type="#_x0000_t202" style="position:absolute;left:0;text-align:left;margin-left:447.2pt;margin-top:181.2pt;width:29pt;height:247.65pt;z-index:251524608;mso-position-horizontal-relative:page;mso-position-vertical-relative:page" fillcolor="#dbdcde" strokeweight=".24131mm">
            <v:textbox style="layout-flow:vertical;mso-layout-flow-alt:bottom-to-top;mso-next-textbox:#_x0000_s3320" inset="0,0,0,0">
              <w:txbxContent>
                <w:p w:rsidR="008A79D5" w:rsidRDefault="008A79D5">
                  <w:pPr>
                    <w:spacing w:before="137"/>
                    <w:ind w:right="4"/>
                    <w:jc w:val="center"/>
                    <w:rPr>
                      <w:rFonts w:ascii="Times New Roman" w:eastAsia="Times New Roman" w:hAnsi="Times New Roman" w:cs="Times New Roman"/>
                      <w:sz w:val="18"/>
                      <w:szCs w:val="18"/>
                    </w:rPr>
                  </w:pPr>
                  <w:r>
                    <w:rPr>
                      <w:rFonts w:ascii="Times New Roman"/>
                      <w:w w:val="93"/>
                      <w:sz w:val="18"/>
                    </w:rPr>
                    <w:t>Chap</w:t>
                  </w:r>
                  <w:r>
                    <w:rPr>
                      <w:rFonts w:ascii="Times New Roman"/>
                      <w:w w:val="91"/>
                      <w:sz w:val="18"/>
                    </w:rPr>
                    <w:t>ter</w:t>
                  </w:r>
                  <w:r>
                    <w:rPr>
                      <w:rFonts w:ascii="Times New Roman"/>
                      <w:spacing w:val="-3"/>
                      <w:sz w:val="18"/>
                    </w:rPr>
                    <w:t xml:space="preserve"> </w:t>
                  </w:r>
                  <w:r>
                    <w:rPr>
                      <w:rFonts w:ascii="Times New Roman"/>
                      <w:w w:val="92"/>
                      <w:sz w:val="18"/>
                    </w:rPr>
                    <w:t>6</w:t>
                  </w:r>
                </w:p>
              </w:txbxContent>
            </v:textbox>
            <w10:wrap anchorx="page" anchory="page"/>
          </v:shape>
        </w:pict>
      </w:r>
      <w:r w:rsidRPr="00D96B91">
        <w:pict>
          <v:shape id="_x0000_s3319" type="#_x0000_t202" style="position:absolute;left:0;text-align:left;margin-left:118.95pt;margin-top:252.55pt;width:98.5pt;height:64.6pt;z-index:251525632;mso-position-horizontal-relative:page;mso-position-vertical-relative:page" fillcolor="#dbdcde" strokeweight=".24131mm">
            <v:textbox style="mso-next-textbox:#_x0000_s3319" inset="0,0,0,0">
              <w:txbxContent>
                <w:p w:rsidR="008A79D5" w:rsidRDefault="008A79D5">
                  <w:pPr>
                    <w:spacing w:before="65" w:line="266" w:lineRule="auto"/>
                    <w:ind w:left="313" w:right="311"/>
                    <w:jc w:val="center"/>
                    <w:rPr>
                      <w:rFonts w:ascii="Times New Roman" w:eastAsia="Times New Roman" w:hAnsi="Times New Roman" w:cs="Times New Roman"/>
                      <w:sz w:val="18"/>
                      <w:szCs w:val="18"/>
                    </w:rPr>
                  </w:pPr>
                  <w:r>
                    <w:rPr>
                      <w:rFonts w:ascii="Times New Roman"/>
                      <w:b/>
                      <w:spacing w:val="-1"/>
                      <w:w w:val="90"/>
                      <w:sz w:val="18"/>
                    </w:rPr>
                    <w:t>Fo</w:t>
                  </w:r>
                  <w:r>
                    <w:rPr>
                      <w:rFonts w:ascii="Times New Roman"/>
                      <w:b/>
                      <w:spacing w:val="-2"/>
                      <w:w w:val="90"/>
                      <w:sz w:val="18"/>
                    </w:rPr>
                    <w:t>r</w:t>
                  </w:r>
                  <w:r>
                    <w:rPr>
                      <w:rFonts w:ascii="Times New Roman"/>
                      <w:b/>
                      <w:spacing w:val="-1"/>
                      <w:w w:val="90"/>
                      <w:sz w:val="18"/>
                    </w:rPr>
                    <w:t>m</w:t>
                  </w:r>
                  <w:r>
                    <w:rPr>
                      <w:rFonts w:ascii="Times New Roman"/>
                      <w:b/>
                      <w:spacing w:val="-4"/>
                      <w:w w:val="90"/>
                      <w:sz w:val="18"/>
                    </w:rPr>
                    <w:t xml:space="preserve"> </w:t>
                  </w:r>
                  <w:r>
                    <w:rPr>
                      <w:rFonts w:ascii="Times New Roman"/>
                      <w:b/>
                      <w:w w:val="90"/>
                      <w:sz w:val="18"/>
                    </w:rPr>
                    <w:t>of</w:t>
                  </w:r>
                  <w:r>
                    <w:rPr>
                      <w:rFonts w:ascii="Times New Roman"/>
                      <w:b/>
                      <w:spacing w:val="-3"/>
                      <w:w w:val="90"/>
                      <w:sz w:val="18"/>
                    </w:rPr>
                    <w:t xml:space="preserve"> </w:t>
                  </w:r>
                  <w:r>
                    <w:rPr>
                      <w:rFonts w:ascii="Times New Roman"/>
                      <w:b/>
                      <w:spacing w:val="-2"/>
                      <w:w w:val="90"/>
                      <w:sz w:val="18"/>
                    </w:rPr>
                    <w:t>r</w:t>
                  </w:r>
                  <w:r>
                    <w:rPr>
                      <w:rFonts w:ascii="Times New Roman"/>
                      <w:b/>
                      <w:spacing w:val="-1"/>
                      <w:w w:val="90"/>
                      <w:sz w:val="18"/>
                    </w:rPr>
                    <w:t>egu</w:t>
                  </w:r>
                  <w:r>
                    <w:rPr>
                      <w:rFonts w:ascii="Times New Roman"/>
                      <w:b/>
                      <w:spacing w:val="-2"/>
                      <w:w w:val="90"/>
                      <w:sz w:val="18"/>
                    </w:rPr>
                    <w:t>lat</w:t>
                  </w:r>
                  <w:r>
                    <w:rPr>
                      <w:rFonts w:ascii="Times New Roman"/>
                      <w:b/>
                      <w:spacing w:val="-1"/>
                      <w:w w:val="90"/>
                      <w:sz w:val="18"/>
                    </w:rPr>
                    <w:t>o</w:t>
                  </w:r>
                  <w:r>
                    <w:rPr>
                      <w:rFonts w:ascii="Times New Roman"/>
                      <w:b/>
                      <w:spacing w:val="-2"/>
                      <w:w w:val="90"/>
                      <w:sz w:val="18"/>
                    </w:rPr>
                    <w:t>r</w:t>
                  </w:r>
                  <w:r>
                    <w:rPr>
                      <w:rFonts w:ascii="Times New Roman"/>
                      <w:b/>
                      <w:spacing w:val="-1"/>
                      <w:w w:val="90"/>
                      <w:sz w:val="18"/>
                    </w:rPr>
                    <w:t>y</w:t>
                  </w:r>
                  <w:r>
                    <w:rPr>
                      <w:rFonts w:ascii="Times New Roman"/>
                      <w:b/>
                      <w:spacing w:val="23"/>
                      <w:w w:val="92"/>
                      <w:sz w:val="18"/>
                    </w:rPr>
                    <w:t xml:space="preserve"> </w:t>
                  </w:r>
                  <w:r>
                    <w:rPr>
                      <w:rFonts w:ascii="Times New Roman"/>
                      <w:b/>
                      <w:spacing w:val="-1"/>
                      <w:sz w:val="18"/>
                    </w:rPr>
                    <w:t>co</w:t>
                  </w:r>
                  <w:r>
                    <w:rPr>
                      <w:rFonts w:ascii="Times New Roman"/>
                      <w:b/>
                      <w:spacing w:val="-2"/>
                      <w:sz w:val="18"/>
                    </w:rPr>
                    <w:t>ntr</w:t>
                  </w:r>
                  <w:r>
                    <w:rPr>
                      <w:rFonts w:ascii="Times New Roman"/>
                      <w:b/>
                      <w:spacing w:val="-1"/>
                      <w:sz w:val="18"/>
                    </w:rPr>
                    <w:t>o</w:t>
                  </w:r>
                  <w:r>
                    <w:rPr>
                      <w:rFonts w:ascii="Times New Roman"/>
                      <w:b/>
                      <w:spacing w:val="-2"/>
                      <w:sz w:val="18"/>
                    </w:rPr>
                    <w:t>l</w:t>
                  </w:r>
                </w:p>
                <w:p w:rsidR="008A79D5" w:rsidRDefault="008A79D5">
                  <w:pPr>
                    <w:spacing w:before="1" w:line="271" w:lineRule="auto"/>
                    <w:ind w:left="238" w:right="237"/>
                    <w:jc w:val="center"/>
                    <w:rPr>
                      <w:rFonts w:ascii="Times New Roman" w:eastAsia="Times New Roman" w:hAnsi="Times New Roman" w:cs="Times New Roman"/>
                      <w:sz w:val="18"/>
                      <w:szCs w:val="18"/>
                    </w:rPr>
                  </w:pPr>
                  <w:r>
                    <w:rPr>
                      <w:rFonts w:ascii="Times New Roman"/>
                      <w:spacing w:val="-2"/>
                      <w:w w:val="95"/>
                      <w:sz w:val="18"/>
                    </w:rPr>
                    <w:t>(ie,</w:t>
                  </w:r>
                  <w:r>
                    <w:rPr>
                      <w:rFonts w:ascii="Times New Roman"/>
                      <w:spacing w:val="-13"/>
                      <w:w w:val="95"/>
                      <w:sz w:val="18"/>
                    </w:rPr>
                    <w:t xml:space="preserve"> </w:t>
                  </w:r>
                  <w:r>
                    <w:rPr>
                      <w:rFonts w:ascii="Times New Roman"/>
                      <w:spacing w:val="-2"/>
                      <w:w w:val="95"/>
                      <w:sz w:val="18"/>
                    </w:rPr>
                    <w:t>price</w:t>
                  </w:r>
                  <w:r>
                    <w:rPr>
                      <w:rFonts w:ascii="Times New Roman"/>
                      <w:spacing w:val="-13"/>
                      <w:w w:val="95"/>
                      <w:sz w:val="18"/>
                    </w:rPr>
                    <w:t xml:space="preserve"> </w:t>
                  </w:r>
                  <w:r>
                    <w:rPr>
                      <w:rFonts w:ascii="Times New Roman"/>
                      <w:spacing w:val="-1"/>
                      <w:w w:val="95"/>
                      <w:sz w:val="18"/>
                    </w:rPr>
                    <w:t>cap</w:t>
                  </w:r>
                  <w:r>
                    <w:rPr>
                      <w:rFonts w:ascii="Times New Roman"/>
                      <w:spacing w:val="-2"/>
                      <w:w w:val="95"/>
                      <w:sz w:val="18"/>
                    </w:rPr>
                    <w:t>,</w:t>
                  </w:r>
                  <w:r>
                    <w:rPr>
                      <w:rFonts w:ascii="Times New Roman"/>
                      <w:spacing w:val="-12"/>
                      <w:w w:val="95"/>
                      <w:sz w:val="18"/>
                    </w:rPr>
                    <w:t xml:space="preserve"> </w:t>
                  </w:r>
                  <w:r>
                    <w:rPr>
                      <w:rFonts w:ascii="Times New Roman"/>
                      <w:w w:val="95"/>
                      <w:sz w:val="18"/>
                    </w:rPr>
                    <w:t>revenue</w:t>
                  </w:r>
                  <w:r>
                    <w:rPr>
                      <w:rFonts w:ascii="Times New Roman"/>
                      <w:spacing w:val="28"/>
                      <w:w w:val="103"/>
                      <w:sz w:val="18"/>
                    </w:rPr>
                    <w:t xml:space="preserve"> </w:t>
                  </w:r>
                  <w:r>
                    <w:rPr>
                      <w:rFonts w:ascii="Times New Roman"/>
                      <w:spacing w:val="-1"/>
                      <w:w w:val="95"/>
                      <w:sz w:val="18"/>
                    </w:rPr>
                    <w:t>cap</w:t>
                  </w:r>
                  <w:r>
                    <w:rPr>
                      <w:rFonts w:ascii="Times New Roman"/>
                      <w:spacing w:val="-29"/>
                      <w:w w:val="95"/>
                      <w:sz w:val="18"/>
                    </w:rPr>
                    <w:t xml:space="preserve"> </w:t>
                  </w:r>
                  <w:r>
                    <w:rPr>
                      <w:rFonts w:ascii="Times New Roman"/>
                      <w:w w:val="95"/>
                      <w:sz w:val="18"/>
                    </w:rPr>
                    <w:t>or</w:t>
                  </w:r>
                  <w:r>
                    <w:rPr>
                      <w:rFonts w:ascii="Times New Roman"/>
                      <w:spacing w:val="-28"/>
                      <w:w w:val="95"/>
                      <w:sz w:val="18"/>
                    </w:rPr>
                    <w:t xml:space="preserve"> </w:t>
                  </w:r>
                  <w:r>
                    <w:rPr>
                      <w:rFonts w:ascii="Times New Roman"/>
                      <w:spacing w:val="-2"/>
                      <w:w w:val="95"/>
                      <w:sz w:val="18"/>
                    </w:rPr>
                    <w:t>hybrid)</w:t>
                  </w:r>
                </w:p>
              </w:txbxContent>
            </v:textbox>
            <w10:wrap anchorx="page" anchory="page"/>
          </v:shape>
        </w:pict>
      </w:r>
      <w:r w:rsidRPr="00D96B91">
        <w:pict>
          <v:shape id="_x0000_s3318" type="#_x0000_t202" style="position:absolute;left:0;text-align:left;margin-left:239.3pt;margin-top:252.1pt;width:175.1pt;height:64.6pt;z-index:251526656;mso-position-horizontal-relative:page;mso-position-vertical-relative:page" filled="f" strokeweight=".24131mm">
            <v:textbox style="mso-next-textbox:#_x0000_s3318" inset="0,0,0,0">
              <w:txbxContent>
                <w:p w:rsidR="008A79D5" w:rsidRDefault="008A79D5">
                  <w:pPr>
                    <w:spacing w:before="71"/>
                    <w:ind w:left="131"/>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spacing w:val="-2"/>
                      <w:w w:val="90"/>
                      <w:sz w:val="16"/>
                      <w:szCs w:val="16"/>
                    </w:rPr>
                    <w:t>IC</w:t>
                  </w:r>
                  <w:r>
                    <w:rPr>
                      <w:rFonts w:ascii="Times New Roman" w:eastAsia="Times New Roman" w:hAnsi="Times New Roman" w:cs="Times New Roman"/>
                      <w:spacing w:val="-1"/>
                      <w:w w:val="90"/>
                      <w:sz w:val="16"/>
                      <w:szCs w:val="16"/>
                    </w:rPr>
                    <w:t>RC</w:t>
                  </w:r>
                  <w:r>
                    <w:rPr>
                      <w:rFonts w:ascii="Times New Roman" w:eastAsia="Times New Roman" w:hAnsi="Times New Roman" w:cs="Times New Roman"/>
                      <w:spacing w:val="-2"/>
                      <w:w w:val="90"/>
                      <w:sz w:val="16"/>
                      <w:szCs w:val="16"/>
                    </w:rPr>
                    <w:t>’</w:t>
                  </w:r>
                  <w:r>
                    <w:rPr>
                      <w:rFonts w:ascii="Times New Roman" w:eastAsia="Times New Roman" w:hAnsi="Times New Roman" w:cs="Times New Roman"/>
                      <w:spacing w:val="-1"/>
                      <w:w w:val="90"/>
                      <w:sz w:val="16"/>
                      <w:szCs w:val="16"/>
                    </w:rPr>
                    <w:t>s</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2"/>
                      <w:w w:val="90"/>
                      <w:sz w:val="16"/>
                      <w:szCs w:val="16"/>
                    </w:rPr>
                    <w:t>final</w:t>
                  </w:r>
                  <w:r>
                    <w:rPr>
                      <w:rFonts w:ascii="Times New Roman" w:eastAsia="Times New Roman" w:hAnsi="Times New Roman" w:cs="Times New Roman"/>
                      <w:spacing w:val="2"/>
                      <w:w w:val="90"/>
                      <w:sz w:val="16"/>
                      <w:szCs w:val="16"/>
                    </w:rPr>
                    <w:t xml:space="preserve"> </w:t>
                  </w:r>
                  <w:r>
                    <w:rPr>
                      <w:rFonts w:ascii="Times New Roman" w:eastAsia="Times New Roman" w:hAnsi="Times New Roman" w:cs="Times New Roman"/>
                      <w:spacing w:val="-1"/>
                      <w:w w:val="90"/>
                      <w:sz w:val="16"/>
                      <w:szCs w:val="16"/>
                    </w:rPr>
                    <w:t>decis</w:t>
                  </w:r>
                  <w:r>
                    <w:rPr>
                      <w:rFonts w:ascii="Times New Roman" w:eastAsia="Times New Roman" w:hAnsi="Times New Roman" w:cs="Times New Roman"/>
                      <w:spacing w:val="-2"/>
                      <w:w w:val="90"/>
                      <w:sz w:val="16"/>
                      <w:szCs w:val="16"/>
                    </w:rPr>
                    <w:t>i</w:t>
                  </w:r>
                  <w:r>
                    <w:rPr>
                      <w:rFonts w:ascii="Times New Roman" w:eastAsia="Times New Roman" w:hAnsi="Times New Roman" w:cs="Times New Roman"/>
                      <w:spacing w:val="-1"/>
                      <w:w w:val="90"/>
                      <w:sz w:val="16"/>
                      <w:szCs w:val="16"/>
                    </w:rPr>
                    <w:t>on</w:t>
                  </w:r>
                </w:p>
                <w:p w:rsidR="008A79D5" w:rsidRDefault="008A79D5">
                  <w:pPr>
                    <w:spacing w:before="111"/>
                    <w:ind w:left="131"/>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9"/>
                      <w:w w:val="95"/>
                      <w:sz w:val="16"/>
                    </w:rPr>
                    <w:t xml:space="preserve"> </w:t>
                  </w:r>
                  <w:r>
                    <w:rPr>
                      <w:rFonts w:ascii="Times New Roman"/>
                      <w:b/>
                      <w:spacing w:val="-1"/>
                      <w:w w:val="95"/>
                      <w:sz w:val="16"/>
                    </w:rPr>
                    <w:t>co</w:t>
                  </w:r>
                  <w:r>
                    <w:rPr>
                      <w:rFonts w:ascii="Times New Roman"/>
                      <w:b/>
                      <w:spacing w:val="-2"/>
                      <w:w w:val="95"/>
                      <w:sz w:val="16"/>
                    </w:rPr>
                    <w:t>n</w:t>
                  </w:r>
                  <w:r>
                    <w:rPr>
                      <w:rFonts w:ascii="Times New Roman"/>
                      <w:b/>
                      <w:spacing w:val="-1"/>
                      <w:w w:val="95"/>
                      <w:sz w:val="16"/>
                    </w:rPr>
                    <w:t>s</w:t>
                  </w:r>
                  <w:r>
                    <w:rPr>
                      <w:rFonts w:ascii="Times New Roman"/>
                      <w:b/>
                      <w:spacing w:val="-2"/>
                      <w:w w:val="95"/>
                      <w:sz w:val="16"/>
                    </w:rPr>
                    <w:t>id</w:t>
                  </w:r>
                  <w:r>
                    <w:rPr>
                      <w:rFonts w:ascii="Times New Roman"/>
                      <w:b/>
                      <w:spacing w:val="-1"/>
                      <w:w w:val="95"/>
                      <w:sz w:val="16"/>
                    </w:rPr>
                    <w:t>e</w:t>
                  </w:r>
                  <w:r>
                    <w:rPr>
                      <w:rFonts w:ascii="Times New Roman"/>
                      <w:b/>
                      <w:spacing w:val="-2"/>
                      <w:w w:val="95"/>
                      <w:sz w:val="16"/>
                    </w:rPr>
                    <w:t>r</w:t>
                  </w:r>
                  <w:r>
                    <w:rPr>
                      <w:rFonts w:ascii="Times New Roman"/>
                      <w:b/>
                      <w:spacing w:val="-1"/>
                      <w:w w:val="95"/>
                      <w:sz w:val="16"/>
                    </w:rPr>
                    <w:t>ed</w:t>
                  </w:r>
                  <w:r>
                    <w:rPr>
                      <w:rFonts w:ascii="Times New Roman"/>
                      <w:spacing w:val="-2"/>
                      <w:w w:val="95"/>
                      <w:sz w:val="16"/>
                    </w:rPr>
                    <w:t>:</w:t>
                  </w:r>
                </w:p>
                <w:p w:rsidR="008A79D5" w:rsidRDefault="008A79D5">
                  <w:pPr>
                    <w:spacing w:before="21" w:line="271" w:lineRule="auto"/>
                    <w:ind w:left="131" w:right="714"/>
                    <w:rPr>
                      <w:rFonts w:ascii="Times New Roman" w:eastAsia="Times New Roman" w:hAnsi="Times New Roman" w:cs="Times New Roman"/>
                      <w:sz w:val="16"/>
                      <w:szCs w:val="16"/>
                    </w:rPr>
                  </w:pPr>
                  <w:r>
                    <w:rPr>
                      <w:rFonts w:ascii="Times New Roman"/>
                      <w:spacing w:val="-1"/>
                      <w:w w:val="95"/>
                      <w:sz w:val="16"/>
                    </w:rPr>
                    <w:t>Su</w:t>
                  </w:r>
                  <w:r>
                    <w:rPr>
                      <w:rFonts w:ascii="Times New Roman"/>
                      <w:spacing w:val="-2"/>
                      <w:w w:val="95"/>
                      <w:sz w:val="16"/>
                    </w:rPr>
                    <w:t>bmi</w:t>
                  </w:r>
                  <w:r>
                    <w:rPr>
                      <w:rFonts w:ascii="Times New Roman"/>
                      <w:spacing w:val="-1"/>
                      <w:w w:val="95"/>
                      <w:sz w:val="16"/>
                    </w:rPr>
                    <w:t>ss</w:t>
                  </w:r>
                  <w:r>
                    <w:rPr>
                      <w:rFonts w:ascii="Times New Roman"/>
                      <w:spacing w:val="-2"/>
                      <w:w w:val="95"/>
                      <w:sz w:val="16"/>
                    </w:rPr>
                    <w:t>i</w:t>
                  </w:r>
                  <w:r>
                    <w:rPr>
                      <w:rFonts w:ascii="Times New Roman"/>
                      <w:spacing w:val="-1"/>
                      <w:w w:val="95"/>
                      <w:sz w:val="16"/>
                    </w:rPr>
                    <w:t>ons</w:t>
                  </w:r>
                  <w:r>
                    <w:rPr>
                      <w:rFonts w:ascii="Times New Roman"/>
                      <w:spacing w:val="-18"/>
                      <w:w w:val="95"/>
                      <w:sz w:val="16"/>
                    </w:rPr>
                    <w:t xml:space="preserve"> </w:t>
                  </w:r>
                  <w:r>
                    <w:rPr>
                      <w:rFonts w:ascii="Times New Roman"/>
                      <w:spacing w:val="-2"/>
                      <w:w w:val="95"/>
                      <w:sz w:val="16"/>
                    </w:rPr>
                    <w:t>from</w:t>
                  </w:r>
                  <w:r>
                    <w:rPr>
                      <w:rFonts w:ascii="Times New Roman"/>
                      <w:spacing w:val="-18"/>
                      <w:w w:val="95"/>
                      <w:sz w:val="16"/>
                    </w:rPr>
                    <w:t xml:space="preserve"> </w:t>
                  </w:r>
                  <w:r>
                    <w:rPr>
                      <w:rFonts w:ascii="Times New Roman"/>
                      <w:spacing w:val="-2"/>
                      <w:w w:val="95"/>
                      <w:sz w:val="16"/>
                    </w:rPr>
                    <w:t>ACTEW</w:t>
                  </w:r>
                  <w:r>
                    <w:rPr>
                      <w:rFonts w:ascii="Times New Roman"/>
                      <w:spacing w:val="-17"/>
                      <w:w w:val="95"/>
                      <w:sz w:val="16"/>
                    </w:rPr>
                    <w:t xml:space="preserve"> </w:t>
                  </w:r>
                  <w:r>
                    <w:rPr>
                      <w:rFonts w:ascii="Times New Roman"/>
                      <w:w w:val="95"/>
                      <w:sz w:val="16"/>
                    </w:rPr>
                    <w:t>and</w:t>
                  </w:r>
                  <w:r>
                    <w:rPr>
                      <w:rFonts w:ascii="Times New Roman"/>
                      <w:spacing w:val="-18"/>
                      <w:w w:val="95"/>
                      <w:sz w:val="16"/>
                    </w:rPr>
                    <w:t xml:space="preserve"> </w:t>
                  </w:r>
                  <w:r>
                    <w:rPr>
                      <w:rFonts w:ascii="Times New Roman"/>
                      <w:w w:val="95"/>
                      <w:sz w:val="16"/>
                    </w:rPr>
                    <w:t>other</w:t>
                  </w:r>
                  <w:r>
                    <w:rPr>
                      <w:rFonts w:ascii="Times New Roman"/>
                      <w:spacing w:val="-17"/>
                      <w:w w:val="95"/>
                      <w:sz w:val="16"/>
                    </w:rPr>
                    <w:t xml:space="preserve"> </w:t>
                  </w:r>
                  <w:r>
                    <w:rPr>
                      <w:rFonts w:ascii="Times New Roman"/>
                      <w:spacing w:val="-1"/>
                      <w:w w:val="95"/>
                      <w:sz w:val="16"/>
                    </w:rPr>
                    <w:t>pa</w:t>
                  </w:r>
                  <w:r>
                    <w:rPr>
                      <w:rFonts w:ascii="Times New Roman"/>
                      <w:spacing w:val="-2"/>
                      <w:w w:val="95"/>
                      <w:sz w:val="16"/>
                    </w:rPr>
                    <w:t>rti</w:t>
                  </w:r>
                  <w:r>
                    <w:rPr>
                      <w:rFonts w:ascii="Times New Roman"/>
                      <w:spacing w:val="-1"/>
                      <w:w w:val="95"/>
                      <w:sz w:val="16"/>
                    </w:rPr>
                    <w:t>es</w:t>
                  </w:r>
                  <w:r>
                    <w:rPr>
                      <w:rFonts w:ascii="Times New Roman"/>
                      <w:spacing w:val="39"/>
                      <w:w w:val="106"/>
                      <w:sz w:val="16"/>
                    </w:rPr>
                    <w:t xml:space="preserve"> </w:t>
                  </w:r>
                  <w:r>
                    <w:rPr>
                      <w:rFonts w:ascii="Times New Roman"/>
                      <w:spacing w:val="-1"/>
                      <w:w w:val="90"/>
                      <w:sz w:val="16"/>
                    </w:rPr>
                    <w:t>Regulato</w:t>
                  </w:r>
                  <w:r>
                    <w:rPr>
                      <w:rFonts w:ascii="Times New Roman"/>
                      <w:spacing w:val="-2"/>
                      <w:w w:val="90"/>
                      <w:sz w:val="16"/>
                    </w:rPr>
                    <w:t>ry</w:t>
                  </w:r>
                  <w:r>
                    <w:rPr>
                      <w:rFonts w:ascii="Times New Roman"/>
                      <w:spacing w:val="26"/>
                      <w:w w:val="90"/>
                      <w:sz w:val="16"/>
                    </w:rPr>
                    <w:t xml:space="preserve"> </w:t>
                  </w:r>
                  <w:r>
                    <w:rPr>
                      <w:rFonts w:ascii="Times New Roman"/>
                      <w:spacing w:val="-1"/>
                      <w:w w:val="90"/>
                      <w:sz w:val="16"/>
                    </w:rPr>
                    <w:t>p</w:t>
                  </w:r>
                  <w:r>
                    <w:rPr>
                      <w:rFonts w:ascii="Times New Roman"/>
                      <w:spacing w:val="-2"/>
                      <w:w w:val="90"/>
                      <w:sz w:val="16"/>
                    </w:rPr>
                    <w:t>r</w:t>
                  </w:r>
                  <w:r>
                    <w:rPr>
                      <w:rFonts w:ascii="Times New Roman"/>
                      <w:spacing w:val="-1"/>
                      <w:w w:val="90"/>
                      <w:sz w:val="16"/>
                    </w:rPr>
                    <w:t>actice</w:t>
                  </w:r>
                </w:p>
                <w:p w:rsidR="008A79D5" w:rsidRDefault="008A79D5">
                  <w:pPr>
                    <w:spacing w:before="9"/>
                    <w:ind w:left="131"/>
                    <w:rPr>
                      <w:rFonts w:ascii="Times New Roman" w:eastAsia="Times New Roman" w:hAnsi="Times New Roman" w:cs="Times New Roman"/>
                      <w:sz w:val="16"/>
                      <w:szCs w:val="16"/>
                    </w:rPr>
                  </w:pPr>
                  <w:r>
                    <w:rPr>
                      <w:rFonts w:ascii="Times New Roman"/>
                      <w:spacing w:val="-2"/>
                      <w:w w:val="95"/>
                      <w:sz w:val="16"/>
                    </w:rPr>
                    <w:t>Advi</w:t>
                  </w:r>
                  <w:r>
                    <w:rPr>
                      <w:rFonts w:ascii="Times New Roman"/>
                      <w:spacing w:val="-1"/>
                      <w:w w:val="95"/>
                      <w:sz w:val="16"/>
                    </w:rPr>
                    <w:t>ce</w:t>
                  </w:r>
                  <w:r>
                    <w:rPr>
                      <w:rFonts w:ascii="Times New Roman"/>
                      <w:spacing w:val="-18"/>
                      <w:w w:val="95"/>
                      <w:sz w:val="16"/>
                    </w:rPr>
                    <w:t xml:space="preserve"> </w:t>
                  </w:r>
                  <w:r>
                    <w:rPr>
                      <w:rFonts w:ascii="Times New Roman"/>
                      <w:spacing w:val="-2"/>
                      <w:w w:val="95"/>
                      <w:sz w:val="16"/>
                    </w:rPr>
                    <w:t>from</w:t>
                  </w:r>
                  <w:r>
                    <w:rPr>
                      <w:rFonts w:ascii="Times New Roman"/>
                      <w:spacing w:val="-17"/>
                      <w:w w:val="95"/>
                      <w:sz w:val="16"/>
                    </w:rPr>
                    <w:t xml:space="preserve"> </w:t>
                  </w:r>
                  <w:r>
                    <w:rPr>
                      <w:rFonts w:ascii="Times New Roman"/>
                      <w:spacing w:val="-2"/>
                      <w:w w:val="95"/>
                      <w:sz w:val="16"/>
                    </w:rPr>
                    <w:t>C</w:t>
                  </w:r>
                  <w:r>
                    <w:rPr>
                      <w:rFonts w:ascii="Times New Roman"/>
                      <w:spacing w:val="-1"/>
                      <w:w w:val="95"/>
                      <w:sz w:val="16"/>
                    </w:rPr>
                    <w:t>a</w:t>
                  </w:r>
                  <w:r>
                    <w:rPr>
                      <w:rFonts w:ascii="Times New Roman"/>
                      <w:spacing w:val="-2"/>
                      <w:w w:val="95"/>
                      <w:sz w:val="16"/>
                    </w:rPr>
                    <w:t>r</w:t>
                  </w:r>
                  <w:r>
                    <w:rPr>
                      <w:rFonts w:ascii="Times New Roman"/>
                      <w:spacing w:val="-1"/>
                      <w:w w:val="95"/>
                      <w:sz w:val="16"/>
                    </w:rPr>
                    <w:t>dno</w:t>
                  </w:r>
                  <w:r>
                    <w:rPr>
                      <w:rFonts w:ascii="Times New Roman"/>
                      <w:spacing w:val="-17"/>
                      <w:w w:val="95"/>
                      <w:sz w:val="16"/>
                    </w:rPr>
                    <w:t xml:space="preserve"> </w:t>
                  </w:r>
                  <w:r>
                    <w:rPr>
                      <w:rFonts w:ascii="Times New Roman"/>
                      <w:w w:val="95"/>
                      <w:sz w:val="16"/>
                    </w:rPr>
                    <w:t>on</w:t>
                  </w:r>
                  <w:r>
                    <w:rPr>
                      <w:rFonts w:ascii="Times New Roman"/>
                      <w:spacing w:val="-18"/>
                      <w:w w:val="95"/>
                      <w:sz w:val="16"/>
                    </w:rPr>
                    <w:t xml:space="preserve"> </w:t>
                  </w:r>
                  <w:r>
                    <w:rPr>
                      <w:rFonts w:ascii="Times New Roman"/>
                      <w:spacing w:val="-1"/>
                      <w:w w:val="95"/>
                      <w:sz w:val="16"/>
                    </w:rPr>
                    <w:t>demand</w:t>
                  </w:r>
                  <w:r>
                    <w:rPr>
                      <w:rFonts w:ascii="Times New Roman"/>
                      <w:spacing w:val="-15"/>
                      <w:w w:val="95"/>
                      <w:sz w:val="16"/>
                    </w:rPr>
                    <w:t xml:space="preserve"> </w:t>
                  </w:r>
                  <w:r>
                    <w:rPr>
                      <w:rFonts w:ascii="Times New Roman"/>
                      <w:spacing w:val="-2"/>
                      <w:w w:val="95"/>
                      <w:sz w:val="16"/>
                    </w:rPr>
                    <w:t>ri</w:t>
                  </w:r>
                  <w:r>
                    <w:rPr>
                      <w:rFonts w:ascii="Times New Roman"/>
                      <w:spacing w:val="-1"/>
                      <w:w w:val="95"/>
                      <w:sz w:val="16"/>
                    </w:rPr>
                    <w:t>s</w:t>
                  </w:r>
                  <w:r>
                    <w:rPr>
                      <w:rFonts w:ascii="Times New Roman"/>
                      <w:spacing w:val="-2"/>
                      <w:w w:val="95"/>
                      <w:sz w:val="16"/>
                    </w:rPr>
                    <w:t>k</w:t>
                  </w:r>
                </w:p>
              </w:txbxContent>
            </v:textbox>
            <w10:wrap anchorx="page" anchory="page"/>
          </v:shape>
        </w:pict>
      </w:r>
      <w:r w:rsidRPr="00D96B91">
        <w:pict>
          <v:shape id="_x0000_s3317" type="#_x0000_t202" style="position:absolute;left:0;text-align:left;margin-left:118.95pt;margin-top:333.2pt;width:98.5pt;height:89.3pt;z-index:251527680;mso-position-horizontal-relative:page;mso-position-vertical-relative:page" fillcolor="#dbdcde" strokeweight=".24131mm">
            <v:textbox style="mso-next-textbox:#_x0000_s3317" inset="0,0,0,0">
              <w:txbxContent>
                <w:p w:rsidR="008A79D5" w:rsidRDefault="008A79D5">
                  <w:pPr>
                    <w:spacing w:before="65" w:line="266" w:lineRule="auto"/>
                    <w:ind w:left="317" w:right="316"/>
                    <w:jc w:val="center"/>
                    <w:rPr>
                      <w:rFonts w:ascii="Times New Roman" w:eastAsia="Times New Roman" w:hAnsi="Times New Roman" w:cs="Times New Roman"/>
                      <w:sz w:val="18"/>
                      <w:szCs w:val="18"/>
                    </w:rPr>
                  </w:pPr>
                  <w:r>
                    <w:rPr>
                      <w:rFonts w:ascii="Times New Roman"/>
                      <w:b/>
                      <w:spacing w:val="-2"/>
                      <w:w w:val="95"/>
                      <w:sz w:val="18"/>
                    </w:rPr>
                    <w:t>Other</w:t>
                  </w:r>
                  <w:r>
                    <w:rPr>
                      <w:rFonts w:ascii="Times New Roman"/>
                      <w:b/>
                      <w:spacing w:val="-18"/>
                      <w:w w:val="95"/>
                      <w:sz w:val="18"/>
                    </w:rPr>
                    <w:t xml:space="preserve"> </w:t>
                  </w:r>
                  <w:r>
                    <w:rPr>
                      <w:rFonts w:ascii="Times New Roman"/>
                      <w:b/>
                      <w:w w:val="95"/>
                      <w:sz w:val="18"/>
                    </w:rPr>
                    <w:t>measures</w:t>
                  </w:r>
                  <w:r>
                    <w:rPr>
                      <w:rFonts w:ascii="Times New Roman"/>
                      <w:b/>
                      <w:spacing w:val="-18"/>
                      <w:w w:val="95"/>
                      <w:sz w:val="18"/>
                    </w:rPr>
                    <w:t xml:space="preserve"> </w:t>
                  </w:r>
                  <w:r>
                    <w:rPr>
                      <w:rFonts w:ascii="Times New Roman"/>
                      <w:b/>
                      <w:w w:val="95"/>
                      <w:sz w:val="18"/>
                    </w:rPr>
                    <w:t>to</w:t>
                  </w:r>
                  <w:r>
                    <w:rPr>
                      <w:rFonts w:ascii="Times New Roman"/>
                      <w:b/>
                      <w:spacing w:val="24"/>
                      <w:w w:val="101"/>
                      <w:sz w:val="18"/>
                    </w:rPr>
                    <w:t xml:space="preserve"> </w:t>
                  </w:r>
                  <w:r>
                    <w:rPr>
                      <w:rFonts w:ascii="Times New Roman"/>
                      <w:b/>
                      <w:spacing w:val="-2"/>
                      <w:w w:val="95"/>
                      <w:sz w:val="18"/>
                    </w:rPr>
                    <w:t>addr</w:t>
                  </w:r>
                  <w:r>
                    <w:rPr>
                      <w:rFonts w:ascii="Times New Roman"/>
                      <w:b/>
                      <w:spacing w:val="-1"/>
                      <w:w w:val="95"/>
                      <w:sz w:val="18"/>
                    </w:rPr>
                    <w:t>ess</w:t>
                  </w:r>
                  <w:r>
                    <w:rPr>
                      <w:rFonts w:ascii="Times New Roman"/>
                      <w:b/>
                      <w:spacing w:val="-12"/>
                      <w:w w:val="95"/>
                      <w:sz w:val="18"/>
                    </w:rPr>
                    <w:t xml:space="preserve"> </w:t>
                  </w:r>
                  <w:r>
                    <w:rPr>
                      <w:rFonts w:ascii="Times New Roman"/>
                      <w:b/>
                      <w:spacing w:val="-2"/>
                      <w:w w:val="95"/>
                      <w:sz w:val="18"/>
                    </w:rPr>
                    <w:t>r</w:t>
                  </w:r>
                  <w:r>
                    <w:rPr>
                      <w:rFonts w:ascii="Times New Roman"/>
                      <w:b/>
                      <w:spacing w:val="-1"/>
                      <w:w w:val="95"/>
                      <w:sz w:val="18"/>
                    </w:rPr>
                    <w:t>isk</w:t>
                  </w:r>
                  <w:r>
                    <w:rPr>
                      <w:rFonts w:ascii="Times New Roman"/>
                      <w:b/>
                      <w:spacing w:val="-12"/>
                      <w:w w:val="95"/>
                      <w:sz w:val="18"/>
                    </w:rPr>
                    <w:t xml:space="preserve"> </w:t>
                  </w:r>
                  <w:r>
                    <w:rPr>
                      <w:rFonts w:ascii="Times New Roman"/>
                      <w:b/>
                      <w:w w:val="95"/>
                      <w:sz w:val="18"/>
                    </w:rPr>
                    <w:t>and</w:t>
                  </w:r>
                  <w:r>
                    <w:rPr>
                      <w:rFonts w:ascii="Times New Roman"/>
                      <w:b/>
                      <w:spacing w:val="20"/>
                      <w:w w:val="90"/>
                      <w:sz w:val="18"/>
                    </w:rPr>
                    <w:t xml:space="preserve"> </w:t>
                  </w:r>
                  <w:r>
                    <w:rPr>
                      <w:rFonts w:ascii="Times New Roman"/>
                      <w:b/>
                      <w:spacing w:val="-2"/>
                      <w:sz w:val="18"/>
                    </w:rPr>
                    <w:t>un</w:t>
                  </w:r>
                  <w:r>
                    <w:rPr>
                      <w:rFonts w:ascii="Times New Roman"/>
                      <w:b/>
                      <w:spacing w:val="-1"/>
                      <w:sz w:val="18"/>
                    </w:rPr>
                    <w:t>ce</w:t>
                  </w:r>
                  <w:r>
                    <w:rPr>
                      <w:rFonts w:ascii="Times New Roman"/>
                      <w:b/>
                      <w:spacing w:val="-2"/>
                      <w:sz w:val="18"/>
                    </w:rPr>
                    <w:t>rtainty</w:t>
                  </w:r>
                </w:p>
                <w:p w:rsidR="008A79D5" w:rsidRDefault="008A79D5">
                  <w:pPr>
                    <w:spacing w:before="4"/>
                    <w:rPr>
                      <w:rFonts w:ascii="Avenir Next" w:eastAsia="Avenir Next" w:hAnsi="Avenir Next" w:cs="Avenir Next"/>
                      <w:b/>
                      <w:bCs/>
                      <w:sz w:val="16"/>
                      <w:szCs w:val="16"/>
                    </w:rPr>
                  </w:pPr>
                </w:p>
                <w:p w:rsidR="008A79D5" w:rsidRDefault="008A79D5">
                  <w:pPr>
                    <w:spacing w:line="266" w:lineRule="auto"/>
                    <w:ind w:left="308" w:right="307"/>
                    <w:jc w:val="center"/>
                    <w:rPr>
                      <w:rFonts w:ascii="Times New Roman" w:eastAsia="Times New Roman" w:hAnsi="Times New Roman" w:cs="Times New Roman"/>
                      <w:sz w:val="18"/>
                      <w:szCs w:val="18"/>
                    </w:rPr>
                  </w:pPr>
                  <w:r>
                    <w:rPr>
                      <w:rFonts w:ascii="Times New Roman"/>
                      <w:w w:val="90"/>
                      <w:sz w:val="18"/>
                    </w:rPr>
                    <w:t>(eg,</w:t>
                  </w:r>
                  <w:r>
                    <w:rPr>
                      <w:rFonts w:ascii="Times New Roman"/>
                      <w:spacing w:val="-2"/>
                      <w:w w:val="90"/>
                      <w:sz w:val="18"/>
                    </w:rPr>
                    <w:t xml:space="preserve"> </w:t>
                  </w:r>
                  <w:r>
                    <w:rPr>
                      <w:rFonts w:ascii="Times New Roman"/>
                      <w:spacing w:val="-1"/>
                      <w:w w:val="90"/>
                      <w:sz w:val="18"/>
                    </w:rPr>
                    <w:t>price</w:t>
                  </w:r>
                  <w:r>
                    <w:rPr>
                      <w:rFonts w:ascii="Times New Roman"/>
                      <w:spacing w:val="-2"/>
                      <w:w w:val="90"/>
                      <w:sz w:val="18"/>
                    </w:rPr>
                    <w:t xml:space="preserve"> </w:t>
                  </w:r>
                  <w:r>
                    <w:rPr>
                      <w:rFonts w:ascii="Times New Roman"/>
                      <w:spacing w:val="-1"/>
                      <w:w w:val="90"/>
                      <w:sz w:val="18"/>
                    </w:rPr>
                    <w:t>var</w:t>
                  </w:r>
                  <w:r>
                    <w:rPr>
                      <w:rFonts w:ascii="Times New Roman"/>
                      <w:spacing w:val="-2"/>
                      <w:w w:val="90"/>
                      <w:sz w:val="18"/>
                    </w:rPr>
                    <w:t>iation</w:t>
                  </w:r>
                  <w:r>
                    <w:rPr>
                      <w:rFonts w:ascii="Times New Roman"/>
                      <w:spacing w:val="25"/>
                      <w:w w:val="86"/>
                      <w:sz w:val="18"/>
                    </w:rPr>
                    <w:t xml:space="preserve"> </w:t>
                  </w:r>
                  <w:r>
                    <w:rPr>
                      <w:rFonts w:ascii="Times New Roman"/>
                      <w:spacing w:val="-2"/>
                      <w:w w:val="95"/>
                      <w:sz w:val="18"/>
                    </w:rPr>
                    <w:t>trigger</w:t>
                  </w:r>
                  <w:r>
                    <w:rPr>
                      <w:rFonts w:ascii="Times New Roman"/>
                      <w:spacing w:val="-1"/>
                      <w:w w:val="95"/>
                      <w:sz w:val="18"/>
                    </w:rPr>
                    <w:t>s,</w:t>
                  </w:r>
                  <w:r>
                    <w:rPr>
                      <w:rFonts w:ascii="Times New Roman"/>
                      <w:spacing w:val="-27"/>
                      <w:w w:val="95"/>
                      <w:sz w:val="18"/>
                    </w:rPr>
                    <w:t xml:space="preserve"> </w:t>
                  </w:r>
                  <w:r>
                    <w:rPr>
                      <w:rFonts w:ascii="Times New Roman"/>
                      <w:w w:val="95"/>
                      <w:sz w:val="18"/>
                    </w:rPr>
                    <w:t>future</w:t>
                  </w:r>
                  <w:r>
                    <w:rPr>
                      <w:rFonts w:ascii="Times New Roman"/>
                      <w:spacing w:val="-27"/>
                      <w:w w:val="95"/>
                      <w:sz w:val="18"/>
                    </w:rPr>
                    <w:t xml:space="preserve"> </w:t>
                  </w:r>
                  <w:r>
                    <w:rPr>
                      <w:rFonts w:ascii="Times New Roman"/>
                      <w:w w:val="95"/>
                      <w:sz w:val="18"/>
                    </w:rPr>
                    <w:t>reset</w:t>
                  </w:r>
                  <w:r>
                    <w:rPr>
                      <w:rFonts w:ascii="Times New Roman"/>
                      <w:spacing w:val="27"/>
                      <w:w w:val="82"/>
                      <w:sz w:val="18"/>
                    </w:rPr>
                    <w:t xml:space="preserve"> </w:t>
                  </w:r>
                  <w:r>
                    <w:rPr>
                      <w:rFonts w:ascii="Times New Roman"/>
                      <w:spacing w:val="-2"/>
                      <w:sz w:val="18"/>
                    </w:rPr>
                    <w:t>principles)</w:t>
                  </w:r>
                </w:p>
              </w:txbxContent>
            </v:textbox>
            <w10:wrap anchorx="page" anchory="page"/>
          </v:shape>
        </w:pict>
      </w:r>
      <w:r w:rsidRPr="00D96B91">
        <w:pict>
          <v:shape id="_x0000_s3316" type="#_x0000_t202" style="position:absolute;left:0;text-align:left;margin-left:239.3pt;margin-top:333.5pt;width:175.1pt;height:89.3pt;z-index:251528704;mso-position-horizontal-relative:page;mso-position-vertical-relative:page" filled="f" strokeweight=".24131mm">
            <v:textbox style="mso-next-textbox:#_x0000_s3316" inset="0,0,0,0">
              <w:txbxContent>
                <w:p w:rsidR="008A79D5" w:rsidRDefault="008A79D5">
                  <w:pPr>
                    <w:spacing w:before="72"/>
                    <w:ind w:left="131"/>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spacing w:val="-2"/>
                      <w:w w:val="90"/>
                      <w:sz w:val="16"/>
                      <w:szCs w:val="16"/>
                    </w:rPr>
                    <w:t>IC</w:t>
                  </w:r>
                  <w:r>
                    <w:rPr>
                      <w:rFonts w:ascii="Times New Roman" w:eastAsia="Times New Roman" w:hAnsi="Times New Roman" w:cs="Times New Roman"/>
                      <w:spacing w:val="-1"/>
                      <w:w w:val="90"/>
                      <w:sz w:val="16"/>
                      <w:szCs w:val="16"/>
                    </w:rPr>
                    <w:t>RC</w:t>
                  </w:r>
                  <w:r>
                    <w:rPr>
                      <w:rFonts w:ascii="Times New Roman" w:eastAsia="Times New Roman" w:hAnsi="Times New Roman" w:cs="Times New Roman"/>
                      <w:spacing w:val="-2"/>
                      <w:w w:val="90"/>
                      <w:sz w:val="16"/>
                      <w:szCs w:val="16"/>
                    </w:rPr>
                    <w:t>’</w:t>
                  </w:r>
                  <w:r>
                    <w:rPr>
                      <w:rFonts w:ascii="Times New Roman" w:eastAsia="Times New Roman" w:hAnsi="Times New Roman" w:cs="Times New Roman"/>
                      <w:spacing w:val="-1"/>
                      <w:w w:val="90"/>
                      <w:sz w:val="16"/>
                      <w:szCs w:val="16"/>
                    </w:rPr>
                    <w:t>s</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2"/>
                      <w:w w:val="90"/>
                      <w:sz w:val="16"/>
                      <w:szCs w:val="16"/>
                    </w:rPr>
                    <w:t>final</w:t>
                  </w:r>
                  <w:r>
                    <w:rPr>
                      <w:rFonts w:ascii="Times New Roman" w:eastAsia="Times New Roman" w:hAnsi="Times New Roman" w:cs="Times New Roman"/>
                      <w:spacing w:val="2"/>
                      <w:w w:val="90"/>
                      <w:sz w:val="16"/>
                      <w:szCs w:val="16"/>
                    </w:rPr>
                    <w:t xml:space="preserve"> </w:t>
                  </w:r>
                  <w:r>
                    <w:rPr>
                      <w:rFonts w:ascii="Times New Roman" w:eastAsia="Times New Roman" w:hAnsi="Times New Roman" w:cs="Times New Roman"/>
                      <w:spacing w:val="-1"/>
                      <w:w w:val="90"/>
                      <w:sz w:val="16"/>
                      <w:szCs w:val="16"/>
                    </w:rPr>
                    <w:t>decis</w:t>
                  </w:r>
                  <w:r>
                    <w:rPr>
                      <w:rFonts w:ascii="Times New Roman" w:eastAsia="Times New Roman" w:hAnsi="Times New Roman" w:cs="Times New Roman"/>
                      <w:spacing w:val="-2"/>
                      <w:w w:val="90"/>
                      <w:sz w:val="16"/>
                      <w:szCs w:val="16"/>
                    </w:rPr>
                    <w:t>i</w:t>
                  </w:r>
                  <w:r>
                    <w:rPr>
                      <w:rFonts w:ascii="Times New Roman" w:eastAsia="Times New Roman" w:hAnsi="Times New Roman" w:cs="Times New Roman"/>
                      <w:spacing w:val="-1"/>
                      <w:w w:val="90"/>
                      <w:sz w:val="16"/>
                      <w:szCs w:val="16"/>
                    </w:rPr>
                    <w:t>on</w:t>
                  </w:r>
                </w:p>
                <w:p w:rsidR="008A79D5" w:rsidRDefault="008A79D5">
                  <w:pPr>
                    <w:spacing w:before="111"/>
                    <w:ind w:left="131"/>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9"/>
                      <w:w w:val="95"/>
                      <w:sz w:val="16"/>
                    </w:rPr>
                    <w:t xml:space="preserve"> </w:t>
                  </w:r>
                  <w:r>
                    <w:rPr>
                      <w:rFonts w:ascii="Times New Roman"/>
                      <w:b/>
                      <w:spacing w:val="-1"/>
                      <w:w w:val="95"/>
                      <w:sz w:val="16"/>
                    </w:rPr>
                    <w:t>co</w:t>
                  </w:r>
                  <w:r>
                    <w:rPr>
                      <w:rFonts w:ascii="Times New Roman"/>
                      <w:b/>
                      <w:spacing w:val="-2"/>
                      <w:w w:val="95"/>
                      <w:sz w:val="16"/>
                    </w:rPr>
                    <w:t>n</w:t>
                  </w:r>
                  <w:r>
                    <w:rPr>
                      <w:rFonts w:ascii="Times New Roman"/>
                      <w:b/>
                      <w:spacing w:val="-1"/>
                      <w:w w:val="95"/>
                      <w:sz w:val="16"/>
                    </w:rPr>
                    <w:t>s</w:t>
                  </w:r>
                  <w:r>
                    <w:rPr>
                      <w:rFonts w:ascii="Times New Roman"/>
                      <w:b/>
                      <w:spacing w:val="-2"/>
                      <w:w w:val="95"/>
                      <w:sz w:val="16"/>
                    </w:rPr>
                    <w:t>id</w:t>
                  </w:r>
                  <w:r>
                    <w:rPr>
                      <w:rFonts w:ascii="Times New Roman"/>
                      <w:b/>
                      <w:spacing w:val="-1"/>
                      <w:w w:val="95"/>
                      <w:sz w:val="16"/>
                    </w:rPr>
                    <w:t>e</w:t>
                  </w:r>
                  <w:r>
                    <w:rPr>
                      <w:rFonts w:ascii="Times New Roman"/>
                      <w:b/>
                      <w:spacing w:val="-2"/>
                      <w:w w:val="95"/>
                      <w:sz w:val="16"/>
                    </w:rPr>
                    <w:t>r</w:t>
                  </w:r>
                  <w:r>
                    <w:rPr>
                      <w:rFonts w:ascii="Times New Roman"/>
                      <w:b/>
                      <w:spacing w:val="-1"/>
                      <w:w w:val="95"/>
                      <w:sz w:val="16"/>
                    </w:rPr>
                    <w:t>ed</w:t>
                  </w:r>
                  <w:r>
                    <w:rPr>
                      <w:rFonts w:ascii="Times New Roman"/>
                      <w:spacing w:val="-2"/>
                      <w:w w:val="95"/>
                      <w:sz w:val="16"/>
                    </w:rPr>
                    <w:t>:</w:t>
                  </w:r>
                </w:p>
                <w:p w:rsidR="008A79D5" w:rsidRDefault="008A79D5">
                  <w:pPr>
                    <w:spacing w:before="21" w:line="271" w:lineRule="auto"/>
                    <w:ind w:left="131" w:right="357"/>
                    <w:rPr>
                      <w:rFonts w:ascii="Times New Roman" w:eastAsia="Times New Roman" w:hAnsi="Times New Roman" w:cs="Times New Roman"/>
                      <w:sz w:val="16"/>
                      <w:szCs w:val="16"/>
                    </w:rPr>
                  </w:pPr>
                  <w:r>
                    <w:rPr>
                      <w:rFonts w:ascii="Times New Roman"/>
                      <w:spacing w:val="-1"/>
                      <w:w w:val="95"/>
                      <w:sz w:val="16"/>
                    </w:rPr>
                    <w:t>Su</w:t>
                  </w:r>
                  <w:r>
                    <w:rPr>
                      <w:rFonts w:ascii="Times New Roman"/>
                      <w:spacing w:val="-2"/>
                      <w:w w:val="95"/>
                      <w:sz w:val="16"/>
                    </w:rPr>
                    <w:t>bmi</w:t>
                  </w:r>
                  <w:r>
                    <w:rPr>
                      <w:rFonts w:ascii="Times New Roman"/>
                      <w:spacing w:val="-1"/>
                      <w:w w:val="95"/>
                      <w:sz w:val="16"/>
                    </w:rPr>
                    <w:t>ss</w:t>
                  </w:r>
                  <w:r>
                    <w:rPr>
                      <w:rFonts w:ascii="Times New Roman"/>
                      <w:spacing w:val="-2"/>
                      <w:w w:val="95"/>
                      <w:sz w:val="16"/>
                    </w:rPr>
                    <w:t>i</w:t>
                  </w:r>
                  <w:r>
                    <w:rPr>
                      <w:rFonts w:ascii="Times New Roman"/>
                      <w:spacing w:val="-1"/>
                      <w:w w:val="95"/>
                      <w:sz w:val="16"/>
                    </w:rPr>
                    <w:t>ons</w:t>
                  </w:r>
                  <w:r>
                    <w:rPr>
                      <w:rFonts w:ascii="Times New Roman"/>
                      <w:spacing w:val="-16"/>
                      <w:w w:val="95"/>
                      <w:sz w:val="16"/>
                    </w:rPr>
                    <w:t xml:space="preserve"> </w:t>
                  </w:r>
                  <w:r>
                    <w:rPr>
                      <w:rFonts w:ascii="Times New Roman"/>
                      <w:spacing w:val="-2"/>
                      <w:w w:val="95"/>
                      <w:sz w:val="16"/>
                    </w:rPr>
                    <w:t>from</w:t>
                  </w:r>
                  <w:r>
                    <w:rPr>
                      <w:rFonts w:ascii="Times New Roman"/>
                      <w:spacing w:val="-17"/>
                      <w:w w:val="95"/>
                      <w:sz w:val="16"/>
                    </w:rPr>
                    <w:t xml:space="preserve"> </w:t>
                  </w:r>
                  <w:r>
                    <w:rPr>
                      <w:rFonts w:ascii="Times New Roman"/>
                      <w:spacing w:val="-2"/>
                      <w:w w:val="95"/>
                      <w:sz w:val="16"/>
                    </w:rPr>
                    <w:t>ACTEW</w:t>
                  </w:r>
                  <w:r>
                    <w:rPr>
                      <w:rFonts w:ascii="Times New Roman"/>
                      <w:spacing w:val="-15"/>
                      <w:w w:val="95"/>
                      <w:sz w:val="16"/>
                    </w:rPr>
                    <w:t xml:space="preserve"> </w:t>
                  </w:r>
                  <w:r>
                    <w:rPr>
                      <w:rFonts w:ascii="Times New Roman"/>
                      <w:w w:val="95"/>
                      <w:sz w:val="16"/>
                    </w:rPr>
                    <w:t>and</w:t>
                  </w:r>
                  <w:r>
                    <w:rPr>
                      <w:rFonts w:ascii="Times New Roman"/>
                      <w:spacing w:val="-17"/>
                      <w:w w:val="95"/>
                      <w:sz w:val="16"/>
                    </w:rPr>
                    <w:t xml:space="preserve"> </w:t>
                  </w:r>
                  <w:r>
                    <w:rPr>
                      <w:rFonts w:ascii="Times New Roman"/>
                      <w:w w:val="95"/>
                      <w:sz w:val="16"/>
                    </w:rPr>
                    <w:t>other</w:t>
                  </w:r>
                  <w:r>
                    <w:rPr>
                      <w:rFonts w:ascii="Times New Roman"/>
                      <w:spacing w:val="-16"/>
                      <w:w w:val="95"/>
                      <w:sz w:val="16"/>
                    </w:rPr>
                    <w:t xml:space="preserve"> </w:t>
                  </w:r>
                  <w:r>
                    <w:rPr>
                      <w:rFonts w:ascii="Times New Roman"/>
                      <w:spacing w:val="-1"/>
                      <w:w w:val="95"/>
                      <w:sz w:val="16"/>
                    </w:rPr>
                    <w:t>sta</w:t>
                  </w:r>
                  <w:r>
                    <w:rPr>
                      <w:rFonts w:ascii="Times New Roman"/>
                      <w:spacing w:val="-2"/>
                      <w:w w:val="95"/>
                      <w:sz w:val="16"/>
                    </w:rPr>
                    <w:t>k</w:t>
                  </w:r>
                  <w:r>
                    <w:rPr>
                      <w:rFonts w:ascii="Times New Roman"/>
                      <w:spacing w:val="-1"/>
                      <w:w w:val="95"/>
                      <w:sz w:val="16"/>
                    </w:rPr>
                    <w:t>eh</w:t>
                  </w:r>
                  <w:r>
                    <w:rPr>
                      <w:rFonts w:ascii="Times New Roman"/>
                      <w:spacing w:val="-2"/>
                      <w:w w:val="95"/>
                      <w:sz w:val="16"/>
                    </w:rPr>
                    <w:t>older</w:t>
                  </w:r>
                  <w:r>
                    <w:rPr>
                      <w:rFonts w:ascii="Times New Roman"/>
                      <w:spacing w:val="-1"/>
                      <w:w w:val="95"/>
                      <w:sz w:val="16"/>
                    </w:rPr>
                    <w:t>s</w:t>
                  </w:r>
                  <w:r>
                    <w:rPr>
                      <w:rFonts w:ascii="Times New Roman"/>
                      <w:spacing w:val="43"/>
                      <w:w w:val="108"/>
                      <w:sz w:val="16"/>
                    </w:rPr>
                    <w:t xml:space="preserve"> </w:t>
                  </w:r>
                  <w:r>
                    <w:rPr>
                      <w:rFonts w:ascii="Times New Roman"/>
                      <w:spacing w:val="-1"/>
                      <w:w w:val="90"/>
                      <w:sz w:val="16"/>
                    </w:rPr>
                    <w:t>Regulato</w:t>
                  </w:r>
                  <w:r>
                    <w:rPr>
                      <w:rFonts w:ascii="Times New Roman"/>
                      <w:spacing w:val="-2"/>
                      <w:w w:val="90"/>
                      <w:sz w:val="16"/>
                    </w:rPr>
                    <w:t>ry</w:t>
                  </w:r>
                  <w:r>
                    <w:rPr>
                      <w:rFonts w:ascii="Times New Roman"/>
                      <w:spacing w:val="26"/>
                      <w:w w:val="90"/>
                      <w:sz w:val="16"/>
                    </w:rPr>
                    <w:t xml:space="preserve"> </w:t>
                  </w:r>
                  <w:r>
                    <w:rPr>
                      <w:rFonts w:ascii="Times New Roman"/>
                      <w:spacing w:val="-1"/>
                      <w:w w:val="90"/>
                      <w:sz w:val="16"/>
                    </w:rPr>
                    <w:t>p</w:t>
                  </w:r>
                  <w:r>
                    <w:rPr>
                      <w:rFonts w:ascii="Times New Roman"/>
                      <w:spacing w:val="-2"/>
                      <w:w w:val="90"/>
                      <w:sz w:val="16"/>
                    </w:rPr>
                    <w:t>r</w:t>
                  </w:r>
                  <w:r>
                    <w:rPr>
                      <w:rFonts w:ascii="Times New Roman"/>
                      <w:spacing w:val="-1"/>
                      <w:w w:val="90"/>
                      <w:sz w:val="16"/>
                    </w:rPr>
                    <w:t>actice</w:t>
                  </w:r>
                </w:p>
                <w:p w:rsidR="008A79D5" w:rsidRDefault="008A79D5">
                  <w:pPr>
                    <w:spacing w:line="268" w:lineRule="auto"/>
                    <w:ind w:left="131" w:right="279"/>
                    <w:rPr>
                      <w:rFonts w:ascii="Times New Roman" w:eastAsia="Times New Roman" w:hAnsi="Times New Roman" w:cs="Times New Roman"/>
                      <w:sz w:val="16"/>
                      <w:szCs w:val="16"/>
                    </w:rPr>
                  </w:pPr>
                  <w:r>
                    <w:rPr>
                      <w:rFonts w:ascii="Times New Roman"/>
                      <w:spacing w:val="-2"/>
                      <w:sz w:val="16"/>
                    </w:rPr>
                    <w:t>Other</w:t>
                  </w:r>
                  <w:r>
                    <w:rPr>
                      <w:rFonts w:ascii="Times New Roman"/>
                      <w:spacing w:val="-24"/>
                      <w:sz w:val="16"/>
                    </w:rPr>
                    <w:t xml:space="preserve"> </w:t>
                  </w:r>
                  <w:r>
                    <w:rPr>
                      <w:rFonts w:ascii="Times New Roman"/>
                      <w:spacing w:val="-2"/>
                      <w:sz w:val="16"/>
                    </w:rPr>
                    <w:t>deci</w:t>
                  </w:r>
                  <w:r>
                    <w:rPr>
                      <w:rFonts w:ascii="Times New Roman"/>
                      <w:spacing w:val="-1"/>
                      <w:sz w:val="16"/>
                    </w:rPr>
                    <w:t>s</w:t>
                  </w:r>
                  <w:r>
                    <w:rPr>
                      <w:rFonts w:ascii="Times New Roman"/>
                      <w:spacing w:val="-2"/>
                      <w:sz w:val="16"/>
                    </w:rPr>
                    <w:t>ion</w:t>
                  </w:r>
                  <w:r>
                    <w:rPr>
                      <w:rFonts w:ascii="Times New Roman"/>
                      <w:spacing w:val="-1"/>
                      <w:sz w:val="16"/>
                    </w:rPr>
                    <w:t>s</w:t>
                  </w:r>
                  <w:r>
                    <w:rPr>
                      <w:rFonts w:ascii="Times New Roman"/>
                      <w:spacing w:val="-22"/>
                      <w:sz w:val="16"/>
                    </w:rPr>
                    <w:t xml:space="preserve"> </w:t>
                  </w:r>
                  <w:r>
                    <w:rPr>
                      <w:rFonts w:ascii="Times New Roman"/>
                      <w:spacing w:val="-2"/>
                      <w:sz w:val="16"/>
                    </w:rPr>
                    <w:t>by</w:t>
                  </w:r>
                  <w:r>
                    <w:rPr>
                      <w:rFonts w:ascii="Times New Roman"/>
                      <w:spacing w:val="-23"/>
                      <w:sz w:val="16"/>
                    </w:rPr>
                    <w:t xml:space="preserve"> </w:t>
                  </w:r>
                  <w:r>
                    <w:rPr>
                      <w:rFonts w:ascii="Times New Roman"/>
                      <w:spacing w:val="-2"/>
                      <w:sz w:val="16"/>
                    </w:rPr>
                    <w:t>th</w:t>
                  </w:r>
                  <w:r>
                    <w:rPr>
                      <w:rFonts w:ascii="Times New Roman"/>
                      <w:spacing w:val="-1"/>
                      <w:sz w:val="16"/>
                    </w:rPr>
                    <w:t>e</w:t>
                  </w:r>
                  <w:r>
                    <w:rPr>
                      <w:rFonts w:ascii="Times New Roman"/>
                      <w:spacing w:val="-23"/>
                      <w:sz w:val="16"/>
                    </w:rPr>
                    <w:t xml:space="preserve"> </w:t>
                  </w:r>
                  <w:r>
                    <w:rPr>
                      <w:rFonts w:ascii="Times New Roman"/>
                      <w:sz w:val="16"/>
                    </w:rPr>
                    <w:t>Panel</w:t>
                  </w:r>
                  <w:r>
                    <w:rPr>
                      <w:rFonts w:ascii="Times New Roman"/>
                      <w:spacing w:val="-22"/>
                      <w:sz w:val="16"/>
                    </w:rPr>
                    <w:t xml:space="preserve"> </w:t>
                  </w:r>
                  <w:r>
                    <w:rPr>
                      <w:rFonts w:ascii="Times New Roman"/>
                      <w:spacing w:val="-2"/>
                      <w:sz w:val="16"/>
                    </w:rPr>
                    <w:t>that</w:t>
                  </w:r>
                  <w:r>
                    <w:rPr>
                      <w:rFonts w:ascii="Times New Roman"/>
                      <w:spacing w:val="-22"/>
                      <w:sz w:val="16"/>
                    </w:rPr>
                    <w:t xml:space="preserve"> </w:t>
                  </w:r>
                  <w:r>
                    <w:rPr>
                      <w:rFonts w:ascii="Times New Roman"/>
                      <w:spacing w:val="-2"/>
                      <w:sz w:val="16"/>
                    </w:rPr>
                    <w:t>r</w:t>
                  </w:r>
                  <w:r>
                    <w:rPr>
                      <w:rFonts w:ascii="Times New Roman"/>
                      <w:spacing w:val="-1"/>
                      <w:sz w:val="16"/>
                    </w:rPr>
                    <w:t>eq</w:t>
                  </w:r>
                  <w:r>
                    <w:rPr>
                      <w:rFonts w:ascii="Times New Roman"/>
                      <w:spacing w:val="-2"/>
                      <w:sz w:val="16"/>
                    </w:rPr>
                    <w:t>uir</w:t>
                  </w:r>
                  <w:r>
                    <w:rPr>
                      <w:rFonts w:ascii="Times New Roman"/>
                      <w:spacing w:val="-1"/>
                      <w:sz w:val="16"/>
                    </w:rPr>
                    <w:t>e</w:t>
                  </w:r>
                  <w:r>
                    <w:rPr>
                      <w:rFonts w:ascii="Times New Roman"/>
                      <w:spacing w:val="-24"/>
                      <w:sz w:val="16"/>
                    </w:rPr>
                    <w:t xml:space="preserve"> </w:t>
                  </w:r>
                  <w:r>
                    <w:rPr>
                      <w:rFonts w:ascii="Times New Roman"/>
                      <w:sz w:val="16"/>
                    </w:rPr>
                    <w:t>a</w:t>
                  </w:r>
                  <w:r>
                    <w:rPr>
                      <w:rFonts w:ascii="Times New Roman"/>
                      <w:spacing w:val="-23"/>
                      <w:sz w:val="16"/>
                    </w:rPr>
                    <w:t xml:space="preserve"> </w:t>
                  </w:r>
                  <w:r>
                    <w:rPr>
                      <w:rFonts w:ascii="Times New Roman"/>
                      <w:spacing w:val="-2"/>
                      <w:sz w:val="16"/>
                    </w:rPr>
                    <w:t>certain</w:t>
                  </w:r>
                  <w:r>
                    <w:rPr>
                      <w:rFonts w:ascii="Times New Roman"/>
                      <w:spacing w:val="53"/>
                      <w:w w:val="93"/>
                      <w:sz w:val="16"/>
                    </w:rPr>
                    <w:t xml:space="preserve"> </w:t>
                  </w:r>
                  <w:r>
                    <w:rPr>
                      <w:rFonts w:ascii="Times New Roman"/>
                      <w:spacing w:val="-1"/>
                      <w:w w:val="95"/>
                      <w:sz w:val="16"/>
                    </w:rPr>
                    <w:t>approach</w:t>
                  </w:r>
                  <w:r>
                    <w:rPr>
                      <w:rFonts w:ascii="Times New Roman"/>
                      <w:spacing w:val="-11"/>
                      <w:w w:val="95"/>
                      <w:sz w:val="16"/>
                    </w:rPr>
                    <w:t xml:space="preserve"> </w:t>
                  </w:r>
                  <w:r>
                    <w:rPr>
                      <w:rFonts w:ascii="Times New Roman"/>
                      <w:w w:val="95"/>
                      <w:sz w:val="16"/>
                    </w:rPr>
                    <w:t>to</w:t>
                  </w:r>
                  <w:r>
                    <w:rPr>
                      <w:rFonts w:ascii="Times New Roman"/>
                      <w:spacing w:val="-10"/>
                      <w:w w:val="95"/>
                      <w:sz w:val="16"/>
                    </w:rPr>
                    <w:t xml:space="preserve"> </w:t>
                  </w:r>
                  <w:r>
                    <w:rPr>
                      <w:rFonts w:ascii="Times New Roman"/>
                      <w:spacing w:val="-1"/>
                      <w:w w:val="95"/>
                      <w:sz w:val="16"/>
                    </w:rPr>
                    <w:t>be</w:t>
                  </w:r>
                  <w:r>
                    <w:rPr>
                      <w:rFonts w:ascii="Times New Roman"/>
                      <w:spacing w:val="-8"/>
                      <w:w w:val="95"/>
                      <w:sz w:val="16"/>
                    </w:rPr>
                    <w:t xml:space="preserve"> </w:t>
                  </w:r>
                  <w:r>
                    <w:rPr>
                      <w:rFonts w:ascii="Times New Roman"/>
                      <w:spacing w:val="-1"/>
                      <w:w w:val="95"/>
                      <w:sz w:val="16"/>
                    </w:rPr>
                    <w:t>app</w:t>
                  </w:r>
                  <w:r>
                    <w:rPr>
                      <w:rFonts w:ascii="Times New Roman"/>
                      <w:spacing w:val="-2"/>
                      <w:w w:val="95"/>
                      <w:sz w:val="16"/>
                    </w:rPr>
                    <w:t>li</w:t>
                  </w:r>
                  <w:r>
                    <w:rPr>
                      <w:rFonts w:ascii="Times New Roman"/>
                      <w:spacing w:val="-1"/>
                      <w:w w:val="95"/>
                      <w:sz w:val="16"/>
                    </w:rPr>
                    <w:t>ed</w:t>
                  </w:r>
                  <w:r>
                    <w:rPr>
                      <w:rFonts w:ascii="Times New Roman"/>
                      <w:spacing w:val="-11"/>
                      <w:w w:val="95"/>
                      <w:sz w:val="16"/>
                    </w:rPr>
                    <w:t xml:space="preserve"> </w:t>
                  </w:r>
                  <w:r>
                    <w:rPr>
                      <w:rFonts w:ascii="Times New Roman"/>
                      <w:w w:val="95"/>
                      <w:sz w:val="16"/>
                    </w:rPr>
                    <w:t>in</w:t>
                  </w:r>
                  <w:r>
                    <w:rPr>
                      <w:rFonts w:ascii="Times New Roman"/>
                      <w:spacing w:val="-10"/>
                      <w:w w:val="95"/>
                      <w:sz w:val="16"/>
                    </w:rPr>
                    <w:t xml:space="preserve"> </w:t>
                  </w:r>
                  <w:r>
                    <w:rPr>
                      <w:rFonts w:ascii="Times New Roman"/>
                      <w:spacing w:val="-2"/>
                      <w:w w:val="95"/>
                      <w:sz w:val="16"/>
                    </w:rPr>
                    <w:t>th</w:t>
                  </w:r>
                  <w:r>
                    <w:rPr>
                      <w:rFonts w:ascii="Times New Roman"/>
                      <w:spacing w:val="-1"/>
                      <w:w w:val="95"/>
                      <w:sz w:val="16"/>
                    </w:rPr>
                    <w:t>e</w:t>
                  </w:r>
                  <w:r>
                    <w:rPr>
                      <w:rFonts w:ascii="Times New Roman"/>
                      <w:spacing w:val="-8"/>
                      <w:w w:val="95"/>
                      <w:sz w:val="16"/>
                    </w:rPr>
                    <w:t xml:space="preserve"> </w:t>
                  </w:r>
                  <w:r>
                    <w:rPr>
                      <w:rFonts w:ascii="Times New Roman"/>
                      <w:spacing w:val="-1"/>
                      <w:w w:val="95"/>
                      <w:sz w:val="16"/>
                    </w:rPr>
                    <w:t>n</w:t>
                  </w:r>
                  <w:r>
                    <w:rPr>
                      <w:rFonts w:ascii="Times New Roman"/>
                      <w:spacing w:val="-2"/>
                      <w:w w:val="95"/>
                      <w:sz w:val="16"/>
                    </w:rPr>
                    <w:t>ext</w:t>
                  </w:r>
                  <w:r>
                    <w:rPr>
                      <w:rFonts w:ascii="Times New Roman"/>
                      <w:spacing w:val="-10"/>
                      <w:w w:val="95"/>
                      <w:sz w:val="16"/>
                    </w:rPr>
                    <w:t xml:space="preserve"> </w:t>
                  </w:r>
                  <w:r>
                    <w:rPr>
                      <w:rFonts w:ascii="Times New Roman"/>
                      <w:spacing w:val="-2"/>
                      <w:w w:val="95"/>
                      <w:sz w:val="16"/>
                    </w:rPr>
                    <w:t>r</w:t>
                  </w:r>
                  <w:r>
                    <w:rPr>
                      <w:rFonts w:ascii="Times New Roman"/>
                      <w:spacing w:val="-1"/>
                      <w:w w:val="95"/>
                      <w:sz w:val="16"/>
                    </w:rPr>
                    <w:t>egu</w:t>
                  </w:r>
                  <w:r>
                    <w:rPr>
                      <w:rFonts w:ascii="Times New Roman"/>
                      <w:spacing w:val="-2"/>
                      <w:w w:val="95"/>
                      <w:sz w:val="16"/>
                    </w:rPr>
                    <w:t>l</w:t>
                  </w:r>
                  <w:r>
                    <w:rPr>
                      <w:rFonts w:ascii="Times New Roman"/>
                      <w:spacing w:val="-1"/>
                      <w:w w:val="95"/>
                      <w:sz w:val="16"/>
                    </w:rPr>
                    <w:t>at</w:t>
                  </w:r>
                  <w:r>
                    <w:rPr>
                      <w:rFonts w:ascii="Times New Roman"/>
                      <w:spacing w:val="-2"/>
                      <w:w w:val="95"/>
                      <w:sz w:val="16"/>
                    </w:rPr>
                    <w:t>ory</w:t>
                  </w:r>
                  <w:r>
                    <w:rPr>
                      <w:rFonts w:ascii="Times New Roman"/>
                      <w:spacing w:val="-10"/>
                      <w:w w:val="95"/>
                      <w:sz w:val="16"/>
                    </w:rPr>
                    <w:t xml:space="preserve"> </w:t>
                  </w:r>
                  <w:r>
                    <w:rPr>
                      <w:rFonts w:ascii="Times New Roman"/>
                      <w:spacing w:val="-1"/>
                      <w:w w:val="95"/>
                      <w:sz w:val="16"/>
                    </w:rPr>
                    <w:t>pe</w:t>
                  </w:r>
                  <w:r>
                    <w:rPr>
                      <w:rFonts w:ascii="Times New Roman"/>
                      <w:spacing w:val="-2"/>
                      <w:w w:val="95"/>
                      <w:sz w:val="16"/>
                    </w:rPr>
                    <w:t>ri</w:t>
                  </w:r>
                  <w:r>
                    <w:rPr>
                      <w:rFonts w:ascii="Times New Roman"/>
                      <w:spacing w:val="-1"/>
                      <w:w w:val="95"/>
                      <w:sz w:val="16"/>
                    </w:rPr>
                    <w:t>od</w:t>
                  </w:r>
                </w:p>
              </w:txbxContent>
            </v:textbox>
            <w10:wrap anchorx="page" anchory="page"/>
          </v:shape>
        </w:pict>
      </w:r>
      <w:r w:rsidRPr="00D96B91">
        <w:pict>
          <v:shape id="_x0000_s3315" type="#_x0000_t202" style="position:absolute;left:0;text-align:left;margin-left:447.2pt;margin-top:511.95pt;width:29pt;height:60.75pt;z-index:251529728;mso-position-horizontal-relative:page;mso-position-vertical-relative:page" fillcolor="#dbdcde" strokeweight=".24131mm">
            <v:textbox style="layout-flow:vertical;mso-layout-flow-alt:bottom-to-top;mso-next-textbox:#_x0000_s3315" inset="0,0,0,0">
              <w:txbxContent>
                <w:p w:rsidR="008A79D5" w:rsidRDefault="008A79D5">
                  <w:pPr>
                    <w:spacing w:before="137"/>
                    <w:ind w:left="269"/>
                    <w:rPr>
                      <w:rFonts w:ascii="Times New Roman" w:eastAsia="Times New Roman" w:hAnsi="Times New Roman" w:cs="Times New Roman"/>
                      <w:sz w:val="18"/>
                      <w:szCs w:val="18"/>
                    </w:rPr>
                  </w:pPr>
                  <w:r>
                    <w:rPr>
                      <w:rFonts w:ascii="Times New Roman"/>
                      <w:w w:val="93"/>
                      <w:sz w:val="18"/>
                    </w:rPr>
                    <w:t>Chap</w:t>
                  </w:r>
                  <w:r>
                    <w:rPr>
                      <w:rFonts w:ascii="Times New Roman"/>
                      <w:w w:val="91"/>
                      <w:sz w:val="18"/>
                    </w:rPr>
                    <w:t>ter</w:t>
                  </w:r>
                  <w:r>
                    <w:rPr>
                      <w:rFonts w:ascii="Times New Roman"/>
                      <w:spacing w:val="-3"/>
                      <w:sz w:val="18"/>
                    </w:rPr>
                    <w:t xml:space="preserve"> </w:t>
                  </w:r>
                  <w:r>
                    <w:rPr>
                      <w:rFonts w:ascii="Times New Roman"/>
                      <w:w w:val="92"/>
                      <w:sz w:val="18"/>
                    </w:rPr>
                    <w:t>7</w:t>
                  </w:r>
                </w:p>
              </w:txbxContent>
            </v:textbox>
            <w10:wrap anchorx="page" anchory="page"/>
          </v:shape>
        </w:pict>
      </w:r>
      <w:r w:rsidR="00C2656B">
        <w:rPr>
          <w:rFonts w:ascii="Avenir Next"/>
          <w:b/>
          <w:spacing w:val="-2"/>
          <w:sz w:val="20"/>
        </w:rPr>
        <w:t>Figure</w:t>
      </w:r>
      <w:r w:rsidR="00C2656B">
        <w:rPr>
          <w:rFonts w:ascii="Avenir Next"/>
          <w:b/>
          <w:sz w:val="20"/>
        </w:rPr>
        <w:t xml:space="preserve"> 5.1: </w:t>
      </w:r>
      <w:r w:rsidR="00C2656B">
        <w:rPr>
          <w:rFonts w:ascii="Avenir Next"/>
          <w:b/>
          <w:spacing w:val="-1"/>
          <w:sz w:val="20"/>
        </w:rPr>
        <w:t>Components</w:t>
      </w:r>
      <w:r w:rsidR="00C2656B">
        <w:rPr>
          <w:rFonts w:ascii="Avenir Next"/>
          <w:b/>
          <w:sz w:val="20"/>
        </w:rPr>
        <w:t xml:space="preserve"> of</w:t>
      </w:r>
      <w:r w:rsidR="00C2656B">
        <w:rPr>
          <w:rFonts w:ascii="Avenir Next"/>
          <w:b/>
          <w:spacing w:val="4"/>
          <w:sz w:val="20"/>
        </w:rPr>
        <w:t xml:space="preserve"> </w:t>
      </w:r>
      <w:r w:rsidR="00C2656B">
        <w:rPr>
          <w:rFonts w:ascii="Avenir Next"/>
          <w:b/>
          <w:sz w:val="20"/>
        </w:rPr>
        <w:t xml:space="preserve">original price </w:t>
      </w:r>
      <w:r w:rsidR="00C2656B">
        <w:rPr>
          <w:rFonts w:ascii="Avenir Next"/>
          <w:b/>
          <w:spacing w:val="-1"/>
          <w:sz w:val="20"/>
        </w:rPr>
        <w:t>direction</w:t>
      </w:r>
      <w:r w:rsidR="00C2656B">
        <w:rPr>
          <w:rFonts w:ascii="Avenir Next"/>
          <w:b/>
          <w:sz w:val="20"/>
        </w:rPr>
        <w:t xml:space="preserve"> the </w:t>
      </w:r>
      <w:r w:rsidR="00C2656B">
        <w:rPr>
          <w:rFonts w:ascii="Avenir Next"/>
          <w:b/>
          <w:spacing w:val="-3"/>
          <w:sz w:val="20"/>
        </w:rPr>
        <w:t>Panel</w:t>
      </w:r>
      <w:r w:rsidR="00C2656B">
        <w:rPr>
          <w:rFonts w:ascii="Avenir Next"/>
          <w:b/>
          <w:sz w:val="20"/>
        </w:rPr>
        <w:t xml:space="preserve"> must </w:t>
      </w:r>
      <w:r w:rsidR="00C2656B">
        <w:rPr>
          <w:rFonts w:ascii="Avenir Next"/>
          <w:b/>
          <w:spacing w:val="-1"/>
          <w:sz w:val="20"/>
        </w:rPr>
        <w:t>review</w:t>
      </w:r>
      <w:r w:rsidR="00C2656B">
        <w:rPr>
          <w:rFonts w:ascii="Avenir Next"/>
          <w:b/>
          <w:sz w:val="20"/>
        </w:rPr>
        <w:t xml:space="preserve"> and </w:t>
      </w:r>
      <w:r w:rsidR="00C2656B">
        <w:rPr>
          <w:rFonts w:ascii="Avenir Next"/>
          <w:b/>
          <w:spacing w:val="-1"/>
          <w:sz w:val="20"/>
        </w:rPr>
        <w:t>make</w:t>
      </w:r>
      <w:r w:rsidR="00C2656B">
        <w:rPr>
          <w:rFonts w:ascii="Avenir Next"/>
          <w:b/>
          <w:sz w:val="20"/>
        </w:rPr>
        <w:t xml:space="preserve"> decisions on</w:t>
      </w:r>
    </w:p>
    <w:p w:rsidR="00D96B91" w:rsidRDefault="00D96B91">
      <w:pPr>
        <w:spacing w:before="5"/>
        <w:rPr>
          <w:rFonts w:ascii="Avenir Next" w:eastAsia="Avenir Next" w:hAnsi="Avenir Next" w:cs="Avenir Next"/>
          <w:b/>
          <w:bCs/>
          <w:sz w:val="17"/>
          <w:szCs w:val="17"/>
        </w:rPr>
      </w:pPr>
    </w:p>
    <w:p w:rsidR="00D96B91" w:rsidRDefault="00D96B91">
      <w:pPr>
        <w:pStyle w:val="BodyText"/>
        <w:tabs>
          <w:tab w:val="left" w:pos="4731"/>
          <w:tab w:val="left" w:pos="8572"/>
        </w:tabs>
        <w:spacing w:line="200" w:lineRule="atLeast"/>
        <w:ind w:left="2379"/>
        <w:rPr>
          <w:rFonts w:cs="Avenir Next"/>
        </w:rPr>
      </w:pPr>
      <w:r w:rsidRPr="00D96B91">
        <w:pict>
          <v:shape id="_x0000_s3314" type="#_x0000_t202" style="width:98.5pt;height:29.45pt;mso-left-percent:-10001;mso-top-percent:-10001;mso-position-horizontal:absolute;mso-position-horizontal-relative:char;mso-position-vertical:absolute;mso-position-vertical-relative:line;mso-left-percent:-10001;mso-top-percent:-10001" fillcolor="#b6dde8" strokeweight=".24131mm">
            <v:textbox style="mso-next-textbox:#_x0000_s3314" inset="0,0,0,0">
              <w:txbxContent>
                <w:p w:rsidR="008A79D5" w:rsidRDefault="008A79D5">
                  <w:pPr>
                    <w:spacing w:before="65"/>
                    <w:ind w:left="131"/>
                    <w:rPr>
                      <w:rFonts w:ascii="Times New Roman" w:eastAsia="Times New Roman" w:hAnsi="Times New Roman" w:cs="Times New Roman"/>
                      <w:sz w:val="18"/>
                      <w:szCs w:val="18"/>
                    </w:rPr>
                  </w:pPr>
                  <w:r>
                    <w:rPr>
                      <w:rFonts w:ascii="Times New Roman"/>
                      <w:b/>
                      <w:sz w:val="18"/>
                    </w:rPr>
                    <w:t>Component</w:t>
                  </w:r>
                </w:p>
              </w:txbxContent>
            </v:textbox>
          </v:shape>
        </w:pict>
      </w:r>
      <w:r w:rsidR="00C2656B">
        <w:tab/>
      </w:r>
      <w:r>
        <w:pict>
          <v:shape id="_x0000_s3313" type="#_x0000_t202" style="width:177.85pt;height:29.45pt;mso-left-percent:-10001;mso-top-percent:-10001;mso-position-horizontal:absolute;mso-position-horizontal-relative:char;mso-position-vertical:absolute;mso-position-vertical-relative:line;mso-left-percent:-10001;mso-top-percent:-10001" fillcolor="#b6dde8" strokeweight=".24131mm">
            <v:textbox style="mso-next-textbox:#_x0000_s3313" inset="0,0,0,0">
              <w:txbxContent>
                <w:p w:rsidR="008A79D5" w:rsidRDefault="008A79D5">
                  <w:pPr>
                    <w:spacing w:before="65"/>
                    <w:ind w:left="131"/>
                    <w:rPr>
                      <w:rFonts w:ascii="Times New Roman" w:eastAsia="Times New Roman" w:hAnsi="Times New Roman" w:cs="Times New Roman"/>
                      <w:sz w:val="18"/>
                      <w:szCs w:val="18"/>
                    </w:rPr>
                  </w:pPr>
                  <w:r>
                    <w:rPr>
                      <w:rFonts w:ascii="Times New Roman" w:eastAsia="Times New Roman" w:hAnsi="Times New Roman" w:cs="Times New Roman"/>
                      <w:b/>
                      <w:bCs/>
                      <w:w w:val="95"/>
                      <w:sz w:val="18"/>
                      <w:szCs w:val="18"/>
                    </w:rPr>
                    <w:t>Panel’s</w:t>
                  </w:r>
                  <w:r>
                    <w:rPr>
                      <w:rFonts w:ascii="Times New Roman" w:eastAsia="Times New Roman" w:hAnsi="Times New Roman" w:cs="Times New Roman"/>
                      <w:b/>
                      <w:bCs/>
                      <w:spacing w:val="-15"/>
                      <w:w w:val="95"/>
                      <w:sz w:val="18"/>
                      <w:szCs w:val="18"/>
                    </w:rPr>
                    <w:t xml:space="preserve"> </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spacing w:val="-2"/>
                      <w:w w:val="95"/>
                      <w:sz w:val="18"/>
                      <w:szCs w:val="18"/>
                    </w:rPr>
                    <w:t>tartin</w:t>
                  </w:r>
                  <w:r>
                    <w:rPr>
                      <w:rFonts w:ascii="Times New Roman" w:eastAsia="Times New Roman" w:hAnsi="Times New Roman" w:cs="Times New Roman"/>
                      <w:b/>
                      <w:bCs/>
                      <w:spacing w:val="-1"/>
                      <w:w w:val="95"/>
                      <w:sz w:val="18"/>
                      <w:szCs w:val="18"/>
                    </w:rPr>
                    <w:t>g</w:t>
                  </w:r>
                  <w:r>
                    <w:rPr>
                      <w:rFonts w:ascii="Times New Roman" w:eastAsia="Times New Roman" w:hAnsi="Times New Roman" w:cs="Times New Roman"/>
                      <w:b/>
                      <w:bCs/>
                      <w:spacing w:val="-14"/>
                      <w:w w:val="95"/>
                      <w:sz w:val="18"/>
                      <w:szCs w:val="18"/>
                    </w:rPr>
                    <w:t xml:space="preserve"> </w:t>
                  </w:r>
                  <w:r>
                    <w:rPr>
                      <w:rFonts w:ascii="Times New Roman" w:eastAsia="Times New Roman" w:hAnsi="Times New Roman" w:cs="Times New Roman"/>
                      <w:b/>
                      <w:bCs/>
                      <w:w w:val="95"/>
                      <w:sz w:val="18"/>
                      <w:szCs w:val="18"/>
                    </w:rPr>
                    <w:t>point</w:t>
                  </w:r>
                  <w:r>
                    <w:rPr>
                      <w:rFonts w:ascii="Times New Roman" w:eastAsia="Times New Roman" w:hAnsi="Times New Roman" w:cs="Times New Roman"/>
                      <w:b/>
                      <w:bCs/>
                      <w:spacing w:val="-14"/>
                      <w:w w:val="95"/>
                      <w:sz w:val="18"/>
                      <w:szCs w:val="18"/>
                    </w:rPr>
                    <w:t xml:space="preserve"> </w:t>
                  </w:r>
                  <w:r>
                    <w:rPr>
                      <w:rFonts w:ascii="Times New Roman" w:eastAsia="Times New Roman" w:hAnsi="Times New Roman" w:cs="Times New Roman"/>
                      <w:b/>
                      <w:bCs/>
                      <w:spacing w:val="-2"/>
                      <w:w w:val="95"/>
                      <w:sz w:val="18"/>
                      <w:szCs w:val="18"/>
                    </w:rPr>
                    <w:t>and</w:t>
                  </w:r>
                  <w:r>
                    <w:rPr>
                      <w:rFonts w:ascii="Times New Roman" w:eastAsia="Times New Roman" w:hAnsi="Times New Roman" w:cs="Times New Roman"/>
                      <w:b/>
                      <w:bCs/>
                      <w:spacing w:val="-14"/>
                      <w:w w:val="95"/>
                      <w:sz w:val="18"/>
                      <w:szCs w:val="18"/>
                    </w:rPr>
                    <w:t xml:space="preserve"> </w:t>
                  </w:r>
                  <w:r>
                    <w:rPr>
                      <w:rFonts w:ascii="Times New Roman" w:eastAsia="Times New Roman" w:hAnsi="Times New Roman" w:cs="Times New Roman"/>
                      <w:b/>
                      <w:bCs/>
                      <w:spacing w:val="-1"/>
                      <w:w w:val="95"/>
                      <w:sz w:val="18"/>
                      <w:szCs w:val="18"/>
                    </w:rPr>
                    <w:t>co</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s</w:t>
                  </w:r>
                  <w:r>
                    <w:rPr>
                      <w:rFonts w:ascii="Times New Roman" w:eastAsia="Times New Roman" w:hAnsi="Times New Roman" w:cs="Times New Roman"/>
                      <w:b/>
                      <w:bCs/>
                      <w:spacing w:val="-2"/>
                      <w:w w:val="95"/>
                      <w:sz w:val="18"/>
                      <w:szCs w:val="18"/>
                    </w:rPr>
                    <w:t>iderat</w:t>
                  </w:r>
                  <w:r>
                    <w:rPr>
                      <w:rFonts w:ascii="Times New Roman" w:eastAsia="Times New Roman" w:hAnsi="Times New Roman" w:cs="Times New Roman"/>
                      <w:b/>
                      <w:bCs/>
                      <w:spacing w:val="-1"/>
                      <w:w w:val="95"/>
                      <w:sz w:val="18"/>
                      <w:szCs w:val="18"/>
                    </w:rPr>
                    <w:t>io</w:t>
                  </w:r>
                  <w:r>
                    <w:rPr>
                      <w:rFonts w:ascii="Times New Roman" w:eastAsia="Times New Roman" w:hAnsi="Times New Roman" w:cs="Times New Roman"/>
                      <w:b/>
                      <w:bCs/>
                      <w:spacing w:val="-2"/>
                      <w:w w:val="95"/>
                      <w:sz w:val="18"/>
                      <w:szCs w:val="18"/>
                    </w:rPr>
                    <w:t>n</w:t>
                  </w:r>
                  <w:r>
                    <w:rPr>
                      <w:rFonts w:ascii="Times New Roman" w:eastAsia="Times New Roman" w:hAnsi="Times New Roman" w:cs="Times New Roman"/>
                      <w:b/>
                      <w:bCs/>
                      <w:spacing w:val="-1"/>
                      <w:w w:val="95"/>
                      <w:sz w:val="18"/>
                      <w:szCs w:val="18"/>
                    </w:rPr>
                    <w:t>s</w:t>
                  </w:r>
                </w:p>
              </w:txbxContent>
            </v:textbox>
          </v:shape>
        </w:pict>
      </w:r>
      <w:r w:rsidR="00C2656B">
        <w:tab/>
      </w:r>
      <w:r>
        <w:pict>
          <v:shape id="_x0000_s3312" type="#_x0000_t202" style="width:47.6pt;height:29.45pt;mso-left-percent:-10001;mso-top-percent:-10001;mso-position-horizontal:absolute;mso-position-horizontal-relative:char;mso-position-vertical:absolute;mso-position-vertical-relative:line;mso-left-percent:-10001;mso-top-percent:-10001" fillcolor="#b6dde8" strokeweight=".24131mm">
            <v:textbox style="mso-next-textbox:#_x0000_s3312" inset="0,0,0,0">
              <w:txbxContent>
                <w:p w:rsidR="008A79D5" w:rsidRDefault="008A79D5">
                  <w:pPr>
                    <w:spacing w:before="65"/>
                    <w:ind w:left="132"/>
                    <w:rPr>
                      <w:rFonts w:ascii="Times New Roman" w:eastAsia="Times New Roman" w:hAnsi="Times New Roman" w:cs="Times New Roman"/>
                      <w:sz w:val="18"/>
                      <w:szCs w:val="18"/>
                    </w:rPr>
                  </w:pPr>
                  <w:r>
                    <w:rPr>
                      <w:rFonts w:ascii="Times New Roman"/>
                      <w:b/>
                      <w:sz w:val="18"/>
                    </w:rPr>
                    <w:t>Chapter</w:t>
                  </w:r>
                </w:p>
              </w:txbxContent>
            </v:textbox>
          </v:shape>
        </w:pict>
      </w:r>
    </w:p>
    <w:p w:rsidR="00D96B91" w:rsidRDefault="00D96B91">
      <w:pPr>
        <w:rPr>
          <w:rFonts w:ascii="Avenir Next" w:eastAsia="Avenir Next" w:hAnsi="Avenir Next" w:cs="Avenir Next"/>
          <w:b/>
          <w:bCs/>
          <w:sz w:val="19"/>
          <w:szCs w:val="19"/>
        </w:rPr>
      </w:pPr>
    </w:p>
    <w:p w:rsidR="00D96B91" w:rsidRDefault="00D96B91">
      <w:pPr>
        <w:spacing w:line="200" w:lineRule="atLeast"/>
        <w:ind w:left="2379"/>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311" type="#_x0000_t202" style="width:357.3pt;height:39.8pt;mso-left-percent:-10001;mso-top-percent:-10001;mso-position-horizontal:absolute;mso-position-horizontal-relative:char;mso-position-vertical:absolute;mso-position-vertical-relative:line;mso-left-percent:-10001;mso-top-percent:-10001" fillcolor="#002060" strokeweight=".24131mm">
            <v:textbox style="mso-next-textbox:#_x0000_s3311" inset="0,0,0,0">
              <w:txbxContent>
                <w:p w:rsidR="008A79D5" w:rsidRDefault="008A79D5">
                  <w:pPr>
                    <w:spacing w:before="64" w:line="269" w:lineRule="auto"/>
                    <w:ind w:left="562" w:right="566"/>
                    <w:jc w:val="center"/>
                    <w:rPr>
                      <w:rFonts w:ascii="Times New Roman" w:eastAsia="Times New Roman" w:hAnsi="Times New Roman" w:cs="Times New Roman"/>
                      <w:sz w:val="18"/>
                      <w:szCs w:val="18"/>
                    </w:rPr>
                  </w:pPr>
                  <w:r>
                    <w:rPr>
                      <w:rFonts w:ascii="Times New Roman"/>
                      <w:b/>
                      <w:color w:val="FFFFFF"/>
                      <w:w w:val="95"/>
                      <w:sz w:val="18"/>
                    </w:rPr>
                    <w:t>Decisions</w:t>
                  </w:r>
                  <w:r>
                    <w:rPr>
                      <w:rFonts w:ascii="Times New Roman"/>
                      <w:b/>
                      <w:color w:val="FFFFFF"/>
                      <w:spacing w:val="-18"/>
                      <w:w w:val="95"/>
                      <w:sz w:val="18"/>
                    </w:rPr>
                    <w:t xml:space="preserve"> </w:t>
                  </w:r>
                  <w:r>
                    <w:rPr>
                      <w:rFonts w:ascii="Times New Roman"/>
                      <w:b/>
                      <w:color w:val="FFFFFF"/>
                      <w:w w:val="95"/>
                      <w:sz w:val="18"/>
                    </w:rPr>
                    <w:t>about</w:t>
                  </w:r>
                  <w:r>
                    <w:rPr>
                      <w:rFonts w:ascii="Times New Roman"/>
                      <w:b/>
                      <w:color w:val="FFFFFF"/>
                      <w:spacing w:val="-16"/>
                      <w:w w:val="95"/>
                      <w:sz w:val="18"/>
                    </w:rPr>
                    <w:t xml:space="preserve"> </w:t>
                  </w:r>
                  <w:r>
                    <w:rPr>
                      <w:rFonts w:ascii="Times New Roman"/>
                      <w:b/>
                      <w:color w:val="FFFFFF"/>
                      <w:spacing w:val="-2"/>
                      <w:w w:val="95"/>
                      <w:sz w:val="18"/>
                    </w:rPr>
                    <w:t>l</w:t>
                  </w:r>
                  <w:r>
                    <w:rPr>
                      <w:rFonts w:ascii="Times New Roman"/>
                      <w:b/>
                      <w:color w:val="FFFFFF"/>
                      <w:spacing w:val="-1"/>
                      <w:w w:val="95"/>
                      <w:sz w:val="18"/>
                    </w:rPr>
                    <w:t>e</w:t>
                  </w:r>
                  <w:r>
                    <w:rPr>
                      <w:rFonts w:ascii="Times New Roman"/>
                      <w:b/>
                      <w:color w:val="FFFFFF"/>
                      <w:spacing w:val="-2"/>
                      <w:w w:val="95"/>
                      <w:sz w:val="18"/>
                    </w:rPr>
                    <w:t>n</w:t>
                  </w:r>
                  <w:r>
                    <w:rPr>
                      <w:rFonts w:ascii="Times New Roman"/>
                      <w:b/>
                      <w:color w:val="FFFFFF"/>
                      <w:spacing w:val="-1"/>
                      <w:w w:val="95"/>
                      <w:sz w:val="18"/>
                    </w:rPr>
                    <w:t>gt</w:t>
                  </w:r>
                  <w:r>
                    <w:rPr>
                      <w:rFonts w:ascii="Times New Roman"/>
                      <w:b/>
                      <w:color w:val="FFFFFF"/>
                      <w:spacing w:val="-2"/>
                      <w:w w:val="95"/>
                      <w:sz w:val="18"/>
                    </w:rPr>
                    <w:t>h</w:t>
                  </w:r>
                  <w:r>
                    <w:rPr>
                      <w:rFonts w:ascii="Times New Roman"/>
                      <w:b/>
                      <w:color w:val="FFFFFF"/>
                      <w:spacing w:val="-17"/>
                      <w:w w:val="95"/>
                      <w:sz w:val="18"/>
                    </w:rPr>
                    <w:t xml:space="preserve"> </w:t>
                  </w:r>
                  <w:r>
                    <w:rPr>
                      <w:rFonts w:ascii="Times New Roman"/>
                      <w:b/>
                      <w:color w:val="FFFFFF"/>
                      <w:spacing w:val="-1"/>
                      <w:w w:val="95"/>
                      <w:sz w:val="18"/>
                    </w:rPr>
                    <w:t>o</w:t>
                  </w:r>
                  <w:r>
                    <w:rPr>
                      <w:rFonts w:ascii="Times New Roman"/>
                      <w:b/>
                      <w:color w:val="FFFFFF"/>
                      <w:spacing w:val="-2"/>
                      <w:w w:val="95"/>
                      <w:sz w:val="18"/>
                    </w:rPr>
                    <w:t>f</w:t>
                  </w:r>
                  <w:r>
                    <w:rPr>
                      <w:rFonts w:ascii="Times New Roman"/>
                      <w:b/>
                      <w:color w:val="FFFFFF"/>
                      <w:spacing w:val="-17"/>
                      <w:w w:val="95"/>
                      <w:sz w:val="18"/>
                    </w:rPr>
                    <w:t xml:space="preserve"> </w:t>
                  </w:r>
                  <w:r>
                    <w:rPr>
                      <w:rFonts w:ascii="Times New Roman"/>
                      <w:b/>
                      <w:color w:val="FFFFFF"/>
                      <w:w w:val="95"/>
                      <w:sz w:val="18"/>
                    </w:rPr>
                    <w:t>the</w:t>
                  </w:r>
                  <w:r>
                    <w:rPr>
                      <w:rFonts w:ascii="Times New Roman"/>
                      <w:b/>
                      <w:color w:val="FFFFFF"/>
                      <w:spacing w:val="-18"/>
                      <w:w w:val="95"/>
                      <w:sz w:val="18"/>
                    </w:rPr>
                    <w:t xml:space="preserve"> </w:t>
                  </w:r>
                  <w:r>
                    <w:rPr>
                      <w:rFonts w:ascii="Times New Roman"/>
                      <w:b/>
                      <w:color w:val="FFFFFF"/>
                      <w:spacing w:val="-2"/>
                      <w:w w:val="95"/>
                      <w:sz w:val="18"/>
                    </w:rPr>
                    <w:t>r</w:t>
                  </w:r>
                  <w:r>
                    <w:rPr>
                      <w:rFonts w:ascii="Times New Roman"/>
                      <w:b/>
                      <w:color w:val="FFFFFF"/>
                      <w:spacing w:val="-1"/>
                      <w:w w:val="95"/>
                      <w:sz w:val="18"/>
                    </w:rPr>
                    <w:t>eg</w:t>
                  </w:r>
                  <w:r>
                    <w:rPr>
                      <w:rFonts w:ascii="Times New Roman"/>
                      <w:b/>
                      <w:color w:val="FFFFFF"/>
                      <w:spacing w:val="-2"/>
                      <w:w w:val="95"/>
                      <w:sz w:val="18"/>
                    </w:rPr>
                    <w:t>ulatory</w:t>
                  </w:r>
                  <w:r>
                    <w:rPr>
                      <w:rFonts w:ascii="Times New Roman"/>
                      <w:b/>
                      <w:color w:val="FFFFFF"/>
                      <w:spacing w:val="-17"/>
                      <w:w w:val="95"/>
                      <w:sz w:val="18"/>
                    </w:rPr>
                    <w:t xml:space="preserve"> </w:t>
                  </w:r>
                  <w:r>
                    <w:rPr>
                      <w:rFonts w:ascii="Times New Roman"/>
                      <w:b/>
                      <w:color w:val="FFFFFF"/>
                      <w:w w:val="95"/>
                      <w:sz w:val="18"/>
                    </w:rPr>
                    <w:t>period,</w:t>
                  </w:r>
                  <w:r>
                    <w:rPr>
                      <w:rFonts w:ascii="Times New Roman"/>
                      <w:b/>
                      <w:color w:val="FFFFFF"/>
                      <w:spacing w:val="-17"/>
                      <w:w w:val="95"/>
                      <w:sz w:val="18"/>
                    </w:rPr>
                    <w:t xml:space="preserve"> </w:t>
                  </w:r>
                  <w:r>
                    <w:rPr>
                      <w:rFonts w:ascii="Times New Roman"/>
                      <w:b/>
                      <w:color w:val="FFFFFF"/>
                      <w:spacing w:val="-2"/>
                      <w:w w:val="95"/>
                      <w:sz w:val="18"/>
                    </w:rPr>
                    <w:t>form</w:t>
                  </w:r>
                  <w:r>
                    <w:rPr>
                      <w:rFonts w:ascii="Times New Roman"/>
                      <w:b/>
                      <w:color w:val="FFFFFF"/>
                      <w:spacing w:val="-17"/>
                      <w:w w:val="95"/>
                      <w:sz w:val="18"/>
                    </w:rPr>
                    <w:t xml:space="preserve"> </w:t>
                  </w:r>
                  <w:r>
                    <w:rPr>
                      <w:rFonts w:ascii="Times New Roman"/>
                      <w:b/>
                      <w:color w:val="FFFFFF"/>
                      <w:w w:val="95"/>
                      <w:sz w:val="18"/>
                    </w:rPr>
                    <w:t>of</w:t>
                  </w:r>
                  <w:r>
                    <w:rPr>
                      <w:rFonts w:ascii="Times New Roman"/>
                      <w:b/>
                      <w:color w:val="FFFFFF"/>
                      <w:spacing w:val="-17"/>
                      <w:w w:val="95"/>
                      <w:sz w:val="18"/>
                    </w:rPr>
                    <w:t xml:space="preserve"> </w:t>
                  </w:r>
                  <w:r>
                    <w:rPr>
                      <w:rFonts w:ascii="Times New Roman"/>
                      <w:b/>
                      <w:color w:val="FFFFFF"/>
                      <w:spacing w:val="-2"/>
                      <w:w w:val="95"/>
                      <w:sz w:val="18"/>
                    </w:rPr>
                    <w:t>r</w:t>
                  </w:r>
                  <w:r>
                    <w:rPr>
                      <w:rFonts w:ascii="Times New Roman"/>
                      <w:b/>
                      <w:color w:val="FFFFFF"/>
                      <w:spacing w:val="-1"/>
                      <w:w w:val="95"/>
                      <w:sz w:val="18"/>
                    </w:rPr>
                    <w:t>eg</w:t>
                  </w:r>
                  <w:r>
                    <w:rPr>
                      <w:rFonts w:ascii="Times New Roman"/>
                      <w:b/>
                      <w:color w:val="FFFFFF"/>
                      <w:spacing w:val="-2"/>
                      <w:w w:val="95"/>
                      <w:sz w:val="18"/>
                    </w:rPr>
                    <w:t>ulatory</w:t>
                  </w:r>
                  <w:r>
                    <w:rPr>
                      <w:rFonts w:ascii="Times New Roman"/>
                      <w:b/>
                      <w:color w:val="FFFFFF"/>
                      <w:spacing w:val="-17"/>
                      <w:w w:val="95"/>
                      <w:sz w:val="18"/>
                    </w:rPr>
                    <w:t xml:space="preserve"> </w:t>
                  </w:r>
                  <w:r>
                    <w:rPr>
                      <w:rFonts w:ascii="Times New Roman"/>
                      <w:b/>
                      <w:color w:val="FFFFFF"/>
                      <w:spacing w:val="-1"/>
                      <w:w w:val="95"/>
                      <w:sz w:val="18"/>
                    </w:rPr>
                    <w:t>cont</w:t>
                  </w:r>
                  <w:r>
                    <w:rPr>
                      <w:rFonts w:ascii="Times New Roman"/>
                      <w:b/>
                      <w:color w:val="FFFFFF"/>
                      <w:spacing w:val="-2"/>
                      <w:w w:val="95"/>
                      <w:sz w:val="18"/>
                    </w:rPr>
                    <w:t>r</w:t>
                  </w:r>
                  <w:r>
                    <w:rPr>
                      <w:rFonts w:ascii="Times New Roman"/>
                      <w:b/>
                      <w:color w:val="FFFFFF"/>
                      <w:spacing w:val="-1"/>
                      <w:w w:val="95"/>
                      <w:sz w:val="18"/>
                    </w:rPr>
                    <w:t>ol</w:t>
                  </w:r>
                  <w:r>
                    <w:rPr>
                      <w:rFonts w:ascii="Times New Roman"/>
                      <w:b/>
                      <w:color w:val="FFFFFF"/>
                      <w:spacing w:val="-17"/>
                      <w:w w:val="95"/>
                      <w:sz w:val="18"/>
                    </w:rPr>
                    <w:t xml:space="preserve"> </w:t>
                  </w:r>
                  <w:r>
                    <w:rPr>
                      <w:rFonts w:ascii="Times New Roman"/>
                      <w:b/>
                      <w:color w:val="FFFFFF"/>
                      <w:w w:val="95"/>
                      <w:sz w:val="18"/>
                    </w:rPr>
                    <w:t>and</w:t>
                  </w:r>
                  <w:r>
                    <w:rPr>
                      <w:rFonts w:ascii="Times New Roman"/>
                      <w:b/>
                      <w:color w:val="FFFFFF"/>
                      <w:spacing w:val="-17"/>
                      <w:w w:val="95"/>
                      <w:sz w:val="18"/>
                    </w:rPr>
                    <w:t xml:space="preserve"> </w:t>
                  </w:r>
                  <w:r>
                    <w:rPr>
                      <w:rFonts w:ascii="Times New Roman"/>
                      <w:b/>
                      <w:color w:val="FFFFFF"/>
                      <w:spacing w:val="-1"/>
                      <w:w w:val="95"/>
                      <w:sz w:val="18"/>
                    </w:rPr>
                    <w:t>o</w:t>
                  </w:r>
                  <w:r>
                    <w:rPr>
                      <w:rFonts w:ascii="Times New Roman"/>
                      <w:b/>
                      <w:color w:val="FFFFFF"/>
                      <w:spacing w:val="-2"/>
                      <w:w w:val="95"/>
                      <w:sz w:val="18"/>
                    </w:rPr>
                    <w:t>t</w:t>
                  </w:r>
                  <w:r>
                    <w:rPr>
                      <w:rFonts w:ascii="Times New Roman"/>
                      <w:b/>
                      <w:color w:val="FFFFFF"/>
                      <w:spacing w:val="-1"/>
                      <w:w w:val="95"/>
                      <w:sz w:val="18"/>
                    </w:rPr>
                    <w:t>he</w:t>
                  </w:r>
                  <w:r>
                    <w:rPr>
                      <w:rFonts w:ascii="Times New Roman"/>
                      <w:b/>
                      <w:color w:val="FFFFFF"/>
                      <w:spacing w:val="-2"/>
                      <w:w w:val="95"/>
                      <w:sz w:val="18"/>
                    </w:rPr>
                    <w:t>r</w:t>
                  </w:r>
                  <w:r>
                    <w:rPr>
                      <w:rFonts w:ascii="Times New Roman"/>
                      <w:b/>
                      <w:color w:val="FFFFFF"/>
                      <w:spacing w:val="53"/>
                      <w:w w:val="72"/>
                      <w:sz w:val="18"/>
                    </w:rPr>
                    <w:t xml:space="preserve"> </w:t>
                  </w:r>
                  <w:r>
                    <w:rPr>
                      <w:rFonts w:ascii="Times New Roman"/>
                      <w:b/>
                      <w:color w:val="FFFFFF"/>
                      <w:w w:val="95"/>
                      <w:sz w:val="18"/>
                    </w:rPr>
                    <w:t>mechanisms</w:t>
                  </w:r>
                  <w:r>
                    <w:rPr>
                      <w:rFonts w:ascii="Times New Roman"/>
                      <w:b/>
                      <w:color w:val="FFFFFF"/>
                      <w:spacing w:val="-19"/>
                      <w:w w:val="95"/>
                      <w:sz w:val="18"/>
                    </w:rPr>
                    <w:t xml:space="preserve"> </w:t>
                  </w:r>
                  <w:r>
                    <w:rPr>
                      <w:rFonts w:ascii="Times New Roman"/>
                      <w:b/>
                      <w:color w:val="FFFFFF"/>
                      <w:w w:val="95"/>
                      <w:sz w:val="18"/>
                    </w:rPr>
                    <w:t>to</w:t>
                  </w:r>
                  <w:r>
                    <w:rPr>
                      <w:rFonts w:ascii="Times New Roman"/>
                      <w:b/>
                      <w:color w:val="FFFFFF"/>
                      <w:spacing w:val="-18"/>
                      <w:w w:val="95"/>
                      <w:sz w:val="18"/>
                    </w:rPr>
                    <w:t xml:space="preserve"> </w:t>
                  </w:r>
                  <w:r>
                    <w:rPr>
                      <w:rFonts w:ascii="Times New Roman"/>
                      <w:b/>
                      <w:color w:val="FFFFFF"/>
                      <w:w w:val="95"/>
                      <w:sz w:val="18"/>
                    </w:rPr>
                    <w:t>deal</w:t>
                  </w:r>
                  <w:r>
                    <w:rPr>
                      <w:rFonts w:ascii="Times New Roman"/>
                      <w:b/>
                      <w:color w:val="FFFFFF"/>
                      <w:spacing w:val="-19"/>
                      <w:w w:val="95"/>
                      <w:sz w:val="18"/>
                    </w:rPr>
                    <w:t xml:space="preserve"> </w:t>
                  </w:r>
                  <w:r>
                    <w:rPr>
                      <w:rFonts w:ascii="Times New Roman"/>
                      <w:b/>
                      <w:color w:val="FFFFFF"/>
                      <w:spacing w:val="-2"/>
                      <w:w w:val="95"/>
                      <w:sz w:val="18"/>
                    </w:rPr>
                    <w:t>with</w:t>
                  </w:r>
                  <w:r>
                    <w:rPr>
                      <w:rFonts w:ascii="Times New Roman"/>
                      <w:b/>
                      <w:color w:val="FFFFFF"/>
                      <w:spacing w:val="-17"/>
                      <w:w w:val="95"/>
                      <w:sz w:val="18"/>
                    </w:rPr>
                    <w:t xml:space="preserve"> </w:t>
                  </w:r>
                  <w:r>
                    <w:rPr>
                      <w:rFonts w:ascii="Times New Roman"/>
                      <w:b/>
                      <w:color w:val="FFFFFF"/>
                      <w:spacing w:val="-2"/>
                      <w:w w:val="95"/>
                      <w:sz w:val="18"/>
                    </w:rPr>
                    <w:t>r</w:t>
                  </w:r>
                  <w:r>
                    <w:rPr>
                      <w:rFonts w:ascii="Times New Roman"/>
                      <w:b/>
                      <w:color w:val="FFFFFF"/>
                      <w:spacing w:val="-1"/>
                      <w:w w:val="95"/>
                      <w:sz w:val="18"/>
                    </w:rPr>
                    <w:t>isk</w:t>
                  </w:r>
                  <w:r>
                    <w:rPr>
                      <w:rFonts w:ascii="Times New Roman"/>
                      <w:b/>
                      <w:color w:val="FFFFFF"/>
                      <w:spacing w:val="-18"/>
                      <w:w w:val="95"/>
                      <w:sz w:val="18"/>
                    </w:rPr>
                    <w:t xml:space="preserve"> </w:t>
                  </w:r>
                  <w:r>
                    <w:rPr>
                      <w:rFonts w:ascii="Times New Roman"/>
                      <w:b/>
                      <w:color w:val="FFFFFF"/>
                      <w:w w:val="95"/>
                      <w:sz w:val="18"/>
                    </w:rPr>
                    <w:t>and</w:t>
                  </w:r>
                  <w:r>
                    <w:rPr>
                      <w:rFonts w:ascii="Times New Roman"/>
                      <w:b/>
                      <w:color w:val="FFFFFF"/>
                      <w:spacing w:val="-17"/>
                      <w:w w:val="95"/>
                      <w:sz w:val="18"/>
                    </w:rPr>
                    <w:t xml:space="preserve"> </w:t>
                  </w:r>
                  <w:r>
                    <w:rPr>
                      <w:rFonts w:ascii="Times New Roman"/>
                      <w:b/>
                      <w:color w:val="FFFFFF"/>
                      <w:spacing w:val="-2"/>
                      <w:w w:val="95"/>
                      <w:sz w:val="18"/>
                    </w:rPr>
                    <w:t>un</w:t>
                  </w:r>
                  <w:r>
                    <w:rPr>
                      <w:rFonts w:ascii="Times New Roman"/>
                      <w:b/>
                      <w:color w:val="FFFFFF"/>
                      <w:spacing w:val="-1"/>
                      <w:w w:val="95"/>
                      <w:sz w:val="18"/>
                    </w:rPr>
                    <w:t>ce</w:t>
                  </w:r>
                  <w:r>
                    <w:rPr>
                      <w:rFonts w:ascii="Times New Roman"/>
                      <w:b/>
                      <w:color w:val="FFFFFF"/>
                      <w:spacing w:val="-2"/>
                      <w:w w:val="95"/>
                      <w:sz w:val="18"/>
                    </w:rPr>
                    <w:t>rtainty</w:t>
                  </w:r>
                </w:p>
                <w:p w:rsidR="008A79D5" w:rsidRDefault="008A79D5">
                  <w:pPr>
                    <w:spacing w:line="206" w:lineRule="exact"/>
                    <w:jc w:val="center"/>
                    <w:rPr>
                      <w:rFonts w:ascii="Times New Roman" w:eastAsia="Times New Roman" w:hAnsi="Times New Roman" w:cs="Times New Roman"/>
                      <w:sz w:val="18"/>
                      <w:szCs w:val="18"/>
                    </w:rPr>
                  </w:pPr>
                  <w:r>
                    <w:rPr>
                      <w:rFonts w:ascii="Times New Roman" w:eastAsia="Times New Roman" w:hAnsi="Times New Roman" w:cs="Times New Roman"/>
                      <w:color w:val="FFFFFF"/>
                      <w:spacing w:val="-2"/>
                      <w:w w:val="95"/>
                      <w:sz w:val="18"/>
                      <w:szCs w:val="18"/>
                    </w:rPr>
                    <w:t>(</w:t>
                  </w:r>
                  <w:r>
                    <w:rPr>
                      <w:rFonts w:ascii="Times New Roman" w:eastAsia="Times New Roman" w:hAnsi="Times New Roman" w:cs="Times New Roman"/>
                      <w:color w:val="FFFFFF"/>
                      <w:spacing w:val="-1"/>
                      <w:w w:val="95"/>
                      <w:sz w:val="18"/>
                      <w:szCs w:val="18"/>
                    </w:rPr>
                    <w:t>Step</w:t>
                  </w:r>
                  <w:r>
                    <w:rPr>
                      <w:rFonts w:ascii="Times New Roman" w:eastAsia="Times New Roman" w:hAnsi="Times New Roman" w:cs="Times New Roman"/>
                      <w:color w:val="FFFFFF"/>
                      <w:spacing w:val="-29"/>
                      <w:w w:val="95"/>
                      <w:sz w:val="18"/>
                      <w:szCs w:val="18"/>
                    </w:rPr>
                    <w:t xml:space="preserve"> </w:t>
                  </w:r>
                  <w:r>
                    <w:rPr>
                      <w:rFonts w:ascii="Times New Roman" w:eastAsia="Times New Roman" w:hAnsi="Times New Roman" w:cs="Times New Roman"/>
                      <w:color w:val="FFFFFF"/>
                      <w:w w:val="95"/>
                      <w:sz w:val="18"/>
                      <w:szCs w:val="18"/>
                    </w:rPr>
                    <w:t>4</w:t>
                  </w:r>
                  <w:r>
                    <w:rPr>
                      <w:rFonts w:ascii="Times New Roman" w:eastAsia="Times New Roman" w:hAnsi="Times New Roman" w:cs="Times New Roman"/>
                      <w:color w:val="FFFFFF"/>
                      <w:spacing w:val="-29"/>
                      <w:w w:val="95"/>
                      <w:sz w:val="18"/>
                      <w:szCs w:val="18"/>
                    </w:rPr>
                    <w:t xml:space="preserve"> </w:t>
                  </w:r>
                  <w:r>
                    <w:rPr>
                      <w:rFonts w:ascii="Times New Roman" w:eastAsia="Times New Roman" w:hAnsi="Times New Roman" w:cs="Times New Roman"/>
                      <w:color w:val="FFFFFF"/>
                      <w:w w:val="95"/>
                      <w:sz w:val="18"/>
                      <w:szCs w:val="18"/>
                    </w:rPr>
                    <w:t>of</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the</w:t>
                  </w:r>
                  <w:r>
                    <w:rPr>
                      <w:rFonts w:ascii="Times New Roman" w:eastAsia="Times New Roman" w:hAnsi="Times New Roman" w:cs="Times New Roman"/>
                      <w:color w:val="FFFFFF"/>
                      <w:spacing w:val="-29"/>
                      <w:w w:val="95"/>
                      <w:sz w:val="18"/>
                      <w:szCs w:val="18"/>
                    </w:rPr>
                    <w:t xml:space="preserve"> </w:t>
                  </w:r>
                  <w:r>
                    <w:rPr>
                      <w:rFonts w:ascii="Times New Roman" w:eastAsia="Times New Roman" w:hAnsi="Times New Roman" w:cs="Times New Roman"/>
                      <w:color w:val="FFFFFF"/>
                      <w:w w:val="95"/>
                      <w:sz w:val="18"/>
                      <w:szCs w:val="18"/>
                    </w:rPr>
                    <w:t>Panel’s</w:t>
                  </w:r>
                  <w:r>
                    <w:rPr>
                      <w:rFonts w:ascii="Times New Roman" w:eastAsia="Times New Roman" w:hAnsi="Times New Roman" w:cs="Times New Roman"/>
                      <w:color w:val="FFFFFF"/>
                      <w:spacing w:val="-29"/>
                      <w:w w:val="95"/>
                      <w:sz w:val="18"/>
                      <w:szCs w:val="18"/>
                    </w:rPr>
                    <w:t xml:space="preserve"> </w:t>
                  </w:r>
                  <w:r>
                    <w:rPr>
                      <w:rFonts w:ascii="Times New Roman" w:eastAsia="Times New Roman" w:hAnsi="Times New Roman" w:cs="Times New Roman"/>
                      <w:color w:val="FFFFFF"/>
                      <w:w w:val="95"/>
                      <w:sz w:val="18"/>
                      <w:szCs w:val="18"/>
                    </w:rPr>
                    <w:t>analytical</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framework)</w:t>
                  </w:r>
                </w:p>
              </w:txbxContent>
            </v:textbox>
          </v:shape>
        </w:pict>
      </w:r>
    </w:p>
    <w:p w:rsidR="00D96B91" w:rsidRDefault="00D96B91">
      <w:pPr>
        <w:spacing w:before="8"/>
        <w:rPr>
          <w:rFonts w:ascii="Avenir Next" w:eastAsia="Avenir Next" w:hAnsi="Avenir Next" w:cs="Avenir Next"/>
          <w:b/>
          <w:bCs/>
          <w:sz w:val="16"/>
          <w:szCs w:val="16"/>
        </w:rPr>
      </w:pPr>
    </w:p>
    <w:p w:rsidR="00D96B91" w:rsidRDefault="00D96B91">
      <w:pPr>
        <w:pStyle w:val="BodyText"/>
        <w:tabs>
          <w:tab w:val="left" w:pos="4786"/>
        </w:tabs>
        <w:spacing w:line="200" w:lineRule="atLeast"/>
        <w:ind w:left="2379"/>
        <w:rPr>
          <w:rFonts w:cs="Avenir Next"/>
        </w:rPr>
      </w:pPr>
      <w:r w:rsidRPr="00D96B91">
        <w:pict>
          <v:shape id="_x0000_s3310" type="#_x0000_t202" style="width:98.5pt;height:57.45pt;mso-left-percent:-10001;mso-top-percent:-10001;mso-position-horizontal:absolute;mso-position-horizontal-relative:char;mso-position-vertical:absolute;mso-position-vertical-relative:line;mso-left-percent:-10001;mso-top-percent:-10001" fillcolor="#dbdcde" strokeweight=".24131mm">
            <v:textbox style="mso-next-textbox:#_x0000_s3310" inset="0,0,0,0">
              <w:txbxContent>
                <w:p w:rsidR="008A79D5" w:rsidRDefault="008A79D5">
                  <w:pPr>
                    <w:spacing w:before="66" w:line="271" w:lineRule="auto"/>
                    <w:ind w:left="748" w:right="251" w:hanging="499"/>
                    <w:rPr>
                      <w:rFonts w:ascii="Times New Roman" w:eastAsia="Times New Roman" w:hAnsi="Times New Roman" w:cs="Times New Roman"/>
                      <w:sz w:val="18"/>
                      <w:szCs w:val="18"/>
                    </w:rPr>
                  </w:pPr>
                  <w:r>
                    <w:rPr>
                      <w:rFonts w:ascii="Times New Roman"/>
                      <w:b/>
                      <w:w w:val="90"/>
                      <w:sz w:val="18"/>
                    </w:rPr>
                    <w:t>Length</w:t>
                  </w:r>
                  <w:r>
                    <w:rPr>
                      <w:rFonts w:ascii="Times New Roman"/>
                      <w:b/>
                      <w:spacing w:val="3"/>
                      <w:w w:val="90"/>
                      <w:sz w:val="18"/>
                    </w:rPr>
                    <w:t xml:space="preserve"> </w:t>
                  </w:r>
                  <w:r>
                    <w:rPr>
                      <w:rFonts w:ascii="Times New Roman"/>
                      <w:b/>
                      <w:spacing w:val="-1"/>
                      <w:w w:val="90"/>
                      <w:sz w:val="18"/>
                    </w:rPr>
                    <w:t>o</w:t>
                  </w:r>
                  <w:r>
                    <w:rPr>
                      <w:rFonts w:ascii="Times New Roman"/>
                      <w:b/>
                      <w:spacing w:val="-2"/>
                      <w:w w:val="90"/>
                      <w:sz w:val="18"/>
                    </w:rPr>
                    <w:t>f</w:t>
                  </w:r>
                  <w:r>
                    <w:rPr>
                      <w:rFonts w:ascii="Times New Roman"/>
                      <w:b/>
                      <w:spacing w:val="3"/>
                      <w:w w:val="90"/>
                      <w:sz w:val="18"/>
                    </w:rPr>
                    <w:t xml:space="preserve"> </w:t>
                  </w:r>
                  <w:r>
                    <w:rPr>
                      <w:rFonts w:ascii="Times New Roman"/>
                      <w:b/>
                      <w:spacing w:val="-2"/>
                      <w:w w:val="90"/>
                      <w:sz w:val="18"/>
                    </w:rPr>
                    <w:t>r</w:t>
                  </w:r>
                  <w:r>
                    <w:rPr>
                      <w:rFonts w:ascii="Times New Roman"/>
                      <w:b/>
                      <w:spacing w:val="-1"/>
                      <w:w w:val="90"/>
                      <w:sz w:val="18"/>
                    </w:rPr>
                    <w:t>egu</w:t>
                  </w:r>
                  <w:r>
                    <w:rPr>
                      <w:rFonts w:ascii="Times New Roman"/>
                      <w:b/>
                      <w:spacing w:val="-2"/>
                      <w:w w:val="90"/>
                      <w:sz w:val="18"/>
                    </w:rPr>
                    <w:t>lat</w:t>
                  </w:r>
                  <w:r>
                    <w:rPr>
                      <w:rFonts w:ascii="Times New Roman"/>
                      <w:b/>
                      <w:spacing w:val="-1"/>
                      <w:w w:val="90"/>
                      <w:sz w:val="18"/>
                    </w:rPr>
                    <w:t>o</w:t>
                  </w:r>
                  <w:r>
                    <w:rPr>
                      <w:rFonts w:ascii="Times New Roman"/>
                      <w:b/>
                      <w:spacing w:val="-2"/>
                      <w:w w:val="90"/>
                      <w:sz w:val="18"/>
                    </w:rPr>
                    <w:t>r</w:t>
                  </w:r>
                  <w:r>
                    <w:rPr>
                      <w:rFonts w:ascii="Times New Roman"/>
                      <w:b/>
                      <w:spacing w:val="-1"/>
                      <w:w w:val="90"/>
                      <w:sz w:val="18"/>
                    </w:rPr>
                    <w:t>y</w:t>
                  </w:r>
                  <w:r>
                    <w:rPr>
                      <w:rFonts w:ascii="Times New Roman"/>
                      <w:b/>
                      <w:spacing w:val="20"/>
                      <w:w w:val="92"/>
                      <w:sz w:val="18"/>
                    </w:rPr>
                    <w:t xml:space="preserve"> </w:t>
                  </w:r>
                  <w:r>
                    <w:rPr>
                      <w:rFonts w:ascii="Times New Roman"/>
                      <w:b/>
                      <w:spacing w:val="-2"/>
                      <w:sz w:val="18"/>
                    </w:rPr>
                    <w:t>period</w:t>
                  </w:r>
                </w:p>
              </w:txbxContent>
            </v:textbox>
          </v:shape>
        </w:pict>
      </w:r>
      <w:r w:rsidR="00C2656B">
        <w:tab/>
      </w:r>
      <w:r>
        <w:pict>
          <v:shape id="_x0000_s3309" type="#_x0000_t202" style="width:175.1pt;height:57.45pt;mso-left-percent:-10001;mso-top-percent:-10001;mso-position-horizontal:absolute;mso-position-horizontal-relative:char;mso-position-vertical:absolute;mso-position-vertical-relative:line;mso-left-percent:-10001;mso-top-percent:-10001" filled="f" strokeweight=".24131mm">
            <v:textbox style="mso-next-textbox:#_x0000_s3309" inset="0,0,0,0">
              <w:txbxContent>
                <w:p w:rsidR="008A79D5" w:rsidRDefault="008A79D5">
                  <w:pPr>
                    <w:spacing w:before="71"/>
                    <w:ind w:left="131"/>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spacing w:val="-2"/>
                      <w:w w:val="90"/>
                      <w:sz w:val="16"/>
                      <w:szCs w:val="16"/>
                    </w:rPr>
                    <w:t>IC</w:t>
                  </w:r>
                  <w:r>
                    <w:rPr>
                      <w:rFonts w:ascii="Times New Roman" w:eastAsia="Times New Roman" w:hAnsi="Times New Roman" w:cs="Times New Roman"/>
                      <w:spacing w:val="-1"/>
                      <w:w w:val="90"/>
                      <w:sz w:val="16"/>
                      <w:szCs w:val="16"/>
                    </w:rPr>
                    <w:t>RC</w:t>
                  </w:r>
                  <w:r>
                    <w:rPr>
                      <w:rFonts w:ascii="Times New Roman" w:eastAsia="Times New Roman" w:hAnsi="Times New Roman" w:cs="Times New Roman"/>
                      <w:spacing w:val="-2"/>
                      <w:w w:val="90"/>
                      <w:sz w:val="16"/>
                      <w:szCs w:val="16"/>
                    </w:rPr>
                    <w:t>’</w:t>
                  </w:r>
                  <w:r>
                    <w:rPr>
                      <w:rFonts w:ascii="Times New Roman" w:eastAsia="Times New Roman" w:hAnsi="Times New Roman" w:cs="Times New Roman"/>
                      <w:spacing w:val="-1"/>
                      <w:w w:val="90"/>
                      <w:sz w:val="16"/>
                      <w:szCs w:val="16"/>
                    </w:rPr>
                    <w:t>s</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2"/>
                      <w:w w:val="90"/>
                      <w:sz w:val="16"/>
                      <w:szCs w:val="16"/>
                    </w:rPr>
                    <w:t>final</w:t>
                  </w:r>
                  <w:r>
                    <w:rPr>
                      <w:rFonts w:ascii="Times New Roman" w:eastAsia="Times New Roman" w:hAnsi="Times New Roman" w:cs="Times New Roman"/>
                      <w:spacing w:val="2"/>
                      <w:w w:val="90"/>
                      <w:sz w:val="16"/>
                      <w:szCs w:val="16"/>
                    </w:rPr>
                    <w:t xml:space="preserve"> </w:t>
                  </w:r>
                  <w:r>
                    <w:rPr>
                      <w:rFonts w:ascii="Times New Roman" w:eastAsia="Times New Roman" w:hAnsi="Times New Roman" w:cs="Times New Roman"/>
                      <w:spacing w:val="-1"/>
                      <w:w w:val="90"/>
                      <w:sz w:val="16"/>
                      <w:szCs w:val="16"/>
                    </w:rPr>
                    <w:t>decis</w:t>
                  </w:r>
                  <w:r>
                    <w:rPr>
                      <w:rFonts w:ascii="Times New Roman" w:eastAsia="Times New Roman" w:hAnsi="Times New Roman" w:cs="Times New Roman"/>
                      <w:spacing w:val="-2"/>
                      <w:w w:val="90"/>
                      <w:sz w:val="16"/>
                      <w:szCs w:val="16"/>
                    </w:rPr>
                    <w:t>i</w:t>
                  </w:r>
                  <w:r>
                    <w:rPr>
                      <w:rFonts w:ascii="Times New Roman" w:eastAsia="Times New Roman" w:hAnsi="Times New Roman" w:cs="Times New Roman"/>
                      <w:spacing w:val="-1"/>
                      <w:w w:val="90"/>
                      <w:sz w:val="16"/>
                      <w:szCs w:val="16"/>
                    </w:rPr>
                    <w:t>on</w:t>
                  </w:r>
                </w:p>
                <w:p w:rsidR="008A79D5" w:rsidRDefault="008A79D5">
                  <w:pPr>
                    <w:spacing w:before="111"/>
                    <w:ind w:left="131"/>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9"/>
                      <w:w w:val="95"/>
                      <w:sz w:val="16"/>
                    </w:rPr>
                    <w:t xml:space="preserve"> </w:t>
                  </w:r>
                  <w:r>
                    <w:rPr>
                      <w:rFonts w:ascii="Times New Roman"/>
                      <w:b/>
                      <w:spacing w:val="-1"/>
                      <w:w w:val="95"/>
                      <w:sz w:val="16"/>
                    </w:rPr>
                    <w:t>co</w:t>
                  </w:r>
                  <w:r>
                    <w:rPr>
                      <w:rFonts w:ascii="Times New Roman"/>
                      <w:b/>
                      <w:spacing w:val="-2"/>
                      <w:w w:val="95"/>
                      <w:sz w:val="16"/>
                    </w:rPr>
                    <w:t>n</w:t>
                  </w:r>
                  <w:r>
                    <w:rPr>
                      <w:rFonts w:ascii="Times New Roman"/>
                      <w:b/>
                      <w:spacing w:val="-1"/>
                      <w:w w:val="95"/>
                      <w:sz w:val="16"/>
                    </w:rPr>
                    <w:t>s</w:t>
                  </w:r>
                  <w:r>
                    <w:rPr>
                      <w:rFonts w:ascii="Times New Roman"/>
                      <w:b/>
                      <w:spacing w:val="-2"/>
                      <w:w w:val="95"/>
                      <w:sz w:val="16"/>
                    </w:rPr>
                    <w:t>id</w:t>
                  </w:r>
                  <w:r>
                    <w:rPr>
                      <w:rFonts w:ascii="Times New Roman"/>
                      <w:b/>
                      <w:spacing w:val="-1"/>
                      <w:w w:val="95"/>
                      <w:sz w:val="16"/>
                    </w:rPr>
                    <w:t>e</w:t>
                  </w:r>
                  <w:r>
                    <w:rPr>
                      <w:rFonts w:ascii="Times New Roman"/>
                      <w:b/>
                      <w:spacing w:val="-2"/>
                      <w:w w:val="95"/>
                      <w:sz w:val="16"/>
                    </w:rPr>
                    <w:t>r</w:t>
                  </w:r>
                  <w:r>
                    <w:rPr>
                      <w:rFonts w:ascii="Times New Roman"/>
                      <w:b/>
                      <w:spacing w:val="-1"/>
                      <w:w w:val="95"/>
                      <w:sz w:val="16"/>
                    </w:rPr>
                    <w:t>ed</w:t>
                  </w:r>
                  <w:r>
                    <w:rPr>
                      <w:rFonts w:ascii="Times New Roman"/>
                      <w:spacing w:val="-2"/>
                      <w:w w:val="95"/>
                      <w:sz w:val="16"/>
                    </w:rPr>
                    <w:t>:</w:t>
                  </w:r>
                </w:p>
                <w:p w:rsidR="008A79D5" w:rsidRDefault="008A79D5">
                  <w:pPr>
                    <w:spacing w:before="21" w:line="280" w:lineRule="auto"/>
                    <w:ind w:left="131" w:right="716"/>
                    <w:rPr>
                      <w:rFonts w:ascii="Times New Roman" w:eastAsia="Times New Roman" w:hAnsi="Times New Roman" w:cs="Times New Roman"/>
                      <w:sz w:val="16"/>
                      <w:szCs w:val="16"/>
                    </w:rPr>
                  </w:pPr>
                  <w:r>
                    <w:rPr>
                      <w:rFonts w:ascii="Times New Roman"/>
                      <w:spacing w:val="-1"/>
                      <w:w w:val="95"/>
                      <w:sz w:val="16"/>
                    </w:rPr>
                    <w:t>Su</w:t>
                  </w:r>
                  <w:r>
                    <w:rPr>
                      <w:rFonts w:ascii="Times New Roman"/>
                      <w:spacing w:val="-2"/>
                      <w:w w:val="95"/>
                      <w:sz w:val="16"/>
                    </w:rPr>
                    <w:t>bmi</w:t>
                  </w:r>
                  <w:r>
                    <w:rPr>
                      <w:rFonts w:ascii="Times New Roman"/>
                      <w:spacing w:val="-1"/>
                      <w:w w:val="95"/>
                      <w:sz w:val="16"/>
                    </w:rPr>
                    <w:t>ss</w:t>
                  </w:r>
                  <w:r>
                    <w:rPr>
                      <w:rFonts w:ascii="Times New Roman"/>
                      <w:spacing w:val="-2"/>
                      <w:w w:val="95"/>
                      <w:sz w:val="16"/>
                    </w:rPr>
                    <w:t>i</w:t>
                  </w:r>
                  <w:r>
                    <w:rPr>
                      <w:rFonts w:ascii="Times New Roman"/>
                      <w:spacing w:val="-1"/>
                      <w:w w:val="95"/>
                      <w:sz w:val="16"/>
                    </w:rPr>
                    <w:t>ons</w:t>
                  </w:r>
                  <w:r>
                    <w:rPr>
                      <w:rFonts w:ascii="Times New Roman"/>
                      <w:spacing w:val="-18"/>
                      <w:w w:val="95"/>
                      <w:sz w:val="16"/>
                    </w:rPr>
                    <w:t xml:space="preserve"> </w:t>
                  </w:r>
                  <w:r>
                    <w:rPr>
                      <w:rFonts w:ascii="Times New Roman"/>
                      <w:spacing w:val="-2"/>
                      <w:w w:val="95"/>
                      <w:sz w:val="16"/>
                    </w:rPr>
                    <w:t>from</w:t>
                  </w:r>
                  <w:r>
                    <w:rPr>
                      <w:rFonts w:ascii="Times New Roman"/>
                      <w:spacing w:val="-18"/>
                      <w:w w:val="95"/>
                      <w:sz w:val="16"/>
                    </w:rPr>
                    <w:t xml:space="preserve"> </w:t>
                  </w:r>
                  <w:r>
                    <w:rPr>
                      <w:rFonts w:ascii="Times New Roman"/>
                      <w:spacing w:val="-2"/>
                      <w:w w:val="95"/>
                      <w:sz w:val="16"/>
                    </w:rPr>
                    <w:t>ACTEW</w:t>
                  </w:r>
                  <w:r>
                    <w:rPr>
                      <w:rFonts w:ascii="Times New Roman"/>
                      <w:spacing w:val="-17"/>
                      <w:w w:val="95"/>
                      <w:sz w:val="16"/>
                    </w:rPr>
                    <w:t xml:space="preserve"> </w:t>
                  </w:r>
                  <w:r>
                    <w:rPr>
                      <w:rFonts w:ascii="Times New Roman"/>
                      <w:w w:val="95"/>
                      <w:sz w:val="16"/>
                    </w:rPr>
                    <w:t>and</w:t>
                  </w:r>
                  <w:r>
                    <w:rPr>
                      <w:rFonts w:ascii="Times New Roman"/>
                      <w:spacing w:val="-18"/>
                      <w:w w:val="95"/>
                      <w:sz w:val="16"/>
                    </w:rPr>
                    <w:t xml:space="preserve"> </w:t>
                  </w:r>
                  <w:r>
                    <w:rPr>
                      <w:rFonts w:ascii="Times New Roman"/>
                      <w:w w:val="95"/>
                      <w:sz w:val="16"/>
                    </w:rPr>
                    <w:t>other</w:t>
                  </w:r>
                  <w:r>
                    <w:rPr>
                      <w:rFonts w:ascii="Times New Roman"/>
                      <w:spacing w:val="-17"/>
                      <w:w w:val="95"/>
                      <w:sz w:val="16"/>
                    </w:rPr>
                    <w:t xml:space="preserve"> </w:t>
                  </w:r>
                  <w:r>
                    <w:rPr>
                      <w:rFonts w:ascii="Times New Roman"/>
                      <w:spacing w:val="-1"/>
                      <w:w w:val="95"/>
                      <w:sz w:val="16"/>
                    </w:rPr>
                    <w:t>pa</w:t>
                  </w:r>
                  <w:r>
                    <w:rPr>
                      <w:rFonts w:ascii="Times New Roman"/>
                      <w:spacing w:val="-2"/>
                      <w:w w:val="95"/>
                      <w:sz w:val="16"/>
                    </w:rPr>
                    <w:t>rti</w:t>
                  </w:r>
                  <w:r>
                    <w:rPr>
                      <w:rFonts w:ascii="Times New Roman"/>
                      <w:spacing w:val="-1"/>
                      <w:w w:val="95"/>
                      <w:sz w:val="16"/>
                    </w:rPr>
                    <w:t>es</w:t>
                  </w:r>
                  <w:r>
                    <w:rPr>
                      <w:rFonts w:ascii="Times New Roman"/>
                      <w:spacing w:val="37"/>
                      <w:w w:val="106"/>
                      <w:sz w:val="16"/>
                    </w:rPr>
                    <w:t xml:space="preserve"> </w:t>
                  </w:r>
                  <w:r>
                    <w:rPr>
                      <w:rFonts w:ascii="Times New Roman"/>
                      <w:spacing w:val="-1"/>
                      <w:w w:val="90"/>
                      <w:sz w:val="16"/>
                    </w:rPr>
                    <w:t>Regulato</w:t>
                  </w:r>
                  <w:r>
                    <w:rPr>
                      <w:rFonts w:ascii="Times New Roman"/>
                      <w:spacing w:val="-2"/>
                      <w:w w:val="90"/>
                      <w:sz w:val="16"/>
                    </w:rPr>
                    <w:t>ry</w:t>
                  </w:r>
                  <w:r>
                    <w:rPr>
                      <w:rFonts w:ascii="Times New Roman"/>
                      <w:spacing w:val="26"/>
                      <w:w w:val="90"/>
                      <w:sz w:val="16"/>
                    </w:rPr>
                    <w:t xml:space="preserve"> </w:t>
                  </w:r>
                  <w:r>
                    <w:rPr>
                      <w:rFonts w:ascii="Times New Roman"/>
                      <w:spacing w:val="-1"/>
                      <w:w w:val="90"/>
                      <w:sz w:val="16"/>
                    </w:rPr>
                    <w:t>p</w:t>
                  </w:r>
                  <w:r>
                    <w:rPr>
                      <w:rFonts w:ascii="Times New Roman"/>
                      <w:spacing w:val="-2"/>
                      <w:w w:val="90"/>
                      <w:sz w:val="16"/>
                    </w:rPr>
                    <w:t>r</w:t>
                  </w:r>
                  <w:r>
                    <w:rPr>
                      <w:rFonts w:ascii="Times New Roman"/>
                      <w:spacing w:val="-1"/>
                      <w:w w:val="90"/>
                      <w:sz w:val="16"/>
                    </w:rPr>
                    <w:t>actice</w:t>
                  </w:r>
                </w:p>
              </w:txbxContent>
            </v:textbox>
          </v:shape>
        </w:pict>
      </w: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spacing w:before="7"/>
        <w:rPr>
          <w:rFonts w:ascii="Avenir Next" w:eastAsia="Avenir Next" w:hAnsi="Avenir Next" w:cs="Avenir Next"/>
          <w:b/>
          <w:bCs/>
          <w:sz w:val="24"/>
          <w:szCs w:val="24"/>
        </w:rPr>
      </w:pPr>
    </w:p>
    <w:p w:rsidR="0037199C" w:rsidRDefault="0037199C">
      <w:pPr>
        <w:spacing w:before="7"/>
        <w:rPr>
          <w:rFonts w:ascii="Avenir Next" w:eastAsia="Avenir Next" w:hAnsi="Avenir Next" w:cs="Avenir Next"/>
          <w:b/>
          <w:bCs/>
          <w:sz w:val="24"/>
          <w:szCs w:val="24"/>
        </w:rPr>
      </w:pPr>
    </w:p>
    <w:p w:rsidR="0037199C" w:rsidRDefault="0037199C">
      <w:pPr>
        <w:spacing w:before="7"/>
        <w:rPr>
          <w:rFonts w:ascii="Avenir Next" w:eastAsia="Avenir Next" w:hAnsi="Avenir Next" w:cs="Avenir Next"/>
          <w:b/>
          <w:bCs/>
          <w:sz w:val="24"/>
          <w:szCs w:val="24"/>
        </w:rPr>
      </w:pPr>
    </w:p>
    <w:p w:rsidR="0037199C" w:rsidRDefault="0037199C">
      <w:pPr>
        <w:spacing w:before="7"/>
        <w:rPr>
          <w:rFonts w:ascii="Avenir Next" w:eastAsia="Avenir Next" w:hAnsi="Avenir Next" w:cs="Avenir Next"/>
          <w:b/>
          <w:bCs/>
          <w:sz w:val="24"/>
          <w:szCs w:val="24"/>
        </w:rPr>
      </w:pPr>
    </w:p>
    <w:p w:rsidR="00D96B91" w:rsidRDefault="00D96B91">
      <w:pPr>
        <w:spacing w:line="200" w:lineRule="atLeast"/>
        <w:ind w:left="2379"/>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308" type="#_x0000_t202" style="width:350.05pt;height:32.85pt;mso-left-percent:-10001;mso-top-percent:-10001;mso-position-horizontal:absolute;mso-position-horizontal-relative:char;mso-position-vertical:absolute;mso-position-vertical-relative:line;mso-left-percent:-10001;mso-top-percent:-10001" fillcolor="#f79646" strokeweight=".24131mm">
            <v:textbox style="mso-next-textbox:#_x0000_s3308" inset="0,0,0,0">
              <w:txbxContent>
                <w:p w:rsidR="008A79D5" w:rsidRDefault="008A79D5">
                  <w:pPr>
                    <w:spacing w:before="66"/>
                    <w:ind w:right="1"/>
                    <w:jc w:val="center"/>
                    <w:rPr>
                      <w:rFonts w:ascii="Times New Roman" w:eastAsia="Times New Roman" w:hAnsi="Times New Roman" w:cs="Times New Roman"/>
                      <w:sz w:val="18"/>
                      <w:szCs w:val="18"/>
                    </w:rPr>
                  </w:pPr>
                  <w:r>
                    <w:rPr>
                      <w:rFonts w:ascii="Times New Roman"/>
                      <w:b/>
                      <w:w w:val="95"/>
                      <w:sz w:val="18"/>
                    </w:rPr>
                    <w:t>Decision</w:t>
                  </w:r>
                  <w:r>
                    <w:rPr>
                      <w:rFonts w:ascii="Times New Roman"/>
                      <w:b/>
                      <w:spacing w:val="-21"/>
                      <w:w w:val="95"/>
                      <w:sz w:val="18"/>
                    </w:rPr>
                    <w:t xml:space="preserve"> </w:t>
                  </w:r>
                  <w:r>
                    <w:rPr>
                      <w:rFonts w:ascii="Times New Roman"/>
                      <w:b/>
                      <w:w w:val="95"/>
                      <w:sz w:val="18"/>
                    </w:rPr>
                    <w:t>about</w:t>
                  </w:r>
                  <w:r>
                    <w:rPr>
                      <w:rFonts w:ascii="Times New Roman"/>
                      <w:b/>
                      <w:spacing w:val="-21"/>
                      <w:w w:val="95"/>
                      <w:sz w:val="18"/>
                    </w:rPr>
                    <w:t xml:space="preserve"> </w:t>
                  </w:r>
                  <w:r>
                    <w:rPr>
                      <w:rFonts w:ascii="Times New Roman"/>
                      <w:b/>
                      <w:spacing w:val="-1"/>
                      <w:w w:val="95"/>
                      <w:sz w:val="18"/>
                    </w:rPr>
                    <w:t>ove</w:t>
                  </w:r>
                  <w:r>
                    <w:rPr>
                      <w:rFonts w:ascii="Times New Roman"/>
                      <w:b/>
                      <w:spacing w:val="-2"/>
                      <w:w w:val="95"/>
                      <w:sz w:val="18"/>
                    </w:rPr>
                    <w:t>rar</w:t>
                  </w:r>
                  <w:r>
                    <w:rPr>
                      <w:rFonts w:ascii="Times New Roman"/>
                      <w:b/>
                      <w:spacing w:val="-1"/>
                      <w:w w:val="95"/>
                      <w:sz w:val="18"/>
                    </w:rPr>
                    <w:t>ch</w:t>
                  </w:r>
                  <w:r>
                    <w:rPr>
                      <w:rFonts w:ascii="Times New Roman"/>
                      <w:b/>
                      <w:spacing w:val="-2"/>
                      <w:w w:val="95"/>
                      <w:sz w:val="18"/>
                    </w:rPr>
                    <w:t>in</w:t>
                  </w:r>
                  <w:r>
                    <w:rPr>
                      <w:rFonts w:ascii="Times New Roman"/>
                      <w:b/>
                      <w:spacing w:val="-1"/>
                      <w:w w:val="95"/>
                      <w:sz w:val="18"/>
                    </w:rPr>
                    <w:t>g</w:t>
                  </w:r>
                  <w:r>
                    <w:rPr>
                      <w:rFonts w:ascii="Times New Roman"/>
                      <w:b/>
                      <w:spacing w:val="-21"/>
                      <w:w w:val="95"/>
                      <w:sz w:val="18"/>
                    </w:rPr>
                    <w:t xml:space="preserve"> </w:t>
                  </w:r>
                  <w:r>
                    <w:rPr>
                      <w:rFonts w:ascii="Times New Roman"/>
                      <w:b/>
                      <w:spacing w:val="-2"/>
                      <w:w w:val="95"/>
                      <w:sz w:val="18"/>
                    </w:rPr>
                    <w:t>pri</w:t>
                  </w:r>
                  <w:r>
                    <w:rPr>
                      <w:rFonts w:ascii="Times New Roman"/>
                      <w:b/>
                      <w:spacing w:val="-1"/>
                      <w:w w:val="95"/>
                      <w:sz w:val="18"/>
                    </w:rPr>
                    <w:t>cing</w:t>
                  </w:r>
                  <w:r>
                    <w:rPr>
                      <w:rFonts w:ascii="Times New Roman"/>
                      <w:b/>
                      <w:spacing w:val="-21"/>
                      <w:w w:val="95"/>
                      <w:sz w:val="18"/>
                    </w:rPr>
                    <w:t xml:space="preserve"> </w:t>
                  </w:r>
                  <w:r>
                    <w:rPr>
                      <w:rFonts w:ascii="Times New Roman"/>
                      <w:b/>
                      <w:spacing w:val="-2"/>
                      <w:w w:val="95"/>
                      <w:sz w:val="18"/>
                    </w:rPr>
                    <w:t>m</w:t>
                  </w:r>
                  <w:r>
                    <w:rPr>
                      <w:rFonts w:ascii="Times New Roman"/>
                      <w:b/>
                      <w:spacing w:val="-1"/>
                      <w:w w:val="95"/>
                      <w:sz w:val="18"/>
                    </w:rPr>
                    <w:t>et</w:t>
                  </w:r>
                  <w:r>
                    <w:rPr>
                      <w:rFonts w:ascii="Times New Roman"/>
                      <w:b/>
                      <w:spacing w:val="-2"/>
                      <w:w w:val="95"/>
                      <w:sz w:val="18"/>
                    </w:rPr>
                    <w:t>h</w:t>
                  </w:r>
                  <w:r>
                    <w:rPr>
                      <w:rFonts w:ascii="Times New Roman"/>
                      <w:b/>
                      <w:spacing w:val="-1"/>
                      <w:w w:val="95"/>
                      <w:sz w:val="18"/>
                    </w:rPr>
                    <w:t>o</w:t>
                  </w:r>
                  <w:r>
                    <w:rPr>
                      <w:rFonts w:ascii="Times New Roman"/>
                      <w:b/>
                      <w:spacing w:val="-2"/>
                      <w:w w:val="95"/>
                      <w:sz w:val="18"/>
                    </w:rPr>
                    <w:t>d</w:t>
                  </w:r>
                  <w:r>
                    <w:rPr>
                      <w:rFonts w:ascii="Times New Roman"/>
                      <w:b/>
                      <w:spacing w:val="-1"/>
                      <w:w w:val="95"/>
                      <w:sz w:val="18"/>
                    </w:rPr>
                    <w:t>olog</w:t>
                  </w:r>
                  <w:r>
                    <w:rPr>
                      <w:rFonts w:ascii="Times New Roman"/>
                      <w:b/>
                      <w:spacing w:val="-2"/>
                      <w:w w:val="95"/>
                      <w:sz w:val="18"/>
                    </w:rPr>
                    <w:t>y</w:t>
                  </w:r>
                </w:p>
                <w:p w:rsidR="008A79D5" w:rsidRDefault="008A79D5">
                  <w:pPr>
                    <w:spacing w:before="9"/>
                    <w:jc w:val="center"/>
                    <w:rPr>
                      <w:rFonts w:ascii="Times New Roman" w:eastAsia="Times New Roman" w:hAnsi="Times New Roman" w:cs="Times New Roman"/>
                      <w:sz w:val="18"/>
                      <w:szCs w:val="18"/>
                    </w:rPr>
                  </w:pPr>
                  <w:r>
                    <w:rPr>
                      <w:rFonts w:ascii="Times New Roman" w:eastAsia="Times New Roman" w:hAnsi="Times New Roman" w:cs="Times New Roman"/>
                      <w:spacing w:val="-2"/>
                      <w:w w:val="95"/>
                      <w:sz w:val="18"/>
                      <w:szCs w:val="18"/>
                    </w:rPr>
                    <w:t>(</w:t>
                  </w:r>
                  <w:r>
                    <w:rPr>
                      <w:rFonts w:ascii="Times New Roman" w:eastAsia="Times New Roman" w:hAnsi="Times New Roman" w:cs="Times New Roman"/>
                      <w:spacing w:val="-1"/>
                      <w:w w:val="95"/>
                      <w:sz w:val="18"/>
                      <w:szCs w:val="18"/>
                    </w:rPr>
                    <w:t>Step</w:t>
                  </w:r>
                  <w:r>
                    <w:rPr>
                      <w:rFonts w:ascii="Times New Roman" w:eastAsia="Times New Roman" w:hAnsi="Times New Roman" w:cs="Times New Roman"/>
                      <w:spacing w:val="-29"/>
                      <w:w w:val="95"/>
                      <w:sz w:val="18"/>
                      <w:szCs w:val="18"/>
                    </w:rPr>
                    <w:t xml:space="preserve"> </w:t>
                  </w:r>
                  <w:r>
                    <w:rPr>
                      <w:rFonts w:ascii="Times New Roman" w:eastAsia="Times New Roman" w:hAnsi="Times New Roman" w:cs="Times New Roman"/>
                      <w:w w:val="95"/>
                      <w:sz w:val="18"/>
                      <w:szCs w:val="18"/>
                    </w:rPr>
                    <w:t>5</w:t>
                  </w:r>
                  <w:r>
                    <w:rPr>
                      <w:rFonts w:ascii="Times New Roman" w:eastAsia="Times New Roman" w:hAnsi="Times New Roman" w:cs="Times New Roman"/>
                      <w:spacing w:val="-29"/>
                      <w:w w:val="95"/>
                      <w:sz w:val="18"/>
                      <w:szCs w:val="18"/>
                    </w:rPr>
                    <w:t xml:space="preserve"> </w:t>
                  </w:r>
                  <w:r>
                    <w:rPr>
                      <w:rFonts w:ascii="Times New Roman" w:eastAsia="Times New Roman" w:hAnsi="Times New Roman" w:cs="Times New Roman"/>
                      <w:w w:val="95"/>
                      <w:sz w:val="18"/>
                      <w:szCs w:val="18"/>
                    </w:rPr>
                    <w:t>of</w:t>
                  </w:r>
                  <w:r>
                    <w:rPr>
                      <w:rFonts w:ascii="Times New Roman" w:eastAsia="Times New Roman" w:hAnsi="Times New Roman" w:cs="Times New Roman"/>
                      <w:spacing w:val="-28"/>
                      <w:w w:val="95"/>
                      <w:sz w:val="18"/>
                      <w:szCs w:val="18"/>
                    </w:rPr>
                    <w:t xml:space="preserve"> </w:t>
                  </w:r>
                  <w:r>
                    <w:rPr>
                      <w:rFonts w:ascii="Times New Roman" w:eastAsia="Times New Roman" w:hAnsi="Times New Roman" w:cs="Times New Roman"/>
                      <w:w w:val="95"/>
                      <w:sz w:val="18"/>
                      <w:szCs w:val="18"/>
                    </w:rPr>
                    <w:t>the</w:t>
                  </w:r>
                  <w:r>
                    <w:rPr>
                      <w:rFonts w:ascii="Times New Roman" w:eastAsia="Times New Roman" w:hAnsi="Times New Roman" w:cs="Times New Roman"/>
                      <w:spacing w:val="-29"/>
                      <w:w w:val="95"/>
                      <w:sz w:val="18"/>
                      <w:szCs w:val="18"/>
                    </w:rPr>
                    <w:t xml:space="preserve"> </w:t>
                  </w:r>
                  <w:r>
                    <w:rPr>
                      <w:rFonts w:ascii="Times New Roman" w:eastAsia="Times New Roman" w:hAnsi="Times New Roman" w:cs="Times New Roman"/>
                      <w:w w:val="95"/>
                      <w:sz w:val="18"/>
                      <w:szCs w:val="18"/>
                    </w:rPr>
                    <w:t>Panel’s</w:t>
                  </w:r>
                  <w:r>
                    <w:rPr>
                      <w:rFonts w:ascii="Times New Roman" w:eastAsia="Times New Roman" w:hAnsi="Times New Roman" w:cs="Times New Roman"/>
                      <w:spacing w:val="-29"/>
                      <w:w w:val="95"/>
                      <w:sz w:val="18"/>
                      <w:szCs w:val="18"/>
                    </w:rPr>
                    <w:t xml:space="preserve"> </w:t>
                  </w:r>
                  <w:r>
                    <w:rPr>
                      <w:rFonts w:ascii="Times New Roman" w:eastAsia="Times New Roman" w:hAnsi="Times New Roman" w:cs="Times New Roman"/>
                      <w:w w:val="95"/>
                      <w:sz w:val="18"/>
                      <w:szCs w:val="18"/>
                    </w:rPr>
                    <w:t>analytical</w:t>
                  </w:r>
                  <w:r>
                    <w:rPr>
                      <w:rFonts w:ascii="Times New Roman" w:eastAsia="Times New Roman" w:hAnsi="Times New Roman" w:cs="Times New Roman"/>
                      <w:spacing w:val="-28"/>
                      <w:w w:val="95"/>
                      <w:sz w:val="18"/>
                      <w:szCs w:val="18"/>
                    </w:rPr>
                    <w:t xml:space="preserve"> </w:t>
                  </w:r>
                  <w:r>
                    <w:rPr>
                      <w:rFonts w:ascii="Times New Roman" w:eastAsia="Times New Roman" w:hAnsi="Times New Roman" w:cs="Times New Roman"/>
                      <w:w w:val="95"/>
                      <w:sz w:val="18"/>
                      <w:szCs w:val="18"/>
                    </w:rPr>
                    <w:t>framework)</w:t>
                  </w:r>
                </w:p>
              </w:txbxContent>
            </v:textbox>
          </v:shape>
        </w:pict>
      </w:r>
    </w:p>
    <w:p w:rsidR="00D96B91" w:rsidRDefault="00D96B91">
      <w:pPr>
        <w:spacing w:before="11"/>
        <w:rPr>
          <w:rFonts w:ascii="Avenir Next" w:eastAsia="Avenir Next" w:hAnsi="Avenir Next" w:cs="Avenir Next"/>
          <w:b/>
          <w:bCs/>
          <w:sz w:val="27"/>
          <w:szCs w:val="27"/>
        </w:rPr>
      </w:pPr>
    </w:p>
    <w:p w:rsidR="00D96B91" w:rsidRDefault="00D96B91">
      <w:pPr>
        <w:pStyle w:val="BodyText"/>
        <w:tabs>
          <w:tab w:val="left" w:pos="4786"/>
        </w:tabs>
        <w:spacing w:line="200" w:lineRule="atLeast"/>
        <w:ind w:left="2379"/>
        <w:rPr>
          <w:rFonts w:cs="Avenir Next"/>
        </w:rPr>
      </w:pPr>
      <w:r w:rsidRPr="00D96B91">
        <w:pict>
          <v:shape id="_x0000_s3307" type="#_x0000_t202" style="width:98.5pt;height:60.2pt;mso-left-percent:-10001;mso-top-percent:-10001;mso-position-horizontal:absolute;mso-position-horizontal-relative:char;mso-position-vertical:absolute;mso-position-vertical-relative:line;mso-left-percent:-10001;mso-top-percent:-10001" fillcolor="#dbdcde" strokeweight=".24131mm">
            <v:textbox style="mso-next-textbox:#_x0000_s3307" inset="0,0,0,0">
              <w:txbxContent>
                <w:p w:rsidR="008A79D5" w:rsidRDefault="008A79D5">
                  <w:pPr>
                    <w:spacing w:before="66" w:line="266" w:lineRule="auto"/>
                    <w:ind w:left="378" w:right="379" w:firstLine="45"/>
                    <w:rPr>
                      <w:rFonts w:ascii="Times New Roman" w:eastAsia="Times New Roman" w:hAnsi="Times New Roman" w:cs="Times New Roman"/>
                      <w:sz w:val="18"/>
                      <w:szCs w:val="18"/>
                    </w:rPr>
                  </w:pPr>
                  <w:r>
                    <w:rPr>
                      <w:rFonts w:ascii="Times New Roman"/>
                      <w:b/>
                      <w:w w:val="95"/>
                      <w:sz w:val="18"/>
                    </w:rPr>
                    <w:t>Method</w:t>
                  </w:r>
                  <w:r>
                    <w:rPr>
                      <w:rFonts w:ascii="Times New Roman"/>
                      <w:b/>
                      <w:spacing w:val="-16"/>
                      <w:w w:val="95"/>
                      <w:sz w:val="18"/>
                    </w:rPr>
                    <w:t xml:space="preserve"> </w:t>
                  </w:r>
                  <w:r>
                    <w:rPr>
                      <w:rFonts w:ascii="Times New Roman"/>
                      <w:b/>
                      <w:spacing w:val="-2"/>
                      <w:w w:val="95"/>
                      <w:sz w:val="18"/>
                    </w:rPr>
                    <w:t>u</w:t>
                  </w:r>
                  <w:r>
                    <w:rPr>
                      <w:rFonts w:ascii="Times New Roman"/>
                      <w:b/>
                      <w:spacing w:val="-1"/>
                      <w:w w:val="95"/>
                      <w:sz w:val="18"/>
                    </w:rPr>
                    <w:t>se</w:t>
                  </w:r>
                  <w:r>
                    <w:rPr>
                      <w:rFonts w:ascii="Times New Roman"/>
                      <w:b/>
                      <w:spacing w:val="-2"/>
                      <w:w w:val="95"/>
                      <w:sz w:val="18"/>
                    </w:rPr>
                    <w:t>d</w:t>
                  </w:r>
                  <w:r>
                    <w:rPr>
                      <w:rFonts w:ascii="Times New Roman"/>
                      <w:b/>
                      <w:spacing w:val="-16"/>
                      <w:w w:val="95"/>
                      <w:sz w:val="18"/>
                    </w:rPr>
                    <w:t xml:space="preserve"> </w:t>
                  </w:r>
                  <w:r>
                    <w:rPr>
                      <w:rFonts w:ascii="Times New Roman"/>
                      <w:b/>
                      <w:w w:val="95"/>
                      <w:sz w:val="18"/>
                    </w:rPr>
                    <w:t>to</w:t>
                  </w:r>
                  <w:r>
                    <w:rPr>
                      <w:rFonts w:ascii="Times New Roman"/>
                      <w:b/>
                      <w:spacing w:val="22"/>
                      <w:w w:val="93"/>
                      <w:sz w:val="18"/>
                    </w:rPr>
                    <w:t xml:space="preserve"> </w:t>
                  </w:r>
                  <w:r>
                    <w:rPr>
                      <w:rFonts w:ascii="Times New Roman"/>
                      <w:b/>
                      <w:spacing w:val="-2"/>
                      <w:w w:val="95"/>
                      <w:sz w:val="18"/>
                    </w:rPr>
                    <w:t>d</w:t>
                  </w:r>
                  <w:r>
                    <w:rPr>
                      <w:rFonts w:ascii="Times New Roman"/>
                      <w:b/>
                      <w:spacing w:val="-1"/>
                      <w:w w:val="95"/>
                      <w:sz w:val="18"/>
                    </w:rPr>
                    <w:t>et</w:t>
                  </w:r>
                  <w:r>
                    <w:rPr>
                      <w:rFonts w:ascii="Times New Roman"/>
                      <w:b/>
                      <w:spacing w:val="-2"/>
                      <w:w w:val="95"/>
                      <w:sz w:val="18"/>
                    </w:rPr>
                    <w:t>ermin</w:t>
                  </w:r>
                  <w:r>
                    <w:rPr>
                      <w:rFonts w:ascii="Times New Roman"/>
                      <w:b/>
                      <w:spacing w:val="-1"/>
                      <w:w w:val="95"/>
                      <w:sz w:val="18"/>
                    </w:rPr>
                    <w:t>e</w:t>
                  </w:r>
                  <w:r>
                    <w:rPr>
                      <w:rFonts w:ascii="Times New Roman"/>
                      <w:b/>
                      <w:spacing w:val="-27"/>
                      <w:w w:val="95"/>
                      <w:sz w:val="18"/>
                    </w:rPr>
                    <w:t xml:space="preserve"> </w:t>
                  </w:r>
                  <w:r>
                    <w:rPr>
                      <w:rFonts w:ascii="Times New Roman"/>
                      <w:b/>
                      <w:spacing w:val="-2"/>
                      <w:w w:val="95"/>
                      <w:sz w:val="18"/>
                    </w:rPr>
                    <w:t>pr</w:t>
                  </w:r>
                  <w:r>
                    <w:rPr>
                      <w:rFonts w:ascii="Times New Roman"/>
                      <w:b/>
                      <w:spacing w:val="-1"/>
                      <w:w w:val="95"/>
                      <w:sz w:val="18"/>
                    </w:rPr>
                    <w:t>ices</w:t>
                  </w:r>
                </w:p>
              </w:txbxContent>
            </v:textbox>
          </v:shape>
        </w:pict>
      </w:r>
      <w:r w:rsidR="00C2656B">
        <w:tab/>
      </w:r>
      <w:r>
        <w:pict>
          <v:shape id="_x0000_s3306" type="#_x0000_t202" style="width:175.1pt;height:60.2pt;mso-left-percent:-10001;mso-top-percent:-10001;mso-position-horizontal:absolute;mso-position-horizontal-relative:char;mso-position-vertical:absolute;mso-position-vertical-relative:line;mso-left-percent:-10001;mso-top-percent:-10001" filled="f" strokeweight=".24131mm">
            <v:textbox style="mso-next-textbox:#_x0000_s3306" inset="0,0,0,0">
              <w:txbxContent>
                <w:p w:rsidR="008A79D5" w:rsidRDefault="008A79D5">
                  <w:pPr>
                    <w:spacing w:before="72"/>
                    <w:ind w:left="131"/>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spacing w:val="-2"/>
                      <w:w w:val="90"/>
                      <w:sz w:val="16"/>
                      <w:szCs w:val="16"/>
                    </w:rPr>
                    <w:t>:</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2"/>
                      <w:w w:val="90"/>
                      <w:sz w:val="16"/>
                      <w:szCs w:val="16"/>
                    </w:rPr>
                    <w:t>I</w:t>
                  </w:r>
                  <w:r>
                    <w:rPr>
                      <w:rFonts w:ascii="Times New Roman" w:eastAsia="Times New Roman" w:hAnsi="Times New Roman" w:cs="Times New Roman"/>
                      <w:spacing w:val="-1"/>
                      <w:w w:val="90"/>
                      <w:sz w:val="16"/>
                      <w:szCs w:val="16"/>
                    </w:rPr>
                    <w:t>CRC</w:t>
                  </w:r>
                  <w:r>
                    <w:rPr>
                      <w:rFonts w:ascii="Times New Roman" w:eastAsia="Times New Roman" w:hAnsi="Times New Roman" w:cs="Times New Roman"/>
                      <w:spacing w:val="-2"/>
                      <w:w w:val="90"/>
                      <w:sz w:val="16"/>
                      <w:szCs w:val="16"/>
                    </w:rPr>
                    <w:t>’</w:t>
                  </w:r>
                  <w:r>
                    <w:rPr>
                      <w:rFonts w:ascii="Times New Roman" w:eastAsia="Times New Roman" w:hAnsi="Times New Roman" w:cs="Times New Roman"/>
                      <w:spacing w:val="-1"/>
                      <w:w w:val="90"/>
                      <w:sz w:val="16"/>
                      <w:szCs w:val="16"/>
                    </w:rPr>
                    <w:t>s</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2"/>
                      <w:w w:val="90"/>
                      <w:sz w:val="16"/>
                      <w:szCs w:val="16"/>
                    </w:rPr>
                    <w:t>final</w:t>
                  </w:r>
                  <w:r>
                    <w:rPr>
                      <w:rFonts w:ascii="Times New Roman" w:eastAsia="Times New Roman" w:hAnsi="Times New Roman" w:cs="Times New Roman"/>
                      <w:spacing w:val="1"/>
                      <w:w w:val="90"/>
                      <w:sz w:val="16"/>
                      <w:szCs w:val="16"/>
                    </w:rPr>
                    <w:t xml:space="preserve"> </w:t>
                  </w:r>
                  <w:r>
                    <w:rPr>
                      <w:rFonts w:ascii="Times New Roman" w:eastAsia="Times New Roman" w:hAnsi="Times New Roman" w:cs="Times New Roman"/>
                      <w:spacing w:val="-1"/>
                      <w:w w:val="90"/>
                      <w:sz w:val="16"/>
                      <w:szCs w:val="16"/>
                    </w:rPr>
                    <w:t>decis</w:t>
                  </w:r>
                  <w:r>
                    <w:rPr>
                      <w:rFonts w:ascii="Times New Roman" w:eastAsia="Times New Roman" w:hAnsi="Times New Roman" w:cs="Times New Roman"/>
                      <w:spacing w:val="-2"/>
                      <w:w w:val="90"/>
                      <w:sz w:val="16"/>
                      <w:szCs w:val="16"/>
                    </w:rPr>
                    <w:t>i</w:t>
                  </w:r>
                  <w:r>
                    <w:rPr>
                      <w:rFonts w:ascii="Times New Roman" w:eastAsia="Times New Roman" w:hAnsi="Times New Roman" w:cs="Times New Roman"/>
                      <w:spacing w:val="-1"/>
                      <w:w w:val="90"/>
                      <w:sz w:val="16"/>
                      <w:szCs w:val="16"/>
                    </w:rPr>
                    <w:t>on</w:t>
                  </w:r>
                </w:p>
                <w:p w:rsidR="008A79D5" w:rsidRDefault="008A79D5">
                  <w:pPr>
                    <w:spacing w:before="114"/>
                    <w:ind w:left="131"/>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9"/>
                      <w:w w:val="95"/>
                      <w:sz w:val="16"/>
                    </w:rPr>
                    <w:t xml:space="preserve"> </w:t>
                  </w:r>
                  <w:r>
                    <w:rPr>
                      <w:rFonts w:ascii="Times New Roman"/>
                      <w:b/>
                      <w:spacing w:val="-1"/>
                      <w:w w:val="95"/>
                      <w:sz w:val="16"/>
                    </w:rPr>
                    <w:t>co</w:t>
                  </w:r>
                  <w:r>
                    <w:rPr>
                      <w:rFonts w:ascii="Times New Roman"/>
                      <w:b/>
                      <w:spacing w:val="-2"/>
                      <w:w w:val="95"/>
                      <w:sz w:val="16"/>
                    </w:rPr>
                    <w:t>n</w:t>
                  </w:r>
                  <w:r>
                    <w:rPr>
                      <w:rFonts w:ascii="Times New Roman"/>
                      <w:b/>
                      <w:spacing w:val="-1"/>
                      <w:w w:val="95"/>
                      <w:sz w:val="16"/>
                    </w:rPr>
                    <w:t>s</w:t>
                  </w:r>
                  <w:r>
                    <w:rPr>
                      <w:rFonts w:ascii="Times New Roman"/>
                      <w:b/>
                      <w:spacing w:val="-2"/>
                      <w:w w:val="95"/>
                      <w:sz w:val="16"/>
                    </w:rPr>
                    <w:t>id</w:t>
                  </w:r>
                  <w:r>
                    <w:rPr>
                      <w:rFonts w:ascii="Times New Roman"/>
                      <w:b/>
                      <w:spacing w:val="-1"/>
                      <w:w w:val="95"/>
                      <w:sz w:val="16"/>
                    </w:rPr>
                    <w:t>e</w:t>
                  </w:r>
                  <w:r>
                    <w:rPr>
                      <w:rFonts w:ascii="Times New Roman"/>
                      <w:b/>
                      <w:spacing w:val="-2"/>
                      <w:w w:val="95"/>
                      <w:sz w:val="16"/>
                    </w:rPr>
                    <w:t>r</w:t>
                  </w:r>
                  <w:r>
                    <w:rPr>
                      <w:rFonts w:ascii="Times New Roman"/>
                      <w:b/>
                      <w:spacing w:val="-1"/>
                      <w:w w:val="95"/>
                      <w:sz w:val="16"/>
                    </w:rPr>
                    <w:t>ed</w:t>
                  </w:r>
                  <w:r>
                    <w:rPr>
                      <w:rFonts w:ascii="Times New Roman"/>
                      <w:spacing w:val="-2"/>
                      <w:w w:val="95"/>
                      <w:sz w:val="16"/>
                    </w:rPr>
                    <w:t>:</w:t>
                  </w:r>
                </w:p>
                <w:p w:rsidR="008A79D5" w:rsidRDefault="008A79D5">
                  <w:pPr>
                    <w:spacing w:before="4" w:line="254" w:lineRule="auto"/>
                    <w:ind w:left="131" w:right="716"/>
                    <w:rPr>
                      <w:rFonts w:ascii="Times New Roman" w:eastAsia="Times New Roman" w:hAnsi="Times New Roman" w:cs="Times New Roman"/>
                      <w:sz w:val="16"/>
                      <w:szCs w:val="16"/>
                    </w:rPr>
                  </w:pPr>
                  <w:r>
                    <w:rPr>
                      <w:rFonts w:ascii="Times New Roman"/>
                      <w:spacing w:val="-1"/>
                      <w:w w:val="95"/>
                      <w:sz w:val="16"/>
                    </w:rPr>
                    <w:t>Su</w:t>
                  </w:r>
                  <w:r>
                    <w:rPr>
                      <w:rFonts w:ascii="Times New Roman"/>
                      <w:spacing w:val="-2"/>
                      <w:w w:val="95"/>
                      <w:sz w:val="16"/>
                    </w:rPr>
                    <w:t>bmi</w:t>
                  </w:r>
                  <w:r>
                    <w:rPr>
                      <w:rFonts w:ascii="Times New Roman"/>
                      <w:spacing w:val="-1"/>
                      <w:w w:val="95"/>
                      <w:sz w:val="16"/>
                    </w:rPr>
                    <w:t>ss</w:t>
                  </w:r>
                  <w:r>
                    <w:rPr>
                      <w:rFonts w:ascii="Times New Roman"/>
                      <w:spacing w:val="-2"/>
                      <w:w w:val="95"/>
                      <w:sz w:val="16"/>
                    </w:rPr>
                    <w:t>i</w:t>
                  </w:r>
                  <w:r>
                    <w:rPr>
                      <w:rFonts w:ascii="Times New Roman"/>
                      <w:spacing w:val="-1"/>
                      <w:w w:val="95"/>
                      <w:sz w:val="16"/>
                    </w:rPr>
                    <w:t>ons</w:t>
                  </w:r>
                  <w:r>
                    <w:rPr>
                      <w:rFonts w:ascii="Times New Roman"/>
                      <w:spacing w:val="-18"/>
                      <w:w w:val="95"/>
                      <w:sz w:val="16"/>
                    </w:rPr>
                    <w:t xml:space="preserve"> </w:t>
                  </w:r>
                  <w:r>
                    <w:rPr>
                      <w:rFonts w:ascii="Times New Roman"/>
                      <w:spacing w:val="-2"/>
                      <w:w w:val="95"/>
                      <w:sz w:val="16"/>
                    </w:rPr>
                    <w:t>from</w:t>
                  </w:r>
                  <w:r>
                    <w:rPr>
                      <w:rFonts w:ascii="Times New Roman"/>
                      <w:spacing w:val="-18"/>
                      <w:w w:val="95"/>
                      <w:sz w:val="16"/>
                    </w:rPr>
                    <w:t xml:space="preserve"> </w:t>
                  </w:r>
                  <w:r>
                    <w:rPr>
                      <w:rFonts w:ascii="Times New Roman"/>
                      <w:spacing w:val="-2"/>
                      <w:w w:val="95"/>
                      <w:sz w:val="16"/>
                    </w:rPr>
                    <w:t>ACTEW</w:t>
                  </w:r>
                  <w:r>
                    <w:rPr>
                      <w:rFonts w:ascii="Times New Roman"/>
                      <w:spacing w:val="-17"/>
                      <w:w w:val="95"/>
                      <w:sz w:val="16"/>
                    </w:rPr>
                    <w:t xml:space="preserve"> </w:t>
                  </w:r>
                  <w:r>
                    <w:rPr>
                      <w:rFonts w:ascii="Times New Roman"/>
                      <w:w w:val="95"/>
                      <w:sz w:val="16"/>
                    </w:rPr>
                    <w:t>and</w:t>
                  </w:r>
                  <w:r>
                    <w:rPr>
                      <w:rFonts w:ascii="Times New Roman"/>
                      <w:spacing w:val="-18"/>
                      <w:w w:val="95"/>
                      <w:sz w:val="16"/>
                    </w:rPr>
                    <w:t xml:space="preserve"> </w:t>
                  </w:r>
                  <w:r>
                    <w:rPr>
                      <w:rFonts w:ascii="Times New Roman"/>
                      <w:w w:val="95"/>
                      <w:sz w:val="16"/>
                    </w:rPr>
                    <w:t>other</w:t>
                  </w:r>
                  <w:r>
                    <w:rPr>
                      <w:rFonts w:ascii="Times New Roman"/>
                      <w:spacing w:val="-17"/>
                      <w:w w:val="95"/>
                      <w:sz w:val="16"/>
                    </w:rPr>
                    <w:t xml:space="preserve"> </w:t>
                  </w:r>
                  <w:r>
                    <w:rPr>
                      <w:rFonts w:ascii="Times New Roman"/>
                      <w:spacing w:val="-1"/>
                      <w:w w:val="95"/>
                      <w:sz w:val="16"/>
                    </w:rPr>
                    <w:t>pa</w:t>
                  </w:r>
                  <w:r>
                    <w:rPr>
                      <w:rFonts w:ascii="Times New Roman"/>
                      <w:spacing w:val="-2"/>
                      <w:w w:val="95"/>
                      <w:sz w:val="16"/>
                    </w:rPr>
                    <w:t>rti</w:t>
                  </w:r>
                  <w:r>
                    <w:rPr>
                      <w:rFonts w:ascii="Times New Roman"/>
                      <w:spacing w:val="-1"/>
                      <w:w w:val="95"/>
                      <w:sz w:val="16"/>
                    </w:rPr>
                    <w:t>es</w:t>
                  </w:r>
                  <w:r>
                    <w:rPr>
                      <w:rFonts w:ascii="Times New Roman"/>
                      <w:spacing w:val="37"/>
                      <w:w w:val="106"/>
                      <w:sz w:val="16"/>
                    </w:rPr>
                    <w:t xml:space="preserve"> </w:t>
                  </w:r>
                  <w:r>
                    <w:rPr>
                      <w:rFonts w:ascii="Times New Roman"/>
                      <w:spacing w:val="-1"/>
                      <w:w w:val="90"/>
                      <w:sz w:val="16"/>
                    </w:rPr>
                    <w:t>Regulato</w:t>
                  </w:r>
                  <w:r>
                    <w:rPr>
                      <w:rFonts w:ascii="Times New Roman"/>
                      <w:spacing w:val="-2"/>
                      <w:w w:val="90"/>
                      <w:sz w:val="16"/>
                    </w:rPr>
                    <w:t>ry</w:t>
                  </w:r>
                  <w:r>
                    <w:rPr>
                      <w:rFonts w:ascii="Times New Roman"/>
                      <w:spacing w:val="26"/>
                      <w:w w:val="90"/>
                      <w:sz w:val="16"/>
                    </w:rPr>
                    <w:t xml:space="preserve"> </w:t>
                  </w:r>
                  <w:r>
                    <w:rPr>
                      <w:rFonts w:ascii="Times New Roman"/>
                      <w:spacing w:val="-1"/>
                      <w:w w:val="90"/>
                      <w:sz w:val="16"/>
                    </w:rPr>
                    <w:t>p</w:t>
                  </w:r>
                  <w:r>
                    <w:rPr>
                      <w:rFonts w:ascii="Times New Roman"/>
                      <w:spacing w:val="-2"/>
                      <w:w w:val="90"/>
                      <w:sz w:val="16"/>
                    </w:rPr>
                    <w:t>r</w:t>
                  </w:r>
                  <w:r>
                    <w:rPr>
                      <w:rFonts w:ascii="Times New Roman"/>
                      <w:spacing w:val="-1"/>
                      <w:w w:val="90"/>
                      <w:sz w:val="16"/>
                    </w:rPr>
                    <w:t>actice</w:t>
                  </w:r>
                </w:p>
              </w:txbxContent>
            </v:textbox>
          </v:shape>
        </w:pict>
      </w:r>
    </w:p>
    <w:p w:rsidR="00D96B91" w:rsidRDefault="00D96B91">
      <w:pPr>
        <w:spacing w:line="200" w:lineRule="atLeast"/>
        <w:rPr>
          <w:rFonts w:ascii="Avenir Next" w:eastAsia="Avenir Next" w:hAnsi="Avenir Next" w:cs="Avenir Next"/>
        </w:rPr>
        <w:sectPr w:rsidR="00D96B91">
          <w:pgSz w:w="11910" w:h="16840"/>
          <w:pgMar w:top="1200" w:right="0" w:bottom="1020" w:left="0" w:header="0" w:footer="829" w:gutter="0"/>
          <w:cols w:space="720"/>
        </w:sectPr>
      </w:pPr>
    </w:p>
    <w:p w:rsidR="00D96B91" w:rsidRDefault="00D96B91">
      <w:pPr>
        <w:rPr>
          <w:rFonts w:ascii="Times New Roman" w:eastAsia="Times New Roman" w:hAnsi="Times New Roman" w:cs="Times New Roman"/>
          <w:sz w:val="7"/>
          <w:szCs w:val="7"/>
        </w:rPr>
      </w:pPr>
      <w:r w:rsidRPr="00D96B91">
        <w:pict>
          <v:shape id="_x0000_s3305" type="#_x0000_t202" style="position:absolute;margin-left:116.15pt;margin-top:226.75pt;width:98.5pt;height:88.65pt;z-index:251530752;mso-position-horizontal-relative:page;mso-position-vertical-relative:page" fillcolor="#dbdcde" strokeweight=".24131mm">
            <v:textbox style="mso-next-textbox:#_x0000_s3305" inset="0,0,0,0">
              <w:txbxContent>
                <w:p w:rsidR="008A79D5" w:rsidRDefault="008A79D5">
                  <w:pPr>
                    <w:spacing w:before="64" w:line="267" w:lineRule="auto"/>
                    <w:ind w:left="553" w:right="408" w:hanging="147"/>
                    <w:rPr>
                      <w:rFonts w:ascii="Times New Roman" w:eastAsia="Times New Roman" w:hAnsi="Times New Roman" w:cs="Times New Roman"/>
                      <w:sz w:val="18"/>
                      <w:szCs w:val="18"/>
                    </w:rPr>
                  </w:pPr>
                  <w:r>
                    <w:rPr>
                      <w:rFonts w:ascii="Times New Roman"/>
                      <w:b/>
                      <w:spacing w:val="-2"/>
                      <w:w w:val="90"/>
                      <w:sz w:val="18"/>
                    </w:rPr>
                    <w:t>F</w:t>
                  </w:r>
                  <w:r>
                    <w:rPr>
                      <w:rFonts w:ascii="Times New Roman"/>
                      <w:b/>
                      <w:spacing w:val="-1"/>
                      <w:w w:val="90"/>
                      <w:sz w:val="18"/>
                    </w:rPr>
                    <w:t>o</w:t>
                  </w:r>
                  <w:r>
                    <w:rPr>
                      <w:rFonts w:ascii="Times New Roman"/>
                      <w:b/>
                      <w:spacing w:val="-2"/>
                      <w:w w:val="90"/>
                      <w:sz w:val="18"/>
                    </w:rPr>
                    <w:t>r</w:t>
                  </w:r>
                  <w:r>
                    <w:rPr>
                      <w:rFonts w:ascii="Times New Roman"/>
                      <w:b/>
                      <w:spacing w:val="-1"/>
                      <w:w w:val="90"/>
                      <w:sz w:val="18"/>
                    </w:rPr>
                    <w:t>ecas</w:t>
                  </w:r>
                  <w:r>
                    <w:rPr>
                      <w:rFonts w:ascii="Times New Roman"/>
                      <w:b/>
                      <w:spacing w:val="-2"/>
                      <w:w w:val="90"/>
                      <w:sz w:val="18"/>
                    </w:rPr>
                    <w:t>t</w:t>
                  </w:r>
                  <w:r>
                    <w:rPr>
                      <w:rFonts w:ascii="Times New Roman"/>
                      <w:b/>
                      <w:spacing w:val="27"/>
                      <w:w w:val="90"/>
                      <w:sz w:val="18"/>
                    </w:rPr>
                    <w:t xml:space="preserve"> </w:t>
                  </w:r>
                  <w:r>
                    <w:rPr>
                      <w:rFonts w:ascii="Times New Roman"/>
                      <w:b/>
                      <w:w w:val="90"/>
                      <w:sz w:val="18"/>
                    </w:rPr>
                    <w:t>capital</w:t>
                  </w:r>
                  <w:r>
                    <w:rPr>
                      <w:rFonts w:ascii="Times New Roman"/>
                      <w:b/>
                      <w:spacing w:val="26"/>
                      <w:w w:val="88"/>
                      <w:sz w:val="18"/>
                    </w:rPr>
                    <w:t xml:space="preserve"> </w:t>
                  </w:r>
                  <w:r>
                    <w:rPr>
                      <w:rFonts w:ascii="Times New Roman"/>
                      <w:b/>
                      <w:spacing w:val="-1"/>
                      <w:sz w:val="18"/>
                    </w:rPr>
                    <w:t>e</w:t>
                  </w:r>
                  <w:r>
                    <w:rPr>
                      <w:rFonts w:ascii="Times New Roman"/>
                      <w:b/>
                      <w:spacing w:val="-2"/>
                      <w:sz w:val="18"/>
                    </w:rPr>
                    <w:t>xpenditur</w:t>
                  </w:r>
                  <w:r>
                    <w:rPr>
                      <w:rFonts w:ascii="Times New Roman"/>
                      <w:b/>
                      <w:spacing w:val="-1"/>
                      <w:sz w:val="18"/>
                    </w:rPr>
                    <w:t>e</w:t>
                  </w:r>
                </w:p>
              </w:txbxContent>
            </v:textbox>
            <w10:wrap anchorx="page" anchory="page"/>
          </v:shape>
        </w:pict>
      </w:r>
      <w:r w:rsidRPr="00D96B91">
        <w:pict>
          <v:shape id="_x0000_s3304" type="#_x0000_t202" style="position:absolute;margin-left:236.5pt;margin-top:226.75pt;width:175.1pt;height:88.65pt;z-index:251531776;mso-position-horizontal-relative:page;mso-position-vertical-relative:page" filled="f" strokeweight=".24131mm">
            <v:textbox style="mso-next-textbox:#_x0000_s3304" inset="0,0,0,0">
              <w:txbxContent>
                <w:p w:rsidR="008A79D5" w:rsidRDefault="008A79D5">
                  <w:pPr>
                    <w:spacing w:before="70" w:line="244" w:lineRule="auto"/>
                    <w:ind w:left="131" w:right="129"/>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95"/>
                      <w:sz w:val="16"/>
                      <w:szCs w:val="16"/>
                    </w:rPr>
                    <w:t>St</w:t>
                  </w:r>
                  <w:r>
                    <w:rPr>
                      <w:rFonts w:ascii="Times New Roman" w:eastAsia="Times New Roman" w:hAnsi="Times New Roman" w:cs="Times New Roman"/>
                      <w:b/>
                      <w:bCs/>
                      <w:spacing w:val="-2"/>
                      <w:w w:val="95"/>
                      <w:sz w:val="16"/>
                      <w:szCs w:val="16"/>
                    </w:rPr>
                    <w:t>artin</w:t>
                  </w:r>
                  <w:r>
                    <w:rPr>
                      <w:rFonts w:ascii="Times New Roman" w:eastAsia="Times New Roman" w:hAnsi="Times New Roman" w:cs="Times New Roman"/>
                      <w:b/>
                      <w:bCs/>
                      <w:spacing w:val="-1"/>
                      <w:w w:val="95"/>
                      <w:sz w:val="16"/>
                      <w:szCs w:val="16"/>
                    </w:rPr>
                    <w:t>g</w:t>
                  </w:r>
                  <w:r>
                    <w:rPr>
                      <w:rFonts w:ascii="Times New Roman" w:eastAsia="Times New Roman" w:hAnsi="Times New Roman" w:cs="Times New Roman"/>
                      <w:b/>
                      <w:bCs/>
                      <w:spacing w:val="-12"/>
                      <w:w w:val="95"/>
                      <w:sz w:val="16"/>
                      <w:szCs w:val="16"/>
                    </w:rPr>
                    <w:t xml:space="preserve"> </w:t>
                  </w:r>
                  <w:r>
                    <w:rPr>
                      <w:rFonts w:ascii="Times New Roman" w:eastAsia="Times New Roman" w:hAnsi="Times New Roman" w:cs="Times New Roman"/>
                      <w:b/>
                      <w:bCs/>
                      <w:spacing w:val="-2"/>
                      <w:w w:val="95"/>
                      <w:sz w:val="16"/>
                      <w:szCs w:val="16"/>
                    </w:rPr>
                    <w:t>p</w:t>
                  </w:r>
                  <w:r>
                    <w:rPr>
                      <w:rFonts w:ascii="Times New Roman" w:eastAsia="Times New Roman" w:hAnsi="Times New Roman" w:cs="Times New Roman"/>
                      <w:b/>
                      <w:bCs/>
                      <w:spacing w:val="-1"/>
                      <w:w w:val="95"/>
                      <w:sz w:val="16"/>
                      <w:szCs w:val="16"/>
                    </w:rPr>
                    <w:t>o</w:t>
                  </w:r>
                  <w:r>
                    <w:rPr>
                      <w:rFonts w:ascii="Times New Roman" w:eastAsia="Times New Roman" w:hAnsi="Times New Roman" w:cs="Times New Roman"/>
                      <w:b/>
                      <w:bCs/>
                      <w:spacing w:val="-2"/>
                      <w:w w:val="95"/>
                      <w:sz w:val="16"/>
                      <w:szCs w:val="16"/>
                    </w:rPr>
                    <w:t>int:</w:t>
                  </w:r>
                  <w:r>
                    <w:rPr>
                      <w:rFonts w:ascii="Times New Roman" w:eastAsia="Times New Roman" w:hAnsi="Times New Roman" w:cs="Times New Roman"/>
                      <w:b/>
                      <w:bCs/>
                      <w:spacing w:val="-12"/>
                      <w:w w:val="95"/>
                      <w:sz w:val="16"/>
                      <w:szCs w:val="16"/>
                    </w:rPr>
                    <w:t xml:space="preserve"> </w:t>
                  </w:r>
                  <w:r w:rsidRPr="003A2E62">
                    <w:rPr>
                      <w:rFonts w:ascii="Times New Roman"/>
                      <w:spacing w:val="-2"/>
                      <w:sz w:val="16"/>
                    </w:rPr>
                    <w:t>ICRC</w:t>
                  </w:r>
                  <w:r w:rsidRPr="003A2E62">
                    <w:rPr>
                      <w:rFonts w:ascii="Times New Roman"/>
                      <w:spacing w:val="-2"/>
                      <w:sz w:val="16"/>
                    </w:rPr>
                    <w:t>’</w:t>
                  </w:r>
                  <w:r w:rsidRPr="003A2E62">
                    <w:rPr>
                      <w:rFonts w:ascii="Times New Roman"/>
                      <w:spacing w:val="-2"/>
                      <w:sz w:val="16"/>
                    </w:rPr>
                    <w:t>s final decision for 2013-14 and 2014-15. Post 2014-15 the Panel had to make its own decision because the ICRC did not make a decision about expenditure beyond this date</w:t>
                  </w:r>
                </w:p>
                <w:p w:rsidR="008A79D5" w:rsidRDefault="008A79D5">
                  <w:pPr>
                    <w:spacing w:before="38"/>
                    <w:ind w:left="131"/>
                    <w:jc w:val="both"/>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70" w:line="244" w:lineRule="auto"/>
                    <w:ind w:left="131" w:right="129"/>
                    <w:jc w:val="both"/>
                    <w:rPr>
                      <w:rFonts w:ascii="Times New Roman"/>
                      <w:spacing w:val="-2"/>
                      <w:sz w:val="16"/>
                    </w:rPr>
                  </w:pPr>
                  <w:r>
                    <w:rPr>
                      <w:rFonts w:ascii="Times New Roman"/>
                      <w:spacing w:val="-2"/>
                      <w:sz w:val="16"/>
                    </w:rPr>
                    <w:t>Submi</w:t>
                  </w:r>
                  <w:r w:rsidRPr="003A2E62">
                    <w:rPr>
                      <w:rFonts w:ascii="Times New Roman"/>
                      <w:spacing w:val="-2"/>
                      <w:sz w:val="16"/>
                    </w:rPr>
                    <w:t>ss</w:t>
                  </w:r>
                  <w:r>
                    <w:rPr>
                      <w:rFonts w:ascii="Times New Roman"/>
                      <w:spacing w:val="-2"/>
                      <w:sz w:val="16"/>
                    </w:rPr>
                    <w:t>ion</w:t>
                  </w:r>
                  <w:r w:rsidRPr="003A2E62">
                    <w:rPr>
                      <w:rFonts w:ascii="Times New Roman"/>
                      <w:spacing w:val="-2"/>
                      <w:sz w:val="16"/>
                    </w:rPr>
                    <w:t xml:space="preserve">s </w:t>
                  </w:r>
                  <w:r>
                    <w:rPr>
                      <w:rFonts w:ascii="Times New Roman"/>
                      <w:spacing w:val="-2"/>
                      <w:sz w:val="16"/>
                    </w:rPr>
                    <w:t>from</w:t>
                  </w:r>
                  <w:r w:rsidRPr="003A2E62">
                    <w:rPr>
                      <w:rFonts w:ascii="Times New Roman"/>
                      <w:spacing w:val="-2"/>
                      <w:sz w:val="16"/>
                    </w:rPr>
                    <w:t xml:space="preserve"> </w:t>
                  </w:r>
                  <w:r>
                    <w:rPr>
                      <w:rFonts w:ascii="Times New Roman"/>
                      <w:spacing w:val="-2"/>
                      <w:sz w:val="16"/>
                    </w:rPr>
                    <w:t>ACTEW</w:t>
                  </w:r>
                  <w:r w:rsidRPr="003A2E62">
                    <w:rPr>
                      <w:rFonts w:ascii="Times New Roman"/>
                      <w:spacing w:val="-2"/>
                      <w:sz w:val="16"/>
                    </w:rPr>
                    <w:t xml:space="preserve"> an</w:t>
                  </w:r>
                  <w:r>
                    <w:rPr>
                      <w:rFonts w:ascii="Times New Roman"/>
                      <w:spacing w:val="-2"/>
                      <w:sz w:val="16"/>
                    </w:rPr>
                    <w:t>d</w:t>
                  </w:r>
                  <w:r w:rsidRPr="003A2E62">
                    <w:rPr>
                      <w:rFonts w:ascii="Times New Roman"/>
                      <w:spacing w:val="-2"/>
                      <w:sz w:val="16"/>
                    </w:rPr>
                    <w:t xml:space="preserve"> other s</w:t>
                  </w:r>
                  <w:r>
                    <w:rPr>
                      <w:rFonts w:ascii="Times New Roman"/>
                      <w:spacing w:val="-2"/>
                      <w:sz w:val="16"/>
                    </w:rPr>
                    <w:t>tak</w:t>
                  </w:r>
                  <w:r w:rsidRPr="003A2E62">
                    <w:rPr>
                      <w:rFonts w:ascii="Times New Roman"/>
                      <w:spacing w:val="-2"/>
                      <w:sz w:val="16"/>
                    </w:rPr>
                    <w:t>eh</w:t>
                  </w:r>
                  <w:r>
                    <w:rPr>
                      <w:rFonts w:ascii="Times New Roman"/>
                      <w:spacing w:val="-2"/>
                      <w:sz w:val="16"/>
                    </w:rPr>
                    <w:t>older</w:t>
                  </w:r>
                  <w:r w:rsidRPr="003A2E62">
                    <w:rPr>
                      <w:rFonts w:ascii="Times New Roman"/>
                      <w:spacing w:val="-2"/>
                      <w:sz w:val="16"/>
                    </w:rPr>
                    <w:t>s Expert advice provided by Cardno</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Regulatory practice</w:t>
                  </w:r>
                </w:p>
              </w:txbxContent>
            </v:textbox>
            <w10:wrap anchorx="page" anchory="page"/>
          </v:shape>
        </w:pict>
      </w:r>
      <w:r w:rsidRPr="00D96B91">
        <w:pict>
          <v:shape id="_x0000_s3303" type="#_x0000_t202" style="position:absolute;margin-left:116.15pt;margin-top:320.85pt;width:98.5pt;height:76.05pt;z-index:251532800;mso-position-horizontal-relative:page;mso-position-vertical-relative:page" fillcolor="#dbdcde" strokeweight=".24131mm">
            <v:textbox style="mso-next-textbox:#_x0000_s3303" inset="0,0,0,0">
              <w:txbxContent>
                <w:p w:rsidR="008A79D5" w:rsidRDefault="008A79D5">
                  <w:pPr>
                    <w:spacing w:before="65"/>
                    <w:ind w:left="201"/>
                    <w:rPr>
                      <w:rFonts w:ascii="Times New Roman" w:eastAsia="Times New Roman" w:hAnsi="Times New Roman" w:cs="Times New Roman"/>
                      <w:sz w:val="18"/>
                      <w:szCs w:val="18"/>
                    </w:rPr>
                  </w:pPr>
                  <w:r>
                    <w:rPr>
                      <w:rFonts w:ascii="Times New Roman"/>
                      <w:b/>
                      <w:spacing w:val="-2"/>
                      <w:w w:val="90"/>
                      <w:sz w:val="18"/>
                    </w:rPr>
                    <w:t>F</w:t>
                  </w:r>
                  <w:r>
                    <w:rPr>
                      <w:rFonts w:ascii="Times New Roman"/>
                      <w:b/>
                      <w:spacing w:val="-1"/>
                      <w:w w:val="90"/>
                      <w:sz w:val="18"/>
                    </w:rPr>
                    <w:t>o</w:t>
                  </w:r>
                  <w:r>
                    <w:rPr>
                      <w:rFonts w:ascii="Times New Roman"/>
                      <w:b/>
                      <w:spacing w:val="-2"/>
                      <w:w w:val="90"/>
                      <w:sz w:val="18"/>
                    </w:rPr>
                    <w:t>r</w:t>
                  </w:r>
                  <w:r>
                    <w:rPr>
                      <w:rFonts w:ascii="Times New Roman"/>
                      <w:b/>
                      <w:spacing w:val="-1"/>
                      <w:w w:val="90"/>
                      <w:sz w:val="18"/>
                    </w:rPr>
                    <w:t>ecas</w:t>
                  </w:r>
                  <w:r>
                    <w:rPr>
                      <w:rFonts w:ascii="Times New Roman"/>
                      <w:b/>
                      <w:spacing w:val="-2"/>
                      <w:w w:val="90"/>
                      <w:sz w:val="18"/>
                    </w:rPr>
                    <w:t>t</w:t>
                  </w:r>
                  <w:r>
                    <w:rPr>
                      <w:rFonts w:ascii="Times New Roman"/>
                      <w:b/>
                      <w:spacing w:val="1"/>
                      <w:w w:val="90"/>
                      <w:sz w:val="18"/>
                    </w:rPr>
                    <w:t xml:space="preserve"> </w:t>
                  </w:r>
                  <w:r>
                    <w:rPr>
                      <w:rFonts w:ascii="Times New Roman"/>
                      <w:b/>
                      <w:w w:val="90"/>
                      <w:sz w:val="18"/>
                    </w:rPr>
                    <w:t>depreciation</w:t>
                  </w:r>
                </w:p>
              </w:txbxContent>
            </v:textbox>
            <w10:wrap anchorx="page" anchory="page"/>
          </v:shape>
        </w:pict>
      </w:r>
      <w:r w:rsidRPr="00D96B91">
        <w:pict>
          <v:shape id="_x0000_s3302" type="#_x0000_t202" style="position:absolute;margin-left:236.5pt;margin-top:320.85pt;width:175.1pt;height:76.05pt;z-index:251533824;mso-position-horizontal-relative:page;mso-position-vertical-relative:page" filled="f" strokeweight=".24131mm">
            <v:textbox style="mso-next-textbox:#_x0000_s3302" inset="0,0,0,0">
              <w:txbxContent>
                <w:p w:rsidR="008A79D5" w:rsidRDefault="008A79D5">
                  <w:pPr>
                    <w:spacing w:before="70" w:line="244" w:lineRule="auto"/>
                    <w:ind w:left="131" w:right="129"/>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95"/>
                      <w:sz w:val="16"/>
                      <w:szCs w:val="16"/>
                    </w:rPr>
                    <w:t>St</w:t>
                  </w:r>
                  <w:r>
                    <w:rPr>
                      <w:rFonts w:ascii="Times New Roman" w:eastAsia="Times New Roman" w:hAnsi="Times New Roman" w:cs="Times New Roman"/>
                      <w:b/>
                      <w:bCs/>
                      <w:spacing w:val="-2"/>
                      <w:w w:val="95"/>
                      <w:sz w:val="16"/>
                      <w:szCs w:val="16"/>
                    </w:rPr>
                    <w:t>artin</w:t>
                  </w:r>
                  <w:r>
                    <w:rPr>
                      <w:rFonts w:ascii="Times New Roman" w:eastAsia="Times New Roman" w:hAnsi="Times New Roman" w:cs="Times New Roman"/>
                      <w:b/>
                      <w:bCs/>
                      <w:spacing w:val="-1"/>
                      <w:w w:val="95"/>
                      <w:sz w:val="16"/>
                      <w:szCs w:val="16"/>
                    </w:rPr>
                    <w:t>g</w:t>
                  </w:r>
                  <w:r>
                    <w:rPr>
                      <w:rFonts w:ascii="Times New Roman" w:eastAsia="Times New Roman" w:hAnsi="Times New Roman" w:cs="Times New Roman"/>
                      <w:b/>
                      <w:bCs/>
                      <w:spacing w:val="-12"/>
                      <w:w w:val="95"/>
                      <w:sz w:val="16"/>
                      <w:szCs w:val="16"/>
                    </w:rPr>
                    <w:t xml:space="preserve"> </w:t>
                  </w:r>
                  <w:r>
                    <w:rPr>
                      <w:rFonts w:ascii="Times New Roman" w:eastAsia="Times New Roman" w:hAnsi="Times New Roman" w:cs="Times New Roman"/>
                      <w:b/>
                      <w:bCs/>
                      <w:spacing w:val="-2"/>
                      <w:w w:val="95"/>
                      <w:sz w:val="16"/>
                      <w:szCs w:val="16"/>
                    </w:rPr>
                    <w:t>p</w:t>
                  </w:r>
                  <w:r>
                    <w:rPr>
                      <w:rFonts w:ascii="Times New Roman" w:eastAsia="Times New Roman" w:hAnsi="Times New Roman" w:cs="Times New Roman"/>
                      <w:b/>
                      <w:bCs/>
                      <w:spacing w:val="-1"/>
                      <w:w w:val="95"/>
                      <w:sz w:val="16"/>
                      <w:szCs w:val="16"/>
                    </w:rPr>
                    <w:t>o</w:t>
                  </w:r>
                  <w:r>
                    <w:rPr>
                      <w:rFonts w:ascii="Times New Roman" w:eastAsia="Times New Roman" w:hAnsi="Times New Roman" w:cs="Times New Roman"/>
                      <w:b/>
                      <w:bCs/>
                      <w:spacing w:val="-2"/>
                      <w:w w:val="95"/>
                      <w:sz w:val="16"/>
                      <w:szCs w:val="16"/>
                    </w:rPr>
                    <w:t>int:</w:t>
                  </w:r>
                  <w:r>
                    <w:rPr>
                      <w:rFonts w:ascii="Times New Roman" w:eastAsia="Times New Roman" w:hAnsi="Times New Roman" w:cs="Times New Roman"/>
                      <w:b/>
                      <w:bCs/>
                      <w:spacing w:val="-12"/>
                      <w:w w:val="95"/>
                      <w:sz w:val="16"/>
                      <w:szCs w:val="16"/>
                    </w:rPr>
                    <w:t xml:space="preserve"> </w:t>
                  </w:r>
                  <w:r w:rsidRPr="003A2E62">
                    <w:rPr>
                      <w:rFonts w:ascii="Times New Roman"/>
                      <w:sz w:val="16"/>
                    </w:rPr>
                    <w:t>ICRC</w:t>
                  </w:r>
                  <w:r w:rsidRPr="003A2E62">
                    <w:rPr>
                      <w:rFonts w:ascii="Times New Roman"/>
                      <w:sz w:val="16"/>
                    </w:rPr>
                    <w:t>’</w:t>
                  </w:r>
                  <w:r w:rsidRPr="003A2E62">
                    <w:rPr>
                      <w:rFonts w:ascii="Times New Roman"/>
                      <w:sz w:val="16"/>
                    </w:rPr>
                    <w:t>s final decision for 2013-14 and 2014-15. Post 2014-15 the Panel had to make its own decision because the ICRC did not make a decision about depreciation beyond this date</w:t>
                  </w:r>
                </w:p>
                <w:p w:rsidR="008A79D5" w:rsidRDefault="008A79D5">
                  <w:pPr>
                    <w:spacing w:before="38"/>
                    <w:ind w:left="131"/>
                    <w:jc w:val="both"/>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59" w:line="270" w:lineRule="auto"/>
                    <w:ind w:left="131" w:right="130"/>
                    <w:jc w:val="both"/>
                    <w:rPr>
                      <w:rFonts w:ascii="Times New Roman"/>
                      <w:sz w:val="16"/>
                    </w:rPr>
                  </w:pPr>
                  <w:r w:rsidRPr="003A2E62">
                    <w:rPr>
                      <w:rFonts w:ascii="Times New Roman"/>
                      <w:sz w:val="16"/>
                    </w:rPr>
                    <w:t xml:space="preserve">Submissions from ACTEW and </w:t>
                  </w:r>
                  <w:r>
                    <w:rPr>
                      <w:rFonts w:ascii="Times New Roman"/>
                      <w:sz w:val="16"/>
                    </w:rPr>
                    <w:t>other</w:t>
                  </w:r>
                  <w:r w:rsidRPr="003A2E62">
                    <w:rPr>
                      <w:rFonts w:ascii="Times New Roman"/>
                      <w:sz w:val="16"/>
                    </w:rPr>
                    <w:t xml:space="preserve"> stakeholders Regulatory practice</w:t>
                  </w:r>
                </w:p>
              </w:txbxContent>
            </v:textbox>
            <w10:wrap anchorx="page" anchory="page"/>
          </v:shape>
        </w:pict>
      </w:r>
      <w:r w:rsidRPr="00D96B91">
        <w:pict>
          <v:shape id="_x0000_s3301" type="#_x0000_t202" style="position:absolute;margin-left:116.15pt;margin-top:401.3pt;width:98.5pt;height:77.2pt;z-index:251534848;mso-position-horizontal-relative:page;mso-position-vertical-relative:page" fillcolor="#dbdcde" strokeweight=".24131mm">
            <v:textbox style="mso-next-textbox:#_x0000_s3301" inset="0,0,0,0">
              <w:txbxContent>
                <w:p w:rsidR="008A79D5" w:rsidRDefault="008A79D5">
                  <w:pPr>
                    <w:spacing w:before="65"/>
                    <w:ind w:left="197"/>
                    <w:rPr>
                      <w:rFonts w:ascii="Times New Roman" w:eastAsia="Times New Roman" w:hAnsi="Times New Roman" w:cs="Times New Roman"/>
                      <w:sz w:val="18"/>
                      <w:szCs w:val="18"/>
                    </w:rPr>
                  </w:pPr>
                  <w:r>
                    <w:rPr>
                      <w:rFonts w:ascii="Times New Roman"/>
                      <w:b/>
                      <w:w w:val="90"/>
                      <w:sz w:val="18"/>
                    </w:rPr>
                    <w:t>Indexation</w:t>
                  </w:r>
                  <w:r>
                    <w:rPr>
                      <w:rFonts w:ascii="Times New Roman"/>
                      <w:b/>
                      <w:spacing w:val="-5"/>
                      <w:w w:val="90"/>
                      <w:sz w:val="18"/>
                    </w:rPr>
                    <w:t xml:space="preserve"> </w:t>
                  </w:r>
                  <w:r>
                    <w:rPr>
                      <w:rFonts w:ascii="Times New Roman"/>
                      <w:b/>
                      <w:spacing w:val="-1"/>
                      <w:w w:val="90"/>
                      <w:sz w:val="18"/>
                    </w:rPr>
                    <w:t>o</w:t>
                  </w:r>
                  <w:r>
                    <w:rPr>
                      <w:rFonts w:ascii="Times New Roman"/>
                      <w:b/>
                      <w:spacing w:val="-2"/>
                      <w:w w:val="90"/>
                      <w:sz w:val="18"/>
                    </w:rPr>
                    <w:t>f</w:t>
                  </w:r>
                  <w:r>
                    <w:rPr>
                      <w:rFonts w:ascii="Times New Roman"/>
                      <w:b/>
                      <w:spacing w:val="-6"/>
                      <w:w w:val="90"/>
                      <w:sz w:val="18"/>
                    </w:rPr>
                    <w:t xml:space="preserve"> </w:t>
                  </w:r>
                  <w:r>
                    <w:rPr>
                      <w:rFonts w:ascii="Times New Roman"/>
                      <w:b/>
                      <w:w w:val="90"/>
                      <w:sz w:val="18"/>
                    </w:rPr>
                    <w:t>the</w:t>
                  </w:r>
                  <w:r>
                    <w:rPr>
                      <w:rFonts w:ascii="Times New Roman"/>
                      <w:b/>
                      <w:spacing w:val="-6"/>
                      <w:w w:val="90"/>
                      <w:sz w:val="18"/>
                    </w:rPr>
                    <w:t xml:space="preserve"> </w:t>
                  </w:r>
                  <w:r>
                    <w:rPr>
                      <w:rFonts w:ascii="Times New Roman"/>
                      <w:b/>
                      <w:w w:val="90"/>
                      <w:sz w:val="18"/>
                    </w:rPr>
                    <w:t>RAB</w:t>
                  </w:r>
                </w:p>
              </w:txbxContent>
            </v:textbox>
            <w10:wrap anchorx="page" anchory="page"/>
          </v:shape>
        </w:pict>
      </w:r>
      <w:r w:rsidRPr="00D96B91">
        <w:pict>
          <v:shape id="_x0000_s3300" type="#_x0000_t202" style="position:absolute;margin-left:236.5pt;margin-top:400.75pt;width:175.1pt;height:77.7pt;z-index:251535872;mso-position-horizontal-relative:page;mso-position-vertical-relative:page" filled="f" strokeweight=".24131mm">
            <v:textbox style="mso-next-textbox:#_x0000_s3300" inset="0,0,0,0">
              <w:txbxContent>
                <w:p w:rsidR="008A79D5" w:rsidRDefault="008A79D5">
                  <w:pPr>
                    <w:spacing w:before="71" w:line="244" w:lineRule="auto"/>
                    <w:ind w:left="131" w:right="130"/>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95"/>
                      <w:sz w:val="16"/>
                      <w:szCs w:val="16"/>
                    </w:rPr>
                    <w:t>St</w:t>
                  </w:r>
                  <w:r>
                    <w:rPr>
                      <w:rFonts w:ascii="Times New Roman" w:eastAsia="Times New Roman" w:hAnsi="Times New Roman" w:cs="Times New Roman"/>
                      <w:b/>
                      <w:bCs/>
                      <w:spacing w:val="-2"/>
                      <w:w w:val="95"/>
                      <w:sz w:val="16"/>
                      <w:szCs w:val="16"/>
                    </w:rPr>
                    <w:t>artin</w:t>
                  </w:r>
                  <w:r>
                    <w:rPr>
                      <w:rFonts w:ascii="Times New Roman" w:eastAsia="Times New Roman" w:hAnsi="Times New Roman" w:cs="Times New Roman"/>
                      <w:b/>
                      <w:bCs/>
                      <w:spacing w:val="-1"/>
                      <w:w w:val="95"/>
                      <w:sz w:val="16"/>
                      <w:szCs w:val="16"/>
                    </w:rPr>
                    <w:t>g</w:t>
                  </w:r>
                  <w:r>
                    <w:rPr>
                      <w:rFonts w:ascii="Times New Roman" w:eastAsia="Times New Roman" w:hAnsi="Times New Roman" w:cs="Times New Roman"/>
                      <w:b/>
                      <w:bCs/>
                      <w:spacing w:val="-11"/>
                      <w:w w:val="95"/>
                      <w:sz w:val="16"/>
                      <w:szCs w:val="16"/>
                    </w:rPr>
                    <w:t xml:space="preserve"> </w:t>
                  </w:r>
                  <w:r>
                    <w:rPr>
                      <w:rFonts w:ascii="Times New Roman" w:eastAsia="Times New Roman" w:hAnsi="Times New Roman" w:cs="Times New Roman"/>
                      <w:b/>
                      <w:bCs/>
                      <w:spacing w:val="-2"/>
                      <w:w w:val="95"/>
                      <w:sz w:val="16"/>
                      <w:szCs w:val="16"/>
                    </w:rPr>
                    <w:t>p</w:t>
                  </w:r>
                  <w:r>
                    <w:rPr>
                      <w:rFonts w:ascii="Times New Roman" w:eastAsia="Times New Roman" w:hAnsi="Times New Roman" w:cs="Times New Roman"/>
                      <w:b/>
                      <w:bCs/>
                      <w:spacing w:val="-1"/>
                      <w:w w:val="95"/>
                      <w:sz w:val="16"/>
                      <w:szCs w:val="16"/>
                    </w:rPr>
                    <w:t>o</w:t>
                  </w:r>
                  <w:r>
                    <w:rPr>
                      <w:rFonts w:ascii="Times New Roman" w:eastAsia="Times New Roman" w:hAnsi="Times New Roman" w:cs="Times New Roman"/>
                      <w:b/>
                      <w:bCs/>
                      <w:spacing w:val="-2"/>
                      <w:w w:val="95"/>
                      <w:sz w:val="16"/>
                      <w:szCs w:val="16"/>
                    </w:rPr>
                    <w:t>int:</w:t>
                  </w:r>
                  <w:r>
                    <w:rPr>
                      <w:rFonts w:ascii="Times New Roman" w:eastAsia="Times New Roman" w:hAnsi="Times New Roman" w:cs="Times New Roman"/>
                      <w:b/>
                      <w:bCs/>
                      <w:spacing w:val="-12"/>
                      <w:w w:val="95"/>
                      <w:sz w:val="16"/>
                      <w:szCs w:val="16"/>
                    </w:rPr>
                    <w:t xml:space="preserve"> </w:t>
                  </w:r>
                  <w:r w:rsidRPr="003A2E62">
                    <w:rPr>
                      <w:rFonts w:ascii="Times New Roman"/>
                      <w:sz w:val="16"/>
                    </w:rPr>
                    <w:t>ICRC</w:t>
                  </w:r>
                  <w:r w:rsidRPr="003A2E62">
                    <w:rPr>
                      <w:rFonts w:ascii="Times New Roman"/>
                      <w:sz w:val="16"/>
                    </w:rPr>
                    <w:t>’</w:t>
                  </w:r>
                  <w:r w:rsidRPr="003A2E62">
                    <w:rPr>
                      <w:rFonts w:ascii="Times New Roman"/>
                      <w:sz w:val="16"/>
                    </w:rPr>
                    <w:t>s final decision for 2013-14 and 2014-15. Post 2014-15 the Panel had to make its own decision because the ICRC did not make a decision about indexation beyond this date</w:t>
                  </w:r>
                </w:p>
                <w:p w:rsidR="008A79D5" w:rsidRDefault="008A79D5">
                  <w:pPr>
                    <w:spacing w:before="38"/>
                    <w:ind w:left="131"/>
                    <w:jc w:val="both"/>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59" w:line="270" w:lineRule="auto"/>
                    <w:ind w:left="131" w:right="130"/>
                    <w:jc w:val="both"/>
                    <w:rPr>
                      <w:rFonts w:ascii="Times New Roman"/>
                      <w:sz w:val="16"/>
                    </w:rPr>
                  </w:pPr>
                  <w:r w:rsidRPr="003A2E62">
                    <w:rPr>
                      <w:rFonts w:ascii="Times New Roman"/>
                      <w:spacing w:val="-2"/>
                      <w:sz w:val="16"/>
                    </w:rPr>
                    <w:t>Submissions from ACTEW and other stakeholders</w:t>
                  </w:r>
                  <w:r w:rsidRPr="003A2E62">
                    <w:rPr>
                      <w:rFonts w:ascii="Times New Roman"/>
                      <w:sz w:val="16"/>
                    </w:rPr>
                    <w:t xml:space="preserve"> Regulatory practice</w:t>
                  </w:r>
                </w:p>
              </w:txbxContent>
            </v:textbox>
            <w10:wrap anchorx="page" anchory="page"/>
          </v:shape>
        </w:pict>
      </w:r>
      <w:r w:rsidRPr="00D96B91">
        <w:pict>
          <v:shape id="_x0000_s3299" type="#_x0000_t202" style="position:absolute;margin-left:449.85pt;margin-top:483.5pt;width:29.2pt;height:47.6pt;z-index:251536896;mso-position-horizontal-relative:page;mso-position-vertical-relative:page" fillcolor="#dbdcde" strokeweight=".24131mm">
            <v:textbox style="layout-flow:vertical;mso-layout-flow-alt:bottom-to-top;mso-next-textbox:#_x0000_s3299" inset="0,0,0,0">
              <w:txbxContent>
                <w:p w:rsidR="008A79D5" w:rsidRDefault="008A79D5">
                  <w:pPr>
                    <w:spacing w:before="137"/>
                    <w:ind w:left="96"/>
                    <w:rPr>
                      <w:rFonts w:ascii="Times New Roman" w:eastAsia="Times New Roman" w:hAnsi="Times New Roman" w:cs="Times New Roman"/>
                      <w:sz w:val="18"/>
                      <w:szCs w:val="18"/>
                    </w:rPr>
                  </w:pPr>
                  <w:r>
                    <w:rPr>
                      <w:rFonts w:ascii="Times New Roman"/>
                      <w:w w:val="93"/>
                      <w:sz w:val="18"/>
                    </w:rPr>
                    <w:t>Chap</w:t>
                  </w:r>
                  <w:r>
                    <w:rPr>
                      <w:rFonts w:ascii="Times New Roman"/>
                      <w:w w:val="91"/>
                      <w:sz w:val="18"/>
                    </w:rPr>
                    <w:t>ter</w:t>
                  </w:r>
                  <w:r>
                    <w:rPr>
                      <w:rFonts w:ascii="Times New Roman"/>
                      <w:spacing w:val="-3"/>
                      <w:sz w:val="18"/>
                    </w:rPr>
                    <w:t xml:space="preserve"> </w:t>
                  </w:r>
                  <w:r>
                    <w:rPr>
                      <w:rFonts w:ascii="Times New Roman"/>
                      <w:w w:val="92"/>
                      <w:sz w:val="18"/>
                    </w:rPr>
                    <w:t>10</w:t>
                  </w:r>
                </w:p>
              </w:txbxContent>
            </v:textbox>
            <w10:wrap anchorx="page" anchory="page"/>
          </v:shape>
        </w:pict>
      </w:r>
      <w:r w:rsidRPr="00D96B91">
        <w:pict>
          <v:shape id="_x0000_s3298" type="#_x0000_t202" style="position:absolute;margin-left:449.85pt;margin-top:537.8pt;width:29.2pt;height:85.9pt;z-index:251537920;mso-position-horizontal-relative:page;mso-position-vertical-relative:page" fillcolor="#dbdcde" strokeweight=".24131mm">
            <v:textbox style="layout-flow:vertical;mso-layout-flow-alt:bottom-to-top;mso-next-textbox:#_x0000_s3298" inset="0,0,0,0">
              <w:txbxContent>
                <w:p w:rsidR="008A79D5" w:rsidRDefault="008A79D5">
                  <w:pPr>
                    <w:spacing w:before="137"/>
                    <w:ind w:left="480"/>
                    <w:rPr>
                      <w:rFonts w:ascii="Times New Roman" w:eastAsia="Times New Roman" w:hAnsi="Times New Roman" w:cs="Times New Roman"/>
                      <w:sz w:val="18"/>
                      <w:szCs w:val="18"/>
                    </w:rPr>
                  </w:pPr>
                  <w:r>
                    <w:rPr>
                      <w:rFonts w:ascii="Times New Roman"/>
                      <w:w w:val="93"/>
                      <w:sz w:val="18"/>
                    </w:rPr>
                    <w:t>Chap</w:t>
                  </w:r>
                  <w:r>
                    <w:rPr>
                      <w:rFonts w:ascii="Times New Roman"/>
                      <w:w w:val="91"/>
                      <w:sz w:val="18"/>
                    </w:rPr>
                    <w:t>ter</w:t>
                  </w:r>
                  <w:r>
                    <w:rPr>
                      <w:rFonts w:ascii="Times New Roman"/>
                      <w:spacing w:val="-3"/>
                      <w:sz w:val="18"/>
                    </w:rPr>
                    <w:t xml:space="preserve"> </w:t>
                  </w:r>
                  <w:r>
                    <w:rPr>
                      <w:rFonts w:ascii="Times New Roman"/>
                      <w:w w:val="92"/>
                      <w:sz w:val="18"/>
                    </w:rPr>
                    <w:t>11</w:t>
                  </w:r>
                </w:p>
              </w:txbxContent>
            </v:textbox>
            <w10:wrap anchorx="page" anchory="page"/>
          </v:shape>
        </w:pict>
      </w:r>
      <w:r w:rsidRPr="00D96B91">
        <w:pict>
          <v:shape id="_x0000_s3297" type="#_x0000_t202" style="position:absolute;margin-left:449.85pt;margin-top:628.25pt;width:29.2pt;height:79.9pt;z-index:251538944;mso-position-horizontal-relative:page;mso-position-vertical-relative:page" fillcolor="#dbdcde" strokeweight=".24131mm">
            <v:textbox style="layout-flow:vertical;mso-layout-flow-alt:bottom-to-top;mso-next-textbox:#_x0000_s3297" inset="0,0,0,0">
              <w:txbxContent>
                <w:p w:rsidR="008A79D5" w:rsidRDefault="008A79D5">
                  <w:pPr>
                    <w:spacing w:before="137"/>
                    <w:ind w:left="421"/>
                    <w:rPr>
                      <w:rFonts w:ascii="Times New Roman" w:eastAsia="Times New Roman" w:hAnsi="Times New Roman" w:cs="Times New Roman"/>
                      <w:sz w:val="18"/>
                      <w:szCs w:val="18"/>
                    </w:rPr>
                  </w:pPr>
                  <w:r>
                    <w:rPr>
                      <w:rFonts w:ascii="Times New Roman"/>
                      <w:w w:val="93"/>
                      <w:sz w:val="18"/>
                    </w:rPr>
                    <w:t>Chap</w:t>
                  </w:r>
                  <w:r>
                    <w:rPr>
                      <w:rFonts w:ascii="Times New Roman"/>
                      <w:w w:val="91"/>
                      <w:sz w:val="18"/>
                    </w:rPr>
                    <w:t>ter</w:t>
                  </w:r>
                  <w:r>
                    <w:rPr>
                      <w:rFonts w:ascii="Times New Roman"/>
                      <w:spacing w:val="-3"/>
                      <w:sz w:val="18"/>
                    </w:rPr>
                    <w:t xml:space="preserve"> </w:t>
                  </w:r>
                  <w:r>
                    <w:rPr>
                      <w:rFonts w:ascii="Times New Roman"/>
                      <w:w w:val="92"/>
                      <w:sz w:val="18"/>
                    </w:rPr>
                    <w:t>12</w:t>
                  </w:r>
                </w:p>
              </w:txbxContent>
            </v:textbox>
            <w10:wrap anchorx="page" anchory="page"/>
          </v:shape>
        </w:pict>
      </w:r>
      <w:r w:rsidRPr="00D96B91">
        <w:pict>
          <v:shape id="_x0000_s3296" type="#_x0000_t202" style="position:absolute;margin-left:449.55pt;margin-top:96.9pt;width:30.25pt;height:381.9pt;z-index:251539968;mso-position-horizontal-relative:page;mso-position-vertical-relative:page" filled="f" stroked="f">
            <v:textbox style="mso-next-textbox:#_x0000_s3296" inset="0,0,0,0">
              <w:txbxContent>
                <w:tbl>
                  <w:tblPr>
                    <w:tblW w:w="0" w:type="auto"/>
                    <w:tblLayout w:type="fixed"/>
                    <w:tblCellMar>
                      <w:left w:w="0" w:type="dxa"/>
                      <w:right w:w="0" w:type="dxa"/>
                    </w:tblCellMar>
                    <w:tblLook w:val="01E0"/>
                  </w:tblPr>
                  <w:tblGrid>
                    <w:gridCol w:w="584"/>
                  </w:tblGrid>
                  <w:tr w:rsidR="008A79D5">
                    <w:trPr>
                      <w:trHeight w:hRule="exact" w:val="1477"/>
                    </w:trPr>
                    <w:tc>
                      <w:tcPr>
                        <w:tcW w:w="584" w:type="dxa"/>
                        <w:tcBorders>
                          <w:top w:val="single" w:sz="5" w:space="0" w:color="000000"/>
                          <w:left w:val="single" w:sz="5" w:space="0" w:color="000000"/>
                          <w:bottom w:val="single" w:sz="5" w:space="0" w:color="000000"/>
                          <w:right w:val="single" w:sz="5" w:space="0" w:color="000000"/>
                        </w:tcBorders>
                        <w:shd w:val="clear" w:color="auto" w:fill="DBDCDE"/>
                        <w:textDirection w:val="btLr"/>
                      </w:tcPr>
                      <w:p w:rsidR="008A79D5" w:rsidRDefault="008A79D5">
                        <w:pPr>
                          <w:pStyle w:val="TableParagraph"/>
                          <w:spacing w:before="137"/>
                          <w:ind w:left="402"/>
                          <w:rPr>
                            <w:rFonts w:ascii="Times New Roman" w:eastAsia="Times New Roman" w:hAnsi="Times New Roman" w:cs="Times New Roman"/>
                            <w:sz w:val="18"/>
                            <w:szCs w:val="18"/>
                          </w:rPr>
                        </w:pPr>
                        <w:r>
                          <w:rPr>
                            <w:rFonts w:ascii="Times New Roman"/>
                            <w:w w:val="95"/>
                            <w:sz w:val="18"/>
                          </w:rPr>
                          <w:t>Chapter</w:t>
                        </w:r>
                        <w:r>
                          <w:rPr>
                            <w:rFonts w:ascii="Times New Roman"/>
                            <w:spacing w:val="-19"/>
                            <w:w w:val="95"/>
                            <w:sz w:val="18"/>
                          </w:rPr>
                          <w:t xml:space="preserve"> </w:t>
                        </w:r>
                        <w:r>
                          <w:rPr>
                            <w:rFonts w:ascii="Times New Roman"/>
                            <w:w w:val="95"/>
                            <w:sz w:val="18"/>
                          </w:rPr>
                          <w:t>8</w:t>
                        </w:r>
                      </w:p>
                    </w:tc>
                  </w:tr>
                  <w:tr w:rsidR="008A79D5">
                    <w:trPr>
                      <w:trHeight w:hRule="exact" w:val="63"/>
                    </w:trPr>
                    <w:tc>
                      <w:tcPr>
                        <w:tcW w:w="584" w:type="dxa"/>
                        <w:tcBorders>
                          <w:top w:val="single" w:sz="5" w:space="0" w:color="000000"/>
                          <w:left w:val="nil"/>
                          <w:bottom w:val="single" w:sz="5" w:space="0" w:color="000000"/>
                          <w:right w:val="nil"/>
                        </w:tcBorders>
                      </w:tcPr>
                      <w:p w:rsidR="008A79D5" w:rsidRDefault="008A79D5"/>
                    </w:tc>
                  </w:tr>
                  <w:tr w:rsidR="008A79D5">
                    <w:trPr>
                      <w:trHeight w:hRule="exact" w:val="6084"/>
                    </w:trPr>
                    <w:tc>
                      <w:tcPr>
                        <w:tcW w:w="584" w:type="dxa"/>
                        <w:tcBorders>
                          <w:top w:val="single" w:sz="5" w:space="0" w:color="000000"/>
                          <w:left w:val="single" w:sz="5" w:space="0" w:color="000000"/>
                          <w:bottom w:val="single" w:sz="5" w:space="0" w:color="000000"/>
                          <w:right w:val="single" w:sz="5" w:space="0" w:color="000000"/>
                        </w:tcBorders>
                        <w:shd w:val="clear" w:color="auto" w:fill="DBDCDE"/>
                        <w:textDirection w:val="btLr"/>
                      </w:tcPr>
                      <w:p w:rsidR="008A79D5" w:rsidRDefault="008A79D5">
                        <w:pPr>
                          <w:pStyle w:val="TableParagraph"/>
                          <w:spacing w:before="137"/>
                          <w:jc w:val="center"/>
                          <w:rPr>
                            <w:rFonts w:ascii="Times New Roman" w:eastAsia="Times New Roman" w:hAnsi="Times New Roman" w:cs="Times New Roman"/>
                            <w:sz w:val="18"/>
                            <w:szCs w:val="18"/>
                          </w:rPr>
                        </w:pPr>
                        <w:r>
                          <w:rPr>
                            <w:rFonts w:ascii="Times New Roman"/>
                            <w:w w:val="95"/>
                            <w:sz w:val="18"/>
                          </w:rPr>
                          <w:t>Chapter</w:t>
                        </w:r>
                        <w:r>
                          <w:rPr>
                            <w:rFonts w:ascii="Times New Roman"/>
                            <w:spacing w:val="-19"/>
                            <w:w w:val="95"/>
                            <w:sz w:val="18"/>
                          </w:rPr>
                          <w:t xml:space="preserve"> </w:t>
                        </w:r>
                        <w:r>
                          <w:rPr>
                            <w:rFonts w:ascii="Times New Roman"/>
                            <w:w w:val="95"/>
                            <w:sz w:val="18"/>
                          </w:rPr>
                          <w:t>9</w:t>
                        </w:r>
                      </w:p>
                    </w:tc>
                  </w:tr>
                </w:tbl>
                <w:p w:rsidR="008A79D5" w:rsidRDefault="008A79D5"/>
              </w:txbxContent>
            </v:textbox>
            <w10:wrap anchorx="page" anchory="page"/>
          </v:shape>
        </w:pict>
      </w:r>
    </w:p>
    <w:p w:rsidR="00D96B91" w:rsidRDefault="00D96B91">
      <w:pPr>
        <w:spacing w:line="200" w:lineRule="atLeast"/>
        <w:ind w:left="2331"/>
        <w:rPr>
          <w:rFonts w:ascii="Times New Roman" w:eastAsia="Times New Roman" w:hAnsi="Times New Roman" w:cs="Times New Roman"/>
          <w:sz w:val="20"/>
          <w:szCs w:val="20"/>
        </w:rPr>
      </w:pPr>
      <w:r w:rsidRPr="00D96B91">
        <w:rPr>
          <w:rFonts w:ascii="Times New Roman" w:eastAsia="Times New Roman" w:hAnsi="Times New Roman" w:cs="Times New Roman"/>
          <w:sz w:val="20"/>
          <w:szCs w:val="20"/>
        </w:rPr>
      </w:r>
      <w:r>
        <w:rPr>
          <w:rFonts w:ascii="Times New Roman" w:eastAsia="Times New Roman" w:hAnsi="Times New Roman" w:cs="Times New Roman"/>
          <w:sz w:val="20"/>
          <w:szCs w:val="20"/>
        </w:rPr>
        <w:pict>
          <v:shape id="_x0000_s3295" type="#_x0000_t202" style="width:362.45pt;height:28.45pt;mso-left-percent:-10001;mso-top-percent:-10001;mso-position-horizontal:absolute;mso-position-horizontal-relative:char;mso-position-vertical:absolute;mso-position-vertical-relative:line;mso-left-percent:-10001;mso-top-percent:-10001" fillcolor="#002060" strokeweight=".24131mm">
            <v:textbox style="mso-next-textbox:#_x0000_s3295" inset="0,0,0,0">
              <w:txbxContent>
                <w:p w:rsidR="008A79D5" w:rsidRDefault="008A79D5">
                  <w:pPr>
                    <w:spacing w:before="64"/>
                    <w:ind w:right="1"/>
                    <w:jc w:val="center"/>
                    <w:rPr>
                      <w:rFonts w:ascii="Times New Roman" w:eastAsia="Times New Roman" w:hAnsi="Times New Roman" w:cs="Times New Roman"/>
                      <w:sz w:val="18"/>
                      <w:szCs w:val="18"/>
                    </w:rPr>
                  </w:pPr>
                  <w:r>
                    <w:rPr>
                      <w:rFonts w:ascii="Times New Roman"/>
                      <w:b/>
                      <w:color w:val="FFFFFF"/>
                      <w:w w:val="95"/>
                      <w:sz w:val="18"/>
                    </w:rPr>
                    <w:t>Decisions</w:t>
                  </w:r>
                  <w:r>
                    <w:rPr>
                      <w:rFonts w:ascii="Times New Roman"/>
                      <w:b/>
                      <w:color w:val="FFFFFF"/>
                      <w:spacing w:val="-14"/>
                      <w:w w:val="95"/>
                      <w:sz w:val="18"/>
                    </w:rPr>
                    <w:t xml:space="preserve"> </w:t>
                  </w:r>
                  <w:r>
                    <w:rPr>
                      <w:rFonts w:ascii="Times New Roman"/>
                      <w:b/>
                      <w:color w:val="FFFFFF"/>
                      <w:w w:val="95"/>
                      <w:sz w:val="18"/>
                    </w:rPr>
                    <w:t>about</w:t>
                  </w:r>
                  <w:r>
                    <w:rPr>
                      <w:rFonts w:ascii="Times New Roman"/>
                      <w:b/>
                      <w:color w:val="FFFFFF"/>
                      <w:spacing w:val="-13"/>
                      <w:w w:val="95"/>
                      <w:sz w:val="18"/>
                    </w:rPr>
                    <w:t xml:space="preserve"> </w:t>
                  </w:r>
                  <w:r>
                    <w:rPr>
                      <w:rFonts w:ascii="Times New Roman"/>
                      <w:b/>
                      <w:color w:val="FFFFFF"/>
                      <w:spacing w:val="-2"/>
                      <w:w w:val="95"/>
                      <w:sz w:val="18"/>
                    </w:rPr>
                    <w:t>individual</w:t>
                  </w:r>
                  <w:r>
                    <w:rPr>
                      <w:rFonts w:ascii="Times New Roman"/>
                      <w:b/>
                      <w:color w:val="FFFFFF"/>
                      <w:spacing w:val="-14"/>
                      <w:w w:val="95"/>
                      <w:sz w:val="18"/>
                    </w:rPr>
                    <w:t xml:space="preserve"> </w:t>
                  </w:r>
                  <w:r>
                    <w:rPr>
                      <w:rFonts w:ascii="Times New Roman"/>
                      <w:b/>
                      <w:color w:val="FFFFFF"/>
                      <w:spacing w:val="-2"/>
                      <w:w w:val="95"/>
                      <w:sz w:val="18"/>
                    </w:rPr>
                    <w:t>input</w:t>
                  </w:r>
                  <w:r>
                    <w:rPr>
                      <w:rFonts w:ascii="Times New Roman"/>
                      <w:b/>
                      <w:color w:val="FFFFFF"/>
                      <w:spacing w:val="-1"/>
                      <w:w w:val="95"/>
                      <w:sz w:val="18"/>
                    </w:rPr>
                    <w:t>s</w:t>
                  </w:r>
                  <w:r>
                    <w:rPr>
                      <w:rFonts w:ascii="Times New Roman"/>
                      <w:b/>
                      <w:color w:val="FFFFFF"/>
                      <w:spacing w:val="-14"/>
                      <w:w w:val="95"/>
                      <w:sz w:val="18"/>
                    </w:rPr>
                    <w:t xml:space="preserve"> </w:t>
                  </w:r>
                  <w:r>
                    <w:rPr>
                      <w:rFonts w:ascii="Times New Roman"/>
                      <w:b/>
                      <w:color w:val="FFFFFF"/>
                      <w:w w:val="95"/>
                      <w:sz w:val="18"/>
                    </w:rPr>
                    <w:t>to</w:t>
                  </w:r>
                  <w:r>
                    <w:rPr>
                      <w:rFonts w:ascii="Times New Roman"/>
                      <w:b/>
                      <w:color w:val="FFFFFF"/>
                      <w:spacing w:val="-13"/>
                      <w:w w:val="95"/>
                      <w:sz w:val="18"/>
                    </w:rPr>
                    <w:t xml:space="preserve"> </w:t>
                  </w:r>
                  <w:r>
                    <w:rPr>
                      <w:rFonts w:ascii="Times New Roman"/>
                      <w:b/>
                      <w:color w:val="FFFFFF"/>
                      <w:w w:val="95"/>
                      <w:sz w:val="18"/>
                    </w:rPr>
                    <w:t>the</w:t>
                  </w:r>
                  <w:r>
                    <w:rPr>
                      <w:rFonts w:ascii="Times New Roman"/>
                      <w:b/>
                      <w:color w:val="FFFFFF"/>
                      <w:spacing w:val="-15"/>
                      <w:w w:val="95"/>
                      <w:sz w:val="18"/>
                    </w:rPr>
                    <w:t xml:space="preserve"> </w:t>
                  </w:r>
                  <w:r>
                    <w:rPr>
                      <w:rFonts w:ascii="Times New Roman"/>
                      <w:b/>
                      <w:color w:val="FFFFFF"/>
                      <w:spacing w:val="-2"/>
                      <w:w w:val="95"/>
                      <w:sz w:val="18"/>
                    </w:rPr>
                    <w:t>pri</w:t>
                  </w:r>
                  <w:r>
                    <w:rPr>
                      <w:rFonts w:ascii="Times New Roman"/>
                      <w:b/>
                      <w:color w:val="FFFFFF"/>
                      <w:spacing w:val="-1"/>
                      <w:w w:val="95"/>
                      <w:sz w:val="18"/>
                    </w:rPr>
                    <w:t>c</w:t>
                  </w:r>
                  <w:r>
                    <w:rPr>
                      <w:rFonts w:ascii="Times New Roman"/>
                      <w:b/>
                      <w:color w:val="FFFFFF"/>
                      <w:spacing w:val="-2"/>
                      <w:w w:val="95"/>
                      <w:sz w:val="18"/>
                    </w:rPr>
                    <w:t>i</w:t>
                  </w:r>
                  <w:r>
                    <w:rPr>
                      <w:rFonts w:ascii="Times New Roman"/>
                      <w:b/>
                      <w:color w:val="FFFFFF"/>
                      <w:spacing w:val="-1"/>
                      <w:w w:val="95"/>
                      <w:sz w:val="18"/>
                    </w:rPr>
                    <w:t>ng</w:t>
                  </w:r>
                  <w:r>
                    <w:rPr>
                      <w:rFonts w:ascii="Times New Roman"/>
                      <w:b/>
                      <w:color w:val="FFFFFF"/>
                      <w:spacing w:val="-13"/>
                      <w:w w:val="95"/>
                      <w:sz w:val="18"/>
                    </w:rPr>
                    <w:t xml:space="preserve"> </w:t>
                  </w:r>
                  <w:r>
                    <w:rPr>
                      <w:rFonts w:ascii="Times New Roman"/>
                      <w:b/>
                      <w:color w:val="FFFFFF"/>
                      <w:spacing w:val="-2"/>
                      <w:w w:val="95"/>
                      <w:sz w:val="18"/>
                    </w:rPr>
                    <w:t>m</w:t>
                  </w:r>
                  <w:r>
                    <w:rPr>
                      <w:rFonts w:ascii="Times New Roman"/>
                      <w:b/>
                      <w:color w:val="FFFFFF"/>
                      <w:spacing w:val="-1"/>
                      <w:w w:val="95"/>
                      <w:sz w:val="18"/>
                    </w:rPr>
                    <w:t>e</w:t>
                  </w:r>
                  <w:r>
                    <w:rPr>
                      <w:rFonts w:ascii="Times New Roman"/>
                      <w:b/>
                      <w:color w:val="FFFFFF"/>
                      <w:spacing w:val="-2"/>
                      <w:w w:val="95"/>
                      <w:sz w:val="18"/>
                    </w:rPr>
                    <w:t>th</w:t>
                  </w:r>
                  <w:r>
                    <w:rPr>
                      <w:rFonts w:ascii="Times New Roman"/>
                      <w:b/>
                      <w:color w:val="FFFFFF"/>
                      <w:spacing w:val="-1"/>
                      <w:w w:val="95"/>
                      <w:sz w:val="18"/>
                    </w:rPr>
                    <w:t>odology</w:t>
                  </w:r>
                </w:p>
                <w:p w:rsidR="008A79D5" w:rsidRDefault="008A79D5">
                  <w:pPr>
                    <w:spacing w:before="23"/>
                    <w:ind w:left="2"/>
                    <w:jc w:val="center"/>
                    <w:rPr>
                      <w:rFonts w:ascii="Times New Roman" w:eastAsia="Times New Roman" w:hAnsi="Times New Roman" w:cs="Times New Roman"/>
                      <w:sz w:val="18"/>
                      <w:szCs w:val="18"/>
                    </w:rPr>
                  </w:pPr>
                  <w:r>
                    <w:rPr>
                      <w:rFonts w:ascii="Times New Roman" w:eastAsia="Times New Roman" w:hAnsi="Times New Roman" w:cs="Times New Roman"/>
                      <w:color w:val="FFFFFF"/>
                      <w:spacing w:val="-2"/>
                      <w:w w:val="95"/>
                      <w:sz w:val="18"/>
                      <w:szCs w:val="18"/>
                    </w:rPr>
                    <w:t>(</w:t>
                  </w:r>
                  <w:r>
                    <w:rPr>
                      <w:rFonts w:ascii="Times New Roman" w:eastAsia="Times New Roman" w:hAnsi="Times New Roman" w:cs="Times New Roman"/>
                      <w:color w:val="FFFFFF"/>
                      <w:spacing w:val="-1"/>
                      <w:w w:val="95"/>
                      <w:sz w:val="18"/>
                      <w:szCs w:val="18"/>
                    </w:rPr>
                    <w:t>Step</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6</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of</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the</w:t>
                  </w:r>
                  <w:r>
                    <w:rPr>
                      <w:rFonts w:ascii="Times New Roman" w:eastAsia="Times New Roman" w:hAnsi="Times New Roman" w:cs="Times New Roman"/>
                      <w:color w:val="FFFFFF"/>
                      <w:spacing w:val="-27"/>
                      <w:w w:val="95"/>
                      <w:sz w:val="18"/>
                      <w:szCs w:val="18"/>
                    </w:rPr>
                    <w:t xml:space="preserve"> </w:t>
                  </w:r>
                  <w:r>
                    <w:rPr>
                      <w:rFonts w:ascii="Times New Roman" w:eastAsia="Times New Roman" w:hAnsi="Times New Roman" w:cs="Times New Roman"/>
                      <w:color w:val="FFFFFF"/>
                      <w:spacing w:val="-1"/>
                      <w:w w:val="95"/>
                      <w:sz w:val="18"/>
                      <w:szCs w:val="18"/>
                    </w:rPr>
                    <w:t>Panel</w:t>
                  </w:r>
                  <w:r>
                    <w:rPr>
                      <w:rFonts w:ascii="Times New Roman" w:eastAsia="Times New Roman" w:hAnsi="Times New Roman" w:cs="Times New Roman"/>
                      <w:color w:val="FFFFFF"/>
                      <w:spacing w:val="-2"/>
                      <w:w w:val="95"/>
                      <w:sz w:val="18"/>
                      <w:szCs w:val="18"/>
                    </w:rPr>
                    <w:t>’</w:t>
                  </w:r>
                  <w:r>
                    <w:rPr>
                      <w:rFonts w:ascii="Times New Roman" w:eastAsia="Times New Roman" w:hAnsi="Times New Roman" w:cs="Times New Roman"/>
                      <w:color w:val="FFFFFF"/>
                      <w:spacing w:val="-1"/>
                      <w:w w:val="95"/>
                      <w:sz w:val="18"/>
                      <w:szCs w:val="18"/>
                    </w:rPr>
                    <w:t>s</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spacing w:val="-1"/>
                      <w:w w:val="95"/>
                      <w:sz w:val="18"/>
                      <w:szCs w:val="18"/>
                    </w:rPr>
                    <w:t>anal</w:t>
                  </w:r>
                  <w:r>
                    <w:rPr>
                      <w:rFonts w:ascii="Times New Roman" w:eastAsia="Times New Roman" w:hAnsi="Times New Roman" w:cs="Times New Roman"/>
                      <w:color w:val="FFFFFF"/>
                      <w:spacing w:val="-2"/>
                      <w:w w:val="95"/>
                      <w:sz w:val="18"/>
                      <w:szCs w:val="18"/>
                    </w:rPr>
                    <w:t>ytical</w:t>
                  </w:r>
                  <w:r>
                    <w:rPr>
                      <w:rFonts w:ascii="Times New Roman" w:eastAsia="Times New Roman" w:hAnsi="Times New Roman" w:cs="Times New Roman"/>
                      <w:color w:val="FFFFFF"/>
                      <w:spacing w:val="-28"/>
                      <w:w w:val="95"/>
                      <w:sz w:val="18"/>
                      <w:szCs w:val="18"/>
                    </w:rPr>
                    <w:t xml:space="preserve"> </w:t>
                  </w:r>
                  <w:r>
                    <w:rPr>
                      <w:rFonts w:ascii="Times New Roman" w:eastAsia="Times New Roman" w:hAnsi="Times New Roman" w:cs="Times New Roman"/>
                      <w:color w:val="FFFFFF"/>
                      <w:w w:val="95"/>
                      <w:sz w:val="18"/>
                      <w:szCs w:val="18"/>
                    </w:rPr>
                    <w:t>framework)</w:t>
                  </w:r>
                </w:p>
              </w:txbxContent>
            </v:textbox>
          </v:shape>
        </w:pict>
      </w:r>
    </w:p>
    <w:p w:rsidR="00D96B91" w:rsidRDefault="00D96B91">
      <w:pPr>
        <w:spacing w:before="5"/>
        <w:rPr>
          <w:rFonts w:ascii="Times New Roman" w:eastAsia="Times New Roman" w:hAnsi="Times New Roman" w:cs="Times New Roman"/>
          <w:sz w:val="6"/>
          <w:szCs w:val="6"/>
        </w:rPr>
      </w:pPr>
    </w:p>
    <w:p w:rsidR="00D96B91" w:rsidRDefault="00D96B91">
      <w:pPr>
        <w:pStyle w:val="BodyText"/>
        <w:tabs>
          <w:tab w:val="left" w:pos="4723"/>
        </w:tabs>
        <w:spacing w:line="200" w:lineRule="atLeast"/>
        <w:ind w:left="2316"/>
        <w:rPr>
          <w:rFonts w:ascii="Times New Roman" w:eastAsia="Times New Roman" w:hAnsi="Times New Roman" w:cs="Times New Roman"/>
        </w:rPr>
      </w:pPr>
      <w:r w:rsidRPr="00D96B91">
        <w:rPr>
          <w:rFonts w:ascii="Times New Roman"/>
        </w:rPr>
      </w:r>
      <w:r w:rsidRPr="00D96B91">
        <w:rPr>
          <w:rFonts w:ascii="Times New Roman"/>
        </w:rPr>
        <w:pict>
          <v:group id="_x0000_s3284" style="width:99.2pt;height:125.65pt;mso-position-horizontal-relative:char;mso-position-vertical-relative:line" coordsize="1984,2513">
            <v:group id="_x0000_s3293" style="position:absolute;left:7;top:7;width:1970;height:1467" coordorigin="7,7" coordsize="1970,1467">
              <v:shape id="_x0000_s3294" style="position:absolute;left:7;top:7;width:1970;height:1467" coordorigin="7,7" coordsize="1970,1467" path="m7,1473r1969,l1976,7,7,7r,1466xe" fillcolor="#dbdcde" stroked="f">
                <v:path arrowok="t"/>
              </v:shape>
            </v:group>
            <v:group id="_x0000_s3291" style="position:absolute;left:7;top:7;width:1970;height:1467" coordorigin="7,7" coordsize="1970,1467">
              <v:shape id="_x0000_s3292" style="position:absolute;left:7;top:7;width:1970;height:1467" coordorigin="7,7" coordsize="1970,1467" path="m7,1473r1969,l1976,7,7,7r,1466xe" filled="f" strokeweight=".24131mm">
                <v:path arrowok="t"/>
              </v:shape>
            </v:group>
            <v:group id="_x0000_s3289" style="position:absolute;left:7;top:1532;width:1970;height:974" coordorigin="7,1532" coordsize="1970,974">
              <v:shape id="_x0000_s3290" style="position:absolute;left:7;top:1532;width:1970;height:974" coordorigin="7,1532" coordsize="1970,974" path="m7,2506r1969,l1976,1532,7,1532r,974xe" fillcolor="#dbdcde" stroked="f">
                <v:path arrowok="t"/>
              </v:shape>
            </v:group>
            <v:group id="_x0000_s3285" style="position:absolute;left:7;top:1532;width:1970;height:974" coordorigin="7,1532" coordsize="1970,974">
              <v:shape id="_x0000_s3288" style="position:absolute;left:7;top:1532;width:1970;height:974" coordorigin="7,1532" coordsize="1970,974" path="m7,2506r1969,l1976,1532,7,1532r,974xe" filled="f" strokeweight=".24131mm">
                <v:path arrowok="t"/>
              </v:shape>
              <v:shape id="_x0000_s3287" type="#_x0000_t202" style="position:absolute;left:7;top:7;width:1970;height:1496" filled="f" stroked="f">
                <v:textbox style="mso-next-textbox:#_x0000_s3287" inset="0,0,0,0">
                  <w:txbxContent>
                    <w:p w:rsidR="008A79D5" w:rsidRDefault="008A79D5">
                      <w:pPr>
                        <w:spacing w:before="71" w:line="266" w:lineRule="auto"/>
                        <w:ind w:left="385" w:right="313" w:hanging="71"/>
                        <w:rPr>
                          <w:rFonts w:ascii="Times New Roman" w:eastAsia="Times New Roman" w:hAnsi="Times New Roman" w:cs="Times New Roman"/>
                          <w:sz w:val="18"/>
                          <w:szCs w:val="18"/>
                        </w:rPr>
                      </w:pPr>
                      <w:r>
                        <w:rPr>
                          <w:rFonts w:ascii="Times New Roman"/>
                          <w:b/>
                          <w:spacing w:val="-2"/>
                          <w:w w:val="90"/>
                          <w:sz w:val="18"/>
                        </w:rPr>
                        <w:t>Tr</w:t>
                      </w:r>
                      <w:r>
                        <w:rPr>
                          <w:rFonts w:ascii="Times New Roman"/>
                          <w:b/>
                          <w:spacing w:val="-1"/>
                          <w:w w:val="90"/>
                          <w:sz w:val="18"/>
                        </w:rPr>
                        <w:t>eatmen</w:t>
                      </w:r>
                      <w:r>
                        <w:rPr>
                          <w:rFonts w:ascii="Times New Roman"/>
                          <w:b/>
                          <w:spacing w:val="-2"/>
                          <w:w w:val="90"/>
                          <w:sz w:val="18"/>
                        </w:rPr>
                        <w:t>t</w:t>
                      </w:r>
                      <w:r>
                        <w:rPr>
                          <w:rFonts w:ascii="Times New Roman"/>
                          <w:b/>
                          <w:spacing w:val="-11"/>
                          <w:w w:val="90"/>
                          <w:sz w:val="18"/>
                        </w:rPr>
                        <w:t xml:space="preserve"> </w:t>
                      </w:r>
                      <w:r>
                        <w:rPr>
                          <w:rFonts w:ascii="Times New Roman"/>
                          <w:b/>
                          <w:w w:val="90"/>
                          <w:sz w:val="18"/>
                        </w:rPr>
                        <w:t>of</w:t>
                      </w:r>
                      <w:r>
                        <w:rPr>
                          <w:rFonts w:ascii="Times New Roman"/>
                          <w:b/>
                          <w:spacing w:val="-10"/>
                          <w:w w:val="90"/>
                          <w:sz w:val="18"/>
                        </w:rPr>
                        <w:t xml:space="preserve"> </w:t>
                      </w:r>
                      <w:r>
                        <w:rPr>
                          <w:rFonts w:ascii="Times New Roman"/>
                          <w:b/>
                          <w:spacing w:val="-1"/>
                          <w:w w:val="90"/>
                          <w:sz w:val="18"/>
                        </w:rPr>
                        <w:t>wate</w:t>
                      </w:r>
                      <w:r>
                        <w:rPr>
                          <w:rFonts w:ascii="Times New Roman"/>
                          <w:b/>
                          <w:spacing w:val="-2"/>
                          <w:w w:val="90"/>
                          <w:sz w:val="18"/>
                        </w:rPr>
                        <w:t>r</w:t>
                      </w:r>
                      <w:r>
                        <w:rPr>
                          <w:rFonts w:ascii="Times New Roman"/>
                          <w:b/>
                          <w:spacing w:val="24"/>
                          <w:w w:val="72"/>
                          <w:sz w:val="18"/>
                        </w:rPr>
                        <w:t xml:space="preserve"> </w:t>
                      </w:r>
                      <w:r>
                        <w:rPr>
                          <w:rFonts w:ascii="Times New Roman"/>
                          <w:b/>
                          <w:spacing w:val="-1"/>
                          <w:w w:val="95"/>
                          <w:sz w:val="18"/>
                        </w:rPr>
                        <w:t>secu</w:t>
                      </w:r>
                      <w:r>
                        <w:rPr>
                          <w:rFonts w:ascii="Times New Roman"/>
                          <w:b/>
                          <w:spacing w:val="-2"/>
                          <w:w w:val="95"/>
                          <w:sz w:val="18"/>
                        </w:rPr>
                        <w:t>rity</w:t>
                      </w:r>
                      <w:r>
                        <w:rPr>
                          <w:rFonts w:ascii="Times New Roman"/>
                          <w:b/>
                          <w:spacing w:val="-18"/>
                          <w:w w:val="95"/>
                          <w:sz w:val="18"/>
                        </w:rPr>
                        <w:t xml:space="preserve"> </w:t>
                      </w:r>
                      <w:r>
                        <w:rPr>
                          <w:rFonts w:ascii="Times New Roman"/>
                          <w:b/>
                          <w:spacing w:val="-2"/>
                          <w:w w:val="95"/>
                          <w:sz w:val="18"/>
                        </w:rPr>
                        <w:t>pr</w:t>
                      </w:r>
                      <w:r>
                        <w:rPr>
                          <w:rFonts w:ascii="Times New Roman"/>
                          <w:b/>
                          <w:spacing w:val="-1"/>
                          <w:w w:val="95"/>
                          <w:sz w:val="18"/>
                        </w:rPr>
                        <w:t>ojec</w:t>
                      </w:r>
                      <w:r>
                        <w:rPr>
                          <w:rFonts w:ascii="Times New Roman"/>
                          <w:b/>
                          <w:spacing w:val="-2"/>
                          <w:w w:val="95"/>
                          <w:sz w:val="18"/>
                        </w:rPr>
                        <w:t>t</w:t>
                      </w:r>
                      <w:r>
                        <w:rPr>
                          <w:rFonts w:ascii="Times New Roman"/>
                          <w:b/>
                          <w:spacing w:val="-1"/>
                          <w:w w:val="95"/>
                          <w:sz w:val="18"/>
                        </w:rPr>
                        <w:t>s</w:t>
                      </w:r>
                    </w:p>
                  </w:txbxContent>
                </v:textbox>
              </v:shape>
              <v:shape id="_x0000_s3286" type="#_x0000_t202" style="position:absolute;left:7;top:1503;width:1970;height:1004" filled="f" stroked="f">
                <v:textbox style="mso-next-textbox:#_x0000_s3286" inset="0,0,0,0">
                  <w:txbxContent>
                    <w:p w:rsidR="008A79D5" w:rsidRDefault="008A79D5">
                      <w:pPr>
                        <w:spacing w:before="101" w:line="266" w:lineRule="auto"/>
                        <w:ind w:left="823" w:right="244" w:hanging="580"/>
                        <w:rPr>
                          <w:rFonts w:ascii="Times New Roman" w:eastAsia="Times New Roman" w:hAnsi="Times New Roman" w:cs="Times New Roman"/>
                          <w:sz w:val="18"/>
                          <w:szCs w:val="18"/>
                        </w:rPr>
                      </w:pPr>
                      <w:r>
                        <w:rPr>
                          <w:rFonts w:ascii="Times New Roman"/>
                          <w:b/>
                          <w:w w:val="95"/>
                          <w:sz w:val="18"/>
                        </w:rPr>
                        <w:t>Opening</w:t>
                      </w:r>
                      <w:r>
                        <w:rPr>
                          <w:rFonts w:ascii="Times New Roman"/>
                          <w:b/>
                          <w:spacing w:val="-16"/>
                          <w:w w:val="95"/>
                          <w:sz w:val="18"/>
                        </w:rPr>
                        <w:t xml:space="preserve"> </w:t>
                      </w:r>
                      <w:r>
                        <w:rPr>
                          <w:rFonts w:ascii="Times New Roman"/>
                          <w:b/>
                          <w:w w:val="95"/>
                          <w:sz w:val="18"/>
                        </w:rPr>
                        <w:t>value</w:t>
                      </w:r>
                      <w:r>
                        <w:rPr>
                          <w:rFonts w:ascii="Times New Roman"/>
                          <w:b/>
                          <w:spacing w:val="-15"/>
                          <w:w w:val="95"/>
                          <w:sz w:val="18"/>
                        </w:rPr>
                        <w:t xml:space="preserve"> </w:t>
                      </w:r>
                      <w:r>
                        <w:rPr>
                          <w:rFonts w:ascii="Times New Roman"/>
                          <w:b/>
                          <w:spacing w:val="-1"/>
                          <w:w w:val="95"/>
                          <w:sz w:val="18"/>
                        </w:rPr>
                        <w:t>o</w:t>
                      </w:r>
                      <w:r>
                        <w:rPr>
                          <w:rFonts w:ascii="Times New Roman"/>
                          <w:b/>
                          <w:spacing w:val="-2"/>
                          <w:w w:val="95"/>
                          <w:sz w:val="18"/>
                        </w:rPr>
                        <w:t>f</w:t>
                      </w:r>
                      <w:r>
                        <w:rPr>
                          <w:rFonts w:ascii="Times New Roman"/>
                          <w:b/>
                          <w:spacing w:val="-16"/>
                          <w:w w:val="95"/>
                          <w:sz w:val="18"/>
                        </w:rPr>
                        <w:t xml:space="preserve"> </w:t>
                      </w:r>
                      <w:r>
                        <w:rPr>
                          <w:rFonts w:ascii="Times New Roman"/>
                          <w:b/>
                          <w:w w:val="95"/>
                          <w:sz w:val="18"/>
                        </w:rPr>
                        <w:t>the</w:t>
                      </w:r>
                      <w:r>
                        <w:rPr>
                          <w:rFonts w:ascii="Times New Roman"/>
                          <w:b/>
                          <w:spacing w:val="21"/>
                          <w:w w:val="103"/>
                          <w:sz w:val="18"/>
                        </w:rPr>
                        <w:t xml:space="preserve"> </w:t>
                      </w:r>
                      <w:r>
                        <w:rPr>
                          <w:rFonts w:ascii="Times New Roman"/>
                          <w:b/>
                          <w:spacing w:val="-2"/>
                          <w:sz w:val="18"/>
                        </w:rPr>
                        <w:t>RAB</w:t>
                      </w:r>
                    </w:p>
                  </w:txbxContent>
                </v:textbox>
              </v:shape>
            </v:group>
            <w10:wrap type="none"/>
            <w10:anchorlock/>
          </v:group>
        </w:pict>
      </w:r>
      <w:r w:rsidR="00C2656B">
        <w:rPr>
          <w:rFonts w:ascii="Times New Roman"/>
        </w:rPr>
        <w:tab/>
      </w:r>
      <w:r w:rsidRPr="00D96B91">
        <w:rPr>
          <w:rFonts w:ascii="Times New Roman"/>
        </w:rPr>
      </w:r>
      <w:r>
        <w:rPr>
          <w:rFonts w:ascii="Times New Roman"/>
        </w:rPr>
        <w:pict>
          <v:group id="_x0000_s3277" style="width:175.75pt;height:125.65pt;mso-position-horizontal-relative:char;mso-position-vertical-relative:line" coordsize="3515,2513">
            <v:group id="_x0000_s3282" style="position:absolute;left:7;top:7;width:3502;height:1467" coordorigin="7,7" coordsize="3502,1467">
              <v:shape id="_x0000_s3283" style="position:absolute;left:7;top:7;width:3502;height:1467" coordorigin="7,7" coordsize="3502,1467" path="m7,1473r3501,l3508,7,7,7r,1466xe" filled="f" strokeweight=".24131mm">
                <v:path arrowok="t"/>
              </v:shape>
            </v:group>
            <v:group id="_x0000_s3278" style="position:absolute;left:7;top:1532;width:3502;height:974" coordorigin="7,1532" coordsize="3502,974">
              <v:shape id="_x0000_s3281" style="position:absolute;left:7;top:1532;width:3502;height:974" coordorigin="7,1532" coordsize="3502,974" path="m7,2506r3501,l3508,1532,7,1532r,974xe" filled="f" strokeweight=".24131mm">
                <v:path arrowok="t"/>
              </v:shape>
              <v:shape id="_x0000_s3280" type="#_x0000_t202" style="position:absolute;left:7;top:7;width:3502;height:1496" filled="f" stroked="f">
                <v:textbox style="mso-next-textbox:#_x0000_s3280" inset="0,0,0,0">
                  <w:txbxContent>
                    <w:p w:rsidR="008A79D5" w:rsidRDefault="008A79D5">
                      <w:pPr>
                        <w:spacing w:before="75"/>
                        <w:ind w:left="138"/>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b/>
                          <w:bCs/>
                          <w:spacing w:val="1"/>
                          <w:w w:val="90"/>
                          <w:sz w:val="16"/>
                          <w:szCs w:val="16"/>
                        </w:rPr>
                        <w:t xml:space="preserve"> </w:t>
                      </w:r>
                      <w:r w:rsidRPr="003A2E62">
                        <w:rPr>
                          <w:rFonts w:ascii="Times New Roman"/>
                          <w:spacing w:val="-2"/>
                          <w:sz w:val="16"/>
                        </w:rPr>
                        <w:t>ICRC</w:t>
                      </w:r>
                      <w:r w:rsidRPr="003A2E62">
                        <w:rPr>
                          <w:rFonts w:ascii="Times New Roman"/>
                          <w:spacing w:val="-2"/>
                          <w:sz w:val="16"/>
                        </w:rPr>
                        <w:t>’</w:t>
                      </w:r>
                      <w:r w:rsidRPr="003A2E62">
                        <w:rPr>
                          <w:rFonts w:ascii="Times New Roman"/>
                          <w:spacing w:val="-2"/>
                          <w:sz w:val="16"/>
                        </w:rPr>
                        <w:t>s final decision</w:t>
                      </w:r>
                    </w:p>
                    <w:p w:rsidR="008A79D5" w:rsidRDefault="008A79D5">
                      <w:pPr>
                        <w:spacing w:before="41"/>
                        <w:ind w:left="138"/>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Submissions from ACTEW and other stakeholders The original terms of reference</w:t>
                      </w:r>
                    </w:p>
                    <w:p w:rsidR="008A79D5"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Techniques used by other regulators</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Expert advice provided by Cardno</w:t>
                      </w:r>
                    </w:p>
                  </w:txbxContent>
                </v:textbox>
              </v:shape>
              <v:shape id="_x0000_s3279" type="#_x0000_t202" style="position:absolute;left:7;top:1503;width:3502;height:1004" filled="f" stroked="f">
                <v:textbox style="mso-next-textbox:#_x0000_s3279" inset="0,0,0,0">
                  <w:txbxContent>
                    <w:p w:rsidR="008A79D5" w:rsidRDefault="008A79D5">
                      <w:pPr>
                        <w:spacing w:before="104"/>
                        <w:ind w:left="138"/>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spacing w:val="1"/>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sidRPr="003A2E62">
                        <w:rPr>
                          <w:rFonts w:ascii="Times New Roman"/>
                          <w:spacing w:val="-2"/>
                          <w:sz w:val="16"/>
                        </w:rPr>
                        <w:t xml:space="preserve"> ICRC</w:t>
                      </w:r>
                      <w:r w:rsidRPr="003A2E62">
                        <w:rPr>
                          <w:rFonts w:ascii="Times New Roman"/>
                          <w:spacing w:val="-2"/>
                          <w:sz w:val="16"/>
                        </w:rPr>
                        <w:t>’</w:t>
                      </w:r>
                      <w:r w:rsidRPr="003A2E62">
                        <w:rPr>
                          <w:rFonts w:ascii="Times New Roman"/>
                          <w:spacing w:val="-2"/>
                          <w:sz w:val="16"/>
                        </w:rPr>
                        <w:t>s final decision</w:t>
                      </w:r>
                    </w:p>
                    <w:p w:rsidR="008A79D5" w:rsidRDefault="008A79D5">
                      <w:pPr>
                        <w:spacing w:before="41"/>
                        <w:ind w:left="138"/>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Submissions from ACTEW and other stakeholders Regulatory practice</w:t>
                      </w:r>
                    </w:p>
                  </w:txbxContent>
                </v:textbox>
              </v:shape>
            </v:group>
            <w10:wrap type="none"/>
            <w10:anchorlock/>
          </v:group>
        </w:pict>
      </w: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spacing w:before="4"/>
        <w:rPr>
          <w:rFonts w:ascii="Times New Roman" w:eastAsia="Times New Roman" w:hAnsi="Times New Roman" w:cs="Times New Roman"/>
          <w:sz w:val="11"/>
          <w:szCs w:val="11"/>
        </w:rPr>
      </w:pPr>
    </w:p>
    <w:p w:rsidR="00D96B91" w:rsidRDefault="00D96B91">
      <w:pPr>
        <w:pStyle w:val="BodyText"/>
        <w:tabs>
          <w:tab w:val="left" w:pos="4730"/>
        </w:tabs>
        <w:spacing w:line="200" w:lineRule="atLeast"/>
        <w:ind w:left="2322"/>
        <w:rPr>
          <w:rFonts w:ascii="Times New Roman" w:eastAsia="Times New Roman" w:hAnsi="Times New Roman" w:cs="Times New Roman"/>
        </w:rPr>
      </w:pPr>
      <w:r w:rsidRPr="00D96B91">
        <w:rPr>
          <w:rFonts w:ascii="Times New Roman"/>
        </w:rPr>
      </w:r>
      <w:r w:rsidRPr="00D96B91">
        <w:rPr>
          <w:rFonts w:ascii="Times New Roman"/>
        </w:rPr>
        <w:pict>
          <v:shape id="_x0000_s3276" type="#_x0000_t202" style="width:98.5pt;height:47.6pt;mso-left-percent:-10001;mso-top-percent:-10001;mso-position-horizontal:absolute;mso-position-horizontal-relative:char;mso-position-vertical:absolute;mso-position-vertical-relative:line;mso-left-percent:-10001;mso-top-percent:-10001" fillcolor="#dbdcde" strokeweight=".24131mm">
            <v:textbox style="mso-next-textbox:#_x0000_s3276" inset="0,0,0,0">
              <w:txbxContent>
                <w:p w:rsidR="008A79D5" w:rsidRDefault="008A79D5">
                  <w:pPr>
                    <w:spacing w:before="65" w:line="266" w:lineRule="auto"/>
                    <w:ind w:left="396" w:right="205" w:hanging="193"/>
                    <w:rPr>
                      <w:rFonts w:ascii="Times New Roman" w:eastAsia="Times New Roman" w:hAnsi="Times New Roman" w:cs="Times New Roman"/>
                      <w:sz w:val="18"/>
                      <w:szCs w:val="18"/>
                    </w:rPr>
                  </w:pPr>
                  <w:r>
                    <w:rPr>
                      <w:rFonts w:ascii="Times New Roman"/>
                      <w:b/>
                      <w:w w:val="95"/>
                      <w:sz w:val="18"/>
                    </w:rPr>
                    <w:t>The</w:t>
                  </w:r>
                  <w:r>
                    <w:rPr>
                      <w:rFonts w:ascii="Times New Roman"/>
                      <w:b/>
                      <w:spacing w:val="-27"/>
                      <w:w w:val="95"/>
                      <w:sz w:val="18"/>
                    </w:rPr>
                    <w:t xml:space="preserve"> </w:t>
                  </w:r>
                  <w:r>
                    <w:rPr>
                      <w:rFonts w:ascii="Times New Roman"/>
                      <w:b/>
                      <w:spacing w:val="-2"/>
                      <w:w w:val="95"/>
                      <w:sz w:val="18"/>
                    </w:rPr>
                    <w:t>rat</w:t>
                  </w:r>
                  <w:r>
                    <w:rPr>
                      <w:rFonts w:ascii="Times New Roman"/>
                      <w:b/>
                      <w:spacing w:val="-1"/>
                      <w:w w:val="95"/>
                      <w:sz w:val="18"/>
                    </w:rPr>
                    <w:t>e</w:t>
                  </w:r>
                  <w:r>
                    <w:rPr>
                      <w:rFonts w:ascii="Times New Roman"/>
                      <w:b/>
                      <w:spacing w:val="-27"/>
                      <w:w w:val="95"/>
                      <w:sz w:val="18"/>
                    </w:rPr>
                    <w:t xml:space="preserve"> </w:t>
                  </w:r>
                  <w:r>
                    <w:rPr>
                      <w:rFonts w:ascii="Times New Roman"/>
                      <w:b/>
                      <w:w w:val="95"/>
                      <w:sz w:val="18"/>
                    </w:rPr>
                    <w:t>of</w:t>
                  </w:r>
                  <w:r>
                    <w:rPr>
                      <w:rFonts w:ascii="Times New Roman"/>
                      <w:b/>
                      <w:spacing w:val="-27"/>
                      <w:w w:val="95"/>
                      <w:sz w:val="18"/>
                    </w:rPr>
                    <w:t xml:space="preserve"> </w:t>
                  </w:r>
                  <w:r>
                    <w:rPr>
                      <w:rFonts w:ascii="Times New Roman"/>
                      <w:b/>
                      <w:spacing w:val="-2"/>
                      <w:w w:val="95"/>
                      <w:sz w:val="18"/>
                    </w:rPr>
                    <w:t>r</w:t>
                  </w:r>
                  <w:r>
                    <w:rPr>
                      <w:rFonts w:ascii="Times New Roman"/>
                      <w:b/>
                      <w:spacing w:val="-1"/>
                      <w:w w:val="95"/>
                      <w:sz w:val="18"/>
                    </w:rPr>
                    <w:t>et</w:t>
                  </w:r>
                  <w:r>
                    <w:rPr>
                      <w:rFonts w:ascii="Times New Roman"/>
                      <w:b/>
                      <w:spacing w:val="-2"/>
                      <w:w w:val="95"/>
                      <w:sz w:val="18"/>
                    </w:rPr>
                    <w:t>urn</w:t>
                  </w:r>
                  <w:r>
                    <w:rPr>
                      <w:rFonts w:ascii="Times New Roman"/>
                      <w:b/>
                      <w:spacing w:val="-27"/>
                      <w:w w:val="95"/>
                      <w:sz w:val="18"/>
                    </w:rPr>
                    <w:t xml:space="preserve"> </w:t>
                  </w:r>
                  <w:r>
                    <w:rPr>
                      <w:rFonts w:ascii="Times New Roman"/>
                      <w:b/>
                      <w:w w:val="95"/>
                      <w:sz w:val="18"/>
                    </w:rPr>
                    <w:t>and</w:t>
                  </w:r>
                  <w:r>
                    <w:rPr>
                      <w:rFonts w:ascii="Times New Roman"/>
                      <w:b/>
                      <w:spacing w:val="28"/>
                      <w:w w:val="90"/>
                      <w:sz w:val="18"/>
                    </w:rPr>
                    <w:t xml:space="preserve"> </w:t>
                  </w:r>
                  <w:r>
                    <w:rPr>
                      <w:rFonts w:ascii="Times New Roman"/>
                      <w:b/>
                      <w:w w:val="95"/>
                      <w:sz w:val="18"/>
                    </w:rPr>
                    <w:t>net</w:t>
                  </w:r>
                  <w:r>
                    <w:rPr>
                      <w:rFonts w:ascii="Times New Roman"/>
                      <w:b/>
                      <w:spacing w:val="-27"/>
                      <w:w w:val="95"/>
                      <w:sz w:val="18"/>
                    </w:rPr>
                    <w:t xml:space="preserve"> </w:t>
                  </w:r>
                  <w:r>
                    <w:rPr>
                      <w:rFonts w:ascii="Times New Roman"/>
                      <w:b/>
                      <w:w w:val="95"/>
                      <w:sz w:val="18"/>
                    </w:rPr>
                    <w:t>tax</w:t>
                  </w:r>
                  <w:r>
                    <w:rPr>
                      <w:rFonts w:ascii="Times New Roman"/>
                      <w:b/>
                      <w:spacing w:val="-27"/>
                      <w:w w:val="95"/>
                      <w:sz w:val="18"/>
                    </w:rPr>
                    <w:t xml:space="preserve"> </w:t>
                  </w:r>
                  <w:r>
                    <w:rPr>
                      <w:rFonts w:ascii="Times New Roman"/>
                      <w:b/>
                      <w:w w:val="95"/>
                      <w:sz w:val="18"/>
                    </w:rPr>
                    <w:t>liabilities</w:t>
                  </w:r>
                </w:p>
              </w:txbxContent>
            </v:textbox>
          </v:shape>
        </w:pict>
      </w:r>
      <w:r w:rsidR="00C2656B">
        <w:rPr>
          <w:rFonts w:ascii="Times New Roman"/>
        </w:rPr>
        <w:tab/>
      </w:r>
      <w:r w:rsidRPr="00D96B91">
        <w:rPr>
          <w:rFonts w:ascii="Times New Roman"/>
        </w:rPr>
      </w:r>
      <w:r>
        <w:rPr>
          <w:rFonts w:ascii="Times New Roman"/>
        </w:rPr>
        <w:pict>
          <v:shape id="_x0000_s3275" type="#_x0000_t202" style="width:175.1pt;height:47.6pt;mso-left-percent:-10001;mso-top-percent:-10001;mso-position-horizontal:absolute;mso-position-horizontal-relative:char;mso-position-vertical:absolute;mso-position-vertical-relative:line;mso-left-percent:-10001;mso-top-percent:-10001" filled="f" strokeweight=".24131mm">
            <v:textbox style="mso-next-textbox:#_x0000_s3275" inset="0,0,0,0">
              <w:txbxContent>
                <w:p w:rsidR="008A79D5" w:rsidRDefault="008A79D5">
                  <w:pPr>
                    <w:spacing w:before="69"/>
                    <w:ind w:left="131"/>
                    <w:rPr>
                      <w:rFonts w:ascii="Times New Roman" w:eastAsia="Times New Roman" w:hAnsi="Times New Roman" w:cs="Times New Roman"/>
                      <w:sz w:val="16"/>
                      <w:szCs w:val="16"/>
                    </w:rPr>
                  </w:pPr>
                  <w:r>
                    <w:rPr>
                      <w:rFonts w:ascii="Times New Roman" w:eastAsia="Times New Roman" w:hAnsi="Times New Roman" w:cs="Times New Roman"/>
                      <w:b/>
                      <w:bCs/>
                      <w:spacing w:val="-1"/>
                      <w:w w:val="90"/>
                      <w:sz w:val="16"/>
                      <w:szCs w:val="16"/>
                    </w:rPr>
                    <w:t>St</w:t>
                  </w:r>
                  <w:r>
                    <w:rPr>
                      <w:rFonts w:ascii="Times New Roman" w:eastAsia="Times New Roman" w:hAnsi="Times New Roman" w:cs="Times New Roman"/>
                      <w:b/>
                      <w:bCs/>
                      <w:spacing w:val="-2"/>
                      <w:w w:val="90"/>
                      <w:sz w:val="16"/>
                      <w:szCs w:val="16"/>
                    </w:rPr>
                    <w:t>art</w:t>
                  </w:r>
                  <w:r>
                    <w:rPr>
                      <w:rFonts w:ascii="Times New Roman" w:eastAsia="Times New Roman" w:hAnsi="Times New Roman" w:cs="Times New Roman"/>
                      <w:b/>
                      <w:bCs/>
                      <w:spacing w:val="-1"/>
                      <w:w w:val="90"/>
                      <w:sz w:val="16"/>
                      <w:szCs w:val="16"/>
                    </w:rPr>
                    <w:t>ing</w:t>
                  </w:r>
                  <w:r>
                    <w:rPr>
                      <w:rFonts w:ascii="Times New Roman" w:eastAsia="Times New Roman" w:hAnsi="Times New Roman" w:cs="Times New Roman"/>
                      <w:b/>
                      <w:bCs/>
                      <w:w w:val="90"/>
                      <w:sz w:val="16"/>
                      <w:szCs w:val="16"/>
                    </w:rPr>
                    <w:t xml:space="preserve"> </w:t>
                  </w:r>
                  <w:r>
                    <w:rPr>
                      <w:rFonts w:ascii="Times New Roman" w:eastAsia="Times New Roman" w:hAnsi="Times New Roman" w:cs="Times New Roman"/>
                      <w:b/>
                      <w:bCs/>
                      <w:spacing w:val="-1"/>
                      <w:w w:val="90"/>
                      <w:sz w:val="16"/>
                      <w:szCs w:val="16"/>
                    </w:rPr>
                    <w:t>poin</w:t>
                  </w:r>
                  <w:r>
                    <w:rPr>
                      <w:rFonts w:ascii="Times New Roman" w:eastAsia="Times New Roman" w:hAnsi="Times New Roman" w:cs="Times New Roman"/>
                      <w:b/>
                      <w:bCs/>
                      <w:spacing w:val="-2"/>
                      <w:w w:val="90"/>
                      <w:sz w:val="16"/>
                      <w:szCs w:val="16"/>
                    </w:rPr>
                    <w:t>t:</w:t>
                  </w:r>
                  <w:r>
                    <w:rPr>
                      <w:rFonts w:ascii="Times New Roman" w:eastAsia="Times New Roman" w:hAnsi="Times New Roman" w:cs="Times New Roman"/>
                      <w:b/>
                      <w:bCs/>
                      <w:w w:val="90"/>
                      <w:sz w:val="16"/>
                      <w:szCs w:val="16"/>
                    </w:rPr>
                    <w:t xml:space="preserve"> </w:t>
                  </w:r>
                  <w:r w:rsidRPr="003A2E62">
                    <w:rPr>
                      <w:rFonts w:ascii="Times New Roman"/>
                      <w:sz w:val="16"/>
                    </w:rPr>
                    <w:t>ICRC</w:t>
                  </w:r>
                  <w:r w:rsidRPr="003A2E62">
                    <w:rPr>
                      <w:rFonts w:ascii="Times New Roman"/>
                      <w:sz w:val="16"/>
                    </w:rPr>
                    <w:t>’</w:t>
                  </w:r>
                  <w:r w:rsidRPr="003A2E62">
                    <w:rPr>
                      <w:rFonts w:ascii="Times New Roman"/>
                      <w:sz w:val="16"/>
                    </w:rPr>
                    <w:t>s final decision</w:t>
                  </w:r>
                </w:p>
                <w:p w:rsidR="008A79D5" w:rsidRDefault="008A79D5">
                  <w:pPr>
                    <w:spacing w:before="43"/>
                    <w:ind w:left="131"/>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Submissions from ACTEW and other stakeholders Regulatory practice</w:t>
                  </w:r>
                </w:p>
              </w:txbxContent>
            </v:textbox>
          </v:shape>
        </w:pict>
      </w:r>
    </w:p>
    <w:p w:rsidR="00D96B91" w:rsidRDefault="00D96B91">
      <w:pPr>
        <w:spacing w:before="11"/>
        <w:rPr>
          <w:rFonts w:ascii="Times New Roman" w:eastAsia="Times New Roman" w:hAnsi="Times New Roman" w:cs="Times New Roman"/>
          <w:sz w:val="8"/>
          <w:szCs w:val="8"/>
        </w:rPr>
      </w:pPr>
    </w:p>
    <w:p w:rsidR="00D96B91" w:rsidRDefault="00D96B91">
      <w:pPr>
        <w:pStyle w:val="BodyText"/>
        <w:tabs>
          <w:tab w:val="left" w:pos="4734"/>
        </w:tabs>
        <w:spacing w:line="200" w:lineRule="atLeast"/>
        <w:ind w:left="2327"/>
        <w:rPr>
          <w:rFonts w:ascii="Times New Roman" w:eastAsia="Times New Roman" w:hAnsi="Times New Roman" w:cs="Times New Roman"/>
        </w:rPr>
      </w:pPr>
      <w:r w:rsidRPr="00D96B91">
        <w:rPr>
          <w:rFonts w:ascii="Times New Roman"/>
        </w:rPr>
      </w:r>
      <w:r w:rsidR="003A2E62" w:rsidRPr="00D96B91">
        <w:rPr>
          <w:rFonts w:ascii="Times New Roman"/>
        </w:rPr>
        <w:pict>
          <v:shape id="_x0000_s3274" type="#_x0000_t202" style="width:107.55pt;height:171.95pt;mso-left-percent:-10001;mso-top-percent:-10001;mso-position-horizontal:absolute;mso-position-horizontal-relative:char;mso-position-vertical:absolute;mso-position-vertical-relative:line;mso-left-percent:-10001;mso-top-percent:-10001" filled="f" stroked="f">
            <v:textbox style="mso-next-textbox:#_x0000_s3274" inset="0,0,0,0">
              <w:txbxContent>
                <w:tbl>
                  <w:tblPr>
                    <w:tblW w:w="0" w:type="auto"/>
                    <w:tblLayout w:type="fixed"/>
                    <w:tblCellMar>
                      <w:left w:w="0" w:type="dxa"/>
                      <w:right w:w="0" w:type="dxa"/>
                    </w:tblCellMar>
                    <w:tblLook w:val="01E0"/>
                  </w:tblPr>
                  <w:tblGrid>
                    <w:gridCol w:w="1969"/>
                  </w:tblGrid>
                  <w:tr w:rsidR="008A79D5">
                    <w:trPr>
                      <w:trHeight w:hRule="exact" w:val="1762"/>
                    </w:trPr>
                    <w:tc>
                      <w:tcPr>
                        <w:tcW w:w="1969" w:type="dxa"/>
                        <w:tcBorders>
                          <w:top w:val="single" w:sz="5" w:space="0" w:color="000000"/>
                          <w:left w:val="single" w:sz="5" w:space="0" w:color="000000"/>
                          <w:bottom w:val="single" w:sz="5" w:space="0" w:color="000000"/>
                          <w:right w:val="single" w:sz="5" w:space="0" w:color="000000"/>
                        </w:tcBorders>
                        <w:shd w:val="clear" w:color="auto" w:fill="DBDCDE"/>
                      </w:tcPr>
                      <w:p w:rsidR="008A79D5" w:rsidRDefault="008A79D5">
                        <w:pPr>
                          <w:spacing w:before="65" w:line="266" w:lineRule="auto"/>
                          <w:ind w:left="553" w:right="304" w:hanging="250"/>
                          <w:rPr>
                            <w:rFonts w:ascii="Times New Roman" w:eastAsia="Times New Roman" w:hAnsi="Times New Roman" w:cs="Times New Roman"/>
                            <w:sz w:val="18"/>
                            <w:szCs w:val="18"/>
                          </w:rPr>
                        </w:pPr>
                        <w:r>
                          <w:rPr>
                            <w:rFonts w:ascii="Times New Roman"/>
                            <w:b/>
                            <w:spacing w:val="-2"/>
                            <w:w w:val="95"/>
                            <w:sz w:val="18"/>
                          </w:rPr>
                          <w:t>F</w:t>
                        </w:r>
                        <w:r>
                          <w:rPr>
                            <w:rFonts w:ascii="Times New Roman"/>
                            <w:b/>
                            <w:spacing w:val="-1"/>
                            <w:w w:val="95"/>
                            <w:sz w:val="18"/>
                          </w:rPr>
                          <w:t>o</w:t>
                        </w:r>
                        <w:r>
                          <w:rPr>
                            <w:rFonts w:ascii="Times New Roman"/>
                            <w:b/>
                            <w:spacing w:val="-2"/>
                            <w:w w:val="95"/>
                            <w:sz w:val="18"/>
                          </w:rPr>
                          <w:t>r</w:t>
                        </w:r>
                        <w:r>
                          <w:rPr>
                            <w:rFonts w:ascii="Times New Roman"/>
                            <w:b/>
                            <w:spacing w:val="-1"/>
                            <w:w w:val="95"/>
                            <w:sz w:val="18"/>
                          </w:rPr>
                          <w:t>ecas</w:t>
                        </w:r>
                        <w:r>
                          <w:rPr>
                            <w:rFonts w:ascii="Times New Roman"/>
                            <w:b/>
                            <w:spacing w:val="-2"/>
                            <w:w w:val="95"/>
                            <w:sz w:val="18"/>
                          </w:rPr>
                          <w:t>t</w:t>
                        </w:r>
                        <w:r>
                          <w:rPr>
                            <w:rFonts w:ascii="Times New Roman"/>
                            <w:b/>
                            <w:spacing w:val="-28"/>
                            <w:w w:val="95"/>
                            <w:sz w:val="18"/>
                          </w:rPr>
                          <w:t xml:space="preserve"> </w:t>
                        </w:r>
                        <w:r>
                          <w:rPr>
                            <w:rFonts w:ascii="Times New Roman"/>
                            <w:b/>
                            <w:spacing w:val="-1"/>
                            <w:w w:val="95"/>
                            <w:sz w:val="18"/>
                          </w:rPr>
                          <w:t>o</w:t>
                        </w:r>
                        <w:r>
                          <w:rPr>
                            <w:rFonts w:ascii="Times New Roman"/>
                            <w:b/>
                            <w:spacing w:val="-2"/>
                            <w:w w:val="95"/>
                            <w:sz w:val="18"/>
                          </w:rPr>
                          <w:t>peratin</w:t>
                        </w:r>
                        <w:r>
                          <w:rPr>
                            <w:rFonts w:ascii="Times New Roman"/>
                            <w:b/>
                            <w:spacing w:val="-1"/>
                            <w:w w:val="95"/>
                            <w:sz w:val="18"/>
                          </w:rPr>
                          <w:t>g</w:t>
                        </w:r>
                        <w:r>
                          <w:rPr>
                            <w:rFonts w:ascii="Times New Roman"/>
                            <w:b/>
                            <w:spacing w:val="29"/>
                            <w:w w:val="101"/>
                            <w:sz w:val="18"/>
                          </w:rPr>
                          <w:t xml:space="preserve"> </w:t>
                        </w:r>
                        <w:r>
                          <w:rPr>
                            <w:rFonts w:ascii="Times New Roman"/>
                            <w:b/>
                            <w:spacing w:val="-1"/>
                            <w:sz w:val="18"/>
                          </w:rPr>
                          <w:t>e</w:t>
                        </w:r>
                        <w:r>
                          <w:rPr>
                            <w:rFonts w:ascii="Times New Roman"/>
                            <w:b/>
                            <w:spacing w:val="-2"/>
                            <w:sz w:val="18"/>
                          </w:rPr>
                          <w:t>xpenditur</w:t>
                        </w:r>
                        <w:r>
                          <w:rPr>
                            <w:rFonts w:ascii="Times New Roman"/>
                            <w:b/>
                            <w:spacing w:val="-1"/>
                            <w:sz w:val="18"/>
                          </w:rPr>
                          <w:t>e</w:t>
                        </w:r>
                      </w:p>
                    </w:tc>
                  </w:tr>
                  <w:tr w:rsidR="008A79D5">
                    <w:trPr>
                      <w:trHeight w:hRule="exact" w:val="66"/>
                    </w:trPr>
                    <w:tc>
                      <w:tcPr>
                        <w:tcW w:w="1969" w:type="dxa"/>
                        <w:tcBorders>
                          <w:top w:val="single" w:sz="5" w:space="0" w:color="000000"/>
                          <w:left w:val="nil"/>
                          <w:bottom w:val="single" w:sz="5" w:space="0" w:color="000000"/>
                          <w:right w:val="nil"/>
                        </w:tcBorders>
                      </w:tcPr>
                      <w:p w:rsidR="008A79D5" w:rsidRDefault="008A79D5"/>
                    </w:tc>
                  </w:tr>
                  <w:tr w:rsidR="008A79D5">
                    <w:trPr>
                      <w:trHeight w:hRule="exact" w:val="1597"/>
                    </w:trPr>
                    <w:tc>
                      <w:tcPr>
                        <w:tcW w:w="1969" w:type="dxa"/>
                        <w:tcBorders>
                          <w:top w:val="single" w:sz="5" w:space="0" w:color="000000"/>
                          <w:left w:val="single" w:sz="5" w:space="0" w:color="000000"/>
                          <w:bottom w:val="single" w:sz="5" w:space="0" w:color="000000"/>
                          <w:right w:val="single" w:sz="5" w:space="0" w:color="000000"/>
                        </w:tcBorders>
                        <w:shd w:val="clear" w:color="auto" w:fill="DBDCDE"/>
                      </w:tcPr>
                      <w:p w:rsidR="008A79D5" w:rsidRDefault="008A79D5">
                        <w:pPr>
                          <w:spacing w:before="66" w:line="260" w:lineRule="auto"/>
                          <w:ind w:left="190" w:right="190"/>
                          <w:jc w:val="center"/>
                          <w:rPr>
                            <w:rFonts w:ascii="Times New Roman" w:eastAsia="Times New Roman" w:hAnsi="Times New Roman" w:cs="Times New Roman"/>
                            <w:sz w:val="18"/>
                            <w:szCs w:val="18"/>
                          </w:rPr>
                        </w:pPr>
                        <w:r>
                          <w:rPr>
                            <w:rFonts w:ascii="Times New Roman" w:eastAsia="Times New Roman" w:hAnsi="Times New Roman" w:cs="Times New Roman"/>
                            <w:b/>
                            <w:bCs/>
                            <w:spacing w:val="-2"/>
                            <w:w w:val="95"/>
                            <w:sz w:val="18"/>
                            <w:szCs w:val="18"/>
                          </w:rPr>
                          <w:t>F</w:t>
                        </w:r>
                        <w:r>
                          <w:rPr>
                            <w:rFonts w:ascii="Times New Roman" w:eastAsia="Times New Roman" w:hAnsi="Times New Roman" w:cs="Times New Roman"/>
                            <w:b/>
                            <w:bCs/>
                            <w:spacing w:val="-1"/>
                            <w:w w:val="95"/>
                            <w:sz w:val="18"/>
                            <w:szCs w:val="18"/>
                          </w:rPr>
                          <w:t>o</w:t>
                        </w:r>
                        <w:r>
                          <w:rPr>
                            <w:rFonts w:ascii="Times New Roman" w:eastAsia="Times New Roman" w:hAnsi="Times New Roman" w:cs="Times New Roman"/>
                            <w:b/>
                            <w:bCs/>
                            <w:spacing w:val="-2"/>
                            <w:w w:val="95"/>
                            <w:sz w:val="18"/>
                            <w:szCs w:val="18"/>
                          </w:rPr>
                          <w:t>r</w:t>
                        </w:r>
                        <w:r>
                          <w:rPr>
                            <w:rFonts w:ascii="Times New Roman" w:eastAsia="Times New Roman" w:hAnsi="Times New Roman" w:cs="Times New Roman"/>
                            <w:b/>
                            <w:bCs/>
                            <w:spacing w:val="-1"/>
                            <w:w w:val="95"/>
                            <w:sz w:val="18"/>
                            <w:szCs w:val="18"/>
                          </w:rPr>
                          <w:t>ecas</w:t>
                        </w:r>
                        <w:r>
                          <w:rPr>
                            <w:rFonts w:ascii="Times New Roman" w:eastAsia="Times New Roman" w:hAnsi="Times New Roman" w:cs="Times New Roman"/>
                            <w:b/>
                            <w:bCs/>
                            <w:spacing w:val="-2"/>
                            <w:w w:val="95"/>
                            <w:sz w:val="18"/>
                            <w:szCs w:val="18"/>
                          </w:rPr>
                          <w:t>t</w:t>
                        </w:r>
                        <w:r>
                          <w:rPr>
                            <w:rFonts w:ascii="Times New Roman" w:eastAsia="Times New Roman" w:hAnsi="Times New Roman" w:cs="Times New Roman"/>
                            <w:b/>
                            <w:bCs/>
                            <w:spacing w:val="-10"/>
                            <w:w w:val="95"/>
                            <w:sz w:val="18"/>
                            <w:szCs w:val="18"/>
                          </w:rPr>
                          <w:t xml:space="preserve"> </w:t>
                        </w:r>
                        <w:r>
                          <w:rPr>
                            <w:rFonts w:ascii="Times New Roman" w:eastAsia="Times New Roman" w:hAnsi="Times New Roman" w:cs="Times New Roman"/>
                            <w:b/>
                            <w:bCs/>
                            <w:w w:val="95"/>
                            <w:sz w:val="18"/>
                            <w:szCs w:val="18"/>
                          </w:rPr>
                          <w:t>demand</w:t>
                        </w:r>
                        <w:r>
                          <w:rPr>
                            <w:rFonts w:ascii="Times New Roman" w:eastAsia="Times New Roman" w:hAnsi="Times New Roman" w:cs="Times New Roman"/>
                            <w:b/>
                            <w:bCs/>
                            <w:spacing w:val="-9"/>
                            <w:w w:val="95"/>
                            <w:sz w:val="18"/>
                            <w:szCs w:val="18"/>
                          </w:rPr>
                          <w:t xml:space="preserve"> </w:t>
                        </w:r>
                        <w:r>
                          <w:rPr>
                            <w:rFonts w:ascii="Arial Hebrew" w:eastAsia="Arial Hebrew" w:hAnsi="Arial Hebrew" w:cs="Arial Hebrew"/>
                            <w:b/>
                            <w:bCs/>
                            <w:w w:val="95"/>
                            <w:sz w:val="18"/>
                            <w:szCs w:val="18"/>
                          </w:rPr>
                          <w:t>–</w:t>
                        </w:r>
                        <w:r>
                          <w:rPr>
                            <w:rFonts w:ascii="Arial Hebrew" w:eastAsia="Arial Hebrew" w:hAnsi="Arial Hebrew" w:cs="Arial Hebrew"/>
                            <w:b/>
                            <w:bCs/>
                            <w:spacing w:val="-14"/>
                            <w:w w:val="95"/>
                            <w:sz w:val="18"/>
                            <w:szCs w:val="18"/>
                          </w:rPr>
                          <w:t xml:space="preserve"> </w:t>
                        </w:r>
                        <w:r>
                          <w:rPr>
                            <w:rFonts w:ascii="Times New Roman" w:eastAsia="Times New Roman" w:hAnsi="Times New Roman" w:cs="Times New Roman"/>
                            <w:b/>
                            <w:bCs/>
                            <w:w w:val="95"/>
                            <w:sz w:val="18"/>
                            <w:szCs w:val="18"/>
                          </w:rPr>
                          <w:t>ie,</w:t>
                        </w:r>
                        <w:r>
                          <w:rPr>
                            <w:rFonts w:ascii="Times New Roman" w:eastAsia="Times New Roman" w:hAnsi="Times New Roman" w:cs="Times New Roman"/>
                            <w:b/>
                            <w:bCs/>
                            <w:spacing w:val="28"/>
                            <w:w w:val="94"/>
                            <w:sz w:val="18"/>
                            <w:szCs w:val="18"/>
                          </w:rPr>
                          <w:t xml:space="preserve"> </w:t>
                        </w:r>
                        <w:r>
                          <w:rPr>
                            <w:rFonts w:ascii="Times New Roman" w:eastAsia="Times New Roman" w:hAnsi="Times New Roman" w:cs="Times New Roman"/>
                            <w:b/>
                            <w:bCs/>
                            <w:spacing w:val="-2"/>
                            <w:w w:val="95"/>
                            <w:sz w:val="18"/>
                            <w:szCs w:val="18"/>
                          </w:rPr>
                          <w:t>water</w:t>
                        </w:r>
                        <w:r>
                          <w:rPr>
                            <w:rFonts w:ascii="Times New Roman" w:eastAsia="Times New Roman" w:hAnsi="Times New Roman" w:cs="Times New Roman"/>
                            <w:b/>
                            <w:bCs/>
                            <w:spacing w:val="-6"/>
                            <w:w w:val="95"/>
                            <w:sz w:val="18"/>
                            <w:szCs w:val="18"/>
                          </w:rPr>
                          <w:t xml:space="preserve"> </w:t>
                        </w:r>
                        <w:r>
                          <w:rPr>
                            <w:rFonts w:ascii="Times New Roman" w:eastAsia="Times New Roman" w:hAnsi="Times New Roman" w:cs="Times New Roman"/>
                            <w:b/>
                            <w:bCs/>
                            <w:w w:val="95"/>
                            <w:sz w:val="18"/>
                            <w:szCs w:val="18"/>
                          </w:rPr>
                          <w:t>sales,</w:t>
                        </w:r>
                        <w:r>
                          <w:rPr>
                            <w:rFonts w:ascii="Times New Roman" w:eastAsia="Times New Roman" w:hAnsi="Times New Roman" w:cs="Times New Roman"/>
                            <w:b/>
                            <w:bCs/>
                            <w:spacing w:val="-4"/>
                            <w:w w:val="95"/>
                            <w:sz w:val="18"/>
                            <w:szCs w:val="18"/>
                          </w:rPr>
                          <w:t xml:space="preserve"> </w:t>
                        </w:r>
                        <w:r>
                          <w:rPr>
                            <w:rFonts w:ascii="Times New Roman" w:eastAsia="Times New Roman" w:hAnsi="Times New Roman" w:cs="Times New Roman"/>
                            <w:b/>
                            <w:bCs/>
                            <w:w w:val="95"/>
                            <w:sz w:val="18"/>
                            <w:szCs w:val="18"/>
                          </w:rPr>
                          <w:t>customer</w:t>
                        </w:r>
                        <w:r>
                          <w:rPr>
                            <w:rFonts w:ascii="Times New Roman" w:eastAsia="Times New Roman" w:hAnsi="Times New Roman" w:cs="Times New Roman"/>
                            <w:b/>
                            <w:bCs/>
                            <w:spacing w:val="23"/>
                            <w:w w:val="88"/>
                            <w:sz w:val="18"/>
                            <w:szCs w:val="18"/>
                          </w:rPr>
                          <w:t xml:space="preserve"> </w:t>
                        </w:r>
                        <w:r>
                          <w:rPr>
                            <w:rFonts w:ascii="Times New Roman" w:eastAsia="Times New Roman" w:hAnsi="Times New Roman" w:cs="Times New Roman"/>
                            <w:b/>
                            <w:bCs/>
                            <w:spacing w:val="-1"/>
                            <w:w w:val="90"/>
                            <w:sz w:val="18"/>
                            <w:szCs w:val="18"/>
                          </w:rPr>
                          <w:t>numbe</w:t>
                        </w:r>
                        <w:r>
                          <w:rPr>
                            <w:rFonts w:ascii="Times New Roman" w:eastAsia="Times New Roman" w:hAnsi="Times New Roman" w:cs="Times New Roman"/>
                            <w:b/>
                            <w:bCs/>
                            <w:spacing w:val="-2"/>
                            <w:w w:val="90"/>
                            <w:sz w:val="18"/>
                            <w:szCs w:val="18"/>
                          </w:rPr>
                          <w:t>r</w:t>
                        </w:r>
                        <w:r>
                          <w:rPr>
                            <w:rFonts w:ascii="Times New Roman" w:eastAsia="Times New Roman" w:hAnsi="Times New Roman" w:cs="Times New Roman"/>
                            <w:b/>
                            <w:bCs/>
                            <w:spacing w:val="-1"/>
                            <w:w w:val="90"/>
                            <w:sz w:val="18"/>
                            <w:szCs w:val="18"/>
                          </w:rPr>
                          <w:t>s</w:t>
                        </w:r>
                        <w:r>
                          <w:rPr>
                            <w:rFonts w:ascii="Times New Roman" w:eastAsia="Times New Roman" w:hAnsi="Times New Roman" w:cs="Times New Roman"/>
                            <w:b/>
                            <w:bCs/>
                            <w:spacing w:val="6"/>
                            <w:w w:val="90"/>
                            <w:sz w:val="18"/>
                            <w:szCs w:val="18"/>
                          </w:rPr>
                          <w:t xml:space="preserve"> </w:t>
                        </w:r>
                        <w:r>
                          <w:rPr>
                            <w:rFonts w:ascii="Times New Roman" w:eastAsia="Times New Roman" w:hAnsi="Times New Roman" w:cs="Times New Roman"/>
                            <w:b/>
                            <w:bCs/>
                            <w:w w:val="90"/>
                            <w:sz w:val="18"/>
                            <w:szCs w:val="18"/>
                          </w:rPr>
                          <w:t>and</w:t>
                        </w:r>
                        <w:r>
                          <w:rPr>
                            <w:rFonts w:ascii="Times New Roman" w:eastAsia="Times New Roman" w:hAnsi="Times New Roman" w:cs="Times New Roman"/>
                            <w:b/>
                            <w:bCs/>
                            <w:spacing w:val="8"/>
                            <w:w w:val="90"/>
                            <w:sz w:val="18"/>
                            <w:szCs w:val="18"/>
                          </w:rPr>
                          <w:t xml:space="preserve"> </w:t>
                        </w:r>
                        <w:r>
                          <w:rPr>
                            <w:rFonts w:ascii="Times New Roman" w:eastAsia="Times New Roman" w:hAnsi="Times New Roman" w:cs="Times New Roman"/>
                            <w:b/>
                            <w:bCs/>
                            <w:w w:val="90"/>
                            <w:sz w:val="18"/>
                            <w:szCs w:val="18"/>
                          </w:rPr>
                          <w:t>billable</w:t>
                        </w:r>
                        <w:r>
                          <w:rPr>
                            <w:rFonts w:ascii="Times New Roman" w:eastAsia="Times New Roman" w:hAnsi="Times New Roman" w:cs="Times New Roman"/>
                            <w:b/>
                            <w:bCs/>
                            <w:spacing w:val="26"/>
                            <w:w w:val="103"/>
                            <w:sz w:val="18"/>
                            <w:szCs w:val="18"/>
                          </w:rPr>
                          <w:t xml:space="preserve"> </w:t>
                        </w:r>
                        <w:r>
                          <w:rPr>
                            <w:rFonts w:ascii="Times New Roman" w:eastAsia="Times New Roman" w:hAnsi="Times New Roman" w:cs="Times New Roman"/>
                            <w:b/>
                            <w:bCs/>
                            <w:spacing w:val="-2"/>
                            <w:w w:val="90"/>
                            <w:sz w:val="18"/>
                            <w:szCs w:val="18"/>
                          </w:rPr>
                          <w:t>fixt</w:t>
                        </w:r>
                        <w:r>
                          <w:rPr>
                            <w:rFonts w:ascii="Times New Roman" w:eastAsia="Times New Roman" w:hAnsi="Times New Roman" w:cs="Times New Roman"/>
                            <w:b/>
                            <w:bCs/>
                            <w:spacing w:val="-1"/>
                            <w:w w:val="90"/>
                            <w:sz w:val="18"/>
                            <w:szCs w:val="18"/>
                          </w:rPr>
                          <w:t>u</w:t>
                        </w:r>
                        <w:r>
                          <w:rPr>
                            <w:rFonts w:ascii="Times New Roman" w:eastAsia="Times New Roman" w:hAnsi="Times New Roman" w:cs="Times New Roman"/>
                            <w:b/>
                            <w:bCs/>
                            <w:spacing w:val="-2"/>
                            <w:w w:val="90"/>
                            <w:sz w:val="18"/>
                            <w:szCs w:val="18"/>
                          </w:rPr>
                          <w:t>r</w:t>
                        </w:r>
                        <w:r>
                          <w:rPr>
                            <w:rFonts w:ascii="Times New Roman" w:eastAsia="Times New Roman" w:hAnsi="Times New Roman" w:cs="Times New Roman"/>
                            <w:b/>
                            <w:bCs/>
                            <w:spacing w:val="-1"/>
                            <w:w w:val="90"/>
                            <w:sz w:val="18"/>
                            <w:szCs w:val="18"/>
                          </w:rPr>
                          <w:t>e</w:t>
                        </w:r>
                        <w:r>
                          <w:rPr>
                            <w:rFonts w:ascii="Times New Roman" w:eastAsia="Times New Roman" w:hAnsi="Times New Roman" w:cs="Times New Roman"/>
                            <w:b/>
                            <w:bCs/>
                            <w:spacing w:val="2"/>
                            <w:w w:val="90"/>
                            <w:sz w:val="18"/>
                            <w:szCs w:val="18"/>
                          </w:rPr>
                          <w:t xml:space="preserve"> </w:t>
                        </w:r>
                        <w:r>
                          <w:rPr>
                            <w:rFonts w:ascii="Times New Roman" w:eastAsia="Times New Roman" w:hAnsi="Times New Roman" w:cs="Times New Roman"/>
                            <w:b/>
                            <w:bCs/>
                            <w:w w:val="90"/>
                            <w:sz w:val="18"/>
                            <w:szCs w:val="18"/>
                          </w:rPr>
                          <w:t>numbers</w:t>
                        </w:r>
                      </w:p>
                    </w:tc>
                  </w:tr>
                </w:tbl>
                <w:p w:rsidR="008A79D5" w:rsidRDefault="008A79D5"/>
              </w:txbxContent>
            </v:textbox>
          </v:shape>
        </w:pict>
      </w:r>
      <w:r w:rsidR="00C2656B">
        <w:rPr>
          <w:rFonts w:ascii="Times New Roman"/>
        </w:rPr>
        <w:tab/>
      </w:r>
      <w:r w:rsidRPr="00D96B91">
        <w:rPr>
          <w:rFonts w:ascii="Times New Roman"/>
        </w:rPr>
      </w:r>
      <w:r>
        <w:rPr>
          <w:rFonts w:ascii="Times New Roman"/>
        </w:rPr>
        <w:pict>
          <v:shape id="_x0000_s3273" type="#_x0000_t202" style="width:176.1pt;height:171.95pt;mso-left-percent:-10001;mso-top-percent:-10001;mso-position-horizontal:absolute;mso-position-horizontal-relative:char;mso-position-vertical:absolute;mso-position-vertical-relative:line;mso-left-percent:-10001;mso-top-percent:-10001" filled="f" stroked="f">
            <v:textbox style="mso-next-textbox:#_x0000_s3273" inset="0,0,0,0">
              <w:txbxContent>
                <w:tbl>
                  <w:tblPr>
                    <w:tblW w:w="0" w:type="auto"/>
                    <w:tblLayout w:type="fixed"/>
                    <w:tblCellMar>
                      <w:left w:w="0" w:type="dxa"/>
                      <w:right w:w="0" w:type="dxa"/>
                    </w:tblCellMar>
                    <w:tblLook w:val="01E0"/>
                  </w:tblPr>
                  <w:tblGrid>
                    <w:gridCol w:w="3501"/>
                  </w:tblGrid>
                  <w:tr w:rsidR="008A79D5">
                    <w:trPr>
                      <w:trHeight w:hRule="exact" w:val="1762"/>
                    </w:trPr>
                    <w:tc>
                      <w:tcPr>
                        <w:tcW w:w="3501" w:type="dxa"/>
                        <w:tcBorders>
                          <w:top w:val="single" w:sz="5" w:space="0" w:color="000000"/>
                          <w:left w:val="single" w:sz="5" w:space="0" w:color="000000"/>
                          <w:bottom w:val="single" w:sz="5" w:space="0" w:color="000000"/>
                          <w:right w:val="single" w:sz="5" w:space="0" w:color="000000"/>
                        </w:tcBorders>
                      </w:tcPr>
                      <w:p w:rsidR="008A79D5" w:rsidRDefault="008A79D5">
                        <w:pPr>
                          <w:spacing w:before="71" w:line="244" w:lineRule="auto"/>
                          <w:ind w:left="131" w:right="130"/>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95"/>
                            <w:sz w:val="16"/>
                            <w:szCs w:val="16"/>
                          </w:rPr>
                          <w:t>St</w:t>
                        </w:r>
                        <w:r>
                          <w:rPr>
                            <w:rFonts w:ascii="Times New Roman" w:eastAsia="Times New Roman" w:hAnsi="Times New Roman" w:cs="Times New Roman"/>
                            <w:b/>
                            <w:bCs/>
                            <w:spacing w:val="-2"/>
                            <w:w w:val="95"/>
                            <w:sz w:val="16"/>
                            <w:szCs w:val="16"/>
                          </w:rPr>
                          <w:t>artin</w:t>
                        </w:r>
                        <w:r>
                          <w:rPr>
                            <w:rFonts w:ascii="Times New Roman" w:eastAsia="Times New Roman" w:hAnsi="Times New Roman" w:cs="Times New Roman"/>
                            <w:b/>
                            <w:bCs/>
                            <w:spacing w:val="-1"/>
                            <w:w w:val="95"/>
                            <w:sz w:val="16"/>
                            <w:szCs w:val="16"/>
                          </w:rPr>
                          <w:t>g</w:t>
                        </w:r>
                        <w:r>
                          <w:rPr>
                            <w:rFonts w:ascii="Times New Roman" w:eastAsia="Times New Roman" w:hAnsi="Times New Roman" w:cs="Times New Roman"/>
                            <w:b/>
                            <w:bCs/>
                            <w:spacing w:val="-12"/>
                            <w:w w:val="95"/>
                            <w:sz w:val="16"/>
                            <w:szCs w:val="16"/>
                          </w:rPr>
                          <w:t xml:space="preserve"> </w:t>
                        </w:r>
                        <w:r>
                          <w:rPr>
                            <w:rFonts w:ascii="Times New Roman" w:eastAsia="Times New Roman" w:hAnsi="Times New Roman" w:cs="Times New Roman"/>
                            <w:b/>
                            <w:bCs/>
                            <w:spacing w:val="-2"/>
                            <w:w w:val="95"/>
                            <w:sz w:val="16"/>
                            <w:szCs w:val="16"/>
                          </w:rPr>
                          <w:t>p</w:t>
                        </w:r>
                        <w:r>
                          <w:rPr>
                            <w:rFonts w:ascii="Times New Roman" w:eastAsia="Times New Roman" w:hAnsi="Times New Roman" w:cs="Times New Roman"/>
                            <w:b/>
                            <w:bCs/>
                            <w:spacing w:val="-1"/>
                            <w:w w:val="95"/>
                            <w:sz w:val="16"/>
                            <w:szCs w:val="16"/>
                          </w:rPr>
                          <w:t>o</w:t>
                        </w:r>
                        <w:r>
                          <w:rPr>
                            <w:rFonts w:ascii="Times New Roman" w:eastAsia="Times New Roman" w:hAnsi="Times New Roman" w:cs="Times New Roman"/>
                            <w:b/>
                            <w:bCs/>
                            <w:spacing w:val="-2"/>
                            <w:w w:val="95"/>
                            <w:sz w:val="16"/>
                            <w:szCs w:val="16"/>
                          </w:rPr>
                          <w:t>int:</w:t>
                        </w:r>
                        <w:r>
                          <w:rPr>
                            <w:rFonts w:ascii="Times New Roman" w:eastAsia="Times New Roman" w:hAnsi="Times New Roman" w:cs="Times New Roman"/>
                            <w:b/>
                            <w:bCs/>
                            <w:spacing w:val="-12"/>
                            <w:w w:val="95"/>
                            <w:sz w:val="16"/>
                            <w:szCs w:val="16"/>
                          </w:rPr>
                          <w:t xml:space="preserve"> </w:t>
                        </w:r>
                        <w:r w:rsidRPr="003A2E62">
                          <w:rPr>
                            <w:rFonts w:ascii="Times New Roman"/>
                            <w:sz w:val="16"/>
                          </w:rPr>
                          <w:t>ICRC</w:t>
                        </w:r>
                        <w:r w:rsidRPr="003A2E62">
                          <w:rPr>
                            <w:rFonts w:ascii="Times New Roman"/>
                            <w:sz w:val="16"/>
                          </w:rPr>
                          <w:t>’</w:t>
                        </w:r>
                        <w:r w:rsidRPr="003A2E62">
                          <w:rPr>
                            <w:rFonts w:ascii="Times New Roman"/>
                            <w:sz w:val="16"/>
                          </w:rPr>
                          <w:t>s final decision for 2013-14 and 2014-15. Post 2014-15 the Panel had to make its own decision because the ICRC did not make a decision about expenditure beyond this date</w:t>
                        </w:r>
                      </w:p>
                      <w:p w:rsidR="008A79D5" w:rsidRDefault="008A79D5">
                        <w:pPr>
                          <w:spacing w:before="38"/>
                          <w:ind w:left="131"/>
                          <w:jc w:val="both"/>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rsidP="003A2E62">
                        <w:pPr>
                          <w:spacing w:before="70" w:line="244" w:lineRule="auto"/>
                          <w:ind w:left="131" w:right="129"/>
                          <w:jc w:val="both"/>
                          <w:rPr>
                            <w:rFonts w:ascii="Times New Roman"/>
                            <w:spacing w:val="-2"/>
                            <w:sz w:val="16"/>
                          </w:rPr>
                        </w:pPr>
                        <w:r w:rsidRPr="003A2E62">
                          <w:rPr>
                            <w:rFonts w:ascii="Times New Roman"/>
                            <w:spacing w:val="-2"/>
                            <w:sz w:val="16"/>
                          </w:rPr>
                          <w:t>Submissions from ACTEW and other stakeholders Expert advice provided by Cardno</w:t>
                        </w:r>
                      </w:p>
                      <w:p w:rsidR="008A79D5" w:rsidRDefault="008A79D5" w:rsidP="003A2E62">
                        <w:pPr>
                          <w:spacing w:before="70" w:line="244" w:lineRule="auto"/>
                          <w:ind w:left="131" w:right="129"/>
                          <w:jc w:val="both"/>
                          <w:rPr>
                            <w:rFonts w:ascii="Times New Roman" w:eastAsia="Times New Roman" w:hAnsi="Times New Roman" w:cs="Times New Roman"/>
                            <w:sz w:val="16"/>
                            <w:szCs w:val="16"/>
                          </w:rPr>
                        </w:pPr>
                        <w:r w:rsidRPr="003A2E62">
                          <w:rPr>
                            <w:rFonts w:ascii="Times New Roman"/>
                            <w:spacing w:val="-2"/>
                            <w:sz w:val="16"/>
                          </w:rPr>
                          <w:t>Regulatory practice</w:t>
                        </w:r>
                      </w:p>
                    </w:tc>
                  </w:tr>
                  <w:tr w:rsidR="008A79D5">
                    <w:trPr>
                      <w:trHeight w:hRule="exact" w:val="66"/>
                    </w:trPr>
                    <w:tc>
                      <w:tcPr>
                        <w:tcW w:w="3501" w:type="dxa"/>
                        <w:tcBorders>
                          <w:top w:val="single" w:sz="5" w:space="0" w:color="000000"/>
                          <w:left w:val="nil"/>
                          <w:bottom w:val="single" w:sz="5" w:space="0" w:color="000000"/>
                          <w:right w:val="nil"/>
                        </w:tcBorders>
                      </w:tcPr>
                      <w:p w:rsidR="008A79D5" w:rsidRDefault="008A79D5"/>
                    </w:tc>
                  </w:tr>
                  <w:tr w:rsidR="008A79D5">
                    <w:trPr>
                      <w:trHeight w:hRule="exact" w:val="1597"/>
                    </w:trPr>
                    <w:tc>
                      <w:tcPr>
                        <w:tcW w:w="3501" w:type="dxa"/>
                        <w:tcBorders>
                          <w:top w:val="single" w:sz="5" w:space="0" w:color="000000"/>
                          <w:left w:val="single" w:sz="5" w:space="0" w:color="000000"/>
                          <w:bottom w:val="single" w:sz="5" w:space="0" w:color="000000"/>
                          <w:right w:val="single" w:sz="5" w:space="0" w:color="000000"/>
                        </w:tcBorders>
                      </w:tcPr>
                      <w:p w:rsidR="008A79D5" w:rsidRDefault="008A79D5">
                        <w:pPr>
                          <w:spacing w:before="71" w:line="244" w:lineRule="auto"/>
                          <w:ind w:left="131" w:right="129"/>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95"/>
                            <w:sz w:val="16"/>
                            <w:szCs w:val="16"/>
                          </w:rPr>
                          <w:t>St</w:t>
                        </w:r>
                        <w:r>
                          <w:rPr>
                            <w:rFonts w:ascii="Times New Roman" w:eastAsia="Times New Roman" w:hAnsi="Times New Roman" w:cs="Times New Roman"/>
                            <w:b/>
                            <w:bCs/>
                            <w:spacing w:val="-2"/>
                            <w:w w:val="95"/>
                            <w:sz w:val="16"/>
                            <w:szCs w:val="16"/>
                          </w:rPr>
                          <w:t>artin</w:t>
                        </w:r>
                        <w:r>
                          <w:rPr>
                            <w:rFonts w:ascii="Times New Roman" w:eastAsia="Times New Roman" w:hAnsi="Times New Roman" w:cs="Times New Roman"/>
                            <w:b/>
                            <w:bCs/>
                            <w:spacing w:val="-1"/>
                            <w:w w:val="95"/>
                            <w:sz w:val="16"/>
                            <w:szCs w:val="16"/>
                          </w:rPr>
                          <w:t>g</w:t>
                        </w:r>
                        <w:r>
                          <w:rPr>
                            <w:rFonts w:ascii="Times New Roman" w:eastAsia="Times New Roman" w:hAnsi="Times New Roman" w:cs="Times New Roman"/>
                            <w:b/>
                            <w:bCs/>
                            <w:spacing w:val="-12"/>
                            <w:w w:val="95"/>
                            <w:sz w:val="16"/>
                            <w:szCs w:val="16"/>
                          </w:rPr>
                          <w:t xml:space="preserve"> </w:t>
                        </w:r>
                        <w:r>
                          <w:rPr>
                            <w:rFonts w:ascii="Times New Roman" w:eastAsia="Times New Roman" w:hAnsi="Times New Roman" w:cs="Times New Roman"/>
                            <w:b/>
                            <w:bCs/>
                            <w:spacing w:val="-2"/>
                            <w:w w:val="95"/>
                            <w:sz w:val="16"/>
                            <w:szCs w:val="16"/>
                          </w:rPr>
                          <w:t>p</w:t>
                        </w:r>
                        <w:r>
                          <w:rPr>
                            <w:rFonts w:ascii="Times New Roman" w:eastAsia="Times New Roman" w:hAnsi="Times New Roman" w:cs="Times New Roman"/>
                            <w:b/>
                            <w:bCs/>
                            <w:spacing w:val="-1"/>
                            <w:w w:val="95"/>
                            <w:sz w:val="16"/>
                            <w:szCs w:val="16"/>
                          </w:rPr>
                          <w:t>o</w:t>
                        </w:r>
                        <w:r>
                          <w:rPr>
                            <w:rFonts w:ascii="Times New Roman" w:eastAsia="Times New Roman" w:hAnsi="Times New Roman" w:cs="Times New Roman"/>
                            <w:b/>
                            <w:bCs/>
                            <w:spacing w:val="-2"/>
                            <w:w w:val="95"/>
                            <w:sz w:val="16"/>
                            <w:szCs w:val="16"/>
                          </w:rPr>
                          <w:t>int:</w:t>
                        </w:r>
                        <w:r>
                          <w:rPr>
                            <w:rFonts w:ascii="Times New Roman" w:eastAsia="Times New Roman" w:hAnsi="Times New Roman" w:cs="Times New Roman"/>
                            <w:b/>
                            <w:bCs/>
                            <w:spacing w:val="-12"/>
                            <w:w w:val="95"/>
                            <w:sz w:val="16"/>
                            <w:szCs w:val="16"/>
                          </w:rPr>
                          <w:t xml:space="preserve"> </w:t>
                        </w:r>
                        <w:r w:rsidRPr="003A2E62">
                          <w:rPr>
                            <w:rFonts w:ascii="Times New Roman"/>
                            <w:sz w:val="16"/>
                          </w:rPr>
                          <w:t>ICRC</w:t>
                        </w:r>
                        <w:r w:rsidRPr="003A2E62">
                          <w:rPr>
                            <w:rFonts w:ascii="Times New Roman"/>
                            <w:sz w:val="16"/>
                          </w:rPr>
                          <w:t>’</w:t>
                        </w:r>
                        <w:r w:rsidRPr="003A2E62">
                          <w:rPr>
                            <w:rFonts w:ascii="Times New Roman"/>
                            <w:sz w:val="16"/>
                          </w:rPr>
                          <w:t>s final decision for 2013-14 and 2014-15, and actual data for 2013-14. Post 2014-15 the Panel had to make its own decision</w:t>
                        </w:r>
                      </w:p>
                      <w:p w:rsidR="008A79D5" w:rsidRDefault="008A79D5">
                        <w:pPr>
                          <w:spacing w:before="38"/>
                          <w:ind w:left="131"/>
                          <w:jc w:val="both"/>
                          <w:rPr>
                            <w:rFonts w:ascii="Times New Roman" w:eastAsia="Times New Roman" w:hAnsi="Times New Roman" w:cs="Times New Roman"/>
                            <w:sz w:val="16"/>
                            <w:szCs w:val="16"/>
                          </w:rPr>
                        </w:pPr>
                        <w:r>
                          <w:rPr>
                            <w:rFonts w:ascii="Times New Roman"/>
                            <w:b/>
                            <w:spacing w:val="-2"/>
                            <w:w w:val="95"/>
                            <w:sz w:val="16"/>
                          </w:rPr>
                          <w:t>Al</w:t>
                        </w:r>
                        <w:r>
                          <w:rPr>
                            <w:rFonts w:ascii="Times New Roman"/>
                            <w:b/>
                            <w:spacing w:val="-1"/>
                            <w:w w:val="95"/>
                            <w:sz w:val="16"/>
                          </w:rPr>
                          <w:t>so</w:t>
                        </w:r>
                        <w:r>
                          <w:rPr>
                            <w:rFonts w:ascii="Times New Roman"/>
                            <w:b/>
                            <w:spacing w:val="18"/>
                            <w:w w:val="95"/>
                            <w:sz w:val="16"/>
                          </w:rPr>
                          <w:t xml:space="preserve"> </w:t>
                        </w:r>
                        <w:r>
                          <w:rPr>
                            <w:rFonts w:ascii="Times New Roman"/>
                            <w:b/>
                            <w:spacing w:val="-1"/>
                            <w:w w:val="95"/>
                            <w:sz w:val="16"/>
                          </w:rPr>
                          <w:t>cons</w:t>
                        </w:r>
                        <w:r>
                          <w:rPr>
                            <w:rFonts w:ascii="Times New Roman"/>
                            <w:b/>
                            <w:spacing w:val="-2"/>
                            <w:w w:val="95"/>
                            <w:sz w:val="16"/>
                          </w:rPr>
                          <w:t>i</w:t>
                        </w:r>
                        <w:r>
                          <w:rPr>
                            <w:rFonts w:ascii="Times New Roman"/>
                            <w:b/>
                            <w:spacing w:val="-1"/>
                            <w:w w:val="95"/>
                            <w:sz w:val="16"/>
                          </w:rPr>
                          <w:t>de</w:t>
                        </w:r>
                        <w:r>
                          <w:rPr>
                            <w:rFonts w:ascii="Times New Roman"/>
                            <w:b/>
                            <w:spacing w:val="-2"/>
                            <w:w w:val="95"/>
                            <w:sz w:val="16"/>
                          </w:rPr>
                          <w:t>r</w:t>
                        </w:r>
                        <w:r>
                          <w:rPr>
                            <w:rFonts w:ascii="Times New Roman"/>
                            <w:b/>
                            <w:spacing w:val="-1"/>
                            <w:w w:val="95"/>
                            <w:sz w:val="16"/>
                          </w:rPr>
                          <w:t>e</w:t>
                        </w:r>
                        <w:r>
                          <w:rPr>
                            <w:rFonts w:ascii="Times New Roman"/>
                            <w:b/>
                            <w:spacing w:val="-2"/>
                            <w:w w:val="95"/>
                            <w:sz w:val="16"/>
                          </w:rPr>
                          <w:t>d:</w:t>
                        </w:r>
                      </w:p>
                      <w:p w:rsidR="008A79D5" w:rsidRPr="003A2E62" w:rsidRDefault="008A79D5">
                        <w:pPr>
                          <w:spacing w:before="59" w:line="270" w:lineRule="auto"/>
                          <w:ind w:left="131" w:right="130"/>
                          <w:jc w:val="both"/>
                          <w:rPr>
                            <w:rFonts w:ascii="Times New Roman"/>
                            <w:sz w:val="16"/>
                          </w:rPr>
                        </w:pPr>
                        <w:r w:rsidRPr="003A2E62">
                          <w:rPr>
                            <w:rFonts w:ascii="Times New Roman"/>
                            <w:sz w:val="16"/>
                          </w:rPr>
                          <w:t xml:space="preserve">Submissions from ACTEW and </w:t>
                        </w:r>
                        <w:r>
                          <w:rPr>
                            <w:rFonts w:ascii="Times New Roman"/>
                            <w:sz w:val="16"/>
                          </w:rPr>
                          <w:t>other</w:t>
                        </w:r>
                        <w:r w:rsidRPr="003A2E62">
                          <w:rPr>
                            <w:rFonts w:ascii="Times New Roman"/>
                            <w:sz w:val="16"/>
                          </w:rPr>
                          <w:t xml:space="preserve"> stakeholders Expert advice provided by Cardno</w:t>
                        </w:r>
                      </w:p>
                      <w:p w:rsidR="008A79D5" w:rsidRDefault="008A79D5" w:rsidP="003A2E62">
                        <w:pPr>
                          <w:spacing w:before="59" w:line="270" w:lineRule="auto"/>
                          <w:ind w:left="131" w:right="130"/>
                          <w:jc w:val="both"/>
                          <w:rPr>
                            <w:rFonts w:ascii="Times New Roman" w:eastAsia="Times New Roman" w:hAnsi="Times New Roman" w:cs="Times New Roman"/>
                            <w:sz w:val="16"/>
                            <w:szCs w:val="16"/>
                          </w:rPr>
                        </w:pPr>
                        <w:r w:rsidRPr="003A2E62">
                          <w:rPr>
                            <w:rFonts w:ascii="Times New Roman"/>
                            <w:sz w:val="16"/>
                          </w:rPr>
                          <w:t>Regulatory practice</w:t>
                        </w:r>
                      </w:p>
                    </w:tc>
                  </w:tr>
                </w:tbl>
                <w:p w:rsidR="008A79D5" w:rsidRDefault="008A79D5"/>
              </w:txbxContent>
            </v:textbox>
          </v:shape>
        </w:pict>
      </w:r>
    </w:p>
    <w:p w:rsidR="00D96B91" w:rsidRDefault="00D96B91">
      <w:pPr>
        <w:spacing w:line="200" w:lineRule="atLeast"/>
        <w:rPr>
          <w:rFonts w:ascii="Times New Roman" w:eastAsia="Times New Roman" w:hAnsi="Times New Roman" w:cs="Times New Roman"/>
        </w:rPr>
        <w:sectPr w:rsidR="00D96B91">
          <w:pgSz w:w="11910" w:h="16840"/>
          <w:pgMar w:top="1200" w:right="0" w:bottom="1020" w:left="0" w:header="0" w:footer="829" w:gutter="0"/>
          <w:cols w:space="720"/>
        </w:sectPr>
      </w:pPr>
    </w:p>
    <w:p w:rsidR="00D96B91" w:rsidRDefault="00C2656B">
      <w:pPr>
        <w:tabs>
          <w:tab w:val="left" w:pos="1927"/>
        </w:tabs>
        <w:spacing w:before="18" w:line="210" w:lineRule="auto"/>
        <w:ind w:left="1927" w:right="1836" w:hanging="681"/>
        <w:rPr>
          <w:rFonts w:ascii="Avenir Next Medium" w:eastAsia="Avenir Next Medium" w:hAnsi="Avenir Next Medium" w:cs="Avenir Next Medium"/>
          <w:sz w:val="40"/>
          <w:szCs w:val="40"/>
        </w:rPr>
      </w:pPr>
      <w:bookmarkStart w:id="48" w:name="6_Regulatory_period,_form_of_control_and"/>
      <w:bookmarkStart w:id="49" w:name="6._1_Overview_of_Panel’s_draft_decision_"/>
      <w:bookmarkStart w:id="50" w:name="_bookmark25"/>
      <w:bookmarkEnd w:id="48"/>
      <w:bookmarkEnd w:id="49"/>
      <w:bookmarkEnd w:id="50"/>
      <w:r>
        <w:rPr>
          <w:rFonts w:ascii="Avenir Next Medium"/>
          <w:color w:val="0778BE"/>
          <w:w w:val="95"/>
          <w:sz w:val="40"/>
        </w:rPr>
        <w:t>6</w:t>
      </w:r>
      <w:r>
        <w:rPr>
          <w:rFonts w:ascii="Avenir Next Medium"/>
          <w:color w:val="0778BE"/>
          <w:w w:val="95"/>
          <w:sz w:val="40"/>
        </w:rPr>
        <w:tab/>
      </w:r>
      <w:r>
        <w:rPr>
          <w:rFonts w:ascii="Avenir Next Medium"/>
          <w:color w:val="0778BE"/>
          <w:spacing w:val="-1"/>
          <w:sz w:val="40"/>
        </w:rPr>
        <w:t>R</w:t>
      </w:r>
      <w:bookmarkStart w:id="51" w:name="_bookmark26"/>
      <w:bookmarkEnd w:id="51"/>
      <w:r>
        <w:rPr>
          <w:rFonts w:ascii="Avenir Next Medium"/>
          <w:color w:val="0778BE"/>
          <w:spacing w:val="-1"/>
          <w:sz w:val="40"/>
        </w:rPr>
        <w:t>egulatory</w:t>
      </w:r>
      <w:r>
        <w:rPr>
          <w:rFonts w:ascii="Avenir Next Medium"/>
          <w:color w:val="0778BE"/>
          <w:sz w:val="40"/>
        </w:rPr>
        <w:t xml:space="preserve"> period,</w:t>
      </w:r>
      <w:r>
        <w:rPr>
          <w:rFonts w:ascii="Avenir Next Medium"/>
          <w:color w:val="0778BE"/>
          <w:spacing w:val="-13"/>
          <w:sz w:val="40"/>
        </w:rPr>
        <w:t xml:space="preserve"> </w:t>
      </w:r>
      <w:r>
        <w:rPr>
          <w:rFonts w:ascii="Avenir Next Medium"/>
          <w:color w:val="0778BE"/>
          <w:sz w:val="40"/>
        </w:rPr>
        <w:t>form of</w:t>
      </w:r>
      <w:r>
        <w:rPr>
          <w:rFonts w:ascii="Avenir Next Medium"/>
          <w:color w:val="0778BE"/>
          <w:spacing w:val="9"/>
          <w:sz w:val="40"/>
        </w:rPr>
        <w:t xml:space="preserve"> </w:t>
      </w:r>
      <w:r>
        <w:rPr>
          <w:rFonts w:ascii="Avenir Next Medium"/>
          <w:color w:val="0778BE"/>
          <w:spacing w:val="-2"/>
          <w:sz w:val="40"/>
        </w:rPr>
        <w:t>control</w:t>
      </w:r>
      <w:r>
        <w:rPr>
          <w:rFonts w:ascii="Avenir Next Medium"/>
          <w:color w:val="0778BE"/>
          <w:sz w:val="40"/>
        </w:rPr>
        <w:t xml:space="preserve"> and other</w:t>
      </w:r>
      <w:r>
        <w:rPr>
          <w:rFonts w:ascii="Avenir Next Medium"/>
          <w:color w:val="0778BE"/>
          <w:spacing w:val="28"/>
          <w:sz w:val="40"/>
        </w:rPr>
        <w:t xml:space="preserve"> </w:t>
      </w:r>
      <w:r>
        <w:rPr>
          <w:rFonts w:ascii="Avenir Next Medium"/>
          <w:color w:val="0778BE"/>
          <w:sz w:val="40"/>
        </w:rPr>
        <w:t xml:space="preserve">risk </w:t>
      </w:r>
      <w:r>
        <w:rPr>
          <w:rFonts w:ascii="Avenir Next Medium"/>
          <w:color w:val="0778BE"/>
          <w:spacing w:val="-1"/>
          <w:sz w:val="40"/>
        </w:rPr>
        <w:t>allocation</w:t>
      </w:r>
      <w:r>
        <w:rPr>
          <w:rFonts w:ascii="Avenir Next Medium"/>
          <w:color w:val="0778BE"/>
          <w:sz w:val="40"/>
        </w:rPr>
        <w:t xml:space="preserve"> </w:t>
      </w:r>
      <w:r>
        <w:rPr>
          <w:rFonts w:ascii="Avenir Next Medium"/>
          <w:color w:val="0778BE"/>
          <w:spacing w:val="-2"/>
          <w:sz w:val="40"/>
        </w:rPr>
        <w:t>measures</w:t>
      </w:r>
    </w:p>
    <w:p w:rsidR="00D96B91" w:rsidRDefault="00D96B91">
      <w:pPr>
        <w:spacing w:before="8"/>
        <w:rPr>
          <w:rFonts w:ascii="Avenir Next Medium" w:eastAsia="Avenir Next Medium" w:hAnsi="Avenir Next Medium" w:cs="Avenir Next Medium"/>
          <w:sz w:val="27"/>
          <w:szCs w:val="27"/>
        </w:rPr>
      </w:pPr>
    </w:p>
    <w:p w:rsidR="00D96B91" w:rsidRDefault="00C2656B">
      <w:pPr>
        <w:pStyle w:val="BodyText"/>
        <w:spacing w:line="260" w:lineRule="exact"/>
        <w:ind w:right="1376"/>
        <w:rPr>
          <w:rFonts w:cs="Avenir Next"/>
        </w:rPr>
      </w:pPr>
      <w:r>
        <w:rPr>
          <w:spacing w:val="-2"/>
        </w:rPr>
        <w:t>The</w:t>
      </w:r>
      <w:r>
        <w:rPr>
          <w:spacing w:val="-1"/>
        </w:rPr>
        <w:t xml:space="preserve"> </w:t>
      </w:r>
      <w:r>
        <w:t>first components of</w:t>
      </w:r>
      <w:r>
        <w:rPr>
          <w:spacing w:val="4"/>
        </w:rPr>
        <w:t xml:space="preserve"> </w:t>
      </w:r>
      <w:r>
        <w:t>the</w:t>
      </w:r>
      <w:r>
        <w:rPr>
          <w:spacing w:val="-1"/>
        </w:rPr>
        <w:t xml:space="preserve"> </w:t>
      </w:r>
      <w:r>
        <w:t xml:space="preserve">original price </w:t>
      </w:r>
      <w:r>
        <w:rPr>
          <w:spacing w:val="-1"/>
        </w:rPr>
        <w:t>direction</w:t>
      </w:r>
      <w:r>
        <w:t xml:space="preserve"> the </w:t>
      </w:r>
      <w:r>
        <w:rPr>
          <w:spacing w:val="-3"/>
        </w:rPr>
        <w:t>Panel</w:t>
      </w:r>
      <w:r>
        <w:rPr>
          <w:spacing w:val="-1"/>
        </w:rPr>
        <w:t xml:space="preserve"> reviewed</w:t>
      </w:r>
      <w:r>
        <w:t xml:space="preserve"> </w:t>
      </w:r>
      <w:r>
        <w:rPr>
          <w:spacing w:val="-1"/>
        </w:rPr>
        <w:t>were</w:t>
      </w:r>
      <w:r>
        <w:t xml:space="preserve"> the length</w:t>
      </w:r>
      <w:r>
        <w:rPr>
          <w:spacing w:val="-1"/>
        </w:rPr>
        <w:t xml:space="preserve"> </w:t>
      </w:r>
      <w:r>
        <w:t>of</w:t>
      </w:r>
      <w:r>
        <w:rPr>
          <w:spacing w:val="4"/>
        </w:rPr>
        <w:t xml:space="preserve"> </w:t>
      </w:r>
      <w:r>
        <w:t>the</w:t>
      </w:r>
      <w:r>
        <w:rPr>
          <w:spacing w:val="29"/>
        </w:rPr>
        <w:t xml:space="preserve"> </w:t>
      </w:r>
      <w:r>
        <w:rPr>
          <w:spacing w:val="-1"/>
        </w:rPr>
        <w:t>regulatory</w:t>
      </w:r>
      <w:r>
        <w:t xml:space="preserve"> period,</w:t>
      </w:r>
      <w:r>
        <w:rPr>
          <w:spacing w:val="-6"/>
        </w:rPr>
        <w:t xml:space="preserve"> </w:t>
      </w:r>
      <w:r>
        <w:t>the form of</w:t>
      </w:r>
      <w:r>
        <w:rPr>
          <w:spacing w:val="4"/>
        </w:rPr>
        <w:t xml:space="preserve"> </w:t>
      </w:r>
      <w:r>
        <w:rPr>
          <w:spacing w:val="-1"/>
        </w:rPr>
        <w:t>regulatory</w:t>
      </w:r>
      <w:r>
        <w:t xml:space="preserve"> </w:t>
      </w:r>
      <w:r>
        <w:rPr>
          <w:spacing w:val="-1"/>
        </w:rPr>
        <w:t>control</w:t>
      </w:r>
      <w:r>
        <w:t xml:space="preserve"> (eg,</w:t>
      </w:r>
      <w:r>
        <w:rPr>
          <w:spacing w:val="-6"/>
        </w:rPr>
        <w:t xml:space="preserve"> </w:t>
      </w:r>
      <w:r>
        <w:t xml:space="preserve">a </w:t>
      </w:r>
      <w:r>
        <w:rPr>
          <w:spacing w:val="-1"/>
        </w:rPr>
        <w:t>revenue</w:t>
      </w:r>
      <w:r>
        <w:t xml:space="preserve"> cap or a price cap) and the other risk</w:t>
      </w:r>
      <w:r>
        <w:rPr>
          <w:spacing w:val="29"/>
        </w:rPr>
        <w:t xml:space="preserve"> </w:t>
      </w:r>
      <w:r>
        <w:rPr>
          <w:spacing w:val="-1"/>
        </w:rPr>
        <w:t>allocation</w:t>
      </w:r>
      <w:r>
        <w:t xml:space="preserve"> </w:t>
      </w:r>
      <w:r>
        <w:rPr>
          <w:spacing w:val="-1"/>
        </w:rPr>
        <w:t>measures</w:t>
      </w:r>
      <w:r>
        <w:t xml:space="preserve"> to apply in the period.</w:t>
      </w:r>
      <w:r>
        <w:rPr>
          <w:spacing w:val="-11"/>
        </w:rPr>
        <w:t xml:space="preserve"> </w:t>
      </w:r>
      <w:r>
        <w:rPr>
          <w:spacing w:val="-10"/>
        </w:rPr>
        <w:t>To</w:t>
      </w:r>
      <w:r>
        <w:t xml:space="preserve"> </w:t>
      </w:r>
      <w:r>
        <w:rPr>
          <w:spacing w:val="-2"/>
        </w:rPr>
        <w:t>reach</w:t>
      </w:r>
      <w:r>
        <w:t xml:space="preserve"> its </w:t>
      </w:r>
      <w:r>
        <w:rPr>
          <w:spacing w:val="-2"/>
        </w:rPr>
        <w:t>draft</w:t>
      </w:r>
      <w:r>
        <w:t xml:space="preserve"> decision on these components,</w:t>
      </w:r>
      <w:r>
        <w:rPr>
          <w:spacing w:val="-7"/>
        </w:rPr>
        <w:t xml:space="preserve"> </w:t>
      </w:r>
      <w:r>
        <w:t xml:space="preserve">the </w:t>
      </w:r>
      <w:r>
        <w:rPr>
          <w:spacing w:val="-3"/>
        </w:rPr>
        <w:t>Panel</w:t>
      </w:r>
      <w:r>
        <w:rPr>
          <w:spacing w:val="43"/>
        </w:rPr>
        <w:t xml:space="preserve"> </w:t>
      </w:r>
      <w:r>
        <w:rPr>
          <w:spacing w:val="-1"/>
        </w:rPr>
        <w:t>reviewed:</w:t>
      </w:r>
    </w:p>
    <w:p w:rsidR="00D96B91" w:rsidRDefault="00C2656B">
      <w:pPr>
        <w:pStyle w:val="BodyText"/>
        <w:numPr>
          <w:ilvl w:val="0"/>
          <w:numId w:val="131"/>
        </w:numPr>
        <w:tabs>
          <w:tab w:val="left" w:pos="1531"/>
        </w:tabs>
        <w:spacing w:before="170" w:line="260" w:lineRule="exact"/>
        <w:ind w:right="2091" w:hanging="283"/>
      </w:pPr>
      <w:r>
        <w:rPr>
          <w:spacing w:val="-2"/>
        </w:rPr>
        <w:t>The</w:t>
      </w:r>
      <w:r>
        <w:t xml:space="preserve"> </w:t>
      </w:r>
      <w:r>
        <w:rPr>
          <w:spacing w:val="-1"/>
        </w:rPr>
        <w:t>range</w:t>
      </w:r>
      <w:r>
        <w:t xml:space="preserve"> of</w:t>
      </w:r>
      <w:r>
        <w:rPr>
          <w:spacing w:val="4"/>
        </w:rPr>
        <w:t xml:space="preserve"> </w:t>
      </w:r>
      <w:r>
        <w:rPr>
          <w:spacing w:val="-1"/>
        </w:rPr>
        <w:t>risks</w:t>
      </w:r>
      <w:r>
        <w:t xml:space="preserve"> and </w:t>
      </w:r>
      <w:r>
        <w:rPr>
          <w:spacing w:val="-1"/>
        </w:rPr>
        <w:t>uncertainties</w:t>
      </w:r>
      <w:r>
        <w:rPr>
          <w:spacing w:val="-4"/>
        </w:rPr>
        <w:t xml:space="preserve"> </w:t>
      </w:r>
      <w:r>
        <w:rPr>
          <w:spacing w:val="-2"/>
        </w:rPr>
        <w:t>ACTEW</w:t>
      </w:r>
      <w:r>
        <w:rPr>
          <w:spacing w:val="-3"/>
        </w:rPr>
        <w:t xml:space="preserve"> </w:t>
      </w:r>
      <w:r>
        <w:t xml:space="preserve">and its </w:t>
      </w:r>
      <w:r>
        <w:rPr>
          <w:spacing w:val="-1"/>
        </w:rPr>
        <w:t>water</w:t>
      </w:r>
      <w:r>
        <w:t xml:space="preserve"> customers </w:t>
      </w:r>
      <w:r>
        <w:rPr>
          <w:spacing w:val="-2"/>
        </w:rPr>
        <w:t>are</w:t>
      </w:r>
      <w:r>
        <w:t xml:space="preserve"> </w:t>
      </w:r>
      <w:r>
        <w:rPr>
          <w:spacing w:val="-1"/>
        </w:rPr>
        <w:t>likely</w:t>
      </w:r>
      <w:r>
        <w:t xml:space="preserve"> to face in this</w:t>
      </w:r>
      <w:r>
        <w:rPr>
          <w:spacing w:val="55"/>
        </w:rPr>
        <w:t xml:space="preserve"> </w:t>
      </w:r>
      <w:r>
        <w:rPr>
          <w:spacing w:val="-1"/>
        </w:rPr>
        <w:t>regulatory</w:t>
      </w:r>
      <w:r>
        <w:t xml:space="preserve"> period.</w:t>
      </w:r>
    </w:p>
    <w:p w:rsidR="00D96B91" w:rsidRDefault="00C2656B">
      <w:pPr>
        <w:pStyle w:val="BodyText"/>
        <w:numPr>
          <w:ilvl w:val="0"/>
          <w:numId w:val="131"/>
        </w:numPr>
        <w:tabs>
          <w:tab w:val="left" w:pos="1531"/>
        </w:tabs>
        <w:spacing w:before="93"/>
        <w:ind w:hanging="283"/>
      </w:pPr>
      <w:r>
        <w:rPr>
          <w:spacing w:val="-2"/>
        </w:rPr>
        <w:t>The</w:t>
      </w:r>
      <w:r>
        <w:rPr>
          <w:spacing w:val="-1"/>
        </w:rPr>
        <w:t xml:space="preserve"> </w:t>
      </w:r>
      <w:r>
        <w:rPr>
          <w:spacing w:val="-2"/>
        </w:rPr>
        <w:t>ICRC’s</w:t>
      </w:r>
      <w:r>
        <w:rPr>
          <w:spacing w:val="-1"/>
        </w:rPr>
        <w:t xml:space="preserve"> </w:t>
      </w:r>
      <w:r>
        <w:t>final</w:t>
      </w:r>
      <w:r>
        <w:rPr>
          <w:spacing w:val="-1"/>
        </w:rPr>
        <w:t xml:space="preserve"> </w:t>
      </w:r>
      <w:r>
        <w:t>decision</w:t>
      </w:r>
      <w:r>
        <w:rPr>
          <w:spacing w:val="-1"/>
        </w:rPr>
        <w:t xml:space="preserve"> </w:t>
      </w:r>
      <w:r>
        <w:t>to adopt:</w:t>
      </w:r>
    </w:p>
    <w:p w:rsidR="00D96B91" w:rsidRDefault="00C2656B">
      <w:pPr>
        <w:pStyle w:val="BodyText"/>
        <w:numPr>
          <w:ilvl w:val="1"/>
          <w:numId w:val="131"/>
        </w:numPr>
        <w:tabs>
          <w:tab w:val="left" w:pos="1815"/>
        </w:tabs>
        <w:spacing w:before="64" w:line="260" w:lineRule="exact"/>
        <w:ind w:right="2363"/>
        <w:rPr>
          <w:rFonts w:cs="Avenir Next"/>
        </w:rPr>
      </w:pPr>
      <w:r>
        <w:t xml:space="preserve">a </w:t>
      </w:r>
      <w:r>
        <w:rPr>
          <w:spacing w:val="-1"/>
        </w:rPr>
        <w:t>six-year</w:t>
      </w:r>
      <w:r>
        <w:t xml:space="preserve"> </w:t>
      </w:r>
      <w:r>
        <w:rPr>
          <w:spacing w:val="-1"/>
        </w:rPr>
        <w:t>regulatory</w:t>
      </w:r>
      <w:r>
        <w:t xml:space="preserve"> period with biennial price </w:t>
      </w:r>
      <w:r>
        <w:rPr>
          <w:spacing w:val="-1"/>
        </w:rPr>
        <w:t>recalibrations</w:t>
      </w:r>
      <w:r>
        <w:t xml:space="preserve"> to </w:t>
      </w:r>
      <w:r>
        <w:rPr>
          <w:spacing w:val="-1"/>
        </w:rPr>
        <w:t>address</w:t>
      </w:r>
      <w:r>
        <w:t xml:space="preserve"> demand and</w:t>
      </w:r>
      <w:r>
        <w:rPr>
          <w:spacing w:val="31"/>
        </w:rPr>
        <w:t xml:space="preserve"> </w:t>
      </w:r>
      <w:r>
        <w:rPr>
          <w:spacing w:val="-1"/>
        </w:rPr>
        <w:t>expenditure</w:t>
      </w:r>
      <w:r>
        <w:t xml:space="preserve"> risk</w:t>
      </w:r>
    </w:p>
    <w:p w:rsidR="00D96B91" w:rsidRDefault="00C2656B">
      <w:pPr>
        <w:pStyle w:val="BodyText"/>
        <w:numPr>
          <w:ilvl w:val="1"/>
          <w:numId w:val="131"/>
        </w:numPr>
        <w:tabs>
          <w:tab w:val="left" w:pos="1815"/>
        </w:tabs>
        <w:spacing w:before="93"/>
        <w:rPr>
          <w:rFonts w:cs="Avenir Next"/>
        </w:rPr>
      </w:pPr>
      <w:r>
        <w:t>a price cap form of</w:t>
      </w:r>
      <w:r>
        <w:rPr>
          <w:spacing w:val="4"/>
        </w:rPr>
        <w:t xml:space="preserve"> </w:t>
      </w:r>
      <w:r>
        <w:rPr>
          <w:spacing w:val="-1"/>
        </w:rPr>
        <w:t>control</w:t>
      </w:r>
    </w:p>
    <w:p w:rsidR="00D96B91" w:rsidRDefault="00C2656B">
      <w:pPr>
        <w:pStyle w:val="BodyText"/>
        <w:numPr>
          <w:ilvl w:val="1"/>
          <w:numId w:val="131"/>
        </w:numPr>
        <w:tabs>
          <w:tab w:val="left" w:pos="1815"/>
        </w:tabs>
        <w:spacing w:before="64" w:line="260" w:lineRule="exact"/>
        <w:ind w:right="1390"/>
        <w:rPr>
          <w:rFonts w:cs="Avenir Next"/>
        </w:rPr>
      </w:pPr>
      <w:r>
        <w:t xml:space="preserve">CPI </w:t>
      </w:r>
      <w:r>
        <w:rPr>
          <w:spacing w:val="-1"/>
        </w:rPr>
        <w:t>escalation</w:t>
      </w:r>
      <w:r>
        <w:t xml:space="preserve"> and cost </w:t>
      </w:r>
      <w:r>
        <w:rPr>
          <w:spacing w:val="-1"/>
        </w:rPr>
        <w:t>pass-through</w:t>
      </w:r>
      <w:r>
        <w:t xml:space="preserve"> mechanisms to </w:t>
      </w:r>
      <w:r>
        <w:rPr>
          <w:spacing w:val="-1"/>
        </w:rPr>
        <w:t>address</w:t>
      </w:r>
      <w:r>
        <w:t xml:space="preserve"> </w:t>
      </w:r>
      <w:r>
        <w:rPr>
          <w:spacing w:val="-1"/>
        </w:rPr>
        <w:t>expenditure</w:t>
      </w:r>
      <w:r>
        <w:t xml:space="preserve"> risk between biennial</w:t>
      </w:r>
      <w:r>
        <w:rPr>
          <w:spacing w:val="49"/>
        </w:rPr>
        <w:t xml:space="preserve"> </w:t>
      </w:r>
      <w:r>
        <w:rPr>
          <w:spacing w:val="-1"/>
        </w:rPr>
        <w:t>recalibrations,</w:t>
      </w:r>
      <w:r>
        <w:rPr>
          <w:spacing w:val="-7"/>
        </w:rPr>
        <w:t xml:space="preserve"> </w:t>
      </w:r>
      <w:r>
        <w:t>and</w:t>
      </w:r>
    </w:p>
    <w:p w:rsidR="00D96B91" w:rsidRDefault="00C2656B">
      <w:pPr>
        <w:pStyle w:val="BodyText"/>
        <w:numPr>
          <w:ilvl w:val="1"/>
          <w:numId w:val="131"/>
        </w:numPr>
        <w:tabs>
          <w:tab w:val="left" w:pos="1815"/>
        </w:tabs>
        <w:spacing w:before="93"/>
      </w:pPr>
      <w:r>
        <w:t xml:space="preserve">a price trigger event mechanism to </w:t>
      </w:r>
      <w:r>
        <w:rPr>
          <w:spacing w:val="-1"/>
        </w:rPr>
        <w:t>address</w:t>
      </w:r>
      <w:r>
        <w:t xml:space="preserve"> risk </w:t>
      </w:r>
      <w:r>
        <w:rPr>
          <w:spacing w:val="-1"/>
        </w:rPr>
        <w:t>related</w:t>
      </w:r>
      <w:r>
        <w:t xml:space="preserve"> to </w:t>
      </w:r>
      <w:r>
        <w:rPr>
          <w:spacing w:val="-1"/>
        </w:rPr>
        <w:t>unforeseen</w:t>
      </w:r>
      <w:r>
        <w:t xml:space="preserve"> events.</w:t>
      </w:r>
    </w:p>
    <w:p w:rsidR="00D96B91" w:rsidRDefault="00C2656B">
      <w:pPr>
        <w:pStyle w:val="BodyText"/>
        <w:numPr>
          <w:ilvl w:val="0"/>
          <w:numId w:val="131"/>
        </w:numPr>
        <w:tabs>
          <w:tab w:val="left" w:pos="1531"/>
        </w:tabs>
        <w:spacing w:before="72"/>
        <w:ind w:hanging="283"/>
      </w:pPr>
      <w:r>
        <w:rPr>
          <w:spacing w:val="-2"/>
        </w:rPr>
        <w:t>ACTEW’s</w:t>
      </w:r>
      <w:r>
        <w:t xml:space="preserve"> SOFC,</w:t>
      </w:r>
      <w:r>
        <w:rPr>
          <w:spacing w:val="-6"/>
        </w:rPr>
        <w:t xml:space="preserve"> </w:t>
      </w:r>
      <w:r>
        <w:t>including its concerns about:</w:t>
      </w:r>
    </w:p>
    <w:p w:rsidR="00D96B91" w:rsidRDefault="00D96B91">
      <w:pPr>
        <w:spacing w:before="9"/>
        <w:rPr>
          <w:rFonts w:ascii="Avenir Next" w:eastAsia="Avenir Next" w:hAnsi="Avenir Next" w:cs="Avenir Next"/>
          <w:sz w:val="15"/>
          <w:szCs w:val="15"/>
        </w:rPr>
      </w:pPr>
    </w:p>
    <w:p w:rsidR="00D96B91" w:rsidRDefault="00C2656B">
      <w:pPr>
        <w:pStyle w:val="BodyText"/>
        <w:numPr>
          <w:ilvl w:val="1"/>
          <w:numId w:val="131"/>
        </w:numPr>
        <w:tabs>
          <w:tab w:val="left" w:pos="1814"/>
        </w:tabs>
        <w:ind w:left="1813" w:hanging="283"/>
        <w:rPr>
          <w:sz w:val="11"/>
          <w:szCs w:val="11"/>
        </w:rPr>
      </w:pPr>
      <w:r>
        <w:t>the biennial</w:t>
      </w:r>
      <w:r>
        <w:rPr>
          <w:spacing w:val="1"/>
        </w:rPr>
        <w:t xml:space="preserve"> </w:t>
      </w:r>
      <w:r>
        <w:rPr>
          <w:spacing w:val="-1"/>
        </w:rPr>
        <w:t>recalibration</w:t>
      </w:r>
      <w:r>
        <w:t xml:space="preserve"> </w:t>
      </w:r>
      <w:r>
        <w:rPr>
          <w:spacing w:val="-1"/>
        </w:rPr>
        <w:t>process</w:t>
      </w:r>
      <w:r>
        <w:rPr>
          <w:spacing w:val="1"/>
        </w:rPr>
        <w:t xml:space="preserve"> </w:t>
      </w:r>
      <w:r>
        <w:t>and</w:t>
      </w:r>
      <w:r>
        <w:rPr>
          <w:spacing w:val="1"/>
        </w:rPr>
        <w:t xml:space="preserve"> </w:t>
      </w:r>
      <w:r>
        <w:t>the length</w:t>
      </w:r>
      <w:r>
        <w:rPr>
          <w:spacing w:val="1"/>
        </w:rPr>
        <w:t xml:space="preserve"> </w:t>
      </w:r>
      <w:r>
        <w:t>of</w:t>
      </w:r>
      <w:r>
        <w:rPr>
          <w:spacing w:val="5"/>
        </w:rPr>
        <w:t xml:space="preserve"> </w:t>
      </w:r>
      <w:r>
        <w:t xml:space="preserve">the </w:t>
      </w:r>
      <w:r>
        <w:rPr>
          <w:spacing w:val="-1"/>
        </w:rPr>
        <w:t>regulatory</w:t>
      </w:r>
      <w:r>
        <w:rPr>
          <w:spacing w:val="1"/>
        </w:rPr>
        <w:t xml:space="preserve"> </w:t>
      </w:r>
      <w:r>
        <w:t>period</w:t>
      </w:r>
      <w:r>
        <w:rPr>
          <w:position w:val="7"/>
          <w:sz w:val="11"/>
        </w:rPr>
        <w:t>28</w:t>
      </w:r>
    </w:p>
    <w:p w:rsidR="00D96B91" w:rsidRDefault="00C2656B">
      <w:pPr>
        <w:pStyle w:val="BodyText"/>
        <w:numPr>
          <w:ilvl w:val="1"/>
          <w:numId w:val="131"/>
        </w:numPr>
        <w:tabs>
          <w:tab w:val="left" w:pos="1815"/>
        </w:tabs>
        <w:spacing w:before="72"/>
        <w:rPr>
          <w:rFonts w:cs="Avenir Next"/>
        </w:rPr>
      </w:pPr>
      <w:r>
        <w:t>the form</w:t>
      </w:r>
      <w:r>
        <w:rPr>
          <w:spacing w:val="1"/>
        </w:rPr>
        <w:t xml:space="preserve"> </w:t>
      </w:r>
      <w:r>
        <w:t>of</w:t>
      </w:r>
      <w:r>
        <w:rPr>
          <w:spacing w:val="4"/>
        </w:rPr>
        <w:t xml:space="preserve"> </w:t>
      </w:r>
      <w:r>
        <w:rPr>
          <w:spacing w:val="-1"/>
        </w:rPr>
        <w:t>control</w:t>
      </w:r>
      <w:r>
        <w:rPr>
          <w:spacing w:val="1"/>
        </w:rPr>
        <w:t xml:space="preserve"> </w:t>
      </w:r>
      <w:r>
        <w:t>and the</w:t>
      </w:r>
      <w:r>
        <w:rPr>
          <w:spacing w:val="1"/>
        </w:rPr>
        <w:t xml:space="preserve"> </w:t>
      </w:r>
      <w:r>
        <w:rPr>
          <w:spacing w:val="-1"/>
        </w:rPr>
        <w:t>measures</w:t>
      </w:r>
      <w:r>
        <w:rPr>
          <w:spacing w:val="1"/>
        </w:rPr>
        <w:t xml:space="preserve"> </w:t>
      </w:r>
      <w:r>
        <w:t>used to</w:t>
      </w:r>
      <w:r>
        <w:rPr>
          <w:spacing w:val="1"/>
        </w:rPr>
        <w:t xml:space="preserve"> </w:t>
      </w:r>
      <w:r>
        <w:rPr>
          <w:spacing w:val="-1"/>
        </w:rPr>
        <w:t>deal</w:t>
      </w:r>
      <w:r>
        <w:t xml:space="preserve"> with</w:t>
      </w:r>
      <w:r>
        <w:rPr>
          <w:spacing w:val="1"/>
        </w:rPr>
        <w:t xml:space="preserve"> </w:t>
      </w:r>
      <w:r>
        <w:t>demand</w:t>
      </w:r>
      <w:r>
        <w:rPr>
          <w:spacing w:val="1"/>
        </w:rPr>
        <w:t xml:space="preserve"> </w:t>
      </w:r>
      <w:r>
        <w:rPr>
          <w:spacing w:val="-1"/>
        </w:rPr>
        <w:t>risks,</w:t>
      </w:r>
      <w:r>
        <w:rPr>
          <w:spacing w:val="-1"/>
          <w:position w:val="7"/>
          <w:sz w:val="11"/>
        </w:rPr>
        <w:t>29</w:t>
      </w:r>
      <w:r>
        <w:rPr>
          <w:spacing w:val="23"/>
          <w:position w:val="7"/>
          <w:sz w:val="11"/>
        </w:rPr>
        <w:t xml:space="preserve"> </w:t>
      </w:r>
      <w:r>
        <w:t>and</w:t>
      </w:r>
    </w:p>
    <w:p w:rsidR="00D96B91" w:rsidRDefault="00C2656B">
      <w:pPr>
        <w:pStyle w:val="BodyText"/>
        <w:numPr>
          <w:ilvl w:val="1"/>
          <w:numId w:val="131"/>
        </w:numPr>
        <w:tabs>
          <w:tab w:val="left" w:pos="1815"/>
        </w:tabs>
        <w:spacing w:before="72"/>
        <w:rPr>
          <w:sz w:val="11"/>
          <w:szCs w:val="11"/>
        </w:rPr>
      </w:pPr>
      <w:r>
        <w:t>the</w:t>
      </w:r>
      <w:r>
        <w:rPr>
          <w:spacing w:val="2"/>
        </w:rPr>
        <w:t xml:space="preserve"> </w:t>
      </w:r>
      <w:r>
        <w:t>cost</w:t>
      </w:r>
      <w:r>
        <w:rPr>
          <w:spacing w:val="2"/>
        </w:rPr>
        <w:t xml:space="preserve"> </w:t>
      </w:r>
      <w:r>
        <w:rPr>
          <w:spacing w:val="-1"/>
        </w:rPr>
        <w:t>pass-through</w:t>
      </w:r>
      <w:r>
        <w:rPr>
          <w:spacing w:val="2"/>
        </w:rPr>
        <w:t xml:space="preserve"> </w:t>
      </w:r>
      <w:r>
        <w:rPr>
          <w:spacing w:val="-1"/>
        </w:rPr>
        <w:t>provisions.</w:t>
      </w:r>
      <w:r>
        <w:rPr>
          <w:spacing w:val="-1"/>
          <w:position w:val="7"/>
          <w:sz w:val="11"/>
        </w:rPr>
        <w:t>30</w:t>
      </w:r>
    </w:p>
    <w:p w:rsidR="00D96B91" w:rsidRDefault="00C2656B">
      <w:pPr>
        <w:pStyle w:val="BodyText"/>
        <w:spacing w:before="149" w:line="260" w:lineRule="exact"/>
        <w:ind w:right="1513"/>
        <w:rPr>
          <w:rFonts w:cs="Avenir Next"/>
        </w:rPr>
      </w:pPr>
      <w:r>
        <w:t>In</w:t>
      </w:r>
      <w:r>
        <w:rPr>
          <w:spacing w:val="-1"/>
        </w:rPr>
        <w:t xml:space="preserve"> </w:t>
      </w:r>
      <w:r>
        <w:t xml:space="preserve">doing </w:t>
      </w:r>
      <w:r>
        <w:rPr>
          <w:spacing w:val="-1"/>
        </w:rPr>
        <w:t>so,</w:t>
      </w:r>
      <w:r>
        <w:rPr>
          <w:spacing w:val="-6"/>
        </w:rPr>
        <w:t xml:space="preserve"> </w:t>
      </w:r>
      <w:r>
        <w:t xml:space="preserve">the </w:t>
      </w:r>
      <w:r>
        <w:rPr>
          <w:spacing w:val="-3"/>
        </w:rPr>
        <w:t>Panel</w:t>
      </w:r>
      <w:r>
        <w:rPr>
          <w:spacing w:val="-1"/>
        </w:rPr>
        <w:t xml:space="preserve"> </w:t>
      </w:r>
      <w:r>
        <w:t xml:space="preserve">assessed the </w:t>
      </w:r>
      <w:r>
        <w:rPr>
          <w:spacing w:val="-1"/>
        </w:rPr>
        <w:t>extent</w:t>
      </w:r>
      <w:r>
        <w:t xml:space="preserve"> to</w:t>
      </w:r>
      <w:r>
        <w:rPr>
          <w:spacing w:val="-1"/>
        </w:rPr>
        <w:t xml:space="preserve"> </w:t>
      </w:r>
      <w:r>
        <w:t xml:space="preserve">which the </w:t>
      </w:r>
      <w:r>
        <w:rPr>
          <w:spacing w:val="-2"/>
        </w:rPr>
        <w:t>ICRC’s</w:t>
      </w:r>
      <w:r>
        <w:t xml:space="preserve"> final</w:t>
      </w:r>
      <w:r>
        <w:rPr>
          <w:spacing w:val="-1"/>
        </w:rPr>
        <w:t xml:space="preserve"> </w:t>
      </w:r>
      <w:r>
        <w:t>decision and</w:t>
      </w:r>
      <w:r>
        <w:rPr>
          <w:spacing w:val="-4"/>
        </w:rPr>
        <w:t xml:space="preserve"> </w:t>
      </w:r>
      <w:r>
        <w:rPr>
          <w:spacing w:val="-2"/>
        </w:rPr>
        <w:t>ACTEW’s</w:t>
      </w:r>
      <w:r>
        <w:t xml:space="preserve"> </w:t>
      </w:r>
      <w:r>
        <w:rPr>
          <w:spacing w:val="-1"/>
        </w:rPr>
        <w:t>proposal</w:t>
      </w:r>
      <w:r>
        <w:rPr>
          <w:spacing w:val="29"/>
        </w:rPr>
        <w:t xml:space="preserve"> </w:t>
      </w:r>
      <w:r>
        <w:rPr>
          <w:rFonts w:cs="Avenir Next"/>
          <w:spacing w:val="-2"/>
        </w:rPr>
        <w:t>are</w:t>
      </w:r>
      <w:r>
        <w:rPr>
          <w:rFonts w:cs="Avenir Next"/>
        </w:rPr>
        <w:t xml:space="preserve"> consistent with the </w:t>
      </w:r>
      <w:r>
        <w:rPr>
          <w:rFonts w:cs="Avenir Next"/>
          <w:spacing w:val="-1"/>
        </w:rPr>
        <w:t>requirements</w:t>
      </w:r>
      <w:r>
        <w:rPr>
          <w:rFonts w:cs="Avenir Next"/>
        </w:rPr>
        <w:t xml:space="preserve"> of</w:t>
      </w:r>
      <w:r>
        <w:rPr>
          <w:rFonts w:cs="Avenir Next"/>
          <w:spacing w:val="4"/>
        </w:rPr>
        <w:t xml:space="preserve"> </w:t>
      </w:r>
      <w:r>
        <w:rPr>
          <w:rFonts w:cs="Avenir Next"/>
        </w:rPr>
        <w:t>the</w:t>
      </w:r>
      <w:r>
        <w:rPr>
          <w:rFonts w:cs="Avenir Next"/>
          <w:spacing w:val="-4"/>
        </w:rPr>
        <w:t xml:space="preserve"> </w:t>
      </w:r>
      <w:r>
        <w:rPr>
          <w:rFonts w:cs="Avenir Next"/>
        </w:rPr>
        <w:t>Act and the original terms of</w:t>
      </w:r>
      <w:r>
        <w:rPr>
          <w:rFonts w:cs="Avenir Next"/>
          <w:spacing w:val="4"/>
        </w:rPr>
        <w:t xml:space="preserve"> </w:t>
      </w:r>
      <w:r>
        <w:rPr>
          <w:rFonts w:cs="Avenir Next"/>
          <w:spacing w:val="-1"/>
        </w:rPr>
        <w:t>reference,</w:t>
      </w:r>
      <w:r>
        <w:rPr>
          <w:rFonts w:cs="Avenir Next"/>
          <w:spacing w:val="-6"/>
        </w:rPr>
        <w:t xml:space="preserve"> </w:t>
      </w:r>
      <w:r>
        <w:rPr>
          <w:rFonts w:cs="Avenir Next"/>
        </w:rPr>
        <w:t xml:space="preserve">and </w:t>
      </w:r>
      <w:r>
        <w:rPr>
          <w:rFonts w:cs="Avenir Next"/>
          <w:spacing w:val="-1"/>
        </w:rPr>
        <w:t>strike</w:t>
      </w:r>
      <w:r>
        <w:rPr>
          <w:rFonts w:cs="Avenir Next"/>
        </w:rPr>
        <w:t xml:space="preserve"> an</w:t>
      </w:r>
      <w:r>
        <w:rPr>
          <w:rFonts w:cs="Avenir Next"/>
          <w:spacing w:val="21"/>
        </w:rPr>
        <w:t xml:space="preserve"> </w:t>
      </w:r>
      <w:r>
        <w:rPr>
          <w:rFonts w:cs="Avenir Next"/>
          <w:spacing w:val="-1"/>
        </w:rPr>
        <w:t>appropriate</w:t>
      </w:r>
      <w:r>
        <w:rPr>
          <w:rFonts w:cs="Avenir Next"/>
        </w:rPr>
        <w:t xml:space="preserve"> balance between the following </w:t>
      </w:r>
      <w:r>
        <w:rPr>
          <w:rFonts w:cs="Avenir Next"/>
          <w:spacing w:val="-1"/>
        </w:rPr>
        <w:t>matters:</w:t>
      </w:r>
    </w:p>
    <w:p w:rsidR="00D96B91" w:rsidRDefault="00C2656B">
      <w:pPr>
        <w:pStyle w:val="BodyText"/>
        <w:numPr>
          <w:ilvl w:val="0"/>
          <w:numId w:val="131"/>
        </w:numPr>
        <w:tabs>
          <w:tab w:val="left" w:pos="1531"/>
        </w:tabs>
        <w:spacing w:before="170" w:line="260" w:lineRule="exact"/>
        <w:ind w:right="1868" w:hanging="283"/>
        <w:rPr>
          <w:rFonts w:cs="Avenir Next"/>
        </w:rPr>
      </w:pPr>
      <w:r>
        <w:rPr>
          <w:spacing w:val="-1"/>
        </w:rPr>
        <w:t>providing</w:t>
      </w:r>
      <w:r>
        <w:t xml:space="preserve"> customers with some </w:t>
      </w:r>
      <w:r>
        <w:rPr>
          <w:spacing w:val="-1"/>
        </w:rPr>
        <w:t>degree</w:t>
      </w:r>
      <w:r>
        <w:t xml:space="preserve"> of</w:t>
      </w:r>
      <w:r>
        <w:rPr>
          <w:spacing w:val="4"/>
        </w:rPr>
        <w:t xml:space="preserve"> </w:t>
      </w:r>
      <w:r>
        <w:t xml:space="preserve">price stability and </w:t>
      </w:r>
      <w:r>
        <w:rPr>
          <w:spacing w:val="-1"/>
        </w:rPr>
        <w:t>predictability</w:t>
      </w:r>
      <w:r>
        <w:t xml:space="preserve"> over the </w:t>
      </w:r>
      <w:r>
        <w:rPr>
          <w:spacing w:val="-1"/>
        </w:rPr>
        <w:t>regulatory</w:t>
      </w:r>
      <w:r>
        <w:rPr>
          <w:spacing w:val="41"/>
        </w:rPr>
        <w:t xml:space="preserve"> </w:t>
      </w:r>
      <w:r>
        <w:t>period</w:t>
      </w:r>
    </w:p>
    <w:p w:rsidR="00D96B91" w:rsidRDefault="00C2656B">
      <w:pPr>
        <w:pStyle w:val="BodyText"/>
        <w:numPr>
          <w:ilvl w:val="0"/>
          <w:numId w:val="131"/>
        </w:numPr>
        <w:tabs>
          <w:tab w:val="left" w:pos="1531"/>
        </w:tabs>
        <w:spacing w:before="93"/>
        <w:ind w:hanging="283"/>
        <w:rPr>
          <w:rFonts w:cs="Avenir Next"/>
        </w:rPr>
      </w:pPr>
      <w:r>
        <w:t xml:space="preserve">minimising </w:t>
      </w:r>
      <w:r>
        <w:rPr>
          <w:spacing w:val="-1"/>
        </w:rPr>
        <w:t>regulatory</w:t>
      </w:r>
      <w:r>
        <w:t xml:space="preserve"> costs</w:t>
      </w:r>
    </w:p>
    <w:p w:rsidR="00D96B91" w:rsidRDefault="00C2656B">
      <w:pPr>
        <w:pStyle w:val="BodyText"/>
        <w:numPr>
          <w:ilvl w:val="0"/>
          <w:numId w:val="131"/>
        </w:numPr>
        <w:tabs>
          <w:tab w:val="left" w:pos="1531"/>
        </w:tabs>
        <w:spacing w:before="72"/>
        <w:ind w:hanging="283"/>
      </w:pPr>
      <w:r>
        <w:t>ensuring</w:t>
      </w:r>
      <w:r>
        <w:rPr>
          <w:spacing w:val="-5"/>
        </w:rPr>
        <w:t xml:space="preserve"> </w:t>
      </w:r>
      <w:r>
        <w:rPr>
          <w:spacing w:val="-2"/>
        </w:rPr>
        <w:t>ACTEW</w:t>
      </w:r>
      <w:r>
        <w:rPr>
          <w:spacing w:val="-4"/>
        </w:rPr>
        <w:t xml:space="preserve"> </w:t>
      </w:r>
      <w:r>
        <w:rPr>
          <w:spacing w:val="-1"/>
        </w:rPr>
        <w:t xml:space="preserve">remains </w:t>
      </w:r>
      <w:r>
        <w:t>financially viable</w:t>
      </w:r>
      <w:r>
        <w:rPr>
          <w:spacing w:val="-1"/>
        </w:rPr>
        <w:t xml:space="preserve"> </w:t>
      </w:r>
      <w:r>
        <w:t>and</w:t>
      </w:r>
      <w:r>
        <w:rPr>
          <w:spacing w:val="-1"/>
        </w:rPr>
        <w:t xml:space="preserve"> </w:t>
      </w:r>
      <w:r>
        <w:t>able</w:t>
      </w:r>
      <w:r>
        <w:rPr>
          <w:spacing w:val="-1"/>
        </w:rPr>
        <w:t xml:space="preserve"> </w:t>
      </w:r>
      <w:r>
        <w:t>to</w:t>
      </w:r>
      <w:r>
        <w:rPr>
          <w:spacing w:val="-1"/>
        </w:rPr>
        <w:t xml:space="preserve"> </w:t>
      </w:r>
      <w:r>
        <w:t>meet its</w:t>
      </w:r>
      <w:r>
        <w:rPr>
          <w:spacing w:val="-1"/>
        </w:rPr>
        <w:t xml:space="preserve"> </w:t>
      </w:r>
      <w:r>
        <w:t>service</w:t>
      </w:r>
      <w:r>
        <w:rPr>
          <w:spacing w:val="-1"/>
        </w:rPr>
        <w:t xml:space="preserve"> obligations,</w:t>
      </w:r>
      <w:r>
        <w:rPr>
          <w:spacing w:val="-7"/>
        </w:rPr>
        <w:t xml:space="preserve"> </w:t>
      </w:r>
      <w:r>
        <w:t>and</w:t>
      </w:r>
    </w:p>
    <w:p w:rsidR="00D96B91" w:rsidRDefault="00C2656B">
      <w:pPr>
        <w:pStyle w:val="BodyText"/>
        <w:numPr>
          <w:ilvl w:val="0"/>
          <w:numId w:val="131"/>
        </w:numPr>
        <w:tabs>
          <w:tab w:val="left" w:pos="1531"/>
        </w:tabs>
        <w:spacing w:before="72"/>
        <w:ind w:hanging="283"/>
      </w:pPr>
      <w:r>
        <w:rPr>
          <w:spacing w:val="-1"/>
        </w:rPr>
        <w:t>promoting</w:t>
      </w:r>
      <w:r>
        <w:rPr>
          <w:spacing w:val="-4"/>
        </w:rPr>
        <w:t xml:space="preserve"> </w:t>
      </w:r>
      <w:r>
        <w:t>economic</w:t>
      </w:r>
      <w:r>
        <w:rPr>
          <w:spacing w:val="-3"/>
        </w:rPr>
        <w:t xml:space="preserve"> </w:t>
      </w:r>
      <w:r>
        <w:rPr>
          <w:spacing w:val="-2"/>
        </w:rPr>
        <w:t>efficiency.</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14"/>
      </w:pPr>
      <w:r>
        <w:rPr>
          <w:spacing w:val="-2"/>
        </w:rPr>
        <w:t>The</w:t>
      </w:r>
      <w:r>
        <w:t xml:space="preserve"> </w:t>
      </w:r>
      <w:r>
        <w:rPr>
          <w:spacing w:val="-3"/>
        </w:rPr>
        <w:t>Panel</w:t>
      </w:r>
      <w:r>
        <w:t xml:space="preserve"> also </w:t>
      </w:r>
      <w:r>
        <w:rPr>
          <w:spacing w:val="-1"/>
        </w:rPr>
        <w:t>considered</w:t>
      </w:r>
      <w:r>
        <w:t xml:space="preserve"> the </w:t>
      </w:r>
      <w:r>
        <w:rPr>
          <w:spacing w:val="-1"/>
        </w:rPr>
        <w:t>approaches</w:t>
      </w:r>
      <w:r>
        <w:t xml:space="preserve"> employed by other </w:t>
      </w:r>
      <w:r>
        <w:rPr>
          <w:spacing w:val="-1"/>
        </w:rPr>
        <w:t>regulators</w:t>
      </w:r>
      <w:r>
        <w:t xml:space="preserve"> in </w:t>
      </w:r>
      <w:r>
        <w:rPr>
          <w:spacing w:val="-1"/>
        </w:rPr>
        <w:t>recent</w:t>
      </w:r>
      <w:r>
        <w:t xml:space="preserve"> </w:t>
      </w:r>
      <w:r>
        <w:rPr>
          <w:spacing w:val="-1"/>
        </w:rPr>
        <w:t>water</w:t>
      </w:r>
      <w:r>
        <w:t xml:space="preserve"> and </w:t>
      </w:r>
      <w:r>
        <w:rPr>
          <w:spacing w:val="-1"/>
        </w:rPr>
        <w:t>sewerage</w:t>
      </w:r>
      <w:r>
        <w:rPr>
          <w:spacing w:val="61"/>
        </w:rPr>
        <w:t xml:space="preserve"> </w:t>
      </w:r>
      <w:r>
        <w:t>decisions,</w:t>
      </w:r>
      <w:r>
        <w:rPr>
          <w:spacing w:val="-6"/>
        </w:rPr>
        <w:t xml:space="preserve"> </w:t>
      </w:r>
      <w:r>
        <w:t xml:space="preserve">and the risk </w:t>
      </w:r>
      <w:r>
        <w:rPr>
          <w:spacing w:val="-1"/>
        </w:rPr>
        <w:t>allocation</w:t>
      </w:r>
      <w:r>
        <w:t xml:space="preserve"> and incentive </w:t>
      </w:r>
      <w:r>
        <w:rPr>
          <w:spacing w:val="-1"/>
        </w:rPr>
        <w:t>frameworks</w:t>
      </w:r>
      <w:r>
        <w:t xml:space="preserve"> used in other </w:t>
      </w:r>
      <w:r>
        <w:rPr>
          <w:spacing w:val="-1"/>
        </w:rPr>
        <w:t>regulatory</w:t>
      </w:r>
      <w:r>
        <w:t xml:space="preserve"> </w:t>
      </w:r>
      <w:r>
        <w:rPr>
          <w:spacing w:val="-1"/>
        </w:rPr>
        <w:t>regimes</w:t>
      </w:r>
      <w:r>
        <w:t xml:space="preserve"> (outlined</w:t>
      </w:r>
      <w:r>
        <w:rPr>
          <w:spacing w:val="37"/>
        </w:rPr>
        <w:t xml:space="preserve"> </w:t>
      </w:r>
      <w:r>
        <w:t>in</w:t>
      </w:r>
      <w:r>
        <w:rPr>
          <w:spacing w:val="-4"/>
        </w:rPr>
        <w:t xml:space="preserve"> </w:t>
      </w:r>
      <w:r>
        <w:t>Appendix 4).</w:t>
      </w:r>
    </w:p>
    <w:p w:rsidR="00D96B91" w:rsidRDefault="00C2656B">
      <w:pPr>
        <w:pStyle w:val="BodyText"/>
        <w:spacing w:before="170" w:line="260" w:lineRule="exact"/>
        <w:ind w:right="1283"/>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the length of</w:t>
      </w:r>
      <w:r>
        <w:rPr>
          <w:rFonts w:cs="Avenir Next"/>
          <w:spacing w:val="4"/>
        </w:rPr>
        <w:t xml:space="preserve"> </w:t>
      </w:r>
      <w:r>
        <w:rPr>
          <w:rFonts w:cs="Avenir Next"/>
        </w:rPr>
        <w:t xml:space="preserve">the </w:t>
      </w:r>
      <w:r>
        <w:rPr>
          <w:rFonts w:cs="Avenir Next"/>
          <w:spacing w:val="-1"/>
        </w:rPr>
        <w:t>regulatory</w:t>
      </w:r>
      <w:r>
        <w:rPr>
          <w:rFonts w:cs="Avenir Next"/>
          <w:spacing w:val="39"/>
        </w:rPr>
        <w:t xml:space="preserve"> </w:t>
      </w:r>
      <w:r>
        <w:t>period,</w:t>
      </w:r>
      <w:r>
        <w:rPr>
          <w:spacing w:val="-6"/>
        </w:rPr>
        <w:t xml:space="preserve"> </w:t>
      </w:r>
      <w:r>
        <w:t>form of</w:t>
      </w:r>
      <w:r>
        <w:rPr>
          <w:spacing w:val="4"/>
        </w:rPr>
        <w:t xml:space="preserve"> </w:t>
      </w:r>
      <w:r>
        <w:rPr>
          <w:spacing w:val="-1"/>
        </w:rPr>
        <w:t>control</w:t>
      </w:r>
      <w:r>
        <w:t xml:space="preserve"> and other risk </w:t>
      </w:r>
      <w:r>
        <w:rPr>
          <w:spacing w:val="-1"/>
        </w:rPr>
        <w:t>allocation</w:t>
      </w:r>
      <w:r>
        <w:t xml:space="preserve"> </w:t>
      </w:r>
      <w:r>
        <w:rPr>
          <w:spacing w:val="-1"/>
        </w:rPr>
        <w:t>measures,</w:t>
      </w:r>
      <w:r>
        <w:rPr>
          <w:spacing w:val="-6"/>
        </w:rPr>
        <w:t xml:space="preserve"> </w:t>
      </w:r>
      <w:r>
        <w:t xml:space="preserve">and then discuss these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108"/>
        </w:numPr>
        <w:tabs>
          <w:tab w:val="left" w:pos="1570"/>
          <w:tab w:val="left" w:pos="2040"/>
        </w:tabs>
        <w:ind w:left="1569" w:hanging="322"/>
      </w:pPr>
      <w:r>
        <w:rPr>
          <w:color w:val="0778BE"/>
        </w:rPr>
        <w:t>1</w:t>
      </w:r>
      <w:r>
        <w:rPr>
          <w:color w:val="0778BE"/>
        </w:rPr>
        <w:tab/>
        <w:t>Overview of</w:t>
      </w:r>
      <w:r>
        <w:rPr>
          <w:color w:val="0778BE"/>
          <w:spacing w:val="7"/>
        </w:rPr>
        <w:t xml:space="preserv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63"/>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this aspect of</w:t>
      </w:r>
      <w:r>
        <w:rPr>
          <w:rFonts w:cs="Avenir Next"/>
          <w:spacing w:val="4"/>
        </w:rPr>
        <w:t xml:space="preserve"> </w:t>
      </w:r>
      <w:r>
        <w:rPr>
          <w:rFonts w:cs="Avenir Next"/>
        </w:rPr>
        <w:t xml:space="preserve">the original price </w:t>
      </w:r>
      <w:r>
        <w:rPr>
          <w:rFonts w:cs="Avenir Next"/>
          <w:spacing w:val="-1"/>
        </w:rPr>
        <w:t>direction</w:t>
      </w:r>
      <w:r>
        <w:rPr>
          <w:rFonts w:cs="Avenir Next"/>
        </w:rPr>
        <w:t xml:space="preserve"> is summarised in</w:t>
      </w:r>
      <w:r>
        <w:rPr>
          <w:rFonts w:cs="Avenir Next"/>
          <w:spacing w:val="-5"/>
        </w:rPr>
        <w:t xml:space="preserve"> </w:t>
      </w:r>
      <w:hyperlink w:anchor="_bookmark27" w:history="1">
        <w:r>
          <w:rPr>
            <w:spacing w:val="-4"/>
          </w:rPr>
          <w:t>Table</w:t>
        </w:r>
        <w:r>
          <w:t xml:space="preserve"> 6.1</w:t>
        </w:r>
      </w:hyperlink>
      <w:r>
        <w:t>.</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70" style="width:72.5pt;height:.5pt;mso-position-horizontal-relative:char;mso-position-vertical-relative:line" coordsize="1450,10">
            <v:group id="_x0000_s3271" style="position:absolute;left:5;top:5;width:1440;height:2" coordorigin="5,5" coordsize="1440,2">
              <v:shape id="_x0000_s3272" style="position:absolute;left:5;top:5;width:1440;height:2" coordorigin="5,5" coordsize="1440,0" path="m5,5r1440,e" filled="f" strokeweight=".5pt">
                <v:path arrowok="t"/>
              </v:shape>
            </v:group>
            <w10:wrap type="none"/>
            <w10:anchorlock/>
          </v:group>
        </w:pict>
      </w:r>
    </w:p>
    <w:p w:rsidR="00D96B91" w:rsidRDefault="00C2656B">
      <w:pPr>
        <w:numPr>
          <w:ilvl w:val="0"/>
          <w:numId w:val="107"/>
        </w:numPr>
        <w:tabs>
          <w:tab w:val="left" w:pos="1758"/>
        </w:tabs>
        <w:spacing w:before="38"/>
        <w:ind w:hanging="510"/>
        <w:rPr>
          <w:rFonts w:ascii="Avenir Next" w:eastAsia="Avenir Next" w:hAnsi="Avenir Next" w:cs="Avenir Next"/>
          <w:sz w:val="16"/>
          <w:szCs w:val="16"/>
        </w:rPr>
      </w:pPr>
      <w:bookmarkStart w:id="52" w:name="_bookmark27"/>
      <w:bookmarkEnd w:id="52"/>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4,</w:t>
      </w:r>
      <w:r>
        <w:rPr>
          <w:rFonts w:ascii="Avenir Next"/>
          <w:spacing w:val="-5"/>
          <w:sz w:val="16"/>
        </w:rPr>
        <w:t xml:space="preserve"> </w:t>
      </w:r>
      <w:r>
        <w:rPr>
          <w:rFonts w:ascii="Avenir Next"/>
          <w:sz w:val="16"/>
        </w:rPr>
        <w:t>16-20 and 31.</w:t>
      </w:r>
    </w:p>
    <w:p w:rsidR="00D96B91" w:rsidRDefault="00C2656B">
      <w:pPr>
        <w:numPr>
          <w:ilvl w:val="0"/>
          <w:numId w:val="107"/>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5 and 28-29.</w:t>
      </w:r>
    </w:p>
    <w:p w:rsidR="00D96B91" w:rsidRDefault="00C2656B">
      <w:pPr>
        <w:numPr>
          <w:ilvl w:val="0"/>
          <w:numId w:val="107"/>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5 and 29-31.</w:t>
      </w:r>
    </w:p>
    <w:p w:rsidR="00D96B91" w:rsidRDefault="00D96B91">
      <w:pPr>
        <w:rPr>
          <w:rFonts w:ascii="Avenir Next" w:eastAsia="Avenir Next" w:hAnsi="Avenir Next" w:cs="Avenir Next"/>
          <w:sz w:val="16"/>
          <w:szCs w:val="16"/>
        </w:rPr>
        <w:sectPr w:rsidR="00D96B91">
          <w:footerReference w:type="even" r:id="rId51"/>
          <w:footerReference w:type="default" r:id="rId52"/>
          <w:pgSz w:w="11910" w:h="16840"/>
          <w:pgMar w:top="1260" w:right="0" w:bottom="1020" w:left="0" w:header="0" w:footer="829" w:gutter="0"/>
          <w:pgNumType w:start="41"/>
          <w:cols w:space="720"/>
        </w:sectPr>
      </w:pPr>
    </w:p>
    <w:p w:rsidR="00D96B91" w:rsidRDefault="00C2656B">
      <w:pPr>
        <w:spacing w:before="29"/>
        <w:ind w:left="1247"/>
        <w:rPr>
          <w:rFonts w:ascii="Avenir Next" w:eastAsia="Avenir Next" w:hAnsi="Avenir Next" w:cs="Avenir Next"/>
          <w:sz w:val="20"/>
          <w:szCs w:val="20"/>
        </w:rPr>
      </w:pPr>
      <w:bookmarkStart w:id="53" w:name="6._2_Risks_that_ACTEW_and_its_customers_"/>
      <w:bookmarkStart w:id="54" w:name="_bookmark28"/>
      <w:bookmarkEnd w:id="53"/>
      <w:bookmarkEnd w:id="54"/>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6.1: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Regulatory</w:t>
      </w:r>
      <w:r>
        <w:rPr>
          <w:rFonts w:ascii="Avenir Next" w:eastAsia="Avenir Next" w:hAnsi="Avenir Next" w:cs="Avenir Next"/>
          <w:b/>
          <w:bCs/>
          <w:sz w:val="20"/>
          <w:szCs w:val="20"/>
        </w:rPr>
        <w:t xml:space="preserve"> period,</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form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control</w:t>
      </w:r>
      <w:r>
        <w:rPr>
          <w:rFonts w:ascii="Avenir Next" w:eastAsia="Avenir Next" w:hAnsi="Avenir Next" w:cs="Avenir Next"/>
          <w:b/>
          <w:bCs/>
          <w:sz w:val="20"/>
          <w:szCs w:val="20"/>
        </w:rPr>
        <w:t xml:space="preserve"> and other tools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302"/>
        <w:gridCol w:w="7099"/>
      </w:tblGrid>
      <w:tr w:rsidR="00D96B91" w:rsidTr="002D353F">
        <w:trPr>
          <w:trHeight w:hRule="exact" w:val="407"/>
        </w:trPr>
        <w:tc>
          <w:tcPr>
            <w:tcW w:w="23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Issue</w:t>
            </w:r>
          </w:p>
        </w:tc>
        <w:tc>
          <w:tcPr>
            <w:tcW w:w="70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Decision</w:t>
            </w:r>
          </w:p>
        </w:tc>
      </w:tr>
      <w:tr w:rsidR="00D96B91" w:rsidTr="002D353F">
        <w:trPr>
          <w:trHeight w:hRule="exact" w:val="407"/>
        </w:trPr>
        <w:tc>
          <w:tcPr>
            <w:tcW w:w="230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Length</w:t>
            </w:r>
            <w:r>
              <w:rPr>
                <w:rFonts w:ascii="Avenir Next Condensed"/>
                <w:sz w:val="18"/>
              </w:rPr>
              <w:t xml:space="preserve">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period</w:t>
            </w:r>
          </w:p>
        </w:tc>
        <w:tc>
          <w:tcPr>
            <w:tcW w:w="70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Five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years</w:t>
            </w:r>
            <w:r>
              <w:rPr>
                <w:rFonts w:ascii="Avenir Next Condensed" w:eastAsia="Avenir Next Condensed" w:hAnsi="Avenir Next Condensed" w:cs="Avenir Next Condensed"/>
                <w:sz w:val="18"/>
                <w:szCs w:val="18"/>
              </w:rPr>
              <w:t xml:space="preserve"> (1</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July 2013 – 30</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June 2018) with </w:t>
            </w:r>
            <w:r>
              <w:rPr>
                <w:rFonts w:ascii="Avenir Next Condensed" w:eastAsia="Avenir Next Condensed" w:hAnsi="Avenir Next Condensed" w:cs="Avenir Next Condensed"/>
                <w:b/>
                <w:bCs/>
                <w:sz w:val="18"/>
                <w:szCs w:val="18"/>
              </w:rPr>
              <w:t>no</w:t>
            </w:r>
            <w:r>
              <w:rPr>
                <w:rFonts w:ascii="Avenir Next Condensed" w:eastAsia="Avenir Next Condensed" w:hAnsi="Avenir Next Condensed" w:cs="Avenir Next Condensed"/>
                <w:b/>
                <w:bCs/>
                <w:spacing w:val="-2"/>
                <w:sz w:val="18"/>
                <w:szCs w:val="18"/>
              </w:rPr>
              <w:t xml:space="preserve"> </w:t>
            </w:r>
            <w:r>
              <w:rPr>
                <w:rFonts w:ascii="Avenir Next Condensed" w:eastAsia="Avenir Next Condensed" w:hAnsi="Avenir Next Condensed" w:cs="Avenir Next Condensed"/>
                <w:sz w:val="18"/>
                <w:szCs w:val="18"/>
              </w:rPr>
              <w:t xml:space="preserve">biennial </w:t>
            </w:r>
            <w:r>
              <w:rPr>
                <w:rFonts w:ascii="Avenir Next Condensed" w:eastAsia="Avenir Next Condensed" w:hAnsi="Avenir Next Condensed" w:cs="Avenir Next Condensed"/>
                <w:spacing w:val="-1"/>
                <w:sz w:val="18"/>
                <w:szCs w:val="18"/>
              </w:rPr>
              <w:t>recalibrations.</w:t>
            </w:r>
          </w:p>
        </w:tc>
      </w:tr>
      <w:tr w:rsidR="00D96B91" w:rsidTr="002D353F">
        <w:trPr>
          <w:trHeight w:hRule="exact" w:val="357"/>
        </w:trPr>
        <w:tc>
          <w:tcPr>
            <w:tcW w:w="2302"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Form</w:t>
            </w:r>
            <w:r>
              <w:rPr>
                <w:rFonts w:ascii="Avenir Next Condensed"/>
                <w:sz w:val="18"/>
              </w:rPr>
              <w:t xml:space="preserve">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and</w:t>
            </w:r>
          </w:p>
        </w:tc>
        <w:tc>
          <w:tcPr>
            <w:tcW w:w="7099"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Hybrid price and </w:t>
            </w:r>
            <w:r>
              <w:rPr>
                <w:rFonts w:ascii="Avenir Next Condensed"/>
                <w:spacing w:val="-1"/>
                <w:sz w:val="18"/>
              </w:rPr>
              <w:t>revenue</w:t>
            </w:r>
            <w:r>
              <w:rPr>
                <w:rFonts w:ascii="Avenir Next Condensed"/>
                <w:sz w:val="18"/>
              </w:rPr>
              <w:t xml:space="preserve"> </w:t>
            </w:r>
            <w:r>
              <w:rPr>
                <w:rFonts w:ascii="Avenir Next Condensed"/>
                <w:spacing w:val="-1"/>
                <w:sz w:val="18"/>
              </w:rPr>
              <w:t>cap,</w:t>
            </w:r>
            <w:r>
              <w:rPr>
                <w:rFonts w:ascii="Avenir Next Condensed"/>
                <w:spacing w:val="-6"/>
                <w:sz w:val="18"/>
              </w:rPr>
              <w:t xml:space="preserve"> </w:t>
            </w:r>
            <w:r>
              <w:rPr>
                <w:rFonts w:ascii="Avenir Next Condensed"/>
                <w:sz w:val="18"/>
              </w:rPr>
              <w:t xml:space="preserve">with individual price caps set for water and </w:t>
            </w:r>
            <w:r>
              <w:rPr>
                <w:rFonts w:ascii="Avenir Next Condensed"/>
                <w:spacing w:val="-1"/>
                <w:sz w:val="18"/>
              </w:rPr>
              <w:t>sewerage</w:t>
            </w:r>
            <w:r>
              <w:rPr>
                <w:rFonts w:ascii="Avenir Next Condensed"/>
                <w:sz w:val="18"/>
              </w:rPr>
              <w:t xml:space="preserve"> </w:t>
            </w:r>
            <w:r>
              <w:rPr>
                <w:rFonts w:ascii="Avenir Next Condensed"/>
                <w:spacing w:val="-1"/>
                <w:sz w:val="18"/>
              </w:rPr>
              <w:t>charges</w:t>
            </w:r>
            <w:r>
              <w:rPr>
                <w:rFonts w:ascii="Avenir Next Condensed"/>
                <w:sz w:val="18"/>
              </w:rPr>
              <w:t xml:space="preserve"> and a demand</w:t>
            </w:r>
          </w:p>
        </w:tc>
      </w:tr>
      <w:tr w:rsidR="00D96B91" w:rsidTr="002D353F">
        <w:trPr>
          <w:trHeight w:hRule="exact" w:val="220"/>
        </w:trPr>
        <w:tc>
          <w:tcPr>
            <w:tcW w:w="2302"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measures</w:t>
            </w:r>
            <w:r>
              <w:rPr>
                <w:rFonts w:ascii="Avenir Next Condensed"/>
                <w:sz w:val="18"/>
              </w:rPr>
              <w:t xml:space="preserve"> to </w:t>
            </w:r>
            <w:r>
              <w:rPr>
                <w:rFonts w:ascii="Avenir Next Condensed"/>
                <w:spacing w:val="-1"/>
                <w:sz w:val="18"/>
              </w:rPr>
              <w:t>deal</w:t>
            </w:r>
            <w:r>
              <w:rPr>
                <w:rFonts w:ascii="Avenir Next Condensed"/>
                <w:sz w:val="18"/>
              </w:rPr>
              <w:t xml:space="preserve"> with</w:t>
            </w:r>
          </w:p>
        </w:tc>
        <w:tc>
          <w:tcPr>
            <w:tcW w:w="7099"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volatility adjustment mechanism used to account for deviations between actual and</w:t>
            </w:r>
            <w:r>
              <w:rPr>
                <w:rFonts w:ascii="Avenir Next Condensed"/>
                <w:spacing w:val="-1"/>
                <w:sz w:val="18"/>
              </w:rPr>
              <w:t xml:space="preserve"> forecast</w:t>
            </w:r>
            <w:r>
              <w:rPr>
                <w:rFonts w:ascii="Avenir Next Condensed"/>
                <w:sz w:val="18"/>
              </w:rPr>
              <w:t xml:space="preserve"> volumetric water</w:t>
            </w:r>
          </w:p>
        </w:tc>
      </w:tr>
      <w:tr w:rsidR="00D96B91" w:rsidTr="002D353F">
        <w:trPr>
          <w:trHeight w:hRule="exact" w:val="1699"/>
        </w:trPr>
        <w:tc>
          <w:tcPr>
            <w:tcW w:w="230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demand risk</w:t>
            </w:r>
          </w:p>
        </w:tc>
        <w:tc>
          <w:tcPr>
            <w:tcW w:w="7099"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389"/>
              <w:jc w:val="both"/>
              <w:rPr>
                <w:rFonts w:ascii="Avenir Next Condensed" w:eastAsia="Avenir Next Condensed" w:hAnsi="Avenir Next Condensed" w:cs="Avenir Next Condensed"/>
                <w:sz w:val="18"/>
                <w:szCs w:val="18"/>
              </w:rPr>
            </w:pPr>
            <w:r>
              <w:rPr>
                <w:rFonts w:ascii="Avenir Next Condensed"/>
                <w:sz w:val="18"/>
              </w:rPr>
              <w:t xml:space="preserve">sales </w:t>
            </w:r>
            <w:r>
              <w:rPr>
                <w:rFonts w:ascii="Avenir Next Condensed"/>
                <w:spacing w:val="-1"/>
                <w:sz w:val="18"/>
              </w:rPr>
              <w:t>revenue</w:t>
            </w:r>
            <w:r>
              <w:rPr>
                <w:rFonts w:ascii="Avenir Next Condensed"/>
                <w:sz w:val="18"/>
              </w:rPr>
              <w:t xml:space="preserve"> (ie,</w:t>
            </w:r>
            <w:r>
              <w:rPr>
                <w:rFonts w:ascii="Avenir Next Condensed"/>
                <w:spacing w:val="-6"/>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from</w:t>
            </w:r>
            <w:r>
              <w:rPr>
                <w:rFonts w:ascii="Avenir Next Condensed"/>
                <w:sz w:val="18"/>
              </w:rPr>
              <w:t xml:space="preserve"> tier 1 and tier 2 water sales) in </w:t>
            </w:r>
            <w:r>
              <w:rPr>
                <w:rFonts w:ascii="Avenir Next Condensed"/>
                <w:spacing w:val="-1"/>
                <w:sz w:val="18"/>
              </w:rPr>
              <w:t>excess</w:t>
            </w:r>
            <w:r>
              <w:rPr>
                <w:rFonts w:ascii="Avenir Next Condensed"/>
                <w:sz w:val="18"/>
              </w:rPr>
              <w:t xml:space="preserve"> of</w:t>
            </w:r>
            <w:r>
              <w:rPr>
                <w:rFonts w:ascii="Avenir Next Condensed"/>
                <w:spacing w:val="4"/>
                <w:sz w:val="18"/>
              </w:rPr>
              <w:t xml:space="preserve"> </w:t>
            </w:r>
            <w:r>
              <w:rPr>
                <w:rFonts w:ascii="Avenir Next Condensed"/>
                <w:sz w:val="18"/>
              </w:rPr>
              <w:t xml:space="preserve">a 7% </w:t>
            </w:r>
            <w:r>
              <w:rPr>
                <w:rFonts w:ascii="Avenir Next Condensed"/>
                <w:spacing w:val="-1"/>
                <w:sz w:val="18"/>
              </w:rPr>
              <w:t>deadband</w:t>
            </w:r>
            <w:r>
              <w:rPr>
                <w:rFonts w:ascii="Avenir Next Condensed"/>
                <w:sz w:val="18"/>
              </w:rPr>
              <w:t xml:space="preserve"> over the full five </w:t>
            </w:r>
            <w:r>
              <w:rPr>
                <w:rFonts w:ascii="Avenir Next Condensed"/>
                <w:spacing w:val="-1"/>
                <w:sz w:val="18"/>
              </w:rPr>
              <w:t>year</w:t>
            </w:r>
            <w:r>
              <w:rPr>
                <w:rFonts w:ascii="Avenir Next Condensed"/>
                <w:spacing w:val="41"/>
                <w:sz w:val="18"/>
              </w:rPr>
              <w:t xml:space="preserve"> </w:t>
            </w:r>
            <w:r>
              <w:rPr>
                <w:rFonts w:ascii="Avenir Next Condensed"/>
                <w:spacing w:val="-1"/>
                <w:sz w:val="18"/>
              </w:rPr>
              <w:t>regulatory</w:t>
            </w:r>
            <w:r>
              <w:rPr>
                <w:rFonts w:ascii="Avenir Next Condensed"/>
                <w:sz w:val="18"/>
              </w:rPr>
              <w:t xml:space="preserve"> period (2013-14 to 2017-18).</w:t>
            </w:r>
          </w:p>
          <w:p w:rsidR="00D96B91" w:rsidRDefault="00C2656B">
            <w:pPr>
              <w:pStyle w:val="TableParagraph"/>
              <w:spacing w:before="98" w:line="220" w:lineRule="exact"/>
              <w:ind w:left="108" w:right="369"/>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this mechanism is </w:t>
            </w:r>
            <w:r>
              <w:rPr>
                <w:rFonts w:ascii="Avenir Next Condensed" w:eastAsia="Avenir Next Condensed" w:hAnsi="Avenir Next Condensed" w:cs="Avenir Next Condensed"/>
                <w:spacing w:val="-1"/>
                <w:sz w:val="18"/>
                <w:szCs w:val="18"/>
              </w:rPr>
              <w:t>triggered</w:t>
            </w:r>
            <w:r>
              <w:rPr>
                <w:rFonts w:ascii="Avenir Next Condensed" w:eastAsia="Avenir Next Condensed" w:hAnsi="Avenir Next Condensed" w:cs="Avenir Next Condensed"/>
                <w:sz w:val="18"/>
                <w:szCs w:val="18"/>
              </w:rPr>
              <w:t xml:space="preserve"> then the ICRC will be </w:t>
            </w:r>
            <w:r>
              <w:rPr>
                <w:rFonts w:ascii="Avenir Next Condensed" w:eastAsia="Avenir Next Condensed" w:hAnsi="Avenir Next Condensed" w:cs="Avenir Next Condensed"/>
                <w:spacing w:val="-1"/>
                <w:sz w:val="18"/>
                <w:szCs w:val="18"/>
              </w:rPr>
              <w:t>required</w:t>
            </w:r>
            <w:r>
              <w:rPr>
                <w:rFonts w:ascii="Avenir Next Condensed" w:eastAsia="Avenir Next Condensed" w:hAnsi="Avenir Next Condensed" w:cs="Avenir Next Condensed"/>
                <w:sz w:val="18"/>
                <w:szCs w:val="18"/>
              </w:rPr>
              <w:t xml:space="preserve"> to include any under or over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pacing w:val="-1"/>
                <w:sz w:val="18"/>
                <w:szCs w:val="18"/>
              </w:rPr>
              <w:t>associated</w:t>
            </w:r>
            <w:r>
              <w:rPr>
                <w:rFonts w:ascii="Avenir Next Condensed" w:eastAsia="Avenir Next Condensed" w:hAnsi="Avenir Next Condensed" w:cs="Avenir Next Condensed"/>
                <w:sz w:val="18"/>
                <w:szCs w:val="18"/>
              </w:rPr>
              <w:t xml:space="preserve"> with this deviation </w:t>
            </w:r>
            <w:r>
              <w:rPr>
                <w:rFonts w:ascii="Avenir Next Condensed" w:eastAsia="Avenir Next Condensed" w:hAnsi="Avenir Next Condensed" w:cs="Avenir Next Condensed"/>
                <w:spacing w:val="-1"/>
                <w:sz w:val="18"/>
                <w:szCs w:val="18"/>
              </w:rPr>
              <w:t>(measured</w:t>
            </w:r>
            <w:r>
              <w:rPr>
                <w:rFonts w:ascii="Avenir Next Condensed" w:eastAsia="Avenir Next Condensed" w:hAnsi="Avenir Next Condensed" w:cs="Avenir Next Condensed"/>
                <w:sz w:val="18"/>
                <w:szCs w:val="18"/>
              </w:rPr>
              <w:t xml:space="preserve"> in NPV</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terms) in the calculation of</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for</w:t>
            </w:r>
            <w:r>
              <w:rPr>
                <w:rFonts w:ascii="Avenir Next Condensed" w:eastAsia="Avenir Next Condensed" w:hAnsi="Avenir Next Condensed" w:cs="Avenir Next Condensed"/>
                <w:spacing w:val="63"/>
                <w:sz w:val="18"/>
                <w:szCs w:val="18"/>
              </w:rPr>
              <w:t xml:space="preserve"> </w:t>
            </w:r>
            <w:r>
              <w:rPr>
                <w:rFonts w:ascii="Avenir Next Condensed" w:eastAsia="Avenir Next Condensed" w:hAnsi="Avenir Next Condensed" w:cs="Avenir Next Condensed"/>
                <w:sz w:val="18"/>
                <w:szCs w:val="18"/>
              </w:rPr>
              <w:t xml:space="preserve">water for 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commencing on 1</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July 2018.</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to </w:t>
            </w:r>
            <w:r>
              <w:rPr>
                <w:rFonts w:ascii="Avenir Next Condensed" w:eastAsia="Avenir Next Condensed" w:hAnsi="Avenir Next Condensed" w:cs="Avenir Next Condensed"/>
                <w:spacing w:val="-1"/>
                <w:sz w:val="18"/>
                <w:szCs w:val="18"/>
              </w:rPr>
              <w:t>take</w:t>
            </w:r>
            <w:r>
              <w:rPr>
                <w:rFonts w:ascii="Avenir Next Condensed" w:eastAsia="Avenir Next Condensed" w:hAnsi="Avenir Next Condensed" w:cs="Avenir Next Condensed"/>
                <w:sz w:val="18"/>
                <w:szCs w:val="18"/>
              </w:rPr>
              <w:t xml:space="preserve"> this into account will be</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z w:val="18"/>
                <w:szCs w:val="18"/>
              </w:rPr>
              <w:t xml:space="preserve">given </w:t>
            </w:r>
            <w:r>
              <w:rPr>
                <w:rFonts w:ascii="Avenir Next Condensed" w:eastAsia="Avenir Next Condensed" w:hAnsi="Avenir Next Condensed" w:cs="Avenir Next Condensed"/>
                <w:spacing w:val="-1"/>
                <w:sz w:val="18"/>
                <w:szCs w:val="18"/>
              </w:rPr>
              <w:t>effect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a </w:t>
            </w:r>
            <w:r>
              <w:rPr>
                <w:rFonts w:ascii="Avenir Next Condensed" w:eastAsia="Avenir Next Condensed" w:hAnsi="Avenir Next Condensed" w:cs="Avenir Next Condensed"/>
                <w:spacing w:val="-1"/>
                <w:sz w:val="18"/>
                <w:szCs w:val="18"/>
              </w:rPr>
              <w:t>future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reset</w:t>
            </w:r>
            <w:r>
              <w:rPr>
                <w:rFonts w:ascii="Avenir Next Condensed" w:eastAsia="Avenir Next Condensed" w:hAnsi="Avenir Next Condensed" w:cs="Avenir Next Condensed"/>
                <w:sz w:val="18"/>
                <w:szCs w:val="18"/>
              </w:rPr>
              <w:t xml:space="preserve"> principle.</w:t>
            </w:r>
          </w:p>
        </w:tc>
      </w:tr>
      <w:tr w:rsidR="00D96B91" w:rsidTr="002D353F">
        <w:trPr>
          <w:trHeight w:hRule="exact" w:val="356"/>
        </w:trPr>
        <w:tc>
          <w:tcPr>
            <w:tcW w:w="2302"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Measures</w:t>
            </w:r>
            <w:r>
              <w:rPr>
                <w:rFonts w:ascii="Avenir Next Condensed"/>
                <w:sz w:val="18"/>
              </w:rPr>
              <w:t xml:space="preserve"> to </w:t>
            </w:r>
            <w:r>
              <w:rPr>
                <w:rFonts w:ascii="Avenir Next Condensed"/>
                <w:spacing w:val="-1"/>
                <w:sz w:val="18"/>
              </w:rPr>
              <w:t>deal</w:t>
            </w:r>
            <w:r>
              <w:rPr>
                <w:rFonts w:ascii="Avenir Next Condensed"/>
                <w:sz w:val="18"/>
              </w:rPr>
              <w:t xml:space="preserve"> with</w:t>
            </w:r>
          </w:p>
        </w:tc>
        <w:tc>
          <w:tcPr>
            <w:tcW w:w="7099"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CPI escalation mechanism.</w:t>
            </w:r>
          </w:p>
        </w:tc>
      </w:tr>
      <w:tr w:rsidR="00D96B91" w:rsidTr="002D353F">
        <w:trPr>
          <w:trHeight w:hRule="exact" w:val="2044"/>
        </w:trPr>
        <w:tc>
          <w:tcPr>
            <w:tcW w:w="230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expenditure</w:t>
            </w:r>
            <w:r>
              <w:rPr>
                <w:rFonts w:ascii="Avenir Next Condensed"/>
                <w:sz w:val="18"/>
              </w:rPr>
              <w:t xml:space="preserve"> </w:t>
            </w:r>
            <w:r>
              <w:rPr>
                <w:rFonts w:ascii="Avenir Next Condensed"/>
                <w:spacing w:val="-1"/>
                <w:sz w:val="18"/>
              </w:rPr>
              <w:t>risks</w:t>
            </w:r>
          </w:p>
        </w:tc>
        <w:tc>
          <w:tcPr>
            <w:tcW w:w="7099"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before="85"/>
              <w:ind w:left="108"/>
              <w:rPr>
                <w:rFonts w:ascii="Avenir Next Condensed" w:eastAsia="Avenir Next Condensed" w:hAnsi="Avenir Next Condensed" w:cs="Avenir Next Condensed"/>
                <w:sz w:val="18"/>
                <w:szCs w:val="18"/>
              </w:rPr>
            </w:pPr>
            <w:r>
              <w:rPr>
                <w:rFonts w:ascii="Avenir Next Condensed"/>
                <w:i/>
                <w:sz w:val="18"/>
              </w:rPr>
              <w:t xml:space="preserve">Ex post </w:t>
            </w:r>
            <w:r>
              <w:rPr>
                <w:rFonts w:ascii="Avenir Next Condensed"/>
                <w:spacing w:val="-1"/>
                <w:sz w:val="18"/>
              </w:rPr>
              <w:t>capex</w:t>
            </w:r>
            <w:r>
              <w:rPr>
                <w:rFonts w:ascii="Avenir Next Condensed"/>
                <w:sz w:val="18"/>
              </w:rPr>
              <w:t xml:space="preserve"> </w:t>
            </w:r>
            <w:r>
              <w:rPr>
                <w:rFonts w:ascii="Avenir Next Condensed"/>
                <w:spacing w:val="-2"/>
                <w:sz w:val="18"/>
              </w:rPr>
              <w:t>review.</w:t>
            </w:r>
          </w:p>
          <w:p w:rsidR="00D96B91" w:rsidRDefault="00C2656B">
            <w:pPr>
              <w:pStyle w:val="TableParagraph"/>
              <w:spacing w:before="91" w:line="220" w:lineRule="exact"/>
              <w:ind w:left="108" w:right="359"/>
              <w:rPr>
                <w:rFonts w:ascii="Avenir Next Condensed" w:eastAsia="Avenir Next Condensed" w:hAnsi="Avenir Next Condensed" w:cs="Avenir Next Condensed"/>
                <w:sz w:val="18"/>
                <w:szCs w:val="18"/>
              </w:rPr>
            </w:pPr>
            <w:r>
              <w:rPr>
                <w:rFonts w:ascii="Avenir Next Condensed"/>
                <w:sz w:val="18"/>
              </w:rPr>
              <w:t xml:space="preserve">Annual cost </w:t>
            </w:r>
            <w:r>
              <w:rPr>
                <w:rFonts w:ascii="Avenir Next Condensed"/>
                <w:spacing w:val="-1"/>
                <w:sz w:val="18"/>
              </w:rPr>
              <w:t>pass-through</w:t>
            </w:r>
            <w:r>
              <w:rPr>
                <w:rFonts w:ascii="Avenir Next Condensed"/>
                <w:sz w:val="18"/>
              </w:rPr>
              <w:t xml:space="preserve"> mechanism to </w:t>
            </w:r>
            <w:r>
              <w:rPr>
                <w:rFonts w:ascii="Avenir Next Condensed"/>
                <w:spacing w:val="-1"/>
                <w:sz w:val="18"/>
              </w:rPr>
              <w:t>deal</w:t>
            </w:r>
            <w:r>
              <w:rPr>
                <w:rFonts w:ascii="Avenir Next Condensed"/>
                <w:sz w:val="18"/>
              </w:rPr>
              <w:t xml:space="preserve"> with changes in subvention payments,</w:t>
            </w:r>
            <w:r>
              <w:rPr>
                <w:rFonts w:ascii="Avenir Next Condensed"/>
                <w:spacing w:val="-6"/>
                <w:sz w:val="18"/>
              </w:rPr>
              <w:t xml:space="preserve"> </w:t>
            </w:r>
            <w:r>
              <w:rPr>
                <w:rFonts w:ascii="Avenir Next Condensed"/>
                <w:sz w:val="18"/>
              </w:rPr>
              <w:t>changes in the amount</w:t>
            </w:r>
            <w:r>
              <w:rPr>
                <w:rFonts w:ascii="Avenir Next Condensed"/>
                <w:spacing w:val="21"/>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is </w:t>
            </w:r>
            <w:r>
              <w:rPr>
                <w:rFonts w:ascii="Avenir Next Condensed"/>
                <w:spacing w:val="-1"/>
                <w:sz w:val="18"/>
              </w:rPr>
              <w:t>required</w:t>
            </w:r>
            <w:r>
              <w:rPr>
                <w:rFonts w:ascii="Avenir Next Condensed"/>
                <w:sz w:val="18"/>
              </w:rPr>
              <w:t xml:space="preserve"> to pay the</w:t>
            </w:r>
            <w:r>
              <w:rPr>
                <w:rFonts w:ascii="Avenir Next Condensed"/>
                <w:spacing w:val="-4"/>
                <w:sz w:val="18"/>
              </w:rPr>
              <w:t xml:space="preserve"> </w:t>
            </w:r>
            <w:r>
              <w:rPr>
                <w:rFonts w:ascii="Avenir Next Condensed"/>
                <w:spacing w:val="-2"/>
                <w:sz w:val="18"/>
              </w:rPr>
              <w:t>ACT</w:t>
            </w:r>
            <w:r>
              <w:rPr>
                <w:rFonts w:ascii="Avenir Next Condensed"/>
                <w:spacing w:val="-5"/>
                <w:sz w:val="18"/>
              </w:rPr>
              <w:t xml:space="preserve"> </w:t>
            </w:r>
            <w:r>
              <w:rPr>
                <w:rFonts w:ascii="Avenir Next Condensed"/>
                <w:sz w:val="18"/>
              </w:rPr>
              <w:t>Government for the</w:t>
            </w:r>
            <w:r>
              <w:rPr>
                <w:rFonts w:ascii="Avenir Next Condensed"/>
                <w:spacing w:val="-3"/>
                <w:sz w:val="18"/>
              </w:rPr>
              <w:t xml:space="preserve"> WAC</w:t>
            </w:r>
            <w:r>
              <w:rPr>
                <w:rFonts w:ascii="Avenir Next Condensed"/>
                <w:sz w:val="18"/>
              </w:rPr>
              <w:t xml:space="preserve"> and </w:t>
            </w:r>
            <w:r>
              <w:rPr>
                <w:rFonts w:ascii="Avenir Next Condensed"/>
                <w:spacing w:val="-2"/>
                <w:sz w:val="18"/>
              </w:rPr>
              <w:t>UNFT,</w:t>
            </w:r>
            <w:r>
              <w:rPr>
                <w:rFonts w:ascii="Avenir Next Condensed"/>
                <w:spacing w:val="-6"/>
                <w:sz w:val="18"/>
              </w:rPr>
              <w:t xml:space="preserve"> </w:t>
            </w:r>
            <w:r>
              <w:rPr>
                <w:rFonts w:ascii="Avenir Next Condensed"/>
                <w:sz w:val="18"/>
              </w:rPr>
              <w:t xml:space="preserve">changes in </w:t>
            </w:r>
            <w:r>
              <w:rPr>
                <w:rFonts w:ascii="Avenir Next Condensed"/>
                <w:spacing w:val="-1"/>
                <w:sz w:val="18"/>
              </w:rPr>
              <w:t>taxes,</w:t>
            </w:r>
            <w:r>
              <w:rPr>
                <w:rFonts w:ascii="Avenir Next Condensed"/>
                <w:spacing w:val="-6"/>
                <w:sz w:val="18"/>
              </w:rPr>
              <w:t xml:space="preserve"> </w:t>
            </w:r>
            <w:r>
              <w:rPr>
                <w:rFonts w:ascii="Avenir Next Condensed"/>
                <w:sz w:val="18"/>
              </w:rPr>
              <w:t>changes in service</w:t>
            </w:r>
            <w:r>
              <w:rPr>
                <w:rFonts w:ascii="Avenir Next Condensed"/>
                <w:spacing w:val="29"/>
                <w:sz w:val="18"/>
              </w:rPr>
              <w:t xml:space="preserve"> </w:t>
            </w:r>
            <w:r>
              <w:rPr>
                <w:rFonts w:ascii="Avenir Next Condensed"/>
                <w:spacing w:val="-1"/>
                <w:sz w:val="18"/>
              </w:rPr>
              <w:t>standards,</w:t>
            </w:r>
            <w:r>
              <w:rPr>
                <w:rFonts w:ascii="Avenir Next Condensed"/>
                <w:spacing w:val="-6"/>
                <w:sz w:val="18"/>
              </w:rPr>
              <w:t xml:space="preserve"> </w:t>
            </w:r>
            <w:r>
              <w:rPr>
                <w:rFonts w:ascii="Avenir Next Condensed"/>
                <w:sz w:val="18"/>
              </w:rPr>
              <w:t xml:space="preserve">changes in </w:t>
            </w:r>
            <w:r>
              <w:rPr>
                <w:rFonts w:ascii="Avenir Next Condensed"/>
                <w:spacing w:val="-1"/>
                <w:sz w:val="18"/>
              </w:rPr>
              <w:t>regulation</w:t>
            </w:r>
            <w:r>
              <w:rPr>
                <w:rFonts w:ascii="Avenir Next Condensed"/>
                <w:sz w:val="18"/>
              </w:rPr>
              <w:t xml:space="preserve"> and the</w:t>
            </w:r>
            <w:r>
              <w:rPr>
                <w:rFonts w:ascii="Avenir Next Condensed"/>
                <w:spacing w:val="-5"/>
                <w:sz w:val="18"/>
              </w:rPr>
              <w:t xml:space="preserve"> </w:t>
            </w:r>
            <w:r>
              <w:rPr>
                <w:rFonts w:ascii="Avenir Next Condensed"/>
                <w:spacing w:val="-1"/>
                <w:sz w:val="18"/>
              </w:rPr>
              <w:t>Tantangara</w:t>
            </w:r>
            <w:r>
              <w:rPr>
                <w:rFonts w:ascii="Avenir Next Condensed"/>
                <w:spacing w:val="-5"/>
                <w:sz w:val="18"/>
              </w:rPr>
              <w:t xml:space="preserve"> </w:t>
            </w:r>
            <w:r>
              <w:rPr>
                <w:rFonts w:ascii="Avenir Next Condensed"/>
                <w:spacing w:val="-2"/>
                <w:sz w:val="18"/>
              </w:rPr>
              <w:t>Transfer</w:t>
            </w:r>
            <w:r>
              <w:rPr>
                <w:rFonts w:ascii="Avenir Next Condensed"/>
                <w:sz w:val="18"/>
              </w:rPr>
              <w:t xml:space="preserve"> </w:t>
            </w:r>
            <w:r>
              <w:rPr>
                <w:rFonts w:ascii="Avenir Next Condensed"/>
                <w:spacing w:val="-1"/>
                <w:sz w:val="18"/>
              </w:rPr>
              <w:t>Payment</w:t>
            </w:r>
            <w:r>
              <w:rPr>
                <w:rFonts w:ascii="Avenir Next Condensed"/>
                <w:sz w:val="18"/>
              </w:rPr>
              <w:t xml:space="preserve"> event.</w:t>
            </w:r>
            <w:r>
              <w:rPr>
                <w:rFonts w:ascii="Avenir Next Condensed"/>
                <w:spacing w:val="-10"/>
                <w:sz w:val="18"/>
              </w:rPr>
              <w:t xml:space="preserve"> </w:t>
            </w:r>
            <w:r>
              <w:rPr>
                <w:rFonts w:ascii="Avenir Next Condensed"/>
                <w:spacing w:val="-1"/>
                <w:sz w:val="18"/>
              </w:rPr>
              <w:t>The</w:t>
            </w:r>
            <w:r>
              <w:rPr>
                <w:rFonts w:ascii="Avenir Next Condensed"/>
                <w:sz w:val="18"/>
              </w:rPr>
              <w:t xml:space="preserve"> materiality </w:t>
            </w:r>
            <w:r>
              <w:rPr>
                <w:rFonts w:ascii="Avenir Next Condensed"/>
                <w:spacing w:val="-1"/>
                <w:sz w:val="18"/>
              </w:rPr>
              <w:t>threshold</w:t>
            </w:r>
            <w:r>
              <w:rPr>
                <w:rFonts w:ascii="Avenir Next Condensed"/>
                <w:sz w:val="18"/>
              </w:rPr>
              <w:t xml:space="preserve"> for this</w:t>
            </w:r>
            <w:r>
              <w:rPr>
                <w:rFonts w:ascii="Avenir Next Condensed"/>
                <w:spacing w:val="65"/>
                <w:sz w:val="18"/>
              </w:rPr>
              <w:t xml:space="preserve"> </w:t>
            </w:r>
            <w:r>
              <w:rPr>
                <w:rFonts w:ascii="Avenir Next Condensed"/>
                <w:sz w:val="18"/>
              </w:rPr>
              <w:t>mechanism will be:</w:t>
            </w:r>
          </w:p>
          <w:p w:rsidR="00D96B91" w:rsidRDefault="00C2656B">
            <w:pPr>
              <w:pStyle w:val="ListParagraph"/>
              <w:numPr>
                <w:ilvl w:val="0"/>
                <w:numId w:val="106"/>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$0 for</w:t>
            </w:r>
            <w:r>
              <w:rPr>
                <w:rFonts w:ascii="Avenir Next Condensed"/>
                <w:spacing w:val="-3"/>
                <w:sz w:val="18"/>
              </w:rPr>
              <w:t xml:space="preserve"> </w:t>
            </w:r>
            <w:r>
              <w:rPr>
                <w:rFonts w:ascii="Avenir Next Condensed"/>
                <w:spacing w:val="-2"/>
                <w:sz w:val="18"/>
              </w:rPr>
              <w:t>WAC,</w:t>
            </w:r>
            <w:r>
              <w:rPr>
                <w:rFonts w:ascii="Avenir Next Condensed"/>
                <w:spacing w:val="-6"/>
                <w:sz w:val="18"/>
              </w:rPr>
              <w:t xml:space="preserve"> </w:t>
            </w:r>
            <w:r>
              <w:rPr>
                <w:rFonts w:ascii="Avenir Next Condensed"/>
                <w:sz w:val="18"/>
              </w:rPr>
              <w:t>UNFT</w:t>
            </w:r>
            <w:r>
              <w:rPr>
                <w:rFonts w:ascii="Avenir Next Condensed"/>
                <w:spacing w:val="-5"/>
                <w:sz w:val="18"/>
              </w:rPr>
              <w:t xml:space="preserve"> </w:t>
            </w:r>
            <w:r>
              <w:rPr>
                <w:rFonts w:ascii="Avenir Next Condensed"/>
                <w:sz w:val="18"/>
              </w:rPr>
              <w:t>and subvention payments,</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106"/>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$2 million ($2012-13) per event for all other cost </w:t>
            </w:r>
            <w:r>
              <w:rPr>
                <w:rFonts w:ascii="Avenir Next Condensed"/>
                <w:spacing w:val="-1"/>
                <w:sz w:val="18"/>
              </w:rPr>
              <w:t>pass-through</w:t>
            </w:r>
            <w:r>
              <w:rPr>
                <w:rFonts w:ascii="Avenir Next Condensed"/>
                <w:sz w:val="18"/>
              </w:rPr>
              <w:t xml:space="preserve"> categories.</w:t>
            </w:r>
          </w:p>
        </w:tc>
      </w:tr>
      <w:tr w:rsidR="00D96B91" w:rsidTr="002D353F">
        <w:trPr>
          <w:trHeight w:hRule="exact" w:val="356"/>
        </w:trPr>
        <w:tc>
          <w:tcPr>
            <w:tcW w:w="2302"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Measures</w:t>
            </w:r>
            <w:r>
              <w:rPr>
                <w:rFonts w:ascii="Avenir Next Condensed"/>
                <w:sz w:val="18"/>
              </w:rPr>
              <w:t xml:space="preserve"> to </w:t>
            </w:r>
            <w:r>
              <w:rPr>
                <w:rFonts w:ascii="Avenir Next Condensed"/>
                <w:spacing w:val="-1"/>
                <w:sz w:val="18"/>
              </w:rPr>
              <w:t>deal</w:t>
            </w:r>
            <w:r>
              <w:rPr>
                <w:rFonts w:ascii="Avenir Next Condensed"/>
                <w:sz w:val="18"/>
              </w:rPr>
              <w:t xml:space="preserve"> with</w:t>
            </w:r>
          </w:p>
        </w:tc>
        <w:tc>
          <w:tcPr>
            <w:tcW w:w="7099"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 xml:space="preserve">Price </w:t>
            </w:r>
            <w:r>
              <w:rPr>
                <w:rFonts w:ascii="Avenir Next Condensed"/>
                <w:sz w:val="18"/>
              </w:rPr>
              <w:t>variation</w:t>
            </w:r>
            <w:r>
              <w:rPr>
                <w:rFonts w:ascii="Avenir Next Condensed"/>
                <w:spacing w:val="-1"/>
                <w:sz w:val="18"/>
              </w:rPr>
              <w:t xml:space="preserve"> </w:t>
            </w:r>
            <w:r>
              <w:rPr>
                <w:rFonts w:ascii="Avenir Next Condensed"/>
                <w:sz w:val="18"/>
              </w:rPr>
              <w:t>trigger</w:t>
            </w:r>
            <w:r>
              <w:rPr>
                <w:rFonts w:ascii="Avenir Next Condensed"/>
                <w:spacing w:val="-1"/>
                <w:sz w:val="18"/>
              </w:rPr>
              <w:t xml:space="preserve"> </w:t>
            </w:r>
            <w:r>
              <w:rPr>
                <w:rFonts w:ascii="Avenir Next Condensed"/>
                <w:sz w:val="18"/>
              </w:rPr>
              <w:t>event</w:t>
            </w:r>
            <w:r>
              <w:rPr>
                <w:rFonts w:ascii="Avenir Next Condensed"/>
                <w:spacing w:val="-1"/>
                <w:sz w:val="18"/>
              </w:rPr>
              <w:t xml:space="preserve"> </w:t>
            </w:r>
            <w:r>
              <w:rPr>
                <w:rFonts w:ascii="Avenir Next Condensed"/>
                <w:sz w:val="18"/>
              </w:rPr>
              <w:t>mechanism</w:t>
            </w:r>
            <w:r>
              <w:rPr>
                <w:rFonts w:ascii="Avenir Next Condensed"/>
                <w:spacing w:val="-1"/>
                <w:sz w:val="18"/>
              </w:rPr>
              <w:t xml:space="preserve"> </w:t>
            </w:r>
            <w:r>
              <w:rPr>
                <w:rFonts w:ascii="Avenir Next Condensed"/>
                <w:sz w:val="18"/>
              </w:rPr>
              <w:t>to</w:t>
            </w:r>
            <w:r>
              <w:rPr>
                <w:rFonts w:ascii="Avenir Next Condensed"/>
                <w:spacing w:val="-1"/>
                <w:sz w:val="18"/>
              </w:rPr>
              <w:t xml:space="preserve"> deal </w:t>
            </w:r>
            <w:r>
              <w:rPr>
                <w:rFonts w:ascii="Avenir Next Condensed"/>
                <w:sz w:val="18"/>
              </w:rPr>
              <w:t>with</w:t>
            </w:r>
            <w:r>
              <w:rPr>
                <w:rFonts w:ascii="Avenir Next Condensed"/>
                <w:spacing w:val="-1"/>
                <w:sz w:val="18"/>
              </w:rPr>
              <w:t xml:space="preserve"> </w:t>
            </w:r>
            <w:r>
              <w:rPr>
                <w:rFonts w:ascii="Avenir Next Condensed"/>
                <w:sz w:val="18"/>
              </w:rPr>
              <w:t>the</w:t>
            </w:r>
            <w:r>
              <w:rPr>
                <w:rFonts w:ascii="Avenir Next Condensed"/>
                <w:spacing w:val="-1"/>
                <w:sz w:val="18"/>
              </w:rPr>
              <w:t xml:space="preserve"> </w:t>
            </w:r>
            <w:r>
              <w:rPr>
                <w:rFonts w:ascii="Avenir Next Condensed"/>
                <w:sz w:val="18"/>
              </w:rPr>
              <w:t>following</w:t>
            </w:r>
            <w:r>
              <w:rPr>
                <w:rFonts w:ascii="Avenir Next Condensed"/>
                <w:spacing w:val="-1"/>
                <w:sz w:val="18"/>
              </w:rPr>
              <w:t xml:space="preserve"> unforeseen </w:t>
            </w:r>
            <w:r>
              <w:rPr>
                <w:rFonts w:ascii="Avenir Next Condensed"/>
                <w:sz w:val="18"/>
              </w:rPr>
              <w:t>events</w:t>
            </w:r>
            <w:r>
              <w:rPr>
                <w:rFonts w:ascii="Avenir Next Condensed"/>
                <w:spacing w:val="-1"/>
                <w:sz w:val="18"/>
              </w:rPr>
              <w:t xml:space="preserve"> </w:t>
            </w:r>
            <w:r>
              <w:rPr>
                <w:rFonts w:ascii="Avenir Next Condensed"/>
                <w:sz w:val="18"/>
              </w:rPr>
              <w:t>if</w:t>
            </w:r>
            <w:r>
              <w:rPr>
                <w:rFonts w:ascii="Avenir Next Condensed"/>
                <w:spacing w:val="4"/>
                <w:sz w:val="18"/>
              </w:rPr>
              <w:t xml:space="preserve"> </w:t>
            </w:r>
            <w:r>
              <w:rPr>
                <w:rFonts w:ascii="Avenir Next Condensed"/>
                <w:sz w:val="18"/>
              </w:rPr>
              <w:t>they</w:t>
            </w:r>
            <w:r>
              <w:rPr>
                <w:rFonts w:ascii="Avenir Next Condensed"/>
                <w:spacing w:val="-1"/>
                <w:sz w:val="18"/>
              </w:rPr>
              <w:t xml:space="preserve"> </w:t>
            </w:r>
            <w:r>
              <w:rPr>
                <w:rFonts w:ascii="Avenir Next Condensed"/>
                <w:sz w:val="18"/>
              </w:rPr>
              <w:t>satisfy</w:t>
            </w:r>
            <w:r>
              <w:rPr>
                <w:rFonts w:ascii="Avenir Next Condensed"/>
                <w:spacing w:val="-1"/>
                <w:sz w:val="18"/>
              </w:rPr>
              <w:t xml:space="preserve"> </w:t>
            </w:r>
            <w:r>
              <w:rPr>
                <w:rFonts w:ascii="Avenir Next Condensed"/>
                <w:sz w:val="18"/>
              </w:rPr>
              <w:t>the</w:t>
            </w:r>
            <w:r>
              <w:rPr>
                <w:rFonts w:ascii="Avenir Next Condensed"/>
                <w:spacing w:val="-1"/>
                <w:sz w:val="18"/>
              </w:rPr>
              <w:t xml:space="preserve"> </w:t>
            </w:r>
            <w:r>
              <w:rPr>
                <w:rFonts w:ascii="Avenir Next Condensed"/>
                <w:sz w:val="18"/>
              </w:rPr>
              <w:t>materiality</w:t>
            </w:r>
          </w:p>
        </w:tc>
      </w:tr>
      <w:tr w:rsidR="00D96B91" w:rsidTr="002D353F">
        <w:trPr>
          <w:trHeight w:hRule="exact" w:val="1703"/>
        </w:trPr>
        <w:tc>
          <w:tcPr>
            <w:tcW w:w="230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unforseen events</w:t>
            </w:r>
          </w:p>
        </w:tc>
        <w:tc>
          <w:tcPr>
            <w:tcW w:w="7099"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31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threshold:</w:t>
            </w:r>
            <w:r>
              <w:rPr>
                <w:rFonts w:ascii="Avenir Next Condensed" w:eastAsia="Avenir Next Condensed" w:hAnsi="Avenir Next Condensed" w:cs="Avenir Next Condensed"/>
                <w:sz w:val="18"/>
                <w:szCs w:val="18"/>
              </w:rPr>
              <w:t xml:space="preserve"> an act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terrorism;</w:t>
            </w:r>
            <w:r>
              <w:rPr>
                <w:rFonts w:ascii="Avenir Next Condensed" w:eastAsia="Avenir Next Condensed" w:hAnsi="Avenir Next Condensed" w:cs="Avenir Next Condensed"/>
                <w:sz w:val="18"/>
                <w:szCs w:val="18"/>
              </w:rPr>
              <w:t xml:space="preserve"> a major </w:t>
            </w:r>
            <w:r>
              <w:rPr>
                <w:rFonts w:ascii="Avenir Next Condensed" w:eastAsia="Avenir Next Condensed" w:hAnsi="Avenir Next Condensed" w:cs="Avenir Next Condensed"/>
                <w:spacing w:val="-1"/>
                <w:sz w:val="18"/>
                <w:szCs w:val="18"/>
              </w:rPr>
              <w:t>natural</w:t>
            </w:r>
            <w:r>
              <w:rPr>
                <w:rFonts w:ascii="Avenir Next Condensed" w:eastAsia="Avenir Next Condensed" w:hAnsi="Avenir Next Condensed" w:cs="Avenir Next Condensed"/>
                <w:sz w:val="18"/>
                <w:szCs w:val="18"/>
              </w:rPr>
              <w:t xml:space="preserve"> disaster; major damage to </w:t>
            </w:r>
            <w:r>
              <w:rPr>
                <w:rFonts w:ascii="Avenir Next Condensed" w:eastAsia="Avenir Next Condensed" w:hAnsi="Avenir Next Condensed" w:cs="Avenir Next Condensed"/>
                <w:spacing w:val="-1"/>
                <w:sz w:val="18"/>
                <w:szCs w:val="18"/>
              </w:rPr>
              <w:t>infrastructure;</w:t>
            </w:r>
            <w:r>
              <w:rPr>
                <w:rFonts w:ascii="Avenir Next Condensed" w:eastAsia="Avenir Next Condensed" w:hAnsi="Avenir Next Condensed" w:cs="Avenir Next Condensed"/>
                <w:sz w:val="18"/>
                <w:szCs w:val="18"/>
              </w:rPr>
              <w:t xml:space="preserve"> a significant change in</w:t>
            </w:r>
            <w:r>
              <w:rPr>
                <w:rFonts w:ascii="Avenir Next Condensed" w:eastAsia="Avenir Next Condensed" w:hAnsi="Avenir Next Condensed" w:cs="Avenir Next Condensed"/>
                <w:spacing w:val="65"/>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or </w:t>
            </w:r>
            <w:r>
              <w:rPr>
                <w:rFonts w:ascii="Avenir Next Condensed" w:eastAsia="Avenir Next Condensed" w:hAnsi="Avenir Next Condensed" w:cs="Avenir Next Condensed"/>
                <w:spacing w:val="-1"/>
                <w:sz w:val="18"/>
                <w:szCs w:val="18"/>
              </w:rPr>
              <w:t>corporate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structure;</w:t>
            </w:r>
            <w:r>
              <w:rPr>
                <w:rFonts w:ascii="Avenir Next Condensed" w:eastAsia="Avenir Next Condensed" w:hAnsi="Avenir Next Condensed" w:cs="Avenir Next Condensed"/>
                <w:sz w:val="18"/>
                <w:szCs w:val="18"/>
              </w:rPr>
              <w:t xml:space="preserve"> and an </w:t>
            </w:r>
            <w:r>
              <w:rPr>
                <w:rFonts w:ascii="Avenir Next Condensed" w:eastAsia="Avenir Next Condensed" w:hAnsi="Avenir Next Condensed" w:cs="Avenir Next Condensed"/>
                <w:spacing w:val="-1"/>
                <w:sz w:val="18"/>
                <w:szCs w:val="18"/>
              </w:rPr>
              <w:t>unforeseen</w:t>
            </w:r>
            <w:r>
              <w:rPr>
                <w:rFonts w:ascii="Avenir Next Condensed" w:eastAsia="Avenir Next Condensed" w:hAnsi="Avenir Next Condensed" w:cs="Avenir Next Condensed"/>
                <w:sz w:val="18"/>
                <w:szCs w:val="18"/>
              </w:rPr>
              <w:t xml:space="preserve"> or </w:t>
            </w:r>
            <w:r>
              <w:rPr>
                <w:rFonts w:ascii="Avenir Next Condensed" w:eastAsia="Avenir Next Condensed" w:hAnsi="Avenir Next Condensed" w:cs="Avenir Next Condensed"/>
                <w:i/>
                <w:spacing w:val="-1"/>
                <w:sz w:val="18"/>
                <w:szCs w:val="18"/>
              </w:rPr>
              <w:t>force</w:t>
            </w:r>
            <w:r>
              <w:rPr>
                <w:rFonts w:ascii="Avenir Next Condensed" w:eastAsia="Avenir Next Condensed" w:hAnsi="Avenir Next Condensed" w:cs="Avenir Next Condensed"/>
                <w:i/>
                <w:sz w:val="18"/>
                <w:szCs w:val="18"/>
              </w:rPr>
              <w:t xml:space="preserve"> </w:t>
            </w:r>
            <w:r>
              <w:rPr>
                <w:rFonts w:ascii="Avenir Next Condensed" w:eastAsia="Avenir Next Condensed" w:hAnsi="Avenir Next Condensed" w:cs="Avenir Next Condensed"/>
                <w:i/>
                <w:spacing w:val="-1"/>
                <w:sz w:val="18"/>
                <w:szCs w:val="18"/>
              </w:rPr>
              <w:t>majeure</w:t>
            </w:r>
            <w:r>
              <w:rPr>
                <w:rFonts w:ascii="Avenir Next Condensed" w:eastAsia="Avenir Next Condensed" w:hAnsi="Avenir Next Condensed" w:cs="Avenir Next Condensed"/>
                <w:i/>
                <w:sz w:val="18"/>
                <w:szCs w:val="18"/>
              </w:rPr>
              <w:t xml:space="preserve"> </w:t>
            </w:r>
            <w:r>
              <w:rPr>
                <w:rFonts w:ascii="Avenir Next Condensed" w:eastAsia="Avenir Next Condensed" w:hAnsi="Avenir Next Condensed" w:cs="Avenir Next Condensed"/>
                <w:sz w:val="18"/>
                <w:szCs w:val="18"/>
              </w:rPr>
              <w:t>event.</w:t>
            </w:r>
          </w:p>
          <w:p w:rsidR="00D96B91" w:rsidRDefault="00C2656B">
            <w:pPr>
              <w:pStyle w:val="TableParagraph"/>
              <w:spacing w:before="98" w:line="220" w:lineRule="exact"/>
              <w:ind w:left="108" w:right="20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materiality </w:t>
            </w:r>
            <w:r>
              <w:rPr>
                <w:rFonts w:ascii="Avenir Next Condensed" w:eastAsia="Avenir Next Condensed" w:hAnsi="Avenir Next Condensed" w:cs="Avenir Next Condensed"/>
                <w:spacing w:val="-1"/>
                <w:sz w:val="18"/>
                <w:szCs w:val="18"/>
              </w:rPr>
              <w:t>threshold</w:t>
            </w:r>
            <w:r>
              <w:rPr>
                <w:rFonts w:ascii="Avenir Next Condensed" w:eastAsia="Avenir Next Condensed" w:hAnsi="Avenir Next Condensed" w:cs="Avenir Next Condensed"/>
                <w:sz w:val="18"/>
                <w:szCs w:val="18"/>
              </w:rPr>
              <w:t xml:space="preserve"> in this case will be defined as </w:t>
            </w:r>
            <w:r>
              <w:rPr>
                <w:rFonts w:ascii="Avenir Next Condensed" w:eastAsia="Avenir Next Condensed" w:hAnsi="Avenir Next Condensed" w:cs="Avenir Next Condensed"/>
                <w:spacing w:val="-2"/>
                <w:sz w:val="18"/>
                <w:szCs w:val="18"/>
              </w:rPr>
              <w:t>‘an</w:t>
            </w:r>
            <w:r>
              <w:rPr>
                <w:rFonts w:ascii="Avenir Next Condensed" w:eastAsia="Avenir Next Condensed" w:hAnsi="Avenir Next Condensed" w:cs="Avenir Next Condensed"/>
                <w:sz w:val="18"/>
                <w:szCs w:val="18"/>
              </w:rPr>
              <w:t xml:space="preserve"> event that </w:t>
            </w:r>
            <w:r>
              <w:rPr>
                <w:rFonts w:ascii="Avenir Next Condensed" w:eastAsia="Avenir Next Condensed" w:hAnsi="Avenir Next Condensed" w:cs="Avenir Next Condensed"/>
                <w:spacing w:val="-1"/>
                <w:sz w:val="18"/>
                <w:szCs w:val="18"/>
              </w:rPr>
              <w:t>severely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restricts</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ability to </w:t>
            </w:r>
            <w:r>
              <w:rPr>
                <w:rFonts w:ascii="Avenir Next Condensed" w:eastAsia="Avenir Next Condensed" w:hAnsi="Avenir Next Condensed" w:cs="Avenir Next Condensed"/>
                <w:spacing w:val="-1"/>
                <w:sz w:val="18"/>
                <w:szCs w:val="18"/>
              </w:rPr>
              <w:t>provide</w:t>
            </w:r>
            <w:r>
              <w:rPr>
                <w:rFonts w:ascii="Avenir Next Condensed" w:eastAsia="Avenir Next Condensed" w:hAnsi="Avenir Next Condensed" w:cs="Avenir Next Condensed"/>
                <w:spacing w:val="65"/>
                <w:sz w:val="18"/>
                <w:szCs w:val="18"/>
              </w:rPr>
              <w:t xml:space="preserve"> </w:t>
            </w:r>
            <w:r>
              <w:rPr>
                <w:rFonts w:ascii="Avenir Next Condensed" w:eastAsia="Avenir Next Condensed" w:hAnsi="Avenir Next Condensed" w:cs="Avenir Next Condensed"/>
                <w:sz w:val="18"/>
                <w:szCs w:val="18"/>
              </w:rPr>
              <w:t>services and imposes a total annualised cost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for the </w:t>
            </w:r>
            <w:r>
              <w:rPr>
                <w:rFonts w:ascii="Avenir Next Condensed" w:eastAsia="Avenir Next Condensed" w:hAnsi="Avenir Next Condensed" w:cs="Avenir Next Condensed"/>
                <w:spacing w:val="-1"/>
                <w:sz w:val="18"/>
                <w:szCs w:val="18"/>
              </w:rPr>
              <w:t>remainder</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more</w:t>
            </w:r>
            <w:r>
              <w:rPr>
                <w:rFonts w:ascii="Avenir Next Condensed" w:eastAsia="Avenir Next Condensed" w:hAnsi="Avenir Next Condensed" w:cs="Avenir Next Condensed"/>
                <w:sz w:val="18"/>
                <w:szCs w:val="18"/>
              </w:rPr>
              <w:t xml:space="preserve"> than</w:t>
            </w:r>
          </w:p>
          <w:p w:rsidR="00D96B91" w:rsidRDefault="00C2656B">
            <w:pPr>
              <w:pStyle w:val="TableParagraph"/>
              <w:spacing w:line="242" w:lineRule="exact"/>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$12 million </w:t>
            </w:r>
            <w:r>
              <w:rPr>
                <w:rFonts w:ascii="Avenir Next Condensed" w:eastAsia="Avenir Next Condensed" w:hAnsi="Avenir Next Condensed" w:cs="Avenir Next Condensed"/>
                <w:spacing w:val="-2"/>
                <w:sz w:val="18"/>
                <w:szCs w:val="18"/>
              </w:rPr>
              <w:t>($2012-13)’.</w:t>
            </w:r>
          </w:p>
        </w:tc>
      </w:tr>
    </w:tbl>
    <w:p w:rsidR="00D96B91" w:rsidRDefault="00D96B91">
      <w:pPr>
        <w:spacing w:before="3"/>
        <w:rPr>
          <w:rFonts w:ascii="Avenir Next" w:eastAsia="Avenir Next" w:hAnsi="Avenir Next" w:cs="Avenir Next"/>
          <w:b/>
          <w:bCs/>
          <w:sz w:val="7"/>
          <w:szCs w:val="7"/>
        </w:rPr>
      </w:pPr>
    </w:p>
    <w:p w:rsidR="00D96B91" w:rsidRDefault="00C2656B" w:rsidP="003A2E62">
      <w:pPr>
        <w:pStyle w:val="BodyText"/>
        <w:spacing w:before="38" w:line="260" w:lineRule="exact"/>
        <w:ind w:right="1487"/>
        <w:jc w:val="both"/>
      </w:pPr>
      <w:r>
        <w:rPr>
          <w:spacing w:val="-1"/>
        </w:rPr>
        <w:t>Regulators</w:t>
      </w:r>
      <w:r>
        <w:t xml:space="preserve"> sometimes use incentive schemes </w:t>
      </w:r>
      <w:r>
        <w:rPr>
          <w:spacing w:val="-1"/>
        </w:rPr>
        <w:t>that</w:t>
      </w:r>
      <w:r>
        <w:t xml:space="preserve"> </w:t>
      </w:r>
      <w:r>
        <w:rPr>
          <w:spacing w:val="-2"/>
        </w:rPr>
        <w:t>are</w:t>
      </w:r>
      <w:r>
        <w:t xml:space="preserve"> designed to </w:t>
      </w:r>
      <w:r>
        <w:rPr>
          <w:spacing w:val="-1"/>
        </w:rPr>
        <w:t>encourage</w:t>
      </w:r>
      <w:r>
        <w:t xml:space="preserve"> the </w:t>
      </w:r>
      <w:r>
        <w:rPr>
          <w:spacing w:val="-1"/>
        </w:rPr>
        <w:t>regulated</w:t>
      </w:r>
      <w:r>
        <w:t xml:space="preserve"> business</w:t>
      </w:r>
      <w:r>
        <w:rPr>
          <w:spacing w:val="35"/>
        </w:rPr>
        <w:t xml:space="preserve"> </w:t>
      </w:r>
      <w:r>
        <w:t>to</w:t>
      </w:r>
      <w:r>
        <w:rPr>
          <w:spacing w:val="-1"/>
        </w:rPr>
        <w:t xml:space="preserve"> improve</w:t>
      </w:r>
      <w:r>
        <w:t xml:space="preserve"> its</w:t>
      </w:r>
      <w:r>
        <w:rPr>
          <w:spacing w:val="-1"/>
        </w:rPr>
        <w:t xml:space="preserve"> </w:t>
      </w:r>
      <w:r>
        <w:t xml:space="preserve">cost </w:t>
      </w:r>
      <w:r>
        <w:rPr>
          <w:spacing w:val="-1"/>
        </w:rPr>
        <w:t xml:space="preserve">efficiency </w:t>
      </w:r>
      <w:r>
        <w:t>and service</w:t>
      </w:r>
      <w:r>
        <w:rPr>
          <w:spacing w:val="-1"/>
        </w:rPr>
        <w:t xml:space="preserve"> standards</w:t>
      </w:r>
      <w:r>
        <w:t xml:space="preserve"> over the</w:t>
      </w:r>
      <w:r>
        <w:rPr>
          <w:spacing w:val="-1"/>
        </w:rPr>
        <w:t xml:space="preserve"> regulatory</w:t>
      </w:r>
      <w:r>
        <w:t xml:space="preserve"> period</w:t>
      </w:r>
      <w:r>
        <w:rPr>
          <w:spacing w:val="-1"/>
        </w:rPr>
        <w:t xml:space="preserve"> </w:t>
      </w:r>
      <w:r>
        <w:t>in conjunction</w:t>
      </w:r>
      <w:r>
        <w:rPr>
          <w:spacing w:val="-1"/>
        </w:rPr>
        <w:t xml:space="preserve"> </w:t>
      </w:r>
      <w:r>
        <w:t>with the</w:t>
      </w:r>
      <w:r>
        <w:rPr>
          <w:spacing w:val="37"/>
        </w:rPr>
        <w:t xml:space="preserve"> </w:t>
      </w:r>
      <w:r>
        <w:t>form of</w:t>
      </w:r>
      <w:r>
        <w:rPr>
          <w:spacing w:val="4"/>
        </w:rPr>
        <w:t xml:space="preserve"> </w:t>
      </w:r>
      <w:r>
        <w:rPr>
          <w:spacing w:val="-1"/>
        </w:rPr>
        <w:t>control</w:t>
      </w:r>
      <w:r>
        <w:t xml:space="preserve"> and risk </w:t>
      </w:r>
      <w:r>
        <w:rPr>
          <w:spacing w:val="-1"/>
        </w:rPr>
        <w:t>allocation</w:t>
      </w:r>
      <w:r>
        <w:t xml:space="preserve"> </w:t>
      </w:r>
      <w:r>
        <w:rPr>
          <w:spacing w:val="-1"/>
        </w:rPr>
        <w:t>measures.</w:t>
      </w:r>
      <w:r>
        <w:rPr>
          <w:spacing w:val="-11"/>
        </w:rPr>
        <w:t xml:space="preserve"> </w:t>
      </w:r>
      <w:r>
        <w:rPr>
          <w:spacing w:val="-1"/>
        </w:rPr>
        <w:t>These</w:t>
      </w:r>
      <w:r>
        <w:t xml:space="preserve"> incentive schemes </w:t>
      </w:r>
      <w:r>
        <w:rPr>
          <w:spacing w:val="-2"/>
        </w:rPr>
        <w:t>are</w:t>
      </w:r>
      <w:r>
        <w:t xml:space="preserve"> outlined in</w:t>
      </w:r>
      <w:r>
        <w:rPr>
          <w:spacing w:val="-4"/>
        </w:rPr>
        <w:t xml:space="preserve"> </w:t>
      </w:r>
      <w:r>
        <w:t>Appendix 4.</w:t>
      </w:r>
      <w:r w:rsidR="003A2E62">
        <w:t xml:space="preserve"> </w:t>
      </w:r>
      <w:r>
        <w:t xml:space="preserve">In the </w:t>
      </w:r>
      <w:r>
        <w:rPr>
          <w:spacing w:val="-4"/>
        </w:rPr>
        <w:t>Panel’s</w:t>
      </w:r>
      <w:r>
        <w:t xml:space="preserve"> </w:t>
      </w:r>
      <w:r>
        <w:rPr>
          <w:spacing w:val="-2"/>
        </w:rPr>
        <w:t>view,</w:t>
      </w:r>
      <w:r>
        <w:rPr>
          <w:spacing w:val="-6"/>
        </w:rPr>
        <w:t xml:space="preserve"> </w:t>
      </w:r>
      <w:r>
        <w:rPr>
          <w:spacing w:val="-1"/>
        </w:rPr>
        <w:t>there</w:t>
      </w:r>
      <w:r>
        <w:t xml:space="preserve"> may be merit in including such schemes in</w:t>
      </w:r>
      <w:r>
        <w:rPr>
          <w:spacing w:val="-4"/>
        </w:rPr>
        <w:t xml:space="preserve"> </w:t>
      </w:r>
      <w:r>
        <w:rPr>
          <w:spacing w:val="-2"/>
        </w:rPr>
        <w:t>ACTEW’s</w:t>
      </w:r>
      <w:r>
        <w:t xml:space="preserve"> </w:t>
      </w:r>
      <w:r>
        <w:rPr>
          <w:spacing w:val="-1"/>
        </w:rPr>
        <w:t>regulatory</w:t>
      </w:r>
      <w:r>
        <w:t xml:space="preserve"> </w:t>
      </w:r>
      <w:r>
        <w:rPr>
          <w:spacing w:val="-1"/>
        </w:rPr>
        <w:t>framework.</w:t>
      </w:r>
      <w:r>
        <w:rPr>
          <w:spacing w:val="43"/>
        </w:rPr>
        <w:t xml:space="preserve"> </w:t>
      </w:r>
      <w:r>
        <w:rPr>
          <w:spacing w:val="-2"/>
        </w:rPr>
        <w:t>However,</w:t>
      </w:r>
      <w:r>
        <w:rPr>
          <w:spacing w:val="-7"/>
        </w:rPr>
        <w:t xml:space="preserve"> </w:t>
      </w:r>
      <w:r>
        <w:rPr>
          <w:spacing w:val="-1"/>
        </w:rPr>
        <w:t>there</w:t>
      </w:r>
      <w:r>
        <w:t xml:space="preserve"> was </w:t>
      </w:r>
      <w:r>
        <w:rPr>
          <w:spacing w:val="-1"/>
        </w:rPr>
        <w:t xml:space="preserve">insufficient </w:t>
      </w:r>
      <w:r>
        <w:t>time in</w:t>
      </w:r>
      <w:r>
        <w:rPr>
          <w:spacing w:val="-1"/>
        </w:rPr>
        <w:t xml:space="preserve"> </w:t>
      </w:r>
      <w:r>
        <w:t xml:space="preserve">this </w:t>
      </w:r>
      <w:r>
        <w:rPr>
          <w:spacing w:val="-1"/>
        </w:rPr>
        <w:t>review</w:t>
      </w:r>
      <w:r>
        <w:t xml:space="preserve"> to</w:t>
      </w:r>
      <w:r>
        <w:rPr>
          <w:spacing w:val="-1"/>
        </w:rPr>
        <w:t xml:space="preserve"> </w:t>
      </w:r>
      <w:r>
        <w:t>carry out the</w:t>
      </w:r>
      <w:r>
        <w:rPr>
          <w:spacing w:val="-1"/>
        </w:rPr>
        <w:t xml:space="preserve"> </w:t>
      </w:r>
      <w:r>
        <w:t xml:space="preserve">analysis and </w:t>
      </w:r>
      <w:r>
        <w:rPr>
          <w:spacing w:val="-1"/>
        </w:rPr>
        <w:t>consultation required</w:t>
      </w:r>
      <w:r>
        <w:t xml:space="preserve"> to</w:t>
      </w:r>
      <w:r>
        <w:rPr>
          <w:spacing w:val="53"/>
        </w:rPr>
        <w:t xml:space="preserve"> </w:t>
      </w:r>
      <w:r>
        <w:rPr>
          <w:spacing w:val="-1"/>
        </w:rPr>
        <w:t>properly</w:t>
      </w:r>
      <w:r>
        <w:t xml:space="preserve"> consider this issue.</w:t>
      </w:r>
      <w:r>
        <w:rPr>
          <w:spacing w:val="-11"/>
        </w:rPr>
        <w:t xml:space="preserve"> </w:t>
      </w:r>
      <w:r>
        <w:rPr>
          <w:spacing w:val="-2"/>
        </w:rPr>
        <w:t>Therefore</w:t>
      </w:r>
      <w:r>
        <w:t xml:space="preserve"> the </w:t>
      </w:r>
      <w:r>
        <w:rPr>
          <w:spacing w:val="-3"/>
        </w:rPr>
        <w:t>Panel</w:t>
      </w:r>
      <w:r>
        <w:t xml:space="preserve"> intends to suggest to the ICRC </w:t>
      </w:r>
      <w:r>
        <w:rPr>
          <w:spacing w:val="-1"/>
        </w:rPr>
        <w:t>that</w:t>
      </w:r>
      <w:r>
        <w:t xml:space="preserve"> it </w:t>
      </w:r>
      <w:r>
        <w:rPr>
          <w:spacing w:val="-1"/>
        </w:rPr>
        <w:t>investigate</w:t>
      </w:r>
      <w:r>
        <w:t xml:space="preserve"> the</w:t>
      </w:r>
      <w:r>
        <w:rPr>
          <w:spacing w:val="47"/>
        </w:rPr>
        <w:t xml:space="preserve"> </w:t>
      </w:r>
      <w:r>
        <w:rPr>
          <w:rFonts w:cs="Avenir Next"/>
        </w:rPr>
        <w:t>potential use of</w:t>
      </w:r>
      <w:r>
        <w:rPr>
          <w:rFonts w:cs="Avenir Next"/>
          <w:spacing w:val="4"/>
        </w:rPr>
        <w:t xml:space="preserve"> </w:t>
      </w:r>
      <w:r>
        <w:rPr>
          <w:rFonts w:cs="Avenir Next"/>
        </w:rPr>
        <w:t xml:space="preserve">an </w:t>
      </w:r>
      <w:r>
        <w:rPr>
          <w:rFonts w:cs="Avenir Next"/>
          <w:spacing w:val="-1"/>
        </w:rPr>
        <w:t>operating</w:t>
      </w:r>
      <w:r>
        <w:rPr>
          <w:rFonts w:cs="Avenir Next"/>
        </w:rPr>
        <w:t xml:space="preserve"> and capital </w:t>
      </w:r>
      <w:r>
        <w:rPr>
          <w:rFonts w:cs="Avenir Next"/>
          <w:spacing w:val="-1"/>
        </w:rPr>
        <w:t>expenditure</w:t>
      </w:r>
      <w:r>
        <w:rPr>
          <w:rFonts w:cs="Avenir Next"/>
        </w:rPr>
        <w:t xml:space="preserve"> incentive scheme for the </w:t>
      </w:r>
      <w:r>
        <w:rPr>
          <w:rFonts w:cs="Avenir Next"/>
          <w:spacing w:val="-1"/>
        </w:rPr>
        <w:t>next</w:t>
      </w:r>
      <w:r>
        <w:rPr>
          <w:rFonts w:cs="Avenir Next"/>
        </w:rPr>
        <w:t xml:space="preserve"> </w:t>
      </w:r>
      <w:r>
        <w:rPr>
          <w:rFonts w:cs="Avenir Next"/>
          <w:spacing w:val="-1"/>
        </w:rPr>
        <w:t>regulatory</w:t>
      </w:r>
      <w:r>
        <w:rPr>
          <w:rFonts w:cs="Avenir Next"/>
        </w:rPr>
        <w:t xml:space="preserve"> period,</w:t>
      </w:r>
      <w:r>
        <w:rPr>
          <w:rFonts w:cs="Avenir Next"/>
          <w:spacing w:val="31"/>
        </w:rPr>
        <w:t xml:space="preserve"> </w:t>
      </w:r>
      <w:r>
        <w:t xml:space="preserve">and consider whether a service-level incentive scheme should also be </w:t>
      </w:r>
      <w:r>
        <w:rPr>
          <w:spacing w:val="-1"/>
        </w:rPr>
        <w:t>introduced.</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6.</w:t>
      </w:r>
      <w:r>
        <w:rPr>
          <w:color w:val="0778BE"/>
          <w:spacing w:val="-9"/>
        </w:rPr>
        <w:t xml:space="preserve"> </w:t>
      </w:r>
      <w:r>
        <w:rPr>
          <w:color w:val="0778BE"/>
        </w:rPr>
        <w:t>2</w:t>
      </w:r>
      <w:r>
        <w:rPr>
          <w:color w:val="0778BE"/>
        </w:rPr>
        <w:tab/>
      </w:r>
      <w:r>
        <w:rPr>
          <w:color w:val="0778BE"/>
          <w:spacing w:val="-1"/>
        </w:rPr>
        <w:t>Risks</w:t>
      </w:r>
      <w:r>
        <w:rPr>
          <w:color w:val="0778BE"/>
        </w:rPr>
        <w:t xml:space="preserve"> </w:t>
      </w:r>
      <w:r>
        <w:rPr>
          <w:color w:val="0778BE"/>
          <w:spacing w:val="-1"/>
        </w:rPr>
        <w:t>that</w:t>
      </w:r>
      <w:r>
        <w:rPr>
          <w:color w:val="0778BE"/>
          <w:spacing w:val="-6"/>
        </w:rPr>
        <w:t xml:space="preserve"> </w:t>
      </w:r>
      <w:r>
        <w:rPr>
          <w:color w:val="0778BE"/>
          <w:spacing w:val="-2"/>
        </w:rPr>
        <w:t>ACTEW</w:t>
      </w:r>
      <w:r>
        <w:rPr>
          <w:color w:val="0778BE"/>
          <w:spacing w:val="-4"/>
        </w:rPr>
        <w:t xml:space="preserve"> </w:t>
      </w:r>
      <w:r>
        <w:rPr>
          <w:color w:val="0778BE"/>
        </w:rPr>
        <w:t xml:space="preserve">and its customers </w:t>
      </w:r>
      <w:r>
        <w:rPr>
          <w:color w:val="0778BE"/>
          <w:spacing w:val="-2"/>
        </w:rPr>
        <w:t>are</w:t>
      </w:r>
      <w:r>
        <w:rPr>
          <w:color w:val="0778BE"/>
        </w:rPr>
        <w:t xml:space="preserve"> </w:t>
      </w:r>
      <w:r>
        <w:rPr>
          <w:color w:val="0778BE"/>
          <w:spacing w:val="-1"/>
        </w:rPr>
        <w:t>expected</w:t>
      </w:r>
      <w:r>
        <w:rPr>
          <w:color w:val="0778BE"/>
        </w:rPr>
        <w:t xml:space="preserve"> to face</w:t>
      </w:r>
    </w:p>
    <w:p w:rsidR="00D96B91" w:rsidRDefault="00C2656B">
      <w:pPr>
        <w:pStyle w:val="BodyText"/>
        <w:spacing w:before="55" w:line="260" w:lineRule="exact"/>
        <w:ind w:right="1253"/>
      </w:pPr>
      <w:r>
        <w:rPr>
          <w:rFonts w:cs="Avenir Next"/>
        </w:rPr>
        <w:t xml:space="preserve">When </w:t>
      </w:r>
      <w:r>
        <w:rPr>
          <w:rFonts w:cs="Avenir Next"/>
          <w:spacing w:val="-1"/>
        </w:rPr>
        <w:t>calculating</w:t>
      </w:r>
      <w:r>
        <w:rPr>
          <w:rFonts w:cs="Avenir Next"/>
        </w:rPr>
        <w:t xml:space="preserve"> a </w:t>
      </w:r>
      <w:r>
        <w:rPr>
          <w:rFonts w:cs="Avenir Next"/>
          <w:spacing w:val="-1"/>
        </w:rPr>
        <w:t>regulated</w:t>
      </w:r>
      <w:r>
        <w:rPr>
          <w:rFonts w:cs="Avenir Next"/>
        </w:rPr>
        <w:t xml:space="preserve"> business’ </w:t>
      </w:r>
      <w:r>
        <w:rPr>
          <w:rFonts w:cs="Avenir Next"/>
          <w:spacing w:val="-1"/>
        </w:rPr>
        <w:t>revenue</w:t>
      </w:r>
      <w:r>
        <w:rPr>
          <w:rFonts w:cs="Avenir Next"/>
        </w:rPr>
        <w:t xml:space="preserve"> </w:t>
      </w:r>
      <w:r>
        <w:rPr>
          <w:rFonts w:cs="Avenir Next"/>
          <w:spacing w:val="-1"/>
        </w:rPr>
        <w:t>requirement</w:t>
      </w:r>
      <w:r>
        <w:rPr>
          <w:rFonts w:cs="Avenir Next"/>
        </w:rPr>
        <w:t xml:space="preserve"> and prices prior to the </w:t>
      </w:r>
      <w:r>
        <w:rPr>
          <w:rFonts w:cs="Avenir Next"/>
          <w:spacing w:val="-1"/>
        </w:rPr>
        <w:t>start</w:t>
      </w:r>
      <w:r>
        <w:rPr>
          <w:rFonts w:cs="Avenir Next"/>
        </w:rPr>
        <w:t xml:space="preserve"> of</w:t>
      </w:r>
      <w:r>
        <w:rPr>
          <w:rFonts w:cs="Avenir Next"/>
          <w:spacing w:val="4"/>
        </w:rPr>
        <w:t xml:space="preserve"> </w:t>
      </w:r>
      <w:r>
        <w:rPr>
          <w:rFonts w:cs="Avenir Next"/>
        </w:rPr>
        <w:t>a</w:t>
      </w:r>
      <w:r>
        <w:rPr>
          <w:rFonts w:cs="Avenir Next"/>
          <w:spacing w:val="41"/>
        </w:rPr>
        <w:t xml:space="preserve"> </w:t>
      </w:r>
      <w:r>
        <w:rPr>
          <w:rFonts w:cs="Avenir Next"/>
          <w:spacing w:val="-1"/>
        </w:rPr>
        <w:t>regulatory</w:t>
      </w:r>
      <w:r>
        <w:rPr>
          <w:rFonts w:cs="Avenir Next"/>
        </w:rPr>
        <w:t xml:space="preserve"> period,</w:t>
      </w:r>
      <w:r>
        <w:rPr>
          <w:rFonts w:cs="Avenir Next"/>
          <w:spacing w:val="-6"/>
        </w:rPr>
        <w:t xml:space="preserve"> </w:t>
      </w:r>
      <w:r>
        <w:rPr>
          <w:rFonts w:cs="Avenir Next"/>
          <w:spacing w:val="-1"/>
        </w:rPr>
        <w:t>there</w:t>
      </w:r>
      <w:r>
        <w:rPr>
          <w:rFonts w:cs="Avenir Next"/>
        </w:rPr>
        <w:t xml:space="preserve"> is always a risk </w:t>
      </w:r>
      <w:r>
        <w:rPr>
          <w:rFonts w:cs="Avenir Next"/>
          <w:spacing w:val="-1"/>
        </w:rPr>
        <w:t>that</w:t>
      </w:r>
      <w:r>
        <w:rPr>
          <w:rFonts w:cs="Avenir Next"/>
        </w:rPr>
        <w:t xml:space="preserve"> the business’ actual </w:t>
      </w:r>
      <w:r>
        <w:rPr>
          <w:rFonts w:cs="Avenir Next"/>
          <w:spacing w:val="-1"/>
        </w:rPr>
        <w:t>expenditure</w:t>
      </w:r>
      <w:r>
        <w:rPr>
          <w:rFonts w:cs="Avenir Next"/>
        </w:rPr>
        <w:t xml:space="preserve"> and/or demand for the</w:t>
      </w:r>
      <w:r>
        <w:rPr>
          <w:rFonts w:cs="Avenir Next"/>
          <w:spacing w:val="23"/>
        </w:rPr>
        <w:t xml:space="preserve"> </w:t>
      </w:r>
      <w:r>
        <w:rPr>
          <w:spacing w:val="-1"/>
        </w:rPr>
        <w:t>regulated</w:t>
      </w:r>
      <w:r>
        <w:t xml:space="preserve"> services will </w:t>
      </w:r>
      <w:r>
        <w:rPr>
          <w:spacing w:val="-1"/>
        </w:rPr>
        <w:t>deviate</w:t>
      </w:r>
      <w:r>
        <w:t xml:space="preserve"> </w:t>
      </w:r>
      <w:r>
        <w:rPr>
          <w:spacing w:val="-1"/>
        </w:rPr>
        <w:t>from</w:t>
      </w:r>
      <w:r>
        <w:t xml:space="preserve"> the </w:t>
      </w:r>
      <w:r>
        <w:rPr>
          <w:spacing w:val="-1"/>
        </w:rPr>
        <w:t>forecasts</w:t>
      </w:r>
      <w:r>
        <w:t xml:space="preserve"> used in this </w:t>
      </w:r>
      <w:r>
        <w:rPr>
          <w:spacing w:val="-1"/>
        </w:rPr>
        <w:t>calculation.</w:t>
      </w:r>
      <w:r>
        <w:rPr>
          <w:spacing w:val="-11"/>
        </w:rPr>
        <w:t xml:space="preserve"> </w:t>
      </w:r>
      <w:r>
        <w:rPr>
          <w:spacing w:val="-2"/>
        </w:rPr>
        <w:t>There</w:t>
      </w:r>
      <w:r>
        <w:t xml:space="preserve"> is also a risk </w:t>
      </w:r>
      <w:r>
        <w:rPr>
          <w:spacing w:val="-1"/>
        </w:rPr>
        <w:t>that</w:t>
      </w:r>
      <w:r>
        <w:t xml:space="preserve"> a major</w:t>
      </w:r>
      <w:r>
        <w:rPr>
          <w:spacing w:val="51"/>
        </w:rPr>
        <w:t xml:space="preserve"> </w:t>
      </w:r>
      <w:r>
        <w:rPr>
          <w:spacing w:val="-1"/>
        </w:rPr>
        <w:t>unforeseen</w:t>
      </w:r>
      <w:r>
        <w:t xml:space="preserve"> event (such as a </w:t>
      </w:r>
      <w:r>
        <w:rPr>
          <w:spacing w:val="-1"/>
        </w:rPr>
        <w:t>natural</w:t>
      </w:r>
      <w:r>
        <w:t xml:space="preserve"> disaster) may occur in the period and adversely </w:t>
      </w:r>
      <w:r>
        <w:rPr>
          <w:spacing w:val="-1"/>
        </w:rPr>
        <w:t>affect</w:t>
      </w:r>
      <w:r>
        <w:t xml:space="preserve"> the business’</w:t>
      </w:r>
      <w:r>
        <w:rPr>
          <w:spacing w:val="30"/>
        </w:rPr>
        <w:t xml:space="preserve"> </w:t>
      </w:r>
      <w:r>
        <w:t>ability</w:t>
      </w:r>
      <w:r>
        <w:rPr>
          <w:spacing w:val="-1"/>
        </w:rPr>
        <w:t xml:space="preserve"> </w:t>
      </w:r>
      <w:r>
        <w:t>to</w:t>
      </w:r>
      <w:r>
        <w:rPr>
          <w:spacing w:val="-1"/>
        </w:rPr>
        <w:t xml:space="preserve"> provide </w:t>
      </w:r>
      <w:r>
        <w:t>the</w:t>
      </w:r>
      <w:r>
        <w:rPr>
          <w:spacing w:val="-1"/>
        </w:rPr>
        <w:t xml:space="preserve"> </w:t>
      </w:r>
      <w:r>
        <w:t>service</w:t>
      </w:r>
      <w:r>
        <w:rPr>
          <w:spacing w:val="-1"/>
        </w:rPr>
        <w:t xml:space="preserve"> </w:t>
      </w:r>
      <w:r>
        <w:t>and/or</w:t>
      </w:r>
      <w:r>
        <w:rPr>
          <w:spacing w:val="-1"/>
        </w:rPr>
        <w:t xml:space="preserve"> </w:t>
      </w:r>
      <w:r>
        <w:t>its</w:t>
      </w:r>
      <w:r>
        <w:rPr>
          <w:spacing w:val="-1"/>
        </w:rPr>
        <w:t xml:space="preserve"> </w:t>
      </w:r>
      <w:r>
        <w:t>financial</w:t>
      </w:r>
      <w:r>
        <w:rPr>
          <w:spacing w:val="-1"/>
        </w:rPr>
        <w:t xml:space="preserve"> viability.</w:t>
      </w:r>
    </w:p>
    <w:p w:rsidR="00D96B91" w:rsidRDefault="00C2656B">
      <w:pPr>
        <w:pStyle w:val="BodyText"/>
        <w:spacing w:before="170" w:line="260" w:lineRule="exact"/>
        <w:ind w:right="1548"/>
        <w:rPr>
          <w:rFonts w:cs="Avenir Next"/>
        </w:rPr>
      </w:pPr>
      <w:r>
        <w:rPr>
          <w:spacing w:val="-10"/>
        </w:rPr>
        <w:t>To</w:t>
      </w:r>
      <w:r>
        <w:t xml:space="preserve"> </w:t>
      </w:r>
      <w:r>
        <w:rPr>
          <w:spacing w:val="-1"/>
        </w:rPr>
        <w:t>better</w:t>
      </w:r>
      <w:r>
        <w:t xml:space="preserve"> understand the </w:t>
      </w:r>
      <w:r>
        <w:rPr>
          <w:spacing w:val="-1"/>
        </w:rPr>
        <w:t>risks</w:t>
      </w:r>
      <w:r>
        <w:t xml:space="preserve"> </w:t>
      </w:r>
      <w:r>
        <w:rPr>
          <w:spacing w:val="-1"/>
        </w:rPr>
        <w:t>that</w:t>
      </w:r>
      <w:r>
        <w:rPr>
          <w:spacing w:val="-4"/>
        </w:rPr>
        <w:t xml:space="preserve"> </w:t>
      </w:r>
      <w:r>
        <w:rPr>
          <w:spacing w:val="-2"/>
        </w:rPr>
        <w:t>ACTEW</w:t>
      </w:r>
      <w:r>
        <w:rPr>
          <w:spacing w:val="-3"/>
        </w:rPr>
        <w:t xml:space="preserve"> </w:t>
      </w:r>
      <w:r>
        <w:t xml:space="preserve">and its customers </w:t>
      </w:r>
      <w:r>
        <w:rPr>
          <w:spacing w:val="-2"/>
        </w:rPr>
        <w:t>are</w:t>
      </w:r>
      <w:r>
        <w:t xml:space="preserve"> </w:t>
      </w:r>
      <w:r>
        <w:rPr>
          <w:spacing w:val="-1"/>
        </w:rPr>
        <w:t>likely</w:t>
      </w:r>
      <w:r>
        <w:t xml:space="preserve"> to face in this period </w:t>
      </w:r>
      <w:r>
        <w:rPr>
          <w:spacing w:val="-2"/>
        </w:rPr>
        <w:t>at</w:t>
      </w:r>
      <w:r>
        <w:t xml:space="preserve"> a high</w:t>
      </w:r>
      <w:r>
        <w:rPr>
          <w:spacing w:val="35"/>
        </w:rPr>
        <w:t xml:space="preserve"> </w:t>
      </w:r>
      <w:r>
        <w:t>level,</w:t>
      </w:r>
      <w:r>
        <w:rPr>
          <w:spacing w:val="-6"/>
        </w:rPr>
        <w:t xml:space="preserve"> </w:t>
      </w:r>
      <w:r>
        <w:t xml:space="preserve">the </w:t>
      </w:r>
      <w:r>
        <w:rPr>
          <w:spacing w:val="-3"/>
        </w:rPr>
        <w:t>Panel</w:t>
      </w:r>
      <w:r>
        <w:t xml:space="preserve"> analysed:</w:t>
      </w:r>
    </w:p>
    <w:p w:rsidR="00D96B91" w:rsidRDefault="00C2656B">
      <w:pPr>
        <w:pStyle w:val="BodyText"/>
        <w:numPr>
          <w:ilvl w:val="0"/>
          <w:numId w:val="131"/>
        </w:numPr>
        <w:tabs>
          <w:tab w:val="left" w:pos="1531"/>
        </w:tabs>
        <w:spacing w:before="170" w:line="260" w:lineRule="exact"/>
        <w:ind w:right="2037" w:hanging="283"/>
        <w:rPr>
          <w:rFonts w:cs="Avenir Next"/>
        </w:rPr>
      </w:pPr>
      <w:r>
        <w:t xml:space="preserve">the </w:t>
      </w:r>
      <w:r>
        <w:rPr>
          <w:spacing w:val="-1"/>
        </w:rPr>
        <w:t>deviations</w:t>
      </w:r>
      <w:r>
        <w:t xml:space="preserve"> between </w:t>
      </w:r>
      <w:r>
        <w:rPr>
          <w:spacing w:val="-1"/>
        </w:rPr>
        <w:t>forecast</w:t>
      </w:r>
      <w:r>
        <w:t xml:space="preserve"> and actual </w:t>
      </w:r>
      <w:r>
        <w:rPr>
          <w:spacing w:val="-1"/>
        </w:rPr>
        <w:t>expenditure</w:t>
      </w:r>
      <w:r>
        <w:t xml:space="preserve"> and </w:t>
      </w:r>
      <w:r>
        <w:rPr>
          <w:spacing w:val="-1"/>
        </w:rPr>
        <w:t>water</w:t>
      </w:r>
      <w:r>
        <w:t xml:space="preserve"> sales </w:t>
      </w:r>
      <w:r>
        <w:rPr>
          <w:spacing w:val="-1"/>
        </w:rPr>
        <w:t>that</w:t>
      </w:r>
      <w:r>
        <w:t xml:space="preserve"> </w:t>
      </w:r>
      <w:r>
        <w:rPr>
          <w:spacing w:val="-1"/>
        </w:rPr>
        <w:t>occurred</w:t>
      </w:r>
      <w:r>
        <w:t xml:space="preserve"> in the</w:t>
      </w:r>
      <w:r>
        <w:rPr>
          <w:spacing w:val="49"/>
        </w:rPr>
        <w:t xml:space="preserve"> </w:t>
      </w:r>
      <w:r>
        <w:rPr>
          <w:spacing w:val="-1"/>
        </w:rPr>
        <w:t>previous</w:t>
      </w:r>
      <w:r>
        <w:t xml:space="preserve"> </w:t>
      </w:r>
      <w:r>
        <w:rPr>
          <w:spacing w:val="-1"/>
        </w:rPr>
        <w:t>regulatory</w:t>
      </w:r>
      <w:r>
        <w:t xml:space="preserve"> period and the </w:t>
      </w:r>
      <w:r>
        <w:rPr>
          <w:spacing w:val="-1"/>
        </w:rPr>
        <w:t>sources</w:t>
      </w:r>
      <w:r>
        <w:t xml:space="preserve"> of</w:t>
      </w:r>
      <w:r>
        <w:rPr>
          <w:spacing w:val="4"/>
        </w:rPr>
        <w:t xml:space="preserve"> </w:t>
      </w:r>
      <w:r>
        <w:t xml:space="preserve">those </w:t>
      </w:r>
      <w:r>
        <w:rPr>
          <w:spacing w:val="-1"/>
        </w:rPr>
        <w:t>deviations,</w:t>
      </w:r>
      <w:r>
        <w:rPr>
          <w:spacing w:val="-6"/>
        </w:rPr>
        <w:t xml:space="preserve"> </w:t>
      </w:r>
      <w:r>
        <w:t>and</w:t>
      </w:r>
    </w:p>
    <w:p w:rsidR="00D96B91" w:rsidRDefault="00C2656B">
      <w:pPr>
        <w:pStyle w:val="BodyText"/>
        <w:numPr>
          <w:ilvl w:val="0"/>
          <w:numId w:val="131"/>
        </w:numPr>
        <w:tabs>
          <w:tab w:val="left" w:pos="1531"/>
        </w:tabs>
        <w:spacing w:before="93"/>
        <w:ind w:hanging="283"/>
      </w:pPr>
      <w:r>
        <w:t xml:space="preserve">the </w:t>
      </w:r>
      <w:r>
        <w:rPr>
          <w:spacing w:val="-2"/>
        </w:rPr>
        <w:t>key</w:t>
      </w:r>
      <w:r>
        <w:t xml:space="preserve"> </w:t>
      </w:r>
      <w:r>
        <w:rPr>
          <w:spacing w:val="-1"/>
        </w:rPr>
        <w:t>sources</w:t>
      </w:r>
      <w:r>
        <w:t xml:space="preserve"> of</w:t>
      </w:r>
      <w:r>
        <w:rPr>
          <w:spacing w:val="4"/>
        </w:rPr>
        <w:t xml:space="preserve"> </w:t>
      </w:r>
      <w:r>
        <w:rPr>
          <w:spacing w:val="-1"/>
        </w:rPr>
        <w:t>uncertainty</w:t>
      </w:r>
      <w:r>
        <w:t xml:space="preserve"> facing</w:t>
      </w:r>
      <w:r>
        <w:rPr>
          <w:spacing w:val="-4"/>
        </w:rPr>
        <w:t xml:space="preserve"> </w:t>
      </w:r>
      <w:r>
        <w:rPr>
          <w:spacing w:val="-2"/>
        </w:rPr>
        <w:t>ACTEW</w:t>
      </w:r>
      <w:r>
        <w:rPr>
          <w:spacing w:val="-3"/>
        </w:rPr>
        <w:t xml:space="preserve"> </w:t>
      </w:r>
      <w:r>
        <w:t xml:space="preserve">and its customers in the </w:t>
      </w:r>
      <w:r>
        <w:rPr>
          <w:spacing w:val="-1"/>
        </w:rPr>
        <w:t>current</w:t>
      </w:r>
      <w:r>
        <w:t xml:space="preserve"> </w:t>
      </w:r>
      <w:r>
        <w:rPr>
          <w:spacing w:val="-1"/>
        </w:rPr>
        <w:t>regulatory</w:t>
      </w:r>
      <w:r>
        <w:t xml:space="preserve"> period.</w:t>
      </w:r>
    </w:p>
    <w:p w:rsidR="00D96B91" w:rsidRDefault="00D96B91">
      <w:pPr>
        <w:sectPr w:rsidR="00D96B91">
          <w:pgSz w:w="11910" w:h="16840"/>
          <w:pgMar w:top="1200" w:right="0" w:bottom="1020" w:left="0" w:header="0" w:footer="829" w:gutter="0"/>
          <w:cols w:space="720"/>
        </w:sectPr>
      </w:pPr>
    </w:p>
    <w:p w:rsidR="00D96B91" w:rsidRDefault="00C2656B">
      <w:pPr>
        <w:pStyle w:val="Heading6"/>
        <w:numPr>
          <w:ilvl w:val="2"/>
          <w:numId w:val="105"/>
        </w:numPr>
        <w:tabs>
          <w:tab w:val="left" w:pos="2098"/>
        </w:tabs>
        <w:spacing w:before="19" w:line="288" w:lineRule="exact"/>
        <w:ind w:right="1634" w:hanging="850"/>
      </w:pPr>
      <w:bookmarkStart w:id="55" w:name="_bookmark29"/>
      <w:bookmarkEnd w:id="55"/>
      <w:r>
        <w:rPr>
          <w:color w:val="0778BE"/>
          <w:spacing w:val="-1"/>
        </w:rPr>
        <w:t>Deviations</w:t>
      </w:r>
      <w:r>
        <w:rPr>
          <w:color w:val="0778BE"/>
        </w:rPr>
        <w:t xml:space="preserve"> between </w:t>
      </w:r>
      <w:r>
        <w:rPr>
          <w:color w:val="0778BE"/>
          <w:spacing w:val="-1"/>
        </w:rPr>
        <w:t>forecast</w:t>
      </w:r>
      <w:r>
        <w:rPr>
          <w:color w:val="0778BE"/>
        </w:rPr>
        <w:t xml:space="preserve"> and actual </w:t>
      </w:r>
      <w:r>
        <w:rPr>
          <w:color w:val="0778BE"/>
          <w:spacing w:val="-1"/>
        </w:rPr>
        <w:t>expenditure</w:t>
      </w:r>
      <w:r>
        <w:rPr>
          <w:color w:val="0778BE"/>
        </w:rPr>
        <w:t xml:space="preserve"> and </w:t>
      </w:r>
      <w:r>
        <w:rPr>
          <w:color w:val="0778BE"/>
          <w:spacing w:val="-1"/>
        </w:rPr>
        <w:t>water</w:t>
      </w:r>
      <w:r>
        <w:rPr>
          <w:color w:val="0778BE"/>
        </w:rPr>
        <w:t xml:space="preserve"> sales in the</w:t>
      </w:r>
      <w:r>
        <w:rPr>
          <w:color w:val="0778BE"/>
          <w:spacing w:val="31"/>
        </w:rPr>
        <w:t xml:space="preserve"> </w:t>
      </w:r>
      <w:r>
        <w:rPr>
          <w:color w:val="0778BE"/>
        </w:rPr>
        <w:t xml:space="preserve">last </w:t>
      </w:r>
      <w:r>
        <w:rPr>
          <w:color w:val="0778BE"/>
          <w:spacing w:val="-1"/>
        </w:rPr>
        <w:t>regulatory</w:t>
      </w:r>
      <w:r>
        <w:rPr>
          <w:color w:val="0778BE"/>
        </w:rPr>
        <w:t xml:space="preserve"> period</w:t>
      </w:r>
    </w:p>
    <w:p w:rsidR="00D96B91" w:rsidRDefault="00C2656B">
      <w:pPr>
        <w:pStyle w:val="BodyText"/>
        <w:spacing w:before="51" w:line="260" w:lineRule="exact"/>
        <w:ind w:right="1256"/>
        <w:rPr>
          <w:rFonts w:cs="Avenir Next"/>
        </w:rPr>
      </w:pPr>
      <w:r>
        <w:rPr>
          <w:spacing w:val="-10"/>
        </w:rPr>
        <w:t>To</w:t>
      </w:r>
      <w:r>
        <w:t xml:space="preserve"> </w:t>
      </w:r>
      <w:r>
        <w:rPr>
          <w:spacing w:val="-1"/>
        </w:rPr>
        <w:t>provide</w:t>
      </w:r>
      <w:r>
        <w:t xml:space="preserve"> some insight into the </w:t>
      </w:r>
      <w:r>
        <w:rPr>
          <w:spacing w:val="-1"/>
        </w:rPr>
        <w:t>risks</w:t>
      </w:r>
      <w:r>
        <w:t xml:space="preserve"> and </w:t>
      </w:r>
      <w:r>
        <w:rPr>
          <w:spacing w:val="-1"/>
        </w:rPr>
        <w:t>uncertainties</w:t>
      </w:r>
      <w:r>
        <w:rPr>
          <w:spacing w:val="-4"/>
        </w:rPr>
        <w:t xml:space="preserve"> </w:t>
      </w:r>
      <w:r>
        <w:rPr>
          <w:spacing w:val="-2"/>
        </w:rPr>
        <w:t>ACTEW</w:t>
      </w:r>
      <w:r>
        <w:rPr>
          <w:spacing w:val="-3"/>
        </w:rPr>
        <w:t xml:space="preserve"> </w:t>
      </w:r>
      <w:r>
        <w:t xml:space="preserve">and its customers faced in the </w:t>
      </w:r>
      <w:r>
        <w:rPr>
          <w:spacing w:val="-1"/>
        </w:rPr>
        <w:t>previous</w:t>
      </w:r>
      <w:r>
        <w:rPr>
          <w:spacing w:val="49"/>
        </w:rPr>
        <w:t xml:space="preserve"> </w:t>
      </w:r>
      <w:r>
        <w:rPr>
          <w:spacing w:val="-1"/>
        </w:rPr>
        <w:t>regulatory</w:t>
      </w:r>
      <w:r>
        <w:t xml:space="preserve"> period,</w:t>
      </w:r>
      <w:r>
        <w:rPr>
          <w:spacing w:val="-6"/>
        </w:rPr>
        <w:t xml:space="preserve"> </w:t>
      </w:r>
      <w:hyperlink w:anchor="_bookmark29" w:history="1">
        <w:r>
          <w:rPr>
            <w:spacing w:val="-2"/>
          </w:rPr>
          <w:t>Figure</w:t>
        </w:r>
        <w:r>
          <w:t xml:space="preserve"> 6.1</w:t>
        </w:r>
      </w:hyperlink>
      <w:r>
        <w:t xml:space="preserve"> </w:t>
      </w:r>
      <w:r>
        <w:rPr>
          <w:spacing w:val="-1"/>
        </w:rPr>
        <w:t>compares:</w:t>
      </w:r>
    </w:p>
    <w:p w:rsidR="00D96B91" w:rsidRDefault="00C2656B">
      <w:pPr>
        <w:pStyle w:val="BodyText"/>
        <w:numPr>
          <w:ilvl w:val="0"/>
          <w:numId w:val="131"/>
        </w:numPr>
        <w:tabs>
          <w:tab w:val="left" w:pos="1531"/>
        </w:tabs>
        <w:spacing w:before="170" w:line="260" w:lineRule="exact"/>
        <w:ind w:right="1368" w:hanging="283"/>
      </w:pPr>
      <w:r>
        <w:t xml:space="preserve">the </w:t>
      </w:r>
      <w:r>
        <w:rPr>
          <w:spacing w:val="-1"/>
        </w:rPr>
        <w:t>forecast</w:t>
      </w:r>
      <w:r>
        <w:t xml:space="preserve"> </w:t>
      </w:r>
      <w:r>
        <w:rPr>
          <w:spacing w:val="-1"/>
        </w:rPr>
        <w:t>expenditure</w:t>
      </w:r>
      <w:r>
        <w:t xml:space="preserve"> and </w:t>
      </w:r>
      <w:r>
        <w:rPr>
          <w:spacing w:val="-1"/>
        </w:rPr>
        <w:t>forecast</w:t>
      </w:r>
      <w:r>
        <w:t xml:space="preserve"> </w:t>
      </w:r>
      <w:r>
        <w:rPr>
          <w:spacing w:val="-1"/>
        </w:rPr>
        <w:t>water</w:t>
      </w:r>
      <w:r>
        <w:t xml:space="preserve"> sales for the period 1</w:t>
      </w:r>
      <w:r>
        <w:rPr>
          <w:spacing w:val="-3"/>
        </w:rPr>
        <w:t xml:space="preserve"> </w:t>
      </w:r>
      <w:r>
        <w:t>July 2008 to 30</w:t>
      </w:r>
      <w:r>
        <w:rPr>
          <w:spacing w:val="-3"/>
        </w:rPr>
        <w:t xml:space="preserve"> </w:t>
      </w:r>
      <w:r>
        <w:t>June 2013,</w:t>
      </w:r>
      <w:r>
        <w:rPr>
          <w:spacing w:val="-6"/>
        </w:rPr>
        <w:t xml:space="preserve"> </w:t>
      </w:r>
      <w:r>
        <w:t>which</w:t>
      </w:r>
      <w:r>
        <w:rPr>
          <w:spacing w:val="33"/>
        </w:rPr>
        <w:t xml:space="preserve"> </w:t>
      </w:r>
      <w:r>
        <w:t xml:space="preserve">the ICRC used in making its 2008 price </w:t>
      </w:r>
      <w:r>
        <w:rPr>
          <w:spacing w:val="-1"/>
        </w:rPr>
        <w:t>direction,</w:t>
      </w:r>
      <w:r>
        <w:rPr>
          <w:spacing w:val="-6"/>
        </w:rPr>
        <w:t xml:space="preserve"> </w:t>
      </w:r>
      <w:r>
        <w:t>with</w:t>
      </w:r>
    </w:p>
    <w:p w:rsidR="00D96B91" w:rsidRDefault="00C2656B">
      <w:pPr>
        <w:pStyle w:val="BodyText"/>
        <w:numPr>
          <w:ilvl w:val="0"/>
          <w:numId w:val="131"/>
        </w:numPr>
        <w:tabs>
          <w:tab w:val="left" w:pos="1531"/>
        </w:tabs>
        <w:spacing w:before="93"/>
        <w:ind w:hanging="283"/>
      </w:pPr>
      <w:r>
        <w:rPr>
          <w:spacing w:val="-2"/>
        </w:rPr>
        <w:t>ACTEW’s</w:t>
      </w:r>
      <w:r>
        <w:t xml:space="preserve"> actual </w:t>
      </w:r>
      <w:r>
        <w:rPr>
          <w:spacing w:val="-1"/>
        </w:rPr>
        <w:t>expenditure</w:t>
      </w:r>
      <w:r>
        <w:t xml:space="preserve"> and actual </w:t>
      </w:r>
      <w:r>
        <w:rPr>
          <w:spacing w:val="-1"/>
        </w:rPr>
        <w:t>water</w:t>
      </w:r>
      <w:r>
        <w:t xml:space="preserve"> sales over </w:t>
      </w:r>
      <w:r>
        <w:rPr>
          <w:spacing w:val="-1"/>
        </w:rPr>
        <w:t>that</w:t>
      </w:r>
      <w:r>
        <w:t xml:space="preserve"> period.</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83"/>
        <w:rPr>
          <w:rFonts w:cs="Avenir Next"/>
        </w:rPr>
      </w:pPr>
      <w:r>
        <w:t>As</w:t>
      </w:r>
      <w:r>
        <w:rPr>
          <w:spacing w:val="-1"/>
        </w:rPr>
        <w:t xml:space="preserve"> </w:t>
      </w:r>
      <w:r>
        <w:t xml:space="preserve">this </w:t>
      </w:r>
      <w:r>
        <w:rPr>
          <w:spacing w:val="-1"/>
        </w:rPr>
        <w:t>figure</w:t>
      </w:r>
      <w:r>
        <w:t xml:space="preserve"> shows,</w:t>
      </w:r>
      <w:r>
        <w:rPr>
          <w:spacing w:val="-7"/>
        </w:rPr>
        <w:t xml:space="preserve"> </w:t>
      </w:r>
      <w:r>
        <w:t xml:space="preserve">the </w:t>
      </w:r>
      <w:r>
        <w:rPr>
          <w:spacing w:val="-1"/>
        </w:rPr>
        <w:t>previous</w:t>
      </w:r>
      <w:r>
        <w:t xml:space="preserve"> </w:t>
      </w:r>
      <w:r>
        <w:rPr>
          <w:spacing w:val="-1"/>
        </w:rPr>
        <w:t xml:space="preserve">regulatory </w:t>
      </w:r>
      <w:r>
        <w:t xml:space="preserve">period was </w:t>
      </w:r>
      <w:r>
        <w:rPr>
          <w:spacing w:val="-1"/>
        </w:rPr>
        <w:t xml:space="preserve">characterised </w:t>
      </w:r>
      <w:r>
        <w:t>by higher capital</w:t>
      </w:r>
      <w:r>
        <w:rPr>
          <w:spacing w:val="-1"/>
        </w:rPr>
        <w:t xml:space="preserve"> expenditure</w:t>
      </w:r>
      <w:r>
        <w:rPr>
          <w:spacing w:val="51"/>
        </w:rPr>
        <w:t xml:space="preserve"> </w:t>
      </w:r>
      <w:r>
        <w:t xml:space="preserve">and lower </w:t>
      </w:r>
      <w:r>
        <w:rPr>
          <w:spacing w:val="-1"/>
        </w:rPr>
        <w:t>water</w:t>
      </w:r>
      <w:r>
        <w:t xml:space="preserve"> sales than was </w:t>
      </w:r>
      <w:r>
        <w:rPr>
          <w:spacing w:val="-1"/>
        </w:rPr>
        <w:t>anticipated</w:t>
      </w:r>
      <w:r>
        <w:t xml:space="preserve"> when the 2008 price </w:t>
      </w:r>
      <w:r>
        <w:rPr>
          <w:spacing w:val="-1"/>
        </w:rPr>
        <w:t>direction</w:t>
      </w:r>
      <w:r>
        <w:t xml:space="preserve"> was made.</w:t>
      </w:r>
      <w:r>
        <w:rPr>
          <w:spacing w:val="-11"/>
        </w:rPr>
        <w:t xml:space="preserve"> </w:t>
      </w:r>
      <w:r>
        <w:rPr>
          <w:spacing w:val="-2"/>
        </w:rPr>
        <w:t>The</w:t>
      </w:r>
      <w:r>
        <w:t xml:space="preserve"> </w:t>
      </w:r>
      <w:r>
        <w:rPr>
          <w:spacing w:val="-1"/>
        </w:rPr>
        <w:t>sources</w:t>
      </w:r>
      <w:r>
        <w:t xml:space="preserve"> of</w:t>
      </w:r>
      <w:r>
        <w:rPr>
          <w:spacing w:val="45"/>
        </w:rPr>
        <w:t xml:space="preserve"> </w:t>
      </w:r>
      <w:r>
        <w:t xml:space="preserve">these </w:t>
      </w:r>
      <w:r>
        <w:rPr>
          <w:spacing w:val="-1"/>
        </w:rPr>
        <w:t>deviations</w:t>
      </w:r>
      <w:r>
        <w:t xml:space="preserve"> and the $268 million </w:t>
      </w:r>
      <w:r>
        <w:rPr>
          <w:spacing w:val="-1"/>
        </w:rPr>
        <w:t>shortfall</w:t>
      </w:r>
      <w:r>
        <w:t xml:space="preserve"> in </w:t>
      </w:r>
      <w:r>
        <w:rPr>
          <w:spacing w:val="-1"/>
        </w:rPr>
        <w:t>water</w:t>
      </w:r>
      <w:r>
        <w:t xml:space="preserve"> </w:t>
      </w:r>
      <w:r>
        <w:rPr>
          <w:spacing w:val="-1"/>
        </w:rPr>
        <w:t>revenue</w:t>
      </w:r>
      <w:r>
        <w:t xml:space="preserve"> </w:t>
      </w:r>
      <w:r>
        <w:rPr>
          <w:spacing w:val="-1"/>
        </w:rPr>
        <w:t>that</w:t>
      </w:r>
      <w:r>
        <w:t xml:space="preserve"> </w:t>
      </w:r>
      <w:r>
        <w:rPr>
          <w:spacing w:val="-1"/>
        </w:rPr>
        <w:t>occurred</w:t>
      </w:r>
      <w:r>
        <w:t xml:space="preserve"> in the period include the</w:t>
      </w:r>
      <w:r>
        <w:rPr>
          <w:spacing w:val="53"/>
        </w:rPr>
        <w:t xml:space="preserve"> </w:t>
      </w:r>
      <w:r>
        <w:t>following:</w:t>
      </w:r>
    </w:p>
    <w:p w:rsidR="00D96B91" w:rsidRDefault="00C2656B">
      <w:pPr>
        <w:numPr>
          <w:ilvl w:val="0"/>
          <w:numId w:val="131"/>
        </w:numPr>
        <w:tabs>
          <w:tab w:val="left" w:pos="1531"/>
        </w:tabs>
        <w:spacing w:before="170" w:line="260" w:lineRule="exact"/>
        <w:ind w:right="1245" w:hanging="283"/>
        <w:rPr>
          <w:rFonts w:ascii="Avenir Next" w:eastAsia="Avenir Next" w:hAnsi="Avenir Next" w:cs="Avenir Next"/>
          <w:sz w:val="20"/>
          <w:szCs w:val="20"/>
        </w:rPr>
      </w:pPr>
      <w:r>
        <w:rPr>
          <w:rFonts w:ascii="Avenir Next"/>
          <w:b/>
          <w:sz w:val="20"/>
        </w:rPr>
        <w:t>Actual</w:t>
      </w:r>
      <w:r>
        <w:rPr>
          <w:rFonts w:ascii="Avenir Next"/>
          <w:b/>
          <w:spacing w:val="-1"/>
          <w:sz w:val="20"/>
        </w:rPr>
        <w:t xml:space="preserve"> </w:t>
      </w:r>
      <w:r>
        <w:rPr>
          <w:rFonts w:ascii="Avenir Next"/>
          <w:b/>
          <w:sz w:val="20"/>
        </w:rPr>
        <w:t xml:space="preserve">capital </w:t>
      </w:r>
      <w:r>
        <w:rPr>
          <w:rFonts w:ascii="Avenir Next"/>
          <w:b/>
          <w:spacing w:val="-1"/>
          <w:sz w:val="20"/>
        </w:rPr>
        <w:t>expenditure related</w:t>
      </w:r>
      <w:r>
        <w:rPr>
          <w:rFonts w:ascii="Avenir Next"/>
          <w:b/>
          <w:sz w:val="20"/>
        </w:rPr>
        <w:t xml:space="preserve"> to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services</w:t>
      </w:r>
      <w:r>
        <w:rPr>
          <w:rFonts w:ascii="Avenir Next"/>
          <w:b/>
          <w:spacing w:val="-1"/>
          <w:sz w:val="20"/>
        </w:rPr>
        <w:t xml:space="preserve"> </w:t>
      </w:r>
      <w:r>
        <w:rPr>
          <w:rFonts w:ascii="Avenir Next"/>
          <w:sz w:val="20"/>
        </w:rPr>
        <w:t>was $427</w:t>
      </w:r>
      <w:r>
        <w:rPr>
          <w:rFonts w:ascii="Avenir Next"/>
          <w:spacing w:val="-1"/>
          <w:sz w:val="20"/>
        </w:rPr>
        <w:t xml:space="preserve"> </w:t>
      </w:r>
      <w:r>
        <w:rPr>
          <w:rFonts w:ascii="Avenir Next"/>
          <w:sz w:val="20"/>
        </w:rPr>
        <w:t>million (or 70%)</w:t>
      </w:r>
      <w:r>
        <w:rPr>
          <w:rFonts w:ascii="Avenir Next"/>
          <w:spacing w:val="-1"/>
          <w:sz w:val="20"/>
        </w:rPr>
        <w:t xml:space="preserve"> </w:t>
      </w:r>
      <w:r>
        <w:rPr>
          <w:rFonts w:ascii="Avenir Next"/>
          <w:b/>
          <w:sz w:val="20"/>
        </w:rPr>
        <w:t>higher</w:t>
      </w:r>
      <w:r>
        <w:rPr>
          <w:rFonts w:ascii="Avenir Next"/>
          <w:b/>
          <w:spacing w:val="27"/>
          <w:sz w:val="20"/>
        </w:rPr>
        <w:t xml:space="preserve"> </w:t>
      </w:r>
      <w:r>
        <w:rPr>
          <w:rFonts w:ascii="Avenir Next"/>
          <w:sz w:val="20"/>
        </w:rPr>
        <w:t xml:space="preserve">than </w:t>
      </w:r>
      <w:r>
        <w:rPr>
          <w:rFonts w:ascii="Avenir Next"/>
          <w:spacing w:val="-1"/>
          <w:sz w:val="20"/>
        </w:rPr>
        <w:t>projected</w:t>
      </w:r>
      <w:r>
        <w:rPr>
          <w:rFonts w:ascii="Avenir Next"/>
          <w:sz w:val="20"/>
        </w:rPr>
        <w:t xml:space="preserve"> when the 2008 price </w:t>
      </w:r>
      <w:r>
        <w:rPr>
          <w:rFonts w:ascii="Avenir Next"/>
          <w:spacing w:val="-1"/>
          <w:sz w:val="20"/>
        </w:rPr>
        <w:t>direction</w:t>
      </w:r>
      <w:r>
        <w:rPr>
          <w:rFonts w:ascii="Avenir Next"/>
          <w:sz w:val="20"/>
        </w:rPr>
        <w:t xml:space="preserve"> was made.</w:t>
      </w:r>
      <w:r>
        <w:rPr>
          <w:rFonts w:ascii="Avenir Next"/>
          <w:spacing w:val="-6"/>
          <w:sz w:val="20"/>
        </w:rPr>
        <w:t xml:space="preserve"> </w:t>
      </w:r>
      <w:r>
        <w:rPr>
          <w:rFonts w:ascii="Avenir Next"/>
          <w:spacing w:val="-1"/>
          <w:sz w:val="20"/>
        </w:rPr>
        <w:t>Capital</w:t>
      </w:r>
      <w:r>
        <w:rPr>
          <w:rFonts w:ascii="Avenir Next"/>
          <w:sz w:val="20"/>
        </w:rPr>
        <w:t xml:space="preserve"> </w:t>
      </w:r>
      <w:r>
        <w:rPr>
          <w:rFonts w:ascii="Avenir Next"/>
          <w:spacing w:val="-1"/>
          <w:sz w:val="20"/>
        </w:rPr>
        <w:t>expenditure</w:t>
      </w:r>
      <w:r>
        <w:rPr>
          <w:rFonts w:ascii="Avenir Next"/>
          <w:sz w:val="20"/>
        </w:rPr>
        <w:t xml:space="preserve"> on </w:t>
      </w:r>
      <w:r>
        <w:rPr>
          <w:rFonts w:ascii="Avenir Next"/>
          <w:spacing w:val="-1"/>
          <w:sz w:val="20"/>
        </w:rPr>
        <w:t>water</w:t>
      </w:r>
      <w:r>
        <w:rPr>
          <w:rFonts w:ascii="Avenir Next"/>
          <w:sz w:val="20"/>
        </w:rPr>
        <w:t xml:space="preserve"> security</w:t>
      </w:r>
      <w:r>
        <w:rPr>
          <w:rFonts w:ascii="Avenir Next"/>
          <w:spacing w:val="43"/>
          <w:sz w:val="20"/>
        </w:rPr>
        <w:t xml:space="preserve"> </w:t>
      </w:r>
      <w:r>
        <w:rPr>
          <w:rFonts w:ascii="Avenir Next"/>
          <w:spacing w:val="-1"/>
          <w:sz w:val="20"/>
        </w:rPr>
        <w:t>projects</w:t>
      </w:r>
      <w:r>
        <w:rPr>
          <w:rFonts w:ascii="Avenir Next"/>
          <w:sz w:val="20"/>
        </w:rPr>
        <w:t xml:space="preserve"> accounted for $304 million of</w:t>
      </w:r>
      <w:r>
        <w:rPr>
          <w:rFonts w:ascii="Avenir Next"/>
          <w:spacing w:val="4"/>
          <w:sz w:val="20"/>
        </w:rPr>
        <w:t xml:space="preserve"> </w:t>
      </w:r>
      <w:r>
        <w:rPr>
          <w:rFonts w:ascii="Avenir Next"/>
          <w:sz w:val="20"/>
        </w:rPr>
        <w:t>this overspend.</w:t>
      </w:r>
    </w:p>
    <w:p w:rsidR="00D96B91" w:rsidRDefault="00D96B91">
      <w:pPr>
        <w:spacing w:before="8"/>
        <w:rPr>
          <w:rFonts w:ascii="Avenir Next" w:eastAsia="Avenir Next" w:hAnsi="Avenir Next" w:cs="Avenir Next"/>
          <w:sz w:val="16"/>
          <w:szCs w:val="16"/>
        </w:rPr>
      </w:pPr>
    </w:p>
    <w:p w:rsidR="00D96B91" w:rsidRDefault="00C2656B">
      <w:pPr>
        <w:numPr>
          <w:ilvl w:val="0"/>
          <w:numId w:val="131"/>
        </w:numPr>
        <w:tabs>
          <w:tab w:val="left" w:pos="1531"/>
        </w:tabs>
        <w:spacing w:line="260" w:lineRule="exact"/>
        <w:ind w:right="1714" w:hanging="283"/>
        <w:rPr>
          <w:rFonts w:ascii="Avenir Next" w:eastAsia="Avenir Next" w:hAnsi="Avenir Next" w:cs="Avenir Next"/>
          <w:sz w:val="20"/>
          <w:szCs w:val="20"/>
        </w:rPr>
      </w:pPr>
      <w:r>
        <w:rPr>
          <w:rFonts w:ascii="Avenir Next"/>
          <w:b/>
          <w:sz w:val="20"/>
        </w:rPr>
        <w:t xml:space="preserve">Actual </w:t>
      </w:r>
      <w:r>
        <w:rPr>
          <w:rFonts w:ascii="Avenir Next"/>
          <w:b/>
          <w:spacing w:val="-1"/>
          <w:sz w:val="20"/>
        </w:rPr>
        <w:t>operating</w:t>
      </w:r>
      <w:r>
        <w:rPr>
          <w:rFonts w:ascii="Avenir Next"/>
          <w:b/>
          <w:sz w:val="20"/>
        </w:rPr>
        <w:t xml:space="preserve"> </w:t>
      </w:r>
      <w:r>
        <w:rPr>
          <w:rFonts w:ascii="Avenir Next"/>
          <w:b/>
          <w:spacing w:val="-1"/>
          <w:sz w:val="20"/>
        </w:rPr>
        <w:t>expenditure</w:t>
      </w:r>
      <w:r>
        <w:rPr>
          <w:rFonts w:ascii="Avenir Next"/>
          <w:b/>
          <w:sz w:val="20"/>
        </w:rPr>
        <w:t xml:space="preserve"> </w:t>
      </w:r>
      <w:r>
        <w:rPr>
          <w:rFonts w:ascii="Avenir Next"/>
          <w:b/>
          <w:spacing w:val="-1"/>
          <w:sz w:val="20"/>
        </w:rPr>
        <w:t>related</w:t>
      </w:r>
      <w:r>
        <w:rPr>
          <w:rFonts w:ascii="Avenir Next"/>
          <w:b/>
          <w:sz w:val="20"/>
        </w:rPr>
        <w:t xml:space="preserve"> to </w:t>
      </w:r>
      <w:r>
        <w:rPr>
          <w:rFonts w:ascii="Avenir Next"/>
          <w:b/>
          <w:spacing w:val="-1"/>
          <w:sz w:val="20"/>
        </w:rPr>
        <w:t>sewerage</w:t>
      </w:r>
      <w:r>
        <w:rPr>
          <w:rFonts w:ascii="Avenir Next"/>
          <w:b/>
          <w:sz w:val="20"/>
        </w:rPr>
        <w:t xml:space="preserve"> services </w:t>
      </w:r>
      <w:r>
        <w:rPr>
          <w:rFonts w:ascii="Avenir Next"/>
          <w:sz w:val="20"/>
        </w:rPr>
        <w:t xml:space="preserve">was $11 million (or 4%) </w:t>
      </w:r>
      <w:r>
        <w:rPr>
          <w:rFonts w:ascii="Avenir Next"/>
          <w:b/>
          <w:sz w:val="20"/>
        </w:rPr>
        <w:t xml:space="preserve">higher </w:t>
      </w:r>
      <w:r>
        <w:rPr>
          <w:rFonts w:ascii="Avenir Next"/>
          <w:sz w:val="20"/>
        </w:rPr>
        <w:t>than</w:t>
      </w:r>
      <w:r>
        <w:rPr>
          <w:rFonts w:ascii="Avenir Next"/>
          <w:spacing w:val="31"/>
          <w:sz w:val="20"/>
        </w:rPr>
        <w:t xml:space="preserve"> </w:t>
      </w:r>
      <w:r>
        <w:rPr>
          <w:rFonts w:ascii="Avenir Next"/>
          <w:spacing w:val="-1"/>
          <w:sz w:val="20"/>
        </w:rPr>
        <w:t>projected</w:t>
      </w:r>
      <w:r>
        <w:rPr>
          <w:rFonts w:ascii="Avenir Next"/>
          <w:sz w:val="20"/>
        </w:rPr>
        <w:t xml:space="preserve"> when the 2008 price </w:t>
      </w:r>
      <w:r>
        <w:rPr>
          <w:rFonts w:ascii="Avenir Next"/>
          <w:spacing w:val="-1"/>
          <w:sz w:val="20"/>
        </w:rPr>
        <w:t>direction</w:t>
      </w:r>
      <w:r>
        <w:rPr>
          <w:rFonts w:ascii="Avenir Next"/>
          <w:sz w:val="20"/>
        </w:rPr>
        <w:t xml:space="preserve"> was made.</w:t>
      </w:r>
    </w:p>
    <w:p w:rsidR="00D96B91" w:rsidRDefault="00D96B91">
      <w:pPr>
        <w:spacing w:before="8"/>
        <w:rPr>
          <w:rFonts w:ascii="Avenir Next" w:eastAsia="Avenir Next" w:hAnsi="Avenir Next" w:cs="Avenir Next"/>
          <w:sz w:val="16"/>
          <w:szCs w:val="16"/>
        </w:rPr>
      </w:pPr>
    </w:p>
    <w:p w:rsidR="00D96B91" w:rsidRDefault="00C2656B">
      <w:pPr>
        <w:pStyle w:val="BodyText"/>
        <w:numPr>
          <w:ilvl w:val="0"/>
          <w:numId w:val="131"/>
        </w:numPr>
        <w:tabs>
          <w:tab w:val="left" w:pos="1531"/>
        </w:tabs>
        <w:spacing w:line="260" w:lineRule="exact"/>
        <w:ind w:right="1455" w:hanging="283"/>
      </w:pPr>
      <w:r>
        <w:rPr>
          <w:b/>
        </w:rPr>
        <w:t xml:space="preserve">Actual </w:t>
      </w:r>
      <w:r>
        <w:rPr>
          <w:b/>
          <w:spacing w:val="-1"/>
        </w:rPr>
        <w:t>water</w:t>
      </w:r>
      <w:r>
        <w:rPr>
          <w:b/>
        </w:rPr>
        <w:t xml:space="preserve"> consumption </w:t>
      </w:r>
      <w:r>
        <w:rPr>
          <w:spacing w:val="-1"/>
        </w:rPr>
        <w:t>from</w:t>
      </w:r>
      <w:r>
        <w:t xml:space="preserve"> 2008-09 to 2011-12 was between 17.5% and 35% </w:t>
      </w:r>
      <w:r>
        <w:rPr>
          <w:b/>
        </w:rPr>
        <w:t xml:space="preserve">lower </w:t>
      </w:r>
      <w:r>
        <w:t>than</w:t>
      </w:r>
      <w:r>
        <w:rPr>
          <w:spacing w:val="24"/>
        </w:rPr>
        <w:t xml:space="preserve"> </w:t>
      </w:r>
      <w:r>
        <w:rPr>
          <w:spacing w:val="-1"/>
        </w:rPr>
        <w:t>projected</w:t>
      </w:r>
      <w:r>
        <w:t xml:space="preserve"> when the 2008 price </w:t>
      </w:r>
      <w:r>
        <w:rPr>
          <w:spacing w:val="-1"/>
        </w:rPr>
        <w:t>direction</w:t>
      </w:r>
      <w:r>
        <w:t xml:space="preserve"> was made,</w:t>
      </w:r>
      <w:r>
        <w:rPr>
          <w:spacing w:val="-6"/>
        </w:rPr>
        <w:t xml:space="preserve"> </w:t>
      </w:r>
      <w:r>
        <w:t xml:space="preserve">and in 2011-12 was 27% </w:t>
      </w:r>
      <w:r>
        <w:rPr>
          <w:b/>
        </w:rPr>
        <w:t xml:space="preserve">lower </w:t>
      </w:r>
      <w:r>
        <w:t xml:space="preserve">than </w:t>
      </w:r>
      <w:r>
        <w:rPr>
          <w:spacing w:val="-1"/>
        </w:rPr>
        <w:t>projected</w:t>
      </w:r>
      <w:r>
        <w:rPr>
          <w:spacing w:val="31"/>
        </w:rPr>
        <w:t xml:space="preserve"> </w:t>
      </w:r>
      <w:r>
        <w:t>when the 2011 mid-term adjustment was carried out.</w:t>
      </w:r>
      <w:r>
        <w:rPr>
          <w:spacing w:val="-10"/>
        </w:rPr>
        <w:t xml:space="preserve"> </w:t>
      </w:r>
      <w:r>
        <w:rPr>
          <w:spacing w:val="-2"/>
        </w:rPr>
        <w:t>ACTEW</w:t>
      </w:r>
      <w:r>
        <w:rPr>
          <w:spacing w:val="-3"/>
        </w:rPr>
        <w:t xml:space="preserve"> </w:t>
      </w:r>
      <w:r>
        <w:t xml:space="preserve">and the ICRC </w:t>
      </w:r>
      <w:r>
        <w:rPr>
          <w:spacing w:val="-1"/>
        </w:rPr>
        <w:t>attributed</w:t>
      </w:r>
      <w:r>
        <w:t xml:space="preserve"> this lower</w:t>
      </w:r>
      <w:r>
        <w:rPr>
          <w:spacing w:val="30"/>
        </w:rPr>
        <w:t xml:space="preserve"> </w:t>
      </w:r>
      <w:r>
        <w:t xml:space="preserve">than </w:t>
      </w:r>
      <w:r>
        <w:rPr>
          <w:spacing w:val="-1"/>
        </w:rPr>
        <w:t>forecast</w:t>
      </w:r>
      <w:r>
        <w:t xml:space="preserve"> consumption to the stage 3 </w:t>
      </w:r>
      <w:r>
        <w:rPr>
          <w:spacing w:val="-1"/>
        </w:rPr>
        <w:t>water</w:t>
      </w:r>
      <w:r>
        <w:t xml:space="preserve"> </w:t>
      </w:r>
      <w:r>
        <w:rPr>
          <w:spacing w:val="-1"/>
        </w:rPr>
        <w:t>restrictions</w:t>
      </w:r>
      <w:r>
        <w:t xml:space="preserve"> </w:t>
      </w:r>
      <w:r>
        <w:rPr>
          <w:spacing w:val="-1"/>
        </w:rPr>
        <w:t>that</w:t>
      </w:r>
      <w:r>
        <w:t xml:space="preserve"> </w:t>
      </w:r>
      <w:r>
        <w:rPr>
          <w:spacing w:val="-1"/>
        </w:rPr>
        <w:t>were</w:t>
      </w:r>
      <w:r>
        <w:t xml:space="preserve"> in place until 2010,</w:t>
      </w:r>
      <w:r>
        <w:rPr>
          <w:spacing w:val="-6"/>
        </w:rPr>
        <w:t xml:space="preserve"> </w:t>
      </w:r>
      <w:r>
        <w:t>and two</w:t>
      </w:r>
      <w:r>
        <w:rPr>
          <w:spacing w:val="33"/>
        </w:rPr>
        <w:t xml:space="preserve"> </w:t>
      </w:r>
      <w:r>
        <w:rPr>
          <w:spacing w:val="-1"/>
        </w:rPr>
        <w:t>relatively</w:t>
      </w:r>
      <w:r>
        <w:t xml:space="preserve"> cool and wet summers in 2010-11 and 2011-12.</w:t>
      </w:r>
    </w:p>
    <w:p w:rsidR="00D96B91" w:rsidRDefault="00D96B91">
      <w:pPr>
        <w:spacing w:before="8"/>
        <w:rPr>
          <w:rFonts w:ascii="Avenir Next" w:eastAsia="Avenir Next" w:hAnsi="Avenir Next" w:cs="Avenir Next"/>
          <w:sz w:val="16"/>
          <w:szCs w:val="16"/>
        </w:rPr>
      </w:pPr>
    </w:p>
    <w:p w:rsidR="00D96B91" w:rsidRDefault="00C2656B">
      <w:pPr>
        <w:pStyle w:val="BodyText"/>
        <w:numPr>
          <w:ilvl w:val="0"/>
          <w:numId w:val="131"/>
        </w:numPr>
        <w:tabs>
          <w:tab w:val="left" w:pos="1531"/>
        </w:tabs>
        <w:spacing w:line="260" w:lineRule="exact"/>
        <w:ind w:right="1314" w:hanging="283"/>
      </w:pPr>
      <w:r>
        <w:rPr>
          <w:rFonts w:cs="Avenir Next"/>
          <w:b/>
          <w:bCs/>
        </w:rPr>
        <w:t xml:space="preserve">Actual </w:t>
      </w:r>
      <w:r>
        <w:rPr>
          <w:rFonts w:cs="Avenir Next"/>
          <w:b/>
          <w:bCs/>
          <w:spacing w:val="-1"/>
        </w:rPr>
        <w:t>water</w:t>
      </w:r>
      <w:r>
        <w:rPr>
          <w:rFonts w:cs="Avenir Next"/>
          <w:b/>
          <w:bCs/>
        </w:rPr>
        <w:t xml:space="preserve"> </w:t>
      </w:r>
      <w:r>
        <w:rPr>
          <w:rFonts w:cs="Avenir Next"/>
          <w:b/>
          <w:bCs/>
          <w:spacing w:val="-1"/>
        </w:rPr>
        <w:t>revenue</w:t>
      </w:r>
      <w:r>
        <w:rPr>
          <w:rFonts w:cs="Avenir Next"/>
          <w:b/>
          <w:bCs/>
        </w:rPr>
        <w:t xml:space="preserve"> </w:t>
      </w:r>
      <w:r>
        <w:rPr>
          <w:spacing w:val="-1"/>
        </w:rPr>
        <w:t>from</w:t>
      </w:r>
      <w:r>
        <w:rPr>
          <w:spacing w:val="-4"/>
        </w:rPr>
        <w:t xml:space="preserve"> </w:t>
      </w:r>
      <w:r>
        <w:rPr>
          <w:spacing w:val="-2"/>
        </w:rPr>
        <w:t>ACTEW’s</w:t>
      </w:r>
      <w:r>
        <w:t xml:space="preserve"> </w:t>
      </w:r>
      <w:r>
        <w:rPr>
          <w:spacing w:val="-1"/>
        </w:rPr>
        <w:t>water</w:t>
      </w:r>
      <w:r>
        <w:t xml:space="preserve"> </w:t>
      </w:r>
      <w:r>
        <w:rPr>
          <w:spacing w:val="-1"/>
        </w:rPr>
        <w:t>operations</w:t>
      </w:r>
      <w:r>
        <w:t xml:space="preserve"> was $268 million (or 27%) </w:t>
      </w:r>
      <w:r>
        <w:rPr>
          <w:rFonts w:cs="Avenir Next"/>
          <w:b/>
          <w:bCs/>
        </w:rPr>
        <w:t xml:space="preserve">lower </w:t>
      </w:r>
      <w:r>
        <w:rPr>
          <w:rFonts w:cs="Avenir Next"/>
        </w:rPr>
        <w:t>than the</w:t>
      </w:r>
      <w:r>
        <w:rPr>
          <w:rFonts w:cs="Avenir Next"/>
          <w:spacing w:val="29"/>
        </w:rPr>
        <w:t xml:space="preserve"> </w:t>
      </w:r>
      <w:r>
        <w:rPr>
          <w:spacing w:val="-1"/>
        </w:rPr>
        <w:t>revenue</w:t>
      </w:r>
      <w:r>
        <w:t xml:space="preserve"> </w:t>
      </w:r>
      <w:r>
        <w:rPr>
          <w:spacing w:val="-1"/>
        </w:rPr>
        <w:t>requirement</w:t>
      </w:r>
      <w:r>
        <w:t xml:space="preserve"> for the 2008 price </w:t>
      </w:r>
      <w:r>
        <w:rPr>
          <w:spacing w:val="-1"/>
        </w:rPr>
        <w:t>direction.</w:t>
      </w:r>
      <w:r>
        <w:rPr>
          <w:spacing w:val="-11"/>
        </w:rPr>
        <w:t xml:space="preserve"> </w:t>
      </w:r>
      <w:r>
        <w:rPr>
          <w:spacing w:val="-2"/>
        </w:rPr>
        <w:t>The</w:t>
      </w:r>
      <w:r>
        <w:t xml:space="preserve"> </w:t>
      </w:r>
      <w:r>
        <w:rPr>
          <w:spacing w:val="-1"/>
        </w:rPr>
        <w:t>extent</w:t>
      </w:r>
      <w:r>
        <w:t xml:space="preserve"> of</w:t>
      </w:r>
      <w:r>
        <w:rPr>
          <w:spacing w:val="4"/>
        </w:rPr>
        <w:t xml:space="preserve"> </w:t>
      </w:r>
      <w:r>
        <w:t xml:space="preserve">this </w:t>
      </w:r>
      <w:r>
        <w:rPr>
          <w:spacing w:val="-1"/>
        </w:rPr>
        <w:t>deviation</w:t>
      </w:r>
      <w:r>
        <w:t xml:space="preserve"> is not surprising given</w:t>
      </w:r>
      <w:r>
        <w:rPr>
          <w:spacing w:val="51"/>
        </w:rPr>
        <w:t xml:space="preserve"> </w:t>
      </w:r>
      <w:r>
        <w:rPr>
          <w:spacing w:val="-1"/>
        </w:rPr>
        <w:t>water</w:t>
      </w:r>
      <w:r>
        <w:t xml:space="preserve"> consumption was so much lower than </w:t>
      </w:r>
      <w:r>
        <w:rPr>
          <w:spacing w:val="-1"/>
        </w:rPr>
        <w:t>expected,</w:t>
      </w:r>
      <w:r>
        <w:rPr>
          <w:spacing w:val="-6"/>
        </w:rPr>
        <w:t xml:space="preserve"> </w:t>
      </w:r>
      <w:r>
        <w:t xml:space="preserve">and </w:t>
      </w:r>
      <w:r>
        <w:rPr>
          <w:spacing w:val="-1"/>
        </w:rPr>
        <w:t>that</w:t>
      </w:r>
      <w:r>
        <w:t xml:space="preserve"> 90% of</w:t>
      </w:r>
      <w:r>
        <w:rPr>
          <w:spacing w:val="1"/>
        </w:rPr>
        <w:t xml:space="preserve"> </w:t>
      </w:r>
      <w:r>
        <w:rPr>
          <w:spacing w:val="-2"/>
        </w:rPr>
        <w:t>ACTEW’s</w:t>
      </w:r>
      <w:r>
        <w:t xml:space="preserve"> </w:t>
      </w:r>
      <w:r>
        <w:rPr>
          <w:spacing w:val="-1"/>
        </w:rPr>
        <w:t>water</w:t>
      </w:r>
      <w:r>
        <w:t xml:space="preserve"> </w:t>
      </w:r>
      <w:r>
        <w:rPr>
          <w:spacing w:val="-1"/>
        </w:rPr>
        <w:t>revenue</w:t>
      </w:r>
      <w:r>
        <w:t xml:space="preserve"> is</w:t>
      </w:r>
      <w:r>
        <w:rPr>
          <w:spacing w:val="39"/>
        </w:rPr>
        <w:t xml:space="preserve"> </w:t>
      </w:r>
      <w:r>
        <w:t xml:space="preserve">derived </w:t>
      </w:r>
      <w:r>
        <w:rPr>
          <w:spacing w:val="-1"/>
        </w:rPr>
        <w:t>from</w:t>
      </w:r>
      <w:r>
        <w:t xml:space="preserve"> volumetric </w:t>
      </w:r>
      <w:r>
        <w:rPr>
          <w:spacing w:val="-1"/>
        </w:rPr>
        <w:t>charges.</w:t>
      </w:r>
    </w:p>
    <w:p w:rsidR="00D96B91" w:rsidRDefault="00D96B91">
      <w:pPr>
        <w:spacing w:line="260" w:lineRule="exact"/>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2"/>
          <w:sz w:val="20"/>
        </w:rPr>
        <w:t>Figure</w:t>
      </w:r>
      <w:r>
        <w:rPr>
          <w:rFonts w:ascii="Avenir Next"/>
          <w:b/>
          <w:sz w:val="20"/>
        </w:rPr>
        <w:t xml:space="preserve"> 6.1: </w:t>
      </w:r>
      <w:r>
        <w:rPr>
          <w:rFonts w:ascii="Avenir Next"/>
          <w:b/>
          <w:spacing w:val="-2"/>
          <w:sz w:val="20"/>
        </w:rPr>
        <w:t>Forecast</w:t>
      </w:r>
      <w:r>
        <w:rPr>
          <w:rFonts w:ascii="Avenir Next"/>
          <w:b/>
          <w:sz w:val="20"/>
        </w:rPr>
        <w:t xml:space="preserve"> and actual </w:t>
      </w:r>
      <w:r>
        <w:rPr>
          <w:rFonts w:ascii="Avenir Next"/>
          <w:b/>
          <w:spacing w:val="-1"/>
          <w:sz w:val="20"/>
        </w:rPr>
        <w:t>expenditure</w:t>
      </w:r>
      <w:r>
        <w:rPr>
          <w:rFonts w:ascii="Avenir Next"/>
          <w:b/>
          <w:sz w:val="20"/>
        </w:rPr>
        <w:t xml:space="preserve"> and </w:t>
      </w:r>
      <w:r>
        <w:rPr>
          <w:rFonts w:ascii="Avenir Next"/>
          <w:b/>
          <w:spacing w:val="-1"/>
          <w:sz w:val="20"/>
        </w:rPr>
        <w:t>water</w:t>
      </w:r>
      <w:r>
        <w:rPr>
          <w:rFonts w:ascii="Avenir Next"/>
          <w:b/>
          <w:sz w:val="20"/>
        </w:rPr>
        <w:t xml:space="preserve"> sales for the </w:t>
      </w:r>
      <w:r>
        <w:rPr>
          <w:rFonts w:ascii="Avenir Next"/>
          <w:b/>
          <w:spacing w:val="-1"/>
          <w:sz w:val="20"/>
        </w:rPr>
        <w:t>previous</w:t>
      </w:r>
      <w:r>
        <w:rPr>
          <w:rFonts w:ascii="Avenir Next"/>
          <w:b/>
          <w:sz w:val="20"/>
        </w:rPr>
        <w:t xml:space="preserve"> </w:t>
      </w:r>
      <w:r>
        <w:rPr>
          <w:rFonts w:ascii="Avenir Next"/>
          <w:b/>
          <w:spacing w:val="-1"/>
          <w:sz w:val="20"/>
        </w:rPr>
        <w:t>regulatory</w:t>
      </w:r>
      <w:r>
        <w:rPr>
          <w:rFonts w:ascii="Avenir Next"/>
          <w:b/>
          <w:sz w:val="20"/>
        </w:rPr>
        <w:t xml:space="preserve"> period</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9391"/>
      </w:tblGrid>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1"/>
                <w:sz w:val="20"/>
              </w:rPr>
              <w:t>Expenditure</w:t>
            </w:r>
          </w:p>
        </w:tc>
      </w:tr>
      <w:tr w:rsidR="00D96B91">
        <w:trPr>
          <w:trHeight w:hRule="exact" w:val="5983"/>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285"/>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5575025" cy="3643979"/>
                  <wp:effectExtent l="0" t="0" r="0" b="0"/>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53" cstate="print"/>
                          <a:stretch>
                            <a:fillRect/>
                          </a:stretch>
                        </pic:blipFill>
                        <pic:spPr>
                          <a:xfrm>
                            <a:off x="0" y="0"/>
                            <a:ext cx="5575025" cy="3643979"/>
                          </a:xfrm>
                          <a:prstGeom prst="rect">
                            <a:avLst/>
                          </a:prstGeom>
                        </pic:spPr>
                      </pic:pic>
                    </a:graphicData>
                  </a:graphic>
                </wp:inline>
              </w:drawing>
            </w:r>
          </w:p>
        </w:tc>
      </w:tr>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2"/>
                <w:sz w:val="20"/>
              </w:rPr>
              <w:t>Water</w:t>
            </w:r>
            <w:r>
              <w:rPr>
                <w:rFonts w:ascii="Avenir Next"/>
                <w:b/>
                <w:sz w:val="20"/>
              </w:rPr>
              <w:t xml:space="preserve"> sales</w:t>
            </w:r>
          </w:p>
        </w:tc>
      </w:tr>
      <w:tr w:rsidR="00D96B91">
        <w:trPr>
          <w:trHeight w:hRule="exact" w:val="6178"/>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3"/>
              <w:rPr>
                <w:rFonts w:ascii="Avenir Next" w:eastAsia="Avenir Next" w:hAnsi="Avenir Next" w:cs="Avenir Next"/>
                <w:b/>
                <w:bCs/>
                <w:sz w:val="7"/>
                <w:szCs w:val="7"/>
              </w:rPr>
            </w:pPr>
          </w:p>
          <w:p w:rsidR="00D96B91" w:rsidRDefault="00C2656B">
            <w:pPr>
              <w:pStyle w:val="TableParagraph"/>
              <w:spacing w:line="200" w:lineRule="atLeast"/>
              <w:ind w:left="24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5633631" cy="3682269"/>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54" cstate="print"/>
                          <a:stretch>
                            <a:fillRect/>
                          </a:stretch>
                        </pic:blipFill>
                        <pic:spPr>
                          <a:xfrm>
                            <a:off x="0" y="0"/>
                            <a:ext cx="5633631" cy="3682269"/>
                          </a:xfrm>
                          <a:prstGeom prst="rect">
                            <a:avLst/>
                          </a:prstGeom>
                        </pic:spPr>
                      </pic:pic>
                    </a:graphicData>
                  </a:graphic>
                </wp:inline>
              </w:drawing>
            </w:r>
          </w:p>
          <w:p w:rsidR="00D96B91" w:rsidRDefault="00D96B91">
            <w:pPr>
              <w:pStyle w:val="TableParagraph"/>
              <w:spacing w:before="1"/>
              <w:rPr>
                <w:rFonts w:ascii="Avenir Next" w:eastAsia="Avenir Next" w:hAnsi="Avenir Next" w:cs="Avenir Next"/>
                <w:b/>
                <w:bCs/>
                <w:sz w:val="19"/>
                <w:szCs w:val="19"/>
              </w:rPr>
            </w:pP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46"/>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z w:val="16"/>
          <w:szCs w:val="16"/>
        </w:rPr>
        <w:t xml:space="preserve"> Underlying </w:t>
      </w:r>
      <w:r>
        <w:rPr>
          <w:rFonts w:ascii="Avenir Next" w:eastAsia="Avenir Next" w:hAnsi="Avenir Next" w:cs="Avenir Next"/>
          <w:spacing w:val="-1"/>
          <w:sz w:val="16"/>
          <w:szCs w:val="16"/>
        </w:rPr>
        <w:t>data</w:t>
      </w:r>
      <w:r>
        <w:rPr>
          <w:rFonts w:ascii="Avenir Next" w:eastAsia="Avenir Next" w:hAnsi="Avenir Next" w:cs="Avenir Next"/>
          <w:sz w:val="16"/>
          <w:szCs w:val="16"/>
        </w:rPr>
        <w:t xml:space="preserve"> obtained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ICRC,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Draft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 </w:t>
      </w:r>
      <w:r>
        <w:rPr>
          <w:rFonts w:ascii="Avenir Next" w:eastAsia="Avenir Next" w:hAnsi="Avenir Next" w:cs="Avenir Next"/>
          <w:spacing w:val="-1"/>
          <w:sz w:val="16"/>
          <w:szCs w:val="16"/>
        </w:rPr>
        <w:t>Regulated</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Services,</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February</w:t>
      </w:r>
      <w:r>
        <w:rPr>
          <w:rFonts w:ascii="Avenir Next" w:eastAsia="Avenir Next" w:hAnsi="Avenir Next" w:cs="Avenir Next"/>
          <w:sz w:val="16"/>
          <w:szCs w:val="16"/>
        </w:rPr>
        <w:t xml:space="preserve"> 2013 and</w:t>
      </w:r>
      <w:r>
        <w:rPr>
          <w:rFonts w:ascii="Avenir Next" w:eastAsia="Avenir Next" w:hAnsi="Avenir Next" w:cs="Avenir Next"/>
          <w:spacing w:val="-3"/>
          <w:sz w:val="16"/>
          <w:szCs w:val="16"/>
        </w:rPr>
        <w:t xml:space="preserve"> ACTEW,</w:t>
      </w:r>
      <w:r>
        <w:rPr>
          <w:rFonts w:ascii="Avenir Next" w:eastAsia="Avenir Next" w:hAnsi="Avenir Next" w:cs="Avenir Next"/>
          <w:spacing w:val="53"/>
          <w:sz w:val="16"/>
          <w:szCs w:val="16"/>
        </w:rPr>
        <w:t xml:space="preserve"> </w:t>
      </w:r>
      <w:r>
        <w:rPr>
          <w:rFonts w:ascii="Avenir Next" w:eastAsia="Avenir Next" w:hAnsi="Avenir Next" w:cs="Avenir Next"/>
          <w:spacing w:val="-1"/>
          <w:sz w:val="16"/>
          <w:szCs w:val="16"/>
        </w:rPr>
        <w:t>Information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demand </w:t>
      </w:r>
      <w:r>
        <w:rPr>
          <w:rFonts w:ascii="Avenir Next" w:eastAsia="Avenir Next" w:hAnsi="Avenir Next" w:cs="Avenir Next"/>
          <w:spacing w:val="-1"/>
          <w:sz w:val="16"/>
          <w:szCs w:val="16"/>
        </w:rPr>
        <w:t>forecasts,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15</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August 2014,</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105"/>
        </w:numPr>
        <w:tabs>
          <w:tab w:val="left" w:pos="2098"/>
        </w:tabs>
        <w:spacing w:before="9"/>
        <w:ind w:hanging="850"/>
      </w:pPr>
      <w:bookmarkStart w:id="56" w:name="6._3_Length_of_the_regulatory_period"/>
      <w:bookmarkStart w:id="57" w:name="_bookmark30"/>
      <w:bookmarkEnd w:id="56"/>
      <w:bookmarkEnd w:id="57"/>
      <w:r>
        <w:rPr>
          <w:color w:val="0778BE"/>
          <w:spacing w:val="-3"/>
        </w:rPr>
        <w:t>Key</w:t>
      </w:r>
      <w:r>
        <w:rPr>
          <w:color w:val="0778BE"/>
        </w:rPr>
        <w:t xml:space="preserve"> </w:t>
      </w:r>
      <w:bookmarkStart w:id="58" w:name="_bookmark31"/>
      <w:bookmarkEnd w:id="58"/>
      <w:r>
        <w:rPr>
          <w:color w:val="0778BE"/>
          <w:spacing w:val="-1"/>
        </w:rPr>
        <w:t>sources</w:t>
      </w:r>
      <w:r>
        <w:rPr>
          <w:color w:val="0778BE"/>
        </w:rPr>
        <w:t xml:space="preserve"> of</w:t>
      </w:r>
      <w:r>
        <w:rPr>
          <w:color w:val="0778BE"/>
          <w:spacing w:val="5"/>
        </w:rPr>
        <w:t xml:space="preserve"> </w:t>
      </w:r>
      <w:r>
        <w:rPr>
          <w:color w:val="0778BE"/>
          <w:spacing w:val="-1"/>
        </w:rPr>
        <w:t>uncertainty</w:t>
      </w:r>
      <w:r>
        <w:rPr>
          <w:color w:val="0778BE"/>
        </w:rPr>
        <w:t xml:space="preserve"> for</w:t>
      </w:r>
      <w:r>
        <w:rPr>
          <w:color w:val="0778BE"/>
          <w:spacing w:val="-5"/>
        </w:rPr>
        <w:t xml:space="preserve"> </w:t>
      </w:r>
      <w:r>
        <w:rPr>
          <w:color w:val="0778BE"/>
          <w:spacing w:val="-2"/>
        </w:rPr>
        <w:t>ACTEW</w:t>
      </w:r>
      <w:r>
        <w:rPr>
          <w:color w:val="0778BE"/>
          <w:spacing w:val="-3"/>
        </w:rPr>
        <w:t xml:space="preserve"> </w:t>
      </w:r>
      <w:r>
        <w:rPr>
          <w:color w:val="0778BE"/>
        </w:rPr>
        <w:t>and customers in this period</w:t>
      </w:r>
    </w:p>
    <w:p w:rsidR="00D96B91" w:rsidRDefault="00C2656B">
      <w:pPr>
        <w:pStyle w:val="BodyText"/>
        <w:spacing w:before="21" w:line="260" w:lineRule="exact"/>
        <w:ind w:right="1288"/>
      </w:pPr>
      <w:r>
        <w:t>Since the completion of</w:t>
      </w:r>
      <w:r>
        <w:rPr>
          <w:spacing w:val="4"/>
        </w:rPr>
        <w:t xml:space="preserve"> </w:t>
      </w:r>
      <w:r>
        <w:t xml:space="preserve">the </w:t>
      </w:r>
      <w:r>
        <w:rPr>
          <w:spacing w:val="-1"/>
        </w:rPr>
        <w:t>water</w:t>
      </w:r>
      <w:r>
        <w:t xml:space="preserve"> security </w:t>
      </w:r>
      <w:r>
        <w:rPr>
          <w:spacing w:val="-1"/>
        </w:rPr>
        <w:t>projects</w:t>
      </w:r>
      <w:r>
        <w:t xml:space="preserve"> in 2013,</w:t>
      </w:r>
      <w:r>
        <w:rPr>
          <w:spacing w:val="-6"/>
        </w:rPr>
        <w:t xml:space="preserve"> </w:t>
      </w:r>
      <w:r>
        <w:rPr>
          <w:spacing w:val="-1"/>
        </w:rPr>
        <w:t>there</w:t>
      </w:r>
      <w:r>
        <w:t xml:space="preserve"> </w:t>
      </w:r>
      <w:r>
        <w:rPr>
          <w:spacing w:val="-1"/>
        </w:rPr>
        <w:t>appears</w:t>
      </w:r>
      <w:r>
        <w:t xml:space="preserve"> to have been an</w:t>
      </w:r>
      <w:r>
        <w:rPr>
          <w:spacing w:val="27"/>
        </w:rPr>
        <w:t xml:space="preserve"> </w:t>
      </w:r>
      <w:r>
        <w:rPr>
          <w:spacing w:val="-1"/>
        </w:rPr>
        <w:t>improvement</w:t>
      </w:r>
      <w:r>
        <w:t xml:space="preserve"> in </w:t>
      </w:r>
      <w:r>
        <w:rPr>
          <w:spacing w:val="-1"/>
        </w:rPr>
        <w:t>operating</w:t>
      </w:r>
      <w:r>
        <w:t xml:space="preserve"> conditions and a </w:t>
      </w:r>
      <w:r>
        <w:rPr>
          <w:spacing w:val="-1"/>
        </w:rPr>
        <w:t>corresponding</w:t>
      </w:r>
      <w:r>
        <w:t xml:space="preserve"> </w:t>
      </w:r>
      <w:r>
        <w:rPr>
          <w:spacing w:val="-1"/>
        </w:rPr>
        <w:t>reduction</w:t>
      </w:r>
      <w:r>
        <w:t xml:space="preserve"> in the </w:t>
      </w:r>
      <w:r>
        <w:rPr>
          <w:spacing w:val="-1"/>
        </w:rPr>
        <w:t>uncertainty</w:t>
      </w:r>
      <w:r>
        <w:t xml:space="preserve"> facing</w:t>
      </w:r>
      <w:r>
        <w:rPr>
          <w:spacing w:val="-4"/>
        </w:rPr>
        <w:t xml:space="preserve"> </w:t>
      </w:r>
      <w:r>
        <w:rPr>
          <w:spacing w:val="-2"/>
        </w:rPr>
        <w:t>ACTEW</w:t>
      </w:r>
      <w:r>
        <w:rPr>
          <w:spacing w:val="75"/>
        </w:rPr>
        <w:t xml:space="preserve"> </w:t>
      </w:r>
      <w:r>
        <w:t xml:space="preserve">and customers in this </w:t>
      </w:r>
      <w:r>
        <w:rPr>
          <w:spacing w:val="-1"/>
        </w:rPr>
        <w:t>regulatory</w:t>
      </w:r>
      <w:r>
        <w:t xml:space="preserve"> period.</w:t>
      </w:r>
      <w:r>
        <w:rPr>
          <w:spacing w:val="-6"/>
        </w:rPr>
        <w:t xml:space="preserve"> </w:t>
      </w:r>
      <w:r>
        <w:rPr>
          <w:spacing w:val="-2"/>
        </w:rPr>
        <w:t>However,</w:t>
      </w:r>
      <w:r>
        <w:rPr>
          <w:spacing w:val="-10"/>
        </w:rPr>
        <w:t xml:space="preserve"> </w:t>
      </w:r>
      <w:r>
        <w:rPr>
          <w:spacing w:val="-2"/>
        </w:rPr>
        <w:t>ACTEW</w:t>
      </w:r>
      <w:r>
        <w:rPr>
          <w:spacing w:val="-3"/>
        </w:rPr>
        <w:t xml:space="preserve"> </w:t>
      </w:r>
      <w:r>
        <w:t xml:space="preserve">and its customers may still be </w:t>
      </w:r>
      <w:r>
        <w:rPr>
          <w:spacing w:val="-1"/>
        </w:rPr>
        <w:t>exposed</w:t>
      </w:r>
      <w:r>
        <w:t xml:space="preserve"> to a</w:t>
      </w:r>
      <w:r>
        <w:rPr>
          <w:spacing w:val="39"/>
        </w:rPr>
        <w:t xml:space="preserve"> </w:t>
      </w:r>
      <w:r>
        <w:t>number of</w:t>
      </w:r>
      <w:r>
        <w:rPr>
          <w:spacing w:val="4"/>
        </w:rPr>
        <w:t xml:space="preserve"> </w:t>
      </w:r>
      <w:r>
        <w:rPr>
          <w:spacing w:val="-1"/>
        </w:rPr>
        <w:t>expenditure</w:t>
      </w:r>
      <w:r>
        <w:t xml:space="preserve"> and demand </w:t>
      </w:r>
      <w:r>
        <w:rPr>
          <w:spacing w:val="-1"/>
        </w:rPr>
        <w:t>related</w:t>
      </w:r>
      <w:r>
        <w:t xml:space="preserve"> </w:t>
      </w:r>
      <w:r>
        <w:rPr>
          <w:spacing w:val="-1"/>
        </w:rPr>
        <w:t>risks</w:t>
      </w:r>
      <w:r>
        <w:t xml:space="preserve"> in this </w:t>
      </w:r>
      <w:r>
        <w:rPr>
          <w:spacing w:val="-1"/>
        </w:rPr>
        <w:t>regulatory</w:t>
      </w:r>
      <w:r>
        <w:t xml:space="preserve"> period.</w:t>
      </w:r>
      <w:r>
        <w:rPr>
          <w:spacing w:val="-10"/>
        </w:rPr>
        <w:t xml:space="preserve"> </w:t>
      </w:r>
      <w:r>
        <w:t>An overview of</w:t>
      </w:r>
      <w:r>
        <w:rPr>
          <w:spacing w:val="4"/>
        </w:rPr>
        <w:t xml:space="preserve"> </w:t>
      </w:r>
      <w:r>
        <w:t xml:space="preserve">these </w:t>
      </w:r>
      <w:r>
        <w:rPr>
          <w:spacing w:val="-1"/>
        </w:rPr>
        <w:t>risks</w:t>
      </w:r>
      <w:r>
        <w:t xml:space="preserve"> is</w:t>
      </w:r>
      <w:r>
        <w:rPr>
          <w:spacing w:val="33"/>
        </w:rPr>
        <w:t xml:space="preserve"> </w:t>
      </w:r>
      <w:r>
        <w:rPr>
          <w:spacing w:val="-1"/>
        </w:rPr>
        <w:t>provided</w:t>
      </w:r>
      <w:r>
        <w:t xml:space="preserve"> in the table </w:t>
      </w:r>
      <w:r>
        <w:rPr>
          <w:spacing w:val="-2"/>
        </w:rPr>
        <w:t>below.</w:t>
      </w:r>
    </w:p>
    <w:p w:rsidR="00D96B91" w:rsidRDefault="00C2656B">
      <w:pPr>
        <w:spacing w:before="158"/>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6.1: </w:t>
      </w:r>
      <w:r>
        <w:rPr>
          <w:rFonts w:ascii="Avenir Next"/>
          <w:b/>
          <w:spacing w:val="-1"/>
          <w:sz w:val="20"/>
        </w:rPr>
        <w:t>Expenditure</w:t>
      </w:r>
      <w:r>
        <w:rPr>
          <w:rFonts w:ascii="Avenir Next"/>
          <w:b/>
          <w:sz w:val="20"/>
        </w:rPr>
        <w:t xml:space="preserve"> and demand </w:t>
      </w:r>
      <w:r>
        <w:rPr>
          <w:rFonts w:ascii="Avenir Next"/>
          <w:b/>
          <w:spacing w:val="-1"/>
          <w:sz w:val="20"/>
        </w:rPr>
        <w:t>related</w:t>
      </w:r>
      <w:r>
        <w:rPr>
          <w:rFonts w:ascii="Avenir Next"/>
          <w:b/>
          <w:sz w:val="20"/>
        </w:rPr>
        <w:t xml:space="preserve"> </w:t>
      </w:r>
      <w:r>
        <w:rPr>
          <w:rFonts w:ascii="Avenir Next"/>
          <w:b/>
          <w:spacing w:val="-1"/>
          <w:sz w:val="20"/>
        </w:rPr>
        <w:t>risks</w:t>
      </w:r>
      <w:r>
        <w:rPr>
          <w:rFonts w:ascii="Avenir Next"/>
          <w:b/>
          <w:sz w:val="20"/>
        </w:rPr>
        <w:t xml:space="preserve"> in this </w:t>
      </w:r>
      <w:r>
        <w:rPr>
          <w:rFonts w:ascii="Avenir Next"/>
          <w:b/>
          <w:spacing w:val="-1"/>
          <w:sz w:val="20"/>
        </w:rPr>
        <w:t>regulatory</w:t>
      </w:r>
      <w:r>
        <w:rPr>
          <w:rFonts w:ascii="Avenir Next"/>
          <w:b/>
          <w:sz w:val="20"/>
        </w:rPr>
        <w:t xml:space="preserve"> period</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391"/>
        <w:gridCol w:w="8010"/>
      </w:tblGrid>
      <w:tr w:rsidR="00D96B91">
        <w:trPr>
          <w:trHeight w:hRule="exact" w:val="407"/>
        </w:trPr>
        <w:tc>
          <w:tcPr>
            <w:tcW w:w="139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Risk type</w:t>
            </w:r>
          </w:p>
        </w:tc>
        <w:tc>
          <w:tcPr>
            <w:tcW w:w="80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Risks</w:t>
            </w:r>
          </w:p>
        </w:tc>
      </w:tr>
      <w:tr w:rsidR="00D96B91">
        <w:trPr>
          <w:trHeight w:hRule="exact" w:val="357"/>
        </w:trPr>
        <w:tc>
          <w:tcPr>
            <w:tcW w:w="1391"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Capital</w:t>
            </w:r>
          </w:p>
        </w:tc>
        <w:tc>
          <w:tcPr>
            <w:tcW w:w="8010"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Although capital </w:t>
            </w:r>
            <w:r>
              <w:rPr>
                <w:rFonts w:ascii="Avenir Next Condensed"/>
                <w:spacing w:val="-1"/>
                <w:sz w:val="18"/>
              </w:rPr>
              <w:t>expenditure</w:t>
            </w:r>
            <w:r>
              <w:rPr>
                <w:rFonts w:ascii="Avenir Next Condensed"/>
                <w:sz w:val="18"/>
              </w:rPr>
              <w:t xml:space="preserve"> is </w:t>
            </w:r>
            <w:r>
              <w:rPr>
                <w:rFonts w:ascii="Avenir Next Condensed"/>
                <w:spacing w:val="-1"/>
                <w:sz w:val="18"/>
              </w:rPr>
              <w:t>expected</w:t>
            </w:r>
            <w:r>
              <w:rPr>
                <w:rFonts w:ascii="Avenir Next Condensed"/>
                <w:sz w:val="18"/>
              </w:rPr>
              <w:t xml:space="preserve"> to be substantially lower in this </w:t>
            </w:r>
            <w:r>
              <w:rPr>
                <w:rFonts w:ascii="Avenir Next Condensed"/>
                <w:spacing w:val="-1"/>
                <w:sz w:val="18"/>
              </w:rPr>
              <w:t>regulatory</w:t>
            </w:r>
            <w:r>
              <w:rPr>
                <w:rFonts w:ascii="Avenir Next Condensed"/>
                <w:sz w:val="18"/>
              </w:rPr>
              <w:t xml:space="preserve"> period than it was in the </w:t>
            </w:r>
            <w:r>
              <w:rPr>
                <w:rFonts w:ascii="Avenir Next Condensed"/>
                <w:spacing w:val="-1"/>
                <w:sz w:val="18"/>
              </w:rPr>
              <w:t>previous</w:t>
            </w:r>
          </w:p>
        </w:tc>
      </w:tr>
      <w:tr w:rsidR="00D96B91">
        <w:trPr>
          <w:trHeight w:hRule="exact" w:val="1377"/>
        </w:trPr>
        <w:tc>
          <w:tcPr>
            <w:tcW w:w="139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expenditure</w:t>
            </w:r>
          </w:p>
        </w:tc>
        <w:tc>
          <w:tcPr>
            <w:tcW w:w="801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137"/>
              <w:rPr>
                <w:rFonts w:ascii="Avenir Next Condensed" w:eastAsia="Avenir Next Condensed" w:hAnsi="Avenir Next Condensed" w:cs="Avenir Next Condensed"/>
                <w:sz w:val="18"/>
                <w:szCs w:val="18"/>
              </w:rPr>
            </w:pPr>
            <w:r>
              <w:rPr>
                <w:rFonts w:ascii="Avenir Next Condensed"/>
                <w:sz w:val="18"/>
              </w:rPr>
              <w:t>period,</w:t>
            </w:r>
            <w:r>
              <w:rPr>
                <w:rFonts w:ascii="Avenir Next Condensed"/>
                <w:spacing w:val="-6"/>
                <w:sz w:val="18"/>
              </w:rPr>
              <w:t xml:space="preserve"> </w:t>
            </w:r>
            <w:r>
              <w:rPr>
                <w:rFonts w:ascii="Avenir Next Condensed"/>
                <w:sz w:val="18"/>
              </w:rPr>
              <w:t xml:space="preserve">it is </w:t>
            </w:r>
            <w:r>
              <w:rPr>
                <w:rFonts w:ascii="Avenir Next Condensed"/>
                <w:spacing w:val="-1"/>
                <w:sz w:val="18"/>
              </w:rPr>
              <w:t>expected</w:t>
            </w:r>
            <w:r>
              <w:rPr>
                <w:rFonts w:ascii="Avenir Next Condensed"/>
                <w:sz w:val="18"/>
              </w:rPr>
              <w:t xml:space="preserve"> to be quite lumpy (see section 9.3).</w:t>
            </w:r>
            <w:r>
              <w:rPr>
                <w:rFonts w:ascii="Avenir Next Condensed"/>
                <w:spacing w:val="-9"/>
                <w:sz w:val="18"/>
              </w:rPr>
              <w:t xml:space="preserve"> </w:t>
            </w:r>
            <w:r>
              <w:rPr>
                <w:rFonts w:ascii="Avenir Next Condensed"/>
                <w:sz w:val="18"/>
              </w:rPr>
              <w:t xml:space="preserve">Apart </w:t>
            </w:r>
            <w:r>
              <w:rPr>
                <w:rFonts w:ascii="Avenir Next Condensed"/>
                <w:spacing w:val="-1"/>
                <w:sz w:val="18"/>
              </w:rPr>
              <w:t>from</w:t>
            </w:r>
            <w:r>
              <w:rPr>
                <w:rFonts w:ascii="Avenir Next Condensed"/>
                <w:sz w:val="18"/>
              </w:rPr>
              <w:t xml:space="preserve"> the uncertainty </w:t>
            </w:r>
            <w:r>
              <w:rPr>
                <w:rFonts w:ascii="Avenir Next Condensed"/>
                <w:spacing w:val="-1"/>
                <w:sz w:val="18"/>
              </w:rPr>
              <w:t>surrounding</w:t>
            </w:r>
            <w:r>
              <w:rPr>
                <w:rFonts w:ascii="Avenir Next Condensed"/>
                <w:sz w:val="18"/>
              </w:rPr>
              <w:t xml:space="preserve"> the actual costs that will be</w:t>
            </w:r>
            <w:r>
              <w:rPr>
                <w:rFonts w:ascii="Avenir Next Condensed"/>
                <w:spacing w:val="35"/>
                <w:sz w:val="18"/>
              </w:rPr>
              <w:t xml:space="preserve"> </w:t>
            </w:r>
            <w:r>
              <w:rPr>
                <w:rFonts w:ascii="Avenir Next Condensed"/>
                <w:spacing w:val="-1"/>
                <w:sz w:val="18"/>
              </w:rPr>
              <w:t>incurred</w:t>
            </w:r>
            <w:r>
              <w:rPr>
                <w:rFonts w:ascii="Avenir Next Condensed"/>
                <w:sz w:val="18"/>
              </w:rPr>
              <w:t xml:space="preserve"> and the timing of</w:t>
            </w:r>
            <w:r>
              <w:rPr>
                <w:rFonts w:ascii="Avenir Next Condensed"/>
                <w:spacing w:val="4"/>
                <w:sz w:val="18"/>
              </w:rPr>
              <w:t xml:space="preserve"> </w:t>
            </w:r>
            <w:r>
              <w:rPr>
                <w:rFonts w:ascii="Avenir Next Condensed"/>
                <w:sz w:val="18"/>
              </w:rPr>
              <w:t xml:space="preserve">this </w:t>
            </w:r>
            <w:r>
              <w:rPr>
                <w:rFonts w:ascii="Avenir Next Condensed"/>
                <w:spacing w:val="-1"/>
                <w:sz w:val="18"/>
              </w:rPr>
              <w:t>expenditure,</w:t>
            </w:r>
            <w:r>
              <w:rPr>
                <w:rFonts w:ascii="Avenir Next Condensed"/>
                <w:spacing w:val="-6"/>
                <w:sz w:val="18"/>
              </w:rPr>
              <w:t xml:space="preserve"> </w:t>
            </w:r>
            <w:r>
              <w:rPr>
                <w:rFonts w:ascii="Avenir Next Condensed"/>
                <w:sz w:val="18"/>
              </w:rPr>
              <w:t xml:space="preserve">the only </w:t>
            </w:r>
            <w:r>
              <w:rPr>
                <w:rFonts w:ascii="Avenir Next Condensed"/>
                <w:spacing w:val="-1"/>
                <w:sz w:val="18"/>
              </w:rPr>
              <w:t>risks</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has identified </w:t>
            </w:r>
            <w:r>
              <w:rPr>
                <w:rFonts w:ascii="Avenir Next Condensed"/>
                <w:spacing w:val="-1"/>
                <w:sz w:val="18"/>
              </w:rPr>
              <w:t>are</w:t>
            </w:r>
            <w:r>
              <w:rPr>
                <w:rFonts w:ascii="Avenir Next Condensed"/>
                <w:sz w:val="18"/>
              </w:rPr>
              <w:t xml:space="preserve"> that:</w:t>
            </w:r>
          </w:p>
          <w:p w:rsidR="00D96B91" w:rsidRDefault="00C2656B">
            <w:pPr>
              <w:pStyle w:val="ListParagraph"/>
              <w:numPr>
                <w:ilvl w:val="0"/>
                <w:numId w:val="104"/>
              </w:numPr>
              <w:tabs>
                <w:tab w:val="left" w:pos="336"/>
              </w:tabs>
              <w:spacing w:before="98" w:line="220" w:lineRule="exact"/>
              <w:ind w:right="276"/>
              <w:rPr>
                <w:rFonts w:ascii="Avenir Next Condensed" w:eastAsia="Avenir Next Condensed" w:hAnsi="Avenir Next Condensed" w:cs="Avenir Next Condensed"/>
                <w:sz w:val="18"/>
                <w:szCs w:val="18"/>
              </w:rPr>
            </w:pPr>
            <w:r>
              <w:rPr>
                <w:rFonts w:ascii="Avenir Next Condensed"/>
                <w:sz w:val="18"/>
              </w:rPr>
              <w:t xml:space="preserve">it may be </w:t>
            </w:r>
            <w:r>
              <w:rPr>
                <w:rFonts w:ascii="Avenir Next Condensed"/>
                <w:spacing w:val="-1"/>
                <w:sz w:val="18"/>
              </w:rPr>
              <w:t>required</w:t>
            </w:r>
            <w:r>
              <w:rPr>
                <w:rFonts w:ascii="Avenir Next Condensed"/>
                <w:sz w:val="18"/>
              </w:rPr>
              <w:t xml:space="preserve"> to carry out additional </w:t>
            </w:r>
            <w:r>
              <w:rPr>
                <w:rFonts w:ascii="Avenir Next Condensed"/>
                <w:spacing w:val="-1"/>
                <w:sz w:val="18"/>
              </w:rPr>
              <w:t>projects</w:t>
            </w:r>
            <w:r>
              <w:rPr>
                <w:rFonts w:ascii="Avenir Next Condensed"/>
                <w:sz w:val="18"/>
              </w:rPr>
              <w:t xml:space="preserve"> that </w:t>
            </w:r>
            <w:r>
              <w:rPr>
                <w:rFonts w:ascii="Avenir Next Condensed"/>
                <w:spacing w:val="-1"/>
                <w:sz w:val="18"/>
              </w:rPr>
              <w:t>were</w:t>
            </w:r>
            <w:r>
              <w:rPr>
                <w:rFonts w:ascii="Avenir Next Condensed"/>
                <w:sz w:val="18"/>
              </w:rPr>
              <w:t xml:space="preserve"> not </w:t>
            </w:r>
            <w:r>
              <w:rPr>
                <w:rFonts w:ascii="Avenir Next Condensed"/>
                <w:spacing w:val="-1"/>
                <w:sz w:val="18"/>
              </w:rPr>
              <w:t>foreseen</w:t>
            </w:r>
            <w:r>
              <w:rPr>
                <w:rFonts w:ascii="Avenir Next Condensed"/>
                <w:sz w:val="18"/>
              </w:rPr>
              <w:t xml:space="preserve"> at the time of</w:t>
            </w:r>
            <w:r>
              <w:rPr>
                <w:rFonts w:ascii="Avenir Next Condensed"/>
                <w:spacing w:val="4"/>
                <w:sz w:val="18"/>
              </w:rPr>
              <w:t xml:space="preserve"> </w:t>
            </w:r>
            <w:r>
              <w:rPr>
                <w:rFonts w:ascii="Avenir Next Condensed"/>
                <w:sz w:val="18"/>
              </w:rPr>
              <w:t>the determination (eg,</w:t>
            </w:r>
            <w:r>
              <w:rPr>
                <w:rFonts w:ascii="Avenir Next Condensed"/>
                <w:spacing w:val="-6"/>
                <w:sz w:val="18"/>
              </w:rPr>
              <w:t xml:space="preserve"> </w:t>
            </w:r>
            <w:r>
              <w:rPr>
                <w:rFonts w:ascii="Avenir Next Condensed"/>
                <w:spacing w:val="-1"/>
                <w:sz w:val="18"/>
              </w:rPr>
              <w:t>through</w:t>
            </w:r>
            <w:r>
              <w:rPr>
                <w:rFonts w:ascii="Avenir Next Condensed"/>
                <w:spacing w:val="47"/>
                <w:sz w:val="18"/>
              </w:rPr>
              <w:t xml:space="preserve"> </w:t>
            </w:r>
            <w:r>
              <w:rPr>
                <w:rFonts w:ascii="Avenir Next Condensed"/>
                <w:sz w:val="18"/>
              </w:rPr>
              <w:t xml:space="preserve">changed land </w:t>
            </w:r>
            <w:r>
              <w:rPr>
                <w:rFonts w:ascii="Avenir Next Condensed"/>
                <w:spacing w:val="-1"/>
                <w:sz w:val="18"/>
              </w:rPr>
              <w:t>release</w:t>
            </w:r>
            <w:r>
              <w:rPr>
                <w:rFonts w:ascii="Avenir Next Condensed"/>
                <w:sz w:val="18"/>
              </w:rPr>
              <w:t xml:space="preserve"> </w:t>
            </w:r>
            <w:r>
              <w:rPr>
                <w:rFonts w:ascii="Avenir Next Condensed"/>
                <w:spacing w:val="-1"/>
                <w:sz w:val="18"/>
              </w:rPr>
              <w:t>programs),</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104"/>
              </w:numPr>
              <w:tabs>
                <w:tab w:val="left" w:pos="336"/>
              </w:tabs>
              <w:spacing w:before="109"/>
              <w:rPr>
                <w:rFonts w:ascii="Avenir Next Condensed" w:eastAsia="Avenir Next Condensed" w:hAnsi="Avenir Next Condensed" w:cs="Avenir Next Condensed"/>
                <w:sz w:val="18"/>
                <w:szCs w:val="18"/>
              </w:rPr>
            </w:pPr>
            <w:r>
              <w:rPr>
                <w:rFonts w:ascii="Avenir Next Condensed"/>
                <w:spacing w:val="-1"/>
                <w:sz w:val="18"/>
              </w:rPr>
              <w:t>there</w:t>
            </w:r>
            <w:r>
              <w:rPr>
                <w:rFonts w:ascii="Avenir Next Condensed"/>
                <w:sz w:val="18"/>
              </w:rPr>
              <w:t xml:space="preserve"> may be a </w:t>
            </w:r>
            <w:r>
              <w:rPr>
                <w:rFonts w:ascii="Avenir Next Condensed"/>
                <w:spacing w:val="-1"/>
                <w:sz w:val="18"/>
              </w:rPr>
              <w:t>natural</w:t>
            </w:r>
            <w:r>
              <w:rPr>
                <w:rFonts w:ascii="Avenir Next Condensed"/>
                <w:sz w:val="18"/>
              </w:rPr>
              <w:t xml:space="preserve"> </w:t>
            </w:r>
            <w:r>
              <w:rPr>
                <w:rFonts w:ascii="Avenir Next Condensed"/>
                <w:spacing w:val="-1"/>
                <w:sz w:val="18"/>
              </w:rPr>
              <w:t>disaster,</w:t>
            </w:r>
            <w:r>
              <w:rPr>
                <w:rFonts w:ascii="Avenir Next Condensed"/>
                <w:spacing w:val="-6"/>
                <w:sz w:val="18"/>
              </w:rPr>
              <w:t xml:space="preserve"> </w:t>
            </w:r>
            <w:r>
              <w:rPr>
                <w:rFonts w:ascii="Avenir Next Condensed"/>
                <w:sz w:val="18"/>
              </w:rPr>
              <w:t xml:space="preserve">which would </w:t>
            </w:r>
            <w:r>
              <w:rPr>
                <w:rFonts w:ascii="Avenir Next Condensed"/>
                <w:spacing w:val="-1"/>
                <w:sz w:val="18"/>
              </w:rPr>
              <w:t>require</w:t>
            </w:r>
            <w:r>
              <w:rPr>
                <w:rFonts w:ascii="Avenir Next Condensed"/>
                <w:sz w:val="18"/>
              </w:rPr>
              <w:t xml:space="preserve"> major </w:t>
            </w:r>
            <w:r>
              <w:rPr>
                <w:rFonts w:ascii="Avenir Next Condensed"/>
                <w:spacing w:val="-1"/>
                <w:sz w:val="18"/>
              </w:rPr>
              <w:t>capex</w:t>
            </w:r>
            <w:r>
              <w:rPr>
                <w:rFonts w:ascii="Avenir Next Condensed"/>
                <w:sz w:val="18"/>
              </w:rPr>
              <w:t xml:space="preserve"> to be carried out.</w:t>
            </w:r>
          </w:p>
        </w:tc>
      </w:tr>
      <w:tr w:rsidR="00D96B91">
        <w:trPr>
          <w:trHeight w:hRule="exact" w:val="356"/>
        </w:trPr>
        <w:tc>
          <w:tcPr>
            <w:tcW w:w="1391"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Operating</w:t>
            </w:r>
          </w:p>
        </w:tc>
        <w:tc>
          <w:tcPr>
            <w:tcW w:w="8010"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is </w:t>
            </w:r>
            <w:r>
              <w:rPr>
                <w:rFonts w:ascii="Avenir Next Condensed"/>
                <w:spacing w:val="-1"/>
                <w:sz w:val="18"/>
              </w:rPr>
              <w:t>expected</w:t>
            </w:r>
            <w:r>
              <w:rPr>
                <w:rFonts w:ascii="Avenir Next Condensed"/>
                <w:sz w:val="18"/>
              </w:rPr>
              <w:t xml:space="preserve"> to be </w:t>
            </w:r>
            <w:r>
              <w:rPr>
                <w:rFonts w:ascii="Avenir Next Condensed"/>
                <w:spacing w:val="-1"/>
                <w:sz w:val="18"/>
              </w:rPr>
              <w:t>relatively</w:t>
            </w:r>
            <w:r>
              <w:rPr>
                <w:rFonts w:ascii="Avenir Next Condensed"/>
                <w:sz w:val="18"/>
              </w:rPr>
              <w:t xml:space="preserve"> stable over the </w:t>
            </w:r>
            <w:r>
              <w:rPr>
                <w:rFonts w:ascii="Avenir Next Condensed"/>
                <w:spacing w:val="-1"/>
                <w:sz w:val="18"/>
              </w:rPr>
              <w:t>regulatory</w:t>
            </w:r>
            <w:r>
              <w:rPr>
                <w:rFonts w:ascii="Avenir Next Condensed"/>
                <w:sz w:val="18"/>
              </w:rPr>
              <w:t xml:space="preserve"> period for both water and </w:t>
            </w:r>
            <w:r>
              <w:rPr>
                <w:rFonts w:ascii="Avenir Next Condensed"/>
                <w:spacing w:val="-1"/>
                <w:sz w:val="18"/>
              </w:rPr>
              <w:t>sewerage,</w:t>
            </w:r>
            <w:r>
              <w:rPr>
                <w:rFonts w:ascii="Avenir Next Condensed"/>
                <w:spacing w:val="-6"/>
                <w:sz w:val="18"/>
              </w:rPr>
              <w:t xml:space="preserve"> </w:t>
            </w:r>
            <w:r>
              <w:rPr>
                <w:rFonts w:ascii="Avenir Next Condensed"/>
                <w:sz w:val="18"/>
              </w:rPr>
              <w:t>rising by</w:t>
            </w:r>
          </w:p>
        </w:tc>
      </w:tr>
      <w:tr w:rsidR="00D96B91">
        <w:trPr>
          <w:trHeight w:hRule="exact" w:val="2931"/>
        </w:trPr>
        <w:tc>
          <w:tcPr>
            <w:tcW w:w="139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expenditure</w:t>
            </w:r>
          </w:p>
        </w:tc>
        <w:tc>
          <w:tcPr>
            <w:tcW w:w="801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186"/>
              <w:rPr>
                <w:rFonts w:ascii="Avenir Next Condensed" w:eastAsia="Avenir Next Condensed" w:hAnsi="Avenir Next Condensed" w:cs="Avenir Next Condensed"/>
                <w:sz w:val="18"/>
                <w:szCs w:val="18"/>
              </w:rPr>
            </w:pPr>
            <w:r>
              <w:rPr>
                <w:rFonts w:ascii="Avenir Next Condensed"/>
                <w:sz w:val="18"/>
              </w:rPr>
              <w:t xml:space="preserve">just 3% in </w:t>
            </w:r>
            <w:r>
              <w:rPr>
                <w:rFonts w:ascii="Avenir Next Condensed"/>
                <w:spacing w:val="-1"/>
                <w:sz w:val="18"/>
              </w:rPr>
              <w:t>real</w:t>
            </w:r>
            <w:r>
              <w:rPr>
                <w:rFonts w:ascii="Avenir Next Condensed"/>
                <w:sz w:val="18"/>
              </w:rPr>
              <w:t xml:space="preserve"> terms over the period (see chapter 11).</w:t>
            </w:r>
            <w:r>
              <w:rPr>
                <w:rFonts w:ascii="Avenir Next Condensed"/>
                <w:spacing w:val="-10"/>
                <w:sz w:val="18"/>
              </w:rPr>
              <w:t xml:space="preserve"> </w:t>
            </w:r>
            <w:r>
              <w:rPr>
                <w:rFonts w:ascii="Avenir Next Condensed"/>
                <w:spacing w:val="-1"/>
                <w:sz w:val="18"/>
              </w:rPr>
              <w:t>The</w:t>
            </w:r>
            <w:r>
              <w:rPr>
                <w:rFonts w:ascii="Avenir Next Condensed"/>
                <w:sz w:val="18"/>
              </w:rPr>
              <w:t xml:space="preserve"> only </w:t>
            </w:r>
            <w:r>
              <w:rPr>
                <w:rFonts w:ascii="Avenir Next Condensed"/>
                <w:spacing w:val="-1"/>
                <w:sz w:val="18"/>
              </w:rPr>
              <w:t>risks</w:t>
            </w:r>
            <w:r>
              <w:rPr>
                <w:rFonts w:ascii="Avenir Next Condensed"/>
                <w:sz w:val="18"/>
              </w:rPr>
              <w:t xml:space="preserve"> </w:t>
            </w:r>
            <w:r>
              <w:rPr>
                <w:rFonts w:ascii="Avenir Next Condensed"/>
                <w:spacing w:val="-1"/>
                <w:sz w:val="18"/>
              </w:rPr>
              <w:t>relating</w:t>
            </w:r>
            <w:r>
              <w:rPr>
                <w:rFonts w:ascii="Avenir Next Condensed"/>
                <w:sz w:val="18"/>
              </w:rPr>
              <w:t xml:space="preserve"> to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has identified</w:t>
            </w:r>
            <w:r>
              <w:rPr>
                <w:rFonts w:ascii="Avenir Next Condensed"/>
                <w:spacing w:val="51"/>
                <w:sz w:val="18"/>
              </w:rPr>
              <w:t xml:space="preserve"> </w:t>
            </w:r>
            <w:r>
              <w:rPr>
                <w:rFonts w:ascii="Avenir Next Condensed"/>
                <w:spacing w:val="-1"/>
                <w:sz w:val="18"/>
              </w:rPr>
              <w:t>are:</w:t>
            </w:r>
          </w:p>
          <w:p w:rsidR="00D96B91" w:rsidRDefault="00C2656B">
            <w:pPr>
              <w:pStyle w:val="ListParagraph"/>
              <w:numPr>
                <w:ilvl w:val="0"/>
                <w:numId w:val="103"/>
              </w:numPr>
              <w:tabs>
                <w:tab w:val="left" w:pos="336"/>
              </w:tabs>
              <w:spacing w:before="94"/>
              <w:rPr>
                <w:rFonts w:ascii="Avenir Next Condensed" w:eastAsia="Avenir Next Condensed" w:hAnsi="Avenir Next Condensed" w:cs="Avenir Next Condensed"/>
                <w:sz w:val="18"/>
                <w:szCs w:val="18"/>
              </w:rPr>
            </w:pPr>
            <w:r>
              <w:rPr>
                <w:rFonts w:ascii="Avenir Next Condensed"/>
                <w:sz w:val="18"/>
              </w:rPr>
              <w:t>changes to the timing and cost of</w:t>
            </w:r>
            <w:r>
              <w:rPr>
                <w:rFonts w:ascii="Avenir Next Condensed"/>
                <w:spacing w:val="4"/>
                <w:sz w:val="18"/>
              </w:rPr>
              <w:t xml:space="preserve"> </w:t>
            </w:r>
            <w:r>
              <w:rPr>
                <w:rFonts w:ascii="Avenir Next Condensed"/>
                <w:sz w:val="18"/>
              </w:rPr>
              <w:t xml:space="preserve">major maintenance </w:t>
            </w:r>
            <w:r>
              <w:rPr>
                <w:rFonts w:ascii="Avenir Next Condensed"/>
                <w:spacing w:val="-1"/>
                <w:sz w:val="18"/>
              </w:rPr>
              <w:t>works</w:t>
            </w:r>
          </w:p>
          <w:p w:rsidR="00D96B91" w:rsidRDefault="00C2656B">
            <w:pPr>
              <w:pStyle w:val="ListParagraph"/>
              <w:numPr>
                <w:ilvl w:val="0"/>
                <w:numId w:val="103"/>
              </w:numPr>
              <w:tabs>
                <w:tab w:val="left" w:pos="336"/>
              </w:tabs>
              <w:spacing w:before="91" w:line="220" w:lineRule="exact"/>
              <w:ind w:right="787"/>
              <w:rPr>
                <w:rFonts w:ascii="Avenir Next Condensed" w:eastAsia="Avenir Next Condensed" w:hAnsi="Avenir Next Condensed" w:cs="Avenir Next Condensed"/>
                <w:sz w:val="18"/>
                <w:szCs w:val="18"/>
              </w:rPr>
            </w:pPr>
            <w:r>
              <w:rPr>
                <w:rFonts w:ascii="Avenir Next Condensed"/>
                <w:sz w:val="18"/>
              </w:rPr>
              <w:t>changes in the</w:t>
            </w:r>
            <w:r>
              <w:rPr>
                <w:rFonts w:ascii="Avenir Next Condensed"/>
                <w:spacing w:val="-3"/>
                <w:sz w:val="18"/>
              </w:rPr>
              <w:t xml:space="preserve"> </w:t>
            </w:r>
            <w:r>
              <w:rPr>
                <w:rFonts w:ascii="Avenir Next Condensed"/>
                <w:spacing w:val="-1"/>
                <w:sz w:val="18"/>
              </w:rPr>
              <w:t>Water</w:t>
            </w:r>
            <w:r>
              <w:rPr>
                <w:rFonts w:ascii="Avenir Next Condensed"/>
                <w:spacing w:val="-4"/>
                <w:sz w:val="18"/>
              </w:rPr>
              <w:t xml:space="preserve"> </w:t>
            </w:r>
            <w:r>
              <w:rPr>
                <w:rFonts w:ascii="Avenir Next Condensed"/>
                <w:spacing w:val="-1"/>
                <w:sz w:val="18"/>
              </w:rPr>
              <w:t>Abstraction</w:t>
            </w:r>
            <w:r>
              <w:rPr>
                <w:rFonts w:ascii="Avenir Next Condensed"/>
                <w:sz w:val="18"/>
              </w:rPr>
              <w:t xml:space="preserve"> </w:t>
            </w:r>
            <w:r>
              <w:rPr>
                <w:rFonts w:ascii="Avenir Next Condensed"/>
                <w:spacing w:val="-1"/>
                <w:sz w:val="18"/>
              </w:rPr>
              <w:t>Charge</w:t>
            </w:r>
            <w:r>
              <w:rPr>
                <w:rFonts w:ascii="Avenir Next Condensed"/>
                <w:sz w:val="18"/>
              </w:rPr>
              <w:t xml:space="preserve"> </w:t>
            </w:r>
            <w:r>
              <w:rPr>
                <w:rFonts w:ascii="Avenir Next Condensed"/>
                <w:spacing w:val="-2"/>
                <w:sz w:val="18"/>
              </w:rPr>
              <w:t>(WAC),</w:t>
            </w:r>
            <w:r>
              <w:rPr>
                <w:rFonts w:ascii="Avenir Next Condensed"/>
                <w:spacing w:val="-6"/>
                <w:sz w:val="18"/>
              </w:rPr>
              <w:t xml:space="preserve"> </w:t>
            </w:r>
            <w:r>
              <w:rPr>
                <w:rFonts w:ascii="Avenir Next Condensed"/>
                <w:sz w:val="18"/>
              </w:rPr>
              <w:t xml:space="preserve">the Utilities Network </w:t>
            </w:r>
            <w:r>
              <w:rPr>
                <w:rFonts w:ascii="Avenir Next Condensed"/>
                <w:spacing w:val="-1"/>
                <w:sz w:val="18"/>
              </w:rPr>
              <w:t>Facilities</w:t>
            </w:r>
            <w:r>
              <w:rPr>
                <w:rFonts w:ascii="Avenir Next Condensed"/>
                <w:spacing w:val="-5"/>
                <w:sz w:val="18"/>
              </w:rPr>
              <w:t xml:space="preserve"> </w:t>
            </w:r>
            <w:r>
              <w:rPr>
                <w:rFonts w:ascii="Avenir Next Condensed"/>
                <w:spacing w:val="-3"/>
                <w:sz w:val="18"/>
              </w:rPr>
              <w:t>Tax</w:t>
            </w:r>
            <w:r>
              <w:rPr>
                <w:rFonts w:ascii="Avenir Next Condensed"/>
                <w:sz w:val="18"/>
              </w:rPr>
              <w:t xml:space="preserve"> (UNFT) and </w:t>
            </w:r>
            <w:r>
              <w:rPr>
                <w:rFonts w:ascii="Avenir Next Condensed"/>
                <w:spacing w:val="-1"/>
                <w:sz w:val="18"/>
              </w:rPr>
              <w:t>Commonwealth</w:t>
            </w:r>
            <w:r>
              <w:rPr>
                <w:rFonts w:ascii="Avenir Next Condensed"/>
                <w:spacing w:val="69"/>
                <w:sz w:val="18"/>
              </w:rPr>
              <w:t xml:space="preserve"> </w:t>
            </w:r>
            <w:r>
              <w:rPr>
                <w:rFonts w:ascii="Avenir Next Condensed"/>
                <w:sz w:val="18"/>
              </w:rPr>
              <w:t>Government subvention payments</w:t>
            </w:r>
          </w:p>
          <w:p w:rsidR="00D96B91" w:rsidRDefault="00C2656B">
            <w:pPr>
              <w:pStyle w:val="ListParagraph"/>
              <w:numPr>
                <w:ilvl w:val="0"/>
                <w:numId w:val="103"/>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 xml:space="preserve">changes in other </w:t>
            </w:r>
            <w:r>
              <w:rPr>
                <w:rFonts w:ascii="Avenir Next Condensed"/>
                <w:spacing w:val="-1"/>
                <w:sz w:val="18"/>
              </w:rPr>
              <w:t>taxes</w:t>
            </w:r>
            <w:r>
              <w:rPr>
                <w:rFonts w:ascii="Avenir Next Condensed"/>
                <w:sz w:val="18"/>
              </w:rPr>
              <w:t xml:space="preserve"> and carbon pricing</w:t>
            </w:r>
          </w:p>
          <w:p w:rsidR="00D96B91" w:rsidRDefault="00C2656B">
            <w:pPr>
              <w:pStyle w:val="ListParagraph"/>
              <w:numPr>
                <w:ilvl w:val="0"/>
                <w:numId w:val="103"/>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changes in service </w:t>
            </w:r>
            <w:r>
              <w:rPr>
                <w:rFonts w:ascii="Avenir Next Condensed"/>
                <w:spacing w:val="-1"/>
                <w:sz w:val="18"/>
              </w:rPr>
              <w:t>standards</w:t>
            </w:r>
            <w:r>
              <w:rPr>
                <w:rFonts w:ascii="Avenir Next Condensed"/>
                <w:sz w:val="18"/>
              </w:rPr>
              <w:t xml:space="preserve"> and other </w:t>
            </w:r>
            <w:r>
              <w:rPr>
                <w:rFonts w:ascii="Avenir Next Condensed"/>
                <w:spacing w:val="-1"/>
                <w:sz w:val="18"/>
              </w:rPr>
              <w:t>regulations</w:t>
            </w:r>
            <w:r>
              <w:rPr>
                <w:rFonts w:ascii="Avenir Next Condensed"/>
                <w:sz w:val="18"/>
              </w:rPr>
              <w:t xml:space="preserve"> that</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is subject to</w:t>
            </w:r>
          </w:p>
          <w:p w:rsidR="00D96B91" w:rsidRDefault="00C2656B">
            <w:pPr>
              <w:pStyle w:val="ListParagraph"/>
              <w:numPr>
                <w:ilvl w:val="0"/>
                <w:numId w:val="103"/>
              </w:numPr>
              <w:tabs>
                <w:tab w:val="left" w:pos="336"/>
              </w:tabs>
              <w:spacing w:before="91" w:line="220" w:lineRule="exact"/>
              <w:ind w:right="141"/>
              <w:rPr>
                <w:rFonts w:ascii="Avenir Next Condensed" w:eastAsia="Avenir Next Condensed" w:hAnsi="Avenir Next Condensed" w:cs="Avenir Next Condensed"/>
                <w:sz w:val="18"/>
                <w:szCs w:val="18"/>
              </w:rPr>
            </w:pPr>
            <w:r>
              <w:rPr>
                <w:rFonts w:ascii="Avenir Next Condensed"/>
                <w:sz w:val="18"/>
              </w:rPr>
              <w:t xml:space="preserve">a </w:t>
            </w:r>
            <w:r>
              <w:rPr>
                <w:rFonts w:ascii="Avenir Next Condensed"/>
                <w:spacing w:val="-1"/>
                <w:sz w:val="18"/>
              </w:rPr>
              <w:t>requirement</w:t>
            </w:r>
            <w:r>
              <w:rPr>
                <w:rFonts w:ascii="Avenir Next Condensed"/>
                <w:sz w:val="18"/>
              </w:rPr>
              <w:t xml:space="preserve"> that</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pacing w:val="-1"/>
                <w:sz w:val="18"/>
              </w:rPr>
              <w:t>exercise</w:t>
            </w:r>
            <w:r>
              <w:rPr>
                <w:rFonts w:ascii="Avenir Next Condensed"/>
                <w:sz w:val="18"/>
              </w:rPr>
              <w:t xml:space="preserve"> its option to </w:t>
            </w:r>
            <w:r>
              <w:rPr>
                <w:rFonts w:ascii="Avenir Next Condensed"/>
                <w:spacing w:val="-1"/>
                <w:sz w:val="18"/>
              </w:rPr>
              <w:t>transfer</w:t>
            </w:r>
            <w:r>
              <w:rPr>
                <w:rFonts w:ascii="Avenir Next Condensed"/>
                <w:sz w:val="18"/>
              </w:rPr>
              <w:t xml:space="preserve"> water </w:t>
            </w:r>
            <w:r>
              <w:rPr>
                <w:rFonts w:ascii="Avenir Next Condensed"/>
                <w:spacing w:val="-1"/>
                <w:sz w:val="18"/>
              </w:rPr>
              <w:t>from</w:t>
            </w:r>
            <w:r>
              <w:rPr>
                <w:rFonts w:ascii="Avenir Next Condensed"/>
                <w:sz w:val="18"/>
              </w:rPr>
              <w:t xml:space="preserve"> the </w:t>
            </w:r>
            <w:r>
              <w:rPr>
                <w:rFonts w:ascii="Avenir Next Condensed"/>
                <w:spacing w:val="-1"/>
                <w:sz w:val="18"/>
              </w:rPr>
              <w:t>regulated</w:t>
            </w:r>
            <w:r>
              <w:rPr>
                <w:rFonts w:ascii="Avenir Next Condensed"/>
                <w:sz w:val="18"/>
              </w:rPr>
              <w:t xml:space="preserve"> Murrumbidgee River to the</w:t>
            </w:r>
            <w:r>
              <w:rPr>
                <w:rFonts w:ascii="Avenir Next Condensed"/>
                <w:spacing w:val="-4"/>
                <w:sz w:val="18"/>
              </w:rPr>
              <w:t xml:space="preserve"> </w:t>
            </w:r>
            <w:r>
              <w:rPr>
                <w:rFonts w:ascii="Avenir Next Condensed"/>
                <w:spacing w:val="-2"/>
                <w:sz w:val="18"/>
              </w:rPr>
              <w:t>ACT</w:t>
            </w:r>
            <w:r>
              <w:rPr>
                <w:rFonts w:ascii="Avenir Next Condensed"/>
                <w:spacing w:val="-5"/>
                <w:sz w:val="18"/>
              </w:rPr>
              <w:t xml:space="preserve"> </w:t>
            </w:r>
            <w:r>
              <w:rPr>
                <w:rFonts w:ascii="Avenir Next Condensed"/>
                <w:sz w:val="18"/>
              </w:rPr>
              <w:t>via the</w:t>
            </w:r>
            <w:r>
              <w:rPr>
                <w:rFonts w:ascii="Avenir Next Condensed"/>
                <w:spacing w:val="55"/>
                <w:sz w:val="18"/>
              </w:rPr>
              <w:t xml:space="preserve"> </w:t>
            </w:r>
            <w:r>
              <w:rPr>
                <w:rFonts w:ascii="Avenir Next Condensed"/>
                <w:sz w:val="18"/>
              </w:rPr>
              <w:t xml:space="preserve">Snowy Mountains Scheme </w:t>
            </w:r>
            <w:r>
              <w:rPr>
                <w:rFonts w:ascii="Avenir Next Condensed"/>
                <w:spacing w:val="-1"/>
                <w:sz w:val="18"/>
              </w:rPr>
              <w:t>(Tantangara</w:t>
            </w:r>
            <w:r>
              <w:rPr>
                <w:rFonts w:ascii="Avenir Next Condensed"/>
                <w:spacing w:val="-5"/>
                <w:sz w:val="18"/>
              </w:rPr>
              <w:t xml:space="preserve"> </w:t>
            </w:r>
            <w:r>
              <w:rPr>
                <w:rFonts w:ascii="Avenir Next Condensed"/>
                <w:spacing w:val="-1"/>
                <w:sz w:val="18"/>
              </w:rPr>
              <w:t>Transfer),</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103"/>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 xml:space="preserve">a major </w:t>
            </w:r>
            <w:r>
              <w:rPr>
                <w:rFonts w:ascii="Avenir Next Condensed"/>
                <w:spacing w:val="-1"/>
                <w:sz w:val="18"/>
              </w:rPr>
              <w:t>natural</w:t>
            </w:r>
            <w:r>
              <w:rPr>
                <w:rFonts w:ascii="Avenir Next Condensed"/>
                <w:sz w:val="18"/>
              </w:rPr>
              <w:t xml:space="preserve"> </w:t>
            </w:r>
            <w:r>
              <w:rPr>
                <w:rFonts w:ascii="Avenir Next Condensed"/>
                <w:spacing w:val="-1"/>
                <w:sz w:val="18"/>
              </w:rPr>
              <w:t>disaster.</w:t>
            </w:r>
          </w:p>
        </w:tc>
      </w:tr>
      <w:tr w:rsidR="00D96B91" w:rsidTr="002D353F">
        <w:trPr>
          <w:trHeight w:hRule="exact" w:val="2986"/>
        </w:trPr>
        <w:tc>
          <w:tcPr>
            <w:tcW w:w="13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Demand</w:t>
            </w:r>
          </w:p>
        </w:tc>
        <w:tc>
          <w:tcPr>
            <w:tcW w:w="80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key</w:t>
            </w:r>
            <w:r>
              <w:rPr>
                <w:rFonts w:ascii="Avenir Next Condensed"/>
                <w:sz w:val="18"/>
              </w:rPr>
              <w:t xml:space="preserve"> </w:t>
            </w:r>
            <w:r>
              <w:rPr>
                <w:rFonts w:ascii="Avenir Next Condensed"/>
                <w:spacing w:val="-1"/>
                <w:sz w:val="18"/>
              </w:rPr>
              <w:t>demand-related</w:t>
            </w:r>
            <w:r>
              <w:rPr>
                <w:rFonts w:ascii="Avenir Next Condensed"/>
                <w:sz w:val="18"/>
              </w:rPr>
              <w:t xml:space="preserve"> uncertainties facing</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and its customers in this </w:t>
            </w:r>
            <w:r>
              <w:rPr>
                <w:rFonts w:ascii="Avenir Next Condensed"/>
                <w:spacing w:val="-1"/>
                <w:sz w:val="18"/>
              </w:rPr>
              <w:t>regulatory</w:t>
            </w:r>
            <w:r>
              <w:rPr>
                <w:rFonts w:ascii="Avenir Next Condensed"/>
                <w:sz w:val="18"/>
              </w:rPr>
              <w:t xml:space="preserve"> period </w:t>
            </w:r>
            <w:r>
              <w:rPr>
                <w:rFonts w:ascii="Avenir Next Condensed"/>
                <w:spacing w:val="-1"/>
                <w:sz w:val="18"/>
              </w:rPr>
              <w:t>are</w:t>
            </w:r>
            <w:r>
              <w:rPr>
                <w:rFonts w:ascii="Avenir Next Condensed"/>
                <w:sz w:val="18"/>
              </w:rPr>
              <w:t xml:space="preserve"> whether:</w:t>
            </w:r>
          </w:p>
          <w:p w:rsidR="00D96B91" w:rsidRDefault="00C2656B">
            <w:pPr>
              <w:pStyle w:val="ListParagraph"/>
              <w:numPr>
                <w:ilvl w:val="0"/>
                <w:numId w:val="102"/>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demand for water will </w:t>
            </w:r>
            <w:r>
              <w:rPr>
                <w:rFonts w:ascii="Avenir Next Condensed"/>
                <w:spacing w:val="-1"/>
                <w:sz w:val="18"/>
              </w:rPr>
              <w:t>return</w:t>
            </w:r>
            <w:r>
              <w:rPr>
                <w:rFonts w:ascii="Avenir Next Condensed"/>
                <w:sz w:val="18"/>
              </w:rPr>
              <w:t xml:space="preserve"> to its </w:t>
            </w:r>
            <w:r>
              <w:rPr>
                <w:rFonts w:ascii="Avenir Next Condensed"/>
                <w:spacing w:val="-1"/>
                <w:sz w:val="18"/>
              </w:rPr>
              <w:t>pre-water</w:t>
            </w:r>
            <w:r>
              <w:rPr>
                <w:rFonts w:ascii="Avenir Next Condensed"/>
                <w:sz w:val="18"/>
              </w:rPr>
              <w:t xml:space="preserve"> </w:t>
            </w:r>
            <w:r>
              <w:rPr>
                <w:rFonts w:ascii="Avenir Next Condensed"/>
                <w:spacing w:val="-1"/>
                <w:sz w:val="18"/>
              </w:rPr>
              <w:t>restriction</w:t>
            </w:r>
            <w:r>
              <w:rPr>
                <w:rFonts w:ascii="Avenir Next Condensed"/>
                <w:sz w:val="18"/>
              </w:rPr>
              <w:t xml:space="preserve"> level and,</w:t>
            </w:r>
            <w:r>
              <w:rPr>
                <w:rFonts w:ascii="Avenir Next Condensed"/>
                <w:spacing w:val="-6"/>
                <w:sz w:val="18"/>
              </w:rPr>
              <w:t xml:space="preserve"> </w:t>
            </w:r>
            <w:r>
              <w:rPr>
                <w:rFonts w:ascii="Avenir Next Condensed"/>
                <w:sz w:val="18"/>
              </w:rPr>
              <w:t>if</w:t>
            </w:r>
            <w:r>
              <w:rPr>
                <w:rFonts w:ascii="Avenir Next Condensed"/>
                <w:spacing w:val="4"/>
                <w:sz w:val="18"/>
              </w:rPr>
              <w:t xml:space="preserve"> </w:t>
            </w:r>
            <w:r>
              <w:rPr>
                <w:rFonts w:ascii="Avenir Next Condensed"/>
                <w:spacing w:val="-1"/>
                <w:sz w:val="18"/>
              </w:rPr>
              <w:t>so,</w:t>
            </w:r>
            <w:r>
              <w:rPr>
                <w:rFonts w:ascii="Avenir Next Condensed"/>
                <w:spacing w:val="-6"/>
                <w:sz w:val="18"/>
              </w:rPr>
              <w:t xml:space="preserve"> </w:t>
            </w:r>
            <w:r>
              <w:rPr>
                <w:rFonts w:ascii="Avenir Next Condensed"/>
                <w:sz w:val="18"/>
              </w:rPr>
              <w:t>how quickly it will bounce back,</w:t>
            </w:r>
            <w:r>
              <w:rPr>
                <w:rFonts w:ascii="Avenir Next Condensed"/>
                <w:spacing w:val="-6"/>
                <w:sz w:val="18"/>
              </w:rPr>
              <w:t xml:space="preserve"> </w:t>
            </w:r>
            <w:r>
              <w:rPr>
                <w:rFonts w:ascii="Avenir Next Condensed"/>
                <w:sz w:val="18"/>
              </w:rPr>
              <w:t>or</w:t>
            </w:r>
          </w:p>
          <w:p w:rsidR="00D96B91" w:rsidRDefault="00C2656B">
            <w:pPr>
              <w:pStyle w:val="ListParagraph"/>
              <w:numPr>
                <w:ilvl w:val="0"/>
                <w:numId w:val="102"/>
              </w:numPr>
              <w:tabs>
                <w:tab w:val="left" w:pos="336"/>
              </w:tabs>
              <w:spacing w:before="91" w:line="220" w:lineRule="exact"/>
              <w:ind w:right="356"/>
              <w:rPr>
                <w:rFonts w:ascii="Avenir Next Condensed" w:eastAsia="Avenir Next Condensed" w:hAnsi="Avenir Next Condensed" w:cs="Avenir Next Condensed"/>
                <w:sz w:val="18"/>
                <w:szCs w:val="18"/>
              </w:rPr>
            </w:pPr>
            <w:r>
              <w:rPr>
                <w:rFonts w:ascii="Avenir Next Condensed"/>
                <w:sz w:val="18"/>
              </w:rPr>
              <w:t xml:space="preserve">the stage 3 water </w:t>
            </w:r>
            <w:r>
              <w:rPr>
                <w:rFonts w:ascii="Avenir Next Condensed"/>
                <w:spacing w:val="-1"/>
                <w:sz w:val="18"/>
              </w:rPr>
              <w:t>restrictions</w:t>
            </w:r>
            <w:r>
              <w:rPr>
                <w:rFonts w:ascii="Avenir Next Condensed"/>
                <w:sz w:val="18"/>
              </w:rPr>
              <w:t xml:space="preserve"> and campaigns carried out to </w:t>
            </w:r>
            <w:r>
              <w:rPr>
                <w:rFonts w:ascii="Avenir Next Condensed"/>
                <w:spacing w:val="-1"/>
                <w:sz w:val="18"/>
              </w:rPr>
              <w:t>encourage</w:t>
            </w:r>
            <w:r>
              <w:rPr>
                <w:rFonts w:ascii="Avenir Next Condensed"/>
                <w:sz w:val="18"/>
              </w:rPr>
              <w:t xml:space="preserve"> customers to conserve water have </w:t>
            </w:r>
            <w:r>
              <w:rPr>
                <w:rFonts w:ascii="Avenir Next Condensed"/>
                <w:spacing w:val="-1"/>
                <w:sz w:val="18"/>
              </w:rPr>
              <w:t>resulted</w:t>
            </w:r>
            <w:r>
              <w:rPr>
                <w:rFonts w:ascii="Avenir Next Condensed"/>
                <w:sz w:val="18"/>
              </w:rPr>
              <w:t xml:space="preserve"> in a</w:t>
            </w:r>
            <w:r>
              <w:rPr>
                <w:rFonts w:ascii="Avenir Next Condensed"/>
                <w:spacing w:val="47"/>
                <w:sz w:val="18"/>
              </w:rPr>
              <w:t xml:space="preserve"> </w:t>
            </w:r>
            <w:r>
              <w:rPr>
                <w:rFonts w:ascii="Avenir Next Condensed"/>
                <w:spacing w:val="-1"/>
                <w:sz w:val="18"/>
              </w:rPr>
              <w:t>structural</w:t>
            </w:r>
            <w:r>
              <w:rPr>
                <w:rFonts w:ascii="Avenir Next Condensed"/>
                <w:sz w:val="18"/>
              </w:rPr>
              <w:t xml:space="preserve"> </w:t>
            </w:r>
            <w:r>
              <w:rPr>
                <w:rFonts w:ascii="Avenir Next Condensed"/>
                <w:spacing w:val="-1"/>
                <w:sz w:val="18"/>
              </w:rPr>
              <w:t>break</w:t>
            </w:r>
            <w:r>
              <w:rPr>
                <w:rFonts w:ascii="Avenir Next Condensed"/>
                <w:sz w:val="18"/>
              </w:rPr>
              <w:t xml:space="preserve"> in the demand for water and,</w:t>
            </w:r>
            <w:r>
              <w:rPr>
                <w:rFonts w:ascii="Avenir Next Condensed"/>
                <w:spacing w:val="-6"/>
                <w:sz w:val="18"/>
              </w:rPr>
              <w:t xml:space="preserve"> </w:t>
            </w:r>
            <w:r>
              <w:rPr>
                <w:rFonts w:ascii="Avenir Next Condensed"/>
                <w:sz w:val="18"/>
              </w:rPr>
              <w:t>if</w:t>
            </w:r>
            <w:r>
              <w:rPr>
                <w:rFonts w:ascii="Avenir Next Condensed"/>
                <w:spacing w:val="4"/>
                <w:sz w:val="18"/>
              </w:rPr>
              <w:t xml:space="preserve"> </w:t>
            </w:r>
            <w:r>
              <w:rPr>
                <w:rFonts w:ascii="Avenir Next Condensed"/>
                <w:spacing w:val="-1"/>
                <w:sz w:val="18"/>
              </w:rPr>
              <w:t>so,</w:t>
            </w:r>
            <w:r>
              <w:rPr>
                <w:rFonts w:ascii="Avenir Next Condensed"/>
                <w:spacing w:val="-6"/>
                <w:sz w:val="18"/>
              </w:rPr>
              <w:t xml:space="preserve"> </w:t>
            </w:r>
            <w:r>
              <w:rPr>
                <w:rFonts w:ascii="Avenir Next Condensed"/>
                <w:sz w:val="18"/>
              </w:rPr>
              <w:t xml:space="preserve">the level at which demand will </w:t>
            </w:r>
            <w:r>
              <w:rPr>
                <w:rFonts w:ascii="Avenir Next Condensed"/>
                <w:spacing w:val="-1"/>
                <w:sz w:val="18"/>
              </w:rPr>
              <w:t>settle.</w:t>
            </w:r>
          </w:p>
          <w:p w:rsidR="00D96B91" w:rsidRDefault="00C2656B">
            <w:pPr>
              <w:pStyle w:val="TableParagraph"/>
              <w:spacing w:before="113" w:line="220" w:lineRule="exact"/>
              <w:ind w:left="108" w:right="185"/>
              <w:rPr>
                <w:rFonts w:ascii="Avenir Next Condensed" w:eastAsia="Avenir Next Condensed" w:hAnsi="Avenir Next Condensed" w:cs="Avenir Next Condensed"/>
                <w:sz w:val="18"/>
                <w:szCs w:val="18"/>
              </w:rPr>
            </w:pPr>
            <w:r>
              <w:rPr>
                <w:rFonts w:ascii="Avenir Next Condensed"/>
                <w:sz w:val="18"/>
              </w:rPr>
              <w:t xml:space="preserve">While it is </w:t>
            </w:r>
            <w:r>
              <w:rPr>
                <w:rFonts w:ascii="Avenir Next Condensed"/>
                <w:spacing w:val="-1"/>
                <w:sz w:val="18"/>
              </w:rPr>
              <w:t>difficult</w:t>
            </w:r>
            <w:r>
              <w:rPr>
                <w:rFonts w:ascii="Avenir Next Condensed"/>
                <w:sz w:val="18"/>
              </w:rPr>
              <w:t xml:space="preserve"> to know at this stage how these </w:t>
            </w:r>
            <w:r>
              <w:rPr>
                <w:rFonts w:ascii="Avenir Next Condensed"/>
                <w:spacing w:val="-1"/>
                <w:sz w:val="18"/>
              </w:rPr>
              <w:t>issues</w:t>
            </w:r>
            <w:r>
              <w:rPr>
                <w:rFonts w:ascii="Avenir Next Condensed"/>
                <w:sz w:val="18"/>
              </w:rPr>
              <w:t xml:space="preserve"> will unfold,</w:t>
            </w:r>
            <w:r>
              <w:rPr>
                <w:rFonts w:ascii="Avenir Next Condensed"/>
                <w:spacing w:val="-6"/>
                <w:sz w:val="18"/>
              </w:rPr>
              <w:t xml:space="preserve"> </w:t>
            </w:r>
            <w:r>
              <w:rPr>
                <w:rFonts w:ascii="Avenir Next Condensed"/>
                <w:sz w:val="18"/>
              </w:rPr>
              <w:t xml:space="preserve">one thing that is </w:t>
            </w:r>
            <w:r>
              <w:rPr>
                <w:rFonts w:ascii="Avenir Next Condensed"/>
                <w:spacing w:val="-1"/>
                <w:sz w:val="18"/>
              </w:rPr>
              <w:t>clear</w:t>
            </w:r>
            <w:r>
              <w:rPr>
                <w:rFonts w:ascii="Avenir Next Condensed"/>
                <w:sz w:val="18"/>
              </w:rPr>
              <w:t xml:space="preserve"> is that the risk of</w:t>
            </w:r>
            <w:r>
              <w:rPr>
                <w:rFonts w:ascii="Avenir Next Condensed"/>
                <w:spacing w:val="4"/>
                <w:sz w:val="18"/>
              </w:rPr>
              <w:t xml:space="preserve"> </w:t>
            </w:r>
            <w:r>
              <w:rPr>
                <w:rFonts w:ascii="Avenir Next Condensed"/>
                <w:sz w:val="18"/>
              </w:rPr>
              <w:t>stage 3 water</w:t>
            </w:r>
            <w:r>
              <w:rPr>
                <w:rFonts w:ascii="Avenir Next Condensed"/>
                <w:spacing w:val="27"/>
                <w:sz w:val="18"/>
              </w:rPr>
              <w:t xml:space="preserve"> </w:t>
            </w:r>
            <w:r>
              <w:rPr>
                <w:rFonts w:ascii="Avenir Next Condensed"/>
                <w:spacing w:val="-1"/>
                <w:sz w:val="18"/>
              </w:rPr>
              <w:t>restrictions</w:t>
            </w:r>
            <w:r>
              <w:rPr>
                <w:rFonts w:ascii="Avenir Next Condensed"/>
                <w:sz w:val="18"/>
              </w:rPr>
              <w:t xml:space="preserve"> being </w:t>
            </w:r>
            <w:r>
              <w:rPr>
                <w:rFonts w:ascii="Avenir Next Condensed"/>
                <w:spacing w:val="-1"/>
                <w:sz w:val="18"/>
              </w:rPr>
              <w:t>reintroduced</w:t>
            </w:r>
            <w:r>
              <w:rPr>
                <w:rFonts w:ascii="Avenir Next Condensed"/>
                <w:sz w:val="18"/>
              </w:rPr>
              <w:t xml:space="preserve"> in this </w:t>
            </w:r>
            <w:r>
              <w:rPr>
                <w:rFonts w:ascii="Avenir Next Condensed"/>
                <w:spacing w:val="-1"/>
                <w:sz w:val="18"/>
              </w:rPr>
              <w:t>regulatory</w:t>
            </w:r>
            <w:r>
              <w:rPr>
                <w:rFonts w:ascii="Avenir Next Condensed"/>
                <w:sz w:val="18"/>
              </w:rPr>
              <w:t xml:space="preserve"> period is </w:t>
            </w:r>
            <w:r>
              <w:rPr>
                <w:rFonts w:ascii="Avenir Next Condensed"/>
                <w:spacing w:val="-1"/>
                <w:sz w:val="18"/>
              </w:rPr>
              <w:t>extremely</w:t>
            </w:r>
            <w:r>
              <w:rPr>
                <w:rFonts w:ascii="Avenir Next Condensed"/>
                <w:sz w:val="18"/>
              </w:rPr>
              <w:t xml:space="preserve"> </w:t>
            </w:r>
            <w:r>
              <w:rPr>
                <w:rFonts w:ascii="Avenir Next Condensed"/>
                <w:spacing w:val="-2"/>
                <w:sz w:val="18"/>
              </w:rPr>
              <w:t>low.</w:t>
            </w:r>
            <w:r>
              <w:rPr>
                <w:rFonts w:ascii="Avenir Next Condensed"/>
                <w:spacing w:val="-6"/>
                <w:sz w:val="18"/>
              </w:rPr>
              <w:t xml:space="preserve"> </w:t>
            </w:r>
            <w:r>
              <w:rPr>
                <w:rFonts w:ascii="Avenir Next Condensed"/>
                <w:sz w:val="18"/>
              </w:rPr>
              <w:t xml:space="preserve">So the demand for water is </w:t>
            </w:r>
            <w:r>
              <w:rPr>
                <w:rFonts w:ascii="Avenir Next Condensed"/>
                <w:spacing w:val="-1"/>
                <w:sz w:val="18"/>
              </w:rPr>
              <w:t>more</w:t>
            </w:r>
            <w:r>
              <w:rPr>
                <w:rFonts w:ascii="Avenir Next Condensed"/>
                <w:sz w:val="18"/>
              </w:rPr>
              <w:t xml:space="preserve"> </w:t>
            </w:r>
            <w:r>
              <w:rPr>
                <w:rFonts w:ascii="Avenir Next Condensed"/>
                <w:spacing w:val="-1"/>
                <w:sz w:val="18"/>
              </w:rPr>
              <w:t>likely</w:t>
            </w:r>
            <w:r>
              <w:rPr>
                <w:rFonts w:ascii="Avenir Next Condensed"/>
                <w:sz w:val="18"/>
              </w:rPr>
              <w:t xml:space="preserve"> to </w:t>
            </w:r>
            <w:r>
              <w:rPr>
                <w:rFonts w:ascii="Avenir Next Condensed"/>
                <w:spacing w:val="-1"/>
                <w:sz w:val="18"/>
              </w:rPr>
              <w:t>increase</w:t>
            </w:r>
            <w:r>
              <w:rPr>
                <w:rFonts w:ascii="Avenir Next Condensed"/>
                <w:spacing w:val="83"/>
                <w:sz w:val="18"/>
              </w:rPr>
              <w:t xml:space="preserve"> </w:t>
            </w:r>
            <w:r>
              <w:rPr>
                <w:rFonts w:ascii="Avenir Next Condensed"/>
                <w:sz w:val="18"/>
              </w:rPr>
              <w:t xml:space="preserve">in this </w:t>
            </w:r>
            <w:r>
              <w:rPr>
                <w:rFonts w:ascii="Avenir Next Condensed"/>
                <w:spacing w:val="-1"/>
                <w:sz w:val="18"/>
              </w:rPr>
              <w:t>regulatory</w:t>
            </w:r>
            <w:r>
              <w:rPr>
                <w:rFonts w:ascii="Avenir Next Condensed"/>
                <w:sz w:val="18"/>
              </w:rPr>
              <w:t xml:space="preserve"> period than it is to fall.</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4"/>
                <w:sz w:val="18"/>
              </w:rPr>
              <w:t>Other</w:t>
            </w:r>
            <w:r>
              <w:rPr>
                <w:rFonts w:ascii="Avenir Next Condensed"/>
                <w:spacing w:val="-8"/>
                <w:sz w:val="18"/>
              </w:rPr>
              <w:t xml:space="preserve"> </w:t>
            </w:r>
            <w:r>
              <w:rPr>
                <w:rFonts w:ascii="Avenir Next Condensed"/>
                <w:spacing w:val="-4"/>
                <w:sz w:val="18"/>
              </w:rPr>
              <w:t>sources</w:t>
            </w:r>
            <w:r>
              <w:rPr>
                <w:rFonts w:ascii="Avenir Next Condensed"/>
                <w:spacing w:val="-8"/>
                <w:sz w:val="18"/>
              </w:rPr>
              <w:t xml:space="preserve"> </w:t>
            </w:r>
            <w:r>
              <w:rPr>
                <w:rFonts w:ascii="Avenir Next Condensed"/>
                <w:spacing w:val="-2"/>
                <w:sz w:val="18"/>
              </w:rPr>
              <w:t>of</w:t>
            </w:r>
            <w:r>
              <w:rPr>
                <w:rFonts w:ascii="Avenir Next Condensed"/>
                <w:spacing w:val="-3"/>
                <w:sz w:val="18"/>
              </w:rPr>
              <w:t xml:space="preserve"> </w:t>
            </w:r>
            <w:r>
              <w:rPr>
                <w:rFonts w:ascii="Avenir Next Condensed"/>
                <w:spacing w:val="-4"/>
                <w:sz w:val="18"/>
              </w:rPr>
              <w:t>demand-related</w:t>
            </w:r>
            <w:r>
              <w:rPr>
                <w:rFonts w:ascii="Avenir Next Condensed"/>
                <w:spacing w:val="-8"/>
                <w:sz w:val="18"/>
              </w:rPr>
              <w:t xml:space="preserve"> </w:t>
            </w:r>
            <w:r>
              <w:rPr>
                <w:rFonts w:ascii="Avenir Next Condensed"/>
                <w:spacing w:val="-4"/>
                <w:sz w:val="18"/>
              </w:rPr>
              <w:t>uncertainty</w:t>
            </w:r>
            <w:r>
              <w:rPr>
                <w:rFonts w:ascii="Avenir Next Condensed"/>
                <w:spacing w:val="-8"/>
                <w:sz w:val="18"/>
              </w:rPr>
              <w:t xml:space="preserve"> </w:t>
            </w:r>
            <w:r>
              <w:rPr>
                <w:rFonts w:ascii="Avenir Next Condensed"/>
                <w:spacing w:val="-2"/>
                <w:sz w:val="18"/>
              </w:rPr>
              <w:t>in</w:t>
            </w:r>
            <w:r>
              <w:rPr>
                <w:rFonts w:ascii="Avenir Next Condensed"/>
                <w:spacing w:val="-8"/>
                <w:sz w:val="18"/>
              </w:rPr>
              <w:t xml:space="preserve"> </w:t>
            </w:r>
            <w:r>
              <w:rPr>
                <w:rFonts w:ascii="Avenir Next Condensed"/>
                <w:spacing w:val="-3"/>
                <w:sz w:val="18"/>
              </w:rPr>
              <w:t>this</w:t>
            </w:r>
            <w:r>
              <w:rPr>
                <w:rFonts w:ascii="Avenir Next Condensed"/>
                <w:spacing w:val="-8"/>
                <w:sz w:val="18"/>
              </w:rPr>
              <w:t xml:space="preserve"> </w:t>
            </w:r>
            <w:r>
              <w:rPr>
                <w:rFonts w:ascii="Avenir Next Condensed"/>
                <w:spacing w:val="-4"/>
                <w:sz w:val="18"/>
              </w:rPr>
              <w:t>period</w:t>
            </w:r>
            <w:r>
              <w:rPr>
                <w:rFonts w:ascii="Avenir Next Condensed"/>
                <w:spacing w:val="-8"/>
                <w:sz w:val="18"/>
              </w:rPr>
              <w:t xml:space="preserve"> </w:t>
            </w:r>
            <w:r>
              <w:rPr>
                <w:rFonts w:ascii="Avenir Next Condensed"/>
                <w:spacing w:val="-3"/>
                <w:sz w:val="18"/>
              </w:rPr>
              <w:t>are</w:t>
            </w:r>
            <w:r>
              <w:rPr>
                <w:rFonts w:ascii="Avenir Next Condensed"/>
                <w:spacing w:val="-8"/>
                <w:sz w:val="18"/>
              </w:rPr>
              <w:t xml:space="preserve"> </w:t>
            </w:r>
            <w:r>
              <w:rPr>
                <w:rFonts w:ascii="Avenir Next Condensed"/>
                <w:spacing w:val="-4"/>
                <w:sz w:val="18"/>
              </w:rPr>
              <w:t>climatic</w:t>
            </w:r>
            <w:r>
              <w:rPr>
                <w:rFonts w:ascii="Avenir Next Condensed"/>
                <w:spacing w:val="-8"/>
                <w:sz w:val="18"/>
              </w:rPr>
              <w:t xml:space="preserve"> </w:t>
            </w:r>
            <w:r>
              <w:rPr>
                <w:rFonts w:ascii="Avenir Next Condensed"/>
                <w:spacing w:val="-4"/>
                <w:sz w:val="18"/>
              </w:rPr>
              <w:t>conditions;</w:t>
            </w:r>
            <w:r>
              <w:rPr>
                <w:rFonts w:ascii="Avenir Next Condensed"/>
                <w:spacing w:val="-8"/>
                <w:sz w:val="18"/>
              </w:rPr>
              <w:t xml:space="preserve"> </w:t>
            </w:r>
            <w:r>
              <w:rPr>
                <w:rFonts w:ascii="Avenir Next Condensed"/>
                <w:spacing w:val="-4"/>
                <w:sz w:val="18"/>
              </w:rPr>
              <w:t>population</w:t>
            </w:r>
            <w:r>
              <w:rPr>
                <w:rFonts w:ascii="Avenir Next Condensed"/>
                <w:spacing w:val="-8"/>
                <w:sz w:val="18"/>
              </w:rPr>
              <w:t xml:space="preserve"> </w:t>
            </w:r>
            <w:r>
              <w:rPr>
                <w:rFonts w:ascii="Avenir Next Condensed"/>
                <w:spacing w:val="-4"/>
                <w:sz w:val="18"/>
              </w:rPr>
              <w:t>growth;</w:t>
            </w:r>
            <w:r>
              <w:rPr>
                <w:rFonts w:ascii="Avenir Next Condensed"/>
                <w:spacing w:val="-8"/>
                <w:sz w:val="18"/>
              </w:rPr>
              <w:t xml:space="preserve"> </w:t>
            </w:r>
            <w:r>
              <w:rPr>
                <w:rFonts w:ascii="Avenir Next Condensed"/>
                <w:spacing w:val="-3"/>
                <w:sz w:val="18"/>
              </w:rPr>
              <w:t>and</w:t>
            </w:r>
            <w:r>
              <w:rPr>
                <w:rFonts w:ascii="Avenir Next Condensed"/>
                <w:spacing w:val="-8"/>
                <w:sz w:val="18"/>
              </w:rPr>
              <w:t xml:space="preserve"> </w:t>
            </w:r>
            <w:r>
              <w:rPr>
                <w:rFonts w:ascii="Avenir Next Condensed"/>
                <w:spacing w:val="-4"/>
                <w:sz w:val="18"/>
              </w:rPr>
              <w:t>behavioural</w:t>
            </w:r>
            <w:r>
              <w:rPr>
                <w:rFonts w:ascii="Avenir Next Condensed"/>
                <w:spacing w:val="-8"/>
                <w:sz w:val="18"/>
              </w:rPr>
              <w:t xml:space="preserve"> </w:t>
            </w:r>
            <w:r>
              <w:rPr>
                <w:rFonts w:ascii="Avenir Next Condensed"/>
                <w:spacing w:val="-4"/>
                <w:sz w:val="18"/>
              </w:rPr>
              <w:t>changes.</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356"/>
      </w:pPr>
      <w:r>
        <w:rPr>
          <w:spacing w:val="-4"/>
        </w:rPr>
        <w:t>From</w:t>
      </w:r>
      <w:r>
        <w:rPr>
          <w:spacing w:val="-5"/>
        </w:rPr>
        <w:t xml:space="preserve"> </w:t>
      </w:r>
      <w:r>
        <w:rPr>
          <w:spacing w:val="-2"/>
        </w:rPr>
        <w:t>ACTEW’s</w:t>
      </w:r>
      <w:r>
        <w:rPr>
          <w:spacing w:val="-1"/>
        </w:rPr>
        <w:t xml:space="preserve"> </w:t>
      </w:r>
      <w:r>
        <w:t>perspective,</w:t>
      </w:r>
      <w:r>
        <w:rPr>
          <w:spacing w:val="-7"/>
        </w:rPr>
        <w:t xml:space="preserve"> </w:t>
      </w:r>
      <w:r>
        <w:t>the</w:t>
      </w:r>
      <w:r>
        <w:rPr>
          <w:spacing w:val="-1"/>
        </w:rPr>
        <w:t xml:space="preserve"> uncertainty surrounding </w:t>
      </w:r>
      <w:r>
        <w:t>the demand</w:t>
      </w:r>
      <w:r>
        <w:rPr>
          <w:spacing w:val="-1"/>
        </w:rPr>
        <w:t xml:space="preserve"> </w:t>
      </w:r>
      <w:r>
        <w:t>for</w:t>
      </w:r>
      <w:r>
        <w:rPr>
          <w:spacing w:val="-1"/>
        </w:rPr>
        <w:t xml:space="preserve"> water </w:t>
      </w:r>
      <w:r>
        <w:t>is the</w:t>
      </w:r>
      <w:r>
        <w:rPr>
          <w:spacing w:val="-1"/>
        </w:rPr>
        <w:t xml:space="preserve"> </w:t>
      </w:r>
      <w:r>
        <w:t>most</w:t>
      </w:r>
      <w:r>
        <w:rPr>
          <w:spacing w:val="-1"/>
        </w:rPr>
        <w:t xml:space="preserve"> </w:t>
      </w:r>
      <w:r>
        <w:t>significant</w:t>
      </w:r>
      <w:r>
        <w:rPr>
          <w:spacing w:val="45"/>
          <w:w w:val="99"/>
        </w:rPr>
        <w:t xml:space="preserve"> </w:t>
      </w:r>
      <w:r>
        <w:t xml:space="preserve">risk it is </w:t>
      </w:r>
      <w:r>
        <w:rPr>
          <w:spacing w:val="-1"/>
        </w:rPr>
        <w:t>likely</w:t>
      </w:r>
      <w:r>
        <w:t xml:space="preserve"> to face in this period,</w:t>
      </w:r>
      <w:r>
        <w:rPr>
          <w:spacing w:val="-6"/>
        </w:rPr>
        <w:t xml:space="preserve"> </w:t>
      </w:r>
      <w:r>
        <w:t xml:space="preserve">given </w:t>
      </w:r>
      <w:r>
        <w:rPr>
          <w:spacing w:val="-1"/>
        </w:rPr>
        <w:t>that</w:t>
      </w:r>
      <w:r>
        <w:t xml:space="preserve"> over 90% of</w:t>
      </w:r>
      <w:r>
        <w:rPr>
          <w:spacing w:val="4"/>
        </w:rPr>
        <w:t xml:space="preserve"> </w:t>
      </w:r>
      <w:r>
        <w:t xml:space="preserve">its </w:t>
      </w:r>
      <w:r>
        <w:rPr>
          <w:spacing w:val="-1"/>
        </w:rPr>
        <w:t>water</w:t>
      </w:r>
      <w:r>
        <w:t xml:space="preserve"> </w:t>
      </w:r>
      <w:r>
        <w:rPr>
          <w:spacing w:val="-1"/>
        </w:rPr>
        <w:t>revenue</w:t>
      </w:r>
      <w:r>
        <w:t xml:space="preserve"> is </w:t>
      </w:r>
      <w:r>
        <w:rPr>
          <w:spacing w:val="-1"/>
        </w:rPr>
        <w:t>currently</w:t>
      </w:r>
      <w:r>
        <w:t xml:space="preserve"> </w:t>
      </w:r>
      <w:r>
        <w:rPr>
          <w:spacing w:val="-1"/>
        </w:rPr>
        <w:t>recovered</w:t>
      </w:r>
      <w:r>
        <w:rPr>
          <w:spacing w:val="33"/>
        </w:rPr>
        <w:t xml:space="preserve"> </w:t>
      </w:r>
      <w:r>
        <w:rPr>
          <w:spacing w:val="-1"/>
        </w:rPr>
        <w:t>through</w:t>
      </w:r>
      <w:r>
        <w:t xml:space="preserve"> a volumetric</w:t>
      </w:r>
      <w:r>
        <w:rPr>
          <w:spacing w:val="1"/>
        </w:rPr>
        <w:t xml:space="preserve"> </w:t>
      </w:r>
      <w:r>
        <w:t xml:space="preserve">inclining block </w:t>
      </w:r>
      <w:r>
        <w:rPr>
          <w:spacing w:val="-1"/>
        </w:rPr>
        <w:t>water</w:t>
      </w:r>
      <w:r>
        <w:rPr>
          <w:spacing w:val="1"/>
        </w:rPr>
        <w:t xml:space="preserve"> </w:t>
      </w:r>
      <w:r>
        <w:rPr>
          <w:spacing w:val="-1"/>
        </w:rPr>
        <w:t>charge</w:t>
      </w:r>
      <w:r>
        <w:t xml:space="preserve"> </w:t>
      </w:r>
      <w:r>
        <w:rPr>
          <w:spacing w:val="-1"/>
        </w:rPr>
        <w:t>($/kL).</w:t>
      </w:r>
      <w:r>
        <w:rPr>
          <w:spacing w:val="-1"/>
          <w:position w:val="7"/>
          <w:sz w:val="11"/>
          <w:szCs w:val="11"/>
        </w:rPr>
        <w:t>31</w:t>
      </w:r>
      <w:r>
        <w:rPr>
          <w:spacing w:val="18"/>
          <w:position w:val="7"/>
          <w:sz w:val="11"/>
          <w:szCs w:val="11"/>
        </w:rPr>
        <w:t xml:space="preserve"> </w:t>
      </w:r>
      <w:r>
        <w:rPr>
          <w:rFonts w:cs="Avenir Next"/>
          <w:spacing w:val="-1"/>
        </w:rPr>
        <w:t>This</w:t>
      </w:r>
      <w:r>
        <w:rPr>
          <w:rFonts w:cs="Avenir Next"/>
        </w:rPr>
        <w:t xml:space="preserve"> risk</w:t>
      </w:r>
      <w:r>
        <w:rPr>
          <w:rFonts w:cs="Avenir Next"/>
          <w:spacing w:val="1"/>
        </w:rPr>
        <w:t xml:space="preserve"> </w:t>
      </w:r>
      <w:r>
        <w:rPr>
          <w:rFonts w:cs="Avenir Next"/>
        </w:rPr>
        <w:t>is far</w:t>
      </w:r>
      <w:r>
        <w:rPr>
          <w:rFonts w:cs="Avenir Next"/>
          <w:spacing w:val="1"/>
        </w:rPr>
        <w:t xml:space="preserve"> </w:t>
      </w:r>
      <w:r>
        <w:rPr>
          <w:rFonts w:cs="Avenir Next"/>
        </w:rPr>
        <w:t xml:space="preserve">lower than </w:t>
      </w:r>
      <w:r>
        <w:rPr>
          <w:rFonts w:cs="Avenir Next"/>
          <w:spacing w:val="-1"/>
        </w:rPr>
        <w:t>what</w:t>
      </w:r>
      <w:r>
        <w:rPr>
          <w:rFonts w:cs="Avenir Next"/>
          <w:spacing w:val="1"/>
        </w:rPr>
        <w:t xml:space="preserve"> </w:t>
      </w:r>
      <w:r>
        <w:rPr>
          <w:rFonts w:cs="Avenir Next"/>
        </w:rPr>
        <w:t>it was though</w:t>
      </w:r>
      <w:r>
        <w:rPr>
          <w:rFonts w:cs="Avenir Next"/>
          <w:spacing w:val="33"/>
        </w:rPr>
        <w:t xml:space="preserve"> </w:t>
      </w:r>
      <w:r>
        <w:rPr>
          <w:rFonts w:cs="Avenir Next"/>
        </w:rPr>
        <w:t xml:space="preserve">in the </w:t>
      </w:r>
      <w:r>
        <w:rPr>
          <w:rFonts w:cs="Avenir Next"/>
          <w:spacing w:val="-1"/>
        </w:rPr>
        <w:t>previous</w:t>
      </w:r>
      <w:r>
        <w:rPr>
          <w:rFonts w:cs="Avenir Next"/>
        </w:rPr>
        <w:t xml:space="preserve"> </w:t>
      </w:r>
      <w:r>
        <w:rPr>
          <w:rFonts w:cs="Avenir Next"/>
          <w:spacing w:val="-1"/>
        </w:rPr>
        <w:t>regulatory</w:t>
      </w:r>
      <w:r>
        <w:rPr>
          <w:rFonts w:cs="Avenir Next"/>
        </w:rPr>
        <w:t xml:space="preserve"> period,</w:t>
      </w:r>
      <w:r>
        <w:rPr>
          <w:rFonts w:cs="Avenir Next"/>
          <w:spacing w:val="-6"/>
        </w:rPr>
        <w:t xml:space="preserve"> </w:t>
      </w:r>
      <w:r>
        <w:rPr>
          <w:rFonts w:cs="Avenir Next"/>
        </w:rPr>
        <w:t xml:space="preserve">given the </w:t>
      </w:r>
      <w:r>
        <w:rPr>
          <w:rFonts w:cs="Avenir Next"/>
          <w:spacing w:val="-1"/>
        </w:rPr>
        <w:t>water</w:t>
      </w:r>
      <w:r>
        <w:rPr>
          <w:rFonts w:cs="Avenir Next"/>
        </w:rPr>
        <w:t xml:space="preserve"> security </w:t>
      </w:r>
      <w:r>
        <w:rPr>
          <w:rFonts w:cs="Avenir Next"/>
          <w:spacing w:val="-1"/>
        </w:rPr>
        <w:t>projects</w:t>
      </w:r>
      <w:r>
        <w:rPr>
          <w:rFonts w:cs="Avenir Next"/>
        </w:rPr>
        <w:t xml:space="preserve"> have been developed and the risk</w:t>
      </w:r>
      <w:r>
        <w:rPr>
          <w:rFonts w:cs="Avenir Next"/>
          <w:spacing w:val="29"/>
        </w:rPr>
        <w:t xml:space="preserve"> </w:t>
      </w:r>
      <w:r>
        <w:t>of</w:t>
      </w:r>
      <w:r>
        <w:rPr>
          <w:spacing w:val="4"/>
        </w:rPr>
        <w:t xml:space="preserve"> </w:t>
      </w:r>
      <w:r>
        <w:t>stage 3</w:t>
      </w:r>
      <w:r>
        <w:rPr>
          <w:spacing w:val="1"/>
        </w:rPr>
        <w:t xml:space="preserve"> </w:t>
      </w:r>
      <w:r>
        <w:rPr>
          <w:spacing w:val="-1"/>
        </w:rPr>
        <w:t>water</w:t>
      </w:r>
      <w:r>
        <w:t xml:space="preserve"> </w:t>
      </w:r>
      <w:r>
        <w:rPr>
          <w:spacing w:val="-1"/>
        </w:rPr>
        <w:t>restrictions</w:t>
      </w:r>
      <w:r>
        <w:t xml:space="preserve"> being</w:t>
      </w:r>
      <w:r>
        <w:rPr>
          <w:spacing w:val="1"/>
        </w:rPr>
        <w:t xml:space="preserve"> </w:t>
      </w:r>
      <w:r>
        <w:rPr>
          <w:spacing w:val="-1"/>
        </w:rPr>
        <w:t>reintroduced</w:t>
      </w:r>
      <w:r>
        <w:t xml:space="preserve"> is</w:t>
      </w:r>
      <w:r>
        <w:rPr>
          <w:spacing w:val="1"/>
        </w:rPr>
        <w:t xml:space="preserve"> </w:t>
      </w:r>
      <w:r>
        <w:rPr>
          <w:spacing w:val="-2"/>
        </w:rPr>
        <w:t>low.</w:t>
      </w:r>
      <w:r>
        <w:rPr>
          <w:spacing w:val="-2"/>
          <w:position w:val="7"/>
          <w:sz w:val="11"/>
          <w:szCs w:val="11"/>
        </w:rPr>
        <w:t>32</w:t>
      </w:r>
      <w:r>
        <w:rPr>
          <w:spacing w:val="18"/>
          <w:position w:val="7"/>
          <w:sz w:val="11"/>
          <w:szCs w:val="11"/>
        </w:rPr>
        <w:t xml:space="preserve"> </w:t>
      </w:r>
      <w:r>
        <w:rPr>
          <w:rFonts w:cs="Avenir Next"/>
        </w:rPr>
        <w:t>As</w:t>
      </w:r>
      <w:r>
        <w:rPr>
          <w:rFonts w:cs="Avenir Next"/>
          <w:spacing w:val="1"/>
        </w:rPr>
        <w:t xml:space="preserve"> </w:t>
      </w:r>
      <w:r>
        <w:rPr>
          <w:rFonts w:cs="Avenir Next"/>
        </w:rPr>
        <w:t xml:space="preserve">to </w:t>
      </w:r>
      <w:r>
        <w:rPr>
          <w:rFonts w:cs="Avenir Next"/>
          <w:spacing w:val="-1"/>
        </w:rPr>
        <w:t>expenditure</w:t>
      </w:r>
      <w:r>
        <w:rPr>
          <w:rFonts w:cs="Avenir Next"/>
          <w:spacing w:val="1"/>
        </w:rPr>
        <w:t xml:space="preserve"> </w:t>
      </w:r>
      <w:r>
        <w:rPr>
          <w:rFonts w:cs="Avenir Next"/>
          <w:spacing w:val="-1"/>
        </w:rPr>
        <w:t>risks,</w:t>
      </w:r>
      <w:r>
        <w:rPr>
          <w:rFonts w:cs="Avenir Next"/>
          <w:spacing w:val="-6"/>
        </w:rPr>
        <w:t xml:space="preserve"> </w:t>
      </w:r>
      <w:r>
        <w:rPr>
          <w:rFonts w:cs="Avenir Next"/>
        </w:rPr>
        <w:t>these do</w:t>
      </w:r>
      <w:r>
        <w:rPr>
          <w:rFonts w:cs="Avenir Next"/>
          <w:spacing w:val="1"/>
        </w:rPr>
        <w:t xml:space="preserve"> </w:t>
      </w:r>
      <w:r>
        <w:rPr>
          <w:rFonts w:cs="Avenir Next"/>
        </w:rPr>
        <w:t>not,</w:t>
      </w:r>
      <w:r>
        <w:rPr>
          <w:rFonts w:cs="Avenir Next"/>
          <w:spacing w:val="-7"/>
        </w:rPr>
        <w:t xml:space="preserve"> </w:t>
      </w:r>
      <w:r>
        <w:rPr>
          <w:rFonts w:cs="Avenir Next"/>
        </w:rPr>
        <w:t>in the</w:t>
      </w:r>
      <w:r>
        <w:rPr>
          <w:rFonts w:cs="Avenir Next"/>
          <w:spacing w:val="57"/>
        </w:rPr>
        <w:t xml:space="preserve"> </w:t>
      </w:r>
      <w:r>
        <w:rPr>
          <w:spacing w:val="-4"/>
        </w:rPr>
        <w:t>Panel’s</w:t>
      </w:r>
      <w:r>
        <w:t xml:space="preserve"> </w:t>
      </w:r>
      <w:r>
        <w:rPr>
          <w:spacing w:val="-2"/>
        </w:rPr>
        <w:t>view,</w:t>
      </w:r>
      <w:r>
        <w:rPr>
          <w:spacing w:val="-6"/>
        </w:rPr>
        <w:t xml:space="preserve"> </w:t>
      </w:r>
      <w:r>
        <w:rPr>
          <w:spacing w:val="-1"/>
        </w:rPr>
        <w:t>appear</w:t>
      </w:r>
      <w:r>
        <w:t xml:space="preserve"> to be any </w:t>
      </w:r>
      <w:r>
        <w:rPr>
          <w:spacing w:val="-2"/>
        </w:rPr>
        <w:t>greater</w:t>
      </w:r>
      <w:r>
        <w:t xml:space="preserve"> than those faced by other </w:t>
      </w:r>
      <w:r>
        <w:rPr>
          <w:spacing w:val="-1"/>
        </w:rPr>
        <w:t>regulated</w:t>
      </w:r>
      <w:r>
        <w:t xml:space="preserve"> service </w:t>
      </w:r>
      <w:r>
        <w:rPr>
          <w:spacing w:val="-1"/>
        </w:rPr>
        <w:t>providers.</w:t>
      </w:r>
    </w:p>
    <w:p w:rsidR="00D96B91" w:rsidRDefault="00C2656B">
      <w:pPr>
        <w:pStyle w:val="BodyText"/>
        <w:spacing w:before="170" w:line="260" w:lineRule="exact"/>
        <w:ind w:right="1376"/>
      </w:pPr>
      <w:r>
        <w:rPr>
          <w:spacing w:val="-4"/>
        </w:rPr>
        <w:t>From</w:t>
      </w:r>
      <w:r>
        <w:t xml:space="preserve"> customers’ perspectives,</w:t>
      </w:r>
      <w:r>
        <w:rPr>
          <w:spacing w:val="-7"/>
        </w:rPr>
        <w:t xml:space="preserve"> </w:t>
      </w:r>
      <w:r>
        <w:t xml:space="preserve">the </w:t>
      </w:r>
      <w:r>
        <w:rPr>
          <w:spacing w:val="-1"/>
        </w:rPr>
        <w:t>greatest</w:t>
      </w:r>
      <w:r>
        <w:t xml:space="preserve"> risk is </w:t>
      </w:r>
      <w:r>
        <w:rPr>
          <w:spacing w:val="-1"/>
        </w:rPr>
        <w:t>that</w:t>
      </w:r>
      <w:r>
        <w:t xml:space="preserve"> the </w:t>
      </w:r>
      <w:r>
        <w:rPr>
          <w:spacing w:val="-1"/>
        </w:rPr>
        <w:t>water</w:t>
      </w:r>
      <w:r>
        <w:t xml:space="preserve"> sales </w:t>
      </w:r>
      <w:r>
        <w:rPr>
          <w:spacing w:val="-1"/>
        </w:rPr>
        <w:t>forecasts</w:t>
      </w:r>
      <w:r>
        <w:t xml:space="preserve"> will </w:t>
      </w:r>
      <w:r>
        <w:rPr>
          <w:spacing w:val="-1"/>
        </w:rPr>
        <w:t>prove</w:t>
      </w:r>
      <w:r>
        <w:t xml:space="preserve"> </w:t>
      </w:r>
      <w:r>
        <w:rPr>
          <w:spacing w:val="-1"/>
        </w:rPr>
        <w:t>conservative,</w:t>
      </w:r>
      <w:r>
        <w:rPr>
          <w:spacing w:val="51"/>
        </w:rPr>
        <w:t xml:space="preserve"> </w:t>
      </w:r>
      <w:r>
        <w:t xml:space="preserve">so </w:t>
      </w:r>
      <w:r>
        <w:rPr>
          <w:spacing w:val="-1"/>
        </w:rPr>
        <w:t>that</w:t>
      </w:r>
      <w:r>
        <w:t xml:space="preserve"> prices will be higher than necessary to meet</w:t>
      </w:r>
      <w:r>
        <w:rPr>
          <w:spacing w:val="-4"/>
        </w:rPr>
        <w:t xml:space="preserve"> </w:t>
      </w:r>
      <w:r>
        <w:rPr>
          <w:spacing w:val="-1"/>
        </w:rPr>
        <w:t>ACTEWs</w:t>
      </w:r>
      <w:r>
        <w:t xml:space="preserve"> </w:t>
      </w:r>
      <w:r>
        <w:rPr>
          <w:spacing w:val="-1"/>
        </w:rPr>
        <w:t>revenue</w:t>
      </w:r>
      <w:r>
        <w:t xml:space="preserve"> </w:t>
      </w:r>
      <w:r>
        <w:rPr>
          <w:spacing w:val="-1"/>
        </w:rPr>
        <w:t>requirement.</w:t>
      </w:r>
      <w:r>
        <w:rPr>
          <w:spacing w:val="-11"/>
        </w:rPr>
        <w:t xml:space="preserve"> </w:t>
      </w:r>
      <w:r>
        <w:rPr>
          <w:spacing w:val="-2"/>
        </w:rPr>
        <w:t>The</w:t>
      </w:r>
      <w:r>
        <w:t xml:space="preserve"> </w:t>
      </w:r>
      <w:r>
        <w:rPr>
          <w:spacing w:val="-1"/>
        </w:rPr>
        <w:t>expenditure</w:t>
      </w:r>
      <w:r>
        <w:rPr>
          <w:spacing w:val="33"/>
        </w:rPr>
        <w:t xml:space="preserve"> </w:t>
      </w:r>
      <w:r>
        <w:rPr>
          <w:rFonts w:cs="Avenir Next"/>
          <w:spacing w:val="-1"/>
        </w:rPr>
        <w:t>related</w:t>
      </w:r>
      <w:r>
        <w:rPr>
          <w:rFonts w:cs="Avenir Next"/>
        </w:rPr>
        <w:t xml:space="preserve"> </w:t>
      </w:r>
      <w:r>
        <w:rPr>
          <w:rFonts w:cs="Avenir Next"/>
          <w:spacing w:val="-1"/>
        </w:rPr>
        <w:t>risks,</w:t>
      </w:r>
      <w:r>
        <w:rPr>
          <w:rFonts w:cs="Avenir Next"/>
          <w:spacing w:val="-6"/>
        </w:rPr>
        <w:t xml:space="preserve"> </w:t>
      </w:r>
      <w:r>
        <w:rPr>
          <w:rFonts w:cs="Avenir Next"/>
        </w:rPr>
        <w:t>on the other hand,</w:t>
      </w:r>
      <w:r>
        <w:rPr>
          <w:rFonts w:cs="Avenir Next"/>
          <w:spacing w:val="-6"/>
        </w:rPr>
        <w:t xml:space="preserve"> </w:t>
      </w:r>
      <w:r>
        <w:rPr>
          <w:rFonts w:cs="Avenir Next"/>
          <w:spacing w:val="-1"/>
        </w:rPr>
        <w:t>appear</w:t>
      </w:r>
      <w:r>
        <w:rPr>
          <w:rFonts w:cs="Avenir Next"/>
        </w:rPr>
        <w:t xml:space="preserve"> to be quite low so </w:t>
      </w:r>
      <w:r>
        <w:rPr>
          <w:rFonts w:cs="Avenir Next"/>
          <w:spacing w:val="-1"/>
        </w:rPr>
        <w:t>there</w:t>
      </w:r>
      <w:r>
        <w:rPr>
          <w:rFonts w:cs="Avenir Next"/>
        </w:rPr>
        <w:t xml:space="preserve"> is less of</w:t>
      </w:r>
      <w:r>
        <w:rPr>
          <w:rFonts w:cs="Avenir Next"/>
          <w:spacing w:val="4"/>
        </w:rPr>
        <w:t xml:space="preserve"> </w:t>
      </w:r>
      <w:r>
        <w:rPr>
          <w:rFonts w:cs="Avenir Next"/>
        </w:rPr>
        <w:t>a risk of</w:t>
      </w:r>
      <w:r>
        <w:rPr>
          <w:rFonts w:cs="Avenir Next"/>
          <w:spacing w:val="4"/>
        </w:rPr>
        <w:t xml:space="preserve"> </w:t>
      </w:r>
      <w:r>
        <w:rPr>
          <w:rFonts w:cs="Avenir Next"/>
        </w:rPr>
        <w:t xml:space="preserve">customers </w:t>
      </w:r>
      <w:r>
        <w:rPr>
          <w:rFonts w:cs="Avenir Next"/>
          <w:spacing w:val="-1"/>
        </w:rPr>
        <w:t>bearing</w:t>
      </w:r>
      <w:r>
        <w:rPr>
          <w:rFonts w:cs="Avenir Next"/>
          <w:spacing w:val="31"/>
        </w:rPr>
        <w:t xml:space="preserve"> </w:t>
      </w:r>
      <w:r>
        <w:t>the</w:t>
      </w:r>
      <w:r>
        <w:rPr>
          <w:spacing w:val="-1"/>
        </w:rPr>
        <w:t xml:space="preserve"> effects</w:t>
      </w:r>
      <w:r>
        <w:t xml:space="preserve"> of</w:t>
      </w:r>
      <w:r>
        <w:rPr>
          <w:spacing w:val="3"/>
        </w:rPr>
        <w:t xml:space="preserve"> </w:t>
      </w:r>
      <w:r>
        <w:t>higher than</w:t>
      </w:r>
      <w:r>
        <w:rPr>
          <w:spacing w:val="-1"/>
        </w:rPr>
        <w:t xml:space="preserve"> forecast</w:t>
      </w:r>
      <w:r>
        <w:t xml:space="preserve"> costs</w:t>
      </w:r>
      <w:r>
        <w:rPr>
          <w:spacing w:val="-1"/>
        </w:rPr>
        <w:t xml:space="preserve"> </w:t>
      </w:r>
      <w:r>
        <w:t>(even if</w:t>
      </w:r>
      <w:r>
        <w:rPr>
          <w:spacing w:val="3"/>
        </w:rPr>
        <w:t xml:space="preserve"> </w:t>
      </w:r>
      <w:r>
        <w:t>these costs</w:t>
      </w:r>
      <w:r>
        <w:rPr>
          <w:spacing w:val="-1"/>
        </w:rPr>
        <w:t xml:space="preserve"> </w:t>
      </w:r>
      <w:r>
        <w:rPr>
          <w:spacing w:val="-2"/>
        </w:rPr>
        <w:t>are</w:t>
      </w:r>
      <w:r>
        <w:t xml:space="preserve"> prudent</w:t>
      </w:r>
      <w:r>
        <w:rPr>
          <w:spacing w:val="-1"/>
        </w:rPr>
        <w:t xml:space="preserve"> </w:t>
      </w:r>
      <w:r>
        <w:t xml:space="preserve">and </w:t>
      </w:r>
      <w:r>
        <w:rPr>
          <w:spacing w:val="-1"/>
        </w:rPr>
        <w:t>efficient).</w:t>
      </w: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18"/>
          <w:szCs w:val="18"/>
        </w:rPr>
      </w:pPr>
    </w:p>
    <w:tbl>
      <w:tblPr>
        <w:tblW w:w="0" w:type="auto"/>
        <w:tblInd w:w="1247" w:type="dxa"/>
        <w:tblLayout w:type="fixed"/>
        <w:tblCellMar>
          <w:left w:w="0" w:type="dxa"/>
          <w:right w:w="0" w:type="dxa"/>
        </w:tblCellMar>
        <w:tblLook w:val="01E0"/>
      </w:tblPr>
      <w:tblGrid>
        <w:gridCol w:w="348"/>
        <w:gridCol w:w="9234"/>
      </w:tblGrid>
      <w:tr w:rsidR="00D96B91">
        <w:trPr>
          <w:trHeight w:hRule="exact" w:val="355"/>
        </w:trPr>
        <w:tc>
          <w:tcPr>
            <w:tcW w:w="348" w:type="dxa"/>
            <w:tcBorders>
              <w:top w:val="single" w:sz="4" w:space="0" w:color="000000"/>
              <w:left w:val="nil"/>
              <w:bottom w:val="nil"/>
              <w:right w:val="nil"/>
            </w:tcBorders>
          </w:tcPr>
          <w:p w:rsidR="00D96B91" w:rsidRDefault="00C2656B">
            <w:pPr>
              <w:pStyle w:val="TableParagraph"/>
              <w:spacing w:before="61"/>
              <w:rPr>
                <w:rFonts w:ascii="Avenir Next" w:eastAsia="Avenir Next" w:hAnsi="Avenir Next" w:cs="Avenir Next"/>
                <w:sz w:val="16"/>
                <w:szCs w:val="16"/>
              </w:rPr>
            </w:pPr>
            <w:r>
              <w:rPr>
                <w:rFonts w:ascii="Avenir Next"/>
                <w:sz w:val="16"/>
              </w:rPr>
              <w:t>31</w:t>
            </w:r>
          </w:p>
        </w:tc>
        <w:tc>
          <w:tcPr>
            <w:tcW w:w="9234" w:type="dxa"/>
            <w:tcBorders>
              <w:top w:val="nil"/>
              <w:left w:val="nil"/>
              <w:bottom w:val="nil"/>
              <w:right w:val="nil"/>
            </w:tcBorders>
          </w:tcPr>
          <w:p w:rsidR="00D96B91" w:rsidRDefault="00C2656B">
            <w:pPr>
              <w:pStyle w:val="TableParagraph"/>
              <w:spacing w:before="66"/>
              <w:ind w:left="162"/>
              <w:rPr>
                <w:rFonts w:ascii="Avenir Next" w:eastAsia="Avenir Next" w:hAnsi="Avenir Next" w:cs="Avenir Next"/>
                <w:sz w:val="16"/>
                <w:szCs w:val="16"/>
              </w:rPr>
            </w:pPr>
            <w:r>
              <w:rPr>
                <w:rFonts w:ascii="Avenir Next"/>
                <w:sz w:val="16"/>
              </w:rPr>
              <w:t xml:space="preserve">When </w:t>
            </w:r>
            <w:r>
              <w:rPr>
                <w:rFonts w:ascii="Avenir Next"/>
                <w:spacing w:val="-1"/>
                <w:sz w:val="16"/>
              </w:rPr>
              <w:t>sewerages</w:t>
            </w:r>
            <w:r>
              <w:rPr>
                <w:rFonts w:ascii="Avenir Next"/>
                <w:sz w:val="16"/>
              </w:rPr>
              <w:t xml:space="preserve"> services </w:t>
            </w:r>
            <w:r>
              <w:rPr>
                <w:rFonts w:ascii="Avenir Next"/>
                <w:spacing w:val="-1"/>
                <w:sz w:val="16"/>
              </w:rPr>
              <w:t>are</w:t>
            </w:r>
            <w:r>
              <w:rPr>
                <w:rFonts w:ascii="Avenir Next"/>
                <w:sz w:val="16"/>
              </w:rPr>
              <w:t xml:space="preserve"> included,</w:t>
            </w:r>
            <w:r>
              <w:rPr>
                <w:rFonts w:ascii="Avenir Next"/>
                <w:spacing w:val="-5"/>
                <w:sz w:val="16"/>
              </w:rPr>
              <w:t xml:space="preserve"> </w:t>
            </w:r>
            <w:r>
              <w:rPr>
                <w:rFonts w:ascii="Avenir Next"/>
                <w:sz w:val="16"/>
              </w:rPr>
              <w:t xml:space="preserve">this </w:t>
            </w:r>
            <w:r>
              <w:rPr>
                <w:rFonts w:ascii="Avenir Next"/>
                <w:spacing w:val="-1"/>
                <w:sz w:val="16"/>
              </w:rPr>
              <w:t>reduces</w:t>
            </w:r>
            <w:r>
              <w:rPr>
                <w:rFonts w:ascii="Avenir Next"/>
                <w:sz w:val="16"/>
              </w:rPr>
              <w:t xml:space="preserve"> to 53%.</w:t>
            </w:r>
          </w:p>
        </w:tc>
      </w:tr>
      <w:tr w:rsidR="00D96B91">
        <w:trPr>
          <w:trHeight w:hRule="exact" w:val="266"/>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32</w:t>
            </w:r>
          </w:p>
        </w:tc>
        <w:tc>
          <w:tcPr>
            <w:tcW w:w="9234"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pacing w:val="-1"/>
                <w:sz w:val="16"/>
              </w:rPr>
              <w:t>This</w:t>
            </w:r>
            <w:r>
              <w:rPr>
                <w:rFonts w:ascii="Avenir Next"/>
                <w:sz w:val="16"/>
              </w:rPr>
              <w:t xml:space="preserve"> point has been acknowledged by both the ICRC and</w:t>
            </w:r>
            <w:r>
              <w:rPr>
                <w:rFonts w:ascii="Avenir Next"/>
                <w:spacing w:val="-3"/>
                <w:sz w:val="16"/>
              </w:rPr>
              <w:t xml:space="preserve"> ACTEW.</w:t>
            </w:r>
            <w:r>
              <w:rPr>
                <w:rFonts w:ascii="Avenir Next"/>
                <w:spacing w:val="-5"/>
                <w:sz w:val="16"/>
              </w:rPr>
              <w:t xml:space="preserve"> </w:t>
            </w:r>
            <w:r>
              <w:rPr>
                <w:rFonts w:ascii="Avenir Next"/>
                <w:sz w:val="16"/>
              </w:rPr>
              <w:t>See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p>
        </w:tc>
      </w:tr>
      <w:tr w:rsidR="00D96B91">
        <w:trPr>
          <w:trHeight w:hRule="exact" w:val="236"/>
        </w:trPr>
        <w:tc>
          <w:tcPr>
            <w:tcW w:w="9582" w:type="dxa"/>
            <w:gridSpan w:val="2"/>
            <w:tcBorders>
              <w:top w:val="nil"/>
              <w:left w:val="nil"/>
              <w:bottom w:val="nil"/>
              <w:right w:val="nil"/>
            </w:tcBorders>
          </w:tcPr>
          <w:p w:rsidR="00D96B91" w:rsidRDefault="00C2656B">
            <w:pPr>
              <w:pStyle w:val="TableParagraph"/>
              <w:spacing w:line="192" w:lineRule="exact"/>
              <w:ind w:left="510"/>
              <w:rPr>
                <w:rFonts w:ascii="Avenir Next" w:eastAsia="Avenir Next" w:hAnsi="Avenir Next" w:cs="Avenir Next"/>
                <w:sz w:val="16"/>
                <w:szCs w:val="16"/>
              </w:rPr>
            </w:pPr>
            <w:r>
              <w:rPr>
                <w:rFonts w:ascii="Avenir Next"/>
                <w:sz w:val="16"/>
              </w:rPr>
              <w:t>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164.</w:t>
            </w:r>
          </w:p>
        </w:tc>
      </w:tr>
    </w:tbl>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4"/>
        <w:tabs>
          <w:tab w:val="left" w:pos="2040"/>
        </w:tabs>
        <w:spacing w:before="9"/>
      </w:pPr>
      <w:r>
        <w:rPr>
          <w:color w:val="0778BE"/>
        </w:rPr>
        <w:t>6.</w:t>
      </w:r>
      <w:r>
        <w:rPr>
          <w:color w:val="0778BE"/>
          <w:spacing w:val="-9"/>
        </w:rPr>
        <w:t xml:space="preserve"> </w:t>
      </w:r>
      <w:r>
        <w:rPr>
          <w:color w:val="0778BE"/>
        </w:rPr>
        <w:t>3</w:t>
      </w:r>
      <w:r>
        <w:rPr>
          <w:color w:val="0778BE"/>
        </w:rPr>
        <w:tab/>
      </w:r>
      <w:r>
        <w:rPr>
          <w:color w:val="0778BE"/>
          <w:spacing w:val="-1"/>
        </w:rPr>
        <w:t>Length</w:t>
      </w:r>
      <w:r>
        <w:rPr>
          <w:color w:val="0778BE"/>
        </w:rPr>
        <w:t xml:space="preserve"> of</w:t>
      </w:r>
      <w:r>
        <w:rPr>
          <w:color w:val="0778BE"/>
          <w:spacing w:val="7"/>
        </w:rPr>
        <w:t xml:space="preserve"> </w:t>
      </w:r>
      <w:r>
        <w:rPr>
          <w:color w:val="0778BE"/>
        </w:rPr>
        <w:t xml:space="preserve">the </w:t>
      </w:r>
      <w:r>
        <w:rPr>
          <w:color w:val="0778BE"/>
          <w:spacing w:val="-1"/>
        </w:rPr>
        <w:t>regulatory</w:t>
      </w:r>
      <w:r>
        <w:rPr>
          <w:color w:val="0778BE"/>
        </w:rPr>
        <w:t xml:space="preserve"> period</w:t>
      </w:r>
    </w:p>
    <w:p w:rsidR="00D96B91" w:rsidRDefault="00C2656B">
      <w:pPr>
        <w:pStyle w:val="BodyText"/>
        <w:spacing w:before="53" w:line="250" w:lineRule="exact"/>
        <w:ind w:right="1425"/>
        <w:jc w:val="both"/>
        <w:rPr>
          <w:rFonts w:cs="Avenir Next"/>
        </w:rPr>
      </w:pPr>
      <w:r>
        <w:t>In</w:t>
      </w:r>
      <w:r>
        <w:rPr>
          <w:spacing w:val="-1"/>
        </w:rPr>
        <w:t xml:space="preserve"> water</w:t>
      </w:r>
      <w:r>
        <w:t xml:space="preserve"> and other </w:t>
      </w:r>
      <w:r>
        <w:rPr>
          <w:spacing w:val="-1"/>
        </w:rPr>
        <w:t>regulated</w:t>
      </w:r>
      <w:r>
        <w:t xml:space="preserve"> industries</w:t>
      </w:r>
      <w:r>
        <w:rPr>
          <w:spacing w:val="-1"/>
        </w:rPr>
        <w:t xml:space="preserve"> </w:t>
      </w:r>
      <w:r>
        <w:t>in</w:t>
      </w:r>
      <w:r>
        <w:rPr>
          <w:spacing w:val="-4"/>
        </w:rPr>
        <w:t xml:space="preserve"> </w:t>
      </w:r>
      <w:r>
        <w:rPr>
          <w:spacing w:val="-1"/>
        </w:rPr>
        <w:t>Australia,</w:t>
      </w:r>
      <w:r>
        <w:rPr>
          <w:spacing w:val="-6"/>
        </w:rPr>
        <w:t xml:space="preserve"> </w:t>
      </w:r>
      <w:r>
        <w:t>the length of</w:t>
      </w:r>
      <w:r>
        <w:rPr>
          <w:spacing w:val="3"/>
        </w:rPr>
        <w:t xml:space="preserve"> </w:t>
      </w:r>
      <w:r>
        <w:t xml:space="preserve">the </w:t>
      </w:r>
      <w:r>
        <w:rPr>
          <w:spacing w:val="-1"/>
        </w:rPr>
        <w:t>regulatory</w:t>
      </w:r>
      <w:r>
        <w:t xml:space="preserve"> period is typically five</w:t>
      </w:r>
      <w:r>
        <w:rPr>
          <w:spacing w:val="35"/>
          <w:w w:val="99"/>
        </w:rPr>
        <w:t xml:space="preserve"> </w:t>
      </w:r>
      <w:r>
        <w:rPr>
          <w:spacing w:val="-1"/>
        </w:rPr>
        <w:t>years.</w:t>
      </w:r>
      <w:r>
        <w:rPr>
          <w:spacing w:val="-6"/>
        </w:rPr>
        <w:t xml:space="preserve"> </w:t>
      </w:r>
      <w:r>
        <w:rPr>
          <w:spacing w:val="-2"/>
        </w:rPr>
        <w:t>However,</w:t>
      </w:r>
      <w:r>
        <w:rPr>
          <w:spacing w:val="-6"/>
        </w:rPr>
        <w:t xml:space="preserve"> </w:t>
      </w:r>
      <w:r>
        <w:t xml:space="preserve">the </w:t>
      </w:r>
      <w:r>
        <w:rPr>
          <w:spacing w:val="-3"/>
        </w:rPr>
        <w:t>Panel</w:t>
      </w:r>
      <w:r>
        <w:t xml:space="preserve"> is </w:t>
      </w:r>
      <w:r>
        <w:rPr>
          <w:spacing w:val="-1"/>
        </w:rPr>
        <w:t>aware</w:t>
      </w:r>
      <w:r>
        <w:t xml:space="preserve"> </w:t>
      </w:r>
      <w:r>
        <w:rPr>
          <w:spacing w:val="-1"/>
        </w:rPr>
        <w:t>that</w:t>
      </w:r>
      <w:r>
        <w:t xml:space="preserve"> </w:t>
      </w:r>
      <w:r>
        <w:rPr>
          <w:spacing w:val="-1"/>
        </w:rPr>
        <w:t>shorter</w:t>
      </w:r>
      <w:r>
        <w:t xml:space="preserve"> or longer </w:t>
      </w:r>
      <w:r>
        <w:rPr>
          <w:spacing w:val="-1"/>
        </w:rPr>
        <w:t>regulatory</w:t>
      </w:r>
      <w:r>
        <w:t xml:space="preserve"> periods have been adopted in the</w:t>
      </w:r>
      <w:r>
        <w:rPr>
          <w:spacing w:val="49"/>
        </w:rPr>
        <w:t xml:space="preserve"> </w:t>
      </w:r>
      <w:r>
        <w:t xml:space="preserve">following </w:t>
      </w:r>
      <w:r>
        <w:rPr>
          <w:spacing w:val="-1"/>
        </w:rPr>
        <w:t>circumstances:</w:t>
      </w:r>
    </w:p>
    <w:p w:rsidR="00D96B91" w:rsidRDefault="00C2656B">
      <w:pPr>
        <w:pStyle w:val="BodyText"/>
        <w:numPr>
          <w:ilvl w:val="0"/>
          <w:numId w:val="131"/>
        </w:numPr>
        <w:tabs>
          <w:tab w:val="left" w:pos="1531"/>
        </w:tabs>
        <w:spacing w:before="170" w:line="250" w:lineRule="exact"/>
        <w:ind w:right="1260" w:hanging="283"/>
        <w:rPr>
          <w:sz w:val="11"/>
          <w:szCs w:val="11"/>
        </w:rPr>
      </w:pPr>
      <w:r>
        <w:rPr>
          <w:spacing w:val="-1"/>
        </w:rPr>
        <w:t xml:space="preserve">Shorter regulatory </w:t>
      </w:r>
      <w:r>
        <w:t>periods</w:t>
      </w:r>
      <w:r>
        <w:rPr>
          <w:spacing w:val="-1"/>
        </w:rPr>
        <w:t xml:space="preserve"> </w:t>
      </w:r>
      <w:r>
        <w:t>have been</w:t>
      </w:r>
      <w:r>
        <w:rPr>
          <w:spacing w:val="-1"/>
        </w:rPr>
        <w:t xml:space="preserve"> </w:t>
      </w:r>
      <w:r>
        <w:t>adopted</w:t>
      </w:r>
      <w:r>
        <w:rPr>
          <w:spacing w:val="-1"/>
        </w:rPr>
        <w:t xml:space="preserve"> </w:t>
      </w:r>
      <w:r>
        <w:t xml:space="preserve">when </w:t>
      </w:r>
      <w:r>
        <w:rPr>
          <w:spacing w:val="-1"/>
        </w:rPr>
        <w:t xml:space="preserve">there </w:t>
      </w:r>
      <w:r>
        <w:t>has</w:t>
      </w:r>
      <w:r>
        <w:rPr>
          <w:spacing w:val="-1"/>
        </w:rPr>
        <w:t xml:space="preserve"> </w:t>
      </w:r>
      <w:r>
        <w:t>been</w:t>
      </w:r>
      <w:r>
        <w:rPr>
          <w:spacing w:val="-1"/>
        </w:rPr>
        <w:t xml:space="preserve"> </w:t>
      </w:r>
      <w:r>
        <w:t>a significant</w:t>
      </w:r>
      <w:r>
        <w:rPr>
          <w:spacing w:val="-1"/>
        </w:rPr>
        <w:t xml:space="preserve"> degree </w:t>
      </w:r>
      <w:r>
        <w:t>of</w:t>
      </w:r>
      <w:r>
        <w:rPr>
          <w:spacing w:val="23"/>
        </w:rPr>
        <w:t xml:space="preserve"> </w:t>
      </w:r>
      <w:r>
        <w:rPr>
          <w:spacing w:val="-1"/>
        </w:rPr>
        <w:t>uncertainty</w:t>
      </w:r>
      <w:r>
        <w:t xml:space="preserve"> </w:t>
      </w:r>
      <w:r>
        <w:rPr>
          <w:spacing w:val="-1"/>
        </w:rPr>
        <w:t>surrounding</w:t>
      </w:r>
      <w:r>
        <w:t xml:space="preserve"> demand,</w:t>
      </w:r>
      <w:r>
        <w:rPr>
          <w:spacing w:val="-6"/>
        </w:rPr>
        <w:t xml:space="preserve"> </w:t>
      </w:r>
      <w:r>
        <w:rPr>
          <w:spacing w:val="-1"/>
        </w:rPr>
        <w:t>expenditure</w:t>
      </w:r>
      <w:r>
        <w:t xml:space="preserve"> or </w:t>
      </w:r>
      <w:r>
        <w:rPr>
          <w:spacing w:val="-1"/>
        </w:rPr>
        <w:t>general</w:t>
      </w:r>
      <w:r>
        <w:t xml:space="preserve"> </w:t>
      </w:r>
      <w:r>
        <w:rPr>
          <w:spacing w:val="-1"/>
        </w:rPr>
        <w:t>operating</w:t>
      </w:r>
      <w:r>
        <w:t xml:space="preserve"> conditions and </w:t>
      </w:r>
      <w:r>
        <w:rPr>
          <w:spacing w:val="-1"/>
        </w:rPr>
        <w:t>where</w:t>
      </w:r>
      <w:r>
        <w:t xml:space="preserve"> the</w:t>
      </w:r>
      <w:r>
        <w:rPr>
          <w:spacing w:val="59"/>
        </w:rPr>
        <w:t xml:space="preserve"> </w:t>
      </w:r>
      <w:r>
        <w:rPr>
          <w:spacing w:val="-1"/>
        </w:rPr>
        <w:t xml:space="preserve">regulator </w:t>
      </w:r>
      <w:r>
        <w:t>has assessed</w:t>
      </w:r>
      <w:r>
        <w:rPr>
          <w:spacing w:val="-1"/>
        </w:rPr>
        <w:t xml:space="preserve"> </w:t>
      </w:r>
      <w:r>
        <w:t>the benefits</w:t>
      </w:r>
      <w:r>
        <w:rPr>
          <w:spacing w:val="-1"/>
        </w:rPr>
        <w:t xml:space="preserve"> </w:t>
      </w:r>
      <w:r>
        <w:t>of</w:t>
      </w:r>
      <w:r>
        <w:rPr>
          <w:spacing w:val="4"/>
        </w:rPr>
        <w:t xml:space="preserve"> </w:t>
      </w:r>
      <w:r>
        <w:t>the</w:t>
      </w:r>
      <w:r>
        <w:rPr>
          <w:spacing w:val="-1"/>
        </w:rPr>
        <w:t xml:space="preserve"> shortened</w:t>
      </w:r>
      <w:r>
        <w:t xml:space="preserve"> period</w:t>
      </w:r>
      <w:r>
        <w:rPr>
          <w:spacing w:val="-1"/>
        </w:rPr>
        <w:t xml:space="preserve"> </w:t>
      </w:r>
      <w:r>
        <w:t>(eg,</w:t>
      </w:r>
      <w:r>
        <w:rPr>
          <w:spacing w:val="-6"/>
        </w:rPr>
        <w:t xml:space="preserve"> </w:t>
      </w:r>
      <w:r>
        <w:t>being</w:t>
      </w:r>
      <w:r>
        <w:rPr>
          <w:spacing w:val="-1"/>
        </w:rPr>
        <w:t xml:space="preserve"> </w:t>
      </w:r>
      <w:r>
        <w:t>able to</w:t>
      </w:r>
      <w:r>
        <w:rPr>
          <w:spacing w:val="-1"/>
        </w:rPr>
        <w:t xml:space="preserve"> respond</w:t>
      </w:r>
      <w:r>
        <w:t xml:space="preserve"> </w:t>
      </w:r>
      <w:r>
        <w:rPr>
          <w:spacing w:val="-1"/>
        </w:rPr>
        <w:t>more rapidly</w:t>
      </w:r>
      <w:r>
        <w:rPr>
          <w:spacing w:val="33"/>
        </w:rPr>
        <w:t xml:space="preserve"> </w:t>
      </w:r>
      <w:r>
        <w:t>to</w:t>
      </w:r>
      <w:r>
        <w:rPr>
          <w:spacing w:val="1"/>
        </w:rPr>
        <w:t xml:space="preserve"> </w:t>
      </w:r>
      <w:r>
        <w:t>changing</w:t>
      </w:r>
      <w:r>
        <w:rPr>
          <w:spacing w:val="2"/>
        </w:rPr>
        <w:t xml:space="preserve"> </w:t>
      </w:r>
      <w:r>
        <w:rPr>
          <w:spacing w:val="-1"/>
        </w:rPr>
        <w:t>circumstances)</w:t>
      </w:r>
      <w:r>
        <w:rPr>
          <w:spacing w:val="2"/>
        </w:rPr>
        <w:t xml:space="preserve"> </w:t>
      </w:r>
      <w:r>
        <w:t>outweigh</w:t>
      </w:r>
      <w:r>
        <w:rPr>
          <w:spacing w:val="2"/>
        </w:rPr>
        <w:t xml:space="preserve"> </w:t>
      </w:r>
      <w:r>
        <w:t>both:</w:t>
      </w:r>
      <w:r>
        <w:rPr>
          <w:position w:val="7"/>
          <w:sz w:val="11"/>
        </w:rPr>
        <w:t>33</w:t>
      </w:r>
    </w:p>
    <w:p w:rsidR="00D96B91" w:rsidRDefault="00C2656B">
      <w:pPr>
        <w:pStyle w:val="BodyText"/>
        <w:numPr>
          <w:ilvl w:val="1"/>
          <w:numId w:val="131"/>
        </w:numPr>
        <w:tabs>
          <w:tab w:val="left" w:pos="1815"/>
        </w:tabs>
        <w:spacing w:before="85"/>
        <w:rPr>
          <w:rFonts w:cs="Avenir Next"/>
        </w:rPr>
      </w:pPr>
      <w:r>
        <w:t xml:space="preserve">the higher </w:t>
      </w:r>
      <w:r>
        <w:rPr>
          <w:spacing w:val="-1"/>
        </w:rPr>
        <w:t>regulatory</w:t>
      </w:r>
      <w:r>
        <w:t xml:space="preserve"> costs </w:t>
      </w:r>
      <w:r>
        <w:rPr>
          <w:spacing w:val="-1"/>
        </w:rPr>
        <w:t>that</w:t>
      </w:r>
      <w:r>
        <w:t xml:space="preserve"> </w:t>
      </w:r>
      <w:r>
        <w:rPr>
          <w:spacing w:val="-2"/>
        </w:rPr>
        <w:t>are</w:t>
      </w:r>
      <w:r>
        <w:t xml:space="preserve"> </w:t>
      </w:r>
      <w:r>
        <w:rPr>
          <w:spacing w:val="-1"/>
        </w:rPr>
        <w:t>associated</w:t>
      </w:r>
      <w:r>
        <w:t xml:space="preserve"> with </w:t>
      </w:r>
      <w:r>
        <w:rPr>
          <w:spacing w:val="-1"/>
        </w:rPr>
        <w:t>shorter</w:t>
      </w:r>
      <w:r>
        <w:t xml:space="preserve"> </w:t>
      </w:r>
      <w:r>
        <w:rPr>
          <w:spacing w:val="-1"/>
        </w:rPr>
        <w:t>regulatory</w:t>
      </w:r>
      <w:r>
        <w:t xml:space="preserve"> periods,</w:t>
      </w:r>
      <w:r>
        <w:rPr>
          <w:spacing w:val="-6"/>
        </w:rPr>
        <w:t xml:space="preserve"> </w:t>
      </w:r>
      <w:r>
        <w:t>and</w:t>
      </w:r>
    </w:p>
    <w:p w:rsidR="00D96B91" w:rsidRDefault="00C2656B">
      <w:pPr>
        <w:pStyle w:val="BodyText"/>
        <w:numPr>
          <w:ilvl w:val="1"/>
          <w:numId w:val="131"/>
        </w:numPr>
        <w:tabs>
          <w:tab w:val="left" w:pos="1815"/>
        </w:tabs>
        <w:spacing w:before="62" w:line="250" w:lineRule="exact"/>
        <w:ind w:right="1511"/>
      </w:pPr>
      <w:r>
        <w:rPr>
          <w:rFonts w:cs="Avenir Next"/>
        </w:rPr>
        <w:t xml:space="preserve">any adverse </w:t>
      </w:r>
      <w:r>
        <w:rPr>
          <w:rFonts w:cs="Avenir Next"/>
          <w:spacing w:val="-1"/>
        </w:rPr>
        <w:t>effects</w:t>
      </w:r>
      <w:r>
        <w:rPr>
          <w:rFonts w:cs="Avenir Next"/>
        </w:rPr>
        <w:t xml:space="preserve"> the </w:t>
      </w:r>
      <w:r>
        <w:rPr>
          <w:rFonts w:cs="Avenir Next"/>
          <w:spacing w:val="-1"/>
        </w:rPr>
        <w:t>shorter</w:t>
      </w:r>
      <w:r>
        <w:rPr>
          <w:rFonts w:cs="Avenir Next"/>
        </w:rPr>
        <w:t xml:space="preserve"> </w:t>
      </w:r>
      <w:r>
        <w:rPr>
          <w:rFonts w:cs="Avenir Next"/>
          <w:spacing w:val="-1"/>
        </w:rPr>
        <w:t>regulatory</w:t>
      </w:r>
      <w:r>
        <w:rPr>
          <w:rFonts w:cs="Avenir Next"/>
        </w:rPr>
        <w:t xml:space="preserve"> period may have on price </w:t>
      </w:r>
      <w:r>
        <w:rPr>
          <w:rFonts w:cs="Avenir Next"/>
          <w:spacing w:val="-1"/>
        </w:rPr>
        <w:t>stability,</w:t>
      </w:r>
      <w:r>
        <w:rPr>
          <w:rFonts w:cs="Avenir Next"/>
          <w:spacing w:val="-6"/>
        </w:rPr>
        <w:t xml:space="preserve"> </w:t>
      </w:r>
      <w:r>
        <w:rPr>
          <w:rFonts w:cs="Avenir Next"/>
          <w:spacing w:val="-1"/>
        </w:rPr>
        <w:t>predictability</w:t>
      </w:r>
      <w:r>
        <w:rPr>
          <w:rFonts w:cs="Avenir Next"/>
        </w:rPr>
        <w:t xml:space="preserve"> and</w:t>
      </w:r>
      <w:r>
        <w:rPr>
          <w:rFonts w:cs="Avenir Next"/>
          <w:spacing w:val="45"/>
        </w:rPr>
        <w:t xml:space="preserve"> </w:t>
      </w:r>
      <w:r>
        <w:t>a</w:t>
      </w:r>
      <w:r>
        <w:rPr>
          <w:spacing w:val="-2"/>
        </w:rPr>
        <w:t xml:space="preserve"> </w:t>
      </w:r>
      <w:r>
        <w:rPr>
          <w:spacing w:val="-1"/>
        </w:rPr>
        <w:t xml:space="preserve">regulated </w:t>
      </w:r>
      <w:r>
        <w:t>business’</w:t>
      </w:r>
      <w:r>
        <w:rPr>
          <w:spacing w:val="-2"/>
        </w:rPr>
        <w:t xml:space="preserve"> </w:t>
      </w:r>
      <w:r>
        <w:t>incentive</w:t>
      </w:r>
      <w:r>
        <w:rPr>
          <w:spacing w:val="-1"/>
        </w:rPr>
        <w:t xml:space="preserve"> </w:t>
      </w:r>
      <w:r>
        <w:t>to</w:t>
      </w:r>
      <w:r>
        <w:rPr>
          <w:spacing w:val="-2"/>
        </w:rPr>
        <w:t xml:space="preserve"> </w:t>
      </w:r>
      <w:r>
        <w:t>pursue</w:t>
      </w:r>
      <w:r>
        <w:rPr>
          <w:spacing w:val="-1"/>
        </w:rPr>
        <w:t xml:space="preserve"> efficiencies.</w:t>
      </w:r>
    </w:p>
    <w:p w:rsidR="00D96B91" w:rsidRDefault="00C2656B">
      <w:pPr>
        <w:pStyle w:val="BodyText"/>
        <w:numPr>
          <w:ilvl w:val="0"/>
          <w:numId w:val="131"/>
        </w:numPr>
        <w:tabs>
          <w:tab w:val="left" w:pos="1531"/>
        </w:tabs>
        <w:spacing w:before="85" w:line="250" w:lineRule="exact"/>
        <w:ind w:right="1292" w:hanging="283"/>
        <w:rPr>
          <w:sz w:val="11"/>
          <w:szCs w:val="11"/>
        </w:rPr>
      </w:pPr>
      <w:r>
        <w:rPr>
          <w:spacing w:val="-1"/>
        </w:rPr>
        <w:t>Longer</w:t>
      </w:r>
      <w:r>
        <w:t xml:space="preserve"> </w:t>
      </w:r>
      <w:r>
        <w:rPr>
          <w:spacing w:val="-1"/>
        </w:rPr>
        <w:t>regulatory</w:t>
      </w:r>
      <w:r>
        <w:t xml:space="preserve"> periods have been adopted </w:t>
      </w:r>
      <w:r>
        <w:rPr>
          <w:spacing w:val="-1"/>
        </w:rPr>
        <w:t>where</w:t>
      </w:r>
      <w:r>
        <w:t xml:space="preserve"> the </w:t>
      </w:r>
      <w:r>
        <w:rPr>
          <w:spacing w:val="-1"/>
        </w:rPr>
        <w:t>risks</w:t>
      </w:r>
      <w:r>
        <w:t xml:space="preserve"> </w:t>
      </w:r>
      <w:r>
        <w:rPr>
          <w:spacing w:val="-1"/>
        </w:rPr>
        <w:t>associated</w:t>
      </w:r>
      <w:r>
        <w:t xml:space="preserve"> with locking in prices for a</w:t>
      </w:r>
      <w:r>
        <w:rPr>
          <w:spacing w:val="37"/>
        </w:rPr>
        <w:t xml:space="preserve"> </w:t>
      </w:r>
      <w:r>
        <w:t xml:space="preserve">longer period </w:t>
      </w:r>
      <w:r>
        <w:rPr>
          <w:spacing w:val="-2"/>
        </w:rPr>
        <w:t>are</w:t>
      </w:r>
      <w:r>
        <w:t xml:space="preserve"> </w:t>
      </w:r>
      <w:r>
        <w:rPr>
          <w:spacing w:val="-1"/>
        </w:rPr>
        <w:t>considered</w:t>
      </w:r>
      <w:r>
        <w:t xml:space="preserve"> low and </w:t>
      </w:r>
      <w:r>
        <w:rPr>
          <w:spacing w:val="-1"/>
        </w:rPr>
        <w:t>where</w:t>
      </w:r>
      <w:r>
        <w:t xml:space="preserve"> </w:t>
      </w:r>
      <w:r>
        <w:rPr>
          <w:spacing w:val="-1"/>
        </w:rPr>
        <w:t>there</w:t>
      </w:r>
      <w:r>
        <w:t xml:space="preserve"> have been </w:t>
      </w:r>
      <w:r>
        <w:rPr>
          <w:spacing w:val="-1"/>
        </w:rPr>
        <w:t>effective</w:t>
      </w:r>
      <w:r>
        <w:t xml:space="preserve"> </w:t>
      </w:r>
      <w:r>
        <w:rPr>
          <w:spacing w:val="-1"/>
        </w:rPr>
        <w:t>safeguards</w:t>
      </w:r>
      <w:r>
        <w:t xml:space="preserve"> in place to </w:t>
      </w:r>
      <w:r>
        <w:rPr>
          <w:spacing w:val="-1"/>
        </w:rPr>
        <w:t>deal</w:t>
      </w:r>
      <w:r>
        <w:rPr>
          <w:spacing w:val="47"/>
        </w:rPr>
        <w:t xml:space="preserve"> </w:t>
      </w:r>
      <w:r>
        <w:t>with any</w:t>
      </w:r>
      <w:r>
        <w:rPr>
          <w:spacing w:val="1"/>
        </w:rPr>
        <w:t xml:space="preserve"> </w:t>
      </w:r>
      <w:r>
        <w:rPr>
          <w:spacing w:val="-1"/>
        </w:rPr>
        <w:t>risks</w:t>
      </w:r>
      <w:r>
        <w:rPr>
          <w:spacing w:val="1"/>
        </w:rPr>
        <w:t xml:space="preserve"> </w:t>
      </w:r>
      <w:r>
        <w:rPr>
          <w:spacing w:val="-1"/>
        </w:rPr>
        <w:t>that</w:t>
      </w:r>
      <w:r>
        <w:t xml:space="preserve"> may</w:t>
      </w:r>
      <w:r>
        <w:rPr>
          <w:spacing w:val="1"/>
        </w:rPr>
        <w:t xml:space="preserve"> </w:t>
      </w:r>
      <w:r>
        <w:t>arise</w:t>
      </w:r>
      <w:r>
        <w:rPr>
          <w:spacing w:val="1"/>
        </w:rPr>
        <w:t xml:space="preserve"> </w:t>
      </w:r>
      <w:r>
        <w:t>over the</w:t>
      </w:r>
      <w:r>
        <w:rPr>
          <w:spacing w:val="1"/>
        </w:rPr>
        <w:t xml:space="preserve"> </w:t>
      </w:r>
      <w:r>
        <w:t>longer</w:t>
      </w:r>
      <w:r>
        <w:rPr>
          <w:spacing w:val="1"/>
        </w:rPr>
        <w:t xml:space="preserve"> </w:t>
      </w:r>
      <w:r>
        <w:t>period.</w:t>
      </w:r>
      <w:r>
        <w:rPr>
          <w:position w:val="7"/>
          <w:sz w:val="11"/>
        </w:rPr>
        <w:t>34</w:t>
      </w:r>
    </w:p>
    <w:p w:rsidR="00D96B91" w:rsidRDefault="00D96B91">
      <w:pPr>
        <w:spacing w:before="5"/>
        <w:rPr>
          <w:rFonts w:ascii="Avenir Next" w:eastAsia="Avenir Next" w:hAnsi="Avenir Next" w:cs="Avenir Next"/>
          <w:sz w:val="14"/>
          <w:szCs w:val="14"/>
        </w:rPr>
      </w:pPr>
    </w:p>
    <w:p w:rsidR="00D96B91" w:rsidRDefault="00C2656B">
      <w:pPr>
        <w:pStyle w:val="Heading6"/>
        <w:numPr>
          <w:ilvl w:val="2"/>
          <w:numId w:val="101"/>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19" w:line="250" w:lineRule="exact"/>
        <w:ind w:right="1611"/>
        <w:jc w:val="both"/>
        <w:rPr>
          <w:sz w:val="11"/>
          <w:szCs w:val="11"/>
        </w:rPr>
      </w:pPr>
      <w:r>
        <w:t>In</w:t>
      </w:r>
      <w:r>
        <w:rPr>
          <w:spacing w:val="-1"/>
        </w:rPr>
        <w:t xml:space="preserve"> </w:t>
      </w:r>
      <w:r>
        <w:t>its final decision,</w:t>
      </w:r>
      <w:r>
        <w:rPr>
          <w:spacing w:val="-6"/>
        </w:rPr>
        <w:t xml:space="preserve"> </w:t>
      </w:r>
      <w:r>
        <w:t>the ICRC</w:t>
      </w:r>
      <w:r>
        <w:rPr>
          <w:spacing w:val="-1"/>
        </w:rPr>
        <w:t xml:space="preserve"> </w:t>
      </w:r>
      <w:r>
        <w:t xml:space="preserve">adopted a </w:t>
      </w:r>
      <w:r>
        <w:rPr>
          <w:spacing w:val="-1"/>
        </w:rPr>
        <w:t>six-year</w:t>
      </w:r>
      <w:r>
        <w:t xml:space="preserve"> </w:t>
      </w:r>
      <w:r>
        <w:rPr>
          <w:spacing w:val="-1"/>
        </w:rPr>
        <w:t>regulatory</w:t>
      </w:r>
      <w:r>
        <w:t xml:space="preserve"> period</w:t>
      </w:r>
      <w:r>
        <w:rPr>
          <w:spacing w:val="-1"/>
        </w:rPr>
        <w:t xml:space="preserve"> </w:t>
      </w:r>
      <w:r>
        <w:t>(1</w:t>
      </w:r>
      <w:r>
        <w:rPr>
          <w:spacing w:val="-3"/>
        </w:rPr>
        <w:t xml:space="preserve"> </w:t>
      </w:r>
      <w:r>
        <w:t>July 2013 – 30</w:t>
      </w:r>
      <w:r>
        <w:rPr>
          <w:spacing w:val="-4"/>
        </w:rPr>
        <w:t xml:space="preserve"> </w:t>
      </w:r>
      <w:r>
        <w:t>June 2019) and</w:t>
      </w:r>
      <w:r>
        <w:rPr>
          <w:spacing w:val="28"/>
        </w:rPr>
        <w:t xml:space="preserve"> </w:t>
      </w:r>
      <w:r>
        <w:t xml:space="preserve">made </w:t>
      </w:r>
      <w:r>
        <w:rPr>
          <w:spacing w:val="-1"/>
        </w:rPr>
        <w:t>provision</w:t>
      </w:r>
      <w:r>
        <w:t xml:space="preserve"> for two biennial </w:t>
      </w:r>
      <w:r>
        <w:rPr>
          <w:spacing w:val="-1"/>
        </w:rPr>
        <w:t>recalibrations</w:t>
      </w:r>
      <w:r>
        <w:t xml:space="preserve"> within this period.</w:t>
      </w:r>
      <w:r>
        <w:rPr>
          <w:spacing w:val="-11"/>
        </w:rPr>
        <w:t xml:space="preserve"> </w:t>
      </w:r>
      <w:r>
        <w:rPr>
          <w:spacing w:val="-2"/>
        </w:rPr>
        <w:t>The</w:t>
      </w:r>
      <w:r>
        <w:t xml:space="preserve"> </w:t>
      </w:r>
      <w:r>
        <w:rPr>
          <w:spacing w:val="-2"/>
        </w:rPr>
        <w:t>ICRC’s</w:t>
      </w:r>
      <w:r>
        <w:t xml:space="preserve"> </w:t>
      </w:r>
      <w:r>
        <w:rPr>
          <w:spacing w:val="-1"/>
        </w:rPr>
        <w:t>rationale</w:t>
      </w:r>
      <w:r>
        <w:t xml:space="preserve"> for employing</w:t>
      </w:r>
      <w:r>
        <w:rPr>
          <w:spacing w:val="37"/>
        </w:rPr>
        <w:t xml:space="preserve"> </w:t>
      </w:r>
      <w:r>
        <w:rPr>
          <w:rFonts w:cs="Avenir Next"/>
        </w:rPr>
        <w:t>the biennial</w:t>
      </w:r>
      <w:r>
        <w:rPr>
          <w:rFonts w:cs="Avenir Next"/>
          <w:spacing w:val="1"/>
        </w:rPr>
        <w:t xml:space="preserve"> </w:t>
      </w:r>
      <w:r>
        <w:rPr>
          <w:rFonts w:cs="Avenir Next"/>
          <w:spacing w:val="-1"/>
        </w:rPr>
        <w:t>recalibration</w:t>
      </w:r>
      <w:r>
        <w:rPr>
          <w:rFonts w:cs="Avenir Next"/>
          <w:spacing w:val="1"/>
        </w:rPr>
        <w:t xml:space="preserve"> </w:t>
      </w:r>
      <w:r>
        <w:rPr>
          <w:rFonts w:cs="Avenir Next"/>
          <w:spacing w:val="-1"/>
        </w:rPr>
        <w:t>process</w:t>
      </w:r>
      <w:r>
        <w:rPr>
          <w:rFonts w:cs="Avenir Next"/>
        </w:rPr>
        <w:t xml:space="preserve"> is</w:t>
      </w:r>
      <w:r>
        <w:rPr>
          <w:rFonts w:cs="Avenir Next"/>
          <w:spacing w:val="1"/>
        </w:rPr>
        <w:t xml:space="preserve"> </w:t>
      </w:r>
      <w:r>
        <w:rPr>
          <w:rFonts w:cs="Avenir Next"/>
          <w:spacing w:val="-1"/>
        </w:rPr>
        <w:t>explained</w:t>
      </w:r>
      <w:r>
        <w:rPr>
          <w:rFonts w:cs="Avenir Next"/>
          <w:spacing w:val="1"/>
        </w:rPr>
        <w:t xml:space="preserve"> </w:t>
      </w:r>
      <w:r>
        <w:rPr>
          <w:rFonts w:cs="Avenir Next"/>
        </w:rPr>
        <w:t>in the</w:t>
      </w:r>
      <w:r>
        <w:rPr>
          <w:rFonts w:cs="Avenir Next"/>
          <w:spacing w:val="1"/>
        </w:rPr>
        <w:t xml:space="preserve"> </w:t>
      </w:r>
      <w:r>
        <w:rPr>
          <w:rFonts w:cs="Avenir Next"/>
        </w:rPr>
        <w:t>following</w:t>
      </w:r>
      <w:r>
        <w:rPr>
          <w:rFonts w:cs="Avenir Next"/>
          <w:spacing w:val="1"/>
        </w:rPr>
        <w:t xml:space="preserve"> </w:t>
      </w:r>
      <w:r>
        <w:rPr>
          <w:rFonts w:cs="Avenir Next"/>
          <w:spacing w:val="-1"/>
        </w:rPr>
        <w:t>extract:</w:t>
      </w:r>
      <w:r>
        <w:rPr>
          <w:spacing w:val="-1"/>
          <w:position w:val="7"/>
          <w:sz w:val="11"/>
          <w:szCs w:val="11"/>
        </w:rPr>
        <w:t>35</w:t>
      </w:r>
    </w:p>
    <w:p w:rsidR="00D96B91" w:rsidRDefault="00C2656B">
      <w:pPr>
        <w:pStyle w:val="BodyText"/>
        <w:spacing w:before="170" w:line="250" w:lineRule="exact"/>
        <w:ind w:left="1644" w:right="1548"/>
      </w:pPr>
      <w:r>
        <w:rPr>
          <w:spacing w:val="-1"/>
        </w:rPr>
        <w:t>“The</w:t>
      </w:r>
      <w:r>
        <w:t xml:space="preserve"> form of</w:t>
      </w:r>
      <w:r>
        <w:rPr>
          <w:spacing w:val="4"/>
        </w:rPr>
        <w:t xml:space="preserve"> </w:t>
      </w:r>
      <w:r>
        <w:rPr>
          <w:spacing w:val="-1"/>
        </w:rPr>
        <w:t>regulation…</w:t>
      </w:r>
      <w:r>
        <w:rPr>
          <w:spacing w:val="-6"/>
        </w:rPr>
        <w:t xml:space="preserve"> </w:t>
      </w:r>
      <w:r>
        <w:t xml:space="preserve">was designed to build on the </w:t>
      </w:r>
      <w:r>
        <w:rPr>
          <w:spacing w:val="-1"/>
        </w:rPr>
        <w:t>current</w:t>
      </w:r>
      <w:r>
        <w:t xml:space="preserve"> form of</w:t>
      </w:r>
      <w:r>
        <w:rPr>
          <w:spacing w:val="4"/>
        </w:rPr>
        <w:t xml:space="preserve"> </w:t>
      </w:r>
      <w:r>
        <w:rPr>
          <w:spacing w:val="-1"/>
        </w:rPr>
        <w:t>regulation</w:t>
      </w:r>
      <w:r>
        <w:t xml:space="preserve"> while</w:t>
      </w:r>
      <w:r>
        <w:rPr>
          <w:spacing w:val="31"/>
        </w:rPr>
        <w:t xml:space="preserve"> </w:t>
      </w:r>
      <w:r>
        <w:rPr>
          <w:rFonts w:cs="Avenir Next"/>
        </w:rPr>
        <w:t xml:space="preserve">ensuring </w:t>
      </w:r>
      <w:r>
        <w:rPr>
          <w:rFonts w:cs="Avenir Next"/>
          <w:spacing w:val="-1"/>
        </w:rPr>
        <w:t>that</w:t>
      </w:r>
      <w:r>
        <w:rPr>
          <w:rFonts w:cs="Avenir Next"/>
        </w:rPr>
        <w:t xml:space="preserve"> the model would cope </w:t>
      </w:r>
      <w:r>
        <w:rPr>
          <w:rFonts w:cs="Avenir Next"/>
          <w:spacing w:val="-1"/>
        </w:rPr>
        <w:t>better</w:t>
      </w:r>
      <w:r>
        <w:rPr>
          <w:rFonts w:cs="Avenir Next"/>
        </w:rPr>
        <w:t xml:space="preserve"> with </w:t>
      </w:r>
      <w:r>
        <w:rPr>
          <w:rFonts w:cs="Avenir Next"/>
          <w:spacing w:val="-1"/>
        </w:rPr>
        <w:t>unforeseen</w:t>
      </w:r>
      <w:r>
        <w:rPr>
          <w:rFonts w:cs="Avenir Next"/>
        </w:rPr>
        <w:t xml:space="preserve"> </w:t>
      </w:r>
      <w:r>
        <w:rPr>
          <w:rFonts w:cs="Avenir Next"/>
          <w:spacing w:val="-1"/>
        </w:rPr>
        <w:t>circumstances,</w:t>
      </w:r>
      <w:r>
        <w:rPr>
          <w:rFonts w:cs="Avenir Next"/>
          <w:spacing w:val="-7"/>
        </w:rPr>
        <w:t xml:space="preserve"> </w:t>
      </w:r>
      <w:r>
        <w:rPr>
          <w:rFonts w:cs="Avenir Next"/>
        </w:rPr>
        <w:t xml:space="preserve">such as those </w:t>
      </w:r>
      <w:r>
        <w:rPr>
          <w:rFonts w:cs="Avenir Next"/>
          <w:spacing w:val="-1"/>
        </w:rPr>
        <w:t>that</w:t>
      </w:r>
      <w:r>
        <w:rPr>
          <w:rFonts w:cs="Avenir Next"/>
          <w:spacing w:val="43"/>
        </w:rPr>
        <w:t xml:space="preserve"> </w:t>
      </w:r>
      <w:r>
        <w:rPr>
          <w:spacing w:val="-1"/>
        </w:rPr>
        <w:t xml:space="preserve">occurred </w:t>
      </w:r>
      <w:r>
        <w:t>during</w:t>
      </w:r>
      <w:r>
        <w:rPr>
          <w:spacing w:val="-1"/>
        </w:rPr>
        <w:t xml:space="preserve"> </w:t>
      </w:r>
      <w:r>
        <w:t>the</w:t>
      </w:r>
      <w:r>
        <w:rPr>
          <w:spacing w:val="-1"/>
        </w:rPr>
        <w:t xml:space="preserve"> current regulatory </w:t>
      </w:r>
      <w:r>
        <w:t>period.</w:t>
      </w:r>
      <w:r>
        <w:rPr>
          <w:spacing w:val="-7"/>
        </w:rPr>
        <w:t xml:space="preserve"> </w:t>
      </w:r>
      <w:r>
        <w:rPr>
          <w:spacing w:val="-1"/>
        </w:rPr>
        <w:t>Specifically,</w:t>
      </w:r>
      <w:r>
        <w:rPr>
          <w:spacing w:val="-7"/>
        </w:rPr>
        <w:t xml:space="preserve"> </w:t>
      </w:r>
      <w:r>
        <w:t>the</w:t>
      </w:r>
      <w:r>
        <w:rPr>
          <w:spacing w:val="-1"/>
        </w:rPr>
        <w:t xml:space="preserve"> combination </w:t>
      </w:r>
      <w:r>
        <w:t>of</w:t>
      </w:r>
      <w:r>
        <w:rPr>
          <w:spacing w:val="3"/>
        </w:rPr>
        <w:t xml:space="preserve"> </w:t>
      </w:r>
      <w:r>
        <w:t>the</w:t>
      </w:r>
      <w:r>
        <w:rPr>
          <w:spacing w:val="-1"/>
        </w:rPr>
        <w:t xml:space="preserve"> six-year</w:t>
      </w:r>
      <w:r>
        <w:rPr>
          <w:spacing w:val="57"/>
        </w:rPr>
        <w:t xml:space="preserve"> </w:t>
      </w:r>
      <w:r>
        <w:rPr>
          <w:spacing w:val="-1"/>
        </w:rPr>
        <w:t>regulatory</w:t>
      </w:r>
      <w:r>
        <w:t xml:space="preserve"> period and the </w:t>
      </w:r>
      <w:r>
        <w:rPr>
          <w:spacing w:val="-1"/>
        </w:rPr>
        <w:t>recalibration</w:t>
      </w:r>
      <w:r>
        <w:t xml:space="preserve"> of</w:t>
      </w:r>
      <w:r>
        <w:rPr>
          <w:spacing w:val="4"/>
        </w:rPr>
        <w:t xml:space="preserve"> </w:t>
      </w:r>
      <w:r>
        <w:rPr>
          <w:spacing w:val="-2"/>
        </w:rPr>
        <w:t>key</w:t>
      </w:r>
      <w:r>
        <w:t xml:space="preserve"> </w:t>
      </w:r>
      <w:r>
        <w:rPr>
          <w:spacing w:val="-1"/>
        </w:rPr>
        <w:t>parameters</w:t>
      </w:r>
      <w:r>
        <w:t xml:space="preserve"> </w:t>
      </w:r>
      <w:r>
        <w:rPr>
          <w:spacing w:val="-1"/>
        </w:rPr>
        <w:t>at</w:t>
      </w:r>
      <w:r>
        <w:t xml:space="preserve"> </w:t>
      </w:r>
      <w:r>
        <w:rPr>
          <w:spacing w:val="-1"/>
        </w:rPr>
        <w:t>two-yearly</w:t>
      </w:r>
      <w:r>
        <w:t xml:space="preserve"> intervals was </w:t>
      </w:r>
      <w:r>
        <w:rPr>
          <w:spacing w:val="-1"/>
        </w:rPr>
        <w:t>considered</w:t>
      </w:r>
      <w:r>
        <w:rPr>
          <w:spacing w:val="63"/>
        </w:rPr>
        <w:t xml:space="preserve"> </w:t>
      </w:r>
      <w:r>
        <w:t>an</w:t>
      </w:r>
      <w:r>
        <w:rPr>
          <w:spacing w:val="-1"/>
        </w:rPr>
        <w:t xml:space="preserve"> appropriate means</w:t>
      </w:r>
      <w:r>
        <w:t xml:space="preserve"> of</w:t>
      </w:r>
      <w:r>
        <w:rPr>
          <w:spacing w:val="3"/>
        </w:rPr>
        <w:t xml:space="preserve"> </w:t>
      </w:r>
      <w:r>
        <w:t>establishing</w:t>
      </w:r>
      <w:r>
        <w:rPr>
          <w:spacing w:val="-1"/>
        </w:rPr>
        <w:t xml:space="preserve"> </w:t>
      </w:r>
      <w:r>
        <w:t xml:space="preserve">a </w:t>
      </w:r>
      <w:r>
        <w:rPr>
          <w:spacing w:val="-1"/>
        </w:rPr>
        <w:t xml:space="preserve">future </w:t>
      </w:r>
      <w:r>
        <w:t>price</w:t>
      </w:r>
      <w:r>
        <w:rPr>
          <w:spacing w:val="-1"/>
        </w:rPr>
        <w:t xml:space="preserve"> path</w:t>
      </w:r>
      <w:r>
        <w:t xml:space="preserve"> </w:t>
      </w:r>
      <w:r>
        <w:rPr>
          <w:spacing w:val="-1"/>
        </w:rPr>
        <w:t xml:space="preserve">that </w:t>
      </w:r>
      <w:r>
        <w:t>was</w:t>
      </w:r>
      <w:r>
        <w:rPr>
          <w:spacing w:val="-1"/>
        </w:rPr>
        <w:t xml:space="preserve"> sufficiently</w:t>
      </w:r>
      <w:r>
        <w:t xml:space="preserve"> </w:t>
      </w:r>
      <w:r>
        <w:rPr>
          <w:spacing w:val="-1"/>
        </w:rPr>
        <w:t xml:space="preserve">flexible </w:t>
      </w:r>
      <w:r>
        <w:t>to</w:t>
      </w:r>
      <w:r>
        <w:rPr>
          <w:spacing w:val="-1"/>
        </w:rPr>
        <w:t xml:space="preserve"> take</w:t>
      </w:r>
      <w:r>
        <w:rPr>
          <w:spacing w:val="57"/>
        </w:rPr>
        <w:t xml:space="preserve"> </w:t>
      </w:r>
      <w:r>
        <w:t>account of</w:t>
      </w:r>
      <w:r>
        <w:rPr>
          <w:spacing w:val="4"/>
        </w:rPr>
        <w:t xml:space="preserve"> </w:t>
      </w:r>
      <w:r>
        <w:rPr>
          <w:spacing w:val="-1"/>
        </w:rPr>
        <w:t>updated</w:t>
      </w:r>
      <w:r>
        <w:t xml:space="preserve"> </w:t>
      </w:r>
      <w:r>
        <w:rPr>
          <w:spacing w:val="-1"/>
        </w:rPr>
        <w:t>information</w:t>
      </w:r>
      <w:r>
        <w:t xml:space="preserve"> </w:t>
      </w:r>
      <w:r>
        <w:rPr>
          <w:spacing w:val="-1"/>
        </w:rPr>
        <w:t>relating</w:t>
      </w:r>
      <w:r>
        <w:t xml:space="preserve"> to both </w:t>
      </w:r>
      <w:r>
        <w:rPr>
          <w:spacing w:val="-1"/>
        </w:rPr>
        <w:t>expenditures</w:t>
      </w:r>
      <w:r>
        <w:t xml:space="preserve"> and </w:t>
      </w:r>
      <w:r>
        <w:rPr>
          <w:spacing w:val="-1"/>
        </w:rPr>
        <w:t>water</w:t>
      </w:r>
      <w:r>
        <w:t xml:space="preserve"> consumption. </w:t>
      </w:r>
      <w:r>
        <w:rPr>
          <w:rFonts w:cs="Avenir Next"/>
        </w:rPr>
        <w:t>In</w:t>
      </w:r>
      <w:r>
        <w:rPr>
          <w:rFonts w:cs="Avenir Next"/>
          <w:spacing w:val="51"/>
        </w:rPr>
        <w:t xml:space="preserve"> </w:t>
      </w:r>
      <w:r>
        <w:t>addition,</w:t>
      </w:r>
      <w:r>
        <w:rPr>
          <w:spacing w:val="-8"/>
        </w:rPr>
        <w:t xml:space="preserve"> </w:t>
      </w:r>
      <w:r>
        <w:rPr>
          <w:spacing w:val="-1"/>
        </w:rPr>
        <w:t xml:space="preserve">[it]…reduces </w:t>
      </w:r>
      <w:r>
        <w:t>the</w:t>
      </w:r>
      <w:r>
        <w:rPr>
          <w:spacing w:val="-1"/>
        </w:rPr>
        <w:t xml:space="preserve"> </w:t>
      </w:r>
      <w:r>
        <w:t>possibility</w:t>
      </w:r>
      <w:r>
        <w:rPr>
          <w:spacing w:val="-1"/>
        </w:rPr>
        <w:t xml:space="preserve"> </w:t>
      </w:r>
      <w:r>
        <w:t xml:space="preserve">of </w:t>
      </w:r>
      <w:r>
        <w:rPr>
          <w:spacing w:val="-2"/>
        </w:rPr>
        <w:t xml:space="preserve">ACTEW’s </w:t>
      </w:r>
      <w:r>
        <w:rPr>
          <w:spacing w:val="-1"/>
        </w:rPr>
        <w:t xml:space="preserve">revenue diverging </w:t>
      </w:r>
      <w:r>
        <w:t>significantly</w:t>
      </w:r>
      <w:r>
        <w:rPr>
          <w:spacing w:val="-1"/>
        </w:rPr>
        <w:t xml:space="preserve"> from…forecast</w:t>
      </w:r>
      <w:r>
        <w:rPr>
          <w:spacing w:val="45"/>
        </w:rPr>
        <w:t xml:space="preserve"> </w:t>
      </w:r>
      <w:r>
        <w:rPr>
          <w:rFonts w:cs="Avenir Next"/>
        </w:rPr>
        <w:t xml:space="preserve">and </w:t>
      </w:r>
      <w:r>
        <w:rPr>
          <w:rFonts w:cs="Avenir Next"/>
          <w:spacing w:val="-2"/>
        </w:rPr>
        <w:t>creates</w:t>
      </w:r>
      <w:r>
        <w:rPr>
          <w:rFonts w:cs="Avenir Next"/>
        </w:rPr>
        <w:t xml:space="preserve"> a closer </w:t>
      </w:r>
      <w:r>
        <w:rPr>
          <w:rFonts w:cs="Avenir Next"/>
          <w:spacing w:val="-1"/>
        </w:rPr>
        <w:t>nexus</w:t>
      </w:r>
      <w:r>
        <w:rPr>
          <w:rFonts w:cs="Avenir Next"/>
        </w:rPr>
        <w:t xml:space="preserve"> </w:t>
      </w:r>
      <w:r>
        <w:rPr>
          <w:rFonts w:cs="Avenir Next"/>
          <w:spacing w:val="-1"/>
        </w:rPr>
        <w:t>between…expenditure</w:t>
      </w:r>
      <w:r>
        <w:rPr>
          <w:rFonts w:cs="Avenir Next"/>
        </w:rPr>
        <w:t xml:space="preserve"> planning </w:t>
      </w:r>
      <w:r>
        <w:rPr>
          <w:rFonts w:cs="Avenir Next"/>
          <w:spacing w:val="-1"/>
        </w:rPr>
        <w:t>practices</w:t>
      </w:r>
      <w:r>
        <w:rPr>
          <w:rFonts w:cs="Avenir Next"/>
        </w:rPr>
        <w:t xml:space="preserve"> and the </w:t>
      </w:r>
      <w:r>
        <w:rPr>
          <w:rFonts w:cs="Avenir Next"/>
          <w:spacing w:val="-2"/>
        </w:rPr>
        <w:t>Commission’s</w:t>
      </w:r>
      <w:r>
        <w:rPr>
          <w:rFonts w:cs="Avenir Next"/>
          <w:spacing w:val="79"/>
        </w:rPr>
        <w:t xml:space="preserve"> </w:t>
      </w:r>
      <w:r>
        <w:t xml:space="preserve">price </w:t>
      </w:r>
      <w:r>
        <w:rPr>
          <w:spacing w:val="-1"/>
        </w:rPr>
        <w:t>determination</w:t>
      </w:r>
      <w:r>
        <w:t xml:space="preserve"> </w:t>
      </w:r>
      <w:r>
        <w:rPr>
          <w:spacing w:val="-3"/>
        </w:rPr>
        <w:t>process.”</w:t>
      </w:r>
    </w:p>
    <w:p w:rsidR="00D96B91" w:rsidRDefault="00C2656B">
      <w:pPr>
        <w:pStyle w:val="BodyText"/>
        <w:spacing w:before="170" w:line="250" w:lineRule="exact"/>
        <w:ind w:right="1283"/>
        <w:rPr>
          <w:rFonts w:cs="Avenir Next"/>
        </w:rPr>
      </w:pPr>
      <w:r>
        <w:rPr>
          <w:spacing w:val="-1"/>
        </w:rPr>
        <w:t>Unlike</w:t>
      </w:r>
      <w:r>
        <w:t xml:space="preserve"> a full price </w:t>
      </w:r>
      <w:r>
        <w:rPr>
          <w:spacing w:val="-1"/>
        </w:rPr>
        <w:t>determination,</w:t>
      </w:r>
      <w:r>
        <w:rPr>
          <w:spacing w:val="-7"/>
        </w:rPr>
        <w:t xml:space="preserve"> </w:t>
      </w:r>
      <w:r>
        <w:t xml:space="preserve">the ICRC </w:t>
      </w:r>
      <w:r>
        <w:rPr>
          <w:spacing w:val="-1"/>
        </w:rPr>
        <w:t>expected</w:t>
      </w:r>
      <w:r>
        <w:t xml:space="preserve"> the biennial </w:t>
      </w:r>
      <w:r>
        <w:rPr>
          <w:spacing w:val="-1"/>
        </w:rPr>
        <w:t>recalibration</w:t>
      </w:r>
      <w:r>
        <w:t xml:space="preserve"> </w:t>
      </w:r>
      <w:r>
        <w:rPr>
          <w:spacing w:val="-1"/>
        </w:rPr>
        <w:t>process</w:t>
      </w:r>
      <w:r>
        <w:t xml:space="preserve"> to be </w:t>
      </w:r>
      <w:r>
        <w:rPr>
          <w:spacing w:val="-1"/>
        </w:rPr>
        <w:t>relatively</w:t>
      </w:r>
      <w:r>
        <w:rPr>
          <w:spacing w:val="63"/>
        </w:rPr>
        <w:t xml:space="preserve"> </w:t>
      </w:r>
      <w:r>
        <w:rPr>
          <w:spacing w:val="-1"/>
        </w:rPr>
        <w:t>straightforward</w:t>
      </w:r>
      <w:r>
        <w:t xml:space="preserve"> because it would only involve:</w:t>
      </w:r>
    </w:p>
    <w:p w:rsidR="00D96B91" w:rsidRDefault="00C2656B">
      <w:pPr>
        <w:pStyle w:val="BodyText"/>
        <w:spacing w:before="170" w:line="250" w:lineRule="exact"/>
        <w:ind w:left="1644" w:right="1655"/>
        <w:rPr>
          <w:sz w:val="11"/>
          <w:szCs w:val="11"/>
        </w:rPr>
      </w:pPr>
      <w:r>
        <w:rPr>
          <w:spacing w:val="-2"/>
        </w:rPr>
        <w:t>“…adjustments</w:t>
      </w:r>
      <w:r>
        <w:t xml:space="preserve"> to selected elements of</w:t>
      </w:r>
      <w:r>
        <w:rPr>
          <w:spacing w:val="4"/>
        </w:rPr>
        <w:t xml:space="preserve"> </w:t>
      </w:r>
      <w:r>
        <w:t>the pricing model,</w:t>
      </w:r>
      <w:r>
        <w:rPr>
          <w:spacing w:val="-6"/>
        </w:rPr>
        <w:t xml:space="preserve"> </w:t>
      </w:r>
      <w:r>
        <w:t xml:space="preserve">based on inputs </w:t>
      </w:r>
      <w:r>
        <w:rPr>
          <w:spacing w:val="-1"/>
        </w:rPr>
        <w:t>from</w:t>
      </w:r>
      <w:r>
        <w:rPr>
          <w:spacing w:val="-4"/>
        </w:rPr>
        <w:t xml:space="preserve"> </w:t>
      </w:r>
      <w:r>
        <w:rPr>
          <w:spacing w:val="-2"/>
        </w:rPr>
        <w:t>ACTEW</w:t>
      </w:r>
      <w:r>
        <w:rPr>
          <w:spacing w:val="-3"/>
        </w:rPr>
        <w:t xml:space="preserve"> </w:t>
      </w:r>
      <w:r>
        <w:rPr>
          <w:spacing w:val="-1"/>
        </w:rPr>
        <w:t>that</w:t>
      </w:r>
      <w:r>
        <w:rPr>
          <w:spacing w:val="29"/>
        </w:rPr>
        <w:t xml:space="preserve"> </w:t>
      </w:r>
      <w:r>
        <w:rPr>
          <w:rFonts w:cs="Avenir Next"/>
        </w:rPr>
        <w:t xml:space="preserve">can be </w:t>
      </w:r>
      <w:r>
        <w:rPr>
          <w:rFonts w:cs="Avenir Next"/>
          <w:spacing w:val="-1"/>
        </w:rPr>
        <w:t>taken</w:t>
      </w:r>
      <w:r>
        <w:rPr>
          <w:rFonts w:cs="Avenir Next"/>
        </w:rPr>
        <w:t xml:space="preserve"> </w:t>
      </w:r>
      <w:r>
        <w:rPr>
          <w:rFonts w:cs="Avenir Next"/>
          <w:spacing w:val="-1"/>
        </w:rPr>
        <w:t>directly</w:t>
      </w:r>
      <w:r>
        <w:rPr>
          <w:rFonts w:cs="Avenir Next"/>
        </w:rPr>
        <w:t xml:space="preserve"> </w:t>
      </w:r>
      <w:r>
        <w:rPr>
          <w:rFonts w:cs="Avenir Next"/>
          <w:spacing w:val="-1"/>
        </w:rPr>
        <w:t>from</w:t>
      </w:r>
      <w:r>
        <w:rPr>
          <w:rFonts w:cs="Avenir Next"/>
        </w:rPr>
        <w:t xml:space="preserve"> its internal </w:t>
      </w:r>
      <w:r>
        <w:rPr>
          <w:rFonts w:cs="Avenir Next"/>
          <w:spacing w:val="-1"/>
        </w:rPr>
        <w:t>reporting</w:t>
      </w:r>
      <w:r>
        <w:rPr>
          <w:rFonts w:cs="Avenir Next"/>
        </w:rPr>
        <w:t xml:space="preserve"> and management systems and methodologies</w:t>
      </w:r>
      <w:r>
        <w:rPr>
          <w:rFonts w:cs="Avenir Next"/>
          <w:spacing w:val="28"/>
        </w:rPr>
        <w:t xml:space="preserve"> </w:t>
      </w:r>
      <w:r>
        <w:t>established as</w:t>
      </w:r>
      <w:r>
        <w:rPr>
          <w:spacing w:val="1"/>
        </w:rPr>
        <w:t xml:space="preserve"> </w:t>
      </w:r>
      <w:r>
        <w:rPr>
          <w:spacing w:val="-1"/>
        </w:rPr>
        <w:t>part</w:t>
      </w:r>
      <w:r>
        <w:rPr>
          <w:spacing w:val="1"/>
        </w:rPr>
        <w:t xml:space="preserve"> </w:t>
      </w:r>
      <w:r>
        <w:t>of</w:t>
      </w:r>
      <w:r>
        <w:rPr>
          <w:spacing w:val="5"/>
        </w:rPr>
        <w:t xml:space="preserve"> </w:t>
      </w:r>
      <w:r>
        <w:t>the</w:t>
      </w:r>
      <w:r>
        <w:rPr>
          <w:spacing w:val="1"/>
        </w:rPr>
        <w:t xml:space="preserve"> </w:t>
      </w:r>
      <w:r>
        <w:t>form</w:t>
      </w:r>
      <w:r>
        <w:rPr>
          <w:spacing w:val="1"/>
        </w:rPr>
        <w:t xml:space="preserve"> </w:t>
      </w:r>
      <w:r>
        <w:t>of</w:t>
      </w:r>
      <w:r>
        <w:rPr>
          <w:spacing w:val="5"/>
        </w:rPr>
        <w:t xml:space="preserve"> </w:t>
      </w:r>
      <w:r>
        <w:rPr>
          <w:spacing w:val="-2"/>
        </w:rPr>
        <w:t>regulation.”</w:t>
      </w:r>
      <w:r>
        <w:rPr>
          <w:spacing w:val="-2"/>
          <w:position w:val="7"/>
          <w:sz w:val="11"/>
          <w:szCs w:val="11"/>
        </w:rPr>
        <w:t>36</w:t>
      </w:r>
    </w:p>
    <w:p w:rsidR="00D96B91" w:rsidRDefault="00C2656B">
      <w:pPr>
        <w:pStyle w:val="BodyText"/>
        <w:spacing w:before="170" w:line="250" w:lineRule="exact"/>
        <w:ind w:right="1256"/>
        <w:rPr>
          <w:sz w:val="11"/>
          <w:szCs w:val="11"/>
        </w:rPr>
      </w:pPr>
      <w:r>
        <w:rPr>
          <w:rFonts w:cs="Avenir Next"/>
          <w:spacing w:val="-2"/>
        </w:rPr>
        <w:t>The</w:t>
      </w:r>
      <w:r>
        <w:rPr>
          <w:rFonts w:cs="Avenir Next"/>
        </w:rPr>
        <w:t xml:space="preserve"> ICRC concluded </w:t>
      </w:r>
      <w:r>
        <w:rPr>
          <w:rFonts w:cs="Avenir Next"/>
          <w:spacing w:val="-1"/>
        </w:rPr>
        <w:t>that</w:t>
      </w:r>
      <w:r>
        <w:rPr>
          <w:rFonts w:cs="Avenir Next"/>
        </w:rPr>
        <w:t xml:space="preserve"> the additional costs </w:t>
      </w:r>
      <w:r>
        <w:rPr>
          <w:rFonts w:cs="Avenir Next"/>
          <w:spacing w:val="-1"/>
        </w:rPr>
        <w:t>associated</w:t>
      </w:r>
      <w:r>
        <w:rPr>
          <w:rFonts w:cs="Avenir Next"/>
        </w:rPr>
        <w:t xml:space="preserve"> with carrying out the </w:t>
      </w:r>
      <w:r>
        <w:rPr>
          <w:rFonts w:cs="Avenir Next"/>
          <w:spacing w:val="-1"/>
        </w:rPr>
        <w:t>recalibrations</w:t>
      </w:r>
      <w:r>
        <w:rPr>
          <w:rFonts w:cs="Avenir Next"/>
        </w:rPr>
        <w:t xml:space="preserve"> would be</w:t>
      </w:r>
      <w:r>
        <w:rPr>
          <w:rFonts w:cs="Avenir Next"/>
          <w:spacing w:val="31"/>
        </w:rPr>
        <w:t xml:space="preserve"> </w:t>
      </w:r>
      <w:r>
        <w:rPr>
          <w:spacing w:val="-1"/>
        </w:rPr>
        <w:t xml:space="preserve">“marginal” </w:t>
      </w:r>
      <w:r>
        <w:t xml:space="preserve">and </w:t>
      </w:r>
      <w:r>
        <w:rPr>
          <w:spacing w:val="-1"/>
        </w:rPr>
        <w:t xml:space="preserve">that </w:t>
      </w:r>
      <w:r>
        <w:t>the benefits</w:t>
      </w:r>
      <w:r>
        <w:rPr>
          <w:spacing w:val="-1"/>
        </w:rPr>
        <w:t xml:space="preserve"> </w:t>
      </w:r>
      <w:r>
        <w:t>to the</w:t>
      </w:r>
      <w:r>
        <w:rPr>
          <w:spacing w:val="-1"/>
        </w:rPr>
        <w:t xml:space="preserve"> </w:t>
      </w:r>
      <w:r>
        <w:t>community of</w:t>
      </w:r>
      <w:r>
        <w:rPr>
          <w:spacing w:val="3"/>
        </w:rPr>
        <w:t xml:space="preserve"> </w:t>
      </w:r>
      <w:r>
        <w:t xml:space="preserve">the </w:t>
      </w:r>
      <w:r>
        <w:rPr>
          <w:spacing w:val="-1"/>
        </w:rPr>
        <w:t xml:space="preserve">recalibrations </w:t>
      </w:r>
      <w:r>
        <w:t>would outweigh</w:t>
      </w:r>
      <w:r>
        <w:rPr>
          <w:spacing w:val="-1"/>
        </w:rPr>
        <w:t xml:space="preserve"> </w:t>
      </w:r>
      <w:r>
        <w:t xml:space="preserve">any </w:t>
      </w:r>
      <w:r>
        <w:rPr>
          <w:spacing w:val="-1"/>
        </w:rPr>
        <w:t xml:space="preserve">increase </w:t>
      </w:r>
      <w:r>
        <w:t>in</w:t>
      </w:r>
      <w:r>
        <w:rPr>
          <w:spacing w:val="31"/>
        </w:rPr>
        <w:t xml:space="preserve"> </w:t>
      </w:r>
      <w:r>
        <w:t xml:space="preserve">costs </w:t>
      </w:r>
      <w:r>
        <w:rPr>
          <w:spacing w:val="-1"/>
        </w:rPr>
        <w:t>incurred.</w:t>
      </w:r>
      <w:r>
        <w:rPr>
          <w:spacing w:val="-1"/>
          <w:position w:val="7"/>
          <w:sz w:val="11"/>
          <w:szCs w:val="11"/>
        </w:rPr>
        <w:t>37</w:t>
      </w:r>
      <w:r>
        <w:rPr>
          <w:spacing w:val="18"/>
          <w:position w:val="7"/>
          <w:sz w:val="11"/>
          <w:szCs w:val="11"/>
        </w:rPr>
        <w:t xml:space="preserve"> </w:t>
      </w:r>
      <w:r>
        <w:rPr>
          <w:spacing w:val="-2"/>
        </w:rPr>
        <w:t>The</w:t>
      </w:r>
      <w:r>
        <w:rPr>
          <w:spacing w:val="1"/>
        </w:rPr>
        <w:t xml:space="preserve"> </w:t>
      </w:r>
      <w:r>
        <w:t>benefits cited</w:t>
      </w:r>
      <w:r>
        <w:rPr>
          <w:spacing w:val="1"/>
        </w:rPr>
        <w:t xml:space="preserve"> </w:t>
      </w:r>
      <w:r>
        <w:t>by the</w:t>
      </w:r>
      <w:r>
        <w:rPr>
          <w:spacing w:val="1"/>
        </w:rPr>
        <w:t xml:space="preserve"> </w:t>
      </w:r>
      <w:r>
        <w:t>ICRC included</w:t>
      </w:r>
      <w:r>
        <w:rPr>
          <w:spacing w:val="1"/>
        </w:rPr>
        <w:t xml:space="preserve"> </w:t>
      </w:r>
      <w:r>
        <w:t xml:space="preserve">the </w:t>
      </w:r>
      <w:r>
        <w:rPr>
          <w:spacing w:val="-1"/>
        </w:rPr>
        <w:t>following:</w:t>
      </w:r>
      <w:r>
        <w:rPr>
          <w:spacing w:val="-1"/>
          <w:position w:val="7"/>
          <w:sz w:val="11"/>
          <w:szCs w:val="11"/>
        </w:rPr>
        <w:t>38</w:t>
      </w:r>
    </w:p>
    <w:p w:rsidR="00D96B91" w:rsidRDefault="00C2656B">
      <w:pPr>
        <w:pStyle w:val="BodyText"/>
        <w:numPr>
          <w:ilvl w:val="0"/>
          <w:numId w:val="131"/>
        </w:numPr>
        <w:tabs>
          <w:tab w:val="left" w:pos="1531"/>
        </w:tabs>
        <w:spacing w:before="162" w:line="260" w:lineRule="exact"/>
        <w:ind w:right="1246" w:hanging="283"/>
      </w:pPr>
      <w:r>
        <w:rPr>
          <w:rFonts w:cs="Avenir Next"/>
          <w:spacing w:val="-1"/>
        </w:rPr>
        <w:t xml:space="preserve">regular interactions </w:t>
      </w:r>
      <w:r>
        <w:rPr>
          <w:rFonts w:cs="Avenir Next"/>
        </w:rPr>
        <w:t>will</w:t>
      </w:r>
      <w:r>
        <w:rPr>
          <w:rFonts w:cs="Avenir Next"/>
          <w:spacing w:val="-1"/>
        </w:rPr>
        <w:t xml:space="preserve"> mean </w:t>
      </w:r>
      <w:r>
        <w:rPr>
          <w:rFonts w:cs="Avenir Next"/>
        </w:rPr>
        <w:t>the</w:t>
      </w:r>
      <w:r>
        <w:rPr>
          <w:rFonts w:cs="Avenir Next"/>
          <w:spacing w:val="-1"/>
        </w:rPr>
        <w:t xml:space="preserve"> </w:t>
      </w:r>
      <w:r>
        <w:rPr>
          <w:rFonts w:cs="Avenir Next"/>
        </w:rPr>
        <w:t>ICRC</w:t>
      </w:r>
      <w:r>
        <w:rPr>
          <w:rFonts w:cs="Avenir Next"/>
          <w:spacing w:val="-1"/>
        </w:rPr>
        <w:t xml:space="preserve"> </w:t>
      </w:r>
      <w:r>
        <w:rPr>
          <w:rFonts w:cs="Avenir Next"/>
        </w:rPr>
        <w:t>is</w:t>
      </w:r>
      <w:r>
        <w:rPr>
          <w:rFonts w:cs="Avenir Next"/>
          <w:spacing w:val="-1"/>
        </w:rPr>
        <w:t xml:space="preserve"> </w:t>
      </w:r>
      <w:r>
        <w:rPr>
          <w:rFonts w:cs="Avenir Next"/>
        </w:rPr>
        <w:t>in</w:t>
      </w:r>
      <w:r>
        <w:rPr>
          <w:rFonts w:cs="Avenir Next"/>
          <w:spacing w:val="-1"/>
        </w:rPr>
        <w:t xml:space="preserve"> </w:t>
      </w:r>
      <w:r>
        <w:rPr>
          <w:rFonts w:cs="Avenir Next"/>
        </w:rPr>
        <w:t>a</w:t>
      </w:r>
      <w:r>
        <w:rPr>
          <w:rFonts w:cs="Avenir Next"/>
          <w:spacing w:val="-1"/>
        </w:rPr>
        <w:t xml:space="preserve"> better </w:t>
      </w:r>
      <w:r>
        <w:rPr>
          <w:rFonts w:cs="Avenir Next"/>
        </w:rPr>
        <w:t>position</w:t>
      </w:r>
      <w:r>
        <w:rPr>
          <w:rFonts w:cs="Avenir Next"/>
          <w:spacing w:val="-1"/>
        </w:rPr>
        <w:t xml:space="preserve"> </w:t>
      </w:r>
      <w:r>
        <w:rPr>
          <w:rFonts w:cs="Avenir Next"/>
        </w:rPr>
        <w:t>to</w:t>
      </w:r>
      <w:r>
        <w:rPr>
          <w:rFonts w:cs="Avenir Next"/>
          <w:spacing w:val="-1"/>
        </w:rPr>
        <w:t xml:space="preserve"> </w:t>
      </w:r>
      <w:r>
        <w:rPr>
          <w:rFonts w:cs="Avenir Next"/>
        </w:rPr>
        <w:t>understand</w:t>
      </w:r>
      <w:r>
        <w:rPr>
          <w:rFonts w:cs="Avenir Next"/>
          <w:spacing w:val="-4"/>
        </w:rPr>
        <w:t xml:space="preserve"> </w:t>
      </w:r>
      <w:r>
        <w:rPr>
          <w:rFonts w:cs="Avenir Next"/>
          <w:spacing w:val="-2"/>
        </w:rPr>
        <w:t>ACTEW’s</w:t>
      </w:r>
      <w:r>
        <w:rPr>
          <w:rFonts w:cs="Avenir Next"/>
          <w:spacing w:val="-1"/>
        </w:rPr>
        <w:t xml:space="preserve"> operations </w:t>
      </w:r>
      <w:r>
        <w:rPr>
          <w:rFonts w:cs="Avenir Next"/>
        </w:rPr>
        <w:t>and</w:t>
      </w:r>
      <w:r>
        <w:rPr>
          <w:rFonts w:cs="Avenir Next"/>
          <w:spacing w:val="47"/>
        </w:rPr>
        <w:t xml:space="preserve"> </w:t>
      </w:r>
      <w:r>
        <w:t>assess</w:t>
      </w:r>
      <w:r>
        <w:rPr>
          <w:spacing w:val="-1"/>
        </w:rPr>
        <w:t xml:space="preserve"> </w:t>
      </w:r>
      <w:r>
        <w:t>the</w:t>
      </w:r>
      <w:r>
        <w:rPr>
          <w:spacing w:val="-1"/>
        </w:rPr>
        <w:t xml:space="preserve"> </w:t>
      </w:r>
      <w:r>
        <w:t>prudence</w:t>
      </w:r>
      <w:r>
        <w:rPr>
          <w:spacing w:val="-1"/>
        </w:rPr>
        <w:t xml:space="preserve"> </w:t>
      </w:r>
      <w:r>
        <w:t>and</w:t>
      </w:r>
      <w:r>
        <w:rPr>
          <w:spacing w:val="-1"/>
        </w:rPr>
        <w:t xml:space="preserve"> efficiency </w:t>
      </w:r>
      <w:r>
        <w:t>of</w:t>
      </w:r>
      <w:r>
        <w:rPr>
          <w:spacing w:val="3"/>
        </w:rPr>
        <w:t xml:space="preserve"> </w:t>
      </w:r>
      <w:r>
        <w:t>its</w:t>
      </w:r>
      <w:r>
        <w:rPr>
          <w:spacing w:val="-1"/>
        </w:rPr>
        <w:t xml:space="preserve"> expenditure</w:t>
      </w:r>
    </w:p>
    <w:p w:rsidR="00D96B91" w:rsidRDefault="00D96B91">
      <w:pPr>
        <w:rPr>
          <w:rFonts w:ascii="Avenir Next" w:eastAsia="Avenir Next" w:hAnsi="Avenir Next" w:cs="Avenir Next"/>
          <w:sz w:val="20"/>
          <w:szCs w:val="20"/>
        </w:rPr>
      </w:pPr>
    </w:p>
    <w:p w:rsidR="00D96B91" w:rsidRDefault="00D96B91">
      <w:pPr>
        <w:spacing w:before="5"/>
        <w:rPr>
          <w:rFonts w:ascii="Avenir Next" w:eastAsia="Avenir Next" w:hAnsi="Avenir Next" w:cs="Avenir Next"/>
          <w:sz w:val="11"/>
          <w:szCs w:val="1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67" style="width:72.5pt;height:.5pt;mso-position-horizontal-relative:char;mso-position-vertical-relative:line" coordsize="1450,10">
            <v:group id="_x0000_s3268" style="position:absolute;left:5;top:5;width:1440;height:2" coordorigin="5,5" coordsize="1440,2">
              <v:shape id="_x0000_s3269" style="position:absolute;left:5;top:5;width:1440;height:2" coordorigin="5,5" coordsize="1440,0" path="m5,5r1440,e" filled="f" strokeweight=".5pt">
                <v:path arrowok="t"/>
              </v:shape>
            </v:group>
            <w10:wrap type="none"/>
            <w10:anchorlock/>
          </v:group>
        </w:pict>
      </w:r>
    </w:p>
    <w:p w:rsidR="00D96B91" w:rsidRDefault="00C2656B">
      <w:pPr>
        <w:numPr>
          <w:ilvl w:val="0"/>
          <w:numId w:val="100"/>
        </w:numPr>
        <w:tabs>
          <w:tab w:val="left" w:pos="1758"/>
        </w:tabs>
        <w:spacing w:before="45" w:line="192" w:lineRule="exact"/>
        <w:ind w:right="1586" w:hanging="510"/>
        <w:rPr>
          <w:rFonts w:ascii="Avenir Next" w:eastAsia="Avenir Next" w:hAnsi="Avenir Next" w:cs="Avenir Next"/>
          <w:sz w:val="16"/>
          <w:szCs w:val="16"/>
        </w:rPr>
      </w:pPr>
      <w:r>
        <w:rPr>
          <w:rFonts w:ascii="Avenir Next" w:eastAsia="Avenir Next" w:hAnsi="Avenir Next" w:cs="Avenir Next"/>
          <w:sz w:val="16"/>
          <w:szCs w:val="16"/>
        </w:rPr>
        <w:t xml:space="preserve">See for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IPART,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pacing w:val="113"/>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 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31 and ESC,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2013: </w:t>
      </w:r>
      <w:r>
        <w:rPr>
          <w:rFonts w:ascii="Avenir Next" w:eastAsia="Avenir Next" w:hAnsi="Avenir Next" w:cs="Avenir Next"/>
          <w:spacing w:val="-1"/>
          <w:sz w:val="16"/>
          <w:szCs w:val="16"/>
        </w:rPr>
        <w:t>Greater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Metropolitan</w:t>
      </w:r>
      <w:r>
        <w:rPr>
          <w:rFonts w:ascii="Avenir Next" w:eastAsia="Avenir Next" w:hAnsi="Avenir Next" w:cs="Avenir Next"/>
          <w:spacing w:val="-2"/>
          <w:sz w:val="16"/>
          <w:szCs w:val="16"/>
        </w:rPr>
        <w:t xml:space="preserve"> Water</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Businesses,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Chapter 3.</w:t>
      </w:r>
    </w:p>
    <w:p w:rsidR="00D96B91" w:rsidRDefault="00D96B91">
      <w:pPr>
        <w:spacing w:before="12"/>
        <w:rPr>
          <w:rFonts w:ascii="Avenir Next" w:eastAsia="Avenir Next" w:hAnsi="Avenir Next" w:cs="Avenir Next"/>
          <w:sz w:val="10"/>
          <w:szCs w:val="10"/>
        </w:rPr>
      </w:pPr>
    </w:p>
    <w:p w:rsidR="00D96B91" w:rsidRDefault="00C2656B">
      <w:pPr>
        <w:numPr>
          <w:ilvl w:val="0"/>
          <w:numId w:val="100"/>
        </w:numPr>
        <w:tabs>
          <w:tab w:val="left" w:pos="1758"/>
        </w:tabs>
        <w:spacing w:line="192" w:lineRule="exact"/>
        <w:ind w:right="1253" w:hanging="510"/>
        <w:rPr>
          <w:rFonts w:ascii="Avenir Next" w:eastAsia="Avenir Next" w:hAnsi="Avenir Next" w:cs="Avenir Next"/>
          <w:sz w:val="16"/>
          <w:szCs w:val="16"/>
        </w:rPr>
      </w:pPr>
      <w:r>
        <w:rPr>
          <w:rFonts w:ascii="Avenir Next" w:eastAsia="Avenir Next" w:hAnsi="Avenir Next" w:cs="Avenir Next"/>
          <w:sz w:val="16"/>
          <w:szCs w:val="16"/>
        </w:rPr>
        <w:t xml:space="preserve">See for </w:t>
      </w:r>
      <w:r>
        <w:rPr>
          <w:rFonts w:ascii="Avenir Next" w:eastAsia="Avenir Next" w:hAnsi="Avenir Next" w:cs="Avenir Next"/>
          <w:spacing w:val="-1"/>
          <w:sz w:val="16"/>
          <w:szCs w:val="16"/>
        </w:rPr>
        <w:t>example,</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 – </w:t>
      </w:r>
      <w:r>
        <w:rPr>
          <w:rFonts w:ascii="Avenir Next" w:eastAsia="Avenir Next" w:hAnsi="Avenir Next" w:cs="Avenir Next"/>
          <w:spacing w:val="-1"/>
          <w:sz w:val="16"/>
          <w:szCs w:val="16"/>
        </w:rPr>
        <w:t>Central</w:t>
      </w:r>
      <w:r>
        <w:rPr>
          <w:rFonts w:ascii="Avenir Next" w:eastAsia="Avenir Next" w:hAnsi="Avenir Next" w:cs="Avenir Next"/>
          <w:spacing w:val="-2"/>
          <w:sz w:val="16"/>
          <w:szCs w:val="16"/>
        </w:rPr>
        <w:t xml:space="preserve"> West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Pipeline</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Access</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Arrangement,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June 2000,</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35,</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pacing w:val="73"/>
          <w:sz w:val="16"/>
          <w:szCs w:val="16"/>
        </w:rPr>
        <w:t xml:space="preserve"> </w:t>
      </w:r>
      <w:r>
        <w:rPr>
          <w:rFonts w:ascii="Avenir Next" w:eastAsia="Avenir Next" w:hAnsi="Avenir Next" w:cs="Avenir Next"/>
          <w:sz w:val="16"/>
          <w:szCs w:val="16"/>
        </w:rPr>
        <w:t>Decision –</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Amadeus Basin to Darwin </w:t>
      </w:r>
      <w:r>
        <w:rPr>
          <w:rFonts w:ascii="Avenir Next" w:eastAsia="Avenir Next" w:hAnsi="Avenir Next" w:cs="Avenir Next"/>
          <w:spacing w:val="-1"/>
          <w:sz w:val="16"/>
          <w:szCs w:val="16"/>
        </w:rPr>
        <w:t>Pipeline,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4 December 2002,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156 and</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Draft</w:t>
      </w:r>
      <w:r>
        <w:rPr>
          <w:rFonts w:ascii="Avenir Next" w:eastAsia="Avenir Next" w:hAnsi="Avenir Next" w:cs="Avenir Next"/>
          <w:sz w:val="16"/>
          <w:szCs w:val="16"/>
        </w:rPr>
        <w:t xml:space="preserve"> Decision – </w:t>
      </w:r>
      <w:r>
        <w:rPr>
          <w:rFonts w:ascii="Avenir Next" w:eastAsia="Avenir Next" w:hAnsi="Avenir Next" w:cs="Avenir Next"/>
          <w:spacing w:val="-7"/>
          <w:sz w:val="16"/>
          <w:szCs w:val="16"/>
        </w:rPr>
        <w:t>DVP,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23 May 2007,</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25"/>
          <w:sz w:val="16"/>
          <w:szCs w:val="16"/>
        </w:rPr>
        <w:t xml:space="preserve"> </w:t>
      </w:r>
      <w:r>
        <w:rPr>
          <w:rFonts w:ascii="Avenir Next" w:eastAsia="Avenir Next" w:hAnsi="Avenir Next" w:cs="Avenir Next"/>
          <w:sz w:val="16"/>
          <w:szCs w:val="16"/>
        </w:rPr>
        <w:t>94-95.</w:t>
      </w:r>
    </w:p>
    <w:p w:rsidR="00D96B91" w:rsidRDefault="00C2656B">
      <w:pPr>
        <w:numPr>
          <w:ilvl w:val="0"/>
          <w:numId w:val="100"/>
        </w:numPr>
        <w:tabs>
          <w:tab w:val="left" w:pos="1758"/>
        </w:tabs>
        <w:spacing w:before="14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31.</w:t>
      </w:r>
    </w:p>
    <w:p w:rsidR="00D96B91" w:rsidRDefault="00C2656B">
      <w:pPr>
        <w:numPr>
          <w:ilvl w:val="0"/>
          <w:numId w:val="100"/>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35.</w:t>
      </w:r>
    </w:p>
    <w:p w:rsidR="00D96B91" w:rsidRDefault="00C2656B">
      <w:pPr>
        <w:tabs>
          <w:tab w:val="left" w:pos="1757"/>
        </w:tabs>
        <w:spacing w:before="121"/>
        <w:ind w:left="1247"/>
        <w:rPr>
          <w:rFonts w:ascii="Avenir Next" w:eastAsia="Avenir Next" w:hAnsi="Avenir Next" w:cs="Avenir Next"/>
          <w:sz w:val="16"/>
          <w:szCs w:val="16"/>
        </w:rPr>
      </w:pPr>
      <w:r>
        <w:rPr>
          <w:rFonts w:ascii="Avenir Next"/>
          <w:sz w:val="16"/>
        </w:rPr>
        <w:t>37</w:t>
      </w:r>
      <w:r>
        <w:rPr>
          <w:rFonts w:ascii="Avenir Next"/>
          <w:sz w:val="16"/>
        </w:rPr>
        <w:tab/>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36-37.</w:t>
      </w:r>
    </w:p>
    <w:p w:rsidR="00D96B91" w:rsidRDefault="00C2656B">
      <w:pPr>
        <w:tabs>
          <w:tab w:val="left" w:pos="1757"/>
        </w:tabs>
        <w:spacing w:before="121"/>
        <w:ind w:left="1247"/>
        <w:rPr>
          <w:rFonts w:ascii="Avenir Next" w:eastAsia="Avenir Next" w:hAnsi="Avenir Next" w:cs="Avenir Next"/>
          <w:sz w:val="16"/>
          <w:szCs w:val="16"/>
        </w:rPr>
      </w:pPr>
      <w:r>
        <w:rPr>
          <w:rFonts w:ascii="Avenir Next"/>
          <w:sz w:val="16"/>
        </w:rPr>
        <w:t>38</w:t>
      </w:r>
      <w:r>
        <w:rPr>
          <w:rFonts w:ascii="Avenir Next"/>
          <w:sz w:val="16"/>
        </w:rPr>
        <w:tab/>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35-37.</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416" w:hanging="283"/>
      </w:pPr>
      <w:r>
        <w:rPr>
          <w:spacing w:val="-1"/>
        </w:rPr>
        <w:t>regular</w:t>
      </w:r>
      <w:r>
        <w:t xml:space="preserve"> </w:t>
      </w:r>
      <w:r>
        <w:rPr>
          <w:spacing w:val="-1"/>
        </w:rPr>
        <w:t>recalibrations</w:t>
      </w:r>
      <w:r>
        <w:t xml:space="preserve"> will enable the ICRC to consider </w:t>
      </w:r>
      <w:r>
        <w:rPr>
          <w:spacing w:val="-1"/>
        </w:rPr>
        <w:t>projects</w:t>
      </w:r>
      <w:r>
        <w:t xml:space="preserve"> when major decisions </w:t>
      </w:r>
      <w:r>
        <w:rPr>
          <w:spacing w:val="-2"/>
        </w:rPr>
        <w:t>are</w:t>
      </w:r>
      <w:r>
        <w:t xml:space="preserve"> made,</w:t>
      </w:r>
      <w:r>
        <w:rPr>
          <w:spacing w:val="29"/>
        </w:rPr>
        <w:t xml:space="preserve"> </w:t>
      </w:r>
      <w:r>
        <w:t>which</w:t>
      </w:r>
      <w:r>
        <w:rPr>
          <w:spacing w:val="-1"/>
        </w:rPr>
        <w:t xml:space="preserve"> </w:t>
      </w:r>
      <w:r>
        <w:t xml:space="preserve">will </w:t>
      </w:r>
      <w:r>
        <w:rPr>
          <w:spacing w:val="-1"/>
        </w:rPr>
        <w:t xml:space="preserve">reduce </w:t>
      </w:r>
      <w:r>
        <w:t>the risk of</w:t>
      </w:r>
      <w:r>
        <w:rPr>
          <w:spacing w:val="3"/>
        </w:rPr>
        <w:t xml:space="preserve"> </w:t>
      </w:r>
      <w:r>
        <w:t xml:space="preserve">it </w:t>
      </w:r>
      <w:r>
        <w:rPr>
          <w:spacing w:val="-1"/>
        </w:rPr>
        <w:t>later</w:t>
      </w:r>
      <w:r>
        <w:t xml:space="preserve"> deeming</w:t>
      </w:r>
      <w:r>
        <w:rPr>
          <w:spacing w:val="-1"/>
        </w:rPr>
        <w:t xml:space="preserve"> </w:t>
      </w:r>
      <w:r>
        <w:t>it imprudent or</w:t>
      </w:r>
      <w:r>
        <w:rPr>
          <w:spacing w:val="-1"/>
        </w:rPr>
        <w:t xml:space="preserve"> inefficient</w:t>
      </w:r>
      <w:r>
        <w:t xml:space="preserve"> and </w:t>
      </w:r>
      <w:r>
        <w:rPr>
          <w:spacing w:val="-1"/>
        </w:rPr>
        <w:t>reduce regulatory</w:t>
      </w:r>
      <w:r>
        <w:t xml:space="preserve"> costs</w:t>
      </w:r>
      <w:r>
        <w:rPr>
          <w:spacing w:val="37"/>
        </w:rPr>
        <w:t xml:space="preserve"> </w:t>
      </w:r>
      <w:r>
        <w:t xml:space="preserve">because </w:t>
      </w:r>
      <w:r>
        <w:rPr>
          <w:spacing w:val="-1"/>
        </w:rPr>
        <w:t>there</w:t>
      </w:r>
      <w:r>
        <w:t xml:space="preserve"> will be no need to carry out a </w:t>
      </w:r>
      <w:r>
        <w:rPr>
          <w:spacing w:val="-1"/>
        </w:rPr>
        <w:t>large-scale</w:t>
      </w:r>
      <w:r>
        <w:t xml:space="preserve"> </w:t>
      </w:r>
      <w:r>
        <w:rPr>
          <w:spacing w:val="-1"/>
        </w:rPr>
        <w:t>retrospective</w:t>
      </w:r>
      <w:r>
        <w:t xml:space="preserve"> assessment of</w:t>
      </w:r>
      <w:r>
        <w:rPr>
          <w:spacing w:val="4"/>
        </w:rPr>
        <w:t xml:space="preserve"> </w:t>
      </w:r>
      <w:r>
        <w:rPr>
          <w:spacing w:val="-1"/>
        </w:rPr>
        <w:t>capex,</w:t>
      </w:r>
      <w:r>
        <w:rPr>
          <w:spacing w:val="-6"/>
        </w:rPr>
        <w:t xml:space="preserve"> </w:t>
      </w:r>
      <w:r>
        <w:t>and</w:t>
      </w:r>
    </w:p>
    <w:p w:rsidR="00D96B91" w:rsidRDefault="00C2656B">
      <w:pPr>
        <w:pStyle w:val="BodyText"/>
        <w:numPr>
          <w:ilvl w:val="0"/>
          <w:numId w:val="131"/>
        </w:numPr>
        <w:tabs>
          <w:tab w:val="left" w:pos="1531"/>
        </w:tabs>
        <w:spacing w:before="93"/>
        <w:ind w:hanging="283"/>
      </w:pPr>
      <w:r>
        <w:rPr>
          <w:spacing w:val="-1"/>
        </w:rPr>
        <w:t xml:space="preserve">regular reviews </w:t>
      </w:r>
      <w:r>
        <w:t>will</w:t>
      </w:r>
      <w:r>
        <w:rPr>
          <w:spacing w:val="-1"/>
        </w:rPr>
        <w:t xml:space="preserve"> </w:t>
      </w:r>
      <w:r>
        <w:t>help</w:t>
      </w:r>
      <w:r>
        <w:rPr>
          <w:spacing w:val="-5"/>
        </w:rPr>
        <w:t xml:space="preserve"> </w:t>
      </w:r>
      <w:r>
        <w:rPr>
          <w:spacing w:val="-2"/>
        </w:rPr>
        <w:t>ACTEW</w:t>
      </w:r>
      <w:r>
        <w:rPr>
          <w:spacing w:val="-4"/>
        </w:rPr>
        <w:t xml:space="preserve"> </w:t>
      </w:r>
      <w:r>
        <w:t>to</w:t>
      </w:r>
      <w:r>
        <w:rPr>
          <w:spacing w:val="-1"/>
        </w:rPr>
        <w:t xml:space="preserve"> improve </w:t>
      </w:r>
      <w:r>
        <w:rPr>
          <w:spacing w:val="-2"/>
        </w:rPr>
        <w:t>efficiency.</w:t>
      </w:r>
    </w:p>
    <w:p w:rsidR="00D96B91" w:rsidRDefault="00D96B91">
      <w:pPr>
        <w:spacing w:before="1"/>
        <w:rPr>
          <w:rFonts w:ascii="Avenir Next" w:eastAsia="Avenir Next" w:hAnsi="Avenir Next" w:cs="Avenir Next"/>
          <w:sz w:val="23"/>
          <w:szCs w:val="23"/>
        </w:rPr>
      </w:pPr>
    </w:p>
    <w:p w:rsidR="00D96B91" w:rsidRDefault="00C2656B">
      <w:pPr>
        <w:pStyle w:val="Heading6"/>
        <w:numPr>
          <w:ilvl w:val="2"/>
          <w:numId w:val="101"/>
        </w:numPr>
        <w:tabs>
          <w:tab w:val="left" w:pos="2098"/>
        </w:tabs>
        <w:ind w:hanging="850"/>
      </w:pPr>
      <w:r>
        <w:rPr>
          <w:color w:val="0778BE"/>
          <w:spacing w:val="-3"/>
        </w:rPr>
        <w:t>ACTEW’s</w:t>
      </w:r>
      <w:r>
        <w:rPr>
          <w:color w:val="0778BE"/>
        </w:rPr>
        <w:t xml:space="preserve"> SOFC</w:t>
      </w:r>
    </w:p>
    <w:p w:rsidR="00D96B91" w:rsidRDefault="00C2656B">
      <w:pPr>
        <w:pStyle w:val="BodyText"/>
        <w:spacing w:before="21" w:line="260" w:lineRule="exact"/>
        <w:ind w:right="1283"/>
        <w:rPr>
          <w:sz w:val="11"/>
          <w:szCs w:val="11"/>
        </w:rPr>
      </w:pPr>
      <w:r>
        <w:t>In its SOFC,</w:t>
      </w:r>
      <w:r>
        <w:rPr>
          <w:spacing w:val="-10"/>
        </w:rPr>
        <w:t xml:space="preserve"> </w:t>
      </w:r>
      <w:r>
        <w:rPr>
          <w:spacing w:val="-2"/>
        </w:rPr>
        <w:t>ACTEW</w:t>
      </w:r>
      <w:r>
        <w:rPr>
          <w:spacing w:val="-3"/>
        </w:rPr>
        <w:t xml:space="preserve"> </w:t>
      </w:r>
      <w:r>
        <w:t xml:space="preserve">contended </w:t>
      </w:r>
      <w:r>
        <w:rPr>
          <w:spacing w:val="-1"/>
        </w:rPr>
        <w:t>that</w:t>
      </w:r>
      <w:r>
        <w:t xml:space="preserve"> the adoption of</w:t>
      </w:r>
      <w:r>
        <w:rPr>
          <w:spacing w:val="4"/>
        </w:rPr>
        <w:t xml:space="preserve"> </w:t>
      </w:r>
      <w:r>
        <w:t xml:space="preserve">a </w:t>
      </w:r>
      <w:r>
        <w:rPr>
          <w:spacing w:val="-1"/>
        </w:rPr>
        <w:t>six-year</w:t>
      </w:r>
      <w:r>
        <w:t xml:space="preserve"> </w:t>
      </w:r>
      <w:r>
        <w:rPr>
          <w:spacing w:val="-1"/>
        </w:rPr>
        <w:t>regulatory</w:t>
      </w:r>
      <w:r>
        <w:t xml:space="preserve"> period with biennial</w:t>
      </w:r>
      <w:r>
        <w:rPr>
          <w:spacing w:val="27"/>
        </w:rPr>
        <w:t xml:space="preserve"> </w:t>
      </w:r>
      <w:r>
        <w:rPr>
          <w:spacing w:val="-1"/>
        </w:rPr>
        <w:t>recalibrations</w:t>
      </w:r>
      <w:r>
        <w:t xml:space="preserve"> </w:t>
      </w:r>
      <w:r>
        <w:rPr>
          <w:spacing w:val="-1"/>
        </w:rPr>
        <w:t>effectively</w:t>
      </w:r>
      <w:r>
        <w:t xml:space="preserve"> amounts to a series of</w:t>
      </w:r>
      <w:r>
        <w:rPr>
          <w:spacing w:val="4"/>
        </w:rPr>
        <w:t xml:space="preserve"> </w:t>
      </w:r>
      <w:r>
        <w:rPr>
          <w:spacing w:val="-1"/>
        </w:rPr>
        <w:t>two-year</w:t>
      </w:r>
      <w:r>
        <w:t xml:space="preserve"> </w:t>
      </w:r>
      <w:r>
        <w:rPr>
          <w:spacing w:val="-1"/>
        </w:rPr>
        <w:t>regulatory</w:t>
      </w:r>
      <w:r>
        <w:t xml:space="preserve"> periods,</w:t>
      </w:r>
      <w:r>
        <w:rPr>
          <w:spacing w:val="-6"/>
        </w:rPr>
        <w:t xml:space="preserve"> </w:t>
      </w:r>
      <w:r>
        <w:t xml:space="preserve">and </w:t>
      </w:r>
      <w:r>
        <w:rPr>
          <w:spacing w:val="-1"/>
        </w:rPr>
        <w:t>that</w:t>
      </w:r>
      <w:r>
        <w:t xml:space="preserve"> in making this</w:t>
      </w:r>
      <w:r>
        <w:rPr>
          <w:spacing w:val="49"/>
        </w:rPr>
        <w:t xml:space="preserve"> </w:t>
      </w:r>
      <w:r>
        <w:t>decision,</w:t>
      </w:r>
      <w:r>
        <w:rPr>
          <w:spacing w:val="-6"/>
        </w:rPr>
        <w:t xml:space="preserve"> </w:t>
      </w:r>
      <w:r>
        <w:t xml:space="preserve">the ICRC failed to have </w:t>
      </w:r>
      <w:r>
        <w:rPr>
          <w:spacing w:val="-1"/>
        </w:rPr>
        <w:t>proper</w:t>
      </w:r>
      <w:r>
        <w:t xml:space="preserve"> </w:t>
      </w:r>
      <w:r>
        <w:rPr>
          <w:spacing w:val="-2"/>
        </w:rPr>
        <w:t>regard</w:t>
      </w:r>
      <w:r>
        <w:t xml:space="preserve"> to sections 20(2)(c),</w:t>
      </w:r>
      <w:r>
        <w:rPr>
          <w:spacing w:val="-7"/>
        </w:rPr>
        <w:t xml:space="preserve"> </w:t>
      </w:r>
      <w:r>
        <w:t>(e) and (i) of</w:t>
      </w:r>
      <w:r>
        <w:rPr>
          <w:spacing w:val="4"/>
        </w:rPr>
        <w:t xml:space="preserve"> </w:t>
      </w:r>
      <w:r>
        <w:t>the</w:t>
      </w:r>
      <w:r>
        <w:rPr>
          <w:spacing w:val="-4"/>
        </w:rPr>
        <w:t xml:space="preserve"> </w:t>
      </w:r>
      <w:r>
        <w:t>Act.</w:t>
      </w:r>
      <w:r>
        <w:rPr>
          <w:spacing w:val="-6"/>
        </w:rPr>
        <w:t xml:space="preserve"> </w:t>
      </w:r>
      <w:r>
        <w:rPr>
          <w:spacing w:val="-1"/>
        </w:rPr>
        <w:t>Elaborating</w:t>
      </w:r>
      <w:r>
        <w:rPr>
          <w:spacing w:val="25"/>
        </w:rPr>
        <w:t xml:space="preserve"> </w:t>
      </w:r>
      <w:r>
        <w:rPr>
          <w:spacing w:val="-1"/>
        </w:rPr>
        <w:t>further</w:t>
      </w:r>
      <w:r>
        <w:t xml:space="preserve"> on</w:t>
      </w:r>
      <w:r>
        <w:rPr>
          <w:spacing w:val="1"/>
        </w:rPr>
        <w:t xml:space="preserve"> </w:t>
      </w:r>
      <w:r>
        <w:t>these</w:t>
      </w:r>
      <w:r>
        <w:rPr>
          <w:spacing w:val="1"/>
        </w:rPr>
        <w:t xml:space="preserve"> </w:t>
      </w:r>
      <w:r>
        <w:t>contentions,</w:t>
      </w:r>
      <w:r>
        <w:rPr>
          <w:spacing w:val="-9"/>
        </w:rPr>
        <w:t xml:space="preserve"> </w:t>
      </w:r>
      <w:r>
        <w:rPr>
          <w:spacing w:val="-2"/>
        </w:rPr>
        <w:t xml:space="preserve">ACTEW </w:t>
      </w:r>
      <w:r>
        <w:t>claimed</w:t>
      </w:r>
      <w:r>
        <w:rPr>
          <w:spacing w:val="1"/>
        </w:rPr>
        <w:t xml:space="preserve"> </w:t>
      </w:r>
      <w:r>
        <w:t>the biennial</w:t>
      </w:r>
      <w:r>
        <w:rPr>
          <w:spacing w:val="1"/>
        </w:rPr>
        <w:t xml:space="preserve"> </w:t>
      </w:r>
      <w:r>
        <w:rPr>
          <w:spacing w:val="-1"/>
        </w:rPr>
        <w:t>recalibration</w:t>
      </w:r>
      <w:r>
        <w:rPr>
          <w:spacing w:val="1"/>
        </w:rPr>
        <w:t xml:space="preserve"> </w:t>
      </w:r>
      <w:r>
        <w:rPr>
          <w:spacing w:val="-1"/>
        </w:rPr>
        <w:t>process:</w:t>
      </w:r>
      <w:r>
        <w:rPr>
          <w:spacing w:val="-1"/>
          <w:position w:val="7"/>
          <w:sz w:val="11"/>
        </w:rPr>
        <w:t>39</w:t>
      </w:r>
    </w:p>
    <w:p w:rsidR="00D96B91" w:rsidRDefault="00C2656B">
      <w:pPr>
        <w:pStyle w:val="BodyText"/>
        <w:numPr>
          <w:ilvl w:val="0"/>
          <w:numId w:val="131"/>
        </w:numPr>
        <w:tabs>
          <w:tab w:val="left" w:pos="1531"/>
        </w:tabs>
        <w:spacing w:before="170" w:line="260" w:lineRule="exact"/>
        <w:ind w:right="1359" w:hanging="283"/>
        <w:jc w:val="both"/>
        <w:rPr>
          <w:rFonts w:cs="Avenir Next"/>
        </w:rPr>
      </w:pPr>
      <w:r>
        <w:rPr>
          <w:spacing w:val="-1"/>
        </w:rPr>
        <w:t>provides</w:t>
      </w:r>
      <w:r>
        <w:rPr>
          <w:spacing w:val="-4"/>
        </w:rPr>
        <w:t xml:space="preserve"> </w:t>
      </w:r>
      <w:r>
        <w:rPr>
          <w:spacing w:val="-2"/>
        </w:rPr>
        <w:t>ACTEW</w:t>
      </w:r>
      <w:r>
        <w:rPr>
          <w:spacing w:val="-3"/>
        </w:rPr>
        <w:t xml:space="preserve"> </w:t>
      </w:r>
      <w:r>
        <w:t xml:space="preserve">with a “highly </w:t>
      </w:r>
      <w:r>
        <w:rPr>
          <w:spacing w:val="-1"/>
        </w:rPr>
        <w:t>uncertain</w:t>
      </w:r>
      <w:r>
        <w:t xml:space="preserve"> basis on which to </w:t>
      </w:r>
      <w:r>
        <w:rPr>
          <w:spacing w:val="-1"/>
        </w:rPr>
        <w:t>make</w:t>
      </w:r>
      <w:r>
        <w:t xml:space="preserve"> critical </w:t>
      </w:r>
      <w:r>
        <w:rPr>
          <w:spacing w:val="-1"/>
        </w:rPr>
        <w:t>operating,</w:t>
      </w:r>
      <w:r>
        <w:rPr>
          <w:spacing w:val="-6"/>
        </w:rPr>
        <w:t xml:space="preserve"> </w:t>
      </w:r>
      <w:r>
        <w:t>investment and</w:t>
      </w:r>
      <w:r>
        <w:rPr>
          <w:spacing w:val="39"/>
        </w:rPr>
        <w:t xml:space="preserve"> </w:t>
      </w:r>
      <w:r>
        <w:t>financing</w:t>
      </w:r>
      <w:r>
        <w:rPr>
          <w:spacing w:val="-1"/>
        </w:rPr>
        <w:t xml:space="preserve"> </w:t>
      </w:r>
      <w:r>
        <w:t>decisions”</w:t>
      </w:r>
      <w:r>
        <w:rPr>
          <w:spacing w:val="-1"/>
        </w:rPr>
        <w:t xml:space="preserve"> </w:t>
      </w:r>
      <w:r>
        <w:t>because no</w:t>
      </w:r>
      <w:r>
        <w:rPr>
          <w:spacing w:val="-1"/>
        </w:rPr>
        <w:t xml:space="preserve"> </w:t>
      </w:r>
      <w:r>
        <w:t>clarity has</w:t>
      </w:r>
      <w:r>
        <w:rPr>
          <w:spacing w:val="-1"/>
        </w:rPr>
        <w:t xml:space="preserve"> </w:t>
      </w:r>
      <w:r>
        <w:t xml:space="preserve">been </w:t>
      </w:r>
      <w:r>
        <w:rPr>
          <w:spacing w:val="-1"/>
        </w:rPr>
        <w:t xml:space="preserve">provided </w:t>
      </w:r>
      <w:r>
        <w:t>on the</w:t>
      </w:r>
      <w:r>
        <w:rPr>
          <w:spacing w:val="-1"/>
        </w:rPr>
        <w:t xml:space="preserve"> </w:t>
      </w:r>
      <w:r>
        <w:t>principles</w:t>
      </w:r>
      <w:r>
        <w:rPr>
          <w:spacing w:val="-1"/>
        </w:rPr>
        <w:t xml:space="preserve"> </w:t>
      </w:r>
      <w:r>
        <w:t>or methods</w:t>
      </w:r>
      <w:r>
        <w:rPr>
          <w:spacing w:val="-1"/>
        </w:rPr>
        <w:t xml:space="preserve"> that</w:t>
      </w:r>
      <w:r>
        <w:t xml:space="preserve"> will</w:t>
      </w:r>
      <w:r>
        <w:rPr>
          <w:spacing w:val="-1"/>
        </w:rPr>
        <w:t xml:space="preserve"> </w:t>
      </w:r>
      <w:r>
        <w:t>be</w:t>
      </w:r>
      <w:r>
        <w:rPr>
          <w:spacing w:val="26"/>
        </w:rPr>
        <w:t xml:space="preserve"> </w:t>
      </w:r>
      <w:r>
        <w:rPr>
          <w:rFonts w:cs="Avenir Next"/>
        </w:rPr>
        <w:t xml:space="preserve">used to </w:t>
      </w:r>
      <w:r>
        <w:rPr>
          <w:rFonts w:cs="Avenir Next"/>
          <w:spacing w:val="-1"/>
        </w:rPr>
        <w:t>update</w:t>
      </w:r>
      <w:r>
        <w:rPr>
          <w:rFonts w:cs="Avenir Next"/>
        </w:rPr>
        <w:t xml:space="preserve"> demand </w:t>
      </w:r>
      <w:r>
        <w:rPr>
          <w:rFonts w:cs="Avenir Next"/>
          <w:spacing w:val="-1"/>
        </w:rPr>
        <w:t>forecasts</w:t>
      </w:r>
      <w:r>
        <w:rPr>
          <w:rFonts w:cs="Avenir Next"/>
        </w:rPr>
        <w:t xml:space="preserve"> and the cost of</w:t>
      </w:r>
      <w:r>
        <w:rPr>
          <w:rFonts w:cs="Avenir Next"/>
          <w:spacing w:val="4"/>
        </w:rPr>
        <w:t xml:space="preserve"> </w:t>
      </w:r>
      <w:r>
        <w:rPr>
          <w:rFonts w:cs="Avenir Next"/>
        </w:rPr>
        <w:t>equity</w:t>
      </w:r>
    </w:p>
    <w:p w:rsidR="00D96B91" w:rsidRDefault="00C2656B">
      <w:pPr>
        <w:pStyle w:val="BodyText"/>
        <w:numPr>
          <w:ilvl w:val="0"/>
          <w:numId w:val="131"/>
        </w:numPr>
        <w:tabs>
          <w:tab w:val="left" w:pos="1531"/>
        </w:tabs>
        <w:spacing w:before="85" w:line="260" w:lineRule="exact"/>
        <w:ind w:right="2152" w:hanging="283"/>
        <w:rPr>
          <w:rFonts w:cs="Avenir Next"/>
        </w:rPr>
      </w:pPr>
      <w:r>
        <w:rPr>
          <w:spacing w:val="-1"/>
        </w:rPr>
        <w:t>reduces</w:t>
      </w:r>
      <w:r>
        <w:rPr>
          <w:spacing w:val="-5"/>
        </w:rPr>
        <w:t xml:space="preserve"> </w:t>
      </w:r>
      <w:r>
        <w:rPr>
          <w:spacing w:val="-2"/>
        </w:rPr>
        <w:t>ACTEW’s</w:t>
      </w:r>
      <w:r>
        <w:rPr>
          <w:spacing w:val="-1"/>
        </w:rPr>
        <w:t xml:space="preserve"> </w:t>
      </w:r>
      <w:r>
        <w:t>incentive to</w:t>
      </w:r>
      <w:r>
        <w:rPr>
          <w:spacing w:val="-1"/>
        </w:rPr>
        <w:t xml:space="preserve"> </w:t>
      </w:r>
      <w:r>
        <w:t>find ways</w:t>
      </w:r>
      <w:r>
        <w:rPr>
          <w:spacing w:val="-1"/>
        </w:rPr>
        <w:t xml:space="preserve"> </w:t>
      </w:r>
      <w:r>
        <w:t>to</w:t>
      </w:r>
      <w:r>
        <w:rPr>
          <w:spacing w:val="-1"/>
        </w:rPr>
        <w:t xml:space="preserve"> reduce</w:t>
      </w:r>
      <w:r>
        <w:t xml:space="preserve"> costs</w:t>
      </w:r>
      <w:r>
        <w:rPr>
          <w:spacing w:val="-1"/>
        </w:rPr>
        <w:t xml:space="preserve"> </w:t>
      </w:r>
      <w:r>
        <w:t>over</w:t>
      </w:r>
      <w:r>
        <w:rPr>
          <w:spacing w:val="-1"/>
        </w:rPr>
        <w:t xml:space="preserve"> </w:t>
      </w:r>
      <w:r>
        <w:t>time and</w:t>
      </w:r>
      <w:r>
        <w:rPr>
          <w:spacing w:val="-1"/>
        </w:rPr>
        <w:t xml:space="preserve"> </w:t>
      </w:r>
      <w:r>
        <w:t>to carry</w:t>
      </w:r>
      <w:r>
        <w:rPr>
          <w:spacing w:val="-1"/>
        </w:rPr>
        <w:t xml:space="preserve"> </w:t>
      </w:r>
      <w:r>
        <w:t>out</w:t>
      </w:r>
      <w:r>
        <w:rPr>
          <w:spacing w:val="-1"/>
        </w:rPr>
        <w:t xml:space="preserve"> efficient</w:t>
      </w:r>
      <w:r>
        <w:rPr>
          <w:spacing w:val="23"/>
          <w:w w:val="99"/>
        </w:rPr>
        <w:t xml:space="preserve"> </w:t>
      </w:r>
      <w:r>
        <w:rPr>
          <w:rFonts w:cs="Avenir Next"/>
        </w:rPr>
        <w:t>investment,</w:t>
      </w:r>
      <w:r>
        <w:rPr>
          <w:rFonts w:cs="Avenir Next"/>
          <w:spacing w:val="-7"/>
        </w:rPr>
        <w:t xml:space="preserve"> </w:t>
      </w:r>
      <w:r>
        <w:rPr>
          <w:rFonts w:cs="Avenir Next"/>
        </w:rPr>
        <w:t>and</w:t>
      </w:r>
    </w:p>
    <w:p w:rsidR="00D96B91" w:rsidRDefault="00C2656B">
      <w:pPr>
        <w:pStyle w:val="BodyText"/>
        <w:numPr>
          <w:ilvl w:val="0"/>
          <w:numId w:val="131"/>
        </w:numPr>
        <w:tabs>
          <w:tab w:val="left" w:pos="1531"/>
        </w:tabs>
        <w:spacing w:before="85" w:line="260" w:lineRule="exact"/>
        <w:ind w:right="1416" w:hanging="283"/>
      </w:pPr>
      <w:r>
        <w:t xml:space="preserve">gives rise to higher </w:t>
      </w:r>
      <w:r>
        <w:rPr>
          <w:spacing w:val="-1"/>
        </w:rPr>
        <w:t>regulatory</w:t>
      </w:r>
      <w:r>
        <w:t xml:space="preserve"> costs </w:t>
      </w:r>
      <w:r>
        <w:rPr>
          <w:spacing w:val="-1"/>
        </w:rPr>
        <w:t>(estimated</w:t>
      </w:r>
      <w:r>
        <w:t xml:space="preserve"> by</w:t>
      </w:r>
      <w:r>
        <w:rPr>
          <w:spacing w:val="-4"/>
        </w:rPr>
        <w:t xml:space="preserve"> </w:t>
      </w:r>
      <w:r>
        <w:rPr>
          <w:spacing w:val="-2"/>
        </w:rPr>
        <w:t>ACTEW</w:t>
      </w:r>
      <w:r>
        <w:rPr>
          <w:spacing w:val="-3"/>
        </w:rPr>
        <w:t xml:space="preserve"> </w:t>
      </w:r>
      <w:r>
        <w:t>as an additional $1.65–$1.8 million pa)</w:t>
      </w:r>
      <w:r>
        <w:rPr>
          <w:spacing w:val="33"/>
        </w:rPr>
        <w:t xml:space="preserve"> </w:t>
      </w:r>
      <w:r>
        <w:rPr>
          <w:rFonts w:cs="Avenir Next"/>
        </w:rPr>
        <w:t>because the level of</w:t>
      </w:r>
      <w:r>
        <w:rPr>
          <w:rFonts w:cs="Avenir Next"/>
          <w:spacing w:val="4"/>
        </w:rPr>
        <w:t xml:space="preserve"> </w:t>
      </w:r>
      <w:r>
        <w:rPr>
          <w:rFonts w:cs="Avenir Next"/>
          <w:spacing w:val="-1"/>
        </w:rPr>
        <w:t>information</w:t>
      </w:r>
      <w:r>
        <w:rPr>
          <w:rFonts w:cs="Avenir Next"/>
        </w:rPr>
        <w:t xml:space="preserve"> the ICRC will </w:t>
      </w:r>
      <w:r>
        <w:rPr>
          <w:rFonts w:cs="Avenir Next"/>
          <w:spacing w:val="-2"/>
        </w:rPr>
        <w:t>require</w:t>
      </w:r>
      <w:r>
        <w:rPr>
          <w:rFonts w:cs="Avenir Next"/>
        </w:rPr>
        <w:t xml:space="preserve"> to </w:t>
      </w:r>
      <w:r>
        <w:rPr>
          <w:rFonts w:cs="Avenir Next"/>
          <w:spacing w:val="-1"/>
        </w:rPr>
        <w:t>make</w:t>
      </w:r>
      <w:r>
        <w:rPr>
          <w:rFonts w:cs="Avenir Next"/>
        </w:rPr>
        <w:t xml:space="preserve"> the decision will not be substantially</w:t>
      </w:r>
      <w:r>
        <w:rPr>
          <w:rFonts w:cs="Avenir Next"/>
          <w:spacing w:val="29"/>
        </w:rPr>
        <w:t xml:space="preserve"> </w:t>
      </w:r>
      <w:r>
        <w:rPr>
          <w:spacing w:val="-1"/>
        </w:rPr>
        <w:t>different</w:t>
      </w:r>
      <w:r>
        <w:t xml:space="preserve"> </w:t>
      </w:r>
      <w:r>
        <w:rPr>
          <w:spacing w:val="-1"/>
        </w:rPr>
        <w:t>from</w:t>
      </w:r>
      <w:r>
        <w:t xml:space="preserve"> </w:t>
      </w:r>
      <w:r>
        <w:rPr>
          <w:spacing w:val="-1"/>
        </w:rPr>
        <w:t>what</w:t>
      </w:r>
      <w:r>
        <w:t xml:space="preserve"> it </w:t>
      </w:r>
      <w:r>
        <w:rPr>
          <w:spacing w:val="-1"/>
        </w:rPr>
        <w:t>requires</w:t>
      </w:r>
      <w:r>
        <w:t xml:space="preserve"> for a price </w:t>
      </w:r>
      <w:r>
        <w:rPr>
          <w:spacing w:val="-1"/>
        </w:rPr>
        <w:t>regulation</w:t>
      </w:r>
      <w:r>
        <w:t xml:space="preserve"> </w:t>
      </w:r>
      <w:r>
        <w:rPr>
          <w:spacing w:val="-1"/>
        </w:rPr>
        <w:t>investigation.</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rPr>
          <w:rFonts w:cs="Avenir Next"/>
          <w:sz w:val="11"/>
          <w:szCs w:val="11"/>
        </w:rPr>
      </w:pPr>
      <w:r>
        <w:t>In addition,</w:t>
      </w:r>
      <w:r>
        <w:rPr>
          <w:spacing w:val="-10"/>
        </w:rPr>
        <w:t xml:space="preserve"> </w:t>
      </w:r>
      <w:r>
        <w:rPr>
          <w:spacing w:val="-2"/>
        </w:rPr>
        <w:t>ACTEW</w:t>
      </w:r>
      <w:r>
        <w:rPr>
          <w:spacing w:val="-3"/>
        </w:rPr>
        <w:t xml:space="preserve"> </w:t>
      </w:r>
      <w:r>
        <w:t xml:space="preserve">claimed </w:t>
      </w:r>
      <w:r>
        <w:rPr>
          <w:spacing w:val="-1"/>
        </w:rPr>
        <w:t>that</w:t>
      </w:r>
      <w:r>
        <w:t xml:space="preserve"> the biennial </w:t>
      </w:r>
      <w:r>
        <w:rPr>
          <w:spacing w:val="-1"/>
        </w:rPr>
        <w:t>recalibration</w:t>
      </w:r>
      <w:r>
        <w:t xml:space="preserve"> </w:t>
      </w:r>
      <w:r>
        <w:rPr>
          <w:spacing w:val="-1"/>
        </w:rPr>
        <w:t>process</w:t>
      </w:r>
      <w:r>
        <w:t xml:space="preserve"> is inconsistent with section 20A</w:t>
      </w:r>
      <w:r>
        <w:rPr>
          <w:spacing w:val="-4"/>
        </w:rPr>
        <w:t xml:space="preserve"> </w:t>
      </w:r>
      <w:r>
        <w:t>of</w:t>
      </w:r>
      <w:r>
        <w:rPr>
          <w:spacing w:val="27"/>
        </w:rPr>
        <w:t xml:space="preserve"> </w:t>
      </w:r>
      <w:r>
        <w:t>the</w:t>
      </w:r>
      <w:r>
        <w:rPr>
          <w:spacing w:val="-4"/>
        </w:rPr>
        <w:t xml:space="preserve"> </w:t>
      </w:r>
      <w:r>
        <w:t>Act,</w:t>
      </w:r>
      <w:r>
        <w:rPr>
          <w:spacing w:val="-6"/>
        </w:rPr>
        <w:t xml:space="preserve"> </w:t>
      </w:r>
      <w:r>
        <w:t>because</w:t>
      </w:r>
      <w:r>
        <w:rPr>
          <w:spacing w:val="1"/>
        </w:rPr>
        <w:t xml:space="preserve"> </w:t>
      </w:r>
      <w:r>
        <w:t xml:space="preserve">it </w:t>
      </w:r>
      <w:r>
        <w:rPr>
          <w:spacing w:val="-1"/>
        </w:rPr>
        <w:t>provides</w:t>
      </w:r>
      <w:r>
        <w:rPr>
          <w:spacing w:val="1"/>
        </w:rPr>
        <w:t xml:space="preserve"> </w:t>
      </w:r>
      <w:r>
        <w:t>for “subjective decisions”</w:t>
      </w:r>
      <w:r>
        <w:rPr>
          <w:spacing w:val="1"/>
        </w:rPr>
        <w:t xml:space="preserve"> </w:t>
      </w:r>
      <w:r>
        <w:t>within the</w:t>
      </w:r>
      <w:r>
        <w:rPr>
          <w:spacing w:val="1"/>
        </w:rPr>
        <w:t xml:space="preserve"> </w:t>
      </w:r>
      <w:r>
        <w:rPr>
          <w:spacing w:val="-1"/>
        </w:rPr>
        <w:t>regulatory</w:t>
      </w:r>
      <w:r>
        <w:t xml:space="preserve"> </w:t>
      </w:r>
      <w:r>
        <w:rPr>
          <w:spacing w:val="-1"/>
        </w:rPr>
        <w:t>period.</w:t>
      </w:r>
      <w:r>
        <w:rPr>
          <w:spacing w:val="-1"/>
          <w:position w:val="7"/>
          <w:sz w:val="11"/>
          <w:szCs w:val="11"/>
        </w:rPr>
        <w:t>40</w:t>
      </w:r>
      <w:r>
        <w:rPr>
          <w:spacing w:val="23"/>
          <w:position w:val="7"/>
          <w:sz w:val="11"/>
          <w:szCs w:val="11"/>
        </w:rPr>
        <w:t xml:space="preserve"> </w:t>
      </w:r>
      <w:r>
        <w:rPr>
          <w:rFonts w:cs="Avenir Next"/>
        </w:rPr>
        <w:t>It</w:t>
      </w:r>
      <w:r>
        <w:rPr>
          <w:rFonts w:cs="Avenir Next"/>
          <w:spacing w:val="1"/>
        </w:rPr>
        <w:t xml:space="preserve"> </w:t>
      </w:r>
      <w:r>
        <w:rPr>
          <w:rFonts w:cs="Avenir Next"/>
        </w:rPr>
        <w:t xml:space="preserve">noted </w:t>
      </w:r>
      <w:r>
        <w:rPr>
          <w:rFonts w:cs="Avenir Next"/>
          <w:spacing w:val="-1"/>
        </w:rPr>
        <w:t>that</w:t>
      </w:r>
      <w:r>
        <w:rPr>
          <w:rFonts w:cs="Avenir Next"/>
        </w:rPr>
        <w:t xml:space="preserve"> given</w:t>
      </w:r>
      <w:r>
        <w:rPr>
          <w:rFonts w:cs="Avenir Next"/>
          <w:spacing w:val="35"/>
        </w:rPr>
        <w:t xml:space="preserve"> </w:t>
      </w:r>
      <w:r>
        <w:rPr>
          <w:rFonts w:cs="Avenir Next"/>
        </w:rPr>
        <w:t xml:space="preserve">the way the </w:t>
      </w:r>
      <w:r>
        <w:rPr>
          <w:rFonts w:cs="Avenir Next"/>
          <w:spacing w:val="-1"/>
        </w:rPr>
        <w:t>review</w:t>
      </w:r>
      <w:r>
        <w:rPr>
          <w:rFonts w:cs="Avenir Next"/>
        </w:rPr>
        <w:t xml:space="preserve"> </w:t>
      </w:r>
      <w:r>
        <w:rPr>
          <w:rFonts w:cs="Avenir Next"/>
          <w:spacing w:val="-1"/>
        </w:rPr>
        <w:t>provisions</w:t>
      </w:r>
      <w:r>
        <w:rPr>
          <w:rFonts w:cs="Avenir Next"/>
        </w:rPr>
        <w:t xml:space="preserve"> </w:t>
      </w:r>
      <w:r>
        <w:rPr>
          <w:rFonts w:cs="Avenir Next"/>
          <w:spacing w:val="-2"/>
        </w:rPr>
        <w:t>are</w:t>
      </w:r>
      <w:r>
        <w:rPr>
          <w:rFonts w:cs="Avenir Next"/>
        </w:rPr>
        <w:t xml:space="preserve"> </w:t>
      </w:r>
      <w:r>
        <w:rPr>
          <w:rFonts w:cs="Avenir Next"/>
          <w:spacing w:val="-1"/>
        </w:rPr>
        <w:t>drafted</w:t>
      </w:r>
      <w:r>
        <w:rPr>
          <w:rFonts w:cs="Avenir Next"/>
        </w:rPr>
        <w:t xml:space="preserve"> in </w:t>
      </w:r>
      <w:r>
        <w:rPr>
          <w:rFonts w:cs="Avenir Next"/>
          <w:spacing w:val="-4"/>
        </w:rPr>
        <w:t>Part</w:t>
      </w:r>
      <w:r>
        <w:rPr>
          <w:rFonts w:cs="Avenir Next"/>
        </w:rPr>
        <w:t xml:space="preserve"> 4C of</w:t>
      </w:r>
      <w:r>
        <w:rPr>
          <w:rFonts w:cs="Avenir Next"/>
          <w:spacing w:val="4"/>
        </w:rPr>
        <w:t xml:space="preserve"> </w:t>
      </w:r>
      <w:r>
        <w:rPr>
          <w:rFonts w:cs="Avenir Next"/>
        </w:rPr>
        <w:t>the</w:t>
      </w:r>
      <w:r>
        <w:rPr>
          <w:rFonts w:cs="Avenir Next"/>
          <w:spacing w:val="-4"/>
        </w:rPr>
        <w:t xml:space="preserve"> </w:t>
      </w:r>
      <w:r>
        <w:rPr>
          <w:rFonts w:cs="Avenir Next"/>
        </w:rPr>
        <w:t>Act,</w:t>
      </w:r>
      <w:r>
        <w:rPr>
          <w:rFonts w:cs="Avenir Next"/>
          <w:spacing w:val="-6"/>
        </w:rPr>
        <w:t xml:space="preserve"> </w:t>
      </w:r>
      <w:r>
        <w:rPr>
          <w:rFonts w:cs="Avenir Next"/>
        </w:rPr>
        <w:t xml:space="preserve">it may be unable to seek a </w:t>
      </w:r>
      <w:r>
        <w:rPr>
          <w:rFonts w:cs="Avenir Next"/>
          <w:spacing w:val="-1"/>
        </w:rPr>
        <w:t>review</w:t>
      </w:r>
      <w:r>
        <w:rPr>
          <w:rFonts w:cs="Avenir Next"/>
        </w:rPr>
        <w:t xml:space="preserve"> of</w:t>
      </w:r>
      <w:r>
        <w:rPr>
          <w:rFonts w:cs="Avenir Next"/>
          <w:spacing w:val="4"/>
        </w:rPr>
        <w:t xml:space="preserve"> </w:t>
      </w:r>
      <w:r>
        <w:rPr>
          <w:rFonts w:cs="Avenir Next"/>
        </w:rPr>
        <w:t>a</w:t>
      </w:r>
      <w:r>
        <w:rPr>
          <w:rFonts w:cs="Avenir Next"/>
          <w:spacing w:val="27"/>
        </w:rPr>
        <w:t xml:space="preserve"> </w:t>
      </w:r>
      <w:r>
        <w:rPr>
          <w:spacing w:val="-1"/>
        </w:rPr>
        <w:t>recalibration</w:t>
      </w:r>
      <w:r>
        <w:t xml:space="preserve"> decision</w:t>
      </w:r>
      <w:r>
        <w:rPr>
          <w:spacing w:val="1"/>
        </w:rPr>
        <w:t xml:space="preserve"> </w:t>
      </w:r>
      <w:r>
        <w:t>even</w:t>
      </w:r>
      <w:r>
        <w:rPr>
          <w:spacing w:val="1"/>
        </w:rPr>
        <w:t xml:space="preserve"> </w:t>
      </w:r>
      <w:r>
        <w:t>though it</w:t>
      </w:r>
      <w:r>
        <w:rPr>
          <w:spacing w:val="1"/>
        </w:rPr>
        <w:t xml:space="preserve"> </w:t>
      </w:r>
      <w:r>
        <w:t>constitutes</w:t>
      </w:r>
      <w:r>
        <w:rPr>
          <w:spacing w:val="1"/>
        </w:rPr>
        <w:t xml:space="preserve"> </w:t>
      </w:r>
      <w:r>
        <w:t>a substantive</w:t>
      </w:r>
      <w:r>
        <w:rPr>
          <w:spacing w:val="1"/>
        </w:rPr>
        <w:t xml:space="preserve"> </w:t>
      </w:r>
      <w:r>
        <w:t>pricing</w:t>
      </w:r>
      <w:r>
        <w:rPr>
          <w:spacing w:val="1"/>
        </w:rPr>
        <w:t xml:space="preserve"> </w:t>
      </w:r>
      <w:r>
        <w:rPr>
          <w:spacing w:val="-1"/>
        </w:rPr>
        <w:t>decision.</w:t>
      </w:r>
      <w:r>
        <w:rPr>
          <w:rFonts w:cs="Avenir Next"/>
          <w:spacing w:val="-1"/>
          <w:position w:val="7"/>
          <w:sz w:val="11"/>
          <w:szCs w:val="11"/>
        </w:rPr>
        <w:t>41</w:t>
      </w:r>
    </w:p>
    <w:p w:rsidR="00D96B91" w:rsidRDefault="00C2656B">
      <w:pPr>
        <w:pStyle w:val="BodyText"/>
        <w:numPr>
          <w:ilvl w:val="0"/>
          <w:numId w:val="131"/>
        </w:numPr>
        <w:tabs>
          <w:tab w:val="left" w:pos="1531"/>
        </w:tabs>
        <w:spacing w:before="170" w:line="260" w:lineRule="exact"/>
        <w:ind w:right="1356" w:hanging="283"/>
      </w:pPr>
      <w:r>
        <w:t>Given these concerns,</w:t>
      </w:r>
      <w:r>
        <w:rPr>
          <w:spacing w:val="-10"/>
        </w:rPr>
        <w:t xml:space="preserve"> </w:t>
      </w:r>
      <w:r>
        <w:rPr>
          <w:spacing w:val="-2"/>
        </w:rPr>
        <w:t>ACTEW</w:t>
      </w:r>
      <w:r>
        <w:rPr>
          <w:spacing w:val="-3"/>
        </w:rPr>
        <w:t xml:space="preserve"> </w:t>
      </w:r>
      <w:r>
        <w:rPr>
          <w:spacing w:val="-1"/>
        </w:rPr>
        <w:t>submitted</w:t>
      </w:r>
      <w:r>
        <w:t xml:space="preserve"> </w:t>
      </w:r>
      <w:r>
        <w:rPr>
          <w:spacing w:val="-1"/>
        </w:rPr>
        <w:t>that</w:t>
      </w:r>
      <w:r>
        <w:t xml:space="preserve"> the </w:t>
      </w:r>
      <w:r>
        <w:rPr>
          <w:spacing w:val="-1"/>
        </w:rPr>
        <w:t>six-year</w:t>
      </w:r>
      <w:r>
        <w:t xml:space="preserve"> </w:t>
      </w:r>
      <w:r>
        <w:rPr>
          <w:spacing w:val="-1"/>
        </w:rPr>
        <w:t>regulatory</w:t>
      </w:r>
      <w:r>
        <w:t xml:space="preserve"> period with biennial</w:t>
      </w:r>
      <w:r>
        <w:rPr>
          <w:spacing w:val="39"/>
        </w:rPr>
        <w:t xml:space="preserve"> </w:t>
      </w:r>
      <w:r>
        <w:rPr>
          <w:spacing w:val="-1"/>
        </w:rPr>
        <w:t xml:space="preserve">recalibrations </w:t>
      </w:r>
      <w:r>
        <w:t>should be</w:t>
      </w:r>
      <w:r>
        <w:rPr>
          <w:spacing w:val="-1"/>
        </w:rPr>
        <w:t xml:space="preserve"> </w:t>
      </w:r>
      <w:r>
        <w:t>abandoned,</w:t>
      </w:r>
      <w:r>
        <w:rPr>
          <w:spacing w:val="-7"/>
        </w:rPr>
        <w:t xml:space="preserve"> </w:t>
      </w:r>
      <w:r>
        <w:t>and a</w:t>
      </w:r>
      <w:r>
        <w:rPr>
          <w:spacing w:val="-1"/>
        </w:rPr>
        <w:t xml:space="preserve"> five-year</w:t>
      </w:r>
      <w:r>
        <w:t xml:space="preserve"> </w:t>
      </w:r>
      <w:r>
        <w:rPr>
          <w:spacing w:val="-1"/>
        </w:rPr>
        <w:t xml:space="preserve">regulatory </w:t>
      </w:r>
      <w:r>
        <w:t>period (1</w:t>
      </w:r>
      <w:r>
        <w:rPr>
          <w:spacing w:val="-3"/>
        </w:rPr>
        <w:t xml:space="preserve"> </w:t>
      </w:r>
      <w:r>
        <w:t>July</w:t>
      </w:r>
      <w:r>
        <w:rPr>
          <w:spacing w:val="-1"/>
        </w:rPr>
        <w:t xml:space="preserve"> </w:t>
      </w:r>
      <w:r>
        <w:t>2013 –</w:t>
      </w:r>
      <w:r>
        <w:rPr>
          <w:spacing w:val="-1"/>
        </w:rPr>
        <w:t xml:space="preserve"> </w:t>
      </w:r>
      <w:r>
        <w:t>30</w:t>
      </w:r>
      <w:r>
        <w:rPr>
          <w:spacing w:val="-3"/>
        </w:rPr>
        <w:t xml:space="preserve"> </w:t>
      </w:r>
      <w:r>
        <w:t>June 2018)</w:t>
      </w:r>
      <w:r>
        <w:rPr>
          <w:spacing w:val="33"/>
        </w:rPr>
        <w:t xml:space="preserve"> </w:t>
      </w:r>
      <w:r>
        <w:t>adopted in its place.</w:t>
      </w:r>
    </w:p>
    <w:p w:rsidR="00D96B91" w:rsidRDefault="00D96B91">
      <w:pPr>
        <w:spacing w:before="8"/>
        <w:rPr>
          <w:rFonts w:ascii="Avenir Next" w:eastAsia="Avenir Next" w:hAnsi="Avenir Next" w:cs="Avenir Next"/>
          <w:sz w:val="24"/>
          <w:szCs w:val="24"/>
        </w:rPr>
      </w:pPr>
    </w:p>
    <w:p w:rsidR="00D96B91" w:rsidRDefault="00C2656B">
      <w:pPr>
        <w:pStyle w:val="Heading6"/>
        <w:numPr>
          <w:ilvl w:val="2"/>
          <w:numId w:val="101"/>
        </w:numPr>
        <w:tabs>
          <w:tab w:val="left" w:pos="2098"/>
        </w:tabs>
        <w:ind w:hanging="850"/>
      </w:pPr>
      <w:r>
        <w:rPr>
          <w:color w:val="0778BE"/>
          <w:spacing w:val="-4"/>
        </w:rPr>
        <w:t>Panel’s</w:t>
      </w:r>
      <w:r>
        <w:rPr>
          <w:color w:val="0778BE"/>
        </w:rPr>
        <w:t xml:space="preserve"> </w:t>
      </w:r>
      <w:bookmarkStart w:id="59" w:name="_bookmark32"/>
      <w:bookmarkEnd w:id="59"/>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83"/>
      </w:pPr>
      <w:r>
        <w:rPr>
          <w:rFonts w:cs="Avenir Next"/>
          <w:spacing w:val="-1"/>
        </w:rPr>
        <w:t>As</w:t>
      </w:r>
      <w:r>
        <w:rPr>
          <w:rFonts w:cs="Avenir Next"/>
          <w:spacing w:val="-4"/>
        </w:rPr>
        <w:t xml:space="preserve"> </w:t>
      </w:r>
      <w:r>
        <w:rPr>
          <w:rFonts w:cs="Avenir Next"/>
          <w:spacing w:val="-2"/>
        </w:rPr>
        <w:t>far</w:t>
      </w:r>
      <w:r>
        <w:rPr>
          <w:rFonts w:cs="Avenir Next"/>
          <w:spacing w:val="-4"/>
        </w:rPr>
        <w:t xml:space="preserve"> </w:t>
      </w:r>
      <w:r>
        <w:rPr>
          <w:rFonts w:cs="Avenir Next"/>
          <w:spacing w:val="-1"/>
        </w:rPr>
        <w:t>as</w:t>
      </w:r>
      <w:r>
        <w:rPr>
          <w:rFonts w:cs="Avenir Next"/>
          <w:spacing w:val="-4"/>
        </w:rPr>
        <w:t xml:space="preserve"> </w:t>
      </w:r>
      <w:r>
        <w:rPr>
          <w:rFonts w:cs="Avenir Next"/>
          <w:spacing w:val="-2"/>
        </w:rPr>
        <w:t>the</w:t>
      </w:r>
      <w:r>
        <w:rPr>
          <w:rFonts w:cs="Avenir Next"/>
          <w:spacing w:val="-4"/>
        </w:rPr>
        <w:t xml:space="preserve"> Panel </w:t>
      </w:r>
      <w:r>
        <w:rPr>
          <w:rFonts w:cs="Avenir Next"/>
          <w:spacing w:val="-2"/>
        </w:rPr>
        <w:t>can</w:t>
      </w:r>
      <w:r>
        <w:rPr>
          <w:rFonts w:cs="Avenir Next"/>
          <w:spacing w:val="-4"/>
        </w:rPr>
        <w:t xml:space="preserve"> </w:t>
      </w:r>
      <w:r>
        <w:rPr>
          <w:rFonts w:cs="Avenir Next"/>
          <w:spacing w:val="-3"/>
        </w:rPr>
        <w:t>ascertain,</w:t>
      </w:r>
      <w:r>
        <w:rPr>
          <w:rFonts w:cs="Avenir Next"/>
          <w:spacing w:val="-10"/>
        </w:rPr>
        <w:t xml:space="preserve"> </w:t>
      </w:r>
      <w:r>
        <w:rPr>
          <w:rFonts w:cs="Avenir Next"/>
          <w:spacing w:val="-2"/>
        </w:rPr>
        <w:t>the</w:t>
      </w:r>
      <w:r>
        <w:rPr>
          <w:rFonts w:cs="Avenir Next"/>
          <w:spacing w:val="-4"/>
        </w:rPr>
        <w:t xml:space="preserve"> ICRC’s </w:t>
      </w:r>
      <w:r>
        <w:rPr>
          <w:rFonts w:cs="Avenir Next"/>
          <w:spacing w:val="-2"/>
        </w:rPr>
        <w:t>decision</w:t>
      </w:r>
      <w:r>
        <w:rPr>
          <w:rFonts w:cs="Avenir Next"/>
          <w:spacing w:val="-4"/>
        </w:rPr>
        <w:t xml:space="preserve"> </w:t>
      </w:r>
      <w:r>
        <w:rPr>
          <w:rFonts w:cs="Avenir Next"/>
          <w:spacing w:val="-1"/>
        </w:rPr>
        <w:t>to</w:t>
      </w:r>
      <w:r>
        <w:rPr>
          <w:rFonts w:cs="Avenir Next"/>
          <w:spacing w:val="-4"/>
        </w:rPr>
        <w:t xml:space="preserve"> </w:t>
      </w:r>
      <w:r>
        <w:rPr>
          <w:rFonts w:cs="Avenir Next"/>
          <w:spacing w:val="-2"/>
        </w:rPr>
        <w:t>implement</w:t>
      </w:r>
      <w:r>
        <w:rPr>
          <w:rFonts w:cs="Avenir Next"/>
          <w:spacing w:val="-4"/>
        </w:rPr>
        <w:t xml:space="preserve"> </w:t>
      </w:r>
      <w:r>
        <w:rPr>
          <w:rFonts w:cs="Avenir Next"/>
        </w:rPr>
        <w:t>a</w:t>
      </w:r>
      <w:r>
        <w:rPr>
          <w:rFonts w:cs="Avenir Next"/>
          <w:spacing w:val="-4"/>
        </w:rPr>
        <w:t xml:space="preserve"> </w:t>
      </w:r>
      <w:r>
        <w:rPr>
          <w:rFonts w:cs="Avenir Next"/>
          <w:spacing w:val="-2"/>
        </w:rPr>
        <w:t>biennial</w:t>
      </w:r>
      <w:r>
        <w:rPr>
          <w:rFonts w:cs="Avenir Next"/>
          <w:spacing w:val="-4"/>
        </w:rPr>
        <w:t xml:space="preserve"> </w:t>
      </w:r>
      <w:r>
        <w:rPr>
          <w:rFonts w:cs="Avenir Next"/>
          <w:spacing w:val="-3"/>
        </w:rPr>
        <w:t>recalibration</w:t>
      </w:r>
      <w:r>
        <w:rPr>
          <w:rFonts w:cs="Avenir Next"/>
          <w:spacing w:val="-4"/>
        </w:rPr>
        <w:t xml:space="preserve"> </w:t>
      </w:r>
      <w:r>
        <w:rPr>
          <w:rFonts w:cs="Avenir Next"/>
          <w:spacing w:val="-3"/>
        </w:rPr>
        <w:t>process</w:t>
      </w:r>
      <w:r>
        <w:rPr>
          <w:rFonts w:cs="Avenir Next"/>
          <w:spacing w:val="-4"/>
        </w:rPr>
        <w:t xml:space="preserve"> </w:t>
      </w:r>
      <w:r>
        <w:rPr>
          <w:rFonts w:cs="Avenir Next"/>
          <w:spacing w:val="-2"/>
        </w:rPr>
        <w:t>has</w:t>
      </w:r>
      <w:r>
        <w:rPr>
          <w:rFonts w:cs="Avenir Next"/>
          <w:spacing w:val="-4"/>
        </w:rPr>
        <w:t xml:space="preserve"> </w:t>
      </w:r>
      <w:r>
        <w:rPr>
          <w:rFonts w:cs="Avenir Next"/>
          <w:spacing w:val="-2"/>
        </w:rPr>
        <w:t>not</w:t>
      </w:r>
      <w:r>
        <w:rPr>
          <w:rFonts w:cs="Avenir Next"/>
          <w:spacing w:val="80"/>
        </w:rPr>
        <w:t xml:space="preserve"> </w:t>
      </w:r>
      <w:r>
        <w:rPr>
          <w:spacing w:val="-2"/>
        </w:rPr>
        <w:t>been</w:t>
      </w:r>
      <w:r>
        <w:rPr>
          <w:spacing w:val="-4"/>
        </w:rPr>
        <w:t xml:space="preserve"> </w:t>
      </w:r>
      <w:r>
        <w:rPr>
          <w:spacing w:val="-2"/>
        </w:rPr>
        <w:t>employed</w:t>
      </w:r>
      <w:r>
        <w:rPr>
          <w:spacing w:val="-4"/>
        </w:rPr>
        <w:t xml:space="preserve"> </w:t>
      </w:r>
      <w:r>
        <w:rPr>
          <w:spacing w:val="-1"/>
        </w:rPr>
        <w:t>by</w:t>
      </w:r>
      <w:r>
        <w:rPr>
          <w:spacing w:val="-4"/>
        </w:rPr>
        <w:t xml:space="preserve"> </w:t>
      </w:r>
      <w:r>
        <w:rPr>
          <w:spacing w:val="-2"/>
        </w:rPr>
        <w:t>any</w:t>
      </w:r>
      <w:r>
        <w:rPr>
          <w:spacing w:val="-4"/>
        </w:rPr>
        <w:t xml:space="preserve"> </w:t>
      </w:r>
      <w:r>
        <w:rPr>
          <w:spacing w:val="-2"/>
        </w:rPr>
        <w:t>other</w:t>
      </w:r>
      <w:r>
        <w:rPr>
          <w:spacing w:val="-4"/>
        </w:rPr>
        <w:t xml:space="preserve"> </w:t>
      </w:r>
      <w:r>
        <w:rPr>
          <w:spacing w:val="-3"/>
        </w:rPr>
        <w:t>regulators</w:t>
      </w:r>
      <w:r>
        <w:rPr>
          <w:spacing w:val="-4"/>
        </w:rPr>
        <w:t xml:space="preserve"> </w:t>
      </w:r>
      <w:r>
        <w:rPr>
          <w:spacing w:val="-1"/>
        </w:rPr>
        <w:t>in</w:t>
      </w:r>
      <w:r>
        <w:rPr>
          <w:spacing w:val="-8"/>
        </w:rPr>
        <w:t xml:space="preserve"> </w:t>
      </w:r>
      <w:r>
        <w:rPr>
          <w:spacing w:val="-3"/>
        </w:rPr>
        <w:t>Australia.</w:t>
      </w:r>
      <w:r>
        <w:rPr>
          <w:spacing w:val="-10"/>
        </w:rPr>
        <w:t xml:space="preserve"> </w:t>
      </w:r>
      <w:r>
        <w:rPr>
          <w:spacing w:val="-1"/>
        </w:rPr>
        <w:t>In</w:t>
      </w:r>
      <w:r>
        <w:rPr>
          <w:spacing w:val="-4"/>
        </w:rPr>
        <w:t xml:space="preserve"> </w:t>
      </w:r>
      <w:r>
        <w:rPr>
          <w:spacing w:val="-2"/>
        </w:rPr>
        <w:t>evaluating</w:t>
      </w:r>
      <w:r>
        <w:rPr>
          <w:spacing w:val="-4"/>
        </w:rPr>
        <w:t xml:space="preserve"> </w:t>
      </w:r>
      <w:r>
        <w:rPr>
          <w:spacing w:val="-2"/>
        </w:rPr>
        <w:t>this</w:t>
      </w:r>
      <w:r>
        <w:rPr>
          <w:spacing w:val="-4"/>
        </w:rPr>
        <w:t xml:space="preserve"> </w:t>
      </w:r>
      <w:r>
        <w:rPr>
          <w:spacing w:val="-2"/>
        </w:rPr>
        <w:t>decision,</w:t>
      </w:r>
      <w:r>
        <w:rPr>
          <w:spacing w:val="-10"/>
        </w:rPr>
        <w:t xml:space="preserve"> </w:t>
      </w:r>
      <w:r>
        <w:rPr>
          <w:spacing w:val="-2"/>
        </w:rPr>
        <w:t>the</w:t>
      </w:r>
      <w:r>
        <w:rPr>
          <w:spacing w:val="-4"/>
        </w:rPr>
        <w:t xml:space="preserve"> Panel </w:t>
      </w:r>
      <w:r>
        <w:rPr>
          <w:spacing w:val="-2"/>
        </w:rPr>
        <w:t>had</w:t>
      </w:r>
      <w:r>
        <w:rPr>
          <w:spacing w:val="-4"/>
        </w:rPr>
        <w:t xml:space="preserve"> </w:t>
      </w:r>
      <w:r>
        <w:rPr>
          <w:spacing w:val="-3"/>
        </w:rPr>
        <w:t>regard</w:t>
      </w:r>
      <w:r>
        <w:rPr>
          <w:spacing w:val="-4"/>
        </w:rPr>
        <w:t xml:space="preserve"> </w:t>
      </w:r>
      <w:r>
        <w:rPr>
          <w:spacing w:val="-2"/>
        </w:rPr>
        <w:t>to:</w:t>
      </w:r>
    </w:p>
    <w:p w:rsidR="00D96B91" w:rsidRDefault="00C2656B">
      <w:pPr>
        <w:pStyle w:val="BodyText"/>
        <w:numPr>
          <w:ilvl w:val="0"/>
          <w:numId w:val="131"/>
        </w:numPr>
        <w:tabs>
          <w:tab w:val="left" w:pos="1531"/>
        </w:tabs>
        <w:spacing w:before="170" w:line="260" w:lineRule="exact"/>
        <w:ind w:right="1643" w:hanging="283"/>
      </w:pPr>
      <w:r>
        <w:t xml:space="preserve">whether the </w:t>
      </w:r>
      <w:r>
        <w:rPr>
          <w:spacing w:val="-1"/>
        </w:rPr>
        <w:t>risks</w:t>
      </w:r>
      <w:r>
        <w:t xml:space="preserve"> and </w:t>
      </w:r>
      <w:r>
        <w:rPr>
          <w:spacing w:val="-1"/>
        </w:rPr>
        <w:t>uncertainties</w:t>
      </w:r>
      <w:r>
        <w:t xml:space="preserve"> facing</w:t>
      </w:r>
      <w:r>
        <w:rPr>
          <w:spacing w:val="-4"/>
        </w:rPr>
        <w:t xml:space="preserve"> </w:t>
      </w:r>
      <w:r>
        <w:rPr>
          <w:spacing w:val="-2"/>
        </w:rPr>
        <w:t>ACTEW</w:t>
      </w:r>
      <w:r>
        <w:rPr>
          <w:spacing w:val="-3"/>
        </w:rPr>
        <w:t xml:space="preserve"> </w:t>
      </w:r>
      <w:r>
        <w:t xml:space="preserve">and its customers in this </w:t>
      </w:r>
      <w:r>
        <w:rPr>
          <w:spacing w:val="-1"/>
        </w:rPr>
        <w:t>regulatory</w:t>
      </w:r>
      <w:r>
        <w:t xml:space="preserve"> period </w:t>
      </w:r>
      <w:r>
        <w:rPr>
          <w:spacing w:val="-2"/>
        </w:rPr>
        <w:t>are</w:t>
      </w:r>
      <w:r>
        <w:rPr>
          <w:spacing w:val="47"/>
        </w:rPr>
        <w:t xml:space="preserve"> </w:t>
      </w:r>
      <w:r>
        <w:rPr>
          <w:spacing w:val="-1"/>
        </w:rPr>
        <w:t>sufficiently</w:t>
      </w:r>
      <w:r>
        <w:rPr>
          <w:spacing w:val="-2"/>
        </w:rPr>
        <w:t xml:space="preserve"> </w:t>
      </w:r>
      <w:r>
        <w:t>high</w:t>
      </w:r>
      <w:r>
        <w:rPr>
          <w:spacing w:val="-1"/>
        </w:rPr>
        <w:t xml:space="preserve"> </w:t>
      </w:r>
      <w:r>
        <w:t>to</w:t>
      </w:r>
      <w:r>
        <w:rPr>
          <w:spacing w:val="-2"/>
        </w:rPr>
        <w:t xml:space="preserve"> require</w:t>
      </w:r>
      <w:r>
        <w:rPr>
          <w:spacing w:val="-1"/>
        </w:rPr>
        <w:t xml:space="preserve"> </w:t>
      </w:r>
      <w:r>
        <w:t>biennial</w:t>
      </w:r>
      <w:r>
        <w:rPr>
          <w:spacing w:val="-1"/>
        </w:rPr>
        <w:t xml:space="preserve"> recalibrations</w:t>
      </w:r>
    </w:p>
    <w:p w:rsidR="00D96B91" w:rsidRDefault="00C2656B">
      <w:pPr>
        <w:pStyle w:val="BodyText"/>
        <w:numPr>
          <w:ilvl w:val="0"/>
          <w:numId w:val="131"/>
        </w:numPr>
        <w:tabs>
          <w:tab w:val="left" w:pos="1531"/>
        </w:tabs>
        <w:spacing w:before="93"/>
        <w:ind w:hanging="283"/>
      </w:pPr>
      <w:r>
        <w:t>whether</w:t>
      </w:r>
      <w:r>
        <w:rPr>
          <w:spacing w:val="-1"/>
        </w:rPr>
        <w:t xml:space="preserve"> </w:t>
      </w:r>
      <w:r>
        <w:t>the</w:t>
      </w:r>
      <w:r>
        <w:rPr>
          <w:spacing w:val="-1"/>
        </w:rPr>
        <w:t xml:space="preserve"> </w:t>
      </w:r>
      <w:r>
        <w:t>benefits of</w:t>
      </w:r>
      <w:r>
        <w:rPr>
          <w:spacing w:val="3"/>
        </w:rPr>
        <w:t xml:space="preserve"> </w:t>
      </w:r>
      <w:r>
        <w:t>the biennial</w:t>
      </w:r>
      <w:r>
        <w:rPr>
          <w:spacing w:val="-1"/>
        </w:rPr>
        <w:t xml:space="preserve"> recalibration</w:t>
      </w:r>
      <w:r>
        <w:t xml:space="preserve"> </w:t>
      </w:r>
      <w:r>
        <w:rPr>
          <w:spacing w:val="-1"/>
        </w:rPr>
        <w:t xml:space="preserve">process </w:t>
      </w:r>
      <w:r>
        <w:rPr>
          <w:spacing w:val="-2"/>
        </w:rPr>
        <w:t>are</w:t>
      </w:r>
      <w:r>
        <w:rPr>
          <w:spacing w:val="-1"/>
        </w:rPr>
        <w:t xml:space="preserve"> likely</w:t>
      </w:r>
      <w:r>
        <w:t xml:space="preserve"> to</w:t>
      </w:r>
      <w:r>
        <w:rPr>
          <w:spacing w:val="-1"/>
        </w:rPr>
        <w:t xml:space="preserve"> </w:t>
      </w:r>
      <w:r>
        <w:t>outweigh the</w:t>
      </w:r>
      <w:r>
        <w:rPr>
          <w:spacing w:val="-1"/>
        </w:rPr>
        <w:t xml:space="preserve"> </w:t>
      </w:r>
      <w:r>
        <w:t>costs</w:t>
      </w:r>
    </w:p>
    <w:p w:rsidR="00D96B91" w:rsidRDefault="00C2656B">
      <w:pPr>
        <w:pStyle w:val="BodyText"/>
        <w:numPr>
          <w:ilvl w:val="0"/>
          <w:numId w:val="131"/>
        </w:numPr>
        <w:tabs>
          <w:tab w:val="left" w:pos="1531"/>
        </w:tabs>
        <w:spacing w:before="64" w:line="260" w:lineRule="exact"/>
        <w:ind w:right="1358" w:hanging="283"/>
        <w:rPr>
          <w:rFonts w:cs="Avenir Next"/>
        </w:rPr>
      </w:pPr>
      <w:r>
        <w:t>whether</w:t>
      </w:r>
      <w:r>
        <w:rPr>
          <w:spacing w:val="-1"/>
        </w:rPr>
        <w:t xml:space="preserve"> </w:t>
      </w:r>
      <w:r>
        <w:t>the</w:t>
      </w:r>
      <w:r>
        <w:rPr>
          <w:spacing w:val="-1"/>
        </w:rPr>
        <w:t xml:space="preserve"> </w:t>
      </w:r>
      <w:r>
        <w:t>benefits of</w:t>
      </w:r>
      <w:r>
        <w:rPr>
          <w:spacing w:val="3"/>
        </w:rPr>
        <w:t xml:space="preserve"> </w:t>
      </w:r>
      <w:r>
        <w:t>the biennial</w:t>
      </w:r>
      <w:r>
        <w:rPr>
          <w:spacing w:val="-1"/>
        </w:rPr>
        <w:t xml:space="preserve"> recalibration</w:t>
      </w:r>
      <w:r>
        <w:t xml:space="preserve"> </w:t>
      </w:r>
      <w:r>
        <w:rPr>
          <w:spacing w:val="-1"/>
        </w:rPr>
        <w:t xml:space="preserve">process </w:t>
      </w:r>
      <w:r>
        <w:t>can be</w:t>
      </w:r>
      <w:r>
        <w:rPr>
          <w:spacing w:val="-1"/>
        </w:rPr>
        <w:t xml:space="preserve"> </w:t>
      </w:r>
      <w:r>
        <w:t xml:space="preserve">achieved </w:t>
      </w:r>
      <w:r>
        <w:rPr>
          <w:spacing w:val="-1"/>
        </w:rPr>
        <w:t xml:space="preserve">through </w:t>
      </w:r>
      <w:r>
        <w:t>other less</w:t>
      </w:r>
      <w:r>
        <w:rPr>
          <w:spacing w:val="-1"/>
        </w:rPr>
        <w:t xml:space="preserve"> </w:t>
      </w:r>
      <w:r>
        <w:t>costly</w:t>
      </w:r>
      <w:r>
        <w:rPr>
          <w:spacing w:val="21"/>
        </w:rPr>
        <w:t xml:space="preserve"> </w:t>
      </w:r>
      <w:r>
        <w:rPr>
          <w:spacing w:val="-1"/>
        </w:rPr>
        <w:t>measures,</w:t>
      </w:r>
      <w:r>
        <w:rPr>
          <w:spacing w:val="-6"/>
        </w:rPr>
        <w:t xml:space="preserve"> </w:t>
      </w:r>
      <w:r>
        <w:t>and</w:t>
      </w:r>
    </w:p>
    <w:p w:rsidR="00D96B91" w:rsidRDefault="00C2656B">
      <w:pPr>
        <w:pStyle w:val="BodyText"/>
        <w:numPr>
          <w:ilvl w:val="0"/>
          <w:numId w:val="131"/>
        </w:numPr>
        <w:tabs>
          <w:tab w:val="left" w:pos="1531"/>
        </w:tabs>
        <w:spacing w:before="85" w:line="260" w:lineRule="exact"/>
        <w:ind w:right="1390" w:hanging="283"/>
      </w:pPr>
      <w:r>
        <w:t>the</w:t>
      </w:r>
      <w:r>
        <w:rPr>
          <w:spacing w:val="-1"/>
        </w:rPr>
        <w:t xml:space="preserve"> appropriate</w:t>
      </w:r>
      <w:r>
        <w:t xml:space="preserve"> length</w:t>
      </w:r>
      <w:r>
        <w:rPr>
          <w:spacing w:val="-1"/>
        </w:rPr>
        <w:t xml:space="preserve"> </w:t>
      </w:r>
      <w:r>
        <w:t>of</w:t>
      </w:r>
      <w:r>
        <w:rPr>
          <w:spacing w:val="4"/>
        </w:rPr>
        <w:t xml:space="preserve"> </w:t>
      </w:r>
      <w:r>
        <w:t>the</w:t>
      </w:r>
      <w:r>
        <w:rPr>
          <w:spacing w:val="-1"/>
        </w:rPr>
        <w:t xml:space="preserve"> regulatory</w:t>
      </w:r>
      <w:r>
        <w:t xml:space="preserve"> period,</w:t>
      </w:r>
      <w:r>
        <w:rPr>
          <w:spacing w:val="-7"/>
        </w:rPr>
        <w:t xml:space="preserve"> </w:t>
      </w:r>
      <w:r>
        <w:t>taking account</w:t>
      </w:r>
      <w:r>
        <w:rPr>
          <w:spacing w:val="-1"/>
        </w:rPr>
        <w:t xml:space="preserve"> </w:t>
      </w:r>
      <w:r>
        <w:t>of</w:t>
      </w:r>
      <w:r>
        <w:rPr>
          <w:spacing w:val="4"/>
        </w:rPr>
        <w:t xml:space="preserve"> </w:t>
      </w:r>
      <w:r>
        <w:t>its</w:t>
      </w:r>
      <w:r>
        <w:rPr>
          <w:spacing w:val="-1"/>
        </w:rPr>
        <w:t xml:space="preserve"> </w:t>
      </w:r>
      <w:r>
        <w:t>findings on</w:t>
      </w:r>
      <w:r>
        <w:rPr>
          <w:spacing w:val="-1"/>
        </w:rPr>
        <w:t xml:space="preserve"> </w:t>
      </w:r>
      <w:r>
        <w:t>the above</w:t>
      </w:r>
      <w:r>
        <w:rPr>
          <w:spacing w:val="-1"/>
        </w:rPr>
        <w:t xml:space="preserve"> matters</w:t>
      </w:r>
      <w:r>
        <w:rPr>
          <w:spacing w:val="21"/>
        </w:rPr>
        <w:t xml:space="preserve"> </w:t>
      </w:r>
      <w:r>
        <w:t>and the availability of</w:t>
      </w:r>
      <w:r>
        <w:rPr>
          <w:spacing w:val="4"/>
        </w:rPr>
        <w:t xml:space="preserve"> </w:t>
      </w:r>
      <w:r>
        <w:rPr>
          <w:spacing w:val="-1"/>
        </w:rPr>
        <w:t>information.</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t xml:space="preserve">Based on these </w:t>
      </w:r>
      <w:r>
        <w:rPr>
          <w:spacing w:val="-1"/>
        </w:rPr>
        <w:t>considerations,</w:t>
      </w:r>
      <w:r>
        <w:rPr>
          <w:spacing w:val="-6"/>
        </w:rPr>
        <w:t xml:space="preserve"> </w:t>
      </w:r>
      <w:r>
        <w:t xml:space="preserve">the </w:t>
      </w:r>
      <w:r>
        <w:rPr>
          <w:spacing w:val="-3"/>
        </w:rPr>
        <w:t>Panel</w:t>
      </w:r>
      <w:r>
        <w:t xml:space="preserve"> made a </w:t>
      </w:r>
      <w:r>
        <w:rPr>
          <w:spacing w:val="-2"/>
        </w:rPr>
        <w:t>draft</w:t>
      </w:r>
      <w:r>
        <w:t xml:space="preserve"> decision </w:t>
      </w:r>
      <w:r>
        <w:rPr>
          <w:b/>
        </w:rPr>
        <w:t xml:space="preserve">not </w:t>
      </w:r>
      <w:r>
        <w:t xml:space="preserve">to include biennial </w:t>
      </w:r>
      <w:r>
        <w:rPr>
          <w:spacing w:val="-1"/>
        </w:rPr>
        <w:t>recalibrations</w:t>
      </w:r>
      <w:r>
        <w:t xml:space="preserve"> in</w:t>
      </w:r>
      <w:r>
        <w:rPr>
          <w:spacing w:val="43"/>
        </w:rPr>
        <w:t xml:space="preserve"> </w:t>
      </w:r>
      <w:r>
        <w:t>this</w:t>
      </w:r>
      <w:r>
        <w:rPr>
          <w:spacing w:val="-1"/>
        </w:rPr>
        <w:t xml:space="preserve"> regulatory</w:t>
      </w:r>
      <w:r>
        <w:t xml:space="preserve"> period,</w:t>
      </w:r>
      <w:r>
        <w:rPr>
          <w:spacing w:val="-7"/>
        </w:rPr>
        <w:t xml:space="preserve"> </w:t>
      </w:r>
      <w:r>
        <w:t>and to adopt</w:t>
      </w:r>
      <w:r>
        <w:rPr>
          <w:spacing w:val="-1"/>
        </w:rPr>
        <w:t xml:space="preserve"> </w:t>
      </w:r>
      <w:r>
        <w:t xml:space="preserve">a </w:t>
      </w:r>
      <w:r>
        <w:rPr>
          <w:spacing w:val="-1"/>
        </w:rPr>
        <w:t>five-year</w:t>
      </w:r>
      <w:r>
        <w:t xml:space="preserve"> </w:t>
      </w:r>
      <w:r>
        <w:rPr>
          <w:spacing w:val="-1"/>
        </w:rPr>
        <w:t xml:space="preserve">regulatory </w:t>
      </w:r>
      <w:r>
        <w:t xml:space="preserve">period </w:t>
      </w:r>
      <w:r>
        <w:rPr>
          <w:spacing w:val="-1"/>
        </w:rPr>
        <w:t>from</w:t>
      </w:r>
      <w:r>
        <w:t xml:space="preserve"> 1</w:t>
      </w:r>
      <w:r>
        <w:rPr>
          <w:spacing w:val="-4"/>
        </w:rPr>
        <w:t xml:space="preserve"> </w:t>
      </w:r>
      <w:r>
        <w:t>July 2013 to</w:t>
      </w:r>
      <w:r>
        <w:rPr>
          <w:spacing w:val="-1"/>
        </w:rPr>
        <w:t xml:space="preserve"> </w:t>
      </w:r>
      <w:r>
        <w:t>30</w:t>
      </w:r>
      <w:r>
        <w:rPr>
          <w:spacing w:val="-3"/>
        </w:rPr>
        <w:t xml:space="preserve"> </w:t>
      </w:r>
      <w:r>
        <w:t>June 2018.</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101"/>
        </w:numPr>
        <w:tabs>
          <w:tab w:val="left" w:pos="2212"/>
        </w:tabs>
        <w:rPr>
          <w:rFonts w:cs="Avenir Next"/>
          <w:b w:val="0"/>
          <w:bCs w:val="0"/>
        </w:rPr>
      </w:pPr>
      <w:r>
        <w:rPr>
          <w:color w:val="0778BE"/>
          <w:spacing w:val="-2"/>
        </w:rPr>
        <w:t>Are</w:t>
      </w:r>
      <w:r>
        <w:rPr>
          <w:color w:val="0778BE"/>
        </w:rPr>
        <w:t xml:space="preserve"> the </w:t>
      </w:r>
      <w:r>
        <w:rPr>
          <w:color w:val="0778BE"/>
          <w:spacing w:val="-1"/>
        </w:rPr>
        <w:t>risks</w:t>
      </w:r>
      <w:r>
        <w:rPr>
          <w:color w:val="0778BE"/>
        </w:rPr>
        <w:t xml:space="preserve"> and </w:t>
      </w:r>
      <w:r>
        <w:rPr>
          <w:color w:val="0778BE"/>
          <w:spacing w:val="-1"/>
        </w:rPr>
        <w:t>uncertainties</w:t>
      </w:r>
      <w:r>
        <w:rPr>
          <w:color w:val="0778BE"/>
        </w:rPr>
        <w:t xml:space="preserve"> </w:t>
      </w:r>
      <w:r>
        <w:rPr>
          <w:color w:val="0778BE"/>
          <w:spacing w:val="-1"/>
        </w:rPr>
        <w:t>sufficient</w:t>
      </w:r>
      <w:r>
        <w:rPr>
          <w:color w:val="0778BE"/>
        </w:rPr>
        <w:t xml:space="preserve"> to </w:t>
      </w:r>
      <w:r>
        <w:rPr>
          <w:color w:val="0778BE"/>
          <w:spacing w:val="-1"/>
        </w:rPr>
        <w:t>warrant</w:t>
      </w:r>
      <w:r>
        <w:rPr>
          <w:color w:val="0778BE"/>
        </w:rPr>
        <w:t xml:space="preserve"> biennial </w:t>
      </w:r>
      <w:r>
        <w:rPr>
          <w:color w:val="0778BE"/>
          <w:spacing w:val="-1"/>
        </w:rPr>
        <w:t>recalibrations?</w:t>
      </w:r>
    </w:p>
    <w:p w:rsidR="00D96B91" w:rsidRDefault="00C2656B">
      <w:pPr>
        <w:pStyle w:val="BodyText"/>
        <w:spacing w:before="28" w:line="260" w:lineRule="exact"/>
        <w:ind w:right="1283"/>
        <w:rPr>
          <w:rFonts w:cs="Avenir Next"/>
        </w:rPr>
      </w:pPr>
      <w:r>
        <w:rPr>
          <w:rFonts w:cs="Avenir Next"/>
          <w:spacing w:val="-2"/>
        </w:rPr>
        <w:t>The</w:t>
      </w:r>
      <w:r>
        <w:rPr>
          <w:rFonts w:cs="Avenir Next"/>
        </w:rPr>
        <w:t xml:space="preserve"> </w:t>
      </w:r>
      <w:r>
        <w:rPr>
          <w:rFonts w:cs="Avenir Next"/>
          <w:spacing w:val="-3"/>
        </w:rPr>
        <w:t>Panel</w:t>
      </w:r>
      <w:r>
        <w:rPr>
          <w:rFonts w:cs="Avenir Next"/>
        </w:rPr>
        <w:t xml:space="preserve"> understands </w:t>
      </w:r>
      <w:r>
        <w:rPr>
          <w:rFonts w:cs="Avenir Next"/>
          <w:spacing w:val="-1"/>
        </w:rPr>
        <w:t>that</w:t>
      </w:r>
      <w:r>
        <w:rPr>
          <w:rFonts w:cs="Avenir Next"/>
        </w:rPr>
        <w:t xml:space="preserve"> the </w:t>
      </w:r>
      <w:r>
        <w:rPr>
          <w:rFonts w:cs="Avenir Next"/>
          <w:spacing w:val="-2"/>
        </w:rPr>
        <w:t>ICRC’s</w:t>
      </w:r>
      <w:r>
        <w:rPr>
          <w:rFonts w:cs="Avenir Next"/>
        </w:rPr>
        <w:t xml:space="preserve"> decision to implement the biennial </w:t>
      </w:r>
      <w:r>
        <w:rPr>
          <w:rFonts w:cs="Avenir Next"/>
          <w:spacing w:val="-1"/>
        </w:rPr>
        <w:t>recalibration</w:t>
      </w:r>
      <w:r>
        <w:rPr>
          <w:rFonts w:cs="Avenir Next"/>
        </w:rPr>
        <w:t xml:space="preserve"> </w:t>
      </w:r>
      <w:r>
        <w:rPr>
          <w:rFonts w:cs="Avenir Next"/>
          <w:spacing w:val="-1"/>
        </w:rPr>
        <w:t>process</w:t>
      </w:r>
      <w:r>
        <w:rPr>
          <w:rFonts w:cs="Avenir Next"/>
        </w:rPr>
        <w:t xml:space="preserve"> was</w:t>
      </w:r>
      <w:r>
        <w:rPr>
          <w:rFonts w:cs="Avenir Next"/>
          <w:spacing w:val="31"/>
        </w:rPr>
        <w:t xml:space="preserve"> </w:t>
      </w:r>
      <w:r>
        <w:rPr>
          <w:rFonts w:cs="Avenir Next"/>
        </w:rPr>
        <w:t>primarily driven by concerns about:</w:t>
      </w:r>
    </w:p>
    <w:p w:rsidR="00D96B91" w:rsidRDefault="00D96B91">
      <w:pPr>
        <w:rPr>
          <w:rFonts w:ascii="Avenir Next" w:eastAsia="Avenir Next" w:hAnsi="Avenir Next" w:cs="Avenir Next"/>
          <w:sz w:val="20"/>
          <w:szCs w:val="20"/>
        </w:rPr>
      </w:pPr>
    </w:p>
    <w:p w:rsidR="00D96B91" w:rsidRDefault="00D96B91">
      <w:pPr>
        <w:spacing w:before="10"/>
        <w:rPr>
          <w:rFonts w:ascii="Avenir Next" w:eastAsia="Avenir Next" w:hAnsi="Avenir Next" w:cs="Avenir Next"/>
          <w:sz w:val="13"/>
          <w:szCs w:val="1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64" style="width:72.5pt;height:.5pt;mso-position-horizontal-relative:char;mso-position-vertical-relative:line" coordsize="1450,10">
            <v:group id="_x0000_s3265" style="position:absolute;left:5;top:5;width:1440;height:2" coordorigin="5,5" coordsize="1440,2">
              <v:shape id="_x0000_s3266"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16-20.</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19.</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455" w:hanging="283"/>
        <w:rPr>
          <w:rFonts w:cs="Avenir Next"/>
        </w:rPr>
      </w:pPr>
      <w:r>
        <w:t xml:space="preserve">how the </w:t>
      </w:r>
      <w:r>
        <w:rPr>
          <w:spacing w:val="-1"/>
        </w:rPr>
        <w:t>regulatory</w:t>
      </w:r>
      <w:r>
        <w:t xml:space="preserve"> </w:t>
      </w:r>
      <w:r>
        <w:rPr>
          <w:spacing w:val="-1"/>
        </w:rPr>
        <w:t>framework</w:t>
      </w:r>
      <w:r>
        <w:t xml:space="preserve"> coped with lower than </w:t>
      </w:r>
      <w:r>
        <w:rPr>
          <w:spacing w:val="-1"/>
        </w:rPr>
        <w:t>forecast</w:t>
      </w:r>
      <w:r>
        <w:t xml:space="preserve"> </w:t>
      </w:r>
      <w:r>
        <w:rPr>
          <w:spacing w:val="-1"/>
        </w:rPr>
        <w:t>water</w:t>
      </w:r>
      <w:r>
        <w:t xml:space="preserve"> sales and higher than </w:t>
      </w:r>
      <w:r>
        <w:rPr>
          <w:spacing w:val="-1"/>
        </w:rPr>
        <w:t>forecast</w:t>
      </w:r>
      <w:r>
        <w:rPr>
          <w:spacing w:val="43"/>
        </w:rPr>
        <w:t xml:space="preserve"> </w:t>
      </w:r>
      <w:r>
        <w:rPr>
          <w:spacing w:val="-1"/>
        </w:rPr>
        <w:t>expenditure</w:t>
      </w:r>
      <w:r>
        <w:t xml:space="preserve"> on the </w:t>
      </w:r>
      <w:r>
        <w:rPr>
          <w:spacing w:val="-1"/>
        </w:rPr>
        <w:t>water</w:t>
      </w:r>
      <w:r>
        <w:t xml:space="preserve"> security </w:t>
      </w:r>
      <w:r>
        <w:rPr>
          <w:spacing w:val="-1"/>
        </w:rPr>
        <w:t>projects</w:t>
      </w:r>
      <w:r>
        <w:t xml:space="preserve"> in the </w:t>
      </w:r>
      <w:r>
        <w:rPr>
          <w:spacing w:val="-1"/>
        </w:rPr>
        <w:t>previous</w:t>
      </w:r>
      <w:r>
        <w:t xml:space="preserve"> </w:t>
      </w:r>
      <w:r>
        <w:rPr>
          <w:spacing w:val="-1"/>
        </w:rPr>
        <w:t>regulatory</w:t>
      </w:r>
      <w:r>
        <w:t xml:space="preserve"> period,</w:t>
      </w:r>
      <w:r>
        <w:rPr>
          <w:spacing w:val="-6"/>
        </w:rPr>
        <w:t xml:space="preserve"> </w:t>
      </w:r>
      <w:r>
        <w:t>and</w:t>
      </w:r>
    </w:p>
    <w:p w:rsidR="00D96B91" w:rsidRDefault="00C2656B">
      <w:pPr>
        <w:pStyle w:val="BodyText"/>
        <w:numPr>
          <w:ilvl w:val="0"/>
          <w:numId w:val="131"/>
        </w:numPr>
        <w:tabs>
          <w:tab w:val="left" w:pos="1531"/>
        </w:tabs>
        <w:spacing w:before="93"/>
        <w:ind w:hanging="283"/>
        <w:rPr>
          <w:sz w:val="11"/>
          <w:szCs w:val="11"/>
        </w:rPr>
      </w:pPr>
      <w:r>
        <w:t>the potential for</w:t>
      </w:r>
      <w:r>
        <w:rPr>
          <w:spacing w:val="1"/>
        </w:rPr>
        <w:t xml:space="preserve"> </w:t>
      </w:r>
      <w:r>
        <w:rPr>
          <w:spacing w:val="-1"/>
        </w:rPr>
        <w:t>water</w:t>
      </w:r>
      <w:r>
        <w:t xml:space="preserve"> sales</w:t>
      </w:r>
      <w:r>
        <w:rPr>
          <w:spacing w:val="1"/>
        </w:rPr>
        <w:t xml:space="preserve"> </w:t>
      </w:r>
      <w:r>
        <w:t xml:space="preserve">and </w:t>
      </w:r>
      <w:r>
        <w:rPr>
          <w:spacing w:val="-1"/>
        </w:rPr>
        <w:t>expenditure</w:t>
      </w:r>
      <w:r>
        <w:rPr>
          <w:spacing w:val="1"/>
        </w:rPr>
        <w:t xml:space="preserve"> </w:t>
      </w:r>
      <w:r>
        <w:t xml:space="preserve">to </w:t>
      </w:r>
      <w:r>
        <w:rPr>
          <w:spacing w:val="-1"/>
        </w:rPr>
        <w:t>deviate</w:t>
      </w:r>
      <w:r>
        <w:rPr>
          <w:spacing w:val="1"/>
        </w:rPr>
        <w:t xml:space="preserve"> </w:t>
      </w:r>
      <w:r>
        <w:rPr>
          <w:spacing w:val="-1"/>
        </w:rPr>
        <w:t>from</w:t>
      </w:r>
      <w:r>
        <w:t xml:space="preserve"> </w:t>
      </w:r>
      <w:r>
        <w:rPr>
          <w:spacing w:val="-1"/>
        </w:rPr>
        <w:t>forecasts</w:t>
      </w:r>
      <w:r>
        <w:rPr>
          <w:spacing w:val="1"/>
        </w:rPr>
        <w:t xml:space="preserve"> </w:t>
      </w:r>
      <w:r>
        <w:t xml:space="preserve">in this </w:t>
      </w:r>
      <w:r>
        <w:rPr>
          <w:spacing w:val="-1"/>
        </w:rPr>
        <w:t>regulatory</w:t>
      </w:r>
      <w:r>
        <w:rPr>
          <w:spacing w:val="1"/>
        </w:rPr>
        <w:t xml:space="preserve"> </w:t>
      </w:r>
      <w:r>
        <w:t>period.</w:t>
      </w:r>
      <w:r>
        <w:rPr>
          <w:position w:val="7"/>
          <w:sz w:val="11"/>
        </w:rPr>
        <w:t>42</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rPr>
          <w:rFonts w:cs="Avenir Next"/>
        </w:rPr>
      </w:pPr>
      <w:r>
        <w:rPr>
          <w:spacing w:val="-2"/>
        </w:rPr>
        <w:t>The</w:t>
      </w:r>
      <w:r>
        <w:t xml:space="preserve"> </w:t>
      </w:r>
      <w:r>
        <w:rPr>
          <w:spacing w:val="-1"/>
        </w:rPr>
        <w:t>regulatory</w:t>
      </w:r>
      <w:r>
        <w:t xml:space="preserve"> </w:t>
      </w:r>
      <w:r>
        <w:rPr>
          <w:spacing w:val="-1"/>
        </w:rPr>
        <w:t>framework</w:t>
      </w:r>
      <w:r>
        <w:t xml:space="preserve"> was placed under a </w:t>
      </w:r>
      <w:r>
        <w:rPr>
          <w:spacing w:val="-1"/>
        </w:rPr>
        <w:t>considerable</w:t>
      </w:r>
      <w:r>
        <w:t xml:space="preserve"> </w:t>
      </w:r>
      <w:r>
        <w:rPr>
          <w:spacing w:val="-1"/>
        </w:rPr>
        <w:t>degree</w:t>
      </w:r>
      <w:r>
        <w:t xml:space="preserve"> of</w:t>
      </w:r>
      <w:r>
        <w:rPr>
          <w:spacing w:val="4"/>
        </w:rPr>
        <w:t xml:space="preserve"> </w:t>
      </w:r>
      <w:r>
        <w:rPr>
          <w:spacing w:val="-1"/>
        </w:rPr>
        <w:t>strain</w:t>
      </w:r>
      <w:r>
        <w:t xml:space="preserve"> in the </w:t>
      </w:r>
      <w:r>
        <w:rPr>
          <w:spacing w:val="-1"/>
        </w:rPr>
        <w:t>previous</w:t>
      </w:r>
      <w:r>
        <w:t xml:space="preserve"> </w:t>
      </w:r>
      <w:r>
        <w:rPr>
          <w:spacing w:val="-1"/>
        </w:rPr>
        <w:t>regulatory</w:t>
      </w:r>
      <w:r>
        <w:rPr>
          <w:spacing w:val="67"/>
        </w:rPr>
        <w:t xml:space="preserve"> </w:t>
      </w:r>
      <w:r>
        <w:t>period.</w:t>
      </w:r>
      <w:r>
        <w:rPr>
          <w:spacing w:val="-6"/>
        </w:rPr>
        <w:t xml:space="preserve"> </w:t>
      </w:r>
      <w:r>
        <w:rPr>
          <w:spacing w:val="-2"/>
        </w:rPr>
        <w:t>However,</w:t>
      </w:r>
      <w:r>
        <w:rPr>
          <w:spacing w:val="-6"/>
        </w:rPr>
        <w:t xml:space="preserve"> </w:t>
      </w:r>
      <w:hyperlink w:anchor="_bookmark31" w:history="1">
        <w:r>
          <w:t>as section 6.2.2</w:t>
        </w:r>
      </w:hyperlink>
      <w:r>
        <w:t xml:space="preserve"> discussed,</w:t>
      </w:r>
      <w:r>
        <w:rPr>
          <w:spacing w:val="-6"/>
        </w:rPr>
        <w:t xml:space="preserve"> </w:t>
      </w:r>
      <w:r>
        <w:t xml:space="preserve">since the </w:t>
      </w:r>
      <w:r>
        <w:rPr>
          <w:spacing w:val="-1"/>
        </w:rPr>
        <w:t>water</w:t>
      </w:r>
      <w:r>
        <w:t xml:space="preserve"> security </w:t>
      </w:r>
      <w:r>
        <w:rPr>
          <w:spacing w:val="-1"/>
        </w:rPr>
        <w:t>projects</w:t>
      </w:r>
      <w:r>
        <w:t xml:space="preserve"> </w:t>
      </w:r>
      <w:r>
        <w:rPr>
          <w:spacing w:val="-1"/>
        </w:rPr>
        <w:t>were</w:t>
      </w:r>
      <w:r>
        <w:t xml:space="preserve"> completed,</w:t>
      </w:r>
    </w:p>
    <w:p w:rsidR="00D96B91" w:rsidRDefault="00C2656B">
      <w:pPr>
        <w:pStyle w:val="BodyText"/>
        <w:spacing w:line="260" w:lineRule="exact"/>
        <w:ind w:right="1283"/>
        <w:rPr>
          <w:rFonts w:cs="Avenir Next"/>
        </w:rPr>
      </w:pPr>
      <w:r>
        <w:t xml:space="preserve">the </w:t>
      </w:r>
      <w:r>
        <w:rPr>
          <w:spacing w:val="-1"/>
        </w:rPr>
        <w:t>degree</w:t>
      </w:r>
      <w:r>
        <w:t xml:space="preserve"> of</w:t>
      </w:r>
      <w:r>
        <w:rPr>
          <w:spacing w:val="4"/>
        </w:rPr>
        <w:t xml:space="preserve"> </w:t>
      </w:r>
      <w:r>
        <w:t xml:space="preserve">risk and </w:t>
      </w:r>
      <w:r>
        <w:rPr>
          <w:spacing w:val="-1"/>
        </w:rPr>
        <w:t>uncertainty</w:t>
      </w:r>
      <w:r>
        <w:t xml:space="preserve"> facing</w:t>
      </w:r>
      <w:r>
        <w:rPr>
          <w:spacing w:val="-4"/>
        </w:rPr>
        <w:t xml:space="preserve"> </w:t>
      </w:r>
      <w:r>
        <w:rPr>
          <w:spacing w:val="-2"/>
        </w:rPr>
        <w:t>ACTEW</w:t>
      </w:r>
      <w:r>
        <w:rPr>
          <w:spacing w:val="-3"/>
        </w:rPr>
        <w:t xml:space="preserve"> </w:t>
      </w:r>
      <w:r>
        <w:t xml:space="preserve">and its customers has fallen and the </w:t>
      </w:r>
      <w:r>
        <w:rPr>
          <w:spacing w:val="-3"/>
        </w:rPr>
        <w:t>Panel</w:t>
      </w:r>
      <w:r>
        <w:t xml:space="preserve"> is not</w:t>
      </w:r>
      <w:r>
        <w:rPr>
          <w:spacing w:val="33"/>
        </w:rPr>
        <w:t xml:space="preserve"> </w:t>
      </w:r>
      <w:r>
        <w:t>convinced</w:t>
      </w:r>
      <w:r>
        <w:rPr>
          <w:spacing w:val="-1"/>
        </w:rPr>
        <w:t xml:space="preserve"> that</w:t>
      </w:r>
      <w:r>
        <w:t xml:space="preserve"> the </w:t>
      </w:r>
      <w:r>
        <w:rPr>
          <w:spacing w:val="-1"/>
        </w:rPr>
        <w:t xml:space="preserve">risks </w:t>
      </w:r>
      <w:r>
        <w:rPr>
          <w:spacing w:val="-2"/>
        </w:rPr>
        <w:t>are</w:t>
      </w:r>
      <w:r>
        <w:t xml:space="preserve"> </w:t>
      </w:r>
      <w:r>
        <w:rPr>
          <w:spacing w:val="-1"/>
        </w:rPr>
        <w:t>sufficient</w:t>
      </w:r>
      <w:r>
        <w:t xml:space="preserve"> to</w:t>
      </w:r>
      <w:r>
        <w:rPr>
          <w:spacing w:val="-1"/>
        </w:rPr>
        <w:t xml:space="preserve"> </w:t>
      </w:r>
      <w:r>
        <w:rPr>
          <w:spacing w:val="-2"/>
        </w:rPr>
        <w:t>require</w:t>
      </w:r>
      <w:r>
        <w:t xml:space="preserve"> the biennial</w:t>
      </w:r>
      <w:r>
        <w:rPr>
          <w:spacing w:val="-1"/>
        </w:rPr>
        <w:t xml:space="preserve"> recalibration</w:t>
      </w:r>
      <w:r>
        <w:t xml:space="preserve"> </w:t>
      </w:r>
      <w:r>
        <w:rPr>
          <w:spacing w:val="-1"/>
        </w:rPr>
        <w:t>process.</w:t>
      </w:r>
      <w:r>
        <w:rPr>
          <w:spacing w:val="-11"/>
        </w:rPr>
        <w:t xml:space="preserve"> </w:t>
      </w:r>
      <w:r>
        <w:rPr>
          <w:spacing w:val="-2"/>
        </w:rPr>
        <w:t>That</w:t>
      </w:r>
      <w:r>
        <w:rPr>
          <w:spacing w:val="-1"/>
        </w:rPr>
        <w:t xml:space="preserve"> </w:t>
      </w:r>
      <w:r>
        <w:t>is not to</w:t>
      </w:r>
      <w:r>
        <w:rPr>
          <w:spacing w:val="-1"/>
        </w:rPr>
        <w:t xml:space="preserve"> </w:t>
      </w:r>
      <w:r>
        <w:t xml:space="preserve">say </w:t>
      </w:r>
      <w:r>
        <w:rPr>
          <w:spacing w:val="-1"/>
        </w:rPr>
        <w:t>that</w:t>
      </w:r>
      <w:r>
        <w:rPr>
          <w:spacing w:val="63"/>
        </w:rPr>
        <w:t xml:space="preserve"> </w:t>
      </w:r>
      <w:r>
        <w:rPr>
          <w:spacing w:val="-1"/>
        </w:rPr>
        <w:t>there</w:t>
      </w:r>
      <w:r>
        <w:t xml:space="preserve"> is not a risk </w:t>
      </w:r>
      <w:r>
        <w:rPr>
          <w:spacing w:val="-1"/>
        </w:rPr>
        <w:t>that</w:t>
      </w:r>
      <w:r>
        <w:t xml:space="preserve"> actual </w:t>
      </w:r>
      <w:r>
        <w:rPr>
          <w:spacing w:val="-1"/>
        </w:rPr>
        <w:t>expenditure</w:t>
      </w:r>
      <w:r>
        <w:t xml:space="preserve"> or demand will </w:t>
      </w:r>
      <w:r>
        <w:rPr>
          <w:spacing w:val="-1"/>
        </w:rPr>
        <w:t>deviate</w:t>
      </w:r>
      <w:r>
        <w:t xml:space="preserve"> </w:t>
      </w:r>
      <w:r>
        <w:rPr>
          <w:spacing w:val="-1"/>
        </w:rPr>
        <w:t>from</w:t>
      </w:r>
      <w:r>
        <w:t xml:space="preserve"> the </w:t>
      </w:r>
      <w:r>
        <w:rPr>
          <w:spacing w:val="-1"/>
        </w:rPr>
        <w:t>forecasts</w:t>
      </w:r>
      <w:r>
        <w:t xml:space="preserve"> used to develop</w:t>
      </w:r>
      <w:r>
        <w:rPr>
          <w:spacing w:val="33"/>
        </w:rPr>
        <w:t xml:space="preserve"> </w:t>
      </w:r>
      <w:r>
        <w:t xml:space="preserve">prices over the </w:t>
      </w:r>
      <w:r>
        <w:rPr>
          <w:spacing w:val="-1"/>
        </w:rPr>
        <w:t>regulatory</w:t>
      </w:r>
      <w:r>
        <w:t xml:space="preserve"> period because,</w:t>
      </w:r>
      <w:r>
        <w:rPr>
          <w:spacing w:val="-7"/>
        </w:rPr>
        <w:t xml:space="preserve"> </w:t>
      </w:r>
      <w:r>
        <w:t xml:space="preserve">as with any </w:t>
      </w:r>
      <w:r>
        <w:rPr>
          <w:i/>
          <w:spacing w:val="-1"/>
        </w:rPr>
        <w:t>ex</w:t>
      </w:r>
      <w:r>
        <w:rPr>
          <w:i/>
        </w:rPr>
        <w:t xml:space="preserve"> ante </w:t>
      </w:r>
      <w:r>
        <w:t xml:space="preserve">price </w:t>
      </w:r>
      <w:r>
        <w:rPr>
          <w:spacing w:val="-1"/>
        </w:rPr>
        <w:t>setting</w:t>
      </w:r>
      <w:r>
        <w:t xml:space="preserve"> </w:t>
      </w:r>
      <w:r>
        <w:rPr>
          <w:spacing w:val="-1"/>
        </w:rPr>
        <w:t>process,</w:t>
      </w:r>
      <w:r>
        <w:rPr>
          <w:spacing w:val="-6"/>
        </w:rPr>
        <w:t xml:space="preserve"> </w:t>
      </w:r>
      <w:r>
        <w:t>this will always</w:t>
      </w:r>
    </w:p>
    <w:p w:rsidR="00D96B91" w:rsidRDefault="00C2656B">
      <w:pPr>
        <w:pStyle w:val="BodyText"/>
        <w:spacing w:line="260" w:lineRule="exact"/>
        <w:ind w:right="1313"/>
      </w:pPr>
      <w:r>
        <w:t>be a risk.</w:t>
      </w:r>
      <w:r>
        <w:rPr>
          <w:spacing w:val="-6"/>
        </w:rPr>
        <w:t xml:space="preserve"> </w:t>
      </w:r>
      <w:r>
        <w:rPr>
          <w:spacing w:val="-2"/>
        </w:rPr>
        <w:t>However,</w:t>
      </w:r>
      <w:r>
        <w:rPr>
          <w:spacing w:val="-6"/>
        </w:rPr>
        <w:t xml:space="preserve"> </w:t>
      </w:r>
      <w:r>
        <w:t xml:space="preserve">in the </w:t>
      </w:r>
      <w:r>
        <w:rPr>
          <w:spacing w:val="-4"/>
        </w:rPr>
        <w:t>Panel’s</w:t>
      </w:r>
      <w:r>
        <w:t xml:space="preserve"> </w:t>
      </w:r>
      <w:r>
        <w:rPr>
          <w:spacing w:val="-2"/>
        </w:rPr>
        <w:t>view,</w:t>
      </w:r>
      <w:r>
        <w:rPr>
          <w:spacing w:val="-6"/>
        </w:rPr>
        <w:t xml:space="preserve"> </w:t>
      </w:r>
      <w:r>
        <w:t xml:space="preserve">this risk can be </w:t>
      </w:r>
      <w:r>
        <w:rPr>
          <w:spacing w:val="-1"/>
        </w:rPr>
        <w:t>dealt</w:t>
      </w:r>
      <w:r>
        <w:t xml:space="preserve"> with </w:t>
      </w:r>
      <w:r>
        <w:rPr>
          <w:spacing w:val="-1"/>
        </w:rPr>
        <w:t>more</w:t>
      </w:r>
      <w:r>
        <w:t xml:space="preserve"> </w:t>
      </w:r>
      <w:r>
        <w:rPr>
          <w:spacing w:val="-1"/>
        </w:rPr>
        <w:t>effectively</w:t>
      </w:r>
      <w:r>
        <w:t xml:space="preserve"> and </w:t>
      </w:r>
      <w:r>
        <w:rPr>
          <w:spacing w:val="-1"/>
        </w:rPr>
        <w:t>proportionately</w:t>
      </w:r>
      <w:r>
        <w:rPr>
          <w:spacing w:val="61"/>
        </w:rPr>
        <w:t xml:space="preserve"> </w:t>
      </w:r>
      <w:r>
        <w:rPr>
          <w:rFonts w:cs="Avenir Next"/>
          <w:spacing w:val="-1"/>
        </w:rPr>
        <w:t>through</w:t>
      </w:r>
      <w:r>
        <w:rPr>
          <w:rFonts w:cs="Avenir Next"/>
        </w:rPr>
        <w:t xml:space="preserve"> the form of</w:t>
      </w:r>
      <w:r>
        <w:rPr>
          <w:rFonts w:cs="Avenir Next"/>
          <w:spacing w:val="4"/>
        </w:rPr>
        <w:t xml:space="preserve"> </w:t>
      </w:r>
      <w:r>
        <w:rPr>
          <w:rFonts w:cs="Avenir Next"/>
          <w:spacing w:val="-1"/>
        </w:rPr>
        <w:t>control</w:t>
      </w:r>
      <w:r>
        <w:rPr>
          <w:rFonts w:cs="Avenir Next"/>
        </w:rPr>
        <w:t xml:space="preserve"> and other risk management tools (discussed in section </w:t>
      </w:r>
      <w:r>
        <w:t xml:space="preserve">6.5 </w:t>
      </w:r>
      <w:r>
        <w:rPr>
          <w:rFonts w:cs="Avenir Next"/>
        </w:rPr>
        <w:t xml:space="preserve">and </w:t>
      </w:r>
      <w:r>
        <w:t>6.6).</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101"/>
        </w:numPr>
        <w:tabs>
          <w:tab w:val="left" w:pos="2212"/>
        </w:tabs>
        <w:rPr>
          <w:rFonts w:cs="Avenir Next"/>
          <w:b w:val="0"/>
          <w:bCs w:val="0"/>
        </w:rPr>
      </w:pPr>
      <w:r>
        <w:rPr>
          <w:color w:val="0778BE"/>
        </w:rPr>
        <w:t>Do the benefits of</w:t>
      </w:r>
      <w:r>
        <w:rPr>
          <w:color w:val="0778BE"/>
          <w:spacing w:val="5"/>
        </w:rPr>
        <w:t xml:space="preserve"> </w:t>
      </w:r>
      <w:r>
        <w:rPr>
          <w:color w:val="0778BE"/>
        </w:rPr>
        <w:t xml:space="preserve">biennial </w:t>
      </w:r>
      <w:r>
        <w:rPr>
          <w:color w:val="0778BE"/>
          <w:spacing w:val="-1"/>
        </w:rPr>
        <w:t>recalibrations</w:t>
      </w:r>
      <w:r>
        <w:rPr>
          <w:color w:val="0778BE"/>
        </w:rPr>
        <w:t xml:space="preserve"> outweigh the costs?</w:t>
      </w:r>
    </w:p>
    <w:p w:rsidR="00D96B91" w:rsidRDefault="00C2656B">
      <w:pPr>
        <w:pStyle w:val="BodyText"/>
        <w:spacing w:before="28" w:line="260" w:lineRule="exact"/>
        <w:ind w:right="1283"/>
      </w:pPr>
      <w:r>
        <w:rPr>
          <w:spacing w:val="-2"/>
        </w:rPr>
        <w:t>The</w:t>
      </w:r>
      <w:r>
        <w:rPr>
          <w:spacing w:val="-1"/>
        </w:rPr>
        <w:t xml:space="preserve"> </w:t>
      </w:r>
      <w:r>
        <w:rPr>
          <w:spacing w:val="-3"/>
        </w:rPr>
        <w:t>Panel</w:t>
      </w:r>
      <w:r>
        <w:t xml:space="preserve"> notes</w:t>
      </w:r>
      <w:r>
        <w:rPr>
          <w:spacing w:val="-1"/>
        </w:rPr>
        <w:t xml:space="preserve"> </w:t>
      </w:r>
      <w:r>
        <w:t xml:space="preserve">the </w:t>
      </w:r>
      <w:r>
        <w:rPr>
          <w:spacing w:val="-2"/>
        </w:rPr>
        <w:t>ICRC’s</w:t>
      </w:r>
      <w:r>
        <w:rPr>
          <w:spacing w:val="-1"/>
        </w:rPr>
        <w:t xml:space="preserve"> </w:t>
      </w:r>
      <w:r>
        <w:t xml:space="preserve">view </w:t>
      </w:r>
      <w:r>
        <w:rPr>
          <w:spacing w:val="-1"/>
        </w:rPr>
        <w:t xml:space="preserve">that </w:t>
      </w:r>
      <w:r>
        <w:t>the benefits</w:t>
      </w:r>
      <w:r>
        <w:rPr>
          <w:spacing w:val="-1"/>
        </w:rPr>
        <w:t xml:space="preserve"> </w:t>
      </w:r>
      <w:r>
        <w:t>of</w:t>
      </w:r>
      <w:r>
        <w:rPr>
          <w:spacing w:val="4"/>
        </w:rPr>
        <w:t xml:space="preserve"> </w:t>
      </w:r>
      <w:r>
        <w:t>the</w:t>
      </w:r>
      <w:r>
        <w:rPr>
          <w:spacing w:val="-1"/>
        </w:rPr>
        <w:t xml:space="preserve"> </w:t>
      </w:r>
      <w:r>
        <w:t xml:space="preserve">biennial </w:t>
      </w:r>
      <w:r>
        <w:rPr>
          <w:spacing w:val="-1"/>
        </w:rPr>
        <w:t>recalibration</w:t>
      </w:r>
      <w:r>
        <w:t xml:space="preserve"> </w:t>
      </w:r>
      <w:r>
        <w:rPr>
          <w:spacing w:val="-1"/>
        </w:rPr>
        <w:t xml:space="preserve">process </w:t>
      </w:r>
      <w:r>
        <w:t>(such as</w:t>
      </w:r>
      <w:r>
        <w:rPr>
          <w:spacing w:val="-1"/>
        </w:rPr>
        <w:t xml:space="preserve"> </w:t>
      </w:r>
      <w:r>
        <w:t>enabling</w:t>
      </w:r>
      <w:r>
        <w:rPr>
          <w:spacing w:val="33"/>
        </w:rPr>
        <w:t xml:space="preserve"> </w:t>
      </w:r>
      <w:r>
        <w:t xml:space="preserve">it to </w:t>
      </w:r>
      <w:r>
        <w:rPr>
          <w:spacing w:val="-1"/>
        </w:rPr>
        <w:t>respond</w:t>
      </w:r>
      <w:r>
        <w:t xml:space="preserve"> </w:t>
      </w:r>
      <w:r>
        <w:rPr>
          <w:spacing w:val="-1"/>
        </w:rPr>
        <w:t>more</w:t>
      </w:r>
      <w:r>
        <w:t xml:space="preserve"> </w:t>
      </w:r>
      <w:r>
        <w:rPr>
          <w:spacing w:val="-1"/>
        </w:rPr>
        <w:t>rapidly</w:t>
      </w:r>
      <w:r>
        <w:t xml:space="preserve"> to changing conditions and </w:t>
      </w:r>
      <w:r>
        <w:rPr>
          <w:spacing w:val="-1"/>
        </w:rPr>
        <w:t>improving</w:t>
      </w:r>
      <w:r>
        <w:t xml:space="preserve"> the </w:t>
      </w:r>
      <w:r>
        <w:rPr>
          <w:spacing w:val="-2"/>
        </w:rPr>
        <w:t>ICRC’s</w:t>
      </w:r>
      <w:r>
        <w:t xml:space="preserve"> decision making ability)</w:t>
      </w:r>
      <w:r>
        <w:rPr>
          <w:spacing w:val="29"/>
        </w:rPr>
        <w:t xml:space="preserve"> </w:t>
      </w:r>
      <w:r>
        <w:t>outweigh</w:t>
      </w:r>
      <w:r>
        <w:rPr>
          <w:spacing w:val="-1"/>
        </w:rPr>
        <w:t xml:space="preserve"> </w:t>
      </w:r>
      <w:r>
        <w:t>the costs.</w:t>
      </w:r>
      <w:r>
        <w:rPr>
          <w:spacing w:val="-8"/>
        </w:rPr>
        <w:t xml:space="preserve"> </w:t>
      </w:r>
      <w:r>
        <w:rPr>
          <w:spacing w:val="-2"/>
        </w:rPr>
        <w:t>However,</w:t>
      </w:r>
      <w:r>
        <w:rPr>
          <w:spacing w:val="-6"/>
        </w:rPr>
        <w:t xml:space="preserve"> </w:t>
      </w:r>
      <w:r>
        <w:t>given the</w:t>
      </w:r>
      <w:r>
        <w:rPr>
          <w:spacing w:val="-1"/>
        </w:rPr>
        <w:t xml:space="preserve"> </w:t>
      </w:r>
      <w:r>
        <w:rPr>
          <w:spacing w:val="-4"/>
        </w:rPr>
        <w:t>Panel’s</w:t>
      </w:r>
      <w:r>
        <w:t xml:space="preserve"> finding</w:t>
      </w:r>
      <w:r>
        <w:rPr>
          <w:spacing w:val="-1"/>
        </w:rPr>
        <w:t xml:space="preserve"> that</w:t>
      </w:r>
      <w:r>
        <w:t xml:space="preserve"> the </w:t>
      </w:r>
      <w:r>
        <w:rPr>
          <w:spacing w:val="-1"/>
        </w:rPr>
        <w:t xml:space="preserve">degree </w:t>
      </w:r>
      <w:r>
        <w:t>of</w:t>
      </w:r>
      <w:r>
        <w:rPr>
          <w:spacing w:val="4"/>
        </w:rPr>
        <w:t xml:space="preserve"> </w:t>
      </w:r>
      <w:r>
        <w:t>risk</w:t>
      </w:r>
      <w:r>
        <w:rPr>
          <w:spacing w:val="-1"/>
        </w:rPr>
        <w:t xml:space="preserve"> </w:t>
      </w:r>
      <w:r>
        <w:t xml:space="preserve">and </w:t>
      </w:r>
      <w:r>
        <w:rPr>
          <w:spacing w:val="-1"/>
        </w:rPr>
        <w:t xml:space="preserve">uncertainty </w:t>
      </w:r>
      <w:r>
        <w:t>in this</w:t>
      </w:r>
      <w:r>
        <w:rPr>
          <w:spacing w:val="49"/>
        </w:rPr>
        <w:t xml:space="preserve"> </w:t>
      </w:r>
      <w:r>
        <w:rPr>
          <w:rFonts w:cs="Avenir Next"/>
          <w:spacing w:val="-1"/>
        </w:rPr>
        <w:t>regulatory</w:t>
      </w:r>
      <w:r>
        <w:rPr>
          <w:rFonts w:cs="Avenir Next"/>
        </w:rPr>
        <w:t xml:space="preserve"> period is </w:t>
      </w:r>
      <w:r>
        <w:rPr>
          <w:rFonts w:cs="Avenir Next"/>
          <w:spacing w:val="-1"/>
        </w:rPr>
        <w:t>likely</w:t>
      </w:r>
      <w:r>
        <w:rPr>
          <w:rFonts w:cs="Avenir Next"/>
        </w:rPr>
        <w:t xml:space="preserve"> to be substantially lower than in the </w:t>
      </w:r>
      <w:r>
        <w:rPr>
          <w:rFonts w:cs="Avenir Next"/>
          <w:spacing w:val="-1"/>
        </w:rPr>
        <w:t>previous</w:t>
      </w:r>
      <w:r>
        <w:rPr>
          <w:rFonts w:cs="Avenir Next"/>
        </w:rPr>
        <w:t xml:space="preserve"> </w:t>
      </w:r>
      <w:r>
        <w:rPr>
          <w:rFonts w:cs="Avenir Next"/>
          <w:spacing w:val="-1"/>
        </w:rPr>
        <w:t>regulatory</w:t>
      </w:r>
      <w:r>
        <w:rPr>
          <w:rFonts w:cs="Avenir Next"/>
        </w:rPr>
        <w:t xml:space="preserve"> period (discussed</w:t>
      </w:r>
      <w:r>
        <w:rPr>
          <w:rFonts w:cs="Avenir Next"/>
          <w:spacing w:val="29"/>
        </w:rPr>
        <w:t xml:space="preserve"> </w:t>
      </w:r>
      <w:r>
        <w:t>above),</w:t>
      </w:r>
      <w:r>
        <w:rPr>
          <w:spacing w:val="-7"/>
        </w:rPr>
        <w:t xml:space="preserve"> </w:t>
      </w:r>
      <w:r>
        <w:t>it considers</w:t>
      </w:r>
      <w:r>
        <w:rPr>
          <w:spacing w:val="-1"/>
        </w:rPr>
        <w:t xml:space="preserve"> </w:t>
      </w:r>
      <w:r>
        <w:t>these benefits</w:t>
      </w:r>
      <w:r>
        <w:rPr>
          <w:spacing w:val="-1"/>
        </w:rPr>
        <w:t xml:space="preserve"> </w:t>
      </w:r>
      <w:r>
        <w:rPr>
          <w:spacing w:val="-2"/>
        </w:rPr>
        <w:t>are</w:t>
      </w:r>
      <w:r>
        <w:t xml:space="preserve"> </w:t>
      </w:r>
      <w:r>
        <w:rPr>
          <w:spacing w:val="-1"/>
        </w:rPr>
        <w:t xml:space="preserve">likely </w:t>
      </w:r>
      <w:r>
        <w:t xml:space="preserve">to be </w:t>
      </w:r>
      <w:r>
        <w:rPr>
          <w:spacing w:val="-1"/>
        </w:rPr>
        <w:t xml:space="preserve">relatively </w:t>
      </w:r>
      <w:r>
        <w:rPr>
          <w:spacing w:val="-2"/>
        </w:rPr>
        <w:t>low.</w:t>
      </w:r>
      <w:r>
        <w:rPr>
          <w:spacing w:val="-6"/>
        </w:rPr>
        <w:t xml:space="preserve"> </w:t>
      </w:r>
      <w:r>
        <w:rPr>
          <w:spacing w:val="-3"/>
        </w:rPr>
        <w:t>Further,</w:t>
      </w:r>
      <w:r>
        <w:rPr>
          <w:spacing w:val="-7"/>
        </w:rPr>
        <w:t xml:space="preserve"> </w:t>
      </w:r>
      <w:r>
        <w:t xml:space="preserve">the </w:t>
      </w:r>
      <w:r>
        <w:rPr>
          <w:spacing w:val="-3"/>
        </w:rPr>
        <w:t>Panel</w:t>
      </w:r>
      <w:r>
        <w:t xml:space="preserve"> is</w:t>
      </w:r>
      <w:r>
        <w:rPr>
          <w:spacing w:val="-1"/>
        </w:rPr>
        <w:t xml:space="preserve"> </w:t>
      </w:r>
      <w:r>
        <w:t>not convinced</w:t>
      </w:r>
      <w:r>
        <w:rPr>
          <w:spacing w:val="-1"/>
        </w:rPr>
        <w:t xml:space="preserve"> that</w:t>
      </w:r>
      <w:r>
        <w:rPr>
          <w:spacing w:val="31"/>
        </w:rPr>
        <w:t xml:space="preserve"> </w:t>
      </w:r>
      <w:r>
        <w:t>these</w:t>
      </w:r>
      <w:r>
        <w:rPr>
          <w:spacing w:val="-1"/>
        </w:rPr>
        <w:t xml:space="preserve"> </w:t>
      </w:r>
      <w:r>
        <w:t>benefits</w:t>
      </w:r>
      <w:r>
        <w:rPr>
          <w:spacing w:val="-1"/>
        </w:rPr>
        <w:t xml:space="preserve"> </w:t>
      </w:r>
      <w:r>
        <w:t>outweigh the</w:t>
      </w:r>
      <w:r>
        <w:rPr>
          <w:spacing w:val="-1"/>
        </w:rPr>
        <w:t xml:space="preserve"> </w:t>
      </w:r>
      <w:r>
        <w:t xml:space="preserve">adverse </w:t>
      </w:r>
      <w:r>
        <w:rPr>
          <w:spacing w:val="-1"/>
        </w:rPr>
        <w:t xml:space="preserve">effects </w:t>
      </w:r>
      <w:r>
        <w:t xml:space="preserve">the </w:t>
      </w:r>
      <w:r>
        <w:rPr>
          <w:spacing w:val="-1"/>
        </w:rPr>
        <w:t xml:space="preserve">recalibration process </w:t>
      </w:r>
      <w:r>
        <w:t xml:space="preserve">is </w:t>
      </w:r>
      <w:r>
        <w:rPr>
          <w:spacing w:val="-1"/>
        </w:rPr>
        <w:t xml:space="preserve">likely </w:t>
      </w:r>
      <w:r>
        <w:t>to have</w:t>
      </w:r>
      <w:r>
        <w:rPr>
          <w:spacing w:val="-1"/>
        </w:rPr>
        <w:t xml:space="preserve"> </w:t>
      </w:r>
      <w:r>
        <w:t>on:</w:t>
      </w:r>
    </w:p>
    <w:p w:rsidR="00D96B91" w:rsidRDefault="00C2656B">
      <w:pPr>
        <w:pStyle w:val="BodyText"/>
        <w:numPr>
          <w:ilvl w:val="0"/>
          <w:numId w:val="131"/>
        </w:numPr>
        <w:tabs>
          <w:tab w:val="left" w:pos="1531"/>
        </w:tabs>
        <w:spacing w:before="170" w:line="260" w:lineRule="exact"/>
        <w:ind w:right="1705" w:hanging="283"/>
      </w:pPr>
      <w:r>
        <w:rPr>
          <w:rFonts w:cs="Avenir Next"/>
          <w:b/>
          <w:bCs/>
          <w:spacing w:val="-2"/>
        </w:rPr>
        <w:t>Price</w:t>
      </w:r>
      <w:r>
        <w:rPr>
          <w:rFonts w:cs="Avenir Next"/>
          <w:b/>
          <w:bCs/>
        </w:rPr>
        <w:t xml:space="preserve"> stability and </w:t>
      </w:r>
      <w:r>
        <w:rPr>
          <w:rFonts w:cs="Avenir Next"/>
          <w:b/>
          <w:bCs/>
          <w:spacing w:val="-1"/>
        </w:rPr>
        <w:t>predictability.</w:t>
      </w:r>
      <w:r>
        <w:rPr>
          <w:rFonts w:cs="Avenir Next"/>
          <w:b/>
          <w:bCs/>
        </w:rPr>
        <w:t xml:space="preserve"> </w:t>
      </w:r>
      <w:r>
        <w:rPr>
          <w:rFonts w:cs="Avenir Next"/>
          <w:spacing w:val="-2"/>
        </w:rPr>
        <w:t>The</w:t>
      </w:r>
      <w:r>
        <w:rPr>
          <w:rFonts w:cs="Avenir Next"/>
        </w:rPr>
        <w:t xml:space="preserve"> </w:t>
      </w:r>
      <w:r>
        <w:rPr>
          <w:rFonts w:cs="Avenir Next"/>
          <w:spacing w:val="-3"/>
        </w:rPr>
        <w:t>Panel</w:t>
      </w:r>
      <w:r>
        <w:rPr>
          <w:rFonts w:cs="Avenir Next"/>
        </w:rPr>
        <w:t xml:space="preserve"> </w:t>
      </w:r>
      <w:r>
        <w:rPr>
          <w:rFonts w:cs="Avenir Next"/>
          <w:spacing w:val="-1"/>
        </w:rPr>
        <w:t>agrees</w:t>
      </w:r>
      <w:r>
        <w:rPr>
          <w:rFonts w:cs="Avenir Next"/>
        </w:rPr>
        <w:t xml:space="preserve"> with</w:t>
      </w:r>
      <w:r>
        <w:rPr>
          <w:rFonts w:cs="Avenir Next"/>
          <w:spacing w:val="-4"/>
        </w:rPr>
        <w:t xml:space="preserve"> </w:t>
      </w:r>
      <w:r>
        <w:rPr>
          <w:rFonts w:cs="Avenir Next"/>
          <w:spacing w:val="-2"/>
        </w:rPr>
        <w:t>ACTEW’s</w:t>
      </w:r>
      <w:r>
        <w:rPr>
          <w:rFonts w:cs="Avenir Next"/>
        </w:rPr>
        <w:t xml:space="preserve"> contention </w:t>
      </w:r>
      <w:r>
        <w:rPr>
          <w:rFonts w:cs="Avenir Next"/>
          <w:spacing w:val="-1"/>
        </w:rPr>
        <w:t>that</w:t>
      </w:r>
      <w:r>
        <w:rPr>
          <w:rFonts w:cs="Avenir Next"/>
        </w:rPr>
        <w:t xml:space="preserve"> the biennial</w:t>
      </w:r>
      <w:r>
        <w:rPr>
          <w:rFonts w:cs="Avenir Next"/>
          <w:spacing w:val="25"/>
        </w:rPr>
        <w:t xml:space="preserve"> </w:t>
      </w:r>
      <w:r>
        <w:rPr>
          <w:spacing w:val="-1"/>
        </w:rPr>
        <w:t>recalibrations</w:t>
      </w:r>
      <w:r>
        <w:t xml:space="preserve"> </w:t>
      </w:r>
      <w:r>
        <w:rPr>
          <w:spacing w:val="-1"/>
        </w:rPr>
        <w:t>effectively</w:t>
      </w:r>
      <w:r>
        <w:t xml:space="preserve"> </w:t>
      </w:r>
      <w:r>
        <w:rPr>
          <w:spacing w:val="-1"/>
        </w:rPr>
        <w:t>result</w:t>
      </w:r>
      <w:r>
        <w:t xml:space="preserve"> in a series of</w:t>
      </w:r>
      <w:r>
        <w:rPr>
          <w:spacing w:val="4"/>
        </w:rPr>
        <w:t xml:space="preserve"> </w:t>
      </w:r>
      <w:r>
        <w:rPr>
          <w:spacing w:val="-1"/>
        </w:rPr>
        <w:t>two-year</w:t>
      </w:r>
      <w:r>
        <w:t xml:space="preserve"> </w:t>
      </w:r>
      <w:r>
        <w:rPr>
          <w:spacing w:val="-1"/>
        </w:rPr>
        <w:t>regulatory</w:t>
      </w:r>
      <w:r>
        <w:t xml:space="preserve"> periods.</w:t>
      </w:r>
      <w:r>
        <w:rPr>
          <w:spacing w:val="-11"/>
        </w:rPr>
        <w:t xml:space="preserve"> </w:t>
      </w:r>
      <w:r>
        <w:rPr>
          <w:spacing w:val="-1"/>
        </w:rPr>
        <w:t>This</w:t>
      </w:r>
      <w:r>
        <w:t xml:space="preserve"> </w:t>
      </w:r>
      <w:r>
        <w:rPr>
          <w:spacing w:val="-1"/>
        </w:rPr>
        <w:t>provides</w:t>
      </w:r>
      <w:r>
        <w:t xml:space="preserve"> the ICRC</w:t>
      </w:r>
    </w:p>
    <w:p w:rsidR="00D96B91" w:rsidRDefault="00C2656B">
      <w:pPr>
        <w:pStyle w:val="BodyText"/>
        <w:spacing w:line="260" w:lineRule="exact"/>
        <w:ind w:left="1530" w:right="1258"/>
      </w:pPr>
      <w:r>
        <w:rPr>
          <w:rFonts w:cs="Avenir Next"/>
        </w:rPr>
        <w:t xml:space="preserve">with limited scope to smooth the </w:t>
      </w:r>
      <w:r>
        <w:rPr>
          <w:rFonts w:cs="Avenir Next"/>
          <w:spacing w:val="-1"/>
        </w:rPr>
        <w:t>effect</w:t>
      </w:r>
      <w:r>
        <w:rPr>
          <w:rFonts w:cs="Avenir Next"/>
        </w:rPr>
        <w:t xml:space="preserve"> on prices of</w:t>
      </w:r>
      <w:r>
        <w:rPr>
          <w:rFonts w:cs="Avenir Next"/>
          <w:spacing w:val="4"/>
        </w:rPr>
        <w:t xml:space="preserve"> </w:t>
      </w:r>
      <w:r>
        <w:rPr>
          <w:rFonts w:cs="Avenir Next"/>
        </w:rPr>
        <w:t>any changes in demand,</w:t>
      </w:r>
      <w:r>
        <w:rPr>
          <w:rFonts w:cs="Avenir Next"/>
          <w:spacing w:val="-6"/>
        </w:rPr>
        <w:t xml:space="preserve"> </w:t>
      </w:r>
      <w:r>
        <w:rPr>
          <w:rFonts w:cs="Avenir Next"/>
          <w:spacing w:val="-1"/>
        </w:rPr>
        <w:t>operating</w:t>
      </w:r>
      <w:r>
        <w:rPr>
          <w:rFonts w:cs="Avenir Next"/>
        </w:rPr>
        <w:t xml:space="preserve"> </w:t>
      </w:r>
      <w:r>
        <w:rPr>
          <w:rFonts w:cs="Avenir Next"/>
          <w:spacing w:val="-1"/>
        </w:rPr>
        <w:t>expenditure,</w:t>
      </w:r>
      <w:r>
        <w:rPr>
          <w:rFonts w:cs="Avenir Next"/>
          <w:spacing w:val="25"/>
        </w:rPr>
        <w:t xml:space="preserve"> </w:t>
      </w:r>
      <w:r>
        <w:t xml:space="preserve">capital </w:t>
      </w:r>
      <w:r>
        <w:rPr>
          <w:spacing w:val="-1"/>
        </w:rPr>
        <w:t>expenditure</w:t>
      </w:r>
      <w:r>
        <w:t xml:space="preserve"> and </w:t>
      </w:r>
      <w:r>
        <w:rPr>
          <w:spacing w:val="-2"/>
        </w:rPr>
        <w:t>rate</w:t>
      </w:r>
      <w:r>
        <w:t xml:space="preserve"> of</w:t>
      </w:r>
      <w:r>
        <w:rPr>
          <w:spacing w:val="4"/>
        </w:rPr>
        <w:t xml:space="preserve"> </w:t>
      </w:r>
      <w:r>
        <w:rPr>
          <w:spacing w:val="-1"/>
        </w:rPr>
        <w:t>return</w:t>
      </w:r>
      <w:r>
        <w:t xml:space="preserve"> in a </w:t>
      </w:r>
      <w:r>
        <w:rPr>
          <w:spacing w:val="-1"/>
        </w:rPr>
        <w:t>two-year</w:t>
      </w:r>
      <w:r>
        <w:t xml:space="preserve"> period.</w:t>
      </w:r>
      <w:r>
        <w:rPr>
          <w:spacing w:val="-10"/>
        </w:rPr>
        <w:t xml:space="preserve"> </w:t>
      </w:r>
      <w:r>
        <w:t xml:space="preserve">As a </w:t>
      </w:r>
      <w:r>
        <w:rPr>
          <w:spacing w:val="-1"/>
        </w:rPr>
        <w:t>result,</w:t>
      </w:r>
      <w:r>
        <w:rPr>
          <w:spacing w:val="-6"/>
        </w:rPr>
        <w:t xml:space="preserve"> </w:t>
      </w:r>
      <w:r>
        <w:t xml:space="preserve">prices </w:t>
      </w:r>
      <w:r>
        <w:rPr>
          <w:spacing w:val="-2"/>
        </w:rPr>
        <w:t>are</w:t>
      </w:r>
      <w:r>
        <w:t xml:space="preserve"> </w:t>
      </w:r>
      <w:r>
        <w:rPr>
          <w:spacing w:val="-1"/>
        </w:rPr>
        <w:t>likely</w:t>
      </w:r>
      <w:r>
        <w:t xml:space="preserve"> to be </w:t>
      </w:r>
      <w:r>
        <w:rPr>
          <w:spacing w:val="-1"/>
        </w:rPr>
        <w:t>more</w:t>
      </w:r>
      <w:r>
        <w:rPr>
          <w:spacing w:val="47"/>
        </w:rPr>
        <w:t xml:space="preserve"> </w:t>
      </w:r>
      <w:r>
        <w:rPr>
          <w:rFonts w:cs="Avenir Next"/>
        </w:rPr>
        <w:t>variable than they would if</w:t>
      </w:r>
      <w:r>
        <w:rPr>
          <w:rFonts w:cs="Avenir Next"/>
          <w:spacing w:val="4"/>
        </w:rPr>
        <w:t xml:space="preserve"> </w:t>
      </w:r>
      <w:r>
        <w:rPr>
          <w:rFonts w:cs="Avenir Next"/>
        </w:rPr>
        <w:t xml:space="preserve">a </w:t>
      </w:r>
      <w:r>
        <w:rPr>
          <w:rFonts w:cs="Avenir Next"/>
          <w:spacing w:val="-1"/>
        </w:rPr>
        <w:t>recalibration</w:t>
      </w:r>
      <w:r>
        <w:rPr>
          <w:rFonts w:cs="Avenir Next"/>
        </w:rPr>
        <w:t xml:space="preserve"> </w:t>
      </w:r>
      <w:r>
        <w:rPr>
          <w:rFonts w:cs="Avenir Next"/>
          <w:spacing w:val="-1"/>
        </w:rPr>
        <w:t>process</w:t>
      </w:r>
      <w:r>
        <w:rPr>
          <w:rFonts w:cs="Avenir Next"/>
        </w:rPr>
        <w:t xml:space="preserve"> was not used,</w:t>
      </w:r>
      <w:r>
        <w:rPr>
          <w:rFonts w:cs="Avenir Next"/>
          <w:spacing w:val="-7"/>
        </w:rPr>
        <w:t xml:space="preserve"> </w:t>
      </w:r>
      <w:r>
        <w:rPr>
          <w:rFonts w:cs="Avenir Next"/>
        </w:rPr>
        <w:t>and customers will have less</w:t>
      </w:r>
      <w:r>
        <w:rPr>
          <w:rFonts w:cs="Avenir Next"/>
          <w:spacing w:val="28"/>
        </w:rPr>
        <w:t xml:space="preserve"> </w:t>
      </w:r>
      <w:r>
        <w:rPr>
          <w:spacing w:val="-1"/>
        </w:rPr>
        <w:t>certainty</w:t>
      </w:r>
      <w:r>
        <w:t xml:space="preserve"> about prices over the </w:t>
      </w:r>
      <w:r>
        <w:rPr>
          <w:spacing w:val="-1"/>
        </w:rPr>
        <w:t>regulatory</w:t>
      </w:r>
      <w:r>
        <w:t xml:space="preserve"> period.</w:t>
      </w:r>
      <w:r>
        <w:rPr>
          <w:spacing w:val="-6"/>
        </w:rPr>
        <w:t xml:space="preserve"> </w:t>
      </w:r>
      <w:r>
        <w:t xml:space="preserve">In the </w:t>
      </w:r>
      <w:r>
        <w:rPr>
          <w:spacing w:val="-4"/>
        </w:rPr>
        <w:t>Panel’s</w:t>
      </w:r>
      <w:r>
        <w:t xml:space="preserve"> </w:t>
      </w:r>
      <w:r>
        <w:rPr>
          <w:spacing w:val="-2"/>
        </w:rPr>
        <w:t>view,</w:t>
      </w:r>
      <w:r>
        <w:rPr>
          <w:spacing w:val="-6"/>
        </w:rPr>
        <w:t xml:space="preserve"> </w:t>
      </w:r>
      <w:r>
        <w:t xml:space="preserve">this is less than </w:t>
      </w:r>
      <w:r>
        <w:rPr>
          <w:spacing w:val="-1"/>
        </w:rPr>
        <w:t>ideal,</w:t>
      </w:r>
      <w:r>
        <w:rPr>
          <w:spacing w:val="-6"/>
        </w:rPr>
        <w:t xml:space="preserve"> </w:t>
      </w:r>
      <w:r>
        <w:t>given</w:t>
      </w:r>
    </w:p>
    <w:p w:rsidR="00D96B91" w:rsidRDefault="00C2656B">
      <w:pPr>
        <w:pStyle w:val="BodyText"/>
        <w:spacing w:line="260" w:lineRule="exact"/>
        <w:ind w:left="1530" w:right="1283"/>
      </w:pPr>
      <w:r>
        <w:rPr>
          <w:spacing w:val="-1"/>
        </w:rPr>
        <w:t xml:space="preserve">that </w:t>
      </w:r>
      <w:r>
        <w:t>customers</w:t>
      </w:r>
      <w:r>
        <w:rPr>
          <w:spacing w:val="-1"/>
        </w:rPr>
        <w:t xml:space="preserve"> </w:t>
      </w:r>
      <w:r>
        <w:t xml:space="preserve">have </w:t>
      </w:r>
      <w:r>
        <w:rPr>
          <w:spacing w:val="-1"/>
        </w:rPr>
        <w:t xml:space="preserve">already </w:t>
      </w:r>
      <w:r>
        <w:t>faced</w:t>
      </w:r>
      <w:r>
        <w:rPr>
          <w:spacing w:val="-1"/>
        </w:rPr>
        <w:t xml:space="preserve"> </w:t>
      </w:r>
      <w:r>
        <w:t>a number</w:t>
      </w:r>
      <w:r>
        <w:rPr>
          <w:spacing w:val="-1"/>
        </w:rPr>
        <w:t xml:space="preserve"> </w:t>
      </w:r>
      <w:r>
        <w:t>of</w:t>
      </w:r>
      <w:r>
        <w:rPr>
          <w:spacing w:val="4"/>
        </w:rPr>
        <w:t xml:space="preserve"> </w:t>
      </w:r>
      <w:r>
        <w:t>significant</w:t>
      </w:r>
      <w:r>
        <w:rPr>
          <w:spacing w:val="-1"/>
        </w:rPr>
        <w:t xml:space="preserve"> </w:t>
      </w:r>
      <w:r>
        <w:t>changes</w:t>
      </w:r>
      <w:r>
        <w:rPr>
          <w:spacing w:val="-1"/>
        </w:rPr>
        <w:t xml:space="preserve"> </w:t>
      </w:r>
      <w:r>
        <w:t>in prices</w:t>
      </w:r>
      <w:r>
        <w:rPr>
          <w:spacing w:val="-1"/>
        </w:rPr>
        <w:t xml:space="preserve"> </w:t>
      </w:r>
      <w:r>
        <w:t>over</w:t>
      </w:r>
      <w:r>
        <w:rPr>
          <w:spacing w:val="-1"/>
        </w:rPr>
        <w:t xml:space="preserve"> </w:t>
      </w:r>
      <w:r>
        <w:t xml:space="preserve">the </w:t>
      </w:r>
      <w:r>
        <w:rPr>
          <w:spacing w:val="-1"/>
        </w:rPr>
        <w:t xml:space="preserve">previous </w:t>
      </w:r>
      <w:r>
        <w:t>two</w:t>
      </w:r>
      <w:r>
        <w:rPr>
          <w:spacing w:val="28"/>
        </w:rPr>
        <w:t xml:space="preserve"> </w:t>
      </w:r>
      <w:r>
        <w:rPr>
          <w:spacing w:val="-1"/>
        </w:rPr>
        <w:t>regulatory</w:t>
      </w:r>
      <w:r>
        <w:t xml:space="preserve"> periods.</w:t>
      </w:r>
      <w:r>
        <w:rPr>
          <w:position w:val="7"/>
          <w:sz w:val="11"/>
        </w:rPr>
        <w:t>43</w:t>
      </w:r>
      <w:r>
        <w:rPr>
          <w:spacing w:val="23"/>
          <w:position w:val="7"/>
          <w:sz w:val="11"/>
        </w:rPr>
        <w:t xml:space="preserve"> </w:t>
      </w:r>
      <w:r>
        <w:rPr>
          <w:spacing w:val="-3"/>
        </w:rPr>
        <w:t>Further,</w:t>
      </w:r>
      <w:r>
        <w:rPr>
          <w:spacing w:val="-6"/>
        </w:rPr>
        <w:t xml:space="preserve"> </w:t>
      </w:r>
      <w:r>
        <w:t>this does not</w:t>
      </w:r>
      <w:r>
        <w:rPr>
          <w:spacing w:val="1"/>
        </w:rPr>
        <w:t xml:space="preserve"> </w:t>
      </w:r>
      <w:r>
        <w:t>fit well with</w:t>
      </w:r>
      <w:r>
        <w:rPr>
          <w:spacing w:val="1"/>
        </w:rPr>
        <w:t xml:space="preserve"> </w:t>
      </w:r>
      <w:r>
        <w:t>clause 1(e) of</w:t>
      </w:r>
      <w:r>
        <w:rPr>
          <w:spacing w:val="4"/>
        </w:rPr>
        <w:t xml:space="preserve"> </w:t>
      </w:r>
      <w:r>
        <w:t>the</w:t>
      </w:r>
      <w:r>
        <w:rPr>
          <w:spacing w:val="1"/>
        </w:rPr>
        <w:t xml:space="preserve"> </w:t>
      </w:r>
      <w:r>
        <w:t>original terms of</w:t>
      </w:r>
      <w:r>
        <w:rPr>
          <w:spacing w:val="5"/>
        </w:rPr>
        <w:t xml:space="preserve"> </w:t>
      </w:r>
      <w:r>
        <w:rPr>
          <w:spacing w:val="-1"/>
        </w:rPr>
        <w:t>reference,</w:t>
      </w:r>
      <w:r>
        <w:rPr>
          <w:spacing w:val="29"/>
        </w:rPr>
        <w:t xml:space="preserve"> </w:t>
      </w:r>
      <w:r>
        <w:t>which</w:t>
      </w:r>
      <w:r>
        <w:rPr>
          <w:spacing w:val="-1"/>
        </w:rPr>
        <w:t xml:space="preserve"> states that consideration</w:t>
      </w:r>
      <w:r>
        <w:t xml:space="preserve"> should</w:t>
      </w:r>
      <w:r>
        <w:rPr>
          <w:spacing w:val="-1"/>
        </w:rPr>
        <w:t xml:space="preserve"> </w:t>
      </w:r>
      <w:r>
        <w:t>be</w:t>
      </w:r>
      <w:r>
        <w:rPr>
          <w:spacing w:val="-1"/>
        </w:rPr>
        <w:t xml:space="preserve"> </w:t>
      </w:r>
      <w:r>
        <w:t>given to</w:t>
      </w:r>
      <w:r>
        <w:rPr>
          <w:spacing w:val="-1"/>
        </w:rPr>
        <w:t xml:space="preserve"> </w:t>
      </w:r>
      <w:r>
        <w:t>minimising</w:t>
      </w:r>
      <w:r>
        <w:rPr>
          <w:spacing w:val="-1"/>
        </w:rPr>
        <w:t xml:space="preserve"> </w:t>
      </w:r>
      <w:r>
        <w:t>the</w:t>
      </w:r>
      <w:r>
        <w:rPr>
          <w:spacing w:val="-1"/>
        </w:rPr>
        <w:t xml:space="preserve"> </w:t>
      </w:r>
      <w:r>
        <w:t>impact of</w:t>
      </w:r>
      <w:r>
        <w:rPr>
          <w:spacing w:val="3"/>
        </w:rPr>
        <w:t xml:space="preserve"> </w:t>
      </w:r>
      <w:r>
        <w:t>significant</w:t>
      </w:r>
      <w:r>
        <w:rPr>
          <w:spacing w:val="-1"/>
        </w:rPr>
        <w:t xml:space="preserve"> </w:t>
      </w:r>
      <w:r>
        <w:t>price</w:t>
      </w:r>
      <w:r>
        <w:rPr>
          <w:spacing w:val="29"/>
        </w:rPr>
        <w:t xml:space="preserve"> </w:t>
      </w:r>
      <w:r>
        <w:rPr>
          <w:spacing w:val="-1"/>
        </w:rPr>
        <w:t>fluctuations.</w:t>
      </w:r>
    </w:p>
    <w:p w:rsidR="00D96B91" w:rsidRDefault="00C2656B">
      <w:pPr>
        <w:pStyle w:val="BodyText"/>
        <w:numPr>
          <w:ilvl w:val="0"/>
          <w:numId w:val="131"/>
        </w:numPr>
        <w:tabs>
          <w:tab w:val="left" w:pos="1531"/>
        </w:tabs>
        <w:spacing w:before="85" w:line="260" w:lineRule="exact"/>
        <w:ind w:right="1246" w:hanging="283"/>
      </w:pPr>
      <w:r>
        <w:rPr>
          <w:rFonts w:cs="Avenir Next"/>
          <w:b/>
          <w:bCs/>
          <w:spacing w:val="-2"/>
        </w:rPr>
        <w:t>ACTEW’s</w:t>
      </w:r>
      <w:r>
        <w:rPr>
          <w:rFonts w:cs="Avenir Next"/>
          <w:b/>
          <w:bCs/>
          <w:spacing w:val="-1"/>
        </w:rPr>
        <w:t xml:space="preserve"> </w:t>
      </w:r>
      <w:r>
        <w:rPr>
          <w:rFonts w:cs="Avenir Next"/>
          <w:b/>
          <w:bCs/>
        </w:rPr>
        <w:t>incentive to</w:t>
      </w:r>
      <w:r>
        <w:rPr>
          <w:rFonts w:cs="Avenir Next"/>
          <w:b/>
          <w:bCs/>
          <w:spacing w:val="-1"/>
        </w:rPr>
        <w:t xml:space="preserve"> </w:t>
      </w:r>
      <w:r>
        <w:rPr>
          <w:rFonts w:cs="Avenir Next"/>
          <w:b/>
          <w:bCs/>
        </w:rPr>
        <w:t xml:space="preserve">pursue </w:t>
      </w:r>
      <w:r>
        <w:rPr>
          <w:rFonts w:cs="Avenir Next"/>
          <w:b/>
          <w:bCs/>
          <w:spacing w:val="-1"/>
        </w:rPr>
        <w:t>efficiencies</w:t>
      </w:r>
      <w:r>
        <w:rPr>
          <w:spacing w:val="-1"/>
        </w:rPr>
        <w:t>.</w:t>
      </w:r>
      <w:r>
        <w:rPr>
          <w:spacing w:val="-11"/>
        </w:rPr>
        <w:t xml:space="preserve"> </w:t>
      </w:r>
      <w:r>
        <w:rPr>
          <w:spacing w:val="-2"/>
        </w:rPr>
        <w:t>ACTEW</w:t>
      </w:r>
      <w:r>
        <w:rPr>
          <w:spacing w:val="-3"/>
        </w:rPr>
        <w:t xml:space="preserve"> </w:t>
      </w:r>
      <w:r>
        <w:t>will</w:t>
      </w:r>
      <w:r>
        <w:rPr>
          <w:spacing w:val="-1"/>
        </w:rPr>
        <w:t xml:space="preserve"> </w:t>
      </w:r>
      <w:r>
        <w:t>only be</w:t>
      </w:r>
      <w:r>
        <w:rPr>
          <w:spacing w:val="-1"/>
        </w:rPr>
        <w:t xml:space="preserve"> </w:t>
      </w:r>
      <w:r>
        <w:t>able to</w:t>
      </w:r>
      <w:r>
        <w:rPr>
          <w:spacing w:val="-1"/>
        </w:rPr>
        <w:t xml:space="preserve"> retain</w:t>
      </w:r>
      <w:r>
        <w:t xml:space="preserve"> the</w:t>
      </w:r>
      <w:r>
        <w:rPr>
          <w:spacing w:val="-1"/>
        </w:rPr>
        <w:t xml:space="preserve"> </w:t>
      </w:r>
      <w:r>
        <w:t>benefits of</w:t>
      </w:r>
      <w:r>
        <w:rPr>
          <w:spacing w:val="3"/>
        </w:rPr>
        <w:t xml:space="preserve"> </w:t>
      </w:r>
      <w:r>
        <w:t>any</w:t>
      </w:r>
      <w:r>
        <w:rPr>
          <w:spacing w:val="31"/>
        </w:rPr>
        <w:t xml:space="preserve"> </w:t>
      </w:r>
      <w:r>
        <w:rPr>
          <w:spacing w:val="-1"/>
        </w:rPr>
        <w:t xml:space="preserve">efficiency measures </w:t>
      </w:r>
      <w:r>
        <w:t>for the</w:t>
      </w:r>
      <w:r>
        <w:rPr>
          <w:spacing w:val="-1"/>
        </w:rPr>
        <w:t xml:space="preserve"> </w:t>
      </w:r>
      <w:r>
        <w:t xml:space="preserve">two </w:t>
      </w:r>
      <w:r>
        <w:rPr>
          <w:spacing w:val="-1"/>
        </w:rPr>
        <w:t xml:space="preserve">years </w:t>
      </w:r>
      <w:r>
        <w:t>between biennial</w:t>
      </w:r>
      <w:r>
        <w:rPr>
          <w:spacing w:val="-1"/>
        </w:rPr>
        <w:t xml:space="preserve"> recalibrations.</w:t>
      </w:r>
      <w:r>
        <w:rPr>
          <w:spacing w:val="-11"/>
        </w:rPr>
        <w:t xml:space="preserve"> </w:t>
      </w:r>
      <w:r>
        <w:rPr>
          <w:spacing w:val="-1"/>
        </w:rPr>
        <w:t>This reduces</w:t>
      </w:r>
      <w:r>
        <w:t xml:space="preserve"> its</w:t>
      </w:r>
      <w:r>
        <w:rPr>
          <w:spacing w:val="-1"/>
        </w:rPr>
        <w:t xml:space="preserve"> </w:t>
      </w:r>
      <w:r>
        <w:t>incentive to</w:t>
      </w:r>
      <w:r>
        <w:rPr>
          <w:spacing w:val="41"/>
        </w:rPr>
        <w:t xml:space="preserve"> </w:t>
      </w:r>
      <w:r>
        <w:t>implement</w:t>
      </w:r>
      <w:r>
        <w:rPr>
          <w:spacing w:val="-1"/>
        </w:rPr>
        <w:t xml:space="preserve"> </w:t>
      </w:r>
      <w:r>
        <w:t>such</w:t>
      </w:r>
      <w:r>
        <w:rPr>
          <w:spacing w:val="-1"/>
        </w:rPr>
        <w:t xml:space="preserve"> measures.</w:t>
      </w:r>
      <w:r>
        <w:rPr>
          <w:spacing w:val="-7"/>
        </w:rPr>
        <w:t xml:space="preserve"> </w:t>
      </w:r>
      <w:r>
        <w:t>It</w:t>
      </w:r>
      <w:r>
        <w:rPr>
          <w:spacing w:val="-1"/>
        </w:rPr>
        <w:t xml:space="preserve"> </w:t>
      </w:r>
      <w:r>
        <w:t>may</w:t>
      </w:r>
      <w:r>
        <w:rPr>
          <w:spacing w:val="-1"/>
        </w:rPr>
        <w:t xml:space="preserve"> </w:t>
      </w:r>
      <w:r>
        <w:t>also</w:t>
      </w:r>
      <w:r>
        <w:rPr>
          <w:spacing w:val="-1"/>
        </w:rPr>
        <w:t xml:space="preserve"> encourage</w:t>
      </w:r>
      <w:r>
        <w:rPr>
          <w:spacing w:val="-4"/>
        </w:rPr>
        <w:t xml:space="preserve"> </w:t>
      </w:r>
      <w:r>
        <w:rPr>
          <w:spacing w:val="-2"/>
        </w:rPr>
        <w:t>ACTEW</w:t>
      </w:r>
      <w:r>
        <w:rPr>
          <w:spacing w:val="-3"/>
        </w:rPr>
        <w:t xml:space="preserve"> </w:t>
      </w:r>
      <w:r>
        <w:t>to</w:t>
      </w:r>
      <w:r>
        <w:rPr>
          <w:spacing w:val="-1"/>
        </w:rPr>
        <w:t xml:space="preserve"> </w:t>
      </w:r>
      <w:r>
        <w:t>adopt</w:t>
      </w:r>
      <w:r>
        <w:rPr>
          <w:spacing w:val="-1"/>
        </w:rPr>
        <w:t xml:space="preserve"> </w:t>
      </w:r>
      <w:r>
        <w:t>a</w:t>
      </w:r>
      <w:r>
        <w:rPr>
          <w:spacing w:val="-1"/>
        </w:rPr>
        <w:t xml:space="preserve"> shorter </w:t>
      </w:r>
      <w:r>
        <w:t>term</w:t>
      </w:r>
      <w:r>
        <w:rPr>
          <w:spacing w:val="-1"/>
        </w:rPr>
        <w:t xml:space="preserve"> expenditure </w:t>
      </w:r>
      <w:r>
        <w:t>focus,</w:t>
      </w:r>
      <w:r>
        <w:rPr>
          <w:spacing w:val="45"/>
        </w:rPr>
        <w:t xml:space="preserve"> </w:t>
      </w:r>
      <w:r>
        <w:t>which</w:t>
      </w:r>
      <w:r>
        <w:rPr>
          <w:spacing w:val="-1"/>
        </w:rPr>
        <w:t xml:space="preserve"> </w:t>
      </w:r>
      <w:r>
        <w:t>could</w:t>
      </w:r>
      <w:r>
        <w:rPr>
          <w:spacing w:val="-1"/>
        </w:rPr>
        <w:t xml:space="preserve"> </w:t>
      </w:r>
      <w:r>
        <w:t>have adverse</w:t>
      </w:r>
      <w:r>
        <w:rPr>
          <w:spacing w:val="-1"/>
        </w:rPr>
        <w:t xml:space="preserve"> </w:t>
      </w:r>
      <w:r>
        <w:t>longer term</w:t>
      </w:r>
      <w:r>
        <w:rPr>
          <w:spacing w:val="-1"/>
        </w:rPr>
        <w:t xml:space="preserve"> implications</w:t>
      </w:r>
      <w:r>
        <w:t xml:space="preserve"> for</w:t>
      </w:r>
      <w:r>
        <w:rPr>
          <w:spacing w:val="-1"/>
        </w:rPr>
        <w:t xml:space="preserve"> </w:t>
      </w:r>
      <w:r>
        <w:t>the</w:t>
      </w:r>
      <w:r>
        <w:rPr>
          <w:spacing w:val="-1"/>
        </w:rPr>
        <w:t xml:space="preserve"> efficiency</w:t>
      </w:r>
      <w:r>
        <w:t xml:space="preserve"> of</w:t>
      </w:r>
      <w:r>
        <w:rPr>
          <w:spacing w:val="3"/>
        </w:rPr>
        <w:t xml:space="preserve"> </w:t>
      </w:r>
      <w:r>
        <w:t xml:space="preserve">its </w:t>
      </w:r>
      <w:r>
        <w:rPr>
          <w:spacing w:val="-1"/>
        </w:rPr>
        <w:t>operations.</w:t>
      </w:r>
    </w:p>
    <w:p w:rsidR="00D96B91" w:rsidRDefault="00C2656B">
      <w:pPr>
        <w:pStyle w:val="BodyText"/>
        <w:numPr>
          <w:ilvl w:val="0"/>
          <w:numId w:val="131"/>
        </w:numPr>
        <w:tabs>
          <w:tab w:val="left" w:pos="1531"/>
        </w:tabs>
        <w:spacing w:before="85" w:line="260" w:lineRule="exact"/>
        <w:ind w:right="1376" w:hanging="283"/>
        <w:rPr>
          <w:rFonts w:cs="Avenir Next"/>
        </w:rPr>
      </w:pPr>
      <w:r>
        <w:rPr>
          <w:rFonts w:cs="Avenir Next"/>
          <w:b/>
          <w:bCs/>
          <w:spacing w:val="-1"/>
        </w:rPr>
        <w:t>Regulatory</w:t>
      </w:r>
      <w:r>
        <w:rPr>
          <w:rFonts w:cs="Avenir Next"/>
          <w:b/>
          <w:bCs/>
        </w:rPr>
        <w:t xml:space="preserve"> costs. </w:t>
      </w: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 </w:t>
      </w:r>
      <w:r>
        <w:rPr>
          <w:rFonts w:cs="Avenir Next"/>
          <w:spacing w:val="-1"/>
        </w:rPr>
        <w:t>regulatory</w:t>
      </w:r>
      <w:r>
        <w:rPr>
          <w:rFonts w:cs="Avenir Next"/>
        </w:rPr>
        <w:t xml:space="preserve"> costs </w:t>
      </w:r>
      <w:r>
        <w:rPr>
          <w:rFonts w:cs="Avenir Next"/>
          <w:spacing w:val="-1"/>
        </w:rPr>
        <w:t>associated</w:t>
      </w:r>
      <w:r>
        <w:rPr>
          <w:rFonts w:cs="Avenir Next"/>
        </w:rPr>
        <w:t xml:space="preserve"> with the </w:t>
      </w:r>
      <w:r>
        <w:rPr>
          <w:rFonts w:cs="Avenir Next"/>
          <w:spacing w:val="-1"/>
        </w:rPr>
        <w:t>recalibration</w:t>
      </w:r>
      <w:r>
        <w:rPr>
          <w:rFonts w:cs="Avenir Next"/>
        </w:rPr>
        <w:t xml:space="preserve"> </w:t>
      </w:r>
      <w:r>
        <w:rPr>
          <w:rFonts w:cs="Avenir Next"/>
          <w:spacing w:val="-1"/>
        </w:rPr>
        <w:t>process</w:t>
      </w:r>
      <w:r>
        <w:rPr>
          <w:rFonts w:cs="Avenir Next"/>
          <w:spacing w:val="61"/>
        </w:rPr>
        <w:t xml:space="preserve"> </w:t>
      </w:r>
      <w:r>
        <w:rPr>
          <w:rFonts w:cs="Avenir Next"/>
          <w:spacing w:val="-2"/>
        </w:rPr>
        <w:t>are</w:t>
      </w:r>
      <w:r>
        <w:rPr>
          <w:rFonts w:cs="Avenir Next"/>
        </w:rPr>
        <w:t xml:space="preserve"> </w:t>
      </w:r>
      <w:r>
        <w:rPr>
          <w:rFonts w:cs="Avenir Next"/>
          <w:spacing w:val="-1"/>
        </w:rPr>
        <w:t>likely</w:t>
      </w:r>
      <w:r>
        <w:rPr>
          <w:rFonts w:cs="Avenir Next"/>
        </w:rPr>
        <w:t xml:space="preserve"> to be higher than the ICRC </w:t>
      </w:r>
      <w:r>
        <w:rPr>
          <w:rFonts w:cs="Avenir Next"/>
          <w:spacing w:val="-1"/>
        </w:rPr>
        <w:t>anticipated</w:t>
      </w:r>
      <w:r>
        <w:rPr>
          <w:rFonts w:cs="Avenir Next"/>
        </w:rPr>
        <w:t xml:space="preserve"> because,</w:t>
      </w:r>
      <w:r>
        <w:rPr>
          <w:rFonts w:cs="Avenir Next"/>
          <w:spacing w:val="-6"/>
        </w:rPr>
        <w:t xml:space="preserve"> </w:t>
      </w:r>
      <w:r>
        <w:rPr>
          <w:rFonts w:cs="Avenir Next"/>
        </w:rPr>
        <w:t>while some aspects of</w:t>
      </w:r>
      <w:r>
        <w:rPr>
          <w:rFonts w:cs="Avenir Next"/>
          <w:spacing w:val="4"/>
        </w:rPr>
        <w:t xml:space="preserve"> </w:t>
      </w:r>
      <w:r>
        <w:rPr>
          <w:rFonts w:cs="Avenir Next"/>
        </w:rPr>
        <w:t xml:space="preserve">the price </w:t>
      </w:r>
      <w:r>
        <w:rPr>
          <w:rFonts w:cs="Avenir Next"/>
          <w:spacing w:val="-1"/>
        </w:rPr>
        <w:t>direction</w:t>
      </w:r>
      <w:r>
        <w:rPr>
          <w:rFonts w:cs="Avenir Next"/>
          <w:spacing w:val="35"/>
        </w:rPr>
        <w:t xml:space="preserve"> </w:t>
      </w:r>
      <w:r>
        <w:rPr>
          <w:rFonts w:cs="Avenir Next"/>
        </w:rPr>
        <w:t xml:space="preserve">may be </w:t>
      </w:r>
      <w:r>
        <w:rPr>
          <w:rFonts w:cs="Avenir Next"/>
          <w:spacing w:val="-1"/>
        </w:rPr>
        <w:t>locked</w:t>
      </w:r>
      <w:r>
        <w:rPr>
          <w:rFonts w:cs="Avenir Next"/>
        </w:rPr>
        <w:t xml:space="preserve"> in,</w:t>
      </w:r>
      <w:r>
        <w:rPr>
          <w:rFonts w:cs="Avenir Next"/>
          <w:spacing w:val="-7"/>
        </w:rPr>
        <w:t xml:space="preserve"> </w:t>
      </w:r>
      <w:r>
        <w:rPr>
          <w:rFonts w:cs="Avenir Next"/>
        </w:rPr>
        <w:t>the ICRC will still need to:</w:t>
      </w:r>
    </w:p>
    <w:p w:rsidR="00D96B91" w:rsidRDefault="00C2656B">
      <w:pPr>
        <w:pStyle w:val="BodyText"/>
        <w:numPr>
          <w:ilvl w:val="1"/>
          <w:numId w:val="131"/>
        </w:numPr>
        <w:tabs>
          <w:tab w:val="left" w:pos="1815"/>
        </w:tabs>
        <w:spacing w:before="85" w:line="260" w:lineRule="exact"/>
        <w:ind w:right="1396"/>
      </w:pPr>
      <w:r>
        <w:rPr>
          <w:rFonts w:cs="Avenir Next"/>
          <w:spacing w:val="-1"/>
        </w:rPr>
        <w:t>undertake</w:t>
      </w:r>
      <w:r>
        <w:rPr>
          <w:rFonts w:cs="Avenir Next"/>
        </w:rPr>
        <w:t xml:space="preserve"> a detailed </w:t>
      </w:r>
      <w:r>
        <w:rPr>
          <w:rFonts w:cs="Avenir Next"/>
          <w:spacing w:val="-1"/>
        </w:rPr>
        <w:t>review</w:t>
      </w:r>
      <w:r>
        <w:rPr>
          <w:rFonts w:cs="Avenir Next"/>
        </w:rPr>
        <w:t xml:space="preserve"> of</w:t>
      </w:r>
      <w:r>
        <w:rPr>
          <w:rFonts w:cs="Avenir Next"/>
          <w:spacing w:val="4"/>
        </w:rPr>
        <w:t xml:space="preserve"> </w:t>
      </w:r>
      <w:r>
        <w:rPr>
          <w:rFonts w:cs="Avenir Next"/>
          <w:spacing w:val="-1"/>
        </w:rPr>
        <w:t>operating</w:t>
      </w:r>
      <w:r>
        <w:rPr>
          <w:rFonts w:cs="Avenir Next"/>
        </w:rPr>
        <w:t xml:space="preserve"> </w:t>
      </w:r>
      <w:r>
        <w:rPr>
          <w:rFonts w:cs="Avenir Next"/>
          <w:spacing w:val="-1"/>
        </w:rPr>
        <w:t>expenditure,</w:t>
      </w:r>
      <w:r>
        <w:rPr>
          <w:rFonts w:cs="Avenir Next"/>
          <w:spacing w:val="-6"/>
        </w:rPr>
        <w:t xml:space="preserve"> </w:t>
      </w:r>
      <w:r>
        <w:rPr>
          <w:rFonts w:cs="Avenir Next"/>
        </w:rPr>
        <w:t xml:space="preserve">capital </w:t>
      </w:r>
      <w:r>
        <w:rPr>
          <w:rFonts w:cs="Avenir Next"/>
          <w:spacing w:val="-1"/>
        </w:rPr>
        <w:t>expenditure,</w:t>
      </w:r>
      <w:r>
        <w:rPr>
          <w:rFonts w:cs="Avenir Next"/>
          <w:spacing w:val="-6"/>
        </w:rPr>
        <w:t xml:space="preserve"> </w:t>
      </w:r>
      <w:r>
        <w:rPr>
          <w:rFonts w:cs="Avenir Next"/>
        </w:rPr>
        <w:t>demand,</w:t>
      </w:r>
      <w:r>
        <w:rPr>
          <w:rFonts w:cs="Avenir Next"/>
          <w:spacing w:val="-10"/>
        </w:rPr>
        <w:t xml:space="preserve"> </w:t>
      </w:r>
      <w:r>
        <w:rPr>
          <w:rFonts w:cs="Avenir Next"/>
          <w:spacing w:val="-2"/>
        </w:rPr>
        <w:t>ACTEW’s</w:t>
      </w:r>
      <w:r>
        <w:rPr>
          <w:rFonts w:cs="Avenir Next"/>
          <w:spacing w:val="43"/>
        </w:rPr>
        <w:t xml:space="preserve"> </w:t>
      </w:r>
      <w:r>
        <w:rPr>
          <w:rFonts w:cs="Avenir Next"/>
        </w:rPr>
        <w:t>cost of</w:t>
      </w:r>
      <w:r>
        <w:rPr>
          <w:rFonts w:cs="Avenir Next"/>
          <w:spacing w:val="4"/>
        </w:rPr>
        <w:t xml:space="preserve"> </w:t>
      </w:r>
      <w:r>
        <w:rPr>
          <w:rFonts w:cs="Avenir Next"/>
        </w:rPr>
        <w:t>debt,</w:t>
      </w:r>
      <w:r>
        <w:rPr>
          <w:rFonts w:cs="Avenir Next"/>
          <w:spacing w:val="-6"/>
        </w:rPr>
        <w:t xml:space="preserve"> </w:t>
      </w:r>
      <w:r>
        <w:rPr>
          <w:rFonts w:cs="Avenir Next"/>
        </w:rPr>
        <w:t>the cost of</w:t>
      </w:r>
      <w:r>
        <w:rPr>
          <w:rFonts w:cs="Avenir Next"/>
          <w:spacing w:val="4"/>
        </w:rPr>
        <w:t xml:space="preserve"> </w:t>
      </w:r>
      <w:r>
        <w:rPr>
          <w:rFonts w:cs="Avenir Next"/>
        </w:rPr>
        <w:t xml:space="preserve">equity and other </w:t>
      </w:r>
      <w:r>
        <w:rPr>
          <w:rFonts w:cs="Avenir Next"/>
          <w:spacing w:val="-1"/>
        </w:rPr>
        <w:t>revenue</w:t>
      </w:r>
      <w:r>
        <w:rPr>
          <w:rFonts w:cs="Avenir Next"/>
        </w:rPr>
        <w:t xml:space="preserve"> </w:t>
      </w:r>
      <w:r>
        <w:rPr>
          <w:rFonts w:cs="Avenir Next"/>
          <w:spacing w:val="-1"/>
        </w:rPr>
        <w:t>sources</w:t>
      </w:r>
      <w:r>
        <w:rPr>
          <w:rFonts w:cs="Avenir Next"/>
        </w:rPr>
        <w:t xml:space="preserve"> over the period (and in </w:t>
      </w:r>
      <w:r>
        <w:rPr>
          <w:rFonts w:cs="Avenir Next"/>
          <w:spacing w:val="-1"/>
        </w:rPr>
        <w:t>later</w:t>
      </w:r>
      <w:r>
        <w:rPr>
          <w:rFonts w:cs="Avenir Next"/>
        </w:rPr>
        <w:t xml:space="preserve"> </w:t>
      </w:r>
      <w:r>
        <w:rPr>
          <w:rFonts w:cs="Avenir Next"/>
          <w:spacing w:val="-1"/>
        </w:rPr>
        <w:t>years</w:t>
      </w:r>
      <w:r>
        <w:rPr>
          <w:rFonts w:cs="Avenir Next"/>
        </w:rPr>
        <w:t xml:space="preserve"> if</w:t>
      </w:r>
      <w:r>
        <w:rPr>
          <w:rFonts w:cs="Avenir Next"/>
          <w:spacing w:val="4"/>
        </w:rPr>
        <w:t xml:space="preserve"> </w:t>
      </w:r>
      <w:r>
        <w:rPr>
          <w:rFonts w:cs="Avenir Next"/>
        </w:rPr>
        <w:t>it</w:t>
      </w:r>
      <w:r>
        <w:rPr>
          <w:rFonts w:cs="Avenir Next"/>
          <w:spacing w:val="23"/>
        </w:rPr>
        <w:t xml:space="preserve"> </w:t>
      </w:r>
      <w:r>
        <w:t xml:space="preserve">decides to </w:t>
      </w:r>
      <w:r>
        <w:rPr>
          <w:spacing w:val="-1"/>
        </w:rPr>
        <w:t>provide</w:t>
      </w:r>
      <w:r>
        <w:t xml:space="preserve"> </w:t>
      </w:r>
      <w:r>
        <w:rPr>
          <w:spacing w:val="-1"/>
        </w:rPr>
        <w:t>indicative</w:t>
      </w:r>
      <w:r>
        <w:t xml:space="preserve"> prices for these </w:t>
      </w:r>
      <w:r>
        <w:rPr>
          <w:spacing w:val="-1"/>
        </w:rPr>
        <w:t>years),</w:t>
      </w:r>
      <w:r>
        <w:rPr>
          <w:spacing w:val="-6"/>
        </w:rPr>
        <w:t xml:space="preserve"> </w:t>
      </w:r>
      <w:r>
        <w:t>and</w:t>
      </w:r>
    </w:p>
    <w:p w:rsidR="00D96B91" w:rsidRDefault="00C2656B">
      <w:pPr>
        <w:pStyle w:val="BodyText"/>
        <w:numPr>
          <w:ilvl w:val="1"/>
          <w:numId w:val="131"/>
        </w:numPr>
        <w:tabs>
          <w:tab w:val="left" w:pos="1815"/>
        </w:tabs>
        <w:spacing w:before="85" w:line="260" w:lineRule="exact"/>
        <w:ind w:right="1693"/>
      </w:pPr>
      <w:r>
        <w:t>consider</w:t>
      </w:r>
      <w:r>
        <w:rPr>
          <w:spacing w:val="-1"/>
        </w:rPr>
        <w:t xml:space="preserve"> </w:t>
      </w:r>
      <w:r>
        <w:t xml:space="preserve">the </w:t>
      </w:r>
      <w:r>
        <w:rPr>
          <w:spacing w:val="-1"/>
        </w:rPr>
        <w:t>effect</w:t>
      </w:r>
      <w:r>
        <w:t xml:space="preserve"> </w:t>
      </w:r>
      <w:r>
        <w:rPr>
          <w:spacing w:val="-1"/>
        </w:rPr>
        <w:t>that</w:t>
      </w:r>
      <w:r>
        <w:t xml:space="preserve"> the</w:t>
      </w:r>
      <w:r>
        <w:rPr>
          <w:spacing w:val="-1"/>
        </w:rPr>
        <w:t xml:space="preserve"> </w:t>
      </w:r>
      <w:r>
        <w:t>prices it has derived</w:t>
      </w:r>
      <w:r>
        <w:rPr>
          <w:spacing w:val="-1"/>
        </w:rPr>
        <w:t xml:space="preserve"> </w:t>
      </w:r>
      <w:r>
        <w:rPr>
          <w:spacing w:val="-2"/>
        </w:rPr>
        <w:t>are</w:t>
      </w:r>
      <w:r>
        <w:t xml:space="preserve"> </w:t>
      </w:r>
      <w:r>
        <w:rPr>
          <w:spacing w:val="-1"/>
        </w:rPr>
        <w:t>likely</w:t>
      </w:r>
      <w:r>
        <w:t xml:space="preserve"> to have</w:t>
      </w:r>
      <w:r>
        <w:rPr>
          <w:spacing w:val="-1"/>
        </w:rPr>
        <w:t xml:space="preserve"> </w:t>
      </w:r>
      <w:r>
        <w:t>on customers,</w:t>
      </w:r>
      <w:r>
        <w:rPr>
          <w:spacing w:val="-7"/>
        </w:rPr>
        <w:t xml:space="preserve"> </w:t>
      </w:r>
      <w:r>
        <w:rPr>
          <w:spacing w:val="-1"/>
        </w:rPr>
        <w:t>inflation</w:t>
      </w:r>
      <w:r>
        <w:t xml:space="preserve"> and</w:t>
      </w:r>
      <w:r>
        <w:rPr>
          <w:spacing w:val="31"/>
        </w:rPr>
        <w:t xml:space="preserve"> </w:t>
      </w:r>
      <w:r>
        <w:rPr>
          <w:spacing w:val="-2"/>
        </w:rPr>
        <w:t>ACTEW’s</w:t>
      </w:r>
      <w:r>
        <w:rPr>
          <w:spacing w:val="-4"/>
        </w:rPr>
        <w:t xml:space="preserve"> </w:t>
      </w:r>
      <w:r>
        <w:t>financial</w:t>
      </w:r>
      <w:r>
        <w:rPr>
          <w:spacing w:val="-4"/>
        </w:rPr>
        <w:t xml:space="preserve"> </w:t>
      </w:r>
      <w:r>
        <w:rPr>
          <w:spacing w:val="-1"/>
        </w:rPr>
        <w:t>viability.</w:t>
      </w:r>
    </w:p>
    <w:p w:rsidR="00D96B91" w:rsidRDefault="00C2656B">
      <w:pPr>
        <w:pStyle w:val="BodyText"/>
        <w:spacing w:before="85" w:line="260" w:lineRule="exact"/>
        <w:ind w:right="1548"/>
      </w:pPr>
      <w:r>
        <w:rPr>
          <w:rFonts w:cs="Avenir Next"/>
        </w:rPr>
        <w:t xml:space="preserve">Other </w:t>
      </w:r>
      <w:r>
        <w:rPr>
          <w:rFonts w:cs="Avenir Next"/>
          <w:spacing w:val="-1"/>
        </w:rPr>
        <w:t>parties,</w:t>
      </w:r>
      <w:r>
        <w:rPr>
          <w:rFonts w:cs="Avenir Next"/>
          <w:spacing w:val="-6"/>
        </w:rPr>
        <w:t xml:space="preserve"> </w:t>
      </w:r>
      <w:r>
        <w:rPr>
          <w:rFonts w:cs="Avenir Next"/>
        </w:rPr>
        <w:t>including</w:t>
      </w:r>
      <w:r>
        <w:rPr>
          <w:rFonts w:cs="Avenir Next"/>
          <w:spacing w:val="-4"/>
        </w:rPr>
        <w:t xml:space="preserve"> ACTEW,</w:t>
      </w:r>
      <w:r>
        <w:rPr>
          <w:rFonts w:cs="Avenir Next"/>
          <w:spacing w:val="-6"/>
        </w:rPr>
        <w:t xml:space="preserve"> </w:t>
      </w:r>
      <w:r>
        <w:rPr>
          <w:rFonts w:cs="Avenir Next"/>
        </w:rPr>
        <w:t xml:space="preserve">can also be </w:t>
      </w:r>
      <w:r>
        <w:rPr>
          <w:rFonts w:cs="Avenir Next"/>
          <w:spacing w:val="-1"/>
        </w:rPr>
        <w:t>expected</w:t>
      </w:r>
      <w:r>
        <w:rPr>
          <w:rFonts w:cs="Avenir Next"/>
        </w:rPr>
        <w:t xml:space="preserve"> to incur costs in </w:t>
      </w:r>
      <w:r>
        <w:rPr>
          <w:rFonts w:cs="Avenir Next"/>
          <w:spacing w:val="-1"/>
        </w:rPr>
        <w:t>participating</w:t>
      </w:r>
      <w:r>
        <w:rPr>
          <w:rFonts w:cs="Avenir Next"/>
        </w:rPr>
        <w:t xml:space="preserve"> in the </w:t>
      </w:r>
      <w:r>
        <w:rPr>
          <w:rFonts w:cs="Avenir Next"/>
          <w:spacing w:val="-1"/>
        </w:rPr>
        <w:t>review</w:t>
      </w:r>
      <w:r>
        <w:rPr>
          <w:rFonts w:cs="Avenir Next"/>
          <w:spacing w:val="51"/>
        </w:rPr>
        <w:t xml:space="preserve"> </w:t>
      </w:r>
      <w:r>
        <w:rPr>
          <w:spacing w:val="-1"/>
        </w:rPr>
        <w:t>process.</w:t>
      </w:r>
      <w:r>
        <w:rPr>
          <w:spacing w:val="-6"/>
        </w:rPr>
        <w:t xml:space="preserve"> </w:t>
      </w:r>
      <w:r>
        <w:t xml:space="preserve">Based on the </w:t>
      </w:r>
      <w:r>
        <w:rPr>
          <w:spacing w:val="-4"/>
        </w:rPr>
        <w:t>Panel’s</w:t>
      </w:r>
      <w:r>
        <w:t xml:space="preserve"> </w:t>
      </w:r>
      <w:r>
        <w:rPr>
          <w:spacing w:val="-1"/>
        </w:rPr>
        <w:t>experience</w:t>
      </w:r>
      <w:r>
        <w:t xml:space="preserve"> in this </w:t>
      </w:r>
      <w:r>
        <w:rPr>
          <w:spacing w:val="-2"/>
        </w:rPr>
        <w:t>review,</w:t>
      </w:r>
      <w:r>
        <w:rPr>
          <w:spacing w:val="-6"/>
        </w:rPr>
        <w:t xml:space="preserve"> </w:t>
      </w:r>
      <w:r>
        <w:t xml:space="preserve">it considers </w:t>
      </w:r>
      <w:r>
        <w:rPr>
          <w:spacing w:val="-1"/>
        </w:rPr>
        <w:t>that</w:t>
      </w:r>
      <w:r>
        <w:t xml:space="preserve"> these costs </w:t>
      </w:r>
      <w:r>
        <w:rPr>
          <w:spacing w:val="-2"/>
        </w:rPr>
        <w:t>are</w:t>
      </w:r>
      <w:r>
        <w:t xml:space="preserve"> </w:t>
      </w:r>
      <w:r>
        <w:rPr>
          <w:spacing w:val="-1"/>
        </w:rPr>
        <w:t>likely</w:t>
      </w:r>
      <w:r>
        <w:t xml:space="preserve"> to be</w:t>
      </w:r>
      <w:r>
        <w:rPr>
          <w:spacing w:val="53"/>
        </w:rPr>
        <w:t xml:space="preserve"> </w:t>
      </w:r>
      <w:r>
        <w:rPr>
          <w:spacing w:val="-1"/>
        </w:rPr>
        <w:t>material.</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61" style="width:72.5pt;height:.5pt;mso-position-horizontal-relative:char;mso-position-vertical-relative:line" coordsize="1450,10">
            <v:group id="_x0000_s3262" style="position:absolute;left:5;top:5;width:1440;height:2" coordorigin="5,5" coordsize="1440,2">
              <v:shape id="_x0000_s3263"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31.</w:t>
      </w:r>
    </w:p>
    <w:p w:rsidR="00D96B91" w:rsidRDefault="00C2656B">
      <w:pPr>
        <w:numPr>
          <w:ilvl w:val="0"/>
          <w:numId w:val="99"/>
        </w:numPr>
        <w:tabs>
          <w:tab w:val="left" w:pos="1758"/>
        </w:tabs>
        <w:spacing w:before="128" w:line="192" w:lineRule="exact"/>
        <w:ind w:right="1351" w:hanging="510"/>
        <w:rPr>
          <w:rFonts w:ascii="Avenir Next" w:eastAsia="Avenir Next" w:hAnsi="Avenir Next" w:cs="Avenir Next"/>
          <w:sz w:val="16"/>
          <w:szCs w:val="16"/>
        </w:rPr>
      </w:pPr>
      <w:r>
        <w:rPr>
          <w:rFonts w:ascii="Avenir Next"/>
          <w:spacing w:val="-3"/>
          <w:sz w:val="16"/>
        </w:rPr>
        <w:t>For</w:t>
      </w:r>
      <w:r>
        <w:rPr>
          <w:rFonts w:ascii="Avenir Next"/>
          <w:sz w:val="16"/>
        </w:rPr>
        <w:t xml:space="preserve"> </w:t>
      </w:r>
      <w:r>
        <w:rPr>
          <w:rFonts w:ascii="Avenir Next"/>
          <w:spacing w:val="-1"/>
          <w:sz w:val="16"/>
        </w:rPr>
        <w:t>example,</w:t>
      </w:r>
      <w:r>
        <w:rPr>
          <w:rFonts w:ascii="Avenir Next"/>
          <w:spacing w:val="-5"/>
          <w:sz w:val="16"/>
        </w:rPr>
        <w:t xml:space="preserve"> </w:t>
      </w:r>
      <w:r>
        <w:rPr>
          <w:rFonts w:ascii="Avenir Next"/>
          <w:sz w:val="16"/>
        </w:rPr>
        <w:t xml:space="preserve">in the last </w:t>
      </w:r>
      <w:r>
        <w:rPr>
          <w:rFonts w:ascii="Avenir Next"/>
          <w:spacing w:val="-1"/>
          <w:sz w:val="16"/>
        </w:rPr>
        <w:t>regulatory</w:t>
      </w:r>
      <w:r>
        <w:rPr>
          <w:rFonts w:ascii="Avenir Next"/>
          <w:sz w:val="16"/>
        </w:rPr>
        <w:t xml:space="preserve"> period the </w:t>
      </w:r>
      <w:r>
        <w:rPr>
          <w:rFonts w:ascii="Avenir Next"/>
          <w:spacing w:val="-1"/>
          <w:sz w:val="16"/>
        </w:rPr>
        <w:t>water</w:t>
      </w:r>
      <w:r>
        <w:rPr>
          <w:rFonts w:ascii="Avenir Next"/>
          <w:sz w:val="16"/>
        </w:rPr>
        <w:t xml:space="preserve"> supply </w:t>
      </w:r>
      <w:r>
        <w:rPr>
          <w:rFonts w:ascii="Avenir Next"/>
          <w:spacing w:val="-1"/>
          <w:sz w:val="16"/>
        </w:rPr>
        <w:t>charge</w:t>
      </w:r>
      <w:r>
        <w:rPr>
          <w:rFonts w:ascii="Avenir Next"/>
          <w:sz w:val="16"/>
        </w:rPr>
        <w:t xml:space="preserve"> </w:t>
      </w:r>
      <w:r>
        <w:rPr>
          <w:rFonts w:ascii="Avenir Next"/>
          <w:spacing w:val="-1"/>
          <w:sz w:val="16"/>
        </w:rPr>
        <w:t>increased</w:t>
      </w:r>
      <w:r>
        <w:rPr>
          <w:rFonts w:ascii="Avenir Next"/>
          <w:sz w:val="16"/>
        </w:rPr>
        <w:t xml:space="preserve"> by 17.5% within the period and tier 1 and</w:t>
      </w:r>
      <w:r>
        <w:rPr>
          <w:rFonts w:ascii="Avenir Next"/>
          <w:spacing w:val="49"/>
          <w:sz w:val="16"/>
        </w:rPr>
        <w:t xml:space="preserve"> </w:t>
      </w:r>
      <w:r>
        <w:rPr>
          <w:rFonts w:ascii="Avenir Next"/>
          <w:sz w:val="16"/>
        </w:rPr>
        <w:t xml:space="preserve">tier 2 volumetric </w:t>
      </w:r>
      <w:r>
        <w:rPr>
          <w:rFonts w:ascii="Avenir Next"/>
          <w:spacing w:val="-1"/>
          <w:sz w:val="16"/>
        </w:rPr>
        <w:t>charges</w:t>
      </w:r>
      <w:r>
        <w:rPr>
          <w:rFonts w:ascii="Avenir Next"/>
          <w:sz w:val="16"/>
        </w:rPr>
        <w:t xml:space="preserve"> </w:t>
      </w:r>
      <w:r>
        <w:rPr>
          <w:rFonts w:ascii="Avenir Next"/>
          <w:spacing w:val="-1"/>
          <w:sz w:val="16"/>
        </w:rPr>
        <w:t>rose</w:t>
      </w:r>
      <w:r>
        <w:rPr>
          <w:rFonts w:ascii="Avenir Next"/>
          <w:sz w:val="16"/>
        </w:rPr>
        <w:t xml:space="preserve"> by 31%.</w:t>
      </w:r>
      <w:r>
        <w:rPr>
          <w:rFonts w:ascii="Avenir Next"/>
          <w:spacing w:val="-5"/>
          <w:sz w:val="16"/>
        </w:rPr>
        <w:t xml:space="preserve"> </w:t>
      </w:r>
      <w:r>
        <w:rPr>
          <w:rFonts w:ascii="Avenir Next"/>
          <w:sz w:val="16"/>
        </w:rPr>
        <w:t xml:space="preserve">In the 2004-2008 </w:t>
      </w:r>
      <w:r>
        <w:rPr>
          <w:rFonts w:ascii="Avenir Next"/>
          <w:spacing w:val="-1"/>
          <w:sz w:val="16"/>
        </w:rPr>
        <w:t>regulatory</w:t>
      </w:r>
      <w:r>
        <w:rPr>
          <w:rFonts w:ascii="Avenir Next"/>
          <w:sz w:val="16"/>
        </w:rPr>
        <w:t xml:space="preserve"> period,</w:t>
      </w:r>
      <w:r>
        <w:rPr>
          <w:rFonts w:ascii="Avenir Next"/>
          <w:spacing w:val="-5"/>
          <w:sz w:val="16"/>
        </w:rPr>
        <w:t xml:space="preserve"> </w:t>
      </w:r>
      <w:r>
        <w:rPr>
          <w:rFonts w:ascii="Avenir Next"/>
          <w:sz w:val="16"/>
        </w:rPr>
        <w:t xml:space="preserve">the </w:t>
      </w:r>
      <w:r>
        <w:rPr>
          <w:rFonts w:ascii="Avenir Next"/>
          <w:spacing w:val="-1"/>
          <w:sz w:val="16"/>
        </w:rPr>
        <w:t>water</w:t>
      </w:r>
      <w:r>
        <w:rPr>
          <w:rFonts w:ascii="Avenir Next"/>
          <w:sz w:val="16"/>
        </w:rPr>
        <w:t xml:space="preserve"> supply </w:t>
      </w:r>
      <w:r>
        <w:rPr>
          <w:rFonts w:ascii="Avenir Next"/>
          <w:spacing w:val="-1"/>
          <w:sz w:val="16"/>
        </w:rPr>
        <w:t>charge</w:t>
      </w:r>
      <w:r>
        <w:rPr>
          <w:rFonts w:ascii="Avenir Next"/>
          <w:sz w:val="16"/>
        </w:rPr>
        <w:t xml:space="preserve"> </w:t>
      </w:r>
      <w:r>
        <w:rPr>
          <w:rFonts w:ascii="Avenir Next"/>
          <w:spacing w:val="-1"/>
          <w:sz w:val="16"/>
        </w:rPr>
        <w:t>remained</w:t>
      </w:r>
      <w:r>
        <w:rPr>
          <w:rFonts w:ascii="Avenir Next"/>
          <w:sz w:val="16"/>
        </w:rPr>
        <w:t xml:space="preserve"> constant</w:t>
      </w:r>
      <w:r>
        <w:rPr>
          <w:rFonts w:ascii="Avenir Next"/>
          <w:spacing w:val="43"/>
          <w:sz w:val="16"/>
        </w:rPr>
        <w:t xml:space="preserve"> </w:t>
      </w:r>
      <w:r>
        <w:rPr>
          <w:rFonts w:ascii="Avenir Next"/>
          <w:sz w:val="16"/>
        </w:rPr>
        <w:t xml:space="preserve">while the tier 1 price </w:t>
      </w:r>
      <w:r>
        <w:rPr>
          <w:rFonts w:ascii="Avenir Next"/>
          <w:spacing w:val="-1"/>
          <w:sz w:val="16"/>
        </w:rPr>
        <w:t>rose</w:t>
      </w:r>
      <w:r>
        <w:rPr>
          <w:rFonts w:ascii="Avenir Next"/>
          <w:sz w:val="16"/>
        </w:rPr>
        <w:t xml:space="preserve"> by 50%,</w:t>
      </w:r>
      <w:r>
        <w:rPr>
          <w:rFonts w:ascii="Avenir Next"/>
          <w:spacing w:val="-5"/>
          <w:sz w:val="16"/>
        </w:rPr>
        <w:t xml:space="preserve"> </w:t>
      </w:r>
      <w:r>
        <w:rPr>
          <w:rFonts w:ascii="Avenir Next"/>
          <w:sz w:val="16"/>
        </w:rPr>
        <w:t xml:space="preserve">the tier 2 price </w:t>
      </w:r>
      <w:r>
        <w:rPr>
          <w:rFonts w:ascii="Avenir Next"/>
          <w:spacing w:val="-1"/>
          <w:sz w:val="16"/>
        </w:rPr>
        <w:t>rose</w:t>
      </w:r>
      <w:r>
        <w:rPr>
          <w:rFonts w:ascii="Avenir Next"/>
          <w:sz w:val="16"/>
        </w:rPr>
        <w:t xml:space="preserve"> by 67% and the tier 3 price by 90% over the </w:t>
      </w:r>
      <w:r>
        <w:rPr>
          <w:rFonts w:ascii="Avenir Next"/>
          <w:spacing w:val="-1"/>
          <w:sz w:val="16"/>
        </w:rPr>
        <w:t>regulatory</w:t>
      </w:r>
      <w:r>
        <w:rPr>
          <w:rFonts w:ascii="Avenir Next"/>
          <w:sz w:val="16"/>
        </w:rPr>
        <w:t xml:space="preserve"> period.</w:t>
      </w:r>
      <w:r>
        <w:rPr>
          <w:rFonts w:ascii="Avenir Next"/>
          <w:spacing w:val="-5"/>
          <w:sz w:val="16"/>
        </w:rPr>
        <w:t xml:space="preserve"> </w:t>
      </w:r>
      <w:r>
        <w:rPr>
          <w:rFonts w:ascii="Avenir Next"/>
          <w:sz w:val="16"/>
        </w:rPr>
        <w:t>See</w:t>
      </w:r>
      <w:r>
        <w:rPr>
          <w:rFonts w:ascii="Avenir Next"/>
          <w:spacing w:val="28"/>
          <w:sz w:val="16"/>
        </w:rPr>
        <w:t xml:space="preserve"> </w:t>
      </w: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2"/>
          <w:sz w:val="16"/>
        </w:rPr>
        <w:t xml:space="preserve"> Water</w:t>
      </w:r>
      <w:r>
        <w:rPr>
          <w:rFonts w:ascii="Avenir Next"/>
          <w:sz w:val="16"/>
        </w:rPr>
        <w:t xml:space="preserve"> and</w:t>
      </w:r>
      <w:r>
        <w:rPr>
          <w:rFonts w:ascii="Avenir Next"/>
          <w:spacing w:val="-2"/>
          <w:sz w:val="16"/>
        </w:rPr>
        <w:t xml:space="preserve"> </w:t>
      </w:r>
      <w:r>
        <w:rPr>
          <w:rFonts w:ascii="Avenir Next"/>
          <w:spacing w:val="-1"/>
          <w:sz w:val="16"/>
        </w:rPr>
        <w:t>Wastewater</w:t>
      </w:r>
      <w:r>
        <w:rPr>
          <w:rFonts w:ascii="Avenir Next"/>
          <w:sz w:val="16"/>
        </w:rPr>
        <w:t xml:space="preserve"> </w:t>
      </w:r>
      <w:r>
        <w:rPr>
          <w:rFonts w:ascii="Avenir Next"/>
          <w:spacing w:val="-2"/>
          <w:sz w:val="16"/>
        </w:rPr>
        <w:t>Price</w:t>
      </w:r>
      <w:r>
        <w:rPr>
          <w:rFonts w:ascii="Avenir Next"/>
          <w:sz w:val="16"/>
        </w:rPr>
        <w:t xml:space="preserve"> </w:t>
      </w:r>
      <w:r>
        <w:rPr>
          <w:rFonts w:ascii="Avenir Next"/>
          <w:spacing w:val="-2"/>
          <w:sz w:val="16"/>
        </w:rPr>
        <w:t>Review,</w:t>
      </w:r>
      <w:r>
        <w:rPr>
          <w:rFonts w:ascii="Avenir Next"/>
          <w:spacing w:val="-8"/>
          <w:sz w:val="16"/>
        </w:rPr>
        <w:t xml:space="preserve"> </w:t>
      </w:r>
      <w:r>
        <w:rPr>
          <w:rFonts w:ascii="Avenir Next"/>
          <w:sz w:val="16"/>
        </w:rPr>
        <w:t>April 2008,</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127 and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w:t>
      </w:r>
      <w:r>
        <w:rPr>
          <w:rFonts w:ascii="Avenir Next"/>
          <w:spacing w:val="59"/>
          <w:sz w:val="16"/>
        </w:rPr>
        <w:t xml:space="preserve">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157.</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7"/>
        <w:numPr>
          <w:ilvl w:val="3"/>
          <w:numId w:val="101"/>
        </w:numPr>
        <w:tabs>
          <w:tab w:val="left" w:pos="2212"/>
        </w:tabs>
        <w:spacing w:before="29"/>
        <w:rPr>
          <w:rFonts w:cs="Avenir Next"/>
          <w:b w:val="0"/>
          <w:bCs w:val="0"/>
        </w:rPr>
      </w:pPr>
      <w:bookmarkStart w:id="60" w:name="6._4_Form_of_control_and_measures_to_dea"/>
      <w:bookmarkStart w:id="61" w:name="_bookmark33"/>
      <w:bookmarkEnd w:id="60"/>
      <w:bookmarkEnd w:id="61"/>
      <w:r>
        <w:rPr>
          <w:color w:val="0778BE"/>
          <w:spacing w:val="-2"/>
        </w:rPr>
        <w:t>Can</w:t>
      </w:r>
      <w:r>
        <w:rPr>
          <w:color w:val="0778BE"/>
        </w:rPr>
        <w:t xml:space="preserve"> the biennial </w:t>
      </w:r>
      <w:r>
        <w:rPr>
          <w:color w:val="0778BE"/>
          <w:spacing w:val="-1"/>
        </w:rPr>
        <w:t>recalibration</w:t>
      </w:r>
      <w:r>
        <w:rPr>
          <w:color w:val="0778BE"/>
        </w:rPr>
        <w:t xml:space="preserve"> </w:t>
      </w:r>
      <w:r>
        <w:rPr>
          <w:color w:val="0778BE"/>
          <w:spacing w:val="-1"/>
        </w:rPr>
        <w:t>process</w:t>
      </w:r>
      <w:r>
        <w:rPr>
          <w:color w:val="0778BE"/>
        </w:rPr>
        <w:t xml:space="preserve"> benefits be achieved in other ways?</w:t>
      </w:r>
    </w:p>
    <w:p w:rsidR="00D96B91" w:rsidRDefault="00C2656B">
      <w:pPr>
        <w:pStyle w:val="BodyText"/>
        <w:spacing w:before="28" w:line="260" w:lineRule="exact"/>
        <w:ind w:right="1270"/>
      </w:pPr>
      <w:r>
        <w:rPr>
          <w:spacing w:val="-2"/>
        </w:rPr>
        <w:t>As</w:t>
      </w:r>
      <w:r>
        <w:rPr>
          <w:spacing w:val="-8"/>
        </w:rPr>
        <w:t xml:space="preserve"> </w:t>
      </w:r>
      <w:r>
        <w:rPr>
          <w:spacing w:val="-4"/>
        </w:rPr>
        <w:t>part</w:t>
      </w:r>
      <w:r>
        <w:rPr>
          <w:spacing w:val="-8"/>
        </w:rPr>
        <w:t xml:space="preserve"> </w:t>
      </w:r>
      <w:r>
        <w:rPr>
          <w:spacing w:val="-2"/>
        </w:rPr>
        <w:t>of</w:t>
      </w:r>
      <w:r>
        <w:rPr>
          <w:spacing w:val="-4"/>
        </w:rPr>
        <w:t xml:space="preserve"> </w:t>
      </w:r>
      <w:r>
        <w:rPr>
          <w:spacing w:val="-3"/>
        </w:rPr>
        <w:t>its</w:t>
      </w:r>
      <w:r>
        <w:rPr>
          <w:spacing w:val="-8"/>
        </w:rPr>
        <w:t xml:space="preserve"> </w:t>
      </w:r>
      <w:r>
        <w:rPr>
          <w:spacing w:val="-4"/>
        </w:rPr>
        <w:t>broader</w:t>
      </w:r>
      <w:r>
        <w:rPr>
          <w:spacing w:val="-8"/>
        </w:rPr>
        <w:t xml:space="preserve"> </w:t>
      </w:r>
      <w:r>
        <w:rPr>
          <w:spacing w:val="-5"/>
        </w:rPr>
        <w:t>consideration</w:t>
      </w:r>
      <w:r>
        <w:rPr>
          <w:spacing w:val="-8"/>
        </w:rPr>
        <w:t xml:space="preserve"> </w:t>
      </w:r>
      <w:r>
        <w:rPr>
          <w:spacing w:val="-2"/>
        </w:rPr>
        <w:t>of</w:t>
      </w:r>
      <w:r>
        <w:rPr>
          <w:spacing w:val="-4"/>
        </w:rPr>
        <w:t xml:space="preserve"> </w:t>
      </w:r>
      <w:r>
        <w:rPr>
          <w:spacing w:val="-3"/>
        </w:rPr>
        <w:t>this</w:t>
      </w:r>
      <w:r>
        <w:rPr>
          <w:spacing w:val="-8"/>
        </w:rPr>
        <w:t xml:space="preserve"> </w:t>
      </w:r>
      <w:r>
        <w:rPr>
          <w:spacing w:val="-4"/>
        </w:rPr>
        <w:t>issue,</w:t>
      </w:r>
      <w:r>
        <w:rPr>
          <w:spacing w:val="-14"/>
        </w:rPr>
        <w:t xml:space="preserve"> </w:t>
      </w:r>
      <w:r>
        <w:rPr>
          <w:spacing w:val="-3"/>
        </w:rPr>
        <w:t>the</w:t>
      </w:r>
      <w:r>
        <w:rPr>
          <w:spacing w:val="-8"/>
        </w:rPr>
        <w:t xml:space="preserve"> </w:t>
      </w:r>
      <w:r>
        <w:rPr>
          <w:spacing w:val="-6"/>
        </w:rPr>
        <w:t>Panel</w:t>
      </w:r>
      <w:r>
        <w:rPr>
          <w:spacing w:val="-8"/>
        </w:rPr>
        <w:t xml:space="preserve"> </w:t>
      </w:r>
      <w:r>
        <w:rPr>
          <w:spacing w:val="-4"/>
        </w:rPr>
        <w:t>considered</w:t>
      </w:r>
      <w:r>
        <w:rPr>
          <w:spacing w:val="-8"/>
        </w:rPr>
        <w:t xml:space="preserve"> </w:t>
      </w:r>
      <w:r>
        <w:rPr>
          <w:spacing w:val="-4"/>
        </w:rPr>
        <w:t>whether</w:t>
      </w:r>
      <w:r>
        <w:rPr>
          <w:spacing w:val="-8"/>
        </w:rPr>
        <w:t xml:space="preserve"> </w:t>
      </w:r>
      <w:r>
        <w:rPr>
          <w:spacing w:val="-4"/>
        </w:rPr>
        <w:t>there</w:t>
      </w:r>
      <w:r>
        <w:rPr>
          <w:spacing w:val="-8"/>
        </w:rPr>
        <w:t xml:space="preserve"> </w:t>
      </w:r>
      <w:r>
        <w:rPr>
          <w:spacing w:val="-4"/>
        </w:rPr>
        <w:t>are</w:t>
      </w:r>
      <w:r>
        <w:rPr>
          <w:spacing w:val="-8"/>
        </w:rPr>
        <w:t xml:space="preserve"> </w:t>
      </w:r>
      <w:r>
        <w:rPr>
          <w:spacing w:val="-3"/>
        </w:rPr>
        <w:t>any</w:t>
      </w:r>
      <w:r>
        <w:rPr>
          <w:spacing w:val="-8"/>
        </w:rPr>
        <w:t xml:space="preserve"> </w:t>
      </w:r>
      <w:r>
        <w:rPr>
          <w:spacing w:val="-4"/>
        </w:rPr>
        <w:t>other</w:t>
      </w:r>
      <w:r>
        <w:rPr>
          <w:spacing w:val="-8"/>
        </w:rPr>
        <w:t xml:space="preserve"> </w:t>
      </w:r>
      <w:r>
        <w:rPr>
          <w:spacing w:val="-5"/>
        </w:rPr>
        <w:t>measures</w:t>
      </w:r>
      <w:r>
        <w:rPr>
          <w:spacing w:val="63"/>
        </w:rPr>
        <w:t xml:space="preserve"> </w:t>
      </w:r>
      <w:r>
        <w:rPr>
          <w:spacing w:val="-4"/>
        </w:rPr>
        <w:t>that</w:t>
      </w:r>
      <w:r>
        <w:rPr>
          <w:spacing w:val="-9"/>
        </w:rPr>
        <w:t xml:space="preserve"> </w:t>
      </w:r>
      <w:r>
        <w:rPr>
          <w:spacing w:val="-4"/>
        </w:rPr>
        <w:t>could</w:t>
      </w:r>
      <w:r>
        <w:rPr>
          <w:spacing w:val="-8"/>
        </w:rPr>
        <w:t xml:space="preserve"> </w:t>
      </w:r>
      <w:r>
        <w:rPr>
          <w:spacing w:val="-2"/>
        </w:rPr>
        <w:t>be</w:t>
      </w:r>
      <w:r>
        <w:rPr>
          <w:spacing w:val="-8"/>
        </w:rPr>
        <w:t xml:space="preserve"> </w:t>
      </w:r>
      <w:r>
        <w:rPr>
          <w:spacing w:val="-3"/>
        </w:rPr>
        <w:t>used</w:t>
      </w:r>
      <w:r>
        <w:rPr>
          <w:spacing w:val="-8"/>
        </w:rPr>
        <w:t xml:space="preserve"> </w:t>
      </w:r>
      <w:r>
        <w:rPr>
          <w:spacing w:val="-2"/>
        </w:rPr>
        <w:t>to</w:t>
      </w:r>
      <w:r>
        <w:rPr>
          <w:spacing w:val="-8"/>
        </w:rPr>
        <w:t xml:space="preserve"> </w:t>
      </w:r>
      <w:r>
        <w:rPr>
          <w:spacing w:val="-4"/>
        </w:rPr>
        <w:t>achieve</w:t>
      </w:r>
      <w:r>
        <w:rPr>
          <w:spacing w:val="-8"/>
        </w:rPr>
        <w:t xml:space="preserve"> </w:t>
      </w:r>
      <w:r>
        <w:rPr>
          <w:spacing w:val="-3"/>
        </w:rPr>
        <w:t>some</w:t>
      </w:r>
      <w:r>
        <w:rPr>
          <w:spacing w:val="-8"/>
        </w:rPr>
        <w:t xml:space="preserve"> </w:t>
      </w:r>
      <w:r>
        <w:rPr>
          <w:spacing w:val="-2"/>
        </w:rPr>
        <w:t>of</w:t>
      </w:r>
      <w:r>
        <w:rPr>
          <w:spacing w:val="-4"/>
        </w:rPr>
        <w:t xml:space="preserve"> </w:t>
      </w:r>
      <w:r>
        <w:rPr>
          <w:spacing w:val="-3"/>
        </w:rPr>
        <w:t>the</w:t>
      </w:r>
      <w:r>
        <w:rPr>
          <w:spacing w:val="-8"/>
        </w:rPr>
        <w:t xml:space="preserve"> </w:t>
      </w:r>
      <w:r>
        <w:rPr>
          <w:spacing w:val="-4"/>
        </w:rPr>
        <w:t>claimed</w:t>
      </w:r>
      <w:r>
        <w:rPr>
          <w:spacing w:val="-8"/>
        </w:rPr>
        <w:t xml:space="preserve"> </w:t>
      </w:r>
      <w:r>
        <w:rPr>
          <w:spacing w:val="-3"/>
        </w:rPr>
        <w:t>benefi</w:t>
      </w:r>
      <w:r w:rsidR="00105476">
        <w:rPr>
          <w:spacing w:val="-3"/>
        </w:rPr>
        <w:t xml:space="preserve">ts </w:t>
      </w:r>
      <w:r>
        <w:rPr>
          <w:spacing w:val="-2"/>
        </w:rPr>
        <w:t>of</w:t>
      </w:r>
      <w:r>
        <w:rPr>
          <w:spacing w:val="-4"/>
        </w:rPr>
        <w:t xml:space="preserve"> </w:t>
      </w:r>
      <w:r>
        <w:rPr>
          <w:spacing w:val="-3"/>
        </w:rPr>
        <w:t>the</w:t>
      </w:r>
      <w:r>
        <w:rPr>
          <w:spacing w:val="-8"/>
        </w:rPr>
        <w:t xml:space="preserve"> </w:t>
      </w:r>
      <w:r>
        <w:rPr>
          <w:spacing w:val="-5"/>
        </w:rPr>
        <w:t>recalibration</w:t>
      </w:r>
      <w:r>
        <w:rPr>
          <w:spacing w:val="-8"/>
        </w:rPr>
        <w:t xml:space="preserve"> </w:t>
      </w:r>
      <w:r>
        <w:rPr>
          <w:spacing w:val="-4"/>
        </w:rPr>
        <w:t>process,</w:t>
      </w:r>
      <w:r>
        <w:rPr>
          <w:spacing w:val="-15"/>
        </w:rPr>
        <w:t xml:space="preserve"> </w:t>
      </w:r>
      <w:r>
        <w:rPr>
          <w:spacing w:val="-3"/>
        </w:rPr>
        <w:t>such</w:t>
      </w:r>
      <w:r>
        <w:rPr>
          <w:spacing w:val="-8"/>
        </w:rPr>
        <w:t xml:space="preserve"> </w:t>
      </w:r>
      <w:r>
        <w:rPr>
          <w:spacing w:val="-4"/>
        </w:rPr>
        <w:t>as:</w:t>
      </w:r>
    </w:p>
    <w:p w:rsidR="00D96B91" w:rsidRDefault="00C2656B">
      <w:pPr>
        <w:pStyle w:val="BodyText"/>
        <w:numPr>
          <w:ilvl w:val="0"/>
          <w:numId w:val="131"/>
        </w:numPr>
        <w:tabs>
          <w:tab w:val="left" w:pos="1531"/>
        </w:tabs>
        <w:spacing w:before="178"/>
        <w:ind w:hanging="283"/>
      </w:pPr>
      <w:r>
        <w:rPr>
          <w:spacing w:val="-1"/>
        </w:rPr>
        <w:t xml:space="preserve">improving </w:t>
      </w:r>
      <w:r>
        <w:t>the</w:t>
      </w:r>
      <w:r>
        <w:rPr>
          <w:spacing w:val="-1"/>
        </w:rPr>
        <w:t xml:space="preserve"> </w:t>
      </w:r>
      <w:r>
        <w:rPr>
          <w:spacing w:val="-2"/>
        </w:rPr>
        <w:t>ICRC’s</w:t>
      </w:r>
      <w:r>
        <w:t xml:space="preserve"> ability</w:t>
      </w:r>
      <w:r>
        <w:rPr>
          <w:spacing w:val="-1"/>
        </w:rPr>
        <w:t xml:space="preserve"> </w:t>
      </w:r>
      <w:r>
        <w:t>to assess</w:t>
      </w:r>
      <w:r>
        <w:rPr>
          <w:spacing w:val="-1"/>
        </w:rPr>
        <w:t xml:space="preserve"> </w:t>
      </w:r>
      <w:r>
        <w:t>the</w:t>
      </w:r>
      <w:r>
        <w:rPr>
          <w:spacing w:val="-1"/>
        </w:rPr>
        <w:t xml:space="preserve"> </w:t>
      </w:r>
      <w:r>
        <w:t>prudence and</w:t>
      </w:r>
      <w:r>
        <w:rPr>
          <w:spacing w:val="-1"/>
        </w:rPr>
        <w:t xml:space="preserve"> efficiency</w:t>
      </w:r>
      <w:r>
        <w:t xml:space="preserve"> of</w:t>
      </w:r>
      <w:r>
        <w:rPr>
          <w:spacing w:val="3"/>
        </w:rPr>
        <w:t xml:space="preserve"> </w:t>
      </w:r>
      <w:r>
        <w:rPr>
          <w:spacing w:val="-1"/>
        </w:rPr>
        <w:t>expenditure,</w:t>
      </w:r>
      <w:r>
        <w:rPr>
          <w:spacing w:val="-6"/>
        </w:rPr>
        <w:t xml:space="preserve"> </w:t>
      </w:r>
      <w:r>
        <w:t>and</w:t>
      </w:r>
    </w:p>
    <w:p w:rsidR="00D96B91" w:rsidRDefault="00C2656B">
      <w:pPr>
        <w:pStyle w:val="BodyText"/>
        <w:numPr>
          <w:ilvl w:val="0"/>
          <w:numId w:val="131"/>
        </w:numPr>
        <w:tabs>
          <w:tab w:val="left" w:pos="1531"/>
        </w:tabs>
        <w:spacing w:before="64" w:line="260" w:lineRule="exact"/>
        <w:ind w:right="1298" w:hanging="283"/>
      </w:pPr>
      <w:r>
        <w:t xml:space="preserve">allowing the ICRC to assess major capital </w:t>
      </w:r>
      <w:r>
        <w:rPr>
          <w:spacing w:val="-1"/>
        </w:rPr>
        <w:t>expenditure</w:t>
      </w:r>
      <w:r>
        <w:t xml:space="preserve"> </w:t>
      </w:r>
      <w:r>
        <w:rPr>
          <w:spacing w:val="-1"/>
        </w:rPr>
        <w:t>projects</w:t>
      </w:r>
      <w:r>
        <w:t xml:space="preserve"> when decisions </w:t>
      </w:r>
      <w:r>
        <w:rPr>
          <w:spacing w:val="-2"/>
        </w:rPr>
        <w:t>are</w:t>
      </w:r>
      <w:r>
        <w:t xml:space="preserve"> made </w:t>
      </w:r>
      <w:r>
        <w:rPr>
          <w:spacing w:val="-1"/>
        </w:rPr>
        <w:t>rather</w:t>
      </w:r>
      <w:r>
        <w:t xml:space="preserve"> than</w:t>
      </w:r>
      <w:r>
        <w:rPr>
          <w:spacing w:val="25"/>
        </w:rPr>
        <w:t xml:space="preserve"> </w:t>
      </w:r>
      <w:r>
        <w:rPr>
          <w:spacing w:val="-1"/>
        </w:rPr>
        <w:t>at</w:t>
      </w:r>
      <w:r>
        <w:t xml:space="preserve"> the end of</w:t>
      </w:r>
      <w:r>
        <w:rPr>
          <w:spacing w:val="4"/>
        </w:rPr>
        <w:t xml:space="preserve"> </w:t>
      </w:r>
      <w:r>
        <w:t xml:space="preserve">the </w:t>
      </w:r>
      <w:r>
        <w:rPr>
          <w:spacing w:val="-1"/>
        </w:rPr>
        <w:t>regulatory</w:t>
      </w:r>
      <w:r>
        <w:t xml:space="preserve"> period.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rPr>
          <w:rFonts w:cs="Avenir Next"/>
        </w:rPr>
      </w:pPr>
      <w:r>
        <w:t xml:space="preserve">One </w:t>
      </w:r>
      <w:r>
        <w:rPr>
          <w:spacing w:val="-1"/>
        </w:rPr>
        <w:t>measure</w:t>
      </w:r>
      <w:r>
        <w:t xml:space="preserve"> </w:t>
      </w:r>
      <w:r>
        <w:rPr>
          <w:spacing w:val="-1"/>
        </w:rPr>
        <w:t>that</w:t>
      </w:r>
      <w:r>
        <w:t xml:space="preserve"> the </w:t>
      </w:r>
      <w:r>
        <w:rPr>
          <w:spacing w:val="-3"/>
        </w:rPr>
        <w:t>Panel</w:t>
      </w:r>
      <w:r>
        <w:t xml:space="preserve"> </w:t>
      </w:r>
      <w:r>
        <w:rPr>
          <w:spacing w:val="-1"/>
        </w:rPr>
        <w:t>thinks</w:t>
      </w:r>
      <w:r>
        <w:t xml:space="preserve"> could </w:t>
      </w:r>
      <w:r>
        <w:rPr>
          <w:spacing w:val="-1"/>
        </w:rPr>
        <w:t>improve</w:t>
      </w:r>
      <w:r>
        <w:t xml:space="preserve"> the </w:t>
      </w:r>
      <w:r>
        <w:rPr>
          <w:spacing w:val="-1"/>
        </w:rPr>
        <w:t>regulatory</w:t>
      </w:r>
      <w:r>
        <w:t xml:space="preserve"> </w:t>
      </w:r>
      <w:r>
        <w:rPr>
          <w:spacing w:val="-1"/>
        </w:rPr>
        <w:t>review</w:t>
      </w:r>
      <w:r>
        <w:t xml:space="preserve"> </w:t>
      </w:r>
      <w:r>
        <w:rPr>
          <w:spacing w:val="-1"/>
        </w:rPr>
        <w:t>process</w:t>
      </w:r>
      <w:r>
        <w:t xml:space="preserve"> is to </w:t>
      </w:r>
      <w:r>
        <w:rPr>
          <w:spacing w:val="-2"/>
        </w:rPr>
        <w:t>require</w:t>
      </w:r>
      <w:r>
        <w:rPr>
          <w:spacing w:val="-4"/>
        </w:rPr>
        <w:t xml:space="preserve"> </w:t>
      </w:r>
      <w:r>
        <w:rPr>
          <w:spacing w:val="-2"/>
        </w:rPr>
        <w:t>ACTEW</w:t>
      </w:r>
      <w:r>
        <w:rPr>
          <w:spacing w:val="-3"/>
        </w:rPr>
        <w:t xml:space="preserve"> </w:t>
      </w:r>
      <w:r>
        <w:t>to</w:t>
      </w:r>
      <w:r>
        <w:rPr>
          <w:spacing w:val="63"/>
        </w:rPr>
        <w:t xml:space="preserve"> </w:t>
      </w:r>
      <w:r>
        <w:t xml:space="preserve">submit a </w:t>
      </w:r>
      <w:r>
        <w:rPr>
          <w:spacing w:val="-2"/>
        </w:rPr>
        <w:t>report</w:t>
      </w:r>
      <w:r>
        <w:t xml:space="preserve"> to the ICRC </w:t>
      </w:r>
      <w:r>
        <w:rPr>
          <w:spacing w:val="-1"/>
        </w:rPr>
        <w:t>each</w:t>
      </w:r>
      <w:r>
        <w:t xml:space="preserve"> </w:t>
      </w:r>
      <w:r>
        <w:rPr>
          <w:spacing w:val="-3"/>
        </w:rPr>
        <w:t>year,</w:t>
      </w:r>
      <w:r>
        <w:rPr>
          <w:spacing w:val="-6"/>
        </w:rPr>
        <w:t xml:space="preserve"> </w:t>
      </w:r>
      <w:r>
        <w:t>which sets out:</w:t>
      </w:r>
    </w:p>
    <w:p w:rsidR="00D96B91" w:rsidRDefault="00C2656B">
      <w:pPr>
        <w:pStyle w:val="BodyText"/>
        <w:numPr>
          <w:ilvl w:val="0"/>
          <w:numId w:val="131"/>
        </w:numPr>
        <w:tabs>
          <w:tab w:val="left" w:pos="1531"/>
        </w:tabs>
        <w:spacing w:before="170" w:line="260" w:lineRule="exact"/>
        <w:ind w:right="1251" w:hanging="283"/>
        <w:rPr>
          <w:rFonts w:cs="Avenir Next"/>
        </w:rPr>
      </w:pPr>
      <w:r>
        <w:t>the</w:t>
      </w:r>
      <w:r>
        <w:rPr>
          <w:spacing w:val="-1"/>
        </w:rPr>
        <w:t xml:space="preserve"> </w:t>
      </w:r>
      <w:r>
        <w:t>actual</w:t>
      </w:r>
      <w:r>
        <w:rPr>
          <w:spacing w:val="-1"/>
        </w:rPr>
        <w:t xml:space="preserve"> operating</w:t>
      </w:r>
      <w:r>
        <w:t xml:space="preserve"> and</w:t>
      </w:r>
      <w:r>
        <w:rPr>
          <w:spacing w:val="-1"/>
        </w:rPr>
        <w:t xml:space="preserve"> </w:t>
      </w:r>
      <w:r>
        <w:t xml:space="preserve">capital </w:t>
      </w:r>
      <w:r>
        <w:rPr>
          <w:spacing w:val="-1"/>
        </w:rPr>
        <w:t xml:space="preserve">expenditure </w:t>
      </w:r>
      <w:r>
        <w:t xml:space="preserve">it </w:t>
      </w:r>
      <w:r>
        <w:rPr>
          <w:spacing w:val="-1"/>
        </w:rPr>
        <w:t xml:space="preserve">incurred </w:t>
      </w:r>
      <w:r>
        <w:t>in the</w:t>
      </w:r>
      <w:r>
        <w:rPr>
          <w:spacing w:val="-1"/>
        </w:rPr>
        <w:t xml:space="preserve"> previous</w:t>
      </w:r>
      <w:r>
        <w:t xml:space="preserve"> financial</w:t>
      </w:r>
      <w:r>
        <w:rPr>
          <w:spacing w:val="-1"/>
        </w:rPr>
        <w:t xml:space="preserve"> </w:t>
      </w:r>
      <w:r>
        <w:rPr>
          <w:spacing w:val="-3"/>
        </w:rPr>
        <w:t>year,</w:t>
      </w:r>
      <w:r>
        <w:rPr>
          <w:spacing w:val="-6"/>
        </w:rPr>
        <w:t xml:space="preserve"> </w:t>
      </w:r>
      <w:r>
        <w:t>and</w:t>
      </w:r>
      <w:r>
        <w:rPr>
          <w:spacing w:val="-1"/>
        </w:rPr>
        <w:t xml:space="preserve"> </w:t>
      </w:r>
      <w:r>
        <w:t>an</w:t>
      </w:r>
      <w:r>
        <w:rPr>
          <w:spacing w:val="41"/>
        </w:rPr>
        <w:t xml:space="preserve"> </w:t>
      </w:r>
      <w:r>
        <w:rPr>
          <w:spacing w:val="-1"/>
        </w:rPr>
        <w:t>explanation</w:t>
      </w:r>
      <w:r>
        <w:t xml:space="preserve"> for any major </w:t>
      </w:r>
      <w:r>
        <w:rPr>
          <w:spacing w:val="-1"/>
        </w:rPr>
        <w:t>deviation</w:t>
      </w:r>
      <w:r>
        <w:t xml:space="preserve"> </w:t>
      </w:r>
      <w:r>
        <w:rPr>
          <w:spacing w:val="-1"/>
        </w:rPr>
        <w:t>from</w:t>
      </w:r>
      <w:r>
        <w:t xml:space="preserve"> the </w:t>
      </w:r>
      <w:r>
        <w:rPr>
          <w:spacing w:val="-1"/>
        </w:rPr>
        <w:t>expenditure</w:t>
      </w:r>
      <w:r>
        <w:t xml:space="preserve"> allowances </w:t>
      </w:r>
      <w:r>
        <w:rPr>
          <w:spacing w:val="-1"/>
        </w:rPr>
        <w:t>approved</w:t>
      </w:r>
      <w:r>
        <w:t xml:space="preserve"> in the price </w:t>
      </w:r>
      <w:r>
        <w:rPr>
          <w:spacing w:val="-1"/>
        </w:rPr>
        <w:t>direction</w:t>
      </w:r>
    </w:p>
    <w:p w:rsidR="00D96B91" w:rsidRDefault="00C2656B">
      <w:pPr>
        <w:pStyle w:val="BodyText"/>
        <w:numPr>
          <w:ilvl w:val="0"/>
          <w:numId w:val="131"/>
        </w:numPr>
        <w:tabs>
          <w:tab w:val="left" w:pos="1531"/>
        </w:tabs>
        <w:spacing w:before="85" w:line="260" w:lineRule="exact"/>
        <w:ind w:right="1485" w:hanging="283"/>
        <w:rPr>
          <w:rFonts w:cs="Avenir Next"/>
        </w:rPr>
      </w:pPr>
      <w:r>
        <w:t>the</w:t>
      </w:r>
      <w:r>
        <w:rPr>
          <w:spacing w:val="-1"/>
        </w:rPr>
        <w:t xml:space="preserve"> revenue</w:t>
      </w:r>
      <w:r>
        <w:t xml:space="preserve"> it</w:t>
      </w:r>
      <w:r>
        <w:rPr>
          <w:spacing w:val="-1"/>
        </w:rPr>
        <w:t xml:space="preserve"> received</w:t>
      </w:r>
      <w:r>
        <w:t xml:space="preserve"> </w:t>
      </w:r>
      <w:r>
        <w:rPr>
          <w:spacing w:val="-1"/>
        </w:rPr>
        <w:t xml:space="preserve">from </w:t>
      </w:r>
      <w:r>
        <w:t xml:space="preserve">the </w:t>
      </w:r>
      <w:r>
        <w:rPr>
          <w:spacing w:val="-1"/>
        </w:rPr>
        <w:t xml:space="preserve">provision </w:t>
      </w:r>
      <w:r>
        <w:t>of</w:t>
      </w:r>
      <w:r>
        <w:rPr>
          <w:spacing w:val="3"/>
        </w:rPr>
        <w:t xml:space="preserve"> </w:t>
      </w:r>
      <w:r>
        <w:rPr>
          <w:spacing w:val="-1"/>
        </w:rPr>
        <w:t>water</w:t>
      </w:r>
      <w:r>
        <w:t xml:space="preserve"> and</w:t>
      </w:r>
      <w:r>
        <w:rPr>
          <w:spacing w:val="-1"/>
        </w:rPr>
        <w:t xml:space="preserve"> sewerage</w:t>
      </w:r>
      <w:r>
        <w:t xml:space="preserve"> services</w:t>
      </w:r>
      <w:r>
        <w:rPr>
          <w:spacing w:val="-1"/>
        </w:rPr>
        <w:t xml:space="preserve"> </w:t>
      </w:r>
      <w:r>
        <w:t>in the</w:t>
      </w:r>
      <w:r>
        <w:rPr>
          <w:spacing w:val="-1"/>
        </w:rPr>
        <w:t xml:space="preserve"> previous</w:t>
      </w:r>
      <w:r>
        <w:t xml:space="preserve"> financial</w:t>
      </w:r>
      <w:r>
        <w:rPr>
          <w:spacing w:val="49"/>
          <w:w w:val="99"/>
        </w:rPr>
        <w:t xml:space="preserve"> </w:t>
      </w:r>
      <w:r>
        <w:rPr>
          <w:spacing w:val="-1"/>
        </w:rPr>
        <w:t>year</w:t>
      </w:r>
      <w:r>
        <w:t xml:space="preserve"> and </w:t>
      </w:r>
      <w:r>
        <w:rPr>
          <w:spacing w:val="-1"/>
        </w:rPr>
        <w:t>revenue</w:t>
      </w:r>
      <w:r>
        <w:t xml:space="preserve"> </w:t>
      </w:r>
      <w:r>
        <w:rPr>
          <w:spacing w:val="-1"/>
        </w:rPr>
        <w:t>received</w:t>
      </w:r>
      <w:r>
        <w:t xml:space="preserve"> </w:t>
      </w:r>
      <w:r>
        <w:rPr>
          <w:spacing w:val="-1"/>
        </w:rPr>
        <w:t>from</w:t>
      </w:r>
      <w:r>
        <w:t xml:space="preserve"> other </w:t>
      </w:r>
      <w:r>
        <w:rPr>
          <w:spacing w:val="-1"/>
        </w:rPr>
        <w:t>sources,</w:t>
      </w:r>
      <w:r>
        <w:rPr>
          <w:spacing w:val="-7"/>
        </w:rPr>
        <w:t xml:space="preserve"> </w:t>
      </w:r>
      <w:r>
        <w:t>and</w:t>
      </w:r>
    </w:p>
    <w:p w:rsidR="00D96B91" w:rsidRDefault="00C2656B">
      <w:pPr>
        <w:pStyle w:val="BodyText"/>
        <w:numPr>
          <w:ilvl w:val="0"/>
          <w:numId w:val="131"/>
        </w:numPr>
        <w:tabs>
          <w:tab w:val="left" w:pos="1531"/>
        </w:tabs>
        <w:spacing w:before="85" w:line="260" w:lineRule="exact"/>
        <w:ind w:right="1596" w:hanging="283"/>
      </w:pPr>
      <w:r>
        <w:t>its</w:t>
      </w:r>
      <w:r>
        <w:rPr>
          <w:spacing w:val="-1"/>
        </w:rPr>
        <w:t xml:space="preserve"> </w:t>
      </w:r>
      <w:r>
        <w:t xml:space="preserve">actual </w:t>
      </w:r>
      <w:r>
        <w:rPr>
          <w:spacing w:val="-1"/>
        </w:rPr>
        <w:t xml:space="preserve">water </w:t>
      </w:r>
      <w:r>
        <w:t>sales,</w:t>
      </w:r>
      <w:r>
        <w:rPr>
          <w:spacing w:val="-6"/>
        </w:rPr>
        <w:t xml:space="preserve"> </w:t>
      </w:r>
      <w:r>
        <w:rPr>
          <w:spacing w:val="-1"/>
        </w:rPr>
        <w:t>water</w:t>
      </w:r>
      <w:r>
        <w:t xml:space="preserve"> and</w:t>
      </w:r>
      <w:r>
        <w:rPr>
          <w:spacing w:val="-1"/>
        </w:rPr>
        <w:t xml:space="preserve"> sewerage</w:t>
      </w:r>
      <w:r>
        <w:t xml:space="preserve"> customer numbers,</w:t>
      </w:r>
      <w:r>
        <w:rPr>
          <w:spacing w:val="-7"/>
        </w:rPr>
        <w:t xml:space="preserve"> </w:t>
      </w:r>
      <w:r>
        <w:rPr>
          <w:spacing w:val="-1"/>
        </w:rPr>
        <w:t>fixture</w:t>
      </w:r>
      <w:r>
        <w:t xml:space="preserve"> numbers,</w:t>
      </w:r>
      <w:r>
        <w:rPr>
          <w:spacing w:val="-6"/>
        </w:rPr>
        <w:t xml:space="preserve"> </w:t>
      </w:r>
      <w:r>
        <w:t>dam</w:t>
      </w:r>
      <w:r>
        <w:rPr>
          <w:spacing w:val="-1"/>
        </w:rPr>
        <w:t xml:space="preserve"> releases</w:t>
      </w:r>
      <w:r>
        <w:t xml:space="preserve"> and</w:t>
      </w:r>
      <w:r>
        <w:rPr>
          <w:spacing w:val="33"/>
        </w:rPr>
        <w:t xml:space="preserve"> </w:t>
      </w:r>
      <w:r>
        <w:rPr>
          <w:spacing w:val="-1"/>
        </w:rPr>
        <w:t>sewerage</w:t>
      </w:r>
      <w:r>
        <w:rPr>
          <w:spacing w:val="-2"/>
        </w:rPr>
        <w:t xml:space="preserve"> </w:t>
      </w:r>
      <w:r>
        <w:t>volumes</w:t>
      </w:r>
      <w:r>
        <w:rPr>
          <w:spacing w:val="-1"/>
        </w:rPr>
        <w:t xml:space="preserve"> </w:t>
      </w:r>
      <w:r>
        <w:t>in</w:t>
      </w:r>
      <w:r>
        <w:rPr>
          <w:spacing w:val="-1"/>
        </w:rPr>
        <w:t xml:space="preserve"> </w:t>
      </w:r>
      <w:r>
        <w:t>the</w:t>
      </w:r>
      <w:r>
        <w:rPr>
          <w:spacing w:val="-2"/>
        </w:rPr>
        <w:t xml:space="preserve"> </w:t>
      </w:r>
      <w:r>
        <w:rPr>
          <w:spacing w:val="-1"/>
        </w:rPr>
        <w:t xml:space="preserve">previous </w:t>
      </w:r>
      <w:r>
        <w:t>financial</w:t>
      </w:r>
      <w:r>
        <w:rPr>
          <w:spacing w:val="-1"/>
        </w:rPr>
        <w:t xml:space="preserve"> </w:t>
      </w:r>
      <w:r>
        <w:rPr>
          <w:spacing w:val="-3"/>
        </w:rPr>
        <w:t>year.</w:t>
      </w:r>
    </w:p>
    <w:p w:rsidR="00D96B91" w:rsidRDefault="00C2656B">
      <w:pPr>
        <w:pStyle w:val="BodyText"/>
        <w:spacing w:before="85" w:line="260" w:lineRule="exact"/>
        <w:ind w:right="1256"/>
      </w:pPr>
      <w:r>
        <w:rPr>
          <w:rFonts w:cs="Avenir Next"/>
        </w:rPr>
        <w:t xml:space="preserve">While the </w:t>
      </w:r>
      <w:r>
        <w:rPr>
          <w:rFonts w:cs="Avenir Next"/>
          <w:spacing w:val="-3"/>
        </w:rPr>
        <w:t>Panel</w:t>
      </w:r>
      <w:r>
        <w:rPr>
          <w:rFonts w:cs="Avenir Next"/>
        </w:rPr>
        <w:t xml:space="preserve"> </w:t>
      </w:r>
      <w:r>
        <w:rPr>
          <w:rFonts w:cs="Avenir Next"/>
          <w:spacing w:val="-1"/>
        </w:rPr>
        <w:t>recognises</w:t>
      </w:r>
      <w:r>
        <w:rPr>
          <w:rFonts w:cs="Avenir Next"/>
        </w:rPr>
        <w:t xml:space="preserve"> this </w:t>
      </w:r>
      <w:r>
        <w:rPr>
          <w:rFonts w:cs="Avenir Next"/>
          <w:spacing w:val="-1"/>
        </w:rPr>
        <w:t>reporting</w:t>
      </w:r>
      <w:r>
        <w:rPr>
          <w:rFonts w:cs="Avenir Next"/>
        </w:rPr>
        <w:t xml:space="preserve"> </w:t>
      </w:r>
      <w:r>
        <w:rPr>
          <w:rFonts w:cs="Avenir Next"/>
          <w:spacing w:val="-1"/>
        </w:rPr>
        <w:t>requirement</w:t>
      </w:r>
      <w:r>
        <w:rPr>
          <w:rFonts w:cs="Avenir Next"/>
        </w:rPr>
        <w:t xml:space="preserve"> will give rise to additional costs,</w:t>
      </w:r>
      <w:r>
        <w:rPr>
          <w:rFonts w:cs="Avenir Next"/>
          <w:spacing w:val="-7"/>
        </w:rPr>
        <w:t xml:space="preserve"> </w:t>
      </w:r>
      <w:r>
        <w:rPr>
          <w:rFonts w:cs="Avenir Next"/>
        </w:rPr>
        <w:t xml:space="preserve">it </w:t>
      </w:r>
      <w:r>
        <w:rPr>
          <w:rFonts w:cs="Avenir Next"/>
          <w:spacing w:val="-1"/>
        </w:rPr>
        <w:t>expects</w:t>
      </w:r>
      <w:r>
        <w:rPr>
          <w:rFonts w:cs="Avenir Next"/>
        </w:rPr>
        <w:t xml:space="preserve"> the</w:t>
      </w:r>
      <w:r>
        <w:rPr>
          <w:rFonts w:cs="Avenir Next"/>
          <w:spacing w:val="37"/>
        </w:rPr>
        <w:t xml:space="preserve"> </w:t>
      </w:r>
      <w:r>
        <w:rPr>
          <w:rFonts w:cs="Avenir Next"/>
        </w:rPr>
        <w:t xml:space="preserve">costs would be </w:t>
      </w:r>
      <w:r>
        <w:rPr>
          <w:rFonts w:cs="Avenir Next"/>
          <w:spacing w:val="-1"/>
        </w:rPr>
        <w:t>offset</w:t>
      </w:r>
      <w:r>
        <w:rPr>
          <w:rFonts w:cs="Avenir Next"/>
        </w:rPr>
        <w:t xml:space="preserve"> by both a </w:t>
      </w:r>
      <w:r>
        <w:rPr>
          <w:rFonts w:cs="Avenir Next"/>
          <w:spacing w:val="-1"/>
        </w:rPr>
        <w:t>reduction</w:t>
      </w:r>
      <w:r>
        <w:rPr>
          <w:rFonts w:cs="Avenir Next"/>
        </w:rPr>
        <w:t xml:space="preserve"> in the </w:t>
      </w:r>
      <w:r>
        <w:rPr>
          <w:rFonts w:cs="Avenir Next"/>
          <w:spacing w:val="-1"/>
        </w:rPr>
        <w:t>degree</w:t>
      </w:r>
      <w:r>
        <w:rPr>
          <w:rFonts w:cs="Avenir Next"/>
        </w:rPr>
        <w:t xml:space="preserve"> of</w:t>
      </w:r>
      <w:r>
        <w:rPr>
          <w:rFonts w:cs="Avenir Next"/>
          <w:spacing w:val="4"/>
        </w:rPr>
        <w:t xml:space="preserve"> </w:t>
      </w:r>
      <w:r>
        <w:rPr>
          <w:rFonts w:cs="Avenir Next"/>
          <w:spacing w:val="-1"/>
        </w:rPr>
        <w:t>information</w:t>
      </w:r>
      <w:r>
        <w:rPr>
          <w:rFonts w:cs="Avenir Next"/>
        </w:rPr>
        <w:t xml:space="preserve"> asymmetry and </w:t>
      </w:r>
      <w:r>
        <w:rPr>
          <w:rFonts w:cs="Avenir Next"/>
          <w:spacing w:val="-1"/>
        </w:rPr>
        <w:t>improvements</w:t>
      </w:r>
      <w:r>
        <w:rPr>
          <w:rFonts w:cs="Avenir Next"/>
        </w:rPr>
        <w:t xml:space="preserve"> in</w:t>
      </w:r>
      <w:r>
        <w:rPr>
          <w:rFonts w:cs="Avenir Next"/>
          <w:spacing w:val="53"/>
        </w:rPr>
        <w:t xml:space="preserve"> </w:t>
      </w:r>
      <w:r>
        <w:t>the</w:t>
      </w:r>
      <w:r>
        <w:rPr>
          <w:spacing w:val="-1"/>
        </w:rPr>
        <w:t xml:space="preserve"> </w:t>
      </w:r>
      <w:r>
        <w:rPr>
          <w:spacing w:val="-2"/>
        </w:rPr>
        <w:t>ICRC’s</w:t>
      </w:r>
      <w:r>
        <w:t xml:space="preserve"> ability</w:t>
      </w:r>
      <w:r>
        <w:rPr>
          <w:spacing w:val="-1"/>
        </w:rPr>
        <w:t xml:space="preserve"> </w:t>
      </w:r>
      <w:r>
        <w:t>to monitor</w:t>
      </w:r>
      <w:r>
        <w:rPr>
          <w:spacing w:val="-5"/>
        </w:rPr>
        <w:t xml:space="preserve"> </w:t>
      </w:r>
      <w:r>
        <w:rPr>
          <w:spacing w:val="-2"/>
        </w:rPr>
        <w:t>ACTEW’s</w:t>
      </w:r>
      <w:r>
        <w:t xml:space="preserve"> performance</w:t>
      </w:r>
      <w:r>
        <w:rPr>
          <w:spacing w:val="-1"/>
        </w:rPr>
        <w:t xml:space="preserve"> </w:t>
      </w:r>
      <w:r>
        <w:t>and assess</w:t>
      </w:r>
      <w:r>
        <w:rPr>
          <w:spacing w:val="-1"/>
        </w:rPr>
        <w:t xml:space="preserve"> </w:t>
      </w:r>
      <w:r>
        <w:t>the prudence</w:t>
      </w:r>
      <w:r>
        <w:rPr>
          <w:spacing w:val="-1"/>
        </w:rPr>
        <w:t xml:space="preserve"> </w:t>
      </w:r>
      <w:r>
        <w:t xml:space="preserve">and </w:t>
      </w:r>
      <w:r>
        <w:rPr>
          <w:spacing w:val="-1"/>
        </w:rPr>
        <w:t xml:space="preserve">efficiency </w:t>
      </w:r>
      <w:r>
        <w:t>of</w:t>
      </w:r>
      <w:r>
        <w:rPr>
          <w:spacing w:val="1"/>
        </w:rPr>
        <w:t xml:space="preserve"> </w:t>
      </w:r>
      <w:r>
        <w:rPr>
          <w:spacing w:val="-2"/>
        </w:rPr>
        <w:t>ACTEW’s</w:t>
      </w:r>
      <w:r>
        <w:rPr>
          <w:spacing w:val="21"/>
        </w:rPr>
        <w:t xml:space="preserve"> </w:t>
      </w:r>
      <w:r>
        <w:rPr>
          <w:spacing w:val="-1"/>
        </w:rPr>
        <w:t>expenditure.</w:t>
      </w:r>
      <w:r>
        <w:rPr>
          <w:spacing w:val="-11"/>
        </w:rPr>
        <w:t xml:space="preserve"> </w:t>
      </w:r>
      <w:r>
        <w:rPr>
          <w:spacing w:val="-2"/>
        </w:rPr>
        <w:t>Therefore,</w:t>
      </w:r>
      <w:r>
        <w:rPr>
          <w:spacing w:val="-6"/>
        </w:rPr>
        <w:t xml:space="preserve"> </w:t>
      </w:r>
      <w:r>
        <w:t xml:space="preserve">the </w:t>
      </w:r>
      <w:r>
        <w:rPr>
          <w:spacing w:val="-3"/>
        </w:rPr>
        <w:t>Panel</w:t>
      </w:r>
      <w:r>
        <w:t xml:space="preserve"> intends to suggest to the ICRC </w:t>
      </w:r>
      <w:r>
        <w:rPr>
          <w:spacing w:val="-1"/>
        </w:rPr>
        <w:t>that</w:t>
      </w:r>
      <w:r>
        <w:t xml:space="preserve"> it consider implementing this</w:t>
      </w:r>
      <w:r>
        <w:rPr>
          <w:spacing w:val="37"/>
        </w:rPr>
        <w:t xml:space="preserve"> </w:t>
      </w:r>
      <w:r>
        <w:rPr>
          <w:spacing w:val="-1"/>
        </w:rPr>
        <w:t>reporting</w:t>
      </w:r>
      <w:r>
        <w:t xml:space="preserve"> </w:t>
      </w:r>
      <w:r>
        <w:rPr>
          <w:spacing w:val="-1"/>
        </w:rPr>
        <w:t>requirement.</w:t>
      </w:r>
      <w:r>
        <w:rPr>
          <w:spacing w:val="-11"/>
        </w:rPr>
        <w:t xml:space="preserve"> </w:t>
      </w:r>
      <w:r>
        <w:rPr>
          <w:spacing w:val="-2"/>
        </w:rPr>
        <w:t>The</w:t>
      </w:r>
      <w:r>
        <w:t xml:space="preserve"> </w:t>
      </w:r>
      <w:r>
        <w:rPr>
          <w:spacing w:val="-3"/>
        </w:rPr>
        <w:t>Panel</w:t>
      </w:r>
      <w:r>
        <w:t xml:space="preserve"> also </w:t>
      </w:r>
      <w:r>
        <w:rPr>
          <w:spacing w:val="-1"/>
        </w:rPr>
        <w:t>seeks</w:t>
      </w:r>
      <w:r>
        <w:t xml:space="preserve"> feedback </w:t>
      </w:r>
      <w:r>
        <w:rPr>
          <w:spacing w:val="-1"/>
        </w:rPr>
        <w:t>from</w:t>
      </w:r>
      <w:r>
        <w:t xml:space="preserve"> </w:t>
      </w:r>
      <w:r>
        <w:rPr>
          <w:spacing w:val="-1"/>
        </w:rPr>
        <w:t>stakeholders</w:t>
      </w:r>
      <w:r>
        <w:t xml:space="preserve"> on whether this </w:t>
      </w:r>
      <w:r>
        <w:rPr>
          <w:spacing w:val="-1"/>
        </w:rPr>
        <w:t>reporting</w:t>
      </w:r>
      <w:r>
        <w:rPr>
          <w:spacing w:val="49"/>
        </w:rPr>
        <w:t xml:space="preserve"> </w:t>
      </w:r>
      <w:r>
        <w:rPr>
          <w:rFonts w:cs="Avenir Next"/>
          <w:spacing w:val="-1"/>
        </w:rPr>
        <w:t>requirement</w:t>
      </w:r>
      <w:r>
        <w:rPr>
          <w:rFonts w:cs="Avenir Next"/>
        </w:rPr>
        <w:t xml:space="preserve"> needs to sit within the price </w:t>
      </w:r>
      <w:r>
        <w:rPr>
          <w:rFonts w:cs="Avenir Next"/>
          <w:spacing w:val="-1"/>
        </w:rPr>
        <w:t>direction</w:t>
      </w:r>
      <w:r>
        <w:rPr>
          <w:rFonts w:cs="Avenir Next"/>
        </w:rPr>
        <w:t xml:space="preserve"> or if</w:t>
      </w:r>
      <w:r>
        <w:rPr>
          <w:rFonts w:cs="Avenir Next"/>
          <w:spacing w:val="4"/>
        </w:rPr>
        <w:t xml:space="preserve"> </w:t>
      </w:r>
      <w:r>
        <w:rPr>
          <w:rFonts w:cs="Avenir Next"/>
        </w:rPr>
        <w:t xml:space="preserve">the ICRC can otherwise obtain this </w:t>
      </w:r>
      <w:r>
        <w:rPr>
          <w:rFonts w:cs="Avenir Next"/>
          <w:spacing w:val="-1"/>
        </w:rPr>
        <w:t>information</w:t>
      </w:r>
      <w:r>
        <w:rPr>
          <w:rFonts w:cs="Avenir Next"/>
          <w:spacing w:val="33"/>
        </w:rPr>
        <w:t xml:space="preserve"> </w:t>
      </w:r>
      <w:r>
        <w:rPr>
          <w:spacing w:val="-1"/>
        </w:rPr>
        <w:t>from</w:t>
      </w:r>
      <w:r>
        <w:rPr>
          <w:spacing w:val="-4"/>
        </w:rPr>
        <w:t xml:space="preserve"> </w:t>
      </w:r>
      <w:r>
        <w:rPr>
          <w:spacing w:val="-2"/>
        </w:rPr>
        <w:t>ACTEW</w:t>
      </w:r>
      <w:r>
        <w:rPr>
          <w:spacing w:val="-3"/>
        </w:rPr>
        <w:t xml:space="preserve"> </w:t>
      </w:r>
      <w:r>
        <w:rPr>
          <w:spacing w:val="-1"/>
        </w:rPr>
        <w:t>through</w:t>
      </w:r>
      <w:r>
        <w:t xml:space="preserve"> its </w:t>
      </w:r>
      <w:r>
        <w:rPr>
          <w:spacing w:val="-1"/>
        </w:rPr>
        <w:t>information</w:t>
      </w:r>
      <w:r>
        <w:t xml:space="preserve"> </w:t>
      </w:r>
      <w:r>
        <w:rPr>
          <w:spacing w:val="-1"/>
        </w:rPr>
        <w:t>gathering</w:t>
      </w:r>
      <w:r>
        <w:t xml:space="preserve"> powers.</w:t>
      </w:r>
    </w:p>
    <w:p w:rsidR="00D96B91" w:rsidRDefault="00D96B91">
      <w:pPr>
        <w:spacing w:before="3"/>
        <w:rPr>
          <w:rFonts w:ascii="Avenir Next" w:eastAsia="Avenir Next" w:hAnsi="Avenir Next" w:cs="Avenir Next"/>
          <w:sz w:val="20"/>
          <w:szCs w:val="20"/>
        </w:rPr>
      </w:pPr>
    </w:p>
    <w:p w:rsidR="00D96B91" w:rsidRDefault="00C2656B">
      <w:pPr>
        <w:pStyle w:val="Heading7"/>
        <w:numPr>
          <w:ilvl w:val="3"/>
          <w:numId w:val="101"/>
        </w:numPr>
        <w:tabs>
          <w:tab w:val="left" w:pos="2212"/>
        </w:tabs>
        <w:rPr>
          <w:rFonts w:cs="Avenir Next"/>
          <w:b w:val="0"/>
          <w:bCs w:val="0"/>
        </w:rPr>
      </w:pPr>
      <w:r>
        <w:rPr>
          <w:color w:val="0778BE"/>
          <w:spacing w:val="-1"/>
        </w:rPr>
        <w:t>What</w:t>
      </w:r>
      <w:r>
        <w:rPr>
          <w:color w:val="0778BE"/>
        </w:rPr>
        <w:t xml:space="preserve"> is the </w:t>
      </w:r>
      <w:r>
        <w:rPr>
          <w:color w:val="0778BE"/>
          <w:spacing w:val="-1"/>
        </w:rPr>
        <w:t>appropriate</w:t>
      </w:r>
      <w:r>
        <w:rPr>
          <w:color w:val="0778BE"/>
        </w:rPr>
        <w:t xml:space="preserve"> length of</w:t>
      </w:r>
      <w:r>
        <w:rPr>
          <w:color w:val="0778BE"/>
          <w:spacing w:val="5"/>
        </w:rPr>
        <w:t xml:space="preserve"> </w:t>
      </w:r>
      <w:r>
        <w:rPr>
          <w:color w:val="0778BE"/>
        </w:rPr>
        <w:t xml:space="preserve">the </w:t>
      </w:r>
      <w:r>
        <w:rPr>
          <w:color w:val="0778BE"/>
          <w:spacing w:val="-1"/>
        </w:rPr>
        <w:t>regulatory</w:t>
      </w:r>
      <w:r>
        <w:rPr>
          <w:color w:val="0778BE"/>
        </w:rPr>
        <w:t xml:space="preserve"> period?</w:t>
      </w:r>
    </w:p>
    <w:p w:rsidR="00D96B91" w:rsidRDefault="00C2656B">
      <w:pPr>
        <w:pStyle w:val="BodyText"/>
        <w:spacing w:before="28" w:line="260" w:lineRule="exact"/>
        <w:ind w:right="1283"/>
      </w:pPr>
      <w:r>
        <w:t>Given</w:t>
      </w:r>
      <w:r>
        <w:rPr>
          <w:spacing w:val="-1"/>
        </w:rPr>
        <w:t xml:space="preserve"> </w:t>
      </w:r>
      <w:r>
        <w:t>its decision not</w:t>
      </w:r>
      <w:r>
        <w:rPr>
          <w:spacing w:val="-1"/>
        </w:rPr>
        <w:t xml:space="preserve"> </w:t>
      </w:r>
      <w:r>
        <w:t>to include a biennial</w:t>
      </w:r>
      <w:r>
        <w:rPr>
          <w:spacing w:val="-1"/>
        </w:rPr>
        <w:t xml:space="preserve"> recalibration</w:t>
      </w:r>
      <w:r>
        <w:t xml:space="preserve"> </w:t>
      </w:r>
      <w:r>
        <w:rPr>
          <w:spacing w:val="-1"/>
        </w:rPr>
        <w:t>process,</w:t>
      </w:r>
      <w:r>
        <w:rPr>
          <w:spacing w:val="-6"/>
        </w:rPr>
        <w:t xml:space="preserve"> </w:t>
      </w:r>
      <w:r>
        <w:t xml:space="preserve">the </w:t>
      </w:r>
      <w:r>
        <w:rPr>
          <w:spacing w:val="-3"/>
        </w:rPr>
        <w:t>Panel</w:t>
      </w:r>
      <w:r>
        <w:rPr>
          <w:spacing w:val="-1"/>
        </w:rPr>
        <w:t xml:space="preserve"> considered</w:t>
      </w:r>
      <w:r>
        <w:t xml:space="preserve"> whether a five-</w:t>
      </w:r>
      <w:r>
        <w:rPr>
          <w:spacing w:val="35"/>
          <w:w w:val="99"/>
        </w:rPr>
        <w:t xml:space="preserve"> </w:t>
      </w:r>
      <w:r>
        <w:rPr>
          <w:spacing w:val="-1"/>
        </w:rPr>
        <w:t>year</w:t>
      </w:r>
      <w:r>
        <w:t xml:space="preserve"> or </w:t>
      </w:r>
      <w:r>
        <w:rPr>
          <w:spacing w:val="-1"/>
        </w:rPr>
        <w:t>six-year</w:t>
      </w:r>
      <w:r>
        <w:t xml:space="preserve"> </w:t>
      </w:r>
      <w:r>
        <w:rPr>
          <w:spacing w:val="-1"/>
        </w:rPr>
        <w:t>regulatory</w:t>
      </w:r>
      <w:r>
        <w:t xml:space="preserve"> period is </w:t>
      </w:r>
      <w:r>
        <w:rPr>
          <w:spacing w:val="-1"/>
        </w:rPr>
        <w:t>appropriate.</w:t>
      </w:r>
    </w:p>
    <w:p w:rsidR="00D96B91" w:rsidRDefault="00C2656B">
      <w:pPr>
        <w:pStyle w:val="BodyText"/>
        <w:spacing w:before="170" w:line="260" w:lineRule="exact"/>
        <w:ind w:right="1251"/>
      </w:pPr>
      <w:r>
        <w:rPr>
          <w:spacing w:val="-5"/>
        </w:rPr>
        <w:t xml:space="preserve">From </w:t>
      </w:r>
      <w:r>
        <w:t>a</w:t>
      </w:r>
      <w:r>
        <w:rPr>
          <w:spacing w:val="-4"/>
        </w:rPr>
        <w:t xml:space="preserve"> </w:t>
      </w:r>
      <w:r>
        <w:rPr>
          <w:spacing w:val="-3"/>
        </w:rPr>
        <w:t>practical</w:t>
      </w:r>
      <w:r>
        <w:rPr>
          <w:spacing w:val="-4"/>
        </w:rPr>
        <w:t xml:space="preserve"> </w:t>
      </w:r>
      <w:r>
        <w:rPr>
          <w:spacing w:val="-2"/>
        </w:rPr>
        <w:t>perspective,</w:t>
      </w:r>
      <w:r>
        <w:rPr>
          <w:spacing w:val="-10"/>
        </w:rPr>
        <w:t xml:space="preserve"> </w:t>
      </w:r>
      <w:r>
        <w:rPr>
          <w:spacing w:val="-2"/>
        </w:rPr>
        <w:t>the</w:t>
      </w:r>
      <w:r>
        <w:rPr>
          <w:spacing w:val="-4"/>
        </w:rPr>
        <w:t xml:space="preserve"> Panel </w:t>
      </w:r>
      <w:r>
        <w:rPr>
          <w:spacing w:val="-2"/>
        </w:rPr>
        <w:t>notes</w:t>
      </w:r>
      <w:r>
        <w:rPr>
          <w:spacing w:val="-4"/>
        </w:rPr>
        <w:t xml:space="preserve"> </w:t>
      </w:r>
      <w:r>
        <w:rPr>
          <w:spacing w:val="-2"/>
        </w:rPr>
        <w:t>that</w:t>
      </w:r>
      <w:r>
        <w:rPr>
          <w:spacing w:val="-8"/>
        </w:rPr>
        <w:t xml:space="preserve"> </w:t>
      </w:r>
      <w:r>
        <w:rPr>
          <w:spacing w:val="-3"/>
        </w:rPr>
        <w:t>ACTEW</w:t>
      </w:r>
      <w:r>
        <w:rPr>
          <w:spacing w:val="-7"/>
        </w:rPr>
        <w:t xml:space="preserve"> </w:t>
      </w:r>
      <w:r>
        <w:rPr>
          <w:spacing w:val="-2"/>
        </w:rPr>
        <w:t>only</w:t>
      </w:r>
      <w:r>
        <w:rPr>
          <w:spacing w:val="-4"/>
        </w:rPr>
        <w:t xml:space="preserve"> </w:t>
      </w:r>
      <w:r>
        <w:rPr>
          <w:spacing w:val="-3"/>
        </w:rPr>
        <w:t>provided</w:t>
      </w:r>
      <w:r>
        <w:rPr>
          <w:spacing w:val="-4"/>
        </w:rPr>
        <w:t xml:space="preserve"> </w:t>
      </w:r>
      <w:r>
        <w:rPr>
          <w:spacing w:val="-2"/>
        </w:rPr>
        <w:t>the</w:t>
      </w:r>
      <w:r>
        <w:rPr>
          <w:spacing w:val="-4"/>
        </w:rPr>
        <w:t xml:space="preserve"> </w:t>
      </w:r>
      <w:r>
        <w:rPr>
          <w:spacing w:val="-2"/>
        </w:rPr>
        <w:t>ICRC</w:t>
      </w:r>
      <w:r>
        <w:rPr>
          <w:spacing w:val="-4"/>
        </w:rPr>
        <w:t xml:space="preserve"> </w:t>
      </w:r>
      <w:r>
        <w:rPr>
          <w:spacing w:val="-2"/>
        </w:rPr>
        <w:t>with</w:t>
      </w:r>
      <w:r>
        <w:rPr>
          <w:spacing w:val="-4"/>
        </w:rPr>
        <w:t xml:space="preserve"> </w:t>
      </w:r>
      <w:r>
        <w:rPr>
          <w:spacing w:val="-3"/>
        </w:rPr>
        <w:t>forecasts</w:t>
      </w:r>
      <w:r>
        <w:rPr>
          <w:spacing w:val="-4"/>
        </w:rPr>
        <w:t xml:space="preserve"> </w:t>
      </w:r>
      <w:r>
        <w:rPr>
          <w:spacing w:val="-2"/>
        </w:rPr>
        <w:t>for</w:t>
      </w:r>
      <w:r>
        <w:rPr>
          <w:spacing w:val="-5"/>
        </w:rPr>
        <w:t xml:space="preserve"> </w:t>
      </w:r>
      <w:r>
        <w:t>a</w:t>
      </w:r>
      <w:r>
        <w:rPr>
          <w:spacing w:val="-4"/>
        </w:rPr>
        <w:t xml:space="preserve"> </w:t>
      </w:r>
      <w:r>
        <w:rPr>
          <w:spacing w:val="-1"/>
        </w:rPr>
        <w:t>fi</w:t>
      </w:r>
      <w:r w:rsidR="00105476">
        <w:rPr>
          <w:spacing w:val="-1"/>
        </w:rPr>
        <w:t>ve-</w:t>
      </w:r>
      <w:r>
        <w:rPr>
          <w:spacing w:val="-2"/>
        </w:rPr>
        <w:t>year</w:t>
      </w:r>
      <w:r>
        <w:rPr>
          <w:spacing w:val="-4"/>
        </w:rPr>
        <w:t xml:space="preserve"> </w:t>
      </w:r>
      <w:r>
        <w:rPr>
          <w:spacing w:val="-2"/>
        </w:rPr>
        <w:t>period</w:t>
      </w:r>
      <w:r>
        <w:rPr>
          <w:spacing w:val="-4"/>
        </w:rPr>
        <w:t xml:space="preserve"> </w:t>
      </w:r>
      <w:r>
        <w:rPr>
          <w:spacing w:val="-2"/>
        </w:rPr>
        <w:t>(ie,</w:t>
      </w:r>
      <w:r>
        <w:rPr>
          <w:spacing w:val="-10"/>
        </w:rPr>
        <w:t xml:space="preserve"> </w:t>
      </w:r>
      <w:r>
        <w:t>1</w:t>
      </w:r>
      <w:r>
        <w:rPr>
          <w:spacing w:val="-7"/>
        </w:rPr>
        <w:t xml:space="preserve"> </w:t>
      </w:r>
      <w:r>
        <w:rPr>
          <w:spacing w:val="-2"/>
        </w:rPr>
        <w:t>July</w:t>
      </w:r>
      <w:r>
        <w:rPr>
          <w:spacing w:val="-4"/>
        </w:rPr>
        <w:t xml:space="preserve"> </w:t>
      </w:r>
      <w:r>
        <w:rPr>
          <w:spacing w:val="-2"/>
        </w:rPr>
        <w:t>2013</w:t>
      </w:r>
      <w:r>
        <w:rPr>
          <w:spacing w:val="-4"/>
        </w:rPr>
        <w:t xml:space="preserve"> </w:t>
      </w:r>
      <w:r>
        <w:t>–</w:t>
      </w:r>
      <w:r>
        <w:rPr>
          <w:spacing w:val="-4"/>
        </w:rPr>
        <w:t xml:space="preserve"> </w:t>
      </w:r>
      <w:r>
        <w:rPr>
          <w:spacing w:val="-1"/>
        </w:rPr>
        <w:t>30</w:t>
      </w:r>
      <w:r>
        <w:rPr>
          <w:spacing w:val="-7"/>
        </w:rPr>
        <w:t xml:space="preserve"> </w:t>
      </w:r>
      <w:r>
        <w:rPr>
          <w:spacing w:val="-2"/>
        </w:rPr>
        <w:t>June</w:t>
      </w:r>
      <w:r>
        <w:rPr>
          <w:spacing w:val="-4"/>
        </w:rPr>
        <w:t xml:space="preserve"> </w:t>
      </w:r>
      <w:r>
        <w:rPr>
          <w:spacing w:val="-2"/>
        </w:rPr>
        <w:t>2018),</w:t>
      </w:r>
      <w:r>
        <w:rPr>
          <w:spacing w:val="-10"/>
        </w:rPr>
        <w:t xml:space="preserve"> </w:t>
      </w:r>
      <w:r>
        <w:rPr>
          <w:spacing w:val="-1"/>
        </w:rPr>
        <w:t>in</w:t>
      </w:r>
      <w:r>
        <w:rPr>
          <w:spacing w:val="-4"/>
        </w:rPr>
        <w:t xml:space="preserve"> </w:t>
      </w:r>
      <w:r>
        <w:rPr>
          <w:spacing w:val="-2"/>
        </w:rPr>
        <w:t>line</w:t>
      </w:r>
      <w:r>
        <w:rPr>
          <w:spacing w:val="-4"/>
        </w:rPr>
        <w:t xml:space="preserve"> </w:t>
      </w:r>
      <w:r>
        <w:rPr>
          <w:spacing w:val="-2"/>
        </w:rPr>
        <w:t>with</w:t>
      </w:r>
      <w:r>
        <w:rPr>
          <w:spacing w:val="-4"/>
        </w:rPr>
        <w:t xml:space="preserve"> </w:t>
      </w:r>
      <w:r>
        <w:rPr>
          <w:spacing w:val="-2"/>
        </w:rPr>
        <w:t>length</w:t>
      </w:r>
      <w:r>
        <w:rPr>
          <w:spacing w:val="-4"/>
        </w:rPr>
        <w:t xml:space="preserve"> </w:t>
      </w:r>
      <w:r>
        <w:rPr>
          <w:spacing w:val="-1"/>
        </w:rPr>
        <w:t>of</w:t>
      </w:r>
      <w:r>
        <w:t xml:space="preserve"> </w:t>
      </w:r>
      <w:r>
        <w:rPr>
          <w:spacing w:val="-2"/>
        </w:rPr>
        <w:t>the</w:t>
      </w:r>
      <w:r>
        <w:rPr>
          <w:spacing w:val="-4"/>
        </w:rPr>
        <w:t xml:space="preserve"> </w:t>
      </w:r>
      <w:r>
        <w:rPr>
          <w:spacing w:val="-3"/>
        </w:rPr>
        <w:t>regulatory</w:t>
      </w:r>
      <w:r>
        <w:rPr>
          <w:spacing w:val="-4"/>
        </w:rPr>
        <w:t xml:space="preserve"> </w:t>
      </w:r>
      <w:r>
        <w:rPr>
          <w:spacing w:val="-2"/>
        </w:rPr>
        <w:t>period</w:t>
      </w:r>
      <w:r>
        <w:rPr>
          <w:spacing w:val="-4"/>
        </w:rPr>
        <w:t xml:space="preserve"> </w:t>
      </w:r>
      <w:r>
        <w:rPr>
          <w:spacing w:val="-2"/>
        </w:rPr>
        <w:t>the</w:t>
      </w:r>
      <w:r>
        <w:rPr>
          <w:spacing w:val="-4"/>
        </w:rPr>
        <w:t xml:space="preserve"> </w:t>
      </w:r>
      <w:r>
        <w:rPr>
          <w:spacing w:val="-2"/>
        </w:rPr>
        <w:t>ICRC</w:t>
      </w:r>
      <w:r>
        <w:rPr>
          <w:spacing w:val="-4"/>
        </w:rPr>
        <w:t xml:space="preserve"> </w:t>
      </w:r>
      <w:r>
        <w:rPr>
          <w:spacing w:val="-2"/>
        </w:rPr>
        <w:t>originally</w:t>
      </w:r>
      <w:r>
        <w:rPr>
          <w:spacing w:val="64"/>
        </w:rPr>
        <w:t xml:space="preserve"> </w:t>
      </w:r>
      <w:r>
        <w:rPr>
          <w:spacing w:val="-2"/>
        </w:rPr>
        <w:t>signalled</w:t>
      </w:r>
      <w:r>
        <w:rPr>
          <w:spacing w:val="-4"/>
        </w:rPr>
        <w:t xml:space="preserve"> </w:t>
      </w:r>
      <w:r>
        <w:rPr>
          <w:spacing w:val="-1"/>
        </w:rPr>
        <w:t>it</w:t>
      </w:r>
      <w:r>
        <w:rPr>
          <w:spacing w:val="-4"/>
        </w:rPr>
        <w:t xml:space="preserve"> </w:t>
      </w:r>
      <w:r>
        <w:rPr>
          <w:spacing w:val="-2"/>
        </w:rPr>
        <w:t>would</w:t>
      </w:r>
      <w:r>
        <w:rPr>
          <w:spacing w:val="-3"/>
        </w:rPr>
        <w:t xml:space="preserve"> </w:t>
      </w:r>
      <w:r>
        <w:rPr>
          <w:spacing w:val="-2"/>
        </w:rPr>
        <w:t>adopt.</w:t>
      </w:r>
      <w:r>
        <w:rPr>
          <w:rFonts w:cs="Avenir Next"/>
          <w:spacing w:val="-2"/>
          <w:position w:val="7"/>
          <w:sz w:val="11"/>
          <w:szCs w:val="11"/>
        </w:rPr>
        <w:t>44</w:t>
      </w:r>
      <w:r>
        <w:rPr>
          <w:rFonts w:cs="Avenir Next"/>
          <w:spacing w:val="17"/>
          <w:position w:val="7"/>
          <w:sz w:val="11"/>
          <w:szCs w:val="11"/>
        </w:rPr>
        <w:t xml:space="preserve"> </w:t>
      </w:r>
      <w:r>
        <w:rPr>
          <w:rFonts w:cs="Avenir Next"/>
          <w:spacing w:val="-2"/>
        </w:rPr>
        <w:t>While</w:t>
      </w:r>
      <w:r>
        <w:rPr>
          <w:rFonts w:cs="Avenir Next"/>
          <w:spacing w:val="-4"/>
        </w:rPr>
        <w:t xml:space="preserve"> </w:t>
      </w:r>
      <w:r>
        <w:rPr>
          <w:rFonts w:cs="Avenir Next"/>
          <w:spacing w:val="-2"/>
        </w:rPr>
        <w:t>the</w:t>
      </w:r>
      <w:r>
        <w:rPr>
          <w:rFonts w:cs="Avenir Next"/>
          <w:spacing w:val="-3"/>
        </w:rPr>
        <w:t xml:space="preserve"> </w:t>
      </w:r>
      <w:r>
        <w:rPr>
          <w:rFonts w:cs="Avenir Next"/>
          <w:spacing w:val="-4"/>
        </w:rPr>
        <w:t xml:space="preserve">Panel </w:t>
      </w:r>
      <w:r>
        <w:rPr>
          <w:rFonts w:cs="Avenir Next"/>
          <w:spacing w:val="-2"/>
        </w:rPr>
        <w:t>could</w:t>
      </w:r>
      <w:r>
        <w:rPr>
          <w:rFonts w:cs="Avenir Next"/>
          <w:spacing w:val="-3"/>
        </w:rPr>
        <w:t xml:space="preserve"> </w:t>
      </w:r>
      <w:r>
        <w:rPr>
          <w:rFonts w:cs="Avenir Next"/>
          <w:spacing w:val="-2"/>
        </w:rPr>
        <w:t>have</w:t>
      </w:r>
      <w:r>
        <w:rPr>
          <w:rFonts w:cs="Avenir Next"/>
          <w:spacing w:val="-4"/>
        </w:rPr>
        <w:t xml:space="preserve"> </w:t>
      </w:r>
      <w:r>
        <w:rPr>
          <w:rFonts w:cs="Avenir Next"/>
          <w:spacing w:val="-3"/>
        </w:rPr>
        <w:t>asked</w:t>
      </w:r>
      <w:r>
        <w:rPr>
          <w:rFonts w:cs="Avenir Next"/>
          <w:spacing w:val="-7"/>
        </w:rPr>
        <w:t xml:space="preserve"> </w:t>
      </w:r>
      <w:r>
        <w:rPr>
          <w:rFonts w:cs="Avenir Next"/>
          <w:spacing w:val="-3"/>
        </w:rPr>
        <w:t>ACTEW</w:t>
      </w:r>
      <w:r>
        <w:rPr>
          <w:rFonts w:cs="Avenir Next"/>
          <w:spacing w:val="-7"/>
        </w:rPr>
        <w:t xml:space="preserve"> </w:t>
      </w:r>
      <w:r>
        <w:rPr>
          <w:rFonts w:cs="Avenir Next"/>
          <w:spacing w:val="-1"/>
        </w:rPr>
        <w:t>to</w:t>
      </w:r>
      <w:r>
        <w:rPr>
          <w:rFonts w:cs="Avenir Next"/>
          <w:spacing w:val="-3"/>
        </w:rPr>
        <w:t xml:space="preserve"> provide</w:t>
      </w:r>
      <w:r>
        <w:rPr>
          <w:rFonts w:cs="Avenir Next"/>
          <w:spacing w:val="-4"/>
        </w:rPr>
        <w:t xml:space="preserve"> </w:t>
      </w:r>
      <w:r>
        <w:rPr>
          <w:rFonts w:cs="Avenir Next"/>
          <w:spacing w:val="-1"/>
        </w:rPr>
        <w:t>an</w:t>
      </w:r>
      <w:r>
        <w:rPr>
          <w:rFonts w:cs="Avenir Next"/>
          <w:spacing w:val="-3"/>
        </w:rPr>
        <w:t xml:space="preserve"> </w:t>
      </w:r>
      <w:r>
        <w:rPr>
          <w:rFonts w:cs="Avenir Next"/>
          <w:spacing w:val="-2"/>
        </w:rPr>
        <w:t>additional</w:t>
      </w:r>
      <w:r>
        <w:rPr>
          <w:rFonts w:cs="Avenir Next"/>
          <w:spacing w:val="-4"/>
        </w:rPr>
        <w:t xml:space="preserve"> </w:t>
      </w:r>
      <w:r>
        <w:rPr>
          <w:rFonts w:cs="Avenir Next"/>
          <w:spacing w:val="-2"/>
        </w:rPr>
        <w:t>year</w:t>
      </w:r>
      <w:r>
        <w:rPr>
          <w:rFonts w:cs="Avenir Next"/>
          <w:spacing w:val="-3"/>
        </w:rPr>
        <w:t xml:space="preserve"> </w:t>
      </w:r>
      <w:r>
        <w:rPr>
          <w:rFonts w:cs="Avenir Next"/>
          <w:spacing w:val="-2"/>
        </w:rPr>
        <w:t>of</w:t>
      </w:r>
      <w:r>
        <w:rPr>
          <w:rFonts w:cs="Avenir Next"/>
          <w:spacing w:val="48"/>
        </w:rPr>
        <w:t xml:space="preserve"> </w:t>
      </w:r>
      <w:r>
        <w:rPr>
          <w:spacing w:val="-3"/>
        </w:rPr>
        <w:t>forecasts,</w:t>
      </w:r>
      <w:r>
        <w:rPr>
          <w:spacing w:val="-10"/>
        </w:rPr>
        <w:t xml:space="preserve"> </w:t>
      </w:r>
      <w:r>
        <w:rPr>
          <w:spacing w:val="-1"/>
        </w:rPr>
        <w:t>it</w:t>
      </w:r>
      <w:r>
        <w:rPr>
          <w:spacing w:val="-4"/>
        </w:rPr>
        <w:t xml:space="preserve"> </w:t>
      </w:r>
      <w:r>
        <w:rPr>
          <w:spacing w:val="-3"/>
        </w:rPr>
        <w:t>considered</w:t>
      </w:r>
      <w:r>
        <w:rPr>
          <w:spacing w:val="-4"/>
        </w:rPr>
        <w:t xml:space="preserve"> </w:t>
      </w:r>
      <w:r>
        <w:rPr>
          <w:spacing w:val="-2"/>
        </w:rPr>
        <w:t>that</w:t>
      </w:r>
      <w:r>
        <w:rPr>
          <w:spacing w:val="-4"/>
        </w:rPr>
        <w:t xml:space="preserve"> </w:t>
      </w:r>
      <w:r>
        <w:rPr>
          <w:spacing w:val="-2"/>
        </w:rPr>
        <w:t>this</w:t>
      </w:r>
      <w:r>
        <w:rPr>
          <w:spacing w:val="-4"/>
        </w:rPr>
        <w:t xml:space="preserve"> </w:t>
      </w:r>
      <w:r>
        <w:rPr>
          <w:spacing w:val="-2"/>
        </w:rPr>
        <w:t>would</w:t>
      </w:r>
      <w:r>
        <w:rPr>
          <w:spacing w:val="-4"/>
        </w:rPr>
        <w:t xml:space="preserve"> </w:t>
      </w:r>
      <w:r>
        <w:rPr>
          <w:spacing w:val="-2"/>
        </w:rPr>
        <w:t>have</w:t>
      </w:r>
      <w:r>
        <w:rPr>
          <w:spacing w:val="-4"/>
        </w:rPr>
        <w:t xml:space="preserve"> </w:t>
      </w:r>
      <w:r>
        <w:rPr>
          <w:spacing w:val="-2"/>
        </w:rPr>
        <w:t>led</w:t>
      </w:r>
      <w:r>
        <w:rPr>
          <w:spacing w:val="-4"/>
        </w:rPr>
        <w:t xml:space="preserve"> </w:t>
      </w:r>
      <w:r>
        <w:rPr>
          <w:spacing w:val="-1"/>
        </w:rPr>
        <w:t>to</w:t>
      </w:r>
      <w:r>
        <w:rPr>
          <w:spacing w:val="-4"/>
        </w:rPr>
        <w:t xml:space="preserve"> </w:t>
      </w:r>
      <w:r>
        <w:rPr>
          <w:spacing w:val="-3"/>
        </w:rPr>
        <w:t>further</w:t>
      </w:r>
      <w:r>
        <w:rPr>
          <w:spacing w:val="-4"/>
        </w:rPr>
        <w:t xml:space="preserve"> </w:t>
      </w:r>
      <w:r>
        <w:rPr>
          <w:spacing w:val="-2"/>
        </w:rPr>
        <w:t>costs</w:t>
      </w:r>
      <w:r>
        <w:rPr>
          <w:spacing w:val="-4"/>
        </w:rPr>
        <w:t xml:space="preserve"> </w:t>
      </w:r>
      <w:r>
        <w:rPr>
          <w:spacing w:val="-2"/>
        </w:rPr>
        <w:t>and</w:t>
      </w:r>
      <w:r>
        <w:rPr>
          <w:spacing w:val="-4"/>
        </w:rPr>
        <w:t xml:space="preserve"> </w:t>
      </w:r>
      <w:r>
        <w:rPr>
          <w:spacing w:val="-2"/>
        </w:rPr>
        <w:t>delays</w:t>
      </w:r>
      <w:r>
        <w:rPr>
          <w:spacing w:val="-4"/>
        </w:rPr>
        <w:t xml:space="preserve"> </w:t>
      </w:r>
      <w:r>
        <w:rPr>
          <w:spacing w:val="-1"/>
        </w:rPr>
        <w:t>to</w:t>
      </w:r>
      <w:r>
        <w:rPr>
          <w:spacing w:val="-4"/>
        </w:rPr>
        <w:t xml:space="preserve"> </w:t>
      </w:r>
      <w:r>
        <w:rPr>
          <w:spacing w:val="-2"/>
        </w:rPr>
        <w:t>all</w:t>
      </w:r>
      <w:r>
        <w:rPr>
          <w:spacing w:val="-4"/>
        </w:rPr>
        <w:t xml:space="preserve"> </w:t>
      </w:r>
      <w:r>
        <w:rPr>
          <w:spacing w:val="-3"/>
        </w:rPr>
        <w:t>parties.</w:t>
      </w:r>
      <w:r>
        <w:rPr>
          <w:spacing w:val="-10"/>
        </w:rPr>
        <w:t xml:space="preserve"> </w:t>
      </w:r>
      <w:r>
        <w:rPr>
          <w:spacing w:val="-1"/>
        </w:rPr>
        <w:t>It</w:t>
      </w:r>
      <w:r>
        <w:rPr>
          <w:spacing w:val="-4"/>
        </w:rPr>
        <w:t xml:space="preserve"> </w:t>
      </w:r>
      <w:r>
        <w:rPr>
          <w:spacing w:val="-2"/>
        </w:rPr>
        <w:t>would</w:t>
      </w:r>
      <w:r>
        <w:rPr>
          <w:spacing w:val="-4"/>
        </w:rPr>
        <w:t xml:space="preserve"> </w:t>
      </w:r>
      <w:r>
        <w:rPr>
          <w:spacing w:val="-2"/>
        </w:rPr>
        <w:t>also</w:t>
      </w:r>
    </w:p>
    <w:p w:rsidR="00D96B91" w:rsidRDefault="00C2656B">
      <w:pPr>
        <w:pStyle w:val="BodyText"/>
        <w:spacing w:line="260" w:lineRule="exact"/>
        <w:ind w:right="1313"/>
      </w:pPr>
      <w:r>
        <w:rPr>
          <w:rFonts w:cs="Avenir Next"/>
          <w:spacing w:val="-2"/>
        </w:rPr>
        <w:t>have</w:t>
      </w:r>
      <w:r>
        <w:rPr>
          <w:rFonts w:cs="Avenir Next"/>
          <w:spacing w:val="-4"/>
        </w:rPr>
        <w:t xml:space="preserve"> </w:t>
      </w:r>
      <w:r>
        <w:rPr>
          <w:rFonts w:cs="Avenir Next"/>
          <w:spacing w:val="-2"/>
        </w:rPr>
        <w:t>materially</w:t>
      </w:r>
      <w:r>
        <w:rPr>
          <w:rFonts w:cs="Avenir Next"/>
          <w:spacing w:val="-4"/>
        </w:rPr>
        <w:t xml:space="preserve"> </w:t>
      </w:r>
      <w:r>
        <w:rPr>
          <w:rFonts w:cs="Avenir Next"/>
          <w:spacing w:val="-3"/>
        </w:rPr>
        <w:t>altered</w:t>
      </w:r>
      <w:r>
        <w:rPr>
          <w:rFonts w:cs="Avenir Next"/>
          <w:spacing w:val="-4"/>
        </w:rPr>
        <w:t xml:space="preserve"> </w:t>
      </w:r>
      <w:r>
        <w:rPr>
          <w:rFonts w:cs="Avenir Next"/>
          <w:spacing w:val="-2"/>
        </w:rPr>
        <w:t>the</w:t>
      </w:r>
      <w:r>
        <w:rPr>
          <w:rFonts w:cs="Avenir Next"/>
          <w:spacing w:val="-4"/>
        </w:rPr>
        <w:t xml:space="preserve"> </w:t>
      </w:r>
      <w:r>
        <w:rPr>
          <w:rFonts w:cs="Avenir Next"/>
          <w:spacing w:val="-2"/>
        </w:rPr>
        <w:t>scope</w:t>
      </w:r>
      <w:r>
        <w:rPr>
          <w:rFonts w:cs="Avenir Next"/>
          <w:spacing w:val="-4"/>
        </w:rPr>
        <w:t xml:space="preserve"> </w:t>
      </w:r>
      <w:r>
        <w:rPr>
          <w:rFonts w:cs="Avenir Next"/>
          <w:spacing w:val="-1"/>
        </w:rPr>
        <w:t>of</w:t>
      </w:r>
      <w:r>
        <w:rPr>
          <w:rFonts w:cs="Avenir Next"/>
        </w:rPr>
        <w:t xml:space="preserve"> </w:t>
      </w:r>
      <w:r>
        <w:rPr>
          <w:rFonts w:cs="Avenir Next"/>
          <w:spacing w:val="-2"/>
        </w:rPr>
        <w:t>the</w:t>
      </w:r>
      <w:r>
        <w:rPr>
          <w:rFonts w:cs="Avenir Next"/>
          <w:spacing w:val="-4"/>
        </w:rPr>
        <w:t xml:space="preserve"> </w:t>
      </w:r>
      <w:r>
        <w:rPr>
          <w:rFonts w:cs="Avenir Next"/>
          <w:spacing w:val="-5"/>
        </w:rPr>
        <w:t>Panel’s</w:t>
      </w:r>
      <w:r>
        <w:rPr>
          <w:rFonts w:cs="Avenir Next"/>
          <w:spacing w:val="-4"/>
        </w:rPr>
        <w:t xml:space="preserve"> </w:t>
      </w:r>
      <w:r>
        <w:rPr>
          <w:rFonts w:cs="Avenir Next"/>
          <w:spacing w:val="-2"/>
        </w:rPr>
        <w:t>work,</w:t>
      </w:r>
      <w:r>
        <w:rPr>
          <w:rFonts w:cs="Avenir Next"/>
          <w:spacing w:val="-10"/>
        </w:rPr>
        <w:t xml:space="preserve"> </w:t>
      </w:r>
      <w:r>
        <w:rPr>
          <w:rFonts w:cs="Avenir Next"/>
          <w:spacing w:val="-2"/>
        </w:rPr>
        <w:t>because</w:t>
      </w:r>
      <w:r>
        <w:rPr>
          <w:rFonts w:cs="Avenir Next"/>
          <w:spacing w:val="-4"/>
        </w:rPr>
        <w:t xml:space="preserve"> </w:t>
      </w:r>
      <w:r>
        <w:rPr>
          <w:rFonts w:cs="Avenir Next"/>
          <w:spacing w:val="-2"/>
        </w:rPr>
        <w:t>the</w:t>
      </w:r>
      <w:r>
        <w:rPr>
          <w:rFonts w:cs="Avenir Next"/>
          <w:spacing w:val="-4"/>
        </w:rPr>
        <w:t xml:space="preserve"> </w:t>
      </w:r>
      <w:r>
        <w:rPr>
          <w:rFonts w:cs="Avenir Next"/>
          <w:spacing w:val="-2"/>
        </w:rPr>
        <w:t>additional</w:t>
      </w:r>
      <w:r>
        <w:rPr>
          <w:rFonts w:cs="Avenir Next"/>
          <w:spacing w:val="-4"/>
        </w:rPr>
        <w:t xml:space="preserve"> </w:t>
      </w:r>
      <w:r>
        <w:rPr>
          <w:rFonts w:cs="Avenir Next"/>
          <w:spacing w:val="-2"/>
        </w:rPr>
        <w:t>information</w:t>
      </w:r>
      <w:r>
        <w:rPr>
          <w:rFonts w:cs="Avenir Next"/>
          <w:spacing w:val="-4"/>
        </w:rPr>
        <w:t xml:space="preserve"> </w:t>
      </w:r>
      <w:r>
        <w:rPr>
          <w:rFonts w:cs="Avenir Next"/>
          <w:spacing w:val="-2"/>
        </w:rPr>
        <w:t>would</w:t>
      </w:r>
      <w:r>
        <w:rPr>
          <w:rFonts w:cs="Avenir Next"/>
          <w:spacing w:val="-4"/>
        </w:rPr>
        <w:t xml:space="preserve"> </w:t>
      </w:r>
      <w:r>
        <w:rPr>
          <w:rFonts w:cs="Avenir Next"/>
          <w:spacing w:val="-2"/>
        </w:rPr>
        <w:t>not</w:t>
      </w:r>
      <w:r>
        <w:rPr>
          <w:rFonts w:cs="Avenir Next"/>
          <w:spacing w:val="-4"/>
        </w:rPr>
        <w:t xml:space="preserve"> </w:t>
      </w:r>
      <w:r>
        <w:rPr>
          <w:rFonts w:cs="Avenir Next"/>
          <w:spacing w:val="-2"/>
        </w:rPr>
        <w:t>have</w:t>
      </w:r>
      <w:r>
        <w:rPr>
          <w:rFonts w:cs="Avenir Next"/>
          <w:spacing w:val="52"/>
        </w:rPr>
        <w:t xml:space="preserve"> </w:t>
      </w:r>
      <w:r>
        <w:rPr>
          <w:spacing w:val="-2"/>
        </w:rPr>
        <w:t>been</w:t>
      </w:r>
      <w:r>
        <w:rPr>
          <w:spacing w:val="-4"/>
        </w:rPr>
        <w:t xml:space="preserve"> </w:t>
      </w:r>
      <w:r>
        <w:rPr>
          <w:spacing w:val="-3"/>
        </w:rPr>
        <w:t>previously</w:t>
      </w:r>
      <w:r>
        <w:rPr>
          <w:spacing w:val="-4"/>
        </w:rPr>
        <w:t xml:space="preserve"> </w:t>
      </w:r>
      <w:r>
        <w:rPr>
          <w:spacing w:val="-3"/>
        </w:rPr>
        <w:t>reviewed</w:t>
      </w:r>
      <w:r>
        <w:rPr>
          <w:spacing w:val="-4"/>
        </w:rPr>
        <w:t xml:space="preserve"> </w:t>
      </w:r>
      <w:r>
        <w:rPr>
          <w:spacing w:val="-1"/>
        </w:rPr>
        <w:t>by</w:t>
      </w:r>
      <w:r>
        <w:rPr>
          <w:spacing w:val="-4"/>
        </w:rPr>
        <w:t xml:space="preserve"> </w:t>
      </w:r>
      <w:r>
        <w:rPr>
          <w:spacing w:val="-2"/>
        </w:rPr>
        <w:t>either</w:t>
      </w:r>
      <w:r>
        <w:rPr>
          <w:spacing w:val="-4"/>
        </w:rPr>
        <w:t xml:space="preserve"> </w:t>
      </w:r>
      <w:r>
        <w:rPr>
          <w:spacing w:val="-2"/>
        </w:rPr>
        <w:t>the</w:t>
      </w:r>
      <w:r>
        <w:rPr>
          <w:spacing w:val="-4"/>
        </w:rPr>
        <w:t xml:space="preserve"> </w:t>
      </w:r>
      <w:r>
        <w:rPr>
          <w:spacing w:val="-2"/>
        </w:rPr>
        <w:t>ICRC</w:t>
      </w:r>
      <w:r>
        <w:rPr>
          <w:spacing w:val="-4"/>
        </w:rPr>
        <w:t xml:space="preserve"> </w:t>
      </w:r>
      <w:r>
        <w:rPr>
          <w:spacing w:val="-1"/>
        </w:rPr>
        <w:t>or</w:t>
      </w:r>
      <w:r>
        <w:rPr>
          <w:spacing w:val="-4"/>
        </w:rPr>
        <w:t xml:space="preserve"> </w:t>
      </w:r>
      <w:r>
        <w:rPr>
          <w:spacing w:val="-2"/>
        </w:rPr>
        <w:t>the</w:t>
      </w:r>
      <w:r>
        <w:rPr>
          <w:spacing w:val="-4"/>
        </w:rPr>
        <w:t xml:space="preserve"> </w:t>
      </w:r>
      <w:r>
        <w:rPr>
          <w:spacing w:val="-2"/>
        </w:rPr>
        <w:t>public.</w:t>
      </w:r>
      <w:r>
        <w:rPr>
          <w:spacing w:val="-10"/>
        </w:rPr>
        <w:t xml:space="preserve"> </w:t>
      </w:r>
      <w:r>
        <w:rPr>
          <w:spacing w:val="-1"/>
        </w:rPr>
        <w:t>In</w:t>
      </w:r>
      <w:r>
        <w:rPr>
          <w:spacing w:val="-4"/>
        </w:rPr>
        <w:t xml:space="preserve"> </w:t>
      </w:r>
      <w:r>
        <w:rPr>
          <w:spacing w:val="-2"/>
        </w:rPr>
        <w:t>the</w:t>
      </w:r>
      <w:r>
        <w:rPr>
          <w:spacing w:val="-4"/>
        </w:rPr>
        <w:t xml:space="preserve"> </w:t>
      </w:r>
      <w:r>
        <w:rPr>
          <w:spacing w:val="-5"/>
        </w:rPr>
        <w:t>Panel’s</w:t>
      </w:r>
      <w:r>
        <w:rPr>
          <w:spacing w:val="-4"/>
        </w:rPr>
        <w:t xml:space="preserve"> view,</w:t>
      </w:r>
      <w:r>
        <w:rPr>
          <w:spacing w:val="-10"/>
        </w:rPr>
        <w:t xml:space="preserve"> </w:t>
      </w:r>
      <w:r>
        <w:rPr>
          <w:spacing w:val="-2"/>
        </w:rPr>
        <w:t>the</w:t>
      </w:r>
      <w:r>
        <w:rPr>
          <w:spacing w:val="-4"/>
        </w:rPr>
        <w:t xml:space="preserve"> </w:t>
      </w:r>
      <w:r>
        <w:rPr>
          <w:spacing w:val="-2"/>
        </w:rPr>
        <w:t>costs</w:t>
      </w:r>
      <w:r>
        <w:rPr>
          <w:spacing w:val="-4"/>
        </w:rPr>
        <w:t xml:space="preserve"> </w:t>
      </w:r>
      <w:r>
        <w:rPr>
          <w:spacing w:val="-1"/>
        </w:rPr>
        <w:t>of</w:t>
      </w:r>
      <w:r>
        <w:t xml:space="preserve"> </w:t>
      </w:r>
      <w:r>
        <w:rPr>
          <w:spacing w:val="-2"/>
        </w:rPr>
        <w:t>obtaining</w:t>
      </w:r>
      <w:r>
        <w:rPr>
          <w:spacing w:val="-4"/>
        </w:rPr>
        <w:t xml:space="preserve"> </w:t>
      </w:r>
      <w:r>
        <w:rPr>
          <w:spacing w:val="-2"/>
        </w:rPr>
        <w:t>this</w:t>
      </w:r>
      <w:r>
        <w:rPr>
          <w:spacing w:val="78"/>
        </w:rPr>
        <w:t xml:space="preserve"> </w:t>
      </w:r>
      <w:r>
        <w:rPr>
          <w:spacing w:val="-2"/>
        </w:rPr>
        <w:t>information</w:t>
      </w:r>
      <w:r>
        <w:rPr>
          <w:spacing w:val="-5"/>
        </w:rPr>
        <w:t xml:space="preserve"> </w:t>
      </w:r>
      <w:r>
        <w:rPr>
          <w:spacing w:val="-2"/>
        </w:rPr>
        <w:t>outweigh</w:t>
      </w:r>
      <w:r>
        <w:rPr>
          <w:spacing w:val="-4"/>
        </w:rPr>
        <w:t xml:space="preserve"> </w:t>
      </w:r>
      <w:r>
        <w:rPr>
          <w:spacing w:val="-2"/>
        </w:rPr>
        <w:t>the</w:t>
      </w:r>
      <w:r>
        <w:rPr>
          <w:spacing w:val="-4"/>
        </w:rPr>
        <w:t xml:space="preserve"> </w:t>
      </w:r>
      <w:r>
        <w:rPr>
          <w:spacing w:val="-2"/>
        </w:rPr>
        <w:t>benefi</w:t>
      </w:r>
      <w:r w:rsidR="00105476">
        <w:t xml:space="preserve">ts </w:t>
      </w:r>
      <w:r>
        <w:rPr>
          <w:spacing w:val="-1"/>
        </w:rPr>
        <w:t>of</w:t>
      </w:r>
      <w:r>
        <w:t xml:space="preserve"> </w:t>
      </w:r>
      <w:r>
        <w:rPr>
          <w:spacing w:val="-2"/>
        </w:rPr>
        <w:t>adding</w:t>
      </w:r>
      <w:r>
        <w:rPr>
          <w:spacing w:val="-4"/>
        </w:rPr>
        <w:t xml:space="preserve"> </w:t>
      </w:r>
      <w:r>
        <w:t>a</w:t>
      </w:r>
      <w:r>
        <w:rPr>
          <w:spacing w:val="-4"/>
        </w:rPr>
        <w:t xml:space="preserve"> </w:t>
      </w:r>
      <w:r>
        <w:rPr>
          <w:spacing w:val="-3"/>
        </w:rPr>
        <w:t>further</w:t>
      </w:r>
      <w:r>
        <w:rPr>
          <w:spacing w:val="-4"/>
        </w:rPr>
        <w:t xml:space="preserve"> </w:t>
      </w:r>
      <w:r>
        <w:rPr>
          <w:spacing w:val="-2"/>
        </w:rPr>
        <w:t>year</w:t>
      </w:r>
      <w:r>
        <w:rPr>
          <w:spacing w:val="-4"/>
        </w:rPr>
        <w:t xml:space="preserve"> </w:t>
      </w:r>
      <w:r>
        <w:rPr>
          <w:spacing w:val="-1"/>
        </w:rPr>
        <w:t>to</w:t>
      </w:r>
      <w:r>
        <w:rPr>
          <w:spacing w:val="-4"/>
        </w:rPr>
        <w:t xml:space="preserve"> </w:t>
      </w:r>
      <w:r>
        <w:rPr>
          <w:spacing w:val="-2"/>
        </w:rPr>
        <w:t>the</w:t>
      </w:r>
      <w:r>
        <w:rPr>
          <w:spacing w:val="-4"/>
        </w:rPr>
        <w:t xml:space="preserve"> </w:t>
      </w:r>
      <w:r>
        <w:rPr>
          <w:spacing w:val="-3"/>
        </w:rPr>
        <w:t>regulatory</w:t>
      </w:r>
      <w:r>
        <w:rPr>
          <w:spacing w:val="-5"/>
        </w:rPr>
        <w:t xml:space="preserve"> </w:t>
      </w:r>
      <w:r>
        <w:rPr>
          <w:spacing w:val="-2"/>
        </w:rPr>
        <w:t>period.</w:t>
      </w:r>
    </w:p>
    <w:p w:rsidR="00D96B91" w:rsidRDefault="00C2656B">
      <w:pPr>
        <w:pStyle w:val="BodyText"/>
        <w:spacing w:before="170" w:line="260" w:lineRule="exact"/>
        <w:ind w:right="1283"/>
      </w:pPr>
      <w:r>
        <w:rPr>
          <w:rFonts w:cs="Avenir Next"/>
        </w:rPr>
        <w:t xml:space="preserve">Given this </w:t>
      </w:r>
      <w:r>
        <w:rPr>
          <w:rFonts w:cs="Avenir Next"/>
          <w:spacing w:val="-2"/>
        </w:rPr>
        <w:t>view,</w:t>
      </w:r>
      <w:r>
        <w:rPr>
          <w:rFonts w:cs="Avenir Next"/>
          <w:spacing w:val="-6"/>
        </w:rPr>
        <w:t xml:space="preserve"> </w:t>
      </w:r>
      <w:r>
        <w:rPr>
          <w:rFonts w:cs="Avenir Next"/>
        </w:rPr>
        <w:t xml:space="preserve">and the </w:t>
      </w:r>
      <w:r>
        <w:rPr>
          <w:rFonts w:cs="Avenir Next"/>
          <w:spacing w:val="-1"/>
        </w:rPr>
        <w:t>risks</w:t>
      </w:r>
      <w:r>
        <w:rPr>
          <w:rFonts w:cs="Avenir Next"/>
        </w:rPr>
        <w:t xml:space="preserve"> </w:t>
      </w:r>
      <w:r>
        <w:rPr>
          <w:rFonts w:cs="Avenir Next"/>
          <w:spacing w:val="-1"/>
        </w:rPr>
        <w:t>that</w:t>
      </w:r>
      <w:r>
        <w:rPr>
          <w:rFonts w:cs="Avenir Next"/>
        </w:rPr>
        <w:t xml:space="preserve"> can be </w:t>
      </w:r>
      <w:r>
        <w:rPr>
          <w:rFonts w:cs="Avenir Next"/>
          <w:spacing w:val="-1"/>
        </w:rPr>
        <w:t>associated</w:t>
      </w:r>
      <w:r>
        <w:rPr>
          <w:rFonts w:cs="Avenir Next"/>
        </w:rPr>
        <w:t xml:space="preserve"> with a longer </w:t>
      </w:r>
      <w:r>
        <w:rPr>
          <w:rFonts w:cs="Avenir Next"/>
          <w:spacing w:val="-1"/>
        </w:rPr>
        <w:t>regulatory</w:t>
      </w:r>
      <w:r>
        <w:rPr>
          <w:rFonts w:cs="Avenir Next"/>
        </w:rPr>
        <w:t xml:space="preserve"> period,</w:t>
      </w:r>
      <w:r>
        <w:rPr>
          <w:rFonts w:cs="Avenir Next"/>
          <w:spacing w:val="-6"/>
        </w:rPr>
        <w:t xml:space="preserve"> </w:t>
      </w:r>
      <w:r>
        <w:rPr>
          <w:rFonts w:cs="Avenir Next"/>
        </w:rPr>
        <w:t xml:space="preserve">the </w:t>
      </w:r>
      <w:r>
        <w:rPr>
          <w:rFonts w:cs="Avenir Next"/>
          <w:spacing w:val="-3"/>
        </w:rPr>
        <w:t>Panel</w:t>
      </w:r>
      <w:r>
        <w:rPr>
          <w:rFonts w:cs="Avenir Next"/>
        </w:rPr>
        <w:t xml:space="preserve"> decided</w:t>
      </w:r>
      <w:r>
        <w:rPr>
          <w:rFonts w:cs="Avenir Next"/>
          <w:spacing w:val="41"/>
        </w:rPr>
        <w:t xml:space="preserve"> </w:t>
      </w:r>
      <w:r>
        <w:t>to</w:t>
      </w:r>
      <w:r>
        <w:rPr>
          <w:spacing w:val="-1"/>
        </w:rPr>
        <w:t xml:space="preserve"> </w:t>
      </w:r>
      <w:r>
        <w:t>adopt a</w:t>
      </w:r>
      <w:r>
        <w:rPr>
          <w:spacing w:val="-1"/>
        </w:rPr>
        <w:t xml:space="preserve"> five-year</w:t>
      </w:r>
      <w:r>
        <w:t xml:space="preserve"> </w:t>
      </w:r>
      <w:r>
        <w:rPr>
          <w:spacing w:val="-1"/>
        </w:rPr>
        <w:t xml:space="preserve">regulatory </w:t>
      </w:r>
      <w:r>
        <w:t xml:space="preserve">period – </w:t>
      </w:r>
      <w:r>
        <w:rPr>
          <w:spacing w:val="-1"/>
        </w:rPr>
        <w:t xml:space="preserve">from </w:t>
      </w:r>
      <w:r>
        <w:t>1</w:t>
      </w:r>
      <w:r>
        <w:rPr>
          <w:spacing w:val="-3"/>
        </w:rPr>
        <w:t xml:space="preserve"> </w:t>
      </w:r>
      <w:r>
        <w:t>July</w:t>
      </w:r>
      <w:r>
        <w:rPr>
          <w:spacing w:val="-1"/>
        </w:rPr>
        <w:t xml:space="preserve"> </w:t>
      </w:r>
      <w:r>
        <w:t>2013 to</w:t>
      </w:r>
      <w:r>
        <w:rPr>
          <w:spacing w:val="-1"/>
        </w:rPr>
        <w:t xml:space="preserve"> </w:t>
      </w:r>
      <w:r>
        <w:t>30</w:t>
      </w:r>
      <w:r>
        <w:rPr>
          <w:spacing w:val="-3"/>
        </w:rPr>
        <w:t xml:space="preserve"> </w:t>
      </w:r>
      <w:r>
        <w:t>June 2018.</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6.</w:t>
      </w:r>
      <w:r>
        <w:rPr>
          <w:color w:val="0778BE"/>
          <w:spacing w:val="-9"/>
        </w:rPr>
        <w:t xml:space="preserve"> </w:t>
      </w:r>
      <w:r>
        <w:rPr>
          <w:color w:val="0778BE"/>
        </w:rPr>
        <w:t>4</w:t>
      </w:r>
      <w:r>
        <w:rPr>
          <w:color w:val="0778BE"/>
        </w:rPr>
        <w:tab/>
      </w:r>
      <w:r>
        <w:rPr>
          <w:color w:val="0778BE"/>
          <w:spacing w:val="-4"/>
        </w:rPr>
        <w:t>Form</w:t>
      </w:r>
      <w:r>
        <w:rPr>
          <w:color w:val="0778BE"/>
        </w:rPr>
        <w:t xml:space="preserve"> of</w:t>
      </w:r>
      <w:r>
        <w:rPr>
          <w:color w:val="0778BE"/>
          <w:spacing w:val="7"/>
        </w:rPr>
        <w:t xml:space="preserve"> </w:t>
      </w:r>
      <w:r>
        <w:rPr>
          <w:color w:val="0778BE"/>
          <w:spacing w:val="-1"/>
        </w:rPr>
        <w:t>control</w:t>
      </w:r>
      <w:r>
        <w:rPr>
          <w:color w:val="0778BE"/>
        </w:rPr>
        <w:t xml:space="preserve"> and </w:t>
      </w:r>
      <w:r>
        <w:rPr>
          <w:color w:val="0778BE"/>
          <w:spacing w:val="-1"/>
        </w:rPr>
        <w:t>measures</w:t>
      </w:r>
      <w:r>
        <w:rPr>
          <w:color w:val="0778BE"/>
        </w:rPr>
        <w:t xml:space="preserve"> to </w:t>
      </w:r>
      <w:r>
        <w:rPr>
          <w:color w:val="0778BE"/>
          <w:spacing w:val="-1"/>
        </w:rPr>
        <w:t>deal</w:t>
      </w:r>
      <w:r>
        <w:rPr>
          <w:color w:val="0778BE"/>
        </w:rPr>
        <w:t xml:space="preserve"> with demand risk</w:t>
      </w:r>
    </w:p>
    <w:p w:rsidR="00D96B91" w:rsidRDefault="00C2656B">
      <w:pPr>
        <w:pStyle w:val="BodyText"/>
        <w:spacing w:before="55" w:line="260" w:lineRule="exact"/>
        <w:ind w:right="1256"/>
        <w:rPr>
          <w:rFonts w:cs="Avenir Next"/>
        </w:rPr>
      </w:pPr>
      <w:r>
        <w:t>Section 20A(1) of</w:t>
      </w:r>
      <w:r>
        <w:rPr>
          <w:spacing w:val="4"/>
        </w:rPr>
        <w:t xml:space="preserve"> </w:t>
      </w:r>
      <w:r>
        <w:t>the</w:t>
      </w:r>
      <w:r>
        <w:rPr>
          <w:spacing w:val="-4"/>
        </w:rPr>
        <w:t xml:space="preserve"> </w:t>
      </w:r>
      <w:r>
        <w:t xml:space="preserve">Act </w:t>
      </w:r>
      <w:r>
        <w:rPr>
          <w:spacing w:val="-1"/>
        </w:rPr>
        <w:t>states</w:t>
      </w:r>
      <w:r>
        <w:t xml:space="preserve"> </w:t>
      </w:r>
      <w:r>
        <w:rPr>
          <w:spacing w:val="-1"/>
        </w:rPr>
        <w:t>that</w:t>
      </w:r>
      <w:r>
        <w:t xml:space="preserve"> a price </w:t>
      </w:r>
      <w:r>
        <w:rPr>
          <w:spacing w:val="-1"/>
        </w:rPr>
        <w:t>direction</w:t>
      </w:r>
      <w:r>
        <w:t xml:space="preserve"> must include a </w:t>
      </w:r>
      <w:r>
        <w:rPr>
          <w:spacing w:val="-1"/>
        </w:rPr>
        <w:t>direction</w:t>
      </w:r>
      <w:r>
        <w:t xml:space="preserve"> about the form of</w:t>
      </w:r>
      <w:r>
        <w:rPr>
          <w:spacing w:val="4"/>
        </w:rPr>
        <w:t xml:space="preserve"> </w:t>
      </w:r>
      <w:r>
        <w:rPr>
          <w:spacing w:val="-1"/>
        </w:rPr>
        <w:t>control</w:t>
      </w:r>
      <w:r>
        <w:rPr>
          <w:spacing w:val="39"/>
        </w:rPr>
        <w:t xml:space="preserve"> </w:t>
      </w:r>
      <w:r>
        <w:rPr>
          <w:spacing w:val="-1"/>
        </w:rPr>
        <w:t>that</w:t>
      </w:r>
      <w:r>
        <w:t xml:space="preserve"> will </w:t>
      </w:r>
      <w:r>
        <w:rPr>
          <w:spacing w:val="-2"/>
        </w:rPr>
        <w:t>apply,</w:t>
      </w:r>
      <w:r>
        <w:rPr>
          <w:spacing w:val="-6"/>
        </w:rPr>
        <w:t xml:space="preserve"> </w:t>
      </w:r>
      <w:r>
        <w:t>which may be:</w:t>
      </w:r>
    </w:p>
    <w:p w:rsidR="00D96B91" w:rsidRDefault="00C2656B">
      <w:pPr>
        <w:pStyle w:val="BodyText"/>
        <w:numPr>
          <w:ilvl w:val="0"/>
          <w:numId w:val="98"/>
        </w:numPr>
        <w:tabs>
          <w:tab w:val="left" w:pos="1588"/>
        </w:tabs>
        <w:spacing w:before="178"/>
        <w:ind w:hanging="340"/>
        <w:rPr>
          <w:rFonts w:cs="Avenir Next"/>
        </w:rPr>
      </w:pPr>
      <w:r>
        <w:t>a price,</w:t>
      </w:r>
      <w:r>
        <w:rPr>
          <w:spacing w:val="-6"/>
        </w:rPr>
        <w:t xml:space="preserve"> </w:t>
      </w:r>
      <w:r>
        <w:t xml:space="preserve">a maximum price or both a minimum and maximum price for </w:t>
      </w:r>
      <w:r>
        <w:rPr>
          <w:spacing w:val="-1"/>
        </w:rPr>
        <w:t>each</w:t>
      </w:r>
      <w:r>
        <w:t xml:space="preserve"> </w:t>
      </w:r>
      <w:r>
        <w:rPr>
          <w:spacing w:val="-1"/>
        </w:rPr>
        <w:t>regulated</w:t>
      </w:r>
      <w:r>
        <w:t xml:space="preserve"> service,</w:t>
      </w:r>
      <w:r>
        <w:rPr>
          <w:spacing w:val="-7"/>
        </w:rPr>
        <w:t xml:space="preserve"> </w:t>
      </w:r>
      <w:r>
        <w:t>and/or</w:t>
      </w:r>
    </w:p>
    <w:p w:rsidR="00D96B91" w:rsidRDefault="00C2656B">
      <w:pPr>
        <w:pStyle w:val="BodyText"/>
        <w:numPr>
          <w:ilvl w:val="0"/>
          <w:numId w:val="98"/>
        </w:numPr>
        <w:tabs>
          <w:tab w:val="left" w:pos="1588"/>
        </w:tabs>
        <w:spacing w:before="64" w:line="260" w:lineRule="exact"/>
        <w:ind w:right="1942" w:hanging="340"/>
      </w:pPr>
      <w:r>
        <w:t xml:space="preserve">a maximum total amount </w:t>
      </w:r>
      <w:r>
        <w:rPr>
          <w:spacing w:val="-1"/>
        </w:rPr>
        <w:t>(revenue</w:t>
      </w:r>
      <w:r>
        <w:t xml:space="preserve"> cap) </w:t>
      </w:r>
      <w:r>
        <w:rPr>
          <w:spacing w:val="-1"/>
        </w:rPr>
        <w:t>that</w:t>
      </w:r>
      <w:r>
        <w:t xml:space="preserve"> may be </w:t>
      </w:r>
      <w:r>
        <w:rPr>
          <w:spacing w:val="-1"/>
        </w:rPr>
        <w:t>earned</w:t>
      </w:r>
      <w:r>
        <w:t xml:space="preserve"> by a person </w:t>
      </w:r>
      <w:r>
        <w:rPr>
          <w:spacing w:val="-1"/>
        </w:rPr>
        <w:t>providing</w:t>
      </w:r>
      <w:r>
        <w:t xml:space="preserve"> </w:t>
      </w:r>
      <w:r>
        <w:rPr>
          <w:spacing w:val="-1"/>
        </w:rPr>
        <w:t>regulated</w:t>
      </w:r>
      <w:r>
        <w:rPr>
          <w:spacing w:val="37"/>
        </w:rPr>
        <w:t xml:space="preserve"> </w:t>
      </w:r>
      <w:r>
        <w:t xml:space="preserve">services </w:t>
      </w:r>
      <w:r>
        <w:rPr>
          <w:spacing w:val="-1"/>
        </w:rPr>
        <w:t>from</w:t>
      </w:r>
      <w:r>
        <w:t xml:space="preserve"> the </w:t>
      </w:r>
      <w:r>
        <w:rPr>
          <w:spacing w:val="-1"/>
        </w:rPr>
        <w:t>provision</w:t>
      </w:r>
      <w:r>
        <w:t xml:space="preserve"> of</w:t>
      </w:r>
      <w:r>
        <w:rPr>
          <w:spacing w:val="4"/>
        </w:rPr>
        <w:t xml:space="preserve"> </w:t>
      </w:r>
      <w:r>
        <w:t>those services.</w:t>
      </w:r>
    </w:p>
    <w:p w:rsidR="00D96B91" w:rsidRDefault="00C2656B">
      <w:pPr>
        <w:pStyle w:val="BodyText"/>
        <w:spacing w:before="85" w:line="260" w:lineRule="exact"/>
        <w:ind w:right="1643"/>
        <w:rPr>
          <w:rFonts w:cs="Avenir Next"/>
        </w:rPr>
      </w:pPr>
      <w:r>
        <w:rPr>
          <w:spacing w:val="-2"/>
        </w:rPr>
        <w:t>Further</w:t>
      </w:r>
      <w:r>
        <w:t xml:space="preserve"> detail on the </w:t>
      </w:r>
      <w:r>
        <w:rPr>
          <w:spacing w:val="-1"/>
        </w:rPr>
        <w:t>alternative</w:t>
      </w:r>
      <w:r>
        <w:t xml:space="preserve"> forms of</w:t>
      </w:r>
      <w:r>
        <w:rPr>
          <w:spacing w:val="4"/>
        </w:rPr>
        <w:t xml:space="preserve"> </w:t>
      </w:r>
      <w:r>
        <w:rPr>
          <w:spacing w:val="-1"/>
        </w:rPr>
        <w:t>control</w:t>
      </w:r>
      <w:r>
        <w:t xml:space="preserve"> </w:t>
      </w:r>
      <w:r>
        <w:rPr>
          <w:spacing w:val="-1"/>
        </w:rPr>
        <w:t>that</w:t>
      </w:r>
      <w:r>
        <w:t xml:space="preserve"> </w:t>
      </w:r>
      <w:r>
        <w:rPr>
          <w:spacing w:val="-2"/>
        </w:rPr>
        <w:t>are</w:t>
      </w:r>
      <w:r>
        <w:t xml:space="preserve"> </w:t>
      </w:r>
      <w:r>
        <w:rPr>
          <w:spacing w:val="-1"/>
        </w:rPr>
        <w:t>provided</w:t>
      </w:r>
      <w:r>
        <w:t xml:space="preserve"> for by this section of</w:t>
      </w:r>
      <w:r>
        <w:rPr>
          <w:spacing w:val="4"/>
        </w:rPr>
        <w:t xml:space="preserve"> </w:t>
      </w:r>
      <w:r>
        <w:t>the</w:t>
      </w:r>
      <w:r>
        <w:rPr>
          <w:spacing w:val="-4"/>
        </w:rPr>
        <w:t xml:space="preserve"> </w:t>
      </w:r>
      <w:r>
        <w:t>Act is</w:t>
      </w:r>
      <w:r>
        <w:rPr>
          <w:spacing w:val="43"/>
        </w:rPr>
        <w:t xml:space="preserve"> </w:t>
      </w:r>
      <w:r>
        <w:rPr>
          <w:spacing w:val="-1"/>
        </w:rPr>
        <w:t>provided</w:t>
      </w:r>
      <w:r>
        <w:t xml:space="preserve"> in the</w:t>
      </w:r>
      <w:r>
        <w:rPr>
          <w:spacing w:val="-5"/>
        </w:rPr>
        <w:t xml:space="preserve"> </w:t>
      </w:r>
      <w:hyperlink w:anchor="_bookmark34" w:history="1">
        <w:r>
          <w:rPr>
            <w:spacing w:val="-4"/>
          </w:rPr>
          <w:t>Table</w:t>
        </w:r>
        <w:r>
          <w:t xml:space="preserve"> 6.2</w:t>
        </w:r>
      </w:hyperlink>
      <w:r>
        <w:t>.</w:t>
      </w:r>
      <w:r>
        <w:rPr>
          <w:spacing w:val="-10"/>
        </w:rPr>
        <w:t xml:space="preserve"> </w:t>
      </w:r>
      <w:r>
        <w:t xml:space="preserve">As this </w:t>
      </w:r>
      <w:r>
        <w:rPr>
          <w:spacing w:val="-1"/>
        </w:rPr>
        <w:t>information</w:t>
      </w:r>
      <w:r>
        <w:t xml:space="preserve"> highlights,</w:t>
      </w:r>
      <w:r>
        <w:rPr>
          <w:spacing w:val="-6"/>
        </w:rPr>
        <w:t xml:space="preserve"> </w:t>
      </w:r>
      <w:r>
        <w:t>the choice between these forms of</w:t>
      </w:r>
      <w:r>
        <w:rPr>
          <w:spacing w:val="4"/>
        </w:rPr>
        <w:t xml:space="preserve"> </w:t>
      </w:r>
      <w:r>
        <w:rPr>
          <w:spacing w:val="-1"/>
        </w:rPr>
        <w:t>control</w:t>
      </w:r>
      <w:r>
        <w:rPr>
          <w:spacing w:val="33"/>
        </w:rPr>
        <w:t xml:space="preserve"> </w:t>
      </w:r>
      <w:r>
        <w:t xml:space="preserve">has </w:t>
      </w:r>
      <w:r>
        <w:rPr>
          <w:spacing w:val="-1"/>
        </w:rPr>
        <w:t>important</w:t>
      </w:r>
      <w:r>
        <w:t xml:space="preserve"> </w:t>
      </w:r>
      <w:r>
        <w:rPr>
          <w:spacing w:val="-1"/>
        </w:rPr>
        <w:t>implications</w:t>
      </w:r>
      <w:r>
        <w:t xml:space="preserve"> for the </w:t>
      </w:r>
      <w:r>
        <w:rPr>
          <w:spacing w:val="-1"/>
        </w:rPr>
        <w:t>allocation</w:t>
      </w:r>
      <w:r>
        <w:t xml:space="preserve"> of</w:t>
      </w:r>
      <w:r>
        <w:rPr>
          <w:spacing w:val="4"/>
        </w:rPr>
        <w:t xml:space="preserve"> </w:t>
      </w:r>
      <w:r>
        <w:t xml:space="preserve">demand </w:t>
      </w:r>
      <w:r>
        <w:rPr>
          <w:spacing w:val="-1"/>
        </w:rPr>
        <w:t>risks</w:t>
      </w:r>
      <w:r>
        <w:t xml:space="preserve"> between customers and the </w:t>
      </w:r>
      <w:r>
        <w:rPr>
          <w:spacing w:val="-1"/>
        </w:rPr>
        <w:t>regulated</w:t>
      </w:r>
    </w:p>
    <w:p w:rsidR="00D96B91" w:rsidRDefault="00D96B91">
      <w:pPr>
        <w:rPr>
          <w:rFonts w:ascii="Avenir Next" w:eastAsia="Avenir Next" w:hAnsi="Avenir Next" w:cs="Avenir Next"/>
          <w:sz w:val="20"/>
          <w:szCs w:val="20"/>
        </w:rPr>
      </w:pPr>
    </w:p>
    <w:p w:rsidR="00D96B91" w:rsidRDefault="00D96B91">
      <w:pPr>
        <w:spacing w:before="1"/>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58" style="width:72.5pt;height:.5pt;mso-position-horizontal-relative:char;mso-position-vertical-relative:line" coordsize="1450,10">
            <v:group id="_x0000_s3259" style="position:absolute;left:5;top:5;width:1440;height:2" coordorigin="5,5" coordsize="1440,2">
              <v:shape id="_x0000_s3260"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z w:val="16"/>
        </w:rPr>
        <w:t xml:space="preserve">Issues </w:t>
      </w:r>
      <w:r>
        <w:rPr>
          <w:rFonts w:ascii="Avenir Next"/>
          <w:spacing w:val="-3"/>
          <w:sz w:val="16"/>
        </w:rPr>
        <w:t>Paper,</w:t>
      </w:r>
      <w:r>
        <w:rPr>
          <w:rFonts w:ascii="Avenir Next"/>
          <w:spacing w:val="-5"/>
          <w:sz w:val="16"/>
        </w:rPr>
        <w:t xml:space="preserve"> </w:t>
      </w:r>
      <w:r>
        <w:rPr>
          <w:rFonts w:ascii="Avenir Next"/>
          <w:spacing w:val="-1"/>
          <w:sz w:val="16"/>
        </w:rPr>
        <w:t>Regulated</w:t>
      </w:r>
      <w:r>
        <w:rPr>
          <w:rFonts w:ascii="Avenir Next"/>
          <w:sz w:val="16"/>
        </w:rPr>
        <w:t xml:space="preserve"> </w:t>
      </w:r>
      <w:r>
        <w:rPr>
          <w:rFonts w:ascii="Avenir Next"/>
          <w:spacing w:val="-1"/>
          <w:sz w:val="16"/>
        </w:rPr>
        <w:t>water</w:t>
      </w:r>
      <w:r>
        <w:rPr>
          <w:rFonts w:ascii="Avenir Next"/>
          <w:sz w:val="16"/>
        </w:rPr>
        <w:t xml:space="preserve"> and </w:t>
      </w:r>
      <w:r>
        <w:rPr>
          <w:rFonts w:ascii="Avenir Next"/>
          <w:spacing w:val="-1"/>
          <w:sz w:val="16"/>
        </w:rPr>
        <w:t>sewerage</w:t>
      </w:r>
      <w:r>
        <w:rPr>
          <w:rFonts w:ascii="Avenir Next"/>
          <w:sz w:val="16"/>
        </w:rPr>
        <w:t xml:space="preserve"> services 2013-18,</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548"/>
      </w:pPr>
      <w:r>
        <w:t>business.</w:t>
      </w:r>
      <w:r>
        <w:rPr>
          <w:spacing w:val="-11"/>
        </w:rPr>
        <w:t xml:space="preserve"> </w:t>
      </w:r>
      <w:r>
        <w:rPr>
          <w:spacing w:val="-2"/>
        </w:rPr>
        <w:t>The</w:t>
      </w:r>
      <w:r>
        <w:t xml:space="preserve"> choice also has </w:t>
      </w:r>
      <w:r>
        <w:rPr>
          <w:spacing w:val="-1"/>
        </w:rPr>
        <w:t>implications</w:t>
      </w:r>
      <w:r>
        <w:t xml:space="preserve"> for price </w:t>
      </w:r>
      <w:r>
        <w:rPr>
          <w:spacing w:val="-1"/>
        </w:rPr>
        <w:t>stability,</w:t>
      </w:r>
      <w:r>
        <w:rPr>
          <w:spacing w:val="-6"/>
        </w:rPr>
        <w:t xml:space="preserve"> </w:t>
      </w:r>
      <w:r>
        <w:rPr>
          <w:spacing w:val="-1"/>
        </w:rPr>
        <w:t>revenue</w:t>
      </w:r>
      <w:r>
        <w:t xml:space="preserve"> stability and the </w:t>
      </w:r>
      <w:r>
        <w:rPr>
          <w:spacing w:val="-1"/>
        </w:rPr>
        <w:t>regulated</w:t>
      </w:r>
      <w:r>
        <w:rPr>
          <w:spacing w:val="41"/>
        </w:rPr>
        <w:t xml:space="preserve"> </w:t>
      </w:r>
      <w:r>
        <w:t>business’</w:t>
      </w:r>
      <w:r>
        <w:rPr>
          <w:spacing w:val="-1"/>
        </w:rPr>
        <w:t xml:space="preserve"> </w:t>
      </w:r>
      <w:r>
        <w:t>incentive</w:t>
      </w:r>
      <w:r>
        <w:rPr>
          <w:spacing w:val="-1"/>
        </w:rPr>
        <w:t xml:space="preserve"> </w:t>
      </w:r>
      <w:r>
        <w:t>to</w:t>
      </w:r>
      <w:r>
        <w:rPr>
          <w:spacing w:val="-1"/>
        </w:rPr>
        <w:t xml:space="preserve"> encourage</w:t>
      </w:r>
      <w:r>
        <w:t xml:space="preserve"> </w:t>
      </w:r>
      <w:r>
        <w:rPr>
          <w:spacing w:val="-1"/>
        </w:rPr>
        <w:t xml:space="preserve">efficient utilisation </w:t>
      </w:r>
      <w:r>
        <w:t>of</w:t>
      </w:r>
      <w:r>
        <w:rPr>
          <w:spacing w:val="4"/>
        </w:rPr>
        <w:t xml:space="preserve"> </w:t>
      </w:r>
      <w:r>
        <w:t>the</w:t>
      </w:r>
      <w:r>
        <w:rPr>
          <w:spacing w:val="-1"/>
        </w:rPr>
        <w:t xml:space="preserve"> </w:t>
      </w:r>
      <w:r>
        <w:t>asset.</w:t>
      </w:r>
    </w:p>
    <w:p w:rsidR="00D96B91" w:rsidRDefault="00C2656B">
      <w:pPr>
        <w:spacing w:before="158"/>
        <w:ind w:left="1247"/>
        <w:rPr>
          <w:rFonts w:ascii="Avenir Next" w:eastAsia="Avenir Next" w:hAnsi="Avenir Next" w:cs="Avenir Next"/>
          <w:sz w:val="20"/>
          <w:szCs w:val="20"/>
        </w:rPr>
      </w:pPr>
      <w:bookmarkStart w:id="62" w:name="_bookmark34"/>
      <w:bookmarkEnd w:id="62"/>
      <w:r>
        <w:rPr>
          <w:rFonts w:ascii="Avenir Next"/>
          <w:b/>
          <w:spacing w:val="-4"/>
          <w:sz w:val="20"/>
        </w:rPr>
        <w:t>Table</w:t>
      </w:r>
      <w:r>
        <w:rPr>
          <w:rFonts w:ascii="Avenir Next"/>
          <w:b/>
          <w:sz w:val="20"/>
        </w:rPr>
        <w:t xml:space="preserve"> 6.2:</w:t>
      </w:r>
      <w:r>
        <w:rPr>
          <w:rFonts w:ascii="Avenir Next"/>
          <w:b/>
          <w:spacing w:val="-4"/>
          <w:sz w:val="20"/>
        </w:rPr>
        <w:t xml:space="preserve"> </w:t>
      </w:r>
      <w:r>
        <w:rPr>
          <w:rFonts w:ascii="Avenir Next"/>
          <w:b/>
          <w:spacing w:val="-1"/>
          <w:sz w:val="20"/>
        </w:rPr>
        <w:t>Alternative</w:t>
      </w:r>
      <w:r>
        <w:rPr>
          <w:rFonts w:ascii="Avenir Next"/>
          <w:b/>
          <w:sz w:val="20"/>
        </w:rPr>
        <w:t xml:space="preserve"> forms of</w:t>
      </w:r>
      <w:r>
        <w:rPr>
          <w:rFonts w:ascii="Avenir Next"/>
          <w:b/>
          <w:spacing w:val="4"/>
          <w:sz w:val="20"/>
        </w:rPr>
        <w:t xml:space="preserve"> </w:t>
      </w:r>
      <w:r>
        <w:rPr>
          <w:rFonts w:ascii="Avenir Next"/>
          <w:b/>
          <w:spacing w:val="-1"/>
          <w:sz w:val="20"/>
        </w:rPr>
        <w:t>control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611"/>
        <w:gridCol w:w="8062"/>
      </w:tblGrid>
      <w:tr w:rsidR="00D96B91" w:rsidTr="006F72BE">
        <w:trPr>
          <w:trHeight w:hRule="exact" w:val="407"/>
        </w:trPr>
        <w:tc>
          <w:tcPr>
            <w:tcW w:w="161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2"/>
                <w:sz w:val="18"/>
              </w:rPr>
              <w:t>Form</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control</w:t>
            </w:r>
          </w:p>
        </w:tc>
        <w:tc>
          <w:tcPr>
            <w:tcW w:w="80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Description and implications</w:t>
            </w:r>
          </w:p>
        </w:tc>
      </w:tr>
      <w:tr w:rsidR="00D96B91" w:rsidTr="006F72BE">
        <w:trPr>
          <w:trHeight w:hRule="exact" w:val="357"/>
        </w:trPr>
        <w:tc>
          <w:tcPr>
            <w:tcW w:w="1611"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Pure</w:t>
            </w:r>
            <w:r>
              <w:rPr>
                <w:rFonts w:ascii="Avenir Next Condensed"/>
                <w:sz w:val="18"/>
              </w:rPr>
              <w:t xml:space="preserve"> </w:t>
            </w:r>
            <w:r>
              <w:rPr>
                <w:rFonts w:ascii="Avenir Next Condensed"/>
                <w:spacing w:val="-1"/>
                <w:sz w:val="18"/>
              </w:rPr>
              <w:t>revenue</w:t>
            </w:r>
            <w:r>
              <w:rPr>
                <w:rFonts w:ascii="Avenir Next Condensed"/>
                <w:sz w:val="18"/>
              </w:rPr>
              <w:t xml:space="preserve"> cap</w:t>
            </w:r>
          </w:p>
        </w:tc>
        <w:tc>
          <w:tcPr>
            <w:tcW w:w="8062"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Description:</w:t>
            </w:r>
            <w:r>
              <w:rPr>
                <w:rFonts w:ascii="Avenir Next Condensed"/>
                <w:b/>
                <w:spacing w:val="-2"/>
                <w:sz w:val="18"/>
              </w:rPr>
              <w:t xml:space="preserve"> </w:t>
            </w:r>
            <w:r>
              <w:rPr>
                <w:rFonts w:ascii="Avenir Next Condensed"/>
                <w:sz w:val="18"/>
              </w:rPr>
              <w:t xml:space="preserve">Under this option a cap is placed on the </w:t>
            </w:r>
            <w:r>
              <w:rPr>
                <w:rFonts w:ascii="Avenir Next Condensed"/>
                <w:spacing w:val="-1"/>
                <w:sz w:val="18"/>
              </w:rPr>
              <w:t>revenue</w:t>
            </w:r>
            <w:r>
              <w:rPr>
                <w:rFonts w:ascii="Avenir Next Condensed"/>
                <w:sz w:val="18"/>
              </w:rPr>
              <w:t xml:space="preserve"> that a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can </w:t>
            </w:r>
            <w:r>
              <w:rPr>
                <w:rFonts w:ascii="Avenir Next Condensed"/>
                <w:spacing w:val="-1"/>
                <w:sz w:val="18"/>
              </w:rPr>
              <w:t>earn</w:t>
            </w:r>
            <w:r>
              <w:rPr>
                <w:rFonts w:ascii="Avenir Next Condensed"/>
                <w:sz w:val="18"/>
              </w:rPr>
              <w:t xml:space="preserve"> in </w:t>
            </w:r>
            <w:r>
              <w:rPr>
                <w:rFonts w:ascii="Avenir Next Condensed"/>
                <w:spacing w:val="-1"/>
                <w:sz w:val="18"/>
              </w:rPr>
              <w:t>each</w:t>
            </w:r>
            <w:r>
              <w:rPr>
                <w:rFonts w:ascii="Avenir Next Condensed"/>
                <w:sz w:val="18"/>
              </w:rPr>
              <w:t xml:space="preserve"> </w:t>
            </w:r>
            <w:r>
              <w:rPr>
                <w:rFonts w:ascii="Avenir Next Condensed"/>
                <w:spacing w:val="-2"/>
                <w:sz w:val="18"/>
              </w:rPr>
              <w:t>year.</w:t>
            </w:r>
            <w:r>
              <w:rPr>
                <w:rFonts w:ascii="Avenir Next Condensed"/>
                <w:spacing w:val="-10"/>
                <w:sz w:val="18"/>
              </w:rPr>
              <w:t xml:space="preserve"> </w:t>
            </w:r>
            <w:r>
              <w:rPr>
                <w:rFonts w:ascii="Avenir Next Condensed"/>
                <w:spacing w:val="-4"/>
                <w:sz w:val="18"/>
              </w:rPr>
              <w:t>To</w:t>
            </w:r>
          </w:p>
        </w:tc>
      </w:tr>
      <w:tr w:rsidR="00D96B91" w:rsidTr="006F72BE">
        <w:trPr>
          <w:trHeight w:hRule="exact" w:val="2810"/>
        </w:trPr>
        <w:tc>
          <w:tcPr>
            <w:tcW w:w="161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(proposed</w:t>
            </w:r>
            <w:r>
              <w:rPr>
                <w:rFonts w:ascii="Avenir Next Condensed"/>
                <w:sz w:val="18"/>
              </w:rPr>
              <w:t xml:space="preserve"> by</w:t>
            </w:r>
            <w:r>
              <w:rPr>
                <w:rFonts w:ascii="Avenir Next Condensed"/>
                <w:spacing w:val="-4"/>
                <w:sz w:val="18"/>
              </w:rPr>
              <w:t xml:space="preserve"> </w:t>
            </w:r>
            <w:r>
              <w:rPr>
                <w:rFonts w:ascii="Avenir Next Condensed"/>
                <w:spacing w:val="-1"/>
                <w:sz w:val="18"/>
              </w:rPr>
              <w:t>ACTEW)</w:t>
            </w:r>
          </w:p>
        </w:tc>
        <w:tc>
          <w:tcPr>
            <w:tcW w:w="806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20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account for deviations between actual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and the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cap arising as a </w:t>
            </w:r>
            <w:r>
              <w:rPr>
                <w:rFonts w:ascii="Avenir Next Condensed" w:eastAsia="Avenir Next Condensed" w:hAnsi="Avenir Next Condensed" w:cs="Avenir Next Condensed"/>
                <w:spacing w:val="-1"/>
                <w:sz w:val="18"/>
                <w:szCs w:val="18"/>
              </w:rPr>
              <w:t>result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variations between actual and</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pacing w:val="-1"/>
                <w:sz w:val="18"/>
                <w:szCs w:val="18"/>
              </w:rPr>
              <w:t>forecast</w:t>
            </w:r>
            <w:r>
              <w:rPr>
                <w:rFonts w:ascii="Avenir Next Condensed" w:eastAsia="Avenir Next Condensed" w:hAnsi="Avenir Next Condensed" w:cs="Avenir Next Condensed"/>
                <w:sz w:val="18"/>
                <w:szCs w:val="18"/>
              </w:rPr>
              <w:t xml:space="preserve"> demand,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an ‘unders and overs’ account will typically be established.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1"/>
                <w:sz w:val="18"/>
                <w:szCs w:val="18"/>
              </w:rPr>
              <w:t>Prices</w:t>
            </w:r>
            <w:r>
              <w:rPr>
                <w:rFonts w:ascii="Avenir Next Condensed" w:eastAsia="Avenir Next Condensed" w:hAnsi="Avenir Next Condensed" w:cs="Avenir Next Condensed"/>
                <w:sz w:val="18"/>
                <w:szCs w:val="18"/>
              </w:rPr>
              <w:t xml:space="preserve"> can then be adjusted to </w:t>
            </w:r>
            <w:r>
              <w:rPr>
                <w:rFonts w:ascii="Avenir Next Condensed" w:eastAsia="Avenir Next Condensed" w:hAnsi="Avenir Next Condensed" w:cs="Avenir Next Condensed"/>
                <w:spacing w:val="-1"/>
                <w:sz w:val="18"/>
                <w:szCs w:val="18"/>
              </w:rPr>
              <w:t>reflect</w:t>
            </w:r>
            <w:r>
              <w:rPr>
                <w:rFonts w:ascii="Avenir Next Condensed" w:eastAsia="Avenir Next Condensed" w:hAnsi="Avenir Next Condensed" w:cs="Avenir Next Condensed"/>
                <w:sz w:val="18"/>
                <w:szCs w:val="18"/>
              </w:rPr>
              <w:t xml:space="preserve"> the</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pacing w:val="-1"/>
                <w:sz w:val="18"/>
                <w:szCs w:val="18"/>
              </w:rPr>
              <w:t>extent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any under or over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either within 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or at the commencement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next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z w:val="18"/>
                <w:szCs w:val="18"/>
              </w:rPr>
              <w:t>period.</w:t>
            </w:r>
          </w:p>
          <w:p w:rsidR="00D96B91" w:rsidRDefault="00C2656B">
            <w:pPr>
              <w:pStyle w:val="TableParagraph"/>
              <w:spacing w:before="98" w:line="220" w:lineRule="exact"/>
              <w:ind w:left="108" w:right="290"/>
              <w:rPr>
                <w:rFonts w:ascii="Avenir Next Condensed" w:eastAsia="Avenir Next Condensed" w:hAnsi="Avenir Next Condensed" w:cs="Avenir Next Condensed"/>
                <w:sz w:val="10"/>
                <w:szCs w:val="10"/>
              </w:rPr>
            </w:pPr>
            <w:r>
              <w:rPr>
                <w:rFonts w:ascii="Avenir Next Condensed" w:eastAsia="Avenir Next Condensed" w:hAnsi="Avenir Next Condensed" w:cs="Avenir Next Condensed"/>
                <w:b/>
                <w:bCs/>
                <w:sz w:val="18"/>
                <w:szCs w:val="18"/>
              </w:rPr>
              <w:t>Allocation of</w:t>
            </w:r>
            <w:r>
              <w:rPr>
                <w:rFonts w:ascii="Avenir Next Condensed" w:eastAsia="Avenir Next Condensed" w:hAnsi="Avenir Next Condensed" w:cs="Avenir Next Condensed"/>
                <w:b/>
                <w:bCs/>
                <w:spacing w:val="4"/>
                <w:sz w:val="18"/>
                <w:szCs w:val="18"/>
              </w:rPr>
              <w:t xml:space="preserve"> </w:t>
            </w:r>
            <w:r>
              <w:rPr>
                <w:rFonts w:ascii="Avenir Next Condensed" w:eastAsia="Avenir Next Condensed" w:hAnsi="Avenir Next Condensed" w:cs="Avenir Next Condensed"/>
                <w:b/>
                <w:bCs/>
                <w:sz w:val="18"/>
                <w:szCs w:val="18"/>
              </w:rPr>
              <w:t>demand risk</w:t>
            </w:r>
            <w:r>
              <w:rPr>
                <w:rFonts w:ascii="Avenir Next Condensed" w:eastAsia="Avenir Next Condensed" w:hAnsi="Avenir Next Condensed" w:cs="Avenir Next Condensed"/>
                <w:sz w:val="18"/>
                <w:szCs w:val="18"/>
              </w:rPr>
              <w:t>: Because the amount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that the </w:t>
            </w:r>
            <w:r>
              <w:rPr>
                <w:rFonts w:ascii="Avenir Next Condensed" w:eastAsia="Avenir Next Condensed" w:hAnsi="Avenir Next Condensed" w:cs="Avenir Next Condensed"/>
                <w:spacing w:val="-1"/>
                <w:sz w:val="18"/>
                <w:szCs w:val="18"/>
              </w:rPr>
              <w:t>regulated</w:t>
            </w:r>
            <w:r>
              <w:rPr>
                <w:rFonts w:ascii="Avenir Next Condensed" w:eastAsia="Avenir Next Condensed" w:hAnsi="Avenir Next Condensed" w:cs="Avenir Next Condensed"/>
                <w:sz w:val="18"/>
                <w:szCs w:val="18"/>
              </w:rPr>
              <w:t xml:space="preserve"> service </w:t>
            </w:r>
            <w:r>
              <w:rPr>
                <w:rFonts w:ascii="Avenir Next Condensed" w:eastAsia="Avenir Next Condensed" w:hAnsi="Avenir Next Condensed" w:cs="Avenir Next Condensed"/>
                <w:spacing w:val="-1"/>
                <w:sz w:val="18"/>
                <w:szCs w:val="18"/>
              </w:rPr>
              <w:t>provider</w:t>
            </w:r>
            <w:r>
              <w:rPr>
                <w:rFonts w:ascii="Avenir Next Condensed" w:eastAsia="Avenir Next Condensed" w:hAnsi="Avenir Next Condensed" w:cs="Avenir Next Condensed"/>
                <w:sz w:val="18"/>
                <w:szCs w:val="18"/>
              </w:rPr>
              <w:t xml:space="preserve"> can </w:t>
            </w:r>
            <w:r>
              <w:rPr>
                <w:rFonts w:ascii="Avenir Next Condensed" w:eastAsia="Avenir Next Condensed" w:hAnsi="Avenir Next Condensed" w:cs="Avenir Next Condensed"/>
                <w:spacing w:val="-1"/>
                <w:sz w:val="18"/>
                <w:szCs w:val="18"/>
              </w:rPr>
              <w:t>earn</w:t>
            </w:r>
            <w:r>
              <w:rPr>
                <w:rFonts w:ascii="Avenir Next Condensed" w:eastAsia="Avenir Next Condensed" w:hAnsi="Avenir Next Condensed" w:cs="Avenir Next Condensed"/>
                <w:sz w:val="18"/>
                <w:szCs w:val="18"/>
              </w:rPr>
              <w:t xml:space="preserve"> is </w:t>
            </w:r>
            <w:r>
              <w:rPr>
                <w:rFonts w:ascii="Avenir Next Condensed" w:eastAsia="Avenir Next Condensed" w:hAnsi="Avenir Next Condensed" w:cs="Avenir Next Condensed"/>
                <w:spacing w:val="-1"/>
                <w:sz w:val="18"/>
                <w:szCs w:val="18"/>
              </w:rPr>
              <w:t>fixed</w:t>
            </w:r>
            <w:r>
              <w:rPr>
                <w:rFonts w:ascii="Avenir Next Condensed" w:eastAsia="Avenir Next Condensed" w:hAnsi="Avenir Next Condensed" w:cs="Avenir Next Condensed"/>
                <w:sz w:val="18"/>
                <w:szCs w:val="18"/>
              </w:rPr>
              <w:t xml:space="preserve"> (ie,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it</w:t>
            </w:r>
            <w:r>
              <w:rPr>
                <w:rFonts w:ascii="Avenir Next Condensed" w:eastAsia="Avenir Next Condensed" w:hAnsi="Avenir Next Condensed" w:cs="Avenir Next Condensed"/>
                <w:spacing w:val="47"/>
                <w:sz w:val="18"/>
                <w:szCs w:val="18"/>
              </w:rPr>
              <w:t xml:space="preserve"> </w:t>
            </w:r>
            <w:r>
              <w:rPr>
                <w:rFonts w:ascii="Avenir Next Condensed" w:eastAsia="Avenir Next Condensed" w:hAnsi="Avenir Next Condensed" w:cs="Avenir Next Condensed"/>
                <w:sz w:val="18"/>
                <w:szCs w:val="18"/>
              </w:rPr>
              <w:t>doesn’t vary with</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demand),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customers </w:t>
            </w:r>
            <w:r>
              <w:rPr>
                <w:rFonts w:ascii="Avenir Next Condensed" w:eastAsia="Avenir Next Condensed" w:hAnsi="Avenir Next Condensed" w:cs="Avenir Next Condensed"/>
                <w:spacing w:val="-1"/>
                <w:sz w:val="18"/>
                <w:szCs w:val="18"/>
              </w:rPr>
              <w:t>bear</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all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 xml:space="preserve">demand </w:t>
            </w:r>
            <w:r>
              <w:rPr>
                <w:rFonts w:ascii="Avenir Next Condensed" w:eastAsia="Avenir Next Condensed" w:hAnsi="Avenir Next Condensed" w:cs="Avenir Next Condensed"/>
                <w:spacing w:val="-1"/>
                <w:sz w:val="18"/>
                <w:szCs w:val="18"/>
              </w:rPr>
              <w:t>related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risks.</w:t>
            </w:r>
            <w:r>
              <w:rPr>
                <w:rFonts w:ascii="Avenir Next Condensed" w:eastAsia="Avenir Next Condensed" w:hAnsi="Avenir Next Condensed" w:cs="Avenir Next Condensed"/>
                <w:spacing w:val="-1"/>
                <w:position w:val="6"/>
                <w:sz w:val="10"/>
                <w:szCs w:val="10"/>
              </w:rPr>
              <w:t>45</w:t>
            </w:r>
          </w:p>
          <w:p w:rsidR="00D96B91" w:rsidRDefault="00C2656B">
            <w:pPr>
              <w:pStyle w:val="TableParagraph"/>
              <w:spacing w:before="113" w:line="220" w:lineRule="exact"/>
              <w:ind w:left="108" w:right="287"/>
              <w:rPr>
                <w:rFonts w:ascii="Avenir Next Condensed" w:eastAsia="Avenir Next Condensed" w:hAnsi="Avenir Next Condensed" w:cs="Avenir Next Condensed"/>
                <w:sz w:val="18"/>
                <w:szCs w:val="18"/>
              </w:rPr>
            </w:pPr>
            <w:r>
              <w:rPr>
                <w:rFonts w:ascii="Avenir Next Condensed"/>
                <w:b/>
                <w:spacing w:val="-1"/>
                <w:sz w:val="18"/>
              </w:rPr>
              <w:t>Revenue</w:t>
            </w:r>
            <w:r>
              <w:rPr>
                <w:rFonts w:ascii="Avenir Next Condensed"/>
                <w:b/>
                <w:sz w:val="18"/>
              </w:rPr>
              <w:t xml:space="preserve"> and price stability:</w:t>
            </w:r>
            <w:r>
              <w:rPr>
                <w:rFonts w:ascii="Avenir Next Condensed"/>
                <w:b/>
                <w:spacing w:val="-4"/>
                <w:sz w:val="18"/>
              </w:rPr>
              <w:t xml:space="preserve"> </w:t>
            </w:r>
            <w:r>
              <w:rPr>
                <w:rFonts w:ascii="Avenir Next Condensed"/>
                <w:sz w:val="18"/>
              </w:rPr>
              <w:t>While this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w:t>
            </w:r>
            <w:r>
              <w:rPr>
                <w:rFonts w:ascii="Avenir Next Condensed"/>
                <w:spacing w:val="-1"/>
                <w:sz w:val="18"/>
              </w:rPr>
              <w:t>provides</w:t>
            </w:r>
            <w:r>
              <w:rPr>
                <w:rFonts w:ascii="Avenir Next Condensed"/>
                <w:sz w:val="18"/>
              </w:rPr>
              <w:t xml:space="preserve"> for a stable </w:t>
            </w:r>
            <w:r>
              <w:rPr>
                <w:rFonts w:ascii="Avenir Next Condensed"/>
                <w:spacing w:val="-1"/>
                <w:sz w:val="18"/>
              </w:rPr>
              <w:t>revenue</w:t>
            </w:r>
            <w:r>
              <w:rPr>
                <w:rFonts w:ascii="Avenir Next Condensed"/>
                <w:sz w:val="18"/>
              </w:rPr>
              <w:t xml:space="preserve"> path over the </w:t>
            </w:r>
            <w:r>
              <w:rPr>
                <w:rFonts w:ascii="Avenir Next Condensed"/>
                <w:spacing w:val="-1"/>
                <w:sz w:val="18"/>
              </w:rPr>
              <w:t>regulatory</w:t>
            </w:r>
            <w:r>
              <w:rPr>
                <w:rFonts w:ascii="Avenir Next Condensed"/>
                <w:sz w:val="18"/>
              </w:rPr>
              <w:t xml:space="preserve"> period,</w:t>
            </w:r>
            <w:r>
              <w:rPr>
                <w:rFonts w:ascii="Avenir Next Condensed"/>
                <w:spacing w:val="59"/>
                <w:sz w:val="18"/>
              </w:rPr>
              <w:t xml:space="preserve"> </w:t>
            </w:r>
            <w:r>
              <w:rPr>
                <w:rFonts w:ascii="Avenir Next Condensed"/>
                <w:sz w:val="18"/>
              </w:rPr>
              <w:t>prices can be quite volatile if</w:t>
            </w:r>
            <w:r>
              <w:rPr>
                <w:rFonts w:ascii="Avenir Next Condensed"/>
                <w:spacing w:val="4"/>
                <w:sz w:val="18"/>
              </w:rPr>
              <w:t xml:space="preserve"> </w:t>
            </w:r>
            <w:r>
              <w:rPr>
                <w:rFonts w:ascii="Avenir Next Condensed"/>
                <w:sz w:val="18"/>
              </w:rPr>
              <w:t xml:space="preserve">demand </w:t>
            </w:r>
            <w:r>
              <w:rPr>
                <w:rFonts w:ascii="Avenir Next Condensed"/>
                <w:spacing w:val="-1"/>
                <w:sz w:val="18"/>
              </w:rPr>
              <w:t>differs</w:t>
            </w:r>
            <w:r>
              <w:rPr>
                <w:rFonts w:ascii="Avenir Next Condensed"/>
                <w:sz w:val="18"/>
              </w:rPr>
              <w:t xml:space="preserve"> </w:t>
            </w:r>
            <w:r>
              <w:rPr>
                <w:rFonts w:ascii="Avenir Next Condensed"/>
                <w:spacing w:val="-1"/>
                <w:sz w:val="18"/>
              </w:rPr>
              <w:t>from</w:t>
            </w:r>
            <w:r>
              <w:rPr>
                <w:rFonts w:ascii="Avenir Next Condensed"/>
                <w:sz w:val="18"/>
              </w:rPr>
              <w:t xml:space="preserve"> </w:t>
            </w:r>
            <w:r>
              <w:rPr>
                <w:rFonts w:ascii="Avenir Next Condensed"/>
                <w:spacing w:val="-1"/>
                <w:sz w:val="18"/>
              </w:rPr>
              <w:t>forecast.</w:t>
            </w:r>
          </w:p>
          <w:p w:rsidR="00D96B91" w:rsidRDefault="00C2656B">
            <w:pPr>
              <w:pStyle w:val="TableParagraph"/>
              <w:spacing w:before="113" w:line="220" w:lineRule="exact"/>
              <w:ind w:left="108" w:right="339"/>
              <w:rPr>
                <w:rFonts w:ascii="Avenir Next Condensed" w:eastAsia="Avenir Next Condensed" w:hAnsi="Avenir Next Condensed" w:cs="Avenir Next Condensed"/>
                <w:sz w:val="18"/>
                <w:szCs w:val="18"/>
              </w:rPr>
            </w:pPr>
            <w:r>
              <w:rPr>
                <w:rFonts w:ascii="Avenir Next Condensed"/>
                <w:b/>
                <w:sz w:val="18"/>
              </w:rPr>
              <w:t xml:space="preserve">Incentive to </w:t>
            </w:r>
            <w:r>
              <w:rPr>
                <w:rFonts w:ascii="Avenir Next Condensed"/>
                <w:b/>
                <w:spacing w:val="-1"/>
                <w:sz w:val="18"/>
              </w:rPr>
              <w:t>encourage</w:t>
            </w:r>
            <w:r>
              <w:rPr>
                <w:rFonts w:ascii="Avenir Next Condensed"/>
                <w:b/>
                <w:sz w:val="18"/>
              </w:rPr>
              <w:t xml:space="preserve"> </w:t>
            </w:r>
            <w:r>
              <w:rPr>
                <w:rFonts w:ascii="Avenir Next Condensed"/>
                <w:b/>
                <w:spacing w:val="-1"/>
                <w:sz w:val="18"/>
              </w:rPr>
              <w:t>efficient</w:t>
            </w:r>
            <w:r>
              <w:rPr>
                <w:rFonts w:ascii="Avenir Next Condensed"/>
                <w:b/>
                <w:sz w:val="18"/>
              </w:rPr>
              <w:t xml:space="preserve"> </w:t>
            </w:r>
            <w:r>
              <w:rPr>
                <w:rFonts w:ascii="Avenir Next Condensed"/>
                <w:b/>
                <w:spacing w:val="-1"/>
                <w:sz w:val="18"/>
              </w:rPr>
              <w:t>asset</w:t>
            </w:r>
            <w:r>
              <w:rPr>
                <w:rFonts w:ascii="Avenir Next Condensed"/>
                <w:b/>
                <w:sz w:val="18"/>
              </w:rPr>
              <w:t xml:space="preserve"> utilisation</w:t>
            </w:r>
            <w:r>
              <w:rPr>
                <w:rFonts w:ascii="Avenir Next Condensed"/>
                <w:sz w:val="18"/>
              </w:rPr>
              <w:t>:</w:t>
            </w:r>
            <w:r>
              <w:rPr>
                <w:rFonts w:ascii="Avenir Next Condensed"/>
                <w:spacing w:val="-5"/>
                <w:sz w:val="18"/>
              </w:rPr>
              <w:t xml:space="preserve"> </w:t>
            </w:r>
            <w:r>
              <w:rPr>
                <w:rFonts w:ascii="Avenir Next Condensed"/>
                <w:spacing w:val="-1"/>
                <w:sz w:val="18"/>
              </w:rPr>
              <w:t>This</w:t>
            </w:r>
            <w:r>
              <w:rPr>
                <w:rFonts w:ascii="Avenir Next Condensed"/>
                <w:sz w:val="18"/>
              </w:rPr>
              <w:t xml:space="preserve">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can </w:t>
            </w:r>
            <w:r>
              <w:rPr>
                <w:rFonts w:ascii="Avenir Next Condensed"/>
                <w:spacing w:val="-1"/>
                <w:sz w:val="18"/>
              </w:rPr>
              <w:t>provide</w:t>
            </w:r>
            <w:r>
              <w:rPr>
                <w:rFonts w:ascii="Avenir Next Condensed"/>
                <w:sz w:val="18"/>
              </w:rPr>
              <w:t xml:space="preserve"> a </w:t>
            </w:r>
            <w:r>
              <w:rPr>
                <w:rFonts w:ascii="Avenir Next Condensed"/>
                <w:spacing w:val="-1"/>
                <w:sz w:val="18"/>
              </w:rPr>
              <w:t>strong</w:t>
            </w:r>
            <w:r>
              <w:rPr>
                <w:rFonts w:ascii="Avenir Next Condensed"/>
                <w:sz w:val="18"/>
              </w:rPr>
              <w:t xml:space="preserve"> incentive to pursue</w:t>
            </w:r>
            <w:r>
              <w:rPr>
                <w:rFonts w:ascii="Avenir Next Condensed"/>
                <w:spacing w:val="65"/>
                <w:sz w:val="18"/>
              </w:rPr>
              <w:t xml:space="preserve"> </w:t>
            </w:r>
            <w:r>
              <w:rPr>
                <w:rFonts w:ascii="Avenir Next Condensed"/>
                <w:sz w:val="18"/>
              </w:rPr>
              <w:t xml:space="preserve">conservation and other demand management </w:t>
            </w:r>
            <w:r>
              <w:rPr>
                <w:rFonts w:ascii="Avenir Next Condensed"/>
                <w:spacing w:val="-1"/>
                <w:sz w:val="18"/>
              </w:rPr>
              <w:t>measures</w:t>
            </w:r>
            <w:r>
              <w:rPr>
                <w:rFonts w:ascii="Avenir Next Condensed"/>
                <w:sz w:val="18"/>
              </w:rPr>
              <w:t xml:space="preserve"> because cost </w:t>
            </w:r>
            <w:r>
              <w:rPr>
                <w:rFonts w:ascii="Avenir Next Condensed"/>
                <w:spacing w:val="-1"/>
                <w:sz w:val="18"/>
              </w:rPr>
              <w:t>reductions</w:t>
            </w:r>
            <w:r>
              <w:rPr>
                <w:rFonts w:ascii="Avenir Next Condensed"/>
                <w:sz w:val="18"/>
              </w:rPr>
              <w:t xml:space="preserve"> </w:t>
            </w:r>
            <w:r>
              <w:rPr>
                <w:rFonts w:ascii="Avenir Next Condensed"/>
                <w:spacing w:val="-1"/>
                <w:sz w:val="18"/>
              </w:rPr>
              <w:t>are</w:t>
            </w:r>
            <w:r>
              <w:rPr>
                <w:rFonts w:ascii="Avenir Next Condensed"/>
                <w:sz w:val="18"/>
              </w:rPr>
              <w:t xml:space="preserve"> </w:t>
            </w:r>
            <w:r>
              <w:rPr>
                <w:rFonts w:ascii="Avenir Next Condensed"/>
                <w:spacing w:val="-1"/>
                <w:sz w:val="18"/>
              </w:rPr>
              <w:t>retained,</w:t>
            </w:r>
            <w:r>
              <w:rPr>
                <w:rFonts w:ascii="Avenir Next Condensed"/>
                <w:spacing w:val="-6"/>
                <w:sz w:val="18"/>
              </w:rPr>
              <w:t xml:space="preserve"> </w:t>
            </w:r>
            <w:r>
              <w:rPr>
                <w:rFonts w:ascii="Avenir Next Condensed"/>
                <w:sz w:val="18"/>
              </w:rPr>
              <w:t xml:space="preserve">but it does not </w:t>
            </w:r>
            <w:r>
              <w:rPr>
                <w:rFonts w:ascii="Avenir Next Condensed"/>
                <w:spacing w:val="-1"/>
                <w:sz w:val="18"/>
              </w:rPr>
              <w:t>provide</w:t>
            </w:r>
            <w:r>
              <w:rPr>
                <w:rFonts w:ascii="Avenir Next Condensed"/>
                <w:spacing w:val="51"/>
                <w:sz w:val="18"/>
              </w:rPr>
              <w:t xml:space="preserve"> </w:t>
            </w:r>
            <w:r>
              <w:rPr>
                <w:rFonts w:ascii="Avenir Next Condensed"/>
                <w:spacing w:val="-1"/>
                <w:sz w:val="18"/>
              </w:rPr>
              <w:t>encourage</w:t>
            </w:r>
            <w:r>
              <w:rPr>
                <w:rFonts w:ascii="Avenir Next Condensed"/>
                <w:sz w:val="18"/>
              </w:rPr>
              <w:t xml:space="preserve"> demand </w:t>
            </w:r>
            <w:r>
              <w:rPr>
                <w:rFonts w:ascii="Avenir Next Condensed"/>
                <w:spacing w:val="-1"/>
                <w:sz w:val="18"/>
              </w:rPr>
              <w:t>efficiencies</w:t>
            </w:r>
            <w:r>
              <w:rPr>
                <w:rFonts w:ascii="Avenir Next Condensed"/>
                <w:sz w:val="18"/>
              </w:rPr>
              <w:t xml:space="preserve"> because </w:t>
            </w:r>
            <w:r>
              <w:rPr>
                <w:rFonts w:ascii="Avenir Next Condensed"/>
                <w:spacing w:val="-1"/>
                <w:sz w:val="18"/>
              </w:rPr>
              <w:t>revenue</w:t>
            </w:r>
            <w:r>
              <w:rPr>
                <w:rFonts w:ascii="Avenir Next Condensed"/>
                <w:sz w:val="18"/>
              </w:rPr>
              <w:t xml:space="preserve"> is capped.</w:t>
            </w:r>
          </w:p>
        </w:tc>
      </w:tr>
      <w:tr w:rsidR="00D96B91" w:rsidTr="006F72BE">
        <w:trPr>
          <w:trHeight w:hRule="exact" w:val="25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Average</w:t>
            </w:r>
            <w:r>
              <w:rPr>
                <w:rFonts w:ascii="Avenir Next Condensed"/>
                <w:sz w:val="18"/>
              </w:rPr>
              <w:t xml:space="preserve"> </w:t>
            </w:r>
            <w:r>
              <w:rPr>
                <w:rFonts w:ascii="Avenir Next Condensed"/>
                <w:spacing w:val="-1"/>
                <w:sz w:val="18"/>
              </w:rPr>
              <w:t>revenue</w:t>
            </w:r>
            <w:r>
              <w:rPr>
                <w:rFonts w:ascii="Avenir Next Condensed"/>
                <w:sz w:val="18"/>
              </w:rPr>
              <w:t xml:space="preserve"> cap</w:t>
            </w:r>
          </w:p>
        </w:tc>
        <w:tc>
          <w:tcPr>
            <w:tcW w:w="80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47"/>
              <w:rPr>
                <w:rFonts w:ascii="Avenir Next Condensed" w:eastAsia="Avenir Next Condensed" w:hAnsi="Avenir Next Condensed" w:cs="Avenir Next Condensed"/>
                <w:sz w:val="18"/>
                <w:szCs w:val="18"/>
              </w:rPr>
            </w:pPr>
            <w:r>
              <w:rPr>
                <w:rFonts w:ascii="Avenir Next Condensed"/>
                <w:b/>
                <w:sz w:val="18"/>
              </w:rPr>
              <w:t>Description:</w:t>
            </w:r>
            <w:r>
              <w:rPr>
                <w:rFonts w:ascii="Avenir Next Condensed"/>
                <w:b/>
                <w:spacing w:val="-2"/>
                <w:sz w:val="18"/>
              </w:rPr>
              <w:t xml:space="preserve"> </w:t>
            </w:r>
            <w:r>
              <w:rPr>
                <w:rFonts w:ascii="Avenir Next Condensed"/>
                <w:sz w:val="18"/>
              </w:rPr>
              <w:t>Under this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a cap is placed on the </w:t>
            </w:r>
            <w:r>
              <w:rPr>
                <w:rFonts w:ascii="Avenir Next Condensed"/>
                <w:spacing w:val="-1"/>
                <w:sz w:val="18"/>
              </w:rPr>
              <w:t>revenue</w:t>
            </w:r>
            <w:r>
              <w:rPr>
                <w:rFonts w:ascii="Avenir Next Condensed"/>
                <w:sz w:val="18"/>
              </w:rPr>
              <w:t xml:space="preserve"> a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can </w:t>
            </w:r>
            <w:r>
              <w:rPr>
                <w:rFonts w:ascii="Avenir Next Condensed"/>
                <w:spacing w:val="-1"/>
                <w:sz w:val="18"/>
              </w:rPr>
              <w:t>earn</w:t>
            </w:r>
            <w:r>
              <w:rPr>
                <w:rFonts w:ascii="Avenir Next Condensed"/>
                <w:sz w:val="18"/>
              </w:rPr>
              <w:t xml:space="preserve"> per unit of</w:t>
            </w:r>
            <w:r>
              <w:rPr>
                <w:rFonts w:ascii="Avenir Next Condensed"/>
                <w:spacing w:val="51"/>
                <w:sz w:val="18"/>
              </w:rPr>
              <w:t xml:space="preserve"> </w:t>
            </w:r>
            <w:r>
              <w:rPr>
                <w:rFonts w:ascii="Avenir Next Condensed"/>
                <w:sz w:val="18"/>
              </w:rPr>
              <w:t>output (eg,</w:t>
            </w:r>
            <w:r>
              <w:rPr>
                <w:rFonts w:ascii="Avenir Next Condensed"/>
                <w:spacing w:val="-6"/>
                <w:sz w:val="18"/>
              </w:rPr>
              <w:t xml:space="preserve"> </w:t>
            </w:r>
            <w:r>
              <w:rPr>
                <w:rFonts w:ascii="Avenir Next Condensed"/>
                <w:spacing w:val="-1"/>
                <w:sz w:val="18"/>
              </w:rPr>
              <w:t>revenue</w:t>
            </w:r>
            <w:r>
              <w:rPr>
                <w:rFonts w:ascii="Avenir Next Condensed"/>
                <w:sz w:val="18"/>
              </w:rPr>
              <w:t xml:space="preserve"> per customer).</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b/>
                <w:sz w:val="18"/>
              </w:rPr>
              <w:t>Allocation of</w:t>
            </w:r>
            <w:r>
              <w:rPr>
                <w:rFonts w:ascii="Avenir Next Condensed"/>
                <w:b/>
                <w:spacing w:val="4"/>
                <w:sz w:val="18"/>
              </w:rPr>
              <w:t xml:space="preserve"> </w:t>
            </w:r>
            <w:r>
              <w:rPr>
                <w:rFonts w:ascii="Avenir Next Condensed"/>
                <w:b/>
                <w:sz w:val="18"/>
              </w:rPr>
              <w:t>demand risk</w:t>
            </w:r>
            <w:r>
              <w:rPr>
                <w:rFonts w:ascii="Avenir Next Condensed"/>
                <w:sz w:val="18"/>
              </w:rPr>
              <w:t>:</w:t>
            </w:r>
            <w:r>
              <w:rPr>
                <w:rFonts w:ascii="Avenir Next Condensed"/>
                <w:spacing w:val="-5"/>
                <w:sz w:val="18"/>
              </w:rPr>
              <w:t xml:space="preserve"> </w:t>
            </w:r>
            <w:r>
              <w:rPr>
                <w:rFonts w:ascii="Avenir Next Condensed"/>
                <w:spacing w:val="-1"/>
                <w:sz w:val="18"/>
              </w:rPr>
              <w:t>The</w:t>
            </w:r>
            <w:r>
              <w:rPr>
                <w:rFonts w:ascii="Avenir Next Condensed"/>
                <w:sz w:val="18"/>
              </w:rPr>
              <w:t xml:space="preserve">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w:t>
            </w:r>
            <w:r>
              <w:rPr>
                <w:rFonts w:ascii="Avenir Next Condensed"/>
                <w:spacing w:val="-1"/>
                <w:sz w:val="18"/>
              </w:rPr>
              <w:t>bears</w:t>
            </w:r>
            <w:r>
              <w:rPr>
                <w:rFonts w:ascii="Avenir Next Condensed"/>
                <w:sz w:val="18"/>
              </w:rPr>
              <w:t xml:space="preserve"> all of</w:t>
            </w:r>
            <w:r>
              <w:rPr>
                <w:rFonts w:ascii="Avenir Next Condensed"/>
                <w:spacing w:val="4"/>
                <w:sz w:val="18"/>
              </w:rPr>
              <w:t xml:space="preserve"> </w:t>
            </w:r>
            <w:r>
              <w:rPr>
                <w:rFonts w:ascii="Avenir Next Condensed"/>
                <w:sz w:val="18"/>
              </w:rPr>
              <w:t xml:space="preserve">the demand </w:t>
            </w:r>
            <w:r>
              <w:rPr>
                <w:rFonts w:ascii="Avenir Next Condensed"/>
                <w:spacing w:val="-1"/>
                <w:sz w:val="18"/>
              </w:rPr>
              <w:t>risks.</w:t>
            </w:r>
          </w:p>
          <w:p w:rsidR="00D96B91" w:rsidRDefault="00C2656B">
            <w:pPr>
              <w:pStyle w:val="TableParagraph"/>
              <w:spacing w:before="91" w:line="220" w:lineRule="exact"/>
              <w:ind w:left="108" w:right="105"/>
              <w:rPr>
                <w:rFonts w:ascii="Avenir Next Condensed" w:eastAsia="Avenir Next Condensed" w:hAnsi="Avenir Next Condensed" w:cs="Avenir Next Condensed"/>
                <w:sz w:val="18"/>
                <w:szCs w:val="18"/>
              </w:rPr>
            </w:pPr>
            <w:r>
              <w:rPr>
                <w:rFonts w:ascii="Avenir Next Condensed"/>
                <w:b/>
                <w:spacing w:val="-1"/>
                <w:sz w:val="18"/>
              </w:rPr>
              <w:t>Revenue</w:t>
            </w:r>
            <w:r>
              <w:rPr>
                <w:rFonts w:ascii="Avenir Next Condensed"/>
                <w:b/>
                <w:sz w:val="18"/>
              </w:rPr>
              <w:t xml:space="preserve"> and price stability:</w:t>
            </w:r>
            <w:r>
              <w:rPr>
                <w:rFonts w:ascii="Avenir Next Condensed"/>
                <w:b/>
                <w:spacing w:val="-2"/>
                <w:sz w:val="18"/>
              </w:rPr>
              <w:t xml:space="preserve"> </w:t>
            </w:r>
            <w:r>
              <w:rPr>
                <w:rFonts w:ascii="Avenir Next Condensed"/>
                <w:spacing w:val="-1"/>
                <w:sz w:val="18"/>
              </w:rPr>
              <w:t>Revenue</w:t>
            </w:r>
            <w:r>
              <w:rPr>
                <w:rFonts w:ascii="Avenir Next Condensed"/>
                <w:sz w:val="18"/>
              </w:rPr>
              <w:t xml:space="preserve"> will be variable because it depends on demand.</w:t>
            </w:r>
            <w:r>
              <w:rPr>
                <w:rFonts w:ascii="Avenir Next Condensed"/>
                <w:spacing w:val="-6"/>
                <w:sz w:val="18"/>
              </w:rPr>
              <w:t xml:space="preserve"> </w:t>
            </w:r>
            <w:r>
              <w:rPr>
                <w:rFonts w:ascii="Avenir Next Condensed"/>
                <w:sz w:val="18"/>
              </w:rPr>
              <w:t>In terms of</w:t>
            </w:r>
            <w:r>
              <w:rPr>
                <w:rFonts w:ascii="Avenir Next Condensed"/>
                <w:spacing w:val="4"/>
                <w:sz w:val="18"/>
              </w:rPr>
              <w:t xml:space="preserve"> </w:t>
            </w:r>
            <w:r>
              <w:rPr>
                <w:rFonts w:ascii="Avenir Next Condensed"/>
                <w:sz w:val="18"/>
              </w:rPr>
              <w:t>prices,</w:t>
            </w:r>
            <w:r>
              <w:rPr>
                <w:rFonts w:ascii="Avenir Next Condensed"/>
                <w:spacing w:val="-6"/>
                <w:sz w:val="18"/>
              </w:rPr>
              <w:t xml:space="preserve"> </w:t>
            </w:r>
            <w:r>
              <w:rPr>
                <w:rFonts w:ascii="Avenir Next Condensed"/>
                <w:sz w:val="18"/>
              </w:rPr>
              <w:t>while the</w:t>
            </w:r>
            <w:r>
              <w:rPr>
                <w:rFonts w:ascii="Avenir Next Condensed"/>
                <w:spacing w:val="21"/>
                <w:sz w:val="18"/>
              </w:rPr>
              <w:t xml:space="preserve"> </w:t>
            </w:r>
            <w:r>
              <w:rPr>
                <w:rFonts w:ascii="Avenir Next Condensed"/>
                <w:spacing w:val="-1"/>
                <w:sz w:val="18"/>
              </w:rPr>
              <w:t>overall</w:t>
            </w:r>
            <w:r>
              <w:rPr>
                <w:rFonts w:ascii="Avenir Next Condensed"/>
                <w:sz w:val="18"/>
              </w:rPr>
              <w:t xml:space="preserve"> </w:t>
            </w:r>
            <w:r>
              <w:rPr>
                <w:rFonts w:ascii="Avenir Next Condensed"/>
                <w:spacing w:val="-1"/>
                <w:sz w:val="18"/>
              </w:rPr>
              <w:t>average</w:t>
            </w:r>
            <w:r>
              <w:rPr>
                <w:rFonts w:ascii="Avenir Next Condensed"/>
                <w:sz w:val="18"/>
              </w:rPr>
              <w:t xml:space="preserve"> </w:t>
            </w:r>
            <w:r>
              <w:rPr>
                <w:rFonts w:ascii="Avenir Next Condensed"/>
                <w:spacing w:val="-1"/>
                <w:sz w:val="18"/>
              </w:rPr>
              <w:t>revenue</w:t>
            </w:r>
            <w:r>
              <w:rPr>
                <w:rFonts w:ascii="Avenir Next Condensed"/>
                <w:sz w:val="18"/>
              </w:rPr>
              <w:t xml:space="preserve"> cap is stable,</w:t>
            </w:r>
            <w:r>
              <w:rPr>
                <w:rFonts w:ascii="Avenir Next Condensed"/>
                <w:spacing w:val="-6"/>
                <w:sz w:val="18"/>
              </w:rPr>
              <w:t xml:space="preserve"> </w:t>
            </w:r>
            <w:r>
              <w:rPr>
                <w:rFonts w:ascii="Avenir Next Condensed"/>
                <w:sz w:val="18"/>
              </w:rPr>
              <w:t xml:space="preserve">individual prices can vary substantially during the period </w:t>
            </w:r>
            <w:r>
              <w:rPr>
                <w:rFonts w:ascii="Avenir Next Condensed"/>
                <w:spacing w:val="-1"/>
                <w:sz w:val="18"/>
              </w:rPr>
              <w:t>unless</w:t>
            </w:r>
            <w:r>
              <w:rPr>
                <w:rFonts w:ascii="Avenir Next Condensed"/>
                <w:sz w:val="18"/>
              </w:rPr>
              <w:t xml:space="preserve"> side </w:t>
            </w:r>
            <w:r>
              <w:rPr>
                <w:rFonts w:ascii="Avenir Next Condensed"/>
                <w:spacing w:val="-1"/>
                <w:sz w:val="18"/>
              </w:rPr>
              <w:t>constraints</w:t>
            </w:r>
            <w:r>
              <w:rPr>
                <w:rFonts w:ascii="Avenir Next Condensed"/>
                <w:sz w:val="18"/>
              </w:rPr>
              <w:t xml:space="preserve"> on</w:t>
            </w:r>
            <w:r>
              <w:rPr>
                <w:rFonts w:ascii="Avenir Next Condensed"/>
                <w:spacing w:val="57"/>
                <w:sz w:val="18"/>
              </w:rPr>
              <w:t xml:space="preserve"> </w:t>
            </w:r>
            <w:r>
              <w:rPr>
                <w:rFonts w:ascii="Avenir Next Condensed"/>
                <w:sz w:val="18"/>
              </w:rPr>
              <w:t xml:space="preserve">price changes </w:t>
            </w:r>
            <w:r>
              <w:rPr>
                <w:rFonts w:ascii="Avenir Next Condensed"/>
                <w:spacing w:val="-1"/>
                <w:sz w:val="18"/>
              </w:rPr>
              <w:t>are</w:t>
            </w:r>
            <w:r>
              <w:rPr>
                <w:rFonts w:ascii="Avenir Next Condensed"/>
                <w:sz w:val="18"/>
              </w:rPr>
              <w:t xml:space="preserve"> imposed.</w:t>
            </w:r>
          </w:p>
          <w:p w:rsidR="00D96B91" w:rsidRDefault="00C2656B">
            <w:pPr>
              <w:pStyle w:val="TableParagraph"/>
              <w:spacing w:before="113" w:line="220" w:lineRule="exact"/>
              <w:ind w:left="108" w:right="179"/>
              <w:rPr>
                <w:rFonts w:ascii="Avenir Next Condensed" w:eastAsia="Avenir Next Condensed" w:hAnsi="Avenir Next Condensed" w:cs="Avenir Next Condensed"/>
                <w:sz w:val="18"/>
                <w:szCs w:val="18"/>
              </w:rPr>
            </w:pPr>
            <w:r>
              <w:rPr>
                <w:rFonts w:ascii="Avenir Next Condensed"/>
                <w:b/>
                <w:sz w:val="18"/>
              </w:rPr>
              <w:t xml:space="preserve">Incentive to </w:t>
            </w:r>
            <w:r>
              <w:rPr>
                <w:rFonts w:ascii="Avenir Next Condensed"/>
                <w:b/>
                <w:spacing w:val="-1"/>
                <w:sz w:val="18"/>
              </w:rPr>
              <w:t>encourage</w:t>
            </w:r>
            <w:r>
              <w:rPr>
                <w:rFonts w:ascii="Avenir Next Condensed"/>
                <w:b/>
                <w:sz w:val="18"/>
              </w:rPr>
              <w:t xml:space="preserve"> </w:t>
            </w:r>
            <w:r>
              <w:rPr>
                <w:rFonts w:ascii="Avenir Next Condensed"/>
                <w:b/>
                <w:spacing w:val="-1"/>
                <w:sz w:val="18"/>
              </w:rPr>
              <w:t>efficient</w:t>
            </w:r>
            <w:r>
              <w:rPr>
                <w:rFonts w:ascii="Avenir Next Condensed"/>
                <w:b/>
                <w:sz w:val="18"/>
              </w:rPr>
              <w:t xml:space="preserve"> </w:t>
            </w:r>
            <w:r>
              <w:rPr>
                <w:rFonts w:ascii="Avenir Next Condensed"/>
                <w:b/>
                <w:spacing w:val="-1"/>
                <w:sz w:val="18"/>
              </w:rPr>
              <w:t>asset</w:t>
            </w:r>
            <w:r>
              <w:rPr>
                <w:rFonts w:ascii="Avenir Next Condensed"/>
                <w:b/>
                <w:sz w:val="18"/>
              </w:rPr>
              <w:t xml:space="preserve"> utilisation</w:t>
            </w:r>
            <w:r>
              <w:rPr>
                <w:rFonts w:ascii="Avenir Next Condensed"/>
                <w:sz w:val="18"/>
              </w:rPr>
              <w:t>:</w:t>
            </w:r>
            <w:r>
              <w:rPr>
                <w:rFonts w:ascii="Avenir Next Condensed"/>
                <w:spacing w:val="-5"/>
                <w:sz w:val="18"/>
              </w:rPr>
              <w:t xml:space="preserve"> </w:t>
            </w:r>
            <w:r>
              <w:rPr>
                <w:rFonts w:ascii="Avenir Next Condensed"/>
                <w:spacing w:val="-1"/>
                <w:sz w:val="18"/>
              </w:rPr>
              <w:t>This</w:t>
            </w:r>
            <w:r>
              <w:rPr>
                <w:rFonts w:ascii="Avenir Next Condensed"/>
                <w:sz w:val="18"/>
              </w:rPr>
              <w:t xml:space="preserve">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can </w:t>
            </w:r>
            <w:r>
              <w:rPr>
                <w:rFonts w:ascii="Avenir Next Condensed"/>
                <w:spacing w:val="-1"/>
                <w:sz w:val="18"/>
              </w:rPr>
              <w:t>provide</w:t>
            </w:r>
            <w:r>
              <w:rPr>
                <w:rFonts w:ascii="Avenir Next Condensed"/>
                <w:sz w:val="18"/>
              </w:rPr>
              <w:t xml:space="preserve"> a </w:t>
            </w:r>
            <w:r>
              <w:rPr>
                <w:rFonts w:ascii="Avenir Next Condensed"/>
                <w:spacing w:val="-1"/>
                <w:sz w:val="18"/>
              </w:rPr>
              <w:t>strong</w:t>
            </w:r>
            <w:r>
              <w:rPr>
                <w:rFonts w:ascii="Avenir Next Condensed"/>
                <w:sz w:val="18"/>
              </w:rPr>
              <w:t xml:space="preserve"> incentive to </w:t>
            </w:r>
            <w:r>
              <w:rPr>
                <w:rFonts w:ascii="Avenir Next Condensed"/>
                <w:spacing w:val="-1"/>
                <w:sz w:val="18"/>
              </w:rPr>
              <w:t>improve</w:t>
            </w:r>
            <w:r>
              <w:rPr>
                <w:rFonts w:ascii="Avenir Next Condensed"/>
                <w:sz w:val="18"/>
              </w:rPr>
              <w:t xml:space="preserve"> </w:t>
            </w:r>
            <w:r>
              <w:rPr>
                <w:rFonts w:ascii="Avenir Next Condensed"/>
                <w:spacing w:val="-1"/>
                <w:sz w:val="18"/>
              </w:rPr>
              <w:t>asset</w:t>
            </w:r>
            <w:r>
              <w:rPr>
                <w:rFonts w:ascii="Avenir Next Condensed"/>
                <w:spacing w:val="81"/>
                <w:sz w:val="18"/>
              </w:rPr>
              <w:t xml:space="preserve"> </w:t>
            </w:r>
            <w:r>
              <w:rPr>
                <w:rFonts w:ascii="Avenir Next Condensed"/>
                <w:sz w:val="18"/>
              </w:rPr>
              <w:t xml:space="preserve">utilisation but a disincentive to </w:t>
            </w:r>
            <w:r>
              <w:rPr>
                <w:rFonts w:ascii="Avenir Next Condensed"/>
                <w:spacing w:val="-1"/>
                <w:sz w:val="18"/>
              </w:rPr>
              <w:t>encourage</w:t>
            </w:r>
            <w:r>
              <w:rPr>
                <w:rFonts w:ascii="Avenir Next Condensed"/>
                <w:sz w:val="18"/>
              </w:rPr>
              <w:t xml:space="preserve"> conservation and other demand management </w:t>
            </w:r>
            <w:r>
              <w:rPr>
                <w:rFonts w:ascii="Avenir Next Condensed"/>
                <w:spacing w:val="-1"/>
                <w:sz w:val="18"/>
              </w:rPr>
              <w:t>measures</w:t>
            </w:r>
            <w:r>
              <w:rPr>
                <w:rFonts w:ascii="Avenir Next Condensed"/>
                <w:sz w:val="18"/>
              </w:rPr>
              <w:t xml:space="preserve"> (ie because any</w:t>
            </w:r>
            <w:r>
              <w:rPr>
                <w:rFonts w:ascii="Avenir Next Condensed"/>
                <w:spacing w:val="23"/>
                <w:sz w:val="18"/>
              </w:rPr>
              <w:t xml:space="preserve"> </w:t>
            </w:r>
            <w:r>
              <w:rPr>
                <w:rFonts w:ascii="Avenir Next Condensed"/>
                <w:spacing w:val="-1"/>
                <w:sz w:val="18"/>
              </w:rPr>
              <w:t>reduction</w:t>
            </w:r>
            <w:r>
              <w:rPr>
                <w:rFonts w:ascii="Avenir Next Condensed"/>
                <w:sz w:val="18"/>
              </w:rPr>
              <w:t xml:space="preserve"> in demand will </w:t>
            </w:r>
            <w:r>
              <w:rPr>
                <w:rFonts w:ascii="Avenir Next Condensed"/>
                <w:spacing w:val="-1"/>
                <w:sz w:val="18"/>
              </w:rPr>
              <w:t>result</w:t>
            </w:r>
            <w:r>
              <w:rPr>
                <w:rFonts w:ascii="Avenir Next Condensed"/>
                <w:sz w:val="18"/>
              </w:rPr>
              <w:t xml:space="preserve"> in lower </w:t>
            </w:r>
            <w:r>
              <w:rPr>
                <w:rFonts w:ascii="Avenir Next Condensed"/>
                <w:spacing w:val="-1"/>
                <w:sz w:val="18"/>
              </w:rPr>
              <w:t>revenue).</w:t>
            </w:r>
          </w:p>
        </w:tc>
      </w:tr>
      <w:tr w:rsidR="00D96B91" w:rsidTr="006F72BE">
        <w:trPr>
          <w:trHeight w:hRule="exact" w:val="356"/>
        </w:trPr>
        <w:tc>
          <w:tcPr>
            <w:tcW w:w="1611"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cap on</w:t>
            </w:r>
          </w:p>
        </w:tc>
        <w:tc>
          <w:tcPr>
            <w:tcW w:w="8062"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Description:</w:t>
            </w:r>
            <w:r>
              <w:rPr>
                <w:rFonts w:ascii="Avenir Next Condensed"/>
                <w:b/>
                <w:spacing w:val="-2"/>
                <w:sz w:val="18"/>
              </w:rPr>
              <w:t xml:space="preserve"> </w:t>
            </w:r>
            <w:r>
              <w:rPr>
                <w:rFonts w:ascii="Avenir Next Condensed"/>
                <w:sz w:val="18"/>
              </w:rPr>
              <w:t>Under this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a cap is placed on the price of</w:t>
            </w:r>
            <w:r>
              <w:rPr>
                <w:rFonts w:ascii="Avenir Next Condensed"/>
                <w:spacing w:val="4"/>
                <w:sz w:val="18"/>
              </w:rPr>
              <w:t xml:space="preserve"> </w:t>
            </w:r>
            <w:r>
              <w:rPr>
                <w:rFonts w:ascii="Avenir Next Condensed"/>
                <w:spacing w:val="-1"/>
                <w:sz w:val="18"/>
              </w:rPr>
              <w:t>each</w:t>
            </w:r>
            <w:r>
              <w:rPr>
                <w:rFonts w:ascii="Avenir Next Condensed"/>
                <w:sz w:val="18"/>
              </w:rPr>
              <w:t xml:space="preserve"> service.</w:t>
            </w:r>
          </w:p>
        </w:tc>
      </w:tr>
      <w:tr w:rsidR="00D96B91" w:rsidTr="006F72BE">
        <w:trPr>
          <w:trHeight w:hRule="exact" w:val="1491"/>
        </w:trPr>
        <w:tc>
          <w:tcPr>
            <w:tcW w:w="161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329"/>
              <w:rPr>
                <w:rFonts w:ascii="Avenir Next Condensed" w:eastAsia="Avenir Next Condensed" w:hAnsi="Avenir Next Condensed" w:cs="Avenir Next Condensed"/>
                <w:sz w:val="18"/>
                <w:szCs w:val="18"/>
              </w:rPr>
            </w:pPr>
            <w:r>
              <w:rPr>
                <w:rFonts w:ascii="Avenir Next Condensed"/>
                <w:sz w:val="18"/>
              </w:rPr>
              <w:t>individual services (used by the ICRC)</w:t>
            </w:r>
          </w:p>
        </w:tc>
        <w:tc>
          <w:tcPr>
            <w:tcW w:w="806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before="85"/>
              <w:ind w:left="108"/>
              <w:rPr>
                <w:rFonts w:ascii="Avenir Next Condensed" w:eastAsia="Avenir Next Condensed" w:hAnsi="Avenir Next Condensed" w:cs="Avenir Next Condensed"/>
                <w:sz w:val="18"/>
                <w:szCs w:val="18"/>
              </w:rPr>
            </w:pPr>
            <w:r>
              <w:rPr>
                <w:rFonts w:ascii="Avenir Next Condensed"/>
                <w:b/>
                <w:sz w:val="18"/>
              </w:rPr>
              <w:t>Allocation of</w:t>
            </w:r>
            <w:r>
              <w:rPr>
                <w:rFonts w:ascii="Avenir Next Condensed"/>
                <w:b/>
                <w:spacing w:val="4"/>
                <w:sz w:val="18"/>
              </w:rPr>
              <w:t xml:space="preserve"> </w:t>
            </w:r>
            <w:r>
              <w:rPr>
                <w:rFonts w:ascii="Avenir Next Condensed"/>
                <w:b/>
                <w:sz w:val="18"/>
              </w:rPr>
              <w:t>demand risk</w:t>
            </w:r>
            <w:r>
              <w:rPr>
                <w:rFonts w:ascii="Avenir Next Condensed"/>
                <w:sz w:val="18"/>
              </w:rPr>
              <w:t>:</w:t>
            </w:r>
            <w:r>
              <w:rPr>
                <w:rFonts w:ascii="Avenir Next Condensed"/>
                <w:spacing w:val="-5"/>
                <w:sz w:val="18"/>
              </w:rPr>
              <w:t xml:space="preserve"> </w:t>
            </w:r>
            <w:r>
              <w:rPr>
                <w:rFonts w:ascii="Avenir Next Condensed"/>
                <w:spacing w:val="-1"/>
                <w:sz w:val="18"/>
              </w:rPr>
              <w:t>The</w:t>
            </w:r>
            <w:r>
              <w:rPr>
                <w:rFonts w:ascii="Avenir Next Condensed"/>
                <w:sz w:val="18"/>
              </w:rPr>
              <w:t xml:space="preserve">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w:t>
            </w:r>
            <w:r>
              <w:rPr>
                <w:rFonts w:ascii="Avenir Next Condensed"/>
                <w:spacing w:val="-1"/>
                <w:sz w:val="18"/>
              </w:rPr>
              <w:t>bears</w:t>
            </w:r>
            <w:r>
              <w:rPr>
                <w:rFonts w:ascii="Avenir Next Condensed"/>
                <w:sz w:val="18"/>
              </w:rPr>
              <w:t xml:space="preserve"> all of</w:t>
            </w:r>
            <w:r>
              <w:rPr>
                <w:rFonts w:ascii="Avenir Next Condensed"/>
                <w:spacing w:val="4"/>
                <w:sz w:val="18"/>
              </w:rPr>
              <w:t xml:space="preserve"> </w:t>
            </w:r>
            <w:r>
              <w:rPr>
                <w:rFonts w:ascii="Avenir Next Condensed"/>
                <w:sz w:val="18"/>
              </w:rPr>
              <w:t xml:space="preserve">the demand </w:t>
            </w:r>
            <w:r>
              <w:rPr>
                <w:rFonts w:ascii="Avenir Next Condensed"/>
                <w:spacing w:val="-1"/>
                <w:sz w:val="18"/>
              </w:rPr>
              <w:t>risks.</w:t>
            </w:r>
          </w:p>
          <w:p w:rsidR="00D96B91" w:rsidRDefault="00C2656B">
            <w:pPr>
              <w:pStyle w:val="TableParagraph"/>
              <w:spacing w:before="91" w:line="220" w:lineRule="exact"/>
              <w:ind w:left="108" w:right="137"/>
              <w:rPr>
                <w:rFonts w:ascii="Avenir Next Condensed" w:eastAsia="Avenir Next Condensed" w:hAnsi="Avenir Next Condensed" w:cs="Avenir Next Condensed"/>
                <w:sz w:val="18"/>
                <w:szCs w:val="18"/>
              </w:rPr>
            </w:pPr>
            <w:r>
              <w:rPr>
                <w:rFonts w:ascii="Avenir Next Condensed"/>
                <w:b/>
                <w:spacing w:val="-1"/>
                <w:sz w:val="18"/>
              </w:rPr>
              <w:t>Revenue</w:t>
            </w:r>
            <w:r>
              <w:rPr>
                <w:rFonts w:ascii="Avenir Next Condensed"/>
                <w:b/>
                <w:sz w:val="18"/>
              </w:rPr>
              <w:t xml:space="preserve"> and price stability:</w:t>
            </w:r>
            <w:r>
              <w:rPr>
                <w:rFonts w:ascii="Avenir Next Condensed"/>
                <w:b/>
                <w:spacing w:val="-2"/>
                <w:sz w:val="18"/>
              </w:rPr>
              <w:t xml:space="preserve"> </w:t>
            </w:r>
            <w:r>
              <w:rPr>
                <w:rFonts w:ascii="Avenir Next Condensed"/>
                <w:spacing w:val="-1"/>
                <w:sz w:val="18"/>
              </w:rPr>
              <w:t>Revenue</w:t>
            </w:r>
            <w:r>
              <w:rPr>
                <w:rFonts w:ascii="Avenir Next Condensed"/>
                <w:sz w:val="18"/>
              </w:rPr>
              <w:t xml:space="preserve"> will be variable under this option because </w:t>
            </w:r>
            <w:r>
              <w:rPr>
                <w:rFonts w:ascii="Avenir Next Condensed"/>
                <w:spacing w:val="-1"/>
                <w:sz w:val="18"/>
              </w:rPr>
              <w:t>it</w:t>
            </w:r>
            <w:r>
              <w:rPr>
                <w:rFonts w:ascii="Avenir Next Condensed"/>
                <w:sz w:val="18"/>
              </w:rPr>
              <w:t xml:space="preserve"> depends on demand,</w:t>
            </w:r>
            <w:r>
              <w:rPr>
                <w:rFonts w:ascii="Avenir Next Condensed"/>
                <w:spacing w:val="-6"/>
                <w:sz w:val="18"/>
              </w:rPr>
              <w:t xml:space="preserve"> </w:t>
            </w:r>
            <w:r>
              <w:rPr>
                <w:rFonts w:ascii="Avenir Next Condensed"/>
                <w:sz w:val="18"/>
              </w:rPr>
              <w:t>but individual</w:t>
            </w:r>
            <w:r>
              <w:rPr>
                <w:rFonts w:ascii="Avenir Next Condensed"/>
                <w:spacing w:val="23"/>
                <w:sz w:val="18"/>
              </w:rPr>
              <w:t xml:space="preserve"> </w:t>
            </w:r>
            <w:r>
              <w:rPr>
                <w:rFonts w:ascii="Avenir Next Condensed"/>
                <w:sz w:val="18"/>
              </w:rPr>
              <w:t>prices will be stable.</w:t>
            </w:r>
          </w:p>
          <w:p w:rsidR="00D96B91" w:rsidRDefault="00C2656B">
            <w:pPr>
              <w:pStyle w:val="TableParagraph"/>
              <w:spacing w:before="113" w:line="220" w:lineRule="exact"/>
              <w:ind w:left="108" w:right="179"/>
              <w:rPr>
                <w:rFonts w:ascii="Avenir Next Condensed" w:eastAsia="Avenir Next Condensed" w:hAnsi="Avenir Next Condensed" w:cs="Avenir Next Condensed"/>
                <w:sz w:val="18"/>
                <w:szCs w:val="18"/>
              </w:rPr>
            </w:pPr>
            <w:r>
              <w:rPr>
                <w:rFonts w:ascii="Avenir Next Condensed"/>
                <w:b/>
                <w:sz w:val="18"/>
              </w:rPr>
              <w:t xml:space="preserve">Incentive to </w:t>
            </w:r>
            <w:r>
              <w:rPr>
                <w:rFonts w:ascii="Avenir Next Condensed"/>
                <w:b/>
                <w:spacing w:val="-1"/>
                <w:sz w:val="18"/>
              </w:rPr>
              <w:t>encourage</w:t>
            </w:r>
            <w:r>
              <w:rPr>
                <w:rFonts w:ascii="Avenir Next Condensed"/>
                <w:b/>
                <w:sz w:val="18"/>
              </w:rPr>
              <w:t xml:space="preserve"> </w:t>
            </w:r>
            <w:r>
              <w:rPr>
                <w:rFonts w:ascii="Avenir Next Condensed"/>
                <w:b/>
                <w:spacing w:val="-1"/>
                <w:sz w:val="18"/>
              </w:rPr>
              <w:t>efficient</w:t>
            </w:r>
            <w:r>
              <w:rPr>
                <w:rFonts w:ascii="Avenir Next Condensed"/>
                <w:b/>
                <w:sz w:val="18"/>
              </w:rPr>
              <w:t xml:space="preserve"> </w:t>
            </w:r>
            <w:r>
              <w:rPr>
                <w:rFonts w:ascii="Avenir Next Condensed"/>
                <w:b/>
                <w:spacing w:val="-1"/>
                <w:sz w:val="18"/>
              </w:rPr>
              <w:t>asset</w:t>
            </w:r>
            <w:r>
              <w:rPr>
                <w:rFonts w:ascii="Avenir Next Condensed"/>
                <w:b/>
                <w:sz w:val="18"/>
              </w:rPr>
              <w:t xml:space="preserve"> utilisation</w:t>
            </w:r>
            <w:r>
              <w:rPr>
                <w:rFonts w:ascii="Avenir Next Condensed"/>
                <w:sz w:val="18"/>
              </w:rPr>
              <w:t>:</w:t>
            </w:r>
            <w:r>
              <w:rPr>
                <w:rFonts w:ascii="Avenir Next Condensed"/>
                <w:spacing w:val="-5"/>
                <w:sz w:val="18"/>
              </w:rPr>
              <w:t xml:space="preserve"> </w:t>
            </w:r>
            <w:r>
              <w:rPr>
                <w:rFonts w:ascii="Avenir Next Condensed"/>
                <w:spacing w:val="-1"/>
                <w:sz w:val="18"/>
              </w:rPr>
              <w:t>This</w:t>
            </w:r>
            <w:r>
              <w:rPr>
                <w:rFonts w:ascii="Avenir Next Condensed"/>
                <w:sz w:val="18"/>
              </w:rPr>
              <w:t xml:space="preserve">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can </w:t>
            </w:r>
            <w:r>
              <w:rPr>
                <w:rFonts w:ascii="Avenir Next Condensed"/>
                <w:spacing w:val="-1"/>
                <w:sz w:val="18"/>
              </w:rPr>
              <w:t>provide</w:t>
            </w:r>
            <w:r>
              <w:rPr>
                <w:rFonts w:ascii="Avenir Next Condensed"/>
                <w:sz w:val="18"/>
              </w:rPr>
              <w:t xml:space="preserve"> a </w:t>
            </w:r>
            <w:r>
              <w:rPr>
                <w:rFonts w:ascii="Avenir Next Condensed"/>
                <w:spacing w:val="-1"/>
                <w:sz w:val="18"/>
              </w:rPr>
              <w:t>strong</w:t>
            </w:r>
            <w:r>
              <w:rPr>
                <w:rFonts w:ascii="Avenir Next Condensed"/>
                <w:sz w:val="18"/>
              </w:rPr>
              <w:t xml:space="preserve"> incentive to </w:t>
            </w:r>
            <w:r>
              <w:rPr>
                <w:rFonts w:ascii="Avenir Next Condensed"/>
                <w:spacing w:val="-1"/>
                <w:sz w:val="18"/>
              </w:rPr>
              <w:t>improve</w:t>
            </w:r>
            <w:r>
              <w:rPr>
                <w:rFonts w:ascii="Avenir Next Condensed"/>
                <w:sz w:val="18"/>
              </w:rPr>
              <w:t xml:space="preserve"> </w:t>
            </w:r>
            <w:r>
              <w:rPr>
                <w:rFonts w:ascii="Avenir Next Condensed"/>
                <w:spacing w:val="-1"/>
                <w:sz w:val="18"/>
              </w:rPr>
              <w:t>asset</w:t>
            </w:r>
            <w:r>
              <w:rPr>
                <w:rFonts w:ascii="Avenir Next Condensed"/>
                <w:spacing w:val="81"/>
                <w:sz w:val="18"/>
              </w:rPr>
              <w:t xml:space="preserve"> </w:t>
            </w:r>
            <w:r>
              <w:rPr>
                <w:rFonts w:ascii="Avenir Next Condensed"/>
                <w:sz w:val="18"/>
              </w:rPr>
              <w:t xml:space="preserve">utilisation but a disincentive to </w:t>
            </w:r>
            <w:r>
              <w:rPr>
                <w:rFonts w:ascii="Avenir Next Condensed"/>
                <w:spacing w:val="-1"/>
                <w:sz w:val="18"/>
              </w:rPr>
              <w:t>encourage</w:t>
            </w:r>
            <w:r>
              <w:rPr>
                <w:rFonts w:ascii="Avenir Next Condensed"/>
                <w:sz w:val="18"/>
              </w:rPr>
              <w:t xml:space="preserve"> conservation and demand management </w:t>
            </w:r>
            <w:r>
              <w:rPr>
                <w:rFonts w:ascii="Avenir Next Condensed"/>
                <w:spacing w:val="-1"/>
                <w:sz w:val="18"/>
              </w:rPr>
              <w:t>measures.</w:t>
            </w:r>
          </w:p>
        </w:tc>
      </w:tr>
      <w:tr w:rsidR="00D96B91" w:rsidTr="006F72BE">
        <w:trPr>
          <w:trHeight w:hRule="exact" w:val="356"/>
        </w:trPr>
        <w:tc>
          <w:tcPr>
            <w:tcW w:w="1611"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Hybrid price and</w:t>
            </w:r>
          </w:p>
        </w:tc>
        <w:tc>
          <w:tcPr>
            <w:tcW w:w="8062"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Description:</w:t>
            </w:r>
            <w:r>
              <w:rPr>
                <w:rFonts w:ascii="Avenir Next Condensed"/>
                <w:b/>
                <w:spacing w:val="-6"/>
                <w:sz w:val="18"/>
              </w:rPr>
              <w:t xml:space="preserve"> </w:t>
            </w:r>
            <w:r>
              <w:rPr>
                <w:rFonts w:ascii="Avenir Next Condensed"/>
                <w:sz w:val="18"/>
              </w:rPr>
              <w:t>A</w:t>
            </w:r>
            <w:r>
              <w:rPr>
                <w:rFonts w:ascii="Avenir Next Condensed"/>
                <w:spacing w:val="-4"/>
                <w:sz w:val="18"/>
              </w:rPr>
              <w:t xml:space="preserve"> </w:t>
            </w:r>
            <w:r>
              <w:rPr>
                <w:rFonts w:ascii="Avenir Next Condensed"/>
                <w:sz w:val="18"/>
              </w:rPr>
              <w:t xml:space="preserve">hybrid price and </w:t>
            </w:r>
            <w:r>
              <w:rPr>
                <w:rFonts w:ascii="Avenir Next Condensed"/>
                <w:spacing w:val="-1"/>
                <w:sz w:val="18"/>
              </w:rPr>
              <w:t>revenue</w:t>
            </w:r>
            <w:r>
              <w:rPr>
                <w:rFonts w:ascii="Avenir Next Condensed"/>
                <w:sz w:val="18"/>
              </w:rPr>
              <w:t xml:space="preserve"> cap contains elements of</w:t>
            </w:r>
            <w:r>
              <w:rPr>
                <w:rFonts w:ascii="Avenir Next Condensed"/>
                <w:spacing w:val="4"/>
                <w:sz w:val="18"/>
              </w:rPr>
              <w:t xml:space="preserve"> </w:t>
            </w:r>
            <w:r>
              <w:rPr>
                <w:rFonts w:ascii="Avenir Next Condensed"/>
                <w:sz w:val="18"/>
              </w:rPr>
              <w:t xml:space="preserve">both a price and </w:t>
            </w:r>
            <w:r>
              <w:rPr>
                <w:rFonts w:ascii="Avenir Next Condensed"/>
                <w:spacing w:val="-1"/>
                <w:sz w:val="18"/>
              </w:rPr>
              <w:t>revenue</w:t>
            </w:r>
            <w:r>
              <w:rPr>
                <w:rFonts w:ascii="Avenir Next Condensed"/>
                <w:sz w:val="18"/>
              </w:rPr>
              <w:t xml:space="preserve"> </w:t>
            </w:r>
            <w:r>
              <w:rPr>
                <w:rFonts w:ascii="Avenir Next Condensed"/>
                <w:spacing w:val="-1"/>
                <w:sz w:val="18"/>
              </w:rPr>
              <w:t>cap.</w:t>
            </w:r>
            <w:r>
              <w:rPr>
                <w:rFonts w:ascii="Avenir Next Condensed"/>
                <w:spacing w:val="-10"/>
                <w:sz w:val="18"/>
              </w:rPr>
              <w:t xml:space="preserve"> </w:t>
            </w:r>
            <w:r>
              <w:rPr>
                <w:rFonts w:ascii="Avenir Next Condensed"/>
                <w:spacing w:val="-1"/>
                <w:sz w:val="18"/>
              </w:rPr>
              <w:t>The</w:t>
            </w:r>
            <w:r>
              <w:rPr>
                <w:rFonts w:ascii="Avenir Next Condensed"/>
                <w:sz w:val="18"/>
              </w:rPr>
              <w:t xml:space="preserve"> </w:t>
            </w:r>
            <w:r>
              <w:rPr>
                <w:rFonts w:ascii="Avenir Next Condensed"/>
                <w:spacing w:val="-1"/>
                <w:sz w:val="18"/>
              </w:rPr>
              <w:t>precise</w:t>
            </w:r>
            <w:r>
              <w:rPr>
                <w:rFonts w:ascii="Avenir Next Condensed"/>
                <w:sz w:val="18"/>
              </w:rPr>
              <w:t xml:space="preserve"> elements</w:t>
            </w:r>
          </w:p>
        </w:tc>
      </w:tr>
      <w:tr w:rsidR="00D96B91" w:rsidTr="006F72BE">
        <w:trPr>
          <w:trHeight w:hRule="exact" w:val="220"/>
        </w:trPr>
        <w:tc>
          <w:tcPr>
            <w:tcW w:w="1611"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revenue</w:t>
            </w:r>
            <w:r>
              <w:rPr>
                <w:rFonts w:ascii="Avenir Next Condensed"/>
                <w:sz w:val="18"/>
              </w:rPr>
              <w:t xml:space="preserve"> cap</w:t>
            </w:r>
          </w:p>
        </w:tc>
        <w:tc>
          <w:tcPr>
            <w:tcW w:w="8062"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that will be combined can </w:t>
            </w:r>
            <w:r>
              <w:rPr>
                <w:rFonts w:ascii="Avenir Next Condensed"/>
                <w:spacing w:val="-2"/>
                <w:sz w:val="18"/>
              </w:rPr>
              <w:t>vary,</w:t>
            </w:r>
            <w:r>
              <w:rPr>
                <w:rFonts w:ascii="Avenir Next Condensed"/>
                <w:spacing w:val="-6"/>
                <w:sz w:val="18"/>
              </w:rPr>
              <w:t xml:space="preserve"> </w:t>
            </w:r>
            <w:r>
              <w:rPr>
                <w:rFonts w:ascii="Avenir Next Condensed"/>
                <w:sz w:val="18"/>
              </w:rPr>
              <w:t xml:space="preserve">but one </w:t>
            </w:r>
            <w:r>
              <w:rPr>
                <w:rFonts w:ascii="Avenir Next Condensed"/>
                <w:spacing w:val="-1"/>
                <w:sz w:val="18"/>
              </w:rPr>
              <w:t>example</w:t>
            </w:r>
            <w:r>
              <w:rPr>
                <w:rFonts w:ascii="Avenir Next Condensed"/>
                <w:sz w:val="18"/>
              </w:rPr>
              <w:t xml:space="preserve"> that has been used by a number of</w:t>
            </w:r>
            <w:r>
              <w:rPr>
                <w:rFonts w:ascii="Avenir Next Condensed"/>
                <w:spacing w:val="1"/>
                <w:sz w:val="18"/>
              </w:rPr>
              <w:t xml:space="preserve"> </w:t>
            </w:r>
            <w:r>
              <w:rPr>
                <w:rFonts w:ascii="Avenir Next Condensed"/>
                <w:spacing w:val="-1"/>
                <w:sz w:val="18"/>
              </w:rPr>
              <w:t>Australian</w:t>
            </w:r>
            <w:r>
              <w:rPr>
                <w:rFonts w:ascii="Avenir Next Condensed"/>
                <w:sz w:val="18"/>
              </w:rPr>
              <w:t xml:space="preserve"> </w:t>
            </w:r>
            <w:r>
              <w:rPr>
                <w:rFonts w:ascii="Avenir Next Condensed"/>
                <w:spacing w:val="-1"/>
                <w:sz w:val="18"/>
              </w:rPr>
              <w:t>regulators</w:t>
            </w:r>
            <w:r>
              <w:rPr>
                <w:rFonts w:ascii="Avenir Next Condensed"/>
                <w:sz w:val="18"/>
              </w:rPr>
              <w:t xml:space="preserve"> is a price cap</w:t>
            </w:r>
          </w:p>
        </w:tc>
      </w:tr>
      <w:tr w:rsidR="00D96B91" w:rsidTr="006F72BE">
        <w:trPr>
          <w:trHeight w:hRule="exact" w:val="220"/>
        </w:trPr>
        <w:tc>
          <w:tcPr>
            <w:tcW w:w="1611"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(Panel’s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draft</w:t>
            </w:r>
          </w:p>
        </w:tc>
        <w:tc>
          <w:tcPr>
            <w:tcW w:w="8062"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that can be adjusted for any under or over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pacing w:val="-1"/>
                <w:sz w:val="18"/>
              </w:rPr>
              <w:t>revenue</w:t>
            </w:r>
            <w:r>
              <w:rPr>
                <w:rFonts w:ascii="Avenir Next Condensed"/>
                <w:sz w:val="18"/>
              </w:rPr>
              <w:t xml:space="preserve"> above a certain </w:t>
            </w:r>
            <w:r>
              <w:rPr>
                <w:rFonts w:ascii="Avenir Next Condensed"/>
                <w:spacing w:val="-1"/>
                <w:sz w:val="18"/>
              </w:rPr>
              <w:t>threshold</w:t>
            </w:r>
            <w:r>
              <w:rPr>
                <w:rFonts w:ascii="Avenir Next Condensed"/>
                <w:sz w:val="18"/>
              </w:rPr>
              <w:t xml:space="preserve"> </w:t>
            </w:r>
            <w:r>
              <w:rPr>
                <w:rFonts w:ascii="Avenir Next Condensed"/>
                <w:spacing w:val="-1"/>
                <w:sz w:val="18"/>
              </w:rPr>
              <w:t>(deadband).</w:t>
            </w:r>
            <w:r>
              <w:rPr>
                <w:rFonts w:ascii="Avenir Next Condensed"/>
                <w:spacing w:val="-6"/>
                <w:sz w:val="18"/>
              </w:rPr>
              <w:t xml:space="preserve"> </w:t>
            </w:r>
            <w:r>
              <w:rPr>
                <w:rFonts w:ascii="Avenir Next Condensed"/>
                <w:sz w:val="18"/>
              </w:rPr>
              <w:t>Under this type of</w:t>
            </w:r>
          </w:p>
        </w:tc>
      </w:tr>
      <w:tr w:rsidR="00D96B91" w:rsidTr="006F72BE">
        <w:trPr>
          <w:trHeight w:hRule="exact" w:val="3047"/>
        </w:trPr>
        <w:tc>
          <w:tcPr>
            <w:tcW w:w="161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decision)</w:t>
            </w:r>
          </w:p>
        </w:tc>
        <w:tc>
          <w:tcPr>
            <w:tcW w:w="8062"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275"/>
              <w:rPr>
                <w:rFonts w:ascii="Avenir Next Condensed" w:eastAsia="Avenir Next Condensed" w:hAnsi="Avenir Next Condensed" w:cs="Avenir Next Condensed"/>
                <w:sz w:val="18"/>
                <w:szCs w:val="18"/>
              </w:rPr>
            </w:pPr>
            <w:r>
              <w:rPr>
                <w:rFonts w:ascii="Avenir Next Condensed"/>
                <w:sz w:val="18"/>
              </w:rPr>
              <w:t xml:space="preserve">hybrid </w:t>
            </w:r>
            <w:r>
              <w:rPr>
                <w:rFonts w:ascii="Avenir Next Condensed"/>
                <w:spacing w:val="-1"/>
                <w:sz w:val="18"/>
              </w:rPr>
              <w:t>cap,</w:t>
            </w:r>
            <w:r>
              <w:rPr>
                <w:rFonts w:ascii="Avenir Next Condensed"/>
                <w:spacing w:val="-6"/>
                <w:sz w:val="18"/>
              </w:rPr>
              <w:t xml:space="preserve"> </w:t>
            </w:r>
            <w:r>
              <w:rPr>
                <w:rFonts w:ascii="Avenir Next Condensed"/>
                <w:sz w:val="18"/>
              </w:rPr>
              <w:t xml:space="preserve">the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w:t>
            </w:r>
            <w:r>
              <w:rPr>
                <w:rFonts w:ascii="Avenir Next Condensed"/>
                <w:spacing w:val="-1"/>
                <w:sz w:val="18"/>
              </w:rPr>
              <w:t>bears</w:t>
            </w:r>
            <w:r>
              <w:rPr>
                <w:rFonts w:ascii="Avenir Next Condensed"/>
                <w:sz w:val="18"/>
              </w:rPr>
              <w:t xml:space="preserve"> demand risk up to the </w:t>
            </w:r>
            <w:r>
              <w:rPr>
                <w:rFonts w:ascii="Avenir Next Condensed"/>
                <w:spacing w:val="-1"/>
                <w:sz w:val="18"/>
              </w:rPr>
              <w:t>threshold</w:t>
            </w:r>
            <w:r>
              <w:rPr>
                <w:rFonts w:ascii="Avenir Next Condensed"/>
                <w:sz w:val="18"/>
              </w:rPr>
              <w:t xml:space="preserve"> while customers </w:t>
            </w:r>
            <w:r>
              <w:rPr>
                <w:rFonts w:ascii="Avenir Next Condensed"/>
                <w:spacing w:val="-1"/>
                <w:sz w:val="18"/>
              </w:rPr>
              <w:t>bear</w:t>
            </w:r>
            <w:r>
              <w:rPr>
                <w:rFonts w:ascii="Avenir Next Condensed"/>
                <w:sz w:val="18"/>
              </w:rPr>
              <w:t xml:space="preserve"> the risk beyond</w:t>
            </w:r>
            <w:r>
              <w:rPr>
                <w:rFonts w:ascii="Avenir Next Condensed"/>
                <w:spacing w:val="53"/>
                <w:sz w:val="18"/>
              </w:rPr>
              <w:t xml:space="preserve"> </w:t>
            </w:r>
            <w:r>
              <w:rPr>
                <w:rFonts w:ascii="Avenir Next Condensed"/>
                <w:sz w:val="18"/>
              </w:rPr>
              <w:t xml:space="preserve">this </w:t>
            </w:r>
            <w:r>
              <w:rPr>
                <w:rFonts w:ascii="Avenir Next Condensed"/>
                <w:spacing w:val="-1"/>
                <w:sz w:val="18"/>
              </w:rPr>
              <w:t>threshold.</w:t>
            </w:r>
          </w:p>
          <w:p w:rsidR="00D96B91" w:rsidRDefault="00C2656B">
            <w:pPr>
              <w:pStyle w:val="TableParagraph"/>
              <w:spacing w:before="98" w:line="220" w:lineRule="exact"/>
              <w:ind w:left="108" w:right="876"/>
              <w:rPr>
                <w:rFonts w:ascii="Avenir Next Condensed" w:eastAsia="Avenir Next Condensed" w:hAnsi="Avenir Next Condensed" w:cs="Avenir Next Condensed"/>
                <w:sz w:val="18"/>
                <w:szCs w:val="18"/>
              </w:rPr>
            </w:pPr>
            <w:r>
              <w:rPr>
                <w:rFonts w:ascii="Avenir Next Condensed"/>
                <w:b/>
                <w:sz w:val="18"/>
              </w:rPr>
              <w:t>Allocation of</w:t>
            </w:r>
            <w:r>
              <w:rPr>
                <w:rFonts w:ascii="Avenir Next Condensed"/>
                <w:b/>
                <w:spacing w:val="4"/>
                <w:sz w:val="18"/>
              </w:rPr>
              <w:t xml:space="preserve"> </w:t>
            </w:r>
            <w:r>
              <w:rPr>
                <w:rFonts w:ascii="Avenir Next Condensed"/>
                <w:b/>
                <w:sz w:val="18"/>
              </w:rPr>
              <w:t>demand risk</w:t>
            </w:r>
            <w:r>
              <w:rPr>
                <w:rFonts w:ascii="Avenir Next Condensed"/>
                <w:sz w:val="18"/>
              </w:rPr>
              <w:t xml:space="preserve">: Demand risk </w:t>
            </w:r>
            <w:r>
              <w:rPr>
                <w:rFonts w:ascii="Avenir Next Condensed"/>
                <w:spacing w:val="-1"/>
                <w:sz w:val="18"/>
              </w:rPr>
              <w:t>shared</w:t>
            </w:r>
            <w:r>
              <w:rPr>
                <w:rFonts w:ascii="Avenir Next Condensed"/>
                <w:sz w:val="18"/>
              </w:rPr>
              <w:t xml:space="preserve"> between the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and customers.</w:t>
            </w:r>
            <w:r>
              <w:rPr>
                <w:rFonts w:ascii="Avenir Next Condensed"/>
                <w:spacing w:val="-10"/>
                <w:sz w:val="18"/>
              </w:rPr>
              <w:t xml:space="preserve"> </w:t>
            </w:r>
            <w:r>
              <w:rPr>
                <w:rFonts w:ascii="Avenir Next Condensed"/>
                <w:spacing w:val="-1"/>
                <w:sz w:val="18"/>
              </w:rPr>
              <w:t>The</w:t>
            </w:r>
            <w:r>
              <w:rPr>
                <w:rFonts w:ascii="Avenir Next Condensed"/>
                <w:spacing w:val="37"/>
                <w:sz w:val="18"/>
              </w:rPr>
              <w:t xml:space="preserve"> </w:t>
            </w:r>
            <w:r>
              <w:rPr>
                <w:rFonts w:ascii="Avenir Next Condensed"/>
                <w:spacing w:val="-1"/>
                <w:sz w:val="18"/>
              </w:rPr>
              <w:t>proportionate</w:t>
            </w:r>
            <w:r>
              <w:rPr>
                <w:rFonts w:ascii="Avenir Next Condensed"/>
                <w:sz w:val="18"/>
              </w:rPr>
              <w:t xml:space="preserve"> allocation of</w:t>
            </w:r>
            <w:r>
              <w:rPr>
                <w:rFonts w:ascii="Avenir Next Condensed"/>
                <w:spacing w:val="4"/>
                <w:sz w:val="18"/>
              </w:rPr>
              <w:t xml:space="preserve"> </w:t>
            </w:r>
            <w:r>
              <w:rPr>
                <w:rFonts w:ascii="Avenir Next Condensed"/>
                <w:sz w:val="18"/>
              </w:rPr>
              <w:t>risk will depend on the form of</w:t>
            </w:r>
            <w:r>
              <w:rPr>
                <w:rFonts w:ascii="Avenir Next Condensed"/>
                <w:spacing w:val="4"/>
                <w:sz w:val="18"/>
              </w:rPr>
              <w:t xml:space="preserve"> </w:t>
            </w:r>
            <w:r>
              <w:rPr>
                <w:rFonts w:ascii="Avenir Next Condensed"/>
                <w:sz w:val="18"/>
              </w:rPr>
              <w:t xml:space="preserve">the hybrid </w:t>
            </w:r>
            <w:r>
              <w:rPr>
                <w:rFonts w:ascii="Avenir Next Condensed"/>
                <w:spacing w:val="-1"/>
                <w:sz w:val="18"/>
              </w:rPr>
              <w:t>cap.</w:t>
            </w:r>
          </w:p>
          <w:p w:rsidR="00D96B91" w:rsidRDefault="00C2656B">
            <w:pPr>
              <w:pStyle w:val="TableParagraph"/>
              <w:spacing w:before="113" w:line="220" w:lineRule="exact"/>
              <w:ind w:left="108" w:right="223"/>
              <w:rPr>
                <w:rFonts w:ascii="Avenir Next Condensed" w:eastAsia="Avenir Next Condensed" w:hAnsi="Avenir Next Condensed" w:cs="Avenir Next Condensed"/>
                <w:sz w:val="18"/>
                <w:szCs w:val="18"/>
              </w:rPr>
            </w:pPr>
            <w:r>
              <w:rPr>
                <w:rFonts w:ascii="Avenir Next Condensed"/>
                <w:b/>
                <w:spacing w:val="-1"/>
                <w:sz w:val="18"/>
              </w:rPr>
              <w:t>Revenue</w:t>
            </w:r>
            <w:r>
              <w:rPr>
                <w:rFonts w:ascii="Avenir Next Condensed"/>
                <w:b/>
                <w:sz w:val="18"/>
              </w:rPr>
              <w:t xml:space="preserve"> and price stability:</w:t>
            </w:r>
            <w:r>
              <w:rPr>
                <w:rFonts w:ascii="Avenir Next Condensed"/>
                <w:b/>
                <w:spacing w:val="-2"/>
                <w:sz w:val="18"/>
              </w:rPr>
              <w:t xml:space="preserve"> </w:t>
            </w:r>
            <w:r>
              <w:rPr>
                <w:rFonts w:ascii="Avenir Next Condensed"/>
                <w:spacing w:val="-1"/>
                <w:sz w:val="18"/>
              </w:rPr>
              <w:t>Revenue</w:t>
            </w:r>
            <w:r>
              <w:rPr>
                <w:rFonts w:ascii="Avenir Next Condensed"/>
                <w:sz w:val="18"/>
              </w:rPr>
              <w:t xml:space="preserve"> will be variable but if</w:t>
            </w:r>
            <w:r>
              <w:rPr>
                <w:rFonts w:ascii="Avenir Next Condensed"/>
                <w:spacing w:val="4"/>
                <w:sz w:val="18"/>
              </w:rPr>
              <w:t xml:space="preserve"> </w:t>
            </w:r>
            <w:r>
              <w:rPr>
                <w:rFonts w:ascii="Avenir Next Condensed"/>
                <w:spacing w:val="-1"/>
                <w:sz w:val="18"/>
              </w:rPr>
              <w:t>there</w:t>
            </w:r>
            <w:r>
              <w:rPr>
                <w:rFonts w:ascii="Avenir Next Condensed"/>
                <w:sz w:val="18"/>
              </w:rPr>
              <w:t xml:space="preserve"> is an unders or overs mechanism </w:t>
            </w:r>
            <w:r>
              <w:rPr>
                <w:rFonts w:ascii="Avenir Next Condensed"/>
                <w:spacing w:val="-1"/>
                <w:sz w:val="18"/>
              </w:rPr>
              <w:t>regulated</w:t>
            </w:r>
            <w:r>
              <w:rPr>
                <w:rFonts w:ascii="Avenir Next Condensed"/>
                <w:sz w:val="18"/>
              </w:rPr>
              <w:t xml:space="preserve"> services</w:t>
            </w:r>
            <w:r>
              <w:rPr>
                <w:rFonts w:ascii="Avenir Next Condensed"/>
                <w:spacing w:val="41"/>
                <w:sz w:val="18"/>
              </w:rPr>
              <w:t xml:space="preserve"> </w:t>
            </w:r>
            <w:r>
              <w:rPr>
                <w:rFonts w:ascii="Avenir Next Condensed"/>
                <w:spacing w:val="-1"/>
                <w:sz w:val="18"/>
              </w:rPr>
              <w:t>providers</w:t>
            </w:r>
            <w:r>
              <w:rPr>
                <w:rFonts w:ascii="Avenir Next Condensed"/>
                <w:sz w:val="18"/>
              </w:rPr>
              <w:t xml:space="preserve"> may have some </w:t>
            </w:r>
            <w:r>
              <w:rPr>
                <w:rFonts w:ascii="Avenir Next Condensed"/>
                <w:spacing w:val="-1"/>
                <w:sz w:val="18"/>
              </w:rPr>
              <w:t>protection</w:t>
            </w:r>
            <w:r>
              <w:rPr>
                <w:rFonts w:ascii="Avenir Next Condensed"/>
                <w:sz w:val="18"/>
              </w:rPr>
              <w:t xml:space="preserve"> against this </w:t>
            </w:r>
            <w:r>
              <w:rPr>
                <w:rFonts w:ascii="Avenir Next Condensed"/>
                <w:spacing w:val="-1"/>
                <w:sz w:val="18"/>
              </w:rPr>
              <w:t>variability.</w:t>
            </w:r>
            <w:r>
              <w:rPr>
                <w:rFonts w:ascii="Avenir Next Condensed"/>
                <w:spacing w:val="-8"/>
                <w:sz w:val="18"/>
              </w:rPr>
              <w:t xml:space="preserve"> </w:t>
            </w:r>
            <w:r>
              <w:rPr>
                <w:rFonts w:ascii="Avenir Next Condensed"/>
                <w:sz w:val="18"/>
              </w:rPr>
              <w:t xml:space="preserve">Whether or not prices </w:t>
            </w:r>
            <w:r>
              <w:rPr>
                <w:rFonts w:ascii="Avenir Next Condensed"/>
                <w:spacing w:val="-1"/>
                <w:sz w:val="18"/>
              </w:rPr>
              <w:t>are</w:t>
            </w:r>
            <w:r>
              <w:rPr>
                <w:rFonts w:ascii="Avenir Next Condensed"/>
                <w:sz w:val="18"/>
              </w:rPr>
              <w:t xml:space="preserve"> stable will depend on how the</w:t>
            </w:r>
            <w:r>
              <w:rPr>
                <w:rFonts w:ascii="Avenir Next Condensed"/>
                <w:spacing w:val="43"/>
                <w:sz w:val="18"/>
              </w:rPr>
              <w:t xml:space="preserve"> </w:t>
            </w:r>
            <w:r>
              <w:rPr>
                <w:rFonts w:ascii="Avenir Next Condensed"/>
                <w:spacing w:val="-1"/>
                <w:sz w:val="18"/>
              </w:rPr>
              <w:t>revenue</w:t>
            </w:r>
            <w:r>
              <w:rPr>
                <w:rFonts w:ascii="Avenir Next Condensed"/>
                <w:sz w:val="18"/>
              </w:rPr>
              <w:t xml:space="preserve"> cap component </w:t>
            </w:r>
            <w:r>
              <w:rPr>
                <w:rFonts w:ascii="Avenir Next Condensed"/>
                <w:spacing w:val="-1"/>
                <w:sz w:val="18"/>
              </w:rPr>
              <w:t>operates</w:t>
            </w:r>
            <w:r>
              <w:rPr>
                <w:rFonts w:ascii="Avenir Next Condensed"/>
                <w:sz w:val="18"/>
              </w:rPr>
              <w:t xml:space="preserve"> and if</w:t>
            </w:r>
            <w:r>
              <w:rPr>
                <w:rFonts w:ascii="Avenir Next Condensed"/>
                <w:spacing w:val="4"/>
                <w:sz w:val="18"/>
              </w:rPr>
              <w:t xml:space="preserve"> </w:t>
            </w:r>
            <w:r>
              <w:rPr>
                <w:rFonts w:ascii="Avenir Next Condensed"/>
                <w:sz w:val="18"/>
              </w:rPr>
              <w:t xml:space="preserve">any under or over </w:t>
            </w:r>
            <w:r>
              <w:rPr>
                <w:rFonts w:ascii="Avenir Next Condensed"/>
                <w:spacing w:val="-1"/>
                <w:sz w:val="18"/>
              </w:rPr>
              <w:t>recoveries</w:t>
            </w:r>
            <w:r>
              <w:rPr>
                <w:rFonts w:ascii="Avenir Next Condensed"/>
                <w:sz w:val="18"/>
              </w:rPr>
              <w:t xml:space="preserve"> </w:t>
            </w:r>
            <w:r>
              <w:rPr>
                <w:rFonts w:ascii="Avenir Next Condensed"/>
                <w:spacing w:val="-1"/>
                <w:sz w:val="18"/>
              </w:rPr>
              <w:t>are</w:t>
            </w:r>
            <w:r>
              <w:rPr>
                <w:rFonts w:ascii="Avenir Next Condensed"/>
                <w:sz w:val="18"/>
              </w:rPr>
              <w:t xml:space="preserve"> </w:t>
            </w:r>
            <w:r>
              <w:rPr>
                <w:rFonts w:ascii="Avenir Next Condensed"/>
                <w:spacing w:val="-1"/>
                <w:sz w:val="18"/>
              </w:rPr>
              <w:t>recovered</w:t>
            </w:r>
            <w:r>
              <w:rPr>
                <w:rFonts w:ascii="Avenir Next Condensed"/>
                <w:sz w:val="18"/>
              </w:rPr>
              <w:t xml:space="preserve"> within the </w:t>
            </w:r>
            <w:r>
              <w:rPr>
                <w:rFonts w:ascii="Avenir Next Condensed"/>
                <w:spacing w:val="-1"/>
                <w:sz w:val="18"/>
              </w:rPr>
              <w:t>regulatory</w:t>
            </w:r>
            <w:r>
              <w:rPr>
                <w:rFonts w:ascii="Avenir Next Condensed"/>
                <w:sz w:val="18"/>
              </w:rPr>
              <w:t xml:space="preserve"> period or</w:t>
            </w:r>
            <w:r>
              <w:rPr>
                <w:rFonts w:ascii="Avenir Next Condensed"/>
                <w:spacing w:val="67"/>
                <w:sz w:val="18"/>
              </w:rPr>
              <w:t xml:space="preserve"> </w:t>
            </w:r>
            <w:r>
              <w:rPr>
                <w:rFonts w:ascii="Avenir Next Condensed"/>
                <w:spacing w:val="-1"/>
                <w:sz w:val="18"/>
              </w:rPr>
              <w:t>deferred</w:t>
            </w:r>
            <w:r>
              <w:rPr>
                <w:rFonts w:ascii="Avenir Next Condensed"/>
                <w:sz w:val="18"/>
              </w:rPr>
              <w:t xml:space="preserve"> to the </w:t>
            </w:r>
            <w:r>
              <w:rPr>
                <w:rFonts w:ascii="Avenir Next Condensed"/>
                <w:spacing w:val="-1"/>
                <w:sz w:val="18"/>
              </w:rPr>
              <w:t>next</w:t>
            </w:r>
            <w:r>
              <w:rPr>
                <w:rFonts w:ascii="Avenir Next Condensed"/>
                <w:sz w:val="18"/>
              </w:rPr>
              <w:t xml:space="preserve"> period.</w:t>
            </w:r>
          </w:p>
          <w:p w:rsidR="00D96B91" w:rsidRDefault="00C2656B">
            <w:pPr>
              <w:pStyle w:val="TableParagraph"/>
              <w:spacing w:before="113" w:line="220" w:lineRule="exact"/>
              <w:ind w:left="108" w:right="246"/>
              <w:rPr>
                <w:rFonts w:ascii="Avenir Next Condensed" w:eastAsia="Avenir Next Condensed" w:hAnsi="Avenir Next Condensed" w:cs="Avenir Next Condensed"/>
                <w:sz w:val="18"/>
                <w:szCs w:val="18"/>
              </w:rPr>
            </w:pPr>
            <w:r>
              <w:rPr>
                <w:rFonts w:ascii="Avenir Next Condensed"/>
                <w:b/>
                <w:sz w:val="18"/>
              </w:rPr>
              <w:t xml:space="preserve">Incentive to </w:t>
            </w:r>
            <w:r>
              <w:rPr>
                <w:rFonts w:ascii="Avenir Next Condensed"/>
                <w:b/>
                <w:spacing w:val="-1"/>
                <w:sz w:val="18"/>
              </w:rPr>
              <w:t>encourage</w:t>
            </w:r>
            <w:r>
              <w:rPr>
                <w:rFonts w:ascii="Avenir Next Condensed"/>
                <w:b/>
                <w:sz w:val="18"/>
              </w:rPr>
              <w:t xml:space="preserve"> </w:t>
            </w:r>
            <w:r>
              <w:rPr>
                <w:rFonts w:ascii="Avenir Next Condensed"/>
                <w:b/>
                <w:spacing w:val="-1"/>
                <w:sz w:val="18"/>
              </w:rPr>
              <w:t>efficient</w:t>
            </w:r>
            <w:r>
              <w:rPr>
                <w:rFonts w:ascii="Avenir Next Condensed"/>
                <w:b/>
                <w:sz w:val="18"/>
              </w:rPr>
              <w:t xml:space="preserve"> </w:t>
            </w:r>
            <w:r>
              <w:rPr>
                <w:rFonts w:ascii="Avenir Next Condensed"/>
                <w:b/>
                <w:spacing w:val="-1"/>
                <w:sz w:val="18"/>
              </w:rPr>
              <w:t>asset</w:t>
            </w:r>
            <w:r>
              <w:rPr>
                <w:rFonts w:ascii="Avenir Next Condensed"/>
                <w:b/>
                <w:sz w:val="18"/>
              </w:rPr>
              <w:t xml:space="preserve"> utilisation</w:t>
            </w:r>
            <w:r>
              <w:rPr>
                <w:rFonts w:ascii="Avenir Next Condensed"/>
                <w:sz w:val="18"/>
              </w:rPr>
              <w:t>:</w:t>
            </w:r>
            <w:r>
              <w:rPr>
                <w:rFonts w:ascii="Avenir Next Condensed"/>
                <w:spacing w:val="-5"/>
                <w:sz w:val="18"/>
              </w:rPr>
              <w:t xml:space="preserve"> </w:t>
            </w:r>
            <w:r>
              <w:rPr>
                <w:rFonts w:ascii="Avenir Next Condensed"/>
                <w:spacing w:val="-1"/>
                <w:sz w:val="18"/>
              </w:rPr>
              <w:t>This</w:t>
            </w:r>
            <w:r>
              <w:rPr>
                <w:rFonts w:ascii="Avenir Next Condensed"/>
                <w:sz w:val="18"/>
              </w:rPr>
              <w:t xml:space="preserve"> form of</w:t>
            </w:r>
            <w:r>
              <w:rPr>
                <w:rFonts w:ascii="Avenir Next Condensed"/>
                <w:spacing w:val="4"/>
                <w:sz w:val="18"/>
              </w:rPr>
              <w:t xml:space="preserve"> </w:t>
            </w:r>
            <w:r>
              <w:rPr>
                <w:rFonts w:ascii="Avenir Next Condensed"/>
                <w:spacing w:val="-1"/>
                <w:sz w:val="18"/>
              </w:rPr>
              <w:t>control</w:t>
            </w:r>
            <w:r>
              <w:rPr>
                <w:rFonts w:ascii="Avenir Next Condensed"/>
                <w:sz w:val="18"/>
              </w:rPr>
              <w:t xml:space="preserve"> can </w:t>
            </w:r>
            <w:r>
              <w:rPr>
                <w:rFonts w:ascii="Avenir Next Condensed"/>
                <w:spacing w:val="-1"/>
                <w:sz w:val="18"/>
              </w:rPr>
              <w:t>provide</w:t>
            </w:r>
            <w:r>
              <w:rPr>
                <w:rFonts w:ascii="Avenir Next Condensed"/>
                <w:sz w:val="18"/>
              </w:rPr>
              <w:t xml:space="preserve"> a </w:t>
            </w:r>
            <w:r>
              <w:rPr>
                <w:rFonts w:ascii="Avenir Next Condensed"/>
                <w:spacing w:val="-1"/>
                <w:sz w:val="18"/>
              </w:rPr>
              <w:t>strong</w:t>
            </w:r>
            <w:r>
              <w:rPr>
                <w:rFonts w:ascii="Avenir Next Condensed"/>
                <w:sz w:val="18"/>
              </w:rPr>
              <w:t xml:space="preserve"> incentive to </w:t>
            </w:r>
            <w:r>
              <w:rPr>
                <w:rFonts w:ascii="Avenir Next Condensed"/>
                <w:spacing w:val="-1"/>
                <w:sz w:val="18"/>
              </w:rPr>
              <w:t>improve</w:t>
            </w:r>
            <w:r>
              <w:rPr>
                <w:rFonts w:ascii="Avenir Next Condensed"/>
                <w:spacing w:val="75"/>
                <w:sz w:val="18"/>
              </w:rPr>
              <w:t xml:space="preserve"> </w:t>
            </w:r>
            <w:r>
              <w:rPr>
                <w:rFonts w:ascii="Avenir Next Condensed"/>
                <w:spacing w:val="-1"/>
                <w:sz w:val="18"/>
              </w:rPr>
              <w:t>asset</w:t>
            </w:r>
            <w:r>
              <w:rPr>
                <w:rFonts w:ascii="Avenir Next Condensed"/>
                <w:sz w:val="18"/>
              </w:rPr>
              <w:t xml:space="preserve"> utilisation and </w:t>
            </w:r>
            <w:r>
              <w:rPr>
                <w:rFonts w:ascii="Avenir Next Condensed"/>
                <w:spacing w:val="-1"/>
                <w:sz w:val="18"/>
              </w:rPr>
              <w:t>expand</w:t>
            </w:r>
            <w:r>
              <w:rPr>
                <w:rFonts w:ascii="Avenir Next Condensed"/>
                <w:sz w:val="18"/>
              </w:rPr>
              <w:t xml:space="preserve"> demand and may also </w:t>
            </w:r>
            <w:r>
              <w:rPr>
                <w:rFonts w:ascii="Avenir Next Condensed"/>
                <w:spacing w:val="-1"/>
                <w:sz w:val="18"/>
              </w:rPr>
              <w:t>provide</w:t>
            </w:r>
            <w:r>
              <w:rPr>
                <w:rFonts w:ascii="Avenir Next Condensed"/>
                <w:sz w:val="18"/>
              </w:rPr>
              <w:t xml:space="preserve"> an incentive to </w:t>
            </w:r>
            <w:r>
              <w:rPr>
                <w:rFonts w:ascii="Avenir Next Condensed"/>
                <w:spacing w:val="-1"/>
                <w:sz w:val="18"/>
              </w:rPr>
              <w:t>encourage</w:t>
            </w:r>
            <w:r>
              <w:rPr>
                <w:rFonts w:ascii="Avenir Next Condensed"/>
                <w:sz w:val="18"/>
              </w:rPr>
              <w:t xml:space="preserve"> conservation and other demand</w:t>
            </w:r>
            <w:r>
              <w:rPr>
                <w:rFonts w:ascii="Avenir Next Condensed"/>
                <w:spacing w:val="39"/>
                <w:sz w:val="18"/>
              </w:rPr>
              <w:t xml:space="preserve"> </w:t>
            </w:r>
            <w:r>
              <w:rPr>
                <w:rFonts w:ascii="Avenir Next Condensed"/>
                <w:sz w:val="18"/>
              </w:rPr>
              <w:t xml:space="preserve">management </w:t>
            </w:r>
            <w:r>
              <w:rPr>
                <w:rFonts w:ascii="Avenir Next Condensed"/>
                <w:spacing w:val="-1"/>
                <w:sz w:val="18"/>
              </w:rPr>
              <w:t>measures</w:t>
            </w:r>
            <w:r>
              <w:rPr>
                <w:rFonts w:ascii="Avenir Next Condensed"/>
                <w:sz w:val="18"/>
              </w:rPr>
              <w:t xml:space="preserve"> if</w:t>
            </w:r>
            <w:r>
              <w:rPr>
                <w:rFonts w:ascii="Avenir Next Condensed"/>
                <w:spacing w:val="4"/>
                <w:sz w:val="18"/>
              </w:rPr>
              <w:t xml:space="preserve"> </w:t>
            </w:r>
            <w:r>
              <w:rPr>
                <w:rFonts w:ascii="Avenir Next Condensed"/>
                <w:sz w:val="18"/>
              </w:rPr>
              <w:t xml:space="preserve">the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is </w:t>
            </w:r>
            <w:r>
              <w:rPr>
                <w:rFonts w:ascii="Avenir Next Condensed"/>
                <w:spacing w:val="-1"/>
                <w:sz w:val="18"/>
              </w:rPr>
              <w:t>afforded</w:t>
            </w:r>
            <w:r>
              <w:rPr>
                <w:rFonts w:ascii="Avenir Next Condensed"/>
                <w:sz w:val="18"/>
              </w:rPr>
              <w:t xml:space="preserve"> some </w:t>
            </w:r>
            <w:r>
              <w:rPr>
                <w:rFonts w:ascii="Avenir Next Condensed"/>
                <w:spacing w:val="-1"/>
                <w:sz w:val="18"/>
              </w:rPr>
              <w:t>protection</w:t>
            </w:r>
            <w:r>
              <w:rPr>
                <w:rFonts w:ascii="Avenir Next Condensed"/>
                <w:sz w:val="18"/>
              </w:rPr>
              <w:t xml:space="preserve"> </w:t>
            </w:r>
            <w:r>
              <w:rPr>
                <w:rFonts w:ascii="Avenir Next Condensed"/>
                <w:spacing w:val="-1"/>
                <w:sz w:val="18"/>
              </w:rPr>
              <w:t>from</w:t>
            </w:r>
            <w:r>
              <w:rPr>
                <w:rFonts w:ascii="Avenir Next Condensed"/>
                <w:sz w:val="18"/>
              </w:rPr>
              <w:t xml:space="preserve"> under </w:t>
            </w:r>
            <w:r>
              <w:rPr>
                <w:rFonts w:ascii="Avenir Next Condensed"/>
                <w:spacing w:val="-1"/>
                <w:sz w:val="18"/>
              </w:rPr>
              <w:t>recoveries</w:t>
            </w:r>
            <w:r>
              <w:rPr>
                <w:rFonts w:ascii="Avenir Next Condensed"/>
                <w:sz w:val="18"/>
              </w:rPr>
              <w:t xml:space="preserve"> of</w:t>
            </w:r>
            <w:r>
              <w:rPr>
                <w:rFonts w:ascii="Avenir Next Condensed"/>
                <w:spacing w:val="4"/>
                <w:sz w:val="18"/>
              </w:rPr>
              <w:t xml:space="preserve"> </w:t>
            </w:r>
            <w:r>
              <w:rPr>
                <w:rFonts w:ascii="Avenir Next Condensed"/>
                <w:spacing w:val="-1"/>
                <w:sz w:val="18"/>
              </w:rPr>
              <w:t>revenue.</w:t>
            </w:r>
          </w:p>
        </w:tc>
      </w:tr>
    </w:tbl>
    <w:p w:rsidR="00D96B91" w:rsidRDefault="00D96B91">
      <w:pPr>
        <w:rPr>
          <w:rFonts w:ascii="Avenir Next" w:eastAsia="Avenir Next" w:hAnsi="Avenir Next" w:cs="Avenir Next"/>
          <w:b/>
          <w:bCs/>
          <w:sz w:val="20"/>
          <w:szCs w:val="20"/>
        </w:rPr>
      </w:pPr>
    </w:p>
    <w:p w:rsidR="00D96B91" w:rsidRDefault="00D96B91">
      <w:pPr>
        <w:spacing w:before="2"/>
        <w:rPr>
          <w:rFonts w:ascii="Avenir Next" w:eastAsia="Avenir Next" w:hAnsi="Avenir Next" w:cs="Avenir Next"/>
          <w:b/>
          <w:bCs/>
          <w:sz w:val="11"/>
          <w:szCs w:val="1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55" style="width:72.5pt;height:.5pt;mso-position-horizontal-relative:char;mso-position-vertical-relative:line" coordsize="1450,10">
            <v:group id="_x0000_s3256" style="position:absolute;left:5;top:5;width:1440;height:2" coordorigin="5,5" coordsize="1440,2">
              <v:shape id="_x0000_s3257"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45" w:line="192" w:lineRule="exact"/>
        <w:ind w:right="1331" w:hanging="510"/>
        <w:rPr>
          <w:rFonts w:ascii="Avenir Next" w:eastAsia="Avenir Next" w:hAnsi="Avenir Next" w:cs="Avenir Next"/>
          <w:sz w:val="16"/>
          <w:szCs w:val="16"/>
        </w:rPr>
      </w:pPr>
      <w:r>
        <w:rPr>
          <w:rFonts w:ascii="Avenir Next" w:eastAsia="Avenir Next" w:hAnsi="Avenir Next" w:cs="Avenir Next"/>
          <w:spacing w:val="-2"/>
          <w:sz w:val="16"/>
          <w:szCs w:val="16"/>
        </w:rPr>
        <w:t>That</w:t>
      </w:r>
      <w:r>
        <w:rPr>
          <w:rFonts w:ascii="Avenir Next" w:eastAsia="Avenir Next" w:hAnsi="Avenir Next" w:cs="Avenir Next"/>
          <w:sz w:val="16"/>
          <w:szCs w:val="16"/>
        </w:rPr>
        <w:t xml:space="preserve"> is not to say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regulated</w:t>
      </w:r>
      <w:r>
        <w:rPr>
          <w:rFonts w:ascii="Avenir Next" w:eastAsia="Avenir Next" w:hAnsi="Avenir Next" w:cs="Avenir Next"/>
          <w:sz w:val="16"/>
          <w:szCs w:val="16"/>
        </w:rPr>
        <w:t xml:space="preserve"> service </w:t>
      </w:r>
      <w:r>
        <w:rPr>
          <w:rFonts w:ascii="Avenir Next" w:eastAsia="Avenir Next" w:hAnsi="Avenir Next" w:cs="Avenir Next"/>
          <w:spacing w:val="-1"/>
          <w:sz w:val="16"/>
          <w:szCs w:val="16"/>
        </w:rPr>
        <w:t>provider</w:t>
      </w:r>
      <w:r>
        <w:rPr>
          <w:rFonts w:ascii="Avenir Next" w:eastAsia="Avenir Next" w:hAnsi="Avenir Next" w:cs="Avenir Next"/>
          <w:sz w:val="16"/>
          <w:szCs w:val="16"/>
        </w:rPr>
        <w:t xml:space="preserve"> is completely immune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demand risk.</w:t>
      </w:r>
      <w:r>
        <w:rPr>
          <w:rFonts w:ascii="Avenir Next" w:eastAsia="Avenir Next" w:hAnsi="Avenir Next" w:cs="Avenir Next"/>
          <w:spacing w:val="-9"/>
          <w:sz w:val="16"/>
          <w:szCs w:val="16"/>
        </w:rPr>
        <w:t xml:space="preserve"> </w:t>
      </w:r>
      <w:r>
        <w:rPr>
          <w:rFonts w:ascii="Avenir Next" w:eastAsia="Avenir Next" w:hAnsi="Avenir Next" w:cs="Avenir Next"/>
          <w:spacing w:val="-8"/>
          <w:sz w:val="16"/>
          <w:szCs w:val="16"/>
        </w:rPr>
        <w:t>To</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contrary,</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demand</w:t>
      </w:r>
      <w:r>
        <w:rPr>
          <w:rFonts w:ascii="Avenir Next" w:eastAsia="Avenir Next" w:hAnsi="Avenir Next" w:cs="Avenir Next"/>
          <w:spacing w:val="33"/>
          <w:sz w:val="16"/>
          <w:szCs w:val="16"/>
        </w:rPr>
        <w:t xml:space="preserve"> </w:t>
      </w:r>
      <w:r>
        <w:rPr>
          <w:rFonts w:ascii="Avenir Next" w:eastAsia="Avenir Next" w:hAnsi="Avenir Next" w:cs="Avenir Next"/>
          <w:sz w:val="16"/>
          <w:szCs w:val="16"/>
        </w:rPr>
        <w:t>is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higher than </w:t>
      </w:r>
      <w:r>
        <w:rPr>
          <w:rFonts w:ascii="Avenir Next" w:eastAsia="Avenir Next" w:hAnsi="Avenir Next" w:cs="Avenir Next"/>
          <w:spacing w:val="-1"/>
          <w:sz w:val="16"/>
          <w:szCs w:val="16"/>
        </w:rPr>
        <w:t>expected</w:t>
      </w:r>
      <w:r>
        <w:rPr>
          <w:rFonts w:ascii="Avenir Next" w:eastAsia="Avenir Next" w:hAnsi="Avenir Next" w:cs="Avenir Next"/>
          <w:sz w:val="16"/>
          <w:szCs w:val="16"/>
        </w:rPr>
        <w:t xml:space="preserve"> and the </w:t>
      </w:r>
      <w:r>
        <w:rPr>
          <w:rFonts w:ascii="Avenir Next" w:eastAsia="Avenir Next" w:hAnsi="Avenir Next" w:cs="Avenir Next"/>
          <w:spacing w:val="-1"/>
          <w:sz w:val="16"/>
          <w:szCs w:val="16"/>
        </w:rPr>
        <w:t>regulated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entity’s</w:t>
      </w:r>
      <w:r>
        <w:rPr>
          <w:rFonts w:ascii="Avenir Next" w:eastAsia="Avenir Next" w:hAnsi="Avenir Next" w:cs="Avenir Next"/>
          <w:sz w:val="16"/>
          <w:szCs w:val="16"/>
        </w:rPr>
        <w:t xml:space="preserve"> costs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not completely </w:t>
      </w:r>
      <w:r>
        <w:rPr>
          <w:rFonts w:ascii="Avenir Next" w:eastAsia="Avenir Next" w:hAnsi="Avenir Next" w:cs="Avenir Next"/>
          <w:spacing w:val="-1"/>
          <w:sz w:val="16"/>
          <w:szCs w:val="16"/>
        </w:rPr>
        <w:t>fixed,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it</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will be unable to </w:t>
      </w:r>
      <w:r>
        <w:rPr>
          <w:rFonts w:ascii="Avenir Next" w:eastAsia="Avenir Next" w:hAnsi="Avenir Next" w:cs="Avenir Next"/>
          <w:spacing w:val="-1"/>
          <w:sz w:val="16"/>
          <w:szCs w:val="16"/>
        </w:rPr>
        <w:t>recoup</w:t>
      </w:r>
      <w:r>
        <w:rPr>
          <w:rFonts w:ascii="Avenir Next" w:eastAsia="Avenir Next" w:hAnsi="Avenir Next" w:cs="Avenir Next"/>
          <w:sz w:val="16"/>
          <w:szCs w:val="16"/>
        </w:rPr>
        <w:t xml:space="preserve"> the costs of</w:t>
      </w:r>
      <w:r>
        <w:rPr>
          <w:rFonts w:ascii="Avenir Next" w:eastAsia="Avenir Next" w:hAnsi="Avenir Next" w:cs="Avenir Next"/>
          <w:spacing w:val="39"/>
          <w:sz w:val="16"/>
          <w:szCs w:val="16"/>
        </w:rPr>
        <w:t xml:space="preserve"> </w:t>
      </w:r>
      <w:r>
        <w:rPr>
          <w:rFonts w:ascii="Avenir Next" w:eastAsia="Avenir Next" w:hAnsi="Avenir Next" w:cs="Avenir Next"/>
          <w:sz w:val="16"/>
          <w:szCs w:val="16"/>
        </w:rPr>
        <w:t>servicing</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the additional demand,</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resulting</w:t>
      </w:r>
      <w:r>
        <w:rPr>
          <w:rFonts w:ascii="Avenir Next" w:eastAsia="Avenir Next" w:hAnsi="Avenir Next" w:cs="Avenir Next"/>
          <w:sz w:val="16"/>
          <w:szCs w:val="16"/>
        </w:rPr>
        <w:t xml:space="preserve"> in lower </w:t>
      </w:r>
      <w:r>
        <w:rPr>
          <w:rFonts w:ascii="Avenir Next" w:eastAsia="Avenir Next" w:hAnsi="Avenir Next" w:cs="Avenir Next"/>
          <w:spacing w:val="-1"/>
          <w:sz w:val="16"/>
          <w:szCs w:val="16"/>
        </w:rPr>
        <w:t>profit</w:t>
      </w:r>
      <w:r>
        <w:rPr>
          <w:rFonts w:ascii="Avenir Next" w:eastAsia="Avenir Next" w:hAnsi="Avenir Next" w:cs="Avenir Next"/>
          <w:sz w:val="16"/>
          <w:szCs w:val="16"/>
        </w:rPr>
        <w:t xml:space="preserve"> (and</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vice versa).</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On the other hand,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demand</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is lower than</w:t>
      </w:r>
      <w:r>
        <w:rPr>
          <w:rFonts w:ascii="Avenir Next" w:eastAsia="Avenir Next" w:hAnsi="Avenir Next" w:cs="Avenir Next"/>
          <w:spacing w:val="30"/>
          <w:sz w:val="16"/>
          <w:szCs w:val="16"/>
        </w:rPr>
        <w:t xml:space="preserve"> </w:t>
      </w:r>
      <w:r>
        <w:rPr>
          <w:rFonts w:ascii="Avenir Next" w:eastAsia="Avenir Next" w:hAnsi="Avenir Next" w:cs="Avenir Next"/>
          <w:spacing w:val="-1"/>
          <w:sz w:val="16"/>
          <w:szCs w:val="16"/>
        </w:rPr>
        <w:t xml:space="preserve">expected </w:t>
      </w:r>
      <w:r>
        <w:rPr>
          <w:rFonts w:ascii="Avenir Next" w:eastAsia="Avenir Next" w:hAnsi="Avenir Next" w:cs="Avenir Next"/>
          <w:sz w:val="16"/>
          <w:szCs w:val="16"/>
        </w:rPr>
        <w:t>and its costs</w:t>
      </w:r>
      <w:r>
        <w:rPr>
          <w:rFonts w:ascii="Avenir Next" w:eastAsia="Avenir Next" w:hAnsi="Avenir Next" w:cs="Avenir Next"/>
          <w:spacing w:val="-1"/>
          <w:sz w:val="16"/>
          <w:szCs w:val="16"/>
        </w:rPr>
        <w:t xml:space="preserve"> are</w:t>
      </w:r>
      <w:r>
        <w:rPr>
          <w:rFonts w:ascii="Avenir Next" w:eastAsia="Avenir Next" w:hAnsi="Avenir Next" w:cs="Avenir Next"/>
          <w:sz w:val="16"/>
          <w:szCs w:val="16"/>
        </w:rPr>
        <w:t xml:space="preserve"> not completely</w:t>
      </w:r>
      <w:r>
        <w:rPr>
          <w:rFonts w:ascii="Avenir Next" w:eastAsia="Avenir Next" w:hAnsi="Avenir Next" w:cs="Avenir Next"/>
          <w:spacing w:val="-1"/>
          <w:sz w:val="16"/>
          <w:szCs w:val="16"/>
        </w:rPr>
        <w:t xml:space="preserve"> fixed,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it will</w:t>
      </w:r>
      <w:r>
        <w:rPr>
          <w:rFonts w:ascii="Avenir Next" w:eastAsia="Avenir Next" w:hAnsi="Avenir Next" w:cs="Avenir Next"/>
          <w:spacing w:val="-1"/>
          <w:sz w:val="16"/>
          <w:szCs w:val="16"/>
        </w:rPr>
        <w:t xml:space="preserve"> earn</w:t>
      </w:r>
      <w:r>
        <w:rPr>
          <w:rFonts w:ascii="Avenir Next" w:eastAsia="Avenir Next" w:hAnsi="Avenir Next" w:cs="Avenir Next"/>
          <w:sz w:val="16"/>
          <w:szCs w:val="16"/>
        </w:rPr>
        <w:t xml:space="preserve"> a higher</w:t>
      </w:r>
      <w:r>
        <w:rPr>
          <w:rFonts w:ascii="Avenir Next" w:eastAsia="Avenir Next" w:hAnsi="Avenir Next" w:cs="Avenir Next"/>
          <w:spacing w:val="-1"/>
          <w:sz w:val="16"/>
          <w:szCs w:val="16"/>
        </w:rPr>
        <w:t xml:space="preserve"> profit.</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precise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effect </w:t>
      </w:r>
      <w:r>
        <w:rPr>
          <w:rFonts w:ascii="Avenir Next" w:eastAsia="Avenir Next" w:hAnsi="Avenir Next" w:cs="Avenir Next"/>
          <w:sz w:val="16"/>
          <w:szCs w:val="16"/>
        </w:rPr>
        <w:t xml:space="preserve">on </w:t>
      </w:r>
      <w:r>
        <w:rPr>
          <w:rFonts w:ascii="Avenir Next" w:eastAsia="Avenir Next" w:hAnsi="Avenir Next" w:cs="Avenir Next"/>
          <w:spacing w:val="-1"/>
          <w:sz w:val="16"/>
          <w:szCs w:val="16"/>
        </w:rPr>
        <w:t>profit</w:t>
      </w:r>
      <w:r>
        <w:rPr>
          <w:rFonts w:ascii="Avenir Next" w:eastAsia="Avenir Next" w:hAnsi="Avenir Next" w:cs="Avenir Next"/>
          <w:sz w:val="16"/>
          <w:szCs w:val="16"/>
        </w:rPr>
        <w:t xml:space="preserve"> will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depend on how</w:t>
      </w:r>
      <w:r>
        <w:rPr>
          <w:rFonts w:ascii="Avenir Next" w:eastAsia="Avenir Next" w:hAnsi="Avenir Next" w:cs="Avenir Next"/>
          <w:spacing w:val="59"/>
          <w:sz w:val="16"/>
          <w:szCs w:val="16"/>
        </w:rPr>
        <w:t xml:space="preserve"> </w:t>
      </w:r>
      <w:r>
        <w:rPr>
          <w:rFonts w:ascii="Avenir Next" w:eastAsia="Avenir Next" w:hAnsi="Avenir Next" w:cs="Avenir Next"/>
          <w:spacing w:val="-1"/>
          <w:sz w:val="16"/>
          <w:szCs w:val="16"/>
        </w:rPr>
        <w:t>accurate</w:t>
      </w:r>
      <w:r>
        <w:rPr>
          <w:rFonts w:ascii="Avenir Next" w:eastAsia="Avenir Next" w:hAnsi="Avenir Next" w:cs="Avenir Next"/>
          <w:sz w:val="16"/>
          <w:szCs w:val="16"/>
        </w:rPr>
        <w:t xml:space="preserve"> demand </w:t>
      </w:r>
      <w:r>
        <w:rPr>
          <w:rFonts w:ascii="Avenir Next" w:eastAsia="Avenir Next" w:hAnsi="Avenir Next" w:cs="Avenir Next"/>
          <w:spacing w:val="-1"/>
          <w:sz w:val="16"/>
          <w:szCs w:val="16"/>
        </w:rPr>
        <w:t>forecasts</w:t>
      </w:r>
      <w:r>
        <w:rPr>
          <w:rFonts w:ascii="Avenir Next" w:eastAsia="Avenir Next" w:hAnsi="Avenir Next" w:cs="Avenir Next"/>
          <w:sz w:val="16"/>
          <w:szCs w:val="16"/>
        </w:rPr>
        <w:t xml:space="preserve"> turn out to be and the </w:t>
      </w:r>
      <w:r>
        <w:rPr>
          <w:rFonts w:ascii="Avenir Next" w:eastAsia="Avenir Next" w:hAnsi="Avenir Next" w:cs="Avenir Next"/>
          <w:spacing w:val="-1"/>
          <w:sz w:val="16"/>
          <w:szCs w:val="16"/>
        </w:rPr>
        <w:t>relationship</w:t>
      </w:r>
      <w:r>
        <w:rPr>
          <w:rFonts w:ascii="Avenir Next" w:eastAsia="Avenir Next" w:hAnsi="Avenir Next" w:cs="Avenir Next"/>
          <w:sz w:val="16"/>
          <w:szCs w:val="16"/>
        </w:rPr>
        <w:t xml:space="preserve"> between costs and output (ie,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the service </w:t>
      </w:r>
      <w:r>
        <w:rPr>
          <w:rFonts w:ascii="Avenir Next" w:eastAsia="Avenir Next" w:hAnsi="Avenir Next" w:cs="Avenir Next"/>
          <w:spacing w:val="-1"/>
          <w:sz w:val="16"/>
          <w:szCs w:val="16"/>
        </w:rPr>
        <w:t>provider’s</w:t>
      </w:r>
      <w:r>
        <w:rPr>
          <w:rFonts w:ascii="Avenir Next" w:eastAsia="Avenir Next" w:hAnsi="Avenir Next" w:cs="Avenir Next"/>
          <w:spacing w:val="39"/>
          <w:sz w:val="16"/>
          <w:szCs w:val="16"/>
        </w:rPr>
        <w:t xml:space="preserve"> </w:t>
      </w:r>
      <w:r>
        <w:rPr>
          <w:rFonts w:ascii="Avenir Next" w:eastAsia="Avenir Next" w:hAnsi="Avenir Next" w:cs="Avenir Next"/>
          <w:sz w:val="16"/>
          <w:szCs w:val="16"/>
        </w:rPr>
        <w:t>costs</w:t>
      </w:r>
      <w:r>
        <w:rPr>
          <w:rFonts w:ascii="Avenir Next" w:eastAsia="Avenir Next" w:hAnsi="Avenir Next" w:cs="Avenir Next"/>
          <w:spacing w:val="-1"/>
          <w:sz w:val="16"/>
          <w:szCs w:val="16"/>
        </w:rPr>
        <w:t xml:space="preserve"> fixed</w:t>
      </w:r>
      <w:r>
        <w:rPr>
          <w:rFonts w:ascii="Avenir Next" w:eastAsia="Avenir Next" w:hAnsi="Avenir Next" w:cs="Avenir Next"/>
          <w:sz w:val="16"/>
          <w:szCs w:val="16"/>
        </w:rPr>
        <w:t xml:space="preserve"> or is </w:t>
      </w:r>
      <w:r>
        <w:rPr>
          <w:rFonts w:ascii="Avenir Next" w:eastAsia="Avenir Next" w:hAnsi="Avenir Next" w:cs="Avenir Next"/>
          <w:spacing w:val="-1"/>
          <w:sz w:val="16"/>
          <w:szCs w:val="16"/>
        </w:rPr>
        <w:t xml:space="preserve">there </w:t>
      </w:r>
      <w:r>
        <w:rPr>
          <w:rFonts w:ascii="Avenir Next" w:eastAsia="Avenir Next" w:hAnsi="Avenir Next" w:cs="Avenir Next"/>
          <w:sz w:val="16"/>
          <w:szCs w:val="16"/>
        </w:rPr>
        <w:t>a variable component.</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97"/>
        </w:numPr>
        <w:tabs>
          <w:tab w:val="left" w:pos="2098"/>
        </w:tabs>
        <w:spacing w:before="9"/>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1" w:line="260" w:lineRule="exact"/>
        <w:ind w:right="2051"/>
      </w:pPr>
      <w:r>
        <w:rPr>
          <w:spacing w:val="-2"/>
        </w:rPr>
        <w:t>The</w:t>
      </w:r>
      <w:r>
        <w:rPr>
          <w:spacing w:val="-1"/>
        </w:rPr>
        <w:t xml:space="preserve"> </w:t>
      </w:r>
      <w:r>
        <w:rPr>
          <w:spacing w:val="-2"/>
        </w:rPr>
        <w:t>ICRC’s</w:t>
      </w:r>
      <w:r>
        <w:t xml:space="preserve"> final decision was</w:t>
      </w:r>
      <w:r>
        <w:rPr>
          <w:spacing w:val="-1"/>
        </w:rPr>
        <w:t xml:space="preserve"> </w:t>
      </w:r>
      <w:r>
        <w:t>to adopt the individual</w:t>
      </w:r>
      <w:r>
        <w:rPr>
          <w:spacing w:val="-1"/>
        </w:rPr>
        <w:t xml:space="preserve"> </w:t>
      </w:r>
      <w:r>
        <w:t>price cap form of</w:t>
      </w:r>
      <w:r>
        <w:rPr>
          <w:spacing w:val="4"/>
        </w:rPr>
        <w:t xml:space="preserve"> </w:t>
      </w:r>
      <w:r>
        <w:rPr>
          <w:spacing w:val="-1"/>
        </w:rPr>
        <w:t>control,</w:t>
      </w:r>
      <w:r>
        <w:rPr>
          <w:spacing w:val="-7"/>
        </w:rPr>
        <w:t xml:space="preserve"> </w:t>
      </w:r>
      <w:r>
        <w:t xml:space="preserve">and to </w:t>
      </w:r>
      <w:r>
        <w:rPr>
          <w:spacing w:val="-1"/>
        </w:rPr>
        <w:t>deal</w:t>
      </w:r>
      <w:r>
        <w:t xml:space="preserve"> with</w:t>
      </w:r>
      <w:r>
        <w:rPr>
          <w:spacing w:val="21"/>
        </w:rPr>
        <w:t xml:space="preserve"> </w:t>
      </w:r>
      <w:r>
        <w:rPr>
          <w:spacing w:val="-1"/>
        </w:rPr>
        <w:t>demand-related</w:t>
      </w:r>
      <w:r>
        <w:t xml:space="preserve"> </w:t>
      </w:r>
      <w:r>
        <w:rPr>
          <w:spacing w:val="-1"/>
        </w:rPr>
        <w:t>risks</w:t>
      </w:r>
      <w:r>
        <w:t xml:space="preserve"> by adopting:</w:t>
      </w:r>
    </w:p>
    <w:p w:rsidR="00D96B91" w:rsidRDefault="00C2656B">
      <w:pPr>
        <w:pStyle w:val="BodyText"/>
        <w:numPr>
          <w:ilvl w:val="0"/>
          <w:numId w:val="131"/>
        </w:numPr>
        <w:tabs>
          <w:tab w:val="left" w:pos="1531"/>
        </w:tabs>
        <w:spacing w:before="170" w:line="260" w:lineRule="exact"/>
        <w:ind w:right="1711" w:hanging="283"/>
        <w:rPr>
          <w:rFonts w:cs="Avenir Next"/>
        </w:rPr>
      </w:pPr>
      <w:r>
        <w:t>the</w:t>
      </w:r>
      <w:r>
        <w:rPr>
          <w:spacing w:val="-1"/>
        </w:rPr>
        <w:t xml:space="preserve"> </w:t>
      </w:r>
      <w:r>
        <w:t xml:space="preserve">biennial </w:t>
      </w:r>
      <w:r>
        <w:rPr>
          <w:spacing w:val="-1"/>
        </w:rPr>
        <w:t>recalibration process</w:t>
      </w:r>
      <w:r>
        <w:t xml:space="preserve"> and allowing</w:t>
      </w:r>
      <w:r>
        <w:rPr>
          <w:spacing w:val="-1"/>
        </w:rPr>
        <w:t xml:space="preserve"> water</w:t>
      </w:r>
      <w:r>
        <w:t xml:space="preserve"> sales,</w:t>
      </w:r>
      <w:r>
        <w:rPr>
          <w:spacing w:val="-6"/>
        </w:rPr>
        <w:t xml:space="preserve"> </w:t>
      </w:r>
      <w:r>
        <w:t>customer</w:t>
      </w:r>
      <w:r>
        <w:rPr>
          <w:spacing w:val="-1"/>
        </w:rPr>
        <w:t xml:space="preserve"> </w:t>
      </w:r>
      <w:r>
        <w:t xml:space="preserve">and </w:t>
      </w:r>
      <w:r>
        <w:rPr>
          <w:spacing w:val="-1"/>
        </w:rPr>
        <w:t>fixture</w:t>
      </w:r>
      <w:r>
        <w:t xml:space="preserve"> numbers</w:t>
      </w:r>
      <w:r>
        <w:rPr>
          <w:spacing w:val="-1"/>
        </w:rPr>
        <w:t xml:space="preserve"> </w:t>
      </w:r>
      <w:r>
        <w:t>to be</w:t>
      </w:r>
      <w:r>
        <w:rPr>
          <w:spacing w:val="27"/>
        </w:rPr>
        <w:t xml:space="preserve"> </w:t>
      </w:r>
      <w:r>
        <w:rPr>
          <w:spacing w:val="-1"/>
        </w:rPr>
        <w:t>updated</w:t>
      </w:r>
      <w:r>
        <w:t xml:space="preserve"> every two </w:t>
      </w:r>
      <w:r>
        <w:rPr>
          <w:spacing w:val="-1"/>
        </w:rPr>
        <w:t>years,</w:t>
      </w:r>
      <w:r>
        <w:rPr>
          <w:spacing w:val="-7"/>
        </w:rPr>
        <w:t xml:space="preserve"> </w:t>
      </w:r>
      <w:r>
        <w:t>and</w:t>
      </w:r>
    </w:p>
    <w:p w:rsidR="00D96B91" w:rsidRDefault="00C2656B">
      <w:pPr>
        <w:pStyle w:val="BodyText"/>
        <w:numPr>
          <w:ilvl w:val="0"/>
          <w:numId w:val="131"/>
        </w:numPr>
        <w:tabs>
          <w:tab w:val="left" w:pos="1531"/>
        </w:tabs>
        <w:spacing w:before="85" w:line="260" w:lineRule="exact"/>
        <w:ind w:right="2230" w:hanging="283"/>
      </w:pPr>
      <w:r>
        <w:t xml:space="preserve">a </w:t>
      </w:r>
      <w:r>
        <w:rPr>
          <w:spacing w:val="-1"/>
        </w:rPr>
        <w:t>“conservative”</w:t>
      </w:r>
      <w:r>
        <w:rPr>
          <w:spacing w:val="-1"/>
          <w:position w:val="7"/>
          <w:sz w:val="11"/>
          <w:szCs w:val="11"/>
        </w:rPr>
        <w:t>46</w:t>
      </w:r>
      <w:r>
        <w:rPr>
          <w:spacing w:val="23"/>
          <w:position w:val="7"/>
          <w:sz w:val="11"/>
          <w:szCs w:val="11"/>
        </w:rPr>
        <w:t xml:space="preserve"> </w:t>
      </w:r>
      <w:r>
        <w:rPr>
          <w:spacing w:val="-1"/>
        </w:rPr>
        <w:t>forecast</w:t>
      </w:r>
      <w:r>
        <w:t xml:space="preserve"> for</w:t>
      </w:r>
      <w:r>
        <w:rPr>
          <w:spacing w:val="1"/>
        </w:rPr>
        <w:t xml:space="preserve"> </w:t>
      </w:r>
      <w:r>
        <w:rPr>
          <w:spacing w:val="-1"/>
        </w:rPr>
        <w:t>water</w:t>
      </w:r>
      <w:r>
        <w:t xml:space="preserve"> sales (38GL)</w:t>
      </w:r>
      <w:r>
        <w:rPr>
          <w:spacing w:val="1"/>
        </w:rPr>
        <w:t xml:space="preserve"> </w:t>
      </w:r>
      <w:r>
        <w:t xml:space="preserve">to </w:t>
      </w:r>
      <w:r>
        <w:rPr>
          <w:spacing w:val="-1"/>
        </w:rPr>
        <w:t>calculate</w:t>
      </w:r>
      <w:r>
        <w:rPr>
          <w:spacing w:val="1"/>
        </w:rPr>
        <w:t xml:space="preserve"> </w:t>
      </w:r>
      <w:r>
        <w:t>tier 1 and</w:t>
      </w:r>
      <w:r>
        <w:rPr>
          <w:spacing w:val="1"/>
        </w:rPr>
        <w:t xml:space="preserve"> </w:t>
      </w:r>
      <w:r>
        <w:t>tier 2</w:t>
      </w:r>
      <w:r>
        <w:rPr>
          <w:spacing w:val="1"/>
        </w:rPr>
        <w:t xml:space="preserve"> </w:t>
      </w:r>
      <w:r>
        <w:t>prices for the</w:t>
      </w:r>
      <w:r>
        <w:rPr>
          <w:spacing w:val="37"/>
        </w:rPr>
        <w:t xml:space="preserve"> </w:t>
      </w:r>
      <w:r>
        <w:t xml:space="preserve">volumetric </w:t>
      </w:r>
      <w:r>
        <w:rPr>
          <w:spacing w:val="-1"/>
        </w:rPr>
        <w:t>water</w:t>
      </w:r>
      <w:r>
        <w:t xml:space="preserve"> </w:t>
      </w:r>
      <w:r>
        <w:rPr>
          <w:spacing w:val="-1"/>
        </w:rPr>
        <w:t>charges.</w:t>
      </w:r>
    </w:p>
    <w:p w:rsidR="00D96B91" w:rsidRDefault="00D96B91">
      <w:pPr>
        <w:spacing w:before="3"/>
        <w:rPr>
          <w:rFonts w:ascii="Avenir Next" w:eastAsia="Avenir Next" w:hAnsi="Avenir Next" w:cs="Avenir Next"/>
          <w:sz w:val="14"/>
          <w:szCs w:val="14"/>
        </w:rPr>
      </w:pPr>
    </w:p>
    <w:p w:rsidR="00D96B91" w:rsidRDefault="00C2656B">
      <w:pPr>
        <w:pStyle w:val="Heading6"/>
        <w:numPr>
          <w:ilvl w:val="2"/>
          <w:numId w:val="97"/>
        </w:numPr>
        <w:tabs>
          <w:tab w:val="left" w:pos="2098"/>
        </w:tabs>
        <w:ind w:hanging="850"/>
      </w:pPr>
      <w:r>
        <w:rPr>
          <w:color w:val="0778BE"/>
          <w:spacing w:val="-3"/>
        </w:rPr>
        <w:t>ACTEW’s</w:t>
      </w:r>
      <w:r>
        <w:rPr>
          <w:color w:val="0778BE"/>
        </w:rPr>
        <w:t xml:space="preserve"> SOFC</w:t>
      </w:r>
    </w:p>
    <w:p w:rsidR="00D96B91" w:rsidRDefault="00C2656B">
      <w:pPr>
        <w:pStyle w:val="BodyText"/>
        <w:spacing w:before="21" w:line="260" w:lineRule="exact"/>
        <w:ind w:right="1256"/>
        <w:rPr>
          <w:sz w:val="11"/>
          <w:szCs w:val="11"/>
        </w:rPr>
      </w:pPr>
      <w:r>
        <w:t>In its SOFC,</w:t>
      </w:r>
      <w:r>
        <w:rPr>
          <w:spacing w:val="-10"/>
        </w:rPr>
        <w:t xml:space="preserve"> </w:t>
      </w:r>
      <w:r>
        <w:rPr>
          <w:spacing w:val="-2"/>
        </w:rPr>
        <w:t>ACTEW</w:t>
      </w:r>
      <w:r>
        <w:rPr>
          <w:spacing w:val="-3"/>
        </w:rPr>
        <w:t xml:space="preserve"> </w:t>
      </w:r>
      <w:r>
        <w:rPr>
          <w:spacing w:val="-1"/>
        </w:rPr>
        <w:t>proposed</w:t>
      </w:r>
      <w:r>
        <w:t xml:space="preserve"> the adoption of</w:t>
      </w:r>
      <w:r>
        <w:rPr>
          <w:spacing w:val="4"/>
        </w:rPr>
        <w:t xml:space="preserve"> </w:t>
      </w:r>
      <w:r>
        <w:t xml:space="preserve">a </w:t>
      </w:r>
      <w:r>
        <w:rPr>
          <w:spacing w:val="-1"/>
        </w:rPr>
        <w:t>pure</w:t>
      </w:r>
      <w:r>
        <w:t xml:space="preserve"> </w:t>
      </w:r>
      <w:r>
        <w:rPr>
          <w:spacing w:val="-1"/>
        </w:rPr>
        <w:t>revenue</w:t>
      </w:r>
      <w:r>
        <w:t xml:space="preserve"> cap form of</w:t>
      </w:r>
      <w:r>
        <w:rPr>
          <w:spacing w:val="4"/>
        </w:rPr>
        <w:t xml:space="preserve"> </w:t>
      </w:r>
      <w:r>
        <w:rPr>
          <w:spacing w:val="-1"/>
        </w:rPr>
        <w:t>control</w:t>
      </w:r>
      <w:r>
        <w:t xml:space="preserve"> with an ‘unders and</w:t>
      </w:r>
      <w:r>
        <w:rPr>
          <w:spacing w:val="29"/>
        </w:rPr>
        <w:t xml:space="preserve"> </w:t>
      </w:r>
      <w:r>
        <w:rPr>
          <w:rFonts w:cs="Avenir Next"/>
        </w:rPr>
        <w:t>overs’ mechanism</w:t>
      </w:r>
      <w:r>
        <w:rPr>
          <w:rFonts w:cs="Avenir Next"/>
          <w:spacing w:val="1"/>
        </w:rPr>
        <w:t xml:space="preserve"> </w:t>
      </w:r>
      <w:r>
        <w:rPr>
          <w:rFonts w:cs="Avenir Next"/>
        </w:rPr>
        <w:t>and noted</w:t>
      </w:r>
      <w:r>
        <w:rPr>
          <w:rFonts w:cs="Avenir Next"/>
          <w:spacing w:val="1"/>
        </w:rPr>
        <w:t xml:space="preserve"> </w:t>
      </w:r>
      <w:r>
        <w:rPr>
          <w:rFonts w:cs="Avenir Next"/>
          <w:spacing w:val="-1"/>
        </w:rPr>
        <w:t>that</w:t>
      </w:r>
      <w:r>
        <w:rPr>
          <w:rFonts w:cs="Avenir Next"/>
          <w:spacing w:val="1"/>
        </w:rPr>
        <w:t xml:space="preserve"> </w:t>
      </w:r>
      <w:r>
        <w:rPr>
          <w:rFonts w:cs="Avenir Next"/>
        </w:rPr>
        <w:t>the use</w:t>
      </w:r>
      <w:r>
        <w:rPr>
          <w:rFonts w:cs="Avenir Next"/>
          <w:spacing w:val="1"/>
        </w:rPr>
        <w:t xml:space="preserve"> </w:t>
      </w:r>
      <w:r>
        <w:rPr>
          <w:rFonts w:cs="Avenir Next"/>
        </w:rPr>
        <w:t>of</w:t>
      </w:r>
      <w:r>
        <w:rPr>
          <w:rFonts w:cs="Avenir Next"/>
          <w:spacing w:val="5"/>
        </w:rPr>
        <w:t xml:space="preserve"> </w:t>
      </w:r>
      <w:r>
        <w:rPr>
          <w:rFonts w:cs="Avenir Next"/>
        </w:rPr>
        <w:t>this form</w:t>
      </w:r>
      <w:r>
        <w:rPr>
          <w:rFonts w:cs="Avenir Next"/>
          <w:spacing w:val="1"/>
        </w:rPr>
        <w:t xml:space="preserve"> </w:t>
      </w:r>
      <w:r>
        <w:rPr>
          <w:rFonts w:cs="Avenir Next"/>
        </w:rPr>
        <w:t>of</w:t>
      </w:r>
      <w:r>
        <w:rPr>
          <w:rFonts w:cs="Avenir Next"/>
          <w:spacing w:val="5"/>
        </w:rPr>
        <w:t xml:space="preserve"> </w:t>
      </w:r>
      <w:r>
        <w:rPr>
          <w:rFonts w:cs="Avenir Next"/>
          <w:spacing w:val="-1"/>
        </w:rPr>
        <w:t>control</w:t>
      </w:r>
      <w:r>
        <w:rPr>
          <w:rFonts w:cs="Avenir Next"/>
        </w:rPr>
        <w:t xml:space="preserve"> would:</w:t>
      </w:r>
      <w:r>
        <w:rPr>
          <w:position w:val="7"/>
          <w:sz w:val="11"/>
          <w:szCs w:val="11"/>
        </w:rPr>
        <w:t>47</w:t>
      </w:r>
    </w:p>
    <w:p w:rsidR="00D96B91" w:rsidRDefault="00C2656B">
      <w:pPr>
        <w:pStyle w:val="BodyText"/>
        <w:spacing w:before="170" w:line="260" w:lineRule="exact"/>
        <w:ind w:right="1585"/>
      </w:pPr>
      <w:r>
        <w:rPr>
          <w:spacing w:val="-3"/>
        </w:rPr>
        <w:t>“…replace</w:t>
      </w:r>
      <w:r>
        <w:t xml:space="preserve"> the </w:t>
      </w:r>
      <w:r>
        <w:rPr>
          <w:spacing w:val="-1"/>
        </w:rPr>
        <w:t>uncertainty</w:t>
      </w:r>
      <w:r>
        <w:t xml:space="preserve"> of</w:t>
      </w:r>
      <w:r>
        <w:rPr>
          <w:spacing w:val="4"/>
        </w:rPr>
        <w:t xml:space="preserve"> </w:t>
      </w:r>
      <w:r>
        <w:rPr>
          <w:spacing w:val="-1"/>
        </w:rPr>
        <w:t>large</w:t>
      </w:r>
      <w:r>
        <w:t xml:space="preserve"> period-to-period bill impacts </w:t>
      </w:r>
      <w:r>
        <w:rPr>
          <w:spacing w:val="-1"/>
        </w:rPr>
        <w:t>(from</w:t>
      </w:r>
      <w:r>
        <w:t xml:space="preserve"> </w:t>
      </w:r>
      <w:r>
        <w:rPr>
          <w:spacing w:val="-1"/>
        </w:rPr>
        <w:t>revenue</w:t>
      </w:r>
      <w:r>
        <w:t xml:space="preserve"> </w:t>
      </w:r>
      <w:r>
        <w:rPr>
          <w:spacing w:val="-1"/>
        </w:rPr>
        <w:t>pass-through)</w:t>
      </w:r>
      <w:r>
        <w:t xml:space="preserve"> with</w:t>
      </w:r>
      <w:r>
        <w:rPr>
          <w:spacing w:val="55"/>
        </w:rPr>
        <w:t xml:space="preserve"> </w:t>
      </w:r>
      <w:r>
        <w:rPr>
          <w:rFonts w:cs="Avenir Next"/>
        </w:rPr>
        <w:t xml:space="preserve">the lesser </w:t>
      </w:r>
      <w:r>
        <w:rPr>
          <w:rFonts w:cs="Avenir Next"/>
          <w:spacing w:val="-1"/>
        </w:rPr>
        <w:t>uncertainty</w:t>
      </w:r>
      <w:r>
        <w:rPr>
          <w:rFonts w:cs="Avenir Next"/>
        </w:rPr>
        <w:t xml:space="preserve"> of</w:t>
      </w:r>
      <w:r>
        <w:rPr>
          <w:rFonts w:cs="Avenir Next"/>
          <w:spacing w:val="4"/>
        </w:rPr>
        <w:t xml:space="preserve"> </w:t>
      </w:r>
      <w:r>
        <w:rPr>
          <w:rFonts w:cs="Avenir Next"/>
        </w:rPr>
        <w:t xml:space="preserve">smaller </w:t>
      </w:r>
      <w:r>
        <w:rPr>
          <w:rFonts w:cs="Avenir Next"/>
          <w:spacing w:val="-1"/>
        </w:rPr>
        <w:t>year</w:t>
      </w:r>
      <w:r>
        <w:rPr>
          <w:rFonts w:cs="Avenir Next"/>
        </w:rPr>
        <w:t xml:space="preserve"> to </w:t>
      </w:r>
      <w:r>
        <w:rPr>
          <w:rFonts w:cs="Avenir Next"/>
          <w:spacing w:val="-1"/>
        </w:rPr>
        <w:t>year</w:t>
      </w:r>
      <w:r>
        <w:rPr>
          <w:rFonts w:cs="Avenir Next"/>
        </w:rPr>
        <w:t xml:space="preserve"> bill impacts,</w:t>
      </w:r>
      <w:r>
        <w:rPr>
          <w:rFonts w:cs="Avenir Next"/>
          <w:spacing w:val="-7"/>
        </w:rPr>
        <w:t xml:space="preserve"> </w:t>
      </w:r>
      <w:r>
        <w:rPr>
          <w:rFonts w:cs="Avenir Next"/>
        </w:rPr>
        <w:t xml:space="preserve">while </w:t>
      </w:r>
      <w:r>
        <w:rPr>
          <w:rFonts w:cs="Avenir Next"/>
          <w:spacing w:val="-1"/>
        </w:rPr>
        <w:t>increasing</w:t>
      </w:r>
      <w:r>
        <w:rPr>
          <w:rFonts w:cs="Avenir Next"/>
        </w:rPr>
        <w:t xml:space="preserve"> the </w:t>
      </w:r>
      <w:r>
        <w:rPr>
          <w:rFonts w:cs="Avenir Next"/>
          <w:spacing w:val="-1"/>
        </w:rPr>
        <w:t>accuracy</w:t>
      </w:r>
      <w:r>
        <w:rPr>
          <w:rFonts w:cs="Avenir Next"/>
        </w:rPr>
        <w:t xml:space="preserve"> between the</w:t>
      </w:r>
      <w:r>
        <w:rPr>
          <w:rFonts w:cs="Avenir Next"/>
          <w:spacing w:val="43"/>
        </w:rPr>
        <w:t xml:space="preserve"> </w:t>
      </w:r>
      <w:r>
        <w:rPr>
          <w:spacing w:val="-1"/>
        </w:rPr>
        <w:t>matching</w:t>
      </w:r>
      <w:r>
        <w:t xml:space="preserve"> of</w:t>
      </w:r>
      <w:r>
        <w:rPr>
          <w:spacing w:val="4"/>
        </w:rPr>
        <w:t xml:space="preserve"> </w:t>
      </w:r>
      <w:r>
        <w:rPr>
          <w:spacing w:val="-1"/>
        </w:rPr>
        <w:t>revenues</w:t>
      </w:r>
      <w:r>
        <w:t xml:space="preserve"> and costs over </w:t>
      </w:r>
      <w:r>
        <w:rPr>
          <w:spacing w:val="-3"/>
        </w:rPr>
        <w:t>time.”</w:t>
      </w:r>
    </w:p>
    <w:p w:rsidR="00D96B91" w:rsidRDefault="00C2656B">
      <w:pPr>
        <w:pStyle w:val="BodyText"/>
        <w:spacing w:before="170" w:line="260" w:lineRule="exact"/>
        <w:ind w:right="1283"/>
        <w:rPr>
          <w:sz w:val="11"/>
          <w:szCs w:val="11"/>
        </w:rPr>
      </w:pPr>
      <w:r>
        <w:rPr>
          <w:spacing w:val="-2"/>
        </w:rPr>
        <w:t>ACTEW</w:t>
      </w:r>
      <w:r>
        <w:rPr>
          <w:spacing w:val="-3"/>
        </w:rPr>
        <w:t xml:space="preserve"> </w:t>
      </w:r>
      <w:r>
        <w:t xml:space="preserve">also </w:t>
      </w:r>
      <w:r>
        <w:rPr>
          <w:spacing w:val="-1"/>
        </w:rPr>
        <w:t>proposed</w:t>
      </w:r>
      <w:r>
        <w:t xml:space="preserve"> </w:t>
      </w:r>
      <w:r>
        <w:rPr>
          <w:spacing w:val="-1"/>
        </w:rPr>
        <w:t>that</w:t>
      </w:r>
      <w:r>
        <w:t xml:space="preserve"> </w:t>
      </w:r>
      <w:r>
        <w:rPr>
          <w:spacing w:val="-1"/>
        </w:rPr>
        <w:t>demand-related</w:t>
      </w:r>
      <w:r>
        <w:t xml:space="preserve"> </w:t>
      </w:r>
      <w:r>
        <w:rPr>
          <w:spacing w:val="-1"/>
        </w:rPr>
        <w:t>risks</w:t>
      </w:r>
      <w:r>
        <w:t xml:space="preserve"> be </w:t>
      </w:r>
      <w:r>
        <w:rPr>
          <w:spacing w:val="-1"/>
        </w:rPr>
        <w:t>dealt</w:t>
      </w:r>
      <w:r>
        <w:t xml:space="preserve"> with using an </w:t>
      </w:r>
      <w:r>
        <w:rPr>
          <w:spacing w:val="-1"/>
        </w:rPr>
        <w:t>“adaptive</w:t>
      </w:r>
      <w:r>
        <w:t xml:space="preserve"> </w:t>
      </w:r>
      <w:r>
        <w:rPr>
          <w:spacing w:val="-1"/>
        </w:rPr>
        <w:t>approach”</w:t>
      </w:r>
      <w:r>
        <w:t xml:space="preserve"> to</w:t>
      </w:r>
      <w:r>
        <w:rPr>
          <w:spacing w:val="65"/>
        </w:rPr>
        <w:t xml:space="preserve"> </w:t>
      </w:r>
      <w:r>
        <w:rPr>
          <w:spacing w:val="-1"/>
        </w:rPr>
        <w:t>estimating</w:t>
      </w:r>
      <w:r>
        <w:t xml:space="preserve"> demand,</w:t>
      </w:r>
      <w:r>
        <w:rPr>
          <w:spacing w:val="-6"/>
        </w:rPr>
        <w:t xml:space="preserve"> </w:t>
      </w:r>
      <w:r>
        <w:t xml:space="preserve">with annual </w:t>
      </w:r>
      <w:r>
        <w:rPr>
          <w:spacing w:val="-1"/>
        </w:rPr>
        <w:t>updates</w:t>
      </w:r>
      <w:r>
        <w:rPr>
          <w:spacing w:val="1"/>
        </w:rPr>
        <w:t xml:space="preserve"> </w:t>
      </w:r>
      <w:r>
        <w:t>to prices carried out</w:t>
      </w:r>
      <w:r>
        <w:rPr>
          <w:spacing w:val="1"/>
        </w:rPr>
        <w:t xml:space="preserve"> </w:t>
      </w:r>
      <w:r>
        <w:t xml:space="preserve">to </w:t>
      </w:r>
      <w:r>
        <w:rPr>
          <w:spacing w:val="-1"/>
        </w:rPr>
        <w:t>reflect</w:t>
      </w:r>
      <w:r>
        <w:t xml:space="preserve"> </w:t>
      </w:r>
      <w:r>
        <w:rPr>
          <w:spacing w:val="-1"/>
        </w:rPr>
        <w:t>updated:</w:t>
      </w:r>
      <w:r>
        <w:rPr>
          <w:spacing w:val="-1"/>
          <w:position w:val="7"/>
          <w:sz w:val="11"/>
          <w:szCs w:val="11"/>
        </w:rPr>
        <w:t>48</w:t>
      </w:r>
    </w:p>
    <w:p w:rsidR="00D96B91" w:rsidRDefault="00C2656B">
      <w:pPr>
        <w:pStyle w:val="BodyText"/>
        <w:numPr>
          <w:ilvl w:val="0"/>
          <w:numId w:val="131"/>
        </w:numPr>
        <w:tabs>
          <w:tab w:val="left" w:pos="1531"/>
        </w:tabs>
        <w:spacing w:before="178"/>
        <w:ind w:hanging="283"/>
      </w:pPr>
      <w:r>
        <w:rPr>
          <w:spacing w:val="-1"/>
        </w:rPr>
        <w:t>water</w:t>
      </w:r>
      <w:r>
        <w:t xml:space="preserve"> sales </w:t>
      </w:r>
      <w:r>
        <w:rPr>
          <w:spacing w:val="-1"/>
        </w:rPr>
        <w:t>forecasts</w:t>
      </w:r>
      <w:r>
        <w:t xml:space="preserve"> </w:t>
      </w:r>
      <w:r>
        <w:rPr>
          <w:spacing w:val="-1"/>
        </w:rPr>
        <w:t>estimated</w:t>
      </w:r>
      <w:r>
        <w:t xml:space="preserve"> using the </w:t>
      </w:r>
      <w:r>
        <w:rPr>
          <w:spacing w:val="-2"/>
        </w:rPr>
        <w:t>Breusch-Ward</w:t>
      </w:r>
      <w:r>
        <w:t xml:space="preserve"> model,</w:t>
      </w:r>
      <w:r>
        <w:rPr>
          <w:spacing w:val="-6"/>
        </w:rPr>
        <w:t xml:space="preserve"> </w:t>
      </w:r>
      <w:r>
        <w:t>and</w:t>
      </w:r>
    </w:p>
    <w:p w:rsidR="00D96B91" w:rsidRDefault="00C2656B">
      <w:pPr>
        <w:pStyle w:val="BodyText"/>
        <w:numPr>
          <w:ilvl w:val="0"/>
          <w:numId w:val="131"/>
        </w:numPr>
        <w:tabs>
          <w:tab w:val="left" w:pos="1531"/>
        </w:tabs>
        <w:spacing w:before="72"/>
        <w:ind w:hanging="283"/>
      </w:pPr>
      <w:r>
        <w:t>customer</w:t>
      </w:r>
      <w:r>
        <w:rPr>
          <w:spacing w:val="-2"/>
        </w:rPr>
        <w:t xml:space="preserve"> </w:t>
      </w:r>
      <w:r>
        <w:t>and</w:t>
      </w:r>
      <w:r>
        <w:rPr>
          <w:spacing w:val="-1"/>
        </w:rPr>
        <w:t xml:space="preserve"> fixture </w:t>
      </w:r>
      <w:r>
        <w:t>number</w:t>
      </w:r>
      <w:r>
        <w:rPr>
          <w:spacing w:val="-1"/>
        </w:rPr>
        <w:t xml:space="preserve"> forecasts.</w:t>
      </w:r>
    </w:p>
    <w:p w:rsidR="00D96B91" w:rsidRDefault="00C2656B">
      <w:pPr>
        <w:pStyle w:val="Heading6"/>
        <w:numPr>
          <w:ilvl w:val="2"/>
          <w:numId w:val="97"/>
        </w:numPr>
        <w:tabs>
          <w:tab w:val="left" w:pos="2098"/>
        </w:tabs>
        <w:spacing w:before="173"/>
        <w:ind w:hanging="850"/>
      </w:pPr>
      <w:r>
        <w:rPr>
          <w:color w:val="0778BE"/>
          <w:spacing w:val="-4"/>
        </w:rPr>
        <w:t>Panel’s</w:t>
      </w:r>
      <w:r>
        <w:rPr>
          <w:color w:val="0778BE"/>
        </w:rPr>
        <w:t xml:space="preserve"> </w:t>
      </w:r>
      <w:bookmarkStart w:id="63" w:name="_bookmark35"/>
      <w:bookmarkEnd w:id="63"/>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548"/>
        <w:rPr>
          <w:rFonts w:cs="Avenir Next"/>
        </w:rPr>
      </w:pPr>
      <w:r>
        <w:rPr>
          <w:spacing w:val="-10"/>
        </w:rPr>
        <w:t>To</w:t>
      </w:r>
      <w:r>
        <w:t xml:space="preserve"> determine </w:t>
      </w:r>
      <w:r>
        <w:rPr>
          <w:spacing w:val="-1"/>
        </w:rPr>
        <w:t>what</w:t>
      </w:r>
      <w:r>
        <w:t xml:space="preserve"> form of</w:t>
      </w:r>
      <w:r>
        <w:rPr>
          <w:spacing w:val="4"/>
        </w:rPr>
        <w:t xml:space="preserve"> </w:t>
      </w:r>
      <w:r>
        <w:rPr>
          <w:spacing w:val="-1"/>
        </w:rPr>
        <w:t>control</w:t>
      </w:r>
      <w:r>
        <w:t xml:space="preserve"> and other demand </w:t>
      </w:r>
      <w:r>
        <w:rPr>
          <w:spacing w:val="-1"/>
        </w:rPr>
        <w:t>related</w:t>
      </w:r>
      <w:r>
        <w:t xml:space="preserve"> risk </w:t>
      </w:r>
      <w:r>
        <w:rPr>
          <w:spacing w:val="-1"/>
        </w:rPr>
        <w:t>mitigation</w:t>
      </w:r>
      <w:r>
        <w:t xml:space="preserve"> </w:t>
      </w:r>
      <w:r>
        <w:rPr>
          <w:spacing w:val="-1"/>
        </w:rPr>
        <w:t>measures</w:t>
      </w:r>
      <w:r>
        <w:t xml:space="preserve"> should be</w:t>
      </w:r>
      <w:r>
        <w:rPr>
          <w:spacing w:val="31"/>
        </w:rPr>
        <w:t xml:space="preserve"> </w:t>
      </w:r>
      <w:r>
        <w:t xml:space="preserve">employed in this </w:t>
      </w:r>
      <w:r>
        <w:rPr>
          <w:spacing w:val="-1"/>
        </w:rPr>
        <w:t>regulatory</w:t>
      </w:r>
      <w:r>
        <w:t xml:space="preserve"> period,</w:t>
      </w:r>
      <w:r>
        <w:rPr>
          <w:spacing w:val="-6"/>
        </w:rPr>
        <w:t xml:space="preserve"> </w:t>
      </w:r>
      <w:r>
        <w:t xml:space="preserve">the </w:t>
      </w:r>
      <w:r>
        <w:rPr>
          <w:spacing w:val="-3"/>
        </w:rPr>
        <w:t>Panel</w:t>
      </w:r>
      <w:r>
        <w:t xml:space="preserve"> </w:t>
      </w:r>
      <w:r>
        <w:rPr>
          <w:spacing w:val="-1"/>
        </w:rPr>
        <w:t>carefully</w:t>
      </w:r>
      <w:r>
        <w:t xml:space="preserve"> </w:t>
      </w:r>
      <w:r>
        <w:rPr>
          <w:spacing w:val="-1"/>
        </w:rPr>
        <w:t>examined:</w:t>
      </w:r>
    </w:p>
    <w:p w:rsidR="00D96B91" w:rsidRDefault="00C2656B">
      <w:pPr>
        <w:pStyle w:val="BodyText"/>
        <w:numPr>
          <w:ilvl w:val="0"/>
          <w:numId w:val="131"/>
        </w:numPr>
        <w:tabs>
          <w:tab w:val="left" w:pos="1531"/>
        </w:tabs>
        <w:spacing w:before="170" w:line="260" w:lineRule="exact"/>
        <w:ind w:right="1605" w:hanging="283"/>
      </w:pPr>
      <w:r>
        <w:t xml:space="preserve">the </w:t>
      </w:r>
      <w:r>
        <w:rPr>
          <w:spacing w:val="-1"/>
        </w:rPr>
        <w:t>nature</w:t>
      </w:r>
      <w:r>
        <w:t xml:space="preserve"> of</w:t>
      </w:r>
      <w:r>
        <w:rPr>
          <w:spacing w:val="4"/>
        </w:rPr>
        <w:t xml:space="preserve"> </w:t>
      </w:r>
      <w:r>
        <w:t xml:space="preserve">the </w:t>
      </w:r>
      <w:r>
        <w:rPr>
          <w:spacing w:val="-1"/>
        </w:rPr>
        <w:t>demand-related</w:t>
      </w:r>
      <w:r>
        <w:t xml:space="preserve"> </w:t>
      </w:r>
      <w:r>
        <w:rPr>
          <w:spacing w:val="-1"/>
        </w:rPr>
        <w:t>risks</w:t>
      </w:r>
      <w:r>
        <w:t xml:space="preserve"> </w:t>
      </w:r>
      <w:r>
        <w:rPr>
          <w:spacing w:val="-1"/>
        </w:rPr>
        <w:t>that</w:t>
      </w:r>
      <w:r>
        <w:rPr>
          <w:spacing w:val="-4"/>
        </w:rPr>
        <w:t xml:space="preserve"> </w:t>
      </w:r>
      <w:r>
        <w:rPr>
          <w:spacing w:val="-2"/>
        </w:rPr>
        <w:t>ACTEW</w:t>
      </w:r>
      <w:r>
        <w:rPr>
          <w:spacing w:val="-3"/>
        </w:rPr>
        <w:t xml:space="preserve"> </w:t>
      </w:r>
      <w:r>
        <w:t xml:space="preserve">and its customers </w:t>
      </w:r>
      <w:r>
        <w:rPr>
          <w:spacing w:val="-2"/>
        </w:rPr>
        <w:t>are</w:t>
      </w:r>
      <w:r>
        <w:t xml:space="preserve"> </w:t>
      </w:r>
      <w:r>
        <w:rPr>
          <w:spacing w:val="-1"/>
        </w:rPr>
        <w:t>expected</w:t>
      </w:r>
      <w:r>
        <w:t xml:space="preserve"> to face in this</w:t>
      </w:r>
      <w:r>
        <w:rPr>
          <w:spacing w:val="51"/>
        </w:rPr>
        <w:t xml:space="preserve"> </w:t>
      </w:r>
      <w:r>
        <w:rPr>
          <w:spacing w:val="-1"/>
        </w:rPr>
        <w:t>regulatory</w:t>
      </w:r>
      <w:r>
        <w:t xml:space="preserve"> period (see section </w:t>
      </w:r>
      <w:hyperlink w:anchor="_bookmark31" w:history="1">
        <w:r>
          <w:t>6.2.2</w:t>
        </w:r>
      </w:hyperlink>
      <w:r>
        <w:t>)</w:t>
      </w:r>
    </w:p>
    <w:p w:rsidR="00D96B91" w:rsidRDefault="00C2656B">
      <w:pPr>
        <w:pStyle w:val="BodyText"/>
        <w:numPr>
          <w:ilvl w:val="0"/>
          <w:numId w:val="131"/>
        </w:numPr>
        <w:tabs>
          <w:tab w:val="left" w:pos="1531"/>
        </w:tabs>
        <w:spacing w:before="85" w:line="260" w:lineRule="exact"/>
        <w:ind w:right="1384" w:hanging="283"/>
        <w:rPr>
          <w:rFonts w:cs="Avenir Next"/>
        </w:rPr>
      </w:pPr>
      <w:r>
        <w:t>the</w:t>
      </w:r>
      <w:r>
        <w:rPr>
          <w:spacing w:val="-1"/>
        </w:rPr>
        <w:t xml:space="preserve"> </w:t>
      </w:r>
      <w:r>
        <w:t>form of</w:t>
      </w:r>
      <w:r>
        <w:rPr>
          <w:spacing w:val="4"/>
        </w:rPr>
        <w:t xml:space="preserve"> </w:t>
      </w:r>
      <w:r>
        <w:rPr>
          <w:spacing w:val="-1"/>
        </w:rPr>
        <w:t>control</w:t>
      </w:r>
      <w:r>
        <w:t xml:space="preserve"> and</w:t>
      </w:r>
      <w:r>
        <w:rPr>
          <w:spacing w:val="-1"/>
        </w:rPr>
        <w:t xml:space="preserve"> </w:t>
      </w:r>
      <w:r>
        <w:t xml:space="preserve">other risk </w:t>
      </w:r>
      <w:r>
        <w:rPr>
          <w:spacing w:val="-1"/>
        </w:rPr>
        <w:t>mitigation</w:t>
      </w:r>
      <w:r>
        <w:t xml:space="preserve"> </w:t>
      </w:r>
      <w:r>
        <w:rPr>
          <w:spacing w:val="-1"/>
        </w:rPr>
        <w:t xml:space="preserve">measures </w:t>
      </w:r>
      <w:r>
        <w:t>adopted by the ICRC in</w:t>
      </w:r>
      <w:r>
        <w:rPr>
          <w:spacing w:val="-1"/>
        </w:rPr>
        <w:t xml:space="preserve"> </w:t>
      </w:r>
      <w:r>
        <w:t>its final decision and</w:t>
      </w:r>
      <w:r>
        <w:rPr>
          <w:spacing w:val="25"/>
        </w:rPr>
        <w:t xml:space="preserve"> </w:t>
      </w:r>
      <w:r>
        <w:t xml:space="preserve">the </w:t>
      </w:r>
      <w:r>
        <w:rPr>
          <w:spacing w:val="-1"/>
        </w:rPr>
        <w:t>alternative</w:t>
      </w:r>
      <w:r>
        <w:t xml:space="preserve"> </w:t>
      </w:r>
      <w:r>
        <w:rPr>
          <w:spacing w:val="-1"/>
        </w:rPr>
        <w:t>measures</w:t>
      </w:r>
      <w:r>
        <w:t xml:space="preserve"> </w:t>
      </w:r>
      <w:r>
        <w:rPr>
          <w:spacing w:val="-1"/>
        </w:rPr>
        <w:t>proposed</w:t>
      </w:r>
      <w:r>
        <w:t xml:space="preserve"> by</w:t>
      </w:r>
      <w:r>
        <w:rPr>
          <w:spacing w:val="-4"/>
        </w:rPr>
        <w:t xml:space="preserve"> ACTEW,</w:t>
      </w:r>
      <w:r>
        <w:rPr>
          <w:spacing w:val="-6"/>
        </w:rPr>
        <w:t xml:space="preserve"> </w:t>
      </w:r>
      <w:r>
        <w:t>and</w:t>
      </w:r>
    </w:p>
    <w:p w:rsidR="00D96B91" w:rsidRDefault="00C2656B">
      <w:pPr>
        <w:pStyle w:val="BodyText"/>
        <w:numPr>
          <w:ilvl w:val="0"/>
          <w:numId w:val="131"/>
        </w:numPr>
        <w:tabs>
          <w:tab w:val="left" w:pos="1531"/>
        </w:tabs>
        <w:spacing w:before="93"/>
        <w:ind w:hanging="283"/>
      </w:pPr>
      <w:r>
        <w:t xml:space="preserve">the </w:t>
      </w:r>
      <w:r>
        <w:rPr>
          <w:spacing w:val="-1"/>
        </w:rPr>
        <w:t>measures</w:t>
      </w:r>
      <w:r>
        <w:t xml:space="preserve"> employed by other</w:t>
      </w:r>
      <w:r>
        <w:rPr>
          <w:spacing w:val="-4"/>
        </w:rPr>
        <w:t xml:space="preserve"> </w:t>
      </w:r>
      <w:r>
        <w:rPr>
          <w:spacing w:val="-1"/>
        </w:rPr>
        <w:t>Australian</w:t>
      </w:r>
      <w:r>
        <w:t xml:space="preserve"> </w:t>
      </w:r>
      <w:r>
        <w:rPr>
          <w:spacing w:val="-1"/>
        </w:rPr>
        <w:t>regulators</w:t>
      </w:r>
      <w:r>
        <w:t xml:space="preserve"> when </w:t>
      </w:r>
      <w:r>
        <w:rPr>
          <w:spacing w:val="-1"/>
        </w:rPr>
        <w:t>dealing</w:t>
      </w:r>
      <w:r>
        <w:t xml:space="preserve"> with this type of</w:t>
      </w:r>
      <w:r>
        <w:rPr>
          <w:spacing w:val="4"/>
        </w:rPr>
        <w:t xml:space="preserve"> </w:t>
      </w:r>
      <w:r>
        <w:t>risk.</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56"/>
        <w:rPr>
          <w:rFonts w:cs="Avenir Next"/>
        </w:rPr>
      </w:pPr>
      <w:r>
        <w:t>Based</w:t>
      </w:r>
      <w:r>
        <w:rPr>
          <w:spacing w:val="-1"/>
        </w:rPr>
        <w:t xml:space="preserve"> </w:t>
      </w:r>
      <w:r>
        <w:t>on its</w:t>
      </w:r>
      <w:r>
        <w:rPr>
          <w:spacing w:val="-1"/>
        </w:rPr>
        <w:t xml:space="preserve"> </w:t>
      </w:r>
      <w:r>
        <w:t>findings,</w:t>
      </w:r>
      <w:r>
        <w:rPr>
          <w:spacing w:val="-7"/>
        </w:rPr>
        <w:t xml:space="preserve"> </w:t>
      </w:r>
      <w:r>
        <w:t>the</w:t>
      </w:r>
      <w:r>
        <w:rPr>
          <w:spacing w:val="-1"/>
        </w:rPr>
        <w:t xml:space="preserve"> </w:t>
      </w:r>
      <w:r>
        <w:rPr>
          <w:spacing w:val="-3"/>
        </w:rPr>
        <w:t>Panel</w:t>
      </w:r>
      <w:r>
        <w:t xml:space="preserve"> made the</w:t>
      </w:r>
      <w:r>
        <w:rPr>
          <w:spacing w:val="-1"/>
        </w:rPr>
        <w:t xml:space="preserve"> </w:t>
      </w:r>
      <w:r>
        <w:rPr>
          <w:spacing w:val="-2"/>
        </w:rPr>
        <w:t>draft</w:t>
      </w:r>
      <w:r>
        <w:t xml:space="preserve"> decision</w:t>
      </w:r>
      <w:r>
        <w:rPr>
          <w:spacing w:val="-1"/>
        </w:rPr>
        <w:t xml:space="preserve"> </w:t>
      </w:r>
      <w:r>
        <w:t>to adopt</w:t>
      </w:r>
      <w:r>
        <w:rPr>
          <w:spacing w:val="-1"/>
        </w:rPr>
        <w:t xml:space="preserve"> </w:t>
      </w:r>
      <w:r>
        <w:t>a hybrid</w:t>
      </w:r>
      <w:r>
        <w:rPr>
          <w:spacing w:val="-1"/>
        </w:rPr>
        <w:t xml:space="preserve"> </w:t>
      </w:r>
      <w:r>
        <w:t xml:space="preserve">price and </w:t>
      </w:r>
      <w:r>
        <w:rPr>
          <w:spacing w:val="-1"/>
        </w:rPr>
        <w:t xml:space="preserve">revenue </w:t>
      </w:r>
      <w:r>
        <w:t>cap form</w:t>
      </w:r>
      <w:r>
        <w:rPr>
          <w:spacing w:val="21"/>
        </w:rPr>
        <w:t xml:space="preserve"> </w:t>
      </w:r>
      <w:r>
        <w:t>of</w:t>
      </w:r>
      <w:r>
        <w:rPr>
          <w:spacing w:val="4"/>
        </w:rPr>
        <w:t xml:space="preserve"> </w:t>
      </w:r>
      <w:r>
        <w:rPr>
          <w:spacing w:val="-1"/>
        </w:rPr>
        <w:t>control,</w:t>
      </w:r>
      <w:r>
        <w:rPr>
          <w:spacing w:val="-6"/>
        </w:rPr>
        <w:t xml:space="preserve"> </w:t>
      </w:r>
      <w:r>
        <w:t>with:</w:t>
      </w:r>
    </w:p>
    <w:p w:rsidR="00D96B91" w:rsidRDefault="00C2656B">
      <w:pPr>
        <w:pStyle w:val="BodyText"/>
        <w:numPr>
          <w:ilvl w:val="0"/>
          <w:numId w:val="131"/>
        </w:numPr>
        <w:tabs>
          <w:tab w:val="left" w:pos="1531"/>
        </w:tabs>
        <w:spacing w:before="178"/>
        <w:ind w:hanging="283"/>
        <w:rPr>
          <w:rFonts w:cs="Avenir Next"/>
        </w:rPr>
      </w:pPr>
      <w:r>
        <w:t xml:space="preserve">individual price caps established for </w:t>
      </w:r>
      <w:r>
        <w:rPr>
          <w:spacing w:val="-1"/>
        </w:rPr>
        <w:t>water</w:t>
      </w:r>
      <w:r>
        <w:t xml:space="preserve"> and </w:t>
      </w:r>
      <w:r>
        <w:rPr>
          <w:spacing w:val="-1"/>
        </w:rPr>
        <w:t>sewerage</w:t>
      </w:r>
      <w:r>
        <w:t xml:space="preserve"> </w:t>
      </w:r>
      <w:r>
        <w:rPr>
          <w:spacing w:val="-1"/>
        </w:rPr>
        <w:t>charges,</w:t>
      </w:r>
      <w:r>
        <w:rPr>
          <w:spacing w:val="-6"/>
        </w:rPr>
        <w:t xml:space="preserve"> </w:t>
      </w:r>
      <w:r>
        <w:t>and</w:t>
      </w:r>
    </w:p>
    <w:p w:rsidR="00D96B91" w:rsidRDefault="00C2656B">
      <w:pPr>
        <w:pStyle w:val="BodyText"/>
        <w:numPr>
          <w:ilvl w:val="0"/>
          <w:numId w:val="131"/>
        </w:numPr>
        <w:tabs>
          <w:tab w:val="left" w:pos="1531"/>
        </w:tabs>
        <w:spacing w:before="64" w:line="260" w:lineRule="exact"/>
        <w:ind w:right="1312" w:hanging="283"/>
      </w:pPr>
      <w:r>
        <w:t xml:space="preserve">a demand </w:t>
      </w:r>
      <w:r>
        <w:rPr>
          <w:spacing w:val="-1"/>
        </w:rPr>
        <w:t>volatility</w:t>
      </w:r>
      <w:r>
        <w:t xml:space="preserve"> adjustment mechanism to be used to account for </w:t>
      </w:r>
      <w:r>
        <w:rPr>
          <w:spacing w:val="-1"/>
        </w:rPr>
        <w:t>deviations</w:t>
      </w:r>
      <w:r>
        <w:t xml:space="preserve"> between actual and</w:t>
      </w:r>
      <w:r>
        <w:rPr>
          <w:spacing w:val="29"/>
        </w:rPr>
        <w:t xml:space="preserve"> </w:t>
      </w:r>
      <w:r>
        <w:rPr>
          <w:spacing w:val="-1"/>
        </w:rPr>
        <w:t>forecast</w:t>
      </w:r>
      <w:r>
        <w:t xml:space="preserve"> volumetric </w:t>
      </w:r>
      <w:r>
        <w:rPr>
          <w:spacing w:val="-1"/>
        </w:rPr>
        <w:t>water</w:t>
      </w:r>
      <w:r>
        <w:t xml:space="preserve"> sales </w:t>
      </w:r>
      <w:r>
        <w:rPr>
          <w:spacing w:val="-1"/>
        </w:rPr>
        <w:t>revenue</w:t>
      </w:r>
      <w:r>
        <w:t xml:space="preserve"> in </w:t>
      </w:r>
      <w:r>
        <w:rPr>
          <w:spacing w:val="-1"/>
        </w:rPr>
        <w:t>excess</w:t>
      </w:r>
      <w:r>
        <w:t xml:space="preserve"> of</w:t>
      </w:r>
      <w:r>
        <w:rPr>
          <w:spacing w:val="4"/>
        </w:rPr>
        <w:t xml:space="preserve"> </w:t>
      </w:r>
      <w:r>
        <w:t xml:space="preserve">a 7% </w:t>
      </w:r>
      <w:r>
        <w:rPr>
          <w:spacing w:val="-1"/>
        </w:rPr>
        <w:t>deadband.</w:t>
      </w:r>
    </w:p>
    <w:p w:rsidR="00D96B91" w:rsidRDefault="00D96B91">
      <w:pPr>
        <w:spacing w:before="5"/>
        <w:rPr>
          <w:rFonts w:ascii="Avenir Next" w:eastAsia="Avenir Next" w:hAnsi="Avenir Next" w:cs="Avenir Next"/>
          <w:sz w:val="24"/>
          <w:szCs w:val="24"/>
        </w:rPr>
      </w:pPr>
    </w:p>
    <w:p w:rsidR="00D96B91" w:rsidRDefault="00C2656B">
      <w:pPr>
        <w:pStyle w:val="Heading7"/>
        <w:numPr>
          <w:ilvl w:val="3"/>
          <w:numId w:val="97"/>
        </w:numPr>
        <w:tabs>
          <w:tab w:val="left" w:pos="2212"/>
        </w:tabs>
        <w:ind w:firstLine="0"/>
        <w:rPr>
          <w:rFonts w:cs="Avenir Next"/>
          <w:b w:val="0"/>
          <w:bCs w:val="0"/>
        </w:rPr>
      </w:pPr>
      <w:bookmarkStart w:id="64" w:name="_bookmark36"/>
      <w:bookmarkEnd w:id="64"/>
      <w:r>
        <w:rPr>
          <w:rFonts w:cs="Avenir Next"/>
          <w:color w:val="0778BE"/>
        </w:rPr>
        <w:t>Assessment of</w:t>
      </w:r>
      <w:r>
        <w:rPr>
          <w:rFonts w:cs="Avenir Next"/>
          <w:color w:val="0778BE"/>
          <w:spacing w:val="5"/>
        </w:rPr>
        <w:t xml:space="preserve"> </w:t>
      </w:r>
      <w:r>
        <w:rPr>
          <w:rFonts w:cs="Avenir Next"/>
          <w:color w:val="0778BE"/>
        </w:rPr>
        <w:t xml:space="preserve">the </w:t>
      </w:r>
      <w:r>
        <w:rPr>
          <w:rFonts w:cs="Avenir Next"/>
          <w:color w:val="0778BE"/>
          <w:spacing w:val="-2"/>
        </w:rPr>
        <w:t>ICRC’s</w:t>
      </w:r>
      <w:r>
        <w:rPr>
          <w:rFonts w:cs="Avenir Next"/>
          <w:color w:val="0778BE"/>
        </w:rPr>
        <w:t xml:space="preserve"> final decision and</w:t>
      </w:r>
      <w:r>
        <w:rPr>
          <w:rFonts w:cs="Avenir Next"/>
          <w:color w:val="0778BE"/>
          <w:spacing w:val="-4"/>
        </w:rPr>
        <w:t xml:space="preserve"> </w:t>
      </w:r>
      <w:r>
        <w:rPr>
          <w:rFonts w:cs="Avenir Next"/>
          <w:color w:val="0778BE"/>
          <w:spacing w:val="-2"/>
        </w:rPr>
        <w:t>ACTEW’s</w:t>
      </w:r>
      <w:r>
        <w:rPr>
          <w:rFonts w:cs="Avenir Next"/>
          <w:color w:val="0778BE"/>
        </w:rPr>
        <w:t xml:space="preserve"> </w:t>
      </w:r>
      <w:r>
        <w:rPr>
          <w:rFonts w:cs="Avenir Next"/>
          <w:color w:val="0778BE"/>
          <w:spacing w:val="-1"/>
        </w:rPr>
        <w:t>proposals</w:t>
      </w:r>
    </w:p>
    <w:p w:rsidR="00D96B91" w:rsidRDefault="00C2656B">
      <w:pPr>
        <w:pStyle w:val="BodyText"/>
        <w:spacing w:before="28" w:line="260" w:lineRule="exact"/>
        <w:ind w:right="1246"/>
      </w:pPr>
      <w:r>
        <w:rPr>
          <w:spacing w:val="-10"/>
        </w:rPr>
        <w:t>To</w:t>
      </w:r>
      <w:r>
        <w:rPr>
          <w:spacing w:val="-1"/>
        </w:rPr>
        <w:t xml:space="preserve"> deal </w:t>
      </w:r>
      <w:r>
        <w:t>with</w:t>
      </w:r>
      <w:r>
        <w:rPr>
          <w:spacing w:val="-1"/>
        </w:rPr>
        <w:t xml:space="preserve"> </w:t>
      </w:r>
      <w:r>
        <w:t>the</w:t>
      </w:r>
      <w:r>
        <w:rPr>
          <w:spacing w:val="-1"/>
        </w:rPr>
        <w:t xml:space="preserve"> demand-related risks </w:t>
      </w:r>
      <w:r>
        <w:t>outlined</w:t>
      </w:r>
      <w:r>
        <w:rPr>
          <w:spacing w:val="-1"/>
        </w:rPr>
        <w:t xml:space="preserve"> </w:t>
      </w:r>
      <w:r>
        <w:t>above,</w:t>
      </w:r>
      <w:r>
        <w:rPr>
          <w:spacing w:val="-7"/>
        </w:rPr>
        <w:t xml:space="preserve"> </w:t>
      </w:r>
      <w:r>
        <w:t>the</w:t>
      </w:r>
      <w:r>
        <w:rPr>
          <w:spacing w:val="-1"/>
        </w:rPr>
        <w:t xml:space="preserve"> </w:t>
      </w:r>
      <w:r>
        <w:t>ICRC</w:t>
      </w:r>
      <w:r>
        <w:rPr>
          <w:spacing w:val="-1"/>
        </w:rPr>
        <w:t xml:space="preserve"> </w:t>
      </w:r>
      <w:r>
        <w:t>and</w:t>
      </w:r>
      <w:r>
        <w:rPr>
          <w:spacing w:val="-4"/>
        </w:rPr>
        <w:t xml:space="preserve"> </w:t>
      </w:r>
      <w:r>
        <w:rPr>
          <w:spacing w:val="-2"/>
        </w:rPr>
        <w:t>ACTEW</w:t>
      </w:r>
      <w:r>
        <w:rPr>
          <w:spacing w:val="-3"/>
        </w:rPr>
        <w:t xml:space="preserve"> </w:t>
      </w:r>
      <w:r>
        <w:t>opted</w:t>
      </w:r>
      <w:r>
        <w:rPr>
          <w:spacing w:val="-1"/>
        </w:rPr>
        <w:t xml:space="preserve"> </w:t>
      </w:r>
      <w:r>
        <w:t>for</w:t>
      </w:r>
      <w:r>
        <w:rPr>
          <w:spacing w:val="-1"/>
        </w:rPr>
        <w:t xml:space="preserve"> </w:t>
      </w:r>
      <w:r>
        <w:t>two</w:t>
      </w:r>
      <w:r>
        <w:rPr>
          <w:spacing w:val="-1"/>
        </w:rPr>
        <w:t xml:space="preserve"> </w:t>
      </w:r>
      <w:r>
        <w:t>quite</w:t>
      </w:r>
      <w:r>
        <w:rPr>
          <w:spacing w:val="-1"/>
        </w:rPr>
        <w:t xml:space="preserve"> </w:t>
      </w:r>
      <w:r>
        <w:t>distinct</w:t>
      </w:r>
      <w:r>
        <w:rPr>
          <w:spacing w:val="35"/>
        </w:rPr>
        <w:t xml:space="preserve"> </w:t>
      </w:r>
      <w:r>
        <w:rPr>
          <w:spacing w:val="-1"/>
        </w:rPr>
        <w:t>approaches.</w:t>
      </w:r>
      <w:r>
        <w:rPr>
          <w:spacing w:val="-6"/>
        </w:rPr>
        <w:t xml:space="preserve"> </w:t>
      </w:r>
      <w:r>
        <w:rPr>
          <w:spacing w:val="-4"/>
        </w:rPr>
        <w:t>For</w:t>
      </w:r>
      <w:r>
        <w:t xml:space="preserve"> </w:t>
      </w:r>
      <w:r>
        <w:rPr>
          <w:spacing w:val="-1"/>
        </w:rPr>
        <w:t>example:</w:t>
      </w:r>
    </w:p>
    <w:p w:rsidR="00D96B91" w:rsidRDefault="00C2656B">
      <w:pPr>
        <w:pStyle w:val="BodyText"/>
        <w:numPr>
          <w:ilvl w:val="0"/>
          <w:numId w:val="131"/>
        </w:numPr>
        <w:tabs>
          <w:tab w:val="left" w:pos="1531"/>
        </w:tabs>
        <w:spacing w:before="170" w:line="260" w:lineRule="exact"/>
        <w:ind w:right="1308" w:hanging="283"/>
      </w:pPr>
      <w:r>
        <w:rPr>
          <w:rFonts w:cs="Avenir Next"/>
          <w:spacing w:val="-2"/>
        </w:rPr>
        <w:t>The</w:t>
      </w:r>
      <w:r>
        <w:rPr>
          <w:rFonts w:cs="Avenir Next"/>
        </w:rPr>
        <w:t xml:space="preserve"> ICRC used an individual price cap form of</w:t>
      </w:r>
      <w:r>
        <w:rPr>
          <w:rFonts w:cs="Avenir Next"/>
          <w:spacing w:val="4"/>
        </w:rPr>
        <w:t xml:space="preserve"> </w:t>
      </w:r>
      <w:r>
        <w:rPr>
          <w:rFonts w:cs="Avenir Next"/>
          <w:spacing w:val="-1"/>
        </w:rPr>
        <w:t>control,</w:t>
      </w:r>
      <w:r>
        <w:rPr>
          <w:rFonts w:cs="Avenir Next"/>
          <w:spacing w:val="-6"/>
        </w:rPr>
        <w:t xml:space="preserve"> </w:t>
      </w:r>
      <w:r>
        <w:rPr>
          <w:rFonts w:cs="Avenir Next"/>
        </w:rPr>
        <w:t xml:space="preserve">in conjunction with both a </w:t>
      </w:r>
      <w:r>
        <w:rPr>
          <w:rFonts w:cs="Avenir Next"/>
          <w:spacing w:val="-1"/>
        </w:rPr>
        <w:t>conservative</w:t>
      </w:r>
      <w:r>
        <w:rPr>
          <w:rFonts w:cs="Avenir Next"/>
        </w:rPr>
        <w:t xml:space="preserve"> </w:t>
      </w:r>
      <w:r>
        <w:rPr>
          <w:rFonts w:cs="Avenir Next"/>
          <w:spacing w:val="-1"/>
        </w:rPr>
        <w:t>water</w:t>
      </w:r>
      <w:r>
        <w:rPr>
          <w:rFonts w:cs="Avenir Next"/>
          <w:spacing w:val="37"/>
        </w:rPr>
        <w:t xml:space="preserve"> </w:t>
      </w:r>
      <w:r>
        <w:t xml:space="preserve">sales </w:t>
      </w:r>
      <w:r>
        <w:rPr>
          <w:spacing w:val="-1"/>
        </w:rPr>
        <w:t>forecast</w:t>
      </w:r>
      <w:r>
        <w:t xml:space="preserve"> (38 GL) and a biennial </w:t>
      </w:r>
      <w:r>
        <w:rPr>
          <w:spacing w:val="-1"/>
        </w:rPr>
        <w:t>recalibration</w:t>
      </w:r>
      <w:r>
        <w:t xml:space="preserve"> </w:t>
      </w:r>
      <w:r>
        <w:rPr>
          <w:spacing w:val="-1"/>
        </w:rPr>
        <w:t>process.</w:t>
      </w:r>
      <w:r>
        <w:rPr>
          <w:spacing w:val="-6"/>
        </w:rPr>
        <w:t xml:space="preserve"> </w:t>
      </w:r>
      <w:r>
        <w:t>On its own,</w:t>
      </w:r>
      <w:r>
        <w:rPr>
          <w:spacing w:val="-6"/>
        </w:rPr>
        <w:t xml:space="preserve"> </w:t>
      </w:r>
      <w:r>
        <w:t>the price cap form of</w:t>
      </w:r>
      <w:r>
        <w:rPr>
          <w:spacing w:val="4"/>
        </w:rPr>
        <w:t xml:space="preserve"> </w:t>
      </w:r>
      <w:r>
        <w:rPr>
          <w:spacing w:val="-1"/>
        </w:rPr>
        <w:t>control</w:t>
      </w:r>
      <w:r>
        <w:rPr>
          <w:spacing w:val="31"/>
        </w:rPr>
        <w:t xml:space="preserve"> </w:t>
      </w:r>
      <w:r>
        <w:t>can</w:t>
      </w:r>
      <w:r>
        <w:rPr>
          <w:spacing w:val="-1"/>
        </w:rPr>
        <w:t xml:space="preserve"> expose </w:t>
      </w:r>
      <w:r>
        <w:t xml:space="preserve">a </w:t>
      </w:r>
      <w:r>
        <w:rPr>
          <w:spacing w:val="-1"/>
        </w:rPr>
        <w:t xml:space="preserve">regulated </w:t>
      </w:r>
      <w:r>
        <w:t>service</w:t>
      </w:r>
      <w:r>
        <w:rPr>
          <w:spacing w:val="-1"/>
        </w:rPr>
        <w:t xml:space="preserve"> provider</w:t>
      </w:r>
      <w:r>
        <w:t xml:space="preserve"> to</w:t>
      </w:r>
      <w:r>
        <w:rPr>
          <w:spacing w:val="-1"/>
        </w:rPr>
        <w:t xml:space="preserve"> </w:t>
      </w:r>
      <w:r>
        <w:t>a</w:t>
      </w:r>
      <w:r>
        <w:rPr>
          <w:spacing w:val="-1"/>
        </w:rPr>
        <w:t xml:space="preserve"> </w:t>
      </w:r>
      <w:r>
        <w:t>significant</w:t>
      </w:r>
      <w:r>
        <w:rPr>
          <w:spacing w:val="-1"/>
        </w:rPr>
        <w:t xml:space="preserve"> degree</w:t>
      </w:r>
      <w:r>
        <w:t xml:space="preserve"> of</w:t>
      </w:r>
      <w:r>
        <w:rPr>
          <w:spacing w:val="3"/>
        </w:rPr>
        <w:t xml:space="preserve"> </w:t>
      </w:r>
      <w:r>
        <w:t>demand</w:t>
      </w:r>
      <w:r>
        <w:rPr>
          <w:spacing w:val="-1"/>
        </w:rPr>
        <w:t xml:space="preserve"> </w:t>
      </w:r>
      <w:r>
        <w:t>risk.</w:t>
      </w:r>
      <w:r>
        <w:rPr>
          <w:spacing w:val="-6"/>
        </w:rPr>
        <w:t xml:space="preserve"> </w:t>
      </w:r>
      <w:r>
        <w:rPr>
          <w:spacing w:val="-2"/>
        </w:rPr>
        <w:t>However,</w:t>
      </w:r>
      <w:r>
        <w:rPr>
          <w:spacing w:val="-7"/>
        </w:rPr>
        <w:t xml:space="preserve"> </w:t>
      </w:r>
      <w:r>
        <w:t>because</w:t>
      </w:r>
      <w:r>
        <w:rPr>
          <w:spacing w:val="39"/>
        </w:rPr>
        <w:t xml:space="preserve"> </w:t>
      </w:r>
      <w:r>
        <w:rPr>
          <w:rFonts w:cs="Avenir Next"/>
        </w:rPr>
        <w:t xml:space="preserve">the ICRC coupled it with a </w:t>
      </w:r>
      <w:r>
        <w:rPr>
          <w:rFonts w:cs="Avenir Next"/>
          <w:spacing w:val="-1"/>
        </w:rPr>
        <w:t>conservative</w:t>
      </w:r>
      <w:r>
        <w:rPr>
          <w:rFonts w:cs="Avenir Next"/>
        </w:rPr>
        <w:t xml:space="preserve"> </w:t>
      </w:r>
      <w:r>
        <w:rPr>
          <w:rFonts w:cs="Avenir Next"/>
          <w:spacing w:val="-1"/>
        </w:rPr>
        <w:t>water</w:t>
      </w:r>
      <w:r>
        <w:rPr>
          <w:rFonts w:cs="Avenir Next"/>
        </w:rPr>
        <w:t xml:space="preserve"> sales </w:t>
      </w:r>
      <w:r>
        <w:rPr>
          <w:rFonts w:cs="Avenir Next"/>
          <w:spacing w:val="-1"/>
        </w:rPr>
        <w:t>forecast</w:t>
      </w:r>
      <w:r>
        <w:rPr>
          <w:rFonts w:cs="Avenir Next"/>
        </w:rPr>
        <w:t xml:space="preserve"> and the biennial </w:t>
      </w:r>
      <w:r>
        <w:rPr>
          <w:rFonts w:cs="Avenir Next"/>
          <w:spacing w:val="-1"/>
        </w:rPr>
        <w:t>recalibration</w:t>
      </w:r>
      <w:r>
        <w:rPr>
          <w:rFonts w:cs="Avenir Next"/>
        </w:rPr>
        <w:t xml:space="preserve"> </w:t>
      </w:r>
      <w:r>
        <w:rPr>
          <w:rFonts w:cs="Avenir Next"/>
          <w:spacing w:val="-1"/>
        </w:rPr>
        <w:t>process,</w:t>
      </w:r>
      <w:r>
        <w:rPr>
          <w:rFonts w:cs="Avenir Next"/>
          <w:spacing w:val="47"/>
        </w:rPr>
        <w:t xml:space="preserve"> </w:t>
      </w:r>
      <w:r>
        <w:rPr>
          <w:spacing w:val="-2"/>
        </w:rPr>
        <w:t>ACTEW’s</w:t>
      </w:r>
      <w:r>
        <w:t xml:space="preserve"> </w:t>
      </w:r>
      <w:r>
        <w:rPr>
          <w:spacing w:val="-1"/>
        </w:rPr>
        <w:t>exposure</w:t>
      </w:r>
      <w:r>
        <w:t xml:space="preserve"> to demand risk is actually quite low under this </w:t>
      </w:r>
      <w:r>
        <w:rPr>
          <w:spacing w:val="-1"/>
        </w:rPr>
        <w:t>approach.</w:t>
      </w:r>
    </w:p>
    <w:p w:rsidR="00D96B91" w:rsidRDefault="00D96B91">
      <w:pPr>
        <w:spacing w:before="4"/>
        <w:rPr>
          <w:rFonts w:ascii="Avenir Next" w:eastAsia="Avenir Next" w:hAnsi="Avenir Next" w:cs="Avenir Next"/>
          <w:sz w:val="21"/>
          <w:szCs w:val="2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52" style="width:72.5pt;height:.5pt;mso-position-horizontal-relative:char;mso-position-vertical-relative:line" coordsize="1450,10">
            <v:group id="_x0000_s3253" style="position:absolute;left:5;top:5;width:1440;height:2" coordorigin="5,5" coordsize="1440,2">
              <v:shape id="_x0000_s3254"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45" w:line="192" w:lineRule="exact"/>
        <w:ind w:right="1320" w:hanging="510"/>
        <w:rPr>
          <w:rFonts w:ascii="Avenir Next" w:eastAsia="Avenir Next" w:hAnsi="Avenir Next" w:cs="Avenir Next"/>
          <w:sz w:val="16"/>
          <w:szCs w:val="16"/>
        </w:rPr>
      </w:pPr>
      <w:r>
        <w:rPr>
          <w:rFonts w:ascii="Avenir Next"/>
          <w:spacing w:val="-1"/>
          <w:sz w:val="16"/>
        </w:rPr>
        <w:t>This</w:t>
      </w:r>
      <w:r>
        <w:rPr>
          <w:rFonts w:ascii="Avenir Next"/>
          <w:sz w:val="16"/>
        </w:rPr>
        <w:t xml:space="preserve"> </w:t>
      </w:r>
      <w:r>
        <w:rPr>
          <w:rFonts w:ascii="Avenir Next"/>
          <w:spacing w:val="-1"/>
          <w:sz w:val="16"/>
        </w:rPr>
        <w:t>estimate</w:t>
      </w:r>
      <w:r>
        <w:rPr>
          <w:rFonts w:ascii="Avenir Next"/>
          <w:sz w:val="16"/>
        </w:rPr>
        <w:t xml:space="preserve"> was </w:t>
      </w:r>
      <w:r>
        <w:rPr>
          <w:rFonts w:ascii="Avenir Next"/>
          <w:spacing w:val="-1"/>
          <w:sz w:val="16"/>
        </w:rPr>
        <w:t>referred</w:t>
      </w:r>
      <w:r>
        <w:rPr>
          <w:rFonts w:ascii="Avenir Next"/>
          <w:sz w:val="16"/>
        </w:rPr>
        <w:t xml:space="preserve"> to by the ICRC as being </w:t>
      </w:r>
      <w:r>
        <w:rPr>
          <w:rFonts w:ascii="Avenir Next"/>
          <w:spacing w:val="-1"/>
          <w:sz w:val="16"/>
        </w:rPr>
        <w:t>conservative</w:t>
      </w:r>
      <w:r>
        <w:rPr>
          <w:rFonts w:ascii="Avenir Next"/>
          <w:sz w:val="16"/>
        </w:rPr>
        <w:t xml:space="preserve"> because it is lower than the </w:t>
      </w:r>
      <w:r>
        <w:rPr>
          <w:rFonts w:ascii="Avenir Next"/>
          <w:spacing w:val="-1"/>
          <w:sz w:val="16"/>
        </w:rPr>
        <w:t>forecast</w:t>
      </w:r>
      <w:r>
        <w:rPr>
          <w:rFonts w:ascii="Avenir Next"/>
          <w:sz w:val="16"/>
        </w:rPr>
        <w:t xml:space="preserve"> </w:t>
      </w:r>
      <w:r>
        <w:rPr>
          <w:rFonts w:ascii="Avenir Next"/>
          <w:spacing w:val="-1"/>
          <w:sz w:val="16"/>
        </w:rPr>
        <w:t>proposed</w:t>
      </w:r>
      <w:r>
        <w:rPr>
          <w:rFonts w:ascii="Avenir Next"/>
          <w:sz w:val="16"/>
        </w:rPr>
        <w:t xml:space="preserve"> by</w:t>
      </w:r>
      <w:r>
        <w:rPr>
          <w:rFonts w:ascii="Avenir Next"/>
          <w:spacing w:val="-3"/>
          <w:sz w:val="16"/>
        </w:rPr>
        <w:t xml:space="preserve"> </w:t>
      </w:r>
      <w:r>
        <w:rPr>
          <w:rFonts w:ascii="Avenir Next"/>
          <w:spacing w:val="-1"/>
          <w:sz w:val="16"/>
        </w:rPr>
        <w:t>ACTEW</w:t>
      </w:r>
      <w:r>
        <w:rPr>
          <w:rFonts w:ascii="Avenir Next"/>
          <w:spacing w:val="61"/>
          <w:sz w:val="16"/>
        </w:rPr>
        <w:t xml:space="preserve"> </w:t>
      </w:r>
      <w:r>
        <w:rPr>
          <w:rFonts w:ascii="Avenir Next"/>
          <w:sz w:val="16"/>
        </w:rPr>
        <w:t>(38 GL</w:t>
      </w:r>
      <w:r>
        <w:rPr>
          <w:rFonts w:ascii="Avenir Next"/>
          <w:spacing w:val="-4"/>
          <w:sz w:val="16"/>
        </w:rPr>
        <w:t xml:space="preserve"> </w:t>
      </w:r>
      <w:r>
        <w:rPr>
          <w:rFonts w:ascii="Avenir Next"/>
          <w:sz w:val="16"/>
        </w:rPr>
        <w:t>versus 40.86 GL).</w:t>
      </w:r>
      <w:r>
        <w:rPr>
          <w:rFonts w:ascii="Avenir Next"/>
          <w:spacing w:val="-5"/>
          <w:sz w:val="16"/>
        </w:rPr>
        <w:t xml:space="preserve"> </w:t>
      </w:r>
      <w:r>
        <w:rPr>
          <w:rFonts w:ascii="Avenir Next"/>
          <w:sz w:val="16"/>
        </w:rPr>
        <w:t>See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115.</w:t>
      </w:r>
    </w:p>
    <w:p w:rsidR="00D96B91" w:rsidRDefault="00C2656B">
      <w:pPr>
        <w:numPr>
          <w:ilvl w:val="0"/>
          <w:numId w:val="99"/>
        </w:numPr>
        <w:tabs>
          <w:tab w:val="left" w:pos="1758"/>
        </w:tabs>
        <w:spacing w:before="14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29.</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5.</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numPr>
          <w:ilvl w:val="0"/>
          <w:numId w:val="131"/>
        </w:numPr>
        <w:tabs>
          <w:tab w:val="left" w:pos="1531"/>
          <w:tab w:val="left" w:pos="9224"/>
        </w:tabs>
        <w:spacing w:before="21" w:line="260" w:lineRule="exact"/>
        <w:ind w:right="1408" w:hanging="283"/>
      </w:pPr>
      <w:r>
        <w:rPr>
          <w:spacing w:val="-3"/>
        </w:rPr>
        <w:t>ACTEW</w:t>
      </w:r>
      <w:r>
        <w:rPr>
          <w:spacing w:val="-7"/>
        </w:rPr>
        <w:t xml:space="preserve"> </w:t>
      </w:r>
      <w:r>
        <w:rPr>
          <w:spacing w:val="-3"/>
        </w:rPr>
        <w:t>proposed</w:t>
      </w:r>
      <w:r>
        <w:rPr>
          <w:spacing w:val="-4"/>
        </w:rPr>
        <w:t xml:space="preserve"> </w:t>
      </w:r>
      <w:r>
        <w:rPr>
          <w:spacing w:val="-2"/>
        </w:rPr>
        <w:t>the</w:t>
      </w:r>
      <w:r>
        <w:rPr>
          <w:spacing w:val="-4"/>
        </w:rPr>
        <w:t xml:space="preserve"> </w:t>
      </w:r>
      <w:r>
        <w:rPr>
          <w:spacing w:val="-2"/>
        </w:rPr>
        <w:t>use</w:t>
      </w:r>
      <w:r>
        <w:rPr>
          <w:spacing w:val="-4"/>
        </w:rPr>
        <w:t xml:space="preserve"> </w:t>
      </w:r>
      <w:r>
        <w:rPr>
          <w:spacing w:val="-1"/>
        </w:rPr>
        <w:t>of</w:t>
      </w:r>
      <w:r>
        <w:t xml:space="preserve"> </w:t>
      </w:r>
      <w:r>
        <w:rPr>
          <w:spacing w:val="-2"/>
        </w:rPr>
        <w:t>both</w:t>
      </w:r>
      <w:r>
        <w:rPr>
          <w:spacing w:val="-4"/>
        </w:rPr>
        <w:t xml:space="preserve"> </w:t>
      </w:r>
      <w:r>
        <w:t>a</w:t>
      </w:r>
      <w:r>
        <w:rPr>
          <w:spacing w:val="-4"/>
        </w:rPr>
        <w:t xml:space="preserve"> </w:t>
      </w:r>
      <w:r>
        <w:rPr>
          <w:spacing w:val="-3"/>
        </w:rPr>
        <w:t>revenue</w:t>
      </w:r>
      <w:r>
        <w:rPr>
          <w:spacing w:val="-4"/>
        </w:rPr>
        <w:t xml:space="preserve"> </w:t>
      </w:r>
      <w:r>
        <w:rPr>
          <w:spacing w:val="-2"/>
        </w:rPr>
        <w:t>cap</w:t>
      </w:r>
      <w:r>
        <w:rPr>
          <w:spacing w:val="-4"/>
        </w:rPr>
        <w:t xml:space="preserve"> </w:t>
      </w:r>
      <w:r>
        <w:rPr>
          <w:spacing w:val="-2"/>
        </w:rPr>
        <w:t>with</w:t>
      </w:r>
      <w:r>
        <w:rPr>
          <w:spacing w:val="-4"/>
        </w:rPr>
        <w:t xml:space="preserve"> </w:t>
      </w:r>
      <w:r>
        <w:rPr>
          <w:spacing w:val="-1"/>
        </w:rPr>
        <w:t>an</w:t>
      </w:r>
      <w:r>
        <w:rPr>
          <w:spacing w:val="-4"/>
        </w:rPr>
        <w:t xml:space="preserve"> </w:t>
      </w:r>
      <w:r>
        <w:rPr>
          <w:spacing w:val="-2"/>
        </w:rPr>
        <w:t>unders</w:t>
      </w:r>
      <w:r>
        <w:rPr>
          <w:spacing w:val="-4"/>
        </w:rPr>
        <w:t xml:space="preserve"> </w:t>
      </w:r>
      <w:r>
        <w:rPr>
          <w:spacing w:val="-2"/>
        </w:rPr>
        <w:t>and</w:t>
      </w:r>
      <w:r>
        <w:rPr>
          <w:spacing w:val="-4"/>
        </w:rPr>
        <w:t xml:space="preserve"> </w:t>
      </w:r>
      <w:r>
        <w:rPr>
          <w:spacing w:val="-2"/>
        </w:rPr>
        <w:t>overs</w:t>
      </w:r>
      <w:r>
        <w:rPr>
          <w:spacing w:val="-4"/>
        </w:rPr>
        <w:t xml:space="preserve"> </w:t>
      </w:r>
      <w:r>
        <w:rPr>
          <w:spacing w:val="-2"/>
        </w:rPr>
        <w:t>mechanism</w:t>
      </w:r>
      <w:r>
        <w:rPr>
          <w:spacing w:val="-4"/>
        </w:rPr>
        <w:t xml:space="preserve"> </w:t>
      </w:r>
      <w:r>
        <w:rPr>
          <w:spacing w:val="-2"/>
        </w:rPr>
        <w:t>and</w:t>
      </w:r>
      <w:r>
        <w:rPr>
          <w:spacing w:val="-4"/>
        </w:rPr>
        <w:t xml:space="preserve"> </w:t>
      </w:r>
      <w:r>
        <w:rPr>
          <w:spacing w:val="-2"/>
        </w:rPr>
        <w:t>an</w:t>
      </w:r>
      <w:r>
        <w:rPr>
          <w:spacing w:val="63"/>
        </w:rPr>
        <w:t xml:space="preserve"> </w:t>
      </w:r>
      <w:r>
        <w:rPr>
          <w:spacing w:val="-2"/>
        </w:rPr>
        <w:t>adaptive</w:t>
      </w:r>
      <w:r>
        <w:rPr>
          <w:spacing w:val="-5"/>
        </w:rPr>
        <w:t xml:space="preserve"> </w:t>
      </w:r>
      <w:r>
        <w:rPr>
          <w:spacing w:val="-3"/>
        </w:rPr>
        <w:t>approach</w:t>
      </w:r>
      <w:r>
        <w:rPr>
          <w:spacing w:val="-4"/>
        </w:rPr>
        <w:t xml:space="preserve"> </w:t>
      </w:r>
      <w:r>
        <w:rPr>
          <w:spacing w:val="-1"/>
        </w:rPr>
        <w:t>to</w:t>
      </w:r>
      <w:r>
        <w:rPr>
          <w:spacing w:val="-4"/>
        </w:rPr>
        <w:t xml:space="preserve"> </w:t>
      </w:r>
      <w:r>
        <w:rPr>
          <w:spacing w:val="-2"/>
        </w:rPr>
        <w:t>price</w:t>
      </w:r>
      <w:r>
        <w:rPr>
          <w:spacing w:val="-4"/>
        </w:rPr>
        <w:t xml:space="preserve"> </w:t>
      </w:r>
      <w:r>
        <w:rPr>
          <w:spacing w:val="-3"/>
        </w:rPr>
        <w:t>setting,</w:t>
      </w:r>
      <w:r>
        <w:rPr>
          <w:spacing w:val="-10"/>
        </w:rPr>
        <w:t xml:space="preserve"> </w:t>
      </w:r>
      <w:r>
        <w:rPr>
          <w:spacing w:val="-2"/>
        </w:rPr>
        <w:t>which</w:t>
      </w:r>
      <w:r>
        <w:rPr>
          <w:spacing w:val="-4"/>
        </w:rPr>
        <w:t xml:space="preserve"> </w:t>
      </w:r>
      <w:r>
        <w:rPr>
          <w:spacing w:val="-2"/>
        </w:rPr>
        <w:t>involves</w:t>
      </w:r>
      <w:r>
        <w:rPr>
          <w:spacing w:val="-4"/>
        </w:rPr>
        <w:t xml:space="preserve"> </w:t>
      </w:r>
      <w:r>
        <w:rPr>
          <w:spacing w:val="-2"/>
        </w:rPr>
        <w:t>updating</w:t>
      </w:r>
      <w:r>
        <w:rPr>
          <w:spacing w:val="-4"/>
        </w:rPr>
        <w:t xml:space="preserve"> </w:t>
      </w:r>
      <w:r>
        <w:rPr>
          <w:spacing w:val="-2"/>
        </w:rPr>
        <w:t>prices</w:t>
      </w:r>
      <w:r>
        <w:rPr>
          <w:spacing w:val="-4"/>
        </w:rPr>
        <w:t xml:space="preserve"> </w:t>
      </w:r>
      <w:r>
        <w:rPr>
          <w:spacing w:val="-2"/>
        </w:rPr>
        <w:t>each</w:t>
      </w:r>
      <w:r>
        <w:rPr>
          <w:spacing w:val="-4"/>
        </w:rPr>
        <w:t xml:space="preserve"> </w:t>
      </w:r>
      <w:r>
        <w:rPr>
          <w:spacing w:val="-2"/>
        </w:rPr>
        <w:t>year</w:t>
      </w:r>
      <w:r>
        <w:rPr>
          <w:spacing w:val="-4"/>
        </w:rPr>
        <w:t xml:space="preserve"> </w:t>
      </w:r>
      <w:r>
        <w:rPr>
          <w:spacing w:val="-1"/>
        </w:rPr>
        <w:t>to</w:t>
      </w:r>
      <w:r>
        <w:rPr>
          <w:spacing w:val="-5"/>
        </w:rPr>
        <w:t xml:space="preserve"> </w:t>
      </w:r>
      <w:r>
        <w:rPr>
          <w:spacing w:val="-3"/>
        </w:rPr>
        <w:t>refl</w:t>
      </w:r>
      <w:r w:rsidR="006F72BE">
        <w:rPr>
          <w:spacing w:val="-3"/>
        </w:rPr>
        <w:t xml:space="preserve">ect </w:t>
      </w:r>
      <w:r>
        <w:rPr>
          <w:spacing w:val="-2"/>
        </w:rPr>
        <w:t>changes</w:t>
      </w:r>
      <w:r>
        <w:rPr>
          <w:spacing w:val="-4"/>
        </w:rPr>
        <w:t xml:space="preserve"> </w:t>
      </w:r>
      <w:r>
        <w:rPr>
          <w:spacing w:val="-2"/>
        </w:rPr>
        <w:t>in</w:t>
      </w:r>
      <w:r>
        <w:rPr>
          <w:spacing w:val="56"/>
        </w:rPr>
        <w:t xml:space="preserve"> </w:t>
      </w:r>
      <w:r>
        <w:rPr>
          <w:spacing w:val="-3"/>
        </w:rPr>
        <w:t>projected</w:t>
      </w:r>
      <w:r>
        <w:rPr>
          <w:spacing w:val="-4"/>
        </w:rPr>
        <w:t xml:space="preserve"> </w:t>
      </w:r>
      <w:r>
        <w:rPr>
          <w:spacing w:val="-2"/>
        </w:rPr>
        <w:t>demand.</w:t>
      </w:r>
      <w:r>
        <w:rPr>
          <w:spacing w:val="-15"/>
        </w:rPr>
        <w:t xml:space="preserve"> </w:t>
      </w:r>
      <w:r>
        <w:rPr>
          <w:spacing w:val="-6"/>
        </w:rPr>
        <w:t>Together,</w:t>
      </w:r>
      <w:r>
        <w:rPr>
          <w:spacing w:val="-10"/>
        </w:rPr>
        <w:t xml:space="preserve"> </w:t>
      </w:r>
      <w:r>
        <w:rPr>
          <w:spacing w:val="-2"/>
        </w:rPr>
        <w:t>these</w:t>
      </w:r>
      <w:r>
        <w:rPr>
          <w:spacing w:val="-4"/>
        </w:rPr>
        <w:t xml:space="preserve"> </w:t>
      </w:r>
      <w:r>
        <w:rPr>
          <w:spacing w:val="-2"/>
        </w:rPr>
        <w:t>two</w:t>
      </w:r>
      <w:r>
        <w:rPr>
          <w:spacing w:val="-4"/>
        </w:rPr>
        <w:t xml:space="preserve"> </w:t>
      </w:r>
      <w:r>
        <w:rPr>
          <w:spacing w:val="-2"/>
        </w:rPr>
        <w:t>mechanisms</w:t>
      </w:r>
      <w:r>
        <w:rPr>
          <w:spacing w:val="-4"/>
        </w:rPr>
        <w:t xml:space="preserve"> </w:t>
      </w:r>
      <w:r>
        <w:rPr>
          <w:spacing w:val="-3"/>
        </w:rPr>
        <w:t>effectively</w:t>
      </w:r>
      <w:r>
        <w:rPr>
          <w:spacing w:val="-4"/>
        </w:rPr>
        <w:t xml:space="preserve"> </w:t>
      </w:r>
      <w:r>
        <w:rPr>
          <w:spacing w:val="-2"/>
        </w:rPr>
        <w:t>shield</w:t>
      </w:r>
      <w:r>
        <w:rPr>
          <w:spacing w:val="-8"/>
        </w:rPr>
        <w:t xml:space="preserve"> </w:t>
      </w:r>
      <w:r>
        <w:rPr>
          <w:spacing w:val="-3"/>
        </w:rPr>
        <w:t>ACTEW</w:t>
      </w:r>
      <w:r>
        <w:rPr>
          <w:spacing w:val="-7"/>
        </w:rPr>
        <w:t xml:space="preserve"> </w:t>
      </w:r>
      <w:r>
        <w:rPr>
          <w:spacing w:val="-3"/>
        </w:rPr>
        <w:t>from</w:t>
      </w:r>
      <w:r>
        <w:rPr>
          <w:spacing w:val="-4"/>
        </w:rPr>
        <w:t xml:space="preserve"> </w:t>
      </w:r>
      <w:r>
        <w:rPr>
          <w:spacing w:val="-2"/>
        </w:rPr>
        <w:t>any</w:t>
      </w:r>
      <w:r>
        <w:rPr>
          <w:spacing w:val="-4"/>
        </w:rPr>
        <w:t xml:space="preserve"> </w:t>
      </w:r>
      <w:r>
        <w:rPr>
          <w:spacing w:val="-2"/>
        </w:rPr>
        <w:t>demand</w:t>
      </w:r>
      <w:r>
        <w:rPr>
          <w:spacing w:val="-4"/>
        </w:rPr>
        <w:t xml:space="preserve"> </w:t>
      </w:r>
      <w:r>
        <w:rPr>
          <w:spacing w:val="-2"/>
        </w:rPr>
        <w:t>risk.</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1"/>
        </w:rPr>
        <w:t>In</w:t>
      </w:r>
      <w:r>
        <w:rPr>
          <w:spacing w:val="-4"/>
        </w:rPr>
        <w:t xml:space="preserve"> </w:t>
      </w:r>
      <w:r>
        <w:rPr>
          <w:spacing w:val="-2"/>
        </w:rPr>
        <w:t>the</w:t>
      </w:r>
      <w:r>
        <w:rPr>
          <w:spacing w:val="-4"/>
        </w:rPr>
        <w:t xml:space="preserve"> </w:t>
      </w:r>
      <w:r>
        <w:rPr>
          <w:spacing w:val="-5"/>
        </w:rPr>
        <w:t>Panel’s</w:t>
      </w:r>
      <w:r>
        <w:rPr>
          <w:spacing w:val="-4"/>
        </w:rPr>
        <w:t xml:space="preserve"> view,</w:t>
      </w:r>
      <w:r>
        <w:rPr>
          <w:spacing w:val="-10"/>
        </w:rPr>
        <w:t xml:space="preserve"> </w:t>
      </w:r>
      <w:r>
        <w:rPr>
          <w:spacing w:val="-2"/>
        </w:rPr>
        <w:t>neither</w:t>
      </w:r>
      <w:r>
        <w:rPr>
          <w:spacing w:val="-4"/>
        </w:rPr>
        <w:t xml:space="preserve"> </w:t>
      </w:r>
      <w:r>
        <w:rPr>
          <w:spacing w:val="-1"/>
        </w:rPr>
        <w:t>of</w:t>
      </w:r>
      <w:r>
        <w:t xml:space="preserve"> </w:t>
      </w:r>
      <w:r>
        <w:rPr>
          <w:spacing w:val="-2"/>
        </w:rPr>
        <w:t>these</w:t>
      </w:r>
      <w:r>
        <w:rPr>
          <w:spacing w:val="-4"/>
        </w:rPr>
        <w:t xml:space="preserve"> </w:t>
      </w:r>
      <w:r>
        <w:rPr>
          <w:spacing w:val="-3"/>
        </w:rPr>
        <w:t>approaches</w:t>
      </w:r>
      <w:r>
        <w:rPr>
          <w:spacing w:val="-4"/>
        </w:rPr>
        <w:t xml:space="preserve"> </w:t>
      </w:r>
      <w:r>
        <w:rPr>
          <w:spacing w:val="-3"/>
        </w:rPr>
        <w:t>provides</w:t>
      </w:r>
      <w:r>
        <w:rPr>
          <w:spacing w:val="-4"/>
        </w:rPr>
        <w:t xml:space="preserve"> </w:t>
      </w:r>
      <w:r>
        <w:rPr>
          <w:spacing w:val="-2"/>
        </w:rPr>
        <w:t>for</w:t>
      </w:r>
      <w:r>
        <w:rPr>
          <w:spacing w:val="-4"/>
        </w:rPr>
        <w:t xml:space="preserve"> </w:t>
      </w:r>
      <w:r>
        <w:rPr>
          <w:spacing w:val="-1"/>
        </w:rPr>
        <w:t>an</w:t>
      </w:r>
      <w:r>
        <w:rPr>
          <w:spacing w:val="-4"/>
        </w:rPr>
        <w:t xml:space="preserve"> </w:t>
      </w:r>
      <w:r>
        <w:rPr>
          <w:spacing w:val="-3"/>
        </w:rPr>
        <w:t>appropriate</w:t>
      </w:r>
      <w:r>
        <w:rPr>
          <w:spacing w:val="-4"/>
        </w:rPr>
        <w:t xml:space="preserve"> </w:t>
      </w:r>
      <w:r>
        <w:rPr>
          <w:spacing w:val="-2"/>
        </w:rPr>
        <w:t>allocation</w:t>
      </w:r>
      <w:r>
        <w:rPr>
          <w:spacing w:val="-4"/>
        </w:rPr>
        <w:t xml:space="preserve"> </w:t>
      </w:r>
      <w:r>
        <w:rPr>
          <w:spacing w:val="-1"/>
        </w:rPr>
        <w:t>of</w:t>
      </w:r>
      <w:r>
        <w:t xml:space="preserve"> </w:t>
      </w:r>
      <w:r>
        <w:rPr>
          <w:spacing w:val="-3"/>
        </w:rPr>
        <w:t>demand-related</w:t>
      </w:r>
      <w:r>
        <w:rPr>
          <w:spacing w:val="84"/>
        </w:rPr>
        <w:t xml:space="preserve"> </w:t>
      </w:r>
      <w:r>
        <w:rPr>
          <w:spacing w:val="-2"/>
        </w:rPr>
        <w:t>risks</w:t>
      </w:r>
      <w:r>
        <w:rPr>
          <w:spacing w:val="-5"/>
        </w:rPr>
        <w:t xml:space="preserve"> </w:t>
      </w:r>
      <w:r>
        <w:rPr>
          <w:spacing w:val="-2"/>
        </w:rPr>
        <w:t>and</w:t>
      </w:r>
      <w:r>
        <w:rPr>
          <w:spacing w:val="-4"/>
        </w:rPr>
        <w:t xml:space="preserve"> </w:t>
      </w:r>
      <w:r>
        <w:rPr>
          <w:spacing w:val="-2"/>
        </w:rPr>
        <w:t>benefi</w:t>
      </w:r>
      <w:r w:rsidR="006F72BE">
        <w:rPr>
          <w:spacing w:val="-2"/>
        </w:rPr>
        <w:t xml:space="preserve">ts </w:t>
      </w:r>
      <w:r>
        <w:rPr>
          <w:spacing w:val="-2"/>
        </w:rPr>
        <w:t>between</w:t>
      </w:r>
      <w:r>
        <w:rPr>
          <w:spacing w:val="-8"/>
        </w:rPr>
        <w:t xml:space="preserve"> </w:t>
      </w:r>
      <w:r>
        <w:rPr>
          <w:spacing w:val="-3"/>
        </w:rPr>
        <w:t>ACTEW</w:t>
      </w:r>
      <w:r>
        <w:rPr>
          <w:spacing w:val="-7"/>
        </w:rPr>
        <w:t xml:space="preserve"> </w:t>
      </w:r>
      <w:r>
        <w:rPr>
          <w:spacing w:val="-2"/>
        </w:rPr>
        <w:t>and</w:t>
      </w:r>
      <w:r>
        <w:rPr>
          <w:spacing w:val="-4"/>
        </w:rPr>
        <w:t xml:space="preserve"> </w:t>
      </w:r>
      <w:r>
        <w:rPr>
          <w:spacing w:val="-2"/>
        </w:rPr>
        <w:t>its</w:t>
      </w:r>
      <w:r>
        <w:rPr>
          <w:spacing w:val="-4"/>
        </w:rPr>
        <w:t xml:space="preserve"> </w:t>
      </w:r>
      <w:r>
        <w:rPr>
          <w:spacing w:val="-2"/>
        </w:rPr>
        <w:t>customers.</w:t>
      </w:r>
      <w:r>
        <w:rPr>
          <w:spacing w:val="-10"/>
        </w:rPr>
        <w:t xml:space="preserve"> </w:t>
      </w:r>
      <w:r>
        <w:rPr>
          <w:spacing w:val="-5"/>
        </w:rPr>
        <w:t xml:space="preserve">For </w:t>
      </w:r>
      <w:r>
        <w:rPr>
          <w:spacing w:val="-3"/>
        </w:rPr>
        <w:t>example:</w:t>
      </w:r>
    </w:p>
    <w:p w:rsidR="00D96B91" w:rsidRDefault="00C2656B">
      <w:pPr>
        <w:pStyle w:val="BodyText"/>
        <w:numPr>
          <w:ilvl w:val="0"/>
          <w:numId w:val="131"/>
        </w:numPr>
        <w:tabs>
          <w:tab w:val="left" w:pos="1531"/>
        </w:tabs>
        <w:spacing w:before="170" w:line="260" w:lineRule="exact"/>
        <w:ind w:right="1603" w:hanging="283"/>
      </w:pPr>
      <w:r>
        <w:rPr>
          <w:rFonts w:cs="Avenir Next"/>
        </w:rPr>
        <w:t xml:space="preserve">Under the </w:t>
      </w:r>
      <w:r>
        <w:rPr>
          <w:rFonts w:cs="Avenir Next"/>
          <w:spacing w:val="-2"/>
        </w:rPr>
        <w:t>ICRC’s</w:t>
      </w:r>
      <w:r>
        <w:rPr>
          <w:rFonts w:cs="Avenir Next"/>
        </w:rPr>
        <w:t xml:space="preserve"> </w:t>
      </w:r>
      <w:r>
        <w:rPr>
          <w:rFonts w:cs="Avenir Next"/>
          <w:spacing w:val="-1"/>
        </w:rPr>
        <w:t>approach,</w:t>
      </w:r>
      <w:r>
        <w:rPr>
          <w:rFonts w:cs="Avenir Next"/>
          <w:spacing w:val="-6"/>
        </w:rPr>
        <w:t xml:space="preserve"> </w:t>
      </w:r>
      <w:r>
        <w:rPr>
          <w:rFonts w:cs="Avenir Next"/>
          <w:spacing w:val="-1"/>
        </w:rPr>
        <w:t>where</w:t>
      </w:r>
      <w:r>
        <w:rPr>
          <w:rFonts w:cs="Avenir Next"/>
        </w:rPr>
        <w:t xml:space="preserve"> the volumetric </w:t>
      </w:r>
      <w:r>
        <w:rPr>
          <w:rFonts w:cs="Avenir Next"/>
          <w:spacing w:val="-1"/>
        </w:rPr>
        <w:t>water</w:t>
      </w:r>
      <w:r>
        <w:rPr>
          <w:rFonts w:cs="Avenir Next"/>
        </w:rPr>
        <w:t xml:space="preserve"> </w:t>
      </w:r>
      <w:r>
        <w:rPr>
          <w:rFonts w:cs="Avenir Next"/>
          <w:spacing w:val="-1"/>
        </w:rPr>
        <w:t>charges</w:t>
      </w:r>
      <w:r>
        <w:rPr>
          <w:rFonts w:cs="Avenir Next"/>
        </w:rPr>
        <w:t xml:space="preserve"> </w:t>
      </w:r>
      <w:r>
        <w:rPr>
          <w:rFonts w:cs="Avenir Next"/>
          <w:spacing w:val="-2"/>
        </w:rPr>
        <w:t>are</w:t>
      </w:r>
      <w:r>
        <w:rPr>
          <w:rFonts w:cs="Avenir Next"/>
        </w:rPr>
        <w:t xml:space="preserve"> </w:t>
      </w:r>
      <w:r>
        <w:rPr>
          <w:rFonts w:cs="Avenir Next"/>
          <w:spacing w:val="-1"/>
        </w:rPr>
        <w:t>calculated</w:t>
      </w:r>
      <w:r>
        <w:rPr>
          <w:rFonts w:cs="Avenir Next"/>
        </w:rPr>
        <w:t xml:space="preserve"> using a low </w:t>
      </w:r>
      <w:r>
        <w:rPr>
          <w:rFonts w:cs="Avenir Next"/>
          <w:spacing w:val="-1"/>
        </w:rPr>
        <w:t>water</w:t>
      </w:r>
      <w:r>
        <w:rPr>
          <w:rFonts w:cs="Avenir Next"/>
          <w:spacing w:val="51"/>
        </w:rPr>
        <w:t xml:space="preserve"> </w:t>
      </w:r>
      <w:r>
        <w:t>sales</w:t>
      </w:r>
      <w:r>
        <w:rPr>
          <w:spacing w:val="-1"/>
        </w:rPr>
        <w:t xml:space="preserve"> </w:t>
      </w:r>
      <w:r>
        <w:t>assumption of</w:t>
      </w:r>
      <w:r>
        <w:rPr>
          <w:spacing w:val="3"/>
        </w:rPr>
        <w:t xml:space="preserve"> </w:t>
      </w:r>
      <w:r>
        <w:t>38 GL,</w:t>
      </w:r>
      <w:r>
        <w:rPr>
          <w:spacing w:val="-6"/>
        </w:rPr>
        <w:t xml:space="preserve"> </w:t>
      </w:r>
      <w:r>
        <w:t>customers</w:t>
      </w:r>
      <w:r>
        <w:rPr>
          <w:spacing w:val="-1"/>
        </w:rPr>
        <w:t xml:space="preserve"> </w:t>
      </w:r>
      <w:r>
        <w:t>will derive</w:t>
      </w:r>
      <w:r>
        <w:rPr>
          <w:spacing w:val="-1"/>
        </w:rPr>
        <w:t xml:space="preserve"> </w:t>
      </w:r>
      <w:r>
        <w:t>no benefit if</w:t>
      </w:r>
      <w:r>
        <w:rPr>
          <w:spacing w:val="3"/>
        </w:rPr>
        <w:t xml:space="preserve"> </w:t>
      </w:r>
      <w:r>
        <w:t>actual demand</w:t>
      </w:r>
      <w:r>
        <w:rPr>
          <w:spacing w:val="-1"/>
        </w:rPr>
        <w:t xml:space="preserve"> </w:t>
      </w:r>
      <w:r>
        <w:t>is higher</w:t>
      </w:r>
      <w:r>
        <w:rPr>
          <w:spacing w:val="-1"/>
        </w:rPr>
        <w:t xml:space="preserve"> </w:t>
      </w:r>
      <w:r>
        <w:t>than this level.</w:t>
      </w:r>
      <w:r>
        <w:rPr>
          <w:spacing w:val="-12"/>
        </w:rPr>
        <w:t xml:space="preserve"> </w:t>
      </w:r>
      <w:r>
        <w:rPr>
          <w:spacing w:val="-1"/>
        </w:rPr>
        <w:t xml:space="preserve">This </w:t>
      </w:r>
      <w:r>
        <w:t>benefit</w:t>
      </w:r>
      <w:r>
        <w:rPr>
          <w:spacing w:val="-1"/>
        </w:rPr>
        <w:t xml:space="preserve"> </w:t>
      </w:r>
      <w:r>
        <w:t>will</w:t>
      </w:r>
      <w:r>
        <w:rPr>
          <w:spacing w:val="-1"/>
        </w:rPr>
        <w:t xml:space="preserve"> instead</w:t>
      </w:r>
      <w:r>
        <w:t xml:space="preserve"> be</w:t>
      </w:r>
      <w:r>
        <w:rPr>
          <w:spacing w:val="-1"/>
        </w:rPr>
        <w:t xml:space="preserve"> retained </w:t>
      </w:r>
      <w:r>
        <w:t>by</w:t>
      </w:r>
      <w:r>
        <w:rPr>
          <w:spacing w:val="-5"/>
        </w:rPr>
        <w:t xml:space="preserve"> </w:t>
      </w:r>
      <w:r>
        <w:rPr>
          <w:spacing w:val="-4"/>
        </w:rPr>
        <w:t>ACTEW.</w:t>
      </w:r>
    </w:p>
    <w:p w:rsidR="00D96B91" w:rsidRDefault="00C2656B">
      <w:pPr>
        <w:pStyle w:val="BodyText"/>
        <w:numPr>
          <w:ilvl w:val="0"/>
          <w:numId w:val="131"/>
        </w:numPr>
        <w:tabs>
          <w:tab w:val="left" w:pos="1531"/>
        </w:tabs>
        <w:spacing w:before="85" w:line="260" w:lineRule="exact"/>
        <w:ind w:right="1838" w:hanging="283"/>
      </w:pPr>
      <w:r>
        <w:t>Under</w:t>
      </w:r>
      <w:r>
        <w:rPr>
          <w:spacing w:val="-4"/>
        </w:rPr>
        <w:t xml:space="preserve"> </w:t>
      </w:r>
      <w:r>
        <w:rPr>
          <w:spacing w:val="-2"/>
        </w:rPr>
        <w:t>ACTEW’s</w:t>
      </w:r>
      <w:r>
        <w:t xml:space="preserve"> </w:t>
      </w:r>
      <w:r>
        <w:rPr>
          <w:spacing w:val="-1"/>
        </w:rPr>
        <w:t>approach,</w:t>
      </w:r>
      <w:r>
        <w:rPr>
          <w:spacing w:val="-6"/>
        </w:rPr>
        <w:t xml:space="preserve"> </w:t>
      </w:r>
      <w:r>
        <w:t xml:space="preserve">customers </w:t>
      </w:r>
      <w:r>
        <w:rPr>
          <w:spacing w:val="-1"/>
        </w:rPr>
        <w:t>bear</w:t>
      </w:r>
      <w:r>
        <w:t xml:space="preserve"> all the </w:t>
      </w:r>
      <w:r>
        <w:rPr>
          <w:spacing w:val="-1"/>
        </w:rPr>
        <w:t>demand-related</w:t>
      </w:r>
      <w:r>
        <w:t xml:space="preserve"> </w:t>
      </w:r>
      <w:r>
        <w:rPr>
          <w:spacing w:val="-1"/>
        </w:rPr>
        <w:t>risks</w:t>
      </w:r>
      <w:r>
        <w:t xml:space="preserve"> even though</w:t>
      </w:r>
      <w:r>
        <w:rPr>
          <w:spacing w:val="-4"/>
        </w:rPr>
        <w:t xml:space="preserve"> </w:t>
      </w:r>
      <w:r>
        <w:rPr>
          <w:spacing w:val="-2"/>
        </w:rPr>
        <w:t>ACTEW</w:t>
      </w:r>
      <w:r>
        <w:rPr>
          <w:spacing w:val="47"/>
        </w:rPr>
        <w:t xml:space="preserve"> </w:t>
      </w:r>
      <w:r>
        <w:t>is well-placed to manage some of</w:t>
      </w:r>
      <w:r>
        <w:rPr>
          <w:spacing w:val="4"/>
        </w:rPr>
        <w:t xml:space="preserve"> </w:t>
      </w:r>
      <w:r>
        <w:t xml:space="preserve">these </w:t>
      </w:r>
      <w:r>
        <w:rPr>
          <w:spacing w:val="-1"/>
        </w:rPr>
        <w:t>risks</w:t>
      </w:r>
      <w:r>
        <w:t xml:space="preserve"> (eg,</w:t>
      </w:r>
      <w:r>
        <w:rPr>
          <w:spacing w:val="-6"/>
        </w:rPr>
        <w:t xml:space="preserve"> </w:t>
      </w:r>
      <w:r>
        <w:t xml:space="preserve">by connecting customers or by </w:t>
      </w:r>
      <w:r>
        <w:rPr>
          <w:spacing w:val="-1"/>
        </w:rPr>
        <w:t>encouraging</w:t>
      </w:r>
      <w:r>
        <w:rPr>
          <w:spacing w:val="23"/>
        </w:rPr>
        <w:t xml:space="preserve"> </w:t>
      </w:r>
      <w:r>
        <w:rPr>
          <w:spacing w:val="-1"/>
        </w:rPr>
        <w:t>conservation</w:t>
      </w:r>
      <w:r>
        <w:t xml:space="preserve"> </w:t>
      </w:r>
      <w:r>
        <w:rPr>
          <w:spacing w:val="-1"/>
        </w:rPr>
        <w:t>measures).</w:t>
      </w:r>
    </w:p>
    <w:p w:rsidR="00D96B91" w:rsidRDefault="00D96B91">
      <w:pPr>
        <w:spacing w:before="3"/>
        <w:rPr>
          <w:rFonts w:ascii="Avenir Next" w:eastAsia="Avenir Next" w:hAnsi="Avenir Next" w:cs="Avenir Next"/>
          <w:sz w:val="17"/>
          <w:szCs w:val="17"/>
        </w:rPr>
      </w:pPr>
    </w:p>
    <w:p w:rsidR="00D96B91" w:rsidRDefault="00C2656B">
      <w:pPr>
        <w:pStyle w:val="BodyText"/>
        <w:rPr>
          <w:rFonts w:cs="Avenir Next"/>
        </w:rPr>
      </w:pPr>
      <w:r>
        <w:t>In addition,</w:t>
      </w:r>
      <w:r>
        <w:rPr>
          <w:spacing w:val="-7"/>
        </w:rPr>
        <w:t xml:space="preserve"> </w:t>
      </w:r>
      <w:r>
        <w:t>neither of</w:t>
      </w:r>
      <w:r>
        <w:rPr>
          <w:spacing w:val="4"/>
        </w:rPr>
        <w:t xml:space="preserve"> </w:t>
      </w:r>
      <w:r>
        <w:t xml:space="preserve">these </w:t>
      </w:r>
      <w:r>
        <w:rPr>
          <w:spacing w:val="-1"/>
        </w:rPr>
        <w:t>approaches</w:t>
      </w:r>
      <w:r>
        <w:t xml:space="preserve"> </w:t>
      </w:r>
      <w:r>
        <w:rPr>
          <w:spacing w:val="-1"/>
        </w:rPr>
        <w:t>strikes</w:t>
      </w:r>
      <w:r>
        <w:t xml:space="preserve"> an </w:t>
      </w:r>
      <w:r>
        <w:rPr>
          <w:spacing w:val="-1"/>
        </w:rPr>
        <w:t>appropriate</w:t>
      </w:r>
      <w:r>
        <w:t xml:space="preserve"> balance between:</w:t>
      </w:r>
    </w:p>
    <w:p w:rsidR="00D96B91" w:rsidRDefault="00C2656B">
      <w:pPr>
        <w:pStyle w:val="BodyText"/>
        <w:numPr>
          <w:ilvl w:val="0"/>
          <w:numId w:val="131"/>
        </w:numPr>
        <w:tabs>
          <w:tab w:val="left" w:pos="1531"/>
        </w:tabs>
        <w:spacing w:before="149" w:line="260" w:lineRule="exact"/>
        <w:ind w:right="1868" w:hanging="283"/>
        <w:rPr>
          <w:rFonts w:cs="Avenir Next"/>
        </w:rPr>
      </w:pPr>
      <w:r>
        <w:rPr>
          <w:spacing w:val="-1"/>
        </w:rPr>
        <w:t>providing</w:t>
      </w:r>
      <w:r>
        <w:t xml:space="preserve"> customers with some </w:t>
      </w:r>
      <w:r>
        <w:rPr>
          <w:spacing w:val="-1"/>
        </w:rPr>
        <w:t>degree</w:t>
      </w:r>
      <w:r>
        <w:t xml:space="preserve"> of</w:t>
      </w:r>
      <w:r>
        <w:rPr>
          <w:spacing w:val="4"/>
        </w:rPr>
        <w:t xml:space="preserve"> </w:t>
      </w:r>
      <w:r>
        <w:t xml:space="preserve">price stability and </w:t>
      </w:r>
      <w:r>
        <w:rPr>
          <w:spacing w:val="-1"/>
        </w:rPr>
        <w:t>predictability</w:t>
      </w:r>
      <w:r>
        <w:t xml:space="preserve"> over the </w:t>
      </w:r>
      <w:r>
        <w:rPr>
          <w:spacing w:val="-1"/>
        </w:rPr>
        <w:t>regulatory</w:t>
      </w:r>
      <w:r>
        <w:rPr>
          <w:spacing w:val="41"/>
        </w:rPr>
        <w:t xml:space="preserve"> </w:t>
      </w:r>
      <w:r>
        <w:t>period</w:t>
      </w:r>
    </w:p>
    <w:p w:rsidR="00D96B91" w:rsidRDefault="00C2656B">
      <w:pPr>
        <w:pStyle w:val="BodyText"/>
        <w:numPr>
          <w:ilvl w:val="0"/>
          <w:numId w:val="131"/>
        </w:numPr>
        <w:tabs>
          <w:tab w:val="left" w:pos="1531"/>
        </w:tabs>
        <w:spacing w:before="93"/>
        <w:ind w:hanging="283"/>
        <w:rPr>
          <w:rFonts w:cs="Avenir Next"/>
        </w:rPr>
      </w:pPr>
      <w:r>
        <w:t xml:space="preserve">minimising </w:t>
      </w:r>
      <w:r>
        <w:rPr>
          <w:spacing w:val="-1"/>
        </w:rPr>
        <w:t>regulatory</w:t>
      </w:r>
      <w:r>
        <w:t xml:space="preserve"> costs</w:t>
      </w:r>
    </w:p>
    <w:p w:rsidR="00D96B91" w:rsidRDefault="00C2656B">
      <w:pPr>
        <w:pStyle w:val="BodyText"/>
        <w:numPr>
          <w:ilvl w:val="0"/>
          <w:numId w:val="131"/>
        </w:numPr>
        <w:tabs>
          <w:tab w:val="left" w:pos="1531"/>
        </w:tabs>
        <w:spacing w:before="72"/>
        <w:ind w:hanging="283"/>
      </w:pPr>
      <w:r>
        <w:t>ensuring</w:t>
      </w:r>
      <w:r>
        <w:rPr>
          <w:spacing w:val="-5"/>
        </w:rPr>
        <w:t xml:space="preserve"> </w:t>
      </w:r>
      <w:r>
        <w:rPr>
          <w:spacing w:val="-2"/>
        </w:rPr>
        <w:t>ACTEW</w:t>
      </w:r>
      <w:r>
        <w:rPr>
          <w:spacing w:val="-4"/>
        </w:rPr>
        <w:t xml:space="preserve"> </w:t>
      </w:r>
      <w:r>
        <w:t>is</w:t>
      </w:r>
      <w:r>
        <w:rPr>
          <w:spacing w:val="-1"/>
        </w:rPr>
        <w:t xml:space="preserve"> </w:t>
      </w:r>
      <w:r>
        <w:t>financially viable</w:t>
      </w:r>
      <w:r>
        <w:rPr>
          <w:spacing w:val="-1"/>
        </w:rPr>
        <w:t xml:space="preserve"> </w:t>
      </w:r>
      <w:r>
        <w:t>and</w:t>
      </w:r>
      <w:r>
        <w:rPr>
          <w:spacing w:val="-1"/>
        </w:rPr>
        <w:t xml:space="preserve"> </w:t>
      </w:r>
      <w:r>
        <w:t>able</w:t>
      </w:r>
      <w:r>
        <w:rPr>
          <w:spacing w:val="-1"/>
        </w:rPr>
        <w:t xml:space="preserve"> </w:t>
      </w:r>
      <w:r>
        <w:t>to</w:t>
      </w:r>
      <w:r>
        <w:rPr>
          <w:spacing w:val="-1"/>
        </w:rPr>
        <w:t xml:space="preserve"> </w:t>
      </w:r>
      <w:r>
        <w:t>meet its</w:t>
      </w:r>
      <w:r>
        <w:rPr>
          <w:spacing w:val="-1"/>
        </w:rPr>
        <w:t xml:space="preserve"> </w:t>
      </w:r>
      <w:r>
        <w:t>service</w:t>
      </w:r>
      <w:r>
        <w:rPr>
          <w:spacing w:val="-1"/>
        </w:rPr>
        <w:t xml:space="preserve"> obligations,</w:t>
      </w:r>
      <w:r>
        <w:rPr>
          <w:spacing w:val="-7"/>
        </w:rPr>
        <w:t xml:space="preserve"> </w:t>
      </w:r>
      <w:r>
        <w:t>and</w:t>
      </w:r>
    </w:p>
    <w:p w:rsidR="00D96B91" w:rsidRDefault="00C2656B">
      <w:pPr>
        <w:pStyle w:val="BodyText"/>
        <w:numPr>
          <w:ilvl w:val="0"/>
          <w:numId w:val="131"/>
        </w:numPr>
        <w:tabs>
          <w:tab w:val="left" w:pos="1531"/>
        </w:tabs>
        <w:spacing w:before="72"/>
        <w:ind w:hanging="283"/>
      </w:pPr>
      <w:r>
        <w:rPr>
          <w:spacing w:val="-1"/>
        </w:rPr>
        <w:t>promoting</w:t>
      </w:r>
      <w:r>
        <w:rPr>
          <w:spacing w:val="-4"/>
        </w:rPr>
        <w:t xml:space="preserve"> </w:t>
      </w:r>
      <w:r>
        <w:t>economic</w:t>
      </w:r>
      <w:r>
        <w:rPr>
          <w:spacing w:val="-3"/>
        </w:rPr>
        <w:t xml:space="preserve"> </w:t>
      </w:r>
      <w:r>
        <w:rPr>
          <w:spacing w:val="-2"/>
        </w:rPr>
        <w:t>efficiency.</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64"/>
      </w:pPr>
      <w:r>
        <w:rPr>
          <w:spacing w:val="-4"/>
        </w:rPr>
        <w:t>For</w:t>
      </w:r>
      <w:r>
        <w:t xml:space="preserve"> </w:t>
      </w:r>
      <w:r>
        <w:rPr>
          <w:spacing w:val="-1"/>
        </w:rPr>
        <w:t>example,</w:t>
      </w:r>
      <w:r>
        <w:rPr>
          <w:spacing w:val="-6"/>
        </w:rPr>
        <w:t xml:space="preserve"> </w:t>
      </w:r>
      <w:r>
        <w:t xml:space="preserve">although the biennial </w:t>
      </w:r>
      <w:r>
        <w:rPr>
          <w:spacing w:val="-1"/>
        </w:rPr>
        <w:t>recalibration</w:t>
      </w:r>
      <w:r>
        <w:t xml:space="preserve"> </w:t>
      </w:r>
      <w:r>
        <w:rPr>
          <w:spacing w:val="-1"/>
        </w:rPr>
        <w:t>process</w:t>
      </w:r>
      <w:r>
        <w:t xml:space="preserve"> may </w:t>
      </w:r>
      <w:r>
        <w:rPr>
          <w:spacing w:val="-1"/>
        </w:rPr>
        <w:t>provide</w:t>
      </w:r>
      <w:r>
        <w:rPr>
          <w:spacing w:val="-4"/>
        </w:rPr>
        <w:t xml:space="preserve"> </w:t>
      </w:r>
      <w:r>
        <w:rPr>
          <w:spacing w:val="-2"/>
        </w:rPr>
        <w:t>ACTEW</w:t>
      </w:r>
      <w:r>
        <w:rPr>
          <w:spacing w:val="-3"/>
        </w:rPr>
        <w:t xml:space="preserve"> </w:t>
      </w:r>
      <w:r>
        <w:t xml:space="preserve">with a </w:t>
      </w:r>
      <w:r>
        <w:rPr>
          <w:spacing w:val="-2"/>
        </w:rPr>
        <w:t>greater</w:t>
      </w:r>
      <w:r>
        <w:rPr>
          <w:spacing w:val="57"/>
        </w:rPr>
        <w:t xml:space="preserve"> </w:t>
      </w:r>
      <w:r>
        <w:rPr>
          <w:spacing w:val="-1"/>
        </w:rPr>
        <w:t xml:space="preserve">opportunity </w:t>
      </w:r>
      <w:r>
        <w:t xml:space="preserve">to </w:t>
      </w:r>
      <w:r>
        <w:rPr>
          <w:spacing w:val="-1"/>
        </w:rPr>
        <w:t xml:space="preserve">recover </w:t>
      </w:r>
      <w:r>
        <w:t xml:space="preserve">its </w:t>
      </w:r>
      <w:r>
        <w:rPr>
          <w:spacing w:val="-1"/>
        </w:rPr>
        <w:t>efficient</w:t>
      </w:r>
      <w:r>
        <w:t xml:space="preserve"> costs,</w:t>
      </w:r>
      <w:r>
        <w:rPr>
          <w:spacing w:val="-7"/>
        </w:rPr>
        <w:t xml:space="preserve"> </w:t>
      </w:r>
      <w:r>
        <w:t xml:space="preserve">it comes </w:t>
      </w:r>
      <w:r>
        <w:rPr>
          <w:spacing w:val="-1"/>
        </w:rPr>
        <w:t xml:space="preserve">at </w:t>
      </w:r>
      <w:r>
        <w:t xml:space="preserve">the </w:t>
      </w:r>
      <w:r>
        <w:rPr>
          <w:spacing w:val="-1"/>
        </w:rPr>
        <w:t xml:space="preserve">expense </w:t>
      </w:r>
      <w:r>
        <w:t>of</w:t>
      </w:r>
      <w:r>
        <w:rPr>
          <w:spacing w:val="4"/>
        </w:rPr>
        <w:t xml:space="preserve"> </w:t>
      </w:r>
      <w:r>
        <w:t xml:space="preserve">higher </w:t>
      </w:r>
      <w:r>
        <w:rPr>
          <w:spacing w:val="-1"/>
        </w:rPr>
        <w:t xml:space="preserve">regulatory </w:t>
      </w:r>
      <w:r>
        <w:t>costs,</w:t>
      </w:r>
      <w:r>
        <w:rPr>
          <w:spacing w:val="-6"/>
        </w:rPr>
        <w:t xml:space="preserve"> </w:t>
      </w:r>
      <w:r>
        <w:t>price</w:t>
      </w:r>
      <w:r>
        <w:rPr>
          <w:spacing w:val="51"/>
        </w:rPr>
        <w:t xml:space="preserve"> </w:t>
      </w:r>
      <w:r>
        <w:t>instability</w:t>
      </w:r>
      <w:r>
        <w:rPr>
          <w:spacing w:val="-1"/>
        </w:rPr>
        <w:t xml:space="preserve"> </w:t>
      </w:r>
      <w:r>
        <w:t>and</w:t>
      </w:r>
      <w:r>
        <w:rPr>
          <w:spacing w:val="-1"/>
        </w:rPr>
        <w:t xml:space="preserve"> </w:t>
      </w:r>
      <w:r>
        <w:t>adverse</w:t>
      </w:r>
      <w:r>
        <w:rPr>
          <w:spacing w:val="-1"/>
        </w:rPr>
        <w:t xml:space="preserve"> effects</w:t>
      </w:r>
      <w:r>
        <w:t xml:space="preserve"> on</w:t>
      </w:r>
      <w:r>
        <w:rPr>
          <w:spacing w:val="-5"/>
        </w:rPr>
        <w:t xml:space="preserve"> </w:t>
      </w:r>
      <w:r>
        <w:rPr>
          <w:spacing w:val="-2"/>
        </w:rPr>
        <w:t>ACTEW’s</w:t>
      </w:r>
      <w:r>
        <w:rPr>
          <w:spacing w:val="-1"/>
        </w:rPr>
        <w:t xml:space="preserve"> </w:t>
      </w:r>
      <w:r>
        <w:t>incentive to</w:t>
      </w:r>
      <w:r>
        <w:rPr>
          <w:spacing w:val="-1"/>
        </w:rPr>
        <w:t xml:space="preserve"> </w:t>
      </w:r>
      <w:r>
        <w:t>pursue</w:t>
      </w:r>
      <w:r>
        <w:rPr>
          <w:spacing w:val="-1"/>
        </w:rPr>
        <w:t xml:space="preserve"> efficiencies.</w:t>
      </w:r>
      <w:r>
        <w:rPr>
          <w:spacing w:val="-6"/>
        </w:rPr>
        <w:t xml:space="preserve"> </w:t>
      </w:r>
      <w:r>
        <w:rPr>
          <w:spacing w:val="-1"/>
        </w:rPr>
        <w:t xml:space="preserve">Even </w:t>
      </w:r>
      <w:r>
        <w:t>if</w:t>
      </w:r>
      <w:r>
        <w:rPr>
          <w:spacing w:val="3"/>
        </w:rPr>
        <w:t xml:space="preserve"> </w:t>
      </w:r>
      <w:r>
        <w:t>the biennial</w:t>
      </w:r>
      <w:r>
        <w:rPr>
          <w:spacing w:val="29"/>
        </w:rPr>
        <w:t xml:space="preserve"> </w:t>
      </w:r>
      <w:r>
        <w:rPr>
          <w:rFonts w:cs="Avenir Next"/>
          <w:spacing w:val="-1"/>
        </w:rPr>
        <w:t>recalibration</w:t>
      </w:r>
      <w:r>
        <w:rPr>
          <w:rFonts w:cs="Avenir Next"/>
        </w:rPr>
        <w:t xml:space="preserve"> </w:t>
      </w:r>
      <w:r>
        <w:rPr>
          <w:rFonts w:cs="Avenir Next"/>
          <w:spacing w:val="-1"/>
        </w:rPr>
        <w:t>process</w:t>
      </w:r>
      <w:r>
        <w:rPr>
          <w:rFonts w:cs="Avenir Next"/>
        </w:rPr>
        <w:t xml:space="preserve"> was assumed not to </w:t>
      </w:r>
      <w:r>
        <w:rPr>
          <w:rFonts w:cs="Avenir Next"/>
          <w:spacing w:val="-1"/>
        </w:rPr>
        <w:t>operate,</w:t>
      </w:r>
      <w:r>
        <w:rPr>
          <w:rFonts w:cs="Avenir Next"/>
          <w:spacing w:val="-6"/>
        </w:rPr>
        <w:t xml:space="preserve"> </w:t>
      </w:r>
      <w:r>
        <w:rPr>
          <w:rFonts w:cs="Avenir Next"/>
        </w:rPr>
        <w:t xml:space="preserve">the </w:t>
      </w:r>
      <w:r>
        <w:rPr>
          <w:rFonts w:cs="Avenir Next"/>
          <w:spacing w:val="-3"/>
        </w:rPr>
        <w:t>Panel</w:t>
      </w:r>
      <w:r>
        <w:rPr>
          <w:rFonts w:cs="Avenir Next"/>
        </w:rPr>
        <w:t xml:space="preserve"> would still have concerns about the</w:t>
      </w:r>
      <w:r>
        <w:rPr>
          <w:rFonts w:cs="Avenir Next"/>
          <w:spacing w:val="25"/>
        </w:rPr>
        <w:t xml:space="preserve"> </w:t>
      </w:r>
      <w:r>
        <w:rPr>
          <w:rFonts w:cs="Avenir Next"/>
          <w:spacing w:val="-1"/>
        </w:rPr>
        <w:t>distortionary</w:t>
      </w:r>
      <w:r>
        <w:rPr>
          <w:rFonts w:cs="Avenir Next"/>
        </w:rPr>
        <w:t xml:space="preserve"> </w:t>
      </w:r>
      <w:r>
        <w:rPr>
          <w:rFonts w:cs="Avenir Next"/>
          <w:spacing w:val="-1"/>
        </w:rPr>
        <w:t>effect</w:t>
      </w:r>
      <w:r>
        <w:rPr>
          <w:rFonts w:cs="Avenir Next"/>
        </w:rPr>
        <w:t xml:space="preserve"> </w:t>
      </w:r>
      <w:r>
        <w:rPr>
          <w:rFonts w:cs="Avenir Next"/>
          <w:spacing w:val="-1"/>
        </w:rPr>
        <w:t>that</w:t>
      </w:r>
      <w:r>
        <w:rPr>
          <w:rFonts w:cs="Avenir Next"/>
        </w:rPr>
        <w:t xml:space="preserve"> the use of</w:t>
      </w:r>
      <w:r>
        <w:rPr>
          <w:rFonts w:cs="Avenir Next"/>
          <w:spacing w:val="4"/>
        </w:rPr>
        <w:t xml:space="preserve"> </w:t>
      </w:r>
      <w:r>
        <w:rPr>
          <w:rFonts w:cs="Avenir Next"/>
        </w:rPr>
        <w:t xml:space="preserve">a </w:t>
      </w:r>
      <w:r>
        <w:rPr>
          <w:rFonts w:cs="Avenir Next"/>
          <w:spacing w:val="-1"/>
        </w:rPr>
        <w:t>conservative</w:t>
      </w:r>
      <w:r>
        <w:rPr>
          <w:rFonts w:cs="Avenir Next"/>
        </w:rPr>
        <w:t xml:space="preserve"> </w:t>
      </w:r>
      <w:r>
        <w:rPr>
          <w:rFonts w:cs="Avenir Next"/>
          <w:spacing w:val="-1"/>
        </w:rPr>
        <w:t>water</w:t>
      </w:r>
      <w:r>
        <w:rPr>
          <w:rFonts w:cs="Avenir Next"/>
        </w:rPr>
        <w:t xml:space="preserve"> sales assumption would have on asset </w:t>
      </w:r>
      <w:r>
        <w:rPr>
          <w:rFonts w:cs="Avenir Next"/>
          <w:spacing w:val="-1"/>
        </w:rPr>
        <w:t>utilisation</w:t>
      </w:r>
      <w:r>
        <w:rPr>
          <w:rFonts w:cs="Avenir Next"/>
          <w:spacing w:val="71"/>
        </w:rPr>
        <w:t xml:space="preserve"> </w:t>
      </w:r>
      <w:r>
        <w:t>and</w:t>
      </w:r>
      <w:r>
        <w:rPr>
          <w:spacing w:val="-1"/>
        </w:rPr>
        <w:t xml:space="preserve"> allocative</w:t>
      </w:r>
      <w:r>
        <w:t xml:space="preserve"> </w:t>
      </w:r>
      <w:r>
        <w:rPr>
          <w:spacing w:val="-1"/>
        </w:rPr>
        <w:t xml:space="preserve">efficiency more </w:t>
      </w:r>
      <w:r>
        <w:rPr>
          <w:spacing w:val="-2"/>
        </w:rPr>
        <w:t>generally.</w:t>
      </w:r>
      <w:r>
        <w:rPr>
          <w:spacing w:val="-11"/>
        </w:rPr>
        <w:t xml:space="preserve"> </w:t>
      </w:r>
      <w:r>
        <w:rPr>
          <w:spacing w:val="-2"/>
        </w:rPr>
        <w:t>That</w:t>
      </w:r>
      <w:r>
        <w:t xml:space="preserve"> is,</w:t>
      </w:r>
      <w:r>
        <w:rPr>
          <w:spacing w:val="-7"/>
        </w:rPr>
        <w:t xml:space="preserve"> </w:t>
      </w:r>
      <w:r>
        <w:t>by adopting</w:t>
      </w:r>
      <w:r>
        <w:rPr>
          <w:spacing w:val="-1"/>
        </w:rPr>
        <w:t xml:space="preserve"> </w:t>
      </w:r>
      <w:r>
        <w:t xml:space="preserve">a </w:t>
      </w:r>
      <w:r>
        <w:rPr>
          <w:spacing w:val="-1"/>
        </w:rPr>
        <w:t xml:space="preserve">conservative </w:t>
      </w:r>
      <w:r>
        <w:t xml:space="preserve">demand </w:t>
      </w:r>
      <w:r>
        <w:rPr>
          <w:spacing w:val="-1"/>
        </w:rPr>
        <w:t>forecast,</w:t>
      </w:r>
      <w:r>
        <w:rPr>
          <w:spacing w:val="-7"/>
        </w:rPr>
        <w:t xml:space="preserve"> </w:t>
      </w:r>
      <w:r>
        <w:t>prices will</w:t>
      </w:r>
      <w:r>
        <w:rPr>
          <w:spacing w:val="81"/>
        </w:rPr>
        <w:t xml:space="preserve"> </w:t>
      </w:r>
      <w:r>
        <w:t>be</w:t>
      </w:r>
      <w:r>
        <w:rPr>
          <w:spacing w:val="-1"/>
        </w:rPr>
        <w:t xml:space="preserve"> </w:t>
      </w:r>
      <w:r>
        <w:t>higher than</w:t>
      </w:r>
      <w:r>
        <w:rPr>
          <w:spacing w:val="-1"/>
        </w:rPr>
        <w:t xml:space="preserve"> what</w:t>
      </w:r>
      <w:r>
        <w:t xml:space="preserve"> they otherwise</w:t>
      </w:r>
      <w:r>
        <w:rPr>
          <w:spacing w:val="-1"/>
        </w:rPr>
        <w:t xml:space="preserve"> </w:t>
      </w:r>
      <w:r>
        <w:t>would be,</w:t>
      </w:r>
      <w:r>
        <w:rPr>
          <w:spacing w:val="-7"/>
        </w:rPr>
        <w:t xml:space="preserve"> </w:t>
      </w:r>
      <w:r>
        <w:t>which</w:t>
      </w:r>
      <w:r>
        <w:rPr>
          <w:spacing w:val="-1"/>
        </w:rPr>
        <w:t xml:space="preserve"> </w:t>
      </w:r>
      <w:r>
        <w:t>will,</w:t>
      </w:r>
      <w:r>
        <w:rPr>
          <w:spacing w:val="-6"/>
        </w:rPr>
        <w:t xml:space="preserve"> </w:t>
      </w:r>
      <w:r>
        <w:t>in turn,</w:t>
      </w:r>
      <w:r>
        <w:rPr>
          <w:spacing w:val="-7"/>
        </w:rPr>
        <w:t xml:space="preserve"> </w:t>
      </w:r>
      <w:r>
        <w:rPr>
          <w:spacing w:val="-1"/>
        </w:rPr>
        <w:t>discourage</w:t>
      </w:r>
      <w:r>
        <w:t xml:space="preserve"> the </w:t>
      </w:r>
      <w:r>
        <w:rPr>
          <w:spacing w:val="-1"/>
        </w:rPr>
        <w:t>efficient utilisation</w:t>
      </w:r>
      <w:r>
        <w:t xml:space="preserve"> of</w:t>
      </w:r>
      <w:r>
        <w:rPr>
          <w:spacing w:val="47"/>
        </w:rPr>
        <w:t xml:space="preserve"> </w:t>
      </w:r>
      <w:r>
        <w:t>the assets.</w:t>
      </w:r>
    </w:p>
    <w:p w:rsidR="00D96B91" w:rsidRDefault="00C2656B">
      <w:pPr>
        <w:pStyle w:val="BodyText"/>
        <w:spacing w:before="170" w:line="260" w:lineRule="exact"/>
        <w:ind w:right="1256"/>
        <w:rPr>
          <w:sz w:val="11"/>
          <w:szCs w:val="11"/>
        </w:rPr>
      </w:pPr>
      <w:r>
        <w:rPr>
          <w:spacing w:val="-2"/>
        </w:rPr>
        <w:t>ACTEW’s</w:t>
      </w:r>
      <w:r>
        <w:t xml:space="preserve"> </w:t>
      </w:r>
      <w:r>
        <w:rPr>
          <w:spacing w:val="-1"/>
        </w:rPr>
        <w:t>proposal</w:t>
      </w:r>
      <w:r>
        <w:t xml:space="preserve"> to shield itself</w:t>
      </w:r>
      <w:r>
        <w:rPr>
          <w:spacing w:val="4"/>
        </w:rPr>
        <w:t xml:space="preserve"> </w:t>
      </w:r>
      <w:r>
        <w:rPr>
          <w:spacing w:val="-1"/>
        </w:rPr>
        <w:t>from</w:t>
      </w:r>
      <w:r>
        <w:t xml:space="preserve"> </w:t>
      </w:r>
      <w:r>
        <w:rPr>
          <w:spacing w:val="-1"/>
        </w:rPr>
        <w:t>demand-related</w:t>
      </w:r>
      <w:r>
        <w:t xml:space="preserve"> </w:t>
      </w:r>
      <w:r>
        <w:rPr>
          <w:spacing w:val="-1"/>
        </w:rPr>
        <w:t>risks</w:t>
      </w:r>
      <w:r>
        <w:t xml:space="preserve"> by adopting a </w:t>
      </w:r>
      <w:r>
        <w:rPr>
          <w:spacing w:val="-1"/>
        </w:rPr>
        <w:t>revenue</w:t>
      </w:r>
      <w:r>
        <w:t xml:space="preserve"> cap and </w:t>
      </w:r>
      <w:r>
        <w:rPr>
          <w:spacing w:val="-1"/>
        </w:rPr>
        <w:t>updating</w:t>
      </w:r>
      <w:r>
        <w:rPr>
          <w:spacing w:val="51"/>
        </w:rPr>
        <w:t xml:space="preserve"> </w:t>
      </w:r>
      <w:r>
        <w:rPr>
          <w:rFonts w:cs="Avenir Next"/>
        </w:rPr>
        <w:t xml:space="preserve">prices annually can also be </w:t>
      </w:r>
      <w:r>
        <w:rPr>
          <w:rFonts w:cs="Avenir Next"/>
          <w:spacing w:val="-1"/>
        </w:rPr>
        <w:t>expected</w:t>
      </w:r>
      <w:r>
        <w:rPr>
          <w:rFonts w:cs="Avenir Next"/>
        </w:rPr>
        <w:t xml:space="preserve"> to </w:t>
      </w:r>
      <w:r>
        <w:rPr>
          <w:rFonts w:cs="Avenir Next"/>
          <w:spacing w:val="-1"/>
        </w:rPr>
        <w:t>result</w:t>
      </w:r>
      <w:r>
        <w:rPr>
          <w:rFonts w:cs="Avenir Next"/>
        </w:rPr>
        <w:t xml:space="preserve"> in higher </w:t>
      </w:r>
      <w:r>
        <w:rPr>
          <w:rFonts w:cs="Avenir Next"/>
          <w:spacing w:val="-1"/>
        </w:rPr>
        <w:t>regulatory</w:t>
      </w:r>
      <w:r>
        <w:rPr>
          <w:rFonts w:cs="Avenir Next"/>
        </w:rPr>
        <w:t xml:space="preserve"> costs and </w:t>
      </w:r>
      <w:r>
        <w:rPr>
          <w:rFonts w:cs="Avenir Next"/>
          <w:spacing w:val="-1"/>
        </w:rPr>
        <w:t>increased</w:t>
      </w:r>
      <w:r>
        <w:rPr>
          <w:rFonts w:cs="Avenir Next"/>
        </w:rPr>
        <w:t xml:space="preserve"> price instability</w:t>
      </w:r>
      <w:r>
        <w:rPr>
          <w:rFonts w:cs="Avenir Next"/>
          <w:spacing w:val="31"/>
        </w:rPr>
        <w:t xml:space="preserve"> </w:t>
      </w:r>
      <w:r>
        <w:t xml:space="preserve">over the </w:t>
      </w:r>
      <w:r>
        <w:rPr>
          <w:spacing w:val="-1"/>
        </w:rPr>
        <w:t>regulatory</w:t>
      </w:r>
      <w:r>
        <w:t xml:space="preserve"> period,</w:t>
      </w:r>
      <w:r>
        <w:rPr>
          <w:spacing w:val="-6"/>
        </w:rPr>
        <w:t xml:space="preserve"> </w:t>
      </w:r>
      <w:r>
        <w:t xml:space="preserve">which is </w:t>
      </w:r>
      <w:r>
        <w:rPr>
          <w:spacing w:val="-1"/>
        </w:rPr>
        <w:t>what</w:t>
      </w:r>
      <w:r>
        <w:t xml:space="preserve"> </w:t>
      </w:r>
      <w:r>
        <w:rPr>
          <w:spacing w:val="-1"/>
        </w:rPr>
        <w:t>occurred</w:t>
      </w:r>
      <w:r>
        <w:t xml:space="preserve"> in the 2004 </w:t>
      </w:r>
      <w:r>
        <w:rPr>
          <w:spacing w:val="-1"/>
        </w:rPr>
        <w:t>regulatory</w:t>
      </w:r>
      <w:r>
        <w:t xml:space="preserve"> period when a similar</w:t>
      </w:r>
      <w:r>
        <w:rPr>
          <w:spacing w:val="29"/>
        </w:rPr>
        <w:t xml:space="preserve"> </w:t>
      </w:r>
      <w:r>
        <w:rPr>
          <w:spacing w:val="-1"/>
        </w:rPr>
        <w:t>approach</w:t>
      </w:r>
      <w:r>
        <w:rPr>
          <w:spacing w:val="3"/>
        </w:rPr>
        <w:t xml:space="preserve"> </w:t>
      </w:r>
      <w:r>
        <w:t>was</w:t>
      </w:r>
      <w:r>
        <w:rPr>
          <w:spacing w:val="3"/>
        </w:rPr>
        <w:t xml:space="preserve"> </w:t>
      </w:r>
      <w:r>
        <w:rPr>
          <w:spacing w:val="-1"/>
        </w:rPr>
        <w:t>adopted.</w:t>
      </w:r>
      <w:r>
        <w:rPr>
          <w:spacing w:val="-1"/>
          <w:position w:val="7"/>
          <w:sz w:val="11"/>
          <w:szCs w:val="11"/>
        </w:rPr>
        <w:t>49</w:t>
      </w:r>
    </w:p>
    <w:p w:rsidR="00D96B91" w:rsidRDefault="00C2656B">
      <w:pPr>
        <w:pStyle w:val="BodyText"/>
        <w:spacing w:before="178"/>
      </w:pPr>
      <w:r>
        <w:t>Given these concerns,</w:t>
      </w:r>
      <w:r>
        <w:rPr>
          <w:spacing w:val="-7"/>
        </w:rPr>
        <w:t xml:space="preserve"> </w:t>
      </w:r>
      <w:r>
        <w:t xml:space="preserve">the </w:t>
      </w:r>
      <w:r>
        <w:rPr>
          <w:spacing w:val="-3"/>
        </w:rPr>
        <w:t>Panel</w:t>
      </w:r>
      <w:r>
        <w:t xml:space="preserve"> decided </w:t>
      </w:r>
      <w:r>
        <w:rPr>
          <w:b/>
        </w:rPr>
        <w:t xml:space="preserve">not </w:t>
      </w:r>
      <w:r>
        <w:t>to implement either of</w:t>
      </w:r>
      <w:r>
        <w:rPr>
          <w:spacing w:val="4"/>
        </w:rPr>
        <w:t xml:space="preserve"> </w:t>
      </w:r>
      <w:r>
        <w:t xml:space="preserve">these </w:t>
      </w:r>
      <w:r>
        <w:rPr>
          <w:spacing w:val="-1"/>
        </w:rPr>
        <w:t>approaches.</w:t>
      </w:r>
    </w:p>
    <w:p w:rsidR="00D96B91" w:rsidRDefault="00D96B91">
      <w:pPr>
        <w:spacing w:before="8"/>
        <w:rPr>
          <w:rFonts w:ascii="Avenir Next" w:eastAsia="Avenir Next" w:hAnsi="Avenir Next" w:cs="Avenir Next"/>
          <w:sz w:val="18"/>
          <w:szCs w:val="18"/>
        </w:rPr>
      </w:pPr>
    </w:p>
    <w:p w:rsidR="00D96B91" w:rsidRDefault="00C2656B">
      <w:pPr>
        <w:pStyle w:val="Heading7"/>
        <w:numPr>
          <w:ilvl w:val="3"/>
          <w:numId w:val="97"/>
        </w:numPr>
        <w:tabs>
          <w:tab w:val="left" w:pos="2212"/>
        </w:tabs>
        <w:ind w:left="2211"/>
        <w:rPr>
          <w:b w:val="0"/>
          <w:bCs w:val="0"/>
        </w:rPr>
      </w:pPr>
      <w:r>
        <w:rPr>
          <w:color w:val="0778BE"/>
          <w:spacing w:val="-1"/>
        </w:rPr>
        <w:t>Approaches</w:t>
      </w:r>
      <w:r>
        <w:rPr>
          <w:color w:val="0778BE"/>
        </w:rPr>
        <w:t xml:space="preserve"> used by other </w:t>
      </w:r>
      <w:r>
        <w:rPr>
          <w:color w:val="0778BE"/>
          <w:spacing w:val="-1"/>
        </w:rPr>
        <w:t>regulators</w:t>
      </w:r>
    </w:p>
    <w:p w:rsidR="00D96B91" w:rsidRDefault="00C2656B">
      <w:pPr>
        <w:pStyle w:val="BodyText"/>
        <w:spacing w:before="28" w:line="260" w:lineRule="exact"/>
        <w:ind w:right="1256"/>
      </w:pPr>
      <w:r>
        <w:t>As Chapter 3 highlighted,</w:t>
      </w:r>
      <w:r>
        <w:rPr>
          <w:spacing w:val="-7"/>
        </w:rPr>
        <w:t xml:space="preserve"> </w:t>
      </w:r>
      <w:r>
        <w:rPr>
          <w:spacing w:val="-1"/>
        </w:rPr>
        <w:t>water</w:t>
      </w:r>
      <w:r>
        <w:t xml:space="preserve"> businesses and </w:t>
      </w:r>
      <w:r>
        <w:rPr>
          <w:spacing w:val="-1"/>
        </w:rPr>
        <w:t>regulators</w:t>
      </w:r>
      <w:r>
        <w:t xml:space="preserve"> </w:t>
      </w:r>
      <w:r>
        <w:rPr>
          <w:spacing w:val="-1"/>
        </w:rPr>
        <w:t>throughout</w:t>
      </w:r>
      <w:r>
        <w:rPr>
          <w:spacing w:val="-4"/>
        </w:rPr>
        <w:t xml:space="preserve"> </w:t>
      </w:r>
      <w:r>
        <w:rPr>
          <w:spacing w:val="-1"/>
        </w:rPr>
        <w:t>Australia</w:t>
      </w:r>
      <w:r>
        <w:t xml:space="preserve"> </w:t>
      </w:r>
      <w:r>
        <w:rPr>
          <w:spacing w:val="-2"/>
        </w:rPr>
        <w:t>are</w:t>
      </w:r>
      <w:r>
        <w:t xml:space="preserve"> </w:t>
      </w:r>
      <w:r>
        <w:rPr>
          <w:spacing w:val="-1"/>
        </w:rPr>
        <w:t>dealing</w:t>
      </w:r>
      <w:r>
        <w:t xml:space="preserve"> with</w:t>
      </w:r>
      <w:r>
        <w:rPr>
          <w:spacing w:val="53"/>
        </w:rPr>
        <w:t xml:space="preserve"> </w:t>
      </w:r>
      <w:r>
        <w:rPr>
          <w:spacing w:val="-1"/>
        </w:rPr>
        <w:t>uncertain</w:t>
      </w:r>
      <w:r>
        <w:t xml:space="preserve"> demand following the Millennium </w:t>
      </w:r>
      <w:r>
        <w:rPr>
          <w:spacing w:val="-1"/>
        </w:rPr>
        <w:t>Drought.</w:t>
      </w:r>
      <w:r>
        <w:rPr>
          <w:spacing w:val="-10"/>
        </w:rPr>
        <w:t xml:space="preserve"> </w:t>
      </w:r>
      <w:r>
        <w:t>A</w:t>
      </w:r>
      <w:r>
        <w:rPr>
          <w:spacing w:val="-4"/>
        </w:rPr>
        <w:t xml:space="preserve"> </w:t>
      </w:r>
      <w:r>
        <w:t>number of</w:t>
      </w:r>
      <w:r>
        <w:rPr>
          <w:spacing w:val="4"/>
        </w:rPr>
        <w:t xml:space="preserve"> </w:t>
      </w:r>
      <w:r>
        <w:rPr>
          <w:spacing w:val="-1"/>
        </w:rPr>
        <w:t>water</w:t>
      </w:r>
      <w:r>
        <w:t xml:space="preserve"> businesses in</w:t>
      </w:r>
      <w:r>
        <w:rPr>
          <w:spacing w:val="-4"/>
        </w:rPr>
        <w:t xml:space="preserve"> </w:t>
      </w:r>
      <w:r>
        <w:rPr>
          <w:spacing w:val="-1"/>
        </w:rPr>
        <w:t>Australia</w:t>
      </w:r>
      <w:r>
        <w:t xml:space="preserve"> have</w:t>
      </w:r>
      <w:r>
        <w:rPr>
          <w:spacing w:val="39"/>
        </w:rPr>
        <w:t xml:space="preserve"> </w:t>
      </w:r>
      <w:r>
        <w:rPr>
          <w:spacing w:val="-1"/>
        </w:rPr>
        <w:t>grappled</w:t>
      </w:r>
      <w:r>
        <w:t xml:space="preserve"> with this issue over the last few </w:t>
      </w:r>
      <w:r>
        <w:rPr>
          <w:spacing w:val="-1"/>
        </w:rPr>
        <w:t>years.</w:t>
      </w:r>
    </w:p>
    <w:p w:rsidR="00D96B91" w:rsidRDefault="00C2656B">
      <w:pPr>
        <w:pStyle w:val="BodyText"/>
        <w:spacing w:before="170" w:line="260" w:lineRule="exact"/>
        <w:ind w:right="1356"/>
      </w:pPr>
      <w:r>
        <w:t>An overview of</w:t>
      </w:r>
      <w:r>
        <w:rPr>
          <w:spacing w:val="4"/>
        </w:rPr>
        <w:t xml:space="preserve"> </w:t>
      </w:r>
      <w:r>
        <w:t xml:space="preserve">the </w:t>
      </w:r>
      <w:r>
        <w:rPr>
          <w:spacing w:val="-1"/>
        </w:rPr>
        <w:t>measures</w:t>
      </w:r>
      <w:r>
        <w:t xml:space="preserve"> other </w:t>
      </w:r>
      <w:r>
        <w:rPr>
          <w:spacing w:val="-1"/>
        </w:rPr>
        <w:t>regulators</w:t>
      </w:r>
      <w:r>
        <w:t xml:space="preserve"> have </w:t>
      </w:r>
      <w:r>
        <w:rPr>
          <w:spacing w:val="-1"/>
        </w:rPr>
        <w:t>recently</w:t>
      </w:r>
      <w:r>
        <w:t xml:space="preserve"> used to </w:t>
      </w:r>
      <w:r>
        <w:rPr>
          <w:spacing w:val="-1"/>
        </w:rPr>
        <w:t>deal</w:t>
      </w:r>
      <w:r>
        <w:t xml:space="preserve"> with </w:t>
      </w:r>
      <w:r>
        <w:rPr>
          <w:spacing w:val="-1"/>
        </w:rPr>
        <w:t>demand-related</w:t>
      </w:r>
      <w:r>
        <w:t xml:space="preserve"> </w:t>
      </w:r>
      <w:r>
        <w:rPr>
          <w:spacing w:val="-1"/>
        </w:rPr>
        <w:t>risks</w:t>
      </w:r>
      <w:r>
        <w:t xml:space="preserve"> is</w:t>
      </w:r>
      <w:r>
        <w:rPr>
          <w:spacing w:val="47"/>
        </w:rPr>
        <w:t xml:space="preserve"> </w:t>
      </w:r>
      <w:r>
        <w:rPr>
          <w:spacing w:val="-1"/>
        </w:rPr>
        <w:t xml:space="preserve">provided </w:t>
      </w:r>
      <w:r>
        <w:t>in</w:t>
      </w:r>
      <w:r>
        <w:rPr>
          <w:spacing w:val="-5"/>
        </w:rPr>
        <w:t xml:space="preserve"> </w:t>
      </w:r>
      <w:r>
        <w:t>Appendix 5.</w:t>
      </w:r>
      <w:r>
        <w:rPr>
          <w:spacing w:val="-7"/>
        </w:rPr>
        <w:t xml:space="preserve"> </w:t>
      </w:r>
      <w:r>
        <w:t>Of</w:t>
      </w:r>
      <w:r>
        <w:rPr>
          <w:spacing w:val="4"/>
        </w:rPr>
        <w:t xml:space="preserve"> </w:t>
      </w:r>
      <w:r>
        <w:t>the</w:t>
      </w:r>
      <w:r>
        <w:rPr>
          <w:spacing w:val="-1"/>
        </w:rPr>
        <w:t xml:space="preserve"> </w:t>
      </w:r>
      <w:r>
        <w:t>various</w:t>
      </w:r>
      <w:r>
        <w:rPr>
          <w:spacing w:val="-1"/>
        </w:rPr>
        <w:t xml:space="preserve"> measures</w:t>
      </w:r>
      <w:r>
        <w:t xml:space="preserve"> identified</w:t>
      </w:r>
      <w:r>
        <w:rPr>
          <w:spacing w:val="-1"/>
        </w:rPr>
        <w:t xml:space="preserve"> </w:t>
      </w:r>
      <w:r>
        <w:t>in this</w:t>
      </w:r>
      <w:r>
        <w:rPr>
          <w:spacing w:val="-1"/>
        </w:rPr>
        <w:t xml:space="preserve"> </w:t>
      </w:r>
      <w:r>
        <w:t>appendix,</w:t>
      </w:r>
      <w:r>
        <w:rPr>
          <w:spacing w:val="-6"/>
        </w:rPr>
        <w:t xml:space="preserve"> </w:t>
      </w:r>
      <w:r>
        <w:t>the</w:t>
      </w:r>
      <w:r>
        <w:rPr>
          <w:spacing w:val="-1"/>
        </w:rPr>
        <w:t xml:space="preserve"> </w:t>
      </w:r>
      <w:r>
        <w:rPr>
          <w:spacing w:val="-3"/>
        </w:rPr>
        <w:t>Panel</w:t>
      </w:r>
      <w:r>
        <w:rPr>
          <w:spacing w:val="-1"/>
        </w:rPr>
        <w:t xml:space="preserve"> </w:t>
      </w:r>
      <w:r>
        <w:t>considers the</w:t>
      </w:r>
      <w:r>
        <w:rPr>
          <w:spacing w:val="29"/>
        </w:rPr>
        <w:t xml:space="preserve"> </w:t>
      </w:r>
      <w:r>
        <w:t xml:space="preserve">hybrid price and </w:t>
      </w:r>
      <w:r>
        <w:rPr>
          <w:spacing w:val="-1"/>
        </w:rPr>
        <w:t>revenue</w:t>
      </w:r>
      <w:r>
        <w:t xml:space="preserve"> cap adopted by the Independent </w:t>
      </w:r>
      <w:r>
        <w:rPr>
          <w:spacing w:val="-2"/>
        </w:rPr>
        <w:t>Pricing</w:t>
      </w:r>
      <w:r>
        <w:t xml:space="preserve"> and </w:t>
      </w:r>
      <w:r>
        <w:rPr>
          <w:spacing w:val="-1"/>
        </w:rPr>
        <w:t>Regulatory</w:t>
      </w:r>
      <w:r>
        <w:rPr>
          <w:spacing w:val="-5"/>
        </w:rPr>
        <w:t xml:space="preserve"> </w:t>
      </w:r>
      <w:r>
        <w:rPr>
          <w:spacing w:val="-3"/>
        </w:rPr>
        <w:t>Tribunal</w:t>
      </w:r>
      <w:r>
        <w:t xml:space="preserve"> </w:t>
      </w:r>
      <w:r>
        <w:rPr>
          <w:spacing w:val="-3"/>
        </w:rPr>
        <w:t>(IPART)</w:t>
      </w:r>
      <w:r>
        <w:t xml:space="preserve"> in</w:t>
      </w:r>
      <w:r>
        <w:rPr>
          <w:spacing w:val="49"/>
        </w:rPr>
        <w:t xml:space="preserve"> </w:t>
      </w:r>
      <w:r>
        <w:t xml:space="preserve">its 2012 </w:t>
      </w:r>
      <w:r>
        <w:rPr>
          <w:spacing w:val="-1"/>
        </w:rPr>
        <w:t>Sydney</w:t>
      </w:r>
      <w:r>
        <w:rPr>
          <w:spacing w:val="-3"/>
        </w:rPr>
        <w:t xml:space="preserve"> </w:t>
      </w:r>
      <w:r>
        <w:rPr>
          <w:spacing w:val="-2"/>
        </w:rPr>
        <w:t>Water</w:t>
      </w:r>
      <w:r>
        <w:t xml:space="preserve"> decision has merit in this case.</w:t>
      </w:r>
    </w:p>
    <w:p w:rsidR="00D96B91" w:rsidRDefault="00C2656B">
      <w:pPr>
        <w:pStyle w:val="BodyText"/>
        <w:spacing w:before="170" w:line="260" w:lineRule="exact"/>
        <w:ind w:right="1356"/>
        <w:rPr>
          <w:rFonts w:cs="Avenir Next"/>
        </w:rPr>
      </w:pPr>
      <w:r>
        <w:rPr>
          <w:spacing w:val="-2"/>
        </w:rPr>
        <w:t>The</w:t>
      </w:r>
      <w:r>
        <w:t xml:space="preserve"> hybrid price and </w:t>
      </w:r>
      <w:r>
        <w:rPr>
          <w:spacing w:val="-1"/>
        </w:rPr>
        <w:t>revenue</w:t>
      </w:r>
      <w:r>
        <w:t xml:space="preserve"> cap adopted by </w:t>
      </w:r>
      <w:r>
        <w:rPr>
          <w:spacing w:val="-4"/>
        </w:rPr>
        <w:t>IPART</w:t>
      </w:r>
      <w:r>
        <w:rPr>
          <w:spacing w:val="-5"/>
        </w:rPr>
        <w:t xml:space="preserve"> </w:t>
      </w:r>
      <w:r>
        <w:t>in its decision consisted of</w:t>
      </w:r>
      <w:r>
        <w:rPr>
          <w:spacing w:val="4"/>
        </w:rPr>
        <w:t xml:space="preserve"> </w:t>
      </w:r>
      <w:r>
        <w:t>individual price caps</w:t>
      </w:r>
      <w:r>
        <w:rPr>
          <w:spacing w:val="30"/>
        </w:rPr>
        <w:t xml:space="preserve"> </w:t>
      </w:r>
      <w:r>
        <w:t xml:space="preserve">for </w:t>
      </w:r>
      <w:r>
        <w:rPr>
          <w:spacing w:val="-1"/>
        </w:rPr>
        <w:t>water</w:t>
      </w:r>
      <w:r>
        <w:t xml:space="preserve"> services and a demand </w:t>
      </w:r>
      <w:r>
        <w:rPr>
          <w:spacing w:val="-1"/>
        </w:rPr>
        <w:t>volatility</w:t>
      </w:r>
      <w:r>
        <w:t xml:space="preserve"> adjustment mechanism,</w:t>
      </w:r>
      <w:r>
        <w:rPr>
          <w:spacing w:val="-7"/>
        </w:rPr>
        <w:t xml:space="preserve"> </w:t>
      </w:r>
      <w:r>
        <w:t xml:space="preserve">which was implemented to </w:t>
      </w:r>
      <w:r>
        <w:rPr>
          <w:spacing w:val="-1"/>
        </w:rPr>
        <w:t>provide</w:t>
      </w:r>
    </w:p>
    <w:p w:rsidR="00D96B91" w:rsidRDefault="00D96B91">
      <w:pPr>
        <w:rPr>
          <w:rFonts w:ascii="Avenir Next" w:eastAsia="Avenir Next" w:hAnsi="Avenir Next" w:cs="Avenir Next"/>
          <w:sz w:val="29"/>
          <w:szCs w:val="2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49" style="width:72.5pt;height:.5pt;mso-position-horizontal-relative:char;mso-position-vertical-relative:line" coordsize="1450,10">
            <v:group id="_x0000_s3250" style="position:absolute;left:5;top:5;width:1440;height:2" coordorigin="5,5" coordsize="1440,2">
              <v:shape id="_x0000_s3251"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45" w:line="192" w:lineRule="exact"/>
        <w:ind w:right="1501"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is </w:t>
      </w:r>
      <w:r>
        <w:rPr>
          <w:rFonts w:ascii="Avenir Next" w:eastAsia="Avenir Next" w:hAnsi="Avenir Next" w:cs="Avenir Next"/>
          <w:spacing w:val="-1"/>
          <w:sz w:val="16"/>
          <w:szCs w:val="16"/>
        </w:rPr>
        <w:t>aware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statements</w:t>
      </w:r>
      <w:r>
        <w:rPr>
          <w:rFonts w:ascii="Avenir Next" w:eastAsia="Avenir Next" w:hAnsi="Avenir Next" w:cs="Avenir Next"/>
          <w:sz w:val="16"/>
          <w:szCs w:val="16"/>
        </w:rPr>
        <w:t xml:space="preserve"> made by the ICRC in the 2008 price </w:t>
      </w:r>
      <w:r>
        <w:rPr>
          <w:rFonts w:ascii="Avenir Next" w:eastAsia="Avenir Next" w:hAnsi="Avenir Next" w:cs="Avenir Next"/>
          <w:spacing w:val="-1"/>
          <w:sz w:val="16"/>
          <w:szCs w:val="16"/>
        </w:rPr>
        <w:t>direction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when a similar </w:t>
      </w:r>
      <w:r>
        <w:rPr>
          <w:rFonts w:ascii="Avenir Next" w:eastAsia="Avenir Next" w:hAnsi="Avenir Next" w:cs="Avenir Next"/>
          <w:spacing w:val="-1"/>
          <w:sz w:val="16"/>
          <w:szCs w:val="16"/>
        </w:rPr>
        <w:t>approach</w:t>
      </w:r>
      <w:r>
        <w:rPr>
          <w:rFonts w:ascii="Avenir Next" w:eastAsia="Avenir Next" w:hAnsi="Avenir Next" w:cs="Avenir Next"/>
          <w:sz w:val="16"/>
          <w:szCs w:val="16"/>
        </w:rPr>
        <w:t xml:space="preserve"> was</w:t>
      </w:r>
      <w:r>
        <w:rPr>
          <w:rFonts w:ascii="Avenir Next" w:eastAsia="Avenir Next" w:hAnsi="Avenir Next" w:cs="Avenir Next"/>
          <w:spacing w:val="49"/>
          <w:sz w:val="16"/>
          <w:szCs w:val="16"/>
        </w:rPr>
        <w:t xml:space="preserve"> </w:t>
      </w:r>
      <w:r>
        <w:rPr>
          <w:rFonts w:ascii="Avenir Next" w:eastAsia="Avenir Next" w:hAnsi="Avenir Next" w:cs="Avenir Next"/>
          <w:sz w:val="16"/>
          <w:szCs w:val="16"/>
        </w:rPr>
        <w:t>adopted</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in 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2004 </w:t>
      </w:r>
      <w:r>
        <w:rPr>
          <w:rFonts w:ascii="Avenir Next" w:eastAsia="Avenir Next" w:hAnsi="Avenir Next" w:cs="Avenir Next"/>
          <w:spacing w:val="-1"/>
          <w:sz w:val="16"/>
          <w:szCs w:val="16"/>
        </w:rPr>
        <w:t xml:space="preserve">regulatory </w:t>
      </w:r>
      <w:r>
        <w:rPr>
          <w:rFonts w:ascii="Avenir Next" w:eastAsia="Avenir Next" w:hAnsi="Avenir Next" w:cs="Avenir Next"/>
          <w:sz w:val="16"/>
          <w:szCs w:val="16"/>
        </w:rPr>
        <w:t>period,</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 xml:space="preserve">water </w:t>
      </w:r>
      <w:r>
        <w:rPr>
          <w:rFonts w:ascii="Avenir Next" w:eastAsia="Avenir Next" w:hAnsi="Avenir Next" w:cs="Avenir Next"/>
          <w:sz w:val="16"/>
          <w:szCs w:val="16"/>
        </w:rPr>
        <w:t xml:space="preserve">prices </w:t>
      </w:r>
      <w:r>
        <w:rPr>
          <w:rFonts w:ascii="Avenir Next" w:eastAsia="Avenir Next" w:hAnsi="Avenir Next" w:cs="Avenir Next"/>
          <w:spacing w:val="-1"/>
          <w:sz w:val="16"/>
          <w:szCs w:val="16"/>
        </w:rPr>
        <w:t xml:space="preserve">exhibited </w:t>
      </w:r>
      <w:r>
        <w:rPr>
          <w:rFonts w:ascii="Avenir Next" w:eastAsia="Avenir Next" w:hAnsi="Avenir Next" w:cs="Avenir Next"/>
          <w:sz w:val="16"/>
          <w:szCs w:val="16"/>
        </w:rPr>
        <w:t>a significant</w:t>
      </w:r>
      <w:r>
        <w:rPr>
          <w:rFonts w:ascii="Avenir Next" w:eastAsia="Avenir Next" w:hAnsi="Avenir Next" w:cs="Avenir Next"/>
          <w:spacing w:val="-1"/>
          <w:sz w:val="16"/>
          <w:szCs w:val="16"/>
        </w:rPr>
        <w:t xml:space="preserve"> degree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variability</w:t>
      </w:r>
      <w:r>
        <w:rPr>
          <w:rFonts w:ascii="Avenir Next" w:eastAsia="Avenir Next" w:hAnsi="Avenir Next" w:cs="Avenir Next"/>
          <w:spacing w:val="-1"/>
          <w:sz w:val="16"/>
          <w:szCs w:val="16"/>
        </w:rPr>
        <w:t xml:space="preserve"> from</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year-to-year </w:t>
      </w:r>
      <w:r>
        <w:rPr>
          <w:rFonts w:ascii="Avenir Next" w:eastAsia="Avenir Next" w:hAnsi="Avenir Next" w:cs="Avenir Next"/>
          <w:sz w:val="16"/>
          <w:szCs w:val="16"/>
        </w:rPr>
        <w:t>and</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 xml:space="preserve">the annual </w:t>
      </w:r>
      <w:r>
        <w:rPr>
          <w:rFonts w:ascii="Avenir Next" w:eastAsia="Avenir Next" w:hAnsi="Avenir Next" w:cs="Avenir Next"/>
          <w:spacing w:val="-1"/>
          <w:sz w:val="16"/>
          <w:szCs w:val="16"/>
        </w:rPr>
        <w:t>reset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process</w:t>
      </w:r>
      <w:r>
        <w:rPr>
          <w:rFonts w:ascii="Avenir Next" w:eastAsia="Avenir Next" w:hAnsi="Avenir Next" w:cs="Avenir Next"/>
          <w:sz w:val="16"/>
          <w:szCs w:val="16"/>
        </w:rPr>
        <w:t xml:space="preserve"> was quite </w:t>
      </w:r>
      <w:r>
        <w:rPr>
          <w:rFonts w:ascii="Avenir Next" w:eastAsia="Avenir Next" w:hAnsi="Avenir Next" w:cs="Avenir Next"/>
          <w:spacing w:val="-1"/>
          <w:sz w:val="16"/>
          <w:szCs w:val="16"/>
        </w:rPr>
        <w:t>resource</w:t>
      </w:r>
      <w:r>
        <w:rPr>
          <w:rFonts w:ascii="Avenir Next" w:eastAsia="Avenir Next" w:hAnsi="Avenir Next" w:cs="Avenir Next"/>
          <w:sz w:val="16"/>
          <w:szCs w:val="16"/>
        </w:rPr>
        <w:t xml:space="preserve"> intensive.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Based on the </w:t>
      </w:r>
      <w:r>
        <w:rPr>
          <w:rFonts w:ascii="Avenir Next" w:eastAsia="Avenir Next" w:hAnsi="Avenir Next" w:cs="Avenir Next"/>
          <w:spacing w:val="-1"/>
          <w:sz w:val="16"/>
          <w:szCs w:val="16"/>
        </w:rPr>
        <w:t>information</w:t>
      </w:r>
      <w:r>
        <w:rPr>
          <w:rFonts w:ascii="Avenir Next" w:eastAsia="Avenir Next" w:hAnsi="Avenir Next" w:cs="Avenir Next"/>
          <w:sz w:val="16"/>
          <w:szCs w:val="16"/>
        </w:rPr>
        <w:t xml:space="preserve"> contained on page 127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2"/>
          <w:sz w:val="16"/>
          <w:szCs w:val="16"/>
        </w:rPr>
        <w:t>ICRC’s</w:t>
      </w:r>
      <w:r>
        <w:rPr>
          <w:rFonts w:ascii="Avenir Next" w:eastAsia="Avenir Next" w:hAnsi="Avenir Next" w:cs="Avenir Next"/>
          <w:spacing w:val="43"/>
          <w:sz w:val="16"/>
          <w:szCs w:val="16"/>
        </w:rPr>
        <w:t xml:space="preserve"> </w:t>
      </w:r>
      <w:r>
        <w:rPr>
          <w:rFonts w:ascii="Avenir Next" w:eastAsia="Avenir Next" w:hAnsi="Avenir Next" w:cs="Avenir Next"/>
          <w:sz w:val="16"/>
          <w:szCs w:val="16"/>
        </w:rPr>
        <w:t xml:space="preserve">2008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Direction</w:t>
      </w:r>
      <w:r>
        <w:rPr>
          <w:rFonts w:ascii="Avenir Next" w:eastAsia="Avenir Next" w:hAnsi="Avenir Next" w:cs="Avenir Next"/>
          <w:sz w:val="16"/>
          <w:szCs w:val="16"/>
        </w:rPr>
        <w:t xml:space="preserve"> it would </w:t>
      </w:r>
      <w:r>
        <w:rPr>
          <w:rFonts w:ascii="Avenir Next" w:eastAsia="Avenir Next" w:hAnsi="Avenir Next" w:cs="Avenir Next"/>
          <w:spacing w:val="-1"/>
          <w:sz w:val="16"/>
          <w:szCs w:val="16"/>
        </w:rPr>
        <w:t>appear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three</w:t>
      </w:r>
      <w:r>
        <w:rPr>
          <w:rFonts w:ascii="Avenir Next" w:eastAsia="Avenir Next" w:hAnsi="Avenir Next" w:cs="Avenir Next"/>
          <w:sz w:val="16"/>
          <w:szCs w:val="16"/>
        </w:rPr>
        <w:t xml:space="preserve"> tier volumetric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charges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rose</w:t>
      </w:r>
      <w:r>
        <w:rPr>
          <w:rFonts w:ascii="Avenir Next" w:eastAsia="Avenir Next" w:hAnsi="Avenir Next" w:cs="Avenir Next"/>
          <w:sz w:val="16"/>
          <w:szCs w:val="16"/>
        </w:rPr>
        <w:t xml:space="preserve"> by 13-14% between 2004-05 and</w:t>
      </w:r>
      <w:r>
        <w:rPr>
          <w:rFonts w:ascii="Avenir Next" w:eastAsia="Avenir Next" w:hAnsi="Avenir Next" w:cs="Avenir Next"/>
          <w:spacing w:val="51"/>
          <w:sz w:val="16"/>
          <w:szCs w:val="16"/>
        </w:rPr>
        <w:t xml:space="preserve"> </w:t>
      </w:r>
      <w:r>
        <w:rPr>
          <w:rFonts w:ascii="Avenir Next" w:eastAsia="Avenir Next" w:hAnsi="Avenir Next" w:cs="Avenir Next"/>
          <w:sz w:val="16"/>
          <w:szCs w:val="16"/>
        </w:rPr>
        <w:t>2005-06,</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14% between 2006-07 and 2005-06 and 17%-48% between 2007-08 and 2006-07.</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37" w:line="240" w:lineRule="exact"/>
        <w:ind w:right="1283"/>
        <w:rPr>
          <w:sz w:val="11"/>
          <w:szCs w:val="11"/>
        </w:rPr>
      </w:pPr>
      <w:r>
        <w:rPr>
          <w:spacing w:val="-1"/>
        </w:rPr>
        <w:t>Sydney</w:t>
      </w:r>
      <w:r>
        <w:rPr>
          <w:spacing w:val="-4"/>
        </w:rPr>
        <w:t xml:space="preserve"> </w:t>
      </w:r>
      <w:r>
        <w:rPr>
          <w:spacing w:val="-2"/>
        </w:rPr>
        <w:t>Water</w:t>
      </w:r>
      <w:r>
        <w:rPr>
          <w:spacing w:val="-1"/>
        </w:rPr>
        <w:t xml:space="preserve"> </w:t>
      </w:r>
      <w:r>
        <w:t>with</w:t>
      </w:r>
      <w:r>
        <w:rPr>
          <w:spacing w:val="-1"/>
        </w:rPr>
        <w:t xml:space="preserve"> </w:t>
      </w:r>
      <w:r>
        <w:t>some</w:t>
      </w:r>
      <w:r>
        <w:rPr>
          <w:spacing w:val="-1"/>
        </w:rPr>
        <w:t xml:space="preserve"> protection</w:t>
      </w:r>
      <w:r>
        <w:t xml:space="preserve"> against</w:t>
      </w:r>
      <w:r>
        <w:rPr>
          <w:spacing w:val="-1"/>
        </w:rPr>
        <w:t xml:space="preserve"> </w:t>
      </w:r>
      <w:r>
        <w:t>significant</w:t>
      </w:r>
      <w:r>
        <w:rPr>
          <w:spacing w:val="-1"/>
        </w:rPr>
        <w:t xml:space="preserve"> deviations </w:t>
      </w:r>
      <w:r>
        <w:t>between actual</w:t>
      </w:r>
      <w:r>
        <w:rPr>
          <w:spacing w:val="-1"/>
        </w:rPr>
        <w:t xml:space="preserve"> </w:t>
      </w:r>
      <w:r>
        <w:t>and</w:t>
      </w:r>
      <w:r>
        <w:rPr>
          <w:spacing w:val="-1"/>
        </w:rPr>
        <w:t xml:space="preserve"> forecast water</w:t>
      </w:r>
      <w:r>
        <w:rPr>
          <w:spacing w:val="47"/>
        </w:rPr>
        <w:t xml:space="preserve"> </w:t>
      </w:r>
      <w:r>
        <w:t>sales.</w:t>
      </w:r>
      <w:r>
        <w:rPr>
          <w:spacing w:val="-6"/>
        </w:rPr>
        <w:t xml:space="preserve"> </w:t>
      </w:r>
      <w:r>
        <w:t>Under this mechanism,</w:t>
      </w:r>
      <w:r>
        <w:rPr>
          <w:spacing w:val="-7"/>
        </w:rPr>
        <w:t xml:space="preserve"> </w:t>
      </w:r>
      <w:r>
        <w:t>if</w:t>
      </w:r>
      <w:r>
        <w:rPr>
          <w:spacing w:val="4"/>
        </w:rPr>
        <w:t xml:space="preserve"> </w:t>
      </w:r>
      <w:r>
        <w:t xml:space="preserve">the </w:t>
      </w:r>
      <w:r>
        <w:rPr>
          <w:spacing w:val="-1"/>
        </w:rPr>
        <w:t>deviation</w:t>
      </w:r>
      <w:r>
        <w:t xml:space="preserve"> between the actual and </w:t>
      </w:r>
      <w:r>
        <w:rPr>
          <w:spacing w:val="-1"/>
        </w:rPr>
        <w:t>forecast</w:t>
      </w:r>
      <w:r>
        <w:t xml:space="preserve"> demand over the full</w:t>
      </w:r>
      <w:r>
        <w:rPr>
          <w:spacing w:val="23"/>
        </w:rPr>
        <w:t xml:space="preserve"> </w:t>
      </w:r>
      <w:r>
        <w:rPr>
          <w:spacing w:val="-1"/>
        </w:rPr>
        <w:t>regulatory</w:t>
      </w:r>
      <w:r>
        <w:t xml:space="preserve"> period </w:t>
      </w:r>
      <w:r>
        <w:rPr>
          <w:spacing w:val="-1"/>
        </w:rPr>
        <w:t>exceeds</w:t>
      </w:r>
      <w:r>
        <w:rPr>
          <w:spacing w:val="1"/>
        </w:rPr>
        <w:t xml:space="preserve"> </w:t>
      </w:r>
      <w:r>
        <w:t>10%,</w:t>
      </w:r>
      <w:r>
        <w:rPr>
          <w:spacing w:val="-6"/>
        </w:rPr>
        <w:t xml:space="preserve"> </w:t>
      </w:r>
      <w:r>
        <w:t>then</w:t>
      </w:r>
      <w:r>
        <w:rPr>
          <w:spacing w:val="1"/>
        </w:rPr>
        <w:t xml:space="preserve"> </w:t>
      </w:r>
      <w:r>
        <w:t xml:space="preserve">an adjustment </w:t>
      </w:r>
      <w:r>
        <w:rPr>
          <w:spacing w:val="-1"/>
        </w:rPr>
        <w:t>may</w:t>
      </w:r>
      <w:r>
        <w:rPr>
          <w:spacing w:val="-1"/>
          <w:position w:val="7"/>
          <w:sz w:val="11"/>
        </w:rPr>
        <w:t>50</w:t>
      </w:r>
      <w:r>
        <w:rPr>
          <w:spacing w:val="23"/>
          <w:position w:val="7"/>
          <w:sz w:val="11"/>
        </w:rPr>
        <w:t xml:space="preserve"> </w:t>
      </w:r>
      <w:r>
        <w:t>be</w:t>
      </w:r>
      <w:r>
        <w:rPr>
          <w:spacing w:val="1"/>
        </w:rPr>
        <w:t xml:space="preserve"> </w:t>
      </w:r>
      <w:r>
        <w:t xml:space="preserve">made </w:t>
      </w:r>
      <w:r>
        <w:rPr>
          <w:spacing w:val="-1"/>
        </w:rPr>
        <w:t>at</w:t>
      </w:r>
      <w:r>
        <w:rPr>
          <w:spacing w:val="1"/>
        </w:rPr>
        <w:t xml:space="preserve"> </w:t>
      </w:r>
      <w:r>
        <w:t>the commencement</w:t>
      </w:r>
      <w:r>
        <w:rPr>
          <w:spacing w:val="1"/>
        </w:rPr>
        <w:t xml:space="preserve"> </w:t>
      </w:r>
      <w:r>
        <w:t>of</w:t>
      </w:r>
      <w:r>
        <w:rPr>
          <w:spacing w:val="4"/>
        </w:rPr>
        <w:t xml:space="preserve"> </w:t>
      </w:r>
      <w:r>
        <w:t xml:space="preserve">the </w:t>
      </w:r>
      <w:r>
        <w:rPr>
          <w:spacing w:val="-1"/>
        </w:rPr>
        <w:t>next</w:t>
      </w:r>
      <w:r>
        <w:rPr>
          <w:spacing w:val="27"/>
        </w:rPr>
        <w:t xml:space="preserve"> </w:t>
      </w:r>
      <w:r>
        <w:rPr>
          <w:spacing w:val="-1"/>
        </w:rPr>
        <w:t>regulatory</w:t>
      </w:r>
      <w:r>
        <w:t xml:space="preserve"> period to</w:t>
      </w:r>
      <w:r>
        <w:rPr>
          <w:spacing w:val="1"/>
        </w:rPr>
        <w:t xml:space="preserve"> </w:t>
      </w:r>
      <w:r>
        <w:t>account for</w:t>
      </w:r>
      <w:r>
        <w:rPr>
          <w:spacing w:val="1"/>
        </w:rPr>
        <w:t xml:space="preserve"> </w:t>
      </w:r>
      <w:r>
        <w:t>any over or</w:t>
      </w:r>
      <w:r>
        <w:rPr>
          <w:spacing w:val="1"/>
        </w:rPr>
        <w:t xml:space="preserve"> </w:t>
      </w:r>
      <w:r>
        <w:t xml:space="preserve">under </w:t>
      </w:r>
      <w:r>
        <w:rPr>
          <w:spacing w:val="-1"/>
        </w:rPr>
        <w:t>recovery</w:t>
      </w:r>
      <w:r>
        <w:rPr>
          <w:spacing w:val="1"/>
        </w:rPr>
        <w:t xml:space="preserve"> </w:t>
      </w:r>
      <w:r>
        <w:t xml:space="preserve">in </w:t>
      </w:r>
      <w:r>
        <w:rPr>
          <w:spacing w:val="-1"/>
        </w:rPr>
        <w:t>excess</w:t>
      </w:r>
      <w:r>
        <w:rPr>
          <w:spacing w:val="1"/>
        </w:rPr>
        <w:t xml:space="preserve"> </w:t>
      </w:r>
      <w:r>
        <w:t>of</w:t>
      </w:r>
      <w:r>
        <w:rPr>
          <w:spacing w:val="4"/>
        </w:rPr>
        <w:t xml:space="preserve"> </w:t>
      </w:r>
      <w:r>
        <w:t>the 10%</w:t>
      </w:r>
      <w:r>
        <w:rPr>
          <w:spacing w:val="1"/>
        </w:rPr>
        <w:t xml:space="preserve"> </w:t>
      </w:r>
      <w:r>
        <w:rPr>
          <w:spacing w:val="-1"/>
        </w:rPr>
        <w:t>deadband.</w:t>
      </w:r>
      <w:r>
        <w:rPr>
          <w:spacing w:val="-1"/>
          <w:position w:val="7"/>
          <w:sz w:val="11"/>
        </w:rPr>
        <w:t>51</w:t>
      </w:r>
    </w:p>
    <w:p w:rsidR="00D96B91" w:rsidRDefault="00C2656B">
      <w:pPr>
        <w:pStyle w:val="BodyText"/>
        <w:spacing w:before="170" w:line="240" w:lineRule="exact"/>
        <w:ind w:right="1640"/>
      </w:pPr>
      <w:r>
        <w:t>In</w:t>
      </w:r>
      <w:r>
        <w:rPr>
          <w:spacing w:val="-1"/>
        </w:rPr>
        <w:t xml:space="preserve"> </w:t>
      </w:r>
      <w:r>
        <w:t xml:space="preserve">the </w:t>
      </w:r>
      <w:r>
        <w:rPr>
          <w:spacing w:val="-4"/>
        </w:rPr>
        <w:t>Panel’s</w:t>
      </w:r>
      <w:r>
        <w:rPr>
          <w:spacing w:val="-1"/>
        </w:rPr>
        <w:t xml:space="preserve"> </w:t>
      </w:r>
      <w:r>
        <w:rPr>
          <w:spacing w:val="-2"/>
        </w:rPr>
        <w:t>view,</w:t>
      </w:r>
      <w:r>
        <w:rPr>
          <w:spacing w:val="-6"/>
        </w:rPr>
        <w:t xml:space="preserve"> </w:t>
      </w:r>
      <w:r>
        <w:t>the primary</w:t>
      </w:r>
      <w:r>
        <w:rPr>
          <w:spacing w:val="-1"/>
        </w:rPr>
        <w:t xml:space="preserve"> </w:t>
      </w:r>
      <w:r>
        <w:t xml:space="preserve">benefit </w:t>
      </w:r>
      <w:r>
        <w:rPr>
          <w:spacing w:val="-1"/>
        </w:rPr>
        <w:t xml:space="preserve">that </w:t>
      </w:r>
      <w:r>
        <w:rPr>
          <w:spacing w:val="-4"/>
        </w:rPr>
        <w:t>IPART’s</w:t>
      </w:r>
      <w:r>
        <w:t xml:space="preserve"> </w:t>
      </w:r>
      <w:r>
        <w:rPr>
          <w:spacing w:val="-1"/>
        </w:rPr>
        <w:t>approach</w:t>
      </w:r>
      <w:r>
        <w:t xml:space="preserve"> has</w:t>
      </w:r>
      <w:r>
        <w:rPr>
          <w:spacing w:val="-1"/>
        </w:rPr>
        <w:t xml:space="preserve"> </w:t>
      </w:r>
      <w:r>
        <w:t>over the</w:t>
      </w:r>
      <w:r>
        <w:rPr>
          <w:spacing w:val="-1"/>
        </w:rPr>
        <w:t xml:space="preserve"> </w:t>
      </w:r>
      <w:r>
        <w:t xml:space="preserve">other </w:t>
      </w:r>
      <w:r>
        <w:rPr>
          <w:spacing w:val="-1"/>
        </w:rPr>
        <w:t xml:space="preserve">approaches </w:t>
      </w:r>
      <w:r>
        <w:t>set out</w:t>
      </w:r>
      <w:r>
        <w:rPr>
          <w:spacing w:val="45"/>
        </w:rPr>
        <w:t xml:space="preserve"> </w:t>
      </w:r>
      <w:r>
        <w:rPr>
          <w:rFonts w:cs="Avenir Next"/>
        </w:rPr>
        <w:t>in</w:t>
      </w:r>
      <w:r>
        <w:rPr>
          <w:rFonts w:cs="Avenir Next"/>
          <w:spacing w:val="-5"/>
        </w:rPr>
        <w:t xml:space="preserve"> </w:t>
      </w:r>
      <w:r>
        <w:t>Appendix 5</w:t>
      </w:r>
      <w:r>
        <w:rPr>
          <w:spacing w:val="-1"/>
        </w:rPr>
        <w:t xml:space="preserve"> </w:t>
      </w:r>
      <w:r>
        <w:t xml:space="preserve">is </w:t>
      </w:r>
      <w:r>
        <w:rPr>
          <w:spacing w:val="-1"/>
        </w:rPr>
        <w:t xml:space="preserve">that </w:t>
      </w:r>
      <w:r>
        <w:t xml:space="preserve">it </w:t>
      </w:r>
      <w:r>
        <w:rPr>
          <w:spacing w:val="-1"/>
        </w:rPr>
        <w:t xml:space="preserve">provides </w:t>
      </w:r>
      <w:r>
        <w:t xml:space="preserve">for a </w:t>
      </w:r>
      <w:r>
        <w:rPr>
          <w:spacing w:val="-1"/>
        </w:rPr>
        <w:t xml:space="preserve">clearly </w:t>
      </w:r>
      <w:r>
        <w:t xml:space="preserve">defined </w:t>
      </w:r>
      <w:r>
        <w:rPr>
          <w:spacing w:val="-1"/>
        </w:rPr>
        <w:t xml:space="preserve">allocation </w:t>
      </w:r>
      <w:r>
        <w:t>of</w:t>
      </w:r>
      <w:r>
        <w:rPr>
          <w:spacing w:val="4"/>
        </w:rPr>
        <w:t xml:space="preserve"> </w:t>
      </w:r>
      <w:r>
        <w:rPr>
          <w:spacing w:val="-1"/>
        </w:rPr>
        <w:t xml:space="preserve">demand-related </w:t>
      </w:r>
      <w:r>
        <w:t>risk between</w:t>
      </w:r>
      <w:r>
        <w:rPr>
          <w:spacing w:val="-1"/>
        </w:rPr>
        <w:t xml:space="preserve"> </w:t>
      </w:r>
      <w:r>
        <w:t>the</w:t>
      </w:r>
    </w:p>
    <w:p w:rsidR="00D96B91" w:rsidRDefault="00C2656B">
      <w:pPr>
        <w:pStyle w:val="BodyText"/>
        <w:spacing w:line="240" w:lineRule="exact"/>
        <w:ind w:right="1246"/>
      </w:pPr>
      <w:r>
        <w:rPr>
          <w:rFonts w:cs="Avenir Next"/>
          <w:spacing w:val="-1"/>
        </w:rPr>
        <w:t xml:space="preserve">regulated </w:t>
      </w:r>
      <w:r>
        <w:rPr>
          <w:rFonts w:cs="Avenir Next"/>
        </w:rPr>
        <w:t>business</w:t>
      </w:r>
      <w:r>
        <w:rPr>
          <w:rFonts w:cs="Avenir Next"/>
          <w:spacing w:val="-1"/>
        </w:rPr>
        <w:t xml:space="preserve"> </w:t>
      </w:r>
      <w:r>
        <w:rPr>
          <w:rFonts w:cs="Avenir Next"/>
        </w:rPr>
        <w:t>and</w:t>
      </w:r>
      <w:r>
        <w:rPr>
          <w:rFonts w:cs="Avenir Next"/>
          <w:spacing w:val="-1"/>
        </w:rPr>
        <w:t xml:space="preserve"> </w:t>
      </w:r>
      <w:r>
        <w:rPr>
          <w:rFonts w:cs="Avenir Next"/>
        </w:rPr>
        <w:t>customers</w:t>
      </w:r>
      <w:r>
        <w:rPr>
          <w:rFonts w:cs="Avenir Next"/>
          <w:spacing w:val="-1"/>
        </w:rPr>
        <w:t xml:space="preserve"> </w:t>
      </w:r>
      <w:r>
        <w:rPr>
          <w:rFonts w:cs="Avenir Next"/>
        </w:rPr>
        <w:t>(ie,</w:t>
      </w:r>
      <w:r>
        <w:rPr>
          <w:rFonts w:cs="Avenir Next"/>
          <w:spacing w:val="-7"/>
        </w:rPr>
        <w:t xml:space="preserve"> </w:t>
      </w:r>
      <w:r>
        <w:rPr>
          <w:rFonts w:cs="Avenir Next"/>
        </w:rPr>
        <w:t>the</w:t>
      </w:r>
      <w:r>
        <w:rPr>
          <w:rFonts w:cs="Avenir Next"/>
          <w:spacing w:val="-1"/>
        </w:rPr>
        <w:t xml:space="preserve"> </w:t>
      </w:r>
      <w:r>
        <w:rPr>
          <w:rFonts w:cs="Avenir Next"/>
        </w:rPr>
        <w:t>business</w:t>
      </w:r>
      <w:r>
        <w:rPr>
          <w:rFonts w:cs="Avenir Next"/>
          <w:spacing w:val="-1"/>
        </w:rPr>
        <w:t xml:space="preserve"> bears </w:t>
      </w:r>
      <w:r>
        <w:rPr>
          <w:rFonts w:cs="Avenir Next"/>
        </w:rPr>
        <w:t>risk</w:t>
      </w:r>
      <w:r>
        <w:rPr>
          <w:rFonts w:cs="Avenir Next"/>
          <w:spacing w:val="-1"/>
        </w:rPr>
        <w:t xml:space="preserve"> </w:t>
      </w:r>
      <w:r>
        <w:rPr>
          <w:rFonts w:cs="Avenir Next"/>
        </w:rPr>
        <w:t>up</w:t>
      </w:r>
      <w:r>
        <w:rPr>
          <w:rFonts w:cs="Avenir Next"/>
          <w:spacing w:val="-1"/>
        </w:rPr>
        <w:t xml:space="preserve"> </w:t>
      </w:r>
      <w:r>
        <w:rPr>
          <w:rFonts w:cs="Avenir Next"/>
        </w:rPr>
        <w:t>to</w:t>
      </w:r>
      <w:r>
        <w:rPr>
          <w:rFonts w:cs="Avenir Next"/>
          <w:spacing w:val="-1"/>
        </w:rPr>
        <w:t xml:space="preserve"> </w:t>
      </w:r>
      <w:r>
        <w:rPr>
          <w:rFonts w:cs="Avenir Next"/>
        </w:rPr>
        <w:t>the</w:t>
      </w:r>
      <w:r>
        <w:rPr>
          <w:rFonts w:cs="Avenir Next"/>
          <w:spacing w:val="-1"/>
        </w:rPr>
        <w:t xml:space="preserve"> deadband </w:t>
      </w:r>
      <w:r>
        <w:rPr>
          <w:rFonts w:cs="Avenir Next"/>
        </w:rPr>
        <w:t>while</w:t>
      </w:r>
      <w:r>
        <w:rPr>
          <w:rFonts w:cs="Avenir Next"/>
          <w:spacing w:val="-1"/>
        </w:rPr>
        <w:t xml:space="preserve"> </w:t>
      </w:r>
      <w:r>
        <w:rPr>
          <w:rFonts w:cs="Avenir Next"/>
        </w:rPr>
        <w:t>customers</w:t>
      </w:r>
      <w:r>
        <w:rPr>
          <w:rFonts w:cs="Avenir Next"/>
          <w:spacing w:val="-1"/>
        </w:rPr>
        <w:t xml:space="preserve"> bear</w:t>
      </w:r>
      <w:r>
        <w:rPr>
          <w:rFonts w:cs="Avenir Next"/>
          <w:spacing w:val="29"/>
        </w:rPr>
        <w:t xml:space="preserve"> </w:t>
      </w:r>
      <w:r>
        <w:rPr>
          <w:rFonts w:cs="Avenir Next"/>
        </w:rPr>
        <w:t>the risk</w:t>
      </w:r>
      <w:r>
        <w:rPr>
          <w:position w:val="7"/>
          <w:sz w:val="11"/>
          <w:szCs w:val="11"/>
        </w:rPr>
        <w:t>52</w:t>
      </w:r>
      <w:r>
        <w:rPr>
          <w:spacing w:val="22"/>
          <w:position w:val="7"/>
          <w:sz w:val="11"/>
          <w:szCs w:val="11"/>
        </w:rPr>
        <w:t xml:space="preserve"> </w:t>
      </w:r>
      <w:r>
        <w:t>beyond this).</w:t>
      </w:r>
      <w:r>
        <w:rPr>
          <w:spacing w:val="-6"/>
        </w:rPr>
        <w:t xml:space="preserve"> </w:t>
      </w:r>
      <w:r>
        <w:t>Other benefits of</w:t>
      </w:r>
      <w:r>
        <w:rPr>
          <w:spacing w:val="4"/>
        </w:rPr>
        <w:t xml:space="preserve"> </w:t>
      </w:r>
      <w:r>
        <w:rPr>
          <w:spacing w:val="-4"/>
        </w:rPr>
        <w:t>IPART’s</w:t>
      </w:r>
      <w:r>
        <w:t xml:space="preserve"> </w:t>
      </w:r>
      <w:r>
        <w:rPr>
          <w:spacing w:val="-1"/>
        </w:rPr>
        <w:t>approach</w:t>
      </w:r>
      <w:r>
        <w:t xml:space="preserve"> </w:t>
      </w:r>
      <w:r>
        <w:rPr>
          <w:spacing w:val="-2"/>
        </w:rPr>
        <w:t>are</w:t>
      </w:r>
      <w:r>
        <w:t xml:space="preserve"> </w:t>
      </w:r>
      <w:r>
        <w:rPr>
          <w:spacing w:val="-1"/>
        </w:rPr>
        <w:t>that:</w:t>
      </w:r>
    </w:p>
    <w:p w:rsidR="00D96B91" w:rsidRDefault="00C2656B">
      <w:pPr>
        <w:pStyle w:val="BodyText"/>
        <w:numPr>
          <w:ilvl w:val="0"/>
          <w:numId w:val="131"/>
        </w:numPr>
        <w:tabs>
          <w:tab w:val="left" w:pos="1531"/>
        </w:tabs>
        <w:spacing w:before="170" w:line="240" w:lineRule="exact"/>
        <w:ind w:right="1624" w:hanging="283"/>
        <w:rPr>
          <w:rFonts w:cs="Avenir Next"/>
        </w:rPr>
      </w:pPr>
      <w:r>
        <w:t xml:space="preserve">it will have no </w:t>
      </w:r>
      <w:r>
        <w:rPr>
          <w:spacing w:val="-1"/>
        </w:rPr>
        <w:t>effect</w:t>
      </w:r>
      <w:r>
        <w:t xml:space="preserve"> on </w:t>
      </w:r>
      <w:r>
        <w:rPr>
          <w:spacing w:val="-1"/>
        </w:rPr>
        <w:t>regulatory</w:t>
      </w:r>
      <w:r>
        <w:t xml:space="preserve"> costs within the </w:t>
      </w:r>
      <w:r>
        <w:rPr>
          <w:spacing w:val="-1"/>
        </w:rPr>
        <w:t>regulatory</w:t>
      </w:r>
      <w:r>
        <w:t xml:space="preserve"> period because </w:t>
      </w:r>
      <w:r>
        <w:rPr>
          <w:spacing w:val="-1"/>
        </w:rPr>
        <w:t>deviations</w:t>
      </w:r>
      <w:r>
        <w:t xml:space="preserve"> </w:t>
      </w:r>
      <w:r>
        <w:rPr>
          <w:spacing w:val="-2"/>
        </w:rPr>
        <w:t>are</w:t>
      </w:r>
      <w:r>
        <w:t xml:space="preserve"> only</w:t>
      </w:r>
      <w:r>
        <w:rPr>
          <w:spacing w:val="39"/>
        </w:rPr>
        <w:t xml:space="preserve"> </w:t>
      </w:r>
      <w:r>
        <w:t xml:space="preserve">accounted for </w:t>
      </w:r>
      <w:r>
        <w:rPr>
          <w:spacing w:val="-2"/>
        </w:rPr>
        <w:t>at</w:t>
      </w:r>
      <w:r>
        <w:t xml:space="preserve"> the </w:t>
      </w:r>
      <w:r>
        <w:rPr>
          <w:spacing w:val="-1"/>
        </w:rPr>
        <w:t>start</w:t>
      </w:r>
      <w:r>
        <w:t xml:space="preserve"> of</w:t>
      </w:r>
      <w:r>
        <w:rPr>
          <w:spacing w:val="4"/>
        </w:rPr>
        <w:t xml:space="preserve"> </w:t>
      </w:r>
      <w:r>
        <w:t xml:space="preserve">the </w:t>
      </w:r>
      <w:r>
        <w:rPr>
          <w:spacing w:val="-1"/>
        </w:rPr>
        <w:t>next</w:t>
      </w:r>
      <w:r>
        <w:t xml:space="preserve"> </w:t>
      </w:r>
      <w:r>
        <w:rPr>
          <w:spacing w:val="-1"/>
        </w:rPr>
        <w:t>regulatory</w:t>
      </w:r>
      <w:r>
        <w:t xml:space="preserve"> period</w:t>
      </w:r>
    </w:p>
    <w:p w:rsidR="00D96B91" w:rsidRDefault="00C2656B">
      <w:pPr>
        <w:pStyle w:val="BodyText"/>
        <w:numPr>
          <w:ilvl w:val="0"/>
          <w:numId w:val="131"/>
        </w:numPr>
        <w:tabs>
          <w:tab w:val="left" w:pos="1531"/>
        </w:tabs>
        <w:spacing w:before="85" w:line="240" w:lineRule="exact"/>
        <w:ind w:right="1540" w:hanging="283"/>
        <w:rPr>
          <w:rFonts w:cs="Avenir Next"/>
        </w:rPr>
      </w:pPr>
      <w:r>
        <w:t>the price cap component of</w:t>
      </w:r>
      <w:r>
        <w:rPr>
          <w:spacing w:val="4"/>
        </w:rPr>
        <w:t xml:space="preserve"> </w:t>
      </w:r>
      <w:r>
        <w:t>the hybrid form of</w:t>
      </w:r>
      <w:r>
        <w:rPr>
          <w:spacing w:val="4"/>
        </w:rPr>
        <w:t xml:space="preserve"> </w:t>
      </w:r>
      <w:r>
        <w:rPr>
          <w:spacing w:val="-1"/>
        </w:rPr>
        <w:t>control</w:t>
      </w:r>
      <w:r>
        <w:t xml:space="preserve"> </w:t>
      </w:r>
      <w:r>
        <w:rPr>
          <w:spacing w:val="-1"/>
        </w:rPr>
        <w:t>ensures</w:t>
      </w:r>
      <w:r>
        <w:t xml:space="preserve"> </w:t>
      </w:r>
      <w:r>
        <w:rPr>
          <w:spacing w:val="-1"/>
        </w:rPr>
        <w:t>that</w:t>
      </w:r>
      <w:r>
        <w:t xml:space="preserve"> prices </w:t>
      </w:r>
      <w:r>
        <w:rPr>
          <w:spacing w:val="-1"/>
        </w:rPr>
        <w:t>remain</w:t>
      </w:r>
      <w:r>
        <w:t xml:space="preserve"> </w:t>
      </w:r>
      <w:r>
        <w:rPr>
          <w:spacing w:val="-1"/>
        </w:rPr>
        <w:t>relatively</w:t>
      </w:r>
      <w:r>
        <w:t xml:space="preserve"> stable</w:t>
      </w:r>
      <w:r>
        <w:rPr>
          <w:spacing w:val="29"/>
        </w:rPr>
        <w:t xml:space="preserve"> </w:t>
      </w:r>
      <w:r>
        <w:t>over the period</w:t>
      </w:r>
    </w:p>
    <w:p w:rsidR="00D96B91" w:rsidRDefault="00C2656B">
      <w:pPr>
        <w:pStyle w:val="BodyText"/>
        <w:numPr>
          <w:ilvl w:val="0"/>
          <w:numId w:val="131"/>
        </w:numPr>
        <w:tabs>
          <w:tab w:val="left" w:pos="1531"/>
        </w:tabs>
        <w:spacing w:before="85" w:line="240" w:lineRule="exact"/>
        <w:ind w:right="1683" w:hanging="283"/>
      </w:pPr>
      <w:r>
        <w:t xml:space="preserve">the price cap component also </w:t>
      </w:r>
      <w:r>
        <w:rPr>
          <w:spacing w:val="-1"/>
        </w:rPr>
        <w:t>provides</w:t>
      </w:r>
      <w:r>
        <w:t xml:space="preserve"> the </w:t>
      </w:r>
      <w:r>
        <w:rPr>
          <w:spacing w:val="-1"/>
        </w:rPr>
        <w:t>regulated</w:t>
      </w:r>
      <w:r>
        <w:t xml:space="preserve"> service </w:t>
      </w:r>
      <w:r>
        <w:rPr>
          <w:spacing w:val="-1"/>
        </w:rPr>
        <w:t>provider</w:t>
      </w:r>
      <w:r>
        <w:t xml:space="preserve"> with a </w:t>
      </w:r>
      <w:r>
        <w:rPr>
          <w:spacing w:val="-1"/>
        </w:rPr>
        <w:t>strong</w:t>
      </w:r>
      <w:r>
        <w:t xml:space="preserve"> incentive to</w:t>
      </w:r>
      <w:r>
        <w:rPr>
          <w:spacing w:val="25"/>
        </w:rPr>
        <w:t xml:space="preserve"> </w:t>
      </w:r>
      <w:r>
        <w:t>pursue</w:t>
      </w:r>
      <w:r>
        <w:rPr>
          <w:spacing w:val="-4"/>
        </w:rPr>
        <w:t xml:space="preserve"> </w:t>
      </w:r>
      <w:r>
        <w:rPr>
          <w:spacing w:val="-1"/>
        </w:rPr>
        <w:t>productive</w:t>
      </w:r>
      <w:r>
        <w:rPr>
          <w:spacing w:val="-3"/>
        </w:rPr>
        <w:t xml:space="preserve"> </w:t>
      </w:r>
      <w:r>
        <w:rPr>
          <w:spacing w:val="-1"/>
        </w:rPr>
        <w:t>efficiencies,</w:t>
      </w:r>
      <w:r>
        <w:rPr>
          <w:spacing w:val="-8"/>
        </w:rPr>
        <w:t xml:space="preserve"> </w:t>
      </w:r>
      <w:r>
        <w:t>and</w:t>
      </w:r>
    </w:p>
    <w:p w:rsidR="00D96B91" w:rsidRDefault="00C2656B">
      <w:pPr>
        <w:pStyle w:val="BodyText"/>
        <w:numPr>
          <w:ilvl w:val="0"/>
          <w:numId w:val="131"/>
        </w:numPr>
        <w:tabs>
          <w:tab w:val="left" w:pos="1531"/>
        </w:tabs>
        <w:spacing w:before="85" w:line="240" w:lineRule="exact"/>
        <w:ind w:right="1718" w:hanging="283"/>
      </w:pPr>
      <w:r>
        <w:t xml:space="preserve">positive and </w:t>
      </w:r>
      <w:r>
        <w:rPr>
          <w:spacing w:val="-1"/>
        </w:rPr>
        <w:t>negative</w:t>
      </w:r>
      <w:r>
        <w:t xml:space="preserve"> </w:t>
      </w:r>
      <w:r>
        <w:rPr>
          <w:spacing w:val="-1"/>
        </w:rPr>
        <w:t>variations</w:t>
      </w:r>
      <w:r>
        <w:t xml:space="preserve"> within the </w:t>
      </w:r>
      <w:r>
        <w:rPr>
          <w:spacing w:val="-1"/>
        </w:rPr>
        <w:t>regulatory</w:t>
      </w:r>
      <w:r>
        <w:t xml:space="preserve"> period will </w:t>
      </w:r>
      <w:r>
        <w:rPr>
          <w:spacing w:val="-1"/>
        </w:rPr>
        <w:t>offset</w:t>
      </w:r>
      <w:r>
        <w:t xml:space="preserve"> </w:t>
      </w:r>
      <w:r>
        <w:rPr>
          <w:spacing w:val="-1"/>
        </w:rPr>
        <w:t>each</w:t>
      </w:r>
      <w:r>
        <w:t xml:space="preserve"> </w:t>
      </w:r>
      <w:r>
        <w:rPr>
          <w:spacing w:val="-2"/>
        </w:rPr>
        <w:t>other,</w:t>
      </w:r>
      <w:r>
        <w:rPr>
          <w:spacing w:val="-6"/>
        </w:rPr>
        <w:t xml:space="preserve"> </w:t>
      </w:r>
      <w:r>
        <w:t xml:space="preserve">so </w:t>
      </w:r>
      <w:r>
        <w:rPr>
          <w:spacing w:val="-1"/>
        </w:rPr>
        <w:t>at</w:t>
      </w:r>
      <w:r>
        <w:t xml:space="preserve"> the end</w:t>
      </w:r>
      <w:r>
        <w:rPr>
          <w:spacing w:val="47"/>
        </w:rPr>
        <w:t xml:space="preserve"> </w:t>
      </w:r>
      <w:r>
        <w:t>of</w:t>
      </w:r>
      <w:r>
        <w:rPr>
          <w:spacing w:val="4"/>
        </w:rPr>
        <w:t xml:space="preserve"> </w:t>
      </w:r>
      <w:r>
        <w:t>the period,</w:t>
      </w:r>
      <w:r>
        <w:rPr>
          <w:spacing w:val="-6"/>
        </w:rPr>
        <w:t xml:space="preserve"> </w:t>
      </w:r>
      <w:r>
        <w:t xml:space="preserve">all </w:t>
      </w:r>
      <w:r>
        <w:rPr>
          <w:spacing w:val="-1"/>
        </w:rPr>
        <w:t>that</w:t>
      </w:r>
      <w:r>
        <w:t xml:space="preserve"> will be passed </w:t>
      </w:r>
      <w:r>
        <w:rPr>
          <w:spacing w:val="-1"/>
        </w:rPr>
        <w:t>through</w:t>
      </w:r>
      <w:r>
        <w:t xml:space="preserve"> to customers is the total </w:t>
      </w:r>
      <w:r>
        <w:rPr>
          <w:spacing w:val="-1"/>
        </w:rPr>
        <w:t>deviation</w:t>
      </w:r>
      <w:r>
        <w:t xml:space="preserve"> in </w:t>
      </w:r>
      <w:r>
        <w:rPr>
          <w:spacing w:val="-1"/>
        </w:rPr>
        <w:t>excess</w:t>
      </w:r>
      <w:r>
        <w:t xml:space="preserve"> of</w:t>
      </w:r>
      <w:r>
        <w:rPr>
          <w:spacing w:val="4"/>
        </w:rPr>
        <w:t xml:space="preserve"> </w:t>
      </w:r>
      <w:r>
        <w:t>the</w:t>
      </w:r>
      <w:r>
        <w:rPr>
          <w:spacing w:val="27"/>
        </w:rPr>
        <w:t xml:space="preserve"> </w:t>
      </w:r>
      <w:r>
        <w:rPr>
          <w:spacing w:val="-1"/>
        </w:rPr>
        <w:t>deadband.</w:t>
      </w:r>
    </w:p>
    <w:p w:rsidR="00D96B91" w:rsidRDefault="00D96B91">
      <w:pPr>
        <w:spacing w:before="8"/>
        <w:rPr>
          <w:rFonts w:ascii="Avenir Next" w:eastAsia="Avenir Next" w:hAnsi="Avenir Next" w:cs="Avenir Next"/>
          <w:sz w:val="16"/>
          <w:szCs w:val="16"/>
        </w:rPr>
      </w:pPr>
    </w:p>
    <w:p w:rsidR="00D96B91" w:rsidRDefault="00C2656B">
      <w:pPr>
        <w:pStyle w:val="BodyText"/>
        <w:spacing w:line="240" w:lineRule="exact"/>
        <w:ind w:right="1283"/>
        <w:rPr>
          <w:rFonts w:cs="Avenir Next"/>
        </w:rPr>
      </w:pPr>
      <w:r>
        <w:t>As with any of</w:t>
      </w:r>
      <w:r>
        <w:rPr>
          <w:spacing w:val="4"/>
        </w:rPr>
        <w:t xml:space="preserve"> </w:t>
      </w:r>
      <w:r>
        <w:t xml:space="preserve">these </w:t>
      </w:r>
      <w:r>
        <w:rPr>
          <w:spacing w:val="-1"/>
        </w:rPr>
        <w:t>approaches,</w:t>
      </w:r>
      <w:r>
        <w:rPr>
          <w:spacing w:val="-6"/>
        </w:rPr>
        <w:t xml:space="preserve"> </w:t>
      </w:r>
      <w:r>
        <w:t xml:space="preserve">the hybrid price and </w:t>
      </w:r>
      <w:r>
        <w:rPr>
          <w:spacing w:val="-1"/>
        </w:rPr>
        <w:t>revenue</w:t>
      </w:r>
      <w:r>
        <w:t xml:space="preserve"> cap does have some disadvantages,</w:t>
      </w:r>
      <w:r>
        <w:rPr>
          <w:spacing w:val="-7"/>
        </w:rPr>
        <w:t xml:space="preserve"> </w:t>
      </w:r>
      <w:r>
        <w:t>the</w:t>
      </w:r>
      <w:r>
        <w:rPr>
          <w:spacing w:val="21"/>
        </w:rPr>
        <w:t xml:space="preserve"> </w:t>
      </w:r>
      <w:r>
        <w:t>most notable of</w:t>
      </w:r>
      <w:r>
        <w:rPr>
          <w:spacing w:val="4"/>
        </w:rPr>
        <w:t xml:space="preserve"> </w:t>
      </w:r>
      <w:r>
        <w:t xml:space="preserve">which </w:t>
      </w:r>
      <w:r>
        <w:rPr>
          <w:spacing w:val="-2"/>
        </w:rPr>
        <w:t>are</w:t>
      </w:r>
      <w:r>
        <w:t xml:space="preserve"> </w:t>
      </w:r>
      <w:r>
        <w:rPr>
          <w:spacing w:val="-1"/>
        </w:rPr>
        <w:t>that:</w:t>
      </w:r>
    </w:p>
    <w:p w:rsidR="00D96B91" w:rsidRDefault="00C2656B">
      <w:pPr>
        <w:pStyle w:val="BodyText"/>
        <w:numPr>
          <w:ilvl w:val="0"/>
          <w:numId w:val="131"/>
        </w:numPr>
        <w:tabs>
          <w:tab w:val="left" w:pos="1531"/>
        </w:tabs>
        <w:spacing w:before="170" w:line="240" w:lineRule="exact"/>
        <w:ind w:right="2031" w:hanging="283"/>
        <w:rPr>
          <w:rFonts w:cs="Avenir Next"/>
        </w:rPr>
      </w:pPr>
      <w:r>
        <w:t>customers</w:t>
      </w:r>
      <w:r>
        <w:rPr>
          <w:spacing w:val="-1"/>
        </w:rPr>
        <w:t xml:space="preserve"> </w:t>
      </w:r>
      <w:r>
        <w:t>will only</w:t>
      </w:r>
      <w:r>
        <w:rPr>
          <w:spacing w:val="-1"/>
        </w:rPr>
        <w:t xml:space="preserve"> </w:t>
      </w:r>
      <w:r>
        <w:t xml:space="preserve">benefit </w:t>
      </w:r>
      <w:r>
        <w:rPr>
          <w:spacing w:val="-1"/>
        </w:rPr>
        <w:t xml:space="preserve">from </w:t>
      </w:r>
      <w:r>
        <w:t>higher demand</w:t>
      </w:r>
      <w:r>
        <w:rPr>
          <w:spacing w:val="-1"/>
        </w:rPr>
        <w:t xml:space="preserve"> </w:t>
      </w:r>
      <w:r>
        <w:t>if</w:t>
      </w:r>
      <w:r>
        <w:rPr>
          <w:spacing w:val="4"/>
        </w:rPr>
        <w:t xml:space="preserve"> </w:t>
      </w:r>
      <w:r>
        <w:t>demand</w:t>
      </w:r>
      <w:r>
        <w:rPr>
          <w:spacing w:val="-1"/>
        </w:rPr>
        <w:t xml:space="preserve"> exceeds</w:t>
      </w:r>
      <w:r>
        <w:t xml:space="preserve"> the</w:t>
      </w:r>
      <w:r>
        <w:rPr>
          <w:spacing w:val="-1"/>
        </w:rPr>
        <w:t xml:space="preserve"> </w:t>
      </w:r>
      <w:r>
        <w:t>upper bound of</w:t>
      </w:r>
      <w:r>
        <w:rPr>
          <w:spacing w:val="3"/>
        </w:rPr>
        <w:t xml:space="preserve"> </w:t>
      </w:r>
      <w:r>
        <w:t>the</w:t>
      </w:r>
      <w:r>
        <w:rPr>
          <w:spacing w:val="24"/>
        </w:rPr>
        <w:t xml:space="preserve"> </w:t>
      </w:r>
      <w:r>
        <w:rPr>
          <w:spacing w:val="-1"/>
        </w:rPr>
        <w:t>deadband,</w:t>
      </w:r>
      <w:r>
        <w:rPr>
          <w:spacing w:val="-6"/>
        </w:rPr>
        <w:t xml:space="preserve"> </w:t>
      </w:r>
      <w:r>
        <w:t>and</w:t>
      </w:r>
    </w:p>
    <w:p w:rsidR="00D96B91" w:rsidRDefault="00C2656B">
      <w:pPr>
        <w:pStyle w:val="BodyText"/>
        <w:numPr>
          <w:ilvl w:val="0"/>
          <w:numId w:val="131"/>
        </w:numPr>
        <w:tabs>
          <w:tab w:val="left" w:pos="1531"/>
        </w:tabs>
        <w:spacing w:before="85" w:line="240" w:lineRule="exact"/>
        <w:ind w:right="1308" w:hanging="283"/>
      </w:pPr>
      <w:r>
        <w:t xml:space="preserve">the </w:t>
      </w:r>
      <w:r>
        <w:rPr>
          <w:spacing w:val="-1"/>
        </w:rPr>
        <w:t>regulated</w:t>
      </w:r>
      <w:r>
        <w:t xml:space="preserve"> business may not have an incentive to implement </w:t>
      </w:r>
      <w:r>
        <w:rPr>
          <w:spacing w:val="-1"/>
        </w:rPr>
        <w:t>conservation</w:t>
      </w:r>
      <w:r>
        <w:t xml:space="preserve"> </w:t>
      </w:r>
      <w:r>
        <w:rPr>
          <w:spacing w:val="-1"/>
        </w:rPr>
        <w:t>measures</w:t>
      </w:r>
      <w:r>
        <w:t xml:space="preserve"> </w:t>
      </w:r>
      <w:r>
        <w:rPr>
          <w:spacing w:val="-1"/>
        </w:rPr>
        <w:t>that</w:t>
      </w:r>
      <w:r>
        <w:t xml:space="preserve"> </w:t>
      </w:r>
      <w:r>
        <w:rPr>
          <w:spacing w:val="-1"/>
        </w:rPr>
        <w:t>result</w:t>
      </w:r>
      <w:r>
        <w:t xml:space="preserve"> in</w:t>
      </w:r>
      <w:r>
        <w:rPr>
          <w:spacing w:val="35"/>
        </w:rPr>
        <w:t xml:space="preserve"> </w:t>
      </w:r>
      <w:r>
        <w:t xml:space="preserve">demand falling below the </w:t>
      </w:r>
      <w:r>
        <w:rPr>
          <w:spacing w:val="-1"/>
        </w:rPr>
        <w:t>deadband.</w:t>
      </w:r>
    </w:p>
    <w:p w:rsidR="00D96B91" w:rsidRDefault="00C2656B">
      <w:pPr>
        <w:pStyle w:val="BodyText"/>
        <w:spacing w:before="85" w:line="240" w:lineRule="exact"/>
        <w:ind w:right="1376"/>
        <w:rPr>
          <w:rFonts w:cs="Avenir Next"/>
        </w:rPr>
      </w:pPr>
      <w:r>
        <w:t>Notwithstanding these disadvantages,</w:t>
      </w:r>
      <w:r>
        <w:rPr>
          <w:spacing w:val="-7"/>
        </w:rPr>
        <w:t xml:space="preserve"> </w:t>
      </w:r>
      <w:r>
        <w:t xml:space="preserve">the </w:t>
      </w:r>
      <w:r>
        <w:rPr>
          <w:spacing w:val="-3"/>
        </w:rPr>
        <w:t>Panel</w:t>
      </w:r>
      <w:r>
        <w:t xml:space="preserve"> considers the hybrid price and </w:t>
      </w:r>
      <w:r>
        <w:rPr>
          <w:spacing w:val="-1"/>
        </w:rPr>
        <w:t>revenue</w:t>
      </w:r>
      <w:r>
        <w:t xml:space="preserve"> cap </w:t>
      </w:r>
      <w:r>
        <w:rPr>
          <w:spacing w:val="-1"/>
        </w:rPr>
        <w:t>provides</w:t>
      </w:r>
      <w:r>
        <w:rPr>
          <w:spacing w:val="21"/>
        </w:rPr>
        <w:t xml:space="preserve"> </w:t>
      </w:r>
      <w:r>
        <w:t xml:space="preserve">a </w:t>
      </w:r>
      <w:r>
        <w:rPr>
          <w:spacing w:val="-1"/>
        </w:rPr>
        <w:t>better</w:t>
      </w:r>
      <w:r>
        <w:t xml:space="preserve"> balance between the competing objectives outlined in section </w:t>
      </w:r>
      <w:hyperlink w:anchor="_bookmark36" w:history="1">
        <w:r>
          <w:t>6.4.3.1</w:t>
        </w:r>
      </w:hyperlink>
      <w:r>
        <w:t xml:space="preserve"> than other </w:t>
      </w:r>
      <w:r>
        <w:rPr>
          <w:spacing w:val="-1"/>
        </w:rPr>
        <w:t>approaches</w:t>
      </w:r>
    </w:p>
    <w:p w:rsidR="00D96B91" w:rsidRDefault="00C2656B">
      <w:pPr>
        <w:pStyle w:val="BodyText"/>
        <w:spacing w:before="9" w:line="219" w:lineRule="auto"/>
        <w:ind w:right="1328"/>
      </w:pPr>
      <w:r>
        <w:t xml:space="preserve">– </w:t>
      </w:r>
      <w:r>
        <w:rPr>
          <w:spacing w:val="-1"/>
        </w:rPr>
        <w:t>particularly</w:t>
      </w:r>
      <w:r>
        <w:t xml:space="preserve"> given the </w:t>
      </w:r>
      <w:r>
        <w:rPr>
          <w:spacing w:val="-1"/>
        </w:rPr>
        <w:t>degree</w:t>
      </w:r>
      <w:r>
        <w:t xml:space="preserve"> of</w:t>
      </w:r>
      <w:r>
        <w:rPr>
          <w:spacing w:val="4"/>
        </w:rPr>
        <w:t xml:space="preserve"> </w:t>
      </w:r>
      <w:r>
        <w:rPr>
          <w:spacing w:val="-1"/>
        </w:rPr>
        <w:t>uncertainty</w:t>
      </w:r>
      <w:r>
        <w:t xml:space="preserve"> </w:t>
      </w:r>
      <w:r>
        <w:rPr>
          <w:spacing w:val="-1"/>
        </w:rPr>
        <w:t>surrounding</w:t>
      </w:r>
      <w:r>
        <w:t xml:space="preserve"> demand.</w:t>
      </w:r>
      <w:r>
        <w:rPr>
          <w:spacing w:val="-11"/>
        </w:rPr>
        <w:t xml:space="preserve"> </w:t>
      </w:r>
      <w:r>
        <w:rPr>
          <w:spacing w:val="-2"/>
        </w:rPr>
        <w:t>The</w:t>
      </w:r>
      <w:r>
        <w:t xml:space="preserve"> </w:t>
      </w:r>
      <w:r>
        <w:rPr>
          <w:spacing w:val="-3"/>
        </w:rPr>
        <w:t>Panel</w:t>
      </w:r>
      <w:r>
        <w:t xml:space="preserve"> also considers this form</w:t>
      </w:r>
      <w:r>
        <w:rPr>
          <w:spacing w:val="63"/>
        </w:rPr>
        <w:t xml:space="preserve"> </w:t>
      </w:r>
      <w:r>
        <w:t>of</w:t>
      </w:r>
      <w:r>
        <w:rPr>
          <w:spacing w:val="4"/>
        </w:rPr>
        <w:t xml:space="preserve"> </w:t>
      </w:r>
      <w:r>
        <w:rPr>
          <w:spacing w:val="-1"/>
        </w:rPr>
        <w:t>control</w:t>
      </w:r>
      <w:r>
        <w:t xml:space="preserve"> is consistent with sections 20A(1) and 20(2) of</w:t>
      </w:r>
      <w:r>
        <w:rPr>
          <w:spacing w:val="4"/>
        </w:rPr>
        <w:t xml:space="preserve"> </w:t>
      </w:r>
      <w:r>
        <w:t>the</w:t>
      </w:r>
      <w:r>
        <w:rPr>
          <w:spacing w:val="-4"/>
        </w:rPr>
        <w:t xml:space="preserve"> </w:t>
      </w:r>
      <w:r>
        <w:t>Act and clause 1(e) of</w:t>
      </w:r>
      <w:r>
        <w:rPr>
          <w:spacing w:val="4"/>
        </w:rPr>
        <w:t xml:space="preserve"> </w:t>
      </w:r>
      <w:r>
        <w:t>the original terms of</w:t>
      </w:r>
      <w:r>
        <w:rPr>
          <w:spacing w:val="23"/>
        </w:rPr>
        <w:t xml:space="preserve"> </w:t>
      </w:r>
      <w:r>
        <w:rPr>
          <w:spacing w:val="-1"/>
        </w:rPr>
        <w:t>reference.</w:t>
      </w:r>
    </w:p>
    <w:p w:rsidR="00D96B91" w:rsidRDefault="00C2656B">
      <w:pPr>
        <w:pStyle w:val="BodyText"/>
        <w:spacing w:before="155" w:line="260" w:lineRule="exact"/>
        <w:ind w:right="1548"/>
        <w:rPr>
          <w:rFonts w:cs="Avenir Next"/>
        </w:rPr>
      </w:pPr>
      <w:r>
        <w:rPr>
          <w:rFonts w:cs="Avenir Next"/>
          <w:spacing w:val="-2"/>
        </w:rPr>
        <w:t>The</w:t>
      </w:r>
      <w:r>
        <w:rPr>
          <w:rFonts w:cs="Avenir Next"/>
        </w:rPr>
        <w:t xml:space="preserve"> </w:t>
      </w:r>
      <w:r>
        <w:rPr>
          <w:rFonts w:cs="Avenir Next"/>
          <w:spacing w:val="-3"/>
        </w:rPr>
        <w:t>Panel</w:t>
      </w:r>
      <w:r>
        <w:rPr>
          <w:rFonts w:cs="Avenir Next"/>
        </w:rPr>
        <w:t xml:space="preserve"> notes </w:t>
      </w:r>
      <w:r>
        <w:rPr>
          <w:rFonts w:cs="Avenir Next"/>
          <w:spacing w:val="-1"/>
        </w:rPr>
        <w:t>that</w:t>
      </w:r>
      <w:r>
        <w:rPr>
          <w:rFonts w:cs="Avenir Next"/>
        </w:rPr>
        <w:t xml:space="preserve"> </w:t>
      </w:r>
      <w:r>
        <w:rPr>
          <w:rFonts w:cs="Avenir Next"/>
          <w:spacing w:val="-4"/>
        </w:rPr>
        <w:t>IPART’s</w:t>
      </w:r>
      <w:r>
        <w:rPr>
          <w:rFonts w:cs="Avenir Next"/>
        </w:rPr>
        <w:t xml:space="preserve"> </w:t>
      </w:r>
      <w:r>
        <w:rPr>
          <w:rFonts w:cs="Avenir Next"/>
          <w:spacing w:val="-1"/>
        </w:rPr>
        <w:t>approach</w:t>
      </w:r>
      <w:r>
        <w:rPr>
          <w:rFonts w:cs="Avenir Next"/>
        </w:rPr>
        <w:t xml:space="preserve"> in the </w:t>
      </w:r>
      <w:r>
        <w:rPr>
          <w:rFonts w:cs="Avenir Next"/>
          <w:spacing w:val="-1"/>
        </w:rPr>
        <w:t>Sydney</w:t>
      </w:r>
      <w:r>
        <w:rPr>
          <w:rFonts w:cs="Avenir Next"/>
          <w:spacing w:val="-3"/>
        </w:rPr>
        <w:t xml:space="preserve"> </w:t>
      </w:r>
      <w:r>
        <w:rPr>
          <w:rFonts w:cs="Avenir Next"/>
          <w:spacing w:val="-2"/>
        </w:rPr>
        <w:t>Water</w:t>
      </w:r>
      <w:r>
        <w:rPr>
          <w:rFonts w:cs="Avenir Next"/>
        </w:rPr>
        <w:t xml:space="preserve"> decision is similar in many ways to the</w:t>
      </w:r>
      <w:r>
        <w:rPr>
          <w:rFonts w:cs="Avenir Next"/>
          <w:spacing w:val="31"/>
        </w:rPr>
        <w:t xml:space="preserve"> </w:t>
      </w:r>
      <w:r>
        <w:rPr>
          <w:rFonts w:cs="Avenir Next"/>
          <w:spacing w:val="-1"/>
        </w:rPr>
        <w:t>approach</w:t>
      </w:r>
      <w:r>
        <w:rPr>
          <w:rFonts w:cs="Avenir Next"/>
        </w:rPr>
        <w:t xml:space="preserve"> the ICRC adopted in the last </w:t>
      </w:r>
      <w:r>
        <w:rPr>
          <w:rFonts w:cs="Avenir Next"/>
          <w:spacing w:val="-1"/>
        </w:rPr>
        <w:t>regulatory</w:t>
      </w:r>
      <w:r>
        <w:rPr>
          <w:rFonts w:cs="Avenir Next"/>
        </w:rPr>
        <w:t xml:space="preserve"> period (see </w:t>
      </w:r>
      <w:hyperlink w:anchor="_bookmark37" w:history="1">
        <w:r>
          <w:rPr>
            <w:spacing w:val="-1"/>
          </w:rPr>
          <w:t>Box</w:t>
        </w:r>
        <w:r>
          <w:t xml:space="preserve"> 6.1</w:t>
        </w:r>
      </w:hyperlink>
      <w:r>
        <w:t>),</w:t>
      </w:r>
      <w:r>
        <w:rPr>
          <w:spacing w:val="-6"/>
        </w:rPr>
        <w:t xml:space="preserve"> </w:t>
      </w:r>
      <w:r>
        <w:t xml:space="preserve">with the only </w:t>
      </w:r>
      <w:r>
        <w:rPr>
          <w:spacing w:val="-2"/>
        </w:rPr>
        <w:t>real</w:t>
      </w:r>
      <w:r>
        <w:t xml:space="preserve"> </w:t>
      </w:r>
      <w:r>
        <w:rPr>
          <w:spacing w:val="-1"/>
        </w:rPr>
        <w:t>difference</w:t>
      </w:r>
      <w:r>
        <w:rPr>
          <w:spacing w:val="25"/>
        </w:rPr>
        <w:t xml:space="preserve"> </w:t>
      </w:r>
      <w:r>
        <w:rPr>
          <w:rFonts w:cs="Avenir Next"/>
        </w:rPr>
        <w:t xml:space="preserve">between the two being the </w:t>
      </w:r>
      <w:r>
        <w:rPr>
          <w:rFonts w:cs="Avenir Next"/>
          <w:spacing w:val="-1"/>
        </w:rPr>
        <w:t>deadband</w:t>
      </w:r>
      <w:r>
        <w:rPr>
          <w:rFonts w:cs="Avenir Next"/>
        </w:rPr>
        <w:t xml:space="preserve"> </w:t>
      </w:r>
      <w:r>
        <w:rPr>
          <w:rFonts w:cs="Avenir Next"/>
          <w:spacing w:val="-1"/>
        </w:rPr>
        <w:t>that</w:t>
      </w:r>
      <w:r>
        <w:rPr>
          <w:rFonts w:cs="Avenir Next"/>
        </w:rPr>
        <w:t xml:space="preserve"> was adopted:</w:t>
      </w:r>
    </w:p>
    <w:p w:rsidR="00D96B91" w:rsidRDefault="00C2656B">
      <w:pPr>
        <w:numPr>
          <w:ilvl w:val="0"/>
          <w:numId w:val="131"/>
        </w:numPr>
        <w:tabs>
          <w:tab w:val="left" w:pos="1531"/>
        </w:tabs>
        <w:spacing w:before="178"/>
        <w:ind w:hanging="283"/>
        <w:rPr>
          <w:rFonts w:ascii="Avenir Next" w:eastAsia="Avenir Next" w:hAnsi="Avenir Next" w:cs="Avenir Next"/>
          <w:sz w:val="20"/>
          <w:szCs w:val="20"/>
        </w:rPr>
      </w:pPr>
      <w:r>
        <w:rPr>
          <w:rFonts w:ascii="Avenir Next"/>
          <w:sz w:val="20"/>
        </w:rPr>
        <w:t xml:space="preserve">the ICRC set the </w:t>
      </w:r>
      <w:r>
        <w:rPr>
          <w:rFonts w:ascii="Avenir Next"/>
          <w:spacing w:val="-1"/>
          <w:sz w:val="20"/>
        </w:rPr>
        <w:t>deadband</w:t>
      </w:r>
      <w:r>
        <w:rPr>
          <w:rFonts w:ascii="Avenir Next"/>
          <w:sz w:val="20"/>
        </w:rPr>
        <w:t xml:space="preserve"> </w:t>
      </w:r>
      <w:r>
        <w:rPr>
          <w:rFonts w:ascii="Avenir Next"/>
          <w:spacing w:val="-1"/>
          <w:sz w:val="20"/>
        </w:rPr>
        <w:t>at</w:t>
      </w:r>
      <w:r>
        <w:rPr>
          <w:rFonts w:ascii="Avenir Next"/>
          <w:sz w:val="20"/>
        </w:rPr>
        <w:t xml:space="preserve"> 3% of</w:t>
      </w:r>
      <w:r>
        <w:rPr>
          <w:rFonts w:ascii="Avenir Next"/>
          <w:spacing w:val="4"/>
          <w:sz w:val="20"/>
        </w:rPr>
        <w:t xml:space="preserve"> </w:t>
      </w:r>
      <w:r>
        <w:rPr>
          <w:rFonts w:ascii="Avenir Next"/>
          <w:spacing w:val="-1"/>
          <w:sz w:val="20"/>
        </w:rPr>
        <w:t>forecast</w:t>
      </w:r>
      <w:r>
        <w:rPr>
          <w:rFonts w:ascii="Avenir Next"/>
          <w:sz w:val="20"/>
        </w:rPr>
        <w:t xml:space="preserve"> volumetric </w:t>
      </w:r>
      <w:r>
        <w:rPr>
          <w:rFonts w:ascii="Avenir Next"/>
          <w:b/>
          <w:spacing w:val="-1"/>
          <w:sz w:val="20"/>
        </w:rPr>
        <w:t>water</w:t>
      </w:r>
      <w:r>
        <w:rPr>
          <w:rFonts w:ascii="Avenir Next"/>
          <w:b/>
          <w:sz w:val="20"/>
        </w:rPr>
        <w:t xml:space="preserve"> sales </w:t>
      </w:r>
      <w:r>
        <w:rPr>
          <w:rFonts w:ascii="Avenir Next"/>
          <w:b/>
          <w:spacing w:val="-1"/>
          <w:sz w:val="20"/>
        </w:rPr>
        <w:t>revenue</w:t>
      </w:r>
      <w:r>
        <w:rPr>
          <w:rFonts w:ascii="Avenir Next"/>
          <w:spacing w:val="-1"/>
          <w:sz w:val="20"/>
        </w:rPr>
        <w:t>,</w:t>
      </w:r>
      <w:r>
        <w:rPr>
          <w:rFonts w:ascii="Avenir Next"/>
          <w:spacing w:val="-6"/>
          <w:sz w:val="20"/>
        </w:rPr>
        <w:t xml:space="preserve"> </w:t>
      </w:r>
      <w:r>
        <w:rPr>
          <w:rFonts w:ascii="Avenir Next"/>
          <w:sz w:val="20"/>
        </w:rPr>
        <w:t>and</w:t>
      </w:r>
    </w:p>
    <w:p w:rsidR="00D96B91" w:rsidRDefault="00C2656B">
      <w:pPr>
        <w:numPr>
          <w:ilvl w:val="0"/>
          <w:numId w:val="131"/>
        </w:numPr>
        <w:tabs>
          <w:tab w:val="left" w:pos="1531"/>
        </w:tabs>
        <w:spacing w:before="72"/>
        <w:ind w:hanging="283"/>
        <w:rPr>
          <w:rFonts w:ascii="Avenir Next" w:eastAsia="Avenir Next" w:hAnsi="Avenir Next" w:cs="Avenir Next"/>
          <w:sz w:val="20"/>
          <w:szCs w:val="20"/>
        </w:rPr>
      </w:pPr>
      <w:r>
        <w:rPr>
          <w:rFonts w:ascii="Avenir Next"/>
          <w:spacing w:val="-3"/>
          <w:sz w:val="20"/>
        </w:rPr>
        <w:t>IPART</w:t>
      </w:r>
      <w:r>
        <w:rPr>
          <w:rFonts w:ascii="Avenir Next"/>
          <w:spacing w:val="-5"/>
          <w:sz w:val="20"/>
        </w:rPr>
        <w:t xml:space="preserve"> </w:t>
      </w:r>
      <w:r>
        <w:rPr>
          <w:rFonts w:ascii="Avenir Next"/>
          <w:sz w:val="20"/>
        </w:rPr>
        <w:t xml:space="preserve">set the </w:t>
      </w:r>
      <w:r>
        <w:rPr>
          <w:rFonts w:ascii="Avenir Next"/>
          <w:spacing w:val="-1"/>
          <w:sz w:val="20"/>
        </w:rPr>
        <w:t>deadband</w:t>
      </w:r>
      <w:r>
        <w:rPr>
          <w:rFonts w:ascii="Avenir Next"/>
          <w:sz w:val="20"/>
        </w:rPr>
        <w:t xml:space="preserve"> </w:t>
      </w:r>
      <w:r>
        <w:rPr>
          <w:rFonts w:ascii="Avenir Next"/>
          <w:spacing w:val="-1"/>
          <w:sz w:val="20"/>
        </w:rPr>
        <w:t>at</w:t>
      </w:r>
      <w:r>
        <w:rPr>
          <w:rFonts w:ascii="Avenir Next"/>
          <w:sz w:val="20"/>
        </w:rPr>
        <w:t xml:space="preserve"> 10% of</w:t>
      </w:r>
      <w:r>
        <w:rPr>
          <w:rFonts w:ascii="Avenir Next"/>
          <w:spacing w:val="4"/>
          <w:sz w:val="20"/>
        </w:rPr>
        <w:t xml:space="preserve"> </w:t>
      </w:r>
      <w:r>
        <w:rPr>
          <w:rFonts w:ascii="Avenir Next"/>
          <w:spacing w:val="-1"/>
          <w:sz w:val="20"/>
        </w:rPr>
        <w:t>forecast</w:t>
      </w:r>
      <w:r>
        <w:rPr>
          <w:rFonts w:ascii="Avenir Next"/>
          <w:sz w:val="20"/>
        </w:rPr>
        <w:t xml:space="preserve"> </w:t>
      </w:r>
      <w:r>
        <w:rPr>
          <w:rFonts w:ascii="Avenir Next"/>
          <w:b/>
          <w:spacing w:val="-1"/>
          <w:sz w:val="20"/>
        </w:rPr>
        <w:t>water</w:t>
      </w:r>
      <w:r>
        <w:rPr>
          <w:rFonts w:ascii="Avenir Next"/>
          <w:b/>
          <w:sz w:val="20"/>
        </w:rPr>
        <w:t xml:space="preserve"> sales</w:t>
      </w:r>
      <w:r>
        <w:rPr>
          <w:rFonts w:ascii="Avenir Next"/>
          <w:sz w:val="20"/>
        </w:rPr>
        <w:t>.</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rPr>
          <w:sz w:val="11"/>
          <w:szCs w:val="11"/>
        </w:rPr>
      </w:pPr>
      <w:r>
        <w:rPr>
          <w:spacing w:val="-2"/>
        </w:rPr>
        <w:t>The</w:t>
      </w:r>
      <w:r>
        <w:t xml:space="preserve"> </w:t>
      </w:r>
      <w:r>
        <w:rPr>
          <w:spacing w:val="-3"/>
        </w:rPr>
        <w:t>Panel</w:t>
      </w:r>
      <w:r>
        <w:t xml:space="preserve"> understands </w:t>
      </w:r>
      <w:r>
        <w:rPr>
          <w:spacing w:val="-1"/>
        </w:rPr>
        <w:t>that</w:t>
      </w:r>
      <w:r>
        <w:t xml:space="preserve"> in the 2008 price </w:t>
      </w:r>
      <w:r>
        <w:rPr>
          <w:spacing w:val="-1"/>
        </w:rPr>
        <w:t>direction</w:t>
      </w:r>
      <w:r>
        <w:t xml:space="preserve"> the ICRC </w:t>
      </w:r>
      <w:r>
        <w:rPr>
          <w:spacing w:val="-1"/>
        </w:rPr>
        <w:t>considered</w:t>
      </w:r>
      <w:r>
        <w:t xml:space="preserve"> adopting a 10% </w:t>
      </w:r>
      <w:r>
        <w:rPr>
          <w:spacing w:val="-1"/>
        </w:rPr>
        <w:t>deadband</w:t>
      </w:r>
      <w:r>
        <w:rPr>
          <w:spacing w:val="47"/>
        </w:rPr>
        <w:t xml:space="preserve"> </w:t>
      </w:r>
      <w:r>
        <w:t>on</w:t>
      </w:r>
      <w:r>
        <w:rPr>
          <w:spacing w:val="-1"/>
        </w:rPr>
        <w:t xml:space="preserve"> </w:t>
      </w:r>
      <w:r>
        <w:t>total</w:t>
      </w:r>
      <w:r>
        <w:rPr>
          <w:spacing w:val="-1"/>
        </w:rPr>
        <w:t xml:space="preserve"> revenue</w:t>
      </w:r>
      <w:r>
        <w:t xml:space="preserve"> but</w:t>
      </w:r>
      <w:r>
        <w:rPr>
          <w:spacing w:val="-1"/>
        </w:rPr>
        <w:t xml:space="preserve"> </w:t>
      </w:r>
      <w:r>
        <w:t>given</w:t>
      </w:r>
      <w:r>
        <w:rPr>
          <w:spacing w:val="-1"/>
        </w:rPr>
        <w:t xml:space="preserve"> </w:t>
      </w:r>
      <w:r>
        <w:t>the significant</w:t>
      </w:r>
      <w:r>
        <w:rPr>
          <w:spacing w:val="-1"/>
        </w:rPr>
        <w:t xml:space="preserve"> degree </w:t>
      </w:r>
      <w:r>
        <w:t>of</w:t>
      </w:r>
      <w:r>
        <w:rPr>
          <w:spacing w:val="4"/>
        </w:rPr>
        <w:t xml:space="preserve"> </w:t>
      </w:r>
      <w:r>
        <w:rPr>
          <w:spacing w:val="-1"/>
        </w:rPr>
        <w:t>uncertainty surrounding water</w:t>
      </w:r>
      <w:r>
        <w:t xml:space="preserve"> sales</w:t>
      </w:r>
      <w:r>
        <w:rPr>
          <w:spacing w:val="-1"/>
        </w:rPr>
        <w:t xml:space="preserve"> </w:t>
      </w:r>
      <w:r>
        <w:t>decided</w:t>
      </w:r>
      <w:r>
        <w:rPr>
          <w:spacing w:val="-1"/>
        </w:rPr>
        <w:t xml:space="preserve"> </w:t>
      </w:r>
      <w:r>
        <w:t>to</w:t>
      </w:r>
      <w:r>
        <w:rPr>
          <w:spacing w:val="47"/>
        </w:rPr>
        <w:t xml:space="preserve"> </w:t>
      </w:r>
      <w:r>
        <w:rPr>
          <w:spacing w:val="-1"/>
        </w:rPr>
        <w:t>reduce</w:t>
      </w:r>
      <w:r>
        <w:t xml:space="preserve"> the</w:t>
      </w:r>
      <w:r>
        <w:rPr>
          <w:spacing w:val="1"/>
        </w:rPr>
        <w:t xml:space="preserve"> </w:t>
      </w:r>
      <w:r>
        <w:rPr>
          <w:spacing w:val="-1"/>
        </w:rPr>
        <w:t>deadband</w:t>
      </w:r>
      <w:r>
        <w:t xml:space="preserve"> to</w:t>
      </w:r>
      <w:r>
        <w:rPr>
          <w:spacing w:val="1"/>
        </w:rPr>
        <w:t xml:space="preserve"> </w:t>
      </w:r>
      <w:r>
        <w:t>3% and</w:t>
      </w:r>
      <w:r>
        <w:rPr>
          <w:spacing w:val="1"/>
        </w:rPr>
        <w:t xml:space="preserve"> </w:t>
      </w:r>
      <w:r>
        <w:t>apply</w:t>
      </w:r>
      <w:r>
        <w:rPr>
          <w:spacing w:val="1"/>
        </w:rPr>
        <w:t xml:space="preserve"> </w:t>
      </w:r>
      <w:r>
        <w:t>it to</w:t>
      </w:r>
      <w:r>
        <w:rPr>
          <w:spacing w:val="1"/>
        </w:rPr>
        <w:t xml:space="preserve"> </w:t>
      </w:r>
      <w:r>
        <w:t xml:space="preserve">volumetric </w:t>
      </w:r>
      <w:r>
        <w:rPr>
          <w:spacing w:val="-1"/>
        </w:rPr>
        <w:t>water</w:t>
      </w:r>
      <w:r>
        <w:rPr>
          <w:spacing w:val="1"/>
        </w:rPr>
        <w:t xml:space="preserve"> </w:t>
      </w:r>
      <w:r>
        <w:t>sales</w:t>
      </w:r>
      <w:r>
        <w:rPr>
          <w:spacing w:val="1"/>
        </w:rPr>
        <w:t xml:space="preserve"> </w:t>
      </w:r>
      <w:r>
        <w:rPr>
          <w:spacing w:val="-1"/>
        </w:rPr>
        <w:t>revenue</w:t>
      </w:r>
      <w:r>
        <w:t xml:space="preserve"> </w:t>
      </w:r>
      <w:r>
        <w:rPr>
          <w:spacing w:val="-2"/>
        </w:rPr>
        <w:t>only.</w:t>
      </w:r>
      <w:r>
        <w:rPr>
          <w:spacing w:val="-2"/>
          <w:position w:val="7"/>
          <w:sz w:val="11"/>
        </w:rPr>
        <w:t>53</w:t>
      </w:r>
    </w:p>
    <w:p w:rsidR="00D96B91" w:rsidRDefault="00C2656B">
      <w:pPr>
        <w:pStyle w:val="BodyText"/>
        <w:spacing w:before="170" w:line="260" w:lineRule="exact"/>
        <w:ind w:right="1357"/>
        <w:jc w:val="both"/>
      </w:pPr>
      <w:r>
        <w:rPr>
          <w:spacing w:val="-2"/>
        </w:rPr>
        <w:t>The</w:t>
      </w:r>
      <w:r>
        <w:t xml:space="preserve"> </w:t>
      </w:r>
      <w:r>
        <w:rPr>
          <w:spacing w:val="-1"/>
        </w:rPr>
        <w:t>different</w:t>
      </w:r>
      <w:r>
        <w:t xml:space="preserve"> positions </w:t>
      </w:r>
      <w:r>
        <w:rPr>
          <w:spacing w:val="-1"/>
        </w:rPr>
        <w:t>taken</w:t>
      </w:r>
      <w:r>
        <w:t xml:space="preserve"> by the ICRC and </w:t>
      </w:r>
      <w:r>
        <w:rPr>
          <w:spacing w:val="-4"/>
        </w:rPr>
        <w:t>IPART</w:t>
      </w:r>
      <w:r>
        <w:rPr>
          <w:spacing w:val="-5"/>
        </w:rPr>
        <w:t xml:space="preserve"> </w:t>
      </w:r>
      <w:r>
        <w:t xml:space="preserve">on the level and </w:t>
      </w:r>
      <w:r>
        <w:rPr>
          <w:spacing w:val="-1"/>
        </w:rPr>
        <w:t>reference</w:t>
      </w:r>
      <w:r>
        <w:t xml:space="preserve"> point for the </w:t>
      </w:r>
      <w:r>
        <w:rPr>
          <w:spacing w:val="-1"/>
        </w:rPr>
        <w:t>deadband</w:t>
      </w:r>
      <w:r>
        <w:rPr>
          <w:spacing w:val="31"/>
        </w:rPr>
        <w:t xml:space="preserve"> </w:t>
      </w:r>
      <w:r>
        <w:t xml:space="preserve">have </w:t>
      </w:r>
      <w:r>
        <w:rPr>
          <w:spacing w:val="-1"/>
        </w:rPr>
        <w:t>prompted</w:t>
      </w:r>
      <w:r>
        <w:t xml:space="preserve"> the </w:t>
      </w:r>
      <w:r>
        <w:rPr>
          <w:spacing w:val="-3"/>
        </w:rPr>
        <w:t>Panel</w:t>
      </w:r>
      <w:r>
        <w:t xml:space="preserve"> to </w:t>
      </w:r>
      <w:r>
        <w:rPr>
          <w:spacing w:val="-1"/>
        </w:rPr>
        <w:t>carefully</w:t>
      </w:r>
      <w:r>
        <w:t xml:space="preserve"> consider </w:t>
      </w:r>
      <w:r>
        <w:rPr>
          <w:spacing w:val="-1"/>
        </w:rPr>
        <w:t>what</w:t>
      </w:r>
      <w:r>
        <w:t xml:space="preserve"> the </w:t>
      </w:r>
      <w:r>
        <w:rPr>
          <w:spacing w:val="-1"/>
        </w:rPr>
        <w:t>deadband</w:t>
      </w:r>
      <w:r>
        <w:t xml:space="preserve"> should be in this </w:t>
      </w:r>
      <w:r>
        <w:rPr>
          <w:spacing w:val="-1"/>
        </w:rPr>
        <w:t>regulatory</w:t>
      </w:r>
      <w:r>
        <w:t xml:space="preserve"> period.</w:t>
      </w:r>
      <w:r>
        <w:rPr>
          <w:spacing w:val="49"/>
        </w:rPr>
        <w:t xml:space="preserve"> </w:t>
      </w:r>
      <w:r>
        <w:rPr>
          <w:spacing w:val="-1"/>
        </w:rPr>
        <w:t>This</w:t>
      </w:r>
      <w:r>
        <w:t xml:space="preserve"> issue is discussed in the </w:t>
      </w:r>
      <w:r>
        <w:rPr>
          <w:spacing w:val="-1"/>
        </w:rPr>
        <w:t>next</w:t>
      </w:r>
      <w:r>
        <w:t xml:space="preserve"> section.</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1"/>
        <w:rPr>
          <w:rFonts w:ascii="Avenir Next" w:eastAsia="Avenir Next" w:hAnsi="Avenir Next" w:cs="Avenir Next"/>
          <w:sz w:val="14"/>
          <w:szCs w:val="14"/>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46" style="width:72.5pt;height:.5pt;mso-position-horizontal-relative:char;mso-position-vertical-relative:line" coordsize="1450,10">
            <v:group id="_x0000_s3247" style="position:absolute;left:5;top:5;width:1440;height:2" coordorigin="5,5" coordsize="1440,2">
              <v:shape id="_x0000_s3248"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term ‘may’ is used </w:t>
      </w:r>
      <w:r>
        <w:rPr>
          <w:rFonts w:ascii="Avenir Next" w:eastAsia="Avenir Next" w:hAnsi="Avenir Next" w:cs="Avenir Next"/>
          <w:spacing w:val="-1"/>
          <w:sz w:val="16"/>
          <w:szCs w:val="16"/>
        </w:rPr>
        <w:t>here</w:t>
      </w:r>
      <w:r>
        <w:rPr>
          <w:rFonts w:ascii="Avenir Next" w:eastAsia="Avenir Next" w:hAnsi="Avenir Next" w:cs="Avenir Next"/>
          <w:sz w:val="16"/>
          <w:szCs w:val="16"/>
        </w:rPr>
        <w:t xml:space="preserve"> because </w:t>
      </w:r>
      <w:r>
        <w:rPr>
          <w:rFonts w:ascii="Avenir Next" w:eastAsia="Avenir Next" w:hAnsi="Avenir Next" w:cs="Avenir Next"/>
          <w:spacing w:val="-3"/>
          <w:sz w:val="16"/>
          <w:szCs w:val="16"/>
        </w:rPr>
        <w:t>IPART</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 xml:space="preserve">is unable to bind </w:t>
      </w:r>
      <w:r>
        <w:rPr>
          <w:rFonts w:ascii="Avenir Next" w:eastAsia="Avenir Next" w:hAnsi="Avenir Next" w:cs="Avenir Next"/>
          <w:spacing w:val="-1"/>
          <w:sz w:val="16"/>
          <w:szCs w:val="16"/>
        </w:rPr>
        <w:t>future</w:t>
      </w:r>
      <w:r>
        <w:rPr>
          <w:rFonts w:ascii="Avenir Next" w:eastAsia="Avenir Next" w:hAnsi="Avenir Next" w:cs="Avenir Next"/>
          <w:sz w:val="16"/>
          <w:szCs w:val="16"/>
        </w:rPr>
        <w:t xml:space="preserve"> decisions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Tribunal.</w:t>
      </w:r>
    </w:p>
    <w:p w:rsidR="00D96B91" w:rsidRDefault="00C2656B">
      <w:pPr>
        <w:numPr>
          <w:ilvl w:val="0"/>
          <w:numId w:val="99"/>
        </w:numPr>
        <w:tabs>
          <w:tab w:val="left" w:pos="1758"/>
        </w:tabs>
        <w:spacing w:before="128" w:line="192" w:lineRule="exact"/>
        <w:ind w:right="1561" w:hanging="510"/>
        <w:rPr>
          <w:rFonts w:ascii="Avenir Next" w:eastAsia="Avenir Next" w:hAnsi="Avenir Next" w:cs="Avenir Next"/>
          <w:sz w:val="16"/>
          <w:szCs w:val="16"/>
        </w:rPr>
      </w:pPr>
      <w:r>
        <w:rPr>
          <w:rFonts w:ascii="Avenir Next" w:eastAsia="Avenir Next" w:hAnsi="Avenir Next" w:cs="Avenir Next"/>
          <w:spacing w:val="-5"/>
          <w:sz w:val="16"/>
          <w:szCs w:val="16"/>
        </w:rPr>
        <w:t xml:space="preserve">IPART,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 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w:t>
      </w:r>
      <w:r>
        <w:rPr>
          <w:rFonts w:ascii="Avenir Next" w:eastAsia="Avenir Next" w:hAnsi="Avenir Next" w:cs="Avenir Next"/>
          <w:spacing w:val="101"/>
          <w:sz w:val="16"/>
          <w:szCs w:val="16"/>
        </w:rPr>
        <w:t xml:space="preserve"> </w:t>
      </w:r>
      <w:r>
        <w:rPr>
          <w:rFonts w:ascii="Avenir Next" w:eastAsia="Avenir Next" w:hAnsi="Avenir Next" w:cs="Avenir Next"/>
          <w:sz w:val="16"/>
          <w:szCs w:val="16"/>
        </w:rPr>
        <w:t>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38-39.</w:t>
      </w:r>
    </w:p>
    <w:p w:rsidR="00D96B91" w:rsidRDefault="00D96B91">
      <w:pPr>
        <w:spacing w:before="12"/>
        <w:rPr>
          <w:rFonts w:ascii="Avenir Next" w:eastAsia="Avenir Next" w:hAnsi="Avenir Next" w:cs="Avenir Next"/>
          <w:sz w:val="10"/>
          <w:szCs w:val="10"/>
        </w:rPr>
      </w:pPr>
    </w:p>
    <w:p w:rsidR="00D96B91" w:rsidRDefault="00C2656B">
      <w:pPr>
        <w:numPr>
          <w:ilvl w:val="0"/>
          <w:numId w:val="99"/>
        </w:numPr>
        <w:tabs>
          <w:tab w:val="left" w:pos="1758"/>
        </w:tabs>
        <w:spacing w:line="192" w:lineRule="exact"/>
        <w:ind w:right="1473" w:hanging="510"/>
        <w:jc w:val="both"/>
        <w:rPr>
          <w:rFonts w:ascii="Avenir Next" w:eastAsia="Avenir Next" w:hAnsi="Avenir Next" w:cs="Avenir Next"/>
          <w:sz w:val="16"/>
          <w:szCs w:val="16"/>
        </w:rPr>
      </w:pPr>
      <w:r>
        <w:rPr>
          <w:rFonts w:ascii="Avenir Next"/>
          <w:sz w:val="16"/>
        </w:rPr>
        <w:t xml:space="preserve">Note </w:t>
      </w:r>
      <w:r>
        <w:rPr>
          <w:rFonts w:ascii="Avenir Next"/>
          <w:spacing w:val="-1"/>
          <w:sz w:val="16"/>
        </w:rPr>
        <w:t>that</w:t>
      </w:r>
      <w:r>
        <w:rPr>
          <w:rFonts w:ascii="Avenir Next"/>
          <w:sz w:val="16"/>
        </w:rPr>
        <w:t xml:space="preserve"> the risk may be positive or </w:t>
      </w:r>
      <w:r>
        <w:rPr>
          <w:rFonts w:ascii="Avenir Next"/>
          <w:spacing w:val="-1"/>
          <w:sz w:val="16"/>
        </w:rPr>
        <w:t>negative.</w:t>
      </w:r>
      <w:r>
        <w:rPr>
          <w:rFonts w:ascii="Avenir Next"/>
          <w:spacing w:val="-5"/>
          <w:sz w:val="16"/>
        </w:rPr>
        <w:t xml:space="preserve"> </w:t>
      </w:r>
      <w:r>
        <w:rPr>
          <w:rFonts w:ascii="Avenir Next"/>
          <w:spacing w:val="-3"/>
          <w:sz w:val="16"/>
        </w:rPr>
        <w:t>For</w:t>
      </w:r>
      <w:r>
        <w:rPr>
          <w:rFonts w:ascii="Avenir Next"/>
          <w:sz w:val="16"/>
        </w:rPr>
        <w:t xml:space="preserve"> </w:t>
      </w:r>
      <w:r>
        <w:rPr>
          <w:rFonts w:ascii="Avenir Next"/>
          <w:spacing w:val="-1"/>
          <w:sz w:val="16"/>
        </w:rPr>
        <w:t>example,</w:t>
      </w:r>
      <w:r>
        <w:rPr>
          <w:rFonts w:ascii="Avenir Next"/>
          <w:spacing w:val="-5"/>
          <w:sz w:val="16"/>
        </w:rPr>
        <w:t xml:space="preserve"> </w:t>
      </w:r>
      <w:r>
        <w:rPr>
          <w:rFonts w:ascii="Avenir Next"/>
          <w:sz w:val="16"/>
        </w:rPr>
        <w:t>if</w:t>
      </w:r>
      <w:r>
        <w:rPr>
          <w:rFonts w:ascii="Avenir Next"/>
          <w:spacing w:val="3"/>
          <w:sz w:val="16"/>
        </w:rPr>
        <w:t xml:space="preserve"> </w:t>
      </w:r>
      <w:r>
        <w:rPr>
          <w:rFonts w:ascii="Avenir Next"/>
          <w:sz w:val="16"/>
        </w:rPr>
        <w:t xml:space="preserve">demand </w:t>
      </w:r>
      <w:r>
        <w:rPr>
          <w:rFonts w:ascii="Avenir Next"/>
          <w:spacing w:val="-1"/>
          <w:sz w:val="16"/>
        </w:rPr>
        <w:t>exceeds</w:t>
      </w:r>
      <w:r>
        <w:rPr>
          <w:rFonts w:ascii="Avenir Next"/>
          <w:sz w:val="16"/>
        </w:rPr>
        <w:t xml:space="preserve"> the upper bound of</w:t>
      </w:r>
      <w:r>
        <w:rPr>
          <w:rFonts w:ascii="Avenir Next"/>
          <w:spacing w:val="3"/>
          <w:sz w:val="16"/>
        </w:rPr>
        <w:t xml:space="preserve"> </w:t>
      </w:r>
      <w:r>
        <w:rPr>
          <w:rFonts w:ascii="Avenir Next"/>
          <w:sz w:val="16"/>
        </w:rPr>
        <w:t xml:space="preserve">the </w:t>
      </w:r>
      <w:r>
        <w:rPr>
          <w:rFonts w:ascii="Avenir Next"/>
          <w:spacing w:val="-1"/>
          <w:sz w:val="16"/>
        </w:rPr>
        <w:t>deadband</w:t>
      </w:r>
      <w:r>
        <w:rPr>
          <w:rFonts w:ascii="Avenir Next"/>
          <w:sz w:val="16"/>
        </w:rPr>
        <w:t xml:space="preserve"> then</w:t>
      </w:r>
      <w:r>
        <w:rPr>
          <w:rFonts w:ascii="Avenir Next"/>
          <w:spacing w:val="59"/>
          <w:sz w:val="16"/>
        </w:rPr>
        <w:t xml:space="preserve"> </w:t>
      </w:r>
      <w:r>
        <w:rPr>
          <w:rFonts w:ascii="Avenir Next"/>
          <w:sz w:val="16"/>
        </w:rPr>
        <w:t>customers</w:t>
      </w:r>
      <w:r>
        <w:rPr>
          <w:rFonts w:ascii="Avenir Next"/>
          <w:spacing w:val="-1"/>
          <w:sz w:val="16"/>
        </w:rPr>
        <w:t xml:space="preserve"> </w:t>
      </w:r>
      <w:r>
        <w:rPr>
          <w:rFonts w:ascii="Avenir Next"/>
          <w:sz w:val="16"/>
        </w:rPr>
        <w:t xml:space="preserve">will benefit </w:t>
      </w:r>
      <w:r>
        <w:rPr>
          <w:rFonts w:ascii="Avenir Next"/>
          <w:spacing w:val="-1"/>
          <w:sz w:val="16"/>
        </w:rPr>
        <w:t>through</w:t>
      </w:r>
      <w:r>
        <w:rPr>
          <w:rFonts w:ascii="Avenir Next"/>
          <w:sz w:val="16"/>
        </w:rPr>
        <w:t xml:space="preserve"> lower</w:t>
      </w:r>
      <w:r>
        <w:rPr>
          <w:rFonts w:ascii="Avenir Next"/>
          <w:spacing w:val="-1"/>
          <w:sz w:val="16"/>
        </w:rPr>
        <w:t xml:space="preserve"> water</w:t>
      </w:r>
      <w:r>
        <w:rPr>
          <w:rFonts w:ascii="Avenir Next"/>
          <w:sz w:val="16"/>
        </w:rPr>
        <w:t xml:space="preserve"> </w:t>
      </w:r>
      <w:r>
        <w:rPr>
          <w:rFonts w:ascii="Avenir Next"/>
          <w:spacing w:val="-1"/>
          <w:sz w:val="16"/>
        </w:rPr>
        <w:t>charges.</w:t>
      </w:r>
      <w:r>
        <w:rPr>
          <w:rFonts w:ascii="Avenir Next"/>
          <w:spacing w:val="-5"/>
          <w:sz w:val="16"/>
        </w:rPr>
        <w:t xml:space="preserve"> </w:t>
      </w:r>
      <w:r>
        <w:rPr>
          <w:rFonts w:ascii="Avenir Next"/>
          <w:sz w:val="16"/>
        </w:rPr>
        <w:t>If,</w:t>
      </w:r>
      <w:r>
        <w:rPr>
          <w:rFonts w:ascii="Avenir Next"/>
          <w:spacing w:val="-5"/>
          <w:sz w:val="16"/>
        </w:rPr>
        <w:t xml:space="preserve"> </w:t>
      </w:r>
      <w:r>
        <w:rPr>
          <w:rFonts w:ascii="Avenir Next"/>
          <w:sz w:val="16"/>
        </w:rPr>
        <w:t>on</w:t>
      </w:r>
      <w:r>
        <w:rPr>
          <w:rFonts w:ascii="Avenir Next"/>
          <w:spacing w:val="-1"/>
          <w:sz w:val="16"/>
        </w:rPr>
        <w:t xml:space="preserve"> </w:t>
      </w:r>
      <w:r>
        <w:rPr>
          <w:rFonts w:ascii="Avenir Next"/>
          <w:sz w:val="16"/>
        </w:rPr>
        <w:t>the other hand,</w:t>
      </w:r>
      <w:r>
        <w:rPr>
          <w:rFonts w:ascii="Avenir Next"/>
          <w:spacing w:val="-5"/>
          <w:sz w:val="16"/>
        </w:rPr>
        <w:t xml:space="preserve"> </w:t>
      </w:r>
      <w:r>
        <w:rPr>
          <w:rFonts w:ascii="Avenir Next"/>
          <w:sz w:val="16"/>
        </w:rPr>
        <w:t>demand</w:t>
      </w:r>
      <w:r>
        <w:rPr>
          <w:rFonts w:ascii="Avenir Next"/>
          <w:spacing w:val="-1"/>
          <w:sz w:val="16"/>
        </w:rPr>
        <w:t xml:space="preserve"> </w:t>
      </w:r>
      <w:r>
        <w:rPr>
          <w:rFonts w:ascii="Avenir Next"/>
          <w:sz w:val="16"/>
        </w:rPr>
        <w:t>is lower than the</w:t>
      </w:r>
      <w:r>
        <w:rPr>
          <w:rFonts w:ascii="Avenir Next"/>
          <w:spacing w:val="-1"/>
          <w:sz w:val="16"/>
        </w:rPr>
        <w:t xml:space="preserve"> </w:t>
      </w:r>
      <w:r>
        <w:rPr>
          <w:rFonts w:ascii="Avenir Next"/>
          <w:sz w:val="16"/>
        </w:rPr>
        <w:t>lower bound of</w:t>
      </w:r>
      <w:r>
        <w:rPr>
          <w:rFonts w:ascii="Avenir Next"/>
          <w:spacing w:val="3"/>
          <w:sz w:val="16"/>
        </w:rPr>
        <w:t xml:space="preserve"> </w:t>
      </w:r>
      <w:r>
        <w:rPr>
          <w:rFonts w:ascii="Avenir Next"/>
          <w:sz w:val="16"/>
        </w:rPr>
        <w:t>the</w:t>
      </w:r>
      <w:r>
        <w:rPr>
          <w:rFonts w:ascii="Avenir Next"/>
          <w:spacing w:val="25"/>
          <w:sz w:val="16"/>
        </w:rPr>
        <w:t xml:space="preserve"> </w:t>
      </w:r>
      <w:r>
        <w:rPr>
          <w:rFonts w:ascii="Avenir Next"/>
          <w:spacing w:val="-1"/>
          <w:sz w:val="16"/>
        </w:rPr>
        <w:t>deadband</w:t>
      </w:r>
      <w:r>
        <w:rPr>
          <w:rFonts w:ascii="Avenir Next"/>
          <w:sz w:val="16"/>
        </w:rPr>
        <w:t xml:space="preserve"> customers will be </w:t>
      </w:r>
      <w:r>
        <w:rPr>
          <w:rFonts w:ascii="Avenir Next"/>
          <w:spacing w:val="-1"/>
          <w:sz w:val="16"/>
        </w:rPr>
        <w:t>required</w:t>
      </w:r>
      <w:r>
        <w:rPr>
          <w:rFonts w:ascii="Avenir Next"/>
          <w:sz w:val="16"/>
        </w:rPr>
        <w:t xml:space="preserve"> to pay higher </w:t>
      </w:r>
      <w:r>
        <w:rPr>
          <w:rFonts w:ascii="Avenir Next"/>
          <w:spacing w:val="-1"/>
          <w:sz w:val="16"/>
        </w:rPr>
        <w:t>water</w:t>
      </w:r>
      <w:r>
        <w:rPr>
          <w:rFonts w:ascii="Avenir Next"/>
          <w:sz w:val="16"/>
        </w:rPr>
        <w:t xml:space="preserve"> </w:t>
      </w:r>
      <w:r>
        <w:rPr>
          <w:rFonts w:ascii="Avenir Next"/>
          <w:spacing w:val="-1"/>
          <w:sz w:val="16"/>
        </w:rPr>
        <w:t>charges.</w:t>
      </w:r>
    </w:p>
    <w:p w:rsidR="00D96B91" w:rsidRDefault="00C2656B">
      <w:pPr>
        <w:numPr>
          <w:ilvl w:val="0"/>
          <w:numId w:val="99"/>
        </w:numPr>
        <w:tabs>
          <w:tab w:val="left" w:pos="1758"/>
        </w:tabs>
        <w:spacing w:before="14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z w:val="16"/>
        </w:rPr>
        <w:t xml:space="preserve"> and </w:t>
      </w:r>
      <w:r>
        <w:rPr>
          <w:rFonts w:ascii="Avenir Next"/>
          <w:spacing w:val="-2"/>
          <w:sz w:val="16"/>
        </w:rPr>
        <w:t>Price</w:t>
      </w:r>
      <w:r>
        <w:rPr>
          <w:rFonts w:ascii="Avenir Next"/>
          <w:sz w:val="16"/>
        </w:rPr>
        <w:t xml:space="preserve"> </w:t>
      </w:r>
      <w:r>
        <w:rPr>
          <w:rFonts w:ascii="Avenir Next"/>
          <w:spacing w:val="-1"/>
          <w:sz w:val="16"/>
        </w:rPr>
        <w:t>Determination,</w:t>
      </w:r>
      <w:r>
        <w:rPr>
          <w:rFonts w:ascii="Avenir Next"/>
          <w:spacing w:val="-7"/>
          <w:sz w:val="16"/>
        </w:rPr>
        <w:t xml:space="preserve"> </w:t>
      </w:r>
      <w:r>
        <w:rPr>
          <w:rFonts w:ascii="Avenir Next"/>
          <w:spacing w:val="-2"/>
          <w:sz w:val="16"/>
        </w:rPr>
        <w:t>Water</w:t>
      </w:r>
      <w:r>
        <w:rPr>
          <w:rFonts w:ascii="Avenir Next"/>
          <w:sz w:val="16"/>
        </w:rPr>
        <w:t xml:space="preserve"> and</w:t>
      </w:r>
      <w:r>
        <w:rPr>
          <w:rFonts w:ascii="Avenir Next"/>
          <w:spacing w:val="-2"/>
          <w:sz w:val="16"/>
        </w:rPr>
        <w:t xml:space="preserve"> </w:t>
      </w:r>
      <w:r>
        <w:rPr>
          <w:rFonts w:ascii="Avenir Next"/>
          <w:spacing w:val="-1"/>
          <w:sz w:val="16"/>
        </w:rPr>
        <w:t>Wastewater</w:t>
      </w:r>
      <w:r>
        <w:rPr>
          <w:rFonts w:ascii="Avenir Next"/>
          <w:sz w:val="16"/>
        </w:rPr>
        <w:t xml:space="preserve"> </w:t>
      </w:r>
      <w:r>
        <w:rPr>
          <w:rFonts w:ascii="Avenir Next"/>
          <w:spacing w:val="-2"/>
          <w:sz w:val="16"/>
        </w:rPr>
        <w:t>Price</w:t>
      </w:r>
      <w:r>
        <w:rPr>
          <w:rFonts w:ascii="Avenir Next"/>
          <w:sz w:val="16"/>
        </w:rPr>
        <w:t xml:space="preserve"> </w:t>
      </w:r>
      <w:r>
        <w:rPr>
          <w:rFonts w:ascii="Avenir Next"/>
          <w:spacing w:val="-2"/>
          <w:sz w:val="16"/>
        </w:rPr>
        <w:t>Review,</w:t>
      </w:r>
      <w:r>
        <w:rPr>
          <w:rFonts w:ascii="Avenir Next"/>
          <w:spacing w:val="-8"/>
          <w:sz w:val="16"/>
        </w:rPr>
        <w:t xml:space="preserve"> </w:t>
      </w:r>
      <w:r>
        <w:rPr>
          <w:rFonts w:ascii="Avenir Next"/>
          <w:sz w:val="16"/>
        </w:rPr>
        <w:t>April 2008,</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124.</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65" w:name="_bookmark37"/>
      <w:bookmarkEnd w:id="65"/>
      <w:r>
        <w:rPr>
          <w:rFonts w:ascii="Avenir Next"/>
          <w:b/>
          <w:spacing w:val="-1"/>
          <w:sz w:val="20"/>
        </w:rPr>
        <w:t>Box</w:t>
      </w:r>
      <w:r>
        <w:rPr>
          <w:rFonts w:ascii="Avenir Next"/>
          <w:b/>
          <w:sz w:val="20"/>
        </w:rPr>
        <w:t xml:space="preserve"> 6.1: </w:t>
      </w:r>
      <w:r>
        <w:rPr>
          <w:rFonts w:ascii="Avenir Next"/>
          <w:b/>
          <w:spacing w:val="-3"/>
          <w:sz w:val="20"/>
        </w:rPr>
        <w:t>Form</w:t>
      </w:r>
      <w:r>
        <w:rPr>
          <w:rFonts w:ascii="Avenir Next"/>
          <w:b/>
          <w:sz w:val="20"/>
        </w:rPr>
        <w:t xml:space="preserve"> of</w:t>
      </w:r>
      <w:r>
        <w:rPr>
          <w:rFonts w:ascii="Avenir Next"/>
          <w:b/>
          <w:spacing w:val="4"/>
          <w:sz w:val="20"/>
        </w:rPr>
        <w:t xml:space="preserve"> </w:t>
      </w:r>
      <w:r>
        <w:rPr>
          <w:rFonts w:ascii="Avenir Next"/>
          <w:b/>
          <w:spacing w:val="-1"/>
          <w:sz w:val="20"/>
        </w:rPr>
        <w:t>control</w:t>
      </w:r>
      <w:r>
        <w:rPr>
          <w:rFonts w:ascii="Avenir Next"/>
          <w:b/>
          <w:sz w:val="20"/>
        </w:rPr>
        <w:t xml:space="preserve"> adopted by the ICRC in the 2008 price </w:t>
      </w:r>
      <w:r>
        <w:rPr>
          <w:rFonts w:ascii="Avenir Next"/>
          <w:b/>
          <w:spacing w:val="-1"/>
          <w:sz w:val="20"/>
        </w:rPr>
        <w:t>direction</w:t>
      </w:r>
    </w:p>
    <w:p w:rsidR="00D96B91" w:rsidRDefault="00D96B91">
      <w:pPr>
        <w:rPr>
          <w:rFonts w:ascii="Avenir Next" w:eastAsia="Avenir Next" w:hAnsi="Avenir Next" w:cs="Avenir Next"/>
          <w:b/>
          <w:bCs/>
          <w:sz w:val="11"/>
          <w:szCs w:val="11"/>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3245" type="#_x0000_t202" style="width:470.55pt;height:189.95pt;mso-left-percent:-10001;mso-top-percent:-10001;mso-position-horizontal:absolute;mso-position-horizontal-relative:char;mso-position-vertical:absolute;mso-position-vertical-relative:line;mso-left-percent:-10001;mso-top-percent:-10001" fillcolor="#dff3fd" stroked="f">
            <v:textbox style="mso-next-textbox:#_x0000_s3245" inset="0,0,0,0">
              <w:txbxContent>
                <w:p w:rsidR="008A79D5" w:rsidRDefault="008A79D5">
                  <w:pPr>
                    <w:spacing w:before="170"/>
                    <w:ind w:left="17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2008</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direction,</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tried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minimise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exposure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demand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risk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adopting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both:</w:t>
                  </w:r>
                </w:p>
                <w:p w:rsidR="008A79D5" w:rsidRDefault="008A79D5">
                  <w:pPr>
                    <w:numPr>
                      <w:ilvl w:val="0"/>
                      <w:numId w:val="96"/>
                    </w:numPr>
                    <w:tabs>
                      <w:tab w:val="left" w:pos="397"/>
                    </w:tabs>
                    <w:spacing w:before="92" w:line="260" w:lineRule="exact"/>
                    <w:ind w:right="359" w:hanging="226"/>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hybrid</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1"/>
                      <w:sz w:val="20"/>
                    </w:rPr>
                    <w:t>3%</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2"/>
                      <w:sz w:val="20"/>
                    </w:rPr>
                    <w:t>mechanism</w:t>
                  </w:r>
                  <w:r>
                    <w:rPr>
                      <w:rFonts w:ascii="Avenir Next Condensed"/>
                      <w:spacing w:val="-4"/>
                      <w:sz w:val="20"/>
                    </w:rPr>
                    <w:t xml:space="preserve"> </w:t>
                  </w:r>
                  <w:r>
                    <w:rPr>
                      <w:rFonts w:ascii="Avenir Next Condensed"/>
                      <w:spacing w:val="-2"/>
                      <w:sz w:val="20"/>
                    </w:rPr>
                    <w:t>applied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revenue.</w:t>
                  </w:r>
                  <w:r>
                    <w:rPr>
                      <w:rFonts w:ascii="Avenir Next Condensed"/>
                      <w:spacing w:val="-15"/>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mechanism</w:t>
                  </w:r>
                  <w:r>
                    <w:rPr>
                      <w:rFonts w:ascii="Avenir Next Condensed"/>
                      <w:spacing w:val="-4"/>
                      <w:sz w:val="20"/>
                    </w:rPr>
                    <w:t xml:space="preserve"> </w:t>
                  </w:r>
                  <w:r>
                    <w:rPr>
                      <w:rFonts w:ascii="Avenir Next Condensed"/>
                      <w:spacing w:val="-2"/>
                      <w:sz w:val="20"/>
                    </w:rPr>
                    <w:t>was</w:t>
                  </w:r>
                  <w:r>
                    <w:rPr>
                      <w:rFonts w:ascii="Avenir Next Condensed"/>
                      <w:spacing w:val="-4"/>
                      <w:sz w:val="20"/>
                    </w:rPr>
                    <w:t xml:space="preserve"> </w:t>
                  </w:r>
                  <w:r>
                    <w:rPr>
                      <w:rFonts w:ascii="Avenir Next Condensed"/>
                      <w:spacing w:val="-2"/>
                      <w:sz w:val="20"/>
                    </w:rPr>
                    <w:t>designed</w:t>
                  </w:r>
                  <w:r>
                    <w:rPr>
                      <w:rFonts w:ascii="Avenir Next Condensed"/>
                      <w:spacing w:val="-4"/>
                      <w:sz w:val="20"/>
                    </w:rPr>
                    <w:t xml:space="preserve"> </w:t>
                  </w:r>
                  <w:r>
                    <w:rPr>
                      <w:rFonts w:ascii="Avenir Next Condensed"/>
                      <w:spacing w:val="-2"/>
                      <w:sz w:val="20"/>
                    </w:rPr>
                    <w:t>to</w:t>
                  </w:r>
                  <w:r>
                    <w:rPr>
                      <w:rFonts w:ascii="Avenir Next Condensed"/>
                      <w:spacing w:val="44"/>
                      <w:sz w:val="20"/>
                    </w:rPr>
                    <w:t xml:space="preserve"> </w:t>
                  </w:r>
                  <w:r>
                    <w:rPr>
                      <w:rFonts w:ascii="Avenir Next Condensed"/>
                      <w:spacing w:val="-2"/>
                      <w:sz w:val="20"/>
                    </w:rPr>
                    <w:t>enable</w:t>
                  </w:r>
                  <w:r>
                    <w:rPr>
                      <w:rFonts w:ascii="Avenir Next Condensed"/>
                      <w:spacing w:val="-8"/>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recoup</w:t>
                  </w:r>
                  <w:r>
                    <w:rPr>
                      <w:rFonts w:ascii="Avenir Next Condensed"/>
                      <w:spacing w:val="-4"/>
                      <w:sz w:val="20"/>
                    </w:rPr>
                    <w:t xml:space="preserve"> </w:t>
                  </w:r>
                  <w:r>
                    <w:rPr>
                      <w:rFonts w:ascii="Avenir Next Condensed"/>
                      <w:spacing w:val="-2"/>
                      <w:sz w:val="20"/>
                    </w:rPr>
                    <w:t>(repay)</w:t>
                  </w:r>
                  <w:r>
                    <w:rPr>
                      <w:rFonts w:ascii="Avenir Next Condensed"/>
                      <w:spacing w:val="-4"/>
                      <w:sz w:val="20"/>
                    </w:rPr>
                    <w:t xml:space="preserve"> </w:t>
                  </w:r>
                  <w:r>
                    <w:rPr>
                      <w:rFonts w:ascii="Avenir Next Condensed"/>
                      <w:spacing w:val="-2"/>
                      <w:sz w:val="20"/>
                    </w:rPr>
                    <w:t>any</w:t>
                  </w:r>
                  <w:r>
                    <w:rPr>
                      <w:rFonts w:ascii="Avenir Next Condensed"/>
                      <w:spacing w:val="-4"/>
                      <w:sz w:val="20"/>
                    </w:rPr>
                    <w:t xml:space="preserve"> </w:t>
                  </w:r>
                  <w:r>
                    <w:rPr>
                      <w:rFonts w:ascii="Avenir Next Condensed"/>
                      <w:spacing w:val="-2"/>
                      <w:sz w:val="20"/>
                    </w:rPr>
                    <w:t>under</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3"/>
                      <w:sz w:val="20"/>
                    </w:rPr>
                    <w:t>recovered</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3"/>
                      <w:sz w:val="20"/>
                    </w:rPr>
                    <w:t>excess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3%</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next</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p>
                <w:p w:rsidR="008A79D5" w:rsidRDefault="008A79D5">
                  <w:pPr>
                    <w:numPr>
                      <w:ilvl w:val="0"/>
                      <w:numId w:val="96"/>
                    </w:numPr>
                    <w:tabs>
                      <w:tab w:val="left" w:pos="397"/>
                      <w:tab w:val="left" w:pos="8134"/>
                    </w:tabs>
                    <w:spacing w:before="56" w:line="260" w:lineRule="exact"/>
                    <w:ind w:right="289" w:hanging="226"/>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mid-term</w:t>
                  </w:r>
                  <w:r>
                    <w:rPr>
                      <w:rFonts w:ascii="Avenir Next Condensed"/>
                      <w:spacing w:val="-4"/>
                      <w:sz w:val="20"/>
                    </w:rPr>
                    <w:t xml:space="preserve"> </w:t>
                  </w:r>
                  <w:r>
                    <w:rPr>
                      <w:rFonts w:ascii="Avenir Next Condensed"/>
                      <w:spacing w:val="-2"/>
                      <w:sz w:val="20"/>
                    </w:rPr>
                    <w:t>price</w:t>
                  </w:r>
                  <w:r>
                    <w:rPr>
                      <w:rFonts w:ascii="Avenir Next Condensed"/>
                      <w:spacing w:val="-4"/>
                      <w:sz w:val="20"/>
                    </w:rPr>
                    <w:t xml:space="preserve"> </w:t>
                  </w:r>
                  <w:r>
                    <w:rPr>
                      <w:rFonts w:ascii="Avenir Next Condensed"/>
                      <w:spacing w:val="-2"/>
                      <w:sz w:val="20"/>
                    </w:rPr>
                    <w:t>variation</w:t>
                  </w:r>
                  <w:r>
                    <w:rPr>
                      <w:rFonts w:ascii="Avenir Next Condensed"/>
                      <w:spacing w:val="-4"/>
                      <w:sz w:val="20"/>
                    </w:rPr>
                    <w:t xml:space="preserve"> </w:t>
                  </w:r>
                  <w:r>
                    <w:rPr>
                      <w:rFonts w:ascii="Avenir Next Condensed"/>
                      <w:spacing w:val="-2"/>
                      <w:sz w:val="20"/>
                    </w:rPr>
                    <w:t>trigger</w:t>
                  </w:r>
                  <w:r>
                    <w:rPr>
                      <w:rFonts w:ascii="Avenir Next Condensed"/>
                      <w:spacing w:val="-4"/>
                      <w:sz w:val="20"/>
                    </w:rPr>
                    <w:t xml:space="preserve"> </w:t>
                  </w:r>
                  <w:r>
                    <w:rPr>
                      <w:rFonts w:ascii="Avenir Next Condensed"/>
                      <w:spacing w:val="-2"/>
                      <w:sz w:val="20"/>
                    </w:rPr>
                    <w:t>event</w:t>
                  </w:r>
                  <w:r>
                    <w:rPr>
                      <w:rFonts w:ascii="Avenir Next Condensed"/>
                      <w:spacing w:val="-4"/>
                      <w:sz w:val="20"/>
                    </w:rPr>
                    <w:t xml:space="preserve"> </w:t>
                  </w:r>
                  <w:r>
                    <w:rPr>
                      <w:rFonts w:ascii="Avenir Next Condensed"/>
                      <w:spacing w:val="-2"/>
                      <w:sz w:val="20"/>
                    </w:rPr>
                    <w:t>provision,</w:t>
                  </w:r>
                  <w:r>
                    <w:rPr>
                      <w:rFonts w:ascii="Avenir Next Condensed"/>
                      <w:spacing w:val="-10"/>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allowed</w:t>
                  </w:r>
                  <w:r>
                    <w:rPr>
                      <w:rFonts w:ascii="Avenir Next Condensed"/>
                      <w:spacing w:val="-4"/>
                      <w:sz w:val="20"/>
                    </w:rPr>
                    <w:t xml:space="preserve"> </w:t>
                  </w:r>
                  <w:r>
                    <w:rPr>
                      <w:rFonts w:ascii="Avenir Next Condensed"/>
                      <w:spacing w:val="-2"/>
                      <w:sz w:val="20"/>
                    </w:rPr>
                    <w:t>prices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last</w:t>
                  </w:r>
                  <w:r>
                    <w:rPr>
                      <w:rFonts w:ascii="Avenir Next Condensed"/>
                      <w:spacing w:val="-4"/>
                      <w:sz w:val="20"/>
                    </w:rPr>
                    <w:t xml:space="preserve"> </w:t>
                  </w:r>
                  <w:r>
                    <w:rPr>
                      <w:rFonts w:ascii="Avenir Next Condensed"/>
                      <w:spacing w:val="-2"/>
                      <w:sz w:val="20"/>
                    </w:rPr>
                    <w:t>two</w:t>
                  </w:r>
                  <w:r>
                    <w:rPr>
                      <w:rFonts w:ascii="Avenir Next Condensed"/>
                      <w:spacing w:val="-4"/>
                      <w:sz w:val="20"/>
                    </w:rPr>
                    <w:t xml:space="preserve"> </w:t>
                  </w:r>
                  <w:r>
                    <w:rPr>
                      <w:rFonts w:ascii="Avenir Next Condensed"/>
                      <w:spacing w:val="-2"/>
                      <w:sz w:val="20"/>
                    </w:rPr>
                    <w:t>years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revised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reflect updated</w:t>
                  </w:r>
                  <w:r>
                    <w:rPr>
                      <w:rFonts w:ascii="Avenir Next Condensed"/>
                      <w:spacing w:val="-4"/>
                      <w:sz w:val="20"/>
                    </w:rPr>
                    <w:t xml:space="preserve"> </w:t>
                  </w:r>
                  <w:r>
                    <w:rPr>
                      <w:rFonts w:ascii="Avenir Next Condensed"/>
                      <w:spacing w:val="-2"/>
                      <w:sz w:val="20"/>
                    </w:rPr>
                    <w:t>water</w:t>
                  </w:r>
                  <w:r>
                    <w:rPr>
                      <w:rFonts w:ascii="Avenir Next Condensed"/>
                      <w:spacing w:val="50"/>
                      <w:sz w:val="20"/>
                    </w:rPr>
                    <w:t xml:space="preserve"> </w:t>
                  </w:r>
                  <w:r>
                    <w:rPr>
                      <w:rFonts w:ascii="Avenir Next Condensed"/>
                      <w:spacing w:val="-2"/>
                      <w:sz w:val="20"/>
                    </w:rPr>
                    <w:t>consumption</w:t>
                  </w:r>
                  <w:r>
                    <w:rPr>
                      <w:rFonts w:ascii="Avenir Next Condensed"/>
                      <w:spacing w:val="-4"/>
                      <w:sz w:val="20"/>
                    </w:rPr>
                    <w:t xml:space="preserve"> </w:t>
                  </w:r>
                  <w:r>
                    <w:rPr>
                      <w:rFonts w:ascii="Avenir Next Condensed"/>
                      <w:spacing w:val="-2"/>
                      <w:sz w:val="20"/>
                    </w:rPr>
                    <w:t>forecasts</w:t>
                  </w:r>
                  <w:r>
                    <w:rPr>
                      <w:rFonts w:ascii="Avenir Next Condensed"/>
                      <w:spacing w:val="-4"/>
                      <w:sz w:val="20"/>
                    </w:rPr>
                    <w:t xml:space="preserve"> </w:t>
                  </w:r>
                  <w:r>
                    <w:rPr>
                      <w:rFonts w:ascii="Avenir Next Condensed"/>
                      <w:spacing w:val="-1"/>
                      <w:sz w:val="20"/>
                    </w:rPr>
                    <w:t>if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r>
                    <w:rPr>
                      <w:rFonts w:ascii="Avenir Next Condensed"/>
                      <w:spacing w:val="-4"/>
                      <w:sz w:val="20"/>
                    </w:rPr>
                    <w:t xml:space="preserve"> </w:t>
                  </w:r>
                  <w:r>
                    <w:rPr>
                      <w:rFonts w:ascii="Avenir Next Condensed"/>
                      <w:spacing w:val="-2"/>
                      <w:sz w:val="20"/>
                    </w:rPr>
                    <w:t>conditions</w:t>
                  </w:r>
                  <w:r>
                    <w:rPr>
                      <w:rFonts w:ascii="Avenir Next Condensed"/>
                      <w:spacing w:val="-4"/>
                      <w:sz w:val="20"/>
                    </w:rPr>
                    <w:t xml:space="preserve"> </w:t>
                  </w:r>
                  <w:r>
                    <w:rPr>
                      <w:rFonts w:ascii="Avenir Next Condensed"/>
                      <w:spacing w:val="-2"/>
                      <w:sz w:val="20"/>
                    </w:rPr>
                    <w:t>were</w:t>
                  </w:r>
                  <w:r>
                    <w:rPr>
                      <w:rFonts w:ascii="Avenir Next Condensed"/>
                      <w:spacing w:val="-4"/>
                      <w:sz w:val="20"/>
                    </w:rPr>
                    <w:t xml:space="preserve"> </w:t>
                  </w:r>
                  <w:r>
                    <w:rPr>
                      <w:rFonts w:ascii="Avenir Next Condensed"/>
                      <w:spacing w:val="-2"/>
                      <w:sz w:val="20"/>
                    </w:rPr>
                    <w:t>met:</w:t>
                  </w:r>
                </w:p>
                <w:p w:rsidR="008A79D5" w:rsidRDefault="008A79D5">
                  <w:pPr>
                    <w:numPr>
                      <w:ilvl w:val="1"/>
                      <w:numId w:val="96"/>
                    </w:numPr>
                    <w:tabs>
                      <w:tab w:val="left" w:pos="737"/>
                      <w:tab w:val="left" w:pos="2455"/>
                    </w:tabs>
                    <w:spacing w:before="64"/>
                    <w:rPr>
                      <w:rFonts w:ascii="Avenir Next Condensed" w:eastAsia="Avenir Next Condensed" w:hAnsi="Avenir Next Condensed" w:cs="Avenir Next Condensed"/>
                      <w:sz w:val="20"/>
                      <w:szCs w:val="20"/>
                    </w:rPr>
                  </w:pPr>
                  <w:r>
                    <w:rPr>
                      <w:rFonts w:ascii="Avenir Next Condensed"/>
                      <w:spacing w:val="-2"/>
                      <w:sz w:val="20"/>
                    </w:rPr>
                    <w:t>water</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 xml:space="preserve">first </w:t>
                  </w:r>
                  <w:r>
                    <w:rPr>
                      <w:rFonts w:ascii="Avenir Next Condensed"/>
                      <w:spacing w:val="-2"/>
                      <w:sz w:val="20"/>
                    </w:rPr>
                    <w:t>2.5</w:t>
                  </w:r>
                  <w:r>
                    <w:rPr>
                      <w:rFonts w:ascii="Avenir Next Condensed"/>
                      <w:spacing w:val="-4"/>
                      <w:sz w:val="20"/>
                    </w:rPr>
                    <w:t xml:space="preserve"> </w:t>
                  </w:r>
                  <w:r>
                    <w:rPr>
                      <w:rFonts w:ascii="Avenir Next Condensed"/>
                      <w:spacing w:val="-2"/>
                      <w:sz w:val="20"/>
                    </w:rPr>
                    <w:t>years</w:t>
                  </w:r>
                  <w:r>
                    <w:rPr>
                      <w:rFonts w:ascii="Avenir Next Condensed"/>
                      <w:spacing w:val="-4"/>
                      <w:sz w:val="20"/>
                    </w:rPr>
                    <w:t xml:space="preserve"> </w:t>
                  </w:r>
                  <w:r>
                    <w:rPr>
                      <w:rFonts w:ascii="Avenir Next Condensed"/>
                      <w:spacing w:val="-3"/>
                      <w:sz w:val="20"/>
                    </w:rPr>
                    <w:t>differed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more</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1"/>
                      <w:sz w:val="20"/>
                    </w:rPr>
                    <w:t>7%</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forecast,</w:t>
                  </w:r>
                  <w:r>
                    <w:rPr>
                      <w:rFonts w:ascii="Avenir Next Condensed"/>
                      <w:spacing w:val="-10"/>
                      <w:sz w:val="20"/>
                    </w:rPr>
                    <w:t xml:space="preserve"> </w:t>
                  </w:r>
                  <w:r>
                    <w:rPr>
                      <w:rFonts w:ascii="Avenir Next Condensed"/>
                      <w:spacing w:val="-2"/>
                      <w:sz w:val="20"/>
                    </w:rPr>
                    <w:t>and</w:t>
                  </w:r>
                </w:p>
                <w:p w:rsidR="008A79D5" w:rsidRDefault="008A79D5">
                  <w:pPr>
                    <w:numPr>
                      <w:ilvl w:val="1"/>
                      <w:numId w:val="96"/>
                    </w:numPr>
                    <w:tabs>
                      <w:tab w:val="left" w:pos="737"/>
                    </w:tabs>
                    <w:spacing w:before="43"/>
                    <w:rPr>
                      <w:rFonts w:ascii="Avenir Next Condensed" w:eastAsia="Avenir Next Condensed" w:hAnsi="Avenir Next Condensed" w:cs="Avenir Next Condensed"/>
                      <w:sz w:val="20"/>
                      <w:szCs w:val="20"/>
                    </w:rPr>
                  </w:pPr>
                  <w:r>
                    <w:rPr>
                      <w:rFonts w:ascii="Avenir Next Condensed"/>
                      <w:spacing w:val="-2"/>
                      <w:sz w:val="20"/>
                    </w:rPr>
                    <w:t>there</w:t>
                  </w:r>
                  <w:r>
                    <w:rPr>
                      <w:rFonts w:ascii="Avenir Next Condensed"/>
                      <w:spacing w:val="-4"/>
                      <w:sz w:val="20"/>
                    </w:rPr>
                    <w:t xml:space="preserve"> </w:t>
                  </w:r>
                  <w:r>
                    <w:rPr>
                      <w:rFonts w:ascii="Avenir Next Condensed"/>
                      <w:spacing w:val="-2"/>
                      <w:sz w:val="20"/>
                    </w:rPr>
                    <w:t>was</w:t>
                  </w:r>
                  <w:r>
                    <w:rPr>
                      <w:rFonts w:ascii="Avenir Next Condensed"/>
                      <w:spacing w:val="-4"/>
                      <w:sz w:val="20"/>
                    </w:rPr>
                    <w:t xml:space="preserve"> </w:t>
                  </w:r>
                  <w:r>
                    <w:rPr>
                      <w:rFonts w:ascii="Avenir Next Condensed"/>
                      <w:spacing w:val="-2"/>
                      <w:sz w:val="20"/>
                    </w:rPr>
                    <w:t>evidence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suggest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under</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recovery</w:t>
                  </w:r>
                  <w:r>
                    <w:rPr>
                      <w:rFonts w:ascii="Avenir Next Condensed"/>
                      <w:spacing w:val="-4"/>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2"/>
                      <w:sz w:val="20"/>
                    </w:rPr>
                    <w:t>continue.</w:t>
                  </w:r>
                </w:p>
                <w:p w:rsidR="008A79D5" w:rsidRDefault="008A79D5">
                  <w:pPr>
                    <w:tabs>
                      <w:tab w:val="left" w:pos="2475"/>
                      <w:tab w:val="left" w:pos="5578"/>
                    </w:tabs>
                    <w:spacing w:before="53" w:line="228" w:lineRule="auto"/>
                    <w:ind w:left="170" w:right="260"/>
                    <w:rPr>
                      <w:rFonts w:ascii="Avenir Next Condensed" w:eastAsia="Avenir Next Condensed" w:hAnsi="Avenir Next Condensed" w:cs="Avenir Next Condensed"/>
                      <w:sz w:val="11"/>
                      <w:szCs w:val="11"/>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 </w:t>
                  </w:r>
                  <w:r>
                    <w:rPr>
                      <w:rFonts w:ascii="Avenir Next Condensed" w:eastAsia="Avenir Next Condensed" w:hAnsi="Avenir Next Condensed" w:cs="Avenir Next Condensed"/>
                      <w:spacing w:val="-2"/>
                      <w:sz w:val="20"/>
                      <w:szCs w:val="20"/>
                    </w:rPr>
                    <w:t>understands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mid-term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variation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trigger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event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provision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triggered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2011</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resulted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material</w:t>
                  </w:r>
                  <w:r>
                    <w:rPr>
                      <w:rFonts w:ascii="Avenir Next Condensed" w:eastAsia="Avenir Next Condensed" w:hAnsi="Avenir Next Condensed" w:cs="Avenir Next Condensed"/>
                      <w:spacing w:val="52"/>
                      <w:sz w:val="20"/>
                      <w:szCs w:val="20"/>
                    </w:rPr>
                    <w:t xml:space="preserve"> </w:t>
                  </w:r>
                  <w:r>
                    <w:rPr>
                      <w:rFonts w:ascii="Avenir Next Condensed" w:eastAsia="Avenir Next Condensed" w:hAnsi="Avenir Next Condensed" w:cs="Avenir Next Condensed"/>
                      <w:spacing w:val="-3"/>
                      <w:sz w:val="20"/>
                      <w:szCs w:val="20"/>
                    </w:rPr>
                    <w:t>increase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prices.</w:t>
                  </w:r>
                  <w:r>
                    <w:rPr>
                      <w:rFonts w:ascii="Avenir Next Condensed" w:eastAsia="Avenir Next Condensed" w:hAnsi="Avenir Next Condensed" w:cs="Avenir Next Condensed"/>
                      <w:spacing w:val="-2"/>
                      <w:position w:val="7"/>
                      <w:sz w:val="11"/>
                      <w:szCs w:val="11"/>
                    </w:rPr>
                    <w:t>53</w:t>
                  </w:r>
                  <w:r>
                    <w:rPr>
                      <w:rFonts w:ascii="Avenir Next Condensed" w:eastAsia="Avenir Next Condensed" w:hAnsi="Avenir Next Condensed" w:cs="Avenir Next Condensed"/>
                      <w:spacing w:val="9"/>
                      <w:position w:val="7"/>
                      <w:sz w:val="11"/>
                      <w:szCs w:val="11"/>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 </w:t>
                  </w:r>
                  <w:r>
                    <w:rPr>
                      <w:rFonts w:ascii="Avenir Next Condensed" w:eastAsia="Avenir Next Condensed" w:hAnsi="Avenir Next Condensed" w:cs="Avenir Next Condensed"/>
                      <w:spacing w:val="-2"/>
                      <w:sz w:val="20"/>
                      <w:szCs w:val="20"/>
                    </w:rPr>
                    <w:t>also</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understands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3%</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deadband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triggered</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end</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regulatory</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6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unrecovered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revenue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3"/>
                      <w:sz w:val="20"/>
                      <w:szCs w:val="20"/>
                    </w:rPr>
                    <w:t xml:space="preserve"> excess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3%</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deadband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had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 xml:space="preserve">reached </w:t>
                  </w:r>
                  <w:r>
                    <w:rPr>
                      <w:rFonts w:ascii="Avenir Next Condensed" w:eastAsia="Avenir Next Condensed" w:hAnsi="Avenir Next Condensed" w:cs="Avenir Next Condensed"/>
                      <w:spacing w:val="-2"/>
                      <w:sz w:val="20"/>
                      <w:szCs w:val="20"/>
                    </w:rPr>
                    <w:t>$238</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million.</w:t>
                  </w:r>
                  <w:r>
                    <w:rPr>
                      <w:rFonts w:ascii="Avenir Next Condensed" w:eastAsia="Avenir Next Condensed" w:hAnsi="Avenir Next Condensed" w:cs="Avenir Next Condensed"/>
                      <w:spacing w:val="-2"/>
                      <w:position w:val="7"/>
                      <w:sz w:val="11"/>
                      <w:szCs w:val="11"/>
                    </w:rPr>
                    <w:t>54</w:t>
                  </w:r>
                  <w:r>
                    <w:rPr>
                      <w:rFonts w:ascii="Avenir Next Condensed" w:eastAsia="Avenir Next Condensed" w:hAnsi="Avenir Next Condensed" w:cs="Avenir Next Condensed"/>
                      <w:spacing w:val="8"/>
                      <w:position w:val="7"/>
                      <w:sz w:val="11"/>
                      <w:szCs w:val="11"/>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size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should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not,</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70"/>
                      <w:sz w:val="20"/>
                      <w:szCs w:val="20"/>
                    </w:rPr>
                    <w:t xml:space="preserve"> </w:t>
                  </w:r>
                  <w:r>
                    <w:rPr>
                      <w:rFonts w:ascii="Avenir Next Condensed" w:eastAsia="Avenir Next Condensed" w:hAnsi="Avenir Next Condensed" w:cs="Avenir Next Condensed"/>
                      <w:spacing w:val="-4"/>
                      <w:sz w:val="20"/>
                      <w:szCs w:val="20"/>
                    </w:rPr>
                    <w:t>Panel’s view,</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considered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 xml:space="preserve">flaw </w:t>
                  </w:r>
                  <w:r>
                    <w:rPr>
                      <w:rFonts w:ascii="Avenir Next Condensed" w:eastAsia="Avenir Next Condensed" w:hAnsi="Avenir Next Condensed" w:cs="Avenir Next Condensed"/>
                      <w:spacing w:val="-2"/>
                      <w:sz w:val="20"/>
                      <w:szCs w:val="20"/>
                    </w:rPr>
                    <w:t>with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mechanism.</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Rather,</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simply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reflects 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fact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consumption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regulatory</w:t>
                  </w:r>
                  <w:r>
                    <w:rPr>
                      <w:rFonts w:ascii="Avenir Next Condensed" w:eastAsia="Avenir Next Condensed" w:hAnsi="Avenir Next Condensed" w:cs="Avenir Next Condensed"/>
                      <w:spacing w:val="76"/>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18-35%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b/>
                      <w:bCs/>
                      <w:spacing w:val="-2"/>
                      <w:sz w:val="20"/>
                      <w:szCs w:val="20"/>
                    </w:rPr>
                    <w:t>lower</w:t>
                  </w:r>
                  <w:r>
                    <w:rPr>
                      <w:rFonts w:ascii="Avenir Next Condensed" w:eastAsia="Avenir Next Condensed" w:hAnsi="Avenir Next Condensed" w:cs="Avenir Next Condensed"/>
                      <w:b/>
                      <w:bCs/>
                      <w:spacing w:val="-3"/>
                      <w:sz w:val="20"/>
                      <w:szCs w:val="20"/>
                    </w:rPr>
                    <w:t xml:space="preserve"> </w:t>
                  </w:r>
                  <w:r>
                    <w:rPr>
                      <w:rFonts w:ascii="Avenir Next Condensed" w:eastAsia="Avenir Next Condensed" w:hAnsi="Avenir Next Condensed" w:cs="Avenir Next Condensed"/>
                      <w:spacing w:val="-2"/>
                      <w:sz w:val="20"/>
                      <w:szCs w:val="20"/>
                    </w:rPr>
                    <w:t>than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expected</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(Actual: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34-38</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GL</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2"/>
                      <w:sz w:val="20"/>
                      <w:szCs w:val="20"/>
                    </w:rPr>
                    <w:t>versus</w:t>
                  </w:r>
                  <w:r>
                    <w:rPr>
                      <w:rFonts w:ascii="Avenir Next Condensed" w:eastAsia="Avenir Next Condensed" w:hAnsi="Avenir Next Condensed" w:cs="Avenir Next Condensed"/>
                      <w:spacing w:val="-3"/>
                      <w:sz w:val="20"/>
                      <w:szCs w:val="20"/>
                    </w:rPr>
                    <w:t xml:space="preserve"> 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46-52</w:t>
                  </w:r>
                  <w:r>
                    <w:rPr>
                      <w:rFonts w:ascii="Avenir Next Condensed" w:eastAsia="Avenir Next Condensed" w:hAnsi="Avenir Next Condensed" w:cs="Avenir Next Condensed"/>
                      <w:spacing w:val="-3"/>
                      <w:sz w:val="20"/>
                      <w:szCs w:val="20"/>
                    </w:rPr>
                    <w:t xml:space="preserve"> GL).</w:t>
                  </w:r>
                  <w:r>
                    <w:rPr>
                      <w:rFonts w:ascii="Avenir Next Condensed" w:eastAsia="Avenir Next Condensed" w:hAnsi="Avenir Next Condensed" w:cs="Avenir Next Condensed"/>
                      <w:spacing w:val="-3"/>
                      <w:position w:val="7"/>
                      <w:sz w:val="11"/>
                      <w:szCs w:val="11"/>
                    </w:rPr>
                    <w:t>55</w:t>
                  </w:r>
                </w:p>
              </w:txbxContent>
            </v:textbox>
          </v:shape>
        </w:pict>
      </w:r>
    </w:p>
    <w:p w:rsidR="00D96B91" w:rsidRDefault="00D96B91">
      <w:pPr>
        <w:spacing w:before="10"/>
        <w:rPr>
          <w:rFonts w:ascii="Avenir Next" w:eastAsia="Avenir Next" w:hAnsi="Avenir Next" w:cs="Avenir Next"/>
          <w:b/>
          <w:bCs/>
          <w:sz w:val="18"/>
          <w:szCs w:val="18"/>
        </w:rPr>
      </w:pPr>
    </w:p>
    <w:p w:rsidR="00D96B91" w:rsidRDefault="00C2656B">
      <w:pPr>
        <w:numPr>
          <w:ilvl w:val="3"/>
          <w:numId w:val="97"/>
        </w:numPr>
        <w:tabs>
          <w:tab w:val="left" w:pos="2212"/>
        </w:tabs>
        <w:spacing w:before="41" w:line="248" w:lineRule="auto"/>
        <w:ind w:right="1404" w:firstLine="0"/>
        <w:rPr>
          <w:rFonts w:ascii="Avenir Next" w:eastAsia="Avenir Next" w:hAnsi="Avenir Next" w:cs="Avenir Next"/>
          <w:sz w:val="20"/>
          <w:szCs w:val="20"/>
        </w:rPr>
      </w:pPr>
      <w:r>
        <w:rPr>
          <w:rFonts w:ascii="Avenir Next"/>
          <w:b/>
          <w:color w:val="0778BE"/>
          <w:spacing w:val="-1"/>
        </w:rPr>
        <w:t>Level</w:t>
      </w:r>
      <w:r>
        <w:rPr>
          <w:rFonts w:ascii="Avenir Next"/>
          <w:b/>
          <w:color w:val="0778BE"/>
        </w:rPr>
        <w:t xml:space="preserve"> of</w:t>
      </w:r>
      <w:r>
        <w:rPr>
          <w:rFonts w:ascii="Avenir Next"/>
          <w:b/>
          <w:color w:val="0778BE"/>
          <w:spacing w:val="5"/>
        </w:rPr>
        <w:t xml:space="preserve"> </w:t>
      </w:r>
      <w:r>
        <w:rPr>
          <w:rFonts w:ascii="Avenir Next"/>
          <w:b/>
          <w:color w:val="0778BE"/>
        </w:rPr>
        <w:t xml:space="preserve">the </w:t>
      </w:r>
      <w:r>
        <w:rPr>
          <w:rFonts w:ascii="Avenir Next"/>
          <w:b/>
          <w:color w:val="0778BE"/>
          <w:spacing w:val="-1"/>
        </w:rPr>
        <w:t>deadband</w:t>
      </w:r>
      <w:r>
        <w:rPr>
          <w:rFonts w:ascii="Avenir Next"/>
          <w:b/>
          <w:color w:val="0778BE"/>
        </w:rPr>
        <w:t xml:space="preserve"> to be used in the demand </w:t>
      </w:r>
      <w:r>
        <w:rPr>
          <w:rFonts w:ascii="Avenir Next"/>
          <w:b/>
          <w:color w:val="0778BE"/>
          <w:spacing w:val="-1"/>
        </w:rPr>
        <w:t>volatility</w:t>
      </w:r>
      <w:r>
        <w:rPr>
          <w:rFonts w:ascii="Avenir Next"/>
          <w:b/>
          <w:color w:val="0778BE"/>
        </w:rPr>
        <w:t xml:space="preserve"> adjustment mechanism</w:t>
      </w:r>
      <w:r>
        <w:rPr>
          <w:rFonts w:ascii="Avenir Next"/>
          <w:b/>
          <w:color w:val="0778BE"/>
          <w:spacing w:val="29"/>
        </w:rPr>
        <w:t xml:space="preserve"> </w:t>
      </w:r>
      <w:r>
        <w:rPr>
          <w:rFonts w:ascii="Avenir Next"/>
          <w:sz w:val="20"/>
        </w:rPr>
        <w:t>In considering the level of</w:t>
      </w:r>
      <w:r>
        <w:rPr>
          <w:rFonts w:ascii="Avenir Next"/>
          <w:spacing w:val="4"/>
          <w:sz w:val="20"/>
        </w:rPr>
        <w:t xml:space="preserve"> </w:t>
      </w:r>
      <w:r>
        <w:rPr>
          <w:rFonts w:ascii="Avenir Next"/>
          <w:sz w:val="20"/>
        </w:rPr>
        <w:t xml:space="preserve">the </w:t>
      </w:r>
      <w:r>
        <w:rPr>
          <w:rFonts w:ascii="Avenir Next"/>
          <w:spacing w:val="-1"/>
          <w:sz w:val="20"/>
        </w:rPr>
        <w:t>deadband</w:t>
      </w:r>
      <w:r>
        <w:rPr>
          <w:rFonts w:ascii="Avenir Next"/>
          <w:sz w:val="20"/>
        </w:rPr>
        <w:t xml:space="preserve"> to be used in the demand </w:t>
      </w:r>
      <w:r>
        <w:rPr>
          <w:rFonts w:ascii="Avenir Next"/>
          <w:spacing w:val="-1"/>
          <w:sz w:val="20"/>
        </w:rPr>
        <w:t>volatility</w:t>
      </w:r>
      <w:r>
        <w:rPr>
          <w:rFonts w:ascii="Avenir Next"/>
          <w:sz w:val="20"/>
        </w:rPr>
        <w:t xml:space="preserve"> adjustment mechanism,</w:t>
      </w:r>
      <w:r>
        <w:rPr>
          <w:rFonts w:ascii="Avenir Next"/>
          <w:spacing w:val="27"/>
          <w:sz w:val="20"/>
        </w:rPr>
        <w:t xml:space="preserve"> </w:t>
      </w:r>
      <w:r>
        <w:rPr>
          <w:rFonts w:ascii="Avenir Next"/>
          <w:sz w:val="20"/>
        </w:rPr>
        <w:t xml:space="preserve">the </w:t>
      </w:r>
      <w:r>
        <w:rPr>
          <w:rFonts w:ascii="Avenir Next"/>
          <w:spacing w:val="-3"/>
          <w:sz w:val="20"/>
        </w:rPr>
        <w:t>Panel</w:t>
      </w:r>
      <w:r>
        <w:rPr>
          <w:rFonts w:ascii="Avenir Next"/>
          <w:sz w:val="20"/>
        </w:rPr>
        <w:t xml:space="preserve"> has been cognisant of</w:t>
      </w:r>
      <w:r>
        <w:rPr>
          <w:rFonts w:ascii="Avenir Next"/>
          <w:spacing w:val="4"/>
          <w:sz w:val="20"/>
        </w:rPr>
        <w:t xml:space="preserve"> </w:t>
      </w:r>
      <w:r>
        <w:rPr>
          <w:rFonts w:ascii="Avenir Next"/>
          <w:sz w:val="20"/>
        </w:rPr>
        <w:t>both:</w:t>
      </w:r>
    </w:p>
    <w:p w:rsidR="00D96B91" w:rsidRDefault="00C2656B">
      <w:pPr>
        <w:pStyle w:val="BodyText"/>
        <w:numPr>
          <w:ilvl w:val="0"/>
          <w:numId w:val="131"/>
        </w:numPr>
        <w:tabs>
          <w:tab w:val="left" w:pos="1531"/>
        </w:tabs>
        <w:spacing w:before="139" w:line="260" w:lineRule="exact"/>
        <w:ind w:right="1453" w:hanging="283"/>
        <w:rPr>
          <w:rFonts w:cs="Avenir Next"/>
        </w:rPr>
      </w:pPr>
      <w:r>
        <w:t>the</w:t>
      </w:r>
      <w:r>
        <w:rPr>
          <w:spacing w:val="-1"/>
        </w:rPr>
        <w:t xml:space="preserve"> </w:t>
      </w:r>
      <w:r>
        <w:t>need</w:t>
      </w:r>
      <w:r>
        <w:rPr>
          <w:spacing w:val="-1"/>
        </w:rPr>
        <w:t xml:space="preserve"> </w:t>
      </w:r>
      <w:r>
        <w:t>for</w:t>
      </w:r>
      <w:r>
        <w:rPr>
          <w:spacing w:val="-4"/>
        </w:rPr>
        <w:t xml:space="preserve"> </w:t>
      </w:r>
      <w:r>
        <w:rPr>
          <w:spacing w:val="-2"/>
        </w:rPr>
        <w:t>ACTEW</w:t>
      </w:r>
      <w:r>
        <w:rPr>
          <w:spacing w:val="-4"/>
        </w:rPr>
        <w:t xml:space="preserve"> </w:t>
      </w:r>
      <w:r>
        <w:t xml:space="preserve">to </w:t>
      </w:r>
      <w:r>
        <w:rPr>
          <w:spacing w:val="-1"/>
        </w:rPr>
        <w:t xml:space="preserve">remain </w:t>
      </w:r>
      <w:r>
        <w:t>financially</w:t>
      </w:r>
      <w:r>
        <w:rPr>
          <w:spacing w:val="-1"/>
        </w:rPr>
        <w:t xml:space="preserve"> </w:t>
      </w:r>
      <w:r>
        <w:t>viable over</w:t>
      </w:r>
      <w:r>
        <w:rPr>
          <w:spacing w:val="-1"/>
        </w:rPr>
        <w:t xml:space="preserve"> </w:t>
      </w:r>
      <w:r>
        <w:t xml:space="preserve">the </w:t>
      </w:r>
      <w:r>
        <w:rPr>
          <w:spacing w:val="-1"/>
        </w:rPr>
        <w:t xml:space="preserve">range </w:t>
      </w:r>
      <w:r>
        <w:t>of</w:t>
      </w:r>
      <w:r>
        <w:rPr>
          <w:spacing w:val="3"/>
        </w:rPr>
        <w:t xml:space="preserve"> </w:t>
      </w:r>
      <w:r>
        <w:t xml:space="preserve">possible </w:t>
      </w:r>
      <w:r>
        <w:rPr>
          <w:spacing w:val="-1"/>
        </w:rPr>
        <w:t xml:space="preserve">revenue </w:t>
      </w:r>
      <w:r>
        <w:t>outcomes</w:t>
      </w:r>
      <w:r>
        <w:rPr>
          <w:spacing w:val="-1"/>
        </w:rPr>
        <w:t xml:space="preserve"> that</w:t>
      </w:r>
      <w:r>
        <w:rPr>
          <w:spacing w:val="27"/>
        </w:rPr>
        <w:t xml:space="preserve"> </w:t>
      </w:r>
      <w:r>
        <w:t xml:space="preserve">could occur under the </w:t>
      </w:r>
      <w:r>
        <w:rPr>
          <w:spacing w:val="-1"/>
        </w:rPr>
        <w:t>deadband,</w:t>
      </w:r>
      <w:r>
        <w:rPr>
          <w:spacing w:val="-7"/>
        </w:rPr>
        <w:t xml:space="preserve"> </w:t>
      </w:r>
      <w:r>
        <w:t>and</w:t>
      </w:r>
    </w:p>
    <w:p w:rsidR="00D96B91" w:rsidRDefault="00C2656B">
      <w:pPr>
        <w:pStyle w:val="BodyText"/>
        <w:numPr>
          <w:ilvl w:val="0"/>
          <w:numId w:val="131"/>
        </w:numPr>
        <w:tabs>
          <w:tab w:val="left" w:pos="1531"/>
        </w:tabs>
        <w:spacing w:before="85" w:line="260" w:lineRule="exact"/>
        <w:ind w:right="2015" w:hanging="283"/>
      </w:pPr>
      <w:r>
        <w:t>the</w:t>
      </w:r>
      <w:r>
        <w:rPr>
          <w:spacing w:val="-1"/>
        </w:rPr>
        <w:t xml:space="preserve"> </w:t>
      </w:r>
      <w:r>
        <w:t>potential for</w:t>
      </w:r>
      <w:r>
        <w:rPr>
          <w:spacing w:val="-1"/>
        </w:rPr>
        <w:t xml:space="preserve"> </w:t>
      </w:r>
      <w:r>
        <w:t>the incentive</w:t>
      </w:r>
      <w:r>
        <w:rPr>
          <w:spacing w:val="-1"/>
        </w:rPr>
        <w:t xml:space="preserve"> </w:t>
      </w:r>
      <w:r>
        <w:t>benefits of</w:t>
      </w:r>
      <w:r>
        <w:rPr>
          <w:spacing w:val="4"/>
        </w:rPr>
        <w:t xml:space="preserve"> </w:t>
      </w:r>
      <w:r>
        <w:t>the</w:t>
      </w:r>
      <w:r>
        <w:rPr>
          <w:spacing w:val="-1"/>
        </w:rPr>
        <w:t xml:space="preserve"> </w:t>
      </w:r>
      <w:r>
        <w:t>price cap</w:t>
      </w:r>
      <w:r>
        <w:rPr>
          <w:spacing w:val="-1"/>
        </w:rPr>
        <w:t xml:space="preserve"> </w:t>
      </w:r>
      <w:r>
        <w:t>to be</w:t>
      </w:r>
      <w:r>
        <w:rPr>
          <w:spacing w:val="-1"/>
        </w:rPr>
        <w:t xml:space="preserve"> </w:t>
      </w:r>
      <w:r>
        <w:t>undermined if</w:t>
      </w:r>
      <w:r>
        <w:rPr>
          <w:spacing w:val="3"/>
        </w:rPr>
        <w:t xml:space="preserve"> </w:t>
      </w:r>
      <w:r>
        <w:t>the edges of</w:t>
      </w:r>
      <w:r>
        <w:rPr>
          <w:spacing w:val="3"/>
        </w:rPr>
        <w:t xml:space="preserve"> </w:t>
      </w:r>
      <w:r>
        <w:t xml:space="preserve">the </w:t>
      </w:r>
      <w:r>
        <w:rPr>
          <w:spacing w:val="-1"/>
        </w:rPr>
        <w:t>deadband</w:t>
      </w:r>
      <w:r>
        <w:t xml:space="preserve"> </w:t>
      </w:r>
      <w:r>
        <w:rPr>
          <w:spacing w:val="-2"/>
        </w:rPr>
        <w:t>are</w:t>
      </w:r>
      <w:r>
        <w:t xml:space="preserve"> </w:t>
      </w:r>
      <w:r>
        <w:rPr>
          <w:spacing w:val="-1"/>
        </w:rPr>
        <w:t>breached</w:t>
      </w:r>
      <w:r>
        <w:t xml:space="preserve"> too </w:t>
      </w:r>
      <w:r>
        <w:rPr>
          <w:spacing w:val="-2"/>
        </w:rPr>
        <w:t>frequently.</w:t>
      </w:r>
    </w:p>
    <w:p w:rsidR="00D96B91" w:rsidRDefault="00C2656B">
      <w:pPr>
        <w:pStyle w:val="BodyText"/>
        <w:spacing w:before="85" w:line="260" w:lineRule="exact"/>
        <w:ind w:right="1376"/>
        <w:rPr>
          <w:sz w:val="11"/>
          <w:szCs w:val="11"/>
        </w:rPr>
      </w:pPr>
      <w:r>
        <w:rPr>
          <w:spacing w:val="-10"/>
        </w:rPr>
        <w:t>To</w:t>
      </w:r>
      <w:r>
        <w:t xml:space="preserve"> help inform its decision on this issue,</w:t>
      </w:r>
      <w:r>
        <w:rPr>
          <w:spacing w:val="-7"/>
        </w:rPr>
        <w:t xml:space="preserve"> </w:t>
      </w:r>
      <w:r>
        <w:t xml:space="preserve">the </w:t>
      </w:r>
      <w:r>
        <w:rPr>
          <w:spacing w:val="-3"/>
        </w:rPr>
        <w:t>Panel</w:t>
      </w:r>
      <w:r>
        <w:t xml:space="preserve"> had </w:t>
      </w:r>
      <w:r>
        <w:rPr>
          <w:spacing w:val="-2"/>
        </w:rPr>
        <w:t>regard</w:t>
      </w:r>
      <w:r>
        <w:t xml:space="preserve"> to advice </w:t>
      </w:r>
      <w:r>
        <w:rPr>
          <w:spacing w:val="-1"/>
        </w:rPr>
        <w:t>that</w:t>
      </w:r>
      <w:r>
        <w:t xml:space="preserve"> </w:t>
      </w:r>
      <w:r>
        <w:rPr>
          <w:spacing w:val="-2"/>
        </w:rPr>
        <w:t>Cardno</w:t>
      </w:r>
      <w:r>
        <w:t xml:space="preserve"> </w:t>
      </w:r>
      <w:r>
        <w:rPr>
          <w:spacing w:val="-1"/>
        </w:rPr>
        <w:t>provided</w:t>
      </w:r>
      <w:r>
        <w:t xml:space="preserve"> on the</w:t>
      </w:r>
      <w:r>
        <w:rPr>
          <w:spacing w:val="31"/>
        </w:rPr>
        <w:t xml:space="preserve"> </w:t>
      </w:r>
      <w:r>
        <w:rPr>
          <w:spacing w:val="-1"/>
        </w:rPr>
        <w:t>central</w:t>
      </w:r>
      <w:r>
        <w:t xml:space="preserve"> </w:t>
      </w:r>
      <w:r>
        <w:rPr>
          <w:spacing w:val="-1"/>
        </w:rPr>
        <w:t>water</w:t>
      </w:r>
      <w:r>
        <w:t xml:space="preserve"> sales </w:t>
      </w:r>
      <w:r>
        <w:rPr>
          <w:spacing w:val="-1"/>
        </w:rPr>
        <w:t>forecasts</w:t>
      </w:r>
      <w:r>
        <w:t xml:space="preserve"> for this </w:t>
      </w:r>
      <w:r>
        <w:rPr>
          <w:spacing w:val="-1"/>
        </w:rPr>
        <w:t>regulatory</w:t>
      </w:r>
      <w:r>
        <w:t xml:space="preserve"> period (see Chapter 12) and the modelled distribution</w:t>
      </w:r>
      <w:r>
        <w:rPr>
          <w:spacing w:val="33"/>
        </w:rPr>
        <w:t xml:space="preserve"> </w:t>
      </w:r>
      <w:r>
        <w:t>of</w:t>
      </w:r>
      <w:r>
        <w:rPr>
          <w:spacing w:val="4"/>
        </w:rPr>
        <w:t xml:space="preserve"> </w:t>
      </w:r>
      <w:r>
        <w:t>possible</w:t>
      </w:r>
      <w:r>
        <w:rPr>
          <w:spacing w:val="1"/>
        </w:rPr>
        <w:t xml:space="preserve"> </w:t>
      </w:r>
      <w:r>
        <w:t>outcomes</w:t>
      </w:r>
      <w:r>
        <w:rPr>
          <w:spacing w:val="1"/>
        </w:rPr>
        <w:t xml:space="preserve"> </w:t>
      </w:r>
      <w:r>
        <w:rPr>
          <w:spacing w:val="-1"/>
        </w:rPr>
        <w:t>around</w:t>
      </w:r>
      <w:r>
        <w:rPr>
          <w:spacing w:val="1"/>
        </w:rPr>
        <w:t xml:space="preserve"> </w:t>
      </w:r>
      <w:r>
        <w:t xml:space="preserve">this </w:t>
      </w:r>
      <w:r>
        <w:rPr>
          <w:spacing w:val="-1"/>
        </w:rPr>
        <w:t>central</w:t>
      </w:r>
      <w:r>
        <w:rPr>
          <w:spacing w:val="1"/>
        </w:rPr>
        <w:t xml:space="preserve"> </w:t>
      </w:r>
      <w:r>
        <w:rPr>
          <w:spacing w:val="-1"/>
        </w:rPr>
        <w:t>forecast,</w:t>
      </w:r>
      <w:r>
        <w:rPr>
          <w:spacing w:val="-5"/>
        </w:rPr>
        <w:t xml:space="preserve"> </w:t>
      </w:r>
      <w:r>
        <w:t>which</w:t>
      </w:r>
      <w:r>
        <w:rPr>
          <w:spacing w:val="1"/>
        </w:rPr>
        <w:t xml:space="preserve"> </w:t>
      </w:r>
      <w:r>
        <w:rPr>
          <w:spacing w:val="-1"/>
        </w:rPr>
        <w:t>range</w:t>
      </w:r>
      <w:r>
        <w:t xml:space="preserve"> </w:t>
      </w:r>
      <w:r>
        <w:rPr>
          <w:spacing w:val="-1"/>
        </w:rPr>
        <w:t>from</w:t>
      </w:r>
      <w:r>
        <w:rPr>
          <w:spacing w:val="1"/>
        </w:rPr>
        <w:t xml:space="preserve"> </w:t>
      </w:r>
      <w:r>
        <w:rPr>
          <w:spacing w:val="-1"/>
        </w:rPr>
        <w:t>approximately:</w:t>
      </w:r>
      <w:r>
        <w:rPr>
          <w:spacing w:val="-1"/>
          <w:position w:val="7"/>
          <w:sz w:val="11"/>
        </w:rPr>
        <w:t>57</w:t>
      </w:r>
    </w:p>
    <w:p w:rsidR="00D96B91" w:rsidRDefault="00C2656B">
      <w:pPr>
        <w:pStyle w:val="BodyText"/>
        <w:numPr>
          <w:ilvl w:val="0"/>
          <w:numId w:val="131"/>
        </w:numPr>
        <w:tabs>
          <w:tab w:val="left" w:pos="1531"/>
        </w:tabs>
        <w:spacing w:before="178"/>
        <w:ind w:hanging="283"/>
        <w:rPr>
          <w:rFonts w:cs="Avenir Next"/>
        </w:rPr>
      </w:pPr>
      <w:r>
        <w:t>41-42 GL</w:t>
      </w:r>
      <w:r>
        <w:rPr>
          <w:spacing w:val="-4"/>
        </w:rPr>
        <w:t xml:space="preserve"> </w:t>
      </w:r>
      <w:r>
        <w:rPr>
          <w:spacing w:val="-1"/>
        </w:rPr>
        <w:t>(estimated</w:t>
      </w:r>
      <w:r>
        <w:rPr>
          <w:spacing w:val="1"/>
        </w:rPr>
        <w:t xml:space="preserve"> </w:t>
      </w:r>
      <w:r>
        <w:t>to</w:t>
      </w:r>
      <w:r>
        <w:rPr>
          <w:spacing w:val="1"/>
        </w:rPr>
        <w:t xml:space="preserve"> </w:t>
      </w:r>
      <w:r>
        <w:t>have a</w:t>
      </w:r>
      <w:r>
        <w:rPr>
          <w:spacing w:val="1"/>
        </w:rPr>
        <w:t xml:space="preserve"> </w:t>
      </w:r>
      <w:r>
        <w:t>95%</w:t>
      </w:r>
      <w:r>
        <w:rPr>
          <w:spacing w:val="1"/>
        </w:rPr>
        <w:t xml:space="preserve"> </w:t>
      </w:r>
      <w:r>
        <w:rPr>
          <w:spacing w:val="-1"/>
        </w:rPr>
        <w:t>probability</w:t>
      </w:r>
      <w:r>
        <w:rPr>
          <w:spacing w:val="1"/>
        </w:rPr>
        <w:t xml:space="preserve"> </w:t>
      </w:r>
      <w:r>
        <w:t>of</w:t>
      </w:r>
      <w:r>
        <w:rPr>
          <w:spacing w:val="4"/>
        </w:rPr>
        <w:t xml:space="preserve"> </w:t>
      </w:r>
      <w:r>
        <w:rPr>
          <w:spacing w:val="-1"/>
        </w:rPr>
        <w:t>exceedance),</w:t>
      </w:r>
      <w:r>
        <w:rPr>
          <w:spacing w:val="-1"/>
          <w:position w:val="7"/>
          <w:sz w:val="11"/>
        </w:rPr>
        <w:t>58</w:t>
      </w:r>
      <w:r>
        <w:rPr>
          <w:spacing w:val="24"/>
          <w:position w:val="7"/>
          <w:sz w:val="11"/>
        </w:rPr>
        <w:t xml:space="preserve"> </w:t>
      </w:r>
      <w:r>
        <w:t>to</w:t>
      </w:r>
    </w:p>
    <w:p w:rsidR="00D96B91" w:rsidRDefault="00C2656B">
      <w:pPr>
        <w:pStyle w:val="BodyText"/>
        <w:numPr>
          <w:ilvl w:val="0"/>
          <w:numId w:val="131"/>
        </w:numPr>
        <w:tabs>
          <w:tab w:val="left" w:pos="1531"/>
        </w:tabs>
        <w:spacing w:before="72"/>
        <w:ind w:hanging="283"/>
      </w:pPr>
      <w:r>
        <w:t>47-49 GL</w:t>
      </w:r>
      <w:r>
        <w:rPr>
          <w:spacing w:val="-5"/>
        </w:rPr>
        <w:t xml:space="preserve"> </w:t>
      </w:r>
      <w:r>
        <w:rPr>
          <w:spacing w:val="-1"/>
        </w:rPr>
        <w:t>(estimated</w:t>
      </w:r>
      <w:r>
        <w:t xml:space="preserve"> to have a 5% </w:t>
      </w:r>
      <w:r>
        <w:rPr>
          <w:spacing w:val="-1"/>
        </w:rPr>
        <w:t>probability</w:t>
      </w:r>
      <w:r>
        <w:t xml:space="preserve"> of</w:t>
      </w:r>
      <w:r>
        <w:rPr>
          <w:spacing w:val="4"/>
        </w:rPr>
        <w:t xml:space="preserve"> </w:t>
      </w:r>
      <w:r>
        <w:rPr>
          <w:spacing w:val="-1"/>
        </w:rPr>
        <w:t>exceedance).</w:t>
      </w:r>
    </w:p>
    <w:p w:rsidR="00D96B91" w:rsidRDefault="00C2656B">
      <w:pPr>
        <w:pStyle w:val="BodyText"/>
        <w:spacing w:before="64" w:line="260" w:lineRule="exact"/>
        <w:ind w:right="1283"/>
        <w:rPr>
          <w:rFonts w:cs="Avenir Next"/>
        </w:rPr>
      </w:pPr>
      <w:r>
        <w:t xml:space="preserve">Using the 95% </w:t>
      </w:r>
      <w:r>
        <w:rPr>
          <w:spacing w:val="-1"/>
        </w:rPr>
        <w:t>probability</w:t>
      </w:r>
      <w:r>
        <w:t xml:space="preserve"> of</w:t>
      </w:r>
      <w:r>
        <w:rPr>
          <w:spacing w:val="4"/>
        </w:rPr>
        <w:t xml:space="preserve"> </w:t>
      </w:r>
      <w:r>
        <w:rPr>
          <w:spacing w:val="-1"/>
        </w:rPr>
        <w:t>exceedance</w:t>
      </w:r>
      <w:r>
        <w:t xml:space="preserve"> to 5% </w:t>
      </w:r>
      <w:r>
        <w:rPr>
          <w:spacing w:val="-1"/>
        </w:rPr>
        <w:t>probability</w:t>
      </w:r>
      <w:r>
        <w:t xml:space="preserve"> of</w:t>
      </w:r>
      <w:r>
        <w:rPr>
          <w:spacing w:val="4"/>
        </w:rPr>
        <w:t xml:space="preserve"> </w:t>
      </w:r>
      <w:r>
        <w:rPr>
          <w:spacing w:val="-1"/>
        </w:rPr>
        <w:t>exceedance</w:t>
      </w:r>
      <w:r>
        <w:t xml:space="preserve"> </w:t>
      </w:r>
      <w:r>
        <w:rPr>
          <w:spacing w:val="-1"/>
        </w:rPr>
        <w:t>forecast</w:t>
      </w:r>
      <w:r>
        <w:t xml:space="preserve"> </w:t>
      </w:r>
      <w:r>
        <w:rPr>
          <w:spacing w:val="-1"/>
        </w:rPr>
        <w:t>range,</w:t>
      </w:r>
      <w:r>
        <w:rPr>
          <w:spacing w:val="-6"/>
        </w:rPr>
        <w:t xml:space="preserve"> </w:t>
      </w:r>
      <w:r>
        <w:t xml:space="preserve">the </w:t>
      </w:r>
      <w:r>
        <w:rPr>
          <w:spacing w:val="-3"/>
        </w:rPr>
        <w:t>Panel</w:t>
      </w:r>
      <w:r>
        <w:rPr>
          <w:spacing w:val="73"/>
        </w:rPr>
        <w:t xml:space="preserve"> </w:t>
      </w:r>
      <w:r>
        <w:rPr>
          <w:spacing w:val="-1"/>
        </w:rPr>
        <w:t>estimated</w:t>
      </w:r>
      <w:r>
        <w:t xml:space="preserve"> </w:t>
      </w:r>
      <w:r>
        <w:rPr>
          <w:spacing w:val="-1"/>
        </w:rPr>
        <w:t>that</w:t>
      </w:r>
      <w:r>
        <w:t xml:space="preserve"> if</w:t>
      </w:r>
      <w:r>
        <w:rPr>
          <w:spacing w:val="4"/>
        </w:rPr>
        <w:t xml:space="preserve"> </w:t>
      </w:r>
      <w:r>
        <w:t xml:space="preserve">actual </w:t>
      </w:r>
      <w:r>
        <w:rPr>
          <w:spacing w:val="-1"/>
        </w:rPr>
        <w:t>water</w:t>
      </w:r>
      <w:r>
        <w:t xml:space="preserve"> sales </w:t>
      </w:r>
      <w:r>
        <w:rPr>
          <w:spacing w:val="-1"/>
        </w:rPr>
        <w:t>reached:</w:t>
      </w:r>
    </w:p>
    <w:p w:rsidR="00D96B91" w:rsidRDefault="00C2656B">
      <w:pPr>
        <w:pStyle w:val="BodyText"/>
        <w:numPr>
          <w:ilvl w:val="0"/>
          <w:numId w:val="131"/>
        </w:numPr>
        <w:tabs>
          <w:tab w:val="left" w:pos="1531"/>
        </w:tabs>
        <w:spacing w:before="170" w:line="260" w:lineRule="exact"/>
        <w:ind w:right="1414" w:hanging="283"/>
        <w:rPr>
          <w:rFonts w:cs="Avenir Next"/>
        </w:rPr>
      </w:pPr>
      <w:r>
        <w:t>the lower bound of</w:t>
      </w:r>
      <w:r>
        <w:rPr>
          <w:spacing w:val="4"/>
        </w:rPr>
        <w:t xml:space="preserve"> </w:t>
      </w:r>
      <w:r>
        <w:t xml:space="preserve">the </w:t>
      </w:r>
      <w:r>
        <w:rPr>
          <w:spacing w:val="-1"/>
        </w:rPr>
        <w:t>range,</w:t>
      </w:r>
      <w:r>
        <w:rPr>
          <w:spacing w:val="-6"/>
        </w:rPr>
        <w:t xml:space="preserve"> </w:t>
      </w:r>
      <w:r>
        <w:t>then</w:t>
      </w:r>
      <w:r>
        <w:rPr>
          <w:spacing w:val="-4"/>
        </w:rPr>
        <w:t xml:space="preserve"> </w:t>
      </w:r>
      <w:r>
        <w:rPr>
          <w:spacing w:val="-2"/>
        </w:rPr>
        <w:t>ACTEW</w:t>
      </w:r>
      <w:r>
        <w:rPr>
          <w:spacing w:val="-3"/>
        </w:rPr>
        <w:t xml:space="preserve"> </w:t>
      </w:r>
      <w:r>
        <w:t xml:space="preserve">would </w:t>
      </w:r>
      <w:r>
        <w:rPr>
          <w:spacing w:val="-1"/>
        </w:rPr>
        <w:t>recover</w:t>
      </w:r>
      <w:r>
        <w:t xml:space="preserve"> </w:t>
      </w:r>
      <w:r>
        <w:rPr>
          <w:spacing w:val="-1"/>
        </w:rPr>
        <w:t>approximately</w:t>
      </w:r>
      <w:r>
        <w:t xml:space="preserve"> 7.2% (~$51 million in net</w:t>
      </w:r>
      <w:r>
        <w:rPr>
          <w:spacing w:val="31"/>
        </w:rPr>
        <w:t xml:space="preserve"> </w:t>
      </w:r>
      <w:r>
        <w:rPr>
          <w:spacing w:val="-1"/>
        </w:rPr>
        <w:t>present</w:t>
      </w:r>
      <w:r>
        <w:t xml:space="preserve"> value terms) </w:t>
      </w:r>
      <w:r>
        <w:rPr>
          <w:b/>
        </w:rPr>
        <w:t xml:space="preserve">less </w:t>
      </w:r>
      <w:r>
        <w:t xml:space="preserve">in </w:t>
      </w:r>
      <w:r>
        <w:rPr>
          <w:spacing w:val="-1"/>
        </w:rPr>
        <w:t>revenue</w:t>
      </w:r>
      <w:r>
        <w:t xml:space="preserve"> </w:t>
      </w:r>
      <w:r>
        <w:rPr>
          <w:spacing w:val="-1"/>
        </w:rPr>
        <w:t>from</w:t>
      </w:r>
      <w:r>
        <w:t xml:space="preserve"> tier 1 and tier 2 </w:t>
      </w:r>
      <w:r>
        <w:rPr>
          <w:spacing w:val="-1"/>
        </w:rPr>
        <w:t>water</w:t>
      </w:r>
      <w:r>
        <w:t xml:space="preserve"> sales than it would if</w:t>
      </w:r>
      <w:r>
        <w:rPr>
          <w:spacing w:val="4"/>
        </w:rPr>
        <w:t xml:space="preserve"> </w:t>
      </w:r>
      <w:r>
        <w:t xml:space="preserve">the </w:t>
      </w:r>
      <w:r>
        <w:rPr>
          <w:spacing w:val="-1"/>
        </w:rPr>
        <w:t>central</w:t>
      </w:r>
      <w:r>
        <w:rPr>
          <w:spacing w:val="27"/>
        </w:rPr>
        <w:t xml:space="preserve"> </w:t>
      </w:r>
      <w:r>
        <w:rPr>
          <w:spacing w:val="-1"/>
        </w:rPr>
        <w:t>water</w:t>
      </w:r>
      <w:r>
        <w:t xml:space="preserve"> sales </w:t>
      </w:r>
      <w:r>
        <w:rPr>
          <w:spacing w:val="-1"/>
        </w:rPr>
        <w:t>forecast</w:t>
      </w:r>
      <w:r>
        <w:t xml:space="preserve"> was achieved,</w:t>
      </w:r>
      <w:r>
        <w:rPr>
          <w:spacing w:val="-7"/>
        </w:rPr>
        <w:t xml:space="preserve"> </w:t>
      </w:r>
      <w:r>
        <w:t>and</w:t>
      </w:r>
    </w:p>
    <w:p w:rsidR="00D96B91" w:rsidRDefault="00C2656B">
      <w:pPr>
        <w:pStyle w:val="BodyText"/>
        <w:numPr>
          <w:ilvl w:val="0"/>
          <w:numId w:val="131"/>
        </w:numPr>
        <w:tabs>
          <w:tab w:val="left" w:pos="1531"/>
        </w:tabs>
        <w:spacing w:before="85" w:line="260" w:lineRule="exact"/>
        <w:ind w:right="1365" w:hanging="283"/>
      </w:pPr>
      <w:r>
        <w:t>the upper bound of</w:t>
      </w:r>
      <w:r>
        <w:rPr>
          <w:spacing w:val="4"/>
        </w:rPr>
        <w:t xml:space="preserve"> </w:t>
      </w:r>
      <w:r>
        <w:t xml:space="preserve">the </w:t>
      </w:r>
      <w:r>
        <w:rPr>
          <w:spacing w:val="-1"/>
        </w:rPr>
        <w:t>range,</w:t>
      </w:r>
      <w:r>
        <w:rPr>
          <w:spacing w:val="-6"/>
        </w:rPr>
        <w:t xml:space="preserve"> </w:t>
      </w:r>
      <w:r>
        <w:t>then</w:t>
      </w:r>
      <w:r>
        <w:rPr>
          <w:spacing w:val="-4"/>
        </w:rPr>
        <w:t xml:space="preserve"> </w:t>
      </w:r>
      <w:r>
        <w:rPr>
          <w:spacing w:val="-2"/>
        </w:rPr>
        <w:t>ACTEW</w:t>
      </w:r>
      <w:r>
        <w:rPr>
          <w:spacing w:val="-3"/>
        </w:rPr>
        <w:t xml:space="preserve"> </w:t>
      </w:r>
      <w:r>
        <w:t xml:space="preserve">would </w:t>
      </w:r>
      <w:r>
        <w:rPr>
          <w:spacing w:val="-1"/>
        </w:rPr>
        <w:t>recover</w:t>
      </w:r>
      <w:r>
        <w:t xml:space="preserve"> </w:t>
      </w:r>
      <w:r>
        <w:rPr>
          <w:spacing w:val="-1"/>
        </w:rPr>
        <w:t>approximately</w:t>
      </w:r>
      <w:r>
        <w:t xml:space="preserve"> 8.7% (~$61 million in net</w:t>
      </w:r>
      <w:r>
        <w:rPr>
          <w:spacing w:val="31"/>
        </w:rPr>
        <w:t xml:space="preserve"> </w:t>
      </w:r>
      <w:r>
        <w:rPr>
          <w:spacing w:val="-1"/>
        </w:rPr>
        <w:t>present</w:t>
      </w:r>
      <w:r>
        <w:t xml:space="preserve"> value terms) </w:t>
      </w:r>
      <w:r>
        <w:rPr>
          <w:b/>
          <w:spacing w:val="-1"/>
        </w:rPr>
        <w:t>more</w:t>
      </w:r>
      <w:r>
        <w:rPr>
          <w:b/>
        </w:rPr>
        <w:t xml:space="preserve"> </w:t>
      </w:r>
      <w:r>
        <w:t xml:space="preserve">in </w:t>
      </w:r>
      <w:r>
        <w:rPr>
          <w:spacing w:val="-1"/>
        </w:rPr>
        <w:t>revenue</w:t>
      </w:r>
      <w:r>
        <w:t xml:space="preserve"> </w:t>
      </w:r>
      <w:r>
        <w:rPr>
          <w:spacing w:val="-1"/>
        </w:rPr>
        <w:t>from</w:t>
      </w:r>
      <w:r>
        <w:t xml:space="preserve"> tier 1 and tier 2 </w:t>
      </w:r>
      <w:r>
        <w:rPr>
          <w:spacing w:val="-1"/>
        </w:rPr>
        <w:t>water</w:t>
      </w:r>
      <w:r>
        <w:t xml:space="preserve"> sales than it would if</w:t>
      </w:r>
      <w:r>
        <w:rPr>
          <w:spacing w:val="4"/>
        </w:rPr>
        <w:t xml:space="preserve"> </w:t>
      </w:r>
      <w:r>
        <w:t xml:space="preserve">the </w:t>
      </w:r>
      <w:r>
        <w:rPr>
          <w:spacing w:val="-1"/>
        </w:rPr>
        <w:t>central</w:t>
      </w:r>
      <w:r>
        <w:rPr>
          <w:spacing w:val="27"/>
        </w:rPr>
        <w:t xml:space="preserve"> </w:t>
      </w:r>
      <w:r>
        <w:rPr>
          <w:spacing w:val="-1"/>
        </w:rPr>
        <w:t>water</w:t>
      </w:r>
      <w:r>
        <w:t xml:space="preserve"> sales </w:t>
      </w:r>
      <w:r>
        <w:rPr>
          <w:spacing w:val="-1"/>
        </w:rPr>
        <w:t>forecast</w:t>
      </w:r>
      <w:r>
        <w:t xml:space="preserve"> was achieved.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9"/>
        <w:jc w:val="both"/>
        <w:rPr>
          <w:rFonts w:cs="Avenir Next"/>
        </w:rPr>
      </w:pPr>
      <w:r>
        <w:t xml:space="preserve">While </w:t>
      </w:r>
      <w:r>
        <w:rPr>
          <w:spacing w:val="-1"/>
        </w:rPr>
        <w:t>there</w:t>
      </w:r>
      <w:r>
        <w:t xml:space="preserve"> is a </w:t>
      </w:r>
      <w:r>
        <w:rPr>
          <w:spacing w:val="-1"/>
        </w:rPr>
        <w:t>marked</w:t>
      </w:r>
      <w:r>
        <w:t xml:space="preserve"> </w:t>
      </w:r>
      <w:r>
        <w:rPr>
          <w:spacing w:val="-1"/>
        </w:rPr>
        <w:t>difference</w:t>
      </w:r>
      <w:r>
        <w:t xml:space="preserve"> between the </w:t>
      </w:r>
      <w:r>
        <w:rPr>
          <w:spacing w:val="-1"/>
        </w:rPr>
        <w:t>revenue</w:t>
      </w:r>
      <w:r>
        <w:t xml:space="preserve"> </w:t>
      </w:r>
      <w:r>
        <w:rPr>
          <w:spacing w:val="-1"/>
        </w:rPr>
        <w:t>that</w:t>
      </w:r>
      <w:r>
        <w:rPr>
          <w:spacing w:val="-4"/>
        </w:rPr>
        <w:t xml:space="preserve"> </w:t>
      </w:r>
      <w:r>
        <w:rPr>
          <w:spacing w:val="-2"/>
        </w:rPr>
        <w:t>ACTEW</w:t>
      </w:r>
      <w:r>
        <w:rPr>
          <w:spacing w:val="-3"/>
        </w:rPr>
        <w:t xml:space="preserve"> </w:t>
      </w:r>
      <w:r>
        <w:t xml:space="preserve">could </w:t>
      </w:r>
      <w:r>
        <w:rPr>
          <w:spacing w:val="-1"/>
        </w:rPr>
        <w:t>earn</w:t>
      </w:r>
      <w:r>
        <w:t xml:space="preserve"> </w:t>
      </w:r>
      <w:r>
        <w:rPr>
          <w:spacing w:val="-1"/>
        </w:rPr>
        <w:t>from</w:t>
      </w:r>
      <w:r>
        <w:t xml:space="preserve"> </w:t>
      </w:r>
      <w:r>
        <w:rPr>
          <w:spacing w:val="-1"/>
        </w:rPr>
        <w:t>water</w:t>
      </w:r>
      <w:r>
        <w:t xml:space="preserve"> sales under</w:t>
      </w:r>
      <w:r>
        <w:rPr>
          <w:spacing w:val="39"/>
        </w:rPr>
        <w:t xml:space="preserve"> </w:t>
      </w:r>
      <w:r>
        <w:t>these</w:t>
      </w:r>
      <w:r>
        <w:rPr>
          <w:spacing w:val="-1"/>
        </w:rPr>
        <w:t xml:space="preserve"> </w:t>
      </w:r>
      <w:r>
        <w:t xml:space="preserve">two </w:t>
      </w:r>
      <w:r>
        <w:rPr>
          <w:spacing w:val="-1"/>
        </w:rPr>
        <w:t>extreme</w:t>
      </w:r>
      <w:r>
        <w:t xml:space="preserve"> </w:t>
      </w:r>
      <w:r>
        <w:rPr>
          <w:spacing w:val="-1"/>
        </w:rPr>
        <w:t xml:space="preserve">water </w:t>
      </w:r>
      <w:r>
        <w:t xml:space="preserve">sales </w:t>
      </w:r>
      <w:r>
        <w:rPr>
          <w:spacing w:val="-1"/>
        </w:rPr>
        <w:t>forecasts,</w:t>
      </w:r>
      <w:r>
        <w:rPr>
          <w:spacing w:val="-6"/>
        </w:rPr>
        <w:t xml:space="preserve"> </w:t>
      </w:r>
      <w:r>
        <w:t xml:space="preserve">the </w:t>
      </w:r>
      <w:r>
        <w:rPr>
          <w:spacing w:val="-3"/>
        </w:rPr>
        <w:t>Panel</w:t>
      </w:r>
      <w:r>
        <w:rPr>
          <w:spacing w:val="-1"/>
        </w:rPr>
        <w:t xml:space="preserve"> </w:t>
      </w:r>
      <w:r>
        <w:t xml:space="preserve">is </w:t>
      </w:r>
      <w:r>
        <w:rPr>
          <w:spacing w:val="-1"/>
        </w:rPr>
        <w:t>satisfied</w:t>
      </w:r>
      <w:r>
        <w:t xml:space="preserve"> </w:t>
      </w:r>
      <w:r>
        <w:rPr>
          <w:spacing w:val="-1"/>
        </w:rPr>
        <w:t xml:space="preserve">that </w:t>
      </w:r>
      <w:r>
        <w:t>if</w:t>
      </w:r>
      <w:r>
        <w:rPr>
          <w:spacing w:val="4"/>
        </w:rPr>
        <w:t xml:space="preserve"> </w:t>
      </w:r>
      <w:r>
        <w:t xml:space="preserve">the </w:t>
      </w:r>
      <w:r>
        <w:rPr>
          <w:spacing w:val="-1"/>
        </w:rPr>
        <w:t>deadband</w:t>
      </w:r>
      <w:r>
        <w:t xml:space="preserve"> is</w:t>
      </w:r>
      <w:r>
        <w:rPr>
          <w:spacing w:val="-1"/>
        </w:rPr>
        <w:t xml:space="preserve"> </w:t>
      </w:r>
      <w:r>
        <w:t xml:space="preserve">set by </w:t>
      </w:r>
      <w:r>
        <w:rPr>
          <w:spacing w:val="-1"/>
        </w:rPr>
        <w:t xml:space="preserve">reference </w:t>
      </w:r>
      <w:r>
        <w:t>to</w:t>
      </w:r>
      <w:r>
        <w:rPr>
          <w:spacing w:val="59"/>
        </w:rPr>
        <w:t xml:space="preserve"> </w:t>
      </w:r>
      <w:r>
        <w:t xml:space="preserve">these </w:t>
      </w:r>
      <w:r>
        <w:rPr>
          <w:spacing w:val="-1"/>
        </w:rPr>
        <w:t>forecasts:</w:t>
      </w:r>
    </w:p>
    <w:p w:rsidR="00D96B91" w:rsidRDefault="00C2656B">
      <w:pPr>
        <w:pStyle w:val="BodyText"/>
        <w:numPr>
          <w:ilvl w:val="0"/>
          <w:numId w:val="131"/>
        </w:numPr>
        <w:tabs>
          <w:tab w:val="left" w:pos="1531"/>
        </w:tabs>
        <w:spacing w:before="178"/>
        <w:ind w:hanging="283"/>
      </w:pPr>
      <w:r>
        <w:rPr>
          <w:spacing w:val="-2"/>
        </w:rPr>
        <w:t>ACTEW</w:t>
      </w:r>
      <w:r>
        <w:rPr>
          <w:spacing w:val="-4"/>
        </w:rPr>
        <w:t xml:space="preserve"> </w:t>
      </w:r>
      <w:r>
        <w:t>will,</w:t>
      </w:r>
      <w:r>
        <w:rPr>
          <w:spacing w:val="-7"/>
        </w:rPr>
        <w:t xml:space="preserve"> </w:t>
      </w:r>
      <w:r>
        <w:t>all else</w:t>
      </w:r>
      <w:r>
        <w:rPr>
          <w:spacing w:val="-1"/>
        </w:rPr>
        <w:t xml:space="preserve"> </w:t>
      </w:r>
      <w:r>
        <w:t>being equal,</w:t>
      </w:r>
      <w:r>
        <w:rPr>
          <w:spacing w:val="-7"/>
        </w:rPr>
        <w:t xml:space="preserve"> </w:t>
      </w:r>
      <w:r>
        <w:rPr>
          <w:spacing w:val="-1"/>
        </w:rPr>
        <w:t xml:space="preserve">remain </w:t>
      </w:r>
      <w:r>
        <w:t>financially viable</w:t>
      </w:r>
      <w:r>
        <w:rPr>
          <w:spacing w:val="-1"/>
        </w:rPr>
        <w:t xml:space="preserve"> </w:t>
      </w:r>
      <w:r>
        <w:t>over this</w:t>
      </w:r>
      <w:r>
        <w:rPr>
          <w:spacing w:val="-1"/>
        </w:rPr>
        <w:t xml:space="preserve"> range </w:t>
      </w:r>
      <w:r>
        <w:t>of</w:t>
      </w:r>
      <w:r>
        <w:rPr>
          <w:spacing w:val="4"/>
        </w:rPr>
        <w:t xml:space="preserve"> </w:t>
      </w:r>
      <w:r>
        <w:rPr>
          <w:spacing w:val="-1"/>
        </w:rPr>
        <w:t xml:space="preserve">revenue </w:t>
      </w:r>
      <w:r>
        <w:t>outcomes,</w:t>
      </w:r>
      <w:r>
        <w:rPr>
          <w:spacing w:val="-7"/>
        </w:rPr>
        <w:t xml:space="preserve"> </w:t>
      </w:r>
      <w:r>
        <w:t>and</w:t>
      </w:r>
    </w:p>
    <w:p w:rsidR="00D96B91" w:rsidRDefault="00D96B91">
      <w:pPr>
        <w:spacing w:before="2"/>
        <w:rPr>
          <w:rFonts w:ascii="Avenir Next" w:eastAsia="Avenir Next" w:hAnsi="Avenir Next" w:cs="Avenir Next"/>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42" style="width:72.5pt;height:.5pt;mso-position-horizontal-relative:char;mso-position-vertical-relative:line" coordsize="1450,10">
            <v:group id="_x0000_s3243" style="position:absolute;left:5;top:5;width:1440;height:2" coordorigin="5,5" coordsize="1440,2">
              <v:shape id="_x0000_s3244"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157.</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xx.</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Draft</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5"/>
          <w:sz w:val="16"/>
        </w:rPr>
        <w:t xml:space="preserve"> </w:t>
      </w:r>
      <w:r>
        <w:rPr>
          <w:rFonts w:ascii="Avenir Next"/>
          <w:spacing w:val="-1"/>
          <w:sz w:val="16"/>
        </w:rPr>
        <w:t>February</w:t>
      </w:r>
      <w:r>
        <w:rPr>
          <w:rFonts w:ascii="Avenir Next"/>
          <w:sz w:val="16"/>
        </w:rPr>
        <w:t xml:space="preserv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40.</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pacing w:val="-2"/>
          <w:sz w:val="16"/>
        </w:rPr>
        <w:t>Cardno,</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z w:val="16"/>
        </w:rPr>
        <w:t xml:space="preserve"> 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price </w:t>
      </w:r>
      <w:r>
        <w:rPr>
          <w:rFonts w:ascii="Avenir Next"/>
          <w:spacing w:val="-1"/>
          <w:sz w:val="16"/>
        </w:rPr>
        <w:t>direction,</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87.</w:t>
      </w:r>
    </w:p>
    <w:p w:rsidR="00D96B91" w:rsidRDefault="00C2656B">
      <w:pPr>
        <w:numPr>
          <w:ilvl w:val="0"/>
          <w:numId w:val="99"/>
        </w:numPr>
        <w:tabs>
          <w:tab w:val="left" w:pos="1758"/>
        </w:tabs>
        <w:spacing w:before="128" w:line="192" w:lineRule="exact"/>
        <w:ind w:right="1561" w:hanging="510"/>
        <w:rPr>
          <w:rFonts w:ascii="Avenir Next" w:eastAsia="Avenir Next" w:hAnsi="Avenir Next" w:cs="Avenir Next"/>
          <w:sz w:val="16"/>
          <w:szCs w:val="16"/>
        </w:rPr>
      </w:pPr>
      <w:r>
        <w:rPr>
          <w:rFonts w:ascii="Avenir Next" w:eastAsia="Avenir Next" w:hAnsi="Avenir Next" w:cs="Avenir Next"/>
          <w:spacing w:val="-1"/>
          <w:sz w:val="16"/>
          <w:szCs w:val="16"/>
        </w:rPr>
        <w:t>Cardno</w:t>
      </w:r>
      <w:r>
        <w:rPr>
          <w:rFonts w:ascii="Avenir Next" w:eastAsia="Avenir Next" w:hAnsi="Avenir Next" w:cs="Avenir Next"/>
          <w:sz w:val="16"/>
          <w:szCs w:val="16"/>
        </w:rPr>
        <w:t xml:space="preserve"> has advised the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it </w:t>
      </w:r>
      <w:r>
        <w:rPr>
          <w:rFonts w:ascii="Avenir Next" w:eastAsia="Avenir Next" w:hAnsi="Avenir Next" w:cs="Avenir Next"/>
          <w:spacing w:val="-1"/>
          <w:sz w:val="16"/>
          <w:szCs w:val="16"/>
        </w:rPr>
        <w:t>expects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aggregate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sales to lie between these </w:t>
      </w:r>
      <w:r>
        <w:rPr>
          <w:rFonts w:ascii="Avenir Next" w:eastAsia="Avenir Next" w:hAnsi="Avenir Next" w:cs="Avenir Next"/>
          <w:spacing w:val="-1"/>
          <w:sz w:val="16"/>
          <w:szCs w:val="16"/>
        </w:rPr>
        <w:t>forecasts</w:t>
      </w:r>
      <w:r>
        <w:rPr>
          <w:rFonts w:ascii="Avenir Next" w:eastAsia="Avenir Next" w:hAnsi="Avenir Next" w:cs="Avenir Next"/>
          <w:sz w:val="16"/>
          <w:szCs w:val="16"/>
        </w:rPr>
        <w:t xml:space="preserve"> in 90%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“modelled</w:t>
      </w:r>
      <w:r>
        <w:rPr>
          <w:rFonts w:ascii="Avenir Next" w:eastAsia="Avenir Next" w:hAnsi="Avenir Next" w:cs="Avenir Next"/>
          <w:spacing w:val="43"/>
          <w:sz w:val="16"/>
          <w:szCs w:val="16"/>
        </w:rPr>
        <w:t xml:space="preserve"> </w:t>
      </w:r>
      <w:r>
        <w:rPr>
          <w:rFonts w:ascii="Avenir Next" w:eastAsia="Avenir Next" w:hAnsi="Avenir Next" w:cs="Avenir Next"/>
          <w:spacing w:val="-1"/>
          <w:sz w:val="16"/>
          <w:szCs w:val="16"/>
        </w:rPr>
        <w:t>futures”</w:t>
      </w:r>
      <w:r>
        <w:rPr>
          <w:rFonts w:ascii="Avenir Next" w:eastAsia="Avenir Next" w:hAnsi="Avenir Next" w:cs="Avenir Next"/>
          <w:sz w:val="16"/>
          <w:szCs w:val="16"/>
        </w:rPr>
        <w:t xml:space="preserve"> considering modelled </w:t>
      </w:r>
      <w:r>
        <w:rPr>
          <w:rFonts w:ascii="Avenir Next" w:eastAsia="Avenir Next" w:hAnsi="Avenir Next" w:cs="Avenir Next"/>
          <w:spacing w:val="-1"/>
          <w:sz w:val="16"/>
          <w:szCs w:val="16"/>
        </w:rPr>
        <w:t>weather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volatility.</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396" w:hanging="283"/>
      </w:pPr>
      <w:bookmarkStart w:id="66" w:name="_bookmark38"/>
      <w:bookmarkEnd w:id="66"/>
      <w:r>
        <w:t>the</w:t>
      </w:r>
      <w:r>
        <w:rPr>
          <w:spacing w:val="-1"/>
        </w:rPr>
        <w:t xml:space="preserve"> </w:t>
      </w:r>
      <w:r>
        <w:t>incentive benefits</w:t>
      </w:r>
      <w:r>
        <w:rPr>
          <w:spacing w:val="-1"/>
        </w:rPr>
        <w:t xml:space="preserve"> associated</w:t>
      </w:r>
      <w:r>
        <w:t xml:space="preserve"> with</w:t>
      </w:r>
      <w:r>
        <w:rPr>
          <w:spacing w:val="-1"/>
        </w:rPr>
        <w:t xml:space="preserve"> </w:t>
      </w:r>
      <w:r>
        <w:t>a price</w:t>
      </w:r>
      <w:r>
        <w:rPr>
          <w:spacing w:val="-1"/>
        </w:rPr>
        <w:t xml:space="preserve"> </w:t>
      </w:r>
      <w:r>
        <w:t>cap will</w:t>
      </w:r>
      <w:r>
        <w:rPr>
          <w:spacing w:val="-1"/>
        </w:rPr>
        <w:t xml:space="preserve"> </w:t>
      </w:r>
      <w:r>
        <w:t>not be</w:t>
      </w:r>
      <w:r>
        <w:rPr>
          <w:spacing w:val="-1"/>
        </w:rPr>
        <w:t xml:space="preserve"> </w:t>
      </w:r>
      <w:r>
        <w:t>undermined because</w:t>
      </w:r>
      <w:r>
        <w:rPr>
          <w:spacing w:val="-1"/>
        </w:rPr>
        <w:t xml:space="preserve"> </w:t>
      </w:r>
      <w:r>
        <w:t xml:space="preserve">the </w:t>
      </w:r>
      <w:r>
        <w:rPr>
          <w:spacing w:val="-1"/>
        </w:rPr>
        <w:t xml:space="preserve">deadband </w:t>
      </w:r>
      <w:r>
        <w:t>is</w:t>
      </w:r>
      <w:r>
        <w:rPr>
          <w:spacing w:val="27"/>
        </w:rPr>
        <w:t xml:space="preserve"> </w:t>
      </w:r>
      <w:r>
        <w:rPr>
          <w:spacing w:val="-1"/>
        </w:rPr>
        <w:t>unlikely</w:t>
      </w:r>
      <w:r>
        <w:t xml:space="preserve"> to be </w:t>
      </w:r>
      <w:r>
        <w:rPr>
          <w:spacing w:val="-1"/>
        </w:rPr>
        <w:t>frequently</w:t>
      </w:r>
      <w:r>
        <w:t xml:space="preserve"> </w:t>
      </w:r>
      <w:r>
        <w:rPr>
          <w:spacing w:val="-1"/>
        </w:rPr>
        <w:t>breached.</w:t>
      </w:r>
    </w:p>
    <w:p w:rsidR="00D96B91" w:rsidRDefault="00C2656B">
      <w:pPr>
        <w:pStyle w:val="BodyText"/>
        <w:spacing w:before="85" w:line="260" w:lineRule="exact"/>
        <w:ind w:right="1256"/>
      </w:pPr>
      <w:r>
        <w:rPr>
          <w:spacing w:val="-2"/>
        </w:rPr>
        <w:t>Therefore,</w:t>
      </w:r>
      <w:r>
        <w:rPr>
          <w:spacing w:val="-6"/>
        </w:rPr>
        <w:t xml:space="preserve"> </w:t>
      </w:r>
      <w:r>
        <w:t xml:space="preserve">the </w:t>
      </w:r>
      <w:r>
        <w:rPr>
          <w:spacing w:val="-4"/>
        </w:rPr>
        <w:t>Panel’s</w:t>
      </w:r>
      <w:r>
        <w:t xml:space="preserve"> </w:t>
      </w:r>
      <w:r>
        <w:rPr>
          <w:spacing w:val="-2"/>
        </w:rPr>
        <w:t>draft</w:t>
      </w:r>
      <w:r>
        <w:t xml:space="preserve"> decision is to</w:t>
      </w:r>
      <w:r>
        <w:rPr>
          <w:spacing w:val="-1"/>
        </w:rPr>
        <w:t xml:space="preserve"> </w:t>
      </w:r>
      <w:r>
        <w:t xml:space="preserve">set the </w:t>
      </w:r>
      <w:r>
        <w:rPr>
          <w:spacing w:val="-1"/>
        </w:rPr>
        <w:t>deadband at</w:t>
      </w:r>
      <w:r>
        <w:t xml:space="preserve"> 7% of</w:t>
      </w:r>
      <w:r>
        <w:rPr>
          <w:spacing w:val="4"/>
        </w:rPr>
        <w:t xml:space="preserve"> </w:t>
      </w:r>
      <w:r>
        <w:rPr>
          <w:spacing w:val="-1"/>
        </w:rPr>
        <w:t xml:space="preserve">water </w:t>
      </w:r>
      <w:r>
        <w:t xml:space="preserve">sales </w:t>
      </w:r>
      <w:r>
        <w:rPr>
          <w:spacing w:val="-1"/>
        </w:rPr>
        <w:t xml:space="preserve">revenue </w:t>
      </w:r>
      <w:r>
        <w:t>(ie,</w:t>
      </w:r>
      <w:r>
        <w:rPr>
          <w:spacing w:val="-6"/>
        </w:rPr>
        <w:t xml:space="preserve"> </w:t>
      </w:r>
      <w:r>
        <w:t xml:space="preserve">the </w:t>
      </w:r>
      <w:r>
        <w:rPr>
          <w:spacing w:val="-1"/>
        </w:rPr>
        <w:t>revenue</w:t>
      </w:r>
      <w:r>
        <w:rPr>
          <w:spacing w:val="67"/>
        </w:rPr>
        <w:t xml:space="preserve"> </w:t>
      </w:r>
      <w:r>
        <w:t xml:space="preserve">derived </w:t>
      </w:r>
      <w:r>
        <w:rPr>
          <w:spacing w:val="-1"/>
        </w:rPr>
        <w:t>from</w:t>
      </w:r>
      <w:r>
        <w:t xml:space="preserve"> tier 1 and tier 2 </w:t>
      </w:r>
      <w:r>
        <w:rPr>
          <w:spacing w:val="-1"/>
        </w:rPr>
        <w:t>water</w:t>
      </w:r>
      <w:r>
        <w:t xml:space="preserve"> </w:t>
      </w:r>
      <w:r>
        <w:rPr>
          <w:spacing w:val="-1"/>
        </w:rPr>
        <w:t>charges).</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97"/>
        </w:numPr>
        <w:tabs>
          <w:tab w:val="left" w:pos="2212"/>
        </w:tabs>
        <w:ind w:left="2211"/>
        <w:jc w:val="both"/>
        <w:rPr>
          <w:b w:val="0"/>
          <w:bCs w:val="0"/>
        </w:rPr>
      </w:pPr>
      <w:r>
        <w:rPr>
          <w:color w:val="0778BE"/>
        </w:rPr>
        <w:t xml:space="preserve">How the hybrid price and </w:t>
      </w:r>
      <w:r>
        <w:rPr>
          <w:color w:val="0778BE"/>
          <w:spacing w:val="-1"/>
        </w:rPr>
        <w:t>revenue</w:t>
      </w:r>
      <w:r>
        <w:rPr>
          <w:color w:val="0778BE"/>
        </w:rPr>
        <w:t xml:space="preserve"> cap will </w:t>
      </w:r>
      <w:r>
        <w:rPr>
          <w:color w:val="0778BE"/>
          <w:spacing w:val="-1"/>
        </w:rPr>
        <w:t>operate</w:t>
      </w:r>
    </w:p>
    <w:p w:rsidR="00D96B91" w:rsidRDefault="00C2656B">
      <w:pPr>
        <w:pStyle w:val="BodyText"/>
        <w:spacing w:before="36"/>
        <w:jc w:val="both"/>
      </w:pPr>
      <w:r>
        <w:rPr>
          <w:spacing w:val="-5"/>
        </w:rPr>
        <w:t>For</w:t>
      </w:r>
      <w:r>
        <w:rPr>
          <w:spacing w:val="-4"/>
        </w:rPr>
        <w:t xml:space="preserve"> </w:t>
      </w:r>
      <w:r>
        <w:rPr>
          <w:spacing w:val="-2"/>
        </w:rPr>
        <w:t>the</w:t>
      </w:r>
      <w:r>
        <w:rPr>
          <w:spacing w:val="-4"/>
        </w:rPr>
        <w:t xml:space="preserve"> </w:t>
      </w:r>
      <w:r>
        <w:rPr>
          <w:spacing w:val="-3"/>
        </w:rPr>
        <w:t>reasons</w:t>
      </w:r>
      <w:r>
        <w:rPr>
          <w:spacing w:val="-4"/>
        </w:rPr>
        <w:t xml:space="preserve"> </w:t>
      </w:r>
      <w:r>
        <w:rPr>
          <w:spacing w:val="-2"/>
        </w:rPr>
        <w:t>set</w:t>
      </w:r>
      <w:r>
        <w:rPr>
          <w:spacing w:val="-4"/>
        </w:rPr>
        <w:t xml:space="preserve"> </w:t>
      </w:r>
      <w:r>
        <w:rPr>
          <w:spacing w:val="-2"/>
        </w:rPr>
        <w:t>out</w:t>
      </w:r>
      <w:r>
        <w:rPr>
          <w:spacing w:val="-4"/>
        </w:rPr>
        <w:t xml:space="preserve"> </w:t>
      </w:r>
      <w:r>
        <w:rPr>
          <w:spacing w:val="-2"/>
        </w:rPr>
        <w:t>above,</w:t>
      </w:r>
      <w:r>
        <w:rPr>
          <w:spacing w:val="-10"/>
        </w:rPr>
        <w:t xml:space="preserve"> </w:t>
      </w:r>
      <w:r>
        <w:rPr>
          <w:spacing w:val="-2"/>
        </w:rPr>
        <w:t>the</w:t>
      </w:r>
      <w:r>
        <w:rPr>
          <w:spacing w:val="-4"/>
        </w:rPr>
        <w:t xml:space="preserve"> Panel </w:t>
      </w:r>
      <w:r>
        <w:rPr>
          <w:spacing w:val="-2"/>
        </w:rPr>
        <w:t>decided</w:t>
      </w:r>
      <w:r>
        <w:rPr>
          <w:spacing w:val="-4"/>
        </w:rPr>
        <w:t xml:space="preserve"> </w:t>
      </w:r>
      <w:r>
        <w:rPr>
          <w:spacing w:val="-1"/>
        </w:rPr>
        <w:t>to</w:t>
      </w:r>
      <w:r>
        <w:rPr>
          <w:spacing w:val="-4"/>
        </w:rPr>
        <w:t xml:space="preserve"> </w:t>
      </w:r>
      <w:r>
        <w:rPr>
          <w:spacing w:val="-2"/>
        </w:rPr>
        <w:t>adopt</w:t>
      </w:r>
      <w:r>
        <w:rPr>
          <w:spacing w:val="-4"/>
        </w:rPr>
        <w:t xml:space="preserve"> </w:t>
      </w:r>
      <w:r>
        <w:t>a</w:t>
      </w:r>
      <w:r>
        <w:rPr>
          <w:spacing w:val="-4"/>
        </w:rPr>
        <w:t xml:space="preserve"> </w:t>
      </w:r>
      <w:r>
        <w:rPr>
          <w:spacing w:val="-2"/>
        </w:rPr>
        <w:t>hybrid</w:t>
      </w:r>
      <w:r>
        <w:rPr>
          <w:spacing w:val="-4"/>
        </w:rPr>
        <w:t xml:space="preserve"> </w:t>
      </w:r>
      <w:r>
        <w:rPr>
          <w:spacing w:val="-2"/>
        </w:rPr>
        <w:t>price</w:t>
      </w:r>
      <w:r>
        <w:rPr>
          <w:spacing w:val="-4"/>
        </w:rPr>
        <w:t xml:space="preserve"> </w:t>
      </w:r>
      <w:r>
        <w:rPr>
          <w:spacing w:val="-2"/>
        </w:rPr>
        <w:t>and</w:t>
      </w:r>
      <w:r>
        <w:rPr>
          <w:spacing w:val="-4"/>
        </w:rPr>
        <w:t xml:space="preserve"> </w:t>
      </w:r>
      <w:r>
        <w:rPr>
          <w:spacing w:val="-3"/>
        </w:rPr>
        <w:t>revenue</w:t>
      </w:r>
      <w:r>
        <w:rPr>
          <w:spacing w:val="-4"/>
        </w:rPr>
        <w:t xml:space="preserve"> </w:t>
      </w:r>
      <w:r>
        <w:rPr>
          <w:spacing w:val="-2"/>
        </w:rPr>
        <w:t>cap</w:t>
      </w:r>
      <w:r>
        <w:rPr>
          <w:spacing w:val="-4"/>
        </w:rPr>
        <w:t xml:space="preserve"> </w:t>
      </w:r>
      <w:r>
        <w:rPr>
          <w:spacing w:val="-2"/>
        </w:rPr>
        <w:t>that</w:t>
      </w:r>
      <w:r>
        <w:rPr>
          <w:spacing w:val="-4"/>
        </w:rPr>
        <w:t xml:space="preserve"> </w:t>
      </w:r>
      <w:r>
        <w:rPr>
          <w:spacing w:val="-2"/>
        </w:rPr>
        <w:t>consists</w:t>
      </w:r>
      <w:r>
        <w:rPr>
          <w:spacing w:val="-4"/>
        </w:rPr>
        <w:t xml:space="preserve"> </w:t>
      </w:r>
      <w:r>
        <w:rPr>
          <w:spacing w:val="-2"/>
        </w:rPr>
        <w:t>of:</w:t>
      </w:r>
    </w:p>
    <w:p w:rsidR="00D96B91" w:rsidRDefault="00C2656B">
      <w:pPr>
        <w:pStyle w:val="BodyText"/>
        <w:numPr>
          <w:ilvl w:val="0"/>
          <w:numId w:val="131"/>
        </w:numPr>
        <w:tabs>
          <w:tab w:val="left" w:pos="1531"/>
        </w:tabs>
        <w:spacing w:before="157"/>
        <w:ind w:hanging="283"/>
        <w:jc w:val="both"/>
        <w:rPr>
          <w:rFonts w:cs="Avenir Next"/>
        </w:rPr>
      </w:pPr>
      <w:r>
        <w:t xml:space="preserve">individual price caps for </w:t>
      </w:r>
      <w:r>
        <w:rPr>
          <w:spacing w:val="-1"/>
        </w:rPr>
        <w:t>water</w:t>
      </w:r>
      <w:r>
        <w:t xml:space="preserve"> and </w:t>
      </w:r>
      <w:r>
        <w:rPr>
          <w:spacing w:val="-1"/>
        </w:rPr>
        <w:t>sewerage</w:t>
      </w:r>
      <w:r>
        <w:t xml:space="preserve"> </w:t>
      </w:r>
      <w:r>
        <w:rPr>
          <w:spacing w:val="-1"/>
        </w:rPr>
        <w:t>charges,</w:t>
      </w:r>
      <w:r>
        <w:rPr>
          <w:spacing w:val="-6"/>
        </w:rPr>
        <w:t xml:space="preserve"> </w:t>
      </w:r>
      <w:r>
        <w:t>and</w:t>
      </w:r>
    </w:p>
    <w:p w:rsidR="00D96B91" w:rsidRDefault="00C2656B">
      <w:pPr>
        <w:pStyle w:val="BodyText"/>
        <w:numPr>
          <w:ilvl w:val="0"/>
          <w:numId w:val="131"/>
        </w:numPr>
        <w:tabs>
          <w:tab w:val="left" w:pos="1531"/>
        </w:tabs>
        <w:spacing w:before="64" w:line="260" w:lineRule="exact"/>
        <w:ind w:right="1766" w:hanging="283"/>
        <w:jc w:val="both"/>
      </w:pPr>
      <w:r>
        <w:t xml:space="preserve">a demand </w:t>
      </w:r>
      <w:r>
        <w:rPr>
          <w:spacing w:val="-1"/>
        </w:rPr>
        <w:t>volatility</w:t>
      </w:r>
      <w:r>
        <w:t xml:space="preserve"> adjustment mechanism </w:t>
      </w:r>
      <w:r>
        <w:rPr>
          <w:spacing w:val="-1"/>
        </w:rPr>
        <w:t>that</w:t>
      </w:r>
      <w:r>
        <w:t xml:space="preserve"> will be used to account for </w:t>
      </w:r>
      <w:r>
        <w:rPr>
          <w:spacing w:val="-1"/>
        </w:rPr>
        <w:t>deviations</w:t>
      </w:r>
      <w:r>
        <w:t xml:space="preserve"> between</w:t>
      </w:r>
      <w:r>
        <w:rPr>
          <w:spacing w:val="33"/>
        </w:rPr>
        <w:t xml:space="preserve"> </w:t>
      </w:r>
      <w:r>
        <w:t xml:space="preserve">actual and </w:t>
      </w:r>
      <w:r>
        <w:rPr>
          <w:spacing w:val="-1"/>
        </w:rPr>
        <w:t>forecast</w:t>
      </w:r>
      <w:r>
        <w:t xml:space="preserve"> </w:t>
      </w:r>
      <w:r>
        <w:rPr>
          <w:spacing w:val="-1"/>
        </w:rPr>
        <w:t>water</w:t>
      </w:r>
      <w:r>
        <w:t xml:space="preserve"> sales </w:t>
      </w:r>
      <w:r>
        <w:rPr>
          <w:spacing w:val="-1"/>
        </w:rPr>
        <w:t>revenue</w:t>
      </w:r>
      <w:r>
        <w:t xml:space="preserve"> in </w:t>
      </w:r>
      <w:r>
        <w:rPr>
          <w:spacing w:val="-1"/>
        </w:rPr>
        <w:t>excess</w:t>
      </w:r>
      <w:r>
        <w:t xml:space="preserve"> of</w:t>
      </w:r>
      <w:r>
        <w:rPr>
          <w:spacing w:val="4"/>
        </w:rPr>
        <w:t xml:space="preserve"> </w:t>
      </w:r>
      <w:r>
        <w:t xml:space="preserve">a 7% </w:t>
      </w:r>
      <w:r>
        <w:rPr>
          <w:spacing w:val="-1"/>
        </w:rPr>
        <w:t>deadband</w:t>
      </w:r>
      <w:r>
        <w:t xml:space="preserve"> over the </w:t>
      </w:r>
      <w:r>
        <w:rPr>
          <w:spacing w:val="-1"/>
        </w:rPr>
        <w:t>regulatory</w:t>
      </w:r>
      <w:r>
        <w:t xml:space="preserve"> period</w:t>
      </w:r>
      <w:r>
        <w:rPr>
          <w:spacing w:val="45"/>
        </w:rPr>
        <w:t xml:space="preserve"> </w:t>
      </w:r>
      <w:r>
        <w:t>(1</w:t>
      </w:r>
      <w:r>
        <w:rPr>
          <w:spacing w:val="-3"/>
        </w:rPr>
        <w:t xml:space="preserve"> </w:t>
      </w:r>
      <w:r>
        <w:t>July 2013 to 30</w:t>
      </w:r>
      <w:r>
        <w:rPr>
          <w:spacing w:val="-3"/>
        </w:rPr>
        <w:t xml:space="preserve"> </w:t>
      </w:r>
      <w:r>
        <w:t>June 2018).</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89"/>
        <w:jc w:val="both"/>
        <w:rPr>
          <w:rFonts w:cs="Avenir Next"/>
        </w:rPr>
      </w:pPr>
      <w:r>
        <w:t>If</w:t>
      </w:r>
      <w:r>
        <w:rPr>
          <w:spacing w:val="4"/>
        </w:rPr>
        <w:t xml:space="preserve"> </w:t>
      </w:r>
      <w:r>
        <w:t xml:space="preserve">the demand </w:t>
      </w:r>
      <w:r>
        <w:rPr>
          <w:spacing w:val="-1"/>
        </w:rPr>
        <w:t>volatility</w:t>
      </w:r>
      <w:r>
        <w:t xml:space="preserve"> adjustment mechanism is </w:t>
      </w:r>
      <w:r>
        <w:rPr>
          <w:spacing w:val="-1"/>
        </w:rPr>
        <w:t>triggered,</w:t>
      </w:r>
      <w:r>
        <w:rPr>
          <w:spacing w:val="-6"/>
        </w:rPr>
        <w:t xml:space="preserve"> </w:t>
      </w:r>
      <w:r>
        <w:t xml:space="preserve">then the net </w:t>
      </w:r>
      <w:r>
        <w:rPr>
          <w:spacing w:val="-1"/>
        </w:rPr>
        <w:t>present</w:t>
      </w:r>
      <w:r>
        <w:t xml:space="preserve"> value of</w:t>
      </w:r>
      <w:r>
        <w:rPr>
          <w:spacing w:val="4"/>
        </w:rPr>
        <w:t xml:space="preserve"> </w:t>
      </w:r>
      <w:r>
        <w:t>any under</w:t>
      </w:r>
      <w:r>
        <w:rPr>
          <w:spacing w:val="33"/>
        </w:rPr>
        <w:t xml:space="preserve"> </w:t>
      </w:r>
      <w:r>
        <w:t xml:space="preserve">or over </w:t>
      </w:r>
      <w:r>
        <w:rPr>
          <w:spacing w:val="-1"/>
        </w:rPr>
        <w:t>recovered</w:t>
      </w:r>
      <w:r>
        <w:t xml:space="preserve"> </w:t>
      </w:r>
      <w:r>
        <w:rPr>
          <w:spacing w:val="-1"/>
        </w:rPr>
        <w:t>revenue</w:t>
      </w:r>
      <w:r>
        <w:t xml:space="preserve"> will be included in the </w:t>
      </w:r>
      <w:r>
        <w:rPr>
          <w:spacing w:val="-1"/>
        </w:rPr>
        <w:t>calculation</w:t>
      </w:r>
      <w:r>
        <w:t xml:space="preserve"> of</w:t>
      </w:r>
      <w:r>
        <w:rPr>
          <w:spacing w:val="4"/>
        </w:rPr>
        <w:t xml:space="preserve"> </w:t>
      </w:r>
      <w:r>
        <w:rPr>
          <w:spacing w:val="-1"/>
        </w:rPr>
        <w:t>water</w:t>
      </w:r>
      <w:r>
        <w:t xml:space="preserve"> </w:t>
      </w:r>
      <w:r>
        <w:rPr>
          <w:spacing w:val="-1"/>
        </w:rPr>
        <w:t>charges</w:t>
      </w:r>
      <w:r>
        <w:t xml:space="preserve"> in the </w:t>
      </w:r>
      <w:r>
        <w:rPr>
          <w:spacing w:val="-1"/>
        </w:rPr>
        <w:t>next</w:t>
      </w:r>
      <w:r>
        <w:t xml:space="preserve"> </w:t>
      </w:r>
      <w:r>
        <w:rPr>
          <w:spacing w:val="-1"/>
        </w:rPr>
        <w:t>regulatory</w:t>
      </w:r>
      <w:r>
        <w:rPr>
          <w:spacing w:val="49"/>
        </w:rPr>
        <w:t xml:space="preserve"> </w:t>
      </w:r>
      <w:r>
        <w:t>period.</w:t>
      </w:r>
      <w:r>
        <w:rPr>
          <w:spacing w:val="-11"/>
        </w:rPr>
        <w:t xml:space="preserve"> </w:t>
      </w:r>
      <w:r>
        <w:rPr>
          <w:spacing w:val="-1"/>
        </w:rPr>
        <w:t>This</w:t>
      </w:r>
      <w:r>
        <w:t xml:space="preserve"> </w:t>
      </w:r>
      <w:r>
        <w:rPr>
          <w:spacing w:val="-1"/>
        </w:rPr>
        <w:t>requirement</w:t>
      </w:r>
      <w:r>
        <w:t xml:space="preserve"> will be given </w:t>
      </w:r>
      <w:r>
        <w:rPr>
          <w:spacing w:val="-1"/>
        </w:rPr>
        <w:t>effect</w:t>
      </w:r>
      <w:r>
        <w:t xml:space="preserve"> </w:t>
      </w:r>
      <w:r>
        <w:rPr>
          <w:spacing w:val="-1"/>
        </w:rPr>
        <w:t>through</w:t>
      </w:r>
      <w:r>
        <w:t xml:space="preserve"> a </w:t>
      </w:r>
      <w:r>
        <w:rPr>
          <w:spacing w:val="-1"/>
        </w:rPr>
        <w:t>future</w:t>
      </w:r>
      <w:r>
        <w:t xml:space="preserve"> </w:t>
      </w:r>
      <w:r>
        <w:rPr>
          <w:spacing w:val="-1"/>
        </w:rPr>
        <w:t>reset</w:t>
      </w:r>
      <w:r>
        <w:t xml:space="preserve"> principle,</w:t>
      </w:r>
      <w:r>
        <w:rPr>
          <w:spacing w:val="-6"/>
        </w:rPr>
        <w:t xml:space="preserve"> </w:t>
      </w:r>
      <w:r>
        <w:t>which the ICRC will be</w:t>
      </w:r>
      <w:r>
        <w:rPr>
          <w:spacing w:val="23"/>
        </w:rPr>
        <w:t xml:space="preserve"> </w:t>
      </w:r>
      <w:r>
        <w:rPr>
          <w:spacing w:val="-1"/>
        </w:rPr>
        <w:t>required</w:t>
      </w:r>
      <w:r>
        <w:t xml:space="preserve"> by section 20A(2) of</w:t>
      </w:r>
      <w:r>
        <w:rPr>
          <w:spacing w:val="4"/>
        </w:rPr>
        <w:t xml:space="preserve"> </w:t>
      </w:r>
      <w:r>
        <w:t>the</w:t>
      </w:r>
      <w:r>
        <w:rPr>
          <w:spacing w:val="-4"/>
        </w:rPr>
        <w:t xml:space="preserve"> </w:t>
      </w:r>
      <w:r>
        <w:t>Act to comply with.</w:t>
      </w:r>
      <w:r>
        <w:rPr>
          <w:spacing w:val="-11"/>
        </w:rPr>
        <w:t xml:space="preserve"> </w:t>
      </w:r>
      <w:r>
        <w:rPr>
          <w:spacing w:val="-2"/>
        </w:rPr>
        <w:t>The</w:t>
      </w:r>
      <w:r>
        <w:t xml:space="preserve"> form </w:t>
      </w:r>
      <w:r>
        <w:rPr>
          <w:spacing w:val="-1"/>
        </w:rPr>
        <w:t>that</w:t>
      </w:r>
      <w:r>
        <w:t xml:space="preserve"> this </w:t>
      </w:r>
      <w:r>
        <w:rPr>
          <w:spacing w:val="-1"/>
        </w:rPr>
        <w:t>reset</w:t>
      </w:r>
      <w:r>
        <w:t xml:space="preserve"> principle will </w:t>
      </w:r>
      <w:r>
        <w:rPr>
          <w:spacing w:val="-1"/>
        </w:rPr>
        <w:t>take</w:t>
      </w:r>
      <w:r>
        <w:t xml:space="preserve"> is set</w:t>
      </w:r>
      <w:r>
        <w:rPr>
          <w:spacing w:val="26"/>
        </w:rPr>
        <w:t xml:space="preserve"> </w:t>
      </w:r>
      <w:r>
        <w:t>out below:</w:t>
      </w:r>
    </w:p>
    <w:p w:rsidR="00D96B91" w:rsidRDefault="00C2656B">
      <w:pPr>
        <w:pStyle w:val="BodyText"/>
        <w:spacing w:before="178"/>
        <w:ind w:left="1644"/>
        <w:rPr>
          <w:rFonts w:cs="Avenir Next"/>
        </w:rPr>
      </w:pPr>
      <w:r>
        <w:rPr>
          <w:spacing w:val="-2"/>
        </w:rPr>
        <w:t>The</w:t>
      </w:r>
      <w:r>
        <w:t xml:space="preserve"> demand </w:t>
      </w:r>
      <w:r>
        <w:rPr>
          <w:spacing w:val="-1"/>
        </w:rPr>
        <w:t>volatility</w:t>
      </w:r>
      <w:r>
        <w:t xml:space="preserve"> adjustment will be determined as the </w:t>
      </w:r>
      <w:r>
        <w:rPr>
          <w:spacing w:val="-1"/>
        </w:rPr>
        <w:t>difference</w:t>
      </w:r>
      <w:r>
        <w:t xml:space="preserve"> between:</w:t>
      </w:r>
    </w:p>
    <w:p w:rsidR="00D96B91" w:rsidRDefault="00C2656B">
      <w:pPr>
        <w:pStyle w:val="BodyText"/>
        <w:numPr>
          <w:ilvl w:val="1"/>
          <w:numId w:val="131"/>
        </w:numPr>
        <w:tabs>
          <w:tab w:val="left" w:pos="1985"/>
        </w:tabs>
        <w:spacing w:before="149" w:line="260" w:lineRule="exact"/>
        <w:ind w:left="1984" w:right="1593"/>
      </w:pPr>
      <w:r>
        <w:t xml:space="preserve">the net </w:t>
      </w:r>
      <w:r>
        <w:rPr>
          <w:spacing w:val="-1"/>
        </w:rPr>
        <w:t>present</w:t>
      </w:r>
      <w:r>
        <w:t xml:space="preserve"> value of</w:t>
      </w:r>
      <w:r>
        <w:rPr>
          <w:spacing w:val="4"/>
        </w:rPr>
        <w:t xml:space="preserve"> </w:t>
      </w:r>
      <w:r>
        <w:t xml:space="preserve">the </w:t>
      </w:r>
      <w:r>
        <w:rPr>
          <w:spacing w:val="-1"/>
        </w:rPr>
        <w:t>revenue</w:t>
      </w:r>
      <w:r>
        <w:t xml:space="preserve"> </w:t>
      </w:r>
      <w:r>
        <w:rPr>
          <w:spacing w:val="-1"/>
        </w:rPr>
        <w:t>earned</w:t>
      </w:r>
      <w:r>
        <w:t xml:space="preserve"> </w:t>
      </w:r>
      <w:r>
        <w:rPr>
          <w:spacing w:val="-1"/>
        </w:rPr>
        <w:t>through</w:t>
      </w:r>
      <w:r>
        <w:t xml:space="preserve"> tier 1 and tier 2 </w:t>
      </w:r>
      <w:r>
        <w:rPr>
          <w:spacing w:val="-1"/>
        </w:rPr>
        <w:t>water</w:t>
      </w:r>
      <w:r>
        <w:t xml:space="preserve"> </w:t>
      </w:r>
      <w:r>
        <w:rPr>
          <w:spacing w:val="-1"/>
        </w:rPr>
        <w:t>charges</w:t>
      </w:r>
      <w:r>
        <w:t xml:space="preserve"> over the</w:t>
      </w:r>
      <w:r>
        <w:rPr>
          <w:spacing w:val="37"/>
        </w:rPr>
        <w:t xml:space="preserve"> </w:t>
      </w:r>
      <w:r>
        <w:t>period 1</w:t>
      </w:r>
      <w:r>
        <w:rPr>
          <w:spacing w:val="-3"/>
        </w:rPr>
        <w:t xml:space="preserve"> </w:t>
      </w:r>
      <w:r>
        <w:t>July 2013 to 30</w:t>
      </w:r>
      <w:r>
        <w:rPr>
          <w:spacing w:val="-3"/>
        </w:rPr>
        <w:t xml:space="preserve"> </w:t>
      </w:r>
      <w:r>
        <w:t>June 2018,</w:t>
      </w:r>
      <w:r>
        <w:rPr>
          <w:spacing w:val="-6"/>
        </w:rPr>
        <w:t xml:space="preserve"> </w:t>
      </w:r>
      <w:r>
        <w:t>and</w:t>
      </w:r>
    </w:p>
    <w:p w:rsidR="00D96B91" w:rsidRDefault="00C2656B">
      <w:pPr>
        <w:pStyle w:val="BodyText"/>
        <w:numPr>
          <w:ilvl w:val="1"/>
          <w:numId w:val="131"/>
        </w:numPr>
        <w:tabs>
          <w:tab w:val="left" w:pos="1985"/>
        </w:tabs>
        <w:spacing w:before="85" w:line="260" w:lineRule="exact"/>
        <w:ind w:left="1984" w:right="1604"/>
      </w:pPr>
      <w:r>
        <w:t xml:space="preserve">the net </w:t>
      </w:r>
      <w:r>
        <w:rPr>
          <w:spacing w:val="-1"/>
        </w:rPr>
        <w:t>present</w:t>
      </w:r>
      <w:r>
        <w:t xml:space="preserve"> value of</w:t>
      </w:r>
      <w:r>
        <w:rPr>
          <w:spacing w:val="4"/>
        </w:rPr>
        <w:t xml:space="preserve"> </w:t>
      </w:r>
      <w:r>
        <w:t xml:space="preserve">the volumetric </w:t>
      </w:r>
      <w:r>
        <w:rPr>
          <w:spacing w:val="-1"/>
        </w:rPr>
        <w:t>water</w:t>
      </w:r>
      <w:r>
        <w:t xml:space="preserve"> sales </w:t>
      </w:r>
      <w:r>
        <w:rPr>
          <w:spacing w:val="-1"/>
        </w:rPr>
        <w:t>revenue</w:t>
      </w:r>
      <w:r>
        <w:t xml:space="preserve"> (ie,</w:t>
      </w:r>
      <w:r>
        <w:rPr>
          <w:spacing w:val="-6"/>
        </w:rPr>
        <w:t xml:space="preserve"> </w:t>
      </w:r>
      <w:r>
        <w:t xml:space="preserve">the </w:t>
      </w:r>
      <w:r>
        <w:rPr>
          <w:spacing w:val="-1"/>
        </w:rPr>
        <w:t>revenue</w:t>
      </w:r>
      <w:r>
        <w:t xml:space="preserve"> to be </w:t>
      </w:r>
      <w:r>
        <w:rPr>
          <w:spacing w:val="-1"/>
        </w:rPr>
        <w:t>recovered</w:t>
      </w:r>
      <w:r>
        <w:rPr>
          <w:spacing w:val="25"/>
        </w:rPr>
        <w:t xml:space="preserve"> </w:t>
      </w:r>
      <w:r>
        <w:rPr>
          <w:spacing w:val="-1"/>
        </w:rPr>
        <w:t xml:space="preserve">from </w:t>
      </w:r>
      <w:r>
        <w:t>tier 1 and tier</w:t>
      </w:r>
      <w:r>
        <w:rPr>
          <w:spacing w:val="-1"/>
        </w:rPr>
        <w:t xml:space="preserve"> </w:t>
      </w:r>
      <w:r>
        <w:t xml:space="preserve">2 </w:t>
      </w:r>
      <w:r>
        <w:rPr>
          <w:spacing w:val="-1"/>
        </w:rPr>
        <w:t>charges)</w:t>
      </w:r>
      <w:r>
        <w:t xml:space="preserve"> allowed in</w:t>
      </w:r>
      <w:r>
        <w:rPr>
          <w:spacing w:val="-1"/>
        </w:rPr>
        <w:t xml:space="preserve"> </w:t>
      </w:r>
      <w:r>
        <w:t xml:space="preserve">the final </w:t>
      </w:r>
      <w:r>
        <w:rPr>
          <w:spacing w:val="-2"/>
        </w:rPr>
        <w:t>report</w:t>
      </w:r>
      <w:r>
        <w:t xml:space="preserve"> plus or</w:t>
      </w:r>
      <w:r>
        <w:rPr>
          <w:spacing w:val="-1"/>
        </w:rPr>
        <w:t xml:space="preserve"> </w:t>
      </w:r>
      <w:r>
        <w:t>minus 7% depending on</w:t>
      </w:r>
      <w:r>
        <w:rPr>
          <w:spacing w:val="30"/>
        </w:rPr>
        <w:t xml:space="preserve"> </w:t>
      </w:r>
      <w:r>
        <w:t xml:space="preserve">whether </w:t>
      </w:r>
      <w:r>
        <w:rPr>
          <w:spacing w:val="-1"/>
        </w:rPr>
        <w:t>there</w:t>
      </w:r>
      <w:r>
        <w:t xml:space="preserve"> has been an over collection or an under collection of</w:t>
      </w:r>
      <w:r>
        <w:rPr>
          <w:spacing w:val="4"/>
        </w:rPr>
        <w:t xml:space="preserve"> </w:t>
      </w:r>
      <w:r>
        <w:rPr>
          <w:spacing w:val="-1"/>
        </w:rPr>
        <w:t>revenue.</w:t>
      </w:r>
    </w:p>
    <w:p w:rsidR="00D96B91" w:rsidRDefault="00C2656B">
      <w:pPr>
        <w:pStyle w:val="BodyText"/>
        <w:spacing w:before="85" w:line="260" w:lineRule="exact"/>
        <w:ind w:left="1643" w:right="1781"/>
        <w:jc w:val="both"/>
      </w:pPr>
      <w:r>
        <w:rPr>
          <w:spacing w:val="-2"/>
        </w:rPr>
        <w:t>Forecast</w:t>
      </w:r>
      <w:r>
        <w:rPr>
          <w:spacing w:val="-1"/>
        </w:rPr>
        <w:t xml:space="preserve"> revenue</w:t>
      </w:r>
      <w:r>
        <w:t xml:space="preserve"> will</w:t>
      </w:r>
      <w:r>
        <w:rPr>
          <w:spacing w:val="-1"/>
        </w:rPr>
        <w:t xml:space="preserve"> </w:t>
      </w:r>
      <w:r>
        <w:t>be used</w:t>
      </w:r>
      <w:r>
        <w:rPr>
          <w:spacing w:val="-1"/>
        </w:rPr>
        <w:t xml:space="preserve"> </w:t>
      </w:r>
      <w:r>
        <w:t>for those</w:t>
      </w:r>
      <w:r>
        <w:rPr>
          <w:spacing w:val="-1"/>
        </w:rPr>
        <w:t xml:space="preserve"> quarters</w:t>
      </w:r>
      <w:r>
        <w:t xml:space="preserve"> of</w:t>
      </w:r>
      <w:r>
        <w:rPr>
          <w:spacing w:val="3"/>
        </w:rPr>
        <w:t xml:space="preserve"> </w:t>
      </w:r>
      <w:r>
        <w:t>the financial</w:t>
      </w:r>
      <w:r>
        <w:rPr>
          <w:spacing w:val="-1"/>
        </w:rPr>
        <w:t xml:space="preserve"> year</w:t>
      </w:r>
      <w:r>
        <w:t xml:space="preserve"> 2017-18</w:t>
      </w:r>
      <w:r>
        <w:rPr>
          <w:spacing w:val="-1"/>
        </w:rPr>
        <w:t xml:space="preserve"> </w:t>
      </w:r>
      <w:r>
        <w:t>for which</w:t>
      </w:r>
      <w:r>
        <w:rPr>
          <w:spacing w:val="-1"/>
        </w:rPr>
        <w:t xml:space="preserve"> </w:t>
      </w:r>
      <w:r>
        <w:t>actual</w:t>
      </w:r>
      <w:r>
        <w:rPr>
          <w:spacing w:val="25"/>
        </w:rPr>
        <w:t xml:space="preserve"> </w:t>
      </w:r>
      <w:r>
        <w:rPr>
          <w:spacing w:val="-1"/>
        </w:rPr>
        <w:t>revenue</w:t>
      </w:r>
      <w:r>
        <w:t xml:space="preserve"> </w:t>
      </w:r>
      <w:r>
        <w:rPr>
          <w:spacing w:val="-1"/>
        </w:rPr>
        <w:t>data</w:t>
      </w:r>
      <w:r>
        <w:t xml:space="preserve"> is unavailable.</w:t>
      </w:r>
      <w:r>
        <w:rPr>
          <w:spacing w:val="-11"/>
        </w:rPr>
        <w:t xml:space="preserve"> </w:t>
      </w:r>
      <w:r>
        <w:rPr>
          <w:spacing w:val="-2"/>
        </w:rPr>
        <w:t>The</w:t>
      </w:r>
      <w:r>
        <w:t xml:space="preserve"> </w:t>
      </w:r>
      <w:r>
        <w:rPr>
          <w:spacing w:val="-2"/>
        </w:rPr>
        <w:t>rate</w:t>
      </w:r>
      <w:r>
        <w:t xml:space="preserve"> of</w:t>
      </w:r>
      <w:r>
        <w:rPr>
          <w:spacing w:val="4"/>
        </w:rPr>
        <w:t xml:space="preserve"> </w:t>
      </w:r>
      <w:r>
        <w:rPr>
          <w:spacing w:val="-1"/>
        </w:rPr>
        <w:t>return</w:t>
      </w:r>
      <w:r>
        <w:t xml:space="preserve"> to be used in the </w:t>
      </w:r>
      <w:r>
        <w:rPr>
          <w:spacing w:val="-1"/>
        </w:rPr>
        <w:t>calculation</w:t>
      </w:r>
      <w:r>
        <w:t xml:space="preserve"> of</w:t>
      </w:r>
      <w:r>
        <w:rPr>
          <w:spacing w:val="4"/>
        </w:rPr>
        <w:t xml:space="preserve"> </w:t>
      </w:r>
      <w:r>
        <w:t xml:space="preserve">the net </w:t>
      </w:r>
      <w:r>
        <w:rPr>
          <w:spacing w:val="-1"/>
        </w:rPr>
        <w:t>present</w:t>
      </w:r>
      <w:r>
        <w:rPr>
          <w:spacing w:val="47"/>
        </w:rPr>
        <w:t xml:space="preserve"> </w:t>
      </w:r>
      <w:r>
        <w:t>value</w:t>
      </w:r>
      <w:r>
        <w:rPr>
          <w:spacing w:val="-1"/>
        </w:rPr>
        <w:t xml:space="preserve"> </w:t>
      </w:r>
      <w:r>
        <w:t>is the</w:t>
      </w:r>
      <w:r>
        <w:rPr>
          <w:spacing w:val="-1"/>
        </w:rPr>
        <w:t xml:space="preserve"> </w:t>
      </w:r>
      <w:r>
        <w:t>post-tax nominal</w:t>
      </w:r>
      <w:r>
        <w:rPr>
          <w:spacing w:val="-3"/>
        </w:rPr>
        <w:t xml:space="preserve"> WACC</w:t>
      </w:r>
      <w:r>
        <w:rPr>
          <w:spacing w:val="-1"/>
        </w:rPr>
        <w:t xml:space="preserve"> </w:t>
      </w:r>
      <w:r>
        <w:t>set out in</w:t>
      </w:r>
      <w:r>
        <w:rPr>
          <w:spacing w:val="-1"/>
        </w:rPr>
        <w:t xml:space="preserve"> </w:t>
      </w:r>
      <w:r>
        <w:t>the final decision.</w:t>
      </w:r>
    </w:p>
    <w:p w:rsidR="00D96B91" w:rsidRDefault="00D96B91">
      <w:pPr>
        <w:pStyle w:val="BodyText"/>
        <w:spacing w:before="170" w:line="260" w:lineRule="exact"/>
        <w:ind w:right="1548"/>
      </w:pPr>
      <w:hyperlink w:anchor="_bookmark38" w:history="1">
        <w:r w:rsidR="00C2656B">
          <w:rPr>
            <w:spacing w:val="-1"/>
          </w:rPr>
          <w:t xml:space="preserve">Box </w:t>
        </w:r>
        <w:r w:rsidR="00C2656B">
          <w:t>6.2</w:t>
        </w:r>
      </w:hyperlink>
      <w:r w:rsidR="00C2656B">
        <w:rPr>
          <w:spacing w:val="-1"/>
        </w:rPr>
        <w:t xml:space="preserve"> provides </w:t>
      </w:r>
      <w:r w:rsidR="00C2656B">
        <w:t>some simplified</w:t>
      </w:r>
      <w:r w:rsidR="00C2656B">
        <w:rPr>
          <w:spacing w:val="-1"/>
        </w:rPr>
        <w:t xml:space="preserve"> examples </w:t>
      </w:r>
      <w:r w:rsidR="00C2656B">
        <w:t>of</w:t>
      </w:r>
      <w:r w:rsidR="00C2656B">
        <w:rPr>
          <w:spacing w:val="4"/>
        </w:rPr>
        <w:t xml:space="preserve"> </w:t>
      </w:r>
      <w:r w:rsidR="00C2656B">
        <w:t>how</w:t>
      </w:r>
      <w:r w:rsidR="00C2656B">
        <w:rPr>
          <w:spacing w:val="-1"/>
        </w:rPr>
        <w:t xml:space="preserve"> </w:t>
      </w:r>
      <w:r w:rsidR="00C2656B">
        <w:t>the</w:t>
      </w:r>
      <w:r w:rsidR="00C2656B">
        <w:rPr>
          <w:spacing w:val="-1"/>
        </w:rPr>
        <w:t xml:space="preserve"> </w:t>
      </w:r>
      <w:r w:rsidR="00C2656B">
        <w:t xml:space="preserve">demand </w:t>
      </w:r>
      <w:r w:rsidR="00C2656B">
        <w:rPr>
          <w:spacing w:val="-1"/>
        </w:rPr>
        <w:t xml:space="preserve">volatility </w:t>
      </w:r>
      <w:r w:rsidR="00C2656B">
        <w:t>adjustment</w:t>
      </w:r>
      <w:r w:rsidR="00C2656B">
        <w:rPr>
          <w:spacing w:val="-1"/>
        </w:rPr>
        <w:t xml:space="preserve"> </w:t>
      </w:r>
      <w:r w:rsidR="00C2656B">
        <w:t>mechanism will</w:t>
      </w:r>
      <w:r w:rsidR="00C2656B">
        <w:rPr>
          <w:spacing w:val="39"/>
        </w:rPr>
        <w:t xml:space="preserve"> </w:t>
      </w:r>
      <w:r w:rsidR="00C2656B">
        <w:rPr>
          <w:spacing w:val="-1"/>
        </w:rPr>
        <w:t>operate.</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67" w:name="6._5_Measures_to_deal_with_expenditure_r"/>
      <w:bookmarkStart w:id="68" w:name="_bookmark39"/>
      <w:bookmarkEnd w:id="67"/>
      <w:bookmarkEnd w:id="68"/>
      <w:r>
        <w:rPr>
          <w:rFonts w:ascii="Avenir Next"/>
          <w:b/>
          <w:spacing w:val="-1"/>
          <w:sz w:val="20"/>
        </w:rPr>
        <w:t>Box</w:t>
      </w:r>
      <w:r>
        <w:rPr>
          <w:rFonts w:ascii="Avenir Next"/>
          <w:b/>
          <w:sz w:val="20"/>
        </w:rPr>
        <w:t xml:space="preserve"> 6.2: Simplified </w:t>
      </w:r>
      <w:r>
        <w:rPr>
          <w:rFonts w:ascii="Avenir Next"/>
          <w:b/>
          <w:spacing w:val="-1"/>
          <w:sz w:val="20"/>
        </w:rPr>
        <w:t>examples</w:t>
      </w:r>
      <w:r>
        <w:rPr>
          <w:rFonts w:ascii="Avenir Next"/>
          <w:b/>
          <w:sz w:val="20"/>
        </w:rPr>
        <w:t xml:space="preserve"> of</w:t>
      </w:r>
      <w:r>
        <w:rPr>
          <w:rFonts w:ascii="Avenir Next"/>
          <w:b/>
          <w:spacing w:val="4"/>
          <w:sz w:val="20"/>
        </w:rPr>
        <w:t xml:space="preserve"> </w:t>
      </w:r>
      <w:r>
        <w:rPr>
          <w:rFonts w:ascii="Avenir Next"/>
          <w:b/>
          <w:sz w:val="20"/>
        </w:rPr>
        <w:t xml:space="preserve">the </w:t>
      </w:r>
      <w:r>
        <w:rPr>
          <w:rFonts w:ascii="Avenir Next"/>
          <w:b/>
          <w:spacing w:val="-1"/>
          <w:sz w:val="20"/>
        </w:rPr>
        <w:t>operation</w:t>
      </w:r>
      <w:r>
        <w:rPr>
          <w:rFonts w:ascii="Avenir Next"/>
          <w:b/>
          <w:sz w:val="20"/>
        </w:rPr>
        <w:t xml:space="preserve"> of</w:t>
      </w:r>
      <w:r>
        <w:rPr>
          <w:rFonts w:ascii="Avenir Next"/>
          <w:b/>
          <w:spacing w:val="4"/>
          <w:sz w:val="20"/>
        </w:rPr>
        <w:t xml:space="preserve"> </w:t>
      </w:r>
      <w:r>
        <w:rPr>
          <w:rFonts w:ascii="Avenir Next"/>
          <w:b/>
          <w:sz w:val="20"/>
        </w:rPr>
        <w:t xml:space="preserve">the demand </w:t>
      </w:r>
      <w:r>
        <w:rPr>
          <w:rFonts w:ascii="Avenir Next"/>
          <w:b/>
          <w:spacing w:val="-1"/>
          <w:sz w:val="20"/>
        </w:rPr>
        <w:t>volatility</w:t>
      </w:r>
      <w:r>
        <w:rPr>
          <w:rFonts w:ascii="Avenir Next"/>
          <w:b/>
          <w:sz w:val="20"/>
        </w:rPr>
        <w:t xml:space="preserve"> adjustment</w:t>
      </w:r>
    </w:p>
    <w:p w:rsidR="00D96B91" w:rsidRDefault="00D96B91">
      <w:pPr>
        <w:spacing w:before="3"/>
        <w:rPr>
          <w:rFonts w:ascii="Avenir Next" w:eastAsia="Avenir Next" w:hAnsi="Avenir Next" w:cs="Avenir Next"/>
          <w:b/>
          <w:bCs/>
          <w:sz w:val="3"/>
          <w:szCs w:val="3"/>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6F72BE">
        <w:rPr>
          <w:rFonts w:ascii="Avenir Next" w:eastAsia="Avenir Next" w:hAnsi="Avenir Next" w:cs="Avenir Next"/>
          <w:sz w:val="20"/>
          <w:szCs w:val="20"/>
        </w:rPr>
        <w:pict>
          <v:shape id="_x0000_s3241" type="#_x0000_t202" style="width:470.55pt;height:324.6pt;mso-left-percent:-10001;mso-top-percent:-10001;mso-position-horizontal:absolute;mso-position-horizontal-relative:char;mso-position-vertical:absolute;mso-position-vertical-relative:line;mso-left-percent:-10001;mso-top-percent:-10001" fillcolor="#dff3fd" stroked="f">
            <v:textbox style="mso-next-textbox:#_x0000_s3241" inset="0,0,0,0">
              <w:txbxContent>
                <w:p w:rsidR="008A79D5" w:rsidRDefault="008A79D5">
                  <w:pPr>
                    <w:spacing w:before="178" w:line="240" w:lineRule="exact"/>
                    <w:ind w:left="170" w:right="349"/>
                    <w:jc w:val="both"/>
                    <w:rPr>
                      <w:rFonts w:ascii="Avenir Next Condensed" w:eastAsia="Avenir Next Condensed" w:hAnsi="Avenir Next Condensed" w:cs="Avenir Next Condensed"/>
                      <w:sz w:val="20"/>
                      <w:szCs w:val="20"/>
                    </w:rPr>
                  </w:pPr>
                  <w:r>
                    <w:rPr>
                      <w:rFonts w:ascii="Avenir Next Condensed"/>
                      <w:spacing w:val="-2"/>
                      <w:sz w:val="20"/>
                    </w:rPr>
                    <w:t>Assuming</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post-tax</w:t>
                  </w:r>
                  <w:r>
                    <w:rPr>
                      <w:rFonts w:ascii="Avenir Next Condensed"/>
                      <w:spacing w:val="-4"/>
                      <w:sz w:val="20"/>
                    </w:rPr>
                    <w:t xml:space="preserve"> </w:t>
                  </w:r>
                  <w:r>
                    <w:rPr>
                      <w:rFonts w:ascii="Avenir Next Condensed"/>
                      <w:spacing w:val="-2"/>
                      <w:sz w:val="20"/>
                    </w:rPr>
                    <w:t>nominal</w:t>
                  </w:r>
                  <w:r>
                    <w:rPr>
                      <w:rFonts w:ascii="Avenir Next Condensed"/>
                      <w:spacing w:val="-7"/>
                      <w:sz w:val="20"/>
                    </w:rPr>
                    <w:t xml:space="preserve"> </w:t>
                  </w:r>
                  <w:r>
                    <w:rPr>
                      <w:rFonts w:ascii="Avenir Next Condensed"/>
                      <w:spacing w:val="-4"/>
                      <w:sz w:val="20"/>
                    </w:rPr>
                    <w:t xml:space="preserve">WACC </w:t>
                  </w:r>
                  <w:r>
                    <w:rPr>
                      <w:rFonts w:ascii="Avenir Next Condensed"/>
                      <w:spacing w:val="-1"/>
                      <w:sz w:val="20"/>
                    </w:rPr>
                    <w:t>of</w:t>
                  </w:r>
                  <w:r>
                    <w:rPr>
                      <w:rFonts w:ascii="Avenir Next Condensed"/>
                      <w:sz w:val="20"/>
                    </w:rPr>
                    <w:t xml:space="preserve"> </w:t>
                  </w:r>
                  <w:r>
                    <w:rPr>
                      <w:rFonts w:ascii="Avenir Next Condensed"/>
                      <w:spacing w:val="-2"/>
                      <w:sz w:val="20"/>
                    </w:rPr>
                    <w:t>7.2%,</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approved</w:t>
                  </w:r>
                  <w:r>
                    <w:rPr>
                      <w:rFonts w:ascii="Avenir Next Condensed"/>
                      <w:spacing w:val="-4"/>
                      <w:sz w:val="20"/>
                    </w:rPr>
                    <w:t xml:space="preserve"> </w:t>
                  </w:r>
                  <w:r>
                    <w:rPr>
                      <w:rFonts w:ascii="Avenir Next Condensed"/>
                      <w:spacing w:val="-2"/>
                      <w:sz w:val="20"/>
                    </w:rPr>
                    <w:t>allowance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volumetric</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(ie,</w:t>
                  </w:r>
                  <w:r>
                    <w:rPr>
                      <w:rFonts w:ascii="Avenir Next Condensed"/>
                      <w:spacing w:val="-10"/>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charges)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$705</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2"/>
                      <w:sz w:val="20"/>
                    </w:rPr>
                    <w:t>(NPV</w:t>
                  </w:r>
                  <w:r>
                    <w:rPr>
                      <w:rFonts w:ascii="Avenir Next Condensed"/>
                      <w:spacing w:val="-8"/>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r>
                    <w:rPr>
                      <w:rFonts w:ascii="Avenir Next Condensed"/>
                      <w:spacing w:val="-15"/>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7%,</w:t>
                  </w:r>
                  <w:r>
                    <w:rPr>
                      <w:rFonts w:ascii="Avenir Next Condensed"/>
                      <w:spacing w:val="-10"/>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means</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2"/>
                      <w:sz w:val="20"/>
                    </w:rPr>
                    <w:t>range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8"/>
                      <w:sz w:val="20"/>
                    </w:rPr>
                    <w:t xml:space="preserve"> </w:t>
                  </w:r>
                  <w:r>
                    <w:rPr>
                      <w:rFonts w:ascii="Avenir Next Condensed"/>
                      <w:spacing w:val="-2"/>
                      <w:sz w:val="20"/>
                    </w:rPr>
                    <w:t>hybrid</w:t>
                  </w:r>
                  <w:r>
                    <w:rPr>
                      <w:rFonts w:ascii="Avenir Next Condensed"/>
                      <w:spacing w:val="-4"/>
                      <w:sz w:val="20"/>
                    </w:rPr>
                    <w:t xml:space="preserve"> </w:t>
                  </w:r>
                  <w:r>
                    <w:rPr>
                      <w:rFonts w:ascii="Avenir Next Condensed"/>
                      <w:spacing w:val="-2"/>
                      <w:sz w:val="20"/>
                    </w:rPr>
                    <w:t>price/revenue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$654-$756</w:t>
                  </w:r>
                  <w:r>
                    <w:rPr>
                      <w:rFonts w:ascii="Avenir Next Condensed"/>
                      <w:spacing w:val="-4"/>
                      <w:sz w:val="20"/>
                    </w:rPr>
                    <w:t xml:space="preserve"> </w:t>
                  </w:r>
                  <w:r>
                    <w:rPr>
                      <w:rFonts w:ascii="Avenir Next Condensed"/>
                      <w:spacing w:val="-2"/>
                      <w:sz w:val="20"/>
                    </w:rPr>
                    <w:t>million.</w:t>
                  </w:r>
                </w:p>
                <w:p w:rsidR="008A79D5" w:rsidRDefault="008A79D5">
                  <w:pPr>
                    <w:spacing w:before="105"/>
                    <w:ind w:left="170"/>
                    <w:jc w:val="both"/>
                    <w:rPr>
                      <w:rFonts w:ascii="Avenir Next Condensed" w:eastAsia="Avenir Next Condensed" w:hAnsi="Avenir Next Condensed" w:cs="Avenir Next Condensed"/>
                      <w:sz w:val="20"/>
                      <w:szCs w:val="20"/>
                    </w:rPr>
                  </w:pPr>
                  <w:r>
                    <w:rPr>
                      <w:rFonts w:ascii="Avenir Next Condensed"/>
                      <w:b/>
                      <w:spacing w:val="-2"/>
                      <w:sz w:val="20"/>
                    </w:rPr>
                    <w:t>Example</w:t>
                  </w:r>
                  <w:r>
                    <w:rPr>
                      <w:rFonts w:ascii="Avenir Next Condensed"/>
                      <w:b/>
                      <w:spacing w:val="-4"/>
                      <w:sz w:val="20"/>
                    </w:rPr>
                    <w:t xml:space="preserve"> </w:t>
                  </w:r>
                  <w:r>
                    <w:rPr>
                      <w:rFonts w:ascii="Avenir Next Condensed"/>
                      <w:b/>
                      <w:sz w:val="20"/>
                    </w:rPr>
                    <w:t>1</w:t>
                  </w:r>
                </w:p>
                <w:p w:rsidR="008A79D5" w:rsidRDefault="008A79D5">
                  <w:pPr>
                    <w:spacing w:before="88" w:line="240" w:lineRule="exact"/>
                    <w:ind w:left="170" w:right="201"/>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example,</w:t>
                  </w:r>
                  <w:r>
                    <w:rPr>
                      <w:rFonts w:ascii="Avenir Next Condensed"/>
                      <w:spacing w:val="-10"/>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assumed</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earned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$776</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10%</w:t>
                  </w:r>
                  <w:r>
                    <w:rPr>
                      <w:rFonts w:ascii="Avenir Next Condensed"/>
                      <w:spacing w:val="-4"/>
                      <w:sz w:val="20"/>
                    </w:rPr>
                    <w:t xml:space="preserve"> </w:t>
                  </w:r>
                  <w:r>
                    <w:rPr>
                      <w:rFonts w:ascii="Avenir Next Condensed"/>
                      <w:spacing w:val="-2"/>
                      <w:sz w:val="20"/>
                    </w:rPr>
                    <w:t>higher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52"/>
                      <w:sz w:val="20"/>
                    </w:rPr>
                    <w:t xml:space="preserve"> </w:t>
                  </w:r>
                  <w:r>
                    <w:rPr>
                      <w:rFonts w:ascii="Avenir Next Condensed"/>
                      <w:spacing w:val="-2"/>
                      <w:sz w:val="20"/>
                    </w:rPr>
                    <w:t>allowed</w:t>
                  </w:r>
                  <w:r>
                    <w:rPr>
                      <w:rFonts w:ascii="Avenir Next Condensed"/>
                      <w:spacing w:val="-4"/>
                      <w:sz w:val="20"/>
                    </w:rPr>
                    <w:t xml:space="preserve"> </w:t>
                  </w:r>
                  <w:r>
                    <w:rPr>
                      <w:rFonts w:ascii="Avenir Next Condensed"/>
                      <w:spacing w:val="-2"/>
                      <w:sz w:val="20"/>
                    </w:rPr>
                    <w:t>$705m.</w:t>
                  </w:r>
                  <w:r>
                    <w:rPr>
                      <w:rFonts w:ascii="Avenir Next Condensed"/>
                      <w:spacing w:val="-10"/>
                      <w:sz w:val="20"/>
                    </w:rPr>
                    <w:t xml:space="preserve"> </w:t>
                  </w:r>
                  <w:r>
                    <w:rPr>
                      <w:rFonts w:ascii="Avenir Next Condensed"/>
                      <w:spacing w:val="-2"/>
                      <w:sz w:val="20"/>
                    </w:rPr>
                    <w:t>Because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3"/>
                      <w:sz w:val="20"/>
                    </w:rPr>
                    <w:t>greater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2"/>
                      <w:sz w:val="20"/>
                    </w:rPr>
                    <w:t>upper</w:t>
                  </w:r>
                  <w:r>
                    <w:rPr>
                      <w:rFonts w:ascii="Avenir Next Condensed"/>
                      <w:spacing w:val="-4"/>
                      <w:sz w:val="20"/>
                    </w:rPr>
                    <w:t xml:space="preserve"> </w:t>
                  </w:r>
                  <w:r>
                    <w:rPr>
                      <w:rFonts w:ascii="Avenir Next Condensed"/>
                      <w:spacing w:val="-2"/>
                      <w:sz w:val="20"/>
                    </w:rPr>
                    <w:t>bound</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$756</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2"/>
                      <w:sz w:val="20"/>
                    </w:rPr>
                    <w:t>(by</w:t>
                  </w:r>
                  <w:r>
                    <w:rPr>
                      <w:rFonts w:ascii="Avenir Next Condensed"/>
                      <w:spacing w:val="-4"/>
                      <w:sz w:val="20"/>
                    </w:rPr>
                    <w:t xml:space="preserve"> </w:t>
                  </w:r>
                  <w:r>
                    <w:rPr>
                      <w:rFonts w:ascii="Avenir Next Condensed"/>
                      <w:spacing w:val="-2"/>
                      <w:sz w:val="20"/>
                    </w:rPr>
                    <w:t>$21</w:t>
                  </w:r>
                  <w:r>
                    <w:rPr>
                      <w:rFonts w:ascii="Avenir Next Condensed"/>
                      <w:spacing w:val="-4"/>
                      <w:sz w:val="20"/>
                    </w:rPr>
                    <w:t xml:space="preserve"> </w:t>
                  </w:r>
                  <w:r>
                    <w:rPr>
                      <w:rFonts w:ascii="Avenir Next Condensed"/>
                      <w:spacing w:val="-2"/>
                      <w:sz w:val="20"/>
                    </w:rPr>
                    <w:t>million),</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revenue</w:t>
                  </w:r>
                  <w:r>
                    <w:rPr>
                      <w:rFonts w:ascii="Avenir Next Condensed"/>
                      <w:spacing w:val="80"/>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activated.</w:t>
                  </w:r>
                  <w:r>
                    <w:rPr>
                      <w:rFonts w:ascii="Avenir Next Condensed"/>
                      <w:spacing w:val="-14"/>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3"/>
                      <w:sz w:val="20"/>
                    </w:rPr>
                    <w:t>therefore</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b/>
                      <w:spacing w:val="-2"/>
                      <w:sz w:val="20"/>
                    </w:rPr>
                    <w:t>return</w:t>
                  </w:r>
                  <w:r>
                    <w:rPr>
                      <w:rFonts w:ascii="Avenir Next Condensed"/>
                      <w:b/>
                      <w:spacing w:val="-6"/>
                      <w:sz w:val="20"/>
                    </w:rPr>
                    <w:t xml:space="preserve"> </w:t>
                  </w:r>
                  <w:r>
                    <w:rPr>
                      <w:rFonts w:ascii="Avenir Next Condensed"/>
                      <w:spacing w:val="-2"/>
                      <w:sz w:val="20"/>
                    </w:rPr>
                    <w:t>$21</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2"/>
                      <w:sz w:val="20"/>
                    </w:rPr>
                    <w:t>(plus</w:t>
                  </w:r>
                  <w:r>
                    <w:rPr>
                      <w:rFonts w:ascii="Avenir Next Condensed"/>
                      <w:spacing w:val="-4"/>
                      <w:sz w:val="20"/>
                    </w:rPr>
                    <w:t xml:space="preserve"> </w:t>
                  </w:r>
                  <w:r>
                    <w:rPr>
                      <w:rFonts w:ascii="Avenir Next Condensed"/>
                      <w:spacing w:val="-2"/>
                      <w:sz w:val="20"/>
                    </w:rPr>
                    <w:t>interest</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z w:val="20"/>
                    </w:rPr>
                    <w:t>1</w:t>
                  </w:r>
                  <w:r>
                    <w:rPr>
                      <w:rFonts w:ascii="Avenir Next Condensed"/>
                      <w:spacing w:val="-7"/>
                      <w:sz w:val="20"/>
                    </w:rPr>
                    <w:t xml:space="preserve"> </w:t>
                  </w:r>
                  <w:r>
                    <w:rPr>
                      <w:rFonts w:ascii="Avenir Next Condensed"/>
                      <w:spacing w:val="-2"/>
                      <w:sz w:val="20"/>
                    </w:rPr>
                    <w:t>July</w:t>
                  </w:r>
                  <w:r>
                    <w:rPr>
                      <w:rFonts w:ascii="Avenir Next Condensed"/>
                      <w:spacing w:val="-4"/>
                      <w:sz w:val="20"/>
                    </w:rPr>
                    <w:t xml:space="preserve"> </w:t>
                  </w:r>
                  <w:r>
                    <w:rPr>
                      <w:rFonts w:ascii="Avenir Next Condensed"/>
                      <w:spacing w:val="-2"/>
                      <w:sz w:val="20"/>
                    </w:rPr>
                    <w:t>2013</w:t>
                  </w:r>
                  <w:r>
                    <w:rPr>
                      <w:rFonts w:ascii="Avenir Next Condensed"/>
                      <w:spacing w:val="-4"/>
                      <w:sz w:val="20"/>
                    </w:rPr>
                    <w:t xml:space="preserve"> </w:t>
                  </w:r>
                  <w:r>
                    <w:rPr>
                      <w:rFonts w:ascii="Avenir Next Condensed"/>
                      <w:spacing w:val="-1"/>
                      <w:sz w:val="20"/>
                    </w:rPr>
                    <w:t>at</w:t>
                  </w:r>
                  <w:r>
                    <w:rPr>
                      <w:rFonts w:ascii="Avenir Next Condensed"/>
                      <w:spacing w:val="-4"/>
                      <w:sz w:val="20"/>
                    </w:rPr>
                    <w:t xml:space="preserve"> </w:t>
                  </w:r>
                  <w:r>
                    <w:rPr>
                      <w:rFonts w:ascii="Avenir Next Condensed"/>
                      <w:spacing w:val="-2"/>
                      <w:sz w:val="20"/>
                    </w:rPr>
                    <w:t>7.2%)</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collection</w:t>
                  </w:r>
                  <w:r>
                    <w:rPr>
                      <w:rFonts w:ascii="Avenir Next Condensed"/>
                      <w:spacing w:val="-4"/>
                      <w:sz w:val="20"/>
                    </w:rPr>
                    <w:t xml:space="preserve"> </w:t>
                  </w:r>
                  <w:r>
                    <w:rPr>
                      <w:rFonts w:ascii="Avenir Next Condensed"/>
                      <w:spacing w:val="-2"/>
                      <w:sz w:val="20"/>
                    </w:rPr>
                    <w:t>to</w:t>
                  </w:r>
                  <w:r>
                    <w:rPr>
                      <w:rFonts w:ascii="Avenir Next Condensed"/>
                      <w:spacing w:val="72"/>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consumers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next</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p>
                <w:p w:rsidR="008A79D5" w:rsidRDefault="008A79D5">
                  <w:pPr>
                    <w:spacing w:before="105"/>
                    <w:ind w:left="170"/>
                    <w:jc w:val="both"/>
                    <w:rPr>
                      <w:rFonts w:ascii="Avenir Next Condensed" w:eastAsia="Avenir Next Condensed" w:hAnsi="Avenir Next Condensed" w:cs="Avenir Next Condensed"/>
                      <w:sz w:val="20"/>
                      <w:szCs w:val="20"/>
                    </w:rPr>
                  </w:pPr>
                  <w:r>
                    <w:rPr>
                      <w:rFonts w:ascii="Avenir Next Condensed"/>
                      <w:b/>
                      <w:spacing w:val="-2"/>
                      <w:sz w:val="20"/>
                    </w:rPr>
                    <w:t>Example</w:t>
                  </w:r>
                  <w:r>
                    <w:rPr>
                      <w:rFonts w:ascii="Avenir Next Condensed"/>
                      <w:b/>
                      <w:spacing w:val="-4"/>
                      <w:sz w:val="20"/>
                    </w:rPr>
                    <w:t xml:space="preserve"> </w:t>
                  </w:r>
                  <w:r>
                    <w:rPr>
                      <w:rFonts w:ascii="Avenir Next Condensed"/>
                      <w:b/>
                      <w:sz w:val="20"/>
                    </w:rPr>
                    <w:t>2</w:t>
                  </w:r>
                </w:p>
                <w:p w:rsidR="008A79D5" w:rsidRDefault="008A79D5" w:rsidP="006F72BE">
                  <w:pPr>
                    <w:spacing w:before="80" w:line="257" w:lineRule="exact"/>
                    <w:ind w:left="170"/>
                    <w:jc w:val="both"/>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example,</w:t>
                  </w:r>
                  <w:r>
                    <w:rPr>
                      <w:rFonts w:ascii="Avenir Next Condensed"/>
                      <w:spacing w:val="-10"/>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assumed</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earned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$740</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1"/>
                      <w:sz w:val="20"/>
                    </w:rPr>
                    <w:t>5%</w:t>
                  </w:r>
                  <w:r>
                    <w:rPr>
                      <w:rFonts w:ascii="Avenir Next Condensed"/>
                      <w:spacing w:val="-4"/>
                      <w:sz w:val="20"/>
                    </w:rPr>
                    <w:t xml:space="preserve"> </w:t>
                  </w:r>
                  <w:r>
                    <w:rPr>
                      <w:rFonts w:ascii="Avenir Next Condensed"/>
                      <w:spacing w:val="-2"/>
                      <w:sz w:val="20"/>
                    </w:rPr>
                    <w:t>higher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allowed $705</w:t>
                  </w:r>
                  <w:r>
                    <w:rPr>
                      <w:rFonts w:ascii="Avenir Next Condensed"/>
                      <w:spacing w:val="-4"/>
                      <w:sz w:val="20"/>
                    </w:rPr>
                    <w:t xml:space="preserve"> </w:t>
                  </w:r>
                  <w:r>
                    <w:rPr>
                      <w:rFonts w:ascii="Avenir Next Condensed"/>
                      <w:spacing w:val="-2"/>
                      <w:sz w:val="20"/>
                    </w:rPr>
                    <w:t>million.</w:t>
                  </w:r>
                  <w:r>
                    <w:rPr>
                      <w:rFonts w:ascii="Avenir Next Condensed"/>
                      <w:spacing w:val="-10"/>
                      <w:sz w:val="20"/>
                    </w:rPr>
                    <w:t xml:space="preserve"> </w:t>
                  </w:r>
                  <w:r>
                    <w:rPr>
                      <w:rFonts w:ascii="Avenir Next Condensed"/>
                      <w:spacing w:val="-2"/>
                      <w:sz w:val="20"/>
                    </w:rPr>
                    <w:t>Because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within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not</w:t>
                  </w:r>
                  <w:r>
                    <w:rPr>
                      <w:rFonts w:ascii="Avenir Next Condensed"/>
                      <w:spacing w:val="-4"/>
                      <w:sz w:val="20"/>
                    </w:rPr>
                    <w:t xml:space="preserve"> </w:t>
                  </w:r>
                  <w:r>
                    <w:rPr>
                      <w:rFonts w:ascii="Avenir Next Condensed"/>
                      <w:spacing w:val="-2"/>
                      <w:sz w:val="20"/>
                    </w:rPr>
                    <w:t>activated.</w:t>
                  </w:r>
                  <w:r>
                    <w:rPr>
                      <w:rFonts w:ascii="Avenir Next Condensed"/>
                      <w:spacing w:val="-14"/>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3"/>
                      <w:sz w:val="20"/>
                    </w:rPr>
                    <w:t>therefore</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able</w:t>
                  </w:r>
                  <w:r>
                    <w:rPr>
                      <w:rFonts w:ascii="Avenir Next Condensed"/>
                      <w:spacing w:val="-4"/>
                      <w:sz w:val="20"/>
                    </w:rPr>
                    <w:t xml:space="preserve"> </w:t>
                  </w:r>
                  <w:r>
                    <w:rPr>
                      <w:rFonts w:ascii="Avenir Next Condensed"/>
                      <w:spacing w:val="-2"/>
                      <w:sz w:val="20"/>
                    </w:rPr>
                    <w:t xml:space="preserve">to </w:t>
                  </w:r>
                  <w:r>
                    <w:rPr>
                      <w:rFonts w:ascii="Avenir Next Condensed"/>
                      <w:b/>
                      <w:spacing w:val="-2"/>
                      <w:sz w:val="20"/>
                    </w:rPr>
                    <w:t>retain</w:t>
                  </w:r>
                  <w:r>
                    <w:rPr>
                      <w:rFonts w:ascii="Avenir Next Condensed"/>
                      <w:b/>
                      <w:spacing w:val="-6"/>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additional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case.</w:t>
                  </w:r>
                </w:p>
                <w:p w:rsidR="008A79D5" w:rsidRDefault="008A79D5">
                  <w:pPr>
                    <w:spacing w:before="80"/>
                    <w:ind w:left="170"/>
                    <w:jc w:val="both"/>
                    <w:rPr>
                      <w:rFonts w:ascii="Avenir Next Condensed" w:eastAsia="Avenir Next Condensed" w:hAnsi="Avenir Next Condensed" w:cs="Avenir Next Condensed"/>
                      <w:sz w:val="20"/>
                      <w:szCs w:val="20"/>
                    </w:rPr>
                  </w:pPr>
                  <w:r>
                    <w:rPr>
                      <w:rFonts w:ascii="Avenir Next Condensed"/>
                      <w:b/>
                      <w:spacing w:val="-2"/>
                      <w:sz w:val="20"/>
                    </w:rPr>
                    <w:t>Example</w:t>
                  </w:r>
                  <w:r>
                    <w:rPr>
                      <w:rFonts w:ascii="Avenir Next Condensed"/>
                      <w:b/>
                      <w:spacing w:val="-4"/>
                      <w:sz w:val="20"/>
                    </w:rPr>
                    <w:t xml:space="preserve"> </w:t>
                  </w:r>
                  <w:r>
                    <w:rPr>
                      <w:rFonts w:ascii="Avenir Next Condensed"/>
                      <w:b/>
                      <w:sz w:val="20"/>
                    </w:rPr>
                    <w:t>3</w:t>
                  </w:r>
                </w:p>
                <w:p w:rsidR="008A79D5" w:rsidRDefault="008A79D5" w:rsidP="006F72BE">
                  <w:pPr>
                    <w:spacing w:before="80" w:line="257" w:lineRule="exact"/>
                    <w:ind w:left="170"/>
                    <w:jc w:val="both"/>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example,</w:t>
                  </w:r>
                  <w:r>
                    <w:rPr>
                      <w:rFonts w:ascii="Avenir Next Condensed"/>
                      <w:spacing w:val="-10"/>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assumed</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earned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$634</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2"/>
                      <w:sz w:val="20"/>
                    </w:rPr>
                    <w:t>10%</w:t>
                  </w:r>
                  <w:r>
                    <w:rPr>
                      <w:rFonts w:ascii="Avenir Next Condensed"/>
                      <w:spacing w:val="-4"/>
                      <w:sz w:val="20"/>
                    </w:rPr>
                    <w:t xml:space="preserve"> </w:t>
                  </w:r>
                  <w:r>
                    <w:rPr>
                      <w:rFonts w:ascii="Avenir Next Condensed"/>
                      <w:spacing w:val="-2"/>
                      <w:sz w:val="20"/>
                    </w:rPr>
                    <w:t>lower</w:t>
                  </w:r>
                  <w:r>
                    <w:rPr>
                      <w:rFonts w:ascii="Avenir Next Condensed"/>
                      <w:spacing w:val="-4"/>
                      <w:sz w:val="20"/>
                    </w:rPr>
                    <w:t xml:space="preserve"> </w:t>
                  </w:r>
                  <w:r>
                    <w:rPr>
                      <w:rFonts w:ascii="Avenir Next Condensed"/>
                      <w:spacing w:val="-2"/>
                      <w:sz w:val="20"/>
                    </w:rPr>
                    <w:t>than</w:t>
                  </w:r>
                  <w:r>
                    <w:rPr>
                      <w:rFonts w:ascii="Avenir Next Condensed"/>
                      <w:spacing w:val="-5"/>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allowed $705</w:t>
                  </w:r>
                  <w:r>
                    <w:rPr>
                      <w:rFonts w:ascii="Avenir Next Condensed"/>
                      <w:spacing w:val="-4"/>
                      <w:sz w:val="20"/>
                    </w:rPr>
                    <w:t xml:space="preserve"> </w:t>
                  </w:r>
                  <w:r>
                    <w:rPr>
                      <w:rFonts w:ascii="Avenir Next Condensed"/>
                      <w:spacing w:val="-2"/>
                      <w:sz w:val="20"/>
                    </w:rPr>
                    <w:t>million.</w:t>
                  </w:r>
                  <w:r>
                    <w:rPr>
                      <w:rFonts w:ascii="Avenir Next Condensed"/>
                      <w:spacing w:val="-10"/>
                      <w:sz w:val="20"/>
                    </w:rPr>
                    <w:t xml:space="preserve"> </w:t>
                  </w:r>
                  <w:r>
                    <w:rPr>
                      <w:rFonts w:ascii="Avenir Next Condensed"/>
                      <w:spacing w:val="-2"/>
                      <w:sz w:val="20"/>
                    </w:rPr>
                    <w:t>Because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less</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4"/>
                      <w:sz w:val="20"/>
                    </w:rPr>
                    <w:t xml:space="preserve"> </w:t>
                  </w:r>
                  <w:r>
                    <w:rPr>
                      <w:rFonts w:ascii="Avenir Next Condensed"/>
                      <w:spacing w:val="-2"/>
                      <w:sz w:val="20"/>
                    </w:rPr>
                    <w:t>lower</w:t>
                  </w:r>
                  <w:r>
                    <w:rPr>
                      <w:rFonts w:ascii="Avenir Next Condensed"/>
                      <w:spacing w:val="-4"/>
                      <w:sz w:val="20"/>
                    </w:rPr>
                    <w:t xml:space="preserve"> </w:t>
                  </w:r>
                  <w:r>
                    <w:rPr>
                      <w:rFonts w:ascii="Avenir Next Condensed"/>
                      <w:spacing w:val="-2"/>
                      <w:sz w:val="20"/>
                    </w:rPr>
                    <w:t>bound</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$654</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2"/>
                      <w:sz w:val="20"/>
                    </w:rPr>
                    <w:t>(by</w:t>
                  </w:r>
                  <w:r>
                    <w:rPr>
                      <w:rFonts w:ascii="Avenir Next Condensed"/>
                      <w:spacing w:val="-4"/>
                      <w:sz w:val="20"/>
                    </w:rPr>
                    <w:t xml:space="preserve"> </w:t>
                  </w:r>
                  <w:r>
                    <w:rPr>
                      <w:rFonts w:ascii="Avenir Next Condensed"/>
                      <w:spacing w:val="-2"/>
                      <w:sz w:val="20"/>
                    </w:rPr>
                    <w:t>$21</w:t>
                  </w:r>
                  <w:r>
                    <w:rPr>
                      <w:rFonts w:ascii="Avenir Next Condensed"/>
                      <w:spacing w:val="-4"/>
                      <w:sz w:val="20"/>
                    </w:rPr>
                    <w:t xml:space="preserve"> </w:t>
                  </w:r>
                  <w:r>
                    <w:rPr>
                      <w:rFonts w:ascii="Avenir Next Condensed"/>
                      <w:spacing w:val="-2"/>
                      <w:sz w:val="20"/>
                    </w:rPr>
                    <w:t>million),</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2"/>
                      <w:sz w:val="20"/>
                    </w:rPr>
                    <w:t>is</w:t>
                  </w:r>
                  <w:r>
                    <w:rPr>
                      <w:rFonts w:ascii="Avenir Next Condensed"/>
                      <w:spacing w:val="64"/>
                      <w:sz w:val="20"/>
                    </w:rPr>
                    <w:t xml:space="preserve"> </w:t>
                  </w:r>
                  <w:r>
                    <w:rPr>
                      <w:rFonts w:ascii="Avenir Next Condensed"/>
                      <w:spacing w:val="-2"/>
                      <w:sz w:val="20"/>
                    </w:rPr>
                    <w:t>activated.</w:t>
                  </w:r>
                  <w:r>
                    <w:rPr>
                      <w:rFonts w:ascii="Avenir Next Condensed"/>
                      <w:spacing w:val="-14"/>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3"/>
                      <w:sz w:val="20"/>
                    </w:rPr>
                    <w:t>therefore</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able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b/>
                      <w:spacing w:val="-2"/>
                      <w:sz w:val="20"/>
                    </w:rPr>
                    <w:t>recover</w:t>
                  </w:r>
                  <w:r>
                    <w:rPr>
                      <w:rFonts w:ascii="Avenir Next Condensed"/>
                      <w:b/>
                      <w:spacing w:val="-4"/>
                      <w:sz w:val="20"/>
                    </w:rPr>
                    <w:t xml:space="preserve"> </w:t>
                  </w:r>
                  <w:r>
                    <w:rPr>
                      <w:rFonts w:ascii="Avenir Next Condensed"/>
                      <w:spacing w:val="-2"/>
                      <w:sz w:val="20"/>
                    </w:rPr>
                    <w:t>$21</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2"/>
                      <w:sz w:val="20"/>
                    </w:rPr>
                    <w:t>(plus</w:t>
                  </w:r>
                  <w:r>
                    <w:rPr>
                      <w:rFonts w:ascii="Avenir Next Condensed"/>
                      <w:spacing w:val="-4"/>
                      <w:sz w:val="20"/>
                    </w:rPr>
                    <w:t xml:space="preserve"> </w:t>
                  </w:r>
                  <w:r>
                    <w:rPr>
                      <w:rFonts w:ascii="Avenir Next Condensed"/>
                      <w:spacing w:val="-2"/>
                      <w:sz w:val="20"/>
                    </w:rPr>
                    <w:t>interest</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z w:val="20"/>
                    </w:rPr>
                    <w:t>1</w:t>
                  </w:r>
                  <w:r>
                    <w:rPr>
                      <w:rFonts w:ascii="Avenir Next Condensed"/>
                      <w:spacing w:val="-7"/>
                      <w:sz w:val="20"/>
                    </w:rPr>
                    <w:t xml:space="preserve"> </w:t>
                  </w:r>
                  <w:r>
                    <w:rPr>
                      <w:rFonts w:ascii="Avenir Next Condensed"/>
                      <w:spacing w:val="-2"/>
                      <w:sz w:val="20"/>
                    </w:rPr>
                    <w:t>July</w:t>
                  </w:r>
                  <w:r>
                    <w:rPr>
                      <w:rFonts w:ascii="Avenir Next Condensed"/>
                      <w:spacing w:val="-4"/>
                      <w:sz w:val="20"/>
                    </w:rPr>
                    <w:t xml:space="preserve"> </w:t>
                  </w:r>
                  <w:r>
                    <w:rPr>
                      <w:rFonts w:ascii="Avenir Next Condensed"/>
                      <w:spacing w:val="-2"/>
                      <w:sz w:val="20"/>
                    </w:rPr>
                    <w:t>2013</w:t>
                  </w:r>
                  <w:r>
                    <w:rPr>
                      <w:rFonts w:ascii="Avenir Next Condensed"/>
                      <w:spacing w:val="-4"/>
                      <w:sz w:val="20"/>
                    </w:rPr>
                    <w:t xml:space="preserve"> </w:t>
                  </w:r>
                  <w:r>
                    <w:rPr>
                      <w:rFonts w:ascii="Avenir Next Condensed"/>
                      <w:spacing w:val="-1"/>
                      <w:sz w:val="20"/>
                    </w:rPr>
                    <w:t>at</w:t>
                  </w:r>
                  <w:r>
                    <w:rPr>
                      <w:rFonts w:ascii="Avenir Next Condensed"/>
                      <w:spacing w:val="-4"/>
                      <w:sz w:val="20"/>
                    </w:rPr>
                    <w:t xml:space="preserve"> </w:t>
                  </w:r>
                  <w:r>
                    <w:rPr>
                      <w:rFonts w:ascii="Avenir Next Condensed"/>
                      <w:spacing w:val="-2"/>
                      <w:sz w:val="20"/>
                    </w:rPr>
                    <w:t>7.2%)</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 under</w:t>
                  </w:r>
                  <w:r>
                    <w:rPr>
                      <w:rFonts w:ascii="Avenir Next Condensed"/>
                      <w:spacing w:val="-4"/>
                      <w:sz w:val="20"/>
                    </w:rPr>
                    <w:t xml:space="preserve"> </w:t>
                  </w:r>
                  <w:r>
                    <w:rPr>
                      <w:rFonts w:ascii="Avenir Next Condensed"/>
                      <w:spacing w:val="-2"/>
                      <w:sz w:val="20"/>
                    </w:rPr>
                    <w:t>collection</w:t>
                  </w:r>
                  <w:r>
                    <w:rPr>
                      <w:rFonts w:ascii="Avenir Next Condensed"/>
                      <w:spacing w:val="-4"/>
                      <w:sz w:val="20"/>
                    </w:rPr>
                    <w:t xml:space="preserve"> </w:t>
                  </w:r>
                  <w:r>
                    <w:rPr>
                      <w:rFonts w:ascii="Avenir Next Condensed"/>
                      <w:spacing w:val="-3"/>
                      <w:sz w:val="20"/>
                    </w:rPr>
                    <w:t>from</w:t>
                  </w:r>
                  <w:r>
                    <w:rPr>
                      <w:rFonts w:ascii="Avenir Next Condensed"/>
                      <w:spacing w:val="72"/>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consumers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next</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p>
                <w:p w:rsidR="008A79D5" w:rsidRDefault="008A79D5">
                  <w:pPr>
                    <w:spacing w:before="89"/>
                    <w:ind w:left="170"/>
                    <w:jc w:val="both"/>
                    <w:rPr>
                      <w:rFonts w:ascii="Avenir Next Condensed" w:eastAsia="Avenir Next Condensed" w:hAnsi="Avenir Next Condensed" w:cs="Avenir Next Condensed"/>
                      <w:sz w:val="20"/>
                      <w:szCs w:val="20"/>
                    </w:rPr>
                  </w:pPr>
                  <w:r>
                    <w:rPr>
                      <w:rFonts w:ascii="Avenir Next Condensed"/>
                      <w:b/>
                      <w:spacing w:val="-2"/>
                      <w:sz w:val="20"/>
                    </w:rPr>
                    <w:t>Example</w:t>
                  </w:r>
                  <w:r>
                    <w:rPr>
                      <w:rFonts w:ascii="Avenir Next Condensed"/>
                      <w:b/>
                      <w:spacing w:val="-4"/>
                      <w:sz w:val="20"/>
                    </w:rPr>
                    <w:t xml:space="preserve"> </w:t>
                  </w:r>
                  <w:r>
                    <w:rPr>
                      <w:rFonts w:ascii="Avenir Next Condensed"/>
                      <w:b/>
                      <w:sz w:val="20"/>
                    </w:rPr>
                    <w:t>4</w:t>
                  </w:r>
                </w:p>
                <w:p w:rsidR="008A79D5" w:rsidRDefault="008A79D5" w:rsidP="006F72BE">
                  <w:pPr>
                    <w:spacing w:before="80" w:line="257" w:lineRule="exact"/>
                    <w:ind w:left="170"/>
                    <w:jc w:val="both"/>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example,</w:t>
                  </w:r>
                  <w:r>
                    <w:rPr>
                      <w:rFonts w:ascii="Avenir Next Condensed"/>
                      <w:spacing w:val="-10"/>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assumed</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earned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$670</w:t>
                  </w:r>
                  <w:r>
                    <w:rPr>
                      <w:rFonts w:ascii="Avenir Next Condensed"/>
                      <w:spacing w:val="-4"/>
                      <w:sz w:val="20"/>
                    </w:rPr>
                    <w:t xml:space="preserve"> </w:t>
                  </w:r>
                  <w:r>
                    <w:rPr>
                      <w:rFonts w:ascii="Avenir Next Condensed"/>
                      <w:spacing w:val="-2"/>
                      <w:sz w:val="20"/>
                    </w:rPr>
                    <w:t>million</w:t>
                  </w:r>
                  <w:r>
                    <w:rPr>
                      <w:rFonts w:ascii="Avenir Next Condensed"/>
                      <w:spacing w:val="-4"/>
                      <w:sz w:val="20"/>
                    </w:rPr>
                    <w:t xml:space="preserve"> </w:t>
                  </w:r>
                  <w:r>
                    <w:rPr>
                      <w:rFonts w:ascii="Avenir Next Condensed"/>
                      <w:spacing w:val="-1"/>
                      <w:sz w:val="20"/>
                    </w:rPr>
                    <w:t>or</w:t>
                  </w:r>
                  <w:r>
                    <w:rPr>
                      <w:rFonts w:ascii="Avenir Next Condensed"/>
                      <w:spacing w:val="-4"/>
                      <w:sz w:val="20"/>
                    </w:rPr>
                    <w:t xml:space="preserve"> </w:t>
                  </w:r>
                  <w:r>
                    <w:rPr>
                      <w:rFonts w:ascii="Avenir Next Condensed"/>
                      <w:spacing w:val="-1"/>
                      <w:sz w:val="20"/>
                    </w:rPr>
                    <w:t>5%</w:t>
                  </w:r>
                  <w:r>
                    <w:rPr>
                      <w:rFonts w:ascii="Avenir Next Condensed"/>
                      <w:spacing w:val="-4"/>
                      <w:sz w:val="20"/>
                    </w:rPr>
                    <w:t xml:space="preserve"> </w:t>
                  </w:r>
                  <w:r>
                    <w:rPr>
                      <w:rFonts w:ascii="Avenir Next Condensed"/>
                      <w:spacing w:val="-2"/>
                      <w:sz w:val="20"/>
                    </w:rPr>
                    <w:t>lower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allowed $705</w:t>
                  </w:r>
                  <w:r>
                    <w:rPr>
                      <w:rFonts w:ascii="Avenir Next Condensed"/>
                      <w:spacing w:val="-4"/>
                      <w:sz w:val="20"/>
                    </w:rPr>
                    <w:t xml:space="preserve"> </w:t>
                  </w:r>
                  <w:r>
                    <w:rPr>
                      <w:rFonts w:ascii="Avenir Next Condensed"/>
                      <w:spacing w:val="-2"/>
                      <w:sz w:val="20"/>
                    </w:rPr>
                    <w:t>million.</w:t>
                  </w:r>
                  <w:r>
                    <w:rPr>
                      <w:rFonts w:ascii="Avenir Next Condensed"/>
                      <w:spacing w:val="-10"/>
                      <w:sz w:val="20"/>
                    </w:rPr>
                    <w:t xml:space="preserve"> </w:t>
                  </w:r>
                  <w:r>
                    <w:rPr>
                      <w:rFonts w:ascii="Avenir Next Condensed"/>
                      <w:spacing w:val="-2"/>
                      <w:sz w:val="20"/>
                    </w:rPr>
                    <w:t>Because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within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deadband,</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2"/>
                      <w:sz w:val="20"/>
                    </w:rPr>
                    <w:t>cap</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not</w:t>
                  </w:r>
                  <w:r>
                    <w:rPr>
                      <w:rFonts w:ascii="Avenir Next Condensed"/>
                      <w:spacing w:val="-4"/>
                      <w:sz w:val="20"/>
                    </w:rPr>
                    <w:t xml:space="preserve"> </w:t>
                  </w:r>
                  <w:r>
                    <w:rPr>
                      <w:rFonts w:ascii="Avenir Next Condensed"/>
                      <w:spacing w:val="-2"/>
                      <w:sz w:val="20"/>
                    </w:rPr>
                    <w:t>activated.</w:t>
                  </w:r>
                  <w:r>
                    <w:rPr>
                      <w:rFonts w:ascii="Avenir Next Condensed"/>
                      <w:spacing w:val="-14"/>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3"/>
                      <w:sz w:val="20"/>
                    </w:rPr>
                    <w:t>therefore</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b/>
                      <w:spacing w:val="-2"/>
                      <w:sz w:val="20"/>
                    </w:rPr>
                    <w:t>unable</w:t>
                  </w:r>
                  <w:r>
                    <w:rPr>
                      <w:rFonts w:ascii="Avenir Next Condensed"/>
                      <w:b/>
                      <w:spacing w:val="68"/>
                      <w:sz w:val="20"/>
                    </w:rPr>
                    <w:t xml:space="preserve"> </w:t>
                  </w:r>
                  <w:r>
                    <w:rPr>
                      <w:rFonts w:ascii="Avenir Next Condensed"/>
                      <w:b/>
                      <w:spacing w:val="-1"/>
                      <w:sz w:val="20"/>
                    </w:rPr>
                    <w:t>to</w:t>
                  </w:r>
                  <w:r>
                    <w:rPr>
                      <w:rFonts w:ascii="Avenir Next Condensed"/>
                      <w:b/>
                      <w:spacing w:val="-4"/>
                      <w:sz w:val="20"/>
                    </w:rPr>
                    <w:t xml:space="preserve"> </w:t>
                  </w:r>
                  <w:r>
                    <w:rPr>
                      <w:rFonts w:ascii="Avenir Next Condensed"/>
                      <w:b/>
                      <w:spacing w:val="-2"/>
                      <w:sz w:val="20"/>
                    </w:rPr>
                    <w:t>recover</w:t>
                  </w:r>
                  <w:r>
                    <w:rPr>
                      <w:rFonts w:ascii="Avenir Next Condensed"/>
                      <w:b/>
                      <w:spacing w:val="-4"/>
                      <w:sz w:val="20"/>
                    </w:rPr>
                    <w:t xml:space="preserve"> </w:t>
                  </w:r>
                  <w:r>
                    <w:rPr>
                      <w:rFonts w:ascii="Avenir Next Condensed"/>
                      <w:spacing w:val="-2"/>
                      <w:sz w:val="20"/>
                    </w:rPr>
                    <w:t>the lost</w:t>
                  </w:r>
                  <w:r>
                    <w:rPr>
                      <w:rFonts w:ascii="Avenir Next Condensed"/>
                      <w:spacing w:val="-4"/>
                      <w:sz w:val="20"/>
                    </w:rPr>
                    <w:t xml:space="preserve"> </w:t>
                  </w:r>
                  <w:r>
                    <w:rPr>
                      <w:rFonts w:ascii="Avenir Next Condensed"/>
                      <w:spacing w:val="-2"/>
                      <w:sz w:val="20"/>
                    </w:rPr>
                    <w:t>revenue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case.</w:t>
                  </w:r>
                </w:p>
              </w:txbxContent>
            </v:textbox>
          </v:shape>
        </w:pict>
      </w:r>
    </w:p>
    <w:p w:rsidR="00D96B91" w:rsidRDefault="00D96B91">
      <w:pPr>
        <w:spacing w:before="13"/>
        <w:rPr>
          <w:rFonts w:ascii="Avenir Next" w:eastAsia="Avenir Next" w:hAnsi="Avenir Next" w:cs="Avenir Next"/>
          <w:b/>
          <w:bCs/>
          <w:sz w:val="16"/>
          <w:szCs w:val="16"/>
        </w:rPr>
      </w:pPr>
    </w:p>
    <w:p w:rsidR="00D96B91" w:rsidRDefault="00C2656B">
      <w:pPr>
        <w:pStyle w:val="Heading4"/>
        <w:tabs>
          <w:tab w:val="left" w:pos="2040"/>
        </w:tabs>
        <w:spacing w:before="19"/>
      </w:pPr>
      <w:r>
        <w:rPr>
          <w:color w:val="0778BE"/>
        </w:rPr>
        <w:t>6.</w:t>
      </w:r>
      <w:r>
        <w:rPr>
          <w:color w:val="0778BE"/>
          <w:spacing w:val="-9"/>
        </w:rPr>
        <w:t xml:space="preserve"> </w:t>
      </w:r>
      <w:r>
        <w:rPr>
          <w:color w:val="0778BE"/>
        </w:rPr>
        <w:t>5</w:t>
      </w:r>
      <w:r>
        <w:rPr>
          <w:color w:val="0778BE"/>
        </w:rPr>
        <w:tab/>
      </w:r>
      <w:r>
        <w:rPr>
          <w:color w:val="0778BE"/>
          <w:spacing w:val="-1"/>
        </w:rPr>
        <w:t>Me</w:t>
      </w:r>
      <w:bookmarkStart w:id="69" w:name="_bookmark40"/>
      <w:bookmarkEnd w:id="69"/>
      <w:r>
        <w:rPr>
          <w:color w:val="0778BE"/>
          <w:spacing w:val="-1"/>
        </w:rPr>
        <w:t>asures</w:t>
      </w:r>
      <w:r>
        <w:rPr>
          <w:color w:val="0778BE"/>
        </w:rPr>
        <w:t xml:space="preserve"> to </w:t>
      </w:r>
      <w:r>
        <w:rPr>
          <w:color w:val="0778BE"/>
          <w:spacing w:val="-1"/>
        </w:rPr>
        <w:t>deal</w:t>
      </w:r>
      <w:r>
        <w:rPr>
          <w:color w:val="0778BE"/>
        </w:rPr>
        <w:t xml:space="preserve"> with </w:t>
      </w:r>
      <w:r>
        <w:rPr>
          <w:color w:val="0778BE"/>
          <w:spacing w:val="-1"/>
        </w:rPr>
        <w:t>expenditure</w:t>
      </w:r>
      <w:r>
        <w:rPr>
          <w:color w:val="0778BE"/>
        </w:rPr>
        <w:t xml:space="preserve"> </w:t>
      </w:r>
      <w:r>
        <w:rPr>
          <w:color w:val="0778BE"/>
          <w:spacing w:val="-1"/>
        </w:rPr>
        <w:t>risks</w:t>
      </w:r>
    </w:p>
    <w:p w:rsidR="00D96B91" w:rsidRDefault="00C2656B">
      <w:pPr>
        <w:pStyle w:val="BodyText"/>
        <w:spacing w:before="55" w:line="260" w:lineRule="exact"/>
        <w:ind w:right="1256"/>
      </w:pPr>
      <w:r>
        <w:rPr>
          <w:spacing w:val="-1"/>
        </w:rPr>
        <w:t>Regulators</w:t>
      </w:r>
      <w:r>
        <w:t xml:space="preserve"> have developed a number of</w:t>
      </w:r>
      <w:r>
        <w:rPr>
          <w:spacing w:val="4"/>
        </w:rPr>
        <w:t xml:space="preserve"> </w:t>
      </w:r>
      <w:r>
        <w:rPr>
          <w:spacing w:val="-1"/>
        </w:rPr>
        <w:t>different</w:t>
      </w:r>
      <w:r>
        <w:t xml:space="preserve"> tools to </w:t>
      </w:r>
      <w:r>
        <w:rPr>
          <w:spacing w:val="-1"/>
        </w:rPr>
        <w:t>deal</w:t>
      </w:r>
      <w:r>
        <w:t xml:space="preserve"> with the risk </w:t>
      </w:r>
      <w:r>
        <w:rPr>
          <w:spacing w:val="-1"/>
        </w:rPr>
        <w:t>that</w:t>
      </w:r>
      <w:r>
        <w:t xml:space="preserve"> actual </w:t>
      </w:r>
      <w:r>
        <w:rPr>
          <w:spacing w:val="-1"/>
        </w:rPr>
        <w:t>expenditure</w:t>
      </w:r>
      <w:r>
        <w:rPr>
          <w:spacing w:val="29"/>
        </w:rPr>
        <w:t xml:space="preserve"> </w:t>
      </w:r>
      <w:r>
        <w:t xml:space="preserve">within a </w:t>
      </w:r>
      <w:r>
        <w:rPr>
          <w:spacing w:val="-1"/>
        </w:rPr>
        <w:t>regulatory</w:t>
      </w:r>
      <w:r>
        <w:t xml:space="preserve"> period </w:t>
      </w:r>
      <w:r>
        <w:rPr>
          <w:spacing w:val="-1"/>
        </w:rPr>
        <w:t>deviates</w:t>
      </w:r>
      <w:r>
        <w:t xml:space="preserve"> </w:t>
      </w:r>
      <w:r>
        <w:rPr>
          <w:spacing w:val="-1"/>
        </w:rPr>
        <w:t>from</w:t>
      </w:r>
      <w:r>
        <w:t xml:space="preserve"> the </w:t>
      </w:r>
      <w:r>
        <w:rPr>
          <w:spacing w:val="-1"/>
        </w:rPr>
        <w:t>forecasts</w:t>
      </w:r>
      <w:r>
        <w:t xml:space="preserve"> used to derive the </w:t>
      </w:r>
      <w:r>
        <w:rPr>
          <w:spacing w:val="-1"/>
        </w:rPr>
        <w:t>revenue</w:t>
      </w:r>
      <w:r>
        <w:t xml:space="preserve"> </w:t>
      </w:r>
      <w:r>
        <w:rPr>
          <w:spacing w:val="-1"/>
        </w:rPr>
        <w:t>requirement</w:t>
      </w:r>
      <w:r>
        <w:t xml:space="preserve"> (see for</w:t>
      </w:r>
      <w:r>
        <w:rPr>
          <w:spacing w:val="43"/>
        </w:rPr>
        <w:t xml:space="preserve"> </w:t>
      </w:r>
      <w:r>
        <w:rPr>
          <w:spacing w:val="-1"/>
        </w:rPr>
        <w:t>example</w:t>
      </w:r>
      <w:r>
        <w:rPr>
          <w:spacing w:val="-5"/>
        </w:rPr>
        <w:t xml:space="preserve"> </w:t>
      </w:r>
      <w:hyperlink w:anchor="_bookmark41" w:history="1">
        <w:r>
          <w:rPr>
            <w:spacing w:val="-4"/>
          </w:rPr>
          <w:t>Table</w:t>
        </w:r>
        <w:r>
          <w:t xml:space="preserve"> 6.3</w:t>
        </w:r>
      </w:hyperlink>
      <w:r>
        <w:t>).</w:t>
      </w:r>
    </w:p>
    <w:p w:rsidR="00D96B91" w:rsidRDefault="00C2656B">
      <w:pPr>
        <w:spacing w:before="158"/>
        <w:ind w:left="1247"/>
        <w:rPr>
          <w:rFonts w:ascii="Avenir Next" w:eastAsia="Avenir Next" w:hAnsi="Avenir Next" w:cs="Avenir Next"/>
          <w:sz w:val="20"/>
          <w:szCs w:val="20"/>
        </w:rPr>
      </w:pPr>
      <w:bookmarkStart w:id="70" w:name="_bookmark41"/>
      <w:bookmarkEnd w:id="70"/>
      <w:r>
        <w:rPr>
          <w:rFonts w:ascii="Avenir Next"/>
          <w:b/>
          <w:spacing w:val="-4"/>
          <w:sz w:val="20"/>
        </w:rPr>
        <w:t>Table</w:t>
      </w:r>
      <w:r>
        <w:rPr>
          <w:rFonts w:ascii="Avenir Next"/>
          <w:b/>
          <w:sz w:val="20"/>
        </w:rPr>
        <w:t xml:space="preserve"> 6.3: </w:t>
      </w:r>
      <w:r>
        <w:rPr>
          <w:rFonts w:ascii="Avenir Next"/>
          <w:b/>
          <w:spacing w:val="-1"/>
          <w:sz w:val="20"/>
        </w:rPr>
        <w:t>Regulatory</w:t>
      </w:r>
      <w:r>
        <w:rPr>
          <w:rFonts w:ascii="Avenir Next"/>
          <w:b/>
          <w:sz w:val="20"/>
        </w:rPr>
        <w:t xml:space="preserve"> tools to </w:t>
      </w:r>
      <w:r>
        <w:rPr>
          <w:rFonts w:ascii="Avenir Next"/>
          <w:b/>
          <w:spacing w:val="-1"/>
          <w:sz w:val="20"/>
        </w:rPr>
        <w:t>deal</w:t>
      </w:r>
      <w:r>
        <w:rPr>
          <w:rFonts w:ascii="Avenir Next"/>
          <w:b/>
          <w:sz w:val="20"/>
        </w:rPr>
        <w:t xml:space="preserve"> with </w:t>
      </w:r>
      <w:r>
        <w:rPr>
          <w:rFonts w:ascii="Avenir Next"/>
          <w:b/>
          <w:spacing w:val="-1"/>
          <w:sz w:val="20"/>
        </w:rPr>
        <w:t>expenditure</w:t>
      </w:r>
      <w:r>
        <w:rPr>
          <w:rFonts w:ascii="Avenir Next"/>
          <w:b/>
          <w:sz w:val="20"/>
        </w:rPr>
        <w:t xml:space="preserve"> </w:t>
      </w:r>
      <w:r>
        <w:rPr>
          <w:rFonts w:ascii="Avenir Next"/>
          <w:b/>
          <w:spacing w:val="-1"/>
          <w:sz w:val="20"/>
        </w:rPr>
        <w:t>risks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160"/>
        <w:gridCol w:w="7655"/>
      </w:tblGrid>
      <w:tr w:rsidR="00D96B91" w:rsidTr="001C4113">
        <w:trPr>
          <w:trHeight w:hRule="exact" w:val="407"/>
        </w:trPr>
        <w:tc>
          <w:tcPr>
            <w:tcW w:w="2160" w:type="dxa"/>
            <w:tcBorders>
              <w:top w:val="single" w:sz="4" w:space="0" w:color="17A7E0"/>
              <w:left w:val="single" w:sz="4" w:space="0" w:color="17A7E0"/>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2"/>
                <w:sz w:val="18"/>
              </w:rPr>
              <w:t>Tool</w:t>
            </w:r>
          </w:p>
        </w:tc>
        <w:tc>
          <w:tcPr>
            <w:tcW w:w="7655" w:type="dxa"/>
            <w:tcBorders>
              <w:top w:val="single" w:sz="4" w:space="0" w:color="17A7E0"/>
              <w:left w:val="single" w:sz="4" w:space="0" w:color="1A9EDA"/>
              <w:bottom w:val="single" w:sz="4" w:space="0" w:color="1A9EDA"/>
              <w:right w:val="single" w:sz="4" w:space="0" w:color="17A7E0"/>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Description</w:t>
            </w:r>
          </w:p>
        </w:tc>
      </w:tr>
      <w:tr w:rsidR="00D96B91" w:rsidTr="001C4113">
        <w:trPr>
          <w:trHeight w:hRule="exact" w:val="407"/>
        </w:trPr>
        <w:tc>
          <w:tcPr>
            <w:tcW w:w="21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CPI</w:t>
            </w:r>
            <w:r>
              <w:rPr>
                <w:rFonts w:ascii="Avenir Next Condensed"/>
                <w:spacing w:val="-3"/>
                <w:sz w:val="18"/>
              </w:rPr>
              <w:t xml:space="preserve"> </w:t>
            </w:r>
            <w:r>
              <w:rPr>
                <w:rFonts w:ascii="Avenir Next Condensed"/>
                <w:sz w:val="18"/>
              </w:rPr>
              <w:t>escalation</w:t>
            </w:r>
            <w:r>
              <w:rPr>
                <w:rFonts w:ascii="Avenir Next Condensed"/>
                <w:spacing w:val="-3"/>
                <w:sz w:val="18"/>
              </w:rPr>
              <w:t xml:space="preserve"> </w:t>
            </w:r>
            <w:r>
              <w:rPr>
                <w:rFonts w:ascii="Avenir Next Condensed"/>
                <w:sz w:val="18"/>
              </w:rPr>
              <w:t>mechanism</w:t>
            </w:r>
          </w:p>
        </w:tc>
        <w:tc>
          <w:tcPr>
            <w:tcW w:w="765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CPI escalation mechanism is used to </w:t>
            </w:r>
            <w:r>
              <w:rPr>
                <w:rFonts w:ascii="Avenir Next Condensed"/>
                <w:spacing w:val="-1"/>
                <w:sz w:val="18"/>
              </w:rPr>
              <w:t>deal</w:t>
            </w:r>
            <w:r>
              <w:rPr>
                <w:rFonts w:ascii="Avenir Next Condensed"/>
                <w:sz w:val="18"/>
              </w:rPr>
              <w:t xml:space="preserve"> with changes in inflation over the </w:t>
            </w:r>
            <w:r>
              <w:rPr>
                <w:rFonts w:ascii="Avenir Next Condensed"/>
                <w:spacing w:val="-1"/>
                <w:sz w:val="18"/>
              </w:rPr>
              <w:t>regulatory</w:t>
            </w:r>
            <w:r>
              <w:rPr>
                <w:rFonts w:ascii="Avenir Next Condensed"/>
                <w:sz w:val="18"/>
              </w:rPr>
              <w:t xml:space="preserve"> period.</w:t>
            </w:r>
          </w:p>
        </w:tc>
      </w:tr>
      <w:tr w:rsidR="00D96B91" w:rsidTr="001C4113">
        <w:trPr>
          <w:trHeight w:hRule="exact" w:val="1657"/>
        </w:trPr>
        <w:tc>
          <w:tcPr>
            <w:tcW w:w="21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1C4113">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w:t>
            </w:r>
            <w:r>
              <w:rPr>
                <w:rFonts w:ascii="Avenir Next Condensed"/>
                <w:spacing w:val="-1"/>
                <w:sz w:val="18"/>
              </w:rPr>
              <w:t>pass-through</w:t>
            </w:r>
            <w:r>
              <w:rPr>
                <w:rFonts w:ascii="Avenir Next Condensed"/>
                <w:spacing w:val="30"/>
                <w:sz w:val="18"/>
              </w:rPr>
              <w:t xml:space="preserve"> </w:t>
            </w:r>
            <w:r>
              <w:rPr>
                <w:rFonts w:ascii="Avenir Next Condensed"/>
                <w:sz w:val="18"/>
              </w:rPr>
              <w:t>mechanism</w:t>
            </w:r>
          </w:p>
        </w:tc>
        <w:tc>
          <w:tcPr>
            <w:tcW w:w="76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13"/>
              <w:jc w:val="both"/>
              <w:rPr>
                <w:rFonts w:ascii="Avenir Next Condensed" w:eastAsia="Avenir Next Condensed" w:hAnsi="Avenir Next Condensed" w:cs="Avenir Next Condensed"/>
                <w:sz w:val="18"/>
                <w:szCs w:val="18"/>
              </w:rPr>
            </w:pPr>
            <w:r>
              <w:rPr>
                <w:rFonts w:ascii="Avenir Next Condensed"/>
                <w:sz w:val="18"/>
              </w:rPr>
              <w:t>A</w:t>
            </w:r>
            <w:r>
              <w:rPr>
                <w:rFonts w:ascii="Avenir Next Condensed"/>
                <w:spacing w:val="-4"/>
                <w:sz w:val="18"/>
              </w:rPr>
              <w:t xml:space="preserve"> </w:t>
            </w:r>
            <w:r>
              <w:rPr>
                <w:rFonts w:ascii="Avenir Next Condensed"/>
                <w:sz w:val="18"/>
              </w:rPr>
              <w:t xml:space="preserve">cost </w:t>
            </w:r>
            <w:r>
              <w:rPr>
                <w:rFonts w:ascii="Avenir Next Condensed"/>
                <w:spacing w:val="-1"/>
                <w:sz w:val="18"/>
              </w:rPr>
              <w:t>pass-through</w:t>
            </w:r>
            <w:r>
              <w:rPr>
                <w:rFonts w:ascii="Avenir Next Condensed"/>
                <w:sz w:val="18"/>
              </w:rPr>
              <w:t xml:space="preserve"> mechanism can be used to </w:t>
            </w:r>
            <w:r>
              <w:rPr>
                <w:rFonts w:ascii="Avenir Next Condensed"/>
                <w:spacing w:val="-1"/>
                <w:sz w:val="18"/>
              </w:rPr>
              <w:t>deal</w:t>
            </w:r>
            <w:r>
              <w:rPr>
                <w:rFonts w:ascii="Avenir Next Condensed"/>
                <w:sz w:val="18"/>
              </w:rPr>
              <w:t xml:space="preserve"> with positive and negative changes in </w:t>
            </w:r>
            <w:r>
              <w:rPr>
                <w:rFonts w:ascii="Avenir Next Condensed"/>
                <w:spacing w:val="-1"/>
                <w:sz w:val="18"/>
              </w:rPr>
              <w:t>uncontrollable</w:t>
            </w:r>
            <w:r>
              <w:rPr>
                <w:rFonts w:ascii="Avenir Next Condensed"/>
                <w:sz w:val="18"/>
              </w:rPr>
              <w:t xml:space="preserve"> costs (eg,</w:t>
            </w:r>
            <w:r>
              <w:rPr>
                <w:rFonts w:ascii="Avenir Next Condensed"/>
                <w:spacing w:val="45"/>
                <w:sz w:val="18"/>
              </w:rPr>
              <w:t xml:space="preserve"> </w:t>
            </w:r>
            <w:r>
              <w:rPr>
                <w:rFonts w:ascii="Avenir Next Condensed"/>
                <w:spacing w:val="-1"/>
                <w:sz w:val="18"/>
              </w:rPr>
              <w:t>taxes,</w:t>
            </w:r>
            <w:r>
              <w:rPr>
                <w:rFonts w:ascii="Avenir Next Condensed"/>
                <w:spacing w:val="-6"/>
                <w:sz w:val="18"/>
              </w:rPr>
              <w:t xml:space="preserve"> </w:t>
            </w:r>
            <w:r>
              <w:rPr>
                <w:rFonts w:ascii="Avenir Next Condensed"/>
                <w:spacing w:val="-1"/>
                <w:sz w:val="18"/>
              </w:rPr>
              <w:t>externally</w:t>
            </w:r>
            <w:r>
              <w:rPr>
                <w:rFonts w:ascii="Avenir Next Condensed"/>
                <w:sz w:val="18"/>
              </w:rPr>
              <w:t xml:space="preserve"> determined service </w:t>
            </w:r>
            <w:r>
              <w:rPr>
                <w:rFonts w:ascii="Avenir Next Condensed"/>
                <w:spacing w:val="-1"/>
                <w:sz w:val="18"/>
              </w:rPr>
              <w:t>standards</w:t>
            </w:r>
            <w:r>
              <w:rPr>
                <w:rFonts w:ascii="Avenir Next Condensed"/>
                <w:sz w:val="18"/>
              </w:rPr>
              <w:t xml:space="preserve"> and </w:t>
            </w:r>
            <w:r>
              <w:rPr>
                <w:rFonts w:ascii="Avenir Next Condensed"/>
                <w:spacing w:val="-1"/>
                <w:sz w:val="18"/>
              </w:rPr>
              <w:t>regulatory</w:t>
            </w:r>
            <w:r>
              <w:rPr>
                <w:rFonts w:ascii="Avenir Next Condensed"/>
                <w:sz w:val="18"/>
              </w:rPr>
              <w:t xml:space="preserve"> obligations) in the period.</w:t>
            </w:r>
          </w:p>
          <w:p w:rsidR="00D96B91" w:rsidRDefault="00C2656B">
            <w:pPr>
              <w:pStyle w:val="TableParagraph"/>
              <w:spacing w:before="113" w:line="220" w:lineRule="exact"/>
              <w:ind w:left="108" w:right="165"/>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4"/>
                <w:sz w:val="18"/>
                <w:szCs w:val="18"/>
              </w:rPr>
              <w:t>To</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ensure</w:t>
            </w:r>
            <w:r>
              <w:rPr>
                <w:rFonts w:ascii="Avenir Next Condensed" w:eastAsia="Avenir Next Condensed" w:hAnsi="Avenir Next Condensed" w:cs="Avenir Next Condensed"/>
                <w:sz w:val="18"/>
                <w:szCs w:val="18"/>
              </w:rPr>
              <w:t xml:space="preserve"> that this type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mechanism does not undermine a </w:t>
            </w:r>
            <w:r>
              <w:rPr>
                <w:rFonts w:ascii="Avenir Next Condensed" w:eastAsia="Avenir Next Condensed" w:hAnsi="Avenir Next Condensed" w:cs="Avenir Next Condensed"/>
                <w:spacing w:val="-1"/>
                <w:sz w:val="18"/>
                <w:szCs w:val="18"/>
              </w:rPr>
              <w:t>regulated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business’</w:t>
            </w:r>
            <w:r>
              <w:rPr>
                <w:rFonts w:ascii="Avenir Next Condensed" w:eastAsia="Avenir Next Condensed" w:hAnsi="Avenir Next Condensed" w:cs="Avenir Next Condensed"/>
                <w:sz w:val="18"/>
                <w:szCs w:val="18"/>
              </w:rPr>
              <w:t xml:space="preserve"> incentive to pursue </w:t>
            </w:r>
            <w:r>
              <w:rPr>
                <w:rFonts w:ascii="Avenir Next Condensed" w:eastAsia="Avenir Next Condensed" w:hAnsi="Avenir Next Condensed" w:cs="Avenir Next Condensed"/>
                <w:spacing w:val="-1"/>
                <w:sz w:val="18"/>
                <w:szCs w:val="18"/>
              </w:rPr>
              <w:t>efficiencies</w:t>
            </w:r>
            <w:r>
              <w:rPr>
                <w:rFonts w:ascii="Avenir Next Condensed" w:eastAsia="Avenir Next Condensed" w:hAnsi="Avenir Next Condensed" w:cs="Avenir Next Condensed"/>
                <w:sz w:val="18"/>
                <w:szCs w:val="18"/>
              </w:rPr>
              <w:t xml:space="preserve"> or</w:t>
            </w:r>
            <w:r>
              <w:rPr>
                <w:rFonts w:ascii="Avenir Next Condensed" w:eastAsia="Avenir Next Condensed" w:hAnsi="Avenir Next Condensed" w:cs="Avenir Next Condensed"/>
                <w:spacing w:val="57"/>
                <w:sz w:val="18"/>
                <w:szCs w:val="18"/>
              </w:rPr>
              <w:t xml:space="preserve"> </w:t>
            </w:r>
            <w:r>
              <w:rPr>
                <w:rFonts w:ascii="Avenir Next Condensed" w:eastAsia="Avenir Next Condensed" w:hAnsi="Avenir Next Condensed" w:cs="Avenir Next Condensed"/>
                <w:sz w:val="18"/>
                <w:szCs w:val="18"/>
              </w:rPr>
              <w:t xml:space="preserve">give rise to </w:t>
            </w:r>
            <w:r>
              <w:rPr>
                <w:rFonts w:ascii="Avenir Next Condensed" w:eastAsia="Avenir Next Condensed" w:hAnsi="Avenir Next Condensed" w:cs="Avenir Next Condensed"/>
                <w:spacing w:val="-1"/>
                <w:sz w:val="18"/>
                <w:szCs w:val="18"/>
              </w:rPr>
              <w:t>frequent</w:t>
            </w:r>
            <w:r>
              <w:rPr>
                <w:rFonts w:ascii="Avenir Next Condensed" w:eastAsia="Avenir Next Condensed" w:hAnsi="Avenir Next Condensed" w:cs="Avenir Next Condensed"/>
                <w:sz w:val="18"/>
                <w:szCs w:val="18"/>
              </w:rPr>
              <w:t xml:space="preserve"> price changes and higher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costs,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1"/>
                <w:sz w:val="18"/>
                <w:szCs w:val="18"/>
              </w:rPr>
              <w:t>regulators</w:t>
            </w:r>
            <w:r>
              <w:rPr>
                <w:rFonts w:ascii="Avenir Next Condensed" w:eastAsia="Avenir Next Condensed" w:hAnsi="Avenir Next Condensed" w:cs="Avenir Next Condensed"/>
                <w:sz w:val="18"/>
                <w:szCs w:val="18"/>
              </w:rPr>
              <w:t xml:space="preserve"> usually only allow a </w:t>
            </w:r>
            <w:r>
              <w:rPr>
                <w:rFonts w:ascii="Avenir Next Condensed" w:eastAsia="Avenir Next Condensed" w:hAnsi="Avenir Next Condensed" w:cs="Avenir Next Condensed"/>
                <w:spacing w:val="-1"/>
                <w:sz w:val="18"/>
                <w:szCs w:val="18"/>
              </w:rPr>
              <w:t>pass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to occur</w:t>
            </w:r>
            <w:r>
              <w:rPr>
                <w:rFonts w:ascii="Avenir Next Condensed" w:eastAsia="Avenir Next Condensed" w:hAnsi="Avenir Next Condensed" w:cs="Avenir Next Condensed"/>
                <w:spacing w:val="59"/>
                <w:sz w:val="18"/>
                <w:szCs w:val="18"/>
              </w:rPr>
              <w:t xml:space="preserve"> </w:t>
            </w:r>
            <w:r>
              <w:rPr>
                <w:rFonts w:ascii="Avenir Next Condensed" w:eastAsia="Avenir Next Condensed" w:hAnsi="Avenir Next Condensed" w:cs="Avenir Next Condensed"/>
                <w:sz w:val="18"/>
                <w:szCs w:val="18"/>
              </w:rPr>
              <w:t>on an annual basis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it satisfies a materiality </w:t>
            </w:r>
            <w:r>
              <w:rPr>
                <w:rFonts w:ascii="Avenir Next Condensed" w:eastAsia="Avenir Next Condensed" w:hAnsi="Avenir Next Condensed" w:cs="Avenir Next Condensed"/>
                <w:spacing w:val="-1"/>
                <w:sz w:val="18"/>
                <w:szCs w:val="18"/>
              </w:rPr>
              <w:t>threshold.</w:t>
            </w:r>
          </w:p>
        </w:tc>
      </w:tr>
      <w:tr w:rsidR="001C4113" w:rsidTr="001C4113">
        <w:trPr>
          <w:trHeight w:hRule="exact" w:val="1521"/>
        </w:trPr>
        <w:tc>
          <w:tcPr>
            <w:tcW w:w="2160" w:type="dxa"/>
            <w:tcBorders>
              <w:top w:val="single" w:sz="4" w:space="0" w:color="17A7E0"/>
              <w:left w:val="single" w:sz="4" w:space="0" w:color="17A7E0"/>
              <w:bottom w:val="single" w:sz="4" w:space="0" w:color="17A7E0"/>
              <w:right w:val="single" w:sz="4" w:space="0" w:color="17A7E0"/>
            </w:tcBorders>
            <w:shd w:val="clear" w:color="auto" w:fill="F0F9FE"/>
          </w:tcPr>
          <w:p w:rsidR="001C4113" w:rsidRDefault="001C4113">
            <w:pPr>
              <w:pStyle w:val="TableParagraph"/>
              <w:spacing w:before="112" w:line="220" w:lineRule="exact"/>
              <w:ind w:left="108" w:right="133"/>
              <w:rPr>
                <w:rFonts w:ascii="Avenir Next Condensed" w:eastAsia="Avenir Next Condensed" w:hAnsi="Avenir Next Condensed" w:cs="Avenir Next Condensed"/>
                <w:sz w:val="18"/>
                <w:szCs w:val="18"/>
              </w:rPr>
            </w:pPr>
            <w:r>
              <w:rPr>
                <w:rFonts w:ascii="Avenir Next Condensed"/>
                <w:sz w:val="18"/>
              </w:rPr>
              <w:t xml:space="preserve">Limited scope capital </w:t>
            </w:r>
            <w:r>
              <w:rPr>
                <w:rFonts w:ascii="Avenir Next Condensed"/>
                <w:spacing w:val="-1"/>
                <w:sz w:val="18"/>
              </w:rPr>
              <w:t>expenditure</w:t>
            </w:r>
            <w:r>
              <w:rPr>
                <w:rFonts w:ascii="Avenir Next Condensed"/>
                <w:sz w:val="18"/>
              </w:rPr>
              <w:t xml:space="preserve"> trigger event</w:t>
            </w:r>
            <w:r>
              <w:rPr>
                <w:rFonts w:ascii="Avenir Next Condensed"/>
                <w:spacing w:val="27"/>
                <w:sz w:val="18"/>
              </w:rPr>
              <w:t xml:space="preserve"> </w:t>
            </w:r>
            <w:r>
              <w:rPr>
                <w:rFonts w:ascii="Avenir Next Condensed"/>
                <w:spacing w:val="-1"/>
                <w:sz w:val="18"/>
              </w:rPr>
              <w:t>provision</w:t>
            </w:r>
            <w:r>
              <w:rPr>
                <w:rFonts w:ascii="Avenir Next Condensed"/>
                <w:sz w:val="18"/>
              </w:rPr>
              <w:t xml:space="preserve"> (or a contingent</w:t>
            </w:r>
            <w:r>
              <w:rPr>
                <w:rFonts w:ascii="Avenir Next Condensed"/>
                <w:spacing w:val="27"/>
                <w:sz w:val="18"/>
              </w:rPr>
              <w:t xml:space="preserve"> </w:t>
            </w:r>
            <w:r>
              <w:rPr>
                <w:rFonts w:ascii="Avenir Next Condensed"/>
                <w:spacing w:val="-1"/>
                <w:sz w:val="18"/>
              </w:rPr>
              <w:t>project</w:t>
            </w:r>
            <w:r>
              <w:rPr>
                <w:rFonts w:ascii="Avenir Next Condensed"/>
                <w:sz w:val="18"/>
              </w:rPr>
              <w:t xml:space="preserve"> </w:t>
            </w:r>
            <w:r>
              <w:rPr>
                <w:rFonts w:ascii="Avenir Next Condensed"/>
                <w:spacing w:val="-1"/>
                <w:sz w:val="18"/>
              </w:rPr>
              <w:t>pass-through</w:t>
            </w:r>
            <w:r>
              <w:rPr>
                <w:rFonts w:ascii="Avenir Next Condensed"/>
                <w:spacing w:val="27"/>
                <w:sz w:val="18"/>
              </w:rPr>
              <w:t xml:space="preserve"> </w:t>
            </w:r>
            <w:r>
              <w:rPr>
                <w:rFonts w:ascii="Avenir Next Condensed"/>
                <w:sz w:val="18"/>
              </w:rPr>
              <w:t>mechanism)</w:t>
            </w:r>
          </w:p>
        </w:tc>
        <w:tc>
          <w:tcPr>
            <w:tcW w:w="7655" w:type="dxa"/>
            <w:vMerge w:val="restart"/>
            <w:tcBorders>
              <w:top w:val="single" w:sz="4" w:space="0" w:color="17A7E0"/>
              <w:left w:val="single" w:sz="4" w:space="0" w:color="17A7E0"/>
              <w:right w:val="single" w:sz="4" w:space="0" w:color="17A7E0"/>
            </w:tcBorders>
            <w:shd w:val="clear" w:color="auto" w:fill="F0F9FE"/>
          </w:tcPr>
          <w:p w:rsidR="001C4113" w:rsidRDefault="001C4113">
            <w:pPr>
              <w:pStyle w:val="TableParagraph"/>
              <w:spacing w:before="112" w:line="220" w:lineRule="exact"/>
              <w:ind w:left="108" w:right="354"/>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Both these tools can be used to </w:t>
            </w:r>
            <w:r>
              <w:rPr>
                <w:rFonts w:ascii="Avenir Next Condensed" w:eastAsia="Avenir Next Condensed" w:hAnsi="Avenir Next Condensed" w:cs="Avenir Next Condensed"/>
                <w:spacing w:val="-1"/>
                <w:sz w:val="18"/>
                <w:szCs w:val="18"/>
              </w:rPr>
              <w:t>deal</w:t>
            </w:r>
            <w:r>
              <w:rPr>
                <w:rFonts w:ascii="Avenir Next Condensed" w:eastAsia="Avenir Next Condensed" w:hAnsi="Avenir Next Condensed" w:cs="Avenir Next Condensed"/>
                <w:sz w:val="18"/>
                <w:szCs w:val="18"/>
              </w:rPr>
              <w:t xml:space="preserve"> with the risk that a </w:t>
            </w:r>
            <w:r>
              <w:rPr>
                <w:rFonts w:ascii="Avenir Next Condensed" w:eastAsia="Avenir Next Condensed" w:hAnsi="Avenir Next Condensed" w:cs="Avenir Next Condensed"/>
                <w:spacing w:val="-1"/>
                <w:sz w:val="18"/>
                <w:szCs w:val="18"/>
              </w:rPr>
              <w:t>regulated</w:t>
            </w:r>
            <w:r>
              <w:rPr>
                <w:rFonts w:ascii="Avenir Next Condensed" w:eastAsia="Avenir Next Condensed" w:hAnsi="Avenir Next Condensed" w:cs="Avenir Next Condensed"/>
                <w:sz w:val="18"/>
                <w:szCs w:val="18"/>
              </w:rPr>
              <w:t xml:space="preserve"> service </w:t>
            </w:r>
            <w:r>
              <w:rPr>
                <w:rFonts w:ascii="Avenir Next Condensed" w:eastAsia="Avenir Next Condensed" w:hAnsi="Avenir Next Condensed" w:cs="Avenir Next Condensed"/>
                <w:spacing w:val="-1"/>
                <w:sz w:val="18"/>
                <w:szCs w:val="18"/>
              </w:rPr>
              <w:t>provider</w:t>
            </w:r>
            <w:r>
              <w:rPr>
                <w:rFonts w:ascii="Avenir Next Condensed" w:eastAsia="Avenir Next Condensed" w:hAnsi="Avenir Next Condensed" w:cs="Avenir Next Condensed"/>
                <w:sz w:val="18"/>
                <w:szCs w:val="18"/>
              </w:rPr>
              <w:t xml:space="preserve"> is </w:t>
            </w:r>
            <w:r>
              <w:rPr>
                <w:rFonts w:ascii="Avenir Next Condensed" w:eastAsia="Avenir Next Condensed" w:hAnsi="Avenir Next Condensed" w:cs="Avenir Next Condensed"/>
                <w:spacing w:val="-1"/>
                <w:sz w:val="18"/>
                <w:szCs w:val="18"/>
              </w:rPr>
              <w:t>required</w:t>
            </w:r>
            <w:r>
              <w:rPr>
                <w:rFonts w:ascii="Avenir Next Condensed" w:eastAsia="Avenir Next Condensed" w:hAnsi="Avenir Next Condensed" w:cs="Avenir Next Condensed"/>
                <w:sz w:val="18"/>
                <w:szCs w:val="18"/>
              </w:rPr>
              <w:t xml:space="preserve"> to carry out a major</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z w:val="18"/>
                <w:szCs w:val="18"/>
              </w:rPr>
              <w:t xml:space="preserve">capital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project,</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which either wasn’t anticipated when 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determination was made,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or was</w:t>
            </w:r>
            <w:r>
              <w:rPr>
                <w:rFonts w:ascii="Avenir Next Condensed" w:eastAsia="Avenir Next Condensed" w:hAnsi="Avenir Next Condensed" w:cs="Avenir Next Condensed"/>
                <w:spacing w:val="43"/>
                <w:sz w:val="18"/>
                <w:szCs w:val="18"/>
              </w:rPr>
              <w:t xml:space="preserve"> </w:t>
            </w:r>
            <w:r>
              <w:rPr>
                <w:rFonts w:ascii="Avenir Next Condensed" w:eastAsia="Avenir Next Condensed" w:hAnsi="Avenir Next Condensed" w:cs="Avenir Next Condensed"/>
                <w:spacing w:val="-1"/>
                <w:sz w:val="18"/>
                <w:szCs w:val="18"/>
              </w:rPr>
              <w:t>considered</w:t>
            </w:r>
            <w:r>
              <w:rPr>
                <w:rFonts w:ascii="Avenir Next Condensed" w:eastAsia="Avenir Next Condensed" w:hAnsi="Avenir Next Condensed" w:cs="Avenir Next Condensed"/>
                <w:sz w:val="18"/>
                <w:szCs w:val="18"/>
              </w:rPr>
              <w:t xml:space="preserve"> too uncertain in terms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timing,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costs or need.</w:t>
            </w:r>
          </w:p>
          <w:p w:rsidR="001C4113" w:rsidRDefault="001C4113">
            <w:pPr>
              <w:pStyle w:val="TableParagraph"/>
              <w:spacing w:before="113" w:line="220" w:lineRule="exact"/>
              <w:ind w:left="108" w:right="607"/>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key</w:t>
            </w:r>
            <w:r>
              <w:rPr>
                <w:rFonts w:ascii="Avenir Next Condensed"/>
                <w:sz w:val="18"/>
              </w:rPr>
              <w:t xml:space="preserve"> </w:t>
            </w:r>
            <w:r>
              <w:rPr>
                <w:rFonts w:ascii="Avenir Next Condensed"/>
                <w:spacing w:val="-1"/>
                <w:sz w:val="18"/>
              </w:rPr>
              <w:t>difference</w:t>
            </w:r>
            <w:r>
              <w:rPr>
                <w:rFonts w:ascii="Avenir Next Condensed"/>
                <w:sz w:val="18"/>
              </w:rPr>
              <w:t xml:space="preserve"> between these tools is that the trigger event </w:t>
            </w:r>
            <w:r>
              <w:rPr>
                <w:rFonts w:ascii="Avenir Next Condensed"/>
                <w:spacing w:val="-1"/>
                <w:sz w:val="18"/>
              </w:rPr>
              <w:t>provision</w:t>
            </w:r>
            <w:r>
              <w:rPr>
                <w:rFonts w:ascii="Avenir Next Condensed"/>
                <w:sz w:val="18"/>
              </w:rPr>
              <w:t xml:space="preserve"> allows prices to be varied within the</w:t>
            </w:r>
            <w:r>
              <w:rPr>
                <w:rFonts w:ascii="Avenir Next Condensed"/>
                <w:spacing w:val="27"/>
                <w:sz w:val="18"/>
              </w:rPr>
              <w:t xml:space="preserve"> </w:t>
            </w:r>
            <w:r>
              <w:rPr>
                <w:rFonts w:ascii="Avenir Next Condensed"/>
                <w:spacing w:val="-1"/>
                <w:sz w:val="18"/>
              </w:rPr>
              <w:t>regulatory</w:t>
            </w:r>
            <w:r>
              <w:rPr>
                <w:rFonts w:ascii="Avenir Next Condensed"/>
                <w:sz w:val="18"/>
              </w:rPr>
              <w:t xml:space="preserve"> period while the </w:t>
            </w:r>
            <w:r>
              <w:rPr>
                <w:rFonts w:ascii="Avenir Next Condensed"/>
                <w:spacing w:val="-1"/>
                <w:sz w:val="18"/>
              </w:rPr>
              <w:t>intra-period</w:t>
            </w:r>
            <w:r>
              <w:rPr>
                <w:rFonts w:ascii="Avenir Next Condensed"/>
                <w:sz w:val="18"/>
              </w:rPr>
              <w:t xml:space="preserve"> </w:t>
            </w:r>
            <w:r>
              <w:rPr>
                <w:rFonts w:ascii="Avenir Next Condensed"/>
                <w:spacing w:val="-1"/>
                <w:sz w:val="18"/>
              </w:rPr>
              <w:t>review</w:t>
            </w:r>
            <w:r>
              <w:rPr>
                <w:rFonts w:ascii="Avenir Next Condensed"/>
                <w:sz w:val="18"/>
              </w:rPr>
              <w:t xml:space="preserve"> </w:t>
            </w:r>
            <w:r>
              <w:rPr>
                <w:rFonts w:ascii="Avenir Next Condensed"/>
                <w:spacing w:val="-1"/>
                <w:sz w:val="18"/>
              </w:rPr>
              <w:t>provision</w:t>
            </w:r>
            <w:r>
              <w:rPr>
                <w:rFonts w:ascii="Avenir Next Condensed"/>
                <w:sz w:val="18"/>
              </w:rPr>
              <w:t xml:space="preserve"> does not.</w:t>
            </w:r>
          </w:p>
          <w:p w:rsidR="001C4113" w:rsidRDefault="001C4113" w:rsidP="001C4113">
            <w:pPr>
              <w:pStyle w:val="TableParagraph"/>
              <w:tabs>
                <w:tab w:val="left" w:pos="3165"/>
              </w:tabs>
              <w:spacing w:before="113" w:line="220" w:lineRule="exact"/>
              <w:ind w:left="108" w:right="112"/>
              <w:rPr>
                <w:rFonts w:ascii="Avenir Next Condensed" w:eastAsia="Avenir Next Condensed" w:hAnsi="Avenir Next Condensed" w:cs="Avenir Next Condensed"/>
                <w:sz w:val="18"/>
                <w:szCs w:val="18"/>
              </w:rPr>
            </w:pPr>
            <w:r>
              <w:rPr>
                <w:rFonts w:ascii="Avenir Next Condensed"/>
                <w:spacing w:val="-2"/>
                <w:sz w:val="18"/>
              </w:rPr>
              <w:t>The</w:t>
            </w:r>
            <w:r>
              <w:rPr>
                <w:rFonts w:ascii="Avenir Next Condensed"/>
                <w:spacing w:val="-4"/>
                <w:sz w:val="18"/>
              </w:rPr>
              <w:t xml:space="preserve"> </w:t>
            </w:r>
            <w:r>
              <w:rPr>
                <w:rFonts w:ascii="Avenir Next Condensed"/>
                <w:spacing w:val="-2"/>
                <w:sz w:val="18"/>
              </w:rPr>
              <w:t>benefit</w:t>
            </w:r>
            <w:r>
              <w:rPr>
                <w:rFonts w:ascii="Avenir Next Condensed"/>
                <w:sz w:val="18"/>
              </w:rPr>
              <w:t xml:space="preserve"> </w:t>
            </w:r>
            <w:r>
              <w:rPr>
                <w:rFonts w:ascii="Avenir Next Condensed"/>
                <w:spacing w:val="7"/>
                <w:sz w:val="18"/>
              </w:rPr>
              <w:t>of</w:t>
            </w:r>
            <w:r>
              <w:rPr>
                <w:rFonts w:ascii="Avenir Next Condensed"/>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intra-period</w:t>
            </w:r>
            <w:r>
              <w:rPr>
                <w:rFonts w:ascii="Avenir Next Condensed"/>
                <w:spacing w:val="-4"/>
                <w:sz w:val="18"/>
              </w:rPr>
              <w:t xml:space="preserve"> </w:t>
            </w:r>
            <w:r>
              <w:rPr>
                <w:rFonts w:ascii="Avenir Next Condensed"/>
                <w:spacing w:val="-2"/>
                <w:sz w:val="18"/>
              </w:rPr>
              <w:t>review</w:t>
            </w:r>
            <w:r>
              <w:rPr>
                <w:rFonts w:ascii="Avenir Next Condensed"/>
                <w:spacing w:val="-4"/>
                <w:sz w:val="18"/>
              </w:rPr>
              <w:t xml:space="preserve"> </w:t>
            </w:r>
            <w:r>
              <w:rPr>
                <w:rFonts w:ascii="Avenir Next Condensed"/>
                <w:spacing w:val="-2"/>
                <w:sz w:val="18"/>
              </w:rPr>
              <w:t>provision</w:t>
            </w:r>
            <w:r>
              <w:rPr>
                <w:rFonts w:ascii="Avenir Next Condensed"/>
                <w:spacing w:val="-4"/>
                <w:sz w:val="18"/>
              </w:rPr>
              <w:t xml:space="preserve"> </w:t>
            </w:r>
            <w:r>
              <w:rPr>
                <w:rFonts w:ascii="Avenir Next Condensed"/>
                <w:spacing w:val="-1"/>
                <w:sz w:val="18"/>
              </w:rPr>
              <w:t>is</w:t>
            </w:r>
            <w:r>
              <w:rPr>
                <w:rFonts w:ascii="Avenir Next Condensed"/>
                <w:spacing w:val="-4"/>
                <w:sz w:val="18"/>
              </w:rPr>
              <w:t xml:space="preserve"> </w:t>
            </w:r>
            <w:r>
              <w:rPr>
                <w:rFonts w:ascii="Avenir Next Condensed"/>
                <w:spacing w:val="-2"/>
                <w:sz w:val="18"/>
              </w:rPr>
              <w:t>that</w:t>
            </w:r>
            <w:r>
              <w:rPr>
                <w:rFonts w:ascii="Avenir Next Condensed"/>
                <w:spacing w:val="-4"/>
                <w:sz w:val="18"/>
              </w:rPr>
              <w:t xml:space="preserve"> </w:t>
            </w:r>
            <w:r>
              <w:rPr>
                <w:rFonts w:ascii="Avenir Next Condensed"/>
                <w:spacing w:val="-1"/>
                <w:sz w:val="18"/>
              </w:rPr>
              <w:t>it</w:t>
            </w:r>
            <w:r>
              <w:rPr>
                <w:rFonts w:ascii="Avenir Next Condensed"/>
                <w:spacing w:val="-4"/>
                <w:sz w:val="18"/>
              </w:rPr>
              <w:t xml:space="preserve"> </w:t>
            </w:r>
            <w:r>
              <w:rPr>
                <w:rFonts w:ascii="Avenir Next Condensed"/>
                <w:spacing w:val="-2"/>
                <w:sz w:val="18"/>
              </w:rPr>
              <w:t>allows</w:t>
            </w:r>
            <w:r>
              <w:rPr>
                <w:rFonts w:ascii="Avenir Next Condensed"/>
                <w:spacing w:val="-4"/>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regulated</w:t>
            </w:r>
            <w:r>
              <w:rPr>
                <w:rFonts w:ascii="Avenir Next Condensed"/>
                <w:spacing w:val="-4"/>
                <w:sz w:val="18"/>
              </w:rPr>
              <w:t xml:space="preserve"> </w:t>
            </w:r>
            <w:r>
              <w:rPr>
                <w:rFonts w:ascii="Avenir Next Condensed"/>
                <w:spacing w:val="-2"/>
                <w:sz w:val="18"/>
              </w:rPr>
              <w:t>business</w:t>
            </w:r>
            <w:r>
              <w:rPr>
                <w:rFonts w:ascii="Avenir Next Condensed"/>
                <w:spacing w:val="-4"/>
                <w:sz w:val="18"/>
              </w:rPr>
              <w:t xml:space="preserve"> </w:t>
            </w:r>
            <w:r>
              <w:rPr>
                <w:rFonts w:ascii="Avenir Next Condensed"/>
                <w:spacing w:val="-1"/>
                <w:sz w:val="18"/>
              </w:rPr>
              <w:t>to</w:t>
            </w:r>
            <w:r>
              <w:rPr>
                <w:rFonts w:ascii="Avenir Next Condensed"/>
                <w:spacing w:val="-4"/>
                <w:sz w:val="18"/>
              </w:rPr>
              <w:t xml:space="preserve"> </w:t>
            </w:r>
            <w:r>
              <w:rPr>
                <w:rFonts w:ascii="Avenir Next Condensed"/>
                <w:spacing w:val="-2"/>
                <w:sz w:val="18"/>
              </w:rPr>
              <w:t>seek</w:t>
            </w:r>
            <w:r>
              <w:rPr>
                <w:rFonts w:ascii="Avenir Next Condensed"/>
                <w:spacing w:val="-4"/>
                <w:sz w:val="18"/>
              </w:rPr>
              <w:t xml:space="preserve"> </w:t>
            </w:r>
            <w:r>
              <w:rPr>
                <w:rFonts w:ascii="Avenir Next Condensed"/>
                <w:spacing w:val="-1"/>
                <w:sz w:val="18"/>
              </w:rPr>
              <w:t>an</w:t>
            </w:r>
            <w:r>
              <w:rPr>
                <w:rFonts w:ascii="Avenir Next Condensed"/>
                <w:spacing w:val="-4"/>
                <w:sz w:val="18"/>
              </w:rPr>
              <w:t xml:space="preserve"> </w:t>
            </w:r>
            <w:r>
              <w:rPr>
                <w:rFonts w:ascii="Avenir Next Condensed"/>
                <w:spacing w:val="-2"/>
                <w:sz w:val="18"/>
              </w:rPr>
              <w:t>advance</w:t>
            </w:r>
            <w:r>
              <w:rPr>
                <w:rFonts w:ascii="Avenir Next Condensed"/>
                <w:spacing w:val="-4"/>
                <w:sz w:val="18"/>
              </w:rPr>
              <w:t xml:space="preserve"> </w:t>
            </w:r>
            <w:r>
              <w:rPr>
                <w:rFonts w:ascii="Avenir Next Condensed"/>
                <w:spacing w:val="-2"/>
                <w:sz w:val="18"/>
              </w:rPr>
              <w:t>determination</w:t>
            </w:r>
            <w:r>
              <w:rPr>
                <w:rFonts w:ascii="Avenir Next Condensed"/>
                <w:spacing w:val="42"/>
                <w:sz w:val="18"/>
              </w:rPr>
              <w:t xml:space="preserve"> </w:t>
            </w:r>
            <w:r>
              <w:rPr>
                <w:rFonts w:ascii="Avenir Next Condensed"/>
                <w:spacing w:val="-2"/>
                <w:sz w:val="18"/>
              </w:rPr>
              <w:t>from</w:t>
            </w:r>
            <w:r>
              <w:rPr>
                <w:rFonts w:ascii="Avenir Next Condensed"/>
                <w:spacing w:val="-4"/>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regulator</w:t>
            </w:r>
            <w:r>
              <w:rPr>
                <w:rFonts w:ascii="Avenir Next Condensed"/>
                <w:spacing w:val="-4"/>
                <w:sz w:val="18"/>
              </w:rPr>
              <w:t xml:space="preserve"> </w:t>
            </w:r>
            <w:r>
              <w:rPr>
                <w:rFonts w:ascii="Avenir Next Condensed"/>
                <w:spacing w:val="-1"/>
                <w:sz w:val="18"/>
              </w:rPr>
              <w:t>on</w:t>
            </w:r>
            <w:r>
              <w:rPr>
                <w:rFonts w:ascii="Avenir Next Condensed"/>
                <w:spacing w:val="-4"/>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prudence</w:t>
            </w:r>
            <w:r>
              <w:rPr>
                <w:rFonts w:ascii="Avenir Next Condensed"/>
                <w:spacing w:val="-4"/>
                <w:sz w:val="18"/>
              </w:rPr>
              <w:t xml:space="preserve"> </w:t>
            </w:r>
            <w:r>
              <w:rPr>
                <w:rFonts w:ascii="Avenir Next Condensed"/>
                <w:spacing w:val="-2"/>
                <w:sz w:val="18"/>
              </w:rPr>
              <w:t>and</w:t>
            </w:r>
            <w:r>
              <w:rPr>
                <w:rFonts w:ascii="Avenir Next Condensed"/>
                <w:spacing w:val="-4"/>
                <w:sz w:val="18"/>
              </w:rPr>
              <w:t xml:space="preserve"> </w:t>
            </w:r>
            <w:r>
              <w:rPr>
                <w:rFonts w:ascii="Avenir Next Condensed"/>
                <w:spacing w:val="-2"/>
                <w:sz w:val="18"/>
              </w:rPr>
              <w:t xml:space="preserve">efficiency </w:t>
            </w:r>
            <w:r>
              <w:rPr>
                <w:rFonts w:ascii="Avenir Next Condensed"/>
                <w:spacing w:val="-1"/>
                <w:sz w:val="18"/>
              </w:rPr>
              <w:t>of</w:t>
            </w:r>
            <w:r>
              <w:rPr>
                <w:rFonts w:ascii="Avenir Next Condensed"/>
                <w:sz w:val="18"/>
              </w:rPr>
              <w:t xml:space="preserve"> </w:t>
            </w:r>
            <w:r>
              <w:rPr>
                <w:rFonts w:ascii="Avenir Next Condensed"/>
                <w:spacing w:val="-2"/>
                <w:sz w:val="18"/>
              </w:rPr>
              <w:t>new</w:t>
            </w:r>
            <w:r>
              <w:rPr>
                <w:rFonts w:ascii="Avenir Next Condensed"/>
                <w:spacing w:val="-4"/>
                <w:sz w:val="18"/>
              </w:rPr>
              <w:t xml:space="preserve"> </w:t>
            </w:r>
            <w:r>
              <w:rPr>
                <w:rFonts w:ascii="Avenir Next Condensed"/>
                <w:spacing w:val="-2"/>
                <w:sz w:val="18"/>
              </w:rPr>
              <w:t>capex</w:t>
            </w:r>
            <w:r>
              <w:rPr>
                <w:rFonts w:ascii="Avenir Next Condensed"/>
                <w:spacing w:val="-4"/>
                <w:sz w:val="18"/>
              </w:rPr>
              <w:t xml:space="preserve"> </w:t>
            </w:r>
            <w:r>
              <w:rPr>
                <w:rFonts w:ascii="Avenir Next Condensed"/>
                <w:spacing w:val="-2"/>
                <w:sz w:val="18"/>
              </w:rPr>
              <w:t>projects</w:t>
            </w:r>
            <w:r>
              <w:rPr>
                <w:rFonts w:ascii="Avenir Next Condensed"/>
                <w:spacing w:val="-4"/>
                <w:sz w:val="18"/>
              </w:rPr>
              <w:t xml:space="preserve"> </w:t>
            </w:r>
            <w:r>
              <w:rPr>
                <w:rFonts w:ascii="Avenir Next Condensed"/>
                <w:spacing w:val="-2"/>
                <w:sz w:val="18"/>
              </w:rPr>
              <w:t>that</w:t>
            </w:r>
            <w:r>
              <w:rPr>
                <w:rFonts w:ascii="Avenir Next Condensed"/>
                <w:spacing w:val="-4"/>
                <w:sz w:val="18"/>
              </w:rPr>
              <w:t xml:space="preserve"> </w:t>
            </w:r>
            <w:r>
              <w:rPr>
                <w:rFonts w:ascii="Avenir Next Condensed"/>
                <w:spacing w:val="-2"/>
                <w:sz w:val="18"/>
              </w:rPr>
              <w:t>arise</w:t>
            </w:r>
            <w:r>
              <w:rPr>
                <w:rFonts w:ascii="Avenir Next Condensed"/>
                <w:spacing w:val="-4"/>
                <w:sz w:val="18"/>
              </w:rPr>
              <w:t xml:space="preserve"> </w:t>
            </w:r>
            <w:r>
              <w:rPr>
                <w:rFonts w:ascii="Avenir Next Condensed"/>
                <w:spacing w:val="-2"/>
                <w:sz w:val="18"/>
              </w:rPr>
              <w:t>during</w:t>
            </w:r>
            <w:r>
              <w:rPr>
                <w:rFonts w:ascii="Avenir Next Condensed"/>
                <w:spacing w:val="-4"/>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regulatory</w:t>
            </w:r>
            <w:r>
              <w:rPr>
                <w:rFonts w:ascii="Avenir Next Condensed"/>
                <w:spacing w:val="-4"/>
                <w:sz w:val="18"/>
              </w:rPr>
              <w:t xml:space="preserve"> </w:t>
            </w:r>
            <w:r>
              <w:rPr>
                <w:rFonts w:ascii="Avenir Next Condensed"/>
                <w:spacing w:val="-2"/>
                <w:sz w:val="18"/>
              </w:rPr>
              <w:t>period,</w:t>
            </w:r>
            <w:r>
              <w:rPr>
                <w:rFonts w:ascii="Avenir Next Condensed"/>
                <w:spacing w:val="-9"/>
                <w:sz w:val="18"/>
              </w:rPr>
              <w:t xml:space="preserve"> </w:t>
            </w:r>
            <w:r>
              <w:rPr>
                <w:rFonts w:ascii="Avenir Next Condensed"/>
                <w:spacing w:val="-3"/>
                <w:sz w:val="18"/>
              </w:rPr>
              <w:t>rather</w:t>
            </w:r>
            <w:r>
              <w:rPr>
                <w:rFonts w:ascii="Avenir Next Condensed"/>
                <w:spacing w:val="62"/>
                <w:sz w:val="18"/>
              </w:rPr>
              <w:t xml:space="preserve"> </w:t>
            </w:r>
            <w:r>
              <w:rPr>
                <w:rFonts w:ascii="Avenir Next Condensed"/>
                <w:spacing w:val="-2"/>
                <w:sz w:val="18"/>
              </w:rPr>
              <w:t>than</w:t>
            </w:r>
            <w:r>
              <w:rPr>
                <w:rFonts w:ascii="Avenir Next Condensed"/>
                <w:spacing w:val="-4"/>
                <w:sz w:val="18"/>
              </w:rPr>
              <w:t xml:space="preserve"> </w:t>
            </w:r>
            <w:r>
              <w:rPr>
                <w:rFonts w:ascii="Avenir Next Condensed"/>
                <w:spacing w:val="-2"/>
                <w:sz w:val="18"/>
              </w:rPr>
              <w:t>facing</w:t>
            </w:r>
            <w:r>
              <w:rPr>
                <w:rFonts w:ascii="Avenir Next Condensed"/>
                <w:spacing w:val="-4"/>
                <w:sz w:val="18"/>
              </w:rPr>
              <w:t xml:space="preserve"> </w:t>
            </w:r>
            <w:r>
              <w:rPr>
                <w:rFonts w:ascii="Avenir Next Condensed"/>
                <w:spacing w:val="-2"/>
                <w:sz w:val="18"/>
              </w:rPr>
              <w:t>the</w:t>
            </w:r>
            <w:r>
              <w:rPr>
                <w:rFonts w:ascii="Avenir Next Condensed"/>
                <w:spacing w:val="-4"/>
                <w:sz w:val="18"/>
              </w:rPr>
              <w:t xml:space="preserve"> </w:t>
            </w:r>
            <w:r>
              <w:rPr>
                <w:rFonts w:ascii="Avenir Next Condensed"/>
                <w:spacing w:val="-2"/>
                <w:sz w:val="18"/>
              </w:rPr>
              <w:t>risk</w:t>
            </w:r>
            <w:r>
              <w:rPr>
                <w:rFonts w:ascii="Avenir Next Condensed"/>
                <w:spacing w:val="-4"/>
                <w:sz w:val="18"/>
              </w:rPr>
              <w:t xml:space="preserve"> </w:t>
            </w:r>
            <w:r>
              <w:rPr>
                <w:rFonts w:ascii="Avenir Next Condensed"/>
                <w:spacing w:val="-2"/>
                <w:sz w:val="18"/>
              </w:rPr>
              <w:t>that</w:t>
            </w:r>
            <w:r>
              <w:rPr>
                <w:rFonts w:ascii="Avenir Next Condensed"/>
                <w:spacing w:val="-4"/>
                <w:sz w:val="18"/>
              </w:rPr>
              <w:t xml:space="preserve"> </w:t>
            </w:r>
            <w:r>
              <w:rPr>
                <w:rFonts w:ascii="Avenir Next Condensed"/>
                <w:spacing w:val="-2"/>
                <w:sz w:val="18"/>
              </w:rPr>
              <w:t>its</w:t>
            </w:r>
            <w:r>
              <w:rPr>
                <w:rFonts w:ascii="Avenir Next Condensed"/>
                <w:spacing w:val="-4"/>
                <w:sz w:val="18"/>
              </w:rPr>
              <w:t xml:space="preserve"> </w:t>
            </w:r>
            <w:r>
              <w:rPr>
                <w:rFonts w:ascii="Avenir Next Condensed"/>
                <w:spacing w:val="-2"/>
                <w:sz w:val="18"/>
              </w:rPr>
              <w:t>expenditure</w:t>
            </w:r>
            <w:r>
              <w:rPr>
                <w:rFonts w:ascii="Avenir Next Condensed"/>
                <w:spacing w:val="-4"/>
                <w:sz w:val="18"/>
              </w:rPr>
              <w:t xml:space="preserve"> </w:t>
            </w:r>
            <w:r>
              <w:rPr>
                <w:rFonts w:ascii="Avenir Next Condensed"/>
                <w:spacing w:val="-2"/>
                <w:sz w:val="18"/>
              </w:rPr>
              <w:t>will</w:t>
            </w:r>
            <w:r>
              <w:rPr>
                <w:rFonts w:ascii="Avenir Next Condensed"/>
                <w:spacing w:val="-4"/>
                <w:sz w:val="18"/>
              </w:rPr>
              <w:t xml:space="preserve"> </w:t>
            </w:r>
            <w:r>
              <w:rPr>
                <w:rFonts w:ascii="Avenir Next Condensed"/>
                <w:spacing w:val="-2"/>
                <w:sz w:val="18"/>
              </w:rPr>
              <w:t>retrospectively</w:t>
            </w:r>
            <w:r>
              <w:rPr>
                <w:rFonts w:ascii="Avenir Next Condensed"/>
                <w:spacing w:val="-4"/>
                <w:sz w:val="18"/>
              </w:rPr>
              <w:t xml:space="preserve"> </w:t>
            </w:r>
            <w:r>
              <w:rPr>
                <w:rFonts w:ascii="Avenir Next Condensed"/>
                <w:spacing w:val="-1"/>
                <w:sz w:val="18"/>
              </w:rPr>
              <w:t>be</w:t>
            </w:r>
            <w:r>
              <w:rPr>
                <w:rFonts w:ascii="Avenir Next Condensed"/>
                <w:spacing w:val="-4"/>
                <w:sz w:val="18"/>
              </w:rPr>
              <w:t xml:space="preserve"> </w:t>
            </w:r>
            <w:r>
              <w:rPr>
                <w:rFonts w:ascii="Avenir Next Condensed"/>
                <w:spacing w:val="-2"/>
                <w:sz w:val="18"/>
              </w:rPr>
              <w:t>found</w:t>
            </w:r>
            <w:r>
              <w:rPr>
                <w:rFonts w:ascii="Avenir Next Condensed"/>
                <w:spacing w:val="-4"/>
                <w:sz w:val="18"/>
              </w:rPr>
              <w:t xml:space="preserve"> </w:t>
            </w:r>
            <w:r>
              <w:rPr>
                <w:rFonts w:ascii="Avenir Next Condensed"/>
                <w:spacing w:val="-1"/>
                <w:sz w:val="18"/>
              </w:rPr>
              <w:t>to</w:t>
            </w:r>
            <w:r>
              <w:rPr>
                <w:rFonts w:ascii="Avenir Next Condensed"/>
                <w:spacing w:val="-4"/>
                <w:sz w:val="18"/>
              </w:rPr>
              <w:t xml:space="preserve"> </w:t>
            </w:r>
            <w:r>
              <w:rPr>
                <w:rFonts w:ascii="Avenir Next Condensed"/>
                <w:spacing w:val="-1"/>
                <w:sz w:val="18"/>
              </w:rPr>
              <w:t>be</w:t>
            </w:r>
            <w:r>
              <w:rPr>
                <w:rFonts w:ascii="Avenir Next Condensed"/>
                <w:spacing w:val="-4"/>
                <w:sz w:val="18"/>
              </w:rPr>
              <w:t xml:space="preserve"> </w:t>
            </w:r>
            <w:r>
              <w:rPr>
                <w:rFonts w:ascii="Avenir Next Condensed"/>
                <w:spacing w:val="-2"/>
                <w:sz w:val="18"/>
              </w:rPr>
              <w:t>imprudent</w:t>
            </w:r>
            <w:r>
              <w:rPr>
                <w:rFonts w:ascii="Avenir Next Condensed"/>
                <w:spacing w:val="-4"/>
                <w:sz w:val="18"/>
              </w:rPr>
              <w:t xml:space="preserve"> </w:t>
            </w:r>
            <w:r>
              <w:rPr>
                <w:rFonts w:ascii="Avenir Next Condensed"/>
                <w:spacing w:val="-1"/>
                <w:sz w:val="18"/>
              </w:rPr>
              <w:t>or</w:t>
            </w:r>
            <w:r>
              <w:rPr>
                <w:rFonts w:ascii="Avenir Next Condensed"/>
                <w:spacing w:val="-4"/>
                <w:sz w:val="18"/>
              </w:rPr>
              <w:t xml:space="preserve"> </w:t>
            </w:r>
            <w:r>
              <w:rPr>
                <w:rFonts w:ascii="Avenir Next Condensed"/>
                <w:spacing w:val="-2"/>
                <w:sz w:val="18"/>
              </w:rPr>
              <w:t>inefficient.</w:t>
            </w:r>
          </w:p>
        </w:tc>
      </w:tr>
      <w:tr w:rsidR="001C4113" w:rsidTr="001C4113">
        <w:trPr>
          <w:trHeight w:hRule="exact" w:val="1067"/>
        </w:trPr>
        <w:tc>
          <w:tcPr>
            <w:tcW w:w="2160" w:type="dxa"/>
            <w:tcBorders>
              <w:top w:val="single" w:sz="4" w:space="0" w:color="17A7E0"/>
              <w:left w:val="single" w:sz="4" w:space="0" w:color="17A7E0"/>
              <w:bottom w:val="single" w:sz="4" w:space="0" w:color="17A7E0"/>
              <w:right w:val="single" w:sz="4" w:space="0" w:color="17A7E0"/>
            </w:tcBorders>
            <w:shd w:val="clear" w:color="auto" w:fill="F0F9FE"/>
          </w:tcPr>
          <w:p w:rsidR="001C4113" w:rsidRPr="001C4113" w:rsidRDefault="001C4113" w:rsidP="001C4113">
            <w:pPr>
              <w:pStyle w:val="TableParagraph"/>
              <w:spacing w:before="111" w:line="220" w:lineRule="exact"/>
              <w:ind w:left="108" w:right="131"/>
              <w:rPr>
                <w:rFonts w:ascii="Avenir Next Condensed"/>
                <w:sz w:val="18"/>
              </w:rPr>
            </w:pPr>
            <w:r>
              <w:rPr>
                <w:rFonts w:ascii="Avenir Next Condensed"/>
                <w:sz w:val="18"/>
              </w:rPr>
              <w:t>Intra-period capital expenditure review</w:t>
            </w:r>
          </w:p>
        </w:tc>
        <w:tc>
          <w:tcPr>
            <w:tcW w:w="7655" w:type="dxa"/>
            <w:vMerge/>
            <w:tcBorders>
              <w:left w:val="single" w:sz="4" w:space="0" w:color="17A7E0"/>
              <w:bottom w:val="single" w:sz="4" w:space="0" w:color="17A7E0"/>
              <w:right w:val="single" w:sz="4" w:space="0" w:color="17A7E0"/>
            </w:tcBorders>
            <w:shd w:val="clear" w:color="auto" w:fill="F0F9FE"/>
          </w:tcPr>
          <w:p w:rsidR="001C4113" w:rsidRDefault="001C4113">
            <w:pPr>
              <w:pStyle w:val="TableParagraph"/>
              <w:spacing w:before="111" w:line="220" w:lineRule="exact"/>
              <w:ind w:left="108" w:right="126"/>
              <w:rPr>
                <w:rFonts w:ascii="Avenir Next Condensed"/>
                <w:sz w:val="18"/>
              </w:rPr>
            </w:pPr>
          </w:p>
        </w:tc>
      </w:tr>
      <w:tr w:rsidR="00D96B91" w:rsidTr="001C4113">
        <w:trPr>
          <w:trHeight w:hRule="exact" w:val="1204"/>
        </w:trPr>
        <w:tc>
          <w:tcPr>
            <w:tcW w:w="21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535"/>
              <w:rPr>
                <w:rFonts w:ascii="Avenir Next Condensed" w:eastAsia="Avenir Next Condensed" w:hAnsi="Avenir Next Condensed" w:cs="Avenir Next Condensed"/>
                <w:sz w:val="18"/>
                <w:szCs w:val="18"/>
              </w:rPr>
            </w:pPr>
            <w:r>
              <w:rPr>
                <w:rFonts w:ascii="Avenir Next Condensed"/>
                <w:i/>
                <w:sz w:val="18"/>
              </w:rPr>
              <w:t xml:space="preserve">Ex post </w:t>
            </w:r>
            <w:r>
              <w:rPr>
                <w:rFonts w:ascii="Avenir Next Condensed"/>
                <w:sz w:val="18"/>
              </w:rPr>
              <w:t xml:space="preserve">capital </w:t>
            </w:r>
            <w:r>
              <w:rPr>
                <w:rFonts w:ascii="Avenir Next Condensed"/>
                <w:spacing w:val="-1"/>
                <w:sz w:val="18"/>
              </w:rPr>
              <w:t>expenditure</w:t>
            </w:r>
            <w:r>
              <w:rPr>
                <w:rFonts w:ascii="Avenir Next Condensed"/>
                <w:sz w:val="18"/>
              </w:rPr>
              <w:t xml:space="preserve"> </w:t>
            </w:r>
            <w:r>
              <w:rPr>
                <w:rFonts w:ascii="Avenir Next Condensed"/>
                <w:spacing w:val="-1"/>
                <w:sz w:val="18"/>
              </w:rPr>
              <w:t>review</w:t>
            </w:r>
          </w:p>
        </w:tc>
        <w:tc>
          <w:tcPr>
            <w:tcW w:w="76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126"/>
              <w:rPr>
                <w:rFonts w:ascii="Avenir Next Condensed" w:eastAsia="Avenir Next Condensed" w:hAnsi="Avenir Next Condensed" w:cs="Avenir Next Condensed"/>
                <w:sz w:val="18"/>
                <w:szCs w:val="18"/>
              </w:rPr>
            </w:pPr>
            <w:r>
              <w:rPr>
                <w:rFonts w:ascii="Avenir Next Condensed"/>
                <w:sz w:val="18"/>
              </w:rPr>
              <w:t xml:space="preserve">An </w:t>
            </w:r>
            <w:r>
              <w:rPr>
                <w:rFonts w:ascii="Avenir Next Condensed"/>
                <w:i/>
                <w:spacing w:val="-1"/>
                <w:sz w:val="18"/>
              </w:rPr>
              <w:t>ex</w:t>
            </w:r>
            <w:r>
              <w:rPr>
                <w:rFonts w:ascii="Avenir Next Condensed"/>
                <w:i/>
                <w:sz w:val="18"/>
              </w:rPr>
              <w:t xml:space="preserve"> post </w:t>
            </w:r>
            <w:r>
              <w:rPr>
                <w:rFonts w:ascii="Avenir Next Condensed"/>
                <w:sz w:val="18"/>
              </w:rPr>
              <w:t xml:space="preserve">capital </w:t>
            </w:r>
            <w:r>
              <w:rPr>
                <w:rFonts w:ascii="Avenir Next Condensed"/>
                <w:spacing w:val="-1"/>
                <w:sz w:val="18"/>
              </w:rPr>
              <w:t>expenditure</w:t>
            </w:r>
            <w:r>
              <w:rPr>
                <w:rFonts w:ascii="Avenir Next Condensed"/>
                <w:sz w:val="18"/>
              </w:rPr>
              <w:t xml:space="preserve"> </w:t>
            </w:r>
            <w:r>
              <w:rPr>
                <w:rFonts w:ascii="Avenir Next Condensed"/>
                <w:spacing w:val="-1"/>
                <w:sz w:val="18"/>
              </w:rPr>
              <w:t>review</w:t>
            </w:r>
            <w:r>
              <w:rPr>
                <w:rFonts w:ascii="Avenir Next Condensed"/>
                <w:sz w:val="18"/>
              </w:rPr>
              <w:t xml:space="preserve"> allows the </w:t>
            </w:r>
            <w:r>
              <w:rPr>
                <w:rFonts w:ascii="Avenir Next Condensed"/>
                <w:spacing w:val="-1"/>
                <w:sz w:val="18"/>
              </w:rPr>
              <w:t>regulator</w:t>
            </w:r>
            <w:r>
              <w:rPr>
                <w:rFonts w:ascii="Avenir Next Condensed"/>
                <w:sz w:val="18"/>
              </w:rPr>
              <w:t xml:space="preserve"> to </w:t>
            </w:r>
            <w:r>
              <w:rPr>
                <w:rFonts w:ascii="Avenir Next Condensed"/>
                <w:spacing w:val="-1"/>
                <w:sz w:val="18"/>
              </w:rPr>
              <w:t>undertake</w:t>
            </w:r>
            <w:r>
              <w:rPr>
                <w:rFonts w:ascii="Avenir Next Condensed"/>
                <w:sz w:val="18"/>
              </w:rPr>
              <w:t xml:space="preserve"> a </w:t>
            </w:r>
            <w:r>
              <w:rPr>
                <w:rFonts w:ascii="Avenir Next Condensed"/>
                <w:spacing w:val="-1"/>
                <w:sz w:val="18"/>
              </w:rPr>
              <w:t>review</w:t>
            </w:r>
            <w:r>
              <w:rPr>
                <w:rFonts w:ascii="Avenir Next Condensed"/>
                <w:sz w:val="18"/>
              </w:rPr>
              <w:t xml:space="preserve"> of</w:t>
            </w:r>
            <w:r>
              <w:rPr>
                <w:rFonts w:ascii="Avenir Next Condensed"/>
                <w:spacing w:val="4"/>
                <w:sz w:val="18"/>
              </w:rPr>
              <w:t xml:space="preserve"> </w:t>
            </w: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71"/>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actually </w:t>
            </w:r>
            <w:r>
              <w:rPr>
                <w:rFonts w:ascii="Avenir Next Condensed"/>
                <w:spacing w:val="-1"/>
                <w:sz w:val="18"/>
              </w:rPr>
              <w:t>undertaken</w:t>
            </w:r>
            <w:r>
              <w:rPr>
                <w:rFonts w:ascii="Avenir Next Condensed"/>
                <w:sz w:val="18"/>
              </w:rPr>
              <w:t xml:space="preserve"> in the </w:t>
            </w:r>
            <w:r>
              <w:rPr>
                <w:rFonts w:ascii="Avenir Next Condensed"/>
                <w:spacing w:val="-1"/>
                <w:sz w:val="18"/>
              </w:rPr>
              <w:t>regulatory</w:t>
            </w:r>
            <w:r>
              <w:rPr>
                <w:rFonts w:ascii="Avenir Next Condensed"/>
                <w:sz w:val="18"/>
              </w:rPr>
              <w:t xml:space="preserve"> period at the commencement of</w:t>
            </w:r>
            <w:r>
              <w:rPr>
                <w:rFonts w:ascii="Avenir Next Condensed"/>
                <w:spacing w:val="4"/>
                <w:sz w:val="18"/>
              </w:rPr>
              <w:t xml:space="preserve"> </w:t>
            </w:r>
            <w:r>
              <w:rPr>
                <w:rFonts w:ascii="Avenir Next Condensed"/>
                <w:sz w:val="18"/>
              </w:rPr>
              <w:t xml:space="preserve">the </w:t>
            </w:r>
            <w:r>
              <w:rPr>
                <w:rFonts w:ascii="Avenir Next Condensed"/>
                <w:spacing w:val="-1"/>
                <w:sz w:val="18"/>
              </w:rPr>
              <w:t>next</w:t>
            </w:r>
            <w:r>
              <w:rPr>
                <w:rFonts w:ascii="Avenir Next Condensed"/>
                <w:sz w:val="18"/>
              </w:rPr>
              <w:t xml:space="preserve"> </w:t>
            </w:r>
            <w:r>
              <w:rPr>
                <w:rFonts w:ascii="Avenir Next Condensed"/>
                <w:spacing w:val="-1"/>
                <w:sz w:val="18"/>
              </w:rPr>
              <w:t>regulatory</w:t>
            </w:r>
            <w:r>
              <w:rPr>
                <w:rFonts w:ascii="Avenir Next Condensed"/>
                <w:sz w:val="18"/>
              </w:rPr>
              <w:t xml:space="preserve"> period</w:t>
            </w:r>
            <w:r>
              <w:rPr>
                <w:rFonts w:ascii="Avenir Next Condensed"/>
                <w:spacing w:val="65"/>
                <w:sz w:val="18"/>
              </w:rPr>
              <w:t xml:space="preserve"> </w:t>
            </w:r>
            <w:r>
              <w:rPr>
                <w:rFonts w:ascii="Avenir Next Condensed"/>
                <w:sz w:val="18"/>
              </w:rPr>
              <w:t xml:space="preserve">and can </w:t>
            </w:r>
            <w:r>
              <w:rPr>
                <w:rFonts w:ascii="Avenir Next Condensed"/>
                <w:spacing w:val="-1"/>
                <w:sz w:val="18"/>
              </w:rPr>
              <w:t>therefore</w:t>
            </w:r>
            <w:r>
              <w:rPr>
                <w:rFonts w:ascii="Avenir Next Condensed"/>
                <w:sz w:val="18"/>
              </w:rPr>
              <w:t xml:space="preserve"> be used to </w:t>
            </w:r>
            <w:r>
              <w:rPr>
                <w:rFonts w:ascii="Avenir Next Condensed"/>
                <w:spacing w:val="-1"/>
                <w:sz w:val="18"/>
              </w:rPr>
              <w:t>deal</w:t>
            </w:r>
            <w:r>
              <w:rPr>
                <w:rFonts w:ascii="Avenir Next Condensed"/>
                <w:sz w:val="18"/>
              </w:rPr>
              <w:t xml:space="preserve"> with the risk that a </w:t>
            </w:r>
            <w:r>
              <w:rPr>
                <w:rFonts w:ascii="Avenir Next Condensed"/>
                <w:spacing w:val="-1"/>
                <w:sz w:val="18"/>
              </w:rPr>
              <w:t>regulated</w:t>
            </w:r>
            <w:r>
              <w:rPr>
                <w:rFonts w:ascii="Avenir Next Condensed"/>
                <w:sz w:val="18"/>
              </w:rPr>
              <w:t xml:space="preserve"> service </w:t>
            </w:r>
            <w:r>
              <w:rPr>
                <w:rFonts w:ascii="Avenir Next Condensed"/>
                <w:spacing w:val="-1"/>
                <w:sz w:val="18"/>
              </w:rPr>
              <w:t>provider</w:t>
            </w:r>
            <w:r>
              <w:rPr>
                <w:rFonts w:ascii="Avenir Next Condensed"/>
                <w:sz w:val="18"/>
              </w:rPr>
              <w:t xml:space="preserve"> spends </w:t>
            </w:r>
            <w:r>
              <w:rPr>
                <w:rFonts w:ascii="Avenir Next Condensed"/>
                <w:spacing w:val="-1"/>
                <w:sz w:val="18"/>
              </w:rPr>
              <w:t>less</w:t>
            </w:r>
            <w:r>
              <w:rPr>
                <w:rFonts w:ascii="Avenir Next Condensed"/>
                <w:sz w:val="18"/>
              </w:rPr>
              <w:t xml:space="preserve"> than it </w:t>
            </w:r>
            <w:r>
              <w:rPr>
                <w:rFonts w:ascii="Avenir Next Condensed"/>
                <w:spacing w:val="-1"/>
                <w:sz w:val="18"/>
              </w:rPr>
              <w:t>proposed</w:t>
            </w:r>
            <w:r>
              <w:rPr>
                <w:rFonts w:ascii="Avenir Next Condensed"/>
                <w:sz w:val="18"/>
              </w:rPr>
              <w:t xml:space="preserve"> or</w:t>
            </w:r>
            <w:r>
              <w:rPr>
                <w:rFonts w:ascii="Avenir Next Condensed"/>
                <w:spacing w:val="57"/>
                <w:sz w:val="18"/>
              </w:rPr>
              <w:t xml:space="preserve"> </w:t>
            </w:r>
            <w:r>
              <w:rPr>
                <w:rFonts w:ascii="Avenir Next Condensed"/>
                <w:sz w:val="18"/>
              </w:rPr>
              <w:t xml:space="preserve">undertook imprudent or </w:t>
            </w:r>
            <w:r>
              <w:rPr>
                <w:rFonts w:ascii="Avenir Next Condensed"/>
                <w:spacing w:val="-1"/>
                <w:sz w:val="18"/>
              </w:rPr>
              <w:t>inefficient</w:t>
            </w:r>
            <w:r>
              <w:rPr>
                <w:rFonts w:ascii="Avenir Next Condensed"/>
                <w:sz w:val="18"/>
              </w:rPr>
              <w:t xml:space="preserve"> </w:t>
            </w:r>
            <w:r>
              <w:rPr>
                <w:rFonts w:ascii="Avenir Next Condensed"/>
                <w:spacing w:val="-1"/>
                <w:sz w:val="18"/>
              </w:rPr>
              <w:t>expenditure</w:t>
            </w:r>
            <w:r>
              <w:rPr>
                <w:rFonts w:ascii="Avenir Next Condensed"/>
                <w:sz w:val="18"/>
              </w:rPr>
              <w:t xml:space="preserve"> in the period.</w:t>
            </w:r>
          </w:p>
        </w:tc>
      </w:tr>
    </w:tbl>
    <w:p w:rsidR="00D96B91" w:rsidRDefault="00D96B91">
      <w:pPr>
        <w:spacing w:line="220" w:lineRule="exact"/>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C2656B">
      <w:pPr>
        <w:pStyle w:val="BodyText"/>
        <w:spacing w:before="21" w:line="260" w:lineRule="exact"/>
        <w:ind w:right="1256"/>
        <w:rPr>
          <w:rFonts w:cs="Avenir Next"/>
        </w:rPr>
      </w:pPr>
      <w:r>
        <w:t>A</w:t>
      </w:r>
      <w:r>
        <w:rPr>
          <w:spacing w:val="-5"/>
        </w:rPr>
        <w:t xml:space="preserve"> </w:t>
      </w:r>
      <w:r>
        <w:rPr>
          <w:spacing w:val="-2"/>
        </w:rPr>
        <w:t>regulator’s</w:t>
      </w:r>
      <w:r>
        <w:rPr>
          <w:spacing w:val="-1"/>
        </w:rPr>
        <w:t xml:space="preserve"> </w:t>
      </w:r>
      <w:r>
        <w:t>decision to</w:t>
      </w:r>
      <w:r>
        <w:rPr>
          <w:spacing w:val="-1"/>
        </w:rPr>
        <w:t xml:space="preserve"> </w:t>
      </w:r>
      <w:r>
        <w:t>employ any</w:t>
      </w:r>
      <w:r>
        <w:rPr>
          <w:spacing w:val="-1"/>
        </w:rPr>
        <w:t xml:space="preserve"> </w:t>
      </w:r>
      <w:r>
        <w:t>of</w:t>
      </w:r>
      <w:r>
        <w:rPr>
          <w:spacing w:val="4"/>
        </w:rPr>
        <w:t xml:space="preserve"> </w:t>
      </w:r>
      <w:r>
        <w:t>these</w:t>
      </w:r>
      <w:r>
        <w:rPr>
          <w:spacing w:val="-1"/>
        </w:rPr>
        <w:t xml:space="preserve"> </w:t>
      </w:r>
      <w:r>
        <w:t>tools will</w:t>
      </w:r>
      <w:r>
        <w:rPr>
          <w:spacing w:val="-1"/>
        </w:rPr>
        <w:t xml:space="preserve"> </w:t>
      </w:r>
      <w:r>
        <w:t>depend on</w:t>
      </w:r>
      <w:r>
        <w:rPr>
          <w:spacing w:val="-1"/>
        </w:rPr>
        <w:t xml:space="preserve"> </w:t>
      </w:r>
      <w:r>
        <w:t>how</w:t>
      </w:r>
      <w:r>
        <w:rPr>
          <w:spacing w:val="-1"/>
        </w:rPr>
        <w:t xml:space="preserve"> </w:t>
      </w:r>
      <w:r>
        <w:t>significant it</w:t>
      </w:r>
      <w:r>
        <w:rPr>
          <w:spacing w:val="-1"/>
        </w:rPr>
        <w:t xml:space="preserve"> </w:t>
      </w:r>
      <w:r>
        <w:t>considers the</w:t>
      </w:r>
      <w:r>
        <w:rPr>
          <w:spacing w:val="-1"/>
        </w:rPr>
        <w:t xml:space="preserve"> risks</w:t>
      </w:r>
      <w:r>
        <w:rPr>
          <w:spacing w:val="27"/>
        </w:rPr>
        <w:t xml:space="preserve"> </w:t>
      </w:r>
      <w:r>
        <w:rPr>
          <w:rFonts w:cs="Avenir Next"/>
        </w:rPr>
        <w:t xml:space="preserve">to be and the </w:t>
      </w:r>
      <w:r>
        <w:rPr>
          <w:rFonts w:cs="Avenir Next"/>
          <w:spacing w:val="-1"/>
        </w:rPr>
        <w:t>relative</w:t>
      </w:r>
      <w:r>
        <w:rPr>
          <w:rFonts w:cs="Avenir Next"/>
        </w:rPr>
        <w:t xml:space="preserve"> </w:t>
      </w:r>
      <w:r>
        <w:rPr>
          <w:rFonts w:cs="Avenir Next"/>
          <w:spacing w:val="-1"/>
        </w:rPr>
        <w:t>importance</w:t>
      </w:r>
      <w:r>
        <w:rPr>
          <w:rFonts w:cs="Avenir Next"/>
        </w:rPr>
        <w:t xml:space="preserve"> it places on:</w:t>
      </w:r>
    </w:p>
    <w:p w:rsidR="00D96B91" w:rsidRDefault="00C2656B">
      <w:pPr>
        <w:pStyle w:val="BodyText"/>
        <w:numPr>
          <w:ilvl w:val="0"/>
          <w:numId w:val="131"/>
        </w:numPr>
        <w:tabs>
          <w:tab w:val="left" w:pos="1531"/>
        </w:tabs>
        <w:spacing w:before="178"/>
        <w:ind w:hanging="283"/>
      </w:pPr>
      <w:r>
        <w:rPr>
          <w:spacing w:val="-1"/>
        </w:rPr>
        <w:t xml:space="preserve">providing </w:t>
      </w:r>
      <w:r>
        <w:t>the</w:t>
      </w:r>
      <w:r>
        <w:rPr>
          <w:spacing w:val="-1"/>
        </w:rPr>
        <w:t xml:space="preserve"> regulated</w:t>
      </w:r>
      <w:r>
        <w:t xml:space="preserve"> business</w:t>
      </w:r>
      <w:r>
        <w:rPr>
          <w:spacing w:val="-1"/>
        </w:rPr>
        <w:t xml:space="preserve"> </w:t>
      </w:r>
      <w:r>
        <w:t>with an</w:t>
      </w:r>
      <w:r>
        <w:rPr>
          <w:spacing w:val="-1"/>
        </w:rPr>
        <w:t xml:space="preserve"> opportunity</w:t>
      </w:r>
      <w:r>
        <w:t xml:space="preserve"> to</w:t>
      </w:r>
      <w:r>
        <w:rPr>
          <w:spacing w:val="-1"/>
        </w:rPr>
        <w:t xml:space="preserve"> recover</w:t>
      </w:r>
      <w:r>
        <w:t xml:space="preserve"> </w:t>
      </w:r>
      <w:r>
        <w:rPr>
          <w:spacing w:val="-1"/>
        </w:rPr>
        <w:t xml:space="preserve">efficient </w:t>
      </w:r>
      <w:r>
        <w:t>costs</w:t>
      </w:r>
    </w:p>
    <w:p w:rsidR="00D96B91" w:rsidRDefault="00C2656B">
      <w:pPr>
        <w:pStyle w:val="BodyText"/>
        <w:numPr>
          <w:ilvl w:val="0"/>
          <w:numId w:val="131"/>
        </w:numPr>
        <w:tabs>
          <w:tab w:val="left" w:pos="1531"/>
        </w:tabs>
        <w:spacing w:before="72"/>
        <w:ind w:hanging="283"/>
        <w:rPr>
          <w:rFonts w:cs="Avenir Next"/>
        </w:rPr>
      </w:pPr>
      <w:r>
        <w:rPr>
          <w:spacing w:val="-1"/>
        </w:rPr>
        <w:t>providing</w:t>
      </w:r>
      <w:r>
        <w:t xml:space="preserve"> for some </w:t>
      </w:r>
      <w:r>
        <w:rPr>
          <w:spacing w:val="-1"/>
        </w:rPr>
        <w:t>degree</w:t>
      </w:r>
      <w:r>
        <w:t xml:space="preserve"> of</w:t>
      </w:r>
      <w:r>
        <w:rPr>
          <w:spacing w:val="4"/>
        </w:rPr>
        <w:t xml:space="preserve"> </w:t>
      </w:r>
      <w:r>
        <w:t xml:space="preserve">price stability over the </w:t>
      </w:r>
      <w:r>
        <w:rPr>
          <w:spacing w:val="-1"/>
        </w:rPr>
        <w:t>regulatory</w:t>
      </w:r>
      <w:r>
        <w:t xml:space="preserve"> period</w:t>
      </w:r>
    </w:p>
    <w:p w:rsidR="00D96B91" w:rsidRDefault="00C2656B">
      <w:pPr>
        <w:pStyle w:val="BodyText"/>
        <w:numPr>
          <w:ilvl w:val="0"/>
          <w:numId w:val="131"/>
        </w:numPr>
        <w:tabs>
          <w:tab w:val="left" w:pos="1531"/>
        </w:tabs>
        <w:spacing w:before="72"/>
        <w:ind w:hanging="283"/>
        <w:rPr>
          <w:rFonts w:cs="Avenir Next"/>
        </w:rPr>
      </w:pPr>
      <w:r>
        <w:t xml:space="preserve">minimising </w:t>
      </w:r>
      <w:r>
        <w:rPr>
          <w:spacing w:val="-1"/>
        </w:rPr>
        <w:t>regulatory</w:t>
      </w:r>
      <w:r>
        <w:t xml:space="preserve"> costs,</w:t>
      </w:r>
      <w:r>
        <w:rPr>
          <w:spacing w:val="-7"/>
        </w:rPr>
        <w:t xml:space="preserve"> </w:t>
      </w:r>
      <w:r>
        <w:t>and</w:t>
      </w:r>
    </w:p>
    <w:p w:rsidR="00D96B91" w:rsidRDefault="00C2656B">
      <w:pPr>
        <w:pStyle w:val="BodyText"/>
        <w:numPr>
          <w:ilvl w:val="0"/>
          <w:numId w:val="131"/>
        </w:numPr>
        <w:tabs>
          <w:tab w:val="left" w:pos="1531"/>
        </w:tabs>
        <w:spacing w:before="72" w:line="427" w:lineRule="auto"/>
        <w:ind w:left="1247" w:right="3559" w:firstLine="0"/>
      </w:pPr>
      <w:r>
        <w:rPr>
          <w:spacing w:val="-1"/>
        </w:rPr>
        <w:t xml:space="preserve">providing </w:t>
      </w:r>
      <w:r>
        <w:t>the</w:t>
      </w:r>
      <w:r>
        <w:rPr>
          <w:spacing w:val="-1"/>
        </w:rPr>
        <w:t xml:space="preserve"> regulated </w:t>
      </w:r>
      <w:r>
        <w:t>business</w:t>
      </w:r>
      <w:r>
        <w:rPr>
          <w:spacing w:val="-1"/>
        </w:rPr>
        <w:t xml:space="preserve"> </w:t>
      </w:r>
      <w:r>
        <w:t>with incentives</w:t>
      </w:r>
      <w:r>
        <w:rPr>
          <w:spacing w:val="-1"/>
        </w:rPr>
        <w:t xml:space="preserve"> </w:t>
      </w:r>
      <w:r>
        <w:t>to</w:t>
      </w:r>
      <w:r>
        <w:rPr>
          <w:spacing w:val="-1"/>
        </w:rPr>
        <w:t xml:space="preserve"> </w:t>
      </w:r>
      <w:r>
        <w:t>pursue</w:t>
      </w:r>
      <w:r>
        <w:rPr>
          <w:spacing w:val="-1"/>
        </w:rPr>
        <w:t xml:space="preserve"> efficiency</w:t>
      </w:r>
      <w:r>
        <w:t xml:space="preserve"> gains.</w:t>
      </w:r>
      <w:r>
        <w:rPr>
          <w:spacing w:val="29"/>
        </w:rPr>
        <w:t xml:space="preserve"> </w:t>
      </w:r>
      <w:r>
        <w:t xml:space="preserve">Invariably </w:t>
      </w:r>
      <w:r>
        <w:rPr>
          <w:spacing w:val="-1"/>
        </w:rPr>
        <w:t>there</w:t>
      </w:r>
      <w:r>
        <w:t xml:space="preserve"> will be a </w:t>
      </w:r>
      <w:r>
        <w:rPr>
          <w:spacing w:val="-1"/>
        </w:rPr>
        <w:t>trade-off</w:t>
      </w:r>
      <w:r>
        <w:rPr>
          <w:spacing w:val="4"/>
        </w:rPr>
        <w:t xml:space="preserve"> </w:t>
      </w:r>
      <w:r>
        <w:t>between these factors.</w:t>
      </w:r>
    </w:p>
    <w:p w:rsidR="00D96B91" w:rsidRDefault="00C2656B">
      <w:pPr>
        <w:pStyle w:val="Heading6"/>
        <w:numPr>
          <w:ilvl w:val="2"/>
          <w:numId w:val="95"/>
        </w:numPr>
        <w:tabs>
          <w:tab w:val="left" w:pos="2098"/>
        </w:tabs>
        <w:spacing w:before="44"/>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9"/>
      </w:pPr>
      <w:r>
        <w:t>In</w:t>
      </w:r>
      <w:r>
        <w:rPr>
          <w:spacing w:val="-1"/>
        </w:rPr>
        <w:t xml:space="preserve"> </w:t>
      </w:r>
      <w:r>
        <w:t>its final decision,</w:t>
      </w:r>
      <w:r>
        <w:rPr>
          <w:spacing w:val="-7"/>
        </w:rPr>
        <w:t xml:space="preserve"> </w:t>
      </w:r>
      <w:r>
        <w:t>the ICRC decided</w:t>
      </w:r>
      <w:r>
        <w:rPr>
          <w:spacing w:val="-1"/>
        </w:rPr>
        <w:t xml:space="preserve"> </w:t>
      </w:r>
      <w:r>
        <w:t xml:space="preserve">to </w:t>
      </w:r>
      <w:r>
        <w:rPr>
          <w:spacing w:val="-1"/>
        </w:rPr>
        <w:t>deal</w:t>
      </w:r>
      <w:r>
        <w:t xml:space="preserve"> with</w:t>
      </w:r>
      <w:r>
        <w:rPr>
          <w:spacing w:val="-1"/>
        </w:rPr>
        <w:t xml:space="preserve"> expenditure-related</w:t>
      </w:r>
      <w:r>
        <w:t xml:space="preserve"> </w:t>
      </w:r>
      <w:r>
        <w:rPr>
          <w:spacing w:val="-1"/>
        </w:rPr>
        <w:t>risks</w:t>
      </w:r>
      <w:r>
        <w:t xml:space="preserve"> </w:t>
      </w:r>
      <w:r>
        <w:rPr>
          <w:spacing w:val="-1"/>
        </w:rPr>
        <w:t>through:</w:t>
      </w:r>
    </w:p>
    <w:p w:rsidR="00D96B91" w:rsidRDefault="00C2656B">
      <w:pPr>
        <w:pStyle w:val="BodyText"/>
        <w:numPr>
          <w:ilvl w:val="0"/>
          <w:numId w:val="131"/>
        </w:numPr>
        <w:tabs>
          <w:tab w:val="left" w:pos="1531"/>
        </w:tabs>
        <w:spacing w:before="157"/>
        <w:ind w:hanging="283"/>
        <w:rPr>
          <w:rFonts w:cs="Avenir Next"/>
        </w:rPr>
      </w:pPr>
      <w:r>
        <w:t xml:space="preserve">the biennial </w:t>
      </w:r>
      <w:r>
        <w:rPr>
          <w:spacing w:val="-1"/>
        </w:rPr>
        <w:t>recalibration</w:t>
      </w:r>
      <w:r>
        <w:t xml:space="preserve"> </w:t>
      </w:r>
      <w:r>
        <w:rPr>
          <w:spacing w:val="-1"/>
        </w:rPr>
        <w:t>process</w:t>
      </w:r>
    </w:p>
    <w:p w:rsidR="00D96B91" w:rsidRDefault="00C2656B">
      <w:pPr>
        <w:numPr>
          <w:ilvl w:val="0"/>
          <w:numId w:val="131"/>
        </w:numPr>
        <w:tabs>
          <w:tab w:val="left" w:pos="1531"/>
        </w:tabs>
        <w:spacing w:before="72"/>
        <w:ind w:hanging="283"/>
        <w:rPr>
          <w:rFonts w:ascii="Avenir Next" w:eastAsia="Avenir Next" w:hAnsi="Avenir Next" w:cs="Avenir Next"/>
          <w:sz w:val="20"/>
          <w:szCs w:val="20"/>
        </w:rPr>
      </w:pPr>
      <w:r>
        <w:rPr>
          <w:rFonts w:ascii="Avenir Next"/>
          <w:sz w:val="20"/>
        </w:rPr>
        <w:t xml:space="preserve">an </w:t>
      </w:r>
      <w:r>
        <w:rPr>
          <w:rFonts w:ascii="Avenir Next"/>
          <w:i/>
          <w:spacing w:val="-1"/>
          <w:sz w:val="20"/>
        </w:rPr>
        <w:t>ex</w:t>
      </w:r>
      <w:r>
        <w:rPr>
          <w:rFonts w:ascii="Avenir Next"/>
          <w:i/>
          <w:sz w:val="20"/>
        </w:rPr>
        <w:t xml:space="preserve"> post </w:t>
      </w:r>
      <w:r>
        <w:rPr>
          <w:rFonts w:ascii="Avenir Next"/>
          <w:sz w:val="20"/>
        </w:rPr>
        <w:t xml:space="preserve">capital </w:t>
      </w:r>
      <w:r>
        <w:rPr>
          <w:rFonts w:ascii="Avenir Next"/>
          <w:spacing w:val="-1"/>
          <w:sz w:val="20"/>
        </w:rPr>
        <w:t>expenditure</w:t>
      </w:r>
      <w:r>
        <w:rPr>
          <w:rFonts w:ascii="Avenir Next"/>
          <w:sz w:val="20"/>
        </w:rPr>
        <w:t xml:space="preserve"> </w:t>
      </w:r>
      <w:r>
        <w:rPr>
          <w:rFonts w:ascii="Avenir Next"/>
          <w:spacing w:val="-1"/>
          <w:sz w:val="20"/>
        </w:rPr>
        <w:t>review</w:t>
      </w:r>
    </w:p>
    <w:p w:rsidR="00D96B91" w:rsidRDefault="00C2656B">
      <w:pPr>
        <w:pStyle w:val="BodyText"/>
        <w:numPr>
          <w:ilvl w:val="0"/>
          <w:numId w:val="131"/>
        </w:numPr>
        <w:tabs>
          <w:tab w:val="left" w:pos="1531"/>
        </w:tabs>
        <w:spacing w:before="72"/>
        <w:ind w:hanging="283"/>
        <w:rPr>
          <w:rFonts w:cs="Avenir Next"/>
        </w:rPr>
      </w:pPr>
      <w:r>
        <w:t xml:space="preserve">a CPI </w:t>
      </w:r>
      <w:r>
        <w:rPr>
          <w:spacing w:val="-1"/>
        </w:rPr>
        <w:t>escalation</w:t>
      </w:r>
      <w:r>
        <w:t xml:space="preserve"> mechanism to </w:t>
      </w:r>
      <w:r>
        <w:rPr>
          <w:spacing w:val="-1"/>
        </w:rPr>
        <w:t>operate</w:t>
      </w:r>
      <w:r>
        <w:t xml:space="preserve"> in the intervening </w:t>
      </w:r>
      <w:r>
        <w:rPr>
          <w:spacing w:val="-1"/>
        </w:rPr>
        <w:t>years,</w:t>
      </w:r>
      <w:r>
        <w:rPr>
          <w:spacing w:val="-6"/>
        </w:rPr>
        <w:t xml:space="preserve"> </w:t>
      </w:r>
      <w:r>
        <w:t>and</w:t>
      </w:r>
    </w:p>
    <w:p w:rsidR="00D96B91" w:rsidRDefault="00C2656B">
      <w:pPr>
        <w:pStyle w:val="BodyText"/>
        <w:numPr>
          <w:ilvl w:val="0"/>
          <w:numId w:val="131"/>
        </w:numPr>
        <w:tabs>
          <w:tab w:val="left" w:pos="1531"/>
        </w:tabs>
        <w:spacing w:before="64" w:line="260" w:lineRule="exact"/>
        <w:ind w:right="1968" w:hanging="283"/>
      </w:pPr>
      <w:r>
        <w:t xml:space="preserve">a cost </w:t>
      </w:r>
      <w:r>
        <w:rPr>
          <w:spacing w:val="-1"/>
        </w:rPr>
        <w:t>pass-through</w:t>
      </w:r>
      <w:r>
        <w:t xml:space="preserve"> mechanism </w:t>
      </w:r>
      <w:r>
        <w:rPr>
          <w:spacing w:val="-1"/>
        </w:rPr>
        <w:t>that</w:t>
      </w:r>
      <w:r>
        <w:t xml:space="preserve"> </w:t>
      </w:r>
      <w:r>
        <w:rPr>
          <w:spacing w:val="-1"/>
        </w:rPr>
        <w:t>provides</w:t>
      </w:r>
      <w:r>
        <w:t xml:space="preserve"> for changes in the</w:t>
      </w:r>
      <w:r>
        <w:rPr>
          <w:spacing w:val="-3"/>
        </w:rPr>
        <w:t xml:space="preserve"> </w:t>
      </w:r>
      <w:r>
        <w:rPr>
          <w:spacing w:val="-2"/>
        </w:rPr>
        <w:t>WAC,</w:t>
      </w:r>
      <w:r>
        <w:rPr>
          <w:spacing w:val="-6"/>
        </w:rPr>
        <w:t xml:space="preserve"> </w:t>
      </w:r>
      <w:r>
        <w:t>UNFT</w:t>
      </w:r>
      <w:r>
        <w:rPr>
          <w:spacing w:val="-5"/>
        </w:rPr>
        <w:t xml:space="preserve"> </w:t>
      </w:r>
      <w:r>
        <w:t>and subvention</w:t>
      </w:r>
      <w:r>
        <w:rPr>
          <w:spacing w:val="31"/>
        </w:rPr>
        <w:t xml:space="preserve"> </w:t>
      </w:r>
      <w:r>
        <w:t xml:space="preserve">payments to be passed </w:t>
      </w:r>
      <w:r>
        <w:rPr>
          <w:spacing w:val="-1"/>
        </w:rPr>
        <w:t>through</w:t>
      </w:r>
      <w:r>
        <w:t xml:space="preserve"> to customers.</w:t>
      </w:r>
    </w:p>
    <w:p w:rsidR="00D96B91" w:rsidRDefault="00D96B91">
      <w:pPr>
        <w:spacing w:before="3"/>
        <w:rPr>
          <w:rFonts w:ascii="Avenir Next" w:eastAsia="Avenir Next" w:hAnsi="Avenir Next" w:cs="Avenir Next"/>
          <w:sz w:val="14"/>
          <w:szCs w:val="14"/>
        </w:rPr>
      </w:pPr>
    </w:p>
    <w:p w:rsidR="00D96B91" w:rsidRDefault="00C2656B">
      <w:pPr>
        <w:pStyle w:val="Heading6"/>
        <w:numPr>
          <w:ilvl w:val="2"/>
          <w:numId w:val="95"/>
        </w:numPr>
        <w:tabs>
          <w:tab w:val="left" w:pos="2098"/>
        </w:tabs>
        <w:ind w:hanging="850"/>
      </w:pPr>
      <w:r>
        <w:rPr>
          <w:color w:val="0778BE"/>
          <w:spacing w:val="-3"/>
        </w:rPr>
        <w:t>ACTEW’s</w:t>
      </w:r>
      <w:r>
        <w:rPr>
          <w:color w:val="0778BE"/>
        </w:rPr>
        <w:t xml:space="preserve"> SOFC</w:t>
      </w:r>
    </w:p>
    <w:p w:rsidR="00D96B91" w:rsidRDefault="00C2656B">
      <w:pPr>
        <w:pStyle w:val="BodyText"/>
        <w:spacing w:before="21" w:line="260" w:lineRule="exact"/>
        <w:ind w:right="1270"/>
        <w:rPr>
          <w:sz w:val="11"/>
          <w:szCs w:val="11"/>
        </w:rPr>
      </w:pPr>
      <w:r>
        <w:t>In its SOFC,</w:t>
      </w:r>
      <w:r>
        <w:rPr>
          <w:spacing w:val="-10"/>
        </w:rPr>
        <w:t xml:space="preserve"> </w:t>
      </w:r>
      <w:r>
        <w:rPr>
          <w:spacing w:val="-2"/>
        </w:rPr>
        <w:t>ACTEW</w:t>
      </w:r>
      <w:r>
        <w:rPr>
          <w:spacing w:val="-3"/>
        </w:rPr>
        <w:t xml:space="preserve"> </w:t>
      </w:r>
      <w:r>
        <w:t xml:space="preserve">noted </w:t>
      </w:r>
      <w:r>
        <w:rPr>
          <w:spacing w:val="-1"/>
        </w:rPr>
        <w:t>that</w:t>
      </w:r>
      <w:r>
        <w:t xml:space="preserve"> if</w:t>
      </w:r>
      <w:r>
        <w:rPr>
          <w:spacing w:val="4"/>
        </w:rPr>
        <w:t xml:space="preserve"> </w:t>
      </w:r>
      <w:r>
        <w:t xml:space="preserve">the </w:t>
      </w:r>
      <w:r>
        <w:rPr>
          <w:spacing w:val="-3"/>
        </w:rPr>
        <w:t>Panel</w:t>
      </w:r>
      <w:r>
        <w:t xml:space="preserve"> decides not to implement the biennial </w:t>
      </w:r>
      <w:r>
        <w:rPr>
          <w:spacing w:val="-1"/>
        </w:rPr>
        <w:t>recalibration</w:t>
      </w:r>
      <w:r>
        <w:t xml:space="preserve"> </w:t>
      </w:r>
      <w:r>
        <w:rPr>
          <w:spacing w:val="-1"/>
        </w:rPr>
        <w:t>process,</w:t>
      </w:r>
      <w:r>
        <w:rPr>
          <w:spacing w:val="35"/>
        </w:rPr>
        <w:t xml:space="preserve"> </w:t>
      </w:r>
      <w:r>
        <w:t>then the scope of</w:t>
      </w:r>
      <w:r>
        <w:rPr>
          <w:spacing w:val="4"/>
        </w:rPr>
        <w:t xml:space="preserve"> </w:t>
      </w:r>
      <w:r>
        <w:t xml:space="preserve">the </w:t>
      </w:r>
      <w:r>
        <w:rPr>
          <w:spacing w:val="-2"/>
        </w:rPr>
        <w:t>ICRC’s</w:t>
      </w:r>
      <w:r>
        <w:t xml:space="preserve"> cost </w:t>
      </w:r>
      <w:r>
        <w:rPr>
          <w:spacing w:val="-1"/>
        </w:rPr>
        <w:t>pass-through</w:t>
      </w:r>
      <w:r>
        <w:t xml:space="preserve"> mechanism will need to be </w:t>
      </w:r>
      <w:r>
        <w:rPr>
          <w:spacing w:val="-1"/>
        </w:rPr>
        <w:t>expanded</w:t>
      </w:r>
      <w:r>
        <w:t xml:space="preserve"> because it will be</w:t>
      </w:r>
      <w:r>
        <w:rPr>
          <w:spacing w:val="33"/>
        </w:rPr>
        <w:t xml:space="preserve"> </w:t>
      </w:r>
      <w:r>
        <w:t>subject to</w:t>
      </w:r>
      <w:r>
        <w:rPr>
          <w:spacing w:val="1"/>
        </w:rPr>
        <w:t xml:space="preserve"> </w:t>
      </w:r>
      <w:r>
        <w:rPr>
          <w:spacing w:val="-1"/>
        </w:rPr>
        <w:t>“increased</w:t>
      </w:r>
      <w:r>
        <w:t xml:space="preserve"> </w:t>
      </w:r>
      <w:r>
        <w:rPr>
          <w:spacing w:val="-1"/>
        </w:rPr>
        <w:t>revenue</w:t>
      </w:r>
      <w:r>
        <w:rPr>
          <w:spacing w:val="1"/>
        </w:rPr>
        <w:t xml:space="preserve"> </w:t>
      </w:r>
      <w:r>
        <w:t>risk</w:t>
      </w:r>
      <w:r>
        <w:rPr>
          <w:spacing w:val="-24"/>
        </w:rPr>
        <w:t>”</w:t>
      </w:r>
      <w:r>
        <w:t>.</w:t>
      </w:r>
      <w:r>
        <w:rPr>
          <w:position w:val="7"/>
          <w:sz w:val="11"/>
          <w:szCs w:val="11"/>
        </w:rPr>
        <w:t>59</w:t>
      </w:r>
      <w:r>
        <w:rPr>
          <w:spacing w:val="23"/>
          <w:position w:val="7"/>
          <w:sz w:val="11"/>
          <w:szCs w:val="11"/>
        </w:rPr>
        <w:t xml:space="preserve"> </w:t>
      </w:r>
      <w:r>
        <w:t>It</w:t>
      </w:r>
      <w:r>
        <w:rPr>
          <w:spacing w:val="1"/>
        </w:rPr>
        <w:t xml:space="preserve"> </w:t>
      </w:r>
      <w:r>
        <w:rPr>
          <w:spacing w:val="-1"/>
        </w:rPr>
        <w:t>proposed</w:t>
      </w:r>
      <w:r>
        <w:t xml:space="preserve"> an</w:t>
      </w:r>
      <w:r>
        <w:rPr>
          <w:spacing w:val="1"/>
        </w:rPr>
        <w:t xml:space="preserve"> </w:t>
      </w:r>
      <w:r>
        <w:rPr>
          <w:spacing w:val="-1"/>
        </w:rPr>
        <w:t>alternative</w:t>
      </w:r>
      <w:r>
        <w:rPr>
          <w:spacing w:val="1"/>
        </w:rPr>
        <w:t xml:space="preserve"> </w:t>
      </w:r>
      <w:r>
        <w:rPr>
          <w:spacing w:val="-1"/>
        </w:rPr>
        <w:t>pass-through</w:t>
      </w:r>
      <w:r>
        <w:t xml:space="preserve"> mechanism</w:t>
      </w:r>
      <w:r>
        <w:rPr>
          <w:spacing w:val="1"/>
        </w:rPr>
        <w:t xml:space="preserve"> </w:t>
      </w:r>
      <w:r>
        <w:rPr>
          <w:spacing w:val="-1"/>
        </w:rPr>
        <w:t>that</w:t>
      </w:r>
      <w:r>
        <w:rPr>
          <w:spacing w:val="1"/>
        </w:rPr>
        <w:t xml:space="preserve"> </w:t>
      </w:r>
      <w:r>
        <w:rPr>
          <w:spacing w:val="-1"/>
        </w:rPr>
        <w:t>provides</w:t>
      </w:r>
      <w:r>
        <w:rPr>
          <w:spacing w:val="21"/>
        </w:rPr>
        <w:t xml:space="preserve"> </w:t>
      </w:r>
      <w:r>
        <w:rPr>
          <w:rFonts w:cs="Avenir Next"/>
        </w:rPr>
        <w:t xml:space="preserve">for changes in costs arising as a </w:t>
      </w:r>
      <w:r>
        <w:rPr>
          <w:rFonts w:cs="Avenir Next"/>
          <w:spacing w:val="-1"/>
        </w:rPr>
        <w:t>result</w:t>
      </w:r>
      <w:r>
        <w:rPr>
          <w:rFonts w:cs="Avenir Next"/>
        </w:rPr>
        <w:t xml:space="preserve"> of</w:t>
      </w:r>
      <w:r>
        <w:rPr>
          <w:rFonts w:cs="Avenir Next"/>
          <w:spacing w:val="4"/>
        </w:rPr>
        <w:t xml:space="preserve"> </w:t>
      </w:r>
      <w:r>
        <w:rPr>
          <w:rFonts w:cs="Avenir Next"/>
        </w:rPr>
        <w:t xml:space="preserve">the following factors to be passed </w:t>
      </w:r>
      <w:r>
        <w:rPr>
          <w:rFonts w:cs="Avenir Next"/>
          <w:spacing w:val="-1"/>
        </w:rPr>
        <w:t>through</w:t>
      </w:r>
      <w:r>
        <w:rPr>
          <w:rFonts w:cs="Avenir Next"/>
        </w:rPr>
        <w:t xml:space="preserve"> to customers on an</w:t>
      </w:r>
      <w:r>
        <w:rPr>
          <w:rFonts w:cs="Avenir Next"/>
          <w:spacing w:val="26"/>
        </w:rPr>
        <w:t xml:space="preserve"> </w:t>
      </w:r>
      <w:r>
        <w:t>annual basis,</w:t>
      </w:r>
      <w:r>
        <w:rPr>
          <w:spacing w:val="-6"/>
        </w:rPr>
        <w:t xml:space="preserve"> </w:t>
      </w:r>
      <w:r>
        <w:t xml:space="preserve">subject to the </w:t>
      </w:r>
      <w:r>
        <w:rPr>
          <w:spacing w:val="-1"/>
        </w:rPr>
        <w:t>materiality</w:t>
      </w:r>
      <w:r>
        <w:rPr>
          <w:spacing w:val="1"/>
        </w:rPr>
        <w:t xml:space="preserve"> </w:t>
      </w:r>
      <w:r>
        <w:rPr>
          <w:spacing w:val="-1"/>
        </w:rPr>
        <w:t>threshold</w:t>
      </w:r>
      <w:r>
        <w:t xml:space="preserve"> being </w:t>
      </w:r>
      <w:r>
        <w:rPr>
          <w:spacing w:val="-1"/>
        </w:rPr>
        <w:t>satisfied:</w:t>
      </w:r>
      <w:r>
        <w:rPr>
          <w:spacing w:val="-1"/>
          <w:position w:val="7"/>
          <w:sz w:val="11"/>
          <w:szCs w:val="11"/>
        </w:rPr>
        <w:t>60</w:t>
      </w:r>
    </w:p>
    <w:p w:rsidR="00D96B91" w:rsidRDefault="00C2656B">
      <w:pPr>
        <w:pStyle w:val="BodyText"/>
        <w:numPr>
          <w:ilvl w:val="0"/>
          <w:numId w:val="131"/>
        </w:numPr>
        <w:tabs>
          <w:tab w:val="left" w:pos="1531"/>
        </w:tabs>
        <w:spacing w:before="178"/>
        <w:ind w:hanging="283"/>
      </w:pPr>
      <w:r>
        <w:t xml:space="preserve">changes in </w:t>
      </w:r>
      <w:r>
        <w:rPr>
          <w:spacing w:val="-1"/>
        </w:rPr>
        <w:t>taxes</w:t>
      </w:r>
      <w:r>
        <w:t xml:space="preserve"> (including the</w:t>
      </w:r>
      <w:r>
        <w:rPr>
          <w:spacing w:val="-3"/>
        </w:rPr>
        <w:t xml:space="preserve"> WAC</w:t>
      </w:r>
      <w:r>
        <w:t xml:space="preserve"> and UNFT)</w:t>
      </w:r>
    </w:p>
    <w:p w:rsidR="00D96B91" w:rsidRDefault="00C2656B">
      <w:pPr>
        <w:pStyle w:val="BodyText"/>
        <w:numPr>
          <w:ilvl w:val="0"/>
          <w:numId w:val="131"/>
        </w:numPr>
        <w:tabs>
          <w:tab w:val="left" w:pos="1531"/>
        </w:tabs>
        <w:spacing w:before="72"/>
        <w:ind w:hanging="283"/>
        <w:rPr>
          <w:rFonts w:cs="Avenir Next"/>
        </w:rPr>
      </w:pPr>
      <w:r>
        <w:t>changes in subvention payments</w:t>
      </w:r>
    </w:p>
    <w:p w:rsidR="00D96B91" w:rsidRDefault="00C2656B">
      <w:pPr>
        <w:pStyle w:val="BodyText"/>
        <w:numPr>
          <w:ilvl w:val="0"/>
          <w:numId w:val="131"/>
        </w:numPr>
        <w:tabs>
          <w:tab w:val="left" w:pos="1531"/>
        </w:tabs>
        <w:spacing w:before="72"/>
        <w:ind w:hanging="283"/>
        <w:rPr>
          <w:rFonts w:cs="Avenir Next"/>
        </w:rPr>
      </w:pPr>
      <w:r>
        <w:t xml:space="preserve">contingent capital </w:t>
      </w:r>
      <w:r>
        <w:rPr>
          <w:spacing w:val="-1"/>
        </w:rPr>
        <w:t>expenditure</w:t>
      </w:r>
      <w:r>
        <w:t xml:space="preserve"> </w:t>
      </w:r>
      <w:r>
        <w:rPr>
          <w:spacing w:val="-1"/>
        </w:rPr>
        <w:t>projects</w:t>
      </w:r>
    </w:p>
    <w:p w:rsidR="00D96B91" w:rsidRDefault="00C2656B">
      <w:pPr>
        <w:pStyle w:val="BodyText"/>
        <w:numPr>
          <w:ilvl w:val="0"/>
          <w:numId w:val="131"/>
        </w:numPr>
        <w:tabs>
          <w:tab w:val="left" w:pos="1531"/>
        </w:tabs>
        <w:spacing w:before="72"/>
        <w:ind w:hanging="283"/>
        <w:rPr>
          <w:rFonts w:cs="Avenir Next"/>
        </w:rPr>
      </w:pPr>
      <w:r>
        <w:t xml:space="preserve">changes in service </w:t>
      </w:r>
      <w:r>
        <w:rPr>
          <w:spacing w:val="-1"/>
        </w:rPr>
        <w:t>standards,</w:t>
      </w:r>
      <w:r>
        <w:rPr>
          <w:spacing w:val="-6"/>
        </w:rPr>
        <w:t xml:space="preserve"> </w:t>
      </w:r>
      <w:r>
        <w:t>and</w:t>
      </w:r>
    </w:p>
    <w:p w:rsidR="00D96B91" w:rsidRDefault="00C2656B">
      <w:pPr>
        <w:pStyle w:val="BodyText"/>
        <w:numPr>
          <w:ilvl w:val="0"/>
          <w:numId w:val="131"/>
        </w:numPr>
        <w:tabs>
          <w:tab w:val="left" w:pos="1531"/>
        </w:tabs>
        <w:spacing w:before="72"/>
        <w:ind w:hanging="283"/>
      </w:pPr>
      <w:r>
        <w:t xml:space="preserve">changes in </w:t>
      </w:r>
      <w:r>
        <w:rPr>
          <w:spacing w:val="-1"/>
        </w:rPr>
        <w:t>regulation.</w:t>
      </w:r>
    </w:p>
    <w:p w:rsidR="00D96B91" w:rsidRDefault="00C2656B">
      <w:pPr>
        <w:pStyle w:val="BodyText"/>
        <w:spacing w:before="72"/>
        <w:rPr>
          <w:rFonts w:cs="Avenir Next"/>
        </w:rPr>
      </w:pPr>
      <w:r>
        <w:rPr>
          <w:rFonts w:cs="Avenir Next"/>
          <w:spacing w:val="-2"/>
        </w:rPr>
        <w:t>ACTEW’s</w:t>
      </w:r>
      <w:r>
        <w:rPr>
          <w:rFonts w:cs="Avenir Next"/>
        </w:rPr>
        <w:t xml:space="preserve"> </w:t>
      </w:r>
      <w:r>
        <w:rPr>
          <w:rFonts w:cs="Avenir Next"/>
          <w:spacing w:val="-1"/>
        </w:rPr>
        <w:t>proposed</w:t>
      </w:r>
      <w:r>
        <w:rPr>
          <w:rFonts w:cs="Avenir Next"/>
        </w:rPr>
        <w:t xml:space="preserve"> </w:t>
      </w:r>
      <w:r>
        <w:rPr>
          <w:rFonts w:cs="Avenir Next"/>
          <w:spacing w:val="-1"/>
        </w:rPr>
        <w:t>materiality</w:t>
      </w:r>
      <w:r>
        <w:rPr>
          <w:rFonts w:cs="Avenir Next"/>
        </w:rPr>
        <w:t xml:space="preserve"> </w:t>
      </w:r>
      <w:r>
        <w:rPr>
          <w:rFonts w:cs="Avenir Next"/>
          <w:spacing w:val="-1"/>
        </w:rPr>
        <w:t>threshold</w:t>
      </w:r>
      <w:r>
        <w:rPr>
          <w:rFonts w:cs="Avenir Next"/>
        </w:rPr>
        <w:t xml:space="preserve"> is:</w:t>
      </w:r>
    </w:p>
    <w:p w:rsidR="00D96B91" w:rsidRDefault="00C2656B">
      <w:pPr>
        <w:pStyle w:val="BodyText"/>
        <w:numPr>
          <w:ilvl w:val="0"/>
          <w:numId w:val="131"/>
        </w:numPr>
        <w:tabs>
          <w:tab w:val="left" w:pos="1531"/>
        </w:tabs>
        <w:spacing w:before="157"/>
        <w:ind w:hanging="283"/>
      </w:pPr>
      <w:r>
        <w:t>$0 for changes in the</w:t>
      </w:r>
      <w:r>
        <w:rPr>
          <w:spacing w:val="-3"/>
        </w:rPr>
        <w:t xml:space="preserve"> </w:t>
      </w:r>
      <w:r>
        <w:rPr>
          <w:spacing w:val="-2"/>
        </w:rPr>
        <w:t>WAC,</w:t>
      </w:r>
      <w:r>
        <w:rPr>
          <w:spacing w:val="-6"/>
        </w:rPr>
        <w:t xml:space="preserve"> </w:t>
      </w:r>
      <w:r>
        <w:t>UNFT</w:t>
      </w:r>
      <w:r>
        <w:rPr>
          <w:spacing w:val="-5"/>
        </w:rPr>
        <w:t xml:space="preserve"> </w:t>
      </w:r>
      <w:r>
        <w:t>and subvention payments,</w:t>
      </w:r>
      <w:r>
        <w:rPr>
          <w:spacing w:val="-6"/>
        </w:rPr>
        <w:t xml:space="preserve"> </w:t>
      </w:r>
      <w:r>
        <w:t>and</w:t>
      </w:r>
    </w:p>
    <w:p w:rsidR="00D96B91" w:rsidRDefault="00C2656B">
      <w:pPr>
        <w:pStyle w:val="BodyText"/>
        <w:numPr>
          <w:ilvl w:val="0"/>
          <w:numId w:val="131"/>
        </w:numPr>
        <w:tabs>
          <w:tab w:val="left" w:pos="1531"/>
        </w:tabs>
        <w:spacing w:before="72"/>
        <w:ind w:hanging="283"/>
      </w:pPr>
      <w:r>
        <w:t xml:space="preserve">$1 million ($2012-13) for all other cost </w:t>
      </w:r>
      <w:r>
        <w:rPr>
          <w:spacing w:val="-1"/>
        </w:rPr>
        <w:t>pass-through</w:t>
      </w:r>
      <w:r>
        <w:t xml:space="preserve"> events.</w:t>
      </w:r>
    </w:p>
    <w:p w:rsidR="00D96B91" w:rsidRDefault="00D96B91">
      <w:pPr>
        <w:spacing w:before="1"/>
        <w:rPr>
          <w:rFonts w:ascii="Avenir Next" w:eastAsia="Avenir Next" w:hAnsi="Avenir Next" w:cs="Avenir Next"/>
          <w:sz w:val="23"/>
          <w:szCs w:val="23"/>
        </w:rPr>
      </w:pPr>
    </w:p>
    <w:p w:rsidR="00D96B91" w:rsidRDefault="00C2656B">
      <w:pPr>
        <w:pStyle w:val="Heading6"/>
        <w:numPr>
          <w:ilvl w:val="2"/>
          <w:numId w:val="95"/>
        </w:numPr>
        <w:tabs>
          <w:tab w:val="left" w:pos="2098"/>
        </w:tabs>
        <w:ind w:hanging="850"/>
      </w:pPr>
      <w:r>
        <w:rPr>
          <w:color w:val="0778BE"/>
          <w:spacing w:val="-4"/>
        </w:rPr>
        <w:t>Panel’s</w:t>
      </w:r>
      <w:r>
        <w:rPr>
          <w:color w:val="0778BE"/>
        </w:rPr>
        <w:t xml:space="preserve"> </w:t>
      </w:r>
      <w:bookmarkStart w:id="71" w:name="_bookmark42"/>
      <w:bookmarkEnd w:id="71"/>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56"/>
      </w:pPr>
      <w:r>
        <w:t xml:space="preserve">In considering the </w:t>
      </w:r>
      <w:r>
        <w:rPr>
          <w:spacing w:val="-1"/>
        </w:rPr>
        <w:t>appropriate</w:t>
      </w:r>
      <w:r>
        <w:t xml:space="preserve"> tools for </w:t>
      </w:r>
      <w:r>
        <w:rPr>
          <w:spacing w:val="-1"/>
        </w:rPr>
        <w:t>dealing</w:t>
      </w:r>
      <w:r>
        <w:t xml:space="preserve"> with</w:t>
      </w:r>
      <w:r>
        <w:rPr>
          <w:spacing w:val="-4"/>
        </w:rPr>
        <w:t xml:space="preserve"> </w:t>
      </w:r>
      <w:r>
        <w:rPr>
          <w:spacing w:val="-2"/>
        </w:rPr>
        <w:t>ACTEW’s</w:t>
      </w:r>
      <w:r>
        <w:t xml:space="preserve"> </w:t>
      </w:r>
      <w:r>
        <w:rPr>
          <w:spacing w:val="-1"/>
        </w:rPr>
        <w:t>expenditure-related</w:t>
      </w:r>
      <w:r>
        <w:t xml:space="preserve"> </w:t>
      </w:r>
      <w:r>
        <w:rPr>
          <w:spacing w:val="-1"/>
        </w:rPr>
        <w:t>risks</w:t>
      </w:r>
      <w:r>
        <w:t xml:space="preserve"> in this</w:t>
      </w:r>
      <w:r>
        <w:rPr>
          <w:spacing w:val="43"/>
        </w:rPr>
        <w:t xml:space="preserve"> </w:t>
      </w:r>
      <w:r>
        <w:rPr>
          <w:rFonts w:cs="Avenir Next"/>
          <w:spacing w:val="-1"/>
        </w:rPr>
        <w:t>regulatory</w:t>
      </w:r>
      <w:r>
        <w:rPr>
          <w:rFonts w:cs="Avenir Next"/>
        </w:rPr>
        <w:t xml:space="preserve"> period,</w:t>
      </w:r>
      <w:r>
        <w:rPr>
          <w:rFonts w:cs="Avenir Next"/>
          <w:spacing w:val="-6"/>
        </w:rPr>
        <w:t xml:space="preserve"> </w:t>
      </w:r>
      <w:r>
        <w:rPr>
          <w:rFonts w:cs="Avenir Next"/>
        </w:rPr>
        <w:t xml:space="preserve">the </w:t>
      </w:r>
      <w:r>
        <w:rPr>
          <w:rFonts w:cs="Avenir Next"/>
          <w:spacing w:val="-3"/>
        </w:rPr>
        <w:t>Panel</w:t>
      </w:r>
      <w:r>
        <w:rPr>
          <w:rFonts w:cs="Avenir Next"/>
        </w:rPr>
        <w:t xml:space="preserve"> took account of</w:t>
      </w:r>
      <w:r>
        <w:rPr>
          <w:rFonts w:cs="Avenir Next"/>
          <w:spacing w:val="4"/>
        </w:rPr>
        <w:t xml:space="preserve"> </w:t>
      </w:r>
      <w:r>
        <w:rPr>
          <w:rFonts w:cs="Avenir Next"/>
        </w:rPr>
        <w:t xml:space="preserve">its </w:t>
      </w:r>
      <w:r>
        <w:rPr>
          <w:rFonts w:cs="Avenir Next"/>
          <w:spacing w:val="-2"/>
        </w:rPr>
        <w:t>draft</w:t>
      </w:r>
      <w:r>
        <w:rPr>
          <w:rFonts w:cs="Avenir Next"/>
        </w:rPr>
        <w:t xml:space="preserve"> decision not to include the biennial </w:t>
      </w:r>
      <w:r>
        <w:rPr>
          <w:rFonts w:cs="Avenir Next"/>
          <w:spacing w:val="-1"/>
        </w:rPr>
        <w:t>recalibration</w:t>
      </w:r>
      <w:r>
        <w:rPr>
          <w:rFonts w:cs="Avenir Next"/>
          <w:spacing w:val="29"/>
        </w:rPr>
        <w:t xml:space="preserve"> </w:t>
      </w:r>
      <w:r>
        <w:t>mechanism.</w:t>
      </w:r>
      <w:r>
        <w:rPr>
          <w:spacing w:val="-6"/>
        </w:rPr>
        <w:t xml:space="preserve"> </w:t>
      </w:r>
      <w:r>
        <w:t>It also took account of</w:t>
      </w:r>
      <w:r>
        <w:rPr>
          <w:spacing w:val="4"/>
        </w:rPr>
        <w:t xml:space="preserve"> </w:t>
      </w:r>
      <w:r>
        <w:t xml:space="preserve">the fact </w:t>
      </w:r>
      <w:r>
        <w:rPr>
          <w:spacing w:val="-1"/>
        </w:rPr>
        <w:t>that</w:t>
      </w:r>
      <w:r>
        <w:t xml:space="preserve"> </w:t>
      </w:r>
      <w:r>
        <w:rPr>
          <w:spacing w:val="-1"/>
        </w:rPr>
        <w:t>frequent</w:t>
      </w:r>
      <w:r>
        <w:t xml:space="preserve"> adjustments to prices can </w:t>
      </w:r>
      <w:r>
        <w:rPr>
          <w:spacing w:val="-1"/>
        </w:rPr>
        <w:t>increase</w:t>
      </w:r>
      <w:r>
        <w:t xml:space="preserve"> </w:t>
      </w:r>
      <w:r>
        <w:rPr>
          <w:spacing w:val="-1"/>
        </w:rPr>
        <w:t>regulatory</w:t>
      </w:r>
      <w:r>
        <w:rPr>
          <w:spacing w:val="25"/>
        </w:rPr>
        <w:t xml:space="preserve"> </w:t>
      </w:r>
      <w:r>
        <w:rPr>
          <w:rFonts w:cs="Avenir Next"/>
        </w:rPr>
        <w:t>costs,</w:t>
      </w:r>
      <w:r>
        <w:rPr>
          <w:rFonts w:cs="Avenir Next"/>
          <w:spacing w:val="-7"/>
        </w:rPr>
        <w:t xml:space="preserve"> </w:t>
      </w:r>
      <w:r>
        <w:rPr>
          <w:rFonts w:cs="Avenir Next"/>
          <w:spacing w:val="-1"/>
        </w:rPr>
        <w:t>result</w:t>
      </w:r>
      <w:r>
        <w:rPr>
          <w:rFonts w:cs="Avenir Next"/>
        </w:rPr>
        <w:t xml:space="preserve"> in </w:t>
      </w:r>
      <w:r>
        <w:rPr>
          <w:rFonts w:cs="Avenir Next"/>
          <w:spacing w:val="-2"/>
        </w:rPr>
        <w:t>greater</w:t>
      </w:r>
      <w:r>
        <w:rPr>
          <w:rFonts w:cs="Avenir Next"/>
        </w:rPr>
        <w:t xml:space="preserve"> price variability and </w:t>
      </w:r>
      <w:r>
        <w:rPr>
          <w:rFonts w:cs="Avenir Next"/>
          <w:spacing w:val="-1"/>
        </w:rPr>
        <w:t>decrease</w:t>
      </w:r>
      <w:r>
        <w:rPr>
          <w:rFonts w:cs="Avenir Next"/>
        </w:rPr>
        <w:t xml:space="preserve"> the </w:t>
      </w:r>
      <w:r>
        <w:rPr>
          <w:rFonts w:cs="Avenir Next"/>
          <w:spacing w:val="-1"/>
        </w:rPr>
        <w:t>regulated</w:t>
      </w:r>
      <w:r>
        <w:rPr>
          <w:rFonts w:cs="Avenir Next"/>
        </w:rPr>
        <w:t xml:space="preserve"> service </w:t>
      </w:r>
      <w:r>
        <w:rPr>
          <w:rFonts w:cs="Avenir Next"/>
          <w:spacing w:val="-1"/>
        </w:rPr>
        <w:t>provider’s</w:t>
      </w:r>
      <w:r>
        <w:rPr>
          <w:rFonts w:cs="Avenir Next"/>
        </w:rPr>
        <w:t xml:space="preserve"> incentives to</w:t>
      </w:r>
      <w:r>
        <w:rPr>
          <w:rFonts w:cs="Avenir Next"/>
          <w:spacing w:val="27"/>
        </w:rPr>
        <w:t xml:space="preserve"> </w:t>
      </w:r>
      <w:r>
        <w:t>pursue</w:t>
      </w:r>
      <w:r>
        <w:rPr>
          <w:spacing w:val="-1"/>
        </w:rPr>
        <w:t xml:space="preserve"> efficiencies,</w:t>
      </w:r>
      <w:r>
        <w:rPr>
          <w:spacing w:val="-6"/>
        </w:rPr>
        <w:t xml:space="preserve"> </w:t>
      </w:r>
      <w:r>
        <w:t>all</w:t>
      </w:r>
      <w:r>
        <w:rPr>
          <w:spacing w:val="-1"/>
        </w:rPr>
        <w:t xml:space="preserve"> </w:t>
      </w:r>
      <w:r>
        <w:t>of</w:t>
      </w:r>
      <w:r>
        <w:rPr>
          <w:spacing w:val="4"/>
        </w:rPr>
        <w:t xml:space="preserve"> </w:t>
      </w:r>
      <w:r>
        <w:t>which</w:t>
      </w:r>
      <w:r>
        <w:rPr>
          <w:spacing w:val="-1"/>
        </w:rPr>
        <w:t xml:space="preserve"> </w:t>
      </w:r>
      <w:r>
        <w:t>act to</w:t>
      </w:r>
      <w:r>
        <w:rPr>
          <w:spacing w:val="-1"/>
        </w:rPr>
        <w:t xml:space="preserve"> </w:t>
      </w:r>
      <w:r>
        <w:t>the detriment</w:t>
      </w:r>
      <w:r>
        <w:rPr>
          <w:spacing w:val="-1"/>
        </w:rPr>
        <w:t xml:space="preserve"> </w:t>
      </w:r>
      <w:r>
        <w:t>of</w:t>
      </w:r>
      <w:r>
        <w:rPr>
          <w:spacing w:val="3"/>
        </w:rPr>
        <w:t xml:space="preserve"> </w:t>
      </w:r>
      <w:r>
        <w:t>consumers.</w:t>
      </w:r>
      <w:r>
        <w:rPr>
          <w:spacing w:val="-10"/>
        </w:rPr>
        <w:t xml:space="preserve"> </w:t>
      </w:r>
      <w:r>
        <w:t>At the</w:t>
      </w:r>
      <w:r>
        <w:rPr>
          <w:spacing w:val="-1"/>
        </w:rPr>
        <w:t xml:space="preserve"> </w:t>
      </w:r>
      <w:r>
        <w:t>same time,</w:t>
      </w:r>
      <w:r>
        <w:rPr>
          <w:spacing w:val="-7"/>
        </w:rPr>
        <w:t xml:space="preserve"> </w:t>
      </w:r>
      <w:r>
        <w:t>it was</w:t>
      </w:r>
      <w:r>
        <w:rPr>
          <w:spacing w:val="-1"/>
        </w:rPr>
        <w:t xml:space="preserve"> aware</w:t>
      </w:r>
      <w:r>
        <w:t xml:space="preserve"> </w:t>
      </w:r>
      <w:r>
        <w:rPr>
          <w:spacing w:val="-1"/>
        </w:rPr>
        <w:t>that</w:t>
      </w:r>
      <w:r>
        <w:rPr>
          <w:spacing w:val="25"/>
        </w:rPr>
        <w:t xml:space="preserve"> </w:t>
      </w:r>
      <w:r>
        <w:t>not</w:t>
      </w:r>
      <w:r>
        <w:rPr>
          <w:spacing w:val="-1"/>
        </w:rPr>
        <w:t xml:space="preserve"> </w:t>
      </w:r>
      <w:r>
        <w:t>allowing</w:t>
      </w:r>
      <w:r>
        <w:rPr>
          <w:spacing w:val="-1"/>
        </w:rPr>
        <w:t xml:space="preserve"> </w:t>
      </w:r>
      <w:r>
        <w:t>these types</w:t>
      </w:r>
      <w:r>
        <w:rPr>
          <w:spacing w:val="-1"/>
        </w:rPr>
        <w:t xml:space="preserve"> </w:t>
      </w:r>
      <w:r>
        <w:t>of</w:t>
      </w:r>
      <w:r>
        <w:rPr>
          <w:spacing w:val="4"/>
        </w:rPr>
        <w:t xml:space="preserve"> </w:t>
      </w:r>
      <w:r>
        <w:t>adjustments</w:t>
      </w:r>
      <w:r>
        <w:rPr>
          <w:spacing w:val="-1"/>
        </w:rPr>
        <w:t xml:space="preserve"> </w:t>
      </w:r>
      <w:r>
        <w:t>could</w:t>
      </w:r>
      <w:r>
        <w:rPr>
          <w:spacing w:val="-1"/>
        </w:rPr>
        <w:t xml:space="preserve"> </w:t>
      </w:r>
      <w:r>
        <w:t xml:space="preserve">adversely </w:t>
      </w:r>
      <w:r>
        <w:rPr>
          <w:spacing w:val="-1"/>
        </w:rPr>
        <w:t>affect</w:t>
      </w:r>
      <w:r>
        <w:rPr>
          <w:spacing w:val="-5"/>
        </w:rPr>
        <w:t xml:space="preserve"> </w:t>
      </w:r>
      <w:r>
        <w:rPr>
          <w:spacing w:val="-2"/>
        </w:rPr>
        <w:t>ACTEW’s</w:t>
      </w:r>
      <w:r>
        <w:t xml:space="preserve"> financial</w:t>
      </w:r>
      <w:r>
        <w:rPr>
          <w:spacing w:val="-1"/>
        </w:rPr>
        <w:t xml:space="preserve"> </w:t>
      </w:r>
      <w:r>
        <w:t>viability and/or</w:t>
      </w:r>
      <w:r>
        <w:rPr>
          <w:spacing w:val="-1"/>
        </w:rPr>
        <w:t xml:space="preserve"> </w:t>
      </w:r>
      <w:r>
        <w:t>its</w:t>
      </w:r>
      <w:r>
        <w:rPr>
          <w:spacing w:val="24"/>
        </w:rPr>
        <w:t xml:space="preserve"> </w:t>
      </w:r>
      <w:r>
        <w:t xml:space="preserve">ability to meet its service </w:t>
      </w:r>
      <w:r>
        <w:rPr>
          <w:spacing w:val="-1"/>
        </w:rPr>
        <w:t>obligations,</w:t>
      </w:r>
      <w:r>
        <w:rPr>
          <w:spacing w:val="-6"/>
        </w:rPr>
        <w:t xml:space="preserve"> </w:t>
      </w:r>
      <w:r>
        <w:t>which would also act to the detriment of</w:t>
      </w:r>
      <w:r>
        <w:rPr>
          <w:spacing w:val="4"/>
        </w:rPr>
        <w:t xml:space="preserve"> </w:t>
      </w:r>
      <w:r>
        <w:t>consumers.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11"/>
          <w:szCs w:val="1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38" style="width:72.5pt;height:.5pt;mso-position-horizontal-relative:char;mso-position-vertical-relative:line" coordsize="1450,10">
            <v:group id="_x0000_s3239" style="position:absolute;left:5;top:5;width:1440;height:2" coordorigin="5,5" coordsize="1440,2">
              <v:shape id="_x0000_s3240"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5.</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30.</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rPr>
          <w:rFonts w:cs="Avenir Next"/>
        </w:rPr>
      </w:pPr>
      <w:r>
        <w:rPr>
          <w:spacing w:val="-3"/>
        </w:rPr>
        <w:t>Having</w:t>
      </w:r>
      <w:r>
        <w:rPr>
          <w:spacing w:val="-6"/>
        </w:rPr>
        <w:t xml:space="preserve"> </w:t>
      </w:r>
      <w:r>
        <w:rPr>
          <w:spacing w:val="-4"/>
        </w:rPr>
        <w:t>carefully</w:t>
      </w:r>
      <w:r>
        <w:rPr>
          <w:spacing w:val="-6"/>
        </w:rPr>
        <w:t xml:space="preserve"> </w:t>
      </w:r>
      <w:r>
        <w:rPr>
          <w:spacing w:val="-3"/>
        </w:rPr>
        <w:t>assessed</w:t>
      </w:r>
      <w:r>
        <w:rPr>
          <w:spacing w:val="-6"/>
        </w:rPr>
        <w:t xml:space="preserve"> </w:t>
      </w:r>
      <w:r>
        <w:rPr>
          <w:spacing w:val="-2"/>
        </w:rPr>
        <w:t>the</w:t>
      </w:r>
      <w:r>
        <w:rPr>
          <w:spacing w:val="-6"/>
        </w:rPr>
        <w:t xml:space="preserve"> </w:t>
      </w:r>
      <w:r>
        <w:rPr>
          <w:spacing w:val="-3"/>
        </w:rPr>
        <w:t>tools</w:t>
      </w:r>
      <w:r>
        <w:rPr>
          <w:spacing w:val="-6"/>
        </w:rPr>
        <w:t xml:space="preserve"> </w:t>
      </w:r>
      <w:r>
        <w:rPr>
          <w:spacing w:val="-2"/>
        </w:rPr>
        <w:t>set</w:t>
      </w:r>
      <w:r>
        <w:rPr>
          <w:spacing w:val="-6"/>
        </w:rPr>
        <w:t xml:space="preserve"> </w:t>
      </w:r>
      <w:r>
        <w:rPr>
          <w:spacing w:val="-2"/>
        </w:rPr>
        <w:t>out</w:t>
      </w:r>
      <w:r>
        <w:rPr>
          <w:spacing w:val="-6"/>
        </w:rPr>
        <w:t xml:space="preserve"> </w:t>
      </w:r>
      <w:r>
        <w:rPr>
          <w:spacing w:val="-2"/>
        </w:rPr>
        <w:t>in</w:t>
      </w:r>
      <w:r>
        <w:rPr>
          <w:spacing w:val="-11"/>
        </w:rPr>
        <w:t xml:space="preserve"> </w:t>
      </w:r>
      <w:hyperlink w:anchor="_bookmark41" w:history="1">
        <w:r>
          <w:rPr>
            <w:spacing w:val="-7"/>
          </w:rPr>
          <w:t>Table</w:t>
        </w:r>
        <w:r>
          <w:rPr>
            <w:spacing w:val="-6"/>
          </w:rPr>
          <w:t xml:space="preserve"> </w:t>
        </w:r>
        <w:r>
          <w:rPr>
            <w:spacing w:val="-3"/>
          </w:rPr>
          <w:t>6.3</w:t>
        </w:r>
      </w:hyperlink>
      <w:r>
        <w:rPr>
          <w:spacing w:val="-3"/>
        </w:rPr>
        <w:t>,</w:t>
      </w:r>
      <w:r>
        <w:rPr>
          <w:spacing w:val="-12"/>
        </w:rPr>
        <w:t xml:space="preserve"> </w:t>
      </w:r>
      <w:r>
        <w:rPr>
          <w:spacing w:val="-2"/>
        </w:rPr>
        <w:t>the</w:t>
      </w:r>
      <w:r>
        <w:rPr>
          <w:spacing w:val="-6"/>
        </w:rPr>
        <w:t xml:space="preserve"> </w:t>
      </w:r>
      <w:r>
        <w:rPr>
          <w:spacing w:val="-5"/>
        </w:rPr>
        <w:t>Panel</w:t>
      </w:r>
      <w:r>
        <w:rPr>
          <w:spacing w:val="-6"/>
        </w:rPr>
        <w:t xml:space="preserve"> </w:t>
      </w:r>
      <w:r>
        <w:rPr>
          <w:spacing w:val="-3"/>
        </w:rPr>
        <w:t>decided</w:t>
      </w:r>
      <w:r>
        <w:rPr>
          <w:spacing w:val="-6"/>
        </w:rPr>
        <w:t xml:space="preserve"> </w:t>
      </w:r>
      <w:r>
        <w:rPr>
          <w:spacing w:val="-2"/>
        </w:rPr>
        <w:t>to</w:t>
      </w:r>
      <w:r>
        <w:rPr>
          <w:spacing w:val="-6"/>
        </w:rPr>
        <w:t xml:space="preserve"> </w:t>
      </w:r>
      <w:r>
        <w:rPr>
          <w:spacing w:val="-3"/>
        </w:rPr>
        <w:t>adopt</w:t>
      </w:r>
      <w:r>
        <w:rPr>
          <w:spacing w:val="-6"/>
        </w:rPr>
        <w:t xml:space="preserve"> </w:t>
      </w:r>
      <w:r>
        <w:rPr>
          <w:spacing w:val="-2"/>
        </w:rPr>
        <w:t>the</w:t>
      </w:r>
      <w:r>
        <w:rPr>
          <w:spacing w:val="-6"/>
        </w:rPr>
        <w:t xml:space="preserve"> </w:t>
      </w:r>
      <w:r>
        <w:rPr>
          <w:spacing w:val="-3"/>
        </w:rPr>
        <w:t>following</w:t>
      </w:r>
      <w:r>
        <w:rPr>
          <w:spacing w:val="-6"/>
        </w:rPr>
        <w:t xml:space="preserve"> </w:t>
      </w:r>
      <w:r>
        <w:rPr>
          <w:spacing w:val="-4"/>
        </w:rPr>
        <w:t>measures:</w:t>
      </w:r>
    </w:p>
    <w:p w:rsidR="00D96B91" w:rsidRDefault="00C2656B">
      <w:pPr>
        <w:pStyle w:val="BodyText"/>
        <w:numPr>
          <w:ilvl w:val="0"/>
          <w:numId w:val="131"/>
        </w:numPr>
        <w:tabs>
          <w:tab w:val="left" w:pos="1531"/>
        </w:tabs>
        <w:spacing w:before="149" w:line="260" w:lineRule="exact"/>
        <w:ind w:right="1603" w:hanging="283"/>
      </w:pPr>
      <w:r>
        <w:t>A</w:t>
      </w:r>
      <w:r>
        <w:rPr>
          <w:spacing w:val="-4"/>
        </w:rPr>
        <w:t xml:space="preserve"> </w:t>
      </w:r>
      <w:r>
        <w:t xml:space="preserve">CPI </w:t>
      </w:r>
      <w:r>
        <w:rPr>
          <w:spacing w:val="-1"/>
        </w:rPr>
        <w:t>escalation</w:t>
      </w:r>
      <w:r>
        <w:t xml:space="preserve"> mechanism,</w:t>
      </w:r>
      <w:r>
        <w:rPr>
          <w:spacing w:val="-6"/>
        </w:rPr>
        <w:t xml:space="preserve"> </w:t>
      </w:r>
      <w:r>
        <w:t xml:space="preserve">which will </w:t>
      </w:r>
      <w:r>
        <w:rPr>
          <w:spacing w:val="-1"/>
        </w:rPr>
        <w:t>provide</w:t>
      </w:r>
      <w:r>
        <w:rPr>
          <w:spacing w:val="-4"/>
        </w:rPr>
        <w:t xml:space="preserve"> </w:t>
      </w:r>
      <w:r>
        <w:rPr>
          <w:spacing w:val="-2"/>
        </w:rPr>
        <w:t>ACTEW</w:t>
      </w:r>
      <w:r>
        <w:rPr>
          <w:spacing w:val="-3"/>
        </w:rPr>
        <w:t xml:space="preserve"> </w:t>
      </w:r>
      <w:r>
        <w:t xml:space="preserve">with some </w:t>
      </w:r>
      <w:r>
        <w:rPr>
          <w:spacing w:val="-1"/>
        </w:rPr>
        <w:t>protection</w:t>
      </w:r>
      <w:r>
        <w:t xml:space="preserve"> against changes in</w:t>
      </w:r>
      <w:r>
        <w:rPr>
          <w:spacing w:val="43"/>
        </w:rPr>
        <w:t xml:space="preserve"> </w:t>
      </w:r>
      <w:r>
        <w:rPr>
          <w:spacing w:val="-1"/>
        </w:rPr>
        <w:t>inflation</w:t>
      </w:r>
      <w:r>
        <w:rPr>
          <w:spacing w:val="-2"/>
        </w:rPr>
        <w:t xml:space="preserve"> </w:t>
      </w:r>
      <w:r>
        <w:t>over</w:t>
      </w:r>
      <w:r>
        <w:rPr>
          <w:spacing w:val="-1"/>
        </w:rPr>
        <w:t xml:space="preserve"> </w:t>
      </w:r>
      <w:r>
        <w:t>the</w:t>
      </w:r>
      <w:r>
        <w:rPr>
          <w:spacing w:val="-1"/>
        </w:rPr>
        <w:t xml:space="preserve"> </w:t>
      </w:r>
      <w:r>
        <w:t>period.</w:t>
      </w:r>
    </w:p>
    <w:p w:rsidR="00D96B91" w:rsidRDefault="00C2656B">
      <w:pPr>
        <w:pStyle w:val="BodyText"/>
        <w:numPr>
          <w:ilvl w:val="0"/>
          <w:numId w:val="131"/>
        </w:numPr>
        <w:tabs>
          <w:tab w:val="left" w:pos="1531"/>
        </w:tabs>
        <w:spacing w:before="85" w:line="260" w:lineRule="exact"/>
        <w:ind w:right="1376" w:hanging="283"/>
      </w:pPr>
      <w:r>
        <w:t xml:space="preserve">An annual cost </w:t>
      </w:r>
      <w:r>
        <w:rPr>
          <w:spacing w:val="-1"/>
        </w:rPr>
        <w:t>pass-through</w:t>
      </w:r>
      <w:r>
        <w:t xml:space="preserve"> mechanism,</w:t>
      </w:r>
      <w:r>
        <w:rPr>
          <w:spacing w:val="-6"/>
        </w:rPr>
        <w:t xml:space="preserve"> </w:t>
      </w:r>
      <w:r>
        <w:t xml:space="preserve">which will </w:t>
      </w:r>
      <w:r>
        <w:rPr>
          <w:spacing w:val="-1"/>
        </w:rPr>
        <w:t>provide</w:t>
      </w:r>
      <w:r>
        <w:rPr>
          <w:spacing w:val="-4"/>
        </w:rPr>
        <w:t xml:space="preserve"> </w:t>
      </w:r>
      <w:r>
        <w:rPr>
          <w:spacing w:val="-2"/>
        </w:rPr>
        <w:t>ACTEW</w:t>
      </w:r>
      <w:r>
        <w:rPr>
          <w:spacing w:val="-3"/>
        </w:rPr>
        <w:t xml:space="preserve"> </w:t>
      </w:r>
      <w:r>
        <w:t>and customers with some</w:t>
      </w:r>
      <w:r>
        <w:rPr>
          <w:spacing w:val="31"/>
        </w:rPr>
        <w:t xml:space="preserve"> </w:t>
      </w:r>
      <w:r>
        <w:rPr>
          <w:spacing w:val="-1"/>
        </w:rPr>
        <w:t>protection</w:t>
      </w:r>
      <w:r>
        <w:t xml:space="preserve"> against </w:t>
      </w:r>
      <w:r>
        <w:rPr>
          <w:spacing w:val="-1"/>
        </w:rPr>
        <w:t>material</w:t>
      </w:r>
      <w:r>
        <w:t xml:space="preserve"> changes (positive and </w:t>
      </w:r>
      <w:r>
        <w:rPr>
          <w:spacing w:val="-1"/>
        </w:rPr>
        <w:t>negative)</w:t>
      </w:r>
      <w:r>
        <w:t xml:space="preserve"> in </w:t>
      </w:r>
      <w:r>
        <w:rPr>
          <w:spacing w:val="-1"/>
        </w:rPr>
        <w:t>uncontrollable</w:t>
      </w:r>
      <w:r>
        <w:t xml:space="preserve"> costs over the period.</w:t>
      </w:r>
    </w:p>
    <w:p w:rsidR="00D96B91" w:rsidRDefault="00C2656B">
      <w:pPr>
        <w:pStyle w:val="BodyText"/>
        <w:numPr>
          <w:ilvl w:val="0"/>
          <w:numId w:val="131"/>
        </w:numPr>
        <w:tabs>
          <w:tab w:val="left" w:pos="1531"/>
        </w:tabs>
        <w:spacing w:before="93" w:line="267" w:lineRule="exact"/>
        <w:ind w:hanging="283"/>
      </w:pPr>
      <w:r>
        <w:rPr>
          <w:spacing w:val="-1"/>
        </w:rPr>
        <w:t>An</w:t>
      </w:r>
      <w:r>
        <w:rPr>
          <w:spacing w:val="-5"/>
        </w:rPr>
        <w:t xml:space="preserve"> </w:t>
      </w:r>
      <w:r>
        <w:rPr>
          <w:i/>
          <w:spacing w:val="-2"/>
        </w:rPr>
        <w:t>ex</w:t>
      </w:r>
      <w:r>
        <w:rPr>
          <w:i/>
          <w:spacing w:val="-4"/>
        </w:rPr>
        <w:t xml:space="preserve"> </w:t>
      </w:r>
      <w:r>
        <w:rPr>
          <w:i/>
          <w:spacing w:val="-2"/>
        </w:rPr>
        <w:t>post</w:t>
      </w:r>
      <w:r>
        <w:rPr>
          <w:i/>
          <w:spacing w:val="-4"/>
        </w:rPr>
        <w:t xml:space="preserve"> </w:t>
      </w:r>
      <w:r>
        <w:rPr>
          <w:spacing w:val="-2"/>
        </w:rPr>
        <w:t>capital</w:t>
      </w:r>
      <w:r>
        <w:rPr>
          <w:spacing w:val="-4"/>
        </w:rPr>
        <w:t xml:space="preserve"> </w:t>
      </w:r>
      <w:r>
        <w:rPr>
          <w:spacing w:val="-3"/>
        </w:rPr>
        <w:t>expenditure</w:t>
      </w:r>
      <w:r>
        <w:rPr>
          <w:spacing w:val="-4"/>
        </w:rPr>
        <w:t xml:space="preserve"> review,</w:t>
      </w:r>
      <w:r>
        <w:rPr>
          <w:spacing w:val="-10"/>
        </w:rPr>
        <w:t xml:space="preserve"> </w:t>
      </w:r>
      <w:r>
        <w:rPr>
          <w:spacing w:val="-2"/>
        </w:rPr>
        <w:t>which</w:t>
      </w:r>
      <w:r>
        <w:rPr>
          <w:spacing w:val="-4"/>
        </w:rPr>
        <w:t xml:space="preserve"> </w:t>
      </w:r>
      <w:r>
        <w:rPr>
          <w:spacing w:val="-2"/>
        </w:rPr>
        <w:t>will</w:t>
      </w:r>
      <w:r>
        <w:rPr>
          <w:spacing w:val="-4"/>
        </w:rPr>
        <w:t xml:space="preserve"> </w:t>
      </w:r>
      <w:r>
        <w:rPr>
          <w:spacing w:val="-2"/>
        </w:rPr>
        <w:t>allow</w:t>
      </w:r>
      <w:r>
        <w:rPr>
          <w:spacing w:val="-4"/>
        </w:rPr>
        <w:t xml:space="preserve"> </w:t>
      </w:r>
      <w:r>
        <w:rPr>
          <w:spacing w:val="-2"/>
        </w:rPr>
        <w:t>the</w:t>
      </w:r>
      <w:r>
        <w:rPr>
          <w:spacing w:val="-4"/>
        </w:rPr>
        <w:t xml:space="preserve"> </w:t>
      </w:r>
      <w:r>
        <w:rPr>
          <w:spacing w:val="-2"/>
        </w:rPr>
        <w:t>ICRC</w:t>
      </w:r>
      <w:r>
        <w:rPr>
          <w:spacing w:val="-4"/>
        </w:rPr>
        <w:t xml:space="preserve"> </w:t>
      </w:r>
      <w:r>
        <w:rPr>
          <w:spacing w:val="-1"/>
        </w:rPr>
        <w:t>to</w:t>
      </w:r>
      <w:r>
        <w:rPr>
          <w:spacing w:val="-4"/>
        </w:rPr>
        <w:t xml:space="preserve"> </w:t>
      </w:r>
      <w:r>
        <w:rPr>
          <w:spacing w:val="-2"/>
        </w:rPr>
        <w:t>assess</w:t>
      </w:r>
      <w:r>
        <w:rPr>
          <w:spacing w:val="-4"/>
        </w:rPr>
        <w:t xml:space="preserve"> </w:t>
      </w:r>
      <w:r>
        <w:rPr>
          <w:spacing w:val="-2"/>
        </w:rPr>
        <w:t>the</w:t>
      </w:r>
      <w:r>
        <w:rPr>
          <w:spacing w:val="-4"/>
        </w:rPr>
        <w:t xml:space="preserve"> </w:t>
      </w:r>
      <w:r>
        <w:rPr>
          <w:spacing w:val="-2"/>
        </w:rPr>
        <w:t>prudence</w:t>
      </w:r>
      <w:r>
        <w:rPr>
          <w:spacing w:val="-5"/>
        </w:rPr>
        <w:t xml:space="preserve"> </w:t>
      </w:r>
      <w:r>
        <w:rPr>
          <w:spacing w:val="-2"/>
        </w:rPr>
        <w:t>and</w:t>
      </w:r>
      <w:r>
        <w:rPr>
          <w:spacing w:val="-4"/>
        </w:rPr>
        <w:t xml:space="preserve"> </w:t>
      </w:r>
      <w:r>
        <w:rPr>
          <w:spacing w:val="-3"/>
        </w:rPr>
        <w:t>effi</w:t>
      </w:r>
      <w:r w:rsidR="004C7CB7">
        <w:rPr>
          <w:spacing w:val="-3"/>
        </w:rPr>
        <w:t>ciency</w:t>
      </w:r>
    </w:p>
    <w:p w:rsidR="00D96B91" w:rsidRDefault="00C2656B">
      <w:pPr>
        <w:pStyle w:val="BodyText"/>
        <w:spacing w:before="3" w:line="228" w:lineRule="auto"/>
        <w:ind w:left="1530" w:right="1548"/>
      </w:pPr>
      <w:r>
        <w:rPr>
          <w:spacing w:val="-1"/>
        </w:rPr>
        <w:t>of</w:t>
      </w:r>
      <w:r>
        <w:t xml:space="preserve"> </w:t>
      </w:r>
      <w:r>
        <w:rPr>
          <w:spacing w:val="-2"/>
        </w:rPr>
        <w:t>the</w:t>
      </w:r>
      <w:r>
        <w:rPr>
          <w:spacing w:val="-4"/>
        </w:rPr>
        <w:t xml:space="preserve"> </w:t>
      </w:r>
      <w:r>
        <w:rPr>
          <w:spacing w:val="-2"/>
        </w:rPr>
        <w:t>capital</w:t>
      </w:r>
      <w:r>
        <w:rPr>
          <w:spacing w:val="-4"/>
        </w:rPr>
        <w:t xml:space="preserve"> </w:t>
      </w:r>
      <w:r>
        <w:rPr>
          <w:spacing w:val="-3"/>
        </w:rPr>
        <w:t>expenditure</w:t>
      </w:r>
      <w:r>
        <w:rPr>
          <w:spacing w:val="-4"/>
        </w:rPr>
        <w:t xml:space="preserve"> </w:t>
      </w:r>
      <w:r>
        <w:rPr>
          <w:spacing w:val="-2"/>
        </w:rPr>
        <w:t>actually</w:t>
      </w:r>
      <w:r>
        <w:rPr>
          <w:spacing w:val="-4"/>
        </w:rPr>
        <w:t xml:space="preserve"> </w:t>
      </w:r>
      <w:r>
        <w:rPr>
          <w:spacing w:val="-3"/>
        </w:rPr>
        <w:t>incurred</w:t>
      </w:r>
      <w:r>
        <w:rPr>
          <w:spacing w:val="-4"/>
        </w:rPr>
        <w:t xml:space="preserve"> </w:t>
      </w:r>
      <w:r>
        <w:rPr>
          <w:spacing w:val="-1"/>
        </w:rPr>
        <w:t>by</w:t>
      </w:r>
      <w:r>
        <w:rPr>
          <w:spacing w:val="-8"/>
        </w:rPr>
        <w:t xml:space="preserve"> </w:t>
      </w:r>
      <w:r>
        <w:rPr>
          <w:spacing w:val="-3"/>
        </w:rPr>
        <w:t>ACTEW</w:t>
      </w:r>
      <w:r>
        <w:rPr>
          <w:spacing w:val="-7"/>
        </w:rPr>
        <w:t xml:space="preserve"> </w:t>
      </w:r>
      <w:r>
        <w:rPr>
          <w:spacing w:val="-1"/>
        </w:rPr>
        <w:t>in</w:t>
      </w:r>
      <w:r>
        <w:rPr>
          <w:spacing w:val="-4"/>
        </w:rPr>
        <w:t xml:space="preserve"> </w:t>
      </w:r>
      <w:r>
        <w:rPr>
          <w:spacing w:val="-2"/>
        </w:rPr>
        <w:t>this</w:t>
      </w:r>
      <w:r>
        <w:rPr>
          <w:spacing w:val="-4"/>
        </w:rPr>
        <w:t xml:space="preserve"> </w:t>
      </w:r>
      <w:r>
        <w:rPr>
          <w:spacing w:val="-3"/>
        </w:rPr>
        <w:t>regulatory</w:t>
      </w:r>
      <w:r>
        <w:rPr>
          <w:spacing w:val="-4"/>
        </w:rPr>
        <w:t xml:space="preserve"> </w:t>
      </w:r>
      <w:r>
        <w:rPr>
          <w:spacing w:val="-2"/>
        </w:rPr>
        <w:t>period</w:t>
      </w:r>
      <w:r>
        <w:rPr>
          <w:spacing w:val="-4"/>
        </w:rPr>
        <w:t xml:space="preserve"> </w:t>
      </w:r>
      <w:r>
        <w:rPr>
          <w:spacing w:val="-3"/>
        </w:rPr>
        <w:t>before</w:t>
      </w:r>
      <w:r>
        <w:rPr>
          <w:spacing w:val="-4"/>
        </w:rPr>
        <w:t xml:space="preserve"> </w:t>
      </w:r>
      <w:r>
        <w:rPr>
          <w:spacing w:val="-3"/>
        </w:rPr>
        <w:t>rolling</w:t>
      </w:r>
      <w:r>
        <w:rPr>
          <w:spacing w:val="-4"/>
        </w:rPr>
        <w:t xml:space="preserve"> </w:t>
      </w:r>
      <w:r>
        <w:rPr>
          <w:spacing w:val="-1"/>
        </w:rPr>
        <w:t>it</w:t>
      </w:r>
      <w:r>
        <w:rPr>
          <w:spacing w:val="-4"/>
        </w:rPr>
        <w:t xml:space="preserve"> </w:t>
      </w:r>
      <w:r>
        <w:rPr>
          <w:spacing w:val="-2"/>
        </w:rPr>
        <w:t>into</w:t>
      </w:r>
      <w:r>
        <w:rPr>
          <w:spacing w:val="78"/>
        </w:rPr>
        <w:t xml:space="preserve"> </w:t>
      </w:r>
      <w:r>
        <w:rPr>
          <w:spacing w:val="-2"/>
        </w:rPr>
        <w:t>the</w:t>
      </w:r>
      <w:r>
        <w:rPr>
          <w:spacing w:val="-4"/>
        </w:rPr>
        <w:t xml:space="preserve"> </w:t>
      </w:r>
      <w:r>
        <w:rPr>
          <w:spacing w:val="-2"/>
        </w:rPr>
        <w:t>RAB</w:t>
      </w:r>
      <w:r>
        <w:rPr>
          <w:spacing w:val="-4"/>
        </w:rPr>
        <w:t xml:space="preserve"> </w:t>
      </w:r>
      <w:r>
        <w:rPr>
          <w:spacing w:val="-1"/>
        </w:rPr>
        <w:t>in</w:t>
      </w:r>
      <w:r>
        <w:rPr>
          <w:spacing w:val="-4"/>
        </w:rPr>
        <w:t xml:space="preserve"> </w:t>
      </w:r>
      <w:r>
        <w:rPr>
          <w:spacing w:val="-2"/>
        </w:rPr>
        <w:t>the</w:t>
      </w:r>
      <w:r>
        <w:rPr>
          <w:spacing w:val="-4"/>
        </w:rPr>
        <w:t xml:space="preserve"> </w:t>
      </w:r>
      <w:r>
        <w:rPr>
          <w:spacing w:val="-2"/>
        </w:rPr>
        <w:t>next</w:t>
      </w:r>
      <w:r>
        <w:rPr>
          <w:spacing w:val="-4"/>
        </w:rPr>
        <w:t xml:space="preserve"> </w:t>
      </w:r>
      <w:r>
        <w:rPr>
          <w:spacing w:val="-2"/>
        </w:rPr>
        <w:t>determination.</w:t>
      </w:r>
      <w:r>
        <w:rPr>
          <w:spacing w:val="-15"/>
        </w:rPr>
        <w:t xml:space="preserve"> </w:t>
      </w:r>
      <w:r>
        <w:rPr>
          <w:spacing w:val="-3"/>
        </w:rPr>
        <w:t>This</w:t>
      </w:r>
      <w:r>
        <w:rPr>
          <w:spacing w:val="-4"/>
        </w:rPr>
        <w:t xml:space="preserve"> </w:t>
      </w:r>
      <w:r>
        <w:rPr>
          <w:spacing w:val="-2"/>
        </w:rPr>
        <w:t>will</w:t>
      </w:r>
      <w:r>
        <w:rPr>
          <w:spacing w:val="-4"/>
        </w:rPr>
        <w:t xml:space="preserve"> </w:t>
      </w:r>
      <w:r>
        <w:rPr>
          <w:spacing w:val="-1"/>
        </w:rPr>
        <w:t>be</w:t>
      </w:r>
      <w:r>
        <w:rPr>
          <w:spacing w:val="-4"/>
        </w:rPr>
        <w:t xml:space="preserve"> </w:t>
      </w:r>
      <w:r>
        <w:rPr>
          <w:spacing w:val="-2"/>
        </w:rPr>
        <w:t>given</w:t>
      </w:r>
      <w:r>
        <w:rPr>
          <w:spacing w:val="-4"/>
        </w:rPr>
        <w:t xml:space="preserve"> </w:t>
      </w:r>
      <w:r>
        <w:rPr>
          <w:spacing w:val="-3"/>
        </w:rPr>
        <w:t>effect</w:t>
      </w:r>
      <w:r>
        <w:rPr>
          <w:spacing w:val="-4"/>
        </w:rPr>
        <w:t xml:space="preserve"> </w:t>
      </w:r>
      <w:r>
        <w:rPr>
          <w:spacing w:val="-3"/>
        </w:rPr>
        <w:t>through</w:t>
      </w:r>
      <w:r>
        <w:rPr>
          <w:spacing w:val="-4"/>
        </w:rPr>
        <w:t xml:space="preserve"> </w:t>
      </w:r>
      <w:r>
        <w:t>a</w:t>
      </w:r>
      <w:r>
        <w:rPr>
          <w:spacing w:val="-4"/>
        </w:rPr>
        <w:t xml:space="preserve"> </w:t>
      </w:r>
      <w:r>
        <w:rPr>
          <w:spacing w:val="-3"/>
        </w:rPr>
        <w:t>future</w:t>
      </w:r>
      <w:r>
        <w:rPr>
          <w:spacing w:val="-4"/>
        </w:rPr>
        <w:t xml:space="preserve"> </w:t>
      </w:r>
      <w:r>
        <w:rPr>
          <w:spacing w:val="-3"/>
        </w:rPr>
        <w:t>reset</w:t>
      </w:r>
      <w:r>
        <w:rPr>
          <w:spacing w:val="-4"/>
        </w:rPr>
        <w:t xml:space="preserve"> </w:t>
      </w:r>
      <w:r>
        <w:rPr>
          <w:spacing w:val="-2"/>
        </w:rPr>
        <w:t>principle.</w:t>
      </w:r>
    </w:p>
    <w:p w:rsidR="00D96B91" w:rsidRDefault="00D96B91">
      <w:pPr>
        <w:spacing w:before="4"/>
        <w:rPr>
          <w:rFonts w:ascii="Avenir Next" w:eastAsia="Avenir Next" w:hAnsi="Avenir Next" w:cs="Avenir Next"/>
          <w:sz w:val="15"/>
          <w:szCs w:val="15"/>
        </w:rPr>
      </w:pPr>
    </w:p>
    <w:p w:rsidR="00D96B91" w:rsidRDefault="00C2656B">
      <w:pPr>
        <w:pStyle w:val="BodyText"/>
        <w:spacing w:line="260" w:lineRule="exact"/>
        <w:ind w:right="1548"/>
      </w:pPr>
      <w:r>
        <w:rPr>
          <w:spacing w:val="-2"/>
        </w:rPr>
        <w:t>The</w:t>
      </w:r>
      <w:r>
        <w:t xml:space="preserve"> scope of</w:t>
      </w:r>
      <w:r>
        <w:rPr>
          <w:spacing w:val="4"/>
        </w:rPr>
        <w:t xml:space="preserve"> </w:t>
      </w:r>
      <w:r>
        <w:t xml:space="preserve">the cost </w:t>
      </w:r>
      <w:r>
        <w:rPr>
          <w:spacing w:val="-1"/>
        </w:rPr>
        <w:t>pass-through</w:t>
      </w:r>
      <w:r>
        <w:t xml:space="preserve"> mechanism and other potential tools the </w:t>
      </w:r>
      <w:r>
        <w:rPr>
          <w:spacing w:val="-3"/>
        </w:rPr>
        <w:t>Panel</w:t>
      </w:r>
      <w:r>
        <w:t xml:space="preserve"> </w:t>
      </w:r>
      <w:r>
        <w:rPr>
          <w:spacing w:val="-1"/>
        </w:rPr>
        <w:t>considered</w:t>
      </w:r>
      <w:r>
        <w:t xml:space="preserve"> </w:t>
      </w:r>
      <w:r>
        <w:rPr>
          <w:spacing w:val="-2"/>
        </w:rPr>
        <w:t>are</w:t>
      </w:r>
      <w:r>
        <w:rPr>
          <w:spacing w:val="41"/>
        </w:rPr>
        <w:t xml:space="preserve"> </w:t>
      </w:r>
      <w:r>
        <w:t xml:space="preserve">discussed </w:t>
      </w:r>
      <w:r>
        <w:rPr>
          <w:spacing w:val="-1"/>
        </w:rPr>
        <w:t>further</w:t>
      </w:r>
      <w:r>
        <w:t xml:space="preserve"> </w:t>
      </w:r>
      <w:r>
        <w:rPr>
          <w:spacing w:val="-2"/>
        </w:rPr>
        <w:t>below.</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94"/>
        </w:numPr>
        <w:tabs>
          <w:tab w:val="left" w:pos="2212"/>
        </w:tabs>
        <w:rPr>
          <w:b w:val="0"/>
          <w:bCs w:val="0"/>
        </w:rPr>
      </w:pPr>
      <w:r>
        <w:rPr>
          <w:color w:val="0778BE"/>
          <w:spacing w:val="-1"/>
        </w:rPr>
        <w:t>Cost</w:t>
      </w:r>
      <w:r>
        <w:rPr>
          <w:color w:val="0778BE"/>
        </w:rPr>
        <w:t xml:space="preserve"> </w:t>
      </w:r>
      <w:r>
        <w:rPr>
          <w:color w:val="0778BE"/>
          <w:spacing w:val="-1"/>
        </w:rPr>
        <w:t>pass-through</w:t>
      </w:r>
      <w:r>
        <w:rPr>
          <w:color w:val="0778BE"/>
        </w:rPr>
        <w:t xml:space="preserve"> mechanism</w:t>
      </w:r>
    </w:p>
    <w:p w:rsidR="00D96B91" w:rsidRDefault="00C2656B">
      <w:pPr>
        <w:pStyle w:val="BodyText"/>
        <w:spacing w:before="28" w:line="260" w:lineRule="exact"/>
        <w:ind w:right="1513"/>
        <w:rPr>
          <w:sz w:val="11"/>
          <w:szCs w:val="11"/>
        </w:rPr>
      </w:pPr>
      <w:r>
        <w:t>Because</w:t>
      </w:r>
      <w:r>
        <w:rPr>
          <w:spacing w:val="-4"/>
        </w:rPr>
        <w:t xml:space="preserve"> </w:t>
      </w:r>
      <w:r>
        <w:rPr>
          <w:spacing w:val="-2"/>
        </w:rPr>
        <w:t>ACTEW</w:t>
      </w:r>
      <w:r>
        <w:rPr>
          <w:spacing w:val="-3"/>
        </w:rPr>
        <w:t xml:space="preserve"> </w:t>
      </w:r>
      <w:r>
        <w:t xml:space="preserve">will no longer have an </w:t>
      </w:r>
      <w:r>
        <w:rPr>
          <w:spacing w:val="-1"/>
        </w:rPr>
        <w:t>opportunity</w:t>
      </w:r>
      <w:r>
        <w:t xml:space="preserve"> to have its costs </w:t>
      </w:r>
      <w:r>
        <w:rPr>
          <w:spacing w:val="-1"/>
        </w:rPr>
        <w:t>reset</w:t>
      </w:r>
      <w:r>
        <w:t xml:space="preserve"> every two </w:t>
      </w:r>
      <w:r>
        <w:rPr>
          <w:spacing w:val="-1"/>
        </w:rPr>
        <w:t>years,</w:t>
      </w:r>
      <w:r>
        <w:rPr>
          <w:spacing w:val="-7"/>
        </w:rPr>
        <w:t xml:space="preserve"> </w:t>
      </w:r>
      <w:r>
        <w:t xml:space="preserve">the </w:t>
      </w:r>
      <w:r>
        <w:rPr>
          <w:spacing w:val="-3"/>
        </w:rPr>
        <w:t>Panel</w:t>
      </w:r>
      <w:r>
        <w:rPr>
          <w:spacing w:val="41"/>
        </w:rPr>
        <w:t xml:space="preserve"> </w:t>
      </w:r>
      <w:r>
        <w:t>has decided</w:t>
      </w:r>
      <w:r>
        <w:rPr>
          <w:spacing w:val="1"/>
        </w:rPr>
        <w:t xml:space="preserve"> </w:t>
      </w:r>
      <w:r>
        <w:t xml:space="preserve">to </w:t>
      </w:r>
      <w:r>
        <w:rPr>
          <w:spacing w:val="-1"/>
        </w:rPr>
        <w:t>expand</w:t>
      </w:r>
      <w:r>
        <w:rPr>
          <w:spacing w:val="1"/>
        </w:rPr>
        <w:t xml:space="preserve"> </w:t>
      </w:r>
      <w:r>
        <w:t>the</w:t>
      </w:r>
      <w:r>
        <w:rPr>
          <w:spacing w:val="1"/>
        </w:rPr>
        <w:t xml:space="preserve"> </w:t>
      </w:r>
      <w:r>
        <w:t>scope of</w:t>
      </w:r>
      <w:r>
        <w:rPr>
          <w:spacing w:val="5"/>
        </w:rPr>
        <w:t xml:space="preserve"> </w:t>
      </w:r>
      <w:r>
        <w:t>the</w:t>
      </w:r>
      <w:r>
        <w:rPr>
          <w:spacing w:val="1"/>
        </w:rPr>
        <w:t xml:space="preserve"> </w:t>
      </w:r>
      <w:r>
        <w:t xml:space="preserve">cost </w:t>
      </w:r>
      <w:r>
        <w:rPr>
          <w:spacing w:val="-1"/>
        </w:rPr>
        <w:t>pass-through</w:t>
      </w:r>
      <w:r>
        <w:rPr>
          <w:spacing w:val="1"/>
        </w:rPr>
        <w:t xml:space="preserve"> </w:t>
      </w:r>
      <w:r>
        <w:t>mechanism</w:t>
      </w:r>
      <w:r>
        <w:rPr>
          <w:spacing w:val="1"/>
        </w:rPr>
        <w:t xml:space="preserve"> </w:t>
      </w:r>
      <w:r>
        <w:t xml:space="preserve">to </w:t>
      </w:r>
      <w:r>
        <w:rPr>
          <w:spacing w:val="-1"/>
        </w:rPr>
        <w:t>include:</w:t>
      </w:r>
      <w:r>
        <w:rPr>
          <w:spacing w:val="-1"/>
          <w:position w:val="7"/>
          <w:sz w:val="11"/>
        </w:rPr>
        <w:t>61</w:t>
      </w:r>
    </w:p>
    <w:p w:rsidR="00D96B91" w:rsidRDefault="00C2656B">
      <w:pPr>
        <w:pStyle w:val="BodyText"/>
        <w:numPr>
          <w:ilvl w:val="0"/>
          <w:numId w:val="131"/>
        </w:numPr>
        <w:tabs>
          <w:tab w:val="left" w:pos="1531"/>
        </w:tabs>
        <w:spacing w:before="170" w:line="260" w:lineRule="exact"/>
        <w:ind w:right="1558" w:hanging="283"/>
        <w:rPr>
          <w:rFonts w:cs="Avenir Next"/>
        </w:rPr>
      </w:pPr>
      <w:r>
        <w:t>Changes in the annual amount payable by</w:t>
      </w:r>
      <w:r>
        <w:rPr>
          <w:spacing w:val="-4"/>
        </w:rPr>
        <w:t xml:space="preserve"> </w:t>
      </w:r>
      <w:r>
        <w:rPr>
          <w:spacing w:val="-2"/>
        </w:rPr>
        <w:t>ACTEW</w:t>
      </w:r>
      <w:r>
        <w:rPr>
          <w:spacing w:val="-3"/>
        </w:rPr>
        <w:t xml:space="preserve"> </w:t>
      </w:r>
      <w:r>
        <w:t>to the</w:t>
      </w:r>
      <w:r>
        <w:rPr>
          <w:spacing w:val="-4"/>
        </w:rPr>
        <w:t xml:space="preserve"> </w:t>
      </w:r>
      <w:r>
        <w:rPr>
          <w:spacing w:val="-2"/>
        </w:rPr>
        <w:t>ACT</w:t>
      </w:r>
      <w:r>
        <w:rPr>
          <w:spacing w:val="-5"/>
        </w:rPr>
        <w:t xml:space="preserve"> </w:t>
      </w:r>
      <w:r>
        <w:t>Government for the</w:t>
      </w:r>
      <w:r>
        <w:rPr>
          <w:spacing w:val="-3"/>
        </w:rPr>
        <w:t xml:space="preserve"> WAC</w:t>
      </w:r>
      <w:r>
        <w:t xml:space="preserve"> and the</w:t>
      </w:r>
      <w:r>
        <w:rPr>
          <w:spacing w:val="27"/>
        </w:rPr>
        <w:t xml:space="preserve"> </w:t>
      </w:r>
      <w:r>
        <w:rPr>
          <w:spacing w:val="-4"/>
        </w:rPr>
        <w:t>UNFT.</w:t>
      </w:r>
      <w:r>
        <w:rPr>
          <w:spacing w:val="-6"/>
        </w:rPr>
        <w:t xml:space="preserve"> </w:t>
      </w:r>
      <w:r>
        <w:t xml:space="preserve">Note </w:t>
      </w:r>
      <w:r>
        <w:rPr>
          <w:spacing w:val="-1"/>
        </w:rPr>
        <w:t>that</w:t>
      </w:r>
      <w:r>
        <w:t xml:space="preserve"> </w:t>
      </w:r>
      <w:r>
        <w:rPr>
          <w:spacing w:val="-1"/>
        </w:rPr>
        <w:t>unlike</w:t>
      </w:r>
      <w:r>
        <w:t xml:space="preserve"> prior price </w:t>
      </w:r>
      <w:r>
        <w:rPr>
          <w:spacing w:val="-1"/>
        </w:rPr>
        <w:t>directions</w:t>
      </w:r>
      <w:r>
        <w:t xml:space="preserve"> </w:t>
      </w:r>
      <w:r>
        <w:rPr>
          <w:spacing w:val="-1"/>
        </w:rPr>
        <w:t>that</w:t>
      </w:r>
      <w:r>
        <w:t xml:space="preserve"> have only passed </w:t>
      </w:r>
      <w:r>
        <w:rPr>
          <w:spacing w:val="-1"/>
        </w:rPr>
        <w:t>through</w:t>
      </w:r>
      <w:r>
        <w:t xml:space="preserve"> changes in the</w:t>
      </w:r>
      <w:r>
        <w:rPr>
          <w:spacing w:val="-3"/>
        </w:rPr>
        <w:t xml:space="preserve"> WAC</w:t>
      </w:r>
      <w:r>
        <w:rPr>
          <w:spacing w:val="43"/>
        </w:rPr>
        <w:t xml:space="preserve"> </w:t>
      </w:r>
      <w:r>
        <w:t>and</w:t>
      </w:r>
      <w:r>
        <w:rPr>
          <w:spacing w:val="-1"/>
        </w:rPr>
        <w:t xml:space="preserve"> </w:t>
      </w:r>
      <w:r>
        <w:t>UNFT</w:t>
      </w:r>
      <w:r>
        <w:rPr>
          <w:spacing w:val="-5"/>
        </w:rPr>
        <w:t xml:space="preserve"> </w:t>
      </w:r>
      <w:r>
        <w:rPr>
          <w:spacing w:val="-1"/>
        </w:rPr>
        <w:t>rates,</w:t>
      </w:r>
      <w:r>
        <w:rPr>
          <w:spacing w:val="-6"/>
        </w:rPr>
        <w:t xml:space="preserve"> </w:t>
      </w:r>
      <w:r>
        <w:t>the</w:t>
      </w:r>
      <w:r>
        <w:rPr>
          <w:spacing w:val="-1"/>
        </w:rPr>
        <w:t xml:space="preserve"> </w:t>
      </w:r>
      <w:r>
        <w:rPr>
          <w:spacing w:val="-3"/>
        </w:rPr>
        <w:t>Panel</w:t>
      </w:r>
      <w:r>
        <w:t xml:space="preserve"> has decided</w:t>
      </w:r>
      <w:r>
        <w:rPr>
          <w:spacing w:val="-1"/>
        </w:rPr>
        <w:t xml:space="preserve"> that</w:t>
      </w:r>
      <w:r>
        <w:t xml:space="preserve"> the pass</w:t>
      </w:r>
      <w:r>
        <w:rPr>
          <w:spacing w:val="-1"/>
        </w:rPr>
        <w:t xml:space="preserve"> through</w:t>
      </w:r>
      <w:r>
        <w:t xml:space="preserve"> amount should</w:t>
      </w:r>
      <w:r>
        <w:rPr>
          <w:spacing w:val="-1"/>
        </w:rPr>
        <w:t xml:space="preserve"> reflect</w:t>
      </w:r>
      <w:r>
        <w:t xml:space="preserve"> </w:t>
      </w:r>
      <w:r>
        <w:rPr>
          <w:spacing w:val="-1"/>
        </w:rPr>
        <w:t>differences</w:t>
      </w:r>
      <w:r>
        <w:t xml:space="preserve"> in</w:t>
      </w:r>
      <w:r>
        <w:rPr>
          <w:spacing w:val="31"/>
        </w:rPr>
        <w:t xml:space="preserve"> </w:t>
      </w:r>
      <w:r>
        <w:t>the total amount payable to the</w:t>
      </w:r>
      <w:r>
        <w:rPr>
          <w:spacing w:val="-4"/>
        </w:rPr>
        <w:t xml:space="preserve"> </w:t>
      </w:r>
      <w:r>
        <w:rPr>
          <w:spacing w:val="-2"/>
        </w:rPr>
        <w:t>ACT</w:t>
      </w:r>
      <w:r>
        <w:rPr>
          <w:spacing w:val="-5"/>
        </w:rPr>
        <w:t xml:space="preserve"> </w:t>
      </w:r>
      <w:r>
        <w:t xml:space="preserve">Government in </w:t>
      </w:r>
      <w:r>
        <w:rPr>
          <w:spacing w:val="-1"/>
        </w:rPr>
        <w:t>each</w:t>
      </w:r>
      <w:r>
        <w:t xml:space="preserve"> </w:t>
      </w:r>
      <w:r>
        <w:rPr>
          <w:spacing w:val="-3"/>
        </w:rPr>
        <w:t>year,</w:t>
      </w:r>
      <w:r>
        <w:rPr>
          <w:spacing w:val="-6"/>
        </w:rPr>
        <w:t xml:space="preserve"> </w:t>
      </w:r>
      <w:r>
        <w:t xml:space="preserve">which is </w:t>
      </w:r>
      <w:r>
        <w:rPr>
          <w:spacing w:val="-1"/>
        </w:rPr>
        <w:t>calculated</w:t>
      </w:r>
      <w:r>
        <w:t xml:space="preserve"> as follows:</w:t>
      </w:r>
    </w:p>
    <w:p w:rsidR="00D96B91" w:rsidRDefault="00C2656B">
      <w:pPr>
        <w:pStyle w:val="BodyText"/>
        <w:numPr>
          <w:ilvl w:val="0"/>
          <w:numId w:val="131"/>
        </w:numPr>
        <w:tabs>
          <w:tab w:val="left" w:pos="1531"/>
        </w:tabs>
        <w:spacing w:before="93"/>
        <w:ind w:hanging="283"/>
        <w:rPr>
          <w:rFonts w:cs="Avenir Next"/>
          <w:sz w:val="11"/>
          <w:szCs w:val="11"/>
        </w:rPr>
      </w:pPr>
      <w:r>
        <w:rPr>
          <w:spacing w:val="-3"/>
        </w:rPr>
        <w:t>WAC</w:t>
      </w:r>
      <w:r>
        <w:t xml:space="preserve"> </w:t>
      </w:r>
      <w:r>
        <w:rPr>
          <w:spacing w:val="-1"/>
        </w:rPr>
        <w:t>charge</w:t>
      </w:r>
      <w:r>
        <w:rPr>
          <w:spacing w:val="-1"/>
          <w:position w:val="-6"/>
          <w:sz w:val="11"/>
        </w:rPr>
        <w:t>t</w:t>
      </w:r>
      <w:r>
        <w:rPr>
          <w:spacing w:val="24"/>
          <w:position w:val="-6"/>
          <w:sz w:val="11"/>
        </w:rPr>
        <w:t xml:space="preserve"> </w:t>
      </w:r>
      <w:r>
        <w:t>=</w:t>
      </w:r>
      <w:r>
        <w:rPr>
          <w:spacing w:val="-4"/>
        </w:rPr>
        <w:t xml:space="preserve"> </w:t>
      </w:r>
      <w:r>
        <w:t>Actual</w:t>
      </w:r>
      <w:r>
        <w:rPr>
          <w:spacing w:val="1"/>
        </w:rPr>
        <w:t xml:space="preserve"> </w:t>
      </w:r>
      <w:r>
        <w:t>dam</w:t>
      </w:r>
      <w:r>
        <w:rPr>
          <w:spacing w:val="1"/>
        </w:rPr>
        <w:t xml:space="preserve"> </w:t>
      </w:r>
      <w:r>
        <w:rPr>
          <w:spacing w:val="-1"/>
        </w:rPr>
        <w:t>releases</w:t>
      </w:r>
      <w:r>
        <w:rPr>
          <w:spacing w:val="-1"/>
          <w:position w:val="-6"/>
          <w:sz w:val="11"/>
        </w:rPr>
        <w:t>t</w:t>
      </w:r>
      <w:r>
        <w:rPr>
          <w:spacing w:val="23"/>
          <w:position w:val="-6"/>
          <w:sz w:val="11"/>
        </w:rPr>
        <w:t xml:space="preserve"> </w:t>
      </w:r>
      <w:r>
        <w:t>x</w:t>
      </w:r>
      <w:r>
        <w:rPr>
          <w:spacing w:val="-2"/>
        </w:rPr>
        <w:t xml:space="preserve"> </w:t>
      </w:r>
      <w:r>
        <w:rPr>
          <w:spacing w:val="-3"/>
        </w:rPr>
        <w:t>WAC</w:t>
      </w:r>
      <w:r>
        <w:rPr>
          <w:spacing w:val="1"/>
        </w:rPr>
        <w:t xml:space="preserve"> </w:t>
      </w:r>
      <w:r>
        <w:rPr>
          <w:spacing w:val="-1"/>
        </w:rPr>
        <w:t>rate</w:t>
      </w:r>
      <w:r>
        <w:rPr>
          <w:spacing w:val="-1"/>
          <w:position w:val="-6"/>
          <w:sz w:val="11"/>
        </w:rPr>
        <w:t>t</w:t>
      </w:r>
    </w:p>
    <w:p w:rsidR="00D96B91" w:rsidRDefault="00C2656B">
      <w:pPr>
        <w:pStyle w:val="BodyText"/>
        <w:numPr>
          <w:ilvl w:val="0"/>
          <w:numId w:val="131"/>
        </w:numPr>
        <w:tabs>
          <w:tab w:val="left" w:pos="1531"/>
        </w:tabs>
        <w:spacing w:before="35"/>
        <w:ind w:hanging="283"/>
        <w:rPr>
          <w:rFonts w:cs="Avenir Next"/>
          <w:sz w:val="11"/>
          <w:szCs w:val="11"/>
        </w:rPr>
      </w:pPr>
      <w:r>
        <w:t>UNFT</w:t>
      </w:r>
      <w:r>
        <w:rPr>
          <w:spacing w:val="-5"/>
        </w:rPr>
        <w:t xml:space="preserve"> </w:t>
      </w:r>
      <w:r>
        <w:rPr>
          <w:spacing w:val="-1"/>
        </w:rPr>
        <w:t>charge</w:t>
      </w:r>
      <w:r>
        <w:rPr>
          <w:spacing w:val="-1"/>
          <w:position w:val="-6"/>
          <w:sz w:val="11"/>
        </w:rPr>
        <w:t>t</w:t>
      </w:r>
      <w:r>
        <w:rPr>
          <w:spacing w:val="23"/>
          <w:position w:val="-6"/>
          <w:sz w:val="11"/>
        </w:rPr>
        <w:t xml:space="preserve"> </w:t>
      </w:r>
      <w:r>
        <w:t>=</w:t>
      </w:r>
      <w:r>
        <w:rPr>
          <w:spacing w:val="-3"/>
        </w:rPr>
        <w:t xml:space="preserve"> </w:t>
      </w:r>
      <w:r>
        <w:t>Actual</w:t>
      </w:r>
      <w:r>
        <w:rPr>
          <w:spacing w:val="1"/>
        </w:rPr>
        <w:t xml:space="preserve"> </w:t>
      </w:r>
      <w:r>
        <w:t xml:space="preserve">network </w:t>
      </w:r>
      <w:r>
        <w:rPr>
          <w:spacing w:val="-1"/>
        </w:rPr>
        <w:t>length</w:t>
      </w:r>
      <w:r>
        <w:rPr>
          <w:spacing w:val="-1"/>
          <w:position w:val="-6"/>
          <w:sz w:val="11"/>
        </w:rPr>
        <w:t>t</w:t>
      </w:r>
      <w:r>
        <w:rPr>
          <w:spacing w:val="23"/>
          <w:position w:val="-6"/>
          <w:sz w:val="11"/>
        </w:rPr>
        <w:t xml:space="preserve"> </w:t>
      </w:r>
      <w:r>
        <w:t>x</w:t>
      </w:r>
      <w:r>
        <w:rPr>
          <w:spacing w:val="1"/>
        </w:rPr>
        <w:t xml:space="preserve"> </w:t>
      </w:r>
      <w:r>
        <w:t>UNFT</w:t>
      </w:r>
      <w:r>
        <w:rPr>
          <w:spacing w:val="-4"/>
        </w:rPr>
        <w:t xml:space="preserve"> </w:t>
      </w:r>
      <w:r>
        <w:rPr>
          <w:spacing w:val="-1"/>
        </w:rPr>
        <w:t>rate</w:t>
      </w:r>
      <w:r>
        <w:rPr>
          <w:spacing w:val="-1"/>
          <w:position w:val="-6"/>
          <w:sz w:val="11"/>
        </w:rPr>
        <w:t>t</w:t>
      </w:r>
    </w:p>
    <w:p w:rsidR="00D96B91" w:rsidRDefault="00C2656B">
      <w:pPr>
        <w:pStyle w:val="BodyText"/>
        <w:numPr>
          <w:ilvl w:val="0"/>
          <w:numId w:val="131"/>
        </w:numPr>
        <w:tabs>
          <w:tab w:val="left" w:pos="1531"/>
        </w:tabs>
        <w:spacing w:before="26" w:line="260" w:lineRule="exact"/>
        <w:ind w:right="1304" w:hanging="283"/>
        <w:jc w:val="both"/>
      </w:pPr>
      <w:r>
        <w:t>In</w:t>
      </w:r>
      <w:r>
        <w:rPr>
          <w:spacing w:val="-1"/>
        </w:rPr>
        <w:t xml:space="preserve"> </w:t>
      </w:r>
      <w:r>
        <w:t xml:space="preserve">other </w:t>
      </w:r>
      <w:r>
        <w:rPr>
          <w:spacing w:val="-1"/>
        </w:rPr>
        <w:t>words,</w:t>
      </w:r>
      <w:r>
        <w:rPr>
          <w:spacing w:val="-6"/>
        </w:rPr>
        <w:t xml:space="preserve"> </w:t>
      </w:r>
      <w:r>
        <w:t>this</w:t>
      </w:r>
      <w:r>
        <w:rPr>
          <w:spacing w:val="-1"/>
        </w:rPr>
        <w:t xml:space="preserve"> </w:t>
      </w:r>
      <w:r>
        <w:t xml:space="preserve">amount should </w:t>
      </w:r>
      <w:r>
        <w:rPr>
          <w:spacing w:val="-1"/>
        </w:rPr>
        <w:t>reflect differences</w:t>
      </w:r>
      <w:r>
        <w:t xml:space="preserve"> in the</w:t>
      </w:r>
      <w:r>
        <w:rPr>
          <w:spacing w:val="-1"/>
        </w:rPr>
        <w:t xml:space="preserve"> rates,</w:t>
      </w:r>
      <w:r>
        <w:rPr>
          <w:spacing w:val="-6"/>
        </w:rPr>
        <w:t xml:space="preserve"> </w:t>
      </w:r>
      <w:r>
        <w:t xml:space="preserve">the dam </w:t>
      </w:r>
      <w:r>
        <w:rPr>
          <w:spacing w:val="-1"/>
        </w:rPr>
        <w:t xml:space="preserve">releases </w:t>
      </w:r>
      <w:r>
        <w:t>and the network</w:t>
      </w:r>
      <w:r>
        <w:rPr>
          <w:spacing w:val="23"/>
        </w:rPr>
        <w:t xml:space="preserve"> </w:t>
      </w:r>
      <w:r>
        <w:t xml:space="preserve">lengths </w:t>
      </w:r>
      <w:r>
        <w:rPr>
          <w:spacing w:val="-1"/>
        </w:rPr>
        <w:t>that</w:t>
      </w:r>
      <w:r>
        <w:t xml:space="preserve"> </w:t>
      </w:r>
      <w:r>
        <w:rPr>
          <w:spacing w:val="-1"/>
        </w:rPr>
        <w:t>were</w:t>
      </w:r>
      <w:r>
        <w:t xml:space="preserve"> assumed when </w:t>
      </w:r>
      <w:r>
        <w:rPr>
          <w:spacing w:val="-1"/>
        </w:rPr>
        <w:t>calculating</w:t>
      </w:r>
      <w:r>
        <w:rPr>
          <w:spacing w:val="-4"/>
        </w:rPr>
        <w:t xml:space="preserve"> </w:t>
      </w:r>
      <w:r>
        <w:rPr>
          <w:spacing w:val="-2"/>
        </w:rPr>
        <w:t>ACTEW’s</w:t>
      </w:r>
      <w:r>
        <w:t xml:space="preserve"> </w:t>
      </w:r>
      <w:r>
        <w:rPr>
          <w:spacing w:val="-1"/>
        </w:rPr>
        <w:t>revenue</w:t>
      </w:r>
      <w:r>
        <w:t xml:space="preserve"> </w:t>
      </w:r>
      <w:r>
        <w:rPr>
          <w:spacing w:val="-1"/>
        </w:rPr>
        <w:t>requirement.</w:t>
      </w:r>
      <w:r>
        <w:rPr>
          <w:spacing w:val="-11"/>
        </w:rPr>
        <w:t xml:space="preserve"> </w:t>
      </w:r>
      <w:r>
        <w:rPr>
          <w:spacing w:val="-2"/>
        </w:rPr>
        <w:t>The</w:t>
      </w:r>
      <w:r>
        <w:t xml:space="preserve"> </w:t>
      </w:r>
      <w:r>
        <w:rPr>
          <w:spacing w:val="-3"/>
        </w:rPr>
        <w:t>Panel</w:t>
      </w:r>
      <w:r>
        <w:t xml:space="preserve"> has decided</w:t>
      </w:r>
      <w:r>
        <w:rPr>
          <w:spacing w:val="49"/>
        </w:rPr>
        <w:t xml:space="preserve"> </w:t>
      </w:r>
      <w:r>
        <w:rPr>
          <w:rFonts w:cs="Avenir Next"/>
        </w:rPr>
        <w:t xml:space="preserve">to adopt this </w:t>
      </w:r>
      <w:r>
        <w:rPr>
          <w:rFonts w:cs="Avenir Next"/>
          <w:spacing w:val="-1"/>
        </w:rPr>
        <w:t>approach</w:t>
      </w:r>
      <w:r>
        <w:rPr>
          <w:rFonts w:cs="Avenir Next"/>
        </w:rPr>
        <w:t xml:space="preserve"> so </w:t>
      </w:r>
      <w:r>
        <w:rPr>
          <w:rFonts w:cs="Avenir Next"/>
          <w:spacing w:val="-1"/>
        </w:rPr>
        <w:t>that</w:t>
      </w:r>
      <w:r>
        <w:rPr>
          <w:rFonts w:cs="Avenir Next"/>
          <w:spacing w:val="-4"/>
        </w:rPr>
        <w:t xml:space="preserve"> </w:t>
      </w:r>
      <w:r>
        <w:rPr>
          <w:rFonts w:cs="Avenir Next"/>
          <w:spacing w:val="-2"/>
        </w:rPr>
        <w:t>ACTEW</w:t>
      </w:r>
      <w:r>
        <w:rPr>
          <w:rFonts w:cs="Avenir Next"/>
          <w:spacing w:val="-3"/>
        </w:rPr>
        <w:t xml:space="preserve"> </w:t>
      </w:r>
      <w:r>
        <w:rPr>
          <w:rFonts w:cs="Avenir Next"/>
        </w:rPr>
        <w:t xml:space="preserve">does not </w:t>
      </w:r>
      <w:r>
        <w:rPr>
          <w:rFonts w:cs="Avenir Next"/>
          <w:spacing w:val="-1"/>
        </w:rPr>
        <w:t>receive</w:t>
      </w:r>
      <w:r>
        <w:rPr>
          <w:rFonts w:cs="Avenir Next"/>
        </w:rPr>
        <w:t xml:space="preserve"> a windfall gain or loss as a </w:t>
      </w:r>
      <w:r>
        <w:rPr>
          <w:rFonts w:cs="Avenir Next"/>
          <w:spacing w:val="-1"/>
        </w:rPr>
        <w:t>result</w:t>
      </w:r>
      <w:r>
        <w:rPr>
          <w:rFonts w:cs="Avenir Next"/>
        </w:rPr>
        <w:t xml:space="preserve"> of</w:t>
      </w:r>
      <w:r>
        <w:rPr>
          <w:rFonts w:cs="Avenir Next"/>
          <w:spacing w:val="4"/>
        </w:rPr>
        <w:t xml:space="preserve"> </w:t>
      </w:r>
      <w:r>
        <w:rPr>
          <w:rFonts w:cs="Avenir Next"/>
        </w:rPr>
        <w:t>changes</w:t>
      </w:r>
      <w:r>
        <w:rPr>
          <w:rFonts w:cs="Avenir Next"/>
          <w:spacing w:val="29"/>
        </w:rPr>
        <w:t xml:space="preserve"> </w:t>
      </w:r>
      <w:r>
        <w:t xml:space="preserve">in these </w:t>
      </w:r>
      <w:r>
        <w:rPr>
          <w:spacing w:val="-1"/>
        </w:rPr>
        <w:t>uncontrollable</w:t>
      </w:r>
      <w:r>
        <w:t xml:space="preserve"> costs.</w:t>
      </w:r>
    </w:p>
    <w:p w:rsidR="00D96B91" w:rsidRDefault="00C2656B">
      <w:pPr>
        <w:pStyle w:val="BodyText"/>
        <w:numPr>
          <w:ilvl w:val="0"/>
          <w:numId w:val="131"/>
        </w:numPr>
        <w:tabs>
          <w:tab w:val="left" w:pos="1531"/>
        </w:tabs>
        <w:spacing w:before="93"/>
        <w:ind w:hanging="283"/>
      </w:pPr>
      <w:r>
        <w:t xml:space="preserve">Changes in the subvention payments </w:t>
      </w:r>
      <w:r>
        <w:rPr>
          <w:spacing w:val="-1"/>
        </w:rPr>
        <w:t>received</w:t>
      </w:r>
      <w:r>
        <w:t xml:space="preserve"> </w:t>
      </w:r>
      <w:r>
        <w:rPr>
          <w:spacing w:val="-1"/>
        </w:rPr>
        <w:t>from</w:t>
      </w:r>
      <w:r>
        <w:t xml:space="preserve"> the </w:t>
      </w:r>
      <w:r>
        <w:rPr>
          <w:spacing w:val="-1"/>
        </w:rPr>
        <w:t>Commonwealth</w:t>
      </w:r>
      <w:r>
        <w:t xml:space="preserve"> Government.</w:t>
      </w:r>
    </w:p>
    <w:p w:rsidR="00D96B91" w:rsidRDefault="00C2656B">
      <w:pPr>
        <w:pStyle w:val="BodyText"/>
        <w:numPr>
          <w:ilvl w:val="0"/>
          <w:numId w:val="131"/>
        </w:numPr>
        <w:tabs>
          <w:tab w:val="left" w:pos="1531"/>
        </w:tabs>
        <w:spacing w:before="72"/>
        <w:ind w:hanging="283"/>
      </w:pPr>
      <w:r>
        <w:t xml:space="preserve">Changes in other </w:t>
      </w:r>
      <w:r>
        <w:rPr>
          <w:spacing w:val="-1"/>
        </w:rPr>
        <w:t>taxes.</w:t>
      </w:r>
    </w:p>
    <w:p w:rsidR="00D96B91" w:rsidRDefault="00C2656B">
      <w:pPr>
        <w:pStyle w:val="BodyText"/>
        <w:numPr>
          <w:ilvl w:val="0"/>
          <w:numId w:val="131"/>
        </w:numPr>
        <w:tabs>
          <w:tab w:val="left" w:pos="1531"/>
        </w:tabs>
        <w:spacing w:before="64" w:line="260" w:lineRule="exact"/>
        <w:ind w:right="1511" w:hanging="283"/>
      </w:pPr>
      <w:r>
        <w:t xml:space="preserve">Changes in service </w:t>
      </w:r>
      <w:r>
        <w:rPr>
          <w:spacing w:val="-1"/>
        </w:rPr>
        <w:t>standards</w:t>
      </w:r>
      <w:r>
        <w:t xml:space="preserve"> </w:t>
      </w:r>
      <w:r>
        <w:rPr>
          <w:spacing w:val="-1"/>
        </w:rPr>
        <w:t>that</w:t>
      </w:r>
      <w:r>
        <w:t xml:space="preserve"> </w:t>
      </w:r>
      <w:r>
        <w:rPr>
          <w:spacing w:val="-1"/>
        </w:rPr>
        <w:t>result</w:t>
      </w:r>
      <w:r>
        <w:t xml:space="preserve"> in a </w:t>
      </w:r>
      <w:r>
        <w:rPr>
          <w:spacing w:val="-1"/>
        </w:rPr>
        <w:t>material</w:t>
      </w:r>
      <w:r>
        <w:t xml:space="preserve"> </w:t>
      </w:r>
      <w:r>
        <w:rPr>
          <w:spacing w:val="-1"/>
        </w:rPr>
        <w:t>increase</w:t>
      </w:r>
      <w:r>
        <w:t xml:space="preserve"> or </w:t>
      </w:r>
      <w:r>
        <w:rPr>
          <w:spacing w:val="-1"/>
        </w:rPr>
        <w:t>decrease</w:t>
      </w:r>
      <w:r>
        <w:t xml:space="preserve"> in the cost of</w:t>
      </w:r>
      <w:r>
        <w:rPr>
          <w:spacing w:val="4"/>
        </w:rPr>
        <w:t xml:space="preserve"> </w:t>
      </w:r>
      <w:r>
        <w:rPr>
          <w:spacing w:val="-1"/>
        </w:rPr>
        <w:t>providing</w:t>
      </w:r>
      <w:r>
        <w:rPr>
          <w:spacing w:val="47"/>
        </w:rPr>
        <w:t xml:space="preserve"> </w:t>
      </w:r>
      <w:r>
        <w:rPr>
          <w:spacing w:val="-1"/>
        </w:rPr>
        <w:t>water</w:t>
      </w:r>
      <w:r>
        <w:t xml:space="preserve"> or </w:t>
      </w:r>
      <w:r>
        <w:rPr>
          <w:spacing w:val="-1"/>
        </w:rPr>
        <w:t>sewerage</w:t>
      </w:r>
      <w:r>
        <w:t xml:space="preserve"> services.</w:t>
      </w:r>
    </w:p>
    <w:p w:rsidR="00D96B91" w:rsidRDefault="00C2656B">
      <w:pPr>
        <w:pStyle w:val="BodyText"/>
        <w:numPr>
          <w:ilvl w:val="0"/>
          <w:numId w:val="131"/>
        </w:numPr>
        <w:tabs>
          <w:tab w:val="left" w:pos="1531"/>
        </w:tabs>
        <w:spacing w:before="85" w:line="260" w:lineRule="exact"/>
        <w:ind w:right="2023" w:hanging="283"/>
      </w:pPr>
      <w:r>
        <w:t xml:space="preserve">Changes in </w:t>
      </w:r>
      <w:r>
        <w:rPr>
          <w:spacing w:val="-1"/>
        </w:rPr>
        <w:t>regulatory</w:t>
      </w:r>
      <w:r>
        <w:t xml:space="preserve"> </w:t>
      </w:r>
      <w:r>
        <w:rPr>
          <w:spacing w:val="-1"/>
        </w:rPr>
        <w:t>obligations</w:t>
      </w:r>
      <w:r>
        <w:t xml:space="preserve"> </w:t>
      </w:r>
      <w:r>
        <w:rPr>
          <w:spacing w:val="-1"/>
        </w:rPr>
        <w:t>that</w:t>
      </w:r>
      <w:r>
        <w:t xml:space="preserve"> </w:t>
      </w:r>
      <w:r>
        <w:rPr>
          <w:spacing w:val="-1"/>
        </w:rPr>
        <w:t>result</w:t>
      </w:r>
      <w:r>
        <w:t xml:space="preserve"> in a </w:t>
      </w:r>
      <w:r>
        <w:rPr>
          <w:spacing w:val="-1"/>
        </w:rPr>
        <w:t>material</w:t>
      </w:r>
      <w:r>
        <w:t xml:space="preserve"> </w:t>
      </w:r>
      <w:r>
        <w:rPr>
          <w:spacing w:val="-1"/>
        </w:rPr>
        <w:t>increase</w:t>
      </w:r>
      <w:r>
        <w:t xml:space="preserve"> or </w:t>
      </w:r>
      <w:r>
        <w:rPr>
          <w:spacing w:val="-1"/>
        </w:rPr>
        <w:t>decrease</w:t>
      </w:r>
      <w:r>
        <w:t xml:space="preserve"> in the cost of</w:t>
      </w:r>
      <w:r>
        <w:rPr>
          <w:spacing w:val="53"/>
        </w:rPr>
        <w:t xml:space="preserve"> </w:t>
      </w:r>
      <w:r>
        <w:rPr>
          <w:spacing w:val="-1"/>
        </w:rPr>
        <w:t>providing</w:t>
      </w:r>
      <w:r>
        <w:t xml:space="preserve"> the services.</w:t>
      </w:r>
    </w:p>
    <w:p w:rsidR="00D96B91" w:rsidRDefault="00C2656B">
      <w:pPr>
        <w:pStyle w:val="BodyText"/>
        <w:numPr>
          <w:ilvl w:val="0"/>
          <w:numId w:val="131"/>
        </w:numPr>
        <w:tabs>
          <w:tab w:val="left" w:pos="1531"/>
        </w:tabs>
        <w:spacing w:before="85" w:line="260" w:lineRule="exact"/>
        <w:ind w:right="1872" w:hanging="283"/>
      </w:pPr>
      <w:r>
        <w:t>A</w:t>
      </w:r>
      <w:r>
        <w:rPr>
          <w:spacing w:val="-9"/>
        </w:rPr>
        <w:t xml:space="preserve"> </w:t>
      </w:r>
      <w:r>
        <w:rPr>
          <w:spacing w:val="-3"/>
        </w:rPr>
        <w:t>Tantangara</w:t>
      </w:r>
      <w:r>
        <w:rPr>
          <w:spacing w:val="-5"/>
        </w:rPr>
        <w:t xml:space="preserve"> </w:t>
      </w:r>
      <w:r>
        <w:rPr>
          <w:spacing w:val="-3"/>
        </w:rPr>
        <w:t>Transfer</w:t>
      </w:r>
      <w:r>
        <w:t xml:space="preserve"> </w:t>
      </w:r>
      <w:r>
        <w:rPr>
          <w:spacing w:val="-2"/>
        </w:rPr>
        <w:t>Payment</w:t>
      </w:r>
      <w:r>
        <w:t xml:space="preserve"> event,</w:t>
      </w:r>
      <w:r>
        <w:rPr>
          <w:spacing w:val="-6"/>
        </w:rPr>
        <w:t xml:space="preserve"> </w:t>
      </w:r>
      <w:r>
        <w:t xml:space="preserve">which will be </w:t>
      </w:r>
      <w:r>
        <w:rPr>
          <w:spacing w:val="-1"/>
        </w:rPr>
        <w:t>triggered</w:t>
      </w:r>
      <w:r>
        <w:t xml:space="preserve"> if</w:t>
      </w:r>
      <w:r>
        <w:rPr>
          <w:spacing w:val="1"/>
        </w:rPr>
        <w:t xml:space="preserve"> </w:t>
      </w:r>
      <w:r>
        <w:rPr>
          <w:spacing w:val="-2"/>
        </w:rPr>
        <w:t>ACTEW</w:t>
      </w:r>
      <w:r>
        <w:rPr>
          <w:spacing w:val="-3"/>
        </w:rPr>
        <w:t xml:space="preserve"> </w:t>
      </w:r>
      <w:r>
        <w:t xml:space="preserve">is </w:t>
      </w:r>
      <w:r>
        <w:rPr>
          <w:spacing w:val="-1"/>
        </w:rPr>
        <w:t>required</w:t>
      </w:r>
      <w:r>
        <w:t xml:space="preserve"> to </w:t>
      </w:r>
      <w:r>
        <w:rPr>
          <w:spacing w:val="-1"/>
        </w:rPr>
        <w:t>exercise</w:t>
      </w:r>
      <w:r>
        <w:rPr>
          <w:spacing w:val="41"/>
        </w:rPr>
        <w:t xml:space="preserve"> </w:t>
      </w:r>
      <w:r>
        <w:t xml:space="preserve">its option to </w:t>
      </w:r>
      <w:r>
        <w:rPr>
          <w:spacing w:val="-1"/>
        </w:rPr>
        <w:t>transfer</w:t>
      </w:r>
      <w:r>
        <w:t xml:space="preserve"> </w:t>
      </w:r>
      <w:r>
        <w:rPr>
          <w:spacing w:val="-1"/>
        </w:rPr>
        <w:t>water</w:t>
      </w:r>
      <w:r>
        <w:t xml:space="preserve"> </w:t>
      </w:r>
      <w:r>
        <w:rPr>
          <w:spacing w:val="-1"/>
        </w:rPr>
        <w:t>from</w:t>
      </w:r>
      <w:r>
        <w:t xml:space="preserve"> the </w:t>
      </w:r>
      <w:r>
        <w:rPr>
          <w:spacing w:val="-1"/>
        </w:rPr>
        <w:t>regulated</w:t>
      </w:r>
      <w:r>
        <w:t xml:space="preserve"> Murrumbidgee River to the</w:t>
      </w:r>
      <w:r>
        <w:rPr>
          <w:spacing w:val="-4"/>
        </w:rPr>
        <w:t xml:space="preserve"> </w:t>
      </w:r>
      <w:r>
        <w:rPr>
          <w:spacing w:val="-2"/>
        </w:rPr>
        <w:t>ACT</w:t>
      </w:r>
      <w:r>
        <w:rPr>
          <w:spacing w:val="-5"/>
        </w:rPr>
        <w:t xml:space="preserve"> </w:t>
      </w:r>
      <w:r>
        <w:t>via the Snowy</w:t>
      </w:r>
      <w:r>
        <w:rPr>
          <w:spacing w:val="21"/>
        </w:rPr>
        <w:t xml:space="preserve"> </w:t>
      </w:r>
      <w:r>
        <w:t>Mountains Scheme.</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rPr>
          <w:rFonts w:cs="Avenir Next"/>
        </w:rPr>
      </w:pPr>
      <w:r>
        <w:rPr>
          <w:spacing w:val="-10"/>
        </w:rPr>
        <w:t>To</w:t>
      </w:r>
      <w:r>
        <w:t xml:space="preserve"> </w:t>
      </w:r>
      <w:r>
        <w:rPr>
          <w:spacing w:val="-1"/>
        </w:rPr>
        <w:t>ensure</w:t>
      </w:r>
      <w:r>
        <w:t xml:space="preserve"> </w:t>
      </w:r>
      <w:r>
        <w:rPr>
          <w:spacing w:val="-1"/>
        </w:rPr>
        <w:t>that</w:t>
      </w:r>
      <w:r>
        <w:t xml:space="preserve"> the cost </w:t>
      </w:r>
      <w:r>
        <w:rPr>
          <w:spacing w:val="-1"/>
        </w:rPr>
        <w:t>pass-through</w:t>
      </w:r>
      <w:r>
        <w:t xml:space="preserve"> mechanism does not undermine</w:t>
      </w:r>
      <w:r>
        <w:rPr>
          <w:spacing w:val="-4"/>
        </w:rPr>
        <w:t xml:space="preserve"> </w:t>
      </w:r>
      <w:r>
        <w:rPr>
          <w:spacing w:val="-2"/>
        </w:rPr>
        <w:t>ACTEW’s</w:t>
      </w:r>
      <w:r>
        <w:t xml:space="preserve"> incentive to act in a</w:t>
      </w:r>
      <w:r>
        <w:rPr>
          <w:spacing w:val="27"/>
        </w:rPr>
        <w:t xml:space="preserve"> </w:t>
      </w:r>
      <w:r>
        <w:t>prudent</w:t>
      </w:r>
      <w:r>
        <w:rPr>
          <w:spacing w:val="-1"/>
        </w:rPr>
        <w:t xml:space="preserve"> </w:t>
      </w:r>
      <w:r>
        <w:t xml:space="preserve">and </w:t>
      </w:r>
      <w:r>
        <w:rPr>
          <w:spacing w:val="-1"/>
        </w:rPr>
        <w:t xml:space="preserve">efficient </w:t>
      </w:r>
      <w:r>
        <w:rPr>
          <w:spacing w:val="-2"/>
        </w:rPr>
        <w:t>manner,</w:t>
      </w:r>
      <w:r>
        <w:rPr>
          <w:spacing w:val="-6"/>
        </w:rPr>
        <w:t xml:space="preserve"> </w:t>
      </w:r>
      <w:r>
        <w:t>or give</w:t>
      </w:r>
      <w:r>
        <w:rPr>
          <w:spacing w:val="-1"/>
        </w:rPr>
        <w:t xml:space="preserve"> </w:t>
      </w:r>
      <w:r>
        <w:t xml:space="preserve">rise to </w:t>
      </w:r>
      <w:r>
        <w:rPr>
          <w:spacing w:val="-1"/>
        </w:rPr>
        <w:t xml:space="preserve">frequent </w:t>
      </w:r>
      <w:r>
        <w:t>price changes</w:t>
      </w:r>
      <w:r>
        <w:rPr>
          <w:spacing w:val="-1"/>
        </w:rPr>
        <w:t xml:space="preserve"> </w:t>
      </w:r>
      <w:r>
        <w:t xml:space="preserve">and higher </w:t>
      </w:r>
      <w:r>
        <w:rPr>
          <w:spacing w:val="-1"/>
        </w:rPr>
        <w:t xml:space="preserve">regulatory </w:t>
      </w:r>
      <w:r>
        <w:t>costs (which</w:t>
      </w:r>
      <w:r>
        <w:rPr>
          <w:spacing w:val="35"/>
        </w:rPr>
        <w:t xml:space="preserve"> </w:t>
      </w:r>
      <w:r>
        <w:t>would act to the detriment of</w:t>
      </w:r>
      <w:r>
        <w:rPr>
          <w:spacing w:val="4"/>
        </w:rPr>
        <w:t xml:space="preserve"> </w:t>
      </w:r>
      <w:r>
        <w:t>customers),</w:t>
      </w:r>
      <w:r>
        <w:rPr>
          <w:spacing w:val="-6"/>
        </w:rPr>
        <w:t xml:space="preserve"> </w:t>
      </w:r>
      <w:r>
        <w:t xml:space="preserve">the </w:t>
      </w:r>
      <w:r>
        <w:rPr>
          <w:spacing w:val="-1"/>
        </w:rPr>
        <w:t>application</w:t>
      </w:r>
      <w:r>
        <w:t xml:space="preserve"> of</w:t>
      </w:r>
      <w:r>
        <w:rPr>
          <w:spacing w:val="4"/>
        </w:rPr>
        <w:t xml:space="preserve"> </w:t>
      </w:r>
      <w:r>
        <w:t>this mechanism will be subject to the</w:t>
      </w:r>
      <w:r>
        <w:rPr>
          <w:spacing w:val="29"/>
        </w:rPr>
        <w:t xml:space="preserve"> </w:t>
      </w:r>
      <w:r>
        <w:rPr>
          <w:rFonts w:cs="Avenir Next"/>
        </w:rPr>
        <w:t xml:space="preserve">following </w:t>
      </w:r>
      <w:r>
        <w:rPr>
          <w:rFonts w:cs="Avenir Next"/>
          <w:spacing w:val="-1"/>
        </w:rPr>
        <w:t>materiality</w:t>
      </w:r>
      <w:r>
        <w:rPr>
          <w:rFonts w:cs="Avenir Next"/>
        </w:rPr>
        <w:t xml:space="preserve"> </w:t>
      </w:r>
      <w:r>
        <w:rPr>
          <w:rFonts w:cs="Avenir Next"/>
          <w:spacing w:val="-1"/>
        </w:rPr>
        <w:t>thresholds:</w:t>
      </w:r>
    </w:p>
    <w:p w:rsidR="00D96B91" w:rsidRDefault="00C2656B">
      <w:pPr>
        <w:pStyle w:val="BodyText"/>
        <w:numPr>
          <w:ilvl w:val="0"/>
          <w:numId w:val="131"/>
        </w:numPr>
        <w:tabs>
          <w:tab w:val="left" w:pos="1531"/>
        </w:tabs>
        <w:spacing w:before="170" w:line="260" w:lineRule="exact"/>
        <w:ind w:right="1482" w:hanging="283"/>
        <w:rPr>
          <w:rFonts w:cs="Avenir Next"/>
        </w:rPr>
      </w:pPr>
      <w:r>
        <w:t>$0 for changes in the amounts payable for the</w:t>
      </w:r>
      <w:r>
        <w:rPr>
          <w:spacing w:val="-3"/>
        </w:rPr>
        <w:t xml:space="preserve"> WAC</w:t>
      </w:r>
      <w:r>
        <w:t xml:space="preserve"> and UNFT</w:t>
      </w:r>
      <w:r>
        <w:rPr>
          <w:spacing w:val="-5"/>
        </w:rPr>
        <w:t xml:space="preserve"> </w:t>
      </w:r>
      <w:r>
        <w:t>and subvention payments,</w:t>
      </w:r>
      <w:r>
        <w:rPr>
          <w:spacing w:val="-7"/>
        </w:rPr>
        <w:t xml:space="preserve"> </w:t>
      </w:r>
      <w:r>
        <w:t>which is</w:t>
      </w:r>
      <w:r>
        <w:rPr>
          <w:spacing w:val="23"/>
        </w:rPr>
        <w:t xml:space="preserve"> </w:t>
      </w:r>
      <w:r>
        <w:t xml:space="preserve">consistent with the </w:t>
      </w:r>
      <w:r>
        <w:rPr>
          <w:spacing w:val="-1"/>
        </w:rPr>
        <w:t>approach</w:t>
      </w:r>
      <w:r>
        <w:t xml:space="preserve"> </w:t>
      </w:r>
      <w:r>
        <w:rPr>
          <w:spacing w:val="-1"/>
        </w:rPr>
        <w:t>currently</w:t>
      </w:r>
      <w:r>
        <w:t xml:space="preserve"> employed by the ICRC,</w:t>
      </w:r>
      <w:r>
        <w:rPr>
          <w:spacing w:val="-7"/>
        </w:rPr>
        <w:t xml:space="preserve"> </w:t>
      </w:r>
      <w:r>
        <w:t>and</w:t>
      </w:r>
    </w:p>
    <w:p w:rsidR="00D96B91" w:rsidRDefault="00C2656B">
      <w:pPr>
        <w:pStyle w:val="BodyText"/>
        <w:numPr>
          <w:ilvl w:val="0"/>
          <w:numId w:val="131"/>
        </w:numPr>
        <w:tabs>
          <w:tab w:val="left" w:pos="1531"/>
        </w:tabs>
        <w:spacing w:before="85" w:line="260" w:lineRule="exact"/>
        <w:ind w:right="1504" w:hanging="283"/>
        <w:rPr>
          <w:sz w:val="11"/>
          <w:szCs w:val="11"/>
        </w:rPr>
      </w:pPr>
      <w:r>
        <w:t xml:space="preserve">$2 million ($2012-13) per event for all other cost </w:t>
      </w:r>
      <w:r>
        <w:rPr>
          <w:spacing w:val="-1"/>
        </w:rPr>
        <w:t>pass-through</w:t>
      </w:r>
      <w:r>
        <w:t xml:space="preserve"> </w:t>
      </w:r>
      <w:r>
        <w:rPr>
          <w:spacing w:val="-1"/>
        </w:rPr>
        <w:t>categories,</w:t>
      </w:r>
      <w:r>
        <w:rPr>
          <w:spacing w:val="-6"/>
        </w:rPr>
        <w:t xml:space="preserve"> </w:t>
      </w:r>
      <w:r>
        <w:t>which is consistent with</w:t>
      </w:r>
      <w:r>
        <w:rPr>
          <w:spacing w:val="35"/>
        </w:rPr>
        <w:t xml:space="preserve"> </w:t>
      </w:r>
      <w:r>
        <w:t xml:space="preserve">the </w:t>
      </w:r>
      <w:r>
        <w:rPr>
          <w:spacing w:val="-1"/>
        </w:rPr>
        <w:t>materiality</w:t>
      </w:r>
      <w:r>
        <w:rPr>
          <w:spacing w:val="1"/>
        </w:rPr>
        <w:t xml:space="preserve"> </w:t>
      </w:r>
      <w:r>
        <w:rPr>
          <w:spacing w:val="-1"/>
        </w:rPr>
        <w:t>threshold</w:t>
      </w:r>
      <w:r>
        <w:t xml:space="preserve"> adopted</w:t>
      </w:r>
      <w:r>
        <w:rPr>
          <w:spacing w:val="1"/>
        </w:rPr>
        <w:t xml:space="preserve"> </w:t>
      </w:r>
      <w:r>
        <w:t>by the</w:t>
      </w:r>
      <w:r>
        <w:rPr>
          <w:spacing w:val="1"/>
        </w:rPr>
        <w:t xml:space="preserve"> </w:t>
      </w:r>
      <w:r>
        <w:t>ICRC</w:t>
      </w:r>
      <w:r>
        <w:rPr>
          <w:spacing w:val="1"/>
        </w:rPr>
        <w:t xml:space="preserve"> </w:t>
      </w:r>
      <w:r>
        <w:t>in the</w:t>
      </w:r>
      <w:r>
        <w:rPr>
          <w:spacing w:val="1"/>
        </w:rPr>
        <w:t xml:space="preserve"> </w:t>
      </w:r>
      <w:r>
        <w:t>2004 price</w:t>
      </w:r>
      <w:r>
        <w:rPr>
          <w:spacing w:val="1"/>
        </w:rPr>
        <w:t xml:space="preserve"> </w:t>
      </w:r>
      <w:r>
        <w:rPr>
          <w:spacing w:val="-1"/>
        </w:rPr>
        <w:t>direction.</w:t>
      </w:r>
      <w:r>
        <w:rPr>
          <w:spacing w:val="-1"/>
          <w:position w:val="7"/>
          <w:sz w:val="11"/>
        </w:rPr>
        <w:t>62</w:t>
      </w: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35" style="width:72.5pt;height:.5pt;mso-position-horizontal-relative:char;mso-position-vertical-relative:line" coordsize="1450,10">
            <v:group id="_x0000_s3236" style="position:absolute;left:5;top:5;width:1440;height:2" coordorigin="5,5" coordsize="1440,2">
              <v:shape id="_x0000_s3237"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45" w:line="192" w:lineRule="exact"/>
        <w:ind w:right="1288" w:hanging="510"/>
        <w:rPr>
          <w:rFonts w:ascii="Avenir Next" w:eastAsia="Avenir Next" w:hAnsi="Avenir Next" w:cs="Avenir Next"/>
          <w:sz w:val="16"/>
          <w:szCs w:val="16"/>
        </w:rPr>
      </w:pPr>
      <w:r>
        <w:rPr>
          <w:rFonts w:ascii="Avenir Next" w:eastAsia="Avenir Next" w:hAnsi="Avenir Next" w:cs="Avenir Next"/>
          <w:spacing w:val="-1"/>
          <w:sz w:val="16"/>
          <w:szCs w:val="16"/>
        </w:rPr>
        <w:t>This</w:t>
      </w:r>
      <w:r>
        <w:rPr>
          <w:rFonts w:ascii="Avenir Next" w:eastAsia="Avenir Next" w:hAnsi="Avenir Next" w:cs="Avenir Next"/>
          <w:sz w:val="16"/>
          <w:szCs w:val="16"/>
        </w:rPr>
        <w:t xml:space="preserve"> list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events is in </w:t>
      </w:r>
      <w:r>
        <w:rPr>
          <w:rFonts w:ascii="Avenir Next" w:eastAsia="Avenir Next" w:hAnsi="Avenir Next" w:cs="Avenir Next"/>
          <w:spacing w:val="-1"/>
          <w:sz w:val="16"/>
          <w:szCs w:val="16"/>
        </w:rPr>
        <w:t>keeping</w:t>
      </w:r>
      <w:r>
        <w:rPr>
          <w:rFonts w:ascii="Avenir Next" w:eastAsia="Avenir Next" w:hAnsi="Avenir Next" w:cs="Avenir Next"/>
          <w:sz w:val="16"/>
          <w:szCs w:val="16"/>
        </w:rPr>
        <w:t xml:space="preserve"> with</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proposal</w:t>
      </w:r>
      <w:r>
        <w:rPr>
          <w:rFonts w:ascii="Avenir Next" w:eastAsia="Avenir Next" w:hAnsi="Avenir Next" w:cs="Avenir Next"/>
          <w:sz w:val="16"/>
          <w:szCs w:val="16"/>
        </w:rPr>
        <w:t xml:space="preserve"> and is also </w:t>
      </w:r>
      <w:r>
        <w:rPr>
          <w:rFonts w:ascii="Avenir Next" w:eastAsia="Avenir Next" w:hAnsi="Avenir Next" w:cs="Avenir Next"/>
          <w:spacing w:val="-1"/>
          <w:sz w:val="16"/>
          <w:szCs w:val="16"/>
        </w:rPr>
        <w:t>broadly</w:t>
      </w:r>
      <w:r>
        <w:rPr>
          <w:rFonts w:ascii="Avenir Next" w:eastAsia="Avenir Next" w:hAnsi="Avenir Next" w:cs="Avenir Next"/>
          <w:sz w:val="16"/>
          <w:szCs w:val="16"/>
        </w:rPr>
        <w:t xml:space="preserve"> in line with the </w:t>
      </w:r>
      <w:r>
        <w:rPr>
          <w:rFonts w:ascii="Avenir Next" w:eastAsia="Avenir Next" w:hAnsi="Avenir Next" w:cs="Avenir Next"/>
          <w:spacing w:val="-1"/>
          <w:sz w:val="16"/>
          <w:szCs w:val="16"/>
        </w:rPr>
        <w:t>approach</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previously</w:t>
      </w:r>
      <w:r>
        <w:rPr>
          <w:rFonts w:ascii="Avenir Next" w:eastAsia="Avenir Next" w:hAnsi="Avenir Next" w:cs="Avenir Next"/>
          <w:sz w:val="16"/>
          <w:szCs w:val="16"/>
        </w:rPr>
        <w:t xml:space="preserve"> adopted by</w:t>
      </w:r>
      <w:r>
        <w:rPr>
          <w:rFonts w:ascii="Avenir Next" w:eastAsia="Avenir Next" w:hAnsi="Avenir Next" w:cs="Avenir Next"/>
          <w:spacing w:val="61"/>
          <w:sz w:val="16"/>
          <w:szCs w:val="16"/>
        </w:rPr>
        <w:t xml:space="preserve"> </w:t>
      </w:r>
      <w:r>
        <w:rPr>
          <w:rFonts w:ascii="Avenir Next" w:eastAsia="Avenir Next" w:hAnsi="Avenir Next" w:cs="Avenir Next"/>
          <w:sz w:val="16"/>
          <w:szCs w:val="16"/>
        </w:rPr>
        <w:t xml:space="preserve">the ICRC and the </w:t>
      </w:r>
      <w:r>
        <w:rPr>
          <w:rFonts w:ascii="Avenir Next" w:eastAsia="Avenir Next" w:hAnsi="Avenir Next" w:cs="Avenir Next"/>
          <w:spacing w:val="-1"/>
          <w:sz w:val="16"/>
          <w:szCs w:val="16"/>
        </w:rPr>
        <w:t>approach</w:t>
      </w:r>
      <w:r>
        <w:rPr>
          <w:rFonts w:ascii="Avenir Next" w:eastAsia="Avenir Next" w:hAnsi="Avenir Next" w:cs="Avenir Next"/>
          <w:sz w:val="16"/>
          <w:szCs w:val="16"/>
        </w:rPr>
        <w:t xml:space="preserve"> adopted by the</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AER.</w:t>
      </w:r>
    </w:p>
    <w:p w:rsidR="00D96B91" w:rsidRDefault="00D96B91">
      <w:pPr>
        <w:spacing w:before="12"/>
        <w:rPr>
          <w:rFonts w:ascii="Avenir Next" w:eastAsia="Avenir Next" w:hAnsi="Avenir Next" w:cs="Avenir Next"/>
          <w:sz w:val="10"/>
          <w:szCs w:val="10"/>
        </w:rPr>
      </w:pPr>
    </w:p>
    <w:p w:rsidR="00D96B91" w:rsidRDefault="00C2656B">
      <w:pPr>
        <w:numPr>
          <w:ilvl w:val="0"/>
          <w:numId w:val="99"/>
        </w:numPr>
        <w:tabs>
          <w:tab w:val="left" w:pos="1758"/>
        </w:tabs>
        <w:spacing w:line="192" w:lineRule="exact"/>
        <w:ind w:right="1514" w:hanging="510"/>
        <w:rPr>
          <w:rFonts w:ascii="Avenir Next" w:eastAsia="Avenir Next" w:hAnsi="Avenir Next" w:cs="Avenir Next"/>
          <w:sz w:val="16"/>
          <w:szCs w:val="16"/>
        </w:rPr>
      </w:pPr>
      <w:r>
        <w:rPr>
          <w:rFonts w:ascii="Avenir Next"/>
          <w:sz w:val="16"/>
        </w:rPr>
        <w:t xml:space="preserve">In this price </w:t>
      </w:r>
      <w:r>
        <w:rPr>
          <w:rFonts w:ascii="Avenir Next"/>
          <w:spacing w:val="-1"/>
          <w:sz w:val="16"/>
        </w:rPr>
        <w:t>direction</w:t>
      </w:r>
      <w:r>
        <w:rPr>
          <w:rFonts w:ascii="Avenir Next"/>
          <w:sz w:val="16"/>
        </w:rPr>
        <w:t xml:space="preserve"> the ICRC adopted a </w:t>
      </w:r>
      <w:r>
        <w:rPr>
          <w:rFonts w:ascii="Avenir Next"/>
          <w:spacing w:val="-1"/>
          <w:sz w:val="16"/>
        </w:rPr>
        <w:t>threshold</w:t>
      </w:r>
      <w:r>
        <w:rPr>
          <w:rFonts w:ascii="Avenir Next"/>
          <w:sz w:val="16"/>
        </w:rPr>
        <w:t xml:space="preserve"> of</w:t>
      </w:r>
      <w:r>
        <w:rPr>
          <w:rFonts w:ascii="Avenir Next"/>
          <w:spacing w:val="3"/>
          <w:sz w:val="16"/>
        </w:rPr>
        <w:t xml:space="preserve"> </w:t>
      </w:r>
      <w:r>
        <w:rPr>
          <w:rFonts w:ascii="Avenir Next"/>
          <w:sz w:val="16"/>
        </w:rPr>
        <w:t>$1.5 million in 2002-03 dollar terms.</w:t>
      </w:r>
      <w:r>
        <w:rPr>
          <w:rFonts w:ascii="Avenir Next"/>
          <w:spacing w:val="-5"/>
          <w:sz w:val="16"/>
        </w:rPr>
        <w:t xml:space="preserve"> </w:t>
      </w:r>
      <w:r>
        <w:rPr>
          <w:rFonts w:ascii="Avenir Next"/>
          <w:sz w:val="16"/>
        </w:rPr>
        <w:t>In 2012-13 dollar terms this</w:t>
      </w:r>
      <w:r>
        <w:rPr>
          <w:rFonts w:ascii="Avenir Next"/>
          <w:spacing w:val="25"/>
          <w:sz w:val="16"/>
        </w:rPr>
        <w:t xml:space="preserve"> </w:t>
      </w:r>
      <w:r>
        <w:rPr>
          <w:rFonts w:ascii="Avenir Next"/>
          <w:spacing w:val="-1"/>
          <w:sz w:val="16"/>
        </w:rPr>
        <w:t>translates</w:t>
      </w:r>
      <w:r>
        <w:rPr>
          <w:rFonts w:ascii="Avenir Next"/>
          <w:sz w:val="16"/>
        </w:rPr>
        <w:t xml:space="preserve"> to $2 million.</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313"/>
      </w:pPr>
      <w:bookmarkStart w:id="72" w:name="6._6_Measures_to_deal_with_unforeseen_ev"/>
      <w:bookmarkStart w:id="73" w:name="_bookmark43"/>
      <w:bookmarkEnd w:id="72"/>
      <w:bookmarkEnd w:id="73"/>
      <w:r>
        <w:rPr>
          <w:spacing w:val="-2"/>
        </w:rPr>
        <w:t>The</w:t>
      </w:r>
      <w:r>
        <w:t xml:space="preserve"> </w:t>
      </w:r>
      <w:r>
        <w:rPr>
          <w:spacing w:val="-3"/>
        </w:rPr>
        <w:t>Panel</w:t>
      </w:r>
      <w:r>
        <w:t xml:space="preserve"> </w:t>
      </w:r>
      <w:r>
        <w:rPr>
          <w:spacing w:val="-1"/>
        </w:rPr>
        <w:t>recognises</w:t>
      </w:r>
      <w:r>
        <w:t xml:space="preserve"> </w:t>
      </w:r>
      <w:r>
        <w:rPr>
          <w:spacing w:val="-1"/>
        </w:rPr>
        <w:t>that</w:t>
      </w:r>
      <w:r>
        <w:t xml:space="preserve"> the </w:t>
      </w:r>
      <w:r>
        <w:rPr>
          <w:spacing w:val="-1"/>
        </w:rPr>
        <w:t>latter</w:t>
      </w:r>
      <w:r>
        <w:t xml:space="preserve"> of</w:t>
      </w:r>
      <w:r>
        <w:rPr>
          <w:spacing w:val="4"/>
        </w:rPr>
        <w:t xml:space="preserve"> </w:t>
      </w:r>
      <w:r>
        <w:t xml:space="preserve">these </w:t>
      </w:r>
      <w:r>
        <w:rPr>
          <w:spacing w:val="-1"/>
        </w:rPr>
        <w:t>materiality</w:t>
      </w:r>
      <w:r>
        <w:t xml:space="preserve"> </w:t>
      </w:r>
      <w:r>
        <w:rPr>
          <w:spacing w:val="-1"/>
        </w:rPr>
        <w:t>thresholds</w:t>
      </w:r>
      <w:r>
        <w:t xml:space="preserve"> is higher than the </w:t>
      </w:r>
      <w:r>
        <w:rPr>
          <w:spacing w:val="-1"/>
        </w:rPr>
        <w:t>threshold</w:t>
      </w:r>
      <w:r>
        <w:t xml:space="preserve"> adopted</w:t>
      </w:r>
      <w:r>
        <w:rPr>
          <w:spacing w:val="65"/>
        </w:rPr>
        <w:t xml:space="preserve"> </w:t>
      </w:r>
      <w:r>
        <w:t xml:space="preserve">by the ICRC in the 2008 price </w:t>
      </w:r>
      <w:r>
        <w:rPr>
          <w:spacing w:val="-1"/>
        </w:rPr>
        <w:t>direction</w:t>
      </w:r>
      <w:r>
        <w:t xml:space="preserve"> ($1 million).</w:t>
      </w:r>
      <w:r>
        <w:rPr>
          <w:spacing w:val="-6"/>
        </w:rPr>
        <w:t xml:space="preserve"> </w:t>
      </w:r>
      <w:r>
        <w:rPr>
          <w:spacing w:val="-2"/>
        </w:rPr>
        <w:t>However,</w:t>
      </w:r>
      <w:r>
        <w:rPr>
          <w:spacing w:val="-6"/>
        </w:rPr>
        <w:t xml:space="preserve"> </w:t>
      </w:r>
      <w:r>
        <w:t xml:space="preserve">in </w:t>
      </w:r>
      <w:r>
        <w:rPr>
          <w:spacing w:val="-1"/>
        </w:rPr>
        <w:t>that</w:t>
      </w:r>
      <w:r>
        <w:t xml:space="preserve"> price </w:t>
      </w:r>
      <w:r>
        <w:rPr>
          <w:spacing w:val="-1"/>
        </w:rPr>
        <w:t>direction</w:t>
      </w:r>
      <w:r>
        <w:t xml:space="preserve"> the ICRC </w:t>
      </w:r>
      <w:r>
        <w:rPr>
          <w:spacing w:val="-1"/>
        </w:rPr>
        <w:t>reduced</w:t>
      </w:r>
      <w:r>
        <w:rPr>
          <w:spacing w:val="43"/>
        </w:rPr>
        <w:t xml:space="preserve"> </w:t>
      </w:r>
      <w:r>
        <w:t xml:space="preserve">the </w:t>
      </w:r>
      <w:r>
        <w:rPr>
          <w:spacing w:val="-1"/>
        </w:rPr>
        <w:t>materiality</w:t>
      </w:r>
      <w:r>
        <w:t xml:space="preserve"> </w:t>
      </w:r>
      <w:r>
        <w:rPr>
          <w:spacing w:val="-1"/>
        </w:rPr>
        <w:t>threshold</w:t>
      </w:r>
      <w:r>
        <w:t xml:space="preserve"> because it decided to move away </w:t>
      </w:r>
      <w:r>
        <w:rPr>
          <w:spacing w:val="-1"/>
        </w:rPr>
        <w:t>from</w:t>
      </w:r>
      <w:r>
        <w:t xml:space="preserve"> an annual </w:t>
      </w:r>
      <w:r>
        <w:rPr>
          <w:spacing w:val="-1"/>
        </w:rPr>
        <w:t>pass-through</w:t>
      </w:r>
      <w:r>
        <w:t xml:space="preserve"> mechanism</w:t>
      </w:r>
    </w:p>
    <w:p w:rsidR="00D96B91" w:rsidRDefault="00C2656B">
      <w:pPr>
        <w:pStyle w:val="BodyText"/>
        <w:spacing w:line="260" w:lineRule="exact"/>
        <w:ind w:right="1256"/>
        <w:rPr>
          <w:sz w:val="11"/>
          <w:szCs w:val="11"/>
        </w:rPr>
      </w:pPr>
      <w:r>
        <w:t xml:space="preserve">to an </w:t>
      </w:r>
      <w:r>
        <w:rPr>
          <w:spacing w:val="-1"/>
        </w:rPr>
        <w:t>end-of-regulatory-period</w:t>
      </w:r>
      <w:r>
        <w:t xml:space="preserve"> mechanism.</w:t>
      </w:r>
      <w:r>
        <w:rPr>
          <w:spacing w:val="-7"/>
        </w:rPr>
        <w:t xml:space="preserve"> </w:t>
      </w:r>
      <w:r>
        <w:t xml:space="preserve">It </w:t>
      </w:r>
      <w:r>
        <w:rPr>
          <w:spacing w:val="-1"/>
        </w:rPr>
        <w:t>considered</w:t>
      </w:r>
      <w:r>
        <w:t xml:space="preserve"> </w:t>
      </w:r>
      <w:r>
        <w:rPr>
          <w:spacing w:val="-1"/>
        </w:rPr>
        <w:t>that</w:t>
      </w:r>
      <w:r>
        <w:t xml:space="preserve"> in this </w:t>
      </w:r>
      <w:r>
        <w:rPr>
          <w:spacing w:val="-1"/>
        </w:rPr>
        <w:t>circumstance,</w:t>
      </w:r>
      <w:r>
        <w:rPr>
          <w:spacing w:val="-6"/>
        </w:rPr>
        <w:t xml:space="preserve"> </w:t>
      </w:r>
      <w:r>
        <w:t xml:space="preserve">a higher </w:t>
      </w:r>
      <w:r>
        <w:rPr>
          <w:spacing w:val="-1"/>
        </w:rPr>
        <w:t>materiality</w:t>
      </w:r>
      <w:r>
        <w:rPr>
          <w:spacing w:val="89"/>
        </w:rPr>
        <w:t xml:space="preserve"> </w:t>
      </w:r>
      <w:r>
        <w:rPr>
          <w:spacing w:val="-1"/>
        </w:rPr>
        <w:t>threshold</w:t>
      </w:r>
      <w:r>
        <w:t xml:space="preserve"> was not</w:t>
      </w:r>
      <w:r>
        <w:rPr>
          <w:spacing w:val="1"/>
        </w:rPr>
        <w:t xml:space="preserve"> </w:t>
      </w:r>
      <w:r>
        <w:rPr>
          <w:spacing w:val="-1"/>
        </w:rPr>
        <w:t>required</w:t>
      </w:r>
      <w:r>
        <w:t xml:space="preserve"> to</w:t>
      </w:r>
      <w:r>
        <w:rPr>
          <w:spacing w:val="1"/>
        </w:rPr>
        <w:t xml:space="preserve"> </w:t>
      </w:r>
      <w:r>
        <w:rPr>
          <w:spacing w:val="-1"/>
        </w:rPr>
        <w:t>restrict</w:t>
      </w:r>
      <w:r>
        <w:t xml:space="preserve"> the</w:t>
      </w:r>
      <w:r>
        <w:rPr>
          <w:spacing w:val="1"/>
        </w:rPr>
        <w:t xml:space="preserve"> </w:t>
      </w:r>
      <w:r>
        <w:t>number of</w:t>
      </w:r>
      <w:r>
        <w:rPr>
          <w:spacing w:val="5"/>
        </w:rPr>
        <w:t xml:space="preserve"> </w:t>
      </w:r>
      <w:r>
        <w:rPr>
          <w:spacing w:val="-1"/>
        </w:rPr>
        <w:t>pass-through</w:t>
      </w:r>
      <w:r>
        <w:t xml:space="preserve"> </w:t>
      </w:r>
      <w:r>
        <w:rPr>
          <w:spacing w:val="-1"/>
        </w:rPr>
        <w:t>applications</w:t>
      </w:r>
      <w:r>
        <w:rPr>
          <w:spacing w:val="1"/>
        </w:rPr>
        <w:t xml:space="preserve"> </w:t>
      </w:r>
      <w:r>
        <w:t>in the</w:t>
      </w:r>
      <w:r>
        <w:rPr>
          <w:spacing w:val="1"/>
        </w:rPr>
        <w:t xml:space="preserve"> </w:t>
      </w:r>
      <w:r>
        <w:rPr>
          <w:spacing w:val="-1"/>
        </w:rPr>
        <w:t>period.</w:t>
      </w:r>
      <w:r>
        <w:rPr>
          <w:spacing w:val="-1"/>
          <w:position w:val="7"/>
          <w:sz w:val="11"/>
        </w:rPr>
        <w:t>63</w:t>
      </w:r>
    </w:p>
    <w:p w:rsidR="00D96B91" w:rsidRDefault="00C2656B">
      <w:pPr>
        <w:pStyle w:val="BodyText"/>
        <w:spacing w:before="170" w:line="260" w:lineRule="exact"/>
        <w:ind w:right="1299"/>
        <w:rPr>
          <w:sz w:val="11"/>
          <w:szCs w:val="11"/>
        </w:rPr>
      </w:pPr>
      <w:r>
        <w:t xml:space="preserve">In </w:t>
      </w:r>
      <w:r>
        <w:rPr>
          <w:spacing w:val="-1"/>
        </w:rPr>
        <w:t>contrast</w:t>
      </w:r>
      <w:r>
        <w:t xml:space="preserve"> to the position </w:t>
      </w:r>
      <w:r>
        <w:rPr>
          <w:spacing w:val="-1"/>
        </w:rPr>
        <w:t>taken</w:t>
      </w:r>
      <w:r>
        <w:t xml:space="preserve"> by the ICRC in the 2008 price </w:t>
      </w:r>
      <w:r>
        <w:rPr>
          <w:spacing w:val="-1"/>
        </w:rPr>
        <w:t>direction,</w:t>
      </w:r>
      <w:r>
        <w:rPr>
          <w:spacing w:val="-6"/>
        </w:rPr>
        <w:t xml:space="preserve"> </w:t>
      </w:r>
      <w:r>
        <w:t xml:space="preserve">the </w:t>
      </w:r>
      <w:r>
        <w:rPr>
          <w:spacing w:val="-3"/>
        </w:rPr>
        <w:t>Panel</w:t>
      </w:r>
      <w:r>
        <w:t xml:space="preserve"> decided </w:t>
      </w:r>
      <w:r>
        <w:rPr>
          <w:spacing w:val="-1"/>
        </w:rPr>
        <w:t>that</w:t>
      </w:r>
      <w:r>
        <w:t xml:space="preserve"> the cost</w:t>
      </w:r>
      <w:r>
        <w:rPr>
          <w:spacing w:val="35"/>
        </w:rPr>
        <w:t xml:space="preserve"> </w:t>
      </w:r>
      <w:r>
        <w:rPr>
          <w:spacing w:val="-1"/>
        </w:rPr>
        <w:t>pass-through</w:t>
      </w:r>
      <w:r>
        <w:t xml:space="preserve"> mechanism</w:t>
      </w:r>
      <w:r>
        <w:rPr>
          <w:spacing w:val="1"/>
        </w:rPr>
        <w:t xml:space="preserve"> </w:t>
      </w:r>
      <w:r>
        <w:t xml:space="preserve">should </w:t>
      </w:r>
      <w:r>
        <w:rPr>
          <w:spacing w:val="-1"/>
        </w:rPr>
        <w:t>operate,</w:t>
      </w:r>
      <w:r>
        <w:rPr>
          <w:spacing w:val="-5"/>
        </w:rPr>
        <w:t xml:space="preserve"> </w:t>
      </w:r>
      <w:r>
        <w:t>as it</w:t>
      </w:r>
      <w:r>
        <w:rPr>
          <w:spacing w:val="1"/>
        </w:rPr>
        <w:t xml:space="preserve"> </w:t>
      </w:r>
      <w:r>
        <w:t>does in</w:t>
      </w:r>
      <w:r>
        <w:rPr>
          <w:spacing w:val="1"/>
        </w:rPr>
        <w:t xml:space="preserve"> </w:t>
      </w:r>
      <w:r>
        <w:t xml:space="preserve">other </w:t>
      </w:r>
      <w:r>
        <w:rPr>
          <w:spacing w:val="-1"/>
        </w:rPr>
        <w:t>regulated</w:t>
      </w:r>
      <w:r>
        <w:rPr>
          <w:spacing w:val="1"/>
        </w:rPr>
        <w:t xml:space="preserve"> </w:t>
      </w:r>
      <w:r>
        <w:rPr>
          <w:spacing w:val="-1"/>
        </w:rPr>
        <w:t>industries,</w:t>
      </w:r>
      <w:r>
        <w:rPr>
          <w:spacing w:val="-1"/>
          <w:position w:val="7"/>
          <w:sz w:val="11"/>
          <w:szCs w:val="11"/>
        </w:rPr>
        <w:t>64</w:t>
      </w:r>
      <w:r>
        <w:rPr>
          <w:spacing w:val="23"/>
          <w:position w:val="7"/>
          <w:sz w:val="11"/>
          <w:szCs w:val="11"/>
        </w:rPr>
        <w:t xml:space="preserve"> </w:t>
      </w:r>
      <w:r>
        <w:t>on</w:t>
      </w:r>
      <w:r>
        <w:rPr>
          <w:spacing w:val="1"/>
        </w:rPr>
        <w:t xml:space="preserve"> </w:t>
      </w:r>
      <w:r>
        <w:t>an annual</w:t>
      </w:r>
      <w:r>
        <w:rPr>
          <w:spacing w:val="1"/>
        </w:rPr>
        <w:t xml:space="preserve"> </w:t>
      </w:r>
      <w:r>
        <w:t>basis.</w:t>
      </w:r>
      <w:r>
        <w:rPr>
          <w:spacing w:val="53"/>
        </w:rPr>
        <w:t xml:space="preserve"> </w:t>
      </w:r>
      <w:r>
        <w:rPr>
          <w:rFonts w:cs="Avenir Next"/>
          <w:spacing w:val="-2"/>
        </w:rPr>
        <w:t>Therefore,</w:t>
      </w:r>
      <w:r>
        <w:rPr>
          <w:rFonts w:cs="Avenir Next"/>
          <w:spacing w:val="-7"/>
        </w:rPr>
        <w:t xml:space="preserve"> </w:t>
      </w:r>
      <w:r>
        <w:rPr>
          <w:rFonts w:cs="Avenir Next"/>
        </w:rPr>
        <w:t xml:space="preserve">the </w:t>
      </w:r>
      <w:r>
        <w:rPr>
          <w:rFonts w:cs="Avenir Next"/>
          <w:spacing w:val="-3"/>
        </w:rPr>
        <w:t>Panel</w:t>
      </w:r>
      <w:r>
        <w:rPr>
          <w:rFonts w:cs="Avenir Next"/>
        </w:rPr>
        <w:t xml:space="preserve"> decided to use a </w:t>
      </w:r>
      <w:r>
        <w:rPr>
          <w:rFonts w:cs="Avenir Next"/>
          <w:spacing w:val="-1"/>
        </w:rPr>
        <w:t>materiality</w:t>
      </w:r>
      <w:r>
        <w:rPr>
          <w:rFonts w:cs="Avenir Next"/>
        </w:rPr>
        <w:t xml:space="preserve"> </w:t>
      </w:r>
      <w:r>
        <w:rPr>
          <w:rFonts w:cs="Avenir Next"/>
          <w:spacing w:val="-1"/>
        </w:rPr>
        <w:t>threshold</w:t>
      </w:r>
      <w:r>
        <w:rPr>
          <w:rFonts w:cs="Avenir Next"/>
        </w:rPr>
        <w:t xml:space="preserve"> equivalent to </w:t>
      </w:r>
      <w:r>
        <w:rPr>
          <w:rFonts w:cs="Avenir Next"/>
          <w:spacing w:val="-1"/>
        </w:rPr>
        <w:t>that</w:t>
      </w:r>
      <w:r>
        <w:rPr>
          <w:rFonts w:cs="Avenir Next"/>
        </w:rPr>
        <w:t xml:space="preserve"> adopted in the </w:t>
      </w:r>
      <w:r>
        <w:rPr>
          <w:rFonts w:cs="Avenir Next"/>
          <w:spacing w:val="-2"/>
        </w:rPr>
        <w:t>ICRC’s</w:t>
      </w:r>
      <w:r>
        <w:rPr>
          <w:rFonts w:cs="Avenir Next"/>
          <w:spacing w:val="55"/>
        </w:rPr>
        <w:t xml:space="preserve"> </w:t>
      </w:r>
      <w:r>
        <w:t>2004</w:t>
      </w:r>
      <w:r>
        <w:rPr>
          <w:spacing w:val="3"/>
        </w:rPr>
        <w:t xml:space="preserve"> </w:t>
      </w:r>
      <w:r>
        <w:t>price</w:t>
      </w:r>
      <w:r>
        <w:rPr>
          <w:spacing w:val="4"/>
        </w:rPr>
        <w:t xml:space="preserve"> </w:t>
      </w:r>
      <w:r>
        <w:rPr>
          <w:spacing w:val="-1"/>
        </w:rPr>
        <w:t>direction.</w:t>
      </w:r>
      <w:r>
        <w:rPr>
          <w:spacing w:val="-1"/>
          <w:position w:val="7"/>
          <w:sz w:val="11"/>
          <w:szCs w:val="11"/>
        </w:rPr>
        <w:t>65</w:t>
      </w:r>
    </w:p>
    <w:p w:rsidR="00D96B91" w:rsidRDefault="00C2656B">
      <w:pPr>
        <w:pStyle w:val="BodyText"/>
        <w:spacing w:before="170" w:line="260" w:lineRule="exact"/>
        <w:ind w:right="1283"/>
        <w:rPr>
          <w:rFonts w:cs="Avenir Next"/>
        </w:rPr>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this </w:t>
      </w:r>
      <w:r>
        <w:rPr>
          <w:rFonts w:cs="Avenir Next"/>
          <w:spacing w:val="-1"/>
        </w:rPr>
        <w:t>materiality</w:t>
      </w:r>
      <w:r>
        <w:rPr>
          <w:rFonts w:cs="Avenir Next"/>
        </w:rPr>
        <w:t xml:space="preserve"> </w:t>
      </w:r>
      <w:r>
        <w:rPr>
          <w:rFonts w:cs="Avenir Next"/>
          <w:spacing w:val="-1"/>
        </w:rPr>
        <w:t>threshold</w:t>
      </w:r>
      <w:r>
        <w:rPr>
          <w:rFonts w:cs="Avenir Next"/>
        </w:rPr>
        <w:t xml:space="preserve"> </w:t>
      </w:r>
      <w:r>
        <w:rPr>
          <w:rFonts w:cs="Avenir Next"/>
          <w:spacing w:val="-1"/>
        </w:rPr>
        <w:t>provides</w:t>
      </w:r>
      <w:r>
        <w:rPr>
          <w:rFonts w:cs="Avenir Next"/>
        </w:rPr>
        <w:t xml:space="preserve"> an </w:t>
      </w:r>
      <w:r>
        <w:rPr>
          <w:rFonts w:cs="Avenir Next"/>
          <w:spacing w:val="-1"/>
        </w:rPr>
        <w:t>appropriate</w:t>
      </w:r>
      <w:r>
        <w:rPr>
          <w:rFonts w:cs="Avenir Next"/>
        </w:rPr>
        <w:t xml:space="preserve"> balance between the following</w:t>
      </w:r>
      <w:r>
        <w:rPr>
          <w:rFonts w:cs="Avenir Next"/>
          <w:spacing w:val="61"/>
        </w:rPr>
        <w:t xml:space="preserve"> </w:t>
      </w:r>
      <w:r>
        <w:rPr>
          <w:rFonts w:cs="Avenir Next"/>
        </w:rPr>
        <w:t>factors,</w:t>
      </w:r>
      <w:r>
        <w:rPr>
          <w:rFonts w:cs="Avenir Next"/>
          <w:spacing w:val="-7"/>
        </w:rPr>
        <w:t xml:space="preserve"> </w:t>
      </w:r>
      <w:r>
        <w:rPr>
          <w:rFonts w:cs="Avenir Next"/>
        </w:rPr>
        <w:t>both of</w:t>
      </w:r>
      <w:r>
        <w:rPr>
          <w:rFonts w:cs="Avenir Next"/>
          <w:spacing w:val="4"/>
        </w:rPr>
        <w:t xml:space="preserve"> </w:t>
      </w:r>
      <w:r>
        <w:rPr>
          <w:rFonts w:cs="Avenir Next"/>
        </w:rPr>
        <w:t xml:space="preserve">which </w:t>
      </w:r>
      <w:r>
        <w:rPr>
          <w:rFonts w:cs="Avenir Next"/>
          <w:spacing w:val="-2"/>
        </w:rPr>
        <w:t>are</w:t>
      </w:r>
      <w:r>
        <w:rPr>
          <w:rFonts w:cs="Avenir Next"/>
        </w:rPr>
        <w:t xml:space="preserve"> in the best </w:t>
      </w:r>
      <w:r>
        <w:rPr>
          <w:rFonts w:cs="Avenir Next"/>
          <w:spacing w:val="-1"/>
        </w:rPr>
        <w:t>interests</w:t>
      </w:r>
      <w:r>
        <w:rPr>
          <w:rFonts w:cs="Avenir Next"/>
        </w:rPr>
        <w:t xml:space="preserve"> of</w:t>
      </w:r>
      <w:r>
        <w:rPr>
          <w:rFonts w:cs="Avenir Next"/>
          <w:spacing w:val="4"/>
        </w:rPr>
        <w:t xml:space="preserve"> </w:t>
      </w:r>
      <w:r>
        <w:rPr>
          <w:rFonts w:cs="Avenir Next"/>
        </w:rPr>
        <w:t>consumers:</w:t>
      </w:r>
    </w:p>
    <w:p w:rsidR="00D96B91" w:rsidRDefault="00C2656B">
      <w:pPr>
        <w:pStyle w:val="BodyText"/>
        <w:numPr>
          <w:ilvl w:val="0"/>
          <w:numId w:val="131"/>
        </w:numPr>
        <w:tabs>
          <w:tab w:val="left" w:pos="1531"/>
        </w:tabs>
        <w:spacing w:before="170" w:line="260" w:lineRule="exact"/>
        <w:ind w:right="1447" w:hanging="283"/>
      </w:pPr>
      <w:r>
        <w:t xml:space="preserve">minimising the </w:t>
      </w:r>
      <w:r>
        <w:rPr>
          <w:spacing w:val="-1"/>
        </w:rPr>
        <w:t>degree</w:t>
      </w:r>
      <w:r>
        <w:t xml:space="preserve"> of</w:t>
      </w:r>
      <w:r>
        <w:rPr>
          <w:spacing w:val="4"/>
        </w:rPr>
        <w:t xml:space="preserve"> </w:t>
      </w:r>
      <w:r>
        <w:t xml:space="preserve">price variability in the </w:t>
      </w:r>
      <w:r>
        <w:rPr>
          <w:spacing w:val="-1"/>
        </w:rPr>
        <w:t>regulatory</w:t>
      </w:r>
      <w:r>
        <w:t xml:space="preserve"> period by limiting the number of</w:t>
      </w:r>
      <w:r>
        <w:rPr>
          <w:spacing w:val="27"/>
        </w:rPr>
        <w:t xml:space="preserve"> </w:t>
      </w:r>
      <w:r>
        <w:t xml:space="preserve">occasions </w:t>
      </w:r>
      <w:r>
        <w:rPr>
          <w:spacing w:val="-1"/>
        </w:rPr>
        <w:t>that</w:t>
      </w:r>
      <w:r>
        <w:t xml:space="preserve"> the cost </w:t>
      </w:r>
      <w:r>
        <w:rPr>
          <w:spacing w:val="-1"/>
        </w:rPr>
        <w:t>pass-through</w:t>
      </w:r>
      <w:r>
        <w:t xml:space="preserve"> </w:t>
      </w:r>
      <w:r>
        <w:rPr>
          <w:spacing w:val="-1"/>
        </w:rPr>
        <w:t>provisions</w:t>
      </w:r>
      <w:r>
        <w:t xml:space="preserve"> </w:t>
      </w:r>
      <w:r>
        <w:rPr>
          <w:spacing w:val="-2"/>
        </w:rPr>
        <w:t>are</w:t>
      </w:r>
      <w:r>
        <w:t xml:space="preserve"> </w:t>
      </w:r>
      <w:r>
        <w:rPr>
          <w:spacing w:val="-1"/>
        </w:rPr>
        <w:t>likely</w:t>
      </w:r>
      <w:r>
        <w:t xml:space="preserve"> to be </w:t>
      </w:r>
      <w:r>
        <w:rPr>
          <w:spacing w:val="-1"/>
        </w:rPr>
        <w:t>triggered</w:t>
      </w:r>
      <w:r>
        <w:t xml:space="preserve"> beyond </w:t>
      </w:r>
      <w:r>
        <w:rPr>
          <w:spacing w:val="-1"/>
        </w:rPr>
        <w:t>that</w:t>
      </w:r>
      <w:r>
        <w:t xml:space="preserve"> </w:t>
      </w:r>
      <w:r>
        <w:rPr>
          <w:spacing w:val="-1"/>
        </w:rPr>
        <w:t>provided</w:t>
      </w:r>
      <w:r>
        <w:t xml:space="preserve"> for</w:t>
      </w:r>
      <w:r>
        <w:rPr>
          <w:spacing w:val="63"/>
        </w:rPr>
        <w:t xml:space="preserve"> </w:t>
      </w:r>
      <w:r>
        <w:t>changes in the</w:t>
      </w:r>
      <w:r>
        <w:rPr>
          <w:spacing w:val="-3"/>
        </w:rPr>
        <w:t xml:space="preserve"> </w:t>
      </w:r>
      <w:r>
        <w:rPr>
          <w:spacing w:val="-2"/>
        </w:rPr>
        <w:t>WAC,</w:t>
      </w:r>
      <w:r>
        <w:rPr>
          <w:spacing w:val="-6"/>
        </w:rPr>
        <w:t xml:space="preserve"> </w:t>
      </w:r>
      <w:r>
        <w:t>UNFT</w:t>
      </w:r>
      <w:r>
        <w:rPr>
          <w:spacing w:val="-5"/>
        </w:rPr>
        <w:t xml:space="preserve"> </w:t>
      </w:r>
      <w:r>
        <w:t>and subvention payments,</w:t>
      </w:r>
      <w:r>
        <w:rPr>
          <w:spacing w:val="-7"/>
        </w:rPr>
        <w:t xml:space="preserve"> </w:t>
      </w:r>
      <w:r>
        <w:t>and</w:t>
      </w:r>
    </w:p>
    <w:p w:rsidR="00D96B91" w:rsidRDefault="00C2656B">
      <w:pPr>
        <w:pStyle w:val="BodyText"/>
        <w:numPr>
          <w:ilvl w:val="0"/>
          <w:numId w:val="131"/>
        </w:numPr>
        <w:tabs>
          <w:tab w:val="left" w:pos="1531"/>
        </w:tabs>
        <w:spacing w:before="93"/>
        <w:ind w:hanging="283"/>
      </w:pPr>
      <w:r>
        <w:t>allowing</w:t>
      </w:r>
      <w:r>
        <w:rPr>
          <w:spacing w:val="-5"/>
        </w:rPr>
        <w:t xml:space="preserve"> </w:t>
      </w:r>
      <w:r>
        <w:rPr>
          <w:spacing w:val="-2"/>
        </w:rPr>
        <w:t>ACTEW</w:t>
      </w:r>
      <w:r>
        <w:rPr>
          <w:spacing w:val="-4"/>
        </w:rPr>
        <w:t xml:space="preserve"> </w:t>
      </w:r>
      <w:r>
        <w:t>to</w:t>
      </w:r>
      <w:r>
        <w:rPr>
          <w:spacing w:val="-1"/>
        </w:rPr>
        <w:t xml:space="preserve"> remain </w:t>
      </w:r>
      <w:r>
        <w:t>financially</w:t>
      </w:r>
      <w:r>
        <w:rPr>
          <w:spacing w:val="-1"/>
        </w:rPr>
        <w:t xml:space="preserve"> </w:t>
      </w:r>
      <w:r>
        <w:t>viable</w:t>
      </w:r>
      <w:r>
        <w:rPr>
          <w:spacing w:val="-1"/>
        </w:rPr>
        <w:t xml:space="preserve"> </w:t>
      </w:r>
      <w:r>
        <w:t>and</w:t>
      </w:r>
      <w:r>
        <w:rPr>
          <w:spacing w:val="-1"/>
        </w:rPr>
        <w:t xml:space="preserve"> </w:t>
      </w:r>
      <w:r>
        <w:t>meet</w:t>
      </w:r>
      <w:r>
        <w:rPr>
          <w:spacing w:val="-1"/>
        </w:rPr>
        <w:t xml:space="preserve"> </w:t>
      </w:r>
      <w:r>
        <w:t>its</w:t>
      </w:r>
      <w:r>
        <w:rPr>
          <w:spacing w:val="-1"/>
        </w:rPr>
        <w:t xml:space="preserve"> </w:t>
      </w:r>
      <w:r>
        <w:t>service</w:t>
      </w:r>
      <w:r>
        <w:rPr>
          <w:spacing w:val="-1"/>
        </w:rPr>
        <w:t xml:space="preserve"> obligations.</w:t>
      </w:r>
    </w:p>
    <w:p w:rsidR="00D96B91" w:rsidRDefault="00D96B91">
      <w:pPr>
        <w:spacing w:before="11"/>
        <w:rPr>
          <w:rFonts w:ascii="Avenir Next" w:eastAsia="Avenir Next" w:hAnsi="Avenir Next" w:cs="Avenir Next"/>
        </w:rPr>
      </w:pPr>
    </w:p>
    <w:p w:rsidR="00D96B91" w:rsidRDefault="00C2656B">
      <w:pPr>
        <w:pStyle w:val="Heading7"/>
        <w:numPr>
          <w:ilvl w:val="3"/>
          <w:numId w:val="94"/>
        </w:numPr>
        <w:tabs>
          <w:tab w:val="left" w:pos="2212"/>
        </w:tabs>
        <w:rPr>
          <w:b w:val="0"/>
          <w:bCs w:val="0"/>
        </w:rPr>
      </w:pPr>
      <w:r>
        <w:rPr>
          <w:color w:val="0778BE"/>
        </w:rPr>
        <w:t>Other potential tools</w:t>
      </w:r>
    </w:p>
    <w:p w:rsidR="00D96B91" w:rsidRDefault="00C2656B">
      <w:pPr>
        <w:pStyle w:val="BodyText"/>
        <w:tabs>
          <w:tab w:val="left" w:pos="3291"/>
          <w:tab w:val="left" w:pos="4860"/>
        </w:tabs>
        <w:spacing w:before="28" w:line="260" w:lineRule="exact"/>
        <w:ind w:right="1261"/>
      </w:pPr>
      <w:r>
        <w:rPr>
          <w:spacing w:val="-3"/>
        </w:rPr>
        <w:t>The</w:t>
      </w:r>
      <w:r>
        <w:rPr>
          <w:spacing w:val="-4"/>
        </w:rPr>
        <w:t xml:space="preserve"> Panel </w:t>
      </w:r>
      <w:r>
        <w:rPr>
          <w:spacing w:val="-2"/>
        </w:rPr>
        <w:t>also</w:t>
      </w:r>
      <w:r>
        <w:rPr>
          <w:spacing w:val="-4"/>
        </w:rPr>
        <w:t xml:space="preserve"> </w:t>
      </w:r>
      <w:r>
        <w:rPr>
          <w:spacing w:val="-3"/>
        </w:rPr>
        <w:t>considered</w:t>
      </w:r>
      <w:r>
        <w:rPr>
          <w:spacing w:val="-4"/>
        </w:rPr>
        <w:t xml:space="preserve"> </w:t>
      </w:r>
      <w:r>
        <w:rPr>
          <w:spacing w:val="-2"/>
        </w:rPr>
        <w:t>two</w:t>
      </w:r>
      <w:r>
        <w:rPr>
          <w:spacing w:val="-4"/>
        </w:rPr>
        <w:t xml:space="preserve"> </w:t>
      </w:r>
      <w:r>
        <w:rPr>
          <w:spacing w:val="-2"/>
        </w:rPr>
        <w:t>other</w:t>
      </w:r>
      <w:r>
        <w:rPr>
          <w:spacing w:val="-4"/>
        </w:rPr>
        <w:t xml:space="preserve"> </w:t>
      </w:r>
      <w:r>
        <w:rPr>
          <w:spacing w:val="-2"/>
        </w:rPr>
        <w:t>tools</w:t>
      </w:r>
      <w:r>
        <w:rPr>
          <w:spacing w:val="-4"/>
        </w:rPr>
        <w:t xml:space="preserve"> </w:t>
      </w:r>
      <w:r>
        <w:rPr>
          <w:spacing w:val="-2"/>
        </w:rPr>
        <w:t>for</w:t>
      </w:r>
      <w:r>
        <w:rPr>
          <w:spacing w:val="-4"/>
        </w:rPr>
        <w:t xml:space="preserve"> </w:t>
      </w:r>
      <w:r>
        <w:rPr>
          <w:spacing w:val="-2"/>
        </w:rPr>
        <w:t>dealing</w:t>
      </w:r>
      <w:r>
        <w:rPr>
          <w:spacing w:val="-4"/>
        </w:rPr>
        <w:t xml:space="preserve"> </w:t>
      </w:r>
      <w:r>
        <w:rPr>
          <w:spacing w:val="-2"/>
        </w:rPr>
        <w:t>with</w:t>
      </w:r>
      <w:r>
        <w:rPr>
          <w:spacing w:val="-4"/>
        </w:rPr>
        <w:t xml:space="preserve"> </w:t>
      </w:r>
      <w:r>
        <w:rPr>
          <w:spacing w:val="-3"/>
        </w:rPr>
        <w:t>expenditure-related</w:t>
      </w:r>
      <w:r>
        <w:rPr>
          <w:spacing w:val="-4"/>
        </w:rPr>
        <w:t xml:space="preserve"> </w:t>
      </w:r>
      <w:r>
        <w:rPr>
          <w:spacing w:val="-2"/>
        </w:rPr>
        <w:t>risk,</w:t>
      </w:r>
      <w:r>
        <w:rPr>
          <w:spacing w:val="-10"/>
        </w:rPr>
        <w:t xml:space="preserve"> </w:t>
      </w:r>
      <w:r>
        <w:rPr>
          <w:spacing w:val="-2"/>
        </w:rPr>
        <w:t>which</w:t>
      </w:r>
      <w:r>
        <w:rPr>
          <w:spacing w:val="-4"/>
        </w:rPr>
        <w:t xml:space="preserve"> </w:t>
      </w:r>
      <w:r>
        <w:rPr>
          <w:spacing w:val="-1"/>
        </w:rPr>
        <w:t>it</w:t>
      </w:r>
      <w:r>
        <w:rPr>
          <w:spacing w:val="-4"/>
        </w:rPr>
        <w:t xml:space="preserve"> </w:t>
      </w:r>
      <w:r>
        <w:rPr>
          <w:spacing w:val="-2"/>
        </w:rPr>
        <w:t>decided</w:t>
      </w:r>
      <w:r>
        <w:rPr>
          <w:spacing w:val="-4"/>
        </w:rPr>
        <w:t xml:space="preserve"> </w:t>
      </w:r>
      <w:r>
        <w:rPr>
          <w:spacing w:val="-2"/>
        </w:rPr>
        <w:t>not</w:t>
      </w:r>
      <w:r>
        <w:rPr>
          <w:spacing w:val="72"/>
        </w:rPr>
        <w:t xml:space="preserve"> </w:t>
      </w:r>
      <w:r>
        <w:rPr>
          <w:spacing w:val="-1"/>
        </w:rPr>
        <w:t>to</w:t>
      </w:r>
      <w:r>
        <w:rPr>
          <w:spacing w:val="-5"/>
        </w:rPr>
        <w:t xml:space="preserve"> </w:t>
      </w:r>
      <w:r>
        <w:rPr>
          <w:spacing w:val="-2"/>
        </w:rPr>
        <w:t>implement.</w:t>
      </w:r>
      <w:r>
        <w:rPr>
          <w:spacing w:val="-15"/>
        </w:rPr>
        <w:t xml:space="preserve"> </w:t>
      </w:r>
      <w:r>
        <w:rPr>
          <w:spacing w:val="-3"/>
        </w:rPr>
        <w:t>The</w:t>
      </w:r>
      <w:r>
        <w:rPr>
          <w:spacing w:val="-5"/>
        </w:rPr>
        <w:t xml:space="preserve"> </w:t>
      </w:r>
      <w:r>
        <w:rPr>
          <w:spacing w:val="-1"/>
        </w:rPr>
        <w:t>fi</w:t>
      </w:r>
      <w:r w:rsidR="004C7CB7">
        <w:rPr>
          <w:spacing w:val="-1"/>
        </w:rPr>
        <w:t xml:space="preserve">rst </w:t>
      </w:r>
      <w:r>
        <w:rPr>
          <w:spacing w:val="-2"/>
        </w:rPr>
        <w:t>was</w:t>
      </w:r>
      <w:r>
        <w:rPr>
          <w:spacing w:val="-4"/>
        </w:rPr>
        <w:t xml:space="preserve"> </w:t>
      </w:r>
      <w:r>
        <w:t>a</w:t>
      </w:r>
      <w:r>
        <w:rPr>
          <w:spacing w:val="-4"/>
        </w:rPr>
        <w:t xml:space="preserve"> </w:t>
      </w:r>
      <w:r>
        <w:rPr>
          <w:spacing w:val="-2"/>
        </w:rPr>
        <w:t>limited</w:t>
      </w:r>
      <w:r>
        <w:rPr>
          <w:spacing w:val="-4"/>
        </w:rPr>
        <w:t xml:space="preserve"> </w:t>
      </w:r>
      <w:r>
        <w:rPr>
          <w:spacing w:val="-2"/>
        </w:rPr>
        <w:t>scope</w:t>
      </w:r>
      <w:r>
        <w:rPr>
          <w:spacing w:val="-4"/>
        </w:rPr>
        <w:t xml:space="preserve"> </w:t>
      </w:r>
      <w:r>
        <w:rPr>
          <w:spacing w:val="-2"/>
        </w:rPr>
        <w:t>capital</w:t>
      </w:r>
      <w:r>
        <w:rPr>
          <w:spacing w:val="-4"/>
        </w:rPr>
        <w:t xml:space="preserve"> </w:t>
      </w:r>
      <w:r>
        <w:rPr>
          <w:spacing w:val="-3"/>
        </w:rPr>
        <w:t>expenditure</w:t>
      </w:r>
      <w:r>
        <w:rPr>
          <w:spacing w:val="-4"/>
        </w:rPr>
        <w:t xml:space="preserve"> </w:t>
      </w:r>
      <w:r>
        <w:rPr>
          <w:spacing w:val="-2"/>
        </w:rPr>
        <w:t>variation</w:t>
      </w:r>
      <w:r>
        <w:rPr>
          <w:spacing w:val="-4"/>
        </w:rPr>
        <w:t xml:space="preserve"> </w:t>
      </w:r>
      <w:r>
        <w:rPr>
          <w:spacing w:val="-3"/>
        </w:rPr>
        <w:t>provision</w:t>
      </w:r>
      <w:r>
        <w:rPr>
          <w:spacing w:val="-4"/>
        </w:rPr>
        <w:t xml:space="preserve"> </w:t>
      </w:r>
      <w:r>
        <w:rPr>
          <w:spacing w:val="-2"/>
        </w:rPr>
        <w:t>(or</w:t>
      </w:r>
      <w:r>
        <w:rPr>
          <w:spacing w:val="-4"/>
        </w:rPr>
        <w:t xml:space="preserve"> </w:t>
      </w:r>
      <w:r>
        <w:t>a</w:t>
      </w:r>
      <w:r>
        <w:rPr>
          <w:spacing w:val="-4"/>
        </w:rPr>
        <w:t xml:space="preserve"> </w:t>
      </w:r>
      <w:r>
        <w:rPr>
          <w:spacing w:val="-2"/>
        </w:rPr>
        <w:t>contingent</w:t>
      </w:r>
      <w:r>
        <w:rPr>
          <w:spacing w:val="-4"/>
        </w:rPr>
        <w:t xml:space="preserve"> </w:t>
      </w:r>
      <w:r>
        <w:rPr>
          <w:spacing w:val="-3"/>
        </w:rPr>
        <w:t>project</w:t>
      </w:r>
      <w:r>
        <w:rPr>
          <w:spacing w:val="66"/>
        </w:rPr>
        <w:t xml:space="preserve"> </w:t>
      </w:r>
      <w:r>
        <w:rPr>
          <w:spacing w:val="-3"/>
        </w:rPr>
        <w:t>pass-through</w:t>
      </w:r>
      <w:r>
        <w:rPr>
          <w:spacing w:val="-5"/>
        </w:rPr>
        <w:t xml:space="preserve"> </w:t>
      </w:r>
      <w:r>
        <w:rPr>
          <w:spacing w:val="-2"/>
        </w:rPr>
        <w:t>mechanism)</w:t>
      </w:r>
      <w:r>
        <w:rPr>
          <w:spacing w:val="-4"/>
        </w:rPr>
        <w:t xml:space="preserve"> </w:t>
      </w:r>
      <w:r>
        <w:rPr>
          <w:spacing w:val="-2"/>
        </w:rPr>
        <w:t>for</w:t>
      </w:r>
      <w:r>
        <w:rPr>
          <w:spacing w:val="-5"/>
        </w:rPr>
        <w:t xml:space="preserve"> </w:t>
      </w:r>
      <w:r>
        <w:rPr>
          <w:spacing w:val="-2"/>
        </w:rPr>
        <w:t>signifi</w:t>
      </w:r>
      <w:r w:rsidR="004C7CB7">
        <w:rPr>
          <w:spacing w:val="-2"/>
        </w:rPr>
        <w:t xml:space="preserve">cant </w:t>
      </w:r>
      <w:r>
        <w:rPr>
          <w:spacing w:val="-3"/>
        </w:rPr>
        <w:t>projects</w:t>
      </w:r>
      <w:r>
        <w:rPr>
          <w:spacing w:val="-4"/>
        </w:rPr>
        <w:t xml:space="preserve"> </w:t>
      </w:r>
      <w:r>
        <w:rPr>
          <w:spacing w:val="-2"/>
        </w:rPr>
        <w:t>that</w:t>
      </w:r>
      <w:r>
        <w:rPr>
          <w:spacing w:val="-4"/>
        </w:rPr>
        <w:t xml:space="preserve"> </w:t>
      </w:r>
      <w:r>
        <w:rPr>
          <w:spacing w:val="-3"/>
        </w:rPr>
        <w:t>were</w:t>
      </w:r>
      <w:r>
        <w:rPr>
          <w:spacing w:val="-4"/>
        </w:rPr>
        <w:t xml:space="preserve"> </w:t>
      </w:r>
      <w:r>
        <w:rPr>
          <w:spacing w:val="-2"/>
        </w:rPr>
        <w:t>not</w:t>
      </w:r>
      <w:r>
        <w:rPr>
          <w:spacing w:val="-4"/>
        </w:rPr>
        <w:t xml:space="preserve"> </w:t>
      </w:r>
      <w:r>
        <w:rPr>
          <w:spacing w:val="-3"/>
        </w:rPr>
        <w:t>foreseen</w:t>
      </w:r>
      <w:r>
        <w:rPr>
          <w:spacing w:val="-4"/>
        </w:rPr>
        <w:t xml:space="preserve"> </w:t>
      </w:r>
      <w:r>
        <w:rPr>
          <w:spacing w:val="-2"/>
        </w:rPr>
        <w:t>at</w:t>
      </w:r>
      <w:r>
        <w:rPr>
          <w:spacing w:val="-4"/>
        </w:rPr>
        <w:t xml:space="preserve"> </w:t>
      </w:r>
      <w:r>
        <w:rPr>
          <w:spacing w:val="-2"/>
        </w:rPr>
        <w:t>the</w:t>
      </w:r>
      <w:r>
        <w:rPr>
          <w:spacing w:val="-4"/>
        </w:rPr>
        <w:t xml:space="preserve"> </w:t>
      </w:r>
      <w:r>
        <w:rPr>
          <w:spacing w:val="-2"/>
        </w:rPr>
        <w:t>time</w:t>
      </w:r>
      <w:r>
        <w:rPr>
          <w:spacing w:val="-4"/>
        </w:rPr>
        <w:t xml:space="preserve"> </w:t>
      </w:r>
      <w:r>
        <w:rPr>
          <w:spacing w:val="-1"/>
        </w:rPr>
        <w:t>of</w:t>
      </w:r>
      <w:r>
        <w:t xml:space="preserve"> </w:t>
      </w:r>
      <w:r>
        <w:rPr>
          <w:spacing w:val="-2"/>
        </w:rPr>
        <w:t>the</w:t>
      </w:r>
      <w:r>
        <w:rPr>
          <w:spacing w:val="-4"/>
        </w:rPr>
        <w:t xml:space="preserve"> </w:t>
      </w:r>
      <w:r>
        <w:rPr>
          <w:spacing w:val="-3"/>
        </w:rPr>
        <w:t>determination</w:t>
      </w:r>
      <w:r>
        <w:rPr>
          <w:spacing w:val="100"/>
        </w:rPr>
        <w:t xml:space="preserve"> </w:t>
      </w:r>
      <w:r>
        <w:rPr>
          <w:spacing w:val="-3"/>
        </w:rPr>
        <w:t>process,</w:t>
      </w:r>
      <w:r>
        <w:rPr>
          <w:spacing w:val="-10"/>
        </w:rPr>
        <w:t xml:space="preserve"> </w:t>
      </w:r>
      <w:r>
        <w:rPr>
          <w:spacing w:val="-3"/>
        </w:rPr>
        <w:t>are</w:t>
      </w:r>
      <w:r>
        <w:rPr>
          <w:spacing w:val="-4"/>
        </w:rPr>
        <w:t xml:space="preserve"> </w:t>
      </w:r>
      <w:r>
        <w:rPr>
          <w:spacing w:val="-2"/>
        </w:rPr>
        <w:t>beyond</w:t>
      </w:r>
      <w:r>
        <w:rPr>
          <w:spacing w:val="-8"/>
        </w:rPr>
        <w:t xml:space="preserve"> </w:t>
      </w:r>
      <w:r>
        <w:rPr>
          <w:spacing w:val="-4"/>
        </w:rPr>
        <w:t xml:space="preserve">ACTEW’s </w:t>
      </w:r>
      <w:r>
        <w:rPr>
          <w:spacing w:val="-3"/>
        </w:rPr>
        <w:t>control</w:t>
      </w:r>
      <w:r>
        <w:rPr>
          <w:spacing w:val="-4"/>
        </w:rPr>
        <w:t xml:space="preserve"> </w:t>
      </w:r>
      <w:r>
        <w:rPr>
          <w:spacing w:val="-2"/>
        </w:rPr>
        <w:t>and</w:t>
      </w:r>
      <w:r>
        <w:rPr>
          <w:spacing w:val="-4"/>
        </w:rPr>
        <w:t xml:space="preserve"> </w:t>
      </w:r>
      <w:r>
        <w:rPr>
          <w:spacing w:val="-2"/>
        </w:rPr>
        <w:t>satisfy</w:t>
      </w:r>
      <w:r>
        <w:rPr>
          <w:spacing w:val="-4"/>
        </w:rPr>
        <w:t xml:space="preserve"> </w:t>
      </w:r>
      <w:r>
        <w:t>a</w:t>
      </w:r>
      <w:r>
        <w:rPr>
          <w:spacing w:val="-4"/>
        </w:rPr>
        <w:t xml:space="preserve"> </w:t>
      </w:r>
      <w:r>
        <w:rPr>
          <w:spacing w:val="-2"/>
        </w:rPr>
        <w:t>materiality</w:t>
      </w:r>
      <w:r>
        <w:rPr>
          <w:spacing w:val="-4"/>
        </w:rPr>
        <w:t xml:space="preserve"> </w:t>
      </w:r>
      <w:r>
        <w:rPr>
          <w:spacing w:val="-3"/>
        </w:rPr>
        <w:t>threshold.</w:t>
      </w:r>
      <w:r>
        <w:rPr>
          <w:spacing w:val="-15"/>
        </w:rPr>
        <w:t xml:space="preserve"> </w:t>
      </w:r>
      <w:r>
        <w:rPr>
          <w:spacing w:val="-3"/>
        </w:rPr>
        <w:t>The</w:t>
      </w:r>
      <w:r>
        <w:rPr>
          <w:spacing w:val="-4"/>
        </w:rPr>
        <w:t xml:space="preserve"> </w:t>
      </w:r>
      <w:r>
        <w:rPr>
          <w:spacing w:val="-5"/>
        </w:rPr>
        <w:t>Panel</w:t>
      </w:r>
      <w:r>
        <w:rPr>
          <w:spacing w:val="-4"/>
        </w:rPr>
        <w:t xml:space="preserve"> </w:t>
      </w:r>
      <w:r>
        <w:rPr>
          <w:spacing w:val="-2"/>
        </w:rPr>
        <w:t>decided</w:t>
      </w:r>
      <w:r>
        <w:rPr>
          <w:spacing w:val="-4"/>
        </w:rPr>
        <w:t xml:space="preserve"> </w:t>
      </w:r>
      <w:r>
        <w:rPr>
          <w:spacing w:val="-2"/>
        </w:rPr>
        <w:t>not</w:t>
      </w:r>
      <w:r>
        <w:rPr>
          <w:spacing w:val="-4"/>
        </w:rPr>
        <w:t xml:space="preserve"> </w:t>
      </w:r>
      <w:r>
        <w:rPr>
          <w:spacing w:val="-1"/>
        </w:rPr>
        <w:t>to</w:t>
      </w:r>
      <w:r>
        <w:rPr>
          <w:spacing w:val="-4"/>
        </w:rPr>
        <w:t xml:space="preserve"> </w:t>
      </w:r>
      <w:r>
        <w:rPr>
          <w:spacing w:val="-2"/>
        </w:rPr>
        <w:t>include</w:t>
      </w:r>
      <w:r>
        <w:rPr>
          <w:spacing w:val="72"/>
        </w:rPr>
        <w:t xml:space="preserve"> </w:t>
      </w:r>
      <w:r>
        <w:rPr>
          <w:rFonts w:cs="Avenir Next"/>
          <w:spacing w:val="-2"/>
        </w:rPr>
        <w:t>this</w:t>
      </w:r>
      <w:r>
        <w:rPr>
          <w:rFonts w:cs="Avenir Next"/>
          <w:spacing w:val="-4"/>
        </w:rPr>
        <w:t xml:space="preserve"> </w:t>
      </w:r>
      <w:r>
        <w:rPr>
          <w:rFonts w:cs="Avenir Next"/>
          <w:spacing w:val="-2"/>
        </w:rPr>
        <w:t>tool</w:t>
      </w:r>
      <w:r>
        <w:rPr>
          <w:rFonts w:cs="Avenir Next"/>
          <w:spacing w:val="-4"/>
        </w:rPr>
        <w:t xml:space="preserve"> </w:t>
      </w:r>
      <w:r>
        <w:rPr>
          <w:rFonts w:cs="Avenir Next"/>
          <w:spacing w:val="-1"/>
        </w:rPr>
        <w:t>in</w:t>
      </w:r>
      <w:r>
        <w:rPr>
          <w:rFonts w:cs="Avenir Next"/>
          <w:spacing w:val="-4"/>
        </w:rPr>
        <w:t xml:space="preserve"> </w:t>
      </w:r>
      <w:r>
        <w:rPr>
          <w:rFonts w:cs="Avenir Next"/>
          <w:spacing w:val="-2"/>
        </w:rPr>
        <w:t>its</w:t>
      </w:r>
      <w:r>
        <w:rPr>
          <w:rFonts w:cs="Avenir Next"/>
          <w:spacing w:val="-4"/>
        </w:rPr>
        <w:t xml:space="preserve"> </w:t>
      </w:r>
      <w:r>
        <w:rPr>
          <w:rFonts w:cs="Avenir Next"/>
          <w:spacing w:val="-3"/>
        </w:rPr>
        <w:t>draft</w:t>
      </w:r>
      <w:r>
        <w:rPr>
          <w:rFonts w:cs="Avenir Next"/>
          <w:spacing w:val="-4"/>
        </w:rPr>
        <w:t xml:space="preserve"> </w:t>
      </w:r>
      <w:r>
        <w:rPr>
          <w:rFonts w:cs="Avenir Next"/>
          <w:spacing w:val="-2"/>
        </w:rPr>
        <w:t>price</w:t>
      </w:r>
      <w:r>
        <w:rPr>
          <w:rFonts w:cs="Avenir Next"/>
          <w:spacing w:val="-4"/>
        </w:rPr>
        <w:t xml:space="preserve"> </w:t>
      </w:r>
      <w:r>
        <w:rPr>
          <w:rFonts w:cs="Avenir Next"/>
          <w:spacing w:val="-3"/>
        </w:rPr>
        <w:t>direction</w:t>
      </w:r>
      <w:r>
        <w:rPr>
          <w:rFonts w:cs="Avenir Next"/>
          <w:spacing w:val="-4"/>
        </w:rPr>
        <w:t xml:space="preserve"> </w:t>
      </w:r>
      <w:r>
        <w:rPr>
          <w:rFonts w:cs="Avenir Next"/>
          <w:spacing w:val="-2"/>
        </w:rPr>
        <w:t>because,</w:t>
      </w:r>
      <w:r>
        <w:rPr>
          <w:rFonts w:cs="Avenir Next"/>
          <w:spacing w:val="-10"/>
        </w:rPr>
        <w:t xml:space="preserve"> </w:t>
      </w:r>
      <w:r>
        <w:rPr>
          <w:rFonts w:cs="Avenir Next"/>
          <w:spacing w:val="-2"/>
        </w:rPr>
        <w:t>with</w:t>
      </w:r>
      <w:r>
        <w:rPr>
          <w:rFonts w:cs="Avenir Next"/>
          <w:spacing w:val="-4"/>
        </w:rPr>
        <w:t xml:space="preserve"> </w:t>
      </w:r>
      <w:r>
        <w:rPr>
          <w:rFonts w:cs="Avenir Next"/>
          <w:spacing w:val="-2"/>
        </w:rPr>
        <w:t>just</w:t>
      </w:r>
      <w:r>
        <w:rPr>
          <w:rFonts w:cs="Avenir Next"/>
          <w:spacing w:val="-4"/>
        </w:rPr>
        <w:t xml:space="preserve"> </w:t>
      </w:r>
      <w:r>
        <w:rPr>
          <w:rFonts w:cs="Avenir Next"/>
          <w:spacing w:val="-3"/>
        </w:rPr>
        <w:t>three</w:t>
      </w:r>
      <w:r>
        <w:rPr>
          <w:rFonts w:cs="Avenir Next"/>
          <w:spacing w:val="-4"/>
        </w:rPr>
        <w:t xml:space="preserve"> </w:t>
      </w:r>
      <w:r>
        <w:rPr>
          <w:rFonts w:cs="Avenir Next"/>
          <w:spacing w:val="-2"/>
        </w:rPr>
        <w:t>years</w:t>
      </w:r>
      <w:r>
        <w:rPr>
          <w:rFonts w:cs="Avenir Next"/>
          <w:spacing w:val="-4"/>
        </w:rPr>
        <w:t xml:space="preserve"> </w:t>
      </w:r>
      <w:r>
        <w:rPr>
          <w:rFonts w:cs="Avenir Next"/>
          <w:spacing w:val="-3"/>
        </w:rPr>
        <w:t>left</w:t>
      </w:r>
      <w:r>
        <w:rPr>
          <w:rFonts w:cs="Avenir Next"/>
          <w:spacing w:val="-4"/>
        </w:rPr>
        <w:t xml:space="preserve"> </w:t>
      </w:r>
      <w:r>
        <w:rPr>
          <w:rFonts w:cs="Avenir Next"/>
          <w:spacing w:val="-1"/>
        </w:rPr>
        <w:t>in</w:t>
      </w:r>
      <w:r>
        <w:rPr>
          <w:rFonts w:cs="Avenir Next"/>
          <w:spacing w:val="-4"/>
        </w:rPr>
        <w:t xml:space="preserve"> </w:t>
      </w:r>
      <w:r>
        <w:rPr>
          <w:rFonts w:cs="Avenir Next"/>
          <w:spacing w:val="-2"/>
        </w:rPr>
        <w:t>the</w:t>
      </w:r>
      <w:r>
        <w:rPr>
          <w:rFonts w:cs="Avenir Next"/>
          <w:spacing w:val="-4"/>
        </w:rPr>
        <w:t xml:space="preserve"> </w:t>
      </w:r>
      <w:r>
        <w:rPr>
          <w:rFonts w:cs="Avenir Next"/>
          <w:spacing w:val="-3"/>
        </w:rPr>
        <w:t>current</w:t>
      </w:r>
      <w:r>
        <w:rPr>
          <w:rFonts w:cs="Avenir Next"/>
          <w:spacing w:val="-4"/>
        </w:rPr>
        <w:t xml:space="preserve"> </w:t>
      </w:r>
      <w:r>
        <w:rPr>
          <w:rFonts w:cs="Avenir Next"/>
          <w:spacing w:val="-3"/>
        </w:rPr>
        <w:t>regulatory</w:t>
      </w:r>
      <w:r>
        <w:rPr>
          <w:rFonts w:cs="Avenir Next"/>
          <w:spacing w:val="-4"/>
        </w:rPr>
        <w:t xml:space="preserve"> </w:t>
      </w:r>
      <w:r>
        <w:rPr>
          <w:rFonts w:cs="Avenir Next"/>
          <w:spacing w:val="-2"/>
        </w:rPr>
        <w:t>period,</w:t>
      </w:r>
      <w:r>
        <w:rPr>
          <w:rFonts w:cs="Avenir Next"/>
          <w:spacing w:val="-10"/>
        </w:rPr>
        <w:t xml:space="preserve"> </w:t>
      </w:r>
      <w:r>
        <w:rPr>
          <w:rFonts w:cs="Avenir Next"/>
          <w:spacing w:val="-1"/>
        </w:rPr>
        <w:t>it</w:t>
      </w:r>
      <w:r>
        <w:rPr>
          <w:rFonts w:cs="Avenir Next"/>
          <w:spacing w:val="-4"/>
        </w:rPr>
        <w:t xml:space="preserve"> </w:t>
      </w:r>
      <w:r>
        <w:rPr>
          <w:rFonts w:cs="Avenir Next"/>
          <w:spacing w:val="-2"/>
        </w:rPr>
        <w:t>has</w:t>
      </w:r>
      <w:r>
        <w:rPr>
          <w:rFonts w:cs="Avenir Next"/>
          <w:spacing w:val="86"/>
        </w:rPr>
        <w:t xml:space="preserve"> </w:t>
      </w:r>
      <w:r>
        <w:rPr>
          <w:spacing w:val="-2"/>
        </w:rPr>
        <w:t>judged</w:t>
      </w:r>
      <w:r>
        <w:rPr>
          <w:spacing w:val="-4"/>
        </w:rPr>
        <w:t xml:space="preserve"> </w:t>
      </w:r>
      <w:r>
        <w:rPr>
          <w:spacing w:val="-2"/>
        </w:rPr>
        <w:t>the</w:t>
      </w:r>
      <w:r>
        <w:rPr>
          <w:spacing w:val="-4"/>
        </w:rPr>
        <w:t xml:space="preserve"> </w:t>
      </w:r>
      <w:r>
        <w:rPr>
          <w:spacing w:val="-2"/>
        </w:rPr>
        <w:t>risk</w:t>
      </w:r>
      <w:r>
        <w:rPr>
          <w:spacing w:val="-4"/>
        </w:rPr>
        <w:t xml:space="preserve"> </w:t>
      </w:r>
      <w:r>
        <w:rPr>
          <w:spacing w:val="-1"/>
        </w:rPr>
        <w:t>of</w:t>
      </w:r>
      <w:r>
        <w:t xml:space="preserve"> </w:t>
      </w:r>
      <w:r>
        <w:rPr>
          <w:spacing w:val="-2"/>
        </w:rPr>
        <w:t>such</w:t>
      </w:r>
      <w:r>
        <w:rPr>
          <w:spacing w:val="-4"/>
        </w:rPr>
        <w:t xml:space="preserve"> </w:t>
      </w:r>
      <w:r>
        <w:t>a</w:t>
      </w:r>
      <w:r>
        <w:rPr>
          <w:spacing w:val="-4"/>
        </w:rPr>
        <w:t xml:space="preserve"> </w:t>
      </w:r>
      <w:r>
        <w:rPr>
          <w:spacing w:val="-3"/>
        </w:rPr>
        <w:t>project</w:t>
      </w:r>
      <w:r>
        <w:rPr>
          <w:spacing w:val="-4"/>
        </w:rPr>
        <w:t xml:space="preserve"> </w:t>
      </w:r>
      <w:r>
        <w:rPr>
          <w:spacing w:val="-2"/>
        </w:rPr>
        <w:t>being</w:t>
      </w:r>
      <w:r>
        <w:rPr>
          <w:spacing w:val="-4"/>
        </w:rPr>
        <w:t xml:space="preserve"> </w:t>
      </w:r>
      <w:r>
        <w:rPr>
          <w:spacing w:val="-2"/>
        </w:rPr>
        <w:t>developed</w:t>
      </w:r>
      <w:r>
        <w:rPr>
          <w:spacing w:val="-4"/>
        </w:rPr>
        <w:t xml:space="preserve"> </w:t>
      </w:r>
      <w:r>
        <w:rPr>
          <w:spacing w:val="-2"/>
        </w:rPr>
        <w:t>within</w:t>
      </w:r>
      <w:r>
        <w:rPr>
          <w:spacing w:val="-4"/>
        </w:rPr>
        <w:t xml:space="preserve"> </w:t>
      </w:r>
      <w:r>
        <w:rPr>
          <w:spacing w:val="-2"/>
        </w:rPr>
        <w:t>the</w:t>
      </w:r>
      <w:r>
        <w:rPr>
          <w:spacing w:val="-4"/>
        </w:rPr>
        <w:t xml:space="preserve"> </w:t>
      </w:r>
      <w:r>
        <w:rPr>
          <w:spacing w:val="-2"/>
        </w:rPr>
        <w:t>period</w:t>
      </w:r>
      <w:r>
        <w:rPr>
          <w:spacing w:val="-4"/>
        </w:rPr>
        <w:t xml:space="preserve"> </w:t>
      </w:r>
      <w:r>
        <w:rPr>
          <w:spacing w:val="-1"/>
        </w:rPr>
        <w:t>as</w:t>
      </w:r>
      <w:r>
        <w:rPr>
          <w:spacing w:val="-4"/>
        </w:rPr>
        <w:t xml:space="preserve"> low.</w:t>
      </w:r>
    </w:p>
    <w:p w:rsidR="00D96B91" w:rsidRDefault="00C2656B">
      <w:pPr>
        <w:pStyle w:val="BodyText"/>
        <w:spacing w:before="170" w:line="260" w:lineRule="exact"/>
        <w:ind w:right="1256"/>
        <w:rPr>
          <w:sz w:val="11"/>
          <w:szCs w:val="11"/>
        </w:rPr>
      </w:pPr>
      <w:r>
        <w:rPr>
          <w:rFonts w:cs="Avenir Next"/>
        </w:rPr>
        <w:t xml:space="preserve">While the </w:t>
      </w:r>
      <w:r>
        <w:rPr>
          <w:rFonts w:cs="Avenir Next"/>
          <w:spacing w:val="-3"/>
        </w:rPr>
        <w:t>Panel</w:t>
      </w:r>
      <w:r>
        <w:rPr>
          <w:rFonts w:cs="Avenir Next"/>
        </w:rPr>
        <w:t xml:space="preserve"> has decided not to </w:t>
      </w:r>
      <w:r>
        <w:rPr>
          <w:rFonts w:cs="Avenir Next"/>
          <w:spacing w:val="-1"/>
        </w:rPr>
        <w:t>make</w:t>
      </w:r>
      <w:r>
        <w:rPr>
          <w:rFonts w:cs="Avenir Next"/>
        </w:rPr>
        <w:t xml:space="preserve"> </w:t>
      </w:r>
      <w:r>
        <w:rPr>
          <w:rFonts w:cs="Avenir Next"/>
          <w:spacing w:val="-1"/>
        </w:rPr>
        <w:t>provision</w:t>
      </w:r>
      <w:r>
        <w:rPr>
          <w:rFonts w:cs="Avenir Next"/>
        </w:rPr>
        <w:t xml:space="preserve"> for this type of</w:t>
      </w:r>
      <w:r>
        <w:rPr>
          <w:rFonts w:cs="Avenir Next"/>
          <w:spacing w:val="4"/>
        </w:rPr>
        <w:t xml:space="preserve"> </w:t>
      </w:r>
      <w:r>
        <w:rPr>
          <w:rFonts w:cs="Avenir Next"/>
        </w:rPr>
        <w:t>tool,</w:t>
      </w:r>
      <w:r>
        <w:rPr>
          <w:rFonts w:cs="Avenir Next"/>
          <w:spacing w:val="-6"/>
        </w:rPr>
        <w:t xml:space="preserve"> </w:t>
      </w:r>
      <w:r>
        <w:rPr>
          <w:rFonts w:cs="Avenir Next"/>
        </w:rPr>
        <w:t xml:space="preserve">it </w:t>
      </w:r>
      <w:r>
        <w:rPr>
          <w:rFonts w:cs="Avenir Next"/>
          <w:spacing w:val="-1"/>
        </w:rPr>
        <w:t>remains</w:t>
      </w:r>
      <w:r>
        <w:rPr>
          <w:rFonts w:cs="Avenir Next"/>
        </w:rPr>
        <w:t xml:space="preserve"> </w:t>
      </w:r>
      <w:r>
        <w:rPr>
          <w:rFonts w:cs="Avenir Next"/>
          <w:spacing w:val="-1"/>
        </w:rPr>
        <w:t>appropriate</w:t>
      </w:r>
      <w:r>
        <w:rPr>
          <w:rFonts w:cs="Avenir Next"/>
        </w:rPr>
        <w:t xml:space="preserve"> when</w:t>
      </w:r>
      <w:r>
        <w:rPr>
          <w:rFonts w:cs="Avenir Next"/>
          <w:spacing w:val="31"/>
        </w:rPr>
        <w:t xml:space="preserve"> </w:t>
      </w:r>
      <w:r>
        <w:rPr>
          <w:rFonts w:cs="Avenir Next"/>
          <w:spacing w:val="-1"/>
        </w:rPr>
        <w:t>there</w:t>
      </w:r>
      <w:r>
        <w:rPr>
          <w:rFonts w:cs="Avenir Next"/>
        </w:rPr>
        <w:t xml:space="preserve"> is a </w:t>
      </w:r>
      <w:r>
        <w:rPr>
          <w:rFonts w:cs="Avenir Next"/>
          <w:spacing w:val="-1"/>
        </w:rPr>
        <w:t>large</w:t>
      </w:r>
      <w:r>
        <w:rPr>
          <w:rFonts w:cs="Avenir Next"/>
        </w:rPr>
        <w:t xml:space="preserve"> scale </w:t>
      </w:r>
      <w:r>
        <w:rPr>
          <w:rFonts w:cs="Avenir Next"/>
          <w:spacing w:val="-1"/>
        </w:rPr>
        <w:t>project</w:t>
      </w:r>
      <w:r>
        <w:rPr>
          <w:rFonts w:cs="Avenir Next"/>
        </w:rPr>
        <w:t xml:space="preserve"> </w:t>
      </w:r>
      <w:r>
        <w:rPr>
          <w:rFonts w:cs="Avenir Next"/>
          <w:spacing w:val="-1"/>
        </w:rPr>
        <w:t>that</w:t>
      </w:r>
      <w:r>
        <w:rPr>
          <w:rFonts w:cs="Avenir Next"/>
        </w:rPr>
        <w:t xml:space="preserve"> either was not </w:t>
      </w:r>
      <w:r>
        <w:rPr>
          <w:rFonts w:cs="Avenir Next"/>
          <w:spacing w:val="-1"/>
        </w:rPr>
        <w:t>anticipated</w:t>
      </w:r>
      <w:r>
        <w:rPr>
          <w:rFonts w:cs="Avenir Next"/>
        </w:rPr>
        <w:t xml:space="preserve"> when the </w:t>
      </w:r>
      <w:r>
        <w:rPr>
          <w:rFonts w:cs="Avenir Next"/>
          <w:spacing w:val="-1"/>
        </w:rPr>
        <w:t>regulatory</w:t>
      </w:r>
      <w:r>
        <w:rPr>
          <w:rFonts w:cs="Avenir Next"/>
        </w:rPr>
        <w:t xml:space="preserve"> </w:t>
      </w:r>
      <w:r>
        <w:rPr>
          <w:rFonts w:cs="Avenir Next"/>
          <w:spacing w:val="-1"/>
        </w:rPr>
        <w:t>determination</w:t>
      </w:r>
      <w:r>
        <w:rPr>
          <w:rFonts w:cs="Avenir Next"/>
        </w:rPr>
        <w:t xml:space="preserve"> was</w:t>
      </w:r>
      <w:r>
        <w:rPr>
          <w:rFonts w:cs="Avenir Next"/>
          <w:spacing w:val="57"/>
        </w:rPr>
        <w:t xml:space="preserve"> </w:t>
      </w:r>
      <w:r>
        <w:t>made,</w:t>
      </w:r>
      <w:r>
        <w:rPr>
          <w:spacing w:val="-6"/>
        </w:rPr>
        <w:t xml:space="preserve"> </w:t>
      </w:r>
      <w:r>
        <w:t xml:space="preserve">or was </w:t>
      </w:r>
      <w:r>
        <w:rPr>
          <w:spacing w:val="-1"/>
        </w:rPr>
        <w:t>considered</w:t>
      </w:r>
      <w:r>
        <w:t xml:space="preserve"> too </w:t>
      </w:r>
      <w:r>
        <w:rPr>
          <w:spacing w:val="-1"/>
        </w:rPr>
        <w:t>uncertain</w:t>
      </w:r>
      <w:r>
        <w:t xml:space="preserve"> in terms of</w:t>
      </w:r>
      <w:r>
        <w:rPr>
          <w:spacing w:val="4"/>
        </w:rPr>
        <w:t xml:space="preserve"> </w:t>
      </w:r>
      <w:r>
        <w:t>timing,</w:t>
      </w:r>
      <w:r>
        <w:rPr>
          <w:spacing w:val="-6"/>
        </w:rPr>
        <w:t xml:space="preserve"> </w:t>
      </w:r>
      <w:r>
        <w:t>costs or need.</w:t>
      </w:r>
      <w:r>
        <w:rPr>
          <w:spacing w:val="-7"/>
        </w:rPr>
        <w:t xml:space="preserve"> </w:t>
      </w:r>
      <w:r>
        <w:t>If</w:t>
      </w:r>
      <w:r>
        <w:rPr>
          <w:spacing w:val="4"/>
        </w:rPr>
        <w:t xml:space="preserve"> </w:t>
      </w:r>
      <w:r>
        <w:t xml:space="preserve">this tool is used in the </w:t>
      </w:r>
      <w:r>
        <w:rPr>
          <w:spacing w:val="-1"/>
        </w:rPr>
        <w:t>future,</w:t>
      </w:r>
      <w:r>
        <w:rPr>
          <w:spacing w:val="31"/>
        </w:rPr>
        <w:t xml:space="preserve"> </w:t>
      </w:r>
      <w:r>
        <w:t xml:space="preserve">a </w:t>
      </w:r>
      <w:r>
        <w:rPr>
          <w:spacing w:val="-1"/>
        </w:rPr>
        <w:t>materiality</w:t>
      </w:r>
      <w:r>
        <w:t xml:space="preserve"> </w:t>
      </w:r>
      <w:r>
        <w:rPr>
          <w:spacing w:val="-1"/>
        </w:rPr>
        <w:t>threshold</w:t>
      </w:r>
      <w:r>
        <w:t xml:space="preserve"> similar to </w:t>
      </w:r>
      <w:r>
        <w:rPr>
          <w:spacing w:val="-1"/>
        </w:rPr>
        <w:t>that</w:t>
      </w:r>
      <w:r>
        <w:t xml:space="preserve"> adopted by the</w:t>
      </w:r>
      <w:r>
        <w:rPr>
          <w:spacing w:val="-4"/>
        </w:rPr>
        <w:t xml:space="preserve"> </w:t>
      </w:r>
      <w:r>
        <w:rPr>
          <w:spacing w:val="-1"/>
        </w:rPr>
        <w:t>Australian</w:t>
      </w:r>
      <w:r>
        <w:t xml:space="preserve"> </w:t>
      </w:r>
      <w:r>
        <w:rPr>
          <w:spacing w:val="-1"/>
        </w:rPr>
        <w:t>Energy</w:t>
      </w:r>
      <w:r>
        <w:t xml:space="preserve"> </w:t>
      </w:r>
      <w:r>
        <w:rPr>
          <w:spacing w:val="-1"/>
        </w:rPr>
        <w:t>Regulator</w:t>
      </w:r>
      <w:r>
        <w:t xml:space="preserve"> (AER) in electricity</w:t>
      </w:r>
      <w:r>
        <w:rPr>
          <w:spacing w:val="59"/>
        </w:rPr>
        <w:t xml:space="preserve"> </w:t>
      </w:r>
      <w:r>
        <w:t xml:space="preserve">may be </w:t>
      </w:r>
      <w:r>
        <w:rPr>
          <w:spacing w:val="-1"/>
        </w:rPr>
        <w:t>required</w:t>
      </w:r>
      <w:r>
        <w:t xml:space="preserve"> to </w:t>
      </w:r>
      <w:r>
        <w:rPr>
          <w:spacing w:val="-1"/>
        </w:rPr>
        <w:t>ensure</w:t>
      </w:r>
      <w:r>
        <w:t xml:space="preserve"> </w:t>
      </w:r>
      <w:r>
        <w:rPr>
          <w:spacing w:val="-1"/>
        </w:rPr>
        <w:t>that</w:t>
      </w:r>
      <w:r>
        <w:t xml:space="preserve"> it doesn’t </w:t>
      </w:r>
      <w:r>
        <w:rPr>
          <w:spacing w:val="-1"/>
        </w:rPr>
        <w:t>result</w:t>
      </w:r>
      <w:r>
        <w:t xml:space="preserve"> in </w:t>
      </w:r>
      <w:r>
        <w:rPr>
          <w:spacing w:val="-1"/>
        </w:rPr>
        <w:t>frequent</w:t>
      </w:r>
      <w:r>
        <w:t xml:space="preserve"> adjustments to prices within the period.</w:t>
      </w:r>
      <w:r>
        <w:rPr>
          <w:spacing w:val="-11"/>
        </w:rPr>
        <w:t xml:space="preserve"> </w:t>
      </w:r>
      <w:r>
        <w:rPr>
          <w:spacing w:val="-1"/>
        </w:rPr>
        <w:t>This</w:t>
      </w:r>
      <w:r>
        <w:rPr>
          <w:spacing w:val="21"/>
        </w:rPr>
        <w:t xml:space="preserve"> </w:t>
      </w:r>
      <w:r>
        <w:rPr>
          <w:spacing w:val="-1"/>
        </w:rPr>
        <w:t>threshold</w:t>
      </w:r>
      <w:r>
        <w:t xml:space="preserve"> is the</w:t>
      </w:r>
      <w:r>
        <w:rPr>
          <w:spacing w:val="1"/>
        </w:rPr>
        <w:t xml:space="preserve"> </w:t>
      </w:r>
      <w:r>
        <w:t>lesser of</w:t>
      </w:r>
      <w:r>
        <w:rPr>
          <w:spacing w:val="5"/>
        </w:rPr>
        <w:t xml:space="preserve"> </w:t>
      </w:r>
      <w:r>
        <w:t>$30 million or</w:t>
      </w:r>
      <w:r>
        <w:rPr>
          <w:spacing w:val="1"/>
        </w:rPr>
        <w:t xml:space="preserve"> </w:t>
      </w:r>
      <w:r>
        <w:t>5% of</w:t>
      </w:r>
      <w:r>
        <w:rPr>
          <w:spacing w:val="5"/>
        </w:rPr>
        <w:t xml:space="preserve"> </w:t>
      </w:r>
      <w:r>
        <w:t>the service</w:t>
      </w:r>
      <w:r>
        <w:rPr>
          <w:spacing w:val="1"/>
        </w:rPr>
        <w:t xml:space="preserve"> </w:t>
      </w:r>
      <w:r>
        <w:rPr>
          <w:spacing w:val="-1"/>
        </w:rPr>
        <w:t>provider’s</w:t>
      </w:r>
      <w:r>
        <w:t xml:space="preserve"> annual </w:t>
      </w:r>
      <w:r>
        <w:rPr>
          <w:spacing w:val="-1"/>
        </w:rPr>
        <w:t>revenue</w:t>
      </w:r>
      <w:r>
        <w:rPr>
          <w:spacing w:val="1"/>
        </w:rPr>
        <w:t xml:space="preserve"> </w:t>
      </w:r>
      <w:r>
        <w:rPr>
          <w:spacing w:val="-1"/>
        </w:rPr>
        <w:t>requirement.</w:t>
      </w:r>
      <w:r>
        <w:rPr>
          <w:spacing w:val="-1"/>
          <w:position w:val="7"/>
          <w:sz w:val="11"/>
          <w:szCs w:val="11"/>
        </w:rPr>
        <w:t>66</w:t>
      </w:r>
    </w:p>
    <w:p w:rsidR="00D96B91" w:rsidRDefault="00C2656B">
      <w:pPr>
        <w:pStyle w:val="BodyText"/>
        <w:spacing w:before="170" w:line="260" w:lineRule="exact"/>
        <w:ind w:right="1256"/>
      </w:pPr>
      <w:r>
        <w:rPr>
          <w:spacing w:val="-2"/>
        </w:rPr>
        <w:t>The</w:t>
      </w:r>
      <w:r>
        <w:t xml:space="preserve"> second tool the </w:t>
      </w:r>
      <w:r>
        <w:rPr>
          <w:spacing w:val="-3"/>
        </w:rPr>
        <w:t>Panel</w:t>
      </w:r>
      <w:r>
        <w:t xml:space="preserve"> </w:t>
      </w:r>
      <w:r>
        <w:rPr>
          <w:spacing w:val="-1"/>
        </w:rPr>
        <w:t>considered</w:t>
      </w:r>
      <w:r>
        <w:t xml:space="preserve"> but decided not to implement was an </w:t>
      </w:r>
      <w:r>
        <w:rPr>
          <w:spacing w:val="-1"/>
        </w:rPr>
        <w:t>intra-period</w:t>
      </w:r>
      <w:r>
        <w:t xml:space="preserve"> capital</w:t>
      </w:r>
      <w:r>
        <w:rPr>
          <w:spacing w:val="41"/>
        </w:rPr>
        <w:t xml:space="preserve"> </w:t>
      </w:r>
      <w:r>
        <w:rPr>
          <w:spacing w:val="-1"/>
        </w:rPr>
        <w:t>expenditure</w:t>
      </w:r>
      <w:r>
        <w:t xml:space="preserve"> </w:t>
      </w:r>
      <w:r>
        <w:rPr>
          <w:spacing w:val="-1"/>
        </w:rPr>
        <w:t>review</w:t>
      </w:r>
      <w:r>
        <w:t xml:space="preserve"> </w:t>
      </w:r>
      <w:r>
        <w:rPr>
          <w:spacing w:val="-1"/>
        </w:rPr>
        <w:t>provision.</w:t>
      </w:r>
      <w:r>
        <w:rPr>
          <w:spacing w:val="-6"/>
        </w:rPr>
        <w:t xml:space="preserve"> </w:t>
      </w:r>
      <w:r>
        <w:t>Such a tool would allow</w:t>
      </w:r>
      <w:r>
        <w:rPr>
          <w:spacing w:val="-4"/>
        </w:rPr>
        <w:t xml:space="preserve"> </w:t>
      </w:r>
      <w:r>
        <w:rPr>
          <w:spacing w:val="-2"/>
        </w:rPr>
        <w:t>ACTEW</w:t>
      </w:r>
      <w:r>
        <w:rPr>
          <w:spacing w:val="-3"/>
        </w:rPr>
        <w:t xml:space="preserve"> </w:t>
      </w:r>
      <w:r>
        <w:t xml:space="preserve">to seek a </w:t>
      </w:r>
      <w:r>
        <w:rPr>
          <w:spacing w:val="-1"/>
        </w:rPr>
        <w:t>determination</w:t>
      </w:r>
      <w:r>
        <w:t xml:space="preserve"> </w:t>
      </w:r>
      <w:r>
        <w:rPr>
          <w:spacing w:val="-1"/>
        </w:rPr>
        <w:t>from</w:t>
      </w:r>
      <w:r>
        <w:t xml:space="preserve"> the ICRC</w:t>
      </w:r>
      <w:r>
        <w:rPr>
          <w:spacing w:val="57"/>
        </w:rPr>
        <w:t xml:space="preserve"> </w:t>
      </w:r>
      <w:r>
        <w:t>within</w:t>
      </w:r>
      <w:r>
        <w:rPr>
          <w:spacing w:val="-2"/>
        </w:rPr>
        <w:t xml:space="preserve"> </w:t>
      </w:r>
      <w:r>
        <w:t>the</w:t>
      </w:r>
      <w:r>
        <w:rPr>
          <w:spacing w:val="-1"/>
        </w:rPr>
        <w:t xml:space="preserve"> regulatory </w:t>
      </w:r>
      <w:r>
        <w:t>period</w:t>
      </w:r>
      <w:r>
        <w:rPr>
          <w:spacing w:val="-1"/>
        </w:rPr>
        <w:t xml:space="preserve"> </w:t>
      </w:r>
      <w:r>
        <w:t>on</w:t>
      </w:r>
      <w:r>
        <w:rPr>
          <w:spacing w:val="-1"/>
        </w:rPr>
        <w:t xml:space="preserve"> </w:t>
      </w:r>
      <w:r>
        <w:t>the</w:t>
      </w:r>
      <w:r>
        <w:rPr>
          <w:spacing w:val="-1"/>
        </w:rPr>
        <w:t xml:space="preserve"> </w:t>
      </w:r>
      <w:r>
        <w:t>prudence</w:t>
      </w:r>
      <w:r>
        <w:rPr>
          <w:spacing w:val="-1"/>
        </w:rPr>
        <w:t xml:space="preserve"> </w:t>
      </w:r>
      <w:r>
        <w:t>and</w:t>
      </w:r>
      <w:r>
        <w:rPr>
          <w:spacing w:val="-1"/>
        </w:rPr>
        <w:t xml:space="preserve"> efficiency </w:t>
      </w:r>
      <w:r>
        <w:t>of</w:t>
      </w:r>
      <w:r>
        <w:rPr>
          <w:spacing w:val="3"/>
        </w:rPr>
        <w:t xml:space="preserve"> </w:t>
      </w:r>
      <w:r>
        <w:t>new</w:t>
      </w:r>
      <w:r>
        <w:rPr>
          <w:spacing w:val="-1"/>
        </w:rPr>
        <w:t xml:space="preserve"> large-scale projects </w:t>
      </w:r>
      <w:r>
        <w:t>identified</w:t>
      </w:r>
      <w:r>
        <w:rPr>
          <w:spacing w:val="-1"/>
        </w:rPr>
        <w:t xml:space="preserve"> </w:t>
      </w:r>
      <w:r>
        <w:t>in</w:t>
      </w:r>
      <w:r>
        <w:rPr>
          <w:spacing w:val="-1"/>
        </w:rPr>
        <w:t xml:space="preserve"> </w:t>
      </w:r>
      <w:r>
        <w:t>the</w:t>
      </w:r>
      <w:r>
        <w:rPr>
          <w:spacing w:val="43"/>
        </w:rPr>
        <w:t xml:space="preserve"> </w:t>
      </w:r>
      <w:r>
        <w:rPr>
          <w:spacing w:val="-1"/>
        </w:rPr>
        <w:t>regulatory</w:t>
      </w:r>
      <w:r>
        <w:t xml:space="preserve"> period </w:t>
      </w:r>
      <w:r>
        <w:rPr>
          <w:spacing w:val="-1"/>
        </w:rPr>
        <w:t>before</w:t>
      </w:r>
      <w:r>
        <w:t xml:space="preserve"> work commences,</w:t>
      </w:r>
      <w:r>
        <w:rPr>
          <w:spacing w:val="-7"/>
        </w:rPr>
        <w:t xml:space="preserve"> </w:t>
      </w:r>
      <w:r>
        <w:t xml:space="preserve">but would not </w:t>
      </w:r>
      <w:r>
        <w:rPr>
          <w:spacing w:val="-1"/>
        </w:rPr>
        <w:t>result</w:t>
      </w:r>
      <w:r>
        <w:t xml:space="preserve"> in any change to prices in the period.</w:t>
      </w:r>
      <w:r>
        <w:rPr>
          <w:spacing w:val="29"/>
        </w:rPr>
        <w:t xml:space="preserve"> </w:t>
      </w:r>
      <w:r>
        <w:t xml:space="preserve">Because the </w:t>
      </w:r>
      <w:r>
        <w:rPr>
          <w:spacing w:val="-3"/>
        </w:rPr>
        <w:t>Panel</w:t>
      </w:r>
      <w:r>
        <w:t xml:space="preserve"> has judged the risk of</w:t>
      </w:r>
      <w:r>
        <w:rPr>
          <w:spacing w:val="4"/>
        </w:rPr>
        <w:t xml:space="preserve"> </w:t>
      </w:r>
      <w:r>
        <w:t xml:space="preserve">a </w:t>
      </w:r>
      <w:r>
        <w:rPr>
          <w:spacing w:val="-1"/>
        </w:rPr>
        <w:t>large-scale</w:t>
      </w:r>
      <w:r>
        <w:t xml:space="preserve"> </w:t>
      </w:r>
      <w:r>
        <w:rPr>
          <w:spacing w:val="-1"/>
        </w:rPr>
        <w:t>project</w:t>
      </w:r>
      <w:r>
        <w:t xml:space="preserve"> having to be developed in the </w:t>
      </w:r>
      <w:r>
        <w:rPr>
          <w:spacing w:val="-1"/>
        </w:rPr>
        <w:t>remaining</w:t>
      </w:r>
      <w:r>
        <w:rPr>
          <w:spacing w:val="37"/>
        </w:rPr>
        <w:t xml:space="preserve"> </w:t>
      </w:r>
      <w:r>
        <w:rPr>
          <w:spacing w:val="-1"/>
        </w:rPr>
        <w:t>three</w:t>
      </w:r>
      <w:r>
        <w:t xml:space="preserve"> </w:t>
      </w:r>
      <w:r>
        <w:rPr>
          <w:spacing w:val="-1"/>
        </w:rPr>
        <w:t>years</w:t>
      </w:r>
      <w:r>
        <w:t xml:space="preserve"> of</w:t>
      </w:r>
      <w:r>
        <w:rPr>
          <w:spacing w:val="4"/>
        </w:rPr>
        <w:t xml:space="preserve"> </w:t>
      </w:r>
      <w:r>
        <w:t xml:space="preserve">the </w:t>
      </w:r>
      <w:r>
        <w:rPr>
          <w:spacing w:val="-1"/>
        </w:rPr>
        <w:t>current</w:t>
      </w:r>
      <w:r>
        <w:t xml:space="preserve"> </w:t>
      </w:r>
      <w:r>
        <w:rPr>
          <w:spacing w:val="-1"/>
        </w:rPr>
        <w:t>regulatory</w:t>
      </w:r>
      <w:r>
        <w:t xml:space="preserve"> period as </w:t>
      </w:r>
      <w:r>
        <w:rPr>
          <w:spacing w:val="-2"/>
        </w:rPr>
        <w:t>low,</w:t>
      </w:r>
      <w:r>
        <w:rPr>
          <w:spacing w:val="-7"/>
        </w:rPr>
        <w:t xml:space="preserve"> </w:t>
      </w:r>
      <w:r>
        <w:t xml:space="preserve">it has decided not to </w:t>
      </w:r>
      <w:r>
        <w:rPr>
          <w:spacing w:val="-1"/>
        </w:rPr>
        <w:t>make</w:t>
      </w:r>
      <w:r>
        <w:t xml:space="preserve"> </w:t>
      </w:r>
      <w:r>
        <w:rPr>
          <w:spacing w:val="-1"/>
        </w:rPr>
        <w:t>provision</w:t>
      </w:r>
      <w:r>
        <w:t xml:space="preserve"> for this type of</w:t>
      </w:r>
      <w:r>
        <w:rPr>
          <w:spacing w:val="33"/>
        </w:rPr>
        <w:t xml:space="preserve"> </w:t>
      </w:r>
      <w:r>
        <w:t>mechanism.</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93"/>
        </w:numPr>
        <w:tabs>
          <w:tab w:val="left" w:pos="1570"/>
          <w:tab w:val="left" w:pos="2040"/>
        </w:tabs>
        <w:ind w:hanging="322"/>
      </w:pPr>
      <w:r>
        <w:rPr>
          <w:color w:val="0778BE"/>
        </w:rPr>
        <w:t>6</w:t>
      </w:r>
      <w:r>
        <w:rPr>
          <w:color w:val="0778BE"/>
        </w:rPr>
        <w:tab/>
      </w:r>
      <w:r>
        <w:rPr>
          <w:color w:val="0778BE"/>
          <w:spacing w:val="-1"/>
        </w:rPr>
        <w:t>Measures</w:t>
      </w:r>
      <w:r>
        <w:rPr>
          <w:color w:val="0778BE"/>
        </w:rPr>
        <w:t xml:space="preserve"> to </w:t>
      </w:r>
      <w:r>
        <w:rPr>
          <w:color w:val="0778BE"/>
          <w:spacing w:val="-1"/>
        </w:rPr>
        <w:t>deal</w:t>
      </w:r>
      <w:r>
        <w:rPr>
          <w:color w:val="0778BE"/>
        </w:rPr>
        <w:t xml:space="preserve"> with </w:t>
      </w:r>
      <w:r>
        <w:rPr>
          <w:color w:val="0778BE"/>
          <w:spacing w:val="-1"/>
        </w:rPr>
        <w:t>unforeseen</w:t>
      </w:r>
      <w:r>
        <w:rPr>
          <w:color w:val="0778BE"/>
        </w:rPr>
        <w:t xml:space="preserve"> events</w:t>
      </w:r>
    </w:p>
    <w:p w:rsidR="00D96B91" w:rsidRDefault="00C2656B">
      <w:pPr>
        <w:pStyle w:val="BodyText"/>
        <w:spacing w:before="55" w:line="260" w:lineRule="exact"/>
        <w:ind w:right="1283"/>
      </w:pPr>
      <w:r>
        <w:rPr>
          <w:rFonts w:cs="Avenir Next"/>
          <w:spacing w:val="-10"/>
        </w:rPr>
        <w:t>To</w:t>
      </w:r>
      <w:r>
        <w:rPr>
          <w:rFonts w:cs="Avenir Next"/>
        </w:rPr>
        <w:t xml:space="preserve"> minimise a </w:t>
      </w:r>
      <w:r>
        <w:rPr>
          <w:rFonts w:cs="Avenir Next"/>
          <w:spacing w:val="-1"/>
        </w:rPr>
        <w:t>regulated</w:t>
      </w:r>
      <w:r>
        <w:rPr>
          <w:rFonts w:cs="Avenir Next"/>
        </w:rPr>
        <w:t xml:space="preserve"> business’ </w:t>
      </w:r>
      <w:r>
        <w:rPr>
          <w:rFonts w:cs="Avenir Next"/>
          <w:spacing w:val="-1"/>
        </w:rPr>
        <w:t>exposure</w:t>
      </w:r>
      <w:r>
        <w:rPr>
          <w:rFonts w:cs="Avenir Next"/>
        </w:rPr>
        <w:t xml:space="preserve"> to </w:t>
      </w:r>
      <w:r>
        <w:rPr>
          <w:rFonts w:cs="Avenir Next"/>
          <w:spacing w:val="-1"/>
        </w:rPr>
        <w:t>unforeseen</w:t>
      </w:r>
      <w:r>
        <w:rPr>
          <w:rFonts w:cs="Avenir Next"/>
        </w:rPr>
        <w:t xml:space="preserve"> events in the </w:t>
      </w:r>
      <w:r>
        <w:rPr>
          <w:rFonts w:cs="Avenir Next"/>
          <w:spacing w:val="-1"/>
        </w:rPr>
        <w:t>regulatory</w:t>
      </w:r>
      <w:r>
        <w:rPr>
          <w:rFonts w:cs="Avenir Next"/>
        </w:rPr>
        <w:t xml:space="preserve"> period,</w:t>
      </w:r>
      <w:r>
        <w:rPr>
          <w:rFonts w:cs="Avenir Next"/>
          <w:spacing w:val="-6"/>
        </w:rPr>
        <w:t xml:space="preserve"> </w:t>
      </w:r>
      <w:r>
        <w:rPr>
          <w:rFonts w:cs="Avenir Next"/>
        </w:rPr>
        <w:t>some</w:t>
      </w:r>
      <w:r>
        <w:rPr>
          <w:rFonts w:cs="Avenir Next"/>
          <w:spacing w:val="31"/>
        </w:rPr>
        <w:t xml:space="preserve"> </w:t>
      </w:r>
      <w:r>
        <w:rPr>
          <w:rFonts w:cs="Avenir Next"/>
          <w:spacing w:val="-1"/>
        </w:rPr>
        <w:t>regulatory</w:t>
      </w:r>
      <w:r>
        <w:rPr>
          <w:rFonts w:cs="Avenir Next"/>
        </w:rPr>
        <w:t xml:space="preserve"> </w:t>
      </w:r>
      <w:r>
        <w:rPr>
          <w:rFonts w:cs="Avenir Next"/>
          <w:spacing w:val="-1"/>
        </w:rPr>
        <w:t>regimes</w:t>
      </w:r>
      <w:r>
        <w:rPr>
          <w:rFonts w:cs="Avenir Next"/>
        </w:rPr>
        <w:t xml:space="preserve"> allow a trigger event mechanism to be included in the </w:t>
      </w:r>
      <w:r>
        <w:rPr>
          <w:rFonts w:cs="Avenir Next"/>
          <w:spacing w:val="-1"/>
        </w:rPr>
        <w:t>regulatory</w:t>
      </w:r>
      <w:r>
        <w:rPr>
          <w:rFonts w:cs="Avenir Next"/>
        </w:rPr>
        <w:t xml:space="preserve"> </w:t>
      </w:r>
      <w:r>
        <w:rPr>
          <w:rFonts w:cs="Avenir Next"/>
          <w:spacing w:val="-1"/>
        </w:rPr>
        <w:t>determination,</w:t>
      </w:r>
      <w:r>
        <w:rPr>
          <w:rFonts w:cs="Avenir Next"/>
          <w:spacing w:val="45"/>
        </w:rPr>
        <w:t xml:space="preserve"> </w:t>
      </w:r>
      <w:r>
        <w:t xml:space="preserve">which allows the </w:t>
      </w:r>
      <w:r>
        <w:rPr>
          <w:spacing w:val="-1"/>
        </w:rPr>
        <w:t>determination</w:t>
      </w:r>
      <w:r>
        <w:t xml:space="preserve"> to be </w:t>
      </w:r>
      <w:r>
        <w:rPr>
          <w:spacing w:val="-1"/>
        </w:rPr>
        <w:t>re-opened</w:t>
      </w:r>
      <w:r>
        <w:t xml:space="preserve"> and prices to be </w:t>
      </w:r>
      <w:r>
        <w:rPr>
          <w:spacing w:val="-1"/>
        </w:rPr>
        <w:t>reset</w:t>
      </w:r>
      <w:r>
        <w:t xml:space="preserve"> if:</w:t>
      </w: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32" style="width:72.5pt;height:.5pt;mso-position-horizontal-relative:char;mso-position-vertical-relative:line" coordsize="1450,10">
            <v:group id="_x0000_s3233" style="position:absolute;left:5;top:5;width:1440;height:2" coordorigin="5,5" coordsize="1440,2">
              <v:shape id="_x0000_s3234"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Draft</w:t>
      </w:r>
      <w:r>
        <w:rPr>
          <w:rFonts w:ascii="Avenir Next"/>
          <w:sz w:val="16"/>
        </w:rPr>
        <w:t xml:space="preserve"> </w:t>
      </w:r>
      <w:r>
        <w:rPr>
          <w:rFonts w:ascii="Avenir Next"/>
          <w:spacing w:val="-1"/>
          <w:sz w:val="16"/>
        </w:rPr>
        <w:t>Report</w:t>
      </w:r>
      <w:r>
        <w:rPr>
          <w:rFonts w:ascii="Avenir Next"/>
          <w:sz w:val="16"/>
        </w:rPr>
        <w:t xml:space="preserve"> and </w:t>
      </w:r>
      <w:r>
        <w:rPr>
          <w:rFonts w:ascii="Avenir Next"/>
          <w:spacing w:val="-2"/>
          <w:sz w:val="16"/>
        </w:rPr>
        <w:t>Price</w:t>
      </w:r>
      <w:r>
        <w:rPr>
          <w:rFonts w:ascii="Avenir Next"/>
          <w:sz w:val="16"/>
        </w:rPr>
        <w:t xml:space="preserve"> </w:t>
      </w:r>
      <w:r>
        <w:rPr>
          <w:rFonts w:ascii="Avenir Next"/>
          <w:spacing w:val="-1"/>
          <w:sz w:val="16"/>
        </w:rPr>
        <w:t>Determination:</w:t>
      </w:r>
      <w:r>
        <w:rPr>
          <w:rFonts w:ascii="Avenir Next"/>
          <w:spacing w:val="-2"/>
          <w:sz w:val="16"/>
        </w:rPr>
        <w:t xml:space="preserve"> Water</w:t>
      </w:r>
      <w:r>
        <w:rPr>
          <w:rFonts w:ascii="Avenir Next"/>
          <w:sz w:val="16"/>
        </w:rPr>
        <w:t xml:space="preserve"> and</w:t>
      </w:r>
      <w:r>
        <w:rPr>
          <w:rFonts w:ascii="Avenir Next"/>
          <w:spacing w:val="-2"/>
          <w:sz w:val="16"/>
        </w:rPr>
        <w:t xml:space="preserve"> </w:t>
      </w:r>
      <w:r>
        <w:rPr>
          <w:rFonts w:ascii="Avenir Next"/>
          <w:spacing w:val="-1"/>
          <w:sz w:val="16"/>
        </w:rPr>
        <w:t>Wastewater</w:t>
      </w:r>
      <w:r>
        <w:rPr>
          <w:rFonts w:ascii="Avenir Next"/>
          <w:sz w:val="16"/>
        </w:rPr>
        <w:t xml:space="preserve"> </w:t>
      </w:r>
      <w:r>
        <w:rPr>
          <w:rFonts w:ascii="Avenir Next"/>
          <w:spacing w:val="-2"/>
          <w:sz w:val="16"/>
        </w:rPr>
        <w:t>Price</w:t>
      </w:r>
      <w:r>
        <w:rPr>
          <w:rFonts w:ascii="Avenir Next"/>
          <w:sz w:val="16"/>
        </w:rPr>
        <w:t xml:space="preserve"> </w:t>
      </w:r>
      <w:r>
        <w:rPr>
          <w:rFonts w:ascii="Avenir Next"/>
          <w:spacing w:val="-2"/>
          <w:sz w:val="16"/>
        </w:rPr>
        <w:t>Review,</w:t>
      </w:r>
      <w:r>
        <w:rPr>
          <w:rFonts w:ascii="Avenir Next"/>
          <w:spacing w:val="-5"/>
          <w:sz w:val="16"/>
        </w:rPr>
        <w:t xml:space="preserve"> </w:t>
      </w:r>
      <w:r>
        <w:rPr>
          <w:rFonts w:ascii="Avenir Next"/>
          <w:sz w:val="16"/>
        </w:rPr>
        <w:t>December 2007,</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110-111.</w:t>
      </w:r>
    </w:p>
    <w:p w:rsidR="00D96B91" w:rsidRDefault="00C2656B">
      <w:pPr>
        <w:numPr>
          <w:ilvl w:val="0"/>
          <w:numId w:val="99"/>
        </w:numPr>
        <w:tabs>
          <w:tab w:val="left" w:pos="1758"/>
        </w:tabs>
        <w:spacing w:before="121"/>
        <w:ind w:hanging="510"/>
        <w:rPr>
          <w:rFonts w:ascii="Avenir Next" w:eastAsia="Avenir Next" w:hAnsi="Avenir Next" w:cs="Avenir Next"/>
          <w:sz w:val="16"/>
          <w:szCs w:val="16"/>
        </w:rPr>
      </w:pPr>
      <w:r>
        <w:rPr>
          <w:rFonts w:ascii="Avenir Next"/>
          <w:spacing w:val="-3"/>
          <w:sz w:val="16"/>
        </w:rPr>
        <w:t>For</w:t>
      </w:r>
      <w:r>
        <w:rPr>
          <w:rFonts w:ascii="Avenir Next"/>
          <w:sz w:val="16"/>
        </w:rPr>
        <w:t xml:space="preserve"> </w:t>
      </w:r>
      <w:r>
        <w:rPr>
          <w:rFonts w:ascii="Avenir Next"/>
          <w:spacing w:val="-1"/>
          <w:sz w:val="16"/>
        </w:rPr>
        <w:t>example,</w:t>
      </w:r>
      <w:r>
        <w:rPr>
          <w:rFonts w:ascii="Avenir Next"/>
          <w:spacing w:val="-5"/>
          <w:sz w:val="16"/>
        </w:rPr>
        <w:t xml:space="preserve"> </w:t>
      </w:r>
      <w:r>
        <w:rPr>
          <w:rFonts w:ascii="Avenir Next"/>
          <w:sz w:val="16"/>
        </w:rPr>
        <w:t xml:space="preserve">in gas and electricity cost </w:t>
      </w:r>
      <w:r>
        <w:rPr>
          <w:rFonts w:ascii="Avenir Next"/>
          <w:spacing w:val="-1"/>
          <w:sz w:val="16"/>
        </w:rPr>
        <w:t>pass-through</w:t>
      </w:r>
      <w:r>
        <w:rPr>
          <w:rFonts w:ascii="Avenir Next"/>
          <w:sz w:val="16"/>
        </w:rPr>
        <w:t xml:space="preserve"> </w:t>
      </w:r>
      <w:r>
        <w:rPr>
          <w:rFonts w:ascii="Avenir Next"/>
          <w:spacing w:val="-1"/>
          <w:sz w:val="16"/>
        </w:rPr>
        <w:t>applications</w:t>
      </w:r>
      <w:r>
        <w:rPr>
          <w:rFonts w:ascii="Avenir Next"/>
          <w:sz w:val="16"/>
        </w:rPr>
        <w:t xml:space="preserve"> </w:t>
      </w:r>
      <w:r>
        <w:rPr>
          <w:rFonts w:ascii="Avenir Next"/>
          <w:spacing w:val="-1"/>
          <w:sz w:val="16"/>
        </w:rPr>
        <w:t>are</w:t>
      </w:r>
      <w:r>
        <w:rPr>
          <w:rFonts w:ascii="Avenir Next"/>
          <w:sz w:val="16"/>
        </w:rPr>
        <w:t xml:space="preserve"> </w:t>
      </w:r>
      <w:r>
        <w:rPr>
          <w:rFonts w:ascii="Avenir Next"/>
          <w:spacing w:val="-1"/>
          <w:sz w:val="16"/>
        </w:rPr>
        <w:t>considered</w:t>
      </w:r>
      <w:r>
        <w:rPr>
          <w:rFonts w:ascii="Avenir Next"/>
          <w:sz w:val="16"/>
        </w:rPr>
        <w:t xml:space="preserve"> on an annual basis.</w:t>
      </w:r>
    </w:p>
    <w:p w:rsidR="00D96B91" w:rsidRDefault="00C2656B">
      <w:pPr>
        <w:numPr>
          <w:ilvl w:val="0"/>
          <w:numId w:val="99"/>
        </w:numPr>
        <w:tabs>
          <w:tab w:val="left" w:pos="1758"/>
        </w:tabs>
        <w:spacing w:before="128" w:line="192" w:lineRule="exact"/>
        <w:ind w:right="1444" w:hanging="510"/>
        <w:rPr>
          <w:rFonts w:ascii="Avenir Next" w:eastAsia="Avenir Next" w:hAnsi="Avenir Next" w:cs="Avenir Next"/>
          <w:sz w:val="16"/>
          <w:szCs w:val="16"/>
        </w:rPr>
      </w:pPr>
      <w:r>
        <w:rPr>
          <w:rFonts w:ascii="Avenir Next"/>
          <w:sz w:val="16"/>
        </w:rPr>
        <w:t xml:space="preserve">It is </w:t>
      </w:r>
      <w:r>
        <w:rPr>
          <w:rFonts w:ascii="Avenir Next"/>
          <w:spacing w:val="-1"/>
          <w:sz w:val="16"/>
        </w:rPr>
        <w:t>worth</w:t>
      </w:r>
      <w:r>
        <w:rPr>
          <w:rFonts w:ascii="Avenir Next"/>
          <w:sz w:val="16"/>
        </w:rPr>
        <w:t xml:space="preserve"> noting in this </w:t>
      </w:r>
      <w:r>
        <w:rPr>
          <w:rFonts w:ascii="Avenir Next"/>
          <w:spacing w:val="-1"/>
          <w:sz w:val="16"/>
        </w:rPr>
        <w:t>context</w:t>
      </w:r>
      <w:r>
        <w:rPr>
          <w:rFonts w:ascii="Avenir Next"/>
          <w:sz w:val="16"/>
        </w:rPr>
        <w:t xml:space="preserve"> </w:t>
      </w:r>
      <w:r>
        <w:rPr>
          <w:rFonts w:ascii="Avenir Next"/>
          <w:spacing w:val="-1"/>
          <w:sz w:val="16"/>
        </w:rPr>
        <w:t>that</w:t>
      </w:r>
      <w:r>
        <w:rPr>
          <w:rFonts w:ascii="Avenir Next"/>
          <w:sz w:val="16"/>
        </w:rPr>
        <w:t xml:space="preserve"> the </w:t>
      </w:r>
      <w:r>
        <w:rPr>
          <w:rFonts w:ascii="Avenir Next"/>
          <w:spacing w:val="-2"/>
          <w:sz w:val="16"/>
        </w:rPr>
        <w:t>Panel</w:t>
      </w:r>
      <w:r>
        <w:rPr>
          <w:rFonts w:ascii="Avenir Next"/>
          <w:sz w:val="16"/>
        </w:rPr>
        <w:t xml:space="preserve"> has </w:t>
      </w:r>
      <w:r>
        <w:rPr>
          <w:rFonts w:ascii="Avenir Next"/>
          <w:spacing w:val="-1"/>
          <w:sz w:val="16"/>
        </w:rPr>
        <w:t>looked</w:t>
      </w:r>
      <w:r>
        <w:rPr>
          <w:rFonts w:ascii="Avenir Next"/>
          <w:sz w:val="16"/>
        </w:rPr>
        <w:t xml:space="preserve"> </w:t>
      </w:r>
      <w:r>
        <w:rPr>
          <w:rFonts w:ascii="Avenir Next"/>
          <w:spacing w:val="-1"/>
          <w:sz w:val="16"/>
        </w:rPr>
        <w:t>at</w:t>
      </w:r>
      <w:r>
        <w:rPr>
          <w:rFonts w:ascii="Avenir Next"/>
          <w:sz w:val="16"/>
        </w:rPr>
        <w:t xml:space="preserve"> the </w:t>
      </w:r>
      <w:r>
        <w:rPr>
          <w:rFonts w:ascii="Avenir Next"/>
          <w:spacing w:val="-1"/>
          <w:sz w:val="16"/>
        </w:rPr>
        <w:t>materiality</w:t>
      </w:r>
      <w:r>
        <w:rPr>
          <w:rFonts w:ascii="Avenir Next"/>
          <w:sz w:val="16"/>
        </w:rPr>
        <w:t xml:space="preserve"> </w:t>
      </w:r>
      <w:r>
        <w:rPr>
          <w:rFonts w:ascii="Avenir Next"/>
          <w:spacing w:val="-1"/>
          <w:sz w:val="16"/>
        </w:rPr>
        <w:t>thresholds</w:t>
      </w:r>
      <w:r>
        <w:rPr>
          <w:rFonts w:ascii="Avenir Next"/>
          <w:sz w:val="16"/>
        </w:rPr>
        <w:t xml:space="preserve"> adopted by other jurisdictions but</w:t>
      </w:r>
      <w:r>
        <w:rPr>
          <w:rFonts w:ascii="Avenir Next"/>
          <w:spacing w:val="61"/>
          <w:sz w:val="16"/>
        </w:rPr>
        <w:t xml:space="preserve"> </w:t>
      </w:r>
      <w:r>
        <w:rPr>
          <w:rFonts w:ascii="Avenir Next"/>
          <w:spacing w:val="-1"/>
          <w:sz w:val="16"/>
        </w:rPr>
        <w:t>there</w:t>
      </w:r>
      <w:r>
        <w:rPr>
          <w:rFonts w:ascii="Avenir Next"/>
          <w:sz w:val="16"/>
        </w:rPr>
        <w:t xml:space="preserve"> </w:t>
      </w:r>
      <w:r>
        <w:rPr>
          <w:rFonts w:ascii="Avenir Next"/>
          <w:spacing w:val="-1"/>
          <w:sz w:val="16"/>
        </w:rPr>
        <w:t>appears</w:t>
      </w:r>
      <w:r>
        <w:rPr>
          <w:rFonts w:ascii="Avenir Next"/>
          <w:sz w:val="16"/>
        </w:rPr>
        <w:t xml:space="preserve"> to be no </w:t>
      </w:r>
      <w:r>
        <w:rPr>
          <w:rFonts w:ascii="Avenir Next"/>
          <w:spacing w:val="-1"/>
          <w:sz w:val="16"/>
        </w:rPr>
        <w:t>standard</w:t>
      </w:r>
      <w:r>
        <w:rPr>
          <w:rFonts w:ascii="Avenir Next"/>
          <w:sz w:val="16"/>
        </w:rPr>
        <w:t xml:space="preserve"> or best </w:t>
      </w:r>
      <w:r>
        <w:rPr>
          <w:rFonts w:ascii="Avenir Next"/>
          <w:spacing w:val="-1"/>
          <w:sz w:val="16"/>
        </w:rPr>
        <w:t>regulatory</w:t>
      </w:r>
      <w:r>
        <w:rPr>
          <w:rFonts w:ascii="Avenir Next"/>
          <w:sz w:val="16"/>
        </w:rPr>
        <w:t xml:space="preserve"> </w:t>
      </w:r>
      <w:r>
        <w:rPr>
          <w:rFonts w:ascii="Avenir Next"/>
          <w:spacing w:val="-1"/>
          <w:sz w:val="16"/>
        </w:rPr>
        <w:t>practice</w:t>
      </w:r>
      <w:r>
        <w:rPr>
          <w:rFonts w:ascii="Avenir Next"/>
          <w:sz w:val="16"/>
        </w:rPr>
        <w:t xml:space="preserve"> in </w:t>
      </w:r>
      <w:r>
        <w:rPr>
          <w:rFonts w:ascii="Avenir Next"/>
          <w:spacing w:val="-1"/>
          <w:sz w:val="16"/>
        </w:rPr>
        <w:t>relation</w:t>
      </w:r>
      <w:r>
        <w:rPr>
          <w:rFonts w:ascii="Avenir Next"/>
          <w:sz w:val="16"/>
        </w:rPr>
        <w:t xml:space="preserve"> to this issue.</w:t>
      </w:r>
    </w:p>
    <w:p w:rsidR="00D96B91" w:rsidRDefault="00C2656B">
      <w:pPr>
        <w:numPr>
          <w:ilvl w:val="0"/>
          <w:numId w:val="99"/>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z w:val="16"/>
          <w:szCs w:val="16"/>
        </w:rPr>
        <w:t>AER,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z w:val="16"/>
          <w:szCs w:val="16"/>
        </w:rPr>
        <w:t xml:space="preserve"> Incentive Guideline – </w:t>
      </w:r>
      <w:r>
        <w:rPr>
          <w:rFonts w:ascii="Avenir Next" w:eastAsia="Avenir Next" w:hAnsi="Avenir Next" w:cs="Avenir Next"/>
          <w:spacing w:val="-1"/>
          <w:sz w:val="16"/>
          <w:szCs w:val="16"/>
        </w:rPr>
        <w:t>Explanatory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40.</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391" w:hanging="283"/>
      </w:pPr>
      <w:r>
        <w:t xml:space="preserve">a major event occurs </w:t>
      </w:r>
      <w:r>
        <w:rPr>
          <w:spacing w:val="-1"/>
        </w:rPr>
        <w:t>that</w:t>
      </w:r>
      <w:r>
        <w:t xml:space="preserve"> is beyond the </w:t>
      </w:r>
      <w:r>
        <w:rPr>
          <w:spacing w:val="-1"/>
        </w:rPr>
        <w:t>control</w:t>
      </w:r>
      <w:r>
        <w:t xml:space="preserve"> of</w:t>
      </w:r>
      <w:r>
        <w:rPr>
          <w:spacing w:val="4"/>
        </w:rPr>
        <w:t xml:space="preserve"> </w:t>
      </w:r>
      <w:r>
        <w:t xml:space="preserve">the service </w:t>
      </w:r>
      <w:r>
        <w:rPr>
          <w:spacing w:val="-1"/>
        </w:rPr>
        <w:t>provider</w:t>
      </w:r>
      <w:r>
        <w:t xml:space="preserve"> (such as a </w:t>
      </w:r>
      <w:r>
        <w:rPr>
          <w:spacing w:val="-1"/>
        </w:rPr>
        <w:t>natural</w:t>
      </w:r>
      <w:r>
        <w:t xml:space="preserve"> disaster or</w:t>
      </w:r>
      <w:r>
        <w:rPr>
          <w:spacing w:val="30"/>
        </w:rPr>
        <w:t xml:space="preserve"> </w:t>
      </w:r>
      <w:r>
        <w:t>an act of</w:t>
      </w:r>
      <w:r>
        <w:rPr>
          <w:spacing w:val="4"/>
        </w:rPr>
        <w:t xml:space="preserve"> </w:t>
      </w:r>
      <w:r>
        <w:rPr>
          <w:spacing w:val="-1"/>
        </w:rPr>
        <w:t>terrorism),</w:t>
      </w:r>
      <w:r>
        <w:rPr>
          <w:spacing w:val="-6"/>
        </w:rPr>
        <w:t xml:space="preserve"> </w:t>
      </w:r>
      <w:r>
        <w:t>and</w:t>
      </w:r>
    </w:p>
    <w:p w:rsidR="00D96B91" w:rsidRDefault="00C2656B">
      <w:pPr>
        <w:pStyle w:val="BodyText"/>
        <w:numPr>
          <w:ilvl w:val="0"/>
          <w:numId w:val="131"/>
        </w:numPr>
        <w:tabs>
          <w:tab w:val="left" w:pos="1531"/>
        </w:tabs>
        <w:spacing w:before="93"/>
        <w:ind w:hanging="283"/>
      </w:pPr>
      <w:r>
        <w:t>this</w:t>
      </w:r>
      <w:r>
        <w:rPr>
          <w:spacing w:val="-1"/>
        </w:rPr>
        <w:t xml:space="preserve"> </w:t>
      </w:r>
      <w:r>
        <w:t>event</w:t>
      </w:r>
      <w:r>
        <w:rPr>
          <w:spacing w:val="-1"/>
        </w:rPr>
        <w:t xml:space="preserve"> </w:t>
      </w:r>
      <w:r>
        <w:t>will adversely</w:t>
      </w:r>
      <w:r>
        <w:rPr>
          <w:spacing w:val="-1"/>
        </w:rPr>
        <w:t xml:space="preserve"> affect</w:t>
      </w:r>
      <w:r>
        <w:t xml:space="preserve"> the</w:t>
      </w:r>
      <w:r>
        <w:rPr>
          <w:spacing w:val="-1"/>
        </w:rPr>
        <w:t xml:space="preserve"> </w:t>
      </w:r>
      <w:r>
        <w:t>business’ ability</w:t>
      </w:r>
      <w:r>
        <w:rPr>
          <w:spacing w:val="-1"/>
        </w:rPr>
        <w:t xml:space="preserve"> </w:t>
      </w:r>
      <w:r>
        <w:t xml:space="preserve">to </w:t>
      </w:r>
      <w:r>
        <w:rPr>
          <w:spacing w:val="-1"/>
        </w:rPr>
        <w:t xml:space="preserve">provide </w:t>
      </w:r>
      <w:r>
        <w:t>services or</w:t>
      </w:r>
      <w:r>
        <w:rPr>
          <w:spacing w:val="-1"/>
        </w:rPr>
        <w:t xml:space="preserve"> </w:t>
      </w:r>
      <w:r>
        <w:t>its financial</w:t>
      </w:r>
      <w:r>
        <w:rPr>
          <w:spacing w:val="-1"/>
        </w:rPr>
        <w:t xml:space="preserve"> viability.</w:t>
      </w:r>
    </w:p>
    <w:p w:rsidR="00D96B91" w:rsidRDefault="00D96B91">
      <w:pPr>
        <w:spacing w:before="9"/>
        <w:rPr>
          <w:rFonts w:ascii="Avenir Next" w:eastAsia="Avenir Next" w:hAnsi="Avenir Next" w:cs="Avenir Next"/>
          <w:sz w:val="15"/>
          <w:szCs w:val="15"/>
        </w:rPr>
      </w:pPr>
    </w:p>
    <w:p w:rsidR="00D96B91" w:rsidRDefault="00C2656B">
      <w:pPr>
        <w:pStyle w:val="BodyText"/>
        <w:spacing w:line="267" w:lineRule="exact"/>
      </w:pPr>
      <w:r>
        <w:rPr>
          <w:spacing w:val="-2"/>
        </w:rPr>
        <w:t>The</w:t>
      </w:r>
      <w:r>
        <w:rPr>
          <w:spacing w:val="-4"/>
        </w:rPr>
        <w:t xml:space="preserve"> </w:t>
      </w:r>
      <w:r>
        <w:t xml:space="preserve">Act is one such </w:t>
      </w:r>
      <w:r>
        <w:rPr>
          <w:spacing w:val="-1"/>
        </w:rPr>
        <w:t>regulatory</w:t>
      </w:r>
      <w:r>
        <w:t xml:space="preserve"> </w:t>
      </w:r>
      <w:r>
        <w:rPr>
          <w:spacing w:val="-1"/>
        </w:rPr>
        <w:t>regime,</w:t>
      </w:r>
      <w:r>
        <w:rPr>
          <w:spacing w:val="-6"/>
        </w:rPr>
        <w:t xml:space="preserve"> </w:t>
      </w:r>
      <w:r>
        <w:t xml:space="preserve">with section 20A(3)(c) </w:t>
      </w:r>
      <w:r>
        <w:rPr>
          <w:spacing w:val="-1"/>
        </w:rPr>
        <w:t>stating</w:t>
      </w:r>
      <w:r>
        <w:t xml:space="preserve"> </w:t>
      </w:r>
      <w:r>
        <w:rPr>
          <w:spacing w:val="-1"/>
        </w:rPr>
        <w:t>that</w:t>
      </w:r>
      <w:r>
        <w:t xml:space="preserve"> a price </w:t>
      </w:r>
      <w:r>
        <w:rPr>
          <w:spacing w:val="-1"/>
        </w:rPr>
        <w:t>direction</w:t>
      </w:r>
      <w:r>
        <w:t xml:space="preserve"> may include</w:t>
      </w:r>
    </w:p>
    <w:p w:rsidR="00D96B91" w:rsidRDefault="00C2656B">
      <w:pPr>
        <w:pStyle w:val="BodyText"/>
        <w:spacing w:before="3" w:line="228" w:lineRule="auto"/>
        <w:ind w:right="1258"/>
      </w:pPr>
      <w:r>
        <w:rPr>
          <w:rFonts w:cs="Avenir Next"/>
        </w:rPr>
        <w:t xml:space="preserve">a price </w:t>
      </w:r>
      <w:r>
        <w:rPr>
          <w:rFonts w:cs="Avenir Next"/>
          <w:spacing w:val="-1"/>
        </w:rPr>
        <w:t>variation</w:t>
      </w:r>
      <w:r>
        <w:rPr>
          <w:rFonts w:cs="Avenir Next"/>
        </w:rPr>
        <w:t xml:space="preserve"> trigger ‘the happening of</w:t>
      </w:r>
      <w:r>
        <w:rPr>
          <w:rFonts w:cs="Avenir Next"/>
          <w:spacing w:val="4"/>
        </w:rPr>
        <w:t xml:space="preserve"> </w:t>
      </w:r>
      <w:r>
        <w:rPr>
          <w:rFonts w:cs="Avenir Next"/>
        </w:rPr>
        <w:t xml:space="preserve">which would entitle the commission to </w:t>
      </w:r>
      <w:r>
        <w:rPr>
          <w:rFonts w:cs="Avenir Next"/>
          <w:spacing w:val="-1"/>
        </w:rPr>
        <w:t>initiate</w:t>
      </w:r>
      <w:r>
        <w:rPr>
          <w:rFonts w:cs="Avenir Next"/>
        </w:rPr>
        <w:t xml:space="preserve"> a </w:t>
      </w:r>
      <w:r>
        <w:rPr>
          <w:rFonts w:cs="Avenir Next"/>
          <w:spacing w:val="-1"/>
        </w:rPr>
        <w:t>reference</w:t>
      </w:r>
      <w:r>
        <w:rPr>
          <w:rFonts w:cs="Avenir Next"/>
        </w:rPr>
        <w:t xml:space="preserve"> for</w:t>
      </w:r>
      <w:r>
        <w:rPr>
          <w:rFonts w:cs="Avenir Next"/>
          <w:spacing w:val="27"/>
        </w:rPr>
        <w:t xml:space="preserve"> </w:t>
      </w:r>
      <w:r>
        <w:t xml:space="preserve">an </w:t>
      </w:r>
      <w:r>
        <w:rPr>
          <w:spacing w:val="-1"/>
        </w:rPr>
        <w:t>investigation</w:t>
      </w:r>
      <w:r>
        <w:t xml:space="preserve"> into a </w:t>
      </w:r>
      <w:r>
        <w:rPr>
          <w:spacing w:val="-1"/>
        </w:rPr>
        <w:t>variation</w:t>
      </w:r>
      <w:r>
        <w:t xml:space="preserve"> of</w:t>
      </w:r>
      <w:r>
        <w:rPr>
          <w:spacing w:val="4"/>
        </w:rPr>
        <w:t xml:space="preserve"> </w:t>
      </w:r>
      <w:r>
        <w:t xml:space="preserve">the </w:t>
      </w:r>
      <w:r>
        <w:rPr>
          <w:spacing w:val="-3"/>
        </w:rPr>
        <w:t>direction’.</w:t>
      </w:r>
    </w:p>
    <w:p w:rsidR="00D96B91" w:rsidRDefault="00D96B91">
      <w:pPr>
        <w:spacing w:before="2"/>
        <w:rPr>
          <w:rFonts w:ascii="Avenir Next" w:eastAsia="Avenir Next" w:hAnsi="Avenir Next" w:cs="Avenir Next"/>
          <w:sz w:val="19"/>
          <w:szCs w:val="19"/>
        </w:rPr>
      </w:pPr>
    </w:p>
    <w:p w:rsidR="00D96B91" w:rsidRDefault="00C2656B">
      <w:pPr>
        <w:pStyle w:val="Heading6"/>
        <w:numPr>
          <w:ilvl w:val="2"/>
          <w:numId w:val="92"/>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1" w:line="260" w:lineRule="exact"/>
        <w:ind w:right="1712"/>
        <w:jc w:val="both"/>
        <w:rPr>
          <w:rFonts w:cs="Avenir Next"/>
        </w:rPr>
      </w:pPr>
      <w:r>
        <w:t>In</w:t>
      </w:r>
      <w:r>
        <w:rPr>
          <w:spacing w:val="-1"/>
        </w:rPr>
        <w:t xml:space="preserve"> </w:t>
      </w:r>
      <w:r>
        <w:t>its final decision,</w:t>
      </w:r>
      <w:r>
        <w:rPr>
          <w:spacing w:val="-6"/>
        </w:rPr>
        <w:t xml:space="preserve"> </w:t>
      </w:r>
      <w:r>
        <w:t>the</w:t>
      </w:r>
      <w:r>
        <w:rPr>
          <w:spacing w:val="-1"/>
        </w:rPr>
        <w:t xml:space="preserve"> </w:t>
      </w:r>
      <w:r>
        <w:t>ICRC decided to</w:t>
      </w:r>
      <w:r>
        <w:rPr>
          <w:spacing w:val="-1"/>
        </w:rPr>
        <w:t xml:space="preserve"> </w:t>
      </w:r>
      <w:r>
        <w:t xml:space="preserve">implement a price </w:t>
      </w:r>
      <w:r>
        <w:rPr>
          <w:spacing w:val="-1"/>
        </w:rPr>
        <w:t xml:space="preserve">variation </w:t>
      </w:r>
      <w:r>
        <w:t>trigger event mechanism.</w:t>
      </w:r>
      <w:r>
        <w:rPr>
          <w:spacing w:val="-11"/>
        </w:rPr>
        <w:t xml:space="preserve"> </w:t>
      </w:r>
      <w:r>
        <w:rPr>
          <w:spacing w:val="-1"/>
        </w:rPr>
        <w:t>This</w:t>
      </w:r>
      <w:r>
        <w:rPr>
          <w:spacing w:val="27"/>
        </w:rPr>
        <w:t xml:space="preserve"> </w:t>
      </w:r>
      <w:r>
        <w:t>mechanism is set out in clause 11 of</w:t>
      </w:r>
      <w:r>
        <w:rPr>
          <w:spacing w:val="4"/>
        </w:rPr>
        <w:t xml:space="preserve"> </w:t>
      </w:r>
      <w:r>
        <w:t xml:space="preserve">the price </w:t>
      </w:r>
      <w:r>
        <w:rPr>
          <w:spacing w:val="-1"/>
        </w:rPr>
        <w:t>direction</w:t>
      </w:r>
      <w:r>
        <w:t xml:space="preserve"> and allows the ICRC to </w:t>
      </w:r>
      <w:r>
        <w:rPr>
          <w:spacing w:val="-1"/>
        </w:rPr>
        <w:t>initiate</w:t>
      </w:r>
      <w:r>
        <w:t xml:space="preserve"> a </w:t>
      </w:r>
      <w:r>
        <w:rPr>
          <w:spacing w:val="-1"/>
        </w:rPr>
        <w:t>variation</w:t>
      </w:r>
      <w:r>
        <w:t xml:space="preserve"> if</w:t>
      </w:r>
      <w:r>
        <w:rPr>
          <w:spacing w:val="35"/>
        </w:rPr>
        <w:t xml:space="preserve"> </w:t>
      </w:r>
      <w:r>
        <w:rPr>
          <w:spacing w:val="-1"/>
        </w:rPr>
        <w:t>there</w:t>
      </w:r>
      <w:r>
        <w:t xml:space="preserve"> is:</w:t>
      </w:r>
    </w:p>
    <w:p w:rsidR="00D96B91" w:rsidRDefault="00C2656B">
      <w:pPr>
        <w:pStyle w:val="BodyText"/>
        <w:numPr>
          <w:ilvl w:val="0"/>
          <w:numId w:val="91"/>
        </w:numPr>
        <w:tabs>
          <w:tab w:val="left" w:pos="1588"/>
        </w:tabs>
        <w:spacing w:before="178"/>
        <w:ind w:firstLine="0"/>
        <w:rPr>
          <w:rFonts w:cs="Avenir Next"/>
        </w:rPr>
      </w:pPr>
      <w:r>
        <w:t>an act of</w:t>
      </w:r>
      <w:r>
        <w:rPr>
          <w:spacing w:val="4"/>
        </w:rPr>
        <w:t xml:space="preserve"> </w:t>
      </w:r>
      <w:r>
        <w:rPr>
          <w:spacing w:val="-1"/>
        </w:rPr>
        <w:t>terrorism</w:t>
      </w:r>
    </w:p>
    <w:p w:rsidR="00D96B91" w:rsidRDefault="00C2656B">
      <w:pPr>
        <w:pStyle w:val="BodyText"/>
        <w:numPr>
          <w:ilvl w:val="0"/>
          <w:numId w:val="91"/>
        </w:numPr>
        <w:tabs>
          <w:tab w:val="left" w:pos="1588"/>
        </w:tabs>
        <w:spacing w:before="72"/>
        <w:ind w:left="1587" w:hanging="340"/>
        <w:rPr>
          <w:rFonts w:cs="Avenir Next"/>
        </w:rPr>
      </w:pPr>
      <w:r>
        <w:t xml:space="preserve">a major </w:t>
      </w:r>
      <w:r>
        <w:rPr>
          <w:spacing w:val="-1"/>
        </w:rPr>
        <w:t>natural</w:t>
      </w:r>
      <w:r>
        <w:t xml:space="preserve"> disaster</w:t>
      </w:r>
    </w:p>
    <w:p w:rsidR="00D96B91" w:rsidRDefault="00C2656B">
      <w:pPr>
        <w:pStyle w:val="BodyText"/>
        <w:numPr>
          <w:ilvl w:val="0"/>
          <w:numId w:val="91"/>
        </w:numPr>
        <w:tabs>
          <w:tab w:val="left" w:pos="1588"/>
        </w:tabs>
        <w:spacing w:before="72"/>
        <w:ind w:left="1587" w:hanging="340"/>
        <w:rPr>
          <w:rFonts w:cs="Avenir Next"/>
        </w:rPr>
      </w:pPr>
      <w:r>
        <w:rPr>
          <w:rFonts w:cs="Avenir Next"/>
        </w:rPr>
        <w:t>major damage to</w:t>
      </w:r>
      <w:r>
        <w:rPr>
          <w:rFonts w:cs="Avenir Next"/>
          <w:spacing w:val="-4"/>
        </w:rPr>
        <w:t xml:space="preserve"> </w:t>
      </w:r>
      <w:r>
        <w:rPr>
          <w:rFonts w:cs="Avenir Next"/>
          <w:spacing w:val="-2"/>
        </w:rPr>
        <w:t>ACTEW’s</w:t>
      </w:r>
      <w:r>
        <w:rPr>
          <w:rFonts w:cs="Avenir Next"/>
        </w:rPr>
        <w:t xml:space="preserve"> </w:t>
      </w:r>
      <w:r>
        <w:rPr>
          <w:rFonts w:cs="Avenir Next"/>
          <w:spacing w:val="-1"/>
        </w:rPr>
        <w:t>infrastructure</w:t>
      </w:r>
    </w:p>
    <w:p w:rsidR="00D96B91" w:rsidRDefault="00C2656B">
      <w:pPr>
        <w:pStyle w:val="BodyText"/>
        <w:numPr>
          <w:ilvl w:val="0"/>
          <w:numId w:val="91"/>
        </w:numPr>
        <w:tabs>
          <w:tab w:val="left" w:pos="1588"/>
        </w:tabs>
        <w:spacing w:before="72"/>
        <w:ind w:left="1587" w:hanging="340"/>
      </w:pPr>
      <w:r>
        <w:t>a</w:t>
      </w:r>
      <w:r>
        <w:rPr>
          <w:spacing w:val="-3"/>
        </w:rPr>
        <w:t xml:space="preserve"> </w:t>
      </w:r>
      <w:r>
        <w:t>significant</w:t>
      </w:r>
      <w:r>
        <w:rPr>
          <w:spacing w:val="-2"/>
        </w:rPr>
        <w:t xml:space="preserve"> </w:t>
      </w:r>
      <w:r>
        <w:t>change</w:t>
      </w:r>
      <w:r>
        <w:rPr>
          <w:spacing w:val="-2"/>
        </w:rPr>
        <w:t xml:space="preserve"> </w:t>
      </w:r>
      <w:r>
        <w:t>in</w:t>
      </w:r>
      <w:r>
        <w:rPr>
          <w:spacing w:val="-6"/>
        </w:rPr>
        <w:t xml:space="preserve"> </w:t>
      </w:r>
      <w:r>
        <w:rPr>
          <w:spacing w:val="-2"/>
        </w:rPr>
        <w:t xml:space="preserve">ACTEW’s </w:t>
      </w:r>
      <w:r>
        <w:t>financial</w:t>
      </w:r>
      <w:r>
        <w:rPr>
          <w:spacing w:val="-2"/>
        </w:rPr>
        <w:t xml:space="preserve"> </w:t>
      </w:r>
      <w:r>
        <w:t>or</w:t>
      </w:r>
      <w:r>
        <w:rPr>
          <w:spacing w:val="-2"/>
        </w:rPr>
        <w:t xml:space="preserve"> </w:t>
      </w:r>
      <w:r>
        <w:rPr>
          <w:spacing w:val="-1"/>
        </w:rPr>
        <w:t>corporate</w:t>
      </w:r>
      <w:r>
        <w:rPr>
          <w:spacing w:val="-2"/>
        </w:rPr>
        <w:t xml:space="preserve"> </w:t>
      </w:r>
      <w:r>
        <w:rPr>
          <w:spacing w:val="-1"/>
        </w:rPr>
        <w:t>structure</w:t>
      </w:r>
    </w:p>
    <w:p w:rsidR="00D96B91" w:rsidRDefault="00C2656B">
      <w:pPr>
        <w:pStyle w:val="BodyText"/>
        <w:numPr>
          <w:ilvl w:val="0"/>
          <w:numId w:val="91"/>
        </w:numPr>
        <w:tabs>
          <w:tab w:val="left" w:pos="1588"/>
        </w:tabs>
        <w:spacing w:before="72"/>
        <w:ind w:left="1587" w:hanging="340"/>
        <w:rPr>
          <w:rFonts w:cs="Avenir Next"/>
        </w:rPr>
      </w:pPr>
      <w:r>
        <w:rPr>
          <w:rFonts w:cs="Avenir Next"/>
        </w:rPr>
        <w:t xml:space="preserve">an </w:t>
      </w:r>
      <w:r>
        <w:rPr>
          <w:rFonts w:cs="Avenir Next"/>
          <w:spacing w:val="-1"/>
        </w:rPr>
        <w:t>unforeseen</w:t>
      </w:r>
      <w:r>
        <w:rPr>
          <w:rFonts w:cs="Avenir Next"/>
        </w:rPr>
        <w:t xml:space="preserve"> or </w:t>
      </w:r>
      <w:r>
        <w:rPr>
          <w:rFonts w:cs="Avenir Next"/>
          <w:i/>
          <w:spacing w:val="-1"/>
        </w:rPr>
        <w:t>force</w:t>
      </w:r>
      <w:r>
        <w:rPr>
          <w:rFonts w:cs="Avenir Next"/>
          <w:i/>
        </w:rPr>
        <w:t xml:space="preserve"> </w:t>
      </w:r>
      <w:r>
        <w:rPr>
          <w:rFonts w:cs="Avenir Next"/>
          <w:i/>
          <w:spacing w:val="-1"/>
        </w:rPr>
        <w:t>majeure</w:t>
      </w:r>
      <w:r>
        <w:rPr>
          <w:rFonts w:cs="Avenir Next"/>
          <w:i/>
        </w:rPr>
        <w:t xml:space="preserve"> </w:t>
      </w:r>
      <w:r>
        <w:rPr>
          <w:rFonts w:cs="Avenir Next"/>
        </w:rPr>
        <w:t xml:space="preserve">event </w:t>
      </w:r>
      <w:r>
        <w:rPr>
          <w:rFonts w:cs="Avenir Next"/>
          <w:spacing w:val="-1"/>
        </w:rPr>
        <w:t>that</w:t>
      </w:r>
      <w:r>
        <w:rPr>
          <w:rFonts w:cs="Avenir Next"/>
        </w:rPr>
        <w:t xml:space="preserve"> </w:t>
      </w:r>
      <w:r>
        <w:rPr>
          <w:rFonts w:cs="Avenir Next"/>
          <w:spacing w:val="-1"/>
        </w:rPr>
        <w:t>severely</w:t>
      </w:r>
      <w:r>
        <w:rPr>
          <w:rFonts w:cs="Avenir Next"/>
        </w:rPr>
        <w:t xml:space="preserve"> </w:t>
      </w:r>
      <w:r>
        <w:rPr>
          <w:rFonts w:cs="Avenir Next"/>
          <w:spacing w:val="-1"/>
        </w:rPr>
        <w:t>restricts</w:t>
      </w:r>
      <w:r>
        <w:rPr>
          <w:rFonts w:cs="Avenir Next"/>
          <w:spacing w:val="-4"/>
        </w:rPr>
        <w:t xml:space="preserve"> </w:t>
      </w:r>
      <w:r>
        <w:rPr>
          <w:rFonts w:cs="Avenir Next"/>
          <w:spacing w:val="-2"/>
        </w:rPr>
        <w:t>ACTEW’s</w:t>
      </w:r>
      <w:r>
        <w:rPr>
          <w:rFonts w:cs="Avenir Next"/>
        </w:rPr>
        <w:t xml:space="preserve"> ability to </w:t>
      </w:r>
      <w:r>
        <w:rPr>
          <w:rFonts w:cs="Avenir Next"/>
          <w:spacing w:val="-1"/>
        </w:rPr>
        <w:t>provide</w:t>
      </w:r>
      <w:r>
        <w:rPr>
          <w:rFonts w:cs="Avenir Next"/>
        </w:rPr>
        <w:t xml:space="preserve"> services,</w:t>
      </w:r>
      <w:r>
        <w:rPr>
          <w:rFonts w:cs="Avenir Next"/>
          <w:spacing w:val="-7"/>
        </w:rPr>
        <w:t xml:space="preserve"> </w:t>
      </w:r>
      <w:r>
        <w:rPr>
          <w:rFonts w:cs="Avenir Next"/>
        </w:rPr>
        <w:t>or</w:t>
      </w:r>
    </w:p>
    <w:p w:rsidR="00D96B91" w:rsidRDefault="00C2656B">
      <w:pPr>
        <w:pStyle w:val="BodyText"/>
        <w:numPr>
          <w:ilvl w:val="0"/>
          <w:numId w:val="91"/>
        </w:numPr>
        <w:tabs>
          <w:tab w:val="left" w:pos="1588"/>
        </w:tabs>
        <w:spacing w:before="71" w:line="377" w:lineRule="auto"/>
        <w:ind w:right="2545" w:firstLine="0"/>
      </w:pPr>
      <w:r>
        <w:t xml:space="preserve">a decision by the ICRC to amend the </w:t>
      </w:r>
      <w:r>
        <w:rPr>
          <w:spacing w:val="-1"/>
        </w:rPr>
        <w:t>tariff</w:t>
      </w:r>
      <w:r>
        <w:rPr>
          <w:spacing w:val="4"/>
        </w:rPr>
        <w:t xml:space="preserve"> </w:t>
      </w:r>
      <w:r>
        <w:rPr>
          <w:spacing w:val="-1"/>
        </w:rPr>
        <w:t>structure</w:t>
      </w:r>
      <w:r>
        <w:t xml:space="preserve"> during the </w:t>
      </w:r>
      <w:r>
        <w:rPr>
          <w:spacing w:val="-1"/>
        </w:rPr>
        <w:t>regulatory</w:t>
      </w:r>
      <w:r>
        <w:t xml:space="preserve"> period.</w:t>
      </w:r>
      <w:r>
        <w:rPr>
          <w:spacing w:val="23"/>
        </w:rPr>
        <w:t xml:space="preserve"> </w:t>
      </w:r>
      <w:r>
        <w:rPr>
          <w:spacing w:val="-1"/>
        </w:rPr>
        <w:t>Unlike</w:t>
      </w:r>
      <w:r>
        <w:t xml:space="preserve"> prior price </w:t>
      </w:r>
      <w:r>
        <w:rPr>
          <w:spacing w:val="-1"/>
        </w:rPr>
        <w:t>directions,</w:t>
      </w:r>
      <w:r>
        <w:rPr>
          <w:spacing w:val="-6"/>
        </w:rPr>
        <w:t xml:space="preserve"> </w:t>
      </w:r>
      <w:r>
        <w:t xml:space="preserve">no </w:t>
      </w:r>
      <w:r>
        <w:rPr>
          <w:spacing w:val="-1"/>
        </w:rPr>
        <w:t>materiality</w:t>
      </w:r>
      <w:r>
        <w:t xml:space="preserve"> </w:t>
      </w:r>
      <w:r>
        <w:rPr>
          <w:spacing w:val="-1"/>
        </w:rPr>
        <w:t>threshold</w:t>
      </w:r>
      <w:r>
        <w:t xml:space="preserve"> has been adopted for this </w:t>
      </w:r>
      <w:r>
        <w:rPr>
          <w:spacing w:val="-1"/>
        </w:rPr>
        <w:t>provision.</w:t>
      </w:r>
    </w:p>
    <w:p w:rsidR="00D96B91" w:rsidRDefault="00C2656B">
      <w:pPr>
        <w:pStyle w:val="Heading6"/>
        <w:numPr>
          <w:ilvl w:val="2"/>
          <w:numId w:val="92"/>
        </w:numPr>
        <w:tabs>
          <w:tab w:val="left" w:pos="2098"/>
        </w:tabs>
        <w:spacing w:before="102"/>
        <w:ind w:hanging="850"/>
      </w:pPr>
      <w:r>
        <w:rPr>
          <w:color w:val="0778BE"/>
          <w:spacing w:val="-3"/>
        </w:rPr>
        <w:t>ACTEW’s</w:t>
      </w:r>
      <w:r>
        <w:rPr>
          <w:color w:val="0778BE"/>
        </w:rPr>
        <w:t xml:space="preserve"> SOFC</w:t>
      </w:r>
    </w:p>
    <w:p w:rsidR="00D96B91" w:rsidRDefault="00C2656B">
      <w:pPr>
        <w:pStyle w:val="BodyText"/>
        <w:spacing w:before="21" w:line="260" w:lineRule="exact"/>
        <w:ind w:right="1245"/>
      </w:pPr>
      <w:r>
        <w:rPr>
          <w:spacing w:val="-2"/>
        </w:rPr>
        <w:t>The</w:t>
      </w:r>
      <w:r>
        <w:t xml:space="preserve"> only </w:t>
      </w:r>
      <w:r>
        <w:rPr>
          <w:spacing w:val="-1"/>
        </w:rPr>
        <w:t>unforeseen</w:t>
      </w:r>
      <w:r>
        <w:t xml:space="preserve"> event </w:t>
      </w:r>
      <w:r>
        <w:rPr>
          <w:spacing w:val="-1"/>
        </w:rPr>
        <w:t>that</w:t>
      </w:r>
      <w:r>
        <w:rPr>
          <w:spacing w:val="-4"/>
        </w:rPr>
        <w:t xml:space="preserve"> </w:t>
      </w:r>
      <w:r>
        <w:rPr>
          <w:spacing w:val="-2"/>
        </w:rPr>
        <w:t>ACTEW</w:t>
      </w:r>
      <w:r>
        <w:rPr>
          <w:spacing w:val="-3"/>
        </w:rPr>
        <w:t xml:space="preserve"> </w:t>
      </w:r>
      <w:r>
        <w:t xml:space="preserve">has </w:t>
      </w:r>
      <w:r>
        <w:rPr>
          <w:spacing w:val="-1"/>
        </w:rPr>
        <w:t>stated</w:t>
      </w:r>
      <w:r>
        <w:t xml:space="preserve"> should be </w:t>
      </w:r>
      <w:r>
        <w:rPr>
          <w:spacing w:val="-1"/>
        </w:rPr>
        <w:t>recognised</w:t>
      </w:r>
      <w:r>
        <w:t xml:space="preserve"> in the price </w:t>
      </w:r>
      <w:r>
        <w:rPr>
          <w:spacing w:val="-1"/>
        </w:rPr>
        <w:t>direction</w:t>
      </w:r>
      <w:r>
        <w:t xml:space="preserve"> is a</w:t>
      </w:r>
      <w:r>
        <w:rPr>
          <w:spacing w:val="55"/>
        </w:rPr>
        <w:t xml:space="preserve"> </w:t>
      </w:r>
      <w:r>
        <w:t xml:space="preserve">major </w:t>
      </w:r>
      <w:r>
        <w:rPr>
          <w:spacing w:val="-1"/>
        </w:rPr>
        <w:t>natural</w:t>
      </w:r>
      <w:r>
        <w:t xml:space="preserve"> </w:t>
      </w:r>
      <w:r>
        <w:rPr>
          <w:spacing w:val="-2"/>
        </w:rPr>
        <w:t>disaster.</w:t>
      </w:r>
      <w:r>
        <w:rPr>
          <w:spacing w:val="-6"/>
        </w:rPr>
        <w:t xml:space="preserve"> </w:t>
      </w:r>
      <w:r>
        <w:t>In its SOFC,</w:t>
      </w:r>
      <w:r>
        <w:rPr>
          <w:spacing w:val="-10"/>
        </w:rPr>
        <w:t xml:space="preserve"> </w:t>
      </w:r>
      <w:r>
        <w:rPr>
          <w:spacing w:val="-2"/>
        </w:rPr>
        <w:t>ACTEW</w:t>
      </w:r>
      <w:r>
        <w:rPr>
          <w:spacing w:val="-3"/>
        </w:rPr>
        <w:t xml:space="preserve"> </w:t>
      </w:r>
      <w:r>
        <w:rPr>
          <w:spacing w:val="-1"/>
        </w:rPr>
        <w:t>proposed</w:t>
      </w:r>
      <w:r>
        <w:t xml:space="preserve"> </w:t>
      </w:r>
      <w:r>
        <w:rPr>
          <w:spacing w:val="-1"/>
        </w:rPr>
        <w:t>that</w:t>
      </w:r>
      <w:r>
        <w:t xml:space="preserve"> this type of</w:t>
      </w:r>
      <w:r>
        <w:rPr>
          <w:spacing w:val="4"/>
        </w:rPr>
        <w:t xml:space="preserve"> </w:t>
      </w:r>
      <w:r>
        <w:t xml:space="preserve">event be </w:t>
      </w:r>
      <w:r>
        <w:rPr>
          <w:spacing w:val="-1"/>
        </w:rPr>
        <w:t>dealt</w:t>
      </w:r>
      <w:r>
        <w:t xml:space="preserve"> with </w:t>
      </w:r>
      <w:r>
        <w:rPr>
          <w:spacing w:val="-1"/>
        </w:rPr>
        <w:t>through</w:t>
      </w:r>
      <w:r>
        <w:t xml:space="preserve"> a cost</w:t>
      </w:r>
      <w:r>
        <w:rPr>
          <w:spacing w:val="53"/>
        </w:rPr>
        <w:t xml:space="preserve"> </w:t>
      </w:r>
      <w:r>
        <w:rPr>
          <w:spacing w:val="-1"/>
        </w:rPr>
        <w:t>pass-through</w:t>
      </w:r>
      <w:r>
        <w:t xml:space="preserve"> mechanism,</w:t>
      </w:r>
      <w:r>
        <w:rPr>
          <w:spacing w:val="-6"/>
        </w:rPr>
        <w:t xml:space="preserve"> </w:t>
      </w:r>
      <w:r>
        <w:rPr>
          <w:spacing w:val="-1"/>
        </w:rPr>
        <w:t>rather</w:t>
      </w:r>
      <w:r>
        <w:t xml:space="preserve"> than </w:t>
      </w:r>
      <w:r>
        <w:rPr>
          <w:spacing w:val="-1"/>
        </w:rPr>
        <w:t>through</w:t>
      </w:r>
      <w:r>
        <w:t xml:space="preserve"> a price </w:t>
      </w:r>
      <w:r>
        <w:rPr>
          <w:spacing w:val="-1"/>
        </w:rPr>
        <w:t>variation</w:t>
      </w:r>
      <w:r>
        <w:t xml:space="preserve"> trigger event </w:t>
      </w:r>
      <w:r>
        <w:rPr>
          <w:spacing w:val="-1"/>
        </w:rPr>
        <w:t>provision.</w:t>
      </w:r>
      <w:r>
        <w:rPr>
          <w:spacing w:val="-6"/>
        </w:rPr>
        <w:t xml:space="preserve"> </w:t>
      </w:r>
      <w:r>
        <w:t xml:space="preserve">It also </w:t>
      </w:r>
      <w:r>
        <w:rPr>
          <w:spacing w:val="-1"/>
        </w:rPr>
        <w:t>proposed</w:t>
      </w:r>
      <w:r>
        <w:rPr>
          <w:spacing w:val="59"/>
        </w:rPr>
        <w:t xml:space="preserve"> </w:t>
      </w:r>
      <w:r>
        <w:rPr>
          <w:spacing w:val="-1"/>
        </w:rPr>
        <w:t>that</w:t>
      </w:r>
      <w:r>
        <w:t xml:space="preserve"> costs only be passed </w:t>
      </w:r>
      <w:r>
        <w:rPr>
          <w:spacing w:val="-1"/>
        </w:rPr>
        <w:t>through</w:t>
      </w:r>
      <w:r>
        <w:t xml:space="preserve"> if</w:t>
      </w:r>
      <w:r>
        <w:rPr>
          <w:spacing w:val="4"/>
        </w:rPr>
        <w:t xml:space="preserve"> </w:t>
      </w:r>
      <w:r>
        <w:t xml:space="preserve">they </w:t>
      </w:r>
      <w:r>
        <w:rPr>
          <w:spacing w:val="-1"/>
        </w:rPr>
        <w:t>exceed</w:t>
      </w:r>
      <w:r>
        <w:t xml:space="preserve"> the </w:t>
      </w:r>
      <w:r>
        <w:rPr>
          <w:spacing w:val="-1"/>
        </w:rPr>
        <w:t>materiality</w:t>
      </w:r>
      <w:r>
        <w:t xml:space="preserve"> </w:t>
      </w:r>
      <w:r>
        <w:rPr>
          <w:spacing w:val="-1"/>
        </w:rPr>
        <w:t>threshold</w:t>
      </w:r>
      <w:r>
        <w:t xml:space="preserve"> of</w:t>
      </w:r>
      <w:r>
        <w:rPr>
          <w:spacing w:val="4"/>
        </w:rPr>
        <w:t xml:space="preserve"> </w:t>
      </w:r>
      <w:r>
        <w:t>$1 million ($2012-13).</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92"/>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56"/>
      </w:pPr>
      <w:r>
        <w:rPr>
          <w:rFonts w:cs="Avenir Next"/>
          <w:spacing w:val="-2"/>
        </w:rPr>
        <w:t>The</w:t>
      </w:r>
      <w:r>
        <w:rPr>
          <w:rFonts w:cs="Avenir Next"/>
        </w:rPr>
        <w:t xml:space="preserve"> </w:t>
      </w:r>
      <w:r>
        <w:rPr>
          <w:rFonts w:cs="Avenir Next"/>
          <w:spacing w:val="-3"/>
        </w:rPr>
        <w:t>Panel</w:t>
      </w:r>
      <w:r>
        <w:rPr>
          <w:rFonts w:cs="Avenir Next"/>
        </w:rPr>
        <w:t xml:space="preserve"> </w:t>
      </w:r>
      <w:r>
        <w:rPr>
          <w:rFonts w:cs="Avenir Next"/>
          <w:spacing w:val="-1"/>
        </w:rPr>
        <w:t>recognises</w:t>
      </w:r>
      <w:r>
        <w:rPr>
          <w:rFonts w:cs="Avenir Next"/>
        </w:rPr>
        <w:t xml:space="preserve"> </w:t>
      </w:r>
      <w:r>
        <w:rPr>
          <w:rFonts w:cs="Avenir Next"/>
          <w:spacing w:val="-1"/>
        </w:rPr>
        <w:t>that</w:t>
      </w:r>
      <w:r>
        <w:rPr>
          <w:rFonts w:cs="Avenir Next"/>
        </w:rPr>
        <w:t xml:space="preserve"> the </w:t>
      </w:r>
      <w:r>
        <w:rPr>
          <w:rFonts w:cs="Avenir Next"/>
          <w:spacing w:val="-1"/>
        </w:rPr>
        <w:t>regulatory</w:t>
      </w:r>
      <w:r>
        <w:rPr>
          <w:rFonts w:cs="Avenir Next"/>
        </w:rPr>
        <w:t xml:space="preserve"> </w:t>
      </w:r>
      <w:r>
        <w:rPr>
          <w:rFonts w:cs="Avenir Next"/>
          <w:spacing w:val="-1"/>
        </w:rPr>
        <w:t>framework</w:t>
      </w:r>
      <w:r>
        <w:rPr>
          <w:rFonts w:cs="Avenir Next"/>
        </w:rPr>
        <w:t xml:space="preserve"> should </w:t>
      </w:r>
      <w:r>
        <w:rPr>
          <w:rFonts w:cs="Avenir Next"/>
          <w:spacing w:val="-1"/>
        </w:rPr>
        <w:t>accommodate</w:t>
      </w:r>
      <w:r>
        <w:rPr>
          <w:rFonts w:cs="Avenir Next"/>
        </w:rPr>
        <w:t xml:space="preserve"> any major </w:t>
      </w:r>
      <w:r>
        <w:rPr>
          <w:rFonts w:cs="Avenir Next"/>
          <w:spacing w:val="-1"/>
        </w:rPr>
        <w:t>unforeseen</w:t>
      </w:r>
      <w:r>
        <w:rPr>
          <w:rFonts w:cs="Avenir Next"/>
        </w:rPr>
        <w:t xml:space="preserve"> events</w:t>
      </w:r>
      <w:r>
        <w:rPr>
          <w:rFonts w:cs="Avenir Next"/>
          <w:spacing w:val="73"/>
        </w:rPr>
        <w:t xml:space="preserve"> </w:t>
      </w:r>
      <w:r>
        <w:rPr>
          <w:rFonts w:cs="Avenir Next"/>
          <w:spacing w:val="-1"/>
        </w:rPr>
        <w:t>that</w:t>
      </w:r>
      <w:r>
        <w:rPr>
          <w:rFonts w:cs="Avenir Next"/>
        </w:rPr>
        <w:t xml:space="preserve"> may occur in the </w:t>
      </w:r>
      <w:r>
        <w:rPr>
          <w:rFonts w:cs="Avenir Next"/>
          <w:spacing w:val="-1"/>
        </w:rPr>
        <w:t>regulatory</w:t>
      </w:r>
      <w:r>
        <w:rPr>
          <w:rFonts w:cs="Avenir Next"/>
        </w:rPr>
        <w:t xml:space="preserve"> period and have a </w:t>
      </w:r>
      <w:r>
        <w:rPr>
          <w:rFonts w:cs="Avenir Next"/>
          <w:spacing w:val="-1"/>
        </w:rPr>
        <w:t>material</w:t>
      </w:r>
      <w:r>
        <w:rPr>
          <w:rFonts w:cs="Avenir Next"/>
        </w:rPr>
        <w:t xml:space="preserve"> impact on</w:t>
      </w:r>
      <w:r>
        <w:rPr>
          <w:rFonts w:cs="Avenir Next"/>
          <w:spacing w:val="-4"/>
        </w:rPr>
        <w:t xml:space="preserve"> </w:t>
      </w:r>
      <w:r>
        <w:rPr>
          <w:rFonts w:cs="Avenir Next"/>
          <w:spacing w:val="-2"/>
        </w:rPr>
        <w:t>ACTEW’s</w:t>
      </w:r>
      <w:r>
        <w:rPr>
          <w:rFonts w:cs="Avenir Next"/>
        </w:rPr>
        <w:t xml:space="preserve"> ability to </w:t>
      </w:r>
      <w:r>
        <w:rPr>
          <w:rFonts w:cs="Avenir Next"/>
          <w:spacing w:val="-1"/>
        </w:rPr>
        <w:t>provide</w:t>
      </w:r>
      <w:r>
        <w:rPr>
          <w:rFonts w:cs="Avenir Next"/>
          <w:spacing w:val="31"/>
        </w:rPr>
        <w:t xml:space="preserve"> </w:t>
      </w:r>
      <w:r>
        <w:t>services</w:t>
      </w:r>
      <w:r>
        <w:rPr>
          <w:spacing w:val="-2"/>
        </w:rPr>
        <w:t xml:space="preserve"> </w:t>
      </w:r>
      <w:r>
        <w:t>or</w:t>
      </w:r>
      <w:r>
        <w:rPr>
          <w:spacing w:val="-2"/>
        </w:rPr>
        <w:t xml:space="preserve"> </w:t>
      </w:r>
      <w:r>
        <w:t>its</w:t>
      </w:r>
      <w:r>
        <w:rPr>
          <w:spacing w:val="-2"/>
        </w:rPr>
        <w:t xml:space="preserve"> </w:t>
      </w:r>
      <w:r>
        <w:t>financial</w:t>
      </w:r>
      <w:r>
        <w:rPr>
          <w:spacing w:val="-2"/>
        </w:rPr>
        <w:t xml:space="preserve"> </w:t>
      </w:r>
      <w:r>
        <w:rPr>
          <w:spacing w:val="-1"/>
        </w:rPr>
        <w:t>viability.</w:t>
      </w:r>
    </w:p>
    <w:p w:rsidR="00D96B91" w:rsidRDefault="00C2656B">
      <w:pPr>
        <w:pStyle w:val="BodyText"/>
        <w:spacing w:before="170" w:line="260" w:lineRule="exact"/>
        <w:ind w:right="1246"/>
        <w:rPr>
          <w:rFonts w:cs="Avenir Next"/>
        </w:rPr>
      </w:pPr>
      <w:r>
        <w:t xml:space="preserve">Having </w:t>
      </w:r>
      <w:r>
        <w:rPr>
          <w:spacing w:val="-1"/>
        </w:rPr>
        <w:t>reviewed</w:t>
      </w:r>
      <w:r>
        <w:t xml:space="preserve"> the </w:t>
      </w:r>
      <w:r>
        <w:rPr>
          <w:spacing w:val="-1"/>
        </w:rPr>
        <w:t>alternative</w:t>
      </w:r>
      <w:r>
        <w:t xml:space="preserve"> </w:t>
      </w:r>
      <w:r>
        <w:rPr>
          <w:spacing w:val="-1"/>
        </w:rPr>
        <w:t>approaches</w:t>
      </w:r>
      <w:r>
        <w:t xml:space="preserve"> </w:t>
      </w:r>
      <w:r>
        <w:rPr>
          <w:spacing w:val="-1"/>
        </w:rPr>
        <w:t>advocated</w:t>
      </w:r>
      <w:r>
        <w:t xml:space="preserve"> by the ICRC and</w:t>
      </w:r>
      <w:r>
        <w:rPr>
          <w:spacing w:val="-4"/>
        </w:rPr>
        <w:t xml:space="preserve"> ACTEW,</w:t>
      </w:r>
      <w:r>
        <w:rPr>
          <w:spacing w:val="-6"/>
        </w:rPr>
        <w:t xml:space="preserve"> </w:t>
      </w:r>
      <w:r>
        <w:t xml:space="preserve">the </w:t>
      </w:r>
      <w:r>
        <w:rPr>
          <w:spacing w:val="-3"/>
        </w:rPr>
        <w:t>Panel</w:t>
      </w:r>
      <w:r>
        <w:t xml:space="preserve"> considers</w:t>
      </w:r>
      <w:r>
        <w:rPr>
          <w:spacing w:val="67"/>
        </w:rPr>
        <w:t xml:space="preserve"> </w:t>
      </w:r>
      <w:r>
        <w:rPr>
          <w:rFonts w:cs="Avenir Next"/>
          <w:spacing w:val="-1"/>
        </w:rPr>
        <w:t>that</w:t>
      </w:r>
      <w:r>
        <w:rPr>
          <w:rFonts w:cs="Avenir Next"/>
        </w:rPr>
        <w:t xml:space="preserve"> the price </w:t>
      </w:r>
      <w:r>
        <w:rPr>
          <w:rFonts w:cs="Avenir Next"/>
          <w:spacing w:val="-1"/>
        </w:rPr>
        <w:t>variation</w:t>
      </w:r>
      <w:r>
        <w:rPr>
          <w:rFonts w:cs="Avenir Next"/>
        </w:rPr>
        <w:t xml:space="preserve"> trigger event mechanism is the most </w:t>
      </w:r>
      <w:r>
        <w:rPr>
          <w:rFonts w:cs="Avenir Next"/>
          <w:spacing w:val="-1"/>
        </w:rPr>
        <w:t>appropriate</w:t>
      </w:r>
      <w:r>
        <w:rPr>
          <w:rFonts w:cs="Avenir Next"/>
        </w:rPr>
        <w:t xml:space="preserve"> way of</w:t>
      </w:r>
      <w:r>
        <w:rPr>
          <w:rFonts w:cs="Avenir Next"/>
          <w:spacing w:val="4"/>
        </w:rPr>
        <w:t xml:space="preserve"> </w:t>
      </w:r>
      <w:r>
        <w:rPr>
          <w:rFonts w:cs="Avenir Next"/>
          <w:spacing w:val="-1"/>
        </w:rPr>
        <w:t>dealing</w:t>
      </w:r>
      <w:r>
        <w:rPr>
          <w:rFonts w:cs="Avenir Next"/>
        </w:rPr>
        <w:t xml:space="preserve"> with these</w:t>
      </w:r>
      <w:r>
        <w:rPr>
          <w:rFonts w:cs="Avenir Next"/>
          <w:spacing w:val="39"/>
        </w:rPr>
        <w:t xml:space="preserve"> </w:t>
      </w:r>
      <w:r>
        <w:rPr>
          <w:rFonts w:cs="Avenir Next"/>
        </w:rPr>
        <w:t>types of</w:t>
      </w:r>
      <w:r>
        <w:rPr>
          <w:rFonts w:cs="Avenir Next"/>
          <w:spacing w:val="4"/>
        </w:rPr>
        <w:t xml:space="preserve"> </w:t>
      </w:r>
      <w:r>
        <w:rPr>
          <w:rFonts w:cs="Avenir Next"/>
        </w:rPr>
        <w:t>events,</w:t>
      </w:r>
      <w:r>
        <w:rPr>
          <w:rFonts w:cs="Avenir Next"/>
          <w:spacing w:val="-6"/>
        </w:rPr>
        <w:t xml:space="preserve"> </w:t>
      </w:r>
      <w:r>
        <w:rPr>
          <w:rFonts w:cs="Avenir Next"/>
        </w:rPr>
        <w:t xml:space="preserve">because it may not be possible to </w:t>
      </w:r>
      <w:r>
        <w:rPr>
          <w:rFonts w:cs="Avenir Next"/>
          <w:spacing w:val="-1"/>
        </w:rPr>
        <w:t>deal</w:t>
      </w:r>
      <w:r>
        <w:rPr>
          <w:rFonts w:cs="Avenir Next"/>
        </w:rPr>
        <w:t xml:space="preserve"> with all the consequences of</w:t>
      </w:r>
      <w:r>
        <w:rPr>
          <w:rFonts w:cs="Avenir Next"/>
          <w:spacing w:val="4"/>
        </w:rPr>
        <w:t xml:space="preserve"> </w:t>
      </w:r>
      <w:r>
        <w:rPr>
          <w:rFonts w:cs="Avenir Next"/>
        </w:rPr>
        <w:t xml:space="preserve">an </w:t>
      </w:r>
      <w:r>
        <w:rPr>
          <w:rFonts w:cs="Avenir Next"/>
          <w:spacing w:val="-1"/>
        </w:rPr>
        <w:t>unforeseen</w:t>
      </w:r>
      <w:r>
        <w:rPr>
          <w:rFonts w:cs="Avenir Next"/>
          <w:spacing w:val="29"/>
        </w:rPr>
        <w:t xml:space="preserve"> </w:t>
      </w:r>
      <w:r>
        <w:t xml:space="preserve">event </w:t>
      </w:r>
      <w:r>
        <w:rPr>
          <w:spacing w:val="-1"/>
        </w:rPr>
        <w:t>through</w:t>
      </w:r>
      <w:r>
        <w:rPr>
          <w:spacing w:val="1"/>
        </w:rPr>
        <w:t xml:space="preserve"> </w:t>
      </w:r>
      <w:r>
        <w:t>a cost</w:t>
      </w:r>
      <w:r>
        <w:rPr>
          <w:spacing w:val="1"/>
        </w:rPr>
        <w:t xml:space="preserve"> </w:t>
      </w:r>
      <w:r>
        <w:rPr>
          <w:spacing w:val="-1"/>
        </w:rPr>
        <w:t>pass-through</w:t>
      </w:r>
      <w:r>
        <w:t xml:space="preserve"> </w:t>
      </w:r>
      <w:r>
        <w:rPr>
          <w:spacing w:val="-1"/>
        </w:rPr>
        <w:t>mechanism.</w:t>
      </w:r>
      <w:r>
        <w:rPr>
          <w:spacing w:val="-1"/>
          <w:position w:val="7"/>
          <w:sz w:val="11"/>
          <w:szCs w:val="11"/>
        </w:rPr>
        <w:t>67</w:t>
      </w:r>
      <w:r>
        <w:rPr>
          <w:spacing w:val="19"/>
          <w:position w:val="7"/>
          <w:sz w:val="11"/>
          <w:szCs w:val="11"/>
        </w:rPr>
        <w:t xml:space="preserve"> </w:t>
      </w:r>
      <w:r>
        <w:rPr>
          <w:rFonts w:cs="Avenir Next"/>
          <w:spacing w:val="-2"/>
        </w:rPr>
        <w:t>The</w:t>
      </w:r>
      <w:r>
        <w:rPr>
          <w:rFonts w:cs="Avenir Next"/>
        </w:rPr>
        <w:t xml:space="preserve"> </w:t>
      </w:r>
      <w:r>
        <w:rPr>
          <w:rFonts w:cs="Avenir Next"/>
          <w:spacing w:val="-3"/>
        </w:rPr>
        <w:t>Panel</w:t>
      </w:r>
      <w:r>
        <w:rPr>
          <w:rFonts w:cs="Avenir Next"/>
          <w:spacing w:val="1"/>
        </w:rPr>
        <w:t xml:space="preserve"> </w:t>
      </w:r>
      <w:r>
        <w:rPr>
          <w:rFonts w:cs="Avenir Next"/>
          <w:spacing w:val="-1"/>
        </w:rPr>
        <w:t>therefore</w:t>
      </w:r>
      <w:r>
        <w:rPr>
          <w:rFonts w:cs="Avenir Next"/>
        </w:rPr>
        <w:t xml:space="preserve"> </w:t>
      </w:r>
      <w:r>
        <w:rPr>
          <w:rFonts w:cs="Avenir Next"/>
          <w:spacing w:val="-1"/>
        </w:rPr>
        <w:t>broadly</w:t>
      </w:r>
      <w:r>
        <w:rPr>
          <w:rFonts w:cs="Avenir Next"/>
          <w:spacing w:val="1"/>
        </w:rPr>
        <w:t xml:space="preserve"> </w:t>
      </w:r>
      <w:r>
        <w:rPr>
          <w:rFonts w:cs="Avenir Next"/>
          <w:spacing w:val="-1"/>
        </w:rPr>
        <w:t>agrees</w:t>
      </w:r>
      <w:r>
        <w:rPr>
          <w:rFonts w:cs="Avenir Next"/>
        </w:rPr>
        <w:t xml:space="preserve"> with</w:t>
      </w:r>
      <w:r>
        <w:rPr>
          <w:rFonts w:cs="Avenir Next"/>
          <w:spacing w:val="1"/>
        </w:rPr>
        <w:t xml:space="preserve"> </w:t>
      </w:r>
      <w:r>
        <w:rPr>
          <w:rFonts w:cs="Avenir Next"/>
        </w:rPr>
        <w:t>the</w:t>
      </w:r>
      <w:r>
        <w:rPr>
          <w:rFonts w:cs="Avenir Next"/>
          <w:spacing w:val="1"/>
        </w:rPr>
        <w:t xml:space="preserve"> </w:t>
      </w:r>
      <w:r>
        <w:rPr>
          <w:rFonts w:cs="Avenir Next"/>
          <w:spacing w:val="-1"/>
        </w:rPr>
        <w:t>approach</w:t>
      </w:r>
      <w:r>
        <w:rPr>
          <w:rFonts w:cs="Avenir Next"/>
          <w:spacing w:val="75"/>
        </w:rPr>
        <w:t xml:space="preserve"> </w:t>
      </w:r>
      <w:r>
        <w:rPr>
          <w:spacing w:val="-1"/>
        </w:rPr>
        <w:t>taken</w:t>
      </w:r>
      <w:r>
        <w:t xml:space="preserve"> by the ICRC in clause 11 of</w:t>
      </w:r>
      <w:r>
        <w:rPr>
          <w:spacing w:val="4"/>
        </w:rPr>
        <w:t xml:space="preserve"> </w:t>
      </w:r>
      <w:r>
        <w:t xml:space="preserve">the price </w:t>
      </w:r>
      <w:r>
        <w:rPr>
          <w:spacing w:val="-1"/>
        </w:rPr>
        <w:t>direction.</w:t>
      </w:r>
      <w:r>
        <w:rPr>
          <w:spacing w:val="-11"/>
        </w:rPr>
        <w:t xml:space="preserve"> </w:t>
      </w:r>
      <w:r>
        <w:rPr>
          <w:spacing w:val="-2"/>
        </w:rPr>
        <w:t>The</w:t>
      </w:r>
      <w:r>
        <w:t xml:space="preserve"> </w:t>
      </w:r>
      <w:r>
        <w:rPr>
          <w:spacing w:val="-3"/>
        </w:rPr>
        <w:t>Panel</w:t>
      </w:r>
      <w:r>
        <w:t xml:space="preserve"> has decided though </w:t>
      </w:r>
      <w:r>
        <w:rPr>
          <w:spacing w:val="-1"/>
        </w:rPr>
        <w:t>that,</w:t>
      </w:r>
      <w:r>
        <w:rPr>
          <w:spacing w:val="-6"/>
        </w:rPr>
        <w:t xml:space="preserve"> </w:t>
      </w:r>
      <w:r>
        <w:t>in a similar</w:t>
      </w:r>
      <w:r>
        <w:rPr>
          <w:spacing w:val="29"/>
        </w:rPr>
        <w:t xml:space="preserve"> </w:t>
      </w:r>
      <w:r>
        <w:t xml:space="preserve">manner to the cost </w:t>
      </w:r>
      <w:r>
        <w:rPr>
          <w:spacing w:val="-1"/>
        </w:rPr>
        <w:t>pass-through</w:t>
      </w:r>
      <w:r>
        <w:t xml:space="preserve"> mechanism a </w:t>
      </w:r>
      <w:r>
        <w:rPr>
          <w:spacing w:val="-1"/>
        </w:rPr>
        <w:t>materiality</w:t>
      </w:r>
      <w:r>
        <w:t xml:space="preserve"> </w:t>
      </w:r>
      <w:r>
        <w:rPr>
          <w:spacing w:val="-1"/>
        </w:rPr>
        <w:t>threshold</w:t>
      </w:r>
      <w:r>
        <w:t xml:space="preserve"> should be applied to </w:t>
      </w:r>
      <w:r>
        <w:rPr>
          <w:spacing w:val="-1"/>
        </w:rPr>
        <w:t>ensure</w:t>
      </w:r>
      <w:r>
        <w:t xml:space="preserve"> </w:t>
      </w:r>
      <w:r>
        <w:rPr>
          <w:spacing w:val="-1"/>
        </w:rPr>
        <w:t>that</w:t>
      </w:r>
      <w:r>
        <w:rPr>
          <w:spacing w:val="53"/>
        </w:rPr>
        <w:t xml:space="preserve"> </w:t>
      </w:r>
      <w:r>
        <w:t>the</w:t>
      </w:r>
      <w:r>
        <w:rPr>
          <w:spacing w:val="-1"/>
        </w:rPr>
        <w:t xml:space="preserve"> </w:t>
      </w:r>
      <w:r>
        <w:t>mechanism does</w:t>
      </w:r>
      <w:r>
        <w:rPr>
          <w:spacing w:val="-1"/>
        </w:rPr>
        <w:t xml:space="preserve"> </w:t>
      </w:r>
      <w:r>
        <w:t>not undermine</w:t>
      </w:r>
      <w:r>
        <w:rPr>
          <w:spacing w:val="-4"/>
        </w:rPr>
        <w:t xml:space="preserve"> </w:t>
      </w:r>
      <w:r>
        <w:rPr>
          <w:spacing w:val="-2"/>
        </w:rPr>
        <w:t>ACTEW’s</w:t>
      </w:r>
      <w:r>
        <w:rPr>
          <w:spacing w:val="-1"/>
        </w:rPr>
        <w:t xml:space="preserve"> </w:t>
      </w:r>
      <w:r>
        <w:t>incentive to act</w:t>
      </w:r>
      <w:r>
        <w:rPr>
          <w:spacing w:val="-1"/>
        </w:rPr>
        <w:t xml:space="preserve"> </w:t>
      </w:r>
      <w:r>
        <w:t>in a prudent</w:t>
      </w:r>
      <w:r>
        <w:rPr>
          <w:spacing w:val="-1"/>
        </w:rPr>
        <w:t xml:space="preserve"> </w:t>
      </w:r>
      <w:r>
        <w:t xml:space="preserve">and </w:t>
      </w:r>
      <w:r>
        <w:rPr>
          <w:spacing w:val="-1"/>
        </w:rPr>
        <w:t>efficient</w:t>
      </w:r>
      <w:r>
        <w:t xml:space="preserve"> </w:t>
      </w:r>
      <w:r>
        <w:rPr>
          <w:spacing w:val="-2"/>
        </w:rPr>
        <w:t>manner,</w:t>
      </w:r>
      <w:r>
        <w:rPr>
          <w:spacing w:val="-7"/>
        </w:rPr>
        <w:t xml:space="preserve"> </w:t>
      </w:r>
      <w:r>
        <w:t>or give</w:t>
      </w:r>
      <w:r>
        <w:rPr>
          <w:spacing w:val="21"/>
        </w:rPr>
        <w:t xml:space="preserve"> </w:t>
      </w:r>
      <w:r>
        <w:t xml:space="preserve">rise to </w:t>
      </w:r>
      <w:r>
        <w:rPr>
          <w:spacing w:val="-1"/>
        </w:rPr>
        <w:t>frequent</w:t>
      </w:r>
      <w:r>
        <w:t xml:space="preserve"> price changes and higher </w:t>
      </w:r>
      <w:r>
        <w:rPr>
          <w:spacing w:val="-1"/>
        </w:rPr>
        <w:t>regulatory</w:t>
      </w:r>
      <w:r>
        <w:t xml:space="preserve"> costs.</w:t>
      </w:r>
      <w:r>
        <w:rPr>
          <w:spacing w:val="-11"/>
        </w:rPr>
        <w:t xml:space="preserve"> </w:t>
      </w:r>
      <w:r>
        <w:rPr>
          <w:spacing w:val="-2"/>
        </w:rPr>
        <w:t>The</w:t>
      </w:r>
      <w:r>
        <w:t xml:space="preserve"> </w:t>
      </w:r>
      <w:r>
        <w:rPr>
          <w:spacing w:val="-1"/>
        </w:rPr>
        <w:t>materiality</w:t>
      </w:r>
      <w:r>
        <w:t xml:space="preserve"> </w:t>
      </w:r>
      <w:r>
        <w:rPr>
          <w:spacing w:val="-1"/>
        </w:rPr>
        <w:t>threshold</w:t>
      </w:r>
      <w:r>
        <w:t xml:space="preserve"> the </w:t>
      </w:r>
      <w:r>
        <w:rPr>
          <w:spacing w:val="-3"/>
        </w:rPr>
        <w:t>Panel</w:t>
      </w:r>
      <w:r>
        <w:t xml:space="preserve"> decided</w:t>
      </w:r>
      <w:r>
        <w:rPr>
          <w:spacing w:val="55"/>
        </w:rPr>
        <w:t xml:space="preserve"> </w:t>
      </w:r>
      <w:r>
        <w:rPr>
          <w:rFonts w:cs="Avenir Next"/>
        </w:rPr>
        <w:t>to adopt is as follows:</w:t>
      </w:r>
    </w:p>
    <w:p w:rsidR="00D96B91" w:rsidRDefault="00C2656B">
      <w:pPr>
        <w:pStyle w:val="BodyText"/>
        <w:spacing w:before="170" w:line="260" w:lineRule="exact"/>
        <w:ind w:right="1258"/>
      </w:pPr>
      <w:r>
        <w:rPr>
          <w:rFonts w:cs="Avenir Next"/>
          <w:spacing w:val="-2"/>
        </w:rPr>
        <w:t>The</w:t>
      </w:r>
      <w:r>
        <w:rPr>
          <w:rFonts w:cs="Avenir Next"/>
        </w:rPr>
        <w:t xml:space="preserve"> event must </w:t>
      </w:r>
      <w:r>
        <w:rPr>
          <w:rFonts w:cs="Avenir Next"/>
          <w:spacing w:val="-1"/>
        </w:rPr>
        <w:t>severely</w:t>
      </w:r>
      <w:r>
        <w:rPr>
          <w:rFonts w:cs="Avenir Next"/>
        </w:rPr>
        <w:t xml:space="preserve"> </w:t>
      </w:r>
      <w:r>
        <w:rPr>
          <w:rFonts w:cs="Avenir Next"/>
          <w:spacing w:val="-1"/>
        </w:rPr>
        <w:t>restrict</w:t>
      </w:r>
      <w:r>
        <w:rPr>
          <w:rFonts w:cs="Avenir Next"/>
          <w:spacing w:val="-4"/>
        </w:rPr>
        <w:t xml:space="preserve"> </w:t>
      </w:r>
      <w:r>
        <w:rPr>
          <w:rFonts w:cs="Avenir Next"/>
          <w:spacing w:val="-2"/>
        </w:rPr>
        <w:t>ACTEW’s</w:t>
      </w:r>
      <w:r>
        <w:rPr>
          <w:rFonts w:cs="Avenir Next"/>
        </w:rPr>
        <w:t xml:space="preserve"> ability to </w:t>
      </w:r>
      <w:r>
        <w:rPr>
          <w:rFonts w:cs="Avenir Next"/>
          <w:spacing w:val="-1"/>
        </w:rPr>
        <w:t>provide</w:t>
      </w:r>
      <w:r>
        <w:rPr>
          <w:rFonts w:cs="Avenir Next"/>
        </w:rPr>
        <w:t xml:space="preserve"> </w:t>
      </w:r>
      <w:r>
        <w:rPr>
          <w:rFonts w:cs="Avenir Next"/>
          <w:spacing w:val="-1"/>
        </w:rPr>
        <w:t>water</w:t>
      </w:r>
      <w:r>
        <w:rPr>
          <w:rFonts w:cs="Avenir Next"/>
        </w:rPr>
        <w:t xml:space="preserve"> and/or </w:t>
      </w:r>
      <w:r>
        <w:rPr>
          <w:rFonts w:cs="Avenir Next"/>
          <w:spacing w:val="-1"/>
        </w:rPr>
        <w:t>sewerage</w:t>
      </w:r>
      <w:r>
        <w:rPr>
          <w:rFonts w:cs="Avenir Next"/>
        </w:rPr>
        <w:t xml:space="preserve"> services and impose</w:t>
      </w:r>
      <w:r>
        <w:rPr>
          <w:rFonts w:cs="Avenir Next"/>
          <w:spacing w:val="45"/>
        </w:rPr>
        <w:t xml:space="preserve"> </w:t>
      </w:r>
      <w:r>
        <w:t>a total annualised cost on</w:t>
      </w:r>
      <w:r>
        <w:rPr>
          <w:spacing w:val="-4"/>
        </w:rPr>
        <w:t xml:space="preserve"> </w:t>
      </w:r>
      <w:r>
        <w:rPr>
          <w:spacing w:val="-2"/>
        </w:rPr>
        <w:t>ACTEW</w:t>
      </w:r>
      <w:r>
        <w:rPr>
          <w:spacing w:val="-3"/>
        </w:rPr>
        <w:t xml:space="preserve"> </w:t>
      </w:r>
      <w:r>
        <w:t xml:space="preserve">for the </w:t>
      </w:r>
      <w:r>
        <w:rPr>
          <w:spacing w:val="-1"/>
        </w:rPr>
        <w:t>remainder</w:t>
      </w:r>
      <w:r>
        <w:t xml:space="preserve"> of</w:t>
      </w:r>
      <w:r>
        <w:rPr>
          <w:spacing w:val="4"/>
        </w:rPr>
        <w:t xml:space="preserve"> </w:t>
      </w:r>
      <w:r>
        <w:t xml:space="preserve">the </w:t>
      </w:r>
      <w:r>
        <w:rPr>
          <w:spacing w:val="-1"/>
        </w:rPr>
        <w:t>regulatory</w:t>
      </w:r>
      <w:r>
        <w:t xml:space="preserve"> period of</w:t>
      </w:r>
      <w:r>
        <w:rPr>
          <w:spacing w:val="4"/>
        </w:rPr>
        <w:t xml:space="preserve"> </w:t>
      </w:r>
      <w:r>
        <w:rPr>
          <w:spacing w:val="-1"/>
        </w:rPr>
        <w:t>more</w:t>
      </w:r>
      <w:r>
        <w:t xml:space="preserve"> than $12 million.</w:t>
      </w:r>
    </w:p>
    <w:p w:rsidR="00D96B91" w:rsidRDefault="00C2656B">
      <w:pPr>
        <w:pStyle w:val="BodyText"/>
        <w:spacing w:before="170" w:line="260" w:lineRule="exact"/>
        <w:ind w:right="1373"/>
      </w:pPr>
      <w:r>
        <w:rPr>
          <w:spacing w:val="-3"/>
        </w:rPr>
        <w:t>This</w:t>
      </w:r>
      <w:r>
        <w:rPr>
          <w:spacing w:val="-4"/>
        </w:rPr>
        <w:t xml:space="preserve"> </w:t>
      </w:r>
      <w:r>
        <w:rPr>
          <w:spacing w:val="-2"/>
        </w:rPr>
        <w:t>materiality</w:t>
      </w:r>
      <w:r>
        <w:rPr>
          <w:spacing w:val="-4"/>
        </w:rPr>
        <w:t xml:space="preserve"> </w:t>
      </w:r>
      <w:r>
        <w:rPr>
          <w:spacing w:val="-3"/>
        </w:rPr>
        <w:t>threshold</w:t>
      </w:r>
      <w:r>
        <w:rPr>
          <w:spacing w:val="-4"/>
        </w:rPr>
        <w:t xml:space="preserve"> </w:t>
      </w:r>
      <w:r>
        <w:rPr>
          <w:spacing w:val="-1"/>
        </w:rPr>
        <w:t>is</w:t>
      </w:r>
      <w:r>
        <w:rPr>
          <w:spacing w:val="-4"/>
        </w:rPr>
        <w:t xml:space="preserve"> </w:t>
      </w:r>
      <w:r>
        <w:rPr>
          <w:spacing w:val="-2"/>
        </w:rPr>
        <w:t>consistent</w:t>
      </w:r>
      <w:r>
        <w:rPr>
          <w:spacing w:val="-4"/>
        </w:rPr>
        <w:t xml:space="preserve"> </w:t>
      </w:r>
      <w:r>
        <w:rPr>
          <w:spacing w:val="-2"/>
        </w:rPr>
        <w:t>with</w:t>
      </w:r>
      <w:r>
        <w:rPr>
          <w:spacing w:val="-4"/>
        </w:rPr>
        <w:t xml:space="preserve"> </w:t>
      </w:r>
      <w:r>
        <w:rPr>
          <w:spacing w:val="-2"/>
        </w:rPr>
        <w:t>the</w:t>
      </w:r>
      <w:r>
        <w:rPr>
          <w:spacing w:val="-4"/>
        </w:rPr>
        <w:t xml:space="preserve"> </w:t>
      </w:r>
      <w:r>
        <w:rPr>
          <w:spacing w:val="-3"/>
        </w:rPr>
        <w:t>threshold</w:t>
      </w:r>
      <w:r>
        <w:rPr>
          <w:spacing w:val="-4"/>
        </w:rPr>
        <w:t xml:space="preserve"> </w:t>
      </w:r>
      <w:r>
        <w:rPr>
          <w:spacing w:val="-2"/>
        </w:rPr>
        <w:t>the</w:t>
      </w:r>
      <w:r>
        <w:rPr>
          <w:spacing w:val="-4"/>
        </w:rPr>
        <w:t xml:space="preserve"> </w:t>
      </w:r>
      <w:r>
        <w:rPr>
          <w:spacing w:val="-2"/>
        </w:rPr>
        <w:t>ICRC</w:t>
      </w:r>
      <w:r>
        <w:rPr>
          <w:spacing w:val="-4"/>
        </w:rPr>
        <w:t xml:space="preserve"> </w:t>
      </w:r>
      <w:r>
        <w:rPr>
          <w:spacing w:val="-2"/>
        </w:rPr>
        <w:t>adopted</w:t>
      </w:r>
      <w:r>
        <w:rPr>
          <w:spacing w:val="-4"/>
        </w:rPr>
        <w:t xml:space="preserve"> </w:t>
      </w:r>
      <w:r>
        <w:rPr>
          <w:spacing w:val="-2"/>
        </w:rPr>
        <w:t>for</w:t>
      </w:r>
      <w:r>
        <w:rPr>
          <w:spacing w:val="-4"/>
        </w:rPr>
        <w:t xml:space="preserve"> </w:t>
      </w:r>
      <w:r>
        <w:rPr>
          <w:spacing w:val="-2"/>
        </w:rPr>
        <w:t>the</w:t>
      </w:r>
      <w:r>
        <w:rPr>
          <w:spacing w:val="-4"/>
        </w:rPr>
        <w:t xml:space="preserve"> </w:t>
      </w:r>
      <w:r>
        <w:rPr>
          <w:spacing w:val="-2"/>
        </w:rPr>
        <w:t>price</w:t>
      </w:r>
      <w:r>
        <w:rPr>
          <w:spacing w:val="-4"/>
        </w:rPr>
        <w:t xml:space="preserve"> </w:t>
      </w:r>
      <w:r>
        <w:rPr>
          <w:spacing w:val="-2"/>
        </w:rPr>
        <w:t>variation</w:t>
      </w:r>
      <w:r>
        <w:rPr>
          <w:spacing w:val="-4"/>
        </w:rPr>
        <w:t xml:space="preserve"> </w:t>
      </w:r>
      <w:r>
        <w:rPr>
          <w:spacing w:val="-2"/>
        </w:rPr>
        <w:t>trigger</w:t>
      </w:r>
      <w:r>
        <w:rPr>
          <w:spacing w:val="68"/>
        </w:rPr>
        <w:t xml:space="preserve"> </w:t>
      </w:r>
      <w:r>
        <w:rPr>
          <w:spacing w:val="-2"/>
        </w:rPr>
        <w:t>mechanism</w:t>
      </w:r>
      <w:r>
        <w:rPr>
          <w:spacing w:val="-4"/>
        </w:rPr>
        <w:t xml:space="preserve"> </w:t>
      </w:r>
      <w:r>
        <w:rPr>
          <w:spacing w:val="-1"/>
        </w:rPr>
        <w:t>in</w:t>
      </w:r>
      <w:r>
        <w:rPr>
          <w:spacing w:val="-4"/>
        </w:rPr>
        <w:t xml:space="preserve"> </w:t>
      </w:r>
      <w:r>
        <w:rPr>
          <w:spacing w:val="-2"/>
        </w:rPr>
        <w:t>its</w:t>
      </w:r>
      <w:r>
        <w:rPr>
          <w:spacing w:val="-4"/>
        </w:rPr>
        <w:t xml:space="preserve"> </w:t>
      </w:r>
      <w:r>
        <w:rPr>
          <w:spacing w:val="-2"/>
        </w:rPr>
        <w:t>2008</w:t>
      </w:r>
      <w:r>
        <w:rPr>
          <w:spacing w:val="-4"/>
        </w:rPr>
        <w:t xml:space="preserve"> </w:t>
      </w:r>
      <w:r>
        <w:rPr>
          <w:spacing w:val="-2"/>
        </w:rPr>
        <w:t>price</w:t>
      </w:r>
      <w:r>
        <w:rPr>
          <w:spacing w:val="-4"/>
        </w:rPr>
        <w:t xml:space="preserve"> </w:t>
      </w:r>
      <w:r>
        <w:rPr>
          <w:spacing w:val="-3"/>
        </w:rPr>
        <w:t>direction,</w:t>
      </w:r>
      <w:r>
        <w:rPr>
          <w:spacing w:val="-10"/>
        </w:rPr>
        <w:t xml:space="preserve"> </w:t>
      </w:r>
      <w:r>
        <w:rPr>
          <w:spacing w:val="-2"/>
        </w:rPr>
        <w:t>which</w:t>
      </w:r>
      <w:r>
        <w:rPr>
          <w:spacing w:val="-4"/>
        </w:rPr>
        <w:t xml:space="preserve"> </w:t>
      </w:r>
      <w:r>
        <w:rPr>
          <w:spacing w:val="-2"/>
        </w:rPr>
        <w:t>was</w:t>
      </w:r>
      <w:r>
        <w:rPr>
          <w:spacing w:val="-4"/>
        </w:rPr>
        <w:t xml:space="preserve"> </w:t>
      </w:r>
      <w:r>
        <w:rPr>
          <w:spacing w:val="-2"/>
        </w:rPr>
        <w:t>$10</w:t>
      </w:r>
      <w:r>
        <w:rPr>
          <w:spacing w:val="-4"/>
        </w:rPr>
        <w:t xml:space="preserve"> </w:t>
      </w:r>
      <w:r>
        <w:rPr>
          <w:spacing w:val="-2"/>
        </w:rPr>
        <w:t>million</w:t>
      </w:r>
      <w:r>
        <w:rPr>
          <w:spacing w:val="-4"/>
        </w:rPr>
        <w:t xml:space="preserve"> </w:t>
      </w:r>
      <w:r>
        <w:rPr>
          <w:spacing w:val="-1"/>
        </w:rPr>
        <w:t>in</w:t>
      </w:r>
      <w:r>
        <w:rPr>
          <w:spacing w:val="-4"/>
        </w:rPr>
        <w:t xml:space="preserve"> </w:t>
      </w:r>
      <w:r>
        <w:rPr>
          <w:spacing w:val="-2"/>
        </w:rPr>
        <w:t>2006-07</w:t>
      </w:r>
      <w:r>
        <w:rPr>
          <w:spacing w:val="-4"/>
        </w:rPr>
        <w:t xml:space="preserve"> </w:t>
      </w:r>
      <w:r>
        <w:rPr>
          <w:spacing w:val="-2"/>
        </w:rPr>
        <w:t>dollar</w:t>
      </w:r>
      <w:r>
        <w:rPr>
          <w:spacing w:val="-4"/>
        </w:rPr>
        <w:t xml:space="preserve"> </w:t>
      </w:r>
      <w:r>
        <w:rPr>
          <w:spacing w:val="-2"/>
        </w:rPr>
        <w:t>terms</w:t>
      </w:r>
      <w:r>
        <w:rPr>
          <w:spacing w:val="-4"/>
        </w:rPr>
        <w:t xml:space="preserve"> </w:t>
      </w:r>
      <w:r>
        <w:rPr>
          <w:spacing w:val="-2"/>
        </w:rPr>
        <w:t>(or</w:t>
      </w:r>
      <w:r>
        <w:rPr>
          <w:spacing w:val="-4"/>
        </w:rPr>
        <w:t xml:space="preserve"> </w:t>
      </w:r>
      <w:r>
        <w:rPr>
          <w:spacing w:val="-2"/>
        </w:rPr>
        <w:t>$12</w:t>
      </w:r>
      <w:r>
        <w:rPr>
          <w:spacing w:val="-4"/>
        </w:rPr>
        <w:t xml:space="preserve"> </w:t>
      </w:r>
      <w:r>
        <w:rPr>
          <w:spacing w:val="-2"/>
        </w:rPr>
        <w:t>million</w:t>
      </w:r>
      <w:r>
        <w:rPr>
          <w:spacing w:val="-4"/>
        </w:rPr>
        <w:t xml:space="preserve"> </w:t>
      </w:r>
      <w:r>
        <w:rPr>
          <w:spacing w:val="-2"/>
        </w:rPr>
        <w:t>in</w:t>
      </w:r>
      <w:r>
        <w:rPr>
          <w:spacing w:val="72"/>
        </w:rPr>
        <w:t xml:space="preserve"> </w:t>
      </w:r>
      <w:r>
        <w:rPr>
          <w:spacing w:val="-2"/>
        </w:rPr>
        <w:t>2012-13</w:t>
      </w:r>
      <w:r>
        <w:rPr>
          <w:spacing w:val="-4"/>
        </w:rPr>
        <w:t xml:space="preserve"> </w:t>
      </w:r>
      <w:r>
        <w:rPr>
          <w:spacing w:val="-2"/>
        </w:rPr>
        <w:t>dollar</w:t>
      </w:r>
      <w:r>
        <w:rPr>
          <w:spacing w:val="-4"/>
        </w:rPr>
        <w:t xml:space="preserve"> </w:t>
      </w:r>
      <w:r>
        <w:rPr>
          <w:spacing w:val="-2"/>
        </w:rPr>
        <w:t>terms).</w:t>
      </w:r>
    </w:p>
    <w:p w:rsidR="00D96B91" w:rsidRDefault="00D96B91">
      <w:pPr>
        <w:rPr>
          <w:rFonts w:ascii="Avenir Next" w:eastAsia="Avenir Next" w:hAnsi="Avenir Next" w:cs="Avenir Next"/>
          <w:sz w:val="20"/>
          <w:szCs w:val="20"/>
        </w:rPr>
      </w:pPr>
    </w:p>
    <w:p w:rsidR="00D96B91" w:rsidRDefault="00D96B91">
      <w:pPr>
        <w:spacing w:before="10"/>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29" style="width:72.5pt;height:.5pt;mso-position-horizontal-relative:char;mso-position-vertical-relative:line" coordsize="1450,10">
            <v:group id="_x0000_s3230" style="position:absolute;left:5;top:5;width:1440;height:2" coordorigin="5,5" coordsize="1440,2">
              <v:shape id="_x0000_s3231" style="position:absolute;left:5;top:5;width:1440;height:2" coordorigin="5,5" coordsize="1440,0" path="m5,5r1440,e" filled="f" strokeweight=".5pt">
                <v:path arrowok="t"/>
              </v:shape>
            </v:group>
            <w10:wrap type="none"/>
            <w10:anchorlock/>
          </v:group>
        </w:pict>
      </w:r>
    </w:p>
    <w:p w:rsidR="00D96B91" w:rsidRDefault="00C2656B">
      <w:pPr>
        <w:numPr>
          <w:ilvl w:val="0"/>
          <w:numId w:val="99"/>
        </w:numPr>
        <w:tabs>
          <w:tab w:val="left" w:pos="1758"/>
        </w:tabs>
        <w:spacing w:before="45" w:line="192" w:lineRule="exact"/>
        <w:ind w:right="1696" w:hanging="510"/>
        <w:rPr>
          <w:rFonts w:ascii="Avenir Next" w:eastAsia="Avenir Next" w:hAnsi="Avenir Next" w:cs="Avenir Next"/>
          <w:sz w:val="16"/>
          <w:szCs w:val="16"/>
        </w:rPr>
      </w:pPr>
      <w:r>
        <w:rPr>
          <w:rFonts w:ascii="Avenir Next"/>
          <w:spacing w:val="-3"/>
          <w:sz w:val="16"/>
        </w:rPr>
        <w:t>For</w:t>
      </w:r>
      <w:r>
        <w:rPr>
          <w:rFonts w:ascii="Avenir Next"/>
          <w:sz w:val="16"/>
        </w:rPr>
        <w:t xml:space="preserve"> </w:t>
      </w:r>
      <w:r>
        <w:rPr>
          <w:rFonts w:ascii="Avenir Next"/>
          <w:spacing w:val="-1"/>
          <w:sz w:val="16"/>
        </w:rPr>
        <w:t>example,</w:t>
      </w:r>
      <w:r>
        <w:rPr>
          <w:rFonts w:ascii="Avenir Next"/>
          <w:spacing w:val="-5"/>
          <w:sz w:val="16"/>
        </w:rPr>
        <w:t xml:space="preserve"> </w:t>
      </w:r>
      <w:r>
        <w:rPr>
          <w:rFonts w:ascii="Avenir Next"/>
          <w:sz w:val="16"/>
        </w:rPr>
        <w:t>if</w:t>
      </w:r>
      <w:r>
        <w:rPr>
          <w:rFonts w:ascii="Avenir Next"/>
          <w:spacing w:val="3"/>
          <w:sz w:val="16"/>
        </w:rPr>
        <w:t xml:space="preserve"> </w:t>
      </w:r>
      <w:r>
        <w:rPr>
          <w:rFonts w:ascii="Avenir Next"/>
          <w:sz w:val="16"/>
        </w:rPr>
        <w:t xml:space="preserve">the </w:t>
      </w:r>
      <w:r>
        <w:rPr>
          <w:rFonts w:ascii="Avenir Next"/>
          <w:spacing w:val="-1"/>
          <w:sz w:val="16"/>
        </w:rPr>
        <w:t>unforeseen</w:t>
      </w:r>
      <w:r>
        <w:rPr>
          <w:rFonts w:ascii="Avenir Next"/>
          <w:sz w:val="16"/>
        </w:rPr>
        <w:t xml:space="preserve"> event </w:t>
      </w:r>
      <w:r>
        <w:rPr>
          <w:rFonts w:ascii="Avenir Next"/>
          <w:spacing w:val="-1"/>
          <w:sz w:val="16"/>
        </w:rPr>
        <w:t>affects</w:t>
      </w:r>
      <w:r>
        <w:rPr>
          <w:rFonts w:ascii="Avenir Next"/>
          <w:sz w:val="16"/>
        </w:rPr>
        <w:t xml:space="preserve"> demand then this could not be </w:t>
      </w:r>
      <w:r>
        <w:rPr>
          <w:rFonts w:ascii="Avenir Next"/>
          <w:spacing w:val="-1"/>
          <w:sz w:val="16"/>
        </w:rPr>
        <w:t>dealt</w:t>
      </w:r>
      <w:r>
        <w:rPr>
          <w:rFonts w:ascii="Avenir Next"/>
          <w:sz w:val="16"/>
        </w:rPr>
        <w:t xml:space="preserve"> with </w:t>
      </w:r>
      <w:r>
        <w:rPr>
          <w:rFonts w:ascii="Avenir Next"/>
          <w:spacing w:val="-1"/>
          <w:sz w:val="16"/>
        </w:rPr>
        <w:t>through</w:t>
      </w:r>
      <w:r>
        <w:rPr>
          <w:rFonts w:ascii="Avenir Next"/>
          <w:sz w:val="16"/>
        </w:rPr>
        <w:t xml:space="preserve"> the cost </w:t>
      </w:r>
      <w:r>
        <w:rPr>
          <w:rFonts w:ascii="Avenir Next"/>
          <w:spacing w:val="-1"/>
          <w:sz w:val="16"/>
        </w:rPr>
        <w:t>pass-through</w:t>
      </w:r>
      <w:r>
        <w:rPr>
          <w:rFonts w:ascii="Avenir Next"/>
          <w:spacing w:val="73"/>
          <w:sz w:val="16"/>
        </w:rPr>
        <w:t xml:space="preserve"> </w:t>
      </w:r>
      <w:r>
        <w:rPr>
          <w:rFonts w:ascii="Avenir Next"/>
          <w:sz w:val="16"/>
        </w:rPr>
        <w:t>mechanism.</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74" w:name="7_Method_used_to_determine_prices"/>
      <w:bookmarkStart w:id="75" w:name="7._1_Overview_of_price_setting_method_fo"/>
      <w:bookmarkStart w:id="76" w:name="7._2_Determine_ACTEW’s_net_revenue_requi"/>
      <w:bookmarkStart w:id="77" w:name="_bookmark44"/>
      <w:bookmarkEnd w:id="74"/>
      <w:bookmarkEnd w:id="75"/>
      <w:bookmarkEnd w:id="76"/>
      <w:bookmarkEnd w:id="77"/>
      <w:r>
        <w:rPr>
          <w:rFonts w:ascii="Avenir Next Medium"/>
          <w:color w:val="0778BE"/>
          <w:w w:val="95"/>
          <w:sz w:val="40"/>
        </w:rPr>
        <w:t>7</w:t>
      </w:r>
      <w:r>
        <w:rPr>
          <w:rFonts w:ascii="Avenir Next Medium"/>
          <w:color w:val="0778BE"/>
          <w:w w:val="95"/>
          <w:sz w:val="40"/>
        </w:rPr>
        <w:tab/>
      </w:r>
      <w:bookmarkStart w:id="78" w:name="_bookmark45"/>
      <w:bookmarkEnd w:id="78"/>
      <w:r>
        <w:rPr>
          <w:rFonts w:ascii="Avenir Next Medium"/>
          <w:color w:val="0778BE"/>
          <w:sz w:val="40"/>
        </w:rPr>
        <w:t>Method used to determine prices</w:t>
      </w:r>
    </w:p>
    <w:p w:rsidR="00D96B91" w:rsidRDefault="00C2656B">
      <w:pPr>
        <w:pStyle w:val="BodyText"/>
        <w:spacing w:before="359" w:line="260" w:lineRule="exact"/>
        <w:ind w:right="1513"/>
      </w:pPr>
      <w:r>
        <w:rPr>
          <w:spacing w:val="-2"/>
        </w:rPr>
        <w:t>Prices</w:t>
      </w:r>
      <w:r>
        <w:t xml:space="preserve"> for 2013-14 and 2014-15 </w:t>
      </w:r>
      <w:r>
        <w:rPr>
          <w:spacing w:val="-1"/>
        </w:rPr>
        <w:t>were</w:t>
      </w:r>
      <w:r>
        <w:t xml:space="preserve"> set by ICRC and,</w:t>
      </w:r>
      <w:r>
        <w:rPr>
          <w:spacing w:val="-6"/>
        </w:rPr>
        <w:t xml:space="preserve"> </w:t>
      </w:r>
      <w:r>
        <w:t xml:space="preserve">in </w:t>
      </w:r>
      <w:r>
        <w:rPr>
          <w:spacing w:val="-1"/>
        </w:rPr>
        <w:t>practice,</w:t>
      </w:r>
      <w:r>
        <w:rPr>
          <w:spacing w:val="-6"/>
        </w:rPr>
        <w:t xml:space="preserve"> </w:t>
      </w:r>
      <w:r>
        <w:t xml:space="preserve">cannot be changed by the </w:t>
      </w:r>
      <w:r>
        <w:rPr>
          <w:spacing w:val="-3"/>
        </w:rPr>
        <w:t>Panel.</w:t>
      </w:r>
      <w:r>
        <w:rPr>
          <w:spacing w:val="27"/>
        </w:rPr>
        <w:t xml:space="preserve"> </w:t>
      </w:r>
      <w:r>
        <w:rPr>
          <w:spacing w:val="-2"/>
        </w:rPr>
        <w:t>However,</w:t>
      </w:r>
      <w:r>
        <w:rPr>
          <w:spacing w:val="-6"/>
        </w:rPr>
        <w:t xml:space="preserve"> </w:t>
      </w:r>
      <w:r>
        <w:t>as a consequence of</w:t>
      </w:r>
      <w:r>
        <w:rPr>
          <w:spacing w:val="4"/>
        </w:rPr>
        <w:t xml:space="preserve"> </w:t>
      </w:r>
      <w:r>
        <w:t xml:space="preserve">its </w:t>
      </w:r>
      <w:r>
        <w:rPr>
          <w:spacing w:val="-2"/>
        </w:rPr>
        <w:t>draft</w:t>
      </w:r>
      <w:r>
        <w:t xml:space="preserve"> decision on the length of</w:t>
      </w:r>
      <w:r>
        <w:rPr>
          <w:spacing w:val="4"/>
        </w:rPr>
        <w:t xml:space="preserve"> </w:t>
      </w:r>
      <w:r>
        <w:t xml:space="preserve">the </w:t>
      </w:r>
      <w:r>
        <w:rPr>
          <w:spacing w:val="-1"/>
        </w:rPr>
        <w:t>regulatory</w:t>
      </w:r>
      <w:r>
        <w:t xml:space="preserve"> period and form of</w:t>
      </w:r>
      <w:r>
        <w:rPr>
          <w:spacing w:val="29"/>
        </w:rPr>
        <w:t xml:space="preserve"> </w:t>
      </w:r>
      <w:r>
        <w:t xml:space="preserve">price </w:t>
      </w:r>
      <w:r>
        <w:rPr>
          <w:spacing w:val="-1"/>
        </w:rPr>
        <w:t>control</w:t>
      </w:r>
      <w:r>
        <w:rPr>
          <w:spacing w:val="-1"/>
          <w:position w:val="7"/>
          <w:sz w:val="11"/>
        </w:rPr>
        <w:t>68</w:t>
      </w:r>
      <w:r>
        <w:rPr>
          <w:spacing w:val="23"/>
          <w:position w:val="7"/>
          <w:sz w:val="11"/>
        </w:rPr>
        <w:t xml:space="preserve"> </w:t>
      </w:r>
      <w:r>
        <w:t>(see</w:t>
      </w:r>
      <w:r w:rsidR="004C7CB7">
        <w:rPr>
          <w:rFonts w:hint="cs"/>
        </w:rPr>
        <w:t> </w:t>
      </w:r>
      <w:r>
        <w:t>Chapter</w:t>
      </w:r>
      <w:r w:rsidR="004C7CB7">
        <w:rPr>
          <w:rFonts w:hint="cs"/>
          <w:spacing w:val="1"/>
        </w:rPr>
        <w:t> </w:t>
      </w:r>
      <w:hyperlink w:anchor="_bookmark26" w:history="1">
        <w:r>
          <w:t>6</w:t>
        </w:r>
      </w:hyperlink>
      <w:r>
        <w:t>),</w:t>
      </w:r>
      <w:r>
        <w:rPr>
          <w:spacing w:val="-6"/>
        </w:rPr>
        <w:t xml:space="preserve"> </w:t>
      </w:r>
      <w:r>
        <w:t>it was</w:t>
      </w:r>
      <w:r>
        <w:rPr>
          <w:spacing w:val="1"/>
        </w:rPr>
        <w:t xml:space="preserve"> </w:t>
      </w:r>
      <w:r>
        <w:t>necessary for the</w:t>
      </w:r>
      <w:r>
        <w:rPr>
          <w:spacing w:val="1"/>
        </w:rPr>
        <w:t xml:space="preserve"> </w:t>
      </w:r>
      <w:r>
        <w:rPr>
          <w:spacing w:val="-3"/>
        </w:rPr>
        <w:t>Panel</w:t>
      </w:r>
      <w:r>
        <w:t xml:space="preserve"> to</w:t>
      </w:r>
      <w:r>
        <w:rPr>
          <w:spacing w:val="1"/>
        </w:rPr>
        <w:t xml:space="preserve"> </w:t>
      </w:r>
      <w:r>
        <w:t>establish the price</w:t>
      </w:r>
      <w:r>
        <w:rPr>
          <w:spacing w:val="1"/>
        </w:rPr>
        <w:t xml:space="preserve"> </w:t>
      </w:r>
      <w:r>
        <w:rPr>
          <w:spacing w:val="-1"/>
        </w:rPr>
        <w:t>setting</w:t>
      </w:r>
      <w:r>
        <w:t xml:space="preserve"> method to</w:t>
      </w:r>
      <w:r>
        <w:rPr>
          <w:spacing w:val="23"/>
        </w:rPr>
        <w:t xml:space="preserve"> </w:t>
      </w:r>
      <w:r>
        <w:t xml:space="preserve">be used for the </w:t>
      </w:r>
      <w:r>
        <w:rPr>
          <w:spacing w:val="-1"/>
        </w:rPr>
        <w:t>remaining</w:t>
      </w:r>
      <w:r>
        <w:t xml:space="preserve"> </w:t>
      </w:r>
      <w:r>
        <w:rPr>
          <w:spacing w:val="-1"/>
        </w:rPr>
        <w:t>three</w:t>
      </w:r>
      <w:r>
        <w:t xml:space="preserve"> </w:t>
      </w:r>
      <w:r>
        <w:rPr>
          <w:spacing w:val="-1"/>
        </w:rPr>
        <w:t>years</w:t>
      </w:r>
      <w:r>
        <w:t xml:space="preserve"> of</w:t>
      </w:r>
      <w:r>
        <w:rPr>
          <w:spacing w:val="4"/>
        </w:rPr>
        <w:t xml:space="preserve"> </w:t>
      </w:r>
      <w:r>
        <w:t>the period (2015-16 to 2017-18).</w:t>
      </w:r>
    </w:p>
    <w:p w:rsidR="00D96B91" w:rsidRDefault="00C2656B">
      <w:pPr>
        <w:pStyle w:val="BodyText"/>
        <w:spacing w:before="170" w:line="260" w:lineRule="exact"/>
        <w:ind w:right="1548"/>
      </w:pPr>
      <w:r>
        <w:rPr>
          <w:spacing w:val="-2"/>
        </w:rPr>
        <w:t>The</w:t>
      </w:r>
      <w:r>
        <w:t xml:space="preserve"> sections below </w:t>
      </w:r>
      <w:r>
        <w:rPr>
          <w:spacing w:val="-1"/>
        </w:rPr>
        <w:t>provide</w:t>
      </w:r>
      <w:r>
        <w:t xml:space="preserve"> an overview of</w:t>
      </w:r>
      <w:r>
        <w:rPr>
          <w:spacing w:val="4"/>
        </w:rPr>
        <w:t xml:space="preserve"> </w:t>
      </w:r>
      <w:r>
        <w:t xml:space="preserve">the method adopted by the </w:t>
      </w:r>
      <w:r>
        <w:rPr>
          <w:spacing w:val="-3"/>
        </w:rPr>
        <w:t>Panel,</w:t>
      </w:r>
      <w:r>
        <w:rPr>
          <w:spacing w:val="-6"/>
        </w:rPr>
        <w:t xml:space="preserve"> </w:t>
      </w:r>
      <w:r>
        <w:t>and then discuss this</w:t>
      </w:r>
      <w:r>
        <w:rPr>
          <w:spacing w:val="21"/>
        </w:rPr>
        <w:t xml:space="preserve"> </w:t>
      </w:r>
      <w:r>
        <w:t xml:space="preserve">method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93"/>
        </w:numPr>
        <w:tabs>
          <w:tab w:val="left" w:pos="1570"/>
          <w:tab w:val="left" w:pos="2040"/>
        </w:tabs>
        <w:ind w:hanging="322"/>
        <w:rPr>
          <w:rFonts w:cs="Avenir Next Medium"/>
        </w:rPr>
      </w:pPr>
      <w:r>
        <w:rPr>
          <w:color w:val="0778BE"/>
        </w:rPr>
        <w:t>1</w:t>
      </w:r>
      <w:r>
        <w:rPr>
          <w:color w:val="0778BE"/>
        </w:rPr>
        <w:tab/>
        <w:t>Overview of</w:t>
      </w:r>
      <w:r>
        <w:rPr>
          <w:color w:val="0778BE"/>
          <w:spacing w:val="7"/>
        </w:rPr>
        <w:t xml:space="preserve"> </w:t>
      </w:r>
      <w:r>
        <w:rPr>
          <w:color w:val="0778BE"/>
        </w:rPr>
        <w:t xml:space="preserve">price </w:t>
      </w:r>
      <w:r>
        <w:rPr>
          <w:color w:val="0778BE"/>
          <w:spacing w:val="-1"/>
        </w:rPr>
        <w:t>setting</w:t>
      </w:r>
      <w:r>
        <w:rPr>
          <w:color w:val="0778BE"/>
        </w:rPr>
        <w:t xml:space="preserve"> method for 2015-16 to 2017-18</w:t>
      </w:r>
    </w:p>
    <w:p w:rsidR="00D96B91" w:rsidRDefault="00C2656B">
      <w:pPr>
        <w:pStyle w:val="BodyText"/>
        <w:spacing w:before="55" w:line="260" w:lineRule="exact"/>
        <w:ind w:right="1283"/>
      </w:pPr>
      <w:r>
        <w:rPr>
          <w:rFonts w:cs="Avenir Next"/>
          <w:spacing w:val="-2"/>
        </w:rPr>
        <w:t>The</w:t>
      </w:r>
      <w:r>
        <w:rPr>
          <w:rFonts w:cs="Avenir Next"/>
        </w:rPr>
        <w:t xml:space="preserve"> </w:t>
      </w:r>
      <w:r>
        <w:rPr>
          <w:rFonts w:cs="Avenir Next"/>
          <w:spacing w:val="-3"/>
        </w:rPr>
        <w:t>Panel</w:t>
      </w:r>
      <w:r>
        <w:rPr>
          <w:rFonts w:cs="Avenir Next"/>
        </w:rPr>
        <w:t xml:space="preserve"> adopted the following method to determine the maximum prices of</w:t>
      </w:r>
      <w:r>
        <w:rPr>
          <w:rFonts w:cs="Avenir Next"/>
          <w:spacing w:val="1"/>
        </w:rPr>
        <w:t xml:space="preserve"> </w:t>
      </w:r>
      <w:r>
        <w:rPr>
          <w:rFonts w:cs="Avenir Next"/>
          <w:spacing w:val="-2"/>
        </w:rPr>
        <w:t>ACTEW’s</w:t>
      </w:r>
      <w:r>
        <w:rPr>
          <w:rFonts w:cs="Avenir Next"/>
        </w:rPr>
        <w:t xml:space="preserve"> </w:t>
      </w:r>
      <w:r>
        <w:rPr>
          <w:rFonts w:cs="Avenir Next"/>
          <w:spacing w:val="-1"/>
        </w:rPr>
        <w:t>water</w:t>
      </w:r>
      <w:r>
        <w:rPr>
          <w:rFonts w:cs="Avenir Next"/>
        </w:rPr>
        <w:t xml:space="preserve"> and</w:t>
      </w:r>
      <w:r>
        <w:rPr>
          <w:rFonts w:cs="Avenir Next"/>
          <w:spacing w:val="30"/>
        </w:rPr>
        <w:t xml:space="preserve"> </w:t>
      </w:r>
      <w:r>
        <w:rPr>
          <w:spacing w:val="-1"/>
        </w:rPr>
        <w:t>sewerage</w:t>
      </w:r>
      <w:r>
        <w:t xml:space="preserve"> services for the period 1</w:t>
      </w:r>
      <w:r>
        <w:rPr>
          <w:spacing w:val="-3"/>
        </w:rPr>
        <w:t xml:space="preserve"> </w:t>
      </w:r>
      <w:r>
        <w:t>July 2015 – 30</w:t>
      </w:r>
      <w:r>
        <w:rPr>
          <w:spacing w:val="-3"/>
        </w:rPr>
        <w:t xml:space="preserve"> </w:t>
      </w:r>
      <w:r>
        <w:t>June 2018:</w:t>
      </w:r>
    </w:p>
    <w:p w:rsidR="00D96B91" w:rsidRDefault="00C2656B">
      <w:pPr>
        <w:numPr>
          <w:ilvl w:val="0"/>
          <w:numId w:val="131"/>
        </w:numPr>
        <w:tabs>
          <w:tab w:val="left" w:pos="1531"/>
        </w:tabs>
        <w:spacing w:before="170" w:line="260" w:lineRule="exact"/>
        <w:ind w:right="1664" w:hanging="283"/>
        <w:rPr>
          <w:rFonts w:ascii="Avenir Next" w:eastAsia="Avenir Next" w:hAnsi="Avenir Next" w:cs="Avenir Next"/>
          <w:sz w:val="20"/>
          <w:szCs w:val="20"/>
        </w:rPr>
      </w:pPr>
      <w:r>
        <w:rPr>
          <w:rFonts w:ascii="Avenir Next" w:eastAsia="Avenir Next" w:hAnsi="Avenir Next" w:cs="Avenir Next"/>
          <w:b/>
          <w:bCs/>
          <w:sz w:val="20"/>
          <w:szCs w:val="20"/>
        </w:rPr>
        <w:t>Determine</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net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the full </w:t>
      </w:r>
      <w:r>
        <w:rPr>
          <w:rFonts w:ascii="Avenir Next" w:eastAsia="Avenir Next" w:hAnsi="Avenir Next" w:cs="Avenir Next"/>
          <w:b/>
          <w:bCs/>
          <w:spacing w:val="-1"/>
          <w:sz w:val="20"/>
          <w:szCs w:val="20"/>
        </w:rPr>
        <w:t>five-year</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regulatory</w:t>
      </w:r>
      <w:r>
        <w:rPr>
          <w:rFonts w:ascii="Avenir Next" w:eastAsia="Avenir Next" w:hAnsi="Avenir Next" w:cs="Avenir Next"/>
          <w:b/>
          <w:bCs/>
          <w:sz w:val="20"/>
          <w:szCs w:val="20"/>
        </w:rPr>
        <w:t xml:space="preserve"> period </w:t>
      </w:r>
      <w:r>
        <w:rPr>
          <w:rFonts w:ascii="Avenir Next" w:eastAsia="Avenir Next" w:hAnsi="Avenir Next" w:cs="Avenir Next"/>
          <w:sz w:val="20"/>
          <w:szCs w:val="20"/>
        </w:rPr>
        <w:t>(1</w:t>
      </w:r>
      <w:r>
        <w:rPr>
          <w:rFonts w:ascii="Avenir Next" w:eastAsia="Avenir Next" w:hAnsi="Avenir Next" w:cs="Avenir Next"/>
          <w:spacing w:val="-3"/>
          <w:sz w:val="20"/>
          <w:szCs w:val="20"/>
        </w:rPr>
        <w:t xml:space="preserve"> </w:t>
      </w:r>
      <w:r>
        <w:rPr>
          <w:rFonts w:ascii="Avenir Next" w:eastAsia="Avenir Next" w:hAnsi="Avenir Next" w:cs="Avenir Next"/>
          <w:sz w:val="20"/>
          <w:szCs w:val="20"/>
        </w:rPr>
        <w:t>July 2013 –</w:t>
      </w:r>
      <w:r>
        <w:rPr>
          <w:rFonts w:ascii="Avenir Next" w:eastAsia="Avenir Next" w:hAnsi="Avenir Next" w:cs="Avenir Next"/>
          <w:spacing w:val="37"/>
          <w:sz w:val="20"/>
          <w:szCs w:val="20"/>
        </w:rPr>
        <w:t xml:space="preserve"> </w:t>
      </w:r>
      <w:r>
        <w:rPr>
          <w:rFonts w:ascii="Avenir Next" w:eastAsia="Avenir Next" w:hAnsi="Avenir Next" w:cs="Avenir Next"/>
          <w:sz w:val="20"/>
          <w:szCs w:val="20"/>
        </w:rPr>
        <w:t>30</w:t>
      </w:r>
      <w:r w:rsidR="004C7CB7">
        <w:rPr>
          <w:rFonts w:ascii="Avenir Next" w:eastAsia="Avenir Next" w:hAnsi="Avenir Next" w:cs="Avenir Next"/>
          <w:spacing w:val="-3"/>
          <w:sz w:val="20"/>
          <w:szCs w:val="20"/>
        </w:rPr>
        <w:t> J</w:t>
      </w:r>
      <w:r>
        <w:rPr>
          <w:rFonts w:ascii="Avenir Next" w:eastAsia="Avenir Next" w:hAnsi="Avenir Next" w:cs="Avenir Next"/>
          <w:sz w:val="20"/>
          <w:szCs w:val="20"/>
        </w:rPr>
        <w:t xml:space="preserve">une 2018) using the building block </w:t>
      </w:r>
      <w:r>
        <w:rPr>
          <w:rFonts w:ascii="Avenir Next" w:eastAsia="Avenir Next" w:hAnsi="Avenir Next" w:cs="Avenir Next"/>
          <w:spacing w:val="-1"/>
          <w:sz w:val="20"/>
          <w:szCs w:val="20"/>
        </w:rPr>
        <w:t>methodology,</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and accounting for </w:t>
      </w:r>
      <w:r>
        <w:rPr>
          <w:rFonts w:ascii="Avenir Next" w:eastAsia="Avenir Next" w:hAnsi="Avenir Next" w:cs="Avenir Next"/>
          <w:spacing w:val="-1"/>
          <w:sz w:val="20"/>
          <w:szCs w:val="20"/>
        </w:rPr>
        <w:t>certain</w:t>
      </w:r>
      <w:r>
        <w:rPr>
          <w:rFonts w:ascii="Avenir Next" w:eastAsia="Avenir Next" w:hAnsi="Avenir Next" w:cs="Avenir Next"/>
          <w:sz w:val="20"/>
          <w:szCs w:val="20"/>
        </w:rPr>
        <w:t xml:space="preserve"> other </w:t>
      </w:r>
      <w:r>
        <w:rPr>
          <w:rFonts w:ascii="Avenir Next" w:eastAsia="Avenir Next" w:hAnsi="Avenir Next" w:cs="Avenir Next"/>
          <w:spacing w:val="-1"/>
          <w:sz w:val="20"/>
          <w:szCs w:val="20"/>
        </w:rPr>
        <w:t>matters.</w:t>
      </w:r>
    </w:p>
    <w:p w:rsidR="00D96B91" w:rsidRDefault="00C2656B">
      <w:pPr>
        <w:numPr>
          <w:ilvl w:val="0"/>
          <w:numId w:val="131"/>
        </w:numPr>
        <w:tabs>
          <w:tab w:val="left" w:pos="1531"/>
        </w:tabs>
        <w:spacing w:before="85" w:line="260" w:lineRule="exact"/>
        <w:ind w:right="1869" w:hanging="283"/>
        <w:rPr>
          <w:rFonts w:ascii="Avenir Next" w:eastAsia="Avenir Next" w:hAnsi="Avenir Next" w:cs="Avenir Next"/>
          <w:sz w:val="20"/>
          <w:szCs w:val="20"/>
        </w:rPr>
      </w:pPr>
      <w:r>
        <w:rPr>
          <w:rFonts w:ascii="Avenir Next" w:eastAsia="Avenir Next" w:hAnsi="Avenir Next" w:cs="Avenir Next"/>
          <w:b/>
          <w:bCs/>
          <w:sz w:val="20"/>
          <w:szCs w:val="20"/>
        </w:rPr>
        <w:t xml:space="preserve">Adopt the prices payable under the original price </w:t>
      </w:r>
      <w:r>
        <w:rPr>
          <w:rFonts w:ascii="Avenir Next" w:eastAsia="Avenir Next" w:hAnsi="Avenir Next" w:cs="Avenir Next"/>
          <w:b/>
          <w:bCs/>
          <w:spacing w:val="-1"/>
          <w:sz w:val="20"/>
          <w:szCs w:val="20"/>
        </w:rPr>
        <w:t>determination</w:t>
      </w:r>
      <w:r>
        <w:rPr>
          <w:rFonts w:ascii="Avenir Next" w:eastAsia="Avenir Next" w:hAnsi="Avenir Next" w:cs="Avenir Next"/>
          <w:b/>
          <w:bCs/>
          <w:sz w:val="20"/>
          <w:szCs w:val="20"/>
        </w:rPr>
        <w:t xml:space="preserve"> for the first two </w:t>
      </w:r>
      <w:r>
        <w:rPr>
          <w:rFonts w:ascii="Avenir Next" w:eastAsia="Avenir Next" w:hAnsi="Avenir Next" w:cs="Avenir Next"/>
          <w:b/>
          <w:bCs/>
          <w:spacing w:val="-1"/>
          <w:sz w:val="20"/>
          <w:szCs w:val="20"/>
        </w:rPr>
        <w:t>years</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the</w:t>
      </w:r>
      <w:r>
        <w:rPr>
          <w:rFonts w:ascii="Avenir Next" w:eastAsia="Avenir Next" w:hAnsi="Avenir Next" w:cs="Avenir Next"/>
          <w:b/>
          <w:bCs/>
          <w:spacing w:val="27"/>
          <w:sz w:val="20"/>
          <w:szCs w:val="20"/>
        </w:rPr>
        <w:t xml:space="preserve"> </w:t>
      </w:r>
      <w:r>
        <w:rPr>
          <w:rFonts w:ascii="Avenir Next" w:eastAsia="Avenir Next" w:hAnsi="Avenir Next" w:cs="Avenir Next"/>
          <w:b/>
          <w:bCs/>
          <w:sz w:val="20"/>
          <w:szCs w:val="20"/>
        </w:rPr>
        <w:t xml:space="preserve">period and </w:t>
      </w:r>
      <w:r>
        <w:rPr>
          <w:rFonts w:ascii="Avenir Next" w:eastAsia="Avenir Next" w:hAnsi="Avenir Next" w:cs="Avenir Next"/>
          <w:b/>
          <w:bCs/>
          <w:spacing w:val="-1"/>
          <w:sz w:val="20"/>
          <w:szCs w:val="20"/>
        </w:rPr>
        <w:t>calculate</w:t>
      </w:r>
      <w:r>
        <w:rPr>
          <w:rFonts w:ascii="Avenir Next" w:eastAsia="Avenir Next" w:hAnsi="Avenir Next" w:cs="Avenir Next"/>
          <w:b/>
          <w:bCs/>
          <w:sz w:val="20"/>
          <w:szCs w:val="20"/>
        </w:rPr>
        <w:t xml:space="preserve"> the </w:t>
      </w:r>
      <w:r>
        <w:rPr>
          <w:rFonts w:ascii="Avenir Next" w:eastAsia="Avenir Next" w:hAnsi="Avenir Next" w:cs="Avenir Next"/>
          <w:b/>
          <w:bCs/>
          <w:spacing w:val="-1"/>
          <w:sz w:val="20"/>
          <w:szCs w:val="20"/>
        </w:rPr>
        <w:t>extent</w:t>
      </w:r>
      <w:r>
        <w:rPr>
          <w:rFonts w:ascii="Avenir Next" w:eastAsia="Avenir Next" w:hAnsi="Avenir Next" w:cs="Avenir Next"/>
          <w:b/>
          <w:bCs/>
          <w:sz w:val="20"/>
          <w:szCs w:val="20"/>
        </w:rPr>
        <w:t xml:space="preserve"> to which the prices set by ICRC in these </w:t>
      </w:r>
      <w:r>
        <w:rPr>
          <w:rFonts w:ascii="Avenir Next" w:eastAsia="Avenir Next" w:hAnsi="Avenir Next" w:cs="Avenir Next"/>
          <w:b/>
          <w:bCs/>
          <w:spacing w:val="-1"/>
          <w:sz w:val="20"/>
          <w:szCs w:val="20"/>
        </w:rPr>
        <w:t>years</w:t>
      </w:r>
      <w:r>
        <w:rPr>
          <w:rFonts w:ascii="Avenir Next" w:eastAsia="Avenir Next" w:hAnsi="Avenir Next" w:cs="Avenir Next"/>
          <w:b/>
          <w:bCs/>
          <w:sz w:val="20"/>
          <w:szCs w:val="20"/>
        </w:rPr>
        <w:t xml:space="preserve"> over or under</w:t>
      </w:r>
      <w:r>
        <w:rPr>
          <w:rFonts w:ascii="Avenir Next" w:eastAsia="Avenir Next" w:hAnsi="Avenir Next" w:cs="Avenir Next"/>
          <w:b/>
          <w:bCs/>
          <w:spacing w:val="27"/>
          <w:sz w:val="20"/>
          <w:szCs w:val="20"/>
        </w:rPr>
        <w:t xml:space="preserve"> </w:t>
      </w:r>
      <w:r>
        <w:rPr>
          <w:rFonts w:ascii="Avenir Next" w:eastAsia="Avenir Next" w:hAnsi="Avenir Next" w:cs="Avenir Next"/>
          <w:b/>
          <w:bCs/>
          <w:spacing w:val="-1"/>
          <w:sz w:val="20"/>
          <w:szCs w:val="20"/>
        </w:rPr>
        <w:t>recovers</w:t>
      </w:r>
      <w:r>
        <w:rPr>
          <w:rFonts w:ascii="Avenir Next" w:eastAsia="Avenir Next" w:hAnsi="Avenir Next" w:cs="Avenir Next"/>
          <w:b/>
          <w:bCs/>
          <w:sz w:val="20"/>
          <w:szCs w:val="20"/>
        </w:rPr>
        <w:t xml:space="preserve"> the net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for these </w:t>
      </w:r>
      <w:r>
        <w:rPr>
          <w:rFonts w:ascii="Avenir Next" w:eastAsia="Avenir Next" w:hAnsi="Avenir Next" w:cs="Avenir Next"/>
          <w:b/>
          <w:bCs/>
          <w:spacing w:val="-1"/>
          <w:sz w:val="20"/>
          <w:szCs w:val="20"/>
        </w:rPr>
        <w:t>years</w:t>
      </w:r>
      <w:r>
        <w:rPr>
          <w:rFonts w:ascii="Avenir Next" w:eastAsia="Avenir Next" w:hAnsi="Avenir Next" w:cs="Avenir Next"/>
          <w:b/>
          <w:bCs/>
          <w:sz w:val="20"/>
          <w:szCs w:val="20"/>
        </w:rPr>
        <w:t xml:space="preserve"> </w:t>
      </w:r>
      <w:r>
        <w:rPr>
          <w:rFonts w:ascii="Avenir Next" w:eastAsia="Avenir Next" w:hAnsi="Avenir Next" w:cs="Avenir Next"/>
          <w:sz w:val="20"/>
          <w:szCs w:val="20"/>
        </w:rPr>
        <w:t>(the ‘true up’ adjustment).</w:t>
      </w:r>
    </w:p>
    <w:p w:rsidR="00D96B91" w:rsidRDefault="00C2656B">
      <w:pPr>
        <w:numPr>
          <w:ilvl w:val="0"/>
          <w:numId w:val="131"/>
        </w:numPr>
        <w:tabs>
          <w:tab w:val="left" w:pos="1531"/>
        </w:tabs>
        <w:spacing w:before="85" w:line="260" w:lineRule="exact"/>
        <w:ind w:right="1331" w:hanging="283"/>
        <w:jc w:val="both"/>
        <w:rPr>
          <w:rFonts w:ascii="Avenir Next" w:eastAsia="Avenir Next" w:hAnsi="Avenir Next" w:cs="Avenir Next"/>
          <w:sz w:val="20"/>
          <w:szCs w:val="20"/>
        </w:rPr>
      </w:pPr>
      <w:r>
        <w:rPr>
          <w:rFonts w:ascii="Avenir Next" w:eastAsia="Avenir Next" w:hAnsi="Avenir Next" w:cs="Avenir Next"/>
          <w:b/>
          <w:bCs/>
          <w:spacing w:val="-1"/>
          <w:sz w:val="20"/>
          <w:szCs w:val="20"/>
        </w:rPr>
        <w:t>Calculate</w:t>
      </w:r>
      <w:r>
        <w:rPr>
          <w:rFonts w:ascii="Avenir Next" w:eastAsia="Avenir Next" w:hAnsi="Avenir Next" w:cs="Avenir Next"/>
          <w:b/>
          <w:bCs/>
          <w:sz w:val="20"/>
          <w:szCs w:val="20"/>
        </w:rPr>
        <w:t xml:space="preserve"> prices for the </w:t>
      </w:r>
      <w:r>
        <w:rPr>
          <w:rFonts w:ascii="Avenir Next" w:eastAsia="Avenir Next" w:hAnsi="Avenir Next" w:cs="Avenir Next"/>
          <w:b/>
          <w:bCs/>
          <w:spacing w:val="-1"/>
          <w:sz w:val="20"/>
          <w:szCs w:val="20"/>
        </w:rPr>
        <w:t>remaining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three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years</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period </w:t>
      </w:r>
      <w:r>
        <w:rPr>
          <w:rFonts w:ascii="Avenir Next" w:eastAsia="Avenir Next" w:hAnsi="Avenir Next" w:cs="Avenir Next"/>
          <w:sz w:val="20"/>
          <w:szCs w:val="20"/>
        </w:rPr>
        <w:t>(1</w:t>
      </w:r>
      <w:r>
        <w:rPr>
          <w:rFonts w:ascii="Avenir Next" w:eastAsia="Avenir Next" w:hAnsi="Avenir Next" w:cs="Avenir Next"/>
          <w:spacing w:val="-3"/>
          <w:sz w:val="20"/>
          <w:szCs w:val="20"/>
        </w:rPr>
        <w:t xml:space="preserve"> </w:t>
      </w:r>
      <w:r>
        <w:rPr>
          <w:rFonts w:ascii="Avenir Next" w:eastAsia="Avenir Next" w:hAnsi="Avenir Next" w:cs="Avenir Next"/>
          <w:sz w:val="20"/>
          <w:szCs w:val="20"/>
        </w:rPr>
        <w:t>July 2015 – 30</w:t>
      </w:r>
      <w:r>
        <w:rPr>
          <w:rFonts w:ascii="Avenir Next" w:eastAsia="Avenir Next" w:hAnsi="Avenir Next" w:cs="Avenir Next"/>
          <w:spacing w:val="-3"/>
          <w:sz w:val="20"/>
          <w:szCs w:val="20"/>
        </w:rPr>
        <w:t xml:space="preserve"> </w:t>
      </w:r>
      <w:r>
        <w:rPr>
          <w:rFonts w:ascii="Avenir Next" w:eastAsia="Avenir Next" w:hAnsi="Avenir Next" w:cs="Avenir Next"/>
          <w:sz w:val="20"/>
          <w:szCs w:val="20"/>
        </w:rPr>
        <w:t>June 2018) consistent</w:t>
      </w:r>
      <w:r>
        <w:rPr>
          <w:rFonts w:ascii="Avenir Next" w:eastAsia="Avenir Next" w:hAnsi="Avenir Next" w:cs="Avenir Next"/>
          <w:spacing w:val="23"/>
          <w:sz w:val="20"/>
          <w:szCs w:val="20"/>
        </w:rPr>
        <w:t xml:space="preserve"> </w:t>
      </w:r>
      <w:r>
        <w:rPr>
          <w:rFonts w:ascii="Avenir Next" w:eastAsia="Avenir Next" w:hAnsi="Avenir Next" w:cs="Avenir Next"/>
          <w:sz w:val="20"/>
          <w:szCs w:val="20"/>
        </w:rPr>
        <w:t>with enabling</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w:t>
      </w:r>
      <w:r>
        <w:rPr>
          <w:rFonts w:ascii="Avenir Next" w:eastAsia="Avenir Next" w:hAnsi="Avenir Next" w:cs="Avenir Next"/>
          <w:spacing w:val="-3"/>
          <w:sz w:val="20"/>
          <w:szCs w:val="20"/>
        </w:rPr>
        <w:t xml:space="preserve"> </w:t>
      </w:r>
      <w:r>
        <w:rPr>
          <w:rFonts w:ascii="Avenir Next" w:eastAsia="Avenir Next" w:hAnsi="Avenir Next" w:cs="Avenir Next"/>
          <w:sz w:val="20"/>
          <w:szCs w:val="20"/>
        </w:rPr>
        <w:t xml:space="preserve">to </w:t>
      </w:r>
      <w:r>
        <w:rPr>
          <w:rFonts w:ascii="Avenir Next" w:eastAsia="Avenir Next" w:hAnsi="Avenir Next" w:cs="Avenir Next"/>
          <w:spacing w:val="-1"/>
          <w:sz w:val="20"/>
          <w:szCs w:val="20"/>
        </w:rPr>
        <w:t>recover</w:t>
      </w:r>
      <w:r>
        <w:rPr>
          <w:rFonts w:ascii="Avenir Next" w:eastAsia="Avenir Next" w:hAnsi="Avenir Next" w:cs="Avenir Next"/>
          <w:sz w:val="20"/>
          <w:szCs w:val="20"/>
        </w:rPr>
        <w:t xml:space="preserve"> the net </w:t>
      </w:r>
      <w:r>
        <w:rPr>
          <w:rFonts w:ascii="Avenir Next" w:eastAsia="Avenir Next" w:hAnsi="Avenir Next" w:cs="Avenir Next"/>
          <w:spacing w:val="-1"/>
          <w:sz w:val="20"/>
          <w:szCs w:val="20"/>
        </w:rPr>
        <w:t>revenue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requirement</w:t>
      </w:r>
      <w:r>
        <w:rPr>
          <w:rFonts w:ascii="Avenir Next" w:eastAsia="Avenir Next" w:hAnsi="Avenir Next" w:cs="Avenir Next"/>
          <w:sz w:val="20"/>
          <w:szCs w:val="20"/>
        </w:rPr>
        <w:t xml:space="preserve"> for these </w:t>
      </w:r>
      <w:r>
        <w:rPr>
          <w:rFonts w:ascii="Avenir Next" w:eastAsia="Avenir Next" w:hAnsi="Avenir Next" w:cs="Avenir Next"/>
          <w:spacing w:val="-1"/>
          <w:sz w:val="20"/>
          <w:szCs w:val="20"/>
        </w:rPr>
        <w:t>years,</w:t>
      </w:r>
      <w:r>
        <w:rPr>
          <w:rFonts w:ascii="Avenir Next" w:eastAsia="Avenir Next" w:hAnsi="Avenir Next" w:cs="Avenir Next"/>
          <w:spacing w:val="-7"/>
          <w:sz w:val="20"/>
          <w:szCs w:val="20"/>
        </w:rPr>
        <w:t xml:space="preserve"> </w:t>
      </w:r>
      <w:r>
        <w:rPr>
          <w:rFonts w:ascii="Avenir Next" w:eastAsia="Avenir Next" w:hAnsi="Avenir Next" w:cs="Avenir Next"/>
          <w:sz w:val="20"/>
          <w:szCs w:val="20"/>
        </w:rPr>
        <w:t>taking account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the</w:t>
      </w:r>
      <w:r>
        <w:rPr>
          <w:rFonts w:ascii="Avenir Next" w:eastAsia="Avenir Next" w:hAnsi="Avenir Next" w:cs="Avenir Next"/>
          <w:spacing w:val="35"/>
          <w:sz w:val="20"/>
          <w:szCs w:val="20"/>
        </w:rPr>
        <w:t xml:space="preserve"> </w:t>
      </w:r>
      <w:r>
        <w:rPr>
          <w:rFonts w:ascii="Avenir Next" w:eastAsia="Avenir Next" w:hAnsi="Avenir Next" w:cs="Avenir Next"/>
          <w:sz w:val="20"/>
          <w:szCs w:val="20"/>
        </w:rPr>
        <w:t xml:space="preserve">‘true up’ adjustment and </w:t>
      </w:r>
      <w:r>
        <w:rPr>
          <w:rFonts w:ascii="Avenir Next" w:eastAsia="Avenir Next" w:hAnsi="Avenir Next" w:cs="Avenir Next"/>
          <w:spacing w:val="-1"/>
          <w:sz w:val="20"/>
          <w:szCs w:val="20"/>
        </w:rPr>
        <w:t>forecast</w:t>
      </w:r>
      <w:r>
        <w:rPr>
          <w:rFonts w:ascii="Avenir Next" w:eastAsia="Avenir Next" w:hAnsi="Avenir Next" w:cs="Avenir Next"/>
          <w:sz w:val="20"/>
          <w:szCs w:val="20"/>
        </w:rPr>
        <w:t xml:space="preserve"> demand for </w:t>
      </w:r>
      <w:r>
        <w:rPr>
          <w:rFonts w:ascii="Avenir Next" w:eastAsia="Avenir Next" w:hAnsi="Avenir Next" w:cs="Avenir Next"/>
          <w:spacing w:val="-1"/>
          <w:sz w:val="20"/>
          <w:szCs w:val="20"/>
        </w:rPr>
        <w:t>water</w:t>
      </w:r>
      <w:r>
        <w:rPr>
          <w:rFonts w:ascii="Avenir Next" w:eastAsia="Avenir Next" w:hAnsi="Avenir Next" w:cs="Avenir Next"/>
          <w:sz w:val="20"/>
          <w:szCs w:val="20"/>
        </w:rPr>
        <w:t xml:space="preserve"> and </w:t>
      </w:r>
      <w:r>
        <w:rPr>
          <w:rFonts w:ascii="Avenir Next" w:eastAsia="Avenir Next" w:hAnsi="Avenir Next" w:cs="Avenir Next"/>
          <w:spacing w:val="-1"/>
          <w:sz w:val="20"/>
          <w:szCs w:val="20"/>
        </w:rPr>
        <w:t>sewerage</w:t>
      </w:r>
      <w:r>
        <w:rPr>
          <w:rFonts w:ascii="Avenir Next" w:eastAsia="Avenir Next" w:hAnsi="Avenir Next" w:cs="Avenir Next"/>
          <w:sz w:val="20"/>
          <w:szCs w:val="20"/>
        </w:rPr>
        <w:t xml:space="preserve"> services in these </w:t>
      </w:r>
      <w:r>
        <w:rPr>
          <w:rFonts w:ascii="Avenir Next" w:eastAsia="Avenir Next" w:hAnsi="Avenir Next" w:cs="Avenir Next"/>
          <w:spacing w:val="-1"/>
          <w:sz w:val="20"/>
          <w:szCs w:val="20"/>
        </w:rPr>
        <w:t>years.</w:t>
      </w:r>
    </w:p>
    <w:p w:rsidR="00D96B91" w:rsidRDefault="00C2656B">
      <w:pPr>
        <w:numPr>
          <w:ilvl w:val="0"/>
          <w:numId w:val="131"/>
        </w:numPr>
        <w:tabs>
          <w:tab w:val="left" w:pos="1531"/>
        </w:tabs>
        <w:spacing w:before="85" w:line="260" w:lineRule="exact"/>
        <w:ind w:right="1414" w:hanging="283"/>
        <w:rPr>
          <w:rFonts w:ascii="Avenir Next" w:eastAsia="Avenir Next" w:hAnsi="Avenir Next" w:cs="Avenir Next"/>
          <w:sz w:val="20"/>
          <w:szCs w:val="20"/>
        </w:rPr>
      </w:pPr>
      <w:r>
        <w:rPr>
          <w:rFonts w:ascii="Avenir Next" w:eastAsia="Avenir Next" w:hAnsi="Avenir Next" w:cs="Avenir Next"/>
          <w:b/>
          <w:bCs/>
          <w:spacing w:val="-1"/>
          <w:sz w:val="20"/>
          <w:szCs w:val="20"/>
        </w:rPr>
        <w:t>Consider</w:t>
      </w:r>
      <w:r>
        <w:rPr>
          <w:rFonts w:ascii="Avenir Next" w:eastAsia="Avenir Next" w:hAnsi="Avenir Next" w:cs="Avenir Next"/>
          <w:b/>
          <w:bCs/>
          <w:sz w:val="20"/>
          <w:szCs w:val="20"/>
        </w:rPr>
        <w:t xml:space="preserve"> whether the </w:t>
      </w:r>
      <w:r>
        <w:rPr>
          <w:rFonts w:ascii="Avenir Next" w:eastAsia="Avenir Next" w:hAnsi="Avenir Next" w:cs="Avenir Next"/>
          <w:b/>
          <w:bCs/>
          <w:spacing w:val="-1"/>
          <w:sz w:val="20"/>
          <w:szCs w:val="20"/>
        </w:rPr>
        <w:t>resulting</w:t>
      </w:r>
      <w:r>
        <w:rPr>
          <w:rFonts w:ascii="Avenir Next" w:eastAsia="Avenir Next" w:hAnsi="Avenir Next" w:cs="Avenir Next"/>
          <w:b/>
          <w:bCs/>
          <w:sz w:val="20"/>
          <w:szCs w:val="20"/>
        </w:rPr>
        <w:t xml:space="preserve"> prices </w:t>
      </w:r>
      <w:r>
        <w:rPr>
          <w:rFonts w:ascii="Avenir Next" w:eastAsia="Avenir Next" w:hAnsi="Avenir Next" w:cs="Avenir Next"/>
          <w:b/>
          <w:bCs/>
          <w:spacing w:val="-2"/>
          <w:sz w:val="20"/>
          <w:szCs w:val="20"/>
        </w:rPr>
        <w:t>are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appropriate,</w:t>
      </w:r>
      <w:r>
        <w:rPr>
          <w:rFonts w:ascii="Avenir Next" w:eastAsia="Avenir Next" w:hAnsi="Avenir Next" w:cs="Avenir Next"/>
          <w:b/>
          <w:bCs/>
          <w:sz w:val="20"/>
          <w:szCs w:val="20"/>
        </w:rPr>
        <w:t xml:space="preserve"> </w:t>
      </w:r>
      <w:r>
        <w:rPr>
          <w:rFonts w:ascii="Avenir Next" w:eastAsia="Avenir Next" w:hAnsi="Avenir Next" w:cs="Avenir Next"/>
          <w:sz w:val="20"/>
          <w:szCs w:val="20"/>
        </w:rPr>
        <w:t xml:space="preserve">having </w:t>
      </w:r>
      <w:r>
        <w:rPr>
          <w:rFonts w:ascii="Avenir Next" w:eastAsia="Avenir Next" w:hAnsi="Avenir Next" w:cs="Avenir Next"/>
          <w:spacing w:val="-2"/>
          <w:sz w:val="20"/>
          <w:szCs w:val="20"/>
        </w:rPr>
        <w:t>regard</w:t>
      </w:r>
      <w:r>
        <w:rPr>
          <w:rFonts w:ascii="Avenir Next" w:eastAsia="Avenir Next" w:hAnsi="Avenir Next" w:cs="Avenir Next"/>
          <w:sz w:val="20"/>
          <w:szCs w:val="20"/>
        </w:rPr>
        <w:t xml:space="preserve"> to the impacts they </w:t>
      </w:r>
      <w:r>
        <w:rPr>
          <w:rFonts w:ascii="Avenir Next" w:eastAsia="Avenir Next" w:hAnsi="Avenir Next" w:cs="Avenir Next"/>
          <w:spacing w:val="-2"/>
          <w:sz w:val="20"/>
          <w:szCs w:val="20"/>
        </w:rPr>
        <w:t>are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likely</w:t>
      </w:r>
      <w:r>
        <w:rPr>
          <w:rFonts w:ascii="Avenir Next" w:eastAsia="Avenir Next" w:hAnsi="Avenir Next" w:cs="Avenir Next"/>
          <w:spacing w:val="53"/>
          <w:sz w:val="20"/>
          <w:szCs w:val="20"/>
        </w:rPr>
        <w:t xml:space="preserve"> </w:t>
      </w:r>
      <w:r>
        <w:rPr>
          <w:rFonts w:ascii="Avenir Next" w:eastAsia="Avenir Next" w:hAnsi="Avenir Next" w:cs="Avenir Next"/>
          <w:sz w:val="20"/>
          <w:szCs w:val="20"/>
        </w:rPr>
        <w:t>to</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have</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on</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customers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(social</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impacts),</w:t>
      </w:r>
      <w:r>
        <w:rPr>
          <w:rFonts w:ascii="Avenir Next" w:eastAsia="Avenir Next" w:hAnsi="Avenir Next" w:cs="Avenir Next"/>
          <w:spacing w:val="-8"/>
          <w:sz w:val="20"/>
          <w:szCs w:val="20"/>
        </w:rPr>
        <w:t xml:space="preserve"> </w:t>
      </w:r>
      <w:r>
        <w:rPr>
          <w:rFonts w:ascii="Avenir Next" w:eastAsia="Avenir Next" w:hAnsi="Avenir Next" w:cs="Avenir Next"/>
          <w:spacing w:val="-1"/>
          <w:sz w:val="20"/>
          <w:szCs w:val="20"/>
        </w:rPr>
        <w:t xml:space="preserve">general </w:t>
      </w:r>
      <w:r>
        <w:rPr>
          <w:rFonts w:ascii="Avenir Next" w:eastAsia="Avenir Next" w:hAnsi="Avenir Next" w:cs="Avenir Next"/>
          <w:sz w:val="20"/>
          <w:szCs w:val="20"/>
        </w:rPr>
        <w:t>price</w:t>
      </w:r>
      <w:r>
        <w:rPr>
          <w:rFonts w:ascii="Avenir Next" w:eastAsia="Avenir Next" w:hAnsi="Avenir Next" w:cs="Avenir Next"/>
          <w:spacing w:val="-1"/>
          <w:sz w:val="20"/>
          <w:szCs w:val="20"/>
        </w:rPr>
        <w:t xml:space="preserve"> inflation </w:t>
      </w:r>
      <w:r>
        <w:rPr>
          <w:rFonts w:ascii="Avenir Next" w:eastAsia="Avenir Next" w:hAnsi="Avenir Next" w:cs="Avenir Next"/>
          <w:sz w:val="20"/>
          <w:szCs w:val="20"/>
        </w:rPr>
        <w:t>and</w:t>
      </w:r>
      <w:r>
        <w:rPr>
          <w:rFonts w:ascii="Avenir Next" w:eastAsia="Avenir Next" w:hAnsi="Avenir Next" w:cs="Avenir Next"/>
          <w:spacing w:val="-5"/>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pacing w:val="-1"/>
          <w:sz w:val="20"/>
          <w:szCs w:val="20"/>
        </w:rPr>
        <w:t xml:space="preserve"> </w:t>
      </w:r>
      <w:r>
        <w:rPr>
          <w:rFonts w:ascii="Avenir Next" w:eastAsia="Avenir Next" w:hAnsi="Avenir Next" w:cs="Avenir Next"/>
          <w:sz w:val="20"/>
          <w:szCs w:val="20"/>
        </w:rPr>
        <w:t>financial</w:t>
      </w:r>
      <w:r>
        <w:rPr>
          <w:rFonts w:ascii="Avenir Next" w:eastAsia="Avenir Next" w:hAnsi="Avenir Next" w:cs="Avenir Next"/>
          <w:spacing w:val="-1"/>
          <w:sz w:val="20"/>
          <w:szCs w:val="20"/>
        </w:rPr>
        <w:t xml:space="preserve"> viability.</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76"/>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these steps and the </w:t>
      </w:r>
      <w:r>
        <w:rPr>
          <w:rFonts w:cs="Avenir Next"/>
          <w:spacing w:val="-1"/>
        </w:rPr>
        <w:t>matters</w:t>
      </w:r>
      <w:r>
        <w:rPr>
          <w:rFonts w:cs="Avenir Next"/>
        </w:rPr>
        <w:t xml:space="preserve"> </w:t>
      </w:r>
      <w:r>
        <w:rPr>
          <w:rFonts w:cs="Avenir Next"/>
          <w:spacing w:val="-1"/>
        </w:rPr>
        <w:t>considered</w:t>
      </w:r>
      <w:r>
        <w:rPr>
          <w:rFonts w:cs="Avenir Next"/>
        </w:rPr>
        <w:t xml:space="preserve"> under them </w:t>
      </w:r>
      <w:r>
        <w:rPr>
          <w:rFonts w:cs="Avenir Next"/>
          <w:spacing w:val="-2"/>
        </w:rPr>
        <w:t>are</w:t>
      </w:r>
      <w:r>
        <w:rPr>
          <w:rFonts w:cs="Avenir Next"/>
        </w:rPr>
        <w:t xml:space="preserve"> consistent with the</w:t>
      </w:r>
      <w:r>
        <w:rPr>
          <w:rFonts w:cs="Avenir Next"/>
          <w:spacing w:val="-4"/>
        </w:rPr>
        <w:t xml:space="preserve"> </w:t>
      </w:r>
      <w:r>
        <w:rPr>
          <w:rFonts w:cs="Avenir Next"/>
        </w:rPr>
        <w:t>Act and</w:t>
      </w:r>
      <w:r>
        <w:rPr>
          <w:rFonts w:cs="Avenir Next"/>
          <w:spacing w:val="35"/>
        </w:rPr>
        <w:t xml:space="preserve"> </w:t>
      </w:r>
      <w:r>
        <w:t>the original</w:t>
      </w:r>
      <w:r>
        <w:rPr>
          <w:spacing w:val="1"/>
        </w:rPr>
        <w:t xml:space="preserve"> </w:t>
      </w:r>
      <w:r>
        <w:t>terms of</w:t>
      </w:r>
      <w:r>
        <w:rPr>
          <w:spacing w:val="5"/>
        </w:rPr>
        <w:t xml:space="preserve"> </w:t>
      </w:r>
      <w:r>
        <w:rPr>
          <w:spacing w:val="-1"/>
        </w:rPr>
        <w:t>reference.</w:t>
      </w:r>
      <w:r>
        <w:rPr>
          <w:spacing w:val="-1"/>
          <w:position w:val="7"/>
          <w:sz w:val="11"/>
          <w:szCs w:val="11"/>
        </w:rPr>
        <w:t>69</w:t>
      </w:r>
      <w:r>
        <w:rPr>
          <w:spacing w:val="18"/>
          <w:position w:val="7"/>
          <w:sz w:val="11"/>
          <w:szCs w:val="11"/>
        </w:rPr>
        <w:t xml:space="preserve"> </w:t>
      </w:r>
      <w:r>
        <w:rPr>
          <w:rFonts w:cs="Avenir Next"/>
          <w:spacing w:val="-1"/>
        </w:rPr>
        <w:t>They</w:t>
      </w:r>
      <w:r>
        <w:rPr>
          <w:rFonts w:cs="Avenir Next"/>
        </w:rPr>
        <w:t xml:space="preserve"> </w:t>
      </w:r>
      <w:r>
        <w:rPr>
          <w:rFonts w:cs="Avenir Next"/>
          <w:spacing w:val="-2"/>
        </w:rPr>
        <w:t>are</w:t>
      </w:r>
      <w:r>
        <w:rPr>
          <w:rFonts w:cs="Avenir Next"/>
          <w:spacing w:val="1"/>
        </w:rPr>
        <w:t xml:space="preserve"> </w:t>
      </w:r>
      <w:r>
        <w:rPr>
          <w:rFonts w:cs="Avenir Next"/>
        </w:rPr>
        <w:t>also consistent</w:t>
      </w:r>
      <w:r>
        <w:rPr>
          <w:rFonts w:cs="Avenir Next"/>
          <w:spacing w:val="1"/>
        </w:rPr>
        <w:t xml:space="preserve"> </w:t>
      </w:r>
      <w:r>
        <w:rPr>
          <w:rFonts w:cs="Avenir Next"/>
        </w:rPr>
        <w:t>with the</w:t>
      </w:r>
      <w:r>
        <w:rPr>
          <w:rFonts w:cs="Avenir Next"/>
          <w:spacing w:val="1"/>
        </w:rPr>
        <w:t xml:space="preserve"> </w:t>
      </w:r>
      <w:r>
        <w:rPr>
          <w:rFonts w:cs="Avenir Next"/>
        </w:rPr>
        <w:t xml:space="preserve">price </w:t>
      </w:r>
      <w:r>
        <w:rPr>
          <w:rFonts w:cs="Avenir Next"/>
          <w:spacing w:val="-1"/>
        </w:rPr>
        <w:t>setting</w:t>
      </w:r>
      <w:r>
        <w:rPr>
          <w:rFonts w:cs="Avenir Next"/>
          <w:spacing w:val="1"/>
        </w:rPr>
        <w:t xml:space="preserve"> </w:t>
      </w:r>
      <w:r>
        <w:rPr>
          <w:rFonts w:cs="Avenir Next"/>
        </w:rPr>
        <w:t>method typically</w:t>
      </w:r>
      <w:r>
        <w:rPr>
          <w:rFonts w:cs="Avenir Next"/>
          <w:spacing w:val="1"/>
        </w:rPr>
        <w:t xml:space="preserve"> </w:t>
      </w:r>
      <w:r>
        <w:rPr>
          <w:rFonts w:cs="Avenir Next"/>
        </w:rPr>
        <w:t>used</w:t>
      </w:r>
      <w:r>
        <w:rPr>
          <w:rFonts w:cs="Avenir Next"/>
          <w:spacing w:val="21"/>
        </w:rPr>
        <w:t xml:space="preserve"> </w:t>
      </w:r>
      <w:r>
        <w:t xml:space="preserve">by other economic </w:t>
      </w:r>
      <w:r>
        <w:rPr>
          <w:spacing w:val="-1"/>
        </w:rPr>
        <w:t>regulators</w:t>
      </w:r>
      <w:r>
        <w:t xml:space="preserve"> and merits </w:t>
      </w:r>
      <w:r>
        <w:rPr>
          <w:spacing w:val="-1"/>
        </w:rPr>
        <w:t>review</w:t>
      </w:r>
      <w:r>
        <w:t xml:space="preserve"> bodies.</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3" w:line="360" w:lineRule="exact"/>
        <w:ind w:left="2041" w:right="1355" w:hanging="794"/>
      </w:pPr>
      <w:r>
        <w:rPr>
          <w:color w:val="0778BE"/>
        </w:rPr>
        <w:t>7.</w:t>
      </w:r>
      <w:r>
        <w:rPr>
          <w:color w:val="0778BE"/>
          <w:spacing w:val="-9"/>
        </w:rPr>
        <w:t xml:space="preserve"> </w:t>
      </w:r>
      <w:r>
        <w:rPr>
          <w:color w:val="0778BE"/>
        </w:rPr>
        <w:t>2</w:t>
      </w:r>
      <w:r>
        <w:rPr>
          <w:color w:val="0778BE"/>
        </w:rPr>
        <w:tab/>
      </w:r>
      <w:r>
        <w:rPr>
          <w:rFonts w:cs="Avenir Next Medium"/>
          <w:color w:val="0778BE"/>
        </w:rPr>
        <w:t>Determine</w:t>
      </w:r>
      <w:r>
        <w:rPr>
          <w:rFonts w:cs="Avenir Next Medium"/>
          <w:color w:val="0778BE"/>
          <w:spacing w:val="-6"/>
        </w:rPr>
        <w:t xml:space="preserve"> </w:t>
      </w:r>
      <w:r>
        <w:rPr>
          <w:rFonts w:cs="Avenir Next Medium"/>
          <w:color w:val="0778BE"/>
          <w:spacing w:val="-3"/>
        </w:rPr>
        <w:t>ACTEW’s</w:t>
      </w:r>
      <w:r>
        <w:rPr>
          <w:rFonts w:cs="Avenir Next Medium"/>
          <w:color w:val="0778BE"/>
        </w:rPr>
        <w:t xml:space="preserve"> net </w:t>
      </w:r>
      <w:r>
        <w:rPr>
          <w:rFonts w:cs="Avenir Next Medium"/>
          <w:color w:val="0778BE"/>
          <w:spacing w:val="-1"/>
        </w:rPr>
        <w:t>revenue</w:t>
      </w:r>
      <w:r>
        <w:rPr>
          <w:rFonts w:cs="Avenir Next Medium"/>
          <w:color w:val="0778BE"/>
        </w:rPr>
        <w:t xml:space="preserve"> </w:t>
      </w:r>
      <w:r>
        <w:rPr>
          <w:rFonts w:cs="Avenir Next Medium"/>
          <w:color w:val="0778BE"/>
          <w:spacing w:val="-2"/>
        </w:rPr>
        <w:t>requirement</w:t>
      </w:r>
      <w:r>
        <w:rPr>
          <w:rFonts w:cs="Avenir Next Medium"/>
          <w:color w:val="0778BE"/>
        </w:rPr>
        <w:t xml:space="preserve"> for full </w:t>
      </w:r>
      <w:r>
        <w:rPr>
          <w:rFonts w:cs="Avenir Next Medium"/>
          <w:color w:val="0778BE"/>
          <w:spacing w:val="-1"/>
        </w:rPr>
        <w:t>five-year</w:t>
      </w:r>
      <w:r>
        <w:rPr>
          <w:rFonts w:cs="Avenir Next Medium"/>
          <w:color w:val="0778BE"/>
          <w:spacing w:val="43"/>
        </w:rPr>
        <w:t xml:space="preserve"> </w:t>
      </w:r>
      <w:r>
        <w:rPr>
          <w:color w:val="0778BE"/>
        </w:rPr>
        <w:t>period</w:t>
      </w:r>
    </w:p>
    <w:p w:rsidR="00D96B91" w:rsidRDefault="00C2656B">
      <w:pPr>
        <w:pStyle w:val="BodyText"/>
        <w:spacing w:before="101"/>
      </w:pPr>
      <w:r>
        <w:rPr>
          <w:spacing w:val="-10"/>
        </w:rPr>
        <w:t>To</w:t>
      </w:r>
      <w:r>
        <w:t xml:space="preserve"> determine</w:t>
      </w:r>
      <w:r>
        <w:rPr>
          <w:spacing w:val="-4"/>
        </w:rPr>
        <w:t xml:space="preserve"> </w:t>
      </w:r>
      <w:r>
        <w:rPr>
          <w:spacing w:val="-2"/>
        </w:rPr>
        <w:t>ACTEW’s</w:t>
      </w:r>
      <w:r>
        <w:t xml:space="preserve"> net </w:t>
      </w:r>
      <w:r>
        <w:rPr>
          <w:spacing w:val="-1"/>
        </w:rPr>
        <w:t>revenue</w:t>
      </w:r>
      <w:r>
        <w:t xml:space="preserve"> </w:t>
      </w:r>
      <w:r>
        <w:rPr>
          <w:spacing w:val="-1"/>
        </w:rPr>
        <w:t>requirement</w:t>
      </w:r>
      <w:r>
        <w:t xml:space="preserve"> for the period 1</w:t>
      </w:r>
      <w:r>
        <w:rPr>
          <w:spacing w:val="-3"/>
        </w:rPr>
        <w:t xml:space="preserve"> </w:t>
      </w:r>
      <w:r>
        <w:t>July 2013 – 30</w:t>
      </w:r>
      <w:r>
        <w:rPr>
          <w:spacing w:val="-3"/>
        </w:rPr>
        <w:t xml:space="preserve"> </w:t>
      </w:r>
      <w:r>
        <w:t>June 2018,</w:t>
      </w:r>
      <w:r>
        <w:rPr>
          <w:spacing w:val="-6"/>
        </w:rPr>
        <w:t xml:space="preserve"> </w:t>
      </w:r>
      <w:r>
        <w:t xml:space="preserve">the </w:t>
      </w:r>
      <w:r>
        <w:rPr>
          <w:spacing w:val="-2"/>
        </w:rPr>
        <w:t>Panel:</w:t>
      </w:r>
    </w:p>
    <w:p w:rsidR="00D96B91" w:rsidRDefault="00C2656B">
      <w:pPr>
        <w:pStyle w:val="BodyText"/>
        <w:numPr>
          <w:ilvl w:val="0"/>
          <w:numId w:val="131"/>
        </w:numPr>
        <w:tabs>
          <w:tab w:val="left" w:pos="1531"/>
        </w:tabs>
        <w:spacing w:before="157"/>
        <w:ind w:hanging="283"/>
        <w:rPr>
          <w:rFonts w:cs="Avenir Next"/>
        </w:rPr>
      </w:pPr>
      <w:r>
        <w:t xml:space="preserve">used the building block methodology to </w:t>
      </w:r>
      <w:r>
        <w:rPr>
          <w:spacing w:val="-1"/>
        </w:rPr>
        <w:t>calculate</w:t>
      </w:r>
      <w:r>
        <w:t xml:space="preserve"> the total </w:t>
      </w:r>
      <w:r>
        <w:rPr>
          <w:spacing w:val="-1"/>
        </w:rPr>
        <w:t>revenue</w:t>
      </w:r>
      <w:r>
        <w:t xml:space="preserve"> </w:t>
      </w:r>
      <w:r>
        <w:rPr>
          <w:spacing w:val="-1"/>
        </w:rPr>
        <w:t>requirement</w:t>
      </w:r>
      <w:r>
        <w:t xml:space="preserve"> for this period</w:t>
      </w:r>
    </w:p>
    <w:p w:rsidR="00D96B91" w:rsidRDefault="00C2656B">
      <w:pPr>
        <w:pStyle w:val="BodyText"/>
        <w:numPr>
          <w:ilvl w:val="0"/>
          <w:numId w:val="131"/>
        </w:numPr>
        <w:tabs>
          <w:tab w:val="left" w:pos="1531"/>
        </w:tabs>
        <w:spacing w:before="64" w:line="260" w:lineRule="exact"/>
        <w:ind w:right="1368" w:hanging="283"/>
        <w:rPr>
          <w:rFonts w:cs="Avenir Next"/>
        </w:rPr>
      </w:pPr>
      <w:r>
        <w:rPr>
          <w:spacing w:val="-1"/>
        </w:rPr>
        <w:t>considered</w:t>
      </w:r>
      <w:r>
        <w:t xml:space="preserve"> whether the </w:t>
      </w:r>
      <w:r>
        <w:rPr>
          <w:spacing w:val="-1"/>
        </w:rPr>
        <w:t>recovery</w:t>
      </w:r>
      <w:r>
        <w:t xml:space="preserve"> of</w:t>
      </w:r>
      <w:r>
        <w:rPr>
          <w:spacing w:val="4"/>
        </w:rPr>
        <w:t xml:space="preserve"> </w:t>
      </w:r>
      <w:r>
        <w:t xml:space="preserve">the capital costs </w:t>
      </w:r>
      <w:r>
        <w:rPr>
          <w:spacing w:val="-1"/>
        </w:rPr>
        <w:t>associated</w:t>
      </w:r>
      <w:r>
        <w:t xml:space="preserve"> with the </w:t>
      </w:r>
      <w:r>
        <w:rPr>
          <w:spacing w:val="-1"/>
        </w:rPr>
        <w:t>water</w:t>
      </w:r>
      <w:r>
        <w:t xml:space="preserve"> security </w:t>
      </w:r>
      <w:r>
        <w:rPr>
          <w:spacing w:val="-1"/>
        </w:rPr>
        <w:t>projects</w:t>
      </w:r>
      <w:r>
        <w:t xml:space="preserve"> can</w:t>
      </w:r>
      <w:r>
        <w:rPr>
          <w:spacing w:val="47"/>
        </w:rPr>
        <w:t xml:space="preserve"> </w:t>
      </w:r>
      <w:r>
        <w:t>be</w:t>
      </w:r>
      <w:r>
        <w:rPr>
          <w:spacing w:val="-1"/>
        </w:rPr>
        <w:t xml:space="preserve"> </w:t>
      </w:r>
      <w:r>
        <w:t>aligned with</w:t>
      </w:r>
      <w:r>
        <w:rPr>
          <w:spacing w:val="-1"/>
        </w:rPr>
        <w:t xml:space="preserve"> </w:t>
      </w:r>
      <w:r>
        <w:t>the benefits</w:t>
      </w:r>
      <w:r>
        <w:rPr>
          <w:spacing w:val="-1"/>
        </w:rPr>
        <w:t xml:space="preserve"> that</w:t>
      </w:r>
      <w:r>
        <w:t xml:space="preserve"> </w:t>
      </w:r>
      <w:r>
        <w:rPr>
          <w:spacing w:val="-1"/>
        </w:rPr>
        <w:t xml:space="preserve">current </w:t>
      </w:r>
      <w:r>
        <w:t xml:space="preserve">and </w:t>
      </w:r>
      <w:r>
        <w:rPr>
          <w:spacing w:val="-1"/>
        </w:rPr>
        <w:t xml:space="preserve">future </w:t>
      </w:r>
      <w:r>
        <w:t xml:space="preserve">consumers </w:t>
      </w:r>
      <w:r>
        <w:rPr>
          <w:spacing w:val="-2"/>
        </w:rPr>
        <w:t>are</w:t>
      </w:r>
      <w:r>
        <w:rPr>
          <w:spacing w:val="-1"/>
        </w:rPr>
        <w:t xml:space="preserve"> expected</w:t>
      </w:r>
      <w:r>
        <w:t xml:space="preserve"> to</w:t>
      </w:r>
      <w:r>
        <w:rPr>
          <w:spacing w:val="-1"/>
        </w:rPr>
        <w:t xml:space="preserve"> </w:t>
      </w:r>
      <w:r>
        <w:t xml:space="preserve">derive </w:t>
      </w:r>
      <w:r>
        <w:rPr>
          <w:spacing w:val="-1"/>
        </w:rPr>
        <w:t xml:space="preserve">from </w:t>
      </w:r>
      <w:r>
        <w:t>these</w:t>
      </w:r>
      <w:r>
        <w:rPr>
          <w:spacing w:val="29"/>
        </w:rPr>
        <w:t xml:space="preserve"> </w:t>
      </w:r>
      <w:r>
        <w:rPr>
          <w:spacing w:val="-1"/>
        </w:rPr>
        <w:t>projects</w:t>
      </w:r>
      <w:r>
        <w:t xml:space="preserve"> over the economic life of</w:t>
      </w:r>
      <w:r>
        <w:rPr>
          <w:spacing w:val="4"/>
        </w:rPr>
        <w:t xml:space="preserve"> </w:t>
      </w:r>
      <w:r>
        <w:t>the assets,</w:t>
      </w:r>
      <w:r>
        <w:rPr>
          <w:spacing w:val="-6"/>
        </w:rPr>
        <w:t xml:space="preserve"> </w:t>
      </w:r>
      <w:r>
        <w:t>and</w:t>
      </w:r>
    </w:p>
    <w:p w:rsidR="00D96B91" w:rsidRDefault="00C2656B">
      <w:pPr>
        <w:pStyle w:val="BodyText"/>
        <w:numPr>
          <w:ilvl w:val="0"/>
          <w:numId w:val="131"/>
        </w:numPr>
        <w:tabs>
          <w:tab w:val="left" w:pos="1531"/>
        </w:tabs>
        <w:spacing w:before="85" w:line="260" w:lineRule="exact"/>
        <w:ind w:right="1843" w:hanging="283"/>
      </w:pPr>
      <w:r>
        <w:rPr>
          <w:spacing w:val="-1"/>
        </w:rPr>
        <w:t>calculated</w:t>
      </w:r>
      <w:r>
        <w:t xml:space="preserve"> the net </w:t>
      </w:r>
      <w:r>
        <w:rPr>
          <w:spacing w:val="-1"/>
        </w:rPr>
        <w:t>revenue</w:t>
      </w:r>
      <w:r>
        <w:t xml:space="preserve"> </w:t>
      </w:r>
      <w:r>
        <w:rPr>
          <w:spacing w:val="-1"/>
        </w:rPr>
        <w:t>requirement</w:t>
      </w:r>
      <w:r>
        <w:t xml:space="preserve"> to be </w:t>
      </w:r>
      <w:r>
        <w:rPr>
          <w:spacing w:val="-1"/>
        </w:rPr>
        <w:t>recovered</w:t>
      </w:r>
      <w:r>
        <w:t xml:space="preserve"> </w:t>
      </w:r>
      <w:r>
        <w:rPr>
          <w:spacing w:val="-1"/>
        </w:rPr>
        <w:t>through</w:t>
      </w:r>
      <w:r>
        <w:t xml:space="preserve"> </w:t>
      </w:r>
      <w:r>
        <w:rPr>
          <w:spacing w:val="-1"/>
        </w:rPr>
        <w:t>water</w:t>
      </w:r>
      <w:r>
        <w:t xml:space="preserve"> and </w:t>
      </w:r>
      <w:r>
        <w:rPr>
          <w:spacing w:val="-1"/>
        </w:rPr>
        <w:t>sewerage</w:t>
      </w:r>
      <w:r>
        <w:t xml:space="preserve"> </w:t>
      </w:r>
      <w:r>
        <w:rPr>
          <w:spacing w:val="-1"/>
        </w:rPr>
        <w:t>charges</w:t>
      </w:r>
      <w:r>
        <w:rPr>
          <w:spacing w:val="57"/>
        </w:rPr>
        <w:t xml:space="preserve"> </w:t>
      </w:r>
      <w:r>
        <w:t xml:space="preserve">by deducting income </w:t>
      </w:r>
      <w:r>
        <w:rPr>
          <w:spacing w:val="-1"/>
        </w:rPr>
        <w:t>that</w:t>
      </w:r>
      <w:r>
        <w:rPr>
          <w:spacing w:val="-4"/>
        </w:rPr>
        <w:t xml:space="preserve"> </w:t>
      </w:r>
      <w:r>
        <w:rPr>
          <w:spacing w:val="-2"/>
        </w:rPr>
        <w:t>ACTEW</w:t>
      </w:r>
      <w:r>
        <w:rPr>
          <w:spacing w:val="-3"/>
        </w:rPr>
        <w:t xml:space="preserve"> </w:t>
      </w:r>
      <w:r>
        <w:t xml:space="preserve">is </w:t>
      </w:r>
      <w:r>
        <w:rPr>
          <w:spacing w:val="-1"/>
        </w:rPr>
        <w:t>expected</w:t>
      </w:r>
      <w:r>
        <w:t xml:space="preserve"> to derive </w:t>
      </w:r>
      <w:r>
        <w:rPr>
          <w:spacing w:val="-1"/>
        </w:rPr>
        <w:t>from</w:t>
      </w:r>
      <w:r>
        <w:t xml:space="preserve"> other </w:t>
      </w:r>
      <w:r>
        <w:rPr>
          <w:spacing w:val="-1"/>
        </w:rPr>
        <w:t>unregulated</w:t>
      </w:r>
      <w:r>
        <w:t xml:space="preserve"> </w:t>
      </w:r>
      <w:r>
        <w:rPr>
          <w:spacing w:val="-1"/>
        </w:rPr>
        <w:t>sources</w:t>
      </w:r>
      <w:r>
        <w:t xml:space="preserve"> and</w:t>
      </w:r>
      <w:r>
        <w:rPr>
          <w:spacing w:val="39"/>
        </w:rPr>
        <w:t xml:space="preserve"> </w:t>
      </w:r>
      <w:r>
        <w:rPr>
          <w:spacing w:val="-1"/>
        </w:rPr>
        <w:t>Community</w:t>
      </w:r>
      <w:r>
        <w:t xml:space="preserve"> Service </w:t>
      </w:r>
      <w:r>
        <w:rPr>
          <w:spacing w:val="-1"/>
        </w:rPr>
        <w:t>Obligation</w:t>
      </w:r>
      <w:r>
        <w:t xml:space="preserve"> (CSO) </w:t>
      </w:r>
      <w:r>
        <w:rPr>
          <w:spacing w:val="-1"/>
        </w:rPr>
        <w:t>related</w:t>
      </w:r>
      <w:r>
        <w:t xml:space="preserve"> </w:t>
      </w:r>
      <w:r>
        <w:rPr>
          <w:spacing w:val="-1"/>
        </w:rPr>
        <w:t>expenditure.</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2"/>
        <w:rPr>
          <w:rFonts w:ascii="Avenir Next" w:eastAsia="Avenir Next" w:hAnsi="Avenir Next" w:cs="Avenir Next"/>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26" style="width:72.5pt;height:.5pt;mso-position-horizontal-relative:char;mso-position-vertical-relative:line" coordsize="1450,10">
            <v:group id="_x0000_s3227" style="position:absolute;left:5;top:5;width:1440;height:2" coordorigin="5,5" coordsize="1440,2">
              <v:shape id="_x0000_s3228" style="position:absolute;left:5;top:5;width:1440;height:2" coordorigin="5,5" coordsize="1440,0" path="m5,5r1440,e" filled="f" strokeweight=".5pt">
                <v:path arrowok="t"/>
              </v:shape>
            </v:group>
            <w10:wrap type="none"/>
            <w10:anchorlock/>
          </v:group>
        </w:pict>
      </w:r>
    </w:p>
    <w:p w:rsidR="00D96B91" w:rsidRDefault="00C2656B">
      <w:pPr>
        <w:numPr>
          <w:ilvl w:val="0"/>
          <w:numId w:val="90"/>
        </w:numPr>
        <w:tabs>
          <w:tab w:val="left" w:pos="1758"/>
        </w:tabs>
        <w:spacing w:before="45" w:line="192" w:lineRule="exact"/>
        <w:ind w:right="1335" w:hanging="510"/>
        <w:rPr>
          <w:rFonts w:ascii="Avenir Next" w:eastAsia="Avenir Next" w:hAnsi="Avenir Next" w:cs="Avenir Next"/>
          <w:sz w:val="16"/>
          <w:szCs w:val="16"/>
        </w:rPr>
      </w:pPr>
      <w:r>
        <w:rPr>
          <w:rFonts w:ascii="Avenir Next"/>
          <w:spacing w:val="-2"/>
          <w:sz w:val="16"/>
        </w:rPr>
        <w:t>Particularly,</w:t>
      </w:r>
      <w:r>
        <w:rPr>
          <w:rFonts w:ascii="Avenir Next"/>
          <w:spacing w:val="-6"/>
          <w:sz w:val="16"/>
        </w:rPr>
        <w:t xml:space="preserve"> </w:t>
      </w:r>
      <w:r>
        <w:rPr>
          <w:rFonts w:ascii="Avenir Next"/>
          <w:sz w:val="16"/>
        </w:rPr>
        <w:t xml:space="preserve">the </w:t>
      </w:r>
      <w:r>
        <w:rPr>
          <w:rFonts w:ascii="Avenir Next"/>
          <w:spacing w:val="-1"/>
          <w:sz w:val="16"/>
        </w:rPr>
        <w:t>draft</w:t>
      </w:r>
      <w:r>
        <w:rPr>
          <w:rFonts w:ascii="Avenir Next"/>
          <w:sz w:val="16"/>
        </w:rPr>
        <w:t xml:space="preserve"> decision</w:t>
      </w:r>
      <w:r>
        <w:rPr>
          <w:rFonts w:ascii="Avenir Next"/>
          <w:spacing w:val="-1"/>
          <w:sz w:val="16"/>
        </w:rPr>
        <w:t xml:space="preserve"> </w:t>
      </w:r>
      <w:r>
        <w:rPr>
          <w:rFonts w:ascii="Avenir Next"/>
          <w:sz w:val="16"/>
        </w:rPr>
        <w:t xml:space="preserve">to adopt a </w:t>
      </w:r>
      <w:r>
        <w:rPr>
          <w:rFonts w:ascii="Avenir Next"/>
          <w:spacing w:val="-1"/>
          <w:sz w:val="16"/>
        </w:rPr>
        <w:t>five-year regulatory</w:t>
      </w:r>
      <w:r>
        <w:rPr>
          <w:rFonts w:ascii="Avenir Next"/>
          <w:sz w:val="16"/>
        </w:rPr>
        <w:t xml:space="preserve"> period without</w:t>
      </w:r>
      <w:r>
        <w:rPr>
          <w:rFonts w:ascii="Avenir Next"/>
          <w:spacing w:val="-1"/>
          <w:sz w:val="16"/>
        </w:rPr>
        <w:t xml:space="preserve"> </w:t>
      </w:r>
      <w:r>
        <w:rPr>
          <w:rFonts w:ascii="Avenir Next"/>
          <w:sz w:val="16"/>
        </w:rPr>
        <w:t xml:space="preserve">biennial </w:t>
      </w:r>
      <w:r>
        <w:rPr>
          <w:rFonts w:ascii="Avenir Next"/>
          <w:spacing w:val="-1"/>
          <w:sz w:val="16"/>
        </w:rPr>
        <w:t>recalibrations</w:t>
      </w:r>
      <w:r>
        <w:rPr>
          <w:rFonts w:ascii="Avenir Next"/>
          <w:sz w:val="16"/>
        </w:rPr>
        <w:t xml:space="preserve"> and a</w:t>
      </w:r>
      <w:r>
        <w:rPr>
          <w:rFonts w:ascii="Avenir Next"/>
          <w:spacing w:val="-1"/>
          <w:sz w:val="16"/>
        </w:rPr>
        <w:t xml:space="preserve"> </w:t>
      </w:r>
      <w:r>
        <w:rPr>
          <w:rFonts w:ascii="Avenir Next"/>
          <w:sz w:val="16"/>
        </w:rPr>
        <w:t>hybrid price and</w:t>
      </w:r>
      <w:r>
        <w:rPr>
          <w:rFonts w:ascii="Avenir Next"/>
          <w:spacing w:val="59"/>
          <w:sz w:val="16"/>
        </w:rPr>
        <w:t xml:space="preserve"> </w:t>
      </w:r>
      <w:r>
        <w:rPr>
          <w:rFonts w:ascii="Avenir Next"/>
          <w:spacing w:val="-1"/>
          <w:sz w:val="16"/>
        </w:rPr>
        <w:t>revenue</w:t>
      </w:r>
      <w:r>
        <w:rPr>
          <w:rFonts w:ascii="Avenir Next"/>
          <w:sz w:val="16"/>
        </w:rPr>
        <w:t xml:space="preserve"> cap form of</w:t>
      </w:r>
      <w:r>
        <w:rPr>
          <w:rFonts w:ascii="Avenir Next"/>
          <w:spacing w:val="3"/>
          <w:sz w:val="16"/>
        </w:rPr>
        <w:t xml:space="preserve"> </w:t>
      </w:r>
      <w:r>
        <w:rPr>
          <w:rFonts w:ascii="Avenir Next"/>
          <w:sz w:val="16"/>
        </w:rPr>
        <w:t xml:space="preserve">price </w:t>
      </w:r>
      <w:r>
        <w:rPr>
          <w:rFonts w:ascii="Avenir Next"/>
          <w:spacing w:val="-1"/>
          <w:sz w:val="16"/>
        </w:rPr>
        <w:t>control.</w:t>
      </w:r>
    </w:p>
    <w:p w:rsidR="00D96B91" w:rsidRDefault="00D96B91">
      <w:pPr>
        <w:spacing w:before="12"/>
        <w:rPr>
          <w:rFonts w:ascii="Avenir Next" w:eastAsia="Avenir Next" w:hAnsi="Avenir Next" w:cs="Avenir Next"/>
          <w:sz w:val="10"/>
          <w:szCs w:val="10"/>
        </w:rPr>
      </w:pPr>
    </w:p>
    <w:p w:rsidR="00D96B91" w:rsidRDefault="00C2656B">
      <w:pPr>
        <w:numPr>
          <w:ilvl w:val="0"/>
          <w:numId w:val="90"/>
        </w:numPr>
        <w:tabs>
          <w:tab w:val="left" w:pos="1758"/>
        </w:tabs>
        <w:spacing w:line="192" w:lineRule="exact"/>
        <w:ind w:right="1570" w:hanging="510"/>
        <w:rPr>
          <w:rFonts w:ascii="Avenir Next" w:eastAsia="Avenir Next" w:hAnsi="Avenir Next" w:cs="Avenir Next"/>
          <w:sz w:val="16"/>
          <w:szCs w:val="16"/>
        </w:rPr>
      </w:pPr>
      <w:r>
        <w:rPr>
          <w:rFonts w:ascii="Avenir Next" w:eastAsia="Avenir Next" w:hAnsi="Avenir Next" w:cs="Avenir Next"/>
          <w:sz w:val="16"/>
          <w:szCs w:val="16"/>
        </w:rPr>
        <w:t xml:space="preserve">In the </w:t>
      </w:r>
      <w:r>
        <w:rPr>
          <w:rFonts w:ascii="Avenir Next" w:eastAsia="Avenir Next" w:hAnsi="Avenir Next" w:cs="Avenir Next"/>
          <w:spacing w:val="-3"/>
          <w:sz w:val="16"/>
          <w:szCs w:val="16"/>
        </w:rPr>
        <w:t>Panel’s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view,</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these four steps and the </w:t>
      </w:r>
      <w:r>
        <w:rPr>
          <w:rFonts w:ascii="Avenir Next" w:eastAsia="Avenir Next" w:hAnsi="Avenir Next" w:cs="Avenir Next"/>
          <w:spacing w:val="-1"/>
          <w:sz w:val="16"/>
          <w:szCs w:val="16"/>
        </w:rPr>
        <w:t>matters</w:t>
      </w:r>
      <w:r>
        <w:rPr>
          <w:rFonts w:ascii="Avenir Next" w:eastAsia="Avenir Next" w:hAnsi="Avenir Next" w:cs="Avenir Next"/>
          <w:sz w:val="16"/>
          <w:szCs w:val="16"/>
        </w:rPr>
        <w:t xml:space="preserve"> it intends to consider under them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consistent with the following</w:t>
      </w:r>
      <w:r>
        <w:rPr>
          <w:rFonts w:ascii="Avenir Next" w:eastAsia="Avenir Next" w:hAnsi="Avenir Next" w:cs="Avenir Next"/>
          <w:spacing w:val="21"/>
          <w:sz w:val="16"/>
          <w:szCs w:val="16"/>
        </w:rPr>
        <w:t xml:space="preserve"> </w:t>
      </w:r>
      <w:r>
        <w:rPr>
          <w:rFonts w:ascii="Avenir Next" w:eastAsia="Avenir Next" w:hAnsi="Avenir Next" w:cs="Avenir Next"/>
          <w:sz w:val="16"/>
          <w:szCs w:val="16"/>
        </w:rPr>
        <w:t>sections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Act and the original terms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reference:</w:t>
      </w:r>
    </w:p>
    <w:p w:rsidR="00D96B91" w:rsidRDefault="00C2656B">
      <w:pPr>
        <w:numPr>
          <w:ilvl w:val="1"/>
          <w:numId w:val="90"/>
        </w:numPr>
        <w:tabs>
          <w:tab w:val="left" w:pos="2098"/>
        </w:tabs>
        <w:spacing w:before="50"/>
        <w:ind w:hanging="283"/>
        <w:rPr>
          <w:rFonts w:ascii="Avenir Next" w:eastAsia="Avenir Next" w:hAnsi="Avenir Next" w:cs="Avenir Next"/>
          <w:sz w:val="16"/>
          <w:szCs w:val="16"/>
        </w:rPr>
      </w:pPr>
      <w:r>
        <w:rPr>
          <w:rFonts w:ascii="Avenir Next"/>
          <w:spacing w:val="-1"/>
          <w:sz w:val="16"/>
        </w:rPr>
        <w:t xml:space="preserve">The </w:t>
      </w:r>
      <w:r>
        <w:rPr>
          <w:rFonts w:ascii="Avenir Next"/>
          <w:sz w:val="16"/>
        </w:rPr>
        <w:t>first step is consistent with sections 20(2)(a)-(e),</w:t>
      </w:r>
      <w:r>
        <w:rPr>
          <w:rFonts w:ascii="Avenir Next"/>
          <w:spacing w:val="-5"/>
          <w:sz w:val="16"/>
        </w:rPr>
        <w:t xml:space="preserve"> </w:t>
      </w:r>
      <w:r>
        <w:rPr>
          <w:rFonts w:ascii="Avenir Next"/>
          <w:sz w:val="16"/>
        </w:rPr>
        <w:t>(h)</w:t>
      </w:r>
      <w:r>
        <w:rPr>
          <w:rFonts w:ascii="Avenir Next"/>
          <w:spacing w:val="-1"/>
          <w:sz w:val="16"/>
        </w:rPr>
        <w:t xml:space="preserve"> </w:t>
      </w:r>
      <w:r>
        <w:rPr>
          <w:rFonts w:ascii="Avenir Next"/>
          <w:sz w:val="16"/>
        </w:rPr>
        <w:t>and (k)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Act and clause 1(d)</w:t>
      </w:r>
      <w:r>
        <w:rPr>
          <w:rFonts w:ascii="Avenir Next"/>
          <w:spacing w:val="-1"/>
          <w:sz w:val="16"/>
        </w:rPr>
        <w:t xml:space="preserve"> </w:t>
      </w:r>
      <w:r>
        <w:rPr>
          <w:rFonts w:ascii="Avenir Next"/>
          <w:sz w:val="16"/>
        </w:rPr>
        <w:t>of</w:t>
      </w:r>
      <w:r>
        <w:rPr>
          <w:rFonts w:ascii="Avenir Next"/>
          <w:spacing w:val="3"/>
          <w:sz w:val="16"/>
        </w:rPr>
        <w:t xml:space="preserve"> </w:t>
      </w:r>
      <w:r>
        <w:rPr>
          <w:rFonts w:ascii="Avenir Next"/>
          <w:sz w:val="16"/>
        </w:rPr>
        <w:t>the terms of</w:t>
      </w:r>
      <w:r>
        <w:rPr>
          <w:rFonts w:ascii="Avenir Next"/>
          <w:spacing w:val="3"/>
          <w:sz w:val="16"/>
        </w:rPr>
        <w:t xml:space="preserve"> </w:t>
      </w:r>
      <w:r>
        <w:rPr>
          <w:rFonts w:ascii="Avenir Next"/>
          <w:spacing w:val="-1"/>
          <w:sz w:val="16"/>
        </w:rPr>
        <w:t>reference.</w:t>
      </w:r>
    </w:p>
    <w:p w:rsidR="00D96B91" w:rsidRDefault="00C2656B">
      <w:pPr>
        <w:numPr>
          <w:ilvl w:val="1"/>
          <w:numId w:val="90"/>
        </w:numPr>
        <w:tabs>
          <w:tab w:val="left" w:pos="2098"/>
        </w:tabs>
        <w:spacing w:before="30"/>
        <w:ind w:hanging="283"/>
        <w:rPr>
          <w:rFonts w:ascii="Avenir Next" w:eastAsia="Avenir Next" w:hAnsi="Avenir Next" w:cs="Avenir Next"/>
          <w:sz w:val="16"/>
          <w:szCs w:val="16"/>
        </w:rPr>
      </w:pPr>
      <w:r>
        <w:rPr>
          <w:rFonts w:ascii="Avenir Next"/>
          <w:spacing w:val="-1"/>
          <w:sz w:val="16"/>
        </w:rPr>
        <w:t>The</w:t>
      </w:r>
      <w:r>
        <w:rPr>
          <w:rFonts w:ascii="Avenir Next"/>
          <w:sz w:val="16"/>
        </w:rPr>
        <w:t xml:space="preserve"> </w:t>
      </w:r>
      <w:r>
        <w:rPr>
          <w:rFonts w:ascii="Avenir Next"/>
          <w:spacing w:val="-1"/>
          <w:sz w:val="16"/>
        </w:rPr>
        <w:t>third</w:t>
      </w:r>
      <w:r>
        <w:rPr>
          <w:rFonts w:ascii="Avenir Next"/>
          <w:sz w:val="16"/>
        </w:rPr>
        <w:t xml:space="preserve"> step is consistent with section 20(2)(h)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Act and clause 1(e) of</w:t>
      </w:r>
      <w:r>
        <w:rPr>
          <w:rFonts w:ascii="Avenir Next"/>
          <w:spacing w:val="3"/>
          <w:sz w:val="16"/>
        </w:rPr>
        <w:t xml:space="preserve"> </w:t>
      </w:r>
      <w:r>
        <w:rPr>
          <w:rFonts w:ascii="Avenir Next"/>
          <w:sz w:val="16"/>
        </w:rPr>
        <w:t>the terms of</w:t>
      </w:r>
      <w:r>
        <w:rPr>
          <w:rFonts w:ascii="Avenir Next"/>
          <w:spacing w:val="3"/>
          <w:sz w:val="16"/>
        </w:rPr>
        <w:t xml:space="preserve"> </w:t>
      </w:r>
      <w:r>
        <w:rPr>
          <w:rFonts w:ascii="Avenir Next"/>
          <w:spacing w:val="-1"/>
          <w:sz w:val="16"/>
        </w:rPr>
        <w:t>reference.</w:t>
      </w:r>
    </w:p>
    <w:p w:rsidR="00D96B91" w:rsidRDefault="00C2656B">
      <w:pPr>
        <w:numPr>
          <w:ilvl w:val="1"/>
          <w:numId w:val="90"/>
        </w:numPr>
        <w:tabs>
          <w:tab w:val="left" w:pos="2098"/>
        </w:tabs>
        <w:spacing w:before="30"/>
        <w:ind w:hanging="283"/>
        <w:rPr>
          <w:rFonts w:ascii="Avenir Next" w:eastAsia="Avenir Next" w:hAnsi="Avenir Next" w:cs="Avenir Next"/>
          <w:sz w:val="16"/>
          <w:szCs w:val="16"/>
        </w:rPr>
      </w:pPr>
      <w:r>
        <w:rPr>
          <w:rFonts w:ascii="Avenir Next"/>
          <w:spacing w:val="-1"/>
          <w:sz w:val="16"/>
        </w:rPr>
        <w:t xml:space="preserve">The </w:t>
      </w:r>
      <w:r>
        <w:rPr>
          <w:rFonts w:ascii="Avenir Next"/>
          <w:sz w:val="16"/>
        </w:rPr>
        <w:t>final step is consistent</w:t>
      </w:r>
      <w:r>
        <w:rPr>
          <w:rFonts w:ascii="Avenir Next"/>
          <w:spacing w:val="-1"/>
          <w:sz w:val="16"/>
        </w:rPr>
        <w:t xml:space="preserve"> </w:t>
      </w:r>
      <w:r>
        <w:rPr>
          <w:rFonts w:ascii="Avenir Next"/>
          <w:sz w:val="16"/>
        </w:rPr>
        <w:t>with sections 20(2)(g),(j)</w:t>
      </w:r>
      <w:r>
        <w:rPr>
          <w:rFonts w:ascii="Avenir Next"/>
          <w:spacing w:val="-1"/>
          <w:sz w:val="16"/>
        </w:rPr>
        <w:t xml:space="preserve"> </w:t>
      </w:r>
      <w:r>
        <w:rPr>
          <w:rFonts w:ascii="Avenir Next"/>
          <w:sz w:val="16"/>
        </w:rPr>
        <w:t>and (i) of</w:t>
      </w:r>
      <w:r>
        <w:rPr>
          <w:rFonts w:ascii="Avenir Next"/>
          <w:spacing w:val="3"/>
          <w:sz w:val="16"/>
        </w:rPr>
        <w:t xml:space="preserve"> </w:t>
      </w:r>
      <w:r>
        <w:rPr>
          <w:rFonts w:ascii="Avenir Next"/>
          <w:sz w:val="16"/>
        </w:rPr>
        <w:t>the</w:t>
      </w:r>
      <w:r>
        <w:rPr>
          <w:rFonts w:ascii="Avenir Next"/>
          <w:spacing w:val="-4"/>
          <w:sz w:val="16"/>
        </w:rPr>
        <w:t xml:space="preserve"> </w:t>
      </w:r>
      <w:r>
        <w:rPr>
          <w:rFonts w:ascii="Avenir Next"/>
          <w:sz w:val="16"/>
        </w:rPr>
        <w:t>Act.</w:t>
      </w:r>
    </w:p>
    <w:p w:rsidR="00D96B91" w:rsidRDefault="00D96B91">
      <w:pPr>
        <w:rPr>
          <w:rFonts w:ascii="Avenir Next" w:eastAsia="Avenir Next" w:hAnsi="Avenir Next" w:cs="Avenir Next"/>
          <w:sz w:val="16"/>
          <w:szCs w:val="16"/>
        </w:rPr>
        <w:sectPr w:rsidR="00D96B91">
          <w:footerReference w:type="even" r:id="rId55"/>
          <w:footerReference w:type="default" r:id="rId56"/>
          <w:pgSz w:w="11910" w:h="16840"/>
          <w:pgMar w:top="1260" w:right="0" w:bottom="1020" w:left="0" w:header="0" w:footer="829" w:gutter="0"/>
          <w:pgNumType w:start="61"/>
          <w:cols w:space="720"/>
        </w:sectPr>
      </w:pPr>
    </w:p>
    <w:p w:rsidR="00D96B91" w:rsidRDefault="00C2656B">
      <w:pPr>
        <w:pStyle w:val="Heading6"/>
        <w:numPr>
          <w:ilvl w:val="2"/>
          <w:numId w:val="89"/>
        </w:numPr>
        <w:tabs>
          <w:tab w:val="left" w:pos="2098"/>
        </w:tabs>
        <w:spacing w:before="19" w:line="288" w:lineRule="exact"/>
        <w:ind w:right="1600" w:hanging="850"/>
        <w:rPr>
          <w:rFonts w:cs="Avenir Next Medium"/>
        </w:rPr>
      </w:pPr>
      <w:r>
        <w:rPr>
          <w:color w:val="0778BE"/>
        </w:rPr>
        <w:t xml:space="preserve">Use building block method to </w:t>
      </w:r>
      <w:r>
        <w:rPr>
          <w:color w:val="0778BE"/>
          <w:spacing w:val="-1"/>
        </w:rPr>
        <w:t>calculate</w:t>
      </w:r>
      <w:r>
        <w:rPr>
          <w:color w:val="0778BE"/>
        </w:rPr>
        <w:t xml:space="preserve"> a total </w:t>
      </w:r>
      <w:r>
        <w:rPr>
          <w:color w:val="0778BE"/>
          <w:spacing w:val="-1"/>
        </w:rPr>
        <w:t>revenue</w:t>
      </w:r>
      <w:r>
        <w:rPr>
          <w:color w:val="0778BE"/>
        </w:rPr>
        <w:t xml:space="preserve"> </w:t>
      </w:r>
      <w:r>
        <w:rPr>
          <w:color w:val="0778BE"/>
          <w:spacing w:val="-1"/>
        </w:rPr>
        <w:t>requirement</w:t>
      </w:r>
      <w:r>
        <w:rPr>
          <w:color w:val="0778BE"/>
        </w:rPr>
        <w:t xml:space="preserve"> for full</w:t>
      </w:r>
      <w:r>
        <w:rPr>
          <w:color w:val="0778BE"/>
          <w:spacing w:val="29"/>
        </w:rPr>
        <w:t xml:space="preserve"> </w:t>
      </w:r>
      <w:r>
        <w:rPr>
          <w:color w:val="0778BE"/>
          <w:spacing w:val="-1"/>
        </w:rPr>
        <w:t>five-year</w:t>
      </w:r>
      <w:r>
        <w:rPr>
          <w:color w:val="0778BE"/>
        </w:rPr>
        <w:t xml:space="preserve"> period</w:t>
      </w:r>
    </w:p>
    <w:p w:rsidR="00D96B91" w:rsidRDefault="00C2656B">
      <w:pPr>
        <w:pStyle w:val="BodyText"/>
        <w:spacing w:before="51" w:line="260" w:lineRule="exact"/>
        <w:ind w:right="1283"/>
      </w:pPr>
      <w:r>
        <w:rPr>
          <w:rFonts w:cs="Avenir Next"/>
          <w:spacing w:val="-2"/>
        </w:rPr>
        <w:t>The</w:t>
      </w:r>
      <w:r>
        <w:rPr>
          <w:rFonts w:cs="Avenir Next"/>
        </w:rPr>
        <w:t xml:space="preserve"> building block methodology is the most widely used and accepted </w:t>
      </w:r>
      <w:r>
        <w:rPr>
          <w:rFonts w:cs="Avenir Next"/>
          <w:spacing w:val="-1"/>
        </w:rPr>
        <w:t>approach</w:t>
      </w:r>
      <w:r>
        <w:rPr>
          <w:rFonts w:cs="Avenir Next"/>
        </w:rPr>
        <w:t xml:space="preserve"> in</w:t>
      </w:r>
      <w:r>
        <w:rPr>
          <w:rFonts w:cs="Avenir Next"/>
          <w:spacing w:val="-4"/>
        </w:rPr>
        <w:t xml:space="preserve"> </w:t>
      </w:r>
      <w:r>
        <w:rPr>
          <w:rFonts w:cs="Avenir Next"/>
          <w:spacing w:val="-1"/>
        </w:rPr>
        <w:t>Australia</w:t>
      </w:r>
      <w:r>
        <w:rPr>
          <w:rFonts w:cs="Avenir Next"/>
        </w:rPr>
        <w:t xml:space="preserve"> for</w:t>
      </w:r>
      <w:r>
        <w:rPr>
          <w:rFonts w:cs="Avenir Next"/>
          <w:spacing w:val="25"/>
        </w:rPr>
        <w:t xml:space="preserve"> </w:t>
      </w:r>
      <w:r>
        <w:t xml:space="preserve">determining a </w:t>
      </w:r>
      <w:r>
        <w:rPr>
          <w:spacing w:val="-1"/>
        </w:rPr>
        <w:t>regulated</w:t>
      </w:r>
      <w:r>
        <w:t xml:space="preserve"> business’ </w:t>
      </w:r>
      <w:r>
        <w:rPr>
          <w:spacing w:val="-1"/>
        </w:rPr>
        <w:t>revenue</w:t>
      </w:r>
      <w:r>
        <w:t xml:space="preserve"> </w:t>
      </w:r>
      <w:r>
        <w:rPr>
          <w:spacing w:val="-1"/>
        </w:rPr>
        <w:t>requirement.</w:t>
      </w:r>
      <w:r>
        <w:rPr>
          <w:spacing w:val="-6"/>
        </w:rPr>
        <w:t xml:space="preserve"> </w:t>
      </w:r>
      <w:r>
        <w:t>It involves summing the cost components</w:t>
      </w:r>
      <w:r>
        <w:rPr>
          <w:spacing w:val="21"/>
        </w:rPr>
        <w:t xml:space="preserve"> </w:t>
      </w:r>
      <w:r>
        <w:t xml:space="preserve">(building </w:t>
      </w:r>
      <w:r>
        <w:rPr>
          <w:spacing w:val="-1"/>
        </w:rPr>
        <w:t>blocks)</w:t>
      </w:r>
      <w:r>
        <w:t xml:space="preserve"> </w:t>
      </w:r>
      <w:r>
        <w:rPr>
          <w:spacing w:val="-1"/>
        </w:rPr>
        <w:t>that</w:t>
      </w:r>
      <w:r>
        <w:t xml:space="preserve"> a </w:t>
      </w:r>
      <w:r>
        <w:rPr>
          <w:rFonts w:cs="Avenir Next"/>
          <w:b/>
          <w:bCs/>
        </w:rPr>
        <w:t xml:space="preserve">prudent and </w:t>
      </w:r>
      <w:r>
        <w:rPr>
          <w:rFonts w:cs="Avenir Next"/>
          <w:b/>
          <w:bCs/>
          <w:spacing w:val="-1"/>
        </w:rPr>
        <w:t>efficient</w:t>
      </w:r>
      <w:r>
        <w:rPr>
          <w:rFonts w:cs="Avenir Next"/>
          <w:b/>
          <w:bCs/>
        </w:rPr>
        <w:t xml:space="preserve"> business </w:t>
      </w:r>
      <w:r>
        <w:rPr>
          <w:rFonts w:cs="Avenir Next"/>
        </w:rPr>
        <w:t xml:space="preserve">would incur in </w:t>
      </w:r>
      <w:r>
        <w:rPr>
          <w:rFonts w:cs="Avenir Next"/>
          <w:spacing w:val="-1"/>
        </w:rPr>
        <w:t>providing</w:t>
      </w:r>
      <w:r>
        <w:rPr>
          <w:rFonts w:cs="Avenir Next"/>
        </w:rPr>
        <w:t xml:space="preserve"> the </w:t>
      </w:r>
      <w:r>
        <w:rPr>
          <w:rFonts w:cs="Avenir Next"/>
          <w:spacing w:val="-1"/>
        </w:rPr>
        <w:t>regulated</w:t>
      </w:r>
      <w:r>
        <w:rPr>
          <w:rFonts w:cs="Avenir Next"/>
        </w:rPr>
        <w:t xml:space="preserve"> services</w:t>
      </w:r>
      <w:r>
        <w:rPr>
          <w:rFonts w:cs="Avenir Next"/>
          <w:spacing w:val="39"/>
        </w:rPr>
        <w:t xml:space="preserve"> </w:t>
      </w:r>
      <w:r>
        <w:t xml:space="preserve">over the </w:t>
      </w:r>
      <w:r>
        <w:rPr>
          <w:spacing w:val="-1"/>
        </w:rPr>
        <w:t>regulatory</w:t>
      </w:r>
      <w:r>
        <w:t xml:space="preserve"> period.</w:t>
      </w:r>
      <w:r>
        <w:rPr>
          <w:spacing w:val="-11"/>
        </w:rPr>
        <w:t xml:space="preserve"> </w:t>
      </w:r>
      <w:r>
        <w:rPr>
          <w:spacing w:val="-3"/>
        </w:rPr>
        <w:t>Typically,</w:t>
      </w:r>
      <w:r>
        <w:rPr>
          <w:spacing w:val="-6"/>
        </w:rPr>
        <w:t xml:space="preserve"> </w:t>
      </w:r>
      <w:r>
        <w:t>these cost components include:</w:t>
      </w:r>
    </w:p>
    <w:p w:rsidR="00D96B91" w:rsidRDefault="00C2656B">
      <w:pPr>
        <w:pStyle w:val="BodyText"/>
        <w:numPr>
          <w:ilvl w:val="0"/>
          <w:numId w:val="131"/>
        </w:numPr>
        <w:tabs>
          <w:tab w:val="left" w:pos="1531"/>
        </w:tabs>
        <w:spacing w:before="178"/>
        <w:ind w:hanging="283"/>
        <w:rPr>
          <w:rFonts w:cs="Avenir Next"/>
        </w:rPr>
      </w:pPr>
      <w:r>
        <w:rPr>
          <w:spacing w:val="-2"/>
        </w:rPr>
        <w:t>The</w:t>
      </w:r>
      <w:r>
        <w:t xml:space="preserve"> </w:t>
      </w:r>
      <w:r>
        <w:rPr>
          <w:spacing w:val="-1"/>
        </w:rPr>
        <w:t>return</w:t>
      </w:r>
      <w:r>
        <w:t xml:space="preserve"> on capital,</w:t>
      </w:r>
      <w:r>
        <w:rPr>
          <w:spacing w:val="-6"/>
        </w:rPr>
        <w:t xml:space="preserve"> </w:t>
      </w:r>
      <w:r>
        <w:t xml:space="preserve">which is </w:t>
      </w:r>
      <w:r>
        <w:rPr>
          <w:spacing w:val="-1"/>
        </w:rPr>
        <w:t>calculated</w:t>
      </w:r>
      <w:r>
        <w:t xml:space="preserve"> by multiplying:</w:t>
      </w:r>
    </w:p>
    <w:p w:rsidR="00D96B91" w:rsidRDefault="00C2656B">
      <w:pPr>
        <w:pStyle w:val="BodyText"/>
        <w:numPr>
          <w:ilvl w:val="1"/>
          <w:numId w:val="131"/>
        </w:numPr>
        <w:tabs>
          <w:tab w:val="left" w:pos="1815"/>
        </w:tabs>
        <w:spacing w:before="64" w:line="260" w:lineRule="exact"/>
        <w:ind w:right="1507"/>
        <w:rPr>
          <w:rFonts w:cs="Avenir Next"/>
        </w:rPr>
      </w:pPr>
      <w:r>
        <w:t>the value of</w:t>
      </w:r>
      <w:r>
        <w:rPr>
          <w:spacing w:val="4"/>
        </w:rPr>
        <w:t xml:space="preserve"> </w:t>
      </w:r>
      <w:r>
        <w:t xml:space="preserve">the assets used in the </w:t>
      </w:r>
      <w:r>
        <w:rPr>
          <w:spacing w:val="-1"/>
        </w:rPr>
        <w:t>provision</w:t>
      </w:r>
      <w:r>
        <w:t xml:space="preserve"> of</w:t>
      </w:r>
      <w:r>
        <w:rPr>
          <w:spacing w:val="4"/>
        </w:rPr>
        <w:t xml:space="preserve"> </w:t>
      </w:r>
      <w:r>
        <w:t xml:space="preserve">services </w:t>
      </w:r>
      <w:r>
        <w:rPr>
          <w:spacing w:val="-1"/>
        </w:rPr>
        <w:t>(referred</w:t>
      </w:r>
      <w:r>
        <w:t xml:space="preserve"> to as the </w:t>
      </w:r>
      <w:r>
        <w:rPr>
          <w:spacing w:val="-1"/>
        </w:rPr>
        <w:t>regulated</w:t>
      </w:r>
      <w:r>
        <w:t xml:space="preserve"> asset base</w:t>
      </w:r>
      <w:r>
        <w:rPr>
          <w:spacing w:val="29"/>
        </w:rPr>
        <w:t xml:space="preserve"> </w:t>
      </w:r>
      <w:r>
        <w:t>(RAB)),</w:t>
      </w:r>
      <w:r>
        <w:rPr>
          <w:spacing w:val="-6"/>
        </w:rPr>
        <w:t xml:space="preserve"> </w:t>
      </w:r>
      <w:r>
        <w:rPr>
          <w:i/>
        </w:rPr>
        <w:t>by</w:t>
      </w:r>
    </w:p>
    <w:p w:rsidR="00D96B91" w:rsidRDefault="00C2656B">
      <w:pPr>
        <w:pStyle w:val="BodyText"/>
        <w:numPr>
          <w:ilvl w:val="1"/>
          <w:numId w:val="131"/>
        </w:numPr>
        <w:tabs>
          <w:tab w:val="left" w:pos="1815"/>
        </w:tabs>
        <w:spacing w:before="93"/>
      </w:pPr>
      <w:r>
        <w:t>a</w:t>
      </w:r>
      <w:r>
        <w:rPr>
          <w:spacing w:val="-3"/>
        </w:rPr>
        <w:t xml:space="preserve"> </w:t>
      </w:r>
      <w:r>
        <w:rPr>
          <w:spacing w:val="-2"/>
        </w:rPr>
        <w:t xml:space="preserve">rate </w:t>
      </w:r>
      <w:r>
        <w:t>of</w:t>
      </w:r>
      <w:r>
        <w:rPr>
          <w:spacing w:val="1"/>
        </w:rPr>
        <w:t xml:space="preserve"> </w:t>
      </w:r>
      <w:r>
        <w:rPr>
          <w:spacing w:val="-1"/>
        </w:rPr>
        <w:t>return</w:t>
      </w:r>
      <w:r>
        <w:rPr>
          <w:spacing w:val="-2"/>
        </w:rPr>
        <w:t xml:space="preserve"> </w:t>
      </w:r>
      <w:r>
        <w:rPr>
          <w:spacing w:val="-1"/>
        </w:rPr>
        <w:t>that</w:t>
      </w:r>
      <w:r>
        <w:rPr>
          <w:spacing w:val="-3"/>
        </w:rPr>
        <w:t xml:space="preserve"> </w:t>
      </w:r>
      <w:r>
        <w:rPr>
          <w:spacing w:val="-1"/>
        </w:rPr>
        <w:t>reflects</w:t>
      </w:r>
      <w:r>
        <w:rPr>
          <w:spacing w:val="-2"/>
        </w:rPr>
        <w:t xml:space="preserve"> </w:t>
      </w:r>
      <w:r>
        <w:rPr>
          <w:spacing w:val="-1"/>
        </w:rPr>
        <w:t>efficient</w:t>
      </w:r>
      <w:r>
        <w:rPr>
          <w:spacing w:val="-3"/>
        </w:rPr>
        <w:t xml:space="preserve"> </w:t>
      </w:r>
      <w:r>
        <w:t>financing</w:t>
      </w:r>
      <w:r>
        <w:rPr>
          <w:spacing w:val="-2"/>
        </w:rPr>
        <w:t xml:space="preserve"> </w:t>
      </w:r>
      <w:r>
        <w:t>costs.</w:t>
      </w:r>
    </w:p>
    <w:p w:rsidR="00D96B91" w:rsidRDefault="00C2656B">
      <w:pPr>
        <w:pStyle w:val="BodyText"/>
        <w:numPr>
          <w:ilvl w:val="0"/>
          <w:numId w:val="131"/>
        </w:numPr>
        <w:tabs>
          <w:tab w:val="left" w:pos="1531"/>
        </w:tabs>
        <w:spacing w:before="64" w:line="260" w:lineRule="exact"/>
        <w:ind w:right="1585" w:hanging="283"/>
      </w:pPr>
      <w:r>
        <w:rPr>
          <w:spacing w:val="-1"/>
        </w:rPr>
        <w:t>Depreciation</w:t>
      </w:r>
      <w:r>
        <w:t xml:space="preserve"> (the </w:t>
      </w:r>
      <w:r>
        <w:rPr>
          <w:spacing w:val="-1"/>
        </w:rPr>
        <w:t>return</w:t>
      </w:r>
      <w:r>
        <w:t xml:space="preserve"> of</w:t>
      </w:r>
      <w:r>
        <w:rPr>
          <w:spacing w:val="4"/>
        </w:rPr>
        <w:t xml:space="preserve"> </w:t>
      </w:r>
      <w:r>
        <w:t>capital),</w:t>
      </w:r>
      <w:r>
        <w:rPr>
          <w:spacing w:val="-6"/>
        </w:rPr>
        <w:t xml:space="preserve"> </w:t>
      </w:r>
      <w:r>
        <w:t xml:space="preserve">which is </w:t>
      </w:r>
      <w:r>
        <w:rPr>
          <w:spacing w:val="-1"/>
        </w:rPr>
        <w:t>calculated</w:t>
      </w:r>
      <w:r>
        <w:t xml:space="preserve"> having </w:t>
      </w:r>
      <w:r>
        <w:rPr>
          <w:spacing w:val="-2"/>
        </w:rPr>
        <w:t>regard</w:t>
      </w:r>
      <w:r>
        <w:t xml:space="preserve"> to the value of</w:t>
      </w:r>
      <w:r>
        <w:rPr>
          <w:spacing w:val="4"/>
        </w:rPr>
        <w:t xml:space="preserve"> </w:t>
      </w:r>
      <w:r>
        <w:t>the RAB,</w:t>
      </w:r>
      <w:r>
        <w:rPr>
          <w:spacing w:val="-6"/>
        </w:rPr>
        <w:t xml:space="preserve"> </w:t>
      </w:r>
      <w:r>
        <w:t>the</w:t>
      </w:r>
      <w:r>
        <w:rPr>
          <w:spacing w:val="41"/>
        </w:rPr>
        <w:t xml:space="preserve"> </w:t>
      </w:r>
      <w:r>
        <w:t>economic</w:t>
      </w:r>
      <w:r>
        <w:rPr>
          <w:spacing w:val="-1"/>
        </w:rPr>
        <w:t xml:space="preserve"> </w:t>
      </w:r>
      <w:r>
        <w:t>life</w:t>
      </w:r>
      <w:r>
        <w:rPr>
          <w:spacing w:val="-1"/>
        </w:rPr>
        <w:t xml:space="preserve"> </w:t>
      </w:r>
      <w:r>
        <w:t>of</w:t>
      </w:r>
      <w:r>
        <w:rPr>
          <w:spacing w:val="4"/>
        </w:rPr>
        <w:t xml:space="preserve"> </w:t>
      </w:r>
      <w:r>
        <w:t>the</w:t>
      </w:r>
      <w:r>
        <w:rPr>
          <w:spacing w:val="-1"/>
        </w:rPr>
        <w:t xml:space="preserve"> </w:t>
      </w:r>
      <w:r>
        <w:t>assets and</w:t>
      </w:r>
      <w:r>
        <w:rPr>
          <w:spacing w:val="-1"/>
        </w:rPr>
        <w:t xml:space="preserve"> </w:t>
      </w:r>
      <w:r>
        <w:t xml:space="preserve">the </w:t>
      </w:r>
      <w:r>
        <w:rPr>
          <w:spacing w:val="-1"/>
        </w:rPr>
        <w:t>depreciation profile.</w:t>
      </w:r>
    </w:p>
    <w:p w:rsidR="00D96B91" w:rsidRDefault="00C2656B">
      <w:pPr>
        <w:pStyle w:val="BodyText"/>
        <w:numPr>
          <w:ilvl w:val="0"/>
          <w:numId w:val="131"/>
        </w:numPr>
        <w:tabs>
          <w:tab w:val="left" w:pos="1531"/>
        </w:tabs>
        <w:spacing w:before="93"/>
        <w:ind w:hanging="283"/>
      </w:pPr>
      <w:r>
        <w:rPr>
          <w:spacing w:val="-2"/>
        </w:rPr>
        <w:t>The</w:t>
      </w:r>
      <w:r>
        <w:rPr>
          <w:spacing w:val="-1"/>
        </w:rPr>
        <w:t xml:space="preserve"> </w:t>
      </w:r>
      <w:r>
        <w:t>prudent and</w:t>
      </w:r>
      <w:r>
        <w:rPr>
          <w:spacing w:val="-1"/>
        </w:rPr>
        <w:t xml:space="preserve"> efficient</w:t>
      </w:r>
      <w:r>
        <w:t xml:space="preserve"> costs</w:t>
      </w:r>
      <w:r>
        <w:rPr>
          <w:spacing w:val="-1"/>
        </w:rPr>
        <w:t xml:space="preserve"> </w:t>
      </w:r>
      <w:r>
        <w:t>of</w:t>
      </w:r>
      <w:r>
        <w:rPr>
          <w:spacing w:val="4"/>
        </w:rPr>
        <w:t xml:space="preserve"> </w:t>
      </w:r>
      <w:r>
        <w:rPr>
          <w:spacing w:val="-1"/>
        </w:rPr>
        <w:t>operating</w:t>
      </w:r>
      <w:r>
        <w:t xml:space="preserve"> and</w:t>
      </w:r>
      <w:r>
        <w:rPr>
          <w:spacing w:val="-1"/>
        </w:rPr>
        <w:t xml:space="preserve"> </w:t>
      </w:r>
      <w:r>
        <w:t>maintaining the</w:t>
      </w:r>
      <w:r>
        <w:rPr>
          <w:spacing w:val="-1"/>
        </w:rPr>
        <w:t xml:space="preserve"> </w:t>
      </w:r>
      <w:r>
        <w:t>assets over</w:t>
      </w:r>
      <w:r>
        <w:rPr>
          <w:spacing w:val="-1"/>
        </w:rPr>
        <w:t xml:space="preserve"> </w:t>
      </w:r>
      <w:r>
        <w:t>the period.</w:t>
      </w:r>
    </w:p>
    <w:p w:rsidR="00D96B91" w:rsidRDefault="00C2656B">
      <w:pPr>
        <w:pStyle w:val="BodyText"/>
        <w:numPr>
          <w:ilvl w:val="0"/>
          <w:numId w:val="131"/>
        </w:numPr>
        <w:tabs>
          <w:tab w:val="left" w:pos="1531"/>
        </w:tabs>
        <w:spacing w:before="72"/>
        <w:ind w:hanging="283"/>
      </w:pPr>
      <w:r>
        <w:rPr>
          <w:spacing w:val="-2"/>
        </w:rPr>
        <w:t>The</w:t>
      </w:r>
      <w:r>
        <w:t xml:space="preserve"> </w:t>
      </w:r>
      <w:r>
        <w:rPr>
          <w:spacing w:val="-1"/>
        </w:rPr>
        <w:t>estimated</w:t>
      </w:r>
      <w:r>
        <w:t xml:space="preserve"> cost of</w:t>
      </w:r>
      <w:r>
        <w:rPr>
          <w:spacing w:val="4"/>
        </w:rPr>
        <w:t xml:space="preserve"> </w:t>
      </w:r>
      <w:r>
        <w:t>income tax,</w:t>
      </w:r>
      <w:r>
        <w:rPr>
          <w:spacing w:val="-6"/>
        </w:rPr>
        <w:t xml:space="preserve"> </w:t>
      </w:r>
      <w:r>
        <w:t>net of</w:t>
      </w:r>
      <w:r>
        <w:rPr>
          <w:spacing w:val="4"/>
        </w:rPr>
        <w:t xml:space="preserve"> </w:t>
      </w:r>
      <w:r>
        <w:t>the value of</w:t>
      </w:r>
      <w:r>
        <w:rPr>
          <w:spacing w:val="4"/>
        </w:rPr>
        <w:t xml:space="preserve"> </w:t>
      </w:r>
      <w:r>
        <w:rPr>
          <w:spacing w:val="-1"/>
        </w:rPr>
        <w:t>imputation</w:t>
      </w:r>
      <w:r>
        <w:t xml:space="preserve"> </w:t>
      </w:r>
      <w:r>
        <w:rPr>
          <w:spacing w:val="-1"/>
        </w:rPr>
        <w:t>credits.</w:t>
      </w:r>
    </w:p>
    <w:p w:rsidR="00D96B91" w:rsidRDefault="00C2656B">
      <w:pPr>
        <w:spacing w:before="52"/>
        <w:ind w:left="1247"/>
        <w:rPr>
          <w:rFonts w:ascii="Avenir Next" w:eastAsia="Avenir Next" w:hAnsi="Avenir Next" w:cs="Avenir Next"/>
          <w:sz w:val="20"/>
          <w:szCs w:val="20"/>
        </w:rPr>
      </w:pPr>
      <w:r>
        <w:rPr>
          <w:rFonts w:ascii="Avenir Next"/>
          <w:b/>
          <w:spacing w:val="-2"/>
          <w:sz w:val="20"/>
        </w:rPr>
        <w:t>Figure</w:t>
      </w:r>
      <w:r>
        <w:rPr>
          <w:rFonts w:ascii="Avenir Next"/>
          <w:b/>
          <w:sz w:val="20"/>
        </w:rPr>
        <w:t xml:space="preserve"> 7.1: Building block methodology</w:t>
      </w:r>
    </w:p>
    <w:p w:rsidR="00D96B91" w:rsidRDefault="00D96B91">
      <w:pPr>
        <w:spacing w:before="13"/>
        <w:rPr>
          <w:rFonts w:ascii="Avenir Next" w:eastAsia="Avenir Next" w:hAnsi="Avenir Next" w:cs="Avenir Next"/>
          <w:b/>
          <w:bCs/>
          <w:sz w:val="14"/>
          <w:szCs w:val="14"/>
        </w:rPr>
      </w:pPr>
    </w:p>
    <w:p w:rsidR="00D96B91" w:rsidRDefault="00C2656B">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2533215" cy="1735836"/>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57" cstate="print"/>
                    <a:stretch>
                      <a:fillRect/>
                    </a:stretch>
                  </pic:blipFill>
                  <pic:spPr>
                    <a:xfrm>
                      <a:off x="0" y="0"/>
                      <a:ext cx="2533215" cy="1735836"/>
                    </a:xfrm>
                    <a:prstGeom prst="rect">
                      <a:avLst/>
                    </a:prstGeom>
                  </pic:spPr>
                </pic:pic>
              </a:graphicData>
            </a:graphic>
          </wp:inline>
        </w:drawing>
      </w:r>
    </w:p>
    <w:p w:rsidR="00D96B91" w:rsidRDefault="00D96B91">
      <w:pPr>
        <w:spacing w:before="13"/>
        <w:rPr>
          <w:rFonts w:ascii="Avenir Next" w:eastAsia="Avenir Next" w:hAnsi="Avenir Next" w:cs="Avenir Next"/>
          <w:b/>
          <w:bCs/>
          <w:sz w:val="18"/>
          <w:szCs w:val="18"/>
        </w:rPr>
      </w:pPr>
    </w:p>
    <w:p w:rsidR="00D96B91" w:rsidRDefault="00C2656B">
      <w:pPr>
        <w:pStyle w:val="BodyText"/>
        <w:spacing w:line="260" w:lineRule="exact"/>
        <w:ind w:right="1256"/>
      </w:pPr>
      <w:r>
        <w:rPr>
          <w:rFonts w:cs="Avenir Next"/>
          <w:spacing w:val="-2"/>
        </w:rPr>
        <w:t>The</w:t>
      </w:r>
      <w:r>
        <w:rPr>
          <w:rFonts w:cs="Avenir Next"/>
        </w:rPr>
        <w:t xml:space="preserve"> </w:t>
      </w:r>
      <w:r>
        <w:rPr>
          <w:rFonts w:cs="Avenir Next"/>
          <w:spacing w:val="-3"/>
        </w:rPr>
        <w:t>Panel</w:t>
      </w:r>
      <w:r>
        <w:rPr>
          <w:rFonts w:cs="Avenir Next"/>
        </w:rPr>
        <w:t xml:space="preserve"> made </w:t>
      </w:r>
      <w:r>
        <w:rPr>
          <w:rFonts w:cs="Avenir Next"/>
          <w:spacing w:val="-1"/>
        </w:rPr>
        <w:t>provision</w:t>
      </w:r>
      <w:r>
        <w:rPr>
          <w:rFonts w:cs="Avenir Next"/>
        </w:rPr>
        <w:t xml:space="preserve"> for </w:t>
      </w:r>
      <w:r>
        <w:rPr>
          <w:rFonts w:cs="Avenir Next"/>
          <w:spacing w:val="-1"/>
        </w:rPr>
        <w:t>each</w:t>
      </w:r>
      <w:r>
        <w:rPr>
          <w:rFonts w:cs="Avenir Next"/>
        </w:rPr>
        <w:t xml:space="preserve"> of</w:t>
      </w:r>
      <w:r>
        <w:rPr>
          <w:rFonts w:cs="Avenir Next"/>
          <w:spacing w:val="4"/>
        </w:rPr>
        <w:t xml:space="preserve"> </w:t>
      </w:r>
      <w:r>
        <w:rPr>
          <w:rFonts w:cs="Avenir Next"/>
        </w:rPr>
        <w:t xml:space="preserve">these building </w:t>
      </w:r>
      <w:r>
        <w:rPr>
          <w:rFonts w:cs="Avenir Next"/>
          <w:spacing w:val="-1"/>
        </w:rPr>
        <w:t>blocks,</w:t>
      </w:r>
      <w:r>
        <w:rPr>
          <w:rFonts w:cs="Avenir Next"/>
          <w:spacing w:val="-6"/>
        </w:rPr>
        <w:t xml:space="preserve"> </w:t>
      </w:r>
      <w:r>
        <w:rPr>
          <w:rFonts w:cs="Avenir Next"/>
        </w:rPr>
        <w:t xml:space="preserve">as well as two additional costs </w:t>
      </w:r>
      <w:r>
        <w:rPr>
          <w:rFonts w:cs="Avenir Next"/>
          <w:spacing w:val="-1"/>
        </w:rPr>
        <w:t>that</w:t>
      </w:r>
      <w:r>
        <w:rPr>
          <w:rFonts w:cs="Avenir Next"/>
          <w:spacing w:val="-4"/>
        </w:rPr>
        <w:t xml:space="preserve"> </w:t>
      </w:r>
      <w:r>
        <w:rPr>
          <w:rFonts w:cs="Avenir Next"/>
          <w:spacing w:val="-2"/>
        </w:rPr>
        <w:t>ACTEW</w:t>
      </w:r>
      <w:r>
        <w:rPr>
          <w:rFonts w:cs="Avenir Next"/>
          <w:spacing w:val="45"/>
        </w:rPr>
        <w:t xml:space="preserve"> </w:t>
      </w:r>
      <w:r>
        <w:t xml:space="preserve">incurs in </w:t>
      </w:r>
      <w:r>
        <w:rPr>
          <w:spacing w:val="-1"/>
        </w:rPr>
        <w:t>providing</w:t>
      </w:r>
      <w:r>
        <w:t xml:space="preserve"> its </w:t>
      </w:r>
      <w:r>
        <w:rPr>
          <w:spacing w:val="-1"/>
        </w:rPr>
        <w:t>water</w:t>
      </w:r>
      <w:r>
        <w:t xml:space="preserve"> and </w:t>
      </w:r>
      <w:r>
        <w:rPr>
          <w:spacing w:val="-1"/>
        </w:rPr>
        <w:t>sewerage</w:t>
      </w:r>
      <w:r>
        <w:t xml:space="preserve"> services – the</w:t>
      </w:r>
      <w:r>
        <w:rPr>
          <w:spacing w:val="-3"/>
        </w:rPr>
        <w:t xml:space="preserve"> </w:t>
      </w:r>
      <w:r>
        <w:rPr>
          <w:spacing w:val="-2"/>
        </w:rPr>
        <w:t>Water</w:t>
      </w:r>
      <w:r>
        <w:rPr>
          <w:spacing w:val="-4"/>
        </w:rPr>
        <w:t xml:space="preserve"> </w:t>
      </w:r>
      <w:r>
        <w:rPr>
          <w:spacing w:val="-1"/>
        </w:rPr>
        <w:t>Abstraction</w:t>
      </w:r>
      <w:r>
        <w:t xml:space="preserve"> </w:t>
      </w:r>
      <w:r>
        <w:rPr>
          <w:spacing w:val="-1"/>
        </w:rPr>
        <w:t>Charge</w:t>
      </w:r>
      <w:r>
        <w:t xml:space="preserve"> </w:t>
      </w:r>
      <w:r>
        <w:rPr>
          <w:spacing w:val="-2"/>
        </w:rPr>
        <w:t>(WAC)</w:t>
      </w:r>
      <w:r>
        <w:t xml:space="preserve"> and the</w:t>
      </w:r>
      <w:r>
        <w:rPr>
          <w:spacing w:val="53"/>
        </w:rPr>
        <w:t xml:space="preserve"> </w:t>
      </w:r>
      <w:r>
        <w:t xml:space="preserve">Utilities Network </w:t>
      </w:r>
      <w:r>
        <w:rPr>
          <w:spacing w:val="-1"/>
        </w:rPr>
        <w:t>Facilities</w:t>
      </w:r>
      <w:r>
        <w:rPr>
          <w:spacing w:val="-5"/>
        </w:rPr>
        <w:t xml:space="preserve"> </w:t>
      </w:r>
      <w:r>
        <w:rPr>
          <w:spacing w:val="-7"/>
        </w:rPr>
        <w:t>Tax</w:t>
      </w:r>
      <w:r>
        <w:t xml:space="preserve"> (UNFT),</w:t>
      </w:r>
      <w:r>
        <w:rPr>
          <w:spacing w:val="-6"/>
        </w:rPr>
        <w:t xml:space="preserve"> </w:t>
      </w:r>
      <w:r>
        <w:t xml:space="preserve">which </w:t>
      </w:r>
      <w:r>
        <w:rPr>
          <w:spacing w:val="-2"/>
        </w:rPr>
        <w:t>are</w:t>
      </w:r>
      <w:r>
        <w:t xml:space="preserve"> </w:t>
      </w:r>
      <w:r>
        <w:rPr>
          <w:spacing w:val="-2"/>
        </w:rPr>
        <w:t>treated</w:t>
      </w:r>
      <w:r>
        <w:t xml:space="preserve"> as an </w:t>
      </w:r>
      <w:r>
        <w:rPr>
          <w:spacing w:val="-1"/>
        </w:rPr>
        <w:t>expenditure</w:t>
      </w:r>
      <w:r>
        <w:t xml:space="preserve"> item.</w:t>
      </w:r>
    </w:p>
    <w:p w:rsidR="00D96B91" w:rsidRDefault="00C2656B">
      <w:pPr>
        <w:pStyle w:val="BodyText"/>
        <w:spacing w:before="170" w:line="260" w:lineRule="exact"/>
        <w:ind w:right="1488"/>
        <w:jc w:val="both"/>
      </w:pPr>
      <w:r>
        <w:t xml:space="preserve">In applying the building block </w:t>
      </w:r>
      <w:r>
        <w:rPr>
          <w:spacing w:val="-1"/>
        </w:rPr>
        <w:t>methodology,</w:t>
      </w:r>
      <w:r>
        <w:rPr>
          <w:spacing w:val="-6"/>
        </w:rPr>
        <w:t xml:space="preserve"> </w:t>
      </w:r>
      <w:r>
        <w:t xml:space="preserve">the </w:t>
      </w:r>
      <w:r>
        <w:rPr>
          <w:spacing w:val="-3"/>
        </w:rPr>
        <w:t>Panel</w:t>
      </w:r>
      <w:r>
        <w:t xml:space="preserve"> was guided by the principles listed in </w:t>
      </w:r>
      <w:hyperlink w:anchor="_bookmark46" w:history="1">
        <w:r>
          <w:rPr>
            <w:spacing w:val="-1"/>
          </w:rPr>
          <w:t>Box</w:t>
        </w:r>
        <w:r>
          <w:t xml:space="preserve"> 7.1</w:t>
        </w:r>
      </w:hyperlink>
      <w:r>
        <w:t>.</w:t>
      </w:r>
      <w:r>
        <w:rPr>
          <w:spacing w:val="28"/>
        </w:rPr>
        <w:t xml:space="preserve"> </w:t>
      </w:r>
      <w:r>
        <w:rPr>
          <w:spacing w:val="-1"/>
        </w:rPr>
        <w:t xml:space="preserve">These </w:t>
      </w:r>
      <w:r>
        <w:t xml:space="preserve">principles </w:t>
      </w:r>
      <w:r>
        <w:rPr>
          <w:spacing w:val="-1"/>
        </w:rPr>
        <w:t xml:space="preserve">reflect </w:t>
      </w:r>
      <w:r>
        <w:t xml:space="preserve">the </w:t>
      </w:r>
      <w:r>
        <w:rPr>
          <w:spacing w:val="-1"/>
        </w:rPr>
        <w:t>approach</w:t>
      </w:r>
      <w:r>
        <w:t xml:space="preserve"> </w:t>
      </w:r>
      <w:r>
        <w:rPr>
          <w:spacing w:val="-1"/>
        </w:rPr>
        <w:t xml:space="preserve">regulators </w:t>
      </w:r>
      <w:r>
        <w:t>typically use to</w:t>
      </w:r>
      <w:r>
        <w:rPr>
          <w:spacing w:val="-1"/>
        </w:rPr>
        <w:t xml:space="preserve"> </w:t>
      </w:r>
      <w:r>
        <w:t>determine the value</w:t>
      </w:r>
      <w:r>
        <w:rPr>
          <w:spacing w:val="-1"/>
        </w:rPr>
        <w:t xml:space="preserve"> </w:t>
      </w:r>
      <w:r>
        <w:t>of</w:t>
      </w:r>
      <w:r>
        <w:rPr>
          <w:spacing w:val="4"/>
        </w:rPr>
        <w:t xml:space="preserve"> </w:t>
      </w:r>
      <w:r>
        <w:rPr>
          <w:spacing w:val="-1"/>
        </w:rPr>
        <w:t>each</w:t>
      </w:r>
      <w:r>
        <w:t xml:space="preserve"> building</w:t>
      </w:r>
      <w:r>
        <w:rPr>
          <w:spacing w:val="29"/>
        </w:rPr>
        <w:t xml:space="preserve"> </w:t>
      </w:r>
      <w:r>
        <w:t>block (see</w:t>
      </w:r>
      <w:r>
        <w:rPr>
          <w:spacing w:val="-4"/>
        </w:rPr>
        <w:t xml:space="preserve"> </w:t>
      </w:r>
      <w:r>
        <w:t>Appendix 6).</w:t>
      </w:r>
    </w:p>
    <w:p w:rsidR="00D96B91" w:rsidRDefault="00C2656B">
      <w:pPr>
        <w:pStyle w:val="BodyText"/>
        <w:spacing w:before="170" w:line="260" w:lineRule="exact"/>
        <w:ind w:right="1513"/>
      </w:pPr>
      <w:r>
        <w:t xml:space="preserve">In the </w:t>
      </w:r>
      <w:r>
        <w:rPr>
          <w:spacing w:val="-4"/>
        </w:rPr>
        <w:t>Panel’s</w:t>
      </w:r>
      <w:r>
        <w:t xml:space="preserve"> </w:t>
      </w:r>
      <w:r>
        <w:rPr>
          <w:spacing w:val="-2"/>
        </w:rPr>
        <w:t>view,</w:t>
      </w:r>
      <w:r>
        <w:rPr>
          <w:spacing w:val="-6"/>
        </w:rPr>
        <w:t xml:space="preserve"> </w:t>
      </w:r>
      <w:r>
        <w:t xml:space="preserve">using the building block methodology and the principles in </w:t>
      </w:r>
      <w:r>
        <w:rPr>
          <w:spacing w:val="-1"/>
        </w:rPr>
        <w:t>Box</w:t>
      </w:r>
      <w:r>
        <w:t xml:space="preserve"> 7.1 is consistent</w:t>
      </w:r>
      <w:r>
        <w:rPr>
          <w:spacing w:val="30"/>
        </w:rPr>
        <w:t xml:space="preserve"> </w:t>
      </w:r>
      <w:r>
        <w:rPr>
          <w:rFonts w:cs="Avenir Next"/>
        </w:rPr>
        <w:t xml:space="preserve">with the </w:t>
      </w:r>
      <w:r>
        <w:rPr>
          <w:rFonts w:cs="Avenir Next"/>
          <w:spacing w:val="-1"/>
        </w:rPr>
        <w:t>overarching</w:t>
      </w:r>
      <w:r>
        <w:rPr>
          <w:rFonts w:cs="Avenir Next"/>
        </w:rPr>
        <w:t xml:space="preserve"> objective of</w:t>
      </w:r>
      <w:r>
        <w:rPr>
          <w:rFonts w:cs="Avenir Next"/>
          <w:spacing w:val="4"/>
        </w:rPr>
        <w:t xml:space="preserve"> </w:t>
      </w:r>
      <w:r>
        <w:rPr>
          <w:rFonts w:cs="Avenir Next"/>
        </w:rPr>
        <w:t xml:space="preserve">economic </w:t>
      </w:r>
      <w:r>
        <w:rPr>
          <w:rFonts w:cs="Avenir Next"/>
          <w:spacing w:val="-1"/>
        </w:rPr>
        <w:t>regulation,</w:t>
      </w:r>
      <w:r>
        <w:rPr>
          <w:rFonts w:cs="Avenir Next"/>
          <w:spacing w:val="-6"/>
        </w:rPr>
        <w:t xml:space="preserve"> </w:t>
      </w:r>
      <w:r>
        <w:rPr>
          <w:rFonts w:cs="Avenir Next"/>
        </w:rPr>
        <w:t>which is to mimic the price and service</w:t>
      </w:r>
      <w:r>
        <w:rPr>
          <w:rFonts w:cs="Avenir Next"/>
          <w:spacing w:val="30"/>
        </w:rPr>
        <w:t xml:space="preserve"> </w:t>
      </w:r>
      <w:r>
        <w:t xml:space="preserve">outcomes would be </w:t>
      </w:r>
      <w:r>
        <w:rPr>
          <w:spacing w:val="-1"/>
        </w:rPr>
        <w:t>expected</w:t>
      </w:r>
      <w:r>
        <w:t xml:space="preserve"> to occur in a </w:t>
      </w:r>
      <w:r>
        <w:rPr>
          <w:spacing w:val="-1"/>
        </w:rPr>
        <w:t>workably</w:t>
      </w:r>
      <w:r>
        <w:t xml:space="preserve"> competitive </w:t>
      </w:r>
      <w:r>
        <w:rPr>
          <w:spacing w:val="-1"/>
        </w:rPr>
        <w:t>market</w:t>
      </w:r>
      <w:r>
        <w:t xml:space="preserve"> (see section 3.1.1),</w:t>
      </w:r>
      <w:r>
        <w:rPr>
          <w:spacing w:val="-7"/>
        </w:rPr>
        <w:t xml:space="preserve"> </w:t>
      </w:r>
      <w:r>
        <w:t xml:space="preserve">and </w:t>
      </w:r>
      <w:r>
        <w:rPr>
          <w:rFonts w:cs="Avenir Next"/>
        </w:rPr>
        <w:t>the</w:t>
      </w:r>
      <w:r>
        <w:rPr>
          <w:rFonts w:cs="Avenir Next"/>
          <w:spacing w:val="29"/>
        </w:rPr>
        <w:t xml:space="preserve"> </w:t>
      </w:r>
      <w:r>
        <w:rPr>
          <w:spacing w:val="-1"/>
        </w:rPr>
        <w:t>provisions</w:t>
      </w:r>
      <w:r>
        <w:t xml:space="preserve"> set out in sections 20(2)(a) to (e),</w:t>
      </w:r>
      <w:r>
        <w:rPr>
          <w:spacing w:val="-7"/>
        </w:rPr>
        <w:t xml:space="preserve"> </w:t>
      </w:r>
      <w:r>
        <w:t>(h) and (k) of</w:t>
      </w:r>
      <w:r>
        <w:rPr>
          <w:spacing w:val="4"/>
        </w:rPr>
        <w:t xml:space="preserve"> </w:t>
      </w:r>
      <w:r>
        <w:t>the</w:t>
      </w:r>
      <w:r>
        <w:rPr>
          <w:spacing w:val="-4"/>
        </w:rPr>
        <w:t xml:space="preserve"> </w:t>
      </w:r>
      <w:r>
        <w:t>Act (see section 4.1.2).</w:t>
      </w:r>
    </w:p>
    <w:p w:rsidR="00D96B91" w:rsidRDefault="00C2656B">
      <w:pPr>
        <w:pStyle w:val="BodyText"/>
        <w:spacing w:before="17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w:t>
      </w:r>
      <w:r>
        <w:rPr>
          <w:rFonts w:cs="Avenir Next"/>
          <w:spacing w:val="-1"/>
        </w:rPr>
        <w:t>regarding</w:t>
      </w:r>
      <w:r>
        <w:rPr>
          <w:rFonts w:cs="Avenir Next"/>
        </w:rPr>
        <w:t xml:space="preserve"> the values of</w:t>
      </w:r>
      <w:r>
        <w:rPr>
          <w:rFonts w:cs="Avenir Next"/>
          <w:spacing w:val="4"/>
        </w:rPr>
        <w:t xml:space="preserve"> </w:t>
      </w:r>
      <w:r>
        <w:rPr>
          <w:rFonts w:cs="Avenir Next"/>
        </w:rPr>
        <w:t xml:space="preserve">the building </w:t>
      </w:r>
      <w:r>
        <w:rPr>
          <w:rFonts w:cs="Avenir Next"/>
          <w:spacing w:val="-1"/>
        </w:rPr>
        <w:t>blocks</w:t>
      </w:r>
      <w:r>
        <w:rPr>
          <w:rFonts w:cs="Avenir Next"/>
        </w:rPr>
        <w:t xml:space="preserve"> </w:t>
      </w:r>
      <w:r>
        <w:rPr>
          <w:rFonts w:cs="Avenir Next"/>
          <w:spacing w:val="-2"/>
        </w:rPr>
        <w:t>are</w:t>
      </w:r>
      <w:r>
        <w:rPr>
          <w:rFonts w:cs="Avenir Next"/>
        </w:rPr>
        <w:t xml:space="preserve"> set out in Chapters </w:t>
      </w:r>
      <w:r>
        <w:t xml:space="preserve">8 </w:t>
      </w:r>
      <w:r>
        <w:rPr>
          <w:rFonts w:cs="Avenir Next"/>
        </w:rPr>
        <w:t>to 11</w:t>
      </w:r>
      <w:r>
        <w:t>.</w:t>
      </w:r>
    </w:p>
    <w:p w:rsidR="00D96B91" w:rsidRDefault="00D96B91">
      <w:p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79" w:name="_bookmark46"/>
      <w:bookmarkEnd w:id="79"/>
      <w:r>
        <w:rPr>
          <w:rFonts w:ascii="Avenir Next"/>
          <w:b/>
          <w:spacing w:val="-1"/>
          <w:sz w:val="20"/>
        </w:rPr>
        <w:t>Box</w:t>
      </w:r>
      <w:r>
        <w:rPr>
          <w:rFonts w:ascii="Avenir Next"/>
          <w:b/>
          <w:sz w:val="20"/>
        </w:rPr>
        <w:t xml:space="preserve"> 7.1: </w:t>
      </w:r>
      <w:r>
        <w:rPr>
          <w:rFonts w:ascii="Avenir Next"/>
          <w:b/>
          <w:spacing w:val="-1"/>
          <w:sz w:val="20"/>
        </w:rPr>
        <w:t>Principles</w:t>
      </w:r>
      <w:r>
        <w:rPr>
          <w:rFonts w:ascii="Avenir Next"/>
          <w:b/>
          <w:sz w:val="20"/>
        </w:rPr>
        <w:t xml:space="preserve"> used in applying the building block methodology</w:t>
      </w:r>
    </w:p>
    <w:p w:rsidR="00D96B91" w:rsidRDefault="004C7CB7">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pict>
          <v:shape id="_x0000_s3642" type="#_x0000_t202" style="position:absolute;left:0;text-align:left;margin-left:65.3pt;margin-top:203.2pt;width:474.8pt;height:54.75pt;z-index:251660288" filled="f" stroked="f">
            <v:textbox style="mso-next-textbox:#_x0000_s3642">
              <w:txbxContent>
                <w:p w:rsidR="008A79D5" w:rsidRPr="004C7CB7" w:rsidRDefault="008A79D5" w:rsidP="004C7CB7">
                  <w:pPr>
                    <w:numPr>
                      <w:ilvl w:val="0"/>
                      <w:numId w:val="87"/>
                    </w:numPr>
                    <w:tabs>
                      <w:tab w:val="left" w:pos="227"/>
                    </w:tabs>
                    <w:spacing w:line="247" w:lineRule="exact"/>
                    <w:ind w:hanging="226"/>
                    <w:rPr>
                      <w:rFonts w:ascii="Avenir Next Condensed" w:eastAsia="Avenir Next Condensed" w:hAnsi="Avenir Next Condensed" w:cs="Avenir Next Condensed"/>
                      <w:sz w:val="20"/>
                      <w:szCs w:val="20"/>
                    </w:rPr>
                  </w:pPr>
                  <w:r w:rsidRPr="00B45286">
                    <w:rPr>
                      <w:rFonts w:ascii="Avenir Next Condensed"/>
                      <w:b/>
                      <w:spacing w:val="-2"/>
                      <w:sz w:val="20"/>
                    </w:rPr>
                    <w:t>Rate</w:t>
                  </w:r>
                  <w:r w:rsidRPr="00B45286">
                    <w:rPr>
                      <w:rFonts w:ascii="Avenir Next Condensed"/>
                      <w:b/>
                      <w:spacing w:val="-4"/>
                      <w:sz w:val="20"/>
                    </w:rPr>
                    <w:t xml:space="preserve"> </w:t>
                  </w:r>
                  <w:r w:rsidRPr="00B45286">
                    <w:rPr>
                      <w:rFonts w:ascii="Avenir Next Condensed"/>
                      <w:b/>
                      <w:spacing w:val="-1"/>
                      <w:sz w:val="20"/>
                    </w:rPr>
                    <w:t>of</w:t>
                  </w:r>
                  <w:r w:rsidRPr="00B45286">
                    <w:rPr>
                      <w:rFonts w:ascii="Avenir Next Condensed"/>
                      <w:b/>
                      <w:sz w:val="20"/>
                    </w:rPr>
                    <w:t xml:space="preserve"> </w:t>
                  </w:r>
                  <w:r w:rsidRPr="00B45286">
                    <w:rPr>
                      <w:rFonts w:ascii="Avenir Next Condensed"/>
                      <w:b/>
                      <w:spacing w:val="-2"/>
                      <w:sz w:val="20"/>
                    </w:rPr>
                    <w:t>return:</w:t>
                  </w:r>
                  <w:r w:rsidRPr="00B45286">
                    <w:rPr>
                      <w:rFonts w:ascii="Avenir Next Condensed"/>
                      <w:b/>
                      <w:spacing w:val="-11"/>
                      <w:sz w:val="20"/>
                    </w:rPr>
                    <w:t xml:space="preserve"> </w:t>
                  </w:r>
                  <w:r w:rsidRPr="00B45286">
                    <w:rPr>
                      <w:rFonts w:ascii="Avenir Next Condensed"/>
                      <w:spacing w:val="-2"/>
                      <w:sz w:val="20"/>
                    </w:rPr>
                    <w:t>The</w:t>
                  </w:r>
                  <w:r w:rsidRPr="00B45286">
                    <w:rPr>
                      <w:rFonts w:ascii="Avenir Next Condensed"/>
                      <w:spacing w:val="-4"/>
                      <w:sz w:val="20"/>
                    </w:rPr>
                    <w:t xml:space="preserve"> </w:t>
                  </w:r>
                  <w:r w:rsidRPr="00B45286">
                    <w:rPr>
                      <w:rFonts w:ascii="Avenir Next Condensed"/>
                      <w:spacing w:val="-2"/>
                      <w:sz w:val="20"/>
                    </w:rPr>
                    <w:t>rate</w:t>
                  </w:r>
                  <w:r w:rsidRPr="00B45286">
                    <w:rPr>
                      <w:rFonts w:ascii="Avenir Next Condensed"/>
                      <w:spacing w:val="-4"/>
                      <w:sz w:val="20"/>
                    </w:rPr>
                    <w:t xml:space="preserve"> </w:t>
                  </w:r>
                  <w:r w:rsidRPr="00B45286">
                    <w:rPr>
                      <w:rFonts w:ascii="Avenir Next Condensed"/>
                      <w:spacing w:val="-1"/>
                      <w:sz w:val="20"/>
                    </w:rPr>
                    <w:t>of</w:t>
                  </w:r>
                  <w:r w:rsidRPr="00B45286">
                    <w:rPr>
                      <w:rFonts w:ascii="Avenir Next Condensed"/>
                      <w:sz w:val="20"/>
                    </w:rPr>
                    <w:t xml:space="preserve"> </w:t>
                  </w:r>
                  <w:r w:rsidRPr="00B45286">
                    <w:rPr>
                      <w:rFonts w:ascii="Avenir Next Condensed"/>
                      <w:spacing w:val="-2"/>
                      <w:sz w:val="20"/>
                    </w:rPr>
                    <w:t>return</w:t>
                  </w:r>
                  <w:r w:rsidRPr="00B45286">
                    <w:rPr>
                      <w:rFonts w:ascii="Avenir Next Condensed"/>
                      <w:spacing w:val="-4"/>
                      <w:sz w:val="20"/>
                    </w:rPr>
                    <w:t xml:space="preserve"> </w:t>
                  </w:r>
                  <w:r w:rsidRPr="00B45286">
                    <w:rPr>
                      <w:rFonts w:ascii="Avenir Next Condensed"/>
                      <w:spacing w:val="-2"/>
                      <w:sz w:val="20"/>
                    </w:rPr>
                    <w:t>should</w:t>
                  </w:r>
                  <w:r w:rsidRPr="00B45286">
                    <w:rPr>
                      <w:rFonts w:ascii="Avenir Next Condensed"/>
                      <w:spacing w:val="-4"/>
                      <w:sz w:val="20"/>
                    </w:rPr>
                    <w:t xml:space="preserve"> </w:t>
                  </w:r>
                  <w:r w:rsidRPr="00B45286">
                    <w:rPr>
                      <w:rFonts w:ascii="Avenir Next Condensed"/>
                      <w:spacing w:val="-1"/>
                      <w:sz w:val="20"/>
                    </w:rPr>
                    <w:t>be</w:t>
                  </w:r>
                  <w:r w:rsidRPr="00B45286">
                    <w:rPr>
                      <w:rFonts w:ascii="Avenir Next Condensed"/>
                      <w:spacing w:val="-4"/>
                      <w:sz w:val="20"/>
                    </w:rPr>
                    <w:t xml:space="preserve"> </w:t>
                  </w:r>
                  <w:r w:rsidRPr="00B45286">
                    <w:rPr>
                      <w:rFonts w:ascii="Avenir Next Condensed"/>
                      <w:spacing w:val="-2"/>
                      <w:sz w:val="20"/>
                    </w:rPr>
                    <w:t>commensurate</w:t>
                  </w:r>
                  <w:r w:rsidRPr="00B45286">
                    <w:rPr>
                      <w:rFonts w:ascii="Avenir Next Condensed"/>
                      <w:spacing w:val="-4"/>
                      <w:sz w:val="20"/>
                    </w:rPr>
                    <w:t xml:space="preserve"> </w:t>
                  </w:r>
                  <w:r w:rsidRPr="00B45286">
                    <w:rPr>
                      <w:rFonts w:ascii="Avenir Next Condensed"/>
                      <w:spacing w:val="-2"/>
                      <w:sz w:val="20"/>
                    </w:rPr>
                    <w:t>with</w:t>
                  </w:r>
                  <w:r w:rsidRPr="00B45286">
                    <w:rPr>
                      <w:rFonts w:ascii="Avenir Next Condensed"/>
                      <w:spacing w:val="-4"/>
                      <w:sz w:val="20"/>
                    </w:rPr>
                    <w:t xml:space="preserve"> </w:t>
                  </w:r>
                  <w:r>
                    <w:rPr>
                      <w:rFonts w:ascii="Avenir Next Condensed"/>
                      <w:spacing w:val="-2"/>
                      <w:sz w:val="20"/>
                    </w:rPr>
                    <w:t>entity and t</w:t>
                  </w:r>
                  <w:r w:rsidRPr="00B45286">
                    <w:rPr>
                      <w:rFonts w:ascii="Avenir Next Condensed"/>
                      <w:spacing w:val="-2"/>
                      <w:sz w:val="20"/>
                    </w:rPr>
                    <w:t>he</w:t>
                  </w:r>
                  <w:r w:rsidRPr="00B45286">
                    <w:rPr>
                      <w:rFonts w:ascii="Avenir Next Condensed"/>
                      <w:spacing w:val="-4"/>
                      <w:sz w:val="20"/>
                    </w:rPr>
                    <w:t xml:space="preserve"> </w:t>
                  </w:r>
                  <w:r w:rsidRPr="00B45286">
                    <w:rPr>
                      <w:rFonts w:ascii="Avenir Next Condensed"/>
                      <w:spacing w:val="-2"/>
                      <w:sz w:val="20"/>
                    </w:rPr>
                    <w:t>risks</w:t>
                  </w:r>
                  <w:r w:rsidRPr="00B45286">
                    <w:rPr>
                      <w:rFonts w:ascii="Avenir Next Condensed"/>
                      <w:spacing w:val="-4"/>
                      <w:sz w:val="20"/>
                    </w:rPr>
                    <w:t xml:space="preserve"> </w:t>
                  </w:r>
                  <w:r w:rsidRPr="00B45286">
                    <w:rPr>
                      <w:rFonts w:ascii="Avenir Next Condensed"/>
                      <w:spacing w:val="-2"/>
                      <w:sz w:val="20"/>
                    </w:rPr>
                    <w:t>involved</w:t>
                  </w:r>
                  <w:r w:rsidRPr="00B45286">
                    <w:rPr>
                      <w:rFonts w:ascii="Avenir Next Condensed"/>
                      <w:spacing w:val="-4"/>
                      <w:sz w:val="20"/>
                    </w:rPr>
                    <w:t xml:space="preserve"> </w:t>
                  </w:r>
                  <w:r w:rsidRPr="00B45286">
                    <w:rPr>
                      <w:rFonts w:ascii="Avenir Next Condensed"/>
                      <w:spacing w:val="-1"/>
                      <w:sz w:val="20"/>
                    </w:rPr>
                    <w:t>in</w:t>
                  </w:r>
                  <w:r w:rsidRPr="00B45286">
                    <w:rPr>
                      <w:rFonts w:ascii="Avenir Next Condensed"/>
                      <w:spacing w:val="-4"/>
                      <w:sz w:val="20"/>
                    </w:rPr>
                    <w:t xml:space="preserve"> </w:t>
                  </w:r>
                  <w:r w:rsidRPr="00B45286">
                    <w:rPr>
                      <w:rFonts w:ascii="Avenir Next Condensed"/>
                      <w:spacing w:val="-2"/>
                      <w:sz w:val="20"/>
                    </w:rPr>
                    <w:t>delivering</w:t>
                  </w:r>
                  <w:r w:rsidRPr="00B45286">
                    <w:rPr>
                      <w:rFonts w:ascii="Avenir Next Condensed"/>
                      <w:spacing w:val="-4"/>
                      <w:sz w:val="20"/>
                    </w:rPr>
                    <w:t xml:space="preserve"> </w:t>
                  </w:r>
                  <w:r w:rsidRPr="00B45286">
                    <w:rPr>
                      <w:rFonts w:ascii="Avenir Next Condensed"/>
                      <w:spacing w:val="-2"/>
                      <w:sz w:val="20"/>
                    </w:rPr>
                    <w:t>the</w:t>
                  </w:r>
                  <w:r w:rsidRPr="00B45286">
                    <w:rPr>
                      <w:rFonts w:ascii="Avenir Next Condensed"/>
                      <w:spacing w:val="-4"/>
                      <w:sz w:val="20"/>
                    </w:rPr>
                    <w:t xml:space="preserve"> </w:t>
                  </w:r>
                  <w:r w:rsidRPr="00B45286">
                    <w:rPr>
                      <w:rFonts w:ascii="Avenir Next Condensed"/>
                      <w:spacing w:val="-2"/>
                      <w:sz w:val="20"/>
                    </w:rPr>
                    <w:t>services.</w:t>
                  </w:r>
                </w:p>
                <w:p w:rsidR="008A79D5" w:rsidRPr="00B45286" w:rsidRDefault="008A79D5" w:rsidP="004C7CB7">
                  <w:pPr>
                    <w:numPr>
                      <w:ilvl w:val="0"/>
                      <w:numId w:val="87"/>
                    </w:numPr>
                    <w:tabs>
                      <w:tab w:val="left" w:pos="227"/>
                    </w:tabs>
                    <w:spacing w:line="247" w:lineRule="exact"/>
                    <w:ind w:hanging="226"/>
                    <w:rPr>
                      <w:rFonts w:ascii="Avenir Next Condensed" w:eastAsia="Avenir Next Condensed" w:hAnsi="Avenir Next Condensed" w:cs="Avenir Next Condensed"/>
                      <w:sz w:val="20"/>
                      <w:szCs w:val="20"/>
                    </w:rPr>
                  </w:pPr>
                  <w:r>
                    <w:rPr>
                      <w:rFonts w:ascii="Avenir Next Condensed"/>
                      <w:b/>
                      <w:spacing w:val="-4"/>
                      <w:sz w:val="20"/>
                    </w:rPr>
                    <w:t>Net</w:t>
                  </w:r>
                  <w:r>
                    <w:rPr>
                      <w:rFonts w:ascii="Avenir Next Condensed"/>
                      <w:b/>
                      <w:spacing w:val="-12"/>
                      <w:sz w:val="20"/>
                    </w:rPr>
                    <w:t xml:space="preserve"> </w:t>
                  </w:r>
                  <w:r>
                    <w:rPr>
                      <w:rFonts w:ascii="Avenir Next Condensed"/>
                      <w:b/>
                      <w:spacing w:val="-4"/>
                      <w:sz w:val="20"/>
                    </w:rPr>
                    <w:t>tax</w:t>
                  </w:r>
                  <w:r>
                    <w:rPr>
                      <w:rFonts w:ascii="Avenir Next Condensed"/>
                      <w:b/>
                      <w:spacing w:val="-12"/>
                      <w:sz w:val="20"/>
                    </w:rPr>
                    <w:t xml:space="preserve"> </w:t>
                  </w:r>
                  <w:r>
                    <w:rPr>
                      <w:rFonts w:ascii="Avenir Next Condensed"/>
                      <w:b/>
                      <w:spacing w:val="-6"/>
                      <w:sz w:val="20"/>
                    </w:rPr>
                    <w:t>liabilities:</w:t>
                  </w:r>
                  <w:r>
                    <w:rPr>
                      <w:rFonts w:ascii="Avenir Next Condensed"/>
                      <w:b/>
                      <w:spacing w:val="-19"/>
                      <w:sz w:val="20"/>
                    </w:rPr>
                    <w:t xml:space="preserve"> </w:t>
                  </w:r>
                  <w:r>
                    <w:rPr>
                      <w:rFonts w:ascii="Avenir Next Condensed"/>
                      <w:spacing w:val="-5"/>
                      <w:sz w:val="20"/>
                    </w:rPr>
                    <w:t>The</w:t>
                  </w:r>
                  <w:r>
                    <w:rPr>
                      <w:rFonts w:ascii="Avenir Next Condensed"/>
                      <w:spacing w:val="-12"/>
                      <w:sz w:val="20"/>
                    </w:rPr>
                    <w:t xml:space="preserve"> </w:t>
                  </w:r>
                  <w:r>
                    <w:rPr>
                      <w:rFonts w:ascii="Avenir Next Condensed"/>
                      <w:spacing w:val="-6"/>
                      <w:sz w:val="20"/>
                    </w:rPr>
                    <w:t>provision</w:t>
                  </w:r>
                  <w:r>
                    <w:rPr>
                      <w:rFonts w:ascii="Avenir Next Condensed"/>
                      <w:spacing w:val="-12"/>
                      <w:sz w:val="20"/>
                    </w:rPr>
                    <w:t xml:space="preserve"> </w:t>
                  </w:r>
                  <w:r>
                    <w:rPr>
                      <w:rFonts w:ascii="Avenir Next Condensed"/>
                      <w:spacing w:val="-5"/>
                      <w:sz w:val="20"/>
                    </w:rPr>
                    <w:t>made</w:t>
                  </w:r>
                  <w:r>
                    <w:rPr>
                      <w:rFonts w:ascii="Avenir Next Condensed"/>
                      <w:spacing w:val="-12"/>
                      <w:sz w:val="20"/>
                    </w:rPr>
                    <w:t xml:space="preserve"> </w:t>
                  </w:r>
                  <w:r>
                    <w:rPr>
                      <w:rFonts w:ascii="Avenir Next Condensed"/>
                      <w:spacing w:val="-4"/>
                      <w:sz w:val="20"/>
                    </w:rPr>
                    <w:t>for</w:t>
                  </w:r>
                  <w:r>
                    <w:rPr>
                      <w:rFonts w:ascii="Avenir Next Condensed"/>
                      <w:spacing w:val="-12"/>
                      <w:sz w:val="20"/>
                    </w:rPr>
                    <w:t xml:space="preserve"> </w:t>
                  </w:r>
                  <w:r>
                    <w:rPr>
                      <w:rFonts w:ascii="Avenir Next Condensed"/>
                      <w:spacing w:val="-4"/>
                      <w:sz w:val="20"/>
                    </w:rPr>
                    <w:t>net</w:t>
                  </w:r>
                  <w:r>
                    <w:rPr>
                      <w:rFonts w:ascii="Avenir Next Condensed"/>
                      <w:spacing w:val="-12"/>
                      <w:sz w:val="20"/>
                    </w:rPr>
                    <w:t xml:space="preserve"> </w:t>
                  </w:r>
                  <w:r>
                    <w:rPr>
                      <w:rFonts w:ascii="Avenir Next Condensed"/>
                      <w:spacing w:val="-4"/>
                      <w:sz w:val="20"/>
                    </w:rPr>
                    <w:t>tax</w:t>
                  </w:r>
                  <w:r>
                    <w:rPr>
                      <w:rFonts w:ascii="Avenir Next Condensed"/>
                      <w:spacing w:val="-12"/>
                      <w:sz w:val="20"/>
                    </w:rPr>
                    <w:t xml:space="preserve"> </w:t>
                  </w:r>
                  <w:r>
                    <w:rPr>
                      <w:rFonts w:ascii="Avenir Next Condensed"/>
                      <w:spacing w:val="-6"/>
                      <w:sz w:val="20"/>
                    </w:rPr>
                    <w:t>liabilities</w:t>
                  </w:r>
                  <w:r>
                    <w:rPr>
                      <w:rFonts w:ascii="Avenir Next Condensed"/>
                      <w:spacing w:val="-12"/>
                      <w:sz w:val="20"/>
                    </w:rPr>
                    <w:t xml:space="preserve"> </w:t>
                  </w:r>
                  <w:r>
                    <w:rPr>
                      <w:rFonts w:ascii="Avenir Next Condensed"/>
                      <w:spacing w:val="-5"/>
                      <w:sz w:val="20"/>
                    </w:rPr>
                    <w:t>should</w:t>
                  </w:r>
                  <w:r>
                    <w:rPr>
                      <w:rFonts w:ascii="Avenir Next Condensed"/>
                      <w:spacing w:val="-12"/>
                      <w:sz w:val="20"/>
                    </w:rPr>
                    <w:t xml:space="preserve"> </w:t>
                  </w:r>
                  <w:r>
                    <w:rPr>
                      <w:rFonts w:ascii="Avenir Next Condensed"/>
                      <w:spacing w:val="-3"/>
                      <w:sz w:val="20"/>
                    </w:rPr>
                    <w:t>be</w:t>
                  </w:r>
                  <w:r>
                    <w:rPr>
                      <w:rFonts w:ascii="Avenir Next Condensed"/>
                      <w:spacing w:val="-12"/>
                      <w:sz w:val="20"/>
                    </w:rPr>
                    <w:t xml:space="preserve"> </w:t>
                  </w:r>
                  <w:r>
                    <w:rPr>
                      <w:rFonts w:ascii="Avenir Next Condensed"/>
                      <w:spacing w:val="-6"/>
                      <w:sz w:val="20"/>
                    </w:rPr>
                    <w:t>calculated</w:t>
                  </w:r>
                  <w:r>
                    <w:rPr>
                      <w:rFonts w:ascii="Avenir Next Condensed"/>
                      <w:spacing w:val="-12"/>
                      <w:sz w:val="20"/>
                    </w:rPr>
                    <w:t xml:space="preserve"> </w:t>
                  </w:r>
                  <w:r>
                    <w:rPr>
                      <w:rFonts w:ascii="Avenir Next Condensed"/>
                      <w:spacing w:val="-3"/>
                      <w:sz w:val="20"/>
                    </w:rPr>
                    <w:t>by</w:t>
                  </w:r>
                  <w:r>
                    <w:rPr>
                      <w:rFonts w:ascii="Avenir Next Condensed"/>
                      <w:spacing w:val="-12"/>
                      <w:sz w:val="20"/>
                    </w:rPr>
                    <w:t xml:space="preserve"> </w:t>
                  </w:r>
                  <w:r>
                    <w:rPr>
                      <w:rFonts w:ascii="Avenir Next Condensed"/>
                      <w:spacing w:val="-6"/>
                      <w:sz w:val="20"/>
                    </w:rPr>
                    <w:t>reference</w:t>
                  </w:r>
                  <w:r>
                    <w:rPr>
                      <w:rFonts w:ascii="Avenir Next Condensed"/>
                      <w:spacing w:val="-12"/>
                      <w:sz w:val="20"/>
                    </w:rPr>
                    <w:t xml:space="preserve"> </w:t>
                  </w:r>
                  <w:r>
                    <w:rPr>
                      <w:rFonts w:ascii="Avenir Next Condensed"/>
                      <w:spacing w:val="-3"/>
                      <w:sz w:val="20"/>
                    </w:rPr>
                    <w:t>to</w:t>
                  </w:r>
                  <w:r>
                    <w:rPr>
                      <w:rFonts w:ascii="Avenir Next Condensed"/>
                      <w:spacing w:val="-12"/>
                      <w:sz w:val="20"/>
                    </w:rPr>
                    <w:t xml:space="preserve"> </w:t>
                  </w:r>
                  <w:r>
                    <w:rPr>
                      <w:rFonts w:ascii="Avenir Next Condensed"/>
                      <w:spacing w:val="-4"/>
                      <w:sz w:val="20"/>
                    </w:rPr>
                    <w:t>the</w:t>
                  </w:r>
                  <w:r>
                    <w:rPr>
                      <w:rFonts w:ascii="Avenir Next Condensed"/>
                      <w:spacing w:val="-12"/>
                      <w:sz w:val="20"/>
                    </w:rPr>
                    <w:t xml:space="preserve"> </w:t>
                  </w:r>
                  <w:r>
                    <w:rPr>
                      <w:rFonts w:ascii="Avenir Next Condensed"/>
                      <w:spacing w:val="-6"/>
                      <w:sz w:val="20"/>
                    </w:rPr>
                    <w:t>benchmark</w:t>
                  </w:r>
                  <w:r>
                    <w:rPr>
                      <w:rFonts w:ascii="Avenir Next Condensed"/>
                      <w:spacing w:val="-12"/>
                      <w:sz w:val="20"/>
                    </w:rPr>
                    <w:t xml:space="preserve"> </w:t>
                  </w:r>
                  <w:r>
                    <w:rPr>
                      <w:rFonts w:ascii="Avenir Next Condensed"/>
                      <w:spacing w:val="-5"/>
                      <w:sz w:val="20"/>
                    </w:rPr>
                    <w:t>efficient entity standard.</w:t>
                  </w:r>
                </w:p>
                <w:p w:rsidR="008A79D5" w:rsidRDefault="008A79D5"/>
              </w:txbxContent>
            </v:textbox>
          </v:shape>
        </w:pict>
      </w:r>
      <w:r w:rsidR="00D96B91" w:rsidRPr="00D96B91">
        <w:rPr>
          <w:rFonts w:ascii="Avenir Next" w:eastAsia="Avenir Next" w:hAnsi="Avenir Next" w:cs="Avenir Next"/>
          <w:sz w:val="20"/>
          <w:szCs w:val="20"/>
        </w:rPr>
      </w:r>
      <w:r w:rsidR="00B45286">
        <w:rPr>
          <w:rFonts w:ascii="Avenir Next" w:eastAsia="Avenir Next" w:hAnsi="Avenir Next" w:cs="Avenir Next"/>
          <w:sz w:val="20"/>
          <w:szCs w:val="20"/>
        </w:rPr>
        <w:pict>
          <v:group id="_x0000_s3218" style="width:495.8pt;height:261.15pt;mso-position-horizontal-relative:char;mso-position-vertical-relative:line" coordsize="9411,4657">
            <v:group id="_x0000_s3219" style="position:absolute;width:9411;height:4657" coordsize="9411,4657">
              <v:shape id="_x0000_s3225" style="position:absolute;width:9411;height:4657" coordsize="9411,4657" path="m,4657r9411,l9411,,,,,4657xe" fillcolor="#dff3fd" stroked="f">
                <v:path arrowok="t"/>
              </v:shape>
              <v:shape id="_x0000_s3224" type="#_x0000_t202" style="position:absolute;left:170;top:224;width:9012;height:3400" filled="f" stroked="f">
                <v:textbox style="mso-next-textbox:#_x0000_s3224" inset="0,0,0,0">
                  <w:txbxContent>
                    <w:p w:rsidR="008A79D5" w:rsidRDefault="008A79D5">
                      <w:pPr>
                        <w:spacing w:line="220" w:lineRule="exact"/>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 </w:t>
                      </w:r>
                      <w:r>
                        <w:rPr>
                          <w:rFonts w:ascii="Avenir Next Condensed" w:eastAsia="Avenir Next Condensed" w:hAnsi="Avenir Next Condensed" w:cs="Avenir Next Condensed"/>
                          <w:spacing w:val="-2"/>
                          <w:sz w:val="20"/>
                          <w:szCs w:val="20"/>
                        </w:rPr>
                        <w:t>adopted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following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principles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applying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building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block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methodology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calculate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revenue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requirement:</w:t>
                      </w:r>
                    </w:p>
                    <w:p w:rsidR="008A79D5" w:rsidRDefault="008A79D5">
                      <w:pPr>
                        <w:numPr>
                          <w:ilvl w:val="0"/>
                          <w:numId w:val="88"/>
                        </w:numPr>
                        <w:tabs>
                          <w:tab w:val="left" w:pos="227"/>
                          <w:tab w:val="left" w:pos="1936"/>
                        </w:tabs>
                        <w:spacing w:before="92" w:line="260" w:lineRule="exact"/>
                        <w:ind w:right="69" w:hanging="226"/>
                        <w:rPr>
                          <w:rFonts w:ascii="Avenir Next Condensed" w:eastAsia="Avenir Next Condensed" w:hAnsi="Avenir Next Condensed" w:cs="Avenir Next Condensed"/>
                          <w:sz w:val="20"/>
                          <w:szCs w:val="20"/>
                        </w:rPr>
                      </w:pPr>
                      <w:r>
                        <w:rPr>
                          <w:rFonts w:ascii="Avenir Next Condensed"/>
                          <w:b/>
                          <w:spacing w:val="-3"/>
                          <w:sz w:val="20"/>
                        </w:rPr>
                        <w:t>Capital</w:t>
                      </w:r>
                      <w:r>
                        <w:rPr>
                          <w:rFonts w:ascii="Avenir Next Condensed"/>
                          <w:b/>
                          <w:spacing w:val="-4"/>
                          <w:sz w:val="20"/>
                        </w:rPr>
                        <w:t xml:space="preserve"> </w:t>
                      </w:r>
                      <w:r>
                        <w:rPr>
                          <w:rFonts w:ascii="Avenir Next Condensed"/>
                          <w:b/>
                          <w:spacing w:val="-3"/>
                          <w:sz w:val="20"/>
                        </w:rPr>
                        <w:t>expenditure:</w:t>
                      </w:r>
                      <w:r>
                        <w:rPr>
                          <w:rFonts w:ascii="Avenir Next Condensed"/>
                          <w:b/>
                          <w:spacing w:val="-11"/>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capital</w:t>
                      </w:r>
                      <w:r>
                        <w:rPr>
                          <w:rFonts w:ascii="Avenir Next Condensed"/>
                          <w:spacing w:val="-4"/>
                          <w:sz w:val="20"/>
                        </w:rPr>
                        <w:t xml:space="preserve"> </w:t>
                      </w:r>
                      <w:r>
                        <w:rPr>
                          <w:rFonts w:ascii="Avenir Next Condensed"/>
                          <w:spacing w:val="-3"/>
                          <w:sz w:val="20"/>
                        </w:rPr>
                        <w:t>expenditure</w:t>
                      </w:r>
                      <w:r>
                        <w:rPr>
                          <w:rFonts w:ascii="Avenir Next Condensed"/>
                          <w:spacing w:val="-4"/>
                          <w:sz w:val="20"/>
                        </w:rPr>
                        <w:t xml:space="preserve"> </w:t>
                      </w:r>
                      <w:r>
                        <w:rPr>
                          <w:rFonts w:ascii="Avenir Next Condensed"/>
                          <w:spacing w:val="-2"/>
                          <w:sz w:val="20"/>
                        </w:rPr>
                        <w:t>should</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such</w:t>
                      </w:r>
                      <w:r>
                        <w:rPr>
                          <w:rFonts w:ascii="Avenir Next Condensed"/>
                          <w:spacing w:val="-4"/>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incurred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prudent</w:t>
                      </w:r>
                      <w:r>
                        <w:rPr>
                          <w:rFonts w:ascii="Avenir Next Condensed"/>
                          <w:spacing w:val="-4"/>
                          <w:sz w:val="20"/>
                        </w:rPr>
                        <w:t xml:space="preserve"> </w:t>
                      </w:r>
                      <w:r>
                        <w:rPr>
                          <w:rFonts w:ascii="Avenir Next Condensed"/>
                          <w:spacing w:val="-2"/>
                          <w:sz w:val="20"/>
                        </w:rPr>
                        <w:t>service</w:t>
                      </w:r>
                      <w:r>
                        <w:rPr>
                          <w:rFonts w:ascii="Avenir Next Condensed"/>
                          <w:spacing w:val="76"/>
                          <w:sz w:val="20"/>
                        </w:rPr>
                        <w:t xml:space="preserve"> </w:t>
                      </w:r>
                      <w:r>
                        <w:rPr>
                          <w:rFonts w:ascii="Avenir Next Condensed"/>
                          <w:spacing w:val="-2"/>
                          <w:sz w:val="20"/>
                        </w:rPr>
                        <w:t>provider</w:t>
                      </w:r>
                      <w:r>
                        <w:rPr>
                          <w:rFonts w:ascii="Avenir Next Condensed"/>
                          <w:spacing w:val="-4"/>
                          <w:sz w:val="20"/>
                        </w:rPr>
                        <w:t xml:space="preserve"> </w:t>
                      </w:r>
                      <w:r>
                        <w:rPr>
                          <w:rFonts w:ascii="Avenir Next Condensed"/>
                          <w:spacing w:val="-2"/>
                          <w:sz w:val="20"/>
                        </w:rPr>
                        <w:t>acting</w:t>
                      </w:r>
                      <w:r>
                        <w:rPr>
                          <w:rFonts w:ascii="Avenir Next Condensed"/>
                          <w:spacing w:val="-4"/>
                          <w:sz w:val="20"/>
                        </w:rPr>
                        <w:t xml:space="preserve"> </w:t>
                      </w:r>
                      <w:r>
                        <w:rPr>
                          <w:rFonts w:ascii="Avenir Next Condensed"/>
                          <w:spacing w:val="-2"/>
                          <w:sz w:val="20"/>
                        </w:rPr>
                        <w:t>efficiently</w:t>
                      </w:r>
                      <w:r>
                        <w:rPr>
                          <w:rFonts w:ascii="Avenir Next Condensed"/>
                          <w:sz w:val="20"/>
                        </w:rPr>
                        <w:t>,</w:t>
                      </w:r>
                      <w:r>
                        <w:rPr>
                          <w:rFonts w:ascii="Avenir Next Condensed"/>
                          <w:spacing w:val="-10"/>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accepted</w:t>
                      </w:r>
                      <w:r>
                        <w:rPr>
                          <w:rFonts w:ascii="Avenir Next Condensed"/>
                          <w:spacing w:val="-4"/>
                          <w:sz w:val="20"/>
                        </w:rPr>
                        <w:t xml:space="preserve"> </w:t>
                      </w:r>
                      <w:r>
                        <w:rPr>
                          <w:rFonts w:ascii="Avenir Next Condensed"/>
                          <w:spacing w:val="-2"/>
                          <w:sz w:val="20"/>
                        </w:rPr>
                        <w:t>good</w:t>
                      </w:r>
                      <w:r>
                        <w:rPr>
                          <w:rFonts w:ascii="Avenir Next Condensed"/>
                          <w:spacing w:val="-4"/>
                          <w:sz w:val="20"/>
                        </w:rPr>
                        <w:t xml:space="preserve"> </w:t>
                      </w:r>
                      <w:r>
                        <w:rPr>
                          <w:rFonts w:ascii="Avenir Next Condensed"/>
                          <w:spacing w:val="-2"/>
                          <w:sz w:val="20"/>
                        </w:rPr>
                        <w:t>industry</w:t>
                      </w:r>
                      <w:r>
                        <w:rPr>
                          <w:rFonts w:ascii="Avenir Next Condensed"/>
                          <w:spacing w:val="-4"/>
                          <w:sz w:val="20"/>
                        </w:rPr>
                        <w:t xml:space="preserve"> </w:t>
                      </w:r>
                      <w:r>
                        <w:rPr>
                          <w:rFonts w:ascii="Avenir Next Condensed"/>
                          <w:spacing w:val="-2"/>
                          <w:sz w:val="20"/>
                        </w:rPr>
                        <w:t>practice,</w:t>
                      </w:r>
                      <w:r>
                        <w:rPr>
                          <w:rFonts w:ascii="Avenir Next Condensed"/>
                          <w:spacing w:val="-10"/>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achieve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lowest</w:t>
                      </w:r>
                      <w:r>
                        <w:rPr>
                          <w:rFonts w:ascii="Avenir Next Condensed"/>
                          <w:spacing w:val="-4"/>
                          <w:sz w:val="20"/>
                        </w:rPr>
                        <w:t xml:space="preserve"> </w:t>
                      </w:r>
                      <w:r>
                        <w:rPr>
                          <w:rFonts w:ascii="Avenir Next Condensed"/>
                          <w:spacing w:val="-2"/>
                          <w:sz w:val="20"/>
                        </w:rPr>
                        <w:t>sustainable</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delivering</w:t>
                      </w:r>
                      <w:r>
                        <w:rPr>
                          <w:rFonts w:ascii="Avenir Next Condensed"/>
                          <w:spacing w:val="4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service.</w:t>
                      </w:r>
                    </w:p>
                    <w:p w:rsidR="008A79D5" w:rsidRDefault="008A79D5">
                      <w:pPr>
                        <w:numPr>
                          <w:ilvl w:val="0"/>
                          <w:numId w:val="88"/>
                        </w:numPr>
                        <w:tabs>
                          <w:tab w:val="left" w:pos="227"/>
                        </w:tabs>
                        <w:spacing w:before="64"/>
                        <w:ind w:hanging="226"/>
                        <w:rPr>
                          <w:rFonts w:ascii="Avenir Next Condensed" w:eastAsia="Avenir Next Condensed" w:hAnsi="Avenir Next Condensed" w:cs="Avenir Next Condensed"/>
                          <w:sz w:val="20"/>
                          <w:szCs w:val="20"/>
                        </w:rPr>
                      </w:pPr>
                      <w:r>
                        <w:rPr>
                          <w:rFonts w:ascii="Avenir Next Condensed"/>
                          <w:b/>
                          <w:spacing w:val="-2"/>
                          <w:sz w:val="20"/>
                        </w:rPr>
                        <w:t>Depreciation:</w:t>
                      </w:r>
                      <w:r>
                        <w:rPr>
                          <w:rFonts w:ascii="Avenir Next Condensed"/>
                          <w:b/>
                          <w:spacing w:val="-11"/>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depreciation</w:t>
                      </w:r>
                      <w:r>
                        <w:rPr>
                          <w:rFonts w:ascii="Avenir Next Condensed"/>
                          <w:spacing w:val="-4"/>
                          <w:sz w:val="20"/>
                        </w:rPr>
                        <w:t xml:space="preserve"> </w:t>
                      </w:r>
                      <w:r>
                        <w:rPr>
                          <w:rFonts w:ascii="Avenir Next Condensed"/>
                          <w:spacing w:val="-2"/>
                          <w:sz w:val="20"/>
                        </w:rPr>
                        <w:t>should,</w:t>
                      </w:r>
                      <w:r>
                        <w:rPr>
                          <w:rFonts w:ascii="Avenir Next Condensed"/>
                          <w:spacing w:val="-10"/>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extent</w:t>
                      </w:r>
                      <w:r>
                        <w:rPr>
                          <w:rFonts w:ascii="Avenir Next Condensed"/>
                          <w:spacing w:val="-4"/>
                          <w:sz w:val="20"/>
                        </w:rPr>
                        <w:t xml:space="preserve"> </w:t>
                      </w:r>
                      <w:r>
                        <w:rPr>
                          <w:rFonts w:ascii="Avenir Next Condensed"/>
                          <w:spacing w:val="-2"/>
                          <w:sz w:val="20"/>
                        </w:rPr>
                        <w:t>possible,</w:t>
                      </w:r>
                      <w:r>
                        <w:rPr>
                          <w:rFonts w:ascii="Avenir Next Condensed"/>
                          <w:spacing w:val="-10"/>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consistent</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r>
                        <w:rPr>
                          <w:rFonts w:ascii="Avenir Next Condensed"/>
                          <w:spacing w:val="-4"/>
                          <w:sz w:val="20"/>
                        </w:rPr>
                        <w:t xml:space="preserve"> </w:t>
                      </w:r>
                      <w:r>
                        <w:rPr>
                          <w:rFonts w:ascii="Avenir Next Condensed"/>
                          <w:spacing w:val="-2"/>
                          <w:sz w:val="20"/>
                        </w:rPr>
                        <w:t>principles:</w:t>
                      </w:r>
                    </w:p>
                    <w:p w:rsidR="008A79D5" w:rsidRDefault="008A79D5">
                      <w:pPr>
                        <w:numPr>
                          <w:ilvl w:val="1"/>
                          <w:numId w:val="88"/>
                        </w:numPr>
                        <w:tabs>
                          <w:tab w:val="left" w:pos="567"/>
                          <w:tab w:val="left" w:pos="2034"/>
                          <w:tab w:val="left" w:pos="2578"/>
                          <w:tab w:val="left" w:pos="3932"/>
                        </w:tabs>
                        <w:spacing w:before="35" w:line="260" w:lineRule="exact"/>
                        <w:ind w:right="165"/>
                        <w:rPr>
                          <w:rFonts w:ascii="Avenir Next Condensed" w:eastAsia="Avenir Next Condensed" w:hAnsi="Avenir Next Condensed" w:cs="Avenir Next Condensed"/>
                          <w:sz w:val="20"/>
                          <w:szCs w:val="20"/>
                        </w:rPr>
                      </w:pPr>
                      <w:r>
                        <w:rPr>
                          <w:rFonts w:ascii="Avenir Next Condensed"/>
                          <w:b/>
                          <w:spacing w:val="-2"/>
                          <w:sz w:val="20"/>
                        </w:rPr>
                        <w:t>Economic</w:t>
                      </w:r>
                      <w:r>
                        <w:rPr>
                          <w:rFonts w:ascii="Avenir Next Condensed"/>
                          <w:b/>
                          <w:spacing w:val="-4"/>
                          <w:sz w:val="20"/>
                        </w:rPr>
                        <w:t xml:space="preserve"> </w:t>
                      </w:r>
                      <w:r>
                        <w:rPr>
                          <w:rFonts w:ascii="Avenir Next Condensed"/>
                          <w:b/>
                          <w:spacing w:val="-2"/>
                          <w:sz w:val="20"/>
                        </w:rPr>
                        <w:t>efficiency principle:</w:t>
                      </w:r>
                      <w:r>
                        <w:rPr>
                          <w:rFonts w:ascii="Avenir Next Condensed"/>
                          <w:b/>
                          <w:spacing w:val="-6"/>
                          <w:sz w:val="20"/>
                        </w:rPr>
                        <w:t xml:space="preserve"> </w:t>
                      </w:r>
                      <w:r>
                        <w:rPr>
                          <w:rFonts w:ascii="Avenir Next Condensed"/>
                          <w:spacing w:val="-2"/>
                          <w:sz w:val="20"/>
                        </w:rPr>
                        <w:t>Depreciation</w:t>
                      </w:r>
                      <w:r>
                        <w:rPr>
                          <w:rFonts w:ascii="Avenir Next Condensed"/>
                          <w:spacing w:val="-4"/>
                          <w:sz w:val="20"/>
                        </w:rPr>
                        <w:t xml:space="preserve"> </w:t>
                      </w:r>
                      <w:r>
                        <w:rPr>
                          <w:rFonts w:ascii="Avenir Next Condensed"/>
                          <w:spacing w:val="-2"/>
                          <w:sz w:val="20"/>
                        </w:rPr>
                        <w:t>should</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3"/>
                          <w:sz w:val="20"/>
                        </w:rPr>
                        <w:t>recovered</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life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asset</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manner</w:t>
                      </w:r>
                      <w:r>
                        <w:rPr>
                          <w:rFonts w:ascii="Avenir Next Condensed"/>
                          <w:spacing w:val="-4"/>
                          <w:sz w:val="20"/>
                        </w:rPr>
                        <w:t xml:space="preserve"> </w:t>
                      </w:r>
                      <w:r>
                        <w:rPr>
                          <w:rFonts w:ascii="Avenir Next Condensed"/>
                          <w:spacing w:val="-2"/>
                          <w:sz w:val="20"/>
                        </w:rPr>
                        <w:t>that</w:t>
                      </w:r>
                      <w:r>
                        <w:rPr>
                          <w:rFonts w:ascii="Avenir Next Condensed"/>
                          <w:spacing w:val="54"/>
                          <w:sz w:val="20"/>
                        </w:rPr>
                        <w:t xml:space="preserve"> </w:t>
                      </w:r>
                      <w:r>
                        <w:rPr>
                          <w:rFonts w:ascii="Avenir Next Condensed"/>
                          <w:spacing w:val="-2"/>
                          <w:sz w:val="20"/>
                        </w:rPr>
                        <w:t>encourages</w:t>
                      </w:r>
                      <w:r>
                        <w:rPr>
                          <w:rFonts w:ascii="Avenir Next Condensed"/>
                          <w:spacing w:val="-4"/>
                          <w:sz w:val="20"/>
                        </w:rPr>
                        <w:t xml:space="preserve"> </w:t>
                      </w:r>
                      <w:r>
                        <w:rPr>
                          <w:rFonts w:ascii="Avenir Next Condensed"/>
                          <w:spacing w:val="-2"/>
                          <w:sz w:val="20"/>
                        </w:rPr>
                        <w:t>both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efficient use</w:t>
                      </w:r>
                      <w:r>
                        <w:rPr>
                          <w:rFonts w:ascii="Avenir Next Condensed"/>
                          <w:spacing w:val="-4"/>
                          <w:sz w:val="20"/>
                        </w:rPr>
                        <w:t xml:space="preserve"> </w:t>
                      </w:r>
                      <w:r>
                        <w:rPr>
                          <w:rFonts w:ascii="Avenir Next Condensed"/>
                          <w:spacing w:val="-2"/>
                          <w:sz w:val="20"/>
                        </w:rPr>
                        <w:t>of,</w:t>
                      </w:r>
                      <w:r>
                        <w:rPr>
                          <w:rFonts w:ascii="Avenir Next Condensed"/>
                          <w:spacing w:val="-10"/>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efficient investment</w:t>
                      </w:r>
                      <w:r>
                        <w:rPr>
                          <w:rFonts w:ascii="Avenir Next Condensed"/>
                          <w:spacing w:val="-4"/>
                          <w:sz w:val="20"/>
                        </w:rPr>
                        <w:t xml:space="preserve"> </w:t>
                      </w:r>
                      <w:r>
                        <w:rPr>
                          <w:rFonts w:ascii="Avenir Next Condensed"/>
                          <w:spacing w:val="-2"/>
                          <w:sz w:val="20"/>
                        </w:rPr>
                        <w:t>in,</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assets</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period.</w:t>
                      </w:r>
                    </w:p>
                    <w:p w:rsidR="008A79D5" w:rsidRDefault="008A79D5">
                      <w:pPr>
                        <w:numPr>
                          <w:ilvl w:val="1"/>
                          <w:numId w:val="88"/>
                        </w:numPr>
                        <w:tabs>
                          <w:tab w:val="left" w:pos="567"/>
                        </w:tabs>
                        <w:spacing w:before="56" w:line="260" w:lineRule="exact"/>
                        <w:ind w:right="84"/>
                        <w:rPr>
                          <w:rFonts w:ascii="Avenir Next Condensed" w:eastAsia="Avenir Next Condensed" w:hAnsi="Avenir Next Condensed" w:cs="Avenir Next Condensed"/>
                          <w:sz w:val="20"/>
                          <w:szCs w:val="20"/>
                        </w:rPr>
                      </w:pPr>
                      <w:r>
                        <w:rPr>
                          <w:rFonts w:ascii="Avenir Next Condensed"/>
                          <w:b/>
                          <w:spacing w:val="-3"/>
                          <w:sz w:val="20"/>
                        </w:rPr>
                        <w:t>Intergenerational</w:t>
                      </w:r>
                      <w:r>
                        <w:rPr>
                          <w:rFonts w:ascii="Avenir Next Condensed"/>
                          <w:b/>
                          <w:spacing w:val="-4"/>
                          <w:sz w:val="20"/>
                        </w:rPr>
                        <w:t xml:space="preserve"> </w:t>
                      </w:r>
                      <w:r>
                        <w:rPr>
                          <w:rFonts w:ascii="Avenir Next Condensed"/>
                          <w:b/>
                          <w:spacing w:val="-2"/>
                          <w:sz w:val="20"/>
                        </w:rPr>
                        <w:t>equity</w:t>
                      </w:r>
                      <w:r>
                        <w:rPr>
                          <w:rFonts w:ascii="Avenir Next Condensed"/>
                          <w:b/>
                          <w:spacing w:val="-4"/>
                          <w:sz w:val="20"/>
                        </w:rPr>
                        <w:t xml:space="preserve"> </w:t>
                      </w:r>
                      <w:r>
                        <w:rPr>
                          <w:rFonts w:ascii="Avenir Next Condensed"/>
                          <w:b/>
                          <w:spacing w:val="-2"/>
                          <w:sz w:val="20"/>
                        </w:rPr>
                        <w:t>principle:</w:t>
                      </w:r>
                      <w:r>
                        <w:rPr>
                          <w:rFonts w:ascii="Avenir Next Condensed"/>
                          <w:b/>
                          <w:spacing w:val="-6"/>
                          <w:sz w:val="20"/>
                        </w:rPr>
                        <w:t xml:space="preserve"> </w:t>
                      </w:r>
                      <w:r>
                        <w:rPr>
                          <w:rFonts w:ascii="Avenir Next Condensed"/>
                          <w:spacing w:val="-3"/>
                          <w:sz w:val="20"/>
                        </w:rPr>
                        <w:t>Consumers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each</w:t>
                      </w:r>
                      <w:r>
                        <w:rPr>
                          <w:rFonts w:ascii="Avenir Next Condensed"/>
                          <w:spacing w:val="-4"/>
                          <w:sz w:val="20"/>
                        </w:rPr>
                        <w:t xml:space="preserve"> </w:t>
                      </w:r>
                      <w:r>
                        <w:rPr>
                          <w:rFonts w:ascii="Avenir Next Condensed"/>
                          <w:spacing w:val="-2"/>
                          <w:sz w:val="20"/>
                        </w:rPr>
                        <w:t>time</w:t>
                      </w:r>
                      <w:r>
                        <w:rPr>
                          <w:rFonts w:ascii="Avenir Next Condensed"/>
                          <w:spacing w:val="-4"/>
                          <w:sz w:val="20"/>
                        </w:rPr>
                        <w:t xml:space="preserve"> </w:t>
                      </w:r>
                      <w:r>
                        <w:rPr>
                          <w:rFonts w:ascii="Avenir Next Condensed"/>
                          <w:spacing w:val="-2"/>
                          <w:sz w:val="20"/>
                        </w:rPr>
                        <w:t>period</w:t>
                      </w:r>
                      <w:r>
                        <w:rPr>
                          <w:rFonts w:ascii="Avenir Next Condensed"/>
                          <w:spacing w:val="-4"/>
                          <w:sz w:val="20"/>
                        </w:rPr>
                        <w:t xml:space="preserve"> </w:t>
                      </w:r>
                      <w:r>
                        <w:rPr>
                          <w:rFonts w:ascii="Avenir Next Condensed"/>
                          <w:spacing w:val="-2"/>
                          <w:sz w:val="20"/>
                        </w:rPr>
                        <w:t>should</w:t>
                      </w:r>
                      <w:r>
                        <w:rPr>
                          <w:rFonts w:ascii="Avenir Next Condensed"/>
                          <w:spacing w:val="-4"/>
                          <w:sz w:val="20"/>
                        </w:rPr>
                        <w:t xml:space="preserve"> </w:t>
                      </w:r>
                      <w:r>
                        <w:rPr>
                          <w:rFonts w:ascii="Avenir Next Condensed"/>
                          <w:spacing w:val="-2"/>
                          <w:sz w:val="20"/>
                        </w:rPr>
                        <w:t>contribute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recovery</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investments</w:t>
                      </w:r>
                      <w:r>
                        <w:rPr>
                          <w:rFonts w:ascii="Avenir Next Condensed"/>
                          <w:spacing w:val="-4"/>
                          <w:sz w:val="20"/>
                        </w:rPr>
                        <w:t xml:space="preserve"> </w:t>
                      </w:r>
                      <w:r>
                        <w:rPr>
                          <w:rFonts w:ascii="Avenir Next Condensed"/>
                          <w:spacing w:val="-3"/>
                          <w:sz w:val="20"/>
                        </w:rPr>
                        <w:t>from</w:t>
                      </w:r>
                      <w:r>
                        <w:rPr>
                          <w:rFonts w:ascii="Avenir Next Condensed"/>
                          <w:spacing w:val="82"/>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they</w:t>
                      </w:r>
                      <w:r>
                        <w:rPr>
                          <w:rFonts w:ascii="Avenir Next Condensed"/>
                          <w:spacing w:val="-4"/>
                          <w:sz w:val="20"/>
                        </w:rPr>
                        <w:t xml:space="preserve"> </w:t>
                      </w:r>
                      <w:r>
                        <w:rPr>
                          <w:rFonts w:ascii="Avenir Next Condensed"/>
                          <w:spacing w:val="-2"/>
                          <w:sz w:val="20"/>
                        </w:rPr>
                        <w:t>derive</w:t>
                      </w:r>
                      <w:r>
                        <w:rPr>
                          <w:rFonts w:ascii="Avenir Next Condensed"/>
                          <w:spacing w:val="-4"/>
                          <w:sz w:val="20"/>
                        </w:rPr>
                        <w:t xml:space="preserve"> </w:t>
                      </w:r>
                      <w:r>
                        <w:rPr>
                          <w:rFonts w:ascii="Avenir Next Condensed"/>
                          <w:spacing w:val="-2"/>
                          <w:sz w:val="20"/>
                        </w:rPr>
                        <w:t xml:space="preserve">benefits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their</w:t>
                      </w:r>
                      <w:r>
                        <w:rPr>
                          <w:rFonts w:ascii="Avenir Next Condensed"/>
                          <w:spacing w:val="-4"/>
                          <w:sz w:val="20"/>
                        </w:rPr>
                        <w:t xml:space="preserve"> </w:t>
                      </w:r>
                      <w:r>
                        <w:rPr>
                          <w:rFonts w:ascii="Avenir Next Condensed"/>
                          <w:spacing w:val="-2"/>
                          <w:sz w:val="20"/>
                        </w:rPr>
                        <w:t>share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those</w:t>
                      </w:r>
                      <w:r>
                        <w:rPr>
                          <w:rFonts w:ascii="Avenir Next Condensed"/>
                          <w:spacing w:val="-4"/>
                          <w:sz w:val="20"/>
                        </w:rPr>
                        <w:t xml:space="preserve"> </w:t>
                      </w:r>
                      <w:r>
                        <w:rPr>
                          <w:rFonts w:ascii="Avenir Next Condensed"/>
                          <w:spacing w:val="-2"/>
                          <w:sz w:val="20"/>
                        </w:rPr>
                        <w:t>benefits</w:t>
                      </w:r>
                    </w:p>
                    <w:p w:rsidR="008A79D5" w:rsidRDefault="008A79D5">
                      <w:pPr>
                        <w:numPr>
                          <w:ilvl w:val="0"/>
                          <w:numId w:val="88"/>
                        </w:numPr>
                        <w:tabs>
                          <w:tab w:val="left" w:pos="227"/>
                          <w:tab w:val="left" w:pos="1936"/>
                        </w:tabs>
                        <w:spacing w:before="56" w:line="260" w:lineRule="exact"/>
                        <w:ind w:hanging="226"/>
                        <w:rPr>
                          <w:rFonts w:ascii="Avenir Next Condensed" w:eastAsia="Avenir Next Condensed" w:hAnsi="Avenir Next Condensed" w:cs="Avenir Next Condensed"/>
                          <w:sz w:val="20"/>
                          <w:szCs w:val="20"/>
                        </w:rPr>
                      </w:pPr>
                      <w:r>
                        <w:rPr>
                          <w:rFonts w:ascii="Avenir Next Condensed"/>
                          <w:b/>
                          <w:spacing w:val="-2"/>
                          <w:sz w:val="20"/>
                        </w:rPr>
                        <w:t>Operating</w:t>
                      </w:r>
                      <w:r>
                        <w:rPr>
                          <w:rFonts w:ascii="Avenir Next Condensed"/>
                          <w:b/>
                          <w:spacing w:val="-4"/>
                          <w:sz w:val="20"/>
                        </w:rPr>
                        <w:t xml:space="preserve"> </w:t>
                      </w:r>
                      <w:r>
                        <w:rPr>
                          <w:rFonts w:ascii="Avenir Next Condensed"/>
                          <w:b/>
                          <w:spacing w:val="-3"/>
                          <w:sz w:val="20"/>
                        </w:rPr>
                        <w:t>expenditure:</w:t>
                      </w:r>
                      <w:r>
                        <w:rPr>
                          <w:rFonts w:ascii="Avenir Next Condensed"/>
                          <w:b/>
                          <w:spacing w:val="-11"/>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operating</w:t>
                      </w:r>
                      <w:r>
                        <w:rPr>
                          <w:rFonts w:ascii="Avenir Next Condensed"/>
                          <w:spacing w:val="-4"/>
                          <w:sz w:val="20"/>
                        </w:rPr>
                        <w:t xml:space="preserve"> </w:t>
                      </w:r>
                      <w:r>
                        <w:rPr>
                          <w:rFonts w:ascii="Avenir Next Condensed"/>
                          <w:spacing w:val="-3"/>
                          <w:sz w:val="20"/>
                        </w:rPr>
                        <w:t>expenditure</w:t>
                      </w:r>
                      <w:r>
                        <w:rPr>
                          <w:rFonts w:ascii="Avenir Next Condensed"/>
                          <w:spacing w:val="-4"/>
                          <w:sz w:val="20"/>
                        </w:rPr>
                        <w:t xml:space="preserve"> </w:t>
                      </w:r>
                      <w:r>
                        <w:rPr>
                          <w:rFonts w:ascii="Avenir Next Condensed"/>
                          <w:spacing w:val="-2"/>
                          <w:sz w:val="20"/>
                        </w:rPr>
                        <w:t>should</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such</w:t>
                      </w:r>
                      <w:r>
                        <w:rPr>
                          <w:rFonts w:ascii="Avenir Next Condensed"/>
                          <w:spacing w:val="-4"/>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2"/>
                          <w:sz w:val="20"/>
                        </w:rPr>
                        <w:t>would</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incurred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prudent</w:t>
                      </w:r>
                      <w:r>
                        <w:rPr>
                          <w:rFonts w:ascii="Avenir Next Condensed"/>
                          <w:spacing w:val="-4"/>
                          <w:sz w:val="20"/>
                        </w:rPr>
                        <w:t xml:space="preserve"> </w:t>
                      </w:r>
                      <w:r>
                        <w:rPr>
                          <w:rFonts w:ascii="Avenir Next Condensed"/>
                          <w:spacing w:val="-2"/>
                          <w:sz w:val="20"/>
                        </w:rPr>
                        <w:t>service</w:t>
                      </w:r>
                      <w:r>
                        <w:rPr>
                          <w:rFonts w:ascii="Avenir Next Condensed"/>
                          <w:spacing w:val="62"/>
                          <w:sz w:val="20"/>
                        </w:rPr>
                        <w:t xml:space="preserve"> </w:t>
                      </w:r>
                      <w:r>
                        <w:rPr>
                          <w:rFonts w:ascii="Avenir Next Condensed"/>
                          <w:spacing w:val="-2"/>
                          <w:sz w:val="20"/>
                        </w:rPr>
                        <w:t>provider</w:t>
                      </w:r>
                      <w:r>
                        <w:rPr>
                          <w:rFonts w:ascii="Avenir Next Condensed"/>
                          <w:spacing w:val="-4"/>
                          <w:sz w:val="20"/>
                        </w:rPr>
                        <w:t xml:space="preserve"> </w:t>
                      </w:r>
                      <w:r>
                        <w:rPr>
                          <w:rFonts w:ascii="Avenir Next Condensed"/>
                          <w:spacing w:val="-2"/>
                          <w:sz w:val="20"/>
                        </w:rPr>
                        <w:t>acting</w:t>
                      </w:r>
                      <w:r>
                        <w:rPr>
                          <w:rFonts w:ascii="Avenir Next Condensed"/>
                          <w:spacing w:val="-4"/>
                          <w:sz w:val="20"/>
                        </w:rPr>
                        <w:t xml:space="preserve"> </w:t>
                      </w:r>
                      <w:r>
                        <w:rPr>
                          <w:rFonts w:ascii="Avenir Next Condensed"/>
                          <w:spacing w:val="-2"/>
                          <w:sz w:val="20"/>
                        </w:rPr>
                        <w:t>efficiently</w:t>
                      </w:r>
                      <w:r>
                        <w:rPr>
                          <w:rFonts w:ascii="Avenir Next Condensed"/>
                          <w:spacing w:val="-2"/>
                          <w:sz w:val="20"/>
                        </w:rPr>
                        <w:tab/>
                      </w:r>
                      <w:r>
                        <w:rPr>
                          <w:rFonts w:ascii="Avenir Next Condensed"/>
                          <w:sz w:val="20"/>
                        </w:rPr>
                        <w:t>,</w:t>
                      </w:r>
                      <w:r>
                        <w:rPr>
                          <w:rFonts w:ascii="Avenir Next Condensed"/>
                          <w:spacing w:val="-10"/>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accordance</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accepted</w:t>
                      </w:r>
                      <w:r>
                        <w:rPr>
                          <w:rFonts w:ascii="Avenir Next Condensed"/>
                          <w:spacing w:val="-4"/>
                          <w:sz w:val="20"/>
                        </w:rPr>
                        <w:t xml:space="preserve"> </w:t>
                      </w:r>
                      <w:r>
                        <w:rPr>
                          <w:rFonts w:ascii="Avenir Next Condensed"/>
                          <w:spacing w:val="-2"/>
                          <w:sz w:val="20"/>
                        </w:rPr>
                        <w:t>good</w:t>
                      </w:r>
                      <w:r>
                        <w:rPr>
                          <w:rFonts w:ascii="Avenir Next Condensed"/>
                          <w:spacing w:val="-4"/>
                          <w:sz w:val="20"/>
                        </w:rPr>
                        <w:t xml:space="preserve"> </w:t>
                      </w:r>
                      <w:r>
                        <w:rPr>
                          <w:rFonts w:ascii="Avenir Next Condensed"/>
                          <w:spacing w:val="-2"/>
                          <w:sz w:val="20"/>
                        </w:rPr>
                        <w:t>industry</w:t>
                      </w:r>
                      <w:r>
                        <w:rPr>
                          <w:rFonts w:ascii="Avenir Next Condensed"/>
                          <w:spacing w:val="-4"/>
                          <w:sz w:val="20"/>
                        </w:rPr>
                        <w:t xml:space="preserve"> </w:t>
                      </w:r>
                      <w:r>
                        <w:rPr>
                          <w:rFonts w:ascii="Avenir Next Condensed"/>
                          <w:spacing w:val="-2"/>
                          <w:sz w:val="20"/>
                        </w:rPr>
                        <w:t>practice,</w:t>
                      </w:r>
                      <w:r>
                        <w:rPr>
                          <w:rFonts w:ascii="Avenir Next Condensed"/>
                          <w:spacing w:val="-10"/>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achieve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lowest</w:t>
                      </w:r>
                      <w:r>
                        <w:rPr>
                          <w:rFonts w:ascii="Avenir Next Condensed"/>
                          <w:spacing w:val="-4"/>
                          <w:sz w:val="20"/>
                        </w:rPr>
                        <w:t xml:space="preserve"> </w:t>
                      </w:r>
                      <w:r>
                        <w:rPr>
                          <w:rFonts w:ascii="Avenir Next Condensed"/>
                          <w:spacing w:val="-2"/>
                          <w:sz w:val="20"/>
                        </w:rPr>
                        <w:t>sustainable</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delivering</w:t>
                      </w:r>
                      <w:r>
                        <w:rPr>
                          <w:rFonts w:ascii="Avenir Next Condensed"/>
                          <w:spacing w:val="4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service.</w:t>
                      </w:r>
                    </w:p>
                  </w:txbxContent>
                </v:textbox>
              </v:shape>
              <v:shape id="_x0000_s3223" type="#_x0000_t202" style="position:absolute;left:170;top:3740;width:5089;height:460" filled="f" stroked="f">
                <v:textbox style="mso-next-textbox:#_x0000_s3223" inset="0,0,0,0">
                  <w:txbxContent>
                    <w:p w:rsidR="008A79D5" w:rsidRPr="004C7CB7" w:rsidRDefault="008A79D5" w:rsidP="004C7CB7">
                      <w:pPr>
                        <w:rPr>
                          <w:szCs w:val="20"/>
                        </w:rPr>
                      </w:pPr>
                    </w:p>
                  </w:txbxContent>
                </v:textbox>
              </v:shape>
              <v:shape id="_x0000_s3222" type="#_x0000_t202" style="position:absolute;left:5623;top:3740;width:90;height:200" filled="f" stroked="f">
                <v:textbox style="mso-next-textbox:#_x0000_s3222" inset="0,0,0,0">
                  <w:txbxContent>
                    <w:p w:rsidR="008A79D5" w:rsidRPr="00B45286" w:rsidRDefault="008A79D5" w:rsidP="00B45286">
                      <w:pPr>
                        <w:rPr>
                          <w:szCs w:val="20"/>
                        </w:rPr>
                      </w:pPr>
                    </w:p>
                  </w:txbxContent>
                </v:textbox>
              </v:shape>
              <v:shape id="_x0000_s3221" type="#_x0000_t202" style="position:absolute;left:6301;top:3740;width:2722;height:200" filled="f" stroked="f">
                <v:textbox style="mso-next-textbox:#_x0000_s3221" inset="0,0,0,0">
                  <w:txbxContent>
                    <w:p w:rsidR="008A79D5" w:rsidRPr="004C7CB7" w:rsidRDefault="008A79D5" w:rsidP="004C7CB7">
                      <w:pPr>
                        <w:rPr>
                          <w:szCs w:val="20"/>
                        </w:rPr>
                      </w:pPr>
                    </w:p>
                  </w:txbxContent>
                </v:textbox>
              </v:shape>
              <v:shape id="_x0000_s3220" type="#_x0000_t202" style="position:absolute;left:170;top:4317;width:8898;height:200" filled="f" stroked="f">
                <v:textbox style="mso-next-textbox:#_x0000_s3220" inset="0,0,0,0">
                  <w:txbxContent>
                    <w:p w:rsidR="008A79D5" w:rsidRDefault="008A79D5" w:rsidP="004C7CB7">
                      <w:pPr>
                        <w:tabs>
                          <w:tab w:val="left" w:pos="227"/>
                          <w:tab w:val="left" w:pos="7902"/>
                        </w:tabs>
                        <w:spacing w:line="200" w:lineRule="exact"/>
                        <w:rPr>
                          <w:rFonts w:ascii="Avenir Next Condensed" w:eastAsia="Avenir Next Condensed" w:hAnsi="Avenir Next Condensed" w:cs="Avenir Next Condensed"/>
                          <w:sz w:val="20"/>
                          <w:szCs w:val="20"/>
                        </w:rPr>
                      </w:pPr>
                    </w:p>
                  </w:txbxContent>
                </v:textbox>
              </v:shape>
            </v:group>
            <w10:wrap type="none"/>
            <w10:anchorlock/>
          </v:group>
        </w:pict>
      </w:r>
    </w:p>
    <w:p w:rsidR="00D96B91" w:rsidRDefault="00C2656B">
      <w:pPr>
        <w:pStyle w:val="Heading6"/>
        <w:numPr>
          <w:ilvl w:val="2"/>
          <w:numId w:val="89"/>
        </w:numPr>
        <w:tabs>
          <w:tab w:val="left" w:pos="2098"/>
        </w:tabs>
        <w:spacing w:before="80"/>
        <w:ind w:hanging="850"/>
      </w:pPr>
      <w:r>
        <w:rPr>
          <w:color w:val="0778BE"/>
          <w:spacing w:val="-4"/>
        </w:rPr>
        <w:t>Treatment</w:t>
      </w:r>
      <w:r>
        <w:rPr>
          <w:color w:val="0778BE"/>
        </w:rPr>
        <w:t xml:space="preserve"> of</w:t>
      </w:r>
      <w:r>
        <w:rPr>
          <w:color w:val="0778BE"/>
          <w:spacing w:val="5"/>
        </w:rPr>
        <w:t xml:space="preserve"> </w:t>
      </w:r>
      <w:r>
        <w:rPr>
          <w:color w:val="0778BE"/>
        </w:rPr>
        <w:t xml:space="preserve">the </w:t>
      </w:r>
      <w:r>
        <w:rPr>
          <w:color w:val="0778BE"/>
          <w:spacing w:val="-1"/>
        </w:rPr>
        <w:t>water</w:t>
      </w:r>
      <w:r>
        <w:rPr>
          <w:color w:val="0778BE"/>
        </w:rPr>
        <w:t xml:space="preserve"> security </w:t>
      </w:r>
      <w:r>
        <w:rPr>
          <w:color w:val="0778BE"/>
          <w:spacing w:val="-1"/>
        </w:rPr>
        <w:t>projects</w:t>
      </w:r>
    </w:p>
    <w:p w:rsidR="00D96B91" w:rsidRDefault="00C2656B">
      <w:pPr>
        <w:pStyle w:val="BodyText"/>
        <w:spacing w:before="21" w:line="260" w:lineRule="exact"/>
        <w:ind w:right="1609"/>
        <w:rPr>
          <w:rFonts w:cs="Avenir Next"/>
        </w:rPr>
      </w:pPr>
      <w:r>
        <w:rPr>
          <w:rFonts w:cs="Avenir Next"/>
        </w:rPr>
        <w:t xml:space="preserve">As Chapter </w:t>
      </w:r>
      <w:hyperlink w:anchor="_bookmark11" w:history="1">
        <w:r>
          <w:t>3</w:t>
        </w:r>
      </w:hyperlink>
      <w:r>
        <w:t xml:space="preserve"> </w:t>
      </w:r>
      <w:r>
        <w:rPr>
          <w:rFonts w:cs="Avenir Next"/>
        </w:rPr>
        <w:t>discussed,</w:t>
      </w:r>
      <w:r>
        <w:rPr>
          <w:rFonts w:cs="Avenir Next"/>
          <w:spacing w:val="-6"/>
        </w:rPr>
        <w:t xml:space="preserve"> </w:t>
      </w:r>
      <w:r>
        <w:rPr>
          <w:rFonts w:cs="Avenir Next"/>
          <w:spacing w:val="-1"/>
        </w:rPr>
        <w:t>towards</w:t>
      </w:r>
      <w:r>
        <w:rPr>
          <w:rFonts w:cs="Avenir Next"/>
        </w:rPr>
        <w:t xml:space="preserve"> the end of</w:t>
      </w:r>
      <w:r>
        <w:rPr>
          <w:rFonts w:cs="Avenir Next"/>
          <w:spacing w:val="4"/>
        </w:rPr>
        <w:t xml:space="preserve"> </w:t>
      </w:r>
      <w:r>
        <w:rPr>
          <w:rFonts w:cs="Avenir Next"/>
        </w:rPr>
        <w:t xml:space="preserve">the </w:t>
      </w:r>
      <w:r>
        <w:rPr>
          <w:rFonts w:cs="Avenir Next"/>
          <w:spacing w:val="-1"/>
        </w:rPr>
        <w:t>previous</w:t>
      </w:r>
      <w:r>
        <w:rPr>
          <w:rFonts w:cs="Avenir Next"/>
        </w:rPr>
        <w:t xml:space="preserve"> </w:t>
      </w:r>
      <w:r>
        <w:rPr>
          <w:rFonts w:cs="Avenir Next"/>
          <w:spacing w:val="-1"/>
        </w:rPr>
        <w:t>regulatory</w:t>
      </w:r>
      <w:r>
        <w:rPr>
          <w:rFonts w:cs="Avenir Next"/>
        </w:rPr>
        <w:t xml:space="preserve"> period,</w:t>
      </w:r>
      <w:r>
        <w:rPr>
          <w:rFonts w:cs="Avenir Next"/>
          <w:spacing w:val="-10"/>
        </w:rPr>
        <w:t xml:space="preserve"> </w:t>
      </w:r>
      <w:r>
        <w:rPr>
          <w:rFonts w:cs="Avenir Next"/>
          <w:spacing w:val="-2"/>
        </w:rPr>
        <w:t>ACTEW</w:t>
      </w:r>
      <w:r>
        <w:rPr>
          <w:rFonts w:cs="Avenir Next"/>
          <w:spacing w:val="-3"/>
        </w:rPr>
        <w:t xml:space="preserve"> </w:t>
      </w:r>
      <w:r>
        <w:rPr>
          <w:rFonts w:cs="Avenir Next"/>
        </w:rPr>
        <w:t>developed two</w:t>
      </w:r>
      <w:r>
        <w:rPr>
          <w:rFonts w:cs="Avenir Next"/>
          <w:spacing w:val="31"/>
        </w:rPr>
        <w:t xml:space="preserve"> </w:t>
      </w:r>
      <w:r>
        <w:t xml:space="preserve">major </w:t>
      </w:r>
      <w:r>
        <w:rPr>
          <w:spacing w:val="-1"/>
        </w:rPr>
        <w:t>water</w:t>
      </w:r>
      <w:r>
        <w:t xml:space="preserve"> security </w:t>
      </w:r>
      <w:r>
        <w:rPr>
          <w:spacing w:val="-1"/>
        </w:rPr>
        <w:t>projects</w:t>
      </w:r>
      <w:r>
        <w:t xml:space="preserve"> in </w:t>
      </w:r>
      <w:r>
        <w:rPr>
          <w:spacing w:val="-1"/>
        </w:rPr>
        <w:t>response</w:t>
      </w:r>
      <w:r>
        <w:t xml:space="preserve"> to the Millennium </w:t>
      </w:r>
      <w:r>
        <w:rPr>
          <w:spacing w:val="-1"/>
        </w:rPr>
        <w:t>Drought</w:t>
      </w:r>
      <w:r>
        <w:t xml:space="preserve"> – the ECD and the M2G.</w:t>
      </w:r>
      <w:r>
        <w:rPr>
          <w:spacing w:val="-7"/>
        </w:rPr>
        <w:t xml:space="preserve"> </w:t>
      </w:r>
      <w:r>
        <w:t>One</w:t>
      </w:r>
      <w:r>
        <w:rPr>
          <w:spacing w:val="29"/>
        </w:rPr>
        <w:t xml:space="preserve"> </w:t>
      </w:r>
      <w:r>
        <w:t>of</w:t>
      </w:r>
      <w:r>
        <w:rPr>
          <w:spacing w:val="3"/>
        </w:rPr>
        <w:t xml:space="preserve"> </w:t>
      </w:r>
      <w:r>
        <w:t>the specific</w:t>
      </w:r>
      <w:r>
        <w:rPr>
          <w:spacing w:val="-1"/>
        </w:rPr>
        <w:t xml:space="preserve"> matters</w:t>
      </w:r>
      <w:r>
        <w:t xml:space="preserve"> </w:t>
      </w:r>
      <w:r>
        <w:rPr>
          <w:spacing w:val="-1"/>
        </w:rPr>
        <w:t xml:space="preserve">that </w:t>
      </w:r>
      <w:r>
        <w:t>clause 1(d) of</w:t>
      </w:r>
      <w:r>
        <w:rPr>
          <w:spacing w:val="3"/>
        </w:rPr>
        <w:t xml:space="preserve"> </w:t>
      </w:r>
      <w:r>
        <w:t>the terms</w:t>
      </w:r>
      <w:r>
        <w:rPr>
          <w:spacing w:val="-1"/>
        </w:rPr>
        <w:t xml:space="preserve"> </w:t>
      </w:r>
      <w:r>
        <w:t>of</w:t>
      </w:r>
      <w:r>
        <w:rPr>
          <w:spacing w:val="4"/>
        </w:rPr>
        <w:t xml:space="preserve"> </w:t>
      </w:r>
      <w:r>
        <w:rPr>
          <w:spacing w:val="-1"/>
        </w:rPr>
        <w:t>reference</w:t>
      </w:r>
      <w:r>
        <w:t xml:space="preserve"> </w:t>
      </w:r>
      <w:r>
        <w:rPr>
          <w:spacing w:val="-1"/>
        </w:rPr>
        <w:t xml:space="preserve">requires </w:t>
      </w:r>
      <w:r>
        <w:t xml:space="preserve">the </w:t>
      </w:r>
      <w:r>
        <w:rPr>
          <w:spacing w:val="-3"/>
        </w:rPr>
        <w:t>Panel</w:t>
      </w:r>
      <w:r>
        <w:rPr>
          <w:spacing w:val="-1"/>
        </w:rPr>
        <w:t xml:space="preserve"> </w:t>
      </w:r>
      <w:r>
        <w:t>to consider when</w:t>
      </w:r>
      <w:r>
        <w:rPr>
          <w:spacing w:val="29"/>
        </w:rPr>
        <w:t xml:space="preserve"> </w:t>
      </w:r>
      <w:r>
        <w:rPr>
          <w:rFonts w:cs="Avenir Next"/>
        </w:rPr>
        <w:t xml:space="preserve">assessing these </w:t>
      </w:r>
      <w:r>
        <w:rPr>
          <w:rFonts w:cs="Avenir Next"/>
          <w:spacing w:val="-1"/>
        </w:rPr>
        <w:t>projects</w:t>
      </w:r>
      <w:r>
        <w:rPr>
          <w:rFonts w:cs="Avenir Next"/>
        </w:rPr>
        <w:t xml:space="preserve"> is:</w:t>
      </w:r>
    </w:p>
    <w:p w:rsidR="00D96B91" w:rsidRDefault="00C2656B">
      <w:pPr>
        <w:pStyle w:val="BodyText"/>
        <w:spacing w:before="170" w:line="260" w:lineRule="exact"/>
        <w:ind w:left="1644" w:right="2010"/>
        <w:rPr>
          <w:sz w:val="11"/>
          <w:szCs w:val="11"/>
        </w:rPr>
      </w:pPr>
      <w:r>
        <w:t>“the ability of</w:t>
      </w:r>
      <w:r>
        <w:rPr>
          <w:spacing w:val="4"/>
        </w:rPr>
        <w:t xml:space="preserve"> </w:t>
      </w:r>
      <w:r>
        <w:t xml:space="preserve">the pricing </w:t>
      </w:r>
      <w:r>
        <w:rPr>
          <w:spacing w:val="-1"/>
        </w:rPr>
        <w:t>path</w:t>
      </w:r>
      <w:r>
        <w:t xml:space="preserve"> to </w:t>
      </w:r>
      <w:r>
        <w:rPr>
          <w:spacing w:val="-1"/>
        </w:rPr>
        <w:t>match</w:t>
      </w:r>
      <w:r>
        <w:t xml:space="preserve"> </w:t>
      </w:r>
      <w:r>
        <w:rPr>
          <w:spacing w:val="-1"/>
        </w:rPr>
        <w:t>revenue</w:t>
      </w:r>
      <w:r>
        <w:t xml:space="preserve"> </w:t>
      </w:r>
      <w:r>
        <w:rPr>
          <w:spacing w:val="-1"/>
        </w:rPr>
        <w:t>recovery</w:t>
      </w:r>
      <w:r>
        <w:t xml:space="preserve"> </w:t>
      </w:r>
      <w:r>
        <w:rPr>
          <w:spacing w:val="-1"/>
        </w:rPr>
        <w:t>requirements</w:t>
      </w:r>
      <w:r>
        <w:t xml:space="preserve"> to the consumer</w:t>
      </w:r>
      <w:r>
        <w:rPr>
          <w:spacing w:val="33"/>
        </w:rPr>
        <w:t xml:space="preserve"> </w:t>
      </w:r>
      <w:r>
        <w:t>benefits</w:t>
      </w:r>
      <w:r>
        <w:rPr>
          <w:spacing w:val="-1"/>
        </w:rPr>
        <w:t xml:space="preserve"> </w:t>
      </w:r>
      <w:r>
        <w:t xml:space="preserve">accrued </w:t>
      </w:r>
      <w:r>
        <w:rPr>
          <w:spacing w:val="-1"/>
        </w:rPr>
        <w:t>from</w:t>
      </w:r>
      <w:r>
        <w:t xml:space="preserve"> the </w:t>
      </w:r>
      <w:r>
        <w:rPr>
          <w:spacing w:val="-1"/>
        </w:rPr>
        <w:t>water</w:t>
      </w:r>
      <w:r>
        <w:t xml:space="preserve"> security </w:t>
      </w:r>
      <w:r>
        <w:rPr>
          <w:spacing w:val="-1"/>
        </w:rPr>
        <w:t>program”</w:t>
      </w:r>
      <w:r>
        <w:rPr>
          <w:spacing w:val="-1"/>
          <w:position w:val="7"/>
          <w:sz w:val="11"/>
          <w:szCs w:val="11"/>
        </w:rPr>
        <w:t>70</w:t>
      </w:r>
    </w:p>
    <w:p w:rsidR="00D96B91" w:rsidRDefault="00C2656B">
      <w:pPr>
        <w:pStyle w:val="BodyText"/>
        <w:spacing w:before="170" w:line="260" w:lineRule="exact"/>
        <w:ind w:right="1283"/>
      </w:pPr>
      <w:r>
        <w:t xml:space="preserve">In </w:t>
      </w:r>
      <w:r>
        <w:rPr>
          <w:spacing w:val="-1"/>
        </w:rPr>
        <w:t>keeping</w:t>
      </w:r>
      <w:r>
        <w:t xml:space="preserve"> with this </w:t>
      </w:r>
      <w:r>
        <w:rPr>
          <w:spacing w:val="-1"/>
        </w:rPr>
        <w:t>requirement</w:t>
      </w:r>
      <w:r>
        <w:t xml:space="preserve"> and section 20(2)(i) of</w:t>
      </w:r>
      <w:r>
        <w:rPr>
          <w:spacing w:val="4"/>
        </w:rPr>
        <w:t xml:space="preserve"> </w:t>
      </w:r>
      <w:r>
        <w:t>the</w:t>
      </w:r>
      <w:r>
        <w:rPr>
          <w:spacing w:val="-4"/>
        </w:rPr>
        <w:t xml:space="preserve"> </w:t>
      </w:r>
      <w:r>
        <w:t>Act,</w:t>
      </w:r>
      <w:r>
        <w:rPr>
          <w:spacing w:val="-6"/>
        </w:rPr>
        <w:t xml:space="preserve"> </w:t>
      </w:r>
      <w:r>
        <w:t xml:space="preserve">the </w:t>
      </w:r>
      <w:r>
        <w:rPr>
          <w:spacing w:val="-3"/>
        </w:rPr>
        <w:t>Panel</w:t>
      </w:r>
      <w:r>
        <w:t xml:space="preserve"> </w:t>
      </w:r>
      <w:r>
        <w:rPr>
          <w:spacing w:val="-1"/>
        </w:rPr>
        <w:t>considered</w:t>
      </w:r>
      <w:r>
        <w:t xml:space="preserve"> whether it was</w:t>
      </w:r>
      <w:r>
        <w:rPr>
          <w:spacing w:val="31"/>
        </w:rPr>
        <w:t xml:space="preserve"> </w:t>
      </w:r>
      <w:r>
        <w:t>possible</w:t>
      </w:r>
      <w:r>
        <w:rPr>
          <w:spacing w:val="-1"/>
        </w:rPr>
        <w:t xml:space="preserve"> </w:t>
      </w:r>
      <w:r>
        <w:t xml:space="preserve">to align the </w:t>
      </w:r>
      <w:r>
        <w:rPr>
          <w:spacing w:val="-1"/>
        </w:rPr>
        <w:t>recovery</w:t>
      </w:r>
      <w:r>
        <w:t xml:space="preserve"> of</w:t>
      </w:r>
      <w:r>
        <w:rPr>
          <w:spacing w:val="4"/>
        </w:rPr>
        <w:t xml:space="preserve"> </w:t>
      </w:r>
      <w:r>
        <w:t>the costs of</w:t>
      </w:r>
      <w:r>
        <w:rPr>
          <w:spacing w:val="4"/>
        </w:rPr>
        <w:t xml:space="preserve"> </w:t>
      </w:r>
      <w:r>
        <w:t xml:space="preserve">the ECD and </w:t>
      </w:r>
      <w:r>
        <w:rPr>
          <w:spacing w:val="-1"/>
        </w:rPr>
        <w:t>M2G</w:t>
      </w:r>
      <w:r>
        <w:rPr>
          <w:spacing w:val="-1"/>
          <w:position w:val="7"/>
          <w:sz w:val="11"/>
          <w:szCs w:val="11"/>
        </w:rPr>
        <w:t>71</w:t>
      </w:r>
      <w:r>
        <w:rPr>
          <w:spacing w:val="22"/>
          <w:position w:val="7"/>
          <w:sz w:val="11"/>
          <w:szCs w:val="11"/>
        </w:rPr>
        <w:t xml:space="preserve"> </w:t>
      </w:r>
      <w:r>
        <w:t xml:space="preserve">with the benefits </w:t>
      </w:r>
      <w:r>
        <w:rPr>
          <w:spacing w:val="-1"/>
        </w:rPr>
        <w:t>that</w:t>
      </w:r>
      <w:r>
        <w:t xml:space="preserve"> customers </w:t>
      </w:r>
      <w:r>
        <w:rPr>
          <w:spacing w:val="-2"/>
        </w:rPr>
        <w:t>are</w:t>
      </w:r>
      <w:r>
        <w:rPr>
          <w:spacing w:val="25"/>
        </w:rPr>
        <w:t xml:space="preserve"> </w:t>
      </w:r>
      <w:r>
        <w:rPr>
          <w:spacing w:val="-1"/>
        </w:rPr>
        <w:t xml:space="preserve">expected </w:t>
      </w:r>
      <w:r>
        <w:t>to</w:t>
      </w:r>
      <w:r>
        <w:rPr>
          <w:spacing w:val="-1"/>
        </w:rPr>
        <w:t xml:space="preserve"> </w:t>
      </w:r>
      <w:r>
        <w:t>derive over</w:t>
      </w:r>
      <w:r>
        <w:rPr>
          <w:spacing w:val="-1"/>
        </w:rPr>
        <w:t xml:space="preserve"> </w:t>
      </w:r>
      <w:r>
        <w:t>the</w:t>
      </w:r>
      <w:r>
        <w:rPr>
          <w:spacing w:val="-1"/>
        </w:rPr>
        <w:t xml:space="preserve"> </w:t>
      </w:r>
      <w:r>
        <w:t>lives of</w:t>
      </w:r>
      <w:r>
        <w:rPr>
          <w:spacing w:val="3"/>
        </w:rPr>
        <w:t xml:space="preserve"> </w:t>
      </w:r>
      <w:r>
        <w:t>these assets,</w:t>
      </w:r>
      <w:r>
        <w:rPr>
          <w:spacing w:val="-7"/>
        </w:rPr>
        <w:t xml:space="preserve"> </w:t>
      </w:r>
      <w:r>
        <w:t>whilst</w:t>
      </w:r>
      <w:r>
        <w:rPr>
          <w:spacing w:val="-1"/>
        </w:rPr>
        <w:t xml:space="preserve"> </w:t>
      </w:r>
      <w:r>
        <w:t>also allowing</w:t>
      </w:r>
      <w:r>
        <w:rPr>
          <w:spacing w:val="-5"/>
        </w:rPr>
        <w:t xml:space="preserve"> </w:t>
      </w:r>
      <w:r>
        <w:rPr>
          <w:spacing w:val="-2"/>
        </w:rPr>
        <w:t>ACTEW</w:t>
      </w:r>
      <w:r>
        <w:rPr>
          <w:spacing w:val="-3"/>
        </w:rPr>
        <w:t xml:space="preserve"> </w:t>
      </w:r>
      <w:r>
        <w:t>to</w:t>
      </w:r>
      <w:r>
        <w:rPr>
          <w:spacing w:val="-1"/>
        </w:rPr>
        <w:t xml:space="preserve"> remain </w:t>
      </w:r>
      <w:r>
        <w:t>financially</w:t>
      </w:r>
      <w:r>
        <w:rPr>
          <w:spacing w:val="25"/>
          <w:w w:val="99"/>
        </w:rPr>
        <w:t xml:space="preserve"> </w:t>
      </w:r>
      <w:r>
        <w:t>viable.</w:t>
      </w:r>
      <w:r>
        <w:rPr>
          <w:spacing w:val="-11"/>
        </w:rPr>
        <w:t xml:space="preserve"> </w:t>
      </w:r>
      <w:r>
        <w:rPr>
          <w:spacing w:val="-2"/>
        </w:rPr>
        <w:t>The</w:t>
      </w:r>
      <w:r>
        <w:t xml:space="preserve"> </w:t>
      </w:r>
      <w:r>
        <w:rPr>
          <w:spacing w:val="-4"/>
        </w:rPr>
        <w:t>Panel’s</w:t>
      </w:r>
      <w:r>
        <w:t xml:space="preserve"> </w:t>
      </w:r>
      <w:r>
        <w:rPr>
          <w:spacing w:val="-2"/>
        </w:rPr>
        <w:t>draft</w:t>
      </w:r>
      <w:r>
        <w:t xml:space="preserve"> decision on the </w:t>
      </w:r>
      <w:r>
        <w:rPr>
          <w:spacing w:val="-1"/>
        </w:rPr>
        <w:t>treatment</w:t>
      </w:r>
      <w:r>
        <w:t xml:space="preserve"> of</w:t>
      </w:r>
      <w:r>
        <w:rPr>
          <w:spacing w:val="4"/>
        </w:rPr>
        <w:t xml:space="preserve"> </w:t>
      </w:r>
      <w:r>
        <w:rPr>
          <w:spacing w:val="-1"/>
        </w:rPr>
        <w:t>water</w:t>
      </w:r>
      <w:r>
        <w:t xml:space="preserve"> security </w:t>
      </w:r>
      <w:r>
        <w:rPr>
          <w:spacing w:val="-1"/>
        </w:rPr>
        <w:t>projects</w:t>
      </w:r>
      <w:r>
        <w:t xml:space="preserve"> is set out in Chapter 8.</w:t>
      </w:r>
    </w:p>
    <w:p w:rsidR="00D96B91" w:rsidRDefault="00D96B91">
      <w:pPr>
        <w:spacing w:before="2"/>
        <w:rPr>
          <w:rFonts w:ascii="Avenir Next" w:eastAsia="Avenir Next" w:hAnsi="Avenir Next" w:cs="Avenir Next"/>
          <w:sz w:val="21"/>
          <w:szCs w:val="21"/>
        </w:rPr>
      </w:pPr>
    </w:p>
    <w:p w:rsidR="00D96B91" w:rsidRDefault="00C2656B">
      <w:pPr>
        <w:pStyle w:val="Heading6"/>
        <w:numPr>
          <w:ilvl w:val="2"/>
          <w:numId w:val="89"/>
        </w:numPr>
        <w:tabs>
          <w:tab w:val="left" w:pos="2098"/>
        </w:tabs>
        <w:spacing w:line="288" w:lineRule="exact"/>
        <w:ind w:right="2043" w:hanging="850"/>
      </w:pPr>
      <w:r>
        <w:rPr>
          <w:color w:val="0778BE"/>
        </w:rPr>
        <w:t xml:space="preserve">Deduct income </w:t>
      </w:r>
      <w:r>
        <w:rPr>
          <w:color w:val="0778BE"/>
          <w:spacing w:val="-2"/>
        </w:rPr>
        <w:t>from</w:t>
      </w:r>
      <w:r>
        <w:rPr>
          <w:color w:val="0778BE"/>
        </w:rPr>
        <w:t xml:space="preserve"> other </w:t>
      </w:r>
      <w:r>
        <w:rPr>
          <w:color w:val="0778BE"/>
          <w:spacing w:val="-1"/>
        </w:rPr>
        <w:t>sources</w:t>
      </w:r>
      <w:r>
        <w:rPr>
          <w:color w:val="0778BE"/>
        </w:rPr>
        <w:t xml:space="preserve"> and </w:t>
      </w:r>
      <w:r>
        <w:rPr>
          <w:color w:val="0778BE"/>
          <w:spacing w:val="-1"/>
        </w:rPr>
        <w:t>expenditure</w:t>
      </w:r>
      <w:r>
        <w:rPr>
          <w:color w:val="0778BE"/>
        </w:rPr>
        <w:t xml:space="preserve"> </w:t>
      </w:r>
      <w:r>
        <w:rPr>
          <w:color w:val="0778BE"/>
          <w:spacing w:val="-1"/>
        </w:rPr>
        <w:t>that</w:t>
      </w:r>
      <w:r>
        <w:rPr>
          <w:color w:val="0778BE"/>
        </w:rPr>
        <w:t xml:space="preserve"> should not be</w:t>
      </w:r>
      <w:r>
        <w:rPr>
          <w:color w:val="0778BE"/>
          <w:spacing w:val="30"/>
        </w:rPr>
        <w:t xml:space="preserve"> </w:t>
      </w:r>
      <w:r>
        <w:rPr>
          <w:color w:val="0778BE"/>
          <w:spacing w:val="-2"/>
        </w:rPr>
        <w:t>recovered</w:t>
      </w:r>
      <w:r>
        <w:rPr>
          <w:color w:val="0778BE"/>
        </w:rPr>
        <w:t xml:space="preserve"> in prices</w:t>
      </w:r>
    </w:p>
    <w:p w:rsidR="00D96B91" w:rsidRDefault="00C2656B">
      <w:pPr>
        <w:pStyle w:val="BodyText"/>
        <w:spacing w:before="51" w:line="260" w:lineRule="exact"/>
        <w:ind w:right="1548"/>
        <w:rPr>
          <w:rFonts w:cs="Avenir Next"/>
        </w:rPr>
      </w:pPr>
      <w:r>
        <w:t>Once</w:t>
      </w:r>
      <w:r>
        <w:rPr>
          <w:spacing w:val="-1"/>
        </w:rPr>
        <w:t xml:space="preserve"> </w:t>
      </w:r>
      <w:r>
        <w:t xml:space="preserve">the </w:t>
      </w:r>
      <w:r>
        <w:rPr>
          <w:spacing w:val="-3"/>
        </w:rPr>
        <w:t>Panel</w:t>
      </w:r>
      <w:r>
        <w:rPr>
          <w:spacing w:val="-1"/>
        </w:rPr>
        <w:t xml:space="preserve"> calculated</w:t>
      </w:r>
      <w:r>
        <w:t xml:space="preserve"> the total</w:t>
      </w:r>
      <w:r>
        <w:rPr>
          <w:spacing w:val="-1"/>
        </w:rPr>
        <w:t xml:space="preserve"> revenue</w:t>
      </w:r>
      <w:r>
        <w:t xml:space="preserve"> </w:t>
      </w:r>
      <w:r>
        <w:rPr>
          <w:spacing w:val="-1"/>
        </w:rPr>
        <w:t xml:space="preserve">requirement </w:t>
      </w:r>
      <w:r>
        <w:t>for the full</w:t>
      </w:r>
      <w:r>
        <w:rPr>
          <w:spacing w:val="-1"/>
        </w:rPr>
        <w:t xml:space="preserve"> five-year</w:t>
      </w:r>
      <w:r>
        <w:t xml:space="preserve"> period,</w:t>
      </w:r>
      <w:r>
        <w:rPr>
          <w:spacing w:val="-7"/>
        </w:rPr>
        <w:t xml:space="preserve"> </w:t>
      </w:r>
      <w:r>
        <w:t>it deducted the</w:t>
      </w:r>
      <w:r>
        <w:rPr>
          <w:spacing w:val="49"/>
        </w:rPr>
        <w:t xml:space="preserve"> </w:t>
      </w:r>
      <w:r>
        <w:t xml:space="preserve">following items to </w:t>
      </w:r>
      <w:r>
        <w:rPr>
          <w:spacing w:val="-1"/>
        </w:rPr>
        <w:t>calculate</w:t>
      </w:r>
      <w:r>
        <w:t xml:space="preserve"> the net </w:t>
      </w:r>
      <w:r>
        <w:rPr>
          <w:spacing w:val="-1"/>
        </w:rPr>
        <w:t>revenue</w:t>
      </w:r>
      <w:r>
        <w:t xml:space="preserve"> </w:t>
      </w:r>
      <w:r>
        <w:rPr>
          <w:spacing w:val="-1"/>
        </w:rPr>
        <w:t>requirement</w:t>
      </w:r>
      <w:r>
        <w:t xml:space="preserve"> to be </w:t>
      </w:r>
      <w:r>
        <w:rPr>
          <w:spacing w:val="-1"/>
        </w:rPr>
        <w:t>recovered</w:t>
      </w:r>
      <w:r>
        <w:t xml:space="preserve"> </w:t>
      </w:r>
      <w:r>
        <w:rPr>
          <w:spacing w:val="-1"/>
        </w:rPr>
        <w:t>from</w:t>
      </w:r>
      <w:r>
        <w:t xml:space="preserve"> </w:t>
      </w:r>
      <w:r>
        <w:rPr>
          <w:spacing w:val="-1"/>
        </w:rPr>
        <w:t>water</w:t>
      </w:r>
      <w:r>
        <w:t xml:space="preserve"> and </w:t>
      </w:r>
      <w:r>
        <w:rPr>
          <w:spacing w:val="-1"/>
        </w:rPr>
        <w:t>sewerage</w:t>
      </w:r>
      <w:r>
        <w:rPr>
          <w:spacing w:val="41"/>
        </w:rPr>
        <w:t xml:space="preserve"> </w:t>
      </w:r>
      <w:r>
        <w:rPr>
          <w:spacing w:val="-1"/>
        </w:rPr>
        <w:t>charges:</w:t>
      </w:r>
    </w:p>
    <w:p w:rsidR="00D96B91" w:rsidRDefault="00C2656B">
      <w:pPr>
        <w:pStyle w:val="BodyText"/>
        <w:numPr>
          <w:ilvl w:val="0"/>
          <w:numId w:val="131"/>
        </w:numPr>
        <w:tabs>
          <w:tab w:val="left" w:pos="1531"/>
        </w:tabs>
        <w:spacing w:before="178"/>
        <w:ind w:hanging="283"/>
        <w:rPr>
          <w:rFonts w:cs="Avenir Next"/>
        </w:rPr>
      </w:pPr>
      <w:r>
        <w:t>Income</w:t>
      </w:r>
      <w:r>
        <w:rPr>
          <w:spacing w:val="-4"/>
        </w:rPr>
        <w:t xml:space="preserve"> </w:t>
      </w:r>
      <w:r>
        <w:rPr>
          <w:spacing w:val="-2"/>
        </w:rPr>
        <w:t>ACTEW</w:t>
      </w:r>
      <w:r>
        <w:rPr>
          <w:spacing w:val="-3"/>
        </w:rPr>
        <w:t xml:space="preserve"> </w:t>
      </w:r>
      <w:r>
        <w:t xml:space="preserve">is </w:t>
      </w:r>
      <w:r>
        <w:rPr>
          <w:spacing w:val="-1"/>
        </w:rPr>
        <w:t>expected</w:t>
      </w:r>
      <w:r>
        <w:t xml:space="preserve"> to derive </w:t>
      </w:r>
      <w:r>
        <w:rPr>
          <w:spacing w:val="-1"/>
        </w:rPr>
        <w:t>from</w:t>
      </w:r>
      <w:r>
        <w:t xml:space="preserve"> the following </w:t>
      </w:r>
      <w:r>
        <w:rPr>
          <w:spacing w:val="-1"/>
        </w:rPr>
        <w:t>sources</w:t>
      </w:r>
      <w:r>
        <w:t xml:space="preserve"> over the </w:t>
      </w:r>
      <w:r>
        <w:rPr>
          <w:spacing w:val="-1"/>
        </w:rPr>
        <w:t>regulatory</w:t>
      </w:r>
      <w:r>
        <w:t xml:space="preserve"> period:</w:t>
      </w:r>
    </w:p>
    <w:p w:rsidR="00D96B91" w:rsidRDefault="00C2656B">
      <w:pPr>
        <w:pStyle w:val="BodyText"/>
        <w:numPr>
          <w:ilvl w:val="1"/>
          <w:numId w:val="131"/>
        </w:numPr>
        <w:tabs>
          <w:tab w:val="left" w:pos="1815"/>
        </w:tabs>
        <w:spacing w:before="72"/>
      </w:pPr>
      <w:r>
        <w:t xml:space="preserve">the </w:t>
      </w:r>
      <w:r>
        <w:rPr>
          <w:spacing w:val="-1"/>
        </w:rPr>
        <w:t>provision</w:t>
      </w:r>
      <w:r>
        <w:t xml:space="preserve"> of</w:t>
      </w:r>
      <w:r>
        <w:rPr>
          <w:spacing w:val="4"/>
        </w:rPr>
        <w:t xml:space="preserve"> </w:t>
      </w:r>
      <w:r>
        <w:t xml:space="preserve">bulk </w:t>
      </w:r>
      <w:r>
        <w:rPr>
          <w:spacing w:val="-1"/>
        </w:rPr>
        <w:t>water</w:t>
      </w:r>
      <w:r>
        <w:t xml:space="preserve"> to the </w:t>
      </w:r>
      <w:r>
        <w:rPr>
          <w:spacing w:val="-1"/>
        </w:rPr>
        <w:t>Queanbeyan</w:t>
      </w:r>
      <w:r>
        <w:t xml:space="preserve"> City </w:t>
      </w:r>
      <w:r>
        <w:rPr>
          <w:spacing w:val="-1"/>
        </w:rPr>
        <w:t>Council</w:t>
      </w:r>
    </w:p>
    <w:p w:rsidR="00D96B91" w:rsidRDefault="00C2656B">
      <w:pPr>
        <w:pStyle w:val="BodyText"/>
        <w:numPr>
          <w:ilvl w:val="1"/>
          <w:numId w:val="131"/>
        </w:numPr>
        <w:tabs>
          <w:tab w:val="left" w:pos="1815"/>
        </w:tabs>
        <w:spacing w:before="72"/>
        <w:rPr>
          <w:rFonts w:cs="Avenir Next"/>
        </w:rPr>
      </w:pPr>
      <w:r>
        <w:t>subvention payments</w:t>
      </w:r>
      <w:r>
        <w:rPr>
          <w:spacing w:val="1"/>
        </w:rPr>
        <w:t xml:space="preserve"> </w:t>
      </w:r>
      <w:r>
        <w:t>by</w:t>
      </w:r>
      <w:r>
        <w:rPr>
          <w:spacing w:val="1"/>
        </w:rPr>
        <w:t xml:space="preserve"> </w:t>
      </w:r>
      <w:r>
        <w:t>the</w:t>
      </w:r>
      <w:r>
        <w:rPr>
          <w:spacing w:val="1"/>
        </w:rPr>
        <w:t xml:space="preserve"> </w:t>
      </w:r>
      <w:r>
        <w:rPr>
          <w:spacing w:val="-1"/>
        </w:rPr>
        <w:t>Commonwealth</w:t>
      </w:r>
      <w:r>
        <w:t xml:space="preserve"> for</w:t>
      </w:r>
      <w:r>
        <w:rPr>
          <w:spacing w:val="1"/>
        </w:rPr>
        <w:t xml:space="preserve"> </w:t>
      </w:r>
      <w:r>
        <w:rPr>
          <w:spacing w:val="-1"/>
        </w:rPr>
        <w:t>water</w:t>
      </w:r>
      <w:r>
        <w:rPr>
          <w:spacing w:val="1"/>
        </w:rPr>
        <w:t xml:space="preserve"> </w:t>
      </w:r>
      <w:r>
        <w:t>and</w:t>
      </w:r>
      <w:r>
        <w:rPr>
          <w:spacing w:val="1"/>
        </w:rPr>
        <w:t xml:space="preserve"> </w:t>
      </w:r>
      <w:r>
        <w:rPr>
          <w:spacing w:val="-1"/>
        </w:rPr>
        <w:t>sewerage</w:t>
      </w:r>
      <w:r>
        <w:t xml:space="preserve"> services,</w:t>
      </w:r>
      <w:r>
        <w:rPr>
          <w:position w:val="7"/>
          <w:sz w:val="11"/>
        </w:rPr>
        <w:t>72</w:t>
      </w:r>
      <w:r>
        <w:rPr>
          <w:spacing w:val="24"/>
          <w:position w:val="7"/>
          <w:sz w:val="11"/>
        </w:rPr>
        <w:t xml:space="preserve"> </w:t>
      </w:r>
      <w:r>
        <w:t>and</w:t>
      </w:r>
    </w:p>
    <w:p w:rsidR="00D96B91" w:rsidRDefault="00C2656B">
      <w:pPr>
        <w:pStyle w:val="BodyText"/>
        <w:numPr>
          <w:ilvl w:val="1"/>
          <w:numId w:val="131"/>
        </w:numPr>
        <w:tabs>
          <w:tab w:val="left" w:pos="1815"/>
        </w:tabs>
        <w:spacing w:before="72"/>
      </w:pPr>
      <w:r>
        <w:t xml:space="preserve">miscellaneous </w:t>
      </w:r>
      <w:r>
        <w:rPr>
          <w:spacing w:val="-1"/>
        </w:rPr>
        <w:t>charges</w:t>
      </w:r>
      <w:r>
        <w:t xml:space="preserve"> and income </w:t>
      </w:r>
      <w:r>
        <w:rPr>
          <w:spacing w:val="-1"/>
        </w:rPr>
        <w:t>from</w:t>
      </w:r>
      <w:r>
        <w:t xml:space="preserve"> other </w:t>
      </w:r>
      <w:r>
        <w:rPr>
          <w:spacing w:val="-1"/>
        </w:rPr>
        <w:t>sources.</w:t>
      </w:r>
    </w:p>
    <w:p w:rsidR="00D96B91" w:rsidRDefault="00C2656B">
      <w:pPr>
        <w:pStyle w:val="BodyText"/>
        <w:numPr>
          <w:ilvl w:val="0"/>
          <w:numId w:val="131"/>
        </w:numPr>
        <w:tabs>
          <w:tab w:val="left" w:pos="1531"/>
        </w:tabs>
        <w:spacing w:before="64" w:line="260" w:lineRule="exact"/>
        <w:ind w:right="1548" w:hanging="283"/>
      </w:pPr>
      <w:r>
        <w:rPr>
          <w:spacing w:val="-1"/>
        </w:rPr>
        <w:t>Expenditure</w:t>
      </w:r>
      <w:r>
        <w:rPr>
          <w:spacing w:val="-4"/>
        </w:rPr>
        <w:t xml:space="preserve"> </w:t>
      </w:r>
      <w:r>
        <w:rPr>
          <w:spacing w:val="-2"/>
        </w:rPr>
        <w:t>ACTEW</w:t>
      </w:r>
      <w:r>
        <w:rPr>
          <w:spacing w:val="-3"/>
        </w:rPr>
        <w:t xml:space="preserve"> </w:t>
      </w:r>
      <w:r>
        <w:t xml:space="preserve">is </w:t>
      </w:r>
      <w:r>
        <w:rPr>
          <w:spacing w:val="-1"/>
        </w:rPr>
        <w:t>expected</w:t>
      </w:r>
      <w:r>
        <w:t xml:space="preserve"> to incur carrying out </w:t>
      </w:r>
      <w:r>
        <w:rPr>
          <w:spacing w:val="-1"/>
        </w:rPr>
        <w:t>works</w:t>
      </w:r>
      <w:r>
        <w:t xml:space="preserve"> </w:t>
      </w:r>
      <w:r>
        <w:rPr>
          <w:spacing w:val="-1"/>
        </w:rPr>
        <w:t>that</w:t>
      </w:r>
      <w:r>
        <w:t xml:space="preserve"> should be </w:t>
      </w:r>
      <w:r>
        <w:rPr>
          <w:spacing w:val="-2"/>
        </w:rPr>
        <w:t>treated</w:t>
      </w:r>
      <w:r>
        <w:t xml:space="preserve"> as if</w:t>
      </w:r>
      <w:r>
        <w:rPr>
          <w:spacing w:val="4"/>
        </w:rPr>
        <w:t xml:space="preserve"> </w:t>
      </w:r>
      <w:r>
        <w:t xml:space="preserve">they </w:t>
      </w:r>
      <w:r>
        <w:rPr>
          <w:spacing w:val="-1"/>
        </w:rPr>
        <w:t>were</w:t>
      </w:r>
      <w:r>
        <w:rPr>
          <w:spacing w:val="55"/>
        </w:rPr>
        <w:t xml:space="preserve"> </w:t>
      </w:r>
      <w:r>
        <w:t xml:space="preserve">funded </w:t>
      </w:r>
      <w:r>
        <w:rPr>
          <w:spacing w:val="-1"/>
        </w:rPr>
        <w:t>through</w:t>
      </w:r>
      <w:r>
        <w:t xml:space="preserve"> a CSO over the </w:t>
      </w:r>
      <w:r>
        <w:rPr>
          <w:spacing w:val="-1"/>
        </w:rPr>
        <w:t>regulatory</w:t>
      </w:r>
      <w:r>
        <w:t xml:space="preserve"> period.</w:t>
      </w:r>
    </w:p>
    <w:p w:rsidR="00D96B91" w:rsidRDefault="00D96B91">
      <w:pPr>
        <w:spacing w:before="3"/>
        <w:rPr>
          <w:rFonts w:ascii="Avenir Next" w:eastAsia="Avenir Next" w:hAnsi="Avenir Next" w:cs="Avenir Next"/>
          <w:sz w:val="17"/>
          <w:szCs w:val="17"/>
        </w:rPr>
      </w:pPr>
    </w:p>
    <w:p w:rsidR="00D96B91" w:rsidRDefault="00C2656B">
      <w:pPr>
        <w:pStyle w:val="BodyText"/>
      </w:pPr>
      <w:r>
        <w:rPr>
          <w:spacing w:val="-2"/>
        </w:rPr>
        <w:t>The</w:t>
      </w:r>
      <w:r>
        <w:t xml:space="preserve"> </w:t>
      </w:r>
      <w:r>
        <w:rPr>
          <w:spacing w:val="-4"/>
        </w:rPr>
        <w:t>Panel’s</w:t>
      </w:r>
      <w:r>
        <w:t xml:space="preserve"> </w:t>
      </w:r>
      <w:r>
        <w:rPr>
          <w:spacing w:val="-2"/>
        </w:rPr>
        <w:t>draft</w:t>
      </w:r>
      <w:r>
        <w:t xml:space="preserve"> decision on these deductions </w:t>
      </w:r>
      <w:r>
        <w:rPr>
          <w:spacing w:val="-2"/>
        </w:rPr>
        <w:t>are</w:t>
      </w:r>
      <w:r>
        <w:t xml:space="preserve"> set out in Chapter 13.</w:t>
      </w:r>
    </w:p>
    <w:p w:rsidR="00D96B91" w:rsidRDefault="00D96B91">
      <w:pPr>
        <w:spacing w:before="3"/>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15" style="width:72.5pt;height:.5pt;mso-position-horizontal-relative:char;mso-position-vertical-relative:line" coordsize="1450,10">
            <v:group id="_x0000_s3216" style="position:absolute;left:5;top:5;width:1440;height:2" coordorigin="5,5" coordsize="1440,2">
              <v:shape id="_x0000_s3217" style="position:absolute;left:5;top:5;width:1440;height:2" coordorigin="5,5" coordsize="1440,0" path="m5,5r1440,e" filled="f" strokeweight=".5pt">
                <v:path arrowok="t"/>
              </v:shape>
            </v:group>
            <w10:wrap type="none"/>
            <w10:anchorlock/>
          </v:group>
        </w:pict>
      </w:r>
    </w:p>
    <w:p w:rsidR="00D96B91" w:rsidRDefault="00C2656B">
      <w:pPr>
        <w:numPr>
          <w:ilvl w:val="0"/>
          <w:numId w:val="90"/>
        </w:numPr>
        <w:tabs>
          <w:tab w:val="left" w:pos="1758"/>
        </w:tabs>
        <w:spacing w:before="38"/>
        <w:ind w:hanging="510"/>
        <w:rPr>
          <w:rFonts w:ascii="Avenir Next" w:eastAsia="Avenir Next" w:hAnsi="Avenir Next" w:cs="Avenir Next"/>
          <w:sz w:val="16"/>
          <w:szCs w:val="16"/>
        </w:rPr>
      </w:pPr>
      <w:r>
        <w:rPr>
          <w:rFonts w:ascii="Avenir Next"/>
          <w:sz w:val="16"/>
        </w:rPr>
        <w:t>Clause 1(d) of</w:t>
      </w:r>
      <w:r>
        <w:rPr>
          <w:rFonts w:ascii="Avenir Next"/>
          <w:spacing w:val="3"/>
          <w:sz w:val="16"/>
        </w:rPr>
        <w:t xml:space="preserve"> </w:t>
      </w:r>
      <w:r>
        <w:rPr>
          <w:rFonts w:ascii="Avenir Next"/>
          <w:sz w:val="16"/>
        </w:rPr>
        <w:t>the</w:t>
      </w:r>
      <w:r>
        <w:rPr>
          <w:rFonts w:ascii="Avenir Next"/>
          <w:spacing w:val="-4"/>
          <w:sz w:val="16"/>
        </w:rPr>
        <w:t xml:space="preserve"> Terms</w:t>
      </w:r>
      <w:r>
        <w:rPr>
          <w:rFonts w:ascii="Avenir Next"/>
          <w:sz w:val="16"/>
        </w:rPr>
        <w:t xml:space="preserve"> of</w:t>
      </w:r>
      <w:r>
        <w:rPr>
          <w:rFonts w:ascii="Avenir Next"/>
          <w:spacing w:val="3"/>
          <w:sz w:val="16"/>
        </w:rPr>
        <w:t xml:space="preserve"> </w:t>
      </w:r>
      <w:r>
        <w:rPr>
          <w:rFonts w:ascii="Avenir Next"/>
          <w:spacing w:val="-1"/>
          <w:sz w:val="16"/>
        </w:rPr>
        <w:t>Reference,</w:t>
      </w:r>
      <w:r>
        <w:rPr>
          <w:rFonts w:ascii="Avenir Next"/>
          <w:spacing w:val="-5"/>
          <w:sz w:val="16"/>
        </w:rPr>
        <w:t xml:space="preserve"> </w:t>
      </w:r>
      <w:r>
        <w:rPr>
          <w:rFonts w:ascii="Avenir Next"/>
          <w:sz w:val="16"/>
        </w:rPr>
        <w:t>13 October 2011.</w:t>
      </w:r>
    </w:p>
    <w:p w:rsidR="00D96B91" w:rsidRDefault="00C2656B">
      <w:pPr>
        <w:numPr>
          <w:ilvl w:val="0"/>
          <w:numId w:val="90"/>
        </w:numPr>
        <w:tabs>
          <w:tab w:val="left" w:pos="1758"/>
        </w:tabs>
        <w:spacing w:before="128" w:line="192" w:lineRule="exact"/>
        <w:ind w:right="1596"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limitation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this analysis to the ECD and M2G is consistent with the</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w:t>
      </w:r>
      <w:r>
        <w:rPr>
          <w:rFonts w:ascii="Avenir Next" w:eastAsia="Avenir Next" w:hAnsi="Avenir Next" w:cs="Avenir Next"/>
          <w:spacing w:val="-8"/>
          <w:sz w:val="16"/>
          <w:szCs w:val="16"/>
        </w:rPr>
        <w:t xml:space="preserve"> </w:t>
      </w:r>
      <w:r>
        <w:rPr>
          <w:rFonts w:ascii="Avenir Next" w:eastAsia="Avenir Next" w:hAnsi="Avenir Next" w:cs="Avenir Next"/>
          <w:spacing w:val="-3"/>
          <w:sz w:val="16"/>
          <w:szCs w:val="16"/>
        </w:rPr>
        <w:t>Treasurer’s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expectation</w:t>
      </w:r>
      <w:r>
        <w:rPr>
          <w:rFonts w:ascii="Avenir Next" w:eastAsia="Avenir Next" w:hAnsi="Avenir Next" w:cs="Avenir Next"/>
          <w:sz w:val="16"/>
          <w:szCs w:val="16"/>
        </w:rPr>
        <w:t xml:space="preserve"> as noted in his 12</w:t>
      </w:r>
      <w:r>
        <w:rPr>
          <w:rFonts w:ascii="Avenir Next" w:eastAsia="Avenir Next" w:hAnsi="Avenir Next" w:cs="Avenir Next"/>
          <w:spacing w:val="49"/>
          <w:sz w:val="16"/>
          <w:szCs w:val="16"/>
        </w:rPr>
        <w:t xml:space="preserve"> </w:t>
      </w:r>
      <w:r>
        <w:rPr>
          <w:rFonts w:ascii="Avenir Next" w:eastAsia="Avenir Next" w:hAnsi="Avenir Next" w:cs="Avenir Next"/>
          <w:sz w:val="16"/>
          <w:szCs w:val="16"/>
        </w:rPr>
        <w:t>April 2013 submission to the ICRC.</w:t>
      </w:r>
    </w:p>
    <w:p w:rsidR="00D96B91" w:rsidRDefault="00D96B91">
      <w:pPr>
        <w:spacing w:before="12"/>
        <w:rPr>
          <w:rFonts w:ascii="Avenir Next" w:eastAsia="Avenir Next" w:hAnsi="Avenir Next" w:cs="Avenir Next"/>
          <w:sz w:val="10"/>
          <w:szCs w:val="10"/>
        </w:rPr>
      </w:pPr>
    </w:p>
    <w:p w:rsidR="00D96B91" w:rsidRDefault="00C2656B">
      <w:pPr>
        <w:numPr>
          <w:ilvl w:val="0"/>
          <w:numId w:val="90"/>
        </w:numPr>
        <w:tabs>
          <w:tab w:val="left" w:pos="1758"/>
        </w:tabs>
        <w:spacing w:line="192" w:lineRule="exact"/>
        <w:ind w:right="1283" w:hanging="510"/>
        <w:rPr>
          <w:rFonts w:ascii="Times New Roman" w:eastAsia="Times New Roman" w:hAnsi="Times New Roman" w:cs="Times New Roman"/>
          <w:sz w:val="16"/>
          <w:szCs w:val="16"/>
        </w:rPr>
      </w:pPr>
      <w:r>
        <w:rPr>
          <w:rFonts w:ascii="Avenir Next"/>
          <w:spacing w:val="-1"/>
          <w:sz w:val="16"/>
        </w:rPr>
        <w:t>These</w:t>
      </w:r>
      <w:r>
        <w:rPr>
          <w:rFonts w:ascii="Avenir Next"/>
          <w:spacing w:val="-3"/>
          <w:sz w:val="16"/>
        </w:rPr>
        <w:t xml:space="preserve"> </w:t>
      </w:r>
      <w:r>
        <w:rPr>
          <w:rFonts w:ascii="Avenir Next"/>
          <w:sz w:val="16"/>
        </w:rPr>
        <w:t>payments</w:t>
      </w:r>
      <w:r>
        <w:rPr>
          <w:rFonts w:ascii="Avenir Next"/>
          <w:spacing w:val="-3"/>
          <w:sz w:val="16"/>
        </w:rPr>
        <w:t xml:space="preserve"> </w:t>
      </w:r>
      <w:r>
        <w:rPr>
          <w:rFonts w:ascii="Avenir Next"/>
          <w:spacing w:val="-1"/>
          <w:sz w:val="16"/>
        </w:rPr>
        <w:t>are</w:t>
      </w:r>
      <w:r>
        <w:rPr>
          <w:rFonts w:ascii="Avenir Next"/>
          <w:spacing w:val="-2"/>
          <w:sz w:val="16"/>
        </w:rPr>
        <w:t xml:space="preserve"> </w:t>
      </w:r>
      <w:r>
        <w:rPr>
          <w:rFonts w:ascii="Avenir Next"/>
          <w:sz w:val="16"/>
        </w:rPr>
        <w:t>made</w:t>
      </w:r>
      <w:r>
        <w:rPr>
          <w:rFonts w:ascii="Avenir Next"/>
          <w:spacing w:val="-3"/>
          <w:sz w:val="16"/>
        </w:rPr>
        <w:t xml:space="preserve"> </w:t>
      </w:r>
      <w:r>
        <w:rPr>
          <w:rFonts w:ascii="Avenir Next"/>
          <w:sz w:val="16"/>
        </w:rPr>
        <w:t>to</w:t>
      </w:r>
      <w:r>
        <w:rPr>
          <w:rFonts w:ascii="Avenir Next"/>
          <w:spacing w:val="-3"/>
          <w:sz w:val="16"/>
        </w:rPr>
        <w:t xml:space="preserve"> </w:t>
      </w:r>
      <w:r>
        <w:rPr>
          <w:rFonts w:ascii="Avenir Next"/>
          <w:spacing w:val="-1"/>
          <w:sz w:val="16"/>
        </w:rPr>
        <w:t>reflect</w:t>
      </w:r>
      <w:r>
        <w:rPr>
          <w:rFonts w:ascii="Avenir Next"/>
          <w:spacing w:val="-2"/>
          <w:sz w:val="16"/>
        </w:rPr>
        <w:t xml:space="preserve"> </w:t>
      </w:r>
      <w:r>
        <w:rPr>
          <w:rFonts w:ascii="Avenir Next"/>
          <w:sz w:val="16"/>
        </w:rPr>
        <w:t>the</w:t>
      </w:r>
      <w:r>
        <w:rPr>
          <w:rFonts w:ascii="Avenir Next"/>
          <w:spacing w:val="-3"/>
          <w:sz w:val="16"/>
        </w:rPr>
        <w:t xml:space="preserve"> </w:t>
      </w:r>
      <w:r>
        <w:rPr>
          <w:rFonts w:ascii="Times New Roman"/>
          <w:sz w:val="16"/>
        </w:rPr>
        <w:t>cost</w:t>
      </w:r>
      <w:r>
        <w:rPr>
          <w:rFonts w:ascii="Times New Roman"/>
          <w:spacing w:val="-4"/>
          <w:sz w:val="16"/>
        </w:rPr>
        <w:t xml:space="preserve"> </w:t>
      </w:r>
      <w:r>
        <w:rPr>
          <w:rFonts w:ascii="Times New Roman"/>
          <w:sz w:val="16"/>
        </w:rPr>
        <w:t>disadvantage</w:t>
      </w:r>
      <w:r>
        <w:rPr>
          <w:rFonts w:ascii="Times New Roman"/>
          <w:spacing w:val="-2"/>
          <w:sz w:val="16"/>
        </w:rPr>
        <w:t xml:space="preserve"> </w:t>
      </w:r>
      <w:r>
        <w:rPr>
          <w:rFonts w:ascii="Times New Roman"/>
          <w:sz w:val="16"/>
        </w:rPr>
        <w:t>of</w:t>
      </w:r>
      <w:r>
        <w:rPr>
          <w:rFonts w:ascii="Times New Roman"/>
          <w:spacing w:val="-3"/>
          <w:sz w:val="16"/>
        </w:rPr>
        <w:t xml:space="preserve"> </w:t>
      </w:r>
      <w:r>
        <w:rPr>
          <w:rFonts w:ascii="Times New Roman"/>
          <w:sz w:val="16"/>
        </w:rPr>
        <w:t>operating</w:t>
      </w:r>
      <w:r>
        <w:rPr>
          <w:rFonts w:ascii="Times New Roman"/>
          <w:spacing w:val="-3"/>
          <w:sz w:val="16"/>
        </w:rPr>
        <w:t xml:space="preserve"> </w:t>
      </w:r>
      <w:r>
        <w:rPr>
          <w:rFonts w:ascii="Times New Roman"/>
          <w:sz w:val="16"/>
        </w:rPr>
        <w:t>in</w:t>
      </w:r>
      <w:r>
        <w:rPr>
          <w:rFonts w:ascii="Times New Roman"/>
          <w:spacing w:val="-3"/>
          <w:sz w:val="16"/>
        </w:rPr>
        <w:t xml:space="preserve"> </w:t>
      </w:r>
      <w:r>
        <w:rPr>
          <w:rFonts w:ascii="Times New Roman"/>
          <w:sz w:val="16"/>
        </w:rPr>
        <w:t>an</w:t>
      </w:r>
      <w:r>
        <w:rPr>
          <w:rFonts w:ascii="Times New Roman"/>
          <w:spacing w:val="-4"/>
          <w:sz w:val="16"/>
        </w:rPr>
        <w:t xml:space="preserve"> </w:t>
      </w:r>
      <w:r>
        <w:rPr>
          <w:rFonts w:ascii="Times New Roman"/>
          <w:sz w:val="16"/>
        </w:rPr>
        <w:t>inland</w:t>
      </w:r>
      <w:r>
        <w:rPr>
          <w:rFonts w:ascii="Times New Roman"/>
          <w:spacing w:val="-3"/>
          <w:sz w:val="16"/>
        </w:rPr>
        <w:t xml:space="preserve"> </w:t>
      </w:r>
      <w:r>
        <w:rPr>
          <w:rFonts w:ascii="Times New Roman"/>
          <w:sz w:val="16"/>
        </w:rPr>
        <w:t>location</w:t>
      </w:r>
      <w:r>
        <w:rPr>
          <w:rFonts w:ascii="Times New Roman"/>
          <w:spacing w:val="-4"/>
          <w:sz w:val="16"/>
        </w:rPr>
        <w:t xml:space="preserve"> </w:t>
      </w:r>
      <w:r>
        <w:rPr>
          <w:rFonts w:ascii="Times New Roman"/>
          <w:sz w:val="16"/>
        </w:rPr>
        <w:t>in</w:t>
      </w:r>
      <w:r>
        <w:rPr>
          <w:rFonts w:ascii="Times New Roman"/>
          <w:spacing w:val="-4"/>
          <w:sz w:val="16"/>
        </w:rPr>
        <w:t xml:space="preserve"> </w:t>
      </w:r>
      <w:r>
        <w:rPr>
          <w:rFonts w:ascii="Times New Roman"/>
          <w:sz w:val="16"/>
        </w:rPr>
        <w:t>the</w:t>
      </w:r>
      <w:r>
        <w:rPr>
          <w:rFonts w:ascii="Times New Roman"/>
          <w:spacing w:val="-3"/>
          <w:sz w:val="16"/>
        </w:rPr>
        <w:t xml:space="preserve"> </w:t>
      </w:r>
      <w:r>
        <w:rPr>
          <w:rFonts w:ascii="Times New Roman"/>
          <w:sz w:val="16"/>
        </w:rPr>
        <w:t>provision</w:t>
      </w:r>
      <w:r>
        <w:rPr>
          <w:rFonts w:ascii="Times New Roman"/>
          <w:spacing w:val="-3"/>
          <w:sz w:val="16"/>
        </w:rPr>
        <w:t xml:space="preserve"> </w:t>
      </w:r>
      <w:r>
        <w:rPr>
          <w:rFonts w:ascii="Times New Roman"/>
          <w:sz w:val="16"/>
        </w:rPr>
        <w:t>of</w:t>
      </w:r>
      <w:r>
        <w:rPr>
          <w:rFonts w:ascii="Times New Roman"/>
          <w:spacing w:val="-2"/>
          <w:sz w:val="16"/>
        </w:rPr>
        <w:t xml:space="preserve"> </w:t>
      </w:r>
      <w:r>
        <w:rPr>
          <w:rFonts w:ascii="Times New Roman"/>
          <w:spacing w:val="-1"/>
          <w:sz w:val="16"/>
        </w:rPr>
        <w:t>water</w:t>
      </w:r>
      <w:r>
        <w:rPr>
          <w:rFonts w:ascii="Times New Roman"/>
          <w:spacing w:val="-3"/>
          <w:sz w:val="16"/>
        </w:rPr>
        <w:t xml:space="preserve"> </w:t>
      </w:r>
      <w:r>
        <w:rPr>
          <w:rFonts w:ascii="Times New Roman"/>
          <w:sz w:val="16"/>
        </w:rPr>
        <w:t>and</w:t>
      </w:r>
      <w:r>
        <w:rPr>
          <w:rFonts w:ascii="Times New Roman"/>
          <w:spacing w:val="-4"/>
          <w:sz w:val="16"/>
        </w:rPr>
        <w:t xml:space="preserve"> </w:t>
      </w:r>
      <w:r>
        <w:rPr>
          <w:rFonts w:ascii="Times New Roman"/>
          <w:spacing w:val="-1"/>
          <w:sz w:val="16"/>
        </w:rPr>
        <w:t>wastewater</w:t>
      </w:r>
      <w:r>
        <w:rPr>
          <w:rFonts w:ascii="Times New Roman"/>
          <w:spacing w:val="27"/>
          <w:w w:val="99"/>
          <w:sz w:val="16"/>
        </w:rPr>
        <w:t xml:space="preserve"> </w:t>
      </w:r>
      <w:r>
        <w:rPr>
          <w:rFonts w:ascii="Times New Roman"/>
          <w:spacing w:val="-1"/>
          <w:sz w:val="16"/>
        </w:rPr>
        <w:t>service</w:t>
      </w:r>
      <w:r>
        <w:rPr>
          <w:rFonts w:ascii="Times New Roman"/>
          <w:spacing w:val="-5"/>
          <w:sz w:val="16"/>
        </w:rPr>
        <w:t xml:space="preserve"> </w:t>
      </w:r>
      <w:r>
        <w:rPr>
          <w:rFonts w:ascii="Times New Roman"/>
          <w:sz w:val="16"/>
        </w:rPr>
        <w:t>for</w:t>
      </w:r>
      <w:r>
        <w:rPr>
          <w:rFonts w:ascii="Times New Roman"/>
          <w:spacing w:val="-4"/>
          <w:sz w:val="16"/>
        </w:rPr>
        <w:t xml:space="preserve"> </w:t>
      </w:r>
      <w:r>
        <w:rPr>
          <w:rFonts w:ascii="Times New Roman"/>
          <w:sz w:val="16"/>
        </w:rPr>
        <w:t>the</w:t>
      </w:r>
      <w:r>
        <w:rPr>
          <w:rFonts w:ascii="Times New Roman"/>
          <w:spacing w:val="-5"/>
          <w:sz w:val="16"/>
        </w:rPr>
        <w:t xml:space="preserve"> </w:t>
      </w:r>
      <w:r>
        <w:rPr>
          <w:rFonts w:ascii="Times New Roman"/>
          <w:sz w:val="16"/>
        </w:rPr>
        <w:t>national</w:t>
      </w:r>
      <w:r>
        <w:rPr>
          <w:rFonts w:ascii="Times New Roman"/>
          <w:spacing w:val="-4"/>
          <w:sz w:val="16"/>
        </w:rPr>
        <w:t xml:space="preserve"> </w:t>
      </w:r>
      <w:r>
        <w:rPr>
          <w:rFonts w:ascii="Times New Roman"/>
          <w:sz w:val="16"/>
        </w:rPr>
        <w:t>capital.</w:t>
      </w:r>
    </w:p>
    <w:p w:rsidR="00D96B91" w:rsidRDefault="00D96B91">
      <w:pPr>
        <w:spacing w:line="192" w:lineRule="exact"/>
        <w:rPr>
          <w:rFonts w:ascii="Times New Roman" w:eastAsia="Times New Roman" w:hAnsi="Times New Roman" w:cs="Times New Roman"/>
          <w:sz w:val="16"/>
          <w:szCs w:val="16"/>
        </w:rPr>
        <w:sectPr w:rsidR="00D96B91">
          <w:pgSz w:w="11910" w:h="16840"/>
          <w:pgMar w:top="1200" w:right="0" w:bottom="1020" w:left="0" w:header="0" w:footer="829" w:gutter="0"/>
          <w:cols w:space="720"/>
        </w:sectPr>
      </w:pPr>
    </w:p>
    <w:p w:rsidR="00D96B91" w:rsidRDefault="00C2656B">
      <w:pPr>
        <w:pStyle w:val="Heading4"/>
        <w:tabs>
          <w:tab w:val="left" w:pos="2040"/>
        </w:tabs>
        <w:spacing w:before="21" w:line="360" w:lineRule="exact"/>
        <w:ind w:left="2041" w:right="1920" w:hanging="794"/>
        <w:rPr>
          <w:rFonts w:cs="Avenir Next Medium"/>
        </w:rPr>
      </w:pPr>
      <w:bookmarkStart w:id="80" w:name="7._3_Calculate_the_‘true_up’_adjustment_"/>
      <w:bookmarkStart w:id="81" w:name="7._4_Calculate_prices_for_the_remaining_"/>
      <w:bookmarkStart w:id="82" w:name="_bookmark47"/>
      <w:bookmarkEnd w:id="80"/>
      <w:bookmarkEnd w:id="81"/>
      <w:bookmarkEnd w:id="82"/>
      <w:r>
        <w:rPr>
          <w:color w:val="0778BE"/>
        </w:rPr>
        <w:t>7.</w:t>
      </w:r>
      <w:r>
        <w:rPr>
          <w:color w:val="0778BE"/>
          <w:spacing w:val="-9"/>
        </w:rPr>
        <w:t xml:space="preserve"> </w:t>
      </w:r>
      <w:r>
        <w:rPr>
          <w:color w:val="0778BE"/>
        </w:rPr>
        <w:t>3</w:t>
      </w:r>
      <w:r>
        <w:rPr>
          <w:color w:val="0778BE"/>
        </w:rPr>
        <w:tab/>
      </w:r>
      <w:r>
        <w:rPr>
          <w:color w:val="0778BE"/>
          <w:spacing w:val="-2"/>
        </w:rPr>
        <w:t>Calculate</w:t>
      </w:r>
      <w:r>
        <w:rPr>
          <w:color w:val="0778BE"/>
        </w:rPr>
        <w:t xml:space="preserve"> the ‘true up’ adjustment necessary to account of</w:t>
      </w:r>
      <w:r>
        <w:rPr>
          <w:color w:val="0778BE"/>
          <w:spacing w:val="28"/>
        </w:rPr>
        <w:t xml:space="preserve"> </w:t>
      </w:r>
      <w:r>
        <w:rPr>
          <w:rFonts w:cs="Avenir Next Medium"/>
          <w:color w:val="0778BE"/>
        </w:rPr>
        <w:t xml:space="preserve">over or under </w:t>
      </w:r>
      <w:r>
        <w:rPr>
          <w:rFonts w:cs="Avenir Next Medium"/>
          <w:color w:val="0778BE"/>
          <w:spacing w:val="-1"/>
        </w:rPr>
        <w:t>recovery</w:t>
      </w:r>
      <w:r>
        <w:rPr>
          <w:rFonts w:cs="Avenir Next Medium"/>
          <w:color w:val="0778BE"/>
        </w:rPr>
        <w:t xml:space="preserve"> in first two </w:t>
      </w:r>
      <w:r>
        <w:rPr>
          <w:rFonts w:cs="Avenir Next Medium"/>
          <w:color w:val="0778BE"/>
          <w:spacing w:val="-1"/>
        </w:rPr>
        <w:t>years</w:t>
      </w:r>
    </w:p>
    <w:p w:rsidR="00D96B91" w:rsidRDefault="00C2656B">
      <w:pPr>
        <w:pStyle w:val="BodyText"/>
        <w:spacing w:before="93" w:line="260" w:lineRule="exact"/>
        <w:ind w:right="1288"/>
      </w:pPr>
      <w:r>
        <w:t>Because</w:t>
      </w:r>
      <w:r>
        <w:rPr>
          <w:spacing w:val="-4"/>
        </w:rPr>
        <w:t xml:space="preserve"> </w:t>
      </w:r>
      <w:r>
        <w:rPr>
          <w:spacing w:val="-2"/>
        </w:rPr>
        <w:t>ACTEW’s</w:t>
      </w:r>
      <w:r>
        <w:t xml:space="preserve"> customers </w:t>
      </w:r>
      <w:r>
        <w:rPr>
          <w:spacing w:val="-2"/>
        </w:rPr>
        <w:t>are</w:t>
      </w:r>
      <w:r>
        <w:t xml:space="preserve"> </w:t>
      </w:r>
      <w:r>
        <w:rPr>
          <w:spacing w:val="-1"/>
        </w:rPr>
        <w:t>already</w:t>
      </w:r>
      <w:r>
        <w:t xml:space="preserve"> paying the prices the ICRC set for 2013-14 and 2014-15,</w:t>
      </w:r>
      <w:r>
        <w:rPr>
          <w:spacing w:val="-7"/>
        </w:rPr>
        <w:t xml:space="preserve"> </w:t>
      </w:r>
      <w:r>
        <w:t>the</w:t>
      </w:r>
      <w:r>
        <w:rPr>
          <w:spacing w:val="25"/>
        </w:rPr>
        <w:t xml:space="preserve"> </w:t>
      </w:r>
      <w:r>
        <w:rPr>
          <w:spacing w:val="-3"/>
        </w:rPr>
        <w:t>Panel</w:t>
      </w:r>
      <w:r>
        <w:t xml:space="preserve"> could not,</w:t>
      </w:r>
      <w:r>
        <w:rPr>
          <w:spacing w:val="-6"/>
        </w:rPr>
        <w:t xml:space="preserve"> </w:t>
      </w:r>
      <w:r>
        <w:t xml:space="preserve">in </w:t>
      </w:r>
      <w:r>
        <w:rPr>
          <w:spacing w:val="-1"/>
        </w:rPr>
        <w:t>practice,</w:t>
      </w:r>
      <w:r>
        <w:rPr>
          <w:spacing w:val="-6"/>
        </w:rPr>
        <w:t xml:space="preserve"> </w:t>
      </w:r>
      <w:r>
        <w:t>change these prices.</w:t>
      </w:r>
      <w:r>
        <w:rPr>
          <w:spacing w:val="-7"/>
        </w:rPr>
        <w:t xml:space="preserve"> </w:t>
      </w:r>
      <w:r>
        <w:rPr>
          <w:spacing w:val="-3"/>
        </w:rPr>
        <w:t>Rather,</w:t>
      </w:r>
      <w:r>
        <w:rPr>
          <w:spacing w:val="-6"/>
        </w:rPr>
        <w:t xml:space="preserve"> </w:t>
      </w:r>
      <w:r>
        <w:t xml:space="preserve">the </w:t>
      </w:r>
      <w:r>
        <w:rPr>
          <w:spacing w:val="-3"/>
        </w:rPr>
        <w:t>Panel</w:t>
      </w:r>
      <w:r>
        <w:t xml:space="preserve"> </w:t>
      </w:r>
      <w:r>
        <w:rPr>
          <w:rFonts w:cs="Avenir Next"/>
          <w:spacing w:val="-1"/>
        </w:rPr>
        <w:t>calculated</w:t>
      </w:r>
      <w:r>
        <w:rPr>
          <w:rFonts w:cs="Avenir Next"/>
        </w:rPr>
        <w:t xml:space="preserve"> the </w:t>
      </w:r>
      <w:r>
        <w:rPr>
          <w:rFonts w:cs="Avenir Next"/>
          <w:spacing w:val="-1"/>
        </w:rPr>
        <w:t>difference</w:t>
      </w:r>
      <w:r>
        <w:rPr>
          <w:rFonts w:cs="Avenir Next"/>
        </w:rPr>
        <w:t xml:space="preserve"> between</w:t>
      </w:r>
      <w:r>
        <w:rPr>
          <w:rFonts w:cs="Avenir Next"/>
          <w:spacing w:val="57"/>
        </w:rPr>
        <w:t xml:space="preserve"> </w:t>
      </w:r>
      <w:r>
        <w:t xml:space="preserve">the net </w:t>
      </w:r>
      <w:r>
        <w:rPr>
          <w:spacing w:val="-1"/>
        </w:rPr>
        <w:t>revenue</w:t>
      </w:r>
      <w:r>
        <w:t xml:space="preserve"> </w:t>
      </w:r>
      <w:r>
        <w:rPr>
          <w:spacing w:val="-1"/>
        </w:rPr>
        <w:t>requirement</w:t>
      </w:r>
      <w:r>
        <w:t xml:space="preserve"> for 2013-14 and 2014-15 and the net </w:t>
      </w:r>
      <w:r>
        <w:rPr>
          <w:spacing w:val="-1"/>
        </w:rPr>
        <w:t>revenue</w:t>
      </w:r>
      <w:r>
        <w:rPr>
          <w:spacing w:val="-4"/>
        </w:rPr>
        <w:t xml:space="preserve"> </w:t>
      </w:r>
      <w:r>
        <w:rPr>
          <w:spacing w:val="-2"/>
        </w:rPr>
        <w:t>ACTEW</w:t>
      </w:r>
      <w:r>
        <w:rPr>
          <w:spacing w:val="-3"/>
        </w:rPr>
        <w:t xml:space="preserve"> </w:t>
      </w:r>
      <w:r>
        <w:t xml:space="preserve">is </w:t>
      </w:r>
      <w:r>
        <w:rPr>
          <w:spacing w:val="-1"/>
        </w:rPr>
        <w:t>expected</w:t>
      </w:r>
      <w:r>
        <w:t xml:space="preserve"> to </w:t>
      </w:r>
      <w:r>
        <w:rPr>
          <w:spacing w:val="-1"/>
        </w:rPr>
        <w:t>earn</w:t>
      </w:r>
      <w:r>
        <w:rPr>
          <w:spacing w:val="43"/>
        </w:rPr>
        <w:t xml:space="preserve"> </w:t>
      </w:r>
      <w:r>
        <w:t>in</w:t>
      </w:r>
      <w:r>
        <w:rPr>
          <w:spacing w:val="-1"/>
        </w:rPr>
        <w:t xml:space="preserve"> </w:t>
      </w:r>
      <w:r>
        <w:t>these</w:t>
      </w:r>
      <w:r>
        <w:rPr>
          <w:spacing w:val="-1"/>
        </w:rPr>
        <w:t xml:space="preserve"> </w:t>
      </w:r>
      <w:r>
        <w:t>first</w:t>
      </w:r>
      <w:r>
        <w:rPr>
          <w:spacing w:val="-1"/>
        </w:rPr>
        <w:t xml:space="preserve"> </w:t>
      </w:r>
      <w:r>
        <w:t>two</w:t>
      </w:r>
      <w:r>
        <w:rPr>
          <w:spacing w:val="-1"/>
        </w:rPr>
        <w:t xml:space="preserve"> years.</w:t>
      </w:r>
    </w:p>
    <w:p w:rsidR="00D96B91" w:rsidRDefault="00C2656B">
      <w:pPr>
        <w:pStyle w:val="BodyText"/>
        <w:spacing w:before="170" w:line="260" w:lineRule="exact"/>
        <w:ind w:right="1493"/>
      </w:pPr>
      <w:r>
        <w:rPr>
          <w:spacing w:val="-1"/>
        </w:rPr>
        <w:t>This</w:t>
      </w:r>
      <w:r>
        <w:t xml:space="preserve"> </w:t>
      </w:r>
      <w:r>
        <w:rPr>
          <w:spacing w:val="-1"/>
        </w:rPr>
        <w:t>difference</w:t>
      </w:r>
      <w:r>
        <w:t xml:space="preserve"> (the ‘true up’ adjustment) </w:t>
      </w:r>
      <w:r>
        <w:rPr>
          <w:spacing w:val="-1"/>
        </w:rPr>
        <w:t>represents</w:t>
      </w:r>
      <w:r>
        <w:t xml:space="preserve"> the </w:t>
      </w:r>
      <w:r>
        <w:rPr>
          <w:spacing w:val="-1"/>
        </w:rPr>
        <w:t>extent</w:t>
      </w:r>
      <w:r>
        <w:t xml:space="preserve"> to which the prices for 2013-14 and</w:t>
      </w:r>
      <w:r>
        <w:rPr>
          <w:spacing w:val="29"/>
        </w:rPr>
        <w:t xml:space="preserve"> </w:t>
      </w:r>
      <w:r>
        <w:t xml:space="preserve">2014-15 have over or under </w:t>
      </w:r>
      <w:r>
        <w:rPr>
          <w:spacing w:val="-1"/>
        </w:rPr>
        <w:t>recovered</w:t>
      </w:r>
      <w:r>
        <w:t xml:space="preserve"> the net </w:t>
      </w:r>
      <w:r>
        <w:rPr>
          <w:spacing w:val="-1"/>
        </w:rPr>
        <w:t>revenue</w:t>
      </w:r>
      <w:r>
        <w:t xml:space="preserve"> </w:t>
      </w:r>
      <w:r>
        <w:rPr>
          <w:spacing w:val="-1"/>
        </w:rPr>
        <w:t>requirement</w:t>
      </w:r>
      <w:r>
        <w:t xml:space="preserve"> for those </w:t>
      </w:r>
      <w:r>
        <w:rPr>
          <w:spacing w:val="-1"/>
        </w:rPr>
        <w:t>years.</w:t>
      </w:r>
      <w:r>
        <w:rPr>
          <w:spacing w:val="-6"/>
        </w:rPr>
        <w:t xml:space="preserve"> </w:t>
      </w:r>
      <w:r>
        <w:t>It needs to be</w:t>
      </w:r>
      <w:r>
        <w:rPr>
          <w:spacing w:val="23"/>
        </w:rPr>
        <w:t xml:space="preserve"> </w:t>
      </w:r>
      <w:r>
        <w:t xml:space="preserve">accounted for in </w:t>
      </w:r>
      <w:r>
        <w:rPr>
          <w:spacing w:val="-1"/>
        </w:rPr>
        <w:t>setting</w:t>
      </w:r>
      <w:r>
        <w:t xml:space="preserve"> prices for 2015-16 to 2017-18 so</w:t>
      </w:r>
      <w:r>
        <w:rPr>
          <w:spacing w:val="-4"/>
        </w:rPr>
        <w:t xml:space="preserve"> </w:t>
      </w:r>
      <w:r>
        <w:rPr>
          <w:spacing w:val="-2"/>
        </w:rPr>
        <w:t>ACTEW</w:t>
      </w:r>
      <w:r>
        <w:rPr>
          <w:spacing w:val="-3"/>
        </w:rPr>
        <w:t xml:space="preserve"> </w:t>
      </w:r>
      <w:r>
        <w:t xml:space="preserve">does not over or under </w:t>
      </w:r>
      <w:r>
        <w:rPr>
          <w:spacing w:val="-1"/>
        </w:rPr>
        <w:t>recover</w:t>
      </w:r>
      <w:r>
        <w:t xml:space="preserve"> the</w:t>
      </w:r>
      <w:r>
        <w:rPr>
          <w:spacing w:val="23"/>
        </w:rPr>
        <w:t xml:space="preserve"> </w:t>
      </w:r>
      <w:r>
        <w:t>net</w:t>
      </w:r>
      <w:r>
        <w:rPr>
          <w:spacing w:val="-1"/>
        </w:rPr>
        <w:t xml:space="preserve"> revenue requirement </w:t>
      </w:r>
      <w:r>
        <w:t>for</w:t>
      </w:r>
      <w:r>
        <w:rPr>
          <w:spacing w:val="-1"/>
        </w:rPr>
        <w:t xml:space="preserve"> </w:t>
      </w:r>
      <w:r>
        <w:t>the</w:t>
      </w:r>
      <w:r>
        <w:rPr>
          <w:spacing w:val="-1"/>
        </w:rPr>
        <w:t xml:space="preserve"> </w:t>
      </w:r>
      <w:r>
        <w:t>full</w:t>
      </w:r>
      <w:r>
        <w:rPr>
          <w:spacing w:val="-1"/>
        </w:rPr>
        <w:t xml:space="preserve"> five-year</w:t>
      </w:r>
      <w:r>
        <w:t xml:space="preserve"> period.</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040"/>
        </w:tabs>
      </w:pPr>
      <w:r>
        <w:rPr>
          <w:color w:val="0778BE"/>
        </w:rPr>
        <w:t>7.</w:t>
      </w:r>
      <w:r>
        <w:rPr>
          <w:color w:val="0778BE"/>
          <w:spacing w:val="-9"/>
        </w:rPr>
        <w:t xml:space="preserve"> </w:t>
      </w:r>
      <w:r>
        <w:rPr>
          <w:color w:val="0778BE"/>
        </w:rPr>
        <w:t>4</w:t>
      </w:r>
      <w:r>
        <w:rPr>
          <w:color w:val="0778BE"/>
        </w:rPr>
        <w:tab/>
      </w:r>
      <w:r>
        <w:rPr>
          <w:color w:val="0778BE"/>
          <w:spacing w:val="-2"/>
        </w:rPr>
        <w:t>Calculate</w:t>
      </w:r>
      <w:r>
        <w:rPr>
          <w:color w:val="0778BE"/>
        </w:rPr>
        <w:t xml:space="preserve"> prices for the </w:t>
      </w:r>
      <w:r>
        <w:rPr>
          <w:color w:val="0778BE"/>
          <w:spacing w:val="-1"/>
        </w:rPr>
        <w:t>remaining</w:t>
      </w:r>
      <w:r>
        <w:rPr>
          <w:color w:val="0778BE"/>
        </w:rPr>
        <w:t xml:space="preserve"> </w:t>
      </w:r>
      <w:r>
        <w:rPr>
          <w:color w:val="0778BE"/>
          <w:spacing w:val="-2"/>
        </w:rPr>
        <w:t>three</w:t>
      </w:r>
      <w:r>
        <w:rPr>
          <w:color w:val="0778BE"/>
        </w:rPr>
        <w:t xml:space="preserve"> </w:t>
      </w:r>
      <w:r>
        <w:rPr>
          <w:color w:val="0778BE"/>
          <w:spacing w:val="-1"/>
        </w:rPr>
        <w:t>years</w:t>
      </w:r>
      <w:r>
        <w:rPr>
          <w:color w:val="0778BE"/>
        </w:rPr>
        <w:t xml:space="preserve"> of</w:t>
      </w:r>
      <w:r>
        <w:rPr>
          <w:color w:val="0778BE"/>
          <w:spacing w:val="7"/>
        </w:rPr>
        <w:t xml:space="preserve"> </w:t>
      </w:r>
      <w:r>
        <w:rPr>
          <w:color w:val="0778BE"/>
        </w:rPr>
        <w:t>the period</w:t>
      </w:r>
    </w:p>
    <w:p w:rsidR="00D96B91" w:rsidRDefault="00C2656B">
      <w:pPr>
        <w:pStyle w:val="BodyText"/>
        <w:spacing w:before="55" w:line="260" w:lineRule="exact"/>
        <w:ind w:right="1513"/>
        <w:rPr>
          <w:rFonts w:cs="Avenir Next"/>
        </w:rPr>
      </w:pPr>
      <w:r>
        <w:rPr>
          <w:spacing w:val="-10"/>
        </w:rPr>
        <w:t>To</w:t>
      </w:r>
      <w:r>
        <w:t xml:space="preserve"> </w:t>
      </w:r>
      <w:r>
        <w:rPr>
          <w:spacing w:val="-1"/>
        </w:rPr>
        <w:t>calculate</w:t>
      </w:r>
      <w:r>
        <w:t xml:space="preserve"> </w:t>
      </w:r>
      <w:r>
        <w:rPr>
          <w:spacing w:val="-1"/>
        </w:rPr>
        <w:t>water</w:t>
      </w:r>
      <w:r>
        <w:t xml:space="preserve"> and </w:t>
      </w:r>
      <w:r>
        <w:rPr>
          <w:spacing w:val="-1"/>
        </w:rPr>
        <w:t>sewerage</w:t>
      </w:r>
      <w:r>
        <w:t xml:space="preserve"> </w:t>
      </w:r>
      <w:r>
        <w:rPr>
          <w:spacing w:val="-1"/>
        </w:rPr>
        <w:t>charges</w:t>
      </w:r>
      <w:r>
        <w:t xml:space="preserve"> for the period 1</w:t>
      </w:r>
      <w:r>
        <w:rPr>
          <w:spacing w:val="-3"/>
        </w:rPr>
        <w:t xml:space="preserve"> </w:t>
      </w:r>
      <w:r>
        <w:t>July 2015 to 30</w:t>
      </w:r>
      <w:r>
        <w:rPr>
          <w:spacing w:val="-3"/>
        </w:rPr>
        <w:t xml:space="preserve"> </w:t>
      </w:r>
      <w:r>
        <w:t>June 2018,</w:t>
      </w:r>
      <w:r>
        <w:rPr>
          <w:spacing w:val="-6"/>
        </w:rPr>
        <w:t xml:space="preserve"> </w:t>
      </w:r>
      <w:r>
        <w:t xml:space="preserve">the </w:t>
      </w:r>
      <w:r>
        <w:rPr>
          <w:spacing w:val="-3"/>
        </w:rPr>
        <w:t>Panel</w:t>
      </w:r>
      <w:r>
        <w:t xml:space="preserve"> took</w:t>
      </w:r>
      <w:r>
        <w:rPr>
          <w:spacing w:val="43"/>
        </w:rPr>
        <w:t xml:space="preserve"> </w:t>
      </w:r>
      <w:r>
        <w:rPr>
          <w:rFonts w:cs="Avenir Next"/>
        </w:rPr>
        <w:t>account of</w:t>
      </w:r>
      <w:r>
        <w:rPr>
          <w:rFonts w:cs="Avenir Next"/>
          <w:spacing w:val="4"/>
        </w:rPr>
        <w:t xml:space="preserve"> </w:t>
      </w:r>
      <w:r>
        <w:rPr>
          <w:rFonts w:cs="Avenir Next"/>
        </w:rPr>
        <w:t xml:space="preserve">the </w:t>
      </w:r>
      <w:r>
        <w:t xml:space="preserve">net </w:t>
      </w:r>
      <w:r>
        <w:rPr>
          <w:spacing w:val="-1"/>
        </w:rPr>
        <w:t>revenue</w:t>
      </w:r>
      <w:r>
        <w:t xml:space="preserve"> </w:t>
      </w:r>
      <w:r>
        <w:rPr>
          <w:spacing w:val="-1"/>
        </w:rPr>
        <w:t>requirement</w:t>
      </w:r>
      <w:r>
        <w:t xml:space="preserve"> for these </w:t>
      </w:r>
      <w:r>
        <w:rPr>
          <w:spacing w:val="-1"/>
        </w:rPr>
        <w:t>years</w:t>
      </w:r>
      <w:r>
        <w:t xml:space="preserve"> and ‘true up’ adjustment (discussed above)</w:t>
      </w:r>
      <w:r>
        <w:rPr>
          <w:spacing w:val="30"/>
        </w:rPr>
        <w:t xml:space="preserve"> </w:t>
      </w:r>
      <w:r>
        <w:t xml:space="preserve">and the </w:t>
      </w:r>
      <w:r>
        <w:rPr>
          <w:spacing w:val="-1"/>
        </w:rPr>
        <w:t>forecast</w:t>
      </w:r>
      <w:r>
        <w:t xml:space="preserve"> demand for </w:t>
      </w:r>
      <w:r>
        <w:rPr>
          <w:spacing w:val="-1"/>
        </w:rPr>
        <w:t>water</w:t>
      </w:r>
      <w:r>
        <w:t xml:space="preserve"> and </w:t>
      </w:r>
      <w:r>
        <w:rPr>
          <w:spacing w:val="-1"/>
        </w:rPr>
        <w:t>sewerage</w:t>
      </w:r>
      <w:r>
        <w:t xml:space="preserve"> services in these </w:t>
      </w:r>
      <w:r>
        <w:rPr>
          <w:spacing w:val="-1"/>
        </w:rPr>
        <w:t>years.</w:t>
      </w:r>
      <w:r>
        <w:rPr>
          <w:spacing w:val="-6"/>
        </w:rPr>
        <w:t xml:space="preserve"> </w:t>
      </w:r>
      <w:r>
        <w:t xml:space="preserve">In line with the </w:t>
      </w:r>
      <w:r>
        <w:rPr>
          <w:spacing w:val="-1"/>
        </w:rPr>
        <w:t>current</w:t>
      </w:r>
      <w:r>
        <w:t xml:space="preserve"> </w:t>
      </w:r>
      <w:r>
        <w:rPr>
          <w:spacing w:val="-1"/>
        </w:rPr>
        <w:t>tariff</w:t>
      </w:r>
      <w:r>
        <w:rPr>
          <w:spacing w:val="43"/>
        </w:rPr>
        <w:t xml:space="preserve"> </w:t>
      </w:r>
      <w:r>
        <w:rPr>
          <w:rFonts w:cs="Avenir Next"/>
          <w:spacing w:val="-1"/>
        </w:rPr>
        <w:t>structure,</w:t>
      </w:r>
      <w:r>
        <w:rPr>
          <w:rFonts w:cs="Avenir Next"/>
          <w:spacing w:val="-6"/>
        </w:rPr>
        <w:t xml:space="preserve"> </w:t>
      </w:r>
      <w:r>
        <w:rPr>
          <w:rFonts w:cs="Avenir Next"/>
        </w:rPr>
        <w:t>it used:</w:t>
      </w:r>
    </w:p>
    <w:p w:rsidR="00D96B91" w:rsidRDefault="00C2656B">
      <w:pPr>
        <w:pStyle w:val="BodyText"/>
        <w:numPr>
          <w:ilvl w:val="0"/>
          <w:numId w:val="131"/>
        </w:numPr>
        <w:tabs>
          <w:tab w:val="left" w:pos="1531"/>
        </w:tabs>
        <w:spacing w:before="178"/>
        <w:ind w:hanging="283"/>
        <w:rPr>
          <w:rFonts w:cs="Avenir Next"/>
        </w:rPr>
      </w:pPr>
      <w:r>
        <w:rPr>
          <w:spacing w:val="-1"/>
        </w:rPr>
        <w:t>forecast</w:t>
      </w:r>
      <w:r>
        <w:t xml:space="preserve"> </w:t>
      </w:r>
      <w:r>
        <w:rPr>
          <w:spacing w:val="-1"/>
        </w:rPr>
        <w:t>water</w:t>
      </w:r>
      <w:r>
        <w:t xml:space="preserve"> sales and </w:t>
      </w:r>
      <w:r>
        <w:rPr>
          <w:spacing w:val="-1"/>
        </w:rPr>
        <w:t>water</w:t>
      </w:r>
      <w:r>
        <w:t xml:space="preserve"> customer numbers to set </w:t>
      </w:r>
      <w:r>
        <w:rPr>
          <w:spacing w:val="-1"/>
        </w:rPr>
        <w:t>water</w:t>
      </w:r>
      <w:r>
        <w:t xml:space="preserve"> </w:t>
      </w:r>
      <w:r>
        <w:rPr>
          <w:spacing w:val="-1"/>
        </w:rPr>
        <w:t>charges,</w:t>
      </w:r>
      <w:r>
        <w:rPr>
          <w:spacing w:val="-6"/>
        </w:rPr>
        <w:t xml:space="preserve"> </w:t>
      </w:r>
      <w:r>
        <w:t>and</w:t>
      </w:r>
    </w:p>
    <w:p w:rsidR="00D96B91" w:rsidRDefault="00C2656B">
      <w:pPr>
        <w:pStyle w:val="BodyText"/>
        <w:numPr>
          <w:ilvl w:val="0"/>
          <w:numId w:val="131"/>
        </w:numPr>
        <w:tabs>
          <w:tab w:val="left" w:pos="1531"/>
        </w:tabs>
        <w:spacing w:before="72"/>
        <w:ind w:hanging="283"/>
      </w:pPr>
      <w:r>
        <w:rPr>
          <w:spacing w:val="-1"/>
        </w:rPr>
        <w:t>forecast sewerage</w:t>
      </w:r>
      <w:r>
        <w:t xml:space="preserve"> customer</w:t>
      </w:r>
      <w:r>
        <w:rPr>
          <w:spacing w:val="-1"/>
        </w:rPr>
        <w:t xml:space="preserve"> </w:t>
      </w:r>
      <w:r>
        <w:t>numbers and</w:t>
      </w:r>
      <w:r>
        <w:rPr>
          <w:spacing w:val="-1"/>
        </w:rPr>
        <w:t xml:space="preserve"> </w:t>
      </w:r>
      <w:r>
        <w:t xml:space="preserve">billable </w:t>
      </w:r>
      <w:r>
        <w:rPr>
          <w:spacing w:val="-1"/>
        </w:rPr>
        <w:t>fixture</w:t>
      </w:r>
      <w:r>
        <w:t xml:space="preserve"> numbers</w:t>
      </w:r>
      <w:r>
        <w:rPr>
          <w:spacing w:val="-1"/>
        </w:rPr>
        <w:t xml:space="preserve"> </w:t>
      </w:r>
      <w:r>
        <w:t>to set</w:t>
      </w:r>
      <w:r>
        <w:rPr>
          <w:spacing w:val="-1"/>
        </w:rPr>
        <w:t xml:space="preserve"> sewerage</w:t>
      </w:r>
      <w:r>
        <w:t xml:space="preserve"> </w:t>
      </w:r>
      <w:r>
        <w:rPr>
          <w:spacing w:val="-1"/>
        </w:rPr>
        <w:t>charges.</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pPr>
      <w:r>
        <w:rPr>
          <w:spacing w:val="-2"/>
        </w:rPr>
        <w:t>The</w:t>
      </w:r>
      <w:r>
        <w:rPr>
          <w:spacing w:val="-1"/>
        </w:rPr>
        <w:t xml:space="preserve"> </w:t>
      </w:r>
      <w:r>
        <w:rPr>
          <w:spacing w:val="-3"/>
        </w:rPr>
        <w:t>Panel</w:t>
      </w:r>
      <w:r>
        <w:t xml:space="preserve"> also</w:t>
      </w:r>
      <w:r>
        <w:rPr>
          <w:spacing w:val="-1"/>
        </w:rPr>
        <w:t xml:space="preserve"> considered</w:t>
      </w:r>
      <w:r>
        <w:t xml:space="preserve"> the </w:t>
      </w:r>
      <w:r>
        <w:rPr>
          <w:spacing w:val="-1"/>
        </w:rPr>
        <w:t xml:space="preserve">extent </w:t>
      </w:r>
      <w:r>
        <w:t>to which</w:t>
      </w:r>
      <w:r>
        <w:rPr>
          <w:spacing w:val="-1"/>
        </w:rPr>
        <w:t xml:space="preserve"> </w:t>
      </w:r>
      <w:r>
        <w:t>any step change</w:t>
      </w:r>
      <w:r>
        <w:rPr>
          <w:spacing w:val="-1"/>
        </w:rPr>
        <w:t xml:space="preserve"> </w:t>
      </w:r>
      <w:r>
        <w:t>in price and/or</w:t>
      </w:r>
      <w:r>
        <w:rPr>
          <w:spacing w:val="-1"/>
        </w:rPr>
        <w:t xml:space="preserve"> </w:t>
      </w:r>
      <w:r>
        <w:t xml:space="preserve">price </w:t>
      </w:r>
      <w:r>
        <w:rPr>
          <w:spacing w:val="-1"/>
        </w:rPr>
        <w:t xml:space="preserve">fluctuations </w:t>
      </w:r>
      <w:r>
        <w:t>could</w:t>
      </w:r>
      <w:r>
        <w:rPr>
          <w:spacing w:val="49"/>
        </w:rPr>
        <w:t xml:space="preserve"> </w:t>
      </w:r>
      <w:r>
        <w:t xml:space="preserve">be </w:t>
      </w:r>
      <w:r>
        <w:rPr>
          <w:spacing w:val="-1"/>
        </w:rPr>
        <w:t>ameliorated</w:t>
      </w:r>
      <w:r>
        <w:t xml:space="preserve"> by smoothing prices in a manner </w:t>
      </w:r>
      <w:r>
        <w:rPr>
          <w:spacing w:val="-1"/>
        </w:rPr>
        <w:t>that</w:t>
      </w:r>
      <w:r>
        <w:t xml:space="preserve"> </w:t>
      </w:r>
      <w:r>
        <w:rPr>
          <w:spacing w:val="-1"/>
        </w:rPr>
        <w:t>ensures</w:t>
      </w:r>
      <w:r>
        <w:rPr>
          <w:spacing w:val="-4"/>
        </w:rPr>
        <w:t xml:space="preserve"> </w:t>
      </w:r>
      <w:r>
        <w:rPr>
          <w:spacing w:val="-2"/>
        </w:rPr>
        <w:t>ACTEW</w:t>
      </w:r>
      <w:r>
        <w:rPr>
          <w:spacing w:val="-3"/>
        </w:rPr>
        <w:t xml:space="preserve"> </w:t>
      </w:r>
      <w:r>
        <w:t xml:space="preserve">is no worse </w:t>
      </w:r>
      <w:r>
        <w:rPr>
          <w:spacing w:val="-2"/>
        </w:rPr>
        <w:t>off</w:t>
      </w:r>
      <w:r>
        <w:rPr>
          <w:spacing w:val="4"/>
        </w:rPr>
        <w:t xml:space="preserve"> </w:t>
      </w:r>
      <w:r>
        <w:t xml:space="preserve">in </w:t>
      </w:r>
      <w:r>
        <w:rPr>
          <w:spacing w:val="-1"/>
        </w:rPr>
        <w:t>present</w:t>
      </w:r>
      <w:r>
        <w:t xml:space="preserve"> value</w:t>
      </w:r>
      <w:r>
        <w:rPr>
          <w:spacing w:val="39"/>
        </w:rPr>
        <w:t xml:space="preserve"> </w:t>
      </w:r>
      <w:r>
        <w:t>terms.</w:t>
      </w:r>
    </w:p>
    <w:p w:rsidR="00D96B91" w:rsidRDefault="00C2656B">
      <w:pPr>
        <w:pStyle w:val="BodyText"/>
        <w:spacing w:before="170" w:line="260" w:lineRule="exact"/>
        <w:ind w:right="1548"/>
      </w:pPr>
      <w:r>
        <w:rPr>
          <w:spacing w:val="-2"/>
        </w:rPr>
        <w:t>The</w:t>
      </w:r>
      <w:r>
        <w:t xml:space="preserve"> </w:t>
      </w:r>
      <w:r>
        <w:rPr>
          <w:spacing w:val="-4"/>
        </w:rPr>
        <w:t>Panel’s</w:t>
      </w:r>
      <w:r>
        <w:t xml:space="preserve"> </w:t>
      </w:r>
      <w:r>
        <w:rPr>
          <w:spacing w:val="-2"/>
        </w:rPr>
        <w:t>draft</w:t>
      </w:r>
      <w:r>
        <w:t xml:space="preserve"> decision on</w:t>
      </w:r>
      <w:r>
        <w:rPr>
          <w:spacing w:val="-4"/>
        </w:rPr>
        <w:t xml:space="preserve"> </w:t>
      </w:r>
      <w:r>
        <w:rPr>
          <w:spacing w:val="-2"/>
        </w:rPr>
        <w:t>ACTEW’s</w:t>
      </w:r>
      <w:r>
        <w:t xml:space="preserve"> net </w:t>
      </w:r>
      <w:r>
        <w:rPr>
          <w:spacing w:val="-1"/>
        </w:rPr>
        <w:t>revenue</w:t>
      </w:r>
      <w:r>
        <w:t xml:space="preserve"> </w:t>
      </w:r>
      <w:r>
        <w:rPr>
          <w:spacing w:val="-1"/>
        </w:rPr>
        <w:t>requirement,</w:t>
      </w:r>
      <w:r>
        <w:rPr>
          <w:spacing w:val="-6"/>
        </w:rPr>
        <w:t xml:space="preserve"> </w:t>
      </w:r>
      <w:r>
        <w:t>the ‘true-up’ adjustment,</w:t>
      </w:r>
      <w:r>
        <w:rPr>
          <w:spacing w:val="-7"/>
        </w:rPr>
        <w:t xml:space="preserve"> </w:t>
      </w:r>
      <w:r>
        <w:rPr>
          <w:spacing w:val="-1"/>
        </w:rPr>
        <w:t>forecast</w:t>
      </w:r>
      <w:r>
        <w:rPr>
          <w:spacing w:val="49"/>
        </w:rPr>
        <w:t xml:space="preserve"> </w:t>
      </w:r>
      <w:r>
        <w:t>demand,</w:t>
      </w:r>
      <w:r>
        <w:rPr>
          <w:spacing w:val="-6"/>
        </w:rPr>
        <w:t xml:space="preserve"> </w:t>
      </w:r>
      <w:r>
        <w:t xml:space="preserve">and </w:t>
      </w:r>
      <w:r>
        <w:rPr>
          <w:spacing w:val="-1"/>
        </w:rPr>
        <w:t>water</w:t>
      </w:r>
      <w:r>
        <w:t xml:space="preserve"> and </w:t>
      </w:r>
      <w:r>
        <w:rPr>
          <w:spacing w:val="-1"/>
        </w:rPr>
        <w:t>sewerage</w:t>
      </w:r>
      <w:r>
        <w:t xml:space="preserve"> </w:t>
      </w:r>
      <w:r>
        <w:rPr>
          <w:spacing w:val="-1"/>
        </w:rPr>
        <w:t>charges</w:t>
      </w:r>
      <w:r>
        <w:t xml:space="preserve"> for 2015-16 to 2017-18 </w:t>
      </w:r>
      <w:r>
        <w:rPr>
          <w:spacing w:val="-2"/>
        </w:rPr>
        <w:t>are</w:t>
      </w:r>
      <w:r>
        <w:t xml:space="preserve"> set out in Chapters 12 </w:t>
      </w:r>
      <w:r>
        <w:rPr>
          <w:rFonts w:cs="Avenir Next"/>
        </w:rPr>
        <w:t>to 14</w:t>
      </w:r>
      <w:r>
        <w:t>.</w:t>
      </w:r>
    </w:p>
    <w:p w:rsidR="00D96B91" w:rsidRDefault="00C2656B">
      <w:pPr>
        <w:spacing w:before="158"/>
        <w:ind w:left="1247"/>
        <w:rPr>
          <w:rFonts w:ascii="Avenir Next" w:eastAsia="Avenir Next" w:hAnsi="Avenir Next" w:cs="Avenir Next"/>
          <w:sz w:val="20"/>
          <w:szCs w:val="20"/>
        </w:rPr>
      </w:pPr>
      <w:r>
        <w:rPr>
          <w:rFonts w:ascii="Avenir Next"/>
          <w:b/>
          <w:spacing w:val="-2"/>
          <w:sz w:val="20"/>
        </w:rPr>
        <w:t>Figure</w:t>
      </w:r>
      <w:r>
        <w:rPr>
          <w:rFonts w:ascii="Avenir Next"/>
          <w:b/>
          <w:sz w:val="20"/>
        </w:rPr>
        <w:t xml:space="preserve"> 7.2: </w:t>
      </w:r>
      <w:r>
        <w:rPr>
          <w:rFonts w:ascii="Avenir Next"/>
          <w:b/>
          <w:spacing w:val="-1"/>
          <w:sz w:val="20"/>
        </w:rPr>
        <w:t>Stylised</w:t>
      </w:r>
      <w:r>
        <w:rPr>
          <w:rFonts w:ascii="Avenir Next"/>
          <w:b/>
          <w:sz w:val="20"/>
        </w:rPr>
        <w:t xml:space="preserve"> </w:t>
      </w:r>
      <w:r>
        <w:rPr>
          <w:rFonts w:ascii="Avenir Next"/>
          <w:b/>
          <w:spacing w:val="-1"/>
          <w:sz w:val="20"/>
        </w:rPr>
        <w:t>approach</w:t>
      </w:r>
      <w:r>
        <w:rPr>
          <w:rFonts w:ascii="Avenir Next"/>
          <w:b/>
          <w:sz w:val="20"/>
        </w:rPr>
        <w:t xml:space="preserve"> to </w:t>
      </w:r>
      <w:r>
        <w:rPr>
          <w:rFonts w:ascii="Avenir Next"/>
          <w:b/>
          <w:spacing w:val="-1"/>
          <w:sz w:val="20"/>
        </w:rPr>
        <w:t>calculating</w:t>
      </w:r>
      <w:r>
        <w:rPr>
          <w:rFonts w:ascii="Avenir Next"/>
          <w:b/>
          <w:sz w:val="20"/>
        </w:rPr>
        <w:t xml:space="preserve"> prices for 2015-16 to 2017-18</w:t>
      </w:r>
    </w:p>
    <w:p w:rsidR="00D96B91" w:rsidRDefault="00D96B91">
      <w:pPr>
        <w:spacing w:before="5"/>
        <w:rPr>
          <w:rFonts w:ascii="Avenir Next" w:eastAsia="Avenir Next" w:hAnsi="Avenir Next" w:cs="Avenir Next"/>
          <w:b/>
          <w:bCs/>
          <w:sz w:val="20"/>
          <w:szCs w:val="20"/>
        </w:rPr>
      </w:pPr>
    </w:p>
    <w:p w:rsidR="00D96B91" w:rsidRDefault="00C2656B">
      <w:pPr>
        <w:spacing w:line="200" w:lineRule="atLeast"/>
        <w:ind w:left="132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5781946" cy="275348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58" cstate="print"/>
                    <a:stretch>
                      <a:fillRect/>
                    </a:stretch>
                  </pic:blipFill>
                  <pic:spPr>
                    <a:xfrm>
                      <a:off x="0" y="0"/>
                      <a:ext cx="5781946" cy="2753487"/>
                    </a:xfrm>
                    <a:prstGeom prst="rect">
                      <a:avLst/>
                    </a:prstGeom>
                  </pic:spPr>
                </pic:pic>
              </a:graphicData>
            </a:graphic>
          </wp:inline>
        </w:drawing>
      </w:r>
    </w:p>
    <w:p w:rsidR="00D96B91" w:rsidRDefault="00D96B91">
      <w:pPr>
        <w:spacing w:line="200" w:lineRule="atLeast"/>
        <w:rPr>
          <w:rFonts w:ascii="Avenir Next" w:eastAsia="Avenir Next" w:hAnsi="Avenir Next" w:cs="Avenir Next"/>
          <w:sz w:val="20"/>
          <w:szCs w:val="20"/>
        </w:rPr>
        <w:sectPr w:rsidR="00D96B91">
          <w:pgSz w:w="11910" w:h="16840"/>
          <w:pgMar w:top="1220" w:right="0" w:bottom="1020" w:left="0" w:header="0" w:footer="829" w:gutter="0"/>
          <w:cols w:space="720"/>
        </w:sectPr>
      </w:pPr>
    </w:p>
    <w:p w:rsidR="00D96B91" w:rsidRDefault="00C2656B">
      <w:pPr>
        <w:pStyle w:val="Heading4"/>
        <w:numPr>
          <w:ilvl w:val="0"/>
          <w:numId w:val="85"/>
        </w:numPr>
        <w:tabs>
          <w:tab w:val="left" w:pos="1570"/>
          <w:tab w:val="left" w:pos="2040"/>
        </w:tabs>
        <w:spacing w:before="9"/>
        <w:ind w:hanging="322"/>
      </w:pPr>
      <w:bookmarkStart w:id="83" w:name="7._5_Consider_whether_the_resulting_pric"/>
      <w:bookmarkStart w:id="84" w:name="_bookmark48"/>
      <w:bookmarkEnd w:id="83"/>
      <w:bookmarkEnd w:id="84"/>
      <w:r>
        <w:rPr>
          <w:color w:val="0778BE"/>
        </w:rPr>
        <w:t>5</w:t>
      </w:r>
      <w:r>
        <w:rPr>
          <w:color w:val="0778BE"/>
        </w:rPr>
        <w:tab/>
      </w:r>
      <w:r>
        <w:rPr>
          <w:color w:val="0778BE"/>
          <w:spacing w:val="-1"/>
        </w:rPr>
        <w:t>Consider</w:t>
      </w:r>
      <w:r>
        <w:rPr>
          <w:color w:val="0778BE"/>
        </w:rPr>
        <w:t xml:space="preserve"> whether the </w:t>
      </w:r>
      <w:r>
        <w:rPr>
          <w:color w:val="0778BE"/>
          <w:spacing w:val="-1"/>
        </w:rPr>
        <w:t>resulting</w:t>
      </w:r>
      <w:r>
        <w:rPr>
          <w:color w:val="0778BE"/>
        </w:rPr>
        <w:t xml:space="preserve"> prices </w:t>
      </w:r>
      <w:r>
        <w:rPr>
          <w:color w:val="0778BE"/>
          <w:spacing w:val="-2"/>
        </w:rPr>
        <w:t>are</w:t>
      </w:r>
      <w:r>
        <w:rPr>
          <w:color w:val="0778BE"/>
        </w:rPr>
        <w:t xml:space="preserve"> </w:t>
      </w:r>
      <w:r>
        <w:rPr>
          <w:color w:val="0778BE"/>
          <w:spacing w:val="-1"/>
        </w:rPr>
        <w:t>appropriate</w:t>
      </w:r>
    </w:p>
    <w:p w:rsidR="00D96B91" w:rsidRDefault="00C2656B">
      <w:pPr>
        <w:pStyle w:val="BodyText"/>
        <w:spacing w:before="55" w:line="260" w:lineRule="exact"/>
        <w:ind w:right="1256"/>
      </w:pPr>
      <w:r>
        <w:rPr>
          <w:spacing w:val="-1"/>
        </w:rPr>
        <w:t>Before</w:t>
      </w:r>
      <w:r>
        <w:t xml:space="preserve"> making its </w:t>
      </w:r>
      <w:r>
        <w:rPr>
          <w:spacing w:val="-2"/>
        </w:rPr>
        <w:t>draft</w:t>
      </w:r>
      <w:r>
        <w:t xml:space="preserve"> decision on the </w:t>
      </w:r>
      <w:r>
        <w:rPr>
          <w:spacing w:val="-1"/>
        </w:rPr>
        <w:t>water</w:t>
      </w:r>
      <w:r>
        <w:t xml:space="preserve"> and </w:t>
      </w:r>
      <w:r>
        <w:rPr>
          <w:spacing w:val="-1"/>
        </w:rPr>
        <w:t>sewerage</w:t>
      </w:r>
      <w:r>
        <w:t xml:space="preserve"> </w:t>
      </w:r>
      <w:r>
        <w:rPr>
          <w:spacing w:val="-1"/>
        </w:rPr>
        <w:t>charges</w:t>
      </w:r>
      <w:r>
        <w:t xml:space="preserve"> to apply </w:t>
      </w:r>
      <w:r>
        <w:rPr>
          <w:spacing w:val="-1"/>
        </w:rPr>
        <w:t>from</w:t>
      </w:r>
      <w:r>
        <w:t xml:space="preserve"> 1</w:t>
      </w:r>
      <w:r>
        <w:rPr>
          <w:spacing w:val="-3"/>
        </w:rPr>
        <w:t xml:space="preserve"> </w:t>
      </w:r>
      <w:r>
        <w:t>July 2015 to 30</w:t>
      </w:r>
      <w:r>
        <w:rPr>
          <w:spacing w:val="35"/>
        </w:rPr>
        <w:t xml:space="preserve"> </w:t>
      </w:r>
      <w:r>
        <w:t>June 2018,</w:t>
      </w:r>
      <w:r>
        <w:rPr>
          <w:spacing w:val="-6"/>
        </w:rPr>
        <w:t xml:space="preserve"> </w:t>
      </w:r>
      <w:r>
        <w:t xml:space="preserve">the </w:t>
      </w:r>
      <w:r>
        <w:rPr>
          <w:spacing w:val="-3"/>
        </w:rPr>
        <w:t>Panel</w:t>
      </w:r>
      <w:r>
        <w:t xml:space="preserve"> </w:t>
      </w:r>
      <w:r>
        <w:rPr>
          <w:spacing w:val="-1"/>
        </w:rPr>
        <w:t>considered</w:t>
      </w:r>
      <w:r>
        <w:t xml:space="preserve"> whether the price levels </w:t>
      </w:r>
      <w:r>
        <w:rPr>
          <w:spacing w:val="-1"/>
        </w:rPr>
        <w:t>resulting</w:t>
      </w:r>
      <w:r>
        <w:t xml:space="preserve"> </w:t>
      </w:r>
      <w:r>
        <w:rPr>
          <w:spacing w:val="-1"/>
        </w:rPr>
        <w:t>from</w:t>
      </w:r>
      <w:r>
        <w:t xml:space="preserve"> the method described above</w:t>
      </w:r>
      <w:r>
        <w:rPr>
          <w:spacing w:val="29"/>
        </w:rPr>
        <w:t xml:space="preserve"> </w:t>
      </w:r>
      <w:r>
        <w:rPr>
          <w:spacing w:val="-2"/>
        </w:rPr>
        <w:t>are</w:t>
      </w:r>
      <w:r>
        <w:t xml:space="preserve"> </w:t>
      </w:r>
      <w:r>
        <w:rPr>
          <w:spacing w:val="-1"/>
        </w:rPr>
        <w:t>appropriate.</w:t>
      </w:r>
      <w:r>
        <w:rPr>
          <w:spacing w:val="-11"/>
        </w:rPr>
        <w:t xml:space="preserve"> </w:t>
      </w:r>
      <w:r>
        <w:rPr>
          <w:spacing w:val="-10"/>
        </w:rPr>
        <w:t>To</w:t>
      </w:r>
      <w:r>
        <w:t xml:space="preserve"> do this,</w:t>
      </w:r>
      <w:r>
        <w:rPr>
          <w:spacing w:val="-6"/>
        </w:rPr>
        <w:t xml:space="preserve"> </w:t>
      </w:r>
      <w:r>
        <w:t xml:space="preserve">the </w:t>
      </w:r>
      <w:r>
        <w:rPr>
          <w:spacing w:val="-3"/>
        </w:rPr>
        <w:t>Panel</w:t>
      </w:r>
      <w:r>
        <w:t xml:space="preserve"> analysed the impacts the prices </w:t>
      </w:r>
      <w:r>
        <w:rPr>
          <w:spacing w:val="-2"/>
        </w:rPr>
        <w:t>are</w:t>
      </w:r>
      <w:r>
        <w:t xml:space="preserve"> </w:t>
      </w:r>
      <w:r>
        <w:rPr>
          <w:spacing w:val="-1"/>
        </w:rPr>
        <w:t>likely</w:t>
      </w:r>
      <w:r>
        <w:t xml:space="preserve"> to have on:</w:t>
      </w:r>
    </w:p>
    <w:p w:rsidR="00D96B91" w:rsidRDefault="00C2656B">
      <w:pPr>
        <w:pStyle w:val="BodyText"/>
        <w:numPr>
          <w:ilvl w:val="0"/>
          <w:numId w:val="131"/>
        </w:numPr>
        <w:tabs>
          <w:tab w:val="left" w:pos="1531"/>
        </w:tabs>
        <w:spacing w:before="178"/>
        <w:ind w:hanging="283"/>
      </w:pPr>
      <w:r>
        <w:t>customers (social impacts) (in line with section 20(2)(g) of</w:t>
      </w:r>
      <w:r>
        <w:rPr>
          <w:spacing w:val="4"/>
        </w:rPr>
        <w:t xml:space="preserve"> </w:t>
      </w:r>
      <w:r>
        <w:t>the</w:t>
      </w:r>
      <w:r>
        <w:rPr>
          <w:spacing w:val="-4"/>
        </w:rPr>
        <w:t xml:space="preserve"> </w:t>
      </w:r>
      <w:r>
        <w:t>Act)</w:t>
      </w:r>
    </w:p>
    <w:p w:rsidR="00D96B91" w:rsidRDefault="00C2656B">
      <w:pPr>
        <w:pStyle w:val="BodyText"/>
        <w:numPr>
          <w:ilvl w:val="0"/>
          <w:numId w:val="131"/>
        </w:numPr>
        <w:tabs>
          <w:tab w:val="left" w:pos="1531"/>
        </w:tabs>
        <w:spacing w:before="72"/>
        <w:ind w:hanging="283"/>
      </w:pPr>
      <w:r>
        <w:rPr>
          <w:spacing w:val="-1"/>
        </w:rPr>
        <w:t xml:space="preserve">general </w:t>
      </w:r>
      <w:r>
        <w:t xml:space="preserve">price </w:t>
      </w:r>
      <w:r>
        <w:rPr>
          <w:spacing w:val="-1"/>
        </w:rPr>
        <w:t xml:space="preserve">inflation </w:t>
      </w:r>
      <w:r>
        <w:t xml:space="preserve">(section </w:t>
      </w:r>
      <w:r>
        <w:rPr>
          <w:spacing w:val="1"/>
        </w:rPr>
        <w:t>20(2)(j)</w:t>
      </w:r>
      <w:r>
        <w:rPr>
          <w:spacing w:val="-1"/>
        </w:rPr>
        <w:t xml:space="preserve"> </w:t>
      </w:r>
      <w:r>
        <w:t>of</w:t>
      </w:r>
      <w:r>
        <w:rPr>
          <w:spacing w:val="4"/>
        </w:rPr>
        <w:t xml:space="preserve"> </w:t>
      </w:r>
      <w:r>
        <w:t>the</w:t>
      </w:r>
      <w:r>
        <w:rPr>
          <w:spacing w:val="-5"/>
        </w:rPr>
        <w:t xml:space="preserve"> </w:t>
      </w:r>
      <w:r>
        <w:t>Act),</w:t>
      </w:r>
      <w:r>
        <w:rPr>
          <w:spacing w:val="-6"/>
        </w:rPr>
        <w:t xml:space="preserve"> </w:t>
      </w:r>
      <w:r>
        <w:t>and</w:t>
      </w:r>
    </w:p>
    <w:p w:rsidR="00D96B91" w:rsidRDefault="00C2656B">
      <w:pPr>
        <w:pStyle w:val="BodyText"/>
        <w:numPr>
          <w:ilvl w:val="0"/>
          <w:numId w:val="131"/>
        </w:numPr>
        <w:tabs>
          <w:tab w:val="left" w:pos="1531"/>
        </w:tabs>
        <w:spacing w:before="72"/>
        <w:ind w:hanging="283"/>
      </w:pPr>
      <w:r>
        <w:rPr>
          <w:spacing w:val="-2"/>
        </w:rPr>
        <w:t xml:space="preserve">ACTEW’s </w:t>
      </w:r>
      <w:r>
        <w:t>financial</w:t>
      </w:r>
      <w:r>
        <w:rPr>
          <w:spacing w:val="-1"/>
        </w:rPr>
        <w:t xml:space="preserve"> </w:t>
      </w:r>
      <w:r>
        <w:t>viability</w:t>
      </w:r>
      <w:r>
        <w:rPr>
          <w:spacing w:val="-1"/>
        </w:rPr>
        <w:t xml:space="preserve"> </w:t>
      </w:r>
      <w:r>
        <w:t>(section</w:t>
      </w:r>
      <w:r>
        <w:rPr>
          <w:spacing w:val="-1"/>
        </w:rPr>
        <w:t xml:space="preserve"> </w:t>
      </w:r>
      <w:r>
        <w:t>20(2)(i)</w:t>
      </w:r>
      <w:r>
        <w:rPr>
          <w:spacing w:val="-1"/>
        </w:rPr>
        <w:t xml:space="preserve"> </w:t>
      </w:r>
      <w:r>
        <w:t>of</w:t>
      </w:r>
      <w:r>
        <w:rPr>
          <w:spacing w:val="3"/>
        </w:rPr>
        <w:t xml:space="preserve"> </w:t>
      </w:r>
      <w:r>
        <w:t>the</w:t>
      </w:r>
      <w:r>
        <w:rPr>
          <w:spacing w:val="-5"/>
        </w:rPr>
        <w:t xml:space="preserve"> </w:t>
      </w:r>
      <w:r>
        <w:t>Act).</w:t>
      </w:r>
    </w:p>
    <w:p w:rsidR="00D96B91" w:rsidRDefault="00D96B91">
      <w:pPr>
        <w:spacing w:before="1"/>
        <w:rPr>
          <w:rFonts w:ascii="Avenir Next" w:eastAsia="Avenir Next" w:hAnsi="Avenir Next" w:cs="Avenir Next"/>
          <w:sz w:val="15"/>
          <w:szCs w:val="15"/>
        </w:rPr>
      </w:pPr>
    </w:p>
    <w:p w:rsidR="00D96B91" w:rsidRDefault="00D96B91">
      <w:pPr>
        <w:pStyle w:val="BodyText"/>
        <w:tabs>
          <w:tab w:val="left" w:pos="4528"/>
        </w:tabs>
        <w:spacing w:line="260" w:lineRule="exact"/>
        <w:ind w:right="1301"/>
      </w:pPr>
      <w:hyperlink w:anchor="_bookmark49" w:history="1">
        <w:r w:rsidR="00C2656B">
          <w:rPr>
            <w:spacing w:val="-6"/>
          </w:rPr>
          <w:t>Table</w:t>
        </w:r>
        <w:r w:rsidR="00C2656B">
          <w:rPr>
            <w:spacing w:val="-4"/>
          </w:rPr>
          <w:t xml:space="preserve"> </w:t>
        </w:r>
        <w:r w:rsidR="00C2656B">
          <w:rPr>
            <w:spacing w:val="-2"/>
          </w:rPr>
          <w:t>7.1</w:t>
        </w:r>
      </w:hyperlink>
      <w:r w:rsidR="00C2656B">
        <w:rPr>
          <w:spacing w:val="-4"/>
        </w:rPr>
        <w:t xml:space="preserve"> </w:t>
      </w:r>
      <w:r w:rsidR="00C2656B">
        <w:rPr>
          <w:spacing w:val="-2"/>
        </w:rPr>
        <w:t>outlines</w:t>
      </w:r>
      <w:r w:rsidR="00C2656B">
        <w:rPr>
          <w:spacing w:val="-4"/>
        </w:rPr>
        <w:t xml:space="preserve"> </w:t>
      </w:r>
      <w:r w:rsidR="00C2656B">
        <w:rPr>
          <w:spacing w:val="-2"/>
        </w:rPr>
        <w:t>the</w:t>
      </w:r>
      <w:r w:rsidR="00C2656B">
        <w:rPr>
          <w:spacing w:val="-4"/>
        </w:rPr>
        <w:t xml:space="preserve"> </w:t>
      </w:r>
      <w:r w:rsidR="00C2656B">
        <w:rPr>
          <w:spacing w:val="-3"/>
        </w:rPr>
        <w:t>matters</w:t>
      </w:r>
      <w:r w:rsidR="00C2656B">
        <w:rPr>
          <w:spacing w:val="-4"/>
        </w:rPr>
        <w:t xml:space="preserve"> </w:t>
      </w:r>
      <w:r w:rsidR="00C2656B">
        <w:rPr>
          <w:spacing w:val="-2"/>
        </w:rPr>
        <w:t>the</w:t>
      </w:r>
      <w:r w:rsidR="00C2656B">
        <w:rPr>
          <w:spacing w:val="-4"/>
        </w:rPr>
        <w:t xml:space="preserve"> Panel </w:t>
      </w:r>
      <w:r w:rsidR="00C2656B">
        <w:rPr>
          <w:spacing w:val="-2"/>
        </w:rPr>
        <w:t>has</w:t>
      </w:r>
      <w:r w:rsidR="00C2656B">
        <w:rPr>
          <w:spacing w:val="-4"/>
        </w:rPr>
        <w:t xml:space="preserve"> </w:t>
      </w:r>
      <w:r w:rsidR="00C2656B">
        <w:rPr>
          <w:spacing w:val="-2"/>
        </w:rPr>
        <w:t>decided</w:t>
      </w:r>
      <w:r w:rsidR="00C2656B">
        <w:rPr>
          <w:spacing w:val="-4"/>
        </w:rPr>
        <w:t xml:space="preserve"> </w:t>
      </w:r>
      <w:r w:rsidR="00C2656B">
        <w:rPr>
          <w:spacing w:val="-1"/>
        </w:rPr>
        <w:t>to</w:t>
      </w:r>
      <w:r w:rsidR="00C2656B">
        <w:rPr>
          <w:spacing w:val="-4"/>
        </w:rPr>
        <w:t xml:space="preserve"> </w:t>
      </w:r>
      <w:r w:rsidR="00C2656B">
        <w:rPr>
          <w:spacing w:val="-3"/>
        </w:rPr>
        <w:t>take</w:t>
      </w:r>
      <w:r w:rsidR="00C2656B">
        <w:rPr>
          <w:spacing w:val="-4"/>
        </w:rPr>
        <w:t xml:space="preserve"> </w:t>
      </w:r>
      <w:r w:rsidR="00C2656B">
        <w:rPr>
          <w:spacing w:val="-2"/>
        </w:rPr>
        <w:t>into</w:t>
      </w:r>
      <w:r w:rsidR="00C2656B">
        <w:rPr>
          <w:spacing w:val="-4"/>
        </w:rPr>
        <w:t xml:space="preserve"> </w:t>
      </w:r>
      <w:r w:rsidR="00C2656B">
        <w:rPr>
          <w:spacing w:val="-2"/>
        </w:rPr>
        <w:t>account</w:t>
      </w:r>
      <w:r w:rsidR="00C2656B">
        <w:rPr>
          <w:spacing w:val="-4"/>
        </w:rPr>
        <w:t xml:space="preserve"> </w:t>
      </w:r>
      <w:r w:rsidR="00C2656B">
        <w:rPr>
          <w:spacing w:val="-2"/>
        </w:rPr>
        <w:t>when</w:t>
      </w:r>
      <w:r w:rsidR="00C2656B">
        <w:rPr>
          <w:spacing w:val="-4"/>
        </w:rPr>
        <w:t xml:space="preserve"> </w:t>
      </w:r>
      <w:r w:rsidR="00C2656B">
        <w:rPr>
          <w:spacing w:val="-2"/>
        </w:rPr>
        <w:t>considering</w:t>
      </w:r>
      <w:r w:rsidR="00C2656B">
        <w:rPr>
          <w:spacing w:val="-4"/>
        </w:rPr>
        <w:t xml:space="preserve"> </w:t>
      </w:r>
      <w:r w:rsidR="00C2656B">
        <w:rPr>
          <w:spacing w:val="-2"/>
        </w:rPr>
        <w:t>these</w:t>
      </w:r>
      <w:r w:rsidR="00C2656B">
        <w:rPr>
          <w:spacing w:val="-4"/>
        </w:rPr>
        <w:t xml:space="preserve"> </w:t>
      </w:r>
      <w:r w:rsidR="00C2656B">
        <w:rPr>
          <w:spacing w:val="-2"/>
        </w:rPr>
        <w:t>impacts</w:t>
      </w:r>
      <w:r w:rsidR="00C2656B">
        <w:rPr>
          <w:spacing w:val="60"/>
        </w:rPr>
        <w:t xml:space="preserve"> </w:t>
      </w:r>
      <w:r w:rsidR="00C2656B">
        <w:rPr>
          <w:spacing w:val="-2"/>
        </w:rPr>
        <w:t>and</w:t>
      </w:r>
      <w:r w:rsidR="00C2656B">
        <w:rPr>
          <w:spacing w:val="-5"/>
        </w:rPr>
        <w:t xml:space="preserve"> </w:t>
      </w:r>
      <w:r w:rsidR="00C2656B">
        <w:rPr>
          <w:spacing w:val="-2"/>
        </w:rPr>
        <w:t>how</w:t>
      </w:r>
      <w:r w:rsidR="00C2656B">
        <w:rPr>
          <w:spacing w:val="-4"/>
        </w:rPr>
        <w:t xml:space="preserve"> </w:t>
      </w:r>
      <w:r w:rsidR="00C2656B">
        <w:rPr>
          <w:spacing w:val="-1"/>
        </w:rPr>
        <w:t>it</w:t>
      </w:r>
      <w:r w:rsidR="00C2656B">
        <w:rPr>
          <w:spacing w:val="-4"/>
        </w:rPr>
        <w:t xml:space="preserve"> </w:t>
      </w:r>
      <w:r w:rsidR="00C2656B">
        <w:rPr>
          <w:spacing w:val="-2"/>
        </w:rPr>
        <w:t>will</w:t>
      </w:r>
      <w:r w:rsidR="00C2656B">
        <w:rPr>
          <w:spacing w:val="-4"/>
        </w:rPr>
        <w:t xml:space="preserve"> </w:t>
      </w:r>
      <w:r w:rsidR="00C2656B">
        <w:rPr>
          <w:spacing w:val="-2"/>
        </w:rPr>
        <w:t>deal</w:t>
      </w:r>
      <w:r w:rsidR="00C2656B">
        <w:rPr>
          <w:spacing w:val="-4"/>
        </w:rPr>
        <w:t xml:space="preserve"> </w:t>
      </w:r>
      <w:r w:rsidR="00C2656B">
        <w:rPr>
          <w:spacing w:val="-2"/>
        </w:rPr>
        <w:t>with</w:t>
      </w:r>
      <w:r w:rsidR="00C2656B">
        <w:rPr>
          <w:spacing w:val="-4"/>
        </w:rPr>
        <w:t xml:space="preserve"> </w:t>
      </w:r>
      <w:r w:rsidR="00C2656B">
        <w:rPr>
          <w:spacing w:val="-2"/>
        </w:rPr>
        <w:t>the</w:t>
      </w:r>
      <w:r w:rsidR="00C2656B">
        <w:rPr>
          <w:spacing w:val="-5"/>
        </w:rPr>
        <w:t xml:space="preserve"> </w:t>
      </w:r>
      <w:r w:rsidR="00C2656B">
        <w:rPr>
          <w:spacing w:val="-1"/>
        </w:rPr>
        <w:t>fi</w:t>
      </w:r>
      <w:r w:rsidR="00B45286">
        <w:rPr>
          <w:spacing w:val="-1"/>
        </w:rPr>
        <w:t xml:space="preserve">ndings </w:t>
      </w:r>
      <w:r w:rsidR="00C2656B">
        <w:rPr>
          <w:spacing w:val="-1"/>
        </w:rPr>
        <w:t>of</w:t>
      </w:r>
      <w:r w:rsidR="00C2656B">
        <w:t xml:space="preserve"> </w:t>
      </w:r>
      <w:r w:rsidR="00C2656B">
        <w:rPr>
          <w:spacing w:val="-2"/>
        </w:rPr>
        <w:t>its</w:t>
      </w:r>
      <w:r w:rsidR="00C2656B">
        <w:rPr>
          <w:spacing w:val="-4"/>
        </w:rPr>
        <w:t xml:space="preserve"> </w:t>
      </w:r>
      <w:r w:rsidR="00C2656B">
        <w:rPr>
          <w:spacing w:val="-2"/>
        </w:rPr>
        <w:t>analysis.</w:t>
      </w:r>
      <w:r w:rsidR="00C2656B">
        <w:rPr>
          <w:spacing w:val="-15"/>
        </w:rPr>
        <w:t xml:space="preserve"> </w:t>
      </w:r>
      <w:r w:rsidR="00C2656B">
        <w:rPr>
          <w:spacing w:val="-3"/>
        </w:rPr>
        <w:t>The</w:t>
      </w:r>
      <w:r w:rsidR="00C2656B">
        <w:rPr>
          <w:spacing w:val="-4"/>
        </w:rPr>
        <w:t xml:space="preserve"> </w:t>
      </w:r>
      <w:r w:rsidR="00C2656B">
        <w:rPr>
          <w:spacing w:val="-2"/>
        </w:rPr>
        <w:t>analysis</w:t>
      </w:r>
      <w:r w:rsidR="00C2656B">
        <w:rPr>
          <w:spacing w:val="-4"/>
        </w:rPr>
        <w:t xml:space="preserve"> </w:t>
      </w:r>
      <w:r w:rsidR="00C2656B">
        <w:rPr>
          <w:spacing w:val="-2"/>
        </w:rPr>
        <w:t>itself</w:t>
      </w:r>
      <w:r w:rsidR="00C2656B">
        <w:t xml:space="preserve"> </w:t>
      </w:r>
      <w:r w:rsidR="00C2656B">
        <w:rPr>
          <w:spacing w:val="-1"/>
        </w:rPr>
        <w:t>is</w:t>
      </w:r>
      <w:r w:rsidR="00C2656B">
        <w:rPr>
          <w:spacing w:val="-4"/>
        </w:rPr>
        <w:t xml:space="preserve"> </w:t>
      </w:r>
      <w:r w:rsidR="00C2656B">
        <w:rPr>
          <w:spacing w:val="-2"/>
        </w:rPr>
        <w:t>discussed</w:t>
      </w:r>
      <w:r w:rsidR="00C2656B">
        <w:rPr>
          <w:spacing w:val="-4"/>
        </w:rPr>
        <w:t xml:space="preserve"> </w:t>
      </w:r>
      <w:r w:rsidR="00C2656B">
        <w:rPr>
          <w:spacing w:val="-1"/>
        </w:rPr>
        <w:t>in</w:t>
      </w:r>
      <w:r w:rsidR="00C2656B">
        <w:rPr>
          <w:spacing w:val="-4"/>
        </w:rPr>
        <w:t xml:space="preserve"> </w:t>
      </w:r>
      <w:r w:rsidR="00C2656B">
        <w:rPr>
          <w:spacing w:val="-2"/>
        </w:rPr>
        <w:t>Chapter</w:t>
      </w:r>
      <w:r w:rsidR="00C2656B">
        <w:rPr>
          <w:spacing w:val="-5"/>
        </w:rPr>
        <w:t xml:space="preserve"> </w:t>
      </w:r>
      <w:r w:rsidR="00C2656B">
        <w:rPr>
          <w:spacing w:val="-2"/>
        </w:rPr>
        <w:t>15.</w:t>
      </w:r>
    </w:p>
    <w:p w:rsidR="00D96B91" w:rsidRDefault="00C2656B">
      <w:pPr>
        <w:spacing w:before="166" w:line="240" w:lineRule="exact"/>
        <w:ind w:left="1247" w:right="1256"/>
        <w:rPr>
          <w:rFonts w:ascii="Avenir Next" w:eastAsia="Avenir Next" w:hAnsi="Avenir Next" w:cs="Avenir Next"/>
          <w:sz w:val="20"/>
          <w:szCs w:val="20"/>
        </w:rPr>
      </w:pPr>
      <w:bookmarkStart w:id="85" w:name="_bookmark49"/>
      <w:bookmarkEnd w:id="8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7.1: </w:t>
      </w:r>
      <w:r>
        <w:rPr>
          <w:rFonts w:ascii="Avenir Next" w:eastAsia="Avenir Next" w:hAnsi="Avenir Next" w:cs="Avenir Next"/>
          <w:b/>
          <w:bCs/>
          <w:spacing w:val="-1"/>
          <w:sz w:val="20"/>
          <w:szCs w:val="20"/>
        </w:rPr>
        <w:t>Matters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considered</w:t>
      </w:r>
      <w:r>
        <w:rPr>
          <w:rFonts w:ascii="Avenir Next" w:eastAsia="Avenir Next" w:hAnsi="Avenir Next" w:cs="Avenir Next"/>
          <w:b/>
          <w:bCs/>
          <w:sz w:val="20"/>
          <w:szCs w:val="20"/>
        </w:rPr>
        <w:t xml:space="preserve"> when assessing impacts on customers,</w:t>
      </w:r>
      <w:r>
        <w:rPr>
          <w:rFonts w:ascii="Avenir Next" w:eastAsia="Avenir Next" w:hAnsi="Avenir Next" w:cs="Avenir Next"/>
          <w:b/>
          <w:bCs/>
          <w:spacing w:val="-7"/>
          <w:sz w:val="20"/>
          <w:szCs w:val="20"/>
        </w:rPr>
        <w:t xml:space="preserve"> </w:t>
      </w:r>
      <w:r>
        <w:rPr>
          <w:rFonts w:ascii="Avenir Next" w:eastAsia="Avenir Next" w:hAnsi="Avenir Next" w:cs="Avenir Next"/>
          <w:b/>
          <w:bCs/>
          <w:spacing w:val="-1"/>
          <w:sz w:val="20"/>
          <w:szCs w:val="20"/>
        </w:rPr>
        <w:t>inflation</w:t>
      </w:r>
      <w:r>
        <w:rPr>
          <w:rFonts w:ascii="Avenir Next" w:eastAsia="Avenir Next" w:hAnsi="Avenir Next" w:cs="Avenir Next"/>
          <w:b/>
          <w:bCs/>
          <w:sz w:val="20"/>
          <w:szCs w:val="20"/>
        </w:rPr>
        <w:t xml:space="preserve"> and</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financial</w:t>
      </w:r>
      <w:r>
        <w:rPr>
          <w:rFonts w:ascii="Avenir Next" w:eastAsia="Avenir Next" w:hAnsi="Avenir Next" w:cs="Avenir Next"/>
          <w:b/>
          <w:bCs/>
          <w:spacing w:val="33"/>
          <w:sz w:val="20"/>
          <w:szCs w:val="20"/>
        </w:rPr>
        <w:t xml:space="preserve"> </w:t>
      </w:r>
      <w:r>
        <w:rPr>
          <w:rFonts w:ascii="Avenir Next" w:eastAsia="Avenir Next" w:hAnsi="Avenir Next" w:cs="Avenir Next"/>
          <w:b/>
          <w:bCs/>
          <w:sz w:val="20"/>
          <w:szCs w:val="20"/>
        </w:rPr>
        <w:t>viability</w:t>
      </w:r>
    </w:p>
    <w:p w:rsidR="00D96B91" w:rsidRDefault="00D96B91">
      <w:pPr>
        <w:spacing w:before="12"/>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1168"/>
        <w:gridCol w:w="8233"/>
      </w:tblGrid>
      <w:tr w:rsidR="00D96B91" w:rsidTr="00B45286">
        <w:trPr>
          <w:trHeight w:hRule="exact" w:val="407"/>
        </w:trPr>
        <w:tc>
          <w:tcPr>
            <w:tcW w:w="11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Effect</w:t>
            </w:r>
          </w:p>
        </w:tc>
        <w:tc>
          <w:tcPr>
            <w:tcW w:w="823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Matters</w:t>
            </w:r>
            <w:r>
              <w:rPr>
                <w:rFonts w:ascii="Avenir Next Condensed"/>
                <w:b/>
                <w:color w:val="FFFFFF"/>
                <w:sz w:val="18"/>
              </w:rPr>
              <w:t xml:space="preserve"> </w:t>
            </w:r>
            <w:r>
              <w:rPr>
                <w:rFonts w:ascii="Avenir Next Condensed"/>
                <w:b/>
                <w:color w:val="FFFFFF"/>
                <w:spacing w:val="-1"/>
                <w:sz w:val="18"/>
              </w:rPr>
              <w:t>considered</w:t>
            </w:r>
            <w:r>
              <w:rPr>
                <w:rFonts w:ascii="Avenir Next Condensed"/>
                <w:b/>
                <w:color w:val="FFFFFF"/>
                <w:sz w:val="18"/>
              </w:rPr>
              <w:t xml:space="preserve"> by the </w:t>
            </w:r>
            <w:r>
              <w:rPr>
                <w:rFonts w:ascii="Avenir Next Condensed"/>
                <w:b/>
                <w:color w:val="FFFFFF"/>
                <w:spacing w:val="-2"/>
                <w:sz w:val="18"/>
              </w:rPr>
              <w:t>Panel</w:t>
            </w:r>
          </w:p>
        </w:tc>
      </w:tr>
      <w:tr w:rsidR="00D96B91" w:rsidTr="00B45286">
        <w:trPr>
          <w:trHeight w:hRule="exact" w:val="1734"/>
        </w:trPr>
        <w:tc>
          <w:tcPr>
            <w:tcW w:w="1168"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2" w:line="220" w:lineRule="exact"/>
              <w:ind w:left="108" w:right="155"/>
              <w:rPr>
                <w:rFonts w:ascii="Avenir Next Condensed" w:eastAsia="Avenir Next Condensed" w:hAnsi="Avenir Next Condensed" w:cs="Avenir Next Condensed"/>
                <w:sz w:val="18"/>
                <w:szCs w:val="18"/>
              </w:rPr>
            </w:pPr>
            <w:r>
              <w:rPr>
                <w:rFonts w:ascii="Avenir Next Condensed"/>
                <w:sz w:val="18"/>
              </w:rPr>
              <w:t>Impact on customers</w:t>
            </w:r>
          </w:p>
        </w:tc>
        <w:tc>
          <w:tcPr>
            <w:tcW w:w="823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06"/>
              <w:rPr>
                <w:rFonts w:ascii="Avenir Next Condensed" w:eastAsia="Avenir Next Condensed" w:hAnsi="Avenir Next Condensed" w:cs="Avenir Next Condensed"/>
                <w:sz w:val="18"/>
                <w:szCs w:val="18"/>
              </w:rPr>
            </w:pPr>
            <w:r>
              <w:rPr>
                <w:rFonts w:ascii="Avenir Next Condensed"/>
                <w:spacing w:val="-4"/>
                <w:sz w:val="18"/>
              </w:rPr>
              <w:t>To</w:t>
            </w:r>
            <w:r>
              <w:rPr>
                <w:rFonts w:ascii="Avenir Next Condensed"/>
                <w:sz w:val="18"/>
              </w:rPr>
              <w:t xml:space="preserve"> </w:t>
            </w:r>
            <w:r>
              <w:rPr>
                <w:rFonts w:ascii="Avenir Next Condensed"/>
                <w:spacing w:val="-1"/>
                <w:sz w:val="18"/>
              </w:rPr>
              <w:t>assess</w:t>
            </w:r>
            <w:r>
              <w:rPr>
                <w:rFonts w:ascii="Avenir Next Condensed"/>
                <w:sz w:val="18"/>
              </w:rPr>
              <w:t xml:space="preserve"> the </w:t>
            </w:r>
            <w:r>
              <w:rPr>
                <w:rFonts w:ascii="Avenir Next Condensed"/>
                <w:spacing w:val="-1"/>
                <w:sz w:val="18"/>
              </w:rPr>
              <w:t>effect</w:t>
            </w:r>
            <w:r>
              <w:rPr>
                <w:rFonts w:ascii="Avenir Next Condensed"/>
                <w:sz w:val="18"/>
              </w:rPr>
              <w:t xml:space="preserve"> the water and </w:t>
            </w:r>
            <w:r>
              <w:rPr>
                <w:rFonts w:ascii="Avenir Next Condensed"/>
                <w:spacing w:val="-1"/>
                <w:sz w:val="18"/>
              </w:rPr>
              <w:t>sewerage</w:t>
            </w:r>
            <w:r>
              <w:rPr>
                <w:rFonts w:ascii="Avenir Next Condensed"/>
                <w:sz w:val="18"/>
              </w:rPr>
              <w:t xml:space="preserve"> </w:t>
            </w:r>
            <w:r>
              <w:rPr>
                <w:rFonts w:ascii="Avenir Next Condensed"/>
                <w:spacing w:val="-1"/>
                <w:sz w:val="18"/>
              </w:rPr>
              <w:t>charges</w:t>
            </w:r>
            <w:r>
              <w:rPr>
                <w:rFonts w:ascii="Avenir Next Condensed"/>
                <w:sz w:val="18"/>
              </w:rPr>
              <w:t xml:space="preserve"> </w:t>
            </w:r>
            <w:r>
              <w:rPr>
                <w:rFonts w:ascii="Avenir Next Condensed"/>
                <w:spacing w:val="-1"/>
                <w:sz w:val="18"/>
              </w:rPr>
              <w:t>are</w:t>
            </w:r>
            <w:r>
              <w:rPr>
                <w:rFonts w:ascii="Avenir Next Condensed"/>
                <w:sz w:val="18"/>
              </w:rPr>
              <w:t xml:space="preserve"> </w:t>
            </w:r>
            <w:r>
              <w:rPr>
                <w:rFonts w:ascii="Avenir Next Condensed"/>
                <w:spacing w:val="-1"/>
                <w:sz w:val="18"/>
              </w:rPr>
              <w:t>likely</w:t>
            </w:r>
            <w:r>
              <w:rPr>
                <w:rFonts w:ascii="Avenir Next Condensed"/>
                <w:sz w:val="18"/>
              </w:rPr>
              <w:t xml:space="preserve"> to have on </w:t>
            </w:r>
            <w:r>
              <w:rPr>
                <w:rFonts w:ascii="Avenir Next Condensed"/>
                <w:spacing w:val="-1"/>
                <w:sz w:val="18"/>
              </w:rPr>
              <w:t>residential</w:t>
            </w:r>
            <w:r>
              <w:rPr>
                <w:rFonts w:ascii="Avenir Next Condensed"/>
                <w:sz w:val="18"/>
              </w:rPr>
              <w:t xml:space="preserve"> and </w:t>
            </w:r>
            <w:r>
              <w:rPr>
                <w:rFonts w:ascii="Avenir Next Condensed"/>
                <w:spacing w:val="-1"/>
                <w:sz w:val="18"/>
              </w:rPr>
              <w:t>non-residential</w:t>
            </w:r>
            <w:r>
              <w:rPr>
                <w:rFonts w:ascii="Avenir Next Condensed"/>
                <w:sz w:val="18"/>
              </w:rPr>
              <w:t xml:space="preserve"> customers,</w:t>
            </w:r>
            <w:r>
              <w:rPr>
                <w:rFonts w:ascii="Avenir Next Condensed"/>
                <w:spacing w:val="-6"/>
                <w:sz w:val="18"/>
              </w:rPr>
              <w:t xml:space="preserve"> </w:t>
            </w:r>
            <w:r>
              <w:rPr>
                <w:rFonts w:ascii="Avenir Next Condensed"/>
                <w:sz w:val="18"/>
              </w:rPr>
              <w:t xml:space="preserve">the </w:t>
            </w:r>
            <w:r>
              <w:rPr>
                <w:rFonts w:ascii="Avenir Next Condensed"/>
                <w:spacing w:val="-2"/>
                <w:sz w:val="18"/>
              </w:rPr>
              <w:t>Panel</w:t>
            </w:r>
            <w:r>
              <w:rPr>
                <w:rFonts w:ascii="Avenir Next Condensed"/>
                <w:sz w:val="18"/>
              </w:rPr>
              <w:t xml:space="preserve"> will</w:t>
            </w:r>
            <w:r>
              <w:rPr>
                <w:rFonts w:ascii="Avenir Next Condensed"/>
                <w:spacing w:val="93"/>
                <w:sz w:val="18"/>
              </w:rPr>
              <w:t xml:space="preserve"> </w:t>
            </w:r>
            <w:r>
              <w:rPr>
                <w:rFonts w:ascii="Avenir Next Condensed"/>
                <w:sz w:val="18"/>
              </w:rPr>
              <w:t xml:space="preserve">have </w:t>
            </w:r>
            <w:r>
              <w:rPr>
                <w:rFonts w:ascii="Avenir Next Condensed"/>
                <w:spacing w:val="-1"/>
                <w:sz w:val="18"/>
              </w:rPr>
              <w:t>regard</w:t>
            </w:r>
            <w:r>
              <w:rPr>
                <w:rFonts w:ascii="Avenir Next Condensed"/>
                <w:sz w:val="18"/>
              </w:rPr>
              <w:t xml:space="preserve"> to the following </w:t>
            </w:r>
            <w:r>
              <w:rPr>
                <w:rFonts w:ascii="Avenir Next Condensed"/>
                <w:spacing w:val="-1"/>
                <w:sz w:val="18"/>
              </w:rPr>
              <w:t>matters:</w:t>
            </w:r>
          </w:p>
          <w:p w:rsidR="00D96B91" w:rsidRDefault="00C2656B">
            <w:pPr>
              <w:pStyle w:val="ListParagraph"/>
              <w:numPr>
                <w:ilvl w:val="0"/>
                <w:numId w:val="84"/>
              </w:numPr>
              <w:tabs>
                <w:tab w:val="left" w:pos="336"/>
              </w:tabs>
              <w:spacing w:before="113" w:line="220" w:lineRule="exact"/>
              <w:ind w:right="29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the annual 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bill that will be payable by </w:t>
            </w:r>
            <w:r>
              <w:rPr>
                <w:rFonts w:ascii="Avenir Next Condensed" w:eastAsia="Avenir Next Condensed" w:hAnsi="Avenir Next Condensed" w:cs="Avenir Next Condensed"/>
                <w:spacing w:val="-1"/>
                <w:sz w:val="18"/>
                <w:szCs w:val="18"/>
              </w:rPr>
              <w:t>residential</w:t>
            </w:r>
            <w:r>
              <w:rPr>
                <w:rFonts w:ascii="Avenir Next Condensed" w:eastAsia="Avenir Next Condensed" w:hAnsi="Avenir Next Condensed" w:cs="Avenir Next Condensed"/>
                <w:sz w:val="18"/>
                <w:szCs w:val="18"/>
              </w:rPr>
              <w:t xml:space="preserve"> customers between 2015–16 and 2018–19 (for varying</w:t>
            </w:r>
            <w:r>
              <w:rPr>
                <w:rFonts w:ascii="Avenir Next Condensed" w:eastAsia="Avenir Next Condensed" w:hAnsi="Avenir Next Condensed" w:cs="Avenir Next Condensed"/>
                <w:spacing w:val="31"/>
                <w:sz w:val="18"/>
                <w:szCs w:val="18"/>
              </w:rPr>
              <w:t xml:space="preserve"> </w:t>
            </w:r>
            <w:r>
              <w:rPr>
                <w:rFonts w:ascii="Avenir Next Condensed" w:eastAsia="Avenir Next Condensed" w:hAnsi="Avenir Next Condensed" w:cs="Avenir Next Condensed"/>
                <w:sz w:val="18"/>
                <w:szCs w:val="18"/>
              </w:rPr>
              <w:t>levels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water consumption) and </w:t>
            </w:r>
            <w:r>
              <w:rPr>
                <w:rFonts w:ascii="Avenir Next Condensed" w:eastAsia="Avenir Next Condensed" w:hAnsi="Avenir Next Condensed" w:cs="Avenir Next Condensed"/>
                <w:spacing w:val="-1"/>
                <w:sz w:val="18"/>
                <w:szCs w:val="18"/>
              </w:rPr>
              <w:t>likely</w:t>
            </w:r>
            <w:r>
              <w:rPr>
                <w:rFonts w:ascii="Avenir Next Condensed" w:eastAsia="Avenir Next Condensed" w:hAnsi="Avenir Next Condensed" w:cs="Avenir Next Condensed"/>
                <w:sz w:val="18"/>
                <w:szCs w:val="18"/>
              </w:rPr>
              <w:t xml:space="preserve"> impacts on </w:t>
            </w:r>
            <w:r>
              <w:rPr>
                <w:rFonts w:ascii="Avenir Next Condensed" w:eastAsia="Avenir Next Condensed" w:hAnsi="Avenir Next Condensed" w:cs="Avenir Next Condensed"/>
                <w:spacing w:val="-1"/>
                <w:sz w:val="18"/>
                <w:szCs w:val="18"/>
              </w:rPr>
              <w:t>vulnerable</w:t>
            </w:r>
            <w:r>
              <w:rPr>
                <w:rFonts w:ascii="Avenir Next Condensed" w:eastAsia="Avenir Next Condensed" w:hAnsi="Avenir Next Condensed" w:cs="Avenir Next Condensed"/>
                <w:sz w:val="18"/>
                <w:szCs w:val="18"/>
              </w:rPr>
              <w:t xml:space="preserve"> customers,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and</w:t>
            </w:r>
          </w:p>
          <w:p w:rsidR="00D96B91" w:rsidRDefault="00C2656B">
            <w:pPr>
              <w:pStyle w:val="ListParagraph"/>
              <w:numPr>
                <w:ilvl w:val="0"/>
                <w:numId w:val="84"/>
              </w:numPr>
              <w:tabs>
                <w:tab w:val="left" w:pos="336"/>
              </w:tabs>
              <w:spacing w:before="113" w:line="220" w:lineRule="exact"/>
              <w:ind w:right="75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the annual 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bill that will be payable by </w:t>
            </w:r>
            <w:r>
              <w:rPr>
                <w:rFonts w:ascii="Avenir Next Condensed" w:eastAsia="Avenir Next Condensed" w:hAnsi="Avenir Next Condensed" w:cs="Avenir Next Condensed"/>
                <w:spacing w:val="-1"/>
                <w:sz w:val="18"/>
                <w:szCs w:val="18"/>
              </w:rPr>
              <w:t>non-residential</w:t>
            </w:r>
            <w:r>
              <w:rPr>
                <w:rFonts w:ascii="Avenir Next Condensed" w:eastAsia="Avenir Next Condensed" w:hAnsi="Avenir Next Condensed" w:cs="Avenir Next Condensed"/>
                <w:sz w:val="18"/>
                <w:szCs w:val="18"/>
              </w:rPr>
              <w:t xml:space="preserve"> customers between 2015–16 and 2018–19</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z w:val="18"/>
                <w:szCs w:val="18"/>
              </w:rPr>
              <w:t xml:space="preserve">(for varying water consumption levels and billable </w:t>
            </w:r>
            <w:r>
              <w:rPr>
                <w:rFonts w:ascii="Avenir Next Condensed" w:eastAsia="Avenir Next Condensed" w:hAnsi="Avenir Next Condensed" w:cs="Avenir Next Condensed"/>
                <w:spacing w:val="-1"/>
                <w:sz w:val="18"/>
                <w:szCs w:val="18"/>
              </w:rPr>
              <w:t>fixture</w:t>
            </w:r>
            <w:r>
              <w:rPr>
                <w:rFonts w:ascii="Avenir Next Condensed" w:eastAsia="Avenir Next Condensed" w:hAnsi="Avenir Next Condensed" w:cs="Avenir Next Condensed"/>
                <w:sz w:val="18"/>
                <w:szCs w:val="18"/>
              </w:rPr>
              <w:t xml:space="preserve"> numbers).</w:t>
            </w:r>
          </w:p>
        </w:tc>
      </w:tr>
      <w:tr w:rsidR="00D96B91" w:rsidTr="00B45286">
        <w:trPr>
          <w:trHeight w:hRule="exact" w:val="2031"/>
        </w:trPr>
        <w:tc>
          <w:tcPr>
            <w:tcW w:w="1168" w:type="dxa"/>
            <w:vMerge/>
            <w:tcBorders>
              <w:left w:val="single" w:sz="4" w:space="0" w:color="17A7E0"/>
              <w:bottom w:val="single" w:sz="4" w:space="0" w:color="17A7E0"/>
              <w:right w:val="single" w:sz="4" w:space="0" w:color="17A7E0"/>
            </w:tcBorders>
            <w:shd w:val="clear" w:color="auto" w:fill="F0F9FE"/>
          </w:tcPr>
          <w:p w:rsidR="00D96B91" w:rsidRDefault="00D96B91"/>
        </w:tc>
        <w:tc>
          <w:tcPr>
            <w:tcW w:w="823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 xml:space="preserve">How the </w:t>
            </w:r>
            <w:r>
              <w:rPr>
                <w:rFonts w:ascii="Avenir Next Condensed"/>
                <w:b/>
                <w:spacing w:val="-2"/>
                <w:sz w:val="18"/>
              </w:rPr>
              <w:t>Panel</w:t>
            </w:r>
            <w:r>
              <w:rPr>
                <w:rFonts w:ascii="Avenir Next Condensed"/>
                <w:b/>
                <w:sz w:val="18"/>
              </w:rPr>
              <w:t xml:space="preserve"> will </w:t>
            </w:r>
            <w:r>
              <w:rPr>
                <w:rFonts w:ascii="Avenir Next Condensed"/>
                <w:b/>
                <w:spacing w:val="-1"/>
                <w:sz w:val="18"/>
              </w:rPr>
              <w:t>deal</w:t>
            </w:r>
            <w:r>
              <w:rPr>
                <w:rFonts w:ascii="Avenir Next Condensed"/>
                <w:b/>
                <w:sz w:val="18"/>
              </w:rPr>
              <w:t xml:space="preserve"> with the findings of</w:t>
            </w:r>
            <w:r>
              <w:rPr>
                <w:rFonts w:ascii="Avenir Next Condensed"/>
                <w:b/>
                <w:spacing w:val="4"/>
                <w:sz w:val="18"/>
              </w:rPr>
              <w:t xml:space="preserve"> </w:t>
            </w:r>
            <w:r>
              <w:rPr>
                <w:rFonts w:ascii="Avenir Next Condensed"/>
                <w:b/>
                <w:sz w:val="18"/>
              </w:rPr>
              <w:t>this analysis:</w:t>
            </w:r>
          </w:p>
          <w:p w:rsidR="00D96B91" w:rsidRDefault="00C2656B">
            <w:pPr>
              <w:pStyle w:val="TableParagraph"/>
              <w:spacing w:before="91" w:line="220" w:lineRule="exact"/>
              <w:ind w:left="108" w:right="13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this analysis </w:t>
            </w:r>
            <w:r>
              <w:rPr>
                <w:rFonts w:ascii="Avenir Next Condensed" w:eastAsia="Avenir Next Condensed" w:hAnsi="Avenir Next Condensed" w:cs="Avenir Next Condensed"/>
                <w:spacing w:val="-1"/>
                <w:sz w:val="18"/>
                <w:szCs w:val="18"/>
              </w:rPr>
              <w:t>reveals</w:t>
            </w:r>
            <w:r>
              <w:rPr>
                <w:rFonts w:ascii="Avenir Next Condensed" w:eastAsia="Avenir Next Condensed" w:hAnsi="Avenir Next Condensed" w:cs="Avenir Next Condensed"/>
                <w:sz w:val="18"/>
                <w:szCs w:val="18"/>
              </w:rPr>
              <w:t xml:space="preserve"> that particular </w:t>
            </w:r>
            <w:r>
              <w:rPr>
                <w:rFonts w:ascii="Avenir Next Condensed" w:eastAsia="Avenir Next Condensed" w:hAnsi="Avenir Next Condensed" w:cs="Avenir Next Condensed"/>
                <w:spacing w:val="-1"/>
                <w:sz w:val="18"/>
                <w:szCs w:val="18"/>
              </w:rPr>
              <w:t>groups</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customers (eg,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pensioners or low income households) may be adversely </w:t>
            </w:r>
            <w:r>
              <w:rPr>
                <w:rFonts w:ascii="Avenir Next Condensed" w:eastAsia="Avenir Next Condensed" w:hAnsi="Avenir Next Condensed" w:cs="Avenir Next Condensed"/>
                <w:spacing w:val="-1"/>
                <w:sz w:val="18"/>
                <w:szCs w:val="18"/>
              </w:rPr>
              <w:t>affected</w:t>
            </w:r>
            <w:r>
              <w:rPr>
                <w:rFonts w:ascii="Avenir Next Condensed" w:eastAsia="Avenir Next Condensed" w:hAnsi="Avenir Next Condensed" w:cs="Avenir Next Condensed"/>
                <w:sz w:val="18"/>
                <w:szCs w:val="18"/>
              </w:rPr>
              <w:t xml:space="preserve"> by</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z w:val="18"/>
                <w:szCs w:val="18"/>
              </w:rPr>
              <w:t>the decision then,</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in </w:t>
            </w:r>
            <w:r>
              <w:rPr>
                <w:rFonts w:ascii="Avenir Next Condensed" w:eastAsia="Avenir Next Condensed" w:hAnsi="Avenir Next Condensed" w:cs="Avenir Next Condensed"/>
                <w:spacing w:val="-1"/>
                <w:sz w:val="18"/>
                <w:szCs w:val="18"/>
              </w:rPr>
              <w:t>keeping</w:t>
            </w:r>
            <w:r>
              <w:rPr>
                <w:rFonts w:ascii="Avenir Next Condensed" w:eastAsia="Avenir Next Condensed" w:hAnsi="Avenir Next Condensed" w:cs="Avenir Next Condensed"/>
                <w:sz w:val="18"/>
                <w:szCs w:val="18"/>
              </w:rPr>
              <w:t xml:space="preserve"> with good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practice,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w:t>
            </w:r>
            <w:r>
              <w:rPr>
                <w:rFonts w:ascii="Avenir Next Condensed" w:eastAsia="Avenir Next Condensed" w:hAnsi="Avenir Next Condensed" w:cs="Avenir Next Condensed"/>
                <w:sz w:val="18"/>
                <w:szCs w:val="18"/>
              </w:rPr>
              <w:t xml:space="preserve"> will </w:t>
            </w:r>
            <w:r>
              <w:rPr>
                <w:rFonts w:ascii="Avenir Next Condensed" w:eastAsia="Avenir Next Condensed" w:hAnsi="Avenir Next Condensed" w:cs="Avenir Next Condensed"/>
                <w:spacing w:val="-1"/>
                <w:sz w:val="18"/>
                <w:szCs w:val="18"/>
              </w:rPr>
              <w:t>expect</w:t>
            </w:r>
            <w:r>
              <w:rPr>
                <w:rFonts w:ascii="Avenir Next Condensed" w:eastAsia="Avenir Next Condensed" w:hAnsi="Avenir Next Condensed" w:cs="Avenir Next Condensed"/>
                <w:sz w:val="18"/>
                <w:szCs w:val="18"/>
              </w:rPr>
              <w:t xml:space="preserve"> this to be </w:t>
            </w:r>
            <w:r>
              <w:rPr>
                <w:rFonts w:ascii="Avenir Next Condensed" w:eastAsia="Avenir Next Condensed" w:hAnsi="Avenir Next Condensed" w:cs="Avenir Next Condensed"/>
                <w:spacing w:val="-1"/>
                <w:sz w:val="18"/>
                <w:szCs w:val="18"/>
              </w:rPr>
              <w:t>dealt</w:t>
            </w:r>
            <w:r>
              <w:rPr>
                <w:rFonts w:ascii="Avenir Next Condensed" w:eastAsia="Avenir Next Condensed" w:hAnsi="Avenir Next Condensed" w:cs="Avenir Next Condensed"/>
                <w:sz w:val="18"/>
                <w:szCs w:val="18"/>
              </w:rPr>
              <w:t xml:space="preserve"> with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targeted</w:t>
            </w:r>
            <w:r>
              <w:rPr>
                <w:rFonts w:ascii="Avenir Next Condensed" w:eastAsia="Avenir Next Condensed" w:hAnsi="Avenir Next Condensed" w:cs="Avenir Next Condensed"/>
                <w:sz w:val="18"/>
                <w:szCs w:val="18"/>
              </w:rPr>
              <w:t xml:space="preserve"> government</w:t>
            </w:r>
            <w:r>
              <w:rPr>
                <w:rFonts w:ascii="Avenir Next Condensed" w:eastAsia="Avenir Next Condensed" w:hAnsi="Avenir Next Condensed" w:cs="Avenir Next Condensed"/>
                <w:spacing w:val="81"/>
                <w:sz w:val="18"/>
                <w:szCs w:val="18"/>
              </w:rPr>
              <w:t xml:space="preserve"> </w:t>
            </w:r>
            <w:r>
              <w:rPr>
                <w:rFonts w:ascii="Avenir Next Condensed" w:eastAsia="Avenir Next Condensed" w:hAnsi="Avenir Next Condensed" w:cs="Avenir Next Condensed"/>
                <w:spacing w:val="-1"/>
                <w:sz w:val="18"/>
                <w:szCs w:val="18"/>
              </w:rPr>
              <w:t>concessions</w:t>
            </w:r>
            <w:r>
              <w:rPr>
                <w:rFonts w:ascii="Avenir Next Condensed" w:eastAsia="Avenir Next Condensed" w:hAnsi="Avenir Next Condensed" w:cs="Avenir Next Condensed"/>
                <w:sz w:val="18"/>
                <w:szCs w:val="18"/>
              </w:rPr>
              <w:t xml:space="preserve"> and other </w:t>
            </w:r>
            <w:r>
              <w:rPr>
                <w:rFonts w:ascii="Avenir Next Condensed" w:eastAsia="Avenir Next Condensed" w:hAnsi="Avenir Next Condensed" w:cs="Avenir Next Condensed"/>
                <w:spacing w:val="-1"/>
                <w:sz w:val="18"/>
                <w:szCs w:val="18"/>
              </w:rPr>
              <w:t>hardship</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programs.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On the other hand,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analysis </w:t>
            </w:r>
            <w:r>
              <w:rPr>
                <w:rFonts w:ascii="Avenir Next Condensed" w:eastAsia="Avenir Next Condensed" w:hAnsi="Avenir Next Condensed" w:cs="Avenir Next Condensed"/>
                <w:spacing w:val="-1"/>
                <w:sz w:val="18"/>
                <w:szCs w:val="18"/>
              </w:rPr>
              <w:t>reveals</w:t>
            </w:r>
            <w:r>
              <w:rPr>
                <w:rFonts w:ascii="Avenir Next Condensed" w:eastAsia="Avenir Next Condensed" w:hAnsi="Avenir Next Condensed" w:cs="Avenir Next Condensed"/>
                <w:sz w:val="18"/>
                <w:szCs w:val="18"/>
              </w:rPr>
              <w:t xml:space="preserve"> that the adverse </w:t>
            </w:r>
            <w:r>
              <w:rPr>
                <w:rFonts w:ascii="Avenir Next Condensed" w:eastAsia="Avenir Next Condensed" w:hAnsi="Avenir Next Condensed" w:cs="Avenir Next Condensed"/>
                <w:spacing w:val="-1"/>
                <w:sz w:val="18"/>
                <w:szCs w:val="18"/>
              </w:rPr>
              <w:t>effects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broader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reaching,</w:t>
            </w:r>
            <w:r>
              <w:rPr>
                <w:rFonts w:ascii="Avenir Next Condensed" w:eastAsia="Avenir Next Condensed" w:hAnsi="Avenir Next Condensed" w:cs="Avenir Next Condensed"/>
                <w:spacing w:val="77"/>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w:t>
            </w:r>
            <w:r>
              <w:rPr>
                <w:rFonts w:ascii="Avenir Next Condensed" w:eastAsia="Avenir Next Condensed" w:hAnsi="Avenir Next Condensed" w:cs="Avenir Next Condensed"/>
                <w:sz w:val="18"/>
                <w:szCs w:val="18"/>
              </w:rPr>
              <w:t xml:space="preserve"> will consider whether the prices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at an </w:t>
            </w:r>
            <w:r>
              <w:rPr>
                <w:rFonts w:ascii="Avenir Next Condensed" w:eastAsia="Avenir Next Condensed" w:hAnsi="Avenir Next Condensed" w:cs="Avenir Next Condensed"/>
                <w:spacing w:val="-1"/>
                <w:sz w:val="18"/>
                <w:szCs w:val="18"/>
              </w:rPr>
              <w:t>appropriate</w:t>
            </w:r>
            <w:r>
              <w:rPr>
                <w:rFonts w:ascii="Avenir Next Condensed" w:eastAsia="Avenir Next Condensed" w:hAnsi="Avenir Next Condensed" w:cs="Avenir Next Condensed"/>
                <w:sz w:val="18"/>
                <w:szCs w:val="18"/>
              </w:rPr>
              <w:t xml:space="preserve"> level,</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or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an NPV</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neutral</w:t>
            </w:r>
            <w:r>
              <w:rPr>
                <w:rFonts w:ascii="Avenir Next Condensed" w:eastAsia="Avenir Next Condensed" w:hAnsi="Avenir Next Condensed" w:cs="Avenir Next Condensed"/>
                <w:sz w:val="18"/>
                <w:szCs w:val="18"/>
              </w:rPr>
              <w:t xml:space="preserve"> adjustment needs to be made to prices in</w:t>
            </w:r>
            <w:r>
              <w:rPr>
                <w:rFonts w:ascii="Avenir Next Condensed" w:eastAsia="Avenir Next Condensed" w:hAnsi="Avenir Next Condensed" w:cs="Avenir Next Condensed"/>
                <w:spacing w:val="37"/>
                <w:sz w:val="18"/>
                <w:szCs w:val="18"/>
              </w:rPr>
              <w:t xml:space="preserve"> </w:t>
            </w:r>
            <w:r>
              <w:rPr>
                <w:rFonts w:ascii="Avenir Next Condensed" w:eastAsia="Avenir Next Condensed" w:hAnsi="Avenir Next Condensed" w:cs="Avenir Next Condensed"/>
                <w:sz w:val="18"/>
                <w:szCs w:val="18"/>
              </w:rPr>
              <w:t>this period (eg,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by deferring the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some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to the following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doing so would not </w:t>
            </w:r>
            <w:r>
              <w:rPr>
                <w:rFonts w:ascii="Avenir Next Condensed" w:eastAsia="Avenir Next Condensed" w:hAnsi="Avenir Next Condensed" w:cs="Avenir Next Condensed"/>
                <w:spacing w:val="-1"/>
                <w:sz w:val="18"/>
                <w:szCs w:val="18"/>
              </w:rPr>
              <w:t>affect</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pacing w:val="57"/>
                <w:sz w:val="18"/>
                <w:szCs w:val="18"/>
              </w:rPr>
              <w:t xml:space="preserve"> </w:t>
            </w:r>
            <w:r>
              <w:rPr>
                <w:rFonts w:ascii="Avenir Next Condensed" w:eastAsia="Avenir Next Condensed" w:hAnsi="Avenir Next Condensed" w:cs="Avenir Next Condensed"/>
                <w:sz w:val="18"/>
                <w:szCs w:val="18"/>
              </w:rPr>
              <w:t>financial viability).</w:t>
            </w:r>
          </w:p>
        </w:tc>
      </w:tr>
      <w:tr w:rsidR="00D96B91" w:rsidTr="00B45286">
        <w:trPr>
          <w:trHeight w:hRule="exact" w:val="1847"/>
        </w:trPr>
        <w:tc>
          <w:tcPr>
            <w:tcW w:w="1168"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12" w:line="220" w:lineRule="exact"/>
              <w:ind w:left="108" w:right="171"/>
              <w:rPr>
                <w:rFonts w:ascii="Avenir Next Condensed" w:eastAsia="Avenir Next Condensed" w:hAnsi="Avenir Next Condensed" w:cs="Avenir Next Condensed"/>
                <w:sz w:val="18"/>
                <w:szCs w:val="18"/>
              </w:rPr>
            </w:pPr>
            <w:r>
              <w:rPr>
                <w:rFonts w:ascii="Avenir Next Condensed"/>
                <w:sz w:val="18"/>
              </w:rPr>
              <w:t>Impact on inflation</w:t>
            </w:r>
          </w:p>
        </w:tc>
        <w:tc>
          <w:tcPr>
            <w:tcW w:w="823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32"/>
              <w:rPr>
                <w:rFonts w:ascii="Avenir Next Condensed" w:eastAsia="Avenir Next Condensed" w:hAnsi="Avenir Next Condensed" w:cs="Avenir Next Condensed"/>
                <w:sz w:val="18"/>
                <w:szCs w:val="18"/>
              </w:rPr>
            </w:pPr>
            <w:r>
              <w:rPr>
                <w:rFonts w:ascii="Avenir Next Condensed"/>
                <w:spacing w:val="-4"/>
                <w:sz w:val="18"/>
              </w:rPr>
              <w:t>To</w:t>
            </w:r>
            <w:r>
              <w:rPr>
                <w:rFonts w:ascii="Avenir Next Condensed"/>
                <w:sz w:val="18"/>
              </w:rPr>
              <w:t xml:space="preserve"> </w:t>
            </w:r>
            <w:r>
              <w:rPr>
                <w:rFonts w:ascii="Avenir Next Condensed"/>
                <w:spacing w:val="-1"/>
                <w:sz w:val="18"/>
              </w:rPr>
              <w:t>assess</w:t>
            </w:r>
            <w:r>
              <w:rPr>
                <w:rFonts w:ascii="Avenir Next Condensed"/>
                <w:sz w:val="18"/>
              </w:rPr>
              <w:t xml:space="preserve"> the </w:t>
            </w:r>
            <w:r>
              <w:rPr>
                <w:rFonts w:ascii="Avenir Next Condensed"/>
                <w:spacing w:val="-1"/>
                <w:sz w:val="18"/>
              </w:rPr>
              <w:t>effect</w:t>
            </w:r>
            <w:r>
              <w:rPr>
                <w:rFonts w:ascii="Avenir Next Condensed"/>
                <w:sz w:val="18"/>
              </w:rPr>
              <w:t xml:space="preserve"> that the water and </w:t>
            </w:r>
            <w:r>
              <w:rPr>
                <w:rFonts w:ascii="Avenir Next Condensed"/>
                <w:spacing w:val="-1"/>
                <w:sz w:val="18"/>
              </w:rPr>
              <w:t>sewerage</w:t>
            </w:r>
            <w:r>
              <w:rPr>
                <w:rFonts w:ascii="Avenir Next Condensed"/>
                <w:sz w:val="18"/>
              </w:rPr>
              <w:t xml:space="preserve"> </w:t>
            </w:r>
            <w:r>
              <w:rPr>
                <w:rFonts w:ascii="Avenir Next Condensed"/>
                <w:spacing w:val="-1"/>
                <w:sz w:val="18"/>
              </w:rPr>
              <w:t>charges</w:t>
            </w:r>
            <w:r>
              <w:rPr>
                <w:rFonts w:ascii="Avenir Next Condensed"/>
                <w:sz w:val="18"/>
              </w:rPr>
              <w:t xml:space="preserve"> </w:t>
            </w:r>
            <w:r>
              <w:rPr>
                <w:rFonts w:ascii="Avenir Next Condensed"/>
                <w:spacing w:val="-1"/>
                <w:sz w:val="18"/>
              </w:rPr>
              <w:t>are</w:t>
            </w:r>
            <w:r>
              <w:rPr>
                <w:rFonts w:ascii="Avenir Next Condensed"/>
                <w:sz w:val="18"/>
              </w:rPr>
              <w:t xml:space="preserve"> </w:t>
            </w:r>
            <w:r>
              <w:rPr>
                <w:rFonts w:ascii="Avenir Next Condensed"/>
                <w:spacing w:val="-1"/>
                <w:sz w:val="18"/>
              </w:rPr>
              <w:t>likely</w:t>
            </w:r>
            <w:r>
              <w:rPr>
                <w:rFonts w:ascii="Avenir Next Condensed"/>
                <w:sz w:val="18"/>
              </w:rPr>
              <w:t xml:space="preserve"> to have on </w:t>
            </w:r>
            <w:r>
              <w:rPr>
                <w:rFonts w:ascii="Avenir Next Condensed"/>
                <w:spacing w:val="-1"/>
                <w:sz w:val="18"/>
              </w:rPr>
              <w:t>general</w:t>
            </w:r>
            <w:r>
              <w:rPr>
                <w:rFonts w:ascii="Avenir Next Condensed"/>
                <w:sz w:val="18"/>
              </w:rPr>
              <w:t xml:space="preserve"> price inflation,</w:t>
            </w:r>
            <w:r>
              <w:rPr>
                <w:rFonts w:ascii="Avenir Next Condensed"/>
                <w:spacing w:val="-6"/>
                <w:sz w:val="18"/>
              </w:rPr>
              <w:t xml:space="preserve"> </w:t>
            </w:r>
            <w:r>
              <w:rPr>
                <w:rFonts w:ascii="Avenir Next Condensed"/>
                <w:sz w:val="18"/>
              </w:rPr>
              <w:t xml:space="preserve">the </w:t>
            </w:r>
            <w:r>
              <w:rPr>
                <w:rFonts w:ascii="Avenir Next Condensed"/>
                <w:spacing w:val="-2"/>
                <w:sz w:val="18"/>
              </w:rPr>
              <w:t>Panel</w:t>
            </w:r>
            <w:r>
              <w:rPr>
                <w:rFonts w:ascii="Avenir Next Condensed"/>
                <w:sz w:val="18"/>
              </w:rPr>
              <w:t xml:space="preserve"> will employ the same</w:t>
            </w:r>
            <w:r>
              <w:rPr>
                <w:rFonts w:ascii="Avenir Next Condensed"/>
                <w:spacing w:val="59"/>
                <w:sz w:val="18"/>
              </w:rPr>
              <w:t xml:space="preserve"> </w:t>
            </w:r>
            <w:r>
              <w:rPr>
                <w:rFonts w:ascii="Avenir Next Condensed"/>
                <w:spacing w:val="-1"/>
                <w:sz w:val="18"/>
              </w:rPr>
              <w:t>approach</w:t>
            </w:r>
            <w:r>
              <w:rPr>
                <w:rFonts w:ascii="Avenir Next Condensed"/>
                <w:sz w:val="18"/>
              </w:rPr>
              <w:t xml:space="preserve"> as</w:t>
            </w:r>
            <w:r>
              <w:rPr>
                <w:rFonts w:ascii="Avenir Next Condensed"/>
                <w:spacing w:val="1"/>
                <w:sz w:val="18"/>
              </w:rPr>
              <w:t xml:space="preserve"> </w:t>
            </w:r>
            <w:r>
              <w:rPr>
                <w:rFonts w:ascii="Avenir Next Condensed"/>
                <w:spacing w:val="-3"/>
                <w:sz w:val="18"/>
              </w:rPr>
              <w:t>IPART,</w:t>
            </w:r>
            <w:r>
              <w:rPr>
                <w:rFonts w:ascii="Avenir Next Condensed"/>
                <w:spacing w:val="-3"/>
                <w:position w:val="6"/>
                <w:sz w:val="10"/>
              </w:rPr>
              <w:t>73</w:t>
            </w:r>
            <w:r>
              <w:rPr>
                <w:rFonts w:ascii="Avenir Next Condensed"/>
                <w:spacing w:val="15"/>
                <w:position w:val="6"/>
                <w:sz w:val="10"/>
              </w:rPr>
              <w:t xml:space="preserve"> </w:t>
            </w:r>
            <w:r>
              <w:rPr>
                <w:rFonts w:ascii="Avenir Next Condensed"/>
                <w:sz w:val="18"/>
              </w:rPr>
              <w:t>which</w:t>
            </w:r>
            <w:r>
              <w:rPr>
                <w:rFonts w:ascii="Avenir Next Condensed"/>
                <w:spacing w:val="1"/>
                <w:sz w:val="18"/>
              </w:rPr>
              <w:t xml:space="preserve"> </w:t>
            </w:r>
            <w:r>
              <w:rPr>
                <w:rFonts w:ascii="Avenir Next Condensed"/>
                <w:sz w:val="18"/>
              </w:rPr>
              <w:t>involves</w:t>
            </w:r>
            <w:r>
              <w:rPr>
                <w:rFonts w:ascii="Avenir Next Condensed"/>
                <w:spacing w:val="1"/>
                <w:sz w:val="18"/>
              </w:rPr>
              <w:t xml:space="preserve"> </w:t>
            </w:r>
            <w:r>
              <w:rPr>
                <w:rFonts w:ascii="Avenir Next Condensed"/>
                <w:sz w:val="18"/>
              </w:rPr>
              <w:t>multiplying:</w:t>
            </w:r>
          </w:p>
          <w:p w:rsidR="00D96B91" w:rsidRDefault="00C2656B">
            <w:pPr>
              <w:pStyle w:val="ListParagraph"/>
              <w:numPr>
                <w:ilvl w:val="0"/>
                <w:numId w:val="83"/>
              </w:numPr>
              <w:tabs>
                <w:tab w:val="left" w:pos="336"/>
              </w:tabs>
              <w:spacing w:before="113" w:line="220" w:lineRule="exact"/>
              <w:ind w:right="520"/>
              <w:rPr>
                <w:rFonts w:ascii="Avenir Next Condensed" w:eastAsia="Avenir Next Condensed" w:hAnsi="Avenir Next Condensed" w:cs="Avenir Next Condensed"/>
                <w:sz w:val="18"/>
                <w:szCs w:val="18"/>
              </w:rPr>
            </w:pPr>
            <w:r>
              <w:rPr>
                <w:rFonts w:ascii="Avenir Next Condensed"/>
                <w:sz w:val="18"/>
              </w:rPr>
              <w:t xml:space="preserve">the contribution that water and </w:t>
            </w:r>
            <w:r>
              <w:rPr>
                <w:rFonts w:ascii="Avenir Next Condensed"/>
                <w:spacing w:val="-1"/>
                <w:sz w:val="18"/>
              </w:rPr>
              <w:t>sewerage</w:t>
            </w:r>
            <w:r>
              <w:rPr>
                <w:rFonts w:ascii="Avenir Next Condensed"/>
                <w:sz w:val="18"/>
              </w:rPr>
              <w:t xml:space="preserve"> costs in the</w:t>
            </w:r>
            <w:r>
              <w:rPr>
                <w:rFonts w:ascii="Avenir Next Condensed"/>
                <w:spacing w:val="-4"/>
                <w:sz w:val="18"/>
              </w:rPr>
              <w:t xml:space="preserve"> </w:t>
            </w:r>
            <w:r>
              <w:rPr>
                <w:rFonts w:ascii="Avenir Next Condensed"/>
                <w:spacing w:val="-2"/>
                <w:sz w:val="18"/>
              </w:rPr>
              <w:t>ACT</w:t>
            </w:r>
            <w:r>
              <w:rPr>
                <w:rFonts w:ascii="Avenir Next Condensed"/>
                <w:spacing w:val="-5"/>
                <w:sz w:val="18"/>
              </w:rPr>
              <w:t xml:space="preserve"> </w:t>
            </w:r>
            <w:r>
              <w:rPr>
                <w:rFonts w:ascii="Avenir Next Condensed"/>
                <w:spacing w:val="-1"/>
                <w:sz w:val="18"/>
              </w:rPr>
              <w:t>make</w:t>
            </w:r>
            <w:r>
              <w:rPr>
                <w:rFonts w:ascii="Avenir Next Condensed"/>
                <w:sz w:val="18"/>
              </w:rPr>
              <w:t xml:space="preserve"> to the consumer price </w:t>
            </w:r>
            <w:r>
              <w:rPr>
                <w:rFonts w:ascii="Avenir Next Condensed"/>
                <w:spacing w:val="-1"/>
                <w:sz w:val="18"/>
              </w:rPr>
              <w:t>index</w:t>
            </w:r>
            <w:r>
              <w:rPr>
                <w:rFonts w:ascii="Avenir Next Condensed"/>
                <w:sz w:val="18"/>
              </w:rPr>
              <w:t xml:space="preserve"> (CPI) (all </w:t>
            </w:r>
            <w:r>
              <w:rPr>
                <w:rFonts w:ascii="Avenir Next Condensed"/>
                <w:spacing w:val="-1"/>
                <w:sz w:val="18"/>
              </w:rPr>
              <w:t>groups,</w:t>
            </w:r>
            <w:r>
              <w:rPr>
                <w:rFonts w:ascii="Avenir Next Condensed"/>
                <w:spacing w:val="-6"/>
                <w:sz w:val="18"/>
              </w:rPr>
              <w:t xml:space="preserve"> </w:t>
            </w:r>
            <w:r>
              <w:rPr>
                <w:rFonts w:ascii="Avenir Next Condensed"/>
                <w:sz w:val="18"/>
              </w:rPr>
              <w:t>eight capital</w:t>
            </w:r>
            <w:r>
              <w:rPr>
                <w:rFonts w:ascii="Avenir Next Condensed"/>
                <w:spacing w:val="35"/>
                <w:sz w:val="18"/>
              </w:rPr>
              <w:t xml:space="preserve"> </w:t>
            </w:r>
            <w:r>
              <w:rPr>
                <w:rFonts w:ascii="Avenir Next Condensed"/>
                <w:sz w:val="18"/>
              </w:rPr>
              <w:t>cities),</w:t>
            </w:r>
            <w:r>
              <w:rPr>
                <w:rFonts w:ascii="Avenir Next Condensed"/>
                <w:spacing w:val="-6"/>
                <w:sz w:val="18"/>
              </w:rPr>
              <w:t xml:space="preserve"> </w:t>
            </w:r>
            <w:r>
              <w:rPr>
                <w:rFonts w:ascii="Avenir Next Condensed"/>
                <w:i/>
                <w:sz w:val="18"/>
              </w:rPr>
              <w:t>by</w:t>
            </w:r>
          </w:p>
          <w:p w:rsidR="00D96B91" w:rsidRDefault="00C2656B">
            <w:pPr>
              <w:pStyle w:val="ListParagraph"/>
              <w:numPr>
                <w:ilvl w:val="0"/>
                <w:numId w:val="83"/>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 xml:space="preserve">the annual </w:t>
            </w:r>
            <w:r>
              <w:rPr>
                <w:rFonts w:ascii="Avenir Next Condensed"/>
                <w:spacing w:val="-1"/>
                <w:sz w:val="18"/>
              </w:rPr>
              <w:t>average</w:t>
            </w:r>
            <w:r>
              <w:rPr>
                <w:rFonts w:ascii="Avenir Next Condensed"/>
                <w:sz w:val="18"/>
              </w:rPr>
              <w:t xml:space="preserve"> change in the water and </w:t>
            </w:r>
            <w:r>
              <w:rPr>
                <w:rFonts w:ascii="Avenir Next Condensed"/>
                <w:spacing w:val="-1"/>
                <w:sz w:val="18"/>
              </w:rPr>
              <w:t>sewerage</w:t>
            </w:r>
            <w:r>
              <w:rPr>
                <w:rFonts w:ascii="Avenir Next Condensed"/>
                <w:sz w:val="18"/>
              </w:rPr>
              <w:t xml:space="preserve"> bill for a customer consuming 200 kL</w:t>
            </w:r>
            <w:r>
              <w:rPr>
                <w:rFonts w:ascii="Avenir Next Condensed"/>
                <w:spacing w:val="-5"/>
                <w:sz w:val="18"/>
              </w:rPr>
              <w:t xml:space="preserve"> </w:t>
            </w:r>
            <w:r>
              <w:rPr>
                <w:rFonts w:ascii="Avenir Next Condensed"/>
                <w:sz w:val="18"/>
              </w:rPr>
              <w:t>per annum,</w:t>
            </w:r>
            <w:r>
              <w:rPr>
                <w:rFonts w:ascii="Avenir Next Condensed"/>
                <w:spacing w:val="-6"/>
                <w:sz w:val="18"/>
              </w:rPr>
              <w:t xml:space="preserve"> </w:t>
            </w:r>
            <w:r>
              <w:rPr>
                <w:rFonts w:ascii="Avenir Next Condensed"/>
                <w:spacing w:val="-1"/>
                <w:sz w:val="18"/>
              </w:rPr>
              <w:t>measured</w:t>
            </w:r>
            <w:r>
              <w:rPr>
                <w:rFonts w:ascii="Avenir Next Condensed"/>
                <w:sz w:val="18"/>
              </w:rPr>
              <w:t xml:space="preserve"> in </w:t>
            </w:r>
            <w:r>
              <w:rPr>
                <w:rFonts w:ascii="Avenir Next Condensed"/>
                <w:spacing w:val="-1"/>
                <w:sz w:val="18"/>
              </w:rPr>
              <w:t>real</w:t>
            </w:r>
            <w:r>
              <w:rPr>
                <w:rFonts w:ascii="Avenir Next Condensed"/>
                <w:sz w:val="18"/>
              </w:rPr>
              <w:t xml:space="preserve"> terms.</w:t>
            </w:r>
          </w:p>
        </w:tc>
      </w:tr>
      <w:tr w:rsidR="00D96B91" w:rsidTr="00B45286">
        <w:trPr>
          <w:trHeight w:hRule="exact" w:val="1511"/>
        </w:trPr>
        <w:tc>
          <w:tcPr>
            <w:tcW w:w="1168" w:type="dxa"/>
            <w:vMerge/>
            <w:tcBorders>
              <w:left w:val="single" w:sz="4" w:space="0" w:color="17A7E0"/>
              <w:bottom w:val="single" w:sz="4" w:space="0" w:color="17A7E0"/>
              <w:right w:val="single" w:sz="4" w:space="0" w:color="17A7E0"/>
            </w:tcBorders>
            <w:shd w:val="clear" w:color="auto" w:fill="F0F9FE"/>
          </w:tcPr>
          <w:p w:rsidR="00D96B91" w:rsidRDefault="00D96B91"/>
        </w:tc>
        <w:tc>
          <w:tcPr>
            <w:tcW w:w="823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jc w:val="both"/>
              <w:rPr>
                <w:rFonts w:ascii="Avenir Next Condensed" w:eastAsia="Avenir Next Condensed" w:hAnsi="Avenir Next Condensed" w:cs="Avenir Next Condensed"/>
                <w:sz w:val="18"/>
                <w:szCs w:val="18"/>
              </w:rPr>
            </w:pPr>
            <w:r>
              <w:rPr>
                <w:rFonts w:ascii="Avenir Next Condensed"/>
                <w:b/>
                <w:sz w:val="18"/>
              </w:rPr>
              <w:t xml:space="preserve">How the </w:t>
            </w:r>
            <w:r>
              <w:rPr>
                <w:rFonts w:ascii="Avenir Next Condensed"/>
                <w:b/>
                <w:spacing w:val="-2"/>
                <w:sz w:val="18"/>
              </w:rPr>
              <w:t>Panel</w:t>
            </w:r>
            <w:r>
              <w:rPr>
                <w:rFonts w:ascii="Avenir Next Condensed"/>
                <w:b/>
                <w:sz w:val="18"/>
              </w:rPr>
              <w:t xml:space="preserve"> will </w:t>
            </w:r>
            <w:r>
              <w:rPr>
                <w:rFonts w:ascii="Avenir Next Condensed"/>
                <w:b/>
                <w:spacing w:val="-1"/>
                <w:sz w:val="18"/>
              </w:rPr>
              <w:t>deal</w:t>
            </w:r>
            <w:r>
              <w:rPr>
                <w:rFonts w:ascii="Avenir Next Condensed"/>
                <w:b/>
                <w:sz w:val="18"/>
              </w:rPr>
              <w:t xml:space="preserve"> with the </w:t>
            </w:r>
            <w:r>
              <w:rPr>
                <w:rFonts w:ascii="Avenir Next Condensed"/>
                <w:b/>
                <w:spacing w:val="-1"/>
                <w:sz w:val="18"/>
              </w:rPr>
              <w:t>results</w:t>
            </w:r>
            <w:r>
              <w:rPr>
                <w:rFonts w:ascii="Avenir Next Condensed"/>
                <w:b/>
                <w:sz w:val="18"/>
              </w:rPr>
              <w:t xml:space="preserve"> of</w:t>
            </w:r>
            <w:r>
              <w:rPr>
                <w:rFonts w:ascii="Avenir Next Condensed"/>
                <w:b/>
                <w:spacing w:val="4"/>
                <w:sz w:val="18"/>
              </w:rPr>
              <w:t xml:space="preserve"> </w:t>
            </w:r>
            <w:r>
              <w:rPr>
                <w:rFonts w:ascii="Avenir Next Condensed"/>
                <w:b/>
                <w:sz w:val="18"/>
              </w:rPr>
              <w:t>this analysis:</w:t>
            </w:r>
          </w:p>
          <w:p w:rsidR="00D96B91" w:rsidRDefault="00C2656B">
            <w:pPr>
              <w:pStyle w:val="TableParagraph"/>
              <w:spacing w:before="91" w:line="220" w:lineRule="exact"/>
              <w:ind w:left="108" w:right="226"/>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this analysis indicates that </w:t>
            </w:r>
            <w:r>
              <w:rPr>
                <w:rFonts w:ascii="Avenir Next Condensed" w:eastAsia="Avenir Next Condensed" w:hAnsi="Avenir Next Condensed" w:cs="Avenir Next Condensed"/>
                <w:spacing w:val="-1"/>
                <w:sz w:val="18"/>
                <w:szCs w:val="18"/>
              </w:rPr>
              <w:t>there</w:t>
            </w:r>
            <w:r>
              <w:rPr>
                <w:rFonts w:ascii="Avenir Next Condensed" w:eastAsia="Avenir Next Condensed" w:hAnsi="Avenir Next Condensed" w:cs="Avenir Next Condensed"/>
                <w:sz w:val="18"/>
                <w:szCs w:val="18"/>
              </w:rPr>
              <w:t xml:space="preserve"> would be a material </w:t>
            </w:r>
            <w:r>
              <w:rPr>
                <w:rFonts w:ascii="Avenir Next Condensed" w:eastAsia="Avenir Next Condensed" w:hAnsi="Avenir Next Condensed" w:cs="Avenir Next Condensed"/>
                <w:spacing w:val="-1"/>
                <w:sz w:val="18"/>
                <w:szCs w:val="18"/>
              </w:rPr>
              <w:t>increase</w:t>
            </w:r>
            <w:r>
              <w:rPr>
                <w:rFonts w:ascii="Avenir Next Condensed" w:eastAsia="Avenir Next Condensed" w:hAnsi="Avenir Next Condensed" w:cs="Avenir Next Condensed"/>
                <w:sz w:val="18"/>
                <w:szCs w:val="18"/>
              </w:rPr>
              <w:t xml:space="preserve"> in inflation,</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w:t>
            </w:r>
            <w:r>
              <w:rPr>
                <w:rFonts w:ascii="Avenir Next Condensed" w:eastAsia="Avenir Next Condensed" w:hAnsi="Avenir Next Condensed" w:cs="Avenir Next Condensed"/>
                <w:sz w:val="18"/>
                <w:szCs w:val="18"/>
              </w:rPr>
              <w:t xml:space="preserve"> will consider whether the prices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set at an</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appropriate</w:t>
            </w:r>
            <w:r>
              <w:rPr>
                <w:rFonts w:ascii="Avenir Next Condensed" w:eastAsia="Avenir Next Condensed" w:hAnsi="Avenir Next Condensed" w:cs="Avenir Next Condensed"/>
                <w:sz w:val="18"/>
                <w:szCs w:val="18"/>
              </w:rPr>
              <w:t xml:space="preserve"> level,</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or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an NPV</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neutral</w:t>
            </w:r>
            <w:r>
              <w:rPr>
                <w:rFonts w:ascii="Avenir Next Condensed" w:eastAsia="Avenir Next Condensed" w:hAnsi="Avenir Next Condensed" w:cs="Avenir Next Condensed"/>
                <w:sz w:val="18"/>
                <w:szCs w:val="18"/>
              </w:rPr>
              <w:t xml:space="preserve"> adjustment needs to be made to prices in this period (eg,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by deferring the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some</w:t>
            </w:r>
            <w:r>
              <w:rPr>
                <w:rFonts w:ascii="Avenir Next Condensed" w:eastAsia="Avenir Next Condensed" w:hAnsi="Avenir Next Condensed" w:cs="Avenir Next Condensed"/>
                <w:spacing w:val="41"/>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to the following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doing so would not </w:t>
            </w:r>
            <w:r>
              <w:rPr>
                <w:rFonts w:ascii="Avenir Next Condensed" w:eastAsia="Avenir Next Condensed" w:hAnsi="Avenir Next Condensed" w:cs="Avenir Next Condensed"/>
                <w:spacing w:val="-1"/>
                <w:sz w:val="18"/>
                <w:szCs w:val="18"/>
              </w:rPr>
              <w:t>affect</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viability).</w:t>
            </w:r>
          </w:p>
        </w:tc>
      </w:tr>
    </w:tbl>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spacing w:before="3"/>
        <w:rPr>
          <w:rFonts w:ascii="Avenir Next" w:eastAsia="Avenir Next" w:hAnsi="Avenir Next" w:cs="Avenir Next"/>
          <w:b/>
          <w:bCs/>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12" style="width:72.5pt;height:.5pt;mso-position-horizontal-relative:char;mso-position-vertical-relative:line" coordsize="1450,10">
            <v:group id="_x0000_s3213" style="position:absolute;left:5;top:5;width:1440;height:2" coordorigin="5,5" coordsize="1440,2">
              <v:shape id="_x0000_s3214" style="position:absolute;left:5;top:5;width:1440;height:2" coordorigin="5,5" coordsize="1440,0" path="m5,5r1440,e" filled="f" strokeweight=".5pt">
                <v:path arrowok="t"/>
              </v:shape>
            </v:group>
            <w10:wrap type="none"/>
            <w10:anchorlock/>
          </v:group>
        </w:pict>
      </w:r>
    </w:p>
    <w:p w:rsidR="00D96B91" w:rsidRDefault="00C2656B">
      <w:pPr>
        <w:numPr>
          <w:ilvl w:val="0"/>
          <w:numId w:val="90"/>
        </w:numPr>
        <w:tabs>
          <w:tab w:val="left" w:pos="1758"/>
        </w:tabs>
        <w:spacing w:before="45" w:line="192" w:lineRule="exact"/>
        <w:ind w:right="1655" w:hanging="510"/>
        <w:rPr>
          <w:rFonts w:ascii="Avenir Next" w:eastAsia="Avenir Next" w:hAnsi="Avenir Next" w:cs="Avenir Next"/>
          <w:sz w:val="16"/>
          <w:szCs w:val="16"/>
        </w:rPr>
      </w:pPr>
      <w:r>
        <w:rPr>
          <w:rFonts w:ascii="Avenir Next" w:eastAsia="Avenir Next" w:hAnsi="Avenir Next" w:cs="Avenir Next"/>
          <w:spacing w:val="-5"/>
          <w:sz w:val="16"/>
          <w:szCs w:val="16"/>
        </w:rPr>
        <w:t xml:space="preserve">IPART,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w:t>
      </w:r>
      <w:r>
        <w:rPr>
          <w:rFonts w:ascii="Avenir Next" w:eastAsia="Avenir Next" w:hAnsi="Avenir Next" w:cs="Avenir Next"/>
          <w:spacing w:val="111"/>
          <w:sz w:val="16"/>
          <w:szCs w:val="16"/>
        </w:rPr>
        <w:t xml:space="preserve"> </w:t>
      </w:r>
      <w:r>
        <w:rPr>
          <w:rFonts w:ascii="Avenir Next" w:eastAsia="Avenir Next" w:hAnsi="Avenir Next" w:cs="Avenir Next"/>
          <w:sz w:val="16"/>
          <w:szCs w:val="16"/>
        </w:rPr>
        <w:t>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186.</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D96B91">
      <w:pPr>
        <w:spacing w:before="5"/>
        <w:rPr>
          <w:rFonts w:ascii="Times New Roman" w:eastAsia="Times New Roman" w:hAnsi="Times New Roman" w:cs="Times New Roman"/>
          <w:sz w:val="6"/>
          <w:szCs w:val="6"/>
        </w:rPr>
      </w:pPr>
      <w:r w:rsidRPr="00D96B91">
        <w:pict>
          <v:group id="_x0000_s3207" style="position:absolute;margin-left:0;margin-top:789.45pt;width:595.3pt;height:52.45pt;z-index:251540992;mso-position-horizontal-relative:page;mso-position-vertical-relative:page" coordorigin=",15789" coordsize="11906,1049">
            <v:group id="_x0000_s3208" style="position:absolute;top:15789;width:11906;height:1049" coordorigin=",15789" coordsize="11906,1049">
              <v:shape id="_x0000_s3211" style="position:absolute;top:15789;width:11906;height:1049" coordorigin=",15789" coordsize="11906,1049" path="m,16838r11906,l11906,15789,,15789r,1049xe" fillcolor="#0778be" stroked="f">
                <v:path arrowok="t"/>
              </v:shape>
              <v:shape id="_x0000_s3210" type="#_x0000_t75" style="position:absolute;top:15789;width:11906;height:1049">
                <v:imagedata r:id="rId20" o:title=""/>
              </v:shape>
              <v:shape id="_x0000_s3209" type="#_x0000_t202" style="position:absolute;top:15789;width:11906;height:1049" filled="f" stroked="f">
                <v:textbox style="mso-next-textbox:#_x0000_s3209"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240"/>
                        </w:tabs>
                        <w:ind w:left="692"/>
                        <w:rPr>
                          <w:rFonts w:ascii="Avenir Next" w:eastAsia="Avenir Next" w:hAnsi="Avenir Next" w:cs="Avenir Next"/>
                          <w:sz w:val="20"/>
                          <w:szCs w:val="20"/>
                        </w:rPr>
                      </w:pPr>
                      <w:r>
                        <w:rPr>
                          <w:rFonts w:ascii="Avenir Next" w:eastAsia="Avenir Next" w:hAnsi="Avenir Next" w:cs="Avenir Next"/>
                          <w:color w:val="EEF8FE"/>
                          <w:sz w:val="20"/>
                          <w:szCs w:val="20"/>
                        </w:rPr>
                        <w:t>66</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tbl>
      <w:tblPr>
        <w:tblW w:w="0" w:type="auto"/>
        <w:tblInd w:w="1247" w:type="dxa"/>
        <w:tblLayout w:type="fixed"/>
        <w:tblCellMar>
          <w:left w:w="0" w:type="dxa"/>
          <w:right w:w="0" w:type="dxa"/>
        </w:tblCellMar>
        <w:tblLook w:val="01E0"/>
      </w:tblPr>
      <w:tblGrid>
        <w:gridCol w:w="1168"/>
        <w:gridCol w:w="8233"/>
      </w:tblGrid>
      <w:tr w:rsidR="00D96B91" w:rsidTr="00B45286">
        <w:trPr>
          <w:trHeight w:hRule="exact" w:val="407"/>
        </w:trPr>
        <w:tc>
          <w:tcPr>
            <w:tcW w:w="11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Effect</w:t>
            </w:r>
          </w:p>
        </w:tc>
        <w:tc>
          <w:tcPr>
            <w:tcW w:w="823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Matters</w:t>
            </w:r>
            <w:r>
              <w:rPr>
                <w:rFonts w:ascii="Avenir Next Condensed"/>
                <w:b/>
                <w:color w:val="FFFFFF"/>
                <w:sz w:val="18"/>
              </w:rPr>
              <w:t xml:space="preserve"> </w:t>
            </w:r>
            <w:r>
              <w:rPr>
                <w:rFonts w:ascii="Avenir Next Condensed"/>
                <w:b/>
                <w:color w:val="FFFFFF"/>
                <w:spacing w:val="-1"/>
                <w:sz w:val="18"/>
              </w:rPr>
              <w:t>considered</w:t>
            </w:r>
            <w:r>
              <w:rPr>
                <w:rFonts w:ascii="Avenir Next Condensed"/>
                <w:b/>
                <w:color w:val="FFFFFF"/>
                <w:sz w:val="18"/>
              </w:rPr>
              <w:t xml:space="preserve"> by the </w:t>
            </w:r>
            <w:r>
              <w:rPr>
                <w:rFonts w:ascii="Avenir Next Condensed"/>
                <w:b/>
                <w:color w:val="FFFFFF"/>
                <w:spacing w:val="-2"/>
                <w:sz w:val="18"/>
              </w:rPr>
              <w:t>Panel</w:t>
            </w:r>
          </w:p>
        </w:tc>
      </w:tr>
      <w:tr w:rsidR="00D96B91" w:rsidTr="00B45286">
        <w:trPr>
          <w:trHeight w:hRule="exact" w:val="3221"/>
        </w:trPr>
        <w:tc>
          <w:tcPr>
            <w:tcW w:w="1168"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2" w:line="220" w:lineRule="exact"/>
              <w:ind w:left="108" w:right="17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Impact on </w:t>
            </w:r>
            <w:r>
              <w:rPr>
                <w:rFonts w:ascii="Avenir Next Condensed" w:eastAsia="Avenir Next Condensed" w:hAnsi="Avenir Next Condensed" w:cs="Avenir Next Condensed"/>
                <w:spacing w:val="-2"/>
                <w:sz w:val="18"/>
                <w:szCs w:val="18"/>
              </w:rPr>
              <w:t>ACTEW’s</w:t>
            </w:r>
          </w:p>
          <w:p w:rsidR="00D96B91" w:rsidRDefault="00C2656B">
            <w:pPr>
              <w:pStyle w:val="TableParagraph"/>
              <w:spacing w:line="220" w:lineRule="exact"/>
              <w:ind w:left="108" w:right="264"/>
              <w:rPr>
                <w:rFonts w:ascii="Avenir Next Condensed" w:eastAsia="Avenir Next Condensed" w:hAnsi="Avenir Next Condensed" w:cs="Avenir Next Condensed"/>
                <w:sz w:val="18"/>
                <w:szCs w:val="18"/>
              </w:rPr>
            </w:pPr>
            <w:r>
              <w:rPr>
                <w:rFonts w:ascii="Avenir Next Condensed"/>
                <w:sz w:val="18"/>
              </w:rPr>
              <w:t>financial viability</w:t>
            </w:r>
          </w:p>
        </w:tc>
        <w:tc>
          <w:tcPr>
            <w:tcW w:w="823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71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4"/>
                <w:sz w:val="18"/>
                <w:szCs w:val="18"/>
              </w:rPr>
              <w:t>To</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assess</w:t>
            </w:r>
            <w:r>
              <w:rPr>
                <w:rFonts w:ascii="Avenir Next Condensed" w:eastAsia="Avenir Next Condensed" w:hAnsi="Avenir Next Condensed" w:cs="Avenir Next Condensed"/>
                <w:sz w:val="18"/>
                <w:szCs w:val="18"/>
              </w:rPr>
              <w:t xml:space="preserve"> the </w:t>
            </w:r>
            <w:r>
              <w:rPr>
                <w:rFonts w:ascii="Avenir Next Condensed" w:eastAsia="Avenir Next Condensed" w:hAnsi="Avenir Next Condensed" w:cs="Avenir Next Condensed"/>
                <w:spacing w:val="-1"/>
                <w:sz w:val="18"/>
                <w:szCs w:val="18"/>
              </w:rPr>
              <w:t>effect</w:t>
            </w:r>
            <w:r>
              <w:rPr>
                <w:rFonts w:ascii="Avenir Next Condensed" w:eastAsia="Avenir Next Condensed" w:hAnsi="Avenir Next Condensed" w:cs="Avenir Next Condensed"/>
                <w:sz w:val="18"/>
                <w:szCs w:val="18"/>
              </w:rPr>
              <w:t xml:space="preserve"> that the 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charges</w:t>
            </w:r>
            <w:r>
              <w:rPr>
                <w:rFonts w:ascii="Avenir Next Condensed" w:eastAsia="Avenir Next Condensed" w:hAnsi="Avenir Next Condensed" w:cs="Avenir Next Condensed"/>
                <w:sz w:val="18"/>
                <w:szCs w:val="18"/>
              </w:rPr>
              <w:t xml:space="preserve"> will have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w:t>
            </w:r>
            <w:r>
              <w:rPr>
                <w:rFonts w:ascii="Avenir Next Condensed" w:eastAsia="Avenir Next Condensed" w:hAnsi="Avenir Next Condensed" w:cs="Avenir Next Condensed"/>
                <w:spacing w:val="-1"/>
                <w:sz w:val="18"/>
                <w:szCs w:val="18"/>
              </w:rPr>
              <w:t>viability,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w:t>
            </w:r>
            <w:r>
              <w:rPr>
                <w:rFonts w:ascii="Avenir Next Condensed" w:eastAsia="Avenir Next Condensed" w:hAnsi="Avenir Next Condensed" w:cs="Avenir Next Condensed"/>
                <w:sz w:val="18"/>
                <w:szCs w:val="18"/>
              </w:rPr>
              <w:t xml:space="preserve"> will consider the</w:t>
            </w:r>
            <w:r>
              <w:rPr>
                <w:rFonts w:ascii="Avenir Next Condensed" w:eastAsia="Avenir Next Condensed" w:hAnsi="Avenir Next Condensed" w:cs="Avenir Next Condensed"/>
                <w:spacing w:val="59"/>
                <w:sz w:val="18"/>
                <w:szCs w:val="18"/>
              </w:rPr>
              <w:t xml:space="preserve"> </w:t>
            </w:r>
            <w:r>
              <w:rPr>
                <w:rFonts w:ascii="Avenir Next Condensed" w:eastAsia="Avenir Next Condensed" w:hAnsi="Avenir Next Condensed" w:cs="Avenir Next Condensed"/>
                <w:sz w:val="18"/>
                <w:szCs w:val="18"/>
              </w:rPr>
              <w:t xml:space="preserve">following financial </w:t>
            </w:r>
            <w:r>
              <w:rPr>
                <w:rFonts w:ascii="Avenir Next Condensed" w:eastAsia="Avenir Next Condensed" w:hAnsi="Avenir Next Condensed" w:cs="Avenir Next Condensed"/>
                <w:spacing w:val="-1"/>
                <w:sz w:val="18"/>
                <w:szCs w:val="18"/>
              </w:rPr>
              <w:t>ratios:</w:t>
            </w:r>
          </w:p>
          <w:p w:rsidR="00D96B91" w:rsidRDefault="00C2656B">
            <w:pPr>
              <w:pStyle w:val="ListParagraph"/>
              <w:numPr>
                <w:ilvl w:val="0"/>
                <w:numId w:val="82"/>
              </w:numPr>
              <w:tabs>
                <w:tab w:val="left" w:pos="336"/>
              </w:tabs>
              <w:spacing w:before="10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Funds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operations</w:t>
            </w:r>
            <w:r>
              <w:rPr>
                <w:rFonts w:ascii="Avenir Next Condensed" w:eastAsia="Avenir Next Condensed" w:hAnsi="Avenir Next Condensed" w:cs="Avenir Next Condensed"/>
                <w:sz w:val="18"/>
                <w:szCs w:val="18"/>
              </w:rPr>
              <w:t xml:space="preserve"> (FFO) </w:t>
            </w:r>
            <w:r>
              <w:rPr>
                <w:rFonts w:ascii="Avenir Next Condensed" w:eastAsia="Avenir Next Condensed" w:hAnsi="Avenir Next Condensed" w:cs="Avenir Next Condensed"/>
                <w:spacing w:val="-1"/>
                <w:sz w:val="18"/>
                <w:szCs w:val="18"/>
              </w:rPr>
              <w:t>interest</w:t>
            </w:r>
            <w:r>
              <w:rPr>
                <w:rFonts w:ascii="Avenir Next Condensed" w:eastAsia="Avenir Next Condensed" w:hAnsi="Avenir Next Condensed" w:cs="Avenir Next Condensed"/>
                <w:sz w:val="18"/>
                <w:szCs w:val="18"/>
              </w:rPr>
              <w:t xml:space="preserve"> cover </w:t>
            </w:r>
            <w:r>
              <w:rPr>
                <w:rFonts w:ascii="Avenir Next Condensed" w:eastAsia="Avenir Next Condensed" w:hAnsi="Avenir Next Condensed" w:cs="Avenir Next Condensed"/>
                <w:spacing w:val="-1"/>
                <w:sz w:val="18"/>
                <w:szCs w:val="18"/>
              </w:rPr>
              <w:t>ratio,</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which </w:t>
            </w:r>
            <w:r>
              <w:rPr>
                <w:rFonts w:ascii="Avenir Next Condensed" w:eastAsia="Avenir Next Condensed" w:hAnsi="Avenir Next Condensed" w:cs="Avenir Next Condensed"/>
                <w:spacing w:val="-1"/>
                <w:sz w:val="18"/>
                <w:szCs w:val="18"/>
              </w:rPr>
              <w:t>provides</w:t>
            </w:r>
            <w:r>
              <w:rPr>
                <w:rFonts w:ascii="Avenir Next Condensed" w:eastAsia="Avenir Next Condensed" w:hAnsi="Avenir Next Condensed" w:cs="Avenir Next Condensed"/>
                <w:sz w:val="18"/>
                <w:szCs w:val="18"/>
              </w:rPr>
              <w:t xml:space="preserve"> an indication of</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ability to </w:t>
            </w:r>
            <w:r>
              <w:rPr>
                <w:rFonts w:ascii="Avenir Next Condensed" w:eastAsia="Avenir Next Condensed" w:hAnsi="Avenir Next Condensed" w:cs="Avenir Next Condensed"/>
                <w:spacing w:val="-1"/>
                <w:sz w:val="18"/>
                <w:szCs w:val="18"/>
              </w:rPr>
              <w:t>make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interest</w:t>
            </w:r>
            <w:r>
              <w:rPr>
                <w:rFonts w:ascii="Avenir Next Condensed" w:eastAsia="Avenir Next Condensed" w:hAnsi="Avenir Next Condensed" w:cs="Avenir Next Condensed"/>
                <w:sz w:val="18"/>
                <w:szCs w:val="18"/>
              </w:rPr>
              <w:t xml:space="preserve"> payments.</w:t>
            </w:r>
          </w:p>
          <w:p w:rsidR="00D96B91" w:rsidRDefault="00C2656B">
            <w:pPr>
              <w:pStyle w:val="ListParagraph"/>
              <w:numPr>
                <w:ilvl w:val="0"/>
                <w:numId w:val="82"/>
              </w:numPr>
              <w:tabs>
                <w:tab w:val="left" w:pos="336"/>
              </w:tabs>
              <w:spacing w:before="91" w:line="220" w:lineRule="exact"/>
              <w:ind w:right="16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Net debt </w:t>
            </w:r>
            <w:r>
              <w:rPr>
                <w:rFonts w:ascii="Avenir Next Condensed" w:eastAsia="Avenir Next Condensed" w:hAnsi="Avenir Next Condensed" w:cs="Avenir Next Condensed"/>
                <w:spacing w:val="-1"/>
                <w:sz w:val="18"/>
                <w:szCs w:val="18"/>
              </w:rPr>
              <w:t>gearing</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ratio,</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which </w:t>
            </w:r>
            <w:r>
              <w:rPr>
                <w:rFonts w:ascii="Avenir Next Condensed" w:eastAsia="Avenir Next Condensed" w:hAnsi="Avenir Next Condensed" w:cs="Avenir Next Condensed"/>
                <w:spacing w:val="-1"/>
                <w:sz w:val="18"/>
                <w:szCs w:val="18"/>
              </w:rPr>
              <w:t>measures</w:t>
            </w:r>
            <w:r>
              <w:rPr>
                <w:rFonts w:ascii="Avenir Next Condensed" w:eastAsia="Avenir Next Condensed" w:hAnsi="Avenir Next Condensed" w:cs="Avenir Next Condensed"/>
                <w:sz w:val="18"/>
                <w:szCs w:val="18"/>
              </w:rPr>
              <w:t xml:space="preserve"> the </w:t>
            </w:r>
            <w:r>
              <w:rPr>
                <w:rFonts w:ascii="Avenir Next Condensed" w:eastAsia="Avenir Next Condensed" w:hAnsi="Avenir Next Condensed" w:cs="Avenir Next Condensed"/>
                <w:spacing w:val="-1"/>
                <w:sz w:val="18"/>
                <w:szCs w:val="18"/>
              </w:rPr>
              <w:t>proportion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overall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capital </w:t>
            </w:r>
            <w:r>
              <w:rPr>
                <w:rFonts w:ascii="Avenir Next Condensed" w:eastAsia="Avenir Next Condensed" w:hAnsi="Avenir Next Condensed" w:cs="Avenir Next Condensed"/>
                <w:spacing w:val="-1"/>
                <w:sz w:val="18"/>
                <w:szCs w:val="18"/>
              </w:rPr>
              <w:t>structure,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which is made up by debt</w:t>
            </w:r>
            <w:r>
              <w:rPr>
                <w:rFonts w:ascii="Avenir Next Condensed" w:eastAsia="Avenir Next Condensed" w:hAnsi="Avenir Next Condensed" w:cs="Avenir Next Condensed"/>
                <w:spacing w:val="91"/>
                <w:sz w:val="18"/>
                <w:szCs w:val="18"/>
              </w:rPr>
              <w:t xml:space="preserve"> </w:t>
            </w:r>
            <w:r>
              <w:rPr>
                <w:rFonts w:ascii="Avenir Next Condensed" w:eastAsia="Avenir Next Condensed" w:hAnsi="Avenir Next Condensed" w:cs="Avenir Next Condensed"/>
                <w:sz w:val="18"/>
                <w:szCs w:val="18"/>
              </w:rPr>
              <w:t xml:space="preserve">and </w:t>
            </w:r>
            <w:r>
              <w:rPr>
                <w:rFonts w:ascii="Avenir Next Condensed" w:eastAsia="Avenir Next Condensed" w:hAnsi="Avenir Next Condensed" w:cs="Avenir Next Condensed"/>
                <w:spacing w:val="-1"/>
                <w:sz w:val="18"/>
                <w:szCs w:val="18"/>
              </w:rPr>
              <w:t>provides</w:t>
            </w:r>
            <w:r>
              <w:rPr>
                <w:rFonts w:ascii="Avenir Next Condensed" w:eastAsia="Avenir Next Condensed" w:hAnsi="Avenir Next Condensed" w:cs="Avenir Next Condensed"/>
                <w:sz w:val="18"/>
                <w:szCs w:val="18"/>
              </w:rPr>
              <w:t xml:space="preserve"> an indication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its ability to </w:t>
            </w:r>
            <w:r>
              <w:rPr>
                <w:rFonts w:ascii="Avenir Next Condensed" w:eastAsia="Avenir Next Condensed" w:hAnsi="Avenir Next Condensed" w:cs="Avenir Next Condensed"/>
                <w:spacing w:val="-1"/>
                <w:sz w:val="18"/>
                <w:szCs w:val="18"/>
              </w:rPr>
              <w:t>repay</w:t>
            </w:r>
            <w:r>
              <w:rPr>
                <w:rFonts w:ascii="Avenir Next Condensed" w:eastAsia="Avenir Next Condensed" w:hAnsi="Avenir Next Condensed" w:cs="Avenir Next Condensed"/>
                <w:sz w:val="18"/>
                <w:szCs w:val="18"/>
              </w:rPr>
              <w:t xml:space="preserve"> its debt.</w:t>
            </w:r>
          </w:p>
          <w:p w:rsidR="00D96B91" w:rsidRDefault="00C2656B">
            <w:pPr>
              <w:pStyle w:val="ListParagraph"/>
              <w:numPr>
                <w:ilvl w:val="0"/>
                <w:numId w:val="82"/>
              </w:numPr>
              <w:tabs>
                <w:tab w:val="left" w:pos="336"/>
              </w:tabs>
              <w:spacing w:before="113" w:line="220" w:lineRule="exact"/>
              <w:ind w:right="22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FFO to net debt </w:t>
            </w:r>
            <w:r>
              <w:rPr>
                <w:rFonts w:ascii="Avenir Next Condensed" w:eastAsia="Avenir Next Condensed" w:hAnsi="Avenir Next Condensed" w:cs="Avenir Next Condensed"/>
                <w:spacing w:val="-1"/>
                <w:sz w:val="18"/>
                <w:szCs w:val="18"/>
              </w:rPr>
              <w:t>ratio,</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which </w:t>
            </w:r>
            <w:r>
              <w:rPr>
                <w:rFonts w:ascii="Avenir Next Condensed" w:eastAsia="Avenir Next Condensed" w:hAnsi="Avenir Next Condensed" w:cs="Avenir Next Condensed"/>
                <w:spacing w:val="-1"/>
                <w:sz w:val="18"/>
                <w:szCs w:val="18"/>
              </w:rPr>
              <w:t>provides</w:t>
            </w:r>
            <w:r>
              <w:rPr>
                <w:rFonts w:ascii="Avenir Next Condensed" w:eastAsia="Avenir Next Condensed" w:hAnsi="Avenir Next Condensed" w:cs="Avenir Next Condensed"/>
                <w:sz w:val="18"/>
                <w:szCs w:val="18"/>
              </w:rPr>
              <w:t xml:space="preserve"> an indication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whether</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debt servicing ability is </w:t>
            </w:r>
            <w:r>
              <w:rPr>
                <w:rFonts w:ascii="Avenir Next Condensed" w:eastAsia="Avenir Next Condensed" w:hAnsi="Avenir Next Condensed" w:cs="Avenir Next Condensed"/>
                <w:spacing w:val="-1"/>
                <w:sz w:val="18"/>
                <w:szCs w:val="18"/>
              </w:rPr>
              <w:t>improving,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1"/>
                <w:sz w:val="18"/>
                <w:szCs w:val="18"/>
              </w:rPr>
              <w:t>remaining</w:t>
            </w:r>
            <w:r>
              <w:rPr>
                <w:rFonts w:ascii="Avenir Next Condensed" w:eastAsia="Avenir Next Condensed" w:hAnsi="Avenir Next Condensed" w:cs="Avenir Next Condensed"/>
                <w:sz w:val="18"/>
                <w:szCs w:val="18"/>
              </w:rPr>
              <w:t xml:space="preserve"> stable,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or</w:t>
            </w:r>
            <w:r>
              <w:rPr>
                <w:rFonts w:ascii="Avenir Next Condensed" w:eastAsia="Avenir Next Condensed" w:hAnsi="Avenir Next Condensed" w:cs="Avenir Next Condensed"/>
                <w:spacing w:val="57"/>
                <w:sz w:val="18"/>
                <w:szCs w:val="18"/>
              </w:rPr>
              <w:t xml:space="preserve"> </w:t>
            </w:r>
            <w:r>
              <w:rPr>
                <w:rFonts w:ascii="Avenir Next Condensed" w:eastAsia="Avenir Next Condensed" w:hAnsi="Avenir Next Condensed" w:cs="Avenir Next Condensed"/>
                <w:sz w:val="18"/>
                <w:szCs w:val="18"/>
              </w:rPr>
              <w:t>declining.</w:t>
            </w:r>
          </w:p>
          <w:p w:rsidR="00D96B91" w:rsidRDefault="00C2656B">
            <w:pPr>
              <w:pStyle w:val="ListParagraph"/>
              <w:numPr>
                <w:ilvl w:val="0"/>
                <w:numId w:val="82"/>
              </w:numPr>
              <w:tabs>
                <w:tab w:val="left" w:pos="336"/>
              </w:tabs>
              <w:spacing w:before="113" w:line="220" w:lineRule="exact"/>
              <w:ind w:right="113"/>
              <w:rPr>
                <w:rFonts w:ascii="Avenir Next Condensed" w:eastAsia="Avenir Next Condensed" w:hAnsi="Avenir Next Condensed" w:cs="Avenir Next Condensed"/>
                <w:sz w:val="18"/>
                <w:szCs w:val="18"/>
              </w:rPr>
            </w:pPr>
            <w:r>
              <w:rPr>
                <w:rFonts w:ascii="Avenir Next Condensed"/>
                <w:spacing w:val="-1"/>
                <w:sz w:val="18"/>
              </w:rPr>
              <w:t>Retained</w:t>
            </w:r>
            <w:r>
              <w:rPr>
                <w:rFonts w:ascii="Avenir Next Condensed"/>
                <w:sz w:val="18"/>
              </w:rPr>
              <w:t xml:space="preserve"> cash flow to capital </w:t>
            </w:r>
            <w:r>
              <w:rPr>
                <w:rFonts w:ascii="Avenir Next Condensed"/>
                <w:spacing w:val="-1"/>
                <w:sz w:val="18"/>
              </w:rPr>
              <w:t>expenditure</w:t>
            </w:r>
            <w:r>
              <w:rPr>
                <w:rFonts w:ascii="Avenir Next Condensed"/>
                <w:sz w:val="18"/>
              </w:rPr>
              <w:t xml:space="preserve"> </w:t>
            </w:r>
            <w:r>
              <w:rPr>
                <w:rFonts w:ascii="Avenir Next Condensed"/>
                <w:spacing w:val="-1"/>
                <w:sz w:val="18"/>
              </w:rPr>
              <w:t>ratio,</w:t>
            </w:r>
            <w:r>
              <w:rPr>
                <w:rFonts w:ascii="Avenir Next Condensed"/>
                <w:spacing w:val="-6"/>
                <w:sz w:val="18"/>
              </w:rPr>
              <w:t xml:space="preserve"> </w:t>
            </w:r>
            <w:r>
              <w:rPr>
                <w:rFonts w:ascii="Avenir Next Condensed"/>
                <w:sz w:val="18"/>
              </w:rPr>
              <w:t xml:space="preserve">which </w:t>
            </w:r>
            <w:r>
              <w:rPr>
                <w:rFonts w:ascii="Avenir Next Condensed"/>
                <w:spacing w:val="-1"/>
                <w:sz w:val="18"/>
              </w:rPr>
              <w:t>provides</w:t>
            </w:r>
            <w:r>
              <w:rPr>
                <w:rFonts w:ascii="Avenir Next Condensed"/>
                <w:sz w:val="18"/>
              </w:rPr>
              <w:t xml:space="preserve"> an indication of</w:t>
            </w:r>
            <w:r>
              <w:rPr>
                <w:rFonts w:ascii="Avenir Next Condensed"/>
                <w:spacing w:val="4"/>
                <w:sz w:val="18"/>
              </w:rPr>
              <w:t xml:space="preserve"> </w:t>
            </w:r>
            <w:r>
              <w:rPr>
                <w:rFonts w:ascii="Avenir Next Condensed"/>
                <w:sz w:val="18"/>
              </w:rPr>
              <w:t xml:space="preserve">the </w:t>
            </w:r>
            <w:r>
              <w:rPr>
                <w:rFonts w:ascii="Avenir Next Condensed"/>
                <w:spacing w:val="-1"/>
                <w:sz w:val="18"/>
              </w:rPr>
              <w:t>extent</w:t>
            </w:r>
            <w:r>
              <w:rPr>
                <w:rFonts w:ascii="Avenir Next Condensed"/>
                <w:sz w:val="18"/>
              </w:rPr>
              <w:t xml:space="preserve"> to which</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has cash </w:t>
            </w:r>
            <w:r>
              <w:rPr>
                <w:rFonts w:ascii="Avenir Next Condensed"/>
                <w:spacing w:val="-1"/>
                <w:sz w:val="18"/>
              </w:rPr>
              <w:t>remaining</w:t>
            </w:r>
            <w:r>
              <w:rPr>
                <w:rFonts w:ascii="Avenir Next Condensed"/>
                <w:sz w:val="18"/>
              </w:rPr>
              <w:t xml:space="preserve"> to</w:t>
            </w:r>
            <w:r>
              <w:rPr>
                <w:rFonts w:ascii="Avenir Next Condensed"/>
                <w:spacing w:val="65"/>
                <w:sz w:val="18"/>
              </w:rPr>
              <w:t xml:space="preserve"> </w:t>
            </w:r>
            <w:r>
              <w:rPr>
                <w:rFonts w:ascii="Avenir Next Condensed"/>
                <w:sz w:val="18"/>
              </w:rPr>
              <w:t>finance a prudent portion of</w:t>
            </w:r>
            <w:r>
              <w:rPr>
                <w:rFonts w:ascii="Avenir Next Condensed"/>
                <w:spacing w:val="4"/>
                <w:sz w:val="18"/>
              </w:rPr>
              <w:t xml:space="preserve"> </w:t>
            </w:r>
            <w:r>
              <w:rPr>
                <w:rFonts w:ascii="Avenir Next Condensed"/>
                <w:spacing w:val="-1"/>
                <w:sz w:val="18"/>
              </w:rPr>
              <w:t>capex</w:t>
            </w:r>
            <w:r>
              <w:rPr>
                <w:rFonts w:ascii="Avenir Next Condensed"/>
                <w:sz w:val="18"/>
              </w:rPr>
              <w:t xml:space="preserve"> </w:t>
            </w:r>
            <w:r>
              <w:rPr>
                <w:rFonts w:ascii="Avenir Next Condensed"/>
                <w:spacing w:val="-1"/>
                <w:sz w:val="18"/>
              </w:rPr>
              <w:t>after</w:t>
            </w:r>
            <w:r>
              <w:rPr>
                <w:rFonts w:ascii="Avenir Next Condensed"/>
                <w:sz w:val="18"/>
              </w:rPr>
              <w:t xml:space="preserve"> paying dividends.</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target</w:t>
            </w:r>
            <w:r>
              <w:rPr>
                <w:rFonts w:ascii="Avenir Next Condensed"/>
                <w:sz w:val="18"/>
              </w:rPr>
              <w:t xml:space="preserve"> </w:t>
            </w:r>
            <w:r>
              <w:rPr>
                <w:rFonts w:ascii="Avenir Next Condensed"/>
                <w:spacing w:val="-1"/>
                <w:sz w:val="18"/>
              </w:rPr>
              <w:t>range</w:t>
            </w:r>
            <w:r>
              <w:rPr>
                <w:rFonts w:ascii="Avenir Next Condensed"/>
                <w:sz w:val="18"/>
              </w:rPr>
              <w:t xml:space="preserve"> the </w:t>
            </w:r>
            <w:r>
              <w:rPr>
                <w:rFonts w:ascii="Avenir Next Condensed"/>
                <w:spacing w:val="-2"/>
                <w:sz w:val="18"/>
              </w:rPr>
              <w:t>Panel</w:t>
            </w:r>
            <w:r>
              <w:rPr>
                <w:rFonts w:ascii="Avenir Next Condensed"/>
                <w:sz w:val="18"/>
              </w:rPr>
              <w:t xml:space="preserve"> has used when </w:t>
            </w:r>
            <w:r>
              <w:rPr>
                <w:rFonts w:ascii="Avenir Next Condensed"/>
                <w:spacing w:val="-1"/>
                <w:sz w:val="18"/>
              </w:rPr>
              <w:t>assessing</w:t>
            </w:r>
            <w:r>
              <w:rPr>
                <w:rFonts w:ascii="Avenir Next Condensed"/>
                <w:sz w:val="18"/>
              </w:rPr>
              <w:t xml:space="preserve"> these metrics is set out in section 15.5.</w:t>
            </w:r>
          </w:p>
        </w:tc>
      </w:tr>
      <w:tr w:rsidR="00D96B91" w:rsidTr="00B45286">
        <w:trPr>
          <w:trHeight w:hRule="exact" w:val="1180"/>
        </w:trPr>
        <w:tc>
          <w:tcPr>
            <w:tcW w:w="1168" w:type="dxa"/>
            <w:vMerge/>
            <w:tcBorders>
              <w:left w:val="single" w:sz="4" w:space="0" w:color="17A7E0"/>
              <w:bottom w:val="single" w:sz="4" w:space="0" w:color="17A7E0"/>
              <w:right w:val="single" w:sz="4" w:space="0" w:color="17A7E0"/>
            </w:tcBorders>
            <w:shd w:val="clear" w:color="auto" w:fill="F0F9FE"/>
          </w:tcPr>
          <w:p w:rsidR="00D96B91" w:rsidRDefault="00D96B91"/>
        </w:tc>
        <w:tc>
          <w:tcPr>
            <w:tcW w:w="823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jc w:val="both"/>
              <w:rPr>
                <w:rFonts w:ascii="Avenir Next Condensed" w:eastAsia="Avenir Next Condensed" w:hAnsi="Avenir Next Condensed" w:cs="Avenir Next Condensed"/>
                <w:sz w:val="18"/>
                <w:szCs w:val="18"/>
              </w:rPr>
            </w:pPr>
            <w:r>
              <w:rPr>
                <w:rFonts w:ascii="Avenir Next Condensed"/>
                <w:b/>
                <w:sz w:val="18"/>
              </w:rPr>
              <w:t xml:space="preserve">How the </w:t>
            </w:r>
            <w:r>
              <w:rPr>
                <w:rFonts w:ascii="Avenir Next Condensed"/>
                <w:b/>
                <w:spacing w:val="-2"/>
                <w:sz w:val="18"/>
              </w:rPr>
              <w:t>Panel</w:t>
            </w:r>
            <w:r>
              <w:rPr>
                <w:rFonts w:ascii="Avenir Next Condensed"/>
                <w:b/>
                <w:sz w:val="18"/>
              </w:rPr>
              <w:t xml:space="preserve"> will </w:t>
            </w:r>
            <w:r>
              <w:rPr>
                <w:rFonts w:ascii="Avenir Next Condensed"/>
                <w:b/>
                <w:spacing w:val="-1"/>
                <w:sz w:val="18"/>
              </w:rPr>
              <w:t>deal</w:t>
            </w:r>
            <w:r>
              <w:rPr>
                <w:rFonts w:ascii="Avenir Next Condensed"/>
                <w:b/>
                <w:sz w:val="18"/>
              </w:rPr>
              <w:t xml:space="preserve"> with the </w:t>
            </w:r>
            <w:r>
              <w:rPr>
                <w:rFonts w:ascii="Avenir Next Condensed"/>
                <w:b/>
                <w:spacing w:val="-1"/>
                <w:sz w:val="18"/>
              </w:rPr>
              <w:t>results</w:t>
            </w:r>
            <w:r>
              <w:rPr>
                <w:rFonts w:ascii="Avenir Next Condensed"/>
                <w:b/>
                <w:sz w:val="18"/>
              </w:rPr>
              <w:t xml:space="preserve"> of</w:t>
            </w:r>
            <w:r>
              <w:rPr>
                <w:rFonts w:ascii="Avenir Next Condensed"/>
                <w:b/>
                <w:spacing w:val="4"/>
                <w:sz w:val="18"/>
              </w:rPr>
              <w:t xml:space="preserve"> </w:t>
            </w:r>
            <w:r>
              <w:rPr>
                <w:rFonts w:ascii="Avenir Next Condensed"/>
                <w:b/>
                <w:sz w:val="18"/>
              </w:rPr>
              <w:t>this analysis:</w:t>
            </w:r>
          </w:p>
          <w:p w:rsidR="00D96B91" w:rsidRDefault="00C2656B">
            <w:pPr>
              <w:pStyle w:val="TableParagraph"/>
              <w:spacing w:before="91" w:line="220" w:lineRule="exact"/>
              <w:ind w:left="108" w:right="253"/>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this analysis indicates that</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financial viability may be adversely </w:t>
            </w:r>
            <w:r>
              <w:rPr>
                <w:rFonts w:ascii="Avenir Next Condensed" w:eastAsia="Avenir Next Condensed" w:hAnsi="Avenir Next Condensed" w:cs="Avenir Next Condensed"/>
                <w:spacing w:val="-1"/>
                <w:sz w:val="18"/>
                <w:szCs w:val="18"/>
              </w:rPr>
              <w:t>affected</w:t>
            </w:r>
            <w:r>
              <w:rPr>
                <w:rFonts w:ascii="Avenir Next Condensed" w:eastAsia="Avenir Next Condensed" w:hAnsi="Avenir Next Condensed" w:cs="Avenir Next Condensed"/>
                <w:sz w:val="18"/>
                <w:szCs w:val="18"/>
              </w:rPr>
              <w:t xml:space="preserve"> by the decision,</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2"/>
                <w:sz w:val="18"/>
                <w:szCs w:val="18"/>
              </w:rPr>
              <w:t>Panel</w:t>
            </w:r>
            <w:r>
              <w:rPr>
                <w:rFonts w:ascii="Avenir Next Condensed" w:eastAsia="Avenir Next Condensed" w:hAnsi="Avenir Next Condensed" w:cs="Avenir Next Condensed"/>
                <w:sz w:val="18"/>
                <w:szCs w:val="18"/>
              </w:rPr>
              <w:t xml:space="preserve"> will consider whether</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z w:val="18"/>
                <w:szCs w:val="18"/>
              </w:rPr>
              <w:t xml:space="preserve">the prices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set at an </w:t>
            </w:r>
            <w:r>
              <w:rPr>
                <w:rFonts w:ascii="Avenir Next Condensed" w:eastAsia="Avenir Next Condensed" w:hAnsi="Avenir Next Condensed" w:cs="Avenir Next Condensed"/>
                <w:spacing w:val="-1"/>
                <w:sz w:val="18"/>
                <w:szCs w:val="18"/>
              </w:rPr>
              <w:t>appropriate</w:t>
            </w:r>
            <w:r>
              <w:rPr>
                <w:rFonts w:ascii="Avenir Next Condensed" w:eastAsia="Avenir Next Condensed" w:hAnsi="Avenir Next Condensed" w:cs="Avenir Next Condensed"/>
                <w:sz w:val="18"/>
                <w:szCs w:val="18"/>
              </w:rPr>
              <w:t xml:space="preserve"> level,</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or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an NPV</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neutral</w:t>
            </w:r>
            <w:r>
              <w:rPr>
                <w:rFonts w:ascii="Avenir Next Condensed" w:eastAsia="Avenir Next Condensed" w:hAnsi="Avenir Next Condensed" w:cs="Avenir Next Condensed"/>
                <w:sz w:val="18"/>
                <w:szCs w:val="18"/>
              </w:rPr>
              <w:t xml:space="preserve"> adjustment needs to be made to prices in this period (eg,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by altering</w:t>
            </w:r>
            <w:r>
              <w:rPr>
                <w:rFonts w:ascii="Avenir Next Condensed" w:eastAsia="Avenir Next Condensed" w:hAnsi="Avenir Next Condensed" w:cs="Avenir Next Condensed"/>
                <w:spacing w:val="31"/>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profile</w:t>
            </w:r>
            <w:r>
              <w:rPr>
                <w:rFonts w:ascii="Avenir Next Condensed" w:eastAsia="Avenir Next Condensed" w:hAnsi="Avenir Next Condensed" w:cs="Avenir Next Condensed"/>
                <w:sz w:val="18"/>
                <w:szCs w:val="18"/>
              </w:rPr>
              <w:t xml:space="preserve"> for the water security </w:t>
            </w:r>
            <w:r>
              <w:rPr>
                <w:rFonts w:ascii="Avenir Next Condensed" w:eastAsia="Avenir Next Condensed" w:hAnsi="Avenir Next Condensed" w:cs="Avenir Next Condensed"/>
                <w:spacing w:val="-1"/>
                <w:sz w:val="18"/>
                <w:szCs w:val="18"/>
              </w:rPr>
              <w:t>projects).</w:t>
            </w:r>
          </w:p>
        </w:tc>
      </w:tr>
    </w:tbl>
    <w:p w:rsidR="00D96B91" w:rsidRDefault="00D96B91">
      <w:pPr>
        <w:spacing w:line="220" w:lineRule="exact"/>
        <w:jc w:val="both"/>
        <w:rPr>
          <w:rFonts w:ascii="Avenir Next Condensed" w:eastAsia="Avenir Next Condensed" w:hAnsi="Avenir Next Condensed" w:cs="Avenir Next Condensed"/>
          <w:sz w:val="18"/>
          <w:szCs w:val="18"/>
        </w:rPr>
        <w:sectPr w:rsidR="00D96B91">
          <w:footerReference w:type="even" r:id="rId59"/>
          <w:pgSz w:w="11910" w:h="16840"/>
          <w:pgMar w:top="1160" w:right="0" w:bottom="0" w:left="0" w:header="0" w:footer="0"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86" w:name="8_Treatment_of_the_water_security_projec"/>
      <w:bookmarkStart w:id="87" w:name="8._1_Overview_of_the_Panel’s_draft_decis"/>
      <w:bookmarkStart w:id="88" w:name="_bookmark50"/>
      <w:bookmarkEnd w:id="86"/>
      <w:bookmarkEnd w:id="87"/>
      <w:bookmarkEnd w:id="88"/>
      <w:r>
        <w:rPr>
          <w:rFonts w:ascii="Avenir Next Medium"/>
          <w:color w:val="0778BE"/>
          <w:w w:val="95"/>
          <w:sz w:val="40"/>
        </w:rPr>
        <w:t>8</w:t>
      </w:r>
      <w:r>
        <w:rPr>
          <w:rFonts w:ascii="Avenir Next Medium"/>
          <w:color w:val="0778BE"/>
          <w:w w:val="95"/>
          <w:sz w:val="40"/>
        </w:rPr>
        <w:tab/>
      </w:r>
      <w:r>
        <w:rPr>
          <w:rFonts w:ascii="Avenir Next Medium"/>
          <w:color w:val="0778BE"/>
          <w:spacing w:val="-36"/>
          <w:sz w:val="40"/>
        </w:rPr>
        <w:t>T</w:t>
      </w:r>
      <w:r>
        <w:rPr>
          <w:rFonts w:ascii="Avenir Next Medium"/>
          <w:color w:val="0778BE"/>
          <w:spacing w:val="-8"/>
          <w:sz w:val="40"/>
        </w:rPr>
        <w:t>r</w:t>
      </w:r>
      <w:r>
        <w:rPr>
          <w:rFonts w:ascii="Avenir Next Medium"/>
          <w:color w:val="0778BE"/>
          <w:spacing w:val="-3"/>
          <w:sz w:val="40"/>
        </w:rPr>
        <w:t>e</w:t>
      </w:r>
      <w:r>
        <w:rPr>
          <w:rFonts w:ascii="Avenir Next Medium"/>
          <w:color w:val="0778BE"/>
          <w:spacing w:val="-4"/>
          <w:sz w:val="40"/>
        </w:rPr>
        <w:t>a</w:t>
      </w:r>
      <w:r>
        <w:rPr>
          <w:rFonts w:ascii="Avenir Next Medium"/>
          <w:color w:val="0778BE"/>
          <w:sz w:val="40"/>
        </w:rPr>
        <w:t>tment of</w:t>
      </w:r>
      <w:r>
        <w:rPr>
          <w:rFonts w:ascii="Avenir Next Medium"/>
          <w:color w:val="0778BE"/>
          <w:spacing w:val="9"/>
          <w:sz w:val="40"/>
        </w:rPr>
        <w:t xml:space="preserve"> </w:t>
      </w:r>
      <w:r>
        <w:rPr>
          <w:rFonts w:ascii="Avenir Next Medium"/>
          <w:color w:val="0778BE"/>
          <w:sz w:val="40"/>
        </w:rPr>
        <w:t>the w</w:t>
      </w:r>
      <w:r>
        <w:rPr>
          <w:rFonts w:ascii="Avenir Next Medium"/>
          <w:color w:val="0778BE"/>
          <w:spacing w:val="-4"/>
          <w:sz w:val="40"/>
        </w:rPr>
        <w:t>a</w:t>
      </w:r>
      <w:r>
        <w:rPr>
          <w:rFonts w:ascii="Avenir Next Medium"/>
          <w:color w:val="0778BE"/>
          <w:sz w:val="40"/>
        </w:rPr>
        <w:t>ter security p</w:t>
      </w:r>
      <w:r>
        <w:rPr>
          <w:rFonts w:ascii="Avenir Next Medium"/>
          <w:color w:val="0778BE"/>
          <w:spacing w:val="-8"/>
          <w:sz w:val="40"/>
        </w:rPr>
        <w:t>r</w:t>
      </w:r>
      <w:r>
        <w:rPr>
          <w:rFonts w:ascii="Avenir Next Medium"/>
          <w:color w:val="0778BE"/>
          <w:sz w:val="40"/>
        </w:rPr>
        <w:t>ojects</w:t>
      </w:r>
    </w:p>
    <w:p w:rsidR="00D96B91" w:rsidRDefault="00C2656B">
      <w:pPr>
        <w:pStyle w:val="BodyText"/>
        <w:spacing w:before="359" w:line="260" w:lineRule="exact"/>
        <w:ind w:right="1513"/>
      </w:pPr>
      <w:r>
        <w:rPr>
          <w:spacing w:val="-2"/>
        </w:rPr>
        <w:t>The</w:t>
      </w:r>
      <w:r>
        <w:t xml:space="preserve"> </w:t>
      </w:r>
      <w:r>
        <w:rPr>
          <w:spacing w:val="-1"/>
        </w:rPr>
        <w:t>next</w:t>
      </w:r>
      <w:r>
        <w:t xml:space="preserve"> component of</w:t>
      </w:r>
      <w:r>
        <w:rPr>
          <w:spacing w:val="4"/>
        </w:rPr>
        <w:t xml:space="preserve"> </w:t>
      </w:r>
      <w:r>
        <w:t xml:space="preserve">the original price </w:t>
      </w:r>
      <w:r>
        <w:rPr>
          <w:spacing w:val="-1"/>
        </w:rPr>
        <w:t>direction</w:t>
      </w:r>
      <w:r>
        <w:t xml:space="preserve"> the </w:t>
      </w:r>
      <w:r>
        <w:rPr>
          <w:spacing w:val="-3"/>
        </w:rPr>
        <w:t>Panel</w:t>
      </w:r>
      <w:r>
        <w:t xml:space="preserve"> </w:t>
      </w:r>
      <w:r>
        <w:rPr>
          <w:spacing w:val="-1"/>
        </w:rPr>
        <w:t>reviewed</w:t>
      </w:r>
      <w:r>
        <w:t xml:space="preserve"> was the </w:t>
      </w:r>
      <w:r>
        <w:rPr>
          <w:spacing w:val="-1"/>
        </w:rPr>
        <w:t>approach</w:t>
      </w:r>
      <w:r>
        <w:t xml:space="preserve"> the ICRC</w:t>
      </w:r>
      <w:r>
        <w:rPr>
          <w:spacing w:val="39"/>
        </w:rPr>
        <w:t xml:space="preserve"> </w:t>
      </w:r>
      <w:r>
        <w:t xml:space="preserve">used to </w:t>
      </w:r>
      <w:r>
        <w:rPr>
          <w:spacing w:val="-1"/>
        </w:rPr>
        <w:t>deal</w:t>
      </w:r>
      <w:r>
        <w:rPr>
          <w:spacing w:val="1"/>
        </w:rPr>
        <w:t xml:space="preserve"> </w:t>
      </w:r>
      <w:r>
        <w:t>with the</w:t>
      </w:r>
      <w:r>
        <w:rPr>
          <w:spacing w:val="1"/>
        </w:rPr>
        <w:t xml:space="preserve"> </w:t>
      </w:r>
      <w:r>
        <w:rPr>
          <w:spacing w:val="-1"/>
        </w:rPr>
        <w:t>intergenerational</w:t>
      </w:r>
      <w:r>
        <w:t xml:space="preserve"> equity</w:t>
      </w:r>
      <w:r>
        <w:rPr>
          <w:position w:val="7"/>
          <w:sz w:val="11"/>
        </w:rPr>
        <w:t>74</w:t>
      </w:r>
      <w:r>
        <w:rPr>
          <w:spacing w:val="23"/>
          <w:position w:val="7"/>
          <w:sz w:val="11"/>
        </w:rPr>
        <w:t xml:space="preserve"> </w:t>
      </w:r>
      <w:r>
        <w:t>issues</w:t>
      </w:r>
      <w:r>
        <w:rPr>
          <w:spacing w:val="1"/>
        </w:rPr>
        <w:t xml:space="preserve"> </w:t>
      </w:r>
      <w:r>
        <w:t>posed by</w:t>
      </w:r>
      <w:r>
        <w:rPr>
          <w:spacing w:val="1"/>
        </w:rPr>
        <w:t xml:space="preserve"> </w:t>
      </w:r>
      <w:r>
        <w:t xml:space="preserve">the </w:t>
      </w:r>
      <w:r>
        <w:rPr>
          <w:spacing w:val="-1"/>
        </w:rPr>
        <w:t>water</w:t>
      </w:r>
      <w:r>
        <w:rPr>
          <w:spacing w:val="1"/>
        </w:rPr>
        <w:t xml:space="preserve"> </w:t>
      </w:r>
      <w:r>
        <w:t xml:space="preserve">security </w:t>
      </w:r>
      <w:r>
        <w:rPr>
          <w:spacing w:val="-1"/>
        </w:rPr>
        <w:t>projects</w:t>
      </w:r>
      <w:r>
        <w:rPr>
          <w:spacing w:val="-4"/>
        </w:rPr>
        <w:t xml:space="preserve"> </w:t>
      </w:r>
      <w:r>
        <w:rPr>
          <w:spacing w:val="-2"/>
        </w:rPr>
        <w:t>ACTEW</w:t>
      </w:r>
      <w:r>
        <w:rPr>
          <w:spacing w:val="41"/>
        </w:rPr>
        <w:t xml:space="preserve"> </w:t>
      </w:r>
      <w:r>
        <w:t xml:space="preserve">completed in the </w:t>
      </w:r>
      <w:r>
        <w:rPr>
          <w:spacing w:val="-1"/>
        </w:rPr>
        <w:t>previous</w:t>
      </w:r>
      <w:r>
        <w:t xml:space="preserve"> </w:t>
      </w:r>
      <w:r>
        <w:rPr>
          <w:spacing w:val="-1"/>
        </w:rPr>
        <w:t>regulatory</w:t>
      </w:r>
      <w:r>
        <w:t xml:space="preserve"> period.</w:t>
      </w:r>
      <w:r>
        <w:rPr>
          <w:spacing w:val="-11"/>
        </w:rPr>
        <w:t xml:space="preserve"> </w:t>
      </w:r>
      <w:r>
        <w:rPr>
          <w:spacing w:val="-1"/>
        </w:rPr>
        <w:t>These</w:t>
      </w:r>
      <w:r>
        <w:t xml:space="preserve"> </w:t>
      </w:r>
      <w:r>
        <w:rPr>
          <w:spacing w:val="-1"/>
        </w:rPr>
        <w:t>projects</w:t>
      </w:r>
      <w:r>
        <w:t xml:space="preserve"> include the 20-fold </w:t>
      </w:r>
      <w:r>
        <w:rPr>
          <w:spacing w:val="-1"/>
        </w:rPr>
        <w:t>expansion</w:t>
      </w:r>
      <w:r>
        <w:t xml:space="preserve"> of</w:t>
      </w:r>
      <w:r>
        <w:rPr>
          <w:spacing w:val="4"/>
        </w:rPr>
        <w:t xml:space="preserve"> </w:t>
      </w:r>
      <w:r>
        <w:t>the</w:t>
      </w:r>
      <w:r>
        <w:rPr>
          <w:spacing w:val="41"/>
        </w:rPr>
        <w:t xml:space="preserve"> </w:t>
      </w:r>
      <w:r>
        <w:rPr>
          <w:spacing w:val="-1"/>
        </w:rPr>
        <w:t>Cotter</w:t>
      </w:r>
      <w:r>
        <w:t xml:space="preserve"> Dam,</w:t>
      </w:r>
      <w:r>
        <w:rPr>
          <w:spacing w:val="-6"/>
        </w:rPr>
        <w:t xml:space="preserve"> </w:t>
      </w:r>
      <w:r>
        <w:t>and the construction of</w:t>
      </w:r>
      <w:r>
        <w:rPr>
          <w:spacing w:val="4"/>
        </w:rPr>
        <w:t xml:space="preserve"> </w:t>
      </w:r>
      <w:r>
        <w:t>the M2G.</w:t>
      </w:r>
    </w:p>
    <w:p w:rsidR="00D96B91" w:rsidRDefault="00C2656B">
      <w:pPr>
        <w:pStyle w:val="BodyText"/>
        <w:spacing w:before="170" w:line="260" w:lineRule="exact"/>
        <w:ind w:right="1283"/>
        <w:rPr>
          <w:rFonts w:cs="Avenir Next"/>
        </w:rPr>
      </w:pPr>
      <w:r>
        <w:rPr>
          <w:spacing w:val="-1"/>
        </w:rPr>
        <w:t>This</w:t>
      </w:r>
      <w:r>
        <w:t xml:space="preserve"> was one of</w:t>
      </w:r>
      <w:r>
        <w:rPr>
          <w:spacing w:val="4"/>
        </w:rPr>
        <w:t xml:space="preserve"> </w:t>
      </w:r>
      <w:r>
        <w:t xml:space="preserve">the </w:t>
      </w:r>
      <w:r>
        <w:rPr>
          <w:spacing w:val="-1"/>
        </w:rPr>
        <w:t>more</w:t>
      </w:r>
      <w:r>
        <w:t xml:space="preserve"> </w:t>
      </w:r>
      <w:r>
        <w:rPr>
          <w:spacing w:val="-1"/>
        </w:rPr>
        <w:t>complex</w:t>
      </w:r>
      <w:r>
        <w:t xml:space="preserve"> issues the ICRC had to </w:t>
      </w:r>
      <w:r>
        <w:rPr>
          <w:spacing w:val="-1"/>
        </w:rPr>
        <w:t>deal</w:t>
      </w:r>
      <w:r>
        <w:t xml:space="preserve"> with in making the original price</w:t>
      </w:r>
      <w:r>
        <w:rPr>
          <w:spacing w:val="28"/>
        </w:rPr>
        <w:t xml:space="preserve"> </w:t>
      </w:r>
      <w:r>
        <w:rPr>
          <w:spacing w:val="-1"/>
        </w:rPr>
        <w:t>direction</w:t>
      </w:r>
      <w:r>
        <w:t xml:space="preserve"> due to:</w:t>
      </w:r>
    </w:p>
    <w:p w:rsidR="00D96B91" w:rsidRDefault="00C2656B">
      <w:pPr>
        <w:pStyle w:val="BodyText"/>
        <w:numPr>
          <w:ilvl w:val="0"/>
          <w:numId w:val="131"/>
        </w:numPr>
        <w:tabs>
          <w:tab w:val="left" w:pos="1531"/>
        </w:tabs>
        <w:spacing w:before="170" w:line="260" w:lineRule="exact"/>
        <w:ind w:right="1525" w:hanging="283"/>
        <w:rPr>
          <w:rFonts w:cs="Avenir Next"/>
        </w:rPr>
      </w:pPr>
      <w:r>
        <w:t>the scale of</w:t>
      </w:r>
      <w:r>
        <w:rPr>
          <w:spacing w:val="4"/>
        </w:rPr>
        <w:t xml:space="preserve"> </w:t>
      </w:r>
      <w:r>
        <w:t xml:space="preserve">the investment in these </w:t>
      </w:r>
      <w:r>
        <w:rPr>
          <w:spacing w:val="-1"/>
        </w:rPr>
        <w:t>water</w:t>
      </w:r>
      <w:r>
        <w:t xml:space="preserve"> security </w:t>
      </w:r>
      <w:r>
        <w:rPr>
          <w:spacing w:val="-1"/>
        </w:rPr>
        <w:t>projects,</w:t>
      </w:r>
      <w:r>
        <w:rPr>
          <w:spacing w:val="-6"/>
        </w:rPr>
        <w:t xml:space="preserve"> </w:t>
      </w:r>
      <w:r>
        <w:t xml:space="preserve">which was </w:t>
      </w:r>
      <w:r>
        <w:rPr>
          <w:spacing w:val="-1"/>
        </w:rPr>
        <w:t>approximately</w:t>
      </w:r>
      <w:r>
        <w:t xml:space="preserve"> $560 million</w:t>
      </w:r>
      <w:r>
        <w:rPr>
          <w:spacing w:val="25"/>
        </w:rPr>
        <w:t xml:space="preserve"> </w:t>
      </w:r>
      <w:r>
        <w:t>($2012-13),</w:t>
      </w:r>
      <w:r>
        <w:rPr>
          <w:position w:val="7"/>
          <w:sz w:val="11"/>
        </w:rPr>
        <w:t xml:space="preserve">75 </w:t>
      </w:r>
      <w:r>
        <w:rPr>
          <w:spacing w:val="2"/>
          <w:position w:val="7"/>
          <w:sz w:val="11"/>
        </w:rPr>
        <w:t xml:space="preserve"> </w:t>
      </w:r>
      <w:r>
        <w:t>and</w:t>
      </w:r>
    </w:p>
    <w:p w:rsidR="00D96B91" w:rsidRDefault="00C2656B">
      <w:pPr>
        <w:pStyle w:val="BodyText"/>
        <w:numPr>
          <w:ilvl w:val="0"/>
          <w:numId w:val="131"/>
        </w:numPr>
        <w:tabs>
          <w:tab w:val="left" w:pos="1531"/>
        </w:tabs>
        <w:spacing w:before="85" w:line="260" w:lineRule="exact"/>
        <w:ind w:right="1303" w:hanging="283"/>
        <w:jc w:val="both"/>
      </w:pPr>
      <w:r>
        <w:t>the</w:t>
      </w:r>
      <w:r>
        <w:rPr>
          <w:spacing w:val="-1"/>
        </w:rPr>
        <w:t xml:space="preserve"> expectation</w:t>
      </w:r>
      <w:r>
        <w:t xml:space="preserve"> </w:t>
      </w:r>
      <w:r>
        <w:rPr>
          <w:spacing w:val="-1"/>
        </w:rPr>
        <w:t xml:space="preserve">that </w:t>
      </w:r>
      <w:r>
        <w:t>the benefits</w:t>
      </w:r>
      <w:r>
        <w:rPr>
          <w:spacing w:val="-1"/>
        </w:rPr>
        <w:t xml:space="preserve"> </w:t>
      </w:r>
      <w:r>
        <w:t>of</w:t>
      </w:r>
      <w:r>
        <w:rPr>
          <w:spacing w:val="4"/>
        </w:rPr>
        <w:t xml:space="preserve"> </w:t>
      </w:r>
      <w:r>
        <w:t>the</w:t>
      </w:r>
      <w:r>
        <w:rPr>
          <w:spacing w:val="-1"/>
        </w:rPr>
        <w:t xml:space="preserve"> projects</w:t>
      </w:r>
      <w:r>
        <w:t xml:space="preserve"> will</w:t>
      </w:r>
      <w:r>
        <w:rPr>
          <w:spacing w:val="-1"/>
        </w:rPr>
        <w:t xml:space="preserve"> </w:t>
      </w:r>
      <w:r>
        <w:t xml:space="preserve">accrue </w:t>
      </w:r>
      <w:r>
        <w:rPr>
          <w:spacing w:val="-1"/>
        </w:rPr>
        <w:t xml:space="preserve">across </w:t>
      </w:r>
      <w:r>
        <w:t xml:space="preserve">multiple </w:t>
      </w:r>
      <w:r>
        <w:rPr>
          <w:spacing w:val="-1"/>
        </w:rPr>
        <w:t>generations,</w:t>
      </w:r>
      <w:r>
        <w:rPr>
          <w:spacing w:val="-7"/>
        </w:rPr>
        <w:t xml:space="preserve"> </w:t>
      </w:r>
      <w:r>
        <w:t xml:space="preserve">with </w:t>
      </w:r>
      <w:r>
        <w:rPr>
          <w:spacing w:val="-1"/>
        </w:rPr>
        <w:t>current</w:t>
      </w:r>
      <w:r>
        <w:rPr>
          <w:spacing w:val="51"/>
        </w:rPr>
        <w:t xml:space="preserve"> </w:t>
      </w:r>
      <w:r>
        <w:t>customers</w:t>
      </w:r>
      <w:r>
        <w:rPr>
          <w:spacing w:val="-1"/>
        </w:rPr>
        <w:t xml:space="preserve"> </w:t>
      </w:r>
      <w:r>
        <w:t>to benefit</w:t>
      </w:r>
      <w:r>
        <w:rPr>
          <w:spacing w:val="-1"/>
        </w:rPr>
        <w:t xml:space="preserve"> from</w:t>
      </w:r>
      <w:r>
        <w:t xml:space="preserve"> </w:t>
      </w:r>
      <w:r>
        <w:rPr>
          <w:spacing w:val="-1"/>
        </w:rPr>
        <w:t xml:space="preserve">improvements </w:t>
      </w:r>
      <w:r>
        <w:t xml:space="preserve">in </w:t>
      </w:r>
      <w:r>
        <w:rPr>
          <w:spacing w:val="-1"/>
        </w:rPr>
        <w:t xml:space="preserve">water </w:t>
      </w:r>
      <w:r>
        <w:t>security while</w:t>
      </w:r>
      <w:r>
        <w:rPr>
          <w:spacing w:val="-1"/>
        </w:rPr>
        <w:t xml:space="preserve"> future</w:t>
      </w:r>
      <w:r>
        <w:t xml:space="preserve"> </w:t>
      </w:r>
      <w:r>
        <w:rPr>
          <w:spacing w:val="-1"/>
        </w:rPr>
        <w:t xml:space="preserve">generations </w:t>
      </w:r>
      <w:r>
        <w:t>of</w:t>
      </w:r>
      <w:r>
        <w:rPr>
          <w:spacing w:val="4"/>
        </w:rPr>
        <w:t xml:space="preserve"> </w:t>
      </w:r>
      <w:r>
        <w:t>customers</w:t>
      </w:r>
      <w:r>
        <w:rPr>
          <w:spacing w:val="-1"/>
        </w:rPr>
        <w:t xml:space="preserve"> </w:t>
      </w:r>
      <w:r>
        <w:t>will</w:t>
      </w:r>
      <w:r>
        <w:rPr>
          <w:spacing w:val="39"/>
        </w:rPr>
        <w:t xml:space="preserve"> </w:t>
      </w:r>
      <w:r>
        <w:t>benefit</w:t>
      </w:r>
      <w:r>
        <w:rPr>
          <w:spacing w:val="-1"/>
        </w:rPr>
        <w:t xml:space="preserve"> from </w:t>
      </w:r>
      <w:r>
        <w:t>the</w:t>
      </w:r>
      <w:r>
        <w:rPr>
          <w:spacing w:val="-1"/>
        </w:rPr>
        <w:t xml:space="preserve"> increased</w:t>
      </w:r>
      <w:r>
        <w:t xml:space="preserve"> supply</w:t>
      </w:r>
      <w:r>
        <w:rPr>
          <w:spacing w:val="-1"/>
        </w:rPr>
        <w:t xml:space="preserve"> </w:t>
      </w:r>
      <w:r>
        <w:t>capacity</w:t>
      </w:r>
      <w:r>
        <w:rPr>
          <w:spacing w:val="-1"/>
        </w:rPr>
        <w:t xml:space="preserve"> </w:t>
      </w:r>
      <w:r>
        <w:t>as the</w:t>
      </w:r>
      <w:r>
        <w:rPr>
          <w:spacing w:val="-1"/>
        </w:rPr>
        <w:t xml:space="preserve"> population expands.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t>No</w:t>
      </w:r>
      <w:r>
        <w:rPr>
          <w:spacing w:val="-1"/>
        </w:rPr>
        <w:t xml:space="preserve"> </w:t>
      </w:r>
      <w:r>
        <w:t>specific issues</w:t>
      </w:r>
      <w:r>
        <w:rPr>
          <w:spacing w:val="-1"/>
        </w:rPr>
        <w:t xml:space="preserve"> were</w:t>
      </w:r>
      <w:r>
        <w:t xml:space="preserve"> </w:t>
      </w:r>
      <w:r>
        <w:rPr>
          <w:spacing w:val="-1"/>
        </w:rPr>
        <w:t xml:space="preserve">raised </w:t>
      </w:r>
      <w:r>
        <w:t>about this</w:t>
      </w:r>
      <w:r>
        <w:rPr>
          <w:spacing w:val="-1"/>
        </w:rPr>
        <w:t xml:space="preserve"> </w:t>
      </w:r>
      <w:r>
        <w:t>component of</w:t>
      </w:r>
      <w:r>
        <w:rPr>
          <w:spacing w:val="4"/>
        </w:rPr>
        <w:t xml:space="preserve"> </w:t>
      </w:r>
      <w:r>
        <w:t>the</w:t>
      </w:r>
      <w:r>
        <w:rPr>
          <w:spacing w:val="-1"/>
        </w:rPr>
        <w:t xml:space="preserve"> </w:t>
      </w:r>
      <w:r>
        <w:t>original price</w:t>
      </w:r>
      <w:r>
        <w:rPr>
          <w:spacing w:val="-1"/>
        </w:rPr>
        <w:t xml:space="preserve"> direction</w:t>
      </w:r>
      <w:r>
        <w:t xml:space="preserve"> by</w:t>
      </w:r>
      <w:r>
        <w:rPr>
          <w:spacing w:val="-5"/>
        </w:rPr>
        <w:t xml:space="preserve"> </w:t>
      </w:r>
      <w:r>
        <w:rPr>
          <w:spacing w:val="-2"/>
        </w:rPr>
        <w:t>ACTEW</w:t>
      </w:r>
      <w:r>
        <w:rPr>
          <w:spacing w:val="-3"/>
        </w:rPr>
        <w:t xml:space="preserve"> </w:t>
      </w:r>
      <w:r>
        <w:t>or other</w:t>
      </w:r>
      <w:r>
        <w:rPr>
          <w:spacing w:val="25"/>
        </w:rPr>
        <w:t xml:space="preserve"> </w:t>
      </w:r>
      <w:r>
        <w:rPr>
          <w:spacing w:val="-1"/>
        </w:rPr>
        <w:t>stakeholders.</w:t>
      </w:r>
      <w:r>
        <w:rPr>
          <w:spacing w:val="-6"/>
        </w:rPr>
        <w:t xml:space="preserve"> </w:t>
      </w:r>
      <w:r>
        <w:rPr>
          <w:spacing w:val="-2"/>
        </w:rPr>
        <w:t>However,</w:t>
      </w:r>
      <w:r>
        <w:rPr>
          <w:spacing w:val="-6"/>
        </w:rPr>
        <w:t xml:space="preserve"> </w:t>
      </w:r>
      <w:r>
        <w:t xml:space="preserve">the </w:t>
      </w:r>
      <w:r>
        <w:rPr>
          <w:spacing w:val="-3"/>
        </w:rPr>
        <w:t>Panel</w:t>
      </w:r>
      <w:r>
        <w:t xml:space="preserve"> is </w:t>
      </w:r>
      <w:r>
        <w:rPr>
          <w:spacing w:val="-1"/>
        </w:rPr>
        <w:t>required</w:t>
      </w:r>
      <w:r>
        <w:t xml:space="preserve"> by clause 1(d) of</w:t>
      </w:r>
      <w:r>
        <w:rPr>
          <w:spacing w:val="4"/>
        </w:rPr>
        <w:t xml:space="preserve"> </w:t>
      </w:r>
      <w:r>
        <w:t>the terms of</w:t>
      </w:r>
      <w:r>
        <w:rPr>
          <w:spacing w:val="4"/>
        </w:rPr>
        <w:t xml:space="preserve"> </w:t>
      </w:r>
      <w:r>
        <w:rPr>
          <w:spacing w:val="-1"/>
        </w:rPr>
        <w:t>reference</w:t>
      </w:r>
      <w:r>
        <w:t xml:space="preserve"> to consider “the</w:t>
      </w:r>
      <w:r>
        <w:rPr>
          <w:spacing w:val="39"/>
        </w:rPr>
        <w:t xml:space="preserve"> </w:t>
      </w:r>
      <w:r>
        <w:t>ability</w:t>
      </w:r>
      <w:r>
        <w:rPr>
          <w:spacing w:val="-1"/>
        </w:rPr>
        <w:t xml:space="preserve"> </w:t>
      </w:r>
      <w:r>
        <w:t>of</w:t>
      </w:r>
      <w:r>
        <w:rPr>
          <w:spacing w:val="3"/>
        </w:rPr>
        <w:t xml:space="preserve"> </w:t>
      </w:r>
      <w:r>
        <w:t>the pricing</w:t>
      </w:r>
      <w:r>
        <w:rPr>
          <w:spacing w:val="-1"/>
        </w:rPr>
        <w:t xml:space="preserve"> path</w:t>
      </w:r>
      <w:r>
        <w:t xml:space="preserve"> to</w:t>
      </w:r>
      <w:r>
        <w:rPr>
          <w:spacing w:val="-1"/>
        </w:rPr>
        <w:t xml:space="preserve"> match</w:t>
      </w:r>
      <w:r>
        <w:t xml:space="preserve"> </w:t>
      </w:r>
      <w:r>
        <w:rPr>
          <w:spacing w:val="-1"/>
        </w:rPr>
        <w:t>revenue recovery</w:t>
      </w:r>
      <w:r>
        <w:t xml:space="preserve"> </w:t>
      </w:r>
      <w:r>
        <w:rPr>
          <w:spacing w:val="-1"/>
        </w:rPr>
        <w:t xml:space="preserve">requirements </w:t>
      </w:r>
      <w:r>
        <w:t>to the</w:t>
      </w:r>
      <w:r>
        <w:rPr>
          <w:spacing w:val="-1"/>
        </w:rPr>
        <w:t xml:space="preserve"> </w:t>
      </w:r>
      <w:r>
        <w:t>consumer benefits</w:t>
      </w:r>
      <w:r>
        <w:rPr>
          <w:spacing w:val="-1"/>
        </w:rPr>
        <w:t xml:space="preserve"> </w:t>
      </w:r>
      <w:r>
        <w:t>accrued</w:t>
      </w:r>
      <w:r>
        <w:rPr>
          <w:spacing w:val="33"/>
        </w:rPr>
        <w:t xml:space="preserve"> </w:t>
      </w:r>
      <w:r>
        <w:rPr>
          <w:spacing w:val="-1"/>
        </w:rPr>
        <w:t>from</w:t>
      </w:r>
      <w:r>
        <w:t xml:space="preserve"> the </w:t>
      </w:r>
      <w:r>
        <w:rPr>
          <w:spacing w:val="-1"/>
        </w:rPr>
        <w:t>water</w:t>
      </w:r>
      <w:r>
        <w:t xml:space="preserve"> security </w:t>
      </w:r>
      <w:r>
        <w:rPr>
          <w:spacing w:val="-2"/>
        </w:rPr>
        <w:t>projects.”</w:t>
      </w:r>
    </w:p>
    <w:p w:rsidR="00D96B91" w:rsidRDefault="00C2656B">
      <w:pPr>
        <w:pStyle w:val="BodyText"/>
        <w:spacing w:before="170" w:line="260" w:lineRule="exact"/>
        <w:ind w:right="1299"/>
        <w:rPr>
          <w:rFonts w:cs="Avenir Next"/>
        </w:rPr>
      </w:pPr>
      <w:r>
        <w:rPr>
          <w:spacing w:val="-1"/>
        </w:rPr>
        <w:t>Consistent</w:t>
      </w:r>
      <w:r>
        <w:t xml:space="preserve"> with this clause,</w:t>
      </w:r>
      <w:r>
        <w:rPr>
          <w:spacing w:val="-7"/>
        </w:rPr>
        <w:t xml:space="preserve"> </w:t>
      </w:r>
      <w:r>
        <w:t xml:space="preserve">the </w:t>
      </w:r>
      <w:r>
        <w:rPr>
          <w:spacing w:val="-3"/>
        </w:rPr>
        <w:t>Panel</w:t>
      </w:r>
      <w:r>
        <w:t xml:space="preserve"> assessed the possibility of</w:t>
      </w:r>
      <w:r>
        <w:rPr>
          <w:spacing w:val="4"/>
        </w:rPr>
        <w:t xml:space="preserve"> </w:t>
      </w:r>
      <w:r>
        <w:t xml:space="preserve">aligning the </w:t>
      </w:r>
      <w:r>
        <w:rPr>
          <w:spacing w:val="-1"/>
        </w:rPr>
        <w:t>recovery</w:t>
      </w:r>
      <w:r>
        <w:t xml:space="preserve"> of</w:t>
      </w:r>
      <w:r>
        <w:rPr>
          <w:spacing w:val="4"/>
        </w:rPr>
        <w:t xml:space="preserve"> </w:t>
      </w:r>
      <w:r>
        <w:t>the ECD and</w:t>
      </w:r>
      <w:r>
        <w:rPr>
          <w:spacing w:val="29"/>
        </w:rPr>
        <w:t xml:space="preserve"> </w:t>
      </w:r>
      <w:r>
        <w:rPr>
          <w:spacing w:val="-1"/>
        </w:rPr>
        <w:t>M2G</w:t>
      </w:r>
      <w:r>
        <w:rPr>
          <w:spacing w:val="-1"/>
          <w:position w:val="7"/>
          <w:sz w:val="11"/>
        </w:rPr>
        <w:t>76</w:t>
      </w:r>
      <w:r>
        <w:rPr>
          <w:spacing w:val="22"/>
          <w:position w:val="7"/>
          <w:sz w:val="11"/>
        </w:rPr>
        <w:t xml:space="preserve"> </w:t>
      </w:r>
      <w:r>
        <w:t>costs with their benefits to customers over the lives</w:t>
      </w:r>
      <w:r>
        <w:rPr>
          <w:spacing w:val="-1"/>
        </w:rPr>
        <w:t xml:space="preserve"> </w:t>
      </w:r>
      <w:r>
        <w:t>of</w:t>
      </w:r>
      <w:r>
        <w:rPr>
          <w:spacing w:val="4"/>
        </w:rPr>
        <w:t xml:space="preserve"> </w:t>
      </w:r>
      <w:r>
        <w:t>these assets.</w:t>
      </w:r>
      <w:r>
        <w:rPr>
          <w:spacing w:val="-10"/>
        </w:rPr>
        <w:t xml:space="preserve"> </w:t>
      </w:r>
      <w:r>
        <w:t xml:space="preserve">As </w:t>
      </w:r>
      <w:r>
        <w:rPr>
          <w:spacing w:val="-1"/>
        </w:rPr>
        <w:t>part</w:t>
      </w:r>
      <w:r>
        <w:t xml:space="preserve"> of</w:t>
      </w:r>
      <w:r>
        <w:rPr>
          <w:spacing w:val="4"/>
        </w:rPr>
        <w:t xml:space="preserve"> </w:t>
      </w:r>
      <w:r>
        <w:t>its assessment,</w:t>
      </w:r>
      <w:r>
        <w:rPr>
          <w:spacing w:val="-7"/>
        </w:rPr>
        <w:t xml:space="preserve"> </w:t>
      </w:r>
      <w:r>
        <w:t>the</w:t>
      </w:r>
      <w:r>
        <w:rPr>
          <w:spacing w:val="25"/>
        </w:rPr>
        <w:t xml:space="preserve"> </w:t>
      </w:r>
      <w:r>
        <w:rPr>
          <w:spacing w:val="-3"/>
        </w:rPr>
        <w:t>Panel</w:t>
      </w:r>
      <w:r>
        <w:t xml:space="preserve"> </w:t>
      </w:r>
      <w:r>
        <w:rPr>
          <w:spacing w:val="-1"/>
        </w:rPr>
        <w:t>considered:</w:t>
      </w:r>
    </w:p>
    <w:p w:rsidR="00D96B91" w:rsidRDefault="00C2656B">
      <w:pPr>
        <w:pStyle w:val="BodyText"/>
        <w:numPr>
          <w:ilvl w:val="0"/>
          <w:numId w:val="131"/>
        </w:numPr>
        <w:tabs>
          <w:tab w:val="left" w:pos="1531"/>
        </w:tabs>
        <w:spacing w:before="170" w:line="260" w:lineRule="exact"/>
        <w:ind w:right="1613" w:hanging="283"/>
        <w:rPr>
          <w:rFonts w:cs="Avenir Next"/>
        </w:rPr>
      </w:pPr>
      <w:r>
        <w:rPr>
          <w:spacing w:val="-2"/>
        </w:rPr>
        <w:t>ACTEW’s</w:t>
      </w:r>
      <w:r>
        <w:rPr>
          <w:spacing w:val="-1"/>
        </w:rPr>
        <w:t xml:space="preserve"> </w:t>
      </w:r>
      <w:r>
        <w:t>investment</w:t>
      </w:r>
      <w:r>
        <w:rPr>
          <w:spacing w:val="-1"/>
        </w:rPr>
        <w:t xml:space="preserve"> </w:t>
      </w:r>
      <w:r>
        <w:t xml:space="preserve">in </w:t>
      </w:r>
      <w:r>
        <w:rPr>
          <w:spacing w:val="-1"/>
        </w:rPr>
        <w:t xml:space="preserve">water </w:t>
      </w:r>
      <w:r>
        <w:t xml:space="preserve">security </w:t>
      </w:r>
      <w:r>
        <w:rPr>
          <w:spacing w:val="-1"/>
        </w:rPr>
        <w:t xml:space="preserve">projects </w:t>
      </w:r>
      <w:r>
        <w:t>in the</w:t>
      </w:r>
      <w:r>
        <w:rPr>
          <w:spacing w:val="-1"/>
        </w:rPr>
        <w:t xml:space="preserve"> previous regulatory</w:t>
      </w:r>
      <w:r>
        <w:t xml:space="preserve"> period</w:t>
      </w:r>
      <w:r>
        <w:rPr>
          <w:spacing w:val="-1"/>
        </w:rPr>
        <w:t xml:space="preserve"> </w:t>
      </w:r>
      <w:r>
        <w:t>and the</w:t>
      </w:r>
      <w:r>
        <w:rPr>
          <w:spacing w:val="-1"/>
        </w:rPr>
        <w:t xml:space="preserve"> </w:t>
      </w:r>
      <w:r>
        <w:t>benefits</w:t>
      </w:r>
      <w:r>
        <w:rPr>
          <w:spacing w:val="31"/>
          <w:w w:val="99"/>
        </w:rPr>
        <w:t xml:space="preserve"> </w:t>
      </w:r>
      <w:r>
        <w:rPr>
          <w:rFonts w:cs="Avenir Next"/>
          <w:spacing w:val="-1"/>
        </w:rPr>
        <w:t>that</w:t>
      </w:r>
      <w:r>
        <w:rPr>
          <w:rFonts w:cs="Avenir Next"/>
        </w:rPr>
        <w:t xml:space="preserve"> customers in this </w:t>
      </w:r>
      <w:r>
        <w:rPr>
          <w:rFonts w:cs="Avenir Next"/>
          <w:spacing w:val="-1"/>
        </w:rPr>
        <w:t>regulatory</w:t>
      </w:r>
      <w:r>
        <w:rPr>
          <w:rFonts w:cs="Avenir Next"/>
        </w:rPr>
        <w:t xml:space="preserve"> period </w:t>
      </w:r>
      <w:r>
        <w:rPr>
          <w:rFonts w:cs="Avenir Next"/>
          <w:spacing w:val="-2"/>
        </w:rPr>
        <w:t>are</w:t>
      </w:r>
      <w:r>
        <w:rPr>
          <w:rFonts w:cs="Avenir Next"/>
        </w:rPr>
        <w:t xml:space="preserve"> </w:t>
      </w:r>
      <w:r>
        <w:rPr>
          <w:rFonts w:cs="Avenir Next"/>
          <w:spacing w:val="-1"/>
        </w:rPr>
        <w:t>expected</w:t>
      </w:r>
      <w:r>
        <w:rPr>
          <w:rFonts w:cs="Avenir Next"/>
        </w:rPr>
        <w:t xml:space="preserve"> to derive </w:t>
      </w:r>
      <w:r>
        <w:rPr>
          <w:rFonts w:cs="Avenir Next"/>
          <w:spacing w:val="-1"/>
        </w:rPr>
        <w:t>from</w:t>
      </w:r>
      <w:r>
        <w:rPr>
          <w:rFonts w:cs="Avenir Next"/>
        </w:rPr>
        <w:t xml:space="preserve"> these </w:t>
      </w:r>
      <w:r>
        <w:rPr>
          <w:rFonts w:cs="Avenir Next"/>
          <w:spacing w:val="-1"/>
        </w:rPr>
        <w:t>projects</w:t>
      </w:r>
      <w:r>
        <w:rPr>
          <w:rFonts w:cs="Avenir Next"/>
        </w:rPr>
        <w:t xml:space="preserve"> </w:t>
      </w:r>
      <w:r>
        <w:rPr>
          <w:rFonts w:cs="Avenir Next"/>
          <w:i/>
        </w:rPr>
        <w:t>vis-à-vis</w:t>
      </w:r>
      <w:r>
        <w:rPr>
          <w:rFonts w:cs="Avenir Next"/>
          <w:i/>
          <w:spacing w:val="37"/>
        </w:rPr>
        <w:t xml:space="preserve"> </w:t>
      </w:r>
      <w:r>
        <w:rPr>
          <w:rFonts w:cs="Avenir Next"/>
        </w:rPr>
        <w:t xml:space="preserve">customers in </w:t>
      </w:r>
      <w:r>
        <w:rPr>
          <w:rFonts w:cs="Avenir Next"/>
          <w:spacing w:val="-1"/>
        </w:rPr>
        <w:t>future</w:t>
      </w:r>
      <w:r>
        <w:rPr>
          <w:rFonts w:cs="Avenir Next"/>
        </w:rPr>
        <w:t xml:space="preserve"> periods</w:t>
      </w:r>
    </w:p>
    <w:p w:rsidR="00D96B91" w:rsidRDefault="00C2656B">
      <w:pPr>
        <w:pStyle w:val="BodyText"/>
        <w:numPr>
          <w:ilvl w:val="0"/>
          <w:numId w:val="131"/>
        </w:numPr>
        <w:tabs>
          <w:tab w:val="left" w:pos="1531"/>
        </w:tabs>
        <w:spacing w:before="85" w:line="260" w:lineRule="exact"/>
        <w:ind w:right="1718" w:hanging="283"/>
      </w:pPr>
      <w:r>
        <w:rPr>
          <w:rFonts w:cs="Avenir Next"/>
        </w:rPr>
        <w:t xml:space="preserve">the </w:t>
      </w:r>
      <w:r>
        <w:rPr>
          <w:rFonts w:cs="Avenir Next"/>
          <w:spacing w:val="-2"/>
        </w:rPr>
        <w:t>ICRC’s</w:t>
      </w:r>
      <w:r>
        <w:rPr>
          <w:rFonts w:cs="Avenir Next"/>
        </w:rPr>
        <w:t xml:space="preserve"> </w:t>
      </w:r>
      <w:r>
        <w:rPr>
          <w:rFonts w:cs="Avenir Next"/>
          <w:spacing w:val="-1"/>
        </w:rPr>
        <w:t>treatment</w:t>
      </w:r>
      <w:r>
        <w:rPr>
          <w:rFonts w:cs="Avenir Next"/>
        </w:rPr>
        <w:t xml:space="preserve"> of</w:t>
      </w:r>
      <w:r>
        <w:rPr>
          <w:rFonts w:cs="Avenir Next"/>
          <w:spacing w:val="4"/>
        </w:rPr>
        <w:t xml:space="preserve"> </w:t>
      </w:r>
      <w:r>
        <w:rPr>
          <w:rFonts w:cs="Avenir Next"/>
        </w:rPr>
        <w:t xml:space="preserve">this investment in the original price </w:t>
      </w:r>
      <w:r>
        <w:rPr>
          <w:rFonts w:cs="Avenir Next"/>
          <w:spacing w:val="-1"/>
        </w:rPr>
        <w:t>direction</w:t>
      </w:r>
      <w:r>
        <w:rPr>
          <w:rFonts w:cs="Avenir Next"/>
        </w:rPr>
        <w:t xml:space="preserve"> and the consistency of</w:t>
      </w:r>
      <w:r>
        <w:rPr>
          <w:rFonts w:cs="Avenir Next"/>
          <w:spacing w:val="4"/>
        </w:rPr>
        <w:t xml:space="preserve"> </w:t>
      </w:r>
      <w:r>
        <w:rPr>
          <w:rFonts w:cs="Avenir Next"/>
        </w:rPr>
        <w:t>this</w:t>
      </w:r>
      <w:r>
        <w:rPr>
          <w:rFonts w:cs="Avenir Next"/>
          <w:spacing w:val="29"/>
        </w:rPr>
        <w:t xml:space="preserve"> </w:t>
      </w:r>
      <w:r>
        <w:rPr>
          <w:spacing w:val="-1"/>
        </w:rPr>
        <w:t xml:space="preserve">treatment </w:t>
      </w:r>
      <w:r>
        <w:t>with</w:t>
      </w:r>
      <w:r>
        <w:rPr>
          <w:spacing w:val="-1"/>
        </w:rPr>
        <w:t xml:space="preserve"> </w:t>
      </w:r>
      <w:r>
        <w:t>the intent</w:t>
      </w:r>
      <w:r>
        <w:rPr>
          <w:spacing w:val="-1"/>
        </w:rPr>
        <w:t xml:space="preserve"> </w:t>
      </w:r>
      <w:r>
        <w:t>of</w:t>
      </w:r>
      <w:r>
        <w:rPr>
          <w:spacing w:val="4"/>
        </w:rPr>
        <w:t xml:space="preserve"> </w:t>
      </w:r>
      <w:r>
        <w:t>clause</w:t>
      </w:r>
      <w:r>
        <w:rPr>
          <w:spacing w:val="-1"/>
        </w:rPr>
        <w:t xml:space="preserve"> </w:t>
      </w:r>
      <w:r>
        <w:t>1(d)</w:t>
      </w:r>
      <w:r>
        <w:rPr>
          <w:spacing w:val="-1"/>
        </w:rPr>
        <w:t xml:space="preserve"> </w:t>
      </w:r>
      <w:r>
        <w:t xml:space="preserve">and </w:t>
      </w:r>
      <w:r>
        <w:rPr>
          <w:spacing w:val="-1"/>
        </w:rPr>
        <w:t xml:space="preserve">intergenerational </w:t>
      </w:r>
      <w:r>
        <w:t>equity and</w:t>
      </w:r>
      <w:r>
        <w:rPr>
          <w:spacing w:val="-1"/>
        </w:rPr>
        <w:t xml:space="preserve"> </w:t>
      </w:r>
      <w:r>
        <w:t xml:space="preserve">economic </w:t>
      </w:r>
      <w:r>
        <w:rPr>
          <w:spacing w:val="-1"/>
        </w:rPr>
        <w:t>efficiency</w:t>
      </w:r>
      <w:r>
        <w:rPr>
          <w:spacing w:val="31"/>
          <w:w w:val="99"/>
        </w:rPr>
        <w:t xml:space="preserve"> </w:t>
      </w:r>
      <w:r>
        <w:rPr>
          <w:rFonts w:cs="Avenir Next"/>
        </w:rPr>
        <w:t xml:space="preserve">principles set out in </w:t>
      </w:r>
      <w:hyperlink w:anchor="_bookmark46" w:history="1">
        <w:r>
          <w:rPr>
            <w:spacing w:val="-1"/>
          </w:rPr>
          <w:t>Box</w:t>
        </w:r>
        <w:r>
          <w:t xml:space="preserve"> 7.1</w:t>
        </w:r>
      </w:hyperlink>
    </w:p>
    <w:p w:rsidR="00D96B91" w:rsidRDefault="00C2656B">
      <w:pPr>
        <w:pStyle w:val="BodyText"/>
        <w:numPr>
          <w:ilvl w:val="0"/>
          <w:numId w:val="131"/>
        </w:numPr>
        <w:tabs>
          <w:tab w:val="left" w:pos="1531"/>
        </w:tabs>
        <w:spacing w:before="85" w:line="260" w:lineRule="exact"/>
        <w:ind w:right="1586" w:hanging="283"/>
        <w:rPr>
          <w:rFonts w:cs="Avenir Next"/>
        </w:rPr>
      </w:pPr>
      <w:r>
        <w:t xml:space="preserve">the techniques used by other </w:t>
      </w:r>
      <w:r>
        <w:rPr>
          <w:spacing w:val="-1"/>
        </w:rPr>
        <w:t>regulators</w:t>
      </w:r>
      <w:r>
        <w:t xml:space="preserve"> when </w:t>
      </w:r>
      <w:r>
        <w:rPr>
          <w:spacing w:val="-1"/>
        </w:rPr>
        <w:t>dealing</w:t>
      </w:r>
      <w:r>
        <w:t xml:space="preserve"> with </w:t>
      </w:r>
      <w:r>
        <w:rPr>
          <w:spacing w:val="-1"/>
        </w:rPr>
        <w:t>large-scale</w:t>
      </w:r>
      <w:r>
        <w:t xml:space="preserve"> </w:t>
      </w:r>
      <w:r>
        <w:rPr>
          <w:spacing w:val="-1"/>
        </w:rPr>
        <w:t>infrastructure</w:t>
      </w:r>
      <w:r>
        <w:t xml:space="preserve"> investments</w:t>
      </w:r>
      <w:r>
        <w:rPr>
          <w:spacing w:val="47"/>
        </w:rPr>
        <w:t xml:space="preserve"> </w:t>
      </w:r>
      <w:r>
        <w:rPr>
          <w:spacing w:val="-1"/>
        </w:rPr>
        <w:t xml:space="preserve">where </w:t>
      </w:r>
      <w:r>
        <w:t>the</w:t>
      </w:r>
      <w:r>
        <w:rPr>
          <w:spacing w:val="-1"/>
        </w:rPr>
        <w:t xml:space="preserve"> </w:t>
      </w:r>
      <w:r>
        <w:t>benefits accrue</w:t>
      </w:r>
      <w:r>
        <w:rPr>
          <w:spacing w:val="-1"/>
        </w:rPr>
        <w:t xml:space="preserve"> across</w:t>
      </w:r>
      <w:r>
        <w:t xml:space="preserve"> multiple</w:t>
      </w:r>
      <w:r>
        <w:rPr>
          <w:spacing w:val="-1"/>
        </w:rPr>
        <w:t xml:space="preserve"> generations</w:t>
      </w:r>
      <w:r>
        <w:t xml:space="preserve"> and</w:t>
      </w:r>
      <w:r>
        <w:rPr>
          <w:spacing w:val="-1"/>
        </w:rPr>
        <w:t xml:space="preserve"> </w:t>
      </w:r>
      <w:r>
        <w:t xml:space="preserve">the </w:t>
      </w:r>
      <w:r>
        <w:rPr>
          <w:spacing w:val="-1"/>
        </w:rPr>
        <w:t xml:space="preserve">constraints </w:t>
      </w:r>
      <w:r>
        <w:t>on the</w:t>
      </w:r>
      <w:r>
        <w:rPr>
          <w:spacing w:val="-1"/>
        </w:rPr>
        <w:t xml:space="preserve"> </w:t>
      </w:r>
      <w:r>
        <w:t>use of</w:t>
      </w:r>
      <w:r>
        <w:rPr>
          <w:spacing w:val="3"/>
        </w:rPr>
        <w:t xml:space="preserve"> </w:t>
      </w:r>
      <w:r>
        <w:t>these</w:t>
      </w:r>
      <w:r>
        <w:rPr>
          <w:spacing w:val="35"/>
        </w:rPr>
        <w:t xml:space="preserve"> </w:t>
      </w:r>
      <w:r>
        <w:t>techniques,</w:t>
      </w:r>
      <w:r>
        <w:rPr>
          <w:spacing w:val="-7"/>
        </w:rPr>
        <w:t xml:space="preserve"> </w:t>
      </w:r>
      <w:r>
        <w:t>and</w:t>
      </w:r>
    </w:p>
    <w:p w:rsidR="00D96B91" w:rsidRDefault="00C2656B">
      <w:pPr>
        <w:pStyle w:val="BodyText"/>
        <w:numPr>
          <w:ilvl w:val="0"/>
          <w:numId w:val="131"/>
        </w:numPr>
        <w:tabs>
          <w:tab w:val="left" w:pos="1531"/>
        </w:tabs>
        <w:spacing w:before="85" w:line="260" w:lineRule="exact"/>
        <w:ind w:right="1623" w:hanging="283"/>
      </w:pPr>
      <w:r>
        <w:t xml:space="preserve">the </w:t>
      </w:r>
      <w:r>
        <w:rPr>
          <w:spacing w:val="-1"/>
        </w:rPr>
        <w:t>extent</w:t>
      </w:r>
      <w:r>
        <w:t xml:space="preserve"> to which any of</w:t>
      </w:r>
      <w:r>
        <w:rPr>
          <w:spacing w:val="4"/>
        </w:rPr>
        <w:t xml:space="preserve"> </w:t>
      </w:r>
      <w:r>
        <w:t xml:space="preserve">the techniques used by other </w:t>
      </w:r>
      <w:r>
        <w:rPr>
          <w:spacing w:val="-1"/>
        </w:rPr>
        <w:t>regulators</w:t>
      </w:r>
      <w:r>
        <w:t xml:space="preserve"> could be implemented in this</w:t>
      </w:r>
      <w:r>
        <w:rPr>
          <w:spacing w:val="29"/>
        </w:rPr>
        <w:t xml:space="preserve"> </w:t>
      </w:r>
      <w:r>
        <w:t>case,</w:t>
      </w:r>
      <w:r>
        <w:rPr>
          <w:spacing w:val="-6"/>
        </w:rPr>
        <w:t xml:space="preserve"> </w:t>
      </w:r>
      <w:r>
        <w:t xml:space="preserve">given the </w:t>
      </w:r>
      <w:r>
        <w:rPr>
          <w:spacing w:val="-1"/>
        </w:rPr>
        <w:t>information</w:t>
      </w:r>
      <w:r>
        <w:t xml:space="preserve"> </w:t>
      </w:r>
      <w:r>
        <w:rPr>
          <w:spacing w:val="-1"/>
        </w:rPr>
        <w:t>before</w:t>
      </w:r>
      <w:r>
        <w:t xml:space="preserve"> the </w:t>
      </w:r>
      <w:r>
        <w:rPr>
          <w:spacing w:val="-3"/>
        </w:rPr>
        <w:t>Panel</w:t>
      </w:r>
      <w:r>
        <w:t xml:space="preserve"> and other </w:t>
      </w:r>
      <w:r>
        <w:rPr>
          <w:spacing w:val="-1"/>
        </w:rPr>
        <w:t>constraints</w:t>
      </w:r>
      <w:r>
        <w:t xml:space="preserve"> in section 20(2) of</w:t>
      </w:r>
      <w:r>
        <w:rPr>
          <w:spacing w:val="4"/>
        </w:rPr>
        <w:t xml:space="preserve"> </w:t>
      </w:r>
      <w:r>
        <w:t>the</w:t>
      </w:r>
      <w:r>
        <w:rPr>
          <w:spacing w:val="-4"/>
        </w:rPr>
        <w:t xml:space="preserve"> </w:t>
      </w:r>
      <w:r>
        <w:t>Act.</w:t>
      </w:r>
    </w:p>
    <w:p w:rsidR="00D96B91" w:rsidRDefault="00C2656B">
      <w:pPr>
        <w:pStyle w:val="BodyText"/>
        <w:spacing w:before="85" w:line="260" w:lineRule="exact"/>
        <w:ind w:right="1283"/>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w:t>
      </w:r>
      <w:r>
        <w:rPr>
          <w:rFonts w:cs="Avenir Next"/>
          <w:spacing w:val="-6"/>
        </w:rPr>
        <w:t xml:space="preserve"> </w:t>
      </w:r>
      <w:r>
        <w:rPr>
          <w:rFonts w:cs="Avenir Next"/>
        </w:rPr>
        <w:t xml:space="preserve">and then discuss its </w:t>
      </w:r>
      <w:r>
        <w:rPr>
          <w:rFonts w:cs="Avenir Next"/>
          <w:spacing w:val="-1"/>
        </w:rPr>
        <w:t>consideration</w:t>
      </w:r>
      <w:r>
        <w:rPr>
          <w:rFonts w:cs="Avenir Next"/>
          <w:spacing w:val="47"/>
        </w:rPr>
        <w:t xml:space="preserve"> </w:t>
      </w:r>
      <w:r>
        <w:t>of</w:t>
      </w:r>
      <w:r>
        <w:rPr>
          <w:spacing w:val="4"/>
        </w:rPr>
        <w:t xml:space="preserve"> </w:t>
      </w:r>
      <w:r>
        <w:rPr>
          <w:spacing w:val="-1"/>
        </w:rPr>
        <w:t>each</w:t>
      </w:r>
      <w:r>
        <w:t xml:space="preserve"> of</w:t>
      </w:r>
      <w:r>
        <w:rPr>
          <w:spacing w:val="4"/>
        </w:rPr>
        <w:t xml:space="preserve"> </w:t>
      </w:r>
      <w:r>
        <w:t xml:space="preserve">these </w:t>
      </w:r>
      <w:r>
        <w:rPr>
          <w:spacing w:val="-1"/>
        </w:rPr>
        <w:t>matters</w:t>
      </w:r>
      <w:r>
        <w:t xml:space="preserve">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85"/>
        </w:numPr>
        <w:tabs>
          <w:tab w:val="left" w:pos="1570"/>
          <w:tab w:val="left" w:pos="2040"/>
        </w:tabs>
        <w:ind w:hanging="322"/>
      </w:pPr>
      <w:r>
        <w:rPr>
          <w:rFonts w:cs="Avenir Next Medium"/>
          <w:color w:val="0778BE"/>
        </w:rPr>
        <w:t>1</w:t>
      </w:r>
      <w:r>
        <w:rPr>
          <w:rFonts w:cs="Avenir Next Medium"/>
          <w:color w:val="0778BE"/>
        </w:rPr>
        <w:tab/>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63"/>
        <w:rPr>
          <w:rFonts w:cs="Avenir Next"/>
        </w:rPr>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is:</w:t>
      </w:r>
    </w:p>
    <w:p w:rsidR="00D96B91" w:rsidRDefault="00C2656B">
      <w:pPr>
        <w:pStyle w:val="BodyText"/>
        <w:numPr>
          <w:ilvl w:val="0"/>
          <w:numId w:val="131"/>
        </w:numPr>
        <w:tabs>
          <w:tab w:val="left" w:pos="1531"/>
        </w:tabs>
        <w:spacing w:before="157"/>
        <w:ind w:hanging="283"/>
      </w:pPr>
      <w:r>
        <w:t xml:space="preserve">not to defer the </w:t>
      </w:r>
      <w:r>
        <w:rPr>
          <w:spacing w:val="-1"/>
        </w:rPr>
        <w:t>recovery</w:t>
      </w:r>
      <w:r>
        <w:t xml:space="preserve"> of</w:t>
      </w:r>
      <w:r>
        <w:rPr>
          <w:spacing w:val="4"/>
        </w:rPr>
        <w:t xml:space="preserve"> </w:t>
      </w:r>
      <w:r>
        <w:t>any of</w:t>
      </w:r>
      <w:r>
        <w:rPr>
          <w:spacing w:val="4"/>
        </w:rPr>
        <w:t xml:space="preserve"> </w:t>
      </w:r>
      <w:r>
        <w:t>the ECD or M2G capital costs,</w:t>
      </w:r>
      <w:r>
        <w:rPr>
          <w:spacing w:val="-7"/>
        </w:rPr>
        <w:t xml:space="preserve"> </w:t>
      </w:r>
      <w:r>
        <w:t>and</w:t>
      </w:r>
    </w:p>
    <w:p w:rsidR="00D96B91" w:rsidRDefault="00C2656B">
      <w:pPr>
        <w:pStyle w:val="BodyText"/>
        <w:numPr>
          <w:ilvl w:val="0"/>
          <w:numId w:val="131"/>
        </w:numPr>
        <w:tabs>
          <w:tab w:val="left" w:pos="1531"/>
        </w:tabs>
        <w:spacing w:before="64" w:line="260" w:lineRule="exact"/>
        <w:ind w:right="1273" w:hanging="283"/>
      </w:pPr>
      <w:r>
        <w:rPr>
          <w:spacing w:val="-2"/>
        </w:rPr>
        <w:t>to</w:t>
      </w:r>
      <w:r>
        <w:rPr>
          <w:spacing w:val="-8"/>
        </w:rPr>
        <w:t xml:space="preserve"> </w:t>
      </w:r>
      <w:r>
        <w:rPr>
          <w:spacing w:val="-3"/>
        </w:rPr>
        <w:t>use</w:t>
      </w:r>
      <w:r>
        <w:rPr>
          <w:spacing w:val="-8"/>
        </w:rPr>
        <w:t xml:space="preserve"> </w:t>
      </w:r>
      <w:r>
        <w:rPr>
          <w:spacing w:val="-3"/>
        </w:rPr>
        <w:t>the</w:t>
      </w:r>
      <w:r>
        <w:rPr>
          <w:spacing w:val="-8"/>
        </w:rPr>
        <w:t xml:space="preserve"> </w:t>
      </w:r>
      <w:r>
        <w:rPr>
          <w:spacing w:val="-4"/>
        </w:rPr>
        <w:t>traditional</w:t>
      </w:r>
      <w:r>
        <w:rPr>
          <w:spacing w:val="-8"/>
        </w:rPr>
        <w:t xml:space="preserve"> </w:t>
      </w:r>
      <w:r>
        <w:rPr>
          <w:spacing w:val="-4"/>
        </w:rPr>
        <w:t>straight</w:t>
      </w:r>
      <w:r>
        <w:rPr>
          <w:spacing w:val="-8"/>
        </w:rPr>
        <w:t xml:space="preserve"> </w:t>
      </w:r>
      <w:r>
        <w:rPr>
          <w:spacing w:val="-3"/>
        </w:rPr>
        <w:t>line</w:t>
      </w:r>
      <w:r>
        <w:rPr>
          <w:spacing w:val="-8"/>
        </w:rPr>
        <w:t xml:space="preserve"> </w:t>
      </w:r>
      <w:r>
        <w:rPr>
          <w:spacing w:val="-5"/>
        </w:rPr>
        <w:t>depreciation</w:t>
      </w:r>
      <w:r>
        <w:rPr>
          <w:spacing w:val="-8"/>
        </w:rPr>
        <w:t xml:space="preserve"> </w:t>
      </w:r>
      <w:r>
        <w:rPr>
          <w:spacing w:val="-4"/>
        </w:rPr>
        <w:t>approach</w:t>
      </w:r>
      <w:r>
        <w:rPr>
          <w:spacing w:val="-8"/>
        </w:rPr>
        <w:t xml:space="preserve"> </w:t>
      </w:r>
      <w:r>
        <w:rPr>
          <w:spacing w:val="-4"/>
        </w:rPr>
        <w:t>(with</w:t>
      </w:r>
      <w:r>
        <w:rPr>
          <w:spacing w:val="-8"/>
        </w:rPr>
        <w:t xml:space="preserve"> </w:t>
      </w:r>
      <w:r>
        <w:rPr>
          <w:spacing w:val="-4"/>
        </w:rPr>
        <w:t>indexation</w:t>
      </w:r>
      <w:r>
        <w:rPr>
          <w:spacing w:val="-8"/>
        </w:rPr>
        <w:t xml:space="preserve"> </w:t>
      </w:r>
      <w:r>
        <w:rPr>
          <w:spacing w:val="-2"/>
        </w:rPr>
        <w:t>of</w:t>
      </w:r>
      <w:r>
        <w:rPr>
          <w:spacing w:val="-4"/>
        </w:rPr>
        <w:t xml:space="preserve"> </w:t>
      </w:r>
      <w:r>
        <w:rPr>
          <w:spacing w:val="-3"/>
        </w:rPr>
        <w:t>the</w:t>
      </w:r>
      <w:r>
        <w:rPr>
          <w:spacing w:val="-8"/>
        </w:rPr>
        <w:t xml:space="preserve"> </w:t>
      </w:r>
      <w:r>
        <w:rPr>
          <w:spacing w:val="-3"/>
        </w:rPr>
        <w:t>RAB)</w:t>
      </w:r>
      <w:r>
        <w:rPr>
          <w:spacing w:val="-8"/>
        </w:rPr>
        <w:t xml:space="preserve"> </w:t>
      </w:r>
      <w:r>
        <w:rPr>
          <w:spacing w:val="-2"/>
        </w:rPr>
        <w:t>to</w:t>
      </w:r>
      <w:r>
        <w:rPr>
          <w:spacing w:val="-8"/>
        </w:rPr>
        <w:t xml:space="preserve"> </w:t>
      </w:r>
      <w:r>
        <w:rPr>
          <w:spacing w:val="-4"/>
        </w:rPr>
        <w:t>recover</w:t>
      </w:r>
      <w:r>
        <w:rPr>
          <w:spacing w:val="-8"/>
        </w:rPr>
        <w:t xml:space="preserve"> </w:t>
      </w:r>
      <w:r>
        <w:rPr>
          <w:spacing w:val="-3"/>
        </w:rPr>
        <w:t>the</w:t>
      </w:r>
      <w:r>
        <w:rPr>
          <w:spacing w:val="-8"/>
        </w:rPr>
        <w:t xml:space="preserve"> </w:t>
      </w:r>
      <w:r>
        <w:rPr>
          <w:spacing w:val="-4"/>
        </w:rPr>
        <w:t>costs</w:t>
      </w:r>
      <w:r>
        <w:rPr>
          <w:spacing w:val="39"/>
        </w:rPr>
        <w:t xml:space="preserve"> </w:t>
      </w:r>
      <w:r>
        <w:rPr>
          <w:spacing w:val="-2"/>
        </w:rPr>
        <w:t>of</w:t>
      </w:r>
      <w:r>
        <w:rPr>
          <w:spacing w:val="-4"/>
        </w:rPr>
        <w:t xml:space="preserve"> </w:t>
      </w:r>
      <w:r>
        <w:rPr>
          <w:spacing w:val="-3"/>
        </w:rPr>
        <w:t>the</w:t>
      </w:r>
      <w:r>
        <w:rPr>
          <w:spacing w:val="-8"/>
        </w:rPr>
        <w:t xml:space="preserve"> </w:t>
      </w:r>
      <w:r>
        <w:rPr>
          <w:spacing w:val="-3"/>
        </w:rPr>
        <w:t>ECD</w:t>
      </w:r>
      <w:r>
        <w:rPr>
          <w:spacing w:val="-8"/>
        </w:rPr>
        <w:t xml:space="preserve"> </w:t>
      </w:r>
      <w:r>
        <w:rPr>
          <w:spacing w:val="-3"/>
        </w:rPr>
        <w:t>and</w:t>
      </w:r>
      <w:r>
        <w:rPr>
          <w:spacing w:val="-8"/>
        </w:rPr>
        <w:t xml:space="preserve"> </w:t>
      </w:r>
      <w:r>
        <w:rPr>
          <w:spacing w:val="-3"/>
        </w:rPr>
        <w:t>M2G</w:t>
      </w:r>
      <w:r>
        <w:rPr>
          <w:spacing w:val="-8"/>
        </w:rPr>
        <w:t xml:space="preserve"> </w:t>
      </w:r>
      <w:r>
        <w:rPr>
          <w:spacing w:val="-3"/>
        </w:rPr>
        <w:t>over</w:t>
      </w:r>
      <w:r>
        <w:rPr>
          <w:spacing w:val="-8"/>
        </w:rPr>
        <w:t xml:space="preserve"> </w:t>
      </w:r>
      <w:r>
        <w:rPr>
          <w:spacing w:val="-3"/>
        </w:rPr>
        <w:t>the</w:t>
      </w:r>
      <w:r>
        <w:rPr>
          <w:spacing w:val="-8"/>
        </w:rPr>
        <w:t xml:space="preserve"> </w:t>
      </w:r>
      <w:r>
        <w:rPr>
          <w:spacing w:val="-4"/>
        </w:rPr>
        <w:t>economic</w:t>
      </w:r>
      <w:r>
        <w:rPr>
          <w:spacing w:val="-8"/>
        </w:rPr>
        <w:t xml:space="preserve"> </w:t>
      </w:r>
      <w:r>
        <w:rPr>
          <w:spacing w:val="-4"/>
        </w:rPr>
        <w:t>lives</w:t>
      </w:r>
      <w:r>
        <w:rPr>
          <w:spacing w:val="-8"/>
        </w:rPr>
        <w:t xml:space="preserve"> </w:t>
      </w:r>
      <w:r>
        <w:rPr>
          <w:spacing w:val="-2"/>
        </w:rPr>
        <w:t>of</w:t>
      </w:r>
      <w:r>
        <w:rPr>
          <w:spacing w:val="-4"/>
        </w:rPr>
        <w:t xml:space="preserve"> these</w:t>
      </w:r>
      <w:r>
        <w:rPr>
          <w:spacing w:val="-8"/>
        </w:rPr>
        <w:t xml:space="preserve"> </w:t>
      </w:r>
      <w:r>
        <w:rPr>
          <w:spacing w:val="-4"/>
        </w:rPr>
        <w:t>assets</w:t>
      </w:r>
      <w:r>
        <w:rPr>
          <w:spacing w:val="-8"/>
        </w:rPr>
        <w:t xml:space="preserve"> </w:t>
      </w:r>
      <w:r>
        <w:rPr>
          <w:spacing w:val="-4"/>
        </w:rPr>
        <w:t>(ECD:~147</w:t>
      </w:r>
      <w:r>
        <w:rPr>
          <w:spacing w:val="-8"/>
        </w:rPr>
        <w:t xml:space="preserve"> </w:t>
      </w:r>
      <w:r>
        <w:rPr>
          <w:spacing w:val="-4"/>
        </w:rPr>
        <w:t>years</w:t>
      </w:r>
      <w:r>
        <w:rPr>
          <w:spacing w:val="-8"/>
        </w:rPr>
        <w:t xml:space="preserve"> </w:t>
      </w:r>
      <w:r>
        <w:rPr>
          <w:spacing w:val="-3"/>
        </w:rPr>
        <w:t>and</w:t>
      </w:r>
      <w:r>
        <w:rPr>
          <w:spacing w:val="-8"/>
        </w:rPr>
        <w:t xml:space="preserve"> </w:t>
      </w:r>
      <w:r>
        <w:rPr>
          <w:spacing w:val="-3"/>
        </w:rPr>
        <w:t>M2G:</w:t>
      </w:r>
      <w:r>
        <w:rPr>
          <w:spacing w:val="-8"/>
        </w:rPr>
        <w:t xml:space="preserve"> </w:t>
      </w:r>
      <w:r>
        <w:rPr>
          <w:spacing w:val="-4"/>
        </w:rPr>
        <w:t>~56.5</w:t>
      </w:r>
      <w:r>
        <w:rPr>
          <w:spacing w:val="-8"/>
        </w:rPr>
        <w:t xml:space="preserve"> </w:t>
      </w:r>
      <w:r>
        <w:rPr>
          <w:spacing w:val="-5"/>
        </w:rPr>
        <w:t>years).</w:t>
      </w: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04" style="width:72.5pt;height:.5pt;mso-position-horizontal-relative:char;mso-position-vertical-relative:line" coordsize="1450,10">
            <v:group id="_x0000_s3205" style="position:absolute;left:5;top:5;width:1440;height:2" coordorigin="5,5" coordsize="1440,2">
              <v:shape id="_x0000_s3206" style="position:absolute;left:5;top:5;width:1440;height:2" coordorigin="5,5" coordsize="1440,0" path="m5,5r1440,e" filled="f" strokeweight=".5pt">
                <v:path arrowok="t"/>
              </v:shape>
            </v:group>
            <w10:wrap type="none"/>
            <w10:anchorlock/>
          </v:group>
        </w:pict>
      </w:r>
    </w:p>
    <w:p w:rsidR="00D96B91" w:rsidRDefault="00C2656B">
      <w:pPr>
        <w:numPr>
          <w:ilvl w:val="0"/>
          <w:numId w:val="81"/>
        </w:numPr>
        <w:tabs>
          <w:tab w:val="left" w:pos="1758"/>
        </w:tabs>
        <w:spacing w:before="45" w:line="192" w:lineRule="exact"/>
        <w:ind w:right="1652" w:hanging="510"/>
        <w:rPr>
          <w:rFonts w:ascii="Avenir Next" w:eastAsia="Avenir Next" w:hAnsi="Avenir Next" w:cs="Avenir Next"/>
          <w:sz w:val="16"/>
          <w:szCs w:val="16"/>
        </w:rPr>
      </w:pPr>
      <w:r>
        <w:rPr>
          <w:rFonts w:ascii="Avenir Next"/>
          <w:spacing w:val="-1"/>
          <w:sz w:val="16"/>
        </w:rPr>
        <w:t>The</w:t>
      </w:r>
      <w:r>
        <w:rPr>
          <w:rFonts w:ascii="Avenir Next"/>
          <w:sz w:val="16"/>
        </w:rPr>
        <w:t xml:space="preserve"> term </w:t>
      </w:r>
      <w:r>
        <w:rPr>
          <w:rFonts w:ascii="Avenir Next"/>
          <w:spacing w:val="-1"/>
          <w:sz w:val="16"/>
        </w:rPr>
        <w:t>intergenerational</w:t>
      </w:r>
      <w:r>
        <w:rPr>
          <w:rFonts w:ascii="Avenir Next"/>
          <w:sz w:val="16"/>
        </w:rPr>
        <w:t xml:space="preserve"> equity is used in this </w:t>
      </w:r>
      <w:r>
        <w:rPr>
          <w:rFonts w:ascii="Avenir Next"/>
          <w:spacing w:val="-1"/>
          <w:sz w:val="16"/>
        </w:rPr>
        <w:t>context</w:t>
      </w:r>
      <w:r>
        <w:rPr>
          <w:rFonts w:ascii="Avenir Next"/>
          <w:sz w:val="16"/>
        </w:rPr>
        <w:t xml:space="preserve"> to </w:t>
      </w:r>
      <w:r>
        <w:rPr>
          <w:rFonts w:ascii="Avenir Next"/>
          <w:spacing w:val="-1"/>
          <w:sz w:val="16"/>
        </w:rPr>
        <w:t>refer</w:t>
      </w:r>
      <w:r>
        <w:rPr>
          <w:rFonts w:ascii="Avenir Next"/>
          <w:sz w:val="16"/>
        </w:rPr>
        <w:t xml:space="preserve"> to consumers in </w:t>
      </w:r>
      <w:r>
        <w:rPr>
          <w:rFonts w:ascii="Avenir Next"/>
          <w:spacing w:val="-1"/>
          <w:sz w:val="16"/>
        </w:rPr>
        <w:t>each</w:t>
      </w:r>
      <w:r>
        <w:rPr>
          <w:rFonts w:ascii="Avenir Next"/>
          <w:sz w:val="16"/>
        </w:rPr>
        <w:t xml:space="preserve"> time period contributing to the</w:t>
      </w:r>
      <w:r>
        <w:rPr>
          <w:rFonts w:ascii="Avenir Next"/>
          <w:spacing w:val="43"/>
          <w:sz w:val="16"/>
        </w:rPr>
        <w:t xml:space="preserve"> </w:t>
      </w:r>
      <w:r>
        <w:rPr>
          <w:rFonts w:ascii="Avenir Next"/>
          <w:spacing w:val="-1"/>
          <w:sz w:val="16"/>
        </w:rPr>
        <w:t xml:space="preserve">recovery </w:t>
      </w:r>
      <w:r>
        <w:rPr>
          <w:rFonts w:ascii="Avenir Next"/>
          <w:sz w:val="16"/>
        </w:rPr>
        <w:t>of</w:t>
      </w:r>
      <w:r>
        <w:rPr>
          <w:rFonts w:ascii="Avenir Next"/>
          <w:spacing w:val="2"/>
          <w:sz w:val="16"/>
        </w:rPr>
        <w:t xml:space="preserve"> </w:t>
      </w:r>
      <w:r>
        <w:rPr>
          <w:rFonts w:ascii="Avenir Next"/>
          <w:sz w:val="16"/>
        </w:rPr>
        <w:t>investments</w:t>
      </w:r>
      <w:r>
        <w:rPr>
          <w:rFonts w:ascii="Avenir Next"/>
          <w:spacing w:val="-1"/>
          <w:sz w:val="16"/>
        </w:rPr>
        <w:t xml:space="preserve"> from </w:t>
      </w:r>
      <w:r>
        <w:rPr>
          <w:rFonts w:ascii="Avenir Next"/>
          <w:sz w:val="16"/>
        </w:rPr>
        <w:t>which</w:t>
      </w:r>
      <w:r>
        <w:rPr>
          <w:rFonts w:ascii="Avenir Next"/>
          <w:spacing w:val="-1"/>
          <w:sz w:val="16"/>
        </w:rPr>
        <w:t xml:space="preserve"> </w:t>
      </w:r>
      <w:r>
        <w:rPr>
          <w:rFonts w:ascii="Avenir Next"/>
          <w:sz w:val="16"/>
        </w:rPr>
        <w:t>they derive</w:t>
      </w:r>
      <w:r>
        <w:rPr>
          <w:rFonts w:ascii="Avenir Next"/>
          <w:spacing w:val="-1"/>
          <w:sz w:val="16"/>
        </w:rPr>
        <w:t xml:space="preserve"> </w:t>
      </w:r>
      <w:r>
        <w:rPr>
          <w:rFonts w:ascii="Avenir Next"/>
          <w:sz w:val="16"/>
        </w:rPr>
        <w:t>benefits</w:t>
      </w:r>
      <w:r>
        <w:rPr>
          <w:rFonts w:ascii="Avenir Next"/>
          <w:spacing w:val="-1"/>
          <w:sz w:val="16"/>
        </w:rPr>
        <w:t xml:space="preserve"> </w:t>
      </w:r>
      <w:r>
        <w:rPr>
          <w:rFonts w:ascii="Avenir Next"/>
          <w:sz w:val="16"/>
        </w:rPr>
        <w:t>in</w:t>
      </w:r>
      <w:r>
        <w:rPr>
          <w:rFonts w:ascii="Avenir Next"/>
          <w:spacing w:val="-1"/>
          <w:sz w:val="16"/>
        </w:rPr>
        <w:t xml:space="preserve"> accordance </w:t>
      </w:r>
      <w:r>
        <w:rPr>
          <w:rFonts w:ascii="Avenir Next"/>
          <w:sz w:val="16"/>
        </w:rPr>
        <w:t>with their</w:t>
      </w:r>
      <w:r>
        <w:rPr>
          <w:rFonts w:ascii="Avenir Next"/>
          <w:spacing w:val="-1"/>
          <w:sz w:val="16"/>
        </w:rPr>
        <w:t xml:space="preserve"> share </w:t>
      </w:r>
      <w:r>
        <w:rPr>
          <w:rFonts w:ascii="Avenir Next"/>
          <w:sz w:val="16"/>
        </w:rPr>
        <w:t>of</w:t>
      </w:r>
      <w:r>
        <w:rPr>
          <w:rFonts w:ascii="Avenir Next"/>
          <w:spacing w:val="2"/>
          <w:sz w:val="16"/>
        </w:rPr>
        <w:t xml:space="preserve"> </w:t>
      </w:r>
      <w:r>
        <w:rPr>
          <w:rFonts w:ascii="Avenir Next"/>
          <w:sz w:val="16"/>
        </w:rPr>
        <w:t>those</w:t>
      </w:r>
      <w:r>
        <w:rPr>
          <w:rFonts w:ascii="Avenir Next"/>
          <w:spacing w:val="-1"/>
          <w:sz w:val="16"/>
        </w:rPr>
        <w:t xml:space="preserve"> </w:t>
      </w:r>
      <w:r>
        <w:rPr>
          <w:rFonts w:ascii="Avenir Next"/>
          <w:sz w:val="16"/>
        </w:rPr>
        <w:t>benefits.</w:t>
      </w:r>
    </w:p>
    <w:p w:rsidR="00D96B91" w:rsidRDefault="00C2656B">
      <w:pPr>
        <w:numPr>
          <w:ilvl w:val="0"/>
          <w:numId w:val="81"/>
        </w:numPr>
        <w:tabs>
          <w:tab w:val="left" w:pos="1758"/>
        </w:tabs>
        <w:spacing w:before="141"/>
        <w:ind w:hanging="510"/>
        <w:rPr>
          <w:rFonts w:ascii="Avenir Next" w:eastAsia="Avenir Next" w:hAnsi="Avenir Next" w:cs="Avenir Next"/>
          <w:sz w:val="16"/>
          <w:szCs w:val="16"/>
        </w:rPr>
      </w:pPr>
      <w:r>
        <w:rPr>
          <w:rFonts w:ascii="Avenir Next"/>
          <w:spacing w:val="-1"/>
          <w:sz w:val="16"/>
        </w:rPr>
        <w:t>ACTEW</w:t>
      </w:r>
      <w:r>
        <w:rPr>
          <w:rFonts w:ascii="Avenir Next"/>
          <w:spacing w:val="-2"/>
          <w:sz w:val="16"/>
        </w:rPr>
        <w:t xml:space="preserve"> </w:t>
      </w:r>
      <w:r>
        <w:rPr>
          <w:rFonts w:ascii="Avenir Next"/>
          <w:sz w:val="16"/>
        </w:rPr>
        <w:t xml:space="preserve">also spent </w:t>
      </w:r>
      <w:r>
        <w:rPr>
          <w:rFonts w:ascii="Avenir Next"/>
          <w:spacing w:val="-1"/>
          <w:sz w:val="16"/>
        </w:rPr>
        <w:t>approximately</w:t>
      </w:r>
      <w:r>
        <w:rPr>
          <w:rFonts w:ascii="Avenir Next"/>
          <w:sz w:val="16"/>
        </w:rPr>
        <w:t xml:space="preserve"> $48 million on the</w:t>
      </w:r>
      <w:r>
        <w:rPr>
          <w:rFonts w:ascii="Avenir Next"/>
          <w:spacing w:val="-4"/>
          <w:sz w:val="16"/>
        </w:rPr>
        <w:t xml:space="preserve"> </w:t>
      </w:r>
      <w:r>
        <w:rPr>
          <w:rFonts w:ascii="Avenir Next"/>
          <w:spacing w:val="-2"/>
          <w:sz w:val="16"/>
        </w:rPr>
        <w:t>Tantangara</w:t>
      </w:r>
      <w:r>
        <w:rPr>
          <w:rFonts w:ascii="Avenir Next"/>
          <w:spacing w:val="-4"/>
          <w:sz w:val="16"/>
        </w:rPr>
        <w:t xml:space="preserve"> </w:t>
      </w:r>
      <w:r>
        <w:rPr>
          <w:rFonts w:ascii="Avenir Next"/>
          <w:spacing w:val="-3"/>
          <w:sz w:val="16"/>
        </w:rPr>
        <w:t>Transfer</w:t>
      </w:r>
      <w:r>
        <w:rPr>
          <w:rFonts w:ascii="Avenir Next"/>
          <w:sz w:val="16"/>
        </w:rPr>
        <w:t xml:space="preserve"> </w:t>
      </w:r>
      <w:r>
        <w:rPr>
          <w:rFonts w:ascii="Avenir Next"/>
          <w:spacing w:val="-2"/>
          <w:sz w:val="16"/>
        </w:rPr>
        <w:t>Project.</w:t>
      </w:r>
    </w:p>
    <w:p w:rsidR="00D96B91" w:rsidRDefault="00C2656B">
      <w:pPr>
        <w:numPr>
          <w:ilvl w:val="0"/>
          <w:numId w:val="81"/>
        </w:numPr>
        <w:tabs>
          <w:tab w:val="left" w:pos="1758"/>
        </w:tabs>
        <w:spacing w:before="128" w:line="192" w:lineRule="exact"/>
        <w:ind w:right="1596"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limitation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this analysis to the ECD and M2G is consistent with the</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w:t>
      </w:r>
      <w:r>
        <w:rPr>
          <w:rFonts w:ascii="Avenir Next" w:eastAsia="Avenir Next" w:hAnsi="Avenir Next" w:cs="Avenir Next"/>
          <w:spacing w:val="-8"/>
          <w:sz w:val="16"/>
          <w:szCs w:val="16"/>
        </w:rPr>
        <w:t xml:space="preserve"> </w:t>
      </w:r>
      <w:r>
        <w:rPr>
          <w:rFonts w:ascii="Avenir Next" w:eastAsia="Avenir Next" w:hAnsi="Avenir Next" w:cs="Avenir Next"/>
          <w:spacing w:val="-3"/>
          <w:sz w:val="16"/>
          <w:szCs w:val="16"/>
        </w:rPr>
        <w:t>Treasurer’s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expectation</w:t>
      </w:r>
      <w:r>
        <w:rPr>
          <w:rFonts w:ascii="Avenir Next" w:eastAsia="Avenir Next" w:hAnsi="Avenir Next" w:cs="Avenir Next"/>
          <w:sz w:val="16"/>
          <w:szCs w:val="16"/>
        </w:rPr>
        <w:t xml:space="preserve"> as noted in his 12</w:t>
      </w:r>
      <w:r>
        <w:rPr>
          <w:rFonts w:ascii="Avenir Next" w:eastAsia="Avenir Next" w:hAnsi="Avenir Next" w:cs="Avenir Next"/>
          <w:spacing w:val="49"/>
          <w:sz w:val="16"/>
          <w:szCs w:val="16"/>
        </w:rPr>
        <w:t xml:space="preserve"> </w:t>
      </w:r>
      <w:r>
        <w:rPr>
          <w:rFonts w:ascii="Avenir Next" w:eastAsia="Avenir Next" w:hAnsi="Avenir Next" w:cs="Avenir Next"/>
          <w:sz w:val="16"/>
          <w:szCs w:val="16"/>
        </w:rPr>
        <w:t>April 2013 submission to the ICRC.</w:t>
      </w:r>
    </w:p>
    <w:p w:rsidR="00D96B91" w:rsidRDefault="00D96B91">
      <w:pPr>
        <w:spacing w:line="192" w:lineRule="exact"/>
        <w:rPr>
          <w:rFonts w:ascii="Avenir Next" w:eastAsia="Avenir Next" w:hAnsi="Avenir Next" w:cs="Avenir Next"/>
          <w:sz w:val="16"/>
          <w:szCs w:val="16"/>
        </w:rPr>
        <w:sectPr w:rsidR="00D96B91">
          <w:footerReference w:type="even" r:id="rId60"/>
          <w:footerReference w:type="default" r:id="rId61"/>
          <w:pgSz w:w="11910" w:h="16840"/>
          <w:pgMar w:top="1260" w:right="0" w:bottom="1020" w:left="0" w:header="0" w:footer="829" w:gutter="0"/>
          <w:pgNumType w:start="67"/>
          <w:cols w:space="720"/>
        </w:sectPr>
      </w:pPr>
    </w:p>
    <w:p w:rsidR="00D96B91" w:rsidRDefault="00C2656B">
      <w:pPr>
        <w:pStyle w:val="BodyText"/>
        <w:spacing w:before="21" w:line="260" w:lineRule="exact"/>
        <w:ind w:right="1343"/>
      </w:pPr>
      <w:bookmarkStart w:id="89" w:name="8._2_ACTEW’s_investment_in_water_securit"/>
      <w:bookmarkStart w:id="90" w:name="_bookmark51"/>
      <w:bookmarkEnd w:id="89"/>
      <w:bookmarkEnd w:id="90"/>
      <w:r>
        <w:rPr>
          <w:rFonts w:cs="Avenir Next"/>
        </w:rPr>
        <w:t xml:space="preserve">In </w:t>
      </w:r>
      <w:r>
        <w:rPr>
          <w:rFonts w:cs="Avenir Next"/>
          <w:spacing w:val="-1"/>
        </w:rPr>
        <w:t>reaching</w:t>
      </w:r>
      <w:r>
        <w:rPr>
          <w:rFonts w:cs="Avenir Next"/>
        </w:rPr>
        <w:t xml:space="preserve"> this </w:t>
      </w:r>
      <w:r>
        <w:rPr>
          <w:rFonts w:cs="Avenir Next"/>
          <w:spacing w:val="-2"/>
        </w:rPr>
        <w:t>draft</w:t>
      </w:r>
      <w:r>
        <w:rPr>
          <w:rFonts w:cs="Avenir Next"/>
        </w:rPr>
        <w:t xml:space="preserve"> decision,</w:t>
      </w:r>
      <w:r>
        <w:rPr>
          <w:rFonts w:cs="Avenir Next"/>
          <w:spacing w:val="-6"/>
        </w:rPr>
        <w:t xml:space="preserve"> </w:t>
      </w:r>
      <w:r>
        <w:rPr>
          <w:rFonts w:cs="Avenir Next"/>
        </w:rPr>
        <w:t xml:space="preserve">the </w:t>
      </w:r>
      <w:r>
        <w:rPr>
          <w:rFonts w:cs="Avenir Next"/>
          <w:spacing w:val="-3"/>
        </w:rPr>
        <w:t>Panel</w:t>
      </w:r>
      <w:r>
        <w:rPr>
          <w:rFonts w:cs="Avenir Next"/>
        </w:rPr>
        <w:t xml:space="preserve"> had </w:t>
      </w:r>
      <w:r>
        <w:rPr>
          <w:rFonts w:cs="Avenir Next"/>
          <w:spacing w:val="-1"/>
        </w:rPr>
        <w:t>particular</w:t>
      </w:r>
      <w:r>
        <w:rPr>
          <w:rFonts w:cs="Avenir Next"/>
        </w:rPr>
        <w:t xml:space="preserve"> </w:t>
      </w:r>
      <w:r>
        <w:rPr>
          <w:rFonts w:cs="Avenir Next"/>
          <w:spacing w:val="-2"/>
        </w:rPr>
        <w:t>regard</w:t>
      </w:r>
      <w:r>
        <w:rPr>
          <w:rFonts w:cs="Avenir Next"/>
        </w:rPr>
        <w:t xml:space="preserve"> to the impact </w:t>
      </w:r>
      <w:r>
        <w:rPr>
          <w:rFonts w:cs="Avenir Next"/>
          <w:spacing w:val="-1"/>
        </w:rPr>
        <w:t>that</w:t>
      </w:r>
      <w:r>
        <w:rPr>
          <w:rFonts w:cs="Avenir Next"/>
        </w:rPr>
        <w:t xml:space="preserve"> deferring the </w:t>
      </w:r>
      <w:r>
        <w:rPr>
          <w:rFonts w:cs="Avenir Next"/>
          <w:spacing w:val="-1"/>
        </w:rPr>
        <w:t>recovery</w:t>
      </w:r>
      <w:r>
        <w:rPr>
          <w:rFonts w:cs="Avenir Next"/>
          <w:spacing w:val="51"/>
        </w:rPr>
        <w:t xml:space="preserve"> </w:t>
      </w:r>
      <w:r>
        <w:t>of</w:t>
      </w:r>
      <w:r>
        <w:rPr>
          <w:spacing w:val="3"/>
        </w:rPr>
        <w:t xml:space="preserve"> </w:t>
      </w:r>
      <w:r>
        <w:t>some of</w:t>
      </w:r>
      <w:r>
        <w:rPr>
          <w:spacing w:val="3"/>
        </w:rPr>
        <w:t xml:space="preserve"> </w:t>
      </w:r>
      <w:r>
        <w:t>the ECD</w:t>
      </w:r>
      <w:r>
        <w:rPr>
          <w:spacing w:val="-1"/>
        </w:rPr>
        <w:t xml:space="preserve"> </w:t>
      </w:r>
      <w:r>
        <w:t>and M2G</w:t>
      </w:r>
      <w:r>
        <w:rPr>
          <w:spacing w:val="-1"/>
        </w:rPr>
        <w:t xml:space="preserve"> </w:t>
      </w:r>
      <w:r>
        <w:t>capital costs</w:t>
      </w:r>
      <w:r>
        <w:rPr>
          <w:spacing w:val="-1"/>
        </w:rPr>
        <w:t xml:space="preserve"> </w:t>
      </w:r>
      <w:r>
        <w:t>would have</w:t>
      </w:r>
      <w:r>
        <w:rPr>
          <w:spacing w:val="-1"/>
        </w:rPr>
        <w:t xml:space="preserve"> </w:t>
      </w:r>
      <w:r>
        <w:t>on</w:t>
      </w:r>
      <w:r>
        <w:rPr>
          <w:spacing w:val="-4"/>
        </w:rPr>
        <w:t xml:space="preserve"> </w:t>
      </w:r>
      <w:r>
        <w:rPr>
          <w:spacing w:val="-2"/>
        </w:rPr>
        <w:t>ACTEW’s</w:t>
      </w:r>
      <w:r>
        <w:rPr>
          <w:spacing w:val="-1"/>
        </w:rPr>
        <w:t xml:space="preserve"> short-term</w:t>
      </w:r>
      <w:r>
        <w:t xml:space="preserve"> financial</w:t>
      </w:r>
      <w:r>
        <w:rPr>
          <w:spacing w:val="-1"/>
        </w:rPr>
        <w:t xml:space="preserve"> viability.</w:t>
      </w:r>
      <w:r>
        <w:rPr>
          <w:spacing w:val="-6"/>
        </w:rPr>
        <w:t xml:space="preserve"> </w:t>
      </w:r>
      <w:r>
        <w:t>If</w:t>
      </w:r>
      <w:r>
        <w:rPr>
          <w:spacing w:val="21"/>
        </w:rPr>
        <w:t xml:space="preserve"> </w:t>
      </w:r>
      <w:r>
        <w:rPr>
          <w:spacing w:val="-1"/>
        </w:rPr>
        <w:t xml:space="preserve">there </w:t>
      </w:r>
      <w:r>
        <w:t>is</w:t>
      </w:r>
      <w:r>
        <w:rPr>
          <w:spacing w:val="-1"/>
        </w:rPr>
        <w:t xml:space="preserve"> </w:t>
      </w:r>
      <w:r>
        <w:t>a</w:t>
      </w:r>
      <w:r>
        <w:rPr>
          <w:spacing w:val="-1"/>
        </w:rPr>
        <w:t xml:space="preserve"> </w:t>
      </w:r>
      <w:r>
        <w:t>change between</w:t>
      </w:r>
      <w:r>
        <w:rPr>
          <w:spacing w:val="-1"/>
        </w:rPr>
        <w:t xml:space="preserve"> </w:t>
      </w:r>
      <w:r>
        <w:t>the</w:t>
      </w:r>
      <w:r>
        <w:rPr>
          <w:spacing w:val="-1"/>
        </w:rPr>
        <w:t xml:space="preserve"> </w:t>
      </w:r>
      <w:r>
        <w:rPr>
          <w:spacing w:val="-4"/>
        </w:rPr>
        <w:t>Panel’s</w:t>
      </w:r>
      <w:r>
        <w:t xml:space="preserve"> </w:t>
      </w:r>
      <w:r>
        <w:rPr>
          <w:spacing w:val="-2"/>
        </w:rPr>
        <w:t>draft</w:t>
      </w:r>
      <w:r>
        <w:rPr>
          <w:spacing w:val="-1"/>
        </w:rPr>
        <w:t xml:space="preserve"> </w:t>
      </w:r>
      <w:r>
        <w:t>and</w:t>
      </w:r>
      <w:r>
        <w:rPr>
          <w:spacing w:val="-1"/>
        </w:rPr>
        <w:t xml:space="preserve"> </w:t>
      </w:r>
      <w:r>
        <w:t>final</w:t>
      </w:r>
      <w:r>
        <w:rPr>
          <w:spacing w:val="-1"/>
        </w:rPr>
        <w:t xml:space="preserve"> </w:t>
      </w:r>
      <w:r>
        <w:t xml:space="preserve">decisions </w:t>
      </w:r>
      <w:r>
        <w:rPr>
          <w:spacing w:val="-1"/>
        </w:rPr>
        <w:t xml:space="preserve">that results </w:t>
      </w:r>
      <w:r>
        <w:t>in</w:t>
      </w:r>
      <w:r>
        <w:rPr>
          <w:spacing w:val="-4"/>
        </w:rPr>
        <w:t xml:space="preserve"> </w:t>
      </w:r>
      <w:r>
        <w:rPr>
          <w:spacing w:val="-2"/>
        </w:rPr>
        <w:t>ACTEW’s</w:t>
      </w:r>
      <w:r>
        <w:rPr>
          <w:spacing w:val="-1"/>
        </w:rPr>
        <w:t xml:space="preserve"> </w:t>
      </w:r>
      <w:r>
        <w:t>financial</w:t>
      </w:r>
      <w:r>
        <w:rPr>
          <w:spacing w:val="-1"/>
        </w:rPr>
        <w:t xml:space="preserve"> </w:t>
      </w:r>
      <w:r>
        <w:t>viability</w:t>
      </w:r>
      <w:r>
        <w:rPr>
          <w:spacing w:val="33"/>
        </w:rPr>
        <w:t xml:space="preserve"> </w:t>
      </w:r>
      <w:r>
        <w:rPr>
          <w:rFonts w:cs="Avenir Next"/>
          <w:spacing w:val="-1"/>
        </w:rPr>
        <w:t>improving,</w:t>
      </w:r>
      <w:r>
        <w:rPr>
          <w:rFonts w:cs="Avenir Next"/>
          <w:spacing w:val="-6"/>
        </w:rPr>
        <w:t xml:space="preserve"> </w:t>
      </w:r>
      <w:r>
        <w:rPr>
          <w:rFonts w:cs="Avenir Next"/>
        </w:rPr>
        <w:t xml:space="preserve">then the </w:t>
      </w:r>
      <w:r>
        <w:rPr>
          <w:rFonts w:cs="Avenir Next"/>
          <w:spacing w:val="-3"/>
        </w:rPr>
        <w:t>Panel</w:t>
      </w:r>
      <w:r>
        <w:rPr>
          <w:rFonts w:cs="Avenir Next"/>
        </w:rPr>
        <w:t xml:space="preserve"> may </w:t>
      </w:r>
      <w:r>
        <w:rPr>
          <w:rFonts w:cs="Avenir Next"/>
          <w:spacing w:val="-1"/>
        </w:rPr>
        <w:t>revisit</w:t>
      </w:r>
      <w:r>
        <w:rPr>
          <w:rFonts w:cs="Avenir Next"/>
        </w:rPr>
        <w:t xml:space="preserve"> its decision not to defer any of</w:t>
      </w:r>
      <w:r>
        <w:rPr>
          <w:rFonts w:cs="Avenir Next"/>
          <w:spacing w:val="4"/>
        </w:rPr>
        <w:t xml:space="preserve"> </w:t>
      </w:r>
      <w:r>
        <w:rPr>
          <w:rFonts w:cs="Avenir Next"/>
        </w:rPr>
        <w:t xml:space="preserve">the costs </w:t>
      </w:r>
      <w:r>
        <w:rPr>
          <w:rFonts w:cs="Avenir Next"/>
          <w:spacing w:val="-1"/>
        </w:rPr>
        <w:t>associated</w:t>
      </w:r>
      <w:r>
        <w:rPr>
          <w:rFonts w:cs="Avenir Next"/>
        </w:rPr>
        <w:t xml:space="preserve"> with these</w:t>
      </w:r>
      <w:r>
        <w:rPr>
          <w:rFonts w:cs="Avenir Next"/>
          <w:spacing w:val="39"/>
        </w:rPr>
        <w:t xml:space="preserve"> </w:t>
      </w:r>
      <w:r>
        <w:rPr>
          <w:spacing w:val="-1"/>
        </w:rPr>
        <w:t>projects.</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3" w:line="360" w:lineRule="exact"/>
        <w:ind w:left="2041" w:right="1549" w:hanging="794"/>
        <w:rPr>
          <w:rFonts w:cs="Avenir Next Medium"/>
        </w:rPr>
      </w:pPr>
      <w:r>
        <w:rPr>
          <w:rFonts w:cs="Avenir Next Medium"/>
          <w:color w:val="0778BE"/>
        </w:rPr>
        <w:t>8.</w:t>
      </w:r>
      <w:r>
        <w:rPr>
          <w:rFonts w:cs="Avenir Next Medium"/>
          <w:color w:val="0778BE"/>
          <w:spacing w:val="-9"/>
        </w:rPr>
        <w:t xml:space="preserve"> </w:t>
      </w:r>
      <w:r>
        <w:rPr>
          <w:rFonts w:cs="Avenir Next Medium"/>
          <w:color w:val="0778BE"/>
        </w:rPr>
        <w:t>2</w:t>
      </w:r>
      <w:r>
        <w:rPr>
          <w:rFonts w:cs="Avenir Next Medium"/>
          <w:color w:val="0778BE"/>
        </w:rPr>
        <w:tab/>
      </w:r>
      <w:r>
        <w:rPr>
          <w:color w:val="0778BE"/>
          <w:spacing w:val="-3"/>
        </w:rPr>
        <w:t>ACTEW’s</w:t>
      </w:r>
      <w:r>
        <w:rPr>
          <w:color w:val="0778BE"/>
        </w:rPr>
        <w:t xml:space="preserve"> investment in </w:t>
      </w:r>
      <w:r>
        <w:rPr>
          <w:color w:val="0778BE"/>
          <w:spacing w:val="-1"/>
        </w:rPr>
        <w:t>water</w:t>
      </w:r>
      <w:r>
        <w:rPr>
          <w:color w:val="0778BE"/>
        </w:rPr>
        <w:t xml:space="preserve"> security </w:t>
      </w:r>
      <w:r>
        <w:rPr>
          <w:color w:val="0778BE"/>
          <w:spacing w:val="-1"/>
        </w:rPr>
        <w:t>projects</w:t>
      </w:r>
      <w:r>
        <w:rPr>
          <w:color w:val="0778BE"/>
        </w:rPr>
        <w:t xml:space="preserve"> and customer</w:t>
      </w:r>
      <w:r>
        <w:rPr>
          <w:color w:val="0778BE"/>
          <w:spacing w:val="27"/>
        </w:rPr>
        <w:t xml:space="preserve"> </w:t>
      </w:r>
      <w:r>
        <w:rPr>
          <w:rFonts w:cs="Avenir Next Medium"/>
          <w:color w:val="0778BE"/>
        </w:rPr>
        <w:t>benefits</w:t>
      </w:r>
    </w:p>
    <w:p w:rsidR="00D96B91" w:rsidRDefault="00C2656B">
      <w:pPr>
        <w:pStyle w:val="BodyText"/>
        <w:spacing w:before="101" w:line="267" w:lineRule="exact"/>
      </w:pPr>
      <w:r>
        <w:t xml:space="preserve">In the </w:t>
      </w:r>
      <w:r>
        <w:rPr>
          <w:spacing w:val="-1"/>
        </w:rPr>
        <w:t>previous</w:t>
      </w:r>
      <w:r>
        <w:t xml:space="preserve"> </w:t>
      </w:r>
      <w:r>
        <w:rPr>
          <w:spacing w:val="-1"/>
        </w:rPr>
        <w:t>regulatory</w:t>
      </w:r>
      <w:r>
        <w:t xml:space="preserve"> period,</w:t>
      </w:r>
      <w:r>
        <w:rPr>
          <w:spacing w:val="-10"/>
        </w:rPr>
        <w:t xml:space="preserve"> </w:t>
      </w:r>
      <w:r>
        <w:rPr>
          <w:spacing w:val="-2"/>
        </w:rPr>
        <w:t>ACTEW</w:t>
      </w:r>
      <w:r>
        <w:rPr>
          <w:spacing w:val="-3"/>
        </w:rPr>
        <w:t xml:space="preserve"> </w:t>
      </w:r>
      <w:r>
        <w:t xml:space="preserve">spent </w:t>
      </w:r>
      <w:r>
        <w:rPr>
          <w:spacing w:val="-1"/>
        </w:rPr>
        <w:t>approximately</w:t>
      </w:r>
      <w:r>
        <w:t xml:space="preserve"> $420 million on the ECD and</w:t>
      </w:r>
    </w:p>
    <w:p w:rsidR="00D96B91" w:rsidRDefault="00C2656B">
      <w:pPr>
        <w:pStyle w:val="BodyText"/>
        <w:spacing w:before="3" w:line="228" w:lineRule="auto"/>
        <w:ind w:right="1283"/>
      </w:pPr>
      <w:r>
        <w:t>$140 million on</w:t>
      </w:r>
      <w:r>
        <w:rPr>
          <w:spacing w:val="1"/>
        </w:rPr>
        <w:t xml:space="preserve"> </w:t>
      </w:r>
      <w:r>
        <w:t>the M2G</w:t>
      </w:r>
      <w:r>
        <w:rPr>
          <w:spacing w:val="1"/>
        </w:rPr>
        <w:t xml:space="preserve"> </w:t>
      </w:r>
      <w:r>
        <w:rPr>
          <w:spacing w:val="-1"/>
        </w:rPr>
        <w:t>($2012-13).</w:t>
      </w:r>
      <w:r>
        <w:rPr>
          <w:spacing w:val="-1"/>
          <w:position w:val="7"/>
          <w:sz w:val="11"/>
          <w:szCs w:val="11"/>
        </w:rPr>
        <w:t>77</w:t>
      </w:r>
      <w:r>
        <w:rPr>
          <w:spacing w:val="22"/>
          <w:position w:val="7"/>
          <w:sz w:val="11"/>
          <w:szCs w:val="11"/>
        </w:rPr>
        <w:t xml:space="preserve"> </w:t>
      </w:r>
      <w:r>
        <w:t>It</w:t>
      </w:r>
      <w:r>
        <w:rPr>
          <w:spacing w:val="1"/>
        </w:rPr>
        <w:t xml:space="preserve"> </w:t>
      </w:r>
      <w:r>
        <w:t>spent a</w:t>
      </w:r>
      <w:r>
        <w:rPr>
          <w:spacing w:val="1"/>
        </w:rPr>
        <w:t xml:space="preserve"> </w:t>
      </w:r>
      <w:r>
        <w:rPr>
          <w:spacing w:val="-1"/>
        </w:rPr>
        <w:t>further</w:t>
      </w:r>
      <w:r>
        <w:t xml:space="preserve"> $48 million</w:t>
      </w:r>
      <w:r>
        <w:rPr>
          <w:spacing w:val="1"/>
        </w:rPr>
        <w:t xml:space="preserve"> </w:t>
      </w:r>
      <w:r>
        <w:t>on the</w:t>
      </w:r>
      <w:r>
        <w:rPr>
          <w:spacing w:val="-4"/>
        </w:rPr>
        <w:t xml:space="preserve"> </w:t>
      </w:r>
      <w:r>
        <w:rPr>
          <w:spacing w:val="-3"/>
        </w:rPr>
        <w:t>Tantangara</w:t>
      </w:r>
      <w:r>
        <w:rPr>
          <w:spacing w:val="-5"/>
        </w:rPr>
        <w:t xml:space="preserve"> </w:t>
      </w:r>
      <w:r>
        <w:rPr>
          <w:spacing w:val="-3"/>
        </w:rPr>
        <w:t>Transfer</w:t>
      </w:r>
      <w:r>
        <w:t xml:space="preserve"> Option</w:t>
      </w:r>
      <w:r>
        <w:rPr>
          <w:spacing w:val="53"/>
        </w:rPr>
        <w:t xml:space="preserve"> </w:t>
      </w:r>
      <w:r>
        <w:rPr>
          <w:rFonts w:cs="Avenir Next"/>
        </w:rPr>
        <w:t xml:space="preserve">(see </w:t>
      </w:r>
      <w:hyperlink w:anchor="_bookmark52" w:history="1">
        <w:r>
          <w:rPr>
            <w:spacing w:val="-1"/>
          </w:rPr>
          <w:t>Box</w:t>
        </w:r>
        <w:r>
          <w:t xml:space="preserve"> 8.1</w:t>
        </w:r>
      </w:hyperlink>
      <w:r>
        <w:t>).</w:t>
      </w:r>
      <w:r>
        <w:rPr>
          <w:spacing w:val="-7"/>
        </w:rPr>
        <w:t xml:space="preserve"> </w:t>
      </w:r>
      <w:r>
        <w:rPr>
          <w:position w:val="7"/>
          <w:sz w:val="11"/>
          <w:szCs w:val="11"/>
        </w:rPr>
        <w:t>78</w:t>
      </w:r>
      <w:r>
        <w:rPr>
          <w:spacing w:val="23"/>
          <w:position w:val="7"/>
          <w:sz w:val="11"/>
          <w:szCs w:val="11"/>
        </w:rPr>
        <w:t xml:space="preserve"> </w:t>
      </w:r>
      <w:r>
        <w:rPr>
          <w:spacing w:val="-1"/>
        </w:rPr>
        <w:t>More</w:t>
      </w:r>
      <w:r>
        <w:rPr>
          <w:spacing w:val="1"/>
        </w:rPr>
        <w:t xml:space="preserve"> </w:t>
      </w:r>
      <w:r>
        <w:t>than 50% of</w:t>
      </w:r>
      <w:r>
        <w:rPr>
          <w:spacing w:val="5"/>
        </w:rPr>
        <w:t xml:space="preserve"> </w:t>
      </w:r>
      <w:r>
        <w:t>the costs of</w:t>
      </w:r>
      <w:r>
        <w:rPr>
          <w:spacing w:val="5"/>
        </w:rPr>
        <w:t xml:space="preserve"> </w:t>
      </w:r>
      <w:r>
        <w:t xml:space="preserve">these </w:t>
      </w:r>
      <w:r>
        <w:rPr>
          <w:spacing w:val="-1"/>
        </w:rPr>
        <w:t>three</w:t>
      </w:r>
      <w:r>
        <w:t xml:space="preserve"> </w:t>
      </w:r>
      <w:r>
        <w:rPr>
          <w:spacing w:val="-1"/>
        </w:rPr>
        <w:t>projects</w:t>
      </w:r>
      <w:r>
        <w:t xml:space="preserve"> was</w:t>
      </w:r>
      <w:r>
        <w:rPr>
          <w:spacing w:val="1"/>
        </w:rPr>
        <w:t xml:space="preserve"> </w:t>
      </w:r>
      <w:r>
        <w:t>included in the</w:t>
      </w:r>
      <w:r>
        <w:rPr>
          <w:spacing w:val="1"/>
        </w:rPr>
        <w:t xml:space="preserve"> </w:t>
      </w:r>
      <w:r>
        <w:t>RAB during the</w:t>
      </w:r>
      <w:r>
        <w:rPr>
          <w:spacing w:val="27"/>
        </w:rPr>
        <w:t xml:space="preserve"> </w:t>
      </w:r>
      <w:r>
        <w:rPr>
          <w:rFonts w:cs="Avenir Next"/>
          <w:spacing w:val="-1"/>
        </w:rPr>
        <w:t>previous</w:t>
      </w:r>
      <w:r>
        <w:rPr>
          <w:rFonts w:cs="Avenir Next"/>
        </w:rPr>
        <w:t xml:space="preserve"> </w:t>
      </w:r>
      <w:r>
        <w:rPr>
          <w:rFonts w:cs="Avenir Next"/>
          <w:spacing w:val="-1"/>
        </w:rPr>
        <w:t>regulatory</w:t>
      </w:r>
      <w:r>
        <w:rPr>
          <w:rFonts w:cs="Avenir Next"/>
        </w:rPr>
        <w:t xml:space="preserve"> </w:t>
      </w:r>
      <w:r>
        <w:rPr>
          <w:rFonts w:cs="Avenir Next"/>
          <w:spacing w:val="-1"/>
        </w:rPr>
        <w:t>period</w:t>
      </w:r>
      <w:r>
        <w:rPr>
          <w:spacing w:val="-1"/>
          <w:position w:val="7"/>
          <w:sz w:val="11"/>
          <w:szCs w:val="11"/>
        </w:rPr>
        <w:t>79</w:t>
      </w:r>
      <w:r>
        <w:rPr>
          <w:spacing w:val="23"/>
          <w:position w:val="7"/>
          <w:sz w:val="11"/>
          <w:szCs w:val="11"/>
        </w:rPr>
        <w:t xml:space="preserve"> </w:t>
      </w:r>
      <w:r>
        <w:t>and</w:t>
      </w:r>
      <w:r>
        <w:rPr>
          <w:spacing w:val="1"/>
        </w:rPr>
        <w:t xml:space="preserve"> </w:t>
      </w:r>
      <w:r>
        <w:t>used in</w:t>
      </w:r>
      <w:r>
        <w:rPr>
          <w:spacing w:val="1"/>
        </w:rPr>
        <w:t xml:space="preserve"> </w:t>
      </w:r>
      <w:r>
        <w:t xml:space="preserve">deriving the </w:t>
      </w:r>
      <w:r>
        <w:rPr>
          <w:spacing w:val="-1"/>
        </w:rPr>
        <w:t>water</w:t>
      </w:r>
      <w:r>
        <w:rPr>
          <w:spacing w:val="1"/>
        </w:rPr>
        <w:t xml:space="preserve"> </w:t>
      </w:r>
      <w:r>
        <w:rPr>
          <w:spacing w:val="-1"/>
        </w:rPr>
        <w:t>charges</w:t>
      </w:r>
      <w:r>
        <w:t xml:space="preserve"> </w:t>
      </w:r>
      <w:r>
        <w:rPr>
          <w:spacing w:val="-1"/>
        </w:rPr>
        <w:t>that</w:t>
      </w:r>
      <w:r>
        <w:rPr>
          <w:spacing w:val="1"/>
        </w:rPr>
        <w:t xml:space="preserve"> </w:t>
      </w:r>
      <w:r>
        <w:t>applied over</w:t>
      </w:r>
      <w:r>
        <w:rPr>
          <w:spacing w:val="1"/>
        </w:rPr>
        <w:t xml:space="preserve"> </w:t>
      </w:r>
      <w:r>
        <w:t>this period.</w:t>
      </w:r>
      <w:r>
        <w:rPr>
          <w:spacing w:val="-11"/>
        </w:rPr>
        <w:t xml:space="preserve"> </w:t>
      </w:r>
      <w:r>
        <w:rPr>
          <w:spacing w:val="-2"/>
        </w:rPr>
        <w:t>The</w:t>
      </w:r>
      <w:r>
        <w:rPr>
          <w:spacing w:val="49"/>
        </w:rPr>
        <w:t xml:space="preserve"> </w:t>
      </w:r>
      <w:r>
        <w:rPr>
          <w:spacing w:val="-1"/>
        </w:rPr>
        <w:t>remaining</w:t>
      </w:r>
      <w:r>
        <w:t xml:space="preserve"> 50% was </w:t>
      </w:r>
      <w:r>
        <w:rPr>
          <w:spacing w:val="-1"/>
        </w:rPr>
        <w:t>rolled</w:t>
      </w:r>
      <w:r>
        <w:t xml:space="preserve"> into the RAB as </w:t>
      </w:r>
      <w:r>
        <w:rPr>
          <w:spacing w:val="-1"/>
        </w:rPr>
        <w:t>part</w:t>
      </w:r>
      <w:r>
        <w:t xml:space="preserve"> of</w:t>
      </w:r>
      <w:r>
        <w:rPr>
          <w:spacing w:val="4"/>
        </w:rPr>
        <w:t xml:space="preserve"> </w:t>
      </w:r>
      <w:r>
        <w:t xml:space="preserve">the </w:t>
      </w:r>
      <w:r>
        <w:rPr>
          <w:spacing w:val="-2"/>
        </w:rPr>
        <w:t>ICRC’s</w:t>
      </w:r>
      <w:r>
        <w:t xml:space="preserve"> original price </w:t>
      </w:r>
      <w:r>
        <w:rPr>
          <w:spacing w:val="-1"/>
        </w:rPr>
        <w:t>direction</w:t>
      </w:r>
      <w:r>
        <w:t xml:space="preserve"> for the 2013 period</w:t>
      </w:r>
      <w:r>
        <w:rPr>
          <w:spacing w:val="31"/>
        </w:rPr>
        <w:t xml:space="preserve"> </w:t>
      </w:r>
      <w:r>
        <w:rPr>
          <w:rFonts w:cs="Avenir Next"/>
        </w:rPr>
        <w:t xml:space="preserve">(see section </w:t>
      </w:r>
      <w:r>
        <w:t>9.2).</w:t>
      </w:r>
    </w:p>
    <w:p w:rsidR="00D96B91" w:rsidRDefault="00C2656B">
      <w:pPr>
        <w:spacing w:before="140"/>
        <w:ind w:left="1247"/>
        <w:rPr>
          <w:rFonts w:ascii="Avenir Next" w:eastAsia="Avenir Next" w:hAnsi="Avenir Next" w:cs="Avenir Next"/>
          <w:sz w:val="20"/>
          <w:szCs w:val="20"/>
        </w:rPr>
      </w:pPr>
      <w:bookmarkStart w:id="91" w:name="_bookmark52"/>
      <w:bookmarkEnd w:id="91"/>
      <w:r>
        <w:rPr>
          <w:rFonts w:ascii="Avenir Next"/>
          <w:b/>
          <w:spacing w:val="-1"/>
          <w:sz w:val="20"/>
        </w:rPr>
        <w:t>Box</w:t>
      </w:r>
      <w:r>
        <w:rPr>
          <w:rFonts w:ascii="Avenir Next"/>
          <w:b/>
          <w:sz w:val="20"/>
        </w:rPr>
        <w:t xml:space="preserve"> 8.1:</w:t>
      </w:r>
      <w:r>
        <w:rPr>
          <w:rFonts w:ascii="Avenir Next"/>
          <w:b/>
          <w:spacing w:val="-5"/>
          <w:sz w:val="20"/>
        </w:rPr>
        <w:t xml:space="preserve"> </w:t>
      </w:r>
      <w:r>
        <w:rPr>
          <w:rFonts w:ascii="Avenir Next"/>
          <w:b/>
          <w:spacing w:val="-3"/>
          <w:sz w:val="20"/>
        </w:rPr>
        <w:t>Tantangara</w:t>
      </w:r>
      <w:r>
        <w:rPr>
          <w:rFonts w:ascii="Avenir Next"/>
          <w:b/>
          <w:spacing w:val="-5"/>
          <w:sz w:val="20"/>
        </w:rPr>
        <w:t xml:space="preserve"> </w:t>
      </w:r>
      <w:r>
        <w:rPr>
          <w:rFonts w:ascii="Avenir Next"/>
          <w:b/>
          <w:spacing w:val="-3"/>
          <w:sz w:val="20"/>
        </w:rPr>
        <w:t>Transfer</w:t>
      </w:r>
      <w:r>
        <w:rPr>
          <w:rFonts w:ascii="Avenir Next"/>
          <w:b/>
          <w:sz w:val="20"/>
        </w:rPr>
        <w:t xml:space="preserve"> Option</w:t>
      </w:r>
    </w:p>
    <w:p w:rsidR="00D96B91" w:rsidRDefault="00D96B91">
      <w:pPr>
        <w:spacing w:before="13"/>
        <w:rPr>
          <w:rFonts w:ascii="Avenir Next" w:eastAsia="Avenir Next" w:hAnsi="Avenir Next" w:cs="Avenir Next"/>
          <w:b/>
          <w:bCs/>
          <w:sz w:val="11"/>
          <w:szCs w:val="11"/>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B45286">
        <w:rPr>
          <w:rFonts w:ascii="Avenir Next" w:eastAsia="Avenir Next" w:hAnsi="Avenir Next" w:cs="Avenir Next"/>
          <w:sz w:val="20"/>
          <w:szCs w:val="20"/>
        </w:rPr>
        <w:pict>
          <v:shape id="_x0000_s3203" type="#_x0000_t202" style="width:470.55pt;height:223.85pt;mso-left-percent:-10001;mso-top-percent:-10001;mso-position-horizontal:absolute;mso-position-horizontal-relative:char;mso-position-vertical:absolute;mso-position-vertical-relative:line;mso-left-percent:-10001;mso-top-percent:-10001" fillcolor="#dff3fd" stroked="f">
            <v:textbox style="mso-next-textbox:#_x0000_s3203" inset="0,0,0,0">
              <w:txbxContent>
                <w:p w:rsidR="008A79D5" w:rsidRDefault="008A79D5">
                  <w:pPr>
                    <w:spacing w:before="162" w:line="260" w:lineRule="exact"/>
                    <w:ind w:left="170" w:right="228"/>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During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previous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regulatory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3"/>
                      <w:sz w:val="20"/>
                      <w:szCs w:val="20"/>
                    </w:rPr>
                    <w:t>ACTEW</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purchased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3"/>
                      <w:sz w:val="20"/>
                      <w:szCs w:val="20"/>
                    </w:rPr>
                    <w:t>Tantangara</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3"/>
                      <w:sz w:val="20"/>
                      <w:szCs w:val="20"/>
                    </w:rPr>
                    <w:t>Transfer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provide</w:t>
                  </w:r>
                  <w:r>
                    <w:rPr>
                      <w:rFonts w:ascii="Avenir Next Condensed" w:eastAsia="Avenir Next Condensed" w:hAnsi="Avenir Next Condensed" w:cs="Avenir Next Condensed"/>
                      <w:spacing w:val="-4"/>
                      <w:sz w:val="20"/>
                      <w:szCs w:val="20"/>
                    </w:rPr>
                    <w:t xml:space="preserve"> “a </w:t>
                  </w:r>
                  <w:r>
                    <w:rPr>
                      <w:rFonts w:ascii="Avenir Next Condensed" w:eastAsia="Avenir Next Condensed" w:hAnsi="Avenir Next Condensed" w:cs="Avenir Next Condensed"/>
                      <w:spacing w:val="-3"/>
                      <w:sz w:val="20"/>
                      <w:szCs w:val="20"/>
                    </w:rPr>
                    <w:t>back-up</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supply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times”</w:t>
                  </w:r>
                  <w:r>
                    <w:rPr>
                      <w:rFonts w:ascii="Avenir Next Condensed" w:eastAsia="Avenir Next Condensed" w:hAnsi="Avenir Next Condensed" w:cs="Avenir Next Condensed"/>
                      <w:spacing w:val="48"/>
                      <w:sz w:val="20"/>
                      <w:szCs w:val="20"/>
                    </w:rPr>
                    <w:t xml:space="preserve"> </w:t>
                  </w:r>
                  <w:r>
                    <w:rPr>
                      <w:rFonts w:ascii="Avenir Next Condensed" w:eastAsia="Avenir Next Condensed" w:hAnsi="Avenir Next Condensed" w:cs="Avenir Next Condensed"/>
                      <w:spacing w:val="-2"/>
                      <w:sz w:val="20"/>
                      <w:szCs w:val="20"/>
                    </w:rPr>
                    <w:t>an</w:t>
                  </w:r>
                  <w:r>
                    <w:rPr>
                      <w:rFonts w:ascii="Avenir Next Condensed" w:eastAsia="Avenir Next Condensed" w:hAnsi="Avenir Next Condensed" w:cs="Avenir Next Condensed"/>
                      <w:sz w:val="20"/>
                      <w:szCs w:val="20"/>
                    </w:rPr>
                    <w:t>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w:t>
                  </w:r>
                  <w:r>
                    <w:rPr>
                      <w:rFonts w:ascii="Avenir Next Condensed" w:eastAsia="Avenir Next Condensed" w:hAnsi="Avenir Next Condensed" w:cs="Avenir Next Condensed"/>
                      <w:sz w:val="20"/>
                      <w:szCs w:val="20"/>
                    </w:rPr>
                    <w: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t>
                  </w:r>
                  <w:r>
                    <w:rPr>
                      <w:rFonts w:ascii="Avenir Next Condensed" w:eastAsia="Avenir Next Condensed" w:hAnsi="Avenir Next Condensed" w:cs="Avenir Next Condensed"/>
                      <w:spacing w:val="-5"/>
                      <w:sz w:val="20"/>
                      <w:szCs w:val="20"/>
                    </w:rPr>
                    <w:t>k</w:t>
                  </w:r>
                  <w:r>
                    <w:rPr>
                      <w:rFonts w:ascii="Avenir Next Condensed" w:eastAsia="Avenir Next Condensed" w:hAnsi="Avenir Next Condensed" w:cs="Avenir Next Condensed"/>
                      <w:spacing w:val="-2"/>
                      <w:sz w:val="20"/>
                      <w:szCs w:val="20"/>
                    </w:rPr>
                    <w:t>ee</w:t>
                  </w:r>
                  <w:r>
                    <w:rPr>
                      <w:rFonts w:ascii="Avenir Next Condensed" w:eastAsia="Avenir Next Condensed" w:hAnsi="Avenir Next Condensed" w:cs="Avenir Next Condensed"/>
                      <w:sz w:val="20"/>
                      <w:szCs w:val="20"/>
                    </w:rPr>
                    <w:t>p</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6"/>
                      <w:sz w:val="20"/>
                      <w:szCs w:val="20"/>
                    </w:rPr>
                    <w:t>C</w:t>
                  </w:r>
                  <w:r>
                    <w:rPr>
                      <w:rFonts w:ascii="Avenir Next Condensed" w:eastAsia="Avenir Next Condensed" w:hAnsi="Avenir Next Condensed" w:cs="Avenir Next Condensed"/>
                      <w:spacing w:val="-2"/>
                      <w:sz w:val="20"/>
                      <w:szCs w:val="20"/>
                    </w:rPr>
                    <w:t>anber</w:t>
                  </w:r>
                  <w:r>
                    <w:rPr>
                      <w:rFonts w:ascii="Avenir Next Condensed" w:eastAsia="Avenir Next Condensed" w:hAnsi="Avenir Next Condensed" w:cs="Avenir Next Condensed"/>
                      <w:spacing w:val="-4"/>
                      <w:sz w:val="20"/>
                      <w:szCs w:val="20"/>
                    </w:rPr>
                    <w:t>r</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ou</w:t>
                  </w:r>
                  <w:r>
                    <w:rPr>
                      <w:rFonts w:ascii="Avenir Next Condensed" w:eastAsia="Avenir Next Condensed" w:hAnsi="Avenir Next Condensed" w:cs="Avenir Next Condensed"/>
                      <w:sz w:val="20"/>
                      <w:szCs w:val="20"/>
                    </w:rPr>
                    <w:t>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w:t>
                  </w:r>
                  <w:r>
                    <w:rPr>
                      <w:rFonts w:ascii="Avenir Next Condensed" w:eastAsia="Avenir Next Condensed" w:hAnsi="Avenir Next Condensed" w:cs="Avenir Next Condensed"/>
                      <w:sz w:val="20"/>
                      <w:szCs w:val="20"/>
                    </w:rPr>
                    <w:t>f</w:t>
                  </w:r>
                  <w:r>
                    <w:rPr>
                      <w:rFonts w:ascii="Avenir Next Condensed" w:eastAsia="Avenir Next Condensed" w:hAnsi="Avenir Next Condensed" w:cs="Avenir Next Condensed"/>
                      <w:spacing w:val="1"/>
                      <w:sz w:val="20"/>
                      <w:szCs w:val="20"/>
                    </w:rPr>
                    <w:t xml:space="preserve"> </w:t>
                  </w:r>
                  <w:r>
                    <w:rPr>
                      <w:rFonts w:ascii="Avenir Next Condensed" w:eastAsia="Avenir Next Condensed" w:hAnsi="Avenir Next Condensed" w:cs="Avenir Next Condensed"/>
                      <w:spacing w:val="-2"/>
                      <w:sz w:val="20"/>
                      <w:szCs w:val="20"/>
                    </w:rPr>
                    <w:t>seve</w:t>
                  </w:r>
                  <w:r>
                    <w:rPr>
                      <w:rFonts w:ascii="Avenir Next Condensed" w:eastAsia="Avenir Next Condensed" w:hAnsi="Avenir Next Condensed" w:cs="Avenir Next Condensed"/>
                      <w:spacing w:val="-4"/>
                      <w:sz w:val="20"/>
                      <w:szCs w:val="20"/>
                    </w:rPr>
                    <w:t>r</w:t>
                  </w:r>
                  <w:r>
                    <w:rPr>
                      <w:rFonts w:ascii="Avenir Next Condensed" w:eastAsia="Avenir Next Condensed" w:hAnsi="Avenir Next Condensed" w:cs="Avenir Next Condensed"/>
                      <w:sz w:val="20"/>
                      <w:szCs w:val="20"/>
                    </w:rPr>
                    <w: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w:t>
                  </w:r>
                  <w:r>
                    <w:rPr>
                      <w:rFonts w:ascii="Avenir Next Condensed" w:eastAsia="Avenir Next Condensed" w:hAnsi="Avenir Next Condensed" w:cs="Avenir Next Condensed"/>
                      <w:sz w:val="20"/>
                      <w:szCs w:val="20"/>
                    </w:rPr>
                    <w:t>r</w:t>
                  </w:r>
                  <w:r>
                    <w:rPr>
                      <w:rFonts w:ascii="Avenir Next Condensed" w:eastAsia="Avenir Next Condensed" w:hAnsi="Avenir Next Condensed" w:cs="Avenir Next Condensed"/>
                      <w:spacing w:val="-4"/>
                      <w:sz w:val="20"/>
                      <w:szCs w:val="20"/>
                    </w:rPr>
                    <w:t xml:space="preserve"> r</w:t>
                  </w:r>
                  <w:r>
                    <w:rPr>
                      <w:rFonts w:ascii="Avenir Next Condensed" w:eastAsia="Avenir Next Condensed" w:hAnsi="Avenir Next Condensed" w:cs="Avenir Next Condensed"/>
                      <w:spacing w:val="-2"/>
                      <w:sz w:val="20"/>
                      <w:szCs w:val="20"/>
                    </w:rPr>
                    <w:t>estrictions</w:t>
                  </w:r>
                  <w:r>
                    <w:rPr>
                      <w:rFonts w:ascii="Avenir Next Condensed" w:eastAsia="Avenir Next Condensed" w:hAnsi="Avenir Next Condensed" w:cs="Avenir Next Condensed"/>
                      <w:spacing w:val="-26"/>
                      <w:sz w:val="20"/>
                      <w:szCs w:val="20"/>
                    </w:rPr>
                    <w:t>”</w:t>
                  </w:r>
                  <w:r>
                    <w:rPr>
                      <w:rFonts w:ascii="Avenir Next Condensed" w:eastAsia="Avenir Next Condensed" w:hAnsi="Avenir Next Condensed" w:cs="Avenir Next Condensed"/>
                      <w:spacing w:val="-2"/>
                      <w:sz w:val="20"/>
                      <w:szCs w:val="20"/>
                    </w:rPr>
                    <w:t>.</w:t>
                  </w:r>
                  <w:r>
                    <w:rPr>
                      <w:rFonts w:ascii="Avenir Next Condensed" w:eastAsia="Avenir Next Condensed" w:hAnsi="Avenir Next Condensed" w:cs="Avenir Next Condensed"/>
                      <w:spacing w:val="-2"/>
                      <w:position w:val="7"/>
                      <w:sz w:val="11"/>
                      <w:szCs w:val="11"/>
                    </w:rPr>
                    <w:t>8</w:t>
                  </w:r>
                  <w:r>
                    <w:rPr>
                      <w:rFonts w:ascii="Avenir Next Condensed" w:eastAsia="Avenir Next Condensed" w:hAnsi="Avenir Next Condensed" w:cs="Avenir Next Condensed"/>
                      <w:position w:val="7"/>
                      <w:sz w:val="11"/>
                      <w:szCs w:val="11"/>
                    </w:rPr>
                    <w:t>0</w:t>
                  </w:r>
                  <w:r>
                    <w:rPr>
                      <w:rFonts w:ascii="Avenir Next Condensed" w:eastAsia="Avenir Next Condensed" w:hAnsi="Avenir Next Condensed" w:cs="Avenir Next Condensed"/>
                      <w:spacing w:val="14"/>
                      <w:position w:val="7"/>
                      <w:sz w:val="11"/>
                      <w:szCs w:val="11"/>
                    </w:rPr>
                    <w:t xml:space="preserve"> </w:t>
                  </w:r>
                  <w:r>
                    <w:rPr>
                      <w:rFonts w:ascii="Avenir Next Condensed" w:eastAsia="Avenir Next Condensed" w:hAnsi="Avenir Next Condensed" w:cs="Avenir Next Condensed"/>
                      <w:spacing w:val="-2"/>
                      <w:sz w:val="20"/>
                      <w:szCs w:val="20"/>
                    </w:rPr>
                    <w:t>I</w:t>
                  </w:r>
                  <w:r>
                    <w:rPr>
                      <w:rFonts w:ascii="Avenir Next Condensed" w:eastAsia="Avenir Next Condensed" w:hAnsi="Avenir Next Condensed" w:cs="Avenir Next Condensed"/>
                      <w:sz w:val="20"/>
                      <w:szCs w:val="20"/>
                    </w:rPr>
                    <w:t>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short</w:t>
                  </w:r>
                  <w:r>
                    <w:rPr>
                      <w:rFonts w:ascii="Avenir Next Condensed" w:eastAsia="Avenir Next Condensed" w:hAnsi="Avenir Next Condensed" w:cs="Avenir Next Condensed"/>
                      <w:sz w:val="20"/>
                      <w:szCs w:val="20"/>
                    </w:rPr>
                    <w:t>,</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2"/>
                      <w:sz w:val="20"/>
                      <w:szCs w:val="20"/>
                    </w:rPr>
                    <w:t>thi</w:t>
                  </w:r>
                  <w:r>
                    <w:rPr>
                      <w:rFonts w:ascii="Avenir Next Condensed" w:eastAsia="Avenir Next Condensed" w:hAnsi="Avenir Next Condensed" w:cs="Avenir Next Condensed"/>
                      <w:sz w:val="20"/>
                      <w:szCs w:val="20"/>
                    </w:rPr>
                    <w: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w:t>
                  </w:r>
                  <w:r>
                    <w:rPr>
                      <w:rFonts w:ascii="Avenir Next Condensed" w:eastAsia="Avenir Next Condensed" w:hAnsi="Avenir Next Condensed" w:cs="Avenir Next Condensed"/>
                      <w:sz w:val="20"/>
                      <w:szCs w:val="20"/>
                    </w:rPr>
                    <w:t>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involve</w:t>
                  </w:r>
                  <w:r>
                    <w:rPr>
                      <w:rFonts w:ascii="Avenir Next Condensed" w:eastAsia="Avenir Next Condensed" w:hAnsi="Avenir Next Condensed" w:cs="Avenir Next Condensed"/>
                      <w:sz w:val="20"/>
                      <w:szCs w:val="20"/>
                    </w:rPr>
                    <w:t>s</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t</w:t>
                  </w:r>
                  <w:r>
                    <w:rPr>
                      <w:rFonts w:ascii="Avenir Next Condensed" w:eastAsia="Avenir Next Condensed" w:hAnsi="Avenir Next Condensed" w:cs="Avenir Next Condensed"/>
                      <w:spacing w:val="-4"/>
                      <w:sz w:val="20"/>
                      <w:szCs w:val="20"/>
                    </w:rPr>
                    <w:t>r</w:t>
                  </w:r>
                  <w:r>
                    <w:rPr>
                      <w:rFonts w:ascii="Avenir Next Condensed" w:eastAsia="Avenir Next Condensed" w:hAnsi="Avenir Next Condensed" w:cs="Avenir Next Condensed"/>
                      <w:spacing w:val="-2"/>
                      <w:sz w:val="20"/>
                      <w:szCs w:val="20"/>
                    </w:rPr>
                    <w:t>ansferrin</w:t>
                  </w:r>
                  <w:r>
                    <w:rPr>
                      <w:rFonts w:ascii="Avenir Next Condensed" w:eastAsia="Avenir Next Condensed" w:hAnsi="Avenir Next Condensed" w:cs="Avenir Next Condensed"/>
                      <w:sz w:val="20"/>
                      <w:szCs w:val="20"/>
                    </w:rPr>
                    <w:t>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w:t>
                  </w:r>
                  <w:r>
                    <w:rPr>
                      <w:rFonts w:ascii="Avenir Next Condensed" w:eastAsia="Avenir Next Condensed" w:hAnsi="Avenir Next Condensed" w:cs="Avenir Next Condensed"/>
                      <w:sz w:val="20"/>
                      <w:szCs w:val="20"/>
                    </w:rPr>
                    <w:t>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w:t>
                  </w:r>
                  <w:r>
                    <w:rPr>
                      <w:rFonts w:ascii="Avenir Next Condensed" w:eastAsia="Avenir Next Condensed" w:hAnsi="Avenir Next Condensed" w:cs="Avenir Next Condensed"/>
                      <w:sz w:val="20"/>
                      <w:szCs w:val="20"/>
                    </w:rPr>
                    <w:t>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4"/>
                      <w:sz w:val="20"/>
                      <w:szCs w:val="20"/>
                    </w:rPr>
                    <w:t>r</w:t>
                  </w:r>
                  <w:r>
                    <w:rPr>
                      <w:rFonts w:ascii="Avenir Next Condensed" w:eastAsia="Avenir Next Condensed" w:hAnsi="Avenir Next Condensed" w:cs="Avenir Next Condensed"/>
                      <w:spacing w:val="-2"/>
                      <w:sz w:val="20"/>
                      <w:szCs w:val="20"/>
                    </w:rPr>
                    <w:t>egulate</w:t>
                  </w:r>
                  <w:r>
                    <w:rPr>
                      <w:rFonts w:ascii="Avenir Next Condensed" w:eastAsia="Avenir Next Condensed" w:hAnsi="Avenir Next Condensed" w:cs="Avenir Next Condensed"/>
                      <w:sz w:val="20"/>
                      <w:szCs w:val="20"/>
                    </w:rPr>
                    <w:t>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Murrumbidgee River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2"/>
                      <w:sz w:val="20"/>
                      <w:szCs w:val="20"/>
                    </w:rPr>
                    <w:t>via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Snowy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Mountains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Scheme.</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2"/>
                      <w:sz w:val="20"/>
                      <w:szCs w:val="20"/>
                    </w:rPr>
                    <w:t>According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4"/>
                      <w:sz w:val="20"/>
                      <w:szCs w:val="20"/>
                    </w:rPr>
                    <w:t>ACTEW,</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p>
                <w:p w:rsidR="008A79D5" w:rsidRDefault="008A79D5">
                  <w:pPr>
                    <w:numPr>
                      <w:ilvl w:val="0"/>
                      <w:numId w:val="80"/>
                    </w:numPr>
                    <w:tabs>
                      <w:tab w:val="left" w:pos="397"/>
                    </w:tabs>
                    <w:spacing w:before="121"/>
                    <w:ind w:hanging="226"/>
                    <w:rPr>
                      <w:rFonts w:ascii="Avenir Next Condensed" w:eastAsia="Avenir Next Condensed" w:hAnsi="Avenir Next Condensed" w:cs="Avenir Next Condensed"/>
                      <w:sz w:val="20"/>
                      <w:szCs w:val="20"/>
                    </w:rPr>
                  </w:pPr>
                  <w:r>
                    <w:rPr>
                      <w:rFonts w:ascii="Avenir Next Condensed"/>
                      <w:spacing w:val="-2"/>
                      <w:sz w:val="20"/>
                    </w:rPr>
                    <w:t>NSW</w:t>
                  </w:r>
                  <w:r>
                    <w:rPr>
                      <w:rFonts w:ascii="Avenir Next Condensed"/>
                      <w:spacing w:val="-7"/>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entitlements</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purchased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Murrumbidgee</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River</w:t>
                  </w:r>
                  <w:r>
                    <w:rPr>
                      <w:rFonts w:ascii="Avenir Next Condensed"/>
                      <w:spacing w:val="-4"/>
                      <w:sz w:val="20"/>
                    </w:rPr>
                    <w:t xml:space="preserve"> </w:t>
                  </w:r>
                  <w:r>
                    <w:rPr>
                      <w:rFonts w:ascii="Avenir Next Condensed"/>
                      <w:spacing w:val="-2"/>
                      <w:sz w:val="20"/>
                    </w:rPr>
                    <w:t>licence</w:t>
                  </w:r>
                  <w:r>
                    <w:rPr>
                      <w:rFonts w:ascii="Avenir Next Condensed"/>
                      <w:spacing w:val="-4"/>
                      <w:sz w:val="20"/>
                    </w:rPr>
                    <w:t xml:space="preserve"> </w:t>
                  </w:r>
                  <w:r>
                    <w:rPr>
                      <w:rFonts w:ascii="Avenir Next Condensed"/>
                      <w:spacing w:val="-2"/>
                      <w:sz w:val="20"/>
                    </w:rPr>
                    <w:t>holders</w:t>
                  </w:r>
                  <w:r>
                    <w:rPr>
                      <w:rFonts w:ascii="Avenir Next Condensed"/>
                      <w:spacing w:val="-4"/>
                      <w:sz w:val="20"/>
                    </w:rPr>
                    <w:t xml:space="preserve"> </w:t>
                  </w:r>
                  <w:r>
                    <w:rPr>
                      <w:rFonts w:ascii="Avenir Next Condensed"/>
                      <w:spacing w:val="-3"/>
                      <w:sz w:val="20"/>
                    </w:rPr>
                    <w:t>downstream</w:t>
                  </w:r>
                  <w:r>
                    <w:rPr>
                      <w:rFonts w:ascii="Avenir Next Condensed"/>
                      <w:spacing w:val="-4"/>
                      <w:sz w:val="20"/>
                    </w:rPr>
                    <w:t xml:space="preserve"> </w:t>
                  </w:r>
                  <w:r>
                    <w:rPr>
                      <w:rFonts w:ascii="Avenir Next Condensed"/>
                      <w:spacing w:val="-1"/>
                      <w:sz w:val="20"/>
                    </w:rPr>
                    <w:t>of</w:t>
                  </w:r>
                  <w:r>
                    <w:rPr>
                      <w:rFonts w:ascii="Avenir Next Condensed"/>
                      <w:spacing w:val="-3"/>
                      <w:sz w:val="20"/>
                    </w:rPr>
                    <w:t xml:space="preserve"> </w:t>
                  </w:r>
                  <w:r>
                    <w:rPr>
                      <w:rFonts w:ascii="Avenir Next Condensed"/>
                      <w:spacing w:val="-5"/>
                      <w:sz w:val="20"/>
                    </w:rPr>
                    <w:t>ACT.</w:t>
                  </w:r>
                </w:p>
                <w:p w:rsidR="008A79D5" w:rsidRDefault="008A79D5">
                  <w:pPr>
                    <w:numPr>
                      <w:ilvl w:val="0"/>
                      <w:numId w:val="80"/>
                    </w:numPr>
                    <w:tabs>
                      <w:tab w:val="left" w:pos="397"/>
                    </w:tabs>
                    <w:spacing w:before="35" w:line="260" w:lineRule="exact"/>
                    <w:ind w:right="402" w:hanging="226"/>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2"/>
                      <w:sz w:val="20"/>
                    </w:rPr>
                    <w:t>long-term,</w:t>
                  </w:r>
                  <w:r>
                    <w:rPr>
                      <w:rFonts w:ascii="Avenir Next Condensed"/>
                      <w:spacing w:val="-10"/>
                      <w:sz w:val="20"/>
                    </w:rPr>
                    <w:t xml:space="preserve"> </w:t>
                  </w:r>
                  <w:r>
                    <w:rPr>
                      <w:rFonts w:ascii="Avenir Next Condensed"/>
                      <w:spacing w:val="-2"/>
                      <w:sz w:val="20"/>
                    </w:rPr>
                    <w:t>secure</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1"/>
                      <w:sz w:val="20"/>
                    </w:rPr>
                    <w:t>fl</w:t>
                  </w:r>
                  <w:r>
                    <w:rPr>
                      <w:rFonts w:ascii="Avenir Next Condensed"/>
                      <w:sz w:val="20"/>
                    </w:rPr>
                    <w:t>e</w:t>
                  </w:r>
                  <w:r>
                    <w:rPr>
                      <w:rFonts w:ascii="Avenir Next Condensed"/>
                      <w:spacing w:val="-2"/>
                      <w:sz w:val="20"/>
                    </w:rPr>
                    <w:t>xible</w:t>
                  </w:r>
                  <w:r>
                    <w:rPr>
                      <w:rFonts w:ascii="Avenir Next Condensed"/>
                      <w:spacing w:val="-4"/>
                      <w:sz w:val="20"/>
                    </w:rPr>
                    <w:t xml:space="preserve"> </w:t>
                  </w:r>
                  <w:r>
                    <w:rPr>
                      <w:rFonts w:ascii="Avenir Next Condensed"/>
                      <w:spacing w:val="-2"/>
                      <w:sz w:val="20"/>
                    </w:rPr>
                    <w:t>commercial</w:t>
                  </w:r>
                  <w:r>
                    <w:rPr>
                      <w:rFonts w:ascii="Avenir Next Condensed"/>
                      <w:spacing w:val="-4"/>
                      <w:sz w:val="20"/>
                    </w:rPr>
                    <w:t xml:space="preserve"> </w:t>
                  </w:r>
                  <w:r>
                    <w:rPr>
                      <w:rFonts w:ascii="Avenir Next Condensed"/>
                      <w:spacing w:val="-2"/>
                      <w:sz w:val="20"/>
                    </w:rPr>
                    <w:t>agreement</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entered</w:t>
                  </w:r>
                  <w:r>
                    <w:rPr>
                      <w:rFonts w:ascii="Avenir Next Condensed"/>
                      <w:spacing w:val="-4"/>
                      <w:sz w:val="20"/>
                    </w:rPr>
                    <w:t xml:space="preserve"> </w:t>
                  </w:r>
                  <w:r>
                    <w:rPr>
                      <w:rFonts w:ascii="Avenir Next Condensed"/>
                      <w:spacing w:val="-2"/>
                      <w:sz w:val="20"/>
                    </w:rPr>
                    <w:t>into</w:t>
                  </w:r>
                  <w:r>
                    <w:rPr>
                      <w:rFonts w:ascii="Avenir Next Condensed"/>
                      <w:spacing w:val="-4"/>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Snowy</w:t>
                  </w:r>
                  <w:r>
                    <w:rPr>
                      <w:rFonts w:ascii="Avenir Next Condensed"/>
                      <w:spacing w:val="-4"/>
                      <w:sz w:val="20"/>
                    </w:rPr>
                    <w:t xml:space="preserve"> </w:t>
                  </w:r>
                  <w:r>
                    <w:rPr>
                      <w:rFonts w:ascii="Avenir Next Condensed"/>
                      <w:spacing w:val="-2"/>
                      <w:sz w:val="20"/>
                    </w:rPr>
                    <w:t>Hydro</w:t>
                  </w:r>
                  <w:r>
                    <w:rPr>
                      <w:rFonts w:ascii="Avenir Next Condensed"/>
                      <w:spacing w:val="-4"/>
                      <w:sz w:val="20"/>
                    </w:rPr>
                    <w:t xml:space="preserve"> </w:t>
                  </w:r>
                  <w:r>
                    <w:rPr>
                      <w:rFonts w:ascii="Avenir Next Condensed"/>
                      <w:spacing w:val="-2"/>
                      <w:sz w:val="20"/>
                    </w:rPr>
                    <w:t>Limited</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release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water</w:t>
                  </w:r>
                  <w:r>
                    <w:rPr>
                      <w:rFonts w:ascii="Avenir Next Condensed"/>
                      <w:spacing w:val="52"/>
                      <w:sz w:val="20"/>
                    </w:rPr>
                    <w:t xml:space="preserve"> </w:t>
                  </w:r>
                  <w:r>
                    <w:rPr>
                      <w:rFonts w:ascii="Avenir Next Condensed"/>
                      <w:spacing w:val="-2"/>
                      <w:sz w:val="20"/>
                    </w:rPr>
                    <w:t>from</w:t>
                  </w:r>
                  <w:r>
                    <w:rPr>
                      <w:rFonts w:ascii="Avenir Next Condensed"/>
                      <w:spacing w:val="-9"/>
                      <w:sz w:val="20"/>
                    </w:rPr>
                    <w:t xml:space="preserve"> </w:t>
                  </w:r>
                  <w:r>
                    <w:rPr>
                      <w:rFonts w:ascii="Avenir Next Condensed"/>
                      <w:spacing w:val="-3"/>
                      <w:sz w:val="20"/>
                    </w:rPr>
                    <w:t>Tantangara</w:t>
                  </w:r>
                  <w:r>
                    <w:rPr>
                      <w:rFonts w:ascii="Avenir Next Condensed"/>
                      <w:spacing w:val="-4"/>
                      <w:sz w:val="20"/>
                    </w:rPr>
                    <w:t xml:space="preserve"> </w:t>
                  </w:r>
                  <w:r>
                    <w:rPr>
                      <w:rFonts w:ascii="Avenir Next Condensed"/>
                      <w:spacing w:val="-3"/>
                      <w:sz w:val="20"/>
                    </w:rPr>
                    <w:t>Reservoir.</w:t>
                  </w:r>
                </w:p>
                <w:p w:rsidR="008A79D5" w:rsidRDefault="008A79D5">
                  <w:pPr>
                    <w:numPr>
                      <w:ilvl w:val="0"/>
                      <w:numId w:val="80"/>
                    </w:numPr>
                    <w:tabs>
                      <w:tab w:val="left" w:pos="397"/>
                    </w:tabs>
                    <w:spacing w:before="56" w:line="260" w:lineRule="exact"/>
                    <w:ind w:right="379" w:hanging="226"/>
                    <w:rPr>
                      <w:rFonts w:ascii="Avenir Next Condensed" w:eastAsia="Avenir Next Condensed" w:hAnsi="Avenir Next Condensed" w:cs="Avenir Next Condensed"/>
                      <w:sz w:val="20"/>
                      <w:szCs w:val="20"/>
                    </w:rPr>
                  </w:pPr>
                  <w:r>
                    <w:rPr>
                      <w:rFonts w:ascii="Avenir Next Condensed"/>
                      <w:spacing w:val="-2"/>
                      <w:sz w:val="20"/>
                    </w:rPr>
                    <w:t>Interstate</w:t>
                  </w:r>
                  <w:r>
                    <w:rPr>
                      <w:rFonts w:ascii="Avenir Next Condensed"/>
                      <w:spacing w:val="-4"/>
                      <w:sz w:val="20"/>
                    </w:rPr>
                    <w:t xml:space="preserve"> </w:t>
                  </w:r>
                  <w:r>
                    <w:rPr>
                      <w:rFonts w:ascii="Avenir Next Condensed"/>
                      <w:spacing w:val="-2"/>
                      <w:sz w:val="20"/>
                    </w:rPr>
                    <w:t>trading</w:t>
                  </w:r>
                  <w:r>
                    <w:rPr>
                      <w:rFonts w:ascii="Avenir Next Condensed"/>
                      <w:spacing w:val="-4"/>
                      <w:sz w:val="20"/>
                    </w:rPr>
                    <w:t xml:space="preserve"> </w:t>
                  </w:r>
                  <w:r>
                    <w:rPr>
                      <w:rFonts w:ascii="Avenir Next Condensed"/>
                      <w:spacing w:val="-2"/>
                      <w:sz w:val="20"/>
                    </w:rPr>
                    <w:t>arrangements</w:t>
                  </w:r>
                  <w:r>
                    <w:rPr>
                      <w:rFonts w:ascii="Avenir Next Condensed"/>
                      <w:spacing w:val="-4"/>
                      <w:sz w:val="20"/>
                    </w:rPr>
                    <w:t xml:space="preserve"> </w:t>
                  </w:r>
                  <w:r>
                    <w:rPr>
                      <w:rFonts w:ascii="Avenir Next Condensed"/>
                      <w:spacing w:val="-2"/>
                      <w:sz w:val="20"/>
                    </w:rPr>
                    <w:t>between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NSW</w:t>
                  </w:r>
                  <w:r>
                    <w:rPr>
                      <w:rFonts w:ascii="Avenir Next Condensed"/>
                      <w:spacing w:val="-7"/>
                      <w:sz w:val="20"/>
                    </w:rPr>
                    <w:t xml:space="preserve"> </w:t>
                  </w:r>
                  <w:r>
                    <w:rPr>
                      <w:rFonts w:ascii="Avenir Next Condensed"/>
                      <w:spacing w:val="-2"/>
                      <w:sz w:val="20"/>
                    </w:rPr>
                    <w:t>and</w:t>
                  </w:r>
                  <w:r>
                    <w:rPr>
                      <w:rFonts w:ascii="Avenir Next Condensed"/>
                      <w:spacing w:val="-8"/>
                      <w:sz w:val="20"/>
                    </w:rPr>
                    <w:t xml:space="preserve"> </w:t>
                  </w:r>
                  <w:r>
                    <w:rPr>
                      <w:rFonts w:ascii="Avenir Next Condensed"/>
                      <w:spacing w:val="-3"/>
                      <w:sz w:val="20"/>
                    </w:rPr>
                    <w:t>ACT</w:t>
                  </w:r>
                  <w:r>
                    <w:rPr>
                      <w:rFonts w:ascii="Avenir Next Condensed"/>
                      <w:spacing w:val="-9"/>
                      <w:sz w:val="20"/>
                    </w:rPr>
                    <w:t xml:space="preserve"> </w:t>
                  </w:r>
                  <w:r>
                    <w:rPr>
                      <w:rFonts w:ascii="Avenir Next Condensed"/>
                      <w:spacing w:val="-2"/>
                      <w:sz w:val="20"/>
                    </w:rPr>
                    <w:t>Governments</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established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allow</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transfer</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3"/>
                      <w:sz w:val="20"/>
                    </w:rPr>
                    <w:t>from</w:t>
                  </w:r>
                  <w:r>
                    <w:rPr>
                      <w:rFonts w:ascii="Avenir Next Condensed"/>
                      <w:spacing w:val="50"/>
                      <w:sz w:val="20"/>
                    </w:rPr>
                    <w:t xml:space="preserve"> </w:t>
                  </w:r>
                  <w:r>
                    <w:rPr>
                      <w:rFonts w:ascii="Avenir Next Condensed"/>
                      <w:spacing w:val="-2"/>
                      <w:sz w:val="20"/>
                    </w:rPr>
                    <w:t>NSW</w:t>
                  </w:r>
                  <w:r>
                    <w:rPr>
                      <w:rFonts w:ascii="Avenir Next Condensed"/>
                      <w:spacing w:val="-7"/>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3"/>
                      <w:sz w:val="20"/>
                    </w:rPr>
                    <w:t>ACT</w:t>
                  </w:r>
                  <w:r>
                    <w:rPr>
                      <w:rFonts w:ascii="Avenir Next Condensed"/>
                      <w:spacing w:val="-9"/>
                      <w:sz w:val="20"/>
                    </w:rPr>
                    <w:t xml:space="preserve"> </w:t>
                  </w:r>
                  <w:r>
                    <w:rPr>
                      <w:rFonts w:ascii="Avenir Next Condensed"/>
                      <w:spacing w:val="-2"/>
                      <w:sz w:val="20"/>
                    </w:rPr>
                    <w:t>via</w:t>
                  </w:r>
                  <w:r>
                    <w:rPr>
                      <w:rFonts w:ascii="Avenir Next Condensed"/>
                      <w:spacing w:val="-4"/>
                      <w:sz w:val="20"/>
                    </w:rPr>
                    <w:t xml:space="preserve"> </w:t>
                  </w:r>
                  <w:r>
                    <w:rPr>
                      <w:rFonts w:ascii="Avenir Next Condensed"/>
                      <w:spacing w:val="-2"/>
                      <w:sz w:val="20"/>
                    </w:rPr>
                    <w:t>the</w:t>
                  </w:r>
                  <w:r>
                    <w:rPr>
                      <w:rFonts w:ascii="Avenir Next Condensed"/>
                      <w:spacing w:val="-9"/>
                      <w:sz w:val="20"/>
                    </w:rPr>
                    <w:t xml:space="preserve"> </w:t>
                  </w:r>
                  <w:r>
                    <w:rPr>
                      <w:rFonts w:ascii="Avenir Next Condensed"/>
                      <w:spacing w:val="-3"/>
                      <w:sz w:val="20"/>
                    </w:rPr>
                    <w:t>Tantangara</w:t>
                  </w:r>
                  <w:r>
                    <w:rPr>
                      <w:rFonts w:ascii="Avenir Next Condensed"/>
                      <w:spacing w:val="-4"/>
                      <w:sz w:val="20"/>
                    </w:rPr>
                    <w:t xml:space="preserve"> </w:t>
                  </w:r>
                  <w:r>
                    <w:rPr>
                      <w:rFonts w:ascii="Avenir Next Condensed"/>
                      <w:spacing w:val="-2"/>
                      <w:sz w:val="20"/>
                    </w:rPr>
                    <w:t>Reservoir</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2"/>
                      <w:sz w:val="20"/>
                    </w:rPr>
                    <w:t>transfers</w:t>
                  </w:r>
                  <w:r>
                    <w:rPr>
                      <w:rFonts w:ascii="Avenir Next Condensed"/>
                      <w:spacing w:val="-4"/>
                      <w:sz w:val="20"/>
                    </w:rPr>
                    <w:t xml:space="preserve"> </w:t>
                  </w:r>
                  <w:r>
                    <w:rPr>
                      <w:rFonts w:ascii="Avenir Next Condensed"/>
                      <w:spacing w:val="-1"/>
                      <w:sz w:val="20"/>
                    </w:rPr>
                    <w:t>if</w:t>
                  </w:r>
                  <w:r>
                    <w:rPr>
                      <w:rFonts w:ascii="Avenir Next Condensed"/>
                      <w:sz w:val="20"/>
                    </w:rPr>
                    <w:t xml:space="preserve"> </w:t>
                  </w:r>
                  <w:r>
                    <w:rPr>
                      <w:rFonts w:ascii="Avenir Next Condensed"/>
                      <w:spacing w:val="-2"/>
                      <w:sz w:val="20"/>
                    </w:rPr>
                    <w:t>unused.</w:t>
                  </w:r>
                </w:p>
                <w:p w:rsidR="008A79D5" w:rsidRDefault="008A79D5">
                  <w:pPr>
                    <w:numPr>
                      <w:ilvl w:val="0"/>
                      <w:numId w:val="80"/>
                    </w:numPr>
                    <w:tabs>
                      <w:tab w:val="left" w:pos="397"/>
                    </w:tabs>
                    <w:spacing w:before="64"/>
                    <w:ind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delivered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3"/>
                      <w:sz w:val="20"/>
                    </w:rPr>
                    <w:t>ACT</w:t>
                  </w:r>
                  <w:r>
                    <w:rPr>
                      <w:rFonts w:ascii="Avenir Next Condensed"/>
                      <w:spacing w:val="-9"/>
                      <w:sz w:val="20"/>
                    </w:rPr>
                    <w:t xml:space="preserve"> </w:t>
                  </w:r>
                  <w:r>
                    <w:rPr>
                      <w:rFonts w:ascii="Avenir Next Condensed"/>
                      <w:spacing w:val="-2"/>
                      <w:sz w:val="20"/>
                    </w:rPr>
                    <w:t>via</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unregulated</w:t>
                  </w:r>
                  <w:r>
                    <w:rPr>
                      <w:rFonts w:ascii="Avenir Next Condensed"/>
                      <w:spacing w:val="-4"/>
                      <w:sz w:val="20"/>
                    </w:rPr>
                    <w:t xml:space="preserve"> </w:t>
                  </w:r>
                  <w:r>
                    <w:rPr>
                      <w:rFonts w:ascii="Avenir Next Condensed"/>
                      <w:spacing w:val="-2"/>
                      <w:sz w:val="20"/>
                    </w:rPr>
                    <w:t>Murrumbidgee</w:t>
                  </w:r>
                  <w:r>
                    <w:rPr>
                      <w:rFonts w:ascii="Avenir Next Condensed"/>
                      <w:spacing w:val="-4"/>
                      <w:sz w:val="20"/>
                    </w:rPr>
                    <w:t xml:space="preserve"> </w:t>
                  </w:r>
                  <w:r>
                    <w:rPr>
                      <w:rFonts w:ascii="Avenir Next Condensed"/>
                      <w:spacing w:val="-3"/>
                      <w:sz w:val="20"/>
                    </w:rPr>
                    <w:t>River.</w:t>
                  </w:r>
                </w:p>
                <w:p w:rsidR="008A79D5" w:rsidRDefault="008A79D5">
                  <w:pPr>
                    <w:numPr>
                      <w:ilvl w:val="0"/>
                      <w:numId w:val="80"/>
                    </w:numPr>
                    <w:tabs>
                      <w:tab w:val="left" w:pos="397"/>
                    </w:tabs>
                    <w:spacing w:before="35" w:line="260" w:lineRule="exact"/>
                    <w:ind w:right="436"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must</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3"/>
                      <w:sz w:val="20"/>
                    </w:rPr>
                    <w:t>extracted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Murrumbidgee</w:t>
                  </w:r>
                  <w:r>
                    <w:rPr>
                      <w:rFonts w:ascii="Avenir Next Condensed"/>
                      <w:spacing w:val="-4"/>
                      <w:sz w:val="20"/>
                    </w:rPr>
                    <w:t xml:space="preserve"> </w:t>
                  </w:r>
                  <w:r>
                    <w:rPr>
                      <w:rFonts w:ascii="Avenir Next Condensed"/>
                      <w:spacing w:val="-2"/>
                      <w:sz w:val="20"/>
                    </w:rPr>
                    <w:t>River</w:t>
                  </w:r>
                  <w:r>
                    <w:rPr>
                      <w:rFonts w:ascii="Avenir Next Condensed"/>
                      <w:spacing w:val="-4"/>
                      <w:sz w:val="20"/>
                    </w:rPr>
                    <w:t xml:space="preserve"> </w:t>
                  </w:r>
                  <w:r>
                    <w:rPr>
                      <w:rFonts w:ascii="Avenir Next Condensed"/>
                      <w:spacing w:val="-2"/>
                      <w:sz w:val="20"/>
                    </w:rPr>
                    <w:t>via</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Murrumbidgee</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Googong</w:t>
                  </w:r>
                  <w:r>
                    <w:rPr>
                      <w:rFonts w:ascii="Avenir Next Condensed"/>
                      <w:spacing w:val="-7"/>
                      <w:sz w:val="20"/>
                    </w:rPr>
                    <w:t xml:space="preserve"> </w:t>
                  </w:r>
                  <w:r>
                    <w:rPr>
                      <w:rFonts w:ascii="Avenir Next Condensed"/>
                      <w:spacing w:val="-3"/>
                      <w:sz w:val="20"/>
                    </w:rPr>
                    <w:t>Water</w:t>
                  </w:r>
                  <w:r>
                    <w:rPr>
                      <w:rFonts w:ascii="Avenir Next Condensed"/>
                      <w:spacing w:val="-9"/>
                      <w:sz w:val="20"/>
                    </w:rPr>
                    <w:t xml:space="preserve"> </w:t>
                  </w:r>
                  <w:r>
                    <w:rPr>
                      <w:rFonts w:ascii="Avenir Next Condensed"/>
                      <w:spacing w:val="-3"/>
                      <w:sz w:val="20"/>
                    </w:rPr>
                    <w:t>Transfer</w:t>
                  </w:r>
                  <w:r>
                    <w:rPr>
                      <w:rFonts w:ascii="Avenir Next Condensed"/>
                      <w:spacing w:val="-4"/>
                      <w:sz w:val="20"/>
                    </w:rPr>
                    <w:t xml:space="preserve"> </w:t>
                  </w:r>
                  <w:r>
                    <w:rPr>
                      <w:rFonts w:ascii="Avenir Next Condensed"/>
                      <w:spacing w:val="-2"/>
                      <w:sz w:val="20"/>
                    </w:rPr>
                    <w:t>pipeline</w:t>
                  </w:r>
                  <w:r>
                    <w:rPr>
                      <w:rFonts w:ascii="Avenir Next Condensed"/>
                      <w:spacing w:val="-4"/>
                      <w:sz w:val="20"/>
                    </w:rPr>
                    <w:t xml:space="preserve"> </w:t>
                  </w:r>
                  <w:r>
                    <w:rPr>
                      <w:rFonts w:ascii="Avenir Next Condensed"/>
                      <w:spacing w:val="-1"/>
                      <w:sz w:val="20"/>
                    </w:rPr>
                    <w:t>at</w:t>
                  </w:r>
                  <w:r>
                    <w:rPr>
                      <w:rFonts w:ascii="Avenir Next Condensed"/>
                      <w:spacing w:val="-8"/>
                      <w:sz w:val="20"/>
                    </w:rPr>
                    <w:t xml:space="preserve"> </w:t>
                  </w:r>
                  <w:r>
                    <w:rPr>
                      <w:rFonts w:ascii="Avenir Next Condensed"/>
                      <w:spacing w:val="-2"/>
                      <w:sz w:val="20"/>
                    </w:rPr>
                    <w:t>Angle</w:t>
                  </w:r>
                  <w:r>
                    <w:rPr>
                      <w:rFonts w:ascii="Avenir Next Condensed"/>
                      <w:spacing w:val="62"/>
                      <w:sz w:val="20"/>
                    </w:rPr>
                    <w:t xml:space="preserve"> </w:t>
                  </w:r>
                  <w:r>
                    <w:rPr>
                      <w:rFonts w:ascii="Avenir Next Condensed"/>
                      <w:spacing w:val="-3"/>
                      <w:sz w:val="20"/>
                    </w:rPr>
                    <w:t>crossing.</w:t>
                  </w:r>
                </w:p>
                <w:p w:rsidR="008A79D5" w:rsidRDefault="008A79D5" w:rsidP="00B45286">
                  <w:pPr>
                    <w:numPr>
                      <w:ilvl w:val="0"/>
                      <w:numId w:val="80"/>
                    </w:numPr>
                    <w:tabs>
                      <w:tab w:val="left" w:pos="397"/>
                    </w:tabs>
                    <w:spacing w:before="64" w:line="278" w:lineRule="auto"/>
                    <w:ind w:left="170" w:right="2608" w:firstLine="0"/>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can</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stored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Googong</w:t>
                  </w:r>
                  <w:r>
                    <w:rPr>
                      <w:rFonts w:ascii="Avenir Next Condensed"/>
                      <w:spacing w:val="-4"/>
                      <w:sz w:val="20"/>
                    </w:rPr>
                    <w:t xml:space="preserve"> </w:t>
                  </w:r>
                  <w:r>
                    <w:rPr>
                      <w:rFonts w:ascii="Avenir Next Condensed"/>
                      <w:spacing w:val="-2"/>
                      <w:sz w:val="20"/>
                    </w:rPr>
                    <w:t>Dam</w:t>
                  </w:r>
                  <w:r>
                    <w:rPr>
                      <w:rFonts w:ascii="Avenir Next Condensed"/>
                      <w:spacing w:val="-4"/>
                      <w:sz w:val="20"/>
                    </w:rPr>
                    <w:t xml:space="preserve"> </w:t>
                  </w:r>
                  <w:r>
                    <w:rPr>
                      <w:rFonts w:ascii="Avenir Next Condensed"/>
                      <w:spacing w:val="-2"/>
                      <w:sz w:val="20"/>
                    </w:rPr>
                    <w:t>until</w:t>
                  </w:r>
                  <w:r>
                    <w:rPr>
                      <w:rFonts w:ascii="Avenir Next Condensed"/>
                      <w:spacing w:val="-4"/>
                      <w:sz w:val="20"/>
                    </w:rPr>
                    <w:t xml:space="preserve"> </w:t>
                  </w:r>
                  <w:r>
                    <w:rPr>
                      <w:rFonts w:ascii="Avenir Next Condensed"/>
                      <w:spacing w:val="-2"/>
                      <w:sz w:val="20"/>
                    </w:rPr>
                    <w:t xml:space="preserve">used. </w:t>
                  </w:r>
                  <w:r>
                    <w:rPr>
                      <w:rFonts w:ascii="Avenir Next Condensed"/>
                      <w:spacing w:val="1"/>
                      <w:sz w:val="20"/>
                    </w:rPr>
                    <w:t xml:space="preserve">                              </w:t>
                  </w:r>
                  <w:r>
                    <w:rPr>
                      <w:rFonts w:ascii="Avenir Next Condensed"/>
                      <w:spacing w:val="-3"/>
                      <w:sz w:val="20"/>
                    </w:rPr>
                    <w:t>Water</w:t>
                  </w:r>
                  <w:r>
                    <w:rPr>
                      <w:rFonts w:ascii="Avenir Next Condensed"/>
                      <w:spacing w:val="-4"/>
                      <w:sz w:val="20"/>
                    </w:rPr>
                    <w:t xml:space="preserve"> </w:t>
                  </w:r>
                  <w:r>
                    <w:rPr>
                      <w:rFonts w:ascii="Avenir Next Condensed"/>
                      <w:spacing w:val="-2"/>
                      <w:sz w:val="20"/>
                    </w:rPr>
                    <w:t>allocations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particular</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2"/>
                      <w:sz w:val="20"/>
                    </w:rPr>
                    <w:t>can</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sold</w:t>
                  </w:r>
                  <w:r>
                    <w:rPr>
                      <w:rFonts w:ascii="Avenir Next Condensed"/>
                      <w:spacing w:val="-4"/>
                      <w:sz w:val="20"/>
                    </w:rPr>
                    <w:t xml:space="preserve"> </w:t>
                  </w:r>
                  <w:r>
                    <w:rPr>
                      <w:rFonts w:ascii="Avenir Next Condensed"/>
                      <w:spacing w:val="-2"/>
                      <w:sz w:val="20"/>
                    </w:rPr>
                    <w:t>back</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NSW</w:t>
                  </w:r>
                  <w:r>
                    <w:rPr>
                      <w:rFonts w:ascii="Avenir Next Condensed"/>
                      <w:spacing w:val="-7"/>
                      <w:sz w:val="20"/>
                    </w:rPr>
                    <w:t xml:space="preserve"> </w:t>
                  </w:r>
                  <w:r>
                    <w:rPr>
                      <w:rFonts w:ascii="Avenir Next Condensed"/>
                      <w:spacing w:val="-1"/>
                      <w:sz w:val="20"/>
                    </w:rPr>
                    <w:t>if</w:t>
                  </w:r>
                  <w:r>
                    <w:rPr>
                      <w:rFonts w:ascii="Avenir Next Condensed"/>
                      <w:sz w:val="20"/>
                    </w:rPr>
                    <w:t xml:space="preserve"> </w:t>
                  </w:r>
                  <w:r>
                    <w:rPr>
                      <w:rFonts w:ascii="Avenir Next Condensed"/>
                      <w:spacing w:val="-2"/>
                      <w:sz w:val="20"/>
                    </w:rPr>
                    <w:t>they</w:t>
                  </w:r>
                  <w:r>
                    <w:rPr>
                      <w:rFonts w:ascii="Avenir Next Condensed"/>
                      <w:spacing w:val="-4"/>
                      <w:sz w:val="20"/>
                    </w:rPr>
                    <w:t xml:space="preserve"> </w:t>
                  </w:r>
                  <w:r>
                    <w:rPr>
                      <w:rFonts w:ascii="Avenir Next Condensed"/>
                      <w:spacing w:val="-2"/>
                      <w:sz w:val="20"/>
                    </w:rPr>
                    <w:t>are</w:t>
                  </w:r>
                  <w:r>
                    <w:rPr>
                      <w:rFonts w:ascii="Avenir Next Condensed"/>
                      <w:spacing w:val="-4"/>
                      <w:sz w:val="20"/>
                    </w:rPr>
                    <w:t xml:space="preserve"> </w:t>
                  </w:r>
                  <w:r>
                    <w:rPr>
                      <w:rFonts w:ascii="Avenir Next Condensed"/>
                      <w:spacing w:val="-2"/>
                      <w:sz w:val="20"/>
                    </w:rPr>
                    <w:t>not</w:t>
                  </w:r>
                  <w:r>
                    <w:rPr>
                      <w:rFonts w:ascii="Avenir Next Condensed"/>
                      <w:spacing w:val="-4"/>
                      <w:sz w:val="20"/>
                    </w:rPr>
                    <w:t xml:space="preserve"> </w:t>
                  </w:r>
                  <w:r>
                    <w:rPr>
                      <w:rFonts w:ascii="Avenir Next Condensed"/>
                      <w:spacing w:val="-2"/>
                      <w:sz w:val="20"/>
                    </w:rPr>
                    <w:t>used.</w:t>
                  </w:r>
                </w:p>
              </w:txbxContent>
            </v:textbox>
          </v:shape>
        </w:pict>
      </w:r>
    </w:p>
    <w:p w:rsidR="00D96B91" w:rsidRDefault="00D96B91">
      <w:pPr>
        <w:spacing w:before="4"/>
        <w:rPr>
          <w:rFonts w:ascii="Avenir Next" w:eastAsia="Avenir Next" w:hAnsi="Avenir Next" w:cs="Avenir Next"/>
          <w:b/>
          <w:bCs/>
          <w:sz w:val="19"/>
          <w:szCs w:val="19"/>
        </w:rPr>
      </w:pPr>
    </w:p>
    <w:p w:rsidR="00D96B91" w:rsidRDefault="00C2656B">
      <w:pPr>
        <w:pStyle w:val="BodyText"/>
        <w:spacing w:before="38" w:line="260" w:lineRule="exact"/>
        <w:ind w:right="1314"/>
      </w:pPr>
      <w:r>
        <w:rPr>
          <w:spacing w:val="-2"/>
        </w:rPr>
        <w:t>The</w:t>
      </w:r>
      <w:r>
        <w:rPr>
          <w:spacing w:val="-1"/>
        </w:rPr>
        <w:t xml:space="preserve"> </w:t>
      </w:r>
      <w:r>
        <w:t>primary benefit</w:t>
      </w:r>
      <w:r>
        <w:rPr>
          <w:spacing w:val="-1"/>
        </w:rPr>
        <w:t xml:space="preserve"> </w:t>
      </w:r>
      <w:r>
        <w:t>of</w:t>
      </w:r>
      <w:r>
        <w:rPr>
          <w:spacing w:val="4"/>
        </w:rPr>
        <w:t xml:space="preserve"> </w:t>
      </w:r>
      <w:r>
        <w:t>these</w:t>
      </w:r>
      <w:r>
        <w:rPr>
          <w:spacing w:val="-1"/>
        </w:rPr>
        <w:t xml:space="preserve"> water</w:t>
      </w:r>
      <w:r>
        <w:t xml:space="preserve"> security</w:t>
      </w:r>
      <w:r>
        <w:rPr>
          <w:spacing w:val="-1"/>
        </w:rPr>
        <w:t xml:space="preserve"> projects</w:t>
      </w:r>
      <w:r>
        <w:t xml:space="preserve"> to customers</w:t>
      </w:r>
      <w:r>
        <w:rPr>
          <w:spacing w:val="-1"/>
        </w:rPr>
        <w:t xml:space="preserve"> </w:t>
      </w:r>
      <w:r>
        <w:t>in this</w:t>
      </w:r>
      <w:r>
        <w:rPr>
          <w:spacing w:val="-1"/>
        </w:rPr>
        <w:t xml:space="preserve"> regulatory</w:t>
      </w:r>
      <w:r>
        <w:t xml:space="preserve"> period</w:t>
      </w:r>
      <w:r>
        <w:rPr>
          <w:spacing w:val="-1"/>
        </w:rPr>
        <w:t xml:space="preserve"> </w:t>
      </w:r>
      <w:r>
        <w:t>is the</w:t>
      </w:r>
      <w:r>
        <w:rPr>
          <w:spacing w:val="27"/>
        </w:rPr>
        <w:t xml:space="preserve"> </w:t>
      </w:r>
      <w:r>
        <w:rPr>
          <w:spacing w:val="-1"/>
        </w:rPr>
        <w:t>reduced</w:t>
      </w:r>
      <w:r>
        <w:t xml:space="preserve"> risk of</w:t>
      </w:r>
      <w:r>
        <w:rPr>
          <w:spacing w:val="4"/>
        </w:rPr>
        <w:t xml:space="preserve"> </w:t>
      </w:r>
      <w:r>
        <w:rPr>
          <w:spacing w:val="-1"/>
        </w:rPr>
        <w:t>water</w:t>
      </w:r>
      <w:r>
        <w:t xml:space="preserve"> </w:t>
      </w:r>
      <w:r>
        <w:rPr>
          <w:spacing w:val="-1"/>
        </w:rPr>
        <w:t>restrictions</w:t>
      </w:r>
      <w:r>
        <w:t xml:space="preserve"> being applied in the period (ie,</w:t>
      </w:r>
      <w:r>
        <w:rPr>
          <w:spacing w:val="-7"/>
        </w:rPr>
        <w:t xml:space="preserve"> </w:t>
      </w:r>
      <w:r>
        <w:rPr>
          <w:spacing w:val="-1"/>
        </w:rPr>
        <w:t>increased</w:t>
      </w:r>
      <w:r>
        <w:t xml:space="preserve"> </w:t>
      </w:r>
      <w:r>
        <w:rPr>
          <w:spacing w:val="-1"/>
        </w:rPr>
        <w:t>water</w:t>
      </w:r>
      <w:r>
        <w:t xml:space="preserve"> security).</w:t>
      </w:r>
      <w:r>
        <w:rPr>
          <w:spacing w:val="-6"/>
        </w:rPr>
        <w:t xml:space="preserve"> </w:t>
      </w:r>
      <w:r>
        <w:rPr>
          <w:spacing w:val="-2"/>
        </w:rPr>
        <w:t>However,</w:t>
      </w:r>
      <w:r>
        <w:rPr>
          <w:spacing w:val="-6"/>
        </w:rPr>
        <w:t xml:space="preserve"> </w:t>
      </w:r>
      <w:r>
        <w:t>as</w:t>
      </w:r>
      <w:r>
        <w:rPr>
          <w:spacing w:val="53"/>
        </w:rPr>
        <w:t xml:space="preserve"> </w:t>
      </w:r>
      <w:r>
        <w:t>the</w:t>
      </w:r>
      <w:r>
        <w:rPr>
          <w:spacing w:val="-1"/>
        </w:rPr>
        <w:t xml:space="preserve"> population</w:t>
      </w:r>
      <w:r>
        <w:t xml:space="preserve"> of</w:t>
      </w:r>
      <w:r>
        <w:rPr>
          <w:spacing w:val="3"/>
        </w:rPr>
        <w:t xml:space="preserve"> </w:t>
      </w:r>
      <w:r>
        <w:t>the</w:t>
      </w:r>
      <w:r>
        <w:rPr>
          <w:spacing w:val="-4"/>
        </w:rPr>
        <w:t xml:space="preserve"> </w:t>
      </w:r>
      <w:r>
        <w:rPr>
          <w:spacing w:val="-2"/>
        </w:rPr>
        <w:t>ACT</w:t>
      </w:r>
      <w:r>
        <w:rPr>
          <w:spacing w:val="-6"/>
        </w:rPr>
        <w:t xml:space="preserve"> </w:t>
      </w:r>
      <w:r>
        <w:rPr>
          <w:spacing w:val="-1"/>
        </w:rPr>
        <w:t>expands,</w:t>
      </w:r>
      <w:r>
        <w:rPr>
          <w:spacing w:val="-6"/>
        </w:rPr>
        <w:t xml:space="preserve"> </w:t>
      </w:r>
      <w:r>
        <w:t>customers</w:t>
      </w:r>
      <w:r>
        <w:rPr>
          <w:spacing w:val="-1"/>
        </w:rPr>
        <w:t xml:space="preserve"> </w:t>
      </w:r>
      <w:r>
        <w:t xml:space="preserve">in </w:t>
      </w:r>
      <w:r>
        <w:rPr>
          <w:spacing w:val="-1"/>
        </w:rPr>
        <w:t>future regulatory</w:t>
      </w:r>
      <w:r>
        <w:t xml:space="preserve"> periods</w:t>
      </w:r>
      <w:r>
        <w:rPr>
          <w:spacing w:val="-1"/>
        </w:rPr>
        <w:t xml:space="preserve"> </w:t>
      </w:r>
      <w:r>
        <w:t>will derive</w:t>
      </w:r>
      <w:r>
        <w:rPr>
          <w:spacing w:val="-1"/>
        </w:rPr>
        <w:t xml:space="preserve"> </w:t>
      </w:r>
      <w:r>
        <w:t xml:space="preserve">benefits </w:t>
      </w:r>
      <w:r>
        <w:rPr>
          <w:spacing w:val="-1"/>
        </w:rPr>
        <w:t xml:space="preserve">from </w:t>
      </w:r>
      <w:r>
        <w:t>the</w:t>
      </w:r>
      <w:r>
        <w:rPr>
          <w:spacing w:val="41"/>
        </w:rPr>
        <w:t xml:space="preserve"> </w:t>
      </w:r>
      <w:r>
        <w:t xml:space="preserve">additional supply capacity the ECD and M2G </w:t>
      </w:r>
      <w:r>
        <w:rPr>
          <w:spacing w:val="-1"/>
        </w:rPr>
        <w:t>provide.</w:t>
      </w:r>
    </w:p>
    <w:p w:rsidR="00D96B91" w:rsidRDefault="00C2656B">
      <w:pPr>
        <w:pStyle w:val="BodyText"/>
        <w:spacing w:before="170" w:line="260" w:lineRule="exact"/>
        <w:ind w:right="1283"/>
      </w:pPr>
      <w:r>
        <w:t xml:space="preserve">Based on the </w:t>
      </w:r>
      <w:r>
        <w:rPr>
          <w:spacing w:val="-1"/>
        </w:rPr>
        <w:t>information</w:t>
      </w:r>
      <w:r>
        <w:t xml:space="preserve"> </w:t>
      </w:r>
      <w:r>
        <w:rPr>
          <w:spacing w:val="-1"/>
        </w:rPr>
        <w:t>before</w:t>
      </w:r>
      <w:r>
        <w:t xml:space="preserve"> it,</w:t>
      </w:r>
      <w:r>
        <w:rPr>
          <w:spacing w:val="-6"/>
        </w:rPr>
        <w:t xml:space="preserve"> </w:t>
      </w:r>
      <w:r>
        <w:t xml:space="preserve">the </w:t>
      </w:r>
      <w:r>
        <w:rPr>
          <w:spacing w:val="-3"/>
        </w:rPr>
        <w:t>Panel</w:t>
      </w:r>
      <w:r>
        <w:t xml:space="preserve"> has not been able to determine </w:t>
      </w:r>
      <w:r>
        <w:rPr>
          <w:spacing w:val="-1"/>
        </w:rPr>
        <w:t>precisely</w:t>
      </w:r>
      <w:r>
        <w:t xml:space="preserve"> how much value</w:t>
      </w:r>
      <w:r>
        <w:rPr>
          <w:spacing w:val="35"/>
        </w:rPr>
        <w:t xml:space="preserve"> </w:t>
      </w:r>
      <w:r>
        <w:t xml:space="preserve">customers in </w:t>
      </w:r>
      <w:r>
        <w:rPr>
          <w:spacing w:val="-1"/>
        </w:rPr>
        <w:t>different</w:t>
      </w:r>
      <w:r>
        <w:t xml:space="preserve"> </w:t>
      </w:r>
      <w:r>
        <w:rPr>
          <w:spacing w:val="-1"/>
        </w:rPr>
        <w:t>regulatory</w:t>
      </w:r>
      <w:r>
        <w:t xml:space="preserve"> periods will derive </w:t>
      </w:r>
      <w:r>
        <w:rPr>
          <w:spacing w:val="-1"/>
        </w:rPr>
        <w:t>from</w:t>
      </w:r>
      <w:r>
        <w:t xml:space="preserve"> these </w:t>
      </w:r>
      <w:r>
        <w:rPr>
          <w:spacing w:val="-1"/>
        </w:rPr>
        <w:t>projects.</w:t>
      </w:r>
      <w:r>
        <w:rPr>
          <w:spacing w:val="-6"/>
        </w:rPr>
        <w:t xml:space="preserve"> </w:t>
      </w:r>
      <w:r>
        <w:rPr>
          <w:spacing w:val="-2"/>
        </w:rPr>
        <w:t>However,</w:t>
      </w:r>
      <w:r>
        <w:rPr>
          <w:spacing w:val="-6"/>
        </w:rPr>
        <w:t xml:space="preserve"> </w:t>
      </w:r>
      <w:r>
        <w:t xml:space="preserve">the </w:t>
      </w:r>
      <w:r>
        <w:rPr>
          <w:spacing w:val="-3"/>
        </w:rPr>
        <w:t>Panel</w:t>
      </w:r>
      <w:r>
        <w:t xml:space="preserve"> notes: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
        <w:rPr>
          <w:rFonts w:ascii="Avenir Next" w:eastAsia="Avenir Next" w:hAnsi="Avenir Next" w:cs="Avenir Next"/>
          <w:sz w:val="21"/>
          <w:szCs w:val="21"/>
        </w:rPr>
      </w:pPr>
    </w:p>
    <w:tbl>
      <w:tblPr>
        <w:tblW w:w="0" w:type="auto"/>
        <w:tblInd w:w="1247" w:type="dxa"/>
        <w:tblLayout w:type="fixed"/>
        <w:tblCellMar>
          <w:left w:w="0" w:type="dxa"/>
          <w:right w:w="0" w:type="dxa"/>
        </w:tblCellMar>
        <w:tblLook w:val="01E0"/>
      </w:tblPr>
      <w:tblGrid>
        <w:gridCol w:w="348"/>
        <w:gridCol w:w="6365"/>
      </w:tblGrid>
      <w:tr w:rsidR="00D96B91">
        <w:trPr>
          <w:trHeight w:hRule="exact" w:val="355"/>
        </w:trPr>
        <w:tc>
          <w:tcPr>
            <w:tcW w:w="348" w:type="dxa"/>
            <w:tcBorders>
              <w:top w:val="single" w:sz="4" w:space="0" w:color="000000"/>
              <w:left w:val="nil"/>
              <w:bottom w:val="nil"/>
              <w:right w:val="nil"/>
            </w:tcBorders>
          </w:tcPr>
          <w:p w:rsidR="00D96B91" w:rsidRDefault="00C2656B">
            <w:pPr>
              <w:pStyle w:val="TableParagraph"/>
              <w:spacing w:before="61"/>
              <w:rPr>
                <w:rFonts w:ascii="Avenir Next" w:eastAsia="Avenir Next" w:hAnsi="Avenir Next" w:cs="Avenir Next"/>
                <w:sz w:val="16"/>
                <w:szCs w:val="16"/>
              </w:rPr>
            </w:pPr>
            <w:r>
              <w:rPr>
                <w:rFonts w:ascii="Avenir Next"/>
                <w:sz w:val="16"/>
              </w:rPr>
              <w:t>77</w:t>
            </w:r>
          </w:p>
        </w:tc>
        <w:tc>
          <w:tcPr>
            <w:tcW w:w="6365" w:type="dxa"/>
            <w:tcBorders>
              <w:top w:val="nil"/>
              <w:left w:val="nil"/>
              <w:bottom w:val="nil"/>
              <w:right w:val="nil"/>
            </w:tcBorders>
          </w:tcPr>
          <w:p w:rsidR="00D96B91" w:rsidRDefault="00C2656B">
            <w:pPr>
              <w:pStyle w:val="TableParagraph"/>
              <w:spacing w:before="66"/>
              <w:ind w:left="162"/>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2"/>
                <w:sz w:val="16"/>
              </w:rPr>
              <w:t>Price</w:t>
            </w:r>
            <w:r>
              <w:rPr>
                <w:rFonts w:ascii="Avenir Next"/>
                <w:sz w:val="16"/>
              </w:rPr>
              <w:t xml:space="preserve"> </w:t>
            </w:r>
            <w:r>
              <w:rPr>
                <w:rFonts w:ascii="Avenir Next"/>
                <w:spacing w:val="-1"/>
                <w:sz w:val="16"/>
              </w:rPr>
              <w:t>Direction</w:t>
            </w:r>
            <w:r>
              <w:rPr>
                <w:rFonts w:ascii="Avenir Next"/>
                <w:spacing w:val="-3"/>
                <w:sz w:val="16"/>
              </w:rPr>
              <w:t xml:space="preserve"> </w:t>
            </w:r>
            <w:r>
              <w:rPr>
                <w:rFonts w:ascii="Avenir Next"/>
                <w:spacing w:val="-1"/>
                <w:sz w:val="16"/>
              </w:rPr>
              <w:t>Attachment</w:t>
            </w:r>
            <w:r>
              <w:rPr>
                <w:rFonts w:ascii="Avenir Next"/>
                <w:sz w:val="16"/>
              </w:rPr>
              <w:t xml:space="preserve"> 2: </w:t>
            </w:r>
            <w:r>
              <w:rPr>
                <w:rFonts w:ascii="Avenir Next"/>
                <w:spacing w:val="-2"/>
                <w:sz w:val="16"/>
              </w:rPr>
              <w:t>Pricing</w:t>
            </w:r>
            <w:r>
              <w:rPr>
                <w:rFonts w:ascii="Avenir Next"/>
                <w:sz w:val="16"/>
              </w:rPr>
              <w:t xml:space="preserve"> Model.</w:t>
            </w:r>
          </w:p>
        </w:tc>
      </w:tr>
      <w:tr w:rsidR="00D96B91">
        <w:trPr>
          <w:trHeight w:hRule="exact" w:val="34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78</w:t>
            </w:r>
          </w:p>
        </w:tc>
        <w:tc>
          <w:tcPr>
            <w:tcW w:w="6365"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z w:val="16"/>
              </w:rPr>
              <w:t>ibid</w:t>
            </w:r>
          </w:p>
        </w:tc>
      </w:tr>
      <w:tr w:rsidR="00D96B91">
        <w:trPr>
          <w:trHeight w:hRule="exact" w:val="34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79</w:t>
            </w:r>
          </w:p>
        </w:tc>
        <w:tc>
          <w:tcPr>
            <w:tcW w:w="6365"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Draft</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5"/>
                <w:sz w:val="16"/>
              </w:rPr>
              <w:t xml:space="preserve"> </w:t>
            </w:r>
            <w:r>
              <w:rPr>
                <w:rFonts w:ascii="Avenir Next"/>
                <w:spacing w:val="-1"/>
                <w:sz w:val="16"/>
              </w:rPr>
              <w:t>February</w:t>
            </w:r>
            <w:r>
              <w:rPr>
                <w:rFonts w:ascii="Avenir Next"/>
                <w:sz w:val="16"/>
              </w:rPr>
              <w:t xml:space="preserv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29.</w:t>
            </w:r>
          </w:p>
        </w:tc>
      </w:tr>
      <w:tr w:rsidR="00D96B91">
        <w:trPr>
          <w:trHeight w:hRule="exact" w:val="310"/>
        </w:trPr>
        <w:tc>
          <w:tcPr>
            <w:tcW w:w="348" w:type="dxa"/>
            <w:tcBorders>
              <w:top w:val="nil"/>
              <w:left w:val="nil"/>
              <w:bottom w:val="nil"/>
              <w:right w:val="nil"/>
            </w:tcBorders>
          </w:tcPr>
          <w:p w:rsidR="00D96B91" w:rsidRDefault="00C2656B">
            <w:pPr>
              <w:pStyle w:val="TableParagraph"/>
              <w:spacing w:before="47"/>
              <w:rPr>
                <w:rFonts w:ascii="Avenir Next" w:eastAsia="Avenir Next" w:hAnsi="Avenir Next" w:cs="Avenir Next"/>
                <w:sz w:val="16"/>
                <w:szCs w:val="16"/>
              </w:rPr>
            </w:pPr>
            <w:r>
              <w:rPr>
                <w:rFonts w:ascii="Avenir Next"/>
                <w:sz w:val="16"/>
              </w:rPr>
              <w:t>80</w:t>
            </w:r>
          </w:p>
        </w:tc>
        <w:tc>
          <w:tcPr>
            <w:tcW w:w="6365" w:type="dxa"/>
            <w:tcBorders>
              <w:top w:val="nil"/>
              <w:left w:val="nil"/>
              <w:bottom w:val="nil"/>
              <w:right w:val="nil"/>
            </w:tcBorders>
          </w:tcPr>
          <w:p w:rsidR="00D96B91" w:rsidRDefault="00C2656B">
            <w:pPr>
              <w:pStyle w:val="TableParagraph"/>
              <w:spacing w:before="47"/>
              <w:ind w:left="162"/>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z w:val="16"/>
              </w:rPr>
              <w:t>Main submission to the ICRC,</w:t>
            </w:r>
            <w:r>
              <w:rPr>
                <w:rFonts w:ascii="Avenir Next"/>
                <w:spacing w:val="-7"/>
                <w:sz w:val="16"/>
              </w:rPr>
              <w:t xml:space="preserve"> </w:t>
            </w:r>
            <w:r>
              <w:rPr>
                <w:rFonts w:ascii="Avenir Next"/>
                <w:sz w:val="16"/>
              </w:rPr>
              <w:t>July 2012,</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107.</w:t>
            </w:r>
          </w:p>
        </w:tc>
      </w:tr>
    </w:tbl>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341" w:hanging="283"/>
        <w:rPr>
          <w:sz w:val="11"/>
          <w:szCs w:val="11"/>
        </w:rPr>
      </w:pPr>
      <w:bookmarkStart w:id="92" w:name="8._3_ICRC’s_treatment_of_water_security_"/>
      <w:bookmarkStart w:id="93" w:name="_bookmark53"/>
      <w:bookmarkEnd w:id="92"/>
      <w:bookmarkEnd w:id="93"/>
      <w:r>
        <w:t>Initial</w:t>
      </w:r>
      <w:r>
        <w:rPr>
          <w:spacing w:val="-1"/>
        </w:rPr>
        <w:t xml:space="preserve"> estimates</w:t>
      </w:r>
      <w:r>
        <w:t xml:space="preserve"> of</w:t>
      </w:r>
      <w:r>
        <w:rPr>
          <w:spacing w:val="4"/>
        </w:rPr>
        <w:t xml:space="preserve"> </w:t>
      </w:r>
      <w:r>
        <w:t xml:space="preserve">the customer benefits </w:t>
      </w:r>
      <w:r>
        <w:rPr>
          <w:spacing w:val="-1"/>
        </w:rPr>
        <w:t>associated</w:t>
      </w:r>
      <w:r>
        <w:t xml:space="preserve"> with the ECD and M2G</w:t>
      </w:r>
      <w:r>
        <w:rPr>
          <w:position w:val="7"/>
          <w:sz w:val="11"/>
        </w:rPr>
        <w:t>81</w:t>
      </w:r>
      <w:r>
        <w:rPr>
          <w:spacing w:val="22"/>
          <w:position w:val="7"/>
          <w:sz w:val="11"/>
        </w:rPr>
        <w:t xml:space="preserve"> </w:t>
      </w:r>
      <w:r>
        <w:t>developed by</w:t>
      </w:r>
      <w:r>
        <w:rPr>
          <w:spacing w:val="-4"/>
        </w:rPr>
        <w:t xml:space="preserve"> </w:t>
      </w:r>
      <w:r>
        <w:rPr>
          <w:spacing w:val="-2"/>
        </w:rPr>
        <w:t>ACTEW</w:t>
      </w:r>
      <w:r>
        <w:rPr>
          <w:spacing w:val="37"/>
        </w:rPr>
        <w:t xml:space="preserve"> </w:t>
      </w:r>
      <w:r>
        <w:t>and the</w:t>
      </w:r>
      <w:r>
        <w:rPr>
          <w:spacing w:val="1"/>
        </w:rPr>
        <w:t xml:space="preserve"> </w:t>
      </w:r>
      <w:r>
        <w:rPr>
          <w:spacing w:val="-2"/>
        </w:rPr>
        <w:t>Centre</w:t>
      </w:r>
      <w:r>
        <w:t xml:space="preserve"> for</w:t>
      </w:r>
      <w:r>
        <w:rPr>
          <w:spacing w:val="1"/>
        </w:rPr>
        <w:t xml:space="preserve"> </w:t>
      </w:r>
      <w:r>
        <w:rPr>
          <w:spacing w:val="-1"/>
        </w:rPr>
        <w:t>International</w:t>
      </w:r>
      <w:r>
        <w:rPr>
          <w:spacing w:val="1"/>
        </w:rPr>
        <w:t xml:space="preserve"> </w:t>
      </w:r>
      <w:r>
        <w:t>Economics (CIE)</w:t>
      </w:r>
      <w:r>
        <w:rPr>
          <w:spacing w:val="1"/>
        </w:rPr>
        <w:t xml:space="preserve"> </w:t>
      </w:r>
      <w:r>
        <w:t>in</w:t>
      </w:r>
      <w:r>
        <w:rPr>
          <w:spacing w:val="1"/>
        </w:rPr>
        <w:t xml:space="preserve"> </w:t>
      </w:r>
      <w:r>
        <w:t>2009 suggested</w:t>
      </w:r>
      <w:r>
        <w:rPr>
          <w:spacing w:val="1"/>
        </w:rPr>
        <w:t xml:space="preserve"> </w:t>
      </w:r>
      <w:r>
        <w:rPr>
          <w:spacing w:val="-1"/>
        </w:rPr>
        <w:t>that:</w:t>
      </w:r>
      <w:r>
        <w:rPr>
          <w:spacing w:val="-1"/>
          <w:position w:val="7"/>
          <w:sz w:val="11"/>
        </w:rPr>
        <w:t>82</w:t>
      </w:r>
    </w:p>
    <w:p w:rsidR="00D96B91" w:rsidRDefault="00C2656B">
      <w:pPr>
        <w:pStyle w:val="BodyText"/>
        <w:numPr>
          <w:ilvl w:val="1"/>
          <w:numId w:val="131"/>
        </w:numPr>
        <w:tabs>
          <w:tab w:val="left" w:pos="1815"/>
        </w:tabs>
        <w:spacing w:before="93"/>
      </w:pPr>
      <w:r>
        <w:t>only</w:t>
      </w:r>
      <w:r>
        <w:rPr>
          <w:spacing w:val="-1"/>
        </w:rPr>
        <w:t xml:space="preserve"> </w:t>
      </w:r>
      <w:r>
        <w:t>6%</w:t>
      </w:r>
      <w:r>
        <w:rPr>
          <w:spacing w:val="-1"/>
        </w:rPr>
        <w:t xml:space="preserve"> </w:t>
      </w:r>
      <w:r>
        <w:t>of</w:t>
      </w:r>
      <w:r>
        <w:rPr>
          <w:spacing w:val="4"/>
        </w:rPr>
        <w:t xml:space="preserve"> </w:t>
      </w:r>
      <w:r>
        <w:t>the</w:t>
      </w:r>
      <w:r>
        <w:rPr>
          <w:spacing w:val="-1"/>
        </w:rPr>
        <w:t xml:space="preserve"> </w:t>
      </w:r>
      <w:r>
        <w:t>benefits would</w:t>
      </w:r>
      <w:r>
        <w:rPr>
          <w:spacing w:val="-1"/>
        </w:rPr>
        <w:t xml:space="preserve"> </w:t>
      </w:r>
      <w:r>
        <w:t>be derived</w:t>
      </w:r>
      <w:r>
        <w:rPr>
          <w:spacing w:val="-1"/>
        </w:rPr>
        <w:t xml:space="preserve"> </w:t>
      </w:r>
      <w:r>
        <w:t>by customers</w:t>
      </w:r>
      <w:r>
        <w:rPr>
          <w:spacing w:val="-1"/>
        </w:rPr>
        <w:t xml:space="preserve"> </w:t>
      </w:r>
      <w:r>
        <w:t>in this</w:t>
      </w:r>
      <w:r>
        <w:rPr>
          <w:spacing w:val="-1"/>
        </w:rPr>
        <w:t xml:space="preserve"> regulatory</w:t>
      </w:r>
      <w:r>
        <w:t xml:space="preserve"> period,</w:t>
      </w:r>
      <w:r>
        <w:rPr>
          <w:spacing w:val="-7"/>
        </w:rPr>
        <w:t xml:space="preserve"> </w:t>
      </w:r>
      <w:r>
        <w:t>and</w:t>
      </w:r>
    </w:p>
    <w:p w:rsidR="00D96B91" w:rsidRDefault="00C2656B">
      <w:pPr>
        <w:pStyle w:val="BodyText"/>
        <w:numPr>
          <w:ilvl w:val="1"/>
          <w:numId w:val="131"/>
        </w:numPr>
        <w:tabs>
          <w:tab w:val="left" w:pos="1815"/>
        </w:tabs>
        <w:spacing w:before="64" w:line="260" w:lineRule="exact"/>
        <w:ind w:right="1458"/>
      </w:pPr>
      <w:r>
        <w:t>91%</w:t>
      </w:r>
      <w:r>
        <w:rPr>
          <w:spacing w:val="-1"/>
        </w:rPr>
        <w:t xml:space="preserve"> </w:t>
      </w:r>
      <w:r>
        <w:t>of</w:t>
      </w:r>
      <w:r>
        <w:rPr>
          <w:spacing w:val="4"/>
        </w:rPr>
        <w:t xml:space="preserve"> </w:t>
      </w:r>
      <w:r>
        <w:t>the</w:t>
      </w:r>
      <w:r>
        <w:rPr>
          <w:spacing w:val="-1"/>
        </w:rPr>
        <w:t xml:space="preserve"> </w:t>
      </w:r>
      <w:r>
        <w:t>benefits would</w:t>
      </w:r>
      <w:r>
        <w:rPr>
          <w:spacing w:val="-1"/>
        </w:rPr>
        <w:t xml:space="preserve"> </w:t>
      </w:r>
      <w:r>
        <w:t>be derived</w:t>
      </w:r>
      <w:r>
        <w:rPr>
          <w:spacing w:val="-1"/>
        </w:rPr>
        <w:t xml:space="preserve"> </w:t>
      </w:r>
      <w:r>
        <w:t>by customers</w:t>
      </w:r>
      <w:r>
        <w:rPr>
          <w:spacing w:val="-1"/>
        </w:rPr>
        <w:t xml:space="preserve"> after</w:t>
      </w:r>
      <w:r>
        <w:t xml:space="preserve"> 2025,</w:t>
      </w:r>
      <w:r>
        <w:rPr>
          <w:spacing w:val="-7"/>
        </w:rPr>
        <w:t xml:space="preserve"> </w:t>
      </w:r>
      <w:r>
        <w:t>which is</w:t>
      </w:r>
      <w:r>
        <w:rPr>
          <w:spacing w:val="-1"/>
        </w:rPr>
        <w:t xml:space="preserve"> </w:t>
      </w:r>
      <w:r>
        <w:t>when an</w:t>
      </w:r>
      <w:r>
        <w:rPr>
          <w:spacing w:val="-1"/>
        </w:rPr>
        <w:t xml:space="preserve"> augmentation</w:t>
      </w:r>
      <w:r>
        <w:rPr>
          <w:spacing w:val="25"/>
        </w:rPr>
        <w:t xml:space="preserve"> </w:t>
      </w:r>
      <w:r>
        <w:t>to</w:t>
      </w:r>
      <w:r>
        <w:rPr>
          <w:spacing w:val="-4"/>
        </w:rPr>
        <w:t xml:space="preserve"> </w:t>
      </w:r>
      <w:r>
        <w:rPr>
          <w:spacing w:val="-2"/>
        </w:rPr>
        <w:t>ACTEW’s</w:t>
      </w:r>
      <w:r>
        <w:t xml:space="preserve"> supply capacity was </w:t>
      </w:r>
      <w:r>
        <w:rPr>
          <w:spacing w:val="-1"/>
        </w:rPr>
        <w:t>expected</w:t>
      </w:r>
      <w:r>
        <w:t xml:space="preserve"> to be </w:t>
      </w:r>
      <w:r>
        <w:rPr>
          <w:spacing w:val="-1"/>
        </w:rPr>
        <w:t>required.</w:t>
      </w:r>
    </w:p>
    <w:p w:rsidR="00D96B91" w:rsidRDefault="00C2656B">
      <w:pPr>
        <w:pStyle w:val="BodyText"/>
        <w:numPr>
          <w:ilvl w:val="0"/>
          <w:numId w:val="131"/>
        </w:numPr>
        <w:tabs>
          <w:tab w:val="left" w:pos="1531"/>
        </w:tabs>
        <w:spacing w:before="85" w:line="260" w:lineRule="exact"/>
        <w:ind w:right="1280" w:hanging="283"/>
      </w:pPr>
      <w:r>
        <w:rPr>
          <w:spacing w:val="-1"/>
        </w:rPr>
        <w:t>Estimates</w:t>
      </w:r>
      <w:r>
        <w:t xml:space="preserve"> developed by </w:t>
      </w:r>
      <w:r>
        <w:rPr>
          <w:spacing w:val="-2"/>
        </w:rPr>
        <w:t>Cardno</w:t>
      </w:r>
      <w:r>
        <w:t xml:space="preserve"> for this </w:t>
      </w:r>
      <w:r>
        <w:rPr>
          <w:spacing w:val="-1"/>
        </w:rPr>
        <w:t>review</w:t>
      </w:r>
      <w:r>
        <w:t xml:space="preserve"> of</w:t>
      </w:r>
      <w:r>
        <w:rPr>
          <w:spacing w:val="4"/>
        </w:rPr>
        <w:t xml:space="preserve"> </w:t>
      </w:r>
      <w:r>
        <w:t>the costs of</w:t>
      </w:r>
      <w:r>
        <w:rPr>
          <w:spacing w:val="4"/>
        </w:rPr>
        <w:t xml:space="preserve"> </w:t>
      </w:r>
      <w:r>
        <w:t xml:space="preserve">achieving the </w:t>
      </w:r>
      <w:r>
        <w:rPr>
          <w:spacing w:val="-1"/>
        </w:rPr>
        <w:t>mandated</w:t>
      </w:r>
      <w:r>
        <w:t xml:space="preserve"> level of</w:t>
      </w:r>
      <w:r>
        <w:rPr>
          <w:spacing w:val="4"/>
        </w:rPr>
        <w:t xml:space="preserve"> </w:t>
      </w:r>
      <w:r>
        <w:rPr>
          <w:spacing w:val="-1"/>
        </w:rPr>
        <w:t>water</w:t>
      </w:r>
      <w:r>
        <w:rPr>
          <w:spacing w:val="45"/>
        </w:rPr>
        <w:t xml:space="preserve"> </w:t>
      </w:r>
      <w:r>
        <w:t xml:space="preserve">security in the 2013 period using an </w:t>
      </w:r>
      <w:r>
        <w:rPr>
          <w:spacing w:val="-1"/>
        </w:rPr>
        <w:t>alternative</w:t>
      </w:r>
      <w:r>
        <w:t xml:space="preserve"> </w:t>
      </w:r>
      <w:r>
        <w:rPr>
          <w:spacing w:val="-1"/>
        </w:rPr>
        <w:t>source</w:t>
      </w:r>
      <w:r>
        <w:t xml:space="preserve"> of</w:t>
      </w:r>
      <w:r>
        <w:rPr>
          <w:spacing w:val="4"/>
        </w:rPr>
        <w:t xml:space="preserve"> </w:t>
      </w:r>
      <w:r>
        <w:rPr>
          <w:spacing w:val="-1"/>
        </w:rPr>
        <w:t>short-term</w:t>
      </w:r>
      <w:r>
        <w:t xml:space="preserve"> </w:t>
      </w:r>
      <w:r>
        <w:rPr>
          <w:spacing w:val="-1"/>
        </w:rPr>
        <w:t>water</w:t>
      </w:r>
      <w:r>
        <w:t xml:space="preserve"> </w:t>
      </w:r>
      <w:r>
        <w:rPr>
          <w:spacing w:val="-1"/>
        </w:rPr>
        <w:t>security,</w:t>
      </w:r>
      <w:r>
        <w:rPr>
          <w:spacing w:val="-6"/>
        </w:rPr>
        <w:t xml:space="preserve"> </w:t>
      </w:r>
      <w:r>
        <w:t xml:space="preserve">suggest </w:t>
      </w:r>
      <w:r>
        <w:rPr>
          <w:spacing w:val="-1"/>
        </w:rPr>
        <w:t>that</w:t>
      </w:r>
      <w:r>
        <w:rPr>
          <w:spacing w:val="47"/>
        </w:rPr>
        <w:t xml:space="preserve"> </w:t>
      </w:r>
      <w:r>
        <w:rPr>
          <w:spacing w:val="-1"/>
        </w:rPr>
        <w:t>approximately</w:t>
      </w:r>
      <w:r>
        <w:t xml:space="preserve"> 70% of</w:t>
      </w:r>
      <w:r>
        <w:rPr>
          <w:spacing w:val="4"/>
        </w:rPr>
        <w:t xml:space="preserve"> </w:t>
      </w:r>
      <w:r>
        <w:t xml:space="preserve">the annual ECD and M2G capital costs can be </w:t>
      </w:r>
      <w:r>
        <w:rPr>
          <w:spacing w:val="-1"/>
        </w:rPr>
        <w:t>attributed</w:t>
      </w:r>
      <w:r>
        <w:t xml:space="preserve"> to customers in this</w:t>
      </w:r>
      <w:r>
        <w:rPr>
          <w:spacing w:val="30"/>
        </w:rPr>
        <w:t xml:space="preserve"> </w:t>
      </w:r>
      <w:r>
        <w:rPr>
          <w:spacing w:val="-1"/>
        </w:rPr>
        <w:t>regulatory</w:t>
      </w:r>
      <w:r>
        <w:t xml:space="preserve"> period (see section 8.5.1 for </w:t>
      </w:r>
      <w:r>
        <w:rPr>
          <w:spacing w:val="-1"/>
        </w:rPr>
        <w:t>further</w:t>
      </w:r>
      <w:r>
        <w:t xml:space="preserve"> detail).</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spacing w:val="-2"/>
        </w:rPr>
        <w:t>The</w:t>
      </w:r>
      <w:r>
        <w:rPr>
          <w:spacing w:val="-1"/>
        </w:rPr>
        <w:t xml:space="preserve"> difference </w:t>
      </w:r>
      <w:r>
        <w:t>between these</w:t>
      </w:r>
      <w:r>
        <w:rPr>
          <w:spacing w:val="-1"/>
        </w:rPr>
        <w:t xml:space="preserve"> estimates </w:t>
      </w:r>
      <w:r>
        <w:t>(6% to</w:t>
      </w:r>
      <w:r>
        <w:rPr>
          <w:spacing w:val="-1"/>
        </w:rPr>
        <w:t xml:space="preserve"> </w:t>
      </w:r>
      <w:r>
        <w:t>70%) is</w:t>
      </w:r>
      <w:r>
        <w:rPr>
          <w:spacing w:val="-1"/>
        </w:rPr>
        <w:t xml:space="preserve"> </w:t>
      </w:r>
      <w:r>
        <w:t>significant,</w:t>
      </w:r>
      <w:r>
        <w:rPr>
          <w:spacing w:val="-8"/>
        </w:rPr>
        <w:t xml:space="preserve"> </w:t>
      </w:r>
      <w:r>
        <w:rPr>
          <w:spacing w:val="-1"/>
        </w:rPr>
        <w:t>indicating</w:t>
      </w:r>
      <w:r>
        <w:t xml:space="preserve"> </w:t>
      </w:r>
      <w:r>
        <w:rPr>
          <w:spacing w:val="-1"/>
        </w:rPr>
        <w:t xml:space="preserve">there </w:t>
      </w:r>
      <w:r>
        <w:t>is a</w:t>
      </w:r>
      <w:r>
        <w:rPr>
          <w:spacing w:val="-1"/>
        </w:rPr>
        <w:t xml:space="preserve"> </w:t>
      </w:r>
      <w:r>
        <w:t>high</w:t>
      </w:r>
      <w:r>
        <w:rPr>
          <w:spacing w:val="-1"/>
        </w:rPr>
        <w:t xml:space="preserve"> degree</w:t>
      </w:r>
      <w:r>
        <w:t xml:space="preserve"> of</w:t>
      </w:r>
      <w:r>
        <w:rPr>
          <w:spacing w:val="43"/>
        </w:rPr>
        <w:t xml:space="preserve"> </w:t>
      </w:r>
      <w:r>
        <w:rPr>
          <w:spacing w:val="-1"/>
        </w:rPr>
        <w:t xml:space="preserve">uncertainty </w:t>
      </w:r>
      <w:r>
        <w:t>about the</w:t>
      </w:r>
      <w:r>
        <w:rPr>
          <w:spacing w:val="-1"/>
        </w:rPr>
        <w:t xml:space="preserve"> expected</w:t>
      </w:r>
      <w:r>
        <w:t xml:space="preserve"> benefits</w:t>
      </w:r>
      <w:r>
        <w:rPr>
          <w:spacing w:val="-1"/>
        </w:rPr>
        <w:t xml:space="preserve"> </w:t>
      </w:r>
      <w:r>
        <w:t>of</w:t>
      </w:r>
      <w:r>
        <w:rPr>
          <w:spacing w:val="4"/>
        </w:rPr>
        <w:t xml:space="preserve"> </w:t>
      </w:r>
      <w:r>
        <w:t>the</w:t>
      </w:r>
      <w:r>
        <w:rPr>
          <w:spacing w:val="-1"/>
        </w:rPr>
        <w:t xml:space="preserve"> </w:t>
      </w:r>
      <w:r>
        <w:t>ECD and M2G</w:t>
      </w:r>
      <w:r>
        <w:rPr>
          <w:spacing w:val="-1"/>
        </w:rPr>
        <w:t xml:space="preserve"> </w:t>
      </w:r>
      <w:r>
        <w:t>to customers</w:t>
      </w:r>
      <w:r>
        <w:rPr>
          <w:spacing w:val="-1"/>
        </w:rPr>
        <w:t xml:space="preserve"> </w:t>
      </w:r>
      <w:r>
        <w:t>over time</w:t>
      </w:r>
      <w:r>
        <w:rPr>
          <w:spacing w:val="-1"/>
        </w:rPr>
        <w:t xml:space="preserve"> </w:t>
      </w:r>
      <w:r>
        <w:t xml:space="preserve">and the </w:t>
      </w:r>
      <w:r>
        <w:rPr>
          <w:spacing w:val="-1"/>
        </w:rPr>
        <w:t xml:space="preserve">extent </w:t>
      </w:r>
      <w:r>
        <w:t>of</w:t>
      </w:r>
      <w:r>
        <w:rPr>
          <w:spacing w:val="37"/>
        </w:rPr>
        <w:t xml:space="preserve"> </w:t>
      </w:r>
      <w:r>
        <w:t>the</w:t>
      </w:r>
      <w:r>
        <w:rPr>
          <w:spacing w:val="-1"/>
        </w:rPr>
        <w:t xml:space="preserve"> intergenerational </w:t>
      </w:r>
      <w:r>
        <w:t>equity</w:t>
      </w:r>
      <w:r>
        <w:rPr>
          <w:spacing w:val="-1"/>
        </w:rPr>
        <w:t xml:space="preserve"> </w:t>
      </w:r>
      <w:r>
        <w:t>issue</w:t>
      </w:r>
      <w:r>
        <w:rPr>
          <w:spacing w:val="-1"/>
        </w:rPr>
        <w:t xml:space="preserve"> </w:t>
      </w:r>
      <w:r>
        <w:t>the</w:t>
      </w:r>
      <w:r>
        <w:rPr>
          <w:spacing w:val="-1"/>
        </w:rPr>
        <w:t xml:space="preserve"> </w:t>
      </w:r>
      <w:r>
        <w:t>timing of</w:t>
      </w:r>
      <w:r>
        <w:rPr>
          <w:spacing w:val="3"/>
        </w:rPr>
        <w:t xml:space="preserve"> </w:t>
      </w:r>
      <w:r>
        <w:t>these</w:t>
      </w:r>
      <w:r>
        <w:rPr>
          <w:spacing w:val="-1"/>
        </w:rPr>
        <w:t xml:space="preserve"> </w:t>
      </w:r>
      <w:r>
        <w:t>benefits</w:t>
      </w:r>
      <w:r>
        <w:rPr>
          <w:spacing w:val="-1"/>
        </w:rPr>
        <w:t xml:space="preserve"> creates.</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3" w:line="360" w:lineRule="exact"/>
        <w:ind w:left="2041" w:right="1425" w:hanging="794"/>
      </w:pPr>
      <w:r>
        <w:rPr>
          <w:rFonts w:cs="Avenir Next Medium"/>
          <w:color w:val="0778BE"/>
        </w:rPr>
        <w:t>8.</w:t>
      </w:r>
      <w:r>
        <w:rPr>
          <w:rFonts w:cs="Avenir Next Medium"/>
          <w:color w:val="0778BE"/>
          <w:spacing w:val="-9"/>
        </w:rPr>
        <w:t xml:space="preserve"> </w:t>
      </w:r>
      <w:r>
        <w:rPr>
          <w:rFonts w:cs="Avenir Next Medium"/>
          <w:color w:val="0778BE"/>
        </w:rPr>
        <w:t>3</w:t>
      </w:r>
      <w:r>
        <w:rPr>
          <w:rFonts w:cs="Avenir Next Medium"/>
          <w:color w:val="0778BE"/>
        </w:rPr>
        <w:tab/>
      </w:r>
      <w:r>
        <w:rPr>
          <w:color w:val="0778BE"/>
          <w:spacing w:val="-3"/>
        </w:rPr>
        <w:t>ICRC’</w:t>
      </w:r>
      <w:bookmarkStart w:id="94" w:name="_bookmark54"/>
      <w:bookmarkEnd w:id="94"/>
      <w:r>
        <w:rPr>
          <w:color w:val="0778BE"/>
          <w:spacing w:val="-3"/>
        </w:rPr>
        <w:t>s</w:t>
      </w:r>
      <w:r>
        <w:rPr>
          <w:color w:val="0778BE"/>
        </w:rPr>
        <w:t xml:space="preserve"> </w:t>
      </w:r>
      <w:r>
        <w:rPr>
          <w:color w:val="0778BE"/>
          <w:spacing w:val="-2"/>
        </w:rPr>
        <w:t>treatment</w:t>
      </w:r>
      <w:r>
        <w:rPr>
          <w:color w:val="0778BE"/>
        </w:rPr>
        <w:t xml:space="preserve"> of</w:t>
      </w:r>
      <w:r>
        <w:rPr>
          <w:color w:val="0778BE"/>
          <w:spacing w:val="7"/>
        </w:rPr>
        <w:t xml:space="preserve"> </w:t>
      </w:r>
      <w:r>
        <w:rPr>
          <w:color w:val="0778BE"/>
          <w:spacing w:val="-1"/>
        </w:rPr>
        <w:t>water</w:t>
      </w:r>
      <w:r>
        <w:rPr>
          <w:color w:val="0778BE"/>
        </w:rPr>
        <w:t xml:space="preserve"> security </w:t>
      </w:r>
      <w:r>
        <w:rPr>
          <w:color w:val="0778BE"/>
          <w:spacing w:val="-1"/>
        </w:rPr>
        <w:t>project</w:t>
      </w:r>
      <w:r>
        <w:rPr>
          <w:color w:val="0778BE"/>
        </w:rPr>
        <w:t xml:space="preserve"> costs in the original</w:t>
      </w:r>
      <w:r>
        <w:rPr>
          <w:color w:val="0778BE"/>
          <w:spacing w:val="27"/>
        </w:rPr>
        <w:t xml:space="preserve"> </w:t>
      </w:r>
      <w:r>
        <w:rPr>
          <w:color w:val="0778BE"/>
        </w:rPr>
        <w:t xml:space="preserve">price </w:t>
      </w:r>
      <w:r>
        <w:rPr>
          <w:color w:val="0778BE"/>
          <w:spacing w:val="-1"/>
        </w:rPr>
        <w:t>direction</w:t>
      </w:r>
    </w:p>
    <w:p w:rsidR="00D96B91" w:rsidRDefault="00C2656B">
      <w:pPr>
        <w:pStyle w:val="BodyText"/>
        <w:spacing w:before="93" w:line="260" w:lineRule="exact"/>
        <w:ind w:right="1548"/>
        <w:rPr>
          <w:rFonts w:cs="Avenir Next"/>
        </w:rPr>
      </w:pPr>
      <w:r>
        <w:t xml:space="preserve">In its </w:t>
      </w:r>
      <w:r>
        <w:rPr>
          <w:spacing w:val="-2"/>
        </w:rPr>
        <w:t>draft</w:t>
      </w:r>
      <w:r>
        <w:t xml:space="preserve"> decision,</w:t>
      </w:r>
      <w:r>
        <w:rPr>
          <w:spacing w:val="-6"/>
        </w:rPr>
        <w:t xml:space="preserve"> </w:t>
      </w:r>
      <w:r>
        <w:t xml:space="preserve">the ICRC </w:t>
      </w:r>
      <w:r>
        <w:rPr>
          <w:spacing w:val="-1"/>
        </w:rPr>
        <w:t>considered</w:t>
      </w:r>
      <w:r>
        <w:t xml:space="preserve"> </w:t>
      </w:r>
      <w:r>
        <w:rPr>
          <w:spacing w:val="-1"/>
        </w:rPr>
        <w:t>several</w:t>
      </w:r>
      <w:r>
        <w:t xml:space="preserve"> options for </w:t>
      </w:r>
      <w:r>
        <w:rPr>
          <w:spacing w:val="-1"/>
        </w:rPr>
        <w:t>recovering</w:t>
      </w:r>
      <w:r>
        <w:t xml:space="preserve"> the capital costs </w:t>
      </w:r>
      <w:r>
        <w:rPr>
          <w:spacing w:val="-1"/>
        </w:rPr>
        <w:t>associated</w:t>
      </w:r>
      <w:r>
        <w:rPr>
          <w:spacing w:val="55"/>
        </w:rPr>
        <w:t xml:space="preserve"> </w:t>
      </w:r>
      <w:r>
        <w:t xml:space="preserve">with the </w:t>
      </w:r>
      <w:r>
        <w:rPr>
          <w:spacing w:val="-1"/>
        </w:rPr>
        <w:t>water</w:t>
      </w:r>
      <w:r>
        <w:t xml:space="preserve"> security </w:t>
      </w:r>
      <w:r>
        <w:rPr>
          <w:spacing w:val="-1"/>
        </w:rPr>
        <w:t>projects</w:t>
      </w:r>
      <w:r>
        <w:t xml:space="preserve"> </w:t>
      </w:r>
      <w:r>
        <w:rPr>
          <w:spacing w:val="-1"/>
        </w:rPr>
        <w:t>from</w:t>
      </w:r>
      <w:r>
        <w:t xml:space="preserve"> </w:t>
      </w:r>
      <w:r>
        <w:rPr>
          <w:spacing w:val="-1"/>
        </w:rPr>
        <w:t>water</w:t>
      </w:r>
      <w:r>
        <w:t xml:space="preserve"> customers,</w:t>
      </w:r>
      <w:r>
        <w:rPr>
          <w:spacing w:val="-7"/>
        </w:rPr>
        <w:t xml:space="preserve"> </w:t>
      </w:r>
      <w:r>
        <w:t>including:</w:t>
      </w:r>
    </w:p>
    <w:p w:rsidR="00D96B91" w:rsidRDefault="00C2656B">
      <w:pPr>
        <w:pStyle w:val="BodyText"/>
        <w:numPr>
          <w:ilvl w:val="0"/>
          <w:numId w:val="131"/>
        </w:numPr>
        <w:tabs>
          <w:tab w:val="left" w:pos="1531"/>
        </w:tabs>
        <w:spacing w:before="170" w:line="260" w:lineRule="exact"/>
        <w:ind w:right="1376" w:hanging="283"/>
      </w:pPr>
      <w:r>
        <w:rPr>
          <w:b/>
          <w:spacing w:val="-2"/>
        </w:rPr>
        <w:t>The</w:t>
      </w:r>
      <w:r>
        <w:rPr>
          <w:b/>
        </w:rPr>
        <w:t xml:space="preserve"> </w:t>
      </w:r>
      <w:r>
        <w:rPr>
          <w:b/>
          <w:spacing w:val="-1"/>
        </w:rPr>
        <w:t>traditional</w:t>
      </w:r>
      <w:r>
        <w:rPr>
          <w:b/>
        </w:rPr>
        <w:t xml:space="preserve"> </w:t>
      </w:r>
      <w:r>
        <w:rPr>
          <w:b/>
          <w:spacing w:val="-1"/>
        </w:rPr>
        <w:t>straight</w:t>
      </w:r>
      <w:r>
        <w:rPr>
          <w:b/>
        </w:rPr>
        <w:t xml:space="preserve"> line </w:t>
      </w:r>
      <w:r>
        <w:rPr>
          <w:b/>
          <w:spacing w:val="-1"/>
        </w:rPr>
        <w:t>depreciation</w:t>
      </w:r>
      <w:r>
        <w:rPr>
          <w:b/>
        </w:rPr>
        <w:t xml:space="preserve"> </w:t>
      </w:r>
      <w:r>
        <w:rPr>
          <w:b/>
          <w:spacing w:val="-1"/>
        </w:rPr>
        <w:t>approach:</w:t>
      </w:r>
      <w:r>
        <w:rPr>
          <w:b/>
        </w:rPr>
        <w:t xml:space="preserve"> </w:t>
      </w:r>
      <w:r>
        <w:t>Under this option,</w:t>
      </w:r>
      <w:r>
        <w:rPr>
          <w:spacing w:val="-6"/>
        </w:rPr>
        <w:t xml:space="preserve"> </w:t>
      </w:r>
      <w:r>
        <w:t>the annual allowance for the</w:t>
      </w:r>
      <w:r>
        <w:rPr>
          <w:spacing w:val="53"/>
        </w:rPr>
        <w:t xml:space="preserve"> </w:t>
      </w:r>
      <w:r>
        <w:rPr>
          <w:spacing w:val="-1"/>
        </w:rPr>
        <w:t>return</w:t>
      </w:r>
      <w:r>
        <w:t xml:space="preserve"> on capital and </w:t>
      </w:r>
      <w:r>
        <w:rPr>
          <w:spacing w:val="-1"/>
        </w:rPr>
        <w:t>depreciation</w:t>
      </w:r>
      <w:r>
        <w:t xml:space="preserve"> building </w:t>
      </w:r>
      <w:r>
        <w:rPr>
          <w:spacing w:val="-1"/>
        </w:rPr>
        <w:t>blocks</w:t>
      </w:r>
      <w:r>
        <w:t xml:space="preserve"> </w:t>
      </w:r>
      <w:r>
        <w:rPr>
          <w:spacing w:val="-1"/>
        </w:rPr>
        <w:t>recovered</w:t>
      </w:r>
      <w:r>
        <w:t xml:space="preserve"> </w:t>
      </w:r>
      <w:r>
        <w:rPr>
          <w:spacing w:val="-1"/>
        </w:rPr>
        <w:t>from</w:t>
      </w:r>
      <w:r>
        <w:t xml:space="preserve"> customers diminishes over the</w:t>
      </w:r>
      <w:r>
        <w:rPr>
          <w:spacing w:val="27"/>
        </w:rPr>
        <w:t xml:space="preserve"> </w:t>
      </w:r>
      <w:r>
        <w:t>life of</w:t>
      </w:r>
      <w:r>
        <w:rPr>
          <w:spacing w:val="4"/>
        </w:rPr>
        <w:t xml:space="preserve"> </w:t>
      </w:r>
      <w:r>
        <w:t>the asset.</w:t>
      </w:r>
      <w:r>
        <w:rPr>
          <w:spacing w:val="-11"/>
        </w:rPr>
        <w:t xml:space="preserve"> </w:t>
      </w:r>
      <w:r>
        <w:rPr>
          <w:spacing w:val="-1"/>
        </w:rPr>
        <w:t>This</w:t>
      </w:r>
      <w:r>
        <w:t xml:space="preserve"> is because although </w:t>
      </w:r>
      <w:r>
        <w:rPr>
          <w:spacing w:val="-1"/>
        </w:rPr>
        <w:t>depreciation</w:t>
      </w:r>
      <w:r>
        <w:t xml:space="preserve"> is </w:t>
      </w:r>
      <w:r>
        <w:rPr>
          <w:spacing w:val="-1"/>
        </w:rPr>
        <w:t>recovered</w:t>
      </w:r>
      <w:r>
        <w:t xml:space="preserve"> in a uniform </w:t>
      </w:r>
      <w:r>
        <w:rPr>
          <w:spacing w:val="-2"/>
        </w:rPr>
        <w:t>manner,</w:t>
      </w:r>
      <w:r>
        <w:rPr>
          <w:spacing w:val="-6"/>
        </w:rPr>
        <w:t xml:space="preserve"> </w:t>
      </w:r>
      <w:r>
        <w:t xml:space="preserve">the </w:t>
      </w:r>
      <w:r>
        <w:rPr>
          <w:spacing w:val="-1"/>
        </w:rPr>
        <w:t>return</w:t>
      </w:r>
      <w:r>
        <w:rPr>
          <w:spacing w:val="27"/>
        </w:rPr>
        <w:t xml:space="preserve"> </w:t>
      </w:r>
      <w:r>
        <w:t xml:space="preserve">on capital building block falls as </w:t>
      </w:r>
      <w:r>
        <w:rPr>
          <w:spacing w:val="-1"/>
        </w:rPr>
        <w:t>more</w:t>
      </w:r>
      <w:r>
        <w:t xml:space="preserve"> of</w:t>
      </w:r>
      <w:r>
        <w:rPr>
          <w:spacing w:val="4"/>
        </w:rPr>
        <w:t xml:space="preserve"> </w:t>
      </w:r>
      <w:r>
        <w:t xml:space="preserve">the investment is </w:t>
      </w:r>
      <w:r>
        <w:rPr>
          <w:spacing w:val="-1"/>
        </w:rPr>
        <w:t>recovered</w:t>
      </w:r>
      <w:r>
        <w:t xml:space="preserve"> </w:t>
      </w:r>
      <w:r>
        <w:rPr>
          <w:spacing w:val="-1"/>
        </w:rPr>
        <w:t>through</w:t>
      </w:r>
      <w:r>
        <w:t xml:space="preserve"> </w:t>
      </w:r>
      <w:r>
        <w:rPr>
          <w:spacing w:val="-1"/>
        </w:rPr>
        <w:t>depreciation.</w:t>
      </w:r>
    </w:p>
    <w:p w:rsidR="00D96B91" w:rsidRDefault="00C2656B">
      <w:pPr>
        <w:numPr>
          <w:ilvl w:val="0"/>
          <w:numId w:val="131"/>
        </w:numPr>
        <w:tabs>
          <w:tab w:val="left" w:pos="1531"/>
        </w:tabs>
        <w:spacing w:before="85" w:line="260" w:lineRule="exact"/>
        <w:ind w:right="1365" w:hanging="283"/>
        <w:jc w:val="both"/>
        <w:rPr>
          <w:rFonts w:ascii="Avenir Next" w:eastAsia="Avenir Next" w:hAnsi="Avenir Next" w:cs="Avenir Next"/>
          <w:sz w:val="11"/>
          <w:szCs w:val="11"/>
        </w:rPr>
      </w:pPr>
      <w:r>
        <w:rPr>
          <w:rFonts w:ascii="Avenir Next"/>
          <w:b/>
          <w:spacing w:val="-2"/>
          <w:sz w:val="20"/>
        </w:rPr>
        <w:t>The</w:t>
      </w:r>
      <w:r>
        <w:rPr>
          <w:rFonts w:ascii="Avenir Next"/>
          <w:b/>
          <w:sz w:val="20"/>
        </w:rPr>
        <w:t xml:space="preserve"> </w:t>
      </w:r>
      <w:r>
        <w:rPr>
          <w:rFonts w:ascii="Avenir Next"/>
          <w:b/>
          <w:spacing w:val="-1"/>
          <w:sz w:val="20"/>
        </w:rPr>
        <w:t>straight</w:t>
      </w:r>
      <w:r>
        <w:rPr>
          <w:rFonts w:ascii="Avenir Next"/>
          <w:b/>
          <w:sz w:val="20"/>
        </w:rPr>
        <w:t xml:space="preserve"> line </w:t>
      </w:r>
      <w:r>
        <w:rPr>
          <w:rFonts w:ascii="Avenir Next"/>
          <w:b/>
          <w:spacing w:val="-1"/>
          <w:sz w:val="20"/>
        </w:rPr>
        <w:t>depreciation</w:t>
      </w:r>
      <w:r>
        <w:rPr>
          <w:rFonts w:ascii="Avenir Next"/>
          <w:b/>
          <w:sz w:val="20"/>
        </w:rPr>
        <w:t xml:space="preserve"> </w:t>
      </w:r>
      <w:r>
        <w:rPr>
          <w:rFonts w:ascii="Avenir Next"/>
          <w:b/>
          <w:spacing w:val="-1"/>
          <w:sz w:val="20"/>
        </w:rPr>
        <w:t>approach</w:t>
      </w:r>
      <w:r>
        <w:rPr>
          <w:rFonts w:ascii="Avenir Next"/>
          <w:b/>
          <w:sz w:val="20"/>
        </w:rPr>
        <w:t xml:space="preserve"> combined with </w:t>
      </w:r>
      <w:r>
        <w:rPr>
          <w:rFonts w:ascii="Avenir Next"/>
          <w:b/>
          <w:spacing w:val="-1"/>
          <w:sz w:val="20"/>
        </w:rPr>
        <w:t>extending</w:t>
      </w:r>
      <w:r>
        <w:rPr>
          <w:rFonts w:ascii="Avenir Next"/>
          <w:b/>
          <w:sz w:val="20"/>
        </w:rPr>
        <w:t xml:space="preserve"> the period over which the costs</w:t>
      </w:r>
      <w:r>
        <w:rPr>
          <w:rFonts w:ascii="Avenir Next"/>
          <w:b/>
          <w:spacing w:val="47"/>
          <w:sz w:val="20"/>
        </w:rPr>
        <w:t xml:space="preserve"> </w:t>
      </w:r>
      <w:r>
        <w:rPr>
          <w:rFonts w:ascii="Avenir Next"/>
          <w:b/>
          <w:spacing w:val="-2"/>
          <w:sz w:val="20"/>
        </w:rPr>
        <w:t>are</w:t>
      </w:r>
      <w:r>
        <w:rPr>
          <w:rFonts w:ascii="Avenir Next"/>
          <w:b/>
          <w:sz w:val="20"/>
        </w:rPr>
        <w:t xml:space="preserve"> </w:t>
      </w:r>
      <w:r>
        <w:rPr>
          <w:rFonts w:ascii="Avenir Next"/>
          <w:b/>
          <w:spacing w:val="-1"/>
          <w:sz w:val="20"/>
        </w:rPr>
        <w:t>recovered</w:t>
      </w:r>
      <w:r>
        <w:rPr>
          <w:rFonts w:ascii="Avenir Next"/>
          <w:b/>
          <w:sz w:val="20"/>
        </w:rPr>
        <w:t xml:space="preserve"> </w:t>
      </w:r>
      <w:r>
        <w:rPr>
          <w:rFonts w:ascii="Avenir Next"/>
          <w:spacing w:val="-1"/>
          <w:sz w:val="20"/>
        </w:rPr>
        <w:t>from</w:t>
      </w:r>
      <w:r>
        <w:rPr>
          <w:rFonts w:ascii="Avenir Next"/>
          <w:sz w:val="20"/>
        </w:rPr>
        <w:t xml:space="preserve"> 66 </w:t>
      </w:r>
      <w:r>
        <w:rPr>
          <w:rFonts w:ascii="Avenir Next"/>
          <w:spacing w:val="-1"/>
          <w:sz w:val="20"/>
        </w:rPr>
        <w:t>years</w:t>
      </w:r>
      <w:r>
        <w:rPr>
          <w:rFonts w:ascii="Avenir Next"/>
          <w:sz w:val="20"/>
        </w:rPr>
        <w:t xml:space="preserve"> (the notional asset life adopted by the ICRC for all new </w:t>
      </w:r>
      <w:r>
        <w:rPr>
          <w:rFonts w:ascii="Avenir Next"/>
          <w:spacing w:val="-1"/>
          <w:sz w:val="20"/>
        </w:rPr>
        <w:t>water</w:t>
      </w:r>
      <w:r>
        <w:rPr>
          <w:rFonts w:ascii="Avenir Next"/>
          <w:sz w:val="20"/>
        </w:rPr>
        <w:t xml:space="preserve"> assets) to</w:t>
      </w:r>
      <w:r>
        <w:rPr>
          <w:rFonts w:ascii="Avenir Next"/>
          <w:spacing w:val="29"/>
          <w:sz w:val="20"/>
        </w:rPr>
        <w:t xml:space="preserve"> </w:t>
      </w:r>
      <w:r>
        <w:rPr>
          <w:rFonts w:ascii="Avenir Next"/>
          <w:sz w:val="20"/>
        </w:rPr>
        <w:t xml:space="preserve">100 </w:t>
      </w:r>
      <w:r>
        <w:rPr>
          <w:rFonts w:ascii="Avenir Next"/>
          <w:spacing w:val="-1"/>
          <w:sz w:val="20"/>
        </w:rPr>
        <w:t>years</w:t>
      </w:r>
      <w:r>
        <w:rPr>
          <w:rFonts w:ascii="Avenir Next"/>
          <w:spacing w:val="1"/>
          <w:sz w:val="20"/>
        </w:rPr>
        <w:t xml:space="preserve"> </w:t>
      </w:r>
      <w:r>
        <w:rPr>
          <w:rFonts w:ascii="Avenir Next"/>
          <w:sz w:val="20"/>
        </w:rPr>
        <w:t>(the</w:t>
      </w:r>
      <w:r>
        <w:rPr>
          <w:rFonts w:ascii="Avenir Next"/>
          <w:spacing w:val="1"/>
          <w:sz w:val="20"/>
        </w:rPr>
        <w:t xml:space="preserve"> </w:t>
      </w:r>
      <w:r>
        <w:rPr>
          <w:rFonts w:ascii="Avenir Next"/>
          <w:spacing w:val="-1"/>
          <w:sz w:val="20"/>
        </w:rPr>
        <w:t>estimated</w:t>
      </w:r>
      <w:r>
        <w:rPr>
          <w:rFonts w:ascii="Avenir Next"/>
          <w:spacing w:val="1"/>
          <w:sz w:val="20"/>
        </w:rPr>
        <w:t xml:space="preserve"> </w:t>
      </w:r>
      <w:r>
        <w:rPr>
          <w:rFonts w:ascii="Avenir Next"/>
          <w:sz w:val="20"/>
        </w:rPr>
        <w:t>economic</w:t>
      </w:r>
      <w:r>
        <w:rPr>
          <w:rFonts w:ascii="Avenir Next"/>
          <w:spacing w:val="1"/>
          <w:sz w:val="20"/>
        </w:rPr>
        <w:t xml:space="preserve"> </w:t>
      </w:r>
      <w:r>
        <w:rPr>
          <w:rFonts w:ascii="Avenir Next"/>
          <w:sz w:val="20"/>
        </w:rPr>
        <w:t>life</w:t>
      </w:r>
      <w:r>
        <w:rPr>
          <w:rFonts w:ascii="Avenir Next"/>
          <w:spacing w:val="1"/>
          <w:sz w:val="20"/>
        </w:rPr>
        <w:t xml:space="preserve"> </w:t>
      </w:r>
      <w:r>
        <w:rPr>
          <w:rFonts w:ascii="Avenir Next"/>
          <w:sz w:val="20"/>
        </w:rPr>
        <w:t>of</w:t>
      </w:r>
      <w:r>
        <w:rPr>
          <w:rFonts w:ascii="Avenir Next"/>
          <w:spacing w:val="5"/>
          <w:sz w:val="20"/>
        </w:rPr>
        <w:t xml:space="preserve"> </w:t>
      </w:r>
      <w:r>
        <w:rPr>
          <w:rFonts w:ascii="Avenir Next"/>
          <w:sz w:val="20"/>
        </w:rPr>
        <w:t>a</w:t>
      </w:r>
      <w:r>
        <w:rPr>
          <w:rFonts w:ascii="Avenir Next"/>
          <w:spacing w:val="1"/>
          <w:sz w:val="20"/>
        </w:rPr>
        <w:t xml:space="preserve"> </w:t>
      </w:r>
      <w:r>
        <w:rPr>
          <w:rFonts w:ascii="Avenir Next"/>
          <w:sz w:val="20"/>
        </w:rPr>
        <w:t>dam).</w:t>
      </w:r>
      <w:r>
        <w:rPr>
          <w:rFonts w:ascii="Avenir Next"/>
          <w:position w:val="7"/>
          <w:sz w:val="11"/>
        </w:rPr>
        <w:t>83</w:t>
      </w:r>
    </w:p>
    <w:p w:rsidR="00D96B91" w:rsidRDefault="00C2656B">
      <w:pPr>
        <w:numPr>
          <w:ilvl w:val="0"/>
          <w:numId w:val="131"/>
        </w:numPr>
        <w:tabs>
          <w:tab w:val="left" w:pos="1531"/>
        </w:tabs>
        <w:spacing w:before="93"/>
        <w:ind w:hanging="283"/>
        <w:rPr>
          <w:rFonts w:ascii="Avenir Next" w:eastAsia="Avenir Next" w:hAnsi="Avenir Next" w:cs="Avenir Next"/>
          <w:sz w:val="20"/>
          <w:szCs w:val="20"/>
        </w:rPr>
      </w:pPr>
      <w:r>
        <w:rPr>
          <w:rFonts w:ascii="Avenir Next" w:eastAsia="Avenir Next" w:hAnsi="Avenir Next" w:cs="Avenir Next"/>
          <w:b/>
          <w:bCs/>
          <w:spacing w:val="-2"/>
          <w:sz w:val="20"/>
          <w:szCs w:val="20"/>
        </w:rPr>
        <w:t>The</w:t>
      </w:r>
      <w:r>
        <w:rPr>
          <w:rFonts w:ascii="Avenir Next" w:eastAsia="Avenir Next" w:hAnsi="Avenir Next" w:cs="Avenir Next"/>
          <w:b/>
          <w:bCs/>
          <w:sz w:val="20"/>
          <w:szCs w:val="20"/>
        </w:rPr>
        <w:t xml:space="preserve"> ‘fair cost </w:t>
      </w:r>
      <w:r>
        <w:rPr>
          <w:rFonts w:ascii="Avenir Next" w:eastAsia="Avenir Next" w:hAnsi="Avenir Next" w:cs="Avenir Next"/>
          <w:b/>
          <w:bCs/>
          <w:spacing w:val="-1"/>
          <w:sz w:val="20"/>
          <w:szCs w:val="20"/>
        </w:rPr>
        <w:t>recovery’</w:t>
      </w:r>
      <w:r>
        <w:rPr>
          <w:rFonts w:ascii="Avenir Next" w:eastAsia="Avenir Next" w:hAnsi="Avenir Next" w:cs="Avenir Next"/>
          <w:b/>
          <w:bCs/>
          <w:sz w:val="20"/>
          <w:szCs w:val="20"/>
        </w:rPr>
        <w:t xml:space="preserve"> (FCR) scheme</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which includes both:</w:t>
      </w:r>
    </w:p>
    <w:p w:rsidR="00D96B91" w:rsidRDefault="00C2656B">
      <w:pPr>
        <w:pStyle w:val="BodyText"/>
        <w:numPr>
          <w:ilvl w:val="1"/>
          <w:numId w:val="131"/>
        </w:numPr>
        <w:tabs>
          <w:tab w:val="left" w:pos="1815"/>
        </w:tabs>
        <w:spacing w:before="64" w:line="260" w:lineRule="exact"/>
        <w:ind w:right="1356"/>
        <w:rPr>
          <w:sz w:val="11"/>
          <w:szCs w:val="11"/>
        </w:rPr>
      </w:pPr>
      <w:r>
        <w:t>the</w:t>
      </w:r>
      <w:r>
        <w:rPr>
          <w:spacing w:val="-1"/>
        </w:rPr>
        <w:t xml:space="preserve"> flat</w:t>
      </w:r>
      <w:r>
        <w:t xml:space="preserve"> capital</w:t>
      </w:r>
      <w:r>
        <w:rPr>
          <w:spacing w:val="-1"/>
        </w:rPr>
        <w:t xml:space="preserve"> </w:t>
      </w:r>
      <w:r>
        <w:t xml:space="preserve">cost </w:t>
      </w:r>
      <w:r>
        <w:rPr>
          <w:spacing w:val="-1"/>
        </w:rPr>
        <w:t>recovery profile,</w:t>
      </w:r>
      <w:r>
        <w:rPr>
          <w:spacing w:val="-6"/>
        </w:rPr>
        <w:t xml:space="preserve"> </w:t>
      </w:r>
      <w:r>
        <w:t>which in</w:t>
      </w:r>
      <w:r>
        <w:rPr>
          <w:spacing w:val="-1"/>
        </w:rPr>
        <w:t xml:space="preserve"> </w:t>
      </w:r>
      <w:r>
        <w:t>simple terms,</w:t>
      </w:r>
      <w:r>
        <w:rPr>
          <w:spacing w:val="-7"/>
        </w:rPr>
        <w:t xml:space="preserve"> </w:t>
      </w:r>
      <w:r>
        <w:rPr>
          <w:spacing w:val="-1"/>
        </w:rPr>
        <w:t>provides</w:t>
      </w:r>
      <w:r>
        <w:t xml:space="preserve"> for the</w:t>
      </w:r>
      <w:r>
        <w:rPr>
          <w:spacing w:val="-1"/>
        </w:rPr>
        <w:t xml:space="preserve"> recovery</w:t>
      </w:r>
      <w:r>
        <w:t xml:space="preserve"> of</w:t>
      </w:r>
      <w:r>
        <w:rPr>
          <w:spacing w:val="3"/>
        </w:rPr>
        <w:t xml:space="preserve"> </w:t>
      </w:r>
      <w:r>
        <w:t>the same</w:t>
      </w:r>
      <w:r>
        <w:rPr>
          <w:spacing w:val="37"/>
        </w:rPr>
        <w:t xml:space="preserve"> </w:t>
      </w:r>
      <w:r>
        <w:t>level of</w:t>
      </w:r>
      <w:r>
        <w:rPr>
          <w:spacing w:val="5"/>
        </w:rPr>
        <w:t xml:space="preserve"> </w:t>
      </w:r>
      <w:r>
        <w:t>capital costs</w:t>
      </w:r>
      <w:r>
        <w:rPr>
          <w:spacing w:val="1"/>
        </w:rPr>
        <w:t xml:space="preserve"> </w:t>
      </w:r>
      <w:r>
        <w:rPr>
          <w:spacing w:val="-1"/>
        </w:rPr>
        <w:t>(depreciation</w:t>
      </w:r>
      <w:r>
        <w:t xml:space="preserve"> plus</w:t>
      </w:r>
      <w:r>
        <w:rPr>
          <w:spacing w:val="1"/>
        </w:rPr>
        <w:t xml:space="preserve"> </w:t>
      </w:r>
      <w:r>
        <w:t xml:space="preserve">a </w:t>
      </w:r>
      <w:r>
        <w:rPr>
          <w:spacing w:val="-1"/>
        </w:rPr>
        <w:t>return</w:t>
      </w:r>
      <w:r>
        <w:rPr>
          <w:spacing w:val="1"/>
        </w:rPr>
        <w:t xml:space="preserve"> </w:t>
      </w:r>
      <w:r>
        <w:t>on capital)</w:t>
      </w:r>
      <w:r>
        <w:rPr>
          <w:spacing w:val="1"/>
        </w:rPr>
        <w:t xml:space="preserve"> </w:t>
      </w:r>
      <w:r>
        <w:rPr>
          <w:spacing w:val="-1"/>
        </w:rPr>
        <w:t>from</w:t>
      </w:r>
      <w:r>
        <w:rPr>
          <w:spacing w:val="1"/>
        </w:rPr>
        <w:t xml:space="preserve"> </w:t>
      </w:r>
      <w:r>
        <w:rPr>
          <w:spacing w:val="-1"/>
        </w:rPr>
        <w:t>current</w:t>
      </w:r>
      <w:r>
        <w:t xml:space="preserve"> and</w:t>
      </w:r>
      <w:r>
        <w:rPr>
          <w:spacing w:val="1"/>
        </w:rPr>
        <w:t xml:space="preserve"> </w:t>
      </w:r>
      <w:r>
        <w:rPr>
          <w:spacing w:val="-1"/>
        </w:rPr>
        <w:t>future</w:t>
      </w:r>
      <w:r>
        <w:t xml:space="preserve"> customers.</w:t>
      </w:r>
      <w:r>
        <w:rPr>
          <w:position w:val="7"/>
          <w:sz w:val="11"/>
        </w:rPr>
        <w:t>84</w:t>
      </w:r>
    </w:p>
    <w:p w:rsidR="00D96B91" w:rsidRDefault="00C2656B">
      <w:pPr>
        <w:pStyle w:val="BodyText"/>
        <w:numPr>
          <w:ilvl w:val="1"/>
          <w:numId w:val="131"/>
        </w:numPr>
        <w:tabs>
          <w:tab w:val="left" w:pos="1815"/>
        </w:tabs>
        <w:spacing w:before="85" w:line="260" w:lineRule="exact"/>
        <w:ind w:right="1358"/>
      </w:pPr>
      <w:r>
        <w:t>the</w:t>
      </w:r>
      <w:r>
        <w:rPr>
          <w:spacing w:val="-1"/>
        </w:rPr>
        <w:t xml:space="preserve"> </w:t>
      </w:r>
      <w:r>
        <w:t>inclining capital cost</w:t>
      </w:r>
      <w:r>
        <w:rPr>
          <w:spacing w:val="-1"/>
        </w:rPr>
        <w:t xml:space="preserve"> recovery</w:t>
      </w:r>
      <w:r>
        <w:t xml:space="preserve"> </w:t>
      </w:r>
      <w:r>
        <w:rPr>
          <w:spacing w:val="-1"/>
        </w:rPr>
        <w:t>profile,</w:t>
      </w:r>
      <w:r>
        <w:rPr>
          <w:spacing w:val="-6"/>
        </w:rPr>
        <w:t xml:space="preserve"> </w:t>
      </w:r>
      <w:r>
        <w:t xml:space="preserve">which </w:t>
      </w:r>
      <w:r>
        <w:rPr>
          <w:spacing w:val="-1"/>
        </w:rPr>
        <w:t xml:space="preserve">provides </w:t>
      </w:r>
      <w:r>
        <w:t xml:space="preserve">for a </w:t>
      </w:r>
      <w:r>
        <w:rPr>
          <w:spacing w:val="-2"/>
        </w:rPr>
        <w:t>greater</w:t>
      </w:r>
      <w:r>
        <w:rPr>
          <w:spacing w:val="-1"/>
        </w:rPr>
        <w:t xml:space="preserve"> </w:t>
      </w:r>
      <w:r>
        <w:t>level of</w:t>
      </w:r>
      <w:r>
        <w:rPr>
          <w:spacing w:val="4"/>
        </w:rPr>
        <w:t xml:space="preserve"> </w:t>
      </w:r>
      <w:r>
        <w:t>capital costs</w:t>
      </w:r>
      <w:r>
        <w:rPr>
          <w:spacing w:val="-1"/>
        </w:rPr>
        <w:t xml:space="preserve"> </w:t>
      </w:r>
      <w:r>
        <w:t>to be</w:t>
      </w:r>
      <w:r>
        <w:rPr>
          <w:spacing w:val="37"/>
        </w:rPr>
        <w:t xml:space="preserve"> </w:t>
      </w:r>
      <w:r>
        <w:rPr>
          <w:spacing w:val="-1"/>
        </w:rPr>
        <w:t>recovered</w:t>
      </w:r>
      <w:r>
        <w:t xml:space="preserve"> </w:t>
      </w:r>
      <w:r>
        <w:rPr>
          <w:spacing w:val="-1"/>
        </w:rPr>
        <w:t>from</w:t>
      </w:r>
      <w:r>
        <w:t xml:space="preserve"> </w:t>
      </w:r>
      <w:r>
        <w:rPr>
          <w:spacing w:val="-1"/>
        </w:rPr>
        <w:t>future</w:t>
      </w:r>
      <w:r>
        <w:t xml:space="preserve"> customers than </w:t>
      </w:r>
      <w:r>
        <w:rPr>
          <w:spacing w:val="-1"/>
        </w:rPr>
        <w:t>current</w:t>
      </w:r>
      <w:r>
        <w:t xml:space="preserve"> customers.</w:t>
      </w:r>
    </w:p>
    <w:p w:rsidR="00D96B91" w:rsidRDefault="00C2656B">
      <w:pPr>
        <w:pStyle w:val="BodyText"/>
        <w:spacing w:before="85" w:line="260" w:lineRule="exact"/>
        <w:ind w:right="1347" w:hanging="1"/>
      </w:pPr>
      <w:r>
        <w:t xml:space="preserve">In its </w:t>
      </w:r>
      <w:r>
        <w:rPr>
          <w:spacing w:val="-2"/>
        </w:rPr>
        <w:t>draft</w:t>
      </w:r>
      <w:r>
        <w:t xml:space="preserve"> decision,</w:t>
      </w:r>
      <w:r>
        <w:rPr>
          <w:spacing w:val="-6"/>
        </w:rPr>
        <w:t xml:space="preserve"> </w:t>
      </w:r>
      <w:r>
        <w:t>the</w:t>
      </w:r>
      <w:r>
        <w:rPr>
          <w:spacing w:val="1"/>
        </w:rPr>
        <w:t xml:space="preserve"> </w:t>
      </w:r>
      <w:r>
        <w:t xml:space="preserve">ICRC </w:t>
      </w:r>
      <w:r>
        <w:rPr>
          <w:spacing w:val="-1"/>
        </w:rPr>
        <w:t>indicated</w:t>
      </w:r>
      <w:r>
        <w:t xml:space="preserve"> a </w:t>
      </w:r>
      <w:r>
        <w:rPr>
          <w:spacing w:val="-1"/>
        </w:rPr>
        <w:t>preference</w:t>
      </w:r>
      <w:r>
        <w:t xml:space="preserve"> for</w:t>
      </w:r>
      <w:r>
        <w:rPr>
          <w:spacing w:val="1"/>
        </w:rPr>
        <w:t xml:space="preserve"> </w:t>
      </w:r>
      <w:r>
        <w:t xml:space="preserve">the inclining capital cost </w:t>
      </w:r>
      <w:r>
        <w:rPr>
          <w:spacing w:val="-1"/>
        </w:rPr>
        <w:t>recovery</w:t>
      </w:r>
      <w:r>
        <w:rPr>
          <w:spacing w:val="1"/>
        </w:rPr>
        <w:t xml:space="preserve"> </w:t>
      </w:r>
      <w:r>
        <w:rPr>
          <w:spacing w:val="-1"/>
        </w:rPr>
        <w:t>profile.</w:t>
      </w:r>
      <w:r>
        <w:rPr>
          <w:spacing w:val="-1"/>
          <w:position w:val="7"/>
          <w:sz w:val="11"/>
        </w:rPr>
        <w:t>85</w:t>
      </w:r>
      <w:r>
        <w:rPr>
          <w:spacing w:val="47"/>
          <w:w w:val="106"/>
          <w:position w:val="7"/>
          <w:sz w:val="11"/>
        </w:rPr>
        <w:t xml:space="preserve"> </w:t>
      </w:r>
      <w:r>
        <w:rPr>
          <w:spacing w:val="-2"/>
        </w:rPr>
        <w:t>However,</w:t>
      </w:r>
      <w:r>
        <w:rPr>
          <w:spacing w:val="-6"/>
        </w:rPr>
        <w:t xml:space="preserve"> </w:t>
      </w:r>
      <w:r>
        <w:t xml:space="preserve">it noted </w:t>
      </w:r>
      <w:r>
        <w:rPr>
          <w:spacing w:val="-1"/>
        </w:rPr>
        <w:t>that</w:t>
      </w:r>
      <w:r>
        <w:t xml:space="preserve"> </w:t>
      </w:r>
      <w:r>
        <w:rPr>
          <w:spacing w:val="-1"/>
        </w:rPr>
        <w:t>there</w:t>
      </w:r>
      <w:r>
        <w:t xml:space="preserve"> </w:t>
      </w:r>
      <w:r>
        <w:rPr>
          <w:spacing w:val="-1"/>
        </w:rPr>
        <w:t>were</w:t>
      </w:r>
      <w:r>
        <w:t xml:space="preserve"> </w:t>
      </w:r>
      <w:r>
        <w:rPr>
          <w:spacing w:val="-1"/>
        </w:rPr>
        <w:t>trade-offs</w:t>
      </w:r>
      <w:r>
        <w:t xml:space="preserve"> </w:t>
      </w:r>
      <w:r>
        <w:rPr>
          <w:spacing w:val="-1"/>
        </w:rPr>
        <w:t>associated</w:t>
      </w:r>
      <w:r>
        <w:t xml:space="preserve"> with this </w:t>
      </w:r>
      <w:r>
        <w:rPr>
          <w:spacing w:val="-1"/>
        </w:rPr>
        <w:t>approach,</w:t>
      </w:r>
      <w:r>
        <w:rPr>
          <w:spacing w:val="-6"/>
        </w:rPr>
        <w:t xml:space="preserve"> </w:t>
      </w:r>
      <w:r>
        <w:t xml:space="preserve">which would </w:t>
      </w:r>
      <w:r>
        <w:rPr>
          <w:spacing w:val="-2"/>
        </w:rPr>
        <w:t>require</w:t>
      </w:r>
      <w:r>
        <w:t xml:space="preserve"> </w:t>
      </w:r>
      <w:r>
        <w:rPr>
          <w:spacing w:val="-1"/>
        </w:rPr>
        <w:t>further</w:t>
      </w:r>
      <w:r>
        <w:rPr>
          <w:spacing w:val="71"/>
        </w:rPr>
        <w:t xml:space="preserve"> </w:t>
      </w:r>
      <w:r>
        <w:rPr>
          <w:spacing w:val="-1"/>
        </w:rPr>
        <w:t>careful</w:t>
      </w:r>
      <w:r>
        <w:t xml:space="preserve"> </w:t>
      </w:r>
      <w:r>
        <w:rPr>
          <w:spacing w:val="-1"/>
        </w:rPr>
        <w:t>consideration.</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14"/>
          <w:szCs w:val="14"/>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200" style="width:72.5pt;height:.5pt;mso-position-horizontal-relative:char;mso-position-vertical-relative:line" coordsize="1450,10">
            <v:group id="_x0000_s3201" style="position:absolute;left:5;top:5;width:1440;height:2" coordorigin="5,5" coordsize="1440,2">
              <v:shape id="_x0000_s3202"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45" w:line="192" w:lineRule="exact"/>
        <w:ind w:right="1328" w:hanging="510"/>
        <w:rPr>
          <w:rFonts w:ascii="Avenir Next" w:eastAsia="Avenir Next" w:hAnsi="Avenir Next" w:cs="Avenir Next"/>
          <w:sz w:val="16"/>
          <w:szCs w:val="16"/>
        </w:rPr>
      </w:pPr>
      <w:r>
        <w:rPr>
          <w:rFonts w:ascii="Avenir Next"/>
          <w:spacing w:val="-1"/>
          <w:sz w:val="16"/>
        </w:rPr>
        <w:t xml:space="preserve">These </w:t>
      </w:r>
      <w:r>
        <w:rPr>
          <w:rFonts w:ascii="Avenir Next"/>
          <w:sz w:val="16"/>
        </w:rPr>
        <w:t xml:space="preserve">benefits </w:t>
      </w:r>
      <w:r>
        <w:rPr>
          <w:rFonts w:ascii="Avenir Next"/>
          <w:spacing w:val="-1"/>
          <w:sz w:val="16"/>
        </w:rPr>
        <w:t>were reportedly</w:t>
      </w:r>
      <w:r>
        <w:rPr>
          <w:rFonts w:ascii="Avenir Next"/>
          <w:sz w:val="16"/>
        </w:rPr>
        <w:t xml:space="preserve"> </w:t>
      </w:r>
      <w:r>
        <w:rPr>
          <w:rFonts w:ascii="Avenir Next"/>
          <w:spacing w:val="-1"/>
          <w:sz w:val="16"/>
        </w:rPr>
        <w:t xml:space="preserve">estimated </w:t>
      </w:r>
      <w:r>
        <w:rPr>
          <w:rFonts w:ascii="Avenir Next"/>
          <w:sz w:val="16"/>
        </w:rPr>
        <w:t xml:space="preserve">using </w:t>
      </w:r>
      <w:r>
        <w:rPr>
          <w:rFonts w:ascii="Avenir Next"/>
          <w:spacing w:val="-1"/>
          <w:sz w:val="16"/>
        </w:rPr>
        <w:t>hydrological</w:t>
      </w:r>
      <w:r>
        <w:rPr>
          <w:rFonts w:ascii="Avenir Next"/>
          <w:sz w:val="16"/>
        </w:rPr>
        <w:t xml:space="preserve"> modelling,</w:t>
      </w:r>
      <w:r>
        <w:rPr>
          <w:rFonts w:ascii="Avenir Next"/>
          <w:spacing w:val="-6"/>
          <w:sz w:val="16"/>
        </w:rPr>
        <w:t xml:space="preserve"> </w:t>
      </w:r>
      <w:r>
        <w:rPr>
          <w:rFonts w:ascii="Avenir Next"/>
          <w:spacing w:val="-1"/>
          <w:sz w:val="16"/>
        </w:rPr>
        <w:t>climate</w:t>
      </w:r>
      <w:r>
        <w:rPr>
          <w:rFonts w:ascii="Avenir Next"/>
          <w:sz w:val="16"/>
        </w:rPr>
        <w:t xml:space="preserve"> change</w:t>
      </w:r>
      <w:r>
        <w:rPr>
          <w:rFonts w:ascii="Avenir Next"/>
          <w:spacing w:val="-1"/>
          <w:sz w:val="16"/>
        </w:rPr>
        <w:t xml:space="preserve"> </w:t>
      </w:r>
      <w:r>
        <w:rPr>
          <w:rFonts w:ascii="Avenir Next"/>
          <w:sz w:val="16"/>
        </w:rPr>
        <w:t>modelling and</w:t>
      </w:r>
      <w:r>
        <w:rPr>
          <w:rFonts w:ascii="Avenir Next"/>
          <w:spacing w:val="-1"/>
          <w:sz w:val="16"/>
        </w:rPr>
        <w:t xml:space="preserve"> </w:t>
      </w:r>
      <w:r>
        <w:rPr>
          <w:rFonts w:ascii="Avenir Next"/>
          <w:sz w:val="16"/>
        </w:rPr>
        <w:t>willingness to pay</w:t>
      </w:r>
      <w:r>
        <w:rPr>
          <w:rFonts w:ascii="Avenir Next"/>
          <w:spacing w:val="59"/>
          <w:sz w:val="16"/>
        </w:rPr>
        <w:t xml:space="preserve"> </w:t>
      </w:r>
      <w:r>
        <w:rPr>
          <w:rFonts w:ascii="Avenir Next"/>
          <w:sz w:val="16"/>
        </w:rPr>
        <w:t>studies.</w:t>
      </w:r>
      <w:r>
        <w:rPr>
          <w:rFonts w:ascii="Avenir Next"/>
          <w:spacing w:val="-8"/>
          <w:sz w:val="16"/>
        </w:rPr>
        <w:t xml:space="preserve"> </w:t>
      </w:r>
      <w:r>
        <w:rPr>
          <w:rFonts w:ascii="Avenir Next"/>
          <w:spacing w:val="-1"/>
          <w:sz w:val="16"/>
        </w:rPr>
        <w:t>ACTEW</w:t>
      </w:r>
      <w:r>
        <w:rPr>
          <w:rFonts w:ascii="Avenir Next"/>
          <w:spacing w:val="-2"/>
          <w:sz w:val="16"/>
        </w:rPr>
        <w:t xml:space="preserve"> </w:t>
      </w:r>
      <w:r>
        <w:rPr>
          <w:rFonts w:ascii="Avenir Next"/>
          <w:spacing w:val="-1"/>
          <w:sz w:val="16"/>
        </w:rPr>
        <w:t>provided</w:t>
      </w:r>
      <w:r>
        <w:rPr>
          <w:rFonts w:ascii="Avenir Next"/>
          <w:sz w:val="16"/>
        </w:rPr>
        <w:t xml:space="preserve"> </w:t>
      </w:r>
      <w:r>
        <w:rPr>
          <w:rFonts w:ascii="Avenir Next"/>
          <w:spacing w:val="-1"/>
          <w:sz w:val="16"/>
        </w:rPr>
        <w:t>Cardno</w:t>
      </w:r>
      <w:r>
        <w:rPr>
          <w:rFonts w:ascii="Avenir Next"/>
          <w:sz w:val="16"/>
        </w:rPr>
        <w:t xml:space="preserve"> with a high level summary of</w:t>
      </w:r>
      <w:r>
        <w:rPr>
          <w:rFonts w:ascii="Avenir Next"/>
          <w:spacing w:val="3"/>
          <w:sz w:val="16"/>
        </w:rPr>
        <w:t xml:space="preserve"> </w:t>
      </w:r>
      <w:r>
        <w:rPr>
          <w:rFonts w:ascii="Avenir Next"/>
          <w:sz w:val="16"/>
        </w:rPr>
        <w:t>this analysis,</w:t>
      </w:r>
      <w:r>
        <w:rPr>
          <w:rFonts w:ascii="Avenir Next"/>
          <w:spacing w:val="-5"/>
          <w:sz w:val="16"/>
        </w:rPr>
        <w:t xml:space="preserve"> </w:t>
      </w:r>
      <w:r>
        <w:rPr>
          <w:rFonts w:ascii="Avenir Next"/>
          <w:sz w:val="16"/>
        </w:rPr>
        <w:t xml:space="preserve">which was contained in a </w:t>
      </w:r>
      <w:r>
        <w:rPr>
          <w:rFonts w:ascii="Avenir Next"/>
          <w:spacing w:val="-1"/>
          <w:sz w:val="16"/>
        </w:rPr>
        <w:t>report</w:t>
      </w:r>
      <w:r>
        <w:rPr>
          <w:rFonts w:ascii="Avenir Next"/>
          <w:sz w:val="16"/>
        </w:rPr>
        <w:t xml:space="preserve"> </w:t>
      </w:r>
      <w:r>
        <w:rPr>
          <w:rFonts w:ascii="Avenir Next"/>
          <w:spacing w:val="-1"/>
          <w:sz w:val="16"/>
        </w:rPr>
        <w:t>prepared</w:t>
      </w:r>
    </w:p>
    <w:p w:rsidR="00D96B91" w:rsidRDefault="00C2656B">
      <w:pPr>
        <w:spacing w:line="192" w:lineRule="exact"/>
        <w:ind w:left="1757" w:right="1256"/>
        <w:rPr>
          <w:rFonts w:ascii="Avenir Next" w:eastAsia="Avenir Next" w:hAnsi="Avenir Next" w:cs="Avenir Next"/>
          <w:sz w:val="16"/>
          <w:szCs w:val="16"/>
        </w:rPr>
      </w:pPr>
      <w:r>
        <w:rPr>
          <w:rFonts w:ascii="Avenir Next"/>
          <w:sz w:val="16"/>
        </w:rPr>
        <w:t>by</w:t>
      </w:r>
      <w:r>
        <w:rPr>
          <w:rFonts w:ascii="Avenir Next"/>
          <w:spacing w:val="-1"/>
          <w:sz w:val="16"/>
        </w:rPr>
        <w:t xml:space="preserve"> </w:t>
      </w:r>
      <w:r>
        <w:rPr>
          <w:rFonts w:ascii="Avenir Next"/>
          <w:sz w:val="16"/>
        </w:rPr>
        <w:t>CIE in 2009</w:t>
      </w:r>
      <w:r>
        <w:rPr>
          <w:rFonts w:ascii="Avenir Next"/>
          <w:spacing w:val="-1"/>
          <w:sz w:val="16"/>
        </w:rPr>
        <w:t xml:space="preserve"> </w:t>
      </w:r>
      <w:r>
        <w:rPr>
          <w:rFonts w:ascii="Avenir Next"/>
          <w:sz w:val="16"/>
        </w:rPr>
        <w:t>entitled,</w:t>
      </w:r>
      <w:r>
        <w:rPr>
          <w:rFonts w:ascii="Avenir Next"/>
          <w:spacing w:val="-5"/>
          <w:sz w:val="16"/>
        </w:rPr>
        <w:t xml:space="preserve"> </w:t>
      </w:r>
      <w:r>
        <w:rPr>
          <w:rFonts w:ascii="Avenir Next"/>
          <w:i/>
          <w:sz w:val="16"/>
        </w:rPr>
        <w:t>Economic benefits</w:t>
      </w:r>
      <w:r>
        <w:rPr>
          <w:rFonts w:ascii="Avenir Next"/>
          <w:i/>
          <w:spacing w:val="-1"/>
          <w:sz w:val="16"/>
        </w:rPr>
        <w:t xml:space="preserve"> </w:t>
      </w:r>
      <w:r>
        <w:rPr>
          <w:rFonts w:ascii="Avenir Next"/>
          <w:i/>
          <w:sz w:val="16"/>
        </w:rPr>
        <w:t>of</w:t>
      </w:r>
      <w:r>
        <w:rPr>
          <w:rFonts w:ascii="Avenir Next"/>
          <w:i/>
          <w:spacing w:val="3"/>
          <w:sz w:val="16"/>
        </w:rPr>
        <w:t xml:space="preserve"> </w:t>
      </w:r>
      <w:r>
        <w:rPr>
          <w:rFonts w:ascii="Avenir Next"/>
          <w:i/>
          <w:sz w:val="16"/>
        </w:rPr>
        <w:t xml:space="preserve">new </w:t>
      </w:r>
      <w:r>
        <w:rPr>
          <w:rFonts w:ascii="Avenir Next"/>
          <w:i/>
          <w:spacing w:val="-1"/>
          <w:sz w:val="16"/>
        </w:rPr>
        <w:t xml:space="preserve">water </w:t>
      </w:r>
      <w:r>
        <w:rPr>
          <w:rFonts w:ascii="Avenir Next"/>
          <w:i/>
          <w:sz w:val="16"/>
        </w:rPr>
        <w:t>supply options using</w:t>
      </w:r>
      <w:r>
        <w:rPr>
          <w:rFonts w:ascii="Avenir Next"/>
          <w:i/>
          <w:spacing w:val="-1"/>
          <w:sz w:val="16"/>
        </w:rPr>
        <w:t xml:space="preserve"> </w:t>
      </w:r>
      <w:r>
        <w:rPr>
          <w:rFonts w:ascii="Avenir Next"/>
          <w:i/>
          <w:sz w:val="16"/>
        </w:rPr>
        <w:t>2030 and 2070</w:t>
      </w:r>
      <w:r>
        <w:rPr>
          <w:rFonts w:ascii="Avenir Next"/>
          <w:i/>
          <w:spacing w:val="-1"/>
          <w:sz w:val="16"/>
        </w:rPr>
        <w:t xml:space="preserve"> climate</w:t>
      </w:r>
      <w:r>
        <w:rPr>
          <w:rFonts w:ascii="Avenir Next"/>
          <w:i/>
          <w:sz w:val="16"/>
        </w:rPr>
        <w:t xml:space="preserve"> sequences</w:t>
      </w:r>
      <w:r>
        <w:rPr>
          <w:rFonts w:ascii="Avenir Next"/>
          <w:sz w:val="16"/>
        </w:rPr>
        <w:t>.</w:t>
      </w:r>
      <w:r>
        <w:rPr>
          <w:rFonts w:ascii="Avenir Next"/>
          <w:spacing w:val="-8"/>
          <w:sz w:val="16"/>
        </w:rPr>
        <w:t xml:space="preserve"> </w:t>
      </w:r>
      <w:r>
        <w:rPr>
          <w:rFonts w:ascii="Avenir Next"/>
          <w:spacing w:val="-1"/>
          <w:sz w:val="16"/>
        </w:rPr>
        <w:t>ACTEW</w:t>
      </w:r>
      <w:r>
        <w:rPr>
          <w:rFonts w:ascii="Avenir Next"/>
          <w:spacing w:val="30"/>
          <w:sz w:val="16"/>
        </w:rPr>
        <w:t xml:space="preserve"> </w:t>
      </w:r>
      <w:r>
        <w:rPr>
          <w:rFonts w:ascii="Avenir Next"/>
          <w:sz w:val="16"/>
        </w:rPr>
        <w:t>also</w:t>
      </w:r>
      <w:r>
        <w:rPr>
          <w:rFonts w:ascii="Avenir Next"/>
          <w:spacing w:val="-2"/>
          <w:sz w:val="16"/>
        </w:rPr>
        <w:t xml:space="preserve"> </w:t>
      </w:r>
      <w:r>
        <w:rPr>
          <w:rFonts w:ascii="Avenir Next"/>
          <w:spacing w:val="-1"/>
          <w:sz w:val="16"/>
        </w:rPr>
        <w:t xml:space="preserve">provided Cardno </w:t>
      </w:r>
      <w:r>
        <w:rPr>
          <w:rFonts w:ascii="Avenir Next"/>
          <w:sz w:val="16"/>
        </w:rPr>
        <w:t>with</w:t>
      </w:r>
      <w:r>
        <w:rPr>
          <w:rFonts w:ascii="Avenir Next"/>
          <w:spacing w:val="-1"/>
          <w:sz w:val="16"/>
        </w:rPr>
        <w:t xml:space="preserve"> </w:t>
      </w:r>
      <w:r>
        <w:rPr>
          <w:rFonts w:ascii="Avenir Next"/>
          <w:sz w:val="16"/>
        </w:rPr>
        <w:t>a</w:t>
      </w:r>
      <w:r>
        <w:rPr>
          <w:rFonts w:ascii="Avenir Next"/>
          <w:spacing w:val="-2"/>
          <w:sz w:val="16"/>
        </w:rPr>
        <w:t xml:space="preserve"> </w:t>
      </w:r>
      <w:r>
        <w:rPr>
          <w:rFonts w:ascii="Avenir Next"/>
          <w:spacing w:val="-1"/>
          <w:sz w:val="16"/>
        </w:rPr>
        <w:t>spreadsheet (</w:t>
      </w:r>
      <w:r>
        <w:rPr>
          <w:rFonts w:ascii="Avenir Next"/>
          <w:i/>
          <w:spacing w:val="-1"/>
          <w:sz w:val="16"/>
        </w:rPr>
        <w:t xml:space="preserve">Water </w:t>
      </w:r>
      <w:r>
        <w:rPr>
          <w:rFonts w:ascii="Avenir Next"/>
          <w:i/>
          <w:sz w:val="16"/>
        </w:rPr>
        <w:t>security</w:t>
      </w:r>
      <w:r>
        <w:rPr>
          <w:rFonts w:ascii="Avenir Next"/>
          <w:i/>
          <w:spacing w:val="-1"/>
          <w:sz w:val="16"/>
        </w:rPr>
        <w:t xml:space="preserve"> projects_benefits </w:t>
      </w:r>
      <w:r>
        <w:rPr>
          <w:rFonts w:ascii="Avenir Next"/>
          <w:i/>
          <w:sz w:val="16"/>
        </w:rPr>
        <w:t>and</w:t>
      </w:r>
      <w:r>
        <w:rPr>
          <w:rFonts w:ascii="Avenir Next"/>
          <w:i/>
          <w:spacing w:val="-2"/>
          <w:sz w:val="16"/>
        </w:rPr>
        <w:t xml:space="preserve"> </w:t>
      </w:r>
      <w:r>
        <w:rPr>
          <w:rFonts w:ascii="Avenir Next"/>
          <w:i/>
          <w:spacing w:val="-1"/>
          <w:sz w:val="16"/>
        </w:rPr>
        <w:t xml:space="preserve">probability </w:t>
      </w:r>
      <w:r>
        <w:rPr>
          <w:rFonts w:ascii="Avenir Next"/>
          <w:i/>
          <w:sz w:val="16"/>
        </w:rPr>
        <w:t>of</w:t>
      </w:r>
      <w:r>
        <w:rPr>
          <w:rFonts w:ascii="Avenir Next"/>
          <w:i/>
          <w:spacing w:val="2"/>
          <w:sz w:val="16"/>
        </w:rPr>
        <w:t xml:space="preserve"> </w:t>
      </w:r>
      <w:r>
        <w:rPr>
          <w:rFonts w:ascii="Avenir Next"/>
          <w:i/>
          <w:spacing w:val="-1"/>
          <w:sz w:val="16"/>
        </w:rPr>
        <w:t>restriction profile.xlsx</w:t>
      </w:r>
      <w:r>
        <w:rPr>
          <w:rFonts w:ascii="Avenir Next"/>
          <w:spacing w:val="-1"/>
          <w:sz w:val="16"/>
        </w:rPr>
        <w:t>)</w:t>
      </w:r>
      <w:r>
        <w:rPr>
          <w:rFonts w:ascii="Avenir Next"/>
          <w:spacing w:val="-2"/>
          <w:sz w:val="16"/>
        </w:rPr>
        <w:t xml:space="preserve"> </w:t>
      </w:r>
      <w:r>
        <w:rPr>
          <w:rFonts w:ascii="Avenir Next"/>
          <w:spacing w:val="-1"/>
          <w:sz w:val="16"/>
        </w:rPr>
        <w:t>that</w:t>
      </w:r>
      <w:r>
        <w:rPr>
          <w:rFonts w:ascii="Avenir Next"/>
          <w:spacing w:val="119"/>
          <w:sz w:val="16"/>
        </w:rPr>
        <w:t xml:space="preserve"> </w:t>
      </w:r>
      <w:r>
        <w:rPr>
          <w:rFonts w:ascii="Avenir Next"/>
          <w:sz w:val="16"/>
        </w:rPr>
        <w:t>contained</w:t>
      </w:r>
      <w:r>
        <w:rPr>
          <w:rFonts w:ascii="Avenir Next"/>
          <w:spacing w:val="-1"/>
          <w:sz w:val="16"/>
        </w:rPr>
        <w:t xml:space="preserve"> </w:t>
      </w:r>
      <w:r>
        <w:rPr>
          <w:rFonts w:ascii="Avenir Next"/>
          <w:sz w:val="16"/>
        </w:rPr>
        <w:t xml:space="preserve">the outputs </w:t>
      </w:r>
      <w:r>
        <w:rPr>
          <w:rFonts w:ascii="Avenir Next"/>
          <w:spacing w:val="-1"/>
          <w:sz w:val="16"/>
        </w:rPr>
        <w:t xml:space="preserve">from </w:t>
      </w:r>
      <w:r>
        <w:rPr>
          <w:rFonts w:ascii="Avenir Next"/>
          <w:sz w:val="16"/>
        </w:rPr>
        <w:t>the benefits model</w:t>
      </w:r>
      <w:r>
        <w:rPr>
          <w:rFonts w:ascii="Avenir Next"/>
          <w:spacing w:val="-1"/>
          <w:sz w:val="16"/>
        </w:rPr>
        <w:t xml:space="preserve"> </w:t>
      </w:r>
      <w:r>
        <w:rPr>
          <w:rFonts w:ascii="Avenir Next"/>
          <w:sz w:val="16"/>
        </w:rPr>
        <w:t>for the ECD and</w:t>
      </w:r>
      <w:r>
        <w:rPr>
          <w:rFonts w:ascii="Avenir Next"/>
          <w:spacing w:val="-1"/>
          <w:sz w:val="16"/>
        </w:rPr>
        <w:t xml:space="preserve"> </w:t>
      </w:r>
      <w:r>
        <w:rPr>
          <w:rFonts w:ascii="Avenir Next"/>
          <w:sz w:val="16"/>
        </w:rPr>
        <w:t xml:space="preserve">M2G </w:t>
      </w:r>
      <w:r>
        <w:rPr>
          <w:rFonts w:ascii="Avenir Next"/>
          <w:spacing w:val="-1"/>
          <w:sz w:val="16"/>
        </w:rPr>
        <w:t>projects,</w:t>
      </w:r>
      <w:r>
        <w:rPr>
          <w:rFonts w:ascii="Avenir Next"/>
          <w:spacing w:val="-5"/>
          <w:sz w:val="16"/>
        </w:rPr>
        <w:t xml:space="preserve"> </w:t>
      </w:r>
      <w:r>
        <w:rPr>
          <w:rFonts w:ascii="Avenir Next"/>
          <w:sz w:val="16"/>
        </w:rPr>
        <w:t>but</w:t>
      </w:r>
      <w:r>
        <w:rPr>
          <w:rFonts w:ascii="Avenir Next"/>
          <w:spacing w:val="-1"/>
          <w:sz w:val="16"/>
        </w:rPr>
        <w:t xml:space="preserve"> </w:t>
      </w:r>
      <w:r>
        <w:rPr>
          <w:rFonts w:ascii="Avenir Next"/>
          <w:sz w:val="16"/>
        </w:rPr>
        <w:t xml:space="preserve">did not </w:t>
      </w:r>
      <w:r>
        <w:rPr>
          <w:rFonts w:ascii="Avenir Next"/>
          <w:spacing w:val="-1"/>
          <w:sz w:val="16"/>
        </w:rPr>
        <w:t>provide</w:t>
      </w:r>
      <w:r>
        <w:rPr>
          <w:rFonts w:ascii="Avenir Next"/>
          <w:sz w:val="16"/>
        </w:rPr>
        <w:t xml:space="preserve"> any</w:t>
      </w:r>
      <w:r>
        <w:rPr>
          <w:rFonts w:ascii="Avenir Next"/>
          <w:spacing w:val="-1"/>
          <w:sz w:val="16"/>
        </w:rPr>
        <w:t xml:space="preserve"> </w:t>
      </w:r>
      <w:r>
        <w:rPr>
          <w:rFonts w:ascii="Avenir Next"/>
          <w:sz w:val="16"/>
        </w:rPr>
        <w:t>detail about the</w:t>
      </w:r>
      <w:r>
        <w:rPr>
          <w:rFonts w:ascii="Avenir Next"/>
          <w:spacing w:val="23"/>
          <w:sz w:val="16"/>
        </w:rPr>
        <w:t xml:space="preserve"> </w:t>
      </w:r>
      <w:r>
        <w:rPr>
          <w:rFonts w:ascii="Avenir Next"/>
          <w:sz w:val="16"/>
        </w:rPr>
        <w:t>specific</w:t>
      </w:r>
      <w:r>
        <w:rPr>
          <w:rFonts w:ascii="Avenir Next"/>
          <w:spacing w:val="-2"/>
          <w:sz w:val="16"/>
        </w:rPr>
        <w:t xml:space="preserve"> </w:t>
      </w:r>
      <w:r>
        <w:rPr>
          <w:rFonts w:ascii="Avenir Next"/>
          <w:sz w:val="16"/>
        </w:rPr>
        <w:t>assumptions</w:t>
      </w:r>
      <w:r>
        <w:rPr>
          <w:rFonts w:ascii="Avenir Next"/>
          <w:spacing w:val="-1"/>
          <w:sz w:val="16"/>
        </w:rPr>
        <w:t xml:space="preserve"> </w:t>
      </w:r>
      <w:r>
        <w:rPr>
          <w:rFonts w:ascii="Avenir Next"/>
          <w:sz w:val="16"/>
        </w:rPr>
        <w:t>underlying</w:t>
      </w:r>
      <w:r>
        <w:rPr>
          <w:rFonts w:ascii="Avenir Next"/>
          <w:spacing w:val="-2"/>
          <w:sz w:val="16"/>
        </w:rPr>
        <w:t xml:space="preserve"> </w:t>
      </w:r>
      <w:r>
        <w:rPr>
          <w:rFonts w:ascii="Avenir Next"/>
          <w:sz w:val="16"/>
        </w:rPr>
        <w:t>this</w:t>
      </w:r>
      <w:r>
        <w:rPr>
          <w:rFonts w:ascii="Avenir Next"/>
          <w:spacing w:val="-1"/>
          <w:sz w:val="16"/>
        </w:rPr>
        <w:t xml:space="preserve"> </w:t>
      </w:r>
      <w:r>
        <w:rPr>
          <w:rFonts w:ascii="Avenir Next"/>
          <w:sz w:val="16"/>
        </w:rPr>
        <w:t>analysis.</w:t>
      </w:r>
    </w:p>
    <w:p w:rsidR="00D96B91" w:rsidRDefault="00D96B91">
      <w:pPr>
        <w:spacing w:before="12"/>
        <w:rPr>
          <w:rFonts w:ascii="Avenir Next" w:eastAsia="Avenir Next" w:hAnsi="Avenir Next" w:cs="Avenir Next"/>
          <w:sz w:val="10"/>
          <w:szCs w:val="10"/>
        </w:rPr>
      </w:pPr>
    </w:p>
    <w:p w:rsidR="00D96B91" w:rsidRDefault="00C2656B">
      <w:pPr>
        <w:numPr>
          <w:ilvl w:val="0"/>
          <w:numId w:val="79"/>
        </w:numPr>
        <w:tabs>
          <w:tab w:val="left" w:pos="1758"/>
        </w:tabs>
        <w:spacing w:line="192" w:lineRule="exact"/>
        <w:ind w:right="1411" w:hanging="510"/>
        <w:rPr>
          <w:rFonts w:ascii="Avenir Next" w:eastAsia="Avenir Next" w:hAnsi="Avenir Next" w:cs="Avenir Next"/>
          <w:sz w:val="16"/>
          <w:szCs w:val="16"/>
        </w:rPr>
      </w:pPr>
      <w:r>
        <w:rPr>
          <w:rFonts w:ascii="Avenir Next"/>
          <w:spacing w:val="-1"/>
          <w:sz w:val="16"/>
        </w:rPr>
        <w:t>This</w:t>
      </w:r>
      <w:r>
        <w:rPr>
          <w:rFonts w:ascii="Avenir Next"/>
          <w:sz w:val="16"/>
        </w:rPr>
        <w:t xml:space="preserve"> has been </w:t>
      </w:r>
      <w:r>
        <w:rPr>
          <w:rFonts w:ascii="Avenir Next"/>
          <w:spacing w:val="-1"/>
          <w:sz w:val="16"/>
        </w:rPr>
        <w:t>estimated</w:t>
      </w:r>
      <w:r>
        <w:rPr>
          <w:rFonts w:ascii="Avenir Next"/>
          <w:sz w:val="16"/>
        </w:rPr>
        <w:t xml:space="preserve"> on a </w:t>
      </w:r>
      <w:r>
        <w:rPr>
          <w:rFonts w:ascii="Avenir Next"/>
          <w:spacing w:val="-1"/>
          <w:sz w:val="16"/>
        </w:rPr>
        <w:t>present</w:t>
      </w:r>
      <w:r>
        <w:rPr>
          <w:rFonts w:ascii="Avenir Next"/>
          <w:sz w:val="16"/>
        </w:rPr>
        <w:t xml:space="preserve"> value basis using the </w:t>
      </w:r>
      <w:r>
        <w:rPr>
          <w:rFonts w:ascii="Avenir Next"/>
          <w:spacing w:val="-1"/>
          <w:sz w:val="16"/>
        </w:rPr>
        <w:t>rate</w:t>
      </w:r>
      <w:r>
        <w:rPr>
          <w:rFonts w:ascii="Avenir Next"/>
          <w:sz w:val="16"/>
        </w:rPr>
        <w:t xml:space="preserve"> of</w:t>
      </w:r>
      <w:r>
        <w:rPr>
          <w:rFonts w:ascii="Avenir Next"/>
          <w:spacing w:val="3"/>
          <w:sz w:val="16"/>
        </w:rPr>
        <w:t xml:space="preserve"> </w:t>
      </w:r>
      <w:r>
        <w:rPr>
          <w:rFonts w:ascii="Avenir Next"/>
          <w:spacing w:val="-1"/>
          <w:sz w:val="16"/>
        </w:rPr>
        <w:t>return</w:t>
      </w:r>
      <w:r>
        <w:rPr>
          <w:rFonts w:ascii="Avenir Next"/>
          <w:sz w:val="16"/>
        </w:rPr>
        <w:t xml:space="preserve"> allowed by the ICRC in the 2008 price </w:t>
      </w:r>
      <w:r>
        <w:rPr>
          <w:rFonts w:ascii="Avenir Next"/>
          <w:spacing w:val="-1"/>
          <w:sz w:val="16"/>
        </w:rPr>
        <w:t>direction</w:t>
      </w:r>
      <w:r>
        <w:rPr>
          <w:rFonts w:ascii="Avenir Next"/>
          <w:spacing w:val="43"/>
          <w:sz w:val="16"/>
        </w:rPr>
        <w:t xml:space="preserve"> </w:t>
      </w:r>
      <w:r>
        <w:rPr>
          <w:rFonts w:ascii="Avenir Next"/>
          <w:sz w:val="16"/>
        </w:rPr>
        <w:t>(9.65%).</w:t>
      </w:r>
    </w:p>
    <w:p w:rsidR="00D96B91" w:rsidRDefault="00D96B91">
      <w:pPr>
        <w:spacing w:before="12"/>
        <w:rPr>
          <w:rFonts w:ascii="Avenir Next" w:eastAsia="Avenir Next" w:hAnsi="Avenir Next" w:cs="Avenir Next"/>
          <w:sz w:val="10"/>
          <w:szCs w:val="10"/>
        </w:rPr>
      </w:pPr>
    </w:p>
    <w:p w:rsidR="00D96B91" w:rsidRDefault="00C2656B">
      <w:pPr>
        <w:numPr>
          <w:ilvl w:val="0"/>
          <w:numId w:val="79"/>
        </w:numPr>
        <w:tabs>
          <w:tab w:val="left" w:pos="1758"/>
        </w:tabs>
        <w:spacing w:line="192" w:lineRule="exact"/>
        <w:ind w:right="1327" w:hanging="510"/>
        <w:rPr>
          <w:rFonts w:ascii="Avenir Next" w:eastAsia="Avenir Next" w:hAnsi="Avenir Next" w:cs="Avenir Next"/>
          <w:sz w:val="16"/>
          <w:szCs w:val="16"/>
        </w:rPr>
      </w:pPr>
      <w:r>
        <w:rPr>
          <w:rFonts w:ascii="Avenir Next"/>
          <w:sz w:val="16"/>
        </w:rPr>
        <w:t xml:space="preserve">Note </w:t>
      </w:r>
      <w:r>
        <w:rPr>
          <w:rFonts w:ascii="Avenir Next"/>
          <w:spacing w:val="-1"/>
          <w:sz w:val="16"/>
        </w:rPr>
        <w:t>that</w:t>
      </w:r>
      <w:r>
        <w:rPr>
          <w:rFonts w:ascii="Avenir Next"/>
          <w:sz w:val="16"/>
        </w:rPr>
        <w:t xml:space="preserve"> the 100 </w:t>
      </w:r>
      <w:r>
        <w:rPr>
          <w:rFonts w:ascii="Avenir Next"/>
          <w:spacing w:val="-1"/>
          <w:sz w:val="16"/>
        </w:rPr>
        <w:t>year</w:t>
      </w:r>
      <w:r>
        <w:rPr>
          <w:rFonts w:ascii="Avenir Next"/>
          <w:sz w:val="16"/>
        </w:rPr>
        <w:t xml:space="preserve"> assumption was based on advice </w:t>
      </w:r>
      <w:r>
        <w:rPr>
          <w:rFonts w:ascii="Avenir Next"/>
          <w:spacing w:val="-1"/>
          <w:sz w:val="16"/>
        </w:rPr>
        <w:t>from</w:t>
      </w:r>
      <w:r>
        <w:rPr>
          <w:rFonts w:ascii="Avenir Next"/>
          <w:sz w:val="16"/>
        </w:rPr>
        <w:t xml:space="preserve"> </w:t>
      </w:r>
      <w:r>
        <w:rPr>
          <w:rFonts w:ascii="Avenir Next"/>
          <w:spacing w:val="-1"/>
          <w:sz w:val="16"/>
        </w:rPr>
        <w:t>Cardno</w:t>
      </w:r>
      <w:r>
        <w:rPr>
          <w:rFonts w:ascii="Avenir Next"/>
          <w:sz w:val="16"/>
        </w:rPr>
        <w:t xml:space="preserve"> about the economic life to assume for a dam,</w:t>
      </w:r>
      <w:r>
        <w:rPr>
          <w:rFonts w:ascii="Avenir Next"/>
          <w:spacing w:val="-5"/>
          <w:sz w:val="16"/>
        </w:rPr>
        <w:t xml:space="preserve"> </w:t>
      </w:r>
      <w:r>
        <w:rPr>
          <w:rFonts w:ascii="Avenir Next"/>
          <w:sz w:val="16"/>
        </w:rPr>
        <w:t>which</w:t>
      </w:r>
      <w:r>
        <w:rPr>
          <w:rFonts w:ascii="Avenir Next"/>
          <w:spacing w:val="27"/>
          <w:sz w:val="16"/>
        </w:rPr>
        <w:t xml:space="preserve"> </w:t>
      </w:r>
      <w:r>
        <w:rPr>
          <w:rFonts w:ascii="Avenir Next"/>
          <w:sz w:val="16"/>
        </w:rPr>
        <w:t xml:space="preserve">was informed by the asset lives adopted by other </w:t>
      </w:r>
      <w:r>
        <w:rPr>
          <w:rFonts w:ascii="Avenir Next"/>
          <w:spacing w:val="-1"/>
          <w:sz w:val="16"/>
        </w:rPr>
        <w:t>water</w:t>
      </w:r>
      <w:r>
        <w:rPr>
          <w:rFonts w:ascii="Avenir Next"/>
          <w:sz w:val="16"/>
        </w:rPr>
        <w:t xml:space="preserve"> utilities (82-107 </w:t>
      </w:r>
      <w:r>
        <w:rPr>
          <w:rFonts w:ascii="Avenir Next"/>
          <w:spacing w:val="-1"/>
          <w:sz w:val="16"/>
        </w:rPr>
        <w:t>years).</w:t>
      </w:r>
    </w:p>
    <w:p w:rsidR="00D96B91" w:rsidRDefault="00D96B91">
      <w:pPr>
        <w:spacing w:before="12"/>
        <w:rPr>
          <w:rFonts w:ascii="Avenir Next" w:eastAsia="Avenir Next" w:hAnsi="Avenir Next" w:cs="Avenir Next"/>
          <w:sz w:val="10"/>
          <w:szCs w:val="10"/>
        </w:rPr>
      </w:pPr>
    </w:p>
    <w:p w:rsidR="00D96B91" w:rsidRDefault="00C2656B">
      <w:pPr>
        <w:numPr>
          <w:ilvl w:val="0"/>
          <w:numId w:val="79"/>
        </w:numPr>
        <w:tabs>
          <w:tab w:val="left" w:pos="1758"/>
        </w:tabs>
        <w:spacing w:line="192" w:lineRule="exact"/>
        <w:ind w:right="1455" w:hanging="510"/>
        <w:rPr>
          <w:rFonts w:ascii="Avenir Next" w:eastAsia="Avenir Next" w:hAnsi="Avenir Next" w:cs="Avenir Next"/>
          <w:sz w:val="16"/>
          <w:szCs w:val="16"/>
        </w:rPr>
      </w:pPr>
      <w:r>
        <w:rPr>
          <w:rFonts w:ascii="Avenir Next"/>
          <w:spacing w:val="-1"/>
          <w:sz w:val="16"/>
        </w:rPr>
        <w:t>The</w:t>
      </w:r>
      <w:r>
        <w:rPr>
          <w:rFonts w:ascii="Avenir Next"/>
          <w:sz w:val="16"/>
        </w:rPr>
        <w:t xml:space="preserve"> ICRC </w:t>
      </w:r>
      <w:r>
        <w:rPr>
          <w:rFonts w:ascii="Avenir Next"/>
          <w:spacing w:val="-1"/>
          <w:sz w:val="16"/>
        </w:rPr>
        <w:t>likened</w:t>
      </w:r>
      <w:r>
        <w:rPr>
          <w:rFonts w:ascii="Avenir Next"/>
          <w:sz w:val="16"/>
        </w:rPr>
        <w:t xml:space="preserve"> this </w:t>
      </w:r>
      <w:r>
        <w:rPr>
          <w:rFonts w:ascii="Avenir Next"/>
          <w:spacing w:val="-1"/>
          <w:sz w:val="16"/>
        </w:rPr>
        <w:t>alternative</w:t>
      </w:r>
      <w:r>
        <w:rPr>
          <w:rFonts w:ascii="Avenir Next"/>
          <w:sz w:val="16"/>
        </w:rPr>
        <w:t xml:space="preserve"> to the </w:t>
      </w:r>
      <w:r>
        <w:rPr>
          <w:rFonts w:ascii="Avenir Next"/>
          <w:spacing w:val="-1"/>
          <w:sz w:val="16"/>
        </w:rPr>
        <w:t>repayment</w:t>
      </w:r>
      <w:r>
        <w:rPr>
          <w:rFonts w:ascii="Avenir Next"/>
          <w:sz w:val="16"/>
        </w:rPr>
        <w:t xml:space="preserve"> of</w:t>
      </w:r>
      <w:r>
        <w:rPr>
          <w:rFonts w:ascii="Avenir Next"/>
          <w:spacing w:val="3"/>
          <w:sz w:val="16"/>
        </w:rPr>
        <w:t xml:space="preserve"> </w:t>
      </w:r>
      <w:r>
        <w:rPr>
          <w:rFonts w:ascii="Avenir Next"/>
          <w:sz w:val="16"/>
        </w:rPr>
        <w:t xml:space="preserve">a </w:t>
      </w:r>
      <w:r>
        <w:rPr>
          <w:rFonts w:ascii="Avenir Next"/>
          <w:spacing w:val="-1"/>
          <w:sz w:val="16"/>
        </w:rPr>
        <w:t>mortgage,</w:t>
      </w:r>
      <w:r>
        <w:rPr>
          <w:rFonts w:ascii="Avenir Next"/>
          <w:spacing w:val="-5"/>
          <w:sz w:val="16"/>
        </w:rPr>
        <w:t xml:space="preserve"> </w:t>
      </w:r>
      <w:r>
        <w:rPr>
          <w:rFonts w:ascii="Avenir Next"/>
          <w:spacing w:val="-1"/>
          <w:sz w:val="16"/>
        </w:rPr>
        <w:t>where</w:t>
      </w:r>
      <w:r>
        <w:rPr>
          <w:rFonts w:ascii="Avenir Next"/>
          <w:sz w:val="16"/>
        </w:rPr>
        <w:t xml:space="preserve"> the </w:t>
      </w:r>
      <w:r>
        <w:rPr>
          <w:rFonts w:ascii="Avenir Next"/>
          <w:spacing w:val="-1"/>
          <w:sz w:val="16"/>
        </w:rPr>
        <w:t>return</w:t>
      </w:r>
      <w:r>
        <w:rPr>
          <w:rFonts w:ascii="Avenir Next"/>
          <w:sz w:val="16"/>
        </w:rPr>
        <w:t xml:space="preserve"> on capital and </w:t>
      </w:r>
      <w:r>
        <w:rPr>
          <w:rFonts w:ascii="Avenir Next"/>
          <w:spacing w:val="-1"/>
          <w:sz w:val="16"/>
        </w:rPr>
        <w:t>depreciation</w:t>
      </w:r>
      <w:r>
        <w:rPr>
          <w:rFonts w:ascii="Avenir Next"/>
          <w:sz w:val="16"/>
        </w:rPr>
        <w:t xml:space="preserve"> building</w:t>
      </w:r>
      <w:r>
        <w:rPr>
          <w:rFonts w:ascii="Avenir Next"/>
          <w:spacing w:val="77"/>
          <w:sz w:val="16"/>
        </w:rPr>
        <w:t xml:space="preserve"> </w:t>
      </w:r>
      <w:r>
        <w:rPr>
          <w:rFonts w:ascii="Avenir Next"/>
          <w:spacing w:val="-1"/>
          <w:sz w:val="16"/>
        </w:rPr>
        <w:t xml:space="preserve">blocks </w:t>
      </w:r>
      <w:r>
        <w:rPr>
          <w:rFonts w:ascii="Avenir Next"/>
          <w:sz w:val="16"/>
        </w:rPr>
        <w:t>(ie,</w:t>
      </w:r>
      <w:r>
        <w:rPr>
          <w:rFonts w:ascii="Avenir Next"/>
          <w:spacing w:val="-5"/>
          <w:sz w:val="16"/>
        </w:rPr>
        <w:t xml:space="preserve"> </w:t>
      </w:r>
      <w:r>
        <w:rPr>
          <w:rFonts w:ascii="Avenir Next"/>
          <w:spacing w:val="-1"/>
          <w:sz w:val="16"/>
        </w:rPr>
        <w:t>interest</w:t>
      </w:r>
      <w:r>
        <w:rPr>
          <w:rFonts w:ascii="Avenir Next"/>
          <w:sz w:val="16"/>
        </w:rPr>
        <w:t xml:space="preserve"> and principal) </w:t>
      </w:r>
      <w:r>
        <w:rPr>
          <w:rFonts w:ascii="Avenir Next"/>
          <w:spacing w:val="-1"/>
          <w:sz w:val="16"/>
        </w:rPr>
        <w:t>are</w:t>
      </w:r>
      <w:r>
        <w:rPr>
          <w:rFonts w:ascii="Avenir Next"/>
          <w:sz w:val="16"/>
        </w:rPr>
        <w:t xml:space="preserve"> </w:t>
      </w:r>
      <w:r>
        <w:rPr>
          <w:rFonts w:ascii="Avenir Next"/>
          <w:spacing w:val="-1"/>
          <w:sz w:val="16"/>
        </w:rPr>
        <w:t>recovered</w:t>
      </w:r>
      <w:r>
        <w:rPr>
          <w:rFonts w:ascii="Avenir Next"/>
          <w:sz w:val="16"/>
        </w:rPr>
        <w:t xml:space="preserve"> </w:t>
      </w:r>
      <w:r>
        <w:rPr>
          <w:rFonts w:ascii="Avenir Next"/>
          <w:spacing w:val="-1"/>
          <w:sz w:val="16"/>
        </w:rPr>
        <w:t>through</w:t>
      </w:r>
      <w:r>
        <w:rPr>
          <w:rFonts w:ascii="Avenir Next"/>
          <w:sz w:val="16"/>
        </w:rPr>
        <w:t xml:space="preserve"> a uniform payment,</w:t>
      </w:r>
      <w:r>
        <w:rPr>
          <w:rFonts w:ascii="Avenir Next"/>
          <w:spacing w:val="-5"/>
          <w:sz w:val="16"/>
        </w:rPr>
        <w:t xml:space="preserve"> </w:t>
      </w:r>
      <w:r>
        <w:rPr>
          <w:rFonts w:ascii="Avenir Next"/>
          <w:sz w:val="16"/>
        </w:rPr>
        <w:t xml:space="preserve">which is </w:t>
      </w:r>
      <w:r>
        <w:rPr>
          <w:rFonts w:ascii="Avenir Next"/>
          <w:spacing w:val="-1"/>
          <w:sz w:val="16"/>
        </w:rPr>
        <w:t xml:space="preserve">fixed </w:t>
      </w:r>
      <w:r>
        <w:rPr>
          <w:rFonts w:ascii="Avenir Next"/>
          <w:sz w:val="16"/>
        </w:rPr>
        <w:t>for the life of</w:t>
      </w:r>
      <w:r>
        <w:rPr>
          <w:rFonts w:ascii="Avenir Next"/>
          <w:spacing w:val="3"/>
          <w:sz w:val="16"/>
        </w:rPr>
        <w:t xml:space="preserve"> </w:t>
      </w:r>
      <w:r>
        <w:rPr>
          <w:rFonts w:ascii="Avenir Next"/>
          <w:sz w:val="16"/>
        </w:rPr>
        <w:t xml:space="preserve">the loan but </w:t>
      </w:r>
      <w:r>
        <w:rPr>
          <w:rFonts w:ascii="Avenir Next"/>
          <w:spacing w:val="-1"/>
          <w:sz w:val="16"/>
        </w:rPr>
        <w:t>at</w:t>
      </w:r>
      <w:r>
        <w:rPr>
          <w:rFonts w:ascii="Avenir Next"/>
          <w:spacing w:val="43"/>
          <w:sz w:val="16"/>
        </w:rPr>
        <w:t xml:space="preserve"> </w:t>
      </w:r>
      <w:r>
        <w:rPr>
          <w:rFonts w:ascii="Avenir Next"/>
          <w:spacing w:val="-1"/>
          <w:sz w:val="16"/>
        </w:rPr>
        <w:t>different</w:t>
      </w:r>
      <w:r>
        <w:rPr>
          <w:rFonts w:ascii="Avenir Next"/>
          <w:sz w:val="16"/>
        </w:rPr>
        <w:t xml:space="preserve"> points in time consists of</w:t>
      </w:r>
      <w:r>
        <w:rPr>
          <w:rFonts w:ascii="Avenir Next"/>
          <w:spacing w:val="3"/>
          <w:sz w:val="16"/>
        </w:rPr>
        <w:t xml:space="preserve"> </w:t>
      </w:r>
      <w:r>
        <w:rPr>
          <w:rFonts w:ascii="Avenir Next"/>
          <w:sz w:val="16"/>
        </w:rPr>
        <w:t xml:space="preserve">a </w:t>
      </w:r>
      <w:r>
        <w:rPr>
          <w:rFonts w:ascii="Avenir Next"/>
          <w:spacing w:val="-1"/>
          <w:sz w:val="16"/>
        </w:rPr>
        <w:t>different</w:t>
      </w:r>
      <w:r>
        <w:rPr>
          <w:rFonts w:ascii="Avenir Next"/>
          <w:sz w:val="16"/>
        </w:rPr>
        <w:t xml:space="preserve"> allowance for the </w:t>
      </w:r>
      <w:r>
        <w:rPr>
          <w:rFonts w:ascii="Avenir Next"/>
          <w:spacing w:val="-1"/>
          <w:sz w:val="16"/>
        </w:rPr>
        <w:t>return</w:t>
      </w:r>
      <w:r>
        <w:rPr>
          <w:rFonts w:ascii="Avenir Next"/>
          <w:sz w:val="16"/>
        </w:rPr>
        <w:t xml:space="preserve"> on capital and </w:t>
      </w:r>
      <w:r>
        <w:rPr>
          <w:rFonts w:ascii="Avenir Next"/>
          <w:spacing w:val="-1"/>
          <w:sz w:val="16"/>
        </w:rPr>
        <w:t>depreciation</w:t>
      </w:r>
      <w:r>
        <w:rPr>
          <w:rFonts w:ascii="Avenir Next"/>
          <w:sz w:val="16"/>
        </w:rPr>
        <w:t xml:space="preserve"> components.</w:t>
      </w:r>
    </w:p>
    <w:p w:rsidR="00D96B91" w:rsidRDefault="00C2656B">
      <w:pPr>
        <w:numPr>
          <w:ilvl w:val="0"/>
          <w:numId w:val="79"/>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pacing w:val="-1"/>
          <w:sz w:val="16"/>
          <w:szCs w:val="16"/>
        </w:rPr>
        <w:t xml:space="preserve">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inclining </w:t>
      </w:r>
      <w:r>
        <w:rPr>
          <w:rFonts w:ascii="Avenir Next" w:eastAsia="Avenir Next" w:hAnsi="Avenir Next" w:cs="Avenir Next"/>
          <w:spacing w:val="-1"/>
          <w:sz w:val="16"/>
          <w:szCs w:val="16"/>
        </w:rPr>
        <w:t>profile</w:t>
      </w:r>
      <w:r>
        <w:rPr>
          <w:rFonts w:ascii="Avenir Next" w:eastAsia="Avenir Next" w:hAnsi="Avenir Next" w:cs="Avenir Next"/>
          <w:sz w:val="16"/>
          <w:szCs w:val="16"/>
        </w:rPr>
        <w:t xml:space="preserve"> was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determined having </w:t>
      </w:r>
      <w:r>
        <w:rPr>
          <w:rFonts w:ascii="Avenir Next" w:eastAsia="Avenir Next" w:hAnsi="Avenir Next" w:cs="Avenir Next"/>
          <w:spacing w:val="-1"/>
          <w:sz w:val="16"/>
          <w:szCs w:val="16"/>
        </w:rPr>
        <w:t>regard</w:t>
      </w:r>
      <w:r>
        <w:rPr>
          <w:rFonts w:ascii="Avenir Next" w:eastAsia="Avenir Next" w:hAnsi="Avenir Next" w:cs="Avenir Next"/>
          <w:sz w:val="16"/>
          <w:szCs w:val="16"/>
        </w:rPr>
        <w:t xml:space="preserve"> to</w:t>
      </w:r>
      <w:r>
        <w:rPr>
          <w:rFonts w:ascii="Avenir Next" w:eastAsia="Avenir Next" w:hAnsi="Avenir Next" w:cs="Avenir Next"/>
          <w:spacing w:val="-1"/>
          <w:sz w:val="16"/>
          <w:szCs w:val="16"/>
        </w:rPr>
        <w:t xml:space="preserve"> projected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population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growth</w:t>
      </w:r>
      <w:r>
        <w:rPr>
          <w:rFonts w:ascii="Avenir Next" w:eastAsia="Avenir Next" w:hAnsi="Avenir Next" w:cs="Avenir Next"/>
          <w:sz w:val="16"/>
          <w:szCs w:val="16"/>
        </w:rPr>
        <w:t xml:space="preserve"> and wages</w:t>
      </w:r>
      <w:r>
        <w:rPr>
          <w:rFonts w:ascii="Avenir Next" w:eastAsia="Avenir Next" w:hAnsi="Avenir Next" w:cs="Avenir Next"/>
          <w:spacing w:val="-1"/>
          <w:sz w:val="16"/>
          <w:szCs w:val="16"/>
        </w:rPr>
        <w:t xml:space="preserve"> growth.</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56"/>
        <w:rPr>
          <w:sz w:val="11"/>
          <w:szCs w:val="11"/>
        </w:rPr>
      </w:pPr>
      <w:r>
        <w:t>In</w:t>
      </w:r>
      <w:r>
        <w:rPr>
          <w:spacing w:val="-2"/>
        </w:rPr>
        <w:t xml:space="preserve"> </w:t>
      </w:r>
      <w:r>
        <w:t>its</w:t>
      </w:r>
      <w:r>
        <w:rPr>
          <w:spacing w:val="-1"/>
        </w:rPr>
        <w:t xml:space="preserve"> </w:t>
      </w:r>
      <w:r>
        <w:t>final</w:t>
      </w:r>
      <w:r>
        <w:rPr>
          <w:spacing w:val="-1"/>
        </w:rPr>
        <w:t xml:space="preserve"> </w:t>
      </w:r>
      <w:r>
        <w:t>decision,</w:t>
      </w:r>
      <w:r>
        <w:rPr>
          <w:spacing w:val="-7"/>
        </w:rPr>
        <w:t xml:space="preserve"> </w:t>
      </w:r>
      <w:r>
        <w:t>the</w:t>
      </w:r>
      <w:r>
        <w:rPr>
          <w:spacing w:val="-1"/>
        </w:rPr>
        <w:t xml:space="preserve"> </w:t>
      </w:r>
      <w:r>
        <w:t>ICRC</w:t>
      </w:r>
      <w:r>
        <w:rPr>
          <w:spacing w:val="-1"/>
        </w:rPr>
        <w:t xml:space="preserve"> </w:t>
      </w:r>
      <w:r>
        <w:t>noted</w:t>
      </w:r>
      <w:r>
        <w:rPr>
          <w:spacing w:val="-1"/>
        </w:rPr>
        <w:t xml:space="preserve"> that </w:t>
      </w:r>
      <w:r>
        <w:t>while</w:t>
      </w:r>
      <w:r>
        <w:rPr>
          <w:spacing w:val="-1"/>
        </w:rPr>
        <w:t xml:space="preserve"> </w:t>
      </w:r>
      <w:r>
        <w:t>the</w:t>
      </w:r>
      <w:r>
        <w:rPr>
          <w:spacing w:val="-2"/>
        </w:rPr>
        <w:t xml:space="preserve"> </w:t>
      </w:r>
      <w:r>
        <w:t>inclining</w:t>
      </w:r>
      <w:r>
        <w:rPr>
          <w:spacing w:val="-1"/>
        </w:rPr>
        <w:t xml:space="preserve"> </w:t>
      </w:r>
      <w:r>
        <w:t>capital</w:t>
      </w:r>
      <w:r>
        <w:rPr>
          <w:spacing w:val="-1"/>
        </w:rPr>
        <w:t xml:space="preserve"> </w:t>
      </w:r>
      <w:r>
        <w:t>cost</w:t>
      </w:r>
      <w:r>
        <w:rPr>
          <w:spacing w:val="-1"/>
        </w:rPr>
        <w:t xml:space="preserve"> recovery profile </w:t>
      </w:r>
      <w:r>
        <w:t>had</w:t>
      </w:r>
      <w:r>
        <w:rPr>
          <w:spacing w:val="-1"/>
        </w:rPr>
        <w:t xml:space="preserve"> </w:t>
      </w:r>
      <w:r>
        <w:t>“significant</w:t>
      </w:r>
      <w:r>
        <w:rPr>
          <w:spacing w:val="30"/>
          <w:w w:val="99"/>
        </w:rPr>
        <w:t xml:space="preserve"> </w:t>
      </w:r>
      <w:r>
        <w:rPr>
          <w:spacing w:val="-1"/>
        </w:rPr>
        <w:t>theoretical</w:t>
      </w:r>
      <w:r>
        <w:t xml:space="preserve"> meri</w:t>
      </w:r>
      <w:r>
        <w:rPr>
          <w:spacing w:val="4"/>
        </w:rPr>
        <w:t>t</w:t>
      </w:r>
      <w:r>
        <w:rPr>
          <w:spacing w:val="-24"/>
        </w:rPr>
        <w:t>”</w:t>
      </w:r>
      <w:r>
        <w:t>,</w:t>
      </w:r>
      <w:r>
        <w:rPr>
          <w:spacing w:val="-6"/>
        </w:rPr>
        <w:t xml:space="preserve"> </w:t>
      </w:r>
      <w:r>
        <w:rPr>
          <w:spacing w:val="-1"/>
        </w:rPr>
        <w:t>several</w:t>
      </w:r>
      <w:r>
        <w:t xml:space="preserve"> </w:t>
      </w:r>
      <w:r>
        <w:rPr>
          <w:spacing w:val="-1"/>
        </w:rPr>
        <w:t>limitations</w:t>
      </w:r>
      <w:r>
        <w:t xml:space="preserve"> would undermine its intent,</w:t>
      </w:r>
      <w:r>
        <w:rPr>
          <w:spacing w:val="-7"/>
        </w:rPr>
        <w:t xml:space="preserve"> </w:t>
      </w:r>
      <w:r>
        <w:t>including the potential for it to</w:t>
      </w:r>
      <w:r>
        <w:rPr>
          <w:spacing w:val="21"/>
        </w:rPr>
        <w:t xml:space="preserve"> </w:t>
      </w:r>
      <w:r>
        <w:t>adversely</w:t>
      </w:r>
      <w:r>
        <w:rPr>
          <w:spacing w:val="-1"/>
        </w:rPr>
        <w:t xml:space="preserve"> affect</w:t>
      </w:r>
      <w:r>
        <w:rPr>
          <w:spacing w:val="-4"/>
        </w:rPr>
        <w:t xml:space="preserve"> </w:t>
      </w:r>
      <w:r>
        <w:rPr>
          <w:spacing w:val="-2"/>
        </w:rPr>
        <w:t>ACTEW’s</w:t>
      </w:r>
      <w:r>
        <w:t xml:space="preserve"> </w:t>
      </w:r>
      <w:r>
        <w:rPr>
          <w:spacing w:val="-1"/>
        </w:rPr>
        <w:t>short-term</w:t>
      </w:r>
      <w:r>
        <w:t xml:space="preserve"> financial </w:t>
      </w:r>
      <w:r>
        <w:rPr>
          <w:spacing w:val="-1"/>
        </w:rPr>
        <w:t>viability.</w:t>
      </w:r>
      <w:r>
        <w:rPr>
          <w:spacing w:val="-1"/>
          <w:position w:val="7"/>
          <w:sz w:val="11"/>
          <w:szCs w:val="11"/>
        </w:rPr>
        <w:t>86</w:t>
      </w:r>
      <w:r>
        <w:rPr>
          <w:spacing w:val="17"/>
          <w:position w:val="7"/>
          <w:sz w:val="11"/>
          <w:szCs w:val="11"/>
        </w:rPr>
        <w:t xml:space="preserve"> </w:t>
      </w:r>
      <w:r>
        <w:rPr>
          <w:rFonts w:cs="Avenir Next"/>
          <w:spacing w:val="-2"/>
        </w:rPr>
        <w:t>Therefore,</w:t>
      </w:r>
      <w:r>
        <w:rPr>
          <w:rFonts w:cs="Avenir Next"/>
          <w:spacing w:val="-6"/>
        </w:rPr>
        <w:t xml:space="preserve"> </w:t>
      </w:r>
      <w:r>
        <w:rPr>
          <w:rFonts w:cs="Avenir Next"/>
        </w:rPr>
        <w:t xml:space="preserve">it decided to </w:t>
      </w:r>
      <w:r>
        <w:rPr>
          <w:rFonts w:cs="Avenir Next"/>
          <w:spacing w:val="-1"/>
        </w:rPr>
        <w:t>deal</w:t>
      </w:r>
      <w:r>
        <w:rPr>
          <w:rFonts w:cs="Avenir Next"/>
        </w:rPr>
        <w:t xml:space="preserve"> with the</w:t>
      </w:r>
      <w:r>
        <w:rPr>
          <w:rFonts w:cs="Avenir Next"/>
          <w:spacing w:val="49"/>
        </w:rPr>
        <w:t xml:space="preserve"> </w:t>
      </w:r>
      <w:r>
        <w:rPr>
          <w:rFonts w:cs="Avenir Next"/>
          <w:spacing w:val="-1"/>
        </w:rPr>
        <w:t>intergenerational</w:t>
      </w:r>
      <w:r>
        <w:rPr>
          <w:rFonts w:cs="Avenir Next"/>
        </w:rPr>
        <w:t xml:space="preserve"> equity</w:t>
      </w:r>
      <w:r>
        <w:rPr>
          <w:rFonts w:cs="Avenir Next"/>
          <w:spacing w:val="1"/>
        </w:rPr>
        <w:t xml:space="preserve"> </w:t>
      </w:r>
      <w:r>
        <w:rPr>
          <w:rFonts w:cs="Avenir Next"/>
        </w:rPr>
        <w:t>issues posed</w:t>
      </w:r>
      <w:r>
        <w:rPr>
          <w:rFonts w:cs="Avenir Next"/>
          <w:spacing w:val="1"/>
        </w:rPr>
        <w:t xml:space="preserve"> </w:t>
      </w:r>
      <w:r>
        <w:rPr>
          <w:rFonts w:cs="Avenir Next"/>
        </w:rPr>
        <w:t>by</w:t>
      </w:r>
      <w:r>
        <w:rPr>
          <w:rFonts w:cs="Avenir Next"/>
          <w:spacing w:val="1"/>
        </w:rPr>
        <w:t xml:space="preserve"> </w:t>
      </w:r>
      <w:r>
        <w:rPr>
          <w:rFonts w:cs="Avenir Next"/>
        </w:rPr>
        <w:t xml:space="preserve">the </w:t>
      </w:r>
      <w:r>
        <w:rPr>
          <w:rFonts w:cs="Avenir Next"/>
          <w:spacing w:val="-1"/>
        </w:rPr>
        <w:t>water</w:t>
      </w:r>
      <w:r>
        <w:rPr>
          <w:rFonts w:cs="Avenir Next"/>
          <w:spacing w:val="1"/>
        </w:rPr>
        <w:t xml:space="preserve"> </w:t>
      </w:r>
      <w:r>
        <w:rPr>
          <w:rFonts w:cs="Avenir Next"/>
        </w:rPr>
        <w:t>security</w:t>
      </w:r>
      <w:r>
        <w:rPr>
          <w:rFonts w:cs="Avenir Next"/>
          <w:spacing w:val="1"/>
        </w:rPr>
        <w:t xml:space="preserve"> </w:t>
      </w:r>
      <w:r>
        <w:rPr>
          <w:rFonts w:cs="Avenir Next"/>
          <w:spacing w:val="-1"/>
        </w:rPr>
        <w:t>projects</w:t>
      </w:r>
      <w:r>
        <w:rPr>
          <w:rFonts w:cs="Avenir Next"/>
        </w:rPr>
        <w:t xml:space="preserve"> by:</w:t>
      </w:r>
      <w:r>
        <w:rPr>
          <w:rFonts w:cs="Avenir Next"/>
          <w:spacing w:val="1"/>
        </w:rPr>
        <w:t xml:space="preserve"> </w:t>
      </w:r>
      <w:r>
        <w:rPr>
          <w:position w:val="7"/>
          <w:sz w:val="11"/>
          <w:szCs w:val="11"/>
        </w:rPr>
        <w:t>87</w:t>
      </w:r>
    </w:p>
    <w:p w:rsidR="00D96B91" w:rsidRDefault="00C2656B">
      <w:pPr>
        <w:pStyle w:val="BodyText"/>
        <w:numPr>
          <w:ilvl w:val="0"/>
          <w:numId w:val="131"/>
        </w:numPr>
        <w:tabs>
          <w:tab w:val="left" w:pos="1531"/>
        </w:tabs>
        <w:spacing w:before="170" w:line="260" w:lineRule="exact"/>
        <w:ind w:right="1613" w:hanging="283"/>
      </w:pPr>
      <w:r>
        <w:t xml:space="preserve">using a </w:t>
      </w:r>
      <w:r>
        <w:rPr>
          <w:spacing w:val="-1"/>
        </w:rPr>
        <w:t>straight</w:t>
      </w:r>
      <w:r>
        <w:t xml:space="preserve"> line </w:t>
      </w:r>
      <w:r>
        <w:rPr>
          <w:spacing w:val="-1"/>
        </w:rPr>
        <w:t>depreciation</w:t>
      </w:r>
      <w:r>
        <w:t xml:space="preserve"> </w:t>
      </w:r>
      <w:r>
        <w:rPr>
          <w:spacing w:val="-1"/>
        </w:rPr>
        <w:t>approach</w:t>
      </w:r>
      <w:r>
        <w:t xml:space="preserve"> and </w:t>
      </w:r>
      <w:r>
        <w:rPr>
          <w:spacing w:val="-1"/>
        </w:rPr>
        <w:t>extending</w:t>
      </w:r>
      <w:r>
        <w:t xml:space="preserve"> the period over which the costs of</w:t>
      </w:r>
      <w:r>
        <w:rPr>
          <w:spacing w:val="4"/>
        </w:rPr>
        <w:t xml:space="preserve"> </w:t>
      </w:r>
      <w:r>
        <w:t>the</w:t>
      </w:r>
      <w:r>
        <w:rPr>
          <w:spacing w:val="45"/>
        </w:rPr>
        <w:t xml:space="preserve"> </w:t>
      </w:r>
      <w:r>
        <w:t xml:space="preserve">ECD would be </w:t>
      </w:r>
      <w:r>
        <w:rPr>
          <w:spacing w:val="-1"/>
        </w:rPr>
        <w:t>recovered</w:t>
      </w:r>
      <w:r>
        <w:t xml:space="preserve"> </w:t>
      </w:r>
      <w:r>
        <w:rPr>
          <w:spacing w:val="-1"/>
        </w:rPr>
        <w:t>from</w:t>
      </w:r>
      <w:r>
        <w:t xml:space="preserve"> </w:t>
      </w:r>
      <w:r>
        <w:rPr>
          <w:spacing w:val="-1"/>
        </w:rPr>
        <w:t>water</w:t>
      </w:r>
      <w:r>
        <w:t xml:space="preserve"> customers </w:t>
      </w:r>
      <w:r>
        <w:rPr>
          <w:spacing w:val="-1"/>
        </w:rPr>
        <w:t>from</w:t>
      </w:r>
      <w:r>
        <w:t xml:space="preserve"> 66 </w:t>
      </w:r>
      <w:r>
        <w:rPr>
          <w:spacing w:val="-1"/>
        </w:rPr>
        <w:t>years</w:t>
      </w:r>
      <w:r>
        <w:t xml:space="preserve"> to 100 </w:t>
      </w:r>
      <w:r>
        <w:rPr>
          <w:spacing w:val="-1"/>
        </w:rPr>
        <w:t>years,</w:t>
      </w:r>
      <w:r>
        <w:rPr>
          <w:spacing w:val="-6"/>
        </w:rPr>
        <w:t xml:space="preserve"> </w:t>
      </w:r>
      <w:r>
        <w:t>and</w:t>
      </w:r>
    </w:p>
    <w:p w:rsidR="00D96B91" w:rsidRDefault="00C2656B">
      <w:pPr>
        <w:pStyle w:val="BodyText"/>
        <w:numPr>
          <w:ilvl w:val="0"/>
          <w:numId w:val="131"/>
        </w:numPr>
        <w:tabs>
          <w:tab w:val="left" w:pos="1531"/>
        </w:tabs>
        <w:spacing w:before="85" w:line="260" w:lineRule="exact"/>
        <w:ind w:right="1331" w:hanging="283"/>
        <w:rPr>
          <w:sz w:val="11"/>
          <w:szCs w:val="11"/>
        </w:rPr>
      </w:pPr>
      <w:r>
        <w:rPr>
          <w:spacing w:val="-1"/>
        </w:rPr>
        <w:t>transferring</w:t>
      </w:r>
      <w:r>
        <w:t xml:space="preserve"> the task of</w:t>
      </w:r>
      <w:r>
        <w:rPr>
          <w:spacing w:val="4"/>
        </w:rPr>
        <w:t xml:space="preserve"> </w:t>
      </w:r>
      <w:r>
        <w:rPr>
          <w:spacing w:val="-1"/>
        </w:rPr>
        <w:t>dealing</w:t>
      </w:r>
      <w:r>
        <w:t xml:space="preserve"> with the </w:t>
      </w:r>
      <w:r>
        <w:rPr>
          <w:spacing w:val="-1"/>
        </w:rPr>
        <w:t>intergenerational</w:t>
      </w:r>
      <w:r>
        <w:t xml:space="preserve"> issue to the</w:t>
      </w:r>
      <w:r>
        <w:rPr>
          <w:spacing w:val="-4"/>
        </w:rPr>
        <w:t xml:space="preserve"> </w:t>
      </w:r>
      <w:r>
        <w:rPr>
          <w:spacing w:val="-2"/>
        </w:rPr>
        <w:t>ACT</w:t>
      </w:r>
      <w:r>
        <w:rPr>
          <w:spacing w:val="-5"/>
        </w:rPr>
        <w:t xml:space="preserve"> </w:t>
      </w:r>
      <w:r>
        <w:t xml:space="preserve">Government by </w:t>
      </w:r>
      <w:r>
        <w:rPr>
          <w:spacing w:val="-1"/>
        </w:rPr>
        <w:t>reducing</w:t>
      </w:r>
      <w:r>
        <w:rPr>
          <w:spacing w:val="53"/>
        </w:rPr>
        <w:t xml:space="preserve"> </w:t>
      </w:r>
      <w:r>
        <w:t>the cost</w:t>
      </w:r>
      <w:r>
        <w:rPr>
          <w:spacing w:val="1"/>
        </w:rPr>
        <w:t xml:space="preserve"> </w:t>
      </w:r>
      <w:r>
        <w:t>of</w:t>
      </w:r>
      <w:r>
        <w:rPr>
          <w:spacing w:val="4"/>
        </w:rPr>
        <w:t xml:space="preserve"> </w:t>
      </w:r>
      <w:r>
        <w:t>equity</w:t>
      </w:r>
      <w:r>
        <w:rPr>
          <w:spacing w:val="1"/>
        </w:rPr>
        <w:t xml:space="preserve"> </w:t>
      </w:r>
      <w:r>
        <w:t>to</w:t>
      </w:r>
      <w:r>
        <w:rPr>
          <w:spacing w:val="1"/>
        </w:rPr>
        <w:t xml:space="preserve"> </w:t>
      </w:r>
      <w:r>
        <w:t>between 2.8%</w:t>
      </w:r>
      <w:r>
        <w:rPr>
          <w:spacing w:val="1"/>
        </w:rPr>
        <w:t xml:space="preserve"> </w:t>
      </w:r>
      <w:r>
        <w:t>and</w:t>
      </w:r>
      <w:r>
        <w:rPr>
          <w:spacing w:val="1"/>
        </w:rPr>
        <w:t xml:space="preserve"> </w:t>
      </w:r>
      <w:r>
        <w:t>6% over</w:t>
      </w:r>
      <w:r>
        <w:rPr>
          <w:spacing w:val="1"/>
        </w:rPr>
        <w:t xml:space="preserve"> </w:t>
      </w:r>
      <w:r>
        <w:t>the</w:t>
      </w:r>
      <w:r>
        <w:rPr>
          <w:spacing w:val="1"/>
        </w:rPr>
        <w:t xml:space="preserve"> </w:t>
      </w:r>
      <w:r>
        <w:rPr>
          <w:spacing w:val="-1"/>
        </w:rPr>
        <w:t>regulatory</w:t>
      </w:r>
      <w:r>
        <w:t xml:space="preserve"> period.</w:t>
      </w:r>
      <w:r>
        <w:rPr>
          <w:position w:val="7"/>
          <w:sz w:val="11"/>
        </w:rPr>
        <w:t>88</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rPr>
          <w:sz w:val="11"/>
          <w:szCs w:val="11"/>
        </w:rPr>
      </w:pPr>
      <w:r>
        <w:rPr>
          <w:rFonts w:cs="Avenir Next"/>
        </w:rPr>
        <w:t xml:space="preserve">At the same time as </w:t>
      </w:r>
      <w:r>
        <w:rPr>
          <w:rFonts w:cs="Avenir Next"/>
          <w:spacing w:val="-1"/>
        </w:rPr>
        <w:t>putting</w:t>
      </w:r>
      <w:r>
        <w:rPr>
          <w:rFonts w:cs="Avenir Next"/>
        </w:rPr>
        <w:t xml:space="preserve"> these </w:t>
      </w:r>
      <w:r>
        <w:rPr>
          <w:rFonts w:cs="Avenir Next"/>
          <w:spacing w:val="-1"/>
        </w:rPr>
        <w:t>measures</w:t>
      </w:r>
      <w:r>
        <w:rPr>
          <w:rFonts w:cs="Avenir Next"/>
        </w:rPr>
        <w:t xml:space="preserve"> in place,</w:t>
      </w:r>
      <w:r>
        <w:rPr>
          <w:rFonts w:cs="Avenir Next"/>
          <w:spacing w:val="-6"/>
        </w:rPr>
        <w:t xml:space="preserve"> </w:t>
      </w:r>
      <w:r>
        <w:rPr>
          <w:rFonts w:cs="Avenir Next"/>
        </w:rPr>
        <w:t xml:space="preserve">the ICRC decided to change its </w:t>
      </w:r>
      <w:r>
        <w:rPr>
          <w:rFonts w:cs="Avenir Next"/>
          <w:spacing w:val="-1"/>
        </w:rPr>
        <w:t>approach</w:t>
      </w:r>
      <w:r>
        <w:rPr>
          <w:rFonts w:cs="Avenir Next"/>
        </w:rPr>
        <w:t xml:space="preserve"> to</w:t>
      </w:r>
      <w:r>
        <w:rPr>
          <w:rFonts w:cs="Avenir Next"/>
          <w:spacing w:val="21"/>
        </w:rPr>
        <w:t xml:space="preserve"> </w:t>
      </w:r>
      <w:r>
        <w:rPr>
          <w:rFonts w:cs="Avenir Next"/>
        </w:rPr>
        <w:t>modelling</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spacing w:val="1"/>
        </w:rPr>
        <w:t xml:space="preserve"> </w:t>
      </w:r>
      <w:r>
        <w:rPr>
          <w:rFonts w:cs="Avenir Next"/>
          <w:spacing w:val="-1"/>
        </w:rPr>
        <w:t>requirements</w:t>
      </w:r>
      <w:r>
        <w:rPr>
          <w:rFonts w:cs="Avenir Next"/>
        </w:rPr>
        <w:t xml:space="preserve"> by</w:t>
      </w:r>
      <w:r>
        <w:rPr>
          <w:rFonts w:cs="Avenir Next"/>
          <w:spacing w:val="1"/>
        </w:rPr>
        <w:t xml:space="preserve"> </w:t>
      </w:r>
      <w:r>
        <w:rPr>
          <w:rFonts w:cs="Avenir Next"/>
        </w:rPr>
        <w:t>applying a</w:t>
      </w:r>
      <w:r>
        <w:rPr>
          <w:rFonts w:cs="Avenir Next"/>
          <w:spacing w:val="1"/>
        </w:rPr>
        <w:t xml:space="preserve"> </w:t>
      </w:r>
      <w:r>
        <w:rPr>
          <w:rFonts w:cs="Avenir Next"/>
        </w:rPr>
        <w:t xml:space="preserve">nominal </w:t>
      </w:r>
      <w:r>
        <w:rPr>
          <w:rFonts w:cs="Avenir Next"/>
          <w:spacing w:val="-2"/>
        </w:rPr>
        <w:t>rate</w:t>
      </w:r>
      <w:r>
        <w:rPr>
          <w:rFonts w:cs="Avenir Next"/>
          <w:spacing w:val="1"/>
        </w:rPr>
        <w:t xml:space="preserve"> </w:t>
      </w:r>
      <w:r>
        <w:rPr>
          <w:rFonts w:cs="Avenir Next"/>
        </w:rPr>
        <w:t>of</w:t>
      </w:r>
      <w:r>
        <w:rPr>
          <w:rFonts w:cs="Avenir Next"/>
          <w:spacing w:val="4"/>
        </w:rPr>
        <w:t xml:space="preserve"> </w:t>
      </w:r>
      <w:r>
        <w:rPr>
          <w:rFonts w:cs="Avenir Next"/>
          <w:spacing w:val="-1"/>
        </w:rPr>
        <w:t>return</w:t>
      </w:r>
      <w:r>
        <w:rPr>
          <w:rFonts w:cs="Avenir Next"/>
          <w:spacing w:val="1"/>
        </w:rPr>
        <w:t xml:space="preserve"> </w:t>
      </w:r>
      <w:r>
        <w:rPr>
          <w:rFonts w:cs="Avenir Next"/>
        </w:rPr>
        <w:t xml:space="preserve">to an </w:t>
      </w:r>
      <w:r>
        <w:rPr>
          <w:rFonts w:cs="Avenir Next"/>
          <w:b/>
          <w:bCs/>
          <w:spacing w:val="-1"/>
        </w:rPr>
        <w:t>unindexed</w:t>
      </w:r>
      <w:r>
        <w:rPr>
          <w:rFonts w:cs="Avenir Next"/>
          <w:b/>
          <w:bCs/>
          <w:spacing w:val="1"/>
        </w:rPr>
        <w:t xml:space="preserve"> </w:t>
      </w:r>
      <w:r>
        <w:rPr>
          <w:spacing w:val="-1"/>
        </w:rPr>
        <w:t>RAB.</w:t>
      </w:r>
      <w:r>
        <w:rPr>
          <w:spacing w:val="-1"/>
          <w:position w:val="7"/>
          <w:sz w:val="11"/>
          <w:szCs w:val="11"/>
        </w:rPr>
        <w:t>89</w:t>
      </w:r>
    </w:p>
    <w:p w:rsidR="00D96B91" w:rsidRDefault="00C2656B">
      <w:pPr>
        <w:pStyle w:val="BodyText"/>
        <w:spacing w:before="170" w:line="260" w:lineRule="exact"/>
        <w:ind w:right="1276"/>
      </w:pPr>
      <w:r>
        <w:rPr>
          <w:spacing w:val="-1"/>
        </w:rPr>
        <w:t>After</w:t>
      </w:r>
      <w:r>
        <w:t xml:space="preserve"> </w:t>
      </w:r>
      <w:r>
        <w:rPr>
          <w:spacing w:val="-1"/>
        </w:rPr>
        <w:t>carefully</w:t>
      </w:r>
      <w:r>
        <w:t xml:space="preserve"> </w:t>
      </w:r>
      <w:r>
        <w:rPr>
          <w:spacing w:val="-1"/>
        </w:rPr>
        <w:t>examining</w:t>
      </w:r>
      <w:r>
        <w:t xml:space="preserve"> these decisions and their impacts on customers,</w:t>
      </w:r>
      <w:r>
        <w:rPr>
          <w:spacing w:val="-7"/>
        </w:rPr>
        <w:t xml:space="preserve"> </w:t>
      </w:r>
      <w:r>
        <w:t xml:space="preserve">the </w:t>
      </w:r>
      <w:r>
        <w:rPr>
          <w:spacing w:val="-3"/>
        </w:rPr>
        <w:t>Panel</w:t>
      </w:r>
      <w:r>
        <w:t xml:space="preserve"> has </w:t>
      </w:r>
      <w:r>
        <w:rPr>
          <w:spacing w:val="-1"/>
        </w:rPr>
        <w:t>three</w:t>
      </w:r>
      <w:r>
        <w:t xml:space="preserve"> concerns.</w:t>
      </w:r>
      <w:r>
        <w:rPr>
          <w:spacing w:val="37"/>
        </w:rPr>
        <w:t xml:space="preserve"> </w:t>
      </w:r>
      <w:r>
        <w:rPr>
          <w:spacing w:val="-2"/>
        </w:rPr>
        <w:t>The</w:t>
      </w:r>
      <w:r>
        <w:rPr>
          <w:spacing w:val="-1"/>
        </w:rPr>
        <w:t xml:space="preserve"> </w:t>
      </w:r>
      <w:r>
        <w:t xml:space="preserve">first concern is </w:t>
      </w:r>
      <w:r>
        <w:rPr>
          <w:spacing w:val="-1"/>
        </w:rPr>
        <w:t>that</w:t>
      </w:r>
      <w:r>
        <w:t xml:space="preserve"> the </w:t>
      </w:r>
      <w:r>
        <w:rPr>
          <w:spacing w:val="-1"/>
        </w:rPr>
        <w:t xml:space="preserve">effect </w:t>
      </w:r>
      <w:r>
        <w:t>of</w:t>
      </w:r>
      <w:r>
        <w:rPr>
          <w:spacing w:val="4"/>
        </w:rPr>
        <w:t xml:space="preserve"> </w:t>
      </w:r>
      <w:r>
        <w:t xml:space="preserve">the </w:t>
      </w:r>
      <w:r>
        <w:rPr>
          <w:spacing w:val="-2"/>
        </w:rPr>
        <w:t>ICRC’s</w:t>
      </w:r>
      <w:r>
        <w:t xml:space="preserve"> decision to not</w:t>
      </w:r>
      <w:r>
        <w:rPr>
          <w:spacing w:val="-1"/>
        </w:rPr>
        <w:t xml:space="preserve"> index</w:t>
      </w:r>
      <w:r>
        <w:t xml:space="preserve"> the RAB – was to</w:t>
      </w:r>
      <w:r>
        <w:rPr>
          <w:spacing w:val="-1"/>
        </w:rPr>
        <w:t xml:space="preserve"> </w:t>
      </w:r>
      <w:r>
        <w:rPr>
          <w:rFonts w:cs="Avenir Next"/>
          <w:b/>
          <w:bCs/>
        </w:rPr>
        <w:t xml:space="preserve">bring </w:t>
      </w:r>
      <w:r>
        <w:rPr>
          <w:rFonts w:cs="Avenir Next"/>
          <w:b/>
          <w:bCs/>
          <w:spacing w:val="-1"/>
        </w:rPr>
        <w:t>forward</w:t>
      </w:r>
      <w:r>
        <w:rPr>
          <w:rFonts w:cs="Avenir Next"/>
          <w:b/>
          <w:bCs/>
        </w:rPr>
        <w:t xml:space="preserve"> </w:t>
      </w:r>
      <w:r>
        <w:rPr>
          <w:rFonts w:cs="Avenir Next"/>
          <w:b/>
          <w:bCs/>
          <w:spacing w:val="29"/>
        </w:rPr>
        <w:t xml:space="preserve"> </w:t>
      </w:r>
      <w:r>
        <w:rPr>
          <w:rFonts w:cs="Avenir Next"/>
        </w:rPr>
        <w:t xml:space="preserve">the </w:t>
      </w:r>
      <w:r>
        <w:rPr>
          <w:rFonts w:cs="Avenir Next"/>
          <w:spacing w:val="-1"/>
        </w:rPr>
        <w:t>recovery</w:t>
      </w:r>
      <w:r>
        <w:rPr>
          <w:rFonts w:cs="Avenir Next"/>
        </w:rPr>
        <w:t xml:space="preserve"> of</w:t>
      </w:r>
      <w:r>
        <w:rPr>
          <w:rFonts w:cs="Avenir Next"/>
          <w:spacing w:val="4"/>
        </w:rPr>
        <w:t xml:space="preserve"> </w:t>
      </w:r>
      <w:r>
        <w:rPr>
          <w:rFonts w:cs="Avenir Next"/>
          <w:spacing w:val="-1"/>
        </w:rPr>
        <w:t>depreciation</w:t>
      </w:r>
      <w:r>
        <w:rPr>
          <w:rFonts w:cs="Avenir Next"/>
        </w:rPr>
        <w:t xml:space="preserve"> </w:t>
      </w:r>
      <w:r>
        <w:rPr>
          <w:rFonts w:cs="Avenir Next"/>
          <w:spacing w:val="-1"/>
        </w:rPr>
        <w:t>across</w:t>
      </w:r>
      <w:r>
        <w:rPr>
          <w:rFonts w:cs="Avenir Next"/>
        </w:rPr>
        <w:t xml:space="preserve"> all of</w:t>
      </w:r>
      <w:r>
        <w:rPr>
          <w:rFonts w:cs="Avenir Next"/>
          <w:spacing w:val="1"/>
        </w:rPr>
        <w:t xml:space="preserve"> </w:t>
      </w:r>
      <w:r>
        <w:rPr>
          <w:rFonts w:cs="Avenir Next"/>
          <w:spacing w:val="-2"/>
        </w:rPr>
        <w:t>ACTEW’s</w:t>
      </w:r>
      <w:r>
        <w:rPr>
          <w:rFonts w:cs="Avenir Next"/>
        </w:rPr>
        <w:t xml:space="preserve"> assets,</w:t>
      </w:r>
      <w:r>
        <w:rPr>
          <w:rFonts w:cs="Avenir Next"/>
          <w:spacing w:val="-6"/>
        </w:rPr>
        <w:t xml:space="preserve"> </w:t>
      </w:r>
      <w:r>
        <w:rPr>
          <w:rFonts w:cs="Avenir Next"/>
          <w:spacing w:val="-1"/>
        </w:rPr>
        <w:t>rather</w:t>
      </w:r>
      <w:r>
        <w:rPr>
          <w:rFonts w:cs="Avenir Next"/>
        </w:rPr>
        <w:t xml:space="preserve"> than to defer the </w:t>
      </w:r>
      <w:r>
        <w:rPr>
          <w:rFonts w:cs="Avenir Next"/>
          <w:spacing w:val="-1"/>
        </w:rPr>
        <w:t>recovery</w:t>
      </w:r>
      <w:r>
        <w:rPr>
          <w:rFonts w:cs="Avenir Next"/>
        </w:rPr>
        <w:t xml:space="preserve"> of</w:t>
      </w:r>
      <w:r>
        <w:rPr>
          <w:rFonts w:cs="Avenir Next"/>
          <w:spacing w:val="4"/>
        </w:rPr>
        <w:t xml:space="preserve"> </w:t>
      </w:r>
      <w:r>
        <w:rPr>
          <w:rFonts w:cs="Avenir Next"/>
        </w:rPr>
        <w:t xml:space="preserve">the </w:t>
      </w:r>
      <w:r>
        <w:rPr>
          <w:rFonts w:cs="Avenir Next"/>
          <w:spacing w:val="-1"/>
        </w:rPr>
        <w:t>water</w:t>
      </w:r>
      <w:r>
        <w:rPr>
          <w:rFonts w:cs="Avenir Next"/>
          <w:spacing w:val="41"/>
        </w:rPr>
        <w:t xml:space="preserve"> </w:t>
      </w:r>
      <w:r>
        <w:t xml:space="preserve">security </w:t>
      </w:r>
      <w:r>
        <w:rPr>
          <w:spacing w:val="-1"/>
        </w:rPr>
        <w:t>project</w:t>
      </w:r>
      <w:r>
        <w:t xml:space="preserve"> costs.</w:t>
      </w:r>
    </w:p>
    <w:p w:rsidR="00D96B91" w:rsidRDefault="00C2656B">
      <w:pPr>
        <w:pStyle w:val="BodyText"/>
        <w:spacing w:before="170" w:line="260" w:lineRule="exact"/>
        <w:ind w:right="1286"/>
      </w:pPr>
      <w:r>
        <w:rPr>
          <w:spacing w:val="-1"/>
        </w:rPr>
        <w:t xml:space="preserve">This effect </w:t>
      </w:r>
      <w:r>
        <w:t>is</w:t>
      </w:r>
      <w:r>
        <w:rPr>
          <w:spacing w:val="-1"/>
        </w:rPr>
        <w:t xml:space="preserve"> </w:t>
      </w:r>
      <w:r>
        <w:t>significant.</w:t>
      </w:r>
      <w:r>
        <w:rPr>
          <w:spacing w:val="-11"/>
        </w:rPr>
        <w:t xml:space="preserve"> </w:t>
      </w:r>
      <w:r>
        <w:t>As the</w:t>
      </w:r>
      <w:r>
        <w:rPr>
          <w:spacing w:val="-1"/>
        </w:rPr>
        <w:t xml:space="preserve"> figure </w:t>
      </w:r>
      <w:r>
        <w:t>in</w:t>
      </w:r>
      <w:r>
        <w:rPr>
          <w:spacing w:val="-1"/>
        </w:rPr>
        <w:t xml:space="preserve"> Box </w:t>
      </w:r>
      <w:r>
        <w:t xml:space="preserve">8.2 </w:t>
      </w:r>
      <w:r>
        <w:rPr>
          <w:rFonts w:cs="Avenir Next"/>
          <w:spacing w:val="-1"/>
        </w:rPr>
        <w:t>illustrates,</w:t>
      </w:r>
      <w:r>
        <w:rPr>
          <w:rFonts w:cs="Avenir Next"/>
          <w:spacing w:val="-8"/>
        </w:rPr>
        <w:t xml:space="preserve"> </w:t>
      </w:r>
      <w:r>
        <w:rPr>
          <w:rFonts w:cs="Avenir Next"/>
        </w:rPr>
        <w:t>the</w:t>
      </w:r>
      <w:r>
        <w:rPr>
          <w:rFonts w:cs="Avenir Next"/>
          <w:spacing w:val="-1"/>
        </w:rPr>
        <w:t xml:space="preserve"> </w:t>
      </w:r>
      <w:r>
        <w:rPr>
          <w:rFonts w:cs="Avenir Next"/>
        </w:rPr>
        <w:t>decision</w:t>
      </w:r>
      <w:r>
        <w:rPr>
          <w:rFonts w:cs="Avenir Next"/>
          <w:spacing w:val="-1"/>
        </w:rPr>
        <w:t xml:space="preserve"> </w:t>
      </w:r>
      <w:r>
        <w:rPr>
          <w:rFonts w:cs="Avenir Next"/>
        </w:rPr>
        <w:t>not to</w:t>
      </w:r>
      <w:r>
        <w:rPr>
          <w:rFonts w:cs="Avenir Next"/>
          <w:spacing w:val="-1"/>
        </w:rPr>
        <w:t xml:space="preserve"> index </w:t>
      </w:r>
      <w:r>
        <w:rPr>
          <w:rFonts w:cs="Avenir Next"/>
        </w:rPr>
        <w:t>the</w:t>
      </w:r>
      <w:r>
        <w:rPr>
          <w:rFonts w:cs="Avenir Next"/>
          <w:spacing w:val="-1"/>
        </w:rPr>
        <w:t xml:space="preserve"> </w:t>
      </w:r>
      <w:r>
        <w:rPr>
          <w:rFonts w:cs="Avenir Next"/>
        </w:rPr>
        <w:t>RAB,</w:t>
      </w:r>
      <w:r>
        <w:rPr>
          <w:rFonts w:cs="Avenir Next"/>
          <w:spacing w:val="-8"/>
        </w:rPr>
        <w:t xml:space="preserve"> </w:t>
      </w:r>
      <w:r>
        <w:rPr>
          <w:rFonts w:cs="Avenir Next"/>
        </w:rPr>
        <w:t>in</w:t>
      </w:r>
      <w:r>
        <w:rPr>
          <w:rFonts w:cs="Avenir Next"/>
          <w:spacing w:val="31"/>
        </w:rPr>
        <w:t xml:space="preserve"> </w:t>
      </w:r>
      <w:r>
        <w:rPr>
          <w:rFonts w:cs="Avenir Next"/>
        </w:rPr>
        <w:t xml:space="preserve">conjunction with the </w:t>
      </w:r>
      <w:r>
        <w:rPr>
          <w:rFonts w:cs="Avenir Next"/>
          <w:spacing w:val="-2"/>
        </w:rPr>
        <w:t>ICRC’s</w:t>
      </w:r>
      <w:r>
        <w:rPr>
          <w:rFonts w:cs="Avenir Next"/>
        </w:rPr>
        <w:t xml:space="preserve"> other decisions,</w:t>
      </w:r>
      <w:r>
        <w:rPr>
          <w:rFonts w:cs="Avenir Next"/>
          <w:spacing w:val="-6"/>
        </w:rPr>
        <w:t xml:space="preserve"> </w:t>
      </w:r>
      <w:r>
        <w:rPr>
          <w:rFonts w:cs="Avenir Next"/>
          <w:spacing w:val="-1"/>
        </w:rPr>
        <w:t>results</w:t>
      </w:r>
      <w:r>
        <w:rPr>
          <w:rFonts w:cs="Avenir Next"/>
        </w:rPr>
        <w:t xml:space="preserve"> in customers in this </w:t>
      </w:r>
      <w:r>
        <w:rPr>
          <w:rFonts w:cs="Avenir Next"/>
          <w:spacing w:val="-1"/>
        </w:rPr>
        <w:t>regulatory</w:t>
      </w:r>
      <w:r>
        <w:rPr>
          <w:rFonts w:cs="Avenir Next"/>
        </w:rPr>
        <w:t xml:space="preserve"> period paying for</w:t>
      </w:r>
      <w:r>
        <w:rPr>
          <w:rFonts w:cs="Avenir Next"/>
          <w:spacing w:val="30"/>
        </w:rPr>
        <w:t xml:space="preserve"> </w:t>
      </w:r>
      <w:r>
        <w:rPr>
          <w:spacing w:val="-1"/>
        </w:rPr>
        <w:t>approximately</w:t>
      </w:r>
      <w:r>
        <w:t xml:space="preserve"> 35% of</w:t>
      </w:r>
      <w:r>
        <w:rPr>
          <w:spacing w:val="4"/>
        </w:rPr>
        <w:t xml:space="preserve"> </w:t>
      </w:r>
      <w:r>
        <w:t xml:space="preserve">the </w:t>
      </w:r>
      <w:r>
        <w:rPr>
          <w:spacing w:val="-1"/>
        </w:rPr>
        <w:t>water</w:t>
      </w:r>
      <w:r>
        <w:t xml:space="preserve"> security </w:t>
      </w:r>
      <w:r>
        <w:rPr>
          <w:spacing w:val="-1"/>
        </w:rPr>
        <w:t>project</w:t>
      </w:r>
      <w:r>
        <w:t xml:space="preserve"> costs.</w:t>
      </w:r>
      <w:r>
        <w:rPr>
          <w:spacing w:val="-11"/>
        </w:rPr>
        <w:t xml:space="preserve"> </w:t>
      </w:r>
      <w:r>
        <w:rPr>
          <w:spacing w:val="-10"/>
        </w:rPr>
        <w:t>To</w:t>
      </w:r>
      <w:r>
        <w:t xml:space="preserve"> put this into perspective,</w:t>
      </w:r>
      <w:r>
        <w:rPr>
          <w:spacing w:val="-6"/>
        </w:rPr>
        <w:t xml:space="preserve"> </w:t>
      </w:r>
      <w:r>
        <w:t xml:space="preserve">under the </w:t>
      </w:r>
      <w:r>
        <w:rPr>
          <w:spacing w:val="-1"/>
        </w:rPr>
        <w:t>traditional</w:t>
      </w:r>
      <w:r>
        <w:rPr>
          <w:spacing w:val="39"/>
        </w:rPr>
        <w:t xml:space="preserve"> </w:t>
      </w:r>
      <w:r>
        <w:rPr>
          <w:rFonts w:cs="Avenir Next"/>
          <w:spacing w:val="-1"/>
        </w:rPr>
        <w:t>straight</w:t>
      </w:r>
      <w:r>
        <w:rPr>
          <w:rFonts w:cs="Avenir Next"/>
        </w:rPr>
        <w:t xml:space="preserve"> line </w:t>
      </w:r>
      <w:r>
        <w:rPr>
          <w:rFonts w:cs="Avenir Next"/>
          <w:spacing w:val="-1"/>
        </w:rPr>
        <w:t>depreciation</w:t>
      </w:r>
      <w:r>
        <w:rPr>
          <w:rFonts w:cs="Avenir Next"/>
        </w:rPr>
        <w:t xml:space="preserve"> </w:t>
      </w:r>
      <w:r>
        <w:rPr>
          <w:rFonts w:cs="Avenir Next"/>
          <w:spacing w:val="-1"/>
        </w:rPr>
        <w:t>approach</w:t>
      </w:r>
      <w:r>
        <w:rPr>
          <w:rFonts w:cs="Avenir Next"/>
        </w:rPr>
        <w:t xml:space="preserve"> with </w:t>
      </w:r>
      <w:r>
        <w:rPr>
          <w:rFonts w:cs="Avenir Next"/>
          <w:spacing w:val="-1"/>
        </w:rPr>
        <w:t>indexation,</w:t>
      </w:r>
      <w:r>
        <w:rPr>
          <w:rFonts w:cs="Avenir Next"/>
          <w:spacing w:val="-7"/>
        </w:rPr>
        <w:t xml:space="preserve"> </w:t>
      </w:r>
      <w:r>
        <w:rPr>
          <w:rFonts w:cs="Avenir Next"/>
        </w:rPr>
        <w:t xml:space="preserve">customers in this </w:t>
      </w:r>
      <w:r>
        <w:rPr>
          <w:rFonts w:cs="Avenir Next"/>
          <w:spacing w:val="-1"/>
        </w:rPr>
        <w:t>regulatory</w:t>
      </w:r>
      <w:r>
        <w:rPr>
          <w:rFonts w:cs="Avenir Next"/>
        </w:rPr>
        <w:t xml:space="preserve"> period would have</w:t>
      </w:r>
      <w:r>
        <w:rPr>
          <w:rFonts w:cs="Avenir Next"/>
          <w:spacing w:val="53"/>
        </w:rPr>
        <w:t xml:space="preserve"> </w:t>
      </w:r>
      <w:r>
        <w:t xml:space="preserve">paid </w:t>
      </w:r>
      <w:r>
        <w:rPr>
          <w:spacing w:val="-1"/>
        </w:rPr>
        <w:t>approximately</w:t>
      </w:r>
      <w:r>
        <w:t xml:space="preserve"> 23% of</w:t>
      </w:r>
      <w:r>
        <w:rPr>
          <w:spacing w:val="4"/>
        </w:rPr>
        <w:t xml:space="preserve"> </w:t>
      </w:r>
      <w:r>
        <w:t>the costs of</w:t>
      </w:r>
      <w:r>
        <w:rPr>
          <w:spacing w:val="4"/>
        </w:rPr>
        <w:t xml:space="preserve"> </w:t>
      </w:r>
      <w:r>
        <w:t xml:space="preserve">the </w:t>
      </w:r>
      <w:r>
        <w:rPr>
          <w:spacing w:val="-1"/>
        </w:rPr>
        <w:t>projects.</w:t>
      </w:r>
    </w:p>
    <w:p w:rsidR="00D96B91" w:rsidRDefault="00C2656B">
      <w:pPr>
        <w:pStyle w:val="BodyText"/>
        <w:spacing w:before="170" w:line="260" w:lineRule="exact"/>
        <w:ind w:right="1283"/>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 high </w:t>
      </w:r>
      <w:r>
        <w:rPr>
          <w:rFonts w:cs="Avenir Next"/>
          <w:spacing w:val="-1"/>
        </w:rPr>
        <w:t>proportion</w:t>
      </w:r>
      <w:r>
        <w:rPr>
          <w:rFonts w:cs="Avenir Next"/>
        </w:rPr>
        <w:t xml:space="preserve"> of</w:t>
      </w:r>
      <w:r>
        <w:rPr>
          <w:rFonts w:cs="Avenir Next"/>
          <w:spacing w:val="4"/>
        </w:rPr>
        <w:t xml:space="preserve"> </w:t>
      </w:r>
      <w:r>
        <w:rPr>
          <w:rFonts w:cs="Avenir Next"/>
        </w:rPr>
        <w:t xml:space="preserve">costs borne by customers in this period under the </w:t>
      </w:r>
      <w:r>
        <w:rPr>
          <w:rFonts w:cs="Avenir Next"/>
          <w:spacing w:val="-2"/>
        </w:rPr>
        <w:t>ICRC’s</w:t>
      </w:r>
      <w:r>
        <w:rPr>
          <w:rFonts w:cs="Avenir Next"/>
          <w:spacing w:val="27"/>
        </w:rPr>
        <w:t xml:space="preserve"> </w:t>
      </w:r>
      <w:r>
        <w:rPr>
          <w:spacing w:val="-1"/>
        </w:rPr>
        <w:t>approach</w:t>
      </w:r>
      <w:r>
        <w:t xml:space="preserve"> is inconsistent with the intent of</w:t>
      </w:r>
      <w:r>
        <w:rPr>
          <w:spacing w:val="4"/>
        </w:rPr>
        <w:t xml:space="preserve"> </w:t>
      </w:r>
      <w:r>
        <w:t>clause 1(d).</w:t>
      </w:r>
      <w:r>
        <w:rPr>
          <w:spacing w:val="-6"/>
        </w:rPr>
        <w:t xml:space="preserve"> </w:t>
      </w:r>
      <w:r>
        <w:t xml:space="preserve">It is also inconsistent with the </w:t>
      </w:r>
      <w:r>
        <w:rPr>
          <w:spacing w:val="-1"/>
        </w:rPr>
        <w:t>intergenerational</w:t>
      </w:r>
      <w:r>
        <w:rPr>
          <w:spacing w:val="25"/>
        </w:rPr>
        <w:t xml:space="preserve"> </w:t>
      </w:r>
      <w:r>
        <w:t>equity</w:t>
      </w:r>
      <w:r>
        <w:rPr>
          <w:spacing w:val="-1"/>
        </w:rPr>
        <w:t xml:space="preserve"> </w:t>
      </w:r>
      <w:r>
        <w:t>and</w:t>
      </w:r>
      <w:r>
        <w:rPr>
          <w:spacing w:val="-1"/>
        </w:rPr>
        <w:t xml:space="preserve"> </w:t>
      </w:r>
      <w:r>
        <w:t>economic</w:t>
      </w:r>
      <w:r>
        <w:rPr>
          <w:spacing w:val="-1"/>
        </w:rPr>
        <w:t xml:space="preserve"> efficiency </w:t>
      </w:r>
      <w:hyperlink w:anchor="_bookmark46" w:history="1">
        <w:r>
          <w:t>principles set</w:t>
        </w:r>
        <w:r>
          <w:rPr>
            <w:spacing w:val="-1"/>
          </w:rPr>
          <w:t xml:space="preserve"> </w:t>
        </w:r>
        <w:r>
          <w:t>out</w:t>
        </w:r>
        <w:r>
          <w:rPr>
            <w:spacing w:val="-1"/>
          </w:rPr>
          <w:t xml:space="preserve"> </w:t>
        </w:r>
        <w:r>
          <w:t>in</w:t>
        </w:r>
        <w:r>
          <w:rPr>
            <w:spacing w:val="-1"/>
          </w:rPr>
          <w:t xml:space="preserve"> Box</w:t>
        </w:r>
        <w:r>
          <w:t xml:space="preserve"> 7.1.</w:t>
        </w:r>
      </w:hyperlink>
    </w:p>
    <w:p w:rsidR="00D96B91" w:rsidRDefault="00C2656B">
      <w:pPr>
        <w:pStyle w:val="BodyText"/>
        <w:spacing w:before="170" w:line="260" w:lineRule="exact"/>
        <w:ind w:right="1548"/>
      </w:pPr>
      <w:r>
        <w:rPr>
          <w:rFonts w:cs="Avenir Next"/>
          <w:spacing w:val="-2"/>
        </w:rPr>
        <w:t>The</w:t>
      </w:r>
      <w:r>
        <w:rPr>
          <w:rFonts w:cs="Avenir Next"/>
        </w:rPr>
        <w:t xml:space="preserve"> second concern </w:t>
      </w:r>
      <w:r>
        <w:rPr>
          <w:rFonts w:cs="Avenir Next"/>
          <w:spacing w:val="-1"/>
        </w:rPr>
        <w:t>relates</w:t>
      </w:r>
      <w:r>
        <w:rPr>
          <w:rFonts w:cs="Avenir Next"/>
        </w:rPr>
        <w:t xml:space="preserve"> to the </w:t>
      </w:r>
      <w:r>
        <w:rPr>
          <w:rFonts w:cs="Avenir Next"/>
          <w:spacing w:val="-2"/>
        </w:rPr>
        <w:t>ICRC’s</w:t>
      </w:r>
      <w:r>
        <w:rPr>
          <w:rFonts w:cs="Avenir Next"/>
        </w:rPr>
        <w:t xml:space="preserve"> decision to </w:t>
      </w:r>
      <w:r>
        <w:rPr>
          <w:rFonts w:cs="Avenir Next"/>
          <w:spacing w:val="-1"/>
        </w:rPr>
        <w:t>transfer</w:t>
      </w:r>
      <w:r>
        <w:rPr>
          <w:rFonts w:cs="Avenir Next"/>
        </w:rPr>
        <w:t xml:space="preserve"> the </w:t>
      </w:r>
      <w:r>
        <w:rPr>
          <w:rFonts w:cs="Avenir Next"/>
          <w:spacing w:val="-1"/>
        </w:rPr>
        <w:t>intergenerational</w:t>
      </w:r>
      <w:r>
        <w:rPr>
          <w:rFonts w:cs="Avenir Next"/>
        </w:rPr>
        <w:t xml:space="preserve"> equity issue back</w:t>
      </w:r>
      <w:r>
        <w:rPr>
          <w:rFonts w:cs="Avenir Next"/>
          <w:spacing w:val="37"/>
        </w:rPr>
        <w:t xml:space="preserve"> </w:t>
      </w:r>
      <w:r>
        <w:t>to the</w:t>
      </w:r>
      <w:r>
        <w:rPr>
          <w:spacing w:val="-4"/>
        </w:rPr>
        <w:t xml:space="preserve"> </w:t>
      </w:r>
      <w:r>
        <w:rPr>
          <w:spacing w:val="-2"/>
        </w:rPr>
        <w:t>ACT</w:t>
      </w:r>
      <w:r>
        <w:rPr>
          <w:spacing w:val="-5"/>
        </w:rPr>
        <w:t xml:space="preserve"> </w:t>
      </w:r>
      <w:r>
        <w:t xml:space="preserve">Government and taxpayers by </w:t>
      </w:r>
      <w:r>
        <w:rPr>
          <w:spacing w:val="-1"/>
        </w:rPr>
        <w:t>reducing</w:t>
      </w:r>
      <w:r>
        <w:t xml:space="preserve"> the cost of</w:t>
      </w:r>
      <w:r>
        <w:rPr>
          <w:spacing w:val="4"/>
        </w:rPr>
        <w:t xml:space="preserve"> </w:t>
      </w:r>
      <w:r>
        <w:rPr>
          <w:spacing w:val="-2"/>
        </w:rPr>
        <w:t>equity.</w:t>
      </w:r>
      <w:r>
        <w:rPr>
          <w:spacing w:val="-6"/>
        </w:rPr>
        <w:t xml:space="preserve"> </w:t>
      </w:r>
      <w:r>
        <w:t xml:space="preserve">In the </w:t>
      </w:r>
      <w:r>
        <w:rPr>
          <w:spacing w:val="-4"/>
        </w:rPr>
        <w:t>Panel’s</w:t>
      </w:r>
      <w:r>
        <w:t xml:space="preserve"> </w:t>
      </w:r>
      <w:r>
        <w:rPr>
          <w:spacing w:val="-2"/>
        </w:rPr>
        <w:t>view,</w:t>
      </w:r>
      <w:r>
        <w:rPr>
          <w:spacing w:val="-6"/>
        </w:rPr>
        <w:t xml:space="preserve"> </w:t>
      </w:r>
      <w:r>
        <w:t>it is not</w:t>
      </w:r>
      <w:r>
        <w:rPr>
          <w:spacing w:val="37"/>
        </w:rPr>
        <w:t xml:space="preserve"> </w:t>
      </w:r>
      <w:r>
        <w:rPr>
          <w:rFonts w:cs="Avenir Next"/>
          <w:spacing w:val="-1"/>
        </w:rPr>
        <w:t>appropriate</w:t>
      </w:r>
      <w:r>
        <w:rPr>
          <w:rFonts w:cs="Avenir Next"/>
        </w:rPr>
        <w:t xml:space="preserve"> to write down the </w:t>
      </w:r>
      <w:r>
        <w:rPr>
          <w:rFonts w:cs="Avenir Next"/>
          <w:spacing w:val="-1"/>
        </w:rPr>
        <w:t>return</w:t>
      </w:r>
      <w:r>
        <w:rPr>
          <w:rFonts w:cs="Avenir Next"/>
        </w:rPr>
        <w:t xml:space="preserve"> on taxpayers’ investment in</w:t>
      </w:r>
      <w:r>
        <w:rPr>
          <w:rFonts w:cs="Avenir Next"/>
          <w:spacing w:val="-4"/>
        </w:rPr>
        <w:t xml:space="preserve"> ACTEW,</w:t>
      </w:r>
      <w:r>
        <w:rPr>
          <w:rFonts w:cs="Avenir Next"/>
          <w:spacing w:val="-6"/>
        </w:rPr>
        <w:t xml:space="preserve"> </w:t>
      </w:r>
      <w:r>
        <w:rPr>
          <w:rFonts w:cs="Avenir Next"/>
        </w:rPr>
        <w:t xml:space="preserve">given </w:t>
      </w:r>
      <w:r>
        <w:rPr>
          <w:rFonts w:cs="Avenir Next"/>
          <w:spacing w:val="-1"/>
        </w:rPr>
        <w:t>that</w:t>
      </w:r>
      <w:r>
        <w:rPr>
          <w:rFonts w:cs="Avenir Next"/>
        </w:rPr>
        <w:t xml:space="preserve"> the ICRC found</w:t>
      </w:r>
      <w:r>
        <w:rPr>
          <w:rFonts w:cs="Avenir Next"/>
          <w:spacing w:val="27"/>
        </w:rPr>
        <w:t xml:space="preserve"> </w:t>
      </w:r>
      <w:r>
        <w:rPr>
          <w:spacing w:val="-1"/>
        </w:rPr>
        <w:t xml:space="preserve">that </w:t>
      </w:r>
      <w:r>
        <w:t xml:space="preserve">the </w:t>
      </w:r>
      <w:r>
        <w:rPr>
          <w:spacing w:val="-1"/>
        </w:rPr>
        <w:t xml:space="preserve">expenditure </w:t>
      </w:r>
      <w:r>
        <w:t>on the</w:t>
      </w:r>
      <w:r>
        <w:rPr>
          <w:spacing w:val="-1"/>
        </w:rPr>
        <w:t xml:space="preserve"> projects</w:t>
      </w:r>
      <w:r>
        <w:t xml:space="preserve"> was</w:t>
      </w:r>
      <w:r>
        <w:rPr>
          <w:spacing w:val="-1"/>
        </w:rPr>
        <w:t xml:space="preserve"> </w:t>
      </w:r>
      <w:r>
        <w:t xml:space="preserve">prudent and </w:t>
      </w:r>
      <w:r>
        <w:rPr>
          <w:spacing w:val="-1"/>
        </w:rPr>
        <w:t>efficient.</w:t>
      </w:r>
      <w:r>
        <w:rPr>
          <w:spacing w:val="-12"/>
        </w:rPr>
        <w:t xml:space="preserve"> </w:t>
      </w:r>
      <w:r>
        <w:rPr>
          <w:spacing w:val="-2"/>
        </w:rPr>
        <w:t>The</w:t>
      </w:r>
      <w:r>
        <w:t xml:space="preserve"> </w:t>
      </w:r>
      <w:r>
        <w:rPr>
          <w:spacing w:val="-3"/>
        </w:rPr>
        <w:t>Panel</w:t>
      </w:r>
      <w:r>
        <w:rPr>
          <w:spacing w:val="-1"/>
        </w:rPr>
        <w:t xml:space="preserve"> </w:t>
      </w:r>
      <w:r>
        <w:t>also notes</w:t>
      </w:r>
      <w:r>
        <w:rPr>
          <w:spacing w:val="-1"/>
        </w:rPr>
        <w:t xml:space="preserve"> that:</w:t>
      </w:r>
    </w:p>
    <w:p w:rsidR="00D96B91" w:rsidRDefault="00C2656B">
      <w:pPr>
        <w:pStyle w:val="BodyText"/>
        <w:numPr>
          <w:ilvl w:val="0"/>
          <w:numId w:val="131"/>
        </w:numPr>
        <w:tabs>
          <w:tab w:val="left" w:pos="1531"/>
        </w:tabs>
        <w:spacing w:before="170" w:line="260" w:lineRule="exact"/>
        <w:ind w:right="1802" w:hanging="283"/>
        <w:jc w:val="both"/>
      </w:pPr>
      <w:r>
        <w:rPr>
          <w:spacing w:val="-1"/>
        </w:rPr>
        <w:t xml:space="preserve">there </w:t>
      </w:r>
      <w:r>
        <w:t>is no</w:t>
      </w:r>
      <w:r>
        <w:rPr>
          <w:spacing w:val="-1"/>
        </w:rPr>
        <w:t xml:space="preserve"> direct</w:t>
      </w:r>
      <w:r>
        <w:t xml:space="preserve"> </w:t>
      </w:r>
      <w:r>
        <w:rPr>
          <w:spacing w:val="-1"/>
        </w:rPr>
        <w:t xml:space="preserve">relationship </w:t>
      </w:r>
      <w:r>
        <w:t>between the</w:t>
      </w:r>
      <w:r>
        <w:rPr>
          <w:spacing w:val="-1"/>
        </w:rPr>
        <w:t xml:space="preserve"> </w:t>
      </w:r>
      <w:r>
        <w:t>cost of</w:t>
      </w:r>
      <w:r>
        <w:rPr>
          <w:spacing w:val="3"/>
        </w:rPr>
        <w:t xml:space="preserve"> </w:t>
      </w:r>
      <w:r>
        <w:t>equity and</w:t>
      </w:r>
      <w:r>
        <w:rPr>
          <w:spacing w:val="-1"/>
        </w:rPr>
        <w:t xml:space="preserve"> </w:t>
      </w:r>
      <w:r>
        <w:t>the benefits</w:t>
      </w:r>
      <w:r>
        <w:rPr>
          <w:spacing w:val="-1"/>
        </w:rPr>
        <w:t xml:space="preserve"> future</w:t>
      </w:r>
      <w:r>
        <w:t xml:space="preserve"> customers</w:t>
      </w:r>
      <w:r>
        <w:rPr>
          <w:spacing w:val="-1"/>
        </w:rPr>
        <w:t xml:space="preserve"> </w:t>
      </w:r>
      <w:r>
        <w:rPr>
          <w:spacing w:val="-2"/>
        </w:rPr>
        <w:t>are</w:t>
      </w:r>
      <w:r>
        <w:rPr>
          <w:spacing w:val="27"/>
        </w:rPr>
        <w:t xml:space="preserve"> </w:t>
      </w:r>
      <w:r>
        <w:rPr>
          <w:spacing w:val="-1"/>
        </w:rPr>
        <w:t>expected</w:t>
      </w:r>
      <w:r>
        <w:t xml:space="preserve"> to derive </w:t>
      </w:r>
      <w:r>
        <w:rPr>
          <w:i/>
        </w:rPr>
        <w:t xml:space="preserve">vis-à-vis </w:t>
      </w:r>
      <w:r>
        <w:rPr>
          <w:spacing w:val="-1"/>
        </w:rPr>
        <w:t>existing</w:t>
      </w:r>
      <w:r>
        <w:t xml:space="preserve"> customers,</w:t>
      </w:r>
      <w:r>
        <w:rPr>
          <w:spacing w:val="-7"/>
        </w:rPr>
        <w:t xml:space="preserve"> </w:t>
      </w:r>
      <w:r>
        <w:t xml:space="preserve">so it is </w:t>
      </w:r>
      <w:r>
        <w:rPr>
          <w:spacing w:val="-1"/>
        </w:rPr>
        <w:t>unclear</w:t>
      </w:r>
      <w:r>
        <w:t xml:space="preserve"> how the </w:t>
      </w:r>
      <w:r>
        <w:rPr>
          <w:spacing w:val="-1"/>
        </w:rPr>
        <w:t>reduction</w:t>
      </w:r>
      <w:r>
        <w:t xml:space="preserve"> in the cost of</w:t>
      </w:r>
      <w:r>
        <w:rPr>
          <w:spacing w:val="45"/>
        </w:rPr>
        <w:t xml:space="preserve"> </w:t>
      </w:r>
      <w:r>
        <w:t xml:space="preserve">equity to 2.8% will </w:t>
      </w:r>
      <w:r>
        <w:rPr>
          <w:spacing w:val="-1"/>
        </w:rPr>
        <w:t>improve</w:t>
      </w:r>
      <w:r>
        <w:t xml:space="preserve"> </w:t>
      </w:r>
      <w:r>
        <w:rPr>
          <w:spacing w:val="-1"/>
        </w:rPr>
        <w:t>intergenerational</w:t>
      </w:r>
      <w:r>
        <w:t xml:space="preserve"> equity</w:t>
      </w:r>
    </w:p>
    <w:p w:rsidR="00D96B91" w:rsidRDefault="00C2656B">
      <w:pPr>
        <w:pStyle w:val="BodyText"/>
        <w:numPr>
          <w:ilvl w:val="0"/>
          <w:numId w:val="131"/>
        </w:numPr>
        <w:tabs>
          <w:tab w:val="left" w:pos="1531"/>
        </w:tabs>
        <w:spacing w:before="93"/>
        <w:ind w:hanging="283"/>
        <w:rPr>
          <w:rFonts w:cs="Avenir Next"/>
        </w:rPr>
      </w:pPr>
      <w:r>
        <w:t xml:space="preserve">the </w:t>
      </w:r>
      <w:r>
        <w:rPr>
          <w:spacing w:val="-1"/>
        </w:rPr>
        <w:t>reduced</w:t>
      </w:r>
      <w:r>
        <w:t xml:space="preserve"> cost of</w:t>
      </w:r>
      <w:r>
        <w:rPr>
          <w:spacing w:val="4"/>
        </w:rPr>
        <w:t xml:space="preserve"> </w:t>
      </w:r>
      <w:r>
        <w:t xml:space="preserve">equity applies to all assets not just the </w:t>
      </w:r>
      <w:r>
        <w:rPr>
          <w:spacing w:val="-1"/>
        </w:rPr>
        <w:t>water</w:t>
      </w:r>
      <w:r>
        <w:t xml:space="preserve"> security </w:t>
      </w:r>
      <w:r>
        <w:rPr>
          <w:spacing w:val="-1"/>
        </w:rPr>
        <w:t>projects,</w:t>
      </w:r>
      <w:r>
        <w:rPr>
          <w:spacing w:val="-6"/>
        </w:rPr>
        <w:t xml:space="preserve"> </w:t>
      </w:r>
      <w:r>
        <w:t>and</w:t>
      </w:r>
    </w:p>
    <w:p w:rsidR="00D96B91" w:rsidRDefault="00C2656B">
      <w:pPr>
        <w:pStyle w:val="BodyText"/>
        <w:numPr>
          <w:ilvl w:val="0"/>
          <w:numId w:val="131"/>
        </w:numPr>
        <w:tabs>
          <w:tab w:val="left" w:pos="1531"/>
        </w:tabs>
        <w:spacing w:before="72"/>
        <w:ind w:hanging="283"/>
      </w:pPr>
      <w:r>
        <w:t xml:space="preserve">the </w:t>
      </w:r>
      <w:r>
        <w:rPr>
          <w:spacing w:val="-1"/>
        </w:rPr>
        <w:t>reduced</w:t>
      </w:r>
      <w:r>
        <w:t xml:space="preserve"> cost of</w:t>
      </w:r>
      <w:r>
        <w:rPr>
          <w:spacing w:val="4"/>
        </w:rPr>
        <w:t xml:space="preserve"> </w:t>
      </w:r>
      <w:r>
        <w:t xml:space="preserve">equity is </w:t>
      </w:r>
      <w:r>
        <w:rPr>
          <w:spacing w:val="-1"/>
        </w:rPr>
        <w:t>likely</w:t>
      </w:r>
      <w:r>
        <w:t xml:space="preserve"> to have a deleterious </w:t>
      </w:r>
      <w:r>
        <w:rPr>
          <w:spacing w:val="-1"/>
        </w:rPr>
        <w:t>effect</w:t>
      </w:r>
      <w:r>
        <w:t xml:space="preserve"> on investment in the </w:t>
      </w:r>
      <w:r>
        <w:rPr>
          <w:spacing w:val="-1"/>
        </w:rPr>
        <w:t>future.</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2"/>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97" style="width:72.5pt;height:.5pt;mso-position-horizontal-relative:char;mso-position-vertical-relative:line" coordsize="1450,10">
            <v:group id="_x0000_s3198" style="position:absolute;left:5;top:5;width:1440;height:2" coordorigin="5,5" coordsize="1440,2">
              <v:shape id="_x0000_s3199"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43 and 81.</w:t>
      </w:r>
    </w:p>
    <w:p w:rsidR="00D96B91" w:rsidRDefault="00C2656B">
      <w:pPr>
        <w:numPr>
          <w:ilvl w:val="0"/>
          <w:numId w:val="79"/>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43.</w:t>
      </w:r>
    </w:p>
    <w:p w:rsidR="00D96B91" w:rsidRDefault="00C2656B">
      <w:pPr>
        <w:numPr>
          <w:ilvl w:val="0"/>
          <w:numId w:val="79"/>
        </w:numPr>
        <w:tabs>
          <w:tab w:val="left" w:pos="1758"/>
        </w:tabs>
        <w:spacing w:before="121"/>
        <w:ind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rationale</w:t>
      </w:r>
      <w:r>
        <w:rPr>
          <w:rFonts w:ascii="Avenir Next" w:eastAsia="Avenir Next" w:hAnsi="Avenir Next" w:cs="Avenir Next"/>
          <w:sz w:val="16"/>
          <w:szCs w:val="16"/>
        </w:rPr>
        <w:t xml:space="preserve"> for adopting a lower </w:t>
      </w:r>
      <w:r>
        <w:rPr>
          <w:rFonts w:ascii="Avenir Next" w:eastAsia="Avenir Next" w:hAnsi="Avenir Next" w:cs="Avenir Next"/>
          <w:spacing w:val="-1"/>
          <w:sz w:val="16"/>
          <w:szCs w:val="16"/>
        </w:rPr>
        <w:t>rate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is set out in the following </w:t>
      </w:r>
      <w:r>
        <w:rPr>
          <w:rFonts w:ascii="Avenir Next" w:eastAsia="Avenir Next" w:hAnsi="Avenir Next" w:cs="Avenir Next"/>
          <w:spacing w:val="-1"/>
          <w:sz w:val="16"/>
          <w:szCs w:val="16"/>
        </w:rPr>
        <w:t>extracts:</w:t>
      </w:r>
    </w:p>
    <w:p w:rsidR="00D96B91" w:rsidRDefault="00C2656B">
      <w:pPr>
        <w:spacing w:before="36" w:line="192" w:lineRule="exact"/>
        <w:ind w:left="1757" w:right="1283"/>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investments made to maintain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security must…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be paid </w:t>
      </w:r>
      <w:r>
        <w:rPr>
          <w:rFonts w:ascii="Avenir Next" w:eastAsia="Avenir Next" w:hAnsi="Avenir Next" w:cs="Avenir Next"/>
          <w:spacing w:val="-2"/>
          <w:sz w:val="16"/>
          <w:szCs w:val="16"/>
        </w:rPr>
        <w:t>for,</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not by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users then by the </w:t>
      </w:r>
      <w:r>
        <w:rPr>
          <w:rFonts w:ascii="Avenir Next" w:eastAsia="Avenir Next" w:hAnsi="Avenir Next" w:cs="Avenir Next"/>
          <w:spacing w:val="-1"/>
          <w:sz w:val="16"/>
          <w:szCs w:val="16"/>
        </w:rPr>
        <w:t>taxpayer.</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Through</w:t>
      </w:r>
      <w:r>
        <w:rPr>
          <w:rFonts w:ascii="Avenir Next" w:eastAsia="Avenir Next" w:hAnsi="Avenir Next" w:cs="Avenir Next"/>
          <w:spacing w:val="2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process</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this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Commission</w:t>
      </w:r>
      <w:r>
        <w:rPr>
          <w:rFonts w:ascii="Avenir Next" w:eastAsia="Avenir Next" w:hAnsi="Avenir Next" w:cs="Avenir Next"/>
          <w:sz w:val="16"/>
          <w:szCs w:val="16"/>
        </w:rPr>
        <w:t xml:space="preserve"> has </w:t>
      </w:r>
      <w:r>
        <w:rPr>
          <w:rFonts w:ascii="Avenir Next" w:eastAsia="Avenir Next" w:hAnsi="Avenir Next" w:cs="Avenir Next"/>
          <w:spacing w:val="-1"/>
          <w:sz w:val="16"/>
          <w:szCs w:val="16"/>
        </w:rPr>
        <w:t>explored</w:t>
      </w:r>
      <w:r>
        <w:rPr>
          <w:rFonts w:ascii="Avenir Next" w:eastAsia="Avenir Next" w:hAnsi="Avenir Next" w:cs="Avenir Next"/>
          <w:sz w:val="16"/>
          <w:szCs w:val="16"/>
        </w:rPr>
        <w:t xml:space="preserve"> various ways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discharging</w:t>
      </w:r>
      <w:r>
        <w:rPr>
          <w:rFonts w:ascii="Avenir Next" w:eastAsia="Avenir Next" w:hAnsi="Avenir Next" w:cs="Avenir Next"/>
          <w:sz w:val="16"/>
          <w:szCs w:val="16"/>
        </w:rPr>
        <w:t xml:space="preserve"> this </w:t>
      </w:r>
      <w:r>
        <w:rPr>
          <w:rFonts w:ascii="Avenir Next" w:eastAsia="Avenir Next" w:hAnsi="Avenir Next" w:cs="Avenir Next"/>
          <w:spacing w:val="-1"/>
          <w:sz w:val="16"/>
          <w:szCs w:val="16"/>
        </w:rPr>
        <w:t>obligation.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Our conclusion is </w:t>
      </w:r>
      <w:r>
        <w:rPr>
          <w:rFonts w:ascii="Avenir Next" w:eastAsia="Avenir Next" w:hAnsi="Avenir Next" w:cs="Avenir Next"/>
          <w:spacing w:val="-1"/>
          <w:sz w:val="16"/>
          <w:szCs w:val="16"/>
        </w:rPr>
        <w:t>that</w:t>
      </w:r>
      <w:r>
        <w:rPr>
          <w:rFonts w:ascii="Avenir Next" w:eastAsia="Avenir Next" w:hAnsi="Avenir Next" w:cs="Avenir Next"/>
          <w:spacing w:val="77"/>
          <w:sz w:val="16"/>
          <w:szCs w:val="16"/>
        </w:rPr>
        <w:t xml:space="preserve"> </w:t>
      </w:r>
      <w:r>
        <w:rPr>
          <w:rFonts w:ascii="Avenir Next" w:eastAsia="Avenir Next" w:hAnsi="Avenir Next" w:cs="Avenir Next"/>
          <w:sz w:val="16"/>
          <w:szCs w:val="16"/>
        </w:rPr>
        <w:t xml:space="preserve">it is simply not </w:t>
      </w:r>
      <w:r>
        <w:rPr>
          <w:rFonts w:ascii="Avenir Next" w:eastAsia="Avenir Next" w:hAnsi="Avenir Next" w:cs="Avenir Next"/>
          <w:spacing w:val="-1"/>
          <w:sz w:val="16"/>
          <w:szCs w:val="16"/>
        </w:rPr>
        <w:t>feasible</w:t>
      </w:r>
      <w:r>
        <w:rPr>
          <w:rFonts w:ascii="Avenir Next" w:eastAsia="Avenir Next" w:hAnsi="Avenir Next" w:cs="Avenir Next"/>
          <w:sz w:val="16"/>
          <w:szCs w:val="16"/>
        </w:rPr>
        <w:t xml:space="preserve"> to ask</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to defer the servicing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debt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it has </w:t>
      </w:r>
      <w:r>
        <w:rPr>
          <w:rFonts w:ascii="Avenir Next" w:eastAsia="Avenir Next" w:hAnsi="Avenir Next" w:cs="Avenir Next"/>
          <w:spacing w:val="-1"/>
          <w:sz w:val="16"/>
          <w:szCs w:val="16"/>
        </w:rPr>
        <w:t>taken</w:t>
      </w:r>
      <w:r>
        <w:rPr>
          <w:rFonts w:ascii="Avenir Next" w:eastAsia="Avenir Next" w:hAnsi="Avenir Next" w:cs="Avenir Next"/>
          <w:sz w:val="16"/>
          <w:szCs w:val="16"/>
        </w:rPr>
        <w:t xml:space="preserve"> on to </w:t>
      </w:r>
      <w:r>
        <w:rPr>
          <w:rFonts w:ascii="Avenir Next" w:eastAsia="Avenir Next" w:hAnsi="Avenir Next" w:cs="Avenir Next"/>
          <w:spacing w:val="-1"/>
          <w:sz w:val="16"/>
          <w:szCs w:val="16"/>
        </w:rPr>
        <w:t>make</w:t>
      </w:r>
      <w:r>
        <w:rPr>
          <w:rFonts w:ascii="Avenir Next" w:eastAsia="Avenir Next" w:hAnsi="Avenir Next" w:cs="Avenir Next"/>
          <w:sz w:val="16"/>
          <w:szCs w:val="16"/>
        </w:rPr>
        <w:t xml:space="preserve"> these investments.</w:t>
      </w:r>
    </w:p>
    <w:p w:rsidR="00D96B91" w:rsidRDefault="00C2656B">
      <w:pPr>
        <w:spacing w:line="192" w:lineRule="exact"/>
        <w:ind w:left="1757" w:right="1256"/>
        <w:rPr>
          <w:rFonts w:ascii="Avenir Next" w:eastAsia="Avenir Next" w:hAnsi="Avenir Next" w:cs="Avenir Next"/>
          <w:sz w:val="16"/>
          <w:szCs w:val="16"/>
        </w:rPr>
      </w:pPr>
      <w:r>
        <w:rPr>
          <w:rFonts w:ascii="Avenir Next" w:eastAsia="Avenir Next" w:hAnsi="Avenir Next" w:cs="Avenir Next"/>
          <w:sz w:val="16"/>
          <w:szCs w:val="16"/>
        </w:rPr>
        <w:t>Such</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 task</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is </w:t>
      </w:r>
      <w:r>
        <w:rPr>
          <w:rFonts w:ascii="Avenir Next" w:eastAsia="Avenir Next" w:hAnsi="Avenir Next" w:cs="Avenir Next"/>
          <w:spacing w:val="-1"/>
          <w:sz w:val="16"/>
          <w:szCs w:val="16"/>
        </w:rPr>
        <w:t>clearly</w:t>
      </w:r>
      <w:r>
        <w:rPr>
          <w:rFonts w:ascii="Avenir Next" w:eastAsia="Avenir Next" w:hAnsi="Avenir Next" w:cs="Avenir Next"/>
          <w:sz w:val="16"/>
          <w:szCs w:val="16"/>
        </w:rPr>
        <w:t xml:space="preserve"> beyond</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financial </w:t>
      </w:r>
      <w:r>
        <w:rPr>
          <w:rFonts w:ascii="Avenir Next" w:eastAsia="Avenir Next" w:hAnsi="Avenir Next" w:cs="Avenir Next"/>
          <w:spacing w:val="-1"/>
          <w:sz w:val="16"/>
          <w:szCs w:val="16"/>
        </w:rPr>
        <w:t>capacity.</w:t>
      </w:r>
      <w:r>
        <w:rPr>
          <w:rFonts w:ascii="Avenir Next" w:eastAsia="Avenir Next" w:hAnsi="Avenir Next" w:cs="Avenir Next"/>
          <w:spacing w:val="-6"/>
          <w:sz w:val="16"/>
          <w:szCs w:val="16"/>
        </w:rPr>
        <w:t xml:space="preserve"> </w:t>
      </w:r>
      <w:r>
        <w:rPr>
          <w:rFonts w:ascii="Avenir Next" w:eastAsia="Avenir Next" w:hAnsi="Avenir Next" w:cs="Avenir Next"/>
          <w:spacing w:val="-1"/>
          <w:sz w:val="16"/>
          <w:szCs w:val="16"/>
        </w:rPr>
        <w:t>Ultimately,</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only government</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can </w:t>
      </w:r>
      <w:r>
        <w:rPr>
          <w:rFonts w:ascii="Avenir Next" w:eastAsia="Avenir Next" w:hAnsi="Avenir Next" w:cs="Avenir Next"/>
          <w:spacing w:val="-1"/>
          <w:sz w:val="16"/>
          <w:szCs w:val="16"/>
        </w:rPr>
        <w:t>spread</w:t>
      </w:r>
      <w:r>
        <w:rPr>
          <w:rFonts w:ascii="Avenir Next" w:eastAsia="Avenir Next" w:hAnsi="Avenir Next" w:cs="Avenir Next"/>
          <w:sz w:val="16"/>
          <w:szCs w:val="16"/>
        </w:rPr>
        <w:t xml:space="preserve"> the</w:t>
      </w:r>
      <w:r>
        <w:rPr>
          <w:rFonts w:ascii="Avenir Next" w:eastAsia="Avenir Next" w:hAnsi="Avenir Next" w:cs="Avenir Next"/>
          <w:spacing w:val="-1"/>
          <w:sz w:val="16"/>
          <w:szCs w:val="16"/>
        </w:rPr>
        <w:t xml:space="preserve"> burden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across </w:t>
      </w:r>
      <w:r>
        <w:rPr>
          <w:rFonts w:ascii="Avenir Next" w:eastAsia="Avenir Next" w:hAnsi="Avenir Next" w:cs="Avenir Next"/>
          <w:sz w:val="16"/>
          <w:szCs w:val="16"/>
        </w:rPr>
        <w:t>the</w:t>
      </w:r>
      <w:r>
        <w:rPr>
          <w:rFonts w:ascii="Avenir Next" w:eastAsia="Avenir Next" w:hAnsi="Avenir Next" w:cs="Avenir Next"/>
          <w:spacing w:val="49"/>
          <w:sz w:val="16"/>
          <w:szCs w:val="16"/>
        </w:rPr>
        <w:t xml:space="preserve"> </w:t>
      </w:r>
      <w:r>
        <w:rPr>
          <w:rFonts w:ascii="Avenir Next" w:eastAsia="Avenir Next" w:hAnsi="Avenir Next" w:cs="Avenir Next"/>
          <w:spacing w:val="-2"/>
          <w:sz w:val="16"/>
          <w:szCs w:val="16"/>
        </w:rPr>
        <w:t>generations.”</w:t>
      </w:r>
    </w:p>
    <w:p w:rsidR="00D96B91" w:rsidRDefault="00C2656B">
      <w:pPr>
        <w:spacing w:before="56" w:line="192" w:lineRule="exact"/>
        <w:ind w:left="1757" w:right="1376"/>
        <w:rPr>
          <w:rFonts w:ascii="Avenir Next" w:eastAsia="Avenir Next" w:hAnsi="Avenir Next" w:cs="Avenir Next"/>
          <w:sz w:val="16"/>
          <w:szCs w:val="16"/>
        </w:rPr>
      </w:pPr>
      <w:r>
        <w:rPr>
          <w:rFonts w:ascii="Avenir Next" w:eastAsia="Avenir Next" w:hAnsi="Avenir Next" w:cs="Avenir Next"/>
          <w:spacing w:val="-2"/>
          <w:sz w:val="16"/>
          <w:szCs w:val="16"/>
        </w:rPr>
        <w:t>“…reducing</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equity </w:t>
      </w:r>
      <w:r>
        <w:rPr>
          <w:rFonts w:ascii="Avenir Next" w:eastAsia="Avenir Next" w:hAnsi="Avenir Next" w:cs="Avenir Next"/>
          <w:spacing w:val="-1"/>
          <w:sz w:val="16"/>
          <w:szCs w:val="16"/>
        </w:rPr>
        <w:t>transfers</w:t>
      </w:r>
      <w:r>
        <w:rPr>
          <w:rFonts w:ascii="Avenir Next" w:eastAsia="Avenir Next" w:hAnsi="Avenir Next" w:cs="Avenir Next"/>
          <w:sz w:val="16"/>
          <w:szCs w:val="16"/>
        </w:rPr>
        <w:t xml:space="preserve"> the cost </w:t>
      </w:r>
      <w:r>
        <w:rPr>
          <w:rFonts w:ascii="Avenir Next" w:eastAsia="Avenir Next" w:hAnsi="Avenir Next" w:cs="Avenir Next"/>
          <w:spacing w:val="-1"/>
          <w:sz w:val="16"/>
          <w:szCs w:val="16"/>
        </w:rPr>
        <w:t>burden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customers to</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taxpayers.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Government can</w:t>
      </w:r>
      <w:r>
        <w:rPr>
          <w:rFonts w:ascii="Avenir Next" w:eastAsia="Avenir Next" w:hAnsi="Avenir Next" w:cs="Avenir Next"/>
          <w:spacing w:val="39"/>
          <w:sz w:val="16"/>
          <w:szCs w:val="16"/>
        </w:rPr>
        <w:t xml:space="preserve"> </w:t>
      </w:r>
      <w:r>
        <w:rPr>
          <w:rFonts w:ascii="Avenir Next" w:eastAsia="Avenir Next" w:hAnsi="Avenir Next" w:cs="Avenir Next"/>
          <w:sz w:val="16"/>
          <w:szCs w:val="16"/>
        </w:rPr>
        <w:t>then determine,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through</w:t>
      </w:r>
      <w:r>
        <w:rPr>
          <w:rFonts w:ascii="Avenir Next" w:eastAsia="Avenir Next" w:hAnsi="Avenir Next" w:cs="Avenir Next"/>
          <w:sz w:val="16"/>
          <w:szCs w:val="16"/>
        </w:rPr>
        <w:t xml:space="preserve"> its </w:t>
      </w:r>
      <w:r>
        <w:rPr>
          <w:rFonts w:ascii="Avenir Next" w:eastAsia="Avenir Next" w:hAnsi="Avenir Next" w:cs="Avenir Next"/>
          <w:spacing w:val="-1"/>
          <w:sz w:val="16"/>
          <w:szCs w:val="16"/>
        </w:rPr>
        <w:t>borrowing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program,</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the distribution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burden</w:t>
      </w:r>
      <w:r>
        <w:rPr>
          <w:rFonts w:ascii="Avenir Next" w:eastAsia="Avenir Next" w:hAnsi="Avenir Next" w:cs="Avenir Next"/>
          <w:sz w:val="16"/>
          <w:szCs w:val="16"/>
        </w:rPr>
        <w:t xml:space="preserve"> between </w:t>
      </w:r>
      <w:r>
        <w:rPr>
          <w:rFonts w:ascii="Avenir Next" w:eastAsia="Avenir Next" w:hAnsi="Avenir Next" w:cs="Avenir Next"/>
          <w:spacing w:val="-1"/>
          <w:sz w:val="16"/>
          <w:szCs w:val="16"/>
        </w:rPr>
        <w:t>current</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future</w:t>
      </w:r>
      <w:r>
        <w:rPr>
          <w:rFonts w:ascii="Avenir Next" w:eastAsia="Avenir Next" w:hAnsi="Avenir Next" w:cs="Avenir Next"/>
          <w:sz w:val="16"/>
          <w:szCs w:val="16"/>
        </w:rPr>
        <w:t xml:space="preserve"> taxpayers.</w:t>
      </w:r>
      <w:r>
        <w:rPr>
          <w:rFonts w:ascii="Avenir Next" w:eastAsia="Avenir Next" w:hAnsi="Avenir Next" w:cs="Avenir Next"/>
          <w:spacing w:val="51"/>
          <w:sz w:val="16"/>
          <w:szCs w:val="16"/>
        </w:rPr>
        <w:t xml:space="preserve"> </w:t>
      </w:r>
      <w:r>
        <w:rPr>
          <w:rFonts w:ascii="Avenir Next" w:eastAsia="Avenir Next" w:hAnsi="Avenir Next" w:cs="Avenir Next"/>
          <w:spacing w:val="-1"/>
          <w:sz w:val="16"/>
          <w:szCs w:val="16"/>
        </w:rPr>
        <w:t>This</w:t>
      </w:r>
      <w:r>
        <w:rPr>
          <w:rFonts w:ascii="Avenir Next" w:eastAsia="Avenir Next" w:hAnsi="Avenir Next" w:cs="Avenir Next"/>
          <w:sz w:val="16"/>
          <w:szCs w:val="16"/>
        </w:rPr>
        <w:t xml:space="preserve"> decision will be made in a budget </w:t>
      </w:r>
      <w:r>
        <w:rPr>
          <w:rFonts w:ascii="Avenir Next" w:eastAsia="Avenir Next" w:hAnsi="Avenir Next" w:cs="Avenir Next"/>
          <w:spacing w:val="-1"/>
          <w:sz w:val="16"/>
          <w:szCs w:val="16"/>
        </w:rPr>
        <w:t>context,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 will allow all elements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intergenerational</w:t>
      </w:r>
      <w:r>
        <w:rPr>
          <w:rFonts w:ascii="Avenir Next" w:eastAsia="Avenir Next" w:hAnsi="Avenir Next" w:cs="Avenir Next"/>
          <w:sz w:val="16"/>
          <w:szCs w:val="16"/>
        </w:rPr>
        <w:t xml:space="preserve"> distribution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costs</w:t>
      </w:r>
      <w:r>
        <w:rPr>
          <w:rFonts w:ascii="Avenir Next" w:eastAsia="Avenir Next" w:hAnsi="Avenir Next" w:cs="Avenir Next"/>
          <w:spacing w:val="37"/>
          <w:sz w:val="16"/>
          <w:szCs w:val="16"/>
        </w:rPr>
        <w:t xml:space="preserve"> </w:t>
      </w:r>
      <w:r>
        <w:rPr>
          <w:rFonts w:ascii="Avenir Next" w:eastAsia="Avenir Next" w:hAnsi="Avenir Next" w:cs="Avenir Next"/>
          <w:sz w:val="16"/>
          <w:szCs w:val="16"/>
        </w:rPr>
        <w:t>and</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benefits of</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community funded activity</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to be </w:t>
      </w:r>
      <w:r>
        <w:rPr>
          <w:rFonts w:ascii="Avenir Next" w:eastAsia="Avenir Next" w:hAnsi="Avenir Next" w:cs="Avenir Next"/>
          <w:spacing w:val="-1"/>
          <w:sz w:val="16"/>
          <w:szCs w:val="16"/>
        </w:rPr>
        <w:t>considered together,</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including</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any </w:t>
      </w:r>
      <w:r>
        <w:rPr>
          <w:rFonts w:ascii="Avenir Next" w:eastAsia="Avenir Next" w:hAnsi="Avenir Next" w:cs="Avenir Next"/>
          <w:spacing w:val="-1"/>
          <w:sz w:val="16"/>
          <w:szCs w:val="16"/>
        </w:rPr>
        <w:t>transitional</w:t>
      </w:r>
      <w:r>
        <w:rPr>
          <w:rFonts w:ascii="Avenir Next" w:eastAsia="Avenir Next" w:hAnsi="Avenir Next" w:cs="Avenir Next"/>
          <w:sz w:val="16"/>
          <w:szCs w:val="16"/>
        </w:rPr>
        <w:t xml:space="preserve"> elements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in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w:t>
      </w:r>
      <w:r>
        <w:rPr>
          <w:rFonts w:ascii="Avenir Next" w:eastAsia="Avenir Next" w:hAnsi="Avenir Next" w:cs="Avenir Next"/>
          <w:spacing w:val="43"/>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services </w:t>
      </w:r>
      <w:r>
        <w:rPr>
          <w:rFonts w:ascii="Avenir Next" w:eastAsia="Avenir Next" w:hAnsi="Avenir Next" w:cs="Avenir Next"/>
          <w:spacing w:val="-2"/>
          <w:sz w:val="16"/>
          <w:szCs w:val="16"/>
        </w:rPr>
        <w:t>tariffs.”</w:t>
      </w:r>
    </w:p>
    <w:p w:rsidR="00D96B91" w:rsidRDefault="00C2656B">
      <w:pPr>
        <w:spacing w:before="50"/>
        <w:ind w:left="1757"/>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iii and 66.</w:t>
      </w:r>
    </w:p>
    <w:p w:rsidR="00D96B91" w:rsidRDefault="00C2656B">
      <w:pPr>
        <w:numPr>
          <w:ilvl w:val="0"/>
          <w:numId w:val="79"/>
        </w:numPr>
        <w:tabs>
          <w:tab w:val="left" w:pos="1758"/>
        </w:tabs>
        <w:spacing w:before="12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xvii.</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line="267" w:lineRule="exact"/>
      </w:pPr>
      <w:bookmarkStart w:id="95" w:name="8._4_Techniques_used_by_other_regulators"/>
      <w:bookmarkStart w:id="96" w:name="_bookmark55"/>
      <w:bookmarkEnd w:id="95"/>
      <w:bookmarkEnd w:id="96"/>
      <w:r>
        <w:rPr>
          <w:spacing w:val="-2"/>
        </w:rPr>
        <w:t>The</w:t>
      </w:r>
      <w:r>
        <w:rPr>
          <w:spacing w:val="-1"/>
        </w:rPr>
        <w:t xml:space="preserve"> </w:t>
      </w:r>
      <w:r>
        <w:rPr>
          <w:spacing w:val="-4"/>
        </w:rPr>
        <w:t>Panel’s</w:t>
      </w:r>
      <w:r>
        <w:t xml:space="preserve"> final concern </w:t>
      </w:r>
      <w:r>
        <w:rPr>
          <w:spacing w:val="-1"/>
        </w:rPr>
        <w:t xml:space="preserve">relates </w:t>
      </w:r>
      <w:r>
        <w:t xml:space="preserve">to the </w:t>
      </w:r>
      <w:r>
        <w:rPr>
          <w:spacing w:val="-2"/>
        </w:rPr>
        <w:t>ICRC’s</w:t>
      </w:r>
      <w:r>
        <w:t xml:space="preserve"> decision</w:t>
      </w:r>
      <w:r>
        <w:rPr>
          <w:spacing w:val="-1"/>
        </w:rPr>
        <w:t xml:space="preserve"> </w:t>
      </w:r>
      <w:r>
        <w:t xml:space="preserve">to </w:t>
      </w:r>
      <w:r>
        <w:rPr>
          <w:spacing w:val="-1"/>
        </w:rPr>
        <w:t>extend</w:t>
      </w:r>
      <w:r>
        <w:t xml:space="preserve"> the period over</w:t>
      </w:r>
      <w:r>
        <w:rPr>
          <w:spacing w:val="-1"/>
        </w:rPr>
        <w:t xml:space="preserve"> </w:t>
      </w:r>
      <w:r>
        <w:t>which the costs of</w:t>
      </w:r>
    </w:p>
    <w:p w:rsidR="00D96B91" w:rsidRDefault="00C2656B">
      <w:pPr>
        <w:pStyle w:val="BodyText"/>
        <w:spacing w:before="3" w:line="228" w:lineRule="auto"/>
        <w:ind w:right="1366"/>
        <w:jc w:val="both"/>
      </w:pPr>
      <w:r>
        <w:t xml:space="preserve">the ECD would be </w:t>
      </w:r>
      <w:r>
        <w:rPr>
          <w:spacing w:val="-1"/>
        </w:rPr>
        <w:t>recovered</w:t>
      </w:r>
      <w:r>
        <w:t xml:space="preserve"> </w:t>
      </w:r>
      <w:r>
        <w:rPr>
          <w:spacing w:val="-1"/>
        </w:rPr>
        <w:t>from</w:t>
      </w:r>
      <w:r>
        <w:t xml:space="preserve"> customers to 100 </w:t>
      </w:r>
      <w:r>
        <w:rPr>
          <w:spacing w:val="-1"/>
        </w:rPr>
        <w:t>years.</w:t>
      </w:r>
      <w:r>
        <w:rPr>
          <w:spacing w:val="-11"/>
        </w:rPr>
        <w:t xml:space="preserve"> </w:t>
      </w:r>
      <w:r>
        <w:rPr>
          <w:spacing w:val="-2"/>
        </w:rPr>
        <w:t>The</w:t>
      </w:r>
      <w:r>
        <w:t xml:space="preserve"> </w:t>
      </w:r>
      <w:r>
        <w:rPr>
          <w:spacing w:val="-3"/>
        </w:rPr>
        <w:t>Panel</w:t>
      </w:r>
      <w:r>
        <w:t xml:space="preserve"> notes </w:t>
      </w:r>
      <w:r>
        <w:rPr>
          <w:spacing w:val="-1"/>
        </w:rPr>
        <w:t>that</w:t>
      </w:r>
      <w:r>
        <w:t xml:space="preserve"> this assumed </w:t>
      </w:r>
      <w:r>
        <w:rPr>
          <w:spacing w:val="-1"/>
        </w:rPr>
        <w:t>100-year</w:t>
      </w:r>
      <w:r>
        <w:rPr>
          <w:spacing w:val="37"/>
        </w:rPr>
        <w:t xml:space="preserve"> </w:t>
      </w:r>
      <w:r>
        <w:t xml:space="preserve">asset life is </w:t>
      </w:r>
      <w:r>
        <w:rPr>
          <w:spacing w:val="-1"/>
        </w:rPr>
        <w:t>approximately</w:t>
      </w:r>
      <w:r>
        <w:t xml:space="preserve"> 50% </w:t>
      </w:r>
      <w:r>
        <w:rPr>
          <w:spacing w:val="-1"/>
        </w:rPr>
        <w:t>shorter</w:t>
      </w:r>
      <w:r>
        <w:t xml:space="preserve"> than the economic life</w:t>
      </w:r>
      <w:r>
        <w:rPr>
          <w:spacing w:val="-4"/>
        </w:rPr>
        <w:t xml:space="preserve"> </w:t>
      </w:r>
      <w:r>
        <w:rPr>
          <w:spacing w:val="-2"/>
        </w:rPr>
        <w:t>ACTEW</w:t>
      </w:r>
      <w:r>
        <w:rPr>
          <w:spacing w:val="-3"/>
        </w:rPr>
        <w:t xml:space="preserve"> </w:t>
      </w:r>
      <w:r>
        <w:t>has advised should be assumed</w:t>
      </w:r>
      <w:r>
        <w:rPr>
          <w:spacing w:val="27"/>
        </w:rPr>
        <w:t xml:space="preserve"> </w:t>
      </w:r>
      <w:r>
        <w:t>for the ECD (see</w:t>
      </w:r>
      <w:r>
        <w:rPr>
          <w:spacing w:val="-5"/>
        </w:rPr>
        <w:t xml:space="preserve"> </w:t>
      </w:r>
      <w:r>
        <w:rPr>
          <w:spacing w:val="-4"/>
        </w:rPr>
        <w:t>Table</w:t>
      </w:r>
      <w:r>
        <w:t xml:space="preserve"> 9.14).</w:t>
      </w:r>
    </w:p>
    <w:p w:rsidR="00D96B91" w:rsidRDefault="00C2656B">
      <w:pPr>
        <w:pStyle w:val="BodyText"/>
        <w:spacing w:before="160"/>
      </w:pPr>
      <w:r>
        <w:t>In light of</w:t>
      </w:r>
      <w:r>
        <w:rPr>
          <w:spacing w:val="4"/>
        </w:rPr>
        <w:t xml:space="preserve"> </w:t>
      </w:r>
      <w:r>
        <w:t>the above concerns,</w:t>
      </w:r>
      <w:r>
        <w:rPr>
          <w:spacing w:val="-6"/>
        </w:rPr>
        <w:t xml:space="preserve"> </w:t>
      </w:r>
      <w:r>
        <w:t xml:space="preserve">the </w:t>
      </w:r>
      <w:r>
        <w:rPr>
          <w:spacing w:val="-3"/>
        </w:rPr>
        <w:t>Panel</w:t>
      </w:r>
      <w:r>
        <w:t xml:space="preserve"> has decided not to employ the same </w:t>
      </w:r>
      <w:r>
        <w:rPr>
          <w:spacing w:val="-1"/>
        </w:rPr>
        <w:t>approach</w:t>
      </w:r>
      <w:r>
        <w:t xml:space="preserve"> as the ICRC.</w:t>
      </w:r>
    </w:p>
    <w:p w:rsidR="00D96B91" w:rsidRDefault="00D96B91">
      <w:pPr>
        <w:spacing w:before="13"/>
        <w:rPr>
          <w:rFonts w:ascii="Avenir Next" w:eastAsia="Avenir Next" w:hAnsi="Avenir Next" w:cs="Avenir Next"/>
          <w:sz w:val="28"/>
          <w:szCs w:val="28"/>
        </w:rPr>
      </w:pPr>
    </w:p>
    <w:p w:rsidR="00D96B91" w:rsidRDefault="00C2656B">
      <w:pPr>
        <w:pStyle w:val="Heading4"/>
        <w:tabs>
          <w:tab w:val="left" w:pos="2040"/>
        </w:tabs>
        <w:spacing w:line="360" w:lineRule="exact"/>
        <w:ind w:left="2041" w:right="1546" w:hanging="794"/>
      </w:pPr>
      <w:r>
        <w:rPr>
          <w:color w:val="0778BE"/>
        </w:rPr>
        <w:t>8.</w:t>
      </w:r>
      <w:r>
        <w:rPr>
          <w:color w:val="0778BE"/>
          <w:spacing w:val="-9"/>
        </w:rPr>
        <w:t xml:space="preserve"> </w:t>
      </w:r>
      <w:r>
        <w:rPr>
          <w:color w:val="0778BE"/>
        </w:rPr>
        <w:t>4</w:t>
      </w:r>
      <w:r>
        <w:rPr>
          <w:color w:val="0778BE"/>
        </w:rPr>
        <w:tab/>
      </w:r>
      <w:r>
        <w:rPr>
          <w:color w:val="0778BE"/>
          <w:spacing w:val="-29"/>
        </w:rPr>
        <w:t>T</w:t>
      </w:r>
      <w:r>
        <w:rPr>
          <w:color w:val="0778BE"/>
        </w:rPr>
        <w:t xml:space="preserve">echniques used by other </w:t>
      </w:r>
      <w:r>
        <w:rPr>
          <w:color w:val="0778BE"/>
          <w:spacing w:val="-6"/>
        </w:rPr>
        <w:t>r</w:t>
      </w:r>
      <w:r>
        <w:rPr>
          <w:color w:val="0778BE"/>
        </w:rPr>
        <w:t>egul</w:t>
      </w:r>
      <w:r>
        <w:rPr>
          <w:color w:val="0778BE"/>
          <w:spacing w:val="-3"/>
        </w:rPr>
        <w:t>a</w:t>
      </w:r>
      <w:r>
        <w:rPr>
          <w:color w:val="0778BE"/>
        </w:rPr>
        <w:t>tors and const</w:t>
      </w:r>
      <w:r>
        <w:rPr>
          <w:color w:val="0778BE"/>
          <w:spacing w:val="-4"/>
        </w:rPr>
        <w:t>r</w:t>
      </w:r>
      <w:r>
        <w:rPr>
          <w:color w:val="0778BE"/>
        </w:rPr>
        <w:t>aints on their use</w:t>
      </w:r>
    </w:p>
    <w:p w:rsidR="00D96B91" w:rsidRDefault="00C2656B">
      <w:pPr>
        <w:pStyle w:val="BodyText"/>
        <w:spacing w:before="93" w:line="260" w:lineRule="exact"/>
        <w:ind w:right="1314"/>
      </w:pPr>
      <w:r>
        <w:rPr>
          <w:spacing w:val="-2"/>
        </w:rPr>
        <w:t>The</w:t>
      </w:r>
      <w:r>
        <w:t xml:space="preserve"> ICRC is not the only </w:t>
      </w:r>
      <w:r>
        <w:rPr>
          <w:spacing w:val="-1"/>
        </w:rPr>
        <w:t>regulator</w:t>
      </w:r>
      <w:r>
        <w:t xml:space="preserve"> </w:t>
      </w:r>
      <w:r>
        <w:rPr>
          <w:spacing w:val="-1"/>
        </w:rPr>
        <w:t>that</w:t>
      </w:r>
      <w:r>
        <w:t xml:space="preserve"> has </w:t>
      </w:r>
      <w:r>
        <w:rPr>
          <w:spacing w:val="-1"/>
        </w:rPr>
        <w:t>considered</w:t>
      </w:r>
      <w:r>
        <w:t xml:space="preserve"> whether an </w:t>
      </w:r>
      <w:r>
        <w:rPr>
          <w:spacing w:val="-1"/>
        </w:rPr>
        <w:t>alternative</w:t>
      </w:r>
      <w:r>
        <w:t xml:space="preserve"> to the </w:t>
      </w:r>
      <w:r>
        <w:rPr>
          <w:spacing w:val="-1"/>
        </w:rPr>
        <w:t>traditional</w:t>
      </w:r>
      <w:r>
        <w:rPr>
          <w:spacing w:val="59"/>
        </w:rPr>
        <w:t xml:space="preserve"> </w:t>
      </w:r>
      <w:r>
        <w:rPr>
          <w:spacing w:val="-1"/>
        </w:rPr>
        <w:t>approach</w:t>
      </w:r>
      <w:r>
        <w:t xml:space="preserve"> to capital cost </w:t>
      </w:r>
      <w:r>
        <w:rPr>
          <w:spacing w:val="-1"/>
        </w:rPr>
        <w:t>recovery</w:t>
      </w:r>
      <w:r>
        <w:t xml:space="preserve"> can be used when </w:t>
      </w:r>
      <w:r>
        <w:rPr>
          <w:spacing w:val="-1"/>
        </w:rPr>
        <w:t>dealing</w:t>
      </w:r>
      <w:r>
        <w:t xml:space="preserve"> with </w:t>
      </w:r>
      <w:r>
        <w:rPr>
          <w:spacing w:val="-1"/>
        </w:rPr>
        <w:t>large-scale</w:t>
      </w:r>
      <w:r>
        <w:t xml:space="preserve"> </w:t>
      </w:r>
      <w:r>
        <w:rPr>
          <w:spacing w:val="-1"/>
        </w:rPr>
        <w:t>infrastructure</w:t>
      </w:r>
      <w:r>
        <w:t xml:space="preserve"> investments</w:t>
      </w:r>
      <w:r>
        <w:rPr>
          <w:spacing w:val="55"/>
        </w:rPr>
        <w:t xml:space="preserve"> </w:t>
      </w:r>
      <w:r>
        <w:rPr>
          <w:spacing w:val="-1"/>
        </w:rPr>
        <w:t xml:space="preserve">where </w:t>
      </w:r>
      <w:r>
        <w:t>the</w:t>
      </w:r>
      <w:r>
        <w:rPr>
          <w:spacing w:val="-1"/>
        </w:rPr>
        <w:t xml:space="preserve"> </w:t>
      </w:r>
      <w:r>
        <w:t>benefits accrue</w:t>
      </w:r>
      <w:r>
        <w:rPr>
          <w:spacing w:val="-1"/>
        </w:rPr>
        <w:t xml:space="preserve"> across</w:t>
      </w:r>
      <w:r>
        <w:t xml:space="preserve"> multiple</w:t>
      </w:r>
      <w:r>
        <w:rPr>
          <w:spacing w:val="-1"/>
        </w:rPr>
        <w:t xml:space="preserve"> generations.</w:t>
      </w:r>
      <w:r>
        <w:rPr>
          <w:spacing w:val="-6"/>
        </w:rPr>
        <w:t xml:space="preserve"> </w:t>
      </w:r>
      <w:r>
        <w:rPr>
          <w:spacing w:val="-4"/>
        </w:rPr>
        <w:t>For</w:t>
      </w:r>
      <w:r>
        <w:rPr>
          <w:spacing w:val="-1"/>
        </w:rPr>
        <w:t xml:space="preserve"> example,</w:t>
      </w:r>
      <w:r>
        <w:rPr>
          <w:spacing w:val="-7"/>
        </w:rPr>
        <w:t xml:space="preserve"> </w:t>
      </w:r>
      <w:r>
        <w:rPr>
          <w:spacing w:val="-6"/>
        </w:rPr>
        <w:t xml:space="preserve">IPART, </w:t>
      </w:r>
      <w:r>
        <w:t>the</w:t>
      </w:r>
      <w:r>
        <w:rPr>
          <w:spacing w:val="-1"/>
        </w:rPr>
        <w:t xml:space="preserve"> </w:t>
      </w:r>
      <w:r>
        <w:t>ESC and</w:t>
      </w:r>
      <w:r>
        <w:rPr>
          <w:spacing w:val="-1"/>
        </w:rPr>
        <w:t xml:space="preserve"> </w:t>
      </w:r>
      <w:r>
        <w:t>the</w:t>
      </w:r>
      <w:r>
        <w:rPr>
          <w:spacing w:val="47"/>
        </w:rPr>
        <w:t xml:space="preserve"> </w:t>
      </w:r>
      <w:r>
        <w:t xml:space="preserve">Queensland Government have also </w:t>
      </w:r>
      <w:r>
        <w:rPr>
          <w:spacing w:val="-1"/>
        </w:rPr>
        <w:t>recently</w:t>
      </w:r>
      <w:r>
        <w:t xml:space="preserve"> </w:t>
      </w:r>
      <w:r>
        <w:rPr>
          <w:spacing w:val="-1"/>
        </w:rPr>
        <w:t>considered</w:t>
      </w:r>
      <w:r>
        <w:t xml:space="preserve"> this issue in the </w:t>
      </w:r>
      <w:r>
        <w:rPr>
          <w:spacing w:val="-1"/>
        </w:rPr>
        <w:t>water</w:t>
      </w:r>
      <w:r>
        <w:t xml:space="preserve"> </w:t>
      </w:r>
      <w:r>
        <w:rPr>
          <w:spacing w:val="-1"/>
        </w:rPr>
        <w:t>industry.</w:t>
      </w:r>
      <w:r>
        <w:rPr>
          <w:spacing w:val="-6"/>
        </w:rPr>
        <w:t xml:space="preserve"> </w:t>
      </w:r>
      <w:r>
        <w:rPr>
          <w:spacing w:val="-1"/>
        </w:rPr>
        <w:t>Regulators</w:t>
      </w:r>
      <w:r>
        <w:t xml:space="preserve"> in</w:t>
      </w:r>
      <w:r>
        <w:rPr>
          <w:spacing w:val="37"/>
        </w:rPr>
        <w:t xml:space="preserve"> </w:t>
      </w:r>
      <w:r>
        <w:t>other industries in</w:t>
      </w:r>
      <w:r>
        <w:rPr>
          <w:spacing w:val="-4"/>
        </w:rPr>
        <w:t xml:space="preserve"> </w:t>
      </w:r>
      <w:r>
        <w:rPr>
          <w:spacing w:val="-1"/>
        </w:rPr>
        <w:t>Australia,</w:t>
      </w:r>
      <w:r>
        <w:rPr>
          <w:spacing w:val="-6"/>
        </w:rPr>
        <w:t xml:space="preserve"> </w:t>
      </w:r>
      <w:r>
        <w:t>including gas,</w:t>
      </w:r>
      <w:r>
        <w:rPr>
          <w:spacing w:val="-6"/>
        </w:rPr>
        <w:t xml:space="preserve"> </w:t>
      </w:r>
      <w:r>
        <w:t xml:space="preserve">electricity and </w:t>
      </w:r>
      <w:r>
        <w:rPr>
          <w:spacing w:val="-1"/>
        </w:rPr>
        <w:t>telecommunications,</w:t>
      </w:r>
      <w:r>
        <w:rPr>
          <w:spacing w:val="-7"/>
        </w:rPr>
        <w:t xml:space="preserve"> </w:t>
      </w:r>
      <w:r>
        <w:t xml:space="preserve">have also </w:t>
      </w:r>
      <w:r>
        <w:rPr>
          <w:spacing w:val="-1"/>
        </w:rPr>
        <w:t>considered</w:t>
      </w:r>
      <w:r>
        <w:rPr>
          <w:spacing w:val="59"/>
        </w:rPr>
        <w:t xml:space="preserve"> </w:t>
      </w:r>
      <w:r>
        <w:t>this issue.</w:t>
      </w:r>
    </w:p>
    <w:p w:rsidR="00D96B91" w:rsidRDefault="00D96B91">
      <w:pPr>
        <w:pStyle w:val="BodyText"/>
        <w:spacing w:before="170" w:line="260" w:lineRule="exact"/>
        <w:ind w:right="1283"/>
      </w:pPr>
      <w:hyperlink w:anchor="_bookmark56" w:history="1">
        <w:r w:rsidR="00C2656B">
          <w:rPr>
            <w:spacing w:val="-4"/>
          </w:rPr>
          <w:t>Table</w:t>
        </w:r>
        <w:r w:rsidR="00C2656B">
          <w:t xml:space="preserve"> 8.1</w:t>
        </w:r>
      </w:hyperlink>
      <w:r w:rsidR="00C2656B">
        <w:t xml:space="preserve"> </w:t>
      </w:r>
      <w:r w:rsidR="00C2656B">
        <w:rPr>
          <w:spacing w:val="-1"/>
        </w:rPr>
        <w:t>provides</w:t>
      </w:r>
      <w:r w:rsidR="00C2656B">
        <w:t xml:space="preserve"> a summary of</w:t>
      </w:r>
      <w:r w:rsidR="00C2656B">
        <w:rPr>
          <w:spacing w:val="4"/>
        </w:rPr>
        <w:t xml:space="preserve"> </w:t>
      </w:r>
      <w:r w:rsidR="00C2656B">
        <w:t xml:space="preserve">the techniques </w:t>
      </w:r>
      <w:r w:rsidR="00C2656B">
        <w:rPr>
          <w:spacing w:val="-1"/>
        </w:rPr>
        <w:t>that</w:t>
      </w:r>
      <w:r w:rsidR="00C2656B">
        <w:t xml:space="preserve"> have been employed or </w:t>
      </w:r>
      <w:r w:rsidR="00C2656B">
        <w:rPr>
          <w:spacing w:val="-1"/>
        </w:rPr>
        <w:t>contemplated</w:t>
      </w:r>
      <w:r w:rsidR="00C2656B">
        <w:t xml:space="preserve"> by other</w:t>
      </w:r>
      <w:r w:rsidR="00C2656B">
        <w:rPr>
          <w:spacing w:val="29"/>
        </w:rPr>
        <w:t xml:space="preserve"> </w:t>
      </w:r>
      <w:r w:rsidR="00C2656B">
        <w:rPr>
          <w:spacing w:val="-1"/>
        </w:rPr>
        <w:t>regulators.</w:t>
      </w:r>
      <w:r w:rsidR="00C2656B">
        <w:rPr>
          <w:spacing w:val="-6"/>
        </w:rPr>
        <w:t xml:space="preserve"> </w:t>
      </w:r>
      <w:r w:rsidR="00C2656B">
        <w:rPr>
          <w:spacing w:val="-2"/>
        </w:rPr>
        <w:t>Further</w:t>
      </w:r>
      <w:r w:rsidR="00C2656B">
        <w:t xml:space="preserve"> detail on these techniques and </w:t>
      </w:r>
      <w:r w:rsidR="00C2656B">
        <w:rPr>
          <w:spacing w:val="-1"/>
        </w:rPr>
        <w:t>examples</w:t>
      </w:r>
      <w:r w:rsidR="00C2656B">
        <w:t xml:space="preserve"> of</w:t>
      </w:r>
      <w:r w:rsidR="00C2656B">
        <w:rPr>
          <w:spacing w:val="4"/>
        </w:rPr>
        <w:t xml:space="preserve"> </w:t>
      </w:r>
      <w:r w:rsidR="00C2656B">
        <w:t>their use can be found in</w:t>
      </w:r>
      <w:r w:rsidR="00C2656B">
        <w:rPr>
          <w:spacing w:val="-4"/>
        </w:rPr>
        <w:t xml:space="preserve"> </w:t>
      </w:r>
      <w:r w:rsidR="00C2656B">
        <w:t>Appendix 7.</w:t>
      </w:r>
    </w:p>
    <w:p w:rsidR="00D96B91" w:rsidRDefault="00C2656B">
      <w:pPr>
        <w:pStyle w:val="BodyText"/>
        <w:spacing w:before="170" w:line="260" w:lineRule="exact"/>
        <w:ind w:right="1283"/>
        <w:rPr>
          <w:rFonts w:cs="Avenir Next"/>
        </w:rPr>
      </w:pPr>
      <w:r>
        <w:rPr>
          <w:rFonts w:cs="Avenir Next"/>
        </w:rPr>
        <w:t>As</w:t>
      </w:r>
      <w:r>
        <w:rPr>
          <w:rFonts w:cs="Avenir Next"/>
          <w:spacing w:val="-1"/>
        </w:rPr>
        <w:t xml:space="preserve"> </w:t>
      </w:r>
      <w:r>
        <w:rPr>
          <w:rFonts w:cs="Avenir Next"/>
        </w:rPr>
        <w:t>the</w:t>
      </w:r>
      <w:r>
        <w:rPr>
          <w:rFonts w:cs="Avenir Next"/>
          <w:spacing w:val="-1"/>
        </w:rPr>
        <w:t xml:space="preserve"> information </w:t>
      </w:r>
      <w:r>
        <w:rPr>
          <w:rFonts w:cs="Avenir Next"/>
        </w:rPr>
        <w:t>in</w:t>
      </w:r>
      <w:r>
        <w:rPr>
          <w:rFonts w:cs="Avenir Next"/>
          <w:spacing w:val="-5"/>
        </w:rPr>
        <w:t xml:space="preserve"> </w:t>
      </w:r>
      <w:r>
        <w:t>Appendix</w:t>
      </w:r>
      <w:r>
        <w:rPr>
          <w:spacing w:val="-1"/>
        </w:rPr>
        <w:t xml:space="preserve"> </w:t>
      </w:r>
      <w:r>
        <w:t>7</w:t>
      </w:r>
      <w:r>
        <w:rPr>
          <w:spacing w:val="-1"/>
        </w:rPr>
        <w:t xml:space="preserve"> </w:t>
      </w:r>
      <w:r>
        <w:t>shows,</w:t>
      </w:r>
      <w:r>
        <w:rPr>
          <w:spacing w:val="-8"/>
        </w:rPr>
        <w:t xml:space="preserve"> </w:t>
      </w:r>
      <w:r>
        <w:rPr>
          <w:spacing w:val="-1"/>
        </w:rPr>
        <w:t xml:space="preserve">there </w:t>
      </w:r>
      <w:r>
        <w:t>is</w:t>
      </w:r>
      <w:r>
        <w:rPr>
          <w:spacing w:val="-1"/>
        </w:rPr>
        <w:t xml:space="preserve"> </w:t>
      </w:r>
      <w:r>
        <w:t>no</w:t>
      </w:r>
      <w:r>
        <w:rPr>
          <w:spacing w:val="-1"/>
        </w:rPr>
        <w:t xml:space="preserve"> ‘one-size-fits-all’ approach </w:t>
      </w:r>
      <w:r>
        <w:t>to</w:t>
      </w:r>
      <w:r>
        <w:rPr>
          <w:spacing w:val="-1"/>
        </w:rPr>
        <w:t xml:space="preserve"> dealing </w:t>
      </w:r>
      <w:r>
        <w:t>with the</w:t>
      </w:r>
      <w:r>
        <w:rPr>
          <w:spacing w:val="57"/>
        </w:rPr>
        <w:t xml:space="preserve"> </w:t>
      </w:r>
      <w:r>
        <w:rPr>
          <w:spacing w:val="-1"/>
        </w:rPr>
        <w:t>intergenerational</w:t>
      </w:r>
      <w:r>
        <w:t xml:space="preserve"> equity issues posed by </w:t>
      </w:r>
      <w:r>
        <w:rPr>
          <w:spacing w:val="-1"/>
        </w:rPr>
        <w:t>large-scale</w:t>
      </w:r>
      <w:r>
        <w:t xml:space="preserve"> </w:t>
      </w:r>
      <w:r>
        <w:rPr>
          <w:spacing w:val="-1"/>
        </w:rPr>
        <w:t>one-off</w:t>
      </w:r>
      <w:r>
        <w:rPr>
          <w:spacing w:val="4"/>
        </w:rPr>
        <w:t xml:space="preserve"> </w:t>
      </w:r>
      <w:r>
        <w:t>investments.</w:t>
      </w:r>
      <w:r>
        <w:rPr>
          <w:spacing w:val="-6"/>
        </w:rPr>
        <w:t xml:space="preserve"> </w:t>
      </w:r>
      <w:r>
        <w:rPr>
          <w:spacing w:val="-3"/>
        </w:rPr>
        <w:t>Rather,</w:t>
      </w:r>
      <w:r>
        <w:rPr>
          <w:spacing w:val="-6"/>
        </w:rPr>
        <w:t xml:space="preserve"> </w:t>
      </w:r>
      <w:r>
        <w:rPr>
          <w:spacing w:val="-1"/>
        </w:rPr>
        <w:t>there</w:t>
      </w:r>
      <w:r>
        <w:t xml:space="preserve"> </w:t>
      </w:r>
      <w:r>
        <w:rPr>
          <w:spacing w:val="-2"/>
        </w:rPr>
        <w:t>are</w:t>
      </w:r>
      <w:r>
        <w:t xml:space="preserve"> a number of</w:t>
      </w:r>
      <w:r>
        <w:rPr>
          <w:spacing w:val="55"/>
        </w:rPr>
        <w:t xml:space="preserve"> </w:t>
      </w:r>
      <w:r>
        <w:rPr>
          <w:rFonts w:cs="Avenir Next"/>
        </w:rPr>
        <w:t xml:space="preserve">techniques </w:t>
      </w:r>
      <w:r>
        <w:rPr>
          <w:rFonts w:cs="Avenir Next"/>
          <w:spacing w:val="-1"/>
        </w:rPr>
        <w:t>that</w:t>
      </w:r>
      <w:r>
        <w:rPr>
          <w:rFonts w:cs="Avenir Next"/>
        </w:rPr>
        <w:t xml:space="preserve"> can be used and the choice between these will depend on a </w:t>
      </w:r>
      <w:r>
        <w:rPr>
          <w:rFonts w:cs="Avenir Next"/>
          <w:spacing w:val="-1"/>
        </w:rPr>
        <w:t>range</w:t>
      </w:r>
      <w:r>
        <w:rPr>
          <w:rFonts w:cs="Avenir Next"/>
        </w:rPr>
        <w:t xml:space="preserve"> of</w:t>
      </w:r>
      <w:r>
        <w:rPr>
          <w:rFonts w:cs="Avenir Next"/>
          <w:spacing w:val="4"/>
        </w:rPr>
        <w:t xml:space="preserve"> </w:t>
      </w:r>
      <w:r>
        <w:rPr>
          <w:rFonts w:cs="Avenir Next"/>
        </w:rPr>
        <w:t>factors,</w:t>
      </w:r>
      <w:r>
        <w:rPr>
          <w:rFonts w:cs="Avenir Next"/>
          <w:spacing w:val="-7"/>
        </w:rPr>
        <w:t xml:space="preserve"> </w:t>
      </w:r>
      <w:r>
        <w:rPr>
          <w:rFonts w:cs="Avenir Next"/>
        </w:rPr>
        <w:t>such as:</w:t>
      </w:r>
    </w:p>
    <w:p w:rsidR="00D96B91" w:rsidRDefault="00C2656B">
      <w:pPr>
        <w:pStyle w:val="BodyText"/>
        <w:numPr>
          <w:ilvl w:val="0"/>
          <w:numId w:val="131"/>
        </w:numPr>
        <w:tabs>
          <w:tab w:val="left" w:pos="1531"/>
        </w:tabs>
        <w:spacing w:before="178"/>
        <w:ind w:hanging="283"/>
      </w:pPr>
      <w:r>
        <w:t>the</w:t>
      </w:r>
      <w:r>
        <w:rPr>
          <w:spacing w:val="-1"/>
        </w:rPr>
        <w:t xml:space="preserve"> </w:t>
      </w:r>
      <w:r>
        <w:t>benefits</w:t>
      </w:r>
      <w:r>
        <w:rPr>
          <w:spacing w:val="-1"/>
        </w:rPr>
        <w:t xml:space="preserve"> that</w:t>
      </w:r>
      <w:r>
        <w:t xml:space="preserve"> </w:t>
      </w:r>
      <w:r>
        <w:rPr>
          <w:spacing w:val="-1"/>
        </w:rPr>
        <w:t xml:space="preserve">current </w:t>
      </w:r>
      <w:r>
        <w:t xml:space="preserve">and </w:t>
      </w:r>
      <w:r>
        <w:rPr>
          <w:spacing w:val="-1"/>
        </w:rPr>
        <w:t xml:space="preserve">future </w:t>
      </w:r>
      <w:r>
        <w:t xml:space="preserve">customers </w:t>
      </w:r>
      <w:r>
        <w:rPr>
          <w:spacing w:val="-2"/>
        </w:rPr>
        <w:t>are</w:t>
      </w:r>
      <w:r>
        <w:rPr>
          <w:spacing w:val="-1"/>
        </w:rPr>
        <w:t xml:space="preserve"> expected </w:t>
      </w:r>
      <w:r>
        <w:t>to derive</w:t>
      </w:r>
      <w:r>
        <w:rPr>
          <w:spacing w:val="-1"/>
        </w:rPr>
        <w:t xml:space="preserve"> from</w:t>
      </w:r>
      <w:r>
        <w:t xml:space="preserve"> the</w:t>
      </w:r>
      <w:r>
        <w:rPr>
          <w:spacing w:val="-1"/>
        </w:rPr>
        <w:t xml:space="preserve"> </w:t>
      </w:r>
      <w:r>
        <w:t>investment</w:t>
      </w:r>
    </w:p>
    <w:p w:rsidR="00D96B91" w:rsidRDefault="00C2656B">
      <w:pPr>
        <w:pStyle w:val="BodyText"/>
        <w:numPr>
          <w:ilvl w:val="0"/>
          <w:numId w:val="131"/>
        </w:numPr>
        <w:tabs>
          <w:tab w:val="left" w:pos="1531"/>
        </w:tabs>
        <w:spacing w:before="72"/>
        <w:ind w:hanging="283"/>
        <w:rPr>
          <w:rFonts w:cs="Avenir Next"/>
        </w:rPr>
      </w:pPr>
      <w:r>
        <w:t>the availability of</w:t>
      </w:r>
      <w:r>
        <w:rPr>
          <w:spacing w:val="4"/>
        </w:rPr>
        <w:t xml:space="preserve"> </w:t>
      </w:r>
      <w:r>
        <w:t xml:space="preserve">the </w:t>
      </w:r>
      <w:r>
        <w:rPr>
          <w:spacing w:val="-1"/>
        </w:rPr>
        <w:t>information</w:t>
      </w:r>
      <w:r>
        <w:t xml:space="preserve"> </w:t>
      </w:r>
      <w:r>
        <w:rPr>
          <w:spacing w:val="-1"/>
        </w:rPr>
        <w:t>required</w:t>
      </w:r>
      <w:r>
        <w:t xml:space="preserve"> to apply the technique</w:t>
      </w:r>
    </w:p>
    <w:p w:rsidR="00D96B91" w:rsidRDefault="00D96B91">
      <w:pPr>
        <w:spacing w:before="1"/>
        <w:rPr>
          <w:rFonts w:ascii="Avenir Next" w:eastAsia="Avenir Next" w:hAnsi="Avenir Next" w:cs="Avenir Next"/>
          <w:sz w:val="15"/>
          <w:szCs w:val="15"/>
        </w:rPr>
      </w:pPr>
    </w:p>
    <w:p w:rsidR="00D96B91" w:rsidRDefault="00C2656B">
      <w:pPr>
        <w:pStyle w:val="BodyText"/>
        <w:numPr>
          <w:ilvl w:val="0"/>
          <w:numId w:val="131"/>
        </w:numPr>
        <w:tabs>
          <w:tab w:val="left" w:pos="1531"/>
        </w:tabs>
        <w:spacing w:line="260" w:lineRule="exact"/>
        <w:ind w:right="1939" w:hanging="283"/>
        <w:rPr>
          <w:rFonts w:cs="Avenir Next"/>
        </w:rPr>
      </w:pPr>
      <w:r>
        <w:t xml:space="preserve">the </w:t>
      </w:r>
      <w:r>
        <w:rPr>
          <w:spacing w:val="-1"/>
        </w:rPr>
        <w:t>regulatory</w:t>
      </w:r>
      <w:r>
        <w:t xml:space="preserve"> </w:t>
      </w:r>
      <w:r>
        <w:rPr>
          <w:spacing w:val="-1"/>
        </w:rPr>
        <w:t>risks</w:t>
      </w:r>
      <w:r>
        <w:t xml:space="preserve"> </w:t>
      </w:r>
      <w:r>
        <w:rPr>
          <w:spacing w:val="-1"/>
        </w:rPr>
        <w:t>associated</w:t>
      </w:r>
      <w:r>
        <w:t xml:space="preserve"> with </w:t>
      </w:r>
      <w:r>
        <w:rPr>
          <w:spacing w:val="-1"/>
        </w:rPr>
        <w:t>each</w:t>
      </w:r>
      <w:r>
        <w:t xml:space="preserve"> technique,</w:t>
      </w:r>
      <w:r>
        <w:rPr>
          <w:spacing w:val="-6"/>
        </w:rPr>
        <w:t xml:space="preserve"> </w:t>
      </w:r>
      <w:r>
        <w:t xml:space="preserve">which primarily </w:t>
      </w:r>
      <w:r>
        <w:rPr>
          <w:spacing w:val="-1"/>
        </w:rPr>
        <w:t>relate</w:t>
      </w:r>
      <w:r>
        <w:t xml:space="preserve"> to the ability of</w:t>
      </w:r>
      <w:r>
        <w:rPr>
          <w:spacing w:val="4"/>
        </w:rPr>
        <w:t xml:space="preserve"> </w:t>
      </w:r>
      <w:r>
        <w:t>the</w:t>
      </w:r>
      <w:r>
        <w:rPr>
          <w:spacing w:val="31"/>
        </w:rPr>
        <w:t xml:space="preserve"> </w:t>
      </w:r>
      <w:r>
        <w:rPr>
          <w:spacing w:val="-1"/>
        </w:rPr>
        <w:t>regulator</w:t>
      </w:r>
      <w:r>
        <w:t xml:space="preserve"> to bind </w:t>
      </w:r>
      <w:r>
        <w:rPr>
          <w:spacing w:val="-1"/>
        </w:rPr>
        <w:t>future</w:t>
      </w:r>
      <w:r>
        <w:t xml:space="preserve"> decisions by itself,</w:t>
      </w:r>
      <w:r>
        <w:rPr>
          <w:spacing w:val="-7"/>
        </w:rPr>
        <w:t xml:space="preserve"> </w:t>
      </w:r>
      <w:r>
        <w:t>and</w:t>
      </w:r>
    </w:p>
    <w:p w:rsidR="00D96B91" w:rsidRDefault="00D96B91">
      <w:pPr>
        <w:spacing w:before="3"/>
        <w:rPr>
          <w:rFonts w:ascii="Avenir Next" w:eastAsia="Avenir Next" w:hAnsi="Avenir Next" w:cs="Avenir Next"/>
          <w:sz w:val="17"/>
          <w:szCs w:val="17"/>
        </w:rPr>
      </w:pPr>
    </w:p>
    <w:p w:rsidR="00D96B91" w:rsidRDefault="00C2656B">
      <w:pPr>
        <w:pStyle w:val="BodyText"/>
        <w:numPr>
          <w:ilvl w:val="0"/>
          <w:numId w:val="131"/>
        </w:numPr>
        <w:tabs>
          <w:tab w:val="left" w:pos="1531"/>
        </w:tabs>
        <w:ind w:hanging="283"/>
      </w:pPr>
      <w:r>
        <w:t>the</w:t>
      </w:r>
      <w:r>
        <w:rPr>
          <w:spacing w:val="-1"/>
        </w:rPr>
        <w:t xml:space="preserve"> effect </w:t>
      </w:r>
      <w:r>
        <w:t>the</w:t>
      </w:r>
      <w:r>
        <w:rPr>
          <w:spacing w:val="-1"/>
        </w:rPr>
        <w:t xml:space="preserve"> </w:t>
      </w:r>
      <w:r>
        <w:t>techniques may</w:t>
      </w:r>
      <w:r>
        <w:rPr>
          <w:spacing w:val="-1"/>
        </w:rPr>
        <w:t xml:space="preserve"> </w:t>
      </w:r>
      <w:r>
        <w:t>have</w:t>
      </w:r>
      <w:r>
        <w:rPr>
          <w:spacing w:val="-1"/>
        </w:rPr>
        <w:t xml:space="preserve"> </w:t>
      </w:r>
      <w:r>
        <w:t>on the</w:t>
      </w:r>
      <w:r>
        <w:rPr>
          <w:spacing w:val="-1"/>
        </w:rPr>
        <w:t xml:space="preserve"> regulated </w:t>
      </w:r>
      <w:r>
        <w:t>business’ financial</w:t>
      </w:r>
      <w:r>
        <w:rPr>
          <w:spacing w:val="-1"/>
        </w:rPr>
        <w:t xml:space="preserve"> viability.</w:t>
      </w:r>
    </w:p>
    <w:p w:rsidR="00D96B91" w:rsidRDefault="00D96B91">
      <w:pPr>
        <w:spacing w:before="9"/>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bookmarkStart w:id="97" w:name="_bookmark56"/>
      <w:bookmarkEnd w:id="97"/>
      <w:r>
        <w:rPr>
          <w:rFonts w:ascii="Avenir Next"/>
          <w:b/>
          <w:spacing w:val="-4"/>
          <w:sz w:val="20"/>
        </w:rPr>
        <w:t>Table</w:t>
      </w:r>
      <w:r>
        <w:rPr>
          <w:rFonts w:ascii="Avenir Next"/>
          <w:b/>
          <w:sz w:val="20"/>
        </w:rPr>
        <w:t xml:space="preserve"> 8.1:</w:t>
      </w:r>
      <w:r>
        <w:rPr>
          <w:rFonts w:ascii="Avenir Next"/>
          <w:b/>
          <w:spacing w:val="-5"/>
          <w:sz w:val="20"/>
        </w:rPr>
        <w:t xml:space="preserve"> </w:t>
      </w:r>
      <w:r>
        <w:rPr>
          <w:rFonts w:ascii="Avenir Next"/>
          <w:b/>
          <w:spacing w:val="-2"/>
          <w:sz w:val="20"/>
        </w:rPr>
        <w:t>Techniques</w:t>
      </w:r>
      <w:r>
        <w:rPr>
          <w:rFonts w:ascii="Avenir Next"/>
          <w:b/>
          <w:sz w:val="20"/>
        </w:rPr>
        <w:t xml:space="preserve"> to </w:t>
      </w:r>
      <w:r>
        <w:rPr>
          <w:rFonts w:ascii="Avenir Next"/>
          <w:b/>
          <w:spacing w:val="-1"/>
          <w:sz w:val="20"/>
        </w:rPr>
        <w:t>deal</w:t>
      </w:r>
      <w:r>
        <w:rPr>
          <w:rFonts w:ascii="Avenir Next"/>
          <w:b/>
          <w:sz w:val="20"/>
        </w:rPr>
        <w:t xml:space="preserve"> with investments </w:t>
      </w:r>
      <w:r>
        <w:rPr>
          <w:rFonts w:ascii="Avenir Next"/>
          <w:b/>
          <w:spacing w:val="-1"/>
          <w:sz w:val="20"/>
        </w:rPr>
        <w:t>that</w:t>
      </w:r>
      <w:r>
        <w:rPr>
          <w:rFonts w:ascii="Avenir Next"/>
          <w:b/>
          <w:sz w:val="20"/>
        </w:rPr>
        <w:t xml:space="preserve"> have </w:t>
      </w:r>
      <w:r>
        <w:rPr>
          <w:rFonts w:ascii="Avenir Next"/>
          <w:b/>
          <w:spacing w:val="-1"/>
          <w:sz w:val="20"/>
        </w:rPr>
        <w:t>intergenerational</w:t>
      </w:r>
      <w:r>
        <w:rPr>
          <w:rFonts w:ascii="Avenir Next"/>
          <w:b/>
          <w:sz w:val="20"/>
        </w:rPr>
        <w:t xml:space="preserve"> benefits</w:t>
      </w:r>
    </w:p>
    <w:p w:rsidR="00D96B91" w:rsidRDefault="00D96B91">
      <w:pPr>
        <w:spacing w:before="4"/>
        <w:rPr>
          <w:rFonts w:ascii="Avenir Next" w:eastAsia="Avenir Next" w:hAnsi="Avenir Next" w:cs="Avenir Next"/>
          <w:b/>
          <w:bCs/>
          <w:sz w:val="13"/>
          <w:szCs w:val="13"/>
        </w:rPr>
      </w:pPr>
    </w:p>
    <w:tbl>
      <w:tblPr>
        <w:tblW w:w="0" w:type="auto"/>
        <w:tblInd w:w="1247" w:type="dxa"/>
        <w:tblLayout w:type="fixed"/>
        <w:tblCellMar>
          <w:left w:w="0" w:type="dxa"/>
          <w:right w:w="0" w:type="dxa"/>
        </w:tblCellMar>
        <w:tblLook w:val="01E0"/>
      </w:tblPr>
      <w:tblGrid>
        <w:gridCol w:w="1593"/>
        <w:gridCol w:w="8080"/>
      </w:tblGrid>
      <w:tr w:rsidR="00D96B91" w:rsidTr="00B45286">
        <w:trPr>
          <w:trHeight w:hRule="exact" w:val="407"/>
        </w:trPr>
        <w:tc>
          <w:tcPr>
            <w:tcW w:w="159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Technique</w:t>
            </w:r>
          </w:p>
        </w:tc>
        <w:tc>
          <w:tcPr>
            <w:tcW w:w="808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Description</w:t>
            </w:r>
          </w:p>
        </w:tc>
      </w:tr>
      <w:tr w:rsidR="00D96B91" w:rsidTr="00B45286">
        <w:trPr>
          <w:trHeight w:hRule="exact" w:val="357"/>
        </w:trPr>
        <w:tc>
          <w:tcPr>
            <w:tcW w:w="1593"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Deferral</w:t>
            </w:r>
            <w:r>
              <w:rPr>
                <w:rFonts w:ascii="Avenir Next Condensed"/>
                <w:b/>
                <w:sz w:val="18"/>
              </w:rPr>
              <w:t xml:space="preserve"> of</w:t>
            </w:r>
            <w:r>
              <w:rPr>
                <w:rFonts w:ascii="Avenir Next Condensed"/>
                <w:b/>
                <w:spacing w:val="4"/>
                <w:sz w:val="18"/>
              </w:rPr>
              <w:t xml:space="preserve"> </w:t>
            </w:r>
            <w:r>
              <w:rPr>
                <w:rFonts w:ascii="Avenir Next Condensed"/>
                <w:b/>
                <w:sz w:val="18"/>
              </w:rPr>
              <w:t>the</w:t>
            </w:r>
          </w:p>
        </w:tc>
        <w:tc>
          <w:tcPr>
            <w:tcW w:w="8080"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technique involves the full or partial </w:t>
            </w:r>
            <w:r>
              <w:rPr>
                <w:rFonts w:ascii="Avenir Next Condensed"/>
                <w:spacing w:val="-1"/>
                <w:sz w:val="18"/>
              </w:rPr>
              <w:t>deferral</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z w:val="18"/>
              </w:rPr>
              <w:t>a defined portion of</w:t>
            </w:r>
            <w:r>
              <w:rPr>
                <w:rFonts w:ascii="Avenir Next Condensed"/>
                <w:spacing w:val="4"/>
                <w:sz w:val="18"/>
              </w:rPr>
              <w:t xml:space="preserve"> </w:t>
            </w:r>
            <w:r>
              <w:rPr>
                <w:rFonts w:ascii="Avenir Next Condensed"/>
                <w:sz w:val="18"/>
              </w:rPr>
              <w:t xml:space="preserve">the capital costs </w:t>
            </w:r>
            <w:r>
              <w:rPr>
                <w:rFonts w:ascii="Avenir Next Condensed"/>
                <w:spacing w:val="-1"/>
                <w:sz w:val="18"/>
              </w:rPr>
              <w:t>(depreciation</w:t>
            </w:r>
          </w:p>
        </w:tc>
      </w:tr>
      <w:tr w:rsidR="00D96B91" w:rsidTr="00B45286">
        <w:trPr>
          <w:trHeight w:hRule="exact" w:val="220"/>
        </w:trPr>
        <w:tc>
          <w:tcPr>
            <w:tcW w:w="1593"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pacing w:val="-1"/>
                <w:sz w:val="18"/>
              </w:rPr>
              <w:t>recovery</w:t>
            </w:r>
            <w:r>
              <w:rPr>
                <w:rFonts w:ascii="Avenir Next Condensed"/>
                <w:b/>
                <w:sz w:val="18"/>
              </w:rPr>
              <w:t xml:space="preserve"> of</w:t>
            </w:r>
            <w:r>
              <w:rPr>
                <w:rFonts w:ascii="Avenir Next Condensed"/>
                <w:b/>
                <w:spacing w:val="4"/>
                <w:sz w:val="18"/>
              </w:rPr>
              <w:t xml:space="preserve"> </w:t>
            </w:r>
            <w:r>
              <w:rPr>
                <w:rFonts w:ascii="Avenir Next Condensed"/>
                <w:b/>
                <w:sz w:val="18"/>
              </w:rPr>
              <w:t>a</w:t>
            </w:r>
          </w:p>
        </w:tc>
        <w:tc>
          <w:tcPr>
            <w:tcW w:w="808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 xml:space="preserve">plus </w:t>
            </w:r>
            <w:r>
              <w:rPr>
                <w:rFonts w:ascii="Avenir Next Condensed"/>
                <w:spacing w:val="-1"/>
                <w:sz w:val="18"/>
              </w:rPr>
              <w:t>return</w:t>
            </w:r>
            <w:r>
              <w:rPr>
                <w:rFonts w:ascii="Avenir Next Condensed"/>
                <w:sz w:val="18"/>
              </w:rPr>
              <w:t xml:space="preserve"> on capital) when </w:t>
            </w:r>
            <w:r>
              <w:rPr>
                <w:rFonts w:ascii="Avenir Next Condensed"/>
                <w:spacing w:val="-1"/>
                <w:sz w:val="18"/>
              </w:rPr>
              <w:t>existing</w:t>
            </w:r>
            <w:r>
              <w:rPr>
                <w:rFonts w:ascii="Avenir Next Condensed"/>
                <w:sz w:val="18"/>
              </w:rPr>
              <w:t xml:space="preserve"> customers </w:t>
            </w:r>
            <w:r>
              <w:rPr>
                <w:rFonts w:ascii="Avenir Next Condensed"/>
                <w:spacing w:val="-1"/>
                <w:sz w:val="18"/>
              </w:rPr>
              <w:t>are</w:t>
            </w:r>
            <w:r>
              <w:rPr>
                <w:rFonts w:ascii="Avenir Next Condensed"/>
                <w:sz w:val="18"/>
              </w:rPr>
              <w:t xml:space="preserve"> not </w:t>
            </w:r>
            <w:r>
              <w:rPr>
                <w:rFonts w:ascii="Avenir Next Condensed"/>
                <w:spacing w:val="-1"/>
                <w:sz w:val="18"/>
              </w:rPr>
              <w:t>expected</w:t>
            </w:r>
            <w:r>
              <w:rPr>
                <w:rFonts w:ascii="Avenir Next Condensed"/>
                <w:sz w:val="18"/>
              </w:rPr>
              <w:t xml:space="preserve"> to fully utilise,</w:t>
            </w:r>
            <w:r>
              <w:rPr>
                <w:rFonts w:ascii="Avenir Next Condensed"/>
                <w:spacing w:val="-6"/>
                <w:sz w:val="18"/>
              </w:rPr>
              <w:t xml:space="preserve"> </w:t>
            </w:r>
            <w:r>
              <w:rPr>
                <w:rFonts w:ascii="Avenir Next Condensed"/>
                <w:sz w:val="18"/>
              </w:rPr>
              <w:t xml:space="preserve">or otherwise benefit </w:t>
            </w:r>
            <w:r>
              <w:rPr>
                <w:rFonts w:ascii="Avenir Next Condensed"/>
                <w:spacing w:val="-1"/>
                <w:sz w:val="18"/>
              </w:rPr>
              <w:t>from,</w:t>
            </w:r>
            <w:r>
              <w:rPr>
                <w:rFonts w:ascii="Avenir Next Condensed"/>
                <w:spacing w:val="-6"/>
                <w:sz w:val="18"/>
              </w:rPr>
              <w:t xml:space="preserve"> </w:t>
            </w:r>
            <w:r>
              <w:rPr>
                <w:rFonts w:ascii="Avenir Next Condensed"/>
                <w:sz w:val="18"/>
              </w:rPr>
              <w:t>the investment</w:t>
            </w:r>
          </w:p>
        </w:tc>
      </w:tr>
      <w:tr w:rsidR="00D96B91" w:rsidTr="00B45286">
        <w:trPr>
          <w:trHeight w:hRule="exact" w:val="220"/>
        </w:trPr>
        <w:tc>
          <w:tcPr>
            <w:tcW w:w="1593"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defined portion</w:t>
            </w:r>
          </w:p>
        </w:tc>
        <w:tc>
          <w:tcPr>
            <w:tcW w:w="808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for a period of</w:t>
            </w:r>
            <w:r>
              <w:rPr>
                <w:rFonts w:ascii="Avenir Next Condensed"/>
                <w:spacing w:val="4"/>
                <w:sz w:val="18"/>
              </w:rPr>
              <w:t xml:space="preserve"> </w:t>
            </w:r>
            <w:r>
              <w:rPr>
                <w:rFonts w:ascii="Avenir Next Condensed"/>
                <w:sz w:val="18"/>
              </w:rPr>
              <w:t>time.</w:t>
            </w:r>
            <w:r>
              <w:rPr>
                <w:rFonts w:ascii="Avenir Next Condensed"/>
                <w:spacing w:val="-6"/>
                <w:sz w:val="18"/>
              </w:rPr>
              <w:t xml:space="preserve"> </w:t>
            </w:r>
            <w:r>
              <w:rPr>
                <w:rFonts w:ascii="Avenir Next Condensed"/>
                <w:spacing w:val="-2"/>
                <w:sz w:val="18"/>
              </w:rPr>
              <w:t>For</w:t>
            </w:r>
            <w:r>
              <w:rPr>
                <w:rFonts w:ascii="Avenir Next Condensed"/>
                <w:sz w:val="18"/>
              </w:rPr>
              <w:t xml:space="preserve"> </w:t>
            </w:r>
            <w:r>
              <w:rPr>
                <w:rFonts w:ascii="Avenir Next Condensed"/>
                <w:spacing w:val="-1"/>
                <w:sz w:val="18"/>
              </w:rPr>
              <w:t>example,</w:t>
            </w:r>
            <w:r>
              <w:rPr>
                <w:rFonts w:ascii="Avenir Next Condensed"/>
                <w:spacing w:val="-6"/>
                <w:sz w:val="18"/>
              </w:rPr>
              <w:t xml:space="preserve"> </w:t>
            </w:r>
            <w:r>
              <w:rPr>
                <w:rFonts w:ascii="Avenir Next Condensed"/>
                <w:sz w:val="18"/>
              </w:rPr>
              <w:t>if</w:t>
            </w:r>
            <w:r>
              <w:rPr>
                <w:rFonts w:ascii="Avenir Next Condensed"/>
                <w:spacing w:val="4"/>
                <w:sz w:val="18"/>
              </w:rPr>
              <w:t xml:space="preserve"> </w:t>
            </w:r>
            <w:r>
              <w:rPr>
                <w:rFonts w:ascii="Avenir Next Condensed"/>
                <w:sz w:val="18"/>
              </w:rPr>
              <w:t xml:space="preserve">an </w:t>
            </w:r>
            <w:r>
              <w:rPr>
                <w:rFonts w:ascii="Avenir Next Condensed"/>
                <w:spacing w:val="-1"/>
                <w:sz w:val="18"/>
              </w:rPr>
              <w:t>asset</w:t>
            </w:r>
            <w:r>
              <w:rPr>
                <w:rFonts w:ascii="Avenir Next Condensed"/>
                <w:sz w:val="18"/>
              </w:rPr>
              <w:t xml:space="preserve"> is built with significant </w:t>
            </w:r>
            <w:r>
              <w:rPr>
                <w:rFonts w:ascii="Avenir Next Condensed"/>
                <w:spacing w:val="-1"/>
                <w:sz w:val="18"/>
              </w:rPr>
              <w:t>excess</w:t>
            </w:r>
            <w:r>
              <w:rPr>
                <w:rFonts w:ascii="Avenir Next Condensed"/>
                <w:sz w:val="18"/>
              </w:rPr>
              <w:t xml:space="preserve"> </w:t>
            </w:r>
            <w:r>
              <w:rPr>
                <w:rFonts w:ascii="Avenir Next Condensed"/>
                <w:spacing w:val="-1"/>
                <w:sz w:val="18"/>
              </w:rPr>
              <w:t>capacity,</w:t>
            </w:r>
            <w:r>
              <w:rPr>
                <w:rFonts w:ascii="Avenir Next Condensed"/>
                <w:spacing w:val="-6"/>
                <w:sz w:val="18"/>
              </w:rPr>
              <w:t xml:space="preserve"> </w:t>
            </w:r>
            <w:r>
              <w:rPr>
                <w:rFonts w:ascii="Avenir Next Condensed"/>
                <w:sz w:val="18"/>
              </w:rPr>
              <w:t xml:space="preserve">a </w:t>
            </w:r>
            <w:r>
              <w:rPr>
                <w:rFonts w:ascii="Avenir Next Condensed"/>
                <w:spacing w:val="-1"/>
                <w:sz w:val="18"/>
              </w:rPr>
              <w:t>regulator</w:t>
            </w:r>
            <w:r>
              <w:rPr>
                <w:rFonts w:ascii="Avenir Next Condensed"/>
                <w:sz w:val="18"/>
              </w:rPr>
              <w:t xml:space="preserve"> may decide to only allow</w:t>
            </w:r>
          </w:p>
        </w:tc>
      </w:tr>
      <w:tr w:rsidR="00D96B91" w:rsidTr="00B45286">
        <w:trPr>
          <w:trHeight w:hRule="exact" w:val="220"/>
        </w:trPr>
        <w:tc>
          <w:tcPr>
            <w:tcW w:w="1593"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of</w:t>
            </w:r>
            <w:r>
              <w:rPr>
                <w:rFonts w:ascii="Avenir Next Condensed"/>
                <w:b/>
                <w:spacing w:val="4"/>
                <w:sz w:val="18"/>
              </w:rPr>
              <w:t xml:space="preserve"> </w:t>
            </w:r>
            <w:r>
              <w:rPr>
                <w:rFonts w:ascii="Avenir Next Condensed"/>
                <w:b/>
                <w:sz w:val="18"/>
              </w:rPr>
              <w:t>the capital</w:t>
            </w:r>
          </w:p>
        </w:tc>
        <w:tc>
          <w:tcPr>
            <w:tcW w:w="808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a portion of</w:t>
            </w:r>
            <w:r>
              <w:rPr>
                <w:rFonts w:ascii="Avenir Next Condensed"/>
                <w:spacing w:val="4"/>
                <w:sz w:val="18"/>
              </w:rPr>
              <w:t xml:space="preserve"> </w:t>
            </w:r>
            <w:r>
              <w:rPr>
                <w:rFonts w:ascii="Avenir Next Condensed"/>
                <w:sz w:val="18"/>
              </w:rPr>
              <w:t xml:space="preserve">the investment to be </w:t>
            </w:r>
            <w:r>
              <w:rPr>
                <w:rFonts w:ascii="Avenir Next Condensed"/>
                <w:spacing w:val="-1"/>
                <w:sz w:val="18"/>
              </w:rPr>
              <w:t>recovered</w:t>
            </w:r>
            <w:r>
              <w:rPr>
                <w:rFonts w:ascii="Avenir Next Condensed"/>
                <w:sz w:val="18"/>
              </w:rPr>
              <w:t xml:space="preserve"> </w:t>
            </w:r>
            <w:r>
              <w:rPr>
                <w:rFonts w:ascii="Avenir Next Condensed"/>
                <w:spacing w:val="-1"/>
                <w:sz w:val="18"/>
              </w:rPr>
              <w:t>from</w:t>
            </w:r>
            <w:r>
              <w:rPr>
                <w:rFonts w:ascii="Avenir Next Condensed"/>
                <w:sz w:val="18"/>
              </w:rPr>
              <w:t xml:space="preserve"> </w:t>
            </w:r>
            <w:r>
              <w:rPr>
                <w:rFonts w:ascii="Avenir Next Condensed"/>
                <w:spacing w:val="-1"/>
                <w:sz w:val="18"/>
              </w:rPr>
              <w:t>current</w:t>
            </w:r>
            <w:r>
              <w:rPr>
                <w:rFonts w:ascii="Avenir Next Condensed"/>
                <w:sz w:val="18"/>
              </w:rPr>
              <w:t xml:space="preserve"> users and defer the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remainder</w:t>
            </w:r>
            <w:r>
              <w:rPr>
                <w:rFonts w:ascii="Avenir Next Condensed"/>
                <w:sz w:val="18"/>
              </w:rPr>
              <w:t xml:space="preserve"> until the </w:t>
            </w:r>
            <w:r>
              <w:rPr>
                <w:rFonts w:ascii="Avenir Next Condensed"/>
                <w:spacing w:val="-1"/>
                <w:sz w:val="18"/>
              </w:rPr>
              <w:t>excess</w:t>
            </w:r>
          </w:p>
        </w:tc>
      </w:tr>
      <w:tr w:rsidR="00D96B91" w:rsidTr="00B45286">
        <w:trPr>
          <w:trHeight w:hRule="exact" w:val="1817"/>
        </w:trPr>
        <w:tc>
          <w:tcPr>
            <w:tcW w:w="1593"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costs</w:t>
            </w:r>
          </w:p>
        </w:tc>
        <w:tc>
          <w:tcPr>
            <w:tcW w:w="808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capacity is used.</w:t>
            </w:r>
          </w:p>
          <w:p w:rsidR="00D96B91" w:rsidRDefault="00C2656B">
            <w:pPr>
              <w:pStyle w:val="TableParagraph"/>
              <w:spacing w:before="91" w:line="220" w:lineRule="exact"/>
              <w:ind w:left="108" w:right="18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4"/>
                <w:sz w:val="18"/>
                <w:szCs w:val="18"/>
              </w:rPr>
              <w:t>To</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ensure</w:t>
            </w:r>
            <w:r>
              <w:rPr>
                <w:rFonts w:ascii="Avenir Next Condensed" w:eastAsia="Avenir Next Condensed" w:hAnsi="Avenir Next Condensed" w:cs="Avenir Next Condensed"/>
                <w:sz w:val="18"/>
                <w:szCs w:val="18"/>
              </w:rPr>
              <w:t xml:space="preserve"> a </w:t>
            </w:r>
            <w:r>
              <w:rPr>
                <w:rFonts w:ascii="Avenir Next Condensed" w:eastAsia="Avenir Next Condensed" w:hAnsi="Avenir Next Condensed" w:cs="Avenir Next Condensed"/>
                <w:spacing w:val="-1"/>
                <w:sz w:val="18"/>
                <w:szCs w:val="18"/>
              </w:rPr>
              <w:t>regulated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business</w:t>
            </w:r>
            <w:r>
              <w:rPr>
                <w:rFonts w:ascii="Avenir Next Condensed" w:eastAsia="Avenir Next Condensed" w:hAnsi="Avenir Next Condensed" w:cs="Avenir Next Condensed"/>
                <w:sz w:val="18"/>
                <w:szCs w:val="18"/>
              </w:rPr>
              <w:t xml:space="preserve"> is no worse </w:t>
            </w:r>
            <w:r>
              <w:rPr>
                <w:rFonts w:ascii="Avenir Next Condensed" w:eastAsia="Avenir Next Condensed" w:hAnsi="Avenir Next Condensed" w:cs="Avenir Next Condensed"/>
                <w:spacing w:val="-1"/>
                <w:sz w:val="18"/>
                <w:szCs w:val="18"/>
              </w:rPr>
              <w:t>off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as a </w:t>
            </w:r>
            <w:r>
              <w:rPr>
                <w:rFonts w:ascii="Avenir Next Condensed" w:eastAsia="Avenir Next Condensed" w:hAnsi="Avenir Next Condensed" w:cs="Avenir Next Condensed"/>
                <w:spacing w:val="-1"/>
                <w:sz w:val="18"/>
                <w:szCs w:val="18"/>
              </w:rPr>
              <w:t>result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deferral</w:t>
            </w:r>
            <w:r>
              <w:rPr>
                <w:rFonts w:ascii="Avenir Next Condensed" w:eastAsia="Avenir Next Condensed" w:hAnsi="Avenir Next Condensed" w:cs="Avenir Next Condensed"/>
                <w:sz w:val="18"/>
                <w:szCs w:val="18"/>
              </w:rPr>
              <w:t xml:space="preserve"> (in net </w:t>
            </w:r>
            <w:r>
              <w:rPr>
                <w:rFonts w:ascii="Avenir Next Condensed" w:eastAsia="Avenir Next Condensed" w:hAnsi="Avenir Next Condensed" w:cs="Avenir Next Condensed"/>
                <w:spacing w:val="-1"/>
                <w:sz w:val="18"/>
                <w:szCs w:val="18"/>
              </w:rPr>
              <w:t>present</w:t>
            </w:r>
            <w:r>
              <w:rPr>
                <w:rFonts w:ascii="Avenir Next Condensed" w:eastAsia="Avenir Next Condensed" w:hAnsi="Avenir Next Condensed" w:cs="Avenir Next Condensed"/>
                <w:sz w:val="18"/>
                <w:szCs w:val="18"/>
              </w:rPr>
              <w:t xml:space="preserve"> value terms),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deferred</w:t>
            </w:r>
            <w:r>
              <w:rPr>
                <w:rFonts w:ascii="Avenir Next Condensed" w:eastAsia="Avenir Next Condensed" w:hAnsi="Avenir Next Condensed" w:cs="Avenir Next Condensed"/>
                <w:spacing w:val="79"/>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may be included in a notional account and allowed to </w:t>
            </w:r>
            <w:r>
              <w:rPr>
                <w:rFonts w:ascii="Avenir Next Condensed" w:eastAsia="Avenir Next Condensed" w:hAnsi="Avenir Next Condensed" w:cs="Avenir Next Condensed"/>
                <w:spacing w:val="-1"/>
                <w:sz w:val="18"/>
                <w:szCs w:val="18"/>
              </w:rPr>
              <w:t>increase</w:t>
            </w:r>
            <w:r>
              <w:rPr>
                <w:rFonts w:ascii="Avenir Next Condensed" w:eastAsia="Avenir Next Condensed" w:hAnsi="Avenir Next Condensed" w:cs="Avenir Next Condensed"/>
                <w:sz w:val="18"/>
                <w:szCs w:val="18"/>
              </w:rPr>
              <w:t xml:space="preserve"> annually by the </w:t>
            </w:r>
            <w:r>
              <w:rPr>
                <w:rFonts w:ascii="Avenir Next Condensed" w:eastAsia="Avenir Next Condensed" w:hAnsi="Avenir Next Condensed" w:cs="Avenir Next Condensed"/>
                <w:spacing w:val="-1"/>
                <w:sz w:val="18"/>
                <w:szCs w:val="18"/>
              </w:rPr>
              <w:t>required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rate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return.</w:t>
            </w:r>
            <w:r>
              <w:rPr>
                <w:rFonts w:ascii="Avenir Next Condensed" w:eastAsia="Avenir Next Condensed" w:hAnsi="Avenir Next Condensed" w:cs="Avenir Next Condensed"/>
                <w:spacing w:val="-9"/>
                <w:sz w:val="18"/>
                <w:szCs w:val="18"/>
              </w:rPr>
              <w:t xml:space="preserve"> </w:t>
            </w:r>
            <w:r>
              <w:rPr>
                <w:rFonts w:ascii="Avenir Next Condensed" w:eastAsia="Avenir Next Condensed" w:hAnsi="Avenir Next Condensed" w:cs="Avenir Next Condensed"/>
                <w:sz w:val="18"/>
                <w:szCs w:val="18"/>
              </w:rPr>
              <w:t>At the</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z w:val="18"/>
                <w:szCs w:val="18"/>
              </w:rPr>
              <w:t>end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deferral</w:t>
            </w:r>
            <w:r>
              <w:rPr>
                <w:rFonts w:ascii="Avenir Next Condensed" w:eastAsia="Avenir Next Condensed" w:hAnsi="Avenir Next Condensed" w:cs="Avenir Next Condensed"/>
                <w:sz w:val="18"/>
                <w:szCs w:val="18"/>
              </w:rPr>
              <w:t xml:space="preserve"> period,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the balance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this account (including the </w:t>
            </w:r>
            <w:r>
              <w:rPr>
                <w:rFonts w:ascii="Avenir Next Condensed" w:eastAsia="Avenir Next Condensed" w:hAnsi="Avenir Next Condensed" w:cs="Avenir Next Condensed"/>
                <w:spacing w:val="-1"/>
                <w:sz w:val="18"/>
                <w:szCs w:val="18"/>
              </w:rPr>
              <w:t>return</w:t>
            </w:r>
            <w:r>
              <w:rPr>
                <w:rFonts w:ascii="Avenir Next Condensed" w:eastAsia="Avenir Next Condensed" w:hAnsi="Avenir Next Condensed" w:cs="Avenir Next Condensed"/>
                <w:sz w:val="18"/>
                <w:szCs w:val="18"/>
              </w:rPr>
              <w:t xml:space="preserve"> on capital) is included in the </w:t>
            </w:r>
            <w:r>
              <w:rPr>
                <w:rFonts w:ascii="Avenir Next Condensed" w:eastAsia="Avenir Next Condensed" w:hAnsi="Avenir Next Condensed" w:cs="Avenir Next Condensed"/>
                <w:spacing w:val="-1"/>
                <w:sz w:val="18"/>
                <w:szCs w:val="18"/>
              </w:rPr>
              <w:t>business’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and prices.</w:t>
            </w:r>
          </w:p>
          <w:p w:rsidR="00D96B91" w:rsidRDefault="00C2656B">
            <w:pPr>
              <w:pStyle w:val="TableParagraph"/>
              <w:spacing w:before="113" w:line="220" w:lineRule="exact"/>
              <w:ind w:left="108" w:right="43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This</w:t>
            </w:r>
            <w:r>
              <w:rPr>
                <w:rFonts w:ascii="Avenir Next Condensed" w:eastAsia="Avenir Next Condensed" w:hAnsi="Avenir Next Condensed" w:cs="Avenir Next Condensed"/>
                <w:sz w:val="18"/>
                <w:szCs w:val="18"/>
              </w:rPr>
              <w:t xml:space="preserve"> technique was adopted by </w:t>
            </w:r>
            <w:r>
              <w:rPr>
                <w:rFonts w:ascii="Avenir Next Condensed" w:eastAsia="Avenir Next Condensed" w:hAnsi="Avenir Next Condensed" w:cs="Avenir Next Condensed"/>
                <w:spacing w:val="-2"/>
                <w:sz w:val="18"/>
                <w:szCs w:val="18"/>
              </w:rPr>
              <w:t>IPART</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z w:val="18"/>
                <w:szCs w:val="18"/>
              </w:rPr>
              <w:t xml:space="preserve">in 2009 when it </w:t>
            </w:r>
            <w:r>
              <w:rPr>
                <w:rFonts w:ascii="Avenir Next Condensed" w:eastAsia="Avenir Next Condensed" w:hAnsi="Avenir Next Condensed" w:cs="Avenir Next Condensed"/>
                <w:spacing w:val="-1"/>
                <w:sz w:val="18"/>
                <w:szCs w:val="18"/>
              </w:rPr>
              <w:t>assessed</w:t>
            </w:r>
            <w:r>
              <w:rPr>
                <w:rFonts w:ascii="Avenir Next Condensed" w:eastAsia="Avenir Next Condensed" w:hAnsi="Avenir Next Condensed" w:cs="Avenir Next Condensed"/>
                <w:sz w:val="18"/>
                <w:szCs w:val="18"/>
              </w:rPr>
              <w:t xml:space="preserve"> Hunter</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proposed</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pacing w:val="-1"/>
                <w:sz w:val="18"/>
                <w:szCs w:val="18"/>
              </w:rPr>
              <w:t>Tillegra</w:t>
            </w:r>
            <w:r>
              <w:rPr>
                <w:rFonts w:ascii="Avenir Next Condensed" w:eastAsia="Avenir Next Condensed" w:hAnsi="Avenir Next Condensed" w:cs="Avenir Next Condensed"/>
                <w:sz w:val="18"/>
                <w:szCs w:val="18"/>
              </w:rPr>
              <w:t xml:space="preserve"> Dam (note that in late</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z w:val="18"/>
                <w:szCs w:val="18"/>
              </w:rPr>
              <w:t>2010 the NSW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Government decided not to </w:t>
            </w:r>
            <w:r>
              <w:rPr>
                <w:rFonts w:ascii="Avenir Next Condensed" w:eastAsia="Avenir Next Condensed" w:hAnsi="Avenir Next Condensed" w:cs="Avenir Next Condensed"/>
                <w:spacing w:val="-1"/>
                <w:sz w:val="18"/>
                <w:szCs w:val="18"/>
              </w:rPr>
              <w:t>proceed</w:t>
            </w:r>
            <w:r>
              <w:rPr>
                <w:rFonts w:ascii="Avenir Next Condensed" w:eastAsia="Avenir Next Condensed" w:hAnsi="Avenir Next Condensed" w:cs="Avenir Next Condensed"/>
                <w:sz w:val="18"/>
                <w:szCs w:val="18"/>
              </w:rPr>
              <w:t xml:space="preserve"> with the construction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this dam).</w:t>
            </w:r>
          </w:p>
        </w:tc>
      </w:tr>
      <w:tr w:rsidR="00D96B91" w:rsidTr="00B45286">
        <w:trPr>
          <w:trHeight w:hRule="exact" w:val="1908"/>
        </w:trPr>
        <w:tc>
          <w:tcPr>
            <w:tcW w:w="15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61"/>
              <w:rPr>
                <w:rFonts w:ascii="Avenir Next Condensed" w:eastAsia="Avenir Next Condensed" w:hAnsi="Avenir Next Condensed" w:cs="Avenir Next Condensed"/>
                <w:sz w:val="18"/>
                <w:szCs w:val="18"/>
              </w:rPr>
            </w:pPr>
            <w:r>
              <w:rPr>
                <w:rFonts w:ascii="Avenir Next Condensed"/>
                <w:b/>
                <w:sz w:val="18"/>
              </w:rPr>
              <w:t xml:space="preserve">Alignment of the capital cost </w:t>
            </w:r>
            <w:r>
              <w:rPr>
                <w:rFonts w:ascii="Avenir Next Condensed"/>
                <w:b/>
                <w:spacing w:val="-1"/>
                <w:sz w:val="18"/>
              </w:rPr>
              <w:t>recovery</w:t>
            </w:r>
            <w:r>
              <w:rPr>
                <w:rFonts w:ascii="Avenir Next Condensed"/>
                <w:b/>
                <w:sz w:val="18"/>
              </w:rPr>
              <w:t xml:space="preserve"> </w:t>
            </w:r>
            <w:r>
              <w:rPr>
                <w:rFonts w:ascii="Avenir Next Condensed"/>
                <w:b/>
                <w:spacing w:val="-1"/>
                <w:sz w:val="18"/>
              </w:rPr>
              <w:t>profile</w:t>
            </w:r>
            <w:r>
              <w:rPr>
                <w:rFonts w:ascii="Avenir Next Condensed"/>
                <w:b/>
                <w:spacing w:val="23"/>
                <w:sz w:val="18"/>
              </w:rPr>
              <w:t xml:space="preserve"> </w:t>
            </w:r>
            <w:r>
              <w:rPr>
                <w:rFonts w:ascii="Avenir Next Condensed"/>
                <w:b/>
                <w:sz w:val="18"/>
              </w:rPr>
              <w:t xml:space="preserve">with the </w:t>
            </w:r>
            <w:r>
              <w:rPr>
                <w:rFonts w:ascii="Avenir Next Condensed"/>
                <w:b/>
                <w:spacing w:val="-1"/>
                <w:sz w:val="18"/>
              </w:rPr>
              <w:t>profile</w:t>
            </w:r>
            <w:r>
              <w:rPr>
                <w:rFonts w:ascii="Avenir Next Condensed"/>
                <w:b/>
                <w:spacing w:val="25"/>
                <w:sz w:val="18"/>
              </w:rPr>
              <w:t xml:space="preserve"> </w:t>
            </w:r>
            <w:r>
              <w:rPr>
                <w:rFonts w:ascii="Avenir Next Condensed"/>
                <w:b/>
                <w:sz w:val="18"/>
              </w:rPr>
              <w:t>of</w:t>
            </w:r>
            <w:r>
              <w:rPr>
                <w:rFonts w:ascii="Avenir Next Condensed"/>
                <w:b/>
                <w:spacing w:val="4"/>
                <w:sz w:val="18"/>
              </w:rPr>
              <w:t xml:space="preserve"> </w:t>
            </w:r>
            <w:r>
              <w:rPr>
                <w:rFonts w:ascii="Avenir Next Condensed"/>
                <w:b/>
                <w:spacing w:val="-1"/>
                <w:sz w:val="18"/>
              </w:rPr>
              <w:t>expected</w:t>
            </w:r>
            <w:r>
              <w:rPr>
                <w:rFonts w:ascii="Avenir Next Condensed"/>
                <w:b/>
                <w:spacing w:val="26"/>
                <w:sz w:val="18"/>
              </w:rPr>
              <w:t xml:space="preserve"> </w:t>
            </w:r>
            <w:r>
              <w:rPr>
                <w:rFonts w:ascii="Avenir Next Condensed"/>
                <w:b/>
                <w:sz w:val="18"/>
              </w:rPr>
              <w:t>benefits</w:t>
            </w:r>
          </w:p>
        </w:tc>
        <w:tc>
          <w:tcPr>
            <w:tcW w:w="808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65"/>
              <w:jc w:val="both"/>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technique,</w:t>
            </w:r>
            <w:r>
              <w:rPr>
                <w:rFonts w:ascii="Avenir Next Condensed"/>
                <w:spacing w:val="-6"/>
                <w:sz w:val="18"/>
              </w:rPr>
              <w:t xml:space="preserve"> </w:t>
            </w:r>
            <w:r>
              <w:rPr>
                <w:rFonts w:ascii="Avenir Next Condensed"/>
                <w:sz w:val="18"/>
              </w:rPr>
              <w:t xml:space="preserve">which is a variant on the </w:t>
            </w:r>
            <w:r>
              <w:rPr>
                <w:rFonts w:ascii="Avenir Next Condensed"/>
                <w:spacing w:val="-1"/>
                <w:sz w:val="18"/>
              </w:rPr>
              <w:t>deferred</w:t>
            </w:r>
            <w:r>
              <w:rPr>
                <w:rFonts w:ascii="Avenir Next Condensed"/>
                <w:sz w:val="18"/>
              </w:rPr>
              <w:t xml:space="preserve">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z w:val="18"/>
              </w:rPr>
              <w:t>capital technique,</w:t>
            </w:r>
            <w:r>
              <w:rPr>
                <w:rFonts w:ascii="Avenir Next Condensed"/>
                <w:spacing w:val="-6"/>
                <w:sz w:val="18"/>
              </w:rPr>
              <w:t xml:space="preserve"> </w:t>
            </w:r>
            <w:r>
              <w:rPr>
                <w:rFonts w:ascii="Avenir Next Condensed"/>
                <w:sz w:val="18"/>
              </w:rPr>
              <w:t xml:space="preserve">aligns the </w:t>
            </w:r>
            <w:r>
              <w:rPr>
                <w:rFonts w:ascii="Avenir Next Condensed"/>
                <w:spacing w:val="-1"/>
                <w:sz w:val="18"/>
              </w:rPr>
              <w:t>recovery</w:t>
            </w:r>
            <w:r>
              <w:rPr>
                <w:rFonts w:ascii="Avenir Next Condensed"/>
                <w:sz w:val="18"/>
              </w:rPr>
              <w:t xml:space="preserve"> </w:t>
            </w:r>
            <w:r>
              <w:rPr>
                <w:rFonts w:ascii="Avenir Next Condensed"/>
                <w:spacing w:val="-1"/>
                <w:sz w:val="18"/>
              </w:rPr>
              <w:t>profile</w:t>
            </w:r>
            <w:r>
              <w:rPr>
                <w:rFonts w:ascii="Avenir Next Condensed"/>
                <w:sz w:val="18"/>
              </w:rPr>
              <w:t xml:space="preserve"> for capital costs</w:t>
            </w:r>
            <w:r>
              <w:rPr>
                <w:rFonts w:ascii="Avenir Next Condensed"/>
                <w:spacing w:val="51"/>
                <w:sz w:val="18"/>
              </w:rPr>
              <w:t xml:space="preserve"> </w:t>
            </w:r>
            <w:r>
              <w:rPr>
                <w:rFonts w:ascii="Avenir Next Condensed"/>
                <w:sz w:val="18"/>
              </w:rPr>
              <w:t xml:space="preserve">with the benefits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derive over the economic life of</w:t>
            </w:r>
            <w:r>
              <w:rPr>
                <w:rFonts w:ascii="Avenir Next Condensed"/>
                <w:spacing w:val="4"/>
                <w:sz w:val="18"/>
              </w:rPr>
              <w:t xml:space="preserve"> </w:t>
            </w:r>
            <w:r>
              <w:rPr>
                <w:rFonts w:ascii="Avenir Next Condensed"/>
                <w:sz w:val="18"/>
              </w:rPr>
              <w:t xml:space="preserve">the </w:t>
            </w:r>
            <w:r>
              <w:rPr>
                <w:rFonts w:ascii="Avenir Next Condensed"/>
                <w:spacing w:val="-1"/>
                <w:sz w:val="18"/>
              </w:rPr>
              <w:t>asset.</w:t>
            </w:r>
          </w:p>
          <w:p w:rsidR="00D96B91" w:rsidRDefault="00C2656B">
            <w:pPr>
              <w:pStyle w:val="TableParagraph"/>
              <w:spacing w:before="109" w:line="233" w:lineRule="exact"/>
              <w:ind w:left="108"/>
              <w:jc w:val="both"/>
              <w:rPr>
                <w:rFonts w:ascii="Avenir Next Condensed" w:eastAsia="Avenir Next Condensed" w:hAnsi="Avenir Next Condensed" w:cs="Avenir Next Condensed"/>
                <w:sz w:val="18"/>
                <w:szCs w:val="18"/>
              </w:rPr>
            </w:pPr>
            <w:r>
              <w:rPr>
                <w:rFonts w:ascii="Avenir Next Condensed"/>
                <w:spacing w:val="-2"/>
                <w:sz w:val="18"/>
              </w:rPr>
              <w:t>For</w:t>
            </w:r>
            <w:r>
              <w:rPr>
                <w:rFonts w:ascii="Avenir Next Condensed"/>
                <w:sz w:val="18"/>
              </w:rPr>
              <w:t xml:space="preserve"> </w:t>
            </w:r>
            <w:r>
              <w:rPr>
                <w:rFonts w:ascii="Avenir Next Condensed"/>
                <w:spacing w:val="-1"/>
                <w:sz w:val="18"/>
              </w:rPr>
              <w:t>example,</w:t>
            </w:r>
            <w:r>
              <w:rPr>
                <w:rFonts w:ascii="Avenir Next Condensed"/>
                <w:spacing w:val="-6"/>
                <w:sz w:val="18"/>
              </w:rPr>
              <w:t xml:space="preserve"> </w:t>
            </w:r>
            <w:r>
              <w:rPr>
                <w:rFonts w:ascii="Avenir Next Condensed"/>
                <w:sz w:val="18"/>
              </w:rPr>
              <w:t>if</w:t>
            </w:r>
            <w:r>
              <w:rPr>
                <w:rFonts w:ascii="Avenir Next Condensed"/>
                <w:spacing w:val="4"/>
                <w:sz w:val="18"/>
              </w:rPr>
              <w:t xml:space="preserve"> </w:t>
            </w:r>
            <w:r>
              <w:rPr>
                <w:rFonts w:ascii="Avenir Next Condensed"/>
                <w:spacing w:val="-1"/>
                <w:sz w:val="18"/>
              </w:rPr>
              <w:t>current</w:t>
            </w:r>
            <w:r>
              <w:rPr>
                <w:rFonts w:ascii="Avenir Next Condensed"/>
                <w:sz w:val="18"/>
              </w:rPr>
              <w:t xml:space="preserve"> and </w:t>
            </w:r>
            <w:r>
              <w:rPr>
                <w:rFonts w:ascii="Avenir Next Condensed"/>
                <w:spacing w:val="-1"/>
                <w:sz w:val="18"/>
              </w:rPr>
              <w:t>future</w:t>
            </w:r>
            <w:r>
              <w:rPr>
                <w:rFonts w:ascii="Avenir Next Condensed"/>
                <w:sz w:val="18"/>
              </w:rPr>
              <w:t xml:space="preserve">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benefit equally </w:t>
            </w:r>
            <w:r>
              <w:rPr>
                <w:rFonts w:ascii="Avenir Next Condensed"/>
                <w:spacing w:val="-1"/>
                <w:sz w:val="18"/>
              </w:rPr>
              <w:t>from</w:t>
            </w:r>
            <w:r>
              <w:rPr>
                <w:rFonts w:ascii="Avenir Next Condensed"/>
                <w:sz w:val="18"/>
              </w:rPr>
              <w:t xml:space="preserve"> the investment over the economic life</w:t>
            </w:r>
          </w:p>
          <w:p w:rsidR="00D96B91" w:rsidRDefault="00C2656B">
            <w:pPr>
              <w:pStyle w:val="TableParagraph"/>
              <w:spacing w:before="6" w:line="214" w:lineRule="auto"/>
              <w:ind w:left="108" w:right="205"/>
              <w:jc w:val="both"/>
              <w:rPr>
                <w:rFonts w:ascii="Avenir Next Condensed" w:eastAsia="Avenir Next Condensed" w:hAnsi="Avenir Next Condensed" w:cs="Avenir Next Condensed"/>
                <w:sz w:val="18"/>
                <w:szCs w:val="18"/>
              </w:rPr>
            </w:pPr>
            <w:r>
              <w:rPr>
                <w:rFonts w:ascii="Avenir Next Condensed"/>
                <w:sz w:val="18"/>
              </w:rPr>
              <w:t>of</w:t>
            </w:r>
            <w:r>
              <w:rPr>
                <w:rFonts w:ascii="Avenir Next Condensed"/>
                <w:spacing w:val="4"/>
                <w:sz w:val="18"/>
              </w:rPr>
              <w:t xml:space="preserve"> </w:t>
            </w:r>
            <w:r>
              <w:rPr>
                <w:rFonts w:ascii="Avenir Next Condensed"/>
                <w:sz w:val="18"/>
              </w:rPr>
              <w:t xml:space="preserve">the </w:t>
            </w:r>
            <w:r>
              <w:rPr>
                <w:rFonts w:ascii="Avenir Next Condensed"/>
                <w:spacing w:val="-1"/>
                <w:sz w:val="18"/>
              </w:rPr>
              <w:t>asset,</w:t>
            </w:r>
            <w:r>
              <w:rPr>
                <w:rFonts w:ascii="Avenir Next Condensed"/>
                <w:spacing w:val="-6"/>
                <w:sz w:val="18"/>
              </w:rPr>
              <w:t xml:space="preserve"> </w:t>
            </w:r>
            <w:r>
              <w:rPr>
                <w:rFonts w:ascii="Avenir Next Condensed"/>
                <w:sz w:val="18"/>
              </w:rPr>
              <w:t xml:space="preserve">then the capital costs could be </w:t>
            </w:r>
            <w:r>
              <w:rPr>
                <w:rFonts w:ascii="Avenir Next Condensed"/>
                <w:spacing w:val="-1"/>
                <w:sz w:val="18"/>
              </w:rPr>
              <w:t>recouped</w:t>
            </w:r>
            <w:r>
              <w:rPr>
                <w:rFonts w:ascii="Avenir Next Condensed"/>
                <w:sz w:val="18"/>
              </w:rPr>
              <w:t xml:space="preserve"> </w:t>
            </w:r>
            <w:r>
              <w:rPr>
                <w:rFonts w:ascii="Avenir Next Condensed"/>
                <w:spacing w:val="-1"/>
                <w:sz w:val="18"/>
              </w:rPr>
              <w:t>through</w:t>
            </w:r>
            <w:r>
              <w:rPr>
                <w:rFonts w:ascii="Avenir Next Condensed"/>
                <w:sz w:val="18"/>
              </w:rPr>
              <w:t xml:space="preserve"> an annuity style payment over the life of</w:t>
            </w:r>
            <w:r>
              <w:rPr>
                <w:rFonts w:ascii="Avenir Next Condensed"/>
                <w:spacing w:val="4"/>
                <w:sz w:val="18"/>
              </w:rPr>
              <w:t xml:space="preserve"> </w:t>
            </w:r>
            <w:r>
              <w:rPr>
                <w:rFonts w:ascii="Avenir Next Condensed"/>
                <w:sz w:val="18"/>
              </w:rPr>
              <w:t xml:space="preserve">the </w:t>
            </w:r>
            <w:r>
              <w:rPr>
                <w:rFonts w:ascii="Avenir Next Condensed"/>
                <w:spacing w:val="-1"/>
                <w:sz w:val="18"/>
              </w:rPr>
              <w:t>asset.</w:t>
            </w:r>
            <w:r>
              <w:rPr>
                <w:rFonts w:ascii="Avenir Next Condensed"/>
                <w:spacing w:val="-6"/>
                <w:sz w:val="18"/>
              </w:rPr>
              <w:t xml:space="preserve"> </w:t>
            </w:r>
            <w:r>
              <w:rPr>
                <w:rFonts w:ascii="Avenir Next Condensed"/>
                <w:spacing w:val="-1"/>
                <w:sz w:val="18"/>
              </w:rPr>
              <w:t>However,</w:t>
            </w:r>
            <w:r>
              <w:rPr>
                <w:rFonts w:ascii="Avenir Next Condensed"/>
                <w:spacing w:val="45"/>
                <w:sz w:val="18"/>
              </w:rPr>
              <w:t xml:space="preserve"> </w:t>
            </w:r>
            <w:r>
              <w:rPr>
                <w:rFonts w:ascii="Avenir Next Condensed"/>
                <w:sz w:val="18"/>
              </w:rPr>
              <w:t>if</w:t>
            </w:r>
            <w:r>
              <w:rPr>
                <w:rFonts w:ascii="Avenir Next Condensed"/>
                <w:spacing w:val="4"/>
                <w:sz w:val="18"/>
              </w:rPr>
              <w:t xml:space="preserve"> </w:t>
            </w:r>
            <w:r>
              <w:rPr>
                <w:rFonts w:ascii="Avenir Next Condensed"/>
                <w:spacing w:val="-1"/>
                <w:sz w:val="18"/>
              </w:rPr>
              <w:t>future</w:t>
            </w:r>
            <w:r>
              <w:rPr>
                <w:rFonts w:ascii="Avenir Next Condensed"/>
                <w:sz w:val="18"/>
              </w:rPr>
              <w:t xml:space="preserve">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derive a </w:t>
            </w:r>
            <w:r>
              <w:rPr>
                <w:rFonts w:ascii="Avenir Next Condensed"/>
                <w:spacing w:val="-1"/>
                <w:sz w:val="18"/>
              </w:rPr>
              <w:t>greater</w:t>
            </w:r>
            <w:r>
              <w:rPr>
                <w:rFonts w:ascii="Avenir Next Condensed"/>
                <w:sz w:val="18"/>
              </w:rPr>
              <w:t xml:space="preserve"> benefit </w:t>
            </w:r>
            <w:r>
              <w:rPr>
                <w:rFonts w:ascii="Avenir Next Condensed"/>
                <w:spacing w:val="-1"/>
                <w:sz w:val="18"/>
              </w:rPr>
              <w:t>from</w:t>
            </w:r>
            <w:r>
              <w:rPr>
                <w:rFonts w:ascii="Avenir Next Condensed"/>
                <w:sz w:val="18"/>
              </w:rPr>
              <w:t xml:space="preserve"> the investment,</w:t>
            </w:r>
            <w:r>
              <w:rPr>
                <w:rFonts w:ascii="Avenir Next Condensed"/>
                <w:spacing w:val="-6"/>
                <w:sz w:val="18"/>
              </w:rPr>
              <w:t xml:space="preserve"> </w:t>
            </w:r>
            <w:r>
              <w:rPr>
                <w:rFonts w:ascii="Avenir Next Condensed"/>
                <w:sz w:val="18"/>
              </w:rPr>
              <w:t xml:space="preserve">then a </w:t>
            </w:r>
            <w:r>
              <w:rPr>
                <w:rFonts w:ascii="Avenir Next Condensed"/>
                <w:spacing w:val="-1"/>
                <w:sz w:val="18"/>
              </w:rPr>
              <w:t>greater</w:t>
            </w:r>
            <w:r>
              <w:rPr>
                <w:rFonts w:ascii="Avenir Next Condensed"/>
                <w:sz w:val="18"/>
              </w:rPr>
              <w:t xml:space="preserve"> </w:t>
            </w:r>
            <w:r>
              <w:rPr>
                <w:rFonts w:ascii="Avenir Next Condensed"/>
                <w:spacing w:val="-1"/>
                <w:sz w:val="18"/>
              </w:rPr>
              <w:t>proportion</w:t>
            </w:r>
            <w:r>
              <w:rPr>
                <w:rFonts w:ascii="Avenir Next Condensed"/>
                <w:sz w:val="18"/>
              </w:rPr>
              <w:t xml:space="preserve"> of</w:t>
            </w:r>
            <w:r>
              <w:rPr>
                <w:rFonts w:ascii="Avenir Next Condensed"/>
                <w:spacing w:val="4"/>
                <w:sz w:val="18"/>
              </w:rPr>
              <w:t xml:space="preserve"> </w:t>
            </w:r>
            <w:r>
              <w:rPr>
                <w:rFonts w:ascii="Avenir Next Condensed"/>
                <w:sz w:val="18"/>
              </w:rPr>
              <w:t>capital costs</w:t>
            </w:r>
            <w:r>
              <w:rPr>
                <w:rFonts w:ascii="Avenir Next Condensed"/>
                <w:spacing w:val="55"/>
                <w:sz w:val="18"/>
              </w:rPr>
              <w:t xml:space="preserve"> </w:t>
            </w:r>
            <w:r>
              <w:rPr>
                <w:rFonts w:ascii="Avenir Next Condensed"/>
                <w:sz w:val="18"/>
              </w:rPr>
              <w:t xml:space="preserve">could be </w:t>
            </w:r>
            <w:r>
              <w:rPr>
                <w:rFonts w:ascii="Avenir Next Condensed"/>
                <w:spacing w:val="-1"/>
                <w:sz w:val="18"/>
              </w:rPr>
              <w:t>recovered</w:t>
            </w:r>
            <w:r>
              <w:rPr>
                <w:rFonts w:ascii="Avenir Next Condensed"/>
                <w:sz w:val="18"/>
              </w:rPr>
              <w:t xml:space="preserve"> </w:t>
            </w:r>
            <w:r>
              <w:rPr>
                <w:rFonts w:ascii="Avenir Next Condensed"/>
                <w:spacing w:val="-1"/>
                <w:sz w:val="18"/>
              </w:rPr>
              <w:t>from</w:t>
            </w:r>
            <w:r>
              <w:rPr>
                <w:rFonts w:ascii="Avenir Next Condensed"/>
                <w:sz w:val="18"/>
              </w:rPr>
              <w:t xml:space="preserve"> customers in the later </w:t>
            </w:r>
            <w:r>
              <w:rPr>
                <w:rFonts w:ascii="Avenir Next Condensed"/>
                <w:spacing w:val="-1"/>
                <w:sz w:val="18"/>
              </w:rPr>
              <w:t>years.</w:t>
            </w:r>
            <w:r>
              <w:rPr>
                <w:rFonts w:ascii="Avenir Next Condensed"/>
                <w:spacing w:val="-10"/>
                <w:sz w:val="18"/>
              </w:rPr>
              <w:t xml:space="preserve"> </w:t>
            </w:r>
            <w:r>
              <w:rPr>
                <w:rFonts w:ascii="Avenir Next Condensed"/>
                <w:spacing w:val="-1"/>
                <w:sz w:val="18"/>
              </w:rPr>
              <w:t>This</w:t>
            </w:r>
            <w:r>
              <w:rPr>
                <w:rFonts w:ascii="Avenir Next Condensed"/>
                <w:sz w:val="18"/>
              </w:rPr>
              <w:t xml:space="preserve"> is akin to the </w:t>
            </w:r>
            <w:r>
              <w:rPr>
                <w:rFonts w:ascii="Avenir Next Condensed"/>
                <w:spacing w:val="-1"/>
                <w:sz w:val="18"/>
              </w:rPr>
              <w:t>approach</w:t>
            </w:r>
            <w:r>
              <w:rPr>
                <w:rFonts w:ascii="Avenir Next Condensed"/>
                <w:sz w:val="18"/>
              </w:rPr>
              <w:t xml:space="preserve"> </w:t>
            </w:r>
            <w:r>
              <w:rPr>
                <w:rFonts w:ascii="Avenir Next Condensed"/>
                <w:spacing w:val="-1"/>
                <w:sz w:val="18"/>
              </w:rPr>
              <w:t>proposed</w:t>
            </w:r>
            <w:r>
              <w:rPr>
                <w:rFonts w:ascii="Avenir Next Condensed"/>
                <w:sz w:val="18"/>
              </w:rPr>
              <w:t xml:space="preserve"> by the ICRC in its </w:t>
            </w:r>
            <w:r>
              <w:rPr>
                <w:rFonts w:ascii="Avenir Next Condensed"/>
                <w:spacing w:val="-1"/>
                <w:sz w:val="18"/>
              </w:rPr>
              <w:t>draft</w:t>
            </w:r>
            <w:r>
              <w:rPr>
                <w:rFonts w:ascii="Avenir Next Condensed"/>
                <w:sz w:val="18"/>
              </w:rPr>
              <w:t xml:space="preserve"> </w:t>
            </w:r>
            <w:r>
              <w:rPr>
                <w:rFonts w:ascii="Avenir Next Condensed"/>
                <w:spacing w:val="-1"/>
                <w:sz w:val="18"/>
              </w:rPr>
              <w:t>report.</w:t>
            </w:r>
          </w:p>
        </w:tc>
      </w:tr>
    </w:tbl>
    <w:p w:rsidR="00D96B91" w:rsidRDefault="00D96B91">
      <w:pPr>
        <w:spacing w:line="214" w:lineRule="auto"/>
        <w:jc w:val="both"/>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D96B91">
      <w:pPr>
        <w:spacing w:before="6"/>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435"/>
        <w:gridCol w:w="8380"/>
      </w:tblGrid>
      <w:tr w:rsidR="00D96B91" w:rsidTr="00B45286">
        <w:trPr>
          <w:trHeight w:hRule="exact" w:val="407"/>
        </w:trPr>
        <w:tc>
          <w:tcPr>
            <w:tcW w:w="143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bookmarkStart w:id="98" w:name="8._5_Extent_to_which_alternative_regulat"/>
            <w:bookmarkStart w:id="99" w:name="_bookmark57"/>
            <w:bookmarkEnd w:id="98"/>
            <w:bookmarkEnd w:id="99"/>
            <w:r>
              <w:rPr>
                <w:rFonts w:ascii="Avenir Next Condensed"/>
                <w:b/>
                <w:color w:val="FFFFFF"/>
                <w:spacing w:val="-1"/>
                <w:sz w:val="18"/>
              </w:rPr>
              <w:t>Technique</w:t>
            </w:r>
          </w:p>
        </w:tc>
        <w:tc>
          <w:tcPr>
            <w:tcW w:w="838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Description</w:t>
            </w:r>
          </w:p>
        </w:tc>
      </w:tr>
      <w:tr w:rsidR="00D96B91" w:rsidTr="00B45286">
        <w:trPr>
          <w:trHeight w:hRule="exact" w:val="357"/>
        </w:trPr>
        <w:tc>
          <w:tcPr>
            <w:tcW w:w="1435"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Alignment of</w:t>
            </w:r>
          </w:p>
        </w:tc>
        <w:tc>
          <w:tcPr>
            <w:tcW w:w="8380"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technique is designed to align the </w:t>
            </w:r>
            <w:r>
              <w:rPr>
                <w:rFonts w:ascii="Avenir Next Condensed"/>
                <w:spacing w:val="-1"/>
                <w:sz w:val="18"/>
              </w:rPr>
              <w:t>depreciation</w:t>
            </w:r>
            <w:r>
              <w:rPr>
                <w:rFonts w:ascii="Avenir Next Condensed"/>
                <w:sz w:val="18"/>
              </w:rPr>
              <w:t xml:space="preserve"> </w:t>
            </w:r>
            <w:r>
              <w:rPr>
                <w:rFonts w:ascii="Avenir Next Condensed"/>
                <w:spacing w:val="-1"/>
                <w:sz w:val="18"/>
              </w:rPr>
              <w:t>profile</w:t>
            </w:r>
            <w:r>
              <w:rPr>
                <w:rFonts w:ascii="Avenir Next Condensed"/>
                <w:sz w:val="18"/>
              </w:rPr>
              <w:t xml:space="preserve"> with the benefits that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derive over</w:t>
            </w:r>
          </w:p>
        </w:tc>
      </w:tr>
      <w:tr w:rsidR="00D96B91" w:rsidTr="00B45286">
        <w:trPr>
          <w:trHeight w:hRule="exact" w:val="220"/>
        </w:trPr>
        <w:tc>
          <w:tcPr>
            <w:tcW w:w="1435"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 xml:space="preserve">the </w:t>
            </w:r>
            <w:r>
              <w:rPr>
                <w:rFonts w:ascii="Avenir Next Condensed"/>
                <w:b/>
                <w:spacing w:val="-1"/>
                <w:sz w:val="18"/>
              </w:rPr>
              <w:t>depreciation</w:t>
            </w:r>
          </w:p>
        </w:tc>
        <w:tc>
          <w:tcPr>
            <w:tcW w:w="838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z w:val="18"/>
              </w:rPr>
              <w:t>the economic life of</w:t>
            </w:r>
            <w:r>
              <w:rPr>
                <w:rFonts w:ascii="Avenir Next Condensed"/>
                <w:spacing w:val="4"/>
                <w:sz w:val="18"/>
              </w:rPr>
              <w:t xml:space="preserve"> </w:t>
            </w:r>
            <w:r>
              <w:rPr>
                <w:rFonts w:ascii="Avenir Next Condensed"/>
                <w:sz w:val="18"/>
              </w:rPr>
              <w:t xml:space="preserve">the </w:t>
            </w:r>
            <w:r>
              <w:rPr>
                <w:rFonts w:ascii="Avenir Next Condensed"/>
                <w:spacing w:val="-1"/>
                <w:sz w:val="18"/>
              </w:rPr>
              <w:t>asset.</w:t>
            </w:r>
            <w:r>
              <w:rPr>
                <w:rFonts w:ascii="Avenir Next Condensed"/>
                <w:spacing w:val="-10"/>
                <w:sz w:val="18"/>
              </w:rPr>
              <w:t xml:space="preserve"> </w:t>
            </w:r>
            <w:r>
              <w:rPr>
                <w:rFonts w:ascii="Avenir Next Condensed"/>
                <w:spacing w:val="-1"/>
                <w:sz w:val="18"/>
              </w:rPr>
              <w:t>The</w:t>
            </w:r>
            <w:r>
              <w:rPr>
                <w:rFonts w:ascii="Avenir Next Condensed"/>
                <w:sz w:val="18"/>
              </w:rPr>
              <w:t xml:space="preserve"> only </w:t>
            </w:r>
            <w:r>
              <w:rPr>
                <w:rFonts w:ascii="Avenir Next Condensed"/>
                <w:spacing w:val="-1"/>
                <w:sz w:val="18"/>
              </w:rPr>
              <w:t>difference</w:t>
            </w:r>
            <w:r>
              <w:rPr>
                <w:rFonts w:ascii="Avenir Next Condensed"/>
                <w:sz w:val="18"/>
              </w:rPr>
              <w:t xml:space="preserve"> between this technique and the capital cost </w:t>
            </w:r>
            <w:r>
              <w:rPr>
                <w:rFonts w:ascii="Avenir Next Condensed"/>
                <w:spacing w:val="-1"/>
                <w:sz w:val="18"/>
              </w:rPr>
              <w:t>recovery</w:t>
            </w:r>
            <w:r>
              <w:rPr>
                <w:rFonts w:ascii="Avenir Next Condensed"/>
                <w:sz w:val="18"/>
              </w:rPr>
              <w:t xml:space="preserve"> technique is that it</w:t>
            </w:r>
          </w:p>
        </w:tc>
      </w:tr>
      <w:tr w:rsidR="00D96B91" w:rsidTr="00B45286">
        <w:trPr>
          <w:trHeight w:hRule="exact" w:val="220"/>
        </w:trPr>
        <w:tc>
          <w:tcPr>
            <w:tcW w:w="1435"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pacing w:val="-1"/>
                <w:sz w:val="18"/>
              </w:rPr>
              <w:t>profile</w:t>
            </w:r>
            <w:r>
              <w:rPr>
                <w:rFonts w:ascii="Avenir Next Condensed"/>
                <w:b/>
                <w:sz w:val="18"/>
              </w:rPr>
              <w:t xml:space="preserve"> with</w:t>
            </w:r>
          </w:p>
        </w:tc>
        <w:tc>
          <w:tcPr>
            <w:tcW w:w="838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focuses on just one component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capital costs – </w:t>
            </w:r>
            <w:r>
              <w:rPr>
                <w:rFonts w:ascii="Avenir Next Condensed" w:eastAsia="Avenir Next Condensed" w:hAnsi="Avenir Next Condensed" w:cs="Avenir Next Condensed"/>
                <w:spacing w:val="-1"/>
                <w:sz w:val="18"/>
                <w:szCs w:val="18"/>
              </w:rPr>
              <w:t>depreciation.</w:t>
            </w:r>
          </w:p>
        </w:tc>
      </w:tr>
      <w:tr w:rsidR="00D96B91" w:rsidTr="00B45286">
        <w:trPr>
          <w:trHeight w:hRule="exact" w:val="1044"/>
        </w:trPr>
        <w:tc>
          <w:tcPr>
            <w:tcW w:w="1435"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116"/>
              <w:rPr>
                <w:rFonts w:ascii="Avenir Next Condensed" w:eastAsia="Avenir Next Condensed" w:hAnsi="Avenir Next Condensed" w:cs="Avenir Next Condensed"/>
                <w:sz w:val="18"/>
                <w:szCs w:val="18"/>
              </w:rPr>
            </w:pPr>
            <w:r>
              <w:rPr>
                <w:rFonts w:ascii="Avenir Next Condensed"/>
                <w:b/>
                <w:sz w:val="18"/>
              </w:rPr>
              <w:t xml:space="preserve">the </w:t>
            </w:r>
            <w:r>
              <w:rPr>
                <w:rFonts w:ascii="Avenir Next Condensed"/>
                <w:b/>
                <w:spacing w:val="-1"/>
                <w:sz w:val="18"/>
              </w:rPr>
              <w:t>profile</w:t>
            </w:r>
            <w:r>
              <w:rPr>
                <w:rFonts w:ascii="Avenir Next Condensed"/>
                <w:b/>
                <w:sz w:val="18"/>
              </w:rPr>
              <w:t xml:space="preserve"> of</w:t>
            </w:r>
            <w:r>
              <w:rPr>
                <w:rFonts w:ascii="Avenir Next Condensed"/>
                <w:b/>
                <w:spacing w:val="25"/>
                <w:sz w:val="18"/>
              </w:rPr>
              <w:t xml:space="preserve"> </w:t>
            </w:r>
            <w:r>
              <w:rPr>
                <w:rFonts w:ascii="Avenir Next Condensed"/>
                <w:b/>
                <w:spacing w:val="-1"/>
                <w:sz w:val="18"/>
              </w:rPr>
              <w:t>expected</w:t>
            </w:r>
            <w:r>
              <w:rPr>
                <w:rFonts w:ascii="Avenir Next Condensed"/>
                <w:b/>
                <w:sz w:val="18"/>
              </w:rPr>
              <w:t xml:space="preserve"> benefits</w:t>
            </w:r>
          </w:p>
        </w:tc>
        <w:tc>
          <w:tcPr>
            <w:tcW w:w="838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before="89" w:line="220" w:lineRule="exact"/>
              <w:ind w:left="108" w:right="171"/>
              <w:rPr>
                <w:rFonts w:ascii="Avenir Next Condensed" w:eastAsia="Avenir Next Condensed" w:hAnsi="Avenir Next Condensed" w:cs="Avenir Next Condensed"/>
                <w:sz w:val="18"/>
                <w:szCs w:val="18"/>
              </w:rPr>
            </w:pPr>
            <w:r>
              <w:rPr>
                <w:rFonts w:ascii="Avenir Next Condensed"/>
                <w:sz w:val="18"/>
              </w:rPr>
              <w:t>If</w:t>
            </w:r>
            <w:r>
              <w:rPr>
                <w:rFonts w:ascii="Avenir Next Condensed"/>
                <w:spacing w:val="4"/>
                <w:sz w:val="18"/>
              </w:rPr>
              <w:t xml:space="preserve"> </w:t>
            </w:r>
            <w:r>
              <w:rPr>
                <w:rFonts w:ascii="Avenir Next Condensed"/>
                <w:spacing w:val="-1"/>
                <w:sz w:val="18"/>
              </w:rPr>
              <w:t>current</w:t>
            </w:r>
            <w:r>
              <w:rPr>
                <w:rFonts w:ascii="Avenir Next Condensed"/>
                <w:sz w:val="18"/>
              </w:rPr>
              <w:t xml:space="preserve"> and </w:t>
            </w:r>
            <w:r>
              <w:rPr>
                <w:rFonts w:ascii="Avenir Next Condensed"/>
                <w:spacing w:val="-1"/>
                <w:sz w:val="18"/>
              </w:rPr>
              <w:t>future</w:t>
            </w:r>
            <w:r>
              <w:rPr>
                <w:rFonts w:ascii="Avenir Next Condensed"/>
                <w:sz w:val="18"/>
              </w:rPr>
              <w:t xml:space="preserve">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benefit equally </w:t>
            </w:r>
            <w:r>
              <w:rPr>
                <w:rFonts w:ascii="Avenir Next Condensed"/>
                <w:spacing w:val="-1"/>
                <w:sz w:val="18"/>
              </w:rPr>
              <w:t>from</w:t>
            </w:r>
            <w:r>
              <w:rPr>
                <w:rFonts w:ascii="Avenir Next Condensed"/>
                <w:sz w:val="18"/>
              </w:rPr>
              <w:t xml:space="preserve"> the investment over the economic life,</w:t>
            </w:r>
            <w:r>
              <w:rPr>
                <w:rFonts w:ascii="Avenir Next Condensed"/>
                <w:spacing w:val="-6"/>
                <w:sz w:val="18"/>
              </w:rPr>
              <w:t xml:space="preserve"> </w:t>
            </w:r>
            <w:r>
              <w:rPr>
                <w:rFonts w:ascii="Avenir Next Condensed"/>
                <w:spacing w:val="-1"/>
                <w:sz w:val="18"/>
              </w:rPr>
              <w:t>depreciation</w:t>
            </w:r>
            <w:r>
              <w:rPr>
                <w:rFonts w:ascii="Avenir Next Condensed"/>
                <w:spacing w:val="57"/>
                <w:sz w:val="18"/>
              </w:rPr>
              <w:t xml:space="preserve"> </w:t>
            </w:r>
            <w:r>
              <w:rPr>
                <w:rFonts w:ascii="Avenir Next Condensed"/>
                <w:sz w:val="18"/>
              </w:rPr>
              <w:t xml:space="preserve">should be </w:t>
            </w:r>
            <w:r>
              <w:rPr>
                <w:rFonts w:ascii="Avenir Next Condensed"/>
                <w:spacing w:val="-1"/>
                <w:sz w:val="18"/>
              </w:rPr>
              <w:t>recovered</w:t>
            </w:r>
            <w:r>
              <w:rPr>
                <w:rFonts w:ascii="Avenir Next Condensed"/>
                <w:sz w:val="18"/>
              </w:rPr>
              <w:t xml:space="preserve"> on a </w:t>
            </w:r>
            <w:r>
              <w:rPr>
                <w:rFonts w:ascii="Avenir Next Condensed"/>
                <w:spacing w:val="-1"/>
                <w:sz w:val="18"/>
              </w:rPr>
              <w:t>straight</w:t>
            </w:r>
            <w:r>
              <w:rPr>
                <w:rFonts w:ascii="Avenir Next Condensed"/>
                <w:sz w:val="18"/>
              </w:rPr>
              <w:t xml:space="preserve"> line basis.</w:t>
            </w:r>
            <w:r>
              <w:rPr>
                <w:rFonts w:ascii="Avenir Next Condensed"/>
                <w:spacing w:val="-6"/>
                <w:sz w:val="18"/>
              </w:rPr>
              <w:t xml:space="preserve"> </w:t>
            </w:r>
            <w:r>
              <w:rPr>
                <w:rFonts w:ascii="Avenir Next Condensed"/>
                <w:sz w:val="18"/>
              </w:rPr>
              <w:t>On the other hand,</w:t>
            </w:r>
            <w:r>
              <w:rPr>
                <w:rFonts w:ascii="Avenir Next Condensed"/>
                <w:spacing w:val="-6"/>
                <w:sz w:val="18"/>
              </w:rPr>
              <w:t xml:space="preserve"> </w:t>
            </w:r>
            <w:r>
              <w:rPr>
                <w:rFonts w:ascii="Avenir Next Condensed"/>
                <w:sz w:val="18"/>
              </w:rPr>
              <w:t>if</w:t>
            </w:r>
            <w:r>
              <w:rPr>
                <w:rFonts w:ascii="Avenir Next Condensed"/>
                <w:spacing w:val="4"/>
                <w:sz w:val="18"/>
              </w:rPr>
              <w:t xml:space="preserve"> </w:t>
            </w:r>
            <w:r>
              <w:rPr>
                <w:rFonts w:ascii="Avenir Next Condensed"/>
                <w:spacing w:val="-1"/>
                <w:sz w:val="18"/>
              </w:rPr>
              <w:t>future</w:t>
            </w:r>
            <w:r>
              <w:rPr>
                <w:rFonts w:ascii="Avenir Next Condensed"/>
                <w:sz w:val="18"/>
              </w:rPr>
              <w:t xml:space="preserve"> customers </w:t>
            </w:r>
            <w:r>
              <w:rPr>
                <w:rFonts w:ascii="Avenir Next Condensed"/>
                <w:spacing w:val="-1"/>
                <w:sz w:val="18"/>
              </w:rPr>
              <w:t>are</w:t>
            </w:r>
            <w:r>
              <w:rPr>
                <w:rFonts w:ascii="Avenir Next Condensed"/>
                <w:sz w:val="18"/>
              </w:rPr>
              <w:t xml:space="preserve"> </w:t>
            </w:r>
            <w:r>
              <w:rPr>
                <w:rFonts w:ascii="Avenir Next Condensed"/>
                <w:spacing w:val="-1"/>
                <w:sz w:val="18"/>
              </w:rPr>
              <w:t>expected</w:t>
            </w:r>
            <w:r>
              <w:rPr>
                <w:rFonts w:ascii="Avenir Next Condensed"/>
                <w:sz w:val="18"/>
              </w:rPr>
              <w:t xml:space="preserve"> to derive a </w:t>
            </w:r>
            <w:r>
              <w:rPr>
                <w:rFonts w:ascii="Avenir Next Condensed"/>
                <w:spacing w:val="-1"/>
                <w:sz w:val="18"/>
              </w:rPr>
              <w:t>greater</w:t>
            </w:r>
            <w:r>
              <w:rPr>
                <w:rFonts w:ascii="Avenir Next Condensed"/>
                <w:sz w:val="18"/>
              </w:rPr>
              <w:t xml:space="preserve"> (lower)</w:t>
            </w:r>
            <w:r>
              <w:rPr>
                <w:rFonts w:ascii="Avenir Next Condensed"/>
                <w:spacing w:val="51"/>
                <w:sz w:val="18"/>
              </w:rPr>
              <w:t xml:space="preserve"> </w:t>
            </w:r>
            <w:r>
              <w:rPr>
                <w:rFonts w:ascii="Avenir Next Condensed"/>
                <w:sz w:val="18"/>
              </w:rPr>
              <w:t>benefit,</w:t>
            </w:r>
            <w:r>
              <w:rPr>
                <w:rFonts w:ascii="Avenir Next Condensed"/>
                <w:spacing w:val="-6"/>
                <w:sz w:val="18"/>
              </w:rPr>
              <w:t xml:space="preserve"> </w:t>
            </w:r>
            <w:r>
              <w:rPr>
                <w:rFonts w:ascii="Avenir Next Condensed"/>
                <w:spacing w:val="-1"/>
                <w:sz w:val="18"/>
              </w:rPr>
              <w:t>depreciation</w:t>
            </w:r>
            <w:r>
              <w:rPr>
                <w:rFonts w:ascii="Avenir Next Condensed"/>
                <w:sz w:val="18"/>
              </w:rPr>
              <w:t xml:space="preserve"> may be back end loaded </w:t>
            </w:r>
            <w:r>
              <w:rPr>
                <w:rFonts w:ascii="Avenir Next Condensed"/>
                <w:spacing w:val="-1"/>
                <w:sz w:val="18"/>
              </w:rPr>
              <w:t>(front</w:t>
            </w:r>
            <w:r>
              <w:rPr>
                <w:rFonts w:ascii="Avenir Next Condensed"/>
                <w:sz w:val="18"/>
              </w:rPr>
              <w:t xml:space="preserve"> end loaded) so a </w:t>
            </w:r>
            <w:r>
              <w:rPr>
                <w:rFonts w:ascii="Avenir Next Condensed"/>
                <w:spacing w:val="-1"/>
                <w:sz w:val="18"/>
              </w:rPr>
              <w:t>greater</w:t>
            </w:r>
            <w:r>
              <w:rPr>
                <w:rFonts w:ascii="Avenir Next Condensed"/>
                <w:sz w:val="18"/>
              </w:rPr>
              <w:t xml:space="preserve"> </w:t>
            </w:r>
            <w:r>
              <w:rPr>
                <w:rFonts w:ascii="Avenir Next Condensed"/>
                <w:spacing w:val="-1"/>
                <w:sz w:val="18"/>
              </w:rPr>
              <w:t>proportion</w:t>
            </w:r>
            <w:r>
              <w:rPr>
                <w:rFonts w:ascii="Avenir Next Condensed"/>
                <w:sz w:val="18"/>
              </w:rPr>
              <w:t xml:space="preserve"> of</w:t>
            </w:r>
            <w:r>
              <w:rPr>
                <w:rFonts w:ascii="Avenir Next Condensed"/>
                <w:spacing w:val="4"/>
                <w:sz w:val="18"/>
              </w:rPr>
              <w:t xml:space="preserve"> </w:t>
            </w:r>
            <w:r>
              <w:rPr>
                <w:rFonts w:ascii="Avenir Next Condensed"/>
                <w:spacing w:val="-1"/>
                <w:sz w:val="18"/>
              </w:rPr>
              <w:t>depreciation</w:t>
            </w:r>
            <w:r>
              <w:rPr>
                <w:rFonts w:ascii="Avenir Next Condensed"/>
                <w:sz w:val="18"/>
              </w:rPr>
              <w:t xml:space="preserve"> is </w:t>
            </w:r>
            <w:r>
              <w:rPr>
                <w:rFonts w:ascii="Avenir Next Condensed"/>
                <w:spacing w:val="-1"/>
                <w:sz w:val="18"/>
              </w:rPr>
              <w:t>recovered</w:t>
            </w:r>
            <w:r>
              <w:rPr>
                <w:rFonts w:ascii="Avenir Next Condensed"/>
                <w:sz w:val="18"/>
              </w:rPr>
              <w:t xml:space="preserve"> in the</w:t>
            </w:r>
            <w:r>
              <w:rPr>
                <w:rFonts w:ascii="Avenir Next Condensed"/>
                <w:spacing w:val="81"/>
                <w:sz w:val="18"/>
              </w:rPr>
              <w:t xml:space="preserve"> </w:t>
            </w:r>
            <w:r>
              <w:rPr>
                <w:rFonts w:ascii="Avenir Next Condensed"/>
                <w:sz w:val="18"/>
              </w:rPr>
              <w:t xml:space="preserve">later </w:t>
            </w:r>
            <w:r>
              <w:rPr>
                <w:rFonts w:ascii="Avenir Next Condensed"/>
                <w:spacing w:val="-1"/>
                <w:sz w:val="18"/>
              </w:rPr>
              <w:t>(earlier)</w:t>
            </w:r>
            <w:r>
              <w:rPr>
                <w:rFonts w:ascii="Avenir Next Condensed"/>
                <w:sz w:val="18"/>
              </w:rPr>
              <w:t xml:space="preserve"> </w:t>
            </w:r>
            <w:r>
              <w:rPr>
                <w:rFonts w:ascii="Avenir Next Condensed"/>
                <w:spacing w:val="-1"/>
                <w:sz w:val="18"/>
              </w:rPr>
              <w:t>years.</w:t>
            </w:r>
          </w:p>
        </w:tc>
      </w:tr>
      <w:tr w:rsidR="00D96B91" w:rsidTr="00B45286">
        <w:trPr>
          <w:trHeight w:hRule="exact" w:val="4211"/>
        </w:trPr>
        <w:tc>
          <w:tcPr>
            <w:tcW w:w="143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33"/>
              <w:rPr>
                <w:rFonts w:ascii="Avenir Next Condensed" w:eastAsia="Avenir Next Condensed" w:hAnsi="Avenir Next Condensed" w:cs="Avenir Next Condensed"/>
                <w:sz w:val="18"/>
                <w:szCs w:val="18"/>
              </w:rPr>
            </w:pPr>
            <w:r>
              <w:rPr>
                <w:rFonts w:ascii="Avenir Next Condensed"/>
                <w:b/>
                <w:spacing w:val="-1"/>
                <w:sz w:val="18"/>
              </w:rPr>
              <w:t>Long</w:t>
            </w:r>
            <w:r>
              <w:rPr>
                <w:rFonts w:ascii="Avenir Next Condensed"/>
                <w:b/>
                <w:sz w:val="18"/>
              </w:rPr>
              <w:t xml:space="preserve"> term</w:t>
            </w:r>
            <w:r>
              <w:rPr>
                <w:rFonts w:ascii="Avenir Next Condensed"/>
                <w:b/>
                <w:spacing w:val="22"/>
                <w:sz w:val="18"/>
              </w:rPr>
              <w:t xml:space="preserve"> </w:t>
            </w:r>
            <w:r>
              <w:rPr>
                <w:rFonts w:ascii="Avenir Next Condensed"/>
                <w:b/>
                <w:sz w:val="18"/>
              </w:rPr>
              <w:t>smooth price path</w:t>
            </w:r>
          </w:p>
        </w:tc>
        <w:tc>
          <w:tcPr>
            <w:tcW w:w="838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25"/>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technique has been used in a number of</w:t>
            </w:r>
            <w:r>
              <w:rPr>
                <w:rFonts w:ascii="Avenir Next Condensed"/>
                <w:spacing w:val="4"/>
                <w:sz w:val="18"/>
              </w:rPr>
              <w:t xml:space="preserve"> </w:t>
            </w:r>
            <w:r>
              <w:rPr>
                <w:rFonts w:ascii="Avenir Next Condensed"/>
                <w:spacing w:val="-1"/>
                <w:sz w:val="18"/>
              </w:rPr>
              <w:t>regulated</w:t>
            </w:r>
            <w:r>
              <w:rPr>
                <w:rFonts w:ascii="Avenir Next Condensed"/>
                <w:sz w:val="18"/>
              </w:rPr>
              <w:t xml:space="preserve"> and </w:t>
            </w:r>
            <w:r>
              <w:rPr>
                <w:rFonts w:ascii="Avenir Next Condensed"/>
                <w:spacing w:val="-1"/>
                <w:sz w:val="18"/>
              </w:rPr>
              <w:t>unregulated</w:t>
            </w:r>
            <w:r>
              <w:rPr>
                <w:rFonts w:ascii="Avenir Next Condensed"/>
                <w:sz w:val="18"/>
              </w:rPr>
              <w:t xml:space="preserve"> industries to </w:t>
            </w:r>
            <w:r>
              <w:rPr>
                <w:rFonts w:ascii="Avenir Next Condensed"/>
                <w:spacing w:val="-1"/>
                <w:sz w:val="18"/>
              </w:rPr>
              <w:t>ensure</w:t>
            </w:r>
            <w:r>
              <w:rPr>
                <w:rFonts w:ascii="Avenir Next Condensed"/>
                <w:sz w:val="18"/>
              </w:rPr>
              <w:t xml:space="preserve"> that </w:t>
            </w:r>
            <w:r>
              <w:rPr>
                <w:rFonts w:ascii="Avenir Next Condensed"/>
                <w:spacing w:val="-1"/>
                <w:sz w:val="18"/>
              </w:rPr>
              <w:t>existing</w:t>
            </w:r>
            <w:r>
              <w:rPr>
                <w:rFonts w:ascii="Avenir Next Condensed"/>
                <w:sz w:val="18"/>
              </w:rPr>
              <w:t xml:space="preserve"> customers</w:t>
            </w:r>
            <w:r>
              <w:rPr>
                <w:rFonts w:ascii="Avenir Next Condensed"/>
                <w:spacing w:val="57"/>
                <w:sz w:val="18"/>
              </w:rPr>
              <w:t xml:space="preserve"> </w:t>
            </w:r>
            <w:r>
              <w:rPr>
                <w:rFonts w:ascii="Avenir Next Condensed"/>
                <w:sz w:val="18"/>
              </w:rPr>
              <w:t>(or initial customers of</w:t>
            </w:r>
            <w:r>
              <w:rPr>
                <w:rFonts w:ascii="Avenir Next Condensed"/>
                <w:spacing w:val="4"/>
                <w:sz w:val="18"/>
              </w:rPr>
              <w:t xml:space="preserve"> </w:t>
            </w:r>
            <w:r>
              <w:rPr>
                <w:rFonts w:ascii="Avenir Next Condensed"/>
                <w:sz w:val="18"/>
              </w:rPr>
              <w:t xml:space="preserve">a new </w:t>
            </w:r>
            <w:r>
              <w:rPr>
                <w:rFonts w:ascii="Avenir Next Condensed"/>
                <w:spacing w:val="-1"/>
                <w:sz w:val="18"/>
              </w:rPr>
              <w:t>asset)</w:t>
            </w:r>
            <w:r>
              <w:rPr>
                <w:rFonts w:ascii="Avenir Next Condensed"/>
                <w:sz w:val="18"/>
              </w:rPr>
              <w:t xml:space="preserve"> do not </w:t>
            </w:r>
            <w:r>
              <w:rPr>
                <w:rFonts w:ascii="Avenir Next Condensed"/>
                <w:spacing w:val="-1"/>
                <w:sz w:val="18"/>
              </w:rPr>
              <w:t>bear</w:t>
            </w:r>
            <w:r>
              <w:rPr>
                <w:rFonts w:ascii="Avenir Next Condensed"/>
                <w:sz w:val="18"/>
              </w:rPr>
              <w:t xml:space="preserve"> a </w:t>
            </w:r>
            <w:r>
              <w:rPr>
                <w:rFonts w:ascii="Avenir Next Condensed"/>
                <w:spacing w:val="-1"/>
                <w:sz w:val="18"/>
              </w:rPr>
              <w:t>disproportionate</w:t>
            </w:r>
            <w:r>
              <w:rPr>
                <w:rFonts w:ascii="Avenir Next Condensed"/>
                <w:sz w:val="18"/>
              </w:rPr>
              <w:t xml:space="preserve"> </w:t>
            </w:r>
            <w:r>
              <w:rPr>
                <w:rFonts w:ascii="Avenir Next Condensed"/>
                <w:spacing w:val="-1"/>
                <w:sz w:val="18"/>
              </w:rPr>
              <w:t>share</w:t>
            </w:r>
            <w:r>
              <w:rPr>
                <w:rFonts w:ascii="Avenir Next Condensed"/>
                <w:sz w:val="18"/>
              </w:rPr>
              <w:t xml:space="preserve"> of</w:t>
            </w:r>
            <w:r>
              <w:rPr>
                <w:rFonts w:ascii="Avenir Next Condensed"/>
                <w:spacing w:val="4"/>
                <w:sz w:val="18"/>
              </w:rPr>
              <w:t xml:space="preserve"> </w:t>
            </w:r>
            <w:r>
              <w:rPr>
                <w:rFonts w:ascii="Avenir Next Condensed"/>
                <w:sz w:val="18"/>
              </w:rPr>
              <w:t xml:space="preserve">the costs </w:t>
            </w:r>
            <w:r>
              <w:rPr>
                <w:rFonts w:ascii="Avenir Next Condensed"/>
                <w:spacing w:val="-1"/>
                <w:sz w:val="18"/>
              </w:rPr>
              <w:t>associated</w:t>
            </w:r>
            <w:r>
              <w:rPr>
                <w:rFonts w:ascii="Avenir Next Condensed"/>
                <w:sz w:val="18"/>
              </w:rPr>
              <w:t xml:space="preserve"> with the investment by</w:t>
            </w:r>
            <w:r>
              <w:rPr>
                <w:rFonts w:ascii="Avenir Next Condensed"/>
                <w:spacing w:val="63"/>
                <w:sz w:val="18"/>
              </w:rPr>
              <w:t xml:space="preserve"> </w:t>
            </w:r>
            <w:r>
              <w:rPr>
                <w:rFonts w:ascii="Avenir Next Condensed"/>
                <w:sz w:val="18"/>
              </w:rPr>
              <w:t xml:space="preserve">smoothing the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z w:val="18"/>
              </w:rPr>
              <w:t>capital and other costs over a long period.</w:t>
            </w:r>
            <w:r>
              <w:rPr>
                <w:rFonts w:ascii="Avenir Next Condensed"/>
                <w:spacing w:val="-6"/>
                <w:sz w:val="18"/>
              </w:rPr>
              <w:t xml:space="preserve"> </w:t>
            </w:r>
            <w:r>
              <w:rPr>
                <w:rFonts w:ascii="Avenir Next Condensed"/>
                <w:sz w:val="18"/>
              </w:rPr>
              <w:t>Its application involves:</w:t>
            </w:r>
          </w:p>
          <w:p w:rsidR="00D96B91" w:rsidRDefault="00C2656B">
            <w:pPr>
              <w:pStyle w:val="ListParagraph"/>
              <w:numPr>
                <w:ilvl w:val="0"/>
                <w:numId w:val="78"/>
              </w:numPr>
              <w:tabs>
                <w:tab w:val="left" w:pos="336"/>
              </w:tabs>
              <w:spacing w:before="10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Determining the service </w:t>
            </w:r>
            <w:r>
              <w:rPr>
                <w:rFonts w:ascii="Avenir Next Condensed" w:eastAsia="Avenir Next Condensed" w:hAnsi="Avenir Next Condensed" w:cs="Avenir Next Condensed"/>
                <w:spacing w:val="-1"/>
                <w:sz w:val="18"/>
                <w:szCs w:val="18"/>
              </w:rPr>
              <w:t>provider’s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for </w:t>
            </w:r>
            <w:r>
              <w:rPr>
                <w:rFonts w:ascii="Avenir Next Condensed" w:eastAsia="Avenir Next Condensed" w:hAnsi="Avenir Next Condensed" w:cs="Avenir Next Condensed"/>
                <w:spacing w:val="-1"/>
                <w:sz w:val="18"/>
                <w:szCs w:val="18"/>
              </w:rPr>
              <w:t>each</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year</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 period.</w:t>
            </w:r>
          </w:p>
          <w:p w:rsidR="00D96B91" w:rsidRDefault="00C2656B">
            <w:pPr>
              <w:pStyle w:val="ListParagraph"/>
              <w:numPr>
                <w:ilvl w:val="0"/>
                <w:numId w:val="78"/>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Establishing a smooth price path for the pricing period having </w:t>
            </w:r>
            <w:r>
              <w:rPr>
                <w:rFonts w:ascii="Avenir Next Condensed"/>
                <w:spacing w:val="-1"/>
                <w:sz w:val="18"/>
              </w:rPr>
              <w:t>regard</w:t>
            </w:r>
            <w:r>
              <w:rPr>
                <w:rFonts w:ascii="Avenir Next Condensed"/>
                <w:sz w:val="18"/>
              </w:rPr>
              <w:t xml:space="preserve"> to </w:t>
            </w:r>
            <w:r>
              <w:rPr>
                <w:rFonts w:ascii="Avenir Next Condensed"/>
                <w:spacing w:val="-1"/>
                <w:sz w:val="18"/>
              </w:rPr>
              <w:t>expected</w:t>
            </w:r>
            <w:r>
              <w:rPr>
                <w:rFonts w:ascii="Avenir Next Condensed"/>
                <w:sz w:val="18"/>
              </w:rPr>
              <w:t xml:space="preserve"> demand.</w:t>
            </w:r>
          </w:p>
          <w:p w:rsidR="00D96B91" w:rsidRDefault="00C2656B">
            <w:pPr>
              <w:pStyle w:val="ListParagraph"/>
              <w:numPr>
                <w:ilvl w:val="0"/>
                <w:numId w:val="78"/>
              </w:numPr>
              <w:tabs>
                <w:tab w:val="left" w:pos="336"/>
              </w:tabs>
              <w:spacing w:before="91" w:line="220" w:lineRule="exact"/>
              <w:ind w:right="4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demand is </w:t>
            </w:r>
            <w:r>
              <w:rPr>
                <w:rFonts w:ascii="Avenir Next Condensed" w:eastAsia="Avenir Next Condensed" w:hAnsi="Avenir Next Condensed" w:cs="Avenir Next Condensed"/>
                <w:spacing w:val="-1"/>
                <w:sz w:val="18"/>
                <w:szCs w:val="18"/>
              </w:rPr>
              <w:t>expected</w:t>
            </w:r>
            <w:r>
              <w:rPr>
                <w:rFonts w:ascii="Avenir Next Condensed" w:eastAsia="Avenir Next Condensed" w:hAnsi="Avenir Next Condensed" w:cs="Avenir Next Condensed"/>
                <w:sz w:val="18"/>
                <w:szCs w:val="18"/>
              </w:rPr>
              <w:t xml:space="preserve"> to be </w:t>
            </w:r>
            <w:r>
              <w:rPr>
                <w:rFonts w:ascii="Avenir Next Condensed" w:eastAsia="Avenir Next Condensed" w:hAnsi="Avenir Next Condensed" w:cs="Avenir Next Condensed"/>
                <w:spacing w:val="-1"/>
                <w:sz w:val="18"/>
                <w:szCs w:val="18"/>
              </w:rPr>
              <w:t>relatively</w:t>
            </w:r>
            <w:r>
              <w:rPr>
                <w:rFonts w:ascii="Avenir Next Condensed" w:eastAsia="Avenir Next Condensed" w:hAnsi="Avenir Next Condensed" w:cs="Avenir Next Condensed"/>
                <w:sz w:val="18"/>
                <w:szCs w:val="18"/>
              </w:rPr>
              <w:t xml:space="preserve"> low initially and to </w:t>
            </w:r>
            <w:r>
              <w:rPr>
                <w:rFonts w:ascii="Avenir Next Condensed" w:eastAsia="Avenir Next Condensed" w:hAnsi="Avenir Next Condensed" w:cs="Avenir Next Condensed"/>
                <w:spacing w:val="-1"/>
                <w:sz w:val="18"/>
                <w:szCs w:val="18"/>
              </w:rPr>
              <w:t>increase</w:t>
            </w:r>
            <w:r>
              <w:rPr>
                <w:rFonts w:ascii="Avenir Next Condensed" w:eastAsia="Avenir Next Condensed" w:hAnsi="Avenir Next Condensed" w:cs="Avenir Next Condensed"/>
                <w:sz w:val="18"/>
                <w:szCs w:val="18"/>
              </w:rPr>
              <w:t xml:space="preserve"> over time,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recovered</w:t>
            </w:r>
            <w:r>
              <w:rPr>
                <w:rFonts w:ascii="Avenir Next Condensed" w:eastAsia="Avenir Next Condensed" w:hAnsi="Avenir Next Condensed" w:cs="Avenir Next Condensed"/>
                <w:sz w:val="18"/>
                <w:szCs w:val="18"/>
              </w:rPr>
              <w:t xml:space="preserve"> may be below a</w:t>
            </w:r>
            <w:r>
              <w:rPr>
                <w:rFonts w:ascii="Avenir Next Condensed" w:eastAsia="Avenir Next Condensed" w:hAnsi="Avenir Next Condensed" w:cs="Avenir Next Condensed"/>
                <w:spacing w:val="57"/>
                <w:sz w:val="18"/>
                <w:szCs w:val="18"/>
              </w:rPr>
              <w:t xml:space="preserve"> </w:t>
            </w:r>
            <w:r>
              <w:rPr>
                <w:rFonts w:ascii="Avenir Next Condensed" w:eastAsia="Avenir Next Condensed" w:hAnsi="Avenir Next Condensed" w:cs="Avenir Next Condensed"/>
                <w:spacing w:val="-1"/>
                <w:sz w:val="18"/>
                <w:szCs w:val="18"/>
              </w:rPr>
              <w:t>traditionally</w:t>
            </w:r>
            <w:r>
              <w:rPr>
                <w:rFonts w:ascii="Avenir Next Condensed" w:eastAsia="Avenir Next Condensed" w:hAnsi="Avenir Next Condensed" w:cs="Avenir Next Condensed"/>
                <w:sz w:val="18"/>
                <w:szCs w:val="18"/>
              </w:rPr>
              <w:t xml:space="preserve"> calculated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requirement’ in the initial </w:t>
            </w:r>
            <w:r>
              <w:rPr>
                <w:rFonts w:ascii="Avenir Next Condensed" w:eastAsia="Avenir Next Condensed" w:hAnsi="Avenir Next Condensed" w:cs="Avenir Next Condensed"/>
                <w:spacing w:val="-1"/>
                <w:sz w:val="18"/>
                <w:szCs w:val="18"/>
              </w:rPr>
              <w:t>years</w:t>
            </w:r>
            <w:r>
              <w:rPr>
                <w:rFonts w:ascii="Avenir Next Condensed" w:eastAsia="Avenir Next Condensed" w:hAnsi="Avenir Next Condensed" w:cs="Avenir Next Condensed"/>
                <w:sz w:val="18"/>
                <w:szCs w:val="18"/>
              </w:rPr>
              <w:t xml:space="preserve"> but </w:t>
            </w:r>
            <w:r>
              <w:rPr>
                <w:rFonts w:ascii="Avenir Next Condensed" w:eastAsia="Avenir Next Condensed" w:hAnsi="Avenir Next Condensed" w:cs="Avenir Next Condensed"/>
                <w:spacing w:val="-1"/>
                <w:sz w:val="18"/>
                <w:szCs w:val="18"/>
              </w:rPr>
              <w:t>increase</w:t>
            </w:r>
            <w:r>
              <w:rPr>
                <w:rFonts w:ascii="Avenir Next Condensed" w:eastAsia="Avenir Next Condensed" w:hAnsi="Avenir Next Condensed" w:cs="Avenir Next Condensed"/>
                <w:sz w:val="18"/>
                <w:szCs w:val="18"/>
              </w:rPr>
              <w:t xml:space="preserve"> over time.</w:t>
            </w:r>
          </w:p>
          <w:p w:rsidR="00D96B91" w:rsidRDefault="00C2656B">
            <w:pPr>
              <w:pStyle w:val="ListParagraph"/>
              <w:numPr>
                <w:ilvl w:val="0"/>
                <w:numId w:val="78"/>
              </w:numPr>
              <w:tabs>
                <w:tab w:val="left" w:pos="336"/>
              </w:tabs>
              <w:spacing w:before="113" w:line="220" w:lineRule="exact"/>
              <w:ind w:right="124"/>
              <w:rPr>
                <w:rFonts w:ascii="Avenir Next Condensed" w:eastAsia="Avenir Next Condensed" w:hAnsi="Avenir Next Condensed" w:cs="Avenir Next Condensed"/>
                <w:sz w:val="18"/>
                <w:szCs w:val="18"/>
              </w:rPr>
            </w:pPr>
            <w:r>
              <w:rPr>
                <w:rFonts w:ascii="Avenir Next Condensed"/>
                <w:sz w:val="18"/>
              </w:rPr>
              <w:t xml:space="preserve">Any under </w:t>
            </w:r>
            <w:r>
              <w:rPr>
                <w:rFonts w:ascii="Avenir Next Condensed"/>
                <w:spacing w:val="-1"/>
                <w:sz w:val="18"/>
              </w:rPr>
              <w:t>recoveries</w:t>
            </w:r>
            <w:r>
              <w:rPr>
                <w:rFonts w:ascii="Avenir Next Condensed"/>
                <w:sz w:val="18"/>
              </w:rPr>
              <w:t xml:space="preserve"> of</w:t>
            </w:r>
            <w:r>
              <w:rPr>
                <w:rFonts w:ascii="Avenir Next Condensed"/>
                <w:spacing w:val="4"/>
                <w:sz w:val="18"/>
              </w:rPr>
              <w:t xml:space="preserve"> </w:t>
            </w:r>
            <w:r>
              <w:rPr>
                <w:rFonts w:ascii="Avenir Next Condensed"/>
                <w:spacing w:val="-1"/>
                <w:sz w:val="18"/>
              </w:rPr>
              <w:t>revenue</w:t>
            </w:r>
            <w:r>
              <w:rPr>
                <w:rFonts w:ascii="Avenir Next Condensed"/>
                <w:sz w:val="18"/>
              </w:rPr>
              <w:t xml:space="preserve"> arising in the initial </w:t>
            </w:r>
            <w:r>
              <w:rPr>
                <w:rFonts w:ascii="Avenir Next Condensed"/>
                <w:spacing w:val="-1"/>
                <w:sz w:val="18"/>
              </w:rPr>
              <w:t>years</w:t>
            </w:r>
            <w:r>
              <w:rPr>
                <w:rFonts w:ascii="Avenir Next Condensed"/>
                <w:sz w:val="18"/>
              </w:rPr>
              <w:t xml:space="preserve"> of</w:t>
            </w:r>
            <w:r>
              <w:rPr>
                <w:rFonts w:ascii="Avenir Next Condensed"/>
                <w:spacing w:val="4"/>
                <w:sz w:val="18"/>
              </w:rPr>
              <w:t xml:space="preserve"> </w:t>
            </w:r>
            <w:r>
              <w:rPr>
                <w:rFonts w:ascii="Avenir Next Condensed"/>
                <w:sz w:val="18"/>
              </w:rPr>
              <w:t xml:space="preserve">the price path </w:t>
            </w:r>
            <w:r>
              <w:rPr>
                <w:rFonts w:ascii="Avenir Next Condensed"/>
                <w:spacing w:val="-1"/>
                <w:sz w:val="18"/>
              </w:rPr>
              <w:t>are</w:t>
            </w:r>
            <w:r>
              <w:rPr>
                <w:rFonts w:ascii="Avenir Next Condensed"/>
                <w:sz w:val="18"/>
              </w:rPr>
              <w:t xml:space="preserve"> </w:t>
            </w:r>
            <w:r>
              <w:rPr>
                <w:rFonts w:ascii="Avenir Next Condensed"/>
                <w:spacing w:val="-1"/>
                <w:sz w:val="18"/>
              </w:rPr>
              <w:t>recouped</w:t>
            </w:r>
            <w:r>
              <w:rPr>
                <w:rFonts w:ascii="Avenir Next Condensed"/>
                <w:sz w:val="18"/>
              </w:rPr>
              <w:t xml:space="preserve"> </w:t>
            </w:r>
            <w:r>
              <w:rPr>
                <w:rFonts w:ascii="Avenir Next Condensed"/>
                <w:spacing w:val="-1"/>
                <w:sz w:val="18"/>
              </w:rPr>
              <w:t>from</w:t>
            </w:r>
            <w:r>
              <w:rPr>
                <w:rFonts w:ascii="Avenir Next Condensed"/>
                <w:sz w:val="18"/>
              </w:rPr>
              <w:t xml:space="preserve"> customers when</w:t>
            </w:r>
            <w:r>
              <w:rPr>
                <w:rFonts w:ascii="Avenir Next Condensed"/>
                <w:spacing w:val="51"/>
                <w:sz w:val="18"/>
              </w:rPr>
              <w:t xml:space="preserve"> </w:t>
            </w:r>
            <w:r>
              <w:rPr>
                <w:rFonts w:ascii="Avenir Next Condensed"/>
                <w:sz w:val="18"/>
              </w:rPr>
              <w:t xml:space="preserve">demand </w:t>
            </w:r>
            <w:r>
              <w:rPr>
                <w:rFonts w:ascii="Avenir Next Condensed"/>
                <w:spacing w:val="-1"/>
                <w:sz w:val="18"/>
              </w:rPr>
              <w:t>increases.</w:t>
            </w:r>
            <w:r>
              <w:rPr>
                <w:rFonts w:ascii="Avenir Next Condensed"/>
                <w:spacing w:val="-10"/>
                <w:sz w:val="18"/>
              </w:rPr>
              <w:t xml:space="preserve"> </w:t>
            </w:r>
            <w:r>
              <w:rPr>
                <w:rFonts w:ascii="Avenir Next Condensed"/>
                <w:spacing w:val="-4"/>
                <w:sz w:val="18"/>
              </w:rPr>
              <w:t>To</w:t>
            </w:r>
            <w:r>
              <w:rPr>
                <w:rFonts w:ascii="Avenir Next Condensed"/>
                <w:sz w:val="18"/>
              </w:rPr>
              <w:t xml:space="preserve"> </w:t>
            </w:r>
            <w:r>
              <w:rPr>
                <w:rFonts w:ascii="Avenir Next Condensed"/>
                <w:spacing w:val="-1"/>
                <w:sz w:val="18"/>
              </w:rPr>
              <w:t>ensure</w:t>
            </w:r>
            <w:r>
              <w:rPr>
                <w:rFonts w:ascii="Avenir Next Condensed"/>
                <w:sz w:val="18"/>
              </w:rPr>
              <w:t xml:space="preserve"> the service </w:t>
            </w:r>
            <w:r>
              <w:rPr>
                <w:rFonts w:ascii="Avenir Next Condensed"/>
                <w:spacing w:val="-1"/>
                <w:sz w:val="18"/>
              </w:rPr>
              <w:t>provider</w:t>
            </w:r>
            <w:r>
              <w:rPr>
                <w:rFonts w:ascii="Avenir Next Condensed"/>
                <w:sz w:val="18"/>
              </w:rPr>
              <w:t xml:space="preserve"> is no worse </w:t>
            </w:r>
            <w:r>
              <w:rPr>
                <w:rFonts w:ascii="Avenir Next Condensed"/>
                <w:spacing w:val="-1"/>
                <w:sz w:val="18"/>
              </w:rPr>
              <w:t>off</w:t>
            </w:r>
            <w:r>
              <w:rPr>
                <w:rFonts w:ascii="Avenir Next Condensed"/>
                <w:spacing w:val="4"/>
                <w:sz w:val="18"/>
              </w:rPr>
              <w:t xml:space="preserve"> </w:t>
            </w:r>
            <w:r>
              <w:rPr>
                <w:rFonts w:ascii="Avenir Next Condensed"/>
                <w:sz w:val="18"/>
              </w:rPr>
              <w:t xml:space="preserve">in net </w:t>
            </w:r>
            <w:r>
              <w:rPr>
                <w:rFonts w:ascii="Avenir Next Condensed"/>
                <w:spacing w:val="-1"/>
                <w:sz w:val="18"/>
              </w:rPr>
              <w:t>present</w:t>
            </w:r>
            <w:r>
              <w:rPr>
                <w:rFonts w:ascii="Avenir Next Condensed"/>
                <w:sz w:val="18"/>
              </w:rPr>
              <w:t xml:space="preserve"> value terms,</w:t>
            </w:r>
            <w:r>
              <w:rPr>
                <w:rFonts w:ascii="Avenir Next Condensed"/>
                <w:spacing w:val="-6"/>
                <w:sz w:val="18"/>
              </w:rPr>
              <w:t xml:space="preserve"> </w:t>
            </w:r>
            <w:r>
              <w:rPr>
                <w:rFonts w:ascii="Avenir Next Condensed"/>
                <w:spacing w:val="-1"/>
                <w:sz w:val="18"/>
              </w:rPr>
              <w:t>regulators</w:t>
            </w:r>
            <w:r>
              <w:rPr>
                <w:rFonts w:ascii="Avenir Next Condensed"/>
                <w:sz w:val="18"/>
              </w:rPr>
              <w:t xml:space="preserve"> usually allow any</w:t>
            </w:r>
            <w:r>
              <w:rPr>
                <w:rFonts w:ascii="Avenir Next Condensed"/>
                <w:spacing w:val="61"/>
                <w:sz w:val="18"/>
              </w:rPr>
              <w:t xml:space="preserve"> </w:t>
            </w:r>
            <w:r>
              <w:rPr>
                <w:rFonts w:ascii="Avenir Next Condensed"/>
                <w:spacing w:val="-1"/>
                <w:sz w:val="18"/>
              </w:rPr>
              <w:t>unrecovered</w:t>
            </w:r>
            <w:r>
              <w:rPr>
                <w:rFonts w:ascii="Avenir Next Condensed"/>
                <w:sz w:val="18"/>
              </w:rPr>
              <w:t xml:space="preserve"> </w:t>
            </w:r>
            <w:r>
              <w:rPr>
                <w:rFonts w:ascii="Avenir Next Condensed"/>
                <w:spacing w:val="-1"/>
                <w:sz w:val="18"/>
              </w:rPr>
              <w:t>revenue</w:t>
            </w:r>
            <w:r>
              <w:rPr>
                <w:rFonts w:ascii="Avenir Next Condensed"/>
                <w:sz w:val="18"/>
              </w:rPr>
              <w:t xml:space="preserve"> to be </w:t>
            </w:r>
            <w:r>
              <w:rPr>
                <w:rFonts w:ascii="Avenir Next Condensed"/>
                <w:spacing w:val="-1"/>
                <w:sz w:val="18"/>
              </w:rPr>
              <w:t>rolled</w:t>
            </w:r>
            <w:r>
              <w:rPr>
                <w:rFonts w:ascii="Avenir Next Condensed"/>
                <w:sz w:val="18"/>
              </w:rPr>
              <w:t xml:space="preserve"> into the RAB and </w:t>
            </w:r>
            <w:r>
              <w:rPr>
                <w:rFonts w:ascii="Avenir Next Condensed"/>
                <w:spacing w:val="-1"/>
                <w:sz w:val="18"/>
              </w:rPr>
              <w:t>earn</w:t>
            </w:r>
            <w:r>
              <w:rPr>
                <w:rFonts w:ascii="Avenir Next Condensed"/>
                <w:sz w:val="18"/>
              </w:rPr>
              <w:t xml:space="preserve"> a </w:t>
            </w:r>
            <w:r>
              <w:rPr>
                <w:rFonts w:ascii="Avenir Next Condensed"/>
                <w:spacing w:val="-1"/>
                <w:sz w:val="18"/>
              </w:rPr>
              <w:t>regulated</w:t>
            </w:r>
            <w:r>
              <w:rPr>
                <w:rFonts w:ascii="Avenir Next Condensed"/>
                <w:sz w:val="18"/>
              </w:rPr>
              <w:t xml:space="preserve"> </w:t>
            </w:r>
            <w:r>
              <w:rPr>
                <w:rFonts w:ascii="Avenir Next Condensed"/>
                <w:spacing w:val="-1"/>
                <w:sz w:val="18"/>
              </w:rPr>
              <w:t>rate</w:t>
            </w:r>
            <w:r>
              <w:rPr>
                <w:rFonts w:ascii="Avenir Next Condensed"/>
                <w:sz w:val="18"/>
              </w:rPr>
              <w:t xml:space="preserve"> of</w:t>
            </w:r>
            <w:r>
              <w:rPr>
                <w:rFonts w:ascii="Avenir Next Condensed"/>
                <w:spacing w:val="4"/>
                <w:sz w:val="18"/>
              </w:rPr>
              <w:t xml:space="preserve"> </w:t>
            </w:r>
            <w:r>
              <w:rPr>
                <w:rFonts w:ascii="Avenir Next Condensed"/>
                <w:spacing w:val="-1"/>
                <w:sz w:val="18"/>
              </w:rPr>
              <w:t>return</w:t>
            </w:r>
            <w:r>
              <w:rPr>
                <w:rFonts w:ascii="Avenir Next Condensed"/>
                <w:sz w:val="18"/>
              </w:rPr>
              <w:t xml:space="preserve"> until it is </w:t>
            </w:r>
            <w:r>
              <w:rPr>
                <w:rFonts w:ascii="Avenir Next Condensed"/>
                <w:spacing w:val="-1"/>
                <w:sz w:val="18"/>
              </w:rPr>
              <w:t>recouped.</w:t>
            </w:r>
          </w:p>
          <w:p w:rsidR="00D96B91" w:rsidRDefault="00C2656B">
            <w:pPr>
              <w:pStyle w:val="TableParagraph"/>
              <w:spacing w:before="113" w:line="220" w:lineRule="exact"/>
              <w:ind w:left="108" w:right="188"/>
              <w:jc w:val="both"/>
              <w:rPr>
                <w:rFonts w:ascii="Avenir Next Condensed" w:eastAsia="Avenir Next Condensed" w:hAnsi="Avenir Next Condensed" w:cs="Avenir Next Condensed"/>
                <w:sz w:val="18"/>
                <w:szCs w:val="18"/>
              </w:rPr>
            </w:pPr>
            <w:r>
              <w:rPr>
                <w:rFonts w:ascii="Avenir Next Condensed"/>
                <w:spacing w:val="-1"/>
                <w:sz w:val="18"/>
              </w:rPr>
              <w:t>Where</w:t>
            </w:r>
            <w:r>
              <w:rPr>
                <w:rFonts w:ascii="Avenir Next Condensed"/>
                <w:sz w:val="18"/>
              </w:rPr>
              <w:t xml:space="preserve"> </w:t>
            </w:r>
            <w:r>
              <w:rPr>
                <w:rFonts w:ascii="Avenir Next Condensed"/>
                <w:spacing w:val="-1"/>
                <w:sz w:val="18"/>
              </w:rPr>
              <w:t>there</w:t>
            </w:r>
            <w:r>
              <w:rPr>
                <w:rFonts w:ascii="Avenir Next Condensed"/>
                <w:sz w:val="18"/>
              </w:rPr>
              <w:t xml:space="preserve"> is no established customer base</w:t>
            </w:r>
            <w:r>
              <w:rPr>
                <w:rFonts w:ascii="Avenir Next Condensed"/>
                <w:spacing w:val="1"/>
                <w:sz w:val="18"/>
              </w:rPr>
              <w:t xml:space="preserve"> </w:t>
            </w:r>
            <w:r>
              <w:rPr>
                <w:rFonts w:ascii="Avenir Next Condensed"/>
                <w:sz w:val="18"/>
              </w:rPr>
              <w:t xml:space="preserve">for new </w:t>
            </w:r>
            <w:r>
              <w:rPr>
                <w:rFonts w:ascii="Avenir Next Condensed"/>
                <w:spacing w:val="-1"/>
                <w:sz w:val="18"/>
              </w:rPr>
              <w:t>assets</w:t>
            </w:r>
            <w:r>
              <w:rPr>
                <w:rFonts w:ascii="Avenir Next Condensed"/>
                <w:sz w:val="18"/>
              </w:rPr>
              <w:t xml:space="preserve"> (eg,</w:t>
            </w:r>
            <w:r>
              <w:rPr>
                <w:rFonts w:ascii="Avenir Next Condensed"/>
                <w:spacing w:val="-6"/>
                <w:sz w:val="18"/>
              </w:rPr>
              <w:t xml:space="preserve"> </w:t>
            </w:r>
            <w:r>
              <w:rPr>
                <w:rFonts w:ascii="Avenir Next Condensed"/>
                <w:sz w:val="18"/>
              </w:rPr>
              <w:t>a new</w:t>
            </w:r>
            <w:r>
              <w:rPr>
                <w:rFonts w:ascii="Avenir Next Condensed"/>
                <w:spacing w:val="1"/>
                <w:sz w:val="18"/>
              </w:rPr>
              <w:t xml:space="preserve"> </w:t>
            </w:r>
            <w:r>
              <w:rPr>
                <w:rFonts w:ascii="Avenir Next Condensed"/>
                <w:sz w:val="18"/>
              </w:rPr>
              <w:t xml:space="preserve">toll </w:t>
            </w:r>
            <w:r>
              <w:rPr>
                <w:rFonts w:ascii="Avenir Next Condensed"/>
                <w:spacing w:val="-1"/>
                <w:sz w:val="18"/>
              </w:rPr>
              <w:t>road,</w:t>
            </w:r>
            <w:r>
              <w:rPr>
                <w:rFonts w:ascii="Avenir Next Condensed"/>
                <w:spacing w:val="-6"/>
                <w:sz w:val="18"/>
              </w:rPr>
              <w:t xml:space="preserve"> </w:t>
            </w:r>
            <w:r>
              <w:rPr>
                <w:rFonts w:ascii="Avenir Next Condensed"/>
                <w:sz w:val="18"/>
              </w:rPr>
              <w:t>a gas pipeline servicing a</w:t>
            </w:r>
            <w:r>
              <w:rPr>
                <w:rFonts w:ascii="Avenir Next Condensed"/>
                <w:spacing w:val="1"/>
                <w:sz w:val="18"/>
              </w:rPr>
              <w:t xml:space="preserve"> </w:t>
            </w:r>
            <w:r>
              <w:rPr>
                <w:rFonts w:ascii="Avenir Next Condensed"/>
                <w:sz w:val="18"/>
              </w:rPr>
              <w:t>new location or</w:t>
            </w:r>
            <w:r>
              <w:rPr>
                <w:rFonts w:ascii="Avenir Next Condensed"/>
                <w:spacing w:val="27"/>
                <w:sz w:val="18"/>
              </w:rPr>
              <w:t xml:space="preserve"> </w:t>
            </w:r>
            <w:r>
              <w:rPr>
                <w:rFonts w:ascii="Avenir Next Condensed"/>
                <w:sz w:val="18"/>
              </w:rPr>
              <w:t>a new telecommunications network) this technique allows prices to be set at a level</w:t>
            </w:r>
            <w:r>
              <w:rPr>
                <w:rFonts w:ascii="Avenir Next Condensed"/>
                <w:spacing w:val="-1"/>
                <w:sz w:val="18"/>
              </w:rPr>
              <w:t xml:space="preserve"> </w:t>
            </w:r>
            <w:r>
              <w:rPr>
                <w:rFonts w:ascii="Avenir Next Condensed"/>
                <w:sz w:val="18"/>
              </w:rPr>
              <w:t xml:space="preserve">that can </w:t>
            </w:r>
            <w:r>
              <w:rPr>
                <w:rFonts w:ascii="Avenir Next Condensed"/>
                <w:spacing w:val="-1"/>
                <w:sz w:val="18"/>
              </w:rPr>
              <w:t>encourage</w:t>
            </w:r>
            <w:r>
              <w:rPr>
                <w:rFonts w:ascii="Avenir Next Condensed"/>
                <w:sz w:val="18"/>
              </w:rPr>
              <w:t xml:space="preserve"> demand while also</w:t>
            </w:r>
            <w:r>
              <w:rPr>
                <w:rFonts w:ascii="Avenir Next Condensed"/>
                <w:spacing w:val="27"/>
                <w:sz w:val="18"/>
              </w:rPr>
              <w:t xml:space="preserve"> </w:t>
            </w:r>
            <w:r>
              <w:rPr>
                <w:rFonts w:ascii="Avenir Next Condensed"/>
                <w:spacing w:val="-1"/>
                <w:sz w:val="18"/>
              </w:rPr>
              <w:t>providing</w:t>
            </w:r>
            <w:r>
              <w:rPr>
                <w:rFonts w:ascii="Avenir Next Condensed"/>
                <w:sz w:val="18"/>
              </w:rPr>
              <w:t xml:space="preserve"> the </w:t>
            </w:r>
            <w:r>
              <w:rPr>
                <w:rFonts w:ascii="Avenir Next Condensed"/>
                <w:spacing w:val="-1"/>
                <w:sz w:val="18"/>
              </w:rPr>
              <w:t>regulated</w:t>
            </w:r>
            <w:r>
              <w:rPr>
                <w:rFonts w:ascii="Avenir Next Condensed"/>
                <w:sz w:val="18"/>
              </w:rPr>
              <w:t xml:space="preserve"> </w:t>
            </w:r>
            <w:r>
              <w:rPr>
                <w:rFonts w:ascii="Avenir Next Condensed"/>
                <w:spacing w:val="-1"/>
                <w:sz w:val="18"/>
              </w:rPr>
              <w:t>business</w:t>
            </w:r>
            <w:r>
              <w:rPr>
                <w:rFonts w:ascii="Avenir Next Condensed"/>
                <w:sz w:val="18"/>
              </w:rPr>
              <w:t xml:space="preserve"> with a </w:t>
            </w:r>
            <w:r>
              <w:rPr>
                <w:rFonts w:ascii="Avenir Next Condensed"/>
                <w:spacing w:val="-1"/>
                <w:sz w:val="18"/>
              </w:rPr>
              <w:t>greater</w:t>
            </w:r>
            <w:r>
              <w:rPr>
                <w:rFonts w:ascii="Avenir Next Condensed"/>
                <w:sz w:val="18"/>
              </w:rPr>
              <w:t xml:space="preserve"> </w:t>
            </w:r>
            <w:r>
              <w:rPr>
                <w:rFonts w:ascii="Avenir Next Condensed"/>
                <w:spacing w:val="-1"/>
                <w:sz w:val="18"/>
              </w:rPr>
              <w:t>degree</w:t>
            </w:r>
            <w:r>
              <w:rPr>
                <w:rFonts w:ascii="Avenir Next Condensed"/>
                <w:sz w:val="18"/>
              </w:rPr>
              <w:t xml:space="preserve"> of</w:t>
            </w:r>
            <w:r>
              <w:rPr>
                <w:rFonts w:ascii="Avenir Next Condensed"/>
                <w:spacing w:val="4"/>
                <w:sz w:val="18"/>
              </w:rPr>
              <w:t xml:space="preserve"> </w:t>
            </w:r>
            <w:r>
              <w:rPr>
                <w:rFonts w:ascii="Avenir Next Condensed"/>
                <w:sz w:val="18"/>
              </w:rPr>
              <w:t xml:space="preserve">certainty about its ability to </w:t>
            </w:r>
            <w:r>
              <w:rPr>
                <w:rFonts w:ascii="Avenir Next Condensed"/>
                <w:spacing w:val="-1"/>
                <w:sz w:val="18"/>
              </w:rPr>
              <w:t>recoup</w:t>
            </w:r>
            <w:r>
              <w:rPr>
                <w:rFonts w:ascii="Avenir Next Condensed"/>
                <w:sz w:val="18"/>
              </w:rPr>
              <w:t xml:space="preserve"> any under </w:t>
            </w:r>
            <w:r>
              <w:rPr>
                <w:rFonts w:ascii="Avenir Next Condensed"/>
                <w:spacing w:val="-1"/>
                <w:sz w:val="18"/>
              </w:rPr>
              <w:t>recoveries.</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742"/>
      </w:pPr>
      <w:r>
        <w:rPr>
          <w:spacing w:val="-2"/>
        </w:rPr>
        <w:t>The</w:t>
      </w:r>
      <w:r>
        <w:t xml:space="preserve"> last of</w:t>
      </w:r>
      <w:r>
        <w:rPr>
          <w:spacing w:val="4"/>
        </w:rPr>
        <w:t xml:space="preserve"> </w:t>
      </w:r>
      <w:r>
        <w:t xml:space="preserve">these factors is </w:t>
      </w:r>
      <w:r>
        <w:rPr>
          <w:spacing w:val="-1"/>
        </w:rPr>
        <w:t>particularly</w:t>
      </w:r>
      <w:r>
        <w:t xml:space="preserve"> </w:t>
      </w:r>
      <w:r>
        <w:rPr>
          <w:spacing w:val="-1"/>
        </w:rPr>
        <w:t>important.</w:t>
      </w:r>
      <w:r>
        <w:rPr>
          <w:spacing w:val="-11"/>
        </w:rPr>
        <w:t xml:space="preserve"> </w:t>
      </w:r>
      <w:r>
        <w:rPr>
          <w:spacing w:val="-1"/>
        </w:rPr>
        <w:t>This</w:t>
      </w:r>
      <w:r>
        <w:t xml:space="preserve"> is because while the techniques should be</w:t>
      </w:r>
      <w:r>
        <w:rPr>
          <w:spacing w:val="37"/>
        </w:rPr>
        <w:t xml:space="preserve"> </w:t>
      </w:r>
      <w:r>
        <w:t xml:space="preserve">applied in a way </w:t>
      </w:r>
      <w:r>
        <w:rPr>
          <w:spacing w:val="-1"/>
        </w:rPr>
        <w:t>that</w:t>
      </w:r>
      <w:r>
        <w:t xml:space="preserve"> </w:t>
      </w:r>
      <w:r>
        <w:rPr>
          <w:spacing w:val="-1"/>
        </w:rPr>
        <w:t>ensures</w:t>
      </w:r>
      <w:r>
        <w:t xml:space="preserve"> the business is no worse </w:t>
      </w:r>
      <w:r>
        <w:rPr>
          <w:spacing w:val="-2"/>
        </w:rPr>
        <w:t>off</w:t>
      </w:r>
      <w:r>
        <w:rPr>
          <w:spacing w:val="4"/>
        </w:rPr>
        <w:t xml:space="preserve"> </w:t>
      </w:r>
      <w:r>
        <w:t xml:space="preserve">in net </w:t>
      </w:r>
      <w:r>
        <w:rPr>
          <w:spacing w:val="-1"/>
        </w:rPr>
        <w:t>present</w:t>
      </w:r>
      <w:r>
        <w:t xml:space="preserve"> value terms,</w:t>
      </w:r>
      <w:r>
        <w:rPr>
          <w:spacing w:val="-7"/>
        </w:rPr>
        <w:t xml:space="preserve"> </w:t>
      </w:r>
      <w:r>
        <w:t xml:space="preserve">any </w:t>
      </w:r>
      <w:r>
        <w:rPr>
          <w:spacing w:val="-1"/>
        </w:rPr>
        <w:t>deferral</w:t>
      </w:r>
      <w:r>
        <w:rPr>
          <w:spacing w:val="29"/>
        </w:rPr>
        <w:t xml:space="preserve"> </w:t>
      </w:r>
      <w:r>
        <w:t>of</w:t>
      </w:r>
      <w:r>
        <w:rPr>
          <w:spacing w:val="3"/>
        </w:rPr>
        <w:t xml:space="preserve"> </w:t>
      </w:r>
      <w:r>
        <w:t xml:space="preserve">the </w:t>
      </w:r>
      <w:r>
        <w:rPr>
          <w:spacing w:val="-1"/>
        </w:rPr>
        <w:t>recovery</w:t>
      </w:r>
      <w:r>
        <w:t xml:space="preserve"> of</w:t>
      </w:r>
      <w:r>
        <w:rPr>
          <w:spacing w:val="3"/>
        </w:rPr>
        <w:t xml:space="preserve"> </w:t>
      </w:r>
      <w:r>
        <w:t xml:space="preserve">costs will </w:t>
      </w:r>
      <w:r>
        <w:rPr>
          <w:spacing w:val="-1"/>
        </w:rPr>
        <w:t>result</w:t>
      </w:r>
      <w:r>
        <w:t xml:space="preserve"> in</w:t>
      </w:r>
      <w:r>
        <w:rPr>
          <w:spacing w:val="-1"/>
        </w:rPr>
        <w:t xml:space="preserve"> </w:t>
      </w:r>
      <w:r>
        <w:t>lower cash flows in</w:t>
      </w:r>
      <w:r>
        <w:rPr>
          <w:spacing w:val="-1"/>
        </w:rPr>
        <w:t xml:space="preserve"> </w:t>
      </w:r>
      <w:r>
        <w:t xml:space="preserve">the </w:t>
      </w:r>
      <w:r>
        <w:rPr>
          <w:spacing w:val="-1"/>
        </w:rPr>
        <w:t>short-run.</w:t>
      </w:r>
      <w:r>
        <w:rPr>
          <w:spacing w:val="-11"/>
        </w:rPr>
        <w:t xml:space="preserve"> </w:t>
      </w:r>
      <w:r>
        <w:rPr>
          <w:spacing w:val="-1"/>
        </w:rPr>
        <w:t>This</w:t>
      </w:r>
      <w:r>
        <w:t xml:space="preserve"> may</w:t>
      </w:r>
      <w:r>
        <w:rPr>
          <w:spacing w:val="-1"/>
        </w:rPr>
        <w:t xml:space="preserve"> </w:t>
      </w:r>
      <w:r>
        <w:t xml:space="preserve">adversely </w:t>
      </w:r>
      <w:r>
        <w:rPr>
          <w:spacing w:val="-1"/>
        </w:rPr>
        <w:t>affect</w:t>
      </w:r>
      <w:r>
        <w:t xml:space="preserve"> the</w:t>
      </w:r>
    </w:p>
    <w:p w:rsidR="00D96B91" w:rsidRDefault="00C2656B">
      <w:pPr>
        <w:pStyle w:val="BodyText"/>
        <w:spacing w:line="260" w:lineRule="exact"/>
        <w:ind w:right="1283"/>
      </w:pPr>
      <w:r>
        <w:t>business’</w:t>
      </w:r>
      <w:r>
        <w:rPr>
          <w:spacing w:val="-1"/>
        </w:rPr>
        <w:t xml:space="preserve"> </w:t>
      </w:r>
      <w:r>
        <w:t>ability to</w:t>
      </w:r>
      <w:r>
        <w:rPr>
          <w:spacing w:val="-1"/>
        </w:rPr>
        <w:t xml:space="preserve"> </w:t>
      </w:r>
      <w:r>
        <w:t>meet its</w:t>
      </w:r>
      <w:r>
        <w:rPr>
          <w:spacing w:val="-1"/>
        </w:rPr>
        <w:t xml:space="preserve"> </w:t>
      </w:r>
      <w:r>
        <w:t xml:space="preserve">debt </w:t>
      </w:r>
      <w:r>
        <w:rPr>
          <w:spacing w:val="-1"/>
        </w:rPr>
        <w:t xml:space="preserve">obligations </w:t>
      </w:r>
      <w:r>
        <w:t xml:space="preserve">and </w:t>
      </w:r>
      <w:r>
        <w:rPr>
          <w:spacing w:val="-1"/>
        </w:rPr>
        <w:t xml:space="preserve">threaten </w:t>
      </w:r>
      <w:r>
        <w:t xml:space="preserve">its </w:t>
      </w:r>
      <w:r>
        <w:rPr>
          <w:spacing w:val="-1"/>
        </w:rPr>
        <w:t xml:space="preserve">overall </w:t>
      </w:r>
      <w:r>
        <w:t>financial viability</w:t>
      </w:r>
      <w:r>
        <w:rPr>
          <w:spacing w:val="-1"/>
        </w:rPr>
        <w:t xml:space="preserve"> </w:t>
      </w:r>
      <w:r>
        <w:t>– which,</w:t>
      </w:r>
      <w:r>
        <w:rPr>
          <w:spacing w:val="-8"/>
        </w:rPr>
        <w:t xml:space="preserve"> </w:t>
      </w:r>
      <w:r>
        <w:t>in turn,</w:t>
      </w:r>
      <w:r>
        <w:rPr>
          <w:spacing w:val="25"/>
        </w:rPr>
        <w:t xml:space="preserve"> </w:t>
      </w:r>
      <w:r>
        <w:t xml:space="preserve">may adversely </w:t>
      </w:r>
      <w:r>
        <w:rPr>
          <w:spacing w:val="-1"/>
        </w:rPr>
        <w:t>affect</w:t>
      </w:r>
      <w:r>
        <w:t xml:space="preserve"> the business’ ability to meet its service </w:t>
      </w:r>
      <w:r>
        <w:rPr>
          <w:spacing w:val="-1"/>
        </w:rPr>
        <w:t>obligations.</w:t>
      </w:r>
      <w:r>
        <w:rPr>
          <w:spacing w:val="-6"/>
        </w:rPr>
        <w:t xml:space="preserve"> </w:t>
      </w:r>
      <w:r>
        <w:rPr>
          <w:spacing w:val="-4"/>
        </w:rPr>
        <w:t>For</w:t>
      </w:r>
      <w:r>
        <w:t xml:space="preserve"> this </w:t>
      </w:r>
      <w:r>
        <w:rPr>
          <w:spacing w:val="-1"/>
        </w:rPr>
        <w:t>reason,</w:t>
      </w:r>
      <w:r>
        <w:rPr>
          <w:spacing w:val="-6"/>
        </w:rPr>
        <w:t xml:space="preserve"> </w:t>
      </w:r>
      <w:r>
        <w:t>the impact on</w:t>
      </w:r>
      <w:r>
        <w:rPr>
          <w:spacing w:val="29"/>
        </w:rPr>
        <w:t xml:space="preserve"> </w:t>
      </w:r>
      <w:r>
        <w:t>the</w:t>
      </w:r>
      <w:r>
        <w:rPr>
          <w:spacing w:val="-1"/>
        </w:rPr>
        <w:t xml:space="preserve"> regulated</w:t>
      </w:r>
      <w:r>
        <w:t xml:space="preserve"> business’</w:t>
      </w:r>
      <w:r>
        <w:rPr>
          <w:spacing w:val="-1"/>
        </w:rPr>
        <w:t xml:space="preserve"> </w:t>
      </w:r>
      <w:r>
        <w:t>financial viability</w:t>
      </w:r>
      <w:r>
        <w:rPr>
          <w:spacing w:val="-1"/>
        </w:rPr>
        <w:t xml:space="preserve"> </w:t>
      </w:r>
      <w:r>
        <w:t>tends to</w:t>
      </w:r>
      <w:r>
        <w:rPr>
          <w:spacing w:val="-1"/>
        </w:rPr>
        <w:t xml:space="preserve"> </w:t>
      </w:r>
      <w:r>
        <w:t>act as</w:t>
      </w:r>
      <w:r>
        <w:rPr>
          <w:spacing w:val="-1"/>
        </w:rPr>
        <w:t xml:space="preserve"> </w:t>
      </w:r>
      <w:r>
        <w:t>an overriding</w:t>
      </w:r>
      <w:r>
        <w:rPr>
          <w:spacing w:val="-1"/>
        </w:rPr>
        <w:t xml:space="preserve"> constraint</w:t>
      </w:r>
      <w:r>
        <w:t xml:space="preserve"> on</w:t>
      </w:r>
      <w:r>
        <w:rPr>
          <w:spacing w:val="-1"/>
        </w:rPr>
        <w:t xml:space="preserve"> </w:t>
      </w:r>
      <w:r>
        <w:t>the use</w:t>
      </w:r>
      <w:r>
        <w:rPr>
          <w:spacing w:val="-1"/>
        </w:rPr>
        <w:t xml:space="preserve"> </w:t>
      </w:r>
      <w:r>
        <w:t>of</w:t>
      </w:r>
      <w:r>
        <w:rPr>
          <w:spacing w:val="4"/>
        </w:rPr>
        <w:t xml:space="preserve"> </w:t>
      </w:r>
      <w:r>
        <w:t>these</w:t>
      </w:r>
      <w:r>
        <w:rPr>
          <w:spacing w:val="21"/>
        </w:rPr>
        <w:t xml:space="preserve"> </w:t>
      </w:r>
      <w:r>
        <w:t>techniques.</w:t>
      </w:r>
      <w:r>
        <w:rPr>
          <w:spacing w:val="-12"/>
        </w:rPr>
        <w:t xml:space="preserve"> </w:t>
      </w:r>
      <w:r>
        <w:rPr>
          <w:spacing w:val="-2"/>
        </w:rPr>
        <w:t>That</w:t>
      </w:r>
      <w:r>
        <w:t xml:space="preserve"> is,</w:t>
      </w:r>
      <w:r>
        <w:rPr>
          <w:spacing w:val="-7"/>
        </w:rPr>
        <w:t xml:space="preserve"> </w:t>
      </w:r>
      <w:r>
        <w:t>if</w:t>
      </w:r>
      <w:r>
        <w:rPr>
          <w:spacing w:val="4"/>
        </w:rPr>
        <w:t xml:space="preserve"> </w:t>
      </w:r>
      <w:r>
        <w:t>the</w:t>
      </w:r>
      <w:r>
        <w:rPr>
          <w:spacing w:val="-1"/>
        </w:rPr>
        <w:t xml:space="preserve"> regulated</w:t>
      </w:r>
      <w:r>
        <w:t xml:space="preserve"> business’</w:t>
      </w:r>
      <w:r>
        <w:rPr>
          <w:spacing w:val="-1"/>
        </w:rPr>
        <w:t xml:space="preserve"> </w:t>
      </w:r>
      <w:r>
        <w:t>financial viability</w:t>
      </w:r>
      <w:r>
        <w:rPr>
          <w:spacing w:val="-1"/>
        </w:rPr>
        <w:t xml:space="preserve"> </w:t>
      </w:r>
      <w:r>
        <w:t>would be</w:t>
      </w:r>
      <w:r>
        <w:rPr>
          <w:spacing w:val="-1"/>
        </w:rPr>
        <w:t xml:space="preserve"> threatened</w:t>
      </w:r>
      <w:r>
        <w:t xml:space="preserve"> by</w:t>
      </w:r>
      <w:r>
        <w:rPr>
          <w:spacing w:val="-1"/>
        </w:rPr>
        <w:t xml:space="preserve"> </w:t>
      </w:r>
      <w:r>
        <w:t>the use</w:t>
      </w:r>
      <w:r>
        <w:rPr>
          <w:spacing w:val="-1"/>
        </w:rPr>
        <w:t xml:space="preserve"> </w:t>
      </w:r>
      <w:r>
        <w:t>of</w:t>
      </w:r>
      <w:r>
        <w:rPr>
          <w:spacing w:val="4"/>
        </w:rPr>
        <w:t xml:space="preserve"> </w:t>
      </w:r>
      <w:r>
        <w:t>the</w:t>
      </w:r>
      <w:r>
        <w:rPr>
          <w:spacing w:val="28"/>
        </w:rPr>
        <w:t xml:space="preserve"> </w:t>
      </w:r>
      <w:r>
        <w:t>technique,</w:t>
      </w:r>
      <w:r>
        <w:rPr>
          <w:spacing w:val="-6"/>
        </w:rPr>
        <w:t xml:space="preserve"> </w:t>
      </w:r>
      <w:r>
        <w:t xml:space="preserve">the </w:t>
      </w:r>
      <w:r>
        <w:rPr>
          <w:spacing w:val="-1"/>
        </w:rPr>
        <w:t>traditional</w:t>
      </w:r>
      <w:r>
        <w:t xml:space="preserve"> </w:t>
      </w:r>
      <w:r>
        <w:rPr>
          <w:spacing w:val="-1"/>
        </w:rPr>
        <w:t>straight</w:t>
      </w:r>
      <w:r>
        <w:t xml:space="preserve"> line </w:t>
      </w:r>
      <w:r>
        <w:rPr>
          <w:spacing w:val="-1"/>
        </w:rPr>
        <w:t>depreciation</w:t>
      </w:r>
      <w:r>
        <w:t xml:space="preserve"> </w:t>
      </w:r>
      <w:r>
        <w:rPr>
          <w:spacing w:val="-1"/>
        </w:rPr>
        <w:t>approach</w:t>
      </w:r>
      <w:r>
        <w:t xml:space="preserve"> will be used.</w:t>
      </w:r>
    </w:p>
    <w:p w:rsidR="00D96B91" w:rsidRDefault="00C2656B">
      <w:pPr>
        <w:pStyle w:val="BodyText"/>
        <w:spacing w:before="170" w:line="260" w:lineRule="exact"/>
        <w:ind w:right="1376"/>
      </w:pPr>
      <w:r>
        <w:rPr>
          <w:rFonts w:cs="Avenir Next"/>
          <w:spacing w:val="-2"/>
        </w:rPr>
        <w:t>The</w:t>
      </w:r>
      <w:r>
        <w:rPr>
          <w:rFonts w:cs="Avenir Next"/>
        </w:rPr>
        <w:t xml:space="preserve"> </w:t>
      </w:r>
      <w:r>
        <w:rPr>
          <w:rFonts w:cs="Avenir Next"/>
          <w:spacing w:val="-3"/>
        </w:rPr>
        <w:t>Panel</w:t>
      </w:r>
      <w:r>
        <w:rPr>
          <w:rFonts w:cs="Avenir Next"/>
        </w:rPr>
        <w:t xml:space="preserve"> understands </w:t>
      </w:r>
      <w:r>
        <w:rPr>
          <w:rFonts w:cs="Avenir Next"/>
          <w:spacing w:val="-1"/>
        </w:rPr>
        <w:t>from</w:t>
      </w:r>
      <w:r>
        <w:rPr>
          <w:rFonts w:cs="Avenir Next"/>
        </w:rPr>
        <w:t xml:space="preserve"> the concerns </w:t>
      </w:r>
      <w:r>
        <w:rPr>
          <w:rFonts w:cs="Avenir Next"/>
          <w:spacing w:val="-1"/>
        </w:rPr>
        <w:t>raised</w:t>
      </w:r>
      <w:r>
        <w:rPr>
          <w:rFonts w:cs="Avenir Next"/>
        </w:rPr>
        <w:t xml:space="preserve"> by the</w:t>
      </w:r>
      <w:r>
        <w:rPr>
          <w:rFonts w:cs="Avenir Next"/>
          <w:spacing w:val="-4"/>
        </w:rPr>
        <w:t xml:space="preserve"> </w:t>
      </w:r>
      <w:r>
        <w:rPr>
          <w:rFonts w:cs="Avenir Next"/>
          <w:spacing w:val="-2"/>
        </w:rPr>
        <w:t>ACT</w:t>
      </w:r>
      <w:r>
        <w:rPr>
          <w:rFonts w:cs="Avenir Next"/>
          <w:spacing w:val="-10"/>
        </w:rPr>
        <w:t xml:space="preserve"> </w:t>
      </w:r>
      <w:r>
        <w:rPr>
          <w:rFonts w:cs="Avenir Next"/>
          <w:spacing w:val="-4"/>
        </w:rPr>
        <w:t>Treasurer</w:t>
      </w:r>
      <w:r>
        <w:rPr>
          <w:rFonts w:cs="Avenir Next"/>
        </w:rPr>
        <w:t xml:space="preserve"> in his </w:t>
      </w:r>
      <w:r>
        <w:rPr>
          <w:rFonts w:cs="Avenir Next"/>
          <w:spacing w:val="-1"/>
        </w:rPr>
        <w:t>response</w:t>
      </w:r>
      <w:r>
        <w:rPr>
          <w:rFonts w:cs="Avenir Next"/>
        </w:rPr>
        <w:t xml:space="preserve"> to the </w:t>
      </w:r>
      <w:r>
        <w:rPr>
          <w:rFonts w:cs="Avenir Next"/>
          <w:spacing w:val="-2"/>
        </w:rPr>
        <w:t>ICRC’s</w:t>
      </w:r>
      <w:r>
        <w:rPr>
          <w:rFonts w:cs="Avenir Next"/>
          <w:spacing w:val="45"/>
        </w:rPr>
        <w:t xml:space="preserve"> </w:t>
      </w:r>
      <w:r>
        <w:rPr>
          <w:spacing w:val="-2"/>
        </w:rPr>
        <w:t>draft</w:t>
      </w:r>
      <w:r>
        <w:rPr>
          <w:spacing w:val="-1"/>
        </w:rPr>
        <w:t xml:space="preserve"> </w:t>
      </w:r>
      <w:r>
        <w:t>decision to</w:t>
      </w:r>
      <w:r>
        <w:rPr>
          <w:spacing w:val="-1"/>
        </w:rPr>
        <w:t xml:space="preserve"> </w:t>
      </w:r>
      <w:r>
        <w:t>use the</w:t>
      </w:r>
      <w:r>
        <w:rPr>
          <w:spacing w:val="-1"/>
        </w:rPr>
        <w:t xml:space="preserve"> </w:t>
      </w:r>
      <w:r>
        <w:t>inclining</w:t>
      </w:r>
      <w:r>
        <w:rPr>
          <w:spacing w:val="-1"/>
        </w:rPr>
        <w:t xml:space="preserve"> </w:t>
      </w:r>
      <w:r>
        <w:t>capital cost</w:t>
      </w:r>
      <w:r>
        <w:rPr>
          <w:spacing w:val="-1"/>
        </w:rPr>
        <w:t xml:space="preserve"> recovery</w:t>
      </w:r>
      <w:r>
        <w:t xml:space="preserve"> scheme</w:t>
      </w:r>
      <w:r>
        <w:rPr>
          <w:spacing w:val="-1"/>
        </w:rPr>
        <w:t xml:space="preserve"> that</w:t>
      </w:r>
      <w:r>
        <w:t xml:space="preserve"> he</w:t>
      </w:r>
      <w:r>
        <w:rPr>
          <w:spacing w:val="-1"/>
        </w:rPr>
        <w:t xml:space="preserve"> </w:t>
      </w:r>
      <w:r>
        <w:t>also intended</w:t>
      </w:r>
      <w:r>
        <w:rPr>
          <w:spacing w:val="-1"/>
        </w:rPr>
        <w:t xml:space="preserve"> </w:t>
      </w:r>
      <w:r>
        <w:t>financial viability</w:t>
      </w:r>
      <w:r>
        <w:rPr>
          <w:spacing w:val="30"/>
        </w:rPr>
        <w:t xml:space="preserve"> </w:t>
      </w:r>
      <w:r>
        <w:t xml:space="preserve">to act as an overriding </w:t>
      </w:r>
      <w:r>
        <w:rPr>
          <w:spacing w:val="-1"/>
        </w:rPr>
        <w:t>constraint.</w:t>
      </w:r>
      <w:r>
        <w:rPr>
          <w:spacing w:val="-6"/>
        </w:rPr>
        <w:t xml:space="preserve"> </w:t>
      </w:r>
      <w:r>
        <w:t xml:space="preserve">In </w:t>
      </w:r>
      <w:r>
        <w:rPr>
          <w:spacing w:val="-2"/>
        </w:rPr>
        <w:t>particular,</w:t>
      </w:r>
      <w:r>
        <w:rPr>
          <w:spacing w:val="-6"/>
        </w:rPr>
        <w:t xml:space="preserve"> </w:t>
      </w:r>
      <w:r>
        <w:t>the</w:t>
      </w:r>
      <w:r>
        <w:rPr>
          <w:spacing w:val="-4"/>
        </w:rPr>
        <w:t xml:space="preserve"> </w:t>
      </w:r>
      <w:r>
        <w:rPr>
          <w:spacing w:val="-2"/>
        </w:rPr>
        <w:t>ACT</w:t>
      </w:r>
      <w:r>
        <w:rPr>
          <w:spacing w:val="-10"/>
        </w:rPr>
        <w:t xml:space="preserve"> </w:t>
      </w:r>
      <w:r>
        <w:rPr>
          <w:spacing w:val="-4"/>
        </w:rPr>
        <w:t>Treasurer</w:t>
      </w:r>
      <w:r>
        <w:t xml:space="preserve"> noted </w:t>
      </w:r>
      <w:r>
        <w:rPr>
          <w:spacing w:val="-1"/>
        </w:rPr>
        <w:t>that</w:t>
      </w:r>
      <w:r>
        <w:t xml:space="preserve"> if</w:t>
      </w:r>
      <w:r>
        <w:rPr>
          <w:spacing w:val="4"/>
        </w:rPr>
        <w:t xml:space="preserve"> </w:t>
      </w:r>
      <w:r>
        <w:t>the adoption of</w:t>
      </w:r>
      <w:r>
        <w:rPr>
          <w:spacing w:val="4"/>
        </w:rPr>
        <w:t xml:space="preserve"> </w:t>
      </w:r>
      <w:r>
        <w:t>this</w:t>
      </w:r>
      <w:r>
        <w:rPr>
          <w:spacing w:val="55"/>
        </w:rPr>
        <w:t xml:space="preserve"> </w:t>
      </w:r>
      <w:r>
        <w:t>technique</w:t>
      </w:r>
      <w:r>
        <w:rPr>
          <w:spacing w:val="-1"/>
        </w:rPr>
        <w:t xml:space="preserve"> </w:t>
      </w:r>
      <w:r>
        <w:t>was to</w:t>
      </w:r>
      <w:r>
        <w:rPr>
          <w:spacing w:val="-1"/>
        </w:rPr>
        <w:t xml:space="preserve"> result</w:t>
      </w:r>
      <w:r>
        <w:t xml:space="preserve"> in</w:t>
      </w:r>
      <w:r>
        <w:rPr>
          <w:spacing w:val="-1"/>
        </w:rPr>
        <w:t xml:space="preserve"> </w:t>
      </w:r>
      <w:r>
        <w:t>the ‘impairment</w:t>
      </w:r>
      <w:r>
        <w:rPr>
          <w:spacing w:val="-1"/>
        </w:rPr>
        <w:t xml:space="preserve"> </w:t>
      </w:r>
      <w:r>
        <w:t>of</w:t>
      </w:r>
      <w:r>
        <w:rPr>
          <w:spacing w:val="4"/>
        </w:rPr>
        <w:t xml:space="preserve"> </w:t>
      </w:r>
      <w:r>
        <w:t xml:space="preserve">the </w:t>
      </w:r>
      <w:r>
        <w:rPr>
          <w:spacing w:val="-1"/>
        </w:rPr>
        <w:t xml:space="preserve">water </w:t>
      </w:r>
      <w:r>
        <w:t xml:space="preserve">security </w:t>
      </w:r>
      <w:r>
        <w:rPr>
          <w:spacing w:val="-3"/>
        </w:rPr>
        <w:t>assets’,</w:t>
      </w:r>
      <w:r>
        <w:rPr>
          <w:spacing w:val="-7"/>
        </w:rPr>
        <w:t xml:space="preserve"> </w:t>
      </w:r>
      <w:r>
        <w:t>then the</w:t>
      </w:r>
      <w:r>
        <w:rPr>
          <w:spacing w:val="-1"/>
        </w:rPr>
        <w:t xml:space="preserve"> </w:t>
      </w:r>
      <w:r>
        <w:t>benefits to the</w:t>
      </w:r>
      <w:r>
        <w:rPr>
          <w:spacing w:val="-1"/>
        </w:rPr>
        <w:t xml:space="preserve"> current</w:t>
      </w:r>
      <w:r>
        <w:rPr>
          <w:spacing w:val="27"/>
        </w:rPr>
        <w:t xml:space="preserve"> </w:t>
      </w:r>
      <w:r>
        <w:rPr>
          <w:spacing w:val="-2"/>
        </w:rPr>
        <w:t>ACT</w:t>
      </w:r>
      <w:r>
        <w:rPr>
          <w:spacing w:val="-5"/>
        </w:rPr>
        <w:t xml:space="preserve"> </w:t>
      </w:r>
      <w:r>
        <w:t xml:space="preserve">community </w:t>
      </w:r>
      <w:r>
        <w:rPr>
          <w:spacing w:val="-1"/>
        </w:rPr>
        <w:t>from</w:t>
      </w:r>
      <w:r>
        <w:t xml:space="preserve"> adopting the technique would be </w:t>
      </w:r>
      <w:r>
        <w:rPr>
          <w:spacing w:val="-1"/>
        </w:rPr>
        <w:t>negated.</w:t>
      </w:r>
      <w:r>
        <w:rPr>
          <w:spacing w:val="-11"/>
        </w:rPr>
        <w:t xml:space="preserve"> </w:t>
      </w:r>
      <w:r>
        <w:rPr>
          <w:spacing w:val="-2"/>
        </w:rPr>
        <w:t>The</w:t>
      </w:r>
      <w:r>
        <w:rPr>
          <w:spacing w:val="-4"/>
        </w:rPr>
        <w:t xml:space="preserve"> </w:t>
      </w:r>
      <w:r>
        <w:rPr>
          <w:spacing w:val="-2"/>
        </w:rPr>
        <w:t>ACT</w:t>
      </w:r>
      <w:r>
        <w:rPr>
          <w:spacing w:val="-10"/>
        </w:rPr>
        <w:t xml:space="preserve"> </w:t>
      </w:r>
      <w:r>
        <w:rPr>
          <w:spacing w:val="-4"/>
        </w:rPr>
        <w:t>Treasurer</w:t>
      </w:r>
      <w:r>
        <w:t xml:space="preserve"> also noted </w:t>
      </w:r>
      <w:r>
        <w:rPr>
          <w:spacing w:val="-1"/>
        </w:rPr>
        <w:t>that</w:t>
      </w:r>
    </w:p>
    <w:p w:rsidR="00D96B91" w:rsidRDefault="00C2656B">
      <w:pPr>
        <w:pStyle w:val="BodyText"/>
        <w:spacing w:line="260" w:lineRule="exact"/>
        <w:ind w:right="1256"/>
        <w:rPr>
          <w:sz w:val="11"/>
          <w:szCs w:val="11"/>
        </w:rPr>
      </w:pPr>
      <w:r>
        <w:t>if</w:t>
      </w:r>
      <w:r>
        <w:rPr>
          <w:spacing w:val="4"/>
        </w:rPr>
        <w:t xml:space="preserve"> </w:t>
      </w:r>
      <w:r>
        <w:t>this and a number of</w:t>
      </w:r>
      <w:r>
        <w:rPr>
          <w:spacing w:val="4"/>
        </w:rPr>
        <w:t xml:space="preserve"> </w:t>
      </w:r>
      <w:r>
        <w:t xml:space="preserve">other issues could not be </w:t>
      </w:r>
      <w:r>
        <w:rPr>
          <w:spacing w:val="-1"/>
        </w:rPr>
        <w:t>resolved,</w:t>
      </w:r>
      <w:r>
        <w:rPr>
          <w:spacing w:val="-6"/>
        </w:rPr>
        <w:t xml:space="preserve"> </w:t>
      </w:r>
      <w:r>
        <w:t xml:space="preserve">then he would be </w:t>
      </w:r>
      <w:r>
        <w:rPr>
          <w:spacing w:val="-2"/>
        </w:rPr>
        <w:t>“open</w:t>
      </w:r>
      <w:r>
        <w:t xml:space="preserve"> to </w:t>
      </w:r>
      <w:r>
        <w:rPr>
          <w:spacing w:val="-1"/>
        </w:rPr>
        <w:t>retaining</w:t>
      </w:r>
      <w:r>
        <w:t xml:space="preserve"> the</w:t>
      </w:r>
      <w:r>
        <w:rPr>
          <w:spacing w:val="23"/>
        </w:rPr>
        <w:t xml:space="preserve"> </w:t>
      </w:r>
      <w:r>
        <w:t>t</w:t>
      </w:r>
      <w:r>
        <w:rPr>
          <w:spacing w:val="-3"/>
        </w:rPr>
        <w:t>r</w:t>
      </w:r>
      <w:r>
        <w:t>aditional methodology for</w:t>
      </w:r>
      <w:r>
        <w:rPr>
          <w:spacing w:val="1"/>
        </w:rPr>
        <w:t xml:space="preserve"> </w:t>
      </w:r>
      <w:r>
        <w:t>sharing the</w:t>
      </w:r>
      <w:r>
        <w:rPr>
          <w:spacing w:val="1"/>
        </w:rPr>
        <w:t xml:space="preserve"> </w:t>
      </w:r>
      <w:r>
        <w:t>price of</w:t>
      </w:r>
      <w:r>
        <w:rPr>
          <w:spacing w:val="5"/>
        </w:rPr>
        <w:t xml:space="preserve"> </w:t>
      </w:r>
      <w:r>
        <w:t>w</w:t>
      </w:r>
      <w:r>
        <w:rPr>
          <w:spacing w:val="-2"/>
        </w:rPr>
        <w:t>a</w:t>
      </w:r>
      <w:r>
        <w:t>ter security</w:t>
      </w:r>
      <w:r>
        <w:rPr>
          <w:spacing w:val="1"/>
        </w:rPr>
        <w:t xml:space="preserve"> </w:t>
      </w:r>
      <w:r>
        <w:t>assets over</w:t>
      </w:r>
      <w:r>
        <w:rPr>
          <w:spacing w:val="1"/>
        </w:rPr>
        <w:t xml:space="preserve"> </w:t>
      </w:r>
      <w:r>
        <w:t xml:space="preserve">an </w:t>
      </w:r>
      <w:r>
        <w:rPr>
          <w:spacing w:val="-2"/>
        </w:rPr>
        <w:t>e</w:t>
      </w:r>
      <w:r>
        <w:t>xtended</w:t>
      </w:r>
      <w:r>
        <w:rPr>
          <w:spacing w:val="1"/>
        </w:rPr>
        <w:t xml:space="preserve"> </w:t>
      </w:r>
      <w:r>
        <w:t>timef</w:t>
      </w:r>
      <w:r>
        <w:rPr>
          <w:spacing w:val="-3"/>
        </w:rPr>
        <w:t>r</w:t>
      </w:r>
      <w:r>
        <w:t>ame</w:t>
      </w:r>
      <w:r>
        <w:rPr>
          <w:spacing w:val="-25"/>
        </w:rPr>
        <w:t>”</w:t>
      </w:r>
      <w:r>
        <w:t>.</w:t>
      </w:r>
      <w:r>
        <w:rPr>
          <w:position w:val="7"/>
          <w:sz w:val="11"/>
          <w:szCs w:val="11"/>
        </w:rPr>
        <w:t>90</w:t>
      </w:r>
    </w:p>
    <w:p w:rsidR="00D96B91" w:rsidRDefault="00D96B91">
      <w:pPr>
        <w:rPr>
          <w:rFonts w:ascii="Avenir Next" w:eastAsia="Avenir Next" w:hAnsi="Avenir Next" w:cs="Avenir Next"/>
          <w:sz w:val="20"/>
          <w:szCs w:val="20"/>
        </w:rPr>
      </w:pPr>
    </w:p>
    <w:p w:rsidR="00D96B91" w:rsidRDefault="00C2656B">
      <w:pPr>
        <w:pStyle w:val="Heading4"/>
        <w:tabs>
          <w:tab w:val="left" w:pos="2040"/>
        </w:tabs>
        <w:spacing w:before="143" w:line="360" w:lineRule="exact"/>
        <w:ind w:left="2041" w:right="1978" w:hanging="794"/>
      </w:pPr>
      <w:r>
        <w:rPr>
          <w:color w:val="0778BE"/>
        </w:rPr>
        <w:t>8.</w:t>
      </w:r>
      <w:r>
        <w:rPr>
          <w:color w:val="0778BE"/>
          <w:spacing w:val="-9"/>
        </w:rPr>
        <w:t xml:space="preserve"> </w:t>
      </w:r>
      <w:r>
        <w:rPr>
          <w:color w:val="0778BE"/>
        </w:rPr>
        <w:t>5</w:t>
      </w:r>
      <w:r>
        <w:rPr>
          <w:color w:val="0778BE"/>
        </w:rPr>
        <w:tab/>
        <w:t xml:space="preserve">Extent to which </w:t>
      </w:r>
      <w:r>
        <w:rPr>
          <w:color w:val="0778BE"/>
          <w:spacing w:val="-1"/>
        </w:rPr>
        <w:t>alternative</w:t>
      </w:r>
      <w:r>
        <w:rPr>
          <w:color w:val="0778BE"/>
        </w:rPr>
        <w:t xml:space="preserve"> </w:t>
      </w:r>
      <w:r>
        <w:rPr>
          <w:color w:val="0778BE"/>
          <w:spacing w:val="-1"/>
        </w:rPr>
        <w:t>regulatory</w:t>
      </w:r>
      <w:r>
        <w:rPr>
          <w:color w:val="0778BE"/>
        </w:rPr>
        <w:t xml:space="preserve"> technique could be</w:t>
      </w:r>
      <w:r>
        <w:rPr>
          <w:color w:val="0778BE"/>
          <w:spacing w:val="28"/>
        </w:rPr>
        <w:t xml:space="preserve"> </w:t>
      </w:r>
      <w:r>
        <w:rPr>
          <w:color w:val="0778BE"/>
        </w:rPr>
        <w:t>implemented</w:t>
      </w:r>
    </w:p>
    <w:p w:rsidR="00D96B91" w:rsidRDefault="00C2656B">
      <w:pPr>
        <w:pStyle w:val="BodyText"/>
        <w:spacing w:before="93" w:line="260" w:lineRule="exact"/>
        <w:ind w:right="1283"/>
      </w:pPr>
      <w:r>
        <w:t>Of</w:t>
      </w:r>
      <w:r>
        <w:rPr>
          <w:spacing w:val="3"/>
        </w:rPr>
        <w:t xml:space="preserve"> </w:t>
      </w:r>
      <w:r>
        <w:t>the techniques set out</w:t>
      </w:r>
      <w:r>
        <w:rPr>
          <w:spacing w:val="-1"/>
        </w:rPr>
        <w:t xml:space="preserve"> </w:t>
      </w:r>
      <w:r>
        <w:t>in</w:t>
      </w:r>
      <w:r>
        <w:rPr>
          <w:spacing w:val="-5"/>
        </w:rPr>
        <w:t xml:space="preserve"> </w:t>
      </w:r>
      <w:hyperlink w:anchor="_bookmark56" w:history="1">
        <w:r>
          <w:rPr>
            <w:spacing w:val="-4"/>
          </w:rPr>
          <w:t>Table</w:t>
        </w:r>
        <w:r>
          <w:t xml:space="preserve"> 8.1</w:t>
        </w:r>
      </w:hyperlink>
      <w:r>
        <w:t>,</w:t>
      </w:r>
      <w:r>
        <w:rPr>
          <w:spacing w:val="-6"/>
        </w:rPr>
        <w:t xml:space="preserve"> </w:t>
      </w:r>
      <w:r>
        <w:t>the</w:t>
      </w:r>
      <w:r>
        <w:rPr>
          <w:spacing w:val="-1"/>
        </w:rPr>
        <w:t xml:space="preserve"> </w:t>
      </w:r>
      <w:r>
        <w:rPr>
          <w:spacing w:val="-3"/>
        </w:rPr>
        <w:t>Panel</w:t>
      </w:r>
      <w:r>
        <w:t xml:space="preserve"> considers the inclining</w:t>
      </w:r>
      <w:r>
        <w:rPr>
          <w:spacing w:val="-1"/>
        </w:rPr>
        <w:t xml:space="preserve"> </w:t>
      </w:r>
      <w:r>
        <w:t xml:space="preserve">capital cost </w:t>
      </w:r>
      <w:r>
        <w:rPr>
          <w:spacing w:val="-1"/>
        </w:rPr>
        <w:t>recovery</w:t>
      </w:r>
      <w:r>
        <w:t xml:space="preserve"> </w:t>
      </w:r>
      <w:r>
        <w:rPr>
          <w:spacing w:val="-1"/>
        </w:rPr>
        <w:t>profile</w:t>
      </w:r>
      <w:r>
        <w:rPr>
          <w:spacing w:val="21"/>
          <w:w w:val="99"/>
        </w:rPr>
        <w:t xml:space="preserve"> </w:t>
      </w:r>
      <w:r>
        <w:t>technique</w:t>
      </w:r>
      <w:r>
        <w:rPr>
          <w:spacing w:val="-1"/>
        </w:rPr>
        <w:t xml:space="preserve"> </w:t>
      </w:r>
      <w:r>
        <w:t>and the</w:t>
      </w:r>
      <w:r>
        <w:rPr>
          <w:spacing w:val="-1"/>
        </w:rPr>
        <w:t xml:space="preserve"> deferral</w:t>
      </w:r>
      <w:r>
        <w:t xml:space="preserve"> of</w:t>
      </w:r>
      <w:r>
        <w:rPr>
          <w:spacing w:val="3"/>
        </w:rPr>
        <w:t xml:space="preserve"> </w:t>
      </w:r>
      <w:r>
        <w:t xml:space="preserve">a defined </w:t>
      </w:r>
      <w:r>
        <w:rPr>
          <w:spacing w:val="-1"/>
        </w:rPr>
        <w:t xml:space="preserve">portion </w:t>
      </w:r>
      <w:r>
        <w:t>of</w:t>
      </w:r>
      <w:r>
        <w:rPr>
          <w:spacing w:val="4"/>
        </w:rPr>
        <w:t xml:space="preserve"> </w:t>
      </w:r>
      <w:r>
        <w:t>capital</w:t>
      </w:r>
      <w:r>
        <w:rPr>
          <w:spacing w:val="-1"/>
        </w:rPr>
        <w:t xml:space="preserve"> </w:t>
      </w:r>
      <w:r>
        <w:t>costs technique</w:t>
      </w:r>
      <w:r>
        <w:rPr>
          <w:spacing w:val="-1"/>
        </w:rPr>
        <w:t xml:space="preserve"> </w:t>
      </w:r>
      <w:r>
        <w:rPr>
          <w:spacing w:val="-2"/>
        </w:rPr>
        <w:t>are</w:t>
      </w:r>
      <w:r>
        <w:t xml:space="preserve"> most </w:t>
      </w:r>
      <w:r>
        <w:rPr>
          <w:spacing w:val="-1"/>
        </w:rPr>
        <w:t xml:space="preserve">relevant </w:t>
      </w:r>
      <w:r>
        <w:t>in this</w:t>
      </w:r>
      <w:r>
        <w:rPr>
          <w:spacing w:val="-1"/>
        </w:rPr>
        <w:t xml:space="preserve"> </w:t>
      </w:r>
      <w:r>
        <w:t>case</w:t>
      </w:r>
      <w:r>
        <w:rPr>
          <w:spacing w:val="31"/>
        </w:rPr>
        <w:t xml:space="preserve"> </w:t>
      </w:r>
      <w:r>
        <w:t>given</w:t>
      </w:r>
      <w:r>
        <w:rPr>
          <w:spacing w:val="-1"/>
        </w:rPr>
        <w:t xml:space="preserve"> future</w:t>
      </w:r>
      <w:r>
        <w:t xml:space="preserve"> customers</w:t>
      </w:r>
      <w:r>
        <w:rPr>
          <w:spacing w:val="-1"/>
        </w:rPr>
        <w:t xml:space="preserve"> </w:t>
      </w:r>
      <w:r>
        <w:rPr>
          <w:spacing w:val="-2"/>
        </w:rPr>
        <w:t>are</w:t>
      </w:r>
      <w:r>
        <w:t xml:space="preserve"> </w:t>
      </w:r>
      <w:r>
        <w:rPr>
          <w:spacing w:val="-1"/>
        </w:rPr>
        <w:t>expected</w:t>
      </w:r>
      <w:r>
        <w:t xml:space="preserve"> to</w:t>
      </w:r>
      <w:r>
        <w:rPr>
          <w:spacing w:val="-1"/>
        </w:rPr>
        <w:t xml:space="preserve"> </w:t>
      </w:r>
      <w:r>
        <w:t>derive a</w:t>
      </w:r>
      <w:r>
        <w:rPr>
          <w:spacing w:val="-1"/>
        </w:rPr>
        <w:t xml:space="preserve"> </w:t>
      </w:r>
      <w:r>
        <w:rPr>
          <w:spacing w:val="-2"/>
        </w:rPr>
        <w:t>greater</w:t>
      </w:r>
      <w:r>
        <w:t xml:space="preserve"> benefit</w:t>
      </w:r>
      <w:r>
        <w:rPr>
          <w:spacing w:val="-1"/>
        </w:rPr>
        <w:t xml:space="preserve"> from</w:t>
      </w:r>
      <w:r>
        <w:t xml:space="preserve"> the ECD</w:t>
      </w:r>
      <w:r>
        <w:rPr>
          <w:spacing w:val="-1"/>
        </w:rPr>
        <w:t xml:space="preserve"> </w:t>
      </w:r>
      <w:r>
        <w:t>and M2G</w:t>
      </w:r>
      <w:r>
        <w:rPr>
          <w:spacing w:val="-1"/>
        </w:rPr>
        <w:t xml:space="preserve"> </w:t>
      </w:r>
      <w:r>
        <w:t xml:space="preserve">than </w:t>
      </w:r>
      <w:r>
        <w:rPr>
          <w:spacing w:val="-1"/>
        </w:rPr>
        <w:t>current</w:t>
      </w:r>
      <w:r>
        <w:rPr>
          <w:spacing w:val="39"/>
        </w:rPr>
        <w:t xml:space="preserve"> </w:t>
      </w:r>
      <w:r>
        <w:t>customers.</w:t>
      </w:r>
    </w:p>
    <w:p w:rsidR="00D96B91" w:rsidRDefault="00C2656B">
      <w:pPr>
        <w:pStyle w:val="BodyText"/>
        <w:spacing w:before="178"/>
      </w:pPr>
      <w:r>
        <w:rPr>
          <w:spacing w:val="-10"/>
        </w:rPr>
        <w:t>To</w:t>
      </w:r>
      <w:r>
        <w:rPr>
          <w:spacing w:val="-1"/>
        </w:rPr>
        <w:t xml:space="preserve"> </w:t>
      </w:r>
      <w:r>
        <w:t>implement one</w:t>
      </w:r>
      <w:r>
        <w:rPr>
          <w:spacing w:val="-1"/>
        </w:rPr>
        <w:t xml:space="preserve"> </w:t>
      </w:r>
      <w:r>
        <w:t>of</w:t>
      </w:r>
      <w:r>
        <w:rPr>
          <w:spacing w:val="4"/>
        </w:rPr>
        <w:t xml:space="preserve"> </w:t>
      </w:r>
      <w:r>
        <w:t>these techniques,</w:t>
      </w:r>
      <w:r>
        <w:rPr>
          <w:spacing w:val="-7"/>
        </w:rPr>
        <w:t xml:space="preserve"> </w:t>
      </w:r>
      <w:r>
        <w:rPr>
          <w:spacing w:val="-1"/>
        </w:rPr>
        <w:t>there</w:t>
      </w:r>
      <w:r>
        <w:t xml:space="preserve"> would need</w:t>
      </w:r>
      <w:r>
        <w:rPr>
          <w:spacing w:val="-1"/>
        </w:rPr>
        <w:t xml:space="preserve"> </w:t>
      </w:r>
      <w:r>
        <w:t>to be</w:t>
      </w:r>
      <w:r>
        <w:rPr>
          <w:spacing w:val="-1"/>
        </w:rPr>
        <w:t xml:space="preserve"> sufficient</w:t>
      </w:r>
      <w:r>
        <w:t xml:space="preserve"> </w:t>
      </w:r>
      <w:r>
        <w:rPr>
          <w:spacing w:val="-1"/>
        </w:rPr>
        <w:t>information</w:t>
      </w:r>
      <w:r>
        <w:t xml:space="preserve"> to</w:t>
      </w:r>
      <w:r>
        <w:rPr>
          <w:spacing w:val="-1"/>
        </w:rPr>
        <w:t xml:space="preserve"> estimate</w:t>
      </w:r>
      <w:r>
        <w:t xml:space="preserve"> either:</w:t>
      </w:r>
    </w:p>
    <w:p w:rsidR="00D96B91" w:rsidRDefault="00C2656B">
      <w:pPr>
        <w:pStyle w:val="BodyText"/>
        <w:numPr>
          <w:ilvl w:val="0"/>
          <w:numId w:val="131"/>
        </w:numPr>
        <w:tabs>
          <w:tab w:val="left" w:pos="1531"/>
        </w:tabs>
        <w:spacing w:before="157" w:line="267" w:lineRule="exact"/>
        <w:ind w:hanging="283"/>
      </w:pPr>
      <w:r>
        <w:t>the</w:t>
      </w:r>
      <w:r>
        <w:rPr>
          <w:spacing w:val="-1"/>
        </w:rPr>
        <w:t xml:space="preserve"> </w:t>
      </w:r>
      <w:r>
        <w:t xml:space="preserve">benefits </w:t>
      </w:r>
      <w:r>
        <w:rPr>
          <w:spacing w:val="-1"/>
        </w:rPr>
        <w:t xml:space="preserve">that </w:t>
      </w:r>
      <w:r>
        <w:t xml:space="preserve">customers </w:t>
      </w:r>
      <w:r>
        <w:rPr>
          <w:spacing w:val="-2"/>
        </w:rPr>
        <w:t>are</w:t>
      </w:r>
      <w:r>
        <w:t xml:space="preserve"> </w:t>
      </w:r>
      <w:r>
        <w:rPr>
          <w:spacing w:val="-1"/>
        </w:rPr>
        <w:t xml:space="preserve">expected </w:t>
      </w:r>
      <w:r>
        <w:t>to derive</w:t>
      </w:r>
      <w:r>
        <w:rPr>
          <w:spacing w:val="-1"/>
        </w:rPr>
        <w:t xml:space="preserve"> </w:t>
      </w:r>
      <w:r>
        <w:t xml:space="preserve">in </w:t>
      </w:r>
      <w:r>
        <w:rPr>
          <w:spacing w:val="-1"/>
        </w:rPr>
        <w:t>each year</w:t>
      </w:r>
      <w:r>
        <w:t xml:space="preserve"> of</w:t>
      </w:r>
      <w:r>
        <w:rPr>
          <w:spacing w:val="4"/>
        </w:rPr>
        <w:t xml:space="preserve"> </w:t>
      </w:r>
      <w:r>
        <w:t>the</w:t>
      </w:r>
      <w:r>
        <w:rPr>
          <w:spacing w:val="-1"/>
        </w:rPr>
        <w:t xml:space="preserve"> </w:t>
      </w:r>
      <w:r>
        <w:t>life of</w:t>
      </w:r>
      <w:r>
        <w:rPr>
          <w:spacing w:val="3"/>
        </w:rPr>
        <w:t xml:space="preserve"> </w:t>
      </w:r>
      <w:r>
        <w:t>the ECD and</w:t>
      </w:r>
      <w:r>
        <w:rPr>
          <w:spacing w:val="-1"/>
        </w:rPr>
        <w:t xml:space="preserve"> </w:t>
      </w:r>
      <w:r>
        <w:t>M2G</w:t>
      </w:r>
    </w:p>
    <w:p w:rsidR="00D96B91" w:rsidRDefault="00C2656B">
      <w:pPr>
        <w:pStyle w:val="BodyText"/>
        <w:spacing w:line="267" w:lineRule="exact"/>
        <w:ind w:left="1526" w:right="1476"/>
        <w:jc w:val="center"/>
      </w:pPr>
      <w:r>
        <w:t>(a</w:t>
      </w:r>
      <w:r>
        <w:rPr>
          <w:spacing w:val="-2"/>
        </w:rPr>
        <w:t xml:space="preserve"> </w:t>
      </w:r>
      <w:r>
        <w:t>benefits</w:t>
      </w:r>
      <w:r>
        <w:rPr>
          <w:spacing w:val="-1"/>
        </w:rPr>
        <w:t xml:space="preserve"> profile),</w:t>
      </w:r>
      <w:r>
        <w:rPr>
          <w:spacing w:val="-6"/>
        </w:rPr>
        <w:t xml:space="preserve"> </w:t>
      </w:r>
      <w:r>
        <w:t>which</w:t>
      </w:r>
      <w:r>
        <w:rPr>
          <w:spacing w:val="-2"/>
        </w:rPr>
        <w:t xml:space="preserve"> </w:t>
      </w:r>
      <w:r>
        <w:t>is</w:t>
      </w:r>
      <w:r>
        <w:rPr>
          <w:spacing w:val="-1"/>
        </w:rPr>
        <w:t xml:space="preserve"> </w:t>
      </w:r>
      <w:r>
        <w:t>a</w:t>
      </w:r>
      <w:r>
        <w:rPr>
          <w:spacing w:val="-1"/>
        </w:rPr>
        <w:t xml:space="preserve"> </w:t>
      </w:r>
      <w:r>
        <w:rPr>
          <w:spacing w:val="-2"/>
        </w:rPr>
        <w:t>key</w:t>
      </w:r>
      <w:r>
        <w:rPr>
          <w:spacing w:val="-1"/>
        </w:rPr>
        <w:t xml:space="preserve"> </w:t>
      </w:r>
      <w:r>
        <w:t>input</w:t>
      </w:r>
      <w:r>
        <w:rPr>
          <w:spacing w:val="-1"/>
        </w:rPr>
        <w:t xml:space="preserve"> </w:t>
      </w:r>
      <w:r>
        <w:t>into</w:t>
      </w:r>
      <w:r>
        <w:rPr>
          <w:spacing w:val="-1"/>
        </w:rPr>
        <w:t xml:space="preserve"> </w:t>
      </w:r>
      <w:r>
        <w:t>the</w:t>
      </w:r>
      <w:r>
        <w:rPr>
          <w:spacing w:val="-1"/>
        </w:rPr>
        <w:t xml:space="preserve"> </w:t>
      </w:r>
      <w:r>
        <w:t>inclining</w:t>
      </w:r>
      <w:r>
        <w:rPr>
          <w:spacing w:val="-1"/>
        </w:rPr>
        <w:t xml:space="preserve"> </w:t>
      </w:r>
      <w:r>
        <w:t>capital</w:t>
      </w:r>
      <w:r>
        <w:rPr>
          <w:spacing w:val="-1"/>
        </w:rPr>
        <w:t xml:space="preserve"> </w:t>
      </w:r>
      <w:r>
        <w:t>cost</w:t>
      </w:r>
      <w:r>
        <w:rPr>
          <w:spacing w:val="-1"/>
        </w:rPr>
        <w:t xml:space="preserve"> recovery profile </w:t>
      </w:r>
      <w:r>
        <w:t>technique,</w:t>
      </w:r>
      <w:r>
        <w:rPr>
          <w:spacing w:val="-7"/>
        </w:rPr>
        <w:t xml:space="preserve"> </w:t>
      </w:r>
      <w:r>
        <w:t>or</w:t>
      </w:r>
    </w:p>
    <w:p w:rsidR="00D96B91" w:rsidRDefault="00D96B91">
      <w:pPr>
        <w:rPr>
          <w:rFonts w:ascii="Avenir Next" w:eastAsia="Avenir Next" w:hAnsi="Avenir Next" w:cs="Avenir Next"/>
          <w:sz w:val="20"/>
          <w:szCs w:val="20"/>
        </w:rPr>
      </w:pPr>
    </w:p>
    <w:p w:rsidR="00D96B91" w:rsidRDefault="00D96B91">
      <w:pPr>
        <w:spacing w:before="10"/>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94" style="width:72.5pt;height:.5pt;mso-position-horizontal-relative:char;mso-position-vertical-relative:line" coordsize="1450,10">
            <v:group id="_x0000_s3195" style="position:absolute;left:5;top:5;width:1440;height:2" coordorigin="5,5" coordsize="1440,2">
              <v:shape id="_x0000_s3196"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38"/>
        <w:ind w:hanging="510"/>
        <w:rPr>
          <w:rFonts w:ascii="Avenir Next" w:eastAsia="Avenir Next" w:hAnsi="Avenir Next" w:cs="Avenir Next"/>
          <w:sz w:val="16"/>
          <w:szCs w:val="16"/>
        </w:rPr>
      </w:pPr>
      <w:r>
        <w:rPr>
          <w:rFonts w:ascii="Avenir Next"/>
          <w:spacing w:val="-2"/>
          <w:sz w:val="16"/>
        </w:rPr>
        <w:t>ACT</w:t>
      </w:r>
      <w:r>
        <w:rPr>
          <w:rFonts w:ascii="Avenir Next"/>
          <w:spacing w:val="-8"/>
          <w:sz w:val="16"/>
        </w:rPr>
        <w:t xml:space="preserve"> </w:t>
      </w:r>
      <w:r>
        <w:rPr>
          <w:rFonts w:ascii="Avenir Next"/>
          <w:spacing w:val="-3"/>
          <w:sz w:val="16"/>
        </w:rPr>
        <w:t>Treasurer,</w:t>
      </w:r>
      <w:r>
        <w:rPr>
          <w:rFonts w:ascii="Avenir Next"/>
          <w:spacing w:val="-5"/>
          <w:sz w:val="16"/>
        </w:rPr>
        <w:t xml:space="preserve"> </w:t>
      </w:r>
      <w:r>
        <w:rPr>
          <w:rFonts w:ascii="Avenir Next"/>
          <w:sz w:val="16"/>
        </w:rPr>
        <w:t>Submission,</w:t>
      </w:r>
      <w:r>
        <w:rPr>
          <w:rFonts w:ascii="Avenir Next"/>
          <w:spacing w:val="-5"/>
          <w:sz w:val="16"/>
        </w:rPr>
        <w:t xml:space="preserve"> </w:t>
      </w:r>
      <w:r>
        <w:rPr>
          <w:rFonts w:ascii="Avenir Next"/>
          <w:sz w:val="16"/>
        </w:rPr>
        <w:t>23</w:t>
      </w:r>
      <w:r>
        <w:rPr>
          <w:rFonts w:ascii="Avenir Next"/>
          <w:spacing w:val="-3"/>
          <w:sz w:val="16"/>
        </w:rPr>
        <w:t xml:space="preserve"> </w:t>
      </w:r>
      <w:r>
        <w:rPr>
          <w:rFonts w:ascii="Avenir Next"/>
          <w:sz w:val="16"/>
        </w:rPr>
        <w:t>April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w:t>
      </w:r>
    </w:p>
    <w:p w:rsidR="00D96B91" w:rsidRDefault="00D96B91">
      <w:pPr>
        <w:rPr>
          <w:rFonts w:ascii="Avenir Next" w:eastAsia="Avenir Next" w:hAnsi="Avenir Next" w:cs="Avenir Next"/>
          <w:sz w:val="16"/>
          <w:szCs w:val="16"/>
        </w:rPr>
        <w:sectPr w:rsidR="00D96B91">
          <w:pgSz w:w="11910" w:h="16840"/>
          <w:pgMar w:top="116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453" w:hanging="283"/>
      </w:pPr>
      <w:r>
        <w:t xml:space="preserve">the </w:t>
      </w:r>
      <w:r>
        <w:rPr>
          <w:spacing w:val="-1"/>
        </w:rPr>
        <w:t>proportion</w:t>
      </w:r>
      <w:r>
        <w:t xml:space="preserve"> of</w:t>
      </w:r>
      <w:r>
        <w:rPr>
          <w:spacing w:val="4"/>
        </w:rPr>
        <w:t xml:space="preserve"> </w:t>
      </w:r>
      <w:r>
        <w:t xml:space="preserve">ECD and M2G costs </w:t>
      </w:r>
      <w:r>
        <w:rPr>
          <w:spacing w:val="-1"/>
        </w:rPr>
        <w:t>that</w:t>
      </w:r>
      <w:r>
        <w:t xml:space="preserve"> can be </w:t>
      </w:r>
      <w:r>
        <w:rPr>
          <w:spacing w:val="-1"/>
        </w:rPr>
        <w:t>attributed</w:t>
      </w:r>
      <w:r>
        <w:t xml:space="preserve"> to customers in this </w:t>
      </w:r>
      <w:r>
        <w:rPr>
          <w:spacing w:val="-1"/>
        </w:rPr>
        <w:t>regulatory</w:t>
      </w:r>
      <w:r>
        <w:t xml:space="preserve"> period</w:t>
      </w:r>
      <w:r>
        <w:rPr>
          <w:spacing w:val="27"/>
        </w:rPr>
        <w:t xml:space="preserve"> </w:t>
      </w:r>
      <w:r>
        <w:t xml:space="preserve">versus customers in </w:t>
      </w:r>
      <w:r>
        <w:rPr>
          <w:spacing w:val="-1"/>
        </w:rPr>
        <w:t>future</w:t>
      </w:r>
      <w:r>
        <w:t xml:space="preserve"> periods,</w:t>
      </w:r>
      <w:r>
        <w:rPr>
          <w:spacing w:val="-6"/>
        </w:rPr>
        <w:t xml:space="preserve"> </w:t>
      </w:r>
      <w:r>
        <w:t xml:space="preserve">which is a </w:t>
      </w:r>
      <w:r>
        <w:rPr>
          <w:spacing w:val="-2"/>
        </w:rPr>
        <w:t>key</w:t>
      </w:r>
      <w:r>
        <w:t xml:space="preserve"> input into the </w:t>
      </w:r>
      <w:r>
        <w:rPr>
          <w:spacing w:val="-1"/>
        </w:rPr>
        <w:t>deferral</w:t>
      </w:r>
      <w:r>
        <w:t xml:space="preserve"> of</w:t>
      </w:r>
      <w:r>
        <w:rPr>
          <w:spacing w:val="4"/>
        </w:rPr>
        <w:t xml:space="preserve"> </w:t>
      </w:r>
      <w:r>
        <w:t>capital cost technique.</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14"/>
      </w:pPr>
      <w:r>
        <w:t>In</w:t>
      </w:r>
      <w:r>
        <w:rPr>
          <w:spacing w:val="-1"/>
        </w:rPr>
        <w:t xml:space="preserve"> </w:t>
      </w:r>
      <w:r>
        <w:t>addition,</w:t>
      </w:r>
      <w:r>
        <w:rPr>
          <w:spacing w:val="-7"/>
        </w:rPr>
        <w:t xml:space="preserve"> </w:t>
      </w:r>
      <w:r>
        <w:t xml:space="preserve">the </w:t>
      </w:r>
      <w:r>
        <w:rPr>
          <w:spacing w:val="-3"/>
        </w:rPr>
        <w:t>Panel</w:t>
      </w:r>
      <w:r>
        <w:rPr>
          <w:spacing w:val="-1"/>
        </w:rPr>
        <w:t xml:space="preserve"> </w:t>
      </w:r>
      <w:r>
        <w:t>would</w:t>
      </w:r>
      <w:r>
        <w:rPr>
          <w:spacing w:val="-1"/>
        </w:rPr>
        <w:t xml:space="preserve"> </w:t>
      </w:r>
      <w:r>
        <w:t>need to</w:t>
      </w:r>
      <w:r>
        <w:rPr>
          <w:spacing w:val="-1"/>
        </w:rPr>
        <w:t xml:space="preserve"> </w:t>
      </w:r>
      <w:r>
        <w:t>be confident</w:t>
      </w:r>
      <w:r>
        <w:rPr>
          <w:spacing w:val="-1"/>
        </w:rPr>
        <w:t xml:space="preserve"> that </w:t>
      </w:r>
      <w:r>
        <w:t>implementing the</w:t>
      </w:r>
      <w:r>
        <w:rPr>
          <w:spacing w:val="-1"/>
        </w:rPr>
        <w:t xml:space="preserve"> </w:t>
      </w:r>
      <w:r>
        <w:t>technique</w:t>
      </w:r>
      <w:r>
        <w:rPr>
          <w:spacing w:val="-1"/>
        </w:rPr>
        <w:t xml:space="preserve"> </w:t>
      </w:r>
      <w:r>
        <w:t>would not</w:t>
      </w:r>
      <w:r>
        <w:rPr>
          <w:spacing w:val="24"/>
        </w:rPr>
        <w:t xml:space="preserve"> </w:t>
      </w:r>
      <w:r>
        <w:t xml:space="preserve">adversely </w:t>
      </w:r>
      <w:r>
        <w:rPr>
          <w:spacing w:val="-1"/>
        </w:rPr>
        <w:t>affect</w:t>
      </w:r>
      <w:r>
        <w:rPr>
          <w:spacing w:val="-4"/>
        </w:rPr>
        <w:t xml:space="preserve"> </w:t>
      </w:r>
      <w:r>
        <w:rPr>
          <w:spacing w:val="-2"/>
        </w:rPr>
        <w:t>ACTEW’s</w:t>
      </w:r>
      <w:r>
        <w:t xml:space="preserve"> financial </w:t>
      </w:r>
      <w:r>
        <w:rPr>
          <w:spacing w:val="-1"/>
        </w:rPr>
        <w:t>viability,</w:t>
      </w:r>
      <w:r>
        <w:rPr>
          <w:spacing w:val="-6"/>
        </w:rPr>
        <w:t xml:space="preserve"> </w:t>
      </w:r>
      <w:r>
        <w:t>in line with section 20(2)(i) of</w:t>
      </w:r>
      <w:r>
        <w:rPr>
          <w:spacing w:val="4"/>
        </w:rPr>
        <w:t xml:space="preserve"> </w:t>
      </w:r>
      <w:r>
        <w:t>the</w:t>
      </w:r>
      <w:r>
        <w:rPr>
          <w:spacing w:val="-4"/>
        </w:rPr>
        <w:t xml:space="preserve"> </w:t>
      </w:r>
      <w:r>
        <w:t>Act,</w:t>
      </w:r>
      <w:r>
        <w:rPr>
          <w:position w:val="7"/>
          <w:sz w:val="11"/>
          <w:szCs w:val="11"/>
        </w:rPr>
        <w:t>91</w:t>
      </w:r>
      <w:r>
        <w:rPr>
          <w:spacing w:val="22"/>
          <w:position w:val="7"/>
          <w:sz w:val="11"/>
          <w:szCs w:val="11"/>
        </w:rPr>
        <w:t xml:space="preserve"> </w:t>
      </w:r>
      <w:r>
        <w:rPr>
          <w:rFonts w:cs="Avenir Next"/>
        </w:rPr>
        <w:t xml:space="preserve">and usual </w:t>
      </w:r>
      <w:r>
        <w:rPr>
          <w:rFonts w:cs="Avenir Next"/>
          <w:spacing w:val="-1"/>
        </w:rPr>
        <w:t>regulatory</w:t>
      </w:r>
      <w:r>
        <w:rPr>
          <w:rFonts w:cs="Avenir Next"/>
          <w:spacing w:val="29"/>
        </w:rPr>
        <w:t xml:space="preserve"> </w:t>
      </w:r>
      <w:r>
        <w:rPr>
          <w:spacing w:val="-1"/>
        </w:rPr>
        <w:t>practice</w:t>
      </w:r>
      <w:r>
        <w:t xml:space="preserve"> (as discussed above).</w:t>
      </w:r>
    </w:p>
    <w:p w:rsidR="00D96B91" w:rsidRDefault="00C2656B">
      <w:pPr>
        <w:pStyle w:val="BodyText"/>
        <w:spacing w:before="170" w:line="260" w:lineRule="exact"/>
        <w:ind w:right="1256"/>
      </w:pPr>
      <w:r>
        <w:rPr>
          <w:spacing w:val="-10"/>
        </w:rPr>
        <w:t>To</w:t>
      </w:r>
      <w:r>
        <w:rPr>
          <w:spacing w:val="-1"/>
        </w:rPr>
        <w:t xml:space="preserve"> </w:t>
      </w:r>
      <w:r>
        <w:t>help it</w:t>
      </w:r>
      <w:r>
        <w:rPr>
          <w:spacing w:val="-1"/>
        </w:rPr>
        <w:t xml:space="preserve"> </w:t>
      </w:r>
      <w:r>
        <w:t xml:space="preserve">consider whether </w:t>
      </w:r>
      <w:r>
        <w:rPr>
          <w:spacing w:val="-1"/>
        </w:rPr>
        <w:t>sufficient information</w:t>
      </w:r>
      <w:r>
        <w:t xml:space="preserve"> was</w:t>
      </w:r>
      <w:r>
        <w:rPr>
          <w:spacing w:val="-1"/>
        </w:rPr>
        <w:t xml:space="preserve"> </w:t>
      </w:r>
      <w:r>
        <w:t>available,</w:t>
      </w:r>
      <w:r>
        <w:rPr>
          <w:spacing w:val="-6"/>
        </w:rPr>
        <w:t xml:space="preserve"> </w:t>
      </w:r>
      <w:r>
        <w:t xml:space="preserve">the </w:t>
      </w:r>
      <w:r>
        <w:rPr>
          <w:spacing w:val="-3"/>
        </w:rPr>
        <w:t>Panel</w:t>
      </w:r>
      <w:r>
        <w:rPr>
          <w:spacing w:val="-1"/>
        </w:rPr>
        <w:t xml:space="preserve"> asked</w:t>
      </w:r>
      <w:r>
        <w:t xml:space="preserve"> </w:t>
      </w:r>
      <w:r>
        <w:rPr>
          <w:spacing w:val="-2"/>
        </w:rPr>
        <w:t>Cardno</w:t>
      </w:r>
      <w:r>
        <w:rPr>
          <w:spacing w:val="-1"/>
        </w:rPr>
        <w:t xml:space="preserve"> </w:t>
      </w:r>
      <w:r>
        <w:t xml:space="preserve">to </w:t>
      </w:r>
      <w:r>
        <w:rPr>
          <w:spacing w:val="-1"/>
        </w:rPr>
        <w:t>investigate</w:t>
      </w:r>
      <w:r>
        <w:rPr>
          <w:spacing w:val="65"/>
        </w:rPr>
        <w:t xml:space="preserve"> </w:t>
      </w:r>
      <w:r>
        <w:t>the</w:t>
      </w:r>
      <w:r>
        <w:rPr>
          <w:spacing w:val="-1"/>
        </w:rPr>
        <w:t xml:space="preserve"> </w:t>
      </w:r>
      <w:r>
        <w:t>options</w:t>
      </w:r>
      <w:r>
        <w:rPr>
          <w:spacing w:val="-1"/>
        </w:rPr>
        <w:t xml:space="preserve"> </w:t>
      </w:r>
      <w:r>
        <w:t xml:space="preserve">for </w:t>
      </w:r>
      <w:r>
        <w:rPr>
          <w:spacing w:val="-1"/>
        </w:rPr>
        <w:t xml:space="preserve">estimating </w:t>
      </w:r>
      <w:r>
        <w:t>either</w:t>
      </w:r>
      <w:r>
        <w:rPr>
          <w:spacing w:val="-1"/>
        </w:rPr>
        <w:t xml:space="preserve"> </w:t>
      </w:r>
      <w:r>
        <w:t>a benefits</w:t>
      </w:r>
      <w:r>
        <w:rPr>
          <w:spacing w:val="-1"/>
        </w:rPr>
        <w:t xml:space="preserve"> profile</w:t>
      </w:r>
      <w:r>
        <w:t xml:space="preserve"> or</w:t>
      </w:r>
      <w:r>
        <w:rPr>
          <w:spacing w:val="-1"/>
        </w:rPr>
        <w:t xml:space="preserve"> </w:t>
      </w:r>
      <w:r>
        <w:t>the</w:t>
      </w:r>
      <w:r>
        <w:rPr>
          <w:spacing w:val="-1"/>
        </w:rPr>
        <w:t xml:space="preserve"> proportion</w:t>
      </w:r>
      <w:r>
        <w:t xml:space="preserve"> of</w:t>
      </w:r>
      <w:r>
        <w:rPr>
          <w:spacing w:val="3"/>
        </w:rPr>
        <w:t xml:space="preserve"> </w:t>
      </w:r>
      <w:r>
        <w:t>ECD</w:t>
      </w:r>
      <w:r>
        <w:rPr>
          <w:spacing w:val="-1"/>
        </w:rPr>
        <w:t xml:space="preserve"> </w:t>
      </w:r>
      <w:r>
        <w:t>and M2G</w:t>
      </w:r>
      <w:r>
        <w:rPr>
          <w:spacing w:val="-1"/>
        </w:rPr>
        <w:t xml:space="preserve"> </w:t>
      </w:r>
      <w:r>
        <w:t>costs</w:t>
      </w:r>
      <w:r>
        <w:rPr>
          <w:spacing w:val="-1"/>
        </w:rPr>
        <w:t xml:space="preserve"> that</w:t>
      </w:r>
      <w:r>
        <w:t xml:space="preserve"> can</w:t>
      </w:r>
      <w:r>
        <w:rPr>
          <w:spacing w:val="-1"/>
        </w:rPr>
        <w:t xml:space="preserve"> </w:t>
      </w:r>
      <w:r>
        <w:t>be</w:t>
      </w:r>
      <w:r>
        <w:rPr>
          <w:spacing w:val="33"/>
        </w:rPr>
        <w:t xml:space="preserve"> </w:t>
      </w:r>
      <w:r>
        <w:rPr>
          <w:spacing w:val="-1"/>
        </w:rPr>
        <w:t>attributed</w:t>
      </w:r>
      <w:r>
        <w:t xml:space="preserve"> to customers in this </w:t>
      </w:r>
      <w:r>
        <w:rPr>
          <w:spacing w:val="-1"/>
        </w:rPr>
        <w:t>regulatory</w:t>
      </w:r>
      <w:r>
        <w:t xml:space="preserve"> period.</w:t>
      </w:r>
      <w:r>
        <w:rPr>
          <w:spacing w:val="-6"/>
        </w:rPr>
        <w:t xml:space="preserve"> </w:t>
      </w:r>
      <w:r>
        <w:t xml:space="preserve">It then </w:t>
      </w:r>
      <w:r>
        <w:rPr>
          <w:spacing w:val="-1"/>
        </w:rPr>
        <w:t>considered</w:t>
      </w:r>
      <w:r>
        <w:t xml:space="preserve"> the </w:t>
      </w:r>
      <w:r>
        <w:rPr>
          <w:spacing w:val="-1"/>
        </w:rPr>
        <w:t>results</w:t>
      </w:r>
      <w:r>
        <w:t xml:space="preserve"> of</w:t>
      </w:r>
      <w:r>
        <w:rPr>
          <w:spacing w:val="4"/>
        </w:rPr>
        <w:t xml:space="preserve"> </w:t>
      </w:r>
      <w:r>
        <w:rPr>
          <w:spacing w:val="-3"/>
        </w:rPr>
        <w:t>Cardno’s</w:t>
      </w:r>
      <w:r>
        <w:t xml:space="preserve"> analysis,</w:t>
      </w:r>
      <w:r>
        <w:rPr>
          <w:spacing w:val="-6"/>
        </w:rPr>
        <w:t xml:space="preserve"> </w:t>
      </w:r>
      <w:r>
        <w:t>and</w:t>
      </w:r>
      <w:r>
        <w:rPr>
          <w:spacing w:val="49"/>
        </w:rPr>
        <w:t xml:space="preserve"> </w:t>
      </w:r>
      <w:r>
        <w:t>assessed</w:t>
      </w:r>
      <w:r>
        <w:rPr>
          <w:spacing w:val="-1"/>
        </w:rPr>
        <w:t xml:space="preserve"> </w:t>
      </w:r>
      <w:r>
        <w:t>the</w:t>
      </w:r>
      <w:r>
        <w:rPr>
          <w:spacing w:val="-1"/>
        </w:rPr>
        <w:t xml:space="preserve"> likely</w:t>
      </w:r>
      <w:r>
        <w:t xml:space="preserve"> </w:t>
      </w:r>
      <w:r>
        <w:rPr>
          <w:spacing w:val="-1"/>
        </w:rPr>
        <w:t xml:space="preserve">effect </w:t>
      </w:r>
      <w:r>
        <w:t>of</w:t>
      </w:r>
      <w:r>
        <w:rPr>
          <w:spacing w:val="3"/>
        </w:rPr>
        <w:t xml:space="preserve"> </w:t>
      </w:r>
      <w:r>
        <w:t xml:space="preserve">implementing </w:t>
      </w:r>
      <w:r>
        <w:rPr>
          <w:spacing w:val="-3"/>
        </w:rPr>
        <w:t>Cardno’s</w:t>
      </w:r>
      <w:r>
        <w:rPr>
          <w:spacing w:val="-1"/>
        </w:rPr>
        <w:t xml:space="preserve"> proposed approach</w:t>
      </w:r>
      <w:r>
        <w:t xml:space="preserve"> on</w:t>
      </w:r>
      <w:r>
        <w:rPr>
          <w:spacing w:val="-5"/>
        </w:rPr>
        <w:t xml:space="preserve"> </w:t>
      </w:r>
      <w:r>
        <w:rPr>
          <w:spacing w:val="-2"/>
        </w:rPr>
        <w:t>ACTEW’s</w:t>
      </w:r>
      <w:r>
        <w:t xml:space="preserve"> financial</w:t>
      </w:r>
      <w:r>
        <w:rPr>
          <w:spacing w:val="-1"/>
        </w:rPr>
        <w:t xml:space="preserve"> viability.</w:t>
      </w:r>
    </w:p>
    <w:p w:rsidR="00D96B91" w:rsidRDefault="00D96B91">
      <w:pPr>
        <w:spacing w:before="6"/>
        <w:rPr>
          <w:rFonts w:ascii="Avenir Next" w:eastAsia="Avenir Next" w:hAnsi="Avenir Next" w:cs="Avenir Next"/>
          <w:sz w:val="20"/>
          <w:szCs w:val="20"/>
        </w:rPr>
      </w:pPr>
    </w:p>
    <w:p w:rsidR="00D96B91" w:rsidRDefault="00C2656B">
      <w:pPr>
        <w:pStyle w:val="Heading6"/>
        <w:tabs>
          <w:tab w:val="left" w:pos="2097"/>
        </w:tabs>
        <w:ind w:left="1247" w:firstLine="0"/>
      </w:pPr>
      <w:r>
        <w:rPr>
          <w:rFonts w:cs="Avenir Next Medium"/>
          <w:color w:val="0778BE"/>
        </w:rPr>
        <w:t>8.5.1</w:t>
      </w:r>
      <w:r>
        <w:rPr>
          <w:rFonts w:cs="Avenir Next Medium"/>
          <w:color w:val="0778BE"/>
        </w:rPr>
        <w:tab/>
      </w:r>
      <w:r>
        <w:rPr>
          <w:color w:val="0778BE"/>
          <w:spacing w:val="-3"/>
        </w:rPr>
        <w:t>Cardno’s</w:t>
      </w:r>
      <w:r>
        <w:rPr>
          <w:color w:val="0778BE"/>
        </w:rPr>
        <w:t xml:space="preserve"> analysis</w:t>
      </w:r>
    </w:p>
    <w:p w:rsidR="00D96B91" w:rsidRDefault="00C2656B">
      <w:pPr>
        <w:pStyle w:val="BodyText"/>
        <w:spacing w:before="29"/>
        <w:rPr>
          <w:rFonts w:cs="Avenir Next"/>
        </w:rPr>
      </w:pPr>
      <w:r>
        <w:rPr>
          <w:spacing w:val="-2"/>
        </w:rPr>
        <w:t>Cardno</w:t>
      </w:r>
      <w:r>
        <w:t xml:space="preserve"> </w:t>
      </w:r>
      <w:r>
        <w:rPr>
          <w:spacing w:val="-1"/>
        </w:rPr>
        <w:t>investigated</w:t>
      </w:r>
      <w:r>
        <w:t xml:space="preserve"> a number of</w:t>
      </w:r>
      <w:r>
        <w:rPr>
          <w:spacing w:val="4"/>
        </w:rPr>
        <w:t xml:space="preserve"> </w:t>
      </w:r>
      <w:r>
        <w:rPr>
          <w:spacing w:val="-1"/>
        </w:rPr>
        <w:t>different</w:t>
      </w:r>
      <w:r>
        <w:t xml:space="preserve"> </w:t>
      </w:r>
      <w:r>
        <w:rPr>
          <w:spacing w:val="-1"/>
        </w:rPr>
        <w:t>estimation</w:t>
      </w:r>
      <w:r>
        <w:t xml:space="preserve"> options for the </w:t>
      </w:r>
      <w:r>
        <w:rPr>
          <w:spacing w:val="-3"/>
        </w:rPr>
        <w:t>Panel,</w:t>
      </w:r>
      <w:r>
        <w:rPr>
          <w:spacing w:val="-7"/>
        </w:rPr>
        <w:t xml:space="preserve"> </w:t>
      </w:r>
      <w:r>
        <w:t>including:</w:t>
      </w:r>
    </w:p>
    <w:p w:rsidR="00D96B91" w:rsidRDefault="00C2656B">
      <w:pPr>
        <w:pStyle w:val="BodyText"/>
        <w:numPr>
          <w:ilvl w:val="0"/>
          <w:numId w:val="131"/>
        </w:numPr>
        <w:tabs>
          <w:tab w:val="left" w:pos="1531"/>
        </w:tabs>
        <w:spacing w:before="157"/>
        <w:ind w:hanging="283"/>
      </w:pPr>
      <w:r>
        <w:t>using</w:t>
      </w:r>
      <w:r>
        <w:rPr>
          <w:spacing w:val="-2"/>
        </w:rPr>
        <w:t xml:space="preserve"> </w:t>
      </w:r>
      <w:r>
        <w:t>the</w:t>
      </w:r>
      <w:r>
        <w:rPr>
          <w:spacing w:val="-1"/>
        </w:rPr>
        <w:t xml:space="preserve"> </w:t>
      </w:r>
      <w:r>
        <w:t>benefits</w:t>
      </w:r>
      <w:r>
        <w:rPr>
          <w:spacing w:val="-2"/>
        </w:rPr>
        <w:t xml:space="preserve"> </w:t>
      </w:r>
      <w:r>
        <w:rPr>
          <w:spacing w:val="-1"/>
        </w:rPr>
        <w:t xml:space="preserve">profile </w:t>
      </w:r>
      <w:r>
        <w:t>developed</w:t>
      </w:r>
      <w:r>
        <w:rPr>
          <w:spacing w:val="-2"/>
        </w:rPr>
        <w:t xml:space="preserve"> </w:t>
      </w:r>
      <w:r>
        <w:t>by</w:t>
      </w:r>
      <w:r>
        <w:rPr>
          <w:spacing w:val="-5"/>
        </w:rPr>
        <w:t xml:space="preserve"> </w:t>
      </w:r>
      <w:r>
        <w:rPr>
          <w:spacing w:val="-2"/>
        </w:rPr>
        <w:t>ACTEW</w:t>
      </w:r>
      <w:r>
        <w:rPr>
          <w:spacing w:val="-4"/>
        </w:rPr>
        <w:t xml:space="preserve"> </w:t>
      </w:r>
      <w:r>
        <w:t>and</w:t>
      </w:r>
      <w:r>
        <w:rPr>
          <w:spacing w:val="-2"/>
        </w:rPr>
        <w:t xml:space="preserve"> </w:t>
      </w:r>
      <w:r>
        <w:t>CIE</w:t>
      </w:r>
    </w:p>
    <w:p w:rsidR="00D96B91" w:rsidRDefault="00C2656B">
      <w:pPr>
        <w:pStyle w:val="BodyText"/>
        <w:numPr>
          <w:ilvl w:val="0"/>
          <w:numId w:val="131"/>
        </w:numPr>
        <w:tabs>
          <w:tab w:val="left" w:pos="1531"/>
        </w:tabs>
        <w:spacing w:before="64" w:line="260" w:lineRule="exact"/>
        <w:ind w:right="1485" w:hanging="283"/>
        <w:rPr>
          <w:rFonts w:cs="Avenir Next"/>
        </w:rPr>
      </w:pPr>
      <w:r>
        <w:rPr>
          <w:spacing w:val="-1"/>
        </w:rPr>
        <w:t>estimating</w:t>
      </w:r>
      <w:r>
        <w:t xml:space="preserve"> the size (or the cost) of</w:t>
      </w:r>
      <w:r>
        <w:rPr>
          <w:spacing w:val="4"/>
        </w:rPr>
        <w:t xml:space="preserve"> </w:t>
      </w:r>
      <w:r>
        <w:t xml:space="preserve">the capacity </w:t>
      </w:r>
      <w:r>
        <w:rPr>
          <w:spacing w:val="-1"/>
        </w:rPr>
        <w:t>expansion</w:t>
      </w:r>
      <w:r>
        <w:t xml:space="preserve"> </w:t>
      </w:r>
      <w:r>
        <w:rPr>
          <w:spacing w:val="-1"/>
        </w:rPr>
        <w:t>that</w:t>
      </w:r>
      <w:r>
        <w:t xml:space="preserve"> would have been </w:t>
      </w:r>
      <w:r>
        <w:rPr>
          <w:spacing w:val="-1"/>
        </w:rPr>
        <w:t>required</w:t>
      </w:r>
      <w:r>
        <w:t xml:space="preserve"> to </w:t>
      </w:r>
      <w:r>
        <w:rPr>
          <w:spacing w:val="-1"/>
        </w:rPr>
        <w:t>satisfy</w:t>
      </w:r>
      <w:r>
        <w:rPr>
          <w:spacing w:val="45"/>
        </w:rPr>
        <w:t xml:space="preserve"> </w:t>
      </w:r>
      <w:r>
        <w:t xml:space="preserve">the </w:t>
      </w:r>
      <w:r>
        <w:rPr>
          <w:spacing w:val="-1"/>
        </w:rPr>
        <w:t>mandated</w:t>
      </w:r>
      <w:r>
        <w:t xml:space="preserve"> </w:t>
      </w:r>
      <w:r>
        <w:rPr>
          <w:spacing w:val="-1"/>
        </w:rPr>
        <w:t>water</w:t>
      </w:r>
      <w:r>
        <w:t xml:space="preserve"> security level in this </w:t>
      </w:r>
      <w:r>
        <w:rPr>
          <w:spacing w:val="-1"/>
        </w:rPr>
        <w:t>regulatory</w:t>
      </w:r>
      <w:r>
        <w:t xml:space="preserve"> period,</w:t>
      </w:r>
      <w:r>
        <w:rPr>
          <w:spacing w:val="-6"/>
        </w:rPr>
        <w:t xml:space="preserve"> </w:t>
      </w:r>
      <w:r>
        <w:t>and</w:t>
      </w:r>
    </w:p>
    <w:p w:rsidR="00D96B91" w:rsidRDefault="00C2656B">
      <w:pPr>
        <w:pStyle w:val="BodyText"/>
        <w:numPr>
          <w:ilvl w:val="0"/>
          <w:numId w:val="131"/>
        </w:numPr>
        <w:tabs>
          <w:tab w:val="left" w:pos="1531"/>
        </w:tabs>
        <w:spacing w:before="85" w:line="260" w:lineRule="exact"/>
        <w:ind w:right="1356" w:hanging="283"/>
        <w:rPr>
          <w:sz w:val="11"/>
          <w:szCs w:val="11"/>
        </w:rPr>
      </w:pPr>
      <w:r>
        <w:rPr>
          <w:spacing w:val="-1"/>
        </w:rPr>
        <w:t>estimating</w:t>
      </w:r>
      <w:r>
        <w:t xml:space="preserve"> the cost of</w:t>
      </w:r>
      <w:r>
        <w:rPr>
          <w:spacing w:val="4"/>
        </w:rPr>
        <w:t xml:space="preserve"> </w:t>
      </w:r>
      <w:r>
        <w:rPr>
          <w:spacing w:val="-1"/>
        </w:rPr>
        <w:t>satisfying</w:t>
      </w:r>
      <w:r>
        <w:t xml:space="preserve"> the </w:t>
      </w:r>
      <w:r>
        <w:rPr>
          <w:spacing w:val="-1"/>
        </w:rPr>
        <w:t>mandated</w:t>
      </w:r>
      <w:r>
        <w:t xml:space="preserve"> </w:t>
      </w:r>
      <w:r>
        <w:rPr>
          <w:spacing w:val="-1"/>
        </w:rPr>
        <w:t>water</w:t>
      </w:r>
      <w:r>
        <w:t xml:space="preserve"> security level in this </w:t>
      </w:r>
      <w:r>
        <w:rPr>
          <w:spacing w:val="-1"/>
        </w:rPr>
        <w:t>regulatory</w:t>
      </w:r>
      <w:r>
        <w:t xml:space="preserve"> period using an</w:t>
      </w:r>
      <w:r>
        <w:rPr>
          <w:spacing w:val="59"/>
        </w:rPr>
        <w:t xml:space="preserve"> </w:t>
      </w:r>
      <w:r>
        <w:rPr>
          <w:spacing w:val="-1"/>
        </w:rPr>
        <w:t>alternative</w:t>
      </w:r>
      <w:r>
        <w:rPr>
          <w:spacing w:val="1"/>
        </w:rPr>
        <w:t xml:space="preserve"> </w:t>
      </w:r>
      <w:r>
        <w:rPr>
          <w:spacing w:val="-1"/>
        </w:rPr>
        <w:t>short-term</w:t>
      </w:r>
      <w:r>
        <w:rPr>
          <w:spacing w:val="2"/>
        </w:rPr>
        <w:t xml:space="preserve"> </w:t>
      </w:r>
      <w:r>
        <w:rPr>
          <w:spacing w:val="-1"/>
        </w:rPr>
        <w:t>water</w:t>
      </w:r>
      <w:r>
        <w:rPr>
          <w:spacing w:val="1"/>
        </w:rPr>
        <w:t xml:space="preserve"> </w:t>
      </w:r>
      <w:r>
        <w:t>security</w:t>
      </w:r>
      <w:r>
        <w:rPr>
          <w:spacing w:val="2"/>
        </w:rPr>
        <w:t xml:space="preserve"> </w:t>
      </w:r>
      <w:r>
        <w:t>option.</w:t>
      </w:r>
      <w:r>
        <w:rPr>
          <w:position w:val="7"/>
          <w:sz w:val="11"/>
        </w:rPr>
        <w:t>92</w:t>
      </w:r>
    </w:p>
    <w:p w:rsidR="00D96B91" w:rsidRDefault="00C2656B">
      <w:pPr>
        <w:pStyle w:val="BodyText"/>
        <w:spacing w:before="85" w:line="260" w:lineRule="exact"/>
        <w:ind w:right="1270"/>
      </w:pPr>
      <w:r>
        <w:rPr>
          <w:spacing w:val="-2"/>
        </w:rPr>
        <w:t>Cardno</w:t>
      </w:r>
      <w:r>
        <w:rPr>
          <w:spacing w:val="-1"/>
        </w:rPr>
        <w:t xml:space="preserve"> </w:t>
      </w:r>
      <w:r>
        <w:t xml:space="preserve">found </w:t>
      </w:r>
      <w:r>
        <w:rPr>
          <w:spacing w:val="-1"/>
        </w:rPr>
        <w:t>that</w:t>
      </w:r>
      <w:r>
        <w:t xml:space="preserve"> the first</w:t>
      </w:r>
      <w:r>
        <w:rPr>
          <w:spacing w:val="-1"/>
        </w:rPr>
        <w:t xml:space="preserve"> </w:t>
      </w:r>
      <w:r>
        <w:t xml:space="preserve">two options </w:t>
      </w:r>
      <w:r>
        <w:rPr>
          <w:spacing w:val="-1"/>
        </w:rPr>
        <w:t>were</w:t>
      </w:r>
      <w:r>
        <w:t xml:space="preserve"> not </w:t>
      </w:r>
      <w:r>
        <w:rPr>
          <w:spacing w:val="-1"/>
        </w:rPr>
        <w:t>feasible,</w:t>
      </w:r>
      <w:r>
        <w:rPr>
          <w:spacing w:val="-7"/>
        </w:rPr>
        <w:t xml:space="preserve"> </w:t>
      </w:r>
      <w:r>
        <w:t>as it was concerned about</w:t>
      </w:r>
      <w:r>
        <w:rPr>
          <w:spacing w:val="-1"/>
        </w:rPr>
        <w:t xml:space="preserve"> </w:t>
      </w:r>
      <w:r>
        <w:t>the assumptions</w:t>
      </w:r>
      <w:r>
        <w:rPr>
          <w:spacing w:val="27"/>
        </w:rPr>
        <w:t xml:space="preserve"> </w:t>
      </w:r>
      <w:r>
        <w:t>underlying the</w:t>
      </w:r>
      <w:r>
        <w:rPr>
          <w:spacing w:val="-3"/>
        </w:rPr>
        <w:t xml:space="preserve"> </w:t>
      </w:r>
      <w:r>
        <w:rPr>
          <w:spacing w:val="-1"/>
        </w:rPr>
        <w:t>ACTEW/CIE</w:t>
      </w:r>
      <w:r>
        <w:t xml:space="preserve"> </w:t>
      </w:r>
      <w:r>
        <w:rPr>
          <w:spacing w:val="-1"/>
        </w:rPr>
        <w:t>analysis</w:t>
      </w:r>
      <w:r>
        <w:rPr>
          <w:spacing w:val="-1"/>
          <w:position w:val="7"/>
          <w:sz w:val="11"/>
        </w:rPr>
        <w:t>93</w:t>
      </w:r>
      <w:r>
        <w:rPr>
          <w:spacing w:val="23"/>
          <w:position w:val="7"/>
          <w:sz w:val="11"/>
        </w:rPr>
        <w:t xml:space="preserve"> </w:t>
      </w:r>
      <w:r>
        <w:t>and</w:t>
      </w:r>
      <w:r>
        <w:rPr>
          <w:spacing w:val="1"/>
        </w:rPr>
        <w:t xml:space="preserve"> </w:t>
      </w:r>
      <w:r>
        <w:t>was unable</w:t>
      </w:r>
      <w:r>
        <w:rPr>
          <w:spacing w:val="1"/>
        </w:rPr>
        <w:t xml:space="preserve"> </w:t>
      </w:r>
      <w:r>
        <w:t>to access</w:t>
      </w:r>
      <w:r>
        <w:rPr>
          <w:spacing w:val="1"/>
        </w:rPr>
        <w:t xml:space="preserve"> </w:t>
      </w:r>
      <w:r>
        <w:t>the detailed</w:t>
      </w:r>
      <w:r>
        <w:rPr>
          <w:spacing w:val="1"/>
        </w:rPr>
        <w:t xml:space="preserve"> </w:t>
      </w:r>
      <w:r>
        <w:rPr>
          <w:spacing w:val="-1"/>
        </w:rPr>
        <w:t>hydrological</w:t>
      </w:r>
      <w:r>
        <w:t xml:space="preserve"> modelling</w:t>
      </w:r>
      <w:r>
        <w:rPr>
          <w:spacing w:val="41"/>
        </w:rPr>
        <w:t xml:space="preserve"> </w:t>
      </w:r>
      <w:r>
        <w:rPr>
          <w:spacing w:val="-1"/>
        </w:rPr>
        <w:t>required</w:t>
      </w:r>
      <w:r>
        <w:t xml:space="preserve"> to </w:t>
      </w:r>
      <w:r>
        <w:rPr>
          <w:spacing w:val="-1"/>
        </w:rPr>
        <w:t>estimate</w:t>
      </w:r>
      <w:r>
        <w:t xml:space="preserve"> the size of</w:t>
      </w:r>
      <w:r>
        <w:rPr>
          <w:spacing w:val="4"/>
        </w:rPr>
        <w:t xml:space="preserve"> </w:t>
      </w:r>
      <w:r>
        <w:t xml:space="preserve">the capacity </w:t>
      </w:r>
      <w:r>
        <w:rPr>
          <w:spacing w:val="-1"/>
        </w:rPr>
        <w:t>expansion</w:t>
      </w:r>
      <w:r>
        <w:t xml:space="preserve"> </w:t>
      </w:r>
      <w:r>
        <w:rPr>
          <w:spacing w:val="-1"/>
        </w:rPr>
        <w:t>that</w:t>
      </w:r>
      <w:r>
        <w:t xml:space="preserve"> would have been </w:t>
      </w:r>
      <w:r>
        <w:rPr>
          <w:spacing w:val="-1"/>
        </w:rPr>
        <w:t>required</w:t>
      </w:r>
      <w:r>
        <w:t xml:space="preserve"> in this </w:t>
      </w:r>
      <w:r>
        <w:rPr>
          <w:spacing w:val="-1"/>
        </w:rPr>
        <w:t>regulatory</w:t>
      </w:r>
      <w:r>
        <w:rPr>
          <w:spacing w:val="39"/>
        </w:rPr>
        <w:t xml:space="preserve"> </w:t>
      </w:r>
      <w:r>
        <w:t>period.</w:t>
      </w:r>
    </w:p>
    <w:p w:rsidR="00D96B91" w:rsidRDefault="00C2656B">
      <w:pPr>
        <w:pStyle w:val="BodyText"/>
        <w:spacing w:before="170" w:line="260" w:lineRule="exact"/>
        <w:ind w:right="1288"/>
      </w:pPr>
      <w:r>
        <w:rPr>
          <w:spacing w:val="-2"/>
        </w:rPr>
        <w:t>Therefore,</w:t>
      </w:r>
      <w:r>
        <w:rPr>
          <w:spacing w:val="-6"/>
        </w:rPr>
        <w:t xml:space="preserve"> </w:t>
      </w:r>
      <w:r>
        <w:rPr>
          <w:spacing w:val="-2"/>
        </w:rPr>
        <w:t>Cardno</w:t>
      </w:r>
      <w:r>
        <w:t xml:space="preserve"> focused primarily on the </w:t>
      </w:r>
      <w:r>
        <w:rPr>
          <w:spacing w:val="-1"/>
        </w:rPr>
        <w:t>third</w:t>
      </w:r>
      <w:r>
        <w:t xml:space="preserve"> option,</w:t>
      </w:r>
      <w:r>
        <w:rPr>
          <w:spacing w:val="-6"/>
        </w:rPr>
        <w:t xml:space="preserve"> </w:t>
      </w:r>
      <w:r>
        <w:t xml:space="preserve">which involves </w:t>
      </w:r>
      <w:r>
        <w:rPr>
          <w:spacing w:val="-1"/>
        </w:rPr>
        <w:t>estimating</w:t>
      </w:r>
      <w:r>
        <w:t xml:space="preserve"> the </w:t>
      </w:r>
      <w:r>
        <w:rPr>
          <w:spacing w:val="-1"/>
        </w:rPr>
        <w:t>least-cost</w:t>
      </w:r>
      <w:r>
        <w:rPr>
          <w:spacing w:val="59"/>
        </w:rPr>
        <w:t xml:space="preserve"> </w:t>
      </w:r>
      <w:r>
        <w:t>method of</w:t>
      </w:r>
      <w:r>
        <w:rPr>
          <w:spacing w:val="4"/>
        </w:rPr>
        <w:t xml:space="preserve"> </w:t>
      </w:r>
      <w:r>
        <w:t xml:space="preserve">achieving the </w:t>
      </w:r>
      <w:r>
        <w:rPr>
          <w:spacing w:val="-1"/>
        </w:rPr>
        <w:t>mandated</w:t>
      </w:r>
      <w:r>
        <w:t xml:space="preserve"> security </w:t>
      </w:r>
      <w:r>
        <w:rPr>
          <w:spacing w:val="-1"/>
        </w:rPr>
        <w:t>standard</w:t>
      </w:r>
      <w:r>
        <w:t xml:space="preserve"> in this </w:t>
      </w:r>
      <w:r>
        <w:rPr>
          <w:spacing w:val="-1"/>
        </w:rPr>
        <w:t>regulatory</w:t>
      </w:r>
      <w:r>
        <w:t xml:space="preserve"> period using an </w:t>
      </w:r>
      <w:r>
        <w:rPr>
          <w:spacing w:val="-1"/>
        </w:rPr>
        <w:t>alternative</w:t>
      </w:r>
      <w:r>
        <w:rPr>
          <w:spacing w:val="45"/>
        </w:rPr>
        <w:t xml:space="preserve"> </w:t>
      </w:r>
      <w:r>
        <w:rPr>
          <w:spacing w:val="-1"/>
        </w:rPr>
        <w:t>source</w:t>
      </w:r>
      <w:r>
        <w:t xml:space="preserve"> of</w:t>
      </w:r>
      <w:r>
        <w:rPr>
          <w:spacing w:val="4"/>
        </w:rPr>
        <w:t xml:space="preserve"> </w:t>
      </w:r>
      <w:r>
        <w:rPr>
          <w:spacing w:val="-1"/>
        </w:rPr>
        <w:t>short-term</w:t>
      </w:r>
      <w:r>
        <w:rPr>
          <w:spacing w:val="1"/>
        </w:rPr>
        <w:t xml:space="preserve"> </w:t>
      </w:r>
      <w:r>
        <w:rPr>
          <w:spacing w:val="-1"/>
        </w:rPr>
        <w:t>water</w:t>
      </w:r>
      <w:r>
        <w:t xml:space="preserve"> </w:t>
      </w:r>
      <w:r>
        <w:rPr>
          <w:spacing w:val="-1"/>
        </w:rPr>
        <w:t>security.</w:t>
      </w:r>
      <w:r>
        <w:rPr>
          <w:spacing w:val="-1"/>
          <w:position w:val="7"/>
          <w:sz w:val="11"/>
        </w:rPr>
        <w:t>94</w:t>
      </w:r>
      <w:r>
        <w:rPr>
          <w:spacing w:val="18"/>
          <w:position w:val="7"/>
          <w:sz w:val="11"/>
        </w:rPr>
        <w:t xml:space="preserve"> </w:t>
      </w:r>
      <w:r>
        <w:rPr>
          <w:spacing w:val="-2"/>
        </w:rPr>
        <w:t>The</w:t>
      </w:r>
      <w:r>
        <w:t xml:space="preserve"> </w:t>
      </w:r>
      <w:r>
        <w:rPr>
          <w:spacing w:val="-1"/>
        </w:rPr>
        <w:t>rationale</w:t>
      </w:r>
      <w:r>
        <w:rPr>
          <w:spacing w:val="1"/>
        </w:rPr>
        <w:t xml:space="preserve"> </w:t>
      </w:r>
      <w:r>
        <w:t>underlying this</w:t>
      </w:r>
      <w:r>
        <w:rPr>
          <w:spacing w:val="1"/>
        </w:rPr>
        <w:t xml:space="preserve"> </w:t>
      </w:r>
      <w:r>
        <w:rPr>
          <w:spacing w:val="-1"/>
        </w:rPr>
        <w:t>approach</w:t>
      </w:r>
      <w:r>
        <w:t xml:space="preserve"> is </w:t>
      </w:r>
      <w:r>
        <w:rPr>
          <w:spacing w:val="-1"/>
        </w:rPr>
        <w:t>that</w:t>
      </w:r>
      <w:r>
        <w:rPr>
          <w:spacing w:val="1"/>
        </w:rPr>
        <w:t xml:space="preserve"> </w:t>
      </w:r>
      <w:r>
        <w:t>if</w:t>
      </w:r>
      <w:r>
        <w:rPr>
          <w:spacing w:val="4"/>
        </w:rPr>
        <w:t xml:space="preserve"> </w:t>
      </w:r>
      <w:r>
        <w:t>the</w:t>
      </w:r>
      <w:r>
        <w:rPr>
          <w:spacing w:val="1"/>
        </w:rPr>
        <w:t xml:space="preserve"> </w:t>
      </w:r>
      <w:r>
        <w:t>ECD and M2G</w:t>
      </w:r>
      <w:r>
        <w:rPr>
          <w:spacing w:val="55"/>
        </w:rPr>
        <w:t xml:space="preserve"> </w:t>
      </w:r>
      <w:r>
        <w:t xml:space="preserve">cost </w:t>
      </w:r>
      <w:r>
        <w:rPr>
          <w:spacing w:val="-1"/>
        </w:rPr>
        <w:t>more</w:t>
      </w:r>
      <w:r>
        <w:t xml:space="preserve"> in the period than the </w:t>
      </w:r>
      <w:r>
        <w:rPr>
          <w:spacing w:val="-1"/>
        </w:rPr>
        <w:t>least-cost</w:t>
      </w:r>
      <w:r>
        <w:t xml:space="preserve"> option,</w:t>
      </w:r>
      <w:r>
        <w:rPr>
          <w:spacing w:val="-6"/>
        </w:rPr>
        <w:t xml:space="preserve"> </w:t>
      </w:r>
      <w:r>
        <w:t xml:space="preserve">then the additional costs should be </w:t>
      </w:r>
      <w:r>
        <w:rPr>
          <w:spacing w:val="-1"/>
        </w:rPr>
        <w:t>recovered</w:t>
      </w:r>
      <w:r>
        <w:t xml:space="preserve"> </w:t>
      </w:r>
      <w:r>
        <w:rPr>
          <w:spacing w:val="-1"/>
        </w:rPr>
        <w:t>from</w:t>
      </w:r>
      <w:r>
        <w:rPr>
          <w:spacing w:val="30"/>
        </w:rPr>
        <w:t xml:space="preserve"> </w:t>
      </w:r>
      <w:r>
        <w:rPr>
          <w:spacing w:val="-1"/>
        </w:rPr>
        <w:t>future</w:t>
      </w:r>
      <w:r>
        <w:t xml:space="preserve"> customers by deferring the </w:t>
      </w:r>
      <w:r>
        <w:rPr>
          <w:spacing w:val="-1"/>
        </w:rPr>
        <w:t>recovery</w:t>
      </w:r>
      <w:r>
        <w:t xml:space="preserve"> of</w:t>
      </w:r>
      <w:r>
        <w:rPr>
          <w:spacing w:val="4"/>
        </w:rPr>
        <w:t xml:space="preserve"> </w:t>
      </w:r>
      <w:r>
        <w:t xml:space="preserve">these costs to a </w:t>
      </w:r>
      <w:r>
        <w:rPr>
          <w:spacing w:val="-1"/>
        </w:rPr>
        <w:t>future</w:t>
      </w:r>
      <w:r>
        <w:t xml:space="preserve"> </w:t>
      </w:r>
      <w:r>
        <w:rPr>
          <w:spacing w:val="-1"/>
        </w:rPr>
        <w:t>regulatory</w:t>
      </w:r>
      <w:r>
        <w:t xml:space="preserve"> period.</w:t>
      </w:r>
    </w:p>
    <w:p w:rsidR="00D96B91" w:rsidRDefault="00C2656B">
      <w:pPr>
        <w:pStyle w:val="BodyText"/>
        <w:spacing w:before="170" w:line="260" w:lineRule="exact"/>
        <w:ind w:right="1248"/>
        <w:rPr>
          <w:sz w:val="11"/>
          <w:szCs w:val="11"/>
        </w:rPr>
      </w:pPr>
      <w:r>
        <w:rPr>
          <w:spacing w:val="-2"/>
        </w:rPr>
        <w:t>The</w:t>
      </w:r>
      <w:r>
        <w:t xml:space="preserve"> </w:t>
      </w:r>
      <w:r>
        <w:rPr>
          <w:spacing w:val="-1"/>
        </w:rPr>
        <w:t>alternative</w:t>
      </w:r>
      <w:r>
        <w:t xml:space="preserve"> </w:t>
      </w:r>
      <w:r>
        <w:rPr>
          <w:spacing w:val="-1"/>
        </w:rPr>
        <w:t>source</w:t>
      </w:r>
      <w:r>
        <w:t xml:space="preserve"> of</w:t>
      </w:r>
      <w:r>
        <w:rPr>
          <w:spacing w:val="4"/>
        </w:rPr>
        <w:t xml:space="preserve"> </w:t>
      </w:r>
      <w:r>
        <w:rPr>
          <w:spacing w:val="-1"/>
        </w:rPr>
        <w:t>short-term</w:t>
      </w:r>
      <w:r>
        <w:t xml:space="preserve"> </w:t>
      </w:r>
      <w:r>
        <w:rPr>
          <w:spacing w:val="-1"/>
        </w:rPr>
        <w:t>water</w:t>
      </w:r>
      <w:r>
        <w:t xml:space="preserve"> security </w:t>
      </w:r>
      <w:r>
        <w:rPr>
          <w:spacing w:val="-2"/>
        </w:rPr>
        <w:t>Cardno</w:t>
      </w:r>
      <w:r>
        <w:t xml:space="preserve"> </w:t>
      </w:r>
      <w:r>
        <w:rPr>
          <w:spacing w:val="-1"/>
        </w:rPr>
        <w:t>investigated</w:t>
      </w:r>
      <w:r>
        <w:t xml:space="preserve"> was the</w:t>
      </w:r>
      <w:r>
        <w:rPr>
          <w:spacing w:val="-5"/>
        </w:rPr>
        <w:t xml:space="preserve"> </w:t>
      </w:r>
      <w:r>
        <w:rPr>
          <w:spacing w:val="-3"/>
        </w:rPr>
        <w:t>Tantangara</w:t>
      </w:r>
      <w:r>
        <w:rPr>
          <w:spacing w:val="-5"/>
        </w:rPr>
        <w:t xml:space="preserve"> </w:t>
      </w:r>
      <w:r>
        <w:rPr>
          <w:spacing w:val="-3"/>
        </w:rPr>
        <w:t>Transfer</w:t>
      </w:r>
      <w:r>
        <w:rPr>
          <w:spacing w:val="95"/>
        </w:rPr>
        <w:t xml:space="preserve"> </w:t>
      </w:r>
      <w:r>
        <w:t xml:space="preserve">Option (see </w:t>
      </w:r>
      <w:hyperlink w:anchor="_bookmark52" w:history="1">
        <w:r>
          <w:rPr>
            <w:spacing w:val="-1"/>
          </w:rPr>
          <w:t>Box</w:t>
        </w:r>
        <w:r>
          <w:t xml:space="preserve"> 8.1</w:t>
        </w:r>
      </w:hyperlink>
      <w:r>
        <w:t>).</w:t>
      </w:r>
      <w:r>
        <w:rPr>
          <w:spacing w:val="-11"/>
        </w:rPr>
        <w:t xml:space="preserve"> </w:t>
      </w:r>
      <w:r>
        <w:rPr>
          <w:spacing w:val="-10"/>
        </w:rPr>
        <w:t>To</w:t>
      </w:r>
      <w:r>
        <w:t xml:space="preserve"> </w:t>
      </w:r>
      <w:r>
        <w:rPr>
          <w:spacing w:val="-1"/>
        </w:rPr>
        <w:t>estimate</w:t>
      </w:r>
      <w:r>
        <w:t xml:space="preserve"> the costs of</w:t>
      </w:r>
      <w:r>
        <w:rPr>
          <w:spacing w:val="4"/>
        </w:rPr>
        <w:t xml:space="preserve"> </w:t>
      </w:r>
      <w:r>
        <w:t>using this option,</w:t>
      </w:r>
      <w:r>
        <w:rPr>
          <w:spacing w:val="-6"/>
        </w:rPr>
        <w:t xml:space="preserve"> </w:t>
      </w:r>
      <w:r>
        <w:rPr>
          <w:spacing w:val="-2"/>
        </w:rPr>
        <w:t>Cardno</w:t>
      </w:r>
      <w:r>
        <w:t xml:space="preserve"> </w:t>
      </w:r>
      <w:r>
        <w:rPr>
          <w:spacing w:val="-1"/>
        </w:rPr>
        <w:t>drew</w:t>
      </w:r>
      <w:r>
        <w:t xml:space="preserve"> on a number of</w:t>
      </w:r>
      <w:r>
        <w:rPr>
          <w:spacing w:val="23"/>
        </w:rPr>
        <w:t xml:space="preserve"> </w:t>
      </w:r>
      <w:r>
        <w:t xml:space="preserve">assumptions </w:t>
      </w:r>
      <w:r>
        <w:rPr>
          <w:spacing w:val="-1"/>
        </w:rPr>
        <w:t>that</w:t>
      </w:r>
      <w:r>
        <w:rPr>
          <w:spacing w:val="-4"/>
        </w:rPr>
        <w:t xml:space="preserve"> </w:t>
      </w:r>
      <w:r>
        <w:rPr>
          <w:spacing w:val="-2"/>
        </w:rPr>
        <w:t>ACTEW</w:t>
      </w:r>
      <w:r>
        <w:rPr>
          <w:spacing w:val="-3"/>
        </w:rPr>
        <w:t xml:space="preserve"> </w:t>
      </w:r>
      <w:r>
        <w:rPr>
          <w:spacing w:val="-1"/>
        </w:rPr>
        <w:t>referred</w:t>
      </w:r>
      <w:r>
        <w:t xml:space="preserve"> to in its 2007 </w:t>
      </w:r>
      <w:r>
        <w:rPr>
          <w:spacing w:val="-3"/>
        </w:rPr>
        <w:t xml:space="preserve">Future </w:t>
      </w:r>
      <w:r>
        <w:rPr>
          <w:spacing w:val="-2"/>
        </w:rPr>
        <w:t>Water</w:t>
      </w:r>
      <w:r>
        <w:t xml:space="preserve"> Options </w:t>
      </w:r>
      <w:r>
        <w:rPr>
          <w:spacing w:val="-2"/>
        </w:rPr>
        <w:t>review.</w:t>
      </w:r>
      <w:r>
        <w:rPr>
          <w:spacing w:val="-6"/>
        </w:rPr>
        <w:t xml:space="preserve"> </w:t>
      </w:r>
      <w:r>
        <w:rPr>
          <w:spacing w:val="-2"/>
        </w:rPr>
        <w:t>Cardno</w:t>
      </w:r>
      <w:r>
        <w:t xml:space="preserve"> also assumed </w:t>
      </w:r>
      <w:r>
        <w:rPr>
          <w:spacing w:val="-1"/>
        </w:rPr>
        <w:t>that</w:t>
      </w:r>
      <w:r>
        <w:rPr>
          <w:spacing w:val="39"/>
        </w:rPr>
        <w:t xml:space="preserve"> </w:t>
      </w:r>
      <w:r>
        <w:rPr>
          <w:spacing w:val="-1"/>
        </w:rPr>
        <w:t>water</w:t>
      </w:r>
      <w:r>
        <w:t xml:space="preserve"> would only be </w:t>
      </w:r>
      <w:r>
        <w:rPr>
          <w:spacing w:val="-1"/>
        </w:rPr>
        <w:t>required</w:t>
      </w:r>
      <w:r>
        <w:t xml:space="preserve"> under this option 35% of</w:t>
      </w:r>
      <w:r>
        <w:rPr>
          <w:spacing w:val="4"/>
        </w:rPr>
        <w:t xml:space="preserve"> </w:t>
      </w:r>
      <w:r>
        <w:t>the time,</w:t>
      </w:r>
      <w:r>
        <w:rPr>
          <w:spacing w:val="-6"/>
        </w:rPr>
        <w:t xml:space="preserve"> </w:t>
      </w:r>
      <w:r>
        <w:t xml:space="preserve">which is consistent with </w:t>
      </w:r>
      <w:r>
        <w:rPr>
          <w:spacing w:val="-1"/>
        </w:rPr>
        <w:t>statements</w:t>
      </w:r>
      <w:r>
        <w:rPr>
          <w:spacing w:val="21"/>
        </w:rPr>
        <w:t xml:space="preserve"> </w:t>
      </w:r>
      <w:r>
        <w:t>made by</w:t>
      </w:r>
      <w:r>
        <w:rPr>
          <w:spacing w:val="-4"/>
        </w:rPr>
        <w:t xml:space="preserve"> </w:t>
      </w:r>
      <w:r>
        <w:rPr>
          <w:spacing w:val="-2"/>
        </w:rPr>
        <w:t>ACTEW</w:t>
      </w:r>
      <w:r>
        <w:rPr>
          <w:spacing w:val="-3"/>
        </w:rPr>
        <w:t xml:space="preserve"> </w:t>
      </w:r>
      <w:r>
        <w:t xml:space="preserve">in the 2007 </w:t>
      </w:r>
      <w:r>
        <w:rPr>
          <w:spacing w:val="-3"/>
        </w:rPr>
        <w:t xml:space="preserve">Future </w:t>
      </w:r>
      <w:r>
        <w:rPr>
          <w:spacing w:val="-2"/>
        </w:rPr>
        <w:t>Water</w:t>
      </w:r>
      <w:r>
        <w:t xml:space="preserve"> Options </w:t>
      </w:r>
      <w:r>
        <w:rPr>
          <w:spacing w:val="-2"/>
        </w:rPr>
        <w:t>review.</w:t>
      </w:r>
      <w:r>
        <w:rPr>
          <w:spacing w:val="-11"/>
        </w:rPr>
        <w:t xml:space="preserve"> </w:t>
      </w:r>
      <w:r>
        <w:rPr>
          <w:spacing w:val="-2"/>
        </w:rPr>
        <w:t>That</w:t>
      </w:r>
      <w:r>
        <w:t xml:space="preserve"> is,</w:t>
      </w:r>
      <w:r>
        <w:rPr>
          <w:spacing w:val="-6"/>
        </w:rPr>
        <w:t xml:space="preserve"> </w:t>
      </w:r>
      <w:r>
        <w:rPr>
          <w:spacing w:val="-1"/>
        </w:rPr>
        <w:t>that</w:t>
      </w:r>
      <w:r>
        <w:rPr>
          <w:spacing w:val="-4"/>
        </w:rPr>
        <w:t xml:space="preserve"> </w:t>
      </w:r>
      <w:r>
        <w:rPr>
          <w:spacing w:val="-2"/>
        </w:rPr>
        <w:t>ACTEW</w:t>
      </w:r>
      <w:r>
        <w:rPr>
          <w:spacing w:val="-3"/>
        </w:rPr>
        <w:t xml:space="preserve"> </w:t>
      </w:r>
      <w:r>
        <w:t>would only need to</w:t>
      </w:r>
      <w:r>
        <w:rPr>
          <w:spacing w:val="39"/>
        </w:rPr>
        <w:t xml:space="preserve"> </w:t>
      </w:r>
      <w:r>
        <w:rPr>
          <w:spacing w:val="-1"/>
        </w:rPr>
        <w:t>purchase</w:t>
      </w:r>
      <w:r>
        <w:t xml:space="preserve"> </w:t>
      </w:r>
      <w:r>
        <w:rPr>
          <w:spacing w:val="-1"/>
        </w:rPr>
        <w:t>water</w:t>
      </w:r>
      <w:r>
        <w:rPr>
          <w:spacing w:val="1"/>
        </w:rPr>
        <w:t xml:space="preserve"> </w:t>
      </w:r>
      <w:r>
        <w:t>in this</w:t>
      </w:r>
      <w:r>
        <w:rPr>
          <w:spacing w:val="1"/>
        </w:rPr>
        <w:t xml:space="preserve"> </w:t>
      </w:r>
      <w:r>
        <w:t xml:space="preserve">way </w:t>
      </w:r>
      <w:r>
        <w:rPr>
          <w:spacing w:val="-1"/>
        </w:rPr>
        <w:t>three</w:t>
      </w:r>
      <w:r>
        <w:rPr>
          <w:spacing w:val="1"/>
        </w:rPr>
        <w:t xml:space="preserve"> </w:t>
      </w:r>
      <w:r>
        <w:t>to</w:t>
      </w:r>
      <w:r>
        <w:rPr>
          <w:spacing w:val="1"/>
        </w:rPr>
        <w:t xml:space="preserve"> </w:t>
      </w:r>
      <w:r>
        <w:t xml:space="preserve">four </w:t>
      </w:r>
      <w:r>
        <w:rPr>
          <w:spacing w:val="-1"/>
        </w:rPr>
        <w:t>years</w:t>
      </w:r>
      <w:r>
        <w:rPr>
          <w:spacing w:val="1"/>
        </w:rPr>
        <w:t xml:space="preserve"> </w:t>
      </w:r>
      <w:r>
        <w:t>in every</w:t>
      </w:r>
      <w:r>
        <w:rPr>
          <w:spacing w:val="1"/>
        </w:rPr>
        <w:t xml:space="preserve"> </w:t>
      </w:r>
      <w:r>
        <w:t>10.</w:t>
      </w:r>
      <w:r>
        <w:rPr>
          <w:position w:val="7"/>
          <w:sz w:val="11"/>
        </w:rPr>
        <w:t>95</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91" style="width:72.5pt;height:.5pt;mso-position-horizontal-relative:char;mso-position-vertical-relative:line" coordsize="1450,10">
            <v:group id="_x0000_s3192" style="position:absolute;left:5;top:5;width:1440;height:2" coordorigin="5,5" coordsize="1440,2">
              <v:shape id="_x0000_s3193"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45" w:line="192" w:lineRule="exact"/>
        <w:ind w:right="1462" w:hanging="510"/>
        <w:rPr>
          <w:rFonts w:ascii="Avenir Next" w:eastAsia="Avenir Next" w:hAnsi="Avenir Next" w:cs="Avenir Next"/>
          <w:sz w:val="16"/>
          <w:szCs w:val="16"/>
        </w:rPr>
      </w:pPr>
      <w:r>
        <w:rPr>
          <w:rFonts w:ascii="Avenir Next"/>
          <w:spacing w:val="-1"/>
          <w:sz w:val="16"/>
        </w:rPr>
        <w:t xml:space="preserve">This </w:t>
      </w:r>
      <w:r>
        <w:rPr>
          <w:rFonts w:ascii="Avenir Next"/>
          <w:sz w:val="16"/>
        </w:rPr>
        <w:t>section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 xml:space="preserve">Act </w:t>
      </w:r>
      <w:r>
        <w:rPr>
          <w:rFonts w:ascii="Avenir Next"/>
          <w:spacing w:val="-1"/>
          <w:sz w:val="16"/>
        </w:rPr>
        <w:t>requires</w:t>
      </w:r>
      <w:r>
        <w:rPr>
          <w:rFonts w:ascii="Avenir Next"/>
          <w:sz w:val="16"/>
        </w:rPr>
        <w:t xml:space="preserve"> the</w:t>
      </w:r>
      <w:r>
        <w:rPr>
          <w:rFonts w:ascii="Avenir Next"/>
          <w:spacing w:val="-1"/>
          <w:sz w:val="16"/>
        </w:rPr>
        <w:t xml:space="preserve"> </w:t>
      </w:r>
      <w:r>
        <w:rPr>
          <w:rFonts w:ascii="Avenir Next"/>
          <w:spacing w:val="-2"/>
          <w:sz w:val="16"/>
        </w:rPr>
        <w:t>Panel</w:t>
      </w:r>
      <w:r>
        <w:rPr>
          <w:rFonts w:ascii="Avenir Next"/>
          <w:sz w:val="16"/>
        </w:rPr>
        <w:t xml:space="preserve"> to have </w:t>
      </w:r>
      <w:r>
        <w:rPr>
          <w:rFonts w:ascii="Avenir Next"/>
          <w:spacing w:val="-1"/>
          <w:sz w:val="16"/>
        </w:rPr>
        <w:t>regard</w:t>
      </w:r>
      <w:r>
        <w:rPr>
          <w:rFonts w:ascii="Avenir Next"/>
          <w:sz w:val="16"/>
        </w:rPr>
        <w:t xml:space="preserve"> to the </w:t>
      </w:r>
      <w:r>
        <w:rPr>
          <w:rFonts w:ascii="Avenir Next"/>
          <w:spacing w:val="-1"/>
          <w:sz w:val="16"/>
        </w:rPr>
        <w:t>borrowing,</w:t>
      </w:r>
      <w:r>
        <w:rPr>
          <w:rFonts w:ascii="Avenir Next"/>
          <w:spacing w:val="-6"/>
          <w:sz w:val="16"/>
        </w:rPr>
        <w:t xml:space="preserve"> </w:t>
      </w:r>
      <w:r>
        <w:rPr>
          <w:rFonts w:ascii="Avenir Next"/>
          <w:sz w:val="16"/>
        </w:rPr>
        <w:t xml:space="preserve">capital and cash flow </w:t>
      </w:r>
      <w:r>
        <w:rPr>
          <w:rFonts w:ascii="Avenir Next"/>
          <w:spacing w:val="-1"/>
          <w:sz w:val="16"/>
        </w:rPr>
        <w:t>requirements</w:t>
      </w:r>
      <w:r>
        <w:rPr>
          <w:rFonts w:ascii="Avenir Next"/>
          <w:sz w:val="16"/>
        </w:rPr>
        <w:t xml:space="preserve"> of</w:t>
      </w:r>
      <w:r>
        <w:rPr>
          <w:rFonts w:ascii="Avenir Next"/>
          <w:spacing w:val="2"/>
          <w:sz w:val="16"/>
        </w:rPr>
        <w:t xml:space="preserve"> </w:t>
      </w:r>
      <w:r>
        <w:rPr>
          <w:rFonts w:ascii="Avenir Next"/>
          <w:sz w:val="16"/>
        </w:rPr>
        <w:t>people</w:t>
      </w:r>
      <w:r>
        <w:rPr>
          <w:rFonts w:ascii="Avenir Next"/>
          <w:spacing w:val="33"/>
          <w:sz w:val="16"/>
        </w:rPr>
        <w:t xml:space="preserve"> </w:t>
      </w:r>
      <w:r>
        <w:rPr>
          <w:rFonts w:ascii="Avenir Next"/>
          <w:spacing w:val="-1"/>
          <w:sz w:val="16"/>
        </w:rPr>
        <w:t>providing</w:t>
      </w:r>
      <w:r>
        <w:rPr>
          <w:rFonts w:ascii="Avenir Next"/>
          <w:sz w:val="16"/>
        </w:rPr>
        <w:t xml:space="preserve"> </w:t>
      </w:r>
      <w:r>
        <w:rPr>
          <w:rFonts w:ascii="Avenir Next"/>
          <w:spacing w:val="-1"/>
          <w:sz w:val="16"/>
        </w:rPr>
        <w:t>regulated</w:t>
      </w:r>
      <w:r>
        <w:rPr>
          <w:rFonts w:ascii="Avenir Next"/>
          <w:sz w:val="16"/>
        </w:rPr>
        <w:t xml:space="preserve"> services and the need to </w:t>
      </w:r>
      <w:r>
        <w:rPr>
          <w:rFonts w:ascii="Avenir Next"/>
          <w:spacing w:val="-1"/>
          <w:sz w:val="16"/>
        </w:rPr>
        <w:t>renew</w:t>
      </w:r>
      <w:r>
        <w:rPr>
          <w:rFonts w:ascii="Avenir Next"/>
          <w:sz w:val="16"/>
        </w:rPr>
        <w:t xml:space="preserve"> or </w:t>
      </w:r>
      <w:r>
        <w:rPr>
          <w:rFonts w:ascii="Avenir Next"/>
          <w:spacing w:val="-1"/>
          <w:sz w:val="16"/>
        </w:rPr>
        <w:t>increase</w:t>
      </w:r>
      <w:r>
        <w:rPr>
          <w:rFonts w:ascii="Avenir Next"/>
          <w:sz w:val="16"/>
        </w:rPr>
        <w:t xml:space="preserve"> </w:t>
      </w:r>
      <w:r>
        <w:rPr>
          <w:rFonts w:ascii="Avenir Next"/>
          <w:spacing w:val="-1"/>
          <w:sz w:val="16"/>
        </w:rPr>
        <w:t>relevant</w:t>
      </w:r>
      <w:r>
        <w:rPr>
          <w:rFonts w:ascii="Avenir Next"/>
          <w:sz w:val="16"/>
        </w:rPr>
        <w:t xml:space="preserve"> assets in the </w:t>
      </w:r>
      <w:r>
        <w:rPr>
          <w:rFonts w:ascii="Avenir Next"/>
          <w:spacing w:val="-1"/>
          <w:sz w:val="16"/>
        </w:rPr>
        <w:t>regulated</w:t>
      </w:r>
      <w:r>
        <w:rPr>
          <w:rFonts w:ascii="Avenir Next"/>
          <w:sz w:val="16"/>
        </w:rPr>
        <w:t xml:space="preserve"> </w:t>
      </w:r>
      <w:r>
        <w:rPr>
          <w:rFonts w:ascii="Avenir Next"/>
          <w:spacing w:val="-1"/>
          <w:sz w:val="16"/>
        </w:rPr>
        <w:t>industry.</w:t>
      </w:r>
    </w:p>
    <w:p w:rsidR="00D96B91" w:rsidRDefault="00D96B91">
      <w:pPr>
        <w:spacing w:before="12"/>
        <w:rPr>
          <w:rFonts w:ascii="Avenir Next" w:eastAsia="Avenir Next" w:hAnsi="Avenir Next" w:cs="Avenir Next"/>
          <w:sz w:val="10"/>
          <w:szCs w:val="10"/>
        </w:rPr>
      </w:pPr>
    </w:p>
    <w:p w:rsidR="00D96B91" w:rsidRDefault="00C2656B">
      <w:pPr>
        <w:numPr>
          <w:ilvl w:val="0"/>
          <w:numId w:val="79"/>
        </w:numPr>
        <w:tabs>
          <w:tab w:val="left" w:pos="1758"/>
        </w:tabs>
        <w:spacing w:line="192" w:lineRule="exact"/>
        <w:ind w:right="1278" w:hanging="510"/>
        <w:rPr>
          <w:rFonts w:ascii="Avenir Next" w:eastAsia="Avenir Next" w:hAnsi="Avenir Next" w:cs="Avenir Next"/>
          <w:sz w:val="16"/>
          <w:szCs w:val="16"/>
        </w:rPr>
      </w:pPr>
      <w:r>
        <w:rPr>
          <w:rFonts w:ascii="Avenir Next"/>
          <w:sz w:val="16"/>
        </w:rPr>
        <w:t>Note</w:t>
      </w:r>
      <w:r>
        <w:rPr>
          <w:rFonts w:ascii="Avenir Next"/>
          <w:spacing w:val="-1"/>
          <w:sz w:val="16"/>
        </w:rPr>
        <w:t xml:space="preserve"> that</w:t>
      </w:r>
      <w:r>
        <w:rPr>
          <w:rFonts w:ascii="Avenir Next"/>
          <w:sz w:val="16"/>
        </w:rPr>
        <w:t xml:space="preserve"> while</w:t>
      </w:r>
      <w:r>
        <w:rPr>
          <w:rFonts w:ascii="Avenir Next"/>
          <w:spacing w:val="-1"/>
          <w:sz w:val="16"/>
        </w:rPr>
        <w:t xml:space="preserve"> </w:t>
      </w:r>
      <w:r>
        <w:rPr>
          <w:rFonts w:ascii="Avenir Next"/>
          <w:sz w:val="16"/>
        </w:rPr>
        <w:t>the ECD</w:t>
      </w:r>
      <w:r>
        <w:rPr>
          <w:rFonts w:ascii="Avenir Next"/>
          <w:spacing w:val="-1"/>
          <w:sz w:val="16"/>
        </w:rPr>
        <w:t xml:space="preserve"> </w:t>
      </w:r>
      <w:r>
        <w:rPr>
          <w:rFonts w:ascii="Avenir Next"/>
          <w:sz w:val="16"/>
        </w:rPr>
        <w:t>and M2G</w:t>
      </w:r>
      <w:r>
        <w:rPr>
          <w:rFonts w:ascii="Avenir Next"/>
          <w:spacing w:val="-1"/>
          <w:sz w:val="16"/>
        </w:rPr>
        <w:t xml:space="preserve"> projects</w:t>
      </w:r>
      <w:r>
        <w:rPr>
          <w:rFonts w:ascii="Avenir Next"/>
          <w:sz w:val="16"/>
        </w:rPr>
        <w:t xml:space="preserve"> </w:t>
      </w:r>
      <w:r>
        <w:rPr>
          <w:rFonts w:ascii="Avenir Next"/>
          <w:spacing w:val="-1"/>
          <w:sz w:val="16"/>
        </w:rPr>
        <w:t xml:space="preserve">were </w:t>
      </w:r>
      <w:r>
        <w:rPr>
          <w:rFonts w:ascii="Avenir Next"/>
          <w:sz w:val="16"/>
        </w:rPr>
        <w:t>found to</w:t>
      </w:r>
      <w:r>
        <w:rPr>
          <w:rFonts w:ascii="Avenir Next"/>
          <w:spacing w:val="-1"/>
          <w:sz w:val="16"/>
        </w:rPr>
        <w:t xml:space="preserve"> </w:t>
      </w:r>
      <w:r>
        <w:rPr>
          <w:rFonts w:ascii="Avenir Next"/>
          <w:sz w:val="16"/>
        </w:rPr>
        <w:t xml:space="preserve">be </w:t>
      </w:r>
      <w:r>
        <w:rPr>
          <w:rFonts w:ascii="Avenir Next"/>
          <w:spacing w:val="-1"/>
          <w:sz w:val="16"/>
        </w:rPr>
        <w:t xml:space="preserve">efficient </w:t>
      </w:r>
      <w:r>
        <w:rPr>
          <w:rFonts w:ascii="Avenir Next"/>
          <w:sz w:val="16"/>
        </w:rPr>
        <w:t>when considering</w:t>
      </w:r>
      <w:r>
        <w:rPr>
          <w:rFonts w:ascii="Avenir Next"/>
          <w:spacing w:val="-1"/>
          <w:sz w:val="16"/>
        </w:rPr>
        <w:t xml:space="preserve"> </w:t>
      </w:r>
      <w:r>
        <w:rPr>
          <w:rFonts w:ascii="Avenir Next"/>
          <w:sz w:val="16"/>
        </w:rPr>
        <w:t>the total</w:t>
      </w:r>
      <w:r>
        <w:rPr>
          <w:rFonts w:ascii="Avenir Next"/>
          <w:spacing w:val="-1"/>
          <w:sz w:val="16"/>
        </w:rPr>
        <w:t xml:space="preserve"> </w:t>
      </w:r>
      <w:r>
        <w:rPr>
          <w:rFonts w:ascii="Avenir Next"/>
          <w:sz w:val="16"/>
        </w:rPr>
        <w:t>benefit to</w:t>
      </w:r>
      <w:r>
        <w:rPr>
          <w:rFonts w:ascii="Avenir Next"/>
          <w:spacing w:val="-1"/>
          <w:sz w:val="16"/>
        </w:rPr>
        <w:t xml:space="preserve"> </w:t>
      </w:r>
      <w:r>
        <w:rPr>
          <w:rFonts w:ascii="Avenir Next"/>
          <w:sz w:val="16"/>
        </w:rPr>
        <w:t>the community</w:t>
      </w:r>
      <w:r>
        <w:rPr>
          <w:rFonts w:ascii="Avenir Next"/>
          <w:spacing w:val="29"/>
          <w:sz w:val="16"/>
        </w:rPr>
        <w:t xml:space="preserve"> </w:t>
      </w:r>
      <w:r>
        <w:rPr>
          <w:rFonts w:ascii="Avenir Next"/>
          <w:sz w:val="16"/>
        </w:rPr>
        <w:t>over the life of</w:t>
      </w:r>
      <w:r>
        <w:rPr>
          <w:rFonts w:ascii="Avenir Next"/>
          <w:spacing w:val="3"/>
          <w:sz w:val="16"/>
        </w:rPr>
        <w:t xml:space="preserve"> </w:t>
      </w:r>
      <w:r>
        <w:rPr>
          <w:rFonts w:ascii="Avenir Next"/>
          <w:sz w:val="16"/>
        </w:rPr>
        <w:t xml:space="preserve">the assets </w:t>
      </w:r>
      <w:r>
        <w:rPr>
          <w:rFonts w:ascii="Avenir Next"/>
          <w:spacing w:val="-1"/>
          <w:sz w:val="16"/>
        </w:rPr>
        <w:t>(water</w:t>
      </w:r>
      <w:r>
        <w:rPr>
          <w:rFonts w:ascii="Avenir Next"/>
          <w:sz w:val="16"/>
        </w:rPr>
        <w:t xml:space="preserve"> security </w:t>
      </w:r>
      <w:r>
        <w:rPr>
          <w:rFonts w:ascii="Avenir Next"/>
          <w:spacing w:val="-2"/>
          <w:sz w:val="16"/>
        </w:rPr>
        <w:t>now,</w:t>
      </w:r>
      <w:r>
        <w:rPr>
          <w:rFonts w:ascii="Avenir Next"/>
          <w:spacing w:val="-5"/>
          <w:sz w:val="16"/>
        </w:rPr>
        <w:t xml:space="preserve"> </w:t>
      </w:r>
      <w:r>
        <w:rPr>
          <w:rFonts w:ascii="Avenir Next"/>
          <w:sz w:val="16"/>
        </w:rPr>
        <w:t xml:space="preserve">supply capacity in the </w:t>
      </w:r>
      <w:r>
        <w:rPr>
          <w:rFonts w:ascii="Avenir Next"/>
          <w:spacing w:val="-1"/>
          <w:sz w:val="16"/>
        </w:rPr>
        <w:t>future),</w:t>
      </w:r>
      <w:r>
        <w:rPr>
          <w:rFonts w:ascii="Avenir Next"/>
          <w:spacing w:val="-5"/>
          <w:sz w:val="16"/>
        </w:rPr>
        <w:t xml:space="preserve"> </w:t>
      </w:r>
      <w:r>
        <w:rPr>
          <w:rFonts w:ascii="Avenir Next"/>
          <w:sz w:val="16"/>
        </w:rPr>
        <w:t>they may not necessarily be the lowest cost</w:t>
      </w:r>
      <w:r>
        <w:rPr>
          <w:rFonts w:ascii="Avenir Next"/>
          <w:spacing w:val="23"/>
          <w:sz w:val="16"/>
        </w:rPr>
        <w:t xml:space="preserve"> </w:t>
      </w:r>
      <w:r>
        <w:rPr>
          <w:rFonts w:ascii="Avenir Next"/>
          <w:sz w:val="16"/>
        </w:rPr>
        <w:t>method of</w:t>
      </w:r>
      <w:r>
        <w:rPr>
          <w:rFonts w:ascii="Avenir Next"/>
          <w:spacing w:val="3"/>
          <w:sz w:val="16"/>
        </w:rPr>
        <w:t xml:space="preserve"> </w:t>
      </w:r>
      <w:r>
        <w:rPr>
          <w:rFonts w:ascii="Avenir Next"/>
          <w:spacing w:val="-1"/>
          <w:sz w:val="16"/>
        </w:rPr>
        <w:t>providing</w:t>
      </w:r>
      <w:r>
        <w:rPr>
          <w:rFonts w:ascii="Avenir Next"/>
          <w:sz w:val="16"/>
        </w:rPr>
        <w:t xml:space="preserve"> </w:t>
      </w:r>
      <w:r>
        <w:rPr>
          <w:rFonts w:ascii="Avenir Next"/>
          <w:spacing w:val="-1"/>
          <w:sz w:val="16"/>
        </w:rPr>
        <w:t>short-term</w:t>
      </w:r>
      <w:r>
        <w:rPr>
          <w:rFonts w:ascii="Avenir Next"/>
          <w:sz w:val="16"/>
        </w:rPr>
        <w:t xml:space="preserve"> </w:t>
      </w:r>
      <w:r>
        <w:rPr>
          <w:rFonts w:ascii="Avenir Next"/>
          <w:spacing w:val="-1"/>
          <w:sz w:val="16"/>
        </w:rPr>
        <w:t>water</w:t>
      </w:r>
      <w:r>
        <w:rPr>
          <w:rFonts w:ascii="Avenir Next"/>
          <w:sz w:val="16"/>
        </w:rPr>
        <w:t xml:space="preserve"> security for customers in this </w:t>
      </w:r>
      <w:r>
        <w:rPr>
          <w:rFonts w:ascii="Avenir Next"/>
          <w:spacing w:val="-1"/>
          <w:sz w:val="16"/>
        </w:rPr>
        <w:t>regulatory</w:t>
      </w:r>
      <w:r>
        <w:rPr>
          <w:rFonts w:ascii="Avenir Next"/>
          <w:sz w:val="16"/>
        </w:rPr>
        <w:t xml:space="preserve"> period.</w:t>
      </w:r>
    </w:p>
    <w:p w:rsidR="00D96B91" w:rsidRDefault="00D96B91">
      <w:pPr>
        <w:spacing w:before="12"/>
        <w:rPr>
          <w:rFonts w:ascii="Avenir Next" w:eastAsia="Avenir Next" w:hAnsi="Avenir Next" w:cs="Avenir Next"/>
          <w:sz w:val="10"/>
          <w:szCs w:val="10"/>
        </w:rPr>
      </w:pPr>
    </w:p>
    <w:p w:rsidR="00D96B91" w:rsidRDefault="00C2656B">
      <w:pPr>
        <w:numPr>
          <w:ilvl w:val="0"/>
          <w:numId w:val="79"/>
        </w:numPr>
        <w:tabs>
          <w:tab w:val="left" w:pos="1758"/>
        </w:tabs>
        <w:spacing w:line="192" w:lineRule="exact"/>
        <w:ind w:right="1341" w:hanging="510"/>
        <w:rPr>
          <w:rFonts w:ascii="Avenir Next" w:eastAsia="Avenir Next" w:hAnsi="Avenir Next" w:cs="Avenir Next"/>
          <w:sz w:val="16"/>
          <w:szCs w:val="16"/>
        </w:rPr>
      </w:pPr>
      <w:r>
        <w:rPr>
          <w:rFonts w:ascii="Avenir Next"/>
          <w:sz w:val="16"/>
        </w:rPr>
        <w:t xml:space="preserve">In its </w:t>
      </w:r>
      <w:r>
        <w:rPr>
          <w:rFonts w:ascii="Avenir Next"/>
          <w:spacing w:val="-1"/>
          <w:sz w:val="16"/>
        </w:rPr>
        <w:t>report,</w:t>
      </w:r>
      <w:r>
        <w:rPr>
          <w:rFonts w:ascii="Avenir Next"/>
          <w:spacing w:val="-5"/>
          <w:sz w:val="16"/>
        </w:rPr>
        <w:t xml:space="preserve"> </w:t>
      </w:r>
      <w:r>
        <w:rPr>
          <w:rFonts w:ascii="Avenir Next"/>
          <w:spacing w:val="-1"/>
          <w:sz w:val="16"/>
        </w:rPr>
        <w:t>Cardno</w:t>
      </w:r>
      <w:r>
        <w:rPr>
          <w:rFonts w:ascii="Avenir Next"/>
          <w:sz w:val="16"/>
        </w:rPr>
        <w:t xml:space="preserve"> </w:t>
      </w:r>
      <w:r>
        <w:rPr>
          <w:rFonts w:ascii="Avenir Next"/>
          <w:spacing w:val="-1"/>
          <w:sz w:val="16"/>
        </w:rPr>
        <w:t>raised</w:t>
      </w:r>
      <w:r>
        <w:rPr>
          <w:rFonts w:ascii="Avenir Next"/>
          <w:sz w:val="16"/>
        </w:rPr>
        <w:t xml:space="preserve"> a number of</w:t>
      </w:r>
      <w:r>
        <w:rPr>
          <w:rFonts w:ascii="Avenir Next"/>
          <w:spacing w:val="3"/>
          <w:sz w:val="16"/>
        </w:rPr>
        <w:t xml:space="preserve"> </w:t>
      </w:r>
      <w:r>
        <w:rPr>
          <w:rFonts w:ascii="Avenir Next"/>
          <w:sz w:val="16"/>
        </w:rPr>
        <w:t>concerns about the assumptions underlying the</w:t>
      </w:r>
      <w:r>
        <w:rPr>
          <w:rFonts w:ascii="Avenir Next"/>
          <w:spacing w:val="-3"/>
          <w:sz w:val="16"/>
        </w:rPr>
        <w:t xml:space="preserve"> </w:t>
      </w:r>
      <w:r>
        <w:rPr>
          <w:rFonts w:ascii="Avenir Next"/>
          <w:spacing w:val="-1"/>
          <w:sz w:val="16"/>
        </w:rPr>
        <w:t>ACTEW/CIE</w:t>
      </w:r>
      <w:r>
        <w:rPr>
          <w:rFonts w:ascii="Avenir Next"/>
          <w:sz w:val="16"/>
        </w:rPr>
        <w:t xml:space="preserve"> analysis,</w:t>
      </w:r>
      <w:r>
        <w:rPr>
          <w:rFonts w:ascii="Avenir Next"/>
          <w:spacing w:val="-5"/>
          <w:sz w:val="16"/>
        </w:rPr>
        <w:t xml:space="preserve"> </w:t>
      </w:r>
      <w:r>
        <w:rPr>
          <w:rFonts w:ascii="Avenir Next"/>
          <w:sz w:val="16"/>
        </w:rPr>
        <w:t>including</w:t>
      </w:r>
      <w:r>
        <w:rPr>
          <w:rFonts w:ascii="Avenir Next"/>
          <w:spacing w:val="23"/>
          <w:sz w:val="16"/>
        </w:rPr>
        <w:t xml:space="preserve"> </w:t>
      </w:r>
      <w:r>
        <w:rPr>
          <w:rFonts w:ascii="Avenir Next"/>
          <w:sz w:val="16"/>
        </w:rPr>
        <w:t xml:space="preserve">the use of: higher bound willingness to pay </w:t>
      </w:r>
      <w:r>
        <w:rPr>
          <w:rFonts w:ascii="Avenir Next"/>
          <w:spacing w:val="-1"/>
          <w:sz w:val="16"/>
        </w:rPr>
        <w:t>estimates,</w:t>
      </w:r>
      <w:r>
        <w:rPr>
          <w:rFonts w:ascii="Avenir Next"/>
          <w:spacing w:val="-5"/>
          <w:sz w:val="16"/>
        </w:rPr>
        <w:t xml:space="preserve"> </w:t>
      </w:r>
      <w:r>
        <w:rPr>
          <w:rFonts w:ascii="Avenir Next"/>
          <w:spacing w:val="-1"/>
          <w:sz w:val="16"/>
        </w:rPr>
        <w:t>extreme</w:t>
      </w:r>
      <w:r>
        <w:rPr>
          <w:rFonts w:ascii="Avenir Next"/>
          <w:sz w:val="16"/>
        </w:rPr>
        <w:t xml:space="preserve"> </w:t>
      </w:r>
      <w:r>
        <w:rPr>
          <w:rFonts w:ascii="Avenir Next"/>
          <w:spacing w:val="-1"/>
          <w:sz w:val="16"/>
        </w:rPr>
        <w:t>drought</w:t>
      </w:r>
      <w:r>
        <w:rPr>
          <w:rFonts w:ascii="Avenir Next"/>
          <w:sz w:val="16"/>
        </w:rPr>
        <w:t xml:space="preserve"> scenarios,</w:t>
      </w:r>
      <w:r>
        <w:rPr>
          <w:rFonts w:ascii="Avenir Next"/>
          <w:spacing w:val="-5"/>
          <w:sz w:val="16"/>
        </w:rPr>
        <w:t xml:space="preserve"> </w:t>
      </w:r>
      <w:r>
        <w:rPr>
          <w:rFonts w:ascii="Avenir Next"/>
          <w:sz w:val="16"/>
        </w:rPr>
        <w:t xml:space="preserve">upper bound </w:t>
      </w:r>
      <w:r>
        <w:rPr>
          <w:rFonts w:ascii="Avenir Next"/>
          <w:spacing w:val="-1"/>
          <w:sz w:val="16"/>
        </w:rPr>
        <w:t>population</w:t>
      </w:r>
      <w:r>
        <w:rPr>
          <w:rFonts w:ascii="Avenir Next"/>
          <w:sz w:val="16"/>
        </w:rPr>
        <w:t xml:space="preserve"> </w:t>
      </w:r>
      <w:r>
        <w:rPr>
          <w:rFonts w:ascii="Avenir Next"/>
          <w:spacing w:val="-1"/>
          <w:sz w:val="16"/>
        </w:rPr>
        <w:t>forecasts</w:t>
      </w:r>
      <w:r>
        <w:rPr>
          <w:rFonts w:ascii="Avenir Next"/>
          <w:sz w:val="16"/>
        </w:rPr>
        <w:t xml:space="preserve"> and</w:t>
      </w:r>
      <w:r>
        <w:rPr>
          <w:rFonts w:ascii="Avenir Next"/>
          <w:spacing w:val="59"/>
          <w:sz w:val="16"/>
        </w:rPr>
        <w:t xml:space="preserve"> </w:t>
      </w:r>
      <w:r>
        <w:rPr>
          <w:rFonts w:ascii="Avenir Next"/>
          <w:sz w:val="16"/>
        </w:rPr>
        <w:t>a risk aversion factor of</w:t>
      </w:r>
      <w:r>
        <w:rPr>
          <w:rFonts w:ascii="Avenir Next"/>
          <w:spacing w:val="3"/>
          <w:sz w:val="16"/>
        </w:rPr>
        <w:t xml:space="preserve"> </w:t>
      </w:r>
      <w:r>
        <w:rPr>
          <w:rFonts w:ascii="Avenir Next"/>
          <w:sz w:val="16"/>
        </w:rPr>
        <w:t>3.5,</w:t>
      </w:r>
      <w:r>
        <w:rPr>
          <w:rFonts w:ascii="Avenir Next"/>
          <w:spacing w:val="-5"/>
          <w:sz w:val="16"/>
        </w:rPr>
        <w:t xml:space="preserve"> </w:t>
      </w:r>
      <w:r>
        <w:rPr>
          <w:rFonts w:ascii="Avenir Next"/>
          <w:sz w:val="16"/>
        </w:rPr>
        <w:t xml:space="preserve">which was applied to the </w:t>
      </w:r>
      <w:r>
        <w:rPr>
          <w:rFonts w:ascii="Avenir Next"/>
          <w:spacing w:val="-1"/>
          <w:sz w:val="16"/>
        </w:rPr>
        <w:t>estimated</w:t>
      </w:r>
      <w:r>
        <w:rPr>
          <w:rFonts w:ascii="Avenir Next"/>
          <w:sz w:val="16"/>
        </w:rPr>
        <w:t xml:space="preserve"> cost of</w:t>
      </w:r>
      <w:r>
        <w:rPr>
          <w:rFonts w:ascii="Avenir Next"/>
          <w:spacing w:val="3"/>
          <w:sz w:val="16"/>
        </w:rPr>
        <w:t xml:space="preserve"> </w:t>
      </w:r>
      <w:r>
        <w:rPr>
          <w:rFonts w:ascii="Avenir Next"/>
          <w:spacing w:val="-1"/>
          <w:sz w:val="16"/>
        </w:rPr>
        <w:t>Stage</w:t>
      </w:r>
      <w:r>
        <w:rPr>
          <w:rFonts w:ascii="Avenir Next"/>
          <w:sz w:val="16"/>
        </w:rPr>
        <w:t xml:space="preserve"> 4 </w:t>
      </w:r>
      <w:r>
        <w:rPr>
          <w:rFonts w:ascii="Avenir Next"/>
          <w:spacing w:val="-1"/>
          <w:sz w:val="16"/>
        </w:rPr>
        <w:t>water</w:t>
      </w:r>
      <w:r>
        <w:rPr>
          <w:rFonts w:ascii="Avenir Next"/>
          <w:sz w:val="16"/>
        </w:rPr>
        <w:t xml:space="preserve"> </w:t>
      </w:r>
      <w:r>
        <w:rPr>
          <w:rFonts w:ascii="Avenir Next"/>
          <w:spacing w:val="-1"/>
          <w:sz w:val="16"/>
        </w:rPr>
        <w:t>restrictions.</w:t>
      </w:r>
      <w:r>
        <w:rPr>
          <w:rFonts w:ascii="Avenir Next"/>
          <w:spacing w:val="-5"/>
          <w:sz w:val="16"/>
        </w:rPr>
        <w:t xml:space="preserve"> </w:t>
      </w:r>
      <w:r>
        <w:rPr>
          <w:rFonts w:ascii="Avenir Next"/>
          <w:spacing w:val="-1"/>
          <w:sz w:val="16"/>
        </w:rPr>
        <w:t>Cardno</w:t>
      </w:r>
      <w:r>
        <w:rPr>
          <w:rFonts w:ascii="Avenir Next"/>
          <w:sz w:val="16"/>
        </w:rPr>
        <w:t xml:space="preserve"> also noted </w:t>
      </w:r>
      <w:r>
        <w:rPr>
          <w:rFonts w:ascii="Avenir Next"/>
          <w:spacing w:val="-1"/>
          <w:sz w:val="16"/>
        </w:rPr>
        <w:t>that</w:t>
      </w:r>
      <w:r>
        <w:rPr>
          <w:rFonts w:ascii="Avenir Next"/>
          <w:spacing w:val="53"/>
          <w:sz w:val="16"/>
        </w:rPr>
        <w:t xml:space="preserve"> </w:t>
      </w:r>
      <w:r>
        <w:rPr>
          <w:rFonts w:ascii="Avenir Next"/>
          <w:sz w:val="16"/>
        </w:rPr>
        <w:t>the</w:t>
      </w:r>
      <w:r>
        <w:rPr>
          <w:rFonts w:ascii="Avenir Next"/>
          <w:spacing w:val="-1"/>
          <w:sz w:val="16"/>
        </w:rPr>
        <w:t xml:space="preserve"> </w:t>
      </w:r>
      <w:r>
        <w:rPr>
          <w:rFonts w:ascii="Avenir Next"/>
          <w:sz w:val="16"/>
        </w:rPr>
        <w:t>willingness</w:t>
      </w:r>
      <w:r>
        <w:rPr>
          <w:rFonts w:ascii="Avenir Next"/>
          <w:spacing w:val="-1"/>
          <w:sz w:val="16"/>
        </w:rPr>
        <w:t xml:space="preserve"> </w:t>
      </w:r>
      <w:r>
        <w:rPr>
          <w:rFonts w:ascii="Avenir Next"/>
          <w:sz w:val="16"/>
        </w:rPr>
        <w:t>to</w:t>
      </w:r>
      <w:r>
        <w:rPr>
          <w:rFonts w:ascii="Avenir Next"/>
          <w:spacing w:val="-1"/>
          <w:sz w:val="16"/>
        </w:rPr>
        <w:t xml:space="preserve"> </w:t>
      </w:r>
      <w:r>
        <w:rPr>
          <w:rFonts w:ascii="Avenir Next"/>
          <w:sz w:val="16"/>
        </w:rPr>
        <w:t>pay analysis</w:t>
      </w:r>
      <w:r>
        <w:rPr>
          <w:rFonts w:ascii="Avenir Next"/>
          <w:spacing w:val="-1"/>
          <w:sz w:val="16"/>
        </w:rPr>
        <w:t xml:space="preserve"> </w:t>
      </w:r>
      <w:r>
        <w:rPr>
          <w:rFonts w:ascii="Avenir Next"/>
          <w:sz w:val="16"/>
        </w:rPr>
        <w:t>underlying</w:t>
      </w:r>
      <w:r>
        <w:rPr>
          <w:rFonts w:ascii="Avenir Next"/>
          <w:spacing w:val="-1"/>
          <w:sz w:val="16"/>
        </w:rPr>
        <w:t xml:space="preserve"> </w:t>
      </w:r>
      <w:r>
        <w:rPr>
          <w:rFonts w:ascii="Avenir Next"/>
          <w:sz w:val="16"/>
        </w:rPr>
        <w:t>the</w:t>
      </w:r>
      <w:r>
        <w:rPr>
          <w:rFonts w:ascii="Avenir Next"/>
          <w:spacing w:val="-1"/>
          <w:sz w:val="16"/>
        </w:rPr>
        <w:t xml:space="preserve"> </w:t>
      </w:r>
      <w:r>
        <w:rPr>
          <w:rFonts w:ascii="Avenir Next"/>
          <w:sz w:val="16"/>
        </w:rPr>
        <w:t xml:space="preserve">benefits </w:t>
      </w:r>
      <w:r>
        <w:rPr>
          <w:rFonts w:ascii="Avenir Next"/>
          <w:spacing w:val="-1"/>
          <w:sz w:val="16"/>
        </w:rPr>
        <w:t xml:space="preserve">profile </w:t>
      </w:r>
      <w:r>
        <w:rPr>
          <w:rFonts w:ascii="Avenir Next"/>
          <w:sz w:val="16"/>
        </w:rPr>
        <w:t>may</w:t>
      </w:r>
      <w:r>
        <w:rPr>
          <w:rFonts w:ascii="Avenir Next"/>
          <w:spacing w:val="-1"/>
          <w:sz w:val="16"/>
        </w:rPr>
        <w:t xml:space="preserve"> </w:t>
      </w:r>
      <w:r>
        <w:rPr>
          <w:rFonts w:ascii="Avenir Next"/>
          <w:sz w:val="16"/>
        </w:rPr>
        <w:t>not</w:t>
      </w:r>
      <w:r>
        <w:rPr>
          <w:rFonts w:ascii="Avenir Next"/>
          <w:spacing w:val="-1"/>
          <w:sz w:val="16"/>
        </w:rPr>
        <w:t xml:space="preserve"> reflect</w:t>
      </w:r>
      <w:r>
        <w:rPr>
          <w:rFonts w:ascii="Avenir Next"/>
          <w:sz w:val="16"/>
        </w:rPr>
        <w:t xml:space="preserve"> the</w:t>
      </w:r>
      <w:r>
        <w:rPr>
          <w:rFonts w:ascii="Avenir Next"/>
          <w:spacing w:val="-1"/>
          <w:sz w:val="16"/>
        </w:rPr>
        <w:t xml:space="preserve"> mandated </w:t>
      </w:r>
      <w:r>
        <w:rPr>
          <w:rFonts w:ascii="Avenir Next"/>
          <w:sz w:val="16"/>
        </w:rPr>
        <w:t>service level</w:t>
      </w:r>
      <w:r>
        <w:rPr>
          <w:rFonts w:ascii="Avenir Next"/>
          <w:spacing w:val="-1"/>
          <w:sz w:val="16"/>
        </w:rPr>
        <w:t xml:space="preserve"> that</w:t>
      </w:r>
      <w:r>
        <w:rPr>
          <w:rFonts w:ascii="Avenir Next"/>
          <w:spacing w:val="-4"/>
          <w:sz w:val="16"/>
        </w:rPr>
        <w:t xml:space="preserve"> </w:t>
      </w:r>
      <w:r>
        <w:rPr>
          <w:rFonts w:ascii="Avenir Next"/>
          <w:spacing w:val="-1"/>
          <w:sz w:val="16"/>
        </w:rPr>
        <w:t>ACTEW</w:t>
      </w:r>
      <w:r>
        <w:rPr>
          <w:rFonts w:ascii="Avenir Next"/>
          <w:spacing w:val="-3"/>
          <w:sz w:val="16"/>
        </w:rPr>
        <w:t xml:space="preserve"> </w:t>
      </w:r>
      <w:r>
        <w:rPr>
          <w:rFonts w:ascii="Avenir Next"/>
          <w:sz w:val="16"/>
        </w:rPr>
        <w:t>is</w:t>
      </w:r>
      <w:r>
        <w:rPr>
          <w:rFonts w:ascii="Avenir Next"/>
          <w:spacing w:val="35"/>
          <w:sz w:val="16"/>
        </w:rPr>
        <w:t xml:space="preserve"> </w:t>
      </w:r>
      <w:r>
        <w:rPr>
          <w:rFonts w:ascii="Avenir Next"/>
          <w:spacing w:val="-1"/>
          <w:sz w:val="16"/>
        </w:rPr>
        <w:t>required</w:t>
      </w:r>
      <w:r>
        <w:rPr>
          <w:rFonts w:ascii="Avenir Next"/>
          <w:sz w:val="16"/>
        </w:rPr>
        <w:t xml:space="preserve"> to comply with (ie,</w:t>
      </w:r>
      <w:r>
        <w:rPr>
          <w:rFonts w:ascii="Avenir Next"/>
          <w:spacing w:val="-5"/>
          <w:sz w:val="16"/>
        </w:rPr>
        <w:t xml:space="preserve"> </w:t>
      </w:r>
      <w:r>
        <w:rPr>
          <w:rFonts w:ascii="Avenir Next"/>
          <w:sz w:val="16"/>
        </w:rPr>
        <w:t xml:space="preserve">the </w:t>
      </w:r>
      <w:r>
        <w:rPr>
          <w:rFonts w:ascii="Avenir Next"/>
          <w:spacing w:val="-1"/>
          <w:sz w:val="16"/>
        </w:rPr>
        <w:t>current</w:t>
      </w:r>
      <w:r>
        <w:rPr>
          <w:rFonts w:ascii="Avenir Next"/>
          <w:sz w:val="16"/>
        </w:rPr>
        <w:t xml:space="preserve"> </w:t>
      </w:r>
      <w:r>
        <w:rPr>
          <w:rFonts w:ascii="Avenir Next"/>
          <w:spacing w:val="-1"/>
          <w:sz w:val="16"/>
        </w:rPr>
        <w:t>water</w:t>
      </w:r>
      <w:r>
        <w:rPr>
          <w:rFonts w:ascii="Avenir Next"/>
          <w:sz w:val="16"/>
        </w:rPr>
        <w:t xml:space="preserve"> supply system should meet </w:t>
      </w:r>
      <w:r>
        <w:rPr>
          <w:rFonts w:ascii="Avenir Next"/>
          <w:spacing w:val="-1"/>
          <w:sz w:val="16"/>
        </w:rPr>
        <w:t>unrestricted</w:t>
      </w:r>
      <w:r>
        <w:rPr>
          <w:rFonts w:ascii="Avenir Next"/>
          <w:sz w:val="16"/>
        </w:rPr>
        <w:t xml:space="preserve"> demand 95% of</w:t>
      </w:r>
      <w:r>
        <w:rPr>
          <w:rFonts w:ascii="Avenir Next"/>
          <w:spacing w:val="3"/>
          <w:sz w:val="16"/>
        </w:rPr>
        <w:t xml:space="preserve"> </w:t>
      </w:r>
      <w:r>
        <w:rPr>
          <w:rFonts w:ascii="Avenir Next"/>
          <w:sz w:val="16"/>
        </w:rPr>
        <w:t xml:space="preserve">the time until </w:t>
      </w:r>
      <w:r>
        <w:rPr>
          <w:rFonts w:ascii="Avenir Next"/>
          <w:spacing w:val="-1"/>
          <w:sz w:val="16"/>
        </w:rPr>
        <w:t>at</w:t>
      </w:r>
      <w:r>
        <w:rPr>
          <w:rFonts w:ascii="Avenir Next"/>
          <w:spacing w:val="37"/>
          <w:sz w:val="16"/>
        </w:rPr>
        <w:t xml:space="preserve"> </w:t>
      </w:r>
      <w:r>
        <w:rPr>
          <w:rFonts w:ascii="Avenir Next"/>
          <w:spacing w:val="-1"/>
          <w:sz w:val="16"/>
        </w:rPr>
        <w:t>least</w:t>
      </w:r>
      <w:r>
        <w:rPr>
          <w:rFonts w:ascii="Avenir Next"/>
          <w:sz w:val="16"/>
        </w:rPr>
        <w:t xml:space="preserve"> 2030).</w:t>
      </w:r>
      <w:r>
        <w:rPr>
          <w:rFonts w:ascii="Avenir Next"/>
          <w:spacing w:val="-5"/>
          <w:sz w:val="16"/>
        </w:rPr>
        <w:t xml:space="preserve"> </w:t>
      </w:r>
      <w:r>
        <w:rPr>
          <w:rFonts w:ascii="Avenir Next"/>
          <w:spacing w:val="-1"/>
          <w:sz w:val="16"/>
        </w:rPr>
        <w:t>Cardno</w:t>
      </w:r>
      <w:r>
        <w:rPr>
          <w:rFonts w:ascii="Avenir Next"/>
          <w:sz w:val="16"/>
        </w:rPr>
        <w:t xml:space="preserve"> </w:t>
      </w:r>
      <w:r>
        <w:rPr>
          <w:rFonts w:ascii="Avenir Next"/>
          <w:spacing w:val="-1"/>
          <w:sz w:val="16"/>
        </w:rPr>
        <w:t>therefore</w:t>
      </w:r>
      <w:r>
        <w:rPr>
          <w:rFonts w:ascii="Avenir Next"/>
          <w:sz w:val="16"/>
        </w:rPr>
        <w:t xml:space="preserve"> cautioned the </w:t>
      </w:r>
      <w:r>
        <w:rPr>
          <w:rFonts w:ascii="Avenir Next"/>
          <w:spacing w:val="-2"/>
          <w:sz w:val="16"/>
        </w:rPr>
        <w:t>Panel</w:t>
      </w:r>
      <w:r>
        <w:rPr>
          <w:rFonts w:ascii="Avenir Next"/>
          <w:sz w:val="16"/>
        </w:rPr>
        <w:t xml:space="preserve"> against </w:t>
      </w:r>
      <w:r>
        <w:rPr>
          <w:rFonts w:ascii="Avenir Next"/>
          <w:spacing w:val="-1"/>
          <w:sz w:val="16"/>
        </w:rPr>
        <w:t>relying</w:t>
      </w:r>
      <w:r>
        <w:rPr>
          <w:rFonts w:ascii="Avenir Next"/>
          <w:sz w:val="16"/>
        </w:rPr>
        <w:t xml:space="preserve"> on this analysis.</w:t>
      </w:r>
    </w:p>
    <w:p w:rsidR="00D96B91" w:rsidRDefault="00C2656B">
      <w:pPr>
        <w:spacing w:before="98"/>
        <w:ind w:left="1757"/>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93-95.</w:t>
      </w:r>
    </w:p>
    <w:p w:rsidR="00D96B91" w:rsidRDefault="00C2656B">
      <w:pPr>
        <w:numPr>
          <w:ilvl w:val="0"/>
          <w:numId w:val="79"/>
        </w:numPr>
        <w:tabs>
          <w:tab w:val="left" w:pos="1758"/>
        </w:tabs>
        <w:spacing w:before="128" w:line="192" w:lineRule="exact"/>
        <w:ind w:right="1283" w:hanging="510"/>
        <w:rPr>
          <w:rFonts w:ascii="Avenir Next" w:eastAsia="Avenir Next" w:hAnsi="Avenir Next" w:cs="Avenir Next"/>
          <w:sz w:val="16"/>
          <w:szCs w:val="16"/>
        </w:rPr>
      </w:pPr>
      <w:r>
        <w:rPr>
          <w:rFonts w:ascii="Avenir Next"/>
          <w:spacing w:val="-1"/>
          <w:sz w:val="16"/>
        </w:rPr>
        <w:t>The</w:t>
      </w:r>
      <w:r>
        <w:rPr>
          <w:rFonts w:ascii="Avenir Next"/>
          <w:sz w:val="16"/>
        </w:rPr>
        <w:t xml:space="preserve"> service </w:t>
      </w:r>
      <w:r>
        <w:rPr>
          <w:rFonts w:ascii="Avenir Next"/>
          <w:spacing w:val="-1"/>
          <w:sz w:val="16"/>
        </w:rPr>
        <w:t>standard</w:t>
      </w:r>
      <w:r>
        <w:rPr>
          <w:rFonts w:ascii="Avenir Next"/>
          <w:sz w:val="16"/>
        </w:rPr>
        <w:t xml:space="preserve"> </w:t>
      </w:r>
      <w:r>
        <w:rPr>
          <w:rFonts w:ascii="Avenir Next"/>
          <w:spacing w:val="-1"/>
          <w:sz w:val="16"/>
        </w:rPr>
        <w:t>states</w:t>
      </w:r>
      <w:r>
        <w:rPr>
          <w:rFonts w:ascii="Avenir Next"/>
          <w:sz w:val="16"/>
        </w:rPr>
        <w:t xml:space="preserve"> </w:t>
      </w:r>
      <w:r>
        <w:rPr>
          <w:rFonts w:ascii="Avenir Next"/>
          <w:spacing w:val="-1"/>
          <w:sz w:val="16"/>
        </w:rPr>
        <w:t>that</w:t>
      </w:r>
      <w:r>
        <w:rPr>
          <w:rFonts w:ascii="Avenir Next"/>
          <w:sz w:val="16"/>
        </w:rPr>
        <w:t xml:space="preserve"> the </w:t>
      </w:r>
      <w:r>
        <w:rPr>
          <w:rFonts w:ascii="Avenir Next"/>
          <w:spacing w:val="-1"/>
          <w:sz w:val="16"/>
        </w:rPr>
        <w:t>current</w:t>
      </w:r>
      <w:r>
        <w:rPr>
          <w:rFonts w:ascii="Avenir Next"/>
          <w:sz w:val="16"/>
        </w:rPr>
        <w:t xml:space="preserve"> </w:t>
      </w:r>
      <w:r>
        <w:rPr>
          <w:rFonts w:ascii="Avenir Next"/>
          <w:spacing w:val="-1"/>
          <w:sz w:val="16"/>
        </w:rPr>
        <w:t>water</w:t>
      </w:r>
      <w:r>
        <w:rPr>
          <w:rFonts w:ascii="Avenir Next"/>
          <w:sz w:val="16"/>
        </w:rPr>
        <w:t xml:space="preserve"> supply system should meet </w:t>
      </w:r>
      <w:r>
        <w:rPr>
          <w:rFonts w:ascii="Avenir Next"/>
          <w:spacing w:val="-1"/>
          <w:sz w:val="16"/>
        </w:rPr>
        <w:t>unrestricted</w:t>
      </w:r>
      <w:r>
        <w:rPr>
          <w:rFonts w:ascii="Avenir Next"/>
          <w:sz w:val="16"/>
        </w:rPr>
        <w:t xml:space="preserve"> demand for the</w:t>
      </w:r>
      <w:r>
        <w:rPr>
          <w:rFonts w:ascii="Avenir Next"/>
          <w:spacing w:val="-3"/>
          <w:sz w:val="16"/>
        </w:rPr>
        <w:t xml:space="preserve"> </w:t>
      </w:r>
      <w:r>
        <w:rPr>
          <w:rFonts w:ascii="Avenir Next"/>
          <w:spacing w:val="-2"/>
          <w:sz w:val="16"/>
        </w:rPr>
        <w:t>ACT</w:t>
      </w:r>
      <w:r>
        <w:rPr>
          <w:rFonts w:ascii="Avenir Next"/>
          <w:spacing w:val="-4"/>
          <w:sz w:val="16"/>
        </w:rPr>
        <w:t xml:space="preserve"> </w:t>
      </w:r>
      <w:r>
        <w:rPr>
          <w:rFonts w:ascii="Avenir Next"/>
          <w:sz w:val="16"/>
        </w:rPr>
        <w:t>and</w:t>
      </w:r>
      <w:r>
        <w:rPr>
          <w:rFonts w:ascii="Avenir Next"/>
          <w:spacing w:val="59"/>
          <w:sz w:val="16"/>
        </w:rPr>
        <w:t xml:space="preserve"> </w:t>
      </w:r>
      <w:r>
        <w:rPr>
          <w:rFonts w:ascii="Avenir Next"/>
          <w:spacing w:val="-1"/>
          <w:sz w:val="16"/>
        </w:rPr>
        <w:t>Queanbeyan</w:t>
      </w:r>
      <w:r>
        <w:rPr>
          <w:rFonts w:ascii="Avenir Next"/>
          <w:sz w:val="16"/>
        </w:rPr>
        <w:t xml:space="preserve"> 95% of</w:t>
      </w:r>
      <w:r>
        <w:rPr>
          <w:rFonts w:ascii="Avenir Next"/>
          <w:spacing w:val="3"/>
          <w:sz w:val="16"/>
        </w:rPr>
        <w:t xml:space="preserve"> </w:t>
      </w:r>
      <w:r>
        <w:rPr>
          <w:rFonts w:ascii="Avenir Next"/>
          <w:sz w:val="16"/>
        </w:rPr>
        <w:t xml:space="preserve">the time until </w:t>
      </w:r>
      <w:r>
        <w:rPr>
          <w:rFonts w:ascii="Avenir Next"/>
          <w:spacing w:val="-1"/>
          <w:sz w:val="16"/>
        </w:rPr>
        <w:t>at</w:t>
      </w:r>
      <w:r>
        <w:rPr>
          <w:rFonts w:ascii="Avenir Next"/>
          <w:sz w:val="16"/>
        </w:rPr>
        <w:t xml:space="preserve"> </w:t>
      </w:r>
      <w:r>
        <w:rPr>
          <w:rFonts w:ascii="Avenir Next"/>
          <w:spacing w:val="-1"/>
          <w:sz w:val="16"/>
        </w:rPr>
        <w:t>least</w:t>
      </w:r>
      <w:r>
        <w:rPr>
          <w:rFonts w:ascii="Avenir Next"/>
          <w:sz w:val="16"/>
        </w:rPr>
        <w:t xml:space="preserve"> 2030.</w:t>
      </w:r>
      <w:r>
        <w:rPr>
          <w:rFonts w:ascii="Avenir Next"/>
          <w:spacing w:val="-5"/>
          <w:sz w:val="16"/>
        </w:rPr>
        <w:t xml:space="preserve"> </w:t>
      </w:r>
      <w:r>
        <w:rPr>
          <w:rFonts w:ascii="Avenir Next"/>
          <w:sz w:val="16"/>
        </w:rPr>
        <w:t>See,</w:t>
      </w:r>
      <w:r>
        <w:rPr>
          <w:rFonts w:ascii="Avenir Next"/>
          <w:spacing w:val="-8"/>
          <w:sz w:val="16"/>
        </w:rPr>
        <w:t xml:space="preserve"> </w:t>
      </w:r>
      <w:r>
        <w:rPr>
          <w:rFonts w:ascii="Avenir Next"/>
          <w:spacing w:val="-2"/>
          <w:sz w:val="16"/>
        </w:rPr>
        <w:t>ACT</w:t>
      </w:r>
      <w:r>
        <w:rPr>
          <w:rFonts w:ascii="Avenir Next"/>
          <w:spacing w:val="-4"/>
          <w:sz w:val="16"/>
        </w:rPr>
        <w:t xml:space="preserve"> </w:t>
      </w:r>
      <w:r>
        <w:rPr>
          <w:rFonts w:ascii="Avenir Next"/>
          <w:sz w:val="16"/>
        </w:rPr>
        <w:t>Government,</w:t>
      </w:r>
      <w:r>
        <w:rPr>
          <w:rFonts w:ascii="Avenir Next"/>
          <w:spacing w:val="-8"/>
          <w:sz w:val="16"/>
        </w:rPr>
        <w:t xml:space="preserve"> </w:t>
      </w:r>
      <w:r>
        <w:rPr>
          <w:rFonts w:ascii="Avenir Next"/>
          <w:spacing w:val="-2"/>
          <w:sz w:val="16"/>
        </w:rPr>
        <w:t>ACT</w:t>
      </w:r>
      <w:r>
        <w:rPr>
          <w:rFonts w:ascii="Avenir Next"/>
          <w:spacing w:val="-6"/>
          <w:sz w:val="16"/>
        </w:rPr>
        <w:t xml:space="preserve"> </w:t>
      </w:r>
      <w:r>
        <w:rPr>
          <w:rFonts w:ascii="Avenir Next"/>
          <w:spacing w:val="-2"/>
          <w:sz w:val="16"/>
        </w:rPr>
        <w:t>Water</w:t>
      </w:r>
      <w:r>
        <w:rPr>
          <w:rFonts w:ascii="Avenir Next"/>
          <w:sz w:val="16"/>
        </w:rPr>
        <w:t xml:space="preserve"> </w:t>
      </w:r>
      <w:r>
        <w:rPr>
          <w:rFonts w:ascii="Avenir Next"/>
          <w:spacing w:val="-1"/>
          <w:sz w:val="16"/>
        </w:rPr>
        <w:t>Strategy</w:t>
      </w:r>
      <w:r>
        <w:rPr>
          <w:rFonts w:ascii="Avenir Next"/>
          <w:sz w:val="16"/>
        </w:rPr>
        <w:t xml:space="preserve"> 2014-44: </w:t>
      </w:r>
      <w:r>
        <w:rPr>
          <w:rFonts w:ascii="Avenir Next"/>
          <w:spacing w:val="-1"/>
          <w:sz w:val="16"/>
        </w:rPr>
        <w:t>Striking</w:t>
      </w:r>
      <w:r>
        <w:rPr>
          <w:rFonts w:ascii="Avenir Next"/>
          <w:sz w:val="16"/>
        </w:rPr>
        <w:t xml:space="preserve"> the Balance,</w:t>
      </w:r>
      <w:r>
        <w:rPr>
          <w:rFonts w:ascii="Avenir Next"/>
          <w:spacing w:val="59"/>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20.</w:t>
      </w:r>
    </w:p>
    <w:p w:rsidR="00D96B91" w:rsidRDefault="00C2656B">
      <w:pPr>
        <w:numPr>
          <w:ilvl w:val="0"/>
          <w:numId w:val="79"/>
        </w:numPr>
        <w:tabs>
          <w:tab w:val="left" w:pos="1758"/>
        </w:tabs>
        <w:spacing w:before="141"/>
        <w:ind w:hanging="510"/>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96-98.</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line="267" w:lineRule="exact"/>
      </w:pPr>
      <w:r>
        <w:rPr>
          <w:spacing w:val="-3"/>
        </w:rPr>
        <w:t>Cardno’s</w:t>
      </w:r>
      <w:r>
        <w:t xml:space="preserve"> </w:t>
      </w:r>
      <w:r>
        <w:rPr>
          <w:spacing w:val="-1"/>
        </w:rPr>
        <w:t>estimate</w:t>
      </w:r>
      <w:r>
        <w:t xml:space="preserve"> of</w:t>
      </w:r>
      <w:r>
        <w:rPr>
          <w:spacing w:val="4"/>
        </w:rPr>
        <w:t xml:space="preserve"> </w:t>
      </w:r>
      <w:r>
        <w:t>the cost of</w:t>
      </w:r>
      <w:r>
        <w:rPr>
          <w:spacing w:val="4"/>
        </w:rPr>
        <w:t xml:space="preserve"> </w:t>
      </w:r>
      <w:r>
        <w:t>the</w:t>
      </w:r>
      <w:r>
        <w:rPr>
          <w:spacing w:val="-5"/>
        </w:rPr>
        <w:t xml:space="preserve"> </w:t>
      </w:r>
      <w:r>
        <w:rPr>
          <w:spacing w:val="-3"/>
        </w:rPr>
        <w:t>Tantangara</w:t>
      </w:r>
      <w:r>
        <w:rPr>
          <w:spacing w:val="-5"/>
        </w:rPr>
        <w:t xml:space="preserve"> </w:t>
      </w:r>
      <w:r>
        <w:rPr>
          <w:spacing w:val="-3"/>
        </w:rPr>
        <w:t>Transfer</w:t>
      </w:r>
      <w:r>
        <w:t xml:space="preserve"> Option is </w:t>
      </w:r>
      <w:r>
        <w:rPr>
          <w:spacing w:val="-1"/>
        </w:rPr>
        <w:t>approximately</w:t>
      </w:r>
      <w:r>
        <w:t xml:space="preserve"> $22 million</w:t>
      </w:r>
    </w:p>
    <w:p w:rsidR="00D96B91" w:rsidRDefault="00C2656B">
      <w:pPr>
        <w:pStyle w:val="BodyText"/>
        <w:spacing w:before="3" w:line="228" w:lineRule="auto"/>
        <w:ind w:right="1347" w:hanging="1"/>
      </w:pPr>
      <w:r>
        <w:rPr>
          <w:spacing w:val="-1"/>
        </w:rPr>
        <w:t>($2012-13).</w:t>
      </w:r>
      <w:r>
        <w:rPr>
          <w:spacing w:val="-1"/>
          <w:position w:val="7"/>
          <w:sz w:val="11"/>
          <w:szCs w:val="11"/>
        </w:rPr>
        <w:t>96</w:t>
      </w:r>
      <w:r>
        <w:rPr>
          <w:spacing w:val="22"/>
          <w:position w:val="7"/>
          <w:sz w:val="11"/>
          <w:szCs w:val="11"/>
        </w:rPr>
        <w:t xml:space="preserve"> </w:t>
      </w:r>
      <w:r>
        <w:t>Based</w:t>
      </w:r>
      <w:r>
        <w:rPr>
          <w:spacing w:val="1"/>
        </w:rPr>
        <w:t xml:space="preserve"> </w:t>
      </w:r>
      <w:r>
        <w:t>on the</w:t>
      </w:r>
      <w:r>
        <w:rPr>
          <w:spacing w:val="1"/>
        </w:rPr>
        <w:t xml:space="preserve"> </w:t>
      </w:r>
      <w:r>
        <w:rPr>
          <w:spacing w:val="-4"/>
        </w:rPr>
        <w:t>Panel’s</w:t>
      </w:r>
      <w:r>
        <w:t xml:space="preserve"> own analysis</w:t>
      </w:r>
      <w:r>
        <w:rPr>
          <w:spacing w:val="1"/>
        </w:rPr>
        <w:t xml:space="preserve"> </w:t>
      </w:r>
      <w:r>
        <w:t>the annual</w:t>
      </w:r>
      <w:r>
        <w:rPr>
          <w:spacing w:val="1"/>
        </w:rPr>
        <w:t xml:space="preserve"> </w:t>
      </w:r>
      <w:r>
        <w:t>cost of</w:t>
      </w:r>
      <w:r>
        <w:rPr>
          <w:spacing w:val="4"/>
        </w:rPr>
        <w:t xml:space="preserve"> </w:t>
      </w:r>
      <w:r>
        <w:t>the</w:t>
      </w:r>
      <w:r>
        <w:rPr>
          <w:spacing w:val="1"/>
        </w:rPr>
        <w:t xml:space="preserve"> </w:t>
      </w:r>
      <w:r>
        <w:t>ECD and</w:t>
      </w:r>
      <w:r>
        <w:rPr>
          <w:spacing w:val="1"/>
        </w:rPr>
        <w:t xml:space="preserve"> </w:t>
      </w:r>
      <w:r>
        <w:t xml:space="preserve">M2G </w:t>
      </w:r>
      <w:r>
        <w:rPr>
          <w:spacing w:val="-1"/>
        </w:rPr>
        <w:t>projects</w:t>
      </w:r>
      <w:r>
        <w:t xml:space="preserve"> under</w:t>
      </w:r>
      <w:r>
        <w:rPr>
          <w:spacing w:val="45"/>
        </w:rPr>
        <w:t xml:space="preserve"> </w:t>
      </w:r>
      <w:r>
        <w:t xml:space="preserve">the </w:t>
      </w:r>
      <w:r>
        <w:rPr>
          <w:spacing w:val="-1"/>
        </w:rPr>
        <w:t>traditional</w:t>
      </w:r>
      <w:r>
        <w:t xml:space="preserve"> </w:t>
      </w:r>
      <w:r>
        <w:rPr>
          <w:spacing w:val="-1"/>
        </w:rPr>
        <w:t>straight</w:t>
      </w:r>
      <w:r>
        <w:t xml:space="preserve"> line </w:t>
      </w:r>
      <w:r>
        <w:rPr>
          <w:spacing w:val="-1"/>
        </w:rPr>
        <w:t>depreciation</w:t>
      </w:r>
      <w:r>
        <w:t xml:space="preserve"> </w:t>
      </w:r>
      <w:r>
        <w:rPr>
          <w:spacing w:val="-1"/>
        </w:rPr>
        <w:t>approach</w:t>
      </w:r>
      <w:r>
        <w:t xml:space="preserve"> is </w:t>
      </w:r>
      <w:r>
        <w:rPr>
          <w:spacing w:val="-1"/>
        </w:rPr>
        <w:t>approximately</w:t>
      </w:r>
      <w:r>
        <w:t xml:space="preserve"> $31 million.</w:t>
      </w:r>
      <w:r>
        <w:rPr>
          <w:spacing w:val="-11"/>
        </w:rPr>
        <w:t xml:space="preserve"> </w:t>
      </w:r>
      <w:r>
        <w:rPr>
          <w:spacing w:val="-2"/>
        </w:rPr>
        <w:t>Therefore,</w:t>
      </w:r>
      <w:r>
        <w:rPr>
          <w:spacing w:val="-6"/>
        </w:rPr>
        <w:t xml:space="preserve"> </w:t>
      </w:r>
      <w:r>
        <w:t xml:space="preserve">the </w:t>
      </w:r>
      <w:r>
        <w:rPr>
          <w:spacing w:val="-1"/>
        </w:rPr>
        <w:t>results</w:t>
      </w:r>
      <w:r>
        <w:rPr>
          <w:spacing w:val="79"/>
        </w:rPr>
        <w:t xml:space="preserve"> </w:t>
      </w:r>
      <w:r>
        <w:t>of</w:t>
      </w:r>
      <w:r>
        <w:rPr>
          <w:spacing w:val="4"/>
        </w:rPr>
        <w:t xml:space="preserve"> </w:t>
      </w:r>
      <w:r>
        <w:rPr>
          <w:spacing w:val="-3"/>
        </w:rPr>
        <w:t>Cardno’s</w:t>
      </w:r>
      <w:r>
        <w:t xml:space="preserve"> analysis suggests </w:t>
      </w:r>
      <w:r>
        <w:rPr>
          <w:spacing w:val="-1"/>
        </w:rPr>
        <w:t>that</w:t>
      </w:r>
      <w:r>
        <w:t xml:space="preserve"> the </w:t>
      </w:r>
      <w:r>
        <w:rPr>
          <w:spacing w:val="-1"/>
        </w:rPr>
        <w:t>recovery</w:t>
      </w:r>
      <w:r>
        <w:t xml:space="preserve"> of</w:t>
      </w:r>
      <w:r>
        <w:rPr>
          <w:spacing w:val="4"/>
        </w:rPr>
        <w:t xml:space="preserve"> </w:t>
      </w:r>
      <w:r>
        <w:t>up to 30% of</w:t>
      </w:r>
      <w:r>
        <w:rPr>
          <w:spacing w:val="4"/>
        </w:rPr>
        <w:t xml:space="preserve"> </w:t>
      </w:r>
      <w:r>
        <w:t xml:space="preserve">the annual capital costs </w:t>
      </w:r>
      <w:r>
        <w:rPr>
          <w:spacing w:val="-1"/>
        </w:rPr>
        <w:t>associated</w:t>
      </w:r>
      <w:r>
        <w:t xml:space="preserve"> with</w:t>
      </w:r>
    </w:p>
    <w:p w:rsidR="00D96B91" w:rsidRDefault="00C2656B">
      <w:pPr>
        <w:pStyle w:val="BodyText"/>
        <w:spacing w:line="377" w:lineRule="auto"/>
        <w:ind w:right="1256"/>
      </w:pPr>
      <w:r>
        <w:t xml:space="preserve">these two </w:t>
      </w:r>
      <w:r>
        <w:rPr>
          <w:spacing w:val="-1"/>
        </w:rPr>
        <w:t>projects</w:t>
      </w:r>
      <w:r>
        <w:t xml:space="preserve"> could be </w:t>
      </w:r>
      <w:r>
        <w:rPr>
          <w:spacing w:val="-1"/>
        </w:rPr>
        <w:t>deferred</w:t>
      </w:r>
      <w:r>
        <w:t xml:space="preserve"> to </w:t>
      </w:r>
      <w:r>
        <w:rPr>
          <w:spacing w:val="-1"/>
        </w:rPr>
        <w:t>future</w:t>
      </w:r>
      <w:r>
        <w:t xml:space="preserve"> </w:t>
      </w:r>
      <w:r>
        <w:rPr>
          <w:spacing w:val="-1"/>
        </w:rPr>
        <w:t>regulatory</w:t>
      </w:r>
      <w:r>
        <w:t xml:space="preserve"> periods on </w:t>
      </w:r>
      <w:r>
        <w:rPr>
          <w:spacing w:val="-1"/>
        </w:rPr>
        <w:t>intergenerational</w:t>
      </w:r>
      <w:r>
        <w:t xml:space="preserve"> equity </w:t>
      </w:r>
      <w:r>
        <w:rPr>
          <w:spacing w:val="-1"/>
        </w:rPr>
        <w:t>grounds.</w:t>
      </w:r>
      <w:r>
        <w:rPr>
          <w:spacing w:val="53"/>
        </w:rPr>
        <w:t xml:space="preserve"> </w:t>
      </w:r>
      <w:r>
        <w:rPr>
          <w:spacing w:val="-2"/>
        </w:rPr>
        <w:t>Finally,</w:t>
      </w:r>
      <w:r>
        <w:rPr>
          <w:spacing w:val="-6"/>
        </w:rPr>
        <w:t xml:space="preserve"> </w:t>
      </w:r>
      <w:r>
        <w:t xml:space="preserve">it is </w:t>
      </w:r>
      <w:r>
        <w:rPr>
          <w:spacing w:val="-1"/>
        </w:rPr>
        <w:t>worth</w:t>
      </w:r>
      <w:r>
        <w:t xml:space="preserve"> noting </w:t>
      </w:r>
      <w:r>
        <w:rPr>
          <w:spacing w:val="-1"/>
        </w:rPr>
        <w:t>that</w:t>
      </w:r>
      <w:r>
        <w:t xml:space="preserve"> in its </w:t>
      </w:r>
      <w:r>
        <w:rPr>
          <w:spacing w:val="-1"/>
        </w:rPr>
        <w:t>report,</w:t>
      </w:r>
      <w:r>
        <w:rPr>
          <w:spacing w:val="-6"/>
        </w:rPr>
        <w:t xml:space="preserve"> </w:t>
      </w:r>
      <w:r>
        <w:rPr>
          <w:spacing w:val="-2"/>
        </w:rPr>
        <w:t>Cardno</w:t>
      </w:r>
      <w:r>
        <w:t xml:space="preserve"> has made it </w:t>
      </w:r>
      <w:r>
        <w:rPr>
          <w:spacing w:val="-1"/>
        </w:rPr>
        <w:t>clear</w:t>
      </w:r>
      <w:r>
        <w:t xml:space="preserve"> </w:t>
      </w:r>
      <w:r>
        <w:rPr>
          <w:spacing w:val="-1"/>
        </w:rPr>
        <w:t>that:</w:t>
      </w:r>
    </w:p>
    <w:p w:rsidR="00D96B91" w:rsidRDefault="00C2656B">
      <w:pPr>
        <w:pStyle w:val="BodyText"/>
        <w:numPr>
          <w:ilvl w:val="0"/>
          <w:numId w:val="131"/>
        </w:numPr>
        <w:tabs>
          <w:tab w:val="left" w:pos="1531"/>
        </w:tabs>
        <w:spacing w:before="9" w:line="228" w:lineRule="auto"/>
        <w:ind w:right="1613" w:hanging="283"/>
      </w:pPr>
      <w:r>
        <w:t xml:space="preserve">it </w:t>
      </w:r>
      <w:r>
        <w:rPr>
          <w:spacing w:val="-1"/>
        </w:rPr>
        <w:t>estimated</w:t>
      </w:r>
      <w:r>
        <w:t xml:space="preserve"> the costs of</w:t>
      </w:r>
      <w:r>
        <w:rPr>
          <w:spacing w:val="4"/>
        </w:rPr>
        <w:t xml:space="preserve"> </w:t>
      </w:r>
      <w:r>
        <w:t>the</w:t>
      </w:r>
      <w:r>
        <w:rPr>
          <w:spacing w:val="-5"/>
        </w:rPr>
        <w:t xml:space="preserve"> </w:t>
      </w:r>
      <w:r>
        <w:rPr>
          <w:spacing w:val="-3"/>
        </w:rPr>
        <w:t>Tantangara</w:t>
      </w:r>
      <w:r>
        <w:rPr>
          <w:spacing w:val="-5"/>
        </w:rPr>
        <w:t xml:space="preserve"> </w:t>
      </w:r>
      <w:r>
        <w:rPr>
          <w:spacing w:val="-3"/>
        </w:rPr>
        <w:t>Transfer</w:t>
      </w:r>
      <w:r>
        <w:t xml:space="preserve"> Option only for the purpose of</w:t>
      </w:r>
      <w:r>
        <w:rPr>
          <w:spacing w:val="4"/>
        </w:rPr>
        <w:t xml:space="preserve"> </w:t>
      </w:r>
      <w:r>
        <w:rPr>
          <w:spacing w:val="-1"/>
        </w:rPr>
        <w:t>apportioning</w:t>
      </w:r>
      <w:r>
        <w:t xml:space="preserve"> the</w:t>
      </w:r>
      <w:r>
        <w:rPr>
          <w:spacing w:val="51"/>
        </w:rPr>
        <w:t xml:space="preserve"> </w:t>
      </w:r>
      <w:r>
        <w:t>total cost of</w:t>
      </w:r>
      <w:r>
        <w:rPr>
          <w:spacing w:val="4"/>
        </w:rPr>
        <w:t xml:space="preserve"> </w:t>
      </w:r>
      <w:r>
        <w:t xml:space="preserve">the ECD and M2G between </w:t>
      </w:r>
      <w:r>
        <w:rPr>
          <w:spacing w:val="-1"/>
        </w:rPr>
        <w:t>current</w:t>
      </w:r>
      <w:r>
        <w:t xml:space="preserve"> and </w:t>
      </w:r>
      <w:r>
        <w:rPr>
          <w:spacing w:val="-1"/>
        </w:rPr>
        <w:t>future</w:t>
      </w:r>
      <w:r>
        <w:t xml:space="preserve"> customers,</w:t>
      </w:r>
      <w:r>
        <w:rPr>
          <w:spacing w:val="-6"/>
        </w:rPr>
        <w:t xml:space="preserve"> </w:t>
      </w:r>
      <w:r>
        <w:t>and</w:t>
      </w:r>
    </w:p>
    <w:p w:rsidR="00D96B91" w:rsidRDefault="00C2656B">
      <w:pPr>
        <w:pStyle w:val="BodyText"/>
        <w:numPr>
          <w:ilvl w:val="0"/>
          <w:numId w:val="131"/>
        </w:numPr>
        <w:tabs>
          <w:tab w:val="left" w:pos="1531"/>
        </w:tabs>
        <w:spacing w:before="67" w:line="260" w:lineRule="exact"/>
        <w:ind w:right="1685" w:hanging="283"/>
        <w:jc w:val="both"/>
      </w:pPr>
      <w:r>
        <w:t xml:space="preserve">with the limited </w:t>
      </w:r>
      <w:r>
        <w:rPr>
          <w:spacing w:val="-1"/>
        </w:rPr>
        <w:t>information</w:t>
      </w:r>
      <w:r>
        <w:t xml:space="preserve"> and time available and without detailed knowledge of</w:t>
      </w:r>
      <w:r>
        <w:rPr>
          <w:spacing w:val="4"/>
        </w:rPr>
        <w:t xml:space="preserve"> </w:t>
      </w:r>
      <w:r>
        <w:rPr>
          <w:spacing w:val="-1"/>
        </w:rPr>
        <w:t>hydrological</w:t>
      </w:r>
      <w:r>
        <w:rPr>
          <w:spacing w:val="33"/>
        </w:rPr>
        <w:t xml:space="preserve"> </w:t>
      </w:r>
      <w:r>
        <w:t>modelling,</w:t>
      </w:r>
      <w:r>
        <w:rPr>
          <w:spacing w:val="-6"/>
        </w:rPr>
        <w:t xml:space="preserve"> </w:t>
      </w:r>
      <w:r>
        <w:t>or legalities of</w:t>
      </w:r>
      <w:r>
        <w:rPr>
          <w:spacing w:val="4"/>
        </w:rPr>
        <w:t xml:space="preserve"> </w:t>
      </w:r>
      <w:r>
        <w:rPr>
          <w:spacing w:val="-1"/>
        </w:rPr>
        <w:t>purchasing</w:t>
      </w:r>
      <w:r>
        <w:t xml:space="preserve"> high security </w:t>
      </w:r>
      <w:r>
        <w:rPr>
          <w:spacing w:val="-1"/>
        </w:rPr>
        <w:t>water</w:t>
      </w:r>
      <w:r>
        <w:t xml:space="preserve"> </w:t>
      </w:r>
      <w:r>
        <w:rPr>
          <w:spacing w:val="-1"/>
        </w:rPr>
        <w:t>from</w:t>
      </w:r>
      <w:r>
        <w:t xml:space="preserve"> the</w:t>
      </w:r>
      <w:r>
        <w:rPr>
          <w:spacing w:val="-5"/>
        </w:rPr>
        <w:t xml:space="preserve"> </w:t>
      </w:r>
      <w:r>
        <w:rPr>
          <w:spacing w:val="-3"/>
        </w:rPr>
        <w:t>Tantangara</w:t>
      </w:r>
      <w:r>
        <w:t xml:space="preserve"> </w:t>
      </w:r>
      <w:r>
        <w:rPr>
          <w:spacing w:val="-1"/>
        </w:rPr>
        <w:t>Catchment,</w:t>
      </w:r>
      <w:r>
        <w:rPr>
          <w:spacing w:val="-6"/>
        </w:rPr>
        <w:t xml:space="preserve"> </w:t>
      </w:r>
      <w:r>
        <w:t>it was</w:t>
      </w:r>
      <w:r>
        <w:rPr>
          <w:spacing w:val="39"/>
        </w:rPr>
        <w:t xml:space="preserve"> </w:t>
      </w:r>
      <w:r>
        <w:t xml:space="preserve">unable to form an opinion about the best long-term </w:t>
      </w:r>
      <w:r>
        <w:rPr>
          <w:spacing w:val="-1"/>
        </w:rPr>
        <w:t>water</w:t>
      </w:r>
      <w:r>
        <w:t xml:space="preserve"> security option.</w:t>
      </w:r>
    </w:p>
    <w:p w:rsidR="00D96B91" w:rsidRDefault="00C2656B">
      <w:pPr>
        <w:pStyle w:val="BodyText"/>
        <w:spacing w:before="93"/>
      </w:pPr>
      <w:r>
        <w:t>In light of</w:t>
      </w:r>
      <w:r>
        <w:rPr>
          <w:spacing w:val="4"/>
        </w:rPr>
        <w:t xml:space="preserve"> </w:t>
      </w:r>
      <w:r>
        <w:t>the above,</w:t>
      </w:r>
      <w:r>
        <w:rPr>
          <w:spacing w:val="-6"/>
        </w:rPr>
        <w:t xml:space="preserve"> </w:t>
      </w:r>
      <w:r>
        <w:t xml:space="preserve">some </w:t>
      </w:r>
      <w:r>
        <w:rPr>
          <w:spacing w:val="-1"/>
        </w:rPr>
        <w:t>care</w:t>
      </w:r>
      <w:r>
        <w:t xml:space="preserve"> should be </w:t>
      </w:r>
      <w:r>
        <w:rPr>
          <w:spacing w:val="-1"/>
        </w:rPr>
        <w:t>taken</w:t>
      </w:r>
      <w:r>
        <w:t xml:space="preserve"> when </w:t>
      </w:r>
      <w:r>
        <w:rPr>
          <w:spacing w:val="-1"/>
        </w:rPr>
        <w:t>interpreting</w:t>
      </w:r>
      <w:r>
        <w:t xml:space="preserve"> the </w:t>
      </w:r>
      <w:r>
        <w:rPr>
          <w:spacing w:val="-1"/>
        </w:rPr>
        <w:t>results</w:t>
      </w:r>
      <w:r>
        <w:t xml:space="preserve"> of</w:t>
      </w:r>
      <w:r>
        <w:rPr>
          <w:spacing w:val="4"/>
        </w:rPr>
        <w:t xml:space="preserve"> </w:t>
      </w:r>
      <w:r>
        <w:t>its analysis.</w:t>
      </w:r>
    </w:p>
    <w:p w:rsidR="00D96B91" w:rsidRDefault="00D96B91">
      <w:pPr>
        <w:spacing w:before="9"/>
        <w:rPr>
          <w:rFonts w:ascii="Avenir Next" w:eastAsia="Avenir Next" w:hAnsi="Avenir Next" w:cs="Avenir Next"/>
          <w:sz w:val="18"/>
          <w:szCs w:val="18"/>
        </w:rPr>
      </w:pPr>
    </w:p>
    <w:p w:rsidR="00D96B91" w:rsidRDefault="00C2656B">
      <w:pPr>
        <w:pStyle w:val="Heading7"/>
        <w:tabs>
          <w:tab w:val="left" w:pos="2210"/>
        </w:tabs>
        <w:ind w:left="1247" w:firstLine="0"/>
        <w:rPr>
          <w:b w:val="0"/>
          <w:bCs w:val="0"/>
        </w:rPr>
      </w:pPr>
      <w:r>
        <w:rPr>
          <w:color w:val="0778BE"/>
        </w:rPr>
        <w:t>8.5.1.1</w:t>
      </w:r>
      <w:r>
        <w:rPr>
          <w:color w:val="0778BE"/>
        </w:rPr>
        <w:tab/>
      </w:r>
      <w:r>
        <w:rPr>
          <w:color w:val="0778BE"/>
          <w:spacing w:val="-4"/>
        </w:rPr>
        <w:t>Panel’s</w:t>
      </w:r>
      <w:r>
        <w:rPr>
          <w:color w:val="0778BE"/>
        </w:rPr>
        <w:t xml:space="preserve"> </w:t>
      </w:r>
      <w:r>
        <w:rPr>
          <w:color w:val="0778BE"/>
          <w:spacing w:val="-1"/>
        </w:rPr>
        <w:t>consideration</w:t>
      </w:r>
      <w:r>
        <w:rPr>
          <w:color w:val="0778BE"/>
        </w:rPr>
        <w:t xml:space="preserve"> of</w:t>
      </w:r>
      <w:r>
        <w:rPr>
          <w:color w:val="0778BE"/>
          <w:spacing w:val="5"/>
        </w:rPr>
        <w:t xml:space="preserve"> </w:t>
      </w:r>
      <w:r>
        <w:rPr>
          <w:color w:val="0778BE"/>
          <w:spacing w:val="-3"/>
        </w:rPr>
        <w:t>Cardno’s</w:t>
      </w:r>
      <w:r>
        <w:rPr>
          <w:color w:val="0778BE"/>
        </w:rPr>
        <w:t xml:space="preserve"> analysis</w:t>
      </w:r>
    </w:p>
    <w:p w:rsidR="00D96B91" w:rsidRDefault="00C2656B">
      <w:pPr>
        <w:pStyle w:val="BodyText"/>
        <w:spacing w:before="28" w:line="260" w:lineRule="exact"/>
        <w:ind w:right="1298"/>
      </w:pPr>
      <w:r>
        <w:rPr>
          <w:rFonts w:cs="Avenir Next"/>
          <w:spacing w:val="-2"/>
        </w:rPr>
        <w:t>The</w:t>
      </w:r>
      <w:r>
        <w:rPr>
          <w:rFonts w:cs="Avenir Next"/>
        </w:rPr>
        <w:t xml:space="preserve"> </w:t>
      </w:r>
      <w:r>
        <w:rPr>
          <w:rFonts w:cs="Avenir Next"/>
          <w:spacing w:val="-3"/>
        </w:rPr>
        <w:t>Panel</w:t>
      </w:r>
      <w:r>
        <w:rPr>
          <w:rFonts w:cs="Avenir Next"/>
        </w:rPr>
        <w:t xml:space="preserve"> understands </w:t>
      </w:r>
      <w:r>
        <w:rPr>
          <w:rFonts w:cs="Avenir Next"/>
          <w:spacing w:val="-1"/>
        </w:rPr>
        <w:t>that</w:t>
      </w:r>
      <w:r>
        <w:rPr>
          <w:rFonts w:cs="Avenir Next"/>
        </w:rPr>
        <w:t xml:space="preserve"> </w:t>
      </w:r>
      <w:r>
        <w:rPr>
          <w:rFonts w:cs="Avenir Next"/>
          <w:spacing w:val="-3"/>
        </w:rPr>
        <w:t>Cardno’s</w:t>
      </w:r>
      <w:r>
        <w:rPr>
          <w:rFonts w:cs="Avenir Next"/>
        </w:rPr>
        <w:t xml:space="preserve"> use of</w:t>
      </w:r>
      <w:r>
        <w:rPr>
          <w:rFonts w:cs="Avenir Next"/>
          <w:spacing w:val="4"/>
        </w:rPr>
        <w:t xml:space="preserve"> </w:t>
      </w:r>
      <w:r>
        <w:rPr>
          <w:rFonts w:cs="Avenir Next"/>
        </w:rPr>
        <w:t>the</w:t>
      </w:r>
      <w:r>
        <w:rPr>
          <w:rFonts w:cs="Avenir Next"/>
          <w:spacing w:val="-5"/>
        </w:rPr>
        <w:t xml:space="preserve"> </w:t>
      </w:r>
      <w:r>
        <w:rPr>
          <w:rFonts w:cs="Avenir Next"/>
          <w:spacing w:val="-3"/>
        </w:rPr>
        <w:t>Tantangara</w:t>
      </w:r>
      <w:r>
        <w:rPr>
          <w:rFonts w:cs="Avenir Next"/>
          <w:spacing w:val="-5"/>
        </w:rPr>
        <w:t xml:space="preserve"> </w:t>
      </w:r>
      <w:r>
        <w:rPr>
          <w:rFonts w:cs="Avenir Next"/>
          <w:spacing w:val="-3"/>
        </w:rPr>
        <w:t>Transfer</w:t>
      </w:r>
      <w:r>
        <w:rPr>
          <w:rFonts w:cs="Avenir Next"/>
        </w:rPr>
        <w:t xml:space="preserve"> Option to </w:t>
      </w:r>
      <w:r>
        <w:rPr>
          <w:rFonts w:cs="Avenir Next"/>
          <w:spacing w:val="-1"/>
        </w:rPr>
        <w:t>apportion</w:t>
      </w:r>
      <w:r>
        <w:rPr>
          <w:rFonts w:cs="Avenir Next"/>
        </w:rPr>
        <w:t xml:space="preserve"> the costs of</w:t>
      </w:r>
      <w:r>
        <w:rPr>
          <w:rFonts w:cs="Avenir Next"/>
          <w:spacing w:val="55"/>
        </w:rPr>
        <w:t xml:space="preserve"> </w:t>
      </w:r>
      <w:r>
        <w:t xml:space="preserve">the ECD and M2G between </w:t>
      </w:r>
      <w:r>
        <w:rPr>
          <w:spacing w:val="-1"/>
        </w:rPr>
        <w:t>current</w:t>
      </w:r>
      <w:r>
        <w:t xml:space="preserve"> and </w:t>
      </w:r>
      <w:r>
        <w:rPr>
          <w:spacing w:val="-1"/>
        </w:rPr>
        <w:t>future</w:t>
      </w:r>
      <w:r>
        <w:t xml:space="preserve"> customers is similar in many ways to the </w:t>
      </w:r>
      <w:r>
        <w:rPr>
          <w:spacing w:val="-1"/>
        </w:rPr>
        <w:t>approach</w:t>
      </w:r>
      <w:r>
        <w:t xml:space="preserve"> </w:t>
      </w:r>
      <w:r>
        <w:rPr>
          <w:spacing w:val="-3"/>
        </w:rPr>
        <w:t>IPART</w:t>
      </w:r>
      <w:r>
        <w:rPr>
          <w:spacing w:val="30"/>
        </w:rPr>
        <w:t xml:space="preserve"> </w:t>
      </w:r>
      <w:r>
        <w:t>used when</w:t>
      </w:r>
      <w:r>
        <w:rPr>
          <w:spacing w:val="1"/>
        </w:rPr>
        <w:t xml:space="preserve"> </w:t>
      </w:r>
      <w:r>
        <w:t>assessing Hunter</w:t>
      </w:r>
      <w:r>
        <w:rPr>
          <w:spacing w:val="-2"/>
        </w:rPr>
        <w:t xml:space="preserve"> </w:t>
      </w:r>
      <w:r>
        <w:rPr>
          <w:spacing w:val="-3"/>
        </w:rPr>
        <w:t>Water’s</w:t>
      </w:r>
      <w:r>
        <w:t xml:space="preserve"> </w:t>
      </w:r>
      <w:r>
        <w:rPr>
          <w:spacing w:val="-1"/>
        </w:rPr>
        <w:t>proposed</w:t>
      </w:r>
      <w:r>
        <w:rPr>
          <w:spacing w:val="-4"/>
        </w:rPr>
        <w:t xml:space="preserve"> </w:t>
      </w:r>
      <w:r>
        <w:rPr>
          <w:spacing w:val="-1"/>
        </w:rPr>
        <w:t>Tillegra</w:t>
      </w:r>
      <w:r>
        <w:t xml:space="preserve"> Dam</w:t>
      </w:r>
      <w:r>
        <w:rPr>
          <w:spacing w:val="1"/>
        </w:rPr>
        <w:t xml:space="preserve"> </w:t>
      </w:r>
      <w:r>
        <w:t>in</w:t>
      </w:r>
      <w:r>
        <w:rPr>
          <w:spacing w:val="1"/>
        </w:rPr>
        <w:t xml:space="preserve"> </w:t>
      </w:r>
      <w:r>
        <w:t>2009 (see</w:t>
      </w:r>
      <w:r>
        <w:rPr>
          <w:spacing w:val="-3"/>
        </w:rPr>
        <w:t xml:space="preserve"> </w:t>
      </w:r>
      <w:r>
        <w:t>Appendix</w:t>
      </w:r>
      <w:r>
        <w:rPr>
          <w:spacing w:val="-4"/>
        </w:rPr>
        <w:t xml:space="preserve"> </w:t>
      </w:r>
      <w:r>
        <w:rPr>
          <w:spacing w:val="-1"/>
        </w:rPr>
        <w:t>A7.2).</w:t>
      </w:r>
      <w:r>
        <w:rPr>
          <w:spacing w:val="-1"/>
          <w:position w:val="7"/>
          <w:sz w:val="11"/>
          <w:szCs w:val="11"/>
        </w:rPr>
        <w:t>97</w:t>
      </w:r>
      <w:r>
        <w:rPr>
          <w:spacing w:val="18"/>
          <w:position w:val="7"/>
          <w:sz w:val="11"/>
          <w:szCs w:val="11"/>
        </w:rPr>
        <w:t xml:space="preserve"> </w:t>
      </w:r>
      <w:r>
        <w:rPr>
          <w:rFonts w:cs="Avenir Next"/>
          <w:spacing w:val="-2"/>
        </w:rPr>
        <w:t>The</w:t>
      </w:r>
      <w:r>
        <w:rPr>
          <w:rFonts w:cs="Avenir Next"/>
          <w:spacing w:val="1"/>
        </w:rPr>
        <w:t xml:space="preserve"> </w:t>
      </w:r>
      <w:r>
        <w:rPr>
          <w:rFonts w:cs="Avenir Next"/>
          <w:spacing w:val="-3"/>
        </w:rPr>
        <w:t>Panel</w:t>
      </w:r>
      <w:r>
        <w:rPr>
          <w:rFonts w:cs="Avenir Next"/>
          <w:spacing w:val="47"/>
        </w:rPr>
        <w:t xml:space="preserve"> </w:t>
      </w:r>
      <w:r>
        <w:t xml:space="preserve">does not </w:t>
      </w:r>
      <w:r>
        <w:rPr>
          <w:spacing w:val="-1"/>
        </w:rPr>
        <w:t>therefore</w:t>
      </w:r>
      <w:r>
        <w:t xml:space="preserve"> have any concerns with the </w:t>
      </w:r>
      <w:r>
        <w:rPr>
          <w:spacing w:val="-1"/>
        </w:rPr>
        <w:t>general</w:t>
      </w:r>
      <w:r>
        <w:t xml:space="preserve"> </w:t>
      </w:r>
      <w:r>
        <w:rPr>
          <w:spacing w:val="-1"/>
        </w:rPr>
        <w:t>approach</w:t>
      </w:r>
      <w:r>
        <w:t xml:space="preserve"> employed by </w:t>
      </w:r>
      <w:r>
        <w:rPr>
          <w:spacing w:val="-2"/>
        </w:rPr>
        <w:t>Cardno.</w:t>
      </w:r>
    </w:p>
    <w:p w:rsidR="00D96B91" w:rsidRDefault="00C2656B">
      <w:pPr>
        <w:pStyle w:val="BodyText"/>
        <w:spacing w:before="170" w:line="260" w:lineRule="exact"/>
        <w:ind w:right="1283"/>
      </w:pPr>
      <w:r>
        <w:t>In addition,</w:t>
      </w:r>
      <w:r>
        <w:rPr>
          <w:spacing w:val="-7"/>
        </w:rPr>
        <w:t xml:space="preserve"> </w:t>
      </w:r>
      <w:r>
        <w:t xml:space="preserve">the </w:t>
      </w:r>
      <w:r>
        <w:rPr>
          <w:spacing w:val="-3"/>
        </w:rPr>
        <w:t>Panel</w:t>
      </w:r>
      <w:r>
        <w:t xml:space="preserve"> </w:t>
      </w:r>
      <w:r>
        <w:rPr>
          <w:spacing w:val="-1"/>
        </w:rPr>
        <w:t>recognises</w:t>
      </w:r>
      <w:r>
        <w:t xml:space="preserve"> </w:t>
      </w:r>
      <w:r>
        <w:rPr>
          <w:spacing w:val="-1"/>
        </w:rPr>
        <w:t>that</w:t>
      </w:r>
      <w:r>
        <w:t xml:space="preserve"> </w:t>
      </w:r>
      <w:r>
        <w:rPr>
          <w:spacing w:val="-2"/>
        </w:rPr>
        <w:t>Cardno</w:t>
      </w:r>
      <w:r>
        <w:t xml:space="preserve"> faced a number of</w:t>
      </w:r>
      <w:r>
        <w:rPr>
          <w:spacing w:val="4"/>
        </w:rPr>
        <w:t xml:space="preserve"> </w:t>
      </w:r>
      <w:r>
        <w:rPr>
          <w:spacing w:val="-1"/>
        </w:rPr>
        <w:t>information</w:t>
      </w:r>
      <w:r>
        <w:t xml:space="preserve"> </w:t>
      </w:r>
      <w:r>
        <w:rPr>
          <w:spacing w:val="-1"/>
        </w:rPr>
        <w:t>constraints,</w:t>
      </w:r>
      <w:r>
        <w:rPr>
          <w:spacing w:val="-6"/>
        </w:rPr>
        <w:t xml:space="preserve"> </w:t>
      </w:r>
      <w:r>
        <w:t>and so it is</w:t>
      </w:r>
      <w:r>
        <w:rPr>
          <w:spacing w:val="65"/>
        </w:rPr>
        <w:t xml:space="preserve"> </w:t>
      </w:r>
      <w:r>
        <w:t xml:space="preserve">possible </w:t>
      </w:r>
      <w:r>
        <w:rPr>
          <w:spacing w:val="-1"/>
        </w:rPr>
        <w:t>that</w:t>
      </w:r>
      <w:r>
        <w:t xml:space="preserve"> its $22 million </w:t>
      </w:r>
      <w:r>
        <w:rPr>
          <w:spacing w:val="-1"/>
        </w:rPr>
        <w:t>estimate</w:t>
      </w:r>
      <w:r>
        <w:t xml:space="preserve"> could </w:t>
      </w:r>
      <w:r>
        <w:rPr>
          <w:spacing w:val="-1"/>
        </w:rPr>
        <w:t>overstate</w:t>
      </w:r>
      <w:r>
        <w:t xml:space="preserve"> or </w:t>
      </w:r>
      <w:r>
        <w:rPr>
          <w:spacing w:val="-1"/>
        </w:rPr>
        <w:t>understate</w:t>
      </w:r>
      <w:r>
        <w:t xml:space="preserve"> the true cost of</w:t>
      </w:r>
      <w:r>
        <w:rPr>
          <w:spacing w:val="4"/>
        </w:rPr>
        <w:t xml:space="preserve"> </w:t>
      </w:r>
      <w:r>
        <w:t>implementing the</w:t>
      </w:r>
      <w:r>
        <w:rPr>
          <w:spacing w:val="47"/>
        </w:rPr>
        <w:t xml:space="preserve"> </w:t>
      </w:r>
      <w:r>
        <w:rPr>
          <w:spacing w:val="-3"/>
        </w:rPr>
        <w:t>Tantangara</w:t>
      </w:r>
      <w:r>
        <w:rPr>
          <w:spacing w:val="-5"/>
        </w:rPr>
        <w:t xml:space="preserve"> </w:t>
      </w:r>
      <w:r>
        <w:rPr>
          <w:spacing w:val="-3"/>
        </w:rPr>
        <w:t>Transfer</w:t>
      </w:r>
      <w:r>
        <w:t xml:space="preserve"> Option.</w:t>
      </w:r>
      <w:r>
        <w:rPr>
          <w:spacing w:val="-6"/>
        </w:rPr>
        <w:t xml:space="preserve"> </w:t>
      </w:r>
      <w:r>
        <w:rPr>
          <w:spacing w:val="-4"/>
        </w:rPr>
        <w:t>For</w:t>
      </w:r>
      <w:r>
        <w:t xml:space="preserve"> </w:t>
      </w:r>
      <w:r>
        <w:rPr>
          <w:spacing w:val="-1"/>
        </w:rPr>
        <w:t>example:</w:t>
      </w:r>
    </w:p>
    <w:p w:rsidR="00D96B91" w:rsidRDefault="00C2656B">
      <w:pPr>
        <w:pStyle w:val="BodyText"/>
        <w:numPr>
          <w:ilvl w:val="0"/>
          <w:numId w:val="131"/>
        </w:numPr>
        <w:tabs>
          <w:tab w:val="left" w:pos="1531"/>
        </w:tabs>
        <w:spacing w:before="170" w:line="260" w:lineRule="exact"/>
        <w:ind w:right="1341" w:hanging="283"/>
      </w:pPr>
      <w:r>
        <w:rPr>
          <w:rFonts w:cs="Avenir Next"/>
        </w:rPr>
        <w:t>Most of</w:t>
      </w:r>
      <w:r>
        <w:rPr>
          <w:rFonts w:cs="Avenir Next"/>
          <w:spacing w:val="4"/>
        </w:rPr>
        <w:t xml:space="preserve"> </w:t>
      </w:r>
      <w:r>
        <w:rPr>
          <w:rFonts w:cs="Avenir Next"/>
        </w:rPr>
        <w:t xml:space="preserve">the inputs into </w:t>
      </w:r>
      <w:r>
        <w:rPr>
          <w:rFonts w:cs="Avenir Next"/>
          <w:spacing w:val="-3"/>
        </w:rPr>
        <w:t>Cardno’s</w:t>
      </w:r>
      <w:r>
        <w:rPr>
          <w:rFonts w:cs="Avenir Next"/>
        </w:rPr>
        <w:t xml:space="preserve"> analysis </w:t>
      </w:r>
      <w:r>
        <w:rPr>
          <w:rFonts w:cs="Avenir Next"/>
          <w:spacing w:val="-2"/>
        </w:rPr>
        <w:t>are</w:t>
      </w:r>
      <w:r>
        <w:rPr>
          <w:rFonts w:cs="Avenir Next"/>
        </w:rPr>
        <w:t xml:space="preserve"> based on assumptions</w:t>
      </w:r>
      <w:r>
        <w:rPr>
          <w:rFonts w:cs="Avenir Next"/>
          <w:spacing w:val="-4"/>
        </w:rPr>
        <w:t xml:space="preserve"> </w:t>
      </w:r>
      <w:r>
        <w:rPr>
          <w:rFonts w:cs="Avenir Next"/>
          <w:spacing w:val="-2"/>
        </w:rPr>
        <w:t>ACTEW</w:t>
      </w:r>
      <w:r>
        <w:rPr>
          <w:rFonts w:cs="Avenir Next"/>
          <w:spacing w:val="-3"/>
        </w:rPr>
        <w:t xml:space="preserve"> </w:t>
      </w:r>
      <w:r>
        <w:rPr>
          <w:rFonts w:cs="Avenir Next"/>
        </w:rPr>
        <w:t xml:space="preserve">has </w:t>
      </w:r>
      <w:r>
        <w:rPr>
          <w:rFonts w:cs="Avenir Next"/>
          <w:spacing w:val="-1"/>
        </w:rPr>
        <w:t>previously</w:t>
      </w:r>
      <w:r>
        <w:rPr>
          <w:rFonts w:cs="Avenir Next"/>
        </w:rPr>
        <w:t xml:space="preserve"> made</w:t>
      </w:r>
      <w:r>
        <w:rPr>
          <w:rFonts w:cs="Avenir Next"/>
          <w:spacing w:val="37"/>
        </w:rPr>
        <w:t xml:space="preserve"> </w:t>
      </w:r>
      <w:r>
        <w:rPr>
          <w:rFonts w:cs="Avenir Next"/>
        </w:rPr>
        <w:t>about this option,</w:t>
      </w:r>
      <w:r>
        <w:rPr>
          <w:rFonts w:cs="Avenir Next"/>
          <w:spacing w:val="-6"/>
        </w:rPr>
        <w:t xml:space="preserve"> </w:t>
      </w:r>
      <w:r>
        <w:rPr>
          <w:rFonts w:cs="Avenir Next"/>
        </w:rPr>
        <w:t xml:space="preserve">but </w:t>
      </w:r>
      <w:r>
        <w:rPr>
          <w:rFonts w:cs="Avenir Next"/>
          <w:spacing w:val="-2"/>
        </w:rPr>
        <w:t>Cardno</w:t>
      </w:r>
      <w:r>
        <w:rPr>
          <w:rFonts w:cs="Avenir Next"/>
        </w:rPr>
        <w:t xml:space="preserve"> was unable to test the validity and </w:t>
      </w:r>
      <w:r>
        <w:rPr>
          <w:rFonts w:cs="Avenir Next"/>
          <w:spacing w:val="-1"/>
        </w:rPr>
        <w:t>robustness</w:t>
      </w:r>
      <w:r>
        <w:rPr>
          <w:rFonts w:cs="Avenir Next"/>
        </w:rPr>
        <w:t xml:space="preserve"> of</w:t>
      </w:r>
      <w:r>
        <w:rPr>
          <w:rFonts w:cs="Avenir Next"/>
          <w:spacing w:val="4"/>
        </w:rPr>
        <w:t xml:space="preserve"> </w:t>
      </w:r>
      <w:r>
        <w:rPr>
          <w:rFonts w:cs="Avenir Next"/>
        </w:rPr>
        <w:t>the assumptions</w:t>
      </w:r>
      <w:r>
        <w:rPr>
          <w:rFonts w:cs="Avenir Next"/>
          <w:spacing w:val="21"/>
        </w:rPr>
        <w:t xml:space="preserve"> </w:t>
      </w:r>
      <w:r>
        <w:rPr>
          <w:rFonts w:cs="Avenir Next"/>
        </w:rPr>
        <w:t xml:space="preserve">because it did not have access to the </w:t>
      </w:r>
      <w:r>
        <w:rPr>
          <w:rFonts w:cs="Avenir Next"/>
          <w:spacing w:val="-1"/>
        </w:rPr>
        <w:t>proposed</w:t>
      </w:r>
      <w:r>
        <w:rPr>
          <w:rFonts w:cs="Avenir Next"/>
        </w:rPr>
        <w:t xml:space="preserve"> or </w:t>
      </w:r>
      <w:r>
        <w:rPr>
          <w:rFonts w:cs="Avenir Next"/>
          <w:spacing w:val="-1"/>
        </w:rPr>
        <w:t>existing</w:t>
      </w:r>
      <w:r>
        <w:rPr>
          <w:rFonts w:cs="Avenir Next"/>
        </w:rPr>
        <w:t xml:space="preserve"> </w:t>
      </w:r>
      <w:r>
        <w:rPr>
          <w:rFonts w:cs="Avenir Next"/>
          <w:spacing w:val="-1"/>
        </w:rPr>
        <w:t>commercial</w:t>
      </w:r>
      <w:r>
        <w:rPr>
          <w:rFonts w:cs="Avenir Next"/>
        </w:rPr>
        <w:t xml:space="preserve"> </w:t>
      </w:r>
      <w:r>
        <w:rPr>
          <w:rFonts w:cs="Avenir Next"/>
          <w:spacing w:val="-1"/>
        </w:rPr>
        <w:t>arrangements</w:t>
      </w:r>
      <w:r>
        <w:rPr>
          <w:rFonts w:cs="Avenir Next"/>
        </w:rPr>
        <w:t xml:space="preserve"> </w:t>
      </w:r>
      <w:r>
        <w:rPr>
          <w:rFonts w:cs="Avenir Next"/>
          <w:spacing w:val="-1"/>
        </w:rPr>
        <w:t>related</w:t>
      </w:r>
      <w:r>
        <w:rPr>
          <w:rFonts w:cs="Avenir Next"/>
        </w:rPr>
        <w:t xml:space="preserve"> to this</w:t>
      </w:r>
      <w:r>
        <w:rPr>
          <w:rFonts w:cs="Avenir Next"/>
          <w:spacing w:val="53"/>
        </w:rPr>
        <w:t xml:space="preserve"> </w:t>
      </w:r>
      <w:r>
        <w:t>option.</w:t>
      </w:r>
    </w:p>
    <w:p w:rsidR="00D96B91" w:rsidRDefault="00C2656B">
      <w:pPr>
        <w:pStyle w:val="BodyText"/>
        <w:numPr>
          <w:ilvl w:val="0"/>
          <w:numId w:val="131"/>
        </w:numPr>
        <w:tabs>
          <w:tab w:val="left" w:pos="1531"/>
        </w:tabs>
        <w:spacing w:before="85" w:line="260" w:lineRule="exact"/>
        <w:ind w:right="1542" w:hanging="283"/>
      </w:pPr>
      <w:r>
        <w:rPr>
          <w:spacing w:val="-2"/>
        </w:rPr>
        <w:t>Cardno</w:t>
      </w:r>
      <w:r>
        <w:t xml:space="preserve"> was also unable to </w:t>
      </w:r>
      <w:r>
        <w:rPr>
          <w:spacing w:val="-1"/>
        </w:rPr>
        <w:t>ascertain</w:t>
      </w:r>
      <w:r>
        <w:t xml:space="preserve"> the </w:t>
      </w:r>
      <w:r>
        <w:rPr>
          <w:spacing w:val="-1"/>
        </w:rPr>
        <w:t>extent</w:t>
      </w:r>
      <w:r>
        <w:t xml:space="preserve"> to which any of</w:t>
      </w:r>
      <w:r>
        <w:rPr>
          <w:spacing w:val="4"/>
        </w:rPr>
        <w:t xml:space="preserve"> </w:t>
      </w:r>
      <w:r>
        <w:t xml:space="preserve">the costs it included in its </w:t>
      </w:r>
      <w:r>
        <w:rPr>
          <w:spacing w:val="-1"/>
        </w:rPr>
        <w:t>estimate</w:t>
      </w:r>
      <w:r>
        <w:rPr>
          <w:spacing w:val="39"/>
        </w:rPr>
        <w:t xml:space="preserve"> </w:t>
      </w:r>
      <w:r>
        <w:t xml:space="preserve">formed </w:t>
      </w:r>
      <w:r>
        <w:rPr>
          <w:spacing w:val="-1"/>
        </w:rPr>
        <w:t>part</w:t>
      </w:r>
      <w:r>
        <w:t xml:space="preserve"> of</w:t>
      </w:r>
      <w:r>
        <w:rPr>
          <w:spacing w:val="4"/>
        </w:rPr>
        <w:t xml:space="preserve"> </w:t>
      </w:r>
      <w:r>
        <w:t xml:space="preserve">the $48 million </w:t>
      </w:r>
      <w:r>
        <w:rPr>
          <w:spacing w:val="-1"/>
        </w:rPr>
        <w:t>that</w:t>
      </w:r>
      <w:r>
        <w:rPr>
          <w:spacing w:val="-4"/>
        </w:rPr>
        <w:t xml:space="preserve"> </w:t>
      </w:r>
      <w:r>
        <w:rPr>
          <w:spacing w:val="-2"/>
        </w:rPr>
        <w:t>ACTEW</w:t>
      </w:r>
      <w:r>
        <w:rPr>
          <w:spacing w:val="-3"/>
        </w:rPr>
        <w:t xml:space="preserve"> </w:t>
      </w:r>
      <w:r>
        <w:t>spent on the</w:t>
      </w:r>
      <w:r>
        <w:rPr>
          <w:spacing w:val="-5"/>
        </w:rPr>
        <w:t xml:space="preserve"> </w:t>
      </w:r>
      <w:r>
        <w:rPr>
          <w:spacing w:val="-3"/>
        </w:rPr>
        <w:t>Tantangara</w:t>
      </w:r>
      <w:r>
        <w:t xml:space="preserve"> option in the last </w:t>
      </w:r>
      <w:r>
        <w:rPr>
          <w:spacing w:val="-1"/>
        </w:rPr>
        <w:t>regulatory</w:t>
      </w:r>
      <w:r>
        <w:rPr>
          <w:spacing w:val="37"/>
        </w:rPr>
        <w:t xml:space="preserve"> </w:t>
      </w:r>
      <w:r>
        <w:t>period,</w:t>
      </w:r>
      <w:r>
        <w:rPr>
          <w:spacing w:val="-6"/>
        </w:rPr>
        <w:t xml:space="preserve"> </w:t>
      </w:r>
      <w:r>
        <w:t xml:space="preserve">which was </w:t>
      </w:r>
      <w:r>
        <w:rPr>
          <w:spacing w:val="-1"/>
        </w:rPr>
        <w:t>approved</w:t>
      </w:r>
      <w:r>
        <w:t xml:space="preserve"> by the ICRC in the 2011 mid-term </w:t>
      </w:r>
      <w:r>
        <w:rPr>
          <w:spacing w:val="-1"/>
        </w:rPr>
        <w:t>review</w:t>
      </w:r>
      <w:r>
        <w:t xml:space="preserve"> and is </w:t>
      </w:r>
      <w:r>
        <w:rPr>
          <w:spacing w:val="-1"/>
        </w:rPr>
        <w:t>already</w:t>
      </w:r>
      <w:r>
        <w:t xml:space="preserve"> being</w:t>
      </w:r>
      <w:r>
        <w:rPr>
          <w:spacing w:val="28"/>
        </w:rPr>
        <w:t xml:space="preserve"> </w:t>
      </w:r>
      <w:r>
        <w:rPr>
          <w:spacing w:val="-1"/>
        </w:rPr>
        <w:t>recovered</w:t>
      </w:r>
      <w:r>
        <w:t xml:space="preserve"> </w:t>
      </w:r>
      <w:r>
        <w:rPr>
          <w:spacing w:val="-1"/>
        </w:rPr>
        <w:t>from</w:t>
      </w:r>
      <w:r>
        <w:t xml:space="preserve"> </w:t>
      </w:r>
      <w:r>
        <w:rPr>
          <w:spacing w:val="-1"/>
        </w:rPr>
        <w:t>water</w:t>
      </w:r>
      <w:r>
        <w:t xml:space="preserve"> customers.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pPr>
      <w:r>
        <w:t xml:space="preserve">While </w:t>
      </w:r>
      <w:r>
        <w:rPr>
          <w:spacing w:val="-1"/>
        </w:rPr>
        <w:t>there</w:t>
      </w:r>
      <w:r>
        <w:t xml:space="preserve"> is some </w:t>
      </w:r>
      <w:r>
        <w:rPr>
          <w:spacing w:val="-1"/>
        </w:rPr>
        <w:t>uncertainty</w:t>
      </w:r>
      <w:r>
        <w:t xml:space="preserve"> </w:t>
      </w:r>
      <w:r>
        <w:rPr>
          <w:spacing w:val="-1"/>
        </w:rPr>
        <w:t>surrounding</w:t>
      </w:r>
      <w:r>
        <w:t xml:space="preserve"> the $22 million </w:t>
      </w:r>
      <w:r>
        <w:rPr>
          <w:spacing w:val="-1"/>
        </w:rPr>
        <w:t>estimate,</w:t>
      </w:r>
      <w:r>
        <w:rPr>
          <w:spacing w:val="-6"/>
        </w:rPr>
        <w:t xml:space="preserve"> </w:t>
      </w:r>
      <w:r>
        <w:t xml:space="preserve">it is </w:t>
      </w:r>
      <w:r>
        <w:rPr>
          <w:spacing w:val="-1"/>
        </w:rPr>
        <w:t>important</w:t>
      </w:r>
      <w:r>
        <w:t xml:space="preserve"> to </w:t>
      </w:r>
      <w:r>
        <w:rPr>
          <w:spacing w:val="-1"/>
        </w:rPr>
        <w:t>bear</w:t>
      </w:r>
      <w:r>
        <w:t xml:space="preserve"> in mind</w:t>
      </w:r>
      <w:r>
        <w:rPr>
          <w:spacing w:val="61"/>
        </w:rPr>
        <w:t xml:space="preserve"> </w:t>
      </w:r>
      <w:r>
        <w:rPr>
          <w:spacing w:val="-1"/>
        </w:rPr>
        <w:t xml:space="preserve">that </w:t>
      </w:r>
      <w:r>
        <w:t>under the</w:t>
      </w:r>
      <w:r>
        <w:rPr>
          <w:spacing w:val="-1"/>
        </w:rPr>
        <w:t xml:space="preserve"> deferral</w:t>
      </w:r>
      <w:r>
        <w:t xml:space="preserve"> of</w:t>
      </w:r>
      <w:r>
        <w:rPr>
          <w:spacing w:val="3"/>
        </w:rPr>
        <w:t xml:space="preserve"> </w:t>
      </w:r>
      <w:r>
        <w:t xml:space="preserve">a defined </w:t>
      </w:r>
      <w:r>
        <w:rPr>
          <w:spacing w:val="-1"/>
        </w:rPr>
        <w:t xml:space="preserve">portion </w:t>
      </w:r>
      <w:r>
        <w:t>of</w:t>
      </w:r>
      <w:r>
        <w:rPr>
          <w:spacing w:val="4"/>
        </w:rPr>
        <w:t xml:space="preserve"> </w:t>
      </w:r>
      <w:r>
        <w:t>capital</w:t>
      </w:r>
      <w:r>
        <w:rPr>
          <w:spacing w:val="-1"/>
        </w:rPr>
        <w:t xml:space="preserve"> </w:t>
      </w:r>
      <w:r>
        <w:t>costs technique</w:t>
      </w:r>
      <w:r>
        <w:rPr>
          <w:spacing w:val="-1"/>
        </w:rPr>
        <w:t xml:space="preserve"> </w:t>
      </w:r>
      <w:r>
        <w:t xml:space="preserve">this </w:t>
      </w:r>
      <w:r>
        <w:rPr>
          <w:spacing w:val="-1"/>
        </w:rPr>
        <w:t>estimate</w:t>
      </w:r>
      <w:r>
        <w:t xml:space="preserve"> is</w:t>
      </w:r>
      <w:r>
        <w:rPr>
          <w:spacing w:val="-1"/>
        </w:rPr>
        <w:t xml:space="preserve"> </w:t>
      </w:r>
      <w:r>
        <w:t>only used</w:t>
      </w:r>
      <w:r>
        <w:rPr>
          <w:spacing w:val="-1"/>
        </w:rPr>
        <w:t xml:space="preserve"> </w:t>
      </w:r>
      <w:r>
        <w:t>to</w:t>
      </w:r>
      <w:r>
        <w:rPr>
          <w:spacing w:val="33"/>
        </w:rPr>
        <w:t xml:space="preserve"> </w:t>
      </w:r>
      <w:r>
        <w:rPr>
          <w:spacing w:val="-1"/>
        </w:rPr>
        <w:t>apportion</w:t>
      </w:r>
      <w:r>
        <w:t xml:space="preserve"> the costs of</w:t>
      </w:r>
      <w:r>
        <w:rPr>
          <w:spacing w:val="4"/>
        </w:rPr>
        <w:t xml:space="preserve"> </w:t>
      </w:r>
      <w:r>
        <w:t xml:space="preserve">the ECD and M2G between </w:t>
      </w:r>
      <w:r>
        <w:rPr>
          <w:spacing w:val="-1"/>
        </w:rPr>
        <w:t>current</w:t>
      </w:r>
      <w:r>
        <w:t xml:space="preserve"> and </w:t>
      </w:r>
      <w:r>
        <w:rPr>
          <w:spacing w:val="-1"/>
        </w:rPr>
        <w:t>future</w:t>
      </w:r>
      <w:r>
        <w:t xml:space="preserve"> customers.</w:t>
      </w:r>
      <w:r>
        <w:rPr>
          <w:spacing w:val="-11"/>
        </w:rPr>
        <w:t xml:space="preserve"> </w:t>
      </w:r>
      <w:r>
        <w:rPr>
          <w:spacing w:val="-2"/>
        </w:rPr>
        <w:t>Therefore,</w:t>
      </w:r>
      <w:r>
        <w:rPr>
          <w:spacing w:val="-6"/>
        </w:rPr>
        <w:t xml:space="preserve"> </w:t>
      </w:r>
      <w:r>
        <w:t>all else</w:t>
      </w:r>
      <w:r>
        <w:rPr>
          <w:spacing w:val="39"/>
        </w:rPr>
        <w:t xml:space="preserve"> </w:t>
      </w:r>
      <w:r>
        <w:t>being equal,</w:t>
      </w:r>
      <w:r>
        <w:rPr>
          <w:spacing w:val="-10"/>
        </w:rPr>
        <w:t xml:space="preserve"> </w:t>
      </w:r>
      <w:r>
        <w:rPr>
          <w:spacing w:val="-2"/>
        </w:rPr>
        <w:t>ACTEW</w:t>
      </w:r>
      <w:r>
        <w:rPr>
          <w:spacing w:val="-3"/>
        </w:rPr>
        <w:t xml:space="preserve"> </w:t>
      </w:r>
      <w:r>
        <w:t xml:space="preserve">should be no worse </w:t>
      </w:r>
      <w:r>
        <w:rPr>
          <w:spacing w:val="-2"/>
        </w:rPr>
        <w:t>off</w:t>
      </w:r>
      <w:r>
        <w:rPr>
          <w:spacing w:val="4"/>
        </w:rPr>
        <w:t xml:space="preserve"> </w:t>
      </w:r>
      <w:r>
        <w:t xml:space="preserve">in net </w:t>
      </w:r>
      <w:r>
        <w:rPr>
          <w:spacing w:val="-1"/>
        </w:rPr>
        <w:t>present</w:t>
      </w:r>
      <w:r>
        <w:t xml:space="preserve"> value terms if</w:t>
      </w:r>
      <w:r>
        <w:rPr>
          <w:spacing w:val="4"/>
        </w:rPr>
        <w:t xml:space="preserve"> </w:t>
      </w:r>
      <w:r>
        <w:t xml:space="preserve">the </w:t>
      </w:r>
      <w:r>
        <w:rPr>
          <w:spacing w:val="-1"/>
        </w:rPr>
        <w:t>estimate</w:t>
      </w:r>
      <w:r>
        <w:t xml:space="preserve"> </w:t>
      </w:r>
      <w:r>
        <w:rPr>
          <w:spacing w:val="-1"/>
        </w:rPr>
        <w:t>overstates</w:t>
      </w:r>
      <w:r>
        <w:t xml:space="preserve"> or</w:t>
      </w:r>
      <w:r>
        <w:rPr>
          <w:spacing w:val="47"/>
        </w:rPr>
        <w:t xml:space="preserve"> </w:t>
      </w:r>
      <w:r>
        <w:rPr>
          <w:spacing w:val="-1"/>
        </w:rPr>
        <w:t>understates</w:t>
      </w:r>
      <w:r>
        <w:t xml:space="preserve"> the true cost of</w:t>
      </w:r>
      <w:r>
        <w:rPr>
          <w:spacing w:val="4"/>
        </w:rPr>
        <w:t xml:space="preserve"> </w:t>
      </w:r>
      <w:r>
        <w:t>this option.</w:t>
      </w:r>
    </w:p>
    <w:p w:rsidR="00D96B91" w:rsidRDefault="00D96B91">
      <w:pPr>
        <w:spacing w:before="6"/>
        <w:rPr>
          <w:rFonts w:ascii="Avenir Next" w:eastAsia="Avenir Next" w:hAnsi="Avenir Next" w:cs="Avenir Next"/>
          <w:sz w:val="20"/>
          <w:szCs w:val="20"/>
        </w:rPr>
      </w:pPr>
    </w:p>
    <w:p w:rsidR="00D96B91" w:rsidRDefault="00C2656B">
      <w:pPr>
        <w:pStyle w:val="Heading6"/>
        <w:tabs>
          <w:tab w:val="left" w:pos="2097"/>
        </w:tabs>
        <w:ind w:left="1247" w:firstLine="0"/>
      </w:pPr>
      <w:r>
        <w:rPr>
          <w:color w:val="0778BE"/>
        </w:rPr>
        <w:t>8.5.2</w:t>
      </w:r>
      <w:r>
        <w:rPr>
          <w:color w:val="0778BE"/>
        </w:rPr>
        <w:tab/>
      </w:r>
      <w:r>
        <w:rPr>
          <w:color w:val="0778BE"/>
          <w:spacing w:val="-1"/>
        </w:rPr>
        <w:t>Financial</w:t>
      </w:r>
      <w:r>
        <w:rPr>
          <w:color w:val="0778BE"/>
        </w:rPr>
        <w:t xml:space="preserve"> viability assessment</w:t>
      </w:r>
    </w:p>
    <w:p w:rsidR="00D96B91" w:rsidRDefault="00C2656B">
      <w:pPr>
        <w:pStyle w:val="BodyText"/>
        <w:spacing w:before="21" w:line="260" w:lineRule="exact"/>
        <w:ind w:right="1256"/>
      </w:pPr>
      <w:r>
        <w:rPr>
          <w:spacing w:val="-10"/>
        </w:rPr>
        <w:t>To</w:t>
      </w:r>
      <w:r>
        <w:t xml:space="preserve"> analyse the </w:t>
      </w:r>
      <w:r>
        <w:rPr>
          <w:spacing w:val="-1"/>
        </w:rPr>
        <w:t>effect</w:t>
      </w:r>
      <w:r>
        <w:t xml:space="preserve"> </w:t>
      </w:r>
      <w:r>
        <w:rPr>
          <w:spacing w:val="-1"/>
        </w:rPr>
        <w:t>that</w:t>
      </w:r>
      <w:r>
        <w:t xml:space="preserve"> deferring 30% of</w:t>
      </w:r>
      <w:r>
        <w:rPr>
          <w:spacing w:val="4"/>
        </w:rPr>
        <w:t xml:space="preserve"> </w:t>
      </w:r>
      <w:r>
        <w:t xml:space="preserve">the annual ECD and M2G capital costs </w:t>
      </w:r>
      <w:r>
        <w:rPr>
          <w:spacing w:val="-1"/>
        </w:rPr>
        <w:t>from</w:t>
      </w:r>
      <w:r>
        <w:t xml:space="preserve"> this </w:t>
      </w:r>
      <w:r>
        <w:rPr>
          <w:spacing w:val="-1"/>
        </w:rPr>
        <w:t>regulatory</w:t>
      </w:r>
      <w:r>
        <w:rPr>
          <w:spacing w:val="29"/>
        </w:rPr>
        <w:t xml:space="preserve"> </w:t>
      </w:r>
      <w:r>
        <w:t>period</w:t>
      </w:r>
      <w:r>
        <w:rPr>
          <w:spacing w:val="-1"/>
        </w:rPr>
        <w:t xml:space="preserve"> </w:t>
      </w:r>
      <w:r>
        <w:t>to</w:t>
      </w:r>
      <w:r>
        <w:rPr>
          <w:spacing w:val="-1"/>
        </w:rPr>
        <w:t xml:space="preserve"> </w:t>
      </w:r>
      <w:r>
        <w:t xml:space="preserve">subsequent </w:t>
      </w:r>
      <w:r>
        <w:rPr>
          <w:spacing w:val="-1"/>
        </w:rPr>
        <w:t xml:space="preserve">regulatory </w:t>
      </w:r>
      <w:r>
        <w:t>periods would</w:t>
      </w:r>
      <w:r>
        <w:rPr>
          <w:spacing w:val="-1"/>
        </w:rPr>
        <w:t xml:space="preserve"> </w:t>
      </w:r>
      <w:r>
        <w:t>have on</w:t>
      </w:r>
      <w:r>
        <w:rPr>
          <w:spacing w:val="-5"/>
        </w:rPr>
        <w:t xml:space="preserve"> </w:t>
      </w:r>
      <w:r>
        <w:rPr>
          <w:spacing w:val="-2"/>
        </w:rPr>
        <w:t>ACTEW’s</w:t>
      </w:r>
      <w:r>
        <w:t xml:space="preserve"> financial</w:t>
      </w:r>
      <w:r>
        <w:rPr>
          <w:spacing w:val="-1"/>
        </w:rPr>
        <w:t xml:space="preserve"> viability,</w:t>
      </w:r>
      <w:r>
        <w:rPr>
          <w:spacing w:val="-6"/>
        </w:rPr>
        <w:t xml:space="preserve"> </w:t>
      </w:r>
      <w:r>
        <w:t>the</w:t>
      </w:r>
      <w:r>
        <w:rPr>
          <w:spacing w:val="-1"/>
        </w:rPr>
        <w:t xml:space="preserve"> </w:t>
      </w:r>
      <w:r>
        <w:rPr>
          <w:spacing w:val="-3"/>
        </w:rPr>
        <w:t>Panel</w:t>
      </w:r>
      <w:r>
        <w:t xml:space="preserve"> used</w:t>
      </w:r>
      <w:r>
        <w:rPr>
          <w:spacing w:val="-1"/>
        </w:rPr>
        <w:t xml:space="preserve"> </w:t>
      </w:r>
      <w:r>
        <w:t>the</w:t>
      </w:r>
      <w:r>
        <w:rPr>
          <w:spacing w:val="21"/>
        </w:rPr>
        <w:t xml:space="preserve"> </w:t>
      </w:r>
      <w:r>
        <w:t>financial</w:t>
      </w:r>
      <w:r>
        <w:rPr>
          <w:spacing w:val="-2"/>
        </w:rPr>
        <w:t xml:space="preserve"> </w:t>
      </w:r>
      <w:r>
        <w:t>viability</w:t>
      </w:r>
      <w:r>
        <w:rPr>
          <w:spacing w:val="-1"/>
        </w:rPr>
        <w:t xml:space="preserve"> </w:t>
      </w:r>
      <w:r>
        <w:t>metrics</w:t>
      </w:r>
      <w:r>
        <w:rPr>
          <w:spacing w:val="-1"/>
        </w:rPr>
        <w:t xml:space="preserve"> </w:t>
      </w:r>
      <w:r>
        <w:t>set</w:t>
      </w:r>
      <w:r>
        <w:rPr>
          <w:spacing w:val="-1"/>
        </w:rPr>
        <w:t xml:space="preserve"> </w:t>
      </w:r>
      <w:r>
        <w:t>out</w:t>
      </w:r>
      <w:r>
        <w:rPr>
          <w:spacing w:val="-1"/>
        </w:rPr>
        <w:t xml:space="preserve"> </w:t>
      </w:r>
      <w:r>
        <w:t>in</w:t>
      </w:r>
      <w:r>
        <w:rPr>
          <w:spacing w:val="-6"/>
        </w:rPr>
        <w:t xml:space="preserve"> </w:t>
      </w:r>
      <w:hyperlink w:anchor="_bookmark49" w:history="1">
        <w:r>
          <w:rPr>
            <w:spacing w:val="-4"/>
          </w:rPr>
          <w:t>Table</w:t>
        </w:r>
        <w:r>
          <w:rPr>
            <w:spacing w:val="-1"/>
          </w:rPr>
          <w:t xml:space="preserve"> </w:t>
        </w:r>
        <w:r>
          <w:t>7.1</w:t>
        </w:r>
      </w:hyperlink>
      <w:r>
        <w:t>.</w:t>
      </w:r>
    </w:p>
    <w:p w:rsidR="00D96B91" w:rsidRDefault="00C2656B">
      <w:pPr>
        <w:pStyle w:val="BodyText"/>
        <w:spacing w:before="170" w:line="260" w:lineRule="exact"/>
        <w:ind w:right="1376"/>
      </w:pPr>
      <w:r>
        <w:rPr>
          <w:spacing w:val="-2"/>
        </w:rPr>
        <w:t>The</w:t>
      </w:r>
      <w:r>
        <w:t xml:space="preserve"> </w:t>
      </w:r>
      <w:r>
        <w:rPr>
          <w:spacing w:val="-1"/>
        </w:rPr>
        <w:t>results</w:t>
      </w:r>
      <w:r>
        <w:t xml:space="preserve"> of</w:t>
      </w:r>
      <w:r>
        <w:rPr>
          <w:spacing w:val="4"/>
        </w:rPr>
        <w:t xml:space="preserve"> </w:t>
      </w:r>
      <w:r>
        <w:t xml:space="preserve">this analysis </w:t>
      </w:r>
      <w:r>
        <w:rPr>
          <w:spacing w:val="-1"/>
        </w:rPr>
        <w:t>indicate</w:t>
      </w:r>
      <w:r>
        <w:t xml:space="preserve"> </w:t>
      </w:r>
      <w:r>
        <w:rPr>
          <w:spacing w:val="-1"/>
        </w:rPr>
        <w:t>that</w:t>
      </w:r>
      <w:r>
        <w:t xml:space="preserve"> such a </w:t>
      </w:r>
      <w:r>
        <w:rPr>
          <w:spacing w:val="-1"/>
        </w:rPr>
        <w:t>deferral,</w:t>
      </w:r>
      <w:r>
        <w:rPr>
          <w:spacing w:val="-6"/>
        </w:rPr>
        <w:t xml:space="preserve"> </w:t>
      </w:r>
      <w:r>
        <w:t>on top of</w:t>
      </w:r>
      <w:r>
        <w:rPr>
          <w:spacing w:val="4"/>
        </w:rPr>
        <w:t xml:space="preserve"> </w:t>
      </w:r>
      <w:r>
        <w:t xml:space="preserve">the 7% </w:t>
      </w:r>
      <w:r>
        <w:rPr>
          <w:spacing w:val="-1"/>
        </w:rPr>
        <w:t>de</w:t>
      </w:r>
      <w:hyperlink w:anchor="_bookmark35" w:history="1">
        <w:r>
          <w:rPr>
            <w:spacing w:val="-1"/>
          </w:rPr>
          <w:t>adband</w:t>
        </w:r>
        <w:r>
          <w:t xml:space="preserve"> (see section 6.4.3</w:t>
        </w:r>
      </w:hyperlink>
      <w:r>
        <w:t>),</w:t>
      </w:r>
      <w:r>
        <w:rPr>
          <w:spacing w:val="51"/>
        </w:rPr>
        <w:t xml:space="preserve"> </w:t>
      </w:r>
      <w:r>
        <w:t>could</w:t>
      </w:r>
      <w:r>
        <w:rPr>
          <w:spacing w:val="-1"/>
        </w:rPr>
        <w:t xml:space="preserve"> </w:t>
      </w:r>
      <w:r>
        <w:t>place</w:t>
      </w:r>
      <w:r>
        <w:rPr>
          <w:spacing w:val="-1"/>
        </w:rPr>
        <w:t xml:space="preserve"> </w:t>
      </w:r>
      <w:r>
        <w:t xml:space="preserve">significant </w:t>
      </w:r>
      <w:r>
        <w:rPr>
          <w:spacing w:val="-1"/>
        </w:rPr>
        <w:t xml:space="preserve">strain </w:t>
      </w:r>
      <w:r>
        <w:t>on</w:t>
      </w:r>
      <w:r>
        <w:rPr>
          <w:spacing w:val="-4"/>
        </w:rPr>
        <w:t xml:space="preserve"> </w:t>
      </w:r>
      <w:r>
        <w:rPr>
          <w:spacing w:val="-2"/>
        </w:rPr>
        <w:t>ACTEW’s</w:t>
      </w:r>
      <w:r>
        <w:rPr>
          <w:spacing w:val="-1"/>
        </w:rPr>
        <w:t xml:space="preserve"> </w:t>
      </w:r>
      <w:r>
        <w:t>ability to</w:t>
      </w:r>
      <w:r>
        <w:rPr>
          <w:spacing w:val="-1"/>
        </w:rPr>
        <w:t xml:space="preserve"> </w:t>
      </w:r>
      <w:r>
        <w:t>meet its</w:t>
      </w:r>
      <w:r>
        <w:rPr>
          <w:spacing w:val="-1"/>
        </w:rPr>
        <w:t xml:space="preserve"> </w:t>
      </w:r>
      <w:r>
        <w:t xml:space="preserve">debt </w:t>
      </w:r>
      <w:r>
        <w:rPr>
          <w:spacing w:val="-1"/>
        </w:rPr>
        <w:t xml:space="preserve">obligations </w:t>
      </w:r>
      <w:r>
        <w:t>in</w:t>
      </w:r>
      <w:r>
        <w:rPr>
          <w:spacing w:val="-1"/>
        </w:rPr>
        <w:t xml:space="preserve"> </w:t>
      </w:r>
      <w:r>
        <w:t>the last</w:t>
      </w:r>
      <w:r>
        <w:rPr>
          <w:spacing w:val="-1"/>
        </w:rPr>
        <w:t xml:space="preserve"> three</w:t>
      </w:r>
      <w:r>
        <w:t xml:space="preserve"> </w:t>
      </w:r>
      <w:r>
        <w:rPr>
          <w:spacing w:val="-1"/>
        </w:rPr>
        <w:t xml:space="preserve">years </w:t>
      </w:r>
      <w:r>
        <w:t>of</w:t>
      </w:r>
      <w:r>
        <w:rPr>
          <w:spacing w:val="33"/>
        </w:rPr>
        <w:t xml:space="preserve"> </w:t>
      </w:r>
      <w:r>
        <w:rPr>
          <w:rFonts w:cs="Avenir Next"/>
        </w:rPr>
        <w:t xml:space="preserve">the </w:t>
      </w:r>
      <w:r>
        <w:rPr>
          <w:rFonts w:cs="Avenir Next"/>
          <w:spacing w:val="-1"/>
        </w:rPr>
        <w:t>regulatory</w:t>
      </w:r>
      <w:r>
        <w:rPr>
          <w:rFonts w:cs="Avenir Next"/>
        </w:rPr>
        <w:t xml:space="preserve"> period,</w:t>
      </w:r>
      <w:r>
        <w:rPr>
          <w:rFonts w:cs="Avenir Next"/>
          <w:spacing w:val="-6"/>
        </w:rPr>
        <w:t xml:space="preserve"> </w:t>
      </w:r>
      <w:r>
        <w:rPr>
          <w:rFonts w:cs="Avenir Next"/>
        </w:rPr>
        <w:t>if</w:t>
      </w:r>
      <w:r>
        <w:rPr>
          <w:rFonts w:cs="Avenir Next"/>
          <w:spacing w:val="4"/>
        </w:rPr>
        <w:t xml:space="preserve"> </w:t>
      </w:r>
      <w:r>
        <w:rPr>
          <w:rFonts w:cs="Avenir Next"/>
          <w:spacing w:val="-1"/>
        </w:rPr>
        <w:t>water</w:t>
      </w:r>
      <w:r>
        <w:rPr>
          <w:rFonts w:cs="Avenir Next"/>
        </w:rPr>
        <w:t xml:space="preserve"> sales </w:t>
      </w:r>
      <w:r>
        <w:rPr>
          <w:rFonts w:cs="Avenir Next"/>
          <w:spacing w:val="-1"/>
        </w:rPr>
        <w:t>were</w:t>
      </w:r>
      <w:r>
        <w:rPr>
          <w:rFonts w:cs="Avenir Next"/>
        </w:rPr>
        <w:t xml:space="preserve"> persistently lower than </w:t>
      </w:r>
      <w:r>
        <w:rPr>
          <w:rFonts w:cs="Avenir Next"/>
          <w:spacing w:val="-1"/>
        </w:rPr>
        <w:t>forecast</w:t>
      </w:r>
      <w:r>
        <w:rPr>
          <w:rFonts w:cs="Avenir Next"/>
        </w:rPr>
        <w:t xml:space="preserve"> over the </w:t>
      </w:r>
      <w:r>
        <w:rPr>
          <w:rFonts w:cs="Avenir Next"/>
          <w:spacing w:val="-1"/>
        </w:rPr>
        <w:t>remainder</w:t>
      </w:r>
      <w:r>
        <w:rPr>
          <w:rFonts w:cs="Avenir Next"/>
        </w:rPr>
        <w:t xml:space="preserve"> of</w:t>
      </w:r>
      <w:r>
        <w:rPr>
          <w:rFonts w:cs="Avenir Next"/>
          <w:spacing w:val="4"/>
        </w:rPr>
        <w:t xml:space="preserve"> </w:t>
      </w:r>
      <w:r>
        <w:rPr>
          <w:rFonts w:cs="Avenir Next"/>
        </w:rPr>
        <w:t>the</w:t>
      </w:r>
      <w:r>
        <w:rPr>
          <w:rFonts w:cs="Avenir Next"/>
          <w:spacing w:val="31"/>
        </w:rPr>
        <w:t xml:space="preserve"> </w:t>
      </w:r>
      <w:r>
        <w:rPr>
          <w:spacing w:val="-1"/>
        </w:rPr>
        <w:t>regulatory</w:t>
      </w:r>
      <w:r>
        <w:t xml:space="preserve"> period.</w:t>
      </w:r>
      <w:r>
        <w:rPr>
          <w:spacing w:val="-6"/>
        </w:rPr>
        <w:t xml:space="preserve"> </w:t>
      </w:r>
      <w:r>
        <w:t xml:space="preserve">In </w:t>
      </w:r>
      <w:r>
        <w:rPr>
          <w:spacing w:val="-2"/>
        </w:rPr>
        <w:t>particular,</w:t>
      </w:r>
      <w:r>
        <w:rPr>
          <w:spacing w:val="-6"/>
        </w:rPr>
        <w:t xml:space="preserve"> </w:t>
      </w:r>
      <w:r>
        <w:t xml:space="preserve">the funds </w:t>
      </w:r>
      <w:r>
        <w:rPr>
          <w:spacing w:val="-1"/>
        </w:rPr>
        <w:t>from</w:t>
      </w:r>
      <w:r>
        <w:t xml:space="preserve"> </w:t>
      </w:r>
      <w:r>
        <w:rPr>
          <w:spacing w:val="-1"/>
        </w:rPr>
        <w:t>operations</w:t>
      </w:r>
      <w:r>
        <w:t xml:space="preserve"> (FFO) </w:t>
      </w:r>
      <w:r>
        <w:rPr>
          <w:spacing w:val="-1"/>
        </w:rPr>
        <w:t>interest</w:t>
      </w:r>
      <w:r>
        <w:t xml:space="preserve"> cover </w:t>
      </w:r>
      <w:r>
        <w:rPr>
          <w:spacing w:val="-1"/>
        </w:rPr>
        <w:t>ratio</w:t>
      </w:r>
      <w:r>
        <w:t xml:space="preserve"> falls to well below</w:t>
      </w:r>
      <w:r>
        <w:rPr>
          <w:spacing w:val="45"/>
        </w:rPr>
        <w:t xml:space="preserve"> </w:t>
      </w:r>
      <w:r>
        <w:rPr>
          <w:rFonts w:cs="Avenir Next"/>
        </w:rPr>
        <w:t xml:space="preserve">the </w:t>
      </w:r>
      <w:r>
        <w:rPr>
          <w:rFonts w:cs="Avenir Next"/>
          <w:spacing w:val="-1"/>
        </w:rPr>
        <w:t>target</w:t>
      </w:r>
      <w:r>
        <w:rPr>
          <w:rFonts w:cs="Avenir Next"/>
        </w:rPr>
        <w:t xml:space="preserve"> minimum level in these </w:t>
      </w:r>
      <w:r>
        <w:rPr>
          <w:rFonts w:cs="Avenir Next"/>
          <w:spacing w:val="-1"/>
        </w:rPr>
        <w:t>years</w:t>
      </w:r>
      <w:r>
        <w:rPr>
          <w:rFonts w:cs="Avenir Next"/>
        </w:rPr>
        <w:t xml:space="preserve"> (see</w:t>
      </w:r>
      <w:r>
        <w:rPr>
          <w:rFonts w:cs="Avenir Next"/>
          <w:spacing w:val="-5"/>
        </w:rPr>
        <w:t xml:space="preserve"> </w:t>
      </w:r>
      <w:r>
        <w:rPr>
          <w:spacing w:val="-4"/>
        </w:rPr>
        <w:t>Table</w:t>
      </w:r>
      <w:r>
        <w:t xml:space="preserve"> 15.4).</w:t>
      </w:r>
    </w:p>
    <w:p w:rsidR="00D96B91" w:rsidRDefault="00D96B91">
      <w:pPr>
        <w:spacing w:before="1"/>
        <w:rPr>
          <w:rFonts w:ascii="Avenir Next" w:eastAsia="Avenir Next" w:hAnsi="Avenir Next" w:cs="Avenir Next"/>
          <w:sz w:val="19"/>
          <w:szCs w:val="1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88" style="width:72.5pt;height:.5pt;mso-position-horizontal-relative:char;mso-position-vertical-relative:line" coordsize="1450,10">
            <v:group id="_x0000_s3189" style="position:absolute;left:5;top:5;width:1440;height:2" coordorigin="5,5" coordsize="1440,2">
              <v:shape id="_x0000_s3190"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45" w:line="192" w:lineRule="exact"/>
        <w:ind w:right="1534" w:hanging="510"/>
        <w:rPr>
          <w:rFonts w:ascii="Avenir Next" w:eastAsia="Avenir Next" w:hAnsi="Avenir Next" w:cs="Avenir Next"/>
          <w:sz w:val="16"/>
          <w:szCs w:val="16"/>
        </w:rPr>
      </w:pPr>
      <w:r>
        <w:rPr>
          <w:rFonts w:ascii="Avenir Next"/>
          <w:sz w:val="16"/>
        </w:rPr>
        <w:t>If</w:t>
      </w:r>
      <w:r>
        <w:rPr>
          <w:rFonts w:ascii="Avenir Next"/>
          <w:spacing w:val="3"/>
          <w:sz w:val="16"/>
        </w:rPr>
        <w:t xml:space="preserve"> </w:t>
      </w:r>
      <w:r>
        <w:rPr>
          <w:rFonts w:ascii="Avenir Next"/>
          <w:sz w:val="16"/>
        </w:rPr>
        <w:t xml:space="preserve">the fact </w:t>
      </w:r>
      <w:r>
        <w:rPr>
          <w:rFonts w:ascii="Avenir Next"/>
          <w:spacing w:val="-1"/>
          <w:sz w:val="16"/>
        </w:rPr>
        <w:t>that</w:t>
      </w:r>
      <w:r>
        <w:rPr>
          <w:rFonts w:ascii="Avenir Next"/>
          <w:sz w:val="16"/>
        </w:rPr>
        <w:t xml:space="preserve"> the </w:t>
      </w:r>
      <w:r>
        <w:rPr>
          <w:rFonts w:ascii="Avenir Next"/>
          <w:spacing w:val="-1"/>
          <w:sz w:val="16"/>
        </w:rPr>
        <w:t>drought</w:t>
      </w:r>
      <w:r>
        <w:rPr>
          <w:rFonts w:ascii="Avenir Next"/>
          <w:sz w:val="16"/>
        </w:rPr>
        <w:t xml:space="preserve"> has </w:t>
      </w:r>
      <w:r>
        <w:rPr>
          <w:rFonts w:ascii="Avenir Next"/>
          <w:spacing w:val="-1"/>
          <w:sz w:val="16"/>
        </w:rPr>
        <w:t>broken</w:t>
      </w:r>
      <w:r>
        <w:rPr>
          <w:rFonts w:ascii="Avenir Next"/>
          <w:sz w:val="16"/>
        </w:rPr>
        <w:t xml:space="preserve"> was </w:t>
      </w:r>
      <w:r>
        <w:rPr>
          <w:rFonts w:ascii="Avenir Next"/>
          <w:spacing w:val="-1"/>
          <w:sz w:val="16"/>
        </w:rPr>
        <w:t>taken</w:t>
      </w:r>
      <w:r>
        <w:rPr>
          <w:rFonts w:ascii="Avenir Next"/>
          <w:sz w:val="16"/>
        </w:rPr>
        <w:t xml:space="preserve"> into account,</w:t>
      </w:r>
      <w:r>
        <w:rPr>
          <w:rFonts w:ascii="Avenir Next"/>
          <w:spacing w:val="-5"/>
          <w:sz w:val="16"/>
        </w:rPr>
        <w:t xml:space="preserve"> </w:t>
      </w:r>
      <w:r>
        <w:rPr>
          <w:rFonts w:ascii="Avenir Next"/>
          <w:sz w:val="16"/>
        </w:rPr>
        <w:t xml:space="preserve">then this </w:t>
      </w:r>
      <w:r>
        <w:rPr>
          <w:rFonts w:ascii="Avenir Next"/>
          <w:spacing w:val="-1"/>
          <w:sz w:val="16"/>
        </w:rPr>
        <w:t>estimate</w:t>
      </w:r>
      <w:r>
        <w:rPr>
          <w:rFonts w:ascii="Avenir Next"/>
          <w:sz w:val="16"/>
        </w:rPr>
        <w:t xml:space="preserve"> would fall to </w:t>
      </w:r>
      <w:r>
        <w:rPr>
          <w:rFonts w:ascii="Avenir Next"/>
          <w:spacing w:val="-1"/>
          <w:sz w:val="16"/>
        </w:rPr>
        <w:t>around</w:t>
      </w:r>
      <w:r>
        <w:rPr>
          <w:rFonts w:ascii="Avenir Next"/>
          <w:sz w:val="16"/>
        </w:rPr>
        <w:t xml:space="preserve"> $17.4 million pa</w:t>
      </w:r>
      <w:r>
        <w:rPr>
          <w:rFonts w:ascii="Avenir Next"/>
          <w:spacing w:val="35"/>
          <w:sz w:val="16"/>
        </w:rPr>
        <w:t xml:space="preserve"> </w:t>
      </w:r>
      <w:r>
        <w:rPr>
          <w:rFonts w:ascii="Avenir Next"/>
          <w:sz w:val="16"/>
        </w:rPr>
        <w:t>because</w:t>
      </w:r>
      <w:r>
        <w:rPr>
          <w:rFonts w:ascii="Avenir Next"/>
          <w:spacing w:val="-1"/>
          <w:sz w:val="16"/>
        </w:rPr>
        <w:t xml:space="preserve"> </w:t>
      </w:r>
      <w:r>
        <w:rPr>
          <w:rFonts w:ascii="Avenir Next"/>
          <w:sz w:val="16"/>
        </w:rPr>
        <w:t xml:space="preserve">all </w:t>
      </w:r>
      <w:r>
        <w:rPr>
          <w:rFonts w:ascii="Avenir Next"/>
          <w:spacing w:val="-1"/>
          <w:sz w:val="16"/>
        </w:rPr>
        <w:t>that</w:t>
      </w:r>
      <w:r>
        <w:rPr>
          <w:rFonts w:ascii="Avenir Next"/>
          <w:sz w:val="16"/>
        </w:rPr>
        <w:t xml:space="preserve"> would be payable is the </w:t>
      </w:r>
      <w:r>
        <w:rPr>
          <w:rFonts w:ascii="Avenir Next"/>
          <w:spacing w:val="-1"/>
          <w:sz w:val="16"/>
        </w:rPr>
        <w:t>fixed</w:t>
      </w:r>
      <w:r>
        <w:rPr>
          <w:rFonts w:ascii="Avenir Next"/>
          <w:sz w:val="16"/>
        </w:rPr>
        <w:t xml:space="preserve"> costs of</w:t>
      </w:r>
      <w:r>
        <w:rPr>
          <w:rFonts w:ascii="Avenir Next"/>
          <w:spacing w:val="3"/>
          <w:sz w:val="16"/>
        </w:rPr>
        <w:t xml:space="preserve"> </w:t>
      </w:r>
      <w:r>
        <w:rPr>
          <w:rFonts w:ascii="Avenir Next"/>
          <w:sz w:val="16"/>
        </w:rPr>
        <w:t>the</w:t>
      </w:r>
      <w:r>
        <w:rPr>
          <w:rFonts w:ascii="Avenir Next"/>
          <w:spacing w:val="-1"/>
          <w:sz w:val="16"/>
        </w:rPr>
        <w:t xml:space="preserve"> project.</w:t>
      </w:r>
      <w:r>
        <w:rPr>
          <w:rFonts w:ascii="Avenir Next"/>
          <w:spacing w:val="-5"/>
          <w:sz w:val="16"/>
        </w:rPr>
        <w:t xml:space="preserve"> </w:t>
      </w: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41"/>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98.</w:t>
      </w:r>
    </w:p>
    <w:p w:rsidR="00D96B91" w:rsidRDefault="00C2656B">
      <w:pPr>
        <w:numPr>
          <w:ilvl w:val="0"/>
          <w:numId w:val="79"/>
        </w:numPr>
        <w:tabs>
          <w:tab w:val="left" w:pos="1758"/>
        </w:tabs>
        <w:spacing w:before="141"/>
        <w:ind w:hanging="510"/>
        <w:rPr>
          <w:rFonts w:ascii="Avenir Next" w:eastAsia="Avenir Next" w:hAnsi="Avenir Next" w:cs="Avenir Next"/>
          <w:sz w:val="16"/>
          <w:szCs w:val="16"/>
        </w:rPr>
      </w:pPr>
      <w:r>
        <w:rPr>
          <w:rFonts w:ascii="Avenir Next"/>
          <w:sz w:val="16"/>
        </w:rPr>
        <w:t>In this case,</w:t>
      </w:r>
      <w:r>
        <w:rPr>
          <w:rFonts w:ascii="Avenir Next"/>
          <w:spacing w:val="-5"/>
          <w:sz w:val="16"/>
        </w:rPr>
        <w:t xml:space="preserve"> </w:t>
      </w:r>
      <w:r>
        <w:rPr>
          <w:rFonts w:ascii="Avenir Next"/>
          <w:sz w:val="16"/>
        </w:rPr>
        <w:t xml:space="preserve">the </w:t>
      </w:r>
      <w:r>
        <w:rPr>
          <w:rFonts w:ascii="Avenir Next"/>
          <w:spacing w:val="-1"/>
          <w:sz w:val="16"/>
        </w:rPr>
        <w:t>alternative</w:t>
      </w:r>
      <w:r>
        <w:rPr>
          <w:rFonts w:ascii="Avenir Next"/>
          <w:sz w:val="16"/>
        </w:rPr>
        <w:t xml:space="preserve"> </w:t>
      </w:r>
      <w:r>
        <w:rPr>
          <w:rFonts w:ascii="Avenir Next"/>
          <w:spacing w:val="-1"/>
          <w:sz w:val="16"/>
        </w:rPr>
        <w:t>source</w:t>
      </w:r>
      <w:r>
        <w:rPr>
          <w:rFonts w:ascii="Avenir Next"/>
          <w:sz w:val="16"/>
        </w:rPr>
        <w:t xml:space="preserve"> of</w:t>
      </w:r>
      <w:r>
        <w:rPr>
          <w:rFonts w:ascii="Avenir Next"/>
          <w:spacing w:val="3"/>
          <w:sz w:val="16"/>
        </w:rPr>
        <w:t xml:space="preserve"> </w:t>
      </w:r>
      <w:r>
        <w:rPr>
          <w:rFonts w:ascii="Avenir Next"/>
          <w:spacing w:val="-1"/>
          <w:sz w:val="16"/>
        </w:rPr>
        <w:t>short-term</w:t>
      </w:r>
      <w:r>
        <w:rPr>
          <w:rFonts w:ascii="Avenir Next"/>
          <w:sz w:val="16"/>
        </w:rPr>
        <w:t xml:space="preserve"> </w:t>
      </w:r>
      <w:r>
        <w:rPr>
          <w:rFonts w:ascii="Avenir Next"/>
          <w:spacing w:val="-1"/>
          <w:sz w:val="16"/>
        </w:rPr>
        <w:t>water</w:t>
      </w:r>
      <w:r>
        <w:rPr>
          <w:rFonts w:ascii="Avenir Next"/>
          <w:sz w:val="16"/>
        </w:rPr>
        <w:t xml:space="preserve"> security was assumed to be a </w:t>
      </w:r>
      <w:r>
        <w:rPr>
          <w:rFonts w:ascii="Avenir Next"/>
          <w:spacing w:val="-1"/>
          <w:sz w:val="16"/>
        </w:rPr>
        <w:t>desalination</w:t>
      </w:r>
      <w:r>
        <w:rPr>
          <w:rFonts w:ascii="Avenir Next"/>
          <w:sz w:val="16"/>
        </w:rPr>
        <w:t xml:space="preserve"> plant.</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pPr>
      <w:bookmarkStart w:id="100" w:name="8._6_Panel’s_draft_decision_on_the_treat"/>
      <w:bookmarkStart w:id="101" w:name="_bookmark58"/>
      <w:bookmarkEnd w:id="100"/>
      <w:bookmarkEnd w:id="101"/>
      <w:r>
        <w:t>Given</w:t>
      </w:r>
      <w:r>
        <w:rPr>
          <w:spacing w:val="-1"/>
        </w:rPr>
        <w:t xml:space="preserve"> </w:t>
      </w:r>
      <w:r>
        <w:t>this</w:t>
      </w:r>
      <w:r>
        <w:rPr>
          <w:spacing w:val="-1"/>
        </w:rPr>
        <w:t xml:space="preserve"> </w:t>
      </w:r>
      <w:r>
        <w:t>finding,</w:t>
      </w:r>
      <w:r>
        <w:rPr>
          <w:spacing w:val="-6"/>
        </w:rPr>
        <w:t xml:space="preserve"> </w:t>
      </w:r>
      <w:r>
        <w:t>the</w:t>
      </w:r>
      <w:r>
        <w:rPr>
          <w:spacing w:val="-1"/>
        </w:rPr>
        <w:t xml:space="preserve"> </w:t>
      </w:r>
      <w:r>
        <w:rPr>
          <w:spacing w:val="-3"/>
        </w:rPr>
        <w:t>Panel</w:t>
      </w:r>
      <w:r>
        <w:t xml:space="preserve"> tested</w:t>
      </w:r>
      <w:r>
        <w:rPr>
          <w:spacing w:val="-1"/>
        </w:rPr>
        <w:t xml:space="preserve"> </w:t>
      </w:r>
      <w:r>
        <w:t>a number</w:t>
      </w:r>
      <w:r>
        <w:rPr>
          <w:spacing w:val="-1"/>
        </w:rPr>
        <w:t xml:space="preserve"> </w:t>
      </w:r>
      <w:r>
        <w:t>of</w:t>
      </w:r>
      <w:r>
        <w:rPr>
          <w:spacing w:val="4"/>
        </w:rPr>
        <w:t xml:space="preserve"> </w:t>
      </w:r>
      <w:r>
        <w:t>other</w:t>
      </w:r>
      <w:r>
        <w:rPr>
          <w:spacing w:val="-1"/>
        </w:rPr>
        <w:t xml:space="preserve"> </w:t>
      </w:r>
      <w:r>
        <w:t xml:space="preserve">smaller </w:t>
      </w:r>
      <w:r>
        <w:rPr>
          <w:spacing w:val="-1"/>
        </w:rPr>
        <w:t xml:space="preserve">deferral </w:t>
      </w:r>
      <w:r>
        <w:t>options,</w:t>
      </w:r>
      <w:r>
        <w:rPr>
          <w:spacing w:val="-6"/>
        </w:rPr>
        <w:t xml:space="preserve"> </w:t>
      </w:r>
      <w:r>
        <w:t>including:</w:t>
      </w:r>
    </w:p>
    <w:p w:rsidR="00D96B91" w:rsidRDefault="00C2656B">
      <w:pPr>
        <w:pStyle w:val="BodyText"/>
        <w:numPr>
          <w:ilvl w:val="0"/>
          <w:numId w:val="131"/>
        </w:numPr>
        <w:tabs>
          <w:tab w:val="left" w:pos="1531"/>
        </w:tabs>
        <w:spacing w:before="149" w:line="260" w:lineRule="exact"/>
        <w:ind w:right="1466" w:hanging="283"/>
        <w:rPr>
          <w:rFonts w:cs="Avenir Next"/>
        </w:rPr>
      </w:pPr>
      <w:r>
        <w:t xml:space="preserve">a 20% </w:t>
      </w:r>
      <w:r>
        <w:rPr>
          <w:spacing w:val="-1"/>
        </w:rPr>
        <w:t>deferral</w:t>
      </w:r>
      <w:r>
        <w:t xml:space="preserve"> option – in this case the FFO </w:t>
      </w:r>
      <w:r>
        <w:rPr>
          <w:spacing w:val="-1"/>
        </w:rPr>
        <w:t>interest</w:t>
      </w:r>
      <w:r>
        <w:t xml:space="preserve"> cover </w:t>
      </w:r>
      <w:r>
        <w:rPr>
          <w:spacing w:val="-1"/>
        </w:rPr>
        <w:t>ratio</w:t>
      </w:r>
      <w:r>
        <w:t xml:space="preserve"> falls well below the lower bound of</w:t>
      </w:r>
      <w:r>
        <w:rPr>
          <w:spacing w:val="30"/>
        </w:rPr>
        <w:t xml:space="preserve"> </w:t>
      </w:r>
      <w:r>
        <w:rPr>
          <w:rFonts w:cs="Avenir Next"/>
        </w:rPr>
        <w:t xml:space="preserve">the </w:t>
      </w:r>
      <w:r>
        <w:rPr>
          <w:rFonts w:cs="Avenir Next"/>
          <w:spacing w:val="-1"/>
        </w:rPr>
        <w:t>target</w:t>
      </w:r>
      <w:r>
        <w:rPr>
          <w:rFonts w:cs="Avenir Next"/>
        </w:rPr>
        <w:t xml:space="preserve"> </w:t>
      </w:r>
      <w:r>
        <w:rPr>
          <w:rFonts w:cs="Avenir Next"/>
          <w:spacing w:val="-1"/>
        </w:rPr>
        <w:t>range</w:t>
      </w:r>
      <w:r>
        <w:rPr>
          <w:rFonts w:cs="Avenir Next"/>
        </w:rPr>
        <w:t xml:space="preserve"> in the last </w:t>
      </w:r>
      <w:r>
        <w:rPr>
          <w:rFonts w:cs="Avenir Next"/>
          <w:spacing w:val="-1"/>
        </w:rPr>
        <w:t>year</w:t>
      </w:r>
      <w:r>
        <w:rPr>
          <w:rFonts w:cs="Avenir Next"/>
        </w:rPr>
        <w:t xml:space="preserve"> of</w:t>
      </w:r>
      <w:r>
        <w:rPr>
          <w:rFonts w:cs="Avenir Next"/>
          <w:spacing w:val="4"/>
        </w:rPr>
        <w:t xml:space="preserve"> </w:t>
      </w:r>
      <w:r>
        <w:rPr>
          <w:rFonts w:cs="Avenir Next"/>
        </w:rPr>
        <w:t xml:space="preserve">the </w:t>
      </w:r>
      <w:r>
        <w:rPr>
          <w:rFonts w:cs="Avenir Next"/>
          <w:spacing w:val="-1"/>
        </w:rPr>
        <w:t>regulatory</w:t>
      </w:r>
      <w:r>
        <w:rPr>
          <w:rFonts w:cs="Avenir Next"/>
        </w:rPr>
        <w:t xml:space="preserve"> period,</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85" w:line="260" w:lineRule="exact"/>
        <w:ind w:right="1561" w:hanging="283"/>
      </w:pPr>
      <w:r>
        <w:t xml:space="preserve">a 10% </w:t>
      </w:r>
      <w:r>
        <w:rPr>
          <w:spacing w:val="-1"/>
        </w:rPr>
        <w:t>deferral</w:t>
      </w:r>
      <w:r>
        <w:t xml:space="preserve"> option – in this case the FFO </w:t>
      </w:r>
      <w:r>
        <w:rPr>
          <w:spacing w:val="-1"/>
        </w:rPr>
        <w:t>interest</w:t>
      </w:r>
      <w:r>
        <w:t xml:space="preserve"> cover </w:t>
      </w:r>
      <w:r>
        <w:rPr>
          <w:spacing w:val="-1"/>
        </w:rPr>
        <w:t>ratio</w:t>
      </w:r>
      <w:r>
        <w:t xml:space="preserve"> only just </w:t>
      </w:r>
      <w:r>
        <w:rPr>
          <w:spacing w:val="-1"/>
        </w:rPr>
        <w:t>remains</w:t>
      </w:r>
      <w:r>
        <w:t xml:space="preserve"> above the </w:t>
      </w:r>
      <w:r>
        <w:rPr>
          <w:spacing w:val="-1"/>
        </w:rPr>
        <w:t>target</w:t>
      </w:r>
      <w:r>
        <w:rPr>
          <w:spacing w:val="29"/>
        </w:rPr>
        <w:t xml:space="preserve"> </w:t>
      </w:r>
      <w:r>
        <w:t>level of</w:t>
      </w:r>
      <w:r>
        <w:rPr>
          <w:spacing w:val="4"/>
        </w:rPr>
        <w:t xml:space="preserve"> </w:t>
      </w:r>
      <w:r>
        <w:t xml:space="preserve">1.8 over the </w:t>
      </w:r>
      <w:r>
        <w:rPr>
          <w:spacing w:val="-1"/>
        </w:rPr>
        <w:t>regulatory</w:t>
      </w:r>
      <w:r>
        <w:t xml:space="preserve"> period.</w:t>
      </w:r>
    </w:p>
    <w:p w:rsidR="00D96B91" w:rsidRDefault="00C2656B">
      <w:pPr>
        <w:pStyle w:val="BodyText"/>
        <w:spacing w:before="85" w:line="260" w:lineRule="exact"/>
        <w:ind w:right="1256"/>
      </w:pPr>
      <w:r>
        <w:t>While</w:t>
      </w:r>
      <w:r>
        <w:rPr>
          <w:spacing w:val="-1"/>
        </w:rPr>
        <w:t xml:space="preserve"> </w:t>
      </w:r>
      <w:r>
        <w:t>under</w:t>
      </w:r>
      <w:r>
        <w:rPr>
          <w:spacing w:val="-1"/>
        </w:rPr>
        <w:t xml:space="preserve"> </w:t>
      </w:r>
      <w:r>
        <w:t xml:space="preserve">the </w:t>
      </w:r>
      <w:r>
        <w:rPr>
          <w:spacing w:val="-1"/>
        </w:rPr>
        <w:t xml:space="preserve">latter </w:t>
      </w:r>
      <w:r>
        <w:t>of</w:t>
      </w:r>
      <w:r>
        <w:rPr>
          <w:spacing w:val="4"/>
        </w:rPr>
        <w:t xml:space="preserve"> </w:t>
      </w:r>
      <w:r>
        <w:t>these</w:t>
      </w:r>
      <w:r>
        <w:rPr>
          <w:spacing w:val="-1"/>
        </w:rPr>
        <w:t xml:space="preserve"> </w:t>
      </w:r>
      <w:r>
        <w:t>options,</w:t>
      </w:r>
      <w:r>
        <w:rPr>
          <w:spacing w:val="-10"/>
        </w:rPr>
        <w:t xml:space="preserve"> </w:t>
      </w:r>
      <w:r>
        <w:rPr>
          <w:spacing w:val="-2"/>
        </w:rPr>
        <w:t>ACTEW</w:t>
      </w:r>
      <w:r>
        <w:rPr>
          <w:spacing w:val="-4"/>
        </w:rPr>
        <w:t xml:space="preserve"> </w:t>
      </w:r>
      <w:r>
        <w:t>would</w:t>
      </w:r>
      <w:r>
        <w:rPr>
          <w:spacing w:val="-1"/>
        </w:rPr>
        <w:t xml:space="preserve"> remain</w:t>
      </w:r>
      <w:r>
        <w:t xml:space="preserve"> financially</w:t>
      </w:r>
      <w:r>
        <w:rPr>
          <w:spacing w:val="-1"/>
        </w:rPr>
        <w:t xml:space="preserve"> </w:t>
      </w:r>
      <w:r>
        <w:t>viable,</w:t>
      </w:r>
      <w:r>
        <w:rPr>
          <w:spacing w:val="-6"/>
        </w:rPr>
        <w:t xml:space="preserve"> </w:t>
      </w:r>
      <w:r>
        <w:t>it</w:t>
      </w:r>
      <w:r>
        <w:rPr>
          <w:spacing w:val="-1"/>
        </w:rPr>
        <w:t xml:space="preserve"> </w:t>
      </w:r>
      <w:r>
        <w:t xml:space="preserve">is </w:t>
      </w:r>
      <w:r>
        <w:rPr>
          <w:spacing w:val="-1"/>
        </w:rPr>
        <w:t xml:space="preserve">worth </w:t>
      </w:r>
      <w:r>
        <w:t>noting</w:t>
      </w:r>
      <w:r>
        <w:rPr>
          <w:spacing w:val="-1"/>
        </w:rPr>
        <w:t xml:space="preserve"> that</w:t>
      </w:r>
      <w:r>
        <w:rPr>
          <w:spacing w:val="23"/>
        </w:rPr>
        <w:t xml:space="preserve"> </w:t>
      </w:r>
      <w:r>
        <w:t>the adoption of</w:t>
      </w:r>
      <w:r>
        <w:rPr>
          <w:spacing w:val="4"/>
        </w:rPr>
        <w:t xml:space="preserve"> </w:t>
      </w:r>
      <w:r>
        <w:t xml:space="preserve">this option would only </w:t>
      </w:r>
      <w:r>
        <w:rPr>
          <w:spacing w:val="-1"/>
        </w:rPr>
        <w:t>reduce</w:t>
      </w:r>
      <w:r>
        <w:t xml:space="preserve"> the typical customer bill by 1.7% in the </w:t>
      </w:r>
      <w:r>
        <w:rPr>
          <w:spacing w:val="-1"/>
        </w:rPr>
        <w:t>remainder</w:t>
      </w:r>
      <w:r>
        <w:t xml:space="preserve"> of</w:t>
      </w:r>
      <w:r>
        <w:rPr>
          <w:spacing w:val="4"/>
        </w:rPr>
        <w:t xml:space="preserve"> </w:t>
      </w:r>
      <w:r>
        <w:t>this</w:t>
      </w:r>
      <w:r>
        <w:rPr>
          <w:spacing w:val="28"/>
        </w:rPr>
        <w:t xml:space="preserve"> </w:t>
      </w:r>
      <w:r>
        <w:rPr>
          <w:spacing w:val="-1"/>
        </w:rPr>
        <w:t>regulatory</w:t>
      </w:r>
      <w:r>
        <w:t xml:space="preserve"> period.</w:t>
      </w:r>
      <w:r>
        <w:rPr>
          <w:spacing w:val="-6"/>
        </w:rPr>
        <w:t xml:space="preserve"> </w:t>
      </w:r>
      <w:r>
        <w:rPr>
          <w:spacing w:val="-1"/>
        </w:rPr>
        <w:t>More</w:t>
      </w:r>
      <w:r>
        <w:rPr>
          <w:spacing w:val="1"/>
        </w:rPr>
        <w:t xml:space="preserve"> </w:t>
      </w:r>
      <w:r>
        <w:rPr>
          <w:spacing w:val="-1"/>
        </w:rPr>
        <w:t>importantly,</w:t>
      </w:r>
      <w:r>
        <w:rPr>
          <w:spacing w:val="-6"/>
        </w:rPr>
        <w:t xml:space="preserve"> </w:t>
      </w:r>
      <w:r>
        <w:t>it</w:t>
      </w:r>
      <w:r>
        <w:rPr>
          <w:spacing w:val="1"/>
        </w:rPr>
        <w:t xml:space="preserve"> </w:t>
      </w:r>
      <w:r>
        <w:t>would add</w:t>
      </w:r>
      <w:r>
        <w:rPr>
          <w:spacing w:val="1"/>
        </w:rPr>
        <w:t xml:space="preserve"> </w:t>
      </w:r>
      <w:r>
        <w:rPr>
          <w:spacing w:val="-1"/>
        </w:rPr>
        <w:t>approximately</w:t>
      </w:r>
      <w:r>
        <w:t xml:space="preserve"> $77</w:t>
      </w:r>
      <w:r>
        <w:rPr>
          <w:spacing w:val="1"/>
        </w:rPr>
        <w:t xml:space="preserve"> </w:t>
      </w:r>
      <w:r>
        <w:rPr>
          <w:spacing w:val="-1"/>
        </w:rPr>
        <w:t>million</w:t>
      </w:r>
      <w:r>
        <w:rPr>
          <w:spacing w:val="-1"/>
          <w:position w:val="7"/>
          <w:sz w:val="11"/>
        </w:rPr>
        <w:t>98</w:t>
      </w:r>
      <w:r>
        <w:rPr>
          <w:spacing w:val="23"/>
          <w:position w:val="7"/>
          <w:sz w:val="11"/>
        </w:rPr>
        <w:t xml:space="preserve"> </w:t>
      </w:r>
      <w:r>
        <w:t>to the</w:t>
      </w:r>
      <w:r>
        <w:rPr>
          <w:spacing w:val="1"/>
        </w:rPr>
        <w:t xml:space="preserve"> </w:t>
      </w:r>
      <w:r>
        <w:t>value of</w:t>
      </w:r>
      <w:r>
        <w:rPr>
          <w:spacing w:val="5"/>
        </w:rPr>
        <w:t xml:space="preserve"> </w:t>
      </w:r>
      <w:r>
        <w:t>the RAB</w:t>
      </w:r>
      <w:r>
        <w:rPr>
          <w:spacing w:val="1"/>
        </w:rPr>
        <w:t xml:space="preserve"> </w:t>
      </w:r>
      <w:r>
        <w:rPr>
          <w:spacing w:val="-2"/>
        </w:rPr>
        <w:t>at</w:t>
      </w:r>
      <w:r>
        <w:rPr>
          <w:spacing w:val="39"/>
        </w:rPr>
        <w:t xml:space="preserve"> </w:t>
      </w:r>
      <w:r>
        <w:t>the</w:t>
      </w:r>
      <w:r>
        <w:rPr>
          <w:spacing w:val="-1"/>
        </w:rPr>
        <w:t xml:space="preserve"> </w:t>
      </w:r>
      <w:r>
        <w:t>commencement</w:t>
      </w:r>
      <w:r>
        <w:rPr>
          <w:spacing w:val="-1"/>
        </w:rPr>
        <w:t xml:space="preserve"> </w:t>
      </w:r>
      <w:r>
        <w:t>of</w:t>
      </w:r>
      <w:r>
        <w:rPr>
          <w:spacing w:val="4"/>
        </w:rPr>
        <w:t xml:space="preserve"> </w:t>
      </w:r>
      <w:r>
        <w:t>the</w:t>
      </w:r>
      <w:r>
        <w:rPr>
          <w:spacing w:val="-1"/>
        </w:rPr>
        <w:t xml:space="preserve"> next</w:t>
      </w:r>
      <w:r>
        <w:t xml:space="preserve"> </w:t>
      </w:r>
      <w:r>
        <w:rPr>
          <w:spacing w:val="-1"/>
        </w:rPr>
        <w:t xml:space="preserve">regulatory </w:t>
      </w:r>
      <w:r>
        <w:t>period.</w:t>
      </w:r>
      <w:r>
        <w:rPr>
          <w:spacing w:val="-7"/>
        </w:rPr>
        <w:t xml:space="preserve"> </w:t>
      </w:r>
      <w:r>
        <w:t>Depending on</w:t>
      </w:r>
      <w:r>
        <w:rPr>
          <w:spacing w:val="-1"/>
        </w:rPr>
        <w:t xml:space="preserve"> </w:t>
      </w:r>
      <w:r>
        <w:t>the conditions</w:t>
      </w:r>
      <w:r>
        <w:rPr>
          <w:spacing w:val="-1"/>
        </w:rPr>
        <w:t xml:space="preserve"> prevailing</w:t>
      </w:r>
      <w:r>
        <w:t xml:space="preserve"> in</w:t>
      </w:r>
      <w:r>
        <w:rPr>
          <w:spacing w:val="-1"/>
        </w:rPr>
        <w:t xml:space="preserve"> </w:t>
      </w:r>
      <w:r>
        <w:t>financial</w:t>
      </w:r>
      <w:r>
        <w:rPr>
          <w:spacing w:val="25"/>
          <w:w w:val="99"/>
        </w:rPr>
        <w:t xml:space="preserve"> </w:t>
      </w:r>
      <w:r>
        <w:rPr>
          <w:spacing w:val="-1"/>
        </w:rPr>
        <w:t xml:space="preserve">markets </w:t>
      </w:r>
      <w:r>
        <w:t>in</w:t>
      </w:r>
      <w:r>
        <w:rPr>
          <w:spacing w:val="-1"/>
        </w:rPr>
        <w:t xml:space="preserve"> </w:t>
      </w:r>
      <w:r>
        <w:t>2018,</w:t>
      </w:r>
      <w:r>
        <w:rPr>
          <w:spacing w:val="-6"/>
        </w:rPr>
        <w:t xml:space="preserve"> </w:t>
      </w:r>
      <w:r>
        <w:t>such an</w:t>
      </w:r>
      <w:r>
        <w:rPr>
          <w:spacing w:val="-1"/>
        </w:rPr>
        <w:t xml:space="preserve"> </w:t>
      </w:r>
      <w:r>
        <w:t>addition</w:t>
      </w:r>
      <w:r>
        <w:rPr>
          <w:spacing w:val="-1"/>
        </w:rPr>
        <w:t xml:space="preserve"> </w:t>
      </w:r>
      <w:r>
        <w:t>to the</w:t>
      </w:r>
      <w:r>
        <w:rPr>
          <w:spacing w:val="-1"/>
        </w:rPr>
        <w:t xml:space="preserve"> </w:t>
      </w:r>
      <w:r>
        <w:t>RAB could</w:t>
      </w:r>
      <w:r>
        <w:rPr>
          <w:spacing w:val="-1"/>
        </w:rPr>
        <w:t xml:space="preserve"> </w:t>
      </w:r>
      <w:r>
        <w:t>contribute to</w:t>
      </w:r>
      <w:r>
        <w:rPr>
          <w:spacing w:val="-1"/>
        </w:rPr>
        <w:t xml:space="preserve"> </w:t>
      </w:r>
      <w:r>
        <w:t>a significant</w:t>
      </w:r>
      <w:r>
        <w:rPr>
          <w:spacing w:val="-1"/>
        </w:rPr>
        <w:t xml:space="preserve"> </w:t>
      </w:r>
      <w:r>
        <w:t xml:space="preserve">price </w:t>
      </w:r>
      <w:r>
        <w:rPr>
          <w:spacing w:val="-1"/>
        </w:rPr>
        <w:t xml:space="preserve">increase </w:t>
      </w:r>
      <w:r>
        <w:t>in the</w:t>
      </w:r>
      <w:r>
        <w:rPr>
          <w:spacing w:val="-1"/>
        </w:rPr>
        <w:t xml:space="preserve"> next</w:t>
      </w:r>
      <w:r>
        <w:rPr>
          <w:spacing w:val="28"/>
        </w:rPr>
        <w:t xml:space="preserve"> </w:t>
      </w:r>
      <w:r>
        <w:t>period.</w:t>
      </w:r>
      <w:r>
        <w:rPr>
          <w:spacing w:val="-11"/>
        </w:rPr>
        <w:t xml:space="preserve"> </w:t>
      </w:r>
      <w:r>
        <w:rPr>
          <w:spacing w:val="-2"/>
        </w:rPr>
        <w:t>Therefore,</w:t>
      </w:r>
      <w:r>
        <w:rPr>
          <w:spacing w:val="-6"/>
        </w:rPr>
        <w:t xml:space="preserve"> </w:t>
      </w:r>
      <w:r>
        <w:t xml:space="preserve">the </w:t>
      </w:r>
      <w:r>
        <w:rPr>
          <w:spacing w:val="-3"/>
        </w:rPr>
        <w:t>Panel</w:t>
      </w:r>
      <w:r>
        <w:t xml:space="preserve"> has concluded </w:t>
      </w:r>
      <w:r>
        <w:rPr>
          <w:spacing w:val="-1"/>
        </w:rPr>
        <w:t>there</w:t>
      </w:r>
      <w:r>
        <w:t xml:space="preserve"> would be </w:t>
      </w:r>
      <w:r>
        <w:rPr>
          <w:spacing w:val="-1"/>
        </w:rPr>
        <w:t>little</w:t>
      </w:r>
      <w:r>
        <w:t xml:space="preserve"> merit in implementing this option.</w:t>
      </w:r>
    </w:p>
    <w:p w:rsidR="00D96B91" w:rsidRDefault="00D96B91">
      <w:pPr>
        <w:rPr>
          <w:rFonts w:ascii="Avenir Next" w:eastAsia="Avenir Next" w:hAnsi="Avenir Next" w:cs="Avenir Next"/>
          <w:sz w:val="20"/>
          <w:szCs w:val="20"/>
        </w:rPr>
      </w:pPr>
    </w:p>
    <w:p w:rsidR="00D96B91" w:rsidRDefault="00C2656B">
      <w:pPr>
        <w:pStyle w:val="Heading4"/>
        <w:numPr>
          <w:ilvl w:val="0"/>
          <w:numId w:val="77"/>
        </w:numPr>
        <w:tabs>
          <w:tab w:val="left" w:pos="1570"/>
          <w:tab w:val="left" w:pos="2040"/>
        </w:tabs>
        <w:spacing w:before="143" w:line="360" w:lineRule="exact"/>
        <w:ind w:right="2256" w:hanging="794"/>
      </w:pPr>
      <w:r>
        <w:rPr>
          <w:rFonts w:cs="Avenir Next Medium"/>
          <w:color w:val="0778BE"/>
        </w:rPr>
        <w:t>6</w:t>
      </w:r>
      <w:r>
        <w:rPr>
          <w:rFonts w:cs="Avenir Next Medium"/>
          <w:color w:val="0778BE"/>
        </w:rPr>
        <w:tab/>
      </w:r>
      <w:r>
        <w:rPr>
          <w:color w:val="0778BE"/>
          <w:spacing w:val="-5"/>
        </w:rPr>
        <w:t>Panel’s</w:t>
      </w:r>
      <w:r>
        <w:rPr>
          <w:color w:val="0778BE"/>
        </w:rPr>
        <w:t xml:space="preserve"> </w:t>
      </w:r>
      <w:r>
        <w:rPr>
          <w:color w:val="0778BE"/>
          <w:spacing w:val="-2"/>
        </w:rPr>
        <w:t>draft</w:t>
      </w:r>
      <w:r>
        <w:rPr>
          <w:color w:val="0778BE"/>
        </w:rPr>
        <w:t xml:space="preserve"> decision on the </w:t>
      </w:r>
      <w:r>
        <w:rPr>
          <w:color w:val="0778BE"/>
          <w:spacing w:val="-2"/>
        </w:rPr>
        <w:t>treatment</w:t>
      </w:r>
      <w:r>
        <w:rPr>
          <w:color w:val="0778BE"/>
        </w:rPr>
        <w:t xml:space="preserve"> of</w:t>
      </w:r>
      <w:r>
        <w:rPr>
          <w:color w:val="0778BE"/>
          <w:spacing w:val="7"/>
        </w:rPr>
        <w:t xml:space="preserve"> </w:t>
      </w:r>
      <w:r>
        <w:rPr>
          <w:color w:val="0778BE"/>
          <w:spacing w:val="-1"/>
        </w:rPr>
        <w:t>water</w:t>
      </w:r>
      <w:r>
        <w:rPr>
          <w:color w:val="0778BE"/>
        </w:rPr>
        <w:t xml:space="preserve"> security</w:t>
      </w:r>
      <w:r>
        <w:rPr>
          <w:color w:val="0778BE"/>
          <w:spacing w:val="27"/>
        </w:rPr>
        <w:t xml:space="preserve"> </w:t>
      </w:r>
      <w:r>
        <w:rPr>
          <w:color w:val="0778BE"/>
          <w:spacing w:val="-1"/>
        </w:rPr>
        <w:t>projects</w:t>
      </w:r>
    </w:p>
    <w:p w:rsidR="00D96B91" w:rsidRDefault="00C2656B">
      <w:pPr>
        <w:pStyle w:val="BodyText"/>
        <w:spacing w:before="93" w:line="260" w:lineRule="exact"/>
        <w:ind w:right="1358"/>
        <w:rPr>
          <w:rFonts w:cs="Avenir Next"/>
        </w:rPr>
      </w:pPr>
      <w:r>
        <w:rPr>
          <w:rFonts w:cs="Avenir Next"/>
        </w:rPr>
        <w:t>In the course of</w:t>
      </w:r>
      <w:r>
        <w:rPr>
          <w:rFonts w:cs="Avenir Next"/>
          <w:spacing w:val="4"/>
        </w:rPr>
        <w:t xml:space="preserve"> </w:t>
      </w:r>
      <w:r>
        <w:rPr>
          <w:rFonts w:cs="Avenir Next"/>
        </w:rPr>
        <w:t xml:space="preserve">its </w:t>
      </w:r>
      <w:r>
        <w:rPr>
          <w:rFonts w:cs="Avenir Next"/>
          <w:spacing w:val="-1"/>
        </w:rPr>
        <w:t>review</w:t>
      </w:r>
      <w:r>
        <w:rPr>
          <w:rFonts w:cs="Avenir Next"/>
        </w:rPr>
        <w:t xml:space="preserve"> of</w:t>
      </w:r>
      <w:r>
        <w:rPr>
          <w:rFonts w:cs="Avenir Next"/>
          <w:spacing w:val="4"/>
        </w:rPr>
        <w:t xml:space="preserve"> </w:t>
      </w:r>
      <w:r>
        <w:rPr>
          <w:rFonts w:cs="Avenir Next"/>
        </w:rPr>
        <w:t>this aspect of</w:t>
      </w:r>
      <w:r>
        <w:rPr>
          <w:rFonts w:cs="Avenir Next"/>
          <w:spacing w:val="4"/>
        </w:rPr>
        <w:t xml:space="preserve"> </w:t>
      </w:r>
      <w:r>
        <w:rPr>
          <w:rFonts w:cs="Avenir Next"/>
        </w:rPr>
        <w:t xml:space="preserve">the original price </w:t>
      </w:r>
      <w:r>
        <w:rPr>
          <w:rFonts w:cs="Avenir Next"/>
          <w:spacing w:val="-1"/>
        </w:rPr>
        <w:t>direction,</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carefully</w:t>
      </w:r>
      <w:r>
        <w:rPr>
          <w:rFonts w:cs="Avenir Next"/>
        </w:rPr>
        <w:t xml:space="preserve"> </w:t>
      </w:r>
      <w:r w:rsidR="00B45286">
        <w:rPr>
          <w:rFonts w:cs="Avenir Next"/>
          <w:spacing w:val="-1"/>
        </w:rPr>
        <w:t>evaluated</w:t>
      </w:r>
      <w:r w:rsidR="00B45286" w:rsidRPr="00B45286">
        <w:rPr>
          <w:rFonts w:cs="Avenir Next"/>
          <w:spacing w:val="-1"/>
        </w:rPr>
        <w:t xml:space="preserve"> the</w:t>
      </w:r>
      <w:r w:rsidRPr="00B45286">
        <w:rPr>
          <w:rFonts w:cs="Avenir Next"/>
          <w:spacing w:val="-1"/>
        </w:rPr>
        <w:t xml:space="preserve"> approach</w:t>
      </w:r>
      <w:r>
        <w:t xml:space="preserve"> employed by the ICRC.</w:t>
      </w:r>
      <w:r>
        <w:rPr>
          <w:spacing w:val="-6"/>
        </w:rPr>
        <w:t xml:space="preserve"> </w:t>
      </w:r>
      <w:r>
        <w:t xml:space="preserve">In </w:t>
      </w:r>
      <w:r>
        <w:rPr>
          <w:spacing w:val="-1"/>
        </w:rPr>
        <w:t>short,</w:t>
      </w:r>
      <w:r>
        <w:rPr>
          <w:spacing w:val="-6"/>
        </w:rPr>
        <w:t xml:space="preserve"> </w:t>
      </w:r>
      <w:r>
        <w:t xml:space="preserve">the </w:t>
      </w:r>
      <w:r>
        <w:rPr>
          <w:spacing w:val="-3"/>
        </w:rPr>
        <w:t>Panel</w:t>
      </w:r>
      <w:r>
        <w:t xml:space="preserve"> found </w:t>
      </w:r>
      <w:r>
        <w:rPr>
          <w:spacing w:val="-1"/>
        </w:rPr>
        <w:t>that,</w:t>
      </w:r>
      <w:r>
        <w:rPr>
          <w:spacing w:val="-6"/>
        </w:rPr>
        <w:t xml:space="preserve"> </w:t>
      </w:r>
      <w:r>
        <w:rPr>
          <w:spacing w:val="-1"/>
        </w:rPr>
        <w:t>contrary</w:t>
      </w:r>
      <w:r>
        <w:t xml:space="preserve"> to the intent of</w:t>
      </w:r>
      <w:r>
        <w:rPr>
          <w:spacing w:val="4"/>
        </w:rPr>
        <w:t xml:space="preserve"> </w:t>
      </w:r>
      <w:r>
        <w:t>clause 1(d)</w:t>
      </w:r>
      <w:r>
        <w:rPr>
          <w:spacing w:val="37"/>
        </w:rPr>
        <w:t xml:space="preserve"> </w:t>
      </w:r>
      <w:r>
        <w:t>and</w:t>
      </w:r>
      <w:r>
        <w:rPr>
          <w:spacing w:val="-1"/>
        </w:rPr>
        <w:t xml:space="preserve"> </w:t>
      </w:r>
      <w:r>
        <w:t xml:space="preserve">the </w:t>
      </w:r>
      <w:r>
        <w:rPr>
          <w:spacing w:val="-1"/>
        </w:rPr>
        <w:t xml:space="preserve">intergenerational </w:t>
      </w:r>
      <w:r>
        <w:t>and economic</w:t>
      </w:r>
      <w:r>
        <w:rPr>
          <w:spacing w:val="-1"/>
        </w:rPr>
        <w:t xml:space="preserve"> efficiency</w:t>
      </w:r>
      <w:r>
        <w:t xml:space="preserve"> </w:t>
      </w:r>
      <w:hyperlink w:anchor="_bookmark46" w:history="1">
        <w:r>
          <w:t>principles</w:t>
        </w:r>
        <w:r>
          <w:rPr>
            <w:spacing w:val="-1"/>
          </w:rPr>
          <w:t xml:space="preserve"> </w:t>
        </w:r>
        <w:r>
          <w:t>set out</w:t>
        </w:r>
        <w:r>
          <w:rPr>
            <w:spacing w:val="-1"/>
          </w:rPr>
          <w:t xml:space="preserve"> </w:t>
        </w:r>
        <w:r>
          <w:t xml:space="preserve">in </w:t>
        </w:r>
        <w:r>
          <w:rPr>
            <w:spacing w:val="-1"/>
          </w:rPr>
          <w:t xml:space="preserve">Box </w:t>
        </w:r>
        <w:r>
          <w:t>7.1</w:t>
        </w:r>
      </w:hyperlink>
      <w:r>
        <w:rPr>
          <w:rFonts w:cs="Avenir Next"/>
        </w:rPr>
        <w:t>,</w:t>
      </w:r>
      <w:r>
        <w:rPr>
          <w:rFonts w:cs="Avenir Next"/>
          <w:spacing w:val="-6"/>
        </w:rPr>
        <w:t xml:space="preserve"> </w:t>
      </w:r>
      <w:r>
        <w:rPr>
          <w:rFonts w:cs="Avenir Next"/>
        </w:rPr>
        <w:t>the</w:t>
      </w:r>
      <w:r>
        <w:rPr>
          <w:rFonts w:cs="Avenir Next"/>
          <w:spacing w:val="-1"/>
        </w:rPr>
        <w:t xml:space="preserve"> </w:t>
      </w:r>
      <w:r>
        <w:rPr>
          <w:rFonts w:cs="Avenir Next"/>
          <w:spacing w:val="-2"/>
        </w:rPr>
        <w:t>ICRC’s</w:t>
      </w:r>
      <w:r>
        <w:rPr>
          <w:rFonts w:cs="Avenir Next"/>
        </w:rPr>
        <w:t xml:space="preserve"> </w:t>
      </w:r>
      <w:r>
        <w:rPr>
          <w:rFonts w:cs="Avenir Next"/>
          <w:spacing w:val="-1"/>
        </w:rPr>
        <w:t>approach</w:t>
      </w:r>
    </w:p>
    <w:p w:rsidR="00D96B91" w:rsidRDefault="00C2656B">
      <w:pPr>
        <w:pStyle w:val="BodyText"/>
        <w:spacing w:line="260" w:lineRule="exact"/>
        <w:ind w:right="1256"/>
      </w:pPr>
      <w:r>
        <w:rPr>
          <w:spacing w:val="-1"/>
        </w:rPr>
        <w:t>resulted</w:t>
      </w:r>
      <w:r>
        <w:t xml:space="preserve"> in </w:t>
      </w:r>
      <w:r>
        <w:rPr>
          <w:spacing w:val="-1"/>
        </w:rPr>
        <w:t>current</w:t>
      </w:r>
      <w:r>
        <w:t xml:space="preserve"> customers paying a </w:t>
      </w:r>
      <w:r>
        <w:rPr>
          <w:spacing w:val="-2"/>
        </w:rPr>
        <w:t>greater</w:t>
      </w:r>
      <w:r>
        <w:t xml:space="preserve"> </w:t>
      </w:r>
      <w:r>
        <w:rPr>
          <w:spacing w:val="-1"/>
        </w:rPr>
        <w:t>proportion</w:t>
      </w:r>
      <w:r>
        <w:t xml:space="preserve"> of</w:t>
      </w:r>
      <w:r>
        <w:rPr>
          <w:spacing w:val="4"/>
        </w:rPr>
        <w:t xml:space="preserve"> </w:t>
      </w:r>
      <w:r>
        <w:t>the costs of</w:t>
      </w:r>
      <w:r>
        <w:rPr>
          <w:spacing w:val="4"/>
        </w:rPr>
        <w:t xml:space="preserve"> </w:t>
      </w:r>
      <w:r>
        <w:t>the ECD and M2G than would</w:t>
      </w:r>
      <w:r>
        <w:rPr>
          <w:spacing w:val="33"/>
        </w:rPr>
        <w:t xml:space="preserve"> </w:t>
      </w:r>
      <w:r>
        <w:t xml:space="preserve">arise under the </w:t>
      </w:r>
      <w:r>
        <w:rPr>
          <w:spacing w:val="-1"/>
        </w:rPr>
        <w:t>traditional</w:t>
      </w:r>
      <w:r>
        <w:t xml:space="preserve"> </w:t>
      </w:r>
      <w:r>
        <w:rPr>
          <w:spacing w:val="-1"/>
        </w:rPr>
        <w:t>straight</w:t>
      </w:r>
      <w:r>
        <w:t xml:space="preserve"> line </w:t>
      </w:r>
      <w:r>
        <w:rPr>
          <w:spacing w:val="-1"/>
        </w:rPr>
        <w:t>depreciation</w:t>
      </w:r>
      <w:r>
        <w:t xml:space="preserve"> (with </w:t>
      </w:r>
      <w:r>
        <w:rPr>
          <w:spacing w:val="-1"/>
        </w:rPr>
        <w:t>indexation)</w:t>
      </w:r>
      <w:r>
        <w:t xml:space="preserve"> </w:t>
      </w:r>
      <w:r>
        <w:rPr>
          <w:spacing w:val="-1"/>
        </w:rPr>
        <w:t>approach.</w:t>
      </w:r>
    </w:p>
    <w:p w:rsidR="00D96B91" w:rsidRDefault="00C2656B">
      <w:pPr>
        <w:pStyle w:val="BodyText"/>
        <w:spacing w:before="170" w:line="260" w:lineRule="exact"/>
        <w:ind w:right="1256"/>
      </w:pPr>
      <w:r>
        <w:rPr>
          <w:rFonts w:cs="Avenir Next"/>
        </w:rPr>
        <w:t>In addition,</w:t>
      </w:r>
      <w:r>
        <w:rPr>
          <w:rFonts w:cs="Avenir Next"/>
          <w:spacing w:val="-7"/>
        </w:rPr>
        <w:t xml:space="preserve"> </w:t>
      </w:r>
      <w:r>
        <w:rPr>
          <w:rFonts w:cs="Avenir Next"/>
        </w:rPr>
        <w:t xml:space="preserve">the </w:t>
      </w:r>
      <w:r>
        <w:rPr>
          <w:rFonts w:cs="Avenir Next"/>
          <w:spacing w:val="-3"/>
        </w:rPr>
        <w:t>Panel</w:t>
      </w:r>
      <w:r>
        <w:rPr>
          <w:rFonts w:cs="Avenir Next"/>
        </w:rPr>
        <w:t xml:space="preserve"> found </w:t>
      </w:r>
      <w:r>
        <w:rPr>
          <w:rFonts w:cs="Avenir Next"/>
          <w:spacing w:val="-1"/>
        </w:rPr>
        <w:t>that</w:t>
      </w:r>
      <w:r>
        <w:rPr>
          <w:rFonts w:cs="Avenir Next"/>
        </w:rPr>
        <w:t xml:space="preserve"> while it would be possible to achieve a closer alignment between the</w:t>
      </w:r>
      <w:r>
        <w:rPr>
          <w:rFonts w:cs="Avenir Next"/>
          <w:spacing w:val="24"/>
        </w:rPr>
        <w:t xml:space="preserve"> </w:t>
      </w:r>
      <w:r>
        <w:rPr>
          <w:spacing w:val="-1"/>
        </w:rPr>
        <w:t xml:space="preserve">recovery </w:t>
      </w:r>
      <w:r>
        <w:t>of</w:t>
      </w:r>
      <w:r>
        <w:rPr>
          <w:spacing w:val="4"/>
        </w:rPr>
        <w:t xml:space="preserve"> </w:t>
      </w:r>
      <w:r>
        <w:t>the</w:t>
      </w:r>
      <w:r>
        <w:rPr>
          <w:spacing w:val="-1"/>
        </w:rPr>
        <w:t xml:space="preserve"> </w:t>
      </w:r>
      <w:r>
        <w:t>ECD and</w:t>
      </w:r>
      <w:r>
        <w:rPr>
          <w:spacing w:val="-1"/>
        </w:rPr>
        <w:t xml:space="preserve"> </w:t>
      </w:r>
      <w:r>
        <w:t>M2G capital costs</w:t>
      </w:r>
      <w:r>
        <w:rPr>
          <w:spacing w:val="-1"/>
        </w:rPr>
        <w:t xml:space="preserve"> </w:t>
      </w:r>
      <w:r>
        <w:t>by deferring</w:t>
      </w:r>
      <w:r>
        <w:rPr>
          <w:spacing w:val="-1"/>
        </w:rPr>
        <w:t xml:space="preserve"> </w:t>
      </w:r>
      <w:r>
        <w:t>a defined</w:t>
      </w:r>
      <w:r>
        <w:rPr>
          <w:spacing w:val="-1"/>
        </w:rPr>
        <w:t xml:space="preserve"> portion</w:t>
      </w:r>
      <w:r>
        <w:t xml:space="preserve"> of</w:t>
      </w:r>
      <w:r>
        <w:rPr>
          <w:spacing w:val="4"/>
        </w:rPr>
        <w:t xml:space="preserve"> </w:t>
      </w:r>
      <w:r>
        <w:t>these</w:t>
      </w:r>
      <w:r>
        <w:rPr>
          <w:spacing w:val="-1"/>
        </w:rPr>
        <w:t xml:space="preserve"> </w:t>
      </w:r>
      <w:r>
        <w:t>costs,</w:t>
      </w:r>
      <w:r>
        <w:rPr>
          <w:spacing w:val="-6"/>
        </w:rPr>
        <w:t xml:space="preserve"> </w:t>
      </w:r>
      <w:r>
        <w:t>the</w:t>
      </w:r>
      <w:r>
        <w:rPr>
          <w:spacing w:val="-1"/>
        </w:rPr>
        <w:t xml:space="preserve"> </w:t>
      </w:r>
      <w:r>
        <w:t>adoption</w:t>
      </w:r>
      <w:r>
        <w:rPr>
          <w:spacing w:val="29"/>
        </w:rPr>
        <w:t xml:space="preserve"> </w:t>
      </w:r>
      <w:r>
        <w:t>of</w:t>
      </w:r>
      <w:r>
        <w:rPr>
          <w:spacing w:val="4"/>
        </w:rPr>
        <w:t xml:space="preserve"> </w:t>
      </w:r>
      <w:r>
        <w:t>this technique,</w:t>
      </w:r>
      <w:r>
        <w:rPr>
          <w:spacing w:val="-6"/>
        </w:rPr>
        <w:t xml:space="preserve"> </w:t>
      </w:r>
      <w:r>
        <w:t xml:space="preserve">in conjunction with the 7% </w:t>
      </w:r>
      <w:r>
        <w:rPr>
          <w:spacing w:val="-1"/>
        </w:rPr>
        <w:t>deadband</w:t>
      </w:r>
      <w:r>
        <w:t xml:space="preserve"> (see Chapter 6),</w:t>
      </w:r>
      <w:r>
        <w:rPr>
          <w:spacing w:val="-7"/>
        </w:rPr>
        <w:t xml:space="preserve"> </w:t>
      </w:r>
      <w:r>
        <w:t xml:space="preserve">could place some </w:t>
      </w:r>
      <w:r>
        <w:rPr>
          <w:spacing w:val="-1"/>
        </w:rPr>
        <w:t>strain</w:t>
      </w:r>
      <w:r>
        <w:t xml:space="preserve"> on</w:t>
      </w:r>
      <w:r>
        <w:rPr>
          <w:spacing w:val="29"/>
        </w:rPr>
        <w:t xml:space="preserve"> </w:t>
      </w:r>
      <w:r>
        <w:rPr>
          <w:spacing w:val="-2"/>
        </w:rPr>
        <w:t>ACTEW’s</w:t>
      </w:r>
      <w:r>
        <w:rPr>
          <w:spacing w:val="-1"/>
        </w:rPr>
        <w:t xml:space="preserve"> </w:t>
      </w:r>
      <w:r>
        <w:t>financial viability</w:t>
      </w:r>
      <w:r>
        <w:rPr>
          <w:spacing w:val="-1"/>
        </w:rPr>
        <w:t xml:space="preserve"> </w:t>
      </w:r>
      <w:r>
        <w:t>in the</w:t>
      </w:r>
      <w:r>
        <w:rPr>
          <w:spacing w:val="-1"/>
        </w:rPr>
        <w:t xml:space="preserve"> short-term</w:t>
      </w:r>
      <w:r>
        <w:t xml:space="preserve"> if</w:t>
      </w:r>
      <w:r>
        <w:rPr>
          <w:spacing w:val="3"/>
        </w:rPr>
        <w:t xml:space="preserve"> </w:t>
      </w:r>
      <w:r>
        <w:rPr>
          <w:spacing w:val="-1"/>
        </w:rPr>
        <w:t xml:space="preserve">water </w:t>
      </w:r>
      <w:r>
        <w:t xml:space="preserve">sales </w:t>
      </w:r>
      <w:r>
        <w:rPr>
          <w:spacing w:val="-1"/>
        </w:rPr>
        <w:t xml:space="preserve">were </w:t>
      </w:r>
      <w:r>
        <w:t>persistently lower</w:t>
      </w:r>
      <w:r>
        <w:rPr>
          <w:spacing w:val="-1"/>
        </w:rPr>
        <w:t xml:space="preserve"> </w:t>
      </w:r>
      <w:r>
        <w:t xml:space="preserve">than </w:t>
      </w:r>
      <w:r>
        <w:rPr>
          <w:spacing w:val="-1"/>
        </w:rPr>
        <w:t xml:space="preserve">forecast </w:t>
      </w:r>
      <w:r>
        <w:t>over the</w:t>
      </w:r>
      <w:r>
        <w:rPr>
          <w:spacing w:val="31"/>
        </w:rPr>
        <w:t xml:space="preserve"> </w:t>
      </w:r>
      <w:r>
        <w:rPr>
          <w:spacing w:val="-1"/>
        </w:rPr>
        <w:t>remainder</w:t>
      </w:r>
      <w:r>
        <w:t xml:space="preserve"> of</w:t>
      </w:r>
      <w:r>
        <w:rPr>
          <w:spacing w:val="4"/>
        </w:rPr>
        <w:t xml:space="preserve"> </w:t>
      </w:r>
      <w:r>
        <w:t xml:space="preserve">the </w:t>
      </w:r>
      <w:r>
        <w:rPr>
          <w:spacing w:val="-1"/>
        </w:rPr>
        <w:t>regulatory</w:t>
      </w:r>
      <w:r>
        <w:t xml:space="preserve"> period.</w:t>
      </w:r>
    </w:p>
    <w:p w:rsidR="00D96B91" w:rsidRDefault="00C2656B">
      <w:pPr>
        <w:pStyle w:val="BodyText"/>
        <w:spacing w:before="178"/>
      </w:pPr>
      <w:r>
        <w:t>Given</w:t>
      </w:r>
      <w:r>
        <w:rPr>
          <w:spacing w:val="-1"/>
        </w:rPr>
        <w:t xml:space="preserve"> </w:t>
      </w:r>
      <w:r>
        <w:t>this</w:t>
      </w:r>
      <w:r>
        <w:rPr>
          <w:spacing w:val="-1"/>
        </w:rPr>
        <w:t xml:space="preserve"> </w:t>
      </w:r>
      <w:r>
        <w:t>finding,</w:t>
      </w:r>
      <w:r>
        <w:rPr>
          <w:spacing w:val="-7"/>
        </w:rPr>
        <w:t xml:space="preserve"> </w:t>
      </w:r>
      <w:r>
        <w:t>the</w:t>
      </w:r>
      <w:r>
        <w:rPr>
          <w:spacing w:val="-1"/>
        </w:rPr>
        <w:t xml:space="preserve"> </w:t>
      </w:r>
      <w:r>
        <w:rPr>
          <w:spacing w:val="-4"/>
        </w:rPr>
        <w:t>Panel’s</w:t>
      </w:r>
      <w:r>
        <w:rPr>
          <w:spacing w:val="-1"/>
        </w:rPr>
        <w:t xml:space="preserve"> </w:t>
      </w:r>
      <w:r>
        <w:rPr>
          <w:spacing w:val="-2"/>
        </w:rPr>
        <w:t>draft</w:t>
      </w:r>
      <w:r>
        <w:rPr>
          <w:spacing w:val="-1"/>
        </w:rPr>
        <w:t xml:space="preserve"> </w:t>
      </w:r>
      <w:r>
        <w:t>decision</w:t>
      </w:r>
      <w:r>
        <w:rPr>
          <w:spacing w:val="-1"/>
        </w:rPr>
        <w:t xml:space="preserve"> </w:t>
      </w:r>
      <w:r>
        <w:t>is to:</w:t>
      </w:r>
    </w:p>
    <w:p w:rsidR="00D96B91" w:rsidRDefault="00C2656B">
      <w:pPr>
        <w:pStyle w:val="BodyText"/>
        <w:numPr>
          <w:ilvl w:val="0"/>
          <w:numId w:val="131"/>
        </w:numPr>
        <w:tabs>
          <w:tab w:val="left" w:pos="1531"/>
        </w:tabs>
        <w:spacing w:before="157"/>
        <w:ind w:hanging="283"/>
      </w:pPr>
      <w:r>
        <w:t xml:space="preserve">not defer the </w:t>
      </w:r>
      <w:r>
        <w:rPr>
          <w:spacing w:val="-1"/>
        </w:rPr>
        <w:t>recovery</w:t>
      </w:r>
      <w:r>
        <w:t xml:space="preserve"> of</w:t>
      </w:r>
      <w:r>
        <w:rPr>
          <w:spacing w:val="4"/>
        </w:rPr>
        <w:t xml:space="preserve"> </w:t>
      </w:r>
      <w:r>
        <w:t>any of</w:t>
      </w:r>
      <w:r>
        <w:rPr>
          <w:spacing w:val="4"/>
        </w:rPr>
        <w:t xml:space="preserve"> </w:t>
      </w:r>
      <w:r>
        <w:t>the ECD or M2G capital costs,</w:t>
      </w:r>
      <w:r>
        <w:rPr>
          <w:spacing w:val="-7"/>
        </w:rPr>
        <w:t xml:space="preserve"> </w:t>
      </w:r>
      <w:r>
        <w:t>and</w:t>
      </w:r>
    </w:p>
    <w:p w:rsidR="00D96B91" w:rsidRDefault="00C2656B">
      <w:pPr>
        <w:pStyle w:val="BodyText"/>
        <w:numPr>
          <w:ilvl w:val="0"/>
          <w:numId w:val="131"/>
        </w:numPr>
        <w:tabs>
          <w:tab w:val="left" w:pos="1531"/>
        </w:tabs>
        <w:spacing w:before="64" w:line="260" w:lineRule="exact"/>
        <w:ind w:right="1308" w:hanging="283"/>
        <w:jc w:val="both"/>
      </w:pPr>
      <w:r>
        <w:t xml:space="preserve">use the </w:t>
      </w:r>
      <w:r>
        <w:rPr>
          <w:spacing w:val="-1"/>
        </w:rPr>
        <w:t>traditional</w:t>
      </w:r>
      <w:r>
        <w:t xml:space="preserve"> </w:t>
      </w:r>
      <w:r>
        <w:rPr>
          <w:spacing w:val="-1"/>
        </w:rPr>
        <w:t>straight</w:t>
      </w:r>
      <w:r>
        <w:t xml:space="preserve"> line </w:t>
      </w:r>
      <w:r>
        <w:rPr>
          <w:spacing w:val="-1"/>
        </w:rPr>
        <w:t>depreciation</w:t>
      </w:r>
      <w:r>
        <w:t xml:space="preserve"> </w:t>
      </w:r>
      <w:r>
        <w:rPr>
          <w:spacing w:val="-1"/>
        </w:rPr>
        <w:t>approach</w:t>
      </w:r>
      <w:r>
        <w:t xml:space="preserve"> (with </w:t>
      </w:r>
      <w:r>
        <w:rPr>
          <w:spacing w:val="-1"/>
        </w:rPr>
        <w:t>indexation)</w:t>
      </w:r>
      <w:r>
        <w:t xml:space="preserve"> to </w:t>
      </w:r>
      <w:r>
        <w:rPr>
          <w:spacing w:val="-1"/>
        </w:rPr>
        <w:t>recover</w:t>
      </w:r>
      <w:r>
        <w:t xml:space="preserve"> the costs of</w:t>
      </w:r>
      <w:r>
        <w:rPr>
          <w:spacing w:val="4"/>
        </w:rPr>
        <w:t xml:space="preserve"> </w:t>
      </w:r>
      <w:r>
        <w:t>these</w:t>
      </w:r>
      <w:r>
        <w:rPr>
          <w:spacing w:val="67"/>
        </w:rPr>
        <w:t xml:space="preserve"> </w:t>
      </w:r>
      <w:r>
        <w:t xml:space="preserve">assets over the </w:t>
      </w:r>
      <w:r>
        <w:rPr>
          <w:spacing w:val="-1"/>
        </w:rPr>
        <w:t>remaining</w:t>
      </w:r>
      <w:r>
        <w:t xml:space="preserve"> economic lives of</w:t>
      </w:r>
      <w:r>
        <w:rPr>
          <w:spacing w:val="4"/>
        </w:rPr>
        <w:t xml:space="preserve"> </w:t>
      </w:r>
      <w:r>
        <w:t xml:space="preserve">these assets (ECD: ~ 147 </w:t>
      </w:r>
      <w:r>
        <w:rPr>
          <w:spacing w:val="-1"/>
        </w:rPr>
        <w:t>years</w:t>
      </w:r>
      <w:r>
        <w:t xml:space="preserve"> and M2G: ~56.5 </w:t>
      </w:r>
      <w:r>
        <w:rPr>
          <w:spacing w:val="-1"/>
        </w:rPr>
        <w:t>years</w:t>
      </w:r>
      <w:r>
        <w:t xml:space="preserve"> –</w:t>
      </w:r>
      <w:r>
        <w:rPr>
          <w:spacing w:val="23"/>
        </w:rPr>
        <w:t xml:space="preserve"> </w:t>
      </w:r>
      <w:r>
        <w:rPr>
          <w:rFonts w:cs="Avenir Next"/>
        </w:rPr>
        <w:t>see</w:t>
      </w:r>
      <w:r>
        <w:rPr>
          <w:rFonts w:cs="Avenir Next"/>
          <w:spacing w:val="-5"/>
        </w:rPr>
        <w:t xml:space="preserve"> </w:t>
      </w:r>
      <w:r>
        <w:rPr>
          <w:spacing w:val="-4"/>
        </w:rPr>
        <w:t>Table</w:t>
      </w:r>
      <w:r>
        <w:t xml:space="preserve"> 9.14).</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13"/>
      </w:pPr>
      <w:r>
        <w:rPr>
          <w:rFonts w:cs="Avenir Next"/>
        </w:rPr>
        <w:t xml:space="preserve">In </w:t>
      </w:r>
      <w:r>
        <w:rPr>
          <w:rFonts w:cs="Avenir Next"/>
          <w:spacing w:val="-1"/>
        </w:rPr>
        <w:t>reaching</w:t>
      </w:r>
      <w:r>
        <w:rPr>
          <w:rFonts w:cs="Avenir Next"/>
        </w:rPr>
        <w:t xml:space="preserve"> this decision,</w:t>
      </w:r>
      <w:r>
        <w:rPr>
          <w:rFonts w:cs="Avenir Next"/>
          <w:spacing w:val="-6"/>
        </w:rPr>
        <w:t xml:space="preserve"> </w:t>
      </w:r>
      <w:r>
        <w:rPr>
          <w:rFonts w:cs="Avenir Next"/>
        </w:rPr>
        <w:t xml:space="preserve">the </w:t>
      </w:r>
      <w:r>
        <w:rPr>
          <w:rFonts w:cs="Avenir Next"/>
          <w:spacing w:val="-3"/>
        </w:rPr>
        <w:t>Panel</w:t>
      </w:r>
      <w:r>
        <w:rPr>
          <w:rFonts w:cs="Avenir Next"/>
        </w:rPr>
        <w:t xml:space="preserve"> had </w:t>
      </w:r>
      <w:r>
        <w:rPr>
          <w:rFonts w:cs="Avenir Next"/>
          <w:spacing w:val="-1"/>
        </w:rPr>
        <w:t>particular</w:t>
      </w:r>
      <w:r>
        <w:rPr>
          <w:rFonts w:cs="Avenir Next"/>
        </w:rPr>
        <w:t xml:space="preserve"> </w:t>
      </w:r>
      <w:r>
        <w:rPr>
          <w:rFonts w:cs="Avenir Next"/>
          <w:spacing w:val="-2"/>
        </w:rPr>
        <w:t>regard</w:t>
      </w:r>
      <w:r>
        <w:rPr>
          <w:rFonts w:cs="Avenir Next"/>
        </w:rPr>
        <w:t xml:space="preserve"> to the impact a </w:t>
      </w:r>
      <w:r>
        <w:rPr>
          <w:rFonts w:cs="Avenir Next"/>
          <w:spacing w:val="-1"/>
        </w:rPr>
        <w:t>deferral</w:t>
      </w:r>
      <w:r>
        <w:rPr>
          <w:rFonts w:cs="Avenir Next"/>
        </w:rPr>
        <w:t xml:space="preserve"> would have on</w:t>
      </w:r>
      <w:r>
        <w:rPr>
          <w:rFonts w:cs="Avenir Next"/>
          <w:spacing w:val="41"/>
        </w:rPr>
        <w:t xml:space="preserve"> </w:t>
      </w:r>
      <w:r>
        <w:rPr>
          <w:spacing w:val="-2"/>
        </w:rPr>
        <w:t>ACTEW’s</w:t>
      </w:r>
      <w:r>
        <w:rPr>
          <w:spacing w:val="-1"/>
        </w:rPr>
        <w:t xml:space="preserve"> short-term </w:t>
      </w:r>
      <w:r>
        <w:t xml:space="preserve">financial </w:t>
      </w:r>
      <w:r>
        <w:rPr>
          <w:spacing w:val="-1"/>
        </w:rPr>
        <w:t>viability.</w:t>
      </w:r>
      <w:r>
        <w:rPr>
          <w:spacing w:val="-6"/>
        </w:rPr>
        <w:t xml:space="preserve"> </w:t>
      </w:r>
      <w:r>
        <w:t>If,</w:t>
      </w:r>
      <w:r>
        <w:rPr>
          <w:spacing w:val="-7"/>
        </w:rPr>
        <w:t xml:space="preserve"> </w:t>
      </w:r>
      <w:r>
        <w:t>for some</w:t>
      </w:r>
      <w:r>
        <w:rPr>
          <w:spacing w:val="-1"/>
        </w:rPr>
        <w:t xml:space="preserve"> reason,</w:t>
      </w:r>
      <w:r>
        <w:rPr>
          <w:spacing w:val="-6"/>
        </w:rPr>
        <w:t xml:space="preserve"> </w:t>
      </w:r>
      <w:r>
        <w:rPr>
          <w:spacing w:val="-1"/>
        </w:rPr>
        <w:t xml:space="preserve">there </w:t>
      </w:r>
      <w:r>
        <w:t>is a</w:t>
      </w:r>
      <w:r>
        <w:rPr>
          <w:spacing w:val="-1"/>
        </w:rPr>
        <w:t xml:space="preserve"> </w:t>
      </w:r>
      <w:r>
        <w:t>change between</w:t>
      </w:r>
      <w:r>
        <w:rPr>
          <w:spacing w:val="-1"/>
        </w:rPr>
        <w:t xml:space="preserve"> </w:t>
      </w:r>
      <w:r>
        <w:t>the</w:t>
      </w:r>
      <w:r>
        <w:rPr>
          <w:spacing w:val="-1"/>
        </w:rPr>
        <w:t xml:space="preserve"> </w:t>
      </w:r>
      <w:r>
        <w:rPr>
          <w:spacing w:val="-4"/>
        </w:rPr>
        <w:t>Panel’s</w:t>
      </w:r>
      <w:r>
        <w:t xml:space="preserve"> </w:t>
      </w:r>
      <w:r>
        <w:rPr>
          <w:spacing w:val="-2"/>
        </w:rPr>
        <w:t>draft</w:t>
      </w:r>
      <w:r>
        <w:rPr>
          <w:spacing w:val="43"/>
        </w:rPr>
        <w:t xml:space="preserve"> </w:t>
      </w:r>
      <w:r>
        <w:t>and</w:t>
      </w:r>
      <w:r>
        <w:rPr>
          <w:spacing w:val="-1"/>
        </w:rPr>
        <w:t xml:space="preserve"> </w:t>
      </w:r>
      <w:r>
        <w:t>final</w:t>
      </w:r>
      <w:r>
        <w:rPr>
          <w:spacing w:val="-1"/>
        </w:rPr>
        <w:t xml:space="preserve"> </w:t>
      </w:r>
      <w:r>
        <w:t>decisions</w:t>
      </w:r>
      <w:r>
        <w:rPr>
          <w:spacing w:val="-1"/>
        </w:rPr>
        <w:t xml:space="preserve"> that results</w:t>
      </w:r>
      <w:r>
        <w:t xml:space="preserve"> in</w:t>
      </w:r>
      <w:r>
        <w:rPr>
          <w:spacing w:val="-5"/>
        </w:rPr>
        <w:t xml:space="preserve"> </w:t>
      </w:r>
      <w:r>
        <w:rPr>
          <w:spacing w:val="-2"/>
        </w:rPr>
        <w:t>ACTEW’s</w:t>
      </w:r>
      <w:r>
        <w:rPr>
          <w:spacing w:val="-1"/>
        </w:rPr>
        <w:t xml:space="preserve"> </w:t>
      </w:r>
      <w:r>
        <w:t>financial</w:t>
      </w:r>
      <w:r>
        <w:rPr>
          <w:spacing w:val="-1"/>
        </w:rPr>
        <w:t xml:space="preserve"> </w:t>
      </w:r>
      <w:r>
        <w:t xml:space="preserve">viability </w:t>
      </w:r>
      <w:r>
        <w:rPr>
          <w:spacing w:val="-1"/>
        </w:rPr>
        <w:t>improving,</w:t>
      </w:r>
      <w:r>
        <w:rPr>
          <w:spacing w:val="-7"/>
        </w:rPr>
        <w:t xml:space="preserve"> </w:t>
      </w:r>
      <w:r>
        <w:t>then</w:t>
      </w:r>
      <w:r>
        <w:rPr>
          <w:spacing w:val="-1"/>
        </w:rPr>
        <w:t xml:space="preserve"> </w:t>
      </w:r>
      <w:r>
        <w:t>the</w:t>
      </w:r>
      <w:r>
        <w:rPr>
          <w:spacing w:val="-1"/>
        </w:rPr>
        <w:t xml:space="preserve"> </w:t>
      </w:r>
      <w:r>
        <w:rPr>
          <w:spacing w:val="-3"/>
        </w:rPr>
        <w:t>Panel</w:t>
      </w:r>
      <w:r>
        <w:t xml:space="preserve"> may</w:t>
      </w:r>
      <w:r>
        <w:rPr>
          <w:spacing w:val="-1"/>
        </w:rPr>
        <w:t xml:space="preserve"> revisit </w:t>
      </w:r>
      <w:r>
        <w:t>the</w:t>
      </w:r>
      <w:r>
        <w:rPr>
          <w:spacing w:val="37"/>
        </w:rPr>
        <w:t xml:space="preserve"> </w:t>
      </w:r>
      <w:r>
        <w:t xml:space="preserve">decision not to defer a </w:t>
      </w:r>
      <w:r>
        <w:rPr>
          <w:spacing w:val="-1"/>
        </w:rPr>
        <w:t>portion</w:t>
      </w:r>
      <w:r>
        <w:t xml:space="preserve"> of</w:t>
      </w:r>
      <w:r>
        <w:rPr>
          <w:spacing w:val="4"/>
        </w:rPr>
        <w:t xml:space="preserve"> </w:t>
      </w:r>
      <w:r>
        <w:t>these capital costs.</w:t>
      </w:r>
    </w:p>
    <w:p w:rsidR="00D96B91" w:rsidRDefault="00C2656B">
      <w:pPr>
        <w:pStyle w:val="BodyText"/>
        <w:spacing w:before="170" w:line="260" w:lineRule="exact"/>
        <w:ind w:right="1256"/>
      </w:pPr>
      <w:r>
        <w:rPr>
          <w:spacing w:val="-2"/>
        </w:rPr>
        <w:t>Finally,</w:t>
      </w:r>
      <w:r>
        <w:rPr>
          <w:spacing w:val="-7"/>
        </w:rPr>
        <w:t xml:space="preserve"> </w:t>
      </w:r>
      <w:r>
        <w:t>it is</w:t>
      </w:r>
      <w:r>
        <w:rPr>
          <w:spacing w:val="-1"/>
        </w:rPr>
        <w:t xml:space="preserve"> worth</w:t>
      </w:r>
      <w:r>
        <w:t xml:space="preserve"> noting </w:t>
      </w:r>
      <w:r>
        <w:rPr>
          <w:spacing w:val="-1"/>
        </w:rPr>
        <w:t xml:space="preserve">that </w:t>
      </w:r>
      <w:r>
        <w:t xml:space="preserve">while the </w:t>
      </w:r>
      <w:r>
        <w:rPr>
          <w:spacing w:val="-3"/>
        </w:rPr>
        <w:t>Panel</w:t>
      </w:r>
      <w:r>
        <w:rPr>
          <w:spacing w:val="-1"/>
        </w:rPr>
        <w:t xml:space="preserve"> </w:t>
      </w:r>
      <w:r>
        <w:t>has decided not</w:t>
      </w:r>
      <w:r>
        <w:rPr>
          <w:spacing w:val="-1"/>
        </w:rPr>
        <w:t xml:space="preserve"> </w:t>
      </w:r>
      <w:r>
        <w:t>to defer</w:t>
      </w:r>
      <w:r>
        <w:rPr>
          <w:spacing w:val="-1"/>
        </w:rPr>
        <w:t xml:space="preserve"> </w:t>
      </w:r>
      <w:r>
        <w:t xml:space="preserve">a specific </w:t>
      </w:r>
      <w:r>
        <w:rPr>
          <w:spacing w:val="-1"/>
        </w:rPr>
        <w:t xml:space="preserve">proportion </w:t>
      </w:r>
      <w:r>
        <w:t>of</w:t>
      </w:r>
      <w:r>
        <w:rPr>
          <w:spacing w:val="4"/>
        </w:rPr>
        <w:t xml:space="preserve"> </w:t>
      </w:r>
      <w:r>
        <w:t>the ECD</w:t>
      </w:r>
      <w:r>
        <w:rPr>
          <w:spacing w:val="29"/>
        </w:rPr>
        <w:t xml:space="preserve"> </w:t>
      </w:r>
      <w:r>
        <w:t>and M2G capital costs,</w:t>
      </w:r>
      <w:r>
        <w:rPr>
          <w:spacing w:val="-6"/>
        </w:rPr>
        <w:t xml:space="preserve"> </w:t>
      </w:r>
      <w:r>
        <w:t xml:space="preserve">its decision to </w:t>
      </w:r>
      <w:r>
        <w:rPr>
          <w:spacing w:val="-1"/>
        </w:rPr>
        <w:t>index</w:t>
      </w:r>
      <w:r>
        <w:t xml:space="preserve"> the value of</w:t>
      </w:r>
      <w:r>
        <w:rPr>
          <w:spacing w:val="4"/>
        </w:rPr>
        <w:t xml:space="preserve"> </w:t>
      </w:r>
      <w:r>
        <w:t>the RAB and to adopt a longer economic life</w:t>
      </w:r>
      <w:r>
        <w:rPr>
          <w:spacing w:val="23"/>
        </w:rPr>
        <w:t xml:space="preserve"> </w:t>
      </w:r>
      <w:r>
        <w:t>than the ICRC,</w:t>
      </w:r>
      <w:r>
        <w:rPr>
          <w:spacing w:val="-6"/>
        </w:rPr>
        <w:t xml:space="preserve"> </w:t>
      </w:r>
      <w:r>
        <w:t xml:space="preserve">in </w:t>
      </w:r>
      <w:r>
        <w:rPr>
          <w:spacing w:val="-1"/>
        </w:rPr>
        <w:t>effect,</w:t>
      </w:r>
      <w:r>
        <w:rPr>
          <w:spacing w:val="-6"/>
        </w:rPr>
        <w:t xml:space="preserve"> </w:t>
      </w:r>
      <w:r>
        <w:rPr>
          <w:spacing w:val="-1"/>
        </w:rPr>
        <w:t>results</w:t>
      </w:r>
      <w:r>
        <w:t xml:space="preserve"> in </w:t>
      </w:r>
      <w:r>
        <w:rPr>
          <w:spacing w:val="-1"/>
        </w:rPr>
        <w:t>more</w:t>
      </w:r>
      <w:r>
        <w:t xml:space="preserve"> than 10% of</w:t>
      </w:r>
      <w:r>
        <w:rPr>
          <w:spacing w:val="4"/>
        </w:rPr>
        <w:t xml:space="preserve"> </w:t>
      </w:r>
      <w:r>
        <w:t xml:space="preserve">the costs being </w:t>
      </w:r>
      <w:r>
        <w:rPr>
          <w:spacing w:val="-1"/>
        </w:rPr>
        <w:t>deferred</w:t>
      </w:r>
      <w:r>
        <w:t xml:space="preserve"> </w:t>
      </w:r>
      <w:r>
        <w:rPr>
          <w:spacing w:val="-1"/>
        </w:rPr>
        <w:t>relative</w:t>
      </w:r>
      <w:r>
        <w:t xml:space="preserve"> to the </w:t>
      </w:r>
      <w:r>
        <w:rPr>
          <w:spacing w:val="-1"/>
        </w:rPr>
        <w:t>approach</w:t>
      </w:r>
      <w:r>
        <w:rPr>
          <w:spacing w:val="33"/>
        </w:rPr>
        <w:t xml:space="preserve"> </w:t>
      </w:r>
      <w:r>
        <w:t xml:space="preserve">adopted by the ICRC (see </w:t>
      </w:r>
      <w:hyperlink w:anchor="_bookmark59" w:history="1">
        <w:r>
          <w:rPr>
            <w:spacing w:val="-1"/>
          </w:rPr>
          <w:t>Box</w:t>
        </w:r>
        <w:r>
          <w:t xml:space="preserve"> 8.2</w:t>
        </w:r>
      </w:hyperlink>
      <w:r>
        <w:t xml:space="preserve"> for </w:t>
      </w:r>
      <w:r>
        <w:rPr>
          <w:spacing w:val="-1"/>
        </w:rPr>
        <w:t>further</w:t>
      </w:r>
      <w:r>
        <w:t xml:space="preserve"> detail).</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26"/>
          <w:szCs w:val="2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85" style="width:72.5pt;height:.5pt;mso-position-horizontal-relative:char;mso-position-vertical-relative:line" coordsize="1450,10">
            <v:group id="_x0000_s3186" style="position:absolute;left:5;top:5;width:1440;height:2" coordorigin="5,5" coordsize="1440,2">
              <v:shape id="_x0000_s3187" style="position:absolute;left:5;top:5;width:1440;height:2" coordorigin="5,5" coordsize="1440,0" path="m5,5r1440,e" filled="f" strokeweight=".5pt">
                <v:path arrowok="t"/>
              </v:shape>
            </v:group>
            <w10:wrap type="none"/>
            <w10:anchorlock/>
          </v:group>
        </w:pict>
      </w:r>
    </w:p>
    <w:p w:rsidR="00D96B91" w:rsidRDefault="00C2656B">
      <w:pPr>
        <w:numPr>
          <w:ilvl w:val="0"/>
          <w:numId w:val="79"/>
        </w:numPr>
        <w:tabs>
          <w:tab w:val="left" w:pos="1758"/>
        </w:tabs>
        <w:spacing w:before="38"/>
        <w:ind w:hanging="510"/>
        <w:rPr>
          <w:rFonts w:ascii="Avenir Next" w:eastAsia="Avenir Next" w:hAnsi="Avenir Next" w:cs="Avenir Next"/>
          <w:sz w:val="16"/>
          <w:szCs w:val="16"/>
        </w:rPr>
      </w:pPr>
      <w:bookmarkStart w:id="102" w:name="_bookmark59"/>
      <w:bookmarkEnd w:id="102"/>
      <w:r>
        <w:rPr>
          <w:rFonts w:ascii="Avenir Next"/>
          <w:spacing w:val="-1"/>
          <w:sz w:val="16"/>
        </w:rPr>
        <w:t>This represents</w:t>
      </w:r>
      <w:r>
        <w:rPr>
          <w:rFonts w:ascii="Avenir Next"/>
          <w:sz w:val="16"/>
        </w:rPr>
        <w:t xml:space="preserve"> both the </w:t>
      </w:r>
      <w:r>
        <w:rPr>
          <w:rFonts w:ascii="Avenir Next"/>
          <w:spacing w:val="-1"/>
          <w:sz w:val="16"/>
        </w:rPr>
        <w:t>deferred</w:t>
      </w:r>
      <w:r>
        <w:rPr>
          <w:rFonts w:ascii="Avenir Next"/>
          <w:sz w:val="16"/>
        </w:rPr>
        <w:t xml:space="preserve"> capital cost plus</w:t>
      </w:r>
      <w:r>
        <w:rPr>
          <w:rFonts w:ascii="Avenir Next"/>
          <w:spacing w:val="-1"/>
          <w:sz w:val="16"/>
        </w:rPr>
        <w:t xml:space="preserve"> </w:t>
      </w:r>
      <w:r>
        <w:rPr>
          <w:rFonts w:ascii="Avenir Next"/>
          <w:sz w:val="16"/>
        </w:rPr>
        <w:t xml:space="preserve">the </w:t>
      </w:r>
      <w:r>
        <w:rPr>
          <w:rFonts w:ascii="Avenir Next"/>
          <w:spacing w:val="-1"/>
          <w:sz w:val="16"/>
        </w:rPr>
        <w:t>return</w:t>
      </w:r>
      <w:r>
        <w:rPr>
          <w:rFonts w:ascii="Avenir Next"/>
          <w:sz w:val="16"/>
        </w:rPr>
        <w:t xml:space="preserve"> on capital </w:t>
      </w:r>
      <w:r>
        <w:rPr>
          <w:rFonts w:ascii="Avenir Next"/>
          <w:spacing w:val="-1"/>
          <w:sz w:val="16"/>
        </w:rPr>
        <w:t>that</w:t>
      </w:r>
      <w:r>
        <w:rPr>
          <w:rFonts w:ascii="Avenir Next"/>
          <w:sz w:val="16"/>
        </w:rPr>
        <w:t xml:space="preserve"> would </w:t>
      </w:r>
      <w:r>
        <w:rPr>
          <w:rFonts w:ascii="Avenir Next"/>
          <w:spacing w:val="-1"/>
          <w:sz w:val="16"/>
        </w:rPr>
        <w:t xml:space="preserve">accumulate </w:t>
      </w:r>
      <w:r>
        <w:rPr>
          <w:rFonts w:ascii="Avenir Next"/>
          <w:sz w:val="16"/>
        </w:rPr>
        <w:t xml:space="preserve">over the five </w:t>
      </w:r>
      <w:r>
        <w:rPr>
          <w:rFonts w:ascii="Avenir Next"/>
          <w:spacing w:val="-1"/>
          <w:sz w:val="16"/>
        </w:rPr>
        <w:t>year</w:t>
      </w:r>
      <w:r>
        <w:rPr>
          <w:rFonts w:ascii="Avenir Next"/>
          <w:sz w:val="16"/>
        </w:rPr>
        <w:t xml:space="preserve"> period.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8.2: </w:t>
      </w:r>
      <w:r>
        <w:rPr>
          <w:rFonts w:ascii="Avenir Next" w:eastAsia="Avenir Next" w:hAnsi="Avenir Next" w:cs="Avenir Next"/>
          <w:b/>
          <w:bCs/>
          <w:spacing w:val="-1"/>
          <w:sz w:val="20"/>
          <w:szCs w:val="20"/>
        </w:rPr>
        <w:t>Difference</w:t>
      </w:r>
      <w:r>
        <w:rPr>
          <w:rFonts w:ascii="Avenir Next" w:eastAsia="Avenir Next" w:hAnsi="Avenir Next" w:cs="Avenir Next"/>
          <w:b/>
          <w:bCs/>
          <w:sz w:val="20"/>
          <w:szCs w:val="20"/>
        </w:rPr>
        <w:t xml:space="preserve"> between the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and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approach</w:t>
      </w:r>
    </w:p>
    <w:p w:rsidR="00D96B91" w:rsidRDefault="00D96B91">
      <w:pPr>
        <w:spacing w:before="11"/>
        <w:rPr>
          <w:rFonts w:ascii="Avenir Next" w:eastAsia="Avenir Next" w:hAnsi="Avenir Next" w:cs="Avenir Next"/>
          <w:b/>
          <w:bCs/>
          <w:sz w:val="17"/>
          <w:szCs w:val="17"/>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B45286">
        <w:rPr>
          <w:rFonts w:ascii="Avenir Next" w:eastAsia="Avenir Next" w:hAnsi="Avenir Next" w:cs="Avenir Next"/>
          <w:sz w:val="20"/>
          <w:szCs w:val="20"/>
        </w:rPr>
        <w:pict>
          <v:group id="_x0000_s3180" style="width:470.55pt;height:483.6pt;mso-position-horizontal-relative:char;mso-position-vertical-relative:line" coordsize="9411,7846">
            <v:group id="_x0000_s3181" style="position:absolute;width:9411;height:7846" coordsize="9411,7846">
              <v:shape id="_x0000_s3184" style="position:absolute;width:9411;height:7846" coordsize="9411,7846" path="m,7846r9411,l9411,,,,,7846xe" fillcolor="#dff3fd" stroked="f">
                <v:path arrowok="t"/>
              </v:shape>
              <v:shape id="_x0000_s3183" type="#_x0000_t75" style="position:absolute;left:1590;top:3313;width:6236;height:4076">
                <v:imagedata r:id="rId62" o:title=""/>
              </v:shape>
              <v:shape id="_x0000_s3182" type="#_x0000_t202" style="position:absolute;width:9411;height:7846" filled="f" stroked="f">
                <v:textbox style="mso-next-textbox:#_x0000_s3182" inset="0,0,0,0">
                  <w:txbxContent>
                    <w:p w:rsidR="008A79D5" w:rsidRDefault="008A79D5">
                      <w:pPr>
                        <w:spacing w:before="162" w:line="260" w:lineRule="exact"/>
                        <w:ind w:left="170" w:right="281"/>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1"/>
                          <w:sz w:val="20"/>
                          <w:szCs w:val="20"/>
                        </w:rPr>
                        <w:t>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discussed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section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9.5,</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 </w:t>
                      </w:r>
                      <w:r>
                        <w:rPr>
                          <w:rFonts w:ascii="Avenir Next Condensed" w:eastAsia="Avenir Next Condensed" w:hAnsi="Avenir Next Condensed" w:cs="Avenir Next Condensed"/>
                          <w:spacing w:val="-2"/>
                          <w:sz w:val="20"/>
                          <w:szCs w:val="20"/>
                        </w:rPr>
                        <w:t>has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decided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adopt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traditional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‘indexed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RAB’</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when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calculating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on</w:t>
                      </w:r>
                      <w:r>
                        <w:rPr>
                          <w:rFonts w:ascii="Avenir Next Condensed" w:eastAsia="Avenir Next Condensed" w:hAnsi="Avenir Next Condensed" w:cs="Avenir Next Condensed"/>
                          <w:spacing w:val="64"/>
                          <w:sz w:val="20"/>
                          <w:szCs w:val="20"/>
                        </w:rPr>
                        <w:t xml:space="preserve"> </w:t>
                      </w:r>
                      <w:r>
                        <w:rPr>
                          <w:rFonts w:ascii="Avenir Next Condensed" w:eastAsia="Avenir Next Condensed" w:hAnsi="Avenir Next Condensed" w:cs="Avenir Next Condensed"/>
                          <w:spacing w:val="-2"/>
                          <w:sz w:val="20"/>
                          <w:szCs w:val="20"/>
                        </w:rPr>
                        <w:t>investment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can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from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tariffs.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Compared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ICRC’s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unindexed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RAB</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effect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defer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82"/>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investment.</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Indeed,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assets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with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lives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greater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40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indexation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greater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60"/>
                          <w:sz w:val="20"/>
                          <w:szCs w:val="20"/>
                        </w:rPr>
                        <w:t xml:space="preserve"> </w:t>
                      </w:r>
                      <w:r>
                        <w:rPr>
                          <w:rFonts w:ascii="Avenir Next Condensed" w:eastAsia="Avenir Next Condensed" w:hAnsi="Avenir Next Condensed" w:cs="Avenir Next Condensed"/>
                          <w:spacing w:val="-2"/>
                          <w:sz w:val="20"/>
                          <w:szCs w:val="20"/>
                        </w:rPr>
                        <w:t>depreciation.</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leads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increasing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asset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value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increasing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contributions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revenue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requirement)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initial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is,</w:t>
                      </w:r>
                      <w:r>
                        <w:rPr>
                          <w:rFonts w:ascii="Avenir Next Condensed" w:eastAsia="Avenir Next Condensed" w:hAnsi="Avenir Next Condensed" w:cs="Avenir Next Condensed"/>
                          <w:spacing w:val="72"/>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long-lived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projects,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traditional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indexing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RAB</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yields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revenue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profile with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some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characteristics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34"/>
                          <w:sz w:val="20"/>
                          <w:szCs w:val="20"/>
                        </w:rPr>
                        <w:t xml:space="preserve"> </w:t>
                      </w:r>
                      <w:r>
                        <w:rPr>
                          <w:rFonts w:ascii="Avenir Next Condensed" w:eastAsia="Avenir Next Condensed" w:hAnsi="Avenir Next Condensed" w:cs="Avenir Next Condensed"/>
                          <w:spacing w:val="-2"/>
                          <w:sz w:val="20"/>
                          <w:szCs w:val="20"/>
                        </w:rPr>
                        <w:t>‘inclining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profile’</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originally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considered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draft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decision.</w:t>
                      </w:r>
                    </w:p>
                    <w:p w:rsidR="008A79D5" w:rsidRDefault="008A79D5">
                      <w:pPr>
                        <w:tabs>
                          <w:tab w:val="left" w:pos="768"/>
                          <w:tab w:val="left" w:pos="3478"/>
                          <w:tab w:val="left" w:pos="6155"/>
                        </w:tabs>
                        <w:spacing w:before="113" w:line="260" w:lineRule="exact"/>
                        <w:ind w:left="170" w:right="332"/>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w:t>
                      </w:r>
                      <w:r w:rsidR="00710124">
                        <w:rPr>
                          <w:rFonts w:ascii="Avenir Next Condensed" w:eastAsia="Avenir Next Condensed" w:hAnsi="Avenir Next Condensed" w:cs="Avenir Next Condensed"/>
                          <w:spacing w:val="-1"/>
                          <w:sz w:val="20"/>
                          <w:szCs w:val="20"/>
                        </w:rPr>
                        <w:t>gure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below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shows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effect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indexing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RAB</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security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projects’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(assuming</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4"/>
                          <w:sz w:val="20"/>
                          <w:szCs w:val="20"/>
                        </w:rPr>
                        <w:t xml:space="preserve">WACC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7.2%</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56"/>
                          <w:sz w:val="20"/>
                          <w:szCs w:val="20"/>
                        </w:rPr>
                        <w:t xml:space="preserve"> </w:t>
                      </w:r>
                      <w:r>
                        <w:rPr>
                          <w:rFonts w:ascii="Avenir Next Condensed" w:eastAsia="Avenir Next Condensed" w:hAnsi="Avenir Next Condensed" w:cs="Avenir Next Condensed"/>
                          <w:spacing w:val="-2"/>
                          <w:sz w:val="20"/>
                          <w:szCs w:val="20"/>
                        </w:rPr>
                        <w:t>asset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life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147</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ICRC’s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current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users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more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future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users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approximately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35%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net</w:t>
                      </w:r>
                      <w:r>
                        <w:rPr>
                          <w:rFonts w:ascii="Avenir Next Condensed" w:eastAsia="Avenir Next Condensed" w:hAnsi="Avenir Next Condensed" w:cs="Avenir Next Condensed"/>
                          <w:spacing w:val="66"/>
                          <w:sz w:val="20"/>
                          <w:szCs w:val="20"/>
                        </w:rPr>
                        <w:t xml:space="preserve"> </w:t>
                      </w:r>
                      <w:r>
                        <w:rPr>
                          <w:rFonts w:ascii="Avenir Next Condensed" w:eastAsia="Avenir Next Condensed" w:hAnsi="Avenir Next Condensed" w:cs="Avenir Next Condensed"/>
                          <w:spacing w:val="-2"/>
                          <w:sz w:val="20"/>
                          <w:szCs w:val="20"/>
                        </w:rPr>
                        <w:t>present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value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first</w:t>
                      </w:r>
                      <w:r>
                        <w:rPr>
                          <w:rFonts w:ascii="Avenir Next Condensed" w:eastAsia="Avenir Next Condensed" w:hAnsi="Avenir Next Condensed" w:cs="Avenir Next Condensed"/>
                          <w:spacing w:val="-1"/>
                          <w:sz w:val="20"/>
                          <w:szCs w:val="20"/>
                        </w:rPr>
                        <w:tab/>
                        <w:t xml:space="preserve">five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Panel’s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recovery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deferred</w:t>
                      </w:r>
                      <w:r>
                        <w:rPr>
                          <w:rFonts w:ascii="Avenir Next Condensed" w:eastAsia="Avenir Next Condensed" w:hAnsi="Avenir Next Condensed" w:cs="Avenir Next Condensed"/>
                          <w:spacing w:val="58"/>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approximately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23%</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present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value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first</w:t>
                      </w:r>
                      <w:r>
                        <w:rPr>
                          <w:rFonts w:ascii="Avenir Next Condensed" w:eastAsia="Avenir Next Condensed" w:hAnsi="Avenir Next Condensed" w:cs="Avenir Next Condensed"/>
                          <w:spacing w:val="-1"/>
                          <w:sz w:val="20"/>
                          <w:szCs w:val="20"/>
                        </w:rPr>
                        <w:tab/>
                        <w:t xml:space="preserve">five </w:t>
                      </w:r>
                      <w:r>
                        <w:rPr>
                          <w:rFonts w:ascii="Avenir Next Condensed" w:eastAsia="Avenir Next Condensed" w:hAnsi="Avenir Next Condensed" w:cs="Avenir Next Condensed"/>
                          <w:spacing w:val="-3"/>
                          <w:sz w:val="20"/>
                          <w:szCs w:val="20"/>
                        </w:rPr>
                        <w:t>years.</w:t>
                      </w:r>
                    </w:p>
                    <w:p w:rsidR="008A79D5" w:rsidRDefault="008A79D5">
                      <w:pPr>
                        <w:spacing w:before="101"/>
                        <w:ind w:left="170"/>
                        <w:rPr>
                          <w:rFonts w:ascii="Avenir Next" w:eastAsia="Avenir Next" w:hAnsi="Avenir Next" w:cs="Avenir Next"/>
                          <w:sz w:val="20"/>
                          <w:szCs w:val="20"/>
                        </w:rPr>
                      </w:pPr>
                      <w:r>
                        <w:rPr>
                          <w:rFonts w:ascii="Avenir Next"/>
                          <w:b/>
                          <w:spacing w:val="-3"/>
                          <w:sz w:val="20"/>
                        </w:rPr>
                        <w:t>Panel</w:t>
                      </w:r>
                      <w:r>
                        <w:rPr>
                          <w:rFonts w:ascii="Avenir Next"/>
                          <w:b/>
                          <w:sz w:val="20"/>
                        </w:rPr>
                        <w:t xml:space="preserve"> versus ICRC </w:t>
                      </w:r>
                      <w:r>
                        <w:rPr>
                          <w:rFonts w:ascii="Avenir Next"/>
                          <w:b/>
                          <w:spacing w:val="-1"/>
                          <w:sz w:val="20"/>
                        </w:rPr>
                        <w:t>approaches</w:t>
                      </w:r>
                      <w:r>
                        <w:rPr>
                          <w:rFonts w:ascii="Avenir Next"/>
                          <w:b/>
                          <w:sz w:val="20"/>
                        </w:rPr>
                        <w:t xml:space="preserve"> for </w:t>
                      </w:r>
                      <w:r>
                        <w:rPr>
                          <w:rFonts w:ascii="Avenir Next"/>
                          <w:b/>
                          <w:spacing w:val="-1"/>
                          <w:sz w:val="20"/>
                        </w:rPr>
                        <w:t>setting</w:t>
                      </w:r>
                      <w:r>
                        <w:rPr>
                          <w:rFonts w:ascii="Avenir Next"/>
                          <w:b/>
                          <w:sz w:val="20"/>
                        </w:rPr>
                        <w:t xml:space="preserve"> the </w:t>
                      </w:r>
                      <w:r>
                        <w:rPr>
                          <w:rFonts w:ascii="Avenir Next"/>
                          <w:b/>
                          <w:spacing w:val="-1"/>
                          <w:sz w:val="20"/>
                        </w:rPr>
                        <w:t>required</w:t>
                      </w:r>
                      <w:r>
                        <w:rPr>
                          <w:rFonts w:ascii="Avenir Next"/>
                          <w:b/>
                          <w:sz w:val="20"/>
                        </w:rPr>
                        <w:t xml:space="preserve"> </w:t>
                      </w:r>
                      <w:r>
                        <w:rPr>
                          <w:rFonts w:ascii="Avenir Next"/>
                          <w:b/>
                          <w:spacing w:val="-1"/>
                          <w:sz w:val="20"/>
                        </w:rPr>
                        <w:t>revenue</w:t>
                      </w:r>
                      <w:r>
                        <w:rPr>
                          <w:rFonts w:ascii="Avenir Next"/>
                          <w:b/>
                          <w:sz w:val="20"/>
                        </w:rPr>
                        <w:t xml:space="preserve"> </w:t>
                      </w:r>
                      <w:r>
                        <w:rPr>
                          <w:rFonts w:ascii="Avenir Next"/>
                          <w:b/>
                          <w:spacing w:val="-1"/>
                          <w:sz w:val="20"/>
                        </w:rPr>
                        <w:t>from</w:t>
                      </w:r>
                      <w:r>
                        <w:rPr>
                          <w:rFonts w:ascii="Avenir Next"/>
                          <w:b/>
                          <w:sz w:val="20"/>
                        </w:rPr>
                        <w:t xml:space="preserve"> </w:t>
                      </w:r>
                      <w:r>
                        <w:rPr>
                          <w:rFonts w:ascii="Avenir Next"/>
                          <w:b/>
                          <w:spacing w:val="-1"/>
                          <w:sz w:val="20"/>
                        </w:rPr>
                        <w:t>water</w:t>
                      </w:r>
                      <w:r>
                        <w:rPr>
                          <w:rFonts w:ascii="Avenir Next"/>
                          <w:b/>
                          <w:sz w:val="20"/>
                        </w:rPr>
                        <w:t xml:space="preserve"> security </w:t>
                      </w:r>
                      <w:r>
                        <w:rPr>
                          <w:rFonts w:ascii="Avenir Next"/>
                          <w:b/>
                          <w:spacing w:val="-1"/>
                          <w:sz w:val="20"/>
                        </w:rPr>
                        <w:t>projects</w:t>
                      </w:r>
                    </w:p>
                  </w:txbxContent>
                </v:textbox>
              </v:shape>
            </v:group>
            <w10:wrap type="none"/>
            <w10:anchorlock/>
          </v:group>
        </w:pict>
      </w:r>
    </w:p>
    <w:p w:rsidR="00D96B91" w:rsidRDefault="00D96B91">
      <w:pPr>
        <w:spacing w:line="200" w:lineRule="atLeast"/>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03" w:name="9_Value_of_the_regulated_asset_base"/>
      <w:bookmarkStart w:id="104" w:name="9._1_Overview_of_the_Panel’s_draft_decis"/>
      <w:bookmarkStart w:id="105" w:name="_bookmark60"/>
      <w:bookmarkEnd w:id="103"/>
      <w:bookmarkEnd w:id="104"/>
      <w:bookmarkEnd w:id="105"/>
      <w:r>
        <w:rPr>
          <w:rFonts w:ascii="Avenir Next Medium"/>
          <w:color w:val="0778BE"/>
          <w:w w:val="95"/>
          <w:sz w:val="40"/>
        </w:rPr>
        <w:t>9</w:t>
      </w:r>
      <w:r>
        <w:rPr>
          <w:rFonts w:ascii="Avenir Next Medium"/>
          <w:color w:val="0778BE"/>
          <w:w w:val="95"/>
          <w:sz w:val="40"/>
        </w:rPr>
        <w:tab/>
      </w:r>
      <w:r>
        <w:rPr>
          <w:rFonts w:ascii="Avenir Next Medium"/>
          <w:color w:val="0778BE"/>
          <w:spacing w:val="-4"/>
          <w:sz w:val="40"/>
        </w:rPr>
        <w:t>Value</w:t>
      </w:r>
      <w:r>
        <w:rPr>
          <w:rFonts w:ascii="Avenir Next Medium"/>
          <w:color w:val="0778BE"/>
          <w:sz w:val="40"/>
        </w:rPr>
        <w:t xml:space="preserve"> of</w:t>
      </w:r>
      <w:r>
        <w:rPr>
          <w:rFonts w:ascii="Avenir Next Medium"/>
          <w:color w:val="0778BE"/>
          <w:spacing w:val="9"/>
          <w:sz w:val="40"/>
        </w:rPr>
        <w:t xml:space="preserve"> </w:t>
      </w:r>
      <w:r>
        <w:rPr>
          <w:rFonts w:ascii="Avenir Next Medium"/>
          <w:color w:val="0778BE"/>
          <w:sz w:val="40"/>
        </w:rPr>
        <w:t xml:space="preserve">the </w:t>
      </w:r>
      <w:r>
        <w:rPr>
          <w:rFonts w:ascii="Avenir Next Medium"/>
          <w:color w:val="0778BE"/>
          <w:spacing w:val="-2"/>
          <w:sz w:val="40"/>
        </w:rPr>
        <w:t>regulated</w:t>
      </w:r>
      <w:r>
        <w:rPr>
          <w:rFonts w:ascii="Avenir Next Medium"/>
          <w:color w:val="0778BE"/>
          <w:sz w:val="40"/>
        </w:rPr>
        <w:t xml:space="preserve"> asset base</w:t>
      </w:r>
    </w:p>
    <w:p w:rsidR="00D96B91" w:rsidRDefault="00C2656B">
      <w:pPr>
        <w:pStyle w:val="BodyText"/>
        <w:spacing w:before="359" w:line="260" w:lineRule="exact"/>
        <w:ind w:right="1283"/>
      </w:pPr>
      <w:r>
        <w:rPr>
          <w:rFonts w:cs="Avenir Next"/>
          <w:spacing w:val="-2"/>
        </w:rPr>
        <w:t>The</w:t>
      </w:r>
      <w:r>
        <w:rPr>
          <w:rFonts w:cs="Avenir Next"/>
        </w:rPr>
        <w:t xml:space="preserve"> </w:t>
      </w:r>
      <w:r>
        <w:rPr>
          <w:rFonts w:cs="Avenir Next"/>
          <w:spacing w:val="-1"/>
        </w:rPr>
        <w:t>next</w:t>
      </w:r>
      <w:r>
        <w:rPr>
          <w:rFonts w:cs="Avenir Next"/>
        </w:rPr>
        <w:t xml:space="preserve"> component of</w:t>
      </w:r>
      <w:r>
        <w:rPr>
          <w:rFonts w:cs="Avenir Next"/>
          <w:spacing w:val="4"/>
        </w:rPr>
        <w:t xml:space="preserve"> </w:t>
      </w:r>
      <w:r>
        <w:rPr>
          <w:rFonts w:cs="Avenir Next"/>
        </w:rPr>
        <w:t xml:space="preserve">the original price </w:t>
      </w:r>
      <w:r>
        <w:rPr>
          <w:rFonts w:cs="Avenir Next"/>
          <w:spacing w:val="-1"/>
        </w:rPr>
        <w:t>direction</w:t>
      </w:r>
      <w:r>
        <w:rPr>
          <w:rFonts w:cs="Avenir Next"/>
        </w:rPr>
        <w:t xml:space="preserve"> the </w:t>
      </w:r>
      <w:r>
        <w:rPr>
          <w:rFonts w:cs="Avenir Next"/>
          <w:spacing w:val="-3"/>
        </w:rPr>
        <w:t>Panel</w:t>
      </w:r>
      <w:r>
        <w:rPr>
          <w:rFonts w:cs="Avenir Next"/>
        </w:rPr>
        <w:t xml:space="preserve"> </w:t>
      </w:r>
      <w:r>
        <w:rPr>
          <w:rFonts w:cs="Avenir Next"/>
          <w:spacing w:val="-1"/>
        </w:rPr>
        <w:t>reviewed</w:t>
      </w:r>
      <w:r>
        <w:rPr>
          <w:rFonts w:cs="Avenir Next"/>
        </w:rPr>
        <w:t xml:space="preserve"> was the value of</w:t>
      </w:r>
      <w:r>
        <w:rPr>
          <w:rFonts w:cs="Avenir Next"/>
          <w:spacing w:val="1"/>
        </w:rPr>
        <w:t xml:space="preserve"> </w:t>
      </w:r>
      <w:r>
        <w:rPr>
          <w:rFonts w:cs="Avenir Next"/>
          <w:spacing w:val="-2"/>
        </w:rPr>
        <w:t>ACTEW’s</w:t>
      </w:r>
      <w:r>
        <w:rPr>
          <w:rFonts w:cs="Avenir Next"/>
        </w:rPr>
        <w:t xml:space="preserve"> </w:t>
      </w:r>
      <w:r>
        <w:rPr>
          <w:rFonts w:cs="Avenir Next"/>
          <w:spacing w:val="-1"/>
        </w:rPr>
        <w:t>water</w:t>
      </w:r>
      <w:r>
        <w:rPr>
          <w:rFonts w:cs="Avenir Next"/>
          <w:spacing w:val="39"/>
        </w:rPr>
        <w:t xml:space="preserve"> </w:t>
      </w:r>
      <w:r>
        <w:t xml:space="preserve">and </w:t>
      </w:r>
      <w:r>
        <w:rPr>
          <w:spacing w:val="-1"/>
        </w:rPr>
        <w:t>sewerage</w:t>
      </w:r>
      <w:r>
        <w:t xml:space="preserve"> RAB over the </w:t>
      </w:r>
      <w:r>
        <w:rPr>
          <w:spacing w:val="-1"/>
        </w:rPr>
        <w:t>regulatory</w:t>
      </w:r>
      <w:r>
        <w:t xml:space="preserve"> period.</w:t>
      </w:r>
      <w:r>
        <w:rPr>
          <w:spacing w:val="-11"/>
        </w:rPr>
        <w:t xml:space="preserve"> </w:t>
      </w:r>
      <w:r>
        <w:rPr>
          <w:spacing w:val="-2"/>
        </w:rPr>
        <w:t>The</w:t>
      </w:r>
      <w:r>
        <w:t xml:space="preserve"> value of</w:t>
      </w:r>
      <w:r>
        <w:rPr>
          <w:spacing w:val="4"/>
        </w:rPr>
        <w:t xml:space="preserve"> </w:t>
      </w:r>
      <w:r>
        <w:t xml:space="preserve">the RAB is an </w:t>
      </w:r>
      <w:r>
        <w:rPr>
          <w:spacing w:val="-1"/>
        </w:rPr>
        <w:t>integral</w:t>
      </w:r>
      <w:r>
        <w:t xml:space="preserve"> component of</w:t>
      </w:r>
      <w:r>
        <w:rPr>
          <w:spacing w:val="4"/>
        </w:rPr>
        <w:t xml:space="preserve"> </w:t>
      </w:r>
      <w:r>
        <w:t>the</w:t>
      </w:r>
      <w:r>
        <w:rPr>
          <w:spacing w:val="33"/>
        </w:rPr>
        <w:t xml:space="preserve"> </w:t>
      </w:r>
      <w:r>
        <w:rPr>
          <w:rFonts w:cs="Avenir Next"/>
        </w:rPr>
        <w:t xml:space="preserve">building block methodology and is used in </w:t>
      </w:r>
      <w:r>
        <w:rPr>
          <w:rFonts w:cs="Avenir Next"/>
          <w:spacing w:val="-1"/>
        </w:rPr>
        <w:t>calculating</w:t>
      </w:r>
      <w:r>
        <w:rPr>
          <w:rFonts w:cs="Avenir Next"/>
        </w:rPr>
        <w:t xml:space="preserve"> both the </w:t>
      </w:r>
      <w:r>
        <w:rPr>
          <w:rFonts w:cs="Avenir Next"/>
          <w:spacing w:val="-1"/>
        </w:rPr>
        <w:t>return</w:t>
      </w:r>
      <w:r>
        <w:rPr>
          <w:rFonts w:cs="Avenir Next"/>
        </w:rPr>
        <w:t xml:space="preserve"> on capital and the </w:t>
      </w:r>
      <w:r>
        <w:rPr>
          <w:rFonts w:cs="Avenir Next"/>
          <w:spacing w:val="-1"/>
        </w:rPr>
        <w:t>depreciation</w:t>
      </w:r>
      <w:r>
        <w:rPr>
          <w:rFonts w:cs="Avenir Next"/>
          <w:spacing w:val="33"/>
        </w:rPr>
        <w:t xml:space="preserve"> </w:t>
      </w:r>
      <w:r>
        <w:t xml:space="preserve">(or </w:t>
      </w:r>
      <w:r>
        <w:rPr>
          <w:spacing w:val="-1"/>
        </w:rPr>
        <w:t>return</w:t>
      </w:r>
      <w:r>
        <w:t xml:space="preserve"> of</w:t>
      </w:r>
      <w:r>
        <w:rPr>
          <w:spacing w:val="4"/>
        </w:rPr>
        <w:t xml:space="preserve"> </w:t>
      </w:r>
      <w:r>
        <w:t xml:space="preserve">capital) allowances in the </w:t>
      </w:r>
      <w:r>
        <w:rPr>
          <w:spacing w:val="-1"/>
        </w:rPr>
        <w:t>revenue</w:t>
      </w:r>
      <w:r>
        <w:t xml:space="preserve"> </w:t>
      </w:r>
      <w:r>
        <w:rPr>
          <w:spacing w:val="-1"/>
        </w:rPr>
        <w:t>requirement.</w:t>
      </w:r>
    </w:p>
    <w:p w:rsidR="00D96B91" w:rsidRDefault="00C2656B">
      <w:pPr>
        <w:pStyle w:val="BodyText"/>
        <w:spacing w:before="178" w:line="267" w:lineRule="exact"/>
      </w:pPr>
      <w:r>
        <w:rPr>
          <w:spacing w:val="-10"/>
        </w:rPr>
        <w:t>To</w:t>
      </w:r>
      <w:r>
        <w:rPr>
          <w:spacing w:val="-1"/>
        </w:rPr>
        <w:t xml:space="preserve"> calculate</w:t>
      </w:r>
      <w:r>
        <w:t xml:space="preserve"> the value of</w:t>
      </w:r>
      <w:r>
        <w:rPr>
          <w:spacing w:val="3"/>
        </w:rPr>
        <w:t xml:space="preserve"> </w:t>
      </w:r>
      <w:r>
        <w:t xml:space="preserve">the RAB </w:t>
      </w:r>
      <w:r>
        <w:rPr>
          <w:b/>
        </w:rPr>
        <w:t xml:space="preserve">within </w:t>
      </w:r>
      <w:r>
        <w:t xml:space="preserve">a </w:t>
      </w:r>
      <w:r>
        <w:rPr>
          <w:spacing w:val="-1"/>
        </w:rPr>
        <w:t xml:space="preserve">regulatory </w:t>
      </w:r>
      <w:r>
        <w:t>period,</w:t>
      </w:r>
      <w:r>
        <w:rPr>
          <w:spacing w:val="-6"/>
        </w:rPr>
        <w:t xml:space="preserve"> </w:t>
      </w:r>
      <w:r>
        <w:rPr>
          <w:spacing w:val="-1"/>
        </w:rPr>
        <w:t>regulators</w:t>
      </w:r>
      <w:r>
        <w:t xml:space="preserve"> first establish the</w:t>
      </w:r>
      <w:r>
        <w:rPr>
          <w:spacing w:val="-1"/>
        </w:rPr>
        <w:t xml:space="preserve"> </w:t>
      </w:r>
      <w:r>
        <w:t>value of</w:t>
      </w:r>
    </w:p>
    <w:p w:rsidR="00D96B91" w:rsidRDefault="00C2656B">
      <w:pPr>
        <w:pStyle w:val="BodyText"/>
        <w:spacing w:before="3" w:line="228" w:lineRule="auto"/>
        <w:ind w:right="1513"/>
        <w:rPr>
          <w:rFonts w:cs="Avenir Next"/>
        </w:rPr>
      </w:pPr>
      <w:r>
        <w:t xml:space="preserve">the RAB </w:t>
      </w:r>
      <w:r>
        <w:rPr>
          <w:spacing w:val="-1"/>
        </w:rPr>
        <w:t>at</w:t>
      </w:r>
      <w:r>
        <w:t xml:space="preserve"> the </w:t>
      </w:r>
      <w:r>
        <w:rPr>
          <w:b/>
        </w:rPr>
        <w:t xml:space="preserve">commencement </w:t>
      </w:r>
      <w:r>
        <w:t>of</w:t>
      </w:r>
      <w:r>
        <w:rPr>
          <w:spacing w:val="4"/>
        </w:rPr>
        <w:t xml:space="preserve"> </w:t>
      </w:r>
      <w:r>
        <w:t xml:space="preserve">the </w:t>
      </w:r>
      <w:r>
        <w:rPr>
          <w:spacing w:val="-1"/>
        </w:rPr>
        <w:t>regulatory</w:t>
      </w:r>
      <w:r>
        <w:t xml:space="preserve"> period (ie the opening value of</w:t>
      </w:r>
      <w:r>
        <w:rPr>
          <w:spacing w:val="4"/>
        </w:rPr>
        <w:t xml:space="preserve"> </w:t>
      </w:r>
      <w:r>
        <w:t>the RAB).</w:t>
      </w:r>
      <w:r>
        <w:rPr>
          <w:spacing w:val="-6"/>
        </w:rPr>
        <w:t xml:space="preserve"> </w:t>
      </w:r>
      <w:r>
        <w:t>Once this</w:t>
      </w:r>
      <w:r>
        <w:rPr>
          <w:spacing w:val="25"/>
        </w:rPr>
        <w:t xml:space="preserve"> </w:t>
      </w:r>
      <w:r>
        <w:t>is established,</w:t>
      </w:r>
      <w:r>
        <w:rPr>
          <w:spacing w:val="-6"/>
        </w:rPr>
        <w:t xml:space="preserve"> </w:t>
      </w:r>
      <w:r>
        <w:t>the value of</w:t>
      </w:r>
      <w:r>
        <w:rPr>
          <w:spacing w:val="4"/>
        </w:rPr>
        <w:t xml:space="preserve"> </w:t>
      </w:r>
      <w:r>
        <w:t xml:space="preserve">the RAB in subsequent </w:t>
      </w:r>
      <w:r>
        <w:rPr>
          <w:spacing w:val="-1"/>
        </w:rPr>
        <w:t>years</w:t>
      </w:r>
      <w:r>
        <w:t xml:space="preserve"> of</w:t>
      </w:r>
      <w:r>
        <w:rPr>
          <w:spacing w:val="4"/>
        </w:rPr>
        <w:t xml:space="preserve"> </w:t>
      </w:r>
      <w:r>
        <w:t xml:space="preserve">the </w:t>
      </w:r>
      <w:r>
        <w:rPr>
          <w:spacing w:val="-1"/>
        </w:rPr>
        <w:t>regulatory</w:t>
      </w:r>
      <w:r>
        <w:t xml:space="preserve"> period </w:t>
      </w:r>
      <w:r>
        <w:rPr>
          <w:spacing w:val="-1"/>
        </w:rPr>
        <w:t>(year</w:t>
      </w:r>
      <w:r>
        <w:t xml:space="preserve"> t),</w:t>
      </w:r>
      <w:r>
        <w:rPr>
          <w:spacing w:val="-6"/>
        </w:rPr>
        <w:t xml:space="preserve"> </w:t>
      </w:r>
      <w:r>
        <w:t>is usually</w:t>
      </w:r>
      <w:r>
        <w:rPr>
          <w:spacing w:val="21"/>
        </w:rPr>
        <w:t xml:space="preserve"> </w:t>
      </w:r>
      <w:r>
        <w:rPr>
          <w:spacing w:val="-1"/>
        </w:rPr>
        <w:t>calculated</w:t>
      </w:r>
      <w:r>
        <w:t xml:space="preserve"> as follows:</w:t>
      </w:r>
    </w:p>
    <w:p w:rsidR="00D96B91" w:rsidRDefault="00C2656B">
      <w:pPr>
        <w:pStyle w:val="BodyText"/>
        <w:numPr>
          <w:ilvl w:val="0"/>
          <w:numId w:val="131"/>
        </w:numPr>
        <w:tabs>
          <w:tab w:val="left" w:pos="1531"/>
        </w:tabs>
        <w:spacing w:before="160"/>
        <w:ind w:hanging="283"/>
        <w:rPr>
          <w:rFonts w:cs="Avenir Next"/>
        </w:rPr>
      </w:pPr>
      <w:r>
        <w:t>the opening value of</w:t>
      </w:r>
      <w:r>
        <w:rPr>
          <w:spacing w:val="4"/>
        </w:rPr>
        <w:t xml:space="preserve"> </w:t>
      </w:r>
      <w:r>
        <w:t xml:space="preserve">the RAB </w:t>
      </w:r>
      <w:r>
        <w:rPr>
          <w:i/>
        </w:rPr>
        <w:t>plus</w:t>
      </w:r>
    </w:p>
    <w:p w:rsidR="00D96B91" w:rsidRDefault="00C2656B">
      <w:pPr>
        <w:pStyle w:val="BodyText"/>
        <w:numPr>
          <w:ilvl w:val="0"/>
          <w:numId w:val="131"/>
        </w:numPr>
        <w:tabs>
          <w:tab w:val="left" w:pos="1531"/>
        </w:tabs>
        <w:spacing w:before="64" w:line="260" w:lineRule="exact"/>
        <w:ind w:right="2545" w:hanging="283"/>
        <w:rPr>
          <w:rFonts w:cs="Avenir Next"/>
        </w:rPr>
      </w:pPr>
      <w:r>
        <w:rPr>
          <w:spacing w:val="-1"/>
        </w:rPr>
        <w:t>forecast</w:t>
      </w:r>
      <w:r>
        <w:t xml:space="preserve"> capital </w:t>
      </w:r>
      <w:r>
        <w:rPr>
          <w:spacing w:val="-1"/>
        </w:rPr>
        <w:t>expenditure</w:t>
      </w:r>
      <w:r>
        <w:t xml:space="preserve"> (net of</w:t>
      </w:r>
      <w:r>
        <w:rPr>
          <w:spacing w:val="4"/>
        </w:rPr>
        <w:t xml:space="preserve"> </w:t>
      </w:r>
      <w:r>
        <w:t>the value of</w:t>
      </w:r>
      <w:r>
        <w:rPr>
          <w:spacing w:val="4"/>
        </w:rPr>
        <w:t xml:space="preserve"> </w:t>
      </w:r>
      <w:r>
        <w:t>any capital contributions) between the</w:t>
      </w:r>
      <w:r>
        <w:rPr>
          <w:spacing w:val="30"/>
        </w:rPr>
        <w:t xml:space="preserve"> </w:t>
      </w:r>
      <w:r>
        <w:t>commencement of</w:t>
      </w:r>
      <w:r>
        <w:rPr>
          <w:spacing w:val="4"/>
        </w:rPr>
        <w:t xml:space="preserve"> </w:t>
      </w:r>
      <w:r>
        <w:t xml:space="preserve">the </w:t>
      </w:r>
      <w:r>
        <w:rPr>
          <w:spacing w:val="-1"/>
        </w:rPr>
        <w:t>regulatory</w:t>
      </w:r>
      <w:r>
        <w:t xml:space="preserve"> period and </w:t>
      </w:r>
      <w:r>
        <w:rPr>
          <w:spacing w:val="-1"/>
        </w:rPr>
        <w:t>year</w:t>
      </w:r>
      <w:r>
        <w:t xml:space="preserve"> t </w:t>
      </w:r>
      <w:r>
        <w:rPr>
          <w:i/>
        </w:rPr>
        <w:t>less</w:t>
      </w:r>
    </w:p>
    <w:p w:rsidR="00D96B91" w:rsidRDefault="00C2656B">
      <w:pPr>
        <w:pStyle w:val="BodyText"/>
        <w:numPr>
          <w:ilvl w:val="0"/>
          <w:numId w:val="131"/>
        </w:numPr>
        <w:tabs>
          <w:tab w:val="left" w:pos="1531"/>
        </w:tabs>
        <w:spacing w:before="93"/>
        <w:ind w:hanging="283"/>
        <w:rPr>
          <w:rFonts w:cs="Avenir Next"/>
        </w:rPr>
      </w:pPr>
      <w:r>
        <w:rPr>
          <w:spacing w:val="-1"/>
        </w:rPr>
        <w:t>depreciation</w:t>
      </w:r>
      <w:r>
        <w:t xml:space="preserve"> between the commencement of</w:t>
      </w:r>
      <w:r>
        <w:rPr>
          <w:spacing w:val="4"/>
        </w:rPr>
        <w:t xml:space="preserve"> </w:t>
      </w:r>
      <w:r>
        <w:t xml:space="preserve">the </w:t>
      </w:r>
      <w:r>
        <w:rPr>
          <w:spacing w:val="-1"/>
        </w:rPr>
        <w:t>regulatory</w:t>
      </w:r>
      <w:r>
        <w:t xml:space="preserve"> period and </w:t>
      </w:r>
      <w:r>
        <w:rPr>
          <w:spacing w:val="-1"/>
        </w:rPr>
        <w:t>year</w:t>
      </w:r>
      <w:r>
        <w:t xml:space="preserve"> t </w:t>
      </w:r>
      <w:r>
        <w:rPr>
          <w:i/>
        </w:rPr>
        <w:t>less</w:t>
      </w:r>
    </w:p>
    <w:p w:rsidR="00D96B91" w:rsidRDefault="00C2656B">
      <w:pPr>
        <w:pStyle w:val="BodyText"/>
        <w:numPr>
          <w:ilvl w:val="0"/>
          <w:numId w:val="131"/>
        </w:numPr>
        <w:tabs>
          <w:tab w:val="left" w:pos="1531"/>
        </w:tabs>
        <w:spacing w:before="64" w:line="260" w:lineRule="exact"/>
        <w:ind w:right="1692" w:hanging="283"/>
        <w:rPr>
          <w:rFonts w:cs="Avenir Next"/>
        </w:rPr>
      </w:pPr>
      <w:r>
        <w:t>the value of</w:t>
      </w:r>
      <w:r>
        <w:rPr>
          <w:spacing w:val="4"/>
        </w:rPr>
        <w:t xml:space="preserve"> </w:t>
      </w:r>
      <w:r>
        <w:t>any assets to be sold or disposed of</w:t>
      </w:r>
      <w:r>
        <w:rPr>
          <w:spacing w:val="4"/>
        </w:rPr>
        <w:t xml:space="preserve"> </w:t>
      </w:r>
      <w:r>
        <w:t>between the commencement of</w:t>
      </w:r>
      <w:r>
        <w:rPr>
          <w:spacing w:val="4"/>
        </w:rPr>
        <w:t xml:space="preserve"> </w:t>
      </w:r>
      <w:r>
        <w:t xml:space="preserve">the </w:t>
      </w:r>
      <w:r>
        <w:rPr>
          <w:spacing w:val="-1"/>
        </w:rPr>
        <w:t>regulatory</w:t>
      </w:r>
      <w:r>
        <w:rPr>
          <w:spacing w:val="25"/>
        </w:rPr>
        <w:t xml:space="preserve"> </w:t>
      </w:r>
      <w:r>
        <w:t xml:space="preserve">period and </w:t>
      </w:r>
      <w:r>
        <w:rPr>
          <w:spacing w:val="-1"/>
        </w:rPr>
        <w:t>year</w:t>
      </w:r>
      <w:r>
        <w:t xml:space="preserve"> t </w:t>
      </w:r>
      <w:r>
        <w:rPr>
          <w:i/>
        </w:rPr>
        <w:t>plus</w:t>
      </w:r>
    </w:p>
    <w:p w:rsidR="00D96B91" w:rsidRDefault="00C2656B">
      <w:pPr>
        <w:pStyle w:val="BodyText"/>
        <w:numPr>
          <w:ilvl w:val="0"/>
          <w:numId w:val="131"/>
        </w:numPr>
        <w:tabs>
          <w:tab w:val="left" w:pos="1531"/>
        </w:tabs>
        <w:spacing w:before="93"/>
        <w:ind w:hanging="283"/>
      </w:pPr>
      <w:r>
        <w:rPr>
          <w:spacing w:val="-1"/>
        </w:rPr>
        <w:t>indexation</w:t>
      </w:r>
      <w:r>
        <w:t xml:space="preserve"> of</w:t>
      </w:r>
      <w:r>
        <w:rPr>
          <w:spacing w:val="4"/>
        </w:rPr>
        <w:t xml:space="preserve"> </w:t>
      </w:r>
      <w:r>
        <w:t>the RAB between the commencement of</w:t>
      </w:r>
      <w:r>
        <w:rPr>
          <w:spacing w:val="4"/>
        </w:rPr>
        <w:t xml:space="preserve"> </w:t>
      </w:r>
      <w:r>
        <w:t xml:space="preserve">the </w:t>
      </w:r>
      <w:r>
        <w:rPr>
          <w:spacing w:val="-1"/>
        </w:rPr>
        <w:t>regulatory</w:t>
      </w:r>
      <w:r>
        <w:t xml:space="preserve"> period and </w:t>
      </w:r>
      <w:r>
        <w:rPr>
          <w:spacing w:val="-1"/>
        </w:rPr>
        <w:t>year</w:t>
      </w:r>
      <w:r>
        <w:t xml:space="preserve"> t.</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548"/>
        <w:rPr>
          <w:rFonts w:cs="Avenir Next"/>
        </w:rPr>
      </w:pPr>
      <w:r>
        <w:rPr>
          <w:rFonts w:cs="Avenir Next"/>
          <w:spacing w:val="-10"/>
        </w:rPr>
        <w:t>To</w:t>
      </w:r>
      <w:r>
        <w:rPr>
          <w:rFonts w:cs="Avenir Next"/>
        </w:rPr>
        <w:t xml:space="preserve"> </w:t>
      </w:r>
      <w:r>
        <w:rPr>
          <w:rFonts w:cs="Avenir Next"/>
          <w:spacing w:val="-1"/>
        </w:rPr>
        <w:t>make</w:t>
      </w:r>
      <w:r>
        <w:rPr>
          <w:rFonts w:cs="Avenir Next"/>
        </w:rPr>
        <w:t xml:space="preserve"> its </w:t>
      </w:r>
      <w:r>
        <w:rPr>
          <w:rFonts w:cs="Avenir Next"/>
          <w:spacing w:val="-2"/>
        </w:rPr>
        <w:t>draft</w:t>
      </w:r>
      <w:r>
        <w:rPr>
          <w:rFonts w:cs="Avenir Next"/>
        </w:rPr>
        <w:t xml:space="preserve"> decision on the values of</w:t>
      </w:r>
      <w:r>
        <w:rPr>
          <w:rFonts w:cs="Avenir Next"/>
          <w:spacing w:val="4"/>
        </w:rPr>
        <w:t xml:space="preserve"> </w:t>
      </w:r>
      <w:r>
        <w:rPr>
          <w:rFonts w:cs="Avenir Next"/>
        </w:rPr>
        <w:t xml:space="preserve">the </w:t>
      </w:r>
      <w:r>
        <w:rPr>
          <w:rFonts w:cs="Avenir Next"/>
          <w:spacing w:val="-1"/>
        </w:rPr>
        <w:t>water</w:t>
      </w:r>
      <w:r>
        <w:rPr>
          <w:rFonts w:cs="Avenir Next"/>
        </w:rPr>
        <w:t xml:space="preserve"> and </w:t>
      </w:r>
      <w:r>
        <w:rPr>
          <w:rFonts w:cs="Avenir Next"/>
          <w:spacing w:val="-1"/>
        </w:rPr>
        <w:t>sewerage</w:t>
      </w:r>
      <w:r>
        <w:rPr>
          <w:rFonts w:cs="Avenir Next"/>
        </w:rPr>
        <w:t xml:space="preserve"> RABs,</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considered</w:t>
      </w:r>
      <w:r>
        <w:rPr>
          <w:rFonts w:cs="Avenir Next"/>
        </w:rPr>
        <w:t xml:space="preserve"> the</w:t>
      </w:r>
      <w:r>
        <w:rPr>
          <w:rFonts w:cs="Avenir Next"/>
          <w:spacing w:val="39"/>
        </w:rPr>
        <w:t xml:space="preserve"> </w:t>
      </w:r>
      <w:r>
        <w:rPr>
          <w:spacing w:val="-2"/>
        </w:rPr>
        <w:t>ICRC’s</w:t>
      </w:r>
      <w:r>
        <w:rPr>
          <w:spacing w:val="-1"/>
        </w:rPr>
        <w:t xml:space="preserve"> </w:t>
      </w:r>
      <w:r>
        <w:t>final decisions for</w:t>
      </w:r>
      <w:r>
        <w:rPr>
          <w:spacing w:val="-1"/>
        </w:rPr>
        <w:t xml:space="preserve"> </w:t>
      </w:r>
      <w:r>
        <w:t>2013-14 and 2014-15,99 and</w:t>
      </w:r>
      <w:r>
        <w:rPr>
          <w:spacing w:val="-1"/>
        </w:rPr>
        <w:t xml:space="preserve"> </w:t>
      </w:r>
      <w:r>
        <w:t xml:space="preserve">the issues </w:t>
      </w:r>
      <w:r>
        <w:rPr>
          <w:spacing w:val="-1"/>
        </w:rPr>
        <w:t>raised</w:t>
      </w:r>
      <w:r>
        <w:t xml:space="preserve"> in</w:t>
      </w:r>
      <w:r>
        <w:rPr>
          <w:spacing w:val="-5"/>
        </w:rPr>
        <w:t xml:space="preserve"> </w:t>
      </w:r>
      <w:r>
        <w:rPr>
          <w:spacing w:val="-2"/>
        </w:rPr>
        <w:t>ACTEW’s</w:t>
      </w:r>
      <w:r>
        <w:t xml:space="preserve"> SOFC and other</w:t>
      </w:r>
      <w:r>
        <w:rPr>
          <w:spacing w:val="27"/>
        </w:rPr>
        <w:t xml:space="preserve"> </w:t>
      </w:r>
      <w:r>
        <w:rPr>
          <w:spacing w:val="-1"/>
        </w:rPr>
        <w:t>stakeholder</w:t>
      </w:r>
      <w:r>
        <w:t xml:space="preserve"> submissions.100</w:t>
      </w:r>
      <w:r>
        <w:rPr>
          <w:spacing w:val="-5"/>
        </w:rPr>
        <w:t xml:space="preserve"> </w:t>
      </w:r>
      <w:r>
        <w:rPr>
          <w:rFonts w:cs="Avenir Next"/>
          <w:spacing w:val="-1"/>
        </w:rPr>
        <w:t>These</w:t>
      </w:r>
      <w:r>
        <w:rPr>
          <w:rFonts w:cs="Avenir Next"/>
        </w:rPr>
        <w:t xml:space="preserve"> issues </w:t>
      </w:r>
      <w:r>
        <w:rPr>
          <w:rFonts w:cs="Avenir Next"/>
          <w:spacing w:val="-1"/>
        </w:rPr>
        <w:t>related</w:t>
      </w:r>
      <w:r>
        <w:rPr>
          <w:rFonts w:cs="Avenir Next"/>
        </w:rPr>
        <w:t xml:space="preserve"> to the </w:t>
      </w:r>
      <w:r>
        <w:rPr>
          <w:rFonts w:cs="Avenir Next"/>
          <w:spacing w:val="-2"/>
        </w:rPr>
        <w:t>ICRC’s</w:t>
      </w:r>
      <w:r>
        <w:rPr>
          <w:rFonts w:cs="Avenir Next"/>
        </w:rPr>
        <w:t xml:space="preserve"> decisions on:</w:t>
      </w:r>
    </w:p>
    <w:p w:rsidR="00D96B91" w:rsidRDefault="00C2656B">
      <w:pPr>
        <w:pStyle w:val="BodyText"/>
        <w:numPr>
          <w:ilvl w:val="0"/>
          <w:numId w:val="131"/>
        </w:numPr>
        <w:tabs>
          <w:tab w:val="left" w:pos="1531"/>
        </w:tabs>
        <w:spacing w:before="178"/>
        <w:ind w:hanging="283"/>
        <w:rPr>
          <w:rFonts w:cs="Avenir Next"/>
        </w:rPr>
      </w:pPr>
      <w:r>
        <w:t>the opening value of</w:t>
      </w:r>
      <w:r>
        <w:rPr>
          <w:spacing w:val="4"/>
        </w:rPr>
        <w:t xml:space="preserve"> </w:t>
      </w:r>
      <w:r>
        <w:t>the RAB</w:t>
      </w:r>
    </w:p>
    <w:p w:rsidR="00D96B91" w:rsidRDefault="00C2656B">
      <w:pPr>
        <w:pStyle w:val="BodyText"/>
        <w:numPr>
          <w:ilvl w:val="0"/>
          <w:numId w:val="131"/>
        </w:numPr>
        <w:tabs>
          <w:tab w:val="left" w:pos="1531"/>
        </w:tabs>
        <w:spacing w:before="72"/>
        <w:ind w:hanging="283"/>
        <w:rPr>
          <w:rFonts w:cs="Avenir Next"/>
        </w:rPr>
      </w:pPr>
      <w:r>
        <w:rPr>
          <w:spacing w:val="-1"/>
        </w:rPr>
        <w:t>forecast</w:t>
      </w:r>
      <w:r>
        <w:t xml:space="preserve"> capital </w:t>
      </w:r>
      <w:r>
        <w:rPr>
          <w:spacing w:val="-1"/>
        </w:rPr>
        <w:t>expenditure</w:t>
      </w:r>
    </w:p>
    <w:p w:rsidR="00D96B91" w:rsidRDefault="00C2656B">
      <w:pPr>
        <w:pStyle w:val="BodyText"/>
        <w:numPr>
          <w:ilvl w:val="0"/>
          <w:numId w:val="131"/>
        </w:numPr>
        <w:tabs>
          <w:tab w:val="left" w:pos="1531"/>
        </w:tabs>
        <w:spacing w:before="72"/>
        <w:ind w:hanging="283"/>
        <w:rPr>
          <w:rFonts w:cs="Avenir Next"/>
        </w:rPr>
      </w:pPr>
      <w:r>
        <w:t xml:space="preserve">the method used to </w:t>
      </w:r>
      <w:r>
        <w:rPr>
          <w:spacing w:val="-1"/>
        </w:rPr>
        <w:t>calculate</w:t>
      </w:r>
      <w:r>
        <w:t xml:space="preserve"> </w:t>
      </w:r>
      <w:r>
        <w:rPr>
          <w:spacing w:val="-1"/>
        </w:rPr>
        <w:t>depreciation,</w:t>
      </w:r>
      <w:r>
        <w:rPr>
          <w:spacing w:val="-6"/>
        </w:rPr>
        <w:t xml:space="preserve"> </w:t>
      </w:r>
      <w:r>
        <w:t>and</w:t>
      </w:r>
    </w:p>
    <w:p w:rsidR="00D96B91" w:rsidRDefault="00C2656B">
      <w:pPr>
        <w:pStyle w:val="BodyText"/>
        <w:numPr>
          <w:ilvl w:val="0"/>
          <w:numId w:val="131"/>
        </w:numPr>
        <w:tabs>
          <w:tab w:val="left" w:pos="1531"/>
        </w:tabs>
        <w:spacing w:before="72"/>
        <w:ind w:hanging="283"/>
      </w:pPr>
      <w:r>
        <w:t>the</w:t>
      </w:r>
      <w:r>
        <w:rPr>
          <w:spacing w:val="-1"/>
        </w:rPr>
        <w:t xml:space="preserve"> treatment </w:t>
      </w:r>
      <w:r>
        <w:t>of</w:t>
      </w:r>
      <w:r>
        <w:rPr>
          <w:spacing w:val="3"/>
        </w:rPr>
        <w:t xml:space="preserve"> </w:t>
      </w:r>
      <w:r>
        <w:rPr>
          <w:spacing w:val="-1"/>
        </w:rPr>
        <w:t>inflation (indexation).</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76"/>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the value of</w:t>
      </w:r>
      <w:r>
        <w:rPr>
          <w:rFonts w:cs="Avenir Next"/>
          <w:spacing w:val="1"/>
        </w:rPr>
        <w:t xml:space="preserve"> </w:t>
      </w:r>
      <w:r>
        <w:rPr>
          <w:rFonts w:cs="Avenir Next"/>
          <w:spacing w:val="-2"/>
        </w:rPr>
        <w:t>ACTEW’s</w:t>
      </w:r>
      <w:r>
        <w:rPr>
          <w:rFonts w:cs="Avenir Next"/>
        </w:rPr>
        <w:t xml:space="preserve"> </w:t>
      </w:r>
      <w:r>
        <w:rPr>
          <w:rFonts w:cs="Avenir Next"/>
          <w:spacing w:val="-1"/>
        </w:rPr>
        <w:t>water</w:t>
      </w:r>
      <w:r>
        <w:rPr>
          <w:rFonts w:cs="Avenir Next"/>
          <w:spacing w:val="39"/>
        </w:rPr>
        <w:t xml:space="preserve"> </w:t>
      </w:r>
      <w:r>
        <w:rPr>
          <w:spacing w:val="-2"/>
        </w:rPr>
        <w:t>and</w:t>
      </w:r>
      <w:r>
        <w:rPr>
          <w:spacing w:val="-4"/>
        </w:rPr>
        <w:t xml:space="preserve"> </w:t>
      </w:r>
      <w:r>
        <w:rPr>
          <w:spacing w:val="-3"/>
        </w:rPr>
        <w:t>sewerage</w:t>
      </w:r>
      <w:r>
        <w:rPr>
          <w:spacing w:val="-4"/>
        </w:rPr>
        <w:t xml:space="preserve"> </w:t>
      </w:r>
      <w:r>
        <w:rPr>
          <w:spacing w:val="-2"/>
        </w:rPr>
        <w:t>RAB</w:t>
      </w:r>
      <w:r>
        <w:rPr>
          <w:spacing w:val="-4"/>
        </w:rPr>
        <w:t xml:space="preserve"> </w:t>
      </w:r>
      <w:r>
        <w:rPr>
          <w:spacing w:val="-2"/>
        </w:rPr>
        <w:t>and</w:t>
      </w:r>
      <w:r>
        <w:rPr>
          <w:spacing w:val="-4"/>
        </w:rPr>
        <w:t xml:space="preserve"> </w:t>
      </w:r>
      <w:r>
        <w:rPr>
          <w:spacing w:val="-2"/>
        </w:rPr>
        <w:t>then</w:t>
      </w:r>
      <w:r>
        <w:rPr>
          <w:spacing w:val="-4"/>
        </w:rPr>
        <w:t xml:space="preserve"> </w:t>
      </w:r>
      <w:r>
        <w:rPr>
          <w:spacing w:val="-2"/>
        </w:rPr>
        <w:t>discuss</w:t>
      </w:r>
      <w:r>
        <w:rPr>
          <w:spacing w:val="-4"/>
        </w:rPr>
        <w:t xml:space="preserve"> </w:t>
      </w:r>
      <w:r>
        <w:rPr>
          <w:spacing w:val="-2"/>
        </w:rPr>
        <w:t>its</w:t>
      </w:r>
      <w:r>
        <w:rPr>
          <w:spacing w:val="-4"/>
        </w:rPr>
        <w:t xml:space="preserve"> </w:t>
      </w:r>
      <w:r>
        <w:rPr>
          <w:spacing w:val="-3"/>
        </w:rPr>
        <w:t>considerations</w:t>
      </w:r>
      <w:r>
        <w:rPr>
          <w:spacing w:val="-4"/>
        </w:rPr>
        <w:t xml:space="preserve"> </w:t>
      </w:r>
      <w:r>
        <w:rPr>
          <w:spacing w:val="-2"/>
        </w:rPr>
        <w:t>and</w:t>
      </w:r>
      <w:r>
        <w:rPr>
          <w:spacing w:val="-4"/>
        </w:rPr>
        <w:t xml:space="preserve"> </w:t>
      </w:r>
      <w:r>
        <w:rPr>
          <w:spacing w:val="-2"/>
        </w:rPr>
        <w:t>decisions</w:t>
      </w:r>
      <w:r>
        <w:rPr>
          <w:spacing w:val="-4"/>
        </w:rPr>
        <w:t xml:space="preserve"> </w:t>
      </w:r>
      <w:r>
        <w:rPr>
          <w:spacing w:val="-1"/>
        </w:rPr>
        <w:t>on</w:t>
      </w:r>
      <w:r>
        <w:rPr>
          <w:spacing w:val="-4"/>
        </w:rPr>
        <w:t xml:space="preserve"> </w:t>
      </w:r>
      <w:r>
        <w:rPr>
          <w:spacing w:val="-2"/>
        </w:rPr>
        <w:t>each</w:t>
      </w:r>
      <w:r>
        <w:rPr>
          <w:spacing w:val="-4"/>
        </w:rPr>
        <w:t xml:space="preserve"> </w:t>
      </w:r>
      <w:r>
        <w:rPr>
          <w:spacing w:val="-2"/>
        </w:rPr>
        <w:t>component</w:t>
      </w:r>
      <w:r>
        <w:rPr>
          <w:spacing w:val="-4"/>
        </w:rPr>
        <w:t xml:space="preserve"> </w:t>
      </w:r>
      <w:r>
        <w:rPr>
          <w:spacing w:val="-1"/>
        </w:rPr>
        <w:t>in</w:t>
      </w:r>
      <w:r>
        <w:rPr>
          <w:spacing w:val="-4"/>
        </w:rPr>
        <w:t xml:space="preserve"> </w:t>
      </w:r>
      <w:r>
        <w:rPr>
          <w:spacing w:val="-3"/>
        </w:rPr>
        <w:t>more</w:t>
      </w:r>
      <w:r>
        <w:rPr>
          <w:spacing w:val="-4"/>
        </w:rPr>
        <w:t xml:space="preserve"> </w:t>
      </w:r>
      <w:r>
        <w:rPr>
          <w:spacing w:val="-2"/>
        </w:rPr>
        <w:t>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77"/>
        </w:numPr>
        <w:tabs>
          <w:tab w:val="left" w:pos="1570"/>
          <w:tab w:val="left" w:pos="2040"/>
        </w:tabs>
        <w:ind w:left="1569" w:hanging="322"/>
      </w:pPr>
      <w:r>
        <w:rPr>
          <w:color w:val="0778BE"/>
        </w:rPr>
        <w:t>1</w:t>
      </w:r>
      <w:r>
        <w:rPr>
          <w:color w:val="0778BE"/>
        </w:rPr>
        <w:tab/>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54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the value of</w:t>
      </w:r>
      <w:r>
        <w:rPr>
          <w:rFonts w:cs="Avenir Next"/>
          <w:spacing w:val="4"/>
        </w:rPr>
        <w:t xml:space="preserve"> </w:t>
      </w:r>
      <w:r>
        <w:rPr>
          <w:rFonts w:cs="Avenir Next"/>
        </w:rPr>
        <w:t xml:space="preserve">the </w:t>
      </w:r>
      <w:r>
        <w:rPr>
          <w:rFonts w:cs="Avenir Next"/>
          <w:spacing w:val="-1"/>
        </w:rPr>
        <w:t>water</w:t>
      </w:r>
      <w:r>
        <w:rPr>
          <w:rFonts w:cs="Avenir Next"/>
        </w:rPr>
        <w:t xml:space="preserve"> and </w:t>
      </w:r>
      <w:r>
        <w:rPr>
          <w:rFonts w:cs="Avenir Next"/>
          <w:spacing w:val="-1"/>
        </w:rPr>
        <w:t>sewerage</w:t>
      </w:r>
      <w:r>
        <w:rPr>
          <w:rFonts w:cs="Avenir Next"/>
        </w:rPr>
        <w:t xml:space="preserve"> RABs over the </w:t>
      </w:r>
      <w:r>
        <w:rPr>
          <w:rFonts w:cs="Avenir Next"/>
          <w:spacing w:val="-1"/>
        </w:rPr>
        <w:t>regulatory</w:t>
      </w:r>
      <w:r>
        <w:rPr>
          <w:rFonts w:cs="Avenir Next"/>
        </w:rPr>
        <w:t xml:space="preserve"> period is</w:t>
      </w:r>
      <w:r>
        <w:rPr>
          <w:rFonts w:cs="Avenir Next"/>
          <w:spacing w:val="47"/>
        </w:rPr>
        <w:t xml:space="preserve"> </w:t>
      </w:r>
      <w:r>
        <w:t xml:space="preserve">set out in the tables </w:t>
      </w:r>
      <w:r>
        <w:rPr>
          <w:spacing w:val="-2"/>
        </w:rPr>
        <w:t>below.</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77" style="width:72.5pt;height:.5pt;mso-position-horizontal-relative:char;mso-position-vertical-relative:line" coordsize="1450,10">
            <v:group id="_x0000_s3178" style="position:absolute;left:5;top:5;width:1440;height:2" coordorigin="5,5" coordsize="1440,2">
              <v:shape id="_x0000_s3179"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45" w:line="192" w:lineRule="exact"/>
        <w:ind w:right="1911" w:hanging="510"/>
        <w:rPr>
          <w:rFonts w:ascii="Avenir Next" w:eastAsia="Avenir Next" w:hAnsi="Avenir Next" w:cs="Avenir Next"/>
          <w:sz w:val="16"/>
          <w:szCs w:val="16"/>
        </w:rPr>
      </w:pPr>
      <w:r>
        <w:rPr>
          <w:rFonts w:ascii="Avenir Next" w:eastAsia="Avenir Next" w:hAnsi="Avenir Next" w:cs="Avenir Next"/>
          <w:sz w:val="16"/>
          <w:szCs w:val="16"/>
        </w:rPr>
        <w:t xml:space="preserve">As discussed in </w:t>
      </w:r>
      <w:r>
        <w:rPr>
          <w:rFonts w:ascii="Avenir Next" w:eastAsia="Avenir Next" w:hAnsi="Avenir Next" w:cs="Avenir Next"/>
          <w:spacing w:val="-1"/>
          <w:sz w:val="16"/>
          <w:szCs w:val="16"/>
        </w:rPr>
        <w:t>previous</w:t>
      </w:r>
      <w:r>
        <w:rPr>
          <w:rFonts w:ascii="Avenir Next" w:eastAsia="Avenir Next" w:hAnsi="Avenir Next" w:cs="Avenir Next"/>
          <w:sz w:val="16"/>
          <w:szCs w:val="16"/>
        </w:rPr>
        <w:t xml:space="preserve"> chapters,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 original price </w:t>
      </w:r>
      <w:r>
        <w:rPr>
          <w:rFonts w:ascii="Avenir Next" w:eastAsia="Avenir Next" w:hAnsi="Avenir Next" w:cs="Avenir Next"/>
          <w:spacing w:val="-1"/>
          <w:sz w:val="16"/>
          <w:szCs w:val="16"/>
        </w:rPr>
        <w:t>direction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provided</w:t>
      </w:r>
      <w:r>
        <w:rPr>
          <w:rFonts w:ascii="Avenir Next" w:eastAsia="Avenir Next" w:hAnsi="Avenir Next" w:cs="Avenir Next"/>
          <w:sz w:val="16"/>
          <w:szCs w:val="16"/>
        </w:rPr>
        <w:t xml:space="preserve"> for two biennial </w:t>
      </w:r>
      <w:r>
        <w:rPr>
          <w:rFonts w:ascii="Avenir Next" w:eastAsia="Avenir Next" w:hAnsi="Avenir Next" w:cs="Avenir Next"/>
          <w:spacing w:val="-1"/>
          <w:sz w:val="16"/>
          <w:szCs w:val="16"/>
        </w:rPr>
        <w:t>recalibrations</w:t>
      </w:r>
      <w:r>
        <w:rPr>
          <w:rFonts w:ascii="Avenir Next" w:eastAsia="Avenir Next" w:hAnsi="Avenir Next" w:cs="Avenir Next"/>
          <w:sz w:val="16"/>
          <w:szCs w:val="16"/>
        </w:rPr>
        <w:t xml:space="preserve"> within the</w:t>
      </w:r>
      <w:r>
        <w:rPr>
          <w:rFonts w:ascii="Avenir Next" w:eastAsia="Avenir Next" w:hAnsi="Avenir Next" w:cs="Avenir Next"/>
          <w:spacing w:val="47"/>
          <w:sz w:val="16"/>
          <w:szCs w:val="16"/>
        </w:rPr>
        <w:t xml:space="preserve"> </w:t>
      </w:r>
      <w:r>
        <w:rPr>
          <w:rFonts w:ascii="Avenir Next" w:eastAsia="Avenir Next" w:hAnsi="Avenir Next" w:cs="Avenir Next"/>
          <w:spacing w:val="-1"/>
          <w:sz w:val="16"/>
          <w:szCs w:val="16"/>
        </w:rPr>
        <w:t xml:space="preserve">regulatory </w:t>
      </w:r>
      <w:r>
        <w:rPr>
          <w:rFonts w:ascii="Avenir Next" w:eastAsia="Avenir Next" w:hAnsi="Avenir Next" w:cs="Avenir Next"/>
          <w:sz w:val="16"/>
          <w:szCs w:val="16"/>
        </w:rPr>
        <w:t>period.</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Therefore,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determined the value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 RAB for the first two</w:t>
      </w:r>
      <w:r>
        <w:rPr>
          <w:rFonts w:ascii="Avenir Next" w:eastAsia="Avenir Next" w:hAnsi="Avenir Next" w:cs="Avenir Next"/>
          <w:spacing w:val="-1"/>
          <w:sz w:val="16"/>
          <w:szCs w:val="16"/>
        </w:rPr>
        <w:t xml:space="preserve"> years</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period </w:t>
      </w:r>
      <w:r>
        <w:rPr>
          <w:rFonts w:ascii="Avenir Next" w:eastAsia="Avenir Next" w:hAnsi="Avenir Next" w:cs="Avenir Next"/>
          <w:spacing w:val="-2"/>
          <w:sz w:val="16"/>
          <w:szCs w:val="16"/>
        </w:rPr>
        <w:t>only.</w:t>
      </w:r>
    </w:p>
    <w:p w:rsidR="00D96B91" w:rsidRDefault="00C2656B">
      <w:pPr>
        <w:numPr>
          <w:ilvl w:val="0"/>
          <w:numId w:val="76"/>
        </w:numPr>
        <w:tabs>
          <w:tab w:val="left" w:pos="1758"/>
        </w:tabs>
        <w:spacing w:before="141"/>
        <w:ind w:hanging="510"/>
        <w:rPr>
          <w:rFonts w:ascii="Avenir Next" w:eastAsia="Avenir Next" w:hAnsi="Avenir Next" w:cs="Avenir Next"/>
          <w:sz w:val="16"/>
          <w:szCs w:val="16"/>
        </w:rPr>
      </w:pPr>
      <w:r>
        <w:rPr>
          <w:rFonts w:ascii="Avenir Next"/>
          <w:sz w:val="16"/>
        </w:rPr>
        <w:t xml:space="preserve">See for </w:t>
      </w:r>
      <w:r>
        <w:rPr>
          <w:rFonts w:ascii="Avenir Next"/>
          <w:spacing w:val="-1"/>
          <w:sz w:val="16"/>
        </w:rPr>
        <w:t>example</w:t>
      </w:r>
      <w:r>
        <w:rPr>
          <w:rFonts w:ascii="Avenir Next"/>
          <w:sz w:val="16"/>
        </w:rPr>
        <w:t xml:space="preserve"> the submissions </w:t>
      </w:r>
      <w:r>
        <w:rPr>
          <w:rFonts w:ascii="Avenir Next"/>
          <w:spacing w:val="-1"/>
          <w:sz w:val="16"/>
        </w:rPr>
        <w:t>received</w:t>
      </w:r>
      <w:r>
        <w:rPr>
          <w:rFonts w:ascii="Avenir Next"/>
          <w:sz w:val="16"/>
        </w:rPr>
        <w:t xml:space="preserve"> </w:t>
      </w:r>
      <w:r>
        <w:rPr>
          <w:rFonts w:ascii="Avenir Next"/>
          <w:spacing w:val="-1"/>
          <w:sz w:val="16"/>
        </w:rPr>
        <w:t>from</w:t>
      </w:r>
      <w:r>
        <w:rPr>
          <w:rFonts w:ascii="Avenir Next"/>
          <w:sz w:val="16"/>
        </w:rPr>
        <w:t xml:space="preserve"> Ms</w:t>
      </w:r>
      <w:r>
        <w:rPr>
          <w:rFonts w:ascii="Avenir Next"/>
          <w:spacing w:val="-2"/>
          <w:sz w:val="16"/>
        </w:rPr>
        <w:t xml:space="preserve"> </w:t>
      </w:r>
      <w:r>
        <w:rPr>
          <w:rFonts w:ascii="Avenir Next"/>
          <w:sz w:val="16"/>
        </w:rPr>
        <w:t xml:space="preserve">Jo </w:t>
      </w:r>
      <w:r>
        <w:rPr>
          <w:rFonts w:ascii="Avenir Next"/>
          <w:spacing w:val="-2"/>
          <w:sz w:val="16"/>
        </w:rPr>
        <w:t>Forestier,</w:t>
      </w:r>
      <w:r>
        <w:rPr>
          <w:rFonts w:ascii="Avenir Next"/>
          <w:spacing w:val="-5"/>
          <w:sz w:val="16"/>
        </w:rPr>
        <w:t xml:space="preserve"> </w:t>
      </w:r>
      <w:r>
        <w:rPr>
          <w:rFonts w:ascii="Avenir Next"/>
          <w:sz w:val="16"/>
        </w:rPr>
        <w:t xml:space="preserve">the </w:t>
      </w:r>
      <w:r>
        <w:rPr>
          <w:rFonts w:ascii="Avenir Next"/>
          <w:spacing w:val="-1"/>
          <w:sz w:val="16"/>
        </w:rPr>
        <w:t>Ratepayers</w:t>
      </w:r>
      <w:r>
        <w:rPr>
          <w:rFonts w:ascii="Avenir Next"/>
          <w:spacing w:val="-3"/>
          <w:sz w:val="16"/>
        </w:rPr>
        <w:t xml:space="preserve"> </w:t>
      </w:r>
      <w:r>
        <w:rPr>
          <w:rFonts w:ascii="Avenir Next"/>
          <w:spacing w:val="-1"/>
          <w:sz w:val="16"/>
        </w:rPr>
        <w:t>Association</w:t>
      </w:r>
      <w:r>
        <w:rPr>
          <w:rFonts w:ascii="Avenir Next"/>
          <w:sz w:val="16"/>
        </w:rPr>
        <w:t xml:space="preserve"> and Dr </w:t>
      </w:r>
      <w:r>
        <w:rPr>
          <w:rFonts w:ascii="Avenir Next"/>
          <w:spacing w:val="-2"/>
          <w:sz w:val="16"/>
        </w:rPr>
        <w:t>Dwyer.</w:t>
      </w:r>
    </w:p>
    <w:p w:rsidR="00D96B91" w:rsidRDefault="00D96B91">
      <w:pPr>
        <w:rPr>
          <w:rFonts w:ascii="Avenir Next" w:eastAsia="Avenir Next" w:hAnsi="Avenir Next" w:cs="Avenir Next"/>
          <w:sz w:val="16"/>
          <w:szCs w:val="16"/>
        </w:rPr>
        <w:sectPr w:rsidR="00D96B91">
          <w:footerReference w:type="even" r:id="rId63"/>
          <w:footerReference w:type="default" r:id="rId64"/>
          <w:pgSz w:w="11910" w:h="16840"/>
          <w:pgMar w:top="1260" w:right="0" w:bottom="1020" w:left="0" w:header="0" w:footer="829" w:gutter="0"/>
          <w:pgNumType w:start="77"/>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Value</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RAB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0"/>
        <w:gridCol w:w="1230"/>
        <w:gridCol w:w="1230"/>
        <w:gridCol w:w="1230"/>
        <w:gridCol w:w="1230"/>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sz w:val="18"/>
              </w:rPr>
              <w:t>1,369.80</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sz w:val="18"/>
              </w:rPr>
              <w:t>1,405.81</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sz w:val="18"/>
              </w:rPr>
              <w:t>1,442.43</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sz w:val="18"/>
              </w:rPr>
              <w:t>1,476.10</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sz w:val="18"/>
              </w:rPr>
              <w:t>1,515.85</w:t>
            </w:r>
          </w:p>
        </w:tc>
      </w:tr>
      <w:tr w:rsidR="00D96B91">
        <w:trPr>
          <w:trHeight w:hRule="exact" w:val="62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sz w:val="18"/>
              </w:rPr>
              <w:t>(net of</w:t>
            </w:r>
            <w:r>
              <w:rPr>
                <w:rFonts w:ascii="Avenir Next Condensed"/>
                <w:spacing w:val="4"/>
                <w:sz w:val="18"/>
              </w:rPr>
              <w:t xml:space="preserve"> </w:t>
            </w:r>
            <w:r>
              <w:rPr>
                <w:rFonts w:ascii="Avenir Next Condensed"/>
                <w:sz w:val="18"/>
              </w:rPr>
              <w:t>capital contributions)</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7"/>
              <w:rPr>
                <w:rFonts w:ascii="Avenir Next Condensed" w:eastAsia="Avenir Next Condensed" w:hAnsi="Avenir Next Condensed" w:cs="Avenir Next Condensed"/>
                <w:sz w:val="18"/>
                <w:szCs w:val="18"/>
              </w:rPr>
            </w:pPr>
            <w:r>
              <w:rPr>
                <w:rFonts w:ascii="Avenir Next Condensed"/>
                <w:sz w:val="18"/>
              </w:rPr>
              <w:t>25.96</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26.99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24.44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30.95</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45.94</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Disposals/assets</w:t>
            </w:r>
            <w:r>
              <w:rPr>
                <w:rFonts w:ascii="Avenir Next Condensed"/>
                <w:sz w:val="18"/>
              </w:rPr>
              <w:t xml:space="preserve"> </w:t>
            </w:r>
            <w:r>
              <w:rPr>
                <w:rFonts w:ascii="Avenir Next Condensed"/>
                <w:spacing w:val="-1"/>
                <w:sz w:val="18"/>
              </w:rPr>
              <w:t>written</w:t>
            </w:r>
            <w:r>
              <w:rPr>
                <w:rFonts w:ascii="Avenir Next Condensed"/>
                <w:sz w:val="18"/>
              </w:rPr>
              <w:t xml:space="preserve"> </w:t>
            </w:r>
            <w:r>
              <w:rPr>
                <w:rFonts w:ascii="Avenir Next Condensed"/>
                <w:spacing w:val="-1"/>
                <w:sz w:val="18"/>
              </w:rPr>
              <w:t>off</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-24.52</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-25.86</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-27.14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-28.49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-30.09</w:t>
            </w:r>
          </w:p>
        </w:tc>
      </w:tr>
      <w:tr w:rsidR="00D96B91">
        <w:trPr>
          <w:trHeight w:hRule="exact" w:val="417"/>
        </w:trPr>
        <w:tc>
          <w:tcPr>
            <w:tcW w:w="32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Indexation</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7"/>
              <w:rPr>
                <w:rFonts w:ascii="Avenir Next Condensed" w:eastAsia="Avenir Next Condensed" w:hAnsi="Avenir Next Condensed" w:cs="Avenir Next Condensed"/>
                <w:sz w:val="18"/>
                <w:szCs w:val="18"/>
              </w:rPr>
            </w:pPr>
            <w:r>
              <w:rPr>
                <w:rFonts w:ascii="Avenir Next Condensed"/>
                <w:sz w:val="18"/>
              </w:rPr>
              <w:t>34.57</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35.48</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36.37</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37.29</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38.47</w:t>
            </w:r>
          </w:p>
        </w:tc>
      </w:tr>
      <w:tr w:rsidR="00D96B91">
        <w:trPr>
          <w:trHeight w:hRule="exact" w:val="407"/>
        </w:trPr>
        <w:tc>
          <w:tcPr>
            <w:tcW w:w="32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z w:val="18"/>
              </w:rPr>
              <w:t>Closing value of</w:t>
            </w:r>
            <w:r>
              <w:rPr>
                <w:rFonts w:ascii="Avenir Next Condensed"/>
                <w:b/>
                <w:spacing w:val="4"/>
                <w:sz w:val="18"/>
              </w:rPr>
              <w:t xml:space="preserve"> </w:t>
            </w:r>
            <w:r>
              <w:rPr>
                <w:rFonts w:ascii="Avenir Next Condensed"/>
                <w:b/>
                <w:sz w:val="18"/>
              </w:rPr>
              <w:t>the RAB</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56"/>
              <w:rPr>
                <w:rFonts w:ascii="Avenir Next Condensed" w:eastAsia="Avenir Next Condensed" w:hAnsi="Avenir Next Condensed" w:cs="Avenir Next Condensed"/>
                <w:sz w:val="18"/>
                <w:szCs w:val="18"/>
              </w:rPr>
            </w:pPr>
            <w:r>
              <w:rPr>
                <w:rFonts w:ascii="Avenir Next Condensed"/>
                <w:b/>
                <w:sz w:val="18"/>
              </w:rPr>
              <w:t>1,405.81</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56"/>
              <w:rPr>
                <w:rFonts w:ascii="Avenir Next Condensed" w:eastAsia="Avenir Next Condensed" w:hAnsi="Avenir Next Condensed" w:cs="Avenir Next Condensed"/>
                <w:sz w:val="18"/>
                <w:szCs w:val="18"/>
              </w:rPr>
            </w:pPr>
            <w:r>
              <w:rPr>
                <w:rFonts w:ascii="Avenir Next Condensed"/>
                <w:b/>
                <w:sz w:val="18"/>
              </w:rPr>
              <w:t>1,442.43</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56"/>
              <w:rPr>
                <w:rFonts w:ascii="Avenir Next Condensed" w:eastAsia="Avenir Next Condensed" w:hAnsi="Avenir Next Condensed" w:cs="Avenir Next Condensed"/>
                <w:sz w:val="18"/>
                <w:szCs w:val="18"/>
              </w:rPr>
            </w:pPr>
            <w:r>
              <w:rPr>
                <w:rFonts w:ascii="Avenir Next Condensed"/>
                <w:b/>
                <w:sz w:val="18"/>
              </w:rPr>
              <w:t>1,476.10</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56"/>
              <w:rPr>
                <w:rFonts w:ascii="Avenir Next Condensed" w:eastAsia="Avenir Next Condensed" w:hAnsi="Avenir Next Condensed" w:cs="Avenir Next Condensed"/>
                <w:sz w:val="18"/>
                <w:szCs w:val="18"/>
              </w:rPr>
            </w:pPr>
            <w:r>
              <w:rPr>
                <w:rFonts w:ascii="Avenir Next Condensed"/>
                <w:b/>
                <w:sz w:val="18"/>
              </w:rPr>
              <w:t>1,515.85</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56"/>
              <w:rPr>
                <w:rFonts w:ascii="Avenir Next Condensed" w:eastAsia="Avenir Next Condensed" w:hAnsi="Avenir Next Condensed" w:cs="Avenir Next Condensed"/>
                <w:sz w:val="18"/>
                <w:szCs w:val="18"/>
              </w:rPr>
            </w:pPr>
            <w:r>
              <w:rPr>
                <w:rFonts w:ascii="Avenir Next Condensed"/>
                <w:b/>
                <w:sz w:val="18"/>
              </w:rPr>
              <w:t>1,570.17</w:t>
            </w:r>
          </w:p>
        </w:tc>
      </w:tr>
    </w:tbl>
    <w:p w:rsidR="00D96B91" w:rsidRDefault="00D96B91">
      <w:pPr>
        <w:spacing w:before="7"/>
        <w:rPr>
          <w:rFonts w:ascii="Avenir Next" w:eastAsia="Avenir Next" w:hAnsi="Avenir Next" w:cs="Avenir Next"/>
          <w:b/>
          <w:bCs/>
          <w:sz w:val="17"/>
          <w:szCs w:val="17"/>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9.2: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Value</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RAB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0"/>
        <w:gridCol w:w="1230"/>
        <w:gridCol w:w="1230"/>
        <w:gridCol w:w="1230"/>
        <w:gridCol w:w="1230"/>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656.72</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674.83</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712.35</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776.36</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891.50</w:t>
            </w:r>
          </w:p>
        </w:tc>
      </w:tr>
      <w:tr w:rsidR="00D96B91">
        <w:trPr>
          <w:trHeight w:hRule="exact" w:val="62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sz w:val="18"/>
              </w:rPr>
              <w:t>(net of</w:t>
            </w:r>
            <w:r>
              <w:rPr>
                <w:rFonts w:ascii="Avenir Next Condensed"/>
                <w:spacing w:val="4"/>
                <w:sz w:val="18"/>
              </w:rPr>
              <w:t xml:space="preserve"> </w:t>
            </w:r>
            <w:r>
              <w:rPr>
                <w:rFonts w:ascii="Avenir Next Condensed"/>
                <w:sz w:val="18"/>
              </w:rPr>
              <w:t>capital contributions)</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7"/>
              <w:rPr>
                <w:rFonts w:ascii="Avenir Next Condensed" w:eastAsia="Avenir Next Condensed" w:hAnsi="Avenir Next Condensed" w:cs="Avenir Next Condensed"/>
                <w:sz w:val="18"/>
                <w:szCs w:val="18"/>
              </w:rPr>
            </w:pPr>
            <w:r>
              <w:rPr>
                <w:rFonts w:ascii="Avenir Next Condensed"/>
                <w:sz w:val="18"/>
              </w:rPr>
              <w:t>18.11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38.23</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65.57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sz w:val="18"/>
              </w:rPr>
              <w:t>117.78</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76.43</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Disposals/assets</w:t>
            </w:r>
            <w:r>
              <w:rPr>
                <w:rFonts w:ascii="Avenir Next Condensed"/>
                <w:sz w:val="18"/>
              </w:rPr>
              <w:t xml:space="preserve"> </w:t>
            </w:r>
            <w:r>
              <w:rPr>
                <w:rFonts w:ascii="Avenir Next Condensed"/>
                <w:spacing w:val="-1"/>
                <w:sz w:val="18"/>
              </w:rPr>
              <w:t>written</w:t>
            </w:r>
            <w:r>
              <w:rPr>
                <w:rFonts w:ascii="Avenir Next Condensed"/>
                <w:sz w:val="18"/>
              </w:rPr>
              <w:t xml:space="preserve"> </w:t>
            </w:r>
            <w:r>
              <w:rPr>
                <w:rFonts w:ascii="Avenir Next Condensed"/>
                <w:spacing w:val="-1"/>
                <w:sz w:val="18"/>
              </w:rPr>
              <w:t>off</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33"/>
              <w:jc w:val="right"/>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-16.64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-18.06</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-20.19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-23.52</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6"/>
              <w:rPr>
                <w:rFonts w:ascii="Avenir Next Condensed" w:eastAsia="Avenir Next Condensed" w:hAnsi="Avenir Next Condensed" w:cs="Avenir Next Condensed"/>
                <w:sz w:val="18"/>
                <w:szCs w:val="18"/>
              </w:rPr>
            </w:pPr>
            <w:r>
              <w:rPr>
                <w:rFonts w:ascii="Avenir Next Condensed"/>
                <w:sz w:val="18"/>
              </w:rPr>
              <w:t>-27.26</w:t>
            </w:r>
          </w:p>
        </w:tc>
      </w:tr>
      <w:tr w:rsidR="00D96B91">
        <w:trPr>
          <w:trHeight w:hRule="exact" w:val="417"/>
        </w:trPr>
        <w:tc>
          <w:tcPr>
            <w:tcW w:w="32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Indexation</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7"/>
              <w:rPr>
                <w:rFonts w:ascii="Avenir Next Condensed" w:eastAsia="Avenir Next Condensed" w:hAnsi="Avenir Next Condensed" w:cs="Avenir Next Condensed"/>
                <w:sz w:val="18"/>
                <w:szCs w:val="18"/>
              </w:rPr>
            </w:pPr>
            <w:r>
              <w:rPr>
                <w:rFonts w:ascii="Avenir Next Condensed"/>
                <w:sz w:val="18"/>
              </w:rPr>
              <w:t>16.64</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17.35</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18.63</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20.88</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sz w:val="18"/>
              </w:rPr>
              <w:t>23.24</w:t>
            </w:r>
          </w:p>
        </w:tc>
      </w:tr>
      <w:tr w:rsidR="00D96B91">
        <w:trPr>
          <w:trHeight w:hRule="exact" w:val="407"/>
        </w:trPr>
        <w:tc>
          <w:tcPr>
            <w:tcW w:w="32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z w:val="18"/>
              </w:rPr>
              <w:t>Closing value of</w:t>
            </w:r>
            <w:r>
              <w:rPr>
                <w:rFonts w:ascii="Avenir Next Condensed"/>
                <w:b/>
                <w:spacing w:val="4"/>
                <w:sz w:val="18"/>
              </w:rPr>
              <w:t xml:space="preserve"> </w:t>
            </w:r>
            <w:r>
              <w:rPr>
                <w:rFonts w:ascii="Avenir Next Condensed"/>
                <w:b/>
                <w:sz w:val="18"/>
              </w:rPr>
              <w:t>the RAB</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90"/>
              <w:rPr>
                <w:rFonts w:ascii="Avenir Next Condensed" w:eastAsia="Avenir Next Condensed" w:hAnsi="Avenir Next Condensed" w:cs="Avenir Next Condensed"/>
                <w:sz w:val="18"/>
                <w:szCs w:val="18"/>
              </w:rPr>
            </w:pPr>
            <w:r>
              <w:rPr>
                <w:rFonts w:ascii="Avenir Next Condensed"/>
                <w:b/>
                <w:sz w:val="18"/>
              </w:rPr>
              <w:t>674.83</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90"/>
              <w:rPr>
                <w:rFonts w:ascii="Avenir Next Condensed" w:eastAsia="Avenir Next Condensed" w:hAnsi="Avenir Next Condensed" w:cs="Avenir Next Condensed"/>
                <w:sz w:val="18"/>
                <w:szCs w:val="18"/>
              </w:rPr>
            </w:pPr>
            <w:r>
              <w:rPr>
                <w:rFonts w:ascii="Avenir Next Condensed"/>
                <w:b/>
                <w:sz w:val="18"/>
              </w:rPr>
              <w:t>712.35</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90"/>
              <w:rPr>
                <w:rFonts w:ascii="Avenir Next Condensed" w:eastAsia="Avenir Next Condensed" w:hAnsi="Avenir Next Condensed" w:cs="Avenir Next Condensed"/>
                <w:sz w:val="18"/>
                <w:szCs w:val="18"/>
              </w:rPr>
            </w:pPr>
            <w:r>
              <w:rPr>
                <w:rFonts w:ascii="Avenir Next Condensed"/>
                <w:b/>
                <w:sz w:val="18"/>
              </w:rPr>
              <w:t>776.36</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90"/>
              <w:rPr>
                <w:rFonts w:ascii="Avenir Next Condensed" w:eastAsia="Avenir Next Condensed" w:hAnsi="Avenir Next Condensed" w:cs="Avenir Next Condensed"/>
                <w:sz w:val="18"/>
                <w:szCs w:val="18"/>
              </w:rPr>
            </w:pPr>
            <w:r>
              <w:rPr>
                <w:rFonts w:ascii="Avenir Next Condensed"/>
                <w:b/>
                <w:sz w:val="18"/>
              </w:rPr>
              <w:t>891.50</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90"/>
              <w:rPr>
                <w:rFonts w:ascii="Avenir Next Condensed" w:eastAsia="Avenir Next Condensed" w:hAnsi="Avenir Next Condensed" w:cs="Avenir Next Condensed"/>
                <w:sz w:val="18"/>
                <w:szCs w:val="18"/>
              </w:rPr>
            </w:pPr>
            <w:r>
              <w:rPr>
                <w:rFonts w:ascii="Avenir Next Condensed"/>
                <w:b/>
                <w:sz w:val="18"/>
              </w:rPr>
              <w:t>963.92</w:t>
            </w:r>
          </w:p>
        </w:tc>
      </w:tr>
    </w:tbl>
    <w:p w:rsidR="00D96B91" w:rsidRDefault="00D96B91">
      <w:pPr>
        <w:spacing w:before="13"/>
        <w:rPr>
          <w:rFonts w:ascii="Avenir Next" w:eastAsia="Avenir Next" w:hAnsi="Avenir Next" w:cs="Avenir Next"/>
          <w:b/>
          <w:bCs/>
          <w:sz w:val="18"/>
          <w:szCs w:val="18"/>
        </w:rPr>
      </w:pPr>
    </w:p>
    <w:p w:rsidR="00D96B91" w:rsidRDefault="00C2656B">
      <w:pPr>
        <w:pStyle w:val="BodyText"/>
        <w:spacing w:before="46"/>
      </w:pPr>
      <w:r>
        <w:rPr>
          <w:spacing w:val="-2"/>
        </w:rPr>
        <w:t>The</w:t>
      </w:r>
      <w:r>
        <w:rPr>
          <w:spacing w:val="-1"/>
        </w:rPr>
        <w:t xml:space="preserve"> </w:t>
      </w:r>
      <w:r>
        <w:rPr>
          <w:spacing w:val="-4"/>
        </w:rPr>
        <w:t>Panel’s</w:t>
      </w:r>
      <w:r>
        <w:t xml:space="preserve"> </w:t>
      </w:r>
      <w:r>
        <w:rPr>
          <w:spacing w:val="-2"/>
        </w:rPr>
        <w:t>draft</w:t>
      </w:r>
      <w:r>
        <w:t xml:space="preserve"> decision</w:t>
      </w:r>
      <w:r>
        <w:rPr>
          <w:spacing w:val="-1"/>
        </w:rPr>
        <w:t xml:space="preserve"> differs</w:t>
      </w:r>
      <w:r>
        <w:t xml:space="preserve"> </w:t>
      </w:r>
      <w:r>
        <w:rPr>
          <w:spacing w:val="-1"/>
        </w:rPr>
        <w:t>from</w:t>
      </w:r>
      <w:r>
        <w:t xml:space="preserve"> the</w:t>
      </w:r>
      <w:r>
        <w:rPr>
          <w:spacing w:val="-1"/>
        </w:rPr>
        <w:t xml:space="preserve"> </w:t>
      </w:r>
      <w:r>
        <w:rPr>
          <w:spacing w:val="-2"/>
        </w:rPr>
        <w:t>ICRC’s</w:t>
      </w:r>
      <w:r>
        <w:t xml:space="preserve"> final decision in</w:t>
      </w:r>
      <w:r>
        <w:rPr>
          <w:spacing w:val="-1"/>
        </w:rPr>
        <w:t xml:space="preserve"> </w:t>
      </w:r>
      <w:r>
        <w:t>the following ways:</w:t>
      </w:r>
    </w:p>
    <w:p w:rsidR="00D96B91" w:rsidRDefault="00C2656B">
      <w:pPr>
        <w:numPr>
          <w:ilvl w:val="0"/>
          <w:numId w:val="131"/>
        </w:numPr>
        <w:tabs>
          <w:tab w:val="left" w:pos="1531"/>
        </w:tabs>
        <w:spacing w:before="157" w:line="267" w:lineRule="exact"/>
        <w:ind w:hanging="283"/>
        <w:rPr>
          <w:rFonts w:ascii="Avenir Next" w:eastAsia="Avenir Next" w:hAnsi="Avenir Next" w:cs="Avenir Next"/>
          <w:sz w:val="20"/>
          <w:szCs w:val="20"/>
        </w:rPr>
      </w:pPr>
      <w:r>
        <w:rPr>
          <w:rFonts w:ascii="Avenir Next" w:eastAsia="Avenir Next" w:hAnsi="Avenir Next" w:cs="Avenir Next"/>
          <w:b/>
          <w:bCs/>
          <w:sz w:val="20"/>
          <w:szCs w:val="20"/>
        </w:rPr>
        <w:t>Opening value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RAB – </w:t>
      </w:r>
      <w:r>
        <w:rPr>
          <w:rFonts w:ascii="Avenir Next" w:eastAsia="Avenir Next" w:hAnsi="Avenir Next" w:cs="Avenir Next"/>
          <w:sz w:val="20"/>
          <w:szCs w:val="20"/>
        </w:rPr>
        <w:t xml:space="preserve">the </w:t>
      </w:r>
      <w:r>
        <w:rPr>
          <w:rFonts w:ascii="Avenir Next" w:eastAsia="Avenir Next" w:hAnsi="Avenir Next" w:cs="Avenir Next"/>
          <w:spacing w:val="-4"/>
          <w:sz w:val="20"/>
          <w:szCs w:val="20"/>
        </w:rPr>
        <w:t>Panel’s</w:t>
      </w:r>
      <w:r>
        <w:rPr>
          <w:rFonts w:ascii="Avenir Next" w:eastAsia="Avenir Next" w:hAnsi="Avenir Next" w:cs="Avenir Next"/>
          <w:sz w:val="20"/>
          <w:szCs w:val="20"/>
        </w:rPr>
        <w:t xml:space="preserve"> </w:t>
      </w:r>
      <w:r>
        <w:rPr>
          <w:rFonts w:ascii="Avenir Next" w:eastAsia="Avenir Next" w:hAnsi="Avenir Next" w:cs="Avenir Next"/>
          <w:spacing w:val="-2"/>
          <w:sz w:val="20"/>
          <w:szCs w:val="20"/>
        </w:rPr>
        <w:t>draft</w:t>
      </w:r>
      <w:r>
        <w:rPr>
          <w:rFonts w:ascii="Avenir Next" w:eastAsia="Avenir Next" w:hAnsi="Avenir Next" w:cs="Avenir Next"/>
          <w:sz w:val="20"/>
          <w:szCs w:val="20"/>
        </w:rPr>
        <w:t xml:space="preserve"> decision on the opening value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1"/>
          <w:sz w:val="20"/>
          <w:szCs w:val="20"/>
        </w:rPr>
        <w:t>water</w:t>
      </w:r>
      <w:r>
        <w:rPr>
          <w:rFonts w:ascii="Avenir Next" w:eastAsia="Avenir Next" w:hAnsi="Avenir Next" w:cs="Avenir Next"/>
          <w:sz w:val="20"/>
          <w:szCs w:val="20"/>
        </w:rPr>
        <w:t xml:space="preserve"> RAB is</w:t>
      </w:r>
    </w:p>
    <w:p w:rsidR="00D96B91" w:rsidRDefault="00C2656B">
      <w:pPr>
        <w:pStyle w:val="BodyText"/>
        <w:spacing w:before="3" w:line="228" w:lineRule="auto"/>
        <w:ind w:left="1530" w:right="1246"/>
      </w:pPr>
      <w:r>
        <w:t>$3.7 million lower than the value adopted by the ICRC while the opening value of</w:t>
      </w:r>
      <w:r>
        <w:rPr>
          <w:spacing w:val="4"/>
        </w:rPr>
        <w:t xml:space="preserve"> </w:t>
      </w:r>
      <w:r>
        <w:t xml:space="preserve">the </w:t>
      </w:r>
      <w:r>
        <w:rPr>
          <w:spacing w:val="-1"/>
        </w:rPr>
        <w:t>sewerage</w:t>
      </w:r>
      <w:r>
        <w:t xml:space="preserve"> RAB</w:t>
      </w:r>
      <w:r>
        <w:rPr>
          <w:spacing w:val="25"/>
        </w:rPr>
        <w:t xml:space="preserve"> </w:t>
      </w:r>
      <w:r>
        <w:t>is</w:t>
      </w:r>
      <w:r>
        <w:rPr>
          <w:spacing w:val="-1"/>
        </w:rPr>
        <w:t xml:space="preserve"> </w:t>
      </w:r>
      <w:r>
        <w:t xml:space="preserve">$4.2 million </w:t>
      </w:r>
      <w:r>
        <w:rPr>
          <w:spacing w:val="-2"/>
        </w:rPr>
        <w:t>lower.</w:t>
      </w:r>
      <w:r>
        <w:rPr>
          <w:spacing w:val="-12"/>
        </w:rPr>
        <w:t xml:space="preserve"> </w:t>
      </w:r>
      <w:r>
        <w:rPr>
          <w:spacing w:val="-1"/>
        </w:rPr>
        <w:t>These</w:t>
      </w:r>
      <w:r>
        <w:t xml:space="preserve"> </w:t>
      </w:r>
      <w:r>
        <w:rPr>
          <w:spacing w:val="-1"/>
        </w:rPr>
        <w:t>differences</w:t>
      </w:r>
      <w:r>
        <w:t xml:space="preserve"> </w:t>
      </w:r>
      <w:r>
        <w:rPr>
          <w:spacing w:val="-1"/>
        </w:rPr>
        <w:t xml:space="preserve">reflect </w:t>
      </w:r>
      <w:r>
        <w:t xml:space="preserve">the </w:t>
      </w:r>
      <w:r>
        <w:rPr>
          <w:spacing w:val="-4"/>
        </w:rPr>
        <w:t>Panel’s</w:t>
      </w:r>
      <w:r>
        <w:t xml:space="preserve"> decision</w:t>
      </w:r>
      <w:r>
        <w:rPr>
          <w:spacing w:val="-1"/>
        </w:rPr>
        <w:t xml:space="preserve"> </w:t>
      </w:r>
      <w:r>
        <w:t>to account for</w:t>
      </w:r>
      <w:r>
        <w:rPr>
          <w:spacing w:val="-1"/>
        </w:rPr>
        <w:t xml:space="preserve"> </w:t>
      </w:r>
      <w:r>
        <w:t>the time value of</w:t>
      </w:r>
      <w:r>
        <w:rPr>
          <w:spacing w:val="31"/>
        </w:rPr>
        <w:t xml:space="preserve"> </w:t>
      </w:r>
      <w:r>
        <w:t xml:space="preserve">money on the </w:t>
      </w:r>
      <w:r>
        <w:rPr>
          <w:spacing w:val="-1"/>
        </w:rPr>
        <w:t>difference</w:t>
      </w:r>
      <w:r>
        <w:t xml:space="preserve"> between the </w:t>
      </w:r>
      <w:r>
        <w:rPr>
          <w:spacing w:val="-1"/>
        </w:rPr>
        <w:t>forecast</w:t>
      </w:r>
      <w:r>
        <w:t xml:space="preserve"> capital </w:t>
      </w:r>
      <w:r>
        <w:rPr>
          <w:spacing w:val="-1"/>
        </w:rPr>
        <w:t>expenditure</w:t>
      </w:r>
      <w:r>
        <w:t xml:space="preserve"> for 2007-08 and actual capital</w:t>
      </w:r>
      <w:r>
        <w:rPr>
          <w:spacing w:val="23"/>
        </w:rPr>
        <w:t xml:space="preserve"> </w:t>
      </w:r>
      <w:r>
        <w:rPr>
          <w:spacing w:val="-1"/>
        </w:rPr>
        <w:t>expenditure</w:t>
      </w:r>
      <w:r>
        <w:t xml:space="preserve"> in this </w:t>
      </w:r>
      <w:r>
        <w:rPr>
          <w:spacing w:val="-3"/>
        </w:rPr>
        <w:t>year.</w:t>
      </w:r>
    </w:p>
    <w:p w:rsidR="00D96B91" w:rsidRDefault="00C2656B">
      <w:pPr>
        <w:pStyle w:val="BodyText"/>
        <w:numPr>
          <w:ilvl w:val="0"/>
          <w:numId w:val="131"/>
        </w:numPr>
        <w:tabs>
          <w:tab w:val="left" w:pos="1531"/>
        </w:tabs>
        <w:spacing w:before="67" w:line="260" w:lineRule="exact"/>
        <w:ind w:right="1256" w:hanging="283"/>
      </w:pPr>
      <w:r>
        <w:rPr>
          <w:rFonts w:cs="Avenir Next"/>
          <w:b/>
          <w:bCs/>
          <w:spacing w:val="-2"/>
        </w:rPr>
        <w:t>Forecast</w:t>
      </w:r>
      <w:r>
        <w:rPr>
          <w:rFonts w:cs="Avenir Next"/>
          <w:b/>
          <w:bCs/>
          <w:spacing w:val="-1"/>
        </w:rPr>
        <w:t xml:space="preserve"> </w:t>
      </w:r>
      <w:r>
        <w:rPr>
          <w:rFonts w:cs="Avenir Next"/>
          <w:b/>
          <w:bCs/>
        </w:rPr>
        <w:t xml:space="preserve">capital </w:t>
      </w:r>
      <w:r>
        <w:rPr>
          <w:rFonts w:cs="Avenir Next"/>
          <w:b/>
          <w:bCs/>
          <w:spacing w:val="-1"/>
        </w:rPr>
        <w:t>expenditure</w:t>
      </w:r>
      <w:r>
        <w:rPr>
          <w:rFonts w:cs="Avenir Next"/>
          <w:b/>
          <w:bCs/>
        </w:rPr>
        <w:t xml:space="preserve"> </w:t>
      </w:r>
      <w:r>
        <w:t>– the</w:t>
      </w:r>
      <w:r>
        <w:rPr>
          <w:spacing w:val="-1"/>
        </w:rPr>
        <w:t xml:space="preserve"> </w:t>
      </w:r>
      <w:r>
        <w:rPr>
          <w:spacing w:val="-2"/>
        </w:rPr>
        <w:t>draft</w:t>
      </w:r>
      <w:r>
        <w:t xml:space="preserve"> decision on </w:t>
      </w:r>
      <w:r>
        <w:rPr>
          <w:spacing w:val="-1"/>
        </w:rPr>
        <w:t>forecast</w:t>
      </w:r>
      <w:r>
        <w:t xml:space="preserve"> capital</w:t>
      </w:r>
      <w:r>
        <w:rPr>
          <w:spacing w:val="-1"/>
        </w:rPr>
        <w:t xml:space="preserve"> expenditure</w:t>
      </w:r>
      <w:r>
        <w:t xml:space="preserve"> in the first</w:t>
      </w:r>
      <w:r>
        <w:rPr>
          <w:spacing w:val="-1"/>
        </w:rPr>
        <w:t xml:space="preserve"> </w:t>
      </w:r>
      <w:r>
        <w:t xml:space="preserve">two </w:t>
      </w:r>
      <w:r>
        <w:rPr>
          <w:spacing w:val="-1"/>
        </w:rPr>
        <w:t>years</w:t>
      </w:r>
      <w:r>
        <w:rPr>
          <w:spacing w:val="45"/>
        </w:rPr>
        <w:t xml:space="preserve"> </w:t>
      </w:r>
      <w:r>
        <w:t>of</w:t>
      </w:r>
      <w:r>
        <w:rPr>
          <w:spacing w:val="3"/>
        </w:rPr>
        <w:t xml:space="preserve"> </w:t>
      </w:r>
      <w:r>
        <w:t xml:space="preserve">the period </w:t>
      </w:r>
      <w:r>
        <w:rPr>
          <w:spacing w:val="-2"/>
        </w:rPr>
        <w:t>are</w:t>
      </w:r>
      <w:r>
        <w:t xml:space="preserve"> lower</w:t>
      </w:r>
      <w:r>
        <w:rPr>
          <w:spacing w:val="-1"/>
        </w:rPr>
        <w:t xml:space="preserve"> </w:t>
      </w:r>
      <w:r>
        <w:t xml:space="preserve">than the </w:t>
      </w:r>
      <w:r>
        <w:rPr>
          <w:spacing w:val="-2"/>
        </w:rPr>
        <w:t>ICRC’s</w:t>
      </w:r>
      <w:r>
        <w:t xml:space="preserve"> final</w:t>
      </w:r>
      <w:r>
        <w:rPr>
          <w:spacing w:val="-1"/>
        </w:rPr>
        <w:t xml:space="preserve"> </w:t>
      </w:r>
      <w:r>
        <w:t>decisions (by $12 million in</w:t>
      </w:r>
      <w:r>
        <w:rPr>
          <w:spacing w:val="-1"/>
        </w:rPr>
        <w:t xml:space="preserve"> </w:t>
      </w:r>
      <w:r>
        <w:t>2013-14 and $37.7 million</w:t>
      </w:r>
    </w:p>
    <w:p w:rsidR="00D96B91" w:rsidRDefault="00C2656B">
      <w:pPr>
        <w:pStyle w:val="BodyText"/>
        <w:spacing w:line="260" w:lineRule="exact"/>
        <w:ind w:left="1530" w:right="1256"/>
        <w:jc w:val="both"/>
      </w:pPr>
      <w:r>
        <w:t>in</w:t>
      </w:r>
      <w:r>
        <w:rPr>
          <w:spacing w:val="-1"/>
        </w:rPr>
        <w:t xml:space="preserve"> </w:t>
      </w:r>
      <w:r>
        <w:t>2014-15).</w:t>
      </w:r>
      <w:r>
        <w:rPr>
          <w:spacing w:val="-11"/>
        </w:rPr>
        <w:t xml:space="preserve"> </w:t>
      </w:r>
      <w:r>
        <w:rPr>
          <w:spacing w:val="-1"/>
        </w:rPr>
        <w:t>These</w:t>
      </w:r>
      <w:r>
        <w:t xml:space="preserve"> decisions</w:t>
      </w:r>
      <w:r>
        <w:rPr>
          <w:spacing w:val="-1"/>
        </w:rPr>
        <w:t xml:space="preserve"> reflect</w:t>
      </w:r>
      <w:r>
        <w:t xml:space="preserve"> the most</w:t>
      </w:r>
      <w:r>
        <w:rPr>
          <w:spacing w:val="-1"/>
        </w:rPr>
        <w:t xml:space="preserve"> recent,</w:t>
      </w:r>
      <w:r>
        <w:rPr>
          <w:spacing w:val="-6"/>
        </w:rPr>
        <w:t xml:space="preserve"> </w:t>
      </w:r>
      <w:r>
        <w:rPr>
          <w:spacing w:val="-1"/>
        </w:rPr>
        <w:t>updated</w:t>
      </w:r>
      <w:r>
        <w:t xml:space="preserve"> </w:t>
      </w:r>
      <w:r>
        <w:rPr>
          <w:spacing w:val="-1"/>
        </w:rPr>
        <w:t>information provided</w:t>
      </w:r>
      <w:r>
        <w:t xml:space="preserve"> by</w:t>
      </w:r>
      <w:r>
        <w:rPr>
          <w:spacing w:val="-4"/>
        </w:rPr>
        <w:t xml:space="preserve"> </w:t>
      </w:r>
      <w:r>
        <w:rPr>
          <w:spacing w:val="-2"/>
        </w:rPr>
        <w:t>ACTEW</w:t>
      </w:r>
      <w:r>
        <w:rPr>
          <w:spacing w:val="-4"/>
        </w:rPr>
        <w:t xml:space="preserve"> </w:t>
      </w:r>
      <w:r>
        <w:t>on its</w:t>
      </w:r>
      <w:r>
        <w:rPr>
          <w:spacing w:val="59"/>
        </w:rPr>
        <w:t xml:space="preserve"> </w:t>
      </w:r>
      <w:r>
        <w:t xml:space="preserve">capital </w:t>
      </w:r>
      <w:r>
        <w:rPr>
          <w:spacing w:val="-1"/>
        </w:rPr>
        <w:t>expenditure</w:t>
      </w:r>
      <w:r>
        <w:t xml:space="preserve"> </w:t>
      </w:r>
      <w:r>
        <w:rPr>
          <w:spacing w:val="-1"/>
        </w:rPr>
        <w:t>program</w:t>
      </w:r>
      <w:r>
        <w:t xml:space="preserve"> for 2013-14 to 2017-18,</w:t>
      </w:r>
      <w:r>
        <w:rPr>
          <w:spacing w:val="-7"/>
        </w:rPr>
        <w:t xml:space="preserve"> </w:t>
      </w:r>
      <w:r>
        <w:t xml:space="preserve">and </w:t>
      </w:r>
      <w:r>
        <w:rPr>
          <w:spacing w:val="-3"/>
        </w:rPr>
        <w:t>Cardno’s</w:t>
      </w:r>
      <w:r>
        <w:t xml:space="preserve"> advice </w:t>
      </w:r>
      <w:r>
        <w:rPr>
          <w:spacing w:val="-1"/>
        </w:rPr>
        <w:t>that</w:t>
      </w:r>
      <w:r>
        <w:t xml:space="preserve"> this </w:t>
      </w:r>
      <w:r>
        <w:rPr>
          <w:spacing w:val="-1"/>
        </w:rPr>
        <w:t>information</w:t>
      </w:r>
      <w:r>
        <w:t xml:space="preserve"> is the</w:t>
      </w:r>
      <w:r>
        <w:rPr>
          <w:spacing w:val="45"/>
        </w:rPr>
        <w:t xml:space="preserve"> </w:t>
      </w:r>
      <w:r>
        <w:t>best</w:t>
      </w:r>
      <w:r>
        <w:rPr>
          <w:spacing w:val="-1"/>
        </w:rPr>
        <w:t xml:space="preserve"> </w:t>
      </w:r>
      <w:r>
        <w:t xml:space="preserve">available </w:t>
      </w:r>
      <w:r>
        <w:rPr>
          <w:spacing w:val="-1"/>
        </w:rPr>
        <w:t xml:space="preserve">estimate </w:t>
      </w:r>
      <w:r>
        <w:t>of</w:t>
      </w:r>
      <w:r>
        <w:rPr>
          <w:spacing w:val="3"/>
        </w:rPr>
        <w:t xml:space="preserve"> </w:t>
      </w:r>
      <w:r>
        <w:t>the prudent and</w:t>
      </w:r>
      <w:r>
        <w:rPr>
          <w:spacing w:val="-1"/>
        </w:rPr>
        <w:t xml:space="preserve"> efficient</w:t>
      </w:r>
      <w:r>
        <w:t xml:space="preserve"> level</w:t>
      </w:r>
      <w:r>
        <w:rPr>
          <w:spacing w:val="-1"/>
        </w:rPr>
        <w:t xml:space="preserve"> </w:t>
      </w:r>
      <w:r>
        <w:t>of</w:t>
      </w:r>
      <w:r>
        <w:rPr>
          <w:spacing w:val="3"/>
        </w:rPr>
        <w:t xml:space="preserve"> </w:t>
      </w:r>
      <w:r>
        <w:t xml:space="preserve">this </w:t>
      </w:r>
      <w:r>
        <w:rPr>
          <w:spacing w:val="-1"/>
        </w:rPr>
        <w:t>expenditure.</w:t>
      </w:r>
    </w:p>
    <w:p w:rsidR="00D96B91" w:rsidRDefault="00C2656B">
      <w:pPr>
        <w:pStyle w:val="BodyText"/>
        <w:numPr>
          <w:ilvl w:val="0"/>
          <w:numId w:val="131"/>
        </w:numPr>
        <w:tabs>
          <w:tab w:val="left" w:pos="1531"/>
        </w:tabs>
        <w:spacing w:before="85" w:line="260" w:lineRule="exact"/>
        <w:ind w:right="1283" w:hanging="283"/>
      </w:pPr>
      <w:r>
        <w:rPr>
          <w:rFonts w:cs="Avenir Next"/>
          <w:b/>
          <w:bCs/>
          <w:spacing w:val="-1"/>
        </w:rPr>
        <w:t xml:space="preserve">Depreciation </w:t>
      </w:r>
      <w:r>
        <w:rPr>
          <w:rFonts w:cs="Avenir Next"/>
          <w:b/>
          <w:bCs/>
        </w:rPr>
        <w:t xml:space="preserve">– </w:t>
      </w:r>
      <w:r>
        <w:t xml:space="preserve">the </w:t>
      </w:r>
      <w:r>
        <w:rPr>
          <w:spacing w:val="-4"/>
        </w:rPr>
        <w:t>Panel’s</w:t>
      </w:r>
      <w:r>
        <w:t xml:space="preserve"> </w:t>
      </w:r>
      <w:r>
        <w:rPr>
          <w:spacing w:val="-2"/>
        </w:rPr>
        <w:t>draft</w:t>
      </w:r>
      <w:r>
        <w:t xml:space="preserve"> decision</w:t>
      </w:r>
      <w:r>
        <w:rPr>
          <w:spacing w:val="-1"/>
        </w:rPr>
        <w:t xml:space="preserve"> </w:t>
      </w:r>
      <w:r>
        <w:t xml:space="preserve">on the </w:t>
      </w:r>
      <w:r>
        <w:rPr>
          <w:spacing w:val="-1"/>
        </w:rPr>
        <w:t>provision</w:t>
      </w:r>
      <w:r>
        <w:t xml:space="preserve"> to be</w:t>
      </w:r>
      <w:r>
        <w:rPr>
          <w:spacing w:val="-1"/>
        </w:rPr>
        <w:t xml:space="preserve"> </w:t>
      </w:r>
      <w:r>
        <w:t xml:space="preserve">made for </w:t>
      </w:r>
      <w:r>
        <w:rPr>
          <w:spacing w:val="-1"/>
        </w:rPr>
        <w:t>depreciation</w:t>
      </w:r>
      <w:r>
        <w:t xml:space="preserve"> in the</w:t>
      </w:r>
      <w:r>
        <w:rPr>
          <w:spacing w:val="-1"/>
        </w:rPr>
        <w:t xml:space="preserve"> </w:t>
      </w:r>
      <w:r>
        <w:t>first two</w:t>
      </w:r>
      <w:r>
        <w:rPr>
          <w:spacing w:val="55"/>
        </w:rPr>
        <w:t xml:space="preserve"> </w:t>
      </w:r>
      <w:r>
        <w:rPr>
          <w:spacing w:val="-1"/>
        </w:rPr>
        <w:t xml:space="preserve">years </w:t>
      </w:r>
      <w:r>
        <w:t>of</w:t>
      </w:r>
      <w:r>
        <w:rPr>
          <w:spacing w:val="4"/>
        </w:rPr>
        <w:t xml:space="preserve"> </w:t>
      </w:r>
      <w:r>
        <w:t xml:space="preserve">the </w:t>
      </w:r>
      <w:r>
        <w:rPr>
          <w:spacing w:val="-1"/>
        </w:rPr>
        <w:t xml:space="preserve">regulatory </w:t>
      </w:r>
      <w:r>
        <w:t xml:space="preserve">period is </w:t>
      </w:r>
      <w:r>
        <w:rPr>
          <w:spacing w:val="-1"/>
        </w:rPr>
        <w:t>approximately</w:t>
      </w:r>
      <w:r>
        <w:t xml:space="preserve"> $10.5</w:t>
      </w:r>
      <w:r>
        <w:rPr>
          <w:spacing w:val="-1"/>
        </w:rPr>
        <w:t xml:space="preserve"> </w:t>
      </w:r>
      <w:r>
        <w:t>million higher than the</w:t>
      </w:r>
      <w:r>
        <w:rPr>
          <w:spacing w:val="-1"/>
        </w:rPr>
        <w:t xml:space="preserve"> </w:t>
      </w:r>
      <w:r>
        <w:rPr>
          <w:spacing w:val="-2"/>
        </w:rPr>
        <w:t>ICRC’s</w:t>
      </w:r>
      <w:r>
        <w:t xml:space="preserve"> final decision.</w:t>
      </w:r>
      <w:r>
        <w:rPr>
          <w:spacing w:val="29"/>
        </w:rPr>
        <w:t xml:space="preserve"> </w:t>
      </w:r>
      <w:r>
        <w:rPr>
          <w:spacing w:val="-1"/>
        </w:rPr>
        <w:t>This difference</w:t>
      </w:r>
      <w:r>
        <w:t xml:space="preserve"> primarily</w:t>
      </w:r>
      <w:r>
        <w:rPr>
          <w:spacing w:val="-1"/>
        </w:rPr>
        <w:t xml:space="preserve"> reflects</w:t>
      </w:r>
      <w:r>
        <w:t xml:space="preserve"> the</w:t>
      </w:r>
      <w:r>
        <w:rPr>
          <w:spacing w:val="-1"/>
        </w:rPr>
        <w:t xml:space="preserve"> </w:t>
      </w:r>
      <w:r>
        <w:rPr>
          <w:spacing w:val="-4"/>
        </w:rPr>
        <w:t>Panel’s</w:t>
      </w:r>
      <w:r>
        <w:t xml:space="preserve"> decision</w:t>
      </w:r>
      <w:r>
        <w:rPr>
          <w:spacing w:val="-1"/>
        </w:rPr>
        <w:t xml:space="preserve"> to,</w:t>
      </w:r>
      <w:r>
        <w:rPr>
          <w:spacing w:val="-6"/>
        </w:rPr>
        <w:t xml:space="preserve"> </w:t>
      </w:r>
      <w:r>
        <w:rPr>
          <w:spacing w:val="-1"/>
        </w:rPr>
        <w:t xml:space="preserve">where </w:t>
      </w:r>
      <w:r>
        <w:t>possible,</w:t>
      </w:r>
      <w:r>
        <w:rPr>
          <w:spacing w:val="-6"/>
        </w:rPr>
        <w:t xml:space="preserve"> </w:t>
      </w:r>
      <w:r>
        <w:rPr>
          <w:spacing w:val="-1"/>
        </w:rPr>
        <w:t>calculate depreciation</w:t>
      </w:r>
      <w:r>
        <w:t xml:space="preserve"> using</w:t>
      </w:r>
      <w:r>
        <w:rPr>
          <w:spacing w:val="53"/>
        </w:rPr>
        <w:t xml:space="preserve"> </w:t>
      </w:r>
      <w:r>
        <w:rPr>
          <w:rFonts w:cs="Avenir Next"/>
        </w:rPr>
        <w:t xml:space="preserve">the </w:t>
      </w:r>
      <w:r>
        <w:rPr>
          <w:rFonts w:cs="Avenir Next"/>
          <w:i/>
        </w:rPr>
        <w:t xml:space="preserve">economic </w:t>
      </w:r>
      <w:r>
        <w:t>lives of</w:t>
      </w:r>
      <w:r>
        <w:rPr>
          <w:spacing w:val="4"/>
        </w:rPr>
        <w:t xml:space="preserve"> </w:t>
      </w:r>
      <w:r>
        <w:t xml:space="preserve">the assets used in the </w:t>
      </w:r>
      <w:r>
        <w:rPr>
          <w:spacing w:val="-1"/>
        </w:rPr>
        <w:t>provision</w:t>
      </w:r>
      <w:r>
        <w:t xml:space="preserve"> of</w:t>
      </w:r>
      <w:r>
        <w:rPr>
          <w:spacing w:val="4"/>
        </w:rPr>
        <w:t xml:space="preserve"> </w:t>
      </w:r>
      <w:r>
        <w:t xml:space="preserve">services </w:t>
      </w:r>
      <w:r>
        <w:rPr>
          <w:spacing w:val="-1"/>
        </w:rPr>
        <w:t>rather</w:t>
      </w:r>
      <w:r>
        <w:t xml:space="preserve"> than a notional </w:t>
      </w:r>
      <w:r>
        <w:rPr>
          <w:spacing w:val="-1"/>
        </w:rPr>
        <w:t>estimate.</w:t>
      </w:r>
      <w:r>
        <w:rPr>
          <w:spacing w:val="-6"/>
        </w:rPr>
        <w:t xml:space="preserve"> </w:t>
      </w:r>
      <w:r>
        <w:t>It</w:t>
      </w:r>
      <w:r>
        <w:rPr>
          <w:spacing w:val="27"/>
        </w:rPr>
        <w:t xml:space="preserve"> </w:t>
      </w:r>
      <w:r>
        <w:t>also</w:t>
      </w:r>
      <w:r>
        <w:rPr>
          <w:spacing w:val="-1"/>
        </w:rPr>
        <w:t xml:space="preserve"> reflects </w:t>
      </w:r>
      <w:r>
        <w:t>the</w:t>
      </w:r>
      <w:r>
        <w:rPr>
          <w:spacing w:val="-1"/>
        </w:rPr>
        <w:t xml:space="preserve"> correction </w:t>
      </w:r>
      <w:r>
        <w:t>of</w:t>
      </w:r>
      <w:r>
        <w:rPr>
          <w:spacing w:val="3"/>
        </w:rPr>
        <w:t xml:space="preserve"> </w:t>
      </w:r>
      <w:r>
        <w:t>a</w:t>
      </w:r>
      <w:r>
        <w:rPr>
          <w:spacing w:val="-1"/>
        </w:rPr>
        <w:t xml:space="preserve"> </w:t>
      </w:r>
      <w:r>
        <w:t>number</w:t>
      </w:r>
      <w:r>
        <w:rPr>
          <w:spacing w:val="-1"/>
        </w:rPr>
        <w:t xml:space="preserve"> </w:t>
      </w:r>
      <w:r>
        <w:t>of</w:t>
      </w:r>
      <w:r>
        <w:rPr>
          <w:spacing w:val="3"/>
        </w:rPr>
        <w:t xml:space="preserve"> </w:t>
      </w:r>
      <w:r>
        <w:t>small</w:t>
      </w:r>
      <w:r>
        <w:rPr>
          <w:spacing w:val="-1"/>
        </w:rPr>
        <w:t xml:space="preserve"> errors that were</w:t>
      </w:r>
      <w:r>
        <w:t xml:space="preserve"> identified</w:t>
      </w:r>
      <w:r>
        <w:rPr>
          <w:spacing w:val="-1"/>
        </w:rPr>
        <w:t xml:space="preserve"> </w:t>
      </w:r>
      <w:r>
        <w:t>in</w:t>
      </w:r>
      <w:r>
        <w:rPr>
          <w:spacing w:val="-1"/>
        </w:rPr>
        <w:t xml:space="preserve"> </w:t>
      </w:r>
      <w:r>
        <w:t>the</w:t>
      </w:r>
      <w:r>
        <w:rPr>
          <w:spacing w:val="-1"/>
        </w:rPr>
        <w:t xml:space="preserve"> </w:t>
      </w:r>
      <w:r>
        <w:rPr>
          <w:spacing w:val="-2"/>
        </w:rPr>
        <w:t>ICRC’s</w:t>
      </w:r>
      <w:r>
        <w:rPr>
          <w:spacing w:val="-1"/>
        </w:rPr>
        <w:t xml:space="preserve"> </w:t>
      </w:r>
      <w:r>
        <w:t>modelling.</w:t>
      </w:r>
    </w:p>
    <w:p w:rsidR="00D96B91" w:rsidRDefault="00C2656B">
      <w:pPr>
        <w:pStyle w:val="BodyText"/>
        <w:numPr>
          <w:ilvl w:val="0"/>
          <w:numId w:val="131"/>
        </w:numPr>
        <w:tabs>
          <w:tab w:val="left" w:pos="1531"/>
        </w:tabs>
        <w:spacing w:before="85" w:line="260" w:lineRule="exact"/>
        <w:ind w:right="1264" w:hanging="283"/>
      </w:pPr>
      <w:r>
        <w:rPr>
          <w:rFonts w:cs="Avenir Next"/>
          <w:b/>
          <w:bCs/>
          <w:spacing w:val="-1"/>
        </w:rPr>
        <w:t>Indexation</w:t>
      </w:r>
      <w:r>
        <w:rPr>
          <w:rFonts w:cs="Avenir Next"/>
          <w:b/>
          <w:bCs/>
        </w:rPr>
        <w:t xml:space="preserve"> – </w:t>
      </w:r>
      <w:r>
        <w:rPr>
          <w:rFonts w:cs="Avenir Next"/>
        </w:rPr>
        <w:t xml:space="preserve">in </w:t>
      </w:r>
      <w:r>
        <w:rPr>
          <w:rFonts w:cs="Avenir Next"/>
          <w:spacing w:val="-1"/>
        </w:rPr>
        <w:t>contrast</w:t>
      </w:r>
      <w:r>
        <w:rPr>
          <w:rFonts w:cs="Avenir Next"/>
        </w:rPr>
        <w:t xml:space="preserve"> to the ICRC,</w:t>
      </w:r>
      <w:r>
        <w:rPr>
          <w:rFonts w:cs="Avenir Next"/>
          <w:spacing w:val="-7"/>
        </w:rPr>
        <w:t xml:space="preserve"> </w:t>
      </w:r>
      <w:r>
        <w:rPr>
          <w:rFonts w:cs="Avenir Next"/>
        </w:rPr>
        <w:t xml:space="preserve">but in </w:t>
      </w:r>
      <w:r>
        <w:rPr>
          <w:rFonts w:cs="Avenir Next"/>
          <w:spacing w:val="-1"/>
        </w:rPr>
        <w:t>keeping</w:t>
      </w:r>
      <w:r>
        <w:rPr>
          <w:rFonts w:cs="Avenir Next"/>
        </w:rPr>
        <w:t xml:space="preserve"> with </w:t>
      </w:r>
      <w:r>
        <w:rPr>
          <w:rFonts w:cs="Avenir Next"/>
          <w:spacing w:val="-1"/>
        </w:rPr>
        <w:t>standard</w:t>
      </w:r>
      <w:r>
        <w:rPr>
          <w:rFonts w:cs="Avenir Next"/>
        </w:rPr>
        <w:t xml:space="preserve"> </w:t>
      </w:r>
      <w:r>
        <w:rPr>
          <w:rFonts w:cs="Avenir Next"/>
          <w:spacing w:val="-1"/>
        </w:rPr>
        <w:t>regulatory</w:t>
      </w:r>
      <w:r>
        <w:rPr>
          <w:rFonts w:cs="Avenir Next"/>
        </w:rPr>
        <w:t xml:space="preserve"> </w:t>
      </w:r>
      <w:r>
        <w:rPr>
          <w:rFonts w:cs="Avenir Next"/>
          <w:spacing w:val="-1"/>
        </w:rPr>
        <w:t>practice,</w:t>
      </w:r>
      <w:r>
        <w:rPr>
          <w:rFonts w:cs="Avenir Next"/>
          <w:spacing w:val="-6"/>
        </w:rPr>
        <w:t xml:space="preserve"> </w:t>
      </w:r>
      <w:r>
        <w:rPr>
          <w:rFonts w:cs="Avenir Next"/>
        </w:rPr>
        <w:t xml:space="preserve">the </w:t>
      </w:r>
      <w:r>
        <w:rPr>
          <w:rFonts w:cs="Avenir Next"/>
          <w:spacing w:val="-3"/>
        </w:rPr>
        <w:t>Panel</w:t>
      </w:r>
      <w:r>
        <w:rPr>
          <w:rFonts w:cs="Avenir Next"/>
          <w:spacing w:val="57"/>
        </w:rPr>
        <w:t xml:space="preserve"> </w:t>
      </w:r>
      <w:r>
        <w:t>decided</w:t>
      </w:r>
      <w:r>
        <w:rPr>
          <w:spacing w:val="-1"/>
        </w:rPr>
        <w:t xml:space="preserve"> </w:t>
      </w:r>
      <w:r>
        <w:t xml:space="preserve">to </w:t>
      </w:r>
      <w:r>
        <w:rPr>
          <w:spacing w:val="-1"/>
        </w:rPr>
        <w:t>ensure</w:t>
      </w:r>
      <w:r>
        <w:t xml:space="preserve"> the </w:t>
      </w:r>
      <w:r>
        <w:rPr>
          <w:spacing w:val="-2"/>
        </w:rPr>
        <w:t>real</w:t>
      </w:r>
      <w:r>
        <w:rPr>
          <w:spacing w:val="-1"/>
        </w:rPr>
        <w:t xml:space="preserve"> </w:t>
      </w:r>
      <w:r>
        <w:t>value of</w:t>
      </w:r>
      <w:r>
        <w:rPr>
          <w:spacing w:val="4"/>
        </w:rPr>
        <w:t xml:space="preserve"> </w:t>
      </w:r>
      <w:r>
        <w:t>the RAB</w:t>
      </w:r>
      <w:r>
        <w:rPr>
          <w:spacing w:val="-1"/>
        </w:rPr>
        <w:t xml:space="preserve"> </w:t>
      </w:r>
      <w:r>
        <w:t>is maintained over time by</w:t>
      </w:r>
      <w:r>
        <w:rPr>
          <w:spacing w:val="-1"/>
        </w:rPr>
        <w:t xml:space="preserve"> </w:t>
      </w:r>
      <w:r>
        <w:t xml:space="preserve">making </w:t>
      </w:r>
      <w:r>
        <w:rPr>
          <w:spacing w:val="-1"/>
        </w:rPr>
        <w:t>provision</w:t>
      </w:r>
      <w:r>
        <w:t xml:space="preserve"> for </w:t>
      </w:r>
      <w:r>
        <w:rPr>
          <w:spacing w:val="-1"/>
        </w:rPr>
        <w:t>inflation</w:t>
      </w:r>
      <w:r>
        <w:rPr>
          <w:spacing w:val="33"/>
        </w:rPr>
        <w:t xml:space="preserve"> </w:t>
      </w:r>
      <w:r>
        <w:t>in</w:t>
      </w:r>
      <w:r>
        <w:rPr>
          <w:spacing w:val="-1"/>
        </w:rPr>
        <w:t xml:space="preserve"> </w:t>
      </w:r>
      <w:r>
        <w:t>the RAB.</w:t>
      </w:r>
      <w:r>
        <w:rPr>
          <w:spacing w:val="-11"/>
        </w:rPr>
        <w:t xml:space="preserve"> </w:t>
      </w:r>
      <w:r>
        <w:rPr>
          <w:spacing w:val="-2"/>
        </w:rPr>
        <w:t>The</w:t>
      </w:r>
      <w:r>
        <w:t xml:space="preserve"> </w:t>
      </w:r>
      <w:r>
        <w:rPr>
          <w:spacing w:val="-1"/>
        </w:rPr>
        <w:t>forecast inflation</w:t>
      </w:r>
      <w:r>
        <w:t xml:space="preserve"> </w:t>
      </w:r>
      <w:r>
        <w:rPr>
          <w:spacing w:val="-2"/>
        </w:rPr>
        <w:t>rate</w:t>
      </w:r>
      <w:r>
        <w:t xml:space="preserve"> </w:t>
      </w:r>
      <w:r>
        <w:rPr>
          <w:spacing w:val="-1"/>
        </w:rPr>
        <w:t>that</w:t>
      </w:r>
      <w:r>
        <w:t xml:space="preserve"> the </w:t>
      </w:r>
      <w:r>
        <w:rPr>
          <w:spacing w:val="-3"/>
        </w:rPr>
        <w:t>Panel</w:t>
      </w:r>
      <w:r>
        <w:rPr>
          <w:spacing w:val="-1"/>
        </w:rPr>
        <w:t xml:space="preserve"> </w:t>
      </w:r>
      <w:r>
        <w:t>has used in this</w:t>
      </w:r>
      <w:r>
        <w:rPr>
          <w:spacing w:val="-1"/>
        </w:rPr>
        <w:t xml:space="preserve"> context</w:t>
      </w:r>
      <w:r>
        <w:t xml:space="preserve"> is 2.5% pa.</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Heading4"/>
        <w:tabs>
          <w:tab w:val="left" w:pos="2040"/>
        </w:tabs>
        <w:spacing w:before="9"/>
      </w:pPr>
      <w:bookmarkStart w:id="106" w:name="9._2_Opening_value_of_the_RAB_as_at_1_Ju"/>
      <w:bookmarkStart w:id="107" w:name="_bookmark61"/>
      <w:bookmarkEnd w:id="106"/>
      <w:bookmarkEnd w:id="107"/>
      <w:r>
        <w:rPr>
          <w:color w:val="0778BE"/>
        </w:rPr>
        <w:t>9.</w:t>
      </w:r>
      <w:r>
        <w:rPr>
          <w:color w:val="0778BE"/>
          <w:spacing w:val="-9"/>
        </w:rPr>
        <w:t xml:space="preserve"> </w:t>
      </w:r>
      <w:r>
        <w:rPr>
          <w:color w:val="0778BE"/>
        </w:rPr>
        <w:t>2</w:t>
      </w:r>
      <w:r>
        <w:rPr>
          <w:color w:val="0778BE"/>
        </w:rPr>
        <w:tab/>
      </w:r>
      <w:bookmarkStart w:id="108" w:name="_bookmark62"/>
      <w:bookmarkEnd w:id="108"/>
      <w:r>
        <w:rPr>
          <w:color w:val="0778BE"/>
        </w:rPr>
        <w:t>Opening value of</w:t>
      </w:r>
      <w:r>
        <w:rPr>
          <w:color w:val="0778BE"/>
          <w:spacing w:val="7"/>
        </w:rPr>
        <w:t xml:space="preserve"> </w:t>
      </w:r>
      <w:r>
        <w:rPr>
          <w:color w:val="0778BE"/>
        </w:rPr>
        <w:t xml:space="preserve">the RAB as </w:t>
      </w:r>
      <w:r>
        <w:rPr>
          <w:color w:val="0778BE"/>
          <w:spacing w:val="-2"/>
        </w:rPr>
        <w:t>at</w:t>
      </w:r>
      <w:r>
        <w:rPr>
          <w:color w:val="0778BE"/>
        </w:rPr>
        <w:t xml:space="preserve"> 1</w:t>
      </w:r>
      <w:r>
        <w:rPr>
          <w:color w:val="0778BE"/>
          <w:spacing w:val="-4"/>
        </w:rPr>
        <w:t xml:space="preserve"> </w:t>
      </w:r>
      <w:r>
        <w:rPr>
          <w:color w:val="0778BE"/>
        </w:rPr>
        <w:t>July 2013</w:t>
      </w:r>
    </w:p>
    <w:p w:rsidR="00D96B91" w:rsidRDefault="00C2656B">
      <w:pPr>
        <w:pStyle w:val="BodyText"/>
        <w:spacing w:before="63"/>
        <w:rPr>
          <w:rFonts w:cs="Avenir Next"/>
        </w:rPr>
      </w:pPr>
      <w:r>
        <w:rPr>
          <w:spacing w:val="-10"/>
        </w:rPr>
        <w:t>To</w:t>
      </w:r>
      <w:r>
        <w:t xml:space="preserve"> establish the opening value of</w:t>
      </w:r>
      <w:r>
        <w:rPr>
          <w:spacing w:val="4"/>
        </w:rPr>
        <w:t xml:space="preserve"> </w:t>
      </w:r>
      <w:r>
        <w:t>the RAB,</w:t>
      </w:r>
      <w:r>
        <w:rPr>
          <w:spacing w:val="-7"/>
        </w:rPr>
        <w:t xml:space="preserve"> </w:t>
      </w:r>
      <w:r>
        <w:rPr>
          <w:spacing w:val="-1"/>
        </w:rPr>
        <w:t>regulators</w:t>
      </w:r>
      <w:r>
        <w:t xml:space="preserve"> </w:t>
      </w:r>
      <w:r>
        <w:rPr>
          <w:spacing w:val="-1"/>
        </w:rPr>
        <w:t>generally</w:t>
      </w:r>
      <w:r>
        <w:t xml:space="preserve"> use the following formula:</w:t>
      </w:r>
    </w:p>
    <w:p w:rsidR="00D96B91" w:rsidRDefault="00D96B91">
      <w:pPr>
        <w:spacing w:before="11"/>
        <w:rPr>
          <w:rFonts w:ascii="Avenir Next" w:eastAsia="Avenir Next" w:hAnsi="Avenir Next" w:cs="Avenir Next"/>
          <w:sz w:val="13"/>
          <w:szCs w:val="13"/>
        </w:rPr>
      </w:pPr>
    </w:p>
    <w:p w:rsidR="00B45286" w:rsidRPr="00F75F7B" w:rsidRDefault="00B45286" w:rsidP="00B45286">
      <w:pPr>
        <w:keepNext/>
        <w:spacing w:after="120"/>
        <w:ind w:left="1276" w:right="-187"/>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Opening RAB</m:t>
              </m:r>
            </m:e>
            <m:sub>
              <m:r>
                <w:rPr>
                  <w:rFonts w:ascii="Cambria Math" w:hAnsi="Cambria Math"/>
                  <w:sz w:val="18"/>
                  <w:szCs w:val="18"/>
                </w:rPr>
                <m:t>New regulatory period</m:t>
              </m:r>
            </m:sub>
          </m:sSub>
          <m:r>
            <m:rPr>
              <m:nor/>
            </m:rPr>
            <w:rPr>
              <w:rFonts w:ascii="Cambria Math" w:hAnsi="Cambria Math"/>
              <w:sz w:val="18"/>
              <w:szCs w:val="18"/>
            </w:rPr>
            <m:t>=</m:t>
          </m:r>
        </m:oMath>
      </m:oMathPara>
    </w:p>
    <w:p w:rsidR="00B45286" w:rsidRPr="00F75F7B" w:rsidRDefault="00B45286" w:rsidP="00B45286">
      <w:pPr>
        <w:ind w:left="1276" w:right="-187"/>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Opening RAB</m:t>
              </m:r>
            </m:e>
            <m:sub>
              <m:r>
                <w:rPr>
                  <w:rFonts w:ascii="Cambria Math" w:hAnsi="Cambria Math"/>
                  <w:sz w:val="18"/>
                  <w:szCs w:val="18"/>
                </w:rPr>
                <m:t>Prior regulatory period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Capital Expenditure</m:t>
              </m:r>
            </m:e>
            <m:sub>
              <m:r>
                <w:rPr>
                  <w:rFonts w:ascii="Cambria Math" w:hAnsi="Cambria Math"/>
                  <w:sz w:val="18"/>
                  <w:szCs w:val="18"/>
                </w:rPr>
                <m:t>Prior regulatory period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Depreciation</m:t>
              </m:r>
            </m:e>
            <m:sub>
              <m:r>
                <w:rPr>
                  <w:rFonts w:ascii="Cambria Math" w:hAnsi="Cambria Math"/>
                  <w:sz w:val="18"/>
                  <w:szCs w:val="18"/>
                </w:rPr>
                <m:t>Prior regulatory period</m:t>
              </m:r>
            </m:sub>
          </m:sSub>
          <m:r>
            <w:rPr>
              <w:rFonts w:ascii="Cambria Math" w:hAnsi="Cambria Math"/>
              <w:sz w:val="18"/>
              <w:szCs w:val="18"/>
            </w:rPr>
            <m:t xml:space="preserve">-Asset Sales or </m:t>
          </m:r>
          <m:sSub>
            <m:sSubPr>
              <m:ctrlPr>
                <w:rPr>
                  <w:rFonts w:ascii="Cambria Math" w:hAnsi="Cambria Math"/>
                  <w:i/>
                  <w:sz w:val="18"/>
                  <w:szCs w:val="18"/>
                </w:rPr>
              </m:ctrlPr>
            </m:sSubPr>
            <m:e>
              <m:r>
                <w:rPr>
                  <w:rFonts w:ascii="Cambria Math" w:hAnsi="Cambria Math"/>
                  <w:sz w:val="18"/>
                  <w:szCs w:val="18"/>
                </w:rPr>
                <m:t>Disposals</m:t>
              </m:r>
            </m:e>
            <m:sub>
              <m:r>
                <w:rPr>
                  <w:rFonts w:ascii="Cambria Math" w:hAnsi="Cambria Math"/>
                  <w:sz w:val="18"/>
                  <w:szCs w:val="18"/>
                </w:rPr>
                <m:t>Prior regulatory period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Indexation</m:t>
              </m:r>
            </m:e>
            <m:sub>
              <m:r>
                <w:rPr>
                  <w:rFonts w:ascii="Cambria Math" w:hAnsi="Cambria Math"/>
                  <w:sz w:val="18"/>
                  <w:szCs w:val="18"/>
                </w:rPr>
                <m:t>Prior regulatory period</m:t>
              </m:r>
            </m:sub>
          </m:sSub>
        </m:oMath>
      </m:oMathPara>
    </w:p>
    <w:p w:rsidR="00D96B91" w:rsidRDefault="00D96B91">
      <w:pPr>
        <w:rPr>
          <w:rFonts w:ascii="Cambria" w:eastAsia="Cambria" w:hAnsi="Cambria" w:cs="Cambria"/>
          <w:sz w:val="20"/>
          <w:szCs w:val="20"/>
        </w:rPr>
      </w:pPr>
    </w:p>
    <w:p w:rsidR="00D96B91" w:rsidRDefault="00C2656B">
      <w:pPr>
        <w:pStyle w:val="BodyText"/>
        <w:spacing w:line="260" w:lineRule="exact"/>
        <w:ind w:right="1513"/>
        <w:rPr>
          <w:rFonts w:cs="Avenir Next"/>
        </w:rPr>
      </w:pPr>
      <w:r>
        <w:t>When applying this formula,</w:t>
      </w:r>
      <w:r>
        <w:rPr>
          <w:spacing w:val="-7"/>
        </w:rPr>
        <w:t xml:space="preserve"> </w:t>
      </w:r>
      <w:r>
        <w:rPr>
          <w:spacing w:val="-1"/>
        </w:rPr>
        <w:t>regulators</w:t>
      </w:r>
      <w:r>
        <w:t xml:space="preserve"> usually consider the </w:t>
      </w:r>
      <w:r>
        <w:rPr>
          <w:spacing w:val="-1"/>
        </w:rPr>
        <w:t>extent</w:t>
      </w:r>
      <w:r>
        <w:t xml:space="preserve"> to which any adjustments need to</w:t>
      </w:r>
      <w:r>
        <w:rPr>
          <w:spacing w:val="29"/>
        </w:rPr>
        <w:t xml:space="preserve"> </w:t>
      </w:r>
      <w:r>
        <w:t>be made to:</w:t>
      </w:r>
    </w:p>
    <w:p w:rsidR="00D96B91" w:rsidRDefault="00C2656B">
      <w:pPr>
        <w:pStyle w:val="BodyText"/>
        <w:numPr>
          <w:ilvl w:val="0"/>
          <w:numId w:val="131"/>
        </w:numPr>
        <w:tabs>
          <w:tab w:val="left" w:pos="1531"/>
        </w:tabs>
        <w:spacing w:before="170" w:line="260" w:lineRule="exact"/>
        <w:ind w:right="1437" w:hanging="283"/>
        <w:rPr>
          <w:sz w:val="11"/>
          <w:szCs w:val="11"/>
        </w:rPr>
      </w:pPr>
      <w:r>
        <w:t>the opening value of</w:t>
      </w:r>
      <w:r>
        <w:rPr>
          <w:spacing w:val="4"/>
        </w:rPr>
        <w:t xml:space="preserve"> </w:t>
      </w:r>
      <w:r>
        <w:t xml:space="preserve">the RAB in the </w:t>
      </w:r>
      <w:r>
        <w:rPr>
          <w:spacing w:val="-1"/>
        </w:rPr>
        <w:t>previous</w:t>
      </w:r>
      <w:r>
        <w:t xml:space="preserve"> </w:t>
      </w:r>
      <w:r>
        <w:rPr>
          <w:spacing w:val="-1"/>
        </w:rPr>
        <w:t>regulatory</w:t>
      </w:r>
      <w:r>
        <w:t xml:space="preserve"> period to account for </w:t>
      </w:r>
      <w:r>
        <w:rPr>
          <w:spacing w:val="-1"/>
        </w:rPr>
        <w:t>differences</w:t>
      </w:r>
      <w:r>
        <w:t xml:space="preserve"> between</w:t>
      </w:r>
      <w:r>
        <w:rPr>
          <w:spacing w:val="23"/>
        </w:rPr>
        <w:t xml:space="preserve"> </w:t>
      </w:r>
      <w:r>
        <w:rPr>
          <w:spacing w:val="-1"/>
        </w:rPr>
        <w:t xml:space="preserve">forecast </w:t>
      </w:r>
      <w:r>
        <w:t>and</w:t>
      </w:r>
      <w:r>
        <w:rPr>
          <w:spacing w:val="-1"/>
        </w:rPr>
        <w:t xml:space="preserve"> </w:t>
      </w:r>
      <w:r>
        <w:t>actual capital</w:t>
      </w:r>
      <w:r>
        <w:rPr>
          <w:spacing w:val="-1"/>
        </w:rPr>
        <w:t xml:space="preserve"> expenditure</w:t>
      </w:r>
      <w:r>
        <w:t xml:space="preserve"> and</w:t>
      </w:r>
      <w:r>
        <w:rPr>
          <w:spacing w:val="-1"/>
        </w:rPr>
        <w:t xml:space="preserve"> inflation</w:t>
      </w:r>
      <w:r>
        <w:t xml:space="preserve"> in</w:t>
      </w:r>
      <w:r>
        <w:rPr>
          <w:spacing w:val="-1"/>
        </w:rPr>
        <w:t xml:space="preserve"> </w:t>
      </w:r>
      <w:r>
        <w:t>the final</w:t>
      </w:r>
      <w:r>
        <w:rPr>
          <w:spacing w:val="-1"/>
        </w:rPr>
        <w:t xml:space="preserve"> year</w:t>
      </w:r>
      <w:r>
        <w:t xml:space="preserve"> of</w:t>
      </w:r>
      <w:r>
        <w:rPr>
          <w:spacing w:val="3"/>
        </w:rPr>
        <w:t xml:space="preserve"> </w:t>
      </w:r>
      <w:r>
        <w:t>the</w:t>
      </w:r>
      <w:r>
        <w:rPr>
          <w:spacing w:val="-1"/>
        </w:rPr>
        <w:t xml:space="preserve"> penultimate</w:t>
      </w:r>
      <w:r>
        <w:t xml:space="preserve"> </w:t>
      </w:r>
      <w:r>
        <w:rPr>
          <w:spacing w:val="-1"/>
        </w:rPr>
        <w:t>regulatory</w:t>
      </w:r>
      <w:r>
        <w:rPr>
          <w:spacing w:val="63"/>
        </w:rPr>
        <w:t xml:space="preserve"> </w:t>
      </w:r>
      <w:r>
        <w:t>period</w:t>
      </w:r>
      <w:r>
        <w:rPr>
          <w:position w:val="7"/>
          <w:sz w:val="11"/>
        </w:rPr>
        <w:t>101</w:t>
      </w:r>
    </w:p>
    <w:p w:rsidR="00D96B91" w:rsidRDefault="00C2656B">
      <w:pPr>
        <w:pStyle w:val="BodyText"/>
        <w:numPr>
          <w:ilvl w:val="0"/>
          <w:numId w:val="131"/>
        </w:numPr>
        <w:tabs>
          <w:tab w:val="left" w:pos="1531"/>
        </w:tabs>
        <w:spacing w:before="85" w:line="260" w:lineRule="exact"/>
        <w:ind w:right="1522" w:hanging="283"/>
      </w:pPr>
      <w:r>
        <w:t xml:space="preserve">the capital </w:t>
      </w:r>
      <w:r>
        <w:rPr>
          <w:spacing w:val="-1"/>
        </w:rPr>
        <w:t>expenditure</w:t>
      </w:r>
      <w:r>
        <w:t xml:space="preserve"> </w:t>
      </w:r>
      <w:r>
        <w:rPr>
          <w:spacing w:val="-1"/>
        </w:rPr>
        <w:t>undertaken</w:t>
      </w:r>
      <w:r>
        <w:t xml:space="preserve"> in the </w:t>
      </w:r>
      <w:r>
        <w:rPr>
          <w:spacing w:val="-1"/>
        </w:rPr>
        <w:t>previous</w:t>
      </w:r>
      <w:r>
        <w:t xml:space="preserve"> </w:t>
      </w:r>
      <w:r>
        <w:rPr>
          <w:spacing w:val="-1"/>
        </w:rPr>
        <w:t>regulatory</w:t>
      </w:r>
      <w:r>
        <w:t xml:space="preserve"> period to </w:t>
      </w:r>
      <w:r>
        <w:rPr>
          <w:spacing w:val="-1"/>
        </w:rPr>
        <w:t>remove</w:t>
      </w:r>
      <w:r>
        <w:t xml:space="preserve"> any imprudent or</w:t>
      </w:r>
      <w:r>
        <w:rPr>
          <w:spacing w:val="37"/>
        </w:rPr>
        <w:t xml:space="preserve"> </w:t>
      </w:r>
      <w:r>
        <w:rPr>
          <w:spacing w:val="-1"/>
        </w:rPr>
        <w:t>inefficient</w:t>
      </w:r>
      <w:r>
        <w:rPr>
          <w:spacing w:val="-6"/>
        </w:rPr>
        <w:t xml:space="preserve"> </w:t>
      </w:r>
      <w:r>
        <w:rPr>
          <w:spacing w:val="-1"/>
        </w:rPr>
        <w:t>expenditure</w:t>
      </w:r>
    </w:p>
    <w:p w:rsidR="00D96B91" w:rsidRDefault="00C2656B">
      <w:pPr>
        <w:pStyle w:val="BodyText"/>
        <w:numPr>
          <w:ilvl w:val="0"/>
          <w:numId w:val="131"/>
        </w:numPr>
        <w:tabs>
          <w:tab w:val="left" w:pos="1531"/>
        </w:tabs>
        <w:spacing w:before="93"/>
        <w:ind w:hanging="283"/>
        <w:rPr>
          <w:rFonts w:cs="Avenir Next"/>
        </w:rPr>
      </w:pPr>
      <w:r>
        <w:t xml:space="preserve">the </w:t>
      </w:r>
      <w:r>
        <w:rPr>
          <w:spacing w:val="-1"/>
        </w:rPr>
        <w:t>depreciation</w:t>
      </w:r>
      <w:r>
        <w:t xml:space="preserve"> allowance in the </w:t>
      </w:r>
      <w:r>
        <w:rPr>
          <w:spacing w:val="-1"/>
        </w:rPr>
        <w:t>previous</w:t>
      </w:r>
      <w:r>
        <w:t xml:space="preserve"> </w:t>
      </w:r>
      <w:r>
        <w:rPr>
          <w:spacing w:val="-1"/>
        </w:rPr>
        <w:t>regulatory</w:t>
      </w:r>
      <w:r>
        <w:t xml:space="preserve"> period,</w:t>
      </w:r>
      <w:r>
        <w:rPr>
          <w:spacing w:val="-6"/>
        </w:rPr>
        <w:t xml:space="preserve"> </w:t>
      </w:r>
      <w:r>
        <w:t>and</w:t>
      </w:r>
    </w:p>
    <w:p w:rsidR="00D96B91" w:rsidRDefault="00C2656B">
      <w:pPr>
        <w:pStyle w:val="BodyText"/>
        <w:numPr>
          <w:ilvl w:val="0"/>
          <w:numId w:val="131"/>
        </w:numPr>
        <w:tabs>
          <w:tab w:val="left" w:pos="1531"/>
        </w:tabs>
        <w:spacing w:before="64" w:line="260" w:lineRule="exact"/>
        <w:ind w:right="1742" w:hanging="283"/>
      </w:pPr>
      <w:r>
        <w:t>the</w:t>
      </w:r>
      <w:r>
        <w:rPr>
          <w:spacing w:val="-1"/>
        </w:rPr>
        <w:t xml:space="preserve"> indexation</w:t>
      </w:r>
      <w:r>
        <w:t xml:space="preserve"> </w:t>
      </w:r>
      <w:r>
        <w:rPr>
          <w:spacing w:val="-1"/>
        </w:rPr>
        <w:t>parameter</w:t>
      </w:r>
      <w:r>
        <w:t xml:space="preserve"> to</w:t>
      </w:r>
      <w:r>
        <w:rPr>
          <w:spacing w:val="-1"/>
        </w:rPr>
        <w:t xml:space="preserve"> </w:t>
      </w:r>
      <w:r>
        <w:t xml:space="preserve">account for </w:t>
      </w:r>
      <w:r>
        <w:rPr>
          <w:spacing w:val="-1"/>
        </w:rPr>
        <w:t xml:space="preserve">differences </w:t>
      </w:r>
      <w:r>
        <w:t xml:space="preserve">between </w:t>
      </w:r>
      <w:r>
        <w:rPr>
          <w:spacing w:val="-1"/>
        </w:rPr>
        <w:t>forecast</w:t>
      </w:r>
      <w:r>
        <w:t xml:space="preserve"> and actual</w:t>
      </w:r>
      <w:r>
        <w:rPr>
          <w:spacing w:val="-1"/>
        </w:rPr>
        <w:t xml:space="preserve"> inflation</w:t>
      </w:r>
      <w:r>
        <w:t xml:space="preserve"> in the</w:t>
      </w:r>
      <w:r>
        <w:rPr>
          <w:spacing w:val="53"/>
        </w:rPr>
        <w:t xml:space="preserve"> </w:t>
      </w:r>
      <w:r>
        <w:rPr>
          <w:spacing w:val="-1"/>
        </w:rPr>
        <w:t>previous</w:t>
      </w:r>
      <w:r>
        <w:t xml:space="preserve"> </w:t>
      </w:r>
      <w:r>
        <w:rPr>
          <w:spacing w:val="-1"/>
        </w:rPr>
        <w:t>regulatory</w:t>
      </w:r>
      <w:r>
        <w:t xml:space="preserve"> period.</w:t>
      </w:r>
    </w:p>
    <w:p w:rsidR="00D96B91" w:rsidRDefault="00D96B91">
      <w:pPr>
        <w:spacing w:before="8"/>
        <w:rPr>
          <w:rFonts w:ascii="Avenir Next" w:eastAsia="Avenir Next" w:hAnsi="Avenir Next" w:cs="Avenir Next"/>
          <w:sz w:val="24"/>
          <w:szCs w:val="24"/>
        </w:rPr>
      </w:pPr>
    </w:p>
    <w:p w:rsidR="00D96B91" w:rsidRDefault="00C2656B">
      <w:pPr>
        <w:pStyle w:val="Heading6"/>
        <w:numPr>
          <w:ilvl w:val="2"/>
          <w:numId w:val="75"/>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9"/>
      </w:pPr>
      <w:r>
        <w:t>In</w:t>
      </w:r>
      <w:r>
        <w:rPr>
          <w:spacing w:val="-1"/>
        </w:rPr>
        <w:t xml:space="preserve"> </w:t>
      </w:r>
      <w:r>
        <w:t>its final decision the</w:t>
      </w:r>
      <w:r>
        <w:rPr>
          <w:spacing w:val="-1"/>
        </w:rPr>
        <w:t xml:space="preserve"> </w:t>
      </w:r>
      <w:r>
        <w:t>ICRC employed a similar</w:t>
      </w:r>
      <w:r>
        <w:rPr>
          <w:spacing w:val="-1"/>
        </w:rPr>
        <w:t xml:space="preserve"> approach</w:t>
      </w:r>
      <w:r>
        <w:t xml:space="preserve"> to </w:t>
      </w:r>
      <w:r>
        <w:rPr>
          <w:spacing w:val="-1"/>
        </w:rPr>
        <w:t>that</w:t>
      </w:r>
      <w:r>
        <w:t xml:space="preserve"> outlined</w:t>
      </w:r>
      <w:r>
        <w:rPr>
          <w:spacing w:val="-1"/>
        </w:rPr>
        <w:t xml:space="preserve"> </w:t>
      </w:r>
      <w:r>
        <w:t xml:space="preserve">above and determined </w:t>
      </w:r>
      <w:r>
        <w:rPr>
          <w:spacing w:val="-1"/>
        </w:rPr>
        <w:t>that:</w:t>
      </w:r>
    </w:p>
    <w:p w:rsidR="00D96B91" w:rsidRDefault="00C2656B">
      <w:pPr>
        <w:pStyle w:val="BodyText"/>
        <w:numPr>
          <w:ilvl w:val="0"/>
          <w:numId w:val="131"/>
        </w:numPr>
        <w:tabs>
          <w:tab w:val="left" w:pos="1531"/>
        </w:tabs>
        <w:spacing w:before="157"/>
        <w:ind w:hanging="283"/>
      </w:pPr>
      <w:r>
        <w:t>the opening value of</w:t>
      </w:r>
      <w:r>
        <w:rPr>
          <w:spacing w:val="4"/>
        </w:rPr>
        <w:t xml:space="preserve"> </w:t>
      </w:r>
      <w:r>
        <w:t xml:space="preserve">the </w:t>
      </w:r>
      <w:r>
        <w:rPr>
          <w:spacing w:val="-1"/>
        </w:rPr>
        <w:t>water</w:t>
      </w:r>
      <w:r>
        <w:t xml:space="preserve"> RAB was $1.37 billion (see</w:t>
      </w:r>
      <w:r>
        <w:rPr>
          <w:spacing w:val="-5"/>
        </w:rPr>
        <w:t xml:space="preserve"> </w:t>
      </w:r>
      <w:hyperlink w:anchor="_bookmark63" w:history="1">
        <w:r>
          <w:rPr>
            <w:spacing w:val="-4"/>
          </w:rPr>
          <w:t>Table</w:t>
        </w:r>
      </w:hyperlink>
      <w:r>
        <w:t xml:space="preserve"> 9.3),</w:t>
      </w:r>
      <w:r>
        <w:rPr>
          <w:spacing w:val="-6"/>
        </w:rPr>
        <w:t xml:space="preserve"> </w:t>
      </w:r>
      <w:r>
        <w:t>and</w:t>
      </w:r>
    </w:p>
    <w:p w:rsidR="00D96B91" w:rsidRDefault="00C2656B">
      <w:pPr>
        <w:pStyle w:val="BodyText"/>
        <w:numPr>
          <w:ilvl w:val="0"/>
          <w:numId w:val="131"/>
        </w:numPr>
        <w:tabs>
          <w:tab w:val="left" w:pos="1531"/>
        </w:tabs>
        <w:spacing w:before="72"/>
        <w:ind w:hanging="283"/>
      </w:pPr>
      <w:r>
        <w:t>the opening value of</w:t>
      </w:r>
      <w:r>
        <w:rPr>
          <w:spacing w:val="4"/>
        </w:rPr>
        <w:t xml:space="preserve"> </w:t>
      </w:r>
      <w:r>
        <w:t xml:space="preserve">the </w:t>
      </w:r>
      <w:r>
        <w:rPr>
          <w:spacing w:val="-1"/>
        </w:rPr>
        <w:t>sewerage</w:t>
      </w:r>
      <w:r>
        <w:t xml:space="preserve"> RAB was $661 million (see</w:t>
      </w:r>
      <w:r>
        <w:rPr>
          <w:spacing w:val="-5"/>
        </w:rPr>
        <w:t xml:space="preserve"> </w:t>
      </w:r>
      <w:r>
        <w:rPr>
          <w:spacing w:val="-4"/>
        </w:rPr>
        <w:t>Table</w:t>
      </w:r>
      <w:r>
        <w:t xml:space="preserve"> 9.4).</w:t>
      </w:r>
    </w:p>
    <w:p w:rsidR="00D96B91" w:rsidRDefault="00D96B91">
      <w:pPr>
        <w:spacing w:before="10"/>
        <w:rPr>
          <w:rFonts w:ascii="Avenir Next" w:eastAsia="Avenir Next" w:hAnsi="Avenir Next" w:cs="Avenir Next"/>
          <w:sz w:val="14"/>
          <w:szCs w:val="14"/>
        </w:rPr>
      </w:pPr>
    </w:p>
    <w:p w:rsidR="00D96B91" w:rsidRDefault="00C2656B">
      <w:pPr>
        <w:spacing w:line="240" w:lineRule="exact"/>
        <w:ind w:left="1247" w:right="2933"/>
        <w:rPr>
          <w:rFonts w:ascii="Avenir Next" w:eastAsia="Avenir Next" w:hAnsi="Avenir Next" w:cs="Avenir Next"/>
          <w:sz w:val="20"/>
          <w:szCs w:val="20"/>
        </w:rPr>
      </w:pPr>
      <w:bookmarkStart w:id="109" w:name="_bookmark63"/>
      <w:bookmarkEnd w:id="109"/>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9.3: ICRC final decision – Opening value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RAB as </w:t>
      </w:r>
      <w:r>
        <w:rPr>
          <w:rFonts w:ascii="Avenir Next" w:eastAsia="Avenir Next" w:hAnsi="Avenir Next" w:cs="Avenir Next"/>
          <w:b/>
          <w:bCs/>
          <w:spacing w:val="-1"/>
          <w:sz w:val="20"/>
          <w:szCs w:val="20"/>
        </w:rPr>
        <w:t>at</w:t>
      </w:r>
      <w:r>
        <w:rPr>
          <w:rFonts w:ascii="Avenir Next" w:eastAsia="Avenir Next" w:hAnsi="Avenir Next" w:cs="Avenir Next"/>
          <w:b/>
          <w:bCs/>
          <w:sz w:val="20"/>
          <w:szCs w:val="20"/>
        </w:rPr>
        <w:t xml:space="preserve"> 1</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July 2013</w:t>
      </w:r>
      <w:r>
        <w:rPr>
          <w:rFonts w:ascii="Avenir Next" w:eastAsia="Avenir Next" w:hAnsi="Avenir Next" w:cs="Avenir Next"/>
          <w:b/>
          <w:bCs/>
          <w:spacing w:val="23"/>
          <w:sz w:val="20"/>
          <w:szCs w:val="20"/>
        </w:rPr>
        <w:t xml:space="preserve"> </w:t>
      </w:r>
      <w:r>
        <w:rPr>
          <w:rFonts w:ascii="Avenir Next" w:eastAsia="Avenir Next" w:hAnsi="Avenir Next" w:cs="Avenir Next"/>
          <w:b/>
          <w:bCs/>
          <w:sz w:val="20"/>
          <w:szCs w:val="20"/>
        </w:rPr>
        <w:t>($m,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spacing w:before="12"/>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2644"/>
        <w:gridCol w:w="1126"/>
        <w:gridCol w:w="1126"/>
        <w:gridCol w:w="1126"/>
        <w:gridCol w:w="1126"/>
        <w:gridCol w:w="1126"/>
        <w:gridCol w:w="1126"/>
      </w:tblGrid>
      <w:tr w:rsidR="00D96B91">
        <w:trPr>
          <w:trHeight w:hRule="exact" w:val="407"/>
        </w:trPr>
        <w:tc>
          <w:tcPr>
            <w:tcW w:w="264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2007-08</w:t>
            </w:r>
          </w:p>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2008-09</w:t>
            </w:r>
          </w:p>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2009-10</w:t>
            </w:r>
          </w:p>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2010-11</w:t>
            </w:r>
          </w:p>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2011-12</w:t>
            </w:r>
          </w:p>
        </w:tc>
        <w:tc>
          <w:tcPr>
            <w:tcW w:w="11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2012-13</w:t>
            </w:r>
          </w:p>
        </w:tc>
      </w:tr>
      <w:tr w:rsidR="00D96B91">
        <w:trPr>
          <w:trHeight w:hRule="exact" w:val="407"/>
        </w:trPr>
        <w:tc>
          <w:tcPr>
            <w:tcW w:w="264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496.57</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535.28</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652.74</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829.20</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1,056.03</w:t>
            </w:r>
          </w:p>
        </w:tc>
        <w:tc>
          <w:tcPr>
            <w:tcW w:w="11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1,265.45</w:t>
            </w:r>
          </w:p>
        </w:tc>
      </w:tr>
      <w:tr w:rsidR="00D96B91">
        <w:trPr>
          <w:trHeight w:hRule="exact" w:val="407"/>
        </w:trPr>
        <w:tc>
          <w:tcPr>
            <w:tcW w:w="2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Depreciation</w:t>
            </w:r>
            <w:r>
              <w:rPr>
                <w:rFonts w:ascii="Avenir Next Condensed"/>
                <w:sz w:val="18"/>
              </w:rPr>
              <w:t xml:space="preserve"> adjustment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4"/>
              <w:rPr>
                <w:rFonts w:ascii="Avenir Next Condensed" w:eastAsia="Avenir Next Condensed" w:hAnsi="Avenir Next Condensed" w:cs="Avenir Next Condensed"/>
                <w:sz w:val="18"/>
                <w:szCs w:val="18"/>
              </w:rPr>
            </w:pPr>
            <w:r>
              <w:rPr>
                <w:rFonts w:ascii="Avenir Next Condensed"/>
                <w:sz w:val="18"/>
              </w:rPr>
              <w:t>-1.03</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r>
      <w:tr w:rsidR="00D96B91">
        <w:trPr>
          <w:trHeight w:hRule="exact" w:val="627"/>
        </w:trPr>
        <w:tc>
          <w:tcPr>
            <w:tcW w:w="2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99"/>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r>
              <w:rPr>
                <w:rFonts w:ascii="Avenir Next Condensed"/>
                <w:sz w:val="18"/>
              </w:rPr>
              <w:t xml:space="preserve"> (net of</w:t>
            </w:r>
            <w:r>
              <w:rPr>
                <w:rFonts w:ascii="Avenir Next Condensed"/>
                <w:spacing w:val="4"/>
                <w:sz w:val="18"/>
              </w:rPr>
              <w:t xml:space="preserve"> </w:t>
            </w:r>
            <w:r>
              <w:rPr>
                <w:rFonts w:ascii="Avenir Next Condensed"/>
                <w:sz w:val="18"/>
              </w:rPr>
              <w:t>capital</w:t>
            </w:r>
            <w:r>
              <w:rPr>
                <w:rFonts w:ascii="Avenir Next Condensed"/>
                <w:spacing w:val="21"/>
                <w:sz w:val="18"/>
              </w:rPr>
              <w:t xml:space="preserve"> </w:t>
            </w:r>
            <w:r>
              <w:rPr>
                <w:rFonts w:ascii="Avenir Next Condensed"/>
                <w:sz w:val="18"/>
              </w:rPr>
              <w:t>contributions)*</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33.16</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113.70</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175.71</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216.71</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203.17</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sz w:val="18"/>
              </w:rPr>
              <w:t>108.42</w:t>
            </w:r>
          </w:p>
        </w:tc>
      </w:tr>
      <w:tr w:rsidR="00D96B91">
        <w:trPr>
          <w:trHeight w:hRule="exact" w:val="407"/>
        </w:trPr>
        <w:tc>
          <w:tcPr>
            <w:tcW w:w="2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11.71</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13.67</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16.44</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19.06</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20.41</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21.41</w:t>
            </w:r>
          </w:p>
        </w:tc>
      </w:tr>
      <w:tr w:rsidR="00D96B91">
        <w:trPr>
          <w:trHeight w:hRule="exact" w:val="407"/>
        </w:trPr>
        <w:tc>
          <w:tcPr>
            <w:tcW w:w="2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Asset</w:t>
            </w:r>
            <w:r>
              <w:rPr>
                <w:rFonts w:ascii="Avenir Next Condensed"/>
                <w:sz w:val="18"/>
              </w:rPr>
              <w:t xml:space="preserve"> sales and disposals</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6"/>
              <w:jc w:val="right"/>
              <w:rPr>
                <w:rFonts w:ascii="Avenir Next Condensed" w:eastAsia="Avenir Next Condensed" w:hAnsi="Avenir Next Condensed" w:cs="Avenir Next Condensed"/>
                <w:sz w:val="18"/>
                <w:szCs w:val="18"/>
              </w:rPr>
            </w:pPr>
            <w:r>
              <w:rPr>
                <w:rFonts w:ascii="Avenir Next Condensed"/>
                <w:w w:val="95"/>
                <w:sz w:val="18"/>
              </w:rPr>
              <w:t>-</w:t>
            </w:r>
          </w:p>
        </w:tc>
        <w:tc>
          <w:tcPr>
            <w:tcW w:w="11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11.78</w:t>
            </w:r>
          </w:p>
        </w:tc>
      </w:tr>
      <w:tr w:rsidR="00D96B91">
        <w:trPr>
          <w:trHeight w:hRule="exact" w:val="417"/>
        </w:trPr>
        <w:tc>
          <w:tcPr>
            <w:tcW w:w="264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Indexation</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17.27</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18.46</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17.19</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29.18</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26.65</w:t>
            </w:r>
          </w:p>
        </w:tc>
        <w:tc>
          <w:tcPr>
            <w:tcW w:w="112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32.84</w:t>
            </w:r>
          </w:p>
        </w:tc>
      </w:tr>
      <w:tr w:rsidR="00D96B91">
        <w:trPr>
          <w:trHeight w:hRule="exact" w:val="407"/>
        </w:trPr>
        <w:tc>
          <w:tcPr>
            <w:tcW w:w="264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z w:val="18"/>
              </w:rPr>
              <w:t>Closing value of</w:t>
            </w:r>
            <w:r>
              <w:rPr>
                <w:rFonts w:ascii="Avenir Next Condensed"/>
                <w:b/>
                <w:spacing w:val="4"/>
                <w:sz w:val="18"/>
              </w:rPr>
              <w:t xml:space="preserve"> </w:t>
            </w:r>
            <w:r>
              <w:rPr>
                <w:rFonts w:ascii="Avenir Next Condensed"/>
                <w:b/>
                <w:sz w:val="18"/>
              </w:rPr>
              <w:t>the RAB</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43"/>
              <w:rPr>
                <w:rFonts w:ascii="Avenir Next Condensed" w:eastAsia="Avenir Next Condensed" w:hAnsi="Avenir Next Condensed" w:cs="Avenir Next Condensed"/>
                <w:sz w:val="18"/>
                <w:szCs w:val="18"/>
              </w:rPr>
            </w:pPr>
            <w:r>
              <w:rPr>
                <w:rFonts w:ascii="Avenir Next Condensed"/>
                <w:b/>
                <w:sz w:val="18"/>
              </w:rPr>
              <w:t>535.28</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43"/>
              <w:rPr>
                <w:rFonts w:ascii="Avenir Next Condensed" w:eastAsia="Avenir Next Condensed" w:hAnsi="Avenir Next Condensed" w:cs="Avenir Next Condensed"/>
                <w:sz w:val="18"/>
                <w:szCs w:val="18"/>
              </w:rPr>
            </w:pPr>
            <w:r>
              <w:rPr>
                <w:rFonts w:ascii="Avenir Next Condensed"/>
                <w:b/>
                <w:sz w:val="18"/>
              </w:rPr>
              <w:t>652.74</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43"/>
              <w:rPr>
                <w:rFonts w:ascii="Avenir Next Condensed" w:eastAsia="Avenir Next Condensed" w:hAnsi="Avenir Next Condensed" w:cs="Avenir Next Condensed"/>
                <w:sz w:val="18"/>
                <w:szCs w:val="18"/>
              </w:rPr>
            </w:pPr>
            <w:r>
              <w:rPr>
                <w:rFonts w:ascii="Avenir Next Condensed"/>
                <w:b/>
                <w:sz w:val="18"/>
              </w:rPr>
              <w:t>829.20</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09"/>
              <w:rPr>
                <w:rFonts w:ascii="Avenir Next Condensed" w:eastAsia="Avenir Next Condensed" w:hAnsi="Avenir Next Condensed" w:cs="Avenir Next Condensed"/>
                <w:sz w:val="18"/>
                <w:szCs w:val="18"/>
              </w:rPr>
            </w:pPr>
            <w:r>
              <w:rPr>
                <w:rFonts w:ascii="Avenir Next Condensed"/>
                <w:b/>
                <w:sz w:val="18"/>
              </w:rPr>
              <w:t>1,056.03</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09"/>
              <w:rPr>
                <w:rFonts w:ascii="Avenir Next Condensed" w:eastAsia="Avenir Next Condensed" w:hAnsi="Avenir Next Condensed" w:cs="Avenir Next Condensed"/>
                <w:sz w:val="18"/>
                <w:szCs w:val="18"/>
              </w:rPr>
            </w:pPr>
            <w:r>
              <w:rPr>
                <w:rFonts w:ascii="Avenir Next Condensed"/>
                <w:b/>
                <w:sz w:val="18"/>
              </w:rPr>
              <w:t>1,265.45</w:t>
            </w:r>
          </w:p>
        </w:tc>
        <w:tc>
          <w:tcPr>
            <w:tcW w:w="112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09"/>
              <w:rPr>
                <w:rFonts w:ascii="Avenir Next Condensed" w:eastAsia="Avenir Next Condensed" w:hAnsi="Avenir Next Condensed" w:cs="Avenir Next Condensed"/>
                <w:sz w:val="18"/>
                <w:szCs w:val="18"/>
              </w:rPr>
            </w:pPr>
            <w:r>
              <w:rPr>
                <w:rFonts w:ascii="Avenir Next Condensed"/>
                <w:b/>
                <w:sz w:val="18"/>
              </w:rPr>
              <w:t>1,373.53</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z w:val="16"/>
        </w:rPr>
        <w:t>p102.</w:t>
      </w:r>
    </w:p>
    <w:p w:rsidR="00D96B91" w:rsidRDefault="00C2656B">
      <w:pPr>
        <w:spacing w:before="58"/>
        <w:ind w:left="1247"/>
        <w:rPr>
          <w:rFonts w:ascii="Avenir Next" w:eastAsia="Avenir Next" w:hAnsi="Avenir Next" w:cs="Avenir Next"/>
          <w:sz w:val="16"/>
          <w:szCs w:val="16"/>
        </w:rPr>
      </w:pPr>
      <w:r>
        <w:rPr>
          <w:rFonts w:ascii="Avenir Next" w:eastAsia="Avenir Next" w:hAnsi="Avenir Next" w:cs="Avenir Next"/>
          <w:sz w:val="16"/>
          <w:szCs w:val="16"/>
        </w:rPr>
        <w: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ICRC </w:t>
      </w:r>
      <w:r>
        <w:rPr>
          <w:rFonts w:ascii="Avenir Next" w:eastAsia="Avenir Next" w:hAnsi="Avenir Next" w:cs="Avenir Next"/>
          <w:spacing w:val="-1"/>
          <w:sz w:val="16"/>
          <w:szCs w:val="16"/>
        </w:rPr>
        <w:t>reduced</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actual capital </w:t>
      </w:r>
      <w:r>
        <w:rPr>
          <w:rFonts w:ascii="Avenir Next" w:eastAsia="Avenir Next" w:hAnsi="Avenir Next" w:cs="Avenir Next"/>
          <w:spacing w:val="-1"/>
          <w:sz w:val="16"/>
          <w:szCs w:val="16"/>
        </w:rPr>
        <w:t>expenditure</w:t>
      </w:r>
      <w:r>
        <w:rPr>
          <w:rFonts w:ascii="Avenir Next" w:eastAsia="Avenir Next" w:hAnsi="Avenir Next" w:cs="Avenir Next"/>
          <w:sz w:val="16"/>
          <w:szCs w:val="16"/>
        </w:rPr>
        <w:t xml:space="preserve"> by the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contractor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margin</w:t>
      </w:r>
      <w:r>
        <w:rPr>
          <w:rFonts w:ascii="Avenir Next" w:eastAsia="Avenir Next" w:hAnsi="Avenir Next" w:cs="Avenir Next"/>
          <w:sz w:val="16"/>
          <w:szCs w:val="16"/>
        </w:rPr>
        <w:t xml:space="preserve"> payable to</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ActewAGL.</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74" style="width:72.5pt;height:.5pt;mso-position-horizontal-relative:char;mso-position-vertical-relative:line" coordsize="1450,10">
            <v:group id="_x0000_s3175" style="position:absolute;left:5;top:5;width:1440;height:2" coordorigin="5,5" coordsize="1440,2">
              <v:shape id="_x0000_s3176"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94"/>
        </w:tabs>
        <w:spacing w:before="44" w:line="192" w:lineRule="exact"/>
        <w:ind w:right="1493" w:hanging="510"/>
        <w:rPr>
          <w:rFonts w:ascii="Avenir Next" w:eastAsia="Avenir Next" w:hAnsi="Avenir Next" w:cs="Avenir Next"/>
          <w:sz w:val="16"/>
          <w:szCs w:val="16"/>
        </w:rPr>
      </w:pPr>
      <w:r>
        <w:rPr>
          <w:rFonts w:ascii="Avenir Next" w:eastAsia="Avenir Next" w:hAnsi="Avenir Next" w:cs="Avenir Next"/>
          <w:spacing w:val="-1"/>
          <w:sz w:val="16"/>
          <w:szCs w:val="16"/>
        </w:rPr>
        <w:t xml:space="preserve">This </w:t>
      </w:r>
      <w:r>
        <w:rPr>
          <w:rFonts w:ascii="Avenir Next" w:eastAsia="Avenir Next" w:hAnsi="Avenir Next" w:cs="Avenir Next"/>
          <w:sz w:val="16"/>
          <w:szCs w:val="16"/>
        </w:rPr>
        <w:t xml:space="preserve">adjustment is </w:t>
      </w:r>
      <w:r>
        <w:rPr>
          <w:rFonts w:ascii="Avenir Next" w:eastAsia="Avenir Next" w:hAnsi="Avenir Next" w:cs="Avenir Next"/>
          <w:spacing w:val="-1"/>
          <w:sz w:val="16"/>
          <w:szCs w:val="16"/>
        </w:rPr>
        <w:t>required</w:t>
      </w:r>
      <w:r>
        <w:rPr>
          <w:rFonts w:ascii="Avenir Next" w:eastAsia="Avenir Next" w:hAnsi="Avenir Next" w:cs="Avenir Next"/>
          <w:sz w:val="16"/>
          <w:szCs w:val="16"/>
        </w:rPr>
        <w:t xml:space="preserve"> because a </w:t>
      </w:r>
      <w:r>
        <w:rPr>
          <w:rFonts w:ascii="Avenir Next" w:eastAsia="Avenir Next" w:hAnsi="Avenir Next" w:cs="Avenir Next"/>
          <w:spacing w:val="-1"/>
          <w:sz w:val="16"/>
          <w:szCs w:val="16"/>
        </w:rPr>
        <w:t xml:space="preserve">regulator’s </w:t>
      </w:r>
      <w:r>
        <w:rPr>
          <w:rFonts w:ascii="Avenir Next" w:eastAsia="Avenir Next" w:hAnsi="Avenir Next" w:cs="Avenir Next"/>
          <w:sz w:val="16"/>
          <w:szCs w:val="16"/>
        </w:rPr>
        <w:t>decision on the opening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RAB is usually made in 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final</w:t>
      </w:r>
      <w:r>
        <w:rPr>
          <w:rFonts w:ascii="Avenir Next" w:eastAsia="Avenir Next" w:hAnsi="Avenir Next" w:cs="Avenir Next"/>
          <w:spacing w:val="25"/>
          <w:w w:val="99"/>
          <w:sz w:val="16"/>
          <w:szCs w:val="16"/>
        </w:rPr>
        <w:t xml:space="preserve"> </w:t>
      </w:r>
      <w:r>
        <w:rPr>
          <w:rFonts w:ascii="Avenir Next" w:eastAsia="Avenir Next" w:hAnsi="Avenir Next" w:cs="Avenir Next"/>
          <w:spacing w:val="-1"/>
          <w:sz w:val="16"/>
          <w:szCs w:val="16"/>
        </w:rPr>
        <w:t xml:space="preserve">year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penultimate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regulatory</w:t>
      </w:r>
      <w:r>
        <w:rPr>
          <w:rFonts w:ascii="Avenir Next" w:eastAsia="Avenir Next" w:hAnsi="Avenir Next" w:cs="Avenir Next"/>
          <w:sz w:val="16"/>
          <w:szCs w:val="16"/>
        </w:rPr>
        <w:t xml:space="preserve"> period,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w:t>
      </w:r>
      <w:r>
        <w:rPr>
          <w:rFonts w:ascii="Avenir Next" w:eastAsia="Avenir Next" w:hAnsi="Avenir Next" w:cs="Avenir Next"/>
          <w:spacing w:val="-1"/>
          <w:sz w:val="16"/>
          <w:szCs w:val="16"/>
        </w:rPr>
        <w:t xml:space="preserve"> means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regulator</w:t>
      </w:r>
      <w:r>
        <w:rPr>
          <w:rFonts w:ascii="Avenir Next" w:eastAsia="Avenir Next" w:hAnsi="Avenir Next" w:cs="Avenir Next"/>
          <w:sz w:val="16"/>
          <w:szCs w:val="16"/>
        </w:rPr>
        <w:t xml:space="preserve"> must </w:t>
      </w:r>
      <w:r>
        <w:rPr>
          <w:rFonts w:ascii="Avenir Next" w:eastAsia="Avenir Next" w:hAnsi="Avenir Next" w:cs="Avenir Next"/>
          <w:spacing w:val="-1"/>
          <w:sz w:val="16"/>
          <w:szCs w:val="16"/>
        </w:rPr>
        <w:t xml:space="preserve">rely </w:t>
      </w:r>
      <w:r>
        <w:rPr>
          <w:rFonts w:ascii="Avenir Next" w:eastAsia="Avenir Next" w:hAnsi="Avenir Next" w:cs="Avenir Next"/>
          <w:sz w:val="16"/>
          <w:szCs w:val="16"/>
        </w:rPr>
        <w:t xml:space="preserve">on </w:t>
      </w:r>
      <w:r>
        <w:rPr>
          <w:rFonts w:ascii="Avenir Next" w:eastAsia="Avenir Next" w:hAnsi="Avenir Next" w:cs="Avenir Next"/>
          <w:spacing w:val="-1"/>
          <w:sz w:val="16"/>
          <w:szCs w:val="16"/>
        </w:rPr>
        <w:t>forecasts</w:t>
      </w:r>
      <w:r>
        <w:rPr>
          <w:rFonts w:ascii="Avenir Next" w:eastAsia="Avenir Next" w:hAnsi="Avenir Next" w:cs="Avenir Next"/>
          <w:sz w:val="16"/>
          <w:szCs w:val="16"/>
        </w:rPr>
        <w:t xml:space="preserve"> for this final </w:t>
      </w:r>
      <w:r>
        <w:rPr>
          <w:rFonts w:ascii="Avenir Next" w:eastAsia="Avenir Next" w:hAnsi="Avenir Next" w:cs="Avenir Next"/>
          <w:spacing w:val="-1"/>
          <w:sz w:val="16"/>
          <w:szCs w:val="16"/>
        </w:rPr>
        <w:t>year rather</w:t>
      </w:r>
      <w:r>
        <w:rPr>
          <w:rFonts w:ascii="Avenir Next" w:eastAsia="Avenir Next" w:hAnsi="Avenir Next" w:cs="Avenir Next"/>
          <w:spacing w:val="79"/>
          <w:sz w:val="16"/>
          <w:szCs w:val="16"/>
        </w:rPr>
        <w:t xml:space="preserve"> </w:t>
      </w:r>
      <w:r>
        <w:rPr>
          <w:rFonts w:ascii="Avenir Next" w:eastAsia="Avenir Next" w:hAnsi="Avenir Next" w:cs="Avenir Next"/>
          <w:sz w:val="16"/>
          <w:szCs w:val="16"/>
        </w:rPr>
        <w:t>than</w:t>
      </w:r>
      <w:r>
        <w:rPr>
          <w:rFonts w:ascii="Avenir Next" w:eastAsia="Avenir Next" w:hAnsi="Avenir Next" w:cs="Avenir Next"/>
          <w:spacing w:val="-1"/>
          <w:sz w:val="16"/>
          <w:szCs w:val="16"/>
        </w:rPr>
        <w:t xml:space="preserve"> information</w:t>
      </w:r>
      <w:r>
        <w:rPr>
          <w:rFonts w:ascii="Avenir Next" w:eastAsia="Avenir Next" w:hAnsi="Avenir Next" w:cs="Avenir Next"/>
          <w:sz w:val="16"/>
          <w:szCs w:val="16"/>
        </w:rPr>
        <w:t xml:space="preserve"> on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actual capital</w:t>
      </w:r>
      <w:r>
        <w:rPr>
          <w:rFonts w:ascii="Avenir Next" w:eastAsia="Avenir Next" w:hAnsi="Avenir Next" w:cs="Avenir Next"/>
          <w:spacing w:val="-1"/>
          <w:sz w:val="16"/>
          <w:szCs w:val="16"/>
        </w:rPr>
        <w:t xml:space="preserve"> expenditure</w:t>
      </w:r>
      <w:r>
        <w:rPr>
          <w:rFonts w:ascii="Avenir Next" w:eastAsia="Avenir Next" w:hAnsi="Avenir Next" w:cs="Avenir Next"/>
          <w:sz w:val="16"/>
          <w:szCs w:val="16"/>
        </w:rPr>
        <w:t xml:space="preserve"> and</w:t>
      </w:r>
      <w:r>
        <w:rPr>
          <w:rFonts w:ascii="Avenir Next" w:eastAsia="Avenir Next" w:hAnsi="Avenir Next" w:cs="Avenir Next"/>
          <w:spacing w:val="-1"/>
          <w:sz w:val="16"/>
          <w:szCs w:val="16"/>
        </w:rPr>
        <w:t xml:space="preserve"> inflation.</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9.4: ICRC final decision – Opening value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the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RAB as </w:t>
      </w:r>
      <w:r>
        <w:rPr>
          <w:rFonts w:ascii="Avenir Next" w:eastAsia="Avenir Next" w:hAnsi="Avenir Next" w:cs="Avenir Next"/>
          <w:b/>
          <w:bCs/>
          <w:spacing w:val="-2"/>
          <w:sz w:val="20"/>
          <w:szCs w:val="20"/>
        </w:rPr>
        <w:t>at</w:t>
      </w:r>
      <w:r>
        <w:rPr>
          <w:rFonts w:ascii="Avenir Next" w:eastAsia="Avenir Next" w:hAnsi="Avenir Next" w:cs="Avenir Next"/>
          <w:b/>
          <w:bCs/>
          <w:sz w:val="20"/>
          <w:szCs w:val="20"/>
        </w:rPr>
        <w:t xml:space="preserve"> 1</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July 2013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574"/>
        <w:gridCol w:w="1138"/>
        <w:gridCol w:w="1138"/>
        <w:gridCol w:w="1138"/>
        <w:gridCol w:w="1138"/>
        <w:gridCol w:w="1138"/>
        <w:gridCol w:w="1138"/>
      </w:tblGrid>
      <w:tr w:rsidR="00D96B91">
        <w:trPr>
          <w:trHeight w:hRule="exact" w:val="407"/>
        </w:trPr>
        <w:tc>
          <w:tcPr>
            <w:tcW w:w="257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2007-08</w:t>
            </w:r>
          </w:p>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2008-09</w:t>
            </w:r>
          </w:p>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2009-10</w:t>
            </w:r>
          </w:p>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2010-11</w:t>
            </w:r>
          </w:p>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2011-12</w:t>
            </w:r>
          </w:p>
        </w:tc>
        <w:tc>
          <w:tcPr>
            <w:tcW w:w="11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color w:val="FFFFFF"/>
                <w:sz w:val="18"/>
              </w:rPr>
              <w:t>2012-13</w:t>
            </w:r>
          </w:p>
        </w:tc>
      </w:tr>
      <w:tr w:rsidR="00D96B91">
        <w:trPr>
          <w:trHeight w:hRule="exact" w:val="407"/>
        </w:trPr>
        <w:tc>
          <w:tcPr>
            <w:tcW w:w="257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467.50</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491.45</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558.88</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585.71</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611.42</w:t>
            </w:r>
          </w:p>
        </w:tc>
        <w:tc>
          <w:tcPr>
            <w:tcW w:w="11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0"/>
              <w:rPr>
                <w:rFonts w:ascii="Avenir Next Condensed" w:eastAsia="Avenir Next Condensed" w:hAnsi="Avenir Next Condensed" w:cs="Avenir Next Condensed"/>
                <w:sz w:val="18"/>
                <w:szCs w:val="18"/>
              </w:rPr>
            </w:pPr>
            <w:r>
              <w:rPr>
                <w:rFonts w:ascii="Avenir Next Condensed"/>
                <w:sz w:val="18"/>
              </w:rPr>
              <w:t>635.00</w:t>
            </w:r>
          </w:p>
        </w:tc>
      </w:tr>
      <w:tr w:rsidR="00D96B91">
        <w:trPr>
          <w:trHeight w:hRule="exact" w:val="407"/>
        </w:trPr>
        <w:tc>
          <w:tcPr>
            <w:tcW w:w="25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Depreciation</w:t>
            </w:r>
            <w:r>
              <w:rPr>
                <w:rFonts w:ascii="Avenir Next Condensed"/>
                <w:sz w:val="18"/>
              </w:rPr>
              <w:t xml:space="preserve"> adjustment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r>
      <w:tr w:rsidR="00D96B91">
        <w:trPr>
          <w:trHeight w:hRule="exact" w:val="627"/>
        </w:trPr>
        <w:tc>
          <w:tcPr>
            <w:tcW w:w="25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328"/>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r>
              <w:rPr>
                <w:rFonts w:ascii="Avenir Next Condensed"/>
                <w:sz w:val="18"/>
              </w:rPr>
              <w:t xml:space="preserve"> (net of</w:t>
            </w:r>
            <w:r>
              <w:rPr>
                <w:rFonts w:ascii="Avenir Next Condensed"/>
                <w:spacing w:val="4"/>
                <w:sz w:val="18"/>
              </w:rPr>
              <w:t xml:space="preserve"> </w:t>
            </w:r>
            <w:r>
              <w:rPr>
                <w:rFonts w:ascii="Avenir Next Condensed"/>
                <w:sz w:val="18"/>
              </w:rPr>
              <w:t>capital</w:t>
            </w:r>
            <w:r>
              <w:rPr>
                <w:rFonts w:ascii="Avenir Next Condensed"/>
                <w:spacing w:val="21"/>
                <w:sz w:val="18"/>
              </w:rPr>
              <w:t xml:space="preserve"> </w:t>
            </w:r>
            <w:r>
              <w:rPr>
                <w:rFonts w:ascii="Avenir Next Condensed"/>
                <w:sz w:val="18"/>
              </w:rPr>
              <w:t>contributions)*</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19.94</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64.00</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27.33</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21.58</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24.22</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25.30</w:t>
            </w:r>
          </w:p>
        </w:tc>
      </w:tr>
      <w:tr w:rsidR="00D96B91">
        <w:trPr>
          <w:trHeight w:hRule="exact" w:val="407"/>
        </w:trPr>
        <w:tc>
          <w:tcPr>
            <w:tcW w:w="25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12.06</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12.89</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13.79</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14.43</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15.00</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15.62</w:t>
            </w:r>
          </w:p>
        </w:tc>
      </w:tr>
      <w:tr w:rsidR="00D96B91">
        <w:trPr>
          <w:trHeight w:hRule="exact" w:val="407"/>
        </w:trPr>
        <w:tc>
          <w:tcPr>
            <w:tcW w:w="257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Asset</w:t>
            </w:r>
            <w:r>
              <w:rPr>
                <w:rFonts w:ascii="Avenir Next Condensed"/>
                <w:sz w:val="18"/>
              </w:rPr>
              <w:t xml:space="preserve"> sales and disposals</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1"/>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0"/>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0"/>
              <w:rPr>
                <w:rFonts w:ascii="Avenir Next Condensed" w:eastAsia="Avenir Next Condensed" w:hAnsi="Avenir Next Condensed" w:cs="Avenir Next Condensed"/>
                <w:sz w:val="18"/>
                <w:szCs w:val="18"/>
              </w:rPr>
            </w:pPr>
            <w:r>
              <w:rPr>
                <w:rFonts w:ascii="Avenir Next Condensed"/>
                <w:sz w:val="18"/>
              </w:rPr>
              <w:t>-</w:t>
            </w:r>
          </w:p>
        </w:tc>
        <w:tc>
          <w:tcPr>
            <w:tcW w:w="113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0"/>
              <w:rPr>
                <w:rFonts w:ascii="Avenir Next Condensed" w:eastAsia="Avenir Next Condensed" w:hAnsi="Avenir Next Condensed" w:cs="Avenir Next Condensed"/>
                <w:sz w:val="18"/>
                <w:szCs w:val="18"/>
              </w:rPr>
            </w:pPr>
            <w:r>
              <w:rPr>
                <w:rFonts w:ascii="Avenir Next Condensed"/>
                <w:sz w:val="18"/>
              </w:rPr>
              <w:t>-</w:t>
            </w:r>
          </w:p>
        </w:tc>
      </w:tr>
      <w:tr w:rsidR="00D96B91">
        <w:trPr>
          <w:trHeight w:hRule="exact" w:val="417"/>
        </w:trPr>
        <w:tc>
          <w:tcPr>
            <w:tcW w:w="257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Indexation</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16.07</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16.32</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13.29</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18.57</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14.36</w:t>
            </w:r>
          </w:p>
        </w:tc>
        <w:tc>
          <w:tcPr>
            <w:tcW w:w="11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16.19</w:t>
            </w:r>
          </w:p>
        </w:tc>
      </w:tr>
      <w:tr w:rsidR="00D96B91">
        <w:trPr>
          <w:trHeight w:hRule="exact" w:val="407"/>
        </w:trPr>
        <w:tc>
          <w:tcPr>
            <w:tcW w:w="257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z w:val="18"/>
              </w:rPr>
              <w:t>Closing value of</w:t>
            </w:r>
            <w:r>
              <w:rPr>
                <w:rFonts w:ascii="Avenir Next Condensed"/>
                <w:b/>
                <w:spacing w:val="4"/>
                <w:sz w:val="18"/>
              </w:rPr>
              <w:t xml:space="preserve"> </w:t>
            </w:r>
            <w:r>
              <w:rPr>
                <w:rFonts w:ascii="Avenir Next Condensed"/>
                <w:b/>
                <w:sz w:val="18"/>
              </w:rPr>
              <w:t>the RAB</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491.45</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558.88</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585.71</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611.42</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635.00</w:t>
            </w:r>
          </w:p>
        </w:tc>
        <w:tc>
          <w:tcPr>
            <w:tcW w:w="11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97"/>
              <w:rPr>
                <w:rFonts w:ascii="Avenir Next Condensed" w:eastAsia="Avenir Next Condensed" w:hAnsi="Avenir Next Condensed" w:cs="Avenir Next Condensed"/>
                <w:sz w:val="18"/>
                <w:szCs w:val="18"/>
              </w:rPr>
            </w:pPr>
            <w:r>
              <w:rPr>
                <w:rFonts w:ascii="Avenir Next Condensed"/>
                <w:b/>
                <w:sz w:val="18"/>
              </w:rPr>
              <w:t>660.87</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z w:val="16"/>
        </w:rPr>
        <w:t>p102.</w:t>
      </w:r>
    </w:p>
    <w:p w:rsidR="00D96B91" w:rsidRDefault="00C2656B">
      <w:pPr>
        <w:spacing w:before="58"/>
        <w:ind w:left="1247" w:right="1283"/>
        <w:rPr>
          <w:rFonts w:ascii="Avenir Next" w:eastAsia="Avenir Next" w:hAnsi="Avenir Next" w:cs="Avenir Next"/>
          <w:sz w:val="16"/>
          <w:szCs w:val="16"/>
        </w:rPr>
      </w:pPr>
      <w:r>
        <w:rPr>
          <w:rFonts w:ascii="Avenir Next" w:eastAsia="Avenir Next" w:hAnsi="Avenir Next" w:cs="Avenir Next"/>
          <w:sz w:val="16"/>
          <w:szCs w:val="16"/>
        </w:rPr>
        <w: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ICRC </w:t>
      </w:r>
      <w:r>
        <w:rPr>
          <w:rFonts w:ascii="Avenir Next" w:eastAsia="Avenir Next" w:hAnsi="Avenir Next" w:cs="Avenir Next"/>
          <w:spacing w:val="-1"/>
          <w:sz w:val="16"/>
          <w:szCs w:val="16"/>
        </w:rPr>
        <w:t>reduced</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actual capital </w:t>
      </w:r>
      <w:r>
        <w:rPr>
          <w:rFonts w:ascii="Avenir Next" w:eastAsia="Avenir Next" w:hAnsi="Avenir Next" w:cs="Avenir Next"/>
          <w:spacing w:val="-1"/>
          <w:sz w:val="16"/>
          <w:szCs w:val="16"/>
        </w:rPr>
        <w:t>expenditure</w:t>
      </w:r>
      <w:r>
        <w:rPr>
          <w:rFonts w:ascii="Avenir Next" w:eastAsia="Avenir Next" w:hAnsi="Avenir Next" w:cs="Avenir Next"/>
          <w:sz w:val="16"/>
          <w:szCs w:val="16"/>
        </w:rPr>
        <w:t xml:space="preserve"> by the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margin</w:t>
      </w:r>
      <w:r>
        <w:rPr>
          <w:rFonts w:ascii="Avenir Next" w:eastAsia="Avenir Next" w:hAnsi="Avenir Next" w:cs="Avenir Next"/>
          <w:sz w:val="16"/>
          <w:szCs w:val="16"/>
        </w:rPr>
        <w:t xml:space="preserve"> payable to</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ActewAGL</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 xml:space="preserve">and the </w:t>
      </w:r>
      <w:r>
        <w:rPr>
          <w:rFonts w:ascii="Avenir Next" w:eastAsia="Avenir Next" w:hAnsi="Avenir Next" w:cs="Avenir Next"/>
          <w:spacing w:val="-1"/>
          <w:sz w:val="16"/>
          <w:szCs w:val="16"/>
        </w:rPr>
        <w:t>difference</w:t>
      </w:r>
      <w:r>
        <w:rPr>
          <w:rFonts w:ascii="Avenir Next" w:eastAsia="Avenir Next" w:hAnsi="Avenir Next" w:cs="Avenir Next"/>
          <w:spacing w:val="55"/>
          <w:sz w:val="16"/>
          <w:szCs w:val="16"/>
        </w:rPr>
        <w:t xml:space="preserve"> </w:t>
      </w:r>
      <w:r>
        <w:rPr>
          <w:rFonts w:ascii="Avenir Next" w:eastAsia="Avenir Next" w:hAnsi="Avenir Next" w:cs="Avenir Next"/>
          <w:sz w:val="16"/>
          <w:szCs w:val="16"/>
        </w:rPr>
        <w:t>between the actual costs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constructing the </w:t>
      </w:r>
      <w:r>
        <w:rPr>
          <w:rFonts w:ascii="Avenir Next" w:eastAsia="Avenir Next" w:hAnsi="Avenir Next" w:cs="Avenir Next"/>
          <w:spacing w:val="-1"/>
          <w:sz w:val="16"/>
          <w:szCs w:val="16"/>
        </w:rPr>
        <w:t>Uriarra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Village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plant and the costs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 </w:t>
      </w:r>
      <w:r>
        <w:rPr>
          <w:rFonts w:ascii="Avenir Next" w:eastAsia="Avenir Next" w:hAnsi="Avenir Next" w:cs="Avenir Next"/>
          <w:spacing w:val="-1"/>
          <w:sz w:val="16"/>
          <w:szCs w:val="16"/>
        </w:rPr>
        <w:t>package</w:t>
      </w:r>
      <w:r>
        <w:rPr>
          <w:rFonts w:ascii="Avenir Next" w:eastAsia="Avenir Next" w:hAnsi="Avenir Next" w:cs="Avenir Next"/>
          <w:sz w:val="16"/>
          <w:szCs w:val="16"/>
        </w:rPr>
        <w:t xml:space="preserve"> plant.</w:t>
      </w:r>
    </w:p>
    <w:p w:rsidR="00D96B91" w:rsidRDefault="00D96B91">
      <w:pPr>
        <w:rPr>
          <w:rFonts w:ascii="Avenir Next" w:eastAsia="Avenir Next" w:hAnsi="Avenir Next" w:cs="Avenir Next"/>
          <w:sz w:val="16"/>
          <w:szCs w:val="16"/>
        </w:rPr>
      </w:pPr>
    </w:p>
    <w:p w:rsidR="00D96B91" w:rsidRDefault="00D96B91">
      <w:pPr>
        <w:spacing w:before="6"/>
        <w:rPr>
          <w:rFonts w:ascii="Avenir Next" w:eastAsia="Avenir Next" w:hAnsi="Avenir Next" w:cs="Avenir Next"/>
          <w:sz w:val="16"/>
          <w:szCs w:val="16"/>
        </w:rPr>
      </w:pPr>
    </w:p>
    <w:p w:rsidR="00D96B91" w:rsidRDefault="00C2656B">
      <w:pPr>
        <w:pStyle w:val="Heading6"/>
        <w:numPr>
          <w:ilvl w:val="2"/>
          <w:numId w:val="75"/>
        </w:numPr>
        <w:tabs>
          <w:tab w:val="left" w:pos="2098"/>
        </w:tabs>
        <w:ind w:hanging="850"/>
      </w:pPr>
      <w:r>
        <w:rPr>
          <w:color w:val="0778BE"/>
          <w:spacing w:val="-3"/>
        </w:rPr>
        <w:t>AC</w:t>
      </w:r>
      <w:bookmarkStart w:id="110" w:name="_bookmark64"/>
      <w:bookmarkEnd w:id="110"/>
      <w:r>
        <w:rPr>
          <w:color w:val="0778BE"/>
          <w:spacing w:val="-3"/>
        </w:rPr>
        <w:t>TEW’s</w:t>
      </w:r>
      <w:r>
        <w:rPr>
          <w:color w:val="0778BE"/>
        </w:rPr>
        <w:t xml:space="preserve"> SOFC</w:t>
      </w:r>
    </w:p>
    <w:p w:rsidR="00D96B91" w:rsidRDefault="00C2656B">
      <w:pPr>
        <w:pStyle w:val="BodyText"/>
        <w:spacing w:before="21" w:line="260" w:lineRule="exact"/>
        <w:ind w:right="1256"/>
      </w:pPr>
      <w:r>
        <w:rPr>
          <w:spacing w:val="-2"/>
        </w:rPr>
        <w:t>ACTEW</w:t>
      </w:r>
      <w:r>
        <w:rPr>
          <w:spacing w:val="-4"/>
        </w:rPr>
        <w:t xml:space="preserve"> </w:t>
      </w:r>
      <w:r>
        <w:t>did not</w:t>
      </w:r>
      <w:r>
        <w:rPr>
          <w:spacing w:val="-1"/>
        </w:rPr>
        <w:t xml:space="preserve"> raise</w:t>
      </w:r>
      <w:r>
        <w:t xml:space="preserve"> any specific</w:t>
      </w:r>
      <w:r>
        <w:rPr>
          <w:spacing w:val="-1"/>
        </w:rPr>
        <w:t xml:space="preserve"> </w:t>
      </w:r>
      <w:r>
        <w:t>concerns in</w:t>
      </w:r>
      <w:r>
        <w:rPr>
          <w:spacing w:val="-1"/>
        </w:rPr>
        <w:t xml:space="preserve"> </w:t>
      </w:r>
      <w:r>
        <w:t>its SOFC</w:t>
      </w:r>
      <w:r>
        <w:rPr>
          <w:spacing w:val="-1"/>
        </w:rPr>
        <w:t xml:space="preserve"> </w:t>
      </w:r>
      <w:r>
        <w:t>about the opening</w:t>
      </w:r>
      <w:r>
        <w:rPr>
          <w:spacing w:val="-1"/>
        </w:rPr>
        <w:t xml:space="preserve"> </w:t>
      </w:r>
      <w:r>
        <w:t>values adopted</w:t>
      </w:r>
      <w:r>
        <w:rPr>
          <w:spacing w:val="-1"/>
        </w:rPr>
        <w:t xml:space="preserve"> </w:t>
      </w:r>
      <w:r>
        <w:t>by the ICRC</w:t>
      </w:r>
      <w:r>
        <w:rPr>
          <w:spacing w:val="27"/>
        </w:rPr>
        <w:t xml:space="preserve"> </w:t>
      </w:r>
      <w:r>
        <w:t>in</w:t>
      </w:r>
      <w:r>
        <w:rPr>
          <w:spacing w:val="-1"/>
        </w:rPr>
        <w:t xml:space="preserve"> </w:t>
      </w:r>
      <w:r>
        <w:t>its final decision.</w:t>
      </w:r>
      <w:r>
        <w:rPr>
          <w:spacing w:val="-6"/>
        </w:rPr>
        <w:t xml:space="preserve"> </w:t>
      </w:r>
      <w:r>
        <w:rPr>
          <w:spacing w:val="-2"/>
        </w:rPr>
        <w:t>However,</w:t>
      </w:r>
      <w:r>
        <w:rPr>
          <w:spacing w:val="-7"/>
        </w:rPr>
        <w:t xml:space="preserve"> </w:t>
      </w:r>
      <w:r>
        <w:t>the opening values in</w:t>
      </w:r>
      <w:r>
        <w:rPr>
          <w:spacing w:val="-1"/>
        </w:rPr>
        <w:t xml:space="preserve"> </w:t>
      </w:r>
      <w:r>
        <w:t xml:space="preserve">the </w:t>
      </w:r>
      <w:r>
        <w:rPr>
          <w:spacing w:val="-1"/>
        </w:rPr>
        <w:t>regulatory</w:t>
      </w:r>
      <w:r>
        <w:t xml:space="preserve"> models it</w:t>
      </w:r>
      <w:r>
        <w:rPr>
          <w:spacing w:val="-1"/>
        </w:rPr>
        <w:t xml:space="preserve"> provided</w:t>
      </w:r>
      <w:r>
        <w:t xml:space="preserve"> as </w:t>
      </w:r>
      <w:r>
        <w:rPr>
          <w:spacing w:val="-1"/>
        </w:rPr>
        <w:t>attachments</w:t>
      </w:r>
      <w:r>
        <w:t xml:space="preserve"> to</w:t>
      </w:r>
      <w:r>
        <w:rPr>
          <w:spacing w:val="41"/>
        </w:rPr>
        <w:t xml:space="preserve"> </w:t>
      </w:r>
      <w:r>
        <w:t>its SOFC</w:t>
      </w:r>
      <w:r>
        <w:rPr>
          <w:spacing w:val="1"/>
        </w:rPr>
        <w:t xml:space="preserve"> </w:t>
      </w:r>
      <w:r>
        <w:rPr>
          <w:spacing w:val="-1"/>
        </w:rPr>
        <w:t>were</w:t>
      </w:r>
      <w:r>
        <w:t xml:space="preserve"> </w:t>
      </w:r>
      <w:r>
        <w:rPr>
          <w:b/>
        </w:rPr>
        <w:t>lower</w:t>
      </w:r>
      <w:r>
        <w:rPr>
          <w:b/>
          <w:spacing w:val="1"/>
        </w:rPr>
        <w:t xml:space="preserve"> </w:t>
      </w:r>
      <w:r>
        <w:t>than</w:t>
      </w:r>
      <w:r>
        <w:rPr>
          <w:spacing w:val="1"/>
        </w:rPr>
        <w:t xml:space="preserve"> </w:t>
      </w:r>
      <w:r>
        <w:t>those adopted</w:t>
      </w:r>
      <w:r>
        <w:rPr>
          <w:spacing w:val="1"/>
        </w:rPr>
        <w:t xml:space="preserve"> </w:t>
      </w:r>
      <w:r>
        <w:t>by</w:t>
      </w:r>
      <w:r>
        <w:rPr>
          <w:spacing w:val="1"/>
        </w:rPr>
        <w:t xml:space="preserve"> </w:t>
      </w:r>
      <w:r>
        <w:t xml:space="preserve">the </w:t>
      </w:r>
      <w:r>
        <w:rPr>
          <w:spacing w:val="-1"/>
        </w:rPr>
        <w:t>ICRC.</w:t>
      </w:r>
      <w:r>
        <w:rPr>
          <w:spacing w:val="-1"/>
          <w:position w:val="7"/>
          <w:sz w:val="11"/>
        </w:rPr>
        <w:t>102</w:t>
      </w:r>
      <w:r>
        <w:rPr>
          <w:spacing w:val="18"/>
          <w:position w:val="7"/>
          <w:sz w:val="11"/>
        </w:rPr>
        <w:t xml:space="preserve"> </w:t>
      </w:r>
      <w:r>
        <w:rPr>
          <w:spacing w:val="-2"/>
        </w:rPr>
        <w:t>The</w:t>
      </w:r>
      <w:r>
        <w:rPr>
          <w:spacing w:val="1"/>
        </w:rPr>
        <w:t xml:space="preserve"> </w:t>
      </w:r>
      <w:r>
        <w:rPr>
          <w:spacing w:val="-3"/>
        </w:rPr>
        <w:t>Panel</w:t>
      </w:r>
      <w:r>
        <w:rPr>
          <w:spacing w:val="1"/>
        </w:rPr>
        <w:t xml:space="preserve"> </w:t>
      </w:r>
      <w:r>
        <w:rPr>
          <w:spacing w:val="-1"/>
        </w:rPr>
        <w:t>therefore</w:t>
      </w:r>
      <w:r>
        <w:t xml:space="preserve"> sought</w:t>
      </w:r>
      <w:r>
        <w:rPr>
          <w:spacing w:val="1"/>
        </w:rPr>
        <w:t xml:space="preserve"> </w:t>
      </w:r>
      <w:r>
        <w:rPr>
          <w:spacing w:val="-1"/>
        </w:rPr>
        <w:t>further</w:t>
      </w:r>
      <w:r>
        <w:rPr>
          <w:spacing w:val="1"/>
        </w:rPr>
        <w:t xml:space="preserve"> </w:t>
      </w:r>
      <w:r>
        <w:rPr>
          <w:spacing w:val="-1"/>
        </w:rPr>
        <w:t>information</w:t>
      </w:r>
      <w:r>
        <w:rPr>
          <w:spacing w:val="53"/>
        </w:rPr>
        <w:t xml:space="preserve"> </w:t>
      </w:r>
      <w:r>
        <w:rPr>
          <w:spacing w:val="-1"/>
        </w:rPr>
        <w:t>from</w:t>
      </w:r>
      <w:r>
        <w:rPr>
          <w:spacing w:val="-4"/>
        </w:rPr>
        <w:t xml:space="preserve"> </w:t>
      </w:r>
      <w:r>
        <w:rPr>
          <w:spacing w:val="-2"/>
        </w:rPr>
        <w:t>ACTEW</w:t>
      </w:r>
      <w:r>
        <w:rPr>
          <w:spacing w:val="-3"/>
        </w:rPr>
        <w:t xml:space="preserve"> </w:t>
      </w:r>
      <w:r>
        <w:t xml:space="preserve">on the </w:t>
      </w:r>
      <w:r>
        <w:rPr>
          <w:spacing w:val="-1"/>
        </w:rPr>
        <w:t>source</w:t>
      </w:r>
      <w:r>
        <w:t xml:space="preserve"> of</w:t>
      </w:r>
      <w:r>
        <w:rPr>
          <w:spacing w:val="4"/>
        </w:rPr>
        <w:t xml:space="preserve"> </w:t>
      </w:r>
      <w:r>
        <w:t xml:space="preserve">this </w:t>
      </w:r>
      <w:r>
        <w:rPr>
          <w:spacing w:val="-1"/>
        </w:rPr>
        <w:t>difference.</w:t>
      </w:r>
    </w:p>
    <w:p w:rsidR="00D96B91" w:rsidRDefault="00C2656B">
      <w:pPr>
        <w:pStyle w:val="BodyText"/>
        <w:spacing w:before="178"/>
        <w:rPr>
          <w:sz w:val="11"/>
          <w:szCs w:val="11"/>
        </w:rPr>
      </w:pPr>
      <w:r>
        <w:t xml:space="preserve">In </w:t>
      </w:r>
      <w:r>
        <w:rPr>
          <w:spacing w:val="-1"/>
        </w:rPr>
        <w:t>response,</w:t>
      </w:r>
      <w:r>
        <w:rPr>
          <w:spacing w:val="-10"/>
        </w:rPr>
        <w:t xml:space="preserve"> </w:t>
      </w:r>
      <w:r>
        <w:rPr>
          <w:spacing w:val="-2"/>
        </w:rPr>
        <w:t>ACTEW</w:t>
      </w:r>
      <w:r>
        <w:rPr>
          <w:spacing w:val="-3"/>
        </w:rPr>
        <w:t xml:space="preserve"> </w:t>
      </w:r>
      <w:r>
        <w:rPr>
          <w:spacing w:val="-1"/>
        </w:rPr>
        <w:t>indicated</w:t>
      </w:r>
      <w:r>
        <w:t xml:space="preserve"> </w:t>
      </w:r>
      <w:r>
        <w:rPr>
          <w:spacing w:val="-1"/>
        </w:rPr>
        <w:t>that</w:t>
      </w:r>
      <w:r>
        <w:t xml:space="preserve"> the</w:t>
      </w:r>
      <w:r>
        <w:rPr>
          <w:spacing w:val="1"/>
        </w:rPr>
        <w:t xml:space="preserve"> </w:t>
      </w:r>
      <w:r>
        <w:rPr>
          <w:spacing w:val="-1"/>
        </w:rPr>
        <w:t>difference</w:t>
      </w:r>
      <w:r>
        <w:t xml:space="preserve"> </w:t>
      </w:r>
      <w:r>
        <w:rPr>
          <w:spacing w:val="-1"/>
        </w:rPr>
        <w:t>reflected</w:t>
      </w:r>
      <w:r>
        <w:t xml:space="preserve"> a </w:t>
      </w:r>
      <w:r>
        <w:rPr>
          <w:spacing w:val="-1"/>
        </w:rPr>
        <w:t>range</w:t>
      </w:r>
      <w:r>
        <w:t xml:space="preserve"> of</w:t>
      </w:r>
      <w:r>
        <w:rPr>
          <w:spacing w:val="4"/>
        </w:rPr>
        <w:t xml:space="preserve"> </w:t>
      </w:r>
      <w:r>
        <w:rPr>
          <w:spacing w:val="-1"/>
        </w:rPr>
        <w:t>matters</w:t>
      </w:r>
      <w:r>
        <w:rPr>
          <w:spacing w:val="1"/>
        </w:rPr>
        <w:t xml:space="preserve"> </w:t>
      </w:r>
      <w:r>
        <w:rPr>
          <w:spacing w:val="-1"/>
        </w:rPr>
        <w:t>including:</w:t>
      </w:r>
      <w:r>
        <w:rPr>
          <w:spacing w:val="-1"/>
          <w:position w:val="7"/>
          <w:sz w:val="11"/>
        </w:rPr>
        <w:t>103</w:t>
      </w:r>
    </w:p>
    <w:p w:rsidR="00D96B91" w:rsidRDefault="00C2656B">
      <w:pPr>
        <w:pStyle w:val="BodyText"/>
        <w:numPr>
          <w:ilvl w:val="0"/>
          <w:numId w:val="131"/>
        </w:numPr>
        <w:tabs>
          <w:tab w:val="left" w:pos="1531"/>
        </w:tabs>
        <w:spacing w:before="149" w:line="260" w:lineRule="exact"/>
        <w:ind w:right="1570" w:hanging="283"/>
      </w:pPr>
      <w:r>
        <w:rPr>
          <w:rFonts w:cs="Avenir Next"/>
          <w:spacing w:val="-2"/>
        </w:rPr>
        <w:t>ACTEW’s</w:t>
      </w:r>
      <w:r>
        <w:rPr>
          <w:rFonts w:cs="Avenir Next"/>
        </w:rPr>
        <w:t xml:space="preserve"> decision to </w:t>
      </w:r>
      <w:r>
        <w:rPr>
          <w:rFonts w:cs="Avenir Next"/>
          <w:spacing w:val="-1"/>
        </w:rPr>
        <w:t>exclude</w:t>
      </w:r>
      <w:r>
        <w:rPr>
          <w:rFonts w:cs="Avenir Next"/>
        </w:rPr>
        <w:t xml:space="preserve"> a number of</w:t>
      </w:r>
      <w:r>
        <w:rPr>
          <w:rFonts w:cs="Avenir Next"/>
          <w:spacing w:val="4"/>
        </w:rPr>
        <w:t xml:space="preserve"> </w:t>
      </w:r>
      <w:r>
        <w:rPr>
          <w:rFonts w:cs="Avenir Next"/>
        </w:rPr>
        <w:t>items of</w:t>
      </w:r>
      <w:r>
        <w:rPr>
          <w:rFonts w:cs="Avenir Next"/>
          <w:spacing w:val="4"/>
        </w:rPr>
        <w:t xml:space="preserve"> </w:t>
      </w:r>
      <w:r>
        <w:rPr>
          <w:rFonts w:cs="Avenir Next"/>
        </w:rPr>
        <w:t xml:space="preserve">capital </w:t>
      </w:r>
      <w:r>
        <w:rPr>
          <w:rFonts w:cs="Avenir Next"/>
          <w:spacing w:val="-1"/>
        </w:rPr>
        <w:t>expenditure</w:t>
      </w:r>
      <w:r>
        <w:rPr>
          <w:rFonts w:cs="Avenir Next"/>
        </w:rPr>
        <w:t xml:space="preserve"> </w:t>
      </w:r>
      <w:r>
        <w:rPr>
          <w:rFonts w:cs="Avenir Next"/>
          <w:spacing w:val="-1"/>
        </w:rPr>
        <w:t>from</w:t>
      </w:r>
      <w:r>
        <w:rPr>
          <w:rFonts w:cs="Avenir Next"/>
        </w:rPr>
        <w:t xml:space="preserve"> the opening value</w:t>
      </w:r>
      <w:r>
        <w:rPr>
          <w:rFonts w:cs="Avenir Next"/>
          <w:spacing w:val="30"/>
        </w:rPr>
        <w:t xml:space="preserve"> </w:t>
      </w:r>
      <w:r>
        <w:rPr>
          <w:rFonts w:cs="Avenir Next"/>
        </w:rPr>
        <w:t>of</w:t>
      </w:r>
      <w:r>
        <w:rPr>
          <w:rFonts w:cs="Avenir Next"/>
          <w:spacing w:val="4"/>
        </w:rPr>
        <w:t xml:space="preserve"> </w:t>
      </w:r>
      <w:r>
        <w:rPr>
          <w:rFonts w:cs="Avenir Next"/>
        </w:rPr>
        <w:t xml:space="preserve">the RAB </w:t>
      </w:r>
      <w:r>
        <w:rPr>
          <w:rFonts w:cs="Avenir Next"/>
          <w:spacing w:val="-1"/>
        </w:rPr>
        <w:t>that</w:t>
      </w:r>
      <w:r>
        <w:rPr>
          <w:rFonts w:cs="Avenir Next"/>
        </w:rPr>
        <w:t xml:space="preserve"> the ICRC decided should be </w:t>
      </w:r>
      <w:r>
        <w:rPr>
          <w:rFonts w:cs="Avenir Next"/>
          <w:spacing w:val="-2"/>
        </w:rPr>
        <w:t>treated</w:t>
      </w:r>
      <w:r>
        <w:rPr>
          <w:rFonts w:cs="Avenir Next"/>
        </w:rPr>
        <w:t xml:space="preserve"> as if</w:t>
      </w:r>
      <w:r>
        <w:rPr>
          <w:rFonts w:cs="Avenir Next"/>
          <w:spacing w:val="4"/>
        </w:rPr>
        <w:t xml:space="preserve"> </w:t>
      </w:r>
      <w:r>
        <w:rPr>
          <w:rFonts w:cs="Avenir Next"/>
        </w:rPr>
        <w:t xml:space="preserve">they </w:t>
      </w:r>
      <w:r>
        <w:rPr>
          <w:rFonts w:cs="Avenir Next"/>
          <w:spacing w:val="-1"/>
        </w:rPr>
        <w:t>were</w:t>
      </w:r>
      <w:r>
        <w:rPr>
          <w:rFonts w:cs="Avenir Next"/>
        </w:rPr>
        <w:t xml:space="preserve"> funded </w:t>
      </w:r>
      <w:r>
        <w:rPr>
          <w:rFonts w:cs="Avenir Next"/>
          <w:spacing w:val="-1"/>
        </w:rPr>
        <w:t>through</w:t>
      </w:r>
      <w:r>
        <w:rPr>
          <w:rFonts w:cs="Avenir Next"/>
        </w:rPr>
        <w:t xml:space="preserve"> a </w:t>
      </w:r>
      <w:r>
        <w:rPr>
          <w:rFonts w:cs="Avenir Next"/>
          <w:spacing w:val="-1"/>
        </w:rPr>
        <w:t>Community</w:t>
      </w:r>
      <w:r>
        <w:rPr>
          <w:rFonts w:cs="Avenir Next"/>
          <w:spacing w:val="33"/>
        </w:rPr>
        <w:t xml:space="preserve"> </w:t>
      </w:r>
      <w:r>
        <w:t xml:space="preserve">Service </w:t>
      </w:r>
      <w:r>
        <w:rPr>
          <w:spacing w:val="-1"/>
        </w:rPr>
        <w:t>Obligation</w:t>
      </w:r>
      <w:r>
        <w:t xml:space="preserve"> (CSO) (ie,</w:t>
      </w:r>
      <w:r>
        <w:rPr>
          <w:spacing w:val="-6"/>
        </w:rPr>
        <w:t xml:space="preserve"> </w:t>
      </w:r>
      <w:r>
        <w:t xml:space="preserve">the </w:t>
      </w:r>
      <w:r>
        <w:rPr>
          <w:spacing w:val="-1"/>
        </w:rPr>
        <w:t>Cotter</w:t>
      </w:r>
      <w:r>
        <w:t xml:space="preserve"> Dam Discovery</w:t>
      </w:r>
      <w:r>
        <w:rPr>
          <w:spacing w:val="-5"/>
        </w:rPr>
        <w:t xml:space="preserve"> </w:t>
      </w:r>
      <w:r>
        <w:rPr>
          <w:spacing w:val="-4"/>
        </w:rPr>
        <w:t>Trail,</w:t>
      </w:r>
      <w:r>
        <w:rPr>
          <w:spacing w:val="-6"/>
        </w:rPr>
        <w:t xml:space="preserve"> </w:t>
      </w:r>
      <w:r>
        <w:t xml:space="preserve">the </w:t>
      </w:r>
      <w:r>
        <w:rPr>
          <w:spacing w:val="-1"/>
        </w:rPr>
        <w:t>Uriarra</w:t>
      </w:r>
      <w:r>
        <w:rPr>
          <w:spacing w:val="-4"/>
        </w:rPr>
        <w:t xml:space="preserve"> </w:t>
      </w:r>
      <w:r>
        <w:rPr>
          <w:spacing w:val="-1"/>
        </w:rPr>
        <w:t>Village</w:t>
      </w:r>
      <w:r>
        <w:t xml:space="preserve"> </w:t>
      </w:r>
      <w:r>
        <w:rPr>
          <w:spacing w:val="-1"/>
        </w:rPr>
        <w:t>sewerage</w:t>
      </w:r>
      <w:r>
        <w:t xml:space="preserve"> </w:t>
      </w:r>
      <w:r>
        <w:rPr>
          <w:spacing w:val="-1"/>
        </w:rPr>
        <w:t>project</w:t>
      </w:r>
      <w:r>
        <w:rPr>
          <w:spacing w:val="53"/>
        </w:rPr>
        <w:t xml:space="preserve"> </w:t>
      </w:r>
      <w:r>
        <w:t xml:space="preserve">and </w:t>
      </w:r>
      <w:r>
        <w:rPr>
          <w:spacing w:val="-1"/>
        </w:rPr>
        <w:t>abatement</w:t>
      </w:r>
      <w:r>
        <w:t xml:space="preserve"> activities).</w:t>
      </w:r>
    </w:p>
    <w:p w:rsidR="00D96B91" w:rsidRDefault="00C2656B">
      <w:pPr>
        <w:pStyle w:val="BodyText"/>
        <w:numPr>
          <w:ilvl w:val="0"/>
          <w:numId w:val="131"/>
        </w:numPr>
        <w:tabs>
          <w:tab w:val="left" w:pos="1531"/>
        </w:tabs>
        <w:spacing w:before="85" w:line="260" w:lineRule="exact"/>
        <w:ind w:right="1301" w:hanging="283"/>
        <w:rPr>
          <w:rFonts w:cs="Avenir Next"/>
        </w:rPr>
      </w:pPr>
      <w:r>
        <w:rPr>
          <w:spacing w:val="-1"/>
        </w:rPr>
        <w:t>Differences</w:t>
      </w:r>
      <w:r>
        <w:t xml:space="preserve"> in the assumed level of</w:t>
      </w:r>
      <w:r>
        <w:rPr>
          <w:spacing w:val="4"/>
        </w:rPr>
        <w:t xml:space="preserve"> </w:t>
      </w:r>
      <w:r>
        <w:rPr>
          <w:spacing w:val="-1"/>
        </w:rPr>
        <w:t>expenditure</w:t>
      </w:r>
      <w:r>
        <w:t xml:space="preserve"> on the </w:t>
      </w:r>
      <w:r>
        <w:rPr>
          <w:spacing w:val="-1"/>
        </w:rPr>
        <w:t>Uriarra</w:t>
      </w:r>
      <w:r>
        <w:rPr>
          <w:spacing w:val="-4"/>
        </w:rPr>
        <w:t xml:space="preserve"> </w:t>
      </w:r>
      <w:r>
        <w:rPr>
          <w:spacing w:val="-1"/>
        </w:rPr>
        <w:t>Village</w:t>
      </w:r>
      <w:r>
        <w:t xml:space="preserve"> </w:t>
      </w:r>
      <w:r>
        <w:rPr>
          <w:spacing w:val="-1"/>
        </w:rPr>
        <w:t>Sewerage</w:t>
      </w:r>
      <w:r>
        <w:t xml:space="preserve"> </w:t>
      </w:r>
      <w:r>
        <w:rPr>
          <w:spacing w:val="-1"/>
        </w:rPr>
        <w:t>System,</w:t>
      </w:r>
      <w:r>
        <w:rPr>
          <w:spacing w:val="-6"/>
        </w:rPr>
        <w:t xml:space="preserve"> </w:t>
      </w:r>
      <w:r>
        <w:t>which have</w:t>
      </w:r>
      <w:r>
        <w:rPr>
          <w:spacing w:val="49"/>
        </w:rPr>
        <w:t xml:space="preserve"> </w:t>
      </w:r>
      <w:r>
        <w:t xml:space="preserve">arisen as a </w:t>
      </w:r>
      <w:r>
        <w:rPr>
          <w:spacing w:val="-1"/>
        </w:rPr>
        <w:t>result</w:t>
      </w:r>
      <w:r>
        <w:t xml:space="preserve"> of</w:t>
      </w:r>
      <w:r>
        <w:rPr>
          <w:spacing w:val="4"/>
        </w:rPr>
        <w:t xml:space="preserve"> </w:t>
      </w:r>
      <w:r>
        <w:t>the following:</w:t>
      </w:r>
    </w:p>
    <w:p w:rsidR="00D96B91" w:rsidRDefault="00C2656B">
      <w:pPr>
        <w:pStyle w:val="BodyText"/>
        <w:numPr>
          <w:ilvl w:val="1"/>
          <w:numId w:val="131"/>
        </w:numPr>
        <w:tabs>
          <w:tab w:val="left" w:pos="1815"/>
        </w:tabs>
        <w:spacing w:before="85" w:line="260" w:lineRule="exact"/>
        <w:ind w:right="2089"/>
      </w:pPr>
      <w:r>
        <w:rPr>
          <w:spacing w:val="-2"/>
        </w:rPr>
        <w:t>ACTEW</w:t>
      </w:r>
      <w:r>
        <w:rPr>
          <w:spacing w:val="-3"/>
        </w:rPr>
        <w:t xml:space="preserve"> </w:t>
      </w:r>
      <w:r>
        <w:rPr>
          <w:spacing w:val="-1"/>
        </w:rPr>
        <w:t>excluded</w:t>
      </w:r>
      <w:r>
        <w:t xml:space="preserve"> $0.46 million of</w:t>
      </w:r>
      <w:r>
        <w:rPr>
          <w:spacing w:val="4"/>
        </w:rPr>
        <w:t xml:space="preserve"> </w:t>
      </w:r>
      <w:r>
        <w:rPr>
          <w:spacing w:val="-1"/>
        </w:rPr>
        <w:t>expenditure</w:t>
      </w:r>
      <w:r>
        <w:t xml:space="preserve"> on the </w:t>
      </w:r>
      <w:r>
        <w:rPr>
          <w:spacing w:val="-1"/>
        </w:rPr>
        <w:t>Uriarra</w:t>
      </w:r>
      <w:r>
        <w:t xml:space="preserve"> </w:t>
      </w:r>
      <w:r>
        <w:rPr>
          <w:spacing w:val="-3"/>
        </w:rPr>
        <w:t>Pressure</w:t>
      </w:r>
      <w:r>
        <w:t xml:space="preserve"> </w:t>
      </w:r>
      <w:r>
        <w:rPr>
          <w:spacing w:val="-1"/>
        </w:rPr>
        <w:t>Sewerage</w:t>
      </w:r>
      <w:r>
        <w:t xml:space="preserve"> </w:t>
      </w:r>
      <w:r>
        <w:rPr>
          <w:spacing w:val="-1"/>
        </w:rPr>
        <w:t>System</w:t>
      </w:r>
      <w:r>
        <w:rPr>
          <w:spacing w:val="63"/>
        </w:rPr>
        <w:t xml:space="preserve"> </w:t>
      </w:r>
      <w:r>
        <w:rPr>
          <w:spacing w:val="-1"/>
        </w:rPr>
        <w:t xml:space="preserve">rectification works that </w:t>
      </w:r>
      <w:r>
        <w:t>the</w:t>
      </w:r>
      <w:r>
        <w:rPr>
          <w:spacing w:val="-1"/>
        </w:rPr>
        <w:t xml:space="preserve"> </w:t>
      </w:r>
      <w:r>
        <w:t>ICRC</w:t>
      </w:r>
      <w:r>
        <w:rPr>
          <w:spacing w:val="-1"/>
        </w:rPr>
        <w:t xml:space="preserve"> </w:t>
      </w:r>
      <w:r>
        <w:t>did</w:t>
      </w:r>
      <w:r>
        <w:rPr>
          <w:spacing w:val="-1"/>
        </w:rPr>
        <w:t xml:space="preserve"> </w:t>
      </w:r>
      <w:r>
        <w:t>not,</w:t>
      </w:r>
      <w:r>
        <w:rPr>
          <w:spacing w:val="-8"/>
        </w:rPr>
        <w:t xml:space="preserve"> </w:t>
      </w:r>
      <w:r>
        <w:t>and</w:t>
      </w:r>
    </w:p>
    <w:p w:rsidR="00D96B91" w:rsidRDefault="00C2656B">
      <w:pPr>
        <w:pStyle w:val="BodyText"/>
        <w:numPr>
          <w:ilvl w:val="1"/>
          <w:numId w:val="131"/>
        </w:numPr>
        <w:tabs>
          <w:tab w:val="left" w:pos="1815"/>
        </w:tabs>
        <w:spacing w:before="85" w:line="260" w:lineRule="exact"/>
        <w:ind w:right="1289"/>
        <w:jc w:val="both"/>
      </w:pPr>
      <w:r>
        <w:rPr>
          <w:spacing w:val="-2"/>
        </w:rPr>
        <w:t>ACTEW</w:t>
      </w:r>
      <w:r>
        <w:rPr>
          <w:spacing w:val="-4"/>
        </w:rPr>
        <w:t xml:space="preserve"> </w:t>
      </w:r>
      <w:r>
        <w:t xml:space="preserve">assumed </w:t>
      </w:r>
      <w:r>
        <w:rPr>
          <w:spacing w:val="-1"/>
        </w:rPr>
        <w:t xml:space="preserve">that </w:t>
      </w:r>
      <w:r>
        <w:t>the prudent and</w:t>
      </w:r>
      <w:r>
        <w:rPr>
          <w:spacing w:val="-1"/>
        </w:rPr>
        <w:t xml:space="preserve"> efficient</w:t>
      </w:r>
      <w:r>
        <w:t xml:space="preserve"> costs of</w:t>
      </w:r>
      <w:r>
        <w:rPr>
          <w:spacing w:val="3"/>
        </w:rPr>
        <w:t xml:space="preserve"> </w:t>
      </w:r>
      <w:r>
        <w:t xml:space="preserve">a </w:t>
      </w:r>
      <w:r>
        <w:rPr>
          <w:spacing w:val="-1"/>
        </w:rPr>
        <w:t>package</w:t>
      </w:r>
      <w:r>
        <w:t xml:space="preserve"> plant</w:t>
      </w:r>
      <w:r>
        <w:rPr>
          <w:spacing w:val="-1"/>
        </w:rPr>
        <w:t xml:space="preserve"> were</w:t>
      </w:r>
      <w:r>
        <w:t xml:space="preserve"> $3.4</w:t>
      </w:r>
      <w:r>
        <w:rPr>
          <w:spacing w:val="-1"/>
        </w:rPr>
        <w:t xml:space="preserve"> </w:t>
      </w:r>
      <w:r>
        <w:t>million,</w:t>
      </w:r>
      <w:r>
        <w:rPr>
          <w:spacing w:val="-6"/>
        </w:rPr>
        <w:t xml:space="preserve"> </w:t>
      </w:r>
      <w:r>
        <w:t>based</w:t>
      </w:r>
      <w:r>
        <w:rPr>
          <w:spacing w:val="33"/>
        </w:rPr>
        <w:t xml:space="preserve"> </w:t>
      </w:r>
      <w:r>
        <w:t>on</w:t>
      </w:r>
      <w:r>
        <w:rPr>
          <w:spacing w:val="-1"/>
        </w:rPr>
        <w:t xml:space="preserve"> information</w:t>
      </w:r>
      <w:r>
        <w:t xml:space="preserve"> contained in the</w:t>
      </w:r>
      <w:r>
        <w:rPr>
          <w:spacing w:val="-1"/>
        </w:rPr>
        <w:t xml:space="preserve"> </w:t>
      </w:r>
      <w:r>
        <w:rPr>
          <w:spacing w:val="-2"/>
        </w:rPr>
        <w:t>ICRC’s</w:t>
      </w:r>
      <w:r>
        <w:t xml:space="preserve"> </w:t>
      </w:r>
      <w:r>
        <w:rPr>
          <w:spacing w:val="-2"/>
        </w:rPr>
        <w:t>draft</w:t>
      </w:r>
      <w:r>
        <w:t xml:space="preserve"> and final</w:t>
      </w:r>
      <w:r>
        <w:rPr>
          <w:spacing w:val="-1"/>
        </w:rPr>
        <w:t xml:space="preserve"> reports,</w:t>
      </w:r>
      <w:r>
        <w:rPr>
          <w:spacing w:val="-6"/>
        </w:rPr>
        <w:t xml:space="preserve"> </w:t>
      </w:r>
      <w:r>
        <w:t>which was $0.5 million</w:t>
      </w:r>
      <w:r>
        <w:rPr>
          <w:spacing w:val="-1"/>
        </w:rPr>
        <w:t xml:space="preserve"> </w:t>
      </w:r>
      <w:r>
        <w:t>higher than</w:t>
      </w:r>
      <w:r>
        <w:rPr>
          <w:spacing w:val="33"/>
        </w:rPr>
        <w:t xml:space="preserve"> </w:t>
      </w:r>
      <w:r>
        <w:t xml:space="preserve">the value assumed in the </w:t>
      </w:r>
      <w:r>
        <w:rPr>
          <w:spacing w:val="-2"/>
        </w:rPr>
        <w:t>ICRC’s</w:t>
      </w:r>
      <w:r>
        <w:t xml:space="preserve"> pricing model.</w:t>
      </w:r>
    </w:p>
    <w:p w:rsidR="00D96B91" w:rsidRDefault="00C2656B">
      <w:pPr>
        <w:pStyle w:val="BodyText"/>
        <w:numPr>
          <w:ilvl w:val="0"/>
          <w:numId w:val="131"/>
        </w:numPr>
        <w:tabs>
          <w:tab w:val="left" w:pos="1531"/>
        </w:tabs>
        <w:spacing w:before="85" w:line="260" w:lineRule="exact"/>
        <w:ind w:right="1406" w:hanging="283"/>
      </w:pPr>
      <w:r>
        <w:rPr>
          <w:spacing w:val="-2"/>
        </w:rPr>
        <w:t>ACTEW</w:t>
      </w:r>
      <w:r>
        <w:rPr>
          <w:spacing w:val="-3"/>
        </w:rPr>
        <w:t xml:space="preserve"> </w:t>
      </w:r>
      <w:r>
        <w:t>and</w:t>
      </w:r>
      <w:r>
        <w:rPr>
          <w:spacing w:val="1"/>
        </w:rPr>
        <w:t xml:space="preserve"> </w:t>
      </w:r>
      <w:r>
        <w:t>the ICRC</w:t>
      </w:r>
      <w:r>
        <w:rPr>
          <w:spacing w:val="1"/>
        </w:rPr>
        <w:t xml:space="preserve"> </w:t>
      </w:r>
      <w:r>
        <w:t xml:space="preserve">used </w:t>
      </w:r>
      <w:r>
        <w:rPr>
          <w:spacing w:val="-1"/>
        </w:rPr>
        <w:t>different</w:t>
      </w:r>
      <w:r>
        <w:rPr>
          <w:spacing w:val="1"/>
        </w:rPr>
        <w:t xml:space="preserve"> </w:t>
      </w:r>
      <w:r>
        <w:t>values for</w:t>
      </w:r>
      <w:r>
        <w:rPr>
          <w:spacing w:val="1"/>
        </w:rPr>
        <w:t xml:space="preserve"> </w:t>
      </w:r>
      <w:r>
        <w:rPr>
          <w:spacing w:val="-1"/>
        </w:rPr>
        <w:t>forecast</w:t>
      </w:r>
      <w:r>
        <w:t xml:space="preserve"> </w:t>
      </w:r>
      <w:r>
        <w:rPr>
          <w:spacing w:val="-1"/>
        </w:rPr>
        <w:t>inflation</w:t>
      </w:r>
      <w:r>
        <w:rPr>
          <w:spacing w:val="1"/>
        </w:rPr>
        <w:t xml:space="preserve"> </w:t>
      </w:r>
      <w:r>
        <w:t>in 2012-13</w:t>
      </w:r>
      <w:r>
        <w:rPr>
          <w:spacing w:val="1"/>
        </w:rPr>
        <w:t xml:space="preserve"> </w:t>
      </w:r>
      <w:r>
        <w:t>(3% versus</w:t>
      </w:r>
      <w:r>
        <w:rPr>
          <w:spacing w:val="1"/>
        </w:rPr>
        <w:t xml:space="preserve"> </w:t>
      </w:r>
      <w:r>
        <w:t>2.5%)</w:t>
      </w:r>
      <w:r>
        <w:rPr>
          <w:position w:val="7"/>
          <w:sz w:val="11"/>
        </w:rPr>
        <w:t>104</w:t>
      </w:r>
      <w:r>
        <w:rPr>
          <w:spacing w:val="23"/>
          <w:position w:val="7"/>
          <w:sz w:val="11"/>
        </w:rPr>
        <w:t xml:space="preserve"> </w:t>
      </w:r>
      <w:r>
        <w:t>and</w:t>
      </w:r>
      <w:r>
        <w:rPr>
          <w:spacing w:val="33"/>
        </w:rPr>
        <w:t xml:space="preserve"> </w:t>
      </w:r>
      <w:r>
        <w:t>actual</w:t>
      </w:r>
      <w:r>
        <w:rPr>
          <w:spacing w:val="-1"/>
        </w:rPr>
        <w:t xml:space="preserve"> inflation </w:t>
      </w:r>
      <w:r>
        <w:t>in 2006-07</w:t>
      </w:r>
      <w:r>
        <w:rPr>
          <w:spacing w:val="-1"/>
        </w:rPr>
        <w:t xml:space="preserve"> </w:t>
      </w:r>
      <w:r>
        <w:t>(2.9%</w:t>
      </w:r>
      <w:r>
        <w:rPr>
          <w:spacing w:val="-1"/>
        </w:rPr>
        <w:t xml:space="preserve"> </w:t>
      </w:r>
      <w:r>
        <w:t>versus 2.96%).</w:t>
      </w:r>
    </w:p>
    <w:p w:rsidR="00D96B91" w:rsidRDefault="00C2656B">
      <w:pPr>
        <w:pStyle w:val="BodyText"/>
        <w:numPr>
          <w:ilvl w:val="0"/>
          <w:numId w:val="131"/>
        </w:numPr>
        <w:tabs>
          <w:tab w:val="left" w:pos="1531"/>
        </w:tabs>
        <w:spacing w:before="85" w:line="260" w:lineRule="exact"/>
        <w:ind w:right="1769" w:hanging="283"/>
      </w:pPr>
      <w:r>
        <w:rPr>
          <w:spacing w:val="-2"/>
        </w:rPr>
        <w:t>ACTEW</w:t>
      </w:r>
      <w:r>
        <w:rPr>
          <w:spacing w:val="-3"/>
        </w:rPr>
        <w:t xml:space="preserve"> </w:t>
      </w:r>
      <w:r>
        <w:t>accounted for the time value of</w:t>
      </w:r>
      <w:r>
        <w:rPr>
          <w:spacing w:val="4"/>
        </w:rPr>
        <w:t xml:space="preserve"> </w:t>
      </w:r>
      <w:r>
        <w:t xml:space="preserve">money when accounting for the </w:t>
      </w:r>
      <w:r>
        <w:rPr>
          <w:spacing w:val="-1"/>
        </w:rPr>
        <w:t>difference</w:t>
      </w:r>
      <w:r>
        <w:t xml:space="preserve"> between its</w:t>
      </w:r>
      <w:r>
        <w:rPr>
          <w:spacing w:val="27"/>
        </w:rPr>
        <w:t xml:space="preserve"> </w:t>
      </w:r>
      <w:r>
        <w:t xml:space="preserve">actual and </w:t>
      </w:r>
      <w:r>
        <w:rPr>
          <w:spacing w:val="-1"/>
        </w:rPr>
        <w:t>forecast</w:t>
      </w:r>
      <w:r>
        <w:t xml:space="preserve"> capital </w:t>
      </w:r>
      <w:r>
        <w:rPr>
          <w:spacing w:val="-1"/>
        </w:rPr>
        <w:t>expenditure</w:t>
      </w:r>
      <w:r>
        <w:t xml:space="preserve"> in 2007-08.</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71" style="width:72.5pt;height:.5pt;mso-position-horizontal-relative:char;mso-position-vertical-relative:line" coordsize="1450,10">
            <v:group id="_x0000_s3172" style="position:absolute;left:5;top:5;width:1440;height:2" coordorigin="5,5" coordsize="1440,2">
              <v:shape id="_x0000_s3173"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45" w:line="192" w:lineRule="exact"/>
        <w:ind w:right="1570"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opening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RAB in</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A1 to</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SOFC was $1.34 billion,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 is $30.5 million</w:t>
      </w:r>
      <w:r>
        <w:rPr>
          <w:rFonts w:ascii="Avenir Next" w:eastAsia="Avenir Next" w:hAnsi="Avenir Next" w:cs="Avenir Next"/>
          <w:spacing w:val="31"/>
          <w:sz w:val="16"/>
          <w:szCs w:val="16"/>
        </w:rPr>
        <w:t xml:space="preserve"> </w:t>
      </w:r>
      <w:r>
        <w:rPr>
          <w:rFonts w:ascii="Avenir Next" w:eastAsia="Avenir Next" w:hAnsi="Avenir Next" w:cs="Avenir Next"/>
          <w:sz w:val="16"/>
          <w:szCs w:val="16"/>
        </w:rPr>
        <w:t xml:space="preserve">lower than 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value,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while the opening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RAB in</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A2 was $656 million,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 is</w:t>
      </w:r>
    </w:p>
    <w:p w:rsidR="00D96B91" w:rsidRDefault="00C2656B">
      <w:pPr>
        <w:spacing w:line="192" w:lineRule="exact"/>
        <w:ind w:left="1757" w:right="1548"/>
        <w:rPr>
          <w:rFonts w:ascii="Avenir Next" w:eastAsia="Avenir Next" w:hAnsi="Avenir Next" w:cs="Avenir Next"/>
          <w:sz w:val="16"/>
          <w:szCs w:val="16"/>
        </w:rPr>
      </w:pPr>
      <w:r>
        <w:rPr>
          <w:rFonts w:ascii="Avenir Next" w:eastAsia="Avenir Next" w:hAnsi="Avenir Next" w:cs="Avenir Next"/>
          <w:sz w:val="16"/>
          <w:szCs w:val="16"/>
        </w:rPr>
        <w:t xml:space="preserve">$4.7 million lower than 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value.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See</w:t>
      </w:r>
      <w:r>
        <w:rPr>
          <w:rFonts w:ascii="Avenir Next" w:eastAsia="Avenir Next" w:hAnsi="Avenir Next" w:cs="Avenir Next"/>
          <w:spacing w:val="-3"/>
          <w:sz w:val="16"/>
          <w:szCs w:val="16"/>
        </w:rPr>
        <w:t xml:space="preserve"> ACTEW,</w:t>
      </w:r>
      <w:r>
        <w:rPr>
          <w:rFonts w:ascii="Avenir Next" w:eastAsia="Avenir Next" w:hAnsi="Avenir Next" w:cs="Avenir Next"/>
          <w:spacing w:val="-8"/>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A1 </w:t>
      </w:r>
      <w:r>
        <w:rPr>
          <w:rFonts w:ascii="Avenir Next" w:eastAsia="Avenir Next" w:hAnsi="Avenir Next" w:cs="Avenir Next"/>
          <w:spacing w:val="-1"/>
          <w:sz w:val="16"/>
          <w:szCs w:val="16"/>
        </w:rPr>
        <w:t>PTRM</w:t>
      </w:r>
      <w:r>
        <w:rPr>
          <w:rFonts w:ascii="Avenir Next" w:eastAsia="Avenir Next" w:hAnsi="Avenir Next" w:cs="Avenir Next"/>
          <w:sz w:val="16"/>
          <w:szCs w:val="16"/>
        </w:rPr>
        <w:t xml:space="preserve"> FY14-FY18</w:t>
      </w:r>
      <w:r>
        <w:rPr>
          <w:rFonts w:ascii="Avenir Next" w:eastAsia="Avenir Next" w:hAnsi="Avenir Next" w:cs="Avenir Next"/>
          <w:spacing w:val="-2"/>
          <w:sz w:val="16"/>
          <w:szCs w:val="16"/>
        </w:rPr>
        <w:t xml:space="preserve"> Water.xlsm</w:t>
      </w:r>
      <w:r>
        <w:rPr>
          <w:rFonts w:ascii="Avenir Next" w:eastAsia="Avenir Next" w:hAnsi="Avenir Next" w:cs="Avenir Next"/>
          <w:sz w:val="16"/>
          <w:szCs w:val="16"/>
        </w:rPr>
        <w:t xml:space="preserve"> and</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A2</w:t>
      </w:r>
      <w:r>
        <w:rPr>
          <w:rFonts w:ascii="Avenir Next" w:eastAsia="Avenir Next" w:hAnsi="Avenir Next" w:cs="Avenir Next"/>
          <w:spacing w:val="61"/>
          <w:sz w:val="16"/>
          <w:szCs w:val="16"/>
        </w:rPr>
        <w:t xml:space="preserve"> </w:t>
      </w:r>
      <w:r>
        <w:rPr>
          <w:rFonts w:ascii="Avenir Next" w:eastAsia="Avenir Next" w:hAnsi="Avenir Next" w:cs="Avenir Next"/>
          <w:spacing w:val="-1"/>
          <w:sz w:val="16"/>
          <w:szCs w:val="16"/>
        </w:rPr>
        <w:t>PTRM</w:t>
      </w:r>
      <w:r>
        <w:rPr>
          <w:rFonts w:ascii="Avenir Next" w:eastAsia="Avenir Next" w:hAnsi="Avenir Next" w:cs="Avenir Next"/>
          <w:sz w:val="16"/>
          <w:szCs w:val="16"/>
        </w:rPr>
        <w:t xml:space="preserve"> FY14-FY18 </w:t>
      </w:r>
      <w:r>
        <w:rPr>
          <w:rFonts w:ascii="Avenir Next" w:eastAsia="Avenir Next" w:hAnsi="Avenir Next" w:cs="Avenir Next"/>
          <w:spacing w:val="-1"/>
          <w:sz w:val="16"/>
          <w:szCs w:val="16"/>
        </w:rPr>
        <w:t>Sewerage.xlsm.</w:t>
      </w:r>
    </w:p>
    <w:p w:rsidR="00D96B91" w:rsidRDefault="00C2656B">
      <w:pPr>
        <w:numPr>
          <w:ilvl w:val="0"/>
          <w:numId w:val="76"/>
        </w:numPr>
        <w:tabs>
          <w:tab w:val="left" w:pos="1758"/>
        </w:tabs>
        <w:spacing w:before="14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Responses</w:t>
      </w:r>
      <w:r>
        <w:rPr>
          <w:rFonts w:ascii="Avenir Next"/>
          <w:sz w:val="16"/>
        </w:rPr>
        <w:t xml:space="preserve"> to questions,</w:t>
      </w:r>
      <w:r>
        <w:rPr>
          <w:rFonts w:ascii="Avenir Next"/>
          <w:spacing w:val="-5"/>
          <w:sz w:val="16"/>
        </w:rPr>
        <w:t xml:space="preserve"> </w:t>
      </w:r>
      <w:r>
        <w:rPr>
          <w:rFonts w:ascii="Avenir Next"/>
          <w:sz w:val="16"/>
        </w:rPr>
        <w:t>31</w:t>
      </w:r>
      <w:r>
        <w:rPr>
          <w:rFonts w:ascii="Avenir Next"/>
          <w:spacing w:val="-3"/>
          <w:sz w:val="16"/>
        </w:rPr>
        <w:t xml:space="preserve"> </w:t>
      </w:r>
      <w:r>
        <w:rPr>
          <w:rFonts w:ascii="Avenir Next"/>
          <w:sz w:val="16"/>
        </w:rPr>
        <w:t>August 2014.</w:t>
      </w:r>
    </w:p>
    <w:p w:rsidR="00D96B91" w:rsidRDefault="00C2656B">
      <w:pPr>
        <w:numPr>
          <w:ilvl w:val="0"/>
          <w:numId w:val="76"/>
        </w:numPr>
        <w:tabs>
          <w:tab w:val="left" w:pos="1758"/>
        </w:tabs>
        <w:spacing w:before="128" w:line="192" w:lineRule="exact"/>
        <w:ind w:right="1734" w:hanging="510"/>
        <w:rPr>
          <w:rFonts w:ascii="Avenir Next" w:eastAsia="Avenir Next" w:hAnsi="Avenir Next" w:cs="Avenir Next"/>
          <w:sz w:val="16"/>
          <w:szCs w:val="16"/>
        </w:rPr>
      </w:pPr>
      <w:r>
        <w:rPr>
          <w:rFonts w:ascii="Avenir Next"/>
          <w:sz w:val="16"/>
        </w:rPr>
        <w:t>It</w:t>
      </w:r>
      <w:r>
        <w:rPr>
          <w:rFonts w:ascii="Avenir Next"/>
          <w:spacing w:val="-1"/>
          <w:sz w:val="16"/>
        </w:rPr>
        <w:t xml:space="preserve"> </w:t>
      </w:r>
      <w:r>
        <w:rPr>
          <w:rFonts w:ascii="Avenir Next"/>
          <w:sz w:val="16"/>
        </w:rPr>
        <w:t xml:space="preserve">is </w:t>
      </w:r>
      <w:r>
        <w:rPr>
          <w:rFonts w:ascii="Avenir Next"/>
          <w:spacing w:val="-1"/>
          <w:sz w:val="16"/>
        </w:rPr>
        <w:t>worth</w:t>
      </w:r>
      <w:r>
        <w:rPr>
          <w:rFonts w:ascii="Avenir Next"/>
          <w:sz w:val="16"/>
        </w:rPr>
        <w:t xml:space="preserve"> noting </w:t>
      </w:r>
      <w:r>
        <w:rPr>
          <w:rFonts w:ascii="Avenir Next"/>
          <w:spacing w:val="-1"/>
          <w:sz w:val="16"/>
        </w:rPr>
        <w:t>that</w:t>
      </w:r>
      <w:r>
        <w:rPr>
          <w:rFonts w:ascii="Avenir Next"/>
          <w:sz w:val="16"/>
        </w:rPr>
        <w:t xml:space="preserve"> while</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assumed</w:t>
      </w:r>
      <w:r>
        <w:rPr>
          <w:rFonts w:ascii="Avenir Next"/>
          <w:spacing w:val="-1"/>
          <w:sz w:val="16"/>
        </w:rPr>
        <w:t xml:space="preserve"> </w:t>
      </w:r>
      <w:r>
        <w:rPr>
          <w:rFonts w:ascii="Avenir Next"/>
          <w:sz w:val="16"/>
        </w:rPr>
        <w:t xml:space="preserve">an </w:t>
      </w:r>
      <w:r>
        <w:rPr>
          <w:rFonts w:ascii="Avenir Next"/>
          <w:spacing w:val="-1"/>
          <w:sz w:val="16"/>
        </w:rPr>
        <w:t>inflation</w:t>
      </w:r>
      <w:r>
        <w:rPr>
          <w:rFonts w:ascii="Avenir Next"/>
          <w:sz w:val="16"/>
        </w:rPr>
        <w:t xml:space="preserve"> </w:t>
      </w:r>
      <w:r>
        <w:rPr>
          <w:rFonts w:ascii="Avenir Next"/>
          <w:spacing w:val="-1"/>
          <w:sz w:val="16"/>
        </w:rPr>
        <w:t>rate</w:t>
      </w:r>
      <w:r>
        <w:rPr>
          <w:rFonts w:ascii="Avenir Next"/>
          <w:sz w:val="16"/>
        </w:rPr>
        <w:t xml:space="preserve"> of</w:t>
      </w:r>
      <w:r>
        <w:rPr>
          <w:rFonts w:ascii="Avenir Next"/>
          <w:spacing w:val="3"/>
          <w:sz w:val="16"/>
        </w:rPr>
        <w:t xml:space="preserve"> </w:t>
      </w:r>
      <w:r>
        <w:rPr>
          <w:rFonts w:ascii="Avenir Next"/>
          <w:sz w:val="16"/>
        </w:rPr>
        <w:t xml:space="preserve">3% in its </w:t>
      </w:r>
      <w:r>
        <w:rPr>
          <w:rFonts w:ascii="Avenir Next"/>
          <w:spacing w:val="-1"/>
          <w:sz w:val="16"/>
        </w:rPr>
        <w:t>roll forward</w:t>
      </w:r>
      <w:r>
        <w:rPr>
          <w:rFonts w:ascii="Avenir Next"/>
          <w:sz w:val="16"/>
        </w:rPr>
        <w:t xml:space="preserve"> model,</w:t>
      </w:r>
      <w:r>
        <w:rPr>
          <w:rFonts w:ascii="Avenir Next"/>
          <w:spacing w:val="-5"/>
          <w:sz w:val="16"/>
        </w:rPr>
        <w:t xml:space="preserve"> </w:t>
      </w:r>
      <w:r>
        <w:rPr>
          <w:rFonts w:ascii="Avenir Next"/>
          <w:sz w:val="16"/>
        </w:rPr>
        <w:t>on page 27 of</w:t>
      </w:r>
      <w:r>
        <w:rPr>
          <w:rFonts w:ascii="Avenir Next"/>
          <w:spacing w:val="3"/>
          <w:sz w:val="16"/>
        </w:rPr>
        <w:t xml:space="preserve"> </w:t>
      </w:r>
      <w:r>
        <w:rPr>
          <w:rFonts w:ascii="Avenir Next"/>
          <w:sz w:val="16"/>
        </w:rPr>
        <w:t>its</w:t>
      </w:r>
      <w:r>
        <w:rPr>
          <w:rFonts w:ascii="Avenir Next"/>
          <w:spacing w:val="-1"/>
          <w:sz w:val="16"/>
        </w:rPr>
        <w:t xml:space="preserve"> </w:t>
      </w:r>
      <w:r>
        <w:rPr>
          <w:rFonts w:ascii="Avenir Next"/>
          <w:sz w:val="16"/>
        </w:rPr>
        <w:t>SOFC</w:t>
      </w:r>
      <w:r>
        <w:rPr>
          <w:rFonts w:ascii="Avenir Next"/>
          <w:spacing w:val="37"/>
          <w:sz w:val="16"/>
        </w:rPr>
        <w:t xml:space="preserve"> </w:t>
      </w:r>
      <w:r>
        <w:rPr>
          <w:rFonts w:ascii="Avenir Next"/>
          <w:spacing w:val="-1"/>
          <w:sz w:val="16"/>
        </w:rPr>
        <w:t>ACTEW</w:t>
      </w:r>
      <w:r>
        <w:rPr>
          <w:rFonts w:ascii="Avenir Next"/>
          <w:spacing w:val="-3"/>
          <w:sz w:val="16"/>
        </w:rPr>
        <w:t xml:space="preserve"> </w:t>
      </w:r>
      <w:r>
        <w:rPr>
          <w:rFonts w:ascii="Avenir Next"/>
          <w:sz w:val="16"/>
        </w:rPr>
        <w:t xml:space="preserve">has </w:t>
      </w:r>
      <w:r>
        <w:rPr>
          <w:rFonts w:ascii="Avenir Next"/>
          <w:spacing w:val="-1"/>
          <w:sz w:val="16"/>
        </w:rPr>
        <w:t>proposed</w:t>
      </w:r>
      <w:r>
        <w:rPr>
          <w:rFonts w:ascii="Avenir Next"/>
          <w:sz w:val="16"/>
        </w:rPr>
        <w:t xml:space="preserve"> the</w:t>
      </w:r>
      <w:r>
        <w:rPr>
          <w:rFonts w:ascii="Avenir Next"/>
          <w:spacing w:val="-1"/>
          <w:sz w:val="16"/>
        </w:rPr>
        <w:t xml:space="preserve"> </w:t>
      </w:r>
      <w:r>
        <w:rPr>
          <w:rFonts w:ascii="Avenir Next"/>
          <w:sz w:val="16"/>
        </w:rPr>
        <w:t>use of</w:t>
      </w:r>
      <w:r>
        <w:rPr>
          <w:rFonts w:ascii="Avenir Next"/>
          <w:spacing w:val="2"/>
          <w:sz w:val="16"/>
        </w:rPr>
        <w:t xml:space="preserve"> </w:t>
      </w:r>
      <w:r>
        <w:rPr>
          <w:rFonts w:ascii="Avenir Next"/>
          <w:sz w:val="16"/>
        </w:rPr>
        <w:t xml:space="preserve">a 2.5% </w:t>
      </w:r>
      <w:r>
        <w:rPr>
          <w:rFonts w:ascii="Avenir Next"/>
          <w:spacing w:val="-1"/>
          <w:sz w:val="16"/>
        </w:rPr>
        <w:t>inflation rate.</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83"/>
        <w:rPr>
          <w:sz w:val="11"/>
          <w:szCs w:val="11"/>
        </w:rPr>
      </w:pPr>
      <w:r>
        <w:rPr>
          <w:spacing w:val="-2"/>
        </w:rPr>
        <w:t>ACTEW</w:t>
      </w:r>
      <w:r>
        <w:rPr>
          <w:spacing w:val="-3"/>
        </w:rPr>
        <w:t xml:space="preserve"> </w:t>
      </w:r>
      <w:r>
        <w:t xml:space="preserve">also informed the </w:t>
      </w:r>
      <w:r>
        <w:rPr>
          <w:spacing w:val="-3"/>
        </w:rPr>
        <w:t>Panel</w:t>
      </w:r>
      <w:r>
        <w:t xml:space="preserve"> </w:t>
      </w:r>
      <w:r>
        <w:rPr>
          <w:spacing w:val="-1"/>
        </w:rPr>
        <w:t>that</w:t>
      </w:r>
      <w:r>
        <w:t xml:space="preserve"> it had identified two </w:t>
      </w:r>
      <w:r>
        <w:rPr>
          <w:spacing w:val="-1"/>
        </w:rPr>
        <w:t>errors</w:t>
      </w:r>
      <w:r>
        <w:rPr>
          <w:spacing w:val="-1"/>
          <w:position w:val="7"/>
          <w:sz w:val="11"/>
        </w:rPr>
        <w:t>105</w:t>
      </w:r>
      <w:r>
        <w:rPr>
          <w:spacing w:val="23"/>
          <w:position w:val="7"/>
          <w:sz w:val="11"/>
        </w:rPr>
        <w:t xml:space="preserve"> </w:t>
      </w:r>
      <w:r>
        <w:t xml:space="preserve">in its model and </w:t>
      </w:r>
      <w:r>
        <w:rPr>
          <w:spacing w:val="-1"/>
        </w:rPr>
        <w:t>submitted</w:t>
      </w:r>
      <w:r>
        <w:t xml:space="preserve"> the</w:t>
      </w:r>
      <w:r>
        <w:rPr>
          <w:spacing w:val="41"/>
        </w:rPr>
        <w:t xml:space="preserve"> </w:t>
      </w:r>
      <w:r>
        <w:t>following</w:t>
      </w:r>
      <w:r>
        <w:rPr>
          <w:spacing w:val="1"/>
        </w:rPr>
        <w:t xml:space="preserve"> </w:t>
      </w:r>
      <w:r>
        <w:rPr>
          <w:spacing w:val="-1"/>
        </w:rPr>
        <w:t>revised</w:t>
      </w:r>
      <w:r>
        <w:rPr>
          <w:spacing w:val="2"/>
        </w:rPr>
        <w:t xml:space="preserve"> </w:t>
      </w:r>
      <w:r>
        <w:rPr>
          <w:spacing w:val="-1"/>
        </w:rPr>
        <w:t>estimates</w:t>
      </w:r>
      <w:r>
        <w:rPr>
          <w:spacing w:val="1"/>
        </w:rPr>
        <w:t xml:space="preserve"> </w:t>
      </w:r>
      <w:r>
        <w:t>of</w:t>
      </w:r>
      <w:r>
        <w:rPr>
          <w:spacing w:val="6"/>
        </w:rPr>
        <w:t xml:space="preserve"> </w:t>
      </w:r>
      <w:r>
        <w:t>the</w:t>
      </w:r>
      <w:r>
        <w:rPr>
          <w:spacing w:val="2"/>
        </w:rPr>
        <w:t xml:space="preserve"> </w:t>
      </w:r>
      <w:r>
        <w:t>opening</w:t>
      </w:r>
      <w:r>
        <w:rPr>
          <w:spacing w:val="1"/>
        </w:rPr>
        <w:t xml:space="preserve"> </w:t>
      </w:r>
      <w:r>
        <w:rPr>
          <w:spacing w:val="-1"/>
        </w:rPr>
        <w:t>RABs:</w:t>
      </w:r>
      <w:r>
        <w:rPr>
          <w:spacing w:val="-1"/>
          <w:position w:val="7"/>
          <w:sz w:val="11"/>
        </w:rPr>
        <w:t>106</w:t>
      </w:r>
    </w:p>
    <w:p w:rsidR="00D96B91" w:rsidRDefault="00C2656B">
      <w:pPr>
        <w:pStyle w:val="BodyText"/>
        <w:numPr>
          <w:ilvl w:val="0"/>
          <w:numId w:val="131"/>
        </w:numPr>
        <w:tabs>
          <w:tab w:val="left" w:pos="1531"/>
        </w:tabs>
        <w:spacing w:before="178"/>
        <w:ind w:hanging="283"/>
      </w:pPr>
      <w:r>
        <w:rPr>
          <w:spacing w:val="-2"/>
        </w:rPr>
        <w:t>Water</w:t>
      </w:r>
      <w:r>
        <w:t xml:space="preserve"> assets – $1.35 billion</w:t>
      </w:r>
    </w:p>
    <w:p w:rsidR="00D96B91" w:rsidRDefault="00C2656B">
      <w:pPr>
        <w:pStyle w:val="BodyText"/>
        <w:numPr>
          <w:ilvl w:val="0"/>
          <w:numId w:val="131"/>
        </w:numPr>
        <w:tabs>
          <w:tab w:val="left" w:pos="1531"/>
        </w:tabs>
        <w:spacing w:before="72"/>
        <w:ind w:hanging="283"/>
      </w:pPr>
      <w:r>
        <w:rPr>
          <w:spacing w:val="-1"/>
        </w:rPr>
        <w:t>Sewerage</w:t>
      </w:r>
      <w:r>
        <w:t xml:space="preserve"> assets – $0.656 billion.</w:t>
      </w:r>
    </w:p>
    <w:p w:rsidR="00D96B91" w:rsidRDefault="00D96B91">
      <w:pPr>
        <w:spacing w:before="1"/>
        <w:rPr>
          <w:rFonts w:ascii="Avenir Next" w:eastAsia="Avenir Next" w:hAnsi="Avenir Next" w:cs="Avenir Next"/>
          <w:sz w:val="23"/>
          <w:szCs w:val="23"/>
        </w:rPr>
      </w:pPr>
    </w:p>
    <w:p w:rsidR="00D96B91" w:rsidRDefault="00C2656B">
      <w:pPr>
        <w:pStyle w:val="Heading6"/>
        <w:numPr>
          <w:ilvl w:val="2"/>
          <w:numId w:val="75"/>
        </w:numPr>
        <w:tabs>
          <w:tab w:val="left" w:pos="2098"/>
        </w:tabs>
        <w:ind w:hanging="850"/>
      </w:pPr>
      <w:r>
        <w:rPr>
          <w:color w:val="0778BE"/>
          <w:spacing w:val="-4"/>
        </w:rPr>
        <w:t>Panel’s</w:t>
      </w:r>
      <w:r>
        <w:rPr>
          <w:color w:val="0778BE"/>
        </w:rPr>
        <w:t xml:space="preserve"> </w:t>
      </w:r>
      <w:bookmarkStart w:id="111" w:name="_bookmark65"/>
      <w:bookmarkEnd w:id="111"/>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56"/>
      </w:pPr>
      <w:r>
        <w:rPr>
          <w:spacing w:val="-10"/>
        </w:rPr>
        <w:t>To</w:t>
      </w:r>
      <w:r>
        <w:t xml:space="preserve"> determine the opening value of</w:t>
      </w:r>
      <w:r>
        <w:rPr>
          <w:spacing w:val="4"/>
        </w:rPr>
        <w:t xml:space="preserve"> </w:t>
      </w:r>
      <w:r>
        <w:t xml:space="preserve">the </w:t>
      </w:r>
      <w:r>
        <w:rPr>
          <w:spacing w:val="-1"/>
        </w:rPr>
        <w:t>water</w:t>
      </w:r>
      <w:r>
        <w:t xml:space="preserve"> and </w:t>
      </w:r>
      <w:r>
        <w:rPr>
          <w:spacing w:val="-1"/>
        </w:rPr>
        <w:t>sewerage</w:t>
      </w:r>
      <w:r>
        <w:t xml:space="preserve"> RABs as </w:t>
      </w:r>
      <w:r>
        <w:rPr>
          <w:spacing w:val="-1"/>
        </w:rPr>
        <w:t>at</w:t>
      </w:r>
      <w:r>
        <w:t xml:space="preserve"> 1</w:t>
      </w:r>
      <w:r>
        <w:rPr>
          <w:spacing w:val="-3"/>
        </w:rPr>
        <w:t xml:space="preserve"> </w:t>
      </w:r>
      <w:r>
        <w:t>July 2013,</w:t>
      </w:r>
      <w:r>
        <w:rPr>
          <w:spacing w:val="-6"/>
        </w:rPr>
        <w:t xml:space="preserve"> </w:t>
      </w:r>
      <w:r>
        <w:t xml:space="preserve">the </w:t>
      </w:r>
      <w:r>
        <w:rPr>
          <w:spacing w:val="-3"/>
        </w:rPr>
        <w:t>Panel</w:t>
      </w:r>
      <w:r>
        <w:t xml:space="preserve"> used the</w:t>
      </w:r>
      <w:r>
        <w:rPr>
          <w:spacing w:val="23"/>
        </w:rPr>
        <w:t xml:space="preserve"> </w:t>
      </w:r>
      <w:r>
        <w:t xml:space="preserve">formula set out in the </w:t>
      </w:r>
      <w:r>
        <w:rPr>
          <w:spacing w:val="-1"/>
        </w:rPr>
        <w:t>introduction</w:t>
      </w:r>
      <w:r>
        <w:t xml:space="preserve"> to this section.</w:t>
      </w:r>
      <w:r>
        <w:rPr>
          <w:spacing w:val="-6"/>
        </w:rPr>
        <w:t xml:space="preserve"> </w:t>
      </w:r>
      <w:r>
        <w:t xml:space="preserve">It also had </w:t>
      </w:r>
      <w:r>
        <w:rPr>
          <w:spacing w:val="-2"/>
        </w:rPr>
        <w:t>regard</w:t>
      </w:r>
      <w:r>
        <w:t xml:space="preserve"> to:</w:t>
      </w:r>
    </w:p>
    <w:p w:rsidR="00D96B91" w:rsidRDefault="00C2656B">
      <w:pPr>
        <w:pStyle w:val="BodyText"/>
        <w:numPr>
          <w:ilvl w:val="0"/>
          <w:numId w:val="131"/>
        </w:numPr>
        <w:tabs>
          <w:tab w:val="left" w:pos="1531"/>
        </w:tabs>
        <w:spacing w:before="170" w:line="260" w:lineRule="exact"/>
        <w:ind w:right="1356" w:hanging="283"/>
        <w:rPr>
          <w:rFonts w:cs="Avenir Next"/>
        </w:rPr>
      </w:pPr>
      <w:r>
        <w:t>the</w:t>
      </w:r>
      <w:r>
        <w:rPr>
          <w:spacing w:val="-1"/>
        </w:rPr>
        <w:t xml:space="preserve"> </w:t>
      </w:r>
      <w:r>
        <w:rPr>
          <w:spacing w:val="-2"/>
        </w:rPr>
        <w:t>ICRC’s</w:t>
      </w:r>
      <w:r>
        <w:rPr>
          <w:spacing w:val="-1"/>
        </w:rPr>
        <w:t xml:space="preserve"> </w:t>
      </w:r>
      <w:r>
        <w:t>findings</w:t>
      </w:r>
      <w:r>
        <w:rPr>
          <w:spacing w:val="-2"/>
        </w:rPr>
        <w:t xml:space="preserve"> </w:t>
      </w:r>
      <w:r>
        <w:t>on</w:t>
      </w:r>
      <w:r>
        <w:rPr>
          <w:spacing w:val="-1"/>
        </w:rPr>
        <w:t xml:space="preserve"> </w:t>
      </w:r>
      <w:r>
        <w:t>the</w:t>
      </w:r>
      <w:r>
        <w:rPr>
          <w:spacing w:val="-1"/>
        </w:rPr>
        <w:t xml:space="preserve"> </w:t>
      </w:r>
      <w:r>
        <w:t>prudence</w:t>
      </w:r>
      <w:r>
        <w:rPr>
          <w:spacing w:val="-1"/>
        </w:rPr>
        <w:t xml:space="preserve"> </w:t>
      </w:r>
      <w:r>
        <w:t>and</w:t>
      </w:r>
      <w:r>
        <w:rPr>
          <w:spacing w:val="-1"/>
        </w:rPr>
        <w:t xml:space="preserve"> efficiency </w:t>
      </w:r>
      <w:r>
        <w:t>of</w:t>
      </w:r>
      <w:r>
        <w:rPr>
          <w:spacing w:val="3"/>
        </w:rPr>
        <w:t xml:space="preserve"> </w:t>
      </w:r>
      <w:r>
        <w:t>capital</w:t>
      </w:r>
      <w:r>
        <w:rPr>
          <w:spacing w:val="-1"/>
        </w:rPr>
        <w:t xml:space="preserve"> expenditure </w:t>
      </w:r>
      <w:r>
        <w:t>in</w:t>
      </w:r>
      <w:r>
        <w:rPr>
          <w:spacing w:val="-1"/>
        </w:rPr>
        <w:t xml:space="preserve"> </w:t>
      </w:r>
      <w:r>
        <w:t>the</w:t>
      </w:r>
      <w:r>
        <w:rPr>
          <w:spacing w:val="-1"/>
        </w:rPr>
        <w:t xml:space="preserve"> previous regulatory</w:t>
      </w:r>
      <w:r>
        <w:rPr>
          <w:spacing w:val="43"/>
        </w:rPr>
        <w:t xml:space="preserve"> </w:t>
      </w:r>
      <w:r>
        <w:rPr>
          <w:rFonts w:cs="Avenir Next"/>
        </w:rPr>
        <w:t>period and other adjustments to be made to the opening value of</w:t>
      </w:r>
      <w:r>
        <w:rPr>
          <w:rFonts w:cs="Avenir Next"/>
          <w:spacing w:val="4"/>
        </w:rPr>
        <w:t xml:space="preserve"> </w:t>
      </w:r>
      <w:r>
        <w:rPr>
          <w:rFonts w:cs="Avenir Next"/>
        </w:rPr>
        <w:t>the RAB</w:t>
      </w:r>
    </w:p>
    <w:p w:rsidR="00D96B91" w:rsidRDefault="00C2656B">
      <w:pPr>
        <w:pStyle w:val="BodyText"/>
        <w:numPr>
          <w:ilvl w:val="0"/>
          <w:numId w:val="131"/>
        </w:numPr>
        <w:tabs>
          <w:tab w:val="left" w:pos="1531"/>
        </w:tabs>
        <w:spacing w:before="85" w:line="260" w:lineRule="exact"/>
        <w:ind w:right="1507" w:hanging="283"/>
        <w:rPr>
          <w:rFonts w:cs="Avenir Next"/>
        </w:rPr>
      </w:pPr>
      <w:r>
        <w:rPr>
          <w:rFonts w:cs="Avenir Next"/>
          <w:spacing w:val="-2"/>
        </w:rPr>
        <w:t>ACTEW’s</w:t>
      </w:r>
      <w:r>
        <w:rPr>
          <w:rFonts w:cs="Avenir Next"/>
        </w:rPr>
        <w:t xml:space="preserve"> </w:t>
      </w:r>
      <w:r>
        <w:rPr>
          <w:rFonts w:cs="Avenir Next"/>
          <w:spacing w:val="-1"/>
        </w:rPr>
        <w:t>proposed</w:t>
      </w:r>
      <w:r>
        <w:rPr>
          <w:rFonts w:cs="Avenir Next"/>
        </w:rPr>
        <w:t xml:space="preserve"> </w:t>
      </w:r>
      <w:r>
        <w:rPr>
          <w:rFonts w:cs="Avenir Next"/>
          <w:spacing w:val="-1"/>
        </w:rPr>
        <w:t>treatment</w:t>
      </w:r>
      <w:r>
        <w:rPr>
          <w:rFonts w:cs="Avenir Next"/>
        </w:rPr>
        <w:t xml:space="preserve"> of</w:t>
      </w:r>
      <w:r>
        <w:rPr>
          <w:rFonts w:cs="Avenir Next"/>
          <w:spacing w:val="4"/>
        </w:rPr>
        <w:t xml:space="preserve"> </w:t>
      </w:r>
      <w:r>
        <w:rPr>
          <w:rFonts w:cs="Avenir Next"/>
        </w:rPr>
        <w:t xml:space="preserve">the capital </w:t>
      </w:r>
      <w:r>
        <w:rPr>
          <w:rFonts w:cs="Avenir Next"/>
          <w:spacing w:val="-1"/>
        </w:rPr>
        <w:t>expenditure</w:t>
      </w:r>
      <w:r>
        <w:rPr>
          <w:rFonts w:cs="Avenir Next"/>
        </w:rPr>
        <w:t xml:space="preserve"> items the ICRC decided to </w:t>
      </w:r>
      <w:r>
        <w:rPr>
          <w:rFonts w:cs="Avenir Next"/>
          <w:spacing w:val="-2"/>
        </w:rPr>
        <w:t>treat</w:t>
      </w:r>
      <w:r>
        <w:rPr>
          <w:rFonts w:cs="Avenir Next"/>
        </w:rPr>
        <w:t xml:space="preserve"> as if</w:t>
      </w:r>
      <w:r>
        <w:rPr>
          <w:rFonts w:cs="Avenir Next"/>
          <w:spacing w:val="4"/>
        </w:rPr>
        <w:t xml:space="preserve"> </w:t>
      </w:r>
      <w:r>
        <w:rPr>
          <w:rFonts w:cs="Avenir Next"/>
        </w:rPr>
        <w:t>they</w:t>
      </w:r>
      <w:r>
        <w:rPr>
          <w:rFonts w:cs="Avenir Next"/>
          <w:spacing w:val="27"/>
        </w:rPr>
        <w:t xml:space="preserve"> </w:t>
      </w:r>
      <w:r>
        <w:rPr>
          <w:rFonts w:cs="Avenir Next"/>
          <w:spacing w:val="-1"/>
        </w:rPr>
        <w:t>were</w:t>
      </w:r>
      <w:r>
        <w:rPr>
          <w:rFonts w:cs="Avenir Next"/>
        </w:rPr>
        <w:t xml:space="preserve"> funded </w:t>
      </w:r>
      <w:r>
        <w:rPr>
          <w:rFonts w:cs="Avenir Next"/>
          <w:spacing w:val="-1"/>
        </w:rPr>
        <w:t>through</w:t>
      </w:r>
      <w:r>
        <w:rPr>
          <w:rFonts w:cs="Avenir Next"/>
        </w:rPr>
        <w:t xml:space="preserve"> a </w:t>
      </w:r>
      <w:r>
        <w:rPr>
          <w:rFonts w:cs="Avenir Next"/>
          <w:spacing w:val="-3"/>
        </w:rPr>
        <w:t>CSO,</w:t>
      </w:r>
      <w:r>
        <w:rPr>
          <w:rFonts w:cs="Avenir Next"/>
          <w:spacing w:val="-7"/>
        </w:rPr>
        <w:t xml:space="preserve"> </w:t>
      </w:r>
      <w:r>
        <w:rPr>
          <w:rFonts w:cs="Avenir Next"/>
        </w:rPr>
        <w:t>and</w:t>
      </w:r>
    </w:p>
    <w:p w:rsidR="00D96B91" w:rsidRDefault="00C2656B">
      <w:pPr>
        <w:pStyle w:val="BodyText"/>
        <w:numPr>
          <w:ilvl w:val="0"/>
          <w:numId w:val="131"/>
        </w:numPr>
        <w:tabs>
          <w:tab w:val="left" w:pos="1531"/>
        </w:tabs>
        <w:spacing w:before="93"/>
        <w:ind w:hanging="283"/>
      </w:pPr>
      <w:r>
        <w:t>other</w:t>
      </w:r>
      <w:r>
        <w:rPr>
          <w:spacing w:val="-1"/>
        </w:rPr>
        <w:t xml:space="preserve"> </w:t>
      </w:r>
      <w:r>
        <w:t>points of</w:t>
      </w:r>
      <w:r>
        <w:rPr>
          <w:spacing w:val="4"/>
        </w:rPr>
        <w:t xml:space="preserve"> </w:t>
      </w:r>
      <w:r>
        <w:rPr>
          <w:spacing w:val="-1"/>
        </w:rPr>
        <w:t xml:space="preserve">difference </w:t>
      </w:r>
      <w:r>
        <w:t>between</w:t>
      </w:r>
      <w:r>
        <w:rPr>
          <w:spacing w:val="-4"/>
        </w:rPr>
        <w:t xml:space="preserve"> </w:t>
      </w:r>
      <w:r>
        <w:rPr>
          <w:spacing w:val="-2"/>
        </w:rPr>
        <w:t>ACTEW’s</w:t>
      </w:r>
      <w:r>
        <w:t xml:space="preserve"> </w:t>
      </w:r>
      <w:r>
        <w:rPr>
          <w:spacing w:val="-1"/>
        </w:rPr>
        <w:t xml:space="preserve">proposed </w:t>
      </w:r>
      <w:r>
        <w:t>opening values and the</w:t>
      </w:r>
      <w:r>
        <w:rPr>
          <w:spacing w:val="-1"/>
        </w:rPr>
        <w:t xml:space="preserve"> </w:t>
      </w:r>
      <w:r>
        <w:rPr>
          <w:spacing w:val="-2"/>
        </w:rPr>
        <w:t>ICRC’s</w:t>
      </w:r>
      <w:r>
        <w:t xml:space="preserve"> final decision.</w:t>
      </w:r>
    </w:p>
    <w:p w:rsidR="00D96B91" w:rsidRDefault="00D96B91">
      <w:pPr>
        <w:spacing w:before="11"/>
        <w:rPr>
          <w:rFonts w:ascii="Avenir Next" w:eastAsia="Avenir Next" w:hAnsi="Avenir Next" w:cs="Avenir Next"/>
        </w:rPr>
      </w:pPr>
    </w:p>
    <w:p w:rsidR="00D96B91" w:rsidRDefault="00C2656B">
      <w:pPr>
        <w:pStyle w:val="Heading7"/>
        <w:numPr>
          <w:ilvl w:val="3"/>
          <w:numId w:val="75"/>
        </w:numPr>
        <w:tabs>
          <w:tab w:val="left" w:pos="2212"/>
        </w:tabs>
        <w:rPr>
          <w:rFonts w:cs="Avenir Next"/>
          <w:b w:val="0"/>
          <w:bCs w:val="0"/>
        </w:rPr>
      </w:pPr>
      <w:r>
        <w:rPr>
          <w:rFonts w:cs="Avenir Next"/>
          <w:color w:val="0778BE"/>
          <w:spacing w:val="-2"/>
        </w:rPr>
        <w:t>ICRC’s</w:t>
      </w:r>
      <w:r>
        <w:rPr>
          <w:rFonts w:cs="Avenir Next"/>
          <w:color w:val="0778BE"/>
        </w:rPr>
        <w:t xml:space="preserve"> final decision on capital </w:t>
      </w:r>
      <w:r>
        <w:rPr>
          <w:rFonts w:cs="Avenir Next"/>
          <w:color w:val="0778BE"/>
          <w:spacing w:val="-1"/>
        </w:rPr>
        <w:t>expenditure</w:t>
      </w:r>
      <w:r>
        <w:rPr>
          <w:rFonts w:cs="Avenir Next"/>
          <w:color w:val="0778BE"/>
        </w:rPr>
        <w:t xml:space="preserve"> and other adjustments</w:t>
      </w:r>
    </w:p>
    <w:p w:rsidR="00D96B91" w:rsidRDefault="00C2656B">
      <w:pPr>
        <w:pStyle w:val="BodyText"/>
        <w:spacing w:before="28" w:line="260" w:lineRule="exact"/>
        <w:ind w:right="1283"/>
      </w:pPr>
      <w:r>
        <w:rPr>
          <w:rFonts w:cs="Avenir Next"/>
        </w:rPr>
        <w:t>In the course of</w:t>
      </w:r>
      <w:r>
        <w:rPr>
          <w:rFonts w:cs="Avenir Next"/>
          <w:spacing w:val="4"/>
        </w:rPr>
        <w:t xml:space="preserve"> </w:t>
      </w:r>
      <w:r>
        <w:rPr>
          <w:rFonts w:cs="Avenir Next"/>
        </w:rPr>
        <w:t>making its decision on the opening value of</w:t>
      </w:r>
      <w:r>
        <w:rPr>
          <w:rFonts w:cs="Avenir Next"/>
          <w:spacing w:val="4"/>
        </w:rPr>
        <w:t xml:space="preserve"> </w:t>
      </w:r>
      <w:r>
        <w:rPr>
          <w:rFonts w:cs="Avenir Next"/>
        </w:rPr>
        <w:t>the RAB,</w:t>
      </w:r>
      <w:r>
        <w:rPr>
          <w:rFonts w:cs="Avenir Next"/>
          <w:spacing w:val="-6"/>
        </w:rPr>
        <w:t xml:space="preserve"> </w:t>
      </w:r>
      <w:r>
        <w:rPr>
          <w:rFonts w:cs="Avenir Next"/>
        </w:rPr>
        <w:t>the ICRC,</w:t>
      </w:r>
      <w:r>
        <w:rPr>
          <w:rFonts w:cs="Avenir Next"/>
          <w:spacing w:val="-7"/>
        </w:rPr>
        <w:t xml:space="preserve"> </w:t>
      </w:r>
      <w:r>
        <w:rPr>
          <w:rFonts w:cs="Avenir Next"/>
        </w:rPr>
        <w:t xml:space="preserve">in conjunction with </w:t>
      </w:r>
      <w:r>
        <w:rPr>
          <w:spacing w:val="-2"/>
        </w:rPr>
        <w:t>Cardno,</w:t>
      </w:r>
      <w:r>
        <w:rPr>
          <w:spacing w:val="-7"/>
        </w:rPr>
        <w:t xml:space="preserve"> </w:t>
      </w:r>
      <w:r>
        <w:t>conducted a</w:t>
      </w:r>
      <w:r>
        <w:rPr>
          <w:spacing w:val="-1"/>
        </w:rPr>
        <w:t xml:space="preserve"> </w:t>
      </w:r>
      <w:r>
        <w:t xml:space="preserve">detailed </w:t>
      </w:r>
      <w:r>
        <w:rPr>
          <w:spacing w:val="-1"/>
        </w:rPr>
        <w:t xml:space="preserve">review </w:t>
      </w:r>
      <w:r>
        <w:t>of</w:t>
      </w:r>
      <w:r>
        <w:rPr>
          <w:spacing w:val="4"/>
        </w:rPr>
        <w:t xml:space="preserve"> </w:t>
      </w:r>
      <w:r>
        <w:t>the</w:t>
      </w:r>
      <w:r>
        <w:rPr>
          <w:spacing w:val="-1"/>
        </w:rPr>
        <w:t xml:space="preserve"> </w:t>
      </w:r>
      <w:r>
        <w:t>prudence and</w:t>
      </w:r>
      <w:r>
        <w:rPr>
          <w:spacing w:val="-1"/>
        </w:rPr>
        <w:t xml:space="preserve"> efficiency</w:t>
      </w:r>
      <w:r>
        <w:t xml:space="preserve"> of </w:t>
      </w:r>
      <w:r>
        <w:rPr>
          <w:spacing w:val="-2"/>
        </w:rPr>
        <w:t>ACTEW’s</w:t>
      </w:r>
      <w:r>
        <w:t xml:space="preserve"> capital</w:t>
      </w:r>
      <w:r>
        <w:rPr>
          <w:spacing w:val="-1"/>
        </w:rPr>
        <w:t xml:space="preserve"> expenditure</w:t>
      </w:r>
      <w:r>
        <w:t xml:space="preserve"> in</w:t>
      </w:r>
      <w:r>
        <w:rPr>
          <w:spacing w:val="35"/>
        </w:rPr>
        <w:t xml:space="preserve"> </w:t>
      </w:r>
      <w:r>
        <w:t>the</w:t>
      </w:r>
      <w:r>
        <w:rPr>
          <w:spacing w:val="-1"/>
        </w:rPr>
        <w:t xml:space="preserve"> previous</w:t>
      </w:r>
      <w:r>
        <w:t xml:space="preserve"> </w:t>
      </w:r>
      <w:r>
        <w:rPr>
          <w:spacing w:val="-1"/>
        </w:rPr>
        <w:t xml:space="preserve">regulatory </w:t>
      </w:r>
      <w:r>
        <w:t>period.</w:t>
      </w:r>
      <w:r>
        <w:rPr>
          <w:spacing w:val="-11"/>
        </w:rPr>
        <w:t xml:space="preserve"> </w:t>
      </w:r>
      <w:r>
        <w:rPr>
          <w:spacing w:val="-2"/>
        </w:rPr>
        <w:t>The</w:t>
      </w:r>
      <w:r>
        <w:rPr>
          <w:spacing w:val="-1"/>
        </w:rPr>
        <w:t xml:space="preserve"> </w:t>
      </w:r>
      <w:r>
        <w:rPr>
          <w:spacing w:val="-2"/>
        </w:rPr>
        <w:t>key</w:t>
      </w:r>
      <w:r>
        <w:t xml:space="preserve"> findings</w:t>
      </w:r>
      <w:r>
        <w:rPr>
          <w:spacing w:val="-1"/>
        </w:rPr>
        <w:t xml:space="preserve"> </w:t>
      </w:r>
      <w:r>
        <w:t>of</w:t>
      </w:r>
      <w:r>
        <w:rPr>
          <w:spacing w:val="4"/>
        </w:rPr>
        <w:t xml:space="preserve"> </w:t>
      </w:r>
      <w:r>
        <w:t>this</w:t>
      </w:r>
      <w:r>
        <w:rPr>
          <w:spacing w:val="-1"/>
        </w:rPr>
        <w:t xml:space="preserve"> review</w:t>
      </w:r>
      <w:r>
        <w:t xml:space="preserve"> </w:t>
      </w:r>
      <w:r>
        <w:rPr>
          <w:spacing w:val="-2"/>
        </w:rPr>
        <w:t>are</w:t>
      </w:r>
      <w:r>
        <w:rPr>
          <w:spacing w:val="-1"/>
        </w:rPr>
        <w:t xml:space="preserve"> </w:t>
      </w:r>
      <w:r>
        <w:t>set out</w:t>
      </w:r>
      <w:r>
        <w:rPr>
          <w:spacing w:val="-1"/>
        </w:rPr>
        <w:t xml:space="preserve"> </w:t>
      </w:r>
      <w:r>
        <w:t>in</w:t>
      </w:r>
      <w:r>
        <w:rPr>
          <w:spacing w:val="-5"/>
        </w:rPr>
        <w:t xml:space="preserve"> </w:t>
      </w:r>
      <w:hyperlink w:anchor="_bookmark66" w:history="1">
        <w:r>
          <w:rPr>
            <w:spacing w:val="-4"/>
          </w:rPr>
          <w:t>Table</w:t>
        </w:r>
        <w:r>
          <w:rPr>
            <w:spacing w:val="-1"/>
          </w:rPr>
          <w:t xml:space="preserve"> </w:t>
        </w:r>
        <w:r>
          <w:t>9.5.</w:t>
        </w:r>
      </w:hyperlink>
    </w:p>
    <w:p w:rsidR="00D96B91" w:rsidRDefault="00C2656B">
      <w:pPr>
        <w:spacing w:before="158"/>
        <w:ind w:left="1247"/>
        <w:rPr>
          <w:rFonts w:ascii="Avenir Next" w:eastAsia="Avenir Next" w:hAnsi="Avenir Next" w:cs="Avenir Next"/>
          <w:sz w:val="20"/>
          <w:szCs w:val="20"/>
        </w:rPr>
      </w:pPr>
      <w:bookmarkStart w:id="112" w:name="_bookmark66"/>
      <w:bookmarkEnd w:id="112"/>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9.5: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key</w:t>
      </w:r>
      <w:r>
        <w:rPr>
          <w:rFonts w:ascii="Avenir Next" w:eastAsia="Avenir Next" w:hAnsi="Avenir Next" w:cs="Avenir Next"/>
          <w:b/>
          <w:bCs/>
          <w:sz w:val="20"/>
          <w:szCs w:val="20"/>
        </w:rPr>
        <w:t xml:space="preserve"> findings on the prudence and </w:t>
      </w:r>
      <w:r>
        <w:rPr>
          <w:rFonts w:ascii="Avenir Next" w:eastAsia="Avenir Next" w:hAnsi="Avenir Next" w:cs="Avenir Next"/>
          <w:b/>
          <w:bCs/>
          <w:spacing w:val="-1"/>
          <w:sz w:val="20"/>
          <w:szCs w:val="20"/>
        </w:rPr>
        <w:t>efficiency</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capital </w:t>
      </w:r>
      <w:r>
        <w:rPr>
          <w:rFonts w:ascii="Avenir Next" w:eastAsia="Avenir Next" w:hAnsi="Avenir Next" w:cs="Avenir Next"/>
          <w:b/>
          <w:bCs/>
          <w:spacing w:val="-1"/>
          <w:sz w:val="20"/>
          <w:szCs w:val="20"/>
        </w:rPr>
        <w:t>expenditure</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302"/>
        <w:gridCol w:w="7513"/>
      </w:tblGrid>
      <w:tr w:rsidR="00D96B91" w:rsidTr="00B45286">
        <w:trPr>
          <w:trHeight w:hRule="exact" w:val="407"/>
        </w:trPr>
        <w:tc>
          <w:tcPr>
            <w:tcW w:w="23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Capital</w:t>
            </w:r>
            <w:r>
              <w:rPr>
                <w:rFonts w:ascii="Avenir Next Condensed"/>
                <w:b/>
                <w:color w:val="FFFFFF"/>
                <w:sz w:val="18"/>
              </w:rPr>
              <w:t xml:space="preserve"> </w:t>
            </w:r>
            <w:r>
              <w:rPr>
                <w:rFonts w:ascii="Avenir Next Condensed"/>
                <w:b/>
                <w:color w:val="FFFFFF"/>
                <w:spacing w:val="-1"/>
                <w:sz w:val="18"/>
              </w:rPr>
              <w:t>expenditure</w:t>
            </w:r>
            <w:r>
              <w:rPr>
                <w:rFonts w:ascii="Avenir Next Condensed"/>
                <w:b/>
                <w:color w:val="FFFFFF"/>
                <w:sz w:val="18"/>
              </w:rPr>
              <w:t xml:space="preserve"> items</w:t>
            </w:r>
          </w:p>
        </w:tc>
        <w:tc>
          <w:tcPr>
            <w:tcW w:w="75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ICRC’s</w:t>
            </w:r>
            <w:r>
              <w:rPr>
                <w:rFonts w:ascii="Avenir Next Condensed" w:eastAsia="Avenir Next Condensed" w:hAnsi="Avenir Next Condensed" w:cs="Avenir Next Condensed"/>
                <w:b/>
                <w:bCs/>
                <w:color w:val="FFFFFF"/>
                <w:sz w:val="18"/>
                <w:szCs w:val="18"/>
              </w:rPr>
              <w:t xml:space="preserve"> findings</w:t>
            </w:r>
          </w:p>
        </w:tc>
      </w:tr>
      <w:tr w:rsidR="00D96B91" w:rsidTr="00B45286">
        <w:trPr>
          <w:trHeight w:hRule="exact" w:val="3799"/>
        </w:trPr>
        <w:tc>
          <w:tcPr>
            <w:tcW w:w="230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security </w:t>
            </w:r>
            <w:r>
              <w:rPr>
                <w:rFonts w:ascii="Avenir Next Condensed"/>
                <w:spacing w:val="-1"/>
                <w:sz w:val="18"/>
              </w:rPr>
              <w:t>projects</w:t>
            </w:r>
          </w:p>
        </w:tc>
        <w:tc>
          <w:tcPr>
            <w:tcW w:w="75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rsidP="00B45286">
            <w:pPr>
              <w:pStyle w:val="TableParagraph"/>
              <w:spacing w:before="112" w:line="220" w:lineRule="exact"/>
              <w:ind w:left="108" w:right="385"/>
              <w:rPr>
                <w:rFonts w:ascii="Avenir Next Condensed" w:eastAsia="Avenir Next Condensed" w:hAnsi="Avenir Next Condensed" w:cs="Avenir Next Condensed"/>
                <w:sz w:val="10"/>
                <w:szCs w:val="10"/>
              </w:rPr>
            </w:pPr>
            <w:r>
              <w:rPr>
                <w:rFonts w:ascii="Avenir Next Condensed" w:eastAsia="Avenir Next Condensed" w:hAnsi="Avenir Next Condensed" w:cs="Avenir Next Condensed"/>
                <w:spacing w:val="-1"/>
                <w:sz w:val="18"/>
                <w:szCs w:val="18"/>
              </w:rPr>
              <w:t>Cardno</w:t>
            </w:r>
            <w:r>
              <w:rPr>
                <w:rFonts w:ascii="Avenir Next Condensed" w:eastAsia="Avenir Next Condensed" w:hAnsi="Avenir Next Condensed" w:cs="Avenir Next Condensed"/>
                <w:sz w:val="18"/>
                <w:szCs w:val="18"/>
              </w:rPr>
              <w:t xml:space="preserve"> undertook a </w:t>
            </w:r>
            <w:r>
              <w:rPr>
                <w:rFonts w:ascii="Avenir Next Condensed" w:eastAsia="Avenir Next Condensed" w:hAnsi="Avenir Next Condensed" w:cs="Avenir Next Condensed"/>
                <w:spacing w:val="-1"/>
                <w:sz w:val="18"/>
                <w:szCs w:val="18"/>
              </w:rPr>
              <w:t>review</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on 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for the ICRC as part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its</w:t>
            </w:r>
            <w:r>
              <w:rPr>
                <w:rFonts w:ascii="Avenir Next Condensed" w:eastAsia="Avenir Next Condensed" w:hAnsi="Avenir Next Condensed" w:cs="Avenir Next Condensed"/>
                <w:spacing w:val="47"/>
                <w:sz w:val="18"/>
                <w:szCs w:val="18"/>
              </w:rPr>
              <w:t xml:space="preserve"> </w:t>
            </w:r>
            <w:r>
              <w:rPr>
                <w:rFonts w:ascii="Avenir Next Condensed" w:eastAsia="Avenir Next Condensed" w:hAnsi="Avenir Next Condensed" w:cs="Avenir Next Condensed"/>
                <w:spacing w:val="-1"/>
                <w:sz w:val="18"/>
                <w:szCs w:val="18"/>
              </w:rPr>
              <w:t>broader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i/>
                <w:spacing w:val="-1"/>
                <w:sz w:val="18"/>
                <w:szCs w:val="18"/>
              </w:rPr>
              <w:t>ex</w:t>
            </w:r>
            <w:r>
              <w:rPr>
                <w:rFonts w:ascii="Avenir Next Condensed" w:eastAsia="Avenir Next Condensed" w:hAnsi="Avenir Next Condensed" w:cs="Avenir Next Condensed"/>
                <w:i/>
                <w:sz w:val="18"/>
                <w:szCs w:val="18"/>
              </w:rPr>
              <w:t xml:space="preserve"> post </w:t>
            </w:r>
            <w:r>
              <w:rPr>
                <w:rFonts w:ascii="Avenir Next Condensed" w:eastAsia="Avenir Next Condensed" w:hAnsi="Avenir Next Condensed" w:cs="Avenir Next Condensed"/>
                <w:spacing w:val="-1"/>
                <w:sz w:val="18"/>
                <w:szCs w:val="18"/>
              </w:rPr>
              <w:t>capex</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review.</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2"/>
                <w:sz w:val="18"/>
                <w:szCs w:val="18"/>
              </w:rPr>
              <w:t>Cardno’s</w:t>
            </w:r>
            <w:r>
              <w:rPr>
                <w:rFonts w:ascii="Avenir Next Condensed" w:eastAsia="Avenir Next Condensed" w:hAnsi="Avenir Next Condensed" w:cs="Avenir Next Condensed"/>
                <w:sz w:val="18"/>
                <w:szCs w:val="18"/>
              </w:rPr>
              <w:t xml:space="preserve"> findings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broadly</w:t>
            </w:r>
            <w:r>
              <w:rPr>
                <w:rFonts w:ascii="Avenir Next Condensed" w:eastAsia="Avenir Next Condensed" w:hAnsi="Avenir Next Condensed" w:cs="Avenir Next Condensed"/>
                <w:sz w:val="18"/>
                <w:szCs w:val="18"/>
              </w:rPr>
              <w:t xml:space="preserve"> similar to those </w:t>
            </w:r>
            <w:r>
              <w:rPr>
                <w:rFonts w:ascii="Avenir Next Condensed" w:eastAsia="Avenir Next Condensed" w:hAnsi="Avenir Next Condensed" w:cs="Avenir Next Condensed"/>
                <w:spacing w:val="-1"/>
                <w:sz w:val="18"/>
                <w:szCs w:val="18"/>
              </w:rPr>
              <w:t>reached</w:t>
            </w:r>
            <w:r>
              <w:rPr>
                <w:rFonts w:ascii="Avenir Next Condensed" w:eastAsia="Avenir Next Condensed" w:hAnsi="Avenir Next Condensed" w:cs="Avenir Next Condensed"/>
                <w:sz w:val="18"/>
                <w:szCs w:val="18"/>
              </w:rPr>
              <w:t xml:space="preserve"> by the ICRC in a </w:t>
            </w:r>
            <w:r>
              <w:rPr>
                <w:rFonts w:ascii="Avenir Next Condensed" w:eastAsia="Avenir Next Condensed" w:hAnsi="Avenir Next Condensed" w:cs="Avenir Next Condensed"/>
                <w:spacing w:val="-1"/>
                <w:sz w:val="18"/>
                <w:szCs w:val="18"/>
              </w:rPr>
              <w:t>review</w:t>
            </w:r>
            <w:r>
              <w:rPr>
                <w:rFonts w:ascii="Avenir Next Condensed" w:eastAsia="Avenir Next Condensed" w:hAnsi="Avenir Next Condensed" w:cs="Avenir Next Condensed"/>
                <w:spacing w:val="61"/>
                <w:sz w:val="18"/>
                <w:szCs w:val="18"/>
              </w:rPr>
              <w:t xml:space="preserve"> </w:t>
            </w:r>
            <w:r>
              <w:rPr>
                <w:rFonts w:ascii="Avenir Next Condensed" w:eastAsia="Avenir Next Condensed" w:hAnsi="Avenir Next Condensed" w:cs="Avenir Next Condensed"/>
                <w:sz w:val="18"/>
                <w:szCs w:val="18"/>
              </w:rPr>
              <w:t>that it undertook in 2010.</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That</w:t>
            </w:r>
            <w:r>
              <w:rPr>
                <w:rFonts w:ascii="Avenir Next Condensed" w:eastAsia="Avenir Next Condensed" w:hAnsi="Avenir Next Condensed" w:cs="Avenir Next Condensed"/>
                <w:sz w:val="18"/>
                <w:szCs w:val="18"/>
              </w:rPr>
              <w:t xml:space="preserve"> is,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that 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“represent</w:t>
            </w:r>
            <w:r>
              <w:rPr>
                <w:rFonts w:ascii="Avenir Next Condensed" w:eastAsia="Avenir Next Condensed" w:hAnsi="Avenir Next Condensed" w:cs="Avenir Next Condensed"/>
                <w:sz w:val="18"/>
                <w:szCs w:val="18"/>
              </w:rPr>
              <w:t xml:space="preserve"> an </w:t>
            </w:r>
            <w:r>
              <w:rPr>
                <w:rFonts w:ascii="Avenir Next Condensed" w:eastAsia="Avenir Next Condensed" w:hAnsi="Avenir Next Condensed" w:cs="Avenir Next Condensed"/>
                <w:spacing w:val="-1"/>
                <w:sz w:val="18"/>
                <w:szCs w:val="18"/>
              </w:rPr>
              <w:t>extra</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precautionary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approach</w:t>
            </w:r>
            <w:r>
              <w:rPr>
                <w:rFonts w:ascii="Avenir Next Condensed" w:eastAsia="Avenir Next Condensed" w:hAnsi="Avenir Next Condensed" w:cs="Avenir Next Condensed"/>
                <w:sz w:val="18"/>
                <w:szCs w:val="18"/>
              </w:rPr>
              <w:t xml:space="preserve"> to</w:t>
            </w:r>
            <w:r w:rsidR="00B45286">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z w:val="18"/>
                <w:szCs w:val="18"/>
              </w:rPr>
              <w:t>managing the</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3"/>
                <w:sz w:val="18"/>
                <w:szCs w:val="18"/>
              </w:rPr>
              <w:t>ACT’s</w:t>
            </w:r>
            <w:r>
              <w:rPr>
                <w:rFonts w:ascii="Avenir Next Condensed" w:eastAsia="Avenir Next Condensed" w:hAnsi="Avenir Next Condensed" w:cs="Avenir Next Condensed"/>
                <w:sz w:val="18"/>
                <w:szCs w:val="18"/>
              </w:rPr>
              <w:t xml:space="preserve"> water security needs…in the </w:t>
            </w:r>
            <w:r>
              <w:rPr>
                <w:rFonts w:ascii="Avenir Next Condensed" w:eastAsia="Avenir Next Condensed" w:hAnsi="Avenir Next Condensed" w:cs="Avenir Next Condensed"/>
                <w:spacing w:val="-1"/>
                <w:sz w:val="18"/>
                <w:szCs w:val="18"/>
              </w:rPr>
              <w:t>meantime,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pacing w:val="-1"/>
                <w:sz w:val="18"/>
                <w:szCs w:val="18"/>
              </w:rPr>
              <w:t>appears</w:t>
            </w:r>
            <w:r>
              <w:rPr>
                <w:rFonts w:ascii="Avenir Next Condensed" w:eastAsia="Avenir Next Condensed" w:hAnsi="Avenir Next Condensed" w:cs="Avenir Next Condensed"/>
                <w:sz w:val="18"/>
                <w:szCs w:val="18"/>
              </w:rPr>
              <w:t xml:space="preserve"> to have a significant surplus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water</w:t>
            </w:r>
            <w:r>
              <w:rPr>
                <w:rFonts w:ascii="Avenir Next Condensed" w:eastAsia="Avenir Next Condensed" w:hAnsi="Avenir Next Condensed" w:cs="Avenir Next Condensed"/>
                <w:spacing w:val="37"/>
                <w:sz w:val="18"/>
                <w:szCs w:val="18"/>
              </w:rPr>
              <w:t xml:space="preserve"> </w:t>
            </w:r>
            <w:r>
              <w:rPr>
                <w:rFonts w:ascii="Avenir Next Condensed" w:eastAsia="Avenir Next Condensed" w:hAnsi="Avenir Next Condensed" w:cs="Avenir Next Condensed"/>
                <w:spacing w:val="-1"/>
                <w:sz w:val="18"/>
                <w:szCs w:val="18"/>
              </w:rPr>
              <w:t>source</w:t>
            </w:r>
            <w:r>
              <w:rPr>
                <w:rFonts w:ascii="Avenir Next Condensed" w:eastAsia="Avenir Next Condensed" w:hAnsi="Avenir Next Condensed" w:cs="Avenir Next Condensed"/>
                <w:sz w:val="18"/>
                <w:szCs w:val="18"/>
              </w:rPr>
              <w:t xml:space="preserve"> </w:t>
            </w:r>
            <w:r w:rsidR="00B45286">
              <w:rPr>
                <w:rFonts w:ascii="Avenir Next Condensed" w:eastAsia="Avenir Next Condensed" w:hAnsi="Avenir Next Condensed" w:cs="Avenir Next Condensed"/>
                <w:sz w:val="18"/>
                <w:szCs w:val="18"/>
              </w:rPr>
              <w:t>c</w:t>
            </w:r>
            <w:r>
              <w:rPr>
                <w:rFonts w:ascii="Avenir Next Condensed" w:eastAsia="Avenir Next Condensed" w:hAnsi="Avenir Next Condensed" w:cs="Avenir Next Condensed"/>
                <w:spacing w:val="-3"/>
                <w:sz w:val="18"/>
                <w:szCs w:val="18"/>
              </w:rPr>
              <w:t>apacity”.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1"/>
                <w:sz w:val="18"/>
                <w:szCs w:val="18"/>
              </w:rPr>
              <w:t>Cardno</w:t>
            </w:r>
            <w:r>
              <w:rPr>
                <w:rFonts w:ascii="Avenir Next Condensed" w:eastAsia="Avenir Next Condensed" w:hAnsi="Avenir Next Condensed" w:cs="Avenir Next Condensed"/>
                <w:sz w:val="18"/>
                <w:szCs w:val="18"/>
              </w:rPr>
              <w:t xml:space="preserve"> went on to note though that the conditions </w:t>
            </w:r>
            <w:r>
              <w:rPr>
                <w:rFonts w:ascii="Avenir Next Condensed" w:eastAsia="Avenir Next Condensed" w:hAnsi="Avenir Next Condensed" w:cs="Avenir Next Condensed"/>
                <w:spacing w:val="-1"/>
                <w:sz w:val="18"/>
                <w:szCs w:val="18"/>
              </w:rPr>
              <w:t>prevailing</w:t>
            </w:r>
            <w:r>
              <w:rPr>
                <w:rFonts w:ascii="Avenir Next Condensed" w:eastAsia="Avenir Next Condensed" w:hAnsi="Avenir Next Condensed" w:cs="Avenir Next Condensed"/>
                <w:sz w:val="18"/>
                <w:szCs w:val="18"/>
              </w:rPr>
              <w:t xml:space="preserve"> in mid-2007 when dam levels</w:t>
            </w:r>
            <w:r w:rsidR="00B45286">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at 29.7% (~12 months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supply </w:t>
            </w:r>
            <w:r>
              <w:rPr>
                <w:rFonts w:ascii="Avenir Next Condensed" w:eastAsia="Avenir Next Condensed" w:hAnsi="Avenir Next Condensed" w:cs="Avenir Next Condensed"/>
                <w:spacing w:val="-1"/>
                <w:sz w:val="18"/>
                <w:szCs w:val="18"/>
              </w:rPr>
              <w:t>remaining)</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such that “it was understandable that</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would have</w:t>
            </w:r>
            <w:r>
              <w:rPr>
                <w:rFonts w:ascii="Avenir Next Condensed" w:eastAsia="Avenir Next Condensed" w:hAnsi="Avenir Next Condensed" w:cs="Avenir Next Condensed"/>
                <w:spacing w:val="27"/>
                <w:sz w:val="18"/>
                <w:szCs w:val="18"/>
              </w:rPr>
              <w:t xml:space="preserve"> </w:t>
            </w:r>
            <w:r>
              <w:rPr>
                <w:rFonts w:ascii="Avenir Next Condensed" w:eastAsia="Avenir Next Condensed" w:hAnsi="Avenir Next Condensed" w:cs="Avenir Next Condensed"/>
                <w:spacing w:val="-1"/>
                <w:sz w:val="18"/>
                <w:szCs w:val="18"/>
              </w:rPr>
              <w:t>urgently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embarked</w:t>
            </w:r>
            <w:r>
              <w:rPr>
                <w:rFonts w:ascii="Avenir Next Condensed" w:eastAsia="Avenir Next Condensed" w:hAnsi="Avenir Next Condensed" w:cs="Avenir Next Condensed"/>
                <w:sz w:val="18"/>
                <w:szCs w:val="18"/>
              </w:rPr>
              <w:t xml:space="preserve"> on a </w:t>
            </w:r>
            <w:r>
              <w:rPr>
                <w:rFonts w:ascii="Avenir Next Condensed" w:eastAsia="Avenir Next Condensed" w:hAnsi="Avenir Next Condensed" w:cs="Avenir Next Condensed"/>
                <w:spacing w:val="-1"/>
                <w:sz w:val="18"/>
                <w:szCs w:val="18"/>
              </w:rPr>
              <w:t>range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water security </w:t>
            </w:r>
            <w:r>
              <w:rPr>
                <w:rFonts w:ascii="Avenir Next Condensed" w:eastAsia="Avenir Next Condensed" w:hAnsi="Avenir Next Condensed" w:cs="Avenir Next Condensed"/>
                <w:spacing w:val="-3"/>
                <w:sz w:val="18"/>
                <w:szCs w:val="18"/>
              </w:rPr>
              <w:t>measures”.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It also found that the cost </w:t>
            </w:r>
            <w:r>
              <w:rPr>
                <w:rFonts w:ascii="Avenir Next Condensed" w:eastAsia="Avenir Next Condensed" w:hAnsi="Avenir Next Condensed" w:cs="Avenir Next Condensed"/>
                <w:spacing w:val="-1"/>
                <w:sz w:val="18"/>
                <w:szCs w:val="18"/>
              </w:rPr>
              <w:t>increases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associated</w:t>
            </w:r>
            <w:r>
              <w:rPr>
                <w:rFonts w:ascii="Avenir Next Condensed" w:eastAsia="Avenir Next Condensed" w:hAnsi="Avenir Next Condensed" w:cs="Avenir Next Condensed"/>
                <w:sz w:val="18"/>
                <w:szCs w:val="18"/>
              </w:rPr>
              <w:t xml:space="preserve"> with</w:t>
            </w:r>
            <w:r>
              <w:rPr>
                <w:rFonts w:ascii="Avenir Next Condensed" w:eastAsia="Avenir Next Condensed" w:hAnsi="Avenir Next Condensed" w:cs="Avenir Next Condensed"/>
                <w:spacing w:val="63"/>
                <w:sz w:val="18"/>
                <w:szCs w:val="18"/>
              </w:rPr>
              <w:t xml:space="preserve"> </w:t>
            </w:r>
            <w:r>
              <w:rPr>
                <w:rFonts w:ascii="Avenir Next Condensed" w:eastAsia="Avenir Next Condensed" w:hAnsi="Avenir Next Condensed" w:cs="Avenir Next Condensed"/>
                <w:sz w:val="18"/>
                <w:szCs w:val="18"/>
              </w:rPr>
              <w:t xml:space="preserve">the ECD </w:t>
            </w:r>
            <w:r>
              <w:rPr>
                <w:rFonts w:ascii="Avenir Next Condensed" w:eastAsia="Avenir Next Condensed" w:hAnsi="Avenir Next Condensed" w:cs="Avenir Next Condensed"/>
                <w:spacing w:val="-1"/>
                <w:sz w:val="18"/>
                <w:szCs w:val="18"/>
              </w:rPr>
              <w:t>appeared</w:t>
            </w:r>
            <w:r>
              <w:rPr>
                <w:rFonts w:ascii="Avenir Next Condensed" w:eastAsia="Avenir Next Condensed" w:hAnsi="Avenir Next Condensed" w:cs="Avenir Next Condensed"/>
                <w:sz w:val="18"/>
                <w:szCs w:val="18"/>
              </w:rPr>
              <w:t xml:space="preserve"> to be </w:t>
            </w:r>
            <w:r>
              <w:rPr>
                <w:rFonts w:ascii="Avenir Next Condensed" w:eastAsia="Avenir Next Condensed" w:hAnsi="Avenir Next Condensed" w:cs="Avenir Next Condensed"/>
                <w:spacing w:val="-1"/>
                <w:sz w:val="18"/>
                <w:szCs w:val="18"/>
              </w:rPr>
              <w:t>“reasonable”</w:t>
            </w:r>
            <w:r>
              <w:rPr>
                <w:rFonts w:ascii="Avenir Next Condensed" w:eastAsia="Avenir Next Condensed" w:hAnsi="Avenir Next Condensed" w:cs="Avenir Next Condensed"/>
                <w:sz w:val="18"/>
                <w:szCs w:val="18"/>
              </w:rPr>
              <w:t xml:space="preserve"> and that 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more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generally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“appear</w:t>
            </w:r>
            <w:r>
              <w:rPr>
                <w:rFonts w:ascii="Avenir Next Condensed" w:eastAsia="Avenir Next Condensed" w:hAnsi="Avenir Next Condensed" w:cs="Avenir Next Condensed"/>
                <w:sz w:val="18"/>
                <w:szCs w:val="18"/>
              </w:rPr>
              <w:t xml:space="preserve"> to have been</w:t>
            </w:r>
            <w:r>
              <w:rPr>
                <w:rFonts w:ascii="Avenir Next Condensed" w:eastAsia="Avenir Next Condensed" w:hAnsi="Avenir Next Condensed" w:cs="Avenir Next Condensed"/>
                <w:spacing w:val="67"/>
                <w:sz w:val="18"/>
                <w:szCs w:val="18"/>
              </w:rPr>
              <w:t xml:space="preserve"> </w:t>
            </w:r>
            <w:r>
              <w:rPr>
                <w:rFonts w:ascii="Avenir Next Condensed" w:eastAsia="Avenir Next Condensed" w:hAnsi="Avenir Next Condensed" w:cs="Avenir Next Condensed"/>
                <w:sz w:val="18"/>
                <w:szCs w:val="18"/>
              </w:rPr>
              <w:t>implemented</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in</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an</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pacing w:val="-1"/>
                <w:sz w:val="18"/>
                <w:szCs w:val="18"/>
              </w:rPr>
              <w:t>efficient</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pacing w:val="-2"/>
                <w:sz w:val="18"/>
                <w:szCs w:val="18"/>
              </w:rPr>
              <w:t>manner”.</w:t>
            </w:r>
            <w:r>
              <w:rPr>
                <w:rFonts w:ascii="Avenir Next Condensed" w:eastAsia="Avenir Next Condensed" w:hAnsi="Avenir Next Condensed" w:cs="Avenir Next Condensed"/>
                <w:spacing w:val="-2"/>
                <w:position w:val="6"/>
                <w:sz w:val="10"/>
                <w:szCs w:val="10"/>
              </w:rPr>
              <w:t>107</w:t>
            </w:r>
          </w:p>
          <w:p w:rsidR="00D96B91" w:rsidRDefault="00C2656B">
            <w:pPr>
              <w:pStyle w:val="TableParagraph"/>
              <w:spacing w:before="113" w:line="220" w:lineRule="exact"/>
              <w:ind w:left="108" w:right="10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Based on </w:t>
            </w:r>
            <w:r>
              <w:rPr>
                <w:rFonts w:ascii="Avenir Next Condensed" w:eastAsia="Avenir Next Condensed" w:hAnsi="Avenir Next Condensed" w:cs="Avenir Next Condensed"/>
                <w:spacing w:val="-2"/>
                <w:sz w:val="18"/>
                <w:szCs w:val="18"/>
              </w:rPr>
              <w:t>Cardno’s</w:t>
            </w:r>
            <w:r>
              <w:rPr>
                <w:rFonts w:ascii="Avenir Next Condensed" w:eastAsia="Avenir Next Condensed" w:hAnsi="Avenir Next Condensed" w:cs="Avenir Next Condensed"/>
                <w:sz w:val="18"/>
                <w:szCs w:val="18"/>
              </w:rPr>
              <w:t xml:space="preserve"> advice and the findings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its own </w:t>
            </w:r>
            <w:r>
              <w:rPr>
                <w:rFonts w:ascii="Avenir Next Condensed" w:eastAsia="Avenir Next Condensed" w:hAnsi="Avenir Next Condensed" w:cs="Avenir Next Condensed"/>
                <w:spacing w:val="-1"/>
                <w:sz w:val="18"/>
                <w:szCs w:val="18"/>
              </w:rPr>
              <w:t>review</w:t>
            </w:r>
            <w:r>
              <w:rPr>
                <w:rFonts w:ascii="Avenir Next Condensed" w:eastAsia="Avenir Next Condensed" w:hAnsi="Avenir Next Condensed" w:cs="Avenir Next Condensed"/>
                <w:sz w:val="18"/>
                <w:szCs w:val="18"/>
              </w:rPr>
              <w:t xml:space="preserve"> in 2010,</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ICRC decided to accept the </w:t>
            </w:r>
            <w:r>
              <w:rPr>
                <w:rFonts w:ascii="Avenir Next Condensed" w:eastAsia="Avenir Next Condensed" w:hAnsi="Avenir Next Condensed" w:cs="Avenir Next Condensed"/>
                <w:spacing w:val="-1"/>
                <w:sz w:val="18"/>
                <w:szCs w:val="18"/>
              </w:rPr>
              <w:t>increased</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on 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but </w:t>
            </w:r>
            <w:r>
              <w:rPr>
                <w:rFonts w:ascii="Avenir Next Condensed" w:eastAsia="Avenir Next Condensed" w:hAnsi="Avenir Next Condensed" w:cs="Avenir Next Condensed"/>
                <w:spacing w:val="-1"/>
                <w:sz w:val="18"/>
                <w:szCs w:val="18"/>
              </w:rPr>
              <w:t>reiterated</w:t>
            </w:r>
            <w:r>
              <w:rPr>
                <w:rFonts w:ascii="Avenir Next Condensed" w:eastAsia="Avenir Next Condensed" w:hAnsi="Avenir Next Condensed" w:cs="Avenir Next Condensed"/>
                <w:sz w:val="18"/>
                <w:szCs w:val="18"/>
              </w:rPr>
              <w:t xml:space="preserve"> the concerns it had </w:t>
            </w:r>
            <w:r>
              <w:rPr>
                <w:rFonts w:ascii="Avenir Next Condensed" w:eastAsia="Avenir Next Condensed" w:hAnsi="Avenir Next Condensed" w:cs="Avenir Next Condensed"/>
                <w:spacing w:val="-1"/>
                <w:sz w:val="18"/>
                <w:szCs w:val="18"/>
              </w:rPr>
              <w:t>expressed</w:t>
            </w:r>
            <w:r>
              <w:rPr>
                <w:rFonts w:ascii="Avenir Next Condensed" w:eastAsia="Avenir Next Condensed" w:hAnsi="Avenir Next Condensed" w:cs="Avenir Next Condensed"/>
                <w:sz w:val="18"/>
                <w:szCs w:val="18"/>
              </w:rPr>
              <w:t xml:space="preserve"> in its 2010 </w:t>
            </w:r>
            <w:r>
              <w:rPr>
                <w:rFonts w:ascii="Avenir Next Condensed" w:eastAsia="Avenir Next Condensed" w:hAnsi="Avenir Next Condensed" w:cs="Avenir Next Condensed"/>
                <w:spacing w:val="-1"/>
                <w:sz w:val="18"/>
                <w:szCs w:val="18"/>
              </w:rPr>
              <w:t>review</w:t>
            </w:r>
            <w:r>
              <w:rPr>
                <w:rFonts w:ascii="Avenir Next Condensed" w:eastAsia="Avenir Next Condensed" w:hAnsi="Avenir Next Condensed" w:cs="Avenir Next Condensed"/>
                <w:sz w:val="18"/>
                <w:szCs w:val="18"/>
              </w:rPr>
              <w:t xml:space="preserve"> about the</w:t>
            </w:r>
            <w:r>
              <w:rPr>
                <w:rFonts w:ascii="Avenir Next Condensed" w:eastAsia="Avenir Next Condensed" w:hAnsi="Avenir Next Condensed" w:cs="Avenir Next Condensed"/>
                <w:spacing w:val="53"/>
                <w:sz w:val="18"/>
                <w:szCs w:val="18"/>
              </w:rPr>
              <w:t xml:space="preserve"> </w:t>
            </w:r>
            <w:r>
              <w:rPr>
                <w:rFonts w:ascii="Avenir Next Condensed" w:eastAsia="Avenir Next Condensed" w:hAnsi="Avenir Next Condensed" w:cs="Avenir Next Condensed"/>
                <w:spacing w:val="-1"/>
                <w:sz w:val="18"/>
                <w:szCs w:val="18"/>
              </w:rPr>
              <w:t>‘over-cautious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approach</w:t>
            </w:r>
            <w:r>
              <w:rPr>
                <w:rFonts w:ascii="Avenir Next Condensed" w:eastAsia="Avenir Next Condensed" w:hAnsi="Avenir Next Condensed" w:cs="Avenir Next Condensed"/>
                <w:sz w:val="18"/>
                <w:szCs w:val="18"/>
              </w:rPr>
              <w:t xml:space="preserve"> to achieving water </w:t>
            </w:r>
            <w:r>
              <w:rPr>
                <w:rFonts w:ascii="Avenir Next Condensed" w:eastAsia="Avenir Next Condensed" w:hAnsi="Avenir Next Condensed" w:cs="Avenir Next Condensed"/>
                <w:spacing w:val="-2"/>
                <w:sz w:val="18"/>
                <w:szCs w:val="18"/>
              </w:rPr>
              <w:t>security’,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governance and decision-making </w:t>
            </w:r>
            <w:r>
              <w:rPr>
                <w:rFonts w:ascii="Avenir Next Condensed" w:eastAsia="Avenir Next Condensed" w:hAnsi="Avenir Next Condensed" w:cs="Avenir Next Condensed"/>
                <w:spacing w:val="-1"/>
                <w:sz w:val="18"/>
                <w:szCs w:val="18"/>
              </w:rPr>
              <w:t>processes</w:t>
            </w:r>
            <w:r>
              <w:rPr>
                <w:rFonts w:ascii="Avenir Next Condensed" w:eastAsia="Avenir Next Condensed" w:hAnsi="Avenir Next Condensed" w:cs="Avenir Next Condensed"/>
                <w:sz w:val="18"/>
                <w:szCs w:val="18"/>
              </w:rPr>
              <w:t xml:space="preserve"> employed by</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and the potential for the ECD not to have been </w:t>
            </w:r>
            <w:r>
              <w:rPr>
                <w:rFonts w:ascii="Avenir Next Condensed" w:eastAsia="Avenir Next Condensed" w:hAnsi="Avenir Next Condensed" w:cs="Avenir Next Condensed"/>
                <w:spacing w:val="-1"/>
                <w:sz w:val="18"/>
                <w:szCs w:val="18"/>
              </w:rPr>
              <w:t>undertaken.</w:t>
            </w:r>
          </w:p>
        </w:tc>
      </w:tr>
      <w:tr w:rsidR="00D96B91" w:rsidTr="00B45286">
        <w:trPr>
          <w:trHeight w:hRule="exact" w:val="2550"/>
        </w:trPr>
        <w:tc>
          <w:tcPr>
            <w:tcW w:w="23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44"/>
              <w:rPr>
                <w:rFonts w:ascii="Avenir Next Condensed" w:eastAsia="Avenir Next Condensed" w:hAnsi="Avenir Next Condensed" w:cs="Avenir Next Condensed"/>
                <w:sz w:val="18"/>
                <w:szCs w:val="18"/>
              </w:rPr>
            </w:pPr>
            <w:r>
              <w:rPr>
                <w:rFonts w:ascii="Avenir Next Condensed"/>
                <w:spacing w:val="-1"/>
                <w:sz w:val="18"/>
              </w:rPr>
              <w:t>Uriarra</w:t>
            </w:r>
            <w:r>
              <w:rPr>
                <w:rFonts w:ascii="Avenir Next Condensed"/>
                <w:spacing w:val="-4"/>
                <w:sz w:val="18"/>
              </w:rPr>
              <w:t xml:space="preserve"> </w:t>
            </w:r>
            <w:r>
              <w:rPr>
                <w:rFonts w:ascii="Avenir Next Condensed"/>
                <w:sz w:val="18"/>
              </w:rPr>
              <w:t xml:space="preserve">Village </w:t>
            </w:r>
            <w:r>
              <w:rPr>
                <w:rFonts w:ascii="Avenir Next Condensed"/>
                <w:spacing w:val="-1"/>
                <w:sz w:val="18"/>
              </w:rPr>
              <w:t>sewerage</w:t>
            </w:r>
            <w:r>
              <w:rPr>
                <w:rFonts w:ascii="Avenir Next Condensed"/>
                <w:spacing w:val="23"/>
                <w:sz w:val="18"/>
              </w:rPr>
              <w:t xml:space="preserve"> </w:t>
            </w:r>
            <w:r>
              <w:rPr>
                <w:rFonts w:ascii="Avenir Next Condensed"/>
                <w:spacing w:val="-1"/>
                <w:sz w:val="18"/>
              </w:rPr>
              <w:t>project</w:t>
            </w:r>
          </w:p>
        </w:tc>
        <w:tc>
          <w:tcPr>
            <w:tcW w:w="75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5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Based on </w:t>
            </w:r>
            <w:r>
              <w:rPr>
                <w:rFonts w:ascii="Avenir Next Condensed" w:eastAsia="Avenir Next Condensed" w:hAnsi="Avenir Next Condensed" w:cs="Avenir Next Condensed"/>
                <w:spacing w:val="-2"/>
                <w:sz w:val="18"/>
                <w:szCs w:val="18"/>
              </w:rPr>
              <w:t>Cardno’s</w:t>
            </w:r>
            <w:r>
              <w:rPr>
                <w:rFonts w:ascii="Avenir Next Condensed" w:eastAsia="Avenir Next Condensed" w:hAnsi="Avenir Next Condensed" w:cs="Avenir Next Condensed"/>
                <w:sz w:val="18"/>
                <w:szCs w:val="18"/>
              </w:rPr>
              <w:t xml:space="preserve"> advice,</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ICRC decided that a prudent and </w:t>
            </w:r>
            <w:r>
              <w:rPr>
                <w:rFonts w:ascii="Avenir Next Condensed" w:eastAsia="Avenir Next Condensed" w:hAnsi="Avenir Next Condensed" w:cs="Avenir Next Condensed"/>
                <w:spacing w:val="-1"/>
                <w:sz w:val="18"/>
                <w:szCs w:val="18"/>
              </w:rPr>
              <w:t>efficient</w:t>
            </w:r>
            <w:r>
              <w:rPr>
                <w:rFonts w:ascii="Avenir Next Condensed" w:eastAsia="Avenir Next Condensed" w:hAnsi="Avenir Next Condensed" w:cs="Avenir Next Condensed"/>
                <w:sz w:val="18"/>
                <w:szCs w:val="18"/>
              </w:rPr>
              <w:t xml:space="preserve"> service </w:t>
            </w:r>
            <w:r>
              <w:rPr>
                <w:rFonts w:ascii="Avenir Next Condensed" w:eastAsia="Avenir Next Condensed" w:hAnsi="Avenir Next Condensed" w:cs="Avenir Next Condensed"/>
                <w:spacing w:val="-1"/>
                <w:sz w:val="18"/>
                <w:szCs w:val="18"/>
              </w:rPr>
              <w:t>provider</w:t>
            </w:r>
            <w:r>
              <w:rPr>
                <w:rFonts w:ascii="Avenir Next Condensed" w:eastAsia="Avenir Next Condensed" w:hAnsi="Avenir Next Condensed" w:cs="Avenir Next Condensed"/>
                <w:sz w:val="18"/>
                <w:szCs w:val="18"/>
              </w:rPr>
              <w:t xml:space="preserve"> would have built a</w:t>
            </w:r>
            <w:r>
              <w:rPr>
                <w:rFonts w:ascii="Avenir Next Condensed" w:eastAsia="Avenir Next Condensed" w:hAnsi="Avenir Next Condensed" w:cs="Avenir Next Condensed"/>
                <w:spacing w:val="31"/>
                <w:sz w:val="18"/>
                <w:szCs w:val="18"/>
              </w:rPr>
              <w:t xml:space="preserve"> </w:t>
            </w:r>
            <w:r>
              <w:rPr>
                <w:rFonts w:ascii="Avenir Next Condensed" w:eastAsia="Avenir Next Condensed" w:hAnsi="Avenir Next Condensed" w:cs="Avenir Next Condensed"/>
                <w:spacing w:val="-1"/>
                <w:sz w:val="18"/>
                <w:szCs w:val="18"/>
              </w:rPr>
              <w:t>package</w:t>
            </w:r>
            <w:r>
              <w:rPr>
                <w:rFonts w:ascii="Avenir Next Condensed" w:eastAsia="Avenir Next Condensed" w:hAnsi="Avenir Next Condensed" w:cs="Avenir Next Condensed"/>
                <w:sz w:val="18"/>
                <w:szCs w:val="18"/>
              </w:rPr>
              <w:t xml:space="preserve"> plant </w:t>
            </w:r>
            <w:r>
              <w:rPr>
                <w:rFonts w:ascii="Avenir Next Condensed" w:eastAsia="Avenir Next Condensed" w:hAnsi="Avenir Next Condensed" w:cs="Avenir Next Condensed"/>
                <w:spacing w:val="-1"/>
                <w:sz w:val="18"/>
                <w:szCs w:val="18"/>
              </w:rPr>
              <w:t>rather</w:t>
            </w:r>
            <w:r>
              <w:rPr>
                <w:rFonts w:ascii="Avenir Next Condensed" w:eastAsia="Avenir Next Condensed" w:hAnsi="Avenir Next Condensed" w:cs="Avenir Next Condensed"/>
                <w:sz w:val="18"/>
                <w:szCs w:val="18"/>
              </w:rPr>
              <w:t xml:space="preserve"> than the </w:t>
            </w:r>
            <w:r>
              <w:rPr>
                <w:rFonts w:ascii="Avenir Next Condensed" w:eastAsia="Avenir Next Condensed" w:hAnsi="Avenir Next Condensed" w:cs="Avenir Next Condensed"/>
                <w:spacing w:val="-1"/>
                <w:sz w:val="18"/>
                <w:szCs w:val="18"/>
              </w:rPr>
              <w:t>membrane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bioreactor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treatment</w:t>
            </w:r>
            <w:r>
              <w:rPr>
                <w:rFonts w:ascii="Avenir Next Condensed" w:eastAsia="Avenir Next Condensed" w:hAnsi="Avenir Next Condensed" w:cs="Avenir Next Condensed"/>
                <w:sz w:val="18"/>
                <w:szCs w:val="18"/>
              </w:rPr>
              <w:t xml:space="preserve"> plant built by</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3"/>
                <w:sz w:val="18"/>
                <w:szCs w:val="18"/>
              </w:rPr>
              <w:t>ACTEW.</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Therefore</w:t>
            </w:r>
            <w:r>
              <w:rPr>
                <w:rFonts w:ascii="Avenir Next Condensed" w:eastAsia="Avenir Next Condensed" w:hAnsi="Avenir Next Condensed" w:cs="Avenir Next Condensed"/>
                <w:sz w:val="18"/>
                <w:szCs w:val="18"/>
              </w:rPr>
              <w:t xml:space="preserve"> the ICRC decided to</w:t>
            </w:r>
            <w:r>
              <w:rPr>
                <w:rFonts w:ascii="Avenir Next Condensed" w:eastAsia="Avenir Next Condensed" w:hAnsi="Avenir Next Condensed" w:cs="Avenir Next Condensed"/>
                <w:spacing w:val="69"/>
                <w:sz w:val="18"/>
                <w:szCs w:val="18"/>
              </w:rPr>
              <w:t xml:space="preserve"> </w:t>
            </w:r>
            <w:r>
              <w:rPr>
                <w:rFonts w:ascii="Avenir Next Condensed" w:eastAsia="Avenir Next Condensed" w:hAnsi="Avenir Next Condensed" w:cs="Avenir Next Condensed"/>
                <w:spacing w:val="-1"/>
                <w:sz w:val="18"/>
                <w:szCs w:val="18"/>
              </w:rPr>
              <w:t>exclude</w:t>
            </w:r>
            <w:r>
              <w:rPr>
                <w:rFonts w:ascii="Avenir Next Condensed" w:eastAsia="Avenir Next Condensed" w:hAnsi="Avenir Next Condensed" w:cs="Avenir Next Condensed"/>
                <w:sz w:val="18"/>
                <w:szCs w:val="18"/>
              </w:rPr>
              <w:t xml:space="preserve"> the </w:t>
            </w:r>
            <w:r>
              <w:rPr>
                <w:rFonts w:ascii="Avenir Next Condensed" w:eastAsia="Avenir Next Condensed" w:hAnsi="Avenir Next Condensed" w:cs="Avenir Next Condensed"/>
                <w:spacing w:val="-1"/>
                <w:sz w:val="18"/>
                <w:szCs w:val="18"/>
              </w:rPr>
              <w:t>difference</w:t>
            </w:r>
            <w:r>
              <w:rPr>
                <w:rFonts w:ascii="Avenir Next Condensed" w:eastAsia="Avenir Next Condensed" w:hAnsi="Avenir Next Condensed" w:cs="Avenir Next Condensed"/>
                <w:sz w:val="18"/>
                <w:szCs w:val="18"/>
              </w:rPr>
              <w:t xml:space="preserve"> between the costs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these two types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plants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the value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RAB.</w:t>
            </w:r>
          </w:p>
          <w:p w:rsidR="00D96B91" w:rsidRDefault="00C2656B">
            <w:pPr>
              <w:pStyle w:val="TableParagraph"/>
              <w:spacing w:before="113" w:line="220" w:lineRule="exact"/>
              <w:ind w:left="108" w:right="12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ICRC also decided that the </w:t>
            </w:r>
            <w:r>
              <w:rPr>
                <w:rFonts w:ascii="Avenir Next Condensed" w:eastAsia="Avenir Next Condensed" w:hAnsi="Avenir Next Condensed" w:cs="Avenir Next Condensed"/>
                <w:spacing w:val="-1"/>
                <w:sz w:val="18"/>
                <w:szCs w:val="18"/>
              </w:rPr>
              <w:t>project</w:t>
            </w:r>
            <w:r>
              <w:rPr>
                <w:rFonts w:ascii="Avenir Next Condensed" w:eastAsia="Avenir Next Condensed" w:hAnsi="Avenir Next Condensed" w:cs="Avenir Next Condensed"/>
                <w:sz w:val="18"/>
                <w:szCs w:val="18"/>
              </w:rPr>
              <w:t xml:space="preserve"> should have been carried out as a CSO and funded </w:t>
            </w:r>
            <w:r>
              <w:rPr>
                <w:rFonts w:ascii="Avenir Next Condensed" w:eastAsia="Avenir Next Condensed" w:hAnsi="Avenir Next Condensed" w:cs="Avenir Next Condensed"/>
                <w:spacing w:val="-1"/>
                <w:sz w:val="18"/>
                <w:szCs w:val="18"/>
              </w:rPr>
              <w:t>accordingly,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so it decided</w:t>
            </w:r>
            <w:r>
              <w:rPr>
                <w:rFonts w:ascii="Avenir Next Condensed" w:eastAsia="Avenir Next Condensed" w:hAnsi="Avenir Next Condensed" w:cs="Avenir Next Condensed"/>
                <w:spacing w:val="30"/>
                <w:sz w:val="18"/>
                <w:szCs w:val="18"/>
              </w:rPr>
              <w:t xml:space="preserve"> </w:t>
            </w:r>
            <w:r>
              <w:rPr>
                <w:rFonts w:ascii="Avenir Next Condensed" w:eastAsia="Avenir Next Condensed" w:hAnsi="Avenir Next Condensed" w:cs="Avenir Next Condensed"/>
                <w:sz w:val="18"/>
                <w:szCs w:val="18"/>
              </w:rPr>
              <w:t xml:space="preserve">to include the </w:t>
            </w:r>
            <w:r>
              <w:rPr>
                <w:rFonts w:ascii="Avenir Next Condensed" w:eastAsia="Avenir Next Condensed" w:hAnsi="Avenir Next Condensed" w:cs="Avenir Next Condensed"/>
                <w:spacing w:val="-1"/>
                <w:sz w:val="18"/>
                <w:szCs w:val="18"/>
              </w:rPr>
              <w:t>efficient</w:t>
            </w:r>
            <w:r>
              <w:rPr>
                <w:rFonts w:ascii="Avenir Next Condensed" w:eastAsia="Avenir Next Condensed" w:hAnsi="Avenir Next Condensed" w:cs="Avenir Next Condensed"/>
                <w:sz w:val="18"/>
                <w:szCs w:val="18"/>
              </w:rPr>
              <w:t xml:space="preserve"> costs into the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RAB but to </w:t>
            </w:r>
            <w:r>
              <w:rPr>
                <w:rFonts w:ascii="Avenir Next Condensed" w:eastAsia="Avenir Next Condensed" w:hAnsi="Avenir Next Condensed" w:cs="Avenir Next Condensed"/>
                <w:spacing w:val="-1"/>
                <w:sz w:val="18"/>
                <w:szCs w:val="18"/>
              </w:rPr>
              <w:t>make</w:t>
            </w:r>
            <w:r>
              <w:rPr>
                <w:rFonts w:ascii="Avenir Next Condensed" w:eastAsia="Avenir Next Condensed" w:hAnsi="Avenir Next Condensed" w:cs="Avenir Next Condensed"/>
                <w:sz w:val="18"/>
                <w:szCs w:val="18"/>
              </w:rPr>
              <w:t xml:space="preserve"> an </w:t>
            </w:r>
            <w:r>
              <w:rPr>
                <w:rFonts w:ascii="Avenir Next Condensed" w:eastAsia="Avenir Next Condensed" w:hAnsi="Avenir Next Condensed" w:cs="Avenir Next Condensed"/>
                <w:spacing w:val="-1"/>
                <w:sz w:val="18"/>
                <w:szCs w:val="18"/>
              </w:rPr>
              <w:t>offsetting</w:t>
            </w:r>
            <w:r>
              <w:rPr>
                <w:rFonts w:ascii="Avenir Next Condensed" w:eastAsia="Avenir Next Condensed" w:hAnsi="Avenir Next Condensed" w:cs="Avenir Next Condensed"/>
                <w:sz w:val="18"/>
                <w:szCs w:val="18"/>
              </w:rPr>
              <w:t xml:space="preserve"> adjustment to</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pacing w:val="57"/>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so that the ongoing costs,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net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collected </w:t>
            </w:r>
            <w:r>
              <w:rPr>
                <w:rFonts w:ascii="Avenir Next Condensed" w:eastAsia="Avenir Next Condensed" w:hAnsi="Avenir Next Condensed" w:cs="Avenir Next Condensed"/>
                <w:spacing w:val="-1"/>
                <w:sz w:val="18"/>
                <w:szCs w:val="18"/>
              </w:rPr>
              <w:t>directly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Uriarra</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residents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not </w:t>
            </w:r>
            <w:r>
              <w:rPr>
                <w:rFonts w:ascii="Avenir Next Condensed" w:eastAsia="Avenir Next Condensed" w:hAnsi="Avenir Next Condensed" w:cs="Avenir Next Condensed"/>
                <w:spacing w:val="-1"/>
                <w:sz w:val="18"/>
                <w:szCs w:val="18"/>
              </w:rPr>
              <w:t>recovered</w:t>
            </w:r>
            <w:r>
              <w:rPr>
                <w:rFonts w:ascii="Avenir Next Condensed" w:eastAsia="Avenir Next Condensed" w:hAnsi="Avenir Next Condensed" w:cs="Avenir Next Condensed"/>
                <w:spacing w:val="79"/>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the </w:t>
            </w:r>
            <w:r>
              <w:rPr>
                <w:rFonts w:ascii="Avenir Next Condensed" w:eastAsia="Avenir Next Condensed" w:hAnsi="Avenir Next Condensed" w:cs="Avenir Next Condensed"/>
                <w:spacing w:val="-1"/>
                <w:sz w:val="18"/>
                <w:szCs w:val="18"/>
              </w:rPr>
              <w:t>general</w:t>
            </w:r>
            <w:r>
              <w:rPr>
                <w:rFonts w:ascii="Avenir Next Condensed" w:eastAsia="Avenir Next Condensed" w:hAnsi="Avenir Next Condensed" w:cs="Avenir Next Condensed"/>
                <w:sz w:val="18"/>
                <w:szCs w:val="18"/>
              </w:rPr>
              <w:t xml:space="preserve"> population.</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This</w:t>
            </w:r>
            <w:r>
              <w:rPr>
                <w:rFonts w:ascii="Avenir Next Condensed" w:eastAsia="Avenir Next Condensed" w:hAnsi="Avenir Next Condensed" w:cs="Avenir Next Condensed"/>
                <w:sz w:val="18"/>
                <w:szCs w:val="18"/>
              </w:rPr>
              <w:t xml:space="preserve"> adjustment was designed to mimic what would occur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z w:val="18"/>
                <w:szCs w:val="18"/>
              </w:rPr>
              <w:t>Government</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z w:val="18"/>
                <w:szCs w:val="18"/>
              </w:rPr>
              <w:t>actually made a CSO payment to</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3"/>
                <w:sz w:val="18"/>
                <w:szCs w:val="18"/>
              </w:rPr>
              <w:t>ACTEW.</w:t>
            </w:r>
          </w:p>
        </w:tc>
      </w:tr>
      <w:tr w:rsidR="00D96B91" w:rsidTr="00B45286">
        <w:trPr>
          <w:trHeight w:hRule="exact" w:val="998"/>
        </w:trPr>
        <w:tc>
          <w:tcPr>
            <w:tcW w:w="23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Cotter</w:t>
            </w:r>
            <w:r>
              <w:rPr>
                <w:rFonts w:ascii="Avenir Next Condensed"/>
                <w:sz w:val="18"/>
              </w:rPr>
              <w:t xml:space="preserve"> Dam Discovery</w:t>
            </w:r>
            <w:r>
              <w:rPr>
                <w:rFonts w:ascii="Avenir Next Condensed"/>
                <w:spacing w:val="-5"/>
                <w:sz w:val="18"/>
              </w:rPr>
              <w:t xml:space="preserve"> </w:t>
            </w:r>
            <w:r>
              <w:rPr>
                <w:rFonts w:ascii="Avenir Next Condensed"/>
                <w:spacing w:val="-2"/>
                <w:sz w:val="18"/>
              </w:rPr>
              <w:t>Trail</w:t>
            </w:r>
          </w:p>
        </w:tc>
        <w:tc>
          <w:tcPr>
            <w:tcW w:w="75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6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In a similar manner to the </w:t>
            </w:r>
            <w:r>
              <w:rPr>
                <w:rFonts w:ascii="Avenir Next Condensed" w:eastAsia="Avenir Next Condensed" w:hAnsi="Avenir Next Condensed" w:cs="Avenir Next Condensed"/>
                <w:spacing w:val="-1"/>
                <w:sz w:val="18"/>
                <w:szCs w:val="18"/>
              </w:rPr>
              <w:t>Uriarra</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Village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project,</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ICRC concluded that the costs </w:t>
            </w:r>
            <w:r>
              <w:rPr>
                <w:rFonts w:ascii="Avenir Next Condensed" w:eastAsia="Avenir Next Condensed" w:hAnsi="Avenir Next Condensed" w:cs="Avenir Next Condensed"/>
                <w:spacing w:val="-1"/>
                <w:sz w:val="18"/>
                <w:szCs w:val="18"/>
              </w:rPr>
              <w:t>incurred</w:t>
            </w:r>
            <w:r>
              <w:rPr>
                <w:rFonts w:ascii="Avenir Next Condensed" w:eastAsia="Avenir Next Condensed" w:hAnsi="Avenir Next Condensed" w:cs="Avenir Next Condensed"/>
                <w:sz w:val="18"/>
                <w:szCs w:val="18"/>
              </w:rPr>
              <w:t xml:space="preserve"> by</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49"/>
                <w:sz w:val="18"/>
                <w:szCs w:val="18"/>
              </w:rPr>
              <w:t xml:space="preserve"> </w:t>
            </w:r>
            <w:r>
              <w:rPr>
                <w:rFonts w:ascii="Avenir Next Condensed" w:eastAsia="Avenir Next Condensed" w:hAnsi="Avenir Next Condensed" w:cs="Avenir Next Condensed"/>
                <w:sz w:val="18"/>
                <w:szCs w:val="18"/>
              </w:rPr>
              <w:t xml:space="preserve">in developing the discovery </w:t>
            </w:r>
            <w:r>
              <w:rPr>
                <w:rFonts w:ascii="Avenir Next Condensed" w:eastAsia="Avenir Next Condensed" w:hAnsi="Avenir Next Condensed" w:cs="Avenir Next Condensed"/>
                <w:spacing w:val="-1"/>
                <w:sz w:val="18"/>
                <w:szCs w:val="18"/>
              </w:rPr>
              <w:t>trail</w:t>
            </w:r>
            <w:r>
              <w:rPr>
                <w:rFonts w:ascii="Avenir Next Condensed" w:eastAsia="Avenir Next Condensed" w:hAnsi="Avenir Next Condensed" w:cs="Avenir Next Condensed"/>
                <w:sz w:val="18"/>
                <w:szCs w:val="18"/>
              </w:rPr>
              <w:t xml:space="preserve"> should be </w:t>
            </w:r>
            <w:r>
              <w:rPr>
                <w:rFonts w:ascii="Avenir Next Condensed" w:eastAsia="Avenir Next Condensed" w:hAnsi="Avenir Next Condensed" w:cs="Avenir Next Condensed"/>
                <w:spacing w:val="-1"/>
                <w:sz w:val="18"/>
                <w:szCs w:val="18"/>
              </w:rPr>
              <w:t>treated</w:t>
            </w:r>
            <w:r>
              <w:rPr>
                <w:rFonts w:ascii="Avenir Next Condensed" w:eastAsia="Avenir Next Condensed" w:hAnsi="Avenir Next Condensed" w:cs="Avenir Next Condensed"/>
                <w:sz w:val="18"/>
                <w:szCs w:val="18"/>
              </w:rPr>
              <w:t xml:space="preserve"> as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it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funded by the</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z w:val="18"/>
                <w:szCs w:val="18"/>
              </w:rPr>
              <w:t xml:space="preserve">Government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a </w:t>
            </w:r>
            <w:r>
              <w:rPr>
                <w:rFonts w:ascii="Avenir Next Condensed" w:eastAsia="Avenir Next Condensed" w:hAnsi="Avenir Next Condensed" w:cs="Avenir Next Condensed"/>
                <w:spacing w:val="-3"/>
                <w:sz w:val="18"/>
                <w:szCs w:val="18"/>
              </w:rPr>
              <w:t>CSO,</w:t>
            </w:r>
            <w:r>
              <w:rPr>
                <w:rFonts w:ascii="Avenir Next Condensed" w:eastAsia="Avenir Next Condensed" w:hAnsi="Avenir Next Condensed" w:cs="Avenir Next Condensed"/>
                <w:spacing w:val="37"/>
                <w:sz w:val="18"/>
                <w:szCs w:val="18"/>
              </w:rPr>
              <w:t xml:space="preserve"> </w:t>
            </w:r>
            <w:r>
              <w:rPr>
                <w:rFonts w:ascii="Avenir Next Condensed" w:eastAsia="Avenir Next Condensed" w:hAnsi="Avenir Next Condensed" w:cs="Avenir Next Condensed"/>
                <w:sz w:val="18"/>
                <w:szCs w:val="18"/>
              </w:rPr>
              <w:t xml:space="preserve">with the costs included in the water RAB and an </w:t>
            </w:r>
            <w:r>
              <w:rPr>
                <w:rFonts w:ascii="Avenir Next Condensed" w:eastAsia="Avenir Next Condensed" w:hAnsi="Avenir Next Condensed" w:cs="Avenir Next Condensed"/>
                <w:spacing w:val="-1"/>
                <w:sz w:val="18"/>
                <w:szCs w:val="18"/>
              </w:rPr>
              <w:t>offsetting</w:t>
            </w:r>
            <w:r>
              <w:rPr>
                <w:rFonts w:ascii="Avenir Next Condensed" w:eastAsia="Avenir Next Condensed" w:hAnsi="Avenir Next Condensed" w:cs="Avenir Next Condensed"/>
                <w:sz w:val="18"/>
                <w:szCs w:val="18"/>
              </w:rPr>
              <w:t xml:space="preserve"> adjustment made to</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z w:val="18"/>
                <w:szCs w:val="18"/>
              </w:rPr>
              <w:t xml:space="preserve"> for</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z w:val="18"/>
                <w:szCs w:val="18"/>
              </w:rPr>
              <w:t>ongoing costs.</w:t>
            </w:r>
          </w:p>
        </w:tc>
      </w:tr>
    </w:tbl>
    <w:p w:rsidR="00D96B91" w:rsidRDefault="00D96B91">
      <w:pPr>
        <w:rPr>
          <w:rFonts w:ascii="Avenir Next" w:eastAsia="Avenir Next" w:hAnsi="Avenir Next" w:cs="Avenir Next"/>
          <w:b/>
          <w:bCs/>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68" style="width:72.5pt;height:.5pt;mso-position-horizontal-relative:char;mso-position-vertical-relative:line" coordsize="1450,10">
            <v:group id="_x0000_s3169" style="position:absolute;left:5;top:5;width:1440;height:2" coordorigin="5,5" coordsize="1440,2">
              <v:shape id="_x0000_s3170"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38"/>
        <w:ind w:hanging="510"/>
        <w:rPr>
          <w:rFonts w:ascii="Avenir Next" w:eastAsia="Avenir Next" w:hAnsi="Avenir Next" w:cs="Avenir Next"/>
          <w:sz w:val="16"/>
          <w:szCs w:val="16"/>
        </w:rPr>
      </w:pPr>
      <w:r>
        <w:rPr>
          <w:rFonts w:ascii="Avenir Next" w:eastAsia="Avenir Next" w:hAnsi="Avenir Next" w:cs="Avenir Next"/>
          <w:spacing w:val="-1"/>
          <w:sz w:val="16"/>
          <w:szCs w:val="16"/>
        </w:rPr>
        <w:t>These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errors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related</w:t>
      </w:r>
      <w:r>
        <w:rPr>
          <w:rFonts w:ascii="Avenir Next" w:eastAsia="Avenir Next" w:hAnsi="Avenir Next" w:cs="Avenir Next"/>
          <w:sz w:val="16"/>
          <w:szCs w:val="16"/>
        </w:rPr>
        <w:t xml:space="preserve"> to</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treatment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asset disposals and the </w:t>
      </w:r>
      <w:r>
        <w:rPr>
          <w:rFonts w:ascii="Avenir Next" w:eastAsia="Avenir Next" w:hAnsi="Avenir Next" w:cs="Avenir Next"/>
          <w:spacing w:val="-1"/>
          <w:sz w:val="16"/>
          <w:szCs w:val="16"/>
        </w:rPr>
        <w:t>provision</w:t>
      </w:r>
      <w:r>
        <w:rPr>
          <w:rFonts w:ascii="Avenir Next" w:eastAsia="Avenir Next" w:hAnsi="Avenir Next" w:cs="Avenir Next"/>
          <w:sz w:val="16"/>
          <w:szCs w:val="16"/>
        </w:rPr>
        <w:t xml:space="preserve"> made for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indexation</w:t>
      </w:r>
      <w:r>
        <w:rPr>
          <w:rFonts w:ascii="Avenir Next" w:eastAsia="Avenir Next" w:hAnsi="Avenir Next" w:cs="Avenir Next"/>
          <w:sz w:val="16"/>
          <w:szCs w:val="16"/>
        </w:rPr>
        <w:t xml:space="preserve"> in 2007-08.</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pacing w:val="-5"/>
          <w:sz w:val="16"/>
        </w:rPr>
        <w:t>ACTEW,</w:t>
      </w:r>
      <w:r>
        <w:rPr>
          <w:rFonts w:ascii="Avenir Next"/>
          <w:spacing w:val="-8"/>
          <w:sz w:val="16"/>
        </w:rPr>
        <w:t xml:space="preserve"> </w:t>
      </w:r>
      <w:r>
        <w:rPr>
          <w:rFonts w:ascii="Avenir Next"/>
          <w:spacing w:val="-2"/>
          <w:sz w:val="16"/>
        </w:rPr>
        <w:t>Email</w:t>
      </w:r>
      <w:r>
        <w:rPr>
          <w:rFonts w:ascii="Avenir Next"/>
          <w:spacing w:val="-4"/>
          <w:sz w:val="16"/>
        </w:rPr>
        <w:t xml:space="preserve"> </w:t>
      </w:r>
      <w:r>
        <w:rPr>
          <w:rFonts w:ascii="Avenir Next"/>
          <w:spacing w:val="-3"/>
          <w:sz w:val="16"/>
        </w:rPr>
        <w:t>responses</w:t>
      </w:r>
      <w:r>
        <w:rPr>
          <w:rFonts w:ascii="Avenir Next"/>
          <w:spacing w:val="-4"/>
          <w:sz w:val="16"/>
        </w:rPr>
        <w:t xml:space="preserve"> </w:t>
      </w:r>
      <w:r>
        <w:rPr>
          <w:rFonts w:ascii="Avenir Next"/>
          <w:spacing w:val="-1"/>
          <w:sz w:val="16"/>
        </w:rPr>
        <w:t>to</w:t>
      </w:r>
      <w:r>
        <w:rPr>
          <w:rFonts w:ascii="Avenir Next"/>
          <w:spacing w:val="-4"/>
          <w:sz w:val="16"/>
        </w:rPr>
        <w:t xml:space="preserve"> </w:t>
      </w:r>
      <w:r>
        <w:rPr>
          <w:rFonts w:ascii="Avenir Next"/>
          <w:spacing w:val="-2"/>
          <w:sz w:val="16"/>
        </w:rPr>
        <w:t>questions,</w:t>
      </w:r>
      <w:r>
        <w:rPr>
          <w:rFonts w:ascii="Avenir Next"/>
          <w:spacing w:val="-8"/>
          <w:sz w:val="16"/>
        </w:rPr>
        <w:t xml:space="preserve"> </w:t>
      </w:r>
      <w:r>
        <w:rPr>
          <w:rFonts w:ascii="Avenir Next"/>
          <w:sz w:val="16"/>
        </w:rPr>
        <w:t>2</w:t>
      </w:r>
      <w:r>
        <w:rPr>
          <w:rFonts w:ascii="Avenir Next"/>
          <w:spacing w:val="-4"/>
          <w:sz w:val="16"/>
        </w:rPr>
        <w:t xml:space="preserve"> </w:t>
      </w:r>
      <w:r>
        <w:rPr>
          <w:rFonts w:ascii="Avenir Next"/>
          <w:spacing w:val="-2"/>
          <w:sz w:val="16"/>
        </w:rPr>
        <w:t>September</w:t>
      </w:r>
      <w:r>
        <w:rPr>
          <w:rFonts w:ascii="Avenir Next"/>
          <w:spacing w:val="-4"/>
          <w:sz w:val="16"/>
        </w:rPr>
        <w:t xml:space="preserve"> </w:t>
      </w:r>
      <w:r>
        <w:rPr>
          <w:rFonts w:ascii="Avenir Next"/>
          <w:spacing w:val="-2"/>
          <w:sz w:val="16"/>
        </w:rPr>
        <w:t>2014</w:t>
      </w:r>
      <w:r>
        <w:rPr>
          <w:rFonts w:ascii="Avenir Next"/>
          <w:spacing w:val="-4"/>
          <w:sz w:val="16"/>
        </w:rPr>
        <w:t xml:space="preserve"> </w:t>
      </w:r>
      <w:r>
        <w:rPr>
          <w:rFonts w:ascii="Avenir Next"/>
          <w:spacing w:val="-2"/>
          <w:sz w:val="16"/>
        </w:rPr>
        <w:t>and</w:t>
      </w:r>
      <w:r>
        <w:rPr>
          <w:rFonts w:ascii="Avenir Next"/>
          <w:spacing w:val="-7"/>
          <w:sz w:val="16"/>
        </w:rPr>
        <w:t xml:space="preserve"> </w:t>
      </w:r>
      <w:r>
        <w:rPr>
          <w:rFonts w:ascii="Avenir Next"/>
          <w:spacing w:val="-2"/>
          <w:sz w:val="16"/>
        </w:rPr>
        <w:t>Attachment</w:t>
      </w:r>
      <w:r>
        <w:rPr>
          <w:rFonts w:ascii="Avenir Next"/>
          <w:spacing w:val="-7"/>
          <w:sz w:val="16"/>
        </w:rPr>
        <w:t xml:space="preserve"> </w:t>
      </w:r>
      <w:r>
        <w:rPr>
          <w:rFonts w:ascii="Avenir Next"/>
          <w:spacing w:val="-1"/>
          <w:sz w:val="16"/>
        </w:rPr>
        <w:t>A3</w:t>
      </w:r>
      <w:r>
        <w:rPr>
          <w:rFonts w:ascii="Avenir Next"/>
          <w:spacing w:val="-4"/>
          <w:sz w:val="16"/>
        </w:rPr>
        <w:t xml:space="preserve"> </w:t>
      </w:r>
      <w:r>
        <w:rPr>
          <w:rFonts w:ascii="Avenir Next"/>
          <w:spacing w:val="-2"/>
          <w:sz w:val="16"/>
        </w:rPr>
        <w:t>Roll</w:t>
      </w:r>
      <w:r>
        <w:rPr>
          <w:rFonts w:ascii="Avenir Next"/>
          <w:spacing w:val="-4"/>
          <w:sz w:val="16"/>
        </w:rPr>
        <w:t xml:space="preserve"> Forward </w:t>
      </w:r>
      <w:r>
        <w:rPr>
          <w:rFonts w:ascii="Avenir Next"/>
          <w:spacing w:val="-2"/>
          <w:sz w:val="16"/>
        </w:rPr>
        <w:t>Model_amended</w:t>
      </w:r>
      <w:r>
        <w:rPr>
          <w:rFonts w:ascii="Avenir Next"/>
          <w:spacing w:val="-4"/>
          <w:sz w:val="16"/>
        </w:rPr>
        <w:t xml:space="preserve"> </w:t>
      </w:r>
      <w:r>
        <w:rPr>
          <w:rFonts w:ascii="Avenir Next"/>
          <w:spacing w:val="-2"/>
          <w:sz w:val="16"/>
        </w:rPr>
        <w:t>29aug2019.xls</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144 and 153.</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D96B91">
      <w:pPr>
        <w:spacing w:before="6"/>
        <w:rPr>
          <w:rFonts w:ascii="Avenir Next" w:eastAsia="Avenir Next" w:hAnsi="Avenir Next" w:cs="Avenir Next"/>
          <w:sz w:val="5"/>
          <w:szCs w:val="5"/>
        </w:rPr>
      </w:pPr>
    </w:p>
    <w:tbl>
      <w:tblPr>
        <w:tblW w:w="0" w:type="auto"/>
        <w:tblInd w:w="1247" w:type="dxa"/>
        <w:tblLayout w:type="fixed"/>
        <w:tblCellMar>
          <w:left w:w="0" w:type="dxa"/>
          <w:right w:w="0" w:type="dxa"/>
        </w:tblCellMar>
        <w:tblLook w:val="01E0"/>
      </w:tblPr>
      <w:tblGrid>
        <w:gridCol w:w="2302"/>
        <w:gridCol w:w="7513"/>
      </w:tblGrid>
      <w:tr w:rsidR="00D96B91" w:rsidTr="00B45286">
        <w:trPr>
          <w:trHeight w:hRule="exact" w:val="407"/>
        </w:trPr>
        <w:tc>
          <w:tcPr>
            <w:tcW w:w="23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Capital</w:t>
            </w:r>
            <w:r>
              <w:rPr>
                <w:rFonts w:ascii="Avenir Next Condensed"/>
                <w:b/>
                <w:color w:val="FFFFFF"/>
                <w:sz w:val="18"/>
              </w:rPr>
              <w:t xml:space="preserve"> </w:t>
            </w:r>
            <w:r>
              <w:rPr>
                <w:rFonts w:ascii="Avenir Next Condensed"/>
                <w:b/>
                <w:color w:val="FFFFFF"/>
                <w:spacing w:val="-1"/>
                <w:sz w:val="18"/>
              </w:rPr>
              <w:t>expenditure</w:t>
            </w:r>
            <w:r>
              <w:rPr>
                <w:rFonts w:ascii="Avenir Next Condensed"/>
                <w:b/>
                <w:color w:val="FFFFFF"/>
                <w:sz w:val="18"/>
              </w:rPr>
              <w:t xml:space="preserve"> items</w:t>
            </w:r>
          </w:p>
        </w:tc>
        <w:tc>
          <w:tcPr>
            <w:tcW w:w="75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ICRC’s</w:t>
            </w:r>
            <w:r>
              <w:rPr>
                <w:rFonts w:ascii="Avenir Next Condensed" w:eastAsia="Avenir Next Condensed" w:hAnsi="Avenir Next Condensed" w:cs="Avenir Next Condensed"/>
                <w:b/>
                <w:bCs/>
                <w:color w:val="FFFFFF"/>
                <w:sz w:val="18"/>
                <w:szCs w:val="18"/>
              </w:rPr>
              <w:t xml:space="preserve"> findings</w:t>
            </w:r>
          </w:p>
        </w:tc>
      </w:tr>
      <w:tr w:rsidR="00D96B91" w:rsidTr="00B45286">
        <w:trPr>
          <w:trHeight w:hRule="exact" w:val="1095"/>
        </w:trPr>
        <w:tc>
          <w:tcPr>
            <w:tcW w:w="230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33"/>
              <w:rPr>
                <w:rFonts w:ascii="Avenir Next Condensed" w:eastAsia="Avenir Next Condensed" w:hAnsi="Avenir Next Condensed" w:cs="Avenir Next Condensed"/>
                <w:sz w:val="18"/>
                <w:szCs w:val="18"/>
              </w:rPr>
            </w:pPr>
            <w:r>
              <w:rPr>
                <w:rFonts w:ascii="Avenir Next Condensed"/>
                <w:spacing w:val="-1"/>
                <w:sz w:val="18"/>
              </w:rPr>
              <w:t>Greenhouse</w:t>
            </w:r>
            <w:r>
              <w:rPr>
                <w:rFonts w:ascii="Avenir Next Condensed"/>
                <w:sz w:val="18"/>
              </w:rPr>
              <w:t xml:space="preserve"> gas (GHG)</w:t>
            </w:r>
            <w:r>
              <w:rPr>
                <w:rFonts w:ascii="Avenir Next Condensed"/>
                <w:spacing w:val="28"/>
                <w:sz w:val="18"/>
              </w:rPr>
              <w:t xml:space="preserve"> </w:t>
            </w:r>
            <w:r>
              <w:rPr>
                <w:rFonts w:ascii="Avenir Next Condensed"/>
                <w:sz w:val="18"/>
              </w:rPr>
              <w:t>abatement costs</w:t>
            </w:r>
          </w:p>
        </w:tc>
        <w:tc>
          <w:tcPr>
            <w:tcW w:w="75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2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Like</w:t>
            </w:r>
            <w:r>
              <w:rPr>
                <w:rFonts w:ascii="Avenir Next Condensed" w:eastAsia="Avenir Next Condensed" w:hAnsi="Avenir Next Condensed" w:cs="Avenir Next Condensed"/>
                <w:sz w:val="18"/>
                <w:szCs w:val="18"/>
              </w:rPr>
              <w:t xml:space="preserve"> the two </w:t>
            </w:r>
            <w:r>
              <w:rPr>
                <w:rFonts w:ascii="Avenir Next Condensed" w:eastAsia="Avenir Next Condensed" w:hAnsi="Avenir Next Condensed" w:cs="Avenir Next Condensed"/>
                <w:spacing w:val="-1"/>
                <w:sz w:val="18"/>
                <w:szCs w:val="18"/>
              </w:rPr>
              <w:t>preceding</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ICRC found that the GHG abatement costs </w:t>
            </w:r>
            <w:r>
              <w:rPr>
                <w:rFonts w:ascii="Avenir Next Condensed" w:eastAsia="Avenir Next Condensed" w:hAnsi="Avenir Next Condensed" w:cs="Avenir Next Condensed"/>
                <w:spacing w:val="-1"/>
                <w:sz w:val="18"/>
                <w:szCs w:val="18"/>
              </w:rPr>
              <w:t>associated</w:t>
            </w:r>
            <w:r>
              <w:rPr>
                <w:rFonts w:ascii="Avenir Next Condensed" w:eastAsia="Avenir Next Condensed" w:hAnsi="Avenir Next Condensed" w:cs="Avenir Next Condensed"/>
                <w:sz w:val="18"/>
                <w:szCs w:val="18"/>
              </w:rPr>
              <w:t xml:space="preserve"> with the M2G and</w:t>
            </w:r>
            <w:r>
              <w:rPr>
                <w:rFonts w:ascii="Avenir Next Condensed" w:eastAsia="Avenir Next Condensed" w:hAnsi="Avenir Next Condensed" w:cs="Avenir Next Condensed"/>
                <w:spacing w:val="47"/>
                <w:sz w:val="18"/>
                <w:szCs w:val="18"/>
              </w:rPr>
              <w:t xml:space="preserve"> </w:t>
            </w:r>
            <w:r>
              <w:rPr>
                <w:rFonts w:ascii="Avenir Next Condensed" w:eastAsia="Avenir Next Condensed" w:hAnsi="Avenir Next Condensed" w:cs="Avenir Next Condensed"/>
                <w:spacing w:val="-1"/>
                <w:sz w:val="18"/>
                <w:szCs w:val="18"/>
              </w:rPr>
              <w:t>Tantangara</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pacing w:val="-2"/>
                <w:sz w:val="18"/>
                <w:szCs w:val="18"/>
              </w:rPr>
              <w:t>Transfer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should be </w:t>
            </w:r>
            <w:r>
              <w:rPr>
                <w:rFonts w:ascii="Avenir Next Condensed" w:eastAsia="Avenir Next Condensed" w:hAnsi="Avenir Next Condensed" w:cs="Avenir Next Condensed"/>
                <w:spacing w:val="-1"/>
                <w:sz w:val="18"/>
                <w:szCs w:val="18"/>
              </w:rPr>
              <w:t>treated</w:t>
            </w:r>
            <w:r>
              <w:rPr>
                <w:rFonts w:ascii="Avenir Next Condensed" w:eastAsia="Avenir Next Condensed" w:hAnsi="Avenir Next Condensed" w:cs="Avenir Next Condensed"/>
                <w:sz w:val="18"/>
                <w:szCs w:val="18"/>
              </w:rPr>
              <w:t xml:space="preserve"> as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they </w:t>
            </w:r>
            <w:r>
              <w:rPr>
                <w:rFonts w:ascii="Avenir Next Condensed" w:eastAsia="Avenir Next Condensed" w:hAnsi="Avenir Next Condensed" w:cs="Avenir Next Condensed"/>
                <w:spacing w:val="-1"/>
                <w:sz w:val="18"/>
                <w:szCs w:val="18"/>
              </w:rPr>
              <w:t>were</w:t>
            </w:r>
            <w:r>
              <w:rPr>
                <w:rFonts w:ascii="Avenir Next Condensed" w:eastAsia="Avenir Next Condensed" w:hAnsi="Avenir Next Condensed" w:cs="Avenir Next Condensed"/>
                <w:sz w:val="18"/>
                <w:szCs w:val="18"/>
              </w:rPr>
              <w:t xml:space="preserve"> funded by the</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w:t>
            </w:r>
            <w:r>
              <w:rPr>
                <w:rFonts w:ascii="Avenir Next Condensed" w:eastAsia="Avenir Next Condensed" w:hAnsi="Avenir Next Condensed" w:cs="Avenir Next Condensed"/>
                <w:spacing w:val="-5"/>
                <w:sz w:val="18"/>
                <w:szCs w:val="18"/>
              </w:rPr>
              <w:t xml:space="preserve"> </w:t>
            </w:r>
            <w:r>
              <w:rPr>
                <w:rFonts w:ascii="Avenir Next Condensed" w:eastAsia="Avenir Next Condensed" w:hAnsi="Avenir Next Condensed" w:cs="Avenir Next Condensed"/>
                <w:sz w:val="18"/>
                <w:szCs w:val="18"/>
              </w:rPr>
              <w:t xml:space="preserve">Government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a </w:t>
            </w:r>
            <w:r>
              <w:rPr>
                <w:rFonts w:ascii="Avenir Next Condensed" w:eastAsia="Avenir Next Condensed" w:hAnsi="Avenir Next Condensed" w:cs="Avenir Next Condensed"/>
                <w:spacing w:val="-3"/>
                <w:sz w:val="18"/>
                <w:szCs w:val="18"/>
              </w:rPr>
              <w:t>CSO,</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with</w:t>
            </w:r>
            <w:r>
              <w:rPr>
                <w:rFonts w:ascii="Avenir Next Condensed" w:eastAsia="Avenir Next Condensed" w:hAnsi="Avenir Next Condensed" w:cs="Avenir Next Condensed"/>
                <w:spacing w:val="59"/>
                <w:sz w:val="18"/>
                <w:szCs w:val="18"/>
              </w:rPr>
              <w:t xml:space="preserve"> </w:t>
            </w:r>
            <w:r>
              <w:rPr>
                <w:rFonts w:ascii="Avenir Next Condensed" w:eastAsia="Avenir Next Condensed" w:hAnsi="Avenir Next Condensed" w:cs="Avenir Next Condensed"/>
                <w:sz w:val="18"/>
                <w:szCs w:val="18"/>
              </w:rPr>
              <w:t xml:space="preserve">the costs included in the water RAB and an </w:t>
            </w:r>
            <w:r>
              <w:rPr>
                <w:rFonts w:ascii="Avenir Next Condensed" w:eastAsia="Avenir Next Condensed" w:hAnsi="Avenir Next Condensed" w:cs="Avenir Next Condensed"/>
                <w:spacing w:val="-1"/>
                <w:sz w:val="18"/>
                <w:szCs w:val="18"/>
              </w:rPr>
              <w:t>offsetting</w:t>
            </w:r>
            <w:r>
              <w:rPr>
                <w:rFonts w:ascii="Avenir Next Condensed" w:eastAsia="Avenir Next Condensed" w:hAnsi="Avenir Next Condensed" w:cs="Avenir Next Condensed"/>
                <w:sz w:val="18"/>
                <w:szCs w:val="18"/>
              </w:rPr>
              <w:t xml:space="preserve"> adjustment made to</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p>
        </w:tc>
      </w:tr>
      <w:tr w:rsidR="00D96B91" w:rsidTr="00B45286">
        <w:trPr>
          <w:trHeight w:hRule="exact" w:val="847"/>
        </w:trPr>
        <w:tc>
          <w:tcPr>
            <w:tcW w:w="23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Contract</w:t>
            </w:r>
            <w:r>
              <w:rPr>
                <w:rFonts w:ascii="Avenir Next Condensed"/>
                <w:sz w:val="18"/>
              </w:rPr>
              <w:t xml:space="preserve"> </w:t>
            </w:r>
            <w:r>
              <w:rPr>
                <w:rFonts w:ascii="Avenir Next Condensed"/>
                <w:spacing w:val="-1"/>
                <w:sz w:val="18"/>
              </w:rPr>
              <w:t>margin</w:t>
            </w:r>
            <w:r>
              <w:rPr>
                <w:rFonts w:ascii="Avenir Next Condensed"/>
                <w:sz w:val="18"/>
              </w:rPr>
              <w:t xml:space="preserve"> payable</w:t>
            </w:r>
          </w:p>
        </w:tc>
        <w:tc>
          <w:tcPr>
            <w:tcW w:w="75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619"/>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ICRC found that the 3% </w:t>
            </w:r>
            <w:r>
              <w:rPr>
                <w:rFonts w:ascii="Avenir Next Condensed"/>
                <w:spacing w:val="-1"/>
                <w:sz w:val="18"/>
              </w:rPr>
              <w:t>margin</w:t>
            </w:r>
            <w:r>
              <w:rPr>
                <w:rFonts w:ascii="Avenir Next Condensed"/>
                <w:sz w:val="18"/>
              </w:rPr>
              <w:t xml:space="preserve"> payable by</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 xml:space="preserve">to a </w:t>
            </w:r>
            <w:r>
              <w:rPr>
                <w:rFonts w:ascii="Avenir Next Condensed"/>
                <w:spacing w:val="-1"/>
                <w:sz w:val="18"/>
              </w:rPr>
              <w:t>related</w:t>
            </w:r>
            <w:r>
              <w:rPr>
                <w:rFonts w:ascii="Avenir Next Condensed"/>
                <w:sz w:val="18"/>
              </w:rPr>
              <w:t xml:space="preserve"> </w:t>
            </w:r>
            <w:r>
              <w:rPr>
                <w:rFonts w:ascii="Avenir Next Condensed"/>
                <w:spacing w:val="-1"/>
                <w:sz w:val="18"/>
              </w:rPr>
              <w:t>entity,</w:t>
            </w:r>
            <w:r>
              <w:rPr>
                <w:rFonts w:ascii="Avenir Next Condensed"/>
                <w:spacing w:val="-9"/>
                <w:sz w:val="18"/>
              </w:rPr>
              <w:t xml:space="preserve"> </w:t>
            </w:r>
            <w:r>
              <w:rPr>
                <w:rFonts w:ascii="Avenir Next Condensed"/>
                <w:spacing w:val="-1"/>
                <w:sz w:val="18"/>
              </w:rPr>
              <w:t>ActewAGL</w:t>
            </w:r>
            <w:r>
              <w:rPr>
                <w:rFonts w:ascii="Avenir Next Condensed"/>
                <w:spacing w:val="-5"/>
                <w:sz w:val="18"/>
              </w:rPr>
              <w:t xml:space="preserve"> </w:t>
            </w:r>
            <w:r>
              <w:rPr>
                <w:rFonts w:ascii="Avenir Next Condensed"/>
                <w:sz w:val="18"/>
              </w:rPr>
              <w:t>under the Utilities</w:t>
            </w:r>
            <w:r>
              <w:rPr>
                <w:rFonts w:ascii="Avenir Next Condensed"/>
                <w:spacing w:val="35"/>
                <w:sz w:val="18"/>
              </w:rPr>
              <w:t xml:space="preserve"> </w:t>
            </w:r>
            <w:r>
              <w:rPr>
                <w:rFonts w:ascii="Avenir Next Condensed"/>
                <w:sz w:val="18"/>
              </w:rPr>
              <w:t>Management</w:t>
            </w:r>
            <w:r>
              <w:rPr>
                <w:rFonts w:ascii="Avenir Next Condensed"/>
                <w:spacing w:val="-4"/>
                <w:sz w:val="18"/>
              </w:rPr>
              <w:t xml:space="preserve"> </w:t>
            </w:r>
            <w:r>
              <w:rPr>
                <w:rFonts w:ascii="Avenir Next Condensed"/>
                <w:spacing w:val="-1"/>
                <w:sz w:val="18"/>
              </w:rPr>
              <w:t>Agreement</w:t>
            </w:r>
            <w:r>
              <w:rPr>
                <w:rFonts w:ascii="Avenir Next Condensed"/>
                <w:sz w:val="18"/>
              </w:rPr>
              <w:t xml:space="preserve"> (UMA),</w:t>
            </w:r>
            <w:r>
              <w:rPr>
                <w:rFonts w:ascii="Avenir Next Condensed"/>
                <w:spacing w:val="-6"/>
                <w:sz w:val="18"/>
              </w:rPr>
              <w:t xml:space="preserve"> </w:t>
            </w:r>
            <w:r>
              <w:rPr>
                <w:rFonts w:ascii="Avenir Next Condensed"/>
                <w:sz w:val="18"/>
              </w:rPr>
              <w:t xml:space="preserve">should be </w:t>
            </w:r>
            <w:r>
              <w:rPr>
                <w:rFonts w:ascii="Avenir Next Condensed"/>
                <w:spacing w:val="-1"/>
                <w:sz w:val="18"/>
              </w:rPr>
              <w:t>excluded</w:t>
            </w:r>
            <w:r>
              <w:rPr>
                <w:rFonts w:ascii="Avenir Next Condensed"/>
                <w:sz w:val="18"/>
              </w:rPr>
              <w:t xml:space="preserve"> </w:t>
            </w:r>
            <w:r>
              <w:rPr>
                <w:rFonts w:ascii="Avenir Next Condensed"/>
                <w:spacing w:val="-1"/>
                <w:sz w:val="18"/>
              </w:rPr>
              <w:t>from</w:t>
            </w:r>
            <w:r>
              <w:rPr>
                <w:rFonts w:ascii="Avenir Next Condensed"/>
                <w:sz w:val="18"/>
              </w:rPr>
              <w:t xml:space="preserve"> the RAB because the </w:t>
            </w:r>
            <w:r>
              <w:rPr>
                <w:rFonts w:ascii="Avenir Next Condensed"/>
                <w:spacing w:val="-1"/>
                <w:sz w:val="18"/>
              </w:rPr>
              <w:t>contract</w:t>
            </w:r>
            <w:r>
              <w:rPr>
                <w:rFonts w:ascii="Avenir Next Condensed"/>
                <w:sz w:val="18"/>
              </w:rPr>
              <w:t xml:space="preserve"> did not deliver the</w:t>
            </w:r>
            <w:r>
              <w:rPr>
                <w:rFonts w:ascii="Avenir Next Condensed"/>
                <w:spacing w:val="39"/>
                <w:sz w:val="18"/>
              </w:rPr>
              <w:t xml:space="preserve"> </w:t>
            </w:r>
            <w:r>
              <w:rPr>
                <w:rFonts w:ascii="Avenir Next Condensed"/>
                <w:sz w:val="18"/>
              </w:rPr>
              <w:t xml:space="preserve">benefits that </w:t>
            </w:r>
            <w:r>
              <w:rPr>
                <w:rFonts w:ascii="Avenir Next Condensed"/>
                <w:spacing w:val="-1"/>
                <w:sz w:val="18"/>
              </w:rPr>
              <w:t>were</w:t>
            </w:r>
            <w:r>
              <w:rPr>
                <w:rFonts w:ascii="Avenir Next Condensed"/>
                <w:sz w:val="18"/>
              </w:rPr>
              <w:t xml:space="preserve"> originally </w:t>
            </w:r>
            <w:r>
              <w:rPr>
                <w:rFonts w:ascii="Avenir Next Condensed"/>
                <w:spacing w:val="-1"/>
                <w:sz w:val="18"/>
              </w:rPr>
              <w:t>expected.</w:t>
            </w:r>
          </w:p>
        </w:tc>
      </w:tr>
    </w:tbl>
    <w:p w:rsidR="00D96B91" w:rsidRDefault="00D96B91">
      <w:pPr>
        <w:spacing w:before="6"/>
        <w:rPr>
          <w:rFonts w:ascii="Avenir Next" w:eastAsia="Avenir Next" w:hAnsi="Avenir Next" w:cs="Avenir Next"/>
          <w:sz w:val="6"/>
          <w:szCs w:val="6"/>
        </w:rPr>
      </w:pPr>
    </w:p>
    <w:p w:rsidR="00D96B91" w:rsidRDefault="00C2656B">
      <w:pPr>
        <w:spacing w:before="57"/>
        <w:ind w:left="1247" w:right="1283"/>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z w:val="16"/>
          <w:szCs w:val="16"/>
        </w:rPr>
        <w:t xml:space="preserve"> ICRC,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Regulated</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Chapter 6 and </w:t>
      </w:r>
      <w:r>
        <w:rPr>
          <w:rFonts w:ascii="Avenir Next" w:eastAsia="Avenir Next" w:hAnsi="Avenir Next" w:cs="Avenir Next"/>
          <w:spacing w:val="-2"/>
          <w:sz w:val="16"/>
          <w:szCs w:val="16"/>
        </w:rPr>
        <w:t>Cardno,</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pacing w:val="73"/>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2012.</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56"/>
      </w:pPr>
      <w:r>
        <w:t>Having</w:t>
      </w:r>
      <w:r>
        <w:rPr>
          <w:spacing w:val="-1"/>
        </w:rPr>
        <w:t xml:space="preserve"> examined </w:t>
      </w:r>
      <w:r>
        <w:rPr>
          <w:spacing w:val="-3"/>
        </w:rPr>
        <w:t>Cardno’s</w:t>
      </w:r>
      <w:r>
        <w:rPr>
          <w:spacing w:val="-1"/>
        </w:rPr>
        <w:t xml:space="preserve"> </w:t>
      </w:r>
      <w:r>
        <w:rPr>
          <w:spacing w:val="-2"/>
        </w:rPr>
        <w:t>report</w:t>
      </w:r>
      <w:r>
        <w:t xml:space="preserve"> and</w:t>
      </w:r>
      <w:r>
        <w:rPr>
          <w:spacing w:val="-1"/>
        </w:rPr>
        <w:t xml:space="preserve"> </w:t>
      </w:r>
      <w:r>
        <w:t>the</w:t>
      </w:r>
      <w:r>
        <w:rPr>
          <w:spacing w:val="-1"/>
        </w:rPr>
        <w:t xml:space="preserve"> </w:t>
      </w:r>
      <w:r>
        <w:rPr>
          <w:spacing w:val="-2"/>
        </w:rPr>
        <w:t>ICRC’s</w:t>
      </w:r>
      <w:r>
        <w:t xml:space="preserve"> final</w:t>
      </w:r>
      <w:r>
        <w:rPr>
          <w:spacing w:val="-1"/>
        </w:rPr>
        <w:t xml:space="preserve"> </w:t>
      </w:r>
      <w:r>
        <w:t>decision,</w:t>
      </w:r>
      <w:r>
        <w:rPr>
          <w:spacing w:val="-6"/>
        </w:rPr>
        <w:t xml:space="preserve"> </w:t>
      </w:r>
      <w:r>
        <w:t>the</w:t>
      </w:r>
      <w:r>
        <w:rPr>
          <w:spacing w:val="-1"/>
        </w:rPr>
        <w:t xml:space="preserve"> </w:t>
      </w:r>
      <w:r>
        <w:rPr>
          <w:spacing w:val="-3"/>
        </w:rPr>
        <w:t>Panel</w:t>
      </w:r>
      <w:r>
        <w:rPr>
          <w:spacing w:val="-1"/>
        </w:rPr>
        <w:t xml:space="preserve"> </w:t>
      </w:r>
      <w:r>
        <w:t>is</w:t>
      </w:r>
      <w:r>
        <w:rPr>
          <w:spacing w:val="-1"/>
        </w:rPr>
        <w:t xml:space="preserve"> satisfied</w:t>
      </w:r>
      <w:r>
        <w:t xml:space="preserve"> </w:t>
      </w:r>
      <w:r>
        <w:rPr>
          <w:spacing w:val="-1"/>
        </w:rPr>
        <w:t>that</w:t>
      </w:r>
      <w:r>
        <w:rPr>
          <w:spacing w:val="-5"/>
        </w:rPr>
        <w:t xml:space="preserve"> </w:t>
      </w:r>
      <w:r>
        <w:rPr>
          <w:spacing w:val="-2"/>
        </w:rPr>
        <w:t>ACTEW’s</w:t>
      </w:r>
      <w:r>
        <w:rPr>
          <w:spacing w:val="65"/>
        </w:rPr>
        <w:t xml:space="preserve"> </w:t>
      </w:r>
      <w:r>
        <w:rPr>
          <w:rFonts w:cs="Avenir Next"/>
        </w:rPr>
        <w:t xml:space="preserve">capital </w:t>
      </w:r>
      <w:r>
        <w:rPr>
          <w:rFonts w:cs="Avenir Next"/>
          <w:spacing w:val="-1"/>
        </w:rPr>
        <w:t>expenditure</w:t>
      </w:r>
      <w:r>
        <w:rPr>
          <w:rFonts w:cs="Avenir Next"/>
        </w:rPr>
        <w:t xml:space="preserve"> in the </w:t>
      </w:r>
      <w:r>
        <w:rPr>
          <w:rFonts w:cs="Avenir Next"/>
          <w:spacing w:val="-1"/>
        </w:rPr>
        <w:t>previous</w:t>
      </w:r>
      <w:r>
        <w:rPr>
          <w:rFonts w:cs="Avenir Next"/>
        </w:rPr>
        <w:t xml:space="preserve"> </w:t>
      </w:r>
      <w:r>
        <w:rPr>
          <w:rFonts w:cs="Avenir Next"/>
          <w:spacing w:val="-1"/>
        </w:rPr>
        <w:t>regulatory</w:t>
      </w:r>
      <w:r>
        <w:rPr>
          <w:rFonts w:cs="Avenir Next"/>
        </w:rPr>
        <w:t xml:space="preserve"> period has been subject to a </w:t>
      </w:r>
      <w:r>
        <w:rPr>
          <w:rFonts w:cs="Avenir Next"/>
          <w:spacing w:val="-1"/>
        </w:rPr>
        <w:t>comprehensive</w:t>
      </w:r>
      <w:r>
        <w:rPr>
          <w:rFonts w:cs="Avenir Next"/>
        </w:rPr>
        <w:t xml:space="preserve"> and </w:t>
      </w:r>
      <w:r>
        <w:rPr>
          <w:rFonts w:cs="Avenir Next"/>
          <w:spacing w:val="-1"/>
        </w:rPr>
        <w:t>robust</w:t>
      </w:r>
      <w:r>
        <w:rPr>
          <w:rFonts w:cs="Avenir Next"/>
          <w:spacing w:val="49"/>
        </w:rPr>
        <w:t xml:space="preserve"> </w:t>
      </w:r>
      <w:r>
        <w:rPr>
          <w:rFonts w:cs="Avenir Next"/>
          <w:i/>
          <w:spacing w:val="-1"/>
        </w:rPr>
        <w:t xml:space="preserve">ex </w:t>
      </w:r>
      <w:r>
        <w:rPr>
          <w:rFonts w:cs="Avenir Next"/>
          <w:i/>
        </w:rPr>
        <w:t xml:space="preserve">post </w:t>
      </w:r>
      <w:r>
        <w:rPr>
          <w:spacing w:val="-2"/>
        </w:rPr>
        <w:t>review.</w:t>
      </w:r>
      <w:r>
        <w:rPr>
          <w:spacing w:val="-12"/>
        </w:rPr>
        <w:t xml:space="preserve"> </w:t>
      </w:r>
      <w:r>
        <w:rPr>
          <w:spacing w:val="-2"/>
        </w:rPr>
        <w:t>Therefore,</w:t>
      </w:r>
      <w:r>
        <w:rPr>
          <w:spacing w:val="-6"/>
        </w:rPr>
        <w:t xml:space="preserve"> </w:t>
      </w:r>
      <w:r>
        <w:t>the</w:t>
      </w:r>
      <w:r>
        <w:rPr>
          <w:spacing w:val="-1"/>
        </w:rPr>
        <w:t xml:space="preserve"> </w:t>
      </w:r>
      <w:r>
        <w:rPr>
          <w:spacing w:val="-3"/>
        </w:rPr>
        <w:t>Panel</w:t>
      </w:r>
      <w:r>
        <w:t xml:space="preserve"> decided to</w:t>
      </w:r>
      <w:r>
        <w:rPr>
          <w:spacing w:val="-1"/>
        </w:rPr>
        <w:t xml:space="preserve"> rely</w:t>
      </w:r>
      <w:r>
        <w:t xml:space="preserve"> on</w:t>
      </w:r>
      <w:r>
        <w:rPr>
          <w:spacing w:val="-1"/>
        </w:rPr>
        <w:t xml:space="preserve"> </w:t>
      </w:r>
      <w:r>
        <w:t xml:space="preserve">the </w:t>
      </w:r>
      <w:r>
        <w:rPr>
          <w:spacing w:val="-1"/>
        </w:rPr>
        <w:t xml:space="preserve">results </w:t>
      </w:r>
      <w:r>
        <w:t>of</w:t>
      </w:r>
      <w:r>
        <w:rPr>
          <w:spacing w:val="4"/>
        </w:rPr>
        <w:t xml:space="preserve"> </w:t>
      </w:r>
      <w:r>
        <w:t>this</w:t>
      </w:r>
      <w:r>
        <w:rPr>
          <w:spacing w:val="-1"/>
        </w:rPr>
        <w:t xml:space="preserve"> review</w:t>
      </w:r>
      <w:r>
        <w:t xml:space="preserve"> and the</w:t>
      </w:r>
      <w:r>
        <w:rPr>
          <w:spacing w:val="-1"/>
        </w:rPr>
        <w:t xml:space="preserve"> </w:t>
      </w:r>
      <w:r>
        <w:t>findings</w:t>
      </w:r>
      <w:r>
        <w:rPr>
          <w:spacing w:val="37"/>
          <w:w w:val="99"/>
        </w:rPr>
        <w:t xml:space="preserve"> </w:t>
      </w:r>
      <w:r>
        <w:rPr>
          <w:rFonts w:cs="Avenir Next"/>
        </w:rPr>
        <w:t>contained in</w:t>
      </w:r>
      <w:r>
        <w:rPr>
          <w:rFonts w:cs="Avenir Next"/>
          <w:spacing w:val="-5"/>
        </w:rPr>
        <w:t xml:space="preserve"> </w:t>
      </w:r>
      <w:hyperlink w:anchor="_bookmark66" w:history="1">
        <w:r>
          <w:rPr>
            <w:spacing w:val="-4"/>
          </w:rPr>
          <w:t>Table</w:t>
        </w:r>
        <w:r>
          <w:t xml:space="preserve"> 9.5</w:t>
        </w:r>
      </w:hyperlink>
      <w:r>
        <w:t>.</w:t>
      </w:r>
    </w:p>
    <w:p w:rsidR="00D96B91" w:rsidRDefault="00C2656B">
      <w:pPr>
        <w:pStyle w:val="BodyText"/>
        <w:spacing w:before="178"/>
        <w:rPr>
          <w:rFonts w:cs="Avenir Next"/>
        </w:rPr>
      </w:pPr>
      <w:r>
        <w:t xml:space="preserve">In addition to the </w:t>
      </w:r>
      <w:r>
        <w:rPr>
          <w:spacing w:val="-1"/>
        </w:rPr>
        <w:t>revisions</w:t>
      </w:r>
      <w:r>
        <w:t xml:space="preserve"> outlined in</w:t>
      </w:r>
      <w:r>
        <w:rPr>
          <w:spacing w:val="-5"/>
        </w:rPr>
        <w:t xml:space="preserve"> </w:t>
      </w:r>
      <w:hyperlink w:anchor="_bookmark66" w:history="1">
        <w:r>
          <w:rPr>
            <w:spacing w:val="-4"/>
          </w:rPr>
          <w:t>Table</w:t>
        </w:r>
        <w:r>
          <w:t xml:space="preserve"> 9.5</w:t>
        </w:r>
      </w:hyperlink>
      <w:r>
        <w:t>,</w:t>
      </w:r>
      <w:r>
        <w:rPr>
          <w:spacing w:val="-6"/>
        </w:rPr>
        <w:t xml:space="preserve"> </w:t>
      </w:r>
      <w:r>
        <w:t>the ICRC made the following adjustments:</w:t>
      </w:r>
    </w:p>
    <w:p w:rsidR="00D96B91" w:rsidRDefault="00C2656B">
      <w:pPr>
        <w:pStyle w:val="BodyText"/>
        <w:numPr>
          <w:ilvl w:val="0"/>
          <w:numId w:val="131"/>
        </w:numPr>
        <w:tabs>
          <w:tab w:val="left" w:pos="1531"/>
        </w:tabs>
        <w:spacing w:before="149" w:line="260" w:lineRule="exact"/>
        <w:ind w:right="1428" w:hanging="283"/>
        <w:jc w:val="both"/>
      </w:pPr>
      <w:r>
        <w:t>the opening values of</w:t>
      </w:r>
      <w:r>
        <w:rPr>
          <w:spacing w:val="4"/>
        </w:rPr>
        <w:t xml:space="preserve"> </w:t>
      </w:r>
      <w:r>
        <w:t xml:space="preserve">the </w:t>
      </w:r>
      <w:r>
        <w:rPr>
          <w:spacing w:val="-1"/>
        </w:rPr>
        <w:t>water</w:t>
      </w:r>
      <w:r>
        <w:t xml:space="preserve"> and </w:t>
      </w:r>
      <w:r>
        <w:rPr>
          <w:spacing w:val="-1"/>
        </w:rPr>
        <w:t>sewerage</w:t>
      </w:r>
      <w:r>
        <w:t xml:space="preserve"> RABs as </w:t>
      </w:r>
      <w:r>
        <w:rPr>
          <w:spacing w:val="-1"/>
        </w:rPr>
        <w:t>at</w:t>
      </w:r>
      <w:r>
        <w:t xml:space="preserve"> 1</w:t>
      </w:r>
      <w:r>
        <w:rPr>
          <w:spacing w:val="-3"/>
        </w:rPr>
        <w:t xml:space="preserve"> </w:t>
      </w:r>
      <w:r>
        <w:t xml:space="preserve">July 2008 </w:t>
      </w:r>
      <w:r>
        <w:rPr>
          <w:spacing w:val="-1"/>
        </w:rPr>
        <w:t>were</w:t>
      </w:r>
      <w:r>
        <w:t xml:space="preserve"> adjusted to account for</w:t>
      </w:r>
      <w:r>
        <w:rPr>
          <w:spacing w:val="29"/>
        </w:rPr>
        <w:t xml:space="preserve"> </w:t>
      </w:r>
      <w:r>
        <w:rPr>
          <w:spacing w:val="-1"/>
        </w:rPr>
        <w:t xml:space="preserve">differences </w:t>
      </w:r>
      <w:r>
        <w:t xml:space="preserve">between </w:t>
      </w:r>
      <w:r>
        <w:rPr>
          <w:spacing w:val="-1"/>
        </w:rPr>
        <w:t>forecast</w:t>
      </w:r>
      <w:r>
        <w:t xml:space="preserve"> and</w:t>
      </w:r>
      <w:r>
        <w:rPr>
          <w:spacing w:val="-1"/>
        </w:rPr>
        <w:t xml:space="preserve"> </w:t>
      </w:r>
      <w:r>
        <w:t xml:space="preserve">actual capital </w:t>
      </w:r>
      <w:r>
        <w:rPr>
          <w:spacing w:val="-1"/>
        </w:rPr>
        <w:t>expenditure</w:t>
      </w:r>
      <w:r>
        <w:t xml:space="preserve"> and</w:t>
      </w:r>
      <w:r>
        <w:rPr>
          <w:spacing w:val="-1"/>
        </w:rPr>
        <w:t xml:space="preserve"> inflation</w:t>
      </w:r>
      <w:r>
        <w:t xml:space="preserve"> in 2007-08</w:t>
      </w:r>
      <w:r>
        <w:rPr>
          <w:spacing w:val="-1"/>
        </w:rPr>
        <w:t xml:space="preserve"> </w:t>
      </w:r>
      <w:r>
        <w:t>and a change</w:t>
      </w:r>
      <w:r>
        <w:rPr>
          <w:spacing w:val="39"/>
        </w:rPr>
        <w:t xml:space="preserve"> </w:t>
      </w:r>
      <w:r>
        <w:t>in</w:t>
      </w:r>
      <w:r>
        <w:rPr>
          <w:spacing w:val="-1"/>
        </w:rPr>
        <w:t xml:space="preserve"> </w:t>
      </w:r>
      <w:r>
        <w:t>the</w:t>
      </w:r>
      <w:r>
        <w:rPr>
          <w:spacing w:val="-1"/>
        </w:rPr>
        <w:t xml:space="preserve"> inflation</w:t>
      </w:r>
      <w:r>
        <w:t xml:space="preserve"> </w:t>
      </w:r>
      <w:r>
        <w:rPr>
          <w:spacing w:val="-1"/>
        </w:rPr>
        <w:t xml:space="preserve">index </w:t>
      </w:r>
      <w:r>
        <w:t>in</w:t>
      </w:r>
      <w:r>
        <w:rPr>
          <w:spacing w:val="-1"/>
        </w:rPr>
        <w:t xml:space="preserve"> </w:t>
      </w:r>
      <w:r>
        <w:t>2006-07,</w:t>
      </w:r>
      <w:r>
        <w:rPr>
          <w:spacing w:val="-6"/>
        </w:rPr>
        <w:t xml:space="preserve"> </w:t>
      </w:r>
      <w:r>
        <w:t>and</w:t>
      </w:r>
    </w:p>
    <w:p w:rsidR="00D96B91" w:rsidRDefault="00C2656B">
      <w:pPr>
        <w:pStyle w:val="BodyText"/>
        <w:numPr>
          <w:ilvl w:val="0"/>
          <w:numId w:val="131"/>
        </w:numPr>
        <w:tabs>
          <w:tab w:val="left" w:pos="1531"/>
        </w:tabs>
        <w:spacing w:before="85" w:line="260" w:lineRule="exact"/>
        <w:ind w:right="2021" w:hanging="283"/>
      </w:pPr>
      <w:r>
        <w:t xml:space="preserve">the </w:t>
      </w:r>
      <w:r>
        <w:rPr>
          <w:spacing w:val="-1"/>
        </w:rPr>
        <w:t>indexation</w:t>
      </w:r>
      <w:r>
        <w:t xml:space="preserve"> values adopted in the 2008 price </w:t>
      </w:r>
      <w:r>
        <w:rPr>
          <w:spacing w:val="-1"/>
        </w:rPr>
        <w:t>determination</w:t>
      </w:r>
      <w:r>
        <w:t xml:space="preserve"> </w:t>
      </w:r>
      <w:r>
        <w:rPr>
          <w:spacing w:val="-1"/>
        </w:rPr>
        <w:t>were</w:t>
      </w:r>
      <w:r>
        <w:t xml:space="preserve"> adjusted to account for</w:t>
      </w:r>
      <w:r>
        <w:rPr>
          <w:spacing w:val="33"/>
        </w:rPr>
        <w:t xml:space="preserve"> </w:t>
      </w:r>
      <w:r>
        <w:rPr>
          <w:spacing w:val="-1"/>
        </w:rPr>
        <w:t xml:space="preserve">differences </w:t>
      </w:r>
      <w:r>
        <w:t xml:space="preserve">between </w:t>
      </w:r>
      <w:r>
        <w:rPr>
          <w:spacing w:val="-1"/>
        </w:rPr>
        <w:t xml:space="preserve">forecast </w:t>
      </w:r>
      <w:r>
        <w:t>and actual</w:t>
      </w:r>
      <w:r>
        <w:rPr>
          <w:spacing w:val="-1"/>
        </w:rPr>
        <w:t xml:space="preserve"> inflation</w:t>
      </w:r>
      <w:r>
        <w:t xml:space="preserve"> </w:t>
      </w:r>
      <w:r>
        <w:rPr>
          <w:spacing w:val="-1"/>
        </w:rPr>
        <w:t xml:space="preserve">through </w:t>
      </w:r>
      <w:r>
        <w:t>to 2011-12.</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spacing w:val="-2"/>
        </w:rPr>
        <w:t>The</w:t>
      </w:r>
      <w:r>
        <w:t xml:space="preserve"> </w:t>
      </w:r>
      <w:r>
        <w:rPr>
          <w:spacing w:val="-3"/>
        </w:rPr>
        <w:t>Panel</w:t>
      </w:r>
      <w:r>
        <w:t xml:space="preserve"> understands </w:t>
      </w:r>
      <w:r>
        <w:rPr>
          <w:spacing w:val="-1"/>
        </w:rPr>
        <w:t>that</w:t>
      </w:r>
      <w:r>
        <w:t xml:space="preserve"> the </w:t>
      </w:r>
      <w:r>
        <w:rPr>
          <w:spacing w:val="-1"/>
        </w:rPr>
        <w:t>approach</w:t>
      </w:r>
      <w:r>
        <w:t xml:space="preserve"> employed by the ICRC when making these adjustments is</w:t>
      </w:r>
      <w:r>
        <w:rPr>
          <w:spacing w:val="21"/>
        </w:rPr>
        <w:t xml:space="preserve"> </w:t>
      </w:r>
      <w:r>
        <w:t>consistent</w:t>
      </w:r>
      <w:r>
        <w:rPr>
          <w:spacing w:val="-1"/>
        </w:rPr>
        <w:t xml:space="preserve"> </w:t>
      </w:r>
      <w:r>
        <w:t>with the</w:t>
      </w:r>
      <w:r>
        <w:rPr>
          <w:spacing w:val="-1"/>
        </w:rPr>
        <w:t xml:space="preserve"> </w:t>
      </w:r>
      <w:r>
        <w:t>way in which</w:t>
      </w:r>
      <w:r>
        <w:rPr>
          <w:spacing w:val="-1"/>
        </w:rPr>
        <w:t xml:space="preserve"> </w:t>
      </w:r>
      <w:r>
        <w:t xml:space="preserve">other </w:t>
      </w:r>
      <w:r>
        <w:rPr>
          <w:spacing w:val="-1"/>
        </w:rPr>
        <w:t>regulators</w:t>
      </w:r>
      <w:r>
        <w:t xml:space="preserve"> </w:t>
      </w:r>
      <w:r>
        <w:rPr>
          <w:spacing w:val="-1"/>
        </w:rPr>
        <w:t xml:space="preserve">approach </w:t>
      </w:r>
      <w:r>
        <w:t>the task.</w:t>
      </w:r>
      <w:r>
        <w:rPr>
          <w:spacing w:val="-11"/>
        </w:rPr>
        <w:t xml:space="preserve"> </w:t>
      </w:r>
      <w:r>
        <w:rPr>
          <w:spacing w:val="-2"/>
        </w:rPr>
        <w:t>The</w:t>
      </w:r>
      <w:r>
        <w:rPr>
          <w:spacing w:val="-1"/>
        </w:rPr>
        <w:t xml:space="preserve"> </w:t>
      </w:r>
      <w:r>
        <w:rPr>
          <w:spacing w:val="-3"/>
        </w:rPr>
        <w:t>Panel</w:t>
      </w:r>
      <w:r>
        <w:t xml:space="preserve"> is </w:t>
      </w:r>
      <w:r>
        <w:rPr>
          <w:spacing w:val="-1"/>
        </w:rPr>
        <w:t>satisfied that</w:t>
      </w:r>
      <w:r>
        <w:t xml:space="preserve"> these</w:t>
      </w:r>
      <w:r>
        <w:rPr>
          <w:spacing w:val="45"/>
        </w:rPr>
        <w:t xml:space="preserve"> </w:t>
      </w:r>
      <w:r>
        <w:t xml:space="preserve">adjustments should be made to the </w:t>
      </w:r>
      <w:r>
        <w:rPr>
          <w:spacing w:val="-1"/>
        </w:rPr>
        <w:t>calculation</w:t>
      </w:r>
      <w:r>
        <w:t xml:space="preserve"> of</w:t>
      </w:r>
      <w:r>
        <w:rPr>
          <w:spacing w:val="4"/>
        </w:rPr>
        <w:t xml:space="preserve"> </w:t>
      </w:r>
      <w:r>
        <w:t>the opening value of</w:t>
      </w:r>
      <w:r>
        <w:rPr>
          <w:spacing w:val="4"/>
        </w:rPr>
        <w:t xml:space="preserve"> </w:t>
      </w:r>
      <w:r>
        <w:t xml:space="preserve">the </w:t>
      </w:r>
      <w:r>
        <w:rPr>
          <w:spacing w:val="-1"/>
        </w:rPr>
        <w:t>water</w:t>
      </w:r>
      <w:r>
        <w:t xml:space="preserve"> and </w:t>
      </w:r>
      <w:r>
        <w:rPr>
          <w:spacing w:val="-1"/>
        </w:rPr>
        <w:t>sewerage</w:t>
      </w:r>
      <w:r>
        <w:t xml:space="preserve"> RABs.</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5"/>
        </w:numPr>
        <w:tabs>
          <w:tab w:val="left" w:pos="2212"/>
        </w:tabs>
        <w:rPr>
          <w:b w:val="0"/>
          <w:bCs w:val="0"/>
        </w:rPr>
      </w:pPr>
      <w:r>
        <w:rPr>
          <w:color w:val="0778BE"/>
          <w:spacing w:val="-2"/>
        </w:rPr>
        <w:t>ACTEW’s</w:t>
      </w:r>
      <w:r>
        <w:rPr>
          <w:color w:val="0778BE"/>
        </w:rPr>
        <w:t xml:space="preserve"> </w:t>
      </w:r>
      <w:r>
        <w:rPr>
          <w:color w:val="0778BE"/>
          <w:spacing w:val="-1"/>
        </w:rPr>
        <w:t>proposed</w:t>
      </w:r>
      <w:r>
        <w:rPr>
          <w:color w:val="0778BE"/>
        </w:rPr>
        <w:t xml:space="preserve"> </w:t>
      </w:r>
      <w:r>
        <w:rPr>
          <w:color w:val="0778BE"/>
          <w:spacing w:val="-1"/>
        </w:rPr>
        <w:t>treatment</w:t>
      </w:r>
      <w:r>
        <w:rPr>
          <w:color w:val="0778BE"/>
        </w:rPr>
        <w:t xml:space="preserve"> of</w:t>
      </w:r>
      <w:r>
        <w:rPr>
          <w:color w:val="0778BE"/>
          <w:spacing w:val="5"/>
        </w:rPr>
        <w:t xml:space="preserve"> </w:t>
      </w:r>
      <w:r>
        <w:rPr>
          <w:color w:val="0778BE"/>
        </w:rPr>
        <w:t xml:space="preserve">CSO </w:t>
      </w:r>
      <w:r>
        <w:rPr>
          <w:color w:val="0778BE"/>
          <w:spacing w:val="-1"/>
        </w:rPr>
        <w:t>related</w:t>
      </w:r>
      <w:r>
        <w:rPr>
          <w:color w:val="0778BE"/>
        </w:rPr>
        <w:t xml:space="preserve"> </w:t>
      </w:r>
      <w:r>
        <w:rPr>
          <w:color w:val="0778BE"/>
          <w:spacing w:val="-1"/>
        </w:rPr>
        <w:t>expenditure</w:t>
      </w:r>
    </w:p>
    <w:p w:rsidR="00D96B91" w:rsidRDefault="00C2656B">
      <w:pPr>
        <w:pStyle w:val="BodyText"/>
        <w:spacing w:before="28" w:line="260" w:lineRule="exact"/>
        <w:ind w:right="1376"/>
      </w:pPr>
      <w:r>
        <w:rPr>
          <w:spacing w:val="-2"/>
        </w:rPr>
        <w:t>ACTEW</w:t>
      </w:r>
      <w:r>
        <w:rPr>
          <w:spacing w:val="-3"/>
        </w:rPr>
        <w:t xml:space="preserve"> </w:t>
      </w:r>
      <w:r>
        <w:t xml:space="preserve">suggested in its </w:t>
      </w:r>
      <w:r>
        <w:rPr>
          <w:spacing w:val="-1"/>
        </w:rPr>
        <w:t>response</w:t>
      </w:r>
      <w:r>
        <w:t xml:space="preserve"> to the questions posed by the </w:t>
      </w:r>
      <w:r>
        <w:rPr>
          <w:spacing w:val="-3"/>
        </w:rPr>
        <w:t>Panel</w:t>
      </w:r>
      <w:r>
        <w:t xml:space="preserve"> </w:t>
      </w:r>
      <w:r>
        <w:rPr>
          <w:spacing w:val="-1"/>
        </w:rPr>
        <w:t>that,</w:t>
      </w:r>
      <w:r>
        <w:rPr>
          <w:spacing w:val="-6"/>
        </w:rPr>
        <w:t xml:space="preserve"> </w:t>
      </w:r>
      <w:r>
        <w:rPr>
          <w:spacing w:val="-1"/>
        </w:rPr>
        <w:t>rather</w:t>
      </w:r>
      <w:r>
        <w:t xml:space="preserve"> than including the</w:t>
      </w:r>
      <w:r>
        <w:rPr>
          <w:spacing w:val="29"/>
        </w:rPr>
        <w:t xml:space="preserve"> </w:t>
      </w:r>
      <w:r>
        <w:t>costs of</w:t>
      </w:r>
      <w:r>
        <w:rPr>
          <w:spacing w:val="5"/>
        </w:rPr>
        <w:t xml:space="preserve"> </w:t>
      </w:r>
      <w:r>
        <w:t xml:space="preserve">the </w:t>
      </w:r>
      <w:r>
        <w:rPr>
          <w:spacing w:val="-1"/>
        </w:rPr>
        <w:t>three</w:t>
      </w:r>
      <w:r>
        <w:rPr>
          <w:spacing w:val="1"/>
        </w:rPr>
        <w:t xml:space="preserve"> </w:t>
      </w:r>
      <w:r>
        <w:rPr>
          <w:spacing w:val="-1"/>
        </w:rPr>
        <w:t>projects</w:t>
      </w:r>
      <w:r>
        <w:t xml:space="preserve"> </w:t>
      </w:r>
      <w:r>
        <w:rPr>
          <w:spacing w:val="-1"/>
        </w:rPr>
        <w:t>that</w:t>
      </w:r>
      <w:r>
        <w:rPr>
          <w:spacing w:val="-1"/>
          <w:position w:val="7"/>
          <w:sz w:val="11"/>
        </w:rPr>
        <w:t>108</w:t>
      </w:r>
      <w:r>
        <w:rPr>
          <w:spacing w:val="23"/>
          <w:position w:val="7"/>
          <w:sz w:val="11"/>
        </w:rPr>
        <w:t xml:space="preserve"> </w:t>
      </w:r>
      <w:r>
        <w:t>the</w:t>
      </w:r>
      <w:r>
        <w:rPr>
          <w:spacing w:val="1"/>
        </w:rPr>
        <w:t xml:space="preserve"> </w:t>
      </w:r>
      <w:r>
        <w:t>ICRC</w:t>
      </w:r>
      <w:r>
        <w:rPr>
          <w:spacing w:val="1"/>
        </w:rPr>
        <w:t xml:space="preserve"> </w:t>
      </w:r>
      <w:r>
        <w:t>decided should</w:t>
      </w:r>
      <w:r>
        <w:rPr>
          <w:spacing w:val="1"/>
        </w:rPr>
        <w:t xml:space="preserve"> </w:t>
      </w:r>
      <w:r>
        <w:t>have been</w:t>
      </w:r>
      <w:r>
        <w:rPr>
          <w:spacing w:val="1"/>
        </w:rPr>
        <w:t xml:space="preserve"> </w:t>
      </w:r>
      <w:r>
        <w:t xml:space="preserve">funded </w:t>
      </w:r>
      <w:r>
        <w:rPr>
          <w:spacing w:val="-1"/>
        </w:rPr>
        <w:t>through</w:t>
      </w:r>
      <w:r>
        <w:rPr>
          <w:spacing w:val="1"/>
        </w:rPr>
        <w:t xml:space="preserve"> </w:t>
      </w:r>
      <w:r>
        <w:t>a CSO</w:t>
      </w:r>
      <w:r>
        <w:rPr>
          <w:spacing w:val="1"/>
        </w:rPr>
        <w:t xml:space="preserve"> </w:t>
      </w:r>
      <w:r>
        <w:t>in</w:t>
      </w:r>
      <w:r>
        <w:rPr>
          <w:spacing w:val="1"/>
        </w:rPr>
        <w:t xml:space="preserve"> </w:t>
      </w:r>
      <w:r>
        <w:t>the</w:t>
      </w:r>
      <w:r>
        <w:rPr>
          <w:spacing w:val="27"/>
        </w:rPr>
        <w:t xml:space="preserve"> </w:t>
      </w:r>
      <w:r>
        <w:t xml:space="preserve">RAB and making an </w:t>
      </w:r>
      <w:r>
        <w:rPr>
          <w:spacing w:val="-1"/>
        </w:rPr>
        <w:t>offsetting</w:t>
      </w:r>
      <w:r>
        <w:t xml:space="preserve"> </w:t>
      </w:r>
      <w:r>
        <w:rPr>
          <w:spacing w:val="-1"/>
        </w:rPr>
        <w:t>revenue</w:t>
      </w:r>
      <w:r>
        <w:t xml:space="preserve"> adjustment,</w:t>
      </w:r>
      <w:r>
        <w:rPr>
          <w:spacing w:val="-7"/>
        </w:rPr>
        <w:t xml:space="preserve"> </w:t>
      </w:r>
      <w:r>
        <w:t xml:space="preserve">these costs should just be </w:t>
      </w:r>
      <w:r>
        <w:rPr>
          <w:spacing w:val="-1"/>
        </w:rPr>
        <w:t>excluded</w:t>
      </w:r>
      <w:r>
        <w:t xml:space="preserve"> </w:t>
      </w:r>
      <w:r>
        <w:rPr>
          <w:spacing w:val="-1"/>
        </w:rPr>
        <w:t>from</w:t>
      </w:r>
      <w:r>
        <w:t xml:space="preserve"> the RAB.</w:t>
      </w:r>
    </w:p>
    <w:p w:rsidR="00D96B91" w:rsidRDefault="00C2656B">
      <w:pPr>
        <w:pStyle w:val="BodyText"/>
        <w:spacing w:before="170" w:line="260" w:lineRule="exact"/>
        <w:ind w:right="1619"/>
        <w:jc w:val="both"/>
        <w:rPr>
          <w:rFonts w:cs="Avenir Next"/>
        </w:rPr>
      </w:pPr>
      <w:r>
        <w:rPr>
          <w:rFonts w:cs="Avenir Next"/>
        </w:rPr>
        <w:t>While</w:t>
      </w:r>
      <w:r>
        <w:rPr>
          <w:rFonts w:cs="Avenir Next"/>
          <w:spacing w:val="-4"/>
        </w:rPr>
        <w:t xml:space="preserve"> </w:t>
      </w:r>
      <w:r>
        <w:rPr>
          <w:rFonts w:cs="Avenir Next"/>
          <w:spacing w:val="-2"/>
        </w:rPr>
        <w:t>ACTEW’s</w:t>
      </w:r>
      <w:r>
        <w:rPr>
          <w:rFonts w:cs="Avenir Next"/>
        </w:rPr>
        <w:t xml:space="preserve"> </w:t>
      </w:r>
      <w:r>
        <w:rPr>
          <w:rFonts w:cs="Avenir Next"/>
          <w:spacing w:val="-1"/>
        </w:rPr>
        <w:t>proposed</w:t>
      </w:r>
      <w:r>
        <w:rPr>
          <w:rFonts w:cs="Avenir Next"/>
        </w:rPr>
        <w:t xml:space="preserve"> </w:t>
      </w:r>
      <w:r>
        <w:rPr>
          <w:rFonts w:cs="Avenir Next"/>
          <w:spacing w:val="-1"/>
        </w:rPr>
        <w:t>approach</w:t>
      </w:r>
      <w:r>
        <w:rPr>
          <w:rFonts w:cs="Avenir Next"/>
        </w:rPr>
        <w:t xml:space="preserve"> may be </w:t>
      </w:r>
      <w:r>
        <w:rPr>
          <w:rFonts w:cs="Avenir Next"/>
          <w:spacing w:val="-1"/>
        </w:rPr>
        <w:t>administratively</w:t>
      </w:r>
      <w:r>
        <w:rPr>
          <w:rFonts w:cs="Avenir Next"/>
        </w:rPr>
        <w:t xml:space="preserve"> </w:t>
      </w:r>
      <w:r>
        <w:rPr>
          <w:rFonts w:cs="Avenir Next"/>
          <w:spacing w:val="-2"/>
        </w:rPr>
        <w:t>simpler,</w:t>
      </w:r>
      <w:r>
        <w:rPr>
          <w:rFonts w:cs="Avenir Next"/>
          <w:spacing w:val="-7"/>
        </w:rPr>
        <w:t xml:space="preserve"> </w:t>
      </w:r>
      <w:r>
        <w:rPr>
          <w:rFonts w:cs="Avenir Next"/>
        </w:rPr>
        <w:t xml:space="preserve">the </w:t>
      </w:r>
      <w:r>
        <w:rPr>
          <w:rFonts w:cs="Avenir Next"/>
          <w:spacing w:val="-3"/>
        </w:rPr>
        <w:t>Panel</w:t>
      </w:r>
      <w:r>
        <w:rPr>
          <w:rFonts w:cs="Avenir Next"/>
        </w:rPr>
        <w:t xml:space="preserve"> considers the </w:t>
      </w:r>
      <w:r>
        <w:rPr>
          <w:rFonts w:cs="Avenir Next"/>
          <w:spacing w:val="-2"/>
        </w:rPr>
        <w:t>ICRC’s</w:t>
      </w:r>
      <w:r>
        <w:rPr>
          <w:rFonts w:cs="Avenir Next"/>
          <w:spacing w:val="63"/>
        </w:rPr>
        <w:t xml:space="preserve"> </w:t>
      </w:r>
      <w:r>
        <w:rPr>
          <w:spacing w:val="-1"/>
        </w:rPr>
        <w:t>approach</w:t>
      </w:r>
      <w:r>
        <w:t xml:space="preserve"> is </w:t>
      </w:r>
      <w:r>
        <w:rPr>
          <w:spacing w:val="-1"/>
        </w:rPr>
        <w:t>more</w:t>
      </w:r>
      <w:r>
        <w:t xml:space="preserve"> </w:t>
      </w:r>
      <w:r>
        <w:rPr>
          <w:spacing w:val="-1"/>
        </w:rPr>
        <w:t>transparent.</w:t>
      </w:r>
      <w:r>
        <w:rPr>
          <w:spacing w:val="-11"/>
        </w:rPr>
        <w:t xml:space="preserve"> </w:t>
      </w:r>
      <w:r>
        <w:rPr>
          <w:spacing w:val="-2"/>
        </w:rPr>
        <w:t>Therefore,</w:t>
      </w:r>
      <w:r>
        <w:rPr>
          <w:spacing w:val="-6"/>
        </w:rPr>
        <w:t xml:space="preserve"> </w:t>
      </w:r>
      <w:r>
        <w:t xml:space="preserve">the </w:t>
      </w:r>
      <w:r>
        <w:rPr>
          <w:spacing w:val="-3"/>
        </w:rPr>
        <w:t>Panel</w:t>
      </w:r>
      <w:r>
        <w:t xml:space="preserve"> has decided to adopt the same </w:t>
      </w:r>
      <w:r>
        <w:rPr>
          <w:spacing w:val="-1"/>
        </w:rPr>
        <w:t>approach</w:t>
      </w:r>
      <w:r>
        <w:t xml:space="preserve"> as the</w:t>
      </w:r>
      <w:r>
        <w:rPr>
          <w:spacing w:val="49"/>
        </w:rPr>
        <w:t xml:space="preserve"> </w:t>
      </w:r>
      <w:r>
        <w:rPr>
          <w:rFonts w:cs="Avenir Next"/>
        </w:rPr>
        <w:t>ICRC and to:</w:t>
      </w:r>
    </w:p>
    <w:p w:rsidR="00D96B91" w:rsidRDefault="00C2656B">
      <w:pPr>
        <w:pStyle w:val="BodyText"/>
        <w:numPr>
          <w:ilvl w:val="0"/>
          <w:numId w:val="131"/>
        </w:numPr>
        <w:tabs>
          <w:tab w:val="left" w:pos="1531"/>
        </w:tabs>
        <w:spacing w:before="170" w:line="260" w:lineRule="exact"/>
        <w:ind w:right="2033" w:hanging="283"/>
        <w:rPr>
          <w:rFonts w:cs="Avenir Next"/>
        </w:rPr>
      </w:pPr>
      <w:r>
        <w:t>include the costs of</w:t>
      </w:r>
      <w:r>
        <w:rPr>
          <w:spacing w:val="4"/>
        </w:rPr>
        <w:t xml:space="preserve"> </w:t>
      </w:r>
      <w:r>
        <w:t xml:space="preserve">the </w:t>
      </w:r>
      <w:r>
        <w:rPr>
          <w:spacing w:val="-1"/>
        </w:rPr>
        <w:t>Uriarra</w:t>
      </w:r>
      <w:r>
        <w:rPr>
          <w:spacing w:val="-4"/>
        </w:rPr>
        <w:t xml:space="preserve"> </w:t>
      </w:r>
      <w:r>
        <w:rPr>
          <w:spacing w:val="-1"/>
        </w:rPr>
        <w:t>Village</w:t>
      </w:r>
      <w:r>
        <w:t xml:space="preserve"> </w:t>
      </w:r>
      <w:r>
        <w:rPr>
          <w:spacing w:val="-1"/>
        </w:rPr>
        <w:t>sewerage</w:t>
      </w:r>
      <w:r>
        <w:t xml:space="preserve"> </w:t>
      </w:r>
      <w:r>
        <w:rPr>
          <w:spacing w:val="-1"/>
        </w:rPr>
        <w:t>project,</w:t>
      </w:r>
      <w:r>
        <w:rPr>
          <w:spacing w:val="-6"/>
        </w:rPr>
        <w:t xml:space="preserve"> </w:t>
      </w:r>
      <w:r>
        <w:t xml:space="preserve">the </w:t>
      </w:r>
      <w:r>
        <w:rPr>
          <w:spacing w:val="-1"/>
        </w:rPr>
        <w:t>Cotter</w:t>
      </w:r>
      <w:r>
        <w:t xml:space="preserve"> Dam Discovery</w:t>
      </w:r>
      <w:r>
        <w:rPr>
          <w:spacing w:val="-5"/>
        </w:rPr>
        <w:t xml:space="preserve"> Trail</w:t>
      </w:r>
      <w:r>
        <w:t xml:space="preserve"> and</w:t>
      </w:r>
      <w:r>
        <w:rPr>
          <w:spacing w:val="41"/>
        </w:rPr>
        <w:t xml:space="preserve"> </w:t>
      </w:r>
      <w:r>
        <w:rPr>
          <w:spacing w:val="-1"/>
        </w:rPr>
        <w:t>abatement</w:t>
      </w:r>
      <w:r>
        <w:t xml:space="preserve"> activities in the opening value of</w:t>
      </w:r>
      <w:r>
        <w:rPr>
          <w:spacing w:val="4"/>
        </w:rPr>
        <w:t xml:space="preserve"> </w:t>
      </w:r>
      <w:r>
        <w:t xml:space="preserve">the </w:t>
      </w:r>
      <w:r>
        <w:rPr>
          <w:spacing w:val="-1"/>
        </w:rPr>
        <w:t>water</w:t>
      </w:r>
      <w:r>
        <w:t xml:space="preserve"> and </w:t>
      </w:r>
      <w:r>
        <w:rPr>
          <w:spacing w:val="-1"/>
        </w:rPr>
        <w:t>sewerage</w:t>
      </w:r>
      <w:r>
        <w:t xml:space="preserve"> RABs,</w:t>
      </w:r>
      <w:r>
        <w:rPr>
          <w:spacing w:val="-7"/>
        </w:rPr>
        <w:t xml:space="preserve"> </w:t>
      </w:r>
      <w:r>
        <w:t>and</w:t>
      </w:r>
    </w:p>
    <w:p w:rsidR="00D96B91" w:rsidRDefault="00C2656B">
      <w:pPr>
        <w:pStyle w:val="BodyText"/>
        <w:numPr>
          <w:ilvl w:val="0"/>
          <w:numId w:val="131"/>
        </w:numPr>
        <w:tabs>
          <w:tab w:val="left" w:pos="1531"/>
        </w:tabs>
        <w:spacing w:before="85" w:line="260" w:lineRule="exact"/>
        <w:ind w:right="1471" w:hanging="283"/>
      </w:pPr>
      <w:r>
        <w:rPr>
          <w:rFonts w:cs="Avenir Next"/>
          <w:spacing w:val="-1"/>
        </w:rPr>
        <w:t>make</w:t>
      </w:r>
      <w:r>
        <w:rPr>
          <w:rFonts w:cs="Avenir Next"/>
        </w:rPr>
        <w:t xml:space="preserve"> an </w:t>
      </w:r>
      <w:r>
        <w:rPr>
          <w:rFonts w:cs="Avenir Next"/>
          <w:spacing w:val="-1"/>
        </w:rPr>
        <w:t>appropriate</w:t>
      </w:r>
      <w:r>
        <w:rPr>
          <w:rFonts w:cs="Avenir Next"/>
        </w:rPr>
        <w:t xml:space="preserve"> deduction </w:t>
      </w:r>
      <w:r>
        <w:rPr>
          <w:rFonts w:cs="Avenir Next"/>
          <w:spacing w:val="-1"/>
        </w:rPr>
        <w:t>from</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so </w:t>
      </w:r>
      <w:r>
        <w:rPr>
          <w:rFonts w:cs="Avenir Next"/>
          <w:spacing w:val="-1"/>
        </w:rPr>
        <w:t>that</w:t>
      </w:r>
      <w:r>
        <w:rPr>
          <w:rFonts w:cs="Avenir Next"/>
        </w:rPr>
        <w:t xml:space="preserve"> the ongoing costs </w:t>
      </w:r>
      <w:r>
        <w:rPr>
          <w:rFonts w:cs="Avenir Next"/>
          <w:spacing w:val="-2"/>
        </w:rPr>
        <w:t>are</w:t>
      </w:r>
      <w:r>
        <w:rPr>
          <w:rFonts w:cs="Avenir Next"/>
          <w:spacing w:val="31"/>
        </w:rPr>
        <w:t xml:space="preserve"> </w:t>
      </w:r>
      <w:r>
        <w:t xml:space="preserve">not </w:t>
      </w:r>
      <w:r>
        <w:rPr>
          <w:spacing w:val="-1"/>
        </w:rPr>
        <w:t>recovered</w:t>
      </w:r>
      <w:r>
        <w:t xml:space="preserve"> </w:t>
      </w:r>
      <w:r>
        <w:rPr>
          <w:spacing w:val="-1"/>
        </w:rPr>
        <w:t>from</w:t>
      </w:r>
      <w:r>
        <w:t xml:space="preserve"> all</w:t>
      </w:r>
      <w:r>
        <w:rPr>
          <w:spacing w:val="-4"/>
        </w:rPr>
        <w:t xml:space="preserve"> </w:t>
      </w:r>
      <w:r>
        <w:rPr>
          <w:spacing w:val="-2"/>
        </w:rPr>
        <w:t>ACT</w:t>
      </w:r>
      <w:r>
        <w:rPr>
          <w:spacing w:val="-5"/>
        </w:rPr>
        <w:t xml:space="preserve"> </w:t>
      </w:r>
      <w:r>
        <w:t>customers.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pPr>
      <w:r>
        <w:rPr>
          <w:rFonts w:cs="Avenir Next"/>
          <w:spacing w:val="-2"/>
        </w:rPr>
        <w:t>The</w:t>
      </w:r>
      <w:r>
        <w:rPr>
          <w:rFonts w:cs="Avenir Next"/>
        </w:rPr>
        <w:t xml:space="preserve"> </w:t>
      </w:r>
      <w:r>
        <w:rPr>
          <w:rFonts w:cs="Avenir Next"/>
          <w:spacing w:val="-4"/>
        </w:rPr>
        <w:t>Panel’s</w:t>
      </w:r>
      <w:r>
        <w:rPr>
          <w:rFonts w:cs="Avenir Next"/>
        </w:rPr>
        <w:t xml:space="preserve"> view on the other points of</w:t>
      </w:r>
      <w:r>
        <w:rPr>
          <w:rFonts w:cs="Avenir Next"/>
          <w:spacing w:val="4"/>
        </w:rPr>
        <w:t xml:space="preserve"> </w:t>
      </w:r>
      <w:r>
        <w:rPr>
          <w:rFonts w:cs="Avenir Next"/>
          <w:spacing w:val="-1"/>
        </w:rPr>
        <w:t>difference</w:t>
      </w:r>
      <w:r>
        <w:rPr>
          <w:rFonts w:cs="Avenir Next"/>
        </w:rPr>
        <w:t xml:space="preserve"> between</w:t>
      </w:r>
      <w:r>
        <w:rPr>
          <w:rFonts w:cs="Avenir Next"/>
          <w:spacing w:val="-4"/>
        </w:rPr>
        <w:t xml:space="preserve"> </w:t>
      </w:r>
      <w:r>
        <w:rPr>
          <w:rFonts w:cs="Avenir Next"/>
          <w:spacing w:val="-2"/>
        </w:rPr>
        <w:t>ACTEW’s</w:t>
      </w:r>
      <w:r>
        <w:rPr>
          <w:rFonts w:cs="Avenir Next"/>
        </w:rPr>
        <w:t xml:space="preserve"> and the </w:t>
      </w:r>
      <w:r>
        <w:rPr>
          <w:rFonts w:cs="Avenir Next"/>
          <w:spacing w:val="-2"/>
        </w:rPr>
        <w:t>ICRC’s</w:t>
      </w:r>
      <w:r>
        <w:rPr>
          <w:rFonts w:cs="Avenir Next"/>
        </w:rPr>
        <w:t xml:space="preserve"> opening RAB</w:t>
      </w:r>
      <w:r>
        <w:rPr>
          <w:rFonts w:cs="Avenir Next"/>
          <w:spacing w:val="27"/>
        </w:rPr>
        <w:t xml:space="preserve"> </w:t>
      </w:r>
      <w:r>
        <w:t xml:space="preserve">values </w:t>
      </w:r>
      <w:r>
        <w:rPr>
          <w:spacing w:val="-2"/>
        </w:rPr>
        <w:t>are</w:t>
      </w:r>
      <w:r>
        <w:t xml:space="preserve"> set out </w:t>
      </w:r>
      <w:r>
        <w:rPr>
          <w:spacing w:val="-2"/>
        </w:rPr>
        <w:t>below.</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5"/>
        </w:numPr>
        <w:tabs>
          <w:tab w:val="left" w:pos="2212"/>
        </w:tabs>
        <w:rPr>
          <w:b w:val="0"/>
          <w:bCs w:val="0"/>
        </w:rPr>
      </w:pPr>
      <w:r>
        <w:rPr>
          <w:color w:val="0778BE"/>
        </w:rPr>
        <w:t>Other points of</w:t>
      </w:r>
      <w:r>
        <w:rPr>
          <w:color w:val="0778BE"/>
          <w:spacing w:val="5"/>
        </w:rPr>
        <w:t xml:space="preserve"> </w:t>
      </w:r>
      <w:r>
        <w:rPr>
          <w:color w:val="0778BE"/>
          <w:spacing w:val="-1"/>
        </w:rPr>
        <w:t>difference</w:t>
      </w:r>
    </w:p>
    <w:p w:rsidR="00D96B91" w:rsidRDefault="00C2656B">
      <w:pPr>
        <w:pStyle w:val="BodyText"/>
        <w:spacing w:before="28" w:line="260" w:lineRule="exact"/>
        <w:ind w:right="1548"/>
      </w:pPr>
      <w:r>
        <w:rPr>
          <w:rFonts w:cs="Avenir Next"/>
        </w:rPr>
        <w:t xml:space="preserve">As section </w:t>
      </w:r>
      <w:hyperlink w:anchor="_bookmark64" w:history="1">
        <w:r>
          <w:t>9.2.2</w:t>
        </w:r>
      </w:hyperlink>
      <w:r>
        <w:t xml:space="preserve"> </w:t>
      </w:r>
      <w:r>
        <w:rPr>
          <w:rFonts w:cs="Avenir Next"/>
          <w:spacing w:val="-1"/>
        </w:rPr>
        <w:t>indicated,</w:t>
      </w:r>
      <w:r>
        <w:rPr>
          <w:rFonts w:cs="Avenir Next"/>
          <w:spacing w:val="-6"/>
        </w:rPr>
        <w:t xml:space="preserve"> </w:t>
      </w:r>
      <w:r>
        <w:rPr>
          <w:rFonts w:cs="Avenir Next"/>
          <w:spacing w:val="-1"/>
        </w:rPr>
        <w:t>there</w:t>
      </w:r>
      <w:r>
        <w:rPr>
          <w:rFonts w:cs="Avenir Next"/>
        </w:rPr>
        <w:t xml:space="preserve"> </w:t>
      </w:r>
      <w:r>
        <w:rPr>
          <w:rFonts w:cs="Avenir Next"/>
          <w:spacing w:val="-1"/>
        </w:rPr>
        <w:t>were</w:t>
      </w:r>
      <w:r>
        <w:rPr>
          <w:rFonts w:cs="Avenir Next"/>
        </w:rPr>
        <w:t xml:space="preserve"> </w:t>
      </w:r>
      <w:r>
        <w:rPr>
          <w:rFonts w:cs="Avenir Next"/>
          <w:spacing w:val="-1"/>
        </w:rPr>
        <w:t>several</w:t>
      </w:r>
      <w:r>
        <w:rPr>
          <w:rFonts w:cs="Avenir Next"/>
        </w:rPr>
        <w:t xml:space="preserve"> other points of</w:t>
      </w:r>
      <w:r>
        <w:rPr>
          <w:rFonts w:cs="Avenir Next"/>
          <w:spacing w:val="4"/>
        </w:rPr>
        <w:t xml:space="preserve"> </w:t>
      </w:r>
      <w:r>
        <w:rPr>
          <w:rFonts w:cs="Avenir Next"/>
          <w:spacing w:val="-1"/>
        </w:rPr>
        <w:t>difference</w:t>
      </w:r>
      <w:r>
        <w:rPr>
          <w:rFonts w:cs="Avenir Next"/>
        </w:rPr>
        <w:t xml:space="preserve"> between</w:t>
      </w:r>
      <w:r>
        <w:rPr>
          <w:rFonts w:cs="Avenir Next"/>
          <w:spacing w:val="-4"/>
        </w:rPr>
        <w:t xml:space="preserve"> </w:t>
      </w:r>
      <w:r>
        <w:rPr>
          <w:rFonts w:cs="Avenir Next"/>
          <w:spacing w:val="-2"/>
        </w:rPr>
        <w:t>ACTEW’s</w:t>
      </w:r>
      <w:r>
        <w:rPr>
          <w:rFonts w:cs="Avenir Next"/>
        </w:rPr>
        <w:t xml:space="preserve"> and the</w:t>
      </w:r>
      <w:r>
        <w:rPr>
          <w:rFonts w:cs="Avenir Next"/>
          <w:spacing w:val="33"/>
        </w:rPr>
        <w:t xml:space="preserve"> </w:t>
      </w:r>
      <w:r>
        <w:rPr>
          <w:spacing w:val="-2"/>
        </w:rPr>
        <w:t>ICRC’s</w:t>
      </w:r>
      <w:r>
        <w:t xml:space="preserve"> opening RAB values.</w:t>
      </w:r>
      <w:r>
        <w:rPr>
          <w:spacing w:val="-11"/>
        </w:rPr>
        <w:t xml:space="preserve"> </w:t>
      </w:r>
      <w:r>
        <w:rPr>
          <w:spacing w:val="-2"/>
        </w:rPr>
        <w:t>The</w:t>
      </w:r>
      <w:r>
        <w:t xml:space="preserve"> </w:t>
      </w:r>
      <w:r>
        <w:rPr>
          <w:spacing w:val="-4"/>
        </w:rPr>
        <w:t>Panel’s</w:t>
      </w:r>
      <w:r>
        <w:t xml:space="preserve"> </w:t>
      </w:r>
      <w:r>
        <w:rPr>
          <w:spacing w:val="-1"/>
        </w:rPr>
        <w:t>considerations</w:t>
      </w:r>
      <w:r>
        <w:t xml:space="preserve"> on these </w:t>
      </w:r>
      <w:r>
        <w:rPr>
          <w:spacing w:val="-1"/>
        </w:rPr>
        <w:t>matters</w:t>
      </w:r>
      <w:r>
        <w:t xml:space="preserve"> </w:t>
      </w:r>
      <w:r>
        <w:rPr>
          <w:spacing w:val="-2"/>
        </w:rPr>
        <w:t>are</w:t>
      </w:r>
      <w:r>
        <w:t xml:space="preserve"> set out </w:t>
      </w:r>
      <w:r>
        <w:rPr>
          <w:spacing w:val="-2"/>
        </w:rPr>
        <w:t>below.</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5"/>
        </w:numPr>
        <w:tabs>
          <w:tab w:val="left" w:pos="2212"/>
        </w:tabs>
        <w:rPr>
          <w:b w:val="0"/>
          <w:bCs w:val="0"/>
        </w:rPr>
      </w:pPr>
      <w:r>
        <w:rPr>
          <w:color w:val="0778BE"/>
          <w:spacing w:val="-1"/>
        </w:rPr>
        <w:t>Uriarra</w:t>
      </w:r>
      <w:r>
        <w:rPr>
          <w:color w:val="0778BE"/>
          <w:spacing w:val="-4"/>
        </w:rPr>
        <w:t xml:space="preserve"> </w:t>
      </w:r>
      <w:r>
        <w:rPr>
          <w:color w:val="0778BE"/>
          <w:spacing w:val="-1"/>
        </w:rPr>
        <w:t>Village</w:t>
      </w:r>
      <w:r>
        <w:rPr>
          <w:color w:val="0778BE"/>
        </w:rPr>
        <w:t xml:space="preserve"> </w:t>
      </w:r>
      <w:r>
        <w:rPr>
          <w:color w:val="0778BE"/>
          <w:spacing w:val="-1"/>
        </w:rPr>
        <w:t>sewerage</w:t>
      </w:r>
      <w:r>
        <w:rPr>
          <w:color w:val="0778BE"/>
        </w:rPr>
        <w:t xml:space="preserve"> plant</w:t>
      </w:r>
    </w:p>
    <w:p w:rsidR="00D96B91" w:rsidRDefault="00C2656B">
      <w:pPr>
        <w:pStyle w:val="BodyText"/>
        <w:spacing w:before="28" w:line="260" w:lineRule="exact"/>
        <w:ind w:right="1548"/>
        <w:rPr>
          <w:rFonts w:cs="Avenir Next"/>
        </w:rPr>
      </w:pPr>
      <w:r>
        <w:rPr>
          <w:spacing w:val="-2"/>
        </w:rPr>
        <w:t>There</w:t>
      </w:r>
      <w:r>
        <w:t xml:space="preserve"> </w:t>
      </w:r>
      <w:r>
        <w:rPr>
          <w:spacing w:val="-2"/>
        </w:rPr>
        <w:t>are</w:t>
      </w:r>
      <w:r>
        <w:t xml:space="preserve"> two </w:t>
      </w:r>
      <w:r>
        <w:rPr>
          <w:spacing w:val="-1"/>
        </w:rPr>
        <w:t>sources</w:t>
      </w:r>
      <w:r>
        <w:t xml:space="preserve"> of</w:t>
      </w:r>
      <w:r>
        <w:rPr>
          <w:spacing w:val="4"/>
        </w:rPr>
        <w:t xml:space="preserve"> </w:t>
      </w:r>
      <w:r>
        <w:rPr>
          <w:spacing w:val="-1"/>
        </w:rPr>
        <w:t>difference</w:t>
      </w:r>
      <w:r>
        <w:t xml:space="preserve"> between the values </w:t>
      </w:r>
      <w:r>
        <w:rPr>
          <w:spacing w:val="-1"/>
        </w:rPr>
        <w:t>that</w:t>
      </w:r>
      <w:r>
        <w:rPr>
          <w:spacing w:val="-4"/>
        </w:rPr>
        <w:t xml:space="preserve"> </w:t>
      </w:r>
      <w:r>
        <w:rPr>
          <w:spacing w:val="-2"/>
        </w:rPr>
        <w:t>ACTEW</w:t>
      </w:r>
      <w:r>
        <w:rPr>
          <w:spacing w:val="-3"/>
        </w:rPr>
        <w:t xml:space="preserve"> </w:t>
      </w:r>
      <w:r>
        <w:t>and the ICRC have assumed for</w:t>
      </w:r>
      <w:r>
        <w:rPr>
          <w:spacing w:val="29"/>
        </w:rPr>
        <w:t xml:space="preserve"> </w:t>
      </w:r>
      <w:r>
        <w:t xml:space="preserve">the </w:t>
      </w:r>
      <w:r>
        <w:rPr>
          <w:spacing w:val="-1"/>
        </w:rPr>
        <w:t>Uriarra</w:t>
      </w:r>
      <w:r>
        <w:rPr>
          <w:spacing w:val="-4"/>
        </w:rPr>
        <w:t xml:space="preserve"> </w:t>
      </w:r>
      <w:r>
        <w:rPr>
          <w:spacing w:val="-1"/>
        </w:rPr>
        <w:t>Village</w:t>
      </w:r>
      <w:r>
        <w:t xml:space="preserve"> </w:t>
      </w:r>
      <w:r>
        <w:rPr>
          <w:spacing w:val="-1"/>
        </w:rPr>
        <w:t>sewerage</w:t>
      </w:r>
      <w:r>
        <w:t xml:space="preserve"> plant:</w:t>
      </w:r>
    </w:p>
    <w:p w:rsidR="00D96B91" w:rsidRDefault="00D96B91">
      <w:pPr>
        <w:spacing w:before="7"/>
        <w:rPr>
          <w:rFonts w:ascii="Avenir Next" w:eastAsia="Avenir Next" w:hAnsi="Avenir Next" w:cs="Avenir Next"/>
          <w:sz w:val="18"/>
          <w:szCs w:val="1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65" style="width:72.5pt;height:.5pt;mso-position-horizontal-relative:char;mso-position-vertical-relative:line" coordsize="1450,10">
            <v:group id="_x0000_s3166" style="position:absolute;left:5;top:5;width:1440;height:2" coordorigin="5,5" coordsize="1440,2">
              <v:shape id="_x0000_s3167"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38"/>
        <w:ind w:hanging="510"/>
        <w:rPr>
          <w:rFonts w:ascii="Avenir Next" w:eastAsia="Avenir Next" w:hAnsi="Avenir Next" w:cs="Avenir Next"/>
          <w:sz w:val="16"/>
          <w:szCs w:val="16"/>
        </w:rPr>
      </w:pPr>
      <w:r>
        <w:rPr>
          <w:rFonts w:ascii="Avenir Next"/>
          <w:spacing w:val="-1"/>
          <w:sz w:val="16"/>
        </w:rPr>
        <w:t>The</w:t>
      </w:r>
      <w:r>
        <w:rPr>
          <w:rFonts w:ascii="Avenir Next"/>
          <w:sz w:val="16"/>
        </w:rPr>
        <w:t xml:space="preserve"> </w:t>
      </w:r>
      <w:r>
        <w:rPr>
          <w:rFonts w:ascii="Avenir Next"/>
          <w:spacing w:val="-1"/>
          <w:sz w:val="16"/>
        </w:rPr>
        <w:t>Uriarra</w:t>
      </w:r>
      <w:r>
        <w:rPr>
          <w:rFonts w:ascii="Avenir Next"/>
          <w:spacing w:val="-3"/>
          <w:sz w:val="16"/>
        </w:rPr>
        <w:t xml:space="preserve"> </w:t>
      </w:r>
      <w:r>
        <w:rPr>
          <w:rFonts w:ascii="Avenir Next"/>
          <w:spacing w:val="-1"/>
          <w:sz w:val="16"/>
        </w:rPr>
        <w:t>Village</w:t>
      </w:r>
      <w:r>
        <w:rPr>
          <w:rFonts w:ascii="Avenir Next"/>
          <w:sz w:val="16"/>
        </w:rPr>
        <w:t xml:space="preserve"> </w:t>
      </w:r>
      <w:r>
        <w:rPr>
          <w:rFonts w:ascii="Avenir Next"/>
          <w:spacing w:val="-1"/>
          <w:sz w:val="16"/>
        </w:rPr>
        <w:t>sewerage</w:t>
      </w:r>
      <w:r>
        <w:rPr>
          <w:rFonts w:ascii="Avenir Next"/>
          <w:sz w:val="16"/>
        </w:rPr>
        <w:t xml:space="preserve"> </w:t>
      </w:r>
      <w:r>
        <w:rPr>
          <w:rFonts w:ascii="Avenir Next"/>
          <w:spacing w:val="-1"/>
          <w:sz w:val="16"/>
        </w:rPr>
        <w:t>project,</w:t>
      </w:r>
      <w:r>
        <w:rPr>
          <w:rFonts w:ascii="Avenir Next"/>
          <w:spacing w:val="-5"/>
          <w:sz w:val="16"/>
        </w:rPr>
        <w:t xml:space="preserve"> </w:t>
      </w:r>
      <w:r>
        <w:rPr>
          <w:rFonts w:ascii="Avenir Next"/>
          <w:sz w:val="16"/>
        </w:rPr>
        <w:t xml:space="preserve">the </w:t>
      </w:r>
      <w:r>
        <w:rPr>
          <w:rFonts w:ascii="Avenir Next"/>
          <w:spacing w:val="-1"/>
          <w:sz w:val="16"/>
        </w:rPr>
        <w:t>Cotter</w:t>
      </w:r>
      <w:r>
        <w:rPr>
          <w:rFonts w:ascii="Avenir Next"/>
          <w:sz w:val="16"/>
        </w:rPr>
        <w:t xml:space="preserve"> Dam Discovery</w:t>
      </w:r>
      <w:r>
        <w:rPr>
          <w:rFonts w:ascii="Avenir Next"/>
          <w:spacing w:val="-4"/>
          <w:sz w:val="16"/>
        </w:rPr>
        <w:t xml:space="preserve"> Trail</w:t>
      </w:r>
      <w:r>
        <w:rPr>
          <w:rFonts w:ascii="Avenir Next"/>
          <w:sz w:val="16"/>
        </w:rPr>
        <w:t xml:space="preserve"> and the </w:t>
      </w:r>
      <w:r>
        <w:rPr>
          <w:rFonts w:ascii="Avenir Next"/>
          <w:spacing w:val="-1"/>
          <w:sz w:val="16"/>
        </w:rPr>
        <w:t>greenhouse</w:t>
      </w:r>
      <w:r>
        <w:rPr>
          <w:rFonts w:ascii="Avenir Next"/>
          <w:sz w:val="16"/>
        </w:rPr>
        <w:t xml:space="preserve"> gas </w:t>
      </w:r>
      <w:r>
        <w:rPr>
          <w:rFonts w:ascii="Avenir Next"/>
          <w:spacing w:val="-1"/>
          <w:sz w:val="16"/>
        </w:rPr>
        <w:t>abatement</w:t>
      </w:r>
      <w:r>
        <w:rPr>
          <w:rFonts w:ascii="Avenir Next"/>
          <w:sz w:val="16"/>
        </w:rPr>
        <w:t xml:space="preserve"> costs.</w:t>
      </w:r>
    </w:p>
    <w:p w:rsidR="00D96B91" w:rsidRDefault="00D96B91">
      <w:pPr>
        <w:rPr>
          <w:rFonts w:ascii="Avenir Next" w:eastAsia="Avenir Next" w:hAnsi="Avenir Next" w:cs="Avenir Next"/>
          <w:sz w:val="16"/>
          <w:szCs w:val="16"/>
        </w:rPr>
        <w:sectPr w:rsidR="00D96B91">
          <w:pgSz w:w="11910" w:h="16840"/>
          <w:pgMar w:top="116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421" w:hanging="283"/>
      </w:pPr>
      <w:r>
        <w:rPr>
          <w:spacing w:val="-1"/>
        </w:rPr>
        <w:t>First,</w:t>
      </w:r>
      <w:r>
        <w:rPr>
          <w:spacing w:val="-11"/>
        </w:rPr>
        <w:t xml:space="preserve"> </w:t>
      </w:r>
      <w:r>
        <w:rPr>
          <w:spacing w:val="-2"/>
        </w:rPr>
        <w:t>ACTEW</w:t>
      </w:r>
      <w:r>
        <w:rPr>
          <w:spacing w:val="-4"/>
        </w:rPr>
        <w:t xml:space="preserve"> </w:t>
      </w:r>
      <w:r>
        <w:rPr>
          <w:spacing w:val="-1"/>
        </w:rPr>
        <w:t>excluded</w:t>
      </w:r>
      <w:r>
        <w:t xml:space="preserve"> </w:t>
      </w:r>
      <w:r>
        <w:rPr>
          <w:spacing w:val="-1"/>
        </w:rPr>
        <w:t xml:space="preserve">expenditure </w:t>
      </w:r>
      <w:r>
        <w:t>on the</w:t>
      </w:r>
      <w:r>
        <w:rPr>
          <w:spacing w:val="-1"/>
        </w:rPr>
        <w:t xml:space="preserve"> Uriarra pressure</w:t>
      </w:r>
      <w:r>
        <w:t xml:space="preserve"> </w:t>
      </w:r>
      <w:r>
        <w:rPr>
          <w:spacing w:val="-1"/>
        </w:rPr>
        <w:t xml:space="preserve">sewerage </w:t>
      </w:r>
      <w:r>
        <w:t xml:space="preserve">system </w:t>
      </w:r>
      <w:r>
        <w:rPr>
          <w:spacing w:val="-1"/>
        </w:rPr>
        <w:t>rectification works,</w:t>
      </w:r>
      <w:r>
        <w:rPr>
          <w:spacing w:val="71"/>
        </w:rPr>
        <w:t xml:space="preserve"> </w:t>
      </w:r>
      <w:r>
        <w:t>while the ICRC did not.</w:t>
      </w:r>
      <w:r>
        <w:rPr>
          <w:spacing w:val="-10"/>
        </w:rPr>
        <w:t xml:space="preserve"> </w:t>
      </w:r>
      <w:r>
        <w:rPr>
          <w:spacing w:val="-2"/>
        </w:rPr>
        <w:t>ACTEW</w:t>
      </w:r>
      <w:r>
        <w:rPr>
          <w:spacing w:val="-3"/>
        </w:rPr>
        <w:t xml:space="preserve"> </w:t>
      </w:r>
      <w:r>
        <w:t xml:space="preserve">has informed the </w:t>
      </w:r>
      <w:r>
        <w:rPr>
          <w:spacing w:val="-3"/>
        </w:rPr>
        <w:t>Panel</w:t>
      </w:r>
      <w:r>
        <w:t xml:space="preserve"> </w:t>
      </w:r>
      <w:r>
        <w:rPr>
          <w:spacing w:val="-1"/>
        </w:rPr>
        <w:t>that</w:t>
      </w:r>
      <w:r>
        <w:t xml:space="preserve"> it considers its </w:t>
      </w:r>
      <w:r>
        <w:rPr>
          <w:spacing w:val="-1"/>
        </w:rPr>
        <w:t>approach</w:t>
      </w:r>
      <w:r>
        <w:t xml:space="preserve"> is consistent</w:t>
      </w:r>
      <w:r>
        <w:rPr>
          <w:spacing w:val="27"/>
        </w:rPr>
        <w:t xml:space="preserve"> </w:t>
      </w:r>
      <w:r>
        <w:t>with</w:t>
      </w:r>
      <w:r>
        <w:rPr>
          <w:spacing w:val="-1"/>
        </w:rPr>
        <w:t xml:space="preserve"> </w:t>
      </w:r>
      <w:r>
        <w:t>the intent of</w:t>
      </w:r>
      <w:r>
        <w:rPr>
          <w:spacing w:val="4"/>
        </w:rPr>
        <w:t xml:space="preserve"> </w:t>
      </w:r>
      <w:r>
        <w:t>the</w:t>
      </w:r>
      <w:r>
        <w:rPr>
          <w:spacing w:val="-1"/>
        </w:rPr>
        <w:t xml:space="preserve"> </w:t>
      </w:r>
      <w:r>
        <w:rPr>
          <w:spacing w:val="-2"/>
        </w:rPr>
        <w:t>ICRC’s</w:t>
      </w:r>
      <w:r>
        <w:t xml:space="preserve"> final decision,</w:t>
      </w:r>
      <w:r>
        <w:rPr>
          <w:spacing w:val="-6"/>
        </w:rPr>
        <w:t xml:space="preserve"> </w:t>
      </w:r>
      <w:r>
        <w:t>which</w:t>
      </w:r>
      <w:r>
        <w:rPr>
          <w:spacing w:val="-1"/>
        </w:rPr>
        <w:t xml:space="preserve"> </w:t>
      </w:r>
      <w:r>
        <w:t>in its view was</w:t>
      </w:r>
      <w:r>
        <w:rPr>
          <w:spacing w:val="-1"/>
        </w:rPr>
        <w:t xml:space="preserve"> </w:t>
      </w:r>
      <w:r>
        <w:t xml:space="preserve">to </w:t>
      </w:r>
      <w:r>
        <w:rPr>
          <w:spacing w:val="-1"/>
        </w:rPr>
        <w:t>exclude</w:t>
      </w:r>
      <w:r>
        <w:t xml:space="preserve"> all </w:t>
      </w:r>
      <w:r>
        <w:rPr>
          <w:spacing w:val="-1"/>
        </w:rPr>
        <w:t>Uriarra-related</w:t>
      </w:r>
      <w:r>
        <w:rPr>
          <w:spacing w:val="23"/>
        </w:rPr>
        <w:t xml:space="preserve"> </w:t>
      </w:r>
      <w:r>
        <w:rPr>
          <w:spacing w:val="-1"/>
        </w:rPr>
        <w:t>expenditure except</w:t>
      </w:r>
      <w:r>
        <w:t xml:space="preserve"> the</w:t>
      </w:r>
      <w:r>
        <w:rPr>
          <w:spacing w:val="-1"/>
        </w:rPr>
        <w:t xml:space="preserve"> </w:t>
      </w:r>
      <w:r>
        <w:t xml:space="preserve">prudent and </w:t>
      </w:r>
      <w:r>
        <w:rPr>
          <w:spacing w:val="-1"/>
        </w:rPr>
        <w:t xml:space="preserve">efficient </w:t>
      </w:r>
      <w:r>
        <w:t>costs of</w:t>
      </w:r>
      <w:r>
        <w:rPr>
          <w:spacing w:val="4"/>
        </w:rPr>
        <w:t xml:space="preserve"> </w:t>
      </w:r>
      <w:r>
        <w:t>a</w:t>
      </w:r>
      <w:r>
        <w:rPr>
          <w:spacing w:val="-1"/>
        </w:rPr>
        <w:t xml:space="preserve"> package</w:t>
      </w:r>
      <w:r>
        <w:t xml:space="preserve"> plant,</w:t>
      </w:r>
      <w:r>
        <w:rPr>
          <w:spacing w:val="-7"/>
        </w:rPr>
        <w:t xml:space="preserve"> </w:t>
      </w:r>
      <w:r>
        <w:t>in line with</w:t>
      </w:r>
      <w:r>
        <w:rPr>
          <w:spacing w:val="-1"/>
        </w:rPr>
        <w:t xml:space="preserve"> </w:t>
      </w:r>
      <w:r>
        <w:rPr>
          <w:spacing w:val="-3"/>
        </w:rPr>
        <w:t>Cardno’s</w:t>
      </w:r>
      <w:r>
        <w:t xml:space="preserve"> advice.</w:t>
      </w:r>
    </w:p>
    <w:p w:rsidR="00D96B91" w:rsidRDefault="00C2656B">
      <w:pPr>
        <w:pStyle w:val="BodyText"/>
        <w:numPr>
          <w:ilvl w:val="0"/>
          <w:numId w:val="131"/>
        </w:numPr>
        <w:tabs>
          <w:tab w:val="left" w:pos="1531"/>
        </w:tabs>
        <w:spacing w:before="85" w:line="260" w:lineRule="exact"/>
        <w:ind w:right="1387" w:hanging="283"/>
      </w:pPr>
      <w:r>
        <w:t>Second,</w:t>
      </w:r>
      <w:r>
        <w:rPr>
          <w:spacing w:val="-11"/>
        </w:rPr>
        <w:t xml:space="preserve"> </w:t>
      </w:r>
      <w:r>
        <w:rPr>
          <w:spacing w:val="-2"/>
        </w:rPr>
        <w:t>ACTEW</w:t>
      </w:r>
      <w:r>
        <w:rPr>
          <w:spacing w:val="-3"/>
        </w:rPr>
        <w:t xml:space="preserve"> </w:t>
      </w:r>
      <w:r>
        <w:t>assumed</w:t>
      </w:r>
      <w:r>
        <w:rPr>
          <w:spacing w:val="-1"/>
        </w:rPr>
        <w:t xml:space="preserve"> </w:t>
      </w:r>
      <w:r>
        <w:t>the prudent and</w:t>
      </w:r>
      <w:r>
        <w:rPr>
          <w:spacing w:val="-1"/>
        </w:rPr>
        <w:t xml:space="preserve"> efficient</w:t>
      </w:r>
      <w:r>
        <w:t xml:space="preserve"> costs</w:t>
      </w:r>
      <w:r>
        <w:rPr>
          <w:spacing w:val="-1"/>
        </w:rPr>
        <w:t xml:space="preserve"> </w:t>
      </w:r>
      <w:r>
        <w:t>of</w:t>
      </w:r>
      <w:r>
        <w:rPr>
          <w:spacing w:val="4"/>
        </w:rPr>
        <w:t xml:space="preserve"> </w:t>
      </w:r>
      <w:r>
        <w:t xml:space="preserve">a </w:t>
      </w:r>
      <w:r>
        <w:rPr>
          <w:spacing w:val="-1"/>
        </w:rPr>
        <w:t xml:space="preserve">package </w:t>
      </w:r>
      <w:r>
        <w:t xml:space="preserve">plant </w:t>
      </w:r>
      <w:r>
        <w:rPr>
          <w:spacing w:val="-1"/>
        </w:rPr>
        <w:t xml:space="preserve">were </w:t>
      </w:r>
      <w:r>
        <w:t>$3.4 million,</w:t>
      </w:r>
      <w:r>
        <w:rPr>
          <w:spacing w:val="29"/>
        </w:rPr>
        <w:t xml:space="preserve"> </w:t>
      </w:r>
      <w:r>
        <w:t xml:space="preserve">while the ICRC assumed these costs </w:t>
      </w:r>
      <w:r>
        <w:rPr>
          <w:spacing w:val="-1"/>
        </w:rPr>
        <w:t>were</w:t>
      </w:r>
      <w:r>
        <w:t xml:space="preserve"> $2.9 million.</w:t>
      </w:r>
      <w:r>
        <w:rPr>
          <w:spacing w:val="-10"/>
        </w:rPr>
        <w:t xml:space="preserve"> </w:t>
      </w:r>
      <w:r>
        <w:rPr>
          <w:spacing w:val="-2"/>
        </w:rPr>
        <w:t>ACTEW</w:t>
      </w:r>
      <w:r>
        <w:rPr>
          <w:spacing w:val="-3"/>
        </w:rPr>
        <w:t xml:space="preserve"> </w:t>
      </w:r>
      <w:r>
        <w:t xml:space="preserve">has informed the </w:t>
      </w:r>
      <w:r>
        <w:rPr>
          <w:spacing w:val="-3"/>
        </w:rPr>
        <w:t>Panel</w:t>
      </w:r>
      <w:r>
        <w:t xml:space="preserve"> </w:t>
      </w:r>
      <w:r>
        <w:rPr>
          <w:spacing w:val="-1"/>
        </w:rPr>
        <w:t>that</w:t>
      </w:r>
      <w:r>
        <w:t xml:space="preserve"> it based</w:t>
      </w:r>
      <w:r>
        <w:rPr>
          <w:spacing w:val="30"/>
        </w:rPr>
        <w:t xml:space="preserve"> </w:t>
      </w:r>
      <w:r>
        <w:rPr>
          <w:rFonts w:cs="Avenir Next"/>
        </w:rPr>
        <w:t xml:space="preserve">its costs on </w:t>
      </w:r>
      <w:r>
        <w:rPr>
          <w:rFonts w:cs="Avenir Next"/>
          <w:spacing w:val="-1"/>
        </w:rPr>
        <w:t>information</w:t>
      </w:r>
      <w:r>
        <w:rPr>
          <w:rFonts w:cs="Avenir Next"/>
        </w:rPr>
        <w:t xml:space="preserve"> in the </w:t>
      </w:r>
      <w:r>
        <w:rPr>
          <w:rFonts w:cs="Avenir Next"/>
          <w:spacing w:val="-2"/>
        </w:rPr>
        <w:t>ICRC’s</w:t>
      </w:r>
      <w:r>
        <w:rPr>
          <w:rFonts w:cs="Avenir Next"/>
        </w:rPr>
        <w:t xml:space="preserve"> </w:t>
      </w:r>
      <w:r>
        <w:rPr>
          <w:rFonts w:cs="Avenir Next"/>
          <w:spacing w:val="-2"/>
        </w:rPr>
        <w:t>draft</w:t>
      </w:r>
      <w:r>
        <w:rPr>
          <w:rFonts w:cs="Avenir Next"/>
        </w:rPr>
        <w:t xml:space="preserve"> decision,</w:t>
      </w:r>
      <w:r>
        <w:rPr>
          <w:rFonts w:cs="Avenir Next"/>
          <w:spacing w:val="-6"/>
        </w:rPr>
        <w:t xml:space="preserve"> </w:t>
      </w:r>
      <w:r>
        <w:rPr>
          <w:rFonts w:cs="Avenir Next"/>
        </w:rPr>
        <w:t xml:space="preserve">which </w:t>
      </w:r>
      <w:r>
        <w:rPr>
          <w:rFonts w:cs="Avenir Next"/>
          <w:spacing w:val="-1"/>
        </w:rPr>
        <w:t>differs</w:t>
      </w:r>
      <w:r>
        <w:rPr>
          <w:rFonts w:cs="Avenir Next"/>
        </w:rPr>
        <w:t xml:space="preserve"> </w:t>
      </w:r>
      <w:r>
        <w:rPr>
          <w:rFonts w:cs="Avenir Next"/>
          <w:spacing w:val="-1"/>
        </w:rPr>
        <w:t>from</w:t>
      </w:r>
      <w:r>
        <w:rPr>
          <w:rFonts w:cs="Avenir Next"/>
        </w:rPr>
        <w:t xml:space="preserve"> the costs used in the </w:t>
      </w:r>
      <w:r>
        <w:rPr>
          <w:rFonts w:cs="Avenir Next"/>
          <w:spacing w:val="-2"/>
        </w:rPr>
        <w:t>ICRC’s</w:t>
      </w:r>
      <w:r>
        <w:rPr>
          <w:rFonts w:cs="Avenir Next"/>
          <w:spacing w:val="39"/>
        </w:rPr>
        <w:t xml:space="preserve"> </w:t>
      </w:r>
      <w:r>
        <w:t>pricing model.</w:t>
      </w:r>
    </w:p>
    <w:p w:rsidR="00D96B91" w:rsidRDefault="00D96B91">
      <w:pPr>
        <w:spacing w:before="3"/>
        <w:rPr>
          <w:rFonts w:ascii="Avenir Next" w:eastAsia="Avenir Next" w:hAnsi="Avenir Next" w:cs="Avenir Next"/>
          <w:sz w:val="17"/>
          <w:szCs w:val="17"/>
        </w:rPr>
      </w:pPr>
    </w:p>
    <w:p w:rsidR="00D96B91" w:rsidRDefault="00C2656B">
      <w:pPr>
        <w:pStyle w:val="BodyText"/>
      </w:pPr>
      <w:r>
        <w:rPr>
          <w:spacing w:val="-2"/>
        </w:rPr>
        <w:t>The</w:t>
      </w:r>
      <w:r>
        <w:rPr>
          <w:spacing w:val="-1"/>
        </w:rPr>
        <w:t xml:space="preserve"> </w:t>
      </w:r>
      <w:r>
        <w:rPr>
          <w:spacing w:val="-4"/>
        </w:rPr>
        <w:t>Panel’s</w:t>
      </w:r>
      <w:r>
        <w:rPr>
          <w:spacing w:val="-1"/>
        </w:rPr>
        <w:t xml:space="preserve"> </w:t>
      </w:r>
      <w:r>
        <w:t>findings on</w:t>
      </w:r>
      <w:r>
        <w:rPr>
          <w:spacing w:val="-1"/>
        </w:rPr>
        <w:t xml:space="preserve"> </w:t>
      </w:r>
      <w:r>
        <w:t>these</w:t>
      </w:r>
      <w:r>
        <w:rPr>
          <w:spacing w:val="-1"/>
        </w:rPr>
        <w:t xml:space="preserve"> </w:t>
      </w:r>
      <w:r>
        <w:t xml:space="preserve">two </w:t>
      </w:r>
      <w:r>
        <w:rPr>
          <w:spacing w:val="-1"/>
        </w:rPr>
        <w:t xml:space="preserve">sources </w:t>
      </w:r>
      <w:r>
        <w:t>of</w:t>
      </w:r>
      <w:r>
        <w:rPr>
          <w:spacing w:val="3"/>
        </w:rPr>
        <w:t xml:space="preserve"> </w:t>
      </w:r>
      <w:r>
        <w:rPr>
          <w:spacing w:val="-1"/>
        </w:rPr>
        <w:t>difference</w:t>
      </w:r>
      <w:r>
        <w:t xml:space="preserve"> </w:t>
      </w:r>
      <w:r>
        <w:rPr>
          <w:spacing w:val="-2"/>
        </w:rPr>
        <w:t>are</w:t>
      </w:r>
      <w:r>
        <w:rPr>
          <w:spacing w:val="-1"/>
        </w:rPr>
        <w:t xml:space="preserve"> </w:t>
      </w:r>
      <w:r>
        <w:t>as</w:t>
      </w:r>
      <w:r>
        <w:rPr>
          <w:spacing w:val="-1"/>
        </w:rPr>
        <w:t xml:space="preserve"> </w:t>
      </w:r>
      <w:r>
        <w:t>follows:</w:t>
      </w:r>
    </w:p>
    <w:p w:rsidR="00D96B91" w:rsidRDefault="00C2656B">
      <w:pPr>
        <w:pStyle w:val="BodyText"/>
        <w:numPr>
          <w:ilvl w:val="0"/>
          <w:numId w:val="131"/>
        </w:numPr>
        <w:tabs>
          <w:tab w:val="left" w:pos="1531"/>
        </w:tabs>
        <w:spacing w:before="149" w:line="260" w:lineRule="exact"/>
        <w:ind w:right="1271" w:hanging="283"/>
        <w:rPr>
          <w:sz w:val="11"/>
          <w:szCs w:val="11"/>
        </w:rPr>
      </w:pPr>
      <w:r>
        <w:rPr>
          <w:rFonts w:cs="Avenir Next"/>
          <w:b/>
          <w:bCs/>
          <w:spacing w:val="-1"/>
        </w:rPr>
        <w:t>Sewerage</w:t>
      </w:r>
      <w:r>
        <w:rPr>
          <w:rFonts w:cs="Avenir Next"/>
          <w:b/>
          <w:bCs/>
        </w:rPr>
        <w:t xml:space="preserve"> </w:t>
      </w:r>
      <w:r>
        <w:rPr>
          <w:rFonts w:cs="Avenir Next"/>
          <w:b/>
          <w:bCs/>
          <w:spacing w:val="-1"/>
        </w:rPr>
        <w:t>rectification</w:t>
      </w:r>
      <w:r>
        <w:rPr>
          <w:rFonts w:cs="Avenir Next"/>
          <w:b/>
          <w:bCs/>
        </w:rPr>
        <w:t xml:space="preserve"> </w:t>
      </w:r>
      <w:r>
        <w:rPr>
          <w:rFonts w:cs="Avenir Next"/>
          <w:b/>
          <w:bCs/>
          <w:spacing w:val="-1"/>
        </w:rPr>
        <w:t>works</w:t>
      </w:r>
      <w:r>
        <w:rPr>
          <w:rFonts w:cs="Avenir Next"/>
          <w:b/>
          <w:bCs/>
        </w:rPr>
        <w:t xml:space="preserve"> </w:t>
      </w:r>
      <w:r>
        <w:t xml:space="preserve">– It is </w:t>
      </w:r>
      <w:r>
        <w:rPr>
          <w:spacing w:val="-1"/>
        </w:rPr>
        <w:t>unclear</w:t>
      </w:r>
      <w:r>
        <w:t xml:space="preserve"> </w:t>
      </w:r>
      <w:r>
        <w:rPr>
          <w:spacing w:val="-1"/>
        </w:rPr>
        <w:t>from</w:t>
      </w:r>
      <w:r>
        <w:t xml:space="preserve"> the </w:t>
      </w:r>
      <w:r>
        <w:rPr>
          <w:spacing w:val="-2"/>
        </w:rPr>
        <w:t>report</w:t>
      </w:r>
      <w:r>
        <w:t xml:space="preserve"> </w:t>
      </w:r>
      <w:r>
        <w:rPr>
          <w:spacing w:val="-2"/>
        </w:rPr>
        <w:t>Cardno</w:t>
      </w:r>
      <w:r>
        <w:t xml:space="preserve"> </w:t>
      </w:r>
      <w:r>
        <w:rPr>
          <w:spacing w:val="-1"/>
        </w:rPr>
        <w:t>prepared</w:t>
      </w:r>
      <w:r>
        <w:t xml:space="preserve"> for the ICRC on</w:t>
      </w:r>
      <w:r>
        <w:rPr>
          <w:spacing w:val="59"/>
        </w:rPr>
        <w:t xml:space="preserve"> </w:t>
      </w:r>
      <w:r>
        <w:rPr>
          <w:spacing w:val="-2"/>
        </w:rPr>
        <w:t>ACTEW’s</w:t>
      </w:r>
      <w:r>
        <w:rPr>
          <w:spacing w:val="-1"/>
        </w:rPr>
        <w:t xml:space="preserve"> </w:t>
      </w:r>
      <w:r>
        <w:t>capital</w:t>
      </w:r>
      <w:r>
        <w:rPr>
          <w:spacing w:val="-1"/>
        </w:rPr>
        <w:t xml:space="preserve"> expenditure</w:t>
      </w:r>
      <w:r>
        <w:t xml:space="preserve"> whether</w:t>
      </w:r>
      <w:r>
        <w:rPr>
          <w:spacing w:val="-1"/>
        </w:rPr>
        <w:t xml:space="preserve"> </w:t>
      </w:r>
      <w:r>
        <w:t>it intended</w:t>
      </w:r>
      <w:r>
        <w:rPr>
          <w:spacing w:val="-1"/>
        </w:rPr>
        <w:t xml:space="preserve"> </w:t>
      </w:r>
      <w:r>
        <w:t>to</w:t>
      </w:r>
      <w:r>
        <w:rPr>
          <w:spacing w:val="-1"/>
        </w:rPr>
        <w:t xml:space="preserve"> exclude</w:t>
      </w:r>
      <w:r>
        <w:rPr>
          <w:spacing w:val="-4"/>
        </w:rPr>
        <w:t xml:space="preserve"> </w:t>
      </w:r>
      <w:r>
        <w:rPr>
          <w:spacing w:val="-2"/>
        </w:rPr>
        <w:t>ACTEW’s</w:t>
      </w:r>
      <w:r>
        <w:rPr>
          <w:spacing w:val="-1"/>
        </w:rPr>
        <w:t xml:space="preserve"> expenditure</w:t>
      </w:r>
      <w:r>
        <w:t xml:space="preserve"> on</w:t>
      </w:r>
      <w:r>
        <w:rPr>
          <w:spacing w:val="-1"/>
        </w:rPr>
        <w:t xml:space="preserve"> rectification</w:t>
      </w:r>
      <w:r>
        <w:rPr>
          <w:spacing w:val="45"/>
        </w:rPr>
        <w:t xml:space="preserve"> </w:t>
      </w:r>
      <w:r>
        <w:rPr>
          <w:spacing w:val="-1"/>
        </w:rPr>
        <w:t>works</w:t>
      </w:r>
      <w:r>
        <w:t xml:space="preserve"> on the basis</w:t>
      </w:r>
      <w:r>
        <w:rPr>
          <w:spacing w:val="1"/>
        </w:rPr>
        <w:t xml:space="preserve"> </w:t>
      </w:r>
      <w:r>
        <w:rPr>
          <w:spacing w:val="-1"/>
        </w:rPr>
        <w:t>that</w:t>
      </w:r>
      <w:r>
        <w:t xml:space="preserve"> they </w:t>
      </w:r>
      <w:r>
        <w:rPr>
          <w:spacing w:val="-1"/>
        </w:rPr>
        <w:t>were</w:t>
      </w:r>
      <w:r>
        <w:t xml:space="preserve"> imprudent</w:t>
      </w:r>
      <w:r>
        <w:rPr>
          <w:spacing w:val="1"/>
        </w:rPr>
        <w:t xml:space="preserve"> </w:t>
      </w:r>
      <w:r>
        <w:t xml:space="preserve">or </w:t>
      </w:r>
      <w:r>
        <w:rPr>
          <w:spacing w:val="-1"/>
        </w:rPr>
        <w:t>inefficient.</w:t>
      </w:r>
      <w:r>
        <w:rPr>
          <w:spacing w:val="-1"/>
          <w:position w:val="7"/>
          <w:sz w:val="11"/>
          <w:szCs w:val="11"/>
        </w:rPr>
        <w:t>109</w:t>
      </w:r>
      <w:r>
        <w:rPr>
          <w:spacing w:val="23"/>
          <w:position w:val="7"/>
          <w:sz w:val="11"/>
          <w:szCs w:val="11"/>
        </w:rPr>
        <w:t xml:space="preserve"> </w:t>
      </w:r>
      <w:r>
        <w:rPr>
          <w:spacing w:val="-2"/>
        </w:rPr>
        <w:t>However,</w:t>
      </w:r>
      <w:r>
        <w:rPr>
          <w:spacing w:val="-6"/>
        </w:rPr>
        <w:t xml:space="preserve"> </w:t>
      </w:r>
      <w:r>
        <w:rPr>
          <w:spacing w:val="-1"/>
        </w:rPr>
        <w:t>through</w:t>
      </w:r>
      <w:r>
        <w:t xml:space="preserve"> </w:t>
      </w:r>
      <w:r>
        <w:rPr>
          <w:spacing w:val="-1"/>
        </w:rPr>
        <w:t>further</w:t>
      </w:r>
      <w:r>
        <w:rPr>
          <w:spacing w:val="1"/>
        </w:rPr>
        <w:t xml:space="preserve"> </w:t>
      </w:r>
      <w:r>
        <w:t>discussions</w:t>
      </w:r>
      <w:r>
        <w:rPr>
          <w:spacing w:val="57"/>
        </w:rPr>
        <w:t xml:space="preserve"> </w:t>
      </w:r>
      <w:r>
        <w:t>with</w:t>
      </w:r>
      <w:r>
        <w:rPr>
          <w:spacing w:val="-1"/>
        </w:rPr>
        <w:t xml:space="preserve"> </w:t>
      </w:r>
      <w:r>
        <w:rPr>
          <w:spacing w:val="-2"/>
        </w:rPr>
        <w:t>Cardno,</w:t>
      </w:r>
      <w:r>
        <w:rPr>
          <w:spacing w:val="-6"/>
        </w:rPr>
        <w:t xml:space="preserve"> </w:t>
      </w:r>
      <w:r>
        <w:t>the</w:t>
      </w:r>
      <w:r>
        <w:rPr>
          <w:spacing w:val="-1"/>
        </w:rPr>
        <w:t xml:space="preserve"> </w:t>
      </w:r>
      <w:r>
        <w:rPr>
          <w:spacing w:val="-3"/>
        </w:rPr>
        <w:t>Panel</w:t>
      </w:r>
      <w:r>
        <w:t xml:space="preserve"> established</w:t>
      </w:r>
      <w:r>
        <w:rPr>
          <w:spacing w:val="-1"/>
        </w:rPr>
        <w:t xml:space="preserve"> that</w:t>
      </w:r>
      <w:r>
        <w:t xml:space="preserve"> the</w:t>
      </w:r>
      <w:r>
        <w:rPr>
          <w:spacing w:val="-1"/>
        </w:rPr>
        <w:t xml:space="preserve"> </w:t>
      </w:r>
      <w:r>
        <w:t xml:space="preserve">costs </w:t>
      </w:r>
      <w:r>
        <w:rPr>
          <w:spacing w:val="-1"/>
        </w:rPr>
        <w:t>were considered</w:t>
      </w:r>
      <w:r>
        <w:t xml:space="preserve"> prudent</w:t>
      </w:r>
      <w:r>
        <w:rPr>
          <w:spacing w:val="-1"/>
        </w:rPr>
        <w:t xml:space="preserve"> </w:t>
      </w:r>
      <w:r>
        <w:t xml:space="preserve">and </w:t>
      </w:r>
      <w:r>
        <w:rPr>
          <w:spacing w:val="-1"/>
        </w:rPr>
        <w:t>efficient.</w:t>
      </w:r>
      <w:r>
        <w:rPr>
          <w:spacing w:val="-12"/>
        </w:rPr>
        <w:t xml:space="preserve"> </w:t>
      </w:r>
      <w:r>
        <w:rPr>
          <w:spacing w:val="-2"/>
        </w:rPr>
        <w:t>Therefore</w:t>
      </w:r>
      <w:r>
        <w:rPr>
          <w:spacing w:val="53"/>
        </w:rPr>
        <w:t xml:space="preserve"> </w:t>
      </w:r>
      <w:r>
        <w:rPr>
          <w:rFonts w:cs="Avenir Next"/>
        </w:rPr>
        <w:t xml:space="preserve">the </w:t>
      </w:r>
      <w:r>
        <w:rPr>
          <w:rFonts w:cs="Avenir Next"/>
          <w:spacing w:val="-3"/>
        </w:rPr>
        <w:t>Panel</w:t>
      </w:r>
      <w:r>
        <w:rPr>
          <w:rFonts w:cs="Avenir Next"/>
        </w:rPr>
        <w:t xml:space="preserve"> decided to include the costs of</w:t>
      </w:r>
      <w:r>
        <w:rPr>
          <w:rFonts w:cs="Avenir Next"/>
          <w:spacing w:val="4"/>
        </w:rPr>
        <w:t xml:space="preserve"> </w:t>
      </w:r>
      <w:r>
        <w:rPr>
          <w:rFonts w:cs="Avenir Next"/>
        </w:rPr>
        <w:t xml:space="preserve">these </w:t>
      </w:r>
      <w:r>
        <w:rPr>
          <w:rFonts w:cs="Avenir Next"/>
          <w:spacing w:val="-1"/>
        </w:rPr>
        <w:t>works</w:t>
      </w:r>
      <w:r>
        <w:rPr>
          <w:rFonts w:cs="Avenir Next"/>
        </w:rPr>
        <w:t xml:space="preserve"> in the opening value of</w:t>
      </w:r>
      <w:r>
        <w:rPr>
          <w:rFonts w:cs="Avenir Next"/>
          <w:spacing w:val="4"/>
        </w:rPr>
        <w:t xml:space="preserve"> </w:t>
      </w:r>
      <w:r>
        <w:rPr>
          <w:rFonts w:cs="Avenir Next"/>
        </w:rPr>
        <w:t xml:space="preserve">the </w:t>
      </w:r>
      <w:r>
        <w:rPr>
          <w:rFonts w:cs="Avenir Next"/>
          <w:spacing w:val="-1"/>
        </w:rPr>
        <w:t>sewerage</w:t>
      </w:r>
      <w:r>
        <w:rPr>
          <w:rFonts w:cs="Avenir Next"/>
        </w:rPr>
        <w:t xml:space="preserve"> RAB and</w:t>
      </w:r>
      <w:r>
        <w:rPr>
          <w:rFonts w:cs="Avenir Next"/>
          <w:spacing w:val="23"/>
        </w:rPr>
        <w:t xml:space="preserve"> </w:t>
      </w:r>
      <w:r>
        <w:rPr>
          <w:rFonts w:cs="Avenir Next"/>
        </w:rPr>
        <w:t>to also</w:t>
      </w:r>
      <w:r>
        <w:rPr>
          <w:rFonts w:cs="Avenir Next"/>
          <w:spacing w:val="1"/>
        </w:rPr>
        <w:t xml:space="preserve"> </w:t>
      </w:r>
      <w:r>
        <w:rPr>
          <w:rFonts w:cs="Avenir Next"/>
        </w:rPr>
        <w:t>account</w:t>
      </w:r>
      <w:r>
        <w:rPr>
          <w:rFonts w:cs="Avenir Next"/>
          <w:spacing w:val="1"/>
        </w:rPr>
        <w:t xml:space="preserve"> </w:t>
      </w:r>
      <w:r>
        <w:rPr>
          <w:rFonts w:cs="Avenir Next"/>
        </w:rPr>
        <w:t>for these</w:t>
      </w:r>
      <w:r>
        <w:rPr>
          <w:rFonts w:cs="Avenir Next"/>
          <w:spacing w:val="1"/>
        </w:rPr>
        <w:t xml:space="preserve"> </w:t>
      </w:r>
      <w:r>
        <w:rPr>
          <w:rFonts w:cs="Avenir Next"/>
        </w:rPr>
        <w:t>in</w:t>
      </w:r>
      <w:r>
        <w:rPr>
          <w:rFonts w:cs="Avenir Next"/>
          <w:spacing w:val="1"/>
        </w:rPr>
        <w:t xml:space="preserve"> </w:t>
      </w:r>
      <w:r>
        <w:rPr>
          <w:rFonts w:cs="Avenir Next"/>
        </w:rPr>
        <w:t>the</w:t>
      </w:r>
      <w:r>
        <w:rPr>
          <w:rFonts w:cs="Avenir Next"/>
          <w:spacing w:val="1"/>
        </w:rPr>
        <w:t xml:space="preserve"> </w:t>
      </w:r>
      <w:r>
        <w:rPr>
          <w:rFonts w:cs="Avenir Next"/>
          <w:spacing w:val="-1"/>
        </w:rPr>
        <w:t>Uriarra</w:t>
      </w:r>
      <w:r>
        <w:rPr>
          <w:rFonts w:cs="Avenir Next"/>
        </w:rPr>
        <w:t xml:space="preserve"> CSO</w:t>
      </w:r>
      <w:r>
        <w:rPr>
          <w:rFonts w:cs="Avenir Next"/>
          <w:spacing w:val="1"/>
        </w:rPr>
        <w:t xml:space="preserve"> </w:t>
      </w:r>
      <w:r>
        <w:rPr>
          <w:rFonts w:cs="Avenir Next"/>
          <w:spacing w:val="-1"/>
        </w:rPr>
        <w:t>revenue</w:t>
      </w:r>
      <w:r>
        <w:rPr>
          <w:rFonts w:cs="Avenir Next"/>
          <w:spacing w:val="1"/>
        </w:rPr>
        <w:t xml:space="preserve"> </w:t>
      </w:r>
      <w:r>
        <w:rPr>
          <w:rFonts w:cs="Avenir Next"/>
        </w:rPr>
        <w:t>adjustment</w:t>
      </w:r>
      <w:r>
        <w:rPr>
          <w:rFonts w:cs="Avenir Next"/>
          <w:spacing w:val="1"/>
        </w:rPr>
        <w:t xml:space="preserve"> </w:t>
      </w:r>
      <w:r>
        <w:rPr>
          <w:rFonts w:cs="Avenir Next"/>
        </w:rPr>
        <w:t>(see section</w:t>
      </w:r>
      <w:r>
        <w:rPr>
          <w:rFonts w:cs="Avenir Next"/>
          <w:spacing w:val="1"/>
        </w:rPr>
        <w:t xml:space="preserve"> </w:t>
      </w:r>
      <w:r>
        <w:rPr>
          <w:spacing w:val="-1"/>
        </w:rPr>
        <w:t>13.3).</w:t>
      </w:r>
      <w:r>
        <w:rPr>
          <w:spacing w:val="-1"/>
          <w:position w:val="7"/>
          <w:sz w:val="11"/>
          <w:szCs w:val="11"/>
        </w:rPr>
        <w:t>110</w:t>
      </w:r>
    </w:p>
    <w:p w:rsidR="00D96B91" w:rsidRDefault="00C2656B">
      <w:pPr>
        <w:pStyle w:val="BodyText"/>
        <w:numPr>
          <w:ilvl w:val="0"/>
          <w:numId w:val="131"/>
        </w:numPr>
        <w:tabs>
          <w:tab w:val="left" w:pos="1531"/>
          <w:tab w:val="left" w:pos="2355"/>
          <w:tab w:val="left" w:pos="5677"/>
          <w:tab w:val="left" w:pos="7398"/>
        </w:tabs>
        <w:spacing w:before="85" w:line="260" w:lineRule="exact"/>
        <w:ind w:right="1414" w:hanging="283"/>
      </w:pPr>
      <w:r>
        <w:rPr>
          <w:rFonts w:cs="Avenir Next"/>
          <w:b/>
          <w:bCs/>
          <w:spacing w:val="-6"/>
        </w:rPr>
        <w:t>Package</w:t>
      </w:r>
      <w:r>
        <w:rPr>
          <w:rFonts w:cs="Avenir Next"/>
          <w:b/>
          <w:bCs/>
          <w:spacing w:val="-8"/>
        </w:rPr>
        <w:t xml:space="preserve"> </w:t>
      </w:r>
      <w:r>
        <w:rPr>
          <w:rFonts w:cs="Avenir Next"/>
          <w:b/>
          <w:bCs/>
          <w:spacing w:val="-4"/>
        </w:rPr>
        <w:t>plant</w:t>
      </w:r>
      <w:r>
        <w:rPr>
          <w:rFonts w:cs="Avenir Next"/>
          <w:b/>
          <w:bCs/>
          <w:spacing w:val="-8"/>
        </w:rPr>
        <w:t xml:space="preserve"> </w:t>
      </w:r>
      <w:r>
        <w:rPr>
          <w:rFonts w:cs="Avenir Next"/>
          <w:b/>
          <w:bCs/>
          <w:spacing w:val="-4"/>
        </w:rPr>
        <w:t>costs</w:t>
      </w:r>
      <w:r>
        <w:rPr>
          <w:rFonts w:cs="Avenir Next"/>
          <w:b/>
          <w:bCs/>
          <w:spacing w:val="-8"/>
        </w:rPr>
        <w:t xml:space="preserve"> </w:t>
      </w:r>
      <w:r>
        <w:t>–</w:t>
      </w:r>
      <w:r>
        <w:rPr>
          <w:spacing w:val="-8"/>
        </w:rPr>
        <w:t xml:space="preserve"> </w:t>
      </w:r>
      <w:r>
        <w:rPr>
          <w:spacing w:val="-4"/>
        </w:rPr>
        <w:t>Based</w:t>
      </w:r>
      <w:r>
        <w:rPr>
          <w:spacing w:val="-8"/>
        </w:rPr>
        <w:t xml:space="preserve"> </w:t>
      </w:r>
      <w:r>
        <w:rPr>
          <w:spacing w:val="-2"/>
        </w:rPr>
        <w:t>on</w:t>
      </w:r>
      <w:r>
        <w:rPr>
          <w:spacing w:val="-8"/>
        </w:rPr>
        <w:t xml:space="preserve"> </w:t>
      </w:r>
      <w:r>
        <w:rPr>
          <w:spacing w:val="-3"/>
        </w:rPr>
        <w:t>the</w:t>
      </w:r>
      <w:r>
        <w:rPr>
          <w:spacing w:val="-8"/>
        </w:rPr>
        <w:t xml:space="preserve"> </w:t>
      </w:r>
      <w:r>
        <w:rPr>
          <w:spacing w:val="-7"/>
        </w:rPr>
        <w:t>Panel’s</w:t>
      </w:r>
      <w:r>
        <w:rPr>
          <w:spacing w:val="-8"/>
        </w:rPr>
        <w:t xml:space="preserve"> </w:t>
      </w:r>
      <w:r>
        <w:rPr>
          <w:spacing w:val="-4"/>
        </w:rPr>
        <w:t>review</w:t>
      </w:r>
      <w:r>
        <w:rPr>
          <w:spacing w:val="-8"/>
        </w:rPr>
        <w:t xml:space="preserve"> </w:t>
      </w:r>
      <w:r>
        <w:rPr>
          <w:spacing w:val="-2"/>
        </w:rPr>
        <w:t>of</w:t>
      </w:r>
      <w:r>
        <w:rPr>
          <w:spacing w:val="-4"/>
        </w:rPr>
        <w:t xml:space="preserve"> </w:t>
      </w:r>
      <w:r>
        <w:rPr>
          <w:spacing w:val="-3"/>
        </w:rPr>
        <w:t>this</w:t>
      </w:r>
      <w:r>
        <w:rPr>
          <w:spacing w:val="-8"/>
        </w:rPr>
        <w:t xml:space="preserve"> </w:t>
      </w:r>
      <w:r>
        <w:rPr>
          <w:spacing w:val="-4"/>
        </w:rPr>
        <w:t>issue,</w:t>
      </w:r>
      <w:r>
        <w:rPr>
          <w:spacing w:val="-14"/>
        </w:rPr>
        <w:t xml:space="preserve"> </w:t>
      </w:r>
      <w:r>
        <w:rPr>
          <w:spacing w:val="-2"/>
        </w:rPr>
        <w:t>it</w:t>
      </w:r>
      <w:r>
        <w:rPr>
          <w:spacing w:val="-8"/>
        </w:rPr>
        <w:t xml:space="preserve"> </w:t>
      </w:r>
      <w:r>
        <w:rPr>
          <w:spacing w:val="-4"/>
        </w:rPr>
        <w:t>appears</w:t>
      </w:r>
      <w:r>
        <w:rPr>
          <w:spacing w:val="-8"/>
        </w:rPr>
        <w:t xml:space="preserve"> </w:t>
      </w:r>
      <w:r>
        <w:rPr>
          <w:spacing w:val="-4"/>
        </w:rPr>
        <w:t>that</w:t>
      </w:r>
      <w:r>
        <w:rPr>
          <w:spacing w:val="-8"/>
        </w:rPr>
        <w:t xml:space="preserve"> </w:t>
      </w:r>
      <w:r>
        <w:rPr>
          <w:spacing w:val="-3"/>
        </w:rPr>
        <w:t>the</w:t>
      </w:r>
      <w:r>
        <w:rPr>
          <w:spacing w:val="-8"/>
        </w:rPr>
        <w:t xml:space="preserve"> </w:t>
      </w:r>
      <w:r>
        <w:rPr>
          <w:spacing w:val="-4"/>
        </w:rPr>
        <w:t>advice</w:t>
      </w:r>
      <w:r>
        <w:rPr>
          <w:spacing w:val="-8"/>
        </w:rPr>
        <w:t xml:space="preserve"> </w:t>
      </w:r>
      <w:r>
        <w:rPr>
          <w:spacing w:val="-6"/>
        </w:rPr>
        <w:t>Cardno</w:t>
      </w:r>
      <w:r>
        <w:rPr>
          <w:spacing w:val="72"/>
        </w:rPr>
        <w:t xml:space="preserve"> </w:t>
      </w:r>
      <w:r>
        <w:rPr>
          <w:spacing w:val="-4"/>
        </w:rPr>
        <w:t>provided</w:t>
      </w:r>
      <w:r>
        <w:rPr>
          <w:spacing w:val="-8"/>
        </w:rPr>
        <w:t xml:space="preserve"> </w:t>
      </w:r>
      <w:r>
        <w:rPr>
          <w:spacing w:val="-3"/>
        </w:rPr>
        <w:t>the</w:t>
      </w:r>
      <w:r>
        <w:rPr>
          <w:spacing w:val="-8"/>
        </w:rPr>
        <w:t xml:space="preserve"> </w:t>
      </w:r>
      <w:r>
        <w:rPr>
          <w:spacing w:val="-3"/>
        </w:rPr>
        <w:t>ICRC</w:t>
      </w:r>
      <w:r>
        <w:rPr>
          <w:spacing w:val="-8"/>
        </w:rPr>
        <w:t xml:space="preserve"> </w:t>
      </w:r>
      <w:r>
        <w:rPr>
          <w:spacing w:val="-2"/>
        </w:rPr>
        <w:t>on</w:t>
      </w:r>
      <w:r>
        <w:rPr>
          <w:spacing w:val="-8"/>
        </w:rPr>
        <w:t xml:space="preserve"> </w:t>
      </w:r>
      <w:r>
        <w:rPr>
          <w:spacing w:val="-3"/>
        </w:rPr>
        <w:t>the</w:t>
      </w:r>
      <w:r>
        <w:rPr>
          <w:spacing w:val="-8"/>
        </w:rPr>
        <w:t xml:space="preserve"> </w:t>
      </w:r>
      <w:r>
        <w:rPr>
          <w:spacing w:val="-4"/>
        </w:rPr>
        <w:t>prudent</w:t>
      </w:r>
      <w:r>
        <w:rPr>
          <w:spacing w:val="-8"/>
        </w:rPr>
        <w:t xml:space="preserve"> </w:t>
      </w:r>
      <w:r>
        <w:rPr>
          <w:spacing w:val="-3"/>
        </w:rPr>
        <w:t>and</w:t>
      </w:r>
      <w:r>
        <w:rPr>
          <w:spacing w:val="-8"/>
        </w:rPr>
        <w:t xml:space="preserve"> </w:t>
      </w:r>
      <w:r>
        <w:rPr>
          <w:spacing w:val="-4"/>
        </w:rPr>
        <w:t>ef</w:t>
      </w:r>
      <w:r>
        <w:rPr>
          <w:spacing w:val="-5"/>
        </w:rPr>
        <w:t>fi</w:t>
      </w:r>
      <w:r w:rsidR="00B45286">
        <w:rPr>
          <w:spacing w:val="-5"/>
        </w:rPr>
        <w:t xml:space="preserve">cient </w:t>
      </w:r>
      <w:r>
        <w:rPr>
          <w:spacing w:val="-3"/>
        </w:rPr>
        <w:t>cost</w:t>
      </w:r>
      <w:r>
        <w:rPr>
          <w:spacing w:val="-6"/>
        </w:rPr>
        <w:t xml:space="preserve"> </w:t>
      </w:r>
      <w:r>
        <w:rPr>
          <w:spacing w:val="-2"/>
        </w:rPr>
        <w:t>of</w:t>
      </w:r>
      <w:r>
        <w:rPr>
          <w:spacing w:val="-3"/>
        </w:rPr>
        <w:t xml:space="preserve"> </w:t>
      </w:r>
      <w:r>
        <w:rPr>
          <w:spacing w:val="-4"/>
        </w:rPr>
        <w:t>constructing</w:t>
      </w:r>
      <w:r>
        <w:rPr>
          <w:spacing w:val="-6"/>
        </w:rPr>
        <w:t xml:space="preserve"> </w:t>
      </w:r>
      <w:r>
        <w:t>a</w:t>
      </w:r>
      <w:r>
        <w:rPr>
          <w:spacing w:val="-7"/>
        </w:rPr>
        <w:t xml:space="preserve"> </w:t>
      </w:r>
      <w:r>
        <w:rPr>
          <w:spacing w:val="-4"/>
        </w:rPr>
        <w:t>package</w:t>
      </w:r>
      <w:r>
        <w:rPr>
          <w:spacing w:val="-7"/>
        </w:rPr>
        <w:t xml:space="preserve"> </w:t>
      </w:r>
      <w:r>
        <w:rPr>
          <w:spacing w:val="-4"/>
        </w:rPr>
        <w:t>plant</w:t>
      </w:r>
      <w:r>
        <w:rPr>
          <w:rFonts w:cs="Avenir Next"/>
          <w:spacing w:val="-4"/>
          <w:position w:val="7"/>
          <w:sz w:val="11"/>
          <w:szCs w:val="11"/>
        </w:rPr>
        <w:t>111</w:t>
      </w:r>
      <w:r>
        <w:rPr>
          <w:rFonts w:cs="Avenir Next"/>
          <w:spacing w:val="17"/>
          <w:position w:val="7"/>
          <w:sz w:val="11"/>
          <w:szCs w:val="11"/>
        </w:rPr>
        <w:t xml:space="preserve"> </w:t>
      </w:r>
      <w:r>
        <w:rPr>
          <w:rFonts w:cs="Avenir Next"/>
          <w:spacing w:val="-3"/>
        </w:rPr>
        <w:t>was</w:t>
      </w:r>
      <w:r>
        <w:rPr>
          <w:rFonts w:cs="Avenir Next"/>
          <w:spacing w:val="-6"/>
        </w:rPr>
        <w:t xml:space="preserve"> </w:t>
      </w:r>
      <w:r>
        <w:rPr>
          <w:rFonts w:cs="Avenir Next"/>
          <w:spacing w:val="-5"/>
        </w:rPr>
        <w:t>correctly</w:t>
      </w:r>
      <w:r>
        <w:rPr>
          <w:rFonts w:cs="Avenir Next"/>
          <w:spacing w:val="50"/>
        </w:rPr>
        <w:t xml:space="preserve"> </w:t>
      </w:r>
      <w:r>
        <w:rPr>
          <w:spacing w:val="-4"/>
        </w:rPr>
        <w:t>re</w:t>
      </w:r>
      <w:r>
        <w:rPr>
          <w:spacing w:val="-5"/>
        </w:rPr>
        <w:t>fl</w:t>
      </w:r>
      <w:r w:rsidR="00B45286">
        <w:rPr>
          <w:spacing w:val="-5"/>
        </w:rPr>
        <w:t xml:space="preserve">ected </w:t>
      </w:r>
      <w:r>
        <w:rPr>
          <w:spacing w:val="-2"/>
        </w:rPr>
        <w:t>in</w:t>
      </w:r>
      <w:r>
        <w:rPr>
          <w:spacing w:val="-9"/>
        </w:rPr>
        <w:t xml:space="preserve"> </w:t>
      </w:r>
      <w:r>
        <w:rPr>
          <w:spacing w:val="-3"/>
        </w:rPr>
        <w:t>the</w:t>
      </w:r>
      <w:r>
        <w:rPr>
          <w:spacing w:val="-8"/>
        </w:rPr>
        <w:t xml:space="preserve"> </w:t>
      </w:r>
      <w:r>
        <w:rPr>
          <w:spacing w:val="-5"/>
        </w:rPr>
        <w:t>ICRC’s</w:t>
      </w:r>
      <w:r>
        <w:rPr>
          <w:spacing w:val="-8"/>
        </w:rPr>
        <w:t xml:space="preserve"> </w:t>
      </w:r>
      <w:r>
        <w:rPr>
          <w:spacing w:val="-4"/>
        </w:rPr>
        <w:t>pricing</w:t>
      </w:r>
      <w:r>
        <w:rPr>
          <w:spacing w:val="-8"/>
        </w:rPr>
        <w:t xml:space="preserve"> </w:t>
      </w:r>
      <w:r>
        <w:rPr>
          <w:spacing w:val="-4"/>
        </w:rPr>
        <w:t>model,</w:t>
      </w:r>
      <w:r>
        <w:rPr>
          <w:spacing w:val="-14"/>
        </w:rPr>
        <w:t xml:space="preserve"> </w:t>
      </w:r>
      <w:r>
        <w:rPr>
          <w:spacing w:val="-3"/>
        </w:rPr>
        <w:t>but</w:t>
      </w:r>
      <w:r>
        <w:rPr>
          <w:spacing w:val="-8"/>
        </w:rPr>
        <w:t xml:space="preserve"> </w:t>
      </w:r>
      <w:r>
        <w:rPr>
          <w:spacing w:val="-3"/>
        </w:rPr>
        <w:t>not</w:t>
      </w:r>
      <w:r>
        <w:rPr>
          <w:spacing w:val="-8"/>
        </w:rPr>
        <w:t xml:space="preserve"> </w:t>
      </w:r>
      <w:r>
        <w:rPr>
          <w:spacing w:val="-2"/>
        </w:rPr>
        <w:t>in</w:t>
      </w:r>
      <w:r>
        <w:rPr>
          <w:spacing w:val="-13"/>
        </w:rPr>
        <w:t xml:space="preserve"> </w:t>
      </w:r>
      <w:r>
        <w:rPr>
          <w:spacing w:val="-8"/>
        </w:rPr>
        <w:t xml:space="preserve">Table </w:t>
      </w:r>
      <w:r>
        <w:rPr>
          <w:spacing w:val="-3"/>
        </w:rPr>
        <w:t>6.6</w:t>
      </w:r>
      <w:r>
        <w:rPr>
          <w:spacing w:val="-8"/>
        </w:rPr>
        <w:t xml:space="preserve"> </w:t>
      </w:r>
      <w:r>
        <w:rPr>
          <w:spacing w:val="-2"/>
        </w:rPr>
        <w:t>of</w:t>
      </w:r>
      <w:r>
        <w:rPr>
          <w:spacing w:val="-4"/>
        </w:rPr>
        <w:t xml:space="preserve"> </w:t>
      </w:r>
      <w:r>
        <w:rPr>
          <w:spacing w:val="-3"/>
        </w:rPr>
        <w:t>its</w:t>
      </w:r>
      <w:r>
        <w:rPr>
          <w:spacing w:val="-9"/>
        </w:rPr>
        <w:t xml:space="preserve"> </w:t>
      </w:r>
      <w:r>
        <w:rPr>
          <w:spacing w:val="-1"/>
        </w:rPr>
        <w:t>fi</w:t>
      </w:r>
      <w:r w:rsidR="00B45286">
        <w:rPr>
          <w:spacing w:val="-1"/>
        </w:rPr>
        <w:t xml:space="preserve">nal </w:t>
      </w:r>
      <w:r>
        <w:rPr>
          <w:spacing w:val="-5"/>
        </w:rPr>
        <w:t>report</w:t>
      </w:r>
      <w:r>
        <w:rPr>
          <w:spacing w:val="-8"/>
        </w:rPr>
        <w:t xml:space="preserve"> </w:t>
      </w:r>
      <w:r>
        <w:rPr>
          <w:spacing w:val="-3"/>
        </w:rPr>
        <w:t>and</w:t>
      </w:r>
      <w:r>
        <w:rPr>
          <w:spacing w:val="-13"/>
        </w:rPr>
        <w:t xml:space="preserve"> </w:t>
      </w:r>
      <w:r>
        <w:rPr>
          <w:spacing w:val="-8"/>
        </w:rPr>
        <w:t xml:space="preserve">Table </w:t>
      </w:r>
      <w:r>
        <w:rPr>
          <w:spacing w:val="-3"/>
        </w:rPr>
        <w:t>10.4</w:t>
      </w:r>
      <w:r>
        <w:rPr>
          <w:spacing w:val="-8"/>
        </w:rPr>
        <w:t xml:space="preserve"> </w:t>
      </w:r>
      <w:r>
        <w:rPr>
          <w:spacing w:val="-2"/>
        </w:rPr>
        <w:t>of</w:t>
      </w:r>
      <w:r>
        <w:rPr>
          <w:spacing w:val="-4"/>
        </w:rPr>
        <w:t xml:space="preserve"> </w:t>
      </w:r>
      <w:r>
        <w:rPr>
          <w:spacing w:val="-3"/>
        </w:rPr>
        <w:t>its</w:t>
      </w:r>
      <w:r>
        <w:rPr>
          <w:spacing w:val="-8"/>
        </w:rPr>
        <w:t xml:space="preserve"> </w:t>
      </w:r>
      <w:r>
        <w:rPr>
          <w:spacing w:val="-5"/>
        </w:rPr>
        <w:t>draft</w:t>
      </w:r>
      <w:r>
        <w:rPr>
          <w:spacing w:val="64"/>
        </w:rPr>
        <w:t xml:space="preserve"> </w:t>
      </w:r>
      <w:r>
        <w:rPr>
          <w:spacing w:val="-5"/>
        </w:rPr>
        <w:t>report.</w:t>
      </w:r>
      <w:r>
        <w:rPr>
          <w:spacing w:val="-19"/>
        </w:rPr>
        <w:t xml:space="preserve"> </w:t>
      </w:r>
      <w:r>
        <w:rPr>
          <w:spacing w:val="-5"/>
        </w:rPr>
        <w:t>Therefore</w:t>
      </w:r>
      <w:r>
        <w:rPr>
          <w:spacing w:val="-8"/>
        </w:rPr>
        <w:t xml:space="preserve"> </w:t>
      </w:r>
      <w:r>
        <w:rPr>
          <w:spacing w:val="-3"/>
        </w:rPr>
        <w:t>the</w:t>
      </w:r>
      <w:r>
        <w:rPr>
          <w:spacing w:val="-8"/>
        </w:rPr>
        <w:t xml:space="preserve"> </w:t>
      </w:r>
      <w:r>
        <w:rPr>
          <w:spacing w:val="-6"/>
        </w:rPr>
        <w:t>Panel</w:t>
      </w:r>
      <w:r>
        <w:rPr>
          <w:spacing w:val="-8"/>
        </w:rPr>
        <w:t xml:space="preserve"> </w:t>
      </w:r>
      <w:r>
        <w:rPr>
          <w:spacing w:val="-4"/>
        </w:rPr>
        <w:t>decided</w:t>
      </w:r>
      <w:r>
        <w:rPr>
          <w:spacing w:val="-8"/>
        </w:rPr>
        <w:t xml:space="preserve"> </w:t>
      </w:r>
      <w:r>
        <w:rPr>
          <w:spacing w:val="-2"/>
        </w:rPr>
        <w:t>to</w:t>
      </w:r>
      <w:r>
        <w:rPr>
          <w:spacing w:val="-8"/>
        </w:rPr>
        <w:t xml:space="preserve"> </w:t>
      </w:r>
      <w:r>
        <w:rPr>
          <w:spacing w:val="-3"/>
        </w:rPr>
        <w:t>use</w:t>
      </w:r>
      <w:r>
        <w:rPr>
          <w:spacing w:val="-8"/>
        </w:rPr>
        <w:t xml:space="preserve"> </w:t>
      </w:r>
      <w:r>
        <w:rPr>
          <w:spacing w:val="-3"/>
        </w:rPr>
        <w:t>the</w:t>
      </w:r>
      <w:r>
        <w:rPr>
          <w:spacing w:val="-8"/>
        </w:rPr>
        <w:t xml:space="preserve"> </w:t>
      </w:r>
      <w:r>
        <w:rPr>
          <w:spacing w:val="-4"/>
        </w:rPr>
        <w:t>value</w:t>
      </w:r>
      <w:r>
        <w:rPr>
          <w:spacing w:val="-8"/>
        </w:rPr>
        <w:t xml:space="preserve"> </w:t>
      </w:r>
      <w:r>
        <w:rPr>
          <w:spacing w:val="-4"/>
        </w:rPr>
        <w:t>adopted</w:t>
      </w:r>
      <w:r>
        <w:rPr>
          <w:spacing w:val="-8"/>
        </w:rPr>
        <w:t xml:space="preserve"> </w:t>
      </w:r>
      <w:r>
        <w:rPr>
          <w:spacing w:val="-2"/>
        </w:rPr>
        <w:t>in</w:t>
      </w:r>
      <w:r>
        <w:rPr>
          <w:spacing w:val="-8"/>
        </w:rPr>
        <w:t xml:space="preserve"> </w:t>
      </w:r>
      <w:r>
        <w:rPr>
          <w:spacing w:val="-3"/>
        </w:rPr>
        <w:t>the</w:t>
      </w:r>
      <w:r>
        <w:rPr>
          <w:spacing w:val="-8"/>
        </w:rPr>
        <w:t xml:space="preserve"> </w:t>
      </w:r>
      <w:r>
        <w:rPr>
          <w:spacing w:val="-5"/>
        </w:rPr>
        <w:t>ICRC’s</w:t>
      </w:r>
      <w:r>
        <w:rPr>
          <w:spacing w:val="-8"/>
        </w:rPr>
        <w:t xml:space="preserve"> </w:t>
      </w:r>
      <w:r>
        <w:rPr>
          <w:spacing w:val="-4"/>
        </w:rPr>
        <w:t>pricing</w:t>
      </w:r>
      <w:r>
        <w:rPr>
          <w:spacing w:val="-8"/>
        </w:rPr>
        <w:t xml:space="preserve"> </w:t>
      </w:r>
      <w:r>
        <w:rPr>
          <w:spacing w:val="-4"/>
        </w:rPr>
        <w:t>model</w:t>
      </w:r>
      <w:r>
        <w:rPr>
          <w:spacing w:val="-8"/>
        </w:rPr>
        <w:t xml:space="preserve"> </w:t>
      </w:r>
      <w:r>
        <w:rPr>
          <w:spacing w:val="-4"/>
        </w:rPr>
        <w:t>($2.9</w:t>
      </w:r>
      <w:r>
        <w:rPr>
          <w:spacing w:val="-8"/>
        </w:rPr>
        <w:t xml:space="preserve"> </w:t>
      </w:r>
      <w:r>
        <w:rPr>
          <w:spacing w:val="-4"/>
        </w:rPr>
        <w:t>million).</w:t>
      </w:r>
    </w:p>
    <w:p w:rsidR="00D96B91" w:rsidRDefault="00D96B91">
      <w:pPr>
        <w:spacing w:before="4"/>
        <w:rPr>
          <w:rFonts w:ascii="Avenir Next" w:eastAsia="Avenir Next" w:hAnsi="Avenir Next" w:cs="Avenir Next"/>
          <w:sz w:val="24"/>
          <w:szCs w:val="24"/>
        </w:rPr>
      </w:pPr>
    </w:p>
    <w:p w:rsidR="00D96B91" w:rsidRDefault="00C2656B">
      <w:pPr>
        <w:pStyle w:val="Heading7"/>
        <w:numPr>
          <w:ilvl w:val="3"/>
          <w:numId w:val="75"/>
        </w:numPr>
        <w:tabs>
          <w:tab w:val="left" w:pos="2212"/>
        </w:tabs>
        <w:rPr>
          <w:rFonts w:cs="Avenir Next"/>
          <w:b w:val="0"/>
          <w:bCs w:val="0"/>
        </w:rPr>
      </w:pPr>
      <w:r>
        <w:rPr>
          <w:color w:val="0778BE"/>
          <w:spacing w:val="-2"/>
        </w:rPr>
        <w:t>Forecast</w:t>
      </w:r>
      <w:r>
        <w:rPr>
          <w:color w:val="0778BE"/>
        </w:rPr>
        <w:t xml:space="preserve"> </w:t>
      </w:r>
      <w:r>
        <w:rPr>
          <w:color w:val="0778BE"/>
          <w:spacing w:val="-1"/>
        </w:rPr>
        <w:t>inflation</w:t>
      </w:r>
      <w:r>
        <w:rPr>
          <w:color w:val="0778BE"/>
        </w:rPr>
        <w:t xml:space="preserve"> in 2012-13 and actual </w:t>
      </w:r>
      <w:r>
        <w:rPr>
          <w:color w:val="0778BE"/>
          <w:spacing w:val="-1"/>
        </w:rPr>
        <w:t>inflation</w:t>
      </w:r>
      <w:r>
        <w:rPr>
          <w:color w:val="0778BE"/>
        </w:rPr>
        <w:t xml:space="preserve"> in 2006-07</w:t>
      </w:r>
    </w:p>
    <w:p w:rsidR="00D96B91" w:rsidRDefault="00C2656B">
      <w:pPr>
        <w:pStyle w:val="BodyText"/>
        <w:spacing w:before="28" w:line="260" w:lineRule="exact"/>
        <w:ind w:right="1505"/>
        <w:jc w:val="both"/>
      </w:pPr>
      <w:r>
        <w:rPr>
          <w:spacing w:val="-4"/>
        </w:rPr>
        <w:t>For</w:t>
      </w:r>
      <w:r>
        <w:rPr>
          <w:spacing w:val="-1"/>
        </w:rPr>
        <w:t xml:space="preserve"> </w:t>
      </w:r>
      <w:r>
        <w:t xml:space="preserve">the </w:t>
      </w:r>
      <w:r>
        <w:rPr>
          <w:spacing w:val="-1"/>
        </w:rPr>
        <w:t>reasons</w:t>
      </w:r>
      <w:r>
        <w:t xml:space="preserve"> set out in</w:t>
      </w:r>
      <w:r>
        <w:rPr>
          <w:spacing w:val="-1"/>
        </w:rPr>
        <w:t xml:space="preserve"> </w:t>
      </w:r>
      <w:r>
        <w:t>section 9.5.4,</w:t>
      </w:r>
      <w:r>
        <w:rPr>
          <w:spacing w:val="-6"/>
        </w:rPr>
        <w:t xml:space="preserve"> </w:t>
      </w:r>
      <w:r>
        <w:t xml:space="preserve">the </w:t>
      </w:r>
      <w:r>
        <w:rPr>
          <w:spacing w:val="-3"/>
        </w:rPr>
        <w:t>Panel</w:t>
      </w:r>
      <w:r>
        <w:t xml:space="preserve"> has</w:t>
      </w:r>
      <w:r>
        <w:rPr>
          <w:spacing w:val="-1"/>
        </w:rPr>
        <w:t xml:space="preserve"> </w:t>
      </w:r>
      <w:r>
        <w:t>decided to adopt the same</w:t>
      </w:r>
      <w:r>
        <w:rPr>
          <w:spacing w:val="-1"/>
        </w:rPr>
        <w:t xml:space="preserve"> inflation</w:t>
      </w:r>
      <w:r>
        <w:t xml:space="preserve"> </w:t>
      </w:r>
      <w:r>
        <w:rPr>
          <w:spacing w:val="-1"/>
        </w:rPr>
        <w:t>forecast</w:t>
      </w:r>
      <w:r>
        <w:t xml:space="preserve"> as</w:t>
      </w:r>
      <w:r>
        <w:rPr>
          <w:spacing w:val="33"/>
        </w:rPr>
        <w:t xml:space="preserve"> </w:t>
      </w:r>
      <w:r>
        <w:rPr>
          <w:spacing w:val="-1"/>
        </w:rPr>
        <w:t>that</w:t>
      </w:r>
      <w:r>
        <w:t xml:space="preserve"> adopted by the ICRC for 2012-13 (ie,</w:t>
      </w:r>
      <w:r>
        <w:rPr>
          <w:spacing w:val="-7"/>
        </w:rPr>
        <w:t xml:space="preserve"> </w:t>
      </w:r>
      <w:r>
        <w:t>2.5%).</w:t>
      </w:r>
      <w:r>
        <w:rPr>
          <w:spacing w:val="-11"/>
        </w:rPr>
        <w:t xml:space="preserve"> </w:t>
      </w:r>
      <w:r>
        <w:rPr>
          <w:spacing w:val="-2"/>
        </w:rPr>
        <w:t>The</w:t>
      </w:r>
      <w:r>
        <w:t xml:space="preserve"> </w:t>
      </w:r>
      <w:r>
        <w:rPr>
          <w:spacing w:val="-3"/>
        </w:rPr>
        <w:t>Panel</w:t>
      </w:r>
      <w:r>
        <w:t xml:space="preserve"> also considers it was open to the ICRC to</w:t>
      </w:r>
      <w:r>
        <w:rPr>
          <w:spacing w:val="28"/>
        </w:rPr>
        <w:t xml:space="preserve"> </w:t>
      </w:r>
      <w:r>
        <w:rPr>
          <w:spacing w:val="-1"/>
        </w:rPr>
        <w:t xml:space="preserve">revise </w:t>
      </w:r>
      <w:r>
        <w:t xml:space="preserve">the actual </w:t>
      </w:r>
      <w:r>
        <w:rPr>
          <w:spacing w:val="-1"/>
        </w:rPr>
        <w:t>inflation</w:t>
      </w:r>
      <w:r>
        <w:t xml:space="preserve"> </w:t>
      </w:r>
      <w:r>
        <w:rPr>
          <w:spacing w:val="-1"/>
        </w:rPr>
        <w:t xml:space="preserve">measure </w:t>
      </w:r>
      <w:r>
        <w:t xml:space="preserve">for 2006-07 in </w:t>
      </w:r>
      <w:r>
        <w:rPr>
          <w:spacing w:val="-1"/>
        </w:rPr>
        <w:t xml:space="preserve">calculating </w:t>
      </w:r>
      <w:r>
        <w:t>the opening value of</w:t>
      </w:r>
      <w:r>
        <w:rPr>
          <w:spacing w:val="3"/>
        </w:rPr>
        <w:t xml:space="preserve"> </w:t>
      </w:r>
      <w:r>
        <w:t>the RAB.</w:t>
      </w:r>
      <w:r>
        <w:rPr>
          <w:spacing w:val="-11"/>
        </w:rPr>
        <w:t xml:space="preserve"> </w:t>
      </w:r>
      <w:r>
        <w:rPr>
          <w:spacing w:val="-2"/>
        </w:rPr>
        <w:t>Therefore</w:t>
      </w:r>
      <w:r>
        <w:rPr>
          <w:spacing w:val="51"/>
        </w:rPr>
        <w:t xml:space="preserve"> </w:t>
      </w:r>
      <w:r>
        <w:t>the</w:t>
      </w:r>
      <w:r>
        <w:rPr>
          <w:spacing w:val="-1"/>
        </w:rPr>
        <w:t xml:space="preserve"> </w:t>
      </w:r>
      <w:r>
        <w:rPr>
          <w:spacing w:val="-3"/>
        </w:rPr>
        <w:t>Panel</w:t>
      </w:r>
      <w:r>
        <w:t xml:space="preserve"> has</w:t>
      </w:r>
      <w:r>
        <w:rPr>
          <w:spacing w:val="-1"/>
        </w:rPr>
        <w:t xml:space="preserve"> </w:t>
      </w:r>
      <w:r>
        <w:t>adopted the same</w:t>
      </w:r>
      <w:r>
        <w:rPr>
          <w:spacing w:val="-1"/>
        </w:rPr>
        <w:t xml:space="preserve"> inflation</w:t>
      </w:r>
      <w:r>
        <w:t xml:space="preserve"> assumptions</w:t>
      </w:r>
      <w:r>
        <w:rPr>
          <w:spacing w:val="-1"/>
        </w:rPr>
        <w:t xml:space="preserve"> </w:t>
      </w:r>
      <w:r>
        <w:t>as the ICRC.</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5"/>
        </w:numPr>
        <w:tabs>
          <w:tab w:val="left" w:pos="2212"/>
        </w:tabs>
        <w:rPr>
          <w:b w:val="0"/>
          <w:bCs w:val="0"/>
        </w:rPr>
      </w:pPr>
      <w:r>
        <w:rPr>
          <w:color w:val="0778BE"/>
        </w:rPr>
        <w:t xml:space="preserve">Accounting for </w:t>
      </w:r>
      <w:r>
        <w:rPr>
          <w:color w:val="0778BE"/>
          <w:spacing w:val="-1"/>
        </w:rPr>
        <w:t>differences</w:t>
      </w:r>
      <w:r>
        <w:rPr>
          <w:color w:val="0778BE"/>
        </w:rPr>
        <w:t xml:space="preserve"> between actual and </w:t>
      </w:r>
      <w:r>
        <w:rPr>
          <w:color w:val="0778BE"/>
          <w:spacing w:val="-1"/>
        </w:rPr>
        <w:t>forecast</w:t>
      </w:r>
      <w:r>
        <w:rPr>
          <w:color w:val="0778BE"/>
        </w:rPr>
        <w:t xml:space="preserve"> </w:t>
      </w:r>
      <w:r>
        <w:rPr>
          <w:color w:val="0778BE"/>
          <w:spacing w:val="-1"/>
        </w:rPr>
        <w:t>expenditure</w:t>
      </w:r>
      <w:r>
        <w:rPr>
          <w:color w:val="0778BE"/>
        </w:rPr>
        <w:t xml:space="preserve"> in 2007-08</w:t>
      </w:r>
    </w:p>
    <w:p w:rsidR="00D96B91" w:rsidRDefault="00C2656B">
      <w:pPr>
        <w:pStyle w:val="BodyText"/>
        <w:spacing w:before="28" w:line="260" w:lineRule="exact"/>
        <w:ind w:right="1246"/>
      </w:pPr>
      <w:r>
        <w:t>In 2007-08,</w:t>
      </w:r>
      <w:r>
        <w:rPr>
          <w:spacing w:val="-9"/>
        </w:rPr>
        <w:t xml:space="preserve"> </w:t>
      </w:r>
      <w:r>
        <w:rPr>
          <w:spacing w:val="-2"/>
        </w:rPr>
        <w:t>ACTEW</w:t>
      </w:r>
      <w:r>
        <w:rPr>
          <w:spacing w:val="-3"/>
        </w:rPr>
        <w:t xml:space="preserve"> </w:t>
      </w:r>
      <w:r>
        <w:t>spent</w:t>
      </w:r>
      <w:r>
        <w:rPr>
          <w:spacing w:val="1"/>
        </w:rPr>
        <w:t xml:space="preserve"> </w:t>
      </w:r>
      <w:r>
        <w:t>$15</w:t>
      </w:r>
      <w:r>
        <w:rPr>
          <w:spacing w:val="1"/>
        </w:rPr>
        <w:t xml:space="preserve"> </w:t>
      </w:r>
      <w:r>
        <w:t>million</w:t>
      </w:r>
      <w:r>
        <w:rPr>
          <w:spacing w:val="1"/>
        </w:rPr>
        <w:t xml:space="preserve"> </w:t>
      </w:r>
      <w:r>
        <w:rPr>
          <w:b/>
        </w:rPr>
        <w:t xml:space="preserve">less </w:t>
      </w:r>
      <w:r>
        <w:t>on</w:t>
      </w:r>
      <w:r>
        <w:rPr>
          <w:spacing w:val="1"/>
        </w:rPr>
        <w:t xml:space="preserve"> </w:t>
      </w:r>
      <w:r>
        <w:rPr>
          <w:spacing w:val="-1"/>
        </w:rPr>
        <w:t>water</w:t>
      </w:r>
      <w:r>
        <w:rPr>
          <w:spacing w:val="1"/>
        </w:rPr>
        <w:t xml:space="preserve"> </w:t>
      </w:r>
      <w:r>
        <w:t xml:space="preserve">and </w:t>
      </w:r>
      <w:r>
        <w:rPr>
          <w:spacing w:val="-1"/>
        </w:rPr>
        <w:t>sewerage</w:t>
      </w:r>
      <w:r>
        <w:rPr>
          <w:spacing w:val="1"/>
        </w:rPr>
        <w:t xml:space="preserve"> </w:t>
      </w:r>
      <w:r>
        <w:t>capital</w:t>
      </w:r>
      <w:r>
        <w:rPr>
          <w:spacing w:val="1"/>
        </w:rPr>
        <w:t xml:space="preserve"> </w:t>
      </w:r>
      <w:r>
        <w:rPr>
          <w:spacing w:val="-1"/>
        </w:rPr>
        <w:t>expenditure</w:t>
      </w:r>
      <w:r>
        <w:t xml:space="preserve"> than</w:t>
      </w:r>
      <w:r>
        <w:rPr>
          <w:spacing w:val="1"/>
        </w:rPr>
        <w:t xml:space="preserve"> </w:t>
      </w:r>
      <w:r>
        <w:rPr>
          <w:spacing w:val="-1"/>
        </w:rPr>
        <w:t>forecast.</w:t>
      </w:r>
      <w:r>
        <w:rPr>
          <w:spacing w:val="-1"/>
          <w:position w:val="7"/>
          <w:sz w:val="11"/>
        </w:rPr>
        <w:t>112</w:t>
      </w:r>
      <w:r>
        <w:rPr>
          <w:spacing w:val="49"/>
          <w:w w:val="105"/>
          <w:position w:val="7"/>
          <w:sz w:val="11"/>
        </w:rPr>
        <w:t xml:space="preserve"> </w:t>
      </w:r>
      <w:r>
        <w:t xml:space="preserve">While the ICRC accounted for this </w:t>
      </w:r>
      <w:r>
        <w:rPr>
          <w:spacing w:val="-1"/>
        </w:rPr>
        <w:t>difference</w:t>
      </w:r>
      <w:r>
        <w:t xml:space="preserve"> by altering the capital </w:t>
      </w:r>
      <w:r>
        <w:rPr>
          <w:spacing w:val="-1"/>
        </w:rPr>
        <w:t>expenditure</w:t>
      </w:r>
      <w:r>
        <w:t xml:space="preserve"> values in 2007-08,</w:t>
      </w:r>
      <w:r>
        <w:rPr>
          <w:spacing w:val="28"/>
        </w:rPr>
        <w:t xml:space="preserve"> </w:t>
      </w:r>
      <w:r>
        <w:rPr>
          <w:spacing w:val="-2"/>
        </w:rPr>
        <w:t>ACTEW</w:t>
      </w:r>
      <w:r>
        <w:rPr>
          <w:spacing w:val="-3"/>
        </w:rPr>
        <w:t xml:space="preserve"> </w:t>
      </w:r>
      <w:r>
        <w:rPr>
          <w:spacing w:val="-1"/>
        </w:rPr>
        <w:t>recognised</w:t>
      </w:r>
      <w:r>
        <w:t xml:space="preserve"> the additional value it derived </w:t>
      </w:r>
      <w:r>
        <w:rPr>
          <w:spacing w:val="-1"/>
        </w:rPr>
        <w:t>from</w:t>
      </w:r>
      <w:r>
        <w:t xml:space="preserve"> having the use of</w:t>
      </w:r>
      <w:r>
        <w:rPr>
          <w:spacing w:val="4"/>
        </w:rPr>
        <w:t xml:space="preserve"> </w:t>
      </w:r>
      <w:r>
        <w:t>these funds between 2007-08</w:t>
      </w:r>
      <w:r>
        <w:rPr>
          <w:spacing w:val="21"/>
        </w:rPr>
        <w:t xml:space="preserve"> </w:t>
      </w:r>
      <w:r>
        <w:t>and 2012-13</w:t>
      </w:r>
      <w:r>
        <w:rPr>
          <w:spacing w:val="1"/>
        </w:rPr>
        <w:t xml:space="preserve"> </w:t>
      </w:r>
      <w:r>
        <w:t>(the time</w:t>
      </w:r>
      <w:r>
        <w:rPr>
          <w:spacing w:val="1"/>
        </w:rPr>
        <w:t xml:space="preserve"> </w:t>
      </w:r>
      <w:r>
        <w:t>value</w:t>
      </w:r>
      <w:r>
        <w:rPr>
          <w:spacing w:val="1"/>
        </w:rPr>
        <w:t xml:space="preserve"> </w:t>
      </w:r>
      <w:r>
        <w:t>of</w:t>
      </w:r>
      <w:r>
        <w:rPr>
          <w:spacing w:val="4"/>
        </w:rPr>
        <w:t xml:space="preserve"> </w:t>
      </w:r>
      <w:r>
        <w:t>money)</w:t>
      </w:r>
      <w:r>
        <w:rPr>
          <w:spacing w:val="1"/>
        </w:rPr>
        <w:t xml:space="preserve"> </w:t>
      </w:r>
      <w:r>
        <w:t>and</w:t>
      </w:r>
      <w:r>
        <w:rPr>
          <w:spacing w:val="1"/>
        </w:rPr>
        <w:t xml:space="preserve"> </w:t>
      </w:r>
      <w:r>
        <w:t>deducted this</w:t>
      </w:r>
      <w:r>
        <w:rPr>
          <w:spacing w:val="1"/>
        </w:rPr>
        <w:t xml:space="preserve"> </w:t>
      </w:r>
      <w:r>
        <w:t>value</w:t>
      </w:r>
      <w:r>
        <w:rPr>
          <w:spacing w:val="1"/>
        </w:rPr>
        <w:t xml:space="preserve"> </w:t>
      </w:r>
      <w:r>
        <w:rPr>
          <w:spacing w:val="-1"/>
        </w:rPr>
        <w:t>(approximately</w:t>
      </w:r>
      <w:r>
        <w:t xml:space="preserve"> $9.8</w:t>
      </w:r>
      <w:r>
        <w:rPr>
          <w:spacing w:val="1"/>
        </w:rPr>
        <w:t xml:space="preserve"> </w:t>
      </w:r>
      <w:r>
        <w:t>million)</w:t>
      </w:r>
      <w:r>
        <w:rPr>
          <w:position w:val="7"/>
          <w:sz w:val="11"/>
        </w:rPr>
        <w:t>113</w:t>
      </w:r>
      <w:r>
        <w:rPr>
          <w:spacing w:val="23"/>
          <w:position w:val="7"/>
          <w:sz w:val="11"/>
        </w:rPr>
        <w:t xml:space="preserve"> </w:t>
      </w:r>
      <w:r>
        <w:rPr>
          <w:spacing w:val="-1"/>
        </w:rPr>
        <w:t>from</w:t>
      </w:r>
      <w:r>
        <w:rPr>
          <w:spacing w:val="1"/>
        </w:rPr>
        <w:t xml:space="preserve"> </w:t>
      </w:r>
      <w:r>
        <w:t>the</w:t>
      </w:r>
      <w:r>
        <w:rPr>
          <w:spacing w:val="27"/>
        </w:rPr>
        <w:t xml:space="preserve"> </w:t>
      </w:r>
      <w:r>
        <w:t>opening value of</w:t>
      </w:r>
      <w:r>
        <w:rPr>
          <w:spacing w:val="4"/>
        </w:rPr>
        <w:t xml:space="preserve"> </w:t>
      </w:r>
      <w:r>
        <w:t xml:space="preserve">the </w:t>
      </w:r>
      <w:r>
        <w:rPr>
          <w:spacing w:val="-1"/>
        </w:rPr>
        <w:t>water</w:t>
      </w:r>
      <w:r>
        <w:t xml:space="preserve"> and </w:t>
      </w:r>
      <w:r>
        <w:rPr>
          <w:spacing w:val="-1"/>
        </w:rPr>
        <w:t>sewerage</w:t>
      </w:r>
      <w:r>
        <w:t xml:space="preserve"> RABs.</w:t>
      </w:r>
    </w:p>
    <w:p w:rsidR="00D96B91" w:rsidRDefault="00C2656B">
      <w:pPr>
        <w:pStyle w:val="BodyText"/>
        <w:spacing w:before="170" w:line="260" w:lineRule="exact"/>
        <w:ind w:right="1283"/>
      </w:pPr>
      <w:r>
        <w:rPr>
          <w:spacing w:val="-2"/>
        </w:rPr>
        <w:t>The</w:t>
      </w:r>
      <w:r>
        <w:t xml:space="preserve"> </w:t>
      </w:r>
      <w:r>
        <w:rPr>
          <w:spacing w:val="-3"/>
        </w:rPr>
        <w:t>Panel</w:t>
      </w:r>
      <w:r>
        <w:t xml:space="preserve"> accepted the adjustment </w:t>
      </w:r>
      <w:r>
        <w:rPr>
          <w:spacing w:val="-1"/>
        </w:rPr>
        <w:t>proposed</w:t>
      </w:r>
      <w:r>
        <w:t xml:space="preserve"> by</w:t>
      </w:r>
      <w:r>
        <w:rPr>
          <w:spacing w:val="-4"/>
        </w:rPr>
        <w:t xml:space="preserve"> </w:t>
      </w:r>
      <w:r>
        <w:rPr>
          <w:spacing w:val="-2"/>
        </w:rPr>
        <w:t>ACTEW</w:t>
      </w:r>
      <w:r>
        <w:rPr>
          <w:spacing w:val="-3"/>
        </w:rPr>
        <w:t xml:space="preserve"> </w:t>
      </w:r>
      <w:r>
        <w:t xml:space="preserve">which is consistent with the </w:t>
      </w:r>
      <w:r>
        <w:rPr>
          <w:spacing w:val="-1"/>
        </w:rPr>
        <w:t>approach</w:t>
      </w:r>
      <w:r>
        <w:rPr>
          <w:spacing w:val="35"/>
        </w:rPr>
        <w:t xml:space="preserve"> </w:t>
      </w:r>
      <w:r>
        <w:t>employed by</w:t>
      </w:r>
      <w:r>
        <w:rPr>
          <w:spacing w:val="1"/>
        </w:rPr>
        <w:t xml:space="preserve"> </w:t>
      </w:r>
      <w:r>
        <w:t>the</w:t>
      </w:r>
      <w:r>
        <w:rPr>
          <w:spacing w:val="-3"/>
        </w:rPr>
        <w:t xml:space="preserve"> </w:t>
      </w:r>
      <w:r>
        <w:rPr>
          <w:spacing w:val="-1"/>
        </w:rPr>
        <w:t>Australian</w:t>
      </w:r>
      <w:r>
        <w:t xml:space="preserve"> </w:t>
      </w:r>
      <w:r>
        <w:rPr>
          <w:spacing w:val="-1"/>
        </w:rPr>
        <w:t>Energy</w:t>
      </w:r>
      <w:r>
        <w:rPr>
          <w:spacing w:val="1"/>
        </w:rPr>
        <w:t xml:space="preserve"> </w:t>
      </w:r>
      <w:r>
        <w:rPr>
          <w:spacing w:val="-1"/>
        </w:rPr>
        <w:t>Regulator</w:t>
      </w:r>
      <w:r>
        <w:rPr>
          <w:spacing w:val="1"/>
        </w:rPr>
        <w:t xml:space="preserve"> </w:t>
      </w:r>
      <w:r>
        <w:t>(AER).</w:t>
      </w:r>
      <w:r>
        <w:rPr>
          <w:position w:val="7"/>
          <w:sz w:val="11"/>
        </w:rPr>
        <w:t>114</w:t>
      </w:r>
      <w:r>
        <w:rPr>
          <w:spacing w:val="18"/>
          <w:position w:val="7"/>
          <w:sz w:val="11"/>
        </w:rPr>
        <w:t xml:space="preserve"> </w:t>
      </w:r>
      <w:r>
        <w:rPr>
          <w:spacing w:val="-1"/>
        </w:rPr>
        <w:t>This</w:t>
      </w:r>
      <w:r>
        <w:t xml:space="preserve"> </w:t>
      </w:r>
      <w:r>
        <w:rPr>
          <w:spacing w:val="-1"/>
        </w:rPr>
        <w:t>results</w:t>
      </w:r>
      <w:r>
        <w:rPr>
          <w:spacing w:val="1"/>
        </w:rPr>
        <w:t xml:space="preserve"> </w:t>
      </w:r>
      <w:r>
        <w:t>in</w:t>
      </w:r>
      <w:r>
        <w:rPr>
          <w:spacing w:val="1"/>
        </w:rPr>
        <w:t xml:space="preserve"> </w:t>
      </w:r>
      <w:r>
        <w:t>lower</w:t>
      </w:r>
      <w:r>
        <w:rPr>
          <w:spacing w:val="1"/>
        </w:rPr>
        <w:t xml:space="preserve"> </w:t>
      </w:r>
      <w:r>
        <w:t>opening RAB</w:t>
      </w:r>
      <w:r>
        <w:rPr>
          <w:spacing w:val="1"/>
        </w:rPr>
        <w:t xml:space="preserve"> </w:t>
      </w:r>
      <w:r>
        <w:t>values</w:t>
      </w:r>
      <w:r>
        <w:rPr>
          <w:spacing w:val="1"/>
        </w:rPr>
        <w:t xml:space="preserve"> </w:t>
      </w:r>
      <w:r>
        <w:t>for</w:t>
      </w:r>
      <w:r>
        <w:rPr>
          <w:spacing w:val="33"/>
        </w:rPr>
        <w:t xml:space="preserve"> </w:t>
      </w:r>
      <w:r>
        <w:rPr>
          <w:spacing w:val="-1"/>
        </w:rPr>
        <w:t>water</w:t>
      </w:r>
      <w:r>
        <w:t xml:space="preserve"> and </w:t>
      </w:r>
      <w:r>
        <w:rPr>
          <w:spacing w:val="-1"/>
        </w:rPr>
        <w:t>sewerage.</w:t>
      </w:r>
    </w:p>
    <w:p w:rsidR="00D96B91" w:rsidRDefault="00C2656B">
      <w:pPr>
        <w:pStyle w:val="BodyText"/>
        <w:spacing w:before="178"/>
      </w:pPr>
      <w:r>
        <w:rPr>
          <w:spacing w:val="-2"/>
        </w:rPr>
        <w:t>Therefore,</w:t>
      </w:r>
      <w:r>
        <w:rPr>
          <w:spacing w:val="-6"/>
        </w:rPr>
        <w:t xml:space="preserve"> </w:t>
      </w:r>
      <w:r>
        <w:t xml:space="preserve">the </w:t>
      </w:r>
      <w:r>
        <w:rPr>
          <w:spacing w:val="-3"/>
        </w:rPr>
        <w:t>Panel</w:t>
      </w:r>
      <w:r>
        <w:t xml:space="preserve"> accepted this adjustment,</w:t>
      </w:r>
      <w:r>
        <w:rPr>
          <w:spacing w:val="-7"/>
        </w:rPr>
        <w:t xml:space="preserve"> </w:t>
      </w:r>
      <w:r>
        <w:t xml:space="preserve">which </w:t>
      </w:r>
      <w:r>
        <w:rPr>
          <w:spacing w:val="-1"/>
        </w:rPr>
        <w:t>results</w:t>
      </w:r>
      <w:r>
        <w:t xml:space="preserve"> in a lower opening RAB value.</w:t>
      </w:r>
    </w:p>
    <w:p w:rsidR="00D96B91" w:rsidRDefault="00D96B91">
      <w:pPr>
        <w:spacing w:before="8"/>
        <w:rPr>
          <w:rFonts w:ascii="Avenir Next" w:eastAsia="Avenir Next" w:hAnsi="Avenir Next" w:cs="Avenir Next"/>
          <w:sz w:val="18"/>
          <w:szCs w:val="18"/>
        </w:rPr>
      </w:pPr>
    </w:p>
    <w:p w:rsidR="00D96B91" w:rsidRDefault="00C2656B">
      <w:pPr>
        <w:pStyle w:val="Heading7"/>
        <w:numPr>
          <w:ilvl w:val="3"/>
          <w:numId w:val="75"/>
        </w:numPr>
        <w:tabs>
          <w:tab w:val="left" w:pos="2212"/>
        </w:tabs>
        <w:rPr>
          <w:b w:val="0"/>
          <w:bCs w:val="0"/>
        </w:rPr>
      </w:pPr>
      <w:r>
        <w:rPr>
          <w:color w:val="0778BE"/>
        </w:rPr>
        <w:t>Opening value of</w:t>
      </w:r>
      <w:r>
        <w:rPr>
          <w:color w:val="0778BE"/>
          <w:spacing w:val="5"/>
        </w:rPr>
        <w:t xml:space="preserve"> </w:t>
      </w:r>
      <w:r>
        <w:rPr>
          <w:color w:val="0778BE"/>
        </w:rPr>
        <w:t xml:space="preserve">the </w:t>
      </w:r>
      <w:r>
        <w:rPr>
          <w:color w:val="0778BE"/>
          <w:spacing w:val="-1"/>
        </w:rPr>
        <w:t>water</w:t>
      </w:r>
      <w:r>
        <w:rPr>
          <w:color w:val="0778BE"/>
        </w:rPr>
        <w:t xml:space="preserve"> and </w:t>
      </w:r>
      <w:r>
        <w:rPr>
          <w:color w:val="0778BE"/>
          <w:spacing w:val="-1"/>
        </w:rPr>
        <w:t>sewerage</w:t>
      </w:r>
      <w:r>
        <w:rPr>
          <w:color w:val="0778BE"/>
        </w:rPr>
        <w:t xml:space="preserve"> RAB as </w:t>
      </w:r>
      <w:r>
        <w:rPr>
          <w:color w:val="0778BE"/>
          <w:spacing w:val="-2"/>
        </w:rPr>
        <w:t>at</w:t>
      </w:r>
      <w:r>
        <w:rPr>
          <w:color w:val="0778BE"/>
        </w:rPr>
        <w:t xml:space="preserve"> 1</w:t>
      </w:r>
      <w:r>
        <w:rPr>
          <w:color w:val="0778BE"/>
          <w:spacing w:val="-3"/>
        </w:rPr>
        <w:t xml:space="preserve"> </w:t>
      </w:r>
      <w:r>
        <w:rPr>
          <w:color w:val="0778BE"/>
        </w:rPr>
        <w:t>July 2013</w:t>
      </w:r>
    </w:p>
    <w:p w:rsidR="00D96B91" w:rsidRDefault="00C2656B">
      <w:pPr>
        <w:pStyle w:val="BodyText"/>
        <w:spacing w:before="28" w:line="260" w:lineRule="exact"/>
        <w:ind w:right="1283"/>
      </w:pPr>
      <w:r>
        <w:rPr>
          <w:spacing w:val="-4"/>
        </w:rPr>
        <w:t>For</w:t>
      </w:r>
      <w:r>
        <w:rPr>
          <w:spacing w:val="-1"/>
        </w:rPr>
        <w:t xml:space="preserve"> </w:t>
      </w:r>
      <w:r>
        <w:t xml:space="preserve">the </w:t>
      </w:r>
      <w:r>
        <w:rPr>
          <w:spacing w:val="-1"/>
        </w:rPr>
        <w:t>reasons</w:t>
      </w:r>
      <w:r>
        <w:t xml:space="preserve"> set</w:t>
      </w:r>
      <w:r>
        <w:rPr>
          <w:spacing w:val="-1"/>
        </w:rPr>
        <w:t xml:space="preserve"> </w:t>
      </w:r>
      <w:r>
        <w:t>out above,</w:t>
      </w:r>
      <w:r>
        <w:rPr>
          <w:spacing w:val="-6"/>
        </w:rPr>
        <w:t xml:space="preserve"> </w:t>
      </w:r>
      <w:r>
        <w:t>the</w:t>
      </w:r>
      <w:r>
        <w:rPr>
          <w:spacing w:val="-1"/>
        </w:rPr>
        <w:t xml:space="preserve"> </w:t>
      </w:r>
      <w:r>
        <w:rPr>
          <w:spacing w:val="-3"/>
        </w:rPr>
        <w:t>Panel</w:t>
      </w:r>
      <w:r>
        <w:t xml:space="preserve"> is </w:t>
      </w:r>
      <w:r>
        <w:rPr>
          <w:spacing w:val="-1"/>
        </w:rPr>
        <w:t>satisfied that,</w:t>
      </w:r>
      <w:r>
        <w:rPr>
          <w:spacing w:val="-6"/>
        </w:rPr>
        <w:t xml:space="preserve"> </w:t>
      </w:r>
      <w:r>
        <w:t xml:space="preserve">with the </w:t>
      </w:r>
      <w:r>
        <w:rPr>
          <w:spacing w:val="-1"/>
        </w:rPr>
        <w:t xml:space="preserve">exception </w:t>
      </w:r>
      <w:r>
        <w:t>of</w:t>
      </w:r>
      <w:r>
        <w:rPr>
          <w:spacing w:val="4"/>
        </w:rPr>
        <w:t xml:space="preserve"> </w:t>
      </w:r>
      <w:r>
        <w:t xml:space="preserve">the </w:t>
      </w:r>
      <w:r>
        <w:rPr>
          <w:spacing w:val="-1"/>
        </w:rPr>
        <w:t xml:space="preserve">treatment </w:t>
      </w:r>
      <w:r>
        <w:t>of</w:t>
      </w:r>
      <w:r>
        <w:rPr>
          <w:spacing w:val="4"/>
        </w:rPr>
        <w:t xml:space="preserve"> </w:t>
      </w:r>
      <w:r>
        <w:t>the</w:t>
      </w:r>
      <w:r>
        <w:rPr>
          <w:spacing w:val="45"/>
        </w:rPr>
        <w:t xml:space="preserve"> </w:t>
      </w:r>
      <w:r>
        <w:rPr>
          <w:spacing w:val="-1"/>
        </w:rPr>
        <w:t xml:space="preserve">difference </w:t>
      </w:r>
      <w:r>
        <w:t xml:space="preserve">in </w:t>
      </w:r>
      <w:r>
        <w:rPr>
          <w:spacing w:val="-1"/>
        </w:rPr>
        <w:t xml:space="preserve">expenditure </w:t>
      </w:r>
      <w:r>
        <w:t>in 2007-08</w:t>
      </w:r>
      <w:r>
        <w:rPr>
          <w:spacing w:val="-1"/>
        </w:rPr>
        <w:t xml:space="preserve"> </w:t>
      </w:r>
      <w:r>
        <w:t>and the</w:t>
      </w:r>
      <w:r>
        <w:rPr>
          <w:spacing w:val="-1"/>
        </w:rPr>
        <w:t xml:space="preserve"> treatment</w:t>
      </w:r>
      <w:r>
        <w:t xml:space="preserve"> of</w:t>
      </w:r>
      <w:r>
        <w:rPr>
          <w:spacing w:val="3"/>
        </w:rPr>
        <w:t xml:space="preserve"> </w:t>
      </w:r>
      <w:r>
        <w:t xml:space="preserve">the </w:t>
      </w:r>
      <w:r>
        <w:rPr>
          <w:spacing w:val="-1"/>
        </w:rPr>
        <w:t>sewerage rectification</w:t>
      </w:r>
      <w:r>
        <w:t xml:space="preserve"> </w:t>
      </w:r>
      <w:r>
        <w:rPr>
          <w:spacing w:val="-1"/>
        </w:rPr>
        <w:t>works,</w:t>
      </w:r>
      <w:r>
        <w:rPr>
          <w:spacing w:val="-6"/>
        </w:rPr>
        <w:t xml:space="preserve"> </w:t>
      </w:r>
      <w:r>
        <w:t>all</w:t>
      </w:r>
      <w:r>
        <w:rPr>
          <w:spacing w:val="-1"/>
        </w:rPr>
        <w:t xml:space="preserve"> </w:t>
      </w:r>
      <w:r>
        <w:t>the</w:t>
      </w: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62" style="width:72.5pt;height:.5pt;mso-position-horizontal-relative:char;mso-position-vertical-relative:line" coordsize="1450,10">
            <v:group id="_x0000_s3163" style="position:absolute;left:5;top:5;width:1440;height:2" coordorigin="5,5" coordsize="1440,2">
              <v:shape id="_x0000_s3164"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38"/>
        <w:ind w:hanging="510"/>
        <w:rPr>
          <w:rFonts w:ascii="Avenir Next" w:eastAsia="Avenir Next" w:hAnsi="Avenir Next" w:cs="Avenir Next"/>
          <w:sz w:val="16"/>
          <w:szCs w:val="16"/>
        </w:rPr>
      </w:pPr>
      <w:r>
        <w:rPr>
          <w:rFonts w:ascii="Avenir Next" w:eastAsia="Avenir Next" w:hAnsi="Avenir Next" w:cs="Avenir Next"/>
          <w:spacing w:val="-2"/>
          <w:sz w:val="16"/>
          <w:szCs w:val="16"/>
        </w:rPr>
        <w:t>Cardno,</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185-187.</w:t>
      </w:r>
    </w:p>
    <w:p w:rsidR="00D96B91" w:rsidRDefault="00C2656B">
      <w:pPr>
        <w:numPr>
          <w:ilvl w:val="0"/>
          <w:numId w:val="76"/>
        </w:numPr>
        <w:tabs>
          <w:tab w:val="left" w:pos="1758"/>
        </w:tabs>
        <w:spacing w:before="128" w:line="192" w:lineRule="exact"/>
        <w:ind w:right="1264" w:hanging="510"/>
        <w:rPr>
          <w:rFonts w:ascii="Avenir Next" w:eastAsia="Avenir Next" w:hAnsi="Avenir Next" w:cs="Avenir Next"/>
          <w:sz w:val="16"/>
          <w:szCs w:val="16"/>
        </w:rPr>
      </w:pPr>
      <w:r>
        <w:rPr>
          <w:rFonts w:ascii="Avenir Next"/>
          <w:spacing w:val="-1"/>
          <w:sz w:val="16"/>
        </w:rPr>
        <w:t>The</w:t>
      </w:r>
      <w:r>
        <w:rPr>
          <w:rFonts w:ascii="Avenir Next"/>
          <w:sz w:val="16"/>
        </w:rPr>
        <w:t xml:space="preserve"> </w:t>
      </w:r>
      <w:r>
        <w:rPr>
          <w:rFonts w:ascii="Avenir Next"/>
          <w:spacing w:val="-2"/>
          <w:sz w:val="16"/>
        </w:rPr>
        <w:t>Panel</w:t>
      </w:r>
      <w:r>
        <w:rPr>
          <w:rFonts w:ascii="Avenir Next"/>
          <w:sz w:val="16"/>
        </w:rPr>
        <w:t xml:space="preserve"> understands </w:t>
      </w:r>
      <w:r>
        <w:rPr>
          <w:rFonts w:ascii="Avenir Next"/>
          <w:spacing w:val="-1"/>
          <w:sz w:val="16"/>
        </w:rPr>
        <w:t>that</w:t>
      </w:r>
      <w:r>
        <w:rPr>
          <w:rFonts w:ascii="Avenir Next"/>
          <w:sz w:val="16"/>
        </w:rPr>
        <w:t xml:space="preserve"> the ICRC did not include these costs in its </w:t>
      </w:r>
      <w:r>
        <w:rPr>
          <w:rFonts w:ascii="Avenir Next"/>
          <w:spacing w:val="-1"/>
          <w:sz w:val="16"/>
        </w:rPr>
        <w:t>Uriarra</w:t>
      </w:r>
      <w:r>
        <w:rPr>
          <w:rFonts w:ascii="Avenir Next"/>
          <w:sz w:val="16"/>
        </w:rPr>
        <w:t xml:space="preserve"> </w:t>
      </w:r>
      <w:r>
        <w:rPr>
          <w:rFonts w:ascii="Avenir Next"/>
          <w:spacing w:val="-1"/>
          <w:sz w:val="16"/>
        </w:rPr>
        <w:t>revenue</w:t>
      </w:r>
      <w:r>
        <w:rPr>
          <w:rFonts w:ascii="Avenir Next"/>
          <w:sz w:val="16"/>
        </w:rPr>
        <w:t xml:space="preserve"> adjustment,</w:t>
      </w:r>
      <w:r>
        <w:rPr>
          <w:rFonts w:ascii="Avenir Next"/>
          <w:spacing w:val="-5"/>
          <w:sz w:val="16"/>
        </w:rPr>
        <w:t xml:space="preserve"> </w:t>
      </w:r>
      <w:r>
        <w:rPr>
          <w:rFonts w:ascii="Avenir Next"/>
          <w:sz w:val="16"/>
        </w:rPr>
        <w:t xml:space="preserve">but this </w:t>
      </w:r>
      <w:r>
        <w:rPr>
          <w:rFonts w:ascii="Avenir Next"/>
          <w:spacing w:val="-1"/>
          <w:sz w:val="16"/>
        </w:rPr>
        <w:t>appears</w:t>
      </w:r>
      <w:r>
        <w:rPr>
          <w:rFonts w:ascii="Avenir Next"/>
          <w:sz w:val="16"/>
        </w:rPr>
        <w:t xml:space="preserve"> to have</w:t>
      </w:r>
      <w:r>
        <w:rPr>
          <w:rFonts w:ascii="Avenir Next"/>
          <w:spacing w:val="35"/>
          <w:sz w:val="16"/>
        </w:rPr>
        <w:t xml:space="preserve"> </w:t>
      </w:r>
      <w:r>
        <w:rPr>
          <w:rFonts w:ascii="Avenir Next"/>
          <w:sz w:val="16"/>
        </w:rPr>
        <w:t xml:space="preserve">been an oversight on its </w:t>
      </w:r>
      <w:r>
        <w:rPr>
          <w:rFonts w:ascii="Avenir Next"/>
          <w:spacing w:val="-1"/>
          <w:sz w:val="16"/>
        </w:rPr>
        <w:t>part.</w:t>
      </w:r>
    </w:p>
    <w:p w:rsidR="00D96B91" w:rsidRDefault="00C2656B">
      <w:pPr>
        <w:numPr>
          <w:ilvl w:val="0"/>
          <w:numId w:val="76"/>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pacing w:val="-2"/>
          <w:sz w:val="16"/>
          <w:szCs w:val="16"/>
        </w:rPr>
        <w:t>Cardno,</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viii.</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8"/>
          <w:sz w:val="16"/>
        </w:rPr>
        <w:t xml:space="preserve"> </w:t>
      </w:r>
      <w:r>
        <w:rPr>
          <w:rFonts w:ascii="Avenir Next"/>
          <w:spacing w:val="-1"/>
          <w:sz w:val="16"/>
        </w:rPr>
        <w:t>Attachment</w:t>
      </w:r>
      <w:r>
        <w:rPr>
          <w:rFonts w:ascii="Avenir Next"/>
          <w:spacing w:val="-3"/>
          <w:sz w:val="16"/>
        </w:rPr>
        <w:t xml:space="preserve"> </w:t>
      </w:r>
      <w:r>
        <w:rPr>
          <w:rFonts w:ascii="Avenir Next"/>
          <w:sz w:val="16"/>
        </w:rPr>
        <w:t xml:space="preserve">A3 </w:t>
      </w:r>
      <w:r>
        <w:rPr>
          <w:rFonts w:ascii="Avenir Next"/>
          <w:spacing w:val="-1"/>
          <w:sz w:val="16"/>
        </w:rPr>
        <w:t>Roll</w:t>
      </w:r>
      <w:r>
        <w:rPr>
          <w:rFonts w:ascii="Avenir Next"/>
          <w:sz w:val="16"/>
        </w:rPr>
        <w:t xml:space="preserve"> </w:t>
      </w:r>
      <w:r>
        <w:rPr>
          <w:rFonts w:ascii="Avenir Next"/>
          <w:spacing w:val="-2"/>
          <w:sz w:val="16"/>
        </w:rPr>
        <w:t>Forward</w:t>
      </w:r>
      <w:r>
        <w:rPr>
          <w:rFonts w:ascii="Avenir Next"/>
          <w:sz w:val="16"/>
        </w:rPr>
        <w:t xml:space="preserve"> Model_amended 29aug2014.xls.</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z w:val="16"/>
        </w:rPr>
        <w:t>AER,</w:t>
      </w:r>
      <w:r>
        <w:rPr>
          <w:rFonts w:ascii="Avenir Next"/>
          <w:spacing w:val="-5"/>
          <w:sz w:val="16"/>
        </w:rPr>
        <w:t xml:space="preserve"> </w:t>
      </w:r>
      <w:r>
        <w:rPr>
          <w:rFonts w:ascii="Avenir Next"/>
          <w:spacing w:val="-1"/>
          <w:sz w:val="16"/>
        </w:rPr>
        <w:t>Roll</w:t>
      </w:r>
      <w:r>
        <w:rPr>
          <w:rFonts w:ascii="Avenir Next"/>
          <w:sz w:val="16"/>
        </w:rPr>
        <w:t xml:space="preserve"> </w:t>
      </w:r>
      <w:r>
        <w:rPr>
          <w:rFonts w:ascii="Avenir Next"/>
          <w:spacing w:val="-2"/>
          <w:sz w:val="16"/>
        </w:rPr>
        <w:t>Forward</w:t>
      </w:r>
      <w:r>
        <w:rPr>
          <w:rFonts w:ascii="Avenir Next"/>
          <w:sz w:val="16"/>
        </w:rPr>
        <w:t xml:space="preserve"> Model,</w:t>
      </w:r>
      <w:r>
        <w:rPr>
          <w:rFonts w:ascii="Avenir Next"/>
          <w:spacing w:val="-5"/>
          <w:sz w:val="16"/>
        </w:rPr>
        <w:t xml:space="preserve"> </w:t>
      </w:r>
      <w:r>
        <w:rPr>
          <w:rFonts w:ascii="Avenir Next"/>
          <w:sz w:val="16"/>
        </w:rPr>
        <w:t>26</w:t>
      </w:r>
      <w:r>
        <w:rPr>
          <w:rFonts w:ascii="Avenir Next"/>
          <w:spacing w:val="-2"/>
          <w:sz w:val="16"/>
        </w:rPr>
        <w:t xml:space="preserve"> </w:t>
      </w:r>
      <w:r>
        <w:rPr>
          <w:rFonts w:ascii="Avenir Next"/>
          <w:sz w:val="16"/>
        </w:rPr>
        <w:t>June 2008,</w:t>
      </w:r>
      <w:r>
        <w:rPr>
          <w:rFonts w:ascii="Avenir Next"/>
          <w:spacing w:val="-8"/>
          <w:sz w:val="16"/>
        </w:rPr>
        <w:t xml:space="preserve"> </w:t>
      </w:r>
      <w:r>
        <w:rPr>
          <w:rFonts w:ascii="Avenir Next"/>
          <w:sz w:val="16"/>
        </w:rPr>
        <w:t>Appendix B.</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83"/>
        <w:rPr>
          <w:rFonts w:cs="Avenir Next"/>
        </w:rPr>
      </w:pPr>
      <w:bookmarkStart w:id="113" w:name="9._3_Forecast_capital_expenditure_in_the"/>
      <w:bookmarkStart w:id="114" w:name="_bookmark67"/>
      <w:bookmarkEnd w:id="113"/>
      <w:bookmarkEnd w:id="114"/>
      <w:r>
        <w:t>adjustments the ICRC made to the opening value of</w:t>
      </w:r>
      <w:r>
        <w:rPr>
          <w:spacing w:val="4"/>
        </w:rPr>
        <w:t xml:space="preserve"> </w:t>
      </w:r>
      <w:r>
        <w:t xml:space="preserve">the </w:t>
      </w:r>
      <w:r>
        <w:rPr>
          <w:spacing w:val="-1"/>
        </w:rPr>
        <w:t>water</w:t>
      </w:r>
      <w:r>
        <w:t xml:space="preserve"> and </w:t>
      </w:r>
      <w:r>
        <w:rPr>
          <w:spacing w:val="-1"/>
        </w:rPr>
        <w:t>sewerage</w:t>
      </w:r>
      <w:r>
        <w:t xml:space="preserve"> RABs </w:t>
      </w:r>
      <w:r>
        <w:rPr>
          <w:spacing w:val="-1"/>
        </w:rPr>
        <w:t>were</w:t>
      </w:r>
      <w:r>
        <w:t xml:space="preserve"> </w:t>
      </w:r>
      <w:r>
        <w:rPr>
          <w:spacing w:val="-1"/>
        </w:rPr>
        <w:t>appropriate.</w:t>
      </w:r>
      <w:r>
        <w:rPr>
          <w:spacing w:val="29"/>
        </w:rPr>
        <w:t xml:space="preserve"> </w:t>
      </w: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is </w:t>
      </w:r>
      <w:r>
        <w:rPr>
          <w:rFonts w:cs="Avenir Next"/>
          <w:spacing w:val="-1"/>
        </w:rPr>
        <w:t>that:</w:t>
      </w:r>
    </w:p>
    <w:p w:rsidR="00D96B91" w:rsidRDefault="00C2656B">
      <w:pPr>
        <w:pStyle w:val="BodyText"/>
        <w:numPr>
          <w:ilvl w:val="0"/>
          <w:numId w:val="131"/>
        </w:numPr>
        <w:tabs>
          <w:tab w:val="left" w:pos="1531"/>
        </w:tabs>
        <w:spacing w:before="178"/>
        <w:ind w:hanging="283"/>
      </w:pPr>
      <w:r>
        <w:t>the opening value of</w:t>
      </w:r>
      <w:r>
        <w:rPr>
          <w:spacing w:val="4"/>
        </w:rPr>
        <w:t xml:space="preserve"> </w:t>
      </w:r>
      <w:r>
        <w:t xml:space="preserve">the </w:t>
      </w:r>
      <w:r>
        <w:rPr>
          <w:spacing w:val="-1"/>
        </w:rPr>
        <w:t>water</w:t>
      </w:r>
      <w:r>
        <w:t xml:space="preserve"> RAB as </w:t>
      </w:r>
      <w:r>
        <w:rPr>
          <w:spacing w:val="-1"/>
        </w:rPr>
        <w:t>at</w:t>
      </w:r>
      <w:r>
        <w:t xml:space="preserve"> 1</w:t>
      </w:r>
      <w:r>
        <w:rPr>
          <w:spacing w:val="-3"/>
        </w:rPr>
        <w:t xml:space="preserve"> </w:t>
      </w:r>
      <w:r>
        <w:t>July 2013 is $1.37 billion (see</w:t>
      </w:r>
      <w:r>
        <w:rPr>
          <w:spacing w:val="-5"/>
        </w:rPr>
        <w:t xml:space="preserve"> </w:t>
      </w:r>
      <w:hyperlink w:anchor="_bookmark68" w:history="1">
        <w:r>
          <w:rPr>
            <w:spacing w:val="-4"/>
          </w:rPr>
          <w:t>Table</w:t>
        </w:r>
      </w:hyperlink>
      <w:r>
        <w:t xml:space="preserve"> 9.6),</w:t>
      </w:r>
      <w:r>
        <w:rPr>
          <w:spacing w:val="-6"/>
        </w:rPr>
        <w:t xml:space="preserve"> </w:t>
      </w:r>
      <w:r>
        <w:t>and</w:t>
      </w:r>
    </w:p>
    <w:p w:rsidR="00D96B91" w:rsidRDefault="00C2656B">
      <w:pPr>
        <w:pStyle w:val="BodyText"/>
        <w:numPr>
          <w:ilvl w:val="0"/>
          <w:numId w:val="131"/>
        </w:numPr>
        <w:tabs>
          <w:tab w:val="left" w:pos="1531"/>
        </w:tabs>
        <w:spacing w:before="72"/>
        <w:ind w:hanging="283"/>
      </w:pPr>
      <w:r>
        <w:t>the opening value of</w:t>
      </w:r>
      <w:r>
        <w:rPr>
          <w:spacing w:val="4"/>
        </w:rPr>
        <w:t xml:space="preserve"> </w:t>
      </w:r>
      <w:r>
        <w:t xml:space="preserve">the </w:t>
      </w:r>
      <w:r>
        <w:rPr>
          <w:spacing w:val="-1"/>
        </w:rPr>
        <w:t>sewerage</w:t>
      </w:r>
      <w:r>
        <w:t xml:space="preserve"> RAB as </w:t>
      </w:r>
      <w:r>
        <w:rPr>
          <w:spacing w:val="-1"/>
        </w:rPr>
        <w:t>at</w:t>
      </w:r>
      <w:r>
        <w:t xml:space="preserve"> 1</w:t>
      </w:r>
      <w:r>
        <w:rPr>
          <w:spacing w:val="-3"/>
        </w:rPr>
        <w:t xml:space="preserve"> </w:t>
      </w:r>
      <w:r>
        <w:t>July 2013 is $6567million (see</w:t>
      </w:r>
      <w:r>
        <w:rPr>
          <w:spacing w:val="-5"/>
        </w:rPr>
        <w:t xml:space="preserve"> </w:t>
      </w:r>
      <w:r>
        <w:rPr>
          <w:spacing w:val="-4"/>
        </w:rPr>
        <w:t>Table</w:t>
      </w:r>
      <w:r>
        <w:t xml:space="preserve"> 9.7).</w:t>
      </w:r>
    </w:p>
    <w:p w:rsidR="00D96B91" w:rsidRDefault="00D96B91">
      <w:pPr>
        <w:spacing w:before="2"/>
        <w:rPr>
          <w:rFonts w:ascii="Avenir Next" w:eastAsia="Avenir Next" w:hAnsi="Avenir Next" w:cs="Avenir Next"/>
          <w:sz w:val="14"/>
          <w:szCs w:val="14"/>
        </w:rPr>
      </w:pPr>
    </w:p>
    <w:p w:rsidR="00D96B91" w:rsidRDefault="00C2656B">
      <w:pPr>
        <w:ind w:left="1247"/>
        <w:rPr>
          <w:rFonts w:ascii="Avenir Next" w:eastAsia="Avenir Next" w:hAnsi="Avenir Next" w:cs="Avenir Next"/>
          <w:sz w:val="20"/>
          <w:szCs w:val="20"/>
        </w:rPr>
      </w:pPr>
      <w:bookmarkStart w:id="115" w:name="_bookmark68"/>
      <w:bookmarkEnd w:id="11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9.6: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Opening value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RAB </w:t>
      </w:r>
      <w:r>
        <w:rPr>
          <w:rFonts w:ascii="Avenir Next" w:eastAsia="Avenir Next" w:hAnsi="Avenir Next" w:cs="Avenir Next"/>
          <w:b/>
          <w:bCs/>
          <w:spacing w:val="-1"/>
          <w:sz w:val="20"/>
          <w:szCs w:val="20"/>
        </w:rPr>
        <w:t>calculation</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694"/>
        <w:gridCol w:w="1118"/>
        <w:gridCol w:w="1118"/>
        <w:gridCol w:w="1118"/>
        <w:gridCol w:w="1118"/>
        <w:gridCol w:w="1118"/>
        <w:gridCol w:w="1118"/>
      </w:tblGrid>
      <w:tr w:rsidR="00D96B91">
        <w:trPr>
          <w:trHeight w:hRule="exact" w:val="378"/>
        </w:trPr>
        <w:tc>
          <w:tcPr>
            <w:tcW w:w="269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2007-08</w:t>
            </w:r>
          </w:p>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2008-09</w:t>
            </w:r>
          </w:p>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2009-10</w:t>
            </w:r>
          </w:p>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2010-11</w:t>
            </w:r>
          </w:p>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2011-12</w:t>
            </w:r>
          </w:p>
        </w:tc>
        <w:tc>
          <w:tcPr>
            <w:tcW w:w="11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262"/>
              <w:rPr>
                <w:rFonts w:ascii="Avenir Next Condensed" w:eastAsia="Avenir Next Condensed" w:hAnsi="Avenir Next Condensed" w:cs="Avenir Next Condensed"/>
                <w:sz w:val="18"/>
                <w:szCs w:val="18"/>
              </w:rPr>
            </w:pPr>
            <w:r>
              <w:rPr>
                <w:rFonts w:ascii="Avenir Next Condensed"/>
                <w:b/>
                <w:color w:val="FFFFFF"/>
                <w:sz w:val="18"/>
              </w:rPr>
              <w:t>2012-13</w:t>
            </w:r>
          </w:p>
        </w:tc>
      </w:tr>
      <w:tr w:rsidR="00D96B91">
        <w:trPr>
          <w:trHeight w:hRule="exact" w:val="378"/>
        </w:trPr>
        <w:tc>
          <w:tcPr>
            <w:tcW w:w="269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7"/>
              <w:rPr>
                <w:rFonts w:ascii="Avenir Next Condensed" w:eastAsia="Avenir Next Condensed" w:hAnsi="Avenir Next Condensed" w:cs="Avenir Next Condensed"/>
                <w:sz w:val="18"/>
                <w:szCs w:val="18"/>
              </w:rPr>
            </w:pPr>
            <w:r>
              <w:rPr>
                <w:rFonts w:ascii="Avenir Next Condensed"/>
                <w:sz w:val="18"/>
              </w:rPr>
              <w:t>496.57</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7"/>
              <w:rPr>
                <w:rFonts w:ascii="Avenir Next Condensed" w:eastAsia="Avenir Next Condensed" w:hAnsi="Avenir Next Condensed" w:cs="Avenir Next Condensed"/>
                <w:sz w:val="18"/>
                <w:szCs w:val="18"/>
              </w:rPr>
            </w:pPr>
            <w:r>
              <w:rPr>
                <w:rFonts w:ascii="Avenir Next Condensed"/>
                <w:sz w:val="18"/>
              </w:rPr>
              <w:t>542.30</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7"/>
              <w:rPr>
                <w:rFonts w:ascii="Avenir Next Condensed" w:eastAsia="Avenir Next Condensed" w:hAnsi="Avenir Next Condensed" w:cs="Avenir Next Condensed"/>
                <w:sz w:val="18"/>
                <w:szCs w:val="18"/>
              </w:rPr>
            </w:pPr>
            <w:r>
              <w:rPr>
                <w:rFonts w:ascii="Avenir Next Condensed"/>
                <w:sz w:val="18"/>
              </w:rPr>
              <w:t>659.98</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7"/>
              <w:rPr>
                <w:rFonts w:ascii="Avenir Next Condensed" w:eastAsia="Avenir Next Condensed" w:hAnsi="Avenir Next Condensed" w:cs="Avenir Next Condensed"/>
                <w:sz w:val="18"/>
                <w:szCs w:val="18"/>
              </w:rPr>
            </w:pPr>
            <w:r>
              <w:rPr>
                <w:rFonts w:ascii="Avenir Next Condensed"/>
                <w:sz w:val="18"/>
              </w:rPr>
              <w:t>836.60</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44"/>
              <w:rPr>
                <w:rFonts w:ascii="Avenir Next Condensed" w:eastAsia="Avenir Next Condensed" w:hAnsi="Avenir Next Condensed" w:cs="Avenir Next Condensed"/>
                <w:sz w:val="18"/>
                <w:szCs w:val="18"/>
              </w:rPr>
            </w:pPr>
            <w:r>
              <w:rPr>
                <w:rFonts w:ascii="Avenir Next Condensed"/>
                <w:sz w:val="18"/>
              </w:rPr>
              <w:t>1,063.66</w:t>
            </w:r>
          </w:p>
        </w:tc>
        <w:tc>
          <w:tcPr>
            <w:tcW w:w="11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44"/>
              <w:rPr>
                <w:rFonts w:ascii="Avenir Next Condensed" w:eastAsia="Avenir Next Condensed" w:hAnsi="Avenir Next Condensed" w:cs="Avenir Next Condensed"/>
                <w:sz w:val="18"/>
                <w:szCs w:val="18"/>
              </w:rPr>
            </w:pPr>
            <w:r>
              <w:rPr>
                <w:rFonts w:ascii="Avenir Next Condensed"/>
                <w:sz w:val="18"/>
              </w:rPr>
              <w:t>1,273.26</w:t>
            </w:r>
          </w:p>
        </w:tc>
      </w:tr>
      <w:tr w:rsidR="00D96B91">
        <w:trPr>
          <w:trHeight w:hRule="exact" w:val="378"/>
        </w:trPr>
        <w:tc>
          <w:tcPr>
            <w:tcW w:w="269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9"/>
              <w:rPr>
                <w:rFonts w:ascii="Avenir Next Condensed" w:eastAsia="Avenir Next Condensed" w:hAnsi="Avenir Next Condensed" w:cs="Avenir Next Condensed"/>
                <w:sz w:val="18"/>
                <w:szCs w:val="18"/>
              </w:rPr>
            </w:pPr>
            <w:r>
              <w:rPr>
                <w:rFonts w:ascii="Avenir Next Condensed"/>
                <w:spacing w:val="-1"/>
                <w:sz w:val="18"/>
              </w:rPr>
              <w:t>Depreciation</w:t>
            </w:r>
            <w:r>
              <w:rPr>
                <w:rFonts w:ascii="Avenir Next Condensed"/>
                <w:sz w:val="18"/>
              </w:rPr>
              <w:t xml:space="preserve"> adjustment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6"/>
              <w:rPr>
                <w:rFonts w:ascii="Avenir Next Condensed" w:eastAsia="Avenir Next Condensed" w:hAnsi="Avenir Next Condensed" w:cs="Avenir Next Condensed"/>
                <w:sz w:val="18"/>
                <w:szCs w:val="18"/>
              </w:rPr>
            </w:pPr>
            <w:r>
              <w:rPr>
                <w:rFonts w:ascii="Avenir Next Condensed"/>
                <w:sz w:val="18"/>
              </w:rPr>
              <w:t>-1.03</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5"/>
              <w:jc w:val="right"/>
              <w:rPr>
                <w:rFonts w:ascii="Avenir Next Condensed" w:eastAsia="Avenir Next Condensed" w:hAnsi="Avenir Next Condensed" w:cs="Avenir Next Condensed"/>
                <w:sz w:val="18"/>
                <w:szCs w:val="18"/>
              </w:rPr>
            </w:pPr>
            <w:r>
              <w:rPr>
                <w:rFonts w:ascii="Avenir Next Condensed"/>
                <w:w w:val="95"/>
                <w:sz w:val="18"/>
              </w:rPr>
              <w:t>-</w:t>
            </w:r>
          </w:p>
        </w:tc>
      </w:tr>
      <w:tr w:rsidR="00D96B91">
        <w:trPr>
          <w:trHeight w:hRule="exact" w:val="598"/>
        </w:trPr>
        <w:tc>
          <w:tcPr>
            <w:tcW w:w="269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4" w:line="220" w:lineRule="exact"/>
              <w:ind w:left="109" w:right="446"/>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r>
              <w:rPr>
                <w:rFonts w:ascii="Avenir Next Condensed"/>
                <w:sz w:val="18"/>
              </w:rPr>
              <w:t xml:space="preserve"> (net of</w:t>
            </w:r>
            <w:r>
              <w:rPr>
                <w:rFonts w:ascii="Avenir Next Condensed"/>
                <w:spacing w:val="4"/>
                <w:sz w:val="18"/>
              </w:rPr>
              <w:t xml:space="preserve"> </w:t>
            </w:r>
            <w:r>
              <w:rPr>
                <w:rFonts w:ascii="Avenir Next Condensed"/>
                <w:sz w:val="18"/>
              </w:rPr>
              <w:t>capital</w:t>
            </w:r>
            <w:r>
              <w:rPr>
                <w:rFonts w:ascii="Avenir Next Condensed"/>
                <w:spacing w:val="21"/>
                <w:sz w:val="18"/>
              </w:rPr>
              <w:t xml:space="preserve"> </w:t>
            </w:r>
            <w:r>
              <w:rPr>
                <w:rFonts w:ascii="Avenir Next Condensed"/>
                <w:sz w:val="18"/>
              </w:rPr>
              <w:t>contributions)</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2"/>
              <w:rPr>
                <w:rFonts w:ascii="Avenir Next Condensed" w:eastAsia="Avenir Next Condensed" w:hAnsi="Avenir Next Condensed" w:cs="Avenir Next Condensed"/>
                <w:sz w:val="18"/>
                <w:szCs w:val="18"/>
              </w:rPr>
            </w:pPr>
            <w:r>
              <w:rPr>
                <w:rFonts w:ascii="Avenir Next Condensed"/>
                <w:sz w:val="18"/>
              </w:rPr>
              <w:t>40.06</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8"/>
              <w:rPr>
                <w:rFonts w:ascii="Avenir Next Condensed" w:eastAsia="Avenir Next Condensed" w:hAnsi="Avenir Next Condensed" w:cs="Avenir Next Condensed"/>
                <w:sz w:val="18"/>
                <w:szCs w:val="18"/>
              </w:rPr>
            </w:pPr>
            <w:r>
              <w:rPr>
                <w:rFonts w:ascii="Avenir Next Condensed"/>
                <w:sz w:val="18"/>
              </w:rPr>
              <w:t>113.70</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8"/>
              <w:rPr>
                <w:rFonts w:ascii="Avenir Next Condensed" w:eastAsia="Avenir Next Condensed" w:hAnsi="Avenir Next Condensed" w:cs="Avenir Next Condensed"/>
                <w:sz w:val="18"/>
                <w:szCs w:val="18"/>
              </w:rPr>
            </w:pPr>
            <w:r>
              <w:rPr>
                <w:rFonts w:ascii="Avenir Next Condensed"/>
                <w:sz w:val="18"/>
              </w:rPr>
              <w:t>175.71</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8"/>
              <w:rPr>
                <w:rFonts w:ascii="Avenir Next Condensed" w:eastAsia="Avenir Next Condensed" w:hAnsi="Avenir Next Condensed" w:cs="Avenir Next Condensed"/>
                <w:sz w:val="18"/>
                <w:szCs w:val="18"/>
              </w:rPr>
            </w:pPr>
            <w:r>
              <w:rPr>
                <w:rFonts w:ascii="Avenir Next Condensed"/>
                <w:sz w:val="18"/>
              </w:rPr>
              <w:t>216.71</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8"/>
              <w:rPr>
                <w:rFonts w:ascii="Avenir Next Condensed" w:eastAsia="Avenir Next Condensed" w:hAnsi="Avenir Next Condensed" w:cs="Avenir Next Condensed"/>
                <w:sz w:val="18"/>
                <w:szCs w:val="18"/>
              </w:rPr>
            </w:pPr>
            <w:r>
              <w:rPr>
                <w:rFonts w:ascii="Avenir Next Condensed"/>
                <w:sz w:val="18"/>
              </w:rPr>
              <w:t>203.17</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68"/>
              <w:rPr>
                <w:rFonts w:ascii="Avenir Next Condensed" w:eastAsia="Avenir Next Condensed" w:hAnsi="Avenir Next Condensed" w:cs="Avenir Next Condensed"/>
                <w:sz w:val="18"/>
                <w:szCs w:val="18"/>
              </w:rPr>
            </w:pPr>
            <w:r>
              <w:rPr>
                <w:rFonts w:ascii="Avenir Next Condensed"/>
                <w:sz w:val="18"/>
              </w:rPr>
              <w:t>108.42</w:t>
            </w:r>
          </w:p>
        </w:tc>
      </w:tr>
      <w:tr w:rsidR="00D96B91">
        <w:trPr>
          <w:trHeight w:hRule="exact" w:val="378"/>
        </w:trPr>
        <w:tc>
          <w:tcPr>
            <w:tcW w:w="269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9"/>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11.71</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13.67</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16.44</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19.06</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20.41</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3"/>
              <w:rPr>
                <w:rFonts w:ascii="Avenir Next Condensed" w:eastAsia="Avenir Next Condensed" w:hAnsi="Avenir Next Condensed" w:cs="Avenir Next Condensed"/>
                <w:sz w:val="18"/>
                <w:szCs w:val="18"/>
              </w:rPr>
            </w:pPr>
            <w:r>
              <w:rPr>
                <w:rFonts w:ascii="Avenir Next Condensed"/>
                <w:sz w:val="18"/>
              </w:rPr>
              <w:t>21.41</w:t>
            </w:r>
          </w:p>
        </w:tc>
      </w:tr>
      <w:tr w:rsidR="00D96B91">
        <w:trPr>
          <w:trHeight w:hRule="exact" w:val="378"/>
        </w:trPr>
        <w:tc>
          <w:tcPr>
            <w:tcW w:w="269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10"/>
              <w:rPr>
                <w:rFonts w:ascii="Avenir Next Condensed" w:eastAsia="Avenir Next Condensed" w:hAnsi="Avenir Next Condensed" w:cs="Avenir Next Condensed"/>
                <w:sz w:val="18"/>
                <w:szCs w:val="18"/>
              </w:rPr>
            </w:pPr>
            <w:r>
              <w:rPr>
                <w:rFonts w:ascii="Avenir Next Condensed"/>
                <w:spacing w:val="-1"/>
                <w:sz w:val="18"/>
              </w:rPr>
              <w:t>Asset</w:t>
            </w:r>
            <w:r>
              <w:rPr>
                <w:rFonts w:ascii="Avenir Next Condensed"/>
                <w:sz w:val="18"/>
              </w:rPr>
              <w:t xml:space="preserve"> sales and disposals</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54"/>
              <w:rPr>
                <w:rFonts w:ascii="Avenir Next Condensed" w:eastAsia="Avenir Next Condensed" w:hAnsi="Avenir Next Condensed" w:cs="Avenir Next Condensed"/>
                <w:sz w:val="18"/>
                <w:szCs w:val="18"/>
              </w:rPr>
            </w:pPr>
            <w:r>
              <w:rPr>
                <w:rFonts w:ascii="Avenir Next Condensed"/>
                <w:sz w:val="18"/>
              </w:rPr>
              <w:t>11.78</w:t>
            </w:r>
          </w:p>
        </w:tc>
      </w:tr>
      <w:tr w:rsidR="00D96B91">
        <w:trPr>
          <w:trHeight w:hRule="exact" w:val="378"/>
        </w:trPr>
        <w:tc>
          <w:tcPr>
            <w:tcW w:w="269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10"/>
              <w:rPr>
                <w:rFonts w:ascii="Avenir Next Condensed" w:eastAsia="Avenir Next Condensed" w:hAnsi="Avenir Next Condensed" w:cs="Avenir Next Condensed"/>
                <w:sz w:val="18"/>
                <w:szCs w:val="18"/>
              </w:rPr>
            </w:pPr>
            <w:r>
              <w:rPr>
                <w:rFonts w:ascii="Avenir Next Condensed"/>
                <w:spacing w:val="-1"/>
                <w:sz w:val="18"/>
              </w:rPr>
              <w:t>Indexation</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17.39</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18.68</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17.36</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29.41</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26.83</w:t>
            </w:r>
          </w:p>
        </w:tc>
        <w:tc>
          <w:tcPr>
            <w:tcW w:w="11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54"/>
              <w:rPr>
                <w:rFonts w:ascii="Avenir Next Condensed" w:eastAsia="Avenir Next Condensed" w:hAnsi="Avenir Next Condensed" w:cs="Avenir Next Condensed"/>
                <w:sz w:val="18"/>
                <w:szCs w:val="18"/>
              </w:rPr>
            </w:pPr>
            <w:r>
              <w:rPr>
                <w:rFonts w:ascii="Avenir Next Condensed"/>
                <w:sz w:val="18"/>
              </w:rPr>
              <w:t>33.04</w:t>
            </w:r>
          </w:p>
        </w:tc>
      </w:tr>
      <w:tr w:rsidR="00D96B91">
        <w:trPr>
          <w:trHeight w:hRule="exact" w:val="378"/>
        </w:trPr>
        <w:tc>
          <w:tcPr>
            <w:tcW w:w="8283" w:type="dxa"/>
            <w:gridSpan w:val="6"/>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79"/>
              <w:ind w:left="110"/>
              <w:rPr>
                <w:rFonts w:ascii="Avenir Next Condensed" w:eastAsia="Avenir Next Condensed" w:hAnsi="Avenir Next Condensed" w:cs="Avenir Next Condensed"/>
                <w:sz w:val="18"/>
                <w:szCs w:val="18"/>
              </w:rPr>
            </w:pPr>
            <w:r>
              <w:rPr>
                <w:rFonts w:ascii="Avenir Next Condensed"/>
                <w:sz w:val="18"/>
              </w:rPr>
              <w:t xml:space="preserve">Adjustment to account for </w:t>
            </w:r>
            <w:r>
              <w:rPr>
                <w:rFonts w:ascii="Avenir Next Condensed"/>
                <w:spacing w:val="-1"/>
                <w:sz w:val="18"/>
              </w:rPr>
              <w:t>difference</w:t>
            </w:r>
            <w:r>
              <w:rPr>
                <w:rFonts w:ascii="Avenir Next Condensed"/>
                <w:sz w:val="18"/>
              </w:rPr>
              <w:t xml:space="preserve"> between actual and </w:t>
            </w:r>
            <w:r>
              <w:rPr>
                <w:rFonts w:ascii="Avenir Next Condensed"/>
                <w:spacing w:val="-1"/>
                <w:sz w:val="18"/>
              </w:rPr>
              <w:t>forecast</w:t>
            </w:r>
            <w:r>
              <w:rPr>
                <w:rFonts w:ascii="Avenir Next Condensed"/>
                <w:sz w:val="18"/>
              </w:rPr>
              <w:t xml:space="preserve"> capital </w:t>
            </w:r>
            <w:r>
              <w:rPr>
                <w:rFonts w:ascii="Avenir Next Condensed"/>
                <w:spacing w:val="-1"/>
                <w:sz w:val="18"/>
              </w:rPr>
              <w:t>expenditure</w:t>
            </w:r>
            <w:r>
              <w:rPr>
                <w:rFonts w:ascii="Avenir Next Condensed"/>
                <w:sz w:val="18"/>
              </w:rPr>
              <w:t xml:space="preserve"> in 2007-08</w:t>
            </w:r>
          </w:p>
        </w:tc>
        <w:tc>
          <w:tcPr>
            <w:tcW w:w="111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79"/>
              <w:ind w:left="364"/>
              <w:rPr>
                <w:rFonts w:ascii="Avenir Next Condensed" w:eastAsia="Avenir Next Condensed" w:hAnsi="Avenir Next Condensed" w:cs="Avenir Next Condensed"/>
                <w:sz w:val="18"/>
                <w:szCs w:val="18"/>
              </w:rPr>
            </w:pPr>
            <w:r>
              <w:rPr>
                <w:rFonts w:ascii="Avenir Next Condensed"/>
                <w:sz w:val="18"/>
              </w:rPr>
              <w:t>(11.73)</w:t>
            </w:r>
          </w:p>
        </w:tc>
      </w:tr>
      <w:tr w:rsidR="00D96B91">
        <w:trPr>
          <w:trHeight w:hRule="exact" w:val="378"/>
        </w:trPr>
        <w:tc>
          <w:tcPr>
            <w:tcW w:w="269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110"/>
              <w:rPr>
                <w:rFonts w:ascii="Avenir Next Condensed" w:eastAsia="Avenir Next Condensed" w:hAnsi="Avenir Next Condensed" w:cs="Avenir Next Condensed"/>
                <w:sz w:val="18"/>
                <w:szCs w:val="18"/>
              </w:rPr>
            </w:pPr>
            <w:r>
              <w:rPr>
                <w:rFonts w:ascii="Avenir Next Condensed"/>
                <w:b/>
                <w:sz w:val="18"/>
              </w:rPr>
              <w:t>Closing value</w:t>
            </w:r>
          </w:p>
        </w:tc>
        <w:tc>
          <w:tcPr>
            <w:tcW w:w="11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337"/>
              <w:rPr>
                <w:rFonts w:ascii="Avenir Next Condensed" w:eastAsia="Avenir Next Condensed" w:hAnsi="Avenir Next Condensed" w:cs="Avenir Next Condensed"/>
                <w:sz w:val="18"/>
                <w:szCs w:val="18"/>
              </w:rPr>
            </w:pPr>
            <w:r>
              <w:rPr>
                <w:rFonts w:ascii="Avenir Next Condensed"/>
                <w:b/>
                <w:sz w:val="18"/>
              </w:rPr>
              <w:t>542.30</w:t>
            </w:r>
          </w:p>
        </w:tc>
        <w:tc>
          <w:tcPr>
            <w:tcW w:w="11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337"/>
              <w:rPr>
                <w:rFonts w:ascii="Avenir Next Condensed" w:eastAsia="Avenir Next Condensed" w:hAnsi="Avenir Next Condensed" w:cs="Avenir Next Condensed"/>
                <w:sz w:val="18"/>
                <w:szCs w:val="18"/>
              </w:rPr>
            </w:pPr>
            <w:r>
              <w:rPr>
                <w:rFonts w:ascii="Avenir Next Condensed"/>
                <w:b/>
                <w:sz w:val="18"/>
              </w:rPr>
              <w:t>659.98</w:t>
            </w:r>
          </w:p>
        </w:tc>
        <w:tc>
          <w:tcPr>
            <w:tcW w:w="11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337"/>
              <w:rPr>
                <w:rFonts w:ascii="Avenir Next Condensed" w:eastAsia="Avenir Next Condensed" w:hAnsi="Avenir Next Condensed" w:cs="Avenir Next Condensed"/>
                <w:sz w:val="18"/>
                <w:szCs w:val="18"/>
              </w:rPr>
            </w:pPr>
            <w:r>
              <w:rPr>
                <w:rFonts w:ascii="Avenir Next Condensed"/>
                <w:b/>
                <w:sz w:val="18"/>
              </w:rPr>
              <w:t>836.60</w:t>
            </w:r>
          </w:p>
        </w:tc>
        <w:tc>
          <w:tcPr>
            <w:tcW w:w="11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203"/>
              <w:rPr>
                <w:rFonts w:ascii="Avenir Next Condensed" w:eastAsia="Avenir Next Condensed" w:hAnsi="Avenir Next Condensed" w:cs="Avenir Next Condensed"/>
                <w:sz w:val="18"/>
                <w:szCs w:val="18"/>
              </w:rPr>
            </w:pPr>
            <w:r>
              <w:rPr>
                <w:rFonts w:ascii="Avenir Next Condensed"/>
                <w:b/>
                <w:sz w:val="18"/>
              </w:rPr>
              <w:t>1,063.66</w:t>
            </w:r>
          </w:p>
        </w:tc>
        <w:tc>
          <w:tcPr>
            <w:tcW w:w="11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69"/>
              <w:ind w:left="203"/>
              <w:rPr>
                <w:rFonts w:ascii="Avenir Next Condensed" w:eastAsia="Avenir Next Condensed" w:hAnsi="Avenir Next Condensed" w:cs="Avenir Next Condensed"/>
                <w:sz w:val="18"/>
                <w:szCs w:val="18"/>
              </w:rPr>
            </w:pPr>
            <w:r>
              <w:rPr>
                <w:rFonts w:ascii="Avenir Next Condensed"/>
                <w:b/>
                <w:sz w:val="18"/>
              </w:rPr>
              <w:t>1,273.26</w:t>
            </w:r>
          </w:p>
        </w:tc>
        <w:tc>
          <w:tcPr>
            <w:tcW w:w="1118" w:type="dxa"/>
            <w:tcBorders>
              <w:top w:val="single" w:sz="12" w:space="0" w:color="1A9EDA"/>
              <w:left w:val="single" w:sz="4" w:space="0" w:color="17A7E0"/>
              <w:bottom w:val="single" w:sz="12" w:space="0" w:color="1A9EDA"/>
              <w:right w:val="single" w:sz="4" w:space="0" w:color="17A7E0"/>
            </w:tcBorders>
            <w:shd w:val="clear" w:color="auto" w:fill="DCDDDE"/>
          </w:tcPr>
          <w:p w:rsidR="00D96B91" w:rsidRDefault="00C2656B">
            <w:pPr>
              <w:pStyle w:val="TableParagraph"/>
              <w:spacing w:before="69"/>
              <w:ind w:left="204"/>
              <w:rPr>
                <w:rFonts w:ascii="Avenir Next Condensed" w:eastAsia="Avenir Next Condensed" w:hAnsi="Avenir Next Condensed" w:cs="Avenir Next Condensed"/>
                <w:sz w:val="18"/>
                <w:szCs w:val="18"/>
              </w:rPr>
            </w:pPr>
            <w:r>
              <w:rPr>
                <w:rFonts w:ascii="Avenir Next Condensed"/>
                <w:b/>
                <w:sz w:val="18"/>
              </w:rPr>
              <w:t>1,369.80</w:t>
            </w:r>
          </w:p>
        </w:tc>
      </w:tr>
    </w:tbl>
    <w:p w:rsidR="00D96B91" w:rsidRDefault="00D96B91">
      <w:pPr>
        <w:spacing w:before="8"/>
        <w:rPr>
          <w:rFonts w:ascii="Avenir Next" w:eastAsia="Avenir Next" w:hAnsi="Avenir Next" w:cs="Avenir Next"/>
          <w:b/>
          <w:bCs/>
          <w:sz w:val="18"/>
          <w:szCs w:val="18"/>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9.7: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Opening value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RAB </w:t>
      </w:r>
      <w:r>
        <w:rPr>
          <w:rFonts w:ascii="Avenir Next" w:eastAsia="Avenir Next" w:hAnsi="Avenir Next" w:cs="Avenir Next"/>
          <w:b/>
          <w:bCs/>
          <w:spacing w:val="-1"/>
          <w:sz w:val="20"/>
          <w:szCs w:val="20"/>
        </w:rPr>
        <w:t>calculation</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784"/>
        <w:gridCol w:w="1103"/>
        <w:gridCol w:w="1103"/>
        <w:gridCol w:w="1103"/>
        <w:gridCol w:w="1103"/>
        <w:gridCol w:w="1103"/>
        <w:gridCol w:w="1103"/>
      </w:tblGrid>
      <w:tr w:rsidR="00D96B91">
        <w:trPr>
          <w:trHeight w:hRule="exact" w:val="407"/>
        </w:trPr>
        <w:tc>
          <w:tcPr>
            <w:tcW w:w="278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4"/>
              <w:rPr>
                <w:rFonts w:ascii="Avenir Next Condensed" w:eastAsia="Avenir Next Condensed" w:hAnsi="Avenir Next Condensed" w:cs="Avenir Next Condensed"/>
                <w:sz w:val="18"/>
                <w:szCs w:val="18"/>
              </w:rPr>
            </w:pPr>
            <w:r>
              <w:rPr>
                <w:rFonts w:ascii="Avenir Next Condensed"/>
                <w:b/>
                <w:color w:val="FFFFFF"/>
                <w:sz w:val="18"/>
              </w:rPr>
              <w:t>2007-08</w:t>
            </w:r>
          </w:p>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5"/>
              <w:rPr>
                <w:rFonts w:ascii="Avenir Next Condensed" w:eastAsia="Avenir Next Condensed" w:hAnsi="Avenir Next Condensed" w:cs="Avenir Next Condensed"/>
                <w:sz w:val="18"/>
                <w:szCs w:val="18"/>
              </w:rPr>
            </w:pPr>
            <w:r>
              <w:rPr>
                <w:rFonts w:ascii="Avenir Next Condensed"/>
                <w:b/>
                <w:color w:val="FFFFFF"/>
                <w:sz w:val="18"/>
              </w:rPr>
              <w:t>2008-09</w:t>
            </w:r>
          </w:p>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5"/>
              <w:rPr>
                <w:rFonts w:ascii="Avenir Next Condensed" w:eastAsia="Avenir Next Condensed" w:hAnsi="Avenir Next Condensed" w:cs="Avenir Next Condensed"/>
                <w:sz w:val="18"/>
                <w:szCs w:val="18"/>
              </w:rPr>
            </w:pPr>
            <w:r>
              <w:rPr>
                <w:rFonts w:ascii="Avenir Next Condensed"/>
                <w:b/>
                <w:color w:val="FFFFFF"/>
                <w:sz w:val="18"/>
              </w:rPr>
              <w:t>2009-10</w:t>
            </w:r>
          </w:p>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5"/>
              <w:rPr>
                <w:rFonts w:ascii="Avenir Next Condensed" w:eastAsia="Avenir Next Condensed" w:hAnsi="Avenir Next Condensed" w:cs="Avenir Next Condensed"/>
                <w:sz w:val="18"/>
                <w:szCs w:val="18"/>
              </w:rPr>
            </w:pPr>
            <w:r>
              <w:rPr>
                <w:rFonts w:ascii="Avenir Next Condensed"/>
                <w:b/>
                <w:color w:val="FFFFFF"/>
                <w:sz w:val="18"/>
              </w:rPr>
              <w:t>2010-11</w:t>
            </w:r>
          </w:p>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5"/>
              <w:rPr>
                <w:rFonts w:ascii="Avenir Next Condensed" w:eastAsia="Avenir Next Condensed" w:hAnsi="Avenir Next Condensed" w:cs="Avenir Next Condensed"/>
                <w:sz w:val="18"/>
                <w:szCs w:val="18"/>
              </w:rPr>
            </w:pPr>
            <w:r>
              <w:rPr>
                <w:rFonts w:ascii="Avenir Next Condensed"/>
                <w:b/>
                <w:color w:val="FFFFFF"/>
                <w:sz w:val="18"/>
              </w:rPr>
              <w:t>2011-12</w:t>
            </w:r>
          </w:p>
        </w:tc>
        <w:tc>
          <w:tcPr>
            <w:tcW w:w="110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55"/>
              <w:rPr>
                <w:rFonts w:ascii="Avenir Next Condensed" w:eastAsia="Avenir Next Condensed" w:hAnsi="Avenir Next Condensed" w:cs="Avenir Next Condensed"/>
                <w:sz w:val="18"/>
                <w:szCs w:val="18"/>
              </w:rPr>
            </w:pPr>
            <w:r>
              <w:rPr>
                <w:rFonts w:ascii="Avenir Next Condensed"/>
                <w:b/>
                <w:color w:val="FFFFFF"/>
                <w:sz w:val="18"/>
              </w:rPr>
              <w:t>2012-13</w:t>
            </w:r>
          </w:p>
        </w:tc>
      </w:tr>
      <w:tr w:rsidR="00D96B91">
        <w:trPr>
          <w:trHeight w:hRule="exact" w:val="407"/>
        </w:trPr>
        <w:tc>
          <w:tcPr>
            <w:tcW w:w="278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Opening value of</w:t>
            </w:r>
            <w:r>
              <w:rPr>
                <w:rFonts w:ascii="Avenir Next Condensed"/>
                <w:spacing w:val="4"/>
                <w:sz w:val="18"/>
              </w:rPr>
              <w:t xml:space="preserve"> </w:t>
            </w:r>
            <w:r>
              <w:rPr>
                <w:rFonts w:ascii="Avenir Next Condensed"/>
                <w:sz w:val="18"/>
              </w:rPr>
              <w:t>the RAB</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467.50</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499.77</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567.46</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594.49</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620.48</w:t>
            </w:r>
          </w:p>
        </w:tc>
        <w:tc>
          <w:tcPr>
            <w:tcW w:w="110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2"/>
              <w:rPr>
                <w:rFonts w:ascii="Avenir Next Condensed" w:eastAsia="Avenir Next Condensed" w:hAnsi="Avenir Next Condensed" w:cs="Avenir Next Condensed"/>
                <w:sz w:val="18"/>
                <w:szCs w:val="18"/>
              </w:rPr>
            </w:pPr>
            <w:r>
              <w:rPr>
                <w:rFonts w:ascii="Avenir Next Condensed"/>
                <w:sz w:val="18"/>
              </w:rPr>
              <w:t>644.26</w:t>
            </w:r>
          </w:p>
        </w:tc>
      </w:tr>
      <w:tr w:rsidR="00D96B91">
        <w:trPr>
          <w:trHeight w:hRule="exact" w:val="407"/>
        </w:trPr>
        <w:tc>
          <w:tcPr>
            <w:tcW w:w="27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Depreciation</w:t>
            </w:r>
            <w:r>
              <w:rPr>
                <w:rFonts w:ascii="Avenir Next Condensed"/>
                <w:sz w:val="18"/>
              </w:rPr>
              <w:t xml:space="preserve"> adjustment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5"/>
              <w:jc w:val="right"/>
              <w:rPr>
                <w:rFonts w:ascii="Avenir Next Condensed" w:eastAsia="Avenir Next Condensed" w:hAnsi="Avenir Next Condensed" w:cs="Avenir Next Condensed"/>
                <w:sz w:val="18"/>
                <w:szCs w:val="18"/>
              </w:rPr>
            </w:pPr>
            <w:r>
              <w:rPr>
                <w:rFonts w:ascii="Avenir Next Condensed"/>
                <w:w w:val="95"/>
                <w:sz w:val="18"/>
              </w:rPr>
              <w:t>-</w:t>
            </w:r>
          </w:p>
        </w:tc>
      </w:tr>
      <w:tr w:rsidR="00D96B91">
        <w:trPr>
          <w:trHeight w:hRule="exact" w:val="627"/>
        </w:trPr>
        <w:tc>
          <w:tcPr>
            <w:tcW w:w="27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9" w:right="537"/>
              <w:rPr>
                <w:rFonts w:ascii="Avenir Next Condensed" w:eastAsia="Avenir Next Condensed" w:hAnsi="Avenir Next Condensed" w:cs="Avenir Next Condensed"/>
                <w:sz w:val="18"/>
                <w:szCs w:val="18"/>
              </w:rPr>
            </w:pPr>
            <w:r>
              <w:rPr>
                <w:rFonts w:ascii="Avenir Next Condensed"/>
                <w:spacing w:val="-1"/>
                <w:sz w:val="18"/>
              </w:rPr>
              <w:t>Capital</w:t>
            </w:r>
            <w:r>
              <w:rPr>
                <w:rFonts w:ascii="Avenir Next Condensed"/>
                <w:sz w:val="18"/>
              </w:rPr>
              <w:t xml:space="preserve"> </w:t>
            </w:r>
            <w:r>
              <w:rPr>
                <w:rFonts w:ascii="Avenir Next Condensed"/>
                <w:spacing w:val="-1"/>
                <w:sz w:val="18"/>
              </w:rPr>
              <w:t>expenditure</w:t>
            </w:r>
            <w:r>
              <w:rPr>
                <w:rFonts w:ascii="Avenir Next Condensed"/>
                <w:sz w:val="18"/>
              </w:rPr>
              <w:t xml:space="preserve"> (net of</w:t>
            </w:r>
            <w:r>
              <w:rPr>
                <w:rFonts w:ascii="Avenir Next Condensed"/>
                <w:spacing w:val="4"/>
                <w:sz w:val="18"/>
              </w:rPr>
              <w:t xml:space="preserve"> </w:t>
            </w:r>
            <w:r>
              <w:rPr>
                <w:rFonts w:ascii="Avenir Next Condensed"/>
                <w:sz w:val="18"/>
              </w:rPr>
              <w:t>capital</w:t>
            </w:r>
            <w:r>
              <w:rPr>
                <w:rFonts w:ascii="Avenir Next Condensed"/>
                <w:spacing w:val="21"/>
                <w:sz w:val="18"/>
              </w:rPr>
              <w:t xml:space="preserve"> </w:t>
            </w:r>
            <w:r>
              <w:rPr>
                <w:rFonts w:ascii="Avenir Next Condensed"/>
                <w:sz w:val="18"/>
              </w:rPr>
              <w:t>contributions)</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7"/>
              <w:rPr>
                <w:rFonts w:ascii="Avenir Next Condensed" w:eastAsia="Avenir Next Condensed" w:hAnsi="Avenir Next Condensed" w:cs="Avenir Next Condensed"/>
                <w:sz w:val="18"/>
                <w:szCs w:val="18"/>
              </w:rPr>
            </w:pPr>
            <w:r>
              <w:rPr>
                <w:rFonts w:ascii="Avenir Next Condensed"/>
                <w:sz w:val="18"/>
              </w:rPr>
              <w:t>28.12</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7"/>
              <w:rPr>
                <w:rFonts w:ascii="Avenir Next Condensed" w:eastAsia="Avenir Next Condensed" w:hAnsi="Avenir Next Condensed" w:cs="Avenir Next Condensed"/>
                <w:sz w:val="18"/>
                <w:szCs w:val="18"/>
              </w:rPr>
            </w:pPr>
            <w:r>
              <w:rPr>
                <w:rFonts w:ascii="Avenir Next Condensed"/>
                <w:sz w:val="18"/>
              </w:rPr>
              <w:t>64.00</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7"/>
              <w:rPr>
                <w:rFonts w:ascii="Avenir Next Condensed" w:eastAsia="Avenir Next Condensed" w:hAnsi="Avenir Next Condensed" w:cs="Avenir Next Condensed"/>
                <w:sz w:val="18"/>
                <w:szCs w:val="18"/>
              </w:rPr>
            </w:pPr>
            <w:r>
              <w:rPr>
                <w:rFonts w:ascii="Avenir Next Condensed"/>
                <w:sz w:val="18"/>
              </w:rPr>
              <w:t>27.33</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21.58</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24.22</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25.30</w:t>
            </w:r>
          </w:p>
        </w:tc>
      </w:tr>
      <w:tr w:rsidR="00D96B91">
        <w:trPr>
          <w:trHeight w:hRule="exact" w:val="407"/>
        </w:trPr>
        <w:tc>
          <w:tcPr>
            <w:tcW w:w="27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12.06</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12.89</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13.79</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14.43</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15.00</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15.62</w:t>
            </w:r>
          </w:p>
        </w:tc>
      </w:tr>
      <w:tr w:rsidR="00D96B91">
        <w:trPr>
          <w:trHeight w:hRule="exact" w:val="407"/>
        </w:trPr>
        <w:tc>
          <w:tcPr>
            <w:tcW w:w="27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Asset</w:t>
            </w:r>
            <w:r>
              <w:rPr>
                <w:rFonts w:ascii="Avenir Next Condensed"/>
                <w:sz w:val="18"/>
              </w:rPr>
              <w:t xml:space="preserve"> sales and disposals</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4"/>
              <w:jc w:val="right"/>
              <w:rPr>
                <w:rFonts w:ascii="Avenir Next Condensed" w:eastAsia="Avenir Next Condensed" w:hAnsi="Avenir Next Condensed" w:cs="Avenir Next Condensed"/>
                <w:sz w:val="18"/>
                <w:szCs w:val="18"/>
              </w:rPr>
            </w:pPr>
            <w:r>
              <w:rPr>
                <w:rFonts w:ascii="Avenir Next Condensed"/>
                <w:w w:val="95"/>
                <w:sz w:val="18"/>
              </w:rPr>
              <w:t>-</w:t>
            </w:r>
          </w:p>
        </w:tc>
      </w:tr>
      <w:tr w:rsidR="00D96B91">
        <w:trPr>
          <w:trHeight w:hRule="exact" w:val="407"/>
        </w:trPr>
        <w:tc>
          <w:tcPr>
            <w:tcW w:w="27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Indexation</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8"/>
              <w:rPr>
                <w:rFonts w:ascii="Avenir Next Condensed" w:eastAsia="Avenir Next Condensed" w:hAnsi="Avenir Next Condensed" w:cs="Avenir Next Condensed"/>
                <w:sz w:val="18"/>
                <w:szCs w:val="18"/>
              </w:rPr>
            </w:pPr>
            <w:r>
              <w:rPr>
                <w:rFonts w:ascii="Avenir Next Condensed"/>
                <w:sz w:val="18"/>
              </w:rPr>
              <w:t>16.21</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9"/>
              <w:rPr>
                <w:rFonts w:ascii="Avenir Next Condensed" w:eastAsia="Avenir Next Condensed" w:hAnsi="Avenir Next Condensed" w:cs="Avenir Next Condensed"/>
                <w:sz w:val="18"/>
                <w:szCs w:val="18"/>
              </w:rPr>
            </w:pPr>
            <w:r>
              <w:rPr>
                <w:rFonts w:ascii="Avenir Next Condensed"/>
                <w:sz w:val="18"/>
              </w:rPr>
              <w:t>16.58</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9"/>
              <w:rPr>
                <w:rFonts w:ascii="Avenir Next Condensed" w:eastAsia="Avenir Next Condensed" w:hAnsi="Avenir Next Condensed" w:cs="Avenir Next Condensed"/>
                <w:sz w:val="18"/>
                <w:szCs w:val="18"/>
              </w:rPr>
            </w:pPr>
            <w:r>
              <w:rPr>
                <w:rFonts w:ascii="Avenir Next Condensed"/>
                <w:sz w:val="18"/>
              </w:rPr>
              <w:t>13.49</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9"/>
              <w:rPr>
                <w:rFonts w:ascii="Avenir Next Condensed" w:eastAsia="Avenir Next Condensed" w:hAnsi="Avenir Next Condensed" w:cs="Avenir Next Condensed"/>
                <w:sz w:val="18"/>
                <w:szCs w:val="18"/>
              </w:rPr>
            </w:pPr>
            <w:r>
              <w:rPr>
                <w:rFonts w:ascii="Avenir Next Condensed"/>
                <w:sz w:val="18"/>
              </w:rPr>
              <w:t>18.84</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9"/>
              <w:rPr>
                <w:rFonts w:ascii="Avenir Next Condensed" w:eastAsia="Avenir Next Condensed" w:hAnsi="Avenir Next Condensed" w:cs="Avenir Next Condensed"/>
                <w:sz w:val="18"/>
                <w:szCs w:val="18"/>
              </w:rPr>
            </w:pPr>
            <w:r>
              <w:rPr>
                <w:rFonts w:ascii="Avenir Next Condensed"/>
                <w:sz w:val="18"/>
              </w:rPr>
              <w:t>14.56</w:t>
            </w:r>
          </w:p>
        </w:tc>
        <w:tc>
          <w:tcPr>
            <w:tcW w:w="110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9"/>
              <w:rPr>
                <w:rFonts w:ascii="Avenir Next Condensed" w:eastAsia="Avenir Next Condensed" w:hAnsi="Avenir Next Condensed" w:cs="Avenir Next Condensed"/>
                <w:sz w:val="18"/>
                <w:szCs w:val="18"/>
              </w:rPr>
            </w:pPr>
            <w:r>
              <w:rPr>
                <w:rFonts w:ascii="Avenir Next Condensed"/>
                <w:sz w:val="18"/>
              </w:rPr>
              <w:t>16.42</w:t>
            </w:r>
          </w:p>
        </w:tc>
      </w:tr>
      <w:tr w:rsidR="00D96B91">
        <w:trPr>
          <w:trHeight w:hRule="exact" w:val="407"/>
        </w:trPr>
        <w:tc>
          <w:tcPr>
            <w:tcW w:w="8298" w:type="dxa"/>
            <w:gridSpan w:val="6"/>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Adjustment to account for </w:t>
            </w:r>
            <w:r>
              <w:rPr>
                <w:rFonts w:ascii="Avenir Next Condensed"/>
                <w:spacing w:val="-1"/>
                <w:sz w:val="18"/>
              </w:rPr>
              <w:t>difference</w:t>
            </w:r>
            <w:r>
              <w:rPr>
                <w:rFonts w:ascii="Avenir Next Condensed"/>
                <w:sz w:val="18"/>
              </w:rPr>
              <w:t xml:space="preserve"> between actual and </w:t>
            </w:r>
            <w:r>
              <w:rPr>
                <w:rFonts w:ascii="Avenir Next Condensed"/>
                <w:spacing w:val="-1"/>
                <w:sz w:val="18"/>
              </w:rPr>
              <w:t>forecast</w:t>
            </w:r>
            <w:r>
              <w:rPr>
                <w:rFonts w:ascii="Avenir Next Condensed"/>
                <w:sz w:val="18"/>
              </w:rPr>
              <w:t xml:space="preserve"> capital </w:t>
            </w:r>
            <w:r>
              <w:rPr>
                <w:rFonts w:ascii="Avenir Next Condensed"/>
                <w:spacing w:val="-1"/>
                <w:sz w:val="18"/>
              </w:rPr>
              <w:t>expenditure</w:t>
            </w:r>
            <w:r>
              <w:rPr>
                <w:rFonts w:ascii="Avenir Next Condensed"/>
                <w:sz w:val="18"/>
              </w:rPr>
              <w:t xml:space="preserve"> in 2007-08</w:t>
            </w:r>
          </w:p>
        </w:tc>
        <w:tc>
          <w:tcPr>
            <w:tcW w:w="110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9"/>
              <w:rPr>
                <w:rFonts w:ascii="Avenir Next Condensed" w:eastAsia="Avenir Next Condensed" w:hAnsi="Avenir Next Condensed" w:cs="Avenir Next Condensed"/>
                <w:sz w:val="18"/>
                <w:szCs w:val="18"/>
              </w:rPr>
            </w:pPr>
            <w:r>
              <w:rPr>
                <w:rFonts w:ascii="Avenir Next Condensed"/>
                <w:sz w:val="18"/>
              </w:rPr>
              <w:t>(13.65)</w:t>
            </w:r>
          </w:p>
        </w:tc>
      </w:tr>
      <w:tr w:rsidR="00D96B91">
        <w:trPr>
          <w:trHeight w:hRule="exact" w:val="407"/>
        </w:trPr>
        <w:tc>
          <w:tcPr>
            <w:tcW w:w="278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10"/>
              <w:rPr>
                <w:rFonts w:ascii="Avenir Next Condensed" w:eastAsia="Avenir Next Condensed" w:hAnsi="Avenir Next Condensed" w:cs="Avenir Next Condensed"/>
                <w:sz w:val="18"/>
                <w:szCs w:val="18"/>
              </w:rPr>
            </w:pPr>
            <w:r>
              <w:rPr>
                <w:rFonts w:ascii="Avenir Next Condensed"/>
                <w:b/>
                <w:sz w:val="18"/>
              </w:rPr>
              <w:t>Closing value</w:t>
            </w:r>
          </w:p>
        </w:tc>
        <w:tc>
          <w:tcPr>
            <w:tcW w:w="110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22"/>
              <w:rPr>
                <w:rFonts w:ascii="Avenir Next Condensed" w:eastAsia="Avenir Next Condensed" w:hAnsi="Avenir Next Condensed" w:cs="Avenir Next Condensed"/>
                <w:sz w:val="18"/>
                <w:szCs w:val="18"/>
              </w:rPr>
            </w:pPr>
            <w:r>
              <w:rPr>
                <w:rFonts w:ascii="Avenir Next Condensed"/>
                <w:b/>
                <w:sz w:val="18"/>
              </w:rPr>
              <w:t>499.77</w:t>
            </w:r>
          </w:p>
        </w:tc>
        <w:tc>
          <w:tcPr>
            <w:tcW w:w="110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22"/>
              <w:rPr>
                <w:rFonts w:ascii="Avenir Next Condensed" w:eastAsia="Avenir Next Condensed" w:hAnsi="Avenir Next Condensed" w:cs="Avenir Next Condensed"/>
                <w:sz w:val="18"/>
                <w:szCs w:val="18"/>
              </w:rPr>
            </w:pPr>
            <w:r>
              <w:rPr>
                <w:rFonts w:ascii="Avenir Next Condensed"/>
                <w:b/>
                <w:sz w:val="18"/>
              </w:rPr>
              <w:t>567.46</w:t>
            </w:r>
          </w:p>
        </w:tc>
        <w:tc>
          <w:tcPr>
            <w:tcW w:w="110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22"/>
              <w:rPr>
                <w:rFonts w:ascii="Avenir Next Condensed" w:eastAsia="Avenir Next Condensed" w:hAnsi="Avenir Next Condensed" w:cs="Avenir Next Condensed"/>
                <w:sz w:val="18"/>
                <w:szCs w:val="18"/>
              </w:rPr>
            </w:pPr>
            <w:r>
              <w:rPr>
                <w:rFonts w:ascii="Avenir Next Condensed"/>
                <w:b/>
                <w:sz w:val="18"/>
              </w:rPr>
              <w:t>594.49</w:t>
            </w:r>
          </w:p>
        </w:tc>
        <w:tc>
          <w:tcPr>
            <w:tcW w:w="110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22"/>
              <w:rPr>
                <w:rFonts w:ascii="Avenir Next Condensed" w:eastAsia="Avenir Next Condensed" w:hAnsi="Avenir Next Condensed" w:cs="Avenir Next Condensed"/>
                <w:sz w:val="18"/>
                <w:szCs w:val="18"/>
              </w:rPr>
            </w:pPr>
            <w:r>
              <w:rPr>
                <w:rFonts w:ascii="Avenir Next Condensed"/>
                <w:b/>
                <w:sz w:val="18"/>
              </w:rPr>
              <w:t>620.48</w:t>
            </w:r>
          </w:p>
        </w:tc>
        <w:tc>
          <w:tcPr>
            <w:tcW w:w="110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22"/>
              <w:rPr>
                <w:rFonts w:ascii="Avenir Next Condensed" w:eastAsia="Avenir Next Condensed" w:hAnsi="Avenir Next Condensed" w:cs="Avenir Next Condensed"/>
                <w:sz w:val="18"/>
                <w:szCs w:val="18"/>
              </w:rPr>
            </w:pPr>
            <w:r>
              <w:rPr>
                <w:rFonts w:ascii="Avenir Next Condensed"/>
                <w:b/>
                <w:sz w:val="18"/>
              </w:rPr>
              <w:t>644.26</w:t>
            </w:r>
          </w:p>
        </w:tc>
        <w:tc>
          <w:tcPr>
            <w:tcW w:w="1103" w:type="dxa"/>
            <w:tcBorders>
              <w:top w:val="single" w:sz="12" w:space="0" w:color="1A9EDA"/>
              <w:left w:val="single" w:sz="4" w:space="0" w:color="17A7E0"/>
              <w:bottom w:val="single" w:sz="12" w:space="0" w:color="1A9EDA"/>
              <w:right w:val="single" w:sz="4" w:space="0" w:color="17A7E0"/>
            </w:tcBorders>
            <w:shd w:val="clear" w:color="auto" w:fill="DCDDDE"/>
          </w:tcPr>
          <w:p w:rsidR="00D96B91" w:rsidRDefault="00C2656B">
            <w:pPr>
              <w:pStyle w:val="TableParagraph"/>
              <w:spacing w:before="98"/>
              <w:ind w:left="323"/>
              <w:rPr>
                <w:rFonts w:ascii="Avenir Next Condensed" w:eastAsia="Avenir Next Condensed" w:hAnsi="Avenir Next Condensed" w:cs="Avenir Next Condensed"/>
                <w:sz w:val="18"/>
                <w:szCs w:val="18"/>
              </w:rPr>
            </w:pPr>
            <w:r>
              <w:rPr>
                <w:rFonts w:ascii="Avenir Next Condensed"/>
                <w:b/>
                <w:sz w:val="18"/>
              </w:rPr>
              <w:t>656.72</w:t>
            </w:r>
          </w:p>
        </w:tc>
      </w:tr>
    </w:tbl>
    <w:p w:rsidR="00D96B91" w:rsidRDefault="00D96B91">
      <w:pPr>
        <w:rPr>
          <w:rFonts w:ascii="Avenir Next" w:eastAsia="Avenir Next" w:hAnsi="Avenir Next" w:cs="Avenir Next"/>
          <w:b/>
          <w:bCs/>
        </w:rPr>
      </w:pPr>
    </w:p>
    <w:p w:rsidR="00D96B91" w:rsidRDefault="00C2656B">
      <w:pPr>
        <w:pStyle w:val="Heading4"/>
        <w:tabs>
          <w:tab w:val="left" w:pos="2040"/>
        </w:tabs>
        <w:spacing w:before="19"/>
      </w:pPr>
      <w:r>
        <w:rPr>
          <w:color w:val="0778BE"/>
        </w:rPr>
        <w:t>9.</w:t>
      </w:r>
      <w:r>
        <w:rPr>
          <w:color w:val="0778BE"/>
          <w:spacing w:val="-9"/>
        </w:rPr>
        <w:t xml:space="preserve"> </w:t>
      </w:r>
      <w:r>
        <w:rPr>
          <w:color w:val="0778BE"/>
        </w:rPr>
        <w:t>3</w:t>
      </w:r>
      <w:r>
        <w:rPr>
          <w:color w:val="0778BE"/>
        </w:rPr>
        <w:tab/>
      </w:r>
      <w:r>
        <w:rPr>
          <w:color w:val="0778BE"/>
          <w:spacing w:val="-3"/>
        </w:rPr>
        <w:t>Forecast</w:t>
      </w:r>
      <w:r>
        <w:rPr>
          <w:color w:val="0778BE"/>
        </w:rPr>
        <w:t xml:space="preserve"> capital </w:t>
      </w:r>
      <w:r>
        <w:rPr>
          <w:color w:val="0778BE"/>
          <w:spacing w:val="-1"/>
        </w:rPr>
        <w:t>expenditure</w:t>
      </w:r>
      <w:r>
        <w:rPr>
          <w:color w:val="0778BE"/>
        </w:rPr>
        <w:t xml:space="preserve"> in the 2013 period</w:t>
      </w:r>
    </w:p>
    <w:p w:rsidR="00D96B91" w:rsidRDefault="00C2656B">
      <w:pPr>
        <w:pStyle w:val="BodyText"/>
        <w:spacing w:before="55" w:line="260" w:lineRule="exact"/>
        <w:ind w:right="1256"/>
      </w:pPr>
      <w:r>
        <w:rPr>
          <w:rFonts w:cs="Avenir Next"/>
          <w:spacing w:val="-10"/>
        </w:rPr>
        <w:t>To</w:t>
      </w:r>
      <w:r>
        <w:rPr>
          <w:rFonts w:cs="Avenir Next"/>
        </w:rPr>
        <w:t xml:space="preserve"> establish the </w:t>
      </w:r>
      <w:r>
        <w:rPr>
          <w:rFonts w:cs="Avenir Next"/>
          <w:spacing w:val="-1"/>
        </w:rPr>
        <w:t>forecast</w:t>
      </w:r>
      <w:r>
        <w:rPr>
          <w:rFonts w:cs="Avenir Next"/>
        </w:rPr>
        <w:t xml:space="preserve"> capital </w:t>
      </w:r>
      <w:r>
        <w:rPr>
          <w:rFonts w:cs="Avenir Next"/>
          <w:spacing w:val="-1"/>
        </w:rPr>
        <w:t>expenditure</w:t>
      </w:r>
      <w:r>
        <w:rPr>
          <w:rFonts w:cs="Avenir Next"/>
        </w:rPr>
        <w:t xml:space="preserve"> to be included in the value of</w:t>
      </w:r>
      <w:r>
        <w:rPr>
          <w:rFonts w:cs="Avenir Next"/>
          <w:spacing w:val="4"/>
        </w:rPr>
        <w:t xml:space="preserve"> </w:t>
      </w:r>
      <w:r>
        <w:rPr>
          <w:rFonts w:cs="Avenir Next"/>
        </w:rPr>
        <w:t xml:space="preserve">the RAB within a </w:t>
      </w:r>
      <w:r>
        <w:rPr>
          <w:rFonts w:cs="Avenir Next"/>
          <w:spacing w:val="-1"/>
        </w:rPr>
        <w:t>regulatory</w:t>
      </w:r>
      <w:r>
        <w:rPr>
          <w:rFonts w:cs="Avenir Next"/>
          <w:spacing w:val="27"/>
        </w:rPr>
        <w:t xml:space="preserve"> </w:t>
      </w:r>
      <w:r>
        <w:rPr>
          <w:rFonts w:cs="Avenir Next"/>
        </w:rPr>
        <w:t>period,</w:t>
      </w:r>
      <w:r>
        <w:rPr>
          <w:position w:val="7"/>
          <w:sz w:val="11"/>
          <w:szCs w:val="11"/>
        </w:rPr>
        <w:t>115</w:t>
      </w:r>
      <w:r>
        <w:rPr>
          <w:spacing w:val="23"/>
          <w:position w:val="7"/>
          <w:sz w:val="11"/>
          <w:szCs w:val="11"/>
        </w:rPr>
        <w:t xml:space="preserve"> </w:t>
      </w:r>
      <w:r>
        <w:rPr>
          <w:rFonts w:cs="Avenir Next"/>
          <w:spacing w:val="-1"/>
        </w:rPr>
        <w:t>regulators</w:t>
      </w:r>
      <w:r>
        <w:rPr>
          <w:rFonts w:cs="Avenir Next"/>
          <w:spacing w:val="1"/>
        </w:rPr>
        <w:t xml:space="preserve"> </w:t>
      </w:r>
      <w:r>
        <w:rPr>
          <w:rFonts w:cs="Avenir Next"/>
        </w:rPr>
        <w:t>usually</w:t>
      </w:r>
      <w:r>
        <w:rPr>
          <w:rFonts w:cs="Avenir Next"/>
          <w:spacing w:val="1"/>
        </w:rPr>
        <w:t xml:space="preserve"> </w:t>
      </w:r>
      <w:r>
        <w:rPr>
          <w:rFonts w:cs="Avenir Next"/>
        </w:rPr>
        <w:t>assess the</w:t>
      </w:r>
      <w:r>
        <w:rPr>
          <w:rFonts w:cs="Avenir Next"/>
          <w:spacing w:val="1"/>
        </w:rPr>
        <w:t xml:space="preserve"> </w:t>
      </w:r>
      <w:r>
        <w:rPr>
          <w:rFonts w:cs="Avenir Next"/>
          <w:spacing w:val="-1"/>
        </w:rPr>
        <w:t>regulated</w:t>
      </w:r>
      <w:r>
        <w:rPr>
          <w:rFonts w:cs="Avenir Next"/>
          <w:spacing w:val="1"/>
        </w:rPr>
        <w:t xml:space="preserve"> </w:t>
      </w:r>
      <w:r>
        <w:rPr>
          <w:rFonts w:cs="Avenir Next"/>
        </w:rPr>
        <w:t>business’</w:t>
      </w:r>
      <w:r>
        <w:rPr>
          <w:rFonts w:cs="Avenir Next"/>
          <w:spacing w:val="1"/>
        </w:rPr>
        <w:t xml:space="preserve"> </w:t>
      </w:r>
      <w:r>
        <w:rPr>
          <w:rFonts w:cs="Avenir Next"/>
          <w:spacing w:val="-1"/>
        </w:rPr>
        <w:t>proposed</w:t>
      </w:r>
      <w:r>
        <w:rPr>
          <w:rFonts w:cs="Avenir Next"/>
          <w:spacing w:val="1"/>
        </w:rPr>
        <w:t xml:space="preserve"> </w:t>
      </w:r>
      <w:r>
        <w:rPr>
          <w:rFonts w:cs="Avenir Next"/>
        </w:rPr>
        <w:t>capital</w:t>
      </w:r>
      <w:r>
        <w:rPr>
          <w:rFonts w:cs="Avenir Next"/>
          <w:spacing w:val="1"/>
        </w:rPr>
        <w:t xml:space="preserve"> </w:t>
      </w:r>
      <w:r>
        <w:rPr>
          <w:rFonts w:cs="Avenir Next"/>
          <w:spacing w:val="-1"/>
        </w:rPr>
        <w:t>expenditure</w:t>
      </w:r>
      <w:r>
        <w:rPr>
          <w:rFonts w:cs="Avenir Next"/>
          <w:spacing w:val="1"/>
        </w:rPr>
        <w:t xml:space="preserve"> </w:t>
      </w:r>
      <w:r>
        <w:rPr>
          <w:rFonts w:cs="Avenir Next"/>
        </w:rPr>
        <w:t>over</w:t>
      </w:r>
      <w:r>
        <w:rPr>
          <w:rFonts w:cs="Avenir Next"/>
          <w:spacing w:val="1"/>
        </w:rPr>
        <w:t xml:space="preserve"> </w:t>
      </w:r>
      <w:r>
        <w:rPr>
          <w:rFonts w:cs="Avenir Next"/>
        </w:rPr>
        <w:t>this</w:t>
      </w:r>
      <w:r>
        <w:rPr>
          <w:rFonts w:cs="Avenir Next"/>
          <w:spacing w:val="31"/>
        </w:rPr>
        <w:t xml:space="preserve"> </w:t>
      </w:r>
      <w:r>
        <w:t>period,</w:t>
      </w:r>
      <w:r>
        <w:rPr>
          <w:spacing w:val="-7"/>
        </w:rPr>
        <w:t xml:space="preserve"> </w:t>
      </w:r>
      <w:r>
        <w:t>and include only</w:t>
      </w:r>
      <w:r>
        <w:rPr>
          <w:spacing w:val="-1"/>
        </w:rPr>
        <w:t xml:space="preserve"> </w:t>
      </w:r>
      <w:r>
        <w:t>the level</w:t>
      </w:r>
      <w:r>
        <w:rPr>
          <w:spacing w:val="-1"/>
        </w:rPr>
        <w:t xml:space="preserve"> </w:t>
      </w:r>
      <w:r>
        <w:t>of</w:t>
      </w:r>
      <w:r>
        <w:rPr>
          <w:spacing w:val="4"/>
        </w:rPr>
        <w:t xml:space="preserve"> </w:t>
      </w:r>
      <w:r>
        <w:rPr>
          <w:spacing w:val="-1"/>
        </w:rPr>
        <w:t>expenditure</w:t>
      </w:r>
      <w:r>
        <w:t xml:space="preserve"> they</w:t>
      </w:r>
      <w:r>
        <w:rPr>
          <w:spacing w:val="-1"/>
        </w:rPr>
        <w:t xml:space="preserve"> </w:t>
      </w:r>
      <w:r>
        <w:rPr>
          <w:spacing w:val="-2"/>
        </w:rPr>
        <w:t>are</w:t>
      </w:r>
      <w:r>
        <w:t xml:space="preserve"> </w:t>
      </w:r>
      <w:r>
        <w:rPr>
          <w:spacing w:val="-1"/>
        </w:rPr>
        <w:t>satisfied</w:t>
      </w:r>
      <w:r>
        <w:t xml:space="preserve"> would</w:t>
      </w:r>
      <w:r>
        <w:rPr>
          <w:spacing w:val="-1"/>
        </w:rPr>
        <w:t xml:space="preserve"> </w:t>
      </w:r>
      <w:r>
        <w:t xml:space="preserve">be </w:t>
      </w:r>
      <w:r>
        <w:rPr>
          <w:spacing w:val="-1"/>
        </w:rPr>
        <w:t>incurred</w:t>
      </w:r>
      <w:r>
        <w:t xml:space="preserve"> by</w:t>
      </w:r>
      <w:r>
        <w:rPr>
          <w:spacing w:val="-1"/>
        </w:rPr>
        <w:t xml:space="preserve"> </w:t>
      </w:r>
      <w:r>
        <w:t>a prudent</w:t>
      </w:r>
      <w:r>
        <w:rPr>
          <w:spacing w:val="37"/>
        </w:rPr>
        <w:t xml:space="preserve"> </w:t>
      </w:r>
      <w:r>
        <w:t>service</w:t>
      </w:r>
      <w:r>
        <w:rPr>
          <w:spacing w:val="-1"/>
        </w:rPr>
        <w:t xml:space="preserve"> provider </w:t>
      </w:r>
      <w:r>
        <w:t xml:space="preserve">acting </w:t>
      </w:r>
      <w:r>
        <w:rPr>
          <w:spacing w:val="-1"/>
        </w:rPr>
        <w:t>efficiently,</w:t>
      </w:r>
      <w:r>
        <w:rPr>
          <w:spacing w:val="-7"/>
        </w:rPr>
        <w:t xml:space="preserve"> </w:t>
      </w:r>
      <w:r>
        <w:t xml:space="preserve">in </w:t>
      </w:r>
      <w:r>
        <w:rPr>
          <w:spacing w:val="-1"/>
        </w:rPr>
        <w:t xml:space="preserve">accordance </w:t>
      </w:r>
      <w:r>
        <w:t>with accepted</w:t>
      </w:r>
      <w:r>
        <w:rPr>
          <w:spacing w:val="-1"/>
        </w:rPr>
        <w:t xml:space="preserve"> </w:t>
      </w:r>
      <w:r>
        <w:t>good industry</w:t>
      </w:r>
      <w:r>
        <w:rPr>
          <w:spacing w:val="-1"/>
        </w:rPr>
        <w:t xml:space="preserve"> practice,</w:t>
      </w:r>
      <w:r>
        <w:rPr>
          <w:spacing w:val="-6"/>
        </w:rPr>
        <w:t xml:space="preserve"> </w:t>
      </w:r>
      <w:r>
        <w:t>to</w:t>
      </w:r>
      <w:r>
        <w:rPr>
          <w:spacing w:val="-1"/>
        </w:rPr>
        <w:t xml:space="preserve"> </w:t>
      </w:r>
      <w:r>
        <w:t>achieve the</w:t>
      </w:r>
      <w:r>
        <w:rPr>
          <w:spacing w:val="33"/>
        </w:rPr>
        <w:t xml:space="preserve"> </w:t>
      </w:r>
      <w:r>
        <w:t>lowest sustainable cost of</w:t>
      </w:r>
      <w:r>
        <w:rPr>
          <w:spacing w:val="4"/>
        </w:rPr>
        <w:t xml:space="preserve"> </w:t>
      </w:r>
      <w:r>
        <w:t xml:space="preserve">delivering the </w:t>
      </w:r>
      <w:r>
        <w:rPr>
          <w:spacing w:val="-1"/>
        </w:rPr>
        <w:t>regulated</w:t>
      </w:r>
      <w:r>
        <w:t xml:space="preserve"> services.</w:t>
      </w:r>
    </w:p>
    <w:p w:rsidR="00D96B91" w:rsidRDefault="00C2656B">
      <w:pPr>
        <w:pStyle w:val="BodyText"/>
        <w:spacing w:before="170" w:line="260" w:lineRule="exact"/>
        <w:ind w:right="1406"/>
      </w:pPr>
      <w:r>
        <w:rPr>
          <w:rFonts w:cs="Avenir Next"/>
          <w:spacing w:val="-2"/>
        </w:rPr>
        <w:t>The</w:t>
      </w:r>
      <w:r>
        <w:rPr>
          <w:rFonts w:cs="Avenir Next"/>
        </w:rPr>
        <w:t xml:space="preserve"> </w:t>
      </w:r>
      <w:r>
        <w:rPr>
          <w:rFonts w:cs="Avenir Next"/>
          <w:spacing w:val="-3"/>
        </w:rPr>
        <w:t>Panel</w:t>
      </w:r>
      <w:r>
        <w:rPr>
          <w:rFonts w:cs="Avenir Next"/>
        </w:rPr>
        <w:t xml:space="preserve"> followed this </w:t>
      </w:r>
      <w:r>
        <w:rPr>
          <w:rFonts w:cs="Avenir Next"/>
          <w:spacing w:val="-1"/>
        </w:rPr>
        <w:t>approach</w:t>
      </w:r>
      <w:r>
        <w:rPr>
          <w:rFonts w:cs="Avenir Next"/>
        </w:rPr>
        <w:t xml:space="preserve"> in making its </w:t>
      </w:r>
      <w:r>
        <w:rPr>
          <w:rFonts w:cs="Avenir Next"/>
          <w:spacing w:val="-2"/>
        </w:rPr>
        <w:t>draft</w:t>
      </w:r>
      <w:r>
        <w:rPr>
          <w:rFonts w:cs="Avenir Next"/>
        </w:rPr>
        <w:t xml:space="preserve"> decision on the </w:t>
      </w:r>
      <w:r>
        <w:rPr>
          <w:rFonts w:cs="Avenir Next"/>
          <w:spacing w:val="-1"/>
        </w:rPr>
        <w:t>forecast</w:t>
      </w:r>
      <w:r>
        <w:rPr>
          <w:rFonts w:cs="Avenir Next"/>
        </w:rPr>
        <w:t xml:space="preserve"> capital </w:t>
      </w:r>
      <w:r>
        <w:rPr>
          <w:rFonts w:cs="Avenir Next"/>
          <w:spacing w:val="-1"/>
        </w:rPr>
        <w:t>expenditure</w:t>
      </w:r>
      <w:r>
        <w:rPr>
          <w:rFonts w:cs="Avenir Next"/>
        </w:rPr>
        <w:t xml:space="preserve"> to be</w:t>
      </w:r>
      <w:r>
        <w:rPr>
          <w:rFonts w:cs="Avenir Next"/>
          <w:spacing w:val="45"/>
        </w:rPr>
        <w:t xml:space="preserve"> </w:t>
      </w:r>
      <w:r>
        <w:t>included</w:t>
      </w:r>
      <w:r>
        <w:rPr>
          <w:spacing w:val="-1"/>
        </w:rPr>
        <w:t xml:space="preserve"> </w:t>
      </w:r>
      <w:r>
        <w:t>in</w:t>
      </w:r>
      <w:r>
        <w:rPr>
          <w:spacing w:val="-4"/>
        </w:rPr>
        <w:t xml:space="preserve"> </w:t>
      </w:r>
      <w:r>
        <w:rPr>
          <w:spacing w:val="-2"/>
        </w:rPr>
        <w:t>ACTEW’s</w:t>
      </w:r>
      <w:r>
        <w:t xml:space="preserve"> RAB for</w:t>
      </w:r>
      <w:r>
        <w:rPr>
          <w:spacing w:val="-1"/>
        </w:rPr>
        <w:t xml:space="preserve"> </w:t>
      </w:r>
      <w:r>
        <w:t>the 2013 period.</w:t>
      </w:r>
      <w:r>
        <w:rPr>
          <w:spacing w:val="-7"/>
        </w:rPr>
        <w:t xml:space="preserve"> </w:t>
      </w:r>
      <w:r>
        <w:t>In doing</w:t>
      </w:r>
      <w:r>
        <w:rPr>
          <w:spacing w:val="-1"/>
        </w:rPr>
        <w:t xml:space="preserve"> so,</w:t>
      </w:r>
      <w:r>
        <w:rPr>
          <w:spacing w:val="-6"/>
        </w:rPr>
        <w:t xml:space="preserve"> </w:t>
      </w:r>
      <w:r>
        <w:t xml:space="preserve">it had </w:t>
      </w:r>
      <w:r>
        <w:rPr>
          <w:spacing w:val="-2"/>
        </w:rPr>
        <w:t>regard</w:t>
      </w:r>
      <w:r>
        <w:t xml:space="preserve"> to</w:t>
      </w:r>
      <w:r>
        <w:rPr>
          <w:spacing w:val="-1"/>
        </w:rPr>
        <w:t xml:space="preserve"> </w:t>
      </w:r>
      <w:r>
        <w:t xml:space="preserve">the </w:t>
      </w:r>
      <w:r>
        <w:rPr>
          <w:spacing w:val="-2"/>
        </w:rPr>
        <w:t>ICRC’s</w:t>
      </w:r>
      <w:r>
        <w:t xml:space="preserve"> final decision</w:t>
      </w:r>
      <w:r>
        <w:rPr>
          <w:spacing w:val="28"/>
        </w:rPr>
        <w:t xml:space="preserve"> </w:t>
      </w:r>
      <w:r>
        <w:t>for 2013-14 and 2014-15,</w:t>
      </w:r>
      <w:r>
        <w:rPr>
          <w:spacing w:val="-10"/>
        </w:rPr>
        <w:t xml:space="preserve"> </w:t>
      </w:r>
      <w:r>
        <w:rPr>
          <w:spacing w:val="-2"/>
        </w:rPr>
        <w:t>ACTEW’s</w:t>
      </w:r>
      <w:r>
        <w:t xml:space="preserve"> SOFC </w:t>
      </w:r>
      <w:r>
        <w:rPr>
          <w:spacing w:val="-1"/>
        </w:rPr>
        <w:t>proposal</w:t>
      </w:r>
      <w:r>
        <w:t xml:space="preserve"> and other submissions,</w:t>
      </w:r>
      <w:r>
        <w:rPr>
          <w:spacing w:val="-7"/>
        </w:rPr>
        <w:t xml:space="preserve"> </w:t>
      </w:r>
      <w:r>
        <w:t xml:space="preserve">and the </w:t>
      </w:r>
      <w:r>
        <w:rPr>
          <w:spacing w:val="-1"/>
        </w:rPr>
        <w:t>expert</w:t>
      </w:r>
      <w:r>
        <w:t xml:space="preserve"> advice it</w:t>
      </w:r>
      <w:r>
        <w:rPr>
          <w:spacing w:val="27"/>
        </w:rPr>
        <w:t xml:space="preserve"> </w:t>
      </w:r>
      <w:r>
        <w:rPr>
          <w:spacing w:val="-1"/>
        </w:rPr>
        <w:t xml:space="preserve">received from </w:t>
      </w:r>
      <w:r>
        <w:rPr>
          <w:spacing w:val="-2"/>
        </w:rPr>
        <w:t>Cardno</w:t>
      </w:r>
      <w:r>
        <w:rPr>
          <w:spacing w:val="-1"/>
        </w:rPr>
        <w:t xml:space="preserve"> </w:t>
      </w:r>
      <w:r>
        <w:t>on</w:t>
      </w:r>
      <w:r>
        <w:rPr>
          <w:spacing w:val="-1"/>
        </w:rPr>
        <w:t xml:space="preserve"> </w:t>
      </w:r>
      <w:r>
        <w:t xml:space="preserve">the </w:t>
      </w:r>
      <w:r>
        <w:rPr>
          <w:spacing w:val="-1"/>
        </w:rPr>
        <w:t xml:space="preserve">efficiency </w:t>
      </w:r>
      <w:r>
        <w:t xml:space="preserve">of </w:t>
      </w:r>
      <w:r>
        <w:rPr>
          <w:spacing w:val="-2"/>
        </w:rPr>
        <w:t>ACTEW’s</w:t>
      </w:r>
      <w:r>
        <w:rPr>
          <w:spacing w:val="-1"/>
        </w:rPr>
        <w:t xml:space="preserve"> proposed</w:t>
      </w:r>
      <w:r>
        <w:t xml:space="preserve"> </w:t>
      </w:r>
      <w:r>
        <w:rPr>
          <w:spacing w:val="-1"/>
        </w:rPr>
        <w:t>expenditure.</w:t>
      </w:r>
    </w:p>
    <w:p w:rsidR="00D96B91" w:rsidRDefault="00D96B91">
      <w:pPr>
        <w:spacing w:before="7"/>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59" style="width:72.5pt;height:.5pt;mso-position-horizontal-relative:char;mso-position-vertical-relative:line" coordsize="1450,10">
            <v:group id="_x0000_s3160" style="position:absolute;left:5;top:5;width:1440;height:2" coordorigin="5,5" coordsize="1440,2">
              <v:shape id="_x0000_s3161"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98"/>
        </w:tabs>
        <w:spacing w:before="45" w:line="192" w:lineRule="exact"/>
        <w:ind w:right="1411" w:hanging="510"/>
        <w:rPr>
          <w:rFonts w:ascii="Avenir Next" w:eastAsia="Avenir Next" w:hAnsi="Avenir Next" w:cs="Avenir Next"/>
          <w:sz w:val="16"/>
          <w:szCs w:val="16"/>
        </w:rPr>
      </w:pPr>
      <w:r>
        <w:rPr>
          <w:rFonts w:ascii="Avenir Next"/>
          <w:sz w:val="16"/>
        </w:rPr>
        <w:t xml:space="preserve">Note </w:t>
      </w:r>
      <w:r>
        <w:rPr>
          <w:rFonts w:ascii="Avenir Next"/>
          <w:spacing w:val="-1"/>
          <w:sz w:val="16"/>
        </w:rPr>
        <w:t>that</w:t>
      </w:r>
      <w:r>
        <w:rPr>
          <w:rFonts w:ascii="Avenir Next"/>
          <w:sz w:val="16"/>
        </w:rPr>
        <w:t xml:space="preserve"> </w:t>
      </w:r>
      <w:r>
        <w:rPr>
          <w:rFonts w:ascii="Avenir Next"/>
          <w:spacing w:val="-1"/>
          <w:sz w:val="16"/>
        </w:rPr>
        <w:t>forecast</w:t>
      </w:r>
      <w:r>
        <w:rPr>
          <w:rFonts w:ascii="Avenir Next"/>
          <w:sz w:val="16"/>
        </w:rPr>
        <w:t xml:space="preserve"> capital </w:t>
      </w:r>
      <w:r>
        <w:rPr>
          <w:rFonts w:ascii="Avenir Next"/>
          <w:spacing w:val="-1"/>
          <w:sz w:val="16"/>
        </w:rPr>
        <w:t>expenditure</w:t>
      </w:r>
      <w:r>
        <w:rPr>
          <w:rFonts w:ascii="Avenir Next"/>
          <w:sz w:val="16"/>
        </w:rPr>
        <w:t xml:space="preserve"> is included in the RAB for the purpose of</w:t>
      </w:r>
      <w:r>
        <w:rPr>
          <w:rFonts w:ascii="Avenir Next"/>
          <w:spacing w:val="3"/>
          <w:sz w:val="16"/>
        </w:rPr>
        <w:t xml:space="preserve"> </w:t>
      </w:r>
      <w:r>
        <w:rPr>
          <w:rFonts w:ascii="Avenir Next"/>
          <w:spacing w:val="-1"/>
          <w:sz w:val="16"/>
        </w:rPr>
        <w:t>setting</w:t>
      </w:r>
      <w:r>
        <w:rPr>
          <w:rFonts w:ascii="Avenir Next"/>
          <w:sz w:val="16"/>
        </w:rPr>
        <w:t xml:space="preserve"> prices within the </w:t>
      </w:r>
      <w:r>
        <w:rPr>
          <w:rFonts w:ascii="Avenir Next"/>
          <w:spacing w:val="-1"/>
          <w:sz w:val="16"/>
        </w:rPr>
        <w:t>regulatory</w:t>
      </w:r>
      <w:r>
        <w:rPr>
          <w:rFonts w:ascii="Avenir Next"/>
          <w:spacing w:val="49"/>
          <w:sz w:val="16"/>
        </w:rPr>
        <w:t xml:space="preserve"> </w:t>
      </w:r>
      <w:r>
        <w:rPr>
          <w:rFonts w:ascii="Avenir Next"/>
          <w:sz w:val="16"/>
        </w:rPr>
        <w:t>period.</w:t>
      </w:r>
      <w:r>
        <w:rPr>
          <w:rFonts w:ascii="Avenir Next"/>
          <w:spacing w:val="34"/>
          <w:sz w:val="16"/>
        </w:rPr>
        <w:t xml:space="preserve"> </w:t>
      </w:r>
      <w:r>
        <w:rPr>
          <w:rFonts w:ascii="Avenir Next"/>
          <w:spacing w:val="-1"/>
          <w:sz w:val="16"/>
        </w:rPr>
        <w:t>Before</w:t>
      </w:r>
      <w:r>
        <w:rPr>
          <w:rFonts w:ascii="Avenir Next"/>
          <w:sz w:val="16"/>
        </w:rPr>
        <w:t xml:space="preserve"> it</w:t>
      </w:r>
      <w:r>
        <w:rPr>
          <w:rFonts w:ascii="Avenir Next"/>
          <w:spacing w:val="-1"/>
          <w:sz w:val="16"/>
        </w:rPr>
        <w:t xml:space="preserve"> </w:t>
      </w:r>
      <w:r>
        <w:rPr>
          <w:rFonts w:ascii="Avenir Next"/>
          <w:sz w:val="16"/>
        </w:rPr>
        <w:t xml:space="preserve">is </w:t>
      </w:r>
      <w:r>
        <w:rPr>
          <w:rFonts w:ascii="Avenir Next"/>
          <w:spacing w:val="-1"/>
          <w:sz w:val="16"/>
        </w:rPr>
        <w:t>incorporated</w:t>
      </w:r>
      <w:r>
        <w:rPr>
          <w:rFonts w:ascii="Avenir Next"/>
          <w:sz w:val="16"/>
        </w:rPr>
        <w:t xml:space="preserve"> into the</w:t>
      </w:r>
      <w:r>
        <w:rPr>
          <w:rFonts w:ascii="Avenir Next"/>
          <w:spacing w:val="-1"/>
          <w:sz w:val="16"/>
        </w:rPr>
        <w:t xml:space="preserve"> </w:t>
      </w:r>
      <w:r>
        <w:rPr>
          <w:rFonts w:ascii="Avenir Next"/>
          <w:sz w:val="16"/>
        </w:rPr>
        <w:t>RAB for the</w:t>
      </w:r>
      <w:r>
        <w:rPr>
          <w:rFonts w:ascii="Avenir Next"/>
          <w:spacing w:val="-1"/>
          <w:sz w:val="16"/>
        </w:rPr>
        <w:t xml:space="preserve"> </w:t>
      </w:r>
      <w:r>
        <w:rPr>
          <w:rFonts w:ascii="Avenir Next"/>
          <w:b/>
          <w:spacing w:val="-1"/>
          <w:sz w:val="16"/>
        </w:rPr>
        <w:t>next</w:t>
      </w:r>
      <w:r>
        <w:rPr>
          <w:rFonts w:ascii="Avenir Next"/>
          <w:b/>
          <w:sz w:val="16"/>
        </w:rPr>
        <w:t xml:space="preserve"> </w:t>
      </w:r>
      <w:r>
        <w:rPr>
          <w:rFonts w:ascii="Avenir Next"/>
          <w:spacing w:val="-1"/>
          <w:sz w:val="16"/>
        </w:rPr>
        <w:t>regulatory</w:t>
      </w:r>
      <w:r>
        <w:rPr>
          <w:rFonts w:ascii="Avenir Next"/>
          <w:sz w:val="16"/>
        </w:rPr>
        <w:t xml:space="preserve"> period,</w:t>
      </w:r>
      <w:r>
        <w:rPr>
          <w:rFonts w:ascii="Avenir Next"/>
          <w:spacing w:val="-5"/>
          <w:sz w:val="16"/>
        </w:rPr>
        <w:t xml:space="preserve"> </w:t>
      </w:r>
      <w:r>
        <w:rPr>
          <w:rFonts w:ascii="Avenir Next"/>
          <w:sz w:val="16"/>
        </w:rPr>
        <w:t>it</w:t>
      </w:r>
      <w:r>
        <w:rPr>
          <w:rFonts w:ascii="Avenir Next"/>
          <w:spacing w:val="-1"/>
          <w:sz w:val="16"/>
        </w:rPr>
        <w:t xml:space="preserve"> undergoes</w:t>
      </w:r>
      <w:r>
        <w:rPr>
          <w:rFonts w:ascii="Avenir Next"/>
          <w:sz w:val="16"/>
        </w:rPr>
        <w:t xml:space="preserve"> a prudence and</w:t>
      </w:r>
      <w:r>
        <w:rPr>
          <w:rFonts w:ascii="Avenir Next"/>
          <w:spacing w:val="-1"/>
          <w:sz w:val="16"/>
        </w:rPr>
        <w:t xml:space="preserve"> efficiency</w:t>
      </w:r>
      <w:r>
        <w:rPr>
          <w:rFonts w:ascii="Avenir Next"/>
          <w:sz w:val="16"/>
        </w:rPr>
        <w:t xml:space="preserve"> test</w:t>
      </w:r>
      <w:r>
        <w:rPr>
          <w:rFonts w:ascii="Avenir Next"/>
          <w:spacing w:val="63"/>
          <w:sz w:val="16"/>
        </w:rPr>
        <w:t xml:space="preserve"> </w:t>
      </w:r>
      <w:r>
        <w:rPr>
          <w:rFonts w:ascii="Avenir Next"/>
          <w:sz w:val="16"/>
        </w:rPr>
        <w:t xml:space="preserve">as discussed in section </w:t>
      </w:r>
      <w:hyperlink w:anchor="_bookmark62" w:history="1">
        <w:r>
          <w:rPr>
            <w:rFonts w:ascii="Avenir Next"/>
            <w:sz w:val="16"/>
          </w:rPr>
          <w:t>9.2</w:t>
        </w:r>
      </w:hyperlink>
      <w:r>
        <w:rPr>
          <w:rFonts w:ascii="Avenir Next"/>
          <w:sz w:val="16"/>
        </w:rPr>
        <w:t xml:space="preserve"> above.</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74"/>
        </w:numPr>
        <w:tabs>
          <w:tab w:val="left" w:pos="2098"/>
        </w:tabs>
        <w:spacing w:before="9"/>
        <w:ind w:hanging="850"/>
        <w:rPr>
          <w:rFonts w:cs="Avenir Next Medium"/>
        </w:rPr>
      </w:pPr>
      <w:r>
        <w:rPr>
          <w:rFonts w:cs="Avenir Next Medium"/>
          <w:color w:val="0778BE"/>
          <w:spacing w:val="-2"/>
        </w:rPr>
        <w:t>ICRC’s</w:t>
      </w:r>
      <w:r>
        <w:rPr>
          <w:rFonts w:cs="Avenir Next Medium"/>
          <w:color w:val="0778BE"/>
        </w:rPr>
        <w:t xml:space="preserve"> final decision on </w:t>
      </w:r>
      <w:r>
        <w:rPr>
          <w:rFonts w:cs="Avenir Next Medium"/>
          <w:color w:val="0778BE"/>
          <w:spacing w:val="-1"/>
        </w:rPr>
        <w:t>forecast</w:t>
      </w:r>
      <w:r>
        <w:rPr>
          <w:rFonts w:cs="Avenir Next Medium"/>
          <w:color w:val="0778BE"/>
        </w:rPr>
        <w:t xml:space="preserve"> capital </w:t>
      </w:r>
      <w:r>
        <w:rPr>
          <w:rFonts w:cs="Avenir Next Medium"/>
          <w:color w:val="0778BE"/>
          <w:spacing w:val="-1"/>
        </w:rPr>
        <w:t>expenditure</w:t>
      </w:r>
    </w:p>
    <w:p w:rsidR="00D96B91" w:rsidRDefault="00C2656B">
      <w:pPr>
        <w:pStyle w:val="BodyText"/>
        <w:spacing w:before="21" w:line="260" w:lineRule="exact"/>
        <w:ind w:right="1277"/>
      </w:pPr>
      <w:r>
        <w:t>In</w:t>
      </w:r>
      <w:r>
        <w:rPr>
          <w:spacing w:val="-1"/>
        </w:rPr>
        <w:t xml:space="preserve"> </w:t>
      </w:r>
      <w:r>
        <w:t>making</w:t>
      </w:r>
      <w:r>
        <w:rPr>
          <w:spacing w:val="-1"/>
        </w:rPr>
        <w:t xml:space="preserve"> </w:t>
      </w:r>
      <w:r>
        <w:t>its</w:t>
      </w:r>
      <w:r>
        <w:rPr>
          <w:spacing w:val="-1"/>
        </w:rPr>
        <w:t xml:space="preserve"> </w:t>
      </w:r>
      <w:r>
        <w:t>final decision,</w:t>
      </w:r>
      <w:r>
        <w:rPr>
          <w:spacing w:val="-7"/>
        </w:rPr>
        <w:t xml:space="preserve"> </w:t>
      </w:r>
      <w:r>
        <w:t>the</w:t>
      </w:r>
      <w:r>
        <w:rPr>
          <w:spacing w:val="-1"/>
        </w:rPr>
        <w:t xml:space="preserve"> </w:t>
      </w:r>
      <w:r>
        <w:t xml:space="preserve">ICRC </w:t>
      </w:r>
      <w:r>
        <w:rPr>
          <w:spacing w:val="-1"/>
        </w:rPr>
        <w:t xml:space="preserve">considered </w:t>
      </w:r>
      <w:r>
        <w:rPr>
          <w:spacing w:val="-3"/>
        </w:rPr>
        <w:t>Cardno’s</w:t>
      </w:r>
      <w:r>
        <w:rPr>
          <w:spacing w:val="-1"/>
        </w:rPr>
        <w:t xml:space="preserve"> expert </w:t>
      </w:r>
      <w:r>
        <w:t>advice on</w:t>
      </w:r>
      <w:r>
        <w:rPr>
          <w:spacing w:val="-1"/>
        </w:rPr>
        <w:t xml:space="preserve"> </w:t>
      </w:r>
      <w:r>
        <w:t>the</w:t>
      </w:r>
      <w:r>
        <w:rPr>
          <w:spacing w:val="-1"/>
        </w:rPr>
        <w:t xml:space="preserve"> </w:t>
      </w:r>
      <w:r>
        <w:t>prudence and</w:t>
      </w:r>
      <w:r>
        <w:rPr>
          <w:spacing w:val="-1"/>
        </w:rPr>
        <w:t xml:space="preserve"> efficiency</w:t>
      </w:r>
      <w:r>
        <w:rPr>
          <w:spacing w:val="39"/>
          <w:w w:val="99"/>
        </w:rPr>
        <w:t xml:space="preserve"> </w:t>
      </w:r>
      <w:r>
        <w:t>of</w:t>
      </w:r>
      <w:r>
        <w:rPr>
          <w:spacing w:val="4"/>
        </w:rPr>
        <w:t xml:space="preserve"> </w:t>
      </w:r>
      <w:r>
        <w:t xml:space="preserve">the </w:t>
      </w:r>
      <w:r>
        <w:rPr>
          <w:spacing w:val="-1"/>
        </w:rPr>
        <w:t>forecast</w:t>
      </w:r>
      <w:r>
        <w:t xml:space="preserve"> capital </w:t>
      </w:r>
      <w:r>
        <w:rPr>
          <w:spacing w:val="-1"/>
        </w:rPr>
        <w:t>expenditure</w:t>
      </w:r>
      <w:r>
        <w:rPr>
          <w:spacing w:val="-4"/>
        </w:rPr>
        <w:t xml:space="preserve"> </w:t>
      </w:r>
      <w:r>
        <w:rPr>
          <w:spacing w:val="-2"/>
        </w:rPr>
        <w:t>ACTEW</w:t>
      </w:r>
      <w:r>
        <w:rPr>
          <w:spacing w:val="-3"/>
        </w:rPr>
        <w:t xml:space="preserve"> </w:t>
      </w:r>
      <w:r>
        <w:t xml:space="preserve">initially </w:t>
      </w:r>
      <w:r>
        <w:rPr>
          <w:spacing w:val="-1"/>
        </w:rPr>
        <w:t>proposed</w:t>
      </w:r>
      <w:r>
        <w:t xml:space="preserve"> in its</w:t>
      </w:r>
      <w:r>
        <w:rPr>
          <w:spacing w:val="-3"/>
        </w:rPr>
        <w:t xml:space="preserve"> </w:t>
      </w:r>
      <w:r>
        <w:t>July 2012 submission,</w:t>
      </w:r>
      <w:r>
        <w:rPr>
          <w:spacing w:val="-6"/>
        </w:rPr>
        <w:t xml:space="preserve"> </w:t>
      </w:r>
      <w:r>
        <w:t>and the</w:t>
      </w:r>
      <w:r>
        <w:rPr>
          <w:spacing w:val="35"/>
        </w:rPr>
        <w:t xml:space="preserve"> </w:t>
      </w:r>
      <w:r>
        <w:rPr>
          <w:spacing w:val="-1"/>
        </w:rPr>
        <w:t>revised</w:t>
      </w:r>
      <w:r>
        <w:t xml:space="preserve"> </w:t>
      </w:r>
      <w:r>
        <w:rPr>
          <w:spacing w:val="-1"/>
        </w:rPr>
        <w:t>forecast</w:t>
      </w:r>
      <w:r>
        <w:t xml:space="preserve"> </w:t>
      </w:r>
      <w:r>
        <w:rPr>
          <w:spacing w:val="-1"/>
        </w:rPr>
        <w:t>expenditure</w:t>
      </w:r>
      <w:r>
        <w:rPr>
          <w:spacing w:val="-4"/>
        </w:rPr>
        <w:t xml:space="preserve"> </w:t>
      </w:r>
      <w:r>
        <w:rPr>
          <w:spacing w:val="-2"/>
        </w:rPr>
        <w:t>ACTEW</w:t>
      </w:r>
      <w:r>
        <w:rPr>
          <w:spacing w:val="-3"/>
        </w:rPr>
        <w:t xml:space="preserve"> </w:t>
      </w:r>
      <w:r>
        <w:t xml:space="preserve">subsequently </w:t>
      </w:r>
      <w:r>
        <w:rPr>
          <w:spacing w:val="-1"/>
        </w:rPr>
        <w:t>proposed</w:t>
      </w:r>
      <w:r>
        <w:t xml:space="preserve"> in its</w:t>
      </w:r>
      <w:r>
        <w:rPr>
          <w:spacing w:val="-4"/>
        </w:rPr>
        <w:t xml:space="preserve"> </w:t>
      </w:r>
      <w:r>
        <w:t>April 2013 submission.</w:t>
      </w:r>
      <w:r>
        <w:rPr>
          <w:spacing w:val="-11"/>
        </w:rPr>
        <w:t xml:space="preserve"> </w:t>
      </w:r>
      <w:r>
        <w:rPr>
          <w:spacing w:val="-2"/>
        </w:rPr>
        <w:t>The</w:t>
      </w:r>
      <w:r>
        <w:t xml:space="preserve"> </w:t>
      </w:r>
      <w:r>
        <w:rPr>
          <w:spacing w:val="-2"/>
        </w:rPr>
        <w:t>ICRC’s</w:t>
      </w:r>
      <w:r>
        <w:rPr>
          <w:spacing w:val="49"/>
        </w:rPr>
        <w:t xml:space="preserve"> </w:t>
      </w:r>
      <w:r>
        <w:t>final</w:t>
      </w:r>
      <w:r>
        <w:rPr>
          <w:spacing w:val="-1"/>
        </w:rPr>
        <w:t xml:space="preserve"> </w:t>
      </w:r>
      <w:hyperlink w:anchor="_bookmark69" w:history="1">
        <w:r>
          <w:t>decision for 2013-14</w:t>
        </w:r>
        <w:r>
          <w:rPr>
            <w:spacing w:val="-1"/>
          </w:rPr>
          <w:t xml:space="preserve"> </w:t>
        </w:r>
        <w:r>
          <w:t xml:space="preserve">and 2014-15 </w:t>
        </w:r>
        <w:r>
          <w:rPr>
            <w:spacing w:val="-4"/>
          </w:rPr>
          <w:t>(Table</w:t>
        </w:r>
        <w:r>
          <w:rPr>
            <w:spacing w:val="-1"/>
          </w:rPr>
          <w:t xml:space="preserve"> </w:t>
        </w:r>
        <w:r>
          <w:t>9.8</w:t>
        </w:r>
      </w:hyperlink>
      <w:r>
        <w:t xml:space="preserve">) </w:t>
      </w:r>
      <w:r>
        <w:rPr>
          <w:spacing w:val="-1"/>
        </w:rPr>
        <w:t>broadly</w:t>
      </w:r>
      <w:r>
        <w:t xml:space="preserve"> accepted</w:t>
      </w:r>
      <w:r>
        <w:rPr>
          <w:spacing w:val="-4"/>
        </w:rPr>
        <w:t xml:space="preserve"> </w:t>
      </w:r>
      <w:r>
        <w:rPr>
          <w:spacing w:val="-2"/>
        </w:rPr>
        <w:t>ACTEW’s</w:t>
      </w:r>
      <w:r>
        <w:rPr>
          <w:spacing w:val="-1"/>
        </w:rPr>
        <w:t xml:space="preserve"> revised</w:t>
      </w:r>
      <w:r>
        <w:t xml:space="preserve"> </w:t>
      </w:r>
      <w:r>
        <w:rPr>
          <w:spacing w:val="-1"/>
        </w:rPr>
        <w:t>expenditure</w:t>
      </w:r>
      <w:r>
        <w:t xml:space="preserve"> for</w:t>
      </w:r>
      <w:r>
        <w:rPr>
          <w:spacing w:val="33"/>
        </w:rPr>
        <w:t xml:space="preserve"> </w:t>
      </w:r>
      <w:r>
        <w:t xml:space="preserve">these </w:t>
      </w:r>
      <w:r>
        <w:rPr>
          <w:spacing w:val="-1"/>
        </w:rPr>
        <w:t>years,</w:t>
      </w:r>
      <w:r>
        <w:rPr>
          <w:spacing w:val="-5"/>
        </w:rPr>
        <w:t xml:space="preserve"> </w:t>
      </w:r>
      <w:r>
        <w:rPr>
          <w:spacing w:val="-1"/>
        </w:rPr>
        <w:t>except</w:t>
      </w:r>
      <w:r>
        <w:rPr>
          <w:spacing w:val="1"/>
        </w:rPr>
        <w:t xml:space="preserve"> </w:t>
      </w:r>
      <w:r>
        <w:t>for</w:t>
      </w:r>
      <w:r>
        <w:rPr>
          <w:spacing w:val="1"/>
        </w:rPr>
        <w:t xml:space="preserve"> </w:t>
      </w:r>
      <w:r>
        <w:t>a</w:t>
      </w:r>
      <w:r>
        <w:rPr>
          <w:spacing w:val="1"/>
        </w:rPr>
        <w:t xml:space="preserve"> </w:t>
      </w:r>
      <w:r>
        <w:t>minor adjustment</w:t>
      </w:r>
      <w:r>
        <w:rPr>
          <w:spacing w:val="1"/>
        </w:rPr>
        <w:t xml:space="preserve"> </w:t>
      </w:r>
      <w:r>
        <w:rPr>
          <w:spacing w:val="-1"/>
        </w:rPr>
        <w:t>downwards</w:t>
      </w:r>
      <w:r>
        <w:rPr>
          <w:spacing w:val="1"/>
        </w:rPr>
        <w:t xml:space="preserve"> </w:t>
      </w:r>
      <w:r>
        <w:t>of</w:t>
      </w:r>
      <w:r>
        <w:rPr>
          <w:spacing w:val="5"/>
        </w:rPr>
        <w:t xml:space="preserve"> </w:t>
      </w:r>
      <w:r>
        <w:t>$0.6</w:t>
      </w:r>
      <w:r>
        <w:rPr>
          <w:spacing w:val="1"/>
        </w:rPr>
        <w:t xml:space="preserve"> </w:t>
      </w:r>
      <w:r>
        <w:t>million</w:t>
      </w:r>
      <w:r>
        <w:rPr>
          <w:spacing w:val="1"/>
        </w:rPr>
        <w:t xml:space="preserve"> </w:t>
      </w:r>
      <w:r>
        <w:t xml:space="preserve">(0.4% </w:t>
      </w:r>
      <w:r>
        <w:rPr>
          <w:spacing w:val="-1"/>
        </w:rPr>
        <w:t>pa).</w:t>
      </w:r>
      <w:r>
        <w:rPr>
          <w:spacing w:val="-1"/>
          <w:position w:val="7"/>
          <w:sz w:val="11"/>
          <w:szCs w:val="11"/>
        </w:rPr>
        <w:t>116</w:t>
      </w:r>
      <w:r>
        <w:rPr>
          <w:spacing w:val="24"/>
          <w:position w:val="7"/>
          <w:sz w:val="11"/>
          <w:szCs w:val="11"/>
        </w:rPr>
        <w:t xml:space="preserve"> </w:t>
      </w:r>
      <w:r>
        <w:rPr>
          <w:rFonts w:cs="Avenir Next"/>
          <w:spacing w:val="-1"/>
        </w:rPr>
        <w:t>(More</w:t>
      </w:r>
      <w:r>
        <w:rPr>
          <w:rFonts w:cs="Avenir Next"/>
          <w:spacing w:val="1"/>
        </w:rPr>
        <w:t xml:space="preserve"> </w:t>
      </w:r>
      <w:r>
        <w:rPr>
          <w:rFonts w:cs="Avenir Next"/>
          <w:spacing w:val="-1"/>
        </w:rPr>
        <w:t>information</w:t>
      </w:r>
      <w:r>
        <w:rPr>
          <w:rFonts w:cs="Avenir Next"/>
          <w:spacing w:val="53"/>
        </w:rPr>
        <w:t xml:space="preserve"> </w:t>
      </w:r>
      <w:r>
        <w:t xml:space="preserve">on the </w:t>
      </w:r>
      <w:r>
        <w:rPr>
          <w:spacing w:val="-2"/>
        </w:rPr>
        <w:t>ICRC’s</w:t>
      </w:r>
      <w:r>
        <w:t xml:space="preserve"> </w:t>
      </w:r>
      <w:r>
        <w:rPr>
          <w:spacing w:val="-1"/>
        </w:rPr>
        <w:t>reasoning</w:t>
      </w:r>
      <w:r>
        <w:t xml:space="preserve"> for this decision is </w:t>
      </w:r>
      <w:r>
        <w:rPr>
          <w:spacing w:val="-1"/>
        </w:rPr>
        <w:t>provided</w:t>
      </w:r>
      <w:r>
        <w:t xml:space="preserve"> in </w:t>
      </w:r>
      <w:r>
        <w:rPr>
          <w:spacing w:val="-1"/>
        </w:rPr>
        <w:t>Box</w:t>
      </w:r>
      <w:r>
        <w:t xml:space="preserve"> 9.1.)</w:t>
      </w:r>
    </w:p>
    <w:p w:rsidR="00D96B91" w:rsidRDefault="00C2656B">
      <w:pPr>
        <w:tabs>
          <w:tab w:val="left" w:pos="3120"/>
        </w:tabs>
        <w:spacing w:before="158"/>
        <w:ind w:left="1247"/>
        <w:rPr>
          <w:rFonts w:ascii="Avenir Next" w:eastAsia="Avenir Next" w:hAnsi="Avenir Next" w:cs="Avenir Next"/>
          <w:sz w:val="20"/>
          <w:szCs w:val="20"/>
        </w:rPr>
      </w:pPr>
      <w:bookmarkStart w:id="116" w:name="_bookmark69"/>
      <w:bookmarkEnd w:id="116"/>
      <w:r>
        <w:rPr>
          <w:rFonts w:ascii="Avenir Next" w:eastAsia="Avenir Next" w:hAnsi="Avenir Next" w:cs="Avenir Next"/>
          <w:b/>
          <w:bCs/>
          <w:spacing w:val="-6"/>
          <w:sz w:val="20"/>
          <w:szCs w:val="20"/>
        </w:rPr>
        <w:t>Table</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9.8:</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ICRC</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fi</w:t>
      </w:r>
      <w:r w:rsidR="00B45286">
        <w:rPr>
          <w:rFonts w:ascii="Avenir Next" w:eastAsia="Avenir Next" w:hAnsi="Avenir Next" w:cs="Avenir Next"/>
          <w:b/>
          <w:bCs/>
          <w:spacing w:val="-1"/>
          <w:sz w:val="20"/>
          <w:szCs w:val="20"/>
        </w:rPr>
        <w:t>nal</w:t>
      </w:r>
      <w:r>
        <w:rPr>
          <w:rFonts w:ascii="Avenir Next" w:eastAsia="Avenir Next" w:hAnsi="Avenir Next" w:cs="Avenir Next"/>
          <w:b/>
          <w:bCs/>
          <w:spacing w:val="-1"/>
          <w:sz w:val="20"/>
          <w:szCs w:val="20"/>
        </w:rPr>
        <w:tab/>
      </w:r>
      <w:r>
        <w:rPr>
          <w:rFonts w:ascii="Avenir Next" w:eastAsia="Avenir Next" w:hAnsi="Avenir Next" w:cs="Avenir Next"/>
          <w:b/>
          <w:bCs/>
          <w:spacing w:val="-2"/>
          <w:sz w:val="20"/>
          <w:szCs w:val="20"/>
        </w:rPr>
        <w:t>decision</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w:t>
      </w:r>
      <w:r>
        <w:rPr>
          <w:rFonts w:ascii="Avenir Next" w:eastAsia="Avenir Next" w:hAnsi="Avenir Next" w:cs="Avenir Next"/>
          <w:b/>
          <w:bCs/>
          <w:spacing w:val="-4"/>
          <w:sz w:val="20"/>
          <w:szCs w:val="20"/>
        </w:rPr>
        <w:t xml:space="preserve"> Forecast </w:t>
      </w:r>
      <w:r>
        <w:rPr>
          <w:rFonts w:ascii="Avenir Next" w:eastAsia="Avenir Next" w:hAnsi="Avenir Next" w:cs="Avenir Next"/>
          <w:b/>
          <w:bCs/>
          <w:spacing w:val="-2"/>
          <w:sz w:val="20"/>
          <w:szCs w:val="20"/>
        </w:rPr>
        <w:t>capital</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3"/>
          <w:sz w:val="20"/>
          <w:szCs w:val="20"/>
        </w:rPr>
        <w:t>expenditure</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(net</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of</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capital</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contributions)</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($m,</w:t>
      </w:r>
      <w:r>
        <w:rPr>
          <w:rFonts w:ascii="Avenir Next" w:eastAsia="Avenir Next" w:hAnsi="Avenir Next" w:cs="Avenir Next"/>
          <w:b/>
          <w:bCs/>
          <w:spacing w:val="-10"/>
          <w:sz w:val="20"/>
          <w:szCs w:val="20"/>
        </w:rPr>
        <w:t xml:space="preserve"> </w:t>
      </w:r>
      <w:r>
        <w:rPr>
          <w:rFonts w:ascii="Avenir Next" w:eastAsia="Avenir Next" w:hAnsi="Avenir Next" w:cs="Avenir Next"/>
          <w:b/>
          <w:bCs/>
          <w:spacing w:val="-2"/>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3841"/>
        <w:gridCol w:w="1390"/>
        <w:gridCol w:w="1390"/>
        <w:gridCol w:w="1390"/>
        <w:gridCol w:w="1390"/>
      </w:tblGrid>
      <w:tr w:rsidR="00D96B91">
        <w:trPr>
          <w:trHeight w:hRule="exact" w:val="407"/>
        </w:trPr>
        <w:tc>
          <w:tcPr>
            <w:tcW w:w="3841"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2780"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Water</w:t>
            </w:r>
          </w:p>
        </w:tc>
        <w:tc>
          <w:tcPr>
            <w:tcW w:w="2780"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Sewerage</w:t>
            </w:r>
          </w:p>
        </w:tc>
      </w:tr>
      <w:tr w:rsidR="00D96B91">
        <w:trPr>
          <w:trHeight w:hRule="exact" w:val="407"/>
        </w:trPr>
        <w:tc>
          <w:tcPr>
            <w:tcW w:w="3841" w:type="dxa"/>
            <w:vMerge/>
            <w:tcBorders>
              <w:left w:val="single" w:sz="4" w:space="0" w:color="1A9EDA"/>
              <w:bottom w:val="single" w:sz="4" w:space="0" w:color="1A9EDA"/>
              <w:right w:val="single" w:sz="4" w:space="0" w:color="1A9EDA"/>
            </w:tcBorders>
            <w:shd w:val="clear" w:color="auto" w:fill="0778BE"/>
          </w:tcPr>
          <w:p w:rsidR="00D96B91" w:rsidRDefault="00D96B91"/>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trPr>
          <w:trHeight w:hRule="exact" w:val="627"/>
        </w:trPr>
        <w:tc>
          <w:tcPr>
            <w:tcW w:w="384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rsidP="00B45286">
            <w:pPr>
              <w:pStyle w:val="TableParagraph"/>
              <w:spacing w:before="112" w:line="220" w:lineRule="exact"/>
              <w:ind w:left="108" w:right="405"/>
              <w:rPr>
                <w:rFonts w:ascii="Avenir Next Condensed" w:eastAsia="Avenir Next Condensed" w:hAnsi="Avenir Next Condensed" w:cs="Avenir Next Condensed"/>
                <w:sz w:val="18"/>
                <w:szCs w:val="18"/>
              </w:rPr>
            </w:pPr>
            <w:r>
              <w:rPr>
                <w:rFonts w:ascii="Avenir Next Condensed"/>
                <w:spacing w:val="-1"/>
                <w:sz w:val="18"/>
              </w:rPr>
              <w:t>Forecast</w:t>
            </w:r>
            <w:r>
              <w:rPr>
                <w:rFonts w:ascii="Avenir Next Condensed"/>
                <w:sz w:val="18"/>
              </w:rPr>
              <w:t xml:space="preserve"> capital </w:t>
            </w:r>
            <w:r>
              <w:rPr>
                <w:rFonts w:ascii="Avenir Next Condensed"/>
                <w:spacing w:val="-1"/>
                <w:sz w:val="18"/>
              </w:rPr>
              <w:t>expenditure</w:t>
            </w:r>
            <w:r>
              <w:rPr>
                <w:rFonts w:ascii="Avenir Next Condensed"/>
                <w:spacing w:val="29"/>
                <w:sz w:val="18"/>
              </w:rPr>
              <w:t xml:space="preserve"> </w:t>
            </w:r>
            <w:r w:rsidR="00B45286">
              <w:rPr>
                <w:rFonts w:ascii="Avenir Next Condensed"/>
                <w:sz w:val="18"/>
              </w:rPr>
              <w:t>(net</w:t>
            </w:r>
            <w:r w:rsidR="00B45286">
              <w:rPr>
                <w:rFonts w:ascii="Avenir Next Condensed"/>
                <w:sz w:val="18"/>
              </w:rPr>
              <w:t> </w:t>
            </w:r>
            <w:r>
              <w:rPr>
                <w:rFonts w:ascii="Avenir Next Condensed"/>
                <w:sz w:val="18"/>
              </w:rPr>
              <w:t>of</w:t>
            </w:r>
            <w:r w:rsidR="00B45286">
              <w:rPr>
                <w:rFonts w:ascii="Avenir Next Condensed"/>
                <w:spacing w:val="4"/>
                <w:sz w:val="18"/>
              </w:rPr>
              <w:t> </w:t>
            </w:r>
            <w:r>
              <w:rPr>
                <w:rFonts w:ascii="Avenir Next Condensed"/>
                <w:sz w:val="18"/>
              </w:rPr>
              <w:t>capita</w:t>
            </w:r>
            <w:r w:rsidR="00B45286">
              <w:rPr>
                <w:rFonts w:ascii="Avenir Next Condensed"/>
                <w:sz w:val="18"/>
              </w:rPr>
              <w:t>l</w:t>
            </w:r>
            <w:r w:rsidR="00B45286">
              <w:rPr>
                <w:rFonts w:ascii="Avenir Next Condensed"/>
                <w:sz w:val="18"/>
              </w:rPr>
              <w:t> </w:t>
            </w:r>
            <w:r>
              <w:rPr>
                <w:rFonts w:ascii="Avenir Next Condensed"/>
                <w:sz w:val="18"/>
              </w:rPr>
              <w:t>contributions)</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24.25</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37.81</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31.87</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65.11</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z w:val="16"/>
        </w:rPr>
        <w:t>p146.</w:t>
      </w:r>
    </w:p>
    <w:p w:rsidR="00D96B91" w:rsidRDefault="00D96B91">
      <w:pPr>
        <w:spacing w:before="7"/>
        <w:rPr>
          <w:rFonts w:ascii="Avenir Next" w:eastAsia="Avenir Next" w:hAnsi="Avenir Next" w:cs="Avenir Next"/>
          <w:sz w:val="23"/>
          <w:szCs w:val="23"/>
        </w:rPr>
      </w:pPr>
    </w:p>
    <w:p w:rsidR="00D96B91" w:rsidRDefault="00C2656B">
      <w:pPr>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9.1: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review</w:t>
      </w:r>
      <w:r>
        <w:rPr>
          <w:rFonts w:ascii="Avenir Next" w:eastAsia="Avenir Next" w:hAnsi="Avenir Next" w:cs="Avenir Next"/>
          <w:b/>
          <w:bCs/>
          <w:sz w:val="20"/>
          <w:szCs w:val="20"/>
        </w:rPr>
        <w:t xml:space="preserve"> of</w:t>
      </w:r>
      <w:r>
        <w:rPr>
          <w:rFonts w:ascii="Avenir Next" w:eastAsia="Avenir Next" w:hAnsi="Avenir Next" w:cs="Avenir Next"/>
          <w:b/>
          <w:bCs/>
          <w:spacing w:val="1"/>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capital </w:t>
      </w:r>
      <w:r>
        <w:rPr>
          <w:rFonts w:ascii="Avenir Next" w:eastAsia="Avenir Next" w:hAnsi="Avenir Next" w:cs="Avenir Next"/>
          <w:b/>
          <w:bCs/>
          <w:spacing w:val="-1"/>
          <w:sz w:val="20"/>
          <w:szCs w:val="20"/>
        </w:rPr>
        <w:t>expenditure</w:t>
      </w:r>
    </w:p>
    <w:p w:rsidR="00D96B91" w:rsidRDefault="00D96B91">
      <w:pPr>
        <w:spacing w:before="13"/>
        <w:rPr>
          <w:rFonts w:ascii="Avenir Next" w:eastAsia="Avenir Next" w:hAnsi="Avenir Next" w:cs="Avenir Next"/>
          <w:b/>
          <w:bCs/>
          <w:sz w:val="14"/>
          <w:szCs w:val="14"/>
        </w:rPr>
      </w:pPr>
    </w:p>
    <w:p w:rsidR="00D96B91" w:rsidRDefault="00B45286">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pict>
          <v:shape id="_x0000_s3641" type="#_x0000_t202" style="position:absolute;left:0;text-align:left;margin-left:64.85pt;margin-top:18.1pt;width:453.7pt;height:88.65pt;z-index:251659264" filled="f" stroked="f">
            <v:textbox style="mso-next-textbox:#_x0000_s3641">
              <w:txbxContent>
                <w:p w:rsidR="008A79D5" w:rsidRDefault="008A79D5">
                  <w:r w:rsidRPr="00B45286">
                    <w:rPr>
                      <w:rFonts w:ascii="Avenir Next Condensed"/>
                      <w:spacing w:val="-3"/>
                      <w:sz w:val="20"/>
                    </w:rPr>
                    <w:t>The ICRC commissioned Cardno to review the prudence and efficiency of ACTEW</w:t>
                  </w:r>
                  <w:r w:rsidRPr="00B45286">
                    <w:rPr>
                      <w:rFonts w:ascii="Avenir Next Condensed"/>
                      <w:spacing w:val="-3"/>
                      <w:sz w:val="20"/>
                    </w:rPr>
                    <w:t>’</w:t>
                  </w:r>
                  <w:r w:rsidRPr="00B45286">
                    <w:rPr>
                      <w:rFonts w:ascii="Avenir Next Condensed"/>
                      <w:spacing w:val="-3"/>
                      <w:sz w:val="20"/>
                    </w:rPr>
                    <w:t>s proposed capital expenditure program for this regulatory period.117 In its November 2012 report, Cardno raised a number of concerns about ACTEW</w:t>
                  </w:r>
                  <w:r w:rsidRPr="00B45286">
                    <w:rPr>
                      <w:rFonts w:ascii="Avenir Next Condensed"/>
                      <w:spacing w:val="-3"/>
                      <w:sz w:val="20"/>
                    </w:rPr>
                    <w:t>’</w:t>
                  </w:r>
                  <w:r w:rsidRPr="00B45286">
                    <w:rPr>
                      <w:rFonts w:ascii="Avenir Next Condensed"/>
                      <w:spacing w:val="-3"/>
                      <w:sz w:val="20"/>
                    </w:rPr>
                    <w:t>s capital expenditure forecasts. ACTEW</w:t>
                  </w:r>
                  <w:r w:rsidRPr="00B45286">
                    <w:rPr>
                      <w:rFonts w:ascii="Avenir Next Condensed"/>
                      <w:spacing w:val="-3"/>
                      <w:sz w:val="20"/>
                    </w:rPr>
                    <w:t>’</w:t>
                  </w:r>
                  <w:r w:rsidRPr="00B45286">
                    <w:rPr>
                      <w:rFonts w:ascii="Avenir Next Condensed"/>
                      <w:spacing w:val="-3"/>
                      <w:sz w:val="20"/>
                    </w:rPr>
                    <w:t>s April 2013 submission to the ICRC</w:t>
                  </w:r>
                  <w:r w:rsidRPr="00B45286">
                    <w:rPr>
                      <w:rFonts w:ascii="Avenir Next Condensed"/>
                      <w:spacing w:val="-3"/>
                      <w:sz w:val="20"/>
                    </w:rPr>
                    <w:t>’</w:t>
                  </w:r>
                  <w:r w:rsidRPr="00B45286">
                    <w:rPr>
                      <w:rFonts w:ascii="Avenir Next Condensed"/>
                      <w:spacing w:val="-3"/>
                      <w:sz w:val="20"/>
                    </w:rPr>
                    <w:t>s draft report included a revised five-year capital expenditure forecast, which was lower (in total) than the forecast contained in the initial submission reviewed by Cardno, and included a significant re-profiling of projects to later in the 2013 to 2018 period. ACTEW submitted that since its July 2012 submission it had:</w:t>
                  </w:r>
                </w:p>
              </w:txbxContent>
            </v:textbox>
          </v:shape>
        </w:pict>
      </w:r>
      <w:r w:rsidR="00D96B91" w:rsidRPr="00D96B91">
        <w:rPr>
          <w:rFonts w:ascii="Avenir Next" w:eastAsia="Avenir Next" w:hAnsi="Avenir Next" w:cs="Avenir Next"/>
          <w:sz w:val="20"/>
          <w:szCs w:val="20"/>
        </w:rPr>
      </w:r>
      <w:r>
        <w:rPr>
          <w:rFonts w:ascii="Avenir Next" w:eastAsia="Avenir Next" w:hAnsi="Avenir Next" w:cs="Avenir Next"/>
          <w:sz w:val="20"/>
          <w:szCs w:val="20"/>
        </w:rPr>
        <w:pict>
          <v:group id="_x0000_s3149" style="width:470.55pt;height:364.8pt;mso-position-horizontal-relative:char;mso-position-vertical-relative:line" coordsize="9411,5874">
            <v:group id="_x0000_s3150" style="position:absolute;width:9411;height:5874" coordsize="9411,5874">
              <v:shape id="_x0000_s3158" style="position:absolute;width:9411;height:5874" coordsize="9411,5874" path="m,5873r9411,l9411,,,,,5873xe" fillcolor="#dff3fd" stroked="f">
                <v:path arrowok="t"/>
              </v:shape>
              <v:shape id="_x0000_s3157" type="#_x0000_t202" style="position:absolute;left:170;top:224;width:4296;height:200" filled="f" stroked="f">
                <v:textbox style="mso-next-textbox:#_x0000_s3157" inset="0,0,0,0">
                  <w:txbxContent>
                    <w:p w:rsidR="008A79D5" w:rsidRPr="00B45286" w:rsidRDefault="008A79D5" w:rsidP="00B45286">
                      <w:pPr>
                        <w:rPr>
                          <w:szCs w:val="20"/>
                        </w:rPr>
                      </w:pPr>
                    </w:p>
                  </w:txbxContent>
                </v:textbox>
              </v:shape>
              <v:shape id="_x0000_s3156" type="#_x0000_t202" style="position:absolute;left:4921;top:224;width:3893;height:200" filled="f" stroked="f">
                <v:textbox style="mso-next-textbox:#_x0000_s3156" inset="0,0,0,0">
                  <w:txbxContent>
                    <w:p w:rsidR="008A79D5" w:rsidRPr="00B45286" w:rsidRDefault="008A79D5" w:rsidP="00B45286">
                      <w:pPr>
                        <w:rPr>
                          <w:szCs w:val="20"/>
                        </w:rPr>
                      </w:pPr>
                    </w:p>
                  </w:txbxContent>
                </v:textbox>
              </v:shape>
              <v:shape id="_x0000_s3155" type="#_x0000_t202" style="position:absolute;left:170;top:478;width:8997;height:466" filled="f" stroked="f">
                <v:textbox style="mso-next-textbox:#_x0000_s3155" inset="0,0,0,0">
                  <w:txbxContent>
                    <w:p w:rsidR="008A79D5" w:rsidRPr="00B45286" w:rsidRDefault="008A79D5" w:rsidP="00B45286">
                      <w:pPr>
                        <w:rPr>
                          <w:szCs w:val="20"/>
                        </w:rPr>
                      </w:pPr>
                    </w:p>
                  </w:txbxContent>
                </v:textbox>
              </v:shape>
              <v:shape id="_x0000_s3154" type="#_x0000_t202" style="position:absolute;left:170;top:1004;width:6802;height:460" filled="f" stroked="f">
                <v:textbox style="mso-next-textbox:#_x0000_s3154" inset="0,0,0,0">
                  <w:txbxContent>
                    <w:p w:rsidR="008A79D5" w:rsidRPr="00B45286" w:rsidRDefault="008A79D5" w:rsidP="00B45286">
                      <w:pPr>
                        <w:rPr>
                          <w:szCs w:val="20"/>
                        </w:rPr>
                      </w:pPr>
                    </w:p>
                  </w:txbxContent>
                </v:textbox>
              </v:shape>
              <v:shape id="_x0000_s3153" type="#_x0000_t202" style="position:absolute;left:7291;top:1004;width:496;height:200" filled="f" stroked="f">
                <v:textbox style="mso-next-textbox:#_x0000_s3153" inset="0,0,0,0">
                  <w:txbxContent>
                    <w:p w:rsidR="008A79D5" w:rsidRPr="00B45286" w:rsidRDefault="008A79D5" w:rsidP="00B45286">
                      <w:pPr>
                        <w:rPr>
                          <w:szCs w:val="20"/>
                        </w:rPr>
                      </w:pPr>
                    </w:p>
                  </w:txbxContent>
                </v:textbox>
              </v:shape>
              <v:shape id="_x0000_s3152" type="#_x0000_t202" style="position:absolute;left:8089;top:1004;width:873;height:200" filled="f" stroked="f">
                <v:textbox style="mso-next-textbox:#_x0000_s3152" inset="0,0,0,0">
                  <w:txbxContent>
                    <w:p w:rsidR="008A79D5" w:rsidRPr="00B45286" w:rsidRDefault="008A79D5" w:rsidP="00B45286">
                      <w:pPr>
                        <w:rPr>
                          <w:szCs w:val="20"/>
                        </w:rPr>
                      </w:pPr>
                    </w:p>
                  </w:txbxContent>
                </v:textbox>
              </v:shape>
              <v:shape id="_x0000_s3151" type="#_x0000_t202" style="position:absolute;left:170;top:1637;width:8990;height:3977" filled="f" stroked="f">
                <v:textbox style="mso-next-textbox:#_x0000_s3151" inset="0,0,0,0">
                  <w:txbxContent>
                    <w:p w:rsidR="008A79D5" w:rsidRPr="00B45286" w:rsidRDefault="008A79D5" w:rsidP="00B45286">
                      <w:pPr>
                        <w:numPr>
                          <w:ilvl w:val="0"/>
                          <w:numId w:val="73"/>
                        </w:numPr>
                        <w:tabs>
                          <w:tab w:val="left" w:pos="227"/>
                        </w:tabs>
                        <w:spacing w:line="267" w:lineRule="exact"/>
                        <w:ind w:hanging="226"/>
                        <w:rPr>
                          <w:rFonts w:ascii="Avenir Next Condensed" w:eastAsia="Avenir Next Condensed" w:hAnsi="Avenir Next Condensed" w:cs="Avenir Next Condensed"/>
                          <w:sz w:val="20"/>
                          <w:szCs w:val="20"/>
                        </w:rPr>
                      </w:pPr>
                      <w:r w:rsidRPr="00B45286">
                        <w:rPr>
                          <w:rFonts w:ascii="Avenir Next Condensed"/>
                          <w:spacing w:val="-2"/>
                          <w:sz w:val="20"/>
                        </w:rPr>
                        <w:t>Adopted</w:t>
                      </w:r>
                      <w:r w:rsidRPr="00B45286">
                        <w:rPr>
                          <w:rFonts w:ascii="Avenir Next Condensed"/>
                          <w:spacing w:val="-4"/>
                          <w:sz w:val="20"/>
                        </w:rPr>
                        <w:t xml:space="preserve"> </w:t>
                      </w:r>
                      <w:r w:rsidRPr="00B45286">
                        <w:rPr>
                          <w:rFonts w:ascii="Avenir Next Condensed"/>
                          <w:sz w:val="20"/>
                        </w:rPr>
                        <w:t>a</w:t>
                      </w:r>
                      <w:r w:rsidRPr="00B45286">
                        <w:rPr>
                          <w:rFonts w:ascii="Avenir Next Condensed"/>
                          <w:spacing w:val="-4"/>
                          <w:sz w:val="20"/>
                        </w:rPr>
                        <w:t xml:space="preserve"> </w:t>
                      </w:r>
                      <w:r w:rsidRPr="00B45286">
                        <w:rPr>
                          <w:rFonts w:ascii="Avenir Next Condensed"/>
                          <w:spacing w:val="-2"/>
                          <w:sz w:val="20"/>
                        </w:rPr>
                        <w:t>new</w:t>
                      </w:r>
                      <w:r w:rsidRPr="00B45286">
                        <w:rPr>
                          <w:rFonts w:ascii="Avenir Next Condensed"/>
                          <w:spacing w:val="-4"/>
                          <w:sz w:val="20"/>
                        </w:rPr>
                        <w:t xml:space="preserve"> </w:t>
                      </w:r>
                      <w:r w:rsidRPr="00B45286">
                        <w:rPr>
                          <w:rFonts w:ascii="Avenir Next Condensed"/>
                          <w:spacing w:val="-2"/>
                          <w:sz w:val="20"/>
                        </w:rPr>
                        <w:t>and</w:t>
                      </w:r>
                      <w:r w:rsidRPr="00B45286">
                        <w:rPr>
                          <w:rFonts w:ascii="Avenir Next Condensed"/>
                          <w:spacing w:val="-4"/>
                          <w:sz w:val="20"/>
                        </w:rPr>
                        <w:t xml:space="preserve"> </w:t>
                      </w:r>
                      <w:r w:rsidRPr="00B45286">
                        <w:rPr>
                          <w:rFonts w:ascii="Avenir Next Condensed"/>
                          <w:spacing w:val="-2"/>
                          <w:sz w:val="20"/>
                        </w:rPr>
                        <w:t>improved</w:t>
                      </w:r>
                      <w:r w:rsidRPr="00B45286">
                        <w:rPr>
                          <w:rFonts w:ascii="Avenir Next Condensed"/>
                          <w:spacing w:val="-4"/>
                          <w:sz w:val="20"/>
                        </w:rPr>
                        <w:t xml:space="preserve"> </w:t>
                      </w:r>
                      <w:r w:rsidRPr="00B45286">
                        <w:rPr>
                          <w:rFonts w:ascii="Avenir Next Condensed"/>
                          <w:spacing w:val="-2"/>
                          <w:sz w:val="20"/>
                        </w:rPr>
                        <w:t>capital</w:t>
                      </w:r>
                      <w:r w:rsidRPr="00B45286">
                        <w:rPr>
                          <w:rFonts w:ascii="Avenir Next Condensed"/>
                          <w:spacing w:val="-4"/>
                          <w:sz w:val="20"/>
                        </w:rPr>
                        <w:t xml:space="preserve"> </w:t>
                      </w:r>
                      <w:r w:rsidRPr="00B45286">
                        <w:rPr>
                          <w:rFonts w:ascii="Avenir Next Condensed"/>
                          <w:spacing w:val="-3"/>
                          <w:sz w:val="20"/>
                        </w:rPr>
                        <w:t>expenditure</w:t>
                      </w:r>
                      <w:r w:rsidRPr="00B45286">
                        <w:rPr>
                          <w:rFonts w:ascii="Avenir Next Condensed"/>
                          <w:spacing w:val="-4"/>
                          <w:sz w:val="20"/>
                        </w:rPr>
                        <w:t xml:space="preserve"> </w:t>
                      </w:r>
                      <w:r w:rsidRPr="00B45286">
                        <w:rPr>
                          <w:rFonts w:ascii="Avenir Next Condensed"/>
                          <w:spacing w:val="-2"/>
                          <w:sz w:val="20"/>
                        </w:rPr>
                        <w:t>planning</w:t>
                      </w:r>
                      <w:r w:rsidRPr="00B45286">
                        <w:rPr>
                          <w:rFonts w:ascii="Avenir Next Condensed"/>
                          <w:spacing w:val="-4"/>
                          <w:sz w:val="20"/>
                        </w:rPr>
                        <w:t xml:space="preserve"> </w:t>
                      </w:r>
                      <w:r w:rsidRPr="00B45286">
                        <w:rPr>
                          <w:rFonts w:ascii="Avenir Next Condensed"/>
                          <w:spacing w:val="-3"/>
                          <w:sz w:val="20"/>
                        </w:rPr>
                        <w:t>process,</w:t>
                      </w:r>
                      <w:r w:rsidRPr="00B45286">
                        <w:rPr>
                          <w:rFonts w:ascii="Avenir Next Condensed"/>
                          <w:spacing w:val="-10"/>
                          <w:sz w:val="20"/>
                        </w:rPr>
                        <w:t xml:space="preserve"> </w:t>
                      </w:r>
                      <w:r w:rsidRPr="00B45286">
                        <w:rPr>
                          <w:rFonts w:ascii="Avenir Next Condensed"/>
                          <w:spacing w:val="-2"/>
                          <w:sz w:val="20"/>
                        </w:rPr>
                        <w:t>which</w:t>
                      </w:r>
                      <w:r w:rsidRPr="00B45286">
                        <w:rPr>
                          <w:rFonts w:ascii="Avenir Next Condensed"/>
                          <w:spacing w:val="-4"/>
                          <w:sz w:val="20"/>
                        </w:rPr>
                        <w:t xml:space="preserve"> </w:t>
                      </w:r>
                      <w:r w:rsidRPr="00B45286">
                        <w:rPr>
                          <w:rFonts w:ascii="Avenir Next Condensed"/>
                          <w:spacing w:val="-2"/>
                          <w:sz w:val="20"/>
                        </w:rPr>
                        <w:t>would</w:t>
                      </w:r>
                      <w:r w:rsidRPr="00B45286">
                        <w:rPr>
                          <w:rFonts w:ascii="Avenir Next Condensed"/>
                          <w:spacing w:val="-4"/>
                          <w:sz w:val="20"/>
                        </w:rPr>
                        <w:t xml:space="preserve"> </w:t>
                      </w:r>
                      <w:r w:rsidRPr="00B45286">
                        <w:rPr>
                          <w:rFonts w:ascii="Avenir Next Condensed"/>
                          <w:spacing w:val="-1"/>
                          <w:sz w:val="20"/>
                        </w:rPr>
                        <w:t>be</w:t>
                      </w:r>
                      <w:r w:rsidRPr="00B45286">
                        <w:rPr>
                          <w:rFonts w:ascii="Avenir Next Condensed"/>
                          <w:spacing w:val="-4"/>
                          <w:sz w:val="20"/>
                        </w:rPr>
                        <w:t xml:space="preserve"> </w:t>
                      </w:r>
                      <w:r w:rsidRPr="00B45286">
                        <w:rPr>
                          <w:rFonts w:ascii="Avenir Next Condensed"/>
                          <w:spacing w:val="-2"/>
                          <w:sz w:val="20"/>
                        </w:rPr>
                        <w:t>applied</w:t>
                      </w:r>
                      <w:r w:rsidRPr="00B45286">
                        <w:rPr>
                          <w:rFonts w:ascii="Avenir Next Condensed"/>
                          <w:spacing w:val="-4"/>
                          <w:sz w:val="20"/>
                        </w:rPr>
                        <w:t xml:space="preserve"> </w:t>
                      </w:r>
                      <w:r w:rsidRPr="00B45286">
                        <w:rPr>
                          <w:rFonts w:ascii="Avenir Next Condensed"/>
                          <w:spacing w:val="-1"/>
                          <w:sz w:val="20"/>
                        </w:rPr>
                        <w:t>to</w:t>
                      </w:r>
                      <w:r w:rsidRPr="00B45286">
                        <w:rPr>
                          <w:rFonts w:ascii="Avenir Next Condensed"/>
                          <w:spacing w:val="-4"/>
                          <w:sz w:val="20"/>
                        </w:rPr>
                        <w:t xml:space="preserve"> </w:t>
                      </w:r>
                      <w:r w:rsidRPr="00B45286">
                        <w:rPr>
                          <w:rFonts w:ascii="Avenir Next Condensed"/>
                          <w:spacing w:val="-2"/>
                          <w:sz w:val="20"/>
                        </w:rPr>
                        <w:t>all</w:t>
                      </w:r>
                      <w:r w:rsidRPr="00B45286">
                        <w:rPr>
                          <w:rFonts w:ascii="Avenir Next Condensed"/>
                          <w:spacing w:val="-4"/>
                          <w:sz w:val="20"/>
                        </w:rPr>
                        <w:t xml:space="preserve"> </w:t>
                      </w:r>
                      <w:r w:rsidRPr="00B45286">
                        <w:rPr>
                          <w:rFonts w:ascii="Avenir Next Condensed"/>
                          <w:spacing w:val="-2"/>
                          <w:sz w:val="20"/>
                        </w:rPr>
                        <w:t>capital</w:t>
                      </w:r>
                      <w:r w:rsidRPr="00B45286">
                        <w:rPr>
                          <w:rFonts w:ascii="Avenir Next Condensed"/>
                          <w:spacing w:val="-4"/>
                          <w:sz w:val="20"/>
                        </w:rPr>
                        <w:t xml:space="preserve"> </w:t>
                      </w:r>
                      <w:r w:rsidRPr="00B45286">
                        <w:rPr>
                          <w:rFonts w:ascii="Avenir Next Condensed"/>
                          <w:spacing w:val="-3"/>
                          <w:sz w:val="20"/>
                        </w:rPr>
                        <w:t>expenditure</w:t>
                      </w:r>
                      <w:r w:rsidRPr="00B45286">
                        <w:rPr>
                          <w:rFonts w:ascii="Avenir Next Condensed"/>
                          <w:spacing w:val="-4"/>
                          <w:sz w:val="20"/>
                        </w:rPr>
                        <w:t xml:space="preserve"> </w:t>
                      </w:r>
                      <w:r w:rsidRPr="00B45286">
                        <w:rPr>
                          <w:rFonts w:ascii="Avenir Next Condensed"/>
                          <w:spacing w:val="-1"/>
                          <w:sz w:val="20"/>
                        </w:rPr>
                        <w:t>in</w:t>
                      </w:r>
                      <w:r w:rsidRPr="00B45286">
                        <w:rPr>
                          <w:rFonts w:ascii="Avenir Next Condensed"/>
                          <w:spacing w:val="-4"/>
                          <w:sz w:val="20"/>
                        </w:rPr>
                        <w:t xml:space="preserve"> </w:t>
                      </w:r>
                      <w:r w:rsidRPr="00B45286">
                        <w:rPr>
                          <w:rFonts w:ascii="Avenir Next Condensed"/>
                          <w:spacing w:val="-2"/>
                          <w:sz w:val="20"/>
                        </w:rPr>
                        <w:t>the</w:t>
                      </w:r>
                      <w:r>
                        <w:rPr>
                          <w:rFonts w:ascii="Avenir Next Condensed"/>
                          <w:spacing w:val="-2"/>
                          <w:sz w:val="20"/>
                        </w:rPr>
                        <w:t xml:space="preserve"> </w:t>
                      </w:r>
                      <w:r w:rsidRPr="00B45286">
                        <w:rPr>
                          <w:rFonts w:ascii="Avenir Next Condensed"/>
                          <w:spacing w:val="-2"/>
                          <w:sz w:val="20"/>
                        </w:rPr>
                        <w:t>current</w:t>
                      </w:r>
                      <w:r w:rsidRPr="00B45286">
                        <w:rPr>
                          <w:rFonts w:ascii="Avenir Next Condensed"/>
                          <w:spacing w:val="-4"/>
                          <w:sz w:val="20"/>
                        </w:rPr>
                        <w:t xml:space="preserve"> </w:t>
                      </w:r>
                      <w:r w:rsidRPr="00B45286">
                        <w:rPr>
                          <w:rFonts w:ascii="Avenir Next Condensed"/>
                          <w:spacing w:val="-2"/>
                          <w:sz w:val="20"/>
                        </w:rPr>
                        <w:t>regulatory</w:t>
                      </w:r>
                      <w:r w:rsidRPr="00B45286">
                        <w:rPr>
                          <w:rFonts w:ascii="Avenir Next Condensed"/>
                          <w:spacing w:val="-4"/>
                          <w:sz w:val="20"/>
                        </w:rPr>
                        <w:t xml:space="preserve"> </w:t>
                      </w:r>
                      <w:r w:rsidRPr="00B45286">
                        <w:rPr>
                          <w:rFonts w:ascii="Avenir Next Condensed"/>
                          <w:spacing w:val="-2"/>
                          <w:sz w:val="20"/>
                        </w:rPr>
                        <w:t>period.</w:t>
                      </w:r>
                    </w:p>
                    <w:p w:rsidR="008A79D5" w:rsidRDefault="008A79D5">
                      <w:pPr>
                        <w:numPr>
                          <w:ilvl w:val="0"/>
                          <w:numId w:val="73"/>
                        </w:numPr>
                        <w:tabs>
                          <w:tab w:val="left" w:pos="227"/>
                        </w:tabs>
                        <w:spacing w:before="43"/>
                        <w:ind w:hanging="226"/>
                        <w:rPr>
                          <w:rFonts w:ascii="Avenir Next Condensed" w:eastAsia="Avenir Next Condensed" w:hAnsi="Avenir Next Condensed" w:cs="Avenir Next Condensed"/>
                          <w:sz w:val="20"/>
                          <w:szCs w:val="20"/>
                        </w:rPr>
                      </w:pPr>
                      <w:r>
                        <w:rPr>
                          <w:rFonts w:ascii="Avenir Next Condensed"/>
                          <w:spacing w:val="-2"/>
                          <w:sz w:val="20"/>
                        </w:rPr>
                        <w:t>Updated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timing</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proposed</w:t>
                      </w:r>
                      <w:r>
                        <w:rPr>
                          <w:rFonts w:ascii="Avenir Next Condensed"/>
                          <w:spacing w:val="-4"/>
                          <w:sz w:val="20"/>
                        </w:rPr>
                        <w:t xml:space="preserve"> </w:t>
                      </w:r>
                      <w:r>
                        <w:rPr>
                          <w:rFonts w:ascii="Avenir Next Condensed"/>
                          <w:spacing w:val="-2"/>
                          <w:sz w:val="20"/>
                        </w:rPr>
                        <w:t>capital</w:t>
                      </w:r>
                      <w:r>
                        <w:rPr>
                          <w:rFonts w:ascii="Avenir Next Condensed"/>
                          <w:spacing w:val="-4"/>
                          <w:sz w:val="20"/>
                        </w:rPr>
                        <w:t xml:space="preserve"> </w:t>
                      </w:r>
                      <w:r>
                        <w:rPr>
                          <w:rFonts w:ascii="Avenir Next Condensed"/>
                          <w:spacing w:val="-3"/>
                          <w:sz w:val="20"/>
                        </w:rPr>
                        <w:t>expenditure</w:t>
                      </w:r>
                      <w:r>
                        <w:rPr>
                          <w:rFonts w:ascii="Avenir Next Condensed"/>
                          <w:spacing w:val="-4"/>
                          <w:sz w:val="20"/>
                        </w:rPr>
                        <w:t xml:space="preserve"> </w:t>
                      </w:r>
                      <w:r>
                        <w:rPr>
                          <w:rFonts w:ascii="Avenir Next Condensed"/>
                          <w:spacing w:val="-3"/>
                          <w:sz w:val="20"/>
                        </w:rPr>
                        <w:t>program</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adjusted</w:t>
                      </w:r>
                      <w:r>
                        <w:rPr>
                          <w:rFonts w:ascii="Avenir Next Condensed"/>
                          <w:spacing w:val="-4"/>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some</w:t>
                      </w:r>
                      <w:r>
                        <w:rPr>
                          <w:rFonts w:ascii="Avenir Next Condensed"/>
                          <w:spacing w:val="-4"/>
                          <w:sz w:val="20"/>
                        </w:rPr>
                        <w:t xml:space="preserve"> </w:t>
                      </w:r>
                      <w:r>
                        <w:rPr>
                          <w:rFonts w:ascii="Avenir Next Condensed"/>
                          <w:spacing w:val="-2"/>
                          <w:sz w:val="20"/>
                        </w:rPr>
                        <w:t>carryover</w:t>
                      </w:r>
                      <w:r>
                        <w:rPr>
                          <w:rFonts w:ascii="Avenir Next Condensed"/>
                          <w:spacing w:val="-4"/>
                          <w:sz w:val="20"/>
                        </w:rPr>
                        <w:t xml:space="preserve"> </w:t>
                      </w:r>
                      <w:r>
                        <w:rPr>
                          <w:rFonts w:ascii="Avenir Next Condensed"/>
                          <w:spacing w:val="-2"/>
                          <w:sz w:val="20"/>
                        </w:rPr>
                        <w:t>projects</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2012-13.</w:t>
                      </w:r>
                    </w:p>
                    <w:p w:rsidR="008A79D5" w:rsidRDefault="008A79D5">
                      <w:pPr>
                        <w:numPr>
                          <w:ilvl w:val="0"/>
                          <w:numId w:val="73"/>
                        </w:numPr>
                        <w:tabs>
                          <w:tab w:val="left" w:pos="227"/>
                          <w:tab w:val="left" w:pos="3149"/>
                        </w:tabs>
                        <w:spacing w:before="43"/>
                        <w:ind w:hanging="226"/>
                        <w:rPr>
                          <w:rFonts w:ascii="Avenir Next Condensed" w:eastAsia="Avenir Next Condensed" w:hAnsi="Avenir Next Condensed" w:cs="Avenir Next Condensed"/>
                          <w:sz w:val="20"/>
                          <w:szCs w:val="20"/>
                        </w:rPr>
                      </w:pPr>
                      <w:r>
                        <w:rPr>
                          <w:rFonts w:ascii="Avenir Next Condensed"/>
                          <w:spacing w:val="-2"/>
                          <w:sz w:val="20"/>
                        </w:rPr>
                        <w:t>Accepted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capital</w:t>
                      </w:r>
                      <w:r>
                        <w:rPr>
                          <w:rFonts w:ascii="Avenir Next Condensed"/>
                          <w:spacing w:val="-4"/>
                          <w:sz w:val="20"/>
                        </w:rPr>
                        <w:t xml:space="preserve"> </w:t>
                      </w:r>
                      <w:r>
                        <w:rPr>
                          <w:rFonts w:ascii="Avenir Next Condensed"/>
                          <w:spacing w:val="-3"/>
                          <w:sz w:val="20"/>
                        </w:rPr>
                        <w:t>expenditure</w:t>
                      </w:r>
                      <w:r>
                        <w:rPr>
                          <w:rFonts w:ascii="Avenir Next Condensed"/>
                          <w:spacing w:val="-4"/>
                          <w:sz w:val="20"/>
                        </w:rPr>
                        <w:t xml:space="preserve"> </w:t>
                      </w:r>
                      <w:r>
                        <w:rPr>
                          <w:rFonts w:ascii="Avenir Next Condensed"/>
                          <w:spacing w:val="-2"/>
                          <w:sz w:val="20"/>
                        </w:rPr>
                        <w:t>efficiency factors</w:t>
                      </w:r>
                      <w:r>
                        <w:rPr>
                          <w:rFonts w:ascii="Avenir Next Condensed"/>
                          <w:spacing w:val="-4"/>
                          <w:sz w:val="20"/>
                        </w:rPr>
                        <w:t xml:space="preserve"> </w:t>
                      </w:r>
                      <w:r>
                        <w:rPr>
                          <w:rFonts w:ascii="Avenir Next Condensed"/>
                          <w:spacing w:val="-2"/>
                          <w:sz w:val="20"/>
                        </w:rPr>
                        <w:t>recommended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3"/>
                          <w:sz w:val="20"/>
                        </w:rPr>
                        <w:t>Cardno.</w:t>
                      </w:r>
                    </w:p>
                    <w:p w:rsidR="008A79D5" w:rsidRDefault="008A79D5">
                      <w:pPr>
                        <w:numPr>
                          <w:ilvl w:val="0"/>
                          <w:numId w:val="73"/>
                        </w:numPr>
                        <w:tabs>
                          <w:tab w:val="left" w:pos="227"/>
                        </w:tabs>
                        <w:spacing w:before="43"/>
                        <w:ind w:hanging="226"/>
                        <w:rPr>
                          <w:rFonts w:ascii="Avenir Next Condensed" w:eastAsia="Avenir Next Condensed" w:hAnsi="Avenir Next Condensed" w:cs="Avenir Next Condensed"/>
                          <w:sz w:val="11"/>
                          <w:szCs w:val="11"/>
                        </w:rPr>
                      </w:pPr>
                      <w:r>
                        <w:rPr>
                          <w:rFonts w:ascii="Avenir Next Condensed"/>
                          <w:spacing w:val="-2"/>
                          <w:sz w:val="20"/>
                        </w:rPr>
                        <w:t>Applied</w:t>
                      </w:r>
                      <w:r>
                        <w:rPr>
                          <w:rFonts w:ascii="Avenir Next Condensed"/>
                          <w:spacing w:val="-4"/>
                          <w:sz w:val="20"/>
                        </w:rPr>
                        <w:t xml:space="preserve"> </w:t>
                      </w:r>
                      <w:r>
                        <w:rPr>
                          <w:rFonts w:ascii="Avenir Next Condensed"/>
                          <w:spacing w:val="-2"/>
                          <w:sz w:val="20"/>
                        </w:rPr>
                        <w:t>revised</w:t>
                      </w:r>
                      <w:r>
                        <w:rPr>
                          <w:rFonts w:ascii="Avenir Next Condensed"/>
                          <w:spacing w:val="-3"/>
                          <w:sz w:val="20"/>
                        </w:rPr>
                        <w:t xml:space="preserve"> </w:t>
                      </w:r>
                      <w:r>
                        <w:rPr>
                          <w:rFonts w:ascii="Avenir Next Condensed"/>
                          <w:spacing w:val="-2"/>
                          <w:sz w:val="20"/>
                        </w:rPr>
                        <w:t>construction</w:t>
                      </w:r>
                      <w:r>
                        <w:rPr>
                          <w:rFonts w:ascii="Avenir Next Condensed"/>
                          <w:spacing w:val="-3"/>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2"/>
                          <w:sz w:val="20"/>
                        </w:rPr>
                        <w:t>escalation</w:t>
                      </w:r>
                      <w:r>
                        <w:rPr>
                          <w:rFonts w:ascii="Avenir Next Condensed"/>
                          <w:spacing w:val="-3"/>
                          <w:sz w:val="20"/>
                        </w:rPr>
                        <w:t xml:space="preserve"> </w:t>
                      </w:r>
                      <w:r>
                        <w:rPr>
                          <w:rFonts w:ascii="Avenir Next Condensed"/>
                          <w:spacing w:val="-2"/>
                          <w:sz w:val="20"/>
                        </w:rPr>
                        <w:t>factors</w:t>
                      </w:r>
                      <w:r>
                        <w:rPr>
                          <w:rFonts w:ascii="Avenir Next Condensed"/>
                          <w:spacing w:val="-3"/>
                          <w:sz w:val="20"/>
                        </w:rPr>
                        <w:t xml:space="preserve"> </w:t>
                      </w:r>
                      <w:r>
                        <w:rPr>
                          <w:rFonts w:ascii="Avenir Next Condensed"/>
                          <w:spacing w:val="-2"/>
                          <w:sz w:val="20"/>
                        </w:rPr>
                        <w:t>that</w:t>
                      </w:r>
                      <w:r>
                        <w:rPr>
                          <w:rFonts w:ascii="Avenir Next Condensed"/>
                          <w:spacing w:val="-3"/>
                          <w:sz w:val="20"/>
                        </w:rPr>
                        <w:t xml:space="preserve"> </w:t>
                      </w:r>
                      <w:r>
                        <w:rPr>
                          <w:rFonts w:ascii="Avenir Next Condensed"/>
                          <w:spacing w:val="-2"/>
                          <w:sz w:val="20"/>
                        </w:rPr>
                        <w:t>more</w:t>
                      </w:r>
                      <w:r>
                        <w:rPr>
                          <w:rFonts w:ascii="Avenir Next Condensed"/>
                          <w:spacing w:val="-4"/>
                          <w:sz w:val="20"/>
                        </w:rPr>
                        <w:t xml:space="preserve"> </w:t>
                      </w:r>
                      <w:r>
                        <w:rPr>
                          <w:rFonts w:ascii="Avenir Next Condensed"/>
                          <w:spacing w:val="-2"/>
                          <w:sz w:val="20"/>
                        </w:rPr>
                        <w:t>closely</w:t>
                      </w:r>
                      <w:r>
                        <w:rPr>
                          <w:rFonts w:ascii="Avenir Next Condensed"/>
                          <w:spacing w:val="-3"/>
                          <w:sz w:val="20"/>
                        </w:rPr>
                        <w:t xml:space="preserve"> </w:t>
                      </w:r>
                      <w:r>
                        <w:rPr>
                          <w:rFonts w:ascii="Avenir Next Condensed"/>
                          <w:spacing w:val="-2"/>
                          <w:sz w:val="20"/>
                        </w:rPr>
                        <w:t>matched</w:t>
                      </w:r>
                      <w:r>
                        <w:rPr>
                          <w:rFonts w:ascii="Avenir Next Condensed"/>
                          <w:spacing w:val="-3"/>
                          <w:sz w:val="20"/>
                        </w:rPr>
                        <w:t xml:space="preserve"> </w:t>
                      </w:r>
                      <w:r>
                        <w:rPr>
                          <w:rFonts w:ascii="Avenir Next Condensed"/>
                          <w:spacing w:val="-2"/>
                          <w:sz w:val="20"/>
                        </w:rPr>
                        <w:t>those</w:t>
                      </w:r>
                      <w:r>
                        <w:rPr>
                          <w:rFonts w:ascii="Avenir Next Condensed"/>
                          <w:spacing w:val="-4"/>
                          <w:sz w:val="20"/>
                        </w:rPr>
                        <w:t xml:space="preserve"> </w:t>
                      </w:r>
                      <w:r>
                        <w:rPr>
                          <w:rFonts w:ascii="Avenir Next Condensed"/>
                          <w:spacing w:val="-2"/>
                          <w:sz w:val="20"/>
                        </w:rPr>
                        <w:t>recommended</w:t>
                      </w:r>
                      <w:r>
                        <w:rPr>
                          <w:rFonts w:ascii="Avenir Next Condensed"/>
                          <w:spacing w:val="-3"/>
                          <w:sz w:val="20"/>
                        </w:rPr>
                        <w:t xml:space="preserve"> </w:t>
                      </w:r>
                      <w:r>
                        <w:rPr>
                          <w:rFonts w:ascii="Avenir Next Condensed"/>
                          <w:spacing w:val="-1"/>
                          <w:sz w:val="20"/>
                        </w:rPr>
                        <w:t>by</w:t>
                      </w:r>
                      <w:r>
                        <w:rPr>
                          <w:rFonts w:ascii="Avenir Next Condensed"/>
                          <w:spacing w:val="-3"/>
                          <w:sz w:val="20"/>
                        </w:rPr>
                        <w:t xml:space="preserve"> Cardno.</w:t>
                      </w:r>
                      <w:r>
                        <w:rPr>
                          <w:rFonts w:ascii="Avenir Next Condensed"/>
                          <w:spacing w:val="-3"/>
                          <w:position w:val="7"/>
                          <w:sz w:val="11"/>
                        </w:rPr>
                        <w:t>118</w:t>
                      </w:r>
                    </w:p>
                    <w:p w:rsidR="008A79D5" w:rsidRDefault="008A79D5">
                      <w:pPr>
                        <w:numPr>
                          <w:ilvl w:val="0"/>
                          <w:numId w:val="73"/>
                        </w:numPr>
                        <w:tabs>
                          <w:tab w:val="left" w:pos="227"/>
                        </w:tabs>
                        <w:spacing w:before="35" w:line="260" w:lineRule="exact"/>
                        <w:ind w:right="668" w:hanging="226"/>
                        <w:rPr>
                          <w:rFonts w:ascii="Avenir Next Condensed" w:eastAsia="Avenir Next Condensed" w:hAnsi="Avenir Next Condensed" w:cs="Avenir Next Condensed"/>
                          <w:sz w:val="11"/>
                          <w:szCs w:val="11"/>
                        </w:rPr>
                      </w:pPr>
                      <w:r>
                        <w:rPr>
                          <w:rFonts w:ascii="Avenir Next Condensed"/>
                          <w:spacing w:val="-2"/>
                          <w:sz w:val="20"/>
                        </w:rPr>
                        <w:t>The</w:t>
                      </w:r>
                      <w:r>
                        <w:rPr>
                          <w:rFonts w:ascii="Avenir Next Condensed"/>
                          <w:spacing w:val="-4"/>
                          <w:sz w:val="20"/>
                        </w:rPr>
                        <w:t xml:space="preserve"> </w:t>
                      </w:r>
                      <w:r>
                        <w:rPr>
                          <w:rFonts w:ascii="Avenir Next Condensed"/>
                          <w:spacing w:val="-2"/>
                          <w:sz w:val="20"/>
                        </w:rPr>
                        <w:t>ICRC</w:t>
                      </w:r>
                      <w:r>
                        <w:rPr>
                          <w:rFonts w:ascii="Avenir Next Condensed"/>
                          <w:spacing w:val="-4"/>
                          <w:sz w:val="20"/>
                        </w:rPr>
                        <w:t xml:space="preserve"> </w:t>
                      </w:r>
                      <w:r>
                        <w:rPr>
                          <w:rFonts w:ascii="Avenir Next Condensed"/>
                          <w:spacing w:val="-2"/>
                          <w:sz w:val="20"/>
                        </w:rPr>
                        <w:t>reviewed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new</w:t>
                      </w:r>
                      <w:r>
                        <w:rPr>
                          <w:rFonts w:ascii="Avenir Next Condensed"/>
                          <w:spacing w:val="-4"/>
                          <w:sz w:val="20"/>
                        </w:rPr>
                        <w:t xml:space="preserve"> </w:t>
                      </w:r>
                      <w:r>
                        <w:rPr>
                          <w:rFonts w:ascii="Avenir Next Condensed"/>
                          <w:spacing w:val="-3"/>
                          <w:sz w:val="20"/>
                        </w:rPr>
                        <w:t>Capital</w:t>
                      </w:r>
                      <w:r>
                        <w:rPr>
                          <w:rFonts w:ascii="Avenir Next Condensed"/>
                          <w:spacing w:val="-4"/>
                          <w:sz w:val="20"/>
                        </w:rPr>
                        <w:t xml:space="preserve"> </w:t>
                      </w:r>
                      <w:r>
                        <w:rPr>
                          <w:rFonts w:ascii="Avenir Next Condensed"/>
                          <w:spacing w:val="-2"/>
                          <w:sz w:val="20"/>
                        </w:rPr>
                        <w:t>Expenditure</w:t>
                      </w:r>
                      <w:r>
                        <w:rPr>
                          <w:rFonts w:ascii="Avenir Next Condensed"/>
                          <w:spacing w:val="-4"/>
                          <w:sz w:val="20"/>
                        </w:rPr>
                        <w:t xml:space="preserve"> </w:t>
                      </w:r>
                      <w:r>
                        <w:rPr>
                          <w:rFonts w:ascii="Avenir Next Condensed"/>
                          <w:spacing w:val="-2"/>
                          <w:sz w:val="20"/>
                        </w:rPr>
                        <w:t>Initiation</w:t>
                      </w:r>
                      <w:r>
                        <w:rPr>
                          <w:rFonts w:ascii="Avenir Next Condensed"/>
                          <w:spacing w:val="-4"/>
                          <w:sz w:val="20"/>
                        </w:rPr>
                        <w:t xml:space="preserve"> </w:t>
                      </w:r>
                      <w:r>
                        <w:rPr>
                          <w:rFonts w:ascii="Avenir Next Condensed"/>
                          <w:spacing w:val="-2"/>
                          <w:sz w:val="20"/>
                        </w:rPr>
                        <w:t>and</w:t>
                      </w:r>
                      <w:r>
                        <w:rPr>
                          <w:rFonts w:ascii="Avenir Next Condensed"/>
                          <w:spacing w:val="-8"/>
                          <w:sz w:val="20"/>
                        </w:rPr>
                        <w:t xml:space="preserve"> </w:t>
                      </w:r>
                      <w:r>
                        <w:rPr>
                          <w:rFonts w:ascii="Avenir Next Condensed"/>
                          <w:spacing w:val="-2"/>
                          <w:sz w:val="20"/>
                        </w:rPr>
                        <w:t>Approval</w:t>
                      </w:r>
                      <w:r>
                        <w:rPr>
                          <w:rFonts w:ascii="Avenir Next Condensed"/>
                          <w:spacing w:val="-4"/>
                          <w:sz w:val="20"/>
                        </w:rPr>
                        <w:t xml:space="preserve"> </w:t>
                      </w:r>
                      <w:r>
                        <w:rPr>
                          <w:rFonts w:ascii="Avenir Next Condensed"/>
                          <w:spacing w:val="-2"/>
                          <w:sz w:val="20"/>
                        </w:rPr>
                        <w:t>Manual</w:t>
                      </w:r>
                      <w:r>
                        <w:rPr>
                          <w:rFonts w:ascii="Avenir Next Condensed"/>
                          <w:spacing w:val="-8"/>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provided</w:t>
                      </w:r>
                      <w:r>
                        <w:rPr>
                          <w:rFonts w:ascii="Avenir Next Condensed"/>
                          <w:spacing w:val="-4"/>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2"/>
                          <w:sz w:val="20"/>
                        </w:rPr>
                        <w:t>part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its</w:t>
                      </w:r>
                      <w:r>
                        <w:rPr>
                          <w:rFonts w:ascii="Avenir Next Condensed"/>
                          <w:spacing w:val="-8"/>
                          <w:sz w:val="20"/>
                        </w:rPr>
                        <w:t xml:space="preserve"> </w:t>
                      </w:r>
                      <w:r>
                        <w:rPr>
                          <w:rFonts w:ascii="Avenir Next Condensed"/>
                          <w:spacing w:val="-2"/>
                          <w:sz w:val="20"/>
                        </w:rPr>
                        <w:t>April</w:t>
                      </w:r>
                      <w:r>
                        <w:rPr>
                          <w:rFonts w:ascii="Avenir Next Condensed"/>
                          <w:spacing w:val="-4"/>
                          <w:sz w:val="20"/>
                        </w:rPr>
                        <w:t xml:space="preserve"> </w:t>
                      </w:r>
                      <w:r>
                        <w:rPr>
                          <w:rFonts w:ascii="Avenir Next Condensed"/>
                          <w:spacing w:val="-2"/>
                          <w:sz w:val="20"/>
                        </w:rPr>
                        <w:t>2013</w:t>
                      </w:r>
                      <w:r>
                        <w:rPr>
                          <w:rFonts w:ascii="Avenir Next Condensed"/>
                          <w:spacing w:val="52"/>
                          <w:sz w:val="20"/>
                        </w:rPr>
                        <w:t xml:space="preserve"> </w:t>
                      </w:r>
                      <w:r>
                        <w:rPr>
                          <w:rFonts w:ascii="Avenir Next Condensed"/>
                          <w:spacing w:val="-2"/>
                          <w:sz w:val="20"/>
                        </w:rPr>
                        <w:t>submission.</w:t>
                      </w:r>
                      <w:r>
                        <w:rPr>
                          <w:rFonts w:ascii="Avenir Next Condensed"/>
                          <w:spacing w:val="-15"/>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ICRC</w:t>
                      </w:r>
                      <w:r>
                        <w:rPr>
                          <w:rFonts w:ascii="Avenir Next Condensed"/>
                          <w:spacing w:val="-3"/>
                          <w:sz w:val="20"/>
                        </w:rPr>
                        <w:t xml:space="preserve"> </w:t>
                      </w:r>
                      <w:r>
                        <w:rPr>
                          <w:rFonts w:ascii="Avenir Next Condensed"/>
                          <w:spacing w:val="-2"/>
                          <w:sz w:val="20"/>
                        </w:rPr>
                        <w:t>also</w:t>
                      </w:r>
                      <w:r>
                        <w:rPr>
                          <w:rFonts w:ascii="Avenir Next Condensed"/>
                          <w:spacing w:val="-3"/>
                          <w:sz w:val="20"/>
                        </w:rPr>
                        <w:t xml:space="preserve"> </w:t>
                      </w:r>
                      <w:r>
                        <w:rPr>
                          <w:rFonts w:ascii="Avenir Next Condensed"/>
                          <w:spacing w:val="-2"/>
                          <w:sz w:val="20"/>
                        </w:rPr>
                        <w:t>examined</w:t>
                      </w:r>
                      <w:r>
                        <w:rPr>
                          <w:rFonts w:ascii="Avenir Next Condensed"/>
                          <w:spacing w:val="-4"/>
                          <w:sz w:val="20"/>
                        </w:rPr>
                        <w:t xml:space="preserve"> </w:t>
                      </w:r>
                      <w:r>
                        <w:rPr>
                          <w:rFonts w:ascii="Avenir Next Condensed"/>
                          <w:sz w:val="20"/>
                        </w:rPr>
                        <w:t>a</w:t>
                      </w:r>
                      <w:r>
                        <w:rPr>
                          <w:rFonts w:ascii="Avenir Next Condensed"/>
                          <w:spacing w:val="-3"/>
                          <w:sz w:val="20"/>
                        </w:rPr>
                        <w:t xml:space="preserve"> </w:t>
                      </w:r>
                      <w:r>
                        <w:rPr>
                          <w:rFonts w:ascii="Avenir Next Condensed"/>
                          <w:spacing w:val="-2"/>
                          <w:sz w:val="20"/>
                        </w:rPr>
                        <w:t>number</w:t>
                      </w:r>
                      <w:r>
                        <w:rPr>
                          <w:rFonts w:ascii="Avenir Next Condensed"/>
                          <w:spacing w:val="-4"/>
                          <w:sz w:val="20"/>
                        </w:rPr>
                        <w:t xml:space="preserve"> </w:t>
                      </w:r>
                      <w:r>
                        <w:rPr>
                          <w:rFonts w:ascii="Avenir Next Condensed"/>
                          <w:spacing w:val="-1"/>
                          <w:sz w:val="20"/>
                        </w:rPr>
                        <w:t>of</w:t>
                      </w:r>
                      <w:r>
                        <w:rPr>
                          <w:rFonts w:ascii="Avenir Next Condensed"/>
                          <w:spacing w:val="1"/>
                          <w:sz w:val="20"/>
                        </w:rPr>
                        <w:t xml:space="preserve"> </w:t>
                      </w:r>
                      <w:r>
                        <w:rPr>
                          <w:rFonts w:ascii="Avenir Next Condensed"/>
                          <w:spacing w:val="-2"/>
                          <w:sz w:val="20"/>
                        </w:rPr>
                        <w:t>new</w:t>
                      </w:r>
                      <w:r>
                        <w:rPr>
                          <w:rFonts w:ascii="Avenir Next Condensed"/>
                          <w:spacing w:val="-3"/>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2"/>
                          <w:sz w:val="20"/>
                        </w:rPr>
                        <w:t>case</w:t>
                      </w:r>
                      <w:r>
                        <w:rPr>
                          <w:rFonts w:ascii="Avenir Next Condensed"/>
                          <w:spacing w:val="-3"/>
                          <w:sz w:val="20"/>
                        </w:rPr>
                        <w:t xml:space="preserve"> </w:t>
                      </w:r>
                      <w:r>
                        <w:rPr>
                          <w:rFonts w:ascii="Avenir Next Condensed"/>
                          <w:spacing w:val="-2"/>
                          <w:sz w:val="20"/>
                        </w:rPr>
                        <w:t>documents</w:t>
                      </w:r>
                      <w:r>
                        <w:rPr>
                          <w:rFonts w:ascii="Avenir Next Condensed"/>
                          <w:spacing w:val="-4"/>
                          <w:sz w:val="20"/>
                        </w:rPr>
                        <w:t xml:space="preserve"> </w:t>
                      </w:r>
                      <w:r>
                        <w:rPr>
                          <w:rFonts w:ascii="Avenir Next Condensed"/>
                          <w:spacing w:val="-2"/>
                          <w:sz w:val="20"/>
                        </w:rPr>
                        <w:t>provided</w:t>
                      </w:r>
                      <w:r>
                        <w:rPr>
                          <w:rFonts w:ascii="Avenir Next Condensed"/>
                          <w:spacing w:val="-3"/>
                          <w:sz w:val="20"/>
                        </w:rPr>
                        <w:t xml:space="preserve"> </w:t>
                      </w:r>
                      <w:r>
                        <w:rPr>
                          <w:rFonts w:ascii="Avenir Next Condensed"/>
                          <w:spacing w:val="-1"/>
                          <w:sz w:val="20"/>
                        </w:rPr>
                        <w:t>by</w:t>
                      </w:r>
                      <w:r>
                        <w:rPr>
                          <w:rFonts w:ascii="Avenir Next Condensed"/>
                          <w:spacing w:val="-8"/>
                          <w:sz w:val="20"/>
                        </w:rPr>
                        <w:t xml:space="preserve"> </w:t>
                      </w:r>
                      <w:r>
                        <w:rPr>
                          <w:rFonts w:ascii="Avenir Next Condensed"/>
                          <w:spacing w:val="-4"/>
                          <w:sz w:val="20"/>
                        </w:rPr>
                        <w:t>ACTEW.</w:t>
                      </w:r>
                      <w:r>
                        <w:rPr>
                          <w:rFonts w:ascii="Avenir Next Condensed"/>
                          <w:spacing w:val="-4"/>
                          <w:position w:val="7"/>
                          <w:sz w:val="11"/>
                        </w:rPr>
                        <w:t>119</w:t>
                      </w:r>
                    </w:p>
                    <w:p w:rsidR="008A79D5" w:rsidRDefault="008A79D5">
                      <w:pPr>
                        <w:spacing w:before="56" w:line="260" w:lineRule="exact"/>
                        <w:ind w:right="25"/>
                        <w:jc w:val="both"/>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considered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expenditure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planning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processes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appeared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signifi</w:t>
                      </w:r>
                      <w:r w:rsidR="009B14B7">
                        <w:rPr>
                          <w:rFonts w:ascii="Avenir Next Condensed" w:eastAsia="Avenir Next Condensed" w:hAnsi="Avenir Next Condensed" w:cs="Avenir Next Condensed"/>
                          <w:spacing w:val="-2"/>
                          <w:sz w:val="20"/>
                          <w:szCs w:val="20"/>
                        </w:rPr>
                        <w:t>cant</w:t>
                      </w:r>
                      <w:r>
                        <w:rPr>
                          <w:rFonts w:ascii="Avenir Next Condensed" w:eastAsia="Avenir Next Condensed" w:hAnsi="Avenir Next Condensed" w:cs="Avenir Next Condensed"/>
                          <w:spacing w:val="22"/>
                          <w:sz w:val="20"/>
                          <w:szCs w:val="20"/>
                        </w:rPr>
                        <w:t xml:space="preserve"> </w:t>
                      </w:r>
                      <w:r>
                        <w:rPr>
                          <w:rFonts w:ascii="Avenir Next Condensed" w:eastAsia="Avenir Next Condensed" w:hAnsi="Avenir Next Condensed" w:cs="Avenir Next Condensed"/>
                          <w:spacing w:val="-2"/>
                          <w:sz w:val="20"/>
                          <w:szCs w:val="20"/>
                        </w:rPr>
                        <w:t>improvement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those</w:t>
                      </w:r>
                      <w:r>
                        <w:rPr>
                          <w:rFonts w:ascii="Avenir Next Condensed" w:eastAsia="Avenir Next Condensed" w:hAnsi="Avenir Next Condensed" w:cs="Avenir Next Condensed"/>
                          <w:spacing w:val="74"/>
                          <w:sz w:val="20"/>
                          <w:szCs w:val="20"/>
                        </w:rPr>
                        <w:t xml:space="preserve"> </w:t>
                      </w:r>
                      <w:r>
                        <w:rPr>
                          <w:rFonts w:ascii="Avenir Next Condensed" w:eastAsia="Avenir Next Condensed" w:hAnsi="Avenir Next Condensed" w:cs="Avenir Next Condensed"/>
                          <w:spacing w:val="-2"/>
                          <w:sz w:val="20"/>
                          <w:szCs w:val="20"/>
                        </w:rPr>
                        <w:t>reviewed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Cardno.</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However,</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also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noted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process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early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stage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adoption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test’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w:t>
                      </w:r>
                      <w:r>
                        <w:rPr>
                          <w:rFonts w:ascii="Avenir Next Condensed" w:eastAsia="Avenir Next Condensed" w:hAnsi="Avenir Next Condensed" w:cs="Avenir Next Condensed"/>
                          <w:spacing w:val="78"/>
                          <w:sz w:val="20"/>
                          <w:szCs w:val="20"/>
                        </w:rPr>
                        <w:t xml:space="preserve"> </w:t>
                      </w:r>
                      <w:r>
                        <w:rPr>
                          <w:rFonts w:ascii="Avenir Next Condensed" w:eastAsia="Avenir Next Condensed" w:hAnsi="Avenir Next Condensed" w:cs="Avenir Next Condensed"/>
                          <w:spacing w:val="-2"/>
                          <w:sz w:val="20"/>
                          <w:szCs w:val="20"/>
                        </w:rPr>
                        <w:t>how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rigorously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arrangements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were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applied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practice.</w:t>
                      </w:r>
                    </w:p>
                    <w:p w:rsidR="008A79D5" w:rsidRDefault="008A79D5">
                      <w:pPr>
                        <w:tabs>
                          <w:tab w:val="left" w:pos="6528"/>
                        </w:tabs>
                        <w:spacing w:before="113" w:line="260" w:lineRule="exact"/>
                        <w:rPr>
                          <w:rFonts w:ascii="Avenir Next Condensed" w:eastAsia="Avenir Next Condensed" w:hAnsi="Avenir Next Condensed" w:cs="Avenir Next Condensed"/>
                          <w:sz w:val="11"/>
                          <w:szCs w:val="11"/>
                        </w:rPr>
                      </w:pPr>
                      <w:r>
                        <w:rPr>
                          <w:rFonts w:ascii="Avenir Next Condensed" w:eastAsia="Avenir Next Condensed" w:hAnsi="Avenir Next Condensed" w:cs="Avenir Next Condensed"/>
                          <w:spacing w:val="-2"/>
                          <w:sz w:val="20"/>
                          <w:szCs w:val="20"/>
                        </w:rPr>
                        <w:t>Nonetheless,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concluded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process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had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reduced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anomalies,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allowed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present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more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soundly-based</w:t>
                      </w:r>
                      <w:r>
                        <w:rPr>
                          <w:rFonts w:ascii="Avenir Next Condensed" w:eastAsia="Avenir Next Condensed" w:hAnsi="Avenir Next Condensed" w:cs="Avenir Next Condensed"/>
                          <w:spacing w:val="56"/>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works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program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ICRC’s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two-year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ICRC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considered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 xml:space="preserve">first </w:t>
                      </w:r>
                      <w:r>
                        <w:rPr>
                          <w:rFonts w:ascii="Avenir Next Condensed" w:eastAsia="Avenir Next Condensed" w:hAnsi="Avenir Next Condensed" w:cs="Avenir Next Condensed"/>
                          <w:spacing w:val="-2"/>
                          <w:sz w:val="20"/>
                          <w:szCs w:val="20"/>
                        </w:rPr>
                        <w:t>biennial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recalibration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provide</w:t>
                      </w:r>
                      <w:r>
                        <w:rPr>
                          <w:rFonts w:ascii="Avenir Next Condensed" w:eastAsia="Avenir Next Condensed" w:hAnsi="Avenir Next Condensed" w:cs="Avenir Next Condensed"/>
                          <w:spacing w:val="80"/>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with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opportunity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whether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actual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expenditure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matched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allowance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extent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which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project</w:t>
                      </w:r>
                      <w:r>
                        <w:rPr>
                          <w:rFonts w:ascii="Avenir Next Condensed" w:eastAsia="Avenir Next Condensed" w:hAnsi="Avenir Next Condensed" w:cs="Avenir Next Condensed"/>
                          <w:spacing w:val="76"/>
                          <w:sz w:val="20"/>
                          <w:szCs w:val="20"/>
                        </w:rPr>
                        <w:t xml:space="preserve"> </w:t>
                      </w:r>
                      <w:r>
                        <w:rPr>
                          <w:rFonts w:ascii="Avenir Next Condensed" w:eastAsia="Avenir Next Condensed" w:hAnsi="Avenir Next Condensed" w:cs="Avenir Next Condensed"/>
                          <w:spacing w:val="-2"/>
                          <w:sz w:val="20"/>
                          <w:szCs w:val="20"/>
                        </w:rPr>
                        <w:t>evaluations</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had</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adhered</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3"/>
                          <w:sz w:val="20"/>
                          <w:szCs w:val="20"/>
                        </w:rPr>
                        <w:t xml:space="preserve"> expenditure </w:t>
                      </w:r>
                      <w:r>
                        <w:rPr>
                          <w:rFonts w:ascii="Avenir Next Condensed" w:eastAsia="Avenir Next Condensed" w:hAnsi="Avenir Next Condensed" w:cs="Avenir Next Condensed"/>
                          <w:spacing w:val="-2"/>
                          <w:sz w:val="20"/>
                          <w:szCs w:val="20"/>
                        </w:rPr>
                        <w:t>planning</w:t>
                      </w:r>
                      <w:r>
                        <w:rPr>
                          <w:rFonts w:ascii="Avenir Next Condensed" w:eastAsia="Avenir Next Condensed" w:hAnsi="Avenir Next Condensed" w:cs="Avenir Next Condensed"/>
                          <w:spacing w:val="-3"/>
                          <w:sz w:val="20"/>
                          <w:szCs w:val="20"/>
                        </w:rPr>
                        <w:t xml:space="preserve"> processes.</w:t>
                      </w:r>
                      <w:r>
                        <w:rPr>
                          <w:rFonts w:ascii="Avenir Next Condensed" w:eastAsia="Avenir Next Condensed" w:hAnsi="Avenir Next Condensed" w:cs="Avenir Next Condensed"/>
                          <w:spacing w:val="-3"/>
                          <w:position w:val="7"/>
                          <w:sz w:val="11"/>
                          <w:szCs w:val="11"/>
                        </w:rPr>
                        <w:t>120</w:t>
                      </w:r>
                    </w:p>
                  </w:txbxContent>
                </v:textbox>
              </v:shape>
            </v:group>
            <w10:wrap type="none"/>
            <w10:anchorlock/>
          </v:group>
        </w:pict>
      </w:r>
    </w:p>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spacing w:before="5"/>
        <w:rPr>
          <w:rFonts w:ascii="Avenir Next" w:eastAsia="Avenir Next" w:hAnsi="Avenir Next" w:cs="Avenir Next"/>
          <w:b/>
          <w:bCs/>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46" style="width:72.5pt;height:.5pt;mso-position-horizontal-relative:char;mso-position-vertical-relative:line" coordsize="1450,10">
            <v:group id="_x0000_s3147" style="position:absolute;left:5;top:5;width:1440;height:2" coordorigin="5,5" coordsize="1440,2">
              <v:shape id="_x0000_s3148" style="position:absolute;left:5;top:5;width:1440;height:2" coordorigin="5,5" coordsize="1440,0" path="m5,5r1440,e" filled="f" strokeweight=".5pt">
                <v:path arrowok="t"/>
              </v:shape>
            </v:group>
            <w10:wrap type="none"/>
            <w10:anchorlock/>
          </v:group>
        </w:pict>
      </w:r>
    </w:p>
    <w:p w:rsidR="00D96B91" w:rsidRDefault="00C2656B">
      <w:pPr>
        <w:numPr>
          <w:ilvl w:val="0"/>
          <w:numId w:val="76"/>
        </w:numPr>
        <w:tabs>
          <w:tab w:val="left" w:pos="1758"/>
        </w:tabs>
        <w:spacing w:before="45" w:line="192" w:lineRule="exact"/>
        <w:ind w:right="1411" w:hanging="510"/>
        <w:rPr>
          <w:rFonts w:ascii="Avenir Next" w:eastAsia="Avenir Next" w:hAnsi="Avenir Next" w:cs="Avenir Next"/>
          <w:sz w:val="16"/>
          <w:szCs w:val="16"/>
        </w:rPr>
      </w:pPr>
      <w:r>
        <w:rPr>
          <w:rFonts w:ascii="Avenir Next"/>
          <w:spacing w:val="-1"/>
          <w:sz w:val="16"/>
        </w:rPr>
        <w:t xml:space="preserve">This </w:t>
      </w:r>
      <w:r>
        <w:rPr>
          <w:rFonts w:ascii="Avenir Next"/>
          <w:sz w:val="16"/>
        </w:rPr>
        <w:t>minor</w:t>
      </w:r>
      <w:r>
        <w:rPr>
          <w:rFonts w:ascii="Avenir Next"/>
          <w:spacing w:val="-1"/>
          <w:sz w:val="16"/>
        </w:rPr>
        <w:t xml:space="preserve"> </w:t>
      </w:r>
      <w:r>
        <w:rPr>
          <w:rFonts w:ascii="Avenir Next"/>
          <w:sz w:val="16"/>
        </w:rPr>
        <w:t>adjustment</w:t>
      </w:r>
      <w:r>
        <w:rPr>
          <w:rFonts w:ascii="Avenir Next"/>
          <w:spacing w:val="-1"/>
          <w:sz w:val="16"/>
        </w:rPr>
        <w:t xml:space="preserve"> reflected</w:t>
      </w:r>
      <w:r>
        <w:rPr>
          <w:rFonts w:ascii="Avenir Next"/>
          <w:sz w:val="16"/>
        </w:rPr>
        <w:t xml:space="preserve"> the</w:t>
      </w:r>
      <w:r>
        <w:rPr>
          <w:rFonts w:ascii="Avenir Next"/>
          <w:spacing w:val="-1"/>
          <w:sz w:val="16"/>
        </w:rPr>
        <w:t xml:space="preserve"> application </w:t>
      </w:r>
      <w:r>
        <w:rPr>
          <w:rFonts w:ascii="Avenir Next"/>
          <w:sz w:val="16"/>
        </w:rPr>
        <w:t>of</w:t>
      </w:r>
      <w:r>
        <w:rPr>
          <w:rFonts w:ascii="Avenir Next"/>
          <w:spacing w:val="2"/>
          <w:sz w:val="16"/>
        </w:rPr>
        <w:t xml:space="preserve"> </w:t>
      </w:r>
      <w:r>
        <w:rPr>
          <w:rFonts w:ascii="Avenir Next"/>
          <w:sz w:val="16"/>
        </w:rPr>
        <w:t>a continuing</w:t>
      </w:r>
      <w:r>
        <w:rPr>
          <w:rFonts w:ascii="Avenir Next"/>
          <w:spacing w:val="-1"/>
          <w:sz w:val="16"/>
        </w:rPr>
        <w:t xml:space="preserve"> efficiency </w:t>
      </w:r>
      <w:r>
        <w:rPr>
          <w:rFonts w:ascii="Avenir Next"/>
          <w:sz w:val="16"/>
        </w:rPr>
        <w:t xml:space="preserve">factor </w:t>
      </w:r>
      <w:r>
        <w:rPr>
          <w:rFonts w:ascii="Avenir Next"/>
          <w:spacing w:val="-1"/>
          <w:sz w:val="16"/>
        </w:rPr>
        <w:t xml:space="preserve">that </w:t>
      </w:r>
      <w:r>
        <w:rPr>
          <w:rFonts w:ascii="Avenir Next"/>
          <w:sz w:val="16"/>
        </w:rPr>
        <w:t>had</w:t>
      </w:r>
      <w:r>
        <w:rPr>
          <w:rFonts w:ascii="Avenir Next"/>
          <w:spacing w:val="-1"/>
          <w:sz w:val="16"/>
        </w:rPr>
        <w:t xml:space="preserve"> </w:t>
      </w:r>
      <w:r>
        <w:rPr>
          <w:rFonts w:ascii="Avenir Next"/>
          <w:sz w:val="16"/>
        </w:rPr>
        <w:t>been</w:t>
      </w:r>
      <w:r>
        <w:rPr>
          <w:rFonts w:ascii="Avenir Next"/>
          <w:spacing w:val="-1"/>
          <w:sz w:val="16"/>
        </w:rPr>
        <w:t xml:space="preserve"> recommended</w:t>
      </w:r>
      <w:r>
        <w:rPr>
          <w:rFonts w:ascii="Avenir Next"/>
          <w:sz w:val="16"/>
        </w:rPr>
        <w:t xml:space="preserve"> by</w:t>
      </w:r>
      <w:r>
        <w:rPr>
          <w:rFonts w:ascii="Avenir Next"/>
          <w:spacing w:val="-1"/>
          <w:sz w:val="16"/>
        </w:rPr>
        <w:t xml:space="preserve"> Cardno</w:t>
      </w:r>
      <w:r>
        <w:rPr>
          <w:rFonts w:ascii="Avenir Next"/>
          <w:spacing w:val="67"/>
          <w:sz w:val="16"/>
        </w:rPr>
        <w:t xml:space="preserve"> </w:t>
      </w:r>
      <w:r>
        <w:rPr>
          <w:rFonts w:ascii="Avenir Next"/>
          <w:sz w:val="16"/>
        </w:rPr>
        <w:t xml:space="preserve">in its November 2012 </w:t>
      </w:r>
      <w:r>
        <w:rPr>
          <w:rFonts w:ascii="Avenir Next"/>
          <w:spacing w:val="-1"/>
          <w:sz w:val="16"/>
        </w:rPr>
        <w:t>report</w:t>
      </w:r>
      <w:r>
        <w:rPr>
          <w:rFonts w:ascii="Avenir Next"/>
          <w:sz w:val="16"/>
        </w:rPr>
        <w:t xml:space="preserve"> to the ICRC,</w:t>
      </w:r>
      <w:r>
        <w:rPr>
          <w:rFonts w:ascii="Avenir Next"/>
          <w:spacing w:val="-5"/>
          <w:sz w:val="16"/>
        </w:rPr>
        <w:t xml:space="preserve"> </w:t>
      </w:r>
      <w:r>
        <w:rPr>
          <w:rFonts w:ascii="Avenir Next"/>
          <w:sz w:val="16"/>
        </w:rPr>
        <w:t>and which</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 xml:space="preserve">advised had been </w:t>
      </w:r>
      <w:r>
        <w:rPr>
          <w:rFonts w:ascii="Avenir Next"/>
          <w:spacing w:val="-1"/>
          <w:sz w:val="16"/>
        </w:rPr>
        <w:t>inadvertently</w:t>
      </w:r>
      <w:r>
        <w:rPr>
          <w:rFonts w:ascii="Avenir Next"/>
          <w:sz w:val="16"/>
        </w:rPr>
        <w:t xml:space="preserve"> </w:t>
      </w:r>
      <w:r>
        <w:rPr>
          <w:rFonts w:ascii="Avenir Next"/>
          <w:spacing w:val="-1"/>
          <w:sz w:val="16"/>
        </w:rPr>
        <w:t>excluded</w:t>
      </w:r>
      <w:r>
        <w:rPr>
          <w:rFonts w:ascii="Avenir Next"/>
          <w:sz w:val="16"/>
        </w:rPr>
        <w:t xml:space="preserve"> </w:t>
      </w:r>
      <w:r>
        <w:rPr>
          <w:rFonts w:ascii="Avenir Next"/>
          <w:spacing w:val="-1"/>
          <w:sz w:val="16"/>
        </w:rPr>
        <w:t>from</w:t>
      </w:r>
      <w:r>
        <w:rPr>
          <w:rFonts w:ascii="Avenir Next"/>
          <w:sz w:val="16"/>
        </w:rPr>
        <w:t xml:space="preserve"> its capital</w:t>
      </w:r>
      <w:r>
        <w:rPr>
          <w:rFonts w:ascii="Avenir Next"/>
          <w:spacing w:val="41"/>
          <w:sz w:val="16"/>
        </w:rPr>
        <w:t xml:space="preserve"> </w:t>
      </w:r>
      <w:r>
        <w:rPr>
          <w:rFonts w:ascii="Avenir Next"/>
          <w:spacing w:val="-1"/>
          <w:sz w:val="16"/>
        </w:rPr>
        <w:t>expenditure</w:t>
      </w:r>
      <w:r>
        <w:rPr>
          <w:rFonts w:ascii="Avenir Next"/>
          <w:sz w:val="16"/>
        </w:rPr>
        <w:t xml:space="preserve"> </w:t>
      </w:r>
      <w:r>
        <w:rPr>
          <w:rFonts w:ascii="Avenir Next"/>
          <w:spacing w:val="-1"/>
          <w:sz w:val="16"/>
        </w:rPr>
        <w:t>forecasts.</w:t>
      </w:r>
      <w:r>
        <w:rPr>
          <w:rFonts w:ascii="Avenir Next"/>
          <w:spacing w:val="-5"/>
          <w:sz w:val="16"/>
        </w:rPr>
        <w:t xml:space="preserve"> </w:t>
      </w:r>
      <w:r>
        <w:rPr>
          <w:rFonts w:ascii="Avenir Next"/>
          <w:sz w:val="16"/>
        </w:rPr>
        <w:t>See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141.</w:t>
      </w:r>
    </w:p>
    <w:p w:rsidR="00D96B91" w:rsidRDefault="00C2656B">
      <w:pPr>
        <w:numPr>
          <w:ilvl w:val="0"/>
          <w:numId w:val="76"/>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z w:val="16"/>
          <w:szCs w:val="16"/>
        </w:rPr>
        <w:t xml:space="preserve">See </w:t>
      </w:r>
      <w:r>
        <w:rPr>
          <w:rFonts w:ascii="Avenir Next" w:eastAsia="Avenir Next" w:hAnsi="Avenir Next" w:cs="Avenir Next"/>
          <w:spacing w:val="-2"/>
          <w:sz w:val="16"/>
          <w:szCs w:val="16"/>
        </w:rPr>
        <w:t>Cardno,</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2012.</w:t>
      </w:r>
    </w:p>
    <w:p w:rsidR="00D96B91" w:rsidRDefault="00C2656B">
      <w:pPr>
        <w:numPr>
          <w:ilvl w:val="0"/>
          <w:numId w:val="76"/>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Response</w:t>
      </w:r>
      <w:r>
        <w:rPr>
          <w:rFonts w:ascii="Avenir Next"/>
          <w:sz w:val="16"/>
        </w:rPr>
        <w:t xml:space="preserve"> to the </w:t>
      </w:r>
      <w:r>
        <w:rPr>
          <w:rFonts w:ascii="Avenir Next"/>
          <w:spacing w:val="-1"/>
          <w:sz w:val="16"/>
        </w:rPr>
        <w:t>Draft</w:t>
      </w:r>
      <w:r>
        <w:rPr>
          <w:rFonts w:ascii="Avenir Next"/>
          <w:sz w:val="16"/>
        </w:rPr>
        <w:t xml:space="preserve"> </w:t>
      </w:r>
      <w:r>
        <w:rPr>
          <w:rFonts w:ascii="Avenir Next"/>
          <w:spacing w:val="-1"/>
          <w:sz w:val="16"/>
        </w:rPr>
        <w:t>Report</w:t>
      </w:r>
      <w:r>
        <w:rPr>
          <w:rFonts w:ascii="Avenir Next"/>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5"/>
          <w:sz w:val="16"/>
        </w:rPr>
        <w:t xml:space="preserve"> </w:t>
      </w:r>
      <w:r>
        <w:rPr>
          <w:rFonts w:ascii="Avenir Next"/>
          <w:sz w:val="16"/>
        </w:rPr>
        <w:t>12</w:t>
      </w:r>
      <w:r>
        <w:rPr>
          <w:rFonts w:ascii="Avenir Next"/>
          <w:spacing w:val="-3"/>
          <w:sz w:val="16"/>
        </w:rPr>
        <w:t xml:space="preserve"> </w:t>
      </w:r>
      <w:r>
        <w:rPr>
          <w:rFonts w:ascii="Avenir Next"/>
          <w:sz w:val="16"/>
        </w:rPr>
        <w:t>April 2013,</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45-51.</w:t>
      </w:r>
    </w:p>
    <w:p w:rsidR="00D96B91" w:rsidRDefault="00C2656B">
      <w:pPr>
        <w:numPr>
          <w:ilvl w:val="0"/>
          <w:numId w:val="76"/>
        </w:numPr>
        <w:tabs>
          <w:tab w:val="left" w:pos="1758"/>
        </w:tabs>
        <w:spacing w:before="121" w:line="373" w:lineRule="auto"/>
        <w:ind w:left="1247" w:right="4386" w:firstLine="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136.</w:t>
      </w:r>
      <w:r>
        <w:rPr>
          <w:rFonts w:ascii="Avenir Next"/>
          <w:spacing w:val="37"/>
          <w:sz w:val="16"/>
        </w:rPr>
        <w:t xml:space="preserve"> </w:t>
      </w:r>
      <w:r>
        <w:rPr>
          <w:rFonts w:ascii="Avenir Next"/>
          <w:sz w:val="16"/>
        </w:rPr>
        <w:t>120</w:t>
      </w:r>
      <w:r>
        <w:rPr>
          <w:rFonts w:ascii="Avenir Next"/>
          <w:sz w:val="16"/>
        </w:rPr>
        <w:tab/>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136-137.</w:t>
      </w:r>
    </w:p>
    <w:p w:rsidR="00D96B91" w:rsidRDefault="00D96B91">
      <w:pPr>
        <w:spacing w:line="373" w:lineRule="auto"/>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6"/>
        <w:numPr>
          <w:ilvl w:val="2"/>
          <w:numId w:val="74"/>
        </w:numPr>
        <w:tabs>
          <w:tab w:val="left" w:pos="2098"/>
        </w:tabs>
        <w:spacing w:before="9"/>
        <w:ind w:hanging="850"/>
      </w:pPr>
      <w:r>
        <w:rPr>
          <w:color w:val="0778BE"/>
          <w:spacing w:val="-3"/>
        </w:rPr>
        <w:t>ACTEW’s</w:t>
      </w:r>
      <w:r>
        <w:rPr>
          <w:color w:val="0778BE"/>
        </w:rPr>
        <w:t xml:space="preserve"> SOFC</w:t>
      </w:r>
    </w:p>
    <w:p w:rsidR="00D96B91" w:rsidRDefault="00C2656B">
      <w:pPr>
        <w:pStyle w:val="BodyText"/>
        <w:spacing w:before="21" w:line="260" w:lineRule="exact"/>
        <w:ind w:right="1655"/>
        <w:rPr>
          <w:rFonts w:cs="Avenir Next"/>
        </w:rPr>
      </w:pPr>
      <w:r>
        <w:t>In its SOFC,</w:t>
      </w:r>
      <w:r>
        <w:rPr>
          <w:spacing w:val="-10"/>
        </w:rPr>
        <w:t xml:space="preserve"> </w:t>
      </w:r>
      <w:r>
        <w:rPr>
          <w:spacing w:val="-2"/>
        </w:rPr>
        <w:t>ACTEW</w:t>
      </w:r>
      <w:r>
        <w:rPr>
          <w:spacing w:val="-3"/>
        </w:rPr>
        <w:t xml:space="preserve"> </w:t>
      </w:r>
      <w:r>
        <w:rPr>
          <w:spacing w:val="-1"/>
        </w:rPr>
        <w:t>proposed</w:t>
      </w:r>
      <w:r>
        <w:t xml:space="preserve"> </w:t>
      </w:r>
      <w:r>
        <w:rPr>
          <w:spacing w:val="-1"/>
        </w:rPr>
        <w:t>forecast</w:t>
      </w:r>
      <w:r>
        <w:t xml:space="preserve"> capital </w:t>
      </w:r>
      <w:r>
        <w:rPr>
          <w:spacing w:val="-1"/>
        </w:rPr>
        <w:t>expenditure</w:t>
      </w:r>
      <w:r>
        <w:t xml:space="preserve"> for 2013-14 to 2017-18 consistent with</w:t>
      </w:r>
      <w:r>
        <w:rPr>
          <w:spacing w:val="35"/>
        </w:rPr>
        <w:t xml:space="preserve"> </w:t>
      </w:r>
      <w:r>
        <w:t>its</w:t>
      </w:r>
      <w:r>
        <w:rPr>
          <w:spacing w:val="-4"/>
        </w:rPr>
        <w:t xml:space="preserve"> </w:t>
      </w:r>
      <w:r>
        <w:t>April</w:t>
      </w:r>
      <w:r>
        <w:rPr>
          <w:spacing w:val="1"/>
        </w:rPr>
        <w:t xml:space="preserve"> </w:t>
      </w:r>
      <w:r>
        <w:t>2013</w:t>
      </w:r>
      <w:r>
        <w:rPr>
          <w:spacing w:val="1"/>
        </w:rPr>
        <w:t xml:space="preserve"> </w:t>
      </w:r>
      <w:r>
        <w:rPr>
          <w:spacing w:val="-1"/>
        </w:rPr>
        <w:t>submission.</w:t>
      </w:r>
      <w:r>
        <w:rPr>
          <w:spacing w:val="-1"/>
          <w:position w:val="7"/>
          <w:sz w:val="11"/>
        </w:rPr>
        <w:t>121</w:t>
      </w:r>
      <w:r>
        <w:rPr>
          <w:spacing w:val="23"/>
          <w:position w:val="7"/>
          <w:sz w:val="11"/>
        </w:rPr>
        <w:t xml:space="preserve"> </w:t>
      </w:r>
      <w:r>
        <w:t>In</w:t>
      </w:r>
      <w:r>
        <w:rPr>
          <w:spacing w:val="1"/>
        </w:rPr>
        <w:t xml:space="preserve"> </w:t>
      </w:r>
      <w:r>
        <w:rPr>
          <w:spacing w:val="-1"/>
        </w:rPr>
        <w:t>response</w:t>
      </w:r>
      <w:r>
        <w:rPr>
          <w:spacing w:val="1"/>
        </w:rPr>
        <w:t xml:space="preserve"> </w:t>
      </w:r>
      <w:r>
        <w:t>to</w:t>
      </w:r>
      <w:r>
        <w:rPr>
          <w:spacing w:val="1"/>
        </w:rPr>
        <w:t xml:space="preserve"> </w:t>
      </w:r>
      <w:r>
        <w:t>queries</w:t>
      </w:r>
      <w:r>
        <w:rPr>
          <w:spacing w:val="1"/>
        </w:rPr>
        <w:t xml:space="preserve"> </w:t>
      </w:r>
      <w:r>
        <w:rPr>
          <w:spacing w:val="-1"/>
        </w:rPr>
        <w:t>from</w:t>
      </w:r>
      <w:r>
        <w:t xml:space="preserve"> the</w:t>
      </w:r>
      <w:r>
        <w:rPr>
          <w:spacing w:val="1"/>
        </w:rPr>
        <w:t xml:space="preserve"> </w:t>
      </w:r>
      <w:r>
        <w:rPr>
          <w:spacing w:val="-2"/>
        </w:rPr>
        <w:t>Panel,</w:t>
      </w:r>
      <w:r>
        <w:rPr>
          <w:spacing w:val="-5"/>
        </w:rPr>
        <w:t xml:space="preserve"> </w:t>
      </w:r>
      <w:r>
        <w:t>it</w:t>
      </w:r>
      <w:r>
        <w:rPr>
          <w:spacing w:val="1"/>
        </w:rPr>
        <w:t xml:space="preserve"> </w:t>
      </w:r>
      <w:r>
        <w:t>subsequently</w:t>
      </w:r>
      <w:r>
        <w:rPr>
          <w:spacing w:val="1"/>
        </w:rPr>
        <w:t xml:space="preserve"> </w:t>
      </w:r>
      <w:r>
        <w:rPr>
          <w:spacing w:val="-1"/>
        </w:rPr>
        <w:t>revised</w:t>
      </w:r>
      <w:r>
        <w:rPr>
          <w:spacing w:val="1"/>
        </w:rPr>
        <w:t xml:space="preserve"> </w:t>
      </w:r>
      <w:r>
        <w:t>this</w:t>
      </w:r>
    </w:p>
    <w:p w:rsidR="00D96B91" w:rsidRDefault="00C2656B">
      <w:pPr>
        <w:pStyle w:val="BodyText"/>
        <w:spacing w:line="260" w:lineRule="exact"/>
        <w:ind w:right="1283"/>
      </w:pPr>
      <w:r>
        <w:rPr>
          <w:spacing w:val="-1"/>
        </w:rPr>
        <w:t>forecast expenditure</w:t>
      </w:r>
      <w:r>
        <w:t xml:space="preserve"> to</w:t>
      </w:r>
      <w:r>
        <w:rPr>
          <w:spacing w:val="-1"/>
        </w:rPr>
        <w:t xml:space="preserve"> correct</w:t>
      </w:r>
      <w:r>
        <w:t xml:space="preserve"> the</w:t>
      </w:r>
      <w:r>
        <w:rPr>
          <w:spacing w:val="-1"/>
        </w:rPr>
        <w:t xml:space="preserve"> application</w:t>
      </w:r>
      <w:r>
        <w:t xml:space="preserve"> of</w:t>
      </w:r>
      <w:r>
        <w:rPr>
          <w:spacing w:val="3"/>
        </w:rPr>
        <w:t xml:space="preserve"> </w:t>
      </w:r>
      <w:r>
        <w:t>the continuing</w:t>
      </w:r>
      <w:r>
        <w:rPr>
          <w:spacing w:val="-1"/>
        </w:rPr>
        <w:t xml:space="preserve"> efficiency</w:t>
      </w:r>
      <w:r>
        <w:t xml:space="preserve"> </w:t>
      </w:r>
      <w:r>
        <w:rPr>
          <w:spacing w:val="-2"/>
        </w:rPr>
        <w:t>factor,</w:t>
      </w:r>
      <w:r>
        <w:rPr>
          <w:spacing w:val="-7"/>
        </w:rPr>
        <w:t xml:space="preserve"> </w:t>
      </w:r>
      <w:r>
        <w:t xml:space="preserve">so </w:t>
      </w:r>
      <w:r>
        <w:rPr>
          <w:spacing w:val="-1"/>
        </w:rPr>
        <w:t>that</w:t>
      </w:r>
      <w:r>
        <w:t xml:space="preserve"> it</w:t>
      </w:r>
      <w:r>
        <w:rPr>
          <w:spacing w:val="-1"/>
        </w:rPr>
        <w:t xml:space="preserve"> </w:t>
      </w:r>
      <w:r>
        <w:t>is applied</w:t>
      </w:r>
      <w:r>
        <w:rPr>
          <w:spacing w:val="67"/>
        </w:rPr>
        <w:t xml:space="preserve"> </w:t>
      </w:r>
      <w:r>
        <w:rPr>
          <w:spacing w:val="-1"/>
        </w:rPr>
        <w:t>cumulatively</w:t>
      </w:r>
      <w:r>
        <w:t xml:space="preserve"> (in</w:t>
      </w:r>
      <w:r>
        <w:rPr>
          <w:spacing w:val="1"/>
        </w:rPr>
        <w:t xml:space="preserve"> </w:t>
      </w:r>
      <w:r>
        <w:t>line</w:t>
      </w:r>
      <w:r>
        <w:rPr>
          <w:spacing w:val="1"/>
        </w:rPr>
        <w:t xml:space="preserve"> </w:t>
      </w:r>
      <w:r>
        <w:t>with</w:t>
      </w:r>
      <w:r>
        <w:rPr>
          <w:spacing w:val="1"/>
        </w:rPr>
        <w:t xml:space="preserve"> </w:t>
      </w:r>
      <w:r>
        <w:rPr>
          <w:spacing w:val="-3"/>
        </w:rPr>
        <w:t>Cardno’s</w:t>
      </w:r>
      <w:r>
        <w:rPr>
          <w:spacing w:val="1"/>
        </w:rPr>
        <w:t xml:space="preserve"> </w:t>
      </w:r>
      <w:r>
        <w:rPr>
          <w:spacing w:val="-1"/>
        </w:rPr>
        <w:t>intention).</w:t>
      </w:r>
      <w:r>
        <w:rPr>
          <w:spacing w:val="-1"/>
          <w:position w:val="7"/>
          <w:sz w:val="11"/>
          <w:szCs w:val="11"/>
        </w:rPr>
        <w:t>122</w:t>
      </w:r>
      <w:r>
        <w:rPr>
          <w:spacing w:val="18"/>
          <w:position w:val="7"/>
          <w:sz w:val="11"/>
          <w:szCs w:val="11"/>
        </w:rPr>
        <w:t xml:space="preserve"> </w:t>
      </w:r>
      <w:r>
        <w:rPr>
          <w:rFonts w:cs="Avenir Next"/>
          <w:spacing w:val="-1"/>
        </w:rPr>
        <w:t>This</w:t>
      </w:r>
      <w:r>
        <w:rPr>
          <w:rFonts w:cs="Avenir Next"/>
          <w:spacing w:val="1"/>
        </w:rPr>
        <w:t xml:space="preserve"> </w:t>
      </w:r>
      <w:r>
        <w:rPr>
          <w:rFonts w:cs="Avenir Next"/>
          <w:spacing w:val="-1"/>
        </w:rPr>
        <w:t>forecast</w:t>
      </w:r>
      <w:r>
        <w:rPr>
          <w:rFonts w:cs="Avenir Next"/>
          <w:spacing w:val="1"/>
        </w:rPr>
        <w:t xml:space="preserve"> </w:t>
      </w:r>
      <w:r>
        <w:rPr>
          <w:rFonts w:cs="Avenir Next"/>
          <w:spacing w:val="-1"/>
        </w:rPr>
        <w:t>expenditure</w:t>
      </w:r>
      <w:r>
        <w:rPr>
          <w:rFonts w:cs="Avenir Next"/>
        </w:rPr>
        <w:t xml:space="preserve"> is</w:t>
      </w:r>
      <w:r>
        <w:rPr>
          <w:rFonts w:cs="Avenir Next"/>
          <w:spacing w:val="1"/>
        </w:rPr>
        <w:t xml:space="preserve"> </w:t>
      </w:r>
      <w:r>
        <w:rPr>
          <w:rFonts w:cs="Avenir Next"/>
        </w:rPr>
        <w:t>shown</w:t>
      </w:r>
      <w:r>
        <w:rPr>
          <w:rFonts w:cs="Avenir Next"/>
          <w:spacing w:val="1"/>
        </w:rPr>
        <w:t xml:space="preserve"> </w:t>
      </w:r>
      <w:r>
        <w:rPr>
          <w:rFonts w:cs="Avenir Next"/>
        </w:rPr>
        <w:t>in</w:t>
      </w:r>
      <w:r>
        <w:rPr>
          <w:rFonts w:cs="Avenir Next"/>
          <w:spacing w:val="-4"/>
        </w:rPr>
        <w:t xml:space="preserve"> </w:t>
      </w:r>
      <w:hyperlink w:anchor="_bookmark70" w:history="1">
        <w:r>
          <w:rPr>
            <w:spacing w:val="-4"/>
          </w:rPr>
          <w:t>Table</w:t>
        </w:r>
        <w:r>
          <w:rPr>
            <w:spacing w:val="1"/>
          </w:rPr>
          <w:t xml:space="preserve"> </w:t>
        </w:r>
        <w:r>
          <w:t>9.9</w:t>
        </w:r>
      </w:hyperlink>
      <w:r>
        <w:rPr>
          <w:spacing w:val="1"/>
        </w:rPr>
        <w:t xml:space="preserve"> </w:t>
      </w:r>
      <w:r>
        <w:rPr>
          <w:spacing w:val="-2"/>
        </w:rPr>
        <w:t>below.</w:t>
      </w:r>
    </w:p>
    <w:p w:rsidR="00D96B91" w:rsidRDefault="00C2656B">
      <w:pPr>
        <w:spacing w:before="158"/>
        <w:ind w:left="1247"/>
        <w:rPr>
          <w:rFonts w:ascii="Avenir Next" w:eastAsia="Avenir Next" w:hAnsi="Avenir Next" w:cs="Avenir Next"/>
          <w:sz w:val="20"/>
          <w:szCs w:val="20"/>
        </w:rPr>
      </w:pPr>
      <w:bookmarkStart w:id="117" w:name="_bookmark70"/>
      <w:bookmarkEnd w:id="117"/>
      <w:r>
        <w:rPr>
          <w:rFonts w:ascii="Avenir Next" w:eastAsia="Avenir Next" w:hAnsi="Avenir Next" w:cs="Avenir Next"/>
          <w:b/>
          <w:bCs/>
          <w:spacing w:val="-10"/>
          <w:sz w:val="20"/>
          <w:szCs w:val="20"/>
        </w:rPr>
        <w:t>Table</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6"/>
          <w:sz w:val="20"/>
          <w:szCs w:val="20"/>
        </w:rPr>
        <w:t>9.9:</w:t>
      </w:r>
      <w:r>
        <w:rPr>
          <w:rFonts w:ascii="Avenir Next" w:eastAsia="Avenir Next" w:hAnsi="Avenir Next" w:cs="Avenir Next"/>
          <w:b/>
          <w:bCs/>
          <w:spacing w:val="-18"/>
          <w:sz w:val="20"/>
          <w:szCs w:val="20"/>
        </w:rPr>
        <w:t xml:space="preserve"> </w:t>
      </w:r>
      <w:r>
        <w:rPr>
          <w:rFonts w:ascii="Avenir Next" w:eastAsia="Avenir Next" w:hAnsi="Avenir Next" w:cs="Avenir Next"/>
          <w:b/>
          <w:bCs/>
          <w:spacing w:val="-7"/>
          <w:sz w:val="20"/>
          <w:szCs w:val="20"/>
        </w:rPr>
        <w:t>ACTEW</w:t>
      </w:r>
      <w:r>
        <w:rPr>
          <w:rFonts w:ascii="Avenir Next" w:eastAsia="Avenir Next" w:hAnsi="Avenir Next" w:cs="Avenir Next"/>
          <w:b/>
          <w:bCs/>
          <w:spacing w:val="-17"/>
          <w:sz w:val="20"/>
          <w:szCs w:val="20"/>
        </w:rPr>
        <w:t xml:space="preserve"> </w:t>
      </w:r>
      <w:r>
        <w:rPr>
          <w:rFonts w:ascii="Avenir Next" w:eastAsia="Avenir Next" w:hAnsi="Avenir Next" w:cs="Avenir Next"/>
          <w:b/>
          <w:bCs/>
          <w:spacing w:val="-6"/>
          <w:sz w:val="20"/>
          <w:szCs w:val="20"/>
        </w:rPr>
        <w:t>SOFC</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7"/>
          <w:sz w:val="20"/>
          <w:szCs w:val="20"/>
        </w:rPr>
        <w:t>(amended)</w:t>
      </w:r>
      <w:r>
        <w:rPr>
          <w:rFonts w:ascii="Avenir Next" w:eastAsia="Avenir Next" w:hAnsi="Avenir Next" w:cs="Avenir Next"/>
          <w:b/>
          <w:bCs/>
          <w:spacing w:val="-14"/>
          <w:sz w:val="20"/>
          <w:szCs w:val="20"/>
        </w:rPr>
        <w:t xml:space="preserve"> </w:t>
      </w:r>
      <w:r>
        <w:rPr>
          <w:rFonts w:ascii="Avenir Next" w:eastAsia="Avenir Next" w:hAnsi="Avenir Next" w:cs="Avenir Next"/>
          <w:b/>
          <w:bCs/>
          <w:sz w:val="20"/>
          <w:szCs w:val="20"/>
        </w:rPr>
        <w:t>–</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8"/>
          <w:sz w:val="20"/>
          <w:szCs w:val="20"/>
        </w:rPr>
        <w:t>Forecast</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6"/>
          <w:sz w:val="20"/>
          <w:szCs w:val="20"/>
        </w:rPr>
        <w:t>capital</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7"/>
          <w:sz w:val="20"/>
          <w:szCs w:val="20"/>
        </w:rPr>
        <w:t>expenditure</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6"/>
          <w:sz w:val="20"/>
          <w:szCs w:val="20"/>
        </w:rPr>
        <w:t>(net</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4"/>
          <w:sz w:val="20"/>
          <w:szCs w:val="20"/>
        </w:rPr>
        <w:t>of</w:t>
      </w:r>
      <w:r>
        <w:rPr>
          <w:rFonts w:ascii="Avenir Next" w:eastAsia="Avenir Next" w:hAnsi="Avenir Next" w:cs="Avenir Next"/>
          <w:b/>
          <w:bCs/>
          <w:spacing w:val="-10"/>
          <w:sz w:val="20"/>
          <w:szCs w:val="20"/>
        </w:rPr>
        <w:t xml:space="preserve"> </w:t>
      </w:r>
      <w:r>
        <w:rPr>
          <w:rFonts w:ascii="Avenir Next" w:eastAsia="Avenir Next" w:hAnsi="Avenir Next" w:cs="Avenir Next"/>
          <w:b/>
          <w:bCs/>
          <w:spacing w:val="-6"/>
          <w:sz w:val="20"/>
          <w:szCs w:val="20"/>
        </w:rPr>
        <w:t>capital</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7"/>
          <w:sz w:val="20"/>
          <w:szCs w:val="20"/>
        </w:rPr>
        <w:t>contributions)</w:t>
      </w:r>
      <w:r>
        <w:rPr>
          <w:rFonts w:ascii="Avenir Next" w:eastAsia="Avenir Next" w:hAnsi="Avenir Next" w:cs="Avenir Next"/>
          <w:b/>
          <w:bCs/>
          <w:spacing w:val="-14"/>
          <w:sz w:val="20"/>
          <w:szCs w:val="20"/>
        </w:rPr>
        <w:t xml:space="preserve"> </w:t>
      </w:r>
      <w:r>
        <w:rPr>
          <w:rFonts w:ascii="Avenir Next" w:eastAsia="Avenir Next" w:hAnsi="Avenir Next" w:cs="Avenir Next"/>
          <w:b/>
          <w:bCs/>
          <w:spacing w:val="-6"/>
          <w:sz w:val="20"/>
          <w:szCs w:val="20"/>
        </w:rPr>
        <w:t>($m,</w:t>
      </w:r>
      <w:r>
        <w:rPr>
          <w:rFonts w:ascii="Avenir Next" w:eastAsia="Avenir Next" w:hAnsi="Avenir Next" w:cs="Avenir Next"/>
          <w:b/>
          <w:bCs/>
          <w:spacing w:val="-20"/>
          <w:sz w:val="20"/>
          <w:szCs w:val="20"/>
        </w:rPr>
        <w:t xml:space="preserve"> </w:t>
      </w:r>
      <w:r>
        <w:rPr>
          <w:rFonts w:ascii="Avenir Next" w:eastAsia="Avenir Next" w:hAnsi="Avenir Next" w:cs="Avenir Next"/>
          <w:b/>
          <w:bCs/>
          <w:spacing w:val="-7"/>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76"/>
        <w:gridCol w:w="1182"/>
        <w:gridCol w:w="1182"/>
        <w:gridCol w:w="1182"/>
        <w:gridCol w:w="1182"/>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1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1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1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1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p>
        </w:tc>
        <w:tc>
          <w:tcPr>
            <w:tcW w:w="12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6"/>
              <w:jc w:val="center"/>
              <w:rPr>
                <w:rFonts w:ascii="Avenir Next Condensed" w:eastAsia="Avenir Next Condensed" w:hAnsi="Avenir Next Condensed" w:cs="Avenir Next Condensed"/>
                <w:sz w:val="18"/>
                <w:szCs w:val="18"/>
              </w:rPr>
            </w:pPr>
            <w:r>
              <w:rPr>
                <w:rFonts w:ascii="Avenir Next Condensed"/>
                <w:sz w:val="18"/>
              </w:rPr>
              <w:t>24.25</w:t>
            </w:r>
          </w:p>
        </w:tc>
        <w:tc>
          <w:tcPr>
            <w:tcW w:w="11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37.67</w:t>
            </w:r>
          </w:p>
        </w:tc>
        <w:tc>
          <w:tcPr>
            <w:tcW w:w="11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43.04</w:t>
            </w:r>
          </w:p>
        </w:tc>
        <w:tc>
          <w:tcPr>
            <w:tcW w:w="11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34.30</w:t>
            </w:r>
          </w:p>
        </w:tc>
        <w:tc>
          <w:tcPr>
            <w:tcW w:w="11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32.16</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Sewerage</w:t>
            </w:r>
          </w:p>
        </w:tc>
        <w:tc>
          <w:tcPr>
            <w:tcW w:w="12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
              <w:jc w:val="center"/>
              <w:rPr>
                <w:rFonts w:ascii="Avenir Next Condensed" w:eastAsia="Avenir Next Condensed" w:hAnsi="Avenir Next Condensed" w:cs="Avenir Next Condensed"/>
                <w:sz w:val="18"/>
                <w:szCs w:val="18"/>
              </w:rPr>
            </w:pPr>
            <w:r>
              <w:rPr>
                <w:rFonts w:ascii="Avenir Next Condensed"/>
                <w:sz w:val="18"/>
              </w:rPr>
              <w:t>31.87</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64.86</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87.37</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81.21</w:t>
            </w:r>
          </w:p>
        </w:tc>
        <w:tc>
          <w:tcPr>
            <w:tcW w:w="11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6"/>
              <w:rPr>
                <w:rFonts w:ascii="Avenir Next Condensed" w:eastAsia="Avenir Next Condensed" w:hAnsi="Avenir Next Condensed" w:cs="Avenir Next Condensed"/>
                <w:sz w:val="18"/>
                <w:szCs w:val="18"/>
              </w:rPr>
            </w:pPr>
            <w:r>
              <w:rPr>
                <w:rFonts w:ascii="Avenir Next Condensed"/>
                <w:sz w:val="18"/>
              </w:rPr>
              <w:t>59.67</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pacing w:val="-3"/>
          <w:sz w:val="16"/>
          <w:szCs w:val="16"/>
        </w:rPr>
        <w:t xml:space="preserve"> ACTEW,</w:t>
      </w:r>
      <w:r>
        <w:rPr>
          <w:rFonts w:ascii="Avenir Next" w:eastAsia="Avenir Next" w:hAnsi="Avenir Next" w:cs="Avenir Next"/>
          <w:spacing w:val="-8"/>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A1 </w:t>
      </w:r>
      <w:r>
        <w:rPr>
          <w:rFonts w:ascii="Avenir Next" w:eastAsia="Avenir Next" w:hAnsi="Avenir Next" w:cs="Avenir Next"/>
          <w:spacing w:val="-1"/>
          <w:sz w:val="16"/>
          <w:szCs w:val="16"/>
        </w:rPr>
        <w:t>PTRM</w:t>
      </w:r>
      <w:r>
        <w:rPr>
          <w:rFonts w:ascii="Avenir Next" w:eastAsia="Avenir Next" w:hAnsi="Avenir Next" w:cs="Avenir Next"/>
          <w:sz w:val="16"/>
          <w:szCs w:val="16"/>
        </w:rPr>
        <w:t xml:space="preserve"> FY14-FY18</w:t>
      </w:r>
      <w:r>
        <w:rPr>
          <w:rFonts w:ascii="Avenir Next" w:eastAsia="Avenir Next" w:hAnsi="Avenir Next" w:cs="Avenir Next"/>
          <w:spacing w:val="-2"/>
          <w:sz w:val="16"/>
          <w:szCs w:val="16"/>
        </w:rPr>
        <w:t xml:space="preserve"> </w:t>
      </w:r>
      <w:r>
        <w:rPr>
          <w:rFonts w:ascii="Avenir Next" w:eastAsia="Avenir Next" w:hAnsi="Avenir Next" w:cs="Avenir Next"/>
          <w:spacing w:val="-1"/>
          <w:sz w:val="16"/>
          <w:szCs w:val="16"/>
        </w:rPr>
        <w:t>Water_amended</w:t>
      </w:r>
      <w:r>
        <w:rPr>
          <w:rFonts w:ascii="Avenir Next" w:eastAsia="Avenir Next" w:hAnsi="Avenir Next" w:cs="Avenir Next"/>
          <w:sz w:val="16"/>
          <w:szCs w:val="16"/>
        </w:rPr>
        <w:t xml:space="preserve"> 18sept2014.xlsm and</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A2 </w:t>
      </w:r>
      <w:r>
        <w:rPr>
          <w:rFonts w:ascii="Avenir Next" w:eastAsia="Avenir Next" w:hAnsi="Avenir Next" w:cs="Avenir Next"/>
          <w:spacing w:val="-1"/>
          <w:sz w:val="16"/>
          <w:szCs w:val="16"/>
        </w:rPr>
        <w:t>PTRM</w:t>
      </w:r>
      <w:r>
        <w:rPr>
          <w:rFonts w:ascii="Avenir Next" w:eastAsia="Avenir Next" w:hAnsi="Avenir Next" w:cs="Avenir Next"/>
          <w:sz w:val="16"/>
          <w:szCs w:val="16"/>
        </w:rPr>
        <w:t xml:space="preserve"> FY14-FY18</w:t>
      </w:r>
      <w:r>
        <w:rPr>
          <w:rFonts w:ascii="Avenir Next" w:eastAsia="Avenir Next" w:hAnsi="Avenir Next" w:cs="Avenir Next"/>
          <w:spacing w:val="69"/>
          <w:sz w:val="16"/>
          <w:szCs w:val="16"/>
        </w:rPr>
        <w:t xml:space="preserve"> </w:t>
      </w:r>
      <w:r>
        <w:rPr>
          <w:rFonts w:ascii="Avenir Next" w:eastAsia="Avenir Next" w:hAnsi="Avenir Next" w:cs="Avenir Next"/>
          <w:spacing w:val="-1"/>
          <w:sz w:val="16"/>
          <w:szCs w:val="16"/>
        </w:rPr>
        <w:t xml:space="preserve">Sewerage_amended </w:t>
      </w:r>
      <w:r>
        <w:rPr>
          <w:rFonts w:ascii="Avenir Next" w:eastAsia="Avenir Next" w:hAnsi="Avenir Next" w:cs="Avenir Next"/>
          <w:sz w:val="16"/>
          <w:szCs w:val="16"/>
        </w:rPr>
        <w:t>18sept2014.xlsm.</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 xml:space="preserve">This </w:t>
      </w:r>
      <w:r>
        <w:rPr>
          <w:rFonts w:ascii="Avenir Next" w:eastAsia="Avenir Next" w:hAnsi="Avenir Next" w:cs="Avenir Next"/>
          <w:sz w:val="16"/>
          <w:szCs w:val="16"/>
        </w:rPr>
        <w:t>is</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SOFC</w:t>
      </w:r>
      <w:r>
        <w:rPr>
          <w:rFonts w:ascii="Avenir Next" w:eastAsia="Avenir Next" w:hAnsi="Avenir Next" w:cs="Avenir Next"/>
          <w:spacing w:val="-1"/>
          <w:sz w:val="16"/>
          <w:szCs w:val="16"/>
        </w:rPr>
        <w:t xml:space="preserve"> forecast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revised</w:t>
      </w:r>
      <w:r>
        <w:rPr>
          <w:rFonts w:ascii="Avenir Next" w:eastAsia="Avenir Next" w:hAnsi="Avenir Next" w:cs="Avenir Next"/>
          <w:sz w:val="16"/>
          <w:szCs w:val="16"/>
        </w:rPr>
        <w:t xml:space="preserve"> to</w:t>
      </w:r>
      <w:r>
        <w:rPr>
          <w:rFonts w:ascii="Avenir Next" w:eastAsia="Avenir Next" w:hAnsi="Avenir Next" w:cs="Avenir Next"/>
          <w:spacing w:val="-1"/>
          <w:sz w:val="16"/>
          <w:szCs w:val="16"/>
        </w:rPr>
        <w:t xml:space="preserve"> take</w:t>
      </w:r>
      <w:r>
        <w:rPr>
          <w:rFonts w:ascii="Avenir Next" w:eastAsia="Avenir Next" w:hAnsi="Avenir Next" w:cs="Avenir Next"/>
          <w:sz w:val="16"/>
          <w:szCs w:val="16"/>
        </w:rPr>
        <w:t xml:space="preserve"> account of</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the continuing</w:t>
      </w:r>
      <w:r>
        <w:rPr>
          <w:rFonts w:ascii="Avenir Next" w:eastAsia="Avenir Next" w:hAnsi="Avenir Next" w:cs="Avenir Next"/>
          <w:spacing w:val="-1"/>
          <w:sz w:val="16"/>
          <w:szCs w:val="16"/>
        </w:rPr>
        <w:t xml:space="preserve"> efficiency</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factor.</w:t>
      </w:r>
      <w:r>
        <w:rPr>
          <w:rFonts w:ascii="Avenir Next" w:eastAsia="Avenir Next" w:hAnsi="Avenir Next" w:cs="Avenir Next"/>
          <w:spacing w:val="85"/>
          <w:sz w:val="16"/>
          <w:szCs w:val="16"/>
        </w:rPr>
        <w:t xml:space="preserve"> </w:t>
      </w:r>
      <w:r>
        <w:rPr>
          <w:rFonts w:ascii="Avenir Next" w:eastAsia="Avenir Next" w:hAnsi="Avenir Next" w:cs="Avenir Next"/>
          <w:spacing w:val="-1"/>
          <w:sz w:val="16"/>
          <w:szCs w:val="16"/>
        </w:rPr>
        <w:t xml:space="preserve">Figures </w:t>
      </w:r>
      <w:r>
        <w:rPr>
          <w:rFonts w:ascii="Avenir Next" w:eastAsia="Avenir Next" w:hAnsi="Avenir Next" w:cs="Avenir Next"/>
          <w:sz w:val="16"/>
          <w:szCs w:val="16"/>
        </w:rPr>
        <w:t>adjusted for</w:t>
      </w:r>
      <w:r>
        <w:rPr>
          <w:rFonts w:ascii="Avenir Next" w:eastAsia="Avenir Next" w:hAnsi="Avenir Next" w:cs="Avenir Next"/>
          <w:spacing w:val="-1"/>
          <w:sz w:val="16"/>
          <w:szCs w:val="16"/>
        </w:rPr>
        <w:t xml:space="preserve"> inflation</w:t>
      </w:r>
      <w:r>
        <w:rPr>
          <w:rFonts w:ascii="Avenir Next" w:eastAsia="Avenir Next" w:hAnsi="Avenir Next" w:cs="Avenir Next"/>
          <w:sz w:val="16"/>
          <w:szCs w:val="16"/>
        </w:rPr>
        <w:t xml:space="preserve"> of</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2.5% per</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annum.</w:t>
      </w:r>
    </w:p>
    <w:p w:rsidR="00D96B91" w:rsidRDefault="00D96B91">
      <w:pPr>
        <w:spacing w:before="11"/>
        <w:rPr>
          <w:rFonts w:ascii="Avenir Next" w:eastAsia="Avenir Next" w:hAnsi="Avenir Next" w:cs="Avenir Next"/>
          <w:sz w:val="15"/>
          <w:szCs w:val="15"/>
        </w:rPr>
      </w:pPr>
    </w:p>
    <w:p w:rsidR="00D96B91" w:rsidRDefault="00C2656B">
      <w:pPr>
        <w:pStyle w:val="Heading6"/>
        <w:numPr>
          <w:ilvl w:val="2"/>
          <w:numId w:val="74"/>
        </w:numPr>
        <w:tabs>
          <w:tab w:val="left" w:pos="2098"/>
        </w:tabs>
        <w:ind w:hanging="850"/>
      </w:pPr>
      <w:r>
        <w:rPr>
          <w:color w:val="0778BE"/>
        </w:rPr>
        <w:t>Other submissions</w:t>
      </w:r>
    </w:p>
    <w:p w:rsidR="00D96B91" w:rsidRDefault="00C2656B">
      <w:pPr>
        <w:pStyle w:val="BodyText"/>
        <w:spacing w:before="21" w:line="260" w:lineRule="exact"/>
        <w:ind w:right="1256"/>
        <w:rPr>
          <w:sz w:val="11"/>
          <w:szCs w:val="11"/>
        </w:rPr>
      </w:pPr>
      <w:r>
        <w:rPr>
          <w:rFonts w:cs="Avenir Next"/>
        </w:rPr>
        <w:t xml:space="preserve">In other submissions </w:t>
      </w:r>
      <w:r>
        <w:rPr>
          <w:rFonts w:cs="Avenir Next"/>
          <w:spacing w:val="-1"/>
        </w:rPr>
        <w:t>received</w:t>
      </w:r>
      <w:r>
        <w:rPr>
          <w:rFonts w:cs="Avenir Next"/>
        </w:rPr>
        <w:t xml:space="preserve"> by the </w:t>
      </w:r>
      <w:r>
        <w:rPr>
          <w:rFonts w:cs="Avenir Next"/>
          <w:spacing w:val="-3"/>
        </w:rPr>
        <w:t>Panel</w:t>
      </w:r>
      <w:r>
        <w:rPr>
          <w:rFonts w:cs="Avenir Next"/>
        </w:rPr>
        <w:t xml:space="preserve"> to </w:t>
      </w:r>
      <w:r>
        <w:rPr>
          <w:rFonts w:cs="Avenir Next"/>
          <w:spacing w:val="-1"/>
        </w:rPr>
        <w:t>date,</w:t>
      </w:r>
      <w:r>
        <w:rPr>
          <w:rFonts w:cs="Avenir Next"/>
          <w:spacing w:val="-6"/>
        </w:rPr>
        <w:t xml:space="preserve"> </w:t>
      </w:r>
      <w:r>
        <w:rPr>
          <w:rFonts w:cs="Avenir Next"/>
        </w:rPr>
        <w:t xml:space="preserve">two </w:t>
      </w:r>
      <w:r>
        <w:rPr>
          <w:rFonts w:cs="Avenir Next"/>
          <w:spacing w:val="-1"/>
        </w:rPr>
        <w:t>stakeholders</w:t>
      </w:r>
      <w:r>
        <w:rPr>
          <w:rFonts w:cs="Avenir Next"/>
        </w:rPr>
        <w:t xml:space="preserve"> </w:t>
      </w:r>
      <w:r>
        <w:rPr>
          <w:rFonts w:cs="Avenir Next"/>
          <w:spacing w:val="-1"/>
        </w:rPr>
        <w:t>raised</w:t>
      </w:r>
      <w:r>
        <w:rPr>
          <w:rFonts w:cs="Avenir Next"/>
        </w:rPr>
        <w:t xml:space="preserve"> concerns about the</w:t>
      </w:r>
      <w:r>
        <w:rPr>
          <w:rFonts w:cs="Avenir Next"/>
          <w:spacing w:val="41"/>
        </w:rPr>
        <w:t xml:space="preserve"> </w:t>
      </w:r>
      <w:r>
        <w:rPr>
          <w:rFonts w:cs="Avenir Next"/>
          <w:spacing w:val="-1"/>
        </w:rPr>
        <w:t>transparency</w:t>
      </w:r>
      <w:r>
        <w:rPr>
          <w:rFonts w:cs="Avenir Next"/>
        </w:rPr>
        <w:t xml:space="preserve"> of</w:t>
      </w:r>
      <w:r>
        <w:rPr>
          <w:rFonts w:cs="Avenir Next"/>
          <w:spacing w:val="1"/>
        </w:rPr>
        <w:t xml:space="preserve"> </w:t>
      </w:r>
      <w:r>
        <w:rPr>
          <w:rFonts w:cs="Avenir Next"/>
          <w:spacing w:val="-2"/>
        </w:rPr>
        <w:t>ACTEW’s</w:t>
      </w:r>
      <w:r>
        <w:rPr>
          <w:rFonts w:cs="Avenir Next"/>
        </w:rPr>
        <w:t xml:space="preserve"> actual </w:t>
      </w:r>
      <w:r>
        <w:rPr>
          <w:rFonts w:cs="Avenir Next"/>
          <w:spacing w:val="-1"/>
        </w:rPr>
        <w:t>expenditure</w:t>
      </w:r>
      <w:r>
        <w:rPr>
          <w:rFonts w:cs="Avenir Next"/>
        </w:rPr>
        <w:t xml:space="preserve"> and</w:t>
      </w:r>
      <w:r>
        <w:rPr>
          <w:rFonts w:cs="Avenir Next"/>
          <w:spacing w:val="-4"/>
        </w:rPr>
        <w:t xml:space="preserve"> </w:t>
      </w:r>
      <w:r>
        <w:rPr>
          <w:rFonts w:cs="Avenir Next"/>
          <w:spacing w:val="-2"/>
        </w:rPr>
        <w:t>ACTEW’s</w:t>
      </w:r>
      <w:r>
        <w:rPr>
          <w:rFonts w:cs="Avenir Next"/>
        </w:rPr>
        <w:t xml:space="preserve"> competency in budgeting for major capital</w:t>
      </w:r>
      <w:r>
        <w:rPr>
          <w:rFonts w:cs="Avenir Next"/>
          <w:spacing w:val="25"/>
        </w:rPr>
        <w:t xml:space="preserve"> </w:t>
      </w:r>
      <w:r>
        <w:rPr>
          <w:spacing w:val="-1"/>
        </w:rPr>
        <w:t>projects.</w:t>
      </w:r>
      <w:r>
        <w:rPr>
          <w:spacing w:val="-1"/>
          <w:position w:val="7"/>
          <w:sz w:val="11"/>
          <w:szCs w:val="11"/>
        </w:rPr>
        <w:t>123</w:t>
      </w:r>
      <w:r>
        <w:rPr>
          <w:spacing w:val="18"/>
          <w:position w:val="7"/>
          <w:sz w:val="11"/>
          <w:szCs w:val="11"/>
        </w:rPr>
        <w:t xml:space="preserve"> </w:t>
      </w:r>
      <w:r>
        <w:rPr>
          <w:rFonts w:cs="Avenir Next"/>
          <w:spacing w:val="-2"/>
        </w:rPr>
        <w:t>The</w:t>
      </w:r>
      <w:r>
        <w:rPr>
          <w:rFonts w:cs="Avenir Next"/>
          <w:spacing w:val="1"/>
        </w:rPr>
        <w:t xml:space="preserve"> </w:t>
      </w:r>
      <w:r>
        <w:rPr>
          <w:rFonts w:cs="Avenir Next"/>
          <w:spacing w:val="-1"/>
        </w:rPr>
        <w:t>Ratepayers</w:t>
      </w:r>
      <w:r>
        <w:rPr>
          <w:rFonts w:cs="Avenir Next"/>
          <w:spacing w:val="-4"/>
        </w:rPr>
        <w:t xml:space="preserve"> </w:t>
      </w:r>
      <w:r>
        <w:rPr>
          <w:rFonts w:cs="Avenir Next"/>
          <w:spacing w:val="-1"/>
        </w:rPr>
        <w:t>Association</w:t>
      </w:r>
      <w:r>
        <w:rPr>
          <w:rFonts w:cs="Avenir Next"/>
          <w:spacing w:val="1"/>
        </w:rPr>
        <w:t xml:space="preserve"> </w:t>
      </w:r>
      <w:r>
        <w:rPr>
          <w:rFonts w:cs="Avenir Next"/>
        </w:rPr>
        <w:t>of</w:t>
      </w:r>
      <w:r>
        <w:rPr>
          <w:rFonts w:cs="Avenir Next"/>
          <w:spacing w:val="5"/>
        </w:rPr>
        <w:t xml:space="preserve"> </w:t>
      </w:r>
      <w:r>
        <w:rPr>
          <w:rFonts w:cs="Avenir Next"/>
        </w:rPr>
        <w:t>the</w:t>
      </w:r>
      <w:r>
        <w:rPr>
          <w:rFonts w:cs="Avenir Next"/>
          <w:spacing w:val="-3"/>
        </w:rPr>
        <w:t xml:space="preserve"> </w:t>
      </w:r>
      <w:r>
        <w:rPr>
          <w:rFonts w:cs="Avenir Next"/>
          <w:spacing w:val="-2"/>
        </w:rPr>
        <w:t>ACT</w:t>
      </w:r>
      <w:r>
        <w:rPr>
          <w:rFonts w:cs="Avenir Next"/>
          <w:spacing w:val="-5"/>
        </w:rPr>
        <w:t xml:space="preserve"> </w:t>
      </w:r>
      <w:r>
        <w:rPr>
          <w:rFonts w:cs="Avenir Next"/>
        </w:rPr>
        <w:t>also</w:t>
      </w:r>
      <w:r>
        <w:rPr>
          <w:rFonts w:cs="Avenir Next"/>
          <w:spacing w:val="1"/>
        </w:rPr>
        <w:t xml:space="preserve"> </w:t>
      </w:r>
      <w:r>
        <w:rPr>
          <w:rFonts w:cs="Avenir Next"/>
          <w:spacing w:val="-1"/>
        </w:rPr>
        <w:t>raised</w:t>
      </w:r>
      <w:r>
        <w:rPr>
          <w:rFonts w:cs="Avenir Next"/>
          <w:spacing w:val="1"/>
        </w:rPr>
        <w:t xml:space="preserve"> </w:t>
      </w:r>
      <w:r>
        <w:rPr>
          <w:rFonts w:cs="Avenir Next"/>
        </w:rPr>
        <w:t>concerns</w:t>
      </w:r>
      <w:r>
        <w:rPr>
          <w:rFonts w:cs="Avenir Next"/>
          <w:spacing w:val="1"/>
        </w:rPr>
        <w:t xml:space="preserve"> </w:t>
      </w:r>
      <w:r>
        <w:rPr>
          <w:rFonts w:cs="Avenir Next"/>
        </w:rPr>
        <w:t>about the</w:t>
      </w:r>
      <w:r>
        <w:rPr>
          <w:rFonts w:cs="Avenir Next"/>
          <w:spacing w:val="1"/>
        </w:rPr>
        <w:t xml:space="preserve"> </w:t>
      </w:r>
      <w:r>
        <w:rPr>
          <w:rFonts w:cs="Avenir Next"/>
        </w:rPr>
        <w:t>potential</w:t>
      </w:r>
      <w:r>
        <w:rPr>
          <w:rFonts w:cs="Avenir Next"/>
          <w:spacing w:val="1"/>
        </w:rPr>
        <w:t xml:space="preserve"> </w:t>
      </w:r>
      <w:r>
        <w:rPr>
          <w:rFonts w:cs="Avenir Next"/>
        </w:rPr>
        <w:t>for</w:t>
      </w:r>
      <w:r>
        <w:rPr>
          <w:rFonts w:cs="Avenir Next"/>
          <w:spacing w:val="1"/>
        </w:rPr>
        <w:t xml:space="preserve"> </w:t>
      </w:r>
      <w:r>
        <w:rPr>
          <w:rFonts w:cs="Avenir Next"/>
        </w:rPr>
        <w:t>the</w:t>
      </w:r>
      <w:r>
        <w:rPr>
          <w:rFonts w:cs="Avenir Next"/>
          <w:spacing w:val="1"/>
        </w:rPr>
        <w:t xml:space="preserve"> </w:t>
      </w:r>
      <w:r>
        <w:rPr>
          <w:rFonts w:cs="Avenir Next"/>
          <w:spacing w:val="-2"/>
        </w:rPr>
        <w:t>‘gold</w:t>
      </w:r>
      <w:r>
        <w:rPr>
          <w:rFonts w:cs="Avenir Next"/>
          <w:spacing w:val="57"/>
        </w:rPr>
        <w:t xml:space="preserve"> </w:t>
      </w:r>
      <w:r>
        <w:rPr>
          <w:spacing w:val="-1"/>
        </w:rPr>
        <w:t>plating’</w:t>
      </w:r>
      <w:r>
        <w:rPr>
          <w:spacing w:val="1"/>
        </w:rPr>
        <w:t xml:space="preserve"> </w:t>
      </w:r>
      <w:r>
        <w:t>of</w:t>
      </w:r>
      <w:r>
        <w:rPr>
          <w:spacing w:val="3"/>
        </w:rPr>
        <w:t xml:space="preserve"> </w:t>
      </w:r>
      <w:r>
        <w:rPr>
          <w:spacing w:val="-2"/>
        </w:rPr>
        <w:t>ACTEW’s</w:t>
      </w:r>
      <w:r>
        <w:rPr>
          <w:spacing w:val="2"/>
        </w:rPr>
        <w:t xml:space="preserve"> </w:t>
      </w:r>
      <w:r>
        <w:rPr>
          <w:spacing w:val="-1"/>
        </w:rPr>
        <w:t>water</w:t>
      </w:r>
      <w:r>
        <w:rPr>
          <w:spacing w:val="2"/>
        </w:rPr>
        <w:t xml:space="preserve"> </w:t>
      </w:r>
      <w:r>
        <w:t>and</w:t>
      </w:r>
      <w:r>
        <w:rPr>
          <w:spacing w:val="2"/>
        </w:rPr>
        <w:t xml:space="preserve"> </w:t>
      </w:r>
      <w:r>
        <w:rPr>
          <w:spacing w:val="-1"/>
        </w:rPr>
        <w:t>sewerage</w:t>
      </w:r>
      <w:r>
        <w:rPr>
          <w:spacing w:val="2"/>
        </w:rPr>
        <w:t xml:space="preserve"> </w:t>
      </w:r>
      <w:r>
        <w:rPr>
          <w:spacing w:val="-1"/>
        </w:rPr>
        <w:t>infrastructure.</w:t>
      </w:r>
      <w:r>
        <w:rPr>
          <w:spacing w:val="-1"/>
          <w:position w:val="7"/>
          <w:sz w:val="11"/>
          <w:szCs w:val="11"/>
        </w:rPr>
        <w:t>124</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74"/>
        </w:numPr>
        <w:tabs>
          <w:tab w:val="left" w:pos="2098"/>
        </w:tabs>
        <w:ind w:hanging="850"/>
      </w:pPr>
      <w:r>
        <w:rPr>
          <w:color w:val="0778BE"/>
          <w:spacing w:val="-3"/>
        </w:rPr>
        <w:t>Cardno’s</w:t>
      </w:r>
      <w:r>
        <w:rPr>
          <w:color w:val="0778BE"/>
        </w:rPr>
        <w:t xml:space="preserve"> advice</w:t>
      </w:r>
    </w:p>
    <w:p w:rsidR="00D96B91" w:rsidRDefault="00C2656B">
      <w:pPr>
        <w:pStyle w:val="BodyText"/>
        <w:spacing w:before="21" w:line="260" w:lineRule="exact"/>
        <w:ind w:right="1283"/>
        <w:rPr>
          <w:rFonts w:cs="Avenir Next"/>
        </w:rPr>
      </w:pPr>
      <w:r>
        <w:rPr>
          <w:spacing w:val="-10"/>
        </w:rPr>
        <w:t>To</w:t>
      </w:r>
      <w:r>
        <w:t xml:space="preserve"> assist it in </w:t>
      </w:r>
      <w:r>
        <w:rPr>
          <w:spacing w:val="-1"/>
        </w:rPr>
        <w:t>reviewing</w:t>
      </w:r>
      <w:r>
        <w:t xml:space="preserve"> the </w:t>
      </w:r>
      <w:r>
        <w:rPr>
          <w:spacing w:val="-1"/>
        </w:rPr>
        <w:t>forecast</w:t>
      </w:r>
      <w:r>
        <w:t xml:space="preserve"> capital </w:t>
      </w:r>
      <w:r>
        <w:rPr>
          <w:spacing w:val="-1"/>
        </w:rPr>
        <w:t>expenditure</w:t>
      </w:r>
      <w:r>
        <w:t xml:space="preserve"> to be included in the RAB,</w:t>
      </w:r>
      <w:r>
        <w:rPr>
          <w:spacing w:val="-7"/>
        </w:rPr>
        <w:t xml:space="preserve"> </w:t>
      </w:r>
      <w:r>
        <w:t xml:space="preserve">the </w:t>
      </w:r>
      <w:r>
        <w:rPr>
          <w:spacing w:val="-3"/>
        </w:rPr>
        <w:t>Panel</w:t>
      </w:r>
      <w:r>
        <w:t xml:space="preserve"> </w:t>
      </w:r>
      <w:r>
        <w:rPr>
          <w:spacing w:val="-1"/>
        </w:rPr>
        <w:t>asked</w:t>
      </w:r>
      <w:r>
        <w:rPr>
          <w:spacing w:val="37"/>
        </w:rPr>
        <w:t xml:space="preserve"> </w:t>
      </w:r>
      <w:r>
        <w:rPr>
          <w:spacing w:val="-2"/>
        </w:rPr>
        <w:t>Cardno</w:t>
      </w:r>
      <w:r>
        <w:t xml:space="preserve"> to:</w:t>
      </w:r>
    </w:p>
    <w:p w:rsidR="00D96B91" w:rsidRDefault="00C2656B">
      <w:pPr>
        <w:pStyle w:val="BodyText"/>
        <w:numPr>
          <w:ilvl w:val="0"/>
          <w:numId w:val="131"/>
        </w:numPr>
        <w:tabs>
          <w:tab w:val="left" w:pos="1531"/>
        </w:tabs>
        <w:spacing w:before="170" w:line="260" w:lineRule="exact"/>
        <w:ind w:right="1603" w:hanging="283"/>
        <w:rPr>
          <w:rFonts w:cs="Avenir Next"/>
        </w:rPr>
      </w:pPr>
      <w:r>
        <w:rPr>
          <w:spacing w:val="-1"/>
        </w:rPr>
        <w:t>undertake</w:t>
      </w:r>
      <w:r>
        <w:t xml:space="preserve"> a </w:t>
      </w:r>
      <w:r>
        <w:rPr>
          <w:spacing w:val="-1"/>
        </w:rPr>
        <w:t>strategic</w:t>
      </w:r>
      <w:r>
        <w:t xml:space="preserve"> </w:t>
      </w:r>
      <w:r>
        <w:rPr>
          <w:spacing w:val="-1"/>
        </w:rPr>
        <w:t>review</w:t>
      </w:r>
      <w:r>
        <w:t xml:space="preserve"> of</w:t>
      </w:r>
      <w:r>
        <w:rPr>
          <w:spacing w:val="1"/>
        </w:rPr>
        <w:t xml:space="preserve"> </w:t>
      </w:r>
      <w:r>
        <w:rPr>
          <w:spacing w:val="-2"/>
        </w:rPr>
        <w:t>ACTEW’s</w:t>
      </w:r>
      <w:r>
        <w:t xml:space="preserve"> governance </w:t>
      </w:r>
      <w:r>
        <w:rPr>
          <w:spacing w:val="-1"/>
        </w:rPr>
        <w:t>processes</w:t>
      </w:r>
      <w:r>
        <w:t xml:space="preserve"> for capital </w:t>
      </w:r>
      <w:r>
        <w:rPr>
          <w:spacing w:val="-1"/>
        </w:rPr>
        <w:t>expenditure</w:t>
      </w:r>
      <w:r>
        <w:t xml:space="preserve"> decision-</w:t>
      </w:r>
      <w:r>
        <w:rPr>
          <w:spacing w:val="39"/>
        </w:rPr>
        <w:t xml:space="preserve"> </w:t>
      </w:r>
      <w:r>
        <w:t>making</w:t>
      </w:r>
      <w:r>
        <w:rPr>
          <w:spacing w:val="-1"/>
        </w:rPr>
        <w:t xml:space="preserve"> </w:t>
      </w:r>
      <w:r>
        <w:t xml:space="preserve">and </w:t>
      </w:r>
      <w:r>
        <w:rPr>
          <w:spacing w:val="-1"/>
        </w:rPr>
        <w:t xml:space="preserve">provide </w:t>
      </w:r>
      <w:r>
        <w:t>advice as to</w:t>
      </w:r>
      <w:r>
        <w:rPr>
          <w:spacing w:val="-1"/>
        </w:rPr>
        <w:t xml:space="preserve"> </w:t>
      </w:r>
      <w:r>
        <w:t xml:space="preserve">whether these </w:t>
      </w:r>
      <w:r>
        <w:rPr>
          <w:spacing w:val="-1"/>
        </w:rPr>
        <w:t xml:space="preserve">processes </w:t>
      </w:r>
      <w:r>
        <w:rPr>
          <w:spacing w:val="-2"/>
        </w:rPr>
        <w:t>are</w:t>
      </w:r>
      <w:r>
        <w:t xml:space="preserve"> a)</w:t>
      </w:r>
      <w:r>
        <w:rPr>
          <w:spacing w:val="-1"/>
        </w:rPr>
        <w:t xml:space="preserve"> reasonable,</w:t>
      </w:r>
      <w:r>
        <w:rPr>
          <w:spacing w:val="-6"/>
        </w:rPr>
        <w:t xml:space="preserve"> </w:t>
      </w:r>
      <w:r>
        <w:t>and b)</w:t>
      </w:r>
      <w:r>
        <w:rPr>
          <w:spacing w:val="-1"/>
        </w:rPr>
        <w:t xml:space="preserve"> sufficient</w:t>
      </w:r>
      <w:r>
        <w:t xml:space="preserve"> to</w:t>
      </w:r>
      <w:r>
        <w:rPr>
          <w:spacing w:val="43"/>
        </w:rPr>
        <w:t xml:space="preserve"> </w:t>
      </w:r>
      <w:r>
        <w:rPr>
          <w:rFonts w:cs="Avenir Next"/>
        </w:rPr>
        <w:t xml:space="preserve">manage the </w:t>
      </w:r>
      <w:r>
        <w:rPr>
          <w:rFonts w:cs="Avenir Next"/>
          <w:spacing w:val="-1"/>
        </w:rPr>
        <w:t>risks</w:t>
      </w:r>
      <w:r>
        <w:rPr>
          <w:rFonts w:cs="Avenir Next"/>
        </w:rPr>
        <w:t xml:space="preserve"> in delivering its capital </w:t>
      </w:r>
      <w:r>
        <w:rPr>
          <w:rFonts w:cs="Avenir Next"/>
          <w:spacing w:val="-1"/>
        </w:rPr>
        <w:t>program,</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85" w:line="260" w:lineRule="exact"/>
        <w:ind w:right="1582" w:hanging="283"/>
      </w:pPr>
      <w:r>
        <w:rPr>
          <w:spacing w:val="-1"/>
        </w:rPr>
        <w:t>review</w:t>
      </w:r>
      <w:r>
        <w:rPr>
          <w:spacing w:val="-4"/>
        </w:rPr>
        <w:t xml:space="preserve"> </w:t>
      </w:r>
      <w:r>
        <w:rPr>
          <w:spacing w:val="-2"/>
        </w:rPr>
        <w:t>ACTEW’s</w:t>
      </w:r>
      <w:r>
        <w:t xml:space="preserve"> </w:t>
      </w:r>
      <w:r>
        <w:rPr>
          <w:spacing w:val="-1"/>
        </w:rPr>
        <w:t>forecast</w:t>
      </w:r>
      <w:r>
        <w:t xml:space="preserve"> capital </w:t>
      </w:r>
      <w:r>
        <w:rPr>
          <w:spacing w:val="-1"/>
        </w:rPr>
        <w:t>expenditure</w:t>
      </w:r>
      <w:r>
        <w:t xml:space="preserve"> for the period 2013-14 to 2017-18 and </w:t>
      </w:r>
      <w:r>
        <w:rPr>
          <w:spacing w:val="-1"/>
        </w:rPr>
        <w:t>recommend</w:t>
      </w:r>
      <w:r>
        <w:rPr>
          <w:spacing w:val="35"/>
        </w:rPr>
        <w:t xml:space="preserve"> </w:t>
      </w:r>
      <w:r>
        <w:t>the</w:t>
      </w:r>
      <w:r>
        <w:rPr>
          <w:spacing w:val="-1"/>
        </w:rPr>
        <w:t xml:space="preserve"> </w:t>
      </w:r>
      <w:r>
        <w:t>level</w:t>
      </w:r>
      <w:r>
        <w:rPr>
          <w:spacing w:val="-1"/>
        </w:rPr>
        <w:t xml:space="preserve"> </w:t>
      </w:r>
      <w:r>
        <w:t>of</w:t>
      </w:r>
      <w:r>
        <w:rPr>
          <w:spacing w:val="4"/>
        </w:rPr>
        <w:t xml:space="preserve"> </w:t>
      </w:r>
      <w:r>
        <w:rPr>
          <w:spacing w:val="-1"/>
        </w:rPr>
        <w:t>forecast expenditure</w:t>
      </w:r>
      <w:r>
        <w:t xml:space="preserve"> it</w:t>
      </w:r>
      <w:r>
        <w:rPr>
          <w:spacing w:val="-1"/>
        </w:rPr>
        <w:t xml:space="preserve"> </w:t>
      </w:r>
      <w:r>
        <w:t>considers to</w:t>
      </w:r>
      <w:r>
        <w:rPr>
          <w:spacing w:val="-1"/>
        </w:rPr>
        <w:t xml:space="preserve"> </w:t>
      </w:r>
      <w:r>
        <w:t>be prudent</w:t>
      </w:r>
      <w:r>
        <w:rPr>
          <w:spacing w:val="-1"/>
        </w:rPr>
        <w:t xml:space="preserve"> </w:t>
      </w:r>
      <w:r>
        <w:t>and</w:t>
      </w:r>
      <w:r>
        <w:rPr>
          <w:spacing w:val="-1"/>
        </w:rPr>
        <w:t xml:space="preserve"> efficient.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rFonts w:cs="Avenir Next"/>
          <w:spacing w:val="-2"/>
        </w:rPr>
        <w:t>The</w:t>
      </w:r>
      <w:r>
        <w:rPr>
          <w:rFonts w:cs="Avenir Next"/>
        </w:rPr>
        <w:t xml:space="preserve"> </w:t>
      </w:r>
      <w:r>
        <w:rPr>
          <w:rFonts w:cs="Avenir Next"/>
          <w:spacing w:val="-3"/>
        </w:rPr>
        <w:t>Panel</w:t>
      </w:r>
      <w:r>
        <w:rPr>
          <w:rFonts w:cs="Avenir Next"/>
        </w:rPr>
        <w:t xml:space="preserve"> </w:t>
      </w:r>
      <w:r>
        <w:rPr>
          <w:rFonts w:cs="Avenir Next"/>
          <w:spacing w:val="-1"/>
        </w:rPr>
        <w:t>considered</w:t>
      </w:r>
      <w:r>
        <w:rPr>
          <w:rFonts w:cs="Avenir Next"/>
        </w:rPr>
        <w:t xml:space="preserve"> it </w:t>
      </w:r>
      <w:r>
        <w:rPr>
          <w:rFonts w:cs="Avenir Next"/>
          <w:spacing w:val="-1"/>
        </w:rPr>
        <w:t>appropriate</w:t>
      </w:r>
      <w:r>
        <w:rPr>
          <w:rFonts w:cs="Avenir Next"/>
        </w:rPr>
        <w:t xml:space="preserve"> to assess the </w:t>
      </w:r>
      <w:r>
        <w:rPr>
          <w:rFonts w:cs="Avenir Next"/>
          <w:spacing w:val="-1"/>
        </w:rPr>
        <w:t>progress</w:t>
      </w:r>
      <w:r>
        <w:rPr>
          <w:rFonts w:cs="Avenir Next"/>
          <w:spacing w:val="-4"/>
        </w:rPr>
        <w:t xml:space="preserve"> </w:t>
      </w:r>
      <w:r>
        <w:rPr>
          <w:rFonts w:cs="Avenir Next"/>
          <w:spacing w:val="-2"/>
        </w:rPr>
        <w:t>ACTEW</w:t>
      </w:r>
      <w:r>
        <w:rPr>
          <w:rFonts w:cs="Avenir Next"/>
          <w:spacing w:val="-3"/>
        </w:rPr>
        <w:t xml:space="preserve"> </w:t>
      </w:r>
      <w:r>
        <w:rPr>
          <w:rFonts w:cs="Avenir Next"/>
        </w:rPr>
        <w:t>had made in implementing its new</w:t>
      </w:r>
      <w:r>
        <w:rPr>
          <w:rFonts w:cs="Avenir Next"/>
          <w:spacing w:val="41"/>
        </w:rPr>
        <w:t xml:space="preserve"> </w:t>
      </w:r>
      <w:r>
        <w:rPr>
          <w:rFonts w:cs="Avenir Next"/>
        </w:rPr>
        <w:t xml:space="preserve">capital </w:t>
      </w:r>
      <w:r>
        <w:rPr>
          <w:rFonts w:cs="Avenir Next"/>
          <w:spacing w:val="-1"/>
        </w:rPr>
        <w:t>expenditure</w:t>
      </w:r>
      <w:r>
        <w:rPr>
          <w:rFonts w:cs="Avenir Next"/>
        </w:rPr>
        <w:t xml:space="preserve"> planning </w:t>
      </w:r>
      <w:r>
        <w:rPr>
          <w:rFonts w:cs="Avenir Next"/>
          <w:spacing w:val="-1"/>
        </w:rPr>
        <w:t>processes,</w:t>
      </w:r>
      <w:r>
        <w:rPr>
          <w:rFonts w:cs="Avenir Next"/>
          <w:spacing w:val="-6"/>
        </w:rPr>
        <w:t xml:space="preserve"> </w:t>
      </w:r>
      <w:r>
        <w:rPr>
          <w:rFonts w:cs="Avenir Next"/>
        </w:rPr>
        <w:t xml:space="preserve">given the concerns </w:t>
      </w:r>
      <w:r>
        <w:rPr>
          <w:rFonts w:cs="Avenir Next"/>
          <w:spacing w:val="-1"/>
        </w:rPr>
        <w:t>raised</w:t>
      </w:r>
      <w:r>
        <w:rPr>
          <w:rFonts w:cs="Avenir Next"/>
        </w:rPr>
        <w:t xml:space="preserve"> by the ICRC and </w:t>
      </w:r>
      <w:r>
        <w:rPr>
          <w:rFonts w:cs="Avenir Next"/>
          <w:spacing w:val="-2"/>
        </w:rPr>
        <w:t>Cardno</w:t>
      </w:r>
      <w:r>
        <w:rPr>
          <w:rFonts w:cs="Avenir Next"/>
        </w:rPr>
        <w:t xml:space="preserve"> </w:t>
      </w:r>
      <w:r>
        <w:rPr>
          <w:rFonts w:cs="Avenir Next"/>
          <w:spacing w:val="-1"/>
        </w:rPr>
        <w:t>around</w:t>
      </w:r>
      <w:r>
        <w:rPr>
          <w:rFonts w:cs="Avenir Next"/>
        </w:rPr>
        <w:t xml:space="preserve"> this</w:t>
      </w:r>
      <w:r>
        <w:rPr>
          <w:rFonts w:cs="Avenir Next"/>
          <w:spacing w:val="41"/>
        </w:rPr>
        <w:t xml:space="preserve"> </w:t>
      </w:r>
      <w:r>
        <w:t xml:space="preserve">issue </w:t>
      </w:r>
      <w:r>
        <w:rPr>
          <w:spacing w:val="-1"/>
        </w:rPr>
        <w:t>previously</w:t>
      </w:r>
      <w:r>
        <w:t xml:space="preserve"> (see </w:t>
      </w:r>
      <w:r>
        <w:rPr>
          <w:spacing w:val="-1"/>
        </w:rPr>
        <w:t>Box</w:t>
      </w:r>
      <w:r>
        <w:t xml:space="preserve"> 9.1),</w:t>
      </w:r>
      <w:r>
        <w:rPr>
          <w:spacing w:val="-6"/>
        </w:rPr>
        <w:t xml:space="preserve"> </w:t>
      </w:r>
      <w:r>
        <w:t>the size of</w:t>
      </w:r>
      <w:r>
        <w:rPr>
          <w:spacing w:val="4"/>
        </w:rPr>
        <w:t xml:space="preserve"> </w:t>
      </w:r>
      <w:r>
        <w:t xml:space="preserve">the </w:t>
      </w:r>
      <w:r>
        <w:rPr>
          <w:spacing w:val="-1"/>
        </w:rPr>
        <w:t>proposed</w:t>
      </w:r>
      <w:r>
        <w:t xml:space="preserve"> </w:t>
      </w:r>
      <w:r>
        <w:rPr>
          <w:spacing w:val="-1"/>
        </w:rPr>
        <w:t>sewerage</w:t>
      </w:r>
      <w:r>
        <w:t xml:space="preserve"> capital </w:t>
      </w:r>
      <w:r>
        <w:rPr>
          <w:spacing w:val="-1"/>
        </w:rPr>
        <w:t>expenditure</w:t>
      </w:r>
      <w:r>
        <w:t xml:space="preserve"> </w:t>
      </w:r>
      <w:r>
        <w:rPr>
          <w:spacing w:val="-1"/>
        </w:rPr>
        <w:t>program,</w:t>
      </w:r>
      <w:r>
        <w:rPr>
          <w:spacing w:val="-6"/>
        </w:rPr>
        <w:t xml:space="preserve"> </w:t>
      </w:r>
      <w:r>
        <w:t>and the</w:t>
      </w:r>
      <w:r>
        <w:rPr>
          <w:spacing w:val="45"/>
        </w:rPr>
        <w:t xml:space="preserve"> </w:t>
      </w:r>
      <w:r>
        <w:rPr>
          <w:spacing w:val="-4"/>
        </w:rPr>
        <w:t>Panel’s</w:t>
      </w:r>
      <w:r>
        <w:rPr>
          <w:spacing w:val="-1"/>
        </w:rPr>
        <w:t xml:space="preserve"> </w:t>
      </w:r>
      <w:r>
        <w:rPr>
          <w:spacing w:val="-2"/>
        </w:rPr>
        <w:t>draft</w:t>
      </w:r>
      <w:r>
        <w:rPr>
          <w:spacing w:val="-1"/>
        </w:rPr>
        <w:t xml:space="preserve"> </w:t>
      </w:r>
      <w:r>
        <w:t>decision</w:t>
      </w:r>
      <w:r>
        <w:rPr>
          <w:spacing w:val="-1"/>
        </w:rPr>
        <w:t xml:space="preserve"> </w:t>
      </w:r>
      <w:r>
        <w:t>to adopt</w:t>
      </w:r>
      <w:r>
        <w:rPr>
          <w:spacing w:val="-1"/>
        </w:rPr>
        <w:t xml:space="preserve"> </w:t>
      </w:r>
      <w:r>
        <w:t>a</w:t>
      </w:r>
      <w:r>
        <w:rPr>
          <w:spacing w:val="-1"/>
        </w:rPr>
        <w:t xml:space="preserve"> five-year regulatory</w:t>
      </w:r>
      <w:r>
        <w:t xml:space="preserve"> period.</w:t>
      </w:r>
    </w:p>
    <w:p w:rsidR="00D96B91" w:rsidRDefault="00C2656B">
      <w:pPr>
        <w:pStyle w:val="BodyText"/>
        <w:spacing w:before="170" w:line="260" w:lineRule="exact"/>
        <w:ind w:right="1376"/>
      </w:pPr>
      <w:r>
        <w:rPr>
          <w:rFonts w:cs="Avenir Next"/>
        </w:rPr>
        <w:t>In addition,</w:t>
      </w:r>
      <w:r>
        <w:rPr>
          <w:rFonts w:cs="Avenir Next"/>
          <w:spacing w:val="-7"/>
        </w:rPr>
        <w:t xml:space="preserve"> </w:t>
      </w:r>
      <w:r>
        <w:rPr>
          <w:rFonts w:cs="Avenir Next"/>
        </w:rPr>
        <w:t xml:space="preserve">as </w:t>
      </w:r>
      <w:r>
        <w:rPr>
          <w:rFonts w:cs="Avenir Next"/>
          <w:spacing w:val="-1"/>
        </w:rPr>
        <w:t>part</w:t>
      </w:r>
      <w:r>
        <w:rPr>
          <w:rFonts w:cs="Avenir Next"/>
        </w:rPr>
        <w:t xml:space="preserve"> of</w:t>
      </w:r>
      <w:r>
        <w:rPr>
          <w:rFonts w:cs="Avenir Next"/>
          <w:spacing w:val="4"/>
        </w:rPr>
        <w:t xml:space="preserve"> </w:t>
      </w:r>
      <w:r>
        <w:rPr>
          <w:rFonts w:cs="Avenir Next"/>
        </w:rPr>
        <w:t xml:space="preserve">these </w:t>
      </w:r>
      <w:r>
        <w:rPr>
          <w:rFonts w:cs="Avenir Next"/>
          <w:spacing w:val="-1"/>
        </w:rPr>
        <w:t>reviews,</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asked</w:t>
      </w:r>
      <w:r>
        <w:rPr>
          <w:rFonts w:cs="Avenir Next"/>
        </w:rPr>
        <w:t xml:space="preserve"> </w:t>
      </w:r>
      <w:r>
        <w:rPr>
          <w:rFonts w:cs="Avenir Next"/>
          <w:spacing w:val="-2"/>
        </w:rPr>
        <w:t>Cardno</w:t>
      </w:r>
      <w:r>
        <w:rPr>
          <w:rFonts w:cs="Avenir Next"/>
        </w:rPr>
        <w:t xml:space="preserve"> to consider the </w:t>
      </w:r>
      <w:r>
        <w:rPr>
          <w:rFonts w:cs="Avenir Next"/>
          <w:spacing w:val="-1"/>
        </w:rPr>
        <w:t>circumstances</w:t>
      </w:r>
      <w:r>
        <w:rPr>
          <w:rFonts w:cs="Avenir Next"/>
        </w:rPr>
        <w:t xml:space="preserve"> (including</w:t>
      </w:r>
      <w:r>
        <w:rPr>
          <w:rFonts w:cs="Avenir Next"/>
          <w:spacing w:val="43"/>
        </w:rPr>
        <w:t xml:space="preserve"> </w:t>
      </w:r>
      <w:r>
        <w:t>the</w:t>
      </w:r>
      <w:r>
        <w:rPr>
          <w:spacing w:val="-1"/>
        </w:rPr>
        <w:t xml:space="preserve"> information</w:t>
      </w:r>
      <w:r>
        <w:t xml:space="preserve"> available) </w:t>
      </w:r>
      <w:r>
        <w:rPr>
          <w:spacing w:val="-1"/>
        </w:rPr>
        <w:t>prevailing</w:t>
      </w:r>
      <w:r>
        <w:t xml:space="preserve"> </w:t>
      </w:r>
      <w:r>
        <w:rPr>
          <w:spacing w:val="-1"/>
        </w:rPr>
        <w:t xml:space="preserve">at </w:t>
      </w:r>
      <w:r>
        <w:t>the time of</w:t>
      </w:r>
      <w:r>
        <w:rPr>
          <w:spacing w:val="4"/>
        </w:rPr>
        <w:t xml:space="preserve"> </w:t>
      </w:r>
      <w:r>
        <w:t>the</w:t>
      </w:r>
      <w:r>
        <w:rPr>
          <w:spacing w:val="-1"/>
        </w:rPr>
        <w:t xml:space="preserve"> </w:t>
      </w:r>
      <w:r>
        <w:rPr>
          <w:spacing w:val="-2"/>
        </w:rPr>
        <w:t>ICRC’s</w:t>
      </w:r>
      <w:r>
        <w:t xml:space="preserve"> final decision (ie,</w:t>
      </w:r>
      <w:r>
        <w:rPr>
          <w:spacing w:val="-10"/>
        </w:rPr>
        <w:t xml:space="preserve"> </w:t>
      </w:r>
      <w:r>
        <w:t>June 2013),</w:t>
      </w:r>
      <w:r>
        <w:rPr>
          <w:spacing w:val="-6"/>
        </w:rPr>
        <w:t xml:space="preserve"> </w:t>
      </w:r>
      <w:r>
        <w:t>and to</w:t>
      </w:r>
      <w:r>
        <w:rPr>
          <w:spacing w:val="35"/>
        </w:rPr>
        <w:t xml:space="preserve"> </w:t>
      </w:r>
      <w:r>
        <w:rPr>
          <w:rFonts w:cs="Avenir Next"/>
        </w:rPr>
        <w:t xml:space="preserve">advise whether </w:t>
      </w:r>
      <w:r>
        <w:rPr>
          <w:rFonts w:cs="Avenir Next"/>
          <w:spacing w:val="-1"/>
        </w:rPr>
        <w:t>there</w:t>
      </w:r>
      <w:r>
        <w:rPr>
          <w:rFonts w:cs="Avenir Next"/>
        </w:rPr>
        <w:t xml:space="preserve"> had been any substantive change in these </w:t>
      </w:r>
      <w:r>
        <w:rPr>
          <w:rFonts w:cs="Avenir Next"/>
          <w:spacing w:val="-1"/>
        </w:rPr>
        <w:t>circumstances</w:t>
      </w:r>
      <w:r>
        <w:rPr>
          <w:rFonts w:cs="Avenir Next"/>
        </w:rPr>
        <w:t xml:space="preserve"> </w:t>
      </w:r>
      <w:r>
        <w:rPr>
          <w:rFonts w:cs="Avenir Next"/>
          <w:spacing w:val="-1"/>
        </w:rPr>
        <w:t>that</w:t>
      </w:r>
      <w:r>
        <w:rPr>
          <w:rFonts w:cs="Avenir Next"/>
        </w:rPr>
        <w:t xml:space="preserve"> the </w:t>
      </w:r>
      <w:r>
        <w:rPr>
          <w:rFonts w:cs="Avenir Next"/>
          <w:spacing w:val="-3"/>
        </w:rPr>
        <w:t>Panel</w:t>
      </w:r>
      <w:r>
        <w:rPr>
          <w:rFonts w:cs="Avenir Next"/>
        </w:rPr>
        <w:t xml:space="preserve"> should</w:t>
      </w:r>
      <w:r>
        <w:rPr>
          <w:rFonts w:cs="Avenir Next"/>
          <w:spacing w:val="27"/>
        </w:rPr>
        <w:t xml:space="preserve"> </w:t>
      </w:r>
      <w:r>
        <w:rPr>
          <w:spacing w:val="-1"/>
        </w:rPr>
        <w:t>take</w:t>
      </w:r>
      <w:r>
        <w:t xml:space="preserve"> into account.</w:t>
      </w:r>
      <w:r>
        <w:rPr>
          <w:spacing w:val="-6"/>
        </w:rPr>
        <w:t xml:space="preserve"> </w:t>
      </w:r>
      <w:r>
        <w:rPr>
          <w:spacing w:val="-3"/>
        </w:rPr>
        <w:t>Cardno’s</w:t>
      </w:r>
      <w:r>
        <w:t xml:space="preserve"> detailed analysis is contained in its full </w:t>
      </w:r>
      <w:r>
        <w:rPr>
          <w:spacing w:val="-1"/>
        </w:rPr>
        <w:t>report,</w:t>
      </w:r>
      <w:r>
        <w:rPr>
          <w:spacing w:val="-6"/>
        </w:rPr>
        <w:t xml:space="preserve"> </w:t>
      </w:r>
      <w:r>
        <w:t>which is available on the</w:t>
      </w:r>
      <w:r>
        <w:rPr>
          <w:spacing w:val="27"/>
        </w:rPr>
        <w:t xml:space="preserve"> </w:t>
      </w:r>
      <w:r>
        <w:rPr>
          <w:spacing w:val="-4"/>
        </w:rPr>
        <w:t>Panel’s</w:t>
      </w:r>
      <w:r>
        <w:t xml:space="preserve"> </w:t>
      </w:r>
      <w:r>
        <w:rPr>
          <w:spacing w:val="-1"/>
        </w:rPr>
        <w:t>website.</w:t>
      </w:r>
      <w:r>
        <w:rPr>
          <w:spacing w:val="-1"/>
          <w:position w:val="7"/>
          <w:sz w:val="11"/>
          <w:szCs w:val="11"/>
        </w:rPr>
        <w:t>125</w:t>
      </w:r>
      <w:r>
        <w:rPr>
          <w:spacing w:val="19"/>
          <w:position w:val="7"/>
          <w:sz w:val="11"/>
          <w:szCs w:val="11"/>
        </w:rPr>
        <w:t xml:space="preserve"> </w:t>
      </w:r>
      <w:r>
        <w:t>An overview</w:t>
      </w:r>
      <w:r>
        <w:rPr>
          <w:spacing w:val="1"/>
        </w:rPr>
        <w:t xml:space="preserve"> </w:t>
      </w:r>
      <w:r>
        <w:t>of</w:t>
      </w:r>
      <w:r>
        <w:rPr>
          <w:spacing w:val="4"/>
        </w:rPr>
        <w:t xml:space="preserve"> </w:t>
      </w:r>
      <w:r>
        <w:t>its</w:t>
      </w:r>
      <w:r>
        <w:rPr>
          <w:spacing w:val="1"/>
        </w:rPr>
        <w:t xml:space="preserve"> </w:t>
      </w:r>
      <w:r>
        <w:t>findings is</w:t>
      </w:r>
      <w:r>
        <w:rPr>
          <w:spacing w:val="1"/>
        </w:rPr>
        <w:t xml:space="preserve"> </w:t>
      </w:r>
      <w:r>
        <w:rPr>
          <w:spacing w:val="-1"/>
        </w:rPr>
        <w:t>provided</w:t>
      </w:r>
      <w:r>
        <w:t xml:space="preserve"> </w:t>
      </w:r>
      <w:r>
        <w:rPr>
          <w:spacing w:val="-2"/>
        </w:rPr>
        <w:t>below.</w:t>
      </w:r>
    </w:p>
    <w:p w:rsidR="00D96B91" w:rsidRDefault="00D96B91">
      <w:pPr>
        <w:rPr>
          <w:rFonts w:ascii="Avenir Next" w:eastAsia="Avenir Next" w:hAnsi="Avenir Next" w:cs="Avenir Next"/>
          <w:sz w:val="20"/>
          <w:szCs w:val="20"/>
        </w:rPr>
      </w:pPr>
    </w:p>
    <w:p w:rsidR="00D96B91" w:rsidRDefault="00D96B91">
      <w:pPr>
        <w:spacing w:before="12"/>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43" style="width:72.5pt;height:.5pt;mso-position-horizontal-relative:char;mso-position-vertical-relative:line" coordsize="1450,10">
            <v:group id="_x0000_s3144" style="position:absolute;left:5;top:5;width:1440;height:2" coordorigin="5,5" coordsize="1440,2">
              <v:shape id="_x0000_s3145"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pacing w:val="-4"/>
          <w:sz w:val="16"/>
        </w:rPr>
        <w:t>ibid,</w:t>
      </w:r>
      <w:r>
        <w:rPr>
          <w:rFonts w:ascii="Avenir Next"/>
          <w:spacing w:val="-12"/>
          <w:sz w:val="16"/>
        </w:rPr>
        <w:t xml:space="preserve"> </w:t>
      </w:r>
      <w:r>
        <w:rPr>
          <w:rFonts w:ascii="Avenir Next"/>
          <w:spacing w:val="-3"/>
          <w:sz w:val="16"/>
        </w:rPr>
        <w:t>p.</w:t>
      </w:r>
      <w:r>
        <w:rPr>
          <w:rFonts w:ascii="Avenir Next"/>
          <w:spacing w:val="-12"/>
          <w:sz w:val="16"/>
        </w:rPr>
        <w:t xml:space="preserve"> </w:t>
      </w:r>
      <w:r>
        <w:rPr>
          <w:rFonts w:ascii="Avenir Next"/>
          <w:spacing w:val="-3"/>
          <w:sz w:val="16"/>
        </w:rPr>
        <w:t>33.</w:t>
      </w:r>
      <w:r>
        <w:rPr>
          <w:rFonts w:ascii="Avenir Next"/>
          <w:spacing w:val="-12"/>
          <w:sz w:val="16"/>
        </w:rPr>
        <w:t xml:space="preserve"> </w:t>
      </w:r>
      <w:r>
        <w:rPr>
          <w:rFonts w:ascii="Avenir Next"/>
          <w:spacing w:val="-3"/>
          <w:sz w:val="16"/>
        </w:rPr>
        <w:t>See</w:t>
      </w:r>
      <w:r>
        <w:rPr>
          <w:rFonts w:ascii="Avenir Next"/>
          <w:spacing w:val="-7"/>
          <w:sz w:val="16"/>
        </w:rPr>
        <w:t xml:space="preserve"> </w:t>
      </w:r>
      <w:r>
        <w:rPr>
          <w:rFonts w:ascii="Avenir Next"/>
          <w:spacing w:val="-3"/>
          <w:sz w:val="16"/>
        </w:rPr>
        <w:t>also</w:t>
      </w:r>
      <w:r>
        <w:rPr>
          <w:rFonts w:ascii="Avenir Next"/>
          <w:spacing w:val="-10"/>
          <w:sz w:val="16"/>
        </w:rPr>
        <w:t xml:space="preserve"> </w:t>
      </w:r>
      <w:r>
        <w:rPr>
          <w:rFonts w:ascii="Avenir Next"/>
          <w:spacing w:val="-6"/>
          <w:sz w:val="16"/>
        </w:rPr>
        <w:t>ACTEW,</w:t>
      </w:r>
      <w:r>
        <w:rPr>
          <w:rFonts w:ascii="Avenir Next"/>
          <w:spacing w:val="-15"/>
          <w:sz w:val="16"/>
        </w:rPr>
        <w:t xml:space="preserve"> </w:t>
      </w:r>
      <w:r>
        <w:rPr>
          <w:rFonts w:ascii="Avenir Next"/>
          <w:spacing w:val="-4"/>
          <w:sz w:val="16"/>
        </w:rPr>
        <w:t>Attachment</w:t>
      </w:r>
      <w:r>
        <w:rPr>
          <w:rFonts w:ascii="Avenir Next"/>
          <w:spacing w:val="-10"/>
          <w:sz w:val="16"/>
        </w:rPr>
        <w:t xml:space="preserve"> </w:t>
      </w:r>
      <w:r>
        <w:rPr>
          <w:rFonts w:ascii="Avenir Next"/>
          <w:spacing w:val="-2"/>
          <w:sz w:val="16"/>
        </w:rPr>
        <w:t>A1</w:t>
      </w:r>
      <w:r>
        <w:rPr>
          <w:rFonts w:ascii="Avenir Next"/>
          <w:spacing w:val="-7"/>
          <w:sz w:val="16"/>
        </w:rPr>
        <w:t xml:space="preserve"> </w:t>
      </w:r>
      <w:r>
        <w:rPr>
          <w:rFonts w:ascii="Avenir Next"/>
          <w:spacing w:val="-4"/>
          <w:sz w:val="16"/>
        </w:rPr>
        <w:t>PTRM</w:t>
      </w:r>
      <w:r>
        <w:rPr>
          <w:rFonts w:ascii="Avenir Next"/>
          <w:spacing w:val="-7"/>
          <w:sz w:val="16"/>
        </w:rPr>
        <w:t xml:space="preserve"> </w:t>
      </w:r>
      <w:r>
        <w:rPr>
          <w:rFonts w:ascii="Avenir Next"/>
          <w:spacing w:val="-4"/>
          <w:sz w:val="16"/>
        </w:rPr>
        <w:t>FY14-FY18</w:t>
      </w:r>
      <w:r>
        <w:rPr>
          <w:rFonts w:ascii="Avenir Next"/>
          <w:spacing w:val="-9"/>
          <w:sz w:val="16"/>
        </w:rPr>
        <w:t xml:space="preserve"> </w:t>
      </w:r>
      <w:r>
        <w:rPr>
          <w:rFonts w:ascii="Avenir Next"/>
          <w:spacing w:val="-5"/>
          <w:sz w:val="16"/>
        </w:rPr>
        <w:t>Water.xlsm</w:t>
      </w:r>
      <w:r>
        <w:rPr>
          <w:rFonts w:ascii="Avenir Next"/>
          <w:spacing w:val="-7"/>
          <w:sz w:val="16"/>
        </w:rPr>
        <w:t xml:space="preserve"> </w:t>
      </w:r>
      <w:r>
        <w:rPr>
          <w:rFonts w:ascii="Avenir Next"/>
          <w:spacing w:val="-3"/>
          <w:sz w:val="16"/>
        </w:rPr>
        <w:t>and</w:t>
      </w:r>
      <w:r>
        <w:rPr>
          <w:rFonts w:ascii="Avenir Next"/>
          <w:spacing w:val="-10"/>
          <w:sz w:val="16"/>
        </w:rPr>
        <w:t xml:space="preserve"> </w:t>
      </w:r>
      <w:r>
        <w:rPr>
          <w:rFonts w:ascii="Avenir Next"/>
          <w:spacing w:val="-4"/>
          <w:sz w:val="16"/>
        </w:rPr>
        <w:t>Attachment</w:t>
      </w:r>
      <w:r>
        <w:rPr>
          <w:rFonts w:ascii="Avenir Next"/>
          <w:spacing w:val="-10"/>
          <w:sz w:val="16"/>
        </w:rPr>
        <w:t xml:space="preserve"> </w:t>
      </w:r>
      <w:r>
        <w:rPr>
          <w:rFonts w:ascii="Avenir Next"/>
          <w:spacing w:val="-2"/>
          <w:sz w:val="16"/>
        </w:rPr>
        <w:t>A2</w:t>
      </w:r>
      <w:r>
        <w:rPr>
          <w:rFonts w:ascii="Avenir Next"/>
          <w:spacing w:val="-7"/>
          <w:sz w:val="16"/>
        </w:rPr>
        <w:t xml:space="preserve"> </w:t>
      </w:r>
      <w:r>
        <w:rPr>
          <w:rFonts w:ascii="Avenir Next"/>
          <w:spacing w:val="-4"/>
          <w:sz w:val="16"/>
        </w:rPr>
        <w:t>PTRM</w:t>
      </w:r>
      <w:r>
        <w:rPr>
          <w:rFonts w:ascii="Avenir Next"/>
          <w:spacing w:val="-7"/>
          <w:sz w:val="16"/>
        </w:rPr>
        <w:t xml:space="preserve"> </w:t>
      </w:r>
      <w:r>
        <w:rPr>
          <w:rFonts w:ascii="Avenir Next"/>
          <w:spacing w:val="-4"/>
          <w:sz w:val="16"/>
        </w:rPr>
        <w:t>FY14-FY18</w:t>
      </w:r>
      <w:r>
        <w:rPr>
          <w:rFonts w:ascii="Avenir Next"/>
          <w:spacing w:val="-7"/>
          <w:sz w:val="16"/>
        </w:rPr>
        <w:t xml:space="preserve"> </w:t>
      </w:r>
      <w:r>
        <w:rPr>
          <w:rFonts w:ascii="Avenir Next"/>
          <w:spacing w:val="-5"/>
          <w:sz w:val="16"/>
        </w:rPr>
        <w:t>Sewerage.xlsm.</w:t>
      </w:r>
    </w:p>
    <w:p w:rsidR="00D96B91" w:rsidRDefault="00C2656B">
      <w:pPr>
        <w:numPr>
          <w:ilvl w:val="0"/>
          <w:numId w:val="72"/>
        </w:numPr>
        <w:tabs>
          <w:tab w:val="left" w:pos="1758"/>
        </w:tabs>
        <w:spacing w:before="128" w:line="192" w:lineRule="exact"/>
        <w:ind w:right="2019" w:hanging="510"/>
        <w:rPr>
          <w:rFonts w:ascii="Avenir Next" w:eastAsia="Avenir Next" w:hAnsi="Avenir Next" w:cs="Avenir Next"/>
          <w:sz w:val="16"/>
          <w:szCs w:val="16"/>
        </w:rPr>
      </w:pPr>
      <w:r>
        <w:rPr>
          <w:rFonts w:ascii="Avenir Next"/>
          <w:spacing w:val="-2"/>
          <w:sz w:val="16"/>
        </w:rPr>
        <w:t>That</w:t>
      </w:r>
      <w:r>
        <w:rPr>
          <w:rFonts w:ascii="Avenir Next"/>
          <w:spacing w:val="-1"/>
          <w:sz w:val="16"/>
        </w:rPr>
        <w:t xml:space="preserve"> </w:t>
      </w:r>
      <w:r>
        <w:rPr>
          <w:rFonts w:ascii="Avenir Next"/>
          <w:sz w:val="16"/>
        </w:rPr>
        <w:t>is,</w:t>
      </w:r>
      <w:r>
        <w:rPr>
          <w:rFonts w:ascii="Avenir Next"/>
          <w:spacing w:val="-5"/>
          <w:sz w:val="16"/>
        </w:rPr>
        <w:t xml:space="preserve"> </w:t>
      </w:r>
      <w:r>
        <w:rPr>
          <w:rFonts w:ascii="Avenir Next"/>
          <w:sz w:val="16"/>
        </w:rPr>
        <w:t>0.4% in the</w:t>
      </w:r>
      <w:r>
        <w:rPr>
          <w:rFonts w:ascii="Avenir Next"/>
          <w:spacing w:val="-1"/>
          <w:sz w:val="16"/>
        </w:rPr>
        <w:t xml:space="preserve"> </w:t>
      </w:r>
      <w:r>
        <w:rPr>
          <w:rFonts w:ascii="Avenir Next"/>
          <w:sz w:val="16"/>
        </w:rPr>
        <w:t xml:space="preserve">first </w:t>
      </w:r>
      <w:r>
        <w:rPr>
          <w:rFonts w:ascii="Avenir Next"/>
          <w:spacing w:val="-2"/>
          <w:sz w:val="16"/>
        </w:rPr>
        <w:t>year,</w:t>
      </w:r>
      <w:r>
        <w:rPr>
          <w:rFonts w:ascii="Avenir Next"/>
          <w:spacing w:val="-5"/>
          <w:sz w:val="16"/>
        </w:rPr>
        <w:t xml:space="preserve"> </w:t>
      </w:r>
      <w:r>
        <w:rPr>
          <w:rFonts w:ascii="Avenir Next"/>
          <w:sz w:val="16"/>
        </w:rPr>
        <w:t>0.8% in</w:t>
      </w:r>
      <w:r>
        <w:rPr>
          <w:rFonts w:ascii="Avenir Next"/>
          <w:spacing w:val="-1"/>
          <w:sz w:val="16"/>
        </w:rPr>
        <w:t xml:space="preserve"> </w:t>
      </w:r>
      <w:r>
        <w:rPr>
          <w:rFonts w:ascii="Avenir Next"/>
          <w:sz w:val="16"/>
        </w:rPr>
        <w:t xml:space="preserve">the second </w:t>
      </w:r>
      <w:r>
        <w:rPr>
          <w:rFonts w:ascii="Avenir Next"/>
          <w:spacing w:val="-1"/>
          <w:sz w:val="16"/>
        </w:rPr>
        <w:t>year</w:t>
      </w:r>
      <w:r>
        <w:rPr>
          <w:rFonts w:ascii="Avenir Next"/>
          <w:sz w:val="16"/>
        </w:rPr>
        <w:t xml:space="preserve"> etc.</w:t>
      </w:r>
      <w:r>
        <w:rPr>
          <w:rFonts w:ascii="Avenir Next"/>
          <w:spacing w:val="-6"/>
          <w:sz w:val="16"/>
        </w:rPr>
        <w:t xml:space="preserve"> </w:t>
      </w:r>
      <w:r>
        <w:rPr>
          <w:rFonts w:ascii="Avenir Next"/>
          <w:sz w:val="16"/>
        </w:rPr>
        <w:t>In its final decision</w:t>
      </w:r>
      <w:r>
        <w:rPr>
          <w:rFonts w:ascii="Avenir Next"/>
          <w:spacing w:val="-1"/>
          <w:sz w:val="16"/>
        </w:rPr>
        <w:t xml:space="preserve"> </w:t>
      </w:r>
      <w:r>
        <w:rPr>
          <w:rFonts w:ascii="Avenir Next"/>
          <w:sz w:val="16"/>
        </w:rPr>
        <w:t>the ICRC applied 0.4%</w:t>
      </w:r>
      <w:r>
        <w:rPr>
          <w:rFonts w:ascii="Avenir Next"/>
          <w:spacing w:val="-1"/>
          <w:sz w:val="16"/>
        </w:rPr>
        <w:t xml:space="preserve"> </w:t>
      </w:r>
      <w:r>
        <w:rPr>
          <w:rFonts w:ascii="Avenir Next"/>
          <w:sz w:val="16"/>
        </w:rPr>
        <w:t xml:space="preserve">in </w:t>
      </w:r>
      <w:r>
        <w:rPr>
          <w:rFonts w:ascii="Avenir Next"/>
          <w:spacing w:val="-1"/>
          <w:sz w:val="16"/>
        </w:rPr>
        <w:t>each</w:t>
      </w:r>
      <w:r>
        <w:rPr>
          <w:rFonts w:ascii="Avenir Next"/>
          <w:sz w:val="16"/>
        </w:rPr>
        <w:t xml:space="preserve"> </w:t>
      </w:r>
      <w:r>
        <w:rPr>
          <w:rFonts w:ascii="Avenir Next"/>
          <w:spacing w:val="-2"/>
          <w:sz w:val="16"/>
        </w:rPr>
        <w:t>year.</w:t>
      </w:r>
      <w:r>
        <w:rPr>
          <w:rFonts w:ascii="Avenir Next"/>
          <w:spacing w:val="23"/>
          <w:sz w:val="16"/>
        </w:rPr>
        <w:t xml:space="preserve"> </w:t>
      </w:r>
      <w:r>
        <w:rPr>
          <w:rFonts w:ascii="Avenir Next"/>
          <w:sz w:val="16"/>
        </w:rPr>
        <w:t>See</w:t>
      </w:r>
      <w:r>
        <w:rPr>
          <w:rFonts w:ascii="Avenir Next"/>
          <w:spacing w:val="-3"/>
          <w:sz w:val="16"/>
        </w:rPr>
        <w:t xml:space="preserve"> ACTEW,</w:t>
      </w:r>
      <w:r>
        <w:rPr>
          <w:rFonts w:ascii="Avenir Next"/>
          <w:spacing w:val="-8"/>
          <w:sz w:val="16"/>
        </w:rPr>
        <w:t xml:space="preserve"> </w:t>
      </w:r>
      <w:r>
        <w:rPr>
          <w:rFonts w:ascii="Avenir Next"/>
          <w:spacing w:val="-1"/>
          <w:sz w:val="16"/>
        </w:rPr>
        <w:t>Attachment</w:t>
      </w:r>
      <w:r>
        <w:rPr>
          <w:rFonts w:ascii="Avenir Next"/>
          <w:spacing w:val="-3"/>
          <w:sz w:val="16"/>
        </w:rPr>
        <w:t xml:space="preserve"> </w:t>
      </w:r>
      <w:r>
        <w:rPr>
          <w:rFonts w:ascii="Avenir Next"/>
          <w:sz w:val="16"/>
        </w:rPr>
        <w:t xml:space="preserve">A1 </w:t>
      </w:r>
      <w:r>
        <w:rPr>
          <w:rFonts w:ascii="Avenir Next"/>
          <w:spacing w:val="-1"/>
          <w:sz w:val="16"/>
        </w:rPr>
        <w:t>PTRM</w:t>
      </w:r>
      <w:r>
        <w:rPr>
          <w:rFonts w:ascii="Avenir Next"/>
          <w:sz w:val="16"/>
        </w:rPr>
        <w:t xml:space="preserve"> FY14-FY18</w:t>
      </w:r>
      <w:r>
        <w:rPr>
          <w:rFonts w:ascii="Avenir Next"/>
          <w:spacing w:val="-2"/>
          <w:sz w:val="16"/>
        </w:rPr>
        <w:t xml:space="preserve"> </w:t>
      </w:r>
      <w:r>
        <w:rPr>
          <w:rFonts w:ascii="Avenir Next"/>
          <w:spacing w:val="-1"/>
          <w:sz w:val="16"/>
        </w:rPr>
        <w:t>Water_amended</w:t>
      </w:r>
      <w:r>
        <w:rPr>
          <w:rFonts w:ascii="Avenir Next"/>
          <w:sz w:val="16"/>
        </w:rPr>
        <w:t xml:space="preserve"> 18sept2014.xlsm and</w:t>
      </w:r>
    </w:p>
    <w:p w:rsidR="00D96B91" w:rsidRDefault="00C2656B">
      <w:pPr>
        <w:spacing w:line="212" w:lineRule="exact"/>
        <w:ind w:left="1757"/>
        <w:rPr>
          <w:rFonts w:ascii="Avenir Next" w:eastAsia="Avenir Next" w:hAnsi="Avenir Next" w:cs="Avenir Next"/>
          <w:sz w:val="16"/>
          <w:szCs w:val="16"/>
        </w:rPr>
      </w:pPr>
      <w:r>
        <w:rPr>
          <w:rFonts w:ascii="Avenir Next"/>
          <w:spacing w:val="-1"/>
          <w:sz w:val="16"/>
        </w:rPr>
        <w:t>Attachment</w:t>
      </w:r>
      <w:r>
        <w:rPr>
          <w:rFonts w:ascii="Avenir Next"/>
          <w:spacing w:val="-3"/>
          <w:sz w:val="16"/>
        </w:rPr>
        <w:t xml:space="preserve"> </w:t>
      </w:r>
      <w:r>
        <w:rPr>
          <w:rFonts w:ascii="Avenir Next"/>
          <w:sz w:val="16"/>
        </w:rPr>
        <w:t xml:space="preserve">A2 </w:t>
      </w:r>
      <w:r>
        <w:rPr>
          <w:rFonts w:ascii="Avenir Next"/>
          <w:spacing w:val="-1"/>
          <w:sz w:val="16"/>
        </w:rPr>
        <w:t>PTRM</w:t>
      </w:r>
      <w:r>
        <w:rPr>
          <w:rFonts w:ascii="Avenir Next"/>
          <w:sz w:val="16"/>
        </w:rPr>
        <w:t xml:space="preserve"> FY14-FY18 </w:t>
      </w:r>
      <w:r>
        <w:rPr>
          <w:rFonts w:ascii="Avenir Next"/>
          <w:spacing w:val="-1"/>
          <w:sz w:val="16"/>
        </w:rPr>
        <w:t>Sewerage_amended</w:t>
      </w:r>
      <w:r>
        <w:rPr>
          <w:rFonts w:ascii="Avenir Next"/>
          <w:sz w:val="16"/>
        </w:rPr>
        <w:t xml:space="preserve"> 18sept2014.xlsm.</w:t>
      </w:r>
    </w:p>
    <w:p w:rsidR="00D96B91" w:rsidRDefault="00C2656B">
      <w:pPr>
        <w:numPr>
          <w:ilvl w:val="0"/>
          <w:numId w:val="72"/>
        </w:numPr>
        <w:tabs>
          <w:tab w:val="left" w:pos="1758"/>
        </w:tabs>
        <w:spacing w:before="128" w:line="192" w:lineRule="exact"/>
        <w:ind w:right="1455" w:hanging="510"/>
        <w:rPr>
          <w:rFonts w:ascii="Avenir Next" w:eastAsia="Avenir Next" w:hAnsi="Avenir Next" w:cs="Avenir Next"/>
          <w:sz w:val="16"/>
          <w:szCs w:val="16"/>
        </w:rPr>
      </w:pPr>
      <w:r>
        <w:rPr>
          <w:rFonts w:ascii="Avenir Next"/>
          <w:sz w:val="16"/>
        </w:rPr>
        <w:t xml:space="preserve">See </w:t>
      </w:r>
      <w:r>
        <w:rPr>
          <w:rFonts w:ascii="Avenir Next"/>
          <w:spacing w:val="-1"/>
          <w:sz w:val="16"/>
        </w:rPr>
        <w:t>Executive</w:t>
      </w:r>
      <w:r>
        <w:rPr>
          <w:rFonts w:ascii="Avenir Next"/>
          <w:sz w:val="16"/>
        </w:rPr>
        <w:t xml:space="preserve"> </w:t>
      </w:r>
      <w:r>
        <w:rPr>
          <w:rFonts w:ascii="Avenir Next"/>
          <w:spacing w:val="-1"/>
          <w:sz w:val="16"/>
        </w:rPr>
        <w:t>Committee</w:t>
      </w:r>
      <w:r>
        <w:rPr>
          <w:rFonts w:ascii="Avenir Next"/>
          <w:sz w:val="16"/>
        </w:rPr>
        <w:t xml:space="preserve"> UP999,</w:t>
      </w:r>
      <w:r>
        <w:rPr>
          <w:rFonts w:ascii="Avenir Next"/>
          <w:spacing w:val="-5"/>
          <w:sz w:val="16"/>
        </w:rPr>
        <w:t xml:space="preserve"> </w:t>
      </w:r>
      <w:r>
        <w:rPr>
          <w:rFonts w:ascii="Avenir Next"/>
          <w:sz w:val="16"/>
        </w:rPr>
        <w:t xml:space="preserve">Submission on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Direction</w:t>
      </w:r>
      <w:r>
        <w:rPr>
          <w:rFonts w:ascii="Avenir Next"/>
          <w:sz w:val="16"/>
        </w:rPr>
        <w:t xml:space="preserve"> for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pacing w:val="79"/>
          <w:sz w:val="16"/>
        </w:rPr>
        <w:t xml:space="preserve"> </w:t>
      </w:r>
      <w:r>
        <w:rPr>
          <w:rFonts w:ascii="Avenir Next"/>
          <w:sz w:val="16"/>
        </w:rPr>
        <w:t>15</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 xml:space="preserve">5 and </w:t>
      </w:r>
      <w:r>
        <w:rPr>
          <w:rFonts w:ascii="Avenir Next"/>
          <w:spacing w:val="-1"/>
          <w:sz w:val="16"/>
        </w:rPr>
        <w:t>Ratepayers</w:t>
      </w:r>
      <w:r>
        <w:rPr>
          <w:rFonts w:ascii="Avenir Next"/>
          <w:spacing w:val="-3"/>
          <w:sz w:val="16"/>
        </w:rPr>
        <w:t xml:space="preserve"> </w:t>
      </w:r>
      <w:r>
        <w:rPr>
          <w:rFonts w:ascii="Avenir Next"/>
          <w:spacing w:val="-1"/>
          <w:sz w:val="16"/>
        </w:rPr>
        <w:t>Association</w:t>
      </w:r>
      <w:r>
        <w:rPr>
          <w:rFonts w:ascii="Avenir Next"/>
          <w:sz w:val="16"/>
        </w:rPr>
        <w:t xml:space="preserve"> of </w:t>
      </w:r>
      <w:r>
        <w:rPr>
          <w:rFonts w:ascii="Avenir Next"/>
          <w:spacing w:val="-5"/>
          <w:sz w:val="16"/>
        </w:rPr>
        <w:t xml:space="preserve">ACT, </w:t>
      </w:r>
      <w:r>
        <w:rPr>
          <w:rFonts w:ascii="Avenir Next"/>
          <w:sz w:val="16"/>
        </w:rPr>
        <w:t>Submission,</w:t>
      </w:r>
      <w:r>
        <w:rPr>
          <w:rFonts w:ascii="Avenir Next"/>
          <w:spacing w:val="-5"/>
          <w:sz w:val="16"/>
        </w:rPr>
        <w:t xml:space="preserve"> </w:t>
      </w:r>
      <w:r>
        <w:rPr>
          <w:rFonts w:ascii="Avenir Next"/>
          <w:sz w:val="16"/>
        </w:rPr>
        <w:t>18</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w:t>
      </w:r>
    </w:p>
    <w:p w:rsidR="00D96B91" w:rsidRDefault="00D96B91">
      <w:pPr>
        <w:spacing w:before="12"/>
        <w:rPr>
          <w:rFonts w:ascii="Avenir Next" w:eastAsia="Avenir Next" w:hAnsi="Avenir Next" w:cs="Avenir Next"/>
          <w:sz w:val="10"/>
          <w:szCs w:val="10"/>
        </w:rPr>
      </w:pPr>
    </w:p>
    <w:p w:rsidR="00D96B91" w:rsidRDefault="00C2656B">
      <w:pPr>
        <w:numPr>
          <w:ilvl w:val="0"/>
          <w:numId w:val="72"/>
        </w:numPr>
        <w:tabs>
          <w:tab w:val="left" w:pos="1758"/>
        </w:tabs>
        <w:spacing w:line="192" w:lineRule="exact"/>
        <w:ind w:right="1289" w:hanging="510"/>
        <w:jc w:val="both"/>
        <w:rPr>
          <w:rFonts w:ascii="Avenir Next" w:eastAsia="Avenir Next" w:hAnsi="Avenir Next" w:cs="Avenir Next"/>
          <w:sz w:val="16"/>
          <w:szCs w:val="16"/>
        </w:rPr>
      </w:pPr>
      <w:r>
        <w:rPr>
          <w:rFonts w:ascii="Avenir Next"/>
          <w:spacing w:val="-1"/>
          <w:sz w:val="16"/>
        </w:rPr>
        <w:t>Ratepayers</w:t>
      </w:r>
      <w:r>
        <w:rPr>
          <w:rFonts w:ascii="Avenir Next"/>
          <w:spacing w:val="-3"/>
          <w:sz w:val="16"/>
        </w:rPr>
        <w:t xml:space="preserve"> </w:t>
      </w:r>
      <w:r>
        <w:rPr>
          <w:rFonts w:ascii="Avenir Next"/>
          <w:spacing w:val="-1"/>
          <w:sz w:val="16"/>
        </w:rPr>
        <w:t>Association</w:t>
      </w:r>
      <w:r>
        <w:rPr>
          <w:rFonts w:ascii="Avenir Next"/>
          <w:sz w:val="16"/>
        </w:rPr>
        <w:t xml:space="preserve"> of </w:t>
      </w:r>
      <w:r>
        <w:rPr>
          <w:rFonts w:ascii="Avenir Next"/>
          <w:spacing w:val="-5"/>
          <w:sz w:val="16"/>
        </w:rPr>
        <w:t xml:space="preserve">ACT, </w:t>
      </w:r>
      <w:r>
        <w:rPr>
          <w:rFonts w:ascii="Avenir Next"/>
          <w:sz w:val="16"/>
        </w:rPr>
        <w:t>Submission,</w:t>
      </w:r>
      <w:r>
        <w:rPr>
          <w:rFonts w:ascii="Avenir Next"/>
          <w:spacing w:val="-5"/>
          <w:sz w:val="16"/>
        </w:rPr>
        <w:t xml:space="preserve"> </w:t>
      </w:r>
      <w:r>
        <w:rPr>
          <w:rFonts w:ascii="Avenir Next"/>
          <w:sz w:val="16"/>
        </w:rPr>
        <w:t>18</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w:t>
      </w:r>
      <w:r>
        <w:rPr>
          <w:rFonts w:ascii="Avenir Next"/>
          <w:spacing w:val="-5"/>
          <w:sz w:val="16"/>
        </w:rPr>
        <w:t xml:space="preserve"> </w:t>
      </w:r>
      <w:r>
        <w:rPr>
          <w:rFonts w:ascii="Avenir Next"/>
          <w:sz w:val="16"/>
        </w:rPr>
        <w:t xml:space="preserve">Gold </w:t>
      </w:r>
      <w:r>
        <w:rPr>
          <w:rFonts w:ascii="Avenir Next"/>
          <w:spacing w:val="-1"/>
          <w:sz w:val="16"/>
        </w:rPr>
        <w:t>plating</w:t>
      </w:r>
      <w:r>
        <w:rPr>
          <w:rFonts w:ascii="Avenir Next"/>
          <w:sz w:val="16"/>
        </w:rPr>
        <w:t xml:space="preserve"> is said to occur when capital </w:t>
      </w:r>
      <w:r>
        <w:rPr>
          <w:rFonts w:ascii="Avenir Next"/>
          <w:spacing w:val="-1"/>
          <w:sz w:val="16"/>
        </w:rPr>
        <w:t>expenditure</w:t>
      </w:r>
      <w:r>
        <w:rPr>
          <w:rFonts w:ascii="Avenir Next"/>
          <w:sz w:val="16"/>
        </w:rPr>
        <w:t xml:space="preserve"> is</w:t>
      </w:r>
      <w:r>
        <w:rPr>
          <w:rFonts w:ascii="Avenir Next"/>
          <w:spacing w:val="61"/>
          <w:sz w:val="16"/>
        </w:rPr>
        <w:t xml:space="preserve"> </w:t>
      </w:r>
      <w:r>
        <w:rPr>
          <w:rFonts w:ascii="Avenir Next"/>
          <w:spacing w:val="-1"/>
          <w:sz w:val="16"/>
        </w:rPr>
        <w:t xml:space="preserve">undertaken </w:t>
      </w:r>
      <w:r>
        <w:rPr>
          <w:rFonts w:ascii="Avenir Next"/>
          <w:sz w:val="16"/>
        </w:rPr>
        <w:t xml:space="preserve">in </w:t>
      </w:r>
      <w:r>
        <w:rPr>
          <w:rFonts w:ascii="Avenir Next"/>
          <w:spacing w:val="-1"/>
          <w:sz w:val="16"/>
        </w:rPr>
        <w:t>excess</w:t>
      </w:r>
      <w:r>
        <w:rPr>
          <w:rFonts w:ascii="Avenir Next"/>
          <w:sz w:val="16"/>
        </w:rPr>
        <w:t xml:space="preserve"> of</w:t>
      </w:r>
      <w:r>
        <w:rPr>
          <w:rFonts w:ascii="Avenir Next"/>
          <w:spacing w:val="3"/>
          <w:sz w:val="16"/>
        </w:rPr>
        <w:t xml:space="preserve"> </w:t>
      </w:r>
      <w:r>
        <w:rPr>
          <w:rFonts w:ascii="Avenir Next"/>
          <w:sz w:val="16"/>
        </w:rPr>
        <w:t>the</w:t>
      </w:r>
      <w:r>
        <w:rPr>
          <w:rFonts w:ascii="Avenir Next"/>
          <w:spacing w:val="-1"/>
          <w:sz w:val="16"/>
        </w:rPr>
        <w:t xml:space="preserve"> efficient</w:t>
      </w:r>
      <w:r>
        <w:rPr>
          <w:rFonts w:ascii="Avenir Next"/>
          <w:sz w:val="16"/>
        </w:rPr>
        <w:t xml:space="preserve"> level </w:t>
      </w:r>
      <w:r>
        <w:rPr>
          <w:rFonts w:ascii="Avenir Next"/>
          <w:spacing w:val="-1"/>
          <w:sz w:val="16"/>
        </w:rPr>
        <w:t>required</w:t>
      </w:r>
      <w:r>
        <w:rPr>
          <w:rFonts w:ascii="Avenir Next"/>
          <w:sz w:val="16"/>
        </w:rPr>
        <w:t xml:space="preserve"> to meet</w:t>
      </w:r>
      <w:r>
        <w:rPr>
          <w:rFonts w:ascii="Avenir Next"/>
          <w:spacing w:val="-1"/>
          <w:sz w:val="16"/>
        </w:rPr>
        <w:t xml:space="preserve"> </w:t>
      </w:r>
      <w:r>
        <w:rPr>
          <w:rFonts w:ascii="Avenir Next"/>
          <w:sz w:val="16"/>
        </w:rPr>
        <w:t xml:space="preserve">the applicable service </w:t>
      </w:r>
      <w:r>
        <w:rPr>
          <w:rFonts w:ascii="Avenir Next"/>
          <w:spacing w:val="-1"/>
          <w:sz w:val="16"/>
        </w:rPr>
        <w:t>standards.</w:t>
      </w:r>
      <w:r>
        <w:rPr>
          <w:rFonts w:ascii="Avenir Next"/>
          <w:spacing w:val="-5"/>
          <w:sz w:val="16"/>
        </w:rPr>
        <w:t xml:space="preserve"> </w:t>
      </w:r>
      <w:r>
        <w:rPr>
          <w:rFonts w:ascii="Avenir Next"/>
          <w:sz w:val="16"/>
        </w:rPr>
        <w:t>It</w:t>
      </w:r>
      <w:r>
        <w:rPr>
          <w:rFonts w:ascii="Avenir Next"/>
          <w:spacing w:val="-1"/>
          <w:sz w:val="16"/>
        </w:rPr>
        <w:t xml:space="preserve"> </w:t>
      </w:r>
      <w:r>
        <w:rPr>
          <w:rFonts w:ascii="Avenir Next"/>
          <w:sz w:val="16"/>
        </w:rPr>
        <w:t xml:space="preserve">has the </w:t>
      </w:r>
      <w:r>
        <w:rPr>
          <w:rFonts w:ascii="Avenir Next"/>
          <w:spacing w:val="-1"/>
          <w:sz w:val="16"/>
        </w:rPr>
        <w:t>effect</w:t>
      </w:r>
      <w:r>
        <w:rPr>
          <w:rFonts w:ascii="Avenir Next"/>
          <w:sz w:val="16"/>
        </w:rPr>
        <w:t xml:space="preserve"> of</w:t>
      </w:r>
      <w:r>
        <w:rPr>
          <w:rFonts w:ascii="Avenir Next"/>
          <w:spacing w:val="3"/>
          <w:sz w:val="16"/>
        </w:rPr>
        <w:t xml:space="preserve"> </w:t>
      </w:r>
      <w:r>
        <w:rPr>
          <w:rFonts w:ascii="Avenir Next"/>
          <w:spacing w:val="-1"/>
          <w:sz w:val="16"/>
        </w:rPr>
        <w:t>increasing</w:t>
      </w:r>
      <w:r>
        <w:rPr>
          <w:rFonts w:ascii="Avenir Next"/>
          <w:spacing w:val="67"/>
          <w:sz w:val="16"/>
        </w:rPr>
        <w:t xml:space="preserve"> </w:t>
      </w:r>
      <w:r>
        <w:rPr>
          <w:rFonts w:ascii="Avenir Next"/>
          <w:spacing w:val="-1"/>
          <w:sz w:val="16"/>
        </w:rPr>
        <w:t xml:space="preserve">revenue </w:t>
      </w:r>
      <w:r>
        <w:rPr>
          <w:rFonts w:ascii="Avenir Next"/>
          <w:sz w:val="16"/>
        </w:rPr>
        <w:t>and prices above</w:t>
      </w:r>
      <w:r>
        <w:rPr>
          <w:rFonts w:ascii="Avenir Next"/>
          <w:spacing w:val="-1"/>
          <w:sz w:val="16"/>
        </w:rPr>
        <w:t xml:space="preserve"> </w:t>
      </w:r>
      <w:r>
        <w:rPr>
          <w:rFonts w:ascii="Avenir Next"/>
          <w:sz w:val="16"/>
        </w:rPr>
        <w:t xml:space="preserve">the levels </w:t>
      </w:r>
      <w:r>
        <w:rPr>
          <w:rFonts w:ascii="Avenir Next"/>
          <w:spacing w:val="-1"/>
          <w:sz w:val="16"/>
        </w:rPr>
        <w:t xml:space="preserve">required </w:t>
      </w:r>
      <w:r>
        <w:rPr>
          <w:rFonts w:ascii="Avenir Next"/>
          <w:sz w:val="16"/>
        </w:rPr>
        <w:t xml:space="preserve">had capital </w:t>
      </w:r>
      <w:r>
        <w:rPr>
          <w:rFonts w:ascii="Avenir Next"/>
          <w:spacing w:val="-1"/>
          <w:sz w:val="16"/>
        </w:rPr>
        <w:t>expenditure</w:t>
      </w:r>
      <w:r>
        <w:rPr>
          <w:rFonts w:ascii="Avenir Next"/>
          <w:sz w:val="16"/>
        </w:rPr>
        <w:t xml:space="preserve"> been</w:t>
      </w:r>
      <w:r>
        <w:rPr>
          <w:rFonts w:ascii="Avenir Next"/>
          <w:spacing w:val="-1"/>
          <w:sz w:val="16"/>
        </w:rPr>
        <w:t xml:space="preserve"> kept</w:t>
      </w:r>
      <w:r>
        <w:rPr>
          <w:rFonts w:ascii="Avenir Next"/>
          <w:sz w:val="16"/>
        </w:rPr>
        <w:t xml:space="preserve"> to an</w:t>
      </w:r>
      <w:r>
        <w:rPr>
          <w:rFonts w:ascii="Avenir Next"/>
          <w:spacing w:val="-1"/>
          <w:sz w:val="16"/>
        </w:rPr>
        <w:t xml:space="preserve"> efficient</w:t>
      </w:r>
      <w:r>
        <w:rPr>
          <w:rFonts w:ascii="Avenir Next"/>
          <w:sz w:val="16"/>
        </w:rPr>
        <w:t xml:space="preserve"> level.</w:t>
      </w:r>
    </w:p>
    <w:p w:rsidR="00D96B91" w:rsidRDefault="00C2656B">
      <w:pPr>
        <w:numPr>
          <w:ilvl w:val="0"/>
          <w:numId w:val="72"/>
        </w:numPr>
        <w:tabs>
          <w:tab w:val="left" w:pos="1758"/>
        </w:tabs>
        <w:spacing w:before="141"/>
        <w:ind w:hanging="510"/>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7"/>
        <w:numPr>
          <w:ilvl w:val="3"/>
          <w:numId w:val="71"/>
        </w:numPr>
        <w:tabs>
          <w:tab w:val="left" w:pos="2212"/>
        </w:tabs>
        <w:spacing w:before="29"/>
        <w:rPr>
          <w:rFonts w:cs="Avenir Next"/>
          <w:b w:val="0"/>
          <w:bCs w:val="0"/>
        </w:rPr>
      </w:pPr>
      <w:r>
        <w:rPr>
          <w:rFonts w:cs="Avenir Next"/>
          <w:color w:val="0778BE"/>
          <w:spacing w:val="-3"/>
        </w:rPr>
        <w:t>Cardno’s</w:t>
      </w:r>
      <w:r>
        <w:rPr>
          <w:rFonts w:cs="Avenir Next"/>
          <w:color w:val="0778BE"/>
        </w:rPr>
        <w:t xml:space="preserve"> findings on</w:t>
      </w:r>
      <w:r>
        <w:rPr>
          <w:rFonts w:cs="Avenir Next"/>
          <w:color w:val="0778BE"/>
          <w:spacing w:val="-4"/>
        </w:rPr>
        <w:t xml:space="preserve"> </w:t>
      </w:r>
      <w:r>
        <w:rPr>
          <w:rFonts w:cs="Avenir Next"/>
          <w:color w:val="0778BE"/>
          <w:spacing w:val="-2"/>
        </w:rPr>
        <w:t>ACTEW’s</w:t>
      </w:r>
      <w:r>
        <w:rPr>
          <w:rFonts w:cs="Avenir Next"/>
          <w:color w:val="0778BE"/>
        </w:rPr>
        <w:t xml:space="preserve"> governance </w:t>
      </w:r>
      <w:r>
        <w:rPr>
          <w:rFonts w:cs="Avenir Next"/>
          <w:color w:val="0778BE"/>
          <w:spacing w:val="-1"/>
        </w:rPr>
        <w:t>processes</w:t>
      </w:r>
    </w:p>
    <w:p w:rsidR="00D96B91" w:rsidRDefault="00C2656B">
      <w:pPr>
        <w:pStyle w:val="BodyText"/>
        <w:spacing w:before="28" w:line="260" w:lineRule="exact"/>
        <w:ind w:right="1513"/>
      </w:pPr>
      <w:r>
        <w:rPr>
          <w:rFonts w:cs="Avenir Next"/>
          <w:spacing w:val="-2"/>
        </w:rPr>
        <w:t>Cardno</w:t>
      </w:r>
      <w:r>
        <w:rPr>
          <w:rFonts w:cs="Avenir Next"/>
        </w:rPr>
        <w:t xml:space="preserve"> </w:t>
      </w:r>
      <w:r>
        <w:rPr>
          <w:rFonts w:cs="Avenir Next"/>
          <w:spacing w:val="-1"/>
        </w:rPr>
        <w:t>reviewed</w:t>
      </w:r>
      <w:r>
        <w:rPr>
          <w:rFonts w:cs="Avenir Next"/>
          <w:spacing w:val="-4"/>
        </w:rPr>
        <w:t xml:space="preserve"> </w:t>
      </w:r>
      <w:r>
        <w:rPr>
          <w:rFonts w:cs="Avenir Next"/>
          <w:spacing w:val="-2"/>
        </w:rPr>
        <w:t>ACTEW’s</w:t>
      </w:r>
      <w:r>
        <w:rPr>
          <w:rFonts w:cs="Avenir Next"/>
        </w:rPr>
        <w:t xml:space="preserve"> </w:t>
      </w:r>
      <w:r>
        <w:rPr>
          <w:rFonts w:cs="Avenir Next"/>
          <w:spacing w:val="-1"/>
        </w:rPr>
        <w:t>recently</w:t>
      </w:r>
      <w:r>
        <w:rPr>
          <w:rFonts w:cs="Avenir Next"/>
        </w:rPr>
        <w:t xml:space="preserve"> implemented capital delivery </w:t>
      </w:r>
      <w:r>
        <w:rPr>
          <w:rFonts w:cs="Avenir Next"/>
          <w:spacing w:val="-1"/>
        </w:rPr>
        <w:t>framework,</w:t>
      </w:r>
      <w:r>
        <w:rPr>
          <w:rFonts w:cs="Avenir Next"/>
          <w:spacing w:val="-10"/>
        </w:rPr>
        <w:t xml:space="preserve"> </w:t>
      </w:r>
      <w:r>
        <w:rPr>
          <w:rFonts w:cs="Avenir Next"/>
          <w:spacing w:val="-2"/>
        </w:rPr>
        <w:t>ACTEW’s</w:t>
      </w:r>
      <w:r>
        <w:rPr>
          <w:rFonts w:cs="Avenir Next"/>
        </w:rPr>
        <w:t xml:space="preserve"> </w:t>
      </w:r>
      <w:r>
        <w:rPr>
          <w:rFonts w:cs="Avenir Next"/>
          <w:spacing w:val="-1"/>
        </w:rPr>
        <w:t>progress</w:t>
      </w:r>
      <w:r>
        <w:rPr>
          <w:rFonts w:cs="Avenir Next"/>
        </w:rPr>
        <w:t xml:space="preserve"> in</w:t>
      </w:r>
      <w:r>
        <w:rPr>
          <w:rFonts w:cs="Avenir Next"/>
          <w:spacing w:val="43"/>
        </w:rPr>
        <w:t xml:space="preserve"> </w:t>
      </w:r>
      <w:r>
        <w:rPr>
          <w:spacing w:val="-1"/>
        </w:rPr>
        <w:t>approving</w:t>
      </w:r>
      <w:r>
        <w:t xml:space="preserve"> investments </w:t>
      </w:r>
      <w:r>
        <w:rPr>
          <w:spacing w:val="-1"/>
        </w:rPr>
        <w:t>through</w:t>
      </w:r>
      <w:r>
        <w:t xml:space="preserve"> this </w:t>
      </w:r>
      <w:r>
        <w:rPr>
          <w:spacing w:val="-1"/>
        </w:rPr>
        <w:t>framework,</w:t>
      </w:r>
      <w:r>
        <w:rPr>
          <w:spacing w:val="-6"/>
        </w:rPr>
        <w:t xml:space="preserve"> </w:t>
      </w:r>
      <w:r>
        <w:t>and a sample of</w:t>
      </w:r>
      <w:r>
        <w:rPr>
          <w:spacing w:val="4"/>
        </w:rPr>
        <w:t xml:space="preserve"> </w:t>
      </w:r>
      <w:r>
        <w:rPr>
          <w:spacing w:val="-1"/>
        </w:rPr>
        <w:t>approval</w:t>
      </w:r>
      <w:r>
        <w:t xml:space="preserve"> </w:t>
      </w:r>
      <w:r>
        <w:rPr>
          <w:spacing w:val="-1"/>
        </w:rPr>
        <w:t>documentation.</w:t>
      </w:r>
      <w:r>
        <w:rPr>
          <w:spacing w:val="-6"/>
        </w:rPr>
        <w:t xml:space="preserve"> </w:t>
      </w:r>
      <w:r>
        <w:t>Based on</w:t>
      </w:r>
      <w:r>
        <w:rPr>
          <w:spacing w:val="63"/>
        </w:rPr>
        <w:t xml:space="preserve"> </w:t>
      </w:r>
      <w:r>
        <w:t>this</w:t>
      </w:r>
      <w:r>
        <w:rPr>
          <w:spacing w:val="-1"/>
        </w:rPr>
        <w:t xml:space="preserve"> </w:t>
      </w:r>
      <w:r>
        <w:rPr>
          <w:spacing w:val="-2"/>
        </w:rPr>
        <w:t>review,</w:t>
      </w:r>
      <w:r>
        <w:rPr>
          <w:spacing w:val="-6"/>
        </w:rPr>
        <w:t xml:space="preserve"> </w:t>
      </w:r>
      <w:r>
        <w:rPr>
          <w:spacing w:val="-2"/>
        </w:rPr>
        <w:t>Cardno</w:t>
      </w:r>
      <w:r>
        <w:rPr>
          <w:spacing w:val="-1"/>
        </w:rPr>
        <w:t xml:space="preserve"> </w:t>
      </w:r>
      <w:r>
        <w:t xml:space="preserve">was </w:t>
      </w:r>
      <w:r>
        <w:rPr>
          <w:spacing w:val="-1"/>
        </w:rPr>
        <w:t>“satisfied</w:t>
      </w:r>
      <w:r>
        <w:t xml:space="preserve"> </w:t>
      </w:r>
      <w:r>
        <w:rPr>
          <w:spacing w:val="-1"/>
        </w:rPr>
        <w:t>that</w:t>
      </w:r>
      <w:r>
        <w:rPr>
          <w:spacing w:val="-5"/>
        </w:rPr>
        <w:t xml:space="preserve"> </w:t>
      </w:r>
      <w:r>
        <w:rPr>
          <w:spacing w:val="-2"/>
        </w:rPr>
        <w:t>ACTEW</w:t>
      </w:r>
      <w:r>
        <w:rPr>
          <w:spacing w:val="-3"/>
        </w:rPr>
        <w:t xml:space="preserve"> </w:t>
      </w:r>
      <w:r>
        <w:t>has</w:t>
      </w:r>
      <w:r>
        <w:rPr>
          <w:spacing w:val="-1"/>
        </w:rPr>
        <w:t xml:space="preserve"> </w:t>
      </w:r>
      <w:r>
        <w:t>in place a</w:t>
      </w:r>
      <w:r>
        <w:rPr>
          <w:spacing w:val="-1"/>
        </w:rPr>
        <w:t xml:space="preserve"> reasonable</w:t>
      </w:r>
      <w:r>
        <w:t xml:space="preserve"> governance</w:t>
      </w:r>
      <w:r>
        <w:rPr>
          <w:spacing w:val="-1"/>
        </w:rPr>
        <w:t xml:space="preserve"> framework</w:t>
      </w:r>
      <w:r>
        <w:t xml:space="preserve"> for</w:t>
      </w:r>
      <w:r>
        <w:rPr>
          <w:spacing w:val="61"/>
        </w:rPr>
        <w:t xml:space="preserve"> </w:t>
      </w:r>
      <w:r>
        <w:t>delivering its</w:t>
      </w:r>
      <w:r>
        <w:rPr>
          <w:spacing w:val="1"/>
        </w:rPr>
        <w:t xml:space="preserve"> </w:t>
      </w:r>
      <w:r>
        <w:t>capital</w:t>
      </w:r>
      <w:r>
        <w:rPr>
          <w:spacing w:val="1"/>
        </w:rPr>
        <w:t xml:space="preserve"> </w:t>
      </w:r>
      <w:r>
        <w:rPr>
          <w:spacing w:val="-2"/>
        </w:rPr>
        <w:t>expenditure.”</w:t>
      </w:r>
      <w:r>
        <w:rPr>
          <w:spacing w:val="-2"/>
          <w:position w:val="7"/>
          <w:sz w:val="11"/>
          <w:szCs w:val="11"/>
        </w:rPr>
        <w:t>126</w:t>
      </w:r>
      <w:r>
        <w:rPr>
          <w:spacing w:val="24"/>
          <w:position w:val="7"/>
          <w:sz w:val="11"/>
          <w:szCs w:val="11"/>
        </w:rPr>
        <w:t xml:space="preserve"> </w:t>
      </w:r>
      <w:r>
        <w:rPr>
          <w:rFonts w:cs="Avenir Next"/>
        </w:rPr>
        <w:t>It also</w:t>
      </w:r>
      <w:r>
        <w:rPr>
          <w:rFonts w:cs="Avenir Next"/>
          <w:spacing w:val="1"/>
        </w:rPr>
        <w:t xml:space="preserve"> </w:t>
      </w:r>
      <w:r>
        <w:rPr>
          <w:rFonts w:cs="Avenir Next"/>
        </w:rPr>
        <w:t>found</w:t>
      </w:r>
      <w:r>
        <w:rPr>
          <w:rFonts w:cs="Avenir Next"/>
          <w:spacing w:val="1"/>
        </w:rPr>
        <w:t xml:space="preserve"> </w:t>
      </w:r>
      <w:r>
        <w:rPr>
          <w:rFonts w:cs="Avenir Next"/>
          <w:spacing w:val="-1"/>
        </w:rPr>
        <w:t>that</w:t>
      </w:r>
      <w:r>
        <w:rPr>
          <w:rFonts w:cs="Avenir Next"/>
          <w:spacing w:val="1"/>
        </w:rPr>
        <w:t xml:space="preserve"> </w:t>
      </w:r>
      <w:r>
        <w:rPr>
          <w:rFonts w:cs="Avenir Next"/>
        </w:rPr>
        <w:t>the</w:t>
      </w:r>
      <w:r>
        <w:rPr>
          <w:rFonts w:cs="Avenir Next"/>
          <w:spacing w:val="1"/>
        </w:rPr>
        <w:t xml:space="preserve"> </w:t>
      </w:r>
      <w:r>
        <w:rPr>
          <w:rFonts w:cs="Avenir Next"/>
        </w:rPr>
        <w:t>new</w:t>
      </w:r>
      <w:r>
        <w:rPr>
          <w:rFonts w:cs="Avenir Next"/>
          <w:spacing w:val="1"/>
        </w:rPr>
        <w:t xml:space="preserve"> </w:t>
      </w:r>
      <w:r>
        <w:rPr>
          <w:rFonts w:cs="Avenir Next"/>
        </w:rPr>
        <w:t>governance</w:t>
      </w:r>
      <w:r>
        <w:rPr>
          <w:rFonts w:cs="Avenir Next"/>
          <w:spacing w:val="1"/>
        </w:rPr>
        <w:t xml:space="preserve"> </w:t>
      </w:r>
      <w:r>
        <w:rPr>
          <w:rFonts w:cs="Avenir Next"/>
          <w:spacing w:val="-1"/>
        </w:rPr>
        <w:t>processes</w:t>
      </w:r>
      <w:r>
        <w:rPr>
          <w:rFonts w:cs="Avenir Next"/>
          <w:spacing w:val="1"/>
        </w:rPr>
        <w:t xml:space="preserve"> </w:t>
      </w:r>
      <w:r>
        <w:rPr>
          <w:rFonts w:cs="Avenir Next"/>
          <w:spacing w:val="-2"/>
        </w:rPr>
        <w:t>are</w:t>
      </w:r>
      <w:r>
        <w:rPr>
          <w:rFonts w:cs="Avenir Next"/>
          <w:spacing w:val="1"/>
        </w:rPr>
        <w:t xml:space="preserve"> </w:t>
      </w:r>
      <w:r>
        <w:rPr>
          <w:rFonts w:cs="Avenir Next"/>
          <w:spacing w:val="-1"/>
        </w:rPr>
        <w:t>generally</w:t>
      </w:r>
      <w:r>
        <w:rPr>
          <w:rFonts w:cs="Avenir Next"/>
          <w:spacing w:val="51"/>
        </w:rPr>
        <w:t xml:space="preserve"> </w:t>
      </w:r>
      <w:r>
        <w:rPr>
          <w:spacing w:val="-1"/>
        </w:rPr>
        <w:t xml:space="preserve">sufficient </w:t>
      </w:r>
      <w:r>
        <w:t>to manage</w:t>
      </w:r>
      <w:r>
        <w:rPr>
          <w:spacing w:val="-1"/>
        </w:rPr>
        <w:t xml:space="preserve"> </w:t>
      </w:r>
      <w:r>
        <w:t xml:space="preserve">the </w:t>
      </w:r>
      <w:r>
        <w:rPr>
          <w:spacing w:val="-1"/>
        </w:rPr>
        <w:t>risks</w:t>
      </w:r>
      <w:r>
        <w:t xml:space="preserve"> in</w:t>
      </w:r>
      <w:r>
        <w:rPr>
          <w:spacing w:val="-1"/>
        </w:rPr>
        <w:t xml:space="preserve"> </w:t>
      </w:r>
      <w:r>
        <w:t>delivering</w:t>
      </w:r>
      <w:r>
        <w:rPr>
          <w:spacing w:val="-4"/>
        </w:rPr>
        <w:t xml:space="preserve"> </w:t>
      </w:r>
      <w:r>
        <w:rPr>
          <w:spacing w:val="-2"/>
        </w:rPr>
        <w:t>ACTEW’s</w:t>
      </w:r>
      <w:r>
        <w:t xml:space="preserve"> capital</w:t>
      </w:r>
      <w:r>
        <w:rPr>
          <w:spacing w:val="-1"/>
        </w:rPr>
        <w:t xml:space="preserve"> program</w:t>
      </w:r>
      <w:r>
        <w:t xml:space="preserve"> </w:t>
      </w:r>
      <w:r>
        <w:rPr>
          <w:spacing w:val="-2"/>
        </w:rPr>
        <w:t>“as</w:t>
      </w:r>
      <w:r>
        <w:rPr>
          <w:spacing w:val="-1"/>
        </w:rPr>
        <w:t xml:space="preserve"> there</w:t>
      </w:r>
      <w:r>
        <w:t xml:space="preserve"> is </w:t>
      </w:r>
      <w:r>
        <w:rPr>
          <w:spacing w:val="-1"/>
        </w:rPr>
        <w:t xml:space="preserve">increased </w:t>
      </w:r>
      <w:r>
        <w:t>rigour in</w:t>
      </w:r>
      <w:r>
        <w:rPr>
          <w:spacing w:val="29"/>
        </w:rPr>
        <w:t xml:space="preserve"> </w:t>
      </w:r>
      <w:r>
        <w:t xml:space="preserve">the development and </w:t>
      </w:r>
      <w:r>
        <w:rPr>
          <w:spacing w:val="-1"/>
        </w:rPr>
        <w:t>approval</w:t>
      </w:r>
      <w:r>
        <w:t xml:space="preserve"> of</w:t>
      </w:r>
      <w:r>
        <w:rPr>
          <w:spacing w:val="4"/>
        </w:rPr>
        <w:t xml:space="preserve"> </w:t>
      </w:r>
      <w:r>
        <w:t xml:space="preserve">Business </w:t>
      </w:r>
      <w:r>
        <w:rPr>
          <w:spacing w:val="-1"/>
        </w:rPr>
        <w:t>Cases</w:t>
      </w:r>
      <w:r>
        <w:t xml:space="preserve"> and</w:t>
      </w:r>
      <w:r>
        <w:rPr>
          <w:spacing w:val="-5"/>
        </w:rPr>
        <w:t xml:space="preserve"> </w:t>
      </w:r>
      <w:r>
        <w:rPr>
          <w:spacing w:val="-3"/>
        </w:rPr>
        <w:t>Technical</w:t>
      </w:r>
      <w:r>
        <w:t xml:space="preserve"> </w:t>
      </w:r>
      <w:r>
        <w:rPr>
          <w:spacing w:val="-3"/>
        </w:rPr>
        <w:t>Reports.”</w:t>
      </w:r>
    </w:p>
    <w:p w:rsidR="00D96B91" w:rsidRDefault="00C2656B">
      <w:pPr>
        <w:pStyle w:val="BodyText"/>
        <w:spacing w:before="170" w:line="260" w:lineRule="exact"/>
        <w:ind w:right="1411"/>
      </w:pPr>
      <w:r>
        <w:rPr>
          <w:spacing w:val="-2"/>
        </w:rPr>
        <w:t>Cardno</w:t>
      </w:r>
      <w:r>
        <w:t xml:space="preserve"> also noted </w:t>
      </w:r>
      <w:r>
        <w:rPr>
          <w:spacing w:val="-1"/>
        </w:rPr>
        <w:t>that</w:t>
      </w:r>
      <w:r>
        <w:t xml:space="preserve"> the new </w:t>
      </w:r>
      <w:r>
        <w:rPr>
          <w:spacing w:val="-1"/>
        </w:rPr>
        <w:t>processes</w:t>
      </w:r>
      <w:r>
        <w:t xml:space="preserve"> had been applied to only a small </w:t>
      </w:r>
      <w:r>
        <w:rPr>
          <w:spacing w:val="-1"/>
        </w:rPr>
        <w:t>proportion</w:t>
      </w:r>
      <w:r>
        <w:t xml:space="preserve"> of</w:t>
      </w:r>
      <w:r>
        <w:rPr>
          <w:spacing w:val="4"/>
        </w:rPr>
        <w:t xml:space="preserve"> </w:t>
      </w:r>
      <w:r>
        <w:t>the</w:t>
      </w:r>
      <w:r>
        <w:rPr>
          <w:spacing w:val="27"/>
        </w:rPr>
        <w:t xml:space="preserve"> </w:t>
      </w:r>
      <w:r>
        <w:rPr>
          <w:spacing w:val="-1"/>
        </w:rPr>
        <w:t xml:space="preserve">expenditure </w:t>
      </w:r>
      <w:r>
        <w:t>in the first two</w:t>
      </w:r>
      <w:r>
        <w:rPr>
          <w:spacing w:val="-1"/>
        </w:rPr>
        <w:t xml:space="preserve"> years</w:t>
      </w:r>
      <w:r>
        <w:t xml:space="preserve"> of</w:t>
      </w:r>
      <w:r>
        <w:rPr>
          <w:spacing w:val="4"/>
        </w:rPr>
        <w:t xml:space="preserve"> </w:t>
      </w:r>
      <w:r>
        <w:t xml:space="preserve">the </w:t>
      </w:r>
      <w:r>
        <w:rPr>
          <w:spacing w:val="-1"/>
        </w:rPr>
        <w:t>regulatory</w:t>
      </w:r>
      <w:r>
        <w:t xml:space="preserve"> period.</w:t>
      </w:r>
      <w:r>
        <w:rPr>
          <w:spacing w:val="-7"/>
        </w:rPr>
        <w:t xml:space="preserve"> </w:t>
      </w:r>
      <w:r>
        <w:t>In addition,</w:t>
      </w:r>
      <w:r>
        <w:rPr>
          <w:spacing w:val="-6"/>
        </w:rPr>
        <w:t xml:space="preserve"> </w:t>
      </w:r>
      <w:r>
        <w:t xml:space="preserve">it </w:t>
      </w:r>
      <w:r>
        <w:rPr>
          <w:spacing w:val="-1"/>
        </w:rPr>
        <w:t>considered</w:t>
      </w:r>
      <w:r>
        <w:t xml:space="preserve"> </w:t>
      </w:r>
      <w:r>
        <w:rPr>
          <w:spacing w:val="-1"/>
        </w:rPr>
        <w:t>that</w:t>
      </w:r>
      <w:r>
        <w:rPr>
          <w:spacing w:val="-5"/>
        </w:rPr>
        <w:t xml:space="preserve"> </w:t>
      </w:r>
      <w:r>
        <w:rPr>
          <w:spacing w:val="-2"/>
        </w:rPr>
        <w:t>ACTEW</w:t>
      </w:r>
      <w:r>
        <w:rPr>
          <w:spacing w:val="-3"/>
        </w:rPr>
        <w:t xml:space="preserve"> </w:t>
      </w:r>
      <w:r>
        <w:t>faces</w:t>
      </w:r>
      <w:r>
        <w:rPr>
          <w:spacing w:val="49"/>
        </w:rPr>
        <w:t xml:space="preserve"> </w:t>
      </w:r>
      <w:r>
        <w:t>a</w:t>
      </w:r>
      <w:r>
        <w:rPr>
          <w:spacing w:val="-1"/>
        </w:rPr>
        <w:t xml:space="preserve"> </w:t>
      </w:r>
      <w:r>
        <w:t>significant</w:t>
      </w:r>
      <w:r>
        <w:rPr>
          <w:spacing w:val="-1"/>
        </w:rPr>
        <w:t xml:space="preserve"> </w:t>
      </w:r>
      <w:r>
        <w:t>challenge</w:t>
      </w:r>
      <w:r>
        <w:rPr>
          <w:spacing w:val="-1"/>
        </w:rPr>
        <w:t xml:space="preserve"> </w:t>
      </w:r>
      <w:r>
        <w:t>to</w:t>
      </w:r>
      <w:r>
        <w:rPr>
          <w:spacing w:val="-1"/>
        </w:rPr>
        <w:t xml:space="preserve"> </w:t>
      </w:r>
      <w:r>
        <w:t>deliver its</w:t>
      </w:r>
      <w:r>
        <w:rPr>
          <w:spacing w:val="-1"/>
        </w:rPr>
        <w:t xml:space="preserve"> proposed </w:t>
      </w:r>
      <w:r>
        <w:t>level</w:t>
      </w:r>
      <w:r>
        <w:rPr>
          <w:spacing w:val="-1"/>
        </w:rPr>
        <w:t xml:space="preserve"> </w:t>
      </w:r>
      <w:r>
        <w:t>of</w:t>
      </w:r>
      <w:r>
        <w:rPr>
          <w:spacing w:val="4"/>
        </w:rPr>
        <w:t xml:space="preserve"> </w:t>
      </w:r>
      <w:r>
        <w:rPr>
          <w:spacing w:val="-1"/>
        </w:rPr>
        <w:t xml:space="preserve">expenditure </w:t>
      </w:r>
      <w:r>
        <w:t>for</w:t>
      </w:r>
      <w:r>
        <w:rPr>
          <w:spacing w:val="-1"/>
        </w:rPr>
        <w:t xml:space="preserve"> </w:t>
      </w:r>
      <w:r>
        <w:t>the</w:t>
      </w:r>
      <w:r>
        <w:rPr>
          <w:spacing w:val="-1"/>
        </w:rPr>
        <w:t xml:space="preserve"> </w:t>
      </w:r>
      <w:r>
        <w:t>final two</w:t>
      </w:r>
      <w:r>
        <w:rPr>
          <w:spacing w:val="-1"/>
        </w:rPr>
        <w:t xml:space="preserve"> years </w:t>
      </w:r>
      <w:r>
        <w:t>of</w:t>
      </w:r>
      <w:r>
        <w:rPr>
          <w:spacing w:val="3"/>
        </w:rPr>
        <w:t xml:space="preserve"> </w:t>
      </w:r>
      <w:r>
        <w:t>the</w:t>
      </w:r>
      <w:r>
        <w:rPr>
          <w:spacing w:val="-1"/>
        </w:rPr>
        <w:t xml:space="preserve"> </w:t>
      </w:r>
      <w:r>
        <w:t>period</w:t>
      </w:r>
      <w:r>
        <w:rPr>
          <w:spacing w:val="25"/>
        </w:rPr>
        <w:t xml:space="preserve"> </w:t>
      </w:r>
      <w:r>
        <w:t xml:space="preserve">(discussed </w:t>
      </w:r>
      <w:r>
        <w:rPr>
          <w:spacing w:val="-1"/>
        </w:rPr>
        <w:t>further</w:t>
      </w:r>
      <w:r>
        <w:t xml:space="preserve"> below).</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1"/>
        </w:numPr>
        <w:tabs>
          <w:tab w:val="left" w:pos="2212"/>
        </w:tabs>
        <w:rPr>
          <w:b w:val="0"/>
          <w:bCs w:val="0"/>
        </w:rPr>
      </w:pPr>
      <w:r>
        <w:rPr>
          <w:color w:val="0778BE"/>
          <w:spacing w:val="-3"/>
        </w:rPr>
        <w:t>Cardno’s</w:t>
      </w:r>
      <w:r>
        <w:rPr>
          <w:color w:val="0778BE"/>
        </w:rPr>
        <w:t xml:space="preserve"> </w:t>
      </w:r>
      <w:r>
        <w:rPr>
          <w:color w:val="0778BE"/>
          <w:spacing w:val="-1"/>
        </w:rPr>
        <w:t>recommendations</w:t>
      </w:r>
      <w:r>
        <w:rPr>
          <w:color w:val="0778BE"/>
        </w:rPr>
        <w:t xml:space="preserve"> on </w:t>
      </w:r>
      <w:r>
        <w:rPr>
          <w:color w:val="0778BE"/>
          <w:spacing w:val="-1"/>
        </w:rPr>
        <w:t>forecast</w:t>
      </w:r>
      <w:r>
        <w:rPr>
          <w:color w:val="0778BE"/>
        </w:rPr>
        <w:t xml:space="preserve"> capital </w:t>
      </w:r>
      <w:r>
        <w:rPr>
          <w:color w:val="0778BE"/>
          <w:spacing w:val="-1"/>
        </w:rPr>
        <w:t>expenditure</w:t>
      </w:r>
    </w:p>
    <w:p w:rsidR="00D96B91" w:rsidRDefault="00C2656B">
      <w:pPr>
        <w:pStyle w:val="BodyText"/>
        <w:spacing w:before="28" w:line="260" w:lineRule="exact"/>
        <w:ind w:right="1313"/>
        <w:rPr>
          <w:rFonts w:cs="Avenir Next"/>
        </w:rPr>
      </w:pPr>
      <w:r>
        <w:t xml:space="preserve">In </w:t>
      </w:r>
      <w:r>
        <w:rPr>
          <w:spacing w:val="-1"/>
        </w:rPr>
        <w:t>reviewing</w:t>
      </w:r>
      <w:r>
        <w:t xml:space="preserve"> the </w:t>
      </w:r>
      <w:r>
        <w:rPr>
          <w:spacing w:val="-1"/>
        </w:rPr>
        <w:t>forecast</w:t>
      </w:r>
      <w:r>
        <w:t xml:space="preserve"> capital </w:t>
      </w:r>
      <w:r>
        <w:rPr>
          <w:spacing w:val="-1"/>
        </w:rPr>
        <w:t>expenditure</w:t>
      </w:r>
      <w:r>
        <w:t xml:space="preserve"> included in</w:t>
      </w:r>
      <w:r>
        <w:rPr>
          <w:spacing w:val="-4"/>
        </w:rPr>
        <w:t xml:space="preserve"> </w:t>
      </w:r>
      <w:r>
        <w:rPr>
          <w:spacing w:val="-2"/>
        </w:rPr>
        <w:t>ACTEW’s</w:t>
      </w:r>
      <w:r>
        <w:t xml:space="preserve"> SOFC </w:t>
      </w:r>
      <w:r>
        <w:rPr>
          <w:spacing w:val="-4"/>
        </w:rPr>
        <w:t>(Table</w:t>
      </w:r>
      <w:r>
        <w:t xml:space="preserve"> 9.9),</w:t>
      </w:r>
      <w:r>
        <w:rPr>
          <w:spacing w:val="-6"/>
        </w:rPr>
        <w:t xml:space="preserve"> </w:t>
      </w:r>
      <w:r>
        <w:t>and considering</w:t>
      </w:r>
      <w:r>
        <w:rPr>
          <w:spacing w:val="39"/>
        </w:rPr>
        <w:t xml:space="preserve"> </w:t>
      </w:r>
      <w:r>
        <w:rPr>
          <w:rFonts w:cs="Avenir Next"/>
        </w:rPr>
        <w:t xml:space="preserve">whether </w:t>
      </w:r>
      <w:r>
        <w:rPr>
          <w:rFonts w:cs="Avenir Next"/>
          <w:spacing w:val="-1"/>
        </w:rPr>
        <w:t>there</w:t>
      </w:r>
      <w:r>
        <w:rPr>
          <w:rFonts w:cs="Avenir Next"/>
        </w:rPr>
        <w:t xml:space="preserve"> had been substantive change in the </w:t>
      </w:r>
      <w:r>
        <w:rPr>
          <w:rFonts w:cs="Avenir Next"/>
          <w:spacing w:val="-1"/>
        </w:rPr>
        <w:t>circumstances</w:t>
      </w:r>
      <w:r>
        <w:rPr>
          <w:rFonts w:cs="Avenir Next"/>
        </w:rPr>
        <w:t xml:space="preserve"> </w:t>
      </w:r>
      <w:r>
        <w:rPr>
          <w:rFonts w:cs="Avenir Next"/>
          <w:spacing w:val="-1"/>
        </w:rPr>
        <w:t>that</w:t>
      </w:r>
      <w:r>
        <w:rPr>
          <w:rFonts w:cs="Avenir Next"/>
        </w:rPr>
        <w:t xml:space="preserve"> </w:t>
      </w:r>
      <w:r>
        <w:rPr>
          <w:rFonts w:cs="Avenir Next"/>
          <w:spacing w:val="-1"/>
        </w:rPr>
        <w:t>prevailed</w:t>
      </w:r>
      <w:r>
        <w:rPr>
          <w:rFonts w:cs="Avenir Next"/>
        </w:rPr>
        <w:t xml:space="preserve"> </w:t>
      </w:r>
      <w:r>
        <w:rPr>
          <w:rFonts w:cs="Avenir Next"/>
          <w:spacing w:val="-1"/>
        </w:rPr>
        <w:t>at</w:t>
      </w:r>
      <w:r>
        <w:rPr>
          <w:rFonts w:cs="Avenir Next"/>
        </w:rPr>
        <w:t xml:space="preserve"> the time of</w:t>
      </w:r>
      <w:r>
        <w:rPr>
          <w:rFonts w:cs="Avenir Next"/>
          <w:spacing w:val="4"/>
        </w:rPr>
        <w:t xml:space="preserve"> </w:t>
      </w:r>
      <w:r>
        <w:rPr>
          <w:rFonts w:cs="Avenir Next"/>
        </w:rPr>
        <w:t>the</w:t>
      </w:r>
      <w:r>
        <w:rPr>
          <w:rFonts w:cs="Avenir Next"/>
          <w:spacing w:val="33"/>
        </w:rPr>
        <w:t xml:space="preserve"> </w:t>
      </w:r>
      <w:r>
        <w:rPr>
          <w:spacing w:val="-2"/>
        </w:rPr>
        <w:t>ICRC’s</w:t>
      </w:r>
      <w:r>
        <w:rPr>
          <w:spacing w:val="-1"/>
        </w:rPr>
        <w:t xml:space="preserve"> </w:t>
      </w:r>
      <w:r>
        <w:t>final decision,</w:t>
      </w:r>
      <w:r>
        <w:rPr>
          <w:spacing w:val="-6"/>
        </w:rPr>
        <w:t xml:space="preserve"> </w:t>
      </w:r>
      <w:r>
        <w:rPr>
          <w:spacing w:val="-2"/>
        </w:rPr>
        <w:t>Cardno</w:t>
      </w:r>
      <w:r>
        <w:rPr>
          <w:spacing w:val="-1"/>
        </w:rPr>
        <w:t xml:space="preserve"> </w:t>
      </w:r>
      <w:r>
        <w:t xml:space="preserve">sought </w:t>
      </w:r>
      <w:r>
        <w:rPr>
          <w:spacing w:val="-1"/>
        </w:rPr>
        <w:t>more</w:t>
      </w:r>
      <w:r>
        <w:t xml:space="preserve"> </w:t>
      </w:r>
      <w:r>
        <w:rPr>
          <w:spacing w:val="-1"/>
        </w:rPr>
        <w:t>information from</w:t>
      </w:r>
      <w:r>
        <w:rPr>
          <w:spacing w:val="-4"/>
        </w:rPr>
        <w:t xml:space="preserve"> ACTEW.</w:t>
      </w:r>
      <w:r>
        <w:rPr>
          <w:spacing w:val="-6"/>
        </w:rPr>
        <w:t xml:space="preserve"> </w:t>
      </w:r>
      <w:r>
        <w:t>Based on</w:t>
      </w:r>
      <w:r>
        <w:rPr>
          <w:spacing w:val="-1"/>
        </w:rPr>
        <w:t xml:space="preserve"> </w:t>
      </w:r>
      <w:r>
        <w:t xml:space="preserve">this </w:t>
      </w:r>
      <w:r>
        <w:rPr>
          <w:spacing w:val="-1"/>
        </w:rPr>
        <w:t>information,</w:t>
      </w:r>
      <w:r>
        <w:rPr>
          <w:spacing w:val="-6"/>
        </w:rPr>
        <w:t xml:space="preserve"> </w:t>
      </w:r>
      <w:r>
        <w:rPr>
          <w:spacing w:val="-2"/>
        </w:rPr>
        <w:t>Cardno</w:t>
      </w:r>
      <w:r>
        <w:rPr>
          <w:spacing w:val="65"/>
        </w:rPr>
        <w:t xml:space="preserve"> </w:t>
      </w:r>
      <w:r>
        <w:t xml:space="preserve">advised the </w:t>
      </w:r>
      <w:r>
        <w:rPr>
          <w:spacing w:val="-3"/>
        </w:rPr>
        <w:t>Panel</w:t>
      </w:r>
      <w:r>
        <w:t xml:space="preserve"> </w:t>
      </w:r>
      <w:r>
        <w:rPr>
          <w:spacing w:val="-1"/>
        </w:rPr>
        <w:t>that</w:t>
      </w:r>
      <w:r>
        <w:rPr>
          <w:spacing w:val="-4"/>
        </w:rPr>
        <w:t xml:space="preserve"> </w:t>
      </w:r>
      <w:r>
        <w:rPr>
          <w:spacing w:val="-2"/>
        </w:rPr>
        <w:t>ACTEW’s</w:t>
      </w:r>
      <w:r>
        <w:t xml:space="preserve"> most </w:t>
      </w:r>
      <w:r>
        <w:rPr>
          <w:spacing w:val="-1"/>
        </w:rPr>
        <w:t>recent</w:t>
      </w:r>
      <w:r>
        <w:t xml:space="preserve"> capital </w:t>
      </w:r>
      <w:r>
        <w:rPr>
          <w:spacing w:val="-1"/>
        </w:rPr>
        <w:t>expenditure</w:t>
      </w:r>
      <w:r>
        <w:t xml:space="preserve"> </w:t>
      </w:r>
      <w:r>
        <w:rPr>
          <w:spacing w:val="-1"/>
        </w:rPr>
        <w:t>program</w:t>
      </w:r>
      <w:r>
        <w:t xml:space="preserve"> for the period 2013-14 to</w:t>
      </w:r>
      <w:r>
        <w:rPr>
          <w:spacing w:val="27"/>
        </w:rPr>
        <w:t xml:space="preserve"> </w:t>
      </w:r>
      <w:r>
        <w:t>2017-18</w:t>
      </w:r>
      <w:r>
        <w:rPr>
          <w:spacing w:val="-1"/>
        </w:rPr>
        <w:t xml:space="preserve"> </w:t>
      </w:r>
      <w:r>
        <w:t>is</w:t>
      </w:r>
      <w:r>
        <w:rPr>
          <w:spacing w:val="-1"/>
        </w:rPr>
        <w:t xml:space="preserve"> </w:t>
      </w:r>
      <w:r>
        <w:t xml:space="preserve">significantly </w:t>
      </w:r>
      <w:r>
        <w:rPr>
          <w:spacing w:val="-1"/>
        </w:rPr>
        <w:t xml:space="preserve">different </w:t>
      </w:r>
      <w:r>
        <w:t>to</w:t>
      </w:r>
      <w:r>
        <w:rPr>
          <w:spacing w:val="-1"/>
        </w:rPr>
        <w:t xml:space="preserve"> </w:t>
      </w:r>
      <w:r>
        <w:t>the</w:t>
      </w:r>
      <w:r>
        <w:rPr>
          <w:spacing w:val="-1"/>
        </w:rPr>
        <w:t xml:space="preserve"> </w:t>
      </w:r>
      <w:r>
        <w:t>one available</w:t>
      </w:r>
      <w:r>
        <w:rPr>
          <w:spacing w:val="-1"/>
        </w:rPr>
        <w:t xml:space="preserve"> </w:t>
      </w:r>
      <w:r>
        <w:t>to</w:t>
      </w:r>
      <w:r>
        <w:rPr>
          <w:spacing w:val="-1"/>
        </w:rPr>
        <w:t xml:space="preserve"> </w:t>
      </w:r>
      <w:r>
        <w:t>it when</w:t>
      </w:r>
      <w:r>
        <w:rPr>
          <w:spacing w:val="-1"/>
        </w:rPr>
        <w:t xml:space="preserve"> </w:t>
      </w:r>
      <w:r>
        <w:t>it</w:t>
      </w:r>
      <w:r>
        <w:rPr>
          <w:spacing w:val="-1"/>
        </w:rPr>
        <w:t xml:space="preserve"> </w:t>
      </w:r>
      <w:r>
        <w:t>made its</w:t>
      </w:r>
      <w:r>
        <w:rPr>
          <w:spacing w:val="-1"/>
        </w:rPr>
        <w:t xml:space="preserve"> recommendations </w:t>
      </w:r>
      <w:r>
        <w:t>to the</w:t>
      </w:r>
      <w:r>
        <w:rPr>
          <w:spacing w:val="21"/>
        </w:rPr>
        <w:t xml:space="preserve"> </w:t>
      </w:r>
      <w:r>
        <w:t>ICRC</w:t>
      </w:r>
      <w:r>
        <w:rPr>
          <w:spacing w:val="-1"/>
        </w:rPr>
        <w:t xml:space="preserve"> </w:t>
      </w:r>
      <w:r>
        <w:t>in November 2012,</w:t>
      </w:r>
      <w:r>
        <w:rPr>
          <w:spacing w:val="-7"/>
        </w:rPr>
        <w:t xml:space="preserve"> </w:t>
      </w:r>
      <w:r>
        <w:t>and</w:t>
      </w:r>
      <w:r>
        <w:rPr>
          <w:spacing w:val="-1"/>
        </w:rPr>
        <w:t xml:space="preserve"> </w:t>
      </w:r>
      <w:r>
        <w:t xml:space="preserve">to the </w:t>
      </w:r>
      <w:r>
        <w:rPr>
          <w:spacing w:val="-1"/>
        </w:rPr>
        <w:t>program</w:t>
      </w:r>
      <w:r>
        <w:t xml:space="preserve"> the ICRC</w:t>
      </w:r>
      <w:r>
        <w:rPr>
          <w:spacing w:val="-1"/>
        </w:rPr>
        <w:t xml:space="preserve"> </w:t>
      </w:r>
      <w:r>
        <w:t>based its final decision on</w:t>
      </w:r>
      <w:r>
        <w:rPr>
          <w:spacing w:val="-1"/>
        </w:rPr>
        <w:t xml:space="preserve"> </w:t>
      </w:r>
      <w:r>
        <w:t>in</w:t>
      </w:r>
      <w:r>
        <w:rPr>
          <w:spacing w:val="-3"/>
        </w:rPr>
        <w:t xml:space="preserve"> </w:t>
      </w:r>
      <w:r>
        <w:t>June 2013.</w:t>
      </w:r>
      <w:r>
        <w:rPr>
          <w:spacing w:val="-6"/>
        </w:rPr>
        <w:t xml:space="preserve"> </w:t>
      </w:r>
      <w:r>
        <w:t>In</w:t>
      </w:r>
      <w:r>
        <w:rPr>
          <w:spacing w:val="21"/>
        </w:rPr>
        <w:t xml:space="preserve"> </w:t>
      </w:r>
      <w:r>
        <w:rPr>
          <w:rFonts w:cs="Avenir Next"/>
          <w:spacing w:val="-2"/>
        </w:rPr>
        <w:t>particular,</w:t>
      </w:r>
      <w:r>
        <w:rPr>
          <w:rFonts w:cs="Avenir Next"/>
          <w:spacing w:val="-6"/>
        </w:rPr>
        <w:t xml:space="preserve"> </w:t>
      </w:r>
      <w:r>
        <w:rPr>
          <w:rFonts w:cs="Avenir Next"/>
        </w:rPr>
        <w:t xml:space="preserve">in the most </w:t>
      </w:r>
      <w:r>
        <w:rPr>
          <w:rFonts w:cs="Avenir Next"/>
          <w:spacing w:val="-1"/>
        </w:rPr>
        <w:t>recent</w:t>
      </w:r>
      <w:r>
        <w:rPr>
          <w:rFonts w:cs="Avenir Next"/>
        </w:rPr>
        <w:t xml:space="preserve"> </w:t>
      </w:r>
      <w:r>
        <w:rPr>
          <w:rFonts w:cs="Avenir Next"/>
          <w:spacing w:val="-1"/>
        </w:rPr>
        <w:t>capex</w:t>
      </w:r>
      <w:r>
        <w:rPr>
          <w:rFonts w:cs="Avenir Next"/>
        </w:rPr>
        <w:t xml:space="preserve"> </w:t>
      </w:r>
      <w:r>
        <w:rPr>
          <w:rFonts w:cs="Avenir Next"/>
          <w:spacing w:val="-1"/>
        </w:rPr>
        <w:t>program:</w:t>
      </w:r>
    </w:p>
    <w:p w:rsidR="00D96B91" w:rsidRDefault="00C2656B">
      <w:pPr>
        <w:pStyle w:val="BodyText"/>
        <w:numPr>
          <w:ilvl w:val="0"/>
          <w:numId w:val="131"/>
        </w:numPr>
        <w:tabs>
          <w:tab w:val="left" w:pos="1531"/>
        </w:tabs>
        <w:spacing w:before="170" w:line="260" w:lineRule="exact"/>
        <w:ind w:right="1463" w:hanging="283"/>
        <w:jc w:val="both"/>
      </w:pPr>
      <w:r>
        <w:rPr>
          <w:spacing w:val="-4"/>
        </w:rPr>
        <w:t>Total</w:t>
      </w:r>
      <w:r>
        <w:rPr>
          <w:spacing w:val="-1"/>
        </w:rPr>
        <w:t xml:space="preserve"> expenditure</w:t>
      </w:r>
      <w:r>
        <w:t xml:space="preserve"> for</w:t>
      </w:r>
      <w:r>
        <w:rPr>
          <w:spacing w:val="-1"/>
        </w:rPr>
        <w:t xml:space="preserve"> </w:t>
      </w:r>
      <w:r>
        <w:t xml:space="preserve">the full </w:t>
      </w:r>
      <w:r>
        <w:rPr>
          <w:spacing w:val="-1"/>
        </w:rPr>
        <w:t xml:space="preserve">five-year </w:t>
      </w:r>
      <w:r>
        <w:t>period is</w:t>
      </w:r>
      <w:r>
        <w:rPr>
          <w:spacing w:val="-1"/>
        </w:rPr>
        <w:t xml:space="preserve"> </w:t>
      </w:r>
      <w:r>
        <w:t>$431 million,</w:t>
      </w:r>
      <w:r>
        <w:rPr>
          <w:spacing w:val="-7"/>
        </w:rPr>
        <w:t xml:space="preserve"> </w:t>
      </w:r>
      <w:r>
        <w:t>which</w:t>
      </w:r>
      <w:r>
        <w:rPr>
          <w:spacing w:val="-1"/>
        </w:rPr>
        <w:t xml:space="preserve"> </w:t>
      </w:r>
      <w:r>
        <w:t>is $17 million</w:t>
      </w:r>
      <w:r>
        <w:rPr>
          <w:spacing w:val="-1"/>
        </w:rPr>
        <w:t xml:space="preserve"> </w:t>
      </w:r>
      <w:r>
        <w:t>($2012-13) lower</w:t>
      </w:r>
      <w:r>
        <w:rPr>
          <w:spacing w:val="25"/>
        </w:rPr>
        <w:t xml:space="preserve"> </w:t>
      </w:r>
      <w:r>
        <w:t>than</w:t>
      </w:r>
      <w:r>
        <w:rPr>
          <w:spacing w:val="-1"/>
        </w:rPr>
        <w:t xml:space="preserve"> </w:t>
      </w:r>
      <w:r>
        <w:rPr>
          <w:spacing w:val="-2"/>
        </w:rPr>
        <w:t>Cardno</w:t>
      </w:r>
      <w:r>
        <w:t xml:space="preserve"> </w:t>
      </w:r>
      <w:r>
        <w:rPr>
          <w:spacing w:val="-1"/>
        </w:rPr>
        <w:t xml:space="preserve">recommended </w:t>
      </w:r>
      <w:r>
        <w:t>as prudent and</w:t>
      </w:r>
      <w:r>
        <w:rPr>
          <w:spacing w:val="-1"/>
        </w:rPr>
        <w:t xml:space="preserve"> efficient</w:t>
      </w:r>
      <w:r>
        <w:t xml:space="preserve"> in its</w:t>
      </w:r>
      <w:r>
        <w:rPr>
          <w:spacing w:val="-1"/>
        </w:rPr>
        <w:t xml:space="preserve"> </w:t>
      </w:r>
      <w:r>
        <w:t>November 2012</w:t>
      </w:r>
      <w:r>
        <w:rPr>
          <w:spacing w:val="-1"/>
        </w:rPr>
        <w:t xml:space="preserve"> report,</w:t>
      </w:r>
      <w:r>
        <w:rPr>
          <w:spacing w:val="-6"/>
        </w:rPr>
        <w:t xml:space="preserve"> </w:t>
      </w:r>
      <w:r>
        <w:t>and $33</w:t>
      </w:r>
      <w:r>
        <w:rPr>
          <w:spacing w:val="-1"/>
        </w:rPr>
        <w:t xml:space="preserve"> </w:t>
      </w:r>
      <w:r>
        <w:t>million</w:t>
      </w:r>
      <w:r>
        <w:rPr>
          <w:spacing w:val="33"/>
        </w:rPr>
        <w:t xml:space="preserve"> </w:t>
      </w:r>
      <w:r>
        <w:t>($2012-13) lower than</w:t>
      </w:r>
      <w:r>
        <w:rPr>
          <w:spacing w:val="-4"/>
        </w:rPr>
        <w:t xml:space="preserve"> </w:t>
      </w:r>
      <w:r>
        <w:rPr>
          <w:spacing w:val="-2"/>
        </w:rPr>
        <w:t>ACTEW</w:t>
      </w:r>
      <w:r>
        <w:rPr>
          <w:spacing w:val="-3"/>
        </w:rPr>
        <w:t xml:space="preserve"> </w:t>
      </w:r>
      <w:r>
        <w:rPr>
          <w:spacing w:val="-1"/>
        </w:rPr>
        <w:t>proposed</w:t>
      </w:r>
      <w:r>
        <w:t xml:space="preserve"> in its</w:t>
      </w:r>
      <w:r>
        <w:rPr>
          <w:spacing w:val="-4"/>
        </w:rPr>
        <w:t xml:space="preserve"> </w:t>
      </w:r>
      <w:r>
        <w:t>April 2013 submission.</w:t>
      </w:r>
    </w:p>
    <w:p w:rsidR="00D96B91" w:rsidRDefault="00C2656B">
      <w:pPr>
        <w:pStyle w:val="BodyText"/>
        <w:numPr>
          <w:ilvl w:val="0"/>
          <w:numId w:val="131"/>
        </w:numPr>
        <w:tabs>
          <w:tab w:val="left" w:pos="1531"/>
        </w:tabs>
        <w:spacing w:before="85" w:line="260" w:lineRule="exact"/>
        <w:ind w:right="1511" w:hanging="283"/>
      </w:pPr>
      <w:r>
        <w:rPr>
          <w:spacing w:val="-1"/>
        </w:rPr>
        <w:t xml:space="preserve">Expenditure </w:t>
      </w:r>
      <w:r>
        <w:t>for the first two</w:t>
      </w:r>
      <w:r>
        <w:rPr>
          <w:spacing w:val="-1"/>
        </w:rPr>
        <w:t xml:space="preserve"> years</w:t>
      </w:r>
      <w:r>
        <w:t xml:space="preserve"> of</w:t>
      </w:r>
      <w:r>
        <w:rPr>
          <w:spacing w:val="4"/>
        </w:rPr>
        <w:t xml:space="preserve"> </w:t>
      </w:r>
      <w:r>
        <w:t>the period is</w:t>
      </w:r>
      <w:r>
        <w:rPr>
          <w:spacing w:val="-1"/>
        </w:rPr>
        <w:t xml:space="preserve"> </w:t>
      </w:r>
      <w:r>
        <w:t>$50 million ($2012-13) lower</w:t>
      </w:r>
      <w:r>
        <w:rPr>
          <w:spacing w:val="-1"/>
        </w:rPr>
        <w:t xml:space="preserve"> </w:t>
      </w:r>
      <w:r>
        <w:t>than</w:t>
      </w:r>
      <w:r>
        <w:rPr>
          <w:spacing w:val="-4"/>
        </w:rPr>
        <w:t xml:space="preserve"> </w:t>
      </w:r>
      <w:r>
        <w:rPr>
          <w:spacing w:val="-2"/>
        </w:rPr>
        <w:t>ACTEW</w:t>
      </w:r>
      <w:r>
        <w:rPr>
          <w:spacing w:val="29"/>
        </w:rPr>
        <w:t xml:space="preserve"> </w:t>
      </w:r>
      <w:r>
        <w:rPr>
          <w:spacing w:val="-1"/>
        </w:rPr>
        <w:t xml:space="preserve">proposed </w:t>
      </w:r>
      <w:r>
        <w:t>in</w:t>
      </w:r>
      <w:r>
        <w:rPr>
          <w:spacing w:val="-1"/>
        </w:rPr>
        <w:t xml:space="preserve"> </w:t>
      </w:r>
      <w:r>
        <w:t>its</w:t>
      </w:r>
      <w:r>
        <w:rPr>
          <w:spacing w:val="-5"/>
        </w:rPr>
        <w:t xml:space="preserve"> </w:t>
      </w:r>
      <w:r>
        <w:t>April</w:t>
      </w:r>
      <w:r>
        <w:rPr>
          <w:spacing w:val="-1"/>
        </w:rPr>
        <w:t xml:space="preserve"> </w:t>
      </w:r>
      <w:r>
        <w:t>2013</w:t>
      </w:r>
      <w:r>
        <w:rPr>
          <w:spacing w:val="-1"/>
        </w:rPr>
        <w:t xml:space="preserve"> </w:t>
      </w:r>
      <w:r>
        <w:t>submission,</w:t>
      </w:r>
      <w:r>
        <w:rPr>
          <w:spacing w:val="-8"/>
        </w:rPr>
        <w:t xml:space="preserve"> </w:t>
      </w:r>
      <w:r>
        <w:rPr>
          <w:spacing w:val="-1"/>
        </w:rPr>
        <w:t>indicating that</w:t>
      </w:r>
      <w:r>
        <w:rPr>
          <w:spacing w:val="-5"/>
        </w:rPr>
        <w:t xml:space="preserve"> </w:t>
      </w:r>
      <w:r>
        <w:rPr>
          <w:spacing w:val="-2"/>
        </w:rPr>
        <w:t>ACTEW</w:t>
      </w:r>
      <w:r>
        <w:rPr>
          <w:spacing w:val="-3"/>
        </w:rPr>
        <w:t xml:space="preserve"> </w:t>
      </w:r>
      <w:r>
        <w:rPr>
          <w:spacing w:val="-1"/>
        </w:rPr>
        <w:t xml:space="preserve">expects </w:t>
      </w:r>
      <w:r>
        <w:t>to</w:t>
      </w:r>
      <w:r>
        <w:rPr>
          <w:spacing w:val="-1"/>
        </w:rPr>
        <w:t xml:space="preserve"> </w:t>
      </w:r>
      <w:r>
        <w:t>significantly</w:t>
      </w:r>
      <w:r>
        <w:rPr>
          <w:spacing w:val="-1"/>
        </w:rPr>
        <w:t xml:space="preserve"> </w:t>
      </w:r>
      <w:r>
        <w:t>underspend</w:t>
      </w:r>
      <w:r>
        <w:rPr>
          <w:spacing w:val="47"/>
        </w:rPr>
        <w:t xml:space="preserve"> </w:t>
      </w:r>
      <w:r>
        <w:rPr>
          <w:spacing w:val="-1"/>
        </w:rPr>
        <w:t xml:space="preserve">compared </w:t>
      </w:r>
      <w:r>
        <w:t>to the amount the</w:t>
      </w:r>
      <w:r>
        <w:rPr>
          <w:spacing w:val="-1"/>
        </w:rPr>
        <w:t xml:space="preserve"> </w:t>
      </w:r>
      <w:r>
        <w:t>ICRC allowed for</w:t>
      </w:r>
      <w:r>
        <w:rPr>
          <w:spacing w:val="-1"/>
        </w:rPr>
        <w:t xml:space="preserve"> </w:t>
      </w:r>
      <w:r>
        <w:t>in its final decision</w:t>
      </w:r>
      <w:r>
        <w:rPr>
          <w:spacing w:val="-1"/>
        </w:rPr>
        <w:t xml:space="preserve"> </w:t>
      </w:r>
      <w:r>
        <w:t xml:space="preserve">for these two </w:t>
      </w:r>
      <w:r>
        <w:rPr>
          <w:spacing w:val="-1"/>
        </w:rPr>
        <w:t>years.</w:t>
      </w:r>
    </w:p>
    <w:p w:rsidR="00D96B91" w:rsidRDefault="00C2656B">
      <w:pPr>
        <w:pStyle w:val="BodyText"/>
        <w:numPr>
          <w:ilvl w:val="0"/>
          <w:numId w:val="131"/>
        </w:numPr>
        <w:tabs>
          <w:tab w:val="left" w:pos="1531"/>
        </w:tabs>
        <w:spacing w:before="85" w:line="260" w:lineRule="exact"/>
        <w:ind w:right="1843" w:hanging="283"/>
      </w:pPr>
      <w:r>
        <w:rPr>
          <w:spacing w:val="-2"/>
        </w:rPr>
        <w:t xml:space="preserve">The </w:t>
      </w:r>
      <w:r>
        <w:rPr>
          <w:spacing w:val="-1"/>
        </w:rPr>
        <w:t>profile</w:t>
      </w:r>
      <w:r>
        <w:rPr>
          <w:spacing w:val="-2"/>
        </w:rPr>
        <w:t xml:space="preserve"> </w:t>
      </w:r>
      <w:r>
        <w:t>of</w:t>
      </w:r>
      <w:r>
        <w:rPr>
          <w:spacing w:val="3"/>
        </w:rPr>
        <w:t xml:space="preserve"> </w:t>
      </w:r>
      <w:r>
        <w:rPr>
          <w:spacing w:val="-1"/>
        </w:rPr>
        <w:t>expenditure</w:t>
      </w:r>
      <w:r>
        <w:rPr>
          <w:spacing w:val="-2"/>
        </w:rPr>
        <w:t xml:space="preserve"> </w:t>
      </w:r>
      <w:r>
        <w:rPr>
          <w:spacing w:val="-1"/>
        </w:rPr>
        <w:t>across</w:t>
      </w:r>
      <w:r>
        <w:rPr>
          <w:spacing w:val="-2"/>
        </w:rPr>
        <w:t xml:space="preserve"> </w:t>
      </w:r>
      <w:r>
        <w:t>the</w:t>
      </w:r>
      <w:r>
        <w:rPr>
          <w:spacing w:val="-1"/>
        </w:rPr>
        <w:t xml:space="preserve"> five-year</w:t>
      </w:r>
      <w:r>
        <w:rPr>
          <w:spacing w:val="-2"/>
        </w:rPr>
        <w:t xml:space="preserve"> </w:t>
      </w:r>
      <w:r>
        <w:t>period</w:t>
      </w:r>
      <w:r>
        <w:rPr>
          <w:spacing w:val="-1"/>
        </w:rPr>
        <w:t xml:space="preserve"> </w:t>
      </w:r>
      <w:r>
        <w:t>is</w:t>
      </w:r>
      <w:r>
        <w:rPr>
          <w:spacing w:val="-2"/>
        </w:rPr>
        <w:t xml:space="preserve"> </w:t>
      </w:r>
      <w:r>
        <w:t>significantly</w:t>
      </w:r>
      <w:r>
        <w:rPr>
          <w:spacing w:val="-1"/>
        </w:rPr>
        <w:t xml:space="preserve"> different</w:t>
      </w:r>
      <w:r>
        <w:rPr>
          <w:spacing w:val="-2"/>
        </w:rPr>
        <w:t xml:space="preserve"> </w:t>
      </w:r>
      <w:r>
        <w:t>to</w:t>
      </w:r>
      <w:r>
        <w:rPr>
          <w:spacing w:val="-2"/>
        </w:rPr>
        <w:t xml:space="preserve"> </w:t>
      </w:r>
      <w:r>
        <w:rPr>
          <w:spacing w:val="-1"/>
        </w:rPr>
        <w:t>that proposed</w:t>
      </w:r>
      <w:r>
        <w:rPr>
          <w:spacing w:val="53"/>
        </w:rPr>
        <w:t xml:space="preserve"> </w:t>
      </w:r>
      <w:r>
        <w:t>in</w:t>
      </w:r>
      <w:r>
        <w:rPr>
          <w:spacing w:val="-4"/>
        </w:rPr>
        <w:t xml:space="preserve"> </w:t>
      </w:r>
      <w:r>
        <w:rPr>
          <w:spacing w:val="-2"/>
        </w:rPr>
        <w:t>ACTEW’s</w:t>
      </w:r>
      <w:r>
        <w:rPr>
          <w:spacing w:val="-4"/>
        </w:rPr>
        <w:t xml:space="preserve"> </w:t>
      </w:r>
      <w:r>
        <w:t>April 2013 submission.</w:t>
      </w:r>
      <w:r>
        <w:rPr>
          <w:position w:val="7"/>
          <w:sz w:val="11"/>
          <w:szCs w:val="11"/>
        </w:rPr>
        <w:t>127</w:t>
      </w:r>
      <w:r>
        <w:rPr>
          <w:spacing w:val="22"/>
          <w:position w:val="7"/>
          <w:sz w:val="11"/>
          <w:szCs w:val="11"/>
        </w:rPr>
        <w:t xml:space="preserve"> </w:t>
      </w:r>
      <w:r>
        <w:t xml:space="preserve">In </w:t>
      </w:r>
      <w:r>
        <w:rPr>
          <w:spacing w:val="-2"/>
        </w:rPr>
        <w:t>particular,</w:t>
      </w:r>
      <w:r>
        <w:rPr>
          <w:spacing w:val="-10"/>
        </w:rPr>
        <w:t xml:space="preserve"> </w:t>
      </w:r>
      <w:r>
        <w:rPr>
          <w:spacing w:val="-2"/>
        </w:rPr>
        <w:t>ACTEW</w:t>
      </w:r>
      <w:r>
        <w:rPr>
          <w:spacing w:val="-3"/>
        </w:rPr>
        <w:t xml:space="preserve"> </w:t>
      </w:r>
      <w:r>
        <w:t xml:space="preserve">now </w:t>
      </w:r>
      <w:r>
        <w:rPr>
          <w:spacing w:val="-1"/>
        </w:rPr>
        <w:t>forecasts</w:t>
      </w:r>
      <w:r>
        <w:t xml:space="preserve"> significant </w:t>
      </w:r>
      <w:r>
        <w:rPr>
          <w:spacing w:val="-1"/>
        </w:rPr>
        <w:t>peaks</w:t>
      </w:r>
      <w:r>
        <w:t xml:space="preserve"> in</w:t>
      </w:r>
    </w:p>
    <w:p w:rsidR="00D96B91" w:rsidRDefault="00C2656B">
      <w:pPr>
        <w:pStyle w:val="BodyText"/>
        <w:spacing w:before="8"/>
        <w:ind w:left="1530"/>
      </w:pPr>
      <w:r>
        <w:rPr>
          <w:spacing w:val="-1"/>
        </w:rPr>
        <w:t xml:space="preserve">expenditure </w:t>
      </w:r>
      <w:r>
        <w:t>in 2016-17 and 2017-18,</w:t>
      </w:r>
      <w:r>
        <w:rPr>
          <w:spacing w:val="-7"/>
        </w:rPr>
        <w:t xml:space="preserve"> </w:t>
      </w:r>
      <w:r>
        <w:t>as</w:t>
      </w:r>
      <w:r>
        <w:rPr>
          <w:spacing w:val="-1"/>
        </w:rPr>
        <w:t xml:space="preserve"> </w:t>
      </w:r>
      <w:r>
        <w:t>some of</w:t>
      </w:r>
      <w:r>
        <w:rPr>
          <w:spacing w:val="4"/>
        </w:rPr>
        <w:t xml:space="preserve"> </w:t>
      </w:r>
      <w:r>
        <w:t>the underspend in</w:t>
      </w:r>
      <w:r>
        <w:rPr>
          <w:spacing w:val="-1"/>
        </w:rPr>
        <w:t xml:space="preserve"> </w:t>
      </w:r>
      <w:r>
        <w:t xml:space="preserve">the first two </w:t>
      </w:r>
      <w:r>
        <w:rPr>
          <w:spacing w:val="-1"/>
        </w:rPr>
        <w:t>years</w:t>
      </w:r>
      <w:r>
        <w:t xml:space="preserve"> is</w:t>
      </w:r>
      <w:r>
        <w:rPr>
          <w:spacing w:val="-1"/>
        </w:rPr>
        <w:t xml:space="preserve"> </w:t>
      </w:r>
      <w:r>
        <w:rPr>
          <w:spacing w:val="-2"/>
        </w:rPr>
        <w:t>‘caught</w:t>
      </w:r>
      <w:r>
        <w:t xml:space="preserve"> </w:t>
      </w:r>
      <w:r>
        <w:rPr>
          <w:spacing w:val="-5"/>
        </w:rPr>
        <w:t>up’.</w:t>
      </w:r>
    </w:p>
    <w:p w:rsidR="00D96B91" w:rsidRDefault="00C2656B">
      <w:pPr>
        <w:pStyle w:val="BodyText"/>
        <w:numPr>
          <w:ilvl w:val="0"/>
          <w:numId w:val="131"/>
        </w:numPr>
        <w:tabs>
          <w:tab w:val="left" w:pos="1531"/>
        </w:tabs>
        <w:spacing w:before="64" w:line="260" w:lineRule="exact"/>
        <w:ind w:right="1360" w:hanging="283"/>
      </w:pPr>
      <w:r>
        <w:rPr>
          <w:spacing w:val="-2"/>
        </w:rPr>
        <w:t>There</w:t>
      </w:r>
      <w:r>
        <w:t xml:space="preserve"> has been slippage in the </w:t>
      </w:r>
      <w:r>
        <w:rPr>
          <w:spacing w:val="-1"/>
        </w:rPr>
        <w:t>projected</w:t>
      </w:r>
      <w:r>
        <w:t xml:space="preserve"> delivery of</w:t>
      </w:r>
      <w:r>
        <w:rPr>
          <w:spacing w:val="4"/>
        </w:rPr>
        <w:t xml:space="preserve"> </w:t>
      </w:r>
      <w:r>
        <w:t xml:space="preserve">the </w:t>
      </w:r>
      <w:r>
        <w:rPr>
          <w:spacing w:val="-1"/>
        </w:rPr>
        <w:t>program</w:t>
      </w:r>
      <w:r>
        <w:t xml:space="preserve"> as a whole,</w:t>
      </w:r>
      <w:r>
        <w:rPr>
          <w:spacing w:val="-6"/>
        </w:rPr>
        <w:t xml:space="preserve"> </w:t>
      </w:r>
      <w:r>
        <w:t xml:space="preserve">and in the </w:t>
      </w:r>
      <w:r>
        <w:rPr>
          <w:spacing w:val="-1"/>
        </w:rPr>
        <w:t>large</w:t>
      </w:r>
      <w:r>
        <w:t xml:space="preserve"> value</w:t>
      </w:r>
      <w:r>
        <w:rPr>
          <w:spacing w:val="29"/>
        </w:rPr>
        <w:t xml:space="preserve"> </w:t>
      </w:r>
      <w:r>
        <w:rPr>
          <w:spacing w:val="-1"/>
        </w:rPr>
        <w:t>projects</w:t>
      </w:r>
      <w:r>
        <w:t xml:space="preserve"> </w:t>
      </w:r>
      <w:r>
        <w:rPr>
          <w:spacing w:val="-1"/>
        </w:rPr>
        <w:t>at</w:t>
      </w:r>
      <w:r>
        <w:t xml:space="preserve"> the </w:t>
      </w:r>
      <w:r>
        <w:rPr>
          <w:spacing w:val="-1"/>
        </w:rPr>
        <w:t>Lower</w:t>
      </w:r>
      <w:r>
        <w:t xml:space="preserve"> Molonglo</w:t>
      </w:r>
      <w:r>
        <w:rPr>
          <w:spacing w:val="-3"/>
        </w:rPr>
        <w:t xml:space="preserve"> </w:t>
      </w:r>
      <w:r>
        <w:rPr>
          <w:spacing w:val="-2"/>
        </w:rPr>
        <w:t>Water</w:t>
      </w:r>
      <w:r>
        <w:t xml:space="preserve"> Quality </w:t>
      </w:r>
      <w:r>
        <w:rPr>
          <w:spacing w:val="-1"/>
        </w:rPr>
        <w:t>Control</w:t>
      </w:r>
      <w:r>
        <w:t xml:space="preserve"> </w:t>
      </w:r>
      <w:r>
        <w:rPr>
          <w:spacing w:val="-2"/>
        </w:rPr>
        <w:t>Centre</w:t>
      </w:r>
      <w:r>
        <w:t xml:space="preserve"> </w:t>
      </w:r>
      <w:r>
        <w:rPr>
          <w:spacing w:val="-1"/>
        </w:rPr>
        <w:t>(LMWQCC).</w:t>
      </w:r>
    </w:p>
    <w:p w:rsidR="00D96B91" w:rsidRDefault="00C2656B">
      <w:pPr>
        <w:pStyle w:val="BodyText"/>
        <w:numPr>
          <w:ilvl w:val="0"/>
          <w:numId w:val="131"/>
        </w:numPr>
        <w:tabs>
          <w:tab w:val="left" w:pos="1531"/>
        </w:tabs>
        <w:spacing w:before="85" w:line="260" w:lineRule="exact"/>
        <w:ind w:right="1630" w:hanging="283"/>
        <w:rPr>
          <w:sz w:val="11"/>
          <w:szCs w:val="11"/>
        </w:rPr>
      </w:pPr>
      <w:r>
        <w:t>Most of</w:t>
      </w:r>
      <w:r>
        <w:rPr>
          <w:spacing w:val="4"/>
        </w:rPr>
        <w:t xml:space="preserve"> </w:t>
      </w:r>
      <w:r>
        <w:t xml:space="preserve">the </w:t>
      </w:r>
      <w:r>
        <w:rPr>
          <w:spacing w:val="-1"/>
        </w:rPr>
        <w:t>expenditure</w:t>
      </w:r>
      <w:r>
        <w:t xml:space="preserve"> </w:t>
      </w:r>
      <w:r>
        <w:rPr>
          <w:spacing w:val="-1"/>
        </w:rPr>
        <w:t>proposed</w:t>
      </w:r>
      <w:r>
        <w:t xml:space="preserve"> for 2016-17 and 2017-18 has not yet been </w:t>
      </w:r>
      <w:r>
        <w:rPr>
          <w:spacing w:val="-1"/>
        </w:rPr>
        <w:t>approved</w:t>
      </w:r>
      <w:r>
        <w:t xml:space="preserve"> </w:t>
      </w:r>
      <w:r>
        <w:rPr>
          <w:spacing w:val="-1"/>
        </w:rPr>
        <w:t>through</w:t>
      </w:r>
      <w:r>
        <w:rPr>
          <w:spacing w:val="33"/>
        </w:rPr>
        <w:t xml:space="preserve"> </w:t>
      </w:r>
      <w:r>
        <w:rPr>
          <w:spacing w:val="-2"/>
        </w:rPr>
        <w:t>ACTEW’s</w:t>
      </w:r>
      <w:r>
        <w:rPr>
          <w:spacing w:val="2"/>
        </w:rPr>
        <w:t xml:space="preserve"> </w:t>
      </w:r>
      <w:r>
        <w:t>new</w:t>
      </w:r>
      <w:r>
        <w:rPr>
          <w:spacing w:val="3"/>
        </w:rPr>
        <w:t xml:space="preserve"> </w:t>
      </w:r>
      <w:r>
        <w:t>capital</w:t>
      </w:r>
      <w:r>
        <w:rPr>
          <w:spacing w:val="3"/>
        </w:rPr>
        <w:t xml:space="preserve"> </w:t>
      </w:r>
      <w:r>
        <w:t>delivery</w:t>
      </w:r>
      <w:r>
        <w:rPr>
          <w:spacing w:val="3"/>
        </w:rPr>
        <w:t xml:space="preserve"> </w:t>
      </w:r>
      <w:r>
        <w:rPr>
          <w:spacing w:val="-1"/>
        </w:rPr>
        <w:t>framework.</w:t>
      </w:r>
      <w:r>
        <w:rPr>
          <w:spacing w:val="-1"/>
          <w:position w:val="7"/>
          <w:sz w:val="11"/>
          <w:szCs w:val="11"/>
        </w:rPr>
        <w:t>128</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rPr>
          <w:rFonts w:cs="Avenir Next"/>
        </w:rPr>
      </w:pPr>
      <w:r>
        <w:rPr>
          <w:spacing w:val="-2"/>
        </w:rPr>
        <w:t>Cardno</w:t>
      </w:r>
      <w:r>
        <w:t xml:space="preserve"> </w:t>
      </w:r>
      <w:r>
        <w:rPr>
          <w:spacing w:val="-1"/>
        </w:rPr>
        <w:t>considered</w:t>
      </w:r>
      <w:r>
        <w:t xml:space="preserve"> </w:t>
      </w:r>
      <w:r>
        <w:rPr>
          <w:spacing w:val="-1"/>
        </w:rPr>
        <w:t>that</w:t>
      </w:r>
      <w:r>
        <w:t xml:space="preserve"> the above </w:t>
      </w:r>
      <w:r>
        <w:rPr>
          <w:spacing w:val="-1"/>
        </w:rPr>
        <w:t>differences</w:t>
      </w:r>
      <w:r>
        <w:t xml:space="preserve"> constitute a substantive change in </w:t>
      </w:r>
      <w:r>
        <w:rPr>
          <w:spacing w:val="-1"/>
        </w:rPr>
        <w:t>circumstances</w:t>
      </w:r>
      <w:r>
        <w:t xml:space="preserve"> </w:t>
      </w:r>
      <w:r>
        <w:rPr>
          <w:spacing w:val="-1"/>
        </w:rPr>
        <w:t>from</w:t>
      </w:r>
      <w:r>
        <w:rPr>
          <w:spacing w:val="49"/>
        </w:rPr>
        <w:t xml:space="preserve"> </w:t>
      </w:r>
      <w:r>
        <w:t xml:space="preserve">those </w:t>
      </w:r>
      <w:r>
        <w:rPr>
          <w:spacing w:val="-1"/>
        </w:rPr>
        <w:t>prevailing</w:t>
      </w:r>
      <w:r>
        <w:t xml:space="preserve"> when</w:t>
      </w:r>
      <w:r>
        <w:rPr>
          <w:spacing w:val="-4"/>
        </w:rPr>
        <w:t xml:space="preserve"> </w:t>
      </w:r>
      <w:r>
        <w:rPr>
          <w:spacing w:val="-2"/>
        </w:rPr>
        <w:t>ACTEW</w:t>
      </w:r>
      <w:r>
        <w:rPr>
          <w:spacing w:val="-3"/>
        </w:rPr>
        <w:t xml:space="preserve"> </w:t>
      </w:r>
      <w:r>
        <w:t xml:space="preserve">originally developed its </w:t>
      </w:r>
      <w:r>
        <w:rPr>
          <w:spacing w:val="-1"/>
        </w:rPr>
        <w:t>forecasts.</w:t>
      </w:r>
      <w:r>
        <w:rPr>
          <w:spacing w:val="-6"/>
        </w:rPr>
        <w:t xml:space="preserve"> </w:t>
      </w:r>
      <w:r>
        <w:t xml:space="preserve">It also </w:t>
      </w:r>
      <w:r>
        <w:rPr>
          <w:spacing w:val="-1"/>
        </w:rPr>
        <w:t>considered</w:t>
      </w:r>
      <w:r>
        <w:t xml:space="preserve"> </w:t>
      </w:r>
      <w:r>
        <w:rPr>
          <w:spacing w:val="-1"/>
        </w:rPr>
        <w:t>that</w:t>
      </w:r>
      <w:r>
        <w:t xml:space="preserve"> </w:t>
      </w:r>
      <w:r>
        <w:rPr>
          <w:spacing w:val="-1"/>
        </w:rPr>
        <w:t>there</w:t>
      </w:r>
      <w:r>
        <w:t xml:space="preserve"> is a</w:t>
      </w:r>
      <w:r>
        <w:rPr>
          <w:spacing w:val="51"/>
        </w:rPr>
        <w:t xml:space="preserve"> </w:t>
      </w:r>
      <w:r>
        <w:t>significant</w:t>
      </w:r>
      <w:r>
        <w:rPr>
          <w:spacing w:val="-1"/>
        </w:rPr>
        <w:t xml:space="preserve"> </w:t>
      </w:r>
      <w:r>
        <w:t>risk</w:t>
      </w:r>
      <w:r>
        <w:rPr>
          <w:spacing w:val="-1"/>
        </w:rPr>
        <w:t xml:space="preserve"> </w:t>
      </w:r>
      <w:r>
        <w:t>to the</w:t>
      </w:r>
      <w:r>
        <w:rPr>
          <w:spacing w:val="-1"/>
        </w:rPr>
        <w:t xml:space="preserve"> </w:t>
      </w:r>
      <w:r>
        <w:t>successful delivery</w:t>
      </w:r>
      <w:r>
        <w:rPr>
          <w:spacing w:val="-1"/>
        </w:rPr>
        <w:t xml:space="preserve"> </w:t>
      </w:r>
      <w:r>
        <w:t>of</w:t>
      </w:r>
      <w:r>
        <w:rPr>
          <w:spacing w:val="3"/>
        </w:rPr>
        <w:t xml:space="preserve"> </w:t>
      </w:r>
      <w:r>
        <w:t xml:space="preserve">the </w:t>
      </w:r>
      <w:r>
        <w:rPr>
          <w:spacing w:val="-1"/>
        </w:rPr>
        <w:t xml:space="preserve">forecast </w:t>
      </w:r>
      <w:r>
        <w:t xml:space="preserve">capital </w:t>
      </w:r>
      <w:r>
        <w:rPr>
          <w:spacing w:val="-1"/>
        </w:rPr>
        <w:t>program towards</w:t>
      </w:r>
      <w:r>
        <w:t xml:space="preserve"> the</w:t>
      </w:r>
      <w:r>
        <w:rPr>
          <w:spacing w:val="-1"/>
        </w:rPr>
        <w:t xml:space="preserve"> </w:t>
      </w:r>
      <w:r>
        <w:t>end</w:t>
      </w:r>
      <w:r>
        <w:rPr>
          <w:spacing w:val="-1"/>
        </w:rPr>
        <w:t xml:space="preserve"> </w:t>
      </w:r>
      <w:r>
        <w:t>of</w:t>
      </w:r>
      <w:r>
        <w:rPr>
          <w:spacing w:val="4"/>
        </w:rPr>
        <w:t xml:space="preserve"> </w:t>
      </w:r>
      <w:r>
        <w:t>the</w:t>
      </w:r>
      <w:r>
        <w:rPr>
          <w:spacing w:val="-1"/>
        </w:rPr>
        <w:t xml:space="preserve"> current</w:t>
      </w:r>
      <w:r>
        <w:rPr>
          <w:spacing w:val="21"/>
        </w:rPr>
        <w:t xml:space="preserve"> </w:t>
      </w:r>
      <w:r>
        <w:rPr>
          <w:spacing w:val="-1"/>
        </w:rPr>
        <w:t>regulatory</w:t>
      </w:r>
      <w:r>
        <w:rPr>
          <w:spacing w:val="2"/>
        </w:rPr>
        <w:t xml:space="preserve"> </w:t>
      </w:r>
      <w:r>
        <w:rPr>
          <w:spacing w:val="-1"/>
        </w:rPr>
        <w:t>period.</w:t>
      </w:r>
      <w:r>
        <w:rPr>
          <w:spacing w:val="-1"/>
          <w:position w:val="7"/>
          <w:sz w:val="11"/>
        </w:rPr>
        <w:t>129</w:t>
      </w:r>
      <w:r>
        <w:rPr>
          <w:spacing w:val="21"/>
          <w:position w:val="7"/>
          <w:sz w:val="11"/>
        </w:rPr>
        <w:t xml:space="preserve"> </w:t>
      </w:r>
      <w:r>
        <w:rPr>
          <w:spacing w:val="-1"/>
        </w:rPr>
        <w:t>Accordingly,</w:t>
      </w:r>
      <w:r>
        <w:rPr>
          <w:spacing w:val="-4"/>
        </w:rPr>
        <w:t xml:space="preserve"> </w:t>
      </w:r>
      <w:r>
        <w:rPr>
          <w:spacing w:val="-2"/>
        </w:rPr>
        <w:t>Cardno</w:t>
      </w:r>
      <w:r>
        <w:rPr>
          <w:spacing w:val="2"/>
        </w:rPr>
        <w:t xml:space="preserve"> </w:t>
      </w:r>
      <w:r>
        <w:rPr>
          <w:spacing w:val="-1"/>
        </w:rPr>
        <w:t>recommended</w:t>
      </w:r>
      <w:r>
        <w:rPr>
          <w:spacing w:val="3"/>
        </w:rPr>
        <w:t xml:space="preserve"> </w:t>
      </w:r>
      <w:r>
        <w:rPr>
          <w:spacing w:val="-1"/>
        </w:rPr>
        <w:t>that:</w:t>
      </w:r>
    </w:p>
    <w:p w:rsidR="00D96B91" w:rsidRDefault="00C2656B">
      <w:pPr>
        <w:pStyle w:val="BodyText"/>
        <w:numPr>
          <w:ilvl w:val="0"/>
          <w:numId w:val="131"/>
        </w:numPr>
        <w:tabs>
          <w:tab w:val="left" w:pos="1531"/>
        </w:tabs>
        <w:spacing w:before="170" w:line="260" w:lineRule="exact"/>
        <w:ind w:right="1551" w:hanging="283"/>
        <w:rPr>
          <w:rFonts w:cs="Avenir Next"/>
        </w:rPr>
      </w:pPr>
      <w:r>
        <w:t>the</w:t>
      </w:r>
      <w:r>
        <w:rPr>
          <w:spacing w:val="-1"/>
        </w:rPr>
        <w:t xml:space="preserve"> </w:t>
      </w:r>
      <w:r>
        <w:t>prudent and</w:t>
      </w:r>
      <w:r>
        <w:rPr>
          <w:spacing w:val="-1"/>
        </w:rPr>
        <w:t xml:space="preserve"> efficient</w:t>
      </w:r>
      <w:r>
        <w:t xml:space="preserve"> level</w:t>
      </w:r>
      <w:r>
        <w:rPr>
          <w:spacing w:val="-1"/>
        </w:rPr>
        <w:t xml:space="preserve"> </w:t>
      </w:r>
      <w:r>
        <w:t>of</w:t>
      </w:r>
      <w:r>
        <w:rPr>
          <w:spacing w:val="1"/>
        </w:rPr>
        <w:t xml:space="preserve"> </w:t>
      </w:r>
      <w:r>
        <w:rPr>
          <w:spacing w:val="-2"/>
        </w:rPr>
        <w:t>ACTEW’s</w:t>
      </w:r>
      <w:r>
        <w:t xml:space="preserve"> </w:t>
      </w:r>
      <w:r>
        <w:rPr>
          <w:spacing w:val="-1"/>
        </w:rPr>
        <w:t xml:space="preserve">forecast </w:t>
      </w:r>
      <w:r>
        <w:t xml:space="preserve">capital </w:t>
      </w:r>
      <w:r>
        <w:rPr>
          <w:spacing w:val="-1"/>
        </w:rPr>
        <w:t>expenditure,</w:t>
      </w:r>
      <w:r>
        <w:rPr>
          <w:spacing w:val="-7"/>
        </w:rPr>
        <w:t xml:space="preserve"> </w:t>
      </w:r>
      <w:r>
        <w:t>based on</w:t>
      </w:r>
      <w:r>
        <w:rPr>
          <w:spacing w:val="-1"/>
        </w:rPr>
        <w:t xml:space="preserve"> </w:t>
      </w:r>
      <w:r>
        <w:t xml:space="preserve">the </w:t>
      </w:r>
      <w:r>
        <w:rPr>
          <w:spacing w:val="-1"/>
        </w:rPr>
        <w:t>information</w:t>
      </w:r>
      <w:r>
        <w:rPr>
          <w:spacing w:val="51"/>
        </w:rPr>
        <w:t xml:space="preserve"> </w:t>
      </w:r>
      <w:r>
        <w:rPr>
          <w:rFonts w:cs="Avenir Next"/>
          <w:spacing w:val="-1"/>
        </w:rPr>
        <w:t>presently</w:t>
      </w:r>
      <w:r>
        <w:rPr>
          <w:rFonts w:cs="Avenir Next"/>
        </w:rPr>
        <w:t xml:space="preserve"> available,</w:t>
      </w:r>
      <w:r>
        <w:rPr>
          <w:rFonts w:cs="Avenir Next"/>
          <w:spacing w:val="-6"/>
        </w:rPr>
        <w:t xml:space="preserve"> </w:t>
      </w:r>
      <w:r>
        <w:rPr>
          <w:rFonts w:cs="Avenir Next"/>
        </w:rPr>
        <w:t>be as per</w:t>
      </w:r>
      <w:r>
        <w:rPr>
          <w:rFonts w:cs="Avenir Next"/>
          <w:spacing w:val="-4"/>
        </w:rPr>
        <w:t xml:space="preserve"> </w:t>
      </w:r>
      <w:r>
        <w:rPr>
          <w:rFonts w:cs="Avenir Next"/>
          <w:spacing w:val="-2"/>
        </w:rPr>
        <w:t>ACTEW’s</w:t>
      </w:r>
      <w:r>
        <w:rPr>
          <w:rFonts w:cs="Avenir Next"/>
        </w:rPr>
        <w:t xml:space="preserve"> most </w:t>
      </w:r>
      <w:r>
        <w:rPr>
          <w:rFonts w:cs="Avenir Next"/>
          <w:spacing w:val="-1"/>
        </w:rPr>
        <w:t>recent</w:t>
      </w:r>
      <w:r>
        <w:rPr>
          <w:rFonts w:cs="Avenir Next"/>
        </w:rPr>
        <w:t xml:space="preserve"> capital </w:t>
      </w:r>
      <w:r>
        <w:rPr>
          <w:rFonts w:cs="Avenir Next"/>
          <w:spacing w:val="-1"/>
        </w:rPr>
        <w:t>expenditure</w:t>
      </w:r>
      <w:r>
        <w:rPr>
          <w:rFonts w:cs="Avenir Next"/>
        </w:rPr>
        <w:t xml:space="preserve"> </w:t>
      </w:r>
      <w:r>
        <w:rPr>
          <w:rFonts w:cs="Avenir Next"/>
          <w:spacing w:val="-1"/>
        </w:rPr>
        <w:t>program,</w:t>
      </w:r>
      <w:r>
        <w:rPr>
          <w:rFonts w:cs="Avenir Next"/>
          <w:spacing w:val="-7"/>
        </w:rPr>
        <w:t xml:space="preserve"> </w:t>
      </w:r>
      <w:r>
        <w:rPr>
          <w:rFonts w:cs="Avenir Next"/>
        </w:rPr>
        <w:t>and</w:t>
      </w:r>
    </w:p>
    <w:p w:rsidR="00D96B91" w:rsidRDefault="00C2656B">
      <w:pPr>
        <w:pStyle w:val="BodyText"/>
        <w:numPr>
          <w:ilvl w:val="0"/>
          <w:numId w:val="131"/>
        </w:numPr>
        <w:tabs>
          <w:tab w:val="left" w:pos="1531"/>
        </w:tabs>
        <w:spacing w:before="85" w:line="260" w:lineRule="exact"/>
        <w:ind w:right="1489" w:hanging="283"/>
      </w:pPr>
      <w:r>
        <w:t>the level of</w:t>
      </w:r>
      <w:r>
        <w:rPr>
          <w:spacing w:val="4"/>
        </w:rPr>
        <w:t xml:space="preserve"> </w:t>
      </w:r>
      <w:r>
        <w:rPr>
          <w:spacing w:val="-1"/>
        </w:rPr>
        <w:t>expenditure</w:t>
      </w:r>
      <w:r>
        <w:t xml:space="preserve"> in 2016-17 and 2017-18 ($2012-13) be </w:t>
      </w:r>
      <w:r>
        <w:rPr>
          <w:spacing w:val="-1"/>
        </w:rPr>
        <w:t>reduced</w:t>
      </w:r>
      <w:r>
        <w:t xml:space="preserve"> $10 million given the risk</w:t>
      </w:r>
      <w:r>
        <w:rPr>
          <w:spacing w:val="29"/>
        </w:rPr>
        <w:t xml:space="preserve"> </w:t>
      </w:r>
      <w:r>
        <w:rPr>
          <w:spacing w:val="-1"/>
        </w:rPr>
        <w:t>surrounding</w:t>
      </w:r>
      <w:r>
        <w:t xml:space="preserve"> successful delivery of</w:t>
      </w:r>
      <w:r>
        <w:rPr>
          <w:spacing w:val="4"/>
        </w:rPr>
        <w:t xml:space="preserve"> </w:t>
      </w:r>
      <w:r>
        <w:t xml:space="preserve">the </w:t>
      </w:r>
      <w:r>
        <w:rPr>
          <w:spacing w:val="-1"/>
        </w:rPr>
        <w:t>projects.</w:t>
      </w:r>
    </w:p>
    <w:p w:rsidR="00D96B91" w:rsidRDefault="00D96B91">
      <w:pPr>
        <w:spacing w:before="3"/>
        <w:rPr>
          <w:rFonts w:ascii="Avenir Next" w:eastAsia="Avenir Next" w:hAnsi="Avenir Next" w:cs="Avenir Next"/>
          <w:sz w:val="17"/>
          <w:szCs w:val="17"/>
        </w:rPr>
      </w:pPr>
    </w:p>
    <w:p w:rsidR="00D96B91" w:rsidRDefault="00C2656B">
      <w:pPr>
        <w:pStyle w:val="BodyText"/>
        <w:tabs>
          <w:tab w:val="left" w:pos="5385"/>
        </w:tabs>
      </w:pPr>
      <w:r>
        <w:rPr>
          <w:spacing w:val="-4"/>
        </w:rPr>
        <w:t>Cardno’s</w:t>
      </w:r>
      <w:r>
        <w:rPr>
          <w:spacing w:val="-5"/>
        </w:rPr>
        <w:t xml:space="preserve"> </w:t>
      </w:r>
      <w:r>
        <w:rPr>
          <w:spacing w:val="-3"/>
        </w:rPr>
        <w:t>recommended</w:t>
      </w:r>
      <w:r>
        <w:rPr>
          <w:spacing w:val="-4"/>
        </w:rPr>
        <w:t xml:space="preserve"> </w:t>
      </w:r>
      <w:r>
        <w:rPr>
          <w:spacing w:val="-2"/>
        </w:rPr>
        <w:t>prudent</w:t>
      </w:r>
      <w:r>
        <w:rPr>
          <w:spacing w:val="-4"/>
        </w:rPr>
        <w:t xml:space="preserve"> </w:t>
      </w:r>
      <w:r>
        <w:rPr>
          <w:spacing w:val="-2"/>
        </w:rPr>
        <w:t>and</w:t>
      </w:r>
      <w:r>
        <w:rPr>
          <w:spacing w:val="-5"/>
        </w:rPr>
        <w:t xml:space="preserve"> </w:t>
      </w:r>
      <w:r>
        <w:rPr>
          <w:spacing w:val="-3"/>
        </w:rPr>
        <w:t>effi</w:t>
      </w:r>
      <w:r w:rsidR="00B45286">
        <w:rPr>
          <w:spacing w:val="-3"/>
        </w:rPr>
        <w:t xml:space="preserve">cient </w:t>
      </w:r>
      <w:r>
        <w:rPr>
          <w:spacing w:val="-3"/>
        </w:rPr>
        <w:t>forecast</w:t>
      </w:r>
      <w:r>
        <w:rPr>
          <w:spacing w:val="-4"/>
        </w:rPr>
        <w:t xml:space="preserve"> </w:t>
      </w:r>
      <w:r>
        <w:rPr>
          <w:spacing w:val="-2"/>
        </w:rPr>
        <w:t>capital</w:t>
      </w:r>
      <w:r>
        <w:rPr>
          <w:spacing w:val="-4"/>
        </w:rPr>
        <w:t xml:space="preserve"> </w:t>
      </w:r>
      <w:r>
        <w:rPr>
          <w:spacing w:val="-3"/>
        </w:rPr>
        <w:t>expenditure</w:t>
      </w:r>
      <w:r>
        <w:rPr>
          <w:spacing w:val="-4"/>
        </w:rPr>
        <w:t xml:space="preserve"> </w:t>
      </w:r>
      <w:r>
        <w:rPr>
          <w:spacing w:val="-1"/>
        </w:rPr>
        <w:t>is</w:t>
      </w:r>
      <w:r>
        <w:rPr>
          <w:spacing w:val="-4"/>
        </w:rPr>
        <w:t xml:space="preserve"> </w:t>
      </w:r>
      <w:r>
        <w:rPr>
          <w:spacing w:val="-2"/>
        </w:rPr>
        <w:t>set</w:t>
      </w:r>
      <w:r>
        <w:rPr>
          <w:spacing w:val="-4"/>
        </w:rPr>
        <w:t xml:space="preserve"> </w:t>
      </w:r>
      <w:r>
        <w:rPr>
          <w:spacing w:val="-2"/>
        </w:rPr>
        <w:t>out</w:t>
      </w:r>
      <w:r>
        <w:rPr>
          <w:spacing w:val="-4"/>
        </w:rPr>
        <w:t xml:space="preserve"> </w:t>
      </w:r>
      <w:r>
        <w:rPr>
          <w:spacing w:val="-1"/>
        </w:rPr>
        <w:t>in</w:t>
      </w:r>
      <w:r>
        <w:rPr>
          <w:spacing w:val="-9"/>
        </w:rPr>
        <w:t xml:space="preserve"> </w:t>
      </w:r>
      <w:hyperlink w:anchor="_bookmark71" w:history="1">
        <w:r>
          <w:rPr>
            <w:spacing w:val="-6"/>
          </w:rPr>
          <w:t>Table</w:t>
        </w:r>
        <w:r>
          <w:rPr>
            <w:spacing w:val="-4"/>
          </w:rPr>
          <w:t xml:space="preserve"> </w:t>
        </w:r>
        <w:r>
          <w:rPr>
            <w:spacing w:val="-2"/>
          </w:rPr>
          <w:t>9.10</w:t>
        </w:r>
      </w:hyperlink>
      <w:r>
        <w:rPr>
          <w:spacing w:val="-4"/>
        </w:rPr>
        <w:t xml:space="preserve"> </w:t>
      </w:r>
      <w:r>
        <w:rPr>
          <w:spacing w:val="-3"/>
        </w:rPr>
        <w:t>below.</w:t>
      </w:r>
    </w:p>
    <w:p w:rsidR="00D96B91" w:rsidRDefault="00D96B91">
      <w:pPr>
        <w:rPr>
          <w:rFonts w:ascii="Avenir Next" w:eastAsia="Avenir Next" w:hAnsi="Avenir Next" w:cs="Avenir Next"/>
          <w:sz w:val="20"/>
          <w:szCs w:val="20"/>
        </w:rPr>
      </w:pPr>
    </w:p>
    <w:p w:rsidR="00D96B91" w:rsidRDefault="00D96B91">
      <w:pPr>
        <w:spacing w:before="1"/>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40" style="width:72.5pt;height:.5pt;mso-position-horizontal-relative:char;mso-position-vertical-relative:line" coordsize="1450,10">
            <v:group id="_x0000_s3141" style="position:absolute;left:5;top:5;width:1440;height:2" coordorigin="5,5" coordsize="1440,2">
              <v:shape id="_x0000_s3142"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33.</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43.</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118" w:name="_bookmark71"/>
      <w:bookmarkEnd w:id="118"/>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9.10: </w:t>
      </w:r>
      <w:r>
        <w:rPr>
          <w:rFonts w:ascii="Avenir Next" w:eastAsia="Avenir Next" w:hAnsi="Avenir Next" w:cs="Avenir Next"/>
          <w:b/>
          <w:bCs/>
          <w:spacing w:val="-2"/>
          <w:sz w:val="20"/>
          <w:szCs w:val="20"/>
        </w:rPr>
        <w:t>Cardno</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recommendation</w:t>
      </w:r>
      <w:r>
        <w:rPr>
          <w:rFonts w:ascii="Avenir Next" w:eastAsia="Avenir Next" w:hAnsi="Avenir Next" w:cs="Avenir Next"/>
          <w:b/>
          <w:bCs/>
          <w:sz w:val="20"/>
          <w:szCs w:val="20"/>
        </w:rPr>
        <w:t xml:space="preserve">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capital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$2012-13)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4171"/>
        <w:gridCol w:w="1046"/>
        <w:gridCol w:w="1046"/>
        <w:gridCol w:w="1046"/>
        <w:gridCol w:w="1046"/>
        <w:gridCol w:w="1046"/>
      </w:tblGrid>
      <w:tr w:rsidR="00D96B91">
        <w:trPr>
          <w:trHeight w:hRule="exact" w:val="407"/>
        </w:trPr>
        <w:tc>
          <w:tcPr>
            <w:tcW w:w="417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0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0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0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417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current</w:t>
            </w:r>
            <w:r>
              <w:rPr>
                <w:rFonts w:ascii="Avenir Next Condensed" w:eastAsia="Avenir Next Condensed" w:hAnsi="Avenir Next Condensed" w:cs="Avenir Next Condensed"/>
                <w:sz w:val="18"/>
                <w:szCs w:val="18"/>
              </w:rPr>
              <w:t xml:space="preserve"> capital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forecasts</w:t>
            </w:r>
          </w:p>
        </w:tc>
        <w:tc>
          <w:tcPr>
            <w:tcW w:w="10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sz w:val="18"/>
              </w:rPr>
              <w:t>43.0</w:t>
            </w:r>
          </w:p>
        </w:tc>
        <w:tc>
          <w:tcPr>
            <w:tcW w:w="10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sz w:val="18"/>
              </w:rPr>
              <w:t>62.1</w:t>
            </w:r>
          </w:p>
        </w:tc>
        <w:tc>
          <w:tcPr>
            <w:tcW w:w="10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4"/>
              <w:rPr>
                <w:rFonts w:ascii="Avenir Next Condensed" w:eastAsia="Avenir Next Condensed" w:hAnsi="Avenir Next Condensed" w:cs="Avenir Next Condensed"/>
                <w:sz w:val="18"/>
                <w:szCs w:val="18"/>
              </w:rPr>
            </w:pPr>
            <w:r>
              <w:rPr>
                <w:rFonts w:ascii="Avenir Next Condensed"/>
                <w:sz w:val="18"/>
              </w:rPr>
              <w:t>83.5</w:t>
            </w:r>
          </w:p>
        </w:tc>
        <w:tc>
          <w:tcPr>
            <w:tcW w:w="10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0"/>
              <w:rPr>
                <w:rFonts w:ascii="Avenir Next Condensed" w:eastAsia="Avenir Next Condensed" w:hAnsi="Avenir Next Condensed" w:cs="Avenir Next Condensed"/>
                <w:sz w:val="18"/>
                <w:szCs w:val="18"/>
              </w:rPr>
            </w:pPr>
            <w:r>
              <w:rPr>
                <w:rFonts w:ascii="Avenir Next Condensed"/>
                <w:sz w:val="18"/>
              </w:rPr>
              <w:t>134.7</w:t>
            </w:r>
          </w:p>
        </w:tc>
        <w:tc>
          <w:tcPr>
            <w:tcW w:w="10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0"/>
              <w:rPr>
                <w:rFonts w:ascii="Avenir Next Condensed" w:eastAsia="Avenir Next Condensed" w:hAnsi="Avenir Next Condensed" w:cs="Avenir Next Condensed"/>
                <w:sz w:val="18"/>
                <w:szCs w:val="18"/>
              </w:rPr>
            </w:pPr>
            <w:r>
              <w:rPr>
                <w:rFonts w:ascii="Avenir Next Condensed"/>
                <w:sz w:val="18"/>
              </w:rPr>
              <w:t>108.1</w:t>
            </w:r>
          </w:p>
        </w:tc>
      </w:tr>
      <w:tr w:rsidR="00D96B91">
        <w:trPr>
          <w:trHeight w:hRule="exact" w:val="417"/>
        </w:trPr>
        <w:tc>
          <w:tcPr>
            <w:tcW w:w="417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Less</w:t>
            </w:r>
            <w:r>
              <w:rPr>
                <w:rFonts w:ascii="Avenir Next Condensed"/>
                <w:sz w:val="18"/>
              </w:rPr>
              <w:t xml:space="preserve"> adjustment for </w:t>
            </w:r>
            <w:r>
              <w:rPr>
                <w:rFonts w:ascii="Avenir Next Condensed"/>
                <w:spacing w:val="-1"/>
                <w:sz w:val="18"/>
              </w:rPr>
              <w:t>expenditure</w:t>
            </w:r>
            <w:r>
              <w:rPr>
                <w:rFonts w:ascii="Avenir Next Condensed"/>
                <w:sz w:val="18"/>
              </w:rPr>
              <w:t xml:space="preserve"> at risk of</w:t>
            </w:r>
            <w:r>
              <w:rPr>
                <w:rFonts w:ascii="Avenir Next Condensed"/>
                <w:spacing w:val="4"/>
                <w:sz w:val="18"/>
              </w:rPr>
              <w:t xml:space="preserve"> </w:t>
            </w:r>
            <w:r>
              <w:rPr>
                <w:rFonts w:ascii="Avenir Next Condensed"/>
                <w:sz w:val="18"/>
              </w:rPr>
              <w:t>deliver</w:t>
            </w:r>
          </w:p>
        </w:tc>
        <w:tc>
          <w:tcPr>
            <w:tcW w:w="104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c>
          <w:tcPr>
            <w:tcW w:w="104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c>
          <w:tcPr>
            <w:tcW w:w="104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c>
          <w:tcPr>
            <w:tcW w:w="104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54"/>
              <w:rPr>
                <w:rFonts w:ascii="Avenir Next Condensed" w:eastAsia="Avenir Next Condensed" w:hAnsi="Avenir Next Condensed" w:cs="Avenir Next Condensed"/>
                <w:sz w:val="18"/>
                <w:szCs w:val="18"/>
              </w:rPr>
            </w:pPr>
            <w:r>
              <w:rPr>
                <w:rFonts w:ascii="Avenir Next Condensed"/>
                <w:sz w:val="18"/>
              </w:rPr>
              <w:t>-10.0</w:t>
            </w:r>
          </w:p>
        </w:tc>
        <w:tc>
          <w:tcPr>
            <w:tcW w:w="104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54"/>
              <w:rPr>
                <w:rFonts w:ascii="Avenir Next Condensed" w:eastAsia="Avenir Next Condensed" w:hAnsi="Avenir Next Condensed" w:cs="Avenir Next Condensed"/>
                <w:sz w:val="18"/>
                <w:szCs w:val="18"/>
              </w:rPr>
            </w:pPr>
            <w:r>
              <w:rPr>
                <w:rFonts w:ascii="Avenir Next Condensed"/>
                <w:sz w:val="18"/>
              </w:rPr>
              <w:t>-10.0</w:t>
            </w:r>
          </w:p>
        </w:tc>
      </w:tr>
      <w:tr w:rsidR="00D96B91">
        <w:trPr>
          <w:trHeight w:hRule="exact" w:val="407"/>
        </w:trPr>
        <w:tc>
          <w:tcPr>
            <w:tcW w:w="417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1"/>
                <w:sz w:val="18"/>
              </w:rPr>
              <w:t>Recommended</w:t>
            </w:r>
            <w:r>
              <w:rPr>
                <w:rFonts w:ascii="Avenir Next Condensed"/>
                <w:b/>
                <w:sz w:val="18"/>
              </w:rPr>
              <w:t xml:space="preserve"> prudent and </w:t>
            </w:r>
            <w:r>
              <w:rPr>
                <w:rFonts w:ascii="Avenir Next Condensed"/>
                <w:b/>
                <w:spacing w:val="-1"/>
                <w:sz w:val="18"/>
              </w:rPr>
              <w:t>efficient</w:t>
            </w:r>
            <w:r>
              <w:rPr>
                <w:rFonts w:ascii="Avenir Next Condensed"/>
                <w:b/>
                <w:sz w:val="18"/>
              </w:rPr>
              <w:t xml:space="preserve"> capital </w:t>
            </w:r>
            <w:r>
              <w:rPr>
                <w:rFonts w:ascii="Avenir Next Condensed"/>
                <w:b/>
                <w:spacing w:val="-1"/>
                <w:sz w:val="18"/>
              </w:rPr>
              <w:t>expenditure</w:t>
            </w:r>
          </w:p>
        </w:tc>
        <w:tc>
          <w:tcPr>
            <w:tcW w:w="104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73"/>
              <w:rPr>
                <w:rFonts w:ascii="Avenir Next Condensed" w:eastAsia="Avenir Next Condensed" w:hAnsi="Avenir Next Condensed" w:cs="Avenir Next Condensed"/>
                <w:sz w:val="18"/>
                <w:szCs w:val="18"/>
              </w:rPr>
            </w:pPr>
            <w:r>
              <w:rPr>
                <w:rFonts w:ascii="Avenir Next Condensed"/>
                <w:b/>
                <w:sz w:val="18"/>
              </w:rPr>
              <w:t>43.0</w:t>
            </w:r>
          </w:p>
        </w:tc>
        <w:tc>
          <w:tcPr>
            <w:tcW w:w="104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73"/>
              <w:rPr>
                <w:rFonts w:ascii="Avenir Next Condensed" w:eastAsia="Avenir Next Condensed" w:hAnsi="Avenir Next Condensed" w:cs="Avenir Next Condensed"/>
                <w:sz w:val="18"/>
                <w:szCs w:val="18"/>
              </w:rPr>
            </w:pPr>
            <w:r>
              <w:rPr>
                <w:rFonts w:ascii="Avenir Next Condensed"/>
                <w:b/>
                <w:sz w:val="18"/>
              </w:rPr>
              <w:t>62.1</w:t>
            </w:r>
          </w:p>
        </w:tc>
        <w:tc>
          <w:tcPr>
            <w:tcW w:w="104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73"/>
              <w:rPr>
                <w:rFonts w:ascii="Avenir Next Condensed" w:eastAsia="Avenir Next Condensed" w:hAnsi="Avenir Next Condensed" w:cs="Avenir Next Condensed"/>
                <w:sz w:val="18"/>
                <w:szCs w:val="18"/>
              </w:rPr>
            </w:pPr>
            <w:r>
              <w:rPr>
                <w:rFonts w:ascii="Avenir Next Condensed"/>
                <w:b/>
                <w:sz w:val="18"/>
              </w:rPr>
              <w:t>83.5</w:t>
            </w:r>
          </w:p>
        </w:tc>
        <w:tc>
          <w:tcPr>
            <w:tcW w:w="104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83"/>
              <w:rPr>
                <w:rFonts w:ascii="Avenir Next Condensed" w:eastAsia="Avenir Next Condensed" w:hAnsi="Avenir Next Condensed" w:cs="Avenir Next Condensed"/>
                <w:sz w:val="18"/>
                <w:szCs w:val="18"/>
              </w:rPr>
            </w:pPr>
            <w:r>
              <w:rPr>
                <w:rFonts w:ascii="Avenir Next Condensed"/>
                <w:b/>
                <w:sz w:val="18"/>
              </w:rPr>
              <w:t>124.7</w:t>
            </w:r>
          </w:p>
        </w:tc>
        <w:tc>
          <w:tcPr>
            <w:tcW w:w="104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73"/>
              <w:rPr>
                <w:rFonts w:ascii="Avenir Next Condensed" w:eastAsia="Avenir Next Condensed" w:hAnsi="Avenir Next Condensed" w:cs="Avenir Next Condensed"/>
                <w:sz w:val="18"/>
                <w:szCs w:val="18"/>
              </w:rPr>
            </w:pPr>
            <w:r>
              <w:rPr>
                <w:rFonts w:ascii="Avenir Next Condensed"/>
                <w:b/>
                <w:sz w:val="18"/>
              </w:rPr>
              <w:t>98.1</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5"/>
          <w:sz w:val="16"/>
        </w:rPr>
        <w:t>Source:</w:t>
      </w:r>
      <w:r>
        <w:rPr>
          <w:rFonts w:ascii="Avenir Next"/>
          <w:spacing w:val="-10"/>
          <w:sz w:val="16"/>
        </w:rPr>
        <w:t xml:space="preserve"> </w:t>
      </w:r>
      <w:r>
        <w:rPr>
          <w:rFonts w:ascii="Avenir Next"/>
          <w:spacing w:val="-6"/>
          <w:sz w:val="16"/>
        </w:rPr>
        <w:t>Cardno,</w:t>
      </w:r>
      <w:r>
        <w:rPr>
          <w:rFonts w:ascii="Avenir Next"/>
          <w:spacing w:val="-15"/>
          <w:sz w:val="16"/>
        </w:rPr>
        <w:t xml:space="preserve"> </w:t>
      </w:r>
      <w:r>
        <w:rPr>
          <w:rFonts w:ascii="Avenir Next"/>
          <w:spacing w:val="-5"/>
          <w:sz w:val="16"/>
        </w:rPr>
        <w:t>Independent</w:t>
      </w:r>
      <w:r>
        <w:rPr>
          <w:rFonts w:ascii="Avenir Next"/>
          <w:spacing w:val="-10"/>
          <w:sz w:val="16"/>
        </w:rPr>
        <w:t xml:space="preserve"> </w:t>
      </w:r>
      <w:r>
        <w:rPr>
          <w:rFonts w:ascii="Avenir Next"/>
          <w:spacing w:val="-5"/>
          <w:sz w:val="16"/>
        </w:rPr>
        <w:t>review</w:t>
      </w:r>
      <w:r>
        <w:rPr>
          <w:rFonts w:ascii="Avenir Next"/>
          <w:spacing w:val="-10"/>
          <w:sz w:val="16"/>
        </w:rPr>
        <w:t xml:space="preserve"> </w:t>
      </w:r>
      <w:r>
        <w:rPr>
          <w:rFonts w:ascii="Avenir Next"/>
          <w:spacing w:val="-3"/>
          <w:sz w:val="16"/>
        </w:rPr>
        <w:t>of</w:t>
      </w:r>
      <w:r>
        <w:rPr>
          <w:rFonts w:ascii="Avenir Next"/>
          <w:spacing w:val="-6"/>
          <w:sz w:val="16"/>
        </w:rPr>
        <w:t xml:space="preserve"> </w:t>
      </w:r>
      <w:r>
        <w:rPr>
          <w:rFonts w:ascii="Avenir Next"/>
          <w:spacing w:val="-4"/>
          <w:sz w:val="16"/>
        </w:rPr>
        <w:t>ICRC</w:t>
      </w:r>
      <w:r>
        <w:rPr>
          <w:rFonts w:ascii="Avenir Next"/>
          <w:spacing w:val="-10"/>
          <w:sz w:val="16"/>
        </w:rPr>
        <w:t xml:space="preserve"> </w:t>
      </w:r>
      <w:r>
        <w:rPr>
          <w:rFonts w:ascii="Avenir Next"/>
          <w:spacing w:val="-4"/>
          <w:sz w:val="16"/>
        </w:rPr>
        <w:t>price</w:t>
      </w:r>
      <w:r>
        <w:rPr>
          <w:rFonts w:ascii="Avenir Next"/>
          <w:spacing w:val="-10"/>
          <w:sz w:val="16"/>
        </w:rPr>
        <w:t xml:space="preserve"> </w:t>
      </w:r>
      <w:r>
        <w:rPr>
          <w:rFonts w:ascii="Avenir Next"/>
          <w:spacing w:val="-5"/>
          <w:sz w:val="16"/>
        </w:rPr>
        <w:t>decision,</w:t>
      </w:r>
      <w:r>
        <w:rPr>
          <w:rFonts w:ascii="Avenir Next"/>
          <w:spacing w:val="-19"/>
          <w:sz w:val="16"/>
        </w:rPr>
        <w:t xml:space="preserve"> </w:t>
      </w:r>
      <w:r>
        <w:rPr>
          <w:rFonts w:ascii="Avenir Next"/>
          <w:spacing w:val="-7"/>
          <w:sz w:val="16"/>
        </w:rPr>
        <w:t>Technical</w:t>
      </w:r>
      <w:r>
        <w:rPr>
          <w:rFonts w:ascii="Avenir Next"/>
          <w:spacing w:val="-10"/>
          <w:sz w:val="16"/>
        </w:rPr>
        <w:t xml:space="preserve"> </w:t>
      </w:r>
      <w:r>
        <w:rPr>
          <w:rFonts w:ascii="Avenir Next"/>
          <w:spacing w:val="-5"/>
          <w:sz w:val="16"/>
        </w:rPr>
        <w:t>report,</w:t>
      </w:r>
      <w:r>
        <w:rPr>
          <w:rFonts w:ascii="Avenir Next"/>
          <w:spacing w:val="-15"/>
          <w:sz w:val="16"/>
        </w:rPr>
        <w:t xml:space="preserve"> </w:t>
      </w:r>
      <w:r>
        <w:rPr>
          <w:rFonts w:ascii="Avenir Next"/>
          <w:sz w:val="16"/>
        </w:rPr>
        <w:t>6</w:t>
      </w:r>
      <w:r>
        <w:rPr>
          <w:rFonts w:ascii="Avenir Next"/>
          <w:spacing w:val="-10"/>
          <w:sz w:val="16"/>
        </w:rPr>
        <w:t xml:space="preserve"> </w:t>
      </w:r>
      <w:r>
        <w:rPr>
          <w:rFonts w:ascii="Avenir Next"/>
          <w:spacing w:val="-5"/>
          <w:sz w:val="16"/>
        </w:rPr>
        <w:t>November</w:t>
      </w:r>
      <w:r>
        <w:rPr>
          <w:rFonts w:ascii="Avenir Next"/>
          <w:spacing w:val="-10"/>
          <w:sz w:val="16"/>
        </w:rPr>
        <w:t xml:space="preserve"> </w:t>
      </w:r>
      <w:r>
        <w:rPr>
          <w:rFonts w:ascii="Avenir Next"/>
          <w:spacing w:val="-4"/>
          <w:sz w:val="16"/>
        </w:rPr>
        <w:t>2014,</w:t>
      </w:r>
      <w:r>
        <w:rPr>
          <w:rFonts w:ascii="Avenir Next"/>
          <w:spacing w:val="-15"/>
          <w:sz w:val="16"/>
        </w:rPr>
        <w:t xml:space="preserve"> </w:t>
      </w:r>
      <w:r>
        <w:rPr>
          <w:rFonts w:ascii="Avenir Next"/>
          <w:sz w:val="16"/>
        </w:rPr>
        <w:t>p</w:t>
      </w:r>
      <w:r>
        <w:rPr>
          <w:rFonts w:ascii="Avenir Next"/>
          <w:spacing w:val="-10"/>
          <w:sz w:val="16"/>
        </w:rPr>
        <w:t xml:space="preserve"> </w:t>
      </w:r>
      <w:r>
        <w:rPr>
          <w:rFonts w:ascii="Avenir Next"/>
          <w:spacing w:val="-4"/>
          <w:sz w:val="16"/>
        </w:rPr>
        <w:t>48.</w:t>
      </w:r>
      <w:r>
        <w:rPr>
          <w:rFonts w:ascii="Avenir Next"/>
          <w:spacing w:val="-15"/>
          <w:sz w:val="16"/>
        </w:rPr>
        <w:t xml:space="preserve"> </w:t>
      </w:r>
      <w:r>
        <w:rPr>
          <w:rFonts w:ascii="Avenir Next"/>
          <w:spacing w:val="-6"/>
          <w:sz w:val="16"/>
        </w:rPr>
        <w:t>Figures</w:t>
      </w:r>
      <w:r>
        <w:rPr>
          <w:rFonts w:ascii="Avenir Next"/>
          <w:spacing w:val="-10"/>
          <w:sz w:val="16"/>
        </w:rPr>
        <w:t xml:space="preserve"> </w:t>
      </w:r>
      <w:r>
        <w:rPr>
          <w:rFonts w:ascii="Avenir Next"/>
          <w:spacing w:val="-4"/>
          <w:sz w:val="16"/>
        </w:rPr>
        <w:t>net</w:t>
      </w:r>
      <w:r>
        <w:rPr>
          <w:rFonts w:ascii="Avenir Next"/>
          <w:spacing w:val="-10"/>
          <w:sz w:val="16"/>
        </w:rPr>
        <w:t xml:space="preserve"> </w:t>
      </w:r>
      <w:r>
        <w:rPr>
          <w:rFonts w:ascii="Avenir Next"/>
          <w:spacing w:val="-3"/>
          <w:sz w:val="16"/>
        </w:rPr>
        <w:t>of</w:t>
      </w:r>
      <w:r>
        <w:rPr>
          <w:rFonts w:ascii="Avenir Next"/>
          <w:spacing w:val="-6"/>
          <w:sz w:val="16"/>
        </w:rPr>
        <w:t xml:space="preserve"> </w:t>
      </w:r>
      <w:r>
        <w:rPr>
          <w:rFonts w:ascii="Avenir Next"/>
          <w:spacing w:val="-5"/>
          <w:sz w:val="16"/>
        </w:rPr>
        <w:t>capital</w:t>
      </w:r>
      <w:r>
        <w:rPr>
          <w:rFonts w:ascii="Avenir Next"/>
          <w:spacing w:val="-10"/>
          <w:sz w:val="16"/>
        </w:rPr>
        <w:t xml:space="preserve"> </w:t>
      </w:r>
      <w:r>
        <w:rPr>
          <w:rFonts w:ascii="Avenir Next"/>
          <w:spacing w:val="-5"/>
          <w:sz w:val="16"/>
        </w:rPr>
        <w:t>contributions.</w:t>
      </w:r>
    </w:p>
    <w:p w:rsidR="00D96B91" w:rsidRDefault="00D96B91">
      <w:pPr>
        <w:rPr>
          <w:rFonts w:ascii="Avenir Next" w:eastAsia="Avenir Next" w:hAnsi="Avenir Next" w:cs="Avenir Next"/>
          <w:sz w:val="16"/>
          <w:szCs w:val="16"/>
        </w:rPr>
      </w:pPr>
    </w:p>
    <w:p w:rsidR="00D96B91" w:rsidRPr="00B45286" w:rsidRDefault="00C2656B" w:rsidP="00B45286">
      <w:pPr>
        <w:tabs>
          <w:tab w:val="left" w:pos="2097"/>
        </w:tabs>
        <w:spacing w:before="111" w:line="244" w:lineRule="auto"/>
        <w:ind w:left="1247" w:right="1571"/>
        <w:rPr>
          <w:rFonts w:ascii="Avenir Next" w:eastAsia="Avenir Next" w:hAnsi="Avenir Next" w:cs="Avenir Next"/>
          <w:spacing w:val="-1"/>
          <w:sz w:val="20"/>
          <w:szCs w:val="20"/>
        </w:rPr>
      </w:pPr>
      <w:r>
        <w:rPr>
          <w:rFonts w:ascii="Avenir Next Medium" w:eastAsia="Avenir Next Medium" w:hAnsi="Avenir Next Medium" w:cs="Avenir Next Medium"/>
          <w:color w:val="0778BE"/>
          <w:sz w:val="24"/>
          <w:szCs w:val="24"/>
        </w:rPr>
        <w:t>9.3.5</w:t>
      </w:r>
      <w:r>
        <w:rPr>
          <w:rFonts w:ascii="Avenir Next Medium" w:eastAsia="Avenir Next Medium" w:hAnsi="Avenir Next Medium" w:cs="Avenir Next Medium"/>
          <w:color w:val="0778BE"/>
          <w:sz w:val="24"/>
          <w:szCs w:val="24"/>
        </w:rPr>
        <w:tab/>
      </w:r>
      <w:r>
        <w:rPr>
          <w:rFonts w:ascii="Avenir Next Medium" w:eastAsia="Avenir Next Medium" w:hAnsi="Avenir Next Medium" w:cs="Avenir Next Medium"/>
          <w:color w:val="0778BE"/>
          <w:spacing w:val="-4"/>
          <w:sz w:val="24"/>
          <w:szCs w:val="24"/>
        </w:rPr>
        <w:t>Panel’s</w:t>
      </w:r>
      <w:r>
        <w:rPr>
          <w:rFonts w:ascii="Avenir Next Medium" w:eastAsia="Avenir Next Medium" w:hAnsi="Avenir Next Medium" w:cs="Avenir Next Medium"/>
          <w:color w:val="0778BE"/>
          <w:sz w:val="24"/>
          <w:szCs w:val="24"/>
        </w:rPr>
        <w:t xml:space="preserve"> </w:t>
      </w:r>
      <w:r>
        <w:rPr>
          <w:rFonts w:ascii="Avenir Next Medium" w:eastAsia="Avenir Next Medium" w:hAnsi="Avenir Next Medium" w:cs="Avenir Next Medium"/>
          <w:color w:val="0778BE"/>
          <w:spacing w:val="-1"/>
          <w:sz w:val="24"/>
          <w:szCs w:val="24"/>
        </w:rPr>
        <w:t>considerations</w:t>
      </w:r>
      <w:r>
        <w:rPr>
          <w:rFonts w:ascii="Avenir Next Medium" w:eastAsia="Avenir Next Medium" w:hAnsi="Avenir Next Medium" w:cs="Avenir Next Medium"/>
          <w:color w:val="0778BE"/>
          <w:sz w:val="24"/>
          <w:szCs w:val="24"/>
        </w:rPr>
        <w:t xml:space="preserve"> and </w:t>
      </w:r>
      <w:r>
        <w:rPr>
          <w:rFonts w:ascii="Avenir Next Medium" w:eastAsia="Avenir Next Medium" w:hAnsi="Avenir Next Medium" w:cs="Avenir Next Medium"/>
          <w:color w:val="0778BE"/>
          <w:spacing w:val="-2"/>
          <w:sz w:val="24"/>
          <w:szCs w:val="24"/>
        </w:rPr>
        <w:t>draft</w:t>
      </w:r>
      <w:r>
        <w:rPr>
          <w:rFonts w:ascii="Avenir Next Medium" w:eastAsia="Avenir Next Medium" w:hAnsi="Avenir Next Medium" w:cs="Avenir Next Medium"/>
          <w:color w:val="0778BE"/>
          <w:sz w:val="24"/>
          <w:szCs w:val="24"/>
        </w:rPr>
        <w:t xml:space="preserve"> decision on </w:t>
      </w:r>
      <w:r>
        <w:rPr>
          <w:rFonts w:ascii="Avenir Next Medium" w:eastAsia="Avenir Next Medium" w:hAnsi="Avenir Next Medium" w:cs="Avenir Next Medium"/>
          <w:color w:val="0778BE"/>
          <w:spacing w:val="-1"/>
          <w:sz w:val="24"/>
          <w:szCs w:val="24"/>
        </w:rPr>
        <w:t>forecast</w:t>
      </w:r>
      <w:r>
        <w:rPr>
          <w:rFonts w:ascii="Avenir Next Medium" w:eastAsia="Avenir Next Medium" w:hAnsi="Avenir Next Medium" w:cs="Avenir Next Medium"/>
          <w:color w:val="0778BE"/>
          <w:sz w:val="24"/>
          <w:szCs w:val="24"/>
        </w:rPr>
        <w:t xml:space="preserve"> capital </w:t>
      </w:r>
      <w:r>
        <w:rPr>
          <w:rFonts w:ascii="Avenir Next Medium" w:eastAsia="Avenir Next Medium" w:hAnsi="Avenir Next Medium" w:cs="Avenir Next Medium"/>
          <w:color w:val="0778BE"/>
          <w:spacing w:val="-1"/>
          <w:sz w:val="24"/>
          <w:szCs w:val="24"/>
        </w:rPr>
        <w:t>expenditure</w:t>
      </w:r>
      <w:r>
        <w:rPr>
          <w:rFonts w:ascii="Avenir Next Medium" w:eastAsia="Avenir Next Medium" w:hAnsi="Avenir Next Medium" w:cs="Avenir Next Medium"/>
          <w:color w:val="0778BE"/>
          <w:spacing w:val="35"/>
          <w:sz w:val="24"/>
          <w:szCs w:val="24"/>
        </w:rPr>
        <w:t xml:space="preserve"> </w:t>
      </w:r>
      <w:r>
        <w:rPr>
          <w:rFonts w:ascii="Avenir Next" w:eastAsia="Avenir Next" w:hAnsi="Avenir Next" w:cs="Avenir Next"/>
          <w:sz w:val="20"/>
          <w:szCs w:val="20"/>
        </w:rPr>
        <w:t xml:space="preserve">Having </w:t>
      </w:r>
      <w:r>
        <w:rPr>
          <w:rFonts w:ascii="Avenir Next" w:eastAsia="Avenir Next" w:hAnsi="Avenir Next" w:cs="Avenir Next"/>
          <w:spacing w:val="-1"/>
          <w:sz w:val="20"/>
          <w:szCs w:val="20"/>
        </w:rPr>
        <w:t>considered</w:t>
      </w:r>
      <w:r>
        <w:rPr>
          <w:rFonts w:ascii="Avenir Next" w:eastAsia="Avenir Next" w:hAnsi="Avenir Next" w:cs="Avenir Next"/>
          <w:sz w:val="20"/>
          <w:szCs w:val="20"/>
        </w:rPr>
        <w:t xml:space="preserve"> the </w:t>
      </w:r>
      <w:r>
        <w:rPr>
          <w:rFonts w:ascii="Avenir Next" w:eastAsia="Avenir Next" w:hAnsi="Avenir Next" w:cs="Avenir Next"/>
          <w:spacing w:val="-1"/>
          <w:sz w:val="20"/>
          <w:szCs w:val="20"/>
        </w:rPr>
        <w:t>information</w:t>
      </w:r>
      <w:r>
        <w:rPr>
          <w:rFonts w:ascii="Avenir Next" w:eastAsia="Avenir Next" w:hAnsi="Avenir Next" w:cs="Avenir Next"/>
          <w:sz w:val="20"/>
          <w:szCs w:val="20"/>
        </w:rPr>
        <w:t xml:space="preserve"> discussed above,</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reached</w:t>
      </w:r>
      <w:r>
        <w:rPr>
          <w:rFonts w:ascii="Avenir Next" w:eastAsia="Avenir Next" w:hAnsi="Avenir Next" w:cs="Avenir Next"/>
          <w:sz w:val="20"/>
          <w:szCs w:val="20"/>
        </w:rPr>
        <w:t xml:space="preserve"> the view </w:t>
      </w:r>
      <w:r>
        <w:rPr>
          <w:rFonts w:ascii="Avenir Next" w:eastAsia="Avenir Next" w:hAnsi="Avenir Next" w:cs="Avenir Next"/>
          <w:spacing w:val="-1"/>
          <w:sz w:val="20"/>
          <w:szCs w:val="20"/>
        </w:rPr>
        <w:t>that</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most</w:t>
      </w:r>
      <w:r>
        <w:rPr>
          <w:rFonts w:ascii="Avenir Next" w:eastAsia="Avenir Next" w:hAnsi="Avenir Next" w:cs="Avenir Next"/>
          <w:spacing w:val="45"/>
          <w:sz w:val="20"/>
          <w:szCs w:val="20"/>
        </w:rPr>
        <w:t xml:space="preserve"> </w:t>
      </w:r>
      <w:r>
        <w:rPr>
          <w:rFonts w:ascii="Avenir Next" w:eastAsia="Avenir Next" w:hAnsi="Avenir Next" w:cs="Avenir Next"/>
          <w:spacing w:val="-1"/>
          <w:sz w:val="20"/>
          <w:szCs w:val="20"/>
        </w:rPr>
        <w:t>recent</w:t>
      </w:r>
      <w:r>
        <w:rPr>
          <w:rFonts w:ascii="Avenir Next" w:eastAsia="Avenir Next" w:hAnsi="Avenir Next" w:cs="Avenir Next"/>
          <w:sz w:val="20"/>
          <w:szCs w:val="20"/>
        </w:rPr>
        <w:t xml:space="preserve"> capital </w:t>
      </w:r>
      <w:r>
        <w:rPr>
          <w:rFonts w:ascii="Avenir Next" w:eastAsia="Avenir Next" w:hAnsi="Avenir Next" w:cs="Avenir Next"/>
          <w:spacing w:val="-1"/>
          <w:sz w:val="20"/>
          <w:szCs w:val="20"/>
        </w:rPr>
        <w:t>expenditure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program</w:t>
      </w:r>
      <w:r>
        <w:rPr>
          <w:rFonts w:ascii="Avenir Next" w:eastAsia="Avenir Next" w:hAnsi="Avenir Next" w:cs="Avenir Next"/>
          <w:sz w:val="20"/>
          <w:szCs w:val="20"/>
        </w:rPr>
        <w:t xml:space="preserve"> for 2013-14 to 2017-</w:t>
      </w:r>
      <w:r w:rsidRPr="00B45286">
        <w:rPr>
          <w:rFonts w:ascii="Avenir Next" w:eastAsia="Avenir Next" w:hAnsi="Avenir Next" w:cs="Avenir Next"/>
          <w:spacing w:val="-1"/>
          <w:sz w:val="20"/>
          <w:szCs w:val="20"/>
        </w:rPr>
        <w:t xml:space="preserve">18 is the best available </w:t>
      </w:r>
      <w:r>
        <w:rPr>
          <w:rFonts w:ascii="Avenir Next" w:eastAsia="Avenir Next" w:hAnsi="Avenir Next" w:cs="Avenir Next"/>
          <w:spacing w:val="-1"/>
          <w:sz w:val="20"/>
          <w:szCs w:val="20"/>
        </w:rPr>
        <w:t>estimate</w:t>
      </w:r>
      <w:r w:rsidRPr="00B45286">
        <w:rPr>
          <w:rFonts w:ascii="Avenir Next" w:eastAsia="Avenir Next" w:hAnsi="Avenir Next" w:cs="Avenir Next"/>
          <w:spacing w:val="-1"/>
          <w:sz w:val="20"/>
          <w:szCs w:val="20"/>
        </w:rPr>
        <w:t xml:space="preserve"> of the</w:t>
      </w:r>
      <w:r w:rsidR="00B45286" w:rsidRPr="00B45286">
        <w:rPr>
          <w:rFonts w:ascii="Avenir Next" w:eastAsia="Avenir Next" w:hAnsi="Avenir Next" w:cs="Avenir Next"/>
          <w:spacing w:val="-1"/>
          <w:sz w:val="20"/>
          <w:szCs w:val="20"/>
        </w:rPr>
        <w:t xml:space="preserve"> </w:t>
      </w:r>
      <w:r w:rsidRPr="00B45286">
        <w:rPr>
          <w:rFonts w:ascii="Avenir Next" w:eastAsia="Avenir Next" w:hAnsi="Avenir Next" w:cs="Avenir Next"/>
          <w:spacing w:val="-1"/>
          <w:sz w:val="20"/>
          <w:szCs w:val="20"/>
        </w:rPr>
        <w:t>prudent and efficient level of its forecast capital expenditure for this period. On this basis, the Panel’s draft decision is to accept the first part of Cardno’s recommendation.</w:t>
      </w:r>
    </w:p>
    <w:p w:rsidR="00D96B91" w:rsidRDefault="00C2656B">
      <w:pPr>
        <w:pStyle w:val="BodyText"/>
        <w:spacing w:before="152" w:line="260" w:lineRule="exact"/>
        <w:ind w:right="1558"/>
      </w:pPr>
      <w:r>
        <w:rPr>
          <w:spacing w:val="-2"/>
        </w:rPr>
        <w:t>However,</w:t>
      </w:r>
      <w:r>
        <w:rPr>
          <w:spacing w:val="-6"/>
        </w:rPr>
        <w:t xml:space="preserve"> </w:t>
      </w:r>
      <w:r>
        <w:t xml:space="preserve">the </w:t>
      </w:r>
      <w:r>
        <w:rPr>
          <w:spacing w:val="-4"/>
        </w:rPr>
        <w:t>Panel’s</w:t>
      </w:r>
      <w:r>
        <w:t xml:space="preserve"> </w:t>
      </w:r>
      <w:r>
        <w:rPr>
          <w:spacing w:val="-2"/>
        </w:rPr>
        <w:t>draft</w:t>
      </w:r>
      <w:r>
        <w:t xml:space="preserve"> decision is not to accept </w:t>
      </w:r>
      <w:r>
        <w:rPr>
          <w:spacing w:val="-3"/>
        </w:rPr>
        <w:t>Cardno’s</w:t>
      </w:r>
      <w:r>
        <w:t xml:space="preserve"> </w:t>
      </w:r>
      <w:r>
        <w:rPr>
          <w:spacing w:val="-1"/>
        </w:rPr>
        <w:t>recommended</w:t>
      </w:r>
      <w:r>
        <w:t xml:space="preserve"> $10 million adjustment</w:t>
      </w:r>
      <w:r>
        <w:rPr>
          <w:spacing w:val="59"/>
        </w:rPr>
        <w:t xml:space="preserve"> </w:t>
      </w:r>
      <w:r>
        <w:t>in</w:t>
      </w:r>
      <w:r>
        <w:rPr>
          <w:spacing w:val="-1"/>
        </w:rPr>
        <w:t xml:space="preserve"> each</w:t>
      </w:r>
      <w:r>
        <w:t xml:space="preserve"> of</w:t>
      </w:r>
      <w:r>
        <w:rPr>
          <w:spacing w:val="4"/>
        </w:rPr>
        <w:t xml:space="preserve"> </w:t>
      </w:r>
      <w:r>
        <w:t>the final</w:t>
      </w:r>
      <w:r>
        <w:rPr>
          <w:spacing w:val="-1"/>
        </w:rPr>
        <w:t xml:space="preserve"> </w:t>
      </w:r>
      <w:r>
        <w:t xml:space="preserve">two </w:t>
      </w:r>
      <w:r>
        <w:rPr>
          <w:spacing w:val="-1"/>
        </w:rPr>
        <w:t>years</w:t>
      </w:r>
      <w:r>
        <w:t xml:space="preserve"> of</w:t>
      </w:r>
      <w:r>
        <w:rPr>
          <w:spacing w:val="4"/>
        </w:rPr>
        <w:t xml:space="preserve"> </w:t>
      </w:r>
      <w:r>
        <w:t>the</w:t>
      </w:r>
      <w:r>
        <w:rPr>
          <w:spacing w:val="-1"/>
        </w:rPr>
        <w:t xml:space="preserve"> </w:t>
      </w:r>
      <w:r>
        <w:t>period.</w:t>
      </w:r>
      <w:r>
        <w:rPr>
          <w:spacing w:val="-11"/>
        </w:rPr>
        <w:t xml:space="preserve"> </w:t>
      </w:r>
      <w:r>
        <w:rPr>
          <w:spacing w:val="-2"/>
        </w:rPr>
        <w:t>The</w:t>
      </w:r>
      <w:r>
        <w:t xml:space="preserve"> </w:t>
      </w:r>
      <w:r>
        <w:rPr>
          <w:spacing w:val="-3"/>
        </w:rPr>
        <w:t>Panel</w:t>
      </w:r>
      <w:r>
        <w:t xml:space="preserve"> acknowledges</w:t>
      </w:r>
      <w:r>
        <w:rPr>
          <w:spacing w:val="-1"/>
        </w:rPr>
        <w:t xml:space="preserve"> </w:t>
      </w:r>
      <w:r>
        <w:rPr>
          <w:spacing w:val="-3"/>
        </w:rPr>
        <w:t>Cardno’s</w:t>
      </w:r>
      <w:r>
        <w:t xml:space="preserve"> view </w:t>
      </w:r>
      <w:r>
        <w:rPr>
          <w:spacing w:val="-1"/>
        </w:rPr>
        <w:t>that</w:t>
      </w:r>
      <w:r>
        <w:rPr>
          <w:spacing w:val="-4"/>
        </w:rPr>
        <w:t xml:space="preserve"> </w:t>
      </w:r>
      <w:r>
        <w:rPr>
          <w:spacing w:val="-2"/>
        </w:rPr>
        <w:t>ACTEW’s</w:t>
      </w:r>
      <w:r>
        <w:rPr>
          <w:spacing w:val="39"/>
        </w:rPr>
        <w:t xml:space="preserve"> </w:t>
      </w:r>
      <w:r>
        <w:t>understanding</w:t>
      </w:r>
      <w:r>
        <w:rPr>
          <w:spacing w:val="-1"/>
        </w:rPr>
        <w:t xml:space="preserve"> </w:t>
      </w:r>
      <w:r>
        <w:t>of</w:t>
      </w:r>
      <w:r>
        <w:rPr>
          <w:spacing w:val="4"/>
        </w:rPr>
        <w:t xml:space="preserve"> </w:t>
      </w:r>
      <w:r>
        <w:t>its business risk</w:t>
      </w:r>
      <w:r>
        <w:rPr>
          <w:spacing w:val="-1"/>
        </w:rPr>
        <w:t xml:space="preserve"> profile</w:t>
      </w:r>
      <w:r>
        <w:t xml:space="preserve"> may </w:t>
      </w:r>
      <w:r>
        <w:rPr>
          <w:spacing w:val="-1"/>
        </w:rPr>
        <w:t>improve</w:t>
      </w:r>
      <w:r>
        <w:t xml:space="preserve"> over</w:t>
      </w:r>
      <w:r>
        <w:rPr>
          <w:spacing w:val="-1"/>
        </w:rPr>
        <w:t xml:space="preserve"> </w:t>
      </w:r>
      <w:r>
        <w:t>time,</w:t>
      </w:r>
      <w:r>
        <w:rPr>
          <w:spacing w:val="-6"/>
        </w:rPr>
        <w:t xml:space="preserve"> </w:t>
      </w:r>
      <w:r>
        <w:t xml:space="preserve">and </w:t>
      </w:r>
      <w:r>
        <w:rPr>
          <w:spacing w:val="-1"/>
        </w:rPr>
        <w:t>that</w:t>
      </w:r>
      <w:r>
        <w:t xml:space="preserve"> this</w:t>
      </w:r>
      <w:r>
        <w:rPr>
          <w:spacing w:val="-1"/>
        </w:rPr>
        <w:t xml:space="preserve"> </w:t>
      </w:r>
      <w:r>
        <w:t xml:space="preserve">could </w:t>
      </w:r>
      <w:r>
        <w:rPr>
          <w:spacing w:val="-1"/>
        </w:rPr>
        <w:t>result</w:t>
      </w:r>
      <w:r>
        <w:t xml:space="preserve"> in the</w:t>
      </w:r>
      <w:r>
        <w:rPr>
          <w:spacing w:val="21"/>
        </w:rPr>
        <w:t xml:space="preserve"> </w:t>
      </w:r>
      <w:r>
        <w:rPr>
          <w:spacing w:val="-1"/>
        </w:rPr>
        <w:t>deferral</w:t>
      </w:r>
      <w:r>
        <w:t xml:space="preserve"> of</w:t>
      </w:r>
      <w:r>
        <w:rPr>
          <w:spacing w:val="4"/>
        </w:rPr>
        <w:t xml:space="preserve"> </w:t>
      </w:r>
      <w:r>
        <w:t>some</w:t>
      </w:r>
      <w:r>
        <w:rPr>
          <w:spacing w:val="1"/>
        </w:rPr>
        <w:t xml:space="preserve"> </w:t>
      </w:r>
      <w:r>
        <w:rPr>
          <w:spacing w:val="-1"/>
        </w:rPr>
        <w:t>expenditure.</w:t>
      </w:r>
      <w:r>
        <w:rPr>
          <w:spacing w:val="-1"/>
          <w:position w:val="7"/>
          <w:sz w:val="11"/>
          <w:szCs w:val="11"/>
        </w:rPr>
        <w:t>130</w:t>
      </w:r>
      <w:r>
        <w:rPr>
          <w:spacing w:val="23"/>
          <w:position w:val="7"/>
          <w:sz w:val="11"/>
          <w:szCs w:val="11"/>
        </w:rPr>
        <w:t xml:space="preserve"> </w:t>
      </w:r>
      <w:r>
        <w:rPr>
          <w:spacing w:val="-2"/>
        </w:rPr>
        <w:t>However,</w:t>
      </w:r>
      <w:r>
        <w:rPr>
          <w:spacing w:val="-6"/>
        </w:rPr>
        <w:t xml:space="preserve"> </w:t>
      </w:r>
      <w:r>
        <w:t>the</w:t>
      </w:r>
      <w:r>
        <w:rPr>
          <w:spacing w:val="1"/>
        </w:rPr>
        <w:t xml:space="preserve"> </w:t>
      </w:r>
      <w:r>
        <w:rPr>
          <w:spacing w:val="-3"/>
        </w:rPr>
        <w:t>Panel</w:t>
      </w:r>
      <w:r>
        <w:t xml:space="preserve"> does not</w:t>
      </w:r>
      <w:r>
        <w:rPr>
          <w:spacing w:val="1"/>
        </w:rPr>
        <w:t xml:space="preserve"> </w:t>
      </w:r>
      <w:r>
        <w:t xml:space="preserve">consider </w:t>
      </w:r>
      <w:r>
        <w:rPr>
          <w:spacing w:val="-1"/>
        </w:rPr>
        <w:t>that</w:t>
      </w:r>
      <w:r>
        <w:rPr>
          <w:spacing w:val="1"/>
        </w:rPr>
        <w:t xml:space="preserve"> </w:t>
      </w:r>
      <w:r>
        <w:t xml:space="preserve">this </w:t>
      </w:r>
      <w:r>
        <w:rPr>
          <w:spacing w:val="-1"/>
        </w:rPr>
        <w:t>provides</w:t>
      </w:r>
      <w:r>
        <w:rPr>
          <w:spacing w:val="1"/>
        </w:rPr>
        <w:t xml:space="preserve"> </w:t>
      </w:r>
      <w:r>
        <w:t xml:space="preserve">a </w:t>
      </w:r>
      <w:r>
        <w:rPr>
          <w:spacing w:val="-1"/>
        </w:rPr>
        <w:t>sufficient</w:t>
      </w:r>
      <w:r>
        <w:rPr>
          <w:spacing w:val="69"/>
          <w:w w:val="99"/>
        </w:rPr>
        <w:t xml:space="preserve"> </w:t>
      </w:r>
      <w:r>
        <w:t>basis for making an adjustment of</w:t>
      </w:r>
      <w:r>
        <w:rPr>
          <w:spacing w:val="4"/>
        </w:rPr>
        <w:t xml:space="preserve"> </w:t>
      </w:r>
      <w:r>
        <w:t>this magnitude to</w:t>
      </w:r>
      <w:r>
        <w:rPr>
          <w:spacing w:val="-4"/>
        </w:rPr>
        <w:t xml:space="preserve"> </w:t>
      </w:r>
      <w:r>
        <w:rPr>
          <w:spacing w:val="-2"/>
        </w:rPr>
        <w:t>ACTEW’s</w:t>
      </w:r>
      <w:r>
        <w:t xml:space="preserve"> </w:t>
      </w:r>
      <w:r>
        <w:rPr>
          <w:spacing w:val="-1"/>
        </w:rPr>
        <w:t>forecast</w:t>
      </w:r>
      <w:r>
        <w:t xml:space="preserve"> capital </w:t>
      </w:r>
      <w:r>
        <w:rPr>
          <w:spacing w:val="-1"/>
        </w:rPr>
        <w:t>expenditure</w:t>
      </w:r>
      <w:r>
        <w:t xml:space="preserve"> </w:t>
      </w:r>
      <w:r>
        <w:rPr>
          <w:spacing w:val="-1"/>
        </w:rPr>
        <w:t>program.</w:t>
      </w:r>
    </w:p>
    <w:p w:rsidR="00D96B91" w:rsidRDefault="00C2656B">
      <w:pPr>
        <w:pStyle w:val="BodyText"/>
        <w:tabs>
          <w:tab w:val="left" w:pos="9874"/>
        </w:tabs>
        <w:spacing w:before="170" w:line="260" w:lineRule="exact"/>
        <w:ind w:right="1312"/>
      </w:pPr>
      <w:r>
        <w:rPr>
          <w:spacing w:val="-3"/>
        </w:rPr>
        <w:t>The</w:t>
      </w:r>
      <w:r>
        <w:rPr>
          <w:spacing w:val="-4"/>
        </w:rPr>
        <w:t xml:space="preserve"> Panel </w:t>
      </w:r>
      <w:r>
        <w:rPr>
          <w:spacing w:val="-2"/>
        </w:rPr>
        <w:t>also</w:t>
      </w:r>
      <w:r>
        <w:rPr>
          <w:spacing w:val="-4"/>
        </w:rPr>
        <w:t xml:space="preserve"> </w:t>
      </w:r>
      <w:r>
        <w:rPr>
          <w:spacing w:val="-2"/>
        </w:rPr>
        <w:t>notes</w:t>
      </w:r>
      <w:r>
        <w:rPr>
          <w:spacing w:val="-4"/>
        </w:rPr>
        <w:t xml:space="preserve"> Cardno’s </w:t>
      </w:r>
      <w:r>
        <w:rPr>
          <w:spacing w:val="-2"/>
        </w:rPr>
        <w:t>view</w:t>
      </w:r>
      <w:r>
        <w:rPr>
          <w:spacing w:val="-4"/>
        </w:rPr>
        <w:t xml:space="preserve"> </w:t>
      </w:r>
      <w:r>
        <w:rPr>
          <w:spacing w:val="-2"/>
        </w:rPr>
        <w:t>that</w:t>
      </w:r>
      <w:r>
        <w:rPr>
          <w:spacing w:val="-8"/>
        </w:rPr>
        <w:t xml:space="preserve"> </w:t>
      </w:r>
      <w:r>
        <w:rPr>
          <w:spacing w:val="-4"/>
        </w:rPr>
        <w:t xml:space="preserve">ACTEW’s </w:t>
      </w:r>
      <w:r>
        <w:rPr>
          <w:spacing w:val="-3"/>
        </w:rPr>
        <w:t>forecast</w:t>
      </w:r>
      <w:r>
        <w:rPr>
          <w:spacing w:val="-4"/>
        </w:rPr>
        <w:t xml:space="preserve"> </w:t>
      </w:r>
      <w:r>
        <w:rPr>
          <w:spacing w:val="-2"/>
        </w:rPr>
        <w:t>capital</w:t>
      </w:r>
      <w:r>
        <w:rPr>
          <w:spacing w:val="-4"/>
        </w:rPr>
        <w:t xml:space="preserve"> </w:t>
      </w:r>
      <w:r>
        <w:rPr>
          <w:spacing w:val="-3"/>
        </w:rPr>
        <w:t>expenditure</w:t>
      </w:r>
      <w:r>
        <w:rPr>
          <w:spacing w:val="-4"/>
        </w:rPr>
        <w:t xml:space="preserve"> </w:t>
      </w:r>
      <w:r>
        <w:rPr>
          <w:spacing w:val="-1"/>
        </w:rPr>
        <w:t>in</w:t>
      </w:r>
      <w:r>
        <w:rPr>
          <w:spacing w:val="-4"/>
        </w:rPr>
        <w:t xml:space="preserve"> </w:t>
      </w:r>
      <w:r>
        <w:rPr>
          <w:spacing w:val="-2"/>
        </w:rPr>
        <w:t>2016-17</w:t>
      </w:r>
      <w:r>
        <w:rPr>
          <w:spacing w:val="-4"/>
        </w:rPr>
        <w:t xml:space="preserve"> </w:t>
      </w:r>
      <w:r>
        <w:rPr>
          <w:spacing w:val="-2"/>
        </w:rPr>
        <w:t>and</w:t>
      </w:r>
      <w:r>
        <w:rPr>
          <w:spacing w:val="-4"/>
        </w:rPr>
        <w:t xml:space="preserve"> </w:t>
      </w:r>
      <w:r>
        <w:rPr>
          <w:spacing w:val="-2"/>
        </w:rPr>
        <w:t>2017-18</w:t>
      </w:r>
      <w:r>
        <w:rPr>
          <w:spacing w:val="58"/>
        </w:rPr>
        <w:t xml:space="preserve"> </w:t>
      </w:r>
      <w:r>
        <w:rPr>
          <w:spacing w:val="-2"/>
        </w:rPr>
        <w:t>($121</w:t>
      </w:r>
      <w:r>
        <w:rPr>
          <w:spacing w:val="-4"/>
        </w:rPr>
        <w:t xml:space="preserve"> </w:t>
      </w:r>
      <w:r>
        <w:rPr>
          <w:spacing w:val="-2"/>
        </w:rPr>
        <w:t>million</w:t>
      </w:r>
      <w:r>
        <w:rPr>
          <w:spacing w:val="-4"/>
        </w:rPr>
        <w:t xml:space="preserve"> </w:t>
      </w:r>
      <w:r>
        <w:rPr>
          <w:spacing w:val="-1"/>
        </w:rPr>
        <w:t>on</w:t>
      </w:r>
      <w:r>
        <w:rPr>
          <w:spacing w:val="-4"/>
        </w:rPr>
        <w:t xml:space="preserve"> </w:t>
      </w:r>
      <w:r>
        <w:rPr>
          <w:spacing w:val="-3"/>
        </w:rPr>
        <w:t>average</w:t>
      </w:r>
      <w:r>
        <w:rPr>
          <w:spacing w:val="-4"/>
        </w:rPr>
        <w:t xml:space="preserve"> </w:t>
      </w:r>
      <w:r>
        <w:rPr>
          <w:spacing w:val="-2"/>
        </w:rPr>
        <w:t>per</w:t>
      </w:r>
      <w:r>
        <w:rPr>
          <w:spacing w:val="-4"/>
        </w:rPr>
        <w:t xml:space="preserve"> </w:t>
      </w:r>
      <w:r>
        <w:rPr>
          <w:spacing w:val="-2"/>
        </w:rPr>
        <w:t>year</w:t>
      </w:r>
      <w:r>
        <w:rPr>
          <w:spacing w:val="-4"/>
        </w:rPr>
        <w:t xml:space="preserve"> </w:t>
      </w:r>
      <w:r>
        <w:rPr>
          <w:spacing w:val="-2"/>
        </w:rPr>
        <w:t>($2012-13))</w:t>
      </w:r>
      <w:r>
        <w:rPr>
          <w:spacing w:val="-4"/>
        </w:rPr>
        <w:t xml:space="preserve"> </w:t>
      </w:r>
      <w:r>
        <w:rPr>
          <w:spacing w:val="-1"/>
        </w:rPr>
        <w:t>is</w:t>
      </w:r>
      <w:r>
        <w:rPr>
          <w:spacing w:val="-4"/>
        </w:rPr>
        <w:t xml:space="preserve"> </w:t>
      </w:r>
      <w:r>
        <w:rPr>
          <w:spacing w:val="-2"/>
        </w:rPr>
        <w:t>about</w:t>
      </w:r>
      <w:r>
        <w:rPr>
          <w:spacing w:val="-4"/>
        </w:rPr>
        <w:t xml:space="preserve"> </w:t>
      </w:r>
      <w:r>
        <w:rPr>
          <w:spacing w:val="-2"/>
        </w:rPr>
        <w:t>50%</w:t>
      </w:r>
      <w:r>
        <w:rPr>
          <w:spacing w:val="-4"/>
        </w:rPr>
        <w:t xml:space="preserve"> </w:t>
      </w:r>
      <w:r>
        <w:rPr>
          <w:spacing w:val="-2"/>
        </w:rPr>
        <w:t>higher</w:t>
      </w:r>
      <w:r>
        <w:rPr>
          <w:spacing w:val="-4"/>
        </w:rPr>
        <w:t xml:space="preserve"> </w:t>
      </w:r>
      <w:r>
        <w:rPr>
          <w:spacing w:val="-2"/>
        </w:rPr>
        <w:t>than</w:t>
      </w:r>
      <w:r>
        <w:rPr>
          <w:spacing w:val="-4"/>
        </w:rPr>
        <w:t xml:space="preserve"> </w:t>
      </w:r>
      <w:r>
        <w:rPr>
          <w:spacing w:val="-2"/>
        </w:rPr>
        <w:t>the</w:t>
      </w:r>
      <w:r>
        <w:rPr>
          <w:spacing w:val="-4"/>
        </w:rPr>
        <w:t xml:space="preserve"> </w:t>
      </w:r>
      <w:r>
        <w:rPr>
          <w:spacing w:val="-3"/>
        </w:rPr>
        <w:t>forecast</w:t>
      </w:r>
      <w:r>
        <w:rPr>
          <w:spacing w:val="-4"/>
        </w:rPr>
        <w:t xml:space="preserve"> </w:t>
      </w:r>
      <w:r>
        <w:rPr>
          <w:spacing w:val="-3"/>
        </w:rPr>
        <w:t>expenditure</w:t>
      </w:r>
      <w:r>
        <w:rPr>
          <w:spacing w:val="-4"/>
        </w:rPr>
        <w:t xml:space="preserve"> </w:t>
      </w:r>
      <w:r>
        <w:rPr>
          <w:spacing w:val="-1"/>
        </w:rPr>
        <w:t>in</w:t>
      </w:r>
      <w:r>
        <w:rPr>
          <w:spacing w:val="-4"/>
        </w:rPr>
        <w:t xml:space="preserve"> </w:t>
      </w:r>
      <w:r>
        <w:rPr>
          <w:spacing w:val="-2"/>
        </w:rPr>
        <w:t>the</w:t>
      </w:r>
      <w:r>
        <w:rPr>
          <w:spacing w:val="74"/>
        </w:rPr>
        <w:t xml:space="preserve"> </w:t>
      </w:r>
      <w:r>
        <w:rPr>
          <w:spacing w:val="-2"/>
        </w:rPr>
        <w:t>next</w:t>
      </w:r>
      <w:r>
        <w:rPr>
          <w:spacing w:val="-4"/>
        </w:rPr>
        <w:t xml:space="preserve"> </w:t>
      </w:r>
      <w:r>
        <w:rPr>
          <w:spacing w:val="-2"/>
        </w:rPr>
        <w:t>highest</w:t>
      </w:r>
      <w:r>
        <w:rPr>
          <w:spacing w:val="-4"/>
        </w:rPr>
        <w:t xml:space="preserve"> </w:t>
      </w:r>
      <w:r>
        <w:rPr>
          <w:spacing w:val="-2"/>
        </w:rPr>
        <w:t>year</w:t>
      </w:r>
      <w:r>
        <w:rPr>
          <w:spacing w:val="-4"/>
        </w:rPr>
        <w:t xml:space="preserve"> </w:t>
      </w:r>
      <w:r>
        <w:rPr>
          <w:spacing w:val="-2"/>
        </w:rPr>
        <w:t>(2015-16).</w:t>
      </w:r>
      <w:r>
        <w:rPr>
          <w:spacing w:val="-13"/>
        </w:rPr>
        <w:t xml:space="preserve"> </w:t>
      </w:r>
      <w:r>
        <w:rPr>
          <w:spacing w:val="-2"/>
        </w:rPr>
        <w:t>While</w:t>
      </w:r>
      <w:r>
        <w:rPr>
          <w:spacing w:val="-4"/>
        </w:rPr>
        <w:t xml:space="preserve"> </w:t>
      </w:r>
      <w:r>
        <w:rPr>
          <w:spacing w:val="-2"/>
        </w:rPr>
        <w:t>this</w:t>
      </w:r>
      <w:r>
        <w:rPr>
          <w:spacing w:val="-4"/>
        </w:rPr>
        <w:t xml:space="preserve"> </w:t>
      </w:r>
      <w:r>
        <w:rPr>
          <w:spacing w:val="-1"/>
        </w:rPr>
        <w:t>is</w:t>
      </w:r>
      <w:r>
        <w:rPr>
          <w:spacing w:val="-4"/>
        </w:rPr>
        <w:t xml:space="preserve"> </w:t>
      </w:r>
      <w:r>
        <w:t>a</w:t>
      </w:r>
      <w:r>
        <w:rPr>
          <w:spacing w:val="-4"/>
        </w:rPr>
        <w:t xml:space="preserve"> </w:t>
      </w:r>
      <w:r>
        <w:rPr>
          <w:spacing w:val="-2"/>
        </w:rPr>
        <w:t>material</w:t>
      </w:r>
      <w:r>
        <w:rPr>
          <w:spacing w:val="-4"/>
        </w:rPr>
        <w:t xml:space="preserve"> </w:t>
      </w:r>
      <w:r>
        <w:rPr>
          <w:spacing w:val="-3"/>
        </w:rPr>
        <w:t>increase,</w:t>
      </w:r>
      <w:r>
        <w:rPr>
          <w:spacing w:val="-10"/>
        </w:rPr>
        <w:t xml:space="preserve"> </w:t>
      </w:r>
      <w:r>
        <w:rPr>
          <w:spacing w:val="-2"/>
        </w:rPr>
        <w:t>the</w:t>
      </w:r>
      <w:r>
        <w:rPr>
          <w:spacing w:val="-4"/>
        </w:rPr>
        <w:t xml:space="preserve"> Panel </w:t>
      </w:r>
      <w:r>
        <w:rPr>
          <w:spacing w:val="-1"/>
        </w:rPr>
        <w:t>is</w:t>
      </w:r>
      <w:r>
        <w:rPr>
          <w:spacing w:val="-4"/>
        </w:rPr>
        <w:t xml:space="preserve"> </w:t>
      </w:r>
      <w:r>
        <w:rPr>
          <w:spacing w:val="-3"/>
        </w:rPr>
        <w:t>aware</w:t>
      </w:r>
      <w:r>
        <w:rPr>
          <w:spacing w:val="-4"/>
        </w:rPr>
        <w:t xml:space="preserve"> </w:t>
      </w:r>
      <w:r>
        <w:rPr>
          <w:spacing w:val="-2"/>
        </w:rPr>
        <w:t>that</w:t>
      </w:r>
      <w:r>
        <w:rPr>
          <w:spacing w:val="-4"/>
        </w:rPr>
        <w:t xml:space="preserve"> </w:t>
      </w:r>
      <w:r>
        <w:rPr>
          <w:spacing w:val="-1"/>
        </w:rPr>
        <w:t>in</w:t>
      </w:r>
      <w:r>
        <w:rPr>
          <w:spacing w:val="-4"/>
        </w:rPr>
        <w:t xml:space="preserve"> </w:t>
      </w:r>
      <w:r>
        <w:rPr>
          <w:spacing w:val="-2"/>
        </w:rPr>
        <w:t>the</w:t>
      </w:r>
      <w:r>
        <w:rPr>
          <w:spacing w:val="-4"/>
        </w:rPr>
        <w:t xml:space="preserve"> </w:t>
      </w:r>
      <w:r>
        <w:rPr>
          <w:spacing w:val="-2"/>
        </w:rPr>
        <w:t>last</w:t>
      </w:r>
      <w:r>
        <w:rPr>
          <w:spacing w:val="-4"/>
        </w:rPr>
        <w:t xml:space="preserve"> </w:t>
      </w:r>
      <w:r>
        <w:rPr>
          <w:spacing w:val="-3"/>
        </w:rPr>
        <w:t>regulatory</w:t>
      </w:r>
      <w:r>
        <w:rPr>
          <w:spacing w:val="52"/>
        </w:rPr>
        <w:t xml:space="preserve"> </w:t>
      </w:r>
      <w:r>
        <w:rPr>
          <w:spacing w:val="-2"/>
        </w:rPr>
        <w:t>period</w:t>
      </w:r>
      <w:r>
        <w:rPr>
          <w:spacing w:val="-9"/>
        </w:rPr>
        <w:t xml:space="preserve"> </w:t>
      </w:r>
      <w:r>
        <w:rPr>
          <w:spacing w:val="-3"/>
        </w:rPr>
        <w:t>ACTEW</w:t>
      </w:r>
      <w:r>
        <w:rPr>
          <w:spacing w:val="-7"/>
        </w:rPr>
        <w:t xml:space="preserve"> </w:t>
      </w:r>
      <w:r>
        <w:rPr>
          <w:spacing w:val="-3"/>
        </w:rPr>
        <w:t>delivered</w:t>
      </w:r>
      <w:r>
        <w:rPr>
          <w:spacing w:val="-4"/>
        </w:rPr>
        <w:t xml:space="preserve"> </w:t>
      </w:r>
      <w:r>
        <w:rPr>
          <w:spacing w:val="-2"/>
        </w:rPr>
        <w:t>capital</w:t>
      </w:r>
      <w:r>
        <w:rPr>
          <w:spacing w:val="-4"/>
        </w:rPr>
        <w:t xml:space="preserve"> </w:t>
      </w:r>
      <w:r>
        <w:rPr>
          <w:spacing w:val="-3"/>
        </w:rPr>
        <w:t>expenditure</w:t>
      </w:r>
      <w:r>
        <w:rPr>
          <w:spacing w:val="-4"/>
        </w:rPr>
        <w:t xml:space="preserve"> </w:t>
      </w:r>
      <w:r>
        <w:rPr>
          <w:spacing w:val="-2"/>
        </w:rPr>
        <w:t>at</w:t>
      </w:r>
      <w:r>
        <w:rPr>
          <w:spacing w:val="-4"/>
        </w:rPr>
        <w:t xml:space="preserve"> </w:t>
      </w:r>
      <w:r>
        <w:rPr>
          <w:spacing w:val="-1"/>
        </w:rPr>
        <w:t>or</w:t>
      </w:r>
      <w:r>
        <w:rPr>
          <w:spacing w:val="-4"/>
        </w:rPr>
        <w:t xml:space="preserve"> </w:t>
      </w:r>
      <w:r>
        <w:rPr>
          <w:spacing w:val="-1"/>
        </w:rPr>
        <w:t>in</w:t>
      </w:r>
      <w:r>
        <w:rPr>
          <w:spacing w:val="-4"/>
        </w:rPr>
        <w:t xml:space="preserve"> </w:t>
      </w:r>
      <w:r>
        <w:rPr>
          <w:spacing w:val="-3"/>
        </w:rPr>
        <w:t>excess</w:t>
      </w:r>
      <w:r>
        <w:rPr>
          <w:spacing w:val="-4"/>
        </w:rPr>
        <w:t xml:space="preserve"> </w:t>
      </w:r>
      <w:r>
        <w:rPr>
          <w:spacing w:val="-1"/>
        </w:rPr>
        <w:t>of</w:t>
      </w:r>
      <w:r>
        <w:t xml:space="preserve"> </w:t>
      </w:r>
      <w:r>
        <w:rPr>
          <w:spacing w:val="-2"/>
        </w:rPr>
        <w:t>$200</w:t>
      </w:r>
      <w:r>
        <w:rPr>
          <w:spacing w:val="-4"/>
        </w:rPr>
        <w:t xml:space="preserve"> </w:t>
      </w:r>
      <w:r>
        <w:rPr>
          <w:spacing w:val="-2"/>
        </w:rPr>
        <w:t>million</w:t>
      </w:r>
      <w:r>
        <w:rPr>
          <w:spacing w:val="-4"/>
        </w:rPr>
        <w:t xml:space="preserve"> </w:t>
      </w:r>
      <w:r>
        <w:rPr>
          <w:spacing w:val="-1"/>
        </w:rPr>
        <w:t>in</w:t>
      </w:r>
      <w:r>
        <w:rPr>
          <w:spacing w:val="-4"/>
        </w:rPr>
        <w:t xml:space="preserve"> </w:t>
      </w:r>
      <w:r>
        <w:rPr>
          <w:spacing w:val="-2"/>
        </w:rPr>
        <w:t>four</w:t>
      </w:r>
      <w:r>
        <w:rPr>
          <w:spacing w:val="-4"/>
        </w:rPr>
        <w:t xml:space="preserve"> </w:t>
      </w:r>
      <w:r>
        <w:rPr>
          <w:spacing w:val="-2"/>
        </w:rPr>
        <w:t>out</w:t>
      </w:r>
      <w:r>
        <w:rPr>
          <w:spacing w:val="-4"/>
        </w:rPr>
        <w:t xml:space="preserve"> </w:t>
      </w:r>
      <w:r>
        <w:rPr>
          <w:spacing w:val="-1"/>
        </w:rPr>
        <w:t xml:space="preserve">of </w:t>
      </w:r>
      <w:r>
        <w:rPr>
          <w:spacing w:val="-2"/>
        </w:rPr>
        <w:t>the</w:t>
      </w:r>
      <w:r>
        <w:rPr>
          <w:spacing w:val="-4"/>
        </w:rPr>
        <w:t xml:space="preserve"> </w:t>
      </w:r>
      <w:r>
        <w:rPr>
          <w:spacing w:val="-1"/>
        </w:rPr>
        <w:t>fi</w:t>
      </w:r>
      <w:r w:rsidR="00B45286">
        <w:rPr>
          <w:spacing w:val="-1"/>
        </w:rPr>
        <w:t xml:space="preserve">ve </w:t>
      </w:r>
      <w:r>
        <w:rPr>
          <w:spacing w:val="-3"/>
        </w:rPr>
        <w:t>years.</w:t>
      </w:r>
      <w:r>
        <w:rPr>
          <w:spacing w:val="-3"/>
          <w:position w:val="7"/>
          <w:sz w:val="11"/>
          <w:szCs w:val="11"/>
        </w:rPr>
        <w:t>131</w:t>
      </w:r>
      <w:r>
        <w:rPr>
          <w:spacing w:val="80"/>
          <w:w w:val="105"/>
          <w:position w:val="7"/>
          <w:sz w:val="11"/>
          <w:szCs w:val="11"/>
        </w:rPr>
        <w:t xml:space="preserve"> </w:t>
      </w:r>
      <w:r>
        <w:rPr>
          <w:rFonts w:cs="Avenir Next"/>
          <w:spacing w:val="-3"/>
        </w:rPr>
        <w:t>Therefore,</w:t>
      </w:r>
      <w:r>
        <w:rPr>
          <w:rFonts w:cs="Avenir Next"/>
          <w:spacing w:val="-10"/>
        </w:rPr>
        <w:t xml:space="preserve"> </w:t>
      </w:r>
      <w:r>
        <w:rPr>
          <w:rFonts w:cs="Avenir Next"/>
          <w:spacing w:val="-2"/>
        </w:rPr>
        <w:t>the</w:t>
      </w:r>
      <w:r>
        <w:rPr>
          <w:rFonts w:cs="Avenir Next"/>
          <w:spacing w:val="-4"/>
        </w:rPr>
        <w:t xml:space="preserve"> Panel </w:t>
      </w:r>
      <w:r>
        <w:rPr>
          <w:rFonts w:cs="Avenir Next"/>
          <w:spacing w:val="-2"/>
        </w:rPr>
        <w:t>does</w:t>
      </w:r>
      <w:r>
        <w:rPr>
          <w:rFonts w:cs="Avenir Next"/>
          <w:spacing w:val="-4"/>
        </w:rPr>
        <w:t xml:space="preserve"> </w:t>
      </w:r>
      <w:r>
        <w:rPr>
          <w:rFonts w:cs="Avenir Next"/>
          <w:spacing w:val="-2"/>
        </w:rPr>
        <w:t>not</w:t>
      </w:r>
      <w:r>
        <w:rPr>
          <w:rFonts w:cs="Avenir Next"/>
          <w:spacing w:val="-4"/>
        </w:rPr>
        <w:t xml:space="preserve"> </w:t>
      </w:r>
      <w:r>
        <w:rPr>
          <w:rFonts w:cs="Avenir Next"/>
          <w:spacing w:val="-2"/>
        </w:rPr>
        <w:t>consider</w:t>
      </w:r>
      <w:r>
        <w:rPr>
          <w:rFonts w:cs="Avenir Next"/>
          <w:spacing w:val="-4"/>
        </w:rPr>
        <w:t xml:space="preserve"> </w:t>
      </w:r>
      <w:r>
        <w:rPr>
          <w:rFonts w:cs="Avenir Next"/>
          <w:spacing w:val="-2"/>
        </w:rPr>
        <w:t>that</w:t>
      </w:r>
      <w:r>
        <w:rPr>
          <w:rFonts w:cs="Avenir Next"/>
          <w:spacing w:val="-4"/>
        </w:rPr>
        <w:t xml:space="preserve"> </w:t>
      </w:r>
      <w:r>
        <w:rPr>
          <w:rFonts w:cs="Avenir Next"/>
          <w:spacing w:val="-2"/>
        </w:rPr>
        <w:t>the</w:t>
      </w:r>
      <w:r>
        <w:rPr>
          <w:rFonts w:cs="Avenir Next"/>
          <w:spacing w:val="-4"/>
        </w:rPr>
        <w:t xml:space="preserve"> </w:t>
      </w:r>
      <w:r>
        <w:rPr>
          <w:rFonts w:cs="Avenir Next"/>
          <w:spacing w:val="-3"/>
        </w:rPr>
        <w:t>increase</w:t>
      </w:r>
      <w:r>
        <w:rPr>
          <w:rFonts w:cs="Avenir Next"/>
          <w:spacing w:val="-4"/>
        </w:rPr>
        <w:t xml:space="preserve"> </w:t>
      </w:r>
      <w:r>
        <w:rPr>
          <w:rFonts w:cs="Avenir Next"/>
          <w:i/>
          <w:spacing w:val="-2"/>
        </w:rPr>
        <w:t>per</w:t>
      </w:r>
      <w:r>
        <w:rPr>
          <w:rFonts w:cs="Avenir Next"/>
          <w:i/>
          <w:spacing w:val="-4"/>
        </w:rPr>
        <w:t xml:space="preserve"> </w:t>
      </w:r>
      <w:r>
        <w:rPr>
          <w:rFonts w:cs="Avenir Next"/>
          <w:i/>
          <w:spacing w:val="-1"/>
        </w:rPr>
        <w:t>se</w:t>
      </w:r>
      <w:r>
        <w:rPr>
          <w:rFonts w:cs="Avenir Next"/>
          <w:i/>
          <w:spacing w:val="-4"/>
        </w:rPr>
        <w:t xml:space="preserve"> </w:t>
      </w:r>
      <w:r>
        <w:rPr>
          <w:spacing w:val="-1"/>
        </w:rPr>
        <w:t>is</w:t>
      </w:r>
      <w:r>
        <w:rPr>
          <w:spacing w:val="-4"/>
        </w:rPr>
        <w:t xml:space="preserve"> </w:t>
      </w:r>
      <w:r>
        <w:t>a</w:t>
      </w:r>
      <w:r>
        <w:rPr>
          <w:spacing w:val="-4"/>
        </w:rPr>
        <w:t xml:space="preserve"> </w:t>
      </w:r>
      <w:r>
        <w:rPr>
          <w:spacing w:val="-2"/>
        </w:rPr>
        <w:t>good</w:t>
      </w:r>
      <w:r>
        <w:rPr>
          <w:spacing w:val="-4"/>
        </w:rPr>
        <w:t xml:space="preserve"> </w:t>
      </w:r>
      <w:r>
        <w:rPr>
          <w:spacing w:val="-2"/>
        </w:rPr>
        <w:t>indicator</w:t>
      </w:r>
      <w:r>
        <w:rPr>
          <w:spacing w:val="-4"/>
        </w:rPr>
        <w:t xml:space="preserve"> </w:t>
      </w:r>
      <w:r>
        <w:rPr>
          <w:spacing w:val="-1"/>
        </w:rPr>
        <w:t>of</w:t>
      </w:r>
      <w:r>
        <w:t xml:space="preserve"> </w:t>
      </w:r>
      <w:r>
        <w:rPr>
          <w:spacing w:val="-2"/>
        </w:rPr>
        <w:t>delivery</w:t>
      </w:r>
      <w:r>
        <w:rPr>
          <w:spacing w:val="-4"/>
        </w:rPr>
        <w:t xml:space="preserve"> </w:t>
      </w:r>
      <w:r>
        <w:rPr>
          <w:spacing w:val="-2"/>
        </w:rPr>
        <w:t>risk.</w:t>
      </w:r>
    </w:p>
    <w:p w:rsidR="00D96B91" w:rsidRDefault="00C2656B">
      <w:pPr>
        <w:pStyle w:val="BodyText"/>
        <w:spacing w:before="17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w:t>
      </w:r>
      <w:r>
        <w:rPr>
          <w:rFonts w:cs="Avenir Next"/>
          <w:spacing w:val="-1"/>
        </w:rPr>
        <w:t>forecast</w:t>
      </w:r>
      <w:r>
        <w:rPr>
          <w:rFonts w:cs="Avenir Next"/>
        </w:rPr>
        <w:t xml:space="preserve"> capital </w:t>
      </w:r>
      <w:r>
        <w:rPr>
          <w:rFonts w:cs="Avenir Next"/>
          <w:spacing w:val="-1"/>
        </w:rPr>
        <w:t>expenditure</w:t>
      </w:r>
      <w:r>
        <w:rPr>
          <w:rFonts w:cs="Avenir Next"/>
        </w:rPr>
        <w:t xml:space="preserve"> is set out in</w:t>
      </w:r>
      <w:r>
        <w:rPr>
          <w:rFonts w:cs="Avenir Next"/>
          <w:spacing w:val="-5"/>
        </w:rPr>
        <w:t xml:space="preserve"> </w:t>
      </w:r>
      <w:hyperlink w:anchor="_bookmark72" w:history="1">
        <w:r>
          <w:rPr>
            <w:spacing w:val="-4"/>
          </w:rPr>
          <w:t>Table</w:t>
        </w:r>
        <w:r>
          <w:t xml:space="preserve"> 9.11</w:t>
        </w:r>
      </w:hyperlink>
      <w:r>
        <w:t xml:space="preserve"> </w:t>
      </w:r>
      <w:r>
        <w:rPr>
          <w:spacing w:val="-2"/>
        </w:rPr>
        <w:t>below.</w:t>
      </w:r>
    </w:p>
    <w:p w:rsidR="00D96B91" w:rsidRDefault="00C2656B">
      <w:pPr>
        <w:spacing w:before="137"/>
        <w:ind w:left="1247"/>
        <w:rPr>
          <w:rFonts w:ascii="Avenir Next" w:eastAsia="Avenir Next" w:hAnsi="Avenir Next" w:cs="Avenir Next"/>
          <w:sz w:val="20"/>
          <w:szCs w:val="20"/>
        </w:rPr>
      </w:pPr>
      <w:bookmarkStart w:id="119" w:name="_bookmark72"/>
      <w:bookmarkEnd w:id="119"/>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capital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13"/>
        <w:gridCol w:w="1238"/>
        <w:gridCol w:w="1238"/>
        <w:gridCol w:w="1238"/>
        <w:gridCol w:w="1238"/>
        <w:gridCol w:w="1238"/>
      </w:tblGrid>
      <w:tr w:rsidR="00D96B91">
        <w:trPr>
          <w:trHeight w:hRule="exact" w:val="407"/>
        </w:trPr>
        <w:tc>
          <w:tcPr>
            <w:tcW w:w="32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2"/>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2"/>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2"/>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2"/>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2"/>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p>
        </w:tc>
        <w:tc>
          <w:tcPr>
            <w:tcW w:w="12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25.96</w:t>
            </w:r>
          </w:p>
        </w:tc>
        <w:tc>
          <w:tcPr>
            <w:tcW w:w="12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26.99</w:t>
            </w:r>
          </w:p>
        </w:tc>
        <w:tc>
          <w:tcPr>
            <w:tcW w:w="12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24.44</w:t>
            </w:r>
          </w:p>
        </w:tc>
        <w:tc>
          <w:tcPr>
            <w:tcW w:w="12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30.95</w:t>
            </w:r>
          </w:p>
        </w:tc>
        <w:tc>
          <w:tcPr>
            <w:tcW w:w="123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8"/>
              <w:rPr>
                <w:rFonts w:ascii="Avenir Next Condensed" w:eastAsia="Avenir Next Condensed" w:hAnsi="Avenir Next Condensed" w:cs="Avenir Next Condensed"/>
                <w:sz w:val="18"/>
                <w:szCs w:val="18"/>
              </w:rPr>
            </w:pPr>
            <w:r>
              <w:rPr>
                <w:rFonts w:ascii="Avenir Next Condensed"/>
                <w:sz w:val="18"/>
              </w:rPr>
              <w:t>45.94</w:t>
            </w:r>
          </w:p>
        </w:tc>
      </w:tr>
      <w:tr w:rsidR="00D96B91">
        <w:trPr>
          <w:trHeight w:hRule="exact" w:val="417"/>
        </w:trPr>
        <w:tc>
          <w:tcPr>
            <w:tcW w:w="321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pacing w:val="-1"/>
                <w:sz w:val="18"/>
              </w:rPr>
              <w:t>Sewerage</w:t>
            </w:r>
          </w:p>
        </w:tc>
        <w:tc>
          <w:tcPr>
            <w:tcW w:w="12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59"/>
              <w:rPr>
                <w:rFonts w:ascii="Avenir Next Condensed" w:eastAsia="Avenir Next Condensed" w:hAnsi="Avenir Next Condensed" w:cs="Avenir Next Condensed"/>
                <w:sz w:val="18"/>
                <w:szCs w:val="18"/>
              </w:rPr>
            </w:pPr>
            <w:r>
              <w:rPr>
                <w:rFonts w:ascii="Avenir Next Condensed"/>
                <w:sz w:val="18"/>
              </w:rPr>
              <w:t>18.11</w:t>
            </w:r>
          </w:p>
        </w:tc>
        <w:tc>
          <w:tcPr>
            <w:tcW w:w="12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59"/>
              <w:rPr>
                <w:rFonts w:ascii="Avenir Next Condensed" w:eastAsia="Avenir Next Condensed" w:hAnsi="Avenir Next Condensed" w:cs="Avenir Next Condensed"/>
                <w:sz w:val="18"/>
                <w:szCs w:val="18"/>
              </w:rPr>
            </w:pPr>
            <w:r>
              <w:rPr>
                <w:rFonts w:ascii="Avenir Next Condensed"/>
                <w:sz w:val="18"/>
              </w:rPr>
              <w:t>38.23</w:t>
            </w:r>
          </w:p>
        </w:tc>
        <w:tc>
          <w:tcPr>
            <w:tcW w:w="12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59"/>
              <w:rPr>
                <w:rFonts w:ascii="Avenir Next Condensed" w:eastAsia="Avenir Next Condensed" w:hAnsi="Avenir Next Condensed" w:cs="Avenir Next Condensed"/>
                <w:sz w:val="18"/>
                <w:szCs w:val="18"/>
              </w:rPr>
            </w:pPr>
            <w:r>
              <w:rPr>
                <w:rFonts w:ascii="Avenir Next Condensed"/>
                <w:sz w:val="18"/>
              </w:rPr>
              <w:t>65.57</w:t>
            </w:r>
          </w:p>
        </w:tc>
        <w:tc>
          <w:tcPr>
            <w:tcW w:w="12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sz w:val="18"/>
              </w:rPr>
              <w:t>117.78</w:t>
            </w:r>
          </w:p>
        </w:tc>
        <w:tc>
          <w:tcPr>
            <w:tcW w:w="123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59"/>
              <w:rPr>
                <w:rFonts w:ascii="Avenir Next Condensed" w:eastAsia="Avenir Next Condensed" w:hAnsi="Avenir Next Condensed" w:cs="Avenir Next Condensed"/>
                <w:sz w:val="18"/>
                <w:szCs w:val="18"/>
              </w:rPr>
            </w:pPr>
            <w:r>
              <w:rPr>
                <w:rFonts w:ascii="Avenir Next Condensed"/>
                <w:sz w:val="18"/>
              </w:rPr>
              <w:t>76.43</w:t>
            </w:r>
          </w:p>
        </w:tc>
      </w:tr>
      <w:tr w:rsidR="00D96B91">
        <w:trPr>
          <w:trHeight w:hRule="exact" w:val="407"/>
        </w:trPr>
        <w:tc>
          <w:tcPr>
            <w:tcW w:w="321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capital </w:t>
            </w:r>
            <w:r>
              <w:rPr>
                <w:rFonts w:ascii="Avenir Next Condensed"/>
                <w:b/>
                <w:spacing w:val="-1"/>
                <w:sz w:val="18"/>
              </w:rPr>
              <w:t>expenditure</w:t>
            </w:r>
          </w:p>
        </w:tc>
        <w:tc>
          <w:tcPr>
            <w:tcW w:w="12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32"/>
              <w:rPr>
                <w:rFonts w:ascii="Avenir Next Condensed" w:eastAsia="Avenir Next Condensed" w:hAnsi="Avenir Next Condensed" w:cs="Avenir Next Condensed"/>
                <w:sz w:val="18"/>
                <w:szCs w:val="18"/>
              </w:rPr>
            </w:pPr>
            <w:r>
              <w:rPr>
                <w:rFonts w:ascii="Avenir Next Condensed"/>
                <w:b/>
                <w:sz w:val="18"/>
              </w:rPr>
              <w:t>44.07</w:t>
            </w:r>
          </w:p>
        </w:tc>
        <w:tc>
          <w:tcPr>
            <w:tcW w:w="12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32"/>
              <w:rPr>
                <w:rFonts w:ascii="Avenir Next Condensed" w:eastAsia="Avenir Next Condensed" w:hAnsi="Avenir Next Condensed" w:cs="Avenir Next Condensed"/>
                <w:sz w:val="18"/>
                <w:szCs w:val="18"/>
              </w:rPr>
            </w:pPr>
            <w:r>
              <w:rPr>
                <w:rFonts w:ascii="Avenir Next Condensed"/>
                <w:b/>
                <w:sz w:val="18"/>
              </w:rPr>
              <w:t>65.22</w:t>
            </w:r>
          </w:p>
        </w:tc>
        <w:tc>
          <w:tcPr>
            <w:tcW w:w="12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32"/>
              <w:rPr>
                <w:rFonts w:ascii="Avenir Next Condensed" w:eastAsia="Avenir Next Condensed" w:hAnsi="Avenir Next Condensed" w:cs="Avenir Next Condensed"/>
                <w:sz w:val="18"/>
                <w:szCs w:val="18"/>
              </w:rPr>
            </w:pPr>
            <w:r>
              <w:rPr>
                <w:rFonts w:ascii="Avenir Next Condensed"/>
                <w:b/>
                <w:sz w:val="18"/>
              </w:rPr>
              <w:t>90.02</w:t>
            </w:r>
          </w:p>
        </w:tc>
        <w:tc>
          <w:tcPr>
            <w:tcW w:w="12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42"/>
              <w:rPr>
                <w:rFonts w:ascii="Avenir Next Condensed" w:eastAsia="Avenir Next Condensed" w:hAnsi="Avenir Next Condensed" w:cs="Avenir Next Condensed"/>
                <w:sz w:val="18"/>
                <w:szCs w:val="18"/>
              </w:rPr>
            </w:pPr>
            <w:r>
              <w:rPr>
                <w:rFonts w:ascii="Avenir Next Condensed"/>
                <w:b/>
                <w:sz w:val="18"/>
              </w:rPr>
              <w:t>148.73</w:t>
            </w:r>
          </w:p>
        </w:tc>
        <w:tc>
          <w:tcPr>
            <w:tcW w:w="123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43"/>
              <w:rPr>
                <w:rFonts w:ascii="Avenir Next Condensed" w:eastAsia="Avenir Next Condensed" w:hAnsi="Avenir Next Condensed" w:cs="Avenir Next Condensed"/>
                <w:sz w:val="18"/>
                <w:szCs w:val="18"/>
              </w:rPr>
            </w:pPr>
            <w:r>
              <w:rPr>
                <w:rFonts w:ascii="Avenir Next Condensed"/>
                <w:b/>
                <w:sz w:val="18"/>
              </w:rPr>
              <w:t>122.38</w:t>
            </w:r>
          </w:p>
        </w:tc>
      </w:tr>
    </w:tbl>
    <w:p w:rsidR="00D96B91" w:rsidRDefault="00D96B91">
      <w:pPr>
        <w:spacing w:before="7"/>
        <w:rPr>
          <w:rFonts w:ascii="Avenir Next" w:eastAsia="Avenir Next" w:hAnsi="Avenir Next" w:cs="Avenir Next"/>
          <w:b/>
          <w:bCs/>
          <w:sz w:val="6"/>
          <w:szCs w:val="6"/>
        </w:rPr>
      </w:pPr>
    </w:p>
    <w:p w:rsidR="00D96B91" w:rsidRDefault="00C2656B">
      <w:pPr>
        <w:pStyle w:val="BodyText"/>
        <w:spacing w:before="38" w:line="260" w:lineRule="exact"/>
        <w:ind w:right="1256"/>
      </w:pPr>
      <w:r>
        <w:rPr>
          <w:rFonts w:cs="Avenir Next"/>
        </w:rPr>
        <w:t xml:space="preserve">In </w:t>
      </w:r>
      <w:r>
        <w:rPr>
          <w:rFonts w:cs="Avenir Next"/>
          <w:spacing w:val="-1"/>
        </w:rPr>
        <w:t>relation</w:t>
      </w:r>
      <w:r>
        <w:rPr>
          <w:rFonts w:cs="Avenir Next"/>
        </w:rPr>
        <w:t xml:space="preserve"> to the concerns other </w:t>
      </w:r>
      <w:r>
        <w:rPr>
          <w:rFonts w:cs="Avenir Next"/>
          <w:spacing w:val="-1"/>
        </w:rPr>
        <w:t>stakeholders</w:t>
      </w:r>
      <w:r>
        <w:rPr>
          <w:rFonts w:cs="Avenir Next"/>
        </w:rPr>
        <w:t xml:space="preserve"> </w:t>
      </w:r>
      <w:r>
        <w:rPr>
          <w:rFonts w:cs="Avenir Next"/>
          <w:spacing w:val="-1"/>
        </w:rPr>
        <w:t>raised</w:t>
      </w:r>
      <w:r>
        <w:rPr>
          <w:rFonts w:cs="Avenir Next"/>
        </w:rPr>
        <w:t xml:space="preserve"> about</w:t>
      </w:r>
      <w:r>
        <w:rPr>
          <w:rFonts w:cs="Avenir Next"/>
          <w:spacing w:val="-4"/>
        </w:rPr>
        <w:t xml:space="preserve"> </w:t>
      </w:r>
      <w:r>
        <w:rPr>
          <w:rFonts w:cs="Avenir Next"/>
          <w:spacing w:val="-2"/>
        </w:rPr>
        <w:t>ACTEW’s</w:t>
      </w:r>
      <w:r>
        <w:rPr>
          <w:rFonts w:cs="Avenir Next"/>
        </w:rPr>
        <w:t xml:space="preserve"> </w:t>
      </w:r>
      <w:r>
        <w:rPr>
          <w:rFonts w:cs="Avenir Next"/>
          <w:spacing w:val="-1"/>
        </w:rPr>
        <w:t>forecast</w:t>
      </w:r>
      <w:r>
        <w:rPr>
          <w:rFonts w:cs="Avenir Next"/>
        </w:rPr>
        <w:t xml:space="preserve"> capital </w:t>
      </w:r>
      <w:r>
        <w:rPr>
          <w:rFonts w:cs="Avenir Next"/>
          <w:spacing w:val="-1"/>
        </w:rPr>
        <w:t>expenditure,</w:t>
      </w:r>
      <w:r>
        <w:rPr>
          <w:rFonts w:cs="Avenir Next"/>
          <w:spacing w:val="-6"/>
        </w:rPr>
        <w:t xml:space="preserve"> </w:t>
      </w:r>
      <w:r>
        <w:rPr>
          <w:rFonts w:cs="Avenir Next"/>
        </w:rPr>
        <w:t>the</w:t>
      </w:r>
      <w:r>
        <w:rPr>
          <w:rFonts w:cs="Avenir Next"/>
          <w:spacing w:val="49"/>
        </w:rPr>
        <w:t xml:space="preserve"> </w:t>
      </w:r>
      <w:r>
        <w:rPr>
          <w:rFonts w:cs="Avenir Next"/>
          <w:spacing w:val="-3"/>
        </w:rPr>
        <w:t>Panel</w:t>
      </w:r>
      <w:r>
        <w:rPr>
          <w:rFonts w:cs="Avenir Next"/>
        </w:rPr>
        <w:t xml:space="preserve"> notes </w:t>
      </w:r>
      <w:r>
        <w:rPr>
          <w:rFonts w:cs="Avenir Next"/>
          <w:spacing w:val="-1"/>
        </w:rPr>
        <w:t>that</w:t>
      </w:r>
      <w:r>
        <w:rPr>
          <w:rFonts w:cs="Avenir Next"/>
        </w:rPr>
        <w:t xml:space="preserve"> it has made a </w:t>
      </w:r>
      <w:r>
        <w:rPr>
          <w:rFonts w:cs="Avenir Next"/>
          <w:spacing w:val="-2"/>
        </w:rPr>
        <w:t>draft</w:t>
      </w:r>
      <w:r>
        <w:rPr>
          <w:rFonts w:cs="Avenir Next"/>
        </w:rPr>
        <w:t xml:space="preserve"> decision to include an </w:t>
      </w:r>
      <w:r>
        <w:rPr>
          <w:rFonts w:cs="Avenir Next"/>
          <w:i/>
          <w:spacing w:val="-1"/>
        </w:rPr>
        <w:t>ex</w:t>
      </w:r>
      <w:r>
        <w:rPr>
          <w:rFonts w:cs="Avenir Next"/>
          <w:i/>
        </w:rPr>
        <w:t xml:space="preserve"> post </w:t>
      </w:r>
      <w:r>
        <w:rPr>
          <w:rFonts w:cs="Avenir Next"/>
        </w:rPr>
        <w:t xml:space="preserve">capital </w:t>
      </w:r>
      <w:r>
        <w:rPr>
          <w:rFonts w:cs="Avenir Next"/>
          <w:spacing w:val="-1"/>
        </w:rPr>
        <w:t>expenditure</w:t>
      </w:r>
      <w:r>
        <w:rPr>
          <w:rFonts w:cs="Avenir Next"/>
        </w:rPr>
        <w:t xml:space="preserve"> </w:t>
      </w:r>
      <w:r>
        <w:rPr>
          <w:rFonts w:cs="Avenir Next"/>
          <w:spacing w:val="-1"/>
        </w:rPr>
        <w:t>review</w:t>
      </w:r>
      <w:r>
        <w:rPr>
          <w:rFonts w:cs="Avenir Next"/>
        </w:rPr>
        <w:t xml:space="preserve"> in the</w:t>
      </w:r>
      <w:r>
        <w:rPr>
          <w:rFonts w:cs="Avenir Next"/>
          <w:spacing w:val="31"/>
        </w:rPr>
        <w:t xml:space="preserve"> </w:t>
      </w:r>
      <w:r>
        <w:rPr>
          <w:rFonts w:cs="Avenir Next"/>
          <w:spacing w:val="-1"/>
        </w:rPr>
        <w:t>measures</w:t>
      </w:r>
      <w:r>
        <w:rPr>
          <w:rFonts w:cs="Avenir Next"/>
        </w:rPr>
        <w:t xml:space="preserve"> to </w:t>
      </w:r>
      <w:r>
        <w:rPr>
          <w:rFonts w:cs="Avenir Next"/>
          <w:spacing w:val="-1"/>
        </w:rPr>
        <w:t>deal</w:t>
      </w:r>
      <w:r>
        <w:rPr>
          <w:rFonts w:cs="Avenir Next"/>
        </w:rPr>
        <w:t xml:space="preserve"> with </w:t>
      </w:r>
      <w:r>
        <w:rPr>
          <w:rFonts w:cs="Avenir Next"/>
          <w:spacing w:val="-1"/>
        </w:rPr>
        <w:t>expenditure</w:t>
      </w:r>
      <w:r>
        <w:rPr>
          <w:rFonts w:cs="Avenir Next"/>
        </w:rPr>
        <w:t xml:space="preserve"> risk in this </w:t>
      </w:r>
      <w:r>
        <w:rPr>
          <w:rFonts w:cs="Avenir Next"/>
          <w:spacing w:val="-1"/>
        </w:rPr>
        <w:t>regulatory</w:t>
      </w:r>
      <w:r>
        <w:rPr>
          <w:rFonts w:cs="Avenir Next"/>
        </w:rPr>
        <w:t xml:space="preserve"> period (see section </w:t>
      </w:r>
      <w:hyperlink w:anchor="_bookmark40" w:history="1">
        <w:r>
          <w:t>6.5</w:t>
        </w:r>
      </w:hyperlink>
      <w:r>
        <w:t>).</w:t>
      </w:r>
      <w:r>
        <w:rPr>
          <w:spacing w:val="-11"/>
        </w:rPr>
        <w:t xml:space="preserve"> </w:t>
      </w:r>
      <w:r>
        <w:rPr>
          <w:spacing w:val="-1"/>
        </w:rPr>
        <w:t>This</w:t>
      </w:r>
      <w:r>
        <w:t xml:space="preserve"> will </w:t>
      </w:r>
      <w:r>
        <w:rPr>
          <w:spacing w:val="-1"/>
        </w:rPr>
        <w:t>mean</w:t>
      </w:r>
      <w:r>
        <w:t xml:space="preserve"> the</w:t>
      </w:r>
      <w:r>
        <w:rPr>
          <w:spacing w:val="31"/>
        </w:rPr>
        <w:t xml:space="preserve"> </w:t>
      </w:r>
      <w:r>
        <w:rPr>
          <w:rFonts w:cs="Avenir Next"/>
        </w:rPr>
        <w:t xml:space="preserve">ICRC must </w:t>
      </w:r>
      <w:r>
        <w:rPr>
          <w:rFonts w:cs="Avenir Next"/>
          <w:spacing w:val="-1"/>
        </w:rPr>
        <w:t>review</w:t>
      </w:r>
      <w:r>
        <w:rPr>
          <w:rFonts w:cs="Avenir Next"/>
        </w:rPr>
        <w:t xml:space="preserve"> the capital </w:t>
      </w:r>
      <w:r>
        <w:rPr>
          <w:rFonts w:cs="Avenir Next"/>
          <w:spacing w:val="-1"/>
        </w:rPr>
        <w:t>expenditure</w:t>
      </w:r>
      <w:r>
        <w:rPr>
          <w:rFonts w:cs="Avenir Next"/>
          <w:spacing w:val="-4"/>
        </w:rPr>
        <w:t xml:space="preserve"> </w:t>
      </w:r>
      <w:r>
        <w:rPr>
          <w:rFonts w:cs="Avenir Next"/>
          <w:spacing w:val="-2"/>
        </w:rPr>
        <w:t>ACTEW</w:t>
      </w:r>
      <w:r>
        <w:rPr>
          <w:rFonts w:cs="Avenir Next"/>
          <w:spacing w:val="-3"/>
        </w:rPr>
        <w:t xml:space="preserve"> </w:t>
      </w:r>
      <w:r>
        <w:rPr>
          <w:rFonts w:cs="Avenir Next"/>
        </w:rPr>
        <w:t>actually incurs in this period,</w:t>
      </w:r>
      <w:r>
        <w:rPr>
          <w:rFonts w:cs="Avenir Next"/>
          <w:spacing w:val="-6"/>
        </w:rPr>
        <w:t xml:space="preserve"> </w:t>
      </w:r>
      <w:r>
        <w:rPr>
          <w:rFonts w:cs="Avenir Next"/>
        </w:rPr>
        <w:t xml:space="preserve">so only </w:t>
      </w:r>
      <w:r>
        <w:rPr>
          <w:rFonts w:cs="Avenir Next"/>
          <w:spacing w:val="-1"/>
        </w:rPr>
        <w:t>expenditure</w:t>
      </w:r>
      <w:r>
        <w:rPr>
          <w:rFonts w:cs="Avenir Next"/>
        </w:rPr>
        <w:t xml:space="preserve"> it</w:t>
      </w:r>
      <w:r>
        <w:rPr>
          <w:rFonts w:cs="Avenir Next"/>
          <w:spacing w:val="33"/>
        </w:rPr>
        <w:t xml:space="preserve"> </w:t>
      </w:r>
      <w:r>
        <w:t>deems</w:t>
      </w:r>
      <w:r>
        <w:rPr>
          <w:spacing w:val="-1"/>
        </w:rPr>
        <w:t xml:space="preserve"> </w:t>
      </w:r>
      <w:r>
        <w:t>to be prudent</w:t>
      </w:r>
      <w:r>
        <w:rPr>
          <w:spacing w:val="-1"/>
        </w:rPr>
        <w:t xml:space="preserve"> </w:t>
      </w:r>
      <w:r>
        <w:t xml:space="preserve">and </w:t>
      </w:r>
      <w:r>
        <w:rPr>
          <w:spacing w:val="-1"/>
        </w:rPr>
        <w:t>efficient</w:t>
      </w:r>
      <w:r>
        <w:t xml:space="preserve"> is</w:t>
      </w:r>
      <w:r>
        <w:rPr>
          <w:spacing w:val="-1"/>
        </w:rPr>
        <w:t xml:space="preserve"> </w:t>
      </w:r>
      <w:r>
        <w:t>included in opening</w:t>
      </w:r>
      <w:r>
        <w:rPr>
          <w:spacing w:val="-1"/>
        </w:rPr>
        <w:t xml:space="preserve"> </w:t>
      </w:r>
      <w:r>
        <w:t>value of</w:t>
      </w:r>
      <w:r>
        <w:rPr>
          <w:spacing w:val="4"/>
        </w:rPr>
        <w:t xml:space="preserve"> </w:t>
      </w:r>
      <w:r>
        <w:t>the RAB</w:t>
      </w:r>
      <w:r>
        <w:rPr>
          <w:spacing w:val="-1"/>
        </w:rPr>
        <w:t xml:space="preserve"> </w:t>
      </w:r>
      <w:r>
        <w:t xml:space="preserve">for its </w:t>
      </w:r>
      <w:r>
        <w:rPr>
          <w:spacing w:val="-1"/>
        </w:rPr>
        <w:t xml:space="preserve">next </w:t>
      </w:r>
      <w:r>
        <w:t xml:space="preserve">price </w:t>
      </w:r>
      <w:r>
        <w:rPr>
          <w:spacing w:val="-1"/>
        </w:rPr>
        <w:t>direction.</w:t>
      </w:r>
    </w:p>
    <w:p w:rsidR="00D96B91" w:rsidRDefault="00C2656B">
      <w:pPr>
        <w:pStyle w:val="BodyText"/>
        <w:spacing w:before="170" w:line="260" w:lineRule="exact"/>
        <w:ind w:right="1283"/>
      </w:pPr>
      <w:r>
        <w:t>In addition,</w:t>
      </w:r>
      <w:r>
        <w:rPr>
          <w:spacing w:val="-7"/>
        </w:rPr>
        <w:t xml:space="preserve"> </w:t>
      </w:r>
      <w:r>
        <w:t xml:space="preserve">as section </w:t>
      </w:r>
      <w:hyperlink w:anchor="_bookmark32" w:history="1">
        <w:r>
          <w:t>6.3.3</w:t>
        </w:r>
      </w:hyperlink>
      <w:r>
        <w:t xml:space="preserve"> discussed,</w:t>
      </w:r>
      <w:r>
        <w:rPr>
          <w:spacing w:val="-6"/>
        </w:rPr>
        <w:t xml:space="preserve"> </w:t>
      </w:r>
      <w:r>
        <w:t xml:space="preserve">the </w:t>
      </w:r>
      <w:r>
        <w:rPr>
          <w:spacing w:val="-3"/>
        </w:rPr>
        <w:t>Panel</w:t>
      </w:r>
      <w:r>
        <w:t xml:space="preserve"> intends to suggest to the ICRC </w:t>
      </w:r>
      <w:r>
        <w:rPr>
          <w:spacing w:val="-1"/>
        </w:rPr>
        <w:t>that</w:t>
      </w:r>
      <w:r>
        <w:rPr>
          <w:spacing w:val="-4"/>
        </w:rPr>
        <w:t xml:space="preserve"> </w:t>
      </w:r>
      <w:r>
        <w:rPr>
          <w:spacing w:val="-2"/>
        </w:rPr>
        <w:t>ACTEW</w:t>
      </w:r>
      <w:r>
        <w:rPr>
          <w:spacing w:val="-3"/>
        </w:rPr>
        <w:t xml:space="preserve"> </w:t>
      </w:r>
      <w:r>
        <w:t>be</w:t>
      </w:r>
      <w:r>
        <w:rPr>
          <w:spacing w:val="29"/>
        </w:rPr>
        <w:t xml:space="preserve"> </w:t>
      </w:r>
      <w:r>
        <w:rPr>
          <w:spacing w:val="-1"/>
        </w:rPr>
        <w:t>required</w:t>
      </w:r>
      <w:r>
        <w:t xml:space="preserve"> to submit a </w:t>
      </w:r>
      <w:r>
        <w:rPr>
          <w:spacing w:val="-2"/>
        </w:rPr>
        <w:t>report</w:t>
      </w:r>
      <w:r>
        <w:t xml:space="preserve"> to the ICRC </w:t>
      </w:r>
      <w:r>
        <w:rPr>
          <w:spacing w:val="-1"/>
        </w:rPr>
        <w:t>each</w:t>
      </w:r>
      <w:r>
        <w:t xml:space="preserve"> </w:t>
      </w:r>
      <w:r>
        <w:rPr>
          <w:spacing w:val="-3"/>
        </w:rPr>
        <w:t>year,</w:t>
      </w:r>
      <w:r>
        <w:rPr>
          <w:spacing w:val="-6"/>
        </w:rPr>
        <w:t xml:space="preserve"> </w:t>
      </w:r>
      <w:r>
        <w:t xml:space="preserve">which sets out the actual </w:t>
      </w:r>
      <w:r>
        <w:rPr>
          <w:spacing w:val="-1"/>
        </w:rPr>
        <w:t>operating</w:t>
      </w:r>
      <w:r>
        <w:t xml:space="preserve"> and capital</w:t>
      </w:r>
      <w:r>
        <w:rPr>
          <w:spacing w:val="29"/>
        </w:rPr>
        <w:t xml:space="preserve"> </w:t>
      </w:r>
      <w:r>
        <w:rPr>
          <w:spacing w:val="-1"/>
        </w:rPr>
        <w:t xml:space="preserve">expenditure </w:t>
      </w:r>
      <w:r>
        <w:t xml:space="preserve">it </w:t>
      </w:r>
      <w:r>
        <w:rPr>
          <w:spacing w:val="-1"/>
        </w:rPr>
        <w:t xml:space="preserve">incurred </w:t>
      </w:r>
      <w:r>
        <w:t>in</w:t>
      </w:r>
      <w:r>
        <w:rPr>
          <w:spacing w:val="-1"/>
        </w:rPr>
        <w:t xml:space="preserve"> </w:t>
      </w:r>
      <w:r>
        <w:t xml:space="preserve">the </w:t>
      </w:r>
      <w:r>
        <w:rPr>
          <w:spacing w:val="-1"/>
        </w:rPr>
        <w:t xml:space="preserve">previous </w:t>
      </w:r>
      <w:r>
        <w:t xml:space="preserve">financial </w:t>
      </w:r>
      <w:r>
        <w:rPr>
          <w:spacing w:val="-3"/>
        </w:rPr>
        <w:t>year,</w:t>
      </w:r>
      <w:r>
        <w:rPr>
          <w:spacing w:val="-6"/>
        </w:rPr>
        <w:t xml:space="preserve"> </w:t>
      </w:r>
      <w:r>
        <w:t>and</w:t>
      </w:r>
      <w:r>
        <w:rPr>
          <w:spacing w:val="-1"/>
        </w:rPr>
        <w:t xml:space="preserve"> </w:t>
      </w:r>
      <w:r>
        <w:t xml:space="preserve">an </w:t>
      </w:r>
      <w:r>
        <w:rPr>
          <w:spacing w:val="-1"/>
        </w:rPr>
        <w:t xml:space="preserve">explanation </w:t>
      </w:r>
      <w:r>
        <w:t>for</w:t>
      </w:r>
      <w:r>
        <w:rPr>
          <w:spacing w:val="-1"/>
        </w:rPr>
        <w:t xml:space="preserve"> </w:t>
      </w:r>
      <w:r>
        <w:t>any major</w:t>
      </w:r>
      <w:r>
        <w:rPr>
          <w:spacing w:val="-1"/>
        </w:rPr>
        <w:t xml:space="preserve"> deviation</w:t>
      </w:r>
      <w:r>
        <w:t xml:space="preserve"> </w:t>
      </w:r>
      <w:r>
        <w:rPr>
          <w:spacing w:val="-1"/>
        </w:rPr>
        <w:t>from</w:t>
      </w:r>
      <w:r>
        <w:rPr>
          <w:spacing w:val="59"/>
        </w:rPr>
        <w:t xml:space="preserve"> </w:t>
      </w:r>
      <w:r>
        <w:t xml:space="preserve">the </w:t>
      </w:r>
      <w:r>
        <w:rPr>
          <w:spacing w:val="-1"/>
        </w:rPr>
        <w:t>expenditure</w:t>
      </w:r>
      <w:r>
        <w:t xml:space="preserve"> allowances </w:t>
      </w:r>
      <w:r>
        <w:rPr>
          <w:spacing w:val="-1"/>
        </w:rPr>
        <w:t>approved</w:t>
      </w:r>
      <w:r>
        <w:t xml:space="preserve"> in the price </w:t>
      </w:r>
      <w:r>
        <w:rPr>
          <w:spacing w:val="-1"/>
        </w:rPr>
        <w:t>direction.</w:t>
      </w:r>
    </w:p>
    <w:p w:rsidR="00D96B91" w:rsidRDefault="00C2656B">
      <w:pPr>
        <w:pStyle w:val="BodyText"/>
        <w:spacing w:before="170" w:line="260" w:lineRule="exact"/>
        <w:ind w:right="1732"/>
      </w:pPr>
      <w:r>
        <w:rPr>
          <w:rFonts w:cs="Avenir Next"/>
          <w:spacing w:val="-2"/>
        </w:rPr>
        <w:t>The</w:t>
      </w:r>
      <w:r>
        <w:rPr>
          <w:rFonts w:cs="Avenir Next"/>
        </w:rPr>
        <w:t xml:space="preserve"> </w:t>
      </w:r>
      <w:r>
        <w:rPr>
          <w:rFonts w:cs="Avenir Next"/>
          <w:spacing w:val="-3"/>
        </w:rPr>
        <w:t>Panel</w:t>
      </w:r>
      <w:r>
        <w:rPr>
          <w:rFonts w:cs="Avenir Next"/>
        </w:rPr>
        <w:t xml:space="preserve"> considers these </w:t>
      </w:r>
      <w:r>
        <w:rPr>
          <w:rFonts w:cs="Avenir Next"/>
          <w:spacing w:val="-1"/>
        </w:rPr>
        <w:t>requirements</w:t>
      </w:r>
      <w:r>
        <w:rPr>
          <w:rFonts w:cs="Avenir Next"/>
        </w:rPr>
        <w:t xml:space="preserve"> will </w:t>
      </w:r>
      <w:r>
        <w:rPr>
          <w:rFonts w:cs="Avenir Next"/>
          <w:spacing w:val="-1"/>
        </w:rPr>
        <w:t>provide</w:t>
      </w:r>
      <w:r>
        <w:rPr>
          <w:rFonts w:cs="Avenir Next"/>
        </w:rPr>
        <w:t xml:space="preserve"> </w:t>
      </w:r>
      <w:r>
        <w:rPr>
          <w:rFonts w:cs="Avenir Next"/>
          <w:spacing w:val="-1"/>
        </w:rPr>
        <w:t>assurance</w:t>
      </w:r>
      <w:r>
        <w:rPr>
          <w:rFonts w:cs="Avenir Next"/>
        </w:rPr>
        <w:t xml:space="preserve"> to customers </w:t>
      </w:r>
      <w:r>
        <w:rPr>
          <w:rFonts w:cs="Avenir Next"/>
          <w:spacing w:val="-1"/>
        </w:rPr>
        <w:t>that</w:t>
      </w:r>
      <w:r>
        <w:rPr>
          <w:rFonts w:cs="Avenir Next"/>
        </w:rPr>
        <w:t xml:space="preserve"> only prudent</w:t>
      </w:r>
      <w:r>
        <w:rPr>
          <w:rFonts w:cs="Avenir Next"/>
          <w:spacing w:val="39"/>
        </w:rPr>
        <w:t xml:space="preserve"> </w:t>
      </w:r>
      <w:r>
        <w:t>and</w:t>
      </w:r>
      <w:r>
        <w:rPr>
          <w:spacing w:val="-1"/>
        </w:rPr>
        <w:t xml:space="preserve"> efficient</w:t>
      </w:r>
      <w:r>
        <w:t xml:space="preserve"> capital</w:t>
      </w:r>
      <w:r>
        <w:rPr>
          <w:spacing w:val="-1"/>
        </w:rPr>
        <w:t xml:space="preserve"> expenditure</w:t>
      </w:r>
      <w:r>
        <w:t xml:space="preserve"> is</w:t>
      </w:r>
      <w:r>
        <w:rPr>
          <w:spacing w:val="-1"/>
        </w:rPr>
        <w:t xml:space="preserve"> recovered</w:t>
      </w:r>
      <w:r>
        <w:t xml:space="preserve"> </w:t>
      </w:r>
      <w:r>
        <w:rPr>
          <w:spacing w:val="-1"/>
        </w:rPr>
        <w:t>through</w:t>
      </w:r>
      <w:r>
        <w:t xml:space="preserve"> </w:t>
      </w:r>
      <w:r>
        <w:rPr>
          <w:spacing w:val="-1"/>
        </w:rPr>
        <w:t xml:space="preserve">water </w:t>
      </w:r>
      <w:r>
        <w:t xml:space="preserve">and </w:t>
      </w:r>
      <w:r>
        <w:rPr>
          <w:spacing w:val="-1"/>
        </w:rPr>
        <w:t xml:space="preserve">sewerage </w:t>
      </w:r>
      <w:r>
        <w:t>prices and</w:t>
      </w:r>
      <w:r>
        <w:rPr>
          <w:spacing w:val="-1"/>
        </w:rPr>
        <w:t xml:space="preserve"> increase</w:t>
      </w:r>
      <w:r>
        <w:t xml:space="preserve"> the</w:t>
      </w:r>
      <w:r>
        <w:rPr>
          <w:spacing w:val="49"/>
        </w:rPr>
        <w:t xml:space="preserve"> </w:t>
      </w:r>
      <w:r>
        <w:rPr>
          <w:spacing w:val="-1"/>
        </w:rPr>
        <w:t>transparency</w:t>
      </w:r>
      <w:r>
        <w:t xml:space="preserve"> of</w:t>
      </w:r>
      <w:r>
        <w:rPr>
          <w:spacing w:val="1"/>
        </w:rPr>
        <w:t xml:space="preserve"> </w:t>
      </w:r>
      <w:r>
        <w:rPr>
          <w:spacing w:val="-2"/>
        </w:rPr>
        <w:t>ACTEW’s</w:t>
      </w:r>
      <w:r>
        <w:t xml:space="preserve"> actual </w:t>
      </w:r>
      <w:r>
        <w:rPr>
          <w:spacing w:val="-1"/>
        </w:rPr>
        <w:t>expenditure.</w:t>
      </w: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37" style="width:72.5pt;height:.5pt;mso-position-horizontal-relative:char;mso-position-vertical-relative:line" coordsize="1450,10">
            <v:group id="_x0000_s3138" style="position:absolute;left:5;top:5;width:1440;height:2" coordorigin="5,5" coordsize="1440,2">
              <v:shape id="_x0000_s3139"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z w:val="16"/>
        </w:rPr>
        <w:t>ibid.</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Draft</w:t>
      </w:r>
      <w:r>
        <w:rPr>
          <w:rFonts w:ascii="Avenir Next"/>
          <w:sz w:val="16"/>
        </w:rPr>
        <w:t xml:space="preserve"> </w:t>
      </w:r>
      <w:r>
        <w:rPr>
          <w:rFonts w:ascii="Avenir Next"/>
          <w:spacing w:val="-1"/>
          <w:sz w:val="16"/>
        </w:rPr>
        <w:t>Report:</w:t>
      </w:r>
      <w:r>
        <w:rPr>
          <w:rFonts w:ascii="Avenir Next"/>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5"/>
          <w:sz w:val="16"/>
        </w:rPr>
        <w:t xml:space="preserve"> </w:t>
      </w:r>
      <w:r>
        <w:rPr>
          <w:rFonts w:ascii="Avenir Next"/>
          <w:spacing w:val="-1"/>
          <w:sz w:val="16"/>
        </w:rPr>
        <w:t>February</w:t>
      </w:r>
      <w:r>
        <w:rPr>
          <w:rFonts w:ascii="Avenir Next"/>
          <w:sz w:val="16"/>
        </w:rPr>
        <w:t xml:space="preserv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26.</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4"/>
        <w:tabs>
          <w:tab w:val="left" w:pos="2040"/>
        </w:tabs>
        <w:spacing w:before="9"/>
      </w:pPr>
      <w:bookmarkStart w:id="120" w:name="9._4_Depreciation"/>
      <w:bookmarkStart w:id="121" w:name="_bookmark73"/>
      <w:bookmarkEnd w:id="120"/>
      <w:bookmarkEnd w:id="121"/>
      <w:r>
        <w:rPr>
          <w:color w:val="0778BE"/>
        </w:rPr>
        <w:t>9.</w:t>
      </w:r>
      <w:r>
        <w:rPr>
          <w:color w:val="0778BE"/>
          <w:spacing w:val="-9"/>
        </w:rPr>
        <w:t xml:space="preserve"> </w:t>
      </w:r>
      <w:r>
        <w:rPr>
          <w:color w:val="0778BE"/>
        </w:rPr>
        <w:t>4</w:t>
      </w:r>
      <w:r>
        <w:rPr>
          <w:color w:val="0778BE"/>
        </w:rPr>
        <w:tab/>
      </w:r>
      <w:r>
        <w:rPr>
          <w:color w:val="0778BE"/>
          <w:spacing w:val="-1"/>
        </w:rPr>
        <w:t>Depreciation</w:t>
      </w:r>
    </w:p>
    <w:p w:rsidR="00D96B91" w:rsidRDefault="00C2656B">
      <w:pPr>
        <w:pStyle w:val="BodyText"/>
        <w:spacing w:before="55" w:line="260" w:lineRule="exact"/>
        <w:ind w:right="1256"/>
      </w:pPr>
      <w:r>
        <w:t xml:space="preserve">Under the building block </w:t>
      </w:r>
      <w:r>
        <w:rPr>
          <w:spacing w:val="-1"/>
        </w:rPr>
        <w:t>methodology,</w:t>
      </w:r>
      <w:r>
        <w:rPr>
          <w:spacing w:val="-6"/>
        </w:rPr>
        <w:t xml:space="preserve"> </w:t>
      </w:r>
      <w:r>
        <w:t xml:space="preserve">the </w:t>
      </w:r>
      <w:r>
        <w:rPr>
          <w:spacing w:val="-1"/>
        </w:rPr>
        <w:t>depreciation</w:t>
      </w:r>
      <w:r>
        <w:t xml:space="preserve"> allowance allows the </w:t>
      </w:r>
      <w:r>
        <w:rPr>
          <w:spacing w:val="-1"/>
        </w:rPr>
        <w:t>regulated</w:t>
      </w:r>
      <w:r>
        <w:t xml:space="preserve"> business to</w:t>
      </w:r>
      <w:r>
        <w:rPr>
          <w:spacing w:val="25"/>
        </w:rPr>
        <w:t xml:space="preserve"> </w:t>
      </w:r>
      <w:r>
        <w:rPr>
          <w:spacing w:val="-1"/>
        </w:rPr>
        <w:t>recover</w:t>
      </w:r>
      <w:r>
        <w:t xml:space="preserve"> its investment in the assets used in the </w:t>
      </w:r>
      <w:r>
        <w:rPr>
          <w:spacing w:val="-1"/>
        </w:rPr>
        <w:t>provision</w:t>
      </w:r>
      <w:r>
        <w:t xml:space="preserve"> of</w:t>
      </w:r>
      <w:r>
        <w:rPr>
          <w:spacing w:val="4"/>
        </w:rPr>
        <w:t xml:space="preserve"> </w:t>
      </w:r>
      <w:r>
        <w:rPr>
          <w:spacing w:val="-1"/>
        </w:rPr>
        <w:t>regulated</w:t>
      </w:r>
      <w:r>
        <w:t xml:space="preserve"> services over the economic life of</w:t>
      </w:r>
      <w:r>
        <w:rPr>
          <w:spacing w:val="21"/>
        </w:rPr>
        <w:t xml:space="preserve"> </w:t>
      </w:r>
      <w:r>
        <w:t>the assets.</w:t>
      </w:r>
      <w:r>
        <w:rPr>
          <w:spacing w:val="-6"/>
        </w:rPr>
        <w:t xml:space="preserve"> </w:t>
      </w:r>
      <w:r>
        <w:rPr>
          <w:spacing w:val="-1"/>
        </w:rPr>
        <w:t>Regulators</w:t>
      </w:r>
      <w:r>
        <w:t xml:space="preserve"> usually determine the value of</w:t>
      </w:r>
      <w:r>
        <w:rPr>
          <w:spacing w:val="4"/>
        </w:rPr>
        <w:t xml:space="preserve"> </w:t>
      </w:r>
      <w:r>
        <w:t xml:space="preserve">this building block having </w:t>
      </w:r>
      <w:r>
        <w:rPr>
          <w:spacing w:val="-2"/>
        </w:rPr>
        <w:t>regard</w:t>
      </w:r>
      <w:r>
        <w:t xml:space="preserve"> to:</w:t>
      </w:r>
    </w:p>
    <w:p w:rsidR="00D96B91" w:rsidRDefault="00C2656B">
      <w:pPr>
        <w:pStyle w:val="BodyText"/>
        <w:numPr>
          <w:ilvl w:val="0"/>
          <w:numId w:val="131"/>
        </w:numPr>
        <w:tabs>
          <w:tab w:val="left" w:pos="1531"/>
        </w:tabs>
        <w:spacing w:before="178"/>
        <w:ind w:hanging="283"/>
        <w:rPr>
          <w:rFonts w:cs="Avenir Next"/>
        </w:rPr>
      </w:pPr>
      <w:r>
        <w:t>the value of</w:t>
      </w:r>
      <w:r>
        <w:rPr>
          <w:spacing w:val="4"/>
        </w:rPr>
        <w:t xml:space="preserve"> </w:t>
      </w:r>
      <w:r>
        <w:t xml:space="preserve">the various asset classes </w:t>
      </w:r>
      <w:r>
        <w:rPr>
          <w:spacing w:val="-1"/>
        </w:rPr>
        <w:t>that</w:t>
      </w:r>
      <w:r>
        <w:t xml:space="preserve"> comprise the RAB</w:t>
      </w:r>
    </w:p>
    <w:p w:rsidR="00D96B91" w:rsidRDefault="00C2656B">
      <w:pPr>
        <w:pStyle w:val="BodyText"/>
        <w:numPr>
          <w:ilvl w:val="0"/>
          <w:numId w:val="131"/>
        </w:numPr>
        <w:tabs>
          <w:tab w:val="left" w:pos="1531"/>
        </w:tabs>
        <w:spacing w:before="64" w:line="260" w:lineRule="exact"/>
        <w:ind w:right="1582" w:hanging="283"/>
        <w:rPr>
          <w:rFonts w:cs="Avenir Next"/>
        </w:rPr>
      </w:pPr>
      <w:r>
        <w:t>the</w:t>
      </w:r>
      <w:r>
        <w:rPr>
          <w:spacing w:val="-1"/>
        </w:rPr>
        <w:t xml:space="preserve"> depreciation</w:t>
      </w:r>
      <w:r>
        <w:t xml:space="preserve"> </w:t>
      </w:r>
      <w:r>
        <w:rPr>
          <w:spacing w:val="-1"/>
        </w:rPr>
        <w:t>profile</w:t>
      </w:r>
      <w:r>
        <w:t xml:space="preserve"> assumed</w:t>
      </w:r>
      <w:r>
        <w:rPr>
          <w:spacing w:val="-1"/>
        </w:rPr>
        <w:t xml:space="preserve"> </w:t>
      </w:r>
      <w:r>
        <w:t xml:space="preserve">for the </w:t>
      </w:r>
      <w:r>
        <w:rPr>
          <w:spacing w:val="-1"/>
        </w:rPr>
        <w:t>recovery</w:t>
      </w:r>
      <w:r>
        <w:t xml:space="preserve"> of</w:t>
      </w:r>
      <w:r>
        <w:rPr>
          <w:spacing w:val="3"/>
        </w:rPr>
        <w:t xml:space="preserve"> </w:t>
      </w:r>
      <w:r>
        <w:t>capital (eg,</w:t>
      </w:r>
      <w:r>
        <w:rPr>
          <w:spacing w:val="-6"/>
        </w:rPr>
        <w:t xml:space="preserve"> </w:t>
      </w:r>
      <w:r>
        <w:rPr>
          <w:spacing w:val="-1"/>
        </w:rPr>
        <w:t xml:space="preserve">straight </w:t>
      </w:r>
      <w:r>
        <w:t>line,</w:t>
      </w:r>
      <w:r>
        <w:rPr>
          <w:spacing w:val="-6"/>
        </w:rPr>
        <w:t xml:space="preserve"> </w:t>
      </w:r>
      <w:r>
        <w:rPr>
          <w:spacing w:val="-1"/>
        </w:rPr>
        <w:t>front-end</w:t>
      </w:r>
      <w:r>
        <w:t xml:space="preserve"> loaded or</w:t>
      </w:r>
      <w:r>
        <w:rPr>
          <w:spacing w:val="47"/>
        </w:rPr>
        <w:t xml:space="preserve"> </w:t>
      </w:r>
      <w:r>
        <w:rPr>
          <w:spacing w:val="-1"/>
        </w:rPr>
        <w:t>back-end</w:t>
      </w:r>
      <w:r>
        <w:rPr>
          <w:spacing w:val="5"/>
        </w:rPr>
        <w:t xml:space="preserve"> </w:t>
      </w:r>
      <w:r>
        <w:t>loaded),</w:t>
      </w:r>
      <w:r>
        <w:rPr>
          <w:position w:val="7"/>
          <w:sz w:val="11"/>
        </w:rPr>
        <w:t xml:space="preserve">132 </w:t>
      </w:r>
      <w:r>
        <w:rPr>
          <w:spacing w:val="1"/>
          <w:position w:val="7"/>
          <w:sz w:val="11"/>
        </w:rPr>
        <w:t xml:space="preserve"> </w:t>
      </w:r>
      <w:r>
        <w:t>and</w:t>
      </w:r>
    </w:p>
    <w:p w:rsidR="00D96B91" w:rsidRDefault="00C2656B">
      <w:pPr>
        <w:pStyle w:val="BodyText"/>
        <w:numPr>
          <w:ilvl w:val="0"/>
          <w:numId w:val="131"/>
        </w:numPr>
        <w:tabs>
          <w:tab w:val="left" w:pos="1531"/>
        </w:tabs>
        <w:spacing w:before="85" w:line="260" w:lineRule="exact"/>
        <w:ind w:right="1680" w:hanging="283"/>
      </w:pPr>
      <w:r>
        <w:t>the economic</w:t>
      </w:r>
      <w:r>
        <w:rPr>
          <w:spacing w:val="1"/>
        </w:rPr>
        <w:t xml:space="preserve"> </w:t>
      </w:r>
      <w:r>
        <w:t>lives</w:t>
      </w:r>
      <w:r>
        <w:rPr>
          <w:position w:val="7"/>
          <w:sz w:val="11"/>
        </w:rPr>
        <w:t>133</w:t>
      </w:r>
      <w:r>
        <w:rPr>
          <w:spacing w:val="23"/>
          <w:position w:val="7"/>
          <w:sz w:val="11"/>
        </w:rPr>
        <w:t xml:space="preserve"> </w:t>
      </w:r>
      <w:r>
        <w:t>of</w:t>
      </w:r>
      <w:r>
        <w:rPr>
          <w:spacing w:val="4"/>
        </w:rPr>
        <w:t xml:space="preserve"> </w:t>
      </w:r>
      <w:r>
        <w:t>the</w:t>
      </w:r>
      <w:r>
        <w:rPr>
          <w:spacing w:val="1"/>
        </w:rPr>
        <w:t xml:space="preserve"> </w:t>
      </w:r>
      <w:r>
        <w:t>assets</w:t>
      </w:r>
      <w:r>
        <w:rPr>
          <w:spacing w:val="1"/>
        </w:rPr>
        <w:t xml:space="preserve"> </w:t>
      </w:r>
      <w:r>
        <w:t>used in</w:t>
      </w:r>
      <w:r>
        <w:rPr>
          <w:spacing w:val="1"/>
        </w:rPr>
        <w:t xml:space="preserve"> </w:t>
      </w:r>
      <w:r>
        <w:t xml:space="preserve">the </w:t>
      </w:r>
      <w:r>
        <w:rPr>
          <w:spacing w:val="-1"/>
        </w:rPr>
        <w:t>provision</w:t>
      </w:r>
      <w:r>
        <w:rPr>
          <w:spacing w:val="1"/>
        </w:rPr>
        <w:t xml:space="preserve"> </w:t>
      </w:r>
      <w:r>
        <w:t>of</w:t>
      </w:r>
      <w:r>
        <w:rPr>
          <w:spacing w:val="5"/>
        </w:rPr>
        <w:t xml:space="preserve"> </w:t>
      </w:r>
      <w:r>
        <w:t xml:space="preserve">services </w:t>
      </w:r>
      <w:r>
        <w:rPr>
          <w:spacing w:val="-1"/>
        </w:rPr>
        <w:t>(referred</w:t>
      </w:r>
      <w:r>
        <w:rPr>
          <w:spacing w:val="1"/>
        </w:rPr>
        <w:t xml:space="preserve"> </w:t>
      </w:r>
      <w:r>
        <w:t>to as</w:t>
      </w:r>
      <w:r>
        <w:rPr>
          <w:spacing w:val="1"/>
        </w:rPr>
        <w:t xml:space="preserve"> </w:t>
      </w:r>
      <w:r>
        <w:t>the</w:t>
      </w:r>
      <w:r>
        <w:rPr>
          <w:spacing w:val="1"/>
        </w:rPr>
        <w:t xml:space="preserve"> </w:t>
      </w:r>
      <w:r>
        <w:rPr>
          <w:spacing w:val="-1"/>
        </w:rPr>
        <w:t>remaining</w:t>
      </w:r>
      <w:r>
        <w:rPr>
          <w:spacing w:val="23"/>
        </w:rPr>
        <w:t xml:space="preserve"> </w:t>
      </w:r>
      <w:r>
        <w:t xml:space="preserve">economic life for </w:t>
      </w:r>
      <w:r>
        <w:rPr>
          <w:spacing w:val="-1"/>
        </w:rPr>
        <w:t>existing</w:t>
      </w:r>
      <w:r>
        <w:t xml:space="preserve"> assets and </w:t>
      </w:r>
      <w:r>
        <w:rPr>
          <w:spacing w:val="-1"/>
        </w:rPr>
        <w:t>standard</w:t>
      </w:r>
      <w:r>
        <w:t xml:space="preserve"> economic life for new assets).</w:t>
      </w:r>
    </w:p>
    <w:p w:rsidR="00D96B91" w:rsidRDefault="00D96B91">
      <w:pPr>
        <w:spacing w:before="8"/>
        <w:rPr>
          <w:rFonts w:ascii="Avenir Next" w:eastAsia="Avenir Next" w:hAnsi="Avenir Next" w:cs="Avenir Next"/>
          <w:sz w:val="24"/>
          <w:szCs w:val="24"/>
        </w:rPr>
      </w:pPr>
    </w:p>
    <w:p w:rsidR="00D96B91" w:rsidRDefault="00C2656B">
      <w:pPr>
        <w:pStyle w:val="Heading6"/>
        <w:numPr>
          <w:ilvl w:val="2"/>
          <w:numId w:val="70"/>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1" w:line="260" w:lineRule="exact"/>
        <w:ind w:right="1548"/>
        <w:rPr>
          <w:rFonts w:cs="Avenir Next"/>
        </w:rPr>
      </w:pPr>
      <w:r>
        <w:t>In</w:t>
      </w:r>
      <w:r>
        <w:rPr>
          <w:spacing w:val="-1"/>
        </w:rPr>
        <w:t xml:space="preserve"> </w:t>
      </w:r>
      <w:r>
        <w:t>its</w:t>
      </w:r>
      <w:r>
        <w:rPr>
          <w:spacing w:val="-1"/>
        </w:rPr>
        <w:t xml:space="preserve"> </w:t>
      </w:r>
      <w:r>
        <w:t>final decision,</w:t>
      </w:r>
      <w:r>
        <w:rPr>
          <w:spacing w:val="-7"/>
        </w:rPr>
        <w:t xml:space="preserve"> </w:t>
      </w:r>
      <w:r>
        <w:t>the ICRC</w:t>
      </w:r>
      <w:r>
        <w:rPr>
          <w:spacing w:val="-1"/>
        </w:rPr>
        <w:t xml:space="preserve"> </w:t>
      </w:r>
      <w:r>
        <w:t>adopted a</w:t>
      </w:r>
      <w:r>
        <w:rPr>
          <w:spacing w:val="-1"/>
        </w:rPr>
        <w:t xml:space="preserve"> straight</w:t>
      </w:r>
      <w:r>
        <w:t xml:space="preserve"> line</w:t>
      </w:r>
      <w:r>
        <w:rPr>
          <w:spacing w:val="-1"/>
        </w:rPr>
        <w:t xml:space="preserve"> deprecation profile</w:t>
      </w:r>
      <w:r>
        <w:t xml:space="preserve"> and</w:t>
      </w:r>
      <w:r>
        <w:rPr>
          <w:spacing w:val="-1"/>
        </w:rPr>
        <w:t xml:space="preserve"> calculated</w:t>
      </w:r>
      <w:r>
        <w:t xml:space="preserve"> </w:t>
      </w:r>
      <w:r>
        <w:rPr>
          <w:spacing w:val="-1"/>
        </w:rPr>
        <w:t>separate</w:t>
      </w:r>
      <w:r>
        <w:rPr>
          <w:spacing w:val="49"/>
        </w:rPr>
        <w:t xml:space="preserve"> </w:t>
      </w:r>
      <w:r>
        <w:rPr>
          <w:spacing w:val="-1"/>
        </w:rPr>
        <w:t>depreciation</w:t>
      </w:r>
      <w:r>
        <w:t xml:space="preserve"> allowances for the </w:t>
      </w:r>
      <w:r>
        <w:rPr>
          <w:spacing w:val="-3"/>
        </w:rPr>
        <w:t>ECD,</w:t>
      </w:r>
      <w:r>
        <w:rPr>
          <w:spacing w:val="-6"/>
        </w:rPr>
        <w:t xml:space="preserve"> </w:t>
      </w:r>
      <w:r>
        <w:t xml:space="preserve">non-ECD </w:t>
      </w:r>
      <w:r>
        <w:rPr>
          <w:spacing w:val="-1"/>
        </w:rPr>
        <w:t>water</w:t>
      </w:r>
      <w:r>
        <w:t xml:space="preserve"> assets (new and </w:t>
      </w:r>
      <w:r>
        <w:rPr>
          <w:spacing w:val="-1"/>
        </w:rPr>
        <w:t>existing</w:t>
      </w:r>
      <w:r>
        <w:t xml:space="preserve"> assets) and </w:t>
      </w:r>
      <w:r>
        <w:rPr>
          <w:spacing w:val="-1"/>
        </w:rPr>
        <w:t>sewerage</w:t>
      </w:r>
      <w:r>
        <w:rPr>
          <w:spacing w:val="45"/>
        </w:rPr>
        <w:t xml:space="preserve"> </w:t>
      </w:r>
      <w:r>
        <w:t xml:space="preserve">assets (new and </w:t>
      </w:r>
      <w:r>
        <w:rPr>
          <w:spacing w:val="-1"/>
        </w:rPr>
        <w:t>existing</w:t>
      </w:r>
      <w:r>
        <w:t xml:space="preserve"> assets).</w:t>
      </w:r>
      <w:r>
        <w:rPr>
          <w:spacing w:val="-11"/>
        </w:rPr>
        <w:t xml:space="preserve"> </w:t>
      </w:r>
      <w:r>
        <w:rPr>
          <w:spacing w:val="-2"/>
        </w:rPr>
        <w:t>The</w:t>
      </w:r>
      <w:r>
        <w:t xml:space="preserve"> </w:t>
      </w:r>
      <w:r>
        <w:rPr>
          <w:spacing w:val="-1"/>
        </w:rPr>
        <w:t>depreciation</w:t>
      </w:r>
      <w:r>
        <w:t xml:space="preserve"> allowances for these </w:t>
      </w:r>
      <w:r>
        <w:rPr>
          <w:spacing w:val="-1"/>
        </w:rPr>
        <w:t>three</w:t>
      </w:r>
      <w:r>
        <w:t xml:space="preserve"> asset </w:t>
      </w:r>
      <w:r>
        <w:rPr>
          <w:spacing w:val="-1"/>
        </w:rPr>
        <w:t>categories</w:t>
      </w:r>
      <w:r>
        <w:t xml:space="preserve"> </w:t>
      </w:r>
      <w:r>
        <w:rPr>
          <w:spacing w:val="-1"/>
        </w:rPr>
        <w:t>were</w:t>
      </w:r>
      <w:r>
        <w:rPr>
          <w:spacing w:val="47"/>
        </w:rPr>
        <w:t xml:space="preserve"> </w:t>
      </w:r>
      <w:r>
        <w:rPr>
          <w:spacing w:val="-1"/>
        </w:rPr>
        <w:t>calculated</w:t>
      </w:r>
      <w:r>
        <w:t xml:space="preserve"> by dividing:</w:t>
      </w:r>
    </w:p>
    <w:p w:rsidR="00D96B91" w:rsidRDefault="00C2656B">
      <w:pPr>
        <w:pStyle w:val="BodyText"/>
        <w:numPr>
          <w:ilvl w:val="0"/>
          <w:numId w:val="131"/>
        </w:numPr>
        <w:tabs>
          <w:tab w:val="left" w:pos="1531"/>
        </w:tabs>
        <w:spacing w:before="178"/>
        <w:ind w:hanging="283"/>
        <w:rPr>
          <w:rFonts w:cs="Avenir Next"/>
        </w:rPr>
      </w:pPr>
      <w:r>
        <w:t>the value of</w:t>
      </w:r>
      <w:r>
        <w:rPr>
          <w:spacing w:val="4"/>
        </w:rPr>
        <w:t xml:space="preserve"> </w:t>
      </w:r>
      <w:r>
        <w:t xml:space="preserve">these </w:t>
      </w:r>
      <w:r>
        <w:rPr>
          <w:spacing w:val="-1"/>
        </w:rPr>
        <w:t>three</w:t>
      </w:r>
      <w:r>
        <w:t xml:space="preserve"> asset </w:t>
      </w:r>
      <w:r>
        <w:rPr>
          <w:spacing w:val="-1"/>
        </w:rPr>
        <w:t>categories</w:t>
      </w:r>
      <w:r>
        <w:t xml:space="preserve"> in </w:t>
      </w:r>
      <w:r>
        <w:rPr>
          <w:spacing w:val="-1"/>
        </w:rPr>
        <w:t>each</w:t>
      </w:r>
      <w:r>
        <w:t xml:space="preserve"> </w:t>
      </w:r>
      <w:r>
        <w:rPr>
          <w:spacing w:val="-1"/>
        </w:rPr>
        <w:t>year</w:t>
      </w:r>
      <w:r>
        <w:t xml:space="preserve"> of</w:t>
      </w:r>
      <w:r>
        <w:rPr>
          <w:spacing w:val="4"/>
        </w:rPr>
        <w:t xml:space="preserve"> </w:t>
      </w:r>
      <w:r>
        <w:t xml:space="preserve">the </w:t>
      </w:r>
      <w:r>
        <w:rPr>
          <w:spacing w:val="-1"/>
        </w:rPr>
        <w:t>regulatory</w:t>
      </w:r>
      <w:r>
        <w:t xml:space="preserve"> period,</w:t>
      </w:r>
      <w:r>
        <w:rPr>
          <w:spacing w:val="-7"/>
        </w:rPr>
        <w:t xml:space="preserve"> </w:t>
      </w:r>
      <w:r>
        <w:rPr>
          <w:i/>
        </w:rPr>
        <w:t>by</w:t>
      </w:r>
    </w:p>
    <w:p w:rsidR="00D96B91" w:rsidRDefault="00C2656B">
      <w:pPr>
        <w:pStyle w:val="BodyText"/>
        <w:numPr>
          <w:ilvl w:val="0"/>
          <w:numId w:val="131"/>
        </w:numPr>
        <w:tabs>
          <w:tab w:val="left" w:pos="1531"/>
        </w:tabs>
        <w:spacing w:before="72" w:line="427" w:lineRule="auto"/>
        <w:ind w:left="1247" w:right="3047" w:firstLine="0"/>
      </w:pPr>
      <w:r>
        <w:t>a notional</w:t>
      </w:r>
      <w:r>
        <w:rPr>
          <w:spacing w:val="1"/>
        </w:rPr>
        <w:t xml:space="preserve"> </w:t>
      </w:r>
      <w:r>
        <w:rPr>
          <w:spacing w:val="-1"/>
        </w:rPr>
        <w:t>estimate</w:t>
      </w:r>
      <w:r>
        <w:rPr>
          <w:spacing w:val="1"/>
        </w:rPr>
        <w:t xml:space="preserve"> </w:t>
      </w:r>
      <w:r>
        <w:t>of</w:t>
      </w:r>
      <w:r>
        <w:rPr>
          <w:spacing w:val="5"/>
        </w:rPr>
        <w:t xml:space="preserve"> </w:t>
      </w:r>
      <w:r>
        <w:t>the</w:t>
      </w:r>
      <w:r>
        <w:rPr>
          <w:spacing w:val="1"/>
        </w:rPr>
        <w:t xml:space="preserve"> </w:t>
      </w:r>
      <w:r>
        <w:rPr>
          <w:spacing w:val="-1"/>
        </w:rPr>
        <w:t>remaining</w:t>
      </w:r>
      <w:r>
        <w:t xml:space="preserve"> and</w:t>
      </w:r>
      <w:r>
        <w:rPr>
          <w:spacing w:val="1"/>
        </w:rPr>
        <w:t xml:space="preserve"> </w:t>
      </w:r>
      <w:r>
        <w:rPr>
          <w:spacing w:val="-1"/>
        </w:rPr>
        <w:t>standard</w:t>
      </w:r>
      <w:r>
        <w:rPr>
          <w:spacing w:val="1"/>
        </w:rPr>
        <w:t xml:space="preserve"> </w:t>
      </w:r>
      <w:r>
        <w:t>lives</w:t>
      </w:r>
      <w:r>
        <w:rPr>
          <w:spacing w:val="1"/>
        </w:rPr>
        <w:t xml:space="preserve"> </w:t>
      </w:r>
      <w:r>
        <w:t>of</w:t>
      </w:r>
      <w:r>
        <w:rPr>
          <w:spacing w:val="5"/>
        </w:rPr>
        <w:t xml:space="preserve"> </w:t>
      </w:r>
      <w:r>
        <w:rPr>
          <w:spacing w:val="-1"/>
        </w:rPr>
        <w:t>each</w:t>
      </w:r>
      <w:r>
        <w:t xml:space="preserve"> asset</w:t>
      </w:r>
      <w:r>
        <w:rPr>
          <w:spacing w:val="1"/>
        </w:rPr>
        <w:t xml:space="preserve"> </w:t>
      </w:r>
      <w:r>
        <w:rPr>
          <w:spacing w:val="-1"/>
        </w:rPr>
        <w:t>category.</w:t>
      </w:r>
      <w:r>
        <w:rPr>
          <w:spacing w:val="-1"/>
          <w:position w:val="7"/>
          <w:sz w:val="11"/>
          <w:szCs w:val="11"/>
        </w:rPr>
        <w:t>134</w:t>
      </w:r>
      <w:r>
        <w:rPr>
          <w:spacing w:val="39"/>
          <w:w w:val="105"/>
          <w:position w:val="7"/>
          <w:sz w:val="11"/>
          <w:szCs w:val="11"/>
        </w:rPr>
        <w:t xml:space="preserve"> </w:t>
      </w:r>
      <w:hyperlink w:anchor="_bookmark74" w:history="1">
        <w:r>
          <w:rPr>
            <w:spacing w:val="-4"/>
          </w:rPr>
          <w:t>Table</w:t>
        </w:r>
        <w:r>
          <w:rPr>
            <w:spacing w:val="-1"/>
          </w:rPr>
          <w:t xml:space="preserve"> </w:t>
        </w:r>
        <w:r>
          <w:t>9.12</w:t>
        </w:r>
      </w:hyperlink>
      <w:r>
        <w:t xml:space="preserve"> sets</w:t>
      </w:r>
      <w:r>
        <w:rPr>
          <w:spacing w:val="-1"/>
        </w:rPr>
        <w:t xml:space="preserve"> </w:t>
      </w:r>
      <w:r>
        <w:t>out the</w:t>
      </w:r>
      <w:r>
        <w:rPr>
          <w:spacing w:val="-1"/>
        </w:rPr>
        <w:t xml:space="preserve"> </w:t>
      </w:r>
      <w:r>
        <w:rPr>
          <w:spacing w:val="-2"/>
        </w:rPr>
        <w:t>ICRC’s</w:t>
      </w:r>
      <w:r>
        <w:t xml:space="preserve"> final decision</w:t>
      </w:r>
      <w:r>
        <w:rPr>
          <w:spacing w:val="-1"/>
        </w:rPr>
        <w:t xml:space="preserve"> </w:t>
      </w:r>
      <w:r>
        <w:t xml:space="preserve">on </w:t>
      </w:r>
      <w:r>
        <w:rPr>
          <w:spacing w:val="-1"/>
        </w:rPr>
        <w:t>depreciation.</w:t>
      </w:r>
    </w:p>
    <w:p w:rsidR="00D96B91" w:rsidRDefault="00C2656B">
      <w:pPr>
        <w:spacing w:line="196" w:lineRule="exact"/>
        <w:ind w:left="1247"/>
        <w:rPr>
          <w:rFonts w:ascii="Avenir Next" w:eastAsia="Avenir Next" w:hAnsi="Avenir Next" w:cs="Avenir Next"/>
          <w:sz w:val="20"/>
          <w:szCs w:val="20"/>
        </w:rPr>
      </w:pPr>
      <w:bookmarkStart w:id="122" w:name="_bookmark74"/>
      <w:bookmarkEnd w:id="122"/>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9.12: ICRC final decision – </w:t>
      </w:r>
      <w:r>
        <w:rPr>
          <w:rFonts w:ascii="Avenir Next" w:eastAsia="Avenir Next" w:hAnsi="Avenir Next" w:cs="Avenir Next"/>
          <w:b/>
          <w:bCs/>
          <w:spacing w:val="-1"/>
          <w:sz w:val="20"/>
          <w:szCs w:val="20"/>
        </w:rPr>
        <w:t>Depreciation</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5431"/>
        <w:gridCol w:w="1985"/>
        <w:gridCol w:w="1985"/>
      </w:tblGrid>
      <w:tr w:rsidR="00D96B91">
        <w:trPr>
          <w:trHeight w:hRule="exact" w:val="407"/>
        </w:trPr>
        <w:tc>
          <w:tcPr>
            <w:tcW w:w="543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trPr>
          <w:trHeight w:hRule="exact" w:val="407"/>
        </w:trPr>
        <w:tc>
          <w:tcPr>
            <w:tcW w:w="5431" w:type="dxa"/>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w:t>
            </w:r>
            <w:r>
              <w:rPr>
                <w:rFonts w:ascii="Avenir Next Condensed"/>
                <w:b/>
                <w:spacing w:val="-1"/>
                <w:sz w:val="18"/>
              </w:rPr>
              <w:t>assets</w:t>
            </w:r>
          </w:p>
        </w:tc>
        <w:tc>
          <w:tcPr>
            <w:tcW w:w="1985" w:type="dxa"/>
            <w:tcBorders>
              <w:top w:val="single" w:sz="4" w:space="0" w:color="1A9EDA"/>
              <w:left w:val="single" w:sz="4" w:space="0" w:color="17A7E0"/>
              <w:bottom w:val="single" w:sz="4" w:space="0" w:color="17A7E0"/>
              <w:right w:val="single" w:sz="4" w:space="0" w:color="17A7E0"/>
            </w:tcBorders>
            <w:shd w:val="clear" w:color="auto" w:fill="9AC6EA"/>
          </w:tcPr>
          <w:p w:rsidR="00D96B91" w:rsidRDefault="00D96B91"/>
        </w:tc>
        <w:tc>
          <w:tcPr>
            <w:tcW w:w="1985" w:type="dxa"/>
            <w:tcBorders>
              <w:top w:val="single" w:sz="4" w:space="0" w:color="1A9EDA"/>
              <w:left w:val="single" w:sz="4" w:space="0" w:color="17A7E0"/>
              <w:bottom w:val="single" w:sz="4" w:space="0" w:color="17A7E0"/>
              <w:right w:val="single" w:sz="4" w:space="0" w:color="17A7E0"/>
            </w:tcBorders>
            <w:shd w:val="clear" w:color="auto" w:fill="9AC6EA"/>
          </w:tcPr>
          <w:p w:rsidR="00D96B91" w:rsidRDefault="00D96B91"/>
        </w:tc>
      </w:tr>
      <w:tr w:rsidR="00D96B91">
        <w:trPr>
          <w:trHeight w:hRule="exact" w:val="407"/>
        </w:trPr>
        <w:tc>
          <w:tcPr>
            <w:tcW w:w="54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ECD</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79"/>
              <w:rPr>
                <w:rFonts w:ascii="Avenir Next Condensed" w:eastAsia="Avenir Next Condensed" w:hAnsi="Avenir Next Condensed" w:cs="Avenir Next Condensed"/>
                <w:sz w:val="18"/>
                <w:szCs w:val="18"/>
              </w:rPr>
            </w:pPr>
            <w:r>
              <w:rPr>
                <w:rFonts w:ascii="Avenir Next Condensed"/>
                <w:sz w:val="18"/>
              </w:rPr>
              <w:t>$4.22</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79"/>
              <w:rPr>
                <w:rFonts w:ascii="Avenir Next Condensed" w:eastAsia="Avenir Next Condensed" w:hAnsi="Avenir Next Condensed" w:cs="Avenir Next Condensed"/>
                <w:sz w:val="18"/>
                <w:szCs w:val="18"/>
              </w:rPr>
            </w:pPr>
            <w:r>
              <w:rPr>
                <w:rFonts w:ascii="Avenir Next Condensed"/>
                <w:sz w:val="18"/>
              </w:rPr>
              <w:t>$4.26</w:t>
            </w:r>
          </w:p>
        </w:tc>
      </w:tr>
      <w:tr w:rsidR="00D96B91">
        <w:trPr>
          <w:trHeight w:hRule="exact" w:val="417"/>
        </w:trPr>
        <w:tc>
          <w:tcPr>
            <w:tcW w:w="543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Non-ECD</w:t>
            </w:r>
            <w:r>
              <w:rPr>
                <w:rFonts w:ascii="Avenir Next Condensed"/>
                <w:spacing w:val="-3"/>
                <w:sz w:val="18"/>
              </w:rPr>
              <w:t xml:space="preserve"> </w:t>
            </w:r>
            <w:r>
              <w:rPr>
                <w:rFonts w:ascii="Avenir Next Condensed"/>
                <w:spacing w:val="-1"/>
                <w:sz w:val="18"/>
              </w:rPr>
              <w:t>Water</w:t>
            </w:r>
          </w:p>
        </w:tc>
        <w:tc>
          <w:tcPr>
            <w:tcW w:w="198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894"/>
              <w:rPr>
                <w:rFonts w:ascii="Avenir Next Condensed" w:eastAsia="Avenir Next Condensed" w:hAnsi="Avenir Next Condensed" w:cs="Avenir Next Condensed"/>
                <w:sz w:val="18"/>
                <w:szCs w:val="18"/>
              </w:rPr>
            </w:pPr>
            <w:r>
              <w:rPr>
                <w:rFonts w:ascii="Avenir Next Condensed"/>
                <w:sz w:val="18"/>
              </w:rPr>
              <w:t>$16.10</w:t>
            </w:r>
          </w:p>
        </w:tc>
        <w:tc>
          <w:tcPr>
            <w:tcW w:w="198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894"/>
              <w:rPr>
                <w:rFonts w:ascii="Avenir Next Condensed" w:eastAsia="Avenir Next Condensed" w:hAnsi="Avenir Next Condensed" w:cs="Avenir Next Condensed"/>
                <w:sz w:val="18"/>
                <w:szCs w:val="18"/>
              </w:rPr>
            </w:pPr>
            <w:r>
              <w:rPr>
                <w:rFonts w:ascii="Avenir Next Condensed"/>
                <w:sz w:val="18"/>
              </w:rPr>
              <w:t>$16.85</w:t>
            </w:r>
          </w:p>
        </w:tc>
      </w:tr>
      <w:tr w:rsidR="00D96B91">
        <w:trPr>
          <w:trHeight w:hRule="exact" w:val="397"/>
        </w:trPr>
        <w:tc>
          <w:tcPr>
            <w:tcW w:w="5431" w:type="dxa"/>
            <w:tcBorders>
              <w:top w:val="single" w:sz="12"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pacing w:val="-3"/>
                <w:sz w:val="18"/>
              </w:rPr>
              <w:t xml:space="preserve"> </w:t>
            </w:r>
            <w:r>
              <w:rPr>
                <w:rFonts w:ascii="Avenir Next Condensed"/>
                <w:b/>
                <w:spacing w:val="-1"/>
                <w:sz w:val="18"/>
              </w:rPr>
              <w:t>Water</w:t>
            </w:r>
          </w:p>
        </w:tc>
        <w:tc>
          <w:tcPr>
            <w:tcW w:w="1985" w:type="dxa"/>
            <w:tcBorders>
              <w:top w:val="single" w:sz="12"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98"/>
              <w:ind w:left="862"/>
              <w:rPr>
                <w:rFonts w:ascii="Avenir Next Condensed" w:eastAsia="Avenir Next Condensed" w:hAnsi="Avenir Next Condensed" w:cs="Avenir Next Condensed"/>
                <w:sz w:val="18"/>
                <w:szCs w:val="18"/>
              </w:rPr>
            </w:pPr>
            <w:r>
              <w:rPr>
                <w:rFonts w:ascii="Avenir Next Condensed"/>
                <w:b/>
                <w:sz w:val="18"/>
              </w:rPr>
              <w:t>$20.32</w:t>
            </w:r>
          </w:p>
        </w:tc>
        <w:tc>
          <w:tcPr>
            <w:tcW w:w="1985" w:type="dxa"/>
            <w:tcBorders>
              <w:top w:val="single" w:sz="12"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98"/>
              <w:ind w:left="862"/>
              <w:rPr>
                <w:rFonts w:ascii="Avenir Next Condensed" w:eastAsia="Avenir Next Condensed" w:hAnsi="Avenir Next Condensed" w:cs="Avenir Next Condensed"/>
                <w:sz w:val="18"/>
                <w:szCs w:val="18"/>
              </w:rPr>
            </w:pPr>
            <w:r>
              <w:rPr>
                <w:rFonts w:ascii="Avenir Next Condensed"/>
                <w:b/>
                <w:sz w:val="18"/>
              </w:rPr>
              <w:t>$21.11</w:t>
            </w:r>
          </w:p>
        </w:tc>
      </w:tr>
      <w:tr w:rsidR="00D96B91">
        <w:trPr>
          <w:trHeight w:hRule="exact" w:val="407"/>
        </w:trPr>
        <w:tc>
          <w:tcPr>
            <w:tcW w:w="5431" w:type="dxa"/>
            <w:tcBorders>
              <w:top w:val="single" w:sz="4"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b/>
                <w:sz w:val="18"/>
              </w:rPr>
              <w:t xml:space="preserve"> </w:t>
            </w:r>
            <w:r>
              <w:rPr>
                <w:rFonts w:ascii="Avenir Next Condensed"/>
                <w:b/>
                <w:spacing w:val="-1"/>
                <w:sz w:val="18"/>
              </w:rPr>
              <w:t>assets</w:t>
            </w:r>
          </w:p>
        </w:tc>
        <w:tc>
          <w:tcPr>
            <w:tcW w:w="1985" w:type="dxa"/>
            <w:tcBorders>
              <w:top w:val="single" w:sz="4"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108"/>
              <w:ind w:left="862"/>
              <w:rPr>
                <w:rFonts w:ascii="Avenir Next Condensed" w:eastAsia="Avenir Next Condensed" w:hAnsi="Avenir Next Condensed" w:cs="Avenir Next Condensed"/>
                <w:sz w:val="18"/>
                <w:szCs w:val="18"/>
              </w:rPr>
            </w:pPr>
            <w:r>
              <w:rPr>
                <w:rFonts w:ascii="Avenir Next Condensed"/>
                <w:b/>
                <w:sz w:val="18"/>
              </w:rPr>
              <w:t>$16.25</w:t>
            </w:r>
          </w:p>
        </w:tc>
        <w:tc>
          <w:tcPr>
            <w:tcW w:w="1985" w:type="dxa"/>
            <w:tcBorders>
              <w:top w:val="single" w:sz="4" w:space="0" w:color="1A9EDA"/>
              <w:left w:val="single" w:sz="4" w:space="0" w:color="17A7E0"/>
              <w:bottom w:val="single" w:sz="4" w:space="0" w:color="1A9EDA"/>
              <w:right w:val="single" w:sz="4" w:space="0" w:color="17A7E0"/>
            </w:tcBorders>
            <w:shd w:val="clear" w:color="auto" w:fill="F0F9FE"/>
          </w:tcPr>
          <w:p w:rsidR="00D96B91" w:rsidRDefault="00C2656B">
            <w:pPr>
              <w:pStyle w:val="TableParagraph"/>
              <w:spacing w:before="108"/>
              <w:ind w:left="862"/>
              <w:rPr>
                <w:rFonts w:ascii="Avenir Next Condensed" w:eastAsia="Avenir Next Condensed" w:hAnsi="Avenir Next Condensed" w:cs="Avenir Next Condensed"/>
                <w:sz w:val="18"/>
                <w:szCs w:val="18"/>
              </w:rPr>
            </w:pPr>
            <w:r>
              <w:rPr>
                <w:rFonts w:ascii="Avenir Next Condensed"/>
                <w:b/>
                <w:sz w:val="18"/>
              </w:rPr>
              <w:t>$16.94</w:t>
            </w:r>
          </w:p>
        </w:tc>
      </w:tr>
      <w:tr w:rsidR="00D96B91">
        <w:trPr>
          <w:trHeight w:hRule="exact" w:val="417"/>
        </w:trPr>
        <w:tc>
          <w:tcPr>
            <w:tcW w:w="5431" w:type="dxa"/>
            <w:tcBorders>
              <w:top w:val="single" w:sz="4"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pacing w:val="-3"/>
                <w:sz w:val="18"/>
              </w:rPr>
              <w:t xml:space="preserve"> </w:t>
            </w:r>
            <w:r>
              <w:rPr>
                <w:rFonts w:ascii="Avenir Next Condensed"/>
                <w:b/>
                <w:spacing w:val="-1"/>
                <w:sz w:val="18"/>
              </w:rPr>
              <w:t>Water</w:t>
            </w:r>
            <w:r>
              <w:rPr>
                <w:rFonts w:ascii="Avenir Next Condensed"/>
                <w:b/>
                <w:sz w:val="18"/>
              </w:rPr>
              <w:t xml:space="preserve"> plus </w:t>
            </w:r>
            <w:r>
              <w:rPr>
                <w:rFonts w:ascii="Avenir Next Condensed"/>
                <w:b/>
                <w:spacing w:val="-1"/>
                <w:sz w:val="18"/>
              </w:rPr>
              <w:t>Sewerage</w:t>
            </w:r>
          </w:p>
        </w:tc>
        <w:tc>
          <w:tcPr>
            <w:tcW w:w="1985" w:type="dxa"/>
            <w:tcBorders>
              <w:top w:val="single" w:sz="4"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863"/>
              <w:rPr>
                <w:rFonts w:ascii="Avenir Next Condensed" w:eastAsia="Avenir Next Condensed" w:hAnsi="Avenir Next Condensed" w:cs="Avenir Next Condensed"/>
                <w:sz w:val="18"/>
                <w:szCs w:val="18"/>
              </w:rPr>
            </w:pPr>
            <w:r>
              <w:rPr>
                <w:rFonts w:ascii="Avenir Next Condensed"/>
                <w:b/>
                <w:sz w:val="18"/>
              </w:rPr>
              <w:t>$36.57</w:t>
            </w:r>
          </w:p>
        </w:tc>
        <w:tc>
          <w:tcPr>
            <w:tcW w:w="1985" w:type="dxa"/>
            <w:tcBorders>
              <w:top w:val="single" w:sz="4"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863"/>
              <w:rPr>
                <w:rFonts w:ascii="Avenir Next Condensed" w:eastAsia="Avenir Next Condensed" w:hAnsi="Avenir Next Condensed" w:cs="Avenir Next Condensed"/>
                <w:sz w:val="18"/>
                <w:szCs w:val="18"/>
              </w:rPr>
            </w:pPr>
            <w:r>
              <w:rPr>
                <w:rFonts w:ascii="Avenir Next Condensed"/>
                <w:b/>
                <w:sz w:val="18"/>
              </w:rPr>
              <w:t>$38.04</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2"/>
          <w:sz w:val="16"/>
        </w:rPr>
        <w:t>Price</w:t>
      </w:r>
      <w:r>
        <w:rPr>
          <w:rFonts w:ascii="Avenir Next"/>
          <w:sz w:val="16"/>
        </w:rPr>
        <w:t xml:space="preserve"> </w:t>
      </w:r>
      <w:r>
        <w:rPr>
          <w:rFonts w:ascii="Avenir Next"/>
          <w:spacing w:val="-1"/>
          <w:sz w:val="16"/>
        </w:rPr>
        <w:t>Direction</w:t>
      </w:r>
      <w:r>
        <w:rPr>
          <w:rFonts w:ascii="Avenir Next"/>
          <w:spacing w:val="-3"/>
          <w:sz w:val="16"/>
        </w:rPr>
        <w:t xml:space="preserve"> </w:t>
      </w:r>
      <w:r>
        <w:rPr>
          <w:rFonts w:ascii="Avenir Next"/>
          <w:spacing w:val="-1"/>
          <w:sz w:val="16"/>
        </w:rPr>
        <w:t>Attachment</w:t>
      </w:r>
      <w:r>
        <w:rPr>
          <w:rFonts w:ascii="Avenir Next"/>
          <w:sz w:val="16"/>
        </w:rPr>
        <w:t xml:space="preserve"> 2: </w:t>
      </w:r>
      <w:r>
        <w:rPr>
          <w:rFonts w:ascii="Avenir Next"/>
          <w:spacing w:val="-2"/>
          <w:sz w:val="16"/>
        </w:rPr>
        <w:t>Pricing</w:t>
      </w:r>
      <w:r>
        <w:rPr>
          <w:rFonts w:ascii="Avenir Next"/>
          <w:sz w:val="16"/>
        </w:rPr>
        <w:t xml:space="preserve"> Model,</w:t>
      </w:r>
      <w:r>
        <w:rPr>
          <w:rFonts w:ascii="Avenir Next"/>
          <w:spacing w:val="-5"/>
          <w:sz w:val="16"/>
        </w:rPr>
        <w:t xml:space="preserve"> </w:t>
      </w:r>
      <w:r>
        <w:rPr>
          <w:rFonts w:ascii="Avenir Next"/>
          <w:spacing w:val="-2"/>
          <w:sz w:val="16"/>
        </w:rPr>
        <w:t>Forecast</w:t>
      </w:r>
      <w:r>
        <w:rPr>
          <w:rFonts w:ascii="Avenir Next"/>
          <w:sz w:val="16"/>
        </w:rPr>
        <w:t xml:space="preserve"> RAB </w:t>
      </w:r>
      <w:r>
        <w:rPr>
          <w:rFonts w:ascii="Avenir Next"/>
          <w:spacing w:val="-1"/>
          <w:sz w:val="16"/>
        </w:rPr>
        <w:t>tab.</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1"/>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34" style="width:72.5pt;height:.5pt;mso-position-horizontal-relative:char;mso-position-vertical-relative:line" coordsize="1450,10">
            <v:group id="_x0000_s3135" style="position:absolute;left:5;top:5;width:1440;height:2" coordorigin="5,5" coordsize="1440,2">
              <v:shape id="_x0000_s3136"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pacing w:val="-1"/>
          <w:sz w:val="16"/>
        </w:rPr>
        <w:t>These three alternative</w:t>
      </w:r>
      <w:r>
        <w:rPr>
          <w:rFonts w:ascii="Avenir Next"/>
          <w:sz w:val="16"/>
        </w:rPr>
        <w:t xml:space="preserve"> </w:t>
      </w:r>
      <w:r>
        <w:rPr>
          <w:rFonts w:ascii="Avenir Next"/>
          <w:spacing w:val="-1"/>
          <w:sz w:val="16"/>
        </w:rPr>
        <w:t>profiles result</w:t>
      </w:r>
      <w:r>
        <w:rPr>
          <w:rFonts w:ascii="Avenir Next"/>
          <w:sz w:val="16"/>
        </w:rPr>
        <w:t xml:space="preserve"> in</w:t>
      </w:r>
      <w:r>
        <w:rPr>
          <w:rFonts w:ascii="Avenir Next"/>
          <w:spacing w:val="-1"/>
          <w:sz w:val="16"/>
        </w:rPr>
        <w:t xml:space="preserve"> </w:t>
      </w:r>
      <w:r>
        <w:rPr>
          <w:rFonts w:ascii="Avenir Next"/>
          <w:sz w:val="16"/>
        </w:rPr>
        <w:t>the following:</w:t>
      </w:r>
    </w:p>
    <w:p w:rsidR="00D96B91" w:rsidRDefault="00C2656B">
      <w:pPr>
        <w:numPr>
          <w:ilvl w:val="1"/>
          <w:numId w:val="72"/>
        </w:numPr>
        <w:tabs>
          <w:tab w:val="left" w:pos="1985"/>
        </w:tabs>
        <w:spacing w:before="36" w:line="192" w:lineRule="exact"/>
        <w:ind w:right="1421"/>
        <w:rPr>
          <w:rFonts w:ascii="Avenir Next" w:eastAsia="Avenir Next" w:hAnsi="Avenir Next" w:cs="Avenir Next"/>
          <w:sz w:val="16"/>
          <w:szCs w:val="16"/>
        </w:rPr>
      </w:pPr>
      <w:r>
        <w:rPr>
          <w:rFonts w:ascii="Avenir Next"/>
          <w:spacing w:val="-1"/>
          <w:sz w:val="16"/>
        </w:rPr>
        <w:t>Straight</w:t>
      </w:r>
      <w:r>
        <w:rPr>
          <w:rFonts w:ascii="Avenir Next"/>
          <w:sz w:val="16"/>
        </w:rPr>
        <w:t xml:space="preserve"> line </w:t>
      </w:r>
      <w:r>
        <w:rPr>
          <w:rFonts w:ascii="Avenir Next"/>
          <w:spacing w:val="-1"/>
          <w:sz w:val="16"/>
        </w:rPr>
        <w:t>deprecation</w:t>
      </w:r>
      <w:r>
        <w:rPr>
          <w:rFonts w:ascii="Avenir Next"/>
          <w:sz w:val="16"/>
        </w:rPr>
        <w:t xml:space="preserve"> </w:t>
      </w:r>
      <w:r>
        <w:rPr>
          <w:rFonts w:ascii="Avenir Next"/>
          <w:spacing w:val="-1"/>
          <w:sz w:val="16"/>
        </w:rPr>
        <w:t>results</w:t>
      </w:r>
      <w:r>
        <w:rPr>
          <w:rFonts w:ascii="Avenir Next"/>
          <w:sz w:val="16"/>
        </w:rPr>
        <w:t xml:space="preserve"> in a constant </w:t>
      </w:r>
      <w:r>
        <w:rPr>
          <w:rFonts w:ascii="Avenir Next"/>
          <w:spacing w:val="-1"/>
          <w:sz w:val="16"/>
        </w:rPr>
        <w:t>proportion</w:t>
      </w:r>
      <w:r>
        <w:rPr>
          <w:rFonts w:ascii="Avenir Next"/>
          <w:sz w:val="16"/>
        </w:rPr>
        <w:t xml:space="preserve"> of</w:t>
      </w:r>
      <w:r>
        <w:rPr>
          <w:rFonts w:ascii="Avenir Next"/>
          <w:spacing w:val="3"/>
          <w:sz w:val="16"/>
        </w:rPr>
        <w:t xml:space="preserve"> </w:t>
      </w:r>
      <w:r>
        <w:rPr>
          <w:rFonts w:ascii="Avenir Next"/>
          <w:sz w:val="16"/>
        </w:rPr>
        <w:t xml:space="preserve">the asset value being </w:t>
      </w:r>
      <w:r>
        <w:rPr>
          <w:rFonts w:ascii="Avenir Next"/>
          <w:spacing w:val="-1"/>
          <w:sz w:val="16"/>
        </w:rPr>
        <w:t>recovered</w:t>
      </w:r>
      <w:r>
        <w:rPr>
          <w:rFonts w:ascii="Avenir Next"/>
          <w:sz w:val="16"/>
        </w:rPr>
        <w:t xml:space="preserve"> over the economic life of</w:t>
      </w:r>
      <w:r>
        <w:rPr>
          <w:rFonts w:ascii="Avenir Next"/>
          <w:spacing w:val="47"/>
          <w:sz w:val="16"/>
        </w:rPr>
        <w:t xml:space="preserve"> </w:t>
      </w:r>
      <w:r>
        <w:rPr>
          <w:rFonts w:ascii="Avenir Next"/>
          <w:sz w:val="16"/>
        </w:rPr>
        <w:t xml:space="preserve">the assets and tends to be used when the demand is </w:t>
      </w:r>
      <w:r>
        <w:rPr>
          <w:rFonts w:ascii="Avenir Next"/>
          <w:spacing w:val="-1"/>
          <w:sz w:val="16"/>
        </w:rPr>
        <w:t>expected</w:t>
      </w:r>
      <w:r>
        <w:rPr>
          <w:rFonts w:ascii="Avenir Next"/>
          <w:sz w:val="16"/>
        </w:rPr>
        <w:t xml:space="preserve"> to be constant over the economic life of</w:t>
      </w:r>
      <w:r>
        <w:rPr>
          <w:rFonts w:ascii="Avenir Next"/>
          <w:spacing w:val="3"/>
          <w:sz w:val="16"/>
        </w:rPr>
        <w:t xml:space="preserve"> </w:t>
      </w:r>
      <w:r>
        <w:rPr>
          <w:rFonts w:ascii="Avenir Next"/>
          <w:sz w:val="16"/>
        </w:rPr>
        <w:t>the asset.</w:t>
      </w:r>
    </w:p>
    <w:p w:rsidR="00D96B91" w:rsidRDefault="00C2656B">
      <w:pPr>
        <w:numPr>
          <w:ilvl w:val="1"/>
          <w:numId w:val="72"/>
        </w:numPr>
        <w:tabs>
          <w:tab w:val="left" w:pos="1985"/>
        </w:tabs>
        <w:spacing w:before="56" w:line="192" w:lineRule="exact"/>
        <w:ind w:right="1468"/>
        <w:rPr>
          <w:rFonts w:ascii="Avenir Next" w:eastAsia="Avenir Next" w:hAnsi="Avenir Next" w:cs="Avenir Next"/>
          <w:sz w:val="16"/>
          <w:szCs w:val="16"/>
        </w:rPr>
      </w:pPr>
      <w:r>
        <w:rPr>
          <w:rFonts w:ascii="Avenir Next"/>
          <w:spacing w:val="-2"/>
          <w:sz w:val="16"/>
        </w:rPr>
        <w:t>Front-end</w:t>
      </w:r>
      <w:r>
        <w:rPr>
          <w:rFonts w:ascii="Avenir Next"/>
          <w:sz w:val="16"/>
        </w:rPr>
        <w:t xml:space="preserve"> loaded </w:t>
      </w:r>
      <w:r>
        <w:rPr>
          <w:rFonts w:ascii="Avenir Next"/>
          <w:spacing w:val="-1"/>
          <w:sz w:val="16"/>
        </w:rPr>
        <w:t>depreciation</w:t>
      </w:r>
      <w:r>
        <w:rPr>
          <w:rFonts w:ascii="Avenir Next"/>
          <w:sz w:val="16"/>
        </w:rPr>
        <w:t xml:space="preserve"> </w:t>
      </w:r>
      <w:r>
        <w:rPr>
          <w:rFonts w:ascii="Avenir Next"/>
          <w:spacing w:val="-1"/>
          <w:sz w:val="16"/>
        </w:rPr>
        <w:t>results</w:t>
      </w:r>
      <w:r>
        <w:rPr>
          <w:rFonts w:ascii="Avenir Next"/>
          <w:sz w:val="16"/>
        </w:rPr>
        <w:t xml:space="preserve"> in a </w:t>
      </w:r>
      <w:r>
        <w:rPr>
          <w:rFonts w:ascii="Avenir Next"/>
          <w:spacing w:val="-1"/>
          <w:sz w:val="16"/>
        </w:rPr>
        <w:t>greater</w:t>
      </w:r>
      <w:r>
        <w:rPr>
          <w:rFonts w:ascii="Avenir Next"/>
          <w:sz w:val="16"/>
        </w:rPr>
        <w:t xml:space="preserve"> </w:t>
      </w:r>
      <w:r>
        <w:rPr>
          <w:rFonts w:ascii="Avenir Next"/>
          <w:spacing w:val="-1"/>
          <w:sz w:val="16"/>
        </w:rPr>
        <w:t>proportion</w:t>
      </w:r>
      <w:r>
        <w:rPr>
          <w:rFonts w:ascii="Avenir Next"/>
          <w:sz w:val="16"/>
        </w:rPr>
        <w:t xml:space="preserve"> of</w:t>
      </w:r>
      <w:r>
        <w:rPr>
          <w:rFonts w:ascii="Avenir Next"/>
          <w:spacing w:val="3"/>
          <w:sz w:val="16"/>
        </w:rPr>
        <w:t xml:space="preserve"> </w:t>
      </w:r>
      <w:r>
        <w:rPr>
          <w:rFonts w:ascii="Avenir Next"/>
          <w:sz w:val="16"/>
        </w:rPr>
        <w:t xml:space="preserve">the asset value being </w:t>
      </w:r>
      <w:r>
        <w:rPr>
          <w:rFonts w:ascii="Avenir Next"/>
          <w:spacing w:val="-1"/>
          <w:sz w:val="16"/>
        </w:rPr>
        <w:t>recovered</w:t>
      </w:r>
      <w:r>
        <w:rPr>
          <w:rFonts w:ascii="Avenir Next"/>
          <w:sz w:val="16"/>
        </w:rPr>
        <w:t xml:space="preserve"> in the </w:t>
      </w:r>
      <w:r>
        <w:rPr>
          <w:rFonts w:ascii="Avenir Next"/>
          <w:spacing w:val="-1"/>
          <w:sz w:val="16"/>
        </w:rPr>
        <w:t>early</w:t>
      </w:r>
      <w:r>
        <w:rPr>
          <w:rFonts w:ascii="Avenir Next"/>
          <w:sz w:val="16"/>
        </w:rPr>
        <w:t xml:space="preserve"> </w:t>
      </w:r>
      <w:r>
        <w:rPr>
          <w:rFonts w:ascii="Avenir Next"/>
          <w:spacing w:val="-1"/>
          <w:sz w:val="16"/>
        </w:rPr>
        <w:t>years</w:t>
      </w:r>
      <w:r>
        <w:rPr>
          <w:rFonts w:ascii="Avenir Next"/>
          <w:sz w:val="16"/>
        </w:rPr>
        <w:t xml:space="preserve"> of</w:t>
      </w:r>
      <w:r>
        <w:rPr>
          <w:rFonts w:ascii="Avenir Next"/>
          <w:spacing w:val="73"/>
          <w:sz w:val="16"/>
        </w:rPr>
        <w:t xml:space="preserve"> </w:t>
      </w:r>
      <w:r>
        <w:rPr>
          <w:rFonts w:ascii="Avenir Next"/>
          <w:sz w:val="16"/>
        </w:rPr>
        <w:t>the economic life of</w:t>
      </w:r>
      <w:r>
        <w:rPr>
          <w:rFonts w:ascii="Avenir Next"/>
          <w:spacing w:val="3"/>
          <w:sz w:val="16"/>
        </w:rPr>
        <w:t xml:space="preserve"> </w:t>
      </w:r>
      <w:r>
        <w:rPr>
          <w:rFonts w:ascii="Avenir Next"/>
          <w:sz w:val="16"/>
        </w:rPr>
        <w:t xml:space="preserve">the asset and tends to be used when demand is </w:t>
      </w:r>
      <w:r>
        <w:rPr>
          <w:rFonts w:ascii="Avenir Next"/>
          <w:spacing w:val="-1"/>
          <w:sz w:val="16"/>
        </w:rPr>
        <w:t>expected</w:t>
      </w:r>
      <w:r>
        <w:rPr>
          <w:rFonts w:ascii="Avenir Next"/>
          <w:sz w:val="16"/>
        </w:rPr>
        <w:t xml:space="preserve"> to fall over time.</w:t>
      </w:r>
    </w:p>
    <w:p w:rsidR="00D96B91" w:rsidRDefault="00C2656B">
      <w:pPr>
        <w:numPr>
          <w:ilvl w:val="1"/>
          <w:numId w:val="72"/>
        </w:numPr>
        <w:tabs>
          <w:tab w:val="left" w:pos="1985"/>
        </w:tabs>
        <w:spacing w:before="56" w:line="192" w:lineRule="exact"/>
        <w:ind w:right="1492"/>
        <w:rPr>
          <w:rFonts w:ascii="Avenir Next" w:eastAsia="Avenir Next" w:hAnsi="Avenir Next" w:cs="Avenir Next"/>
          <w:sz w:val="16"/>
          <w:szCs w:val="16"/>
        </w:rPr>
      </w:pPr>
      <w:r>
        <w:rPr>
          <w:rFonts w:ascii="Avenir Next"/>
          <w:spacing w:val="-1"/>
          <w:sz w:val="16"/>
        </w:rPr>
        <w:t>Back-end</w:t>
      </w:r>
      <w:r>
        <w:rPr>
          <w:rFonts w:ascii="Avenir Next"/>
          <w:sz w:val="16"/>
        </w:rPr>
        <w:t xml:space="preserve"> loaded </w:t>
      </w:r>
      <w:r>
        <w:rPr>
          <w:rFonts w:ascii="Avenir Next"/>
          <w:spacing w:val="-1"/>
          <w:sz w:val="16"/>
        </w:rPr>
        <w:t>depreciation</w:t>
      </w:r>
      <w:r>
        <w:rPr>
          <w:rFonts w:ascii="Avenir Next"/>
          <w:sz w:val="16"/>
        </w:rPr>
        <w:t xml:space="preserve"> </w:t>
      </w:r>
      <w:r>
        <w:rPr>
          <w:rFonts w:ascii="Avenir Next"/>
          <w:spacing w:val="-1"/>
          <w:sz w:val="16"/>
        </w:rPr>
        <w:t>results</w:t>
      </w:r>
      <w:r>
        <w:rPr>
          <w:rFonts w:ascii="Avenir Next"/>
          <w:sz w:val="16"/>
        </w:rPr>
        <w:t xml:space="preserve"> in a </w:t>
      </w:r>
      <w:r>
        <w:rPr>
          <w:rFonts w:ascii="Avenir Next"/>
          <w:spacing w:val="-1"/>
          <w:sz w:val="16"/>
        </w:rPr>
        <w:t>greater</w:t>
      </w:r>
      <w:r>
        <w:rPr>
          <w:rFonts w:ascii="Avenir Next"/>
          <w:sz w:val="16"/>
        </w:rPr>
        <w:t xml:space="preserve"> </w:t>
      </w:r>
      <w:r>
        <w:rPr>
          <w:rFonts w:ascii="Avenir Next"/>
          <w:spacing w:val="-1"/>
          <w:sz w:val="16"/>
        </w:rPr>
        <w:t>proportion</w:t>
      </w:r>
      <w:r>
        <w:rPr>
          <w:rFonts w:ascii="Avenir Next"/>
          <w:sz w:val="16"/>
        </w:rPr>
        <w:t xml:space="preserve"> of</w:t>
      </w:r>
      <w:r>
        <w:rPr>
          <w:rFonts w:ascii="Avenir Next"/>
          <w:spacing w:val="3"/>
          <w:sz w:val="16"/>
        </w:rPr>
        <w:t xml:space="preserve"> </w:t>
      </w:r>
      <w:r>
        <w:rPr>
          <w:rFonts w:ascii="Avenir Next"/>
          <w:sz w:val="16"/>
        </w:rPr>
        <w:t xml:space="preserve">the asset value being </w:t>
      </w:r>
      <w:r>
        <w:rPr>
          <w:rFonts w:ascii="Avenir Next"/>
          <w:spacing w:val="-1"/>
          <w:sz w:val="16"/>
        </w:rPr>
        <w:t>recovered</w:t>
      </w:r>
      <w:r>
        <w:rPr>
          <w:rFonts w:ascii="Avenir Next"/>
          <w:sz w:val="16"/>
        </w:rPr>
        <w:t xml:space="preserve"> in the </w:t>
      </w:r>
      <w:r>
        <w:rPr>
          <w:rFonts w:ascii="Avenir Next"/>
          <w:spacing w:val="-1"/>
          <w:sz w:val="16"/>
        </w:rPr>
        <w:t>latter</w:t>
      </w:r>
      <w:r>
        <w:rPr>
          <w:rFonts w:ascii="Avenir Next"/>
          <w:sz w:val="16"/>
        </w:rPr>
        <w:t xml:space="preserve"> </w:t>
      </w:r>
      <w:r>
        <w:rPr>
          <w:rFonts w:ascii="Avenir Next"/>
          <w:spacing w:val="-1"/>
          <w:sz w:val="16"/>
        </w:rPr>
        <w:t>years</w:t>
      </w:r>
      <w:r>
        <w:rPr>
          <w:rFonts w:ascii="Avenir Next"/>
          <w:sz w:val="16"/>
        </w:rPr>
        <w:t xml:space="preserve"> of</w:t>
      </w:r>
      <w:r>
        <w:rPr>
          <w:rFonts w:ascii="Avenir Next"/>
          <w:spacing w:val="61"/>
          <w:sz w:val="16"/>
        </w:rPr>
        <w:t xml:space="preserve"> </w:t>
      </w:r>
      <w:r>
        <w:rPr>
          <w:rFonts w:ascii="Avenir Next"/>
          <w:sz w:val="16"/>
        </w:rPr>
        <w:t xml:space="preserve">the asset life and tends to be used when the demand is </w:t>
      </w:r>
      <w:r>
        <w:rPr>
          <w:rFonts w:ascii="Avenir Next"/>
          <w:spacing w:val="-1"/>
          <w:sz w:val="16"/>
        </w:rPr>
        <w:t>expected</w:t>
      </w:r>
      <w:r>
        <w:rPr>
          <w:rFonts w:ascii="Avenir Next"/>
          <w:sz w:val="16"/>
        </w:rPr>
        <w:t xml:space="preserve"> to </w:t>
      </w:r>
      <w:r>
        <w:rPr>
          <w:rFonts w:ascii="Avenir Next"/>
          <w:spacing w:val="-1"/>
          <w:sz w:val="16"/>
        </w:rPr>
        <w:t>increase</w:t>
      </w:r>
      <w:r>
        <w:rPr>
          <w:rFonts w:ascii="Avenir Next"/>
          <w:sz w:val="16"/>
        </w:rPr>
        <w:t xml:space="preserve"> over time.</w:t>
      </w:r>
    </w:p>
    <w:p w:rsidR="00D96B91" w:rsidRDefault="00D96B91">
      <w:pPr>
        <w:spacing w:before="12"/>
        <w:rPr>
          <w:rFonts w:ascii="Avenir Next" w:eastAsia="Avenir Next" w:hAnsi="Avenir Next" w:cs="Avenir Next"/>
          <w:sz w:val="10"/>
          <w:szCs w:val="10"/>
        </w:rPr>
      </w:pPr>
    </w:p>
    <w:p w:rsidR="00D96B91" w:rsidRDefault="00C2656B">
      <w:pPr>
        <w:numPr>
          <w:ilvl w:val="0"/>
          <w:numId w:val="72"/>
        </w:numPr>
        <w:tabs>
          <w:tab w:val="left" w:pos="1758"/>
        </w:tabs>
        <w:spacing w:line="192" w:lineRule="exact"/>
        <w:ind w:right="1471" w:hanging="510"/>
        <w:rPr>
          <w:rFonts w:ascii="Avenir Next" w:eastAsia="Avenir Next" w:hAnsi="Avenir Next" w:cs="Avenir Next"/>
          <w:sz w:val="16"/>
          <w:szCs w:val="16"/>
        </w:rPr>
      </w:pPr>
      <w:r>
        <w:rPr>
          <w:rFonts w:ascii="Avenir Next"/>
          <w:sz w:val="16"/>
        </w:rPr>
        <w:t xml:space="preserve">In </w:t>
      </w:r>
      <w:r>
        <w:rPr>
          <w:rFonts w:ascii="Avenir Next"/>
          <w:spacing w:val="-1"/>
          <w:sz w:val="16"/>
        </w:rPr>
        <w:t>certain</w:t>
      </w:r>
      <w:r>
        <w:rPr>
          <w:rFonts w:ascii="Avenir Next"/>
          <w:sz w:val="16"/>
        </w:rPr>
        <w:t xml:space="preserve"> </w:t>
      </w:r>
      <w:r>
        <w:rPr>
          <w:rFonts w:ascii="Avenir Next"/>
          <w:spacing w:val="-1"/>
          <w:sz w:val="16"/>
        </w:rPr>
        <w:t>circumstances</w:t>
      </w:r>
      <w:r>
        <w:rPr>
          <w:rFonts w:ascii="Avenir Next"/>
          <w:sz w:val="16"/>
        </w:rPr>
        <w:t xml:space="preserve"> the economic life of</w:t>
      </w:r>
      <w:r>
        <w:rPr>
          <w:rFonts w:ascii="Avenir Next"/>
          <w:spacing w:val="3"/>
          <w:sz w:val="16"/>
        </w:rPr>
        <w:t xml:space="preserve"> </w:t>
      </w:r>
      <w:r>
        <w:rPr>
          <w:rFonts w:ascii="Avenir Next"/>
          <w:sz w:val="16"/>
        </w:rPr>
        <w:t xml:space="preserve">the assets may </w:t>
      </w:r>
      <w:r>
        <w:rPr>
          <w:rFonts w:ascii="Avenir Next"/>
          <w:spacing w:val="-1"/>
          <w:sz w:val="16"/>
        </w:rPr>
        <w:t>differ</w:t>
      </w:r>
      <w:r>
        <w:rPr>
          <w:rFonts w:ascii="Avenir Next"/>
          <w:sz w:val="16"/>
        </w:rPr>
        <w:t xml:space="preserve"> </w:t>
      </w:r>
      <w:r>
        <w:rPr>
          <w:rFonts w:ascii="Avenir Next"/>
          <w:spacing w:val="-1"/>
          <w:sz w:val="16"/>
        </w:rPr>
        <w:t>from</w:t>
      </w:r>
      <w:r>
        <w:rPr>
          <w:rFonts w:ascii="Avenir Next"/>
          <w:sz w:val="16"/>
        </w:rPr>
        <w:t xml:space="preserve"> the technical life of</w:t>
      </w:r>
      <w:r>
        <w:rPr>
          <w:rFonts w:ascii="Avenir Next"/>
          <w:spacing w:val="3"/>
          <w:sz w:val="16"/>
        </w:rPr>
        <w:t xml:space="preserve"> </w:t>
      </w:r>
      <w:r>
        <w:rPr>
          <w:rFonts w:ascii="Avenir Next"/>
          <w:sz w:val="16"/>
        </w:rPr>
        <w:t>the assets.</w:t>
      </w:r>
      <w:r>
        <w:rPr>
          <w:rFonts w:ascii="Avenir Next"/>
          <w:spacing w:val="-5"/>
          <w:sz w:val="16"/>
        </w:rPr>
        <w:t xml:space="preserve"> </w:t>
      </w:r>
      <w:r>
        <w:rPr>
          <w:rFonts w:ascii="Avenir Next"/>
          <w:spacing w:val="-3"/>
          <w:sz w:val="16"/>
        </w:rPr>
        <w:t>For</w:t>
      </w:r>
      <w:r>
        <w:rPr>
          <w:rFonts w:ascii="Avenir Next"/>
          <w:sz w:val="16"/>
        </w:rPr>
        <w:t xml:space="preserve"> </w:t>
      </w:r>
      <w:r>
        <w:rPr>
          <w:rFonts w:ascii="Avenir Next"/>
          <w:spacing w:val="-1"/>
          <w:sz w:val="16"/>
        </w:rPr>
        <w:t>example,</w:t>
      </w:r>
      <w:r>
        <w:rPr>
          <w:rFonts w:ascii="Avenir Next"/>
          <w:spacing w:val="-5"/>
          <w:sz w:val="16"/>
        </w:rPr>
        <w:t xml:space="preserve"> </w:t>
      </w:r>
      <w:r>
        <w:rPr>
          <w:rFonts w:ascii="Avenir Next"/>
          <w:sz w:val="16"/>
        </w:rPr>
        <w:t>if</w:t>
      </w:r>
      <w:r>
        <w:rPr>
          <w:rFonts w:ascii="Avenir Next"/>
          <w:spacing w:val="3"/>
          <w:sz w:val="16"/>
        </w:rPr>
        <w:t xml:space="preserve"> </w:t>
      </w:r>
      <w:r>
        <w:rPr>
          <w:rFonts w:ascii="Avenir Next"/>
          <w:sz w:val="16"/>
        </w:rPr>
        <w:t>an</w:t>
      </w:r>
      <w:r>
        <w:rPr>
          <w:rFonts w:ascii="Avenir Next"/>
          <w:spacing w:val="55"/>
          <w:sz w:val="16"/>
        </w:rPr>
        <w:t xml:space="preserve"> </w:t>
      </w:r>
      <w:r>
        <w:rPr>
          <w:rFonts w:ascii="Avenir Next"/>
          <w:sz w:val="16"/>
        </w:rPr>
        <w:t>asset is to be bypassed,</w:t>
      </w:r>
      <w:r>
        <w:rPr>
          <w:rFonts w:ascii="Avenir Next"/>
          <w:spacing w:val="-5"/>
          <w:sz w:val="16"/>
        </w:rPr>
        <w:t xml:space="preserve"> </w:t>
      </w:r>
      <w:r>
        <w:rPr>
          <w:rFonts w:ascii="Avenir Next"/>
          <w:sz w:val="16"/>
        </w:rPr>
        <w:t xml:space="preserve">the economic life may be substantially </w:t>
      </w:r>
      <w:r>
        <w:rPr>
          <w:rFonts w:ascii="Avenir Next"/>
          <w:spacing w:val="-1"/>
          <w:sz w:val="16"/>
        </w:rPr>
        <w:t>shorter</w:t>
      </w:r>
      <w:r>
        <w:rPr>
          <w:rFonts w:ascii="Avenir Next"/>
          <w:sz w:val="16"/>
        </w:rPr>
        <w:t xml:space="preserve"> than the technical life.</w:t>
      </w:r>
    </w:p>
    <w:p w:rsidR="00D96B91" w:rsidRDefault="00D96B91">
      <w:pPr>
        <w:spacing w:before="12"/>
        <w:rPr>
          <w:rFonts w:ascii="Avenir Next" w:eastAsia="Avenir Next" w:hAnsi="Avenir Next" w:cs="Avenir Next"/>
          <w:sz w:val="10"/>
          <w:szCs w:val="10"/>
        </w:rPr>
      </w:pPr>
    </w:p>
    <w:p w:rsidR="00D96B91" w:rsidRDefault="00C2656B">
      <w:pPr>
        <w:numPr>
          <w:ilvl w:val="0"/>
          <w:numId w:val="72"/>
        </w:numPr>
        <w:tabs>
          <w:tab w:val="left" w:pos="1758"/>
        </w:tabs>
        <w:spacing w:line="192" w:lineRule="exact"/>
        <w:ind w:right="1477" w:hanging="510"/>
        <w:rPr>
          <w:rFonts w:ascii="Avenir Next" w:eastAsia="Avenir Next" w:hAnsi="Avenir Next" w:cs="Avenir Next"/>
          <w:sz w:val="16"/>
          <w:szCs w:val="16"/>
        </w:rPr>
      </w:pPr>
      <w:r>
        <w:rPr>
          <w:rFonts w:ascii="Avenir Next"/>
          <w:sz w:val="16"/>
        </w:rPr>
        <w:t xml:space="preserve">In 2013-14 the </w:t>
      </w:r>
      <w:r>
        <w:rPr>
          <w:rFonts w:ascii="Avenir Next"/>
          <w:spacing w:val="-1"/>
          <w:sz w:val="16"/>
        </w:rPr>
        <w:t>remaining</w:t>
      </w:r>
      <w:r>
        <w:rPr>
          <w:rFonts w:ascii="Avenir Next"/>
          <w:sz w:val="16"/>
        </w:rPr>
        <w:t xml:space="preserve"> asset lives adopted by the ICRC </w:t>
      </w:r>
      <w:r>
        <w:rPr>
          <w:rFonts w:ascii="Avenir Next"/>
          <w:spacing w:val="-1"/>
          <w:sz w:val="16"/>
        </w:rPr>
        <w:t>were</w:t>
      </w:r>
      <w:r>
        <w:rPr>
          <w:rFonts w:ascii="Avenir Next"/>
          <w:sz w:val="16"/>
        </w:rPr>
        <w:t xml:space="preserve"> 96.7 </w:t>
      </w:r>
      <w:r>
        <w:rPr>
          <w:rFonts w:ascii="Avenir Next"/>
          <w:spacing w:val="-1"/>
          <w:sz w:val="16"/>
        </w:rPr>
        <w:t>years</w:t>
      </w:r>
      <w:r>
        <w:rPr>
          <w:rFonts w:ascii="Avenir Next"/>
          <w:sz w:val="16"/>
        </w:rPr>
        <w:t xml:space="preserve"> for ECD assets,</w:t>
      </w:r>
      <w:r>
        <w:rPr>
          <w:rFonts w:ascii="Avenir Next"/>
          <w:spacing w:val="-5"/>
          <w:sz w:val="16"/>
        </w:rPr>
        <w:t xml:space="preserve"> </w:t>
      </w:r>
      <w:r>
        <w:rPr>
          <w:rFonts w:ascii="Avenir Next"/>
          <w:sz w:val="16"/>
        </w:rPr>
        <w:t xml:space="preserve">60.7 </w:t>
      </w:r>
      <w:r>
        <w:rPr>
          <w:rFonts w:ascii="Avenir Next"/>
          <w:spacing w:val="-1"/>
          <w:sz w:val="16"/>
        </w:rPr>
        <w:t>years</w:t>
      </w:r>
      <w:r>
        <w:rPr>
          <w:rFonts w:ascii="Avenir Next"/>
          <w:sz w:val="16"/>
        </w:rPr>
        <w:t xml:space="preserve"> for non-ECD </w:t>
      </w:r>
      <w:r>
        <w:rPr>
          <w:rFonts w:ascii="Avenir Next"/>
          <w:spacing w:val="-1"/>
          <w:sz w:val="16"/>
        </w:rPr>
        <w:t>water</w:t>
      </w:r>
      <w:r>
        <w:rPr>
          <w:rFonts w:ascii="Avenir Next"/>
          <w:spacing w:val="37"/>
          <w:sz w:val="16"/>
        </w:rPr>
        <w:t xml:space="preserve"> </w:t>
      </w:r>
      <w:r>
        <w:rPr>
          <w:rFonts w:ascii="Avenir Next"/>
          <w:sz w:val="16"/>
        </w:rPr>
        <w:t xml:space="preserve">assets (or 60.6 </w:t>
      </w:r>
      <w:r>
        <w:rPr>
          <w:rFonts w:ascii="Avenir Next"/>
          <w:spacing w:val="-1"/>
          <w:sz w:val="16"/>
        </w:rPr>
        <w:t>years</w:t>
      </w:r>
      <w:r>
        <w:rPr>
          <w:rFonts w:ascii="Avenir Next"/>
          <w:sz w:val="16"/>
        </w:rPr>
        <w:t xml:space="preserve"> for </w:t>
      </w:r>
      <w:r>
        <w:rPr>
          <w:rFonts w:ascii="Avenir Next"/>
          <w:spacing w:val="-1"/>
          <w:sz w:val="16"/>
        </w:rPr>
        <w:t>existing</w:t>
      </w:r>
      <w:r>
        <w:rPr>
          <w:rFonts w:ascii="Avenir Next"/>
          <w:sz w:val="16"/>
        </w:rPr>
        <w:t xml:space="preserve"> </w:t>
      </w:r>
      <w:r>
        <w:rPr>
          <w:rFonts w:ascii="Avenir Next"/>
          <w:spacing w:val="-1"/>
          <w:sz w:val="16"/>
        </w:rPr>
        <w:t>water</w:t>
      </w:r>
      <w:r>
        <w:rPr>
          <w:rFonts w:ascii="Avenir Next"/>
          <w:sz w:val="16"/>
        </w:rPr>
        <w:t xml:space="preserve"> assets and 66 </w:t>
      </w:r>
      <w:r>
        <w:rPr>
          <w:rFonts w:ascii="Avenir Next"/>
          <w:spacing w:val="-1"/>
          <w:sz w:val="16"/>
        </w:rPr>
        <w:t>years</w:t>
      </w:r>
      <w:r>
        <w:rPr>
          <w:rFonts w:ascii="Avenir Next"/>
          <w:sz w:val="16"/>
        </w:rPr>
        <w:t xml:space="preserve"> for new </w:t>
      </w:r>
      <w:r>
        <w:rPr>
          <w:rFonts w:ascii="Avenir Next"/>
          <w:spacing w:val="-1"/>
          <w:sz w:val="16"/>
        </w:rPr>
        <w:t>water</w:t>
      </w:r>
      <w:r>
        <w:rPr>
          <w:rFonts w:ascii="Avenir Next"/>
          <w:sz w:val="16"/>
        </w:rPr>
        <w:t xml:space="preserve"> assets) and 41.6 </w:t>
      </w:r>
      <w:r>
        <w:rPr>
          <w:rFonts w:ascii="Avenir Next"/>
          <w:spacing w:val="-1"/>
          <w:sz w:val="16"/>
        </w:rPr>
        <w:t>years</w:t>
      </w:r>
      <w:r>
        <w:rPr>
          <w:rFonts w:ascii="Avenir Next"/>
          <w:sz w:val="16"/>
        </w:rPr>
        <w:t xml:space="preserve"> for </w:t>
      </w:r>
      <w:r>
        <w:rPr>
          <w:rFonts w:ascii="Avenir Next"/>
          <w:spacing w:val="-1"/>
          <w:sz w:val="16"/>
        </w:rPr>
        <w:t>sewerage</w:t>
      </w:r>
      <w:r>
        <w:rPr>
          <w:rFonts w:ascii="Avenir Next"/>
          <w:sz w:val="16"/>
        </w:rPr>
        <w:t xml:space="preserve"> assets (or</w:t>
      </w:r>
    </w:p>
    <w:p w:rsidR="00D96B91" w:rsidRDefault="00C2656B">
      <w:pPr>
        <w:spacing w:line="212" w:lineRule="exact"/>
        <w:ind w:left="1757"/>
        <w:rPr>
          <w:rFonts w:ascii="Avenir Next" w:eastAsia="Avenir Next" w:hAnsi="Avenir Next" w:cs="Avenir Next"/>
          <w:sz w:val="16"/>
          <w:szCs w:val="16"/>
        </w:rPr>
      </w:pPr>
      <w:r>
        <w:rPr>
          <w:rFonts w:ascii="Avenir Next"/>
          <w:sz w:val="16"/>
        </w:rPr>
        <w:t xml:space="preserve">40.5 </w:t>
      </w:r>
      <w:r>
        <w:rPr>
          <w:rFonts w:ascii="Avenir Next"/>
          <w:spacing w:val="-1"/>
          <w:sz w:val="16"/>
        </w:rPr>
        <w:t>years</w:t>
      </w:r>
      <w:r>
        <w:rPr>
          <w:rFonts w:ascii="Avenir Next"/>
          <w:sz w:val="16"/>
        </w:rPr>
        <w:t xml:space="preserve"> for </w:t>
      </w:r>
      <w:r>
        <w:rPr>
          <w:rFonts w:ascii="Avenir Next"/>
          <w:spacing w:val="-1"/>
          <w:sz w:val="16"/>
        </w:rPr>
        <w:t>existing</w:t>
      </w:r>
      <w:r>
        <w:rPr>
          <w:rFonts w:ascii="Avenir Next"/>
          <w:sz w:val="16"/>
        </w:rPr>
        <w:t xml:space="preserve"> </w:t>
      </w:r>
      <w:r>
        <w:rPr>
          <w:rFonts w:ascii="Avenir Next"/>
          <w:spacing w:val="-1"/>
          <w:sz w:val="16"/>
        </w:rPr>
        <w:t>sewerage</w:t>
      </w:r>
      <w:r>
        <w:rPr>
          <w:rFonts w:ascii="Avenir Next"/>
          <w:sz w:val="16"/>
        </w:rPr>
        <w:t xml:space="preserve"> assets and 66 </w:t>
      </w:r>
      <w:r>
        <w:rPr>
          <w:rFonts w:ascii="Avenir Next"/>
          <w:spacing w:val="-1"/>
          <w:sz w:val="16"/>
        </w:rPr>
        <w:t>years</w:t>
      </w:r>
      <w:r>
        <w:rPr>
          <w:rFonts w:ascii="Avenir Next"/>
          <w:sz w:val="16"/>
        </w:rPr>
        <w:t xml:space="preserve"> for new </w:t>
      </w:r>
      <w:r>
        <w:rPr>
          <w:rFonts w:ascii="Avenir Next"/>
          <w:spacing w:val="-1"/>
          <w:sz w:val="16"/>
        </w:rPr>
        <w:t>sewerage</w:t>
      </w:r>
      <w:r>
        <w:rPr>
          <w:rFonts w:ascii="Avenir Next"/>
          <w:sz w:val="16"/>
        </w:rPr>
        <w:t xml:space="preserve"> assets).</w:t>
      </w:r>
    </w:p>
    <w:p w:rsidR="00D96B91" w:rsidRDefault="00D96B91">
      <w:pPr>
        <w:spacing w:line="21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6"/>
        <w:numPr>
          <w:ilvl w:val="2"/>
          <w:numId w:val="70"/>
        </w:numPr>
        <w:tabs>
          <w:tab w:val="left" w:pos="2098"/>
        </w:tabs>
        <w:spacing w:before="9"/>
        <w:ind w:hanging="850"/>
      </w:pPr>
      <w:r>
        <w:rPr>
          <w:color w:val="0778BE"/>
          <w:spacing w:val="-3"/>
        </w:rPr>
        <w:t>ACTEW’s</w:t>
      </w:r>
      <w:r>
        <w:rPr>
          <w:color w:val="0778BE"/>
        </w:rPr>
        <w:t xml:space="preserve"> SOFC</w:t>
      </w:r>
    </w:p>
    <w:p w:rsidR="00D96B91" w:rsidRDefault="00C2656B">
      <w:pPr>
        <w:pStyle w:val="BodyText"/>
        <w:spacing w:before="29"/>
        <w:rPr>
          <w:sz w:val="11"/>
          <w:szCs w:val="11"/>
        </w:rPr>
      </w:pPr>
      <w:r>
        <w:t>In its</w:t>
      </w:r>
      <w:r>
        <w:rPr>
          <w:spacing w:val="1"/>
        </w:rPr>
        <w:t xml:space="preserve"> </w:t>
      </w:r>
      <w:r>
        <w:t>SOFC,</w:t>
      </w:r>
      <w:r>
        <w:rPr>
          <w:spacing w:val="-9"/>
        </w:rPr>
        <w:t xml:space="preserve"> </w:t>
      </w:r>
      <w:r>
        <w:rPr>
          <w:spacing w:val="-2"/>
        </w:rPr>
        <w:t xml:space="preserve">ACTEW </w:t>
      </w:r>
      <w:r>
        <w:t>contended</w:t>
      </w:r>
      <w:r>
        <w:rPr>
          <w:spacing w:val="1"/>
        </w:rPr>
        <w:t xml:space="preserve"> </w:t>
      </w:r>
      <w:r>
        <w:rPr>
          <w:spacing w:val="-1"/>
        </w:rPr>
        <w:t>that</w:t>
      </w:r>
      <w:r>
        <w:rPr>
          <w:spacing w:val="1"/>
        </w:rPr>
        <w:t xml:space="preserve"> </w:t>
      </w:r>
      <w:r>
        <w:t>the</w:t>
      </w:r>
      <w:r>
        <w:rPr>
          <w:spacing w:val="1"/>
        </w:rPr>
        <w:t xml:space="preserve"> </w:t>
      </w:r>
      <w:r>
        <w:t>ICRC made</w:t>
      </w:r>
      <w:r>
        <w:rPr>
          <w:spacing w:val="1"/>
        </w:rPr>
        <w:t xml:space="preserve"> </w:t>
      </w:r>
      <w:r>
        <w:t>the</w:t>
      </w:r>
      <w:r>
        <w:rPr>
          <w:spacing w:val="1"/>
        </w:rPr>
        <w:t xml:space="preserve"> </w:t>
      </w:r>
      <w:r>
        <w:t>following</w:t>
      </w:r>
      <w:r>
        <w:rPr>
          <w:spacing w:val="1"/>
        </w:rPr>
        <w:t xml:space="preserve"> </w:t>
      </w:r>
      <w:r>
        <w:rPr>
          <w:spacing w:val="-1"/>
        </w:rPr>
        <w:t>errors</w:t>
      </w:r>
      <w:r>
        <w:rPr>
          <w:spacing w:val="1"/>
        </w:rPr>
        <w:t xml:space="preserve"> </w:t>
      </w:r>
      <w:r>
        <w:t>when</w:t>
      </w:r>
      <w:r>
        <w:rPr>
          <w:spacing w:val="1"/>
        </w:rPr>
        <w:t xml:space="preserve"> </w:t>
      </w:r>
      <w:r>
        <w:rPr>
          <w:spacing w:val="-1"/>
        </w:rPr>
        <w:t>calculating:</w:t>
      </w:r>
      <w:r>
        <w:rPr>
          <w:spacing w:val="-1"/>
          <w:position w:val="7"/>
          <w:sz w:val="11"/>
        </w:rPr>
        <w:t>135</w:t>
      </w:r>
    </w:p>
    <w:p w:rsidR="00D96B91" w:rsidRDefault="00C2656B">
      <w:pPr>
        <w:pStyle w:val="BodyText"/>
        <w:numPr>
          <w:ilvl w:val="0"/>
          <w:numId w:val="69"/>
        </w:numPr>
        <w:tabs>
          <w:tab w:val="left" w:pos="1588"/>
        </w:tabs>
        <w:spacing w:before="149" w:line="260" w:lineRule="exact"/>
        <w:ind w:right="1400" w:hanging="340"/>
        <w:rPr>
          <w:rFonts w:cs="Avenir Next"/>
        </w:rPr>
      </w:pPr>
      <w:r>
        <w:rPr>
          <w:spacing w:val="-2"/>
        </w:rPr>
        <w:t>The</w:t>
      </w:r>
      <w:r>
        <w:t xml:space="preserve"> </w:t>
      </w:r>
      <w:r>
        <w:rPr>
          <w:spacing w:val="-1"/>
        </w:rPr>
        <w:t>remaining</w:t>
      </w:r>
      <w:r>
        <w:t xml:space="preserve"> lives of</w:t>
      </w:r>
      <w:r>
        <w:rPr>
          <w:spacing w:val="4"/>
        </w:rPr>
        <w:t xml:space="preserve"> </w:t>
      </w:r>
      <w:r>
        <w:t xml:space="preserve">the non-ECD </w:t>
      </w:r>
      <w:r>
        <w:rPr>
          <w:spacing w:val="-1"/>
        </w:rPr>
        <w:t>water</w:t>
      </w:r>
      <w:r>
        <w:t xml:space="preserve"> assets and </w:t>
      </w:r>
      <w:r>
        <w:rPr>
          <w:spacing w:val="-1"/>
        </w:rPr>
        <w:t>sewerage</w:t>
      </w:r>
      <w:r>
        <w:t xml:space="preserve"> assets as </w:t>
      </w:r>
      <w:r>
        <w:rPr>
          <w:spacing w:val="-1"/>
        </w:rPr>
        <w:t>at</w:t>
      </w:r>
      <w:r>
        <w:t xml:space="preserve"> 1</w:t>
      </w:r>
      <w:r>
        <w:rPr>
          <w:spacing w:val="-3"/>
        </w:rPr>
        <w:t xml:space="preserve"> </w:t>
      </w:r>
      <w:r>
        <w:t>July 2013.</w:t>
      </w:r>
      <w:r>
        <w:rPr>
          <w:spacing w:val="-10"/>
        </w:rPr>
        <w:t xml:space="preserve"> </w:t>
      </w:r>
      <w:r>
        <w:rPr>
          <w:spacing w:val="-1"/>
        </w:rPr>
        <w:t>According</w:t>
      </w:r>
      <w:r>
        <w:rPr>
          <w:spacing w:val="41"/>
        </w:rPr>
        <w:t xml:space="preserve"> </w:t>
      </w:r>
      <w:r>
        <w:t>to</w:t>
      </w:r>
      <w:r>
        <w:rPr>
          <w:spacing w:val="-4"/>
        </w:rPr>
        <w:t xml:space="preserve"> ACTEW,</w:t>
      </w:r>
      <w:r>
        <w:rPr>
          <w:spacing w:val="-6"/>
        </w:rPr>
        <w:t xml:space="preserve"> </w:t>
      </w:r>
      <w:r>
        <w:t xml:space="preserve">the ICRC </w:t>
      </w:r>
      <w:r>
        <w:rPr>
          <w:spacing w:val="-1"/>
        </w:rPr>
        <w:t>erred</w:t>
      </w:r>
      <w:r>
        <w:t xml:space="preserve"> by:</w:t>
      </w:r>
    </w:p>
    <w:p w:rsidR="00D96B91" w:rsidRDefault="00C2656B">
      <w:pPr>
        <w:pStyle w:val="BodyText"/>
        <w:numPr>
          <w:ilvl w:val="1"/>
          <w:numId w:val="69"/>
        </w:numPr>
        <w:tabs>
          <w:tab w:val="left" w:pos="1815"/>
        </w:tabs>
        <w:spacing w:before="85" w:line="260" w:lineRule="exact"/>
        <w:ind w:right="1762"/>
      </w:pPr>
      <w:r>
        <w:t>dividing the actual value of</w:t>
      </w:r>
      <w:r>
        <w:rPr>
          <w:spacing w:val="4"/>
        </w:rPr>
        <w:t xml:space="preserve"> </w:t>
      </w:r>
      <w:r>
        <w:t xml:space="preserve">the RAB by a </w:t>
      </w:r>
      <w:r>
        <w:rPr>
          <w:spacing w:val="-1"/>
        </w:rPr>
        <w:t>forecast</w:t>
      </w:r>
      <w:r>
        <w:t xml:space="preserve"> value of</w:t>
      </w:r>
      <w:r>
        <w:rPr>
          <w:spacing w:val="4"/>
        </w:rPr>
        <w:t xml:space="preserve"> </w:t>
      </w:r>
      <w:r>
        <w:rPr>
          <w:spacing w:val="-1"/>
        </w:rPr>
        <w:t>depreciation</w:t>
      </w:r>
      <w:r>
        <w:t xml:space="preserve"> for 2012-13 </w:t>
      </w:r>
      <w:r>
        <w:rPr>
          <w:spacing w:val="-1"/>
        </w:rPr>
        <w:t>that</w:t>
      </w:r>
      <w:r>
        <w:t xml:space="preserve"> was</w:t>
      </w:r>
      <w:r>
        <w:rPr>
          <w:spacing w:val="23"/>
        </w:rPr>
        <w:t xml:space="preserve"> </w:t>
      </w:r>
      <w:r>
        <w:t>developed in 2008,</w:t>
      </w:r>
      <w:r>
        <w:rPr>
          <w:spacing w:val="-6"/>
        </w:rPr>
        <w:t xml:space="preserve"> </w:t>
      </w:r>
      <w:r>
        <w:rPr>
          <w:spacing w:val="-1"/>
        </w:rPr>
        <w:t>rather</w:t>
      </w:r>
      <w:r>
        <w:t xml:space="preserve"> than using </w:t>
      </w:r>
      <w:r>
        <w:rPr>
          <w:spacing w:val="-1"/>
        </w:rPr>
        <w:t>outturn</w:t>
      </w:r>
      <w:r>
        <w:t xml:space="preserve"> </w:t>
      </w:r>
      <w:r>
        <w:rPr>
          <w:spacing w:val="-1"/>
        </w:rPr>
        <w:t>depreciation</w:t>
      </w:r>
      <w:r>
        <w:t xml:space="preserve"> for 2012-13,</w:t>
      </w:r>
      <w:r>
        <w:rPr>
          <w:spacing w:val="-7"/>
        </w:rPr>
        <w:t xml:space="preserve"> </w:t>
      </w:r>
      <w:r>
        <w:t>and</w:t>
      </w:r>
    </w:p>
    <w:p w:rsidR="00D96B91" w:rsidRDefault="00C2656B">
      <w:pPr>
        <w:pStyle w:val="BodyText"/>
        <w:numPr>
          <w:ilvl w:val="1"/>
          <w:numId w:val="69"/>
        </w:numPr>
        <w:tabs>
          <w:tab w:val="left" w:pos="1815"/>
        </w:tabs>
        <w:spacing w:before="93"/>
      </w:pPr>
      <w:r>
        <w:t>including the value of</w:t>
      </w:r>
      <w:r>
        <w:rPr>
          <w:spacing w:val="4"/>
        </w:rPr>
        <w:t xml:space="preserve"> </w:t>
      </w:r>
      <w:r>
        <w:t xml:space="preserve">the ECD in the </w:t>
      </w:r>
      <w:r>
        <w:rPr>
          <w:spacing w:val="-1"/>
        </w:rPr>
        <w:t>calculation</w:t>
      </w:r>
      <w:r>
        <w:t xml:space="preserve"> of</w:t>
      </w:r>
      <w:r>
        <w:rPr>
          <w:spacing w:val="4"/>
        </w:rPr>
        <w:t xml:space="preserve"> </w:t>
      </w:r>
      <w:r>
        <w:rPr>
          <w:spacing w:val="-1"/>
        </w:rPr>
        <w:t>remaining</w:t>
      </w:r>
      <w:r>
        <w:t xml:space="preserve"> life of</w:t>
      </w:r>
      <w:r>
        <w:rPr>
          <w:spacing w:val="4"/>
        </w:rPr>
        <w:t xml:space="preserve"> </w:t>
      </w:r>
      <w:r>
        <w:t>non-ECD assets.</w:t>
      </w:r>
    </w:p>
    <w:p w:rsidR="00D96B91" w:rsidRDefault="00C2656B">
      <w:pPr>
        <w:pStyle w:val="BodyText"/>
        <w:numPr>
          <w:ilvl w:val="0"/>
          <w:numId w:val="69"/>
        </w:numPr>
        <w:tabs>
          <w:tab w:val="left" w:pos="1588"/>
        </w:tabs>
        <w:spacing w:before="72"/>
        <w:ind w:hanging="340"/>
      </w:pPr>
      <w:r>
        <w:rPr>
          <w:spacing w:val="-2"/>
        </w:rPr>
        <w:t>The</w:t>
      </w:r>
      <w:r>
        <w:t xml:space="preserve"> </w:t>
      </w:r>
      <w:r>
        <w:rPr>
          <w:spacing w:val="-1"/>
        </w:rPr>
        <w:t>depreciation</w:t>
      </w:r>
      <w:r>
        <w:t xml:space="preserve"> allowance within the </w:t>
      </w:r>
      <w:r>
        <w:rPr>
          <w:spacing w:val="-1"/>
        </w:rPr>
        <w:t>regulatory</w:t>
      </w:r>
      <w:r>
        <w:t xml:space="preserve"> period.</w:t>
      </w:r>
      <w:r>
        <w:rPr>
          <w:spacing w:val="-10"/>
        </w:rPr>
        <w:t xml:space="preserve"> </w:t>
      </w:r>
      <w:r>
        <w:rPr>
          <w:spacing w:val="-2"/>
        </w:rPr>
        <w:t>ACTEW</w:t>
      </w:r>
      <w:r>
        <w:rPr>
          <w:spacing w:val="-3"/>
        </w:rPr>
        <w:t xml:space="preserve"> </w:t>
      </w:r>
      <w:r>
        <w:t xml:space="preserve">claims the ICRC </w:t>
      </w:r>
      <w:r>
        <w:rPr>
          <w:spacing w:val="-1"/>
        </w:rPr>
        <w:t>erred</w:t>
      </w:r>
      <w:r>
        <w:t xml:space="preserve"> by:</w:t>
      </w:r>
    </w:p>
    <w:p w:rsidR="00D96B91" w:rsidRDefault="00C2656B">
      <w:pPr>
        <w:pStyle w:val="BodyText"/>
        <w:numPr>
          <w:ilvl w:val="1"/>
          <w:numId w:val="69"/>
        </w:numPr>
        <w:tabs>
          <w:tab w:val="left" w:pos="1815"/>
        </w:tabs>
        <w:spacing w:before="64" w:line="260" w:lineRule="exact"/>
        <w:ind w:right="1499"/>
      </w:pPr>
      <w:r>
        <w:t xml:space="preserve">using the same </w:t>
      </w:r>
      <w:r>
        <w:rPr>
          <w:spacing w:val="-1"/>
        </w:rPr>
        <w:t>average</w:t>
      </w:r>
      <w:r>
        <w:t xml:space="preserve"> asset life to </w:t>
      </w:r>
      <w:r>
        <w:rPr>
          <w:spacing w:val="-1"/>
        </w:rPr>
        <w:t>calculate</w:t>
      </w:r>
      <w:r>
        <w:t xml:space="preserve"> the </w:t>
      </w:r>
      <w:r>
        <w:rPr>
          <w:spacing w:val="-1"/>
        </w:rPr>
        <w:t>depreciation</w:t>
      </w:r>
      <w:r>
        <w:t xml:space="preserve"> allowance for </w:t>
      </w:r>
      <w:r>
        <w:rPr>
          <w:spacing w:val="-1"/>
        </w:rPr>
        <w:t>existing</w:t>
      </w:r>
      <w:r>
        <w:t xml:space="preserve"> and new</w:t>
      </w:r>
      <w:r>
        <w:rPr>
          <w:spacing w:val="45"/>
        </w:rPr>
        <w:t xml:space="preserve"> </w:t>
      </w:r>
      <w:r>
        <w:t>assets,</w:t>
      </w:r>
      <w:r>
        <w:rPr>
          <w:spacing w:val="-6"/>
        </w:rPr>
        <w:t xml:space="preserve"> </w:t>
      </w:r>
      <w:r>
        <w:rPr>
          <w:spacing w:val="-1"/>
        </w:rPr>
        <w:t>rather</w:t>
      </w:r>
      <w:r>
        <w:t xml:space="preserve"> than using the </w:t>
      </w:r>
      <w:r>
        <w:rPr>
          <w:spacing w:val="-1"/>
        </w:rPr>
        <w:t>remaining</w:t>
      </w:r>
      <w:r>
        <w:t xml:space="preserve"> life </w:t>
      </w:r>
      <w:r>
        <w:rPr>
          <w:spacing w:val="-1"/>
        </w:rPr>
        <w:t>estimate</w:t>
      </w:r>
      <w:r>
        <w:t xml:space="preserve"> for assets in </w:t>
      </w:r>
      <w:r>
        <w:rPr>
          <w:spacing w:val="-1"/>
        </w:rPr>
        <w:t>existence</w:t>
      </w:r>
      <w:r>
        <w:t xml:space="preserve"> </w:t>
      </w:r>
      <w:r>
        <w:rPr>
          <w:spacing w:val="-1"/>
        </w:rPr>
        <w:t>at</w:t>
      </w:r>
      <w:r>
        <w:t xml:space="preserve"> the </w:t>
      </w:r>
      <w:r>
        <w:rPr>
          <w:spacing w:val="-1"/>
        </w:rPr>
        <w:t>start</w:t>
      </w:r>
      <w:r>
        <w:t xml:space="preserve"> of</w:t>
      </w:r>
      <w:r>
        <w:rPr>
          <w:spacing w:val="4"/>
        </w:rPr>
        <w:t xml:space="preserve"> </w:t>
      </w:r>
      <w:r>
        <w:t>the</w:t>
      </w:r>
      <w:r>
        <w:rPr>
          <w:spacing w:val="43"/>
        </w:rPr>
        <w:t xml:space="preserve"> </w:t>
      </w:r>
      <w:r>
        <w:rPr>
          <w:spacing w:val="-1"/>
        </w:rPr>
        <w:t>regulatory</w:t>
      </w:r>
      <w:r>
        <w:t xml:space="preserve"> period and the </w:t>
      </w:r>
      <w:r>
        <w:rPr>
          <w:spacing w:val="-1"/>
        </w:rPr>
        <w:t>standard</w:t>
      </w:r>
      <w:r>
        <w:t xml:space="preserve"> life </w:t>
      </w:r>
      <w:r>
        <w:rPr>
          <w:spacing w:val="-1"/>
        </w:rPr>
        <w:t>estimate</w:t>
      </w:r>
      <w:r>
        <w:t xml:space="preserve"> for assets to be commissioned in 2013-14 and</w:t>
      </w:r>
      <w:r>
        <w:rPr>
          <w:spacing w:val="29"/>
        </w:rPr>
        <w:t xml:space="preserve"> </w:t>
      </w:r>
      <w:r>
        <w:t>2014-15,</w:t>
      </w:r>
      <w:r>
        <w:rPr>
          <w:spacing w:val="-6"/>
        </w:rPr>
        <w:t xml:space="preserve"> </w:t>
      </w:r>
      <w:r>
        <w:t>and</w:t>
      </w:r>
    </w:p>
    <w:p w:rsidR="00D96B91" w:rsidRDefault="00C2656B">
      <w:pPr>
        <w:pStyle w:val="BodyText"/>
        <w:numPr>
          <w:ilvl w:val="1"/>
          <w:numId w:val="69"/>
        </w:numPr>
        <w:tabs>
          <w:tab w:val="left" w:pos="1815"/>
        </w:tabs>
        <w:spacing w:before="85" w:line="260" w:lineRule="exact"/>
        <w:ind w:right="1320"/>
      </w:pPr>
      <w:r>
        <w:t xml:space="preserve">applying the </w:t>
      </w:r>
      <w:r>
        <w:rPr>
          <w:spacing w:val="-1"/>
        </w:rPr>
        <w:t>remaining</w:t>
      </w:r>
      <w:r>
        <w:t xml:space="preserve"> asset life to the opening asset value,</w:t>
      </w:r>
      <w:r>
        <w:rPr>
          <w:spacing w:val="-7"/>
        </w:rPr>
        <w:t xml:space="preserve"> </w:t>
      </w:r>
      <w:r>
        <w:rPr>
          <w:spacing w:val="-1"/>
        </w:rPr>
        <w:t>rather</w:t>
      </w:r>
      <w:r>
        <w:t xml:space="preserve"> than the </w:t>
      </w:r>
      <w:r>
        <w:rPr>
          <w:spacing w:val="-1"/>
        </w:rPr>
        <w:t>depreciated</w:t>
      </w:r>
      <w:r>
        <w:t xml:space="preserve"> value of</w:t>
      </w:r>
      <w:r>
        <w:rPr>
          <w:spacing w:val="23"/>
        </w:rPr>
        <w:t xml:space="preserve"> </w:t>
      </w:r>
      <w:r>
        <w:t xml:space="preserve">the assets in </w:t>
      </w:r>
      <w:r>
        <w:rPr>
          <w:spacing w:val="-1"/>
        </w:rPr>
        <w:t>each</w:t>
      </w:r>
      <w:r>
        <w:t xml:space="preserve"> </w:t>
      </w:r>
      <w:r>
        <w:rPr>
          <w:spacing w:val="-3"/>
        </w:rPr>
        <w:t>year.</w:t>
      </w:r>
    </w:p>
    <w:p w:rsidR="00D96B91" w:rsidRDefault="00C2656B">
      <w:pPr>
        <w:pStyle w:val="BodyText"/>
        <w:spacing w:before="85" w:line="260" w:lineRule="exact"/>
        <w:ind w:right="1283"/>
        <w:rPr>
          <w:sz w:val="11"/>
          <w:szCs w:val="11"/>
        </w:rPr>
      </w:pPr>
      <w:r>
        <w:rPr>
          <w:spacing w:val="-2"/>
        </w:rPr>
        <w:t>ACTEW</w:t>
      </w:r>
      <w:r>
        <w:rPr>
          <w:spacing w:val="-3"/>
        </w:rPr>
        <w:t xml:space="preserve"> </w:t>
      </w:r>
      <w:r>
        <w:t xml:space="preserve">also contended </w:t>
      </w:r>
      <w:r>
        <w:rPr>
          <w:spacing w:val="-1"/>
        </w:rPr>
        <w:t>that</w:t>
      </w:r>
      <w:r>
        <w:t xml:space="preserve"> while these </w:t>
      </w:r>
      <w:r>
        <w:rPr>
          <w:spacing w:val="-1"/>
        </w:rPr>
        <w:t>errors</w:t>
      </w:r>
      <w:r>
        <w:t xml:space="preserve"> do not have an impact on its </w:t>
      </w:r>
      <w:r>
        <w:rPr>
          <w:spacing w:val="-1"/>
        </w:rPr>
        <w:t>revenue</w:t>
      </w:r>
      <w:r>
        <w:t xml:space="preserve"> </w:t>
      </w:r>
      <w:r>
        <w:rPr>
          <w:spacing w:val="-1"/>
        </w:rPr>
        <w:t>requirement</w:t>
      </w:r>
      <w:r>
        <w:t xml:space="preserve"> over</w:t>
      </w:r>
      <w:r>
        <w:rPr>
          <w:spacing w:val="27"/>
        </w:rPr>
        <w:t xml:space="preserve"> </w:t>
      </w:r>
      <w:r>
        <w:t>the long-term,</w:t>
      </w:r>
      <w:r>
        <w:rPr>
          <w:spacing w:val="-6"/>
        </w:rPr>
        <w:t xml:space="preserve"> </w:t>
      </w:r>
      <w:r>
        <w:t xml:space="preserve">they </w:t>
      </w:r>
      <w:r>
        <w:rPr>
          <w:spacing w:val="-1"/>
        </w:rPr>
        <w:t>reduce</w:t>
      </w:r>
      <w:r>
        <w:t xml:space="preserve"> its cashflows in the </w:t>
      </w:r>
      <w:r>
        <w:rPr>
          <w:spacing w:val="-1"/>
        </w:rPr>
        <w:t>short</w:t>
      </w:r>
      <w:r>
        <w:t xml:space="preserve"> term.</w:t>
      </w:r>
      <w:r>
        <w:rPr>
          <w:position w:val="7"/>
          <w:sz w:val="11"/>
        </w:rPr>
        <w:t>136</w:t>
      </w:r>
    </w:p>
    <w:p w:rsidR="00D96B91" w:rsidRDefault="00C2656B">
      <w:pPr>
        <w:pStyle w:val="BodyText"/>
        <w:spacing w:before="170" w:line="260" w:lineRule="exact"/>
        <w:ind w:right="1183"/>
        <w:rPr>
          <w:rFonts w:cs="Avenir Next"/>
        </w:rPr>
      </w:pPr>
      <w:r>
        <w:rPr>
          <w:rFonts w:cs="Avenir Next"/>
        </w:rPr>
        <w:t>In addition,</w:t>
      </w:r>
      <w:r>
        <w:rPr>
          <w:rFonts w:cs="Avenir Next"/>
          <w:spacing w:val="-10"/>
        </w:rPr>
        <w:t xml:space="preserve"> </w:t>
      </w:r>
      <w:r>
        <w:rPr>
          <w:rFonts w:cs="Avenir Next"/>
          <w:spacing w:val="-2"/>
        </w:rPr>
        <w:t>ACTEW</w:t>
      </w:r>
      <w:r>
        <w:rPr>
          <w:rFonts w:cs="Avenir Next"/>
          <w:spacing w:val="-3"/>
        </w:rPr>
        <w:t xml:space="preserve"> </w:t>
      </w:r>
      <w:r>
        <w:rPr>
          <w:rFonts w:cs="Avenir Next"/>
        </w:rPr>
        <w:t xml:space="preserve">contended </w:t>
      </w:r>
      <w:r>
        <w:rPr>
          <w:rFonts w:cs="Avenir Next"/>
          <w:spacing w:val="-1"/>
        </w:rPr>
        <w:t>that</w:t>
      </w:r>
      <w:r>
        <w:rPr>
          <w:rFonts w:cs="Avenir Next"/>
        </w:rPr>
        <w:t xml:space="preserve"> </w:t>
      </w:r>
      <w:r>
        <w:rPr>
          <w:rFonts w:cs="Avenir Next"/>
          <w:spacing w:val="-1"/>
        </w:rPr>
        <w:t>depreciation</w:t>
      </w:r>
      <w:r>
        <w:rPr>
          <w:rFonts w:cs="Avenir Next"/>
        </w:rPr>
        <w:t xml:space="preserve"> should be </w:t>
      </w:r>
      <w:r>
        <w:rPr>
          <w:rFonts w:cs="Avenir Next"/>
          <w:spacing w:val="-1"/>
        </w:rPr>
        <w:t>calculated</w:t>
      </w:r>
      <w:r>
        <w:rPr>
          <w:rFonts w:cs="Avenir Next"/>
        </w:rPr>
        <w:t xml:space="preserve"> using accounting and</w:t>
      </w:r>
      <w:r>
        <w:rPr>
          <w:rFonts w:cs="Avenir Next"/>
          <w:spacing w:val="37"/>
        </w:rPr>
        <w:t xml:space="preserve"> </w:t>
      </w:r>
      <w:r>
        <w:rPr>
          <w:rFonts w:cs="Avenir Next"/>
        </w:rPr>
        <w:t xml:space="preserve">engineering based </w:t>
      </w:r>
      <w:r>
        <w:rPr>
          <w:rFonts w:cs="Avenir Next"/>
          <w:spacing w:val="-1"/>
        </w:rPr>
        <w:t>estimates</w:t>
      </w:r>
      <w:r>
        <w:rPr>
          <w:rFonts w:cs="Avenir Next"/>
        </w:rPr>
        <w:t xml:space="preserve"> of</w:t>
      </w:r>
      <w:r>
        <w:rPr>
          <w:rFonts w:cs="Avenir Next"/>
          <w:spacing w:val="4"/>
        </w:rPr>
        <w:t xml:space="preserve"> </w:t>
      </w:r>
      <w:r>
        <w:rPr>
          <w:rFonts w:cs="Avenir Next"/>
        </w:rPr>
        <w:t>the lives of</w:t>
      </w:r>
      <w:r>
        <w:rPr>
          <w:rFonts w:cs="Avenir Next"/>
          <w:spacing w:val="4"/>
        </w:rPr>
        <w:t xml:space="preserve"> </w:t>
      </w:r>
      <w:r>
        <w:rPr>
          <w:rFonts w:cs="Avenir Next"/>
        </w:rPr>
        <w:t xml:space="preserve">new and </w:t>
      </w:r>
      <w:r>
        <w:rPr>
          <w:rFonts w:cs="Avenir Next"/>
          <w:spacing w:val="-1"/>
        </w:rPr>
        <w:t>existing</w:t>
      </w:r>
      <w:r>
        <w:rPr>
          <w:rFonts w:cs="Avenir Next"/>
        </w:rPr>
        <w:t xml:space="preserve"> assets,</w:t>
      </w:r>
      <w:r>
        <w:rPr>
          <w:rFonts w:cs="Avenir Next"/>
          <w:spacing w:val="-6"/>
        </w:rPr>
        <w:t xml:space="preserve"> </w:t>
      </w:r>
      <w:r>
        <w:rPr>
          <w:rFonts w:cs="Avenir Next"/>
          <w:spacing w:val="-1"/>
        </w:rPr>
        <w:t>rather</w:t>
      </w:r>
      <w:r>
        <w:rPr>
          <w:rFonts w:cs="Avenir Next"/>
        </w:rPr>
        <w:t xml:space="preserve"> than the notional </w:t>
      </w:r>
      <w:r>
        <w:rPr>
          <w:rFonts w:cs="Avenir Next"/>
          <w:spacing w:val="-1"/>
        </w:rPr>
        <w:t>estimates</w:t>
      </w:r>
      <w:r>
        <w:rPr>
          <w:rFonts w:cs="Avenir Next"/>
          <w:spacing w:val="39"/>
        </w:rPr>
        <w:t xml:space="preserve"> </w:t>
      </w:r>
      <w:r>
        <w:t>adopted by the ICRC,</w:t>
      </w:r>
      <w:r>
        <w:rPr>
          <w:spacing w:val="-6"/>
        </w:rPr>
        <w:t xml:space="preserve"> </w:t>
      </w:r>
      <w:r>
        <w:t xml:space="preserve">which it claims </w:t>
      </w:r>
      <w:r>
        <w:rPr>
          <w:spacing w:val="-2"/>
        </w:rPr>
        <w:t>are</w:t>
      </w:r>
      <w:r>
        <w:t xml:space="preserve"> </w:t>
      </w:r>
      <w:r>
        <w:rPr>
          <w:spacing w:val="-1"/>
        </w:rPr>
        <w:t>“materially</w:t>
      </w:r>
      <w:r>
        <w:t xml:space="preserve"> higher than the actual economic or accounting</w:t>
      </w:r>
      <w:r>
        <w:rPr>
          <w:spacing w:val="23"/>
        </w:rPr>
        <w:t xml:space="preserve"> </w:t>
      </w:r>
      <w:r>
        <w:t>lives</w:t>
      </w:r>
      <w:r>
        <w:rPr>
          <w:spacing w:val="-24"/>
        </w:rPr>
        <w:t>”</w:t>
      </w:r>
      <w:r>
        <w:t>.</w:t>
      </w:r>
      <w:r>
        <w:rPr>
          <w:position w:val="7"/>
          <w:sz w:val="11"/>
          <w:szCs w:val="11"/>
        </w:rPr>
        <w:t>137</w:t>
      </w:r>
      <w:r>
        <w:rPr>
          <w:spacing w:val="19"/>
          <w:position w:val="7"/>
          <w:sz w:val="11"/>
          <w:szCs w:val="11"/>
        </w:rPr>
        <w:t xml:space="preserve"> </w:t>
      </w:r>
      <w:r>
        <w:rPr>
          <w:rFonts w:cs="Avenir Next"/>
          <w:spacing w:val="-4"/>
        </w:rPr>
        <w:t>A</w:t>
      </w:r>
      <w:r>
        <w:rPr>
          <w:rFonts w:cs="Avenir Next"/>
          <w:spacing w:val="-2"/>
        </w:rPr>
        <w:t>C</w:t>
      </w:r>
      <w:r>
        <w:rPr>
          <w:rFonts w:cs="Avenir Next"/>
        </w:rPr>
        <w:t>TE</w:t>
      </w:r>
      <w:r>
        <w:rPr>
          <w:rFonts w:cs="Avenir Next"/>
          <w:spacing w:val="3"/>
        </w:rPr>
        <w:t>W</w:t>
      </w:r>
      <w:r>
        <w:rPr>
          <w:rFonts w:cs="Avenir Next"/>
          <w:spacing w:val="-10"/>
        </w:rPr>
        <w:t>’</w:t>
      </w:r>
      <w:r>
        <w:rPr>
          <w:rFonts w:cs="Avenir Next"/>
        </w:rPr>
        <w:t>s</w:t>
      </w:r>
      <w:r>
        <w:rPr>
          <w:rFonts w:cs="Avenir Next"/>
          <w:spacing w:val="-1"/>
        </w:rPr>
        <w:t xml:space="preserve"> </w:t>
      </w:r>
      <w:r>
        <w:rPr>
          <w:rFonts w:cs="Avenir Next"/>
        </w:rPr>
        <w:t>position on</w:t>
      </w:r>
      <w:r>
        <w:rPr>
          <w:rFonts w:cs="Avenir Next"/>
          <w:spacing w:val="-1"/>
        </w:rPr>
        <w:t xml:space="preserve"> </w:t>
      </w:r>
      <w:r>
        <w:rPr>
          <w:rFonts w:cs="Avenir Next"/>
        </w:rPr>
        <w:t>this issue</w:t>
      </w:r>
      <w:r>
        <w:rPr>
          <w:rFonts w:cs="Avenir Next"/>
          <w:spacing w:val="-1"/>
        </w:rPr>
        <w:t xml:space="preserve"> </w:t>
      </w:r>
      <w:r>
        <w:rPr>
          <w:rFonts w:cs="Avenir Next"/>
        </w:rPr>
        <w:t>is consistent with</w:t>
      </w:r>
      <w:r>
        <w:rPr>
          <w:rFonts w:cs="Avenir Next"/>
          <w:spacing w:val="-1"/>
        </w:rPr>
        <w:t xml:space="preserve"> </w:t>
      </w:r>
      <w:r>
        <w:rPr>
          <w:rFonts w:cs="Avenir Next"/>
        </w:rPr>
        <w:t>the position</w:t>
      </w:r>
      <w:r>
        <w:rPr>
          <w:rFonts w:cs="Avenir Next"/>
          <w:spacing w:val="-1"/>
        </w:rPr>
        <w:t xml:space="preserve"> </w:t>
      </w:r>
      <w:r>
        <w:rPr>
          <w:rFonts w:cs="Avenir Next"/>
        </w:rPr>
        <w:t>it took</w:t>
      </w:r>
      <w:r>
        <w:rPr>
          <w:rFonts w:cs="Avenir Next"/>
          <w:spacing w:val="-1"/>
        </w:rPr>
        <w:t xml:space="preserve"> </w:t>
      </w:r>
      <w:r>
        <w:rPr>
          <w:rFonts w:cs="Avenir Next"/>
        </w:rPr>
        <w:t>in its</w:t>
      </w:r>
      <w:r>
        <w:rPr>
          <w:rFonts w:cs="Avenir Next"/>
          <w:spacing w:val="-1"/>
        </w:rPr>
        <w:t xml:space="preserve"> </w:t>
      </w:r>
      <w:r>
        <w:rPr>
          <w:rFonts w:cs="Avenir Next"/>
        </w:rPr>
        <w:t xml:space="preserve">original submission to </w:t>
      </w:r>
      <w:r>
        <w:t>the ICRC in</w:t>
      </w:r>
      <w:r>
        <w:rPr>
          <w:spacing w:val="-3"/>
        </w:rPr>
        <w:t xml:space="preserve"> </w:t>
      </w:r>
      <w:r>
        <w:t>July 2012,</w:t>
      </w:r>
      <w:r>
        <w:rPr>
          <w:spacing w:val="-6"/>
        </w:rPr>
        <w:t xml:space="preserve"> </w:t>
      </w:r>
      <w:r>
        <w:t xml:space="preserve">but </w:t>
      </w:r>
      <w:r>
        <w:rPr>
          <w:spacing w:val="-1"/>
        </w:rPr>
        <w:t>differs</w:t>
      </w:r>
      <w:r>
        <w:t xml:space="preserve"> </w:t>
      </w:r>
      <w:r>
        <w:rPr>
          <w:spacing w:val="-1"/>
        </w:rPr>
        <w:t>from</w:t>
      </w:r>
      <w:r>
        <w:t xml:space="preserve"> its position in its subsequent</w:t>
      </w:r>
      <w:r>
        <w:rPr>
          <w:spacing w:val="-4"/>
        </w:rPr>
        <w:t xml:space="preserve"> </w:t>
      </w:r>
      <w:r>
        <w:t>April 2013 submission to the ICRC,</w:t>
      </w:r>
      <w:r>
        <w:rPr>
          <w:spacing w:val="24"/>
        </w:rPr>
        <w:t xml:space="preserve"> </w:t>
      </w:r>
      <w:r>
        <w:rPr>
          <w:rFonts w:cs="Avenir Next"/>
        </w:rPr>
        <w:t>when</w:t>
      </w:r>
      <w:r>
        <w:rPr>
          <w:rFonts w:cs="Avenir Next"/>
          <w:spacing w:val="-4"/>
        </w:rPr>
        <w:t xml:space="preserve"> </w:t>
      </w:r>
      <w:r>
        <w:rPr>
          <w:rFonts w:cs="Avenir Next"/>
          <w:spacing w:val="-2"/>
        </w:rPr>
        <w:t>ACTEW</w:t>
      </w:r>
      <w:r>
        <w:rPr>
          <w:rFonts w:cs="Avenir Next"/>
          <w:spacing w:val="-3"/>
        </w:rPr>
        <w:t xml:space="preserve"> </w:t>
      </w:r>
      <w:r>
        <w:rPr>
          <w:rFonts w:cs="Avenir Next"/>
        </w:rPr>
        <w:t xml:space="preserve">noted </w:t>
      </w:r>
      <w:r>
        <w:rPr>
          <w:rFonts w:cs="Avenir Next"/>
          <w:spacing w:val="-1"/>
        </w:rPr>
        <w:t>that:</w:t>
      </w:r>
    </w:p>
    <w:p w:rsidR="00D96B91" w:rsidRDefault="00C2656B">
      <w:pPr>
        <w:pStyle w:val="BodyText"/>
        <w:numPr>
          <w:ilvl w:val="0"/>
          <w:numId w:val="131"/>
        </w:numPr>
        <w:tabs>
          <w:tab w:val="left" w:pos="1531"/>
        </w:tabs>
        <w:spacing w:before="170" w:line="260" w:lineRule="exact"/>
        <w:ind w:right="1406" w:hanging="283"/>
        <w:rPr>
          <w:rFonts w:cs="Avenir Next"/>
        </w:rPr>
      </w:pPr>
      <w:r>
        <w:t xml:space="preserve">for assets in </w:t>
      </w:r>
      <w:r>
        <w:rPr>
          <w:spacing w:val="-1"/>
        </w:rPr>
        <w:t>existence</w:t>
      </w:r>
      <w:r>
        <w:t xml:space="preserve"> as </w:t>
      </w:r>
      <w:r>
        <w:rPr>
          <w:spacing w:val="-1"/>
        </w:rPr>
        <w:t>at</w:t>
      </w:r>
      <w:r>
        <w:t xml:space="preserve"> 1</w:t>
      </w:r>
      <w:r>
        <w:rPr>
          <w:spacing w:val="-3"/>
        </w:rPr>
        <w:t xml:space="preserve"> </w:t>
      </w:r>
      <w:r>
        <w:t>July 2013,</w:t>
      </w:r>
      <w:r>
        <w:rPr>
          <w:spacing w:val="-6"/>
        </w:rPr>
        <w:t xml:space="preserve"> </w:t>
      </w:r>
      <w:r>
        <w:t xml:space="preserve">the notional </w:t>
      </w:r>
      <w:r>
        <w:rPr>
          <w:spacing w:val="-1"/>
        </w:rPr>
        <w:t>approach</w:t>
      </w:r>
      <w:r>
        <w:t xml:space="preserve"> used by the ICRC should be used to</w:t>
      </w:r>
      <w:r>
        <w:rPr>
          <w:spacing w:val="23"/>
        </w:rPr>
        <w:t xml:space="preserve"> </w:t>
      </w:r>
      <w:r>
        <w:t>p</w:t>
      </w:r>
      <w:r>
        <w:rPr>
          <w:spacing w:val="-4"/>
        </w:rPr>
        <w:t>r</w:t>
      </w:r>
      <w:r>
        <w:t xml:space="preserve">ovide customers with </w:t>
      </w:r>
      <w:r>
        <w:rPr>
          <w:spacing w:val="-9"/>
        </w:rPr>
        <w:t>“</w:t>
      </w:r>
      <w:r>
        <w:t>ce</w:t>
      </w:r>
      <w:r>
        <w:rPr>
          <w:spacing w:val="-3"/>
        </w:rPr>
        <w:t>r</w:t>
      </w:r>
      <w:r>
        <w:t>tainty</w:t>
      </w:r>
      <w:r>
        <w:rPr>
          <w:spacing w:val="-24"/>
        </w:rPr>
        <w:t>”</w:t>
      </w:r>
      <w:r>
        <w:t>,</w:t>
      </w:r>
      <w:r>
        <w:rPr>
          <w:spacing w:val="-6"/>
        </w:rPr>
        <w:t xml:space="preserve"> </w:t>
      </w:r>
      <w:r>
        <w:t xml:space="preserve">but the ICRC should </w:t>
      </w:r>
      <w:r>
        <w:rPr>
          <w:spacing w:val="-4"/>
        </w:rPr>
        <w:t>r</w:t>
      </w:r>
      <w:r>
        <w:t>eview its app</w:t>
      </w:r>
      <w:r>
        <w:rPr>
          <w:spacing w:val="-4"/>
        </w:rPr>
        <w:t>r</w:t>
      </w:r>
      <w:r>
        <w:t xml:space="preserve">oach </w:t>
      </w:r>
      <w:r>
        <w:rPr>
          <w:spacing w:val="-2"/>
        </w:rPr>
        <w:t>a</w:t>
      </w:r>
      <w:r>
        <w:t>t the n</w:t>
      </w:r>
      <w:r>
        <w:rPr>
          <w:spacing w:val="-2"/>
        </w:rPr>
        <w:t>e</w:t>
      </w:r>
      <w:r>
        <w:t xml:space="preserve">xt </w:t>
      </w:r>
      <w:r>
        <w:rPr>
          <w:spacing w:val="-4"/>
        </w:rPr>
        <w:t>r</w:t>
      </w:r>
      <w:r>
        <w:t>egul</w:t>
      </w:r>
      <w:r>
        <w:rPr>
          <w:spacing w:val="-2"/>
        </w:rPr>
        <w:t>a</w:t>
      </w:r>
      <w:r>
        <w:t xml:space="preserve">tory </w:t>
      </w:r>
      <w:r>
        <w:rPr>
          <w:rFonts w:cs="Avenir Next"/>
        </w:rPr>
        <w:t>period,</w:t>
      </w:r>
      <w:r>
        <w:rPr>
          <w:position w:val="7"/>
          <w:sz w:val="11"/>
          <w:szCs w:val="11"/>
        </w:rPr>
        <w:t xml:space="preserve">138 </w:t>
      </w:r>
      <w:r>
        <w:rPr>
          <w:spacing w:val="6"/>
          <w:position w:val="7"/>
          <w:sz w:val="11"/>
          <w:szCs w:val="11"/>
        </w:rPr>
        <w:t xml:space="preserve"> </w:t>
      </w:r>
      <w:r>
        <w:rPr>
          <w:rFonts w:cs="Avenir Next"/>
        </w:rPr>
        <w:t>and</w:t>
      </w:r>
    </w:p>
    <w:p w:rsidR="00D96B91" w:rsidRDefault="00C2656B">
      <w:pPr>
        <w:pStyle w:val="BodyText"/>
        <w:numPr>
          <w:ilvl w:val="0"/>
          <w:numId w:val="131"/>
        </w:numPr>
        <w:tabs>
          <w:tab w:val="left" w:pos="1531"/>
        </w:tabs>
        <w:spacing w:before="85" w:line="260" w:lineRule="exact"/>
        <w:ind w:right="1922" w:hanging="283"/>
      </w:pPr>
      <w:r>
        <w:t xml:space="preserve">for assets to be commissioned during this </w:t>
      </w:r>
      <w:r>
        <w:rPr>
          <w:spacing w:val="-1"/>
        </w:rPr>
        <w:t>regulatory</w:t>
      </w:r>
      <w:r>
        <w:t xml:space="preserve"> period,</w:t>
      </w:r>
      <w:r>
        <w:rPr>
          <w:spacing w:val="-6"/>
        </w:rPr>
        <w:t xml:space="preserve"> </w:t>
      </w:r>
      <w:r>
        <w:t>the ICRC should use a weighted</w:t>
      </w:r>
      <w:r>
        <w:rPr>
          <w:spacing w:val="25"/>
        </w:rPr>
        <w:t xml:space="preserve"> </w:t>
      </w:r>
      <w:r>
        <w:rPr>
          <w:spacing w:val="-1"/>
        </w:rPr>
        <w:t>average standard</w:t>
      </w:r>
      <w:r>
        <w:t xml:space="preserve"> asset</w:t>
      </w:r>
      <w:r>
        <w:rPr>
          <w:spacing w:val="-1"/>
        </w:rPr>
        <w:t xml:space="preserve"> </w:t>
      </w:r>
      <w:r>
        <w:t xml:space="preserve">life </w:t>
      </w:r>
      <w:r>
        <w:rPr>
          <w:spacing w:val="-1"/>
        </w:rPr>
        <w:t>that</w:t>
      </w:r>
      <w:r>
        <w:t xml:space="preserve"> </w:t>
      </w:r>
      <w:r>
        <w:rPr>
          <w:spacing w:val="-1"/>
        </w:rPr>
        <w:t xml:space="preserve">reflects </w:t>
      </w:r>
      <w:r>
        <w:t xml:space="preserve">the </w:t>
      </w:r>
      <w:r>
        <w:rPr>
          <w:spacing w:val="-1"/>
        </w:rPr>
        <w:t xml:space="preserve">expected </w:t>
      </w:r>
      <w:r>
        <w:t>life of</w:t>
      </w:r>
      <w:r>
        <w:rPr>
          <w:spacing w:val="4"/>
        </w:rPr>
        <w:t xml:space="preserve"> </w:t>
      </w:r>
      <w:r>
        <w:t>assets</w:t>
      </w:r>
      <w:r>
        <w:rPr>
          <w:spacing w:val="-1"/>
        </w:rPr>
        <w:t xml:space="preserve"> that</w:t>
      </w:r>
      <w:r>
        <w:t xml:space="preserve"> </w:t>
      </w:r>
      <w:r>
        <w:rPr>
          <w:spacing w:val="-2"/>
        </w:rPr>
        <w:t>are</w:t>
      </w:r>
      <w:r>
        <w:rPr>
          <w:spacing w:val="-1"/>
        </w:rPr>
        <w:t xml:space="preserve"> forecast</w:t>
      </w:r>
      <w:r>
        <w:t xml:space="preserve"> to be</w:t>
      </w:r>
      <w:r>
        <w:rPr>
          <w:spacing w:val="57"/>
        </w:rPr>
        <w:t xml:space="preserve"> </w:t>
      </w:r>
      <w:r>
        <w:t>constructed.</w:t>
      </w:r>
    </w:p>
    <w:p w:rsidR="00D96B91" w:rsidRDefault="00D96B91">
      <w:pPr>
        <w:spacing w:before="3"/>
        <w:rPr>
          <w:rFonts w:ascii="Avenir Next" w:eastAsia="Avenir Next" w:hAnsi="Avenir Next" w:cs="Avenir Next"/>
          <w:sz w:val="14"/>
          <w:szCs w:val="14"/>
        </w:rPr>
      </w:pPr>
    </w:p>
    <w:p w:rsidR="00D96B91" w:rsidRDefault="00C2656B">
      <w:pPr>
        <w:pStyle w:val="Heading6"/>
        <w:numPr>
          <w:ilvl w:val="2"/>
          <w:numId w:val="70"/>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9"/>
        <w:rPr>
          <w:rFonts w:cs="Avenir Next"/>
        </w:rPr>
      </w:pPr>
      <w:r>
        <w:rPr>
          <w:rFonts w:cs="Avenir Next"/>
          <w:spacing w:val="-10"/>
        </w:rPr>
        <w:t>To</w:t>
      </w:r>
      <w:r>
        <w:rPr>
          <w:rFonts w:cs="Avenir Next"/>
        </w:rPr>
        <w:t xml:space="preserve"> test</w:t>
      </w:r>
      <w:r>
        <w:rPr>
          <w:rFonts w:cs="Avenir Next"/>
          <w:spacing w:val="-4"/>
        </w:rPr>
        <w:t xml:space="preserve"> </w:t>
      </w:r>
      <w:r>
        <w:rPr>
          <w:rFonts w:cs="Avenir Next"/>
          <w:spacing w:val="-2"/>
        </w:rPr>
        <w:t>ACTEW’s</w:t>
      </w:r>
      <w:r>
        <w:rPr>
          <w:rFonts w:cs="Avenir Next"/>
        </w:rPr>
        <w:t xml:space="preserve"> contentions on </w:t>
      </w:r>
      <w:r>
        <w:rPr>
          <w:rFonts w:cs="Avenir Next"/>
          <w:spacing w:val="-1"/>
        </w:rPr>
        <w:t>depreciation,</w:t>
      </w:r>
      <w:r>
        <w:rPr>
          <w:rFonts w:cs="Avenir Next"/>
          <w:spacing w:val="-7"/>
        </w:rPr>
        <w:t xml:space="preserve"> </w:t>
      </w:r>
      <w:r>
        <w:rPr>
          <w:rFonts w:cs="Avenir Next"/>
        </w:rPr>
        <w:t xml:space="preserve">the </w:t>
      </w:r>
      <w:r>
        <w:rPr>
          <w:rFonts w:cs="Avenir Next"/>
          <w:spacing w:val="-3"/>
        </w:rPr>
        <w:t>Panel</w:t>
      </w:r>
      <w:r>
        <w:rPr>
          <w:rFonts w:cs="Avenir Next"/>
        </w:rPr>
        <w:t xml:space="preserve"> conducted a detailed </w:t>
      </w:r>
      <w:r>
        <w:rPr>
          <w:rFonts w:cs="Avenir Next"/>
          <w:spacing w:val="-1"/>
        </w:rPr>
        <w:t>review</w:t>
      </w:r>
      <w:r>
        <w:rPr>
          <w:rFonts w:cs="Avenir Next"/>
        </w:rPr>
        <w:t xml:space="preserve"> of</w:t>
      </w:r>
      <w:r>
        <w:rPr>
          <w:rFonts w:cs="Avenir Next"/>
          <w:spacing w:val="4"/>
        </w:rPr>
        <w:t xml:space="preserve"> </w:t>
      </w:r>
      <w:r>
        <w:rPr>
          <w:rFonts w:cs="Avenir Next"/>
        </w:rPr>
        <w:t>both:</w:t>
      </w:r>
    </w:p>
    <w:p w:rsidR="00D96B91" w:rsidRDefault="00C2656B">
      <w:pPr>
        <w:pStyle w:val="BodyText"/>
        <w:numPr>
          <w:ilvl w:val="0"/>
          <w:numId w:val="131"/>
        </w:numPr>
        <w:tabs>
          <w:tab w:val="left" w:pos="1531"/>
        </w:tabs>
        <w:spacing w:before="157"/>
        <w:ind w:hanging="283"/>
        <w:rPr>
          <w:rFonts w:cs="Avenir Next"/>
        </w:rPr>
      </w:pPr>
      <w:r>
        <w:t>the pricing</w:t>
      </w:r>
      <w:r>
        <w:rPr>
          <w:spacing w:val="1"/>
        </w:rPr>
        <w:t xml:space="preserve"> </w:t>
      </w:r>
      <w:r>
        <w:t>model</w:t>
      </w:r>
      <w:r>
        <w:rPr>
          <w:spacing w:val="1"/>
        </w:rPr>
        <w:t xml:space="preserve"> </w:t>
      </w:r>
      <w:r>
        <w:t>used</w:t>
      </w:r>
      <w:r>
        <w:rPr>
          <w:spacing w:val="1"/>
        </w:rPr>
        <w:t xml:space="preserve"> </w:t>
      </w:r>
      <w:r>
        <w:t>in</w:t>
      </w:r>
      <w:r>
        <w:rPr>
          <w:spacing w:val="1"/>
        </w:rPr>
        <w:t xml:space="preserve"> </w:t>
      </w:r>
      <w:r>
        <w:t>the</w:t>
      </w:r>
      <w:r>
        <w:rPr>
          <w:spacing w:val="1"/>
        </w:rPr>
        <w:t xml:space="preserve"> </w:t>
      </w:r>
      <w:r>
        <w:rPr>
          <w:spacing w:val="-2"/>
        </w:rPr>
        <w:t>ICRC’s</w:t>
      </w:r>
      <w:r>
        <w:t xml:space="preserve"> final</w:t>
      </w:r>
      <w:r>
        <w:rPr>
          <w:spacing w:val="1"/>
        </w:rPr>
        <w:t xml:space="preserve"> </w:t>
      </w:r>
      <w:r>
        <w:t>decision,</w:t>
      </w:r>
      <w:r>
        <w:rPr>
          <w:position w:val="7"/>
          <w:sz w:val="11"/>
          <w:szCs w:val="11"/>
        </w:rPr>
        <w:t>139</w:t>
      </w:r>
      <w:r>
        <w:rPr>
          <w:spacing w:val="24"/>
          <w:position w:val="7"/>
          <w:sz w:val="11"/>
          <w:szCs w:val="11"/>
        </w:rPr>
        <w:t xml:space="preserve"> </w:t>
      </w:r>
      <w:r>
        <w:rPr>
          <w:rFonts w:cs="Avenir Next"/>
        </w:rPr>
        <w:t>and</w:t>
      </w:r>
    </w:p>
    <w:p w:rsidR="00D96B91" w:rsidRDefault="00C2656B">
      <w:pPr>
        <w:pStyle w:val="BodyText"/>
        <w:numPr>
          <w:ilvl w:val="0"/>
          <w:numId w:val="131"/>
        </w:numPr>
        <w:tabs>
          <w:tab w:val="left" w:pos="1531"/>
        </w:tabs>
        <w:spacing w:before="64" w:line="260" w:lineRule="exact"/>
        <w:ind w:right="1501" w:hanging="283"/>
      </w:pPr>
      <w:r>
        <w:t xml:space="preserve">the </w:t>
      </w:r>
      <w:r>
        <w:rPr>
          <w:spacing w:val="-1"/>
        </w:rPr>
        <w:t>material</w:t>
      </w:r>
      <w:r>
        <w:rPr>
          <w:spacing w:val="-4"/>
        </w:rPr>
        <w:t xml:space="preserve"> </w:t>
      </w:r>
      <w:r>
        <w:rPr>
          <w:spacing w:val="-2"/>
        </w:rPr>
        <w:t>ACTEW</w:t>
      </w:r>
      <w:r>
        <w:rPr>
          <w:spacing w:val="-3"/>
        </w:rPr>
        <w:t xml:space="preserve"> </w:t>
      </w:r>
      <w:r>
        <w:rPr>
          <w:spacing w:val="-1"/>
        </w:rPr>
        <w:t>submitted</w:t>
      </w:r>
      <w:r>
        <w:t xml:space="preserve"> to the ICRC in </w:t>
      </w:r>
      <w:r>
        <w:rPr>
          <w:spacing w:val="-1"/>
        </w:rPr>
        <w:t>support</w:t>
      </w:r>
      <w:r>
        <w:t xml:space="preserve"> of</w:t>
      </w:r>
      <w:r>
        <w:rPr>
          <w:spacing w:val="4"/>
        </w:rPr>
        <w:t xml:space="preserve"> </w:t>
      </w:r>
      <w:r>
        <w:t xml:space="preserve">its </w:t>
      </w:r>
      <w:r>
        <w:rPr>
          <w:spacing w:val="-1"/>
        </w:rPr>
        <w:t>proposed</w:t>
      </w:r>
      <w:r>
        <w:t xml:space="preserve"> asset lives and its </w:t>
      </w:r>
      <w:r>
        <w:rPr>
          <w:spacing w:val="-1"/>
        </w:rPr>
        <w:t>proposed</w:t>
      </w:r>
      <w:r>
        <w:rPr>
          <w:spacing w:val="57"/>
        </w:rPr>
        <w:t xml:space="preserve"> </w:t>
      </w:r>
      <w:r>
        <w:rPr>
          <w:spacing w:val="-1"/>
        </w:rPr>
        <w:t>application</w:t>
      </w:r>
      <w:r>
        <w:t xml:space="preserve"> of</w:t>
      </w:r>
      <w:r>
        <w:rPr>
          <w:spacing w:val="4"/>
        </w:rPr>
        <w:t xml:space="preserve"> </w:t>
      </w:r>
      <w:r>
        <w:t>these asset lives.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rFonts w:cs="Avenir Next"/>
          <w:spacing w:val="-2"/>
        </w:rPr>
        <w:t>The</w:t>
      </w:r>
      <w:r>
        <w:rPr>
          <w:rFonts w:cs="Avenir Next"/>
        </w:rPr>
        <w:t xml:space="preserve"> </w:t>
      </w:r>
      <w:r>
        <w:rPr>
          <w:rFonts w:cs="Avenir Next"/>
          <w:spacing w:val="-1"/>
        </w:rPr>
        <w:t>results</w:t>
      </w:r>
      <w:r>
        <w:rPr>
          <w:rFonts w:cs="Avenir Next"/>
        </w:rPr>
        <w:t xml:space="preserve"> of</w:t>
      </w:r>
      <w:r>
        <w:rPr>
          <w:rFonts w:cs="Avenir Next"/>
          <w:spacing w:val="4"/>
        </w:rPr>
        <w:t xml:space="preserve"> </w:t>
      </w:r>
      <w:r>
        <w:rPr>
          <w:rFonts w:cs="Avenir Next"/>
        </w:rPr>
        <w:t xml:space="preserve">this </w:t>
      </w:r>
      <w:r>
        <w:rPr>
          <w:rFonts w:cs="Avenir Next"/>
          <w:spacing w:val="-1"/>
        </w:rPr>
        <w:t>review</w:t>
      </w:r>
      <w:r>
        <w:rPr>
          <w:rFonts w:cs="Avenir Next"/>
        </w:rPr>
        <w:t xml:space="preserve"> </w:t>
      </w:r>
      <w:r>
        <w:rPr>
          <w:rFonts w:cs="Avenir Next"/>
          <w:spacing w:val="-2"/>
        </w:rPr>
        <w:t>are</w:t>
      </w:r>
      <w:r>
        <w:rPr>
          <w:rFonts w:cs="Avenir Next"/>
        </w:rPr>
        <w:t xml:space="preserve"> set out </w:t>
      </w:r>
      <w:r>
        <w:rPr>
          <w:rFonts w:cs="Avenir Next"/>
          <w:spacing w:val="-2"/>
        </w:rPr>
        <w:t>below,</w:t>
      </w:r>
      <w:r>
        <w:rPr>
          <w:rFonts w:cs="Avenir Next"/>
          <w:spacing w:val="-6"/>
        </w:rPr>
        <w:t xml:space="preserve"> </w:t>
      </w:r>
      <w:r>
        <w:rPr>
          <w:rFonts w:cs="Avenir Next"/>
        </w:rPr>
        <w:t xml:space="preserve">along with the </w:t>
      </w:r>
      <w:r>
        <w:rPr>
          <w:rFonts w:cs="Avenir Next"/>
          <w:spacing w:val="-4"/>
        </w:rPr>
        <w:t>Panel’s</w:t>
      </w:r>
      <w:r>
        <w:rPr>
          <w:rFonts w:cs="Avenir Next"/>
        </w:rPr>
        <w:t xml:space="preserve"> </w:t>
      </w:r>
      <w:r>
        <w:rPr>
          <w:rFonts w:cs="Avenir Next"/>
          <w:spacing w:val="-2"/>
        </w:rPr>
        <w:t>draft</w:t>
      </w:r>
      <w:r>
        <w:rPr>
          <w:rFonts w:cs="Avenir Next"/>
        </w:rPr>
        <w:t xml:space="preserve"> decision on the </w:t>
      </w:r>
      <w:r>
        <w:rPr>
          <w:rFonts w:cs="Avenir Next"/>
          <w:spacing w:val="-1"/>
        </w:rPr>
        <w:t>provision</w:t>
      </w:r>
      <w:r>
        <w:rPr>
          <w:rFonts w:cs="Avenir Next"/>
        </w:rPr>
        <w:t xml:space="preserve"> to be</w:t>
      </w:r>
      <w:r>
        <w:rPr>
          <w:rFonts w:cs="Avenir Next"/>
          <w:spacing w:val="55"/>
        </w:rPr>
        <w:t xml:space="preserve"> </w:t>
      </w:r>
      <w:r>
        <w:t xml:space="preserve">made for </w:t>
      </w:r>
      <w:r>
        <w:rPr>
          <w:spacing w:val="-1"/>
        </w:rPr>
        <w:t>depreciation</w:t>
      </w:r>
      <w:r>
        <w:t xml:space="preserve"> between 2013-14 and 2017-18.</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0"/>
        </w:numPr>
        <w:tabs>
          <w:tab w:val="left" w:pos="2212"/>
        </w:tabs>
        <w:rPr>
          <w:b w:val="0"/>
          <w:bCs w:val="0"/>
        </w:rPr>
      </w:pPr>
      <w:r>
        <w:rPr>
          <w:color w:val="0778BE"/>
          <w:spacing w:val="-1"/>
        </w:rPr>
        <w:t>Errors</w:t>
      </w:r>
      <w:r>
        <w:rPr>
          <w:color w:val="0778BE"/>
        </w:rPr>
        <w:t xml:space="preserve"> in </w:t>
      </w:r>
      <w:bookmarkStart w:id="123" w:name="_bookmark75"/>
      <w:bookmarkEnd w:id="123"/>
      <w:r>
        <w:rPr>
          <w:color w:val="0778BE"/>
        </w:rPr>
        <w:t xml:space="preserve">the </w:t>
      </w:r>
      <w:r>
        <w:rPr>
          <w:color w:val="0778BE"/>
          <w:spacing w:val="-1"/>
        </w:rPr>
        <w:t>calculation</w:t>
      </w:r>
      <w:r>
        <w:rPr>
          <w:color w:val="0778BE"/>
        </w:rPr>
        <w:t xml:space="preserve"> of</w:t>
      </w:r>
      <w:r>
        <w:rPr>
          <w:color w:val="0778BE"/>
          <w:spacing w:val="5"/>
        </w:rPr>
        <w:t xml:space="preserve"> </w:t>
      </w:r>
      <w:r>
        <w:rPr>
          <w:color w:val="0778BE"/>
          <w:spacing w:val="-1"/>
        </w:rPr>
        <w:t>depreciation</w:t>
      </w:r>
    </w:p>
    <w:p w:rsidR="00D96B91" w:rsidRDefault="00C2656B">
      <w:pPr>
        <w:pStyle w:val="BodyText"/>
        <w:tabs>
          <w:tab w:val="left" w:pos="4517"/>
        </w:tabs>
        <w:spacing w:before="36" w:line="267" w:lineRule="exact"/>
      </w:pPr>
      <w:r>
        <w:rPr>
          <w:spacing w:val="-3"/>
        </w:rPr>
        <w:t>The</w:t>
      </w:r>
      <w:r>
        <w:rPr>
          <w:spacing w:val="-5"/>
        </w:rPr>
        <w:t xml:space="preserve"> Panel’s</w:t>
      </w:r>
      <w:r>
        <w:rPr>
          <w:spacing w:val="-4"/>
        </w:rPr>
        <w:t xml:space="preserve"> </w:t>
      </w:r>
      <w:r>
        <w:rPr>
          <w:spacing w:val="-3"/>
        </w:rPr>
        <w:t>review</w:t>
      </w:r>
      <w:r>
        <w:rPr>
          <w:spacing w:val="-4"/>
        </w:rPr>
        <w:t xml:space="preserve"> </w:t>
      </w:r>
      <w:r>
        <w:rPr>
          <w:spacing w:val="-1"/>
        </w:rPr>
        <w:t>of</w:t>
      </w:r>
      <w:r>
        <w:t xml:space="preserve"> </w:t>
      </w:r>
      <w:r>
        <w:rPr>
          <w:spacing w:val="-2"/>
        </w:rPr>
        <w:t>the</w:t>
      </w:r>
      <w:r>
        <w:rPr>
          <w:spacing w:val="-4"/>
        </w:rPr>
        <w:t xml:space="preserve"> ICRC’s</w:t>
      </w:r>
      <w:r>
        <w:rPr>
          <w:spacing w:val="-5"/>
        </w:rPr>
        <w:t xml:space="preserve"> </w:t>
      </w:r>
      <w:r>
        <w:rPr>
          <w:spacing w:val="-1"/>
        </w:rPr>
        <w:t>fi</w:t>
      </w:r>
      <w:r w:rsidR="0040626D">
        <w:rPr>
          <w:spacing w:val="-1"/>
        </w:rPr>
        <w:t xml:space="preserve">nal </w:t>
      </w:r>
      <w:r>
        <w:rPr>
          <w:spacing w:val="-2"/>
        </w:rPr>
        <w:t>decision</w:t>
      </w:r>
      <w:r>
        <w:rPr>
          <w:spacing w:val="-4"/>
        </w:rPr>
        <w:t xml:space="preserve"> </w:t>
      </w:r>
      <w:r>
        <w:rPr>
          <w:spacing w:val="-2"/>
        </w:rPr>
        <w:t>pricing</w:t>
      </w:r>
      <w:r>
        <w:rPr>
          <w:spacing w:val="-4"/>
        </w:rPr>
        <w:t xml:space="preserve"> </w:t>
      </w:r>
      <w:r>
        <w:rPr>
          <w:spacing w:val="-2"/>
        </w:rPr>
        <w:t>model</w:t>
      </w:r>
      <w:r>
        <w:rPr>
          <w:spacing w:val="-4"/>
        </w:rPr>
        <w:t xml:space="preserve"> </w:t>
      </w:r>
      <w:r>
        <w:rPr>
          <w:spacing w:val="-2"/>
        </w:rPr>
        <w:t>found</w:t>
      </w:r>
      <w:r>
        <w:rPr>
          <w:spacing w:val="-4"/>
        </w:rPr>
        <w:t xml:space="preserve"> </w:t>
      </w:r>
      <w:r>
        <w:rPr>
          <w:spacing w:val="-2"/>
        </w:rPr>
        <w:t>that</w:t>
      </w:r>
      <w:r>
        <w:rPr>
          <w:spacing w:val="-4"/>
        </w:rPr>
        <w:t xml:space="preserve"> </w:t>
      </w:r>
      <w:r>
        <w:t>a</w:t>
      </w:r>
      <w:r>
        <w:rPr>
          <w:spacing w:val="-4"/>
        </w:rPr>
        <w:t xml:space="preserve"> </w:t>
      </w:r>
      <w:r>
        <w:rPr>
          <w:spacing w:val="-2"/>
        </w:rPr>
        <w:t>number</w:t>
      </w:r>
      <w:r>
        <w:rPr>
          <w:spacing w:val="-4"/>
        </w:rPr>
        <w:t xml:space="preserve"> </w:t>
      </w:r>
      <w:r>
        <w:rPr>
          <w:spacing w:val="-1"/>
        </w:rPr>
        <w:t>of</w:t>
      </w:r>
      <w:r>
        <w:t xml:space="preserve"> </w:t>
      </w:r>
      <w:r>
        <w:rPr>
          <w:spacing w:val="-3"/>
        </w:rPr>
        <w:t>errors</w:t>
      </w:r>
      <w:r>
        <w:rPr>
          <w:spacing w:val="-4"/>
        </w:rPr>
        <w:t xml:space="preserve"> </w:t>
      </w:r>
      <w:r>
        <w:rPr>
          <w:spacing w:val="-3"/>
        </w:rPr>
        <w:t>were</w:t>
      </w:r>
      <w:r>
        <w:rPr>
          <w:spacing w:val="-4"/>
        </w:rPr>
        <w:t xml:space="preserve"> </w:t>
      </w:r>
      <w:r>
        <w:rPr>
          <w:spacing w:val="-2"/>
        </w:rPr>
        <w:t>made</w:t>
      </w:r>
    </w:p>
    <w:p w:rsidR="00D96B91" w:rsidRDefault="00C2656B">
      <w:pPr>
        <w:pStyle w:val="BodyText"/>
        <w:spacing w:line="267" w:lineRule="exact"/>
        <w:rPr>
          <w:rFonts w:cs="Avenir Next"/>
        </w:rPr>
      </w:pPr>
      <w:r>
        <w:rPr>
          <w:rFonts w:cs="Avenir Next"/>
          <w:spacing w:val="-1"/>
        </w:rPr>
        <w:t>in</w:t>
      </w:r>
      <w:r>
        <w:rPr>
          <w:rFonts w:cs="Avenir Next"/>
          <w:spacing w:val="-4"/>
        </w:rPr>
        <w:t xml:space="preserve"> </w:t>
      </w:r>
      <w:r>
        <w:rPr>
          <w:rFonts w:cs="Avenir Next"/>
          <w:spacing w:val="-2"/>
        </w:rPr>
        <w:t>the</w:t>
      </w:r>
      <w:r>
        <w:rPr>
          <w:rFonts w:cs="Avenir Next"/>
          <w:spacing w:val="-4"/>
        </w:rPr>
        <w:t xml:space="preserve"> </w:t>
      </w:r>
      <w:r>
        <w:rPr>
          <w:rFonts w:cs="Avenir Next"/>
          <w:spacing w:val="-2"/>
        </w:rPr>
        <w:t>calculation</w:t>
      </w:r>
      <w:r>
        <w:rPr>
          <w:rFonts w:cs="Avenir Next"/>
          <w:spacing w:val="-4"/>
        </w:rPr>
        <w:t xml:space="preserve"> </w:t>
      </w:r>
      <w:r>
        <w:rPr>
          <w:rFonts w:cs="Avenir Next"/>
          <w:spacing w:val="-1"/>
        </w:rPr>
        <w:t>of</w:t>
      </w:r>
      <w:r>
        <w:rPr>
          <w:rFonts w:cs="Avenir Next"/>
        </w:rPr>
        <w:t xml:space="preserve"> </w:t>
      </w:r>
      <w:r>
        <w:rPr>
          <w:rFonts w:cs="Avenir Next"/>
          <w:spacing w:val="-3"/>
        </w:rPr>
        <w:t>depreciation</w:t>
      </w:r>
      <w:r>
        <w:rPr>
          <w:rFonts w:cs="Avenir Next"/>
          <w:spacing w:val="-4"/>
        </w:rPr>
        <w:t xml:space="preserve"> </w:t>
      </w:r>
      <w:r>
        <w:rPr>
          <w:rFonts w:cs="Avenir Next"/>
          <w:spacing w:val="-2"/>
        </w:rPr>
        <w:t>and</w:t>
      </w:r>
      <w:r>
        <w:rPr>
          <w:rFonts w:cs="Avenir Next"/>
          <w:spacing w:val="-4"/>
        </w:rPr>
        <w:t xml:space="preserve"> </w:t>
      </w:r>
      <w:r>
        <w:rPr>
          <w:rFonts w:cs="Avenir Next"/>
          <w:spacing w:val="-2"/>
        </w:rPr>
        <w:t>that</w:t>
      </w:r>
      <w:r>
        <w:rPr>
          <w:rFonts w:cs="Avenir Next"/>
          <w:spacing w:val="-4"/>
        </w:rPr>
        <w:t xml:space="preserve"> </w:t>
      </w:r>
      <w:r>
        <w:rPr>
          <w:rFonts w:cs="Avenir Next"/>
          <w:spacing w:val="-2"/>
        </w:rPr>
        <w:t>these</w:t>
      </w:r>
      <w:r>
        <w:rPr>
          <w:rFonts w:cs="Avenir Next"/>
          <w:spacing w:val="-4"/>
        </w:rPr>
        <w:t xml:space="preserve"> </w:t>
      </w:r>
      <w:r>
        <w:rPr>
          <w:rFonts w:cs="Avenir Next"/>
          <w:spacing w:val="-3"/>
        </w:rPr>
        <w:t>errors</w:t>
      </w:r>
      <w:r>
        <w:rPr>
          <w:rFonts w:cs="Avenir Next"/>
          <w:spacing w:val="-4"/>
        </w:rPr>
        <w:t xml:space="preserve"> </w:t>
      </w:r>
      <w:r>
        <w:rPr>
          <w:rFonts w:cs="Avenir Next"/>
          <w:spacing w:val="-3"/>
        </w:rPr>
        <w:t>resulted</w:t>
      </w:r>
      <w:r>
        <w:rPr>
          <w:rFonts w:cs="Avenir Next"/>
          <w:spacing w:val="-4"/>
        </w:rPr>
        <w:t xml:space="preserve"> </w:t>
      </w:r>
      <w:r>
        <w:rPr>
          <w:rFonts w:cs="Avenir Next"/>
          <w:spacing w:val="-1"/>
        </w:rPr>
        <w:t>in</w:t>
      </w:r>
      <w:r>
        <w:rPr>
          <w:rFonts w:cs="Avenir Next"/>
          <w:spacing w:val="-8"/>
        </w:rPr>
        <w:t xml:space="preserve"> </w:t>
      </w:r>
      <w:r>
        <w:rPr>
          <w:rFonts w:cs="Avenir Next"/>
          <w:spacing w:val="-4"/>
        </w:rPr>
        <w:t xml:space="preserve">ACTEW’s </w:t>
      </w:r>
      <w:r>
        <w:rPr>
          <w:rFonts w:cs="Avenir Next"/>
          <w:spacing w:val="-2"/>
        </w:rPr>
        <w:t>total</w:t>
      </w:r>
      <w:r>
        <w:rPr>
          <w:rFonts w:cs="Avenir Next"/>
          <w:spacing w:val="-4"/>
        </w:rPr>
        <w:t xml:space="preserve"> </w:t>
      </w:r>
      <w:r>
        <w:rPr>
          <w:rFonts w:cs="Avenir Next"/>
          <w:spacing w:val="-3"/>
        </w:rPr>
        <w:t>depreciation</w:t>
      </w:r>
      <w:r>
        <w:rPr>
          <w:rFonts w:cs="Avenir Next"/>
          <w:spacing w:val="-4"/>
        </w:rPr>
        <w:t xml:space="preserve"> </w:t>
      </w:r>
      <w:r>
        <w:rPr>
          <w:rFonts w:cs="Avenir Next"/>
          <w:spacing w:val="-2"/>
        </w:rPr>
        <w:t>allowance</w:t>
      </w:r>
    </w:p>
    <w:p w:rsidR="00D96B91" w:rsidRDefault="00D96B91">
      <w:pPr>
        <w:spacing w:before="7"/>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31" style="width:72.5pt;height:.5pt;mso-position-horizontal-relative:char;mso-position-vertical-relative:line" coordsize="1450,10">
            <v:group id="_x0000_s3132" style="position:absolute;left:5;top:5;width:1440;height:2" coordorigin="5,5" coordsize="1440,2">
              <v:shape id="_x0000_s3133"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z w:val="16"/>
        </w:rPr>
        <w:t>sections 2.3 and 4.3.</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21.</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34.</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Response</w:t>
      </w:r>
      <w:r>
        <w:rPr>
          <w:rFonts w:ascii="Avenir Next"/>
          <w:sz w:val="16"/>
        </w:rPr>
        <w:t xml:space="preserve"> to the </w:t>
      </w:r>
      <w:r>
        <w:rPr>
          <w:rFonts w:ascii="Avenir Next"/>
          <w:spacing w:val="-1"/>
          <w:sz w:val="16"/>
        </w:rPr>
        <w:t>Draft</w:t>
      </w:r>
      <w:r>
        <w:rPr>
          <w:rFonts w:ascii="Avenir Next"/>
          <w:sz w:val="16"/>
        </w:rPr>
        <w:t xml:space="preserve"> </w:t>
      </w:r>
      <w:r>
        <w:rPr>
          <w:rFonts w:ascii="Avenir Next"/>
          <w:spacing w:val="-1"/>
          <w:sz w:val="16"/>
        </w:rPr>
        <w:t>Report</w:t>
      </w:r>
      <w:r>
        <w:rPr>
          <w:rFonts w:ascii="Avenir Next"/>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5"/>
          <w:sz w:val="16"/>
        </w:rPr>
        <w:t xml:space="preserve"> </w:t>
      </w:r>
      <w:r>
        <w:rPr>
          <w:rFonts w:ascii="Avenir Next"/>
          <w:sz w:val="16"/>
        </w:rPr>
        <w:t>12</w:t>
      </w:r>
      <w:r>
        <w:rPr>
          <w:rFonts w:ascii="Avenir Next"/>
          <w:spacing w:val="-3"/>
          <w:sz w:val="16"/>
        </w:rPr>
        <w:t xml:space="preserve"> </w:t>
      </w:r>
      <w:r>
        <w:rPr>
          <w:rFonts w:ascii="Avenir Next"/>
          <w:sz w:val="16"/>
        </w:rPr>
        <w:t>April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71.</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2"/>
          <w:sz w:val="16"/>
        </w:rPr>
        <w:t>Price</w:t>
      </w:r>
      <w:r>
        <w:rPr>
          <w:rFonts w:ascii="Avenir Next"/>
          <w:sz w:val="16"/>
        </w:rPr>
        <w:t xml:space="preserve"> </w:t>
      </w:r>
      <w:r>
        <w:rPr>
          <w:rFonts w:ascii="Avenir Next"/>
          <w:spacing w:val="-1"/>
          <w:sz w:val="16"/>
        </w:rPr>
        <w:t>Direction</w:t>
      </w:r>
      <w:r>
        <w:rPr>
          <w:rFonts w:ascii="Avenir Next"/>
          <w:spacing w:val="-3"/>
          <w:sz w:val="16"/>
        </w:rPr>
        <w:t xml:space="preserve"> </w:t>
      </w:r>
      <w:r>
        <w:rPr>
          <w:rFonts w:ascii="Avenir Next"/>
          <w:spacing w:val="-1"/>
          <w:sz w:val="16"/>
        </w:rPr>
        <w:t>Attachment</w:t>
      </w:r>
      <w:r>
        <w:rPr>
          <w:rFonts w:ascii="Avenir Next"/>
          <w:sz w:val="16"/>
        </w:rPr>
        <w:t xml:space="preserve"> 2: </w:t>
      </w:r>
      <w:r>
        <w:rPr>
          <w:rFonts w:ascii="Avenir Next"/>
          <w:spacing w:val="-2"/>
          <w:sz w:val="16"/>
        </w:rPr>
        <w:t>Pricing</w:t>
      </w:r>
      <w:r>
        <w:rPr>
          <w:rFonts w:ascii="Avenir Next"/>
          <w:sz w:val="16"/>
        </w:rPr>
        <w:t xml:space="preserve"> Model,</w:t>
      </w:r>
      <w:r>
        <w:rPr>
          <w:rFonts w:ascii="Avenir Next"/>
          <w:spacing w:val="-5"/>
          <w:sz w:val="16"/>
        </w:rPr>
        <w:t xml:space="preserve"> </w:t>
      </w:r>
      <w:r>
        <w:rPr>
          <w:rFonts w:ascii="Avenir Next"/>
          <w:spacing w:val="-2"/>
          <w:sz w:val="16"/>
        </w:rPr>
        <w:t>Forecast</w:t>
      </w:r>
      <w:r>
        <w:rPr>
          <w:rFonts w:ascii="Avenir Next"/>
          <w:sz w:val="16"/>
        </w:rPr>
        <w:t xml:space="preserve"> RAB </w:t>
      </w:r>
      <w:r>
        <w:rPr>
          <w:rFonts w:ascii="Avenir Next"/>
          <w:spacing w:val="-1"/>
          <w:sz w:val="16"/>
        </w:rPr>
        <w:t>tab.</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tabs>
          <w:tab w:val="left" w:pos="3681"/>
        </w:tabs>
        <w:spacing w:before="21" w:line="260" w:lineRule="exact"/>
        <w:ind w:right="1455"/>
      </w:pPr>
      <w:r>
        <w:rPr>
          <w:spacing w:val="-2"/>
        </w:rPr>
        <w:t>being</w:t>
      </w:r>
      <w:r>
        <w:rPr>
          <w:spacing w:val="-4"/>
        </w:rPr>
        <w:t xml:space="preserve"> </w:t>
      </w:r>
      <w:r>
        <w:rPr>
          <w:spacing w:val="-2"/>
        </w:rPr>
        <w:t>lower</w:t>
      </w:r>
      <w:r>
        <w:rPr>
          <w:spacing w:val="-4"/>
        </w:rPr>
        <w:t xml:space="preserve"> </w:t>
      </w:r>
      <w:r>
        <w:rPr>
          <w:spacing w:val="-1"/>
        </w:rPr>
        <w:t>in</w:t>
      </w:r>
      <w:r>
        <w:rPr>
          <w:spacing w:val="-4"/>
        </w:rPr>
        <w:t xml:space="preserve"> </w:t>
      </w:r>
      <w:r>
        <w:rPr>
          <w:spacing w:val="-2"/>
        </w:rPr>
        <w:t>2013-14</w:t>
      </w:r>
      <w:r>
        <w:rPr>
          <w:spacing w:val="-4"/>
        </w:rPr>
        <w:t xml:space="preserve"> </w:t>
      </w:r>
      <w:r>
        <w:rPr>
          <w:spacing w:val="-2"/>
        </w:rPr>
        <w:t>and</w:t>
      </w:r>
      <w:r>
        <w:rPr>
          <w:spacing w:val="-4"/>
        </w:rPr>
        <w:t xml:space="preserve"> </w:t>
      </w:r>
      <w:r>
        <w:rPr>
          <w:spacing w:val="-2"/>
        </w:rPr>
        <w:t>2014-15</w:t>
      </w:r>
      <w:r>
        <w:rPr>
          <w:spacing w:val="-4"/>
        </w:rPr>
        <w:t xml:space="preserve"> </w:t>
      </w:r>
      <w:r>
        <w:rPr>
          <w:spacing w:val="-2"/>
        </w:rPr>
        <w:t>than</w:t>
      </w:r>
      <w:r>
        <w:rPr>
          <w:spacing w:val="-4"/>
        </w:rPr>
        <w:t xml:space="preserve"> </w:t>
      </w:r>
      <w:r>
        <w:rPr>
          <w:spacing w:val="-1"/>
        </w:rPr>
        <w:t>it</w:t>
      </w:r>
      <w:r>
        <w:rPr>
          <w:spacing w:val="-4"/>
        </w:rPr>
        <w:t xml:space="preserve"> </w:t>
      </w:r>
      <w:r>
        <w:rPr>
          <w:spacing w:val="-2"/>
        </w:rPr>
        <w:t>should</w:t>
      </w:r>
      <w:r>
        <w:rPr>
          <w:spacing w:val="-4"/>
        </w:rPr>
        <w:t xml:space="preserve"> </w:t>
      </w:r>
      <w:r>
        <w:rPr>
          <w:spacing w:val="-2"/>
        </w:rPr>
        <w:t>have</w:t>
      </w:r>
      <w:r>
        <w:rPr>
          <w:spacing w:val="-4"/>
        </w:rPr>
        <w:t xml:space="preserve"> </w:t>
      </w:r>
      <w:r>
        <w:rPr>
          <w:spacing w:val="-2"/>
        </w:rPr>
        <w:t>been.</w:t>
      </w:r>
      <w:r>
        <w:rPr>
          <w:spacing w:val="-10"/>
        </w:rPr>
        <w:t xml:space="preserve"> </w:t>
      </w:r>
      <w:r>
        <w:rPr>
          <w:spacing w:val="-1"/>
        </w:rPr>
        <w:t>It</w:t>
      </w:r>
      <w:r>
        <w:rPr>
          <w:spacing w:val="-4"/>
        </w:rPr>
        <w:t xml:space="preserve"> </w:t>
      </w:r>
      <w:r>
        <w:rPr>
          <w:spacing w:val="-2"/>
        </w:rPr>
        <w:t>was</w:t>
      </w:r>
      <w:r>
        <w:rPr>
          <w:spacing w:val="-4"/>
        </w:rPr>
        <w:t xml:space="preserve"> </w:t>
      </w:r>
      <w:r>
        <w:rPr>
          <w:spacing w:val="-2"/>
        </w:rPr>
        <w:t>necessary</w:t>
      </w:r>
      <w:r>
        <w:rPr>
          <w:spacing w:val="-4"/>
        </w:rPr>
        <w:t xml:space="preserve"> </w:t>
      </w:r>
      <w:r>
        <w:rPr>
          <w:spacing w:val="-3"/>
        </w:rPr>
        <w:t>therefore</w:t>
      </w:r>
      <w:r>
        <w:rPr>
          <w:spacing w:val="-4"/>
        </w:rPr>
        <w:t xml:space="preserve"> </w:t>
      </w:r>
      <w:r>
        <w:rPr>
          <w:spacing w:val="-1"/>
        </w:rPr>
        <w:t>to</w:t>
      </w:r>
      <w:r>
        <w:rPr>
          <w:spacing w:val="-4"/>
        </w:rPr>
        <w:t xml:space="preserve"> </w:t>
      </w:r>
      <w:r>
        <w:rPr>
          <w:spacing w:val="-3"/>
        </w:rPr>
        <w:t>make</w:t>
      </w:r>
      <w:r>
        <w:rPr>
          <w:spacing w:val="-4"/>
        </w:rPr>
        <w:t xml:space="preserve"> </w:t>
      </w:r>
      <w:r>
        <w:rPr>
          <w:spacing w:val="-2"/>
        </w:rPr>
        <w:t>some</w:t>
      </w:r>
      <w:r>
        <w:rPr>
          <w:spacing w:val="53"/>
        </w:rPr>
        <w:t xml:space="preserve"> </w:t>
      </w:r>
      <w:r>
        <w:rPr>
          <w:spacing w:val="-3"/>
        </w:rPr>
        <w:t>revisions</w:t>
      </w:r>
      <w:r>
        <w:rPr>
          <w:spacing w:val="-5"/>
        </w:rPr>
        <w:t xml:space="preserve"> </w:t>
      </w:r>
      <w:r>
        <w:rPr>
          <w:spacing w:val="-1"/>
        </w:rPr>
        <w:t>to</w:t>
      </w:r>
      <w:r>
        <w:rPr>
          <w:spacing w:val="-4"/>
        </w:rPr>
        <w:t xml:space="preserve"> </w:t>
      </w:r>
      <w:r>
        <w:rPr>
          <w:spacing w:val="-2"/>
        </w:rPr>
        <w:t>the</w:t>
      </w:r>
      <w:r>
        <w:rPr>
          <w:spacing w:val="-4"/>
        </w:rPr>
        <w:t xml:space="preserve"> ICRC’s</w:t>
      </w:r>
      <w:r>
        <w:rPr>
          <w:spacing w:val="-5"/>
        </w:rPr>
        <w:t xml:space="preserve"> </w:t>
      </w:r>
      <w:r>
        <w:rPr>
          <w:spacing w:val="-1"/>
        </w:rPr>
        <w:t>fi</w:t>
      </w:r>
      <w:r w:rsidR="0040626D">
        <w:rPr>
          <w:spacing w:val="-1"/>
        </w:rPr>
        <w:t xml:space="preserve">nal </w:t>
      </w:r>
      <w:r>
        <w:rPr>
          <w:spacing w:val="-2"/>
        </w:rPr>
        <w:t>decision</w:t>
      </w:r>
      <w:r>
        <w:rPr>
          <w:spacing w:val="-4"/>
        </w:rPr>
        <w:t xml:space="preserve"> </w:t>
      </w:r>
      <w:r>
        <w:rPr>
          <w:spacing w:val="-1"/>
        </w:rPr>
        <w:t>on</w:t>
      </w:r>
      <w:r>
        <w:rPr>
          <w:spacing w:val="-8"/>
        </w:rPr>
        <w:t xml:space="preserve"> </w:t>
      </w:r>
      <w:r>
        <w:rPr>
          <w:spacing w:val="-4"/>
        </w:rPr>
        <w:t xml:space="preserve">ACTEW’s </w:t>
      </w:r>
      <w:r>
        <w:rPr>
          <w:spacing w:val="-3"/>
        </w:rPr>
        <w:t>depreciation</w:t>
      </w:r>
      <w:r>
        <w:rPr>
          <w:spacing w:val="-4"/>
        </w:rPr>
        <w:t xml:space="preserve"> </w:t>
      </w:r>
      <w:r>
        <w:rPr>
          <w:spacing w:val="-2"/>
        </w:rPr>
        <w:t>allowance</w:t>
      </w:r>
      <w:r>
        <w:rPr>
          <w:spacing w:val="-4"/>
        </w:rPr>
        <w:t xml:space="preserve"> </w:t>
      </w:r>
      <w:r>
        <w:rPr>
          <w:spacing w:val="-2"/>
        </w:rPr>
        <w:t>for</w:t>
      </w:r>
      <w:r>
        <w:rPr>
          <w:spacing w:val="-4"/>
        </w:rPr>
        <w:t xml:space="preserve"> </w:t>
      </w:r>
      <w:r>
        <w:rPr>
          <w:spacing w:val="-2"/>
        </w:rPr>
        <w:t>2013-14</w:t>
      </w:r>
      <w:r>
        <w:rPr>
          <w:spacing w:val="-4"/>
        </w:rPr>
        <w:t xml:space="preserve"> </w:t>
      </w:r>
      <w:r>
        <w:rPr>
          <w:spacing w:val="-2"/>
        </w:rPr>
        <w:t>and</w:t>
      </w:r>
      <w:r>
        <w:rPr>
          <w:spacing w:val="-4"/>
        </w:rPr>
        <w:t xml:space="preserve"> </w:t>
      </w:r>
      <w:r>
        <w:rPr>
          <w:spacing w:val="-2"/>
        </w:rPr>
        <w:t>2014-15</w:t>
      </w:r>
      <w:r>
        <w:rPr>
          <w:spacing w:val="-4"/>
        </w:rPr>
        <w:t xml:space="preserve"> </w:t>
      </w:r>
      <w:r>
        <w:rPr>
          <w:spacing w:val="-2"/>
        </w:rPr>
        <w:t>to</w:t>
      </w:r>
      <w:r>
        <w:rPr>
          <w:spacing w:val="74"/>
        </w:rPr>
        <w:t xml:space="preserve"> </w:t>
      </w:r>
      <w:r>
        <w:rPr>
          <w:spacing w:val="-3"/>
        </w:rPr>
        <w:t>address</w:t>
      </w:r>
      <w:r>
        <w:rPr>
          <w:spacing w:val="-4"/>
        </w:rPr>
        <w:t xml:space="preserve"> </w:t>
      </w:r>
      <w:r>
        <w:rPr>
          <w:spacing w:val="-2"/>
        </w:rPr>
        <w:t>these</w:t>
      </w:r>
      <w:r>
        <w:rPr>
          <w:spacing w:val="-4"/>
        </w:rPr>
        <w:t xml:space="preserve"> </w:t>
      </w:r>
      <w:r>
        <w:rPr>
          <w:spacing w:val="-2"/>
        </w:rPr>
        <w:t>issues</w:t>
      </w:r>
      <w:r>
        <w:rPr>
          <w:spacing w:val="-4"/>
        </w:rPr>
        <w:t xml:space="preserve"> </w:t>
      </w:r>
      <w:r>
        <w:rPr>
          <w:spacing w:val="-2"/>
        </w:rPr>
        <w:t>and</w:t>
      </w:r>
      <w:r>
        <w:rPr>
          <w:spacing w:val="-4"/>
        </w:rPr>
        <w:t xml:space="preserve"> </w:t>
      </w:r>
      <w:r>
        <w:t>a</w:t>
      </w:r>
      <w:r>
        <w:rPr>
          <w:spacing w:val="-4"/>
        </w:rPr>
        <w:t xml:space="preserve"> </w:t>
      </w:r>
      <w:r>
        <w:rPr>
          <w:spacing w:val="-2"/>
        </w:rPr>
        <w:t>number</w:t>
      </w:r>
      <w:r>
        <w:rPr>
          <w:spacing w:val="-4"/>
        </w:rPr>
        <w:t xml:space="preserve"> </w:t>
      </w:r>
      <w:r>
        <w:rPr>
          <w:spacing w:val="-1"/>
        </w:rPr>
        <w:t>of</w:t>
      </w:r>
      <w:r>
        <w:t xml:space="preserve"> </w:t>
      </w:r>
      <w:r>
        <w:rPr>
          <w:spacing w:val="-2"/>
        </w:rPr>
        <w:t>other</w:t>
      </w:r>
      <w:r>
        <w:rPr>
          <w:spacing w:val="-4"/>
        </w:rPr>
        <w:t xml:space="preserve"> </w:t>
      </w:r>
      <w:r>
        <w:rPr>
          <w:spacing w:val="-2"/>
        </w:rPr>
        <w:t>methodological</w:t>
      </w:r>
      <w:r>
        <w:rPr>
          <w:spacing w:val="-4"/>
        </w:rPr>
        <w:t xml:space="preserve"> </w:t>
      </w:r>
      <w:r>
        <w:rPr>
          <w:spacing w:val="-2"/>
        </w:rPr>
        <w:t>issues,</w:t>
      </w:r>
      <w:r>
        <w:rPr>
          <w:spacing w:val="-10"/>
        </w:rPr>
        <w:t xml:space="preserve"> </w:t>
      </w:r>
      <w:r>
        <w:rPr>
          <w:spacing w:val="-2"/>
        </w:rPr>
        <w:t>which</w:t>
      </w:r>
      <w:r>
        <w:rPr>
          <w:spacing w:val="-4"/>
        </w:rPr>
        <w:t xml:space="preserve"> </w:t>
      </w:r>
      <w:r>
        <w:rPr>
          <w:spacing w:val="-3"/>
        </w:rPr>
        <w:t>are</w:t>
      </w:r>
      <w:r>
        <w:rPr>
          <w:spacing w:val="-4"/>
        </w:rPr>
        <w:t xml:space="preserve"> </w:t>
      </w:r>
      <w:r>
        <w:rPr>
          <w:spacing w:val="-2"/>
        </w:rPr>
        <w:t>outlined</w:t>
      </w:r>
      <w:r>
        <w:rPr>
          <w:spacing w:val="-4"/>
        </w:rPr>
        <w:t xml:space="preserve"> </w:t>
      </w:r>
      <w:r>
        <w:rPr>
          <w:spacing w:val="-3"/>
        </w:rPr>
        <w:t>below.</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70"/>
        </w:numPr>
        <w:tabs>
          <w:tab w:val="left" w:pos="2212"/>
        </w:tabs>
        <w:rPr>
          <w:b w:val="0"/>
          <w:bCs w:val="0"/>
        </w:rPr>
      </w:pPr>
      <w:r>
        <w:rPr>
          <w:color w:val="0778BE"/>
        </w:rPr>
        <w:t xml:space="preserve">Asset lives used to </w:t>
      </w:r>
      <w:r>
        <w:rPr>
          <w:color w:val="0778BE"/>
          <w:spacing w:val="-1"/>
        </w:rPr>
        <w:t>calculate</w:t>
      </w:r>
      <w:r>
        <w:rPr>
          <w:color w:val="0778BE"/>
        </w:rPr>
        <w:t xml:space="preserve"> </w:t>
      </w:r>
      <w:r>
        <w:rPr>
          <w:color w:val="0778BE"/>
          <w:spacing w:val="-1"/>
        </w:rPr>
        <w:t>depreciation</w:t>
      </w:r>
    </w:p>
    <w:p w:rsidR="00D96B91" w:rsidRDefault="00D96B91">
      <w:pPr>
        <w:pStyle w:val="BodyText"/>
        <w:spacing w:before="28" w:line="260" w:lineRule="exact"/>
        <w:ind w:right="1548"/>
      </w:pPr>
      <w:hyperlink w:anchor="_bookmark76" w:history="1">
        <w:r w:rsidR="00C2656B">
          <w:rPr>
            <w:spacing w:val="-4"/>
          </w:rPr>
          <w:t>Table</w:t>
        </w:r>
        <w:r w:rsidR="00C2656B">
          <w:t xml:space="preserve"> 9.13</w:t>
        </w:r>
      </w:hyperlink>
      <w:r w:rsidR="00C2656B">
        <w:t xml:space="preserve"> sets out the asset lives</w:t>
      </w:r>
      <w:r w:rsidR="00C2656B">
        <w:rPr>
          <w:spacing w:val="-4"/>
        </w:rPr>
        <w:t xml:space="preserve"> </w:t>
      </w:r>
      <w:r w:rsidR="00C2656B">
        <w:rPr>
          <w:spacing w:val="-2"/>
        </w:rPr>
        <w:t>ACTEW</w:t>
      </w:r>
      <w:r w:rsidR="00C2656B">
        <w:rPr>
          <w:spacing w:val="-3"/>
        </w:rPr>
        <w:t xml:space="preserve"> </w:t>
      </w:r>
      <w:r w:rsidR="00C2656B">
        <w:rPr>
          <w:spacing w:val="-1"/>
        </w:rPr>
        <w:t>proposed</w:t>
      </w:r>
      <w:r w:rsidR="00C2656B">
        <w:t xml:space="preserve"> for new and </w:t>
      </w:r>
      <w:r w:rsidR="00C2656B">
        <w:rPr>
          <w:spacing w:val="-1"/>
        </w:rPr>
        <w:t>existing</w:t>
      </w:r>
      <w:r w:rsidR="00C2656B">
        <w:t xml:space="preserve"> </w:t>
      </w:r>
      <w:r w:rsidR="00C2656B">
        <w:rPr>
          <w:spacing w:val="-1"/>
        </w:rPr>
        <w:t>water</w:t>
      </w:r>
      <w:r w:rsidR="00C2656B">
        <w:t xml:space="preserve"> and </w:t>
      </w:r>
      <w:r w:rsidR="00C2656B">
        <w:rPr>
          <w:spacing w:val="-1"/>
        </w:rPr>
        <w:t>sewerage</w:t>
      </w:r>
      <w:r w:rsidR="00C2656B">
        <w:t xml:space="preserve"> assets</w:t>
      </w:r>
      <w:r w:rsidR="00C2656B">
        <w:rPr>
          <w:spacing w:val="43"/>
        </w:rPr>
        <w:t xml:space="preserve"> </w:t>
      </w:r>
      <w:r w:rsidR="00C2656B">
        <w:t>and</w:t>
      </w:r>
      <w:r w:rsidR="00C2656B">
        <w:rPr>
          <w:spacing w:val="-1"/>
        </w:rPr>
        <w:t xml:space="preserve"> </w:t>
      </w:r>
      <w:r w:rsidR="00C2656B">
        <w:t>the asset</w:t>
      </w:r>
      <w:r w:rsidR="00C2656B">
        <w:rPr>
          <w:spacing w:val="-1"/>
        </w:rPr>
        <w:t xml:space="preserve"> </w:t>
      </w:r>
      <w:r w:rsidR="00C2656B">
        <w:t>lives adopted by</w:t>
      </w:r>
      <w:r w:rsidR="00C2656B">
        <w:rPr>
          <w:spacing w:val="-1"/>
        </w:rPr>
        <w:t xml:space="preserve"> </w:t>
      </w:r>
      <w:r w:rsidR="00C2656B">
        <w:t>the ICRC in</w:t>
      </w:r>
      <w:r w:rsidR="00C2656B">
        <w:rPr>
          <w:spacing w:val="-1"/>
        </w:rPr>
        <w:t xml:space="preserve"> </w:t>
      </w:r>
      <w:r w:rsidR="00C2656B">
        <w:t>its final decision.</w:t>
      </w:r>
    </w:p>
    <w:p w:rsidR="00D96B91" w:rsidRDefault="00D96B91">
      <w:pPr>
        <w:spacing w:before="158"/>
        <w:ind w:left="1247"/>
        <w:rPr>
          <w:rFonts w:ascii="Avenir Next" w:eastAsia="Avenir Next" w:hAnsi="Avenir Next" w:cs="Avenir Next"/>
          <w:sz w:val="20"/>
          <w:szCs w:val="20"/>
        </w:rPr>
      </w:pPr>
      <w:r w:rsidRPr="00D96B91">
        <w:pict>
          <v:group id="_x0000_s3129" style="position:absolute;left:0;text-align:left;margin-left:257.25pt;margin-top:25.25pt;width:.1pt;height:19.85pt;z-index:-251743744;mso-position-horizontal-relative:page" coordorigin="5145,505" coordsize="2,397">
            <v:shape id="_x0000_s3130" style="position:absolute;left:5145;top:505;width:2;height:397" coordorigin="5145,505" coordsize="0,397" path="m5145,902r,-397e" filled="f" strokecolor="#1a9eda" strokeweight=".5pt">
              <v:path arrowok="t"/>
            </v:shape>
            <w10:wrap anchorx="page"/>
          </v:group>
        </w:pict>
      </w:r>
      <w:r w:rsidRPr="00D96B91">
        <w:pict>
          <v:group id="_x0000_s3127" style="position:absolute;left:0;text-align:left;margin-left:349.05pt;margin-top:25.25pt;width:.1pt;height:19.85pt;z-index:-251742720;mso-position-horizontal-relative:page" coordorigin="6981,505" coordsize="2,397">
            <v:shape id="_x0000_s3128" style="position:absolute;left:6981;top:505;width:2;height:397" coordorigin="6981,505" coordsize="0,397" path="m6981,902r,-397e" filled="f" strokecolor="#1a9eda" strokeweight=".5pt">
              <v:path arrowok="t"/>
            </v:shape>
            <w10:wrap anchorx="page"/>
          </v:group>
        </w:pict>
      </w:r>
      <w:r w:rsidRPr="00D96B91">
        <w:pict>
          <v:group id="_x0000_s3125" style="position:absolute;left:0;text-align:left;margin-left:440.85pt;margin-top:25.25pt;width:.1pt;height:19.85pt;z-index:-251741696;mso-position-horizontal-relative:page" coordorigin="8817,505" coordsize="2,397">
            <v:shape id="_x0000_s3126" style="position:absolute;left:8817;top:505;width:2;height:397" coordorigin="8817,505" coordsize="0,397" path="m8817,902r,-397e" filled="f" strokecolor="#1a9eda" strokeweight=".5pt">
              <v:path arrowok="t"/>
            </v:shape>
            <w10:wrap anchorx="page"/>
          </v:group>
        </w:pict>
      </w:r>
      <w:bookmarkStart w:id="124" w:name="_bookmark76"/>
      <w:bookmarkEnd w:id="124"/>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9.13: ICRC and</w:t>
      </w:r>
      <w:r w:rsidR="00C2656B">
        <w:rPr>
          <w:rFonts w:ascii="Avenir Next" w:eastAsia="Avenir Next" w:hAnsi="Avenir Next" w:cs="Avenir Next"/>
          <w:b/>
          <w:bCs/>
          <w:spacing w:val="-4"/>
          <w:sz w:val="20"/>
          <w:szCs w:val="20"/>
        </w:rPr>
        <w:t xml:space="preserve"> </w:t>
      </w:r>
      <w:r w:rsidR="00C2656B">
        <w:rPr>
          <w:rFonts w:ascii="Avenir Next" w:eastAsia="Avenir Next" w:hAnsi="Avenir Next" w:cs="Avenir Next"/>
          <w:b/>
          <w:bCs/>
          <w:spacing w:val="-2"/>
          <w:sz w:val="20"/>
          <w:szCs w:val="20"/>
        </w:rPr>
        <w:t>ACTEW</w:t>
      </w:r>
      <w:r w:rsidR="00C2656B">
        <w:rPr>
          <w:rFonts w:ascii="Avenir Next" w:eastAsia="Avenir Next" w:hAnsi="Avenir Next" w:cs="Avenir Next"/>
          <w:b/>
          <w:bCs/>
          <w:spacing w:val="-3"/>
          <w:sz w:val="20"/>
          <w:szCs w:val="20"/>
        </w:rPr>
        <w:t xml:space="preserve"> </w:t>
      </w:r>
      <w:r w:rsidR="00C2656B">
        <w:rPr>
          <w:rFonts w:ascii="Avenir Next" w:eastAsia="Avenir Next" w:hAnsi="Avenir Next" w:cs="Avenir Next"/>
          <w:b/>
          <w:bCs/>
          <w:sz w:val="20"/>
          <w:szCs w:val="20"/>
        </w:rPr>
        <w:t>–</w:t>
      </w:r>
      <w:r w:rsidR="00C2656B">
        <w:rPr>
          <w:rFonts w:ascii="Avenir Next" w:eastAsia="Avenir Next" w:hAnsi="Avenir Next" w:cs="Avenir Next"/>
          <w:b/>
          <w:bCs/>
          <w:spacing w:val="-4"/>
          <w:sz w:val="20"/>
          <w:szCs w:val="20"/>
        </w:rPr>
        <w:t xml:space="preserve"> </w:t>
      </w:r>
      <w:r w:rsidR="00C2656B">
        <w:rPr>
          <w:rFonts w:ascii="Avenir Next" w:eastAsia="Avenir Next" w:hAnsi="Avenir Next" w:cs="Avenir Next"/>
          <w:b/>
          <w:bCs/>
          <w:sz w:val="20"/>
          <w:szCs w:val="20"/>
        </w:rPr>
        <w:t xml:space="preserve">Asset life </w:t>
      </w:r>
      <w:r w:rsidR="00C2656B">
        <w:rPr>
          <w:rFonts w:ascii="Avenir Next" w:eastAsia="Avenir Next" w:hAnsi="Avenir Next" w:cs="Avenir Next"/>
          <w:b/>
          <w:bCs/>
          <w:spacing w:val="-1"/>
          <w:sz w:val="20"/>
          <w:szCs w:val="20"/>
        </w:rPr>
        <w:t>estimates</w:t>
      </w:r>
      <w:r w:rsidR="00C2656B">
        <w:rPr>
          <w:rFonts w:ascii="Avenir Next" w:eastAsia="Avenir Next" w:hAnsi="Avenir Next" w:cs="Avenir Next"/>
          <w:b/>
          <w:bCs/>
          <w:sz w:val="20"/>
          <w:szCs w:val="20"/>
        </w:rPr>
        <w:t xml:space="preserve"> </w:t>
      </w:r>
      <w:r w:rsidR="00C2656B">
        <w:rPr>
          <w:rFonts w:ascii="Avenir Next" w:eastAsia="Avenir Next" w:hAnsi="Avenir Next" w:cs="Avenir Next"/>
          <w:b/>
          <w:bCs/>
          <w:spacing w:val="-1"/>
          <w:sz w:val="20"/>
          <w:szCs w:val="20"/>
        </w:rPr>
        <w:t>(years)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893"/>
        <w:gridCol w:w="1836"/>
        <w:gridCol w:w="1836"/>
        <w:gridCol w:w="1836"/>
      </w:tblGrid>
      <w:tr w:rsidR="00D96B91" w:rsidTr="00B45286">
        <w:trPr>
          <w:trHeight w:hRule="exact" w:val="407"/>
        </w:trPr>
        <w:tc>
          <w:tcPr>
            <w:tcW w:w="389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83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0626D">
            <w:pPr>
              <w:pStyle w:val="TableParagraph"/>
              <w:spacing w:before="108"/>
              <w:ind w:left="110"/>
              <w:jc w:val="center"/>
              <w:rPr>
                <w:rFonts w:ascii="Avenir Next Condensed" w:eastAsia="Avenir Next Condensed" w:hAnsi="Avenir Next Condensed" w:cs="Avenir Next Condensed"/>
                <w:sz w:val="18"/>
                <w:szCs w:val="18"/>
              </w:rPr>
            </w:pPr>
            <w:r>
              <w:rPr>
                <w:rFonts w:ascii="Avenir Next Condensed"/>
                <w:b/>
                <w:color w:val="FFFFFF"/>
                <w:sz w:val="18"/>
              </w:rPr>
              <w:t>ICRC final decision</w:t>
            </w:r>
          </w:p>
        </w:tc>
        <w:tc>
          <w:tcPr>
            <w:tcW w:w="183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0626D">
            <w:pPr>
              <w:pStyle w:val="TableParagraph"/>
              <w:spacing w:before="108"/>
              <w:ind w:left="117"/>
              <w:jc w:val="center"/>
              <w:rPr>
                <w:rFonts w:ascii="Avenir Next Condensed" w:eastAsia="Avenir Next Condensed" w:hAnsi="Avenir Next Condensed" w:cs="Avenir Next Condensed"/>
                <w:sz w:val="18"/>
                <w:szCs w:val="18"/>
              </w:rPr>
            </w:pPr>
            <w:r>
              <w:rPr>
                <w:rFonts w:ascii="Avenir Next Condensed"/>
                <w:b/>
                <w:color w:val="FFFFFF"/>
                <w:spacing w:val="-1"/>
                <w:sz w:val="18"/>
              </w:rPr>
              <w:t>ACTEW</w:t>
            </w:r>
            <w:r>
              <w:rPr>
                <w:rFonts w:ascii="Avenir Next Condensed"/>
                <w:b/>
                <w:color w:val="FFFFFF"/>
                <w:spacing w:val="-3"/>
                <w:sz w:val="18"/>
              </w:rPr>
              <w:t xml:space="preserve"> </w:t>
            </w:r>
            <w:r>
              <w:rPr>
                <w:rFonts w:ascii="Avenir Next Condensed"/>
                <w:b/>
                <w:color w:val="FFFFFF"/>
                <w:sz w:val="18"/>
              </w:rPr>
              <w:t>SOFC</w:t>
            </w:r>
          </w:p>
        </w:tc>
        <w:tc>
          <w:tcPr>
            <w:tcW w:w="183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40626D">
            <w:pPr>
              <w:pStyle w:val="TableParagraph"/>
              <w:spacing w:before="108"/>
              <w:ind w:left="124"/>
              <w:jc w:val="center"/>
              <w:rPr>
                <w:rFonts w:ascii="Avenir Next Condensed" w:eastAsia="Avenir Next Condensed" w:hAnsi="Avenir Next Condensed" w:cs="Avenir Next Condensed"/>
                <w:sz w:val="18"/>
                <w:szCs w:val="18"/>
              </w:rPr>
            </w:pPr>
            <w:r>
              <w:rPr>
                <w:rFonts w:ascii="Avenir Next Condensed"/>
                <w:b/>
                <w:color w:val="FFFFFF"/>
                <w:spacing w:val="-1"/>
                <w:sz w:val="18"/>
              </w:rPr>
              <w:t>ACTEW</w:t>
            </w:r>
            <w:r>
              <w:rPr>
                <w:rFonts w:ascii="Avenir Next Condensed"/>
                <w:b/>
                <w:color w:val="FFFFFF"/>
                <w:spacing w:val="-3"/>
                <w:sz w:val="18"/>
              </w:rPr>
              <w:t xml:space="preserve"> </w:t>
            </w:r>
            <w:r>
              <w:rPr>
                <w:rFonts w:ascii="Avenir Next Condensed"/>
                <w:b/>
                <w:color w:val="FFFFFF"/>
                <w:spacing w:val="-1"/>
                <w:sz w:val="18"/>
              </w:rPr>
              <w:t>revised</w:t>
            </w:r>
          </w:p>
        </w:tc>
      </w:tr>
      <w:tr w:rsidR="00D96B91">
        <w:trPr>
          <w:trHeight w:hRule="exact" w:val="407"/>
        </w:trPr>
        <w:tc>
          <w:tcPr>
            <w:tcW w:w="9401" w:type="dxa"/>
            <w:gridSpan w:val="4"/>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left="2744"/>
              <w:rPr>
                <w:rFonts w:ascii="Avenir Next Condensed" w:eastAsia="Avenir Next Condensed" w:hAnsi="Avenir Next Condensed" w:cs="Avenir Next Condensed"/>
                <w:sz w:val="18"/>
                <w:szCs w:val="18"/>
              </w:rPr>
            </w:pPr>
            <w:r>
              <w:rPr>
                <w:rFonts w:ascii="Avenir Next Condensed"/>
                <w:b/>
                <w:spacing w:val="-1"/>
                <w:sz w:val="18"/>
              </w:rPr>
              <w:t>Remaining</w:t>
            </w:r>
            <w:r>
              <w:rPr>
                <w:rFonts w:ascii="Avenir Next Condensed"/>
                <w:b/>
                <w:sz w:val="18"/>
              </w:rPr>
              <w:t xml:space="preserve"> </w:t>
            </w:r>
            <w:r>
              <w:rPr>
                <w:rFonts w:ascii="Avenir Next Condensed"/>
                <w:b/>
                <w:spacing w:val="-1"/>
                <w:sz w:val="18"/>
              </w:rPr>
              <w:t>asset</w:t>
            </w:r>
            <w:r>
              <w:rPr>
                <w:rFonts w:ascii="Avenir Next Condensed"/>
                <w:b/>
                <w:sz w:val="18"/>
              </w:rPr>
              <w:t xml:space="preserve"> lives for </w:t>
            </w:r>
            <w:r>
              <w:rPr>
                <w:rFonts w:ascii="Avenir Next Condensed"/>
                <w:b/>
                <w:spacing w:val="-1"/>
                <w:sz w:val="18"/>
              </w:rPr>
              <w:t>existing</w:t>
            </w:r>
            <w:r>
              <w:rPr>
                <w:rFonts w:ascii="Avenir Next Condensed"/>
                <w:b/>
                <w:sz w:val="18"/>
              </w:rPr>
              <w:t xml:space="preserve"> </w:t>
            </w:r>
            <w:r>
              <w:rPr>
                <w:rFonts w:ascii="Avenir Next Condensed"/>
                <w:b/>
                <w:spacing w:val="-1"/>
                <w:sz w:val="18"/>
              </w:rPr>
              <w:t>assets</w:t>
            </w:r>
            <w:r>
              <w:rPr>
                <w:rFonts w:ascii="Avenir Next Condensed"/>
                <w:b/>
                <w:sz w:val="18"/>
              </w:rPr>
              <w:t xml:space="preserve"> as at 1</w:t>
            </w:r>
            <w:r>
              <w:rPr>
                <w:rFonts w:ascii="Avenir Next Condensed"/>
                <w:b/>
                <w:spacing w:val="-3"/>
                <w:sz w:val="18"/>
              </w:rPr>
              <w:t xml:space="preserve"> </w:t>
            </w:r>
            <w:r>
              <w:rPr>
                <w:rFonts w:ascii="Avenir Next Condensed"/>
                <w:b/>
                <w:sz w:val="18"/>
              </w:rPr>
              <w:t>July 2013</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ECD</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97.7</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05"/>
              <w:jc w:val="center"/>
              <w:rPr>
                <w:rFonts w:ascii="Avenir Next Condensed" w:eastAsia="Avenir Next Condensed" w:hAnsi="Avenir Next Condensed" w:cs="Avenir Next Condensed"/>
                <w:sz w:val="18"/>
                <w:szCs w:val="18"/>
              </w:rPr>
            </w:pPr>
            <w:r>
              <w:rPr>
                <w:rFonts w:ascii="Avenir Next Condensed"/>
                <w:sz w:val="18"/>
              </w:rPr>
              <w:t>na</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05"/>
              <w:jc w:val="center"/>
              <w:rPr>
                <w:rFonts w:ascii="Avenir Next Condensed" w:eastAsia="Avenir Next Condensed" w:hAnsi="Avenir Next Condensed" w:cs="Avenir Next Condensed"/>
                <w:sz w:val="18"/>
                <w:szCs w:val="18"/>
              </w:rPr>
            </w:pPr>
            <w:r>
              <w:rPr>
                <w:rFonts w:ascii="Avenir Next Condensed"/>
                <w:sz w:val="18"/>
              </w:rPr>
              <w:t>na</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(excluding</w:t>
            </w:r>
            <w:r>
              <w:rPr>
                <w:rFonts w:ascii="Avenir Next Condensed"/>
                <w:sz w:val="18"/>
              </w:rPr>
              <w:t xml:space="preserve"> water security </w:t>
            </w:r>
            <w:r>
              <w:rPr>
                <w:rFonts w:ascii="Avenir Next Condensed"/>
                <w:spacing w:val="-1"/>
                <w:sz w:val="18"/>
              </w:rPr>
              <w:t>projects)</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50.1</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05"/>
              <w:jc w:val="center"/>
              <w:rPr>
                <w:rFonts w:ascii="Avenir Next Condensed" w:eastAsia="Avenir Next Condensed" w:hAnsi="Avenir Next Condensed" w:cs="Avenir Next Condensed"/>
                <w:sz w:val="18"/>
                <w:szCs w:val="18"/>
              </w:rPr>
            </w:pPr>
            <w:r>
              <w:rPr>
                <w:rFonts w:ascii="Avenir Next Condensed"/>
                <w:sz w:val="18"/>
              </w:rPr>
              <w:t>na</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51.4</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(including water security </w:t>
            </w:r>
            <w:r>
              <w:rPr>
                <w:rFonts w:ascii="Avenir Next Condensed"/>
                <w:spacing w:val="-1"/>
                <w:sz w:val="18"/>
              </w:rPr>
              <w:t>projects)</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05"/>
              <w:jc w:val="center"/>
              <w:rPr>
                <w:rFonts w:ascii="Avenir Next Condensed" w:eastAsia="Avenir Next Condensed" w:hAnsi="Avenir Next Condensed" w:cs="Avenir Next Condensed"/>
                <w:sz w:val="18"/>
                <w:szCs w:val="18"/>
              </w:rPr>
            </w:pPr>
            <w:r>
              <w:rPr>
                <w:rFonts w:ascii="Avenir Next Condensed"/>
                <w:sz w:val="18"/>
              </w:rPr>
              <w:t>na</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53.6</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58.8</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Sewerage</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41.5</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34.2</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41.3</w:t>
            </w:r>
          </w:p>
        </w:tc>
      </w:tr>
      <w:tr w:rsidR="00D96B91">
        <w:trPr>
          <w:trHeight w:hRule="exact" w:val="407"/>
        </w:trPr>
        <w:tc>
          <w:tcPr>
            <w:tcW w:w="9401" w:type="dxa"/>
            <w:gridSpan w:val="4"/>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left="2010"/>
              <w:rPr>
                <w:rFonts w:ascii="Avenir Next Condensed" w:eastAsia="Avenir Next Condensed" w:hAnsi="Avenir Next Condensed" w:cs="Avenir Next Condensed"/>
                <w:sz w:val="18"/>
                <w:szCs w:val="18"/>
              </w:rPr>
            </w:pPr>
            <w:r>
              <w:rPr>
                <w:rFonts w:ascii="Avenir Next Condensed"/>
                <w:b/>
                <w:spacing w:val="-1"/>
                <w:sz w:val="18"/>
              </w:rPr>
              <w:t>Standard</w:t>
            </w:r>
            <w:r>
              <w:rPr>
                <w:rFonts w:ascii="Avenir Next Condensed"/>
                <w:b/>
                <w:sz w:val="18"/>
              </w:rPr>
              <w:t xml:space="preserve"> </w:t>
            </w:r>
            <w:r>
              <w:rPr>
                <w:rFonts w:ascii="Avenir Next Condensed"/>
                <w:b/>
                <w:spacing w:val="-1"/>
                <w:sz w:val="18"/>
              </w:rPr>
              <w:t>asset</w:t>
            </w:r>
            <w:r>
              <w:rPr>
                <w:rFonts w:ascii="Avenir Next Condensed"/>
                <w:b/>
                <w:sz w:val="18"/>
              </w:rPr>
              <w:t xml:space="preserve"> lives for new </w:t>
            </w:r>
            <w:r>
              <w:rPr>
                <w:rFonts w:ascii="Avenir Next Condensed"/>
                <w:b/>
                <w:spacing w:val="-1"/>
                <w:sz w:val="18"/>
              </w:rPr>
              <w:t>assets</w:t>
            </w:r>
            <w:r>
              <w:rPr>
                <w:rFonts w:ascii="Avenir Next Condensed"/>
                <w:b/>
                <w:sz w:val="18"/>
              </w:rPr>
              <w:t xml:space="preserve"> to be </w:t>
            </w:r>
            <w:r>
              <w:rPr>
                <w:rFonts w:ascii="Avenir Next Condensed"/>
                <w:b/>
                <w:spacing w:val="-1"/>
                <w:sz w:val="18"/>
              </w:rPr>
              <w:t>commissioned</w:t>
            </w:r>
            <w:r>
              <w:rPr>
                <w:rFonts w:ascii="Avenir Next Condensed"/>
                <w:b/>
                <w:sz w:val="18"/>
              </w:rPr>
              <w:t xml:space="preserve"> in the </w:t>
            </w:r>
            <w:r>
              <w:rPr>
                <w:rFonts w:ascii="Avenir Next Condensed"/>
                <w:b/>
                <w:spacing w:val="-1"/>
                <w:sz w:val="18"/>
              </w:rPr>
              <w:t>regulatory</w:t>
            </w:r>
            <w:r>
              <w:rPr>
                <w:rFonts w:ascii="Avenir Next Condensed"/>
                <w:b/>
                <w:sz w:val="18"/>
              </w:rPr>
              <w:t xml:space="preserve"> period</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3"/>
              <w:jc w:val="center"/>
              <w:rPr>
                <w:rFonts w:ascii="Avenir Next Condensed" w:eastAsia="Avenir Next Condensed" w:hAnsi="Avenir Next Condensed" w:cs="Avenir Next Condensed"/>
                <w:sz w:val="18"/>
                <w:szCs w:val="18"/>
              </w:rPr>
            </w:pPr>
            <w:r>
              <w:rPr>
                <w:rFonts w:ascii="Avenir Next Condensed"/>
                <w:sz w:val="18"/>
              </w:rPr>
              <w:t>66</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34.1</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0"/>
              <w:jc w:val="center"/>
              <w:rPr>
                <w:rFonts w:ascii="Avenir Next Condensed" w:eastAsia="Avenir Next Condensed" w:hAnsi="Avenir Next Condensed" w:cs="Avenir Next Condensed"/>
                <w:sz w:val="18"/>
                <w:szCs w:val="18"/>
              </w:rPr>
            </w:pPr>
            <w:r>
              <w:rPr>
                <w:rFonts w:ascii="Avenir Next Condensed"/>
                <w:sz w:val="18"/>
              </w:rPr>
              <w:t>53.5</w:t>
            </w:r>
          </w:p>
        </w:tc>
      </w:tr>
      <w:tr w:rsidR="00D96B91">
        <w:trPr>
          <w:trHeight w:hRule="exact" w:val="407"/>
        </w:trPr>
        <w:tc>
          <w:tcPr>
            <w:tcW w:w="38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Sewerage</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3"/>
              <w:jc w:val="center"/>
              <w:rPr>
                <w:rFonts w:ascii="Avenir Next Condensed" w:eastAsia="Avenir Next Condensed" w:hAnsi="Avenir Next Condensed" w:cs="Avenir Next Condensed"/>
                <w:sz w:val="18"/>
                <w:szCs w:val="18"/>
              </w:rPr>
            </w:pPr>
            <w:r>
              <w:rPr>
                <w:rFonts w:ascii="Avenir Next Condensed"/>
                <w:sz w:val="18"/>
              </w:rPr>
              <w:t>66</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9"/>
              <w:jc w:val="center"/>
              <w:rPr>
                <w:rFonts w:ascii="Avenir Next Condensed" w:eastAsia="Avenir Next Condensed" w:hAnsi="Avenir Next Condensed" w:cs="Avenir Next Condensed"/>
                <w:sz w:val="18"/>
                <w:szCs w:val="18"/>
              </w:rPr>
            </w:pPr>
            <w:r>
              <w:rPr>
                <w:rFonts w:ascii="Avenir Next Condensed"/>
                <w:sz w:val="18"/>
              </w:rPr>
              <w:t>32.2</w:t>
            </w:r>
          </w:p>
        </w:tc>
        <w:tc>
          <w:tcPr>
            <w:tcW w:w="183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0"/>
              <w:jc w:val="center"/>
              <w:rPr>
                <w:rFonts w:ascii="Avenir Next Condensed" w:eastAsia="Avenir Next Condensed" w:hAnsi="Avenir Next Condensed" w:cs="Avenir Next Condensed"/>
                <w:sz w:val="18"/>
                <w:szCs w:val="18"/>
              </w:rPr>
            </w:pPr>
            <w:r>
              <w:rPr>
                <w:rFonts w:ascii="Avenir Next Condensed"/>
                <w:sz w:val="18"/>
              </w:rPr>
              <w:t>36.0</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548"/>
        <w:rPr>
          <w:rFonts w:ascii="Avenir Next" w:eastAsia="Avenir Next" w:hAnsi="Avenir Next" w:cs="Avenir Next"/>
          <w:sz w:val="16"/>
          <w:szCs w:val="16"/>
        </w:rPr>
      </w:pPr>
      <w:r>
        <w:rPr>
          <w:rFonts w:ascii="Avenir Next" w:eastAsia="Avenir Next" w:hAnsi="Avenir Next" w:cs="Avenir Next"/>
          <w:spacing w:val="-1"/>
          <w:sz w:val="16"/>
          <w:szCs w:val="16"/>
        </w:rPr>
        <w:t>Source:</w:t>
      </w:r>
      <w:r>
        <w:rPr>
          <w:rFonts w:ascii="Avenir Next" w:eastAsia="Avenir Next" w:hAnsi="Avenir Next" w:cs="Avenir Next"/>
          <w:sz w:val="16"/>
          <w:szCs w:val="16"/>
        </w:rPr>
        <w:t xml:space="preserve"> ICRC,</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Direction</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z w:val="16"/>
          <w:szCs w:val="16"/>
        </w:rPr>
        <w:t xml:space="preserve"> 2: </w:t>
      </w:r>
      <w:r>
        <w:rPr>
          <w:rFonts w:ascii="Avenir Next" w:eastAsia="Avenir Next" w:hAnsi="Avenir Next" w:cs="Avenir Next"/>
          <w:spacing w:val="-2"/>
          <w:sz w:val="16"/>
          <w:szCs w:val="16"/>
        </w:rPr>
        <w:t>Pricing</w:t>
      </w:r>
      <w:r>
        <w:rPr>
          <w:rFonts w:ascii="Avenir Next" w:eastAsia="Avenir Next" w:hAnsi="Avenir Next" w:cs="Avenir Next"/>
          <w:sz w:val="16"/>
          <w:szCs w:val="16"/>
        </w:rPr>
        <w:t xml:space="preserve"> Model,</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Forecast</w:t>
      </w:r>
      <w:r>
        <w:rPr>
          <w:rFonts w:ascii="Avenir Next" w:eastAsia="Avenir Next" w:hAnsi="Avenir Next" w:cs="Avenir Next"/>
          <w:sz w:val="16"/>
          <w:szCs w:val="16"/>
        </w:rPr>
        <w:t xml:space="preserve"> RAB tab </w:t>
      </w:r>
      <w:r>
        <w:rPr>
          <w:rFonts w:ascii="Avenir Next" w:eastAsia="Avenir Next" w:hAnsi="Avenir Next" w:cs="Avenir Next"/>
          <w:spacing w:val="-1"/>
          <w:sz w:val="16"/>
          <w:szCs w:val="16"/>
        </w:rPr>
        <w:t>(measured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at</w:t>
      </w:r>
      <w:r>
        <w:rPr>
          <w:rFonts w:ascii="Avenir Next" w:eastAsia="Avenir Next" w:hAnsi="Avenir Next" w:cs="Avenir Next"/>
          <w:sz w:val="16"/>
          <w:szCs w:val="16"/>
        </w:rPr>
        <w:t xml:space="preserve"> the end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2012-13),</w:t>
      </w:r>
      <w:r>
        <w:rPr>
          <w:rFonts w:ascii="Avenir Next" w:eastAsia="Avenir Next" w:hAnsi="Avenir Next" w:cs="Avenir Next"/>
          <w:spacing w:val="-8"/>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79"/>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Facts</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Contentions,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2014,</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34 and</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z w:val="16"/>
          <w:szCs w:val="16"/>
        </w:rPr>
        <w:t xml:space="preserve"> 17.10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April 2013 submission and</w:t>
      </w:r>
      <w:r>
        <w:rPr>
          <w:rFonts w:ascii="Avenir Next" w:eastAsia="Avenir Next" w:hAnsi="Avenir Next" w:cs="Avenir Next"/>
          <w:spacing w:val="-3"/>
          <w:sz w:val="16"/>
          <w:szCs w:val="16"/>
        </w:rPr>
        <w:t xml:space="preserve"> ACTEW,</w:t>
      </w:r>
      <w:r>
        <w:rPr>
          <w:rFonts w:ascii="Avenir Next" w:eastAsia="Avenir Next" w:hAnsi="Avenir Next" w:cs="Avenir Next"/>
          <w:spacing w:val="59"/>
          <w:sz w:val="16"/>
          <w:szCs w:val="16"/>
        </w:rPr>
        <w:t xml:space="preserve"> </w:t>
      </w:r>
      <w:r>
        <w:rPr>
          <w:rFonts w:ascii="Avenir Next" w:eastAsia="Avenir Next" w:hAnsi="Avenir Next" w:cs="Avenir Next"/>
          <w:spacing w:val="-1"/>
          <w:sz w:val="16"/>
          <w:szCs w:val="16"/>
        </w:rPr>
        <w:t>Response</w:t>
      </w:r>
      <w:r>
        <w:rPr>
          <w:rFonts w:ascii="Avenir Next" w:eastAsia="Avenir Next" w:hAnsi="Avenir Next" w:cs="Avenir Next"/>
          <w:sz w:val="16"/>
          <w:szCs w:val="16"/>
        </w:rPr>
        <w:t xml:space="preserve"> to </w:t>
      </w:r>
      <w:r>
        <w:rPr>
          <w:rFonts w:ascii="Avenir Next" w:eastAsia="Avenir Next" w:hAnsi="Avenir Next" w:cs="Avenir Next"/>
          <w:spacing w:val="-3"/>
          <w:sz w:val="16"/>
          <w:szCs w:val="16"/>
        </w:rPr>
        <w:t>Part</w:t>
      </w:r>
      <w:r>
        <w:rPr>
          <w:rFonts w:ascii="Avenir Next" w:eastAsia="Avenir Next" w:hAnsi="Avenir Next" w:cs="Avenir Next"/>
          <w:sz w:val="16"/>
          <w:szCs w:val="16"/>
        </w:rPr>
        <w:t xml:space="preserve"> B –</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Actew</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Asset Listing</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 13.xls,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24 September 2014 (adjusted to </w:t>
      </w:r>
      <w:r>
        <w:rPr>
          <w:rFonts w:ascii="Avenir Next" w:eastAsia="Avenir Next" w:hAnsi="Avenir Next" w:cs="Avenir Next"/>
          <w:spacing w:val="-1"/>
          <w:sz w:val="16"/>
          <w:szCs w:val="16"/>
        </w:rPr>
        <w:t>correct</w:t>
      </w:r>
      <w:r>
        <w:rPr>
          <w:rFonts w:ascii="Avenir Next" w:eastAsia="Avenir Next" w:hAnsi="Avenir Next" w:cs="Avenir Next"/>
          <w:sz w:val="16"/>
          <w:szCs w:val="16"/>
        </w:rPr>
        <w:t xml:space="preserve"> some minor </w:t>
      </w:r>
      <w:r>
        <w:rPr>
          <w:rFonts w:ascii="Avenir Next" w:eastAsia="Avenir Next" w:hAnsi="Avenir Next" w:cs="Avenir Next"/>
          <w:spacing w:val="-1"/>
          <w:sz w:val="16"/>
          <w:szCs w:val="16"/>
        </w:rPr>
        <w:t>errors).</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376"/>
        <w:rPr>
          <w:sz w:val="11"/>
          <w:szCs w:val="11"/>
        </w:rPr>
      </w:pPr>
      <w:r>
        <w:rPr>
          <w:spacing w:val="-2"/>
        </w:rPr>
        <w:t>The</w:t>
      </w:r>
      <w:r>
        <w:t xml:space="preserve"> </w:t>
      </w:r>
      <w:r>
        <w:rPr>
          <w:spacing w:val="-3"/>
        </w:rPr>
        <w:t>Panel</w:t>
      </w:r>
      <w:r>
        <w:t xml:space="preserve"> understands </w:t>
      </w:r>
      <w:r>
        <w:rPr>
          <w:spacing w:val="-1"/>
        </w:rPr>
        <w:t>from</w:t>
      </w:r>
      <w:r>
        <w:t xml:space="preserve"> its </w:t>
      </w:r>
      <w:r>
        <w:rPr>
          <w:spacing w:val="-1"/>
        </w:rPr>
        <w:t>review</w:t>
      </w:r>
      <w:r>
        <w:t xml:space="preserve"> of</w:t>
      </w:r>
      <w:r>
        <w:rPr>
          <w:spacing w:val="4"/>
        </w:rPr>
        <w:t xml:space="preserve"> </w:t>
      </w:r>
      <w:r>
        <w:t xml:space="preserve">prior ICRC decisions </w:t>
      </w:r>
      <w:r>
        <w:rPr>
          <w:spacing w:val="-1"/>
        </w:rPr>
        <w:t>that,</w:t>
      </w:r>
      <w:r>
        <w:rPr>
          <w:spacing w:val="-6"/>
        </w:rPr>
        <w:t xml:space="preserve"> </w:t>
      </w:r>
      <w:r>
        <w:t xml:space="preserve">with the </w:t>
      </w:r>
      <w:r>
        <w:rPr>
          <w:spacing w:val="-1"/>
        </w:rPr>
        <w:t>exception</w:t>
      </w:r>
      <w:r>
        <w:t xml:space="preserve"> of</w:t>
      </w:r>
      <w:r>
        <w:rPr>
          <w:spacing w:val="4"/>
        </w:rPr>
        <w:t xml:space="preserve"> </w:t>
      </w:r>
      <w:r>
        <w:t>the ECD</w:t>
      </w:r>
      <w:r>
        <w:rPr>
          <w:spacing w:val="29"/>
        </w:rPr>
        <w:t xml:space="preserve"> </w:t>
      </w:r>
      <w:r>
        <w:t>assets,</w:t>
      </w:r>
      <w:r>
        <w:rPr>
          <w:spacing w:val="-6"/>
        </w:rPr>
        <w:t xml:space="preserve"> </w:t>
      </w:r>
      <w:r>
        <w:t xml:space="preserve">the asset lives used to </w:t>
      </w:r>
      <w:r>
        <w:rPr>
          <w:spacing w:val="-1"/>
        </w:rPr>
        <w:t>calculate</w:t>
      </w:r>
      <w:r>
        <w:t xml:space="preserve"> </w:t>
      </w:r>
      <w:r>
        <w:rPr>
          <w:spacing w:val="-1"/>
        </w:rPr>
        <w:t>depreciation</w:t>
      </w:r>
      <w:r>
        <w:t xml:space="preserve"> have been based on notional </w:t>
      </w:r>
      <w:r>
        <w:rPr>
          <w:spacing w:val="-1"/>
        </w:rPr>
        <w:t>estimates</w:t>
      </w:r>
      <w:r>
        <w:t xml:space="preserve"> of</w:t>
      </w:r>
      <w:r>
        <w:rPr>
          <w:spacing w:val="4"/>
        </w:rPr>
        <w:t xml:space="preserve"> </w:t>
      </w:r>
      <w:r>
        <w:t>the life</w:t>
      </w:r>
      <w:r>
        <w:rPr>
          <w:spacing w:val="37"/>
        </w:rPr>
        <w:t xml:space="preserve"> </w:t>
      </w:r>
      <w:r>
        <w:t>of</w:t>
      </w:r>
      <w:r>
        <w:rPr>
          <w:spacing w:val="4"/>
        </w:rPr>
        <w:t xml:space="preserve"> </w:t>
      </w:r>
      <w:r>
        <w:t xml:space="preserve">new and </w:t>
      </w:r>
      <w:r>
        <w:rPr>
          <w:spacing w:val="-1"/>
        </w:rPr>
        <w:t>existing</w:t>
      </w:r>
      <w:r>
        <w:t xml:space="preserve"> assets,</w:t>
      </w:r>
      <w:r>
        <w:rPr>
          <w:spacing w:val="-6"/>
        </w:rPr>
        <w:t xml:space="preserve"> </w:t>
      </w:r>
      <w:r>
        <w:t xml:space="preserve">and no analysis has </w:t>
      </w:r>
      <w:r>
        <w:rPr>
          <w:spacing w:val="-1"/>
        </w:rPr>
        <w:t>recently</w:t>
      </w:r>
      <w:r>
        <w:t xml:space="preserve"> been </w:t>
      </w:r>
      <w:r>
        <w:rPr>
          <w:spacing w:val="-1"/>
        </w:rPr>
        <w:t>undertaken</w:t>
      </w:r>
      <w:r>
        <w:t xml:space="preserve"> to determine whether they</w:t>
      </w:r>
      <w:r>
        <w:rPr>
          <w:spacing w:val="27"/>
        </w:rPr>
        <w:t xml:space="preserve"> </w:t>
      </w:r>
      <w:r>
        <w:rPr>
          <w:spacing w:val="-1"/>
        </w:rPr>
        <w:t>reflect</w:t>
      </w:r>
      <w:r>
        <w:t xml:space="preserve"> the</w:t>
      </w:r>
      <w:r>
        <w:rPr>
          <w:spacing w:val="1"/>
        </w:rPr>
        <w:t xml:space="preserve"> </w:t>
      </w:r>
      <w:r>
        <w:t>economic lives</w:t>
      </w:r>
      <w:r>
        <w:rPr>
          <w:spacing w:val="1"/>
        </w:rPr>
        <w:t xml:space="preserve"> </w:t>
      </w:r>
      <w:r>
        <w:t>of</w:t>
      </w:r>
      <w:r>
        <w:rPr>
          <w:spacing w:val="5"/>
        </w:rPr>
        <w:t xml:space="preserve"> </w:t>
      </w:r>
      <w:r>
        <w:t>the underlying</w:t>
      </w:r>
      <w:r>
        <w:rPr>
          <w:spacing w:val="1"/>
        </w:rPr>
        <w:t xml:space="preserve"> </w:t>
      </w:r>
      <w:r>
        <w:rPr>
          <w:spacing w:val="-1"/>
        </w:rPr>
        <w:t>assets.</w:t>
      </w:r>
      <w:r>
        <w:rPr>
          <w:spacing w:val="-1"/>
          <w:position w:val="7"/>
          <w:sz w:val="11"/>
        </w:rPr>
        <w:t>140</w:t>
      </w:r>
    </w:p>
    <w:p w:rsidR="00D96B91" w:rsidRDefault="00C2656B">
      <w:pPr>
        <w:pStyle w:val="BodyText"/>
        <w:spacing w:before="170" w:line="260" w:lineRule="exact"/>
        <w:ind w:right="1356"/>
      </w:pPr>
      <w:r>
        <w:t>In principle,</w:t>
      </w:r>
      <w:r>
        <w:rPr>
          <w:spacing w:val="-6"/>
        </w:rPr>
        <w:t xml:space="preserve"> </w:t>
      </w:r>
      <w:r>
        <w:t xml:space="preserve">the </w:t>
      </w:r>
      <w:r>
        <w:rPr>
          <w:spacing w:val="-3"/>
        </w:rPr>
        <w:t>Panel</w:t>
      </w:r>
      <w:r>
        <w:t xml:space="preserve"> </w:t>
      </w:r>
      <w:r>
        <w:rPr>
          <w:spacing w:val="-1"/>
        </w:rPr>
        <w:t>agrees</w:t>
      </w:r>
      <w:r>
        <w:t xml:space="preserve"> with</w:t>
      </w:r>
      <w:r>
        <w:rPr>
          <w:spacing w:val="-4"/>
        </w:rPr>
        <w:t xml:space="preserve"> </w:t>
      </w:r>
      <w:r>
        <w:rPr>
          <w:spacing w:val="-2"/>
        </w:rPr>
        <w:t>ACTEW</w:t>
      </w:r>
      <w:r>
        <w:rPr>
          <w:spacing w:val="-3"/>
        </w:rPr>
        <w:t xml:space="preserve"> </w:t>
      </w:r>
      <w:r>
        <w:rPr>
          <w:spacing w:val="-1"/>
        </w:rPr>
        <w:t>that</w:t>
      </w:r>
      <w:r>
        <w:t xml:space="preserve"> </w:t>
      </w:r>
      <w:r>
        <w:rPr>
          <w:spacing w:val="-1"/>
        </w:rPr>
        <w:t>depreciation</w:t>
      </w:r>
      <w:r>
        <w:t xml:space="preserve"> should,</w:t>
      </w:r>
      <w:r>
        <w:rPr>
          <w:spacing w:val="-7"/>
        </w:rPr>
        <w:t xml:space="preserve"> </w:t>
      </w:r>
      <w:r>
        <w:t xml:space="preserve">to the </w:t>
      </w:r>
      <w:r>
        <w:rPr>
          <w:spacing w:val="-1"/>
        </w:rPr>
        <w:t>extent</w:t>
      </w:r>
      <w:r>
        <w:t xml:space="preserve"> possible,</w:t>
      </w:r>
      <w:r>
        <w:rPr>
          <w:spacing w:val="-6"/>
        </w:rPr>
        <w:t xml:space="preserve"> </w:t>
      </w:r>
      <w:r>
        <w:t>be</w:t>
      </w:r>
      <w:r>
        <w:rPr>
          <w:spacing w:val="43"/>
        </w:rPr>
        <w:t xml:space="preserve"> </w:t>
      </w:r>
      <w:r>
        <w:rPr>
          <w:spacing w:val="-1"/>
        </w:rPr>
        <w:t>calculated</w:t>
      </w:r>
      <w:r>
        <w:t xml:space="preserve"> using the </w:t>
      </w:r>
      <w:r>
        <w:rPr>
          <w:b/>
        </w:rPr>
        <w:t xml:space="preserve">economic </w:t>
      </w:r>
      <w:r>
        <w:t>lives of</w:t>
      </w:r>
      <w:r>
        <w:rPr>
          <w:spacing w:val="4"/>
        </w:rPr>
        <w:t xml:space="preserve"> </w:t>
      </w:r>
      <w:r>
        <w:t xml:space="preserve">the assets used in the </w:t>
      </w:r>
      <w:r>
        <w:rPr>
          <w:spacing w:val="-1"/>
        </w:rPr>
        <w:t>provision</w:t>
      </w:r>
      <w:r>
        <w:t xml:space="preserve"> of</w:t>
      </w:r>
      <w:r>
        <w:rPr>
          <w:spacing w:val="4"/>
        </w:rPr>
        <w:t xml:space="preserve"> </w:t>
      </w:r>
      <w:r>
        <w:t>services,</w:t>
      </w:r>
      <w:r>
        <w:rPr>
          <w:spacing w:val="-7"/>
        </w:rPr>
        <w:t xml:space="preserve"> </w:t>
      </w:r>
      <w:r>
        <w:t xml:space="preserve">because this </w:t>
      </w:r>
      <w:r>
        <w:rPr>
          <w:spacing w:val="-1"/>
        </w:rPr>
        <w:t>better</w:t>
      </w:r>
      <w:r>
        <w:rPr>
          <w:spacing w:val="33"/>
        </w:rPr>
        <w:t xml:space="preserve"> </w:t>
      </w:r>
      <w:r>
        <w:rPr>
          <w:spacing w:val="-1"/>
        </w:rPr>
        <w:t xml:space="preserve">reflects </w:t>
      </w:r>
      <w:r>
        <w:t>the</w:t>
      </w:r>
      <w:r>
        <w:rPr>
          <w:spacing w:val="-1"/>
        </w:rPr>
        <w:t xml:space="preserve"> </w:t>
      </w:r>
      <w:r>
        <w:t>cost of</w:t>
      </w:r>
      <w:r>
        <w:rPr>
          <w:spacing w:val="3"/>
        </w:rPr>
        <w:t xml:space="preserve"> </w:t>
      </w:r>
      <w:r>
        <w:t>the asset</w:t>
      </w:r>
      <w:r>
        <w:rPr>
          <w:spacing w:val="-1"/>
        </w:rPr>
        <w:t xml:space="preserve"> </w:t>
      </w:r>
      <w:r>
        <w:t>over</w:t>
      </w:r>
      <w:r>
        <w:rPr>
          <w:spacing w:val="-1"/>
        </w:rPr>
        <w:t xml:space="preserve"> </w:t>
      </w:r>
      <w:r>
        <w:t>time and</w:t>
      </w:r>
      <w:r>
        <w:rPr>
          <w:spacing w:val="-1"/>
        </w:rPr>
        <w:t xml:space="preserve"> </w:t>
      </w:r>
      <w:r>
        <w:t xml:space="preserve">also </w:t>
      </w:r>
      <w:r>
        <w:rPr>
          <w:spacing w:val="-1"/>
        </w:rPr>
        <w:t>promotes:</w:t>
      </w:r>
    </w:p>
    <w:p w:rsidR="00D96B91" w:rsidRDefault="00C2656B">
      <w:pPr>
        <w:pStyle w:val="BodyText"/>
        <w:numPr>
          <w:ilvl w:val="0"/>
          <w:numId w:val="131"/>
        </w:numPr>
        <w:tabs>
          <w:tab w:val="left" w:pos="1531"/>
        </w:tabs>
        <w:spacing w:before="178"/>
        <w:ind w:hanging="283"/>
      </w:pPr>
      <w:r>
        <w:t>the</w:t>
      </w:r>
      <w:r>
        <w:rPr>
          <w:spacing w:val="-1"/>
        </w:rPr>
        <w:t xml:space="preserve"> efficient </w:t>
      </w:r>
      <w:r>
        <w:t>use of</w:t>
      </w:r>
      <w:r>
        <w:rPr>
          <w:spacing w:val="3"/>
        </w:rPr>
        <w:t xml:space="preserve"> </w:t>
      </w:r>
      <w:r>
        <w:t>the</w:t>
      </w:r>
      <w:r>
        <w:rPr>
          <w:spacing w:val="-1"/>
        </w:rPr>
        <w:t xml:space="preserve"> </w:t>
      </w:r>
      <w:r>
        <w:t>assets by</w:t>
      </w:r>
      <w:r>
        <w:rPr>
          <w:spacing w:val="-1"/>
        </w:rPr>
        <w:t xml:space="preserve"> </w:t>
      </w:r>
      <w:r>
        <w:t>customers over</w:t>
      </w:r>
      <w:r>
        <w:rPr>
          <w:spacing w:val="-1"/>
        </w:rPr>
        <w:t xml:space="preserve"> </w:t>
      </w:r>
      <w:r>
        <w:t>time</w:t>
      </w:r>
    </w:p>
    <w:p w:rsidR="00D96B91" w:rsidRDefault="00C2656B">
      <w:pPr>
        <w:pStyle w:val="BodyText"/>
        <w:numPr>
          <w:ilvl w:val="0"/>
          <w:numId w:val="131"/>
        </w:numPr>
        <w:tabs>
          <w:tab w:val="left" w:pos="1531"/>
        </w:tabs>
        <w:spacing w:before="72"/>
        <w:ind w:hanging="283"/>
      </w:pPr>
      <w:r>
        <w:rPr>
          <w:spacing w:val="-1"/>
        </w:rPr>
        <w:t xml:space="preserve">efficient </w:t>
      </w:r>
      <w:r>
        <w:t>planning</w:t>
      </w:r>
      <w:r>
        <w:rPr>
          <w:spacing w:val="-1"/>
        </w:rPr>
        <w:t xml:space="preserve"> </w:t>
      </w:r>
      <w:r>
        <w:t>and investment</w:t>
      </w:r>
      <w:r>
        <w:rPr>
          <w:spacing w:val="-1"/>
        </w:rPr>
        <w:t xml:space="preserve"> </w:t>
      </w:r>
      <w:r>
        <w:t>in</w:t>
      </w:r>
      <w:r>
        <w:rPr>
          <w:spacing w:val="-1"/>
        </w:rPr>
        <w:t xml:space="preserve"> </w:t>
      </w:r>
      <w:r>
        <w:t>the assets</w:t>
      </w:r>
      <w:r>
        <w:rPr>
          <w:spacing w:val="-1"/>
        </w:rPr>
        <w:t xml:space="preserve"> </w:t>
      </w:r>
      <w:r>
        <w:t>over time,</w:t>
      </w:r>
      <w:r>
        <w:rPr>
          <w:spacing w:val="-8"/>
        </w:rPr>
        <w:t xml:space="preserve"> </w:t>
      </w:r>
      <w:r>
        <w:t>and</w:t>
      </w:r>
    </w:p>
    <w:p w:rsidR="00D96B91" w:rsidRDefault="00C2656B">
      <w:pPr>
        <w:pStyle w:val="BodyText"/>
        <w:numPr>
          <w:ilvl w:val="0"/>
          <w:numId w:val="131"/>
        </w:numPr>
        <w:tabs>
          <w:tab w:val="left" w:pos="1531"/>
        </w:tabs>
        <w:spacing w:before="64" w:line="260" w:lineRule="exact"/>
        <w:ind w:right="1576" w:hanging="283"/>
      </w:pPr>
      <w:r>
        <w:rPr>
          <w:spacing w:val="-1"/>
        </w:rPr>
        <w:t>intergenerational</w:t>
      </w:r>
      <w:r>
        <w:t xml:space="preserve"> </w:t>
      </w:r>
      <w:r>
        <w:rPr>
          <w:spacing w:val="-2"/>
        </w:rPr>
        <w:t>equity,</w:t>
      </w:r>
      <w:r>
        <w:rPr>
          <w:spacing w:val="-6"/>
        </w:rPr>
        <w:t xml:space="preserve"> </w:t>
      </w:r>
      <w:r>
        <w:t xml:space="preserve">because customers in </w:t>
      </w:r>
      <w:r>
        <w:rPr>
          <w:spacing w:val="-1"/>
        </w:rPr>
        <w:t>each</w:t>
      </w:r>
      <w:r>
        <w:t xml:space="preserve"> </w:t>
      </w:r>
      <w:r>
        <w:rPr>
          <w:spacing w:val="-1"/>
        </w:rPr>
        <w:t>generation</w:t>
      </w:r>
      <w:r>
        <w:t xml:space="preserve"> only pay for those assets </w:t>
      </w:r>
      <w:r>
        <w:rPr>
          <w:spacing w:val="-1"/>
        </w:rPr>
        <w:t>that</w:t>
      </w:r>
      <w:r>
        <w:t xml:space="preserve"> </w:t>
      </w:r>
      <w:r>
        <w:rPr>
          <w:spacing w:val="-2"/>
        </w:rPr>
        <w:t>are</w:t>
      </w:r>
      <w:r>
        <w:rPr>
          <w:spacing w:val="47"/>
        </w:rPr>
        <w:t xml:space="preserve"> </w:t>
      </w:r>
      <w:r>
        <w:t xml:space="preserve">used in the </w:t>
      </w:r>
      <w:r>
        <w:rPr>
          <w:spacing w:val="-1"/>
        </w:rPr>
        <w:t>provision</w:t>
      </w:r>
      <w:r>
        <w:t xml:space="preserve"> of</w:t>
      </w:r>
      <w:r>
        <w:rPr>
          <w:spacing w:val="4"/>
        </w:rPr>
        <w:t xml:space="preserve"> </w:t>
      </w:r>
      <w:r>
        <w:t>services to them.</w:t>
      </w:r>
    </w:p>
    <w:p w:rsidR="00D96B91" w:rsidRDefault="00C2656B">
      <w:pPr>
        <w:pStyle w:val="BodyText"/>
        <w:spacing w:before="85" w:line="260" w:lineRule="exact"/>
        <w:ind w:right="1548"/>
      </w:pPr>
      <w:r>
        <w:rPr>
          <w:spacing w:val="-2"/>
        </w:rPr>
        <w:t>However,</w:t>
      </w:r>
      <w:r>
        <w:rPr>
          <w:spacing w:val="-7"/>
        </w:rPr>
        <w:t xml:space="preserve"> </w:t>
      </w:r>
      <w:r>
        <w:t>the</w:t>
      </w:r>
      <w:r>
        <w:rPr>
          <w:spacing w:val="-1"/>
        </w:rPr>
        <w:t xml:space="preserve"> </w:t>
      </w:r>
      <w:r>
        <w:rPr>
          <w:spacing w:val="-3"/>
        </w:rPr>
        <w:t>Panel</w:t>
      </w:r>
      <w:r>
        <w:t xml:space="preserve"> has</w:t>
      </w:r>
      <w:r>
        <w:rPr>
          <w:spacing w:val="-1"/>
        </w:rPr>
        <w:t xml:space="preserve"> </w:t>
      </w:r>
      <w:r>
        <w:t>identified a</w:t>
      </w:r>
      <w:r>
        <w:rPr>
          <w:spacing w:val="-1"/>
        </w:rPr>
        <w:t xml:space="preserve"> </w:t>
      </w:r>
      <w:r>
        <w:t>number of</w:t>
      </w:r>
      <w:r>
        <w:rPr>
          <w:spacing w:val="3"/>
        </w:rPr>
        <w:t xml:space="preserve"> </w:t>
      </w:r>
      <w:r>
        <w:t>issues with</w:t>
      </w:r>
      <w:r>
        <w:rPr>
          <w:spacing w:val="-1"/>
        </w:rPr>
        <w:t xml:space="preserve"> </w:t>
      </w:r>
      <w:r>
        <w:t>the</w:t>
      </w:r>
      <w:r>
        <w:rPr>
          <w:spacing w:val="-1"/>
        </w:rPr>
        <w:t xml:space="preserve"> </w:t>
      </w:r>
      <w:r>
        <w:t>analysis</w:t>
      </w:r>
      <w:r>
        <w:rPr>
          <w:spacing w:val="-4"/>
        </w:rPr>
        <w:t xml:space="preserve"> </w:t>
      </w:r>
      <w:r>
        <w:rPr>
          <w:spacing w:val="-2"/>
        </w:rPr>
        <w:t>ACTEW</w:t>
      </w:r>
      <w:r>
        <w:rPr>
          <w:spacing w:val="-4"/>
        </w:rPr>
        <w:t xml:space="preserve"> </w:t>
      </w:r>
      <w:r>
        <w:rPr>
          <w:spacing w:val="-1"/>
        </w:rPr>
        <w:t>provided</w:t>
      </w:r>
      <w:r>
        <w:t xml:space="preserve"> the</w:t>
      </w:r>
      <w:r>
        <w:rPr>
          <w:spacing w:val="-1"/>
        </w:rPr>
        <w:t xml:space="preserve"> </w:t>
      </w:r>
      <w:r>
        <w:t>ICRC in</w:t>
      </w:r>
      <w:r>
        <w:rPr>
          <w:spacing w:val="35"/>
        </w:rPr>
        <w:t xml:space="preserve"> </w:t>
      </w:r>
      <w:r>
        <w:rPr>
          <w:spacing w:val="-1"/>
        </w:rPr>
        <w:t>support</w:t>
      </w:r>
      <w:r>
        <w:t xml:space="preserve"> of</w:t>
      </w:r>
      <w:r>
        <w:rPr>
          <w:spacing w:val="4"/>
        </w:rPr>
        <w:t xml:space="preserve"> </w:t>
      </w:r>
      <w:r>
        <w:t xml:space="preserve">its </w:t>
      </w:r>
      <w:r>
        <w:rPr>
          <w:spacing w:val="-1"/>
        </w:rPr>
        <w:t>proposed</w:t>
      </w:r>
      <w:r>
        <w:t xml:space="preserve"> economic lives and the way it has sought to use these lives.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25"/>
          <w:szCs w:val="2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22" style="width:72.5pt;height:.5pt;mso-position-horizontal-relative:char;mso-position-vertical-relative:line" coordsize="1450,10">
            <v:group id="_x0000_s3123" style="position:absolute;left:5;top:5;width:1440;height:2" coordorigin="5,5" coordsize="1440,2">
              <v:shape id="_x0000_s3124"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45" w:line="192" w:lineRule="exact"/>
        <w:ind w:right="1395" w:hanging="510"/>
        <w:rPr>
          <w:rFonts w:ascii="Avenir Next" w:eastAsia="Avenir Next" w:hAnsi="Avenir Next" w:cs="Avenir Next"/>
          <w:sz w:val="16"/>
          <w:szCs w:val="16"/>
        </w:rPr>
      </w:pPr>
      <w:r>
        <w:rPr>
          <w:rFonts w:ascii="Avenir Next"/>
          <w:sz w:val="16"/>
        </w:rPr>
        <w:t xml:space="preserve">In the 2004 and 2008 price </w:t>
      </w:r>
      <w:r>
        <w:rPr>
          <w:rFonts w:ascii="Avenir Next"/>
          <w:spacing w:val="-1"/>
          <w:sz w:val="16"/>
        </w:rPr>
        <w:t>directions,</w:t>
      </w:r>
      <w:r>
        <w:rPr>
          <w:rFonts w:ascii="Avenir Next"/>
          <w:spacing w:val="-5"/>
          <w:sz w:val="16"/>
        </w:rPr>
        <w:t xml:space="preserve"> </w:t>
      </w:r>
      <w:r>
        <w:rPr>
          <w:rFonts w:ascii="Avenir Next"/>
          <w:sz w:val="16"/>
        </w:rPr>
        <w:t xml:space="preserve">the </w:t>
      </w:r>
      <w:r>
        <w:rPr>
          <w:rFonts w:ascii="Avenir Next"/>
          <w:spacing w:val="-1"/>
          <w:sz w:val="16"/>
        </w:rPr>
        <w:t>remaining</w:t>
      </w:r>
      <w:r>
        <w:rPr>
          <w:rFonts w:ascii="Avenir Next"/>
          <w:sz w:val="16"/>
        </w:rPr>
        <w:t xml:space="preserve"> life of</w:t>
      </w:r>
      <w:r>
        <w:rPr>
          <w:rFonts w:ascii="Avenir Next"/>
          <w:spacing w:val="3"/>
          <w:sz w:val="16"/>
        </w:rPr>
        <w:t xml:space="preserve"> </w:t>
      </w:r>
      <w:r>
        <w:rPr>
          <w:rFonts w:ascii="Avenir Next"/>
          <w:sz w:val="16"/>
        </w:rPr>
        <w:t xml:space="preserve">both </w:t>
      </w:r>
      <w:r>
        <w:rPr>
          <w:rFonts w:ascii="Avenir Next"/>
          <w:spacing w:val="-1"/>
          <w:sz w:val="16"/>
        </w:rPr>
        <w:t>water</w:t>
      </w:r>
      <w:r>
        <w:rPr>
          <w:rFonts w:ascii="Avenir Next"/>
          <w:sz w:val="16"/>
        </w:rPr>
        <w:t xml:space="preserve"> and </w:t>
      </w:r>
      <w:r>
        <w:rPr>
          <w:rFonts w:ascii="Avenir Next"/>
          <w:spacing w:val="-1"/>
          <w:sz w:val="16"/>
        </w:rPr>
        <w:t>sewerage</w:t>
      </w:r>
      <w:r>
        <w:rPr>
          <w:rFonts w:ascii="Avenir Next"/>
          <w:sz w:val="16"/>
        </w:rPr>
        <w:t xml:space="preserve"> assets was assumed to be 44 </w:t>
      </w:r>
      <w:r>
        <w:rPr>
          <w:rFonts w:ascii="Avenir Next"/>
          <w:spacing w:val="-1"/>
          <w:sz w:val="16"/>
        </w:rPr>
        <w:t>years</w:t>
      </w:r>
      <w:r>
        <w:rPr>
          <w:rFonts w:ascii="Avenir Next"/>
          <w:spacing w:val="55"/>
          <w:sz w:val="16"/>
        </w:rPr>
        <w:t xml:space="preserve"> </w:t>
      </w:r>
      <w:r>
        <w:rPr>
          <w:rFonts w:ascii="Avenir Next"/>
          <w:sz w:val="16"/>
        </w:rPr>
        <w:t>while the life of</w:t>
      </w:r>
      <w:r>
        <w:rPr>
          <w:rFonts w:ascii="Avenir Next"/>
          <w:spacing w:val="3"/>
          <w:sz w:val="16"/>
        </w:rPr>
        <w:t xml:space="preserve"> </w:t>
      </w:r>
      <w:r>
        <w:rPr>
          <w:rFonts w:ascii="Avenir Next"/>
          <w:sz w:val="16"/>
        </w:rPr>
        <w:t xml:space="preserve">new </w:t>
      </w:r>
      <w:r>
        <w:rPr>
          <w:rFonts w:ascii="Avenir Next"/>
          <w:spacing w:val="-1"/>
          <w:sz w:val="16"/>
        </w:rPr>
        <w:t>water</w:t>
      </w:r>
      <w:r>
        <w:rPr>
          <w:rFonts w:ascii="Avenir Next"/>
          <w:sz w:val="16"/>
        </w:rPr>
        <w:t xml:space="preserve"> and </w:t>
      </w:r>
      <w:r>
        <w:rPr>
          <w:rFonts w:ascii="Avenir Next"/>
          <w:spacing w:val="-1"/>
          <w:sz w:val="16"/>
        </w:rPr>
        <w:t>sewerage</w:t>
      </w:r>
      <w:r>
        <w:rPr>
          <w:rFonts w:ascii="Avenir Next"/>
          <w:sz w:val="16"/>
        </w:rPr>
        <w:t xml:space="preserve"> assets was assumed to be 66 </w:t>
      </w:r>
      <w:r>
        <w:rPr>
          <w:rFonts w:ascii="Avenir Next"/>
          <w:spacing w:val="-1"/>
          <w:sz w:val="16"/>
        </w:rPr>
        <w:t>years.</w:t>
      </w:r>
      <w:r>
        <w:rPr>
          <w:rFonts w:ascii="Avenir Next"/>
          <w:spacing w:val="-5"/>
          <w:sz w:val="16"/>
        </w:rPr>
        <w:t xml:space="preserve"> </w:t>
      </w:r>
      <w:r>
        <w:rPr>
          <w:rFonts w:ascii="Avenir Next"/>
          <w:sz w:val="16"/>
        </w:rPr>
        <w:t xml:space="preserve">In the 2013 price </w:t>
      </w:r>
      <w:r>
        <w:rPr>
          <w:rFonts w:ascii="Avenir Next"/>
          <w:spacing w:val="-1"/>
          <w:sz w:val="16"/>
        </w:rPr>
        <w:t>direction,</w:t>
      </w:r>
      <w:r>
        <w:rPr>
          <w:rFonts w:ascii="Avenir Next"/>
          <w:spacing w:val="-5"/>
          <w:sz w:val="16"/>
        </w:rPr>
        <w:t xml:space="preserve"> </w:t>
      </w:r>
      <w:r>
        <w:rPr>
          <w:rFonts w:ascii="Avenir Next"/>
          <w:sz w:val="16"/>
        </w:rPr>
        <w:t xml:space="preserve">the </w:t>
      </w:r>
      <w:r>
        <w:rPr>
          <w:rFonts w:ascii="Avenir Next"/>
          <w:spacing w:val="-1"/>
          <w:sz w:val="16"/>
        </w:rPr>
        <w:t>remaining</w:t>
      </w:r>
      <w:r>
        <w:rPr>
          <w:rFonts w:ascii="Avenir Next"/>
          <w:spacing w:val="55"/>
          <w:sz w:val="16"/>
        </w:rPr>
        <w:t xml:space="preserve"> </w:t>
      </w:r>
      <w:r>
        <w:rPr>
          <w:rFonts w:ascii="Avenir Next"/>
          <w:sz w:val="16"/>
        </w:rPr>
        <w:t>economic</w:t>
      </w:r>
      <w:r>
        <w:rPr>
          <w:rFonts w:ascii="Avenir Next"/>
          <w:spacing w:val="-1"/>
          <w:sz w:val="16"/>
        </w:rPr>
        <w:t xml:space="preserve"> </w:t>
      </w:r>
      <w:r>
        <w:rPr>
          <w:rFonts w:ascii="Avenir Next"/>
          <w:sz w:val="16"/>
        </w:rPr>
        <w:t>lives of</w:t>
      </w:r>
      <w:r>
        <w:rPr>
          <w:rFonts w:ascii="Avenir Next"/>
          <w:spacing w:val="3"/>
          <w:sz w:val="16"/>
        </w:rPr>
        <w:t xml:space="preserve"> </w:t>
      </w:r>
      <w:r>
        <w:rPr>
          <w:rFonts w:ascii="Avenir Next"/>
          <w:spacing w:val="-1"/>
          <w:sz w:val="16"/>
        </w:rPr>
        <w:t>water</w:t>
      </w:r>
      <w:r>
        <w:rPr>
          <w:rFonts w:ascii="Avenir Next"/>
          <w:sz w:val="16"/>
        </w:rPr>
        <w:t xml:space="preserve"> and</w:t>
      </w:r>
      <w:r>
        <w:rPr>
          <w:rFonts w:ascii="Avenir Next"/>
          <w:spacing w:val="-1"/>
          <w:sz w:val="16"/>
        </w:rPr>
        <w:t xml:space="preserve"> sewerage</w:t>
      </w:r>
      <w:r>
        <w:rPr>
          <w:rFonts w:ascii="Avenir Next"/>
          <w:sz w:val="16"/>
        </w:rPr>
        <w:t xml:space="preserve"> assets </w:t>
      </w:r>
      <w:r>
        <w:rPr>
          <w:rFonts w:ascii="Avenir Next"/>
          <w:spacing w:val="-1"/>
          <w:sz w:val="16"/>
        </w:rPr>
        <w:t>were</w:t>
      </w:r>
      <w:r>
        <w:rPr>
          <w:rFonts w:ascii="Avenir Next"/>
          <w:sz w:val="16"/>
        </w:rPr>
        <w:t xml:space="preserve"> </w:t>
      </w:r>
      <w:r>
        <w:rPr>
          <w:rFonts w:ascii="Avenir Next"/>
          <w:spacing w:val="-1"/>
          <w:sz w:val="16"/>
        </w:rPr>
        <w:t>updated</w:t>
      </w:r>
      <w:r>
        <w:rPr>
          <w:rFonts w:ascii="Avenir Next"/>
          <w:sz w:val="16"/>
        </w:rPr>
        <w:t xml:space="preserve"> to</w:t>
      </w:r>
      <w:r>
        <w:rPr>
          <w:rFonts w:ascii="Avenir Next"/>
          <w:spacing w:val="-1"/>
          <w:sz w:val="16"/>
        </w:rPr>
        <w:t xml:space="preserve"> reflect</w:t>
      </w:r>
      <w:r>
        <w:rPr>
          <w:rFonts w:ascii="Avenir Next"/>
          <w:sz w:val="16"/>
        </w:rPr>
        <w:t xml:space="preserve"> the inclusion of</w:t>
      </w:r>
      <w:r>
        <w:rPr>
          <w:rFonts w:ascii="Avenir Next"/>
          <w:spacing w:val="2"/>
          <w:sz w:val="16"/>
        </w:rPr>
        <w:t xml:space="preserve"> </w:t>
      </w:r>
      <w:r>
        <w:rPr>
          <w:rFonts w:ascii="Avenir Next"/>
          <w:sz w:val="16"/>
        </w:rPr>
        <w:t xml:space="preserve">the </w:t>
      </w:r>
      <w:r>
        <w:rPr>
          <w:rFonts w:ascii="Avenir Next"/>
          <w:spacing w:val="-1"/>
          <w:sz w:val="16"/>
        </w:rPr>
        <w:t>sewerage</w:t>
      </w:r>
      <w:r>
        <w:rPr>
          <w:rFonts w:ascii="Avenir Next"/>
          <w:sz w:val="16"/>
        </w:rPr>
        <w:t xml:space="preserve"> and </w:t>
      </w:r>
      <w:r>
        <w:rPr>
          <w:rFonts w:ascii="Avenir Next"/>
          <w:spacing w:val="-1"/>
          <w:sz w:val="16"/>
        </w:rPr>
        <w:t>water</w:t>
      </w:r>
      <w:r>
        <w:rPr>
          <w:rFonts w:ascii="Avenir Next"/>
          <w:sz w:val="16"/>
        </w:rPr>
        <w:t xml:space="preserve"> assets</w:t>
      </w:r>
      <w:r>
        <w:rPr>
          <w:rFonts w:ascii="Avenir Next"/>
          <w:spacing w:val="57"/>
          <w:sz w:val="16"/>
        </w:rPr>
        <w:t xml:space="preserve"> </w:t>
      </w:r>
      <w:r>
        <w:rPr>
          <w:rFonts w:ascii="Avenir Next"/>
          <w:sz w:val="16"/>
        </w:rPr>
        <w:t xml:space="preserve">commissioned in the 2008-2013 </w:t>
      </w:r>
      <w:r>
        <w:rPr>
          <w:rFonts w:ascii="Avenir Next"/>
          <w:spacing w:val="-1"/>
          <w:sz w:val="16"/>
        </w:rPr>
        <w:t>regulatory</w:t>
      </w:r>
      <w:r>
        <w:rPr>
          <w:rFonts w:ascii="Avenir Next"/>
          <w:sz w:val="16"/>
        </w:rPr>
        <w:t xml:space="preserve"> period,</w:t>
      </w:r>
      <w:r>
        <w:rPr>
          <w:rFonts w:ascii="Avenir Next"/>
          <w:spacing w:val="-5"/>
          <w:sz w:val="16"/>
        </w:rPr>
        <w:t xml:space="preserve"> </w:t>
      </w:r>
      <w:r>
        <w:rPr>
          <w:rFonts w:ascii="Avenir Next"/>
          <w:sz w:val="16"/>
        </w:rPr>
        <w:t xml:space="preserve">which </w:t>
      </w:r>
      <w:r>
        <w:rPr>
          <w:rFonts w:ascii="Avenir Next"/>
          <w:spacing w:val="-1"/>
          <w:sz w:val="16"/>
        </w:rPr>
        <w:t>were</w:t>
      </w:r>
      <w:r>
        <w:rPr>
          <w:rFonts w:ascii="Avenir Next"/>
          <w:sz w:val="16"/>
        </w:rPr>
        <w:t xml:space="preserve"> assumed to have a life of</w:t>
      </w:r>
      <w:r>
        <w:rPr>
          <w:rFonts w:ascii="Avenir Next"/>
          <w:spacing w:val="3"/>
          <w:sz w:val="16"/>
        </w:rPr>
        <w:t xml:space="preserve"> </w:t>
      </w:r>
      <w:r>
        <w:rPr>
          <w:rFonts w:ascii="Avenir Next"/>
          <w:sz w:val="16"/>
        </w:rPr>
        <w:t xml:space="preserve">66 </w:t>
      </w:r>
      <w:r>
        <w:rPr>
          <w:rFonts w:ascii="Avenir Next"/>
          <w:spacing w:val="-1"/>
          <w:sz w:val="16"/>
        </w:rPr>
        <w:t>years.</w:t>
      </w:r>
      <w:r>
        <w:rPr>
          <w:rFonts w:ascii="Avenir Next"/>
          <w:spacing w:val="-8"/>
          <w:sz w:val="16"/>
        </w:rPr>
        <w:t xml:space="preserve"> </w:t>
      </w:r>
      <w:r>
        <w:rPr>
          <w:rFonts w:ascii="Avenir Next"/>
          <w:sz w:val="16"/>
        </w:rPr>
        <w:t xml:space="preserve">As far as the </w:t>
      </w:r>
      <w:r>
        <w:rPr>
          <w:rFonts w:ascii="Avenir Next"/>
          <w:spacing w:val="-2"/>
          <w:sz w:val="16"/>
        </w:rPr>
        <w:t>Panel</w:t>
      </w:r>
      <w:r>
        <w:rPr>
          <w:rFonts w:ascii="Avenir Next"/>
          <w:sz w:val="16"/>
        </w:rPr>
        <w:t xml:space="preserve"> can</w:t>
      </w:r>
      <w:r>
        <w:rPr>
          <w:rFonts w:ascii="Avenir Next"/>
          <w:spacing w:val="23"/>
          <w:sz w:val="16"/>
        </w:rPr>
        <w:t xml:space="preserve"> </w:t>
      </w:r>
      <w:r>
        <w:rPr>
          <w:rFonts w:ascii="Avenir Next"/>
          <w:spacing w:val="-1"/>
          <w:sz w:val="16"/>
        </w:rPr>
        <w:t>ascertain</w:t>
      </w:r>
      <w:r>
        <w:rPr>
          <w:rFonts w:ascii="Avenir Next"/>
          <w:sz w:val="16"/>
        </w:rPr>
        <w:t xml:space="preserve"> </w:t>
      </w:r>
      <w:r>
        <w:rPr>
          <w:rFonts w:ascii="Avenir Next"/>
          <w:spacing w:val="-1"/>
          <w:sz w:val="16"/>
        </w:rPr>
        <w:t>from</w:t>
      </w:r>
      <w:r>
        <w:rPr>
          <w:rFonts w:ascii="Avenir Next"/>
          <w:sz w:val="16"/>
        </w:rPr>
        <w:t xml:space="preserve"> the </w:t>
      </w:r>
      <w:r>
        <w:rPr>
          <w:rFonts w:ascii="Avenir Next"/>
          <w:spacing w:val="-1"/>
          <w:sz w:val="16"/>
        </w:rPr>
        <w:t>material</w:t>
      </w:r>
      <w:r>
        <w:rPr>
          <w:rFonts w:ascii="Avenir Next"/>
          <w:sz w:val="16"/>
        </w:rPr>
        <w:t xml:space="preserve"> </w:t>
      </w:r>
      <w:r>
        <w:rPr>
          <w:rFonts w:ascii="Avenir Next"/>
          <w:spacing w:val="-1"/>
          <w:sz w:val="16"/>
        </w:rPr>
        <w:t>presented</w:t>
      </w:r>
      <w:r>
        <w:rPr>
          <w:rFonts w:ascii="Avenir Next"/>
          <w:sz w:val="16"/>
        </w:rPr>
        <w:t xml:space="preserve"> in these </w:t>
      </w:r>
      <w:r>
        <w:rPr>
          <w:rFonts w:ascii="Avenir Next"/>
          <w:spacing w:val="-1"/>
          <w:sz w:val="16"/>
        </w:rPr>
        <w:t>three</w:t>
      </w:r>
      <w:r>
        <w:rPr>
          <w:rFonts w:ascii="Avenir Next"/>
          <w:sz w:val="16"/>
        </w:rPr>
        <w:t xml:space="preserve"> decisions,</w:t>
      </w:r>
      <w:r>
        <w:rPr>
          <w:rFonts w:ascii="Avenir Next"/>
          <w:spacing w:val="-5"/>
          <w:sz w:val="16"/>
        </w:rPr>
        <w:t xml:space="preserve"> </w:t>
      </w:r>
      <w:r>
        <w:rPr>
          <w:rFonts w:ascii="Avenir Next"/>
          <w:sz w:val="16"/>
        </w:rPr>
        <w:t xml:space="preserve">the asset lives </w:t>
      </w:r>
      <w:r>
        <w:rPr>
          <w:rFonts w:ascii="Avenir Next"/>
          <w:spacing w:val="-1"/>
          <w:sz w:val="16"/>
        </w:rPr>
        <w:t>were</w:t>
      </w:r>
      <w:r>
        <w:rPr>
          <w:rFonts w:ascii="Avenir Next"/>
          <w:sz w:val="16"/>
        </w:rPr>
        <w:t xml:space="preserve"> not based on an engineering or other</w:t>
      </w:r>
      <w:r>
        <w:rPr>
          <w:rFonts w:ascii="Avenir Next"/>
          <w:spacing w:val="47"/>
          <w:sz w:val="16"/>
        </w:rPr>
        <w:t xml:space="preserve"> </w:t>
      </w:r>
      <w:r>
        <w:rPr>
          <w:rFonts w:ascii="Avenir Next"/>
          <w:sz w:val="16"/>
        </w:rPr>
        <w:t>economic life analysis.</w:t>
      </w:r>
    </w:p>
    <w:p w:rsidR="00D96B91" w:rsidRPr="006909CD" w:rsidRDefault="00C2656B">
      <w:pPr>
        <w:spacing w:before="50" w:line="205" w:lineRule="exact"/>
        <w:ind w:left="1757"/>
        <w:rPr>
          <w:rFonts w:ascii="Avenir Next"/>
          <w:spacing w:val="-1"/>
          <w:sz w:val="16"/>
        </w:rPr>
      </w:pPr>
      <w:r w:rsidRPr="006909CD">
        <w:rPr>
          <w:rFonts w:ascii="Avenir Next"/>
          <w:spacing w:val="-1"/>
          <w:sz w:val="16"/>
        </w:rPr>
        <w:t xml:space="preserve">ICRC, Final Report and Price Direction </w:t>
      </w:r>
      <w:r w:rsidRPr="006909CD">
        <w:rPr>
          <w:rFonts w:ascii="Avenir Next"/>
          <w:spacing w:val="-1"/>
          <w:sz w:val="16"/>
        </w:rPr>
        <w:t>–</w:t>
      </w:r>
      <w:r w:rsidRPr="006909CD">
        <w:rPr>
          <w:rFonts w:ascii="Avenir Next"/>
          <w:spacing w:val="-1"/>
          <w:sz w:val="16"/>
        </w:rPr>
        <w:t xml:space="preserve"> Investigation into prices for water and wastewater services in the ACT, March 2004,</w:t>
      </w:r>
    </w:p>
    <w:p w:rsidR="00D96B91" w:rsidRPr="006909CD" w:rsidRDefault="00C2656B">
      <w:pPr>
        <w:spacing w:before="6" w:line="210" w:lineRule="auto"/>
        <w:ind w:left="1757" w:right="1256"/>
        <w:rPr>
          <w:rFonts w:ascii="Avenir Next"/>
          <w:spacing w:val="-1"/>
          <w:sz w:val="16"/>
        </w:rPr>
      </w:pPr>
      <w:r>
        <w:rPr>
          <w:rFonts w:ascii="Avenir Next"/>
          <w:spacing w:val="-1"/>
          <w:sz w:val="16"/>
        </w:rPr>
        <w:t>p.</w:t>
      </w:r>
      <w:r w:rsidRPr="006909CD">
        <w:rPr>
          <w:rFonts w:ascii="Avenir Next"/>
          <w:spacing w:val="-1"/>
          <w:sz w:val="16"/>
        </w:rPr>
        <w:t xml:space="preserve"> xviii, ICRC, </w:t>
      </w:r>
      <w:r>
        <w:rPr>
          <w:rFonts w:ascii="Avenir Next"/>
          <w:spacing w:val="-1"/>
          <w:sz w:val="16"/>
        </w:rPr>
        <w:t>Final</w:t>
      </w:r>
      <w:r w:rsidRPr="006909CD">
        <w:rPr>
          <w:rFonts w:ascii="Avenir Next"/>
          <w:spacing w:val="-1"/>
          <w:sz w:val="16"/>
        </w:rPr>
        <w:t xml:space="preserve"> </w:t>
      </w:r>
      <w:r>
        <w:rPr>
          <w:rFonts w:ascii="Avenir Next"/>
          <w:spacing w:val="-1"/>
          <w:sz w:val="16"/>
        </w:rPr>
        <w:t>Report</w:t>
      </w:r>
      <w:r w:rsidRPr="006909CD">
        <w:rPr>
          <w:rFonts w:ascii="Avenir Next"/>
          <w:spacing w:val="-1"/>
          <w:sz w:val="16"/>
        </w:rPr>
        <w:t xml:space="preserve"> and Price </w:t>
      </w:r>
      <w:r>
        <w:rPr>
          <w:rFonts w:ascii="Avenir Next"/>
          <w:spacing w:val="-1"/>
          <w:sz w:val="16"/>
        </w:rPr>
        <w:t>Determination,</w:t>
      </w:r>
      <w:r w:rsidRPr="006909CD">
        <w:rPr>
          <w:rFonts w:ascii="Avenir Next"/>
          <w:spacing w:val="-1"/>
          <w:sz w:val="16"/>
        </w:rPr>
        <w:t xml:space="preserve"> Water and </w:t>
      </w:r>
      <w:r>
        <w:rPr>
          <w:rFonts w:ascii="Avenir Next"/>
          <w:spacing w:val="-1"/>
          <w:sz w:val="16"/>
        </w:rPr>
        <w:t>Wastewater</w:t>
      </w:r>
      <w:r w:rsidRPr="006909CD">
        <w:rPr>
          <w:rFonts w:ascii="Avenir Next"/>
          <w:spacing w:val="-1"/>
          <w:sz w:val="16"/>
        </w:rPr>
        <w:t xml:space="preserve"> Price Review, April 2008, </w:t>
      </w:r>
      <w:r>
        <w:rPr>
          <w:rFonts w:ascii="Avenir Next"/>
          <w:spacing w:val="-1"/>
          <w:sz w:val="16"/>
        </w:rPr>
        <w:t>p.</w:t>
      </w:r>
      <w:r w:rsidRPr="006909CD">
        <w:rPr>
          <w:rFonts w:ascii="Avenir Next"/>
          <w:spacing w:val="-1"/>
          <w:sz w:val="16"/>
        </w:rPr>
        <w:t xml:space="preserve"> 86 and ICRC, </w:t>
      </w:r>
      <w:r>
        <w:rPr>
          <w:rFonts w:ascii="Avenir Next"/>
          <w:spacing w:val="-1"/>
          <w:sz w:val="16"/>
        </w:rPr>
        <w:t>Final</w:t>
      </w:r>
      <w:r w:rsidRPr="006909CD">
        <w:rPr>
          <w:rFonts w:ascii="Avenir Next"/>
          <w:spacing w:val="-1"/>
          <w:sz w:val="16"/>
        </w:rPr>
        <w:t xml:space="preserve"> </w:t>
      </w:r>
      <w:r>
        <w:rPr>
          <w:rFonts w:ascii="Avenir Next"/>
          <w:spacing w:val="-1"/>
          <w:sz w:val="16"/>
        </w:rPr>
        <w:t>Report,</w:t>
      </w:r>
      <w:r w:rsidRPr="006909CD">
        <w:rPr>
          <w:rFonts w:ascii="Avenir Next"/>
          <w:spacing w:val="-1"/>
          <w:sz w:val="16"/>
        </w:rPr>
        <w:t xml:space="preserve"> </w:t>
      </w:r>
      <w:r>
        <w:rPr>
          <w:rFonts w:ascii="Avenir Next"/>
          <w:spacing w:val="-1"/>
          <w:sz w:val="16"/>
        </w:rPr>
        <w:t>Regulated</w:t>
      </w:r>
      <w:r w:rsidRPr="006909CD">
        <w:rPr>
          <w:rFonts w:ascii="Avenir Next"/>
          <w:spacing w:val="-1"/>
          <w:sz w:val="16"/>
        </w:rPr>
        <w:t xml:space="preserve"> Water and </w:t>
      </w:r>
      <w:r>
        <w:rPr>
          <w:rFonts w:ascii="Avenir Next"/>
          <w:spacing w:val="-1"/>
          <w:sz w:val="16"/>
        </w:rPr>
        <w:t>Sewerage</w:t>
      </w:r>
      <w:r w:rsidRPr="006909CD">
        <w:rPr>
          <w:rFonts w:ascii="Avenir Next"/>
          <w:spacing w:val="-1"/>
          <w:sz w:val="16"/>
        </w:rPr>
        <w:t xml:space="preserve"> Services, June 2013, </w:t>
      </w:r>
      <w:r>
        <w:rPr>
          <w:rFonts w:ascii="Avenir Next"/>
          <w:spacing w:val="-1"/>
          <w:sz w:val="16"/>
        </w:rPr>
        <w:t>p.</w:t>
      </w:r>
      <w:r w:rsidRPr="006909CD">
        <w:rPr>
          <w:rFonts w:ascii="Avenir Next"/>
          <w:spacing w:val="-1"/>
          <w:sz w:val="16"/>
        </w:rPr>
        <w:t xml:space="preserve"> 145.</w:t>
      </w:r>
    </w:p>
    <w:p w:rsidR="00D96B91" w:rsidRDefault="00D96B91">
      <w:pPr>
        <w:spacing w:line="210" w:lineRule="auto"/>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56"/>
      </w:pPr>
      <w:r>
        <w:rPr>
          <w:spacing w:val="-1"/>
        </w:rPr>
        <w:t>First,</w:t>
      </w:r>
      <w:r>
        <w:rPr>
          <w:spacing w:val="-6"/>
        </w:rPr>
        <w:t xml:space="preserve"> </w:t>
      </w:r>
      <w:r>
        <w:rPr>
          <w:spacing w:val="-1"/>
        </w:rPr>
        <w:t>there</w:t>
      </w:r>
      <w:r>
        <w:t xml:space="preserve"> </w:t>
      </w:r>
      <w:r>
        <w:rPr>
          <w:spacing w:val="-2"/>
        </w:rPr>
        <w:t>are</w:t>
      </w:r>
      <w:r>
        <w:t xml:space="preserve"> a number of</w:t>
      </w:r>
      <w:r>
        <w:rPr>
          <w:spacing w:val="4"/>
        </w:rPr>
        <w:t xml:space="preserve"> </w:t>
      </w:r>
      <w:r>
        <w:t xml:space="preserve">inconsistencies between the </w:t>
      </w:r>
      <w:r>
        <w:rPr>
          <w:spacing w:val="-1"/>
        </w:rPr>
        <w:t>information</w:t>
      </w:r>
      <w:r>
        <w:rPr>
          <w:spacing w:val="-4"/>
        </w:rPr>
        <w:t xml:space="preserve"> </w:t>
      </w:r>
      <w:r>
        <w:rPr>
          <w:spacing w:val="-2"/>
        </w:rPr>
        <w:t>ACTEW</w:t>
      </w:r>
      <w:r>
        <w:rPr>
          <w:spacing w:val="-3"/>
        </w:rPr>
        <w:t xml:space="preserve"> </w:t>
      </w:r>
      <w:r>
        <w:t xml:space="preserve">has used to </w:t>
      </w:r>
      <w:r>
        <w:rPr>
          <w:spacing w:val="-1"/>
        </w:rPr>
        <w:t>calculate</w:t>
      </w:r>
      <w:r>
        <w:t xml:space="preserve"> the</w:t>
      </w:r>
      <w:r>
        <w:rPr>
          <w:spacing w:val="49"/>
        </w:rPr>
        <w:t xml:space="preserve"> </w:t>
      </w:r>
      <w:r>
        <w:rPr>
          <w:spacing w:val="-1"/>
        </w:rPr>
        <w:t>standard</w:t>
      </w:r>
      <w:r>
        <w:t xml:space="preserve"> and</w:t>
      </w:r>
      <w:r>
        <w:rPr>
          <w:spacing w:val="1"/>
        </w:rPr>
        <w:t xml:space="preserve"> </w:t>
      </w:r>
      <w:r>
        <w:rPr>
          <w:spacing w:val="-1"/>
        </w:rPr>
        <w:t>remaining</w:t>
      </w:r>
      <w:r>
        <w:rPr>
          <w:spacing w:val="1"/>
        </w:rPr>
        <w:t xml:space="preserve"> </w:t>
      </w:r>
      <w:r>
        <w:t>economic</w:t>
      </w:r>
      <w:r>
        <w:rPr>
          <w:spacing w:val="1"/>
        </w:rPr>
        <w:t xml:space="preserve"> </w:t>
      </w:r>
      <w:r>
        <w:t>lives</w:t>
      </w:r>
      <w:r>
        <w:rPr>
          <w:position w:val="7"/>
          <w:sz w:val="11"/>
        </w:rPr>
        <w:t>141</w:t>
      </w:r>
      <w:r>
        <w:rPr>
          <w:spacing w:val="23"/>
          <w:position w:val="7"/>
          <w:sz w:val="11"/>
        </w:rPr>
        <w:t xml:space="preserve"> </w:t>
      </w:r>
      <w:r>
        <w:t>and</w:t>
      </w:r>
      <w:r>
        <w:rPr>
          <w:spacing w:val="1"/>
        </w:rPr>
        <w:t xml:space="preserve"> </w:t>
      </w:r>
      <w:r>
        <w:t>the</w:t>
      </w:r>
      <w:r>
        <w:rPr>
          <w:spacing w:val="1"/>
        </w:rPr>
        <w:t xml:space="preserve"> </w:t>
      </w:r>
      <w:r>
        <w:t>content</w:t>
      </w:r>
      <w:r>
        <w:rPr>
          <w:spacing w:val="1"/>
        </w:rPr>
        <w:t xml:space="preserve"> </w:t>
      </w:r>
      <w:r>
        <w:t>of</w:t>
      </w:r>
      <w:r>
        <w:rPr>
          <w:spacing w:val="5"/>
        </w:rPr>
        <w:t xml:space="preserve"> </w:t>
      </w:r>
      <w:r>
        <w:t>its</w:t>
      </w:r>
      <w:r>
        <w:rPr>
          <w:spacing w:val="1"/>
        </w:rPr>
        <w:t xml:space="preserve"> </w:t>
      </w:r>
      <w:r>
        <w:rPr>
          <w:spacing w:val="-1"/>
        </w:rPr>
        <w:t>regulatory</w:t>
      </w:r>
      <w:r>
        <w:rPr>
          <w:spacing w:val="1"/>
        </w:rPr>
        <w:t xml:space="preserve"> </w:t>
      </w:r>
      <w:r>
        <w:rPr>
          <w:spacing w:val="-1"/>
        </w:rPr>
        <w:t>proposal.</w:t>
      </w:r>
    </w:p>
    <w:p w:rsidR="00D96B91" w:rsidRDefault="00C2656B">
      <w:pPr>
        <w:pStyle w:val="BodyText"/>
        <w:spacing w:before="170" w:line="260" w:lineRule="exact"/>
        <w:ind w:right="1283"/>
      </w:pPr>
      <w:r>
        <w:t>Given</w:t>
      </w:r>
      <w:r>
        <w:rPr>
          <w:spacing w:val="-1"/>
        </w:rPr>
        <w:t xml:space="preserve"> </w:t>
      </w:r>
      <w:r>
        <w:t>these</w:t>
      </w:r>
      <w:r>
        <w:rPr>
          <w:spacing w:val="-1"/>
        </w:rPr>
        <w:t xml:space="preserve"> </w:t>
      </w:r>
      <w:r>
        <w:t>issues,</w:t>
      </w:r>
      <w:r>
        <w:rPr>
          <w:spacing w:val="-7"/>
        </w:rPr>
        <w:t xml:space="preserve"> </w:t>
      </w:r>
      <w:r>
        <w:t>the</w:t>
      </w:r>
      <w:r>
        <w:rPr>
          <w:spacing w:val="-1"/>
        </w:rPr>
        <w:t xml:space="preserve"> </w:t>
      </w:r>
      <w:r>
        <w:rPr>
          <w:spacing w:val="-3"/>
        </w:rPr>
        <w:t>Panel</w:t>
      </w:r>
      <w:r>
        <w:t xml:space="preserve"> sought</w:t>
      </w:r>
      <w:r>
        <w:rPr>
          <w:spacing w:val="-1"/>
        </w:rPr>
        <w:t xml:space="preserve"> further</w:t>
      </w:r>
      <w:r>
        <w:t xml:space="preserve"> </w:t>
      </w:r>
      <w:r>
        <w:rPr>
          <w:spacing w:val="-1"/>
        </w:rPr>
        <w:t>clarification from</w:t>
      </w:r>
      <w:r>
        <w:rPr>
          <w:spacing w:val="-4"/>
        </w:rPr>
        <w:t xml:space="preserve"> ACTEW.</w:t>
      </w:r>
      <w:r>
        <w:rPr>
          <w:spacing w:val="-11"/>
        </w:rPr>
        <w:t xml:space="preserve"> </w:t>
      </w:r>
      <w:r>
        <w:rPr>
          <w:spacing w:val="-2"/>
        </w:rPr>
        <w:t>ACTEW</w:t>
      </w:r>
      <w:r>
        <w:rPr>
          <w:spacing w:val="-3"/>
        </w:rPr>
        <w:t xml:space="preserve"> </w:t>
      </w:r>
      <w:r>
        <w:rPr>
          <w:spacing w:val="-1"/>
        </w:rPr>
        <w:t xml:space="preserve">responded </w:t>
      </w:r>
      <w:r>
        <w:t xml:space="preserve">by </w:t>
      </w:r>
      <w:r>
        <w:rPr>
          <w:spacing w:val="-1"/>
        </w:rPr>
        <w:t>providing</w:t>
      </w:r>
      <w:r>
        <w:rPr>
          <w:spacing w:val="73"/>
        </w:rPr>
        <w:t xml:space="preserve"> </w:t>
      </w:r>
      <w:r>
        <w:t xml:space="preserve">the </w:t>
      </w:r>
      <w:r>
        <w:rPr>
          <w:spacing w:val="-1"/>
        </w:rPr>
        <w:t>updated</w:t>
      </w:r>
      <w:r>
        <w:t xml:space="preserve"> </w:t>
      </w:r>
      <w:r>
        <w:rPr>
          <w:spacing w:val="-1"/>
        </w:rPr>
        <w:t>estimates</w:t>
      </w:r>
      <w:r>
        <w:t xml:space="preserve"> set out in</w:t>
      </w:r>
      <w:r>
        <w:rPr>
          <w:spacing w:val="-5"/>
        </w:rPr>
        <w:t xml:space="preserve"> </w:t>
      </w:r>
      <w:hyperlink w:anchor="_bookmark76" w:history="1">
        <w:r>
          <w:rPr>
            <w:spacing w:val="-4"/>
          </w:rPr>
          <w:t>Table</w:t>
        </w:r>
        <w:r>
          <w:t xml:space="preserve"> 9.13</w:t>
        </w:r>
      </w:hyperlink>
      <w:r>
        <w:t>.</w:t>
      </w:r>
    </w:p>
    <w:p w:rsidR="00D96B91" w:rsidRDefault="00C2656B">
      <w:pPr>
        <w:pStyle w:val="BodyText"/>
        <w:spacing w:before="170" w:line="260" w:lineRule="exact"/>
        <w:ind w:right="1283"/>
        <w:rPr>
          <w:rFonts w:cs="Avenir Next"/>
        </w:rPr>
      </w:pPr>
      <w:r>
        <w:t>Second,</w:t>
      </w:r>
      <w:r>
        <w:rPr>
          <w:spacing w:val="-7"/>
        </w:rPr>
        <w:t xml:space="preserve"> </w:t>
      </w:r>
      <w:r>
        <w:rPr>
          <w:spacing w:val="-1"/>
        </w:rPr>
        <w:t xml:space="preserve">rather </w:t>
      </w:r>
      <w:r>
        <w:t>than</w:t>
      </w:r>
      <w:r>
        <w:rPr>
          <w:spacing w:val="-1"/>
        </w:rPr>
        <w:t xml:space="preserve"> </w:t>
      </w:r>
      <w:r>
        <w:t>applying</w:t>
      </w:r>
      <w:r>
        <w:rPr>
          <w:spacing w:val="-1"/>
        </w:rPr>
        <w:t xml:space="preserve"> </w:t>
      </w:r>
      <w:r>
        <w:t>asset-specific economic</w:t>
      </w:r>
      <w:r>
        <w:rPr>
          <w:spacing w:val="-1"/>
        </w:rPr>
        <w:t xml:space="preserve"> </w:t>
      </w:r>
      <w:r>
        <w:t>lives</w:t>
      </w:r>
      <w:r>
        <w:rPr>
          <w:spacing w:val="-1"/>
        </w:rPr>
        <w:t xml:space="preserve"> </w:t>
      </w:r>
      <w:r>
        <w:t>to</w:t>
      </w:r>
      <w:r>
        <w:rPr>
          <w:spacing w:val="-1"/>
        </w:rPr>
        <w:t xml:space="preserve"> each </w:t>
      </w:r>
      <w:r>
        <w:t>asset</w:t>
      </w:r>
      <w:r>
        <w:rPr>
          <w:spacing w:val="-1"/>
        </w:rPr>
        <w:t xml:space="preserve"> </w:t>
      </w:r>
      <w:r>
        <w:t>or asset</w:t>
      </w:r>
      <w:r>
        <w:rPr>
          <w:spacing w:val="-1"/>
        </w:rPr>
        <w:t xml:space="preserve"> </w:t>
      </w:r>
      <w:r>
        <w:t>class</w:t>
      </w:r>
      <w:r>
        <w:rPr>
          <w:spacing w:val="-1"/>
        </w:rPr>
        <w:t xml:space="preserve"> </w:t>
      </w:r>
      <w:r>
        <w:t>in</w:t>
      </w:r>
      <w:r>
        <w:rPr>
          <w:spacing w:val="-1"/>
        </w:rPr>
        <w:t xml:space="preserve"> </w:t>
      </w:r>
      <w:r>
        <w:t>its</w:t>
      </w:r>
      <w:r>
        <w:rPr>
          <w:spacing w:val="-1"/>
        </w:rPr>
        <w:t xml:space="preserve"> </w:t>
      </w:r>
      <w:r>
        <w:t>RAB,</w:t>
      </w:r>
      <w:r>
        <w:rPr>
          <w:spacing w:val="24"/>
        </w:rPr>
        <w:t xml:space="preserve"> </w:t>
      </w:r>
      <w:r>
        <w:rPr>
          <w:spacing w:val="-2"/>
        </w:rPr>
        <w:t>ACTEW</w:t>
      </w:r>
      <w:r>
        <w:rPr>
          <w:spacing w:val="-3"/>
        </w:rPr>
        <w:t xml:space="preserve"> </w:t>
      </w:r>
      <w:r>
        <w:rPr>
          <w:spacing w:val="-1"/>
        </w:rPr>
        <w:t>calculated</w:t>
      </w:r>
      <w:r>
        <w:t xml:space="preserve"> </w:t>
      </w:r>
      <w:r>
        <w:rPr>
          <w:spacing w:val="-1"/>
        </w:rPr>
        <w:t>depreciation</w:t>
      </w:r>
      <w:r>
        <w:t xml:space="preserve"> </w:t>
      </w:r>
      <w:r>
        <w:rPr>
          <w:spacing w:val="-1"/>
        </w:rPr>
        <w:t>across</w:t>
      </w:r>
      <w:r>
        <w:t xml:space="preserve"> the following asset </w:t>
      </w:r>
      <w:r>
        <w:rPr>
          <w:spacing w:val="-1"/>
        </w:rPr>
        <w:t>categories</w:t>
      </w:r>
      <w:r>
        <w:t xml:space="preserve"> using a weighted </w:t>
      </w:r>
      <w:r>
        <w:rPr>
          <w:spacing w:val="-1"/>
        </w:rPr>
        <w:t>average</w:t>
      </w:r>
      <w:r>
        <w:t xml:space="preserve"> asset</w:t>
      </w:r>
      <w:r>
        <w:rPr>
          <w:spacing w:val="63"/>
        </w:rPr>
        <w:t xml:space="preserve"> </w:t>
      </w:r>
      <w:r>
        <w:t xml:space="preserve">life </w:t>
      </w:r>
      <w:r>
        <w:rPr>
          <w:spacing w:val="-1"/>
        </w:rPr>
        <w:t>approach:</w:t>
      </w:r>
    </w:p>
    <w:p w:rsidR="00D96B91" w:rsidRDefault="00C2656B">
      <w:pPr>
        <w:pStyle w:val="BodyText"/>
        <w:numPr>
          <w:ilvl w:val="0"/>
          <w:numId w:val="131"/>
        </w:numPr>
        <w:tabs>
          <w:tab w:val="left" w:pos="1531"/>
        </w:tabs>
        <w:spacing w:before="178"/>
        <w:ind w:hanging="283"/>
      </w:pPr>
      <w:r>
        <w:t xml:space="preserve">all </w:t>
      </w:r>
      <w:r>
        <w:rPr>
          <w:spacing w:val="-1"/>
        </w:rPr>
        <w:t>water</w:t>
      </w:r>
      <w:r>
        <w:t xml:space="preserve"> assets in </w:t>
      </w:r>
      <w:r>
        <w:rPr>
          <w:spacing w:val="-1"/>
        </w:rPr>
        <w:t>existence</w:t>
      </w:r>
      <w:r>
        <w:t xml:space="preserve"> as </w:t>
      </w:r>
      <w:r>
        <w:rPr>
          <w:spacing w:val="-1"/>
        </w:rPr>
        <w:t>at</w:t>
      </w:r>
      <w:r>
        <w:t xml:space="preserve"> 1</w:t>
      </w:r>
      <w:r>
        <w:rPr>
          <w:spacing w:val="-3"/>
        </w:rPr>
        <w:t xml:space="preserve"> </w:t>
      </w:r>
      <w:r>
        <w:t>July 2013</w:t>
      </w:r>
    </w:p>
    <w:p w:rsidR="00D96B91" w:rsidRDefault="00C2656B">
      <w:pPr>
        <w:pStyle w:val="BodyText"/>
        <w:numPr>
          <w:ilvl w:val="0"/>
          <w:numId w:val="131"/>
        </w:numPr>
        <w:tabs>
          <w:tab w:val="left" w:pos="1531"/>
        </w:tabs>
        <w:spacing w:before="72"/>
        <w:ind w:hanging="283"/>
      </w:pPr>
      <w:r>
        <w:t xml:space="preserve">all </w:t>
      </w:r>
      <w:r>
        <w:rPr>
          <w:spacing w:val="-1"/>
        </w:rPr>
        <w:t>sewerage</w:t>
      </w:r>
      <w:r>
        <w:t xml:space="preserve"> assets in </w:t>
      </w:r>
      <w:r>
        <w:rPr>
          <w:spacing w:val="-1"/>
        </w:rPr>
        <w:t>existence</w:t>
      </w:r>
      <w:r>
        <w:t xml:space="preserve"> as </w:t>
      </w:r>
      <w:r>
        <w:rPr>
          <w:spacing w:val="-1"/>
        </w:rPr>
        <w:t>at</w:t>
      </w:r>
      <w:r>
        <w:t xml:space="preserve"> 1</w:t>
      </w:r>
      <w:r>
        <w:rPr>
          <w:spacing w:val="-3"/>
        </w:rPr>
        <w:t xml:space="preserve"> </w:t>
      </w:r>
      <w:r>
        <w:t>July 2013</w:t>
      </w:r>
    </w:p>
    <w:p w:rsidR="00D96B91" w:rsidRDefault="00C2656B">
      <w:pPr>
        <w:pStyle w:val="BodyText"/>
        <w:numPr>
          <w:ilvl w:val="0"/>
          <w:numId w:val="131"/>
        </w:numPr>
        <w:tabs>
          <w:tab w:val="left" w:pos="1531"/>
        </w:tabs>
        <w:spacing w:before="72"/>
        <w:ind w:hanging="283"/>
        <w:rPr>
          <w:rFonts w:cs="Avenir Next"/>
        </w:rPr>
      </w:pPr>
      <w:r>
        <w:t xml:space="preserve">new </w:t>
      </w:r>
      <w:r>
        <w:rPr>
          <w:spacing w:val="-1"/>
        </w:rPr>
        <w:t>water</w:t>
      </w:r>
      <w:r>
        <w:t xml:space="preserve"> assets to be commissioned in this </w:t>
      </w:r>
      <w:r>
        <w:rPr>
          <w:spacing w:val="-1"/>
        </w:rPr>
        <w:t>regulatory</w:t>
      </w:r>
      <w:r>
        <w:t xml:space="preserve"> period,</w:t>
      </w:r>
      <w:r>
        <w:rPr>
          <w:spacing w:val="-6"/>
        </w:rPr>
        <w:t xml:space="preserve"> </w:t>
      </w:r>
      <w:r>
        <w:t>and</w:t>
      </w:r>
    </w:p>
    <w:p w:rsidR="00D96B91" w:rsidRDefault="00C2656B">
      <w:pPr>
        <w:pStyle w:val="BodyText"/>
        <w:numPr>
          <w:ilvl w:val="0"/>
          <w:numId w:val="131"/>
        </w:numPr>
        <w:tabs>
          <w:tab w:val="left" w:pos="1531"/>
        </w:tabs>
        <w:spacing w:before="72" w:line="427" w:lineRule="auto"/>
        <w:ind w:left="1247" w:right="4261" w:firstLine="0"/>
      </w:pPr>
      <w:r>
        <w:t xml:space="preserve">new </w:t>
      </w:r>
      <w:r>
        <w:rPr>
          <w:spacing w:val="-1"/>
        </w:rPr>
        <w:t>sewerage</w:t>
      </w:r>
      <w:r>
        <w:t xml:space="preserve"> assets to be commissioned in this </w:t>
      </w:r>
      <w:r>
        <w:rPr>
          <w:spacing w:val="-1"/>
        </w:rPr>
        <w:t>regulatory</w:t>
      </w:r>
      <w:r>
        <w:t xml:space="preserve"> period.</w:t>
      </w:r>
      <w:r>
        <w:rPr>
          <w:spacing w:val="30"/>
        </w:rPr>
        <w:t xml:space="preserve"> </w:t>
      </w:r>
      <w:r>
        <w:rPr>
          <w:spacing w:val="-2"/>
        </w:rPr>
        <w:t>The</w:t>
      </w:r>
      <w:r>
        <w:t xml:space="preserve"> </w:t>
      </w:r>
      <w:r>
        <w:rPr>
          <w:spacing w:val="-3"/>
        </w:rPr>
        <w:t>Panel</w:t>
      </w:r>
      <w:r>
        <w:t xml:space="preserve"> has two concerns with this </w:t>
      </w:r>
      <w:r>
        <w:rPr>
          <w:spacing w:val="-1"/>
        </w:rPr>
        <w:t>proposed</w:t>
      </w:r>
      <w:r>
        <w:t xml:space="preserve"> </w:t>
      </w:r>
      <w:r>
        <w:rPr>
          <w:spacing w:val="-1"/>
        </w:rPr>
        <w:t>approach.</w:t>
      </w:r>
    </w:p>
    <w:p w:rsidR="00D96B91" w:rsidRDefault="00C2656B">
      <w:pPr>
        <w:pStyle w:val="BodyText"/>
        <w:spacing w:line="210" w:lineRule="exact"/>
      </w:pPr>
      <w:r>
        <w:rPr>
          <w:spacing w:val="-2"/>
        </w:rPr>
        <w:t>The</w:t>
      </w:r>
      <w:r>
        <w:rPr>
          <w:spacing w:val="-1"/>
        </w:rPr>
        <w:t xml:space="preserve"> </w:t>
      </w:r>
      <w:r>
        <w:t xml:space="preserve">first is </w:t>
      </w:r>
      <w:r>
        <w:rPr>
          <w:spacing w:val="-1"/>
        </w:rPr>
        <w:t>that</w:t>
      </w:r>
      <w:r>
        <w:t xml:space="preserve"> </w:t>
      </w:r>
      <w:r>
        <w:rPr>
          <w:spacing w:val="-1"/>
        </w:rPr>
        <w:t>aggregating depreciation</w:t>
      </w:r>
      <w:r>
        <w:t xml:space="preserve"> in the manner </w:t>
      </w:r>
      <w:r>
        <w:rPr>
          <w:spacing w:val="-1"/>
        </w:rPr>
        <w:t xml:space="preserve">proposed </w:t>
      </w:r>
      <w:r>
        <w:t>by</w:t>
      </w:r>
      <w:r>
        <w:rPr>
          <w:spacing w:val="-4"/>
        </w:rPr>
        <w:t xml:space="preserve"> </w:t>
      </w:r>
      <w:r>
        <w:rPr>
          <w:spacing w:val="-2"/>
        </w:rPr>
        <w:t>ACTEW</w:t>
      </w:r>
      <w:r>
        <w:rPr>
          <w:spacing w:val="-3"/>
        </w:rPr>
        <w:t xml:space="preserve"> </w:t>
      </w:r>
      <w:r>
        <w:rPr>
          <w:spacing w:val="-1"/>
        </w:rPr>
        <w:t>means</w:t>
      </w:r>
      <w:r>
        <w:t xml:space="preserve"> </w:t>
      </w:r>
      <w:r>
        <w:rPr>
          <w:spacing w:val="-1"/>
        </w:rPr>
        <w:t>that</w:t>
      </w:r>
      <w:r>
        <w:t xml:space="preserve"> </w:t>
      </w:r>
      <w:r>
        <w:rPr>
          <w:spacing w:val="-1"/>
        </w:rPr>
        <w:t xml:space="preserve">there </w:t>
      </w:r>
      <w:r>
        <w:t>is less</w:t>
      </w:r>
    </w:p>
    <w:p w:rsidR="00D96B91" w:rsidRDefault="00C2656B">
      <w:pPr>
        <w:pStyle w:val="BodyText"/>
        <w:spacing w:before="3" w:line="228" w:lineRule="auto"/>
        <w:ind w:right="1256"/>
      </w:pPr>
      <w:r>
        <w:rPr>
          <w:spacing w:val="-1"/>
        </w:rPr>
        <w:t>transparency</w:t>
      </w:r>
      <w:r>
        <w:t xml:space="preserve"> </w:t>
      </w:r>
      <w:r>
        <w:rPr>
          <w:spacing w:val="-1"/>
        </w:rPr>
        <w:t>around</w:t>
      </w:r>
      <w:r>
        <w:t xml:space="preserve"> the </w:t>
      </w:r>
      <w:r>
        <w:rPr>
          <w:spacing w:val="-1"/>
        </w:rPr>
        <w:t>depreciation</w:t>
      </w:r>
      <w:r>
        <w:t xml:space="preserve"> </w:t>
      </w:r>
      <w:r>
        <w:rPr>
          <w:spacing w:val="-1"/>
        </w:rPr>
        <w:t>associated</w:t>
      </w:r>
      <w:r>
        <w:t xml:space="preserve"> with </w:t>
      </w:r>
      <w:r>
        <w:rPr>
          <w:spacing w:val="-1"/>
        </w:rPr>
        <w:t>particular</w:t>
      </w:r>
      <w:r>
        <w:t xml:space="preserve"> assets or asset classes.</w:t>
      </w:r>
      <w:r>
        <w:rPr>
          <w:spacing w:val="-11"/>
        </w:rPr>
        <w:t xml:space="preserve"> </w:t>
      </w:r>
      <w:r>
        <w:rPr>
          <w:spacing w:val="-1"/>
        </w:rPr>
        <w:t>This</w:t>
      </w:r>
      <w:r>
        <w:t xml:space="preserve"> can be</w:t>
      </w:r>
      <w:r>
        <w:rPr>
          <w:spacing w:val="57"/>
        </w:rPr>
        <w:t xml:space="preserve"> </w:t>
      </w:r>
      <w:r>
        <w:rPr>
          <w:spacing w:val="-1"/>
        </w:rPr>
        <w:t>problematic</w:t>
      </w:r>
      <w:r>
        <w:t xml:space="preserve"> if,</w:t>
      </w:r>
      <w:r>
        <w:rPr>
          <w:spacing w:val="-7"/>
        </w:rPr>
        <w:t xml:space="preserve"> </w:t>
      </w:r>
      <w:r>
        <w:t xml:space="preserve">in the </w:t>
      </w:r>
      <w:r>
        <w:rPr>
          <w:spacing w:val="-1"/>
        </w:rPr>
        <w:t>future,</w:t>
      </w:r>
      <w:r>
        <w:rPr>
          <w:spacing w:val="-6"/>
        </w:rPr>
        <w:t xml:space="preserve"> </w:t>
      </w:r>
      <w:r>
        <w:t xml:space="preserve">an asset has to be </w:t>
      </w:r>
      <w:r>
        <w:rPr>
          <w:spacing w:val="-1"/>
        </w:rPr>
        <w:t>removed</w:t>
      </w:r>
      <w:r>
        <w:t xml:space="preserve"> </w:t>
      </w:r>
      <w:r>
        <w:rPr>
          <w:spacing w:val="-1"/>
        </w:rPr>
        <w:t>from</w:t>
      </w:r>
      <w:r>
        <w:t xml:space="preserve"> the RAB,</w:t>
      </w:r>
      <w:r>
        <w:rPr>
          <w:spacing w:val="-7"/>
        </w:rPr>
        <w:t xml:space="preserve"> </w:t>
      </w:r>
      <w:r>
        <w:t xml:space="preserve">for </w:t>
      </w:r>
      <w:r>
        <w:rPr>
          <w:spacing w:val="-1"/>
        </w:rPr>
        <w:t>example,</w:t>
      </w:r>
      <w:r>
        <w:rPr>
          <w:spacing w:val="-6"/>
        </w:rPr>
        <w:t xml:space="preserve"> </w:t>
      </w:r>
      <w:r>
        <w:t>because it is sold,</w:t>
      </w:r>
      <w:r>
        <w:rPr>
          <w:spacing w:val="35"/>
        </w:rPr>
        <w:t xml:space="preserve"> </w:t>
      </w:r>
      <w:r>
        <w:t>disposed of,</w:t>
      </w:r>
      <w:r>
        <w:rPr>
          <w:spacing w:val="-6"/>
        </w:rPr>
        <w:t xml:space="preserve"> </w:t>
      </w:r>
      <w:r>
        <w:t xml:space="preserve">or becomes </w:t>
      </w:r>
      <w:r>
        <w:rPr>
          <w:spacing w:val="-1"/>
        </w:rPr>
        <w:t>redundant.</w:t>
      </w:r>
    </w:p>
    <w:p w:rsidR="00D96B91" w:rsidRDefault="00C2656B">
      <w:pPr>
        <w:pStyle w:val="BodyText"/>
        <w:spacing w:before="152" w:line="260" w:lineRule="exact"/>
        <w:ind w:right="1548"/>
      </w:pPr>
      <w:r>
        <w:rPr>
          <w:spacing w:val="-2"/>
        </w:rPr>
        <w:t>The</w:t>
      </w:r>
      <w:r>
        <w:t xml:space="preserve"> second and </w:t>
      </w:r>
      <w:r>
        <w:rPr>
          <w:spacing w:val="-1"/>
        </w:rPr>
        <w:t>more</w:t>
      </w:r>
      <w:r>
        <w:t xml:space="preserve"> </w:t>
      </w:r>
      <w:r>
        <w:rPr>
          <w:spacing w:val="-1"/>
        </w:rPr>
        <w:t>important</w:t>
      </w:r>
      <w:r>
        <w:t xml:space="preserve"> concern is using a weighted </w:t>
      </w:r>
      <w:r>
        <w:rPr>
          <w:spacing w:val="-1"/>
        </w:rPr>
        <w:t>average</w:t>
      </w:r>
      <w:r>
        <w:t xml:space="preserve"> life </w:t>
      </w:r>
      <w:r>
        <w:rPr>
          <w:spacing w:val="-1"/>
        </w:rPr>
        <w:t>measure</w:t>
      </w:r>
      <w:r>
        <w:t xml:space="preserve"> </w:t>
      </w:r>
      <w:r>
        <w:rPr>
          <w:spacing w:val="-1"/>
        </w:rPr>
        <w:t>means</w:t>
      </w:r>
      <w:r>
        <w:t xml:space="preserve"> </w:t>
      </w:r>
      <w:r>
        <w:rPr>
          <w:spacing w:val="-1"/>
        </w:rPr>
        <w:t>that</w:t>
      </w:r>
      <w:r>
        <w:rPr>
          <w:spacing w:val="37"/>
        </w:rPr>
        <w:t xml:space="preserve"> </w:t>
      </w:r>
      <w:r>
        <w:rPr>
          <w:spacing w:val="-1"/>
        </w:rPr>
        <w:t>depreciation</w:t>
      </w:r>
      <w:r>
        <w:t xml:space="preserve"> will not actually be </w:t>
      </w:r>
      <w:r>
        <w:rPr>
          <w:spacing w:val="-1"/>
        </w:rPr>
        <w:t>recovered</w:t>
      </w:r>
      <w:r>
        <w:t xml:space="preserve"> over the economic lives of</w:t>
      </w:r>
      <w:r>
        <w:rPr>
          <w:spacing w:val="4"/>
        </w:rPr>
        <w:t xml:space="preserve"> </w:t>
      </w:r>
      <w:r>
        <w:t>the underlying assets and the</w:t>
      </w:r>
      <w:r>
        <w:rPr>
          <w:spacing w:val="28"/>
        </w:rPr>
        <w:t xml:space="preserve"> </w:t>
      </w:r>
      <w:r>
        <w:t>prices</w:t>
      </w:r>
      <w:r>
        <w:rPr>
          <w:spacing w:val="-1"/>
        </w:rPr>
        <w:t xml:space="preserve"> </w:t>
      </w:r>
      <w:r>
        <w:t>payable by customers</w:t>
      </w:r>
      <w:r>
        <w:rPr>
          <w:spacing w:val="-1"/>
        </w:rPr>
        <w:t xml:space="preserve"> </w:t>
      </w:r>
      <w:r>
        <w:t>will not be</w:t>
      </w:r>
      <w:r>
        <w:rPr>
          <w:spacing w:val="-1"/>
        </w:rPr>
        <w:t xml:space="preserve"> </w:t>
      </w:r>
      <w:r>
        <w:t>set in a</w:t>
      </w:r>
      <w:r>
        <w:rPr>
          <w:spacing w:val="-1"/>
        </w:rPr>
        <w:t xml:space="preserve"> </w:t>
      </w:r>
      <w:r>
        <w:t xml:space="preserve">manner </w:t>
      </w:r>
      <w:r>
        <w:rPr>
          <w:spacing w:val="-1"/>
        </w:rPr>
        <w:t>that</w:t>
      </w:r>
      <w:r>
        <w:t xml:space="preserve"> </w:t>
      </w:r>
      <w:r>
        <w:rPr>
          <w:spacing w:val="-1"/>
        </w:rPr>
        <w:t>promotes</w:t>
      </w:r>
      <w:r>
        <w:t xml:space="preserve"> the</w:t>
      </w:r>
      <w:r>
        <w:rPr>
          <w:spacing w:val="-1"/>
        </w:rPr>
        <w:t xml:space="preserve"> efficient</w:t>
      </w:r>
      <w:r>
        <w:t xml:space="preserve"> use of</w:t>
      </w:r>
      <w:r>
        <w:rPr>
          <w:spacing w:val="3"/>
        </w:rPr>
        <w:t xml:space="preserve"> </w:t>
      </w:r>
      <w:r>
        <w:t>the assets,</w:t>
      </w:r>
      <w:r>
        <w:rPr>
          <w:spacing w:val="21"/>
        </w:rPr>
        <w:t xml:space="preserve"> </w:t>
      </w:r>
      <w:r>
        <w:rPr>
          <w:spacing w:val="-1"/>
        </w:rPr>
        <w:t xml:space="preserve">efficient </w:t>
      </w:r>
      <w:r>
        <w:t>investment</w:t>
      </w:r>
      <w:r>
        <w:rPr>
          <w:spacing w:val="-1"/>
        </w:rPr>
        <w:t xml:space="preserve"> </w:t>
      </w:r>
      <w:r>
        <w:t>in</w:t>
      </w:r>
      <w:r>
        <w:rPr>
          <w:spacing w:val="-1"/>
        </w:rPr>
        <w:t xml:space="preserve"> </w:t>
      </w:r>
      <w:r>
        <w:t>the</w:t>
      </w:r>
      <w:r>
        <w:rPr>
          <w:spacing w:val="-1"/>
        </w:rPr>
        <w:t xml:space="preserve"> </w:t>
      </w:r>
      <w:r>
        <w:t>assets and</w:t>
      </w:r>
      <w:r>
        <w:rPr>
          <w:spacing w:val="-1"/>
        </w:rPr>
        <w:t xml:space="preserve"> intergenerational </w:t>
      </w:r>
      <w:r>
        <w:rPr>
          <w:spacing w:val="-2"/>
        </w:rPr>
        <w:t>equity.</w:t>
      </w:r>
    </w:p>
    <w:p w:rsidR="00D96B91" w:rsidRDefault="00D96B91">
      <w:pPr>
        <w:pStyle w:val="BodyText"/>
        <w:spacing w:before="170" w:line="260" w:lineRule="exact"/>
        <w:ind w:right="1548"/>
        <w:rPr>
          <w:rFonts w:cs="Avenir Next"/>
        </w:rPr>
      </w:pPr>
      <w:hyperlink w:anchor="_bookmark77" w:history="1">
        <w:r w:rsidR="00C2656B">
          <w:rPr>
            <w:spacing w:val="-1"/>
          </w:rPr>
          <w:t xml:space="preserve">Box </w:t>
        </w:r>
        <w:r w:rsidR="00C2656B">
          <w:t>9.2</w:t>
        </w:r>
      </w:hyperlink>
      <w:r w:rsidR="00C2656B">
        <w:t xml:space="preserve"> sets</w:t>
      </w:r>
      <w:r w:rsidR="00C2656B">
        <w:rPr>
          <w:spacing w:val="-1"/>
        </w:rPr>
        <w:t xml:space="preserve"> </w:t>
      </w:r>
      <w:r w:rsidR="00C2656B">
        <w:t>out a</w:t>
      </w:r>
      <w:r w:rsidR="00C2656B">
        <w:rPr>
          <w:spacing w:val="-1"/>
        </w:rPr>
        <w:t xml:space="preserve"> </w:t>
      </w:r>
      <w:r w:rsidR="00C2656B">
        <w:t xml:space="preserve">simplified </w:t>
      </w:r>
      <w:r w:rsidR="00C2656B">
        <w:rPr>
          <w:spacing w:val="-1"/>
        </w:rPr>
        <w:t xml:space="preserve">example </w:t>
      </w:r>
      <w:r w:rsidR="00C2656B">
        <w:t>of</w:t>
      </w:r>
      <w:r w:rsidR="00C2656B">
        <w:rPr>
          <w:spacing w:val="4"/>
        </w:rPr>
        <w:t xml:space="preserve"> </w:t>
      </w:r>
      <w:r w:rsidR="00C2656B">
        <w:t>the</w:t>
      </w:r>
      <w:r w:rsidR="00C2656B">
        <w:rPr>
          <w:spacing w:val="-1"/>
        </w:rPr>
        <w:t xml:space="preserve"> </w:t>
      </w:r>
      <w:r w:rsidR="00C2656B">
        <w:t>impact of</w:t>
      </w:r>
      <w:r w:rsidR="00C2656B">
        <w:rPr>
          <w:spacing w:val="3"/>
        </w:rPr>
        <w:t xml:space="preserve"> </w:t>
      </w:r>
      <w:r w:rsidR="00C2656B">
        <w:t>using a</w:t>
      </w:r>
      <w:r w:rsidR="00C2656B">
        <w:rPr>
          <w:spacing w:val="-1"/>
        </w:rPr>
        <w:t xml:space="preserve"> </w:t>
      </w:r>
      <w:r w:rsidR="00C2656B">
        <w:t xml:space="preserve">weighted </w:t>
      </w:r>
      <w:r w:rsidR="00C2656B">
        <w:rPr>
          <w:spacing w:val="-1"/>
        </w:rPr>
        <w:t xml:space="preserve">average </w:t>
      </w:r>
      <w:r w:rsidR="00C2656B">
        <w:t>life versus</w:t>
      </w:r>
      <w:r w:rsidR="00C2656B">
        <w:rPr>
          <w:spacing w:val="-1"/>
        </w:rPr>
        <w:t xml:space="preserve"> </w:t>
      </w:r>
      <w:r w:rsidR="00C2656B">
        <w:t>an asset-</w:t>
      </w:r>
      <w:r w:rsidR="00C2656B">
        <w:rPr>
          <w:spacing w:val="21"/>
        </w:rPr>
        <w:t xml:space="preserve"> </w:t>
      </w:r>
      <w:r w:rsidR="00C2656B">
        <w:t>specific</w:t>
      </w:r>
      <w:r w:rsidR="00C2656B">
        <w:rPr>
          <w:spacing w:val="-1"/>
        </w:rPr>
        <w:t xml:space="preserve"> </w:t>
      </w:r>
      <w:r w:rsidR="00C2656B">
        <w:t>economic life</w:t>
      </w:r>
      <w:r w:rsidR="00C2656B">
        <w:rPr>
          <w:spacing w:val="-1"/>
        </w:rPr>
        <w:t xml:space="preserve"> </w:t>
      </w:r>
      <w:r w:rsidR="00C2656B">
        <w:t xml:space="preserve">to </w:t>
      </w:r>
      <w:r w:rsidR="00C2656B">
        <w:rPr>
          <w:spacing w:val="-1"/>
        </w:rPr>
        <w:t>calculate depreciation.</w:t>
      </w:r>
      <w:r w:rsidR="00C2656B">
        <w:rPr>
          <w:spacing w:val="-10"/>
        </w:rPr>
        <w:t xml:space="preserve"> </w:t>
      </w:r>
      <w:r w:rsidR="00C2656B">
        <w:t>As</w:t>
      </w:r>
      <w:r w:rsidR="00C2656B">
        <w:rPr>
          <w:spacing w:val="-1"/>
        </w:rPr>
        <w:t xml:space="preserve"> </w:t>
      </w:r>
      <w:r w:rsidR="00C2656B">
        <w:t xml:space="preserve">this </w:t>
      </w:r>
      <w:r w:rsidR="00C2656B">
        <w:rPr>
          <w:spacing w:val="-1"/>
        </w:rPr>
        <w:t xml:space="preserve">example </w:t>
      </w:r>
      <w:r w:rsidR="00C2656B">
        <w:t>highlights,</w:t>
      </w:r>
      <w:r w:rsidR="00C2656B">
        <w:rPr>
          <w:spacing w:val="-7"/>
        </w:rPr>
        <w:t xml:space="preserve"> </w:t>
      </w:r>
      <w:r w:rsidR="00C2656B">
        <w:t>the</w:t>
      </w:r>
      <w:r w:rsidR="00C2656B">
        <w:rPr>
          <w:spacing w:val="-1"/>
        </w:rPr>
        <w:t xml:space="preserve"> </w:t>
      </w:r>
      <w:r w:rsidR="00C2656B">
        <w:t>use of</w:t>
      </w:r>
      <w:r w:rsidR="00C2656B">
        <w:rPr>
          <w:spacing w:val="3"/>
        </w:rPr>
        <w:t xml:space="preserve"> </w:t>
      </w:r>
      <w:r w:rsidR="00C2656B">
        <w:t>a weighted</w:t>
      </w:r>
      <w:r w:rsidR="00C2656B">
        <w:rPr>
          <w:spacing w:val="39"/>
        </w:rPr>
        <w:t xml:space="preserve"> </w:t>
      </w:r>
      <w:r w:rsidR="00C2656B">
        <w:rPr>
          <w:spacing w:val="-1"/>
        </w:rPr>
        <w:t>average</w:t>
      </w:r>
      <w:r w:rsidR="00C2656B">
        <w:t xml:space="preserve"> asset life can </w:t>
      </w:r>
      <w:r w:rsidR="00C2656B">
        <w:rPr>
          <w:spacing w:val="-1"/>
        </w:rPr>
        <w:t>result</w:t>
      </w:r>
      <w:r w:rsidR="00C2656B">
        <w:t xml:space="preserve"> in:</w:t>
      </w:r>
    </w:p>
    <w:p w:rsidR="00D96B91" w:rsidRDefault="00C2656B">
      <w:pPr>
        <w:pStyle w:val="BodyText"/>
        <w:numPr>
          <w:ilvl w:val="0"/>
          <w:numId w:val="131"/>
        </w:numPr>
        <w:tabs>
          <w:tab w:val="left" w:pos="1531"/>
        </w:tabs>
        <w:spacing w:before="170" w:line="260" w:lineRule="exact"/>
        <w:ind w:right="1289" w:hanging="283"/>
        <w:rPr>
          <w:rFonts w:cs="Avenir Next"/>
        </w:rPr>
      </w:pPr>
      <w:r>
        <w:rPr>
          <w:spacing w:val="-1"/>
        </w:rPr>
        <w:t>current</w:t>
      </w:r>
      <w:r>
        <w:t xml:space="preserve"> customers paying a higher amount for the use of</w:t>
      </w:r>
      <w:r>
        <w:rPr>
          <w:spacing w:val="4"/>
        </w:rPr>
        <w:t xml:space="preserve"> </w:t>
      </w:r>
      <w:r>
        <w:t>longer lived assets,</w:t>
      </w:r>
      <w:r>
        <w:rPr>
          <w:spacing w:val="-6"/>
        </w:rPr>
        <w:t xml:space="preserve"> </w:t>
      </w:r>
      <w:r>
        <w:t>because the costs must</w:t>
      </w:r>
      <w:r>
        <w:rPr>
          <w:spacing w:val="23"/>
        </w:rPr>
        <w:t xml:space="preserve"> </w:t>
      </w:r>
      <w:r>
        <w:t xml:space="preserve">be </w:t>
      </w:r>
      <w:r>
        <w:rPr>
          <w:spacing w:val="-1"/>
        </w:rPr>
        <w:t>recovered</w:t>
      </w:r>
      <w:r>
        <w:t xml:space="preserve"> over a </w:t>
      </w:r>
      <w:r>
        <w:rPr>
          <w:spacing w:val="-1"/>
        </w:rPr>
        <w:t>shorter</w:t>
      </w:r>
      <w:r>
        <w:t xml:space="preserve"> period than the economic life of</w:t>
      </w:r>
      <w:r>
        <w:rPr>
          <w:spacing w:val="4"/>
        </w:rPr>
        <w:t xml:space="preserve"> </w:t>
      </w:r>
      <w:r>
        <w:t>the assets</w:t>
      </w:r>
    </w:p>
    <w:p w:rsidR="00D96B91" w:rsidRDefault="00C2656B">
      <w:pPr>
        <w:pStyle w:val="BodyText"/>
        <w:numPr>
          <w:ilvl w:val="0"/>
          <w:numId w:val="131"/>
        </w:numPr>
        <w:tabs>
          <w:tab w:val="left" w:pos="1531"/>
        </w:tabs>
        <w:spacing w:before="85" w:line="260" w:lineRule="exact"/>
        <w:ind w:right="1508" w:hanging="283"/>
        <w:rPr>
          <w:rFonts w:cs="Avenir Next"/>
        </w:rPr>
      </w:pPr>
      <w:r>
        <w:rPr>
          <w:spacing w:val="-1"/>
        </w:rPr>
        <w:t>future</w:t>
      </w:r>
      <w:r>
        <w:t xml:space="preserve"> customers paying nothing for the use of</w:t>
      </w:r>
      <w:r>
        <w:rPr>
          <w:spacing w:val="4"/>
        </w:rPr>
        <w:t xml:space="preserve"> </w:t>
      </w:r>
      <w:r>
        <w:t xml:space="preserve">longer lived assets </w:t>
      </w:r>
      <w:r>
        <w:rPr>
          <w:spacing w:val="-2"/>
        </w:rPr>
        <w:t>at</w:t>
      </w:r>
      <w:r>
        <w:t xml:space="preserve"> the end of</w:t>
      </w:r>
      <w:r>
        <w:rPr>
          <w:spacing w:val="4"/>
        </w:rPr>
        <w:t xml:space="preserve"> </w:t>
      </w:r>
      <w:r>
        <w:t xml:space="preserve">weighted </w:t>
      </w:r>
      <w:r>
        <w:rPr>
          <w:spacing w:val="-1"/>
        </w:rPr>
        <w:t>average</w:t>
      </w:r>
      <w:r>
        <w:rPr>
          <w:spacing w:val="28"/>
        </w:rPr>
        <w:t xml:space="preserve"> </w:t>
      </w:r>
      <w:r>
        <w:t xml:space="preserve">asset life even though the assets </w:t>
      </w:r>
      <w:r>
        <w:rPr>
          <w:spacing w:val="-2"/>
        </w:rPr>
        <w:t>are</w:t>
      </w:r>
      <w:r>
        <w:t xml:space="preserve"> still used in the </w:t>
      </w:r>
      <w:r>
        <w:rPr>
          <w:spacing w:val="-1"/>
        </w:rPr>
        <w:t>provision</w:t>
      </w:r>
      <w:r>
        <w:t xml:space="preserve"> of</w:t>
      </w:r>
      <w:r>
        <w:rPr>
          <w:spacing w:val="4"/>
        </w:rPr>
        <w:t xml:space="preserve"> </w:t>
      </w:r>
      <w:r>
        <w:t>services,</w:t>
      </w:r>
      <w:r>
        <w:rPr>
          <w:spacing w:val="-6"/>
        </w:rPr>
        <w:t xml:space="preserve"> </w:t>
      </w:r>
      <w:r>
        <w:t>and</w:t>
      </w:r>
    </w:p>
    <w:p w:rsidR="00D96B91" w:rsidRDefault="00C2656B">
      <w:pPr>
        <w:pStyle w:val="BodyText"/>
        <w:numPr>
          <w:ilvl w:val="0"/>
          <w:numId w:val="131"/>
        </w:numPr>
        <w:tabs>
          <w:tab w:val="left" w:pos="1531"/>
        </w:tabs>
        <w:spacing w:before="85" w:line="260" w:lineRule="exact"/>
        <w:ind w:right="1693" w:hanging="283"/>
      </w:pPr>
      <w:r>
        <w:t>customers in the medium term continuing to pay for the use of</w:t>
      </w:r>
      <w:r>
        <w:rPr>
          <w:spacing w:val="4"/>
        </w:rPr>
        <w:t xml:space="preserve"> </w:t>
      </w:r>
      <w:r>
        <w:rPr>
          <w:spacing w:val="-1"/>
        </w:rPr>
        <w:t>shorter</w:t>
      </w:r>
      <w:r>
        <w:t xml:space="preserve"> lived assets even though</w:t>
      </w:r>
      <w:r>
        <w:rPr>
          <w:spacing w:val="24"/>
        </w:rPr>
        <w:t xml:space="preserve"> </w:t>
      </w:r>
      <w:r>
        <w:t>those assets may no longer be in use.</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19" style="width:72.5pt;height:.5pt;mso-position-horizontal-relative:char;mso-position-vertical-relative:line" coordsize="1450,10">
            <v:group id="_x0000_s3120" style="position:absolute;left:5;top:5;width:1440;height:2" coordorigin="5,5" coordsize="1440,2">
              <v:shape id="_x0000_s3121"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45" w:line="192" w:lineRule="exact"/>
        <w:ind w:right="1881" w:hanging="510"/>
        <w:rPr>
          <w:rFonts w:ascii="Avenir Next" w:eastAsia="Avenir Next" w:hAnsi="Avenir Next" w:cs="Avenir Next"/>
          <w:sz w:val="16"/>
          <w:szCs w:val="16"/>
        </w:rPr>
      </w:pPr>
      <w:bookmarkStart w:id="125" w:name="_bookmark77"/>
      <w:bookmarkEnd w:id="125"/>
      <w:r>
        <w:rPr>
          <w:rFonts w:ascii="Avenir Next" w:eastAsia="Avenir Next" w:hAnsi="Avenir Next" w:cs="Avenir Next"/>
          <w:spacing w:val="-1"/>
          <w:sz w:val="16"/>
          <w:szCs w:val="16"/>
        </w:rPr>
        <w:t>These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calculations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set out in</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z w:val="16"/>
          <w:szCs w:val="16"/>
        </w:rPr>
        <w:t xml:space="preserve"> 17.10,</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which was </w:t>
      </w:r>
      <w:r>
        <w:rPr>
          <w:rFonts w:ascii="Avenir Next" w:eastAsia="Avenir Next" w:hAnsi="Avenir Next" w:cs="Avenir Next"/>
          <w:spacing w:val="-1"/>
          <w:sz w:val="16"/>
          <w:szCs w:val="16"/>
        </w:rPr>
        <w:t>provided</w:t>
      </w:r>
      <w:r>
        <w:rPr>
          <w:rFonts w:ascii="Avenir Next" w:eastAsia="Avenir Next" w:hAnsi="Avenir Next" w:cs="Avenir Next"/>
          <w:sz w:val="16"/>
          <w:szCs w:val="16"/>
        </w:rPr>
        <w:t xml:space="preserve"> to the ICRC as </w:t>
      </w:r>
      <w:r>
        <w:rPr>
          <w:rFonts w:ascii="Avenir Next" w:eastAsia="Avenir Next" w:hAnsi="Avenir Next" w:cs="Avenir Next"/>
          <w:spacing w:val="-1"/>
          <w:sz w:val="16"/>
          <w:szCs w:val="16"/>
        </w:rPr>
        <w:t>part</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April 2013</w:t>
      </w:r>
      <w:r>
        <w:rPr>
          <w:rFonts w:ascii="Avenir Next" w:eastAsia="Avenir Next" w:hAnsi="Avenir Next" w:cs="Avenir Next"/>
          <w:spacing w:val="63"/>
          <w:sz w:val="16"/>
          <w:szCs w:val="16"/>
        </w:rPr>
        <w:t xml:space="preserve"> </w:t>
      </w:r>
      <w:r>
        <w:rPr>
          <w:rFonts w:ascii="Avenir Next" w:eastAsia="Avenir Next" w:hAnsi="Avenir Next" w:cs="Avenir Next"/>
          <w:spacing w:val="-1"/>
          <w:sz w:val="16"/>
          <w:szCs w:val="16"/>
        </w:rPr>
        <w:t>response</w:t>
      </w:r>
      <w:r>
        <w:rPr>
          <w:rFonts w:ascii="Avenir Next" w:eastAsia="Avenir Next" w:hAnsi="Avenir Next" w:cs="Avenir Next"/>
          <w:sz w:val="16"/>
          <w:szCs w:val="16"/>
        </w:rPr>
        <w:t xml:space="preserve"> to the </w:t>
      </w:r>
      <w:r>
        <w:rPr>
          <w:rFonts w:ascii="Avenir Next" w:eastAsia="Avenir Next" w:hAnsi="Avenir Next" w:cs="Avenir Next"/>
          <w:spacing w:val="-1"/>
          <w:sz w:val="16"/>
          <w:szCs w:val="16"/>
        </w:rPr>
        <w:t>draft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1"/>
          <w:sz w:val="20"/>
        </w:rPr>
        <w:t>Box</w:t>
      </w:r>
      <w:r>
        <w:rPr>
          <w:rFonts w:ascii="Avenir Next"/>
          <w:b/>
          <w:sz w:val="20"/>
        </w:rPr>
        <w:t xml:space="preserve"> 9.2:</w:t>
      </w:r>
      <w:r>
        <w:rPr>
          <w:rFonts w:ascii="Avenir Next"/>
          <w:b/>
          <w:spacing w:val="-3"/>
          <w:sz w:val="20"/>
        </w:rPr>
        <w:t xml:space="preserve"> </w:t>
      </w:r>
      <w:r>
        <w:rPr>
          <w:rFonts w:ascii="Avenir Next"/>
          <w:b/>
          <w:spacing w:val="-1"/>
          <w:sz w:val="20"/>
        </w:rPr>
        <w:t>Weighted</w:t>
      </w:r>
      <w:r>
        <w:rPr>
          <w:rFonts w:ascii="Avenir Next"/>
          <w:b/>
          <w:sz w:val="20"/>
        </w:rPr>
        <w:t xml:space="preserve"> </w:t>
      </w:r>
      <w:r>
        <w:rPr>
          <w:rFonts w:ascii="Avenir Next"/>
          <w:b/>
          <w:spacing w:val="-1"/>
          <w:sz w:val="20"/>
        </w:rPr>
        <w:t>average</w:t>
      </w:r>
      <w:r>
        <w:rPr>
          <w:rFonts w:ascii="Avenir Next"/>
          <w:b/>
          <w:sz w:val="20"/>
        </w:rPr>
        <w:t xml:space="preserve"> asset life versus asset specific economic life</w:t>
      </w:r>
    </w:p>
    <w:p w:rsidR="00D96B91" w:rsidRDefault="00D96B91">
      <w:pPr>
        <w:spacing w:before="7"/>
        <w:rPr>
          <w:rFonts w:ascii="Avenir Next" w:eastAsia="Avenir Next" w:hAnsi="Avenir Next" w:cs="Avenir Next"/>
          <w:b/>
          <w:bCs/>
          <w:sz w:val="5"/>
          <w:szCs w:val="5"/>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6909CD">
        <w:rPr>
          <w:rFonts w:ascii="Avenir Next" w:eastAsia="Avenir Next" w:hAnsi="Avenir Next" w:cs="Avenir Next"/>
          <w:sz w:val="20"/>
          <w:szCs w:val="20"/>
        </w:rPr>
        <w:pict>
          <v:group id="_x0000_s3114" style="width:470.55pt;height:503.6pt;mso-position-horizontal-relative:char;mso-position-vertical-relative:line" coordsize="9411,8958">
            <v:group id="_x0000_s3115" style="position:absolute;width:9411;height:8958" coordsize="9411,8958">
              <v:shape id="_x0000_s3118" style="position:absolute;width:9411;height:8958" coordsize="9411,8958" path="m,8957r9411,l9411,,,,,8957xe" fillcolor="#dff3fd" stroked="f">
                <v:path arrowok="t"/>
              </v:shape>
              <v:shape id="_x0000_s3117" type="#_x0000_t75" style="position:absolute;left:1304;top:3155;width:6803;height:4444">
                <v:imagedata r:id="rId65" o:title=""/>
              </v:shape>
              <v:shape id="_x0000_s3116" type="#_x0000_t202" style="position:absolute;width:9411;height:8958" filled="f" stroked="f">
                <v:textbox style="mso-next-textbox:#_x0000_s3116" inset="0,0,0,0">
                  <w:txbxContent>
                    <w:p w:rsidR="008A79D5" w:rsidRDefault="008A79D5">
                      <w:pPr>
                        <w:spacing w:before="162" w:line="260" w:lineRule="exact"/>
                        <w:ind w:left="170" w:right="402"/>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distortionary</w:t>
                      </w:r>
                      <w:r>
                        <w:rPr>
                          <w:rFonts w:ascii="Avenir Next Condensed"/>
                          <w:spacing w:val="-4"/>
                          <w:sz w:val="20"/>
                        </w:rPr>
                        <w:t xml:space="preserve"> </w:t>
                      </w:r>
                      <w:r>
                        <w:rPr>
                          <w:rFonts w:ascii="Avenir Next Condensed"/>
                          <w:spacing w:val="-3"/>
                          <w:sz w:val="20"/>
                        </w:rPr>
                        <w:t>effect</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weighted</w:t>
                      </w:r>
                      <w:r>
                        <w:rPr>
                          <w:rFonts w:ascii="Avenir Next Condensed"/>
                          <w:spacing w:val="-4"/>
                          <w:sz w:val="20"/>
                        </w:rPr>
                        <w:t xml:space="preserve"> </w:t>
                      </w:r>
                      <w:r>
                        <w:rPr>
                          <w:rFonts w:ascii="Avenir Next Condensed"/>
                          <w:spacing w:val="-2"/>
                          <w:sz w:val="20"/>
                        </w:rPr>
                        <w:t>average</w:t>
                      </w:r>
                      <w:r>
                        <w:rPr>
                          <w:rFonts w:ascii="Avenir Next Condensed"/>
                          <w:spacing w:val="-4"/>
                          <w:sz w:val="20"/>
                        </w:rPr>
                        <w:t xml:space="preserve"> </w:t>
                      </w:r>
                      <w:r>
                        <w:rPr>
                          <w:rFonts w:ascii="Avenir Next Condensed"/>
                          <w:spacing w:val="-2"/>
                          <w:sz w:val="20"/>
                        </w:rPr>
                        <w:t>asset</w:t>
                      </w:r>
                      <w:r>
                        <w:rPr>
                          <w:rFonts w:ascii="Avenir Next Condensed"/>
                          <w:spacing w:val="-4"/>
                          <w:sz w:val="20"/>
                        </w:rPr>
                        <w:t xml:space="preserve"> </w:t>
                      </w:r>
                      <w:r>
                        <w:rPr>
                          <w:rFonts w:ascii="Avenir Next Condensed"/>
                          <w:spacing w:val="-2"/>
                          <w:sz w:val="20"/>
                        </w:rPr>
                        <w:t>life</w:t>
                      </w:r>
                      <w:r>
                        <w:rPr>
                          <w:rFonts w:ascii="Avenir Next Condensed"/>
                          <w:spacing w:val="-4"/>
                          <w:sz w:val="20"/>
                        </w:rPr>
                        <w:t xml:space="preserve"> </w:t>
                      </w:r>
                      <w:r>
                        <w:rPr>
                          <w:rFonts w:ascii="Avenir Next Condensed"/>
                          <w:spacing w:val="-2"/>
                          <w:sz w:val="20"/>
                        </w:rPr>
                        <w:t>can</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1"/>
                          <w:sz w:val="20"/>
                        </w:rPr>
                        <w:t>on</w:t>
                      </w:r>
                      <w:r>
                        <w:rPr>
                          <w:rFonts w:ascii="Avenir Next Condensed"/>
                          <w:spacing w:val="-4"/>
                          <w:sz w:val="20"/>
                        </w:rPr>
                        <w:t xml:space="preserve"> </w:t>
                      </w:r>
                      <w:r>
                        <w:rPr>
                          <w:rFonts w:ascii="Avenir Next Condensed"/>
                          <w:spacing w:val="-3"/>
                          <w:sz w:val="20"/>
                        </w:rPr>
                        <w:t>intergenerational</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can</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seen</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r>
                        <w:rPr>
                          <w:rFonts w:ascii="Avenir Next Condensed"/>
                          <w:spacing w:val="-4"/>
                          <w:sz w:val="20"/>
                        </w:rPr>
                        <w:t xml:space="preserve"> </w:t>
                      </w:r>
                      <w:r>
                        <w:rPr>
                          <w:rFonts w:ascii="Avenir Next Condensed"/>
                          <w:spacing w:val="-2"/>
                          <w:sz w:val="20"/>
                        </w:rPr>
                        <w:t>simplified</w:t>
                      </w:r>
                      <w:r>
                        <w:rPr>
                          <w:rFonts w:ascii="Avenir Next Condensed"/>
                          <w:spacing w:val="89"/>
                          <w:sz w:val="20"/>
                        </w:rPr>
                        <w:t xml:space="preserve"> </w:t>
                      </w:r>
                      <w:r>
                        <w:rPr>
                          <w:rFonts w:ascii="Avenir Next Condensed"/>
                          <w:spacing w:val="-2"/>
                          <w:sz w:val="20"/>
                        </w:rPr>
                        <w:t>example,</w:t>
                      </w:r>
                      <w:r>
                        <w:rPr>
                          <w:rFonts w:ascii="Avenir Next Condensed"/>
                          <w:spacing w:val="-10"/>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assumes</w:t>
                      </w:r>
                      <w:r>
                        <w:rPr>
                          <w:rFonts w:ascii="Avenir Next Condensed"/>
                          <w:spacing w:val="-4"/>
                          <w:sz w:val="20"/>
                        </w:rPr>
                        <w:t xml:space="preserve"> </w:t>
                      </w:r>
                      <w:r>
                        <w:rPr>
                          <w:rFonts w:ascii="Avenir Next Condensed"/>
                          <w:spacing w:val="-2"/>
                          <w:sz w:val="20"/>
                        </w:rPr>
                        <w:t>that:</w:t>
                      </w:r>
                    </w:p>
                    <w:p w:rsidR="008A79D5" w:rsidRDefault="008A79D5">
                      <w:pPr>
                        <w:numPr>
                          <w:ilvl w:val="0"/>
                          <w:numId w:val="68"/>
                        </w:numPr>
                        <w:tabs>
                          <w:tab w:val="left" w:pos="397"/>
                        </w:tabs>
                        <w:spacing w:before="113" w:line="260" w:lineRule="exact"/>
                        <w:ind w:right="201"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asset</w:t>
                      </w:r>
                      <w:r>
                        <w:rPr>
                          <w:rFonts w:ascii="Avenir Next Condensed"/>
                          <w:spacing w:val="-4"/>
                          <w:sz w:val="20"/>
                        </w:rPr>
                        <w:t xml:space="preserve"> </w:t>
                      </w:r>
                      <w:r>
                        <w:rPr>
                          <w:rFonts w:ascii="Avenir Next Condensed"/>
                          <w:spacing w:val="-2"/>
                          <w:sz w:val="20"/>
                        </w:rPr>
                        <w:t>base</w:t>
                      </w:r>
                      <w:r>
                        <w:rPr>
                          <w:rFonts w:ascii="Avenir Next Condensed"/>
                          <w:spacing w:val="-4"/>
                          <w:sz w:val="20"/>
                        </w:rPr>
                        <w:t xml:space="preserve"> </w:t>
                      </w:r>
                      <w:r>
                        <w:rPr>
                          <w:rFonts w:ascii="Avenir Next Condensed"/>
                          <w:spacing w:val="-2"/>
                          <w:sz w:val="20"/>
                        </w:rPr>
                        <w:t>consists</w:t>
                      </w:r>
                      <w:r>
                        <w:rPr>
                          <w:rFonts w:ascii="Avenir Next Condensed"/>
                          <w:spacing w:val="-4"/>
                          <w:sz w:val="20"/>
                        </w:rPr>
                        <w:t xml:space="preserve"> </w:t>
                      </w:r>
                      <w:r>
                        <w:rPr>
                          <w:rFonts w:ascii="Avenir Next Condensed"/>
                          <w:spacing w:val="-2"/>
                          <w:sz w:val="20"/>
                        </w:rPr>
                        <w:t>of:</w:t>
                      </w:r>
                      <w:r>
                        <w:rPr>
                          <w:rFonts w:ascii="Avenir Next Condensed"/>
                          <w:spacing w:val="-8"/>
                          <w:sz w:val="20"/>
                        </w:rPr>
                        <w:t xml:space="preserve"> </w:t>
                      </w:r>
                      <w:r>
                        <w:rPr>
                          <w:rFonts w:ascii="Avenir Next Condensed"/>
                          <w:spacing w:val="-2"/>
                          <w:sz w:val="20"/>
                        </w:rPr>
                        <w:t>Asset</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2"/>
                          <w:sz w:val="20"/>
                        </w:rPr>
                        <w:t>$50</w:t>
                      </w:r>
                      <w:r>
                        <w:rPr>
                          <w:rFonts w:ascii="Avenir Next Condensed"/>
                          <w:spacing w:val="-4"/>
                          <w:sz w:val="20"/>
                        </w:rPr>
                        <w:t xml:space="preserve"> </w:t>
                      </w:r>
                      <w:r>
                        <w:rPr>
                          <w:rFonts w:ascii="Avenir Next Condensed"/>
                          <w:sz w:val="20"/>
                        </w:rPr>
                        <w:t>m</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100</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life);</w:t>
                      </w:r>
                      <w:r>
                        <w:rPr>
                          <w:rFonts w:ascii="Avenir Next Condensed"/>
                          <w:spacing w:val="-8"/>
                          <w:sz w:val="20"/>
                        </w:rPr>
                        <w:t xml:space="preserve"> </w:t>
                      </w:r>
                      <w:r>
                        <w:rPr>
                          <w:rFonts w:ascii="Avenir Next Condensed"/>
                          <w:spacing w:val="-2"/>
                          <w:sz w:val="20"/>
                        </w:rPr>
                        <w:t>Asset</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2"/>
                          <w:sz w:val="20"/>
                        </w:rPr>
                        <w:t>$10</w:t>
                      </w:r>
                      <w:r>
                        <w:rPr>
                          <w:rFonts w:ascii="Avenir Next Condensed"/>
                          <w:spacing w:val="-4"/>
                          <w:sz w:val="20"/>
                        </w:rPr>
                        <w:t xml:space="preserve"> </w:t>
                      </w:r>
                      <w:r>
                        <w:rPr>
                          <w:rFonts w:ascii="Avenir Next Condensed"/>
                          <w:sz w:val="20"/>
                        </w:rPr>
                        <w:t>m</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1"/>
                          <w:sz w:val="20"/>
                        </w:rPr>
                        <w:t>20</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life);</w:t>
                      </w:r>
                      <w:r>
                        <w:rPr>
                          <w:rFonts w:ascii="Avenir Next Condensed"/>
                          <w:spacing w:val="-4"/>
                          <w:sz w:val="20"/>
                        </w:rPr>
                        <w:t xml:space="preserve"> </w:t>
                      </w:r>
                      <w:r>
                        <w:rPr>
                          <w:rFonts w:ascii="Avenir Next Condensed"/>
                          <w:spacing w:val="-2"/>
                          <w:sz w:val="20"/>
                        </w:rPr>
                        <w:t>and</w:t>
                      </w:r>
                      <w:r>
                        <w:rPr>
                          <w:rFonts w:ascii="Avenir Next Condensed"/>
                          <w:spacing w:val="56"/>
                          <w:sz w:val="20"/>
                        </w:rPr>
                        <w:t xml:space="preserve"> </w:t>
                      </w:r>
                      <w:r>
                        <w:rPr>
                          <w:rFonts w:ascii="Avenir Next Condensed"/>
                          <w:spacing w:val="-2"/>
                          <w:sz w:val="20"/>
                        </w:rPr>
                        <w:t>Asset</w:t>
                      </w:r>
                      <w:r>
                        <w:rPr>
                          <w:rFonts w:ascii="Avenir Next Condensed"/>
                          <w:spacing w:val="-4"/>
                          <w:sz w:val="20"/>
                        </w:rPr>
                        <w:t xml:space="preserve"> </w:t>
                      </w:r>
                      <w:r>
                        <w:rPr>
                          <w:rFonts w:ascii="Avenir Next Condensed"/>
                          <w:sz w:val="20"/>
                        </w:rPr>
                        <w:t>3</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1"/>
                          <w:sz w:val="20"/>
                        </w:rPr>
                        <w:t>$5</w:t>
                      </w:r>
                      <w:r>
                        <w:rPr>
                          <w:rFonts w:ascii="Avenir Next Condensed"/>
                          <w:spacing w:val="-4"/>
                          <w:sz w:val="20"/>
                        </w:rPr>
                        <w:t xml:space="preserve"> </w:t>
                      </w:r>
                      <w:r>
                        <w:rPr>
                          <w:rFonts w:ascii="Avenir Next Condensed"/>
                          <w:sz w:val="20"/>
                        </w:rPr>
                        <w:t>m</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1"/>
                          <w:sz w:val="20"/>
                        </w:rPr>
                        <w:t>fi</w:t>
                      </w:r>
                      <w:r>
                        <w:rPr>
                          <w:rFonts w:ascii="Avenir Next Condensed"/>
                          <w:sz w:val="20"/>
                        </w:rPr>
                        <w:t xml:space="preserve">ve </w:t>
                      </w:r>
                      <w:r>
                        <w:rPr>
                          <w:rFonts w:ascii="Avenir Next Condensed"/>
                          <w:spacing w:val="-2"/>
                          <w:sz w:val="20"/>
                        </w:rPr>
                        <w:t>year</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life).</w:t>
                      </w:r>
                    </w:p>
                    <w:p w:rsidR="008A79D5" w:rsidRDefault="008A79D5">
                      <w:pPr>
                        <w:numPr>
                          <w:ilvl w:val="0"/>
                          <w:numId w:val="68"/>
                        </w:numPr>
                        <w:tabs>
                          <w:tab w:val="left" w:pos="397"/>
                        </w:tabs>
                        <w:spacing w:before="64"/>
                        <w:ind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costs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these</w:t>
                      </w:r>
                      <w:r>
                        <w:rPr>
                          <w:rFonts w:ascii="Avenir Next Condensed"/>
                          <w:spacing w:val="-4"/>
                          <w:sz w:val="20"/>
                        </w:rPr>
                        <w:t xml:space="preserve"> </w:t>
                      </w:r>
                      <w:r>
                        <w:rPr>
                          <w:rFonts w:ascii="Avenir Next Condensed"/>
                          <w:spacing w:val="-2"/>
                          <w:sz w:val="20"/>
                        </w:rPr>
                        <w:t>assets</w:t>
                      </w:r>
                      <w:r>
                        <w:rPr>
                          <w:rFonts w:ascii="Avenir Next Condensed"/>
                          <w:spacing w:val="-4"/>
                          <w:sz w:val="20"/>
                        </w:rPr>
                        <w:t xml:space="preserve"> </w:t>
                      </w:r>
                      <w:r>
                        <w:rPr>
                          <w:rFonts w:ascii="Avenir Next Condensed"/>
                          <w:spacing w:val="-2"/>
                          <w:sz w:val="20"/>
                        </w:rPr>
                        <w:t>are</w:t>
                      </w:r>
                      <w:r>
                        <w:rPr>
                          <w:rFonts w:ascii="Avenir Next Condensed"/>
                          <w:spacing w:val="-4"/>
                          <w:sz w:val="20"/>
                        </w:rPr>
                        <w:t xml:space="preserve"> </w:t>
                      </w:r>
                      <w:r>
                        <w:rPr>
                          <w:rFonts w:ascii="Avenir Next Condensed"/>
                          <w:spacing w:val="-3"/>
                          <w:sz w:val="20"/>
                        </w:rPr>
                        <w:t>recovered</w:t>
                      </w:r>
                      <w:r>
                        <w:rPr>
                          <w:rFonts w:ascii="Avenir Next Condensed"/>
                          <w:spacing w:val="-4"/>
                          <w:sz w:val="20"/>
                        </w:rPr>
                        <w:t xml:space="preserve"> </w:t>
                      </w:r>
                      <w:r>
                        <w:rPr>
                          <w:rFonts w:ascii="Avenir Next Condensed"/>
                          <w:spacing w:val="-2"/>
                          <w:sz w:val="20"/>
                        </w:rPr>
                        <w:t>using</w:t>
                      </w:r>
                      <w:r>
                        <w:rPr>
                          <w:rFonts w:ascii="Avenir Next Condensed"/>
                          <w:spacing w:val="-4"/>
                          <w:sz w:val="20"/>
                        </w:rPr>
                        <w:t xml:space="preserve"> </w:t>
                      </w:r>
                      <w:r>
                        <w:rPr>
                          <w:rFonts w:ascii="Avenir Next Condensed"/>
                          <w:spacing w:val="-2"/>
                          <w:sz w:val="20"/>
                        </w:rPr>
                        <w:t>either:</w:t>
                      </w:r>
                    </w:p>
                    <w:p w:rsidR="008A79D5" w:rsidRDefault="008A79D5">
                      <w:pPr>
                        <w:numPr>
                          <w:ilvl w:val="1"/>
                          <w:numId w:val="68"/>
                        </w:numPr>
                        <w:tabs>
                          <w:tab w:val="left" w:pos="737"/>
                        </w:tabs>
                        <w:spacing w:before="43"/>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weighted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average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approach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1)</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$160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80.4</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($0.8</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or</w:t>
                      </w:r>
                    </w:p>
                    <w:p w:rsidR="008A79D5" w:rsidRDefault="008A79D5">
                      <w:pPr>
                        <w:numPr>
                          <w:ilvl w:val="1"/>
                          <w:numId w:val="68"/>
                        </w:numPr>
                        <w:tabs>
                          <w:tab w:val="left" w:pos="737"/>
                        </w:tabs>
                        <w:spacing w:before="35" w:line="260" w:lineRule="exact"/>
                        <w:ind w:right="412"/>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actual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economic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lives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assets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2)</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under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Asset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1</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recovered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100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years,</w:t>
                      </w:r>
                      <w:r>
                        <w:rPr>
                          <w:rFonts w:ascii="Avenir Next Condensed" w:eastAsia="Avenir Next Condensed" w:hAnsi="Avenir Next Condensed" w:cs="Avenir Next Condensed"/>
                          <w:spacing w:val="78"/>
                          <w:sz w:val="20"/>
                          <w:szCs w:val="20"/>
                        </w:rPr>
                        <w:t xml:space="preserve"> </w:t>
                      </w:r>
                      <w:r>
                        <w:rPr>
                          <w:rFonts w:ascii="Avenir Next Condensed" w:eastAsia="Avenir Next Condensed" w:hAnsi="Avenir Next Condensed" w:cs="Avenir Next Condensed"/>
                          <w:spacing w:val="-2"/>
                          <w:sz w:val="20"/>
                          <w:szCs w:val="20"/>
                        </w:rPr>
                        <w:t>Asset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2</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20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2"/>
                          <w:sz w:val="20"/>
                          <w:szCs w:val="20"/>
                        </w:rPr>
                        <w:t>Asset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3</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w:t>
                      </w:r>
                      <w:r w:rsidR="009B14B7">
                        <w:rPr>
                          <w:rFonts w:ascii="Avenir Next Condensed" w:eastAsia="Avenir Next Condensed" w:hAnsi="Avenir Next Condensed" w:cs="Avenir Next Condensed"/>
                          <w:spacing w:val="-1"/>
                          <w:sz w:val="20"/>
                          <w:szCs w:val="20"/>
                        </w:rPr>
                        <w:t xml:space="preserve">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1-5: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$2</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years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6-20: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$1</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pa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21-100:</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$0.5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w:t>
                      </w:r>
                    </w:p>
                    <w:p w:rsidR="008A79D5" w:rsidRDefault="008A79D5">
                      <w:pPr>
                        <w:tabs>
                          <w:tab w:val="left" w:pos="5413"/>
                        </w:tabs>
                        <w:spacing w:before="56" w:line="260" w:lineRule="exact"/>
                        <w:ind w:left="170" w:right="776"/>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present</w:t>
                      </w:r>
                      <w:r>
                        <w:rPr>
                          <w:rFonts w:ascii="Avenir Next Condensed"/>
                          <w:spacing w:val="-4"/>
                          <w:sz w:val="20"/>
                        </w:rPr>
                        <w:t xml:space="preserve"> </w:t>
                      </w:r>
                      <w:r>
                        <w:rPr>
                          <w:rFonts w:ascii="Avenir Next Condensed"/>
                          <w:spacing w:val="-2"/>
                          <w:sz w:val="20"/>
                        </w:rPr>
                        <w:t>value</w:t>
                      </w:r>
                      <w:r>
                        <w:rPr>
                          <w:rFonts w:ascii="Avenir Next Condensed"/>
                          <w:spacing w:val="-4"/>
                          <w:sz w:val="20"/>
                        </w:rPr>
                        <w:t xml:space="preserve"> </w:t>
                      </w:r>
                      <w:r>
                        <w:rPr>
                          <w:rFonts w:ascii="Avenir Next Condensed"/>
                          <w:spacing w:val="-2"/>
                          <w:sz w:val="20"/>
                        </w:rPr>
                        <w:t>terms,</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recover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same</w:t>
                      </w:r>
                      <w:r>
                        <w:rPr>
                          <w:rFonts w:ascii="Avenir Next Condensed"/>
                          <w:spacing w:val="-4"/>
                          <w:sz w:val="20"/>
                        </w:rPr>
                        <w:t xml:space="preserve"> </w:t>
                      </w:r>
                      <w:r>
                        <w:rPr>
                          <w:rFonts w:ascii="Avenir Next Condensed"/>
                          <w:spacing w:val="-2"/>
                          <w:sz w:val="20"/>
                        </w:rPr>
                        <w:t>amount</w:t>
                      </w:r>
                      <w:r>
                        <w:rPr>
                          <w:rFonts w:ascii="Avenir Next Condensed"/>
                          <w:spacing w:val="-4"/>
                          <w:sz w:val="20"/>
                        </w:rPr>
                        <w:t xml:space="preserve"> </w:t>
                      </w:r>
                      <w:r>
                        <w:rPr>
                          <w:rFonts w:ascii="Avenir Next Condensed"/>
                          <w:spacing w:val="-2"/>
                          <w:sz w:val="20"/>
                        </w:rPr>
                        <w:t>under</w:t>
                      </w:r>
                      <w:r>
                        <w:rPr>
                          <w:rFonts w:ascii="Avenir Next Condensed"/>
                          <w:spacing w:val="-4"/>
                          <w:sz w:val="20"/>
                        </w:rPr>
                        <w:t xml:space="preserve"> </w:t>
                      </w:r>
                      <w:r>
                        <w:rPr>
                          <w:rFonts w:ascii="Avenir Next Condensed"/>
                          <w:spacing w:val="-2"/>
                          <w:sz w:val="20"/>
                        </w:rPr>
                        <w:t>these</w:t>
                      </w:r>
                      <w:r>
                        <w:rPr>
                          <w:rFonts w:ascii="Avenir Next Condensed"/>
                          <w:spacing w:val="-4"/>
                          <w:sz w:val="20"/>
                        </w:rPr>
                        <w:t xml:space="preserve"> </w:t>
                      </w:r>
                      <w:r>
                        <w:rPr>
                          <w:rFonts w:ascii="Avenir Next Condensed"/>
                          <w:spacing w:val="-2"/>
                          <w:sz w:val="20"/>
                        </w:rPr>
                        <w:t>options.</w:t>
                      </w:r>
                      <w:r>
                        <w:rPr>
                          <w:rFonts w:ascii="Avenir Next Condensed"/>
                          <w:spacing w:val="-10"/>
                          <w:sz w:val="20"/>
                        </w:rPr>
                        <w:t xml:space="preserve"> </w:t>
                      </w:r>
                      <w:r>
                        <w:rPr>
                          <w:rFonts w:ascii="Avenir Next Condensed"/>
                          <w:spacing w:val="-3"/>
                          <w:sz w:val="20"/>
                        </w:rPr>
                        <w:t>However,</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amount</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3"/>
                          <w:sz w:val="20"/>
                        </w:rPr>
                        <w:t>depreciation</w:t>
                      </w:r>
                      <w:r>
                        <w:rPr>
                          <w:rFonts w:ascii="Avenir Next Condensed"/>
                          <w:spacing w:val="78"/>
                          <w:sz w:val="20"/>
                        </w:rPr>
                        <w:t xml:space="preserve"> </w:t>
                      </w:r>
                      <w:r>
                        <w:rPr>
                          <w:rFonts w:ascii="Avenir Next Condensed"/>
                          <w:spacing w:val="-3"/>
                          <w:sz w:val="20"/>
                        </w:rPr>
                        <w:t>recovered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current</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future</w:t>
                      </w:r>
                      <w:r>
                        <w:rPr>
                          <w:rFonts w:ascii="Avenir Next Condensed"/>
                          <w:spacing w:val="-4"/>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3"/>
                          <w:sz w:val="20"/>
                        </w:rPr>
                        <w:t>differ,</w:t>
                      </w:r>
                      <w:r>
                        <w:rPr>
                          <w:rFonts w:ascii="Avenir Next Condensed"/>
                          <w:spacing w:val="-10"/>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2"/>
                          <w:sz w:val="20"/>
                        </w:rPr>
                        <w:t>illustrated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1"/>
                          <w:sz w:val="20"/>
                        </w:rPr>
                        <w:t>figure</w:t>
                      </w:r>
                      <w:r>
                        <w:rPr>
                          <w:rFonts w:ascii="Avenir Next Condensed"/>
                          <w:spacing w:val="-4"/>
                          <w:sz w:val="20"/>
                        </w:rPr>
                        <w:t xml:space="preserve"> </w:t>
                      </w:r>
                      <w:r>
                        <w:rPr>
                          <w:rFonts w:ascii="Avenir Next Condensed"/>
                          <w:spacing w:val="-3"/>
                          <w:sz w:val="20"/>
                        </w:rPr>
                        <w:t>below.</w:t>
                      </w: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rPr>
                          <w:rFonts w:ascii="Avenir Next" w:eastAsia="Avenir Next" w:hAnsi="Avenir Next" w:cs="Avenir Next"/>
                          <w:b/>
                          <w:bCs/>
                          <w:sz w:val="20"/>
                          <w:szCs w:val="20"/>
                        </w:rPr>
                      </w:pPr>
                    </w:p>
                    <w:p w:rsidR="008A79D5" w:rsidRDefault="008A79D5">
                      <w:pPr>
                        <w:spacing w:before="3"/>
                        <w:rPr>
                          <w:rFonts w:ascii="Avenir Next" w:eastAsia="Avenir Next" w:hAnsi="Avenir Next" w:cs="Avenir Next"/>
                          <w:b/>
                          <w:bCs/>
                          <w:sz w:val="20"/>
                          <w:szCs w:val="20"/>
                        </w:rPr>
                      </w:pPr>
                    </w:p>
                    <w:p w:rsidR="008A79D5" w:rsidRDefault="008A79D5">
                      <w:pPr>
                        <w:tabs>
                          <w:tab w:val="left" w:pos="968"/>
                        </w:tabs>
                        <w:spacing w:line="260" w:lineRule="exact"/>
                        <w:ind w:left="170" w:right="336"/>
                        <w:rPr>
                          <w:rFonts w:ascii="Avenir Next Condensed"/>
                          <w:spacing w:val="-1"/>
                          <w:sz w:val="20"/>
                        </w:rPr>
                      </w:pPr>
                    </w:p>
                    <w:p w:rsidR="008A79D5" w:rsidRDefault="008A79D5">
                      <w:pPr>
                        <w:tabs>
                          <w:tab w:val="left" w:pos="968"/>
                        </w:tabs>
                        <w:spacing w:line="260" w:lineRule="exact"/>
                        <w:ind w:left="170" w:right="336"/>
                        <w:rPr>
                          <w:rFonts w:ascii="Avenir Next Condensed"/>
                          <w:spacing w:val="-1"/>
                          <w:sz w:val="20"/>
                        </w:rPr>
                      </w:pPr>
                    </w:p>
                    <w:p w:rsidR="008A79D5" w:rsidRDefault="008A79D5">
                      <w:pPr>
                        <w:tabs>
                          <w:tab w:val="left" w:pos="968"/>
                        </w:tabs>
                        <w:spacing w:line="260" w:lineRule="exact"/>
                        <w:ind w:left="170" w:right="336"/>
                        <w:rPr>
                          <w:rFonts w:ascii="Avenir Next Condensed"/>
                          <w:spacing w:val="-1"/>
                          <w:sz w:val="20"/>
                        </w:rPr>
                      </w:pPr>
                    </w:p>
                    <w:p w:rsidR="008A79D5" w:rsidRDefault="008A79D5">
                      <w:pPr>
                        <w:tabs>
                          <w:tab w:val="left" w:pos="968"/>
                        </w:tabs>
                        <w:spacing w:line="260" w:lineRule="exact"/>
                        <w:ind w:left="170" w:right="336"/>
                        <w:rPr>
                          <w:rFonts w:ascii="Avenir Next Condensed"/>
                          <w:spacing w:val="-1"/>
                          <w:sz w:val="20"/>
                        </w:rPr>
                      </w:pPr>
                    </w:p>
                    <w:p w:rsidR="008A79D5" w:rsidRDefault="008A79D5">
                      <w:pPr>
                        <w:tabs>
                          <w:tab w:val="left" w:pos="968"/>
                        </w:tabs>
                        <w:spacing w:line="260" w:lineRule="exact"/>
                        <w:ind w:left="170" w:right="336"/>
                        <w:rPr>
                          <w:rFonts w:ascii="Avenir Next Condensed"/>
                          <w:spacing w:val="-1"/>
                          <w:sz w:val="20"/>
                        </w:rPr>
                      </w:pPr>
                    </w:p>
                    <w:p w:rsidR="008A79D5" w:rsidRDefault="008A79D5">
                      <w:pPr>
                        <w:tabs>
                          <w:tab w:val="left" w:pos="968"/>
                        </w:tabs>
                        <w:spacing w:line="260" w:lineRule="exact"/>
                        <w:ind w:left="170" w:right="336"/>
                        <w:rPr>
                          <w:rFonts w:ascii="Avenir Next Condensed" w:eastAsia="Avenir Next Condensed" w:hAnsi="Avenir Next Condensed" w:cs="Avenir Next Condensed"/>
                          <w:sz w:val="20"/>
                          <w:szCs w:val="20"/>
                        </w:rPr>
                      </w:pPr>
                      <w:r>
                        <w:rPr>
                          <w:rFonts w:ascii="Avenir Next Condensed"/>
                          <w:spacing w:val="-1"/>
                          <w:sz w:val="20"/>
                        </w:rPr>
                        <w:t>As</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1"/>
                          <w:sz w:val="20"/>
                        </w:rPr>
                        <w:t>figur</w:t>
                      </w:r>
                      <w:r>
                        <w:rPr>
                          <w:rFonts w:ascii="Avenir Next Condensed"/>
                          <w:sz w:val="20"/>
                        </w:rPr>
                        <w:t>e</w:t>
                      </w:r>
                      <w:r>
                        <w:rPr>
                          <w:rFonts w:ascii="Avenir Next Condensed"/>
                          <w:spacing w:val="-4"/>
                          <w:sz w:val="20"/>
                        </w:rPr>
                        <w:t xml:space="preserve"> </w:t>
                      </w:r>
                      <w:r>
                        <w:rPr>
                          <w:rFonts w:ascii="Avenir Next Condensed"/>
                          <w:spacing w:val="-2"/>
                          <w:sz w:val="20"/>
                        </w:rPr>
                        <w:t>highlights,</w:t>
                      </w:r>
                      <w:r>
                        <w:rPr>
                          <w:rFonts w:ascii="Avenir Next Condensed"/>
                          <w:spacing w:val="-10"/>
                          <w:sz w:val="20"/>
                        </w:rPr>
                        <w:t xml:space="preserve"> </w:t>
                      </w:r>
                      <w:r>
                        <w:rPr>
                          <w:rFonts w:ascii="Avenir Next Condensed"/>
                          <w:spacing w:val="-1"/>
                          <w:sz w:val="20"/>
                        </w:rPr>
                        <w:t>if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weighted</w:t>
                      </w:r>
                      <w:r>
                        <w:rPr>
                          <w:rFonts w:ascii="Avenir Next Condensed"/>
                          <w:spacing w:val="-4"/>
                          <w:sz w:val="20"/>
                        </w:rPr>
                        <w:t xml:space="preserve"> </w:t>
                      </w:r>
                      <w:r>
                        <w:rPr>
                          <w:rFonts w:ascii="Avenir Next Condensed"/>
                          <w:spacing w:val="-2"/>
                          <w:sz w:val="20"/>
                        </w:rPr>
                        <w:t>average</w:t>
                      </w:r>
                      <w:r>
                        <w:rPr>
                          <w:rFonts w:ascii="Avenir Next Condensed"/>
                          <w:spacing w:val="-4"/>
                          <w:sz w:val="20"/>
                        </w:rPr>
                        <w:t xml:space="preserve"> </w:t>
                      </w:r>
                      <w:r>
                        <w:rPr>
                          <w:rFonts w:ascii="Avenir Next Condensed"/>
                          <w:spacing w:val="-2"/>
                          <w:sz w:val="20"/>
                        </w:rPr>
                        <w:t>approach</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2"/>
                          <w:sz w:val="20"/>
                        </w:rPr>
                        <w:t>(Option</w:t>
                      </w:r>
                      <w:r>
                        <w:rPr>
                          <w:rFonts w:ascii="Avenir Next Condensed"/>
                          <w:spacing w:val="-4"/>
                          <w:sz w:val="20"/>
                        </w:rPr>
                        <w:t xml:space="preserve"> </w:t>
                      </w:r>
                      <w:r>
                        <w:rPr>
                          <w:rFonts w:ascii="Avenir Next Condensed"/>
                          <w:spacing w:val="-2"/>
                          <w:sz w:val="20"/>
                        </w:rPr>
                        <w:t>1),</w:t>
                      </w:r>
                      <w:r>
                        <w:rPr>
                          <w:rFonts w:ascii="Avenir Next Condensed"/>
                          <w:spacing w:val="-10"/>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2"/>
                          <w:sz w:val="20"/>
                        </w:rPr>
                        <w:t>six</w:t>
                      </w:r>
                      <w:r>
                        <w:rPr>
                          <w:rFonts w:ascii="Avenir Next Condensed"/>
                          <w:spacing w:val="-4"/>
                          <w:sz w:val="20"/>
                        </w:rPr>
                        <w:t xml:space="preserve"> </w:t>
                      </w:r>
                      <w:r>
                        <w:rPr>
                          <w:rFonts w:ascii="Avenir Next Condensed"/>
                          <w:spacing w:val="-2"/>
                          <w:sz w:val="20"/>
                        </w:rPr>
                        <w:t>(year</w:t>
                      </w:r>
                      <w:r>
                        <w:rPr>
                          <w:rFonts w:ascii="Avenir Next Condensed"/>
                          <w:spacing w:val="-4"/>
                          <w:sz w:val="20"/>
                        </w:rPr>
                        <w:t xml:space="preserve"> </w:t>
                      </w:r>
                      <w:r>
                        <w:rPr>
                          <w:rFonts w:ascii="Avenir Next Condensed"/>
                          <w:spacing w:val="-2"/>
                          <w:sz w:val="20"/>
                        </w:rPr>
                        <w:t>21)</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still</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paying</w:t>
                      </w:r>
                      <w:r>
                        <w:rPr>
                          <w:rFonts w:ascii="Avenir Next Condensed"/>
                          <w:spacing w:val="-4"/>
                          <w:sz w:val="20"/>
                        </w:rPr>
                        <w:t xml:space="preserve"> </w:t>
                      </w:r>
                      <w:r>
                        <w:rPr>
                          <w:rFonts w:ascii="Avenir Next Condensed"/>
                          <w:spacing w:val="-2"/>
                          <w:sz w:val="20"/>
                        </w:rPr>
                        <w:t>for</w:t>
                      </w:r>
                      <w:r>
                        <w:rPr>
                          <w:rFonts w:ascii="Avenir Next Condensed"/>
                          <w:spacing w:val="54"/>
                          <w:sz w:val="20"/>
                        </w:rPr>
                        <w:t xml:space="preserve"> </w:t>
                      </w:r>
                      <w:r>
                        <w:rPr>
                          <w:rFonts w:ascii="Avenir Next Condensed"/>
                          <w:spacing w:val="-2"/>
                          <w:sz w:val="20"/>
                        </w:rPr>
                        <w:t>Asset</w:t>
                      </w:r>
                      <w:r>
                        <w:rPr>
                          <w:rFonts w:ascii="Avenir Next Condensed"/>
                          <w:spacing w:val="-4"/>
                          <w:sz w:val="20"/>
                        </w:rPr>
                        <w:t xml:space="preserve"> </w:t>
                      </w:r>
                      <w:r>
                        <w:rPr>
                          <w:rFonts w:ascii="Avenir Next Condensed"/>
                          <w:sz w:val="20"/>
                        </w:rPr>
                        <w:t>3</w:t>
                      </w:r>
                      <w:r>
                        <w:rPr>
                          <w:rFonts w:ascii="Avenir Next Condensed"/>
                          <w:spacing w:val="-4"/>
                          <w:sz w:val="20"/>
                        </w:rPr>
                        <w:t xml:space="preserve"> </w:t>
                      </w:r>
                      <w:r>
                        <w:rPr>
                          <w:rFonts w:ascii="Avenir Next Condensed"/>
                          <w:spacing w:val="-2"/>
                          <w:sz w:val="20"/>
                        </w:rPr>
                        <w:t>(Asset</w:t>
                      </w:r>
                      <w:r>
                        <w:rPr>
                          <w:rFonts w:ascii="Avenir Next Condensed"/>
                          <w:spacing w:val="-4"/>
                          <w:sz w:val="20"/>
                        </w:rPr>
                        <w:t xml:space="preserve"> </w:t>
                      </w:r>
                      <w:r>
                        <w:rPr>
                          <w:rFonts w:ascii="Avenir Next Condensed"/>
                          <w:spacing w:val="-1"/>
                          <w:sz w:val="20"/>
                        </w:rPr>
                        <w:t>2)</w:t>
                      </w:r>
                      <w:r>
                        <w:rPr>
                          <w:rFonts w:ascii="Avenir Next Condensed"/>
                          <w:spacing w:val="-4"/>
                          <w:sz w:val="20"/>
                        </w:rPr>
                        <w:t xml:space="preserve"> </w:t>
                      </w:r>
                      <w:r>
                        <w:rPr>
                          <w:rFonts w:ascii="Avenir Next Condensed"/>
                          <w:spacing w:val="-2"/>
                          <w:sz w:val="20"/>
                        </w:rPr>
                        <w:t>even</w:t>
                      </w:r>
                      <w:r>
                        <w:rPr>
                          <w:rFonts w:ascii="Avenir Next Condensed"/>
                          <w:spacing w:val="-4"/>
                          <w:sz w:val="20"/>
                        </w:rPr>
                        <w:t xml:space="preserve"> </w:t>
                      </w:r>
                      <w:r>
                        <w:rPr>
                          <w:rFonts w:ascii="Avenir Next Condensed"/>
                          <w:spacing w:val="-2"/>
                          <w:sz w:val="20"/>
                        </w:rPr>
                        <w:t>though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asset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1"/>
                          <w:sz w:val="20"/>
                        </w:rPr>
                        <w:t>no</w:t>
                      </w:r>
                      <w:r>
                        <w:rPr>
                          <w:rFonts w:ascii="Avenir Next Condensed"/>
                          <w:spacing w:val="-4"/>
                          <w:sz w:val="20"/>
                        </w:rPr>
                        <w:t xml:space="preserve"> </w:t>
                      </w:r>
                      <w:r>
                        <w:rPr>
                          <w:rFonts w:ascii="Avenir Next Condensed"/>
                          <w:spacing w:val="-2"/>
                          <w:sz w:val="20"/>
                        </w:rPr>
                        <w:t>longer</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use,</w:t>
                      </w:r>
                      <w:r>
                        <w:rPr>
                          <w:rFonts w:ascii="Avenir Next Condensed"/>
                          <w:spacing w:val="-10"/>
                          <w:sz w:val="20"/>
                        </w:rPr>
                        <w:t xml:space="preserve"> </w:t>
                      </w:r>
                      <w:r>
                        <w:rPr>
                          <w:rFonts w:ascii="Avenir Next Condensed"/>
                          <w:spacing w:val="-2"/>
                          <w:sz w:val="20"/>
                        </w:rPr>
                        <w:t>while</w:t>
                      </w:r>
                      <w:r>
                        <w:rPr>
                          <w:rFonts w:ascii="Avenir Next Condensed"/>
                          <w:spacing w:val="-4"/>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years</w:t>
                      </w:r>
                      <w:r>
                        <w:rPr>
                          <w:rFonts w:ascii="Avenir Next Condensed"/>
                          <w:spacing w:val="-4"/>
                          <w:sz w:val="20"/>
                        </w:rPr>
                        <w:t xml:space="preserve"> </w:t>
                      </w:r>
                      <w:r>
                        <w:rPr>
                          <w:rFonts w:ascii="Avenir Next Condensed"/>
                          <w:spacing w:val="-2"/>
                          <w:sz w:val="20"/>
                        </w:rPr>
                        <w:t>42-100</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pay</w:t>
                      </w:r>
                      <w:r>
                        <w:rPr>
                          <w:rFonts w:ascii="Avenir Next Condensed"/>
                          <w:spacing w:val="-4"/>
                          <w:sz w:val="20"/>
                        </w:rPr>
                        <w:t xml:space="preserve"> </w:t>
                      </w:r>
                      <w:r>
                        <w:rPr>
                          <w:rFonts w:ascii="Avenir Next Condensed"/>
                          <w:spacing w:val="-2"/>
                          <w:sz w:val="20"/>
                        </w:rPr>
                        <w:t>nothing</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use</w:t>
                      </w:r>
                      <w:r>
                        <w:rPr>
                          <w:rFonts w:ascii="Avenir Next Condensed"/>
                          <w:spacing w:val="-4"/>
                          <w:sz w:val="20"/>
                        </w:rPr>
                        <w:t xml:space="preserve"> </w:t>
                      </w:r>
                      <w:r>
                        <w:rPr>
                          <w:rFonts w:ascii="Avenir Next Condensed"/>
                          <w:spacing w:val="-1"/>
                          <w:sz w:val="20"/>
                        </w:rPr>
                        <w:t>of</w:t>
                      </w:r>
                      <w:r>
                        <w:rPr>
                          <w:rFonts w:ascii="Avenir Next Condensed"/>
                          <w:spacing w:val="-3"/>
                          <w:sz w:val="20"/>
                        </w:rPr>
                        <w:t xml:space="preserve"> </w:t>
                      </w:r>
                      <w:r>
                        <w:rPr>
                          <w:rFonts w:ascii="Avenir Next Condensed"/>
                          <w:spacing w:val="-2"/>
                          <w:sz w:val="20"/>
                        </w:rPr>
                        <w:t>Asset</w:t>
                      </w:r>
                      <w:r>
                        <w:rPr>
                          <w:rFonts w:ascii="Avenir Next Condensed"/>
                          <w:spacing w:val="-4"/>
                          <w:sz w:val="20"/>
                        </w:rPr>
                        <w:t xml:space="preserve"> </w:t>
                      </w:r>
                      <w:r>
                        <w:rPr>
                          <w:rFonts w:ascii="Avenir Next Condensed"/>
                          <w:sz w:val="20"/>
                        </w:rPr>
                        <w:t>1</w:t>
                      </w:r>
                      <w:r>
                        <w:rPr>
                          <w:rFonts w:ascii="Avenir Next Condensed"/>
                          <w:spacing w:val="58"/>
                          <w:sz w:val="20"/>
                        </w:rPr>
                        <w:t xml:space="preserve"> </w:t>
                      </w:r>
                      <w:r>
                        <w:rPr>
                          <w:rFonts w:ascii="Avenir Next Condensed"/>
                          <w:spacing w:val="-2"/>
                          <w:sz w:val="20"/>
                        </w:rPr>
                        <w:t>even</w:t>
                      </w:r>
                      <w:r>
                        <w:rPr>
                          <w:rFonts w:ascii="Avenir Next Condensed"/>
                          <w:spacing w:val="-4"/>
                          <w:sz w:val="20"/>
                        </w:rPr>
                        <w:t xml:space="preserve"> </w:t>
                      </w:r>
                      <w:r>
                        <w:rPr>
                          <w:rFonts w:ascii="Avenir Next Condensed"/>
                          <w:spacing w:val="-2"/>
                          <w:sz w:val="20"/>
                        </w:rPr>
                        <w:t>though</w:t>
                      </w:r>
                      <w:r>
                        <w:rPr>
                          <w:rFonts w:ascii="Avenir Next Condensed"/>
                          <w:spacing w:val="-4"/>
                          <w:sz w:val="20"/>
                        </w:rPr>
                        <w:t xml:space="preserve"> </w:t>
                      </w:r>
                      <w:r>
                        <w:rPr>
                          <w:rFonts w:ascii="Avenir Next Condensed"/>
                          <w:spacing w:val="-1"/>
                          <w:sz w:val="20"/>
                        </w:rPr>
                        <w:t>it</w:t>
                      </w:r>
                      <w:r>
                        <w:rPr>
                          <w:rFonts w:ascii="Avenir Next Condensed"/>
                          <w:spacing w:val="-4"/>
                          <w:sz w:val="20"/>
                        </w:rPr>
                        <w:t xml:space="preserve"> </w:t>
                      </w:r>
                      <w:r>
                        <w:rPr>
                          <w:rFonts w:ascii="Avenir Next Condensed"/>
                          <w:spacing w:val="-2"/>
                          <w:sz w:val="20"/>
                        </w:rPr>
                        <w:t>continues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be</w:t>
                      </w:r>
                      <w:r>
                        <w:rPr>
                          <w:rFonts w:ascii="Avenir Next Condensed"/>
                          <w:spacing w:val="-4"/>
                          <w:sz w:val="20"/>
                        </w:rPr>
                        <w:t xml:space="preserve"> </w:t>
                      </w:r>
                      <w:r>
                        <w:rPr>
                          <w:rFonts w:ascii="Avenir Next Condensed"/>
                          <w:spacing w:val="-2"/>
                          <w:sz w:val="20"/>
                        </w:rPr>
                        <w:t>used.</w:t>
                      </w:r>
                      <w:r>
                        <w:rPr>
                          <w:rFonts w:ascii="Avenir Next Condensed"/>
                          <w:spacing w:val="-10"/>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contrast,</w:t>
                      </w:r>
                      <w:r>
                        <w:rPr>
                          <w:rFonts w:ascii="Avenir Next Condensed"/>
                          <w:spacing w:val="-10"/>
                          <w:sz w:val="20"/>
                        </w:rPr>
                        <w:t xml:space="preserve"> </w:t>
                      </w:r>
                      <w:r>
                        <w:rPr>
                          <w:rFonts w:ascii="Avenir Next Condensed"/>
                          <w:spacing w:val="-1"/>
                          <w:sz w:val="20"/>
                        </w:rPr>
                        <w:t>if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economic</w:t>
                      </w:r>
                      <w:r>
                        <w:rPr>
                          <w:rFonts w:ascii="Avenir Next Condensed"/>
                          <w:spacing w:val="-4"/>
                          <w:sz w:val="20"/>
                        </w:rPr>
                        <w:t xml:space="preserve"> </w:t>
                      </w:r>
                      <w:r>
                        <w:rPr>
                          <w:rFonts w:ascii="Avenir Next Condensed"/>
                          <w:spacing w:val="-2"/>
                          <w:sz w:val="20"/>
                        </w:rPr>
                        <w:t>life</w:t>
                      </w:r>
                      <w:r>
                        <w:rPr>
                          <w:rFonts w:ascii="Avenir Next Condensed"/>
                          <w:spacing w:val="-4"/>
                          <w:sz w:val="20"/>
                        </w:rPr>
                        <w:t xml:space="preserve"> </w:t>
                      </w:r>
                      <w:r>
                        <w:rPr>
                          <w:rFonts w:ascii="Avenir Next Condensed"/>
                          <w:spacing w:val="-2"/>
                          <w:sz w:val="20"/>
                        </w:rPr>
                        <w:t>option</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2"/>
                          <w:sz w:val="20"/>
                        </w:rPr>
                        <w:t>will</w:t>
                      </w:r>
                      <w:r>
                        <w:rPr>
                          <w:rFonts w:ascii="Avenir Next Condensed"/>
                          <w:spacing w:val="-4"/>
                          <w:sz w:val="20"/>
                        </w:rPr>
                        <w:t xml:space="preserve"> </w:t>
                      </w:r>
                      <w:r>
                        <w:rPr>
                          <w:rFonts w:ascii="Avenir Next Condensed"/>
                          <w:spacing w:val="-2"/>
                          <w:sz w:val="20"/>
                        </w:rPr>
                        <w:t>only</w:t>
                      </w:r>
                      <w:r>
                        <w:rPr>
                          <w:rFonts w:ascii="Avenir Next Condensed"/>
                          <w:spacing w:val="-4"/>
                          <w:sz w:val="20"/>
                        </w:rPr>
                        <w:t xml:space="preserve"> </w:t>
                      </w:r>
                      <w:r>
                        <w:rPr>
                          <w:rFonts w:ascii="Avenir Next Condensed"/>
                          <w:spacing w:val="-2"/>
                          <w:sz w:val="20"/>
                        </w:rPr>
                        <w:t>pay</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assets</w:t>
                      </w:r>
                      <w:r>
                        <w:rPr>
                          <w:rFonts w:ascii="Avenir Next Condensed"/>
                          <w:spacing w:val="-4"/>
                          <w:sz w:val="20"/>
                        </w:rPr>
                        <w:t xml:space="preserve"> </w:t>
                      </w:r>
                      <w:r>
                        <w:rPr>
                          <w:rFonts w:ascii="Avenir Next Condensed"/>
                          <w:spacing w:val="-2"/>
                          <w:sz w:val="20"/>
                        </w:rPr>
                        <w:t>used</w:t>
                      </w:r>
                      <w:r>
                        <w:rPr>
                          <w:rFonts w:ascii="Avenir Next Condensed"/>
                          <w:spacing w:val="6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provision</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their</w:t>
                      </w:r>
                      <w:r>
                        <w:rPr>
                          <w:rFonts w:ascii="Avenir Next Condensed"/>
                          <w:spacing w:val="-4"/>
                          <w:sz w:val="20"/>
                        </w:rPr>
                        <w:t xml:space="preserve"> </w:t>
                      </w:r>
                      <w:r>
                        <w:rPr>
                          <w:rFonts w:ascii="Avenir Next Condensed"/>
                          <w:spacing w:val="-2"/>
                          <w:sz w:val="20"/>
                        </w:rPr>
                        <w:t>services.</w:t>
                      </w:r>
                    </w:p>
                  </w:txbxContent>
                </v:textbox>
              </v:shape>
            </v:group>
            <w10:wrap type="none"/>
            <w10:anchorlock/>
          </v:group>
        </w:pict>
      </w:r>
    </w:p>
    <w:p w:rsidR="00D96B91" w:rsidRDefault="00D96B91">
      <w:pPr>
        <w:spacing w:before="2"/>
        <w:rPr>
          <w:rFonts w:ascii="Avenir Next" w:eastAsia="Avenir Next" w:hAnsi="Avenir Next" w:cs="Avenir Next"/>
          <w:b/>
          <w:bCs/>
          <w:sz w:val="17"/>
          <w:szCs w:val="17"/>
        </w:rPr>
      </w:pPr>
    </w:p>
    <w:p w:rsidR="00D96B91" w:rsidRDefault="00C2656B">
      <w:pPr>
        <w:pStyle w:val="BodyText"/>
        <w:spacing w:before="38" w:line="260" w:lineRule="exact"/>
        <w:ind w:right="1548"/>
        <w:rPr>
          <w:sz w:val="11"/>
          <w:szCs w:val="11"/>
        </w:rPr>
      </w:pPr>
      <w:r>
        <w:t>Because of</w:t>
      </w:r>
      <w:r>
        <w:rPr>
          <w:spacing w:val="4"/>
        </w:rPr>
        <w:t xml:space="preserve"> </w:t>
      </w:r>
      <w:r>
        <w:t xml:space="preserve">these </w:t>
      </w:r>
      <w:r>
        <w:rPr>
          <w:spacing w:val="-1"/>
        </w:rPr>
        <w:t>effects,</w:t>
      </w:r>
      <w:r>
        <w:rPr>
          <w:spacing w:val="-7"/>
        </w:rPr>
        <w:t xml:space="preserve"> </w:t>
      </w:r>
      <w:r>
        <w:rPr>
          <w:spacing w:val="-1"/>
        </w:rPr>
        <w:t>regulators</w:t>
      </w:r>
      <w:r>
        <w:t xml:space="preserve"> </w:t>
      </w:r>
      <w:r>
        <w:rPr>
          <w:spacing w:val="-1"/>
        </w:rPr>
        <w:t>generally</w:t>
      </w:r>
      <w:r>
        <w:t xml:space="preserve"> </w:t>
      </w:r>
      <w:r>
        <w:rPr>
          <w:spacing w:val="-2"/>
        </w:rPr>
        <w:t>require</w:t>
      </w:r>
      <w:r>
        <w:t xml:space="preserve"> </w:t>
      </w:r>
      <w:r>
        <w:rPr>
          <w:spacing w:val="-1"/>
        </w:rPr>
        <w:t>depreciation</w:t>
      </w:r>
      <w:r>
        <w:t xml:space="preserve"> to be </w:t>
      </w:r>
      <w:r>
        <w:rPr>
          <w:spacing w:val="-1"/>
        </w:rPr>
        <w:t>calculated</w:t>
      </w:r>
      <w:r>
        <w:t xml:space="preserve"> </w:t>
      </w:r>
      <w:r>
        <w:rPr>
          <w:spacing w:val="-1"/>
        </w:rPr>
        <w:t>at</w:t>
      </w:r>
      <w:r>
        <w:t xml:space="preserve"> an asset class</w:t>
      </w:r>
      <w:r>
        <w:rPr>
          <w:spacing w:val="67"/>
        </w:rPr>
        <w:t xml:space="preserve"> </w:t>
      </w:r>
      <w:r>
        <w:t>level</w:t>
      </w:r>
      <w:r>
        <w:rPr>
          <w:spacing w:val="9"/>
        </w:rPr>
        <w:t xml:space="preserve"> </w:t>
      </w:r>
      <w:r>
        <w:rPr>
          <w:spacing w:val="-1"/>
        </w:rPr>
        <w:t>by:</w:t>
      </w:r>
      <w:r>
        <w:rPr>
          <w:spacing w:val="-1"/>
          <w:position w:val="7"/>
          <w:sz w:val="11"/>
        </w:rPr>
        <w:t>142</w:t>
      </w:r>
    </w:p>
    <w:p w:rsidR="00D96B91" w:rsidRDefault="00C2656B">
      <w:pPr>
        <w:pStyle w:val="BodyText"/>
        <w:numPr>
          <w:ilvl w:val="0"/>
          <w:numId w:val="131"/>
        </w:numPr>
        <w:tabs>
          <w:tab w:val="left" w:pos="1531"/>
        </w:tabs>
        <w:spacing w:before="170" w:line="260" w:lineRule="exact"/>
        <w:ind w:right="1494" w:hanging="283"/>
      </w:pPr>
      <w:r>
        <w:rPr>
          <w:spacing w:val="-1"/>
        </w:rPr>
        <w:t>disaggregating</w:t>
      </w:r>
      <w:r>
        <w:t xml:space="preserve"> the value of</w:t>
      </w:r>
      <w:r>
        <w:rPr>
          <w:spacing w:val="4"/>
        </w:rPr>
        <w:t xml:space="preserve"> </w:t>
      </w:r>
      <w:r>
        <w:t xml:space="preserve">the RAB and </w:t>
      </w:r>
      <w:r>
        <w:rPr>
          <w:spacing w:val="-1"/>
        </w:rPr>
        <w:t>forecast</w:t>
      </w:r>
      <w:r>
        <w:t xml:space="preserve"> capital </w:t>
      </w:r>
      <w:r>
        <w:rPr>
          <w:spacing w:val="-1"/>
        </w:rPr>
        <w:t>expenditure</w:t>
      </w:r>
      <w:r>
        <w:t xml:space="preserve"> into asset classes (eg,</w:t>
      </w:r>
      <w:r>
        <w:rPr>
          <w:spacing w:val="-7"/>
        </w:rPr>
        <w:t xml:space="preserve"> </w:t>
      </w:r>
      <w:r>
        <w:t>dams,</w:t>
      </w:r>
      <w:r>
        <w:rPr>
          <w:spacing w:val="33"/>
        </w:rPr>
        <w:t xml:space="preserve"> </w:t>
      </w:r>
      <w:r>
        <w:rPr>
          <w:spacing w:val="-1"/>
        </w:rPr>
        <w:t>reservoirs,</w:t>
      </w:r>
      <w:r>
        <w:rPr>
          <w:spacing w:val="-6"/>
        </w:rPr>
        <w:t xml:space="preserve"> </w:t>
      </w:r>
      <w:r>
        <w:rPr>
          <w:spacing w:val="-1"/>
        </w:rPr>
        <w:t>water</w:t>
      </w:r>
      <w:r>
        <w:t xml:space="preserve"> supply mains,</w:t>
      </w:r>
      <w:r>
        <w:rPr>
          <w:spacing w:val="-6"/>
        </w:rPr>
        <w:t xml:space="preserve"> </w:t>
      </w:r>
      <w:r>
        <w:rPr>
          <w:spacing w:val="-1"/>
        </w:rPr>
        <w:t>water</w:t>
      </w:r>
      <w:r>
        <w:t xml:space="preserve"> </w:t>
      </w:r>
      <w:r>
        <w:rPr>
          <w:spacing w:val="-1"/>
        </w:rPr>
        <w:t>treatment</w:t>
      </w:r>
      <w:r>
        <w:t xml:space="preserve"> plants,</w:t>
      </w:r>
      <w:r>
        <w:rPr>
          <w:spacing w:val="-6"/>
        </w:rPr>
        <w:t xml:space="preserve"> </w:t>
      </w:r>
      <w:r>
        <w:rPr>
          <w:spacing w:val="-1"/>
        </w:rPr>
        <w:t>water</w:t>
      </w:r>
      <w:r>
        <w:t xml:space="preserve"> pump </w:t>
      </w:r>
      <w:r>
        <w:rPr>
          <w:spacing w:val="-1"/>
        </w:rPr>
        <w:t>stations,</w:t>
      </w:r>
      <w:r>
        <w:rPr>
          <w:spacing w:val="-6"/>
        </w:rPr>
        <w:t xml:space="preserve"> </w:t>
      </w:r>
      <w:r>
        <w:t>meters,</w:t>
      </w:r>
      <w:r>
        <w:rPr>
          <w:spacing w:val="-6"/>
        </w:rPr>
        <w:t xml:space="preserve"> IT, </w:t>
      </w:r>
      <w:r>
        <w:t>buildings,</w:t>
      </w:r>
      <w:r>
        <w:rPr>
          <w:spacing w:val="51"/>
        </w:rPr>
        <w:t xml:space="preserve"> </w:t>
      </w:r>
      <w:r>
        <w:t>vehicles,</w:t>
      </w:r>
      <w:r>
        <w:rPr>
          <w:spacing w:val="-6"/>
        </w:rPr>
        <w:t xml:space="preserve"> </w:t>
      </w:r>
      <w:r>
        <w:t xml:space="preserve">land and other </w:t>
      </w:r>
      <w:r>
        <w:rPr>
          <w:spacing w:val="-1"/>
        </w:rPr>
        <w:t>non-depreciable</w:t>
      </w:r>
      <w:r>
        <w:t xml:space="preserve"> assets),</w:t>
      </w:r>
      <w:r>
        <w:rPr>
          <w:spacing w:val="-6"/>
        </w:rPr>
        <w:t xml:space="preserve"> </w:t>
      </w:r>
      <w:r>
        <w:t>and</w:t>
      </w:r>
    </w:p>
    <w:p w:rsidR="00D96B91" w:rsidRDefault="00C2656B">
      <w:pPr>
        <w:pStyle w:val="BodyText"/>
        <w:numPr>
          <w:ilvl w:val="0"/>
          <w:numId w:val="131"/>
        </w:numPr>
        <w:tabs>
          <w:tab w:val="left" w:pos="1531"/>
        </w:tabs>
        <w:spacing w:before="93"/>
        <w:ind w:hanging="283"/>
      </w:pPr>
      <w:r>
        <w:t>applying</w:t>
      </w:r>
      <w:r>
        <w:rPr>
          <w:spacing w:val="-2"/>
        </w:rPr>
        <w:t xml:space="preserve"> </w:t>
      </w:r>
      <w:r>
        <w:t>asset</w:t>
      </w:r>
      <w:r>
        <w:rPr>
          <w:spacing w:val="-1"/>
        </w:rPr>
        <w:t xml:space="preserve"> </w:t>
      </w:r>
      <w:r>
        <w:t>class-specific</w:t>
      </w:r>
      <w:r>
        <w:rPr>
          <w:spacing w:val="-1"/>
        </w:rPr>
        <w:t xml:space="preserve"> </w:t>
      </w:r>
      <w:r>
        <w:t>economic</w:t>
      </w:r>
      <w:r>
        <w:rPr>
          <w:spacing w:val="-1"/>
        </w:rPr>
        <w:t xml:space="preserve"> </w:t>
      </w:r>
      <w:r>
        <w:t>lives</w:t>
      </w:r>
      <w:r>
        <w:rPr>
          <w:spacing w:val="-1"/>
        </w:rPr>
        <w:t xml:space="preserve"> </w:t>
      </w:r>
      <w:r>
        <w:t>to</w:t>
      </w:r>
      <w:r>
        <w:rPr>
          <w:spacing w:val="-1"/>
        </w:rPr>
        <w:t xml:space="preserve"> each </w:t>
      </w:r>
      <w:r>
        <w:t>of</w:t>
      </w:r>
      <w:r>
        <w:rPr>
          <w:spacing w:val="3"/>
        </w:rPr>
        <w:t xml:space="preserve"> </w:t>
      </w:r>
      <w:r>
        <w:t>the</w:t>
      </w:r>
      <w:r>
        <w:rPr>
          <w:spacing w:val="-1"/>
        </w:rPr>
        <w:t xml:space="preserve"> depreciable </w:t>
      </w:r>
      <w:r>
        <w:t>asset</w:t>
      </w:r>
      <w:r>
        <w:rPr>
          <w:spacing w:val="-1"/>
        </w:rPr>
        <w:t xml:space="preserve"> </w:t>
      </w:r>
      <w:r>
        <w:t>classes.</w:t>
      </w:r>
    </w:p>
    <w:p w:rsidR="00D96B91" w:rsidRDefault="00C2656B">
      <w:pPr>
        <w:pStyle w:val="Heading7"/>
        <w:numPr>
          <w:ilvl w:val="3"/>
          <w:numId w:val="70"/>
        </w:numPr>
        <w:tabs>
          <w:tab w:val="left" w:pos="2212"/>
        </w:tabs>
        <w:spacing w:before="169"/>
        <w:rPr>
          <w:b w:val="0"/>
          <w:bCs w:val="0"/>
        </w:rPr>
      </w:pPr>
      <w:r>
        <w:rPr>
          <w:color w:val="0778BE"/>
          <w:spacing w:val="-4"/>
        </w:rPr>
        <w:t>Panel’s</w:t>
      </w:r>
      <w:r>
        <w:rPr>
          <w:color w:val="0778BE"/>
        </w:rPr>
        <w:t xml:space="preserve"> </w:t>
      </w:r>
      <w:r>
        <w:rPr>
          <w:color w:val="0778BE"/>
          <w:spacing w:val="-2"/>
        </w:rPr>
        <w:t>draft</w:t>
      </w:r>
      <w:r>
        <w:rPr>
          <w:color w:val="0778BE"/>
        </w:rPr>
        <w:t xml:space="preserve"> decision on asset lives</w:t>
      </w:r>
    </w:p>
    <w:p w:rsidR="00D96B91" w:rsidRDefault="00C2656B">
      <w:pPr>
        <w:pStyle w:val="BodyText"/>
        <w:spacing w:before="28" w:line="260" w:lineRule="exact"/>
        <w:ind w:right="1548"/>
        <w:rPr>
          <w:rFonts w:cs="Avenir Next"/>
        </w:rPr>
      </w:pPr>
      <w:r>
        <w:rPr>
          <w:spacing w:val="-2"/>
        </w:rPr>
        <w:t>Ideally,</w:t>
      </w:r>
      <w:r>
        <w:rPr>
          <w:spacing w:val="-7"/>
        </w:rPr>
        <w:t xml:space="preserve"> </w:t>
      </w:r>
      <w:r>
        <w:t>and</w:t>
      </w:r>
      <w:r>
        <w:rPr>
          <w:spacing w:val="-1"/>
        </w:rPr>
        <w:t xml:space="preserve"> </w:t>
      </w:r>
      <w:r>
        <w:t>having</w:t>
      </w:r>
      <w:r>
        <w:rPr>
          <w:spacing w:val="-1"/>
        </w:rPr>
        <w:t xml:space="preserve"> </w:t>
      </w:r>
      <w:r>
        <w:rPr>
          <w:spacing w:val="-2"/>
        </w:rPr>
        <w:t>regard</w:t>
      </w:r>
      <w:r>
        <w:rPr>
          <w:spacing w:val="-1"/>
        </w:rPr>
        <w:t xml:space="preserve"> </w:t>
      </w:r>
      <w:r>
        <w:t>to</w:t>
      </w:r>
      <w:r>
        <w:rPr>
          <w:spacing w:val="-1"/>
        </w:rPr>
        <w:t xml:space="preserve"> </w:t>
      </w:r>
      <w:r>
        <w:t>the</w:t>
      </w:r>
      <w:r>
        <w:rPr>
          <w:spacing w:val="-1"/>
        </w:rPr>
        <w:t xml:space="preserve"> </w:t>
      </w:r>
      <w:r>
        <w:t>benefits</w:t>
      </w:r>
      <w:r>
        <w:rPr>
          <w:spacing w:val="-1"/>
        </w:rPr>
        <w:t xml:space="preserve"> </w:t>
      </w:r>
      <w:r>
        <w:t>cited</w:t>
      </w:r>
      <w:r>
        <w:rPr>
          <w:spacing w:val="-1"/>
        </w:rPr>
        <w:t xml:space="preserve"> </w:t>
      </w:r>
      <w:r>
        <w:t>above about</w:t>
      </w:r>
      <w:r>
        <w:rPr>
          <w:spacing w:val="-1"/>
        </w:rPr>
        <w:t xml:space="preserve"> </w:t>
      </w:r>
      <w:r>
        <w:t>the</w:t>
      </w:r>
      <w:r>
        <w:rPr>
          <w:spacing w:val="-1"/>
        </w:rPr>
        <w:t xml:space="preserve"> </w:t>
      </w:r>
      <w:r>
        <w:t>use</w:t>
      </w:r>
      <w:r>
        <w:rPr>
          <w:spacing w:val="-1"/>
        </w:rPr>
        <w:t xml:space="preserve"> </w:t>
      </w:r>
      <w:r>
        <w:t>of</w:t>
      </w:r>
      <w:r>
        <w:rPr>
          <w:spacing w:val="3"/>
        </w:rPr>
        <w:t xml:space="preserve"> </w:t>
      </w:r>
      <w:r>
        <w:t>the</w:t>
      </w:r>
      <w:r>
        <w:rPr>
          <w:spacing w:val="-1"/>
        </w:rPr>
        <w:t xml:space="preserve"> </w:t>
      </w:r>
      <w:r>
        <w:t>asset</w:t>
      </w:r>
      <w:r>
        <w:rPr>
          <w:spacing w:val="-1"/>
        </w:rPr>
        <w:t xml:space="preserve"> </w:t>
      </w:r>
      <w:r>
        <w:t>specific</w:t>
      </w:r>
      <w:r>
        <w:rPr>
          <w:spacing w:val="-1"/>
        </w:rPr>
        <w:t xml:space="preserve"> </w:t>
      </w:r>
      <w:r>
        <w:t>economic</w:t>
      </w:r>
      <w:r>
        <w:rPr>
          <w:spacing w:val="21"/>
        </w:rPr>
        <w:t xml:space="preserve"> </w:t>
      </w:r>
      <w:r>
        <w:rPr>
          <w:rFonts w:cs="Avenir Next"/>
        </w:rPr>
        <w:t>lives,</w:t>
      </w:r>
      <w:r>
        <w:rPr>
          <w:rFonts w:cs="Avenir Next"/>
          <w:spacing w:val="-6"/>
        </w:rPr>
        <w:t xml:space="preserve"> </w:t>
      </w:r>
      <w:r>
        <w:rPr>
          <w:rFonts w:cs="Avenir Next"/>
        </w:rPr>
        <w:t xml:space="preserve">the </w:t>
      </w:r>
      <w:r>
        <w:rPr>
          <w:rFonts w:cs="Avenir Next"/>
          <w:spacing w:val="-4"/>
        </w:rPr>
        <w:t>Panel’s</w:t>
      </w:r>
      <w:r>
        <w:rPr>
          <w:rFonts w:cs="Avenir Next"/>
        </w:rPr>
        <w:t xml:space="preserve"> </w:t>
      </w:r>
      <w:r>
        <w:rPr>
          <w:rFonts w:cs="Avenir Next"/>
          <w:spacing w:val="-1"/>
        </w:rPr>
        <w:t>preference</w:t>
      </w:r>
      <w:r>
        <w:rPr>
          <w:rFonts w:cs="Avenir Next"/>
        </w:rPr>
        <w:t xml:space="preserve"> is to </w:t>
      </w:r>
      <w:r>
        <w:rPr>
          <w:rFonts w:cs="Avenir Next"/>
          <w:spacing w:val="-1"/>
        </w:rPr>
        <w:t>calculate</w:t>
      </w:r>
      <w:r>
        <w:rPr>
          <w:rFonts w:cs="Avenir Next"/>
        </w:rPr>
        <w:t xml:space="preserve"> </w:t>
      </w:r>
      <w:r>
        <w:rPr>
          <w:rFonts w:cs="Avenir Next"/>
          <w:spacing w:val="-1"/>
        </w:rPr>
        <w:t>depreciation</w:t>
      </w:r>
      <w:r>
        <w:rPr>
          <w:rFonts w:cs="Avenir Next"/>
        </w:rPr>
        <w:t xml:space="preserve"> by:</w:t>
      </w: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11" style="width:72.5pt;height:.5pt;mso-position-horizontal-relative:char;mso-position-vertical-relative:line" coordsize="1450,10">
            <v:group id="_x0000_s3112" style="position:absolute;left:5;top:5;width:1440;height:2" coordorigin="5,5" coordsize="1440,2">
              <v:shape id="_x0000_s3113"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45" w:line="192" w:lineRule="exact"/>
        <w:ind w:right="1423" w:hanging="510"/>
        <w:rPr>
          <w:rFonts w:ascii="Avenir Next" w:eastAsia="Avenir Next" w:hAnsi="Avenir Next" w:cs="Avenir Next"/>
          <w:sz w:val="16"/>
          <w:szCs w:val="16"/>
        </w:rPr>
      </w:pPr>
      <w:r>
        <w:rPr>
          <w:rFonts w:ascii="Avenir Next" w:eastAsia="Avenir Next" w:hAnsi="Avenir Next" w:cs="Avenir Next"/>
          <w:sz w:val="16"/>
          <w:szCs w:val="16"/>
        </w:rPr>
        <w:t xml:space="preserve">See for </w:t>
      </w:r>
      <w:r>
        <w:rPr>
          <w:rFonts w:ascii="Avenir Next" w:eastAsia="Avenir Next" w:hAnsi="Avenir Next" w:cs="Avenir Next"/>
          <w:spacing w:val="-1"/>
          <w:sz w:val="16"/>
          <w:szCs w:val="16"/>
        </w:rPr>
        <w:t>example</w:t>
      </w:r>
      <w:r>
        <w:rPr>
          <w:rFonts w:ascii="Avenir Next" w:eastAsia="Avenir Next" w:hAnsi="Avenir Next" w:cs="Avenir Next"/>
          <w:sz w:val="16"/>
          <w:szCs w:val="16"/>
        </w:rPr>
        <w:t xml:space="preserve"> </w:t>
      </w:r>
      <w:r>
        <w:rPr>
          <w:rFonts w:ascii="Avenir Next" w:eastAsia="Avenir Next" w:hAnsi="Avenir Next" w:cs="Avenir Next"/>
          <w:spacing w:val="-5"/>
          <w:sz w:val="16"/>
          <w:szCs w:val="16"/>
        </w:rPr>
        <w:t xml:space="preserve">IPART,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pacing w:val="111"/>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 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87-89,</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ESCOSA,</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Determination</w:t>
      </w:r>
      <w:r>
        <w:rPr>
          <w:rFonts w:ascii="Avenir Next" w:eastAsia="Avenir Next" w:hAnsi="Avenir Next" w:cs="Avenir Next"/>
          <w:sz w:val="16"/>
          <w:szCs w:val="16"/>
        </w:rPr>
        <w:t xml:space="preserve"> - SA</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Water’s 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pacing w:val="69"/>
          <w:sz w:val="16"/>
          <w:szCs w:val="16"/>
        </w:rPr>
        <w:t xml:space="preserve"> </w:t>
      </w:r>
      <w:r>
        <w:rPr>
          <w:rFonts w:ascii="Avenir Next" w:eastAsia="Avenir Next" w:hAnsi="Avenir Next" w:cs="Avenir Next"/>
          <w:spacing w:val="-1"/>
          <w:sz w:val="16"/>
          <w:szCs w:val="16"/>
        </w:rPr>
        <w:t>Revenues</w:t>
      </w:r>
      <w:r>
        <w:rPr>
          <w:rFonts w:ascii="Avenir Next" w:eastAsia="Avenir Next" w:hAnsi="Avenir Next" w:cs="Avenir Next"/>
          <w:sz w:val="16"/>
          <w:szCs w:val="16"/>
        </w:rPr>
        <w:t xml:space="preserve"> 2013-14-2015-16,</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May 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160-161,</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Draft</w:t>
      </w:r>
      <w:r>
        <w:rPr>
          <w:rFonts w:ascii="Avenir Next" w:eastAsia="Avenir Next" w:hAnsi="Avenir Next" w:cs="Avenir Next"/>
          <w:sz w:val="16"/>
          <w:szCs w:val="16"/>
        </w:rPr>
        <w:t xml:space="preserve"> Decision on </w:t>
      </w:r>
      <w:r>
        <w:rPr>
          <w:rFonts w:ascii="Avenir Next" w:eastAsia="Avenir Next" w:hAnsi="Avenir Next" w:cs="Avenir Next"/>
          <w:spacing w:val="-1"/>
          <w:sz w:val="16"/>
          <w:szCs w:val="16"/>
        </w:rPr>
        <w:t>State</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Pricing</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Application:</w:t>
      </w:r>
      <w:r>
        <w:rPr>
          <w:rFonts w:ascii="Avenir Next" w:eastAsia="Avenir Next" w:hAnsi="Avenir Next" w:cs="Avenir Next"/>
          <w:sz w:val="16"/>
          <w:szCs w:val="16"/>
        </w:rPr>
        <w:t xml:space="preserve"> 2014-15 –</w:t>
      </w:r>
      <w:r>
        <w:rPr>
          <w:rFonts w:ascii="Avenir Next" w:eastAsia="Avenir Next" w:hAnsi="Avenir Next" w:cs="Avenir Next"/>
          <w:spacing w:val="63"/>
          <w:sz w:val="16"/>
          <w:szCs w:val="16"/>
        </w:rPr>
        <w:t xml:space="preserve"> </w:t>
      </w:r>
      <w:r>
        <w:rPr>
          <w:rFonts w:ascii="Avenir Next" w:eastAsia="Avenir Next" w:hAnsi="Avenir Next" w:cs="Avenir Next"/>
          <w:sz w:val="16"/>
          <w:szCs w:val="16"/>
        </w:rPr>
        <w:t>2016-17,</w:t>
      </w:r>
      <w:r>
        <w:rPr>
          <w:rFonts w:ascii="Avenir Next" w:eastAsia="Avenir Next" w:hAnsi="Avenir Next" w:cs="Avenir Next"/>
          <w:spacing w:val="-8"/>
          <w:sz w:val="16"/>
          <w:szCs w:val="16"/>
        </w:rPr>
        <w:t xml:space="preserve"> </w:t>
      </w:r>
      <w:r>
        <w:rPr>
          <w:rFonts w:ascii="Avenir Next" w:eastAsia="Avenir Next" w:hAnsi="Avenir Next" w:cs="Avenir Next"/>
          <w:spacing w:val="-1"/>
          <w:sz w:val="16"/>
          <w:szCs w:val="16"/>
        </w:rPr>
        <w:t>Attachment</w:t>
      </w:r>
      <w:r>
        <w:rPr>
          <w:rFonts w:ascii="Avenir Next" w:eastAsia="Avenir Next" w:hAnsi="Avenir Next" w:cs="Avenir Next"/>
          <w:sz w:val="16"/>
          <w:szCs w:val="16"/>
        </w:rPr>
        <w:t xml:space="preserve"> 6,</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March</w:t>
      </w:r>
      <w:r>
        <w:rPr>
          <w:rFonts w:ascii="Avenir Next" w:eastAsia="Avenir Next" w:hAnsi="Avenir Next" w:cs="Avenir Next"/>
          <w:sz w:val="16"/>
          <w:szCs w:val="16"/>
        </w:rPr>
        <w:t xml:space="preserve"> 2014 and</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AER,</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Post</w:t>
      </w:r>
      <w:r>
        <w:rPr>
          <w:rFonts w:ascii="Avenir Next" w:eastAsia="Avenir Next" w:hAnsi="Avenir Next" w:cs="Avenir Next"/>
          <w:spacing w:val="-4"/>
          <w:sz w:val="16"/>
          <w:szCs w:val="16"/>
        </w:rPr>
        <w:t xml:space="preserve"> </w:t>
      </w:r>
      <w:r>
        <w:rPr>
          <w:rFonts w:ascii="Avenir Next" w:eastAsia="Avenir Next" w:hAnsi="Avenir Next" w:cs="Avenir Next"/>
          <w:spacing w:val="-6"/>
          <w:sz w:val="16"/>
          <w:szCs w:val="16"/>
        </w:rPr>
        <w:t>Tax</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Model Handbook,</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December 2010,</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4.</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444" w:hanging="283"/>
        <w:rPr>
          <w:rFonts w:cs="Avenir Next"/>
        </w:rPr>
      </w:pPr>
      <w:r>
        <w:rPr>
          <w:spacing w:val="-1"/>
        </w:rPr>
        <w:t>disaggregating</w:t>
      </w:r>
      <w:r>
        <w:t xml:space="preserve"> the value of</w:t>
      </w:r>
      <w:r>
        <w:rPr>
          <w:spacing w:val="4"/>
        </w:rPr>
        <w:t xml:space="preserve"> </w:t>
      </w:r>
      <w:r>
        <w:t xml:space="preserve">the </w:t>
      </w:r>
      <w:r>
        <w:rPr>
          <w:spacing w:val="-1"/>
        </w:rPr>
        <w:t>water</w:t>
      </w:r>
      <w:r>
        <w:t xml:space="preserve"> and </w:t>
      </w:r>
      <w:r>
        <w:rPr>
          <w:spacing w:val="-1"/>
        </w:rPr>
        <w:t>sewerage</w:t>
      </w:r>
      <w:r>
        <w:t xml:space="preserve"> assets in </w:t>
      </w:r>
      <w:r>
        <w:rPr>
          <w:spacing w:val="-1"/>
        </w:rPr>
        <w:t>existence</w:t>
      </w:r>
      <w:r>
        <w:t xml:space="preserve"> </w:t>
      </w:r>
      <w:r>
        <w:rPr>
          <w:spacing w:val="-2"/>
        </w:rPr>
        <w:t>at</w:t>
      </w:r>
      <w:r>
        <w:t xml:space="preserve"> the commencement of</w:t>
      </w:r>
      <w:r>
        <w:rPr>
          <w:spacing w:val="47"/>
        </w:rPr>
        <w:t xml:space="preserve"> </w:t>
      </w:r>
      <w:r>
        <w:t xml:space="preserve">the </w:t>
      </w:r>
      <w:r>
        <w:rPr>
          <w:spacing w:val="-1"/>
        </w:rPr>
        <w:t>regulatory</w:t>
      </w:r>
      <w:r>
        <w:t xml:space="preserve"> period into asset</w:t>
      </w:r>
      <w:r>
        <w:rPr>
          <w:spacing w:val="1"/>
        </w:rPr>
        <w:t xml:space="preserve"> </w:t>
      </w:r>
      <w:r>
        <w:t>classes</w:t>
      </w:r>
      <w:r>
        <w:rPr>
          <w:position w:val="7"/>
          <w:sz w:val="11"/>
        </w:rPr>
        <w:t>143</w:t>
      </w:r>
      <w:r>
        <w:rPr>
          <w:spacing w:val="22"/>
          <w:position w:val="7"/>
          <w:sz w:val="11"/>
        </w:rPr>
        <w:t xml:space="preserve"> </w:t>
      </w:r>
      <w:r>
        <w:t>and applying</w:t>
      </w:r>
      <w:r>
        <w:rPr>
          <w:spacing w:val="1"/>
        </w:rPr>
        <w:t xml:space="preserve"> </w:t>
      </w:r>
      <w:r>
        <w:t xml:space="preserve">an asset class specific </w:t>
      </w:r>
      <w:r>
        <w:rPr>
          <w:i/>
          <w:spacing w:val="-1"/>
        </w:rPr>
        <w:t>remaining</w:t>
      </w:r>
      <w:r>
        <w:rPr>
          <w:i/>
          <w:spacing w:val="1"/>
        </w:rPr>
        <w:t xml:space="preserve"> </w:t>
      </w:r>
      <w:r>
        <w:t>economic</w:t>
      </w:r>
      <w:r>
        <w:rPr>
          <w:spacing w:val="30"/>
        </w:rPr>
        <w:t xml:space="preserve"> </w:t>
      </w:r>
      <w:r>
        <w:t xml:space="preserve">life to </w:t>
      </w:r>
      <w:r>
        <w:rPr>
          <w:spacing w:val="-1"/>
        </w:rPr>
        <w:t>each</w:t>
      </w:r>
      <w:r>
        <w:t xml:space="preserve"> asset class,</w:t>
      </w:r>
      <w:r>
        <w:rPr>
          <w:spacing w:val="-6"/>
        </w:rPr>
        <w:t xml:space="preserve"> </w:t>
      </w:r>
      <w:r>
        <w:t>and</w:t>
      </w:r>
    </w:p>
    <w:p w:rsidR="00D96B91" w:rsidRDefault="00C2656B">
      <w:pPr>
        <w:pStyle w:val="BodyText"/>
        <w:numPr>
          <w:ilvl w:val="0"/>
          <w:numId w:val="131"/>
        </w:numPr>
        <w:tabs>
          <w:tab w:val="left" w:pos="1531"/>
        </w:tabs>
        <w:spacing w:before="85" w:line="260" w:lineRule="exact"/>
        <w:ind w:right="1525" w:hanging="283"/>
      </w:pPr>
      <w:r>
        <w:rPr>
          <w:rFonts w:cs="Avenir Next"/>
          <w:spacing w:val="-1"/>
        </w:rPr>
        <w:t>disaggregating</w:t>
      </w:r>
      <w:r>
        <w:rPr>
          <w:rFonts w:cs="Avenir Next"/>
        </w:rPr>
        <w:t xml:space="preserve"> the value of</w:t>
      </w:r>
      <w:r>
        <w:rPr>
          <w:rFonts w:cs="Avenir Next"/>
          <w:spacing w:val="1"/>
        </w:rPr>
        <w:t xml:space="preserve"> </w:t>
      </w:r>
      <w:r>
        <w:rPr>
          <w:rFonts w:cs="Avenir Next"/>
          <w:spacing w:val="-2"/>
        </w:rPr>
        <w:t>ACTEW’s</w:t>
      </w:r>
      <w:r>
        <w:rPr>
          <w:rFonts w:cs="Avenir Next"/>
        </w:rPr>
        <w:t xml:space="preserve"> </w:t>
      </w:r>
      <w:r>
        <w:rPr>
          <w:rFonts w:cs="Avenir Next"/>
          <w:spacing w:val="-1"/>
        </w:rPr>
        <w:t>proposed</w:t>
      </w:r>
      <w:r>
        <w:rPr>
          <w:rFonts w:cs="Avenir Next"/>
        </w:rPr>
        <w:t xml:space="preserve"> capital </w:t>
      </w:r>
      <w:r>
        <w:rPr>
          <w:rFonts w:cs="Avenir Next"/>
          <w:spacing w:val="-1"/>
        </w:rPr>
        <w:t>expenditure</w:t>
      </w:r>
      <w:r>
        <w:rPr>
          <w:rFonts w:cs="Avenir Next"/>
        </w:rPr>
        <w:t xml:space="preserve"> for the </w:t>
      </w:r>
      <w:r>
        <w:rPr>
          <w:rFonts w:cs="Avenir Next"/>
          <w:spacing w:val="-1"/>
        </w:rPr>
        <w:t>regulatory</w:t>
      </w:r>
      <w:r>
        <w:rPr>
          <w:rFonts w:cs="Avenir Next"/>
        </w:rPr>
        <w:t xml:space="preserve"> period into</w:t>
      </w:r>
      <w:r>
        <w:rPr>
          <w:rFonts w:cs="Avenir Next"/>
          <w:spacing w:val="43"/>
        </w:rPr>
        <w:t xml:space="preserve"> </w:t>
      </w:r>
      <w:r>
        <w:t>asset</w:t>
      </w:r>
      <w:r>
        <w:rPr>
          <w:spacing w:val="-1"/>
        </w:rPr>
        <w:t xml:space="preserve"> </w:t>
      </w:r>
      <w:r>
        <w:t>classes and</w:t>
      </w:r>
      <w:r>
        <w:rPr>
          <w:spacing w:val="-1"/>
        </w:rPr>
        <w:t xml:space="preserve"> </w:t>
      </w:r>
      <w:r>
        <w:t>applying an</w:t>
      </w:r>
      <w:r>
        <w:rPr>
          <w:spacing w:val="-1"/>
        </w:rPr>
        <w:t xml:space="preserve"> </w:t>
      </w:r>
      <w:r>
        <w:t>asset class</w:t>
      </w:r>
      <w:r>
        <w:rPr>
          <w:spacing w:val="-1"/>
        </w:rPr>
        <w:t xml:space="preserve"> </w:t>
      </w:r>
      <w:r>
        <w:t xml:space="preserve">specific </w:t>
      </w:r>
      <w:r>
        <w:rPr>
          <w:rFonts w:cs="Avenir Next"/>
          <w:i/>
          <w:spacing w:val="-1"/>
        </w:rPr>
        <w:t xml:space="preserve">standard </w:t>
      </w:r>
      <w:r>
        <w:t>economic life</w:t>
      </w:r>
      <w:r>
        <w:rPr>
          <w:spacing w:val="-1"/>
        </w:rPr>
        <w:t xml:space="preserve"> </w:t>
      </w:r>
      <w:r>
        <w:t xml:space="preserve">to </w:t>
      </w:r>
      <w:r>
        <w:rPr>
          <w:spacing w:val="-1"/>
        </w:rPr>
        <w:t xml:space="preserve">each </w:t>
      </w:r>
      <w:r>
        <w:t>asset class.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rPr>
          <w:rFonts w:cs="Avenir Next"/>
        </w:rPr>
      </w:pPr>
      <w:r>
        <w:rPr>
          <w:spacing w:val="-2"/>
        </w:rPr>
        <w:t>However,</w:t>
      </w:r>
      <w:r>
        <w:rPr>
          <w:spacing w:val="-6"/>
        </w:rPr>
        <w:t xml:space="preserve"> </w:t>
      </w:r>
      <w:r>
        <w:t xml:space="preserve">implementing this </w:t>
      </w:r>
      <w:r>
        <w:rPr>
          <w:spacing w:val="-1"/>
        </w:rPr>
        <w:t>approach</w:t>
      </w:r>
      <w:r>
        <w:t xml:space="preserve"> is </w:t>
      </w:r>
      <w:r>
        <w:rPr>
          <w:spacing w:val="-1"/>
        </w:rPr>
        <w:t>likely</w:t>
      </w:r>
      <w:r>
        <w:t xml:space="preserve"> to </w:t>
      </w:r>
      <w:r>
        <w:rPr>
          <w:spacing w:val="-1"/>
        </w:rPr>
        <w:t>take</w:t>
      </w:r>
      <w:r>
        <w:t xml:space="preserve"> a </w:t>
      </w:r>
      <w:r>
        <w:rPr>
          <w:spacing w:val="-1"/>
        </w:rPr>
        <w:t>considerable</w:t>
      </w:r>
      <w:r>
        <w:t xml:space="preserve"> amount of</w:t>
      </w:r>
      <w:r>
        <w:rPr>
          <w:spacing w:val="4"/>
        </w:rPr>
        <w:t xml:space="preserve"> </w:t>
      </w:r>
      <w:r>
        <w:t>time.</w:t>
      </w:r>
      <w:r>
        <w:rPr>
          <w:spacing w:val="-6"/>
        </w:rPr>
        <w:t xml:space="preserve"> </w:t>
      </w:r>
      <w:r>
        <w:t xml:space="preserve">so the </w:t>
      </w:r>
      <w:r>
        <w:rPr>
          <w:spacing w:val="-3"/>
        </w:rPr>
        <w:t>Panel</w:t>
      </w:r>
      <w:r>
        <w:rPr>
          <w:spacing w:val="49"/>
        </w:rPr>
        <w:t xml:space="preserve"> </w:t>
      </w:r>
      <w:r>
        <w:t xml:space="preserve">decided to only apply the asset class </w:t>
      </w:r>
      <w:r>
        <w:rPr>
          <w:spacing w:val="-1"/>
        </w:rPr>
        <w:t>approach</w:t>
      </w:r>
      <w:r>
        <w:t xml:space="preserve"> to:</w:t>
      </w:r>
    </w:p>
    <w:p w:rsidR="00D96B91" w:rsidRDefault="00C2656B">
      <w:pPr>
        <w:pStyle w:val="BodyText"/>
        <w:numPr>
          <w:ilvl w:val="0"/>
          <w:numId w:val="131"/>
        </w:numPr>
        <w:tabs>
          <w:tab w:val="left" w:pos="1531"/>
        </w:tabs>
        <w:spacing w:before="178"/>
        <w:ind w:hanging="283"/>
        <w:rPr>
          <w:rFonts w:cs="Avenir Next"/>
        </w:rPr>
      </w:pPr>
      <w:r>
        <w:rPr>
          <w:spacing w:val="-1"/>
        </w:rPr>
        <w:t>forecast</w:t>
      </w:r>
      <w:r>
        <w:t xml:space="preserve"> capital </w:t>
      </w:r>
      <w:r>
        <w:rPr>
          <w:spacing w:val="-1"/>
        </w:rPr>
        <w:t>expenditure</w:t>
      </w:r>
      <w:r>
        <w:t xml:space="preserve"> in this </w:t>
      </w:r>
      <w:r>
        <w:rPr>
          <w:spacing w:val="-1"/>
        </w:rPr>
        <w:t>regulatory</w:t>
      </w:r>
      <w:r>
        <w:t xml:space="preserve"> period,</w:t>
      </w:r>
      <w:r>
        <w:rPr>
          <w:spacing w:val="-6"/>
        </w:rPr>
        <w:t xml:space="preserve"> </w:t>
      </w:r>
      <w:r>
        <w:t>and</w:t>
      </w:r>
    </w:p>
    <w:p w:rsidR="00D96B91" w:rsidRDefault="00C2656B">
      <w:pPr>
        <w:pStyle w:val="BodyText"/>
        <w:numPr>
          <w:ilvl w:val="0"/>
          <w:numId w:val="131"/>
        </w:numPr>
        <w:tabs>
          <w:tab w:val="left" w:pos="1531"/>
        </w:tabs>
        <w:spacing w:before="64" w:line="260" w:lineRule="exact"/>
        <w:ind w:right="1248" w:hanging="283"/>
      </w:pPr>
      <w:r>
        <w:t xml:space="preserve">the </w:t>
      </w:r>
      <w:r>
        <w:rPr>
          <w:spacing w:val="-1"/>
        </w:rPr>
        <w:t>water</w:t>
      </w:r>
      <w:r>
        <w:t xml:space="preserve"> security </w:t>
      </w:r>
      <w:r>
        <w:rPr>
          <w:spacing w:val="-1"/>
        </w:rPr>
        <w:t>projects</w:t>
      </w:r>
      <w:r>
        <w:t xml:space="preserve"> (for which asset lives vary between 5 and 150 </w:t>
      </w:r>
      <w:r>
        <w:rPr>
          <w:spacing w:val="-1"/>
        </w:rPr>
        <w:t>years,</w:t>
      </w:r>
      <w:r>
        <w:rPr>
          <w:spacing w:val="-6"/>
        </w:rPr>
        <w:t xml:space="preserve"> </w:t>
      </w:r>
      <w:r>
        <w:t xml:space="preserve">and for which </w:t>
      </w:r>
      <w:r>
        <w:rPr>
          <w:spacing w:val="-1"/>
        </w:rPr>
        <w:t>reliable</w:t>
      </w:r>
      <w:r>
        <w:rPr>
          <w:spacing w:val="31"/>
        </w:rPr>
        <w:t xml:space="preserve"> </w:t>
      </w:r>
      <w:r>
        <w:rPr>
          <w:spacing w:val="-1"/>
        </w:rPr>
        <w:t>data</w:t>
      </w:r>
      <w:r>
        <w:t xml:space="preserve"> is available to the </w:t>
      </w:r>
      <w:r>
        <w:rPr>
          <w:spacing w:val="-2"/>
        </w:rPr>
        <w:t>Panel).</w:t>
      </w:r>
    </w:p>
    <w:p w:rsidR="00D96B91" w:rsidRDefault="00C2656B">
      <w:pPr>
        <w:pStyle w:val="BodyText"/>
        <w:spacing w:before="83" w:line="250" w:lineRule="exact"/>
        <w:ind w:right="1256"/>
        <w:rPr>
          <w:sz w:val="11"/>
          <w:szCs w:val="11"/>
        </w:rPr>
      </w:pPr>
      <w:r>
        <w:rPr>
          <w:spacing w:val="-4"/>
        </w:rPr>
        <w:t>For</w:t>
      </w:r>
      <w:r>
        <w:t xml:space="preserve"> the </w:t>
      </w:r>
      <w:r>
        <w:rPr>
          <w:spacing w:val="-1"/>
        </w:rPr>
        <w:t>remaining</w:t>
      </w:r>
      <w:r>
        <w:t xml:space="preserve"> assets in </w:t>
      </w:r>
      <w:r>
        <w:rPr>
          <w:spacing w:val="-1"/>
        </w:rPr>
        <w:t>existence</w:t>
      </w:r>
      <w:r>
        <w:t xml:space="preserve"> as </w:t>
      </w:r>
      <w:r>
        <w:rPr>
          <w:spacing w:val="-1"/>
        </w:rPr>
        <w:t>at</w:t>
      </w:r>
      <w:r>
        <w:t xml:space="preserve"> 1</w:t>
      </w:r>
      <w:r>
        <w:rPr>
          <w:spacing w:val="-3"/>
        </w:rPr>
        <w:t xml:space="preserve"> </w:t>
      </w:r>
      <w:r>
        <w:t>July 2013,</w:t>
      </w:r>
      <w:r>
        <w:rPr>
          <w:spacing w:val="-6"/>
        </w:rPr>
        <w:t xml:space="preserve"> </w:t>
      </w:r>
      <w:r>
        <w:t xml:space="preserve">the </w:t>
      </w:r>
      <w:r>
        <w:rPr>
          <w:spacing w:val="-3"/>
        </w:rPr>
        <w:t>Panel</w:t>
      </w:r>
      <w:r>
        <w:t xml:space="preserve"> is willing,</w:t>
      </w:r>
      <w:r>
        <w:rPr>
          <w:spacing w:val="-6"/>
        </w:rPr>
        <w:t xml:space="preserve"> </w:t>
      </w:r>
      <w:r>
        <w:t xml:space="preserve">given the timing </w:t>
      </w:r>
      <w:r>
        <w:rPr>
          <w:spacing w:val="-1"/>
        </w:rPr>
        <w:t>constraints</w:t>
      </w:r>
      <w:r>
        <w:rPr>
          <w:spacing w:val="51"/>
        </w:rPr>
        <w:t xml:space="preserve"> </w:t>
      </w:r>
      <w:r>
        <w:rPr>
          <w:rFonts w:cs="Avenir Next"/>
        </w:rPr>
        <w:t>outlined above,</w:t>
      </w:r>
      <w:r>
        <w:rPr>
          <w:rFonts w:cs="Avenir Next"/>
          <w:spacing w:val="-7"/>
        </w:rPr>
        <w:t xml:space="preserve"> </w:t>
      </w:r>
      <w:r>
        <w:rPr>
          <w:rFonts w:cs="Avenir Next"/>
        </w:rPr>
        <w:t>to accept the use of</w:t>
      </w:r>
      <w:r>
        <w:rPr>
          <w:rFonts w:cs="Avenir Next"/>
          <w:spacing w:val="4"/>
        </w:rPr>
        <w:t xml:space="preserve"> </w:t>
      </w:r>
      <w:r>
        <w:rPr>
          <w:rFonts w:cs="Avenir Next"/>
        </w:rPr>
        <w:t xml:space="preserve">a weighted </w:t>
      </w:r>
      <w:r>
        <w:rPr>
          <w:rFonts w:cs="Avenir Next"/>
          <w:spacing w:val="-1"/>
        </w:rPr>
        <w:t>average</w:t>
      </w:r>
      <w:r>
        <w:rPr>
          <w:rFonts w:cs="Avenir Next"/>
        </w:rPr>
        <w:t xml:space="preserve"> </w:t>
      </w:r>
      <w:r>
        <w:rPr>
          <w:rFonts w:cs="Avenir Next"/>
          <w:spacing w:val="-1"/>
        </w:rPr>
        <w:t>approach</w:t>
      </w:r>
      <w:r>
        <w:rPr>
          <w:rFonts w:cs="Avenir Next"/>
        </w:rPr>
        <w:t xml:space="preserve"> and to adopt</w:t>
      </w:r>
      <w:r>
        <w:rPr>
          <w:rFonts w:cs="Avenir Next"/>
          <w:spacing w:val="-4"/>
        </w:rPr>
        <w:t xml:space="preserve"> </w:t>
      </w:r>
      <w:r>
        <w:rPr>
          <w:rFonts w:cs="Avenir Next"/>
          <w:spacing w:val="-2"/>
        </w:rPr>
        <w:t>ACTEW’s</w:t>
      </w:r>
      <w:r>
        <w:rPr>
          <w:rFonts w:cs="Avenir Next"/>
        </w:rPr>
        <w:t xml:space="preserve"> </w:t>
      </w:r>
      <w:r>
        <w:rPr>
          <w:rFonts w:cs="Avenir Next"/>
          <w:spacing w:val="-1"/>
        </w:rPr>
        <w:t>estimates,</w:t>
      </w:r>
      <w:r>
        <w:rPr>
          <w:rFonts w:cs="Avenir Next"/>
          <w:spacing w:val="35"/>
        </w:rPr>
        <w:t xml:space="preserve"> </w:t>
      </w:r>
      <w:r>
        <w:t>which</w:t>
      </w:r>
      <w:r>
        <w:rPr>
          <w:spacing w:val="2"/>
        </w:rPr>
        <w:t xml:space="preserve"> </w:t>
      </w:r>
      <w:r>
        <w:rPr>
          <w:spacing w:val="-2"/>
        </w:rPr>
        <w:t>are</w:t>
      </w:r>
      <w:r>
        <w:rPr>
          <w:spacing w:val="2"/>
        </w:rPr>
        <w:t xml:space="preserve"> </w:t>
      </w:r>
      <w:r>
        <w:t>based</w:t>
      </w:r>
      <w:r>
        <w:rPr>
          <w:spacing w:val="2"/>
        </w:rPr>
        <w:t xml:space="preserve"> </w:t>
      </w:r>
      <w:r>
        <w:t>on</w:t>
      </w:r>
      <w:r>
        <w:rPr>
          <w:spacing w:val="2"/>
        </w:rPr>
        <w:t xml:space="preserve"> </w:t>
      </w:r>
      <w:r>
        <w:t>an</w:t>
      </w:r>
      <w:r>
        <w:rPr>
          <w:spacing w:val="2"/>
        </w:rPr>
        <w:t xml:space="preserve"> </w:t>
      </w:r>
      <w:r>
        <w:t>accounting-based</w:t>
      </w:r>
      <w:r>
        <w:rPr>
          <w:spacing w:val="2"/>
        </w:rPr>
        <w:t xml:space="preserve"> </w:t>
      </w:r>
      <w:r>
        <w:rPr>
          <w:spacing w:val="-1"/>
        </w:rPr>
        <w:t>measure</w:t>
      </w:r>
      <w:r>
        <w:rPr>
          <w:spacing w:val="2"/>
        </w:rPr>
        <w:t xml:space="preserve"> </w:t>
      </w:r>
      <w:r>
        <w:t>of</w:t>
      </w:r>
      <w:r>
        <w:rPr>
          <w:spacing w:val="6"/>
        </w:rPr>
        <w:t xml:space="preserve"> </w:t>
      </w:r>
      <w:r>
        <w:t>the</w:t>
      </w:r>
      <w:r>
        <w:rPr>
          <w:spacing w:val="2"/>
        </w:rPr>
        <w:t xml:space="preserve"> </w:t>
      </w:r>
      <w:r>
        <w:t>asset</w:t>
      </w:r>
      <w:r>
        <w:rPr>
          <w:spacing w:val="2"/>
        </w:rPr>
        <w:t xml:space="preserve"> </w:t>
      </w:r>
      <w:r>
        <w:rPr>
          <w:spacing w:val="-1"/>
        </w:rPr>
        <w:t>lives.</w:t>
      </w:r>
      <w:r>
        <w:rPr>
          <w:rFonts w:cs="Avenir Next"/>
          <w:spacing w:val="-1"/>
          <w:position w:val="7"/>
          <w:sz w:val="11"/>
          <w:szCs w:val="11"/>
        </w:rPr>
        <w:t>144,</w:t>
      </w:r>
      <w:r>
        <w:rPr>
          <w:spacing w:val="-1"/>
          <w:position w:val="7"/>
          <w:sz w:val="11"/>
          <w:szCs w:val="11"/>
        </w:rPr>
        <w:t>145</w:t>
      </w:r>
    </w:p>
    <w:p w:rsidR="00D96B91" w:rsidRDefault="00C2656B">
      <w:pPr>
        <w:pStyle w:val="BodyText"/>
        <w:spacing w:before="170" w:line="250" w:lineRule="exact"/>
        <w:ind w:right="1273"/>
        <w:rPr>
          <w:rFonts w:cs="Avenir Next"/>
        </w:rPr>
      </w:pPr>
      <w:r>
        <w:rPr>
          <w:spacing w:val="-2"/>
        </w:rPr>
        <w:t>The</w:t>
      </w:r>
      <w:r>
        <w:rPr>
          <w:spacing w:val="-1"/>
        </w:rPr>
        <w:t xml:space="preserve"> difficulty</w:t>
      </w:r>
      <w:r>
        <w:t xml:space="preserve"> the</w:t>
      </w:r>
      <w:r>
        <w:rPr>
          <w:spacing w:val="-1"/>
        </w:rPr>
        <w:t xml:space="preserve"> </w:t>
      </w:r>
      <w:r>
        <w:rPr>
          <w:spacing w:val="-3"/>
        </w:rPr>
        <w:t>Panel</w:t>
      </w:r>
      <w:r>
        <w:t xml:space="preserve"> faced in</w:t>
      </w:r>
      <w:r>
        <w:rPr>
          <w:spacing w:val="-1"/>
        </w:rPr>
        <w:t xml:space="preserve"> </w:t>
      </w:r>
      <w:r>
        <w:t>implementing its</w:t>
      </w:r>
      <w:r>
        <w:rPr>
          <w:spacing w:val="-1"/>
        </w:rPr>
        <w:t xml:space="preserve"> preferred</w:t>
      </w:r>
      <w:r>
        <w:t xml:space="preserve"> </w:t>
      </w:r>
      <w:r>
        <w:rPr>
          <w:spacing w:val="-1"/>
        </w:rPr>
        <w:t>approach</w:t>
      </w:r>
      <w:r>
        <w:t xml:space="preserve"> is</w:t>
      </w:r>
      <w:r>
        <w:rPr>
          <w:spacing w:val="-1"/>
        </w:rPr>
        <w:t xml:space="preserve"> that</w:t>
      </w:r>
      <w:r>
        <w:t xml:space="preserve"> the </w:t>
      </w:r>
      <w:r>
        <w:rPr>
          <w:spacing w:val="-1"/>
        </w:rPr>
        <w:t>information</w:t>
      </w:r>
      <w:r>
        <w:rPr>
          <w:spacing w:val="-5"/>
        </w:rPr>
        <w:t xml:space="preserve"> </w:t>
      </w:r>
      <w:r>
        <w:rPr>
          <w:spacing w:val="-2"/>
        </w:rPr>
        <w:t>ACTEW</w:t>
      </w:r>
      <w:r>
        <w:rPr>
          <w:spacing w:val="63"/>
        </w:rPr>
        <w:t xml:space="preserve"> </w:t>
      </w:r>
      <w:r>
        <w:rPr>
          <w:spacing w:val="-1"/>
        </w:rPr>
        <w:t>provided</w:t>
      </w:r>
      <w:r>
        <w:t xml:space="preserve"> </w:t>
      </w:r>
      <w:r>
        <w:rPr>
          <w:spacing w:val="-2"/>
        </w:rPr>
        <w:t>Cardno</w:t>
      </w:r>
      <w:r>
        <w:t xml:space="preserve"> on its </w:t>
      </w:r>
      <w:r>
        <w:rPr>
          <w:spacing w:val="-1"/>
        </w:rPr>
        <w:t>revised</w:t>
      </w:r>
      <w:r>
        <w:t xml:space="preserve"> capital </w:t>
      </w:r>
      <w:r>
        <w:rPr>
          <w:spacing w:val="-1"/>
        </w:rPr>
        <w:t>expenditure</w:t>
      </w:r>
      <w:r>
        <w:t xml:space="preserve"> </w:t>
      </w:r>
      <w:r>
        <w:rPr>
          <w:spacing w:val="-1"/>
        </w:rPr>
        <w:t>program</w:t>
      </w:r>
      <w:r>
        <w:t xml:space="preserve"> (see</w:t>
      </w:r>
      <w:r>
        <w:rPr>
          <w:spacing w:val="-5"/>
        </w:rPr>
        <w:t xml:space="preserve"> </w:t>
      </w:r>
      <w:hyperlink w:anchor="_bookmark72" w:history="1">
        <w:r>
          <w:rPr>
            <w:spacing w:val="-4"/>
          </w:rPr>
          <w:t>Table</w:t>
        </w:r>
        <w:r>
          <w:t xml:space="preserve"> 9.11</w:t>
        </w:r>
      </w:hyperlink>
      <w:r>
        <w:t>) does not set out the</w:t>
      </w:r>
      <w:r>
        <w:rPr>
          <w:spacing w:val="33"/>
        </w:rPr>
        <w:t xml:space="preserve"> </w:t>
      </w:r>
      <w:r>
        <w:rPr>
          <w:spacing w:val="-1"/>
        </w:rPr>
        <w:t xml:space="preserve">standard </w:t>
      </w:r>
      <w:r>
        <w:t xml:space="preserve">life for </w:t>
      </w:r>
      <w:r>
        <w:rPr>
          <w:spacing w:val="-1"/>
        </w:rPr>
        <w:t>each</w:t>
      </w:r>
      <w:r>
        <w:t xml:space="preserve"> </w:t>
      </w:r>
      <w:r>
        <w:rPr>
          <w:spacing w:val="-1"/>
        </w:rPr>
        <w:t>project.</w:t>
      </w:r>
      <w:r>
        <w:rPr>
          <w:spacing w:val="-6"/>
        </w:rPr>
        <w:t xml:space="preserve"> </w:t>
      </w:r>
      <w:r>
        <w:t>In most cases,</w:t>
      </w:r>
      <w:r>
        <w:rPr>
          <w:spacing w:val="-6"/>
        </w:rPr>
        <w:t xml:space="preserve"> </w:t>
      </w:r>
      <w:r>
        <w:t xml:space="preserve">the </w:t>
      </w:r>
      <w:r>
        <w:rPr>
          <w:spacing w:val="-3"/>
        </w:rPr>
        <w:t>Panel</w:t>
      </w:r>
      <w:r>
        <w:rPr>
          <w:spacing w:val="-1"/>
        </w:rPr>
        <w:t xml:space="preserve"> </w:t>
      </w:r>
      <w:r>
        <w:t>has been able to fill this gap by using the</w:t>
      </w:r>
      <w:r>
        <w:rPr>
          <w:spacing w:val="-1"/>
        </w:rPr>
        <w:t xml:space="preserve"> </w:t>
      </w:r>
      <w:r>
        <w:t>asset</w:t>
      </w:r>
      <w:r>
        <w:rPr>
          <w:spacing w:val="27"/>
        </w:rPr>
        <w:t xml:space="preserve"> </w:t>
      </w:r>
      <w:r>
        <w:t xml:space="preserve">life </w:t>
      </w:r>
      <w:r>
        <w:rPr>
          <w:spacing w:val="-1"/>
        </w:rPr>
        <w:t>information</w:t>
      </w:r>
      <w:r>
        <w:rPr>
          <w:spacing w:val="-4"/>
        </w:rPr>
        <w:t xml:space="preserve"> </w:t>
      </w:r>
      <w:r>
        <w:rPr>
          <w:spacing w:val="-2"/>
        </w:rPr>
        <w:t>ACTEW</w:t>
      </w:r>
      <w:r>
        <w:rPr>
          <w:spacing w:val="-3"/>
        </w:rPr>
        <w:t xml:space="preserve"> </w:t>
      </w:r>
      <w:r>
        <w:rPr>
          <w:spacing w:val="-1"/>
        </w:rPr>
        <w:t>provided</w:t>
      </w:r>
      <w:r>
        <w:t xml:space="preserve"> for its</w:t>
      </w:r>
      <w:r>
        <w:rPr>
          <w:spacing w:val="-4"/>
        </w:rPr>
        <w:t xml:space="preserve"> </w:t>
      </w:r>
      <w:r>
        <w:t xml:space="preserve">April 2013 capital </w:t>
      </w:r>
      <w:r>
        <w:rPr>
          <w:spacing w:val="-1"/>
        </w:rPr>
        <w:t>expenditure</w:t>
      </w:r>
      <w:r>
        <w:t xml:space="preserve"> </w:t>
      </w:r>
      <w:r>
        <w:rPr>
          <w:spacing w:val="-1"/>
        </w:rPr>
        <w:t>program.</w:t>
      </w:r>
      <w:r>
        <w:rPr>
          <w:spacing w:val="-6"/>
        </w:rPr>
        <w:t xml:space="preserve"> </w:t>
      </w:r>
      <w:r>
        <w:rPr>
          <w:spacing w:val="-2"/>
        </w:rPr>
        <w:t>However,</w:t>
      </w:r>
      <w:r>
        <w:rPr>
          <w:spacing w:val="-6"/>
        </w:rPr>
        <w:t xml:space="preserve"> </w:t>
      </w:r>
      <w:r>
        <w:rPr>
          <w:spacing w:val="-1"/>
        </w:rPr>
        <w:t>there</w:t>
      </w:r>
      <w:r>
        <w:t xml:space="preserve"> </w:t>
      </w:r>
      <w:r>
        <w:rPr>
          <w:spacing w:val="-2"/>
        </w:rPr>
        <w:t>are</w:t>
      </w:r>
      <w:r>
        <w:rPr>
          <w:spacing w:val="65"/>
        </w:rPr>
        <w:t xml:space="preserve"> </w:t>
      </w:r>
      <w:r>
        <w:rPr>
          <w:spacing w:val="-1"/>
        </w:rPr>
        <w:t>approximately</w:t>
      </w:r>
      <w:r>
        <w:t xml:space="preserve"> 60 new </w:t>
      </w:r>
      <w:r>
        <w:rPr>
          <w:spacing w:val="-1"/>
        </w:rPr>
        <w:t>projects</w:t>
      </w:r>
      <w:r>
        <w:t xml:space="preserve"> in the </w:t>
      </w:r>
      <w:r>
        <w:rPr>
          <w:spacing w:val="-1"/>
        </w:rPr>
        <w:t>revised</w:t>
      </w:r>
      <w:r>
        <w:t xml:space="preserve"> </w:t>
      </w:r>
      <w:r>
        <w:rPr>
          <w:spacing w:val="-1"/>
        </w:rPr>
        <w:t>program</w:t>
      </w:r>
      <w:r>
        <w:t xml:space="preserve"> for which asset life </w:t>
      </w:r>
      <w:r>
        <w:rPr>
          <w:spacing w:val="-1"/>
        </w:rPr>
        <w:t>information</w:t>
      </w:r>
      <w:r>
        <w:t xml:space="preserve"> is not available.</w:t>
      </w:r>
      <w:r>
        <w:rPr>
          <w:spacing w:val="41"/>
        </w:rPr>
        <w:t xml:space="preserve"> </w:t>
      </w:r>
      <w:r>
        <w:rPr>
          <w:spacing w:val="-2"/>
        </w:rPr>
        <w:t>Therefore,</w:t>
      </w:r>
      <w:r>
        <w:rPr>
          <w:spacing w:val="-7"/>
        </w:rPr>
        <w:t xml:space="preserve"> </w:t>
      </w:r>
      <w:r>
        <w:t>for the purpose of</w:t>
      </w:r>
      <w:r>
        <w:rPr>
          <w:spacing w:val="4"/>
        </w:rPr>
        <w:t xml:space="preserve"> </w:t>
      </w:r>
      <w:r>
        <w:t xml:space="preserve">the </w:t>
      </w:r>
      <w:r>
        <w:rPr>
          <w:spacing w:val="-2"/>
        </w:rPr>
        <w:t>draft</w:t>
      </w:r>
      <w:r>
        <w:t xml:space="preserve"> decision,</w:t>
      </w:r>
      <w:r>
        <w:rPr>
          <w:spacing w:val="-6"/>
        </w:rPr>
        <w:t xml:space="preserve"> </w:t>
      </w:r>
      <w:r>
        <w:t xml:space="preserve">it has been necessary to </w:t>
      </w:r>
      <w:r>
        <w:rPr>
          <w:spacing w:val="-1"/>
        </w:rPr>
        <w:t>make</w:t>
      </w:r>
      <w:r>
        <w:t xml:space="preserve"> the following simplifying</w:t>
      </w:r>
      <w:r>
        <w:rPr>
          <w:spacing w:val="25"/>
        </w:rPr>
        <w:t xml:space="preserve"> </w:t>
      </w:r>
      <w:r>
        <w:t>assumptions about the lives of</w:t>
      </w:r>
      <w:r>
        <w:rPr>
          <w:spacing w:val="4"/>
        </w:rPr>
        <w:t xml:space="preserve"> </w:t>
      </w:r>
      <w:r>
        <w:t xml:space="preserve">these </w:t>
      </w:r>
      <w:r>
        <w:rPr>
          <w:spacing w:val="-1"/>
        </w:rPr>
        <w:t>projects:</w:t>
      </w:r>
    </w:p>
    <w:p w:rsidR="00D96B91" w:rsidRDefault="00C2656B">
      <w:pPr>
        <w:pStyle w:val="BodyText"/>
        <w:numPr>
          <w:ilvl w:val="0"/>
          <w:numId w:val="131"/>
        </w:numPr>
        <w:tabs>
          <w:tab w:val="left" w:pos="1531"/>
        </w:tabs>
        <w:spacing w:before="170" w:line="250" w:lineRule="exact"/>
        <w:ind w:right="1445" w:hanging="283"/>
        <w:rPr>
          <w:rFonts w:cs="Avenir Next"/>
        </w:rPr>
      </w:pPr>
      <w:r>
        <w:rPr>
          <w:spacing w:val="-1"/>
        </w:rPr>
        <w:t>where</w:t>
      </w:r>
      <w:r>
        <w:t xml:space="preserve"> it was </w:t>
      </w:r>
      <w:r>
        <w:rPr>
          <w:spacing w:val="-1"/>
        </w:rPr>
        <w:t>clear</w:t>
      </w:r>
      <w:r>
        <w:t xml:space="preserve"> </w:t>
      </w:r>
      <w:r>
        <w:rPr>
          <w:spacing w:val="-1"/>
        </w:rPr>
        <w:t>from</w:t>
      </w:r>
      <w:r>
        <w:t xml:space="preserve"> the </w:t>
      </w:r>
      <w:r>
        <w:rPr>
          <w:spacing w:val="-1"/>
        </w:rPr>
        <w:t>project</w:t>
      </w:r>
      <w:r>
        <w:t xml:space="preserve"> description </w:t>
      </w:r>
      <w:r>
        <w:rPr>
          <w:spacing w:val="-1"/>
        </w:rPr>
        <w:t>what</w:t>
      </w:r>
      <w:r>
        <w:t xml:space="preserve"> type of</w:t>
      </w:r>
      <w:r>
        <w:rPr>
          <w:spacing w:val="4"/>
        </w:rPr>
        <w:t xml:space="preserve"> </w:t>
      </w:r>
      <w:r>
        <w:t>asset is to be commissioned,</w:t>
      </w:r>
      <w:r>
        <w:rPr>
          <w:spacing w:val="-7"/>
        </w:rPr>
        <w:t xml:space="preserve"> </w:t>
      </w:r>
      <w:r>
        <w:t xml:space="preserve">the </w:t>
      </w:r>
      <w:r>
        <w:rPr>
          <w:spacing w:val="-3"/>
        </w:rPr>
        <w:t>Panel</w:t>
      </w:r>
      <w:r>
        <w:rPr>
          <w:spacing w:val="23"/>
        </w:rPr>
        <w:t xml:space="preserve"> </w:t>
      </w:r>
      <w:r>
        <w:t>used</w:t>
      </w:r>
      <w:r>
        <w:rPr>
          <w:spacing w:val="1"/>
        </w:rPr>
        <w:t xml:space="preserve"> </w:t>
      </w:r>
      <w:r>
        <w:t>the</w:t>
      </w:r>
      <w:r>
        <w:rPr>
          <w:spacing w:val="1"/>
        </w:rPr>
        <w:t xml:space="preserve"> </w:t>
      </w:r>
      <w:r>
        <w:rPr>
          <w:spacing w:val="-1"/>
        </w:rPr>
        <w:t>standard</w:t>
      </w:r>
      <w:r>
        <w:rPr>
          <w:spacing w:val="1"/>
        </w:rPr>
        <w:t xml:space="preserve"> </w:t>
      </w:r>
      <w:r>
        <w:t>asset</w:t>
      </w:r>
      <w:r>
        <w:rPr>
          <w:spacing w:val="1"/>
        </w:rPr>
        <w:t xml:space="preserve"> </w:t>
      </w:r>
      <w:r>
        <w:t>life</w:t>
      </w:r>
      <w:r>
        <w:rPr>
          <w:spacing w:val="1"/>
        </w:rPr>
        <w:t xml:space="preserve"> </w:t>
      </w:r>
      <w:r>
        <w:t>assumptions</w:t>
      </w:r>
      <w:r>
        <w:rPr>
          <w:spacing w:val="1"/>
        </w:rPr>
        <w:t xml:space="preserve"> </w:t>
      </w:r>
      <w:r>
        <w:rPr>
          <w:spacing w:val="-1"/>
        </w:rPr>
        <w:t>provided</w:t>
      </w:r>
      <w:r>
        <w:rPr>
          <w:spacing w:val="1"/>
        </w:rPr>
        <w:t xml:space="preserve"> </w:t>
      </w:r>
      <w:r>
        <w:t>by</w:t>
      </w:r>
      <w:r>
        <w:rPr>
          <w:spacing w:val="-3"/>
        </w:rPr>
        <w:t xml:space="preserve"> ACTEW,</w:t>
      </w:r>
      <w:r>
        <w:rPr>
          <w:spacing w:val="-3"/>
          <w:position w:val="7"/>
          <w:sz w:val="11"/>
        </w:rPr>
        <w:t>146</w:t>
      </w:r>
      <w:r>
        <w:rPr>
          <w:spacing w:val="24"/>
          <w:position w:val="7"/>
          <w:sz w:val="11"/>
        </w:rPr>
        <w:t xml:space="preserve"> </w:t>
      </w:r>
      <w:r>
        <w:t>and</w:t>
      </w:r>
    </w:p>
    <w:p w:rsidR="00D96B91" w:rsidRDefault="00C2656B">
      <w:pPr>
        <w:pStyle w:val="BodyText"/>
        <w:numPr>
          <w:ilvl w:val="0"/>
          <w:numId w:val="131"/>
        </w:numPr>
        <w:tabs>
          <w:tab w:val="left" w:pos="1531"/>
        </w:tabs>
        <w:spacing w:before="85" w:line="250" w:lineRule="exact"/>
        <w:ind w:right="1271" w:hanging="283"/>
      </w:pPr>
      <w:r>
        <w:rPr>
          <w:spacing w:val="-1"/>
        </w:rPr>
        <w:t>where</w:t>
      </w:r>
      <w:r>
        <w:t xml:space="preserve"> it was </w:t>
      </w:r>
      <w:r>
        <w:rPr>
          <w:spacing w:val="-1"/>
        </w:rPr>
        <w:t>unclear</w:t>
      </w:r>
      <w:r>
        <w:t xml:space="preserve"> </w:t>
      </w:r>
      <w:r>
        <w:rPr>
          <w:spacing w:val="-1"/>
        </w:rPr>
        <w:t>what</w:t>
      </w:r>
      <w:r>
        <w:t xml:space="preserve"> type of</w:t>
      </w:r>
      <w:r>
        <w:rPr>
          <w:spacing w:val="4"/>
        </w:rPr>
        <w:t xml:space="preserve"> </w:t>
      </w:r>
      <w:r>
        <w:t>asset is to be commissioned,</w:t>
      </w:r>
      <w:r>
        <w:rPr>
          <w:spacing w:val="-7"/>
        </w:rPr>
        <w:t xml:space="preserve"> </w:t>
      </w:r>
      <w:r>
        <w:t xml:space="preserve">the </w:t>
      </w:r>
      <w:r>
        <w:rPr>
          <w:spacing w:val="-3"/>
        </w:rPr>
        <w:t>Panel</w:t>
      </w:r>
      <w:r>
        <w:t xml:space="preserve"> used the weighted </w:t>
      </w:r>
      <w:r>
        <w:rPr>
          <w:spacing w:val="-1"/>
        </w:rPr>
        <w:t>average</w:t>
      </w:r>
      <w:r>
        <w:rPr>
          <w:spacing w:val="29"/>
        </w:rPr>
        <w:t xml:space="preserve"> </w:t>
      </w:r>
      <w:r>
        <w:t xml:space="preserve">asset life for those </w:t>
      </w:r>
      <w:r>
        <w:rPr>
          <w:spacing w:val="-1"/>
        </w:rPr>
        <w:t>water</w:t>
      </w:r>
      <w:r>
        <w:t xml:space="preserve"> and/or </w:t>
      </w:r>
      <w:r>
        <w:rPr>
          <w:spacing w:val="-1"/>
        </w:rPr>
        <w:t>sewerage</w:t>
      </w:r>
      <w:r>
        <w:t xml:space="preserve"> </w:t>
      </w:r>
      <w:r>
        <w:rPr>
          <w:spacing w:val="-1"/>
        </w:rPr>
        <w:t>projects</w:t>
      </w:r>
      <w:r>
        <w:t xml:space="preserve"> </w:t>
      </w:r>
      <w:r>
        <w:rPr>
          <w:spacing w:val="-1"/>
        </w:rPr>
        <w:t>that</w:t>
      </w:r>
      <w:r>
        <w:t xml:space="preserve"> do have an assumed asset life.</w:t>
      </w:r>
    </w:p>
    <w:p w:rsidR="00D96B91" w:rsidRDefault="00D96B91">
      <w:pPr>
        <w:spacing w:before="8"/>
        <w:rPr>
          <w:rFonts w:ascii="Avenir Next" w:eastAsia="Avenir Next" w:hAnsi="Avenir Next" w:cs="Avenir Next"/>
          <w:sz w:val="16"/>
          <w:szCs w:val="16"/>
        </w:rPr>
      </w:pPr>
    </w:p>
    <w:p w:rsidR="00D96B91" w:rsidRDefault="00C2656B">
      <w:pPr>
        <w:pStyle w:val="BodyText"/>
        <w:spacing w:line="250" w:lineRule="exact"/>
        <w:ind w:right="1283"/>
      </w:pPr>
      <w:r>
        <w:t>If</w:t>
      </w:r>
      <w:r>
        <w:rPr>
          <w:spacing w:val="3"/>
        </w:rPr>
        <w:t xml:space="preserve"> </w:t>
      </w:r>
      <w:r>
        <w:t xml:space="preserve">this </w:t>
      </w:r>
      <w:r>
        <w:rPr>
          <w:spacing w:val="-1"/>
        </w:rPr>
        <w:t>information</w:t>
      </w:r>
      <w:r>
        <w:t xml:space="preserve"> is not</w:t>
      </w:r>
      <w:r>
        <w:rPr>
          <w:spacing w:val="-1"/>
        </w:rPr>
        <w:t xml:space="preserve"> forthcoming</w:t>
      </w:r>
      <w:r>
        <w:t xml:space="preserve"> </w:t>
      </w:r>
      <w:r>
        <w:rPr>
          <w:spacing w:val="-1"/>
        </w:rPr>
        <w:t>before</w:t>
      </w:r>
      <w:r>
        <w:t xml:space="preserve"> the final</w:t>
      </w:r>
      <w:r>
        <w:rPr>
          <w:spacing w:val="-1"/>
        </w:rPr>
        <w:t xml:space="preserve"> report,</w:t>
      </w:r>
      <w:r>
        <w:rPr>
          <w:spacing w:val="-6"/>
        </w:rPr>
        <w:t xml:space="preserve"> </w:t>
      </w:r>
      <w:r>
        <w:t xml:space="preserve">it should be </w:t>
      </w:r>
      <w:r>
        <w:rPr>
          <w:spacing w:val="-1"/>
        </w:rPr>
        <w:t>addressed through</w:t>
      </w:r>
      <w:r>
        <w:t xml:space="preserve"> the </w:t>
      </w:r>
      <w:r>
        <w:rPr>
          <w:i/>
          <w:spacing w:val="-1"/>
        </w:rPr>
        <w:t>ex</w:t>
      </w:r>
      <w:r>
        <w:rPr>
          <w:i/>
        </w:rPr>
        <w:t xml:space="preserve"> post</w:t>
      </w:r>
      <w:r>
        <w:rPr>
          <w:i/>
          <w:spacing w:val="55"/>
        </w:rPr>
        <w:t xml:space="preserve"> </w:t>
      </w:r>
      <w:r>
        <w:t xml:space="preserve">capital </w:t>
      </w:r>
      <w:r>
        <w:rPr>
          <w:spacing w:val="-1"/>
        </w:rPr>
        <w:t>expenditure</w:t>
      </w:r>
      <w:r>
        <w:t xml:space="preserve"> </w:t>
      </w:r>
      <w:r>
        <w:rPr>
          <w:spacing w:val="-1"/>
        </w:rPr>
        <w:t>review</w:t>
      </w:r>
      <w:r>
        <w:t xml:space="preserve"> </w:t>
      </w:r>
      <w:r>
        <w:rPr>
          <w:spacing w:val="-1"/>
        </w:rPr>
        <w:t>process,</w:t>
      </w:r>
      <w:r>
        <w:rPr>
          <w:spacing w:val="-6"/>
        </w:rPr>
        <w:t xml:space="preserve"> </w:t>
      </w:r>
      <w:r>
        <w:t xml:space="preserve">which will be conducted by the ICRC </w:t>
      </w:r>
      <w:r>
        <w:rPr>
          <w:spacing w:val="-1"/>
        </w:rPr>
        <w:t>ahead</w:t>
      </w:r>
      <w:r>
        <w:t xml:space="preserve"> of</w:t>
      </w:r>
      <w:r>
        <w:rPr>
          <w:spacing w:val="4"/>
        </w:rPr>
        <w:t xml:space="preserve"> </w:t>
      </w:r>
      <w:r>
        <w:t xml:space="preserve">the </w:t>
      </w:r>
      <w:r>
        <w:rPr>
          <w:spacing w:val="-1"/>
        </w:rPr>
        <w:t>next</w:t>
      </w:r>
      <w:r>
        <w:t xml:space="preserve"> </w:t>
      </w:r>
      <w:r>
        <w:rPr>
          <w:spacing w:val="-1"/>
        </w:rPr>
        <w:t>regulatory</w:t>
      </w:r>
      <w:r>
        <w:rPr>
          <w:spacing w:val="41"/>
        </w:rPr>
        <w:t xml:space="preserve"> </w:t>
      </w:r>
      <w:r>
        <w:t>period.</w:t>
      </w:r>
    </w:p>
    <w:p w:rsidR="00D96B91" w:rsidRDefault="00C2656B">
      <w:pPr>
        <w:pStyle w:val="BodyText"/>
        <w:spacing w:before="170" w:line="250" w:lineRule="exact"/>
        <w:ind w:right="154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the asset lives to be used in the </w:t>
      </w:r>
      <w:r>
        <w:rPr>
          <w:rFonts w:cs="Avenir Next"/>
          <w:spacing w:val="-1"/>
        </w:rPr>
        <w:t>calculation</w:t>
      </w:r>
      <w:r>
        <w:rPr>
          <w:rFonts w:cs="Avenir Next"/>
        </w:rPr>
        <w:t xml:space="preserve"> of</w:t>
      </w:r>
      <w:r>
        <w:rPr>
          <w:rFonts w:cs="Avenir Next"/>
          <w:spacing w:val="4"/>
        </w:rPr>
        <w:t xml:space="preserve"> </w:t>
      </w:r>
      <w:r>
        <w:rPr>
          <w:rFonts w:cs="Avenir Next"/>
          <w:spacing w:val="-1"/>
        </w:rPr>
        <w:t>depreciation</w:t>
      </w:r>
      <w:r>
        <w:rPr>
          <w:rFonts w:cs="Avenir Next"/>
        </w:rPr>
        <w:t xml:space="preserve"> is set out in</w:t>
      </w:r>
      <w:r>
        <w:rPr>
          <w:rFonts w:cs="Avenir Next"/>
          <w:spacing w:val="53"/>
        </w:rPr>
        <w:t xml:space="preserve"> </w:t>
      </w:r>
      <w:hyperlink w:anchor="_bookmark78" w:history="1">
        <w:r>
          <w:rPr>
            <w:spacing w:val="-4"/>
          </w:rPr>
          <w:t>Table</w:t>
        </w:r>
        <w:r>
          <w:t xml:space="preserve"> 9.14</w:t>
        </w:r>
      </w:hyperlink>
      <w:r>
        <w:t>.</w:t>
      </w:r>
    </w:p>
    <w:p w:rsidR="00D96B91" w:rsidRDefault="00D96B91">
      <w:pPr>
        <w:spacing w:before="8"/>
        <w:rPr>
          <w:rFonts w:ascii="Avenir Next" w:eastAsia="Avenir Next" w:hAnsi="Avenir Next" w:cs="Avenir Next"/>
          <w:sz w:val="13"/>
          <w:szCs w:val="13"/>
        </w:rPr>
      </w:pPr>
    </w:p>
    <w:p w:rsidR="00D96B91" w:rsidRDefault="00C2656B">
      <w:pPr>
        <w:pStyle w:val="BodyText"/>
        <w:spacing w:line="221" w:lineRule="auto"/>
        <w:ind w:right="1312"/>
      </w:pPr>
      <w:r>
        <w:t>While</w:t>
      </w:r>
      <w:r>
        <w:rPr>
          <w:spacing w:val="-1"/>
        </w:rPr>
        <w:t xml:space="preserve"> </w:t>
      </w:r>
      <w:r>
        <w:t>it</w:t>
      </w:r>
      <w:r>
        <w:rPr>
          <w:spacing w:val="-1"/>
        </w:rPr>
        <w:t xml:space="preserve"> </w:t>
      </w:r>
      <w:r>
        <w:t xml:space="preserve">is </w:t>
      </w:r>
      <w:r>
        <w:rPr>
          <w:spacing w:val="-1"/>
        </w:rPr>
        <w:t xml:space="preserve">difficult </w:t>
      </w:r>
      <w:r>
        <w:t xml:space="preserve">to </w:t>
      </w:r>
      <w:r>
        <w:rPr>
          <w:spacing w:val="-1"/>
        </w:rPr>
        <w:t>make direct</w:t>
      </w:r>
      <w:r>
        <w:t xml:space="preserve"> comparisons</w:t>
      </w:r>
      <w:r>
        <w:rPr>
          <w:spacing w:val="-1"/>
        </w:rPr>
        <w:t xml:space="preserve"> </w:t>
      </w:r>
      <w:r>
        <w:t>between the</w:t>
      </w:r>
      <w:r>
        <w:rPr>
          <w:spacing w:val="-1"/>
        </w:rPr>
        <w:t xml:space="preserve"> </w:t>
      </w:r>
      <w:r>
        <w:rPr>
          <w:spacing w:val="-4"/>
        </w:rPr>
        <w:t>Panel’s</w:t>
      </w:r>
      <w:r>
        <w:t xml:space="preserve"> </w:t>
      </w:r>
      <w:r>
        <w:rPr>
          <w:spacing w:val="-2"/>
        </w:rPr>
        <w:t>draft</w:t>
      </w:r>
      <w:r>
        <w:rPr>
          <w:spacing w:val="-1"/>
        </w:rPr>
        <w:t xml:space="preserve"> </w:t>
      </w:r>
      <w:r>
        <w:t>decision and</w:t>
      </w:r>
      <w:r>
        <w:rPr>
          <w:spacing w:val="-1"/>
        </w:rPr>
        <w:t xml:space="preserve"> </w:t>
      </w:r>
      <w:r>
        <w:t xml:space="preserve">the </w:t>
      </w:r>
      <w:r>
        <w:rPr>
          <w:spacing w:val="-2"/>
        </w:rPr>
        <w:t>ICRC’s</w:t>
      </w:r>
      <w:r>
        <w:rPr>
          <w:spacing w:val="-1"/>
        </w:rPr>
        <w:t xml:space="preserve"> </w:t>
      </w:r>
      <w:r>
        <w:t>final</w:t>
      </w:r>
      <w:r>
        <w:rPr>
          <w:spacing w:val="37"/>
          <w:w w:val="99"/>
        </w:rPr>
        <w:t xml:space="preserve"> </w:t>
      </w:r>
      <w:r>
        <w:t>decision (given the use of</w:t>
      </w:r>
      <w:r>
        <w:rPr>
          <w:spacing w:val="4"/>
        </w:rPr>
        <w:t xml:space="preserve"> </w:t>
      </w:r>
      <w:r>
        <w:rPr>
          <w:spacing w:val="-1"/>
        </w:rPr>
        <w:t>different</w:t>
      </w:r>
      <w:r>
        <w:t xml:space="preserve"> methodologies),</w:t>
      </w:r>
      <w:r>
        <w:rPr>
          <w:spacing w:val="-6"/>
        </w:rPr>
        <w:t xml:space="preserve"> </w:t>
      </w:r>
      <w:r>
        <w:t xml:space="preserve">the </w:t>
      </w:r>
      <w:r>
        <w:rPr>
          <w:spacing w:val="-4"/>
        </w:rPr>
        <w:t>Panel’s</w:t>
      </w:r>
      <w:r>
        <w:t xml:space="preserve"> </w:t>
      </w:r>
      <w:r>
        <w:rPr>
          <w:spacing w:val="-1"/>
        </w:rPr>
        <w:t>estimates</w:t>
      </w:r>
      <w:r>
        <w:t xml:space="preserve"> of</w:t>
      </w:r>
      <w:r>
        <w:rPr>
          <w:spacing w:val="4"/>
        </w:rPr>
        <w:t xml:space="preserve"> </w:t>
      </w:r>
      <w:r>
        <w:t xml:space="preserve">the </w:t>
      </w:r>
      <w:r>
        <w:rPr>
          <w:spacing w:val="-1"/>
        </w:rPr>
        <w:t>remaining</w:t>
      </w:r>
      <w:r>
        <w:t xml:space="preserve"> economic</w:t>
      </w:r>
      <w:r>
        <w:rPr>
          <w:spacing w:val="39"/>
        </w:rPr>
        <w:t xml:space="preserve"> </w:t>
      </w:r>
      <w:r>
        <w:t>lives of</w:t>
      </w:r>
      <w:r>
        <w:rPr>
          <w:spacing w:val="4"/>
        </w:rPr>
        <w:t xml:space="preserve"> </w:t>
      </w:r>
      <w:r>
        <w:t xml:space="preserve">the </w:t>
      </w:r>
      <w:r>
        <w:rPr>
          <w:spacing w:val="-1"/>
        </w:rPr>
        <w:t>water</w:t>
      </w:r>
      <w:r>
        <w:t xml:space="preserve"> </w:t>
      </w:r>
      <w:r>
        <w:rPr>
          <w:spacing w:val="-1"/>
        </w:rPr>
        <w:t>(excluding</w:t>
      </w:r>
      <w:r>
        <w:t xml:space="preserve"> </w:t>
      </w:r>
      <w:r>
        <w:rPr>
          <w:spacing w:val="-1"/>
        </w:rPr>
        <w:t>water</w:t>
      </w:r>
      <w:r>
        <w:t xml:space="preserve"> security) and </w:t>
      </w:r>
      <w:r>
        <w:rPr>
          <w:spacing w:val="-1"/>
        </w:rPr>
        <w:t>sewerage</w:t>
      </w:r>
      <w:r>
        <w:t xml:space="preserve"> assets in </w:t>
      </w:r>
      <w:r>
        <w:rPr>
          <w:spacing w:val="-1"/>
        </w:rPr>
        <w:t>existence</w:t>
      </w:r>
      <w:r>
        <w:t xml:space="preserve"> as </w:t>
      </w:r>
      <w:r>
        <w:rPr>
          <w:spacing w:val="-1"/>
        </w:rPr>
        <w:t>at</w:t>
      </w:r>
      <w:r>
        <w:t xml:space="preserve"> 30</w:t>
      </w:r>
      <w:r>
        <w:rPr>
          <w:spacing w:val="-3"/>
        </w:rPr>
        <w:t xml:space="preserve"> </w:t>
      </w:r>
      <w:r>
        <w:t xml:space="preserve">June 2013 </w:t>
      </w:r>
      <w:r>
        <w:rPr>
          <w:spacing w:val="-2"/>
        </w:rPr>
        <w:t>are</w:t>
      </w:r>
      <w:r>
        <w:rPr>
          <w:spacing w:val="53"/>
        </w:rPr>
        <w:t xml:space="preserve"> </w:t>
      </w:r>
      <w:r>
        <w:t xml:space="preserve">not </w:t>
      </w:r>
      <w:r>
        <w:rPr>
          <w:spacing w:val="-1"/>
        </w:rPr>
        <w:t>materially</w:t>
      </w:r>
      <w:r>
        <w:t xml:space="preserve"> </w:t>
      </w:r>
      <w:r>
        <w:rPr>
          <w:spacing w:val="-1"/>
        </w:rPr>
        <w:t>different</w:t>
      </w:r>
      <w:r>
        <w:t xml:space="preserve"> to the </w:t>
      </w:r>
      <w:r>
        <w:rPr>
          <w:spacing w:val="-2"/>
        </w:rPr>
        <w:t>ICRC’s.</w:t>
      </w:r>
      <w:r>
        <w:rPr>
          <w:spacing w:val="-6"/>
        </w:rPr>
        <w:t xml:space="preserve"> </w:t>
      </w:r>
      <w:r>
        <w:rPr>
          <w:spacing w:val="-4"/>
        </w:rPr>
        <w:t>For</w:t>
      </w:r>
      <w:r>
        <w:t xml:space="preserve"> the other assets,</w:t>
      </w:r>
      <w:r>
        <w:rPr>
          <w:spacing w:val="-7"/>
        </w:rPr>
        <w:t xml:space="preserve"> </w:t>
      </w:r>
      <w:r>
        <w:t xml:space="preserve">the </w:t>
      </w:r>
      <w:r>
        <w:rPr>
          <w:spacing w:val="-4"/>
        </w:rPr>
        <w:t>Panel’s</w:t>
      </w:r>
      <w:r>
        <w:t xml:space="preserve"> </w:t>
      </w:r>
      <w:r>
        <w:rPr>
          <w:spacing w:val="-1"/>
        </w:rPr>
        <w:t>estimates</w:t>
      </w:r>
      <w:r>
        <w:t xml:space="preserve"> of</w:t>
      </w:r>
      <w:r>
        <w:rPr>
          <w:spacing w:val="4"/>
        </w:rPr>
        <w:t xml:space="preserve"> </w:t>
      </w:r>
      <w:r>
        <w:t xml:space="preserve">the </w:t>
      </w:r>
      <w:r>
        <w:rPr>
          <w:spacing w:val="-1"/>
        </w:rPr>
        <w:t>standard</w:t>
      </w:r>
      <w:r>
        <w:t xml:space="preserve"> lives for</w:t>
      </w:r>
      <w:r>
        <w:rPr>
          <w:spacing w:val="65"/>
        </w:rPr>
        <w:t xml:space="preserve"> </w:t>
      </w:r>
      <w:r>
        <w:rPr>
          <w:spacing w:val="-1"/>
        </w:rPr>
        <w:t>forecast</w:t>
      </w:r>
      <w:r>
        <w:t xml:space="preserve"> </w:t>
      </w:r>
      <w:r>
        <w:rPr>
          <w:spacing w:val="-1"/>
        </w:rPr>
        <w:t>water</w:t>
      </w:r>
      <w:r>
        <w:t xml:space="preserve"> and </w:t>
      </w:r>
      <w:r>
        <w:rPr>
          <w:spacing w:val="-1"/>
        </w:rPr>
        <w:t>sewerage</w:t>
      </w:r>
      <w:r>
        <w:t xml:space="preserve"> capital </w:t>
      </w:r>
      <w:r>
        <w:rPr>
          <w:spacing w:val="-1"/>
        </w:rPr>
        <w:t>expenditure</w:t>
      </w:r>
      <w:r>
        <w:t xml:space="preserve"> </w:t>
      </w:r>
      <w:r>
        <w:rPr>
          <w:spacing w:val="-2"/>
        </w:rPr>
        <w:t>are</w:t>
      </w:r>
      <w:r>
        <w:t xml:space="preserve"> </w:t>
      </w:r>
      <w:r>
        <w:rPr>
          <w:spacing w:val="-1"/>
        </w:rPr>
        <w:t>approximately</w:t>
      </w:r>
      <w:r>
        <w:t xml:space="preserve"> 20% to 40% </w:t>
      </w:r>
      <w:r>
        <w:rPr>
          <w:rFonts w:cs="Avenir Next"/>
          <w:i/>
        </w:rPr>
        <w:t xml:space="preserve">lower </w:t>
      </w:r>
      <w:r>
        <w:rPr>
          <w:rFonts w:cs="Avenir Next"/>
        </w:rPr>
        <w:t xml:space="preserve">than the </w:t>
      </w:r>
      <w:r>
        <w:rPr>
          <w:rFonts w:cs="Avenir Next"/>
          <w:spacing w:val="-2"/>
        </w:rPr>
        <w:t>ICRC’s</w:t>
      </w:r>
      <w:r>
        <w:rPr>
          <w:rFonts w:cs="Avenir Next"/>
          <w:spacing w:val="53"/>
        </w:rPr>
        <w:t xml:space="preserve"> </w:t>
      </w:r>
      <w:r>
        <w:t>final</w:t>
      </w:r>
      <w:r>
        <w:rPr>
          <w:spacing w:val="-1"/>
        </w:rPr>
        <w:t xml:space="preserve"> </w:t>
      </w:r>
      <w:r>
        <w:t>decision,</w:t>
      </w:r>
      <w:r>
        <w:rPr>
          <w:spacing w:val="-6"/>
        </w:rPr>
        <w:t xml:space="preserve"> </w:t>
      </w:r>
      <w:r>
        <w:t xml:space="preserve">while its </w:t>
      </w:r>
      <w:r>
        <w:rPr>
          <w:spacing w:val="-1"/>
        </w:rPr>
        <w:t xml:space="preserve">estimate </w:t>
      </w:r>
      <w:r>
        <w:t>of</w:t>
      </w:r>
      <w:r>
        <w:rPr>
          <w:spacing w:val="4"/>
        </w:rPr>
        <w:t xml:space="preserve"> </w:t>
      </w:r>
      <w:r>
        <w:t xml:space="preserve">the </w:t>
      </w:r>
      <w:r>
        <w:rPr>
          <w:spacing w:val="-1"/>
        </w:rPr>
        <w:t>remaining</w:t>
      </w:r>
      <w:r>
        <w:t xml:space="preserve"> life</w:t>
      </w:r>
      <w:r>
        <w:rPr>
          <w:spacing w:val="-1"/>
        </w:rPr>
        <w:t xml:space="preserve"> </w:t>
      </w:r>
      <w:r>
        <w:t>of</w:t>
      </w:r>
      <w:r>
        <w:rPr>
          <w:spacing w:val="4"/>
        </w:rPr>
        <w:t xml:space="preserve"> </w:t>
      </w:r>
      <w:r>
        <w:t>the ECD is</w:t>
      </w:r>
      <w:r>
        <w:rPr>
          <w:spacing w:val="-1"/>
        </w:rPr>
        <w:t xml:space="preserve"> approximately</w:t>
      </w:r>
      <w:r>
        <w:t xml:space="preserve"> 50% </w:t>
      </w:r>
      <w:r>
        <w:rPr>
          <w:spacing w:val="-2"/>
        </w:rPr>
        <w:t>higher.</w:t>
      </w:r>
      <w:r>
        <w:rPr>
          <w:spacing w:val="-10"/>
        </w:rPr>
        <w:t xml:space="preserve"> </w:t>
      </w:r>
      <w:r>
        <w:t>Although</w:t>
      </w:r>
      <w:r>
        <w:rPr>
          <w:spacing w:val="41"/>
        </w:rPr>
        <w:t xml:space="preserve"> </w:t>
      </w:r>
      <w:r>
        <w:rPr>
          <w:rFonts w:cs="Avenir Next"/>
        </w:rPr>
        <w:t xml:space="preserve">the </w:t>
      </w:r>
      <w:r>
        <w:rPr>
          <w:rFonts w:cs="Avenir Next"/>
          <w:spacing w:val="-1"/>
        </w:rPr>
        <w:t>differences</w:t>
      </w:r>
      <w:r>
        <w:rPr>
          <w:rFonts w:cs="Avenir Next"/>
        </w:rPr>
        <w:t xml:space="preserve"> </w:t>
      </w:r>
      <w:r>
        <w:rPr>
          <w:rFonts w:cs="Avenir Next"/>
          <w:spacing w:val="-2"/>
        </w:rPr>
        <w:t>are</w:t>
      </w:r>
      <w:r>
        <w:rPr>
          <w:rFonts w:cs="Avenir Next"/>
        </w:rPr>
        <w:t xml:space="preserve"> much </w:t>
      </w:r>
      <w:r>
        <w:rPr>
          <w:rFonts w:cs="Avenir Next"/>
          <w:spacing w:val="-2"/>
        </w:rPr>
        <w:t>greater</w:t>
      </w:r>
      <w:r>
        <w:rPr>
          <w:rFonts w:cs="Avenir Next"/>
        </w:rPr>
        <w:t xml:space="preserve"> for these assets,</w:t>
      </w:r>
      <w:r>
        <w:rPr>
          <w:rFonts w:cs="Avenir Next"/>
          <w:spacing w:val="-7"/>
        </w:rPr>
        <w:t xml:space="preserve"> </w:t>
      </w:r>
      <w:r>
        <w:rPr>
          <w:rFonts w:cs="Avenir Next"/>
        </w:rPr>
        <w:t xml:space="preserve">the </w:t>
      </w:r>
      <w:r>
        <w:rPr>
          <w:rFonts w:cs="Avenir Next"/>
          <w:spacing w:val="-3"/>
        </w:rPr>
        <w:t>Panel</w:t>
      </w:r>
      <w:r>
        <w:rPr>
          <w:rFonts w:cs="Avenir Next"/>
        </w:rPr>
        <w:t xml:space="preserve"> notes </w:t>
      </w:r>
      <w:r>
        <w:rPr>
          <w:rFonts w:cs="Avenir Next"/>
          <w:spacing w:val="-1"/>
        </w:rPr>
        <w:t>that</w:t>
      </w:r>
      <w:r>
        <w:rPr>
          <w:rFonts w:cs="Avenir Next"/>
        </w:rPr>
        <w:t xml:space="preserve"> while they may </w:t>
      </w:r>
      <w:r>
        <w:rPr>
          <w:rFonts w:cs="Avenir Next"/>
          <w:spacing w:val="-1"/>
        </w:rPr>
        <w:t>affect</w:t>
      </w:r>
      <w:r>
        <w:rPr>
          <w:rFonts w:cs="Avenir Next"/>
          <w:spacing w:val="-4"/>
        </w:rPr>
        <w:t xml:space="preserve"> </w:t>
      </w:r>
      <w:r>
        <w:rPr>
          <w:rFonts w:cs="Avenir Next"/>
          <w:spacing w:val="-2"/>
        </w:rPr>
        <w:t>ACTEW’s</w:t>
      </w:r>
      <w:r>
        <w:rPr>
          <w:rFonts w:cs="Avenir Next"/>
          <w:spacing w:val="35"/>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in the </w:t>
      </w:r>
      <w:r>
        <w:rPr>
          <w:rFonts w:cs="Avenir Next"/>
          <w:spacing w:val="-1"/>
        </w:rPr>
        <w:t>short</w:t>
      </w:r>
      <w:r>
        <w:rPr>
          <w:rFonts w:cs="Avenir Next"/>
        </w:rPr>
        <w:t xml:space="preserve"> term,</w:t>
      </w:r>
      <w:r>
        <w:rPr>
          <w:rFonts w:cs="Avenir Next"/>
          <w:spacing w:val="-7"/>
        </w:rPr>
        <w:t xml:space="preserve"> </w:t>
      </w:r>
      <w:r>
        <w:rPr>
          <w:rFonts w:cs="Avenir Next"/>
        </w:rPr>
        <w:t>all other things being equal,</w:t>
      </w:r>
      <w:r>
        <w:rPr>
          <w:rFonts w:cs="Avenir Next"/>
          <w:spacing w:val="-10"/>
        </w:rPr>
        <w:t xml:space="preserve"> </w:t>
      </w:r>
      <w:r>
        <w:rPr>
          <w:rFonts w:cs="Avenir Next"/>
          <w:spacing w:val="-2"/>
        </w:rPr>
        <w:t>ACTEW</w:t>
      </w:r>
      <w:r>
        <w:rPr>
          <w:rFonts w:cs="Avenir Next"/>
          <w:spacing w:val="-3"/>
        </w:rPr>
        <w:t xml:space="preserve"> </w:t>
      </w:r>
      <w:r>
        <w:rPr>
          <w:rFonts w:cs="Avenir Next"/>
        </w:rPr>
        <w:t xml:space="preserve">will </w:t>
      </w:r>
      <w:r>
        <w:rPr>
          <w:rFonts w:cs="Avenir Next"/>
          <w:spacing w:val="-1"/>
        </w:rPr>
        <w:t>receive</w:t>
      </w:r>
      <w:r>
        <w:rPr>
          <w:rFonts w:cs="Avenir Next"/>
        </w:rPr>
        <w:t xml:space="preserve"> the same</w:t>
      </w:r>
      <w:r>
        <w:rPr>
          <w:rFonts w:cs="Avenir Next"/>
          <w:spacing w:val="31"/>
        </w:rPr>
        <w:t xml:space="preserve"> </w:t>
      </w:r>
      <w:r>
        <w:rPr>
          <w:spacing w:val="-1"/>
        </w:rPr>
        <w:t>revenue</w:t>
      </w:r>
      <w:r>
        <w:t xml:space="preserve"> in net </w:t>
      </w:r>
      <w:r>
        <w:rPr>
          <w:spacing w:val="-1"/>
        </w:rPr>
        <w:t>present</w:t>
      </w:r>
      <w:r>
        <w:t xml:space="preserve"> value terms over the long run.</w:t>
      </w:r>
    </w:p>
    <w:p w:rsidR="00D96B91" w:rsidRDefault="00D96B91">
      <w:pPr>
        <w:spacing w:before="2"/>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08" style="width:72.5pt;height:.5pt;mso-position-horizontal-relative:char;mso-position-vertical-relative:line" coordsize="1450,10">
            <v:group id="_x0000_s3109" style="position:absolute;left:5;top:5;width:1440;height:2" coordorigin="5,5" coordsize="1440,2">
              <v:shape id="_x0000_s3110"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line="273" w:lineRule="auto"/>
        <w:ind w:right="3473" w:hanging="510"/>
        <w:rPr>
          <w:rFonts w:ascii="Avenir Next" w:eastAsia="Avenir Next" w:hAnsi="Avenir Next" w:cs="Avenir Next"/>
          <w:sz w:val="16"/>
          <w:szCs w:val="16"/>
        </w:rPr>
      </w:pPr>
      <w:r>
        <w:rPr>
          <w:rFonts w:ascii="Avenir Next"/>
          <w:spacing w:val="-1"/>
          <w:sz w:val="16"/>
        </w:rPr>
        <w:t>The</w:t>
      </w:r>
      <w:r>
        <w:rPr>
          <w:rFonts w:ascii="Avenir Next"/>
          <w:sz w:val="16"/>
        </w:rPr>
        <w:t xml:space="preserve"> term asset class is used in this </w:t>
      </w:r>
      <w:r>
        <w:rPr>
          <w:rFonts w:ascii="Avenir Next"/>
          <w:spacing w:val="-1"/>
          <w:sz w:val="16"/>
        </w:rPr>
        <w:t>context</w:t>
      </w:r>
      <w:r>
        <w:rPr>
          <w:rFonts w:ascii="Avenir Next"/>
          <w:sz w:val="16"/>
        </w:rPr>
        <w:t xml:space="preserve"> to </w:t>
      </w:r>
      <w:r>
        <w:rPr>
          <w:rFonts w:ascii="Avenir Next"/>
          <w:spacing w:val="-1"/>
          <w:sz w:val="16"/>
        </w:rPr>
        <w:t>refer</w:t>
      </w:r>
      <w:r>
        <w:rPr>
          <w:rFonts w:ascii="Avenir Next"/>
          <w:sz w:val="16"/>
        </w:rPr>
        <w:t xml:space="preserve"> to the following types of</w:t>
      </w:r>
      <w:r>
        <w:rPr>
          <w:rFonts w:ascii="Avenir Next"/>
          <w:spacing w:val="3"/>
          <w:sz w:val="16"/>
        </w:rPr>
        <w:t xml:space="preserve"> </w:t>
      </w:r>
      <w:r>
        <w:rPr>
          <w:rFonts w:ascii="Avenir Next"/>
          <w:sz w:val="16"/>
        </w:rPr>
        <w:t xml:space="preserve">asset </w:t>
      </w:r>
      <w:r>
        <w:rPr>
          <w:rFonts w:ascii="Avenir Next"/>
          <w:spacing w:val="-1"/>
          <w:sz w:val="16"/>
        </w:rPr>
        <w:t>groupings:</w:t>
      </w:r>
      <w:r>
        <w:rPr>
          <w:rFonts w:ascii="Avenir Next"/>
          <w:spacing w:val="31"/>
          <w:sz w:val="16"/>
        </w:rPr>
        <w:t xml:space="preserve"> </w:t>
      </w:r>
      <w:r>
        <w:rPr>
          <w:rFonts w:ascii="Avenir Next"/>
          <w:spacing w:val="-2"/>
          <w:sz w:val="16"/>
        </w:rPr>
        <w:t>Water:</w:t>
      </w:r>
      <w:r>
        <w:rPr>
          <w:rFonts w:ascii="Avenir Next"/>
          <w:spacing w:val="-1"/>
          <w:sz w:val="16"/>
        </w:rPr>
        <w:t xml:space="preserve"> </w:t>
      </w:r>
      <w:r>
        <w:rPr>
          <w:rFonts w:ascii="Avenir Next"/>
          <w:sz w:val="16"/>
        </w:rPr>
        <w:t>dams and weirs,</w:t>
      </w:r>
      <w:r>
        <w:rPr>
          <w:rFonts w:ascii="Avenir Next"/>
          <w:spacing w:val="-6"/>
          <w:sz w:val="16"/>
        </w:rPr>
        <w:t xml:space="preserve"> </w:t>
      </w:r>
      <w:r>
        <w:rPr>
          <w:rFonts w:ascii="Avenir Next"/>
          <w:spacing w:val="-1"/>
          <w:sz w:val="16"/>
        </w:rPr>
        <w:t>water</w:t>
      </w:r>
      <w:r>
        <w:rPr>
          <w:rFonts w:ascii="Avenir Next"/>
          <w:sz w:val="16"/>
        </w:rPr>
        <w:t xml:space="preserve"> </w:t>
      </w:r>
      <w:r>
        <w:rPr>
          <w:rFonts w:ascii="Avenir Next"/>
          <w:spacing w:val="-1"/>
          <w:sz w:val="16"/>
        </w:rPr>
        <w:t>treatment</w:t>
      </w:r>
      <w:r>
        <w:rPr>
          <w:rFonts w:ascii="Avenir Next"/>
          <w:sz w:val="16"/>
        </w:rPr>
        <w:t xml:space="preserve"> plants,</w:t>
      </w:r>
      <w:r>
        <w:rPr>
          <w:rFonts w:ascii="Avenir Next"/>
          <w:spacing w:val="-5"/>
          <w:sz w:val="16"/>
        </w:rPr>
        <w:t xml:space="preserve"> </w:t>
      </w:r>
      <w:r>
        <w:rPr>
          <w:rFonts w:ascii="Avenir Next"/>
          <w:spacing w:val="-1"/>
          <w:sz w:val="16"/>
        </w:rPr>
        <w:t xml:space="preserve">water </w:t>
      </w:r>
      <w:r>
        <w:rPr>
          <w:rFonts w:ascii="Avenir Next"/>
          <w:sz w:val="16"/>
        </w:rPr>
        <w:t>mains,</w:t>
      </w:r>
      <w:r>
        <w:rPr>
          <w:rFonts w:ascii="Avenir Next"/>
          <w:spacing w:val="-5"/>
          <w:sz w:val="16"/>
        </w:rPr>
        <w:t xml:space="preserve"> </w:t>
      </w:r>
      <w:r>
        <w:rPr>
          <w:rFonts w:ascii="Avenir Next"/>
          <w:sz w:val="16"/>
        </w:rPr>
        <w:t>valves,</w:t>
      </w:r>
      <w:r>
        <w:rPr>
          <w:rFonts w:ascii="Avenir Next"/>
          <w:spacing w:val="-5"/>
          <w:sz w:val="16"/>
        </w:rPr>
        <w:t xml:space="preserve"> </w:t>
      </w:r>
      <w:r>
        <w:rPr>
          <w:rFonts w:ascii="Avenir Next"/>
          <w:sz w:val="16"/>
        </w:rPr>
        <w:t>flow</w:t>
      </w:r>
      <w:r>
        <w:rPr>
          <w:rFonts w:ascii="Avenir Next"/>
          <w:spacing w:val="-1"/>
          <w:sz w:val="16"/>
        </w:rPr>
        <w:t xml:space="preserve"> </w:t>
      </w:r>
      <w:r>
        <w:rPr>
          <w:rFonts w:ascii="Avenir Next"/>
          <w:sz w:val="16"/>
        </w:rPr>
        <w:t>meters.</w:t>
      </w:r>
    </w:p>
    <w:p w:rsidR="00D96B91" w:rsidRDefault="00C2656B">
      <w:pPr>
        <w:ind w:left="1757"/>
        <w:rPr>
          <w:rFonts w:ascii="Avenir Next" w:eastAsia="Avenir Next" w:hAnsi="Avenir Next" w:cs="Avenir Next"/>
          <w:sz w:val="16"/>
          <w:szCs w:val="16"/>
        </w:rPr>
      </w:pPr>
      <w:r>
        <w:rPr>
          <w:rFonts w:ascii="Avenir Next"/>
          <w:spacing w:val="-1"/>
          <w:sz w:val="16"/>
        </w:rPr>
        <w:t>Sewerage:</w:t>
      </w:r>
      <w:r>
        <w:rPr>
          <w:rFonts w:ascii="Avenir Next"/>
          <w:sz w:val="16"/>
        </w:rPr>
        <w:t xml:space="preserve"> Sewer mains,</w:t>
      </w:r>
      <w:r>
        <w:rPr>
          <w:rFonts w:ascii="Avenir Next"/>
          <w:spacing w:val="-5"/>
          <w:sz w:val="16"/>
        </w:rPr>
        <w:t xml:space="preserve"> </w:t>
      </w:r>
      <w:r>
        <w:rPr>
          <w:rFonts w:ascii="Avenir Next"/>
          <w:spacing w:val="-1"/>
          <w:sz w:val="16"/>
        </w:rPr>
        <w:t>sewerage</w:t>
      </w:r>
      <w:r>
        <w:rPr>
          <w:rFonts w:ascii="Avenir Next"/>
          <w:sz w:val="16"/>
        </w:rPr>
        <w:t xml:space="preserve"> </w:t>
      </w:r>
      <w:r>
        <w:rPr>
          <w:rFonts w:ascii="Avenir Next"/>
          <w:spacing w:val="-1"/>
          <w:sz w:val="16"/>
        </w:rPr>
        <w:t>treatment</w:t>
      </w:r>
      <w:r>
        <w:rPr>
          <w:rFonts w:ascii="Avenir Next"/>
          <w:sz w:val="16"/>
        </w:rPr>
        <w:t xml:space="preserve"> plants,</w:t>
      </w:r>
      <w:r>
        <w:rPr>
          <w:rFonts w:ascii="Avenir Next"/>
          <w:spacing w:val="-5"/>
          <w:sz w:val="16"/>
        </w:rPr>
        <w:t xml:space="preserve"> </w:t>
      </w:r>
      <w:r>
        <w:rPr>
          <w:rFonts w:ascii="Avenir Next"/>
          <w:spacing w:val="-1"/>
          <w:sz w:val="16"/>
        </w:rPr>
        <w:t>sewerage</w:t>
      </w:r>
      <w:r>
        <w:rPr>
          <w:rFonts w:ascii="Avenir Next"/>
          <w:sz w:val="16"/>
        </w:rPr>
        <w:t xml:space="preserve"> pump </w:t>
      </w:r>
      <w:r>
        <w:rPr>
          <w:rFonts w:ascii="Avenir Next"/>
          <w:spacing w:val="-1"/>
          <w:sz w:val="16"/>
        </w:rPr>
        <w:t>stations,</w:t>
      </w:r>
      <w:r>
        <w:rPr>
          <w:rFonts w:ascii="Avenir Next"/>
          <w:spacing w:val="-5"/>
          <w:sz w:val="16"/>
        </w:rPr>
        <w:t xml:space="preserve"> </w:t>
      </w:r>
      <w:r>
        <w:rPr>
          <w:rFonts w:ascii="Avenir Next"/>
          <w:sz w:val="16"/>
        </w:rPr>
        <w:t>meters.</w:t>
      </w:r>
    </w:p>
    <w:p w:rsidR="00D96B91" w:rsidRDefault="00C2656B">
      <w:pPr>
        <w:numPr>
          <w:ilvl w:val="0"/>
          <w:numId w:val="72"/>
        </w:numPr>
        <w:tabs>
          <w:tab w:val="left" w:pos="1758"/>
        </w:tabs>
        <w:spacing w:before="128" w:line="192" w:lineRule="exact"/>
        <w:ind w:right="1642" w:hanging="510"/>
        <w:jc w:val="both"/>
        <w:rPr>
          <w:rFonts w:ascii="Avenir Next" w:eastAsia="Avenir Next" w:hAnsi="Avenir Next" w:cs="Avenir Next"/>
          <w:sz w:val="16"/>
          <w:szCs w:val="16"/>
        </w:rPr>
      </w:pP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estimate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remaining</w:t>
      </w:r>
      <w:r>
        <w:rPr>
          <w:rFonts w:ascii="Avenir Next" w:eastAsia="Avenir Next" w:hAnsi="Avenir Next" w:cs="Avenir Next"/>
          <w:sz w:val="16"/>
          <w:szCs w:val="16"/>
        </w:rPr>
        <w:t xml:space="preserve"> economic life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assets </w:t>
      </w:r>
      <w:r>
        <w:rPr>
          <w:rFonts w:ascii="Avenir Next" w:eastAsia="Avenir Next" w:hAnsi="Avenir Next" w:cs="Avenir Next"/>
          <w:spacing w:val="-1"/>
          <w:sz w:val="16"/>
          <w:szCs w:val="16"/>
        </w:rPr>
        <w:t>(excluding</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security </w:t>
      </w:r>
      <w:r>
        <w:rPr>
          <w:rFonts w:ascii="Avenir Next" w:eastAsia="Avenir Next" w:hAnsi="Avenir Next" w:cs="Avenir Next"/>
          <w:spacing w:val="-1"/>
          <w:sz w:val="16"/>
          <w:szCs w:val="16"/>
        </w:rPr>
        <w:t>projects)</w:t>
      </w:r>
      <w:r>
        <w:rPr>
          <w:rFonts w:ascii="Avenir Next" w:eastAsia="Avenir Next" w:hAnsi="Avenir Next" w:cs="Avenir Next"/>
          <w:sz w:val="16"/>
          <w:szCs w:val="16"/>
        </w:rPr>
        <w:t xml:space="preserve"> has been</w:t>
      </w:r>
      <w:r>
        <w:rPr>
          <w:rFonts w:ascii="Avenir Next" w:eastAsia="Avenir Next" w:hAnsi="Avenir Next" w:cs="Avenir Next"/>
          <w:spacing w:val="73"/>
          <w:sz w:val="16"/>
          <w:szCs w:val="16"/>
        </w:rPr>
        <w:t xml:space="preserve"> </w:t>
      </w:r>
      <w:r>
        <w:rPr>
          <w:rFonts w:ascii="Avenir Next" w:eastAsia="Avenir Next" w:hAnsi="Avenir Next" w:cs="Avenir Next"/>
          <w:spacing w:val="-1"/>
          <w:sz w:val="16"/>
          <w:szCs w:val="16"/>
        </w:rPr>
        <w:t>calculated</w:t>
      </w:r>
      <w:r>
        <w:rPr>
          <w:rFonts w:ascii="Avenir Next" w:eastAsia="Avenir Next" w:hAnsi="Avenir Next" w:cs="Avenir Next"/>
          <w:sz w:val="16"/>
          <w:szCs w:val="16"/>
        </w:rPr>
        <w:t xml:space="preserve"> by dividing the Net Book</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Value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these assets by the annual accounting based </w:t>
      </w:r>
      <w:r>
        <w:rPr>
          <w:rFonts w:ascii="Avenir Next" w:eastAsia="Avenir Next" w:hAnsi="Avenir Next" w:cs="Avenir Next"/>
          <w:spacing w:val="-1"/>
          <w:sz w:val="16"/>
          <w:szCs w:val="16"/>
        </w:rPr>
        <w:t>depreciation</w:t>
      </w:r>
      <w:r>
        <w:rPr>
          <w:rFonts w:ascii="Avenir Next" w:eastAsia="Avenir Next" w:hAnsi="Avenir Next" w:cs="Avenir Next"/>
          <w:sz w:val="16"/>
          <w:szCs w:val="16"/>
        </w:rPr>
        <w:t xml:space="preserve"> allowance for</w:t>
      </w:r>
      <w:r>
        <w:rPr>
          <w:rFonts w:ascii="Avenir Next" w:eastAsia="Avenir Next" w:hAnsi="Avenir Next" w:cs="Avenir Next"/>
          <w:spacing w:val="37"/>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same </w:t>
      </w:r>
      <w:r>
        <w:rPr>
          <w:rFonts w:ascii="Avenir Next" w:eastAsia="Avenir Next" w:hAnsi="Avenir Next" w:cs="Avenir Next"/>
          <w:spacing w:val="-1"/>
          <w:sz w:val="16"/>
          <w:szCs w:val="16"/>
        </w:rPr>
        <w:t>approach</w:t>
      </w:r>
      <w:r>
        <w:rPr>
          <w:rFonts w:ascii="Avenir Next" w:eastAsia="Avenir Next" w:hAnsi="Avenir Next" w:cs="Avenir Next"/>
          <w:sz w:val="16"/>
          <w:szCs w:val="16"/>
        </w:rPr>
        <w:t xml:space="preserve"> has also been applied for </w:t>
      </w:r>
      <w:r>
        <w:rPr>
          <w:rFonts w:ascii="Avenir Next" w:eastAsia="Avenir Next" w:hAnsi="Avenir Next" w:cs="Avenir Next"/>
          <w:spacing w:val="-1"/>
          <w:sz w:val="16"/>
          <w:szCs w:val="16"/>
        </w:rPr>
        <w:t>sewerage.</w:t>
      </w:r>
    </w:p>
    <w:p w:rsidR="00D96B91" w:rsidRDefault="00D96B91">
      <w:pPr>
        <w:spacing w:before="12"/>
        <w:rPr>
          <w:rFonts w:ascii="Avenir Next" w:eastAsia="Avenir Next" w:hAnsi="Avenir Next" w:cs="Avenir Next"/>
          <w:sz w:val="10"/>
          <w:szCs w:val="10"/>
        </w:rPr>
      </w:pPr>
    </w:p>
    <w:p w:rsidR="00D96B91" w:rsidRDefault="00C2656B">
      <w:pPr>
        <w:numPr>
          <w:ilvl w:val="0"/>
          <w:numId w:val="72"/>
        </w:numPr>
        <w:tabs>
          <w:tab w:val="left" w:pos="1758"/>
        </w:tabs>
        <w:spacing w:line="192" w:lineRule="exact"/>
        <w:ind w:right="1588" w:hanging="510"/>
        <w:jc w:val="both"/>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3"/>
          <w:sz w:val="16"/>
          <w:szCs w:val="16"/>
        </w:rPr>
        <w:t>Panel’s</w:t>
      </w:r>
      <w:r>
        <w:rPr>
          <w:rFonts w:ascii="Avenir Next" w:eastAsia="Avenir Next" w:hAnsi="Avenir Next" w:cs="Avenir Next"/>
          <w:sz w:val="16"/>
          <w:szCs w:val="16"/>
        </w:rPr>
        <w:t xml:space="preserve"> use of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estimates,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which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based on accounting </w:t>
      </w:r>
      <w:r>
        <w:rPr>
          <w:rFonts w:ascii="Avenir Next" w:eastAsia="Avenir Next" w:hAnsi="Avenir Next" w:cs="Avenir Next"/>
          <w:spacing w:val="-1"/>
          <w:sz w:val="16"/>
          <w:szCs w:val="16"/>
        </w:rPr>
        <w:t>measures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rather</w:t>
      </w:r>
      <w:r>
        <w:rPr>
          <w:rFonts w:ascii="Avenir Next" w:eastAsia="Avenir Next" w:hAnsi="Avenir Next" w:cs="Avenir Next"/>
          <w:sz w:val="16"/>
          <w:szCs w:val="16"/>
        </w:rPr>
        <w:t xml:space="preserve"> than the </w:t>
      </w:r>
      <w:r>
        <w:rPr>
          <w:rFonts w:ascii="Avenir Next" w:eastAsia="Avenir Next" w:hAnsi="Avenir Next" w:cs="Avenir Next"/>
          <w:spacing w:val="-1"/>
          <w:sz w:val="16"/>
          <w:szCs w:val="16"/>
        </w:rPr>
        <w:t>approach</w:t>
      </w:r>
      <w:r>
        <w:rPr>
          <w:rFonts w:ascii="Avenir Next" w:eastAsia="Avenir Next" w:hAnsi="Avenir Next" w:cs="Avenir Next"/>
          <w:sz w:val="16"/>
          <w:szCs w:val="16"/>
        </w:rPr>
        <w:t xml:space="preserve"> used by the</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ICRC,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means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no </w:t>
      </w:r>
      <w:r>
        <w:rPr>
          <w:rFonts w:ascii="Avenir Next" w:eastAsia="Avenir Next" w:hAnsi="Avenir Next" w:cs="Avenir Next"/>
          <w:spacing w:val="-1"/>
          <w:sz w:val="16"/>
          <w:szCs w:val="16"/>
        </w:rPr>
        <w:t>further</w:t>
      </w:r>
      <w:r>
        <w:rPr>
          <w:rFonts w:ascii="Avenir Next" w:eastAsia="Avenir Next" w:hAnsi="Avenir Next" w:cs="Avenir Next"/>
          <w:sz w:val="16"/>
          <w:szCs w:val="16"/>
        </w:rPr>
        <w:t xml:space="preserve"> adjustments need to be made to </w:t>
      </w:r>
      <w:r>
        <w:rPr>
          <w:rFonts w:ascii="Avenir Next" w:eastAsia="Avenir Next" w:hAnsi="Avenir Next" w:cs="Avenir Next"/>
          <w:spacing w:val="-1"/>
          <w:sz w:val="16"/>
          <w:szCs w:val="16"/>
        </w:rPr>
        <w:t>address</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errors</w:t>
      </w:r>
      <w:r>
        <w:rPr>
          <w:rFonts w:ascii="Avenir Next" w:eastAsia="Avenir Next" w:hAnsi="Avenir Next" w:cs="Avenir Next"/>
          <w:sz w:val="16"/>
          <w:szCs w:val="16"/>
        </w:rPr>
        <w:t xml:space="preserve"> outlined in section </w:t>
      </w:r>
      <w:hyperlink w:anchor="_bookmark75" w:history="1">
        <w:r>
          <w:rPr>
            <w:rFonts w:ascii="Avenir Next" w:eastAsia="Avenir Next" w:hAnsi="Avenir Next" w:cs="Avenir Next"/>
            <w:sz w:val="16"/>
            <w:szCs w:val="16"/>
          </w:rPr>
          <w:t>9.4.3.1</w:t>
        </w:r>
      </w:hyperlink>
      <w:r>
        <w:rPr>
          <w:rFonts w:ascii="Avenir Next" w:eastAsia="Avenir Next" w:hAnsi="Avenir Next" w:cs="Avenir Next"/>
          <w:sz w:val="16"/>
          <w:szCs w:val="16"/>
        </w:rPr>
        <w:t>.</w:t>
      </w:r>
    </w:p>
    <w:p w:rsidR="00D96B91" w:rsidRDefault="00D96B91">
      <w:pPr>
        <w:spacing w:before="12"/>
        <w:rPr>
          <w:rFonts w:ascii="Avenir Next" w:eastAsia="Avenir Next" w:hAnsi="Avenir Next" w:cs="Avenir Next"/>
          <w:sz w:val="10"/>
          <w:szCs w:val="10"/>
        </w:rPr>
      </w:pPr>
    </w:p>
    <w:p w:rsidR="00D96B91" w:rsidRDefault="00C2656B">
      <w:pPr>
        <w:numPr>
          <w:ilvl w:val="0"/>
          <w:numId w:val="72"/>
        </w:numPr>
        <w:tabs>
          <w:tab w:val="left" w:pos="1758"/>
        </w:tabs>
        <w:spacing w:line="192" w:lineRule="exact"/>
        <w:ind w:right="1551" w:hanging="510"/>
        <w:jc w:val="both"/>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has assumed the </w:t>
      </w:r>
      <w:r>
        <w:rPr>
          <w:rFonts w:ascii="Avenir Next" w:eastAsia="Avenir Next" w:hAnsi="Avenir Next" w:cs="Avenir Next"/>
          <w:spacing w:val="-1"/>
          <w:sz w:val="16"/>
          <w:szCs w:val="16"/>
        </w:rPr>
        <w:t>‘SCADA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data</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storage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upgrade’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project</w:t>
      </w:r>
      <w:r>
        <w:rPr>
          <w:rFonts w:ascii="Avenir Next" w:eastAsia="Avenir Next" w:hAnsi="Avenir Next" w:cs="Avenir Next"/>
          <w:sz w:val="16"/>
          <w:szCs w:val="16"/>
        </w:rPr>
        <w:t xml:space="preserve"> has a </w:t>
      </w:r>
      <w:r>
        <w:rPr>
          <w:rFonts w:ascii="Avenir Next" w:eastAsia="Avenir Next" w:hAnsi="Avenir Next" w:cs="Avenir Next"/>
          <w:spacing w:val="-1"/>
          <w:sz w:val="16"/>
          <w:szCs w:val="16"/>
        </w:rPr>
        <w:t>standard</w:t>
      </w:r>
      <w:r>
        <w:rPr>
          <w:rFonts w:ascii="Avenir Next" w:eastAsia="Avenir Next" w:hAnsi="Avenir Next" w:cs="Avenir Next"/>
          <w:sz w:val="16"/>
          <w:szCs w:val="16"/>
        </w:rPr>
        <w:t xml:space="preserve"> life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15 </w:t>
      </w:r>
      <w:r>
        <w:rPr>
          <w:rFonts w:ascii="Avenir Next" w:eastAsia="Avenir Next" w:hAnsi="Avenir Next" w:cs="Avenir Next"/>
          <w:spacing w:val="-1"/>
          <w:sz w:val="16"/>
          <w:szCs w:val="16"/>
        </w:rPr>
        <w:t>years,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 is</w:t>
      </w:r>
      <w:r>
        <w:rPr>
          <w:rFonts w:ascii="Avenir Next" w:eastAsia="Avenir Next" w:hAnsi="Avenir Next" w:cs="Avenir Next"/>
          <w:spacing w:val="71"/>
          <w:sz w:val="16"/>
          <w:szCs w:val="16"/>
        </w:rPr>
        <w:t xml:space="preserve"> </w:t>
      </w:r>
      <w:r>
        <w:rPr>
          <w:rFonts w:ascii="Avenir Next" w:eastAsia="Avenir Next" w:hAnsi="Avenir Next" w:cs="Avenir Next"/>
          <w:spacing w:val="-1"/>
          <w:sz w:val="16"/>
          <w:szCs w:val="16"/>
        </w:rPr>
        <w:t>what</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has assumed for other </w:t>
      </w:r>
      <w:r>
        <w:rPr>
          <w:rFonts w:ascii="Avenir Next" w:eastAsia="Avenir Next" w:hAnsi="Avenir Next" w:cs="Avenir Next"/>
          <w:spacing w:val="-2"/>
          <w:sz w:val="16"/>
          <w:szCs w:val="16"/>
        </w:rPr>
        <w:t>SCADA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projects.</w:t>
      </w:r>
    </w:p>
    <w:p w:rsidR="00D96B91" w:rsidRDefault="00D96B91">
      <w:pPr>
        <w:spacing w:line="192" w:lineRule="exact"/>
        <w:jc w:val="both"/>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D96B91">
      <w:pPr>
        <w:spacing w:before="29"/>
        <w:ind w:left="1247"/>
        <w:rPr>
          <w:rFonts w:ascii="Avenir Next" w:eastAsia="Avenir Next" w:hAnsi="Avenir Next" w:cs="Avenir Next"/>
          <w:sz w:val="20"/>
          <w:szCs w:val="20"/>
        </w:rPr>
      </w:pPr>
      <w:r w:rsidRPr="00D96B91">
        <w:pict>
          <v:group id="_x0000_s3106" style="position:absolute;left:0;text-align:left;margin-left:396.4pt;margin-top:18.8pt;width:.1pt;height:15.35pt;z-index:-251740672;mso-position-horizontal-relative:page" coordorigin="7928,376" coordsize="2,307">
            <v:shape id="_x0000_s3107" style="position:absolute;left:7928;top:376;width:2;height:307" coordorigin="7928,376" coordsize="0,307" path="m7928,682r,-306e" filled="f" strokecolor="#1a9eda" strokeweight=".5pt">
              <v:path arrowok="t"/>
            </v:shape>
            <w10:wrap anchorx="page"/>
          </v:group>
        </w:pict>
      </w:r>
      <w:bookmarkStart w:id="126" w:name="_bookmark78"/>
      <w:bookmarkEnd w:id="126"/>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9.14: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 –</w:t>
      </w:r>
      <w:r w:rsidR="00C2656B">
        <w:rPr>
          <w:rFonts w:ascii="Avenir Next" w:eastAsia="Avenir Next" w:hAnsi="Avenir Next" w:cs="Avenir Next"/>
          <w:b/>
          <w:bCs/>
          <w:spacing w:val="-4"/>
          <w:sz w:val="20"/>
          <w:szCs w:val="20"/>
        </w:rPr>
        <w:t xml:space="preserve"> </w:t>
      </w:r>
      <w:r w:rsidR="00C2656B">
        <w:rPr>
          <w:rFonts w:ascii="Avenir Next" w:eastAsia="Avenir Next" w:hAnsi="Avenir Next" w:cs="Avenir Next"/>
          <w:b/>
          <w:bCs/>
          <w:sz w:val="20"/>
          <w:szCs w:val="20"/>
        </w:rPr>
        <w:t xml:space="preserve">Asset lives </w:t>
      </w:r>
      <w:r w:rsidR="00C2656B">
        <w:rPr>
          <w:rFonts w:ascii="Avenir Next" w:eastAsia="Avenir Next" w:hAnsi="Avenir Next" w:cs="Avenir Next"/>
          <w:b/>
          <w:bCs/>
          <w:spacing w:val="-1"/>
          <w:sz w:val="20"/>
          <w:szCs w:val="20"/>
        </w:rPr>
        <w:t>(years)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149"/>
        <w:gridCol w:w="794"/>
        <w:gridCol w:w="4462"/>
        <w:gridCol w:w="10"/>
        <w:gridCol w:w="1986"/>
      </w:tblGrid>
      <w:tr w:rsidR="00D96B91" w:rsidTr="006909CD">
        <w:trPr>
          <w:trHeight w:hRule="exact" w:val="316"/>
        </w:trPr>
        <w:tc>
          <w:tcPr>
            <w:tcW w:w="7415" w:type="dxa"/>
            <w:gridSpan w:val="4"/>
            <w:tcBorders>
              <w:top w:val="single" w:sz="4" w:space="0" w:color="1A9EDA"/>
              <w:left w:val="single" w:sz="12" w:space="0" w:color="17A7E0"/>
              <w:bottom w:val="single" w:sz="4" w:space="0" w:color="1A9EDA"/>
              <w:right w:val="single" w:sz="4" w:space="0" w:color="1A9EDA"/>
            </w:tcBorders>
            <w:shd w:val="clear" w:color="auto" w:fill="0778B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b/>
                <w:color w:val="FFFFFF"/>
                <w:spacing w:val="-1"/>
                <w:sz w:val="18"/>
              </w:rPr>
              <w:t>Asset</w:t>
            </w:r>
          </w:p>
        </w:tc>
        <w:tc>
          <w:tcPr>
            <w:tcW w:w="198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6909CD">
            <w:pPr>
              <w:pStyle w:val="TableParagraph"/>
              <w:spacing w:before="63" w:line="243" w:lineRule="exact"/>
              <w:ind w:left="142"/>
              <w:jc w:val="center"/>
              <w:rPr>
                <w:rFonts w:ascii="Avenir Next Condensed" w:eastAsia="Avenir Next Condensed" w:hAnsi="Avenir Next Condensed" w:cs="Avenir Next Condensed"/>
                <w:sz w:val="18"/>
                <w:szCs w:val="18"/>
              </w:rPr>
            </w:pPr>
            <w:r>
              <w:rPr>
                <w:rFonts w:ascii="Avenir Next Condensed"/>
                <w:b/>
                <w:color w:val="FFFFFF"/>
                <w:sz w:val="18"/>
              </w:rPr>
              <w:t>Economic Lives</w:t>
            </w:r>
          </w:p>
        </w:tc>
      </w:tr>
      <w:tr w:rsidR="00D96B91" w:rsidTr="006909CD">
        <w:trPr>
          <w:trHeight w:hRule="exact" w:val="316"/>
        </w:trPr>
        <w:tc>
          <w:tcPr>
            <w:tcW w:w="9401" w:type="dxa"/>
            <w:gridSpan w:val="5"/>
            <w:tcBorders>
              <w:top w:val="single" w:sz="4" w:space="0" w:color="1A9EDA"/>
              <w:left w:val="single" w:sz="12" w:space="0" w:color="17A7E0"/>
              <w:bottom w:val="single" w:sz="4" w:space="0" w:color="17A7E0"/>
              <w:right w:val="single" w:sz="4" w:space="0" w:color="17A7E0"/>
            </w:tcBorders>
            <w:shd w:val="clear" w:color="auto" w:fill="9AC6EA"/>
          </w:tcPr>
          <w:p w:rsidR="00D96B91" w:rsidRDefault="00C2656B">
            <w:pPr>
              <w:pStyle w:val="TableParagraph"/>
              <w:spacing w:before="63" w:line="243" w:lineRule="exact"/>
              <w:ind w:left="2744"/>
              <w:rPr>
                <w:rFonts w:ascii="Avenir Next Condensed" w:eastAsia="Avenir Next Condensed" w:hAnsi="Avenir Next Condensed" w:cs="Avenir Next Condensed"/>
                <w:sz w:val="18"/>
                <w:szCs w:val="18"/>
              </w:rPr>
            </w:pPr>
            <w:r>
              <w:rPr>
                <w:rFonts w:ascii="Avenir Next Condensed"/>
                <w:b/>
                <w:spacing w:val="-1"/>
                <w:sz w:val="18"/>
              </w:rPr>
              <w:t>Remaining</w:t>
            </w:r>
            <w:r>
              <w:rPr>
                <w:rFonts w:ascii="Avenir Next Condensed"/>
                <w:b/>
                <w:sz w:val="18"/>
              </w:rPr>
              <w:t xml:space="preserve"> </w:t>
            </w:r>
            <w:r>
              <w:rPr>
                <w:rFonts w:ascii="Avenir Next Condensed"/>
                <w:b/>
                <w:spacing w:val="-1"/>
                <w:sz w:val="18"/>
              </w:rPr>
              <w:t>asset</w:t>
            </w:r>
            <w:r>
              <w:rPr>
                <w:rFonts w:ascii="Avenir Next Condensed"/>
                <w:b/>
                <w:sz w:val="18"/>
              </w:rPr>
              <w:t xml:space="preserve"> lives for </w:t>
            </w:r>
            <w:r>
              <w:rPr>
                <w:rFonts w:ascii="Avenir Next Condensed"/>
                <w:b/>
                <w:spacing w:val="-1"/>
                <w:sz w:val="18"/>
              </w:rPr>
              <w:t>existing</w:t>
            </w:r>
            <w:r>
              <w:rPr>
                <w:rFonts w:ascii="Avenir Next Condensed"/>
                <w:b/>
                <w:sz w:val="18"/>
              </w:rPr>
              <w:t xml:space="preserve"> </w:t>
            </w:r>
            <w:r>
              <w:rPr>
                <w:rFonts w:ascii="Avenir Next Condensed"/>
                <w:b/>
                <w:spacing w:val="-1"/>
                <w:sz w:val="18"/>
              </w:rPr>
              <w:t>assets</w:t>
            </w:r>
            <w:r>
              <w:rPr>
                <w:rFonts w:ascii="Avenir Next Condensed"/>
                <w:b/>
                <w:sz w:val="18"/>
              </w:rPr>
              <w:t xml:space="preserve"> as at 1</w:t>
            </w:r>
            <w:r>
              <w:rPr>
                <w:rFonts w:ascii="Avenir Next Condensed"/>
                <w:b/>
                <w:spacing w:val="-3"/>
                <w:sz w:val="18"/>
              </w:rPr>
              <w:t xml:space="preserve"> </w:t>
            </w:r>
            <w:r>
              <w:rPr>
                <w:rFonts w:ascii="Avenir Next Condensed"/>
                <w:b/>
                <w:sz w:val="18"/>
              </w:rPr>
              <w:t>July 2013</w:t>
            </w:r>
          </w:p>
        </w:tc>
      </w:tr>
      <w:tr w:rsidR="00D96B91" w:rsidTr="006909CD">
        <w:trPr>
          <w:trHeight w:hRule="exact" w:val="316"/>
        </w:trPr>
        <w:tc>
          <w:tcPr>
            <w:tcW w:w="2149" w:type="dxa"/>
            <w:vMerge w:val="restart"/>
            <w:tcBorders>
              <w:top w:val="single" w:sz="4" w:space="0" w:color="17A7E0"/>
              <w:left w:val="single" w:sz="12" w:space="0" w:color="17A7E0"/>
              <w:right w:val="single" w:sz="4" w:space="0" w:color="17A7E0"/>
            </w:tcBorders>
            <w:shd w:val="clear" w:color="auto" w:fill="F0F9FE"/>
          </w:tcPr>
          <w:p w:rsidR="00D96B91" w:rsidRDefault="00C2656B">
            <w:pPr>
              <w:pStyle w:val="TableParagraph"/>
              <w:spacing w:before="63"/>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security </w:t>
            </w:r>
            <w:r>
              <w:rPr>
                <w:rFonts w:ascii="Avenir Next Condensed"/>
                <w:b/>
                <w:spacing w:val="-1"/>
                <w:sz w:val="18"/>
              </w:rPr>
              <w:t>projects</w:t>
            </w:r>
          </w:p>
        </w:tc>
        <w:tc>
          <w:tcPr>
            <w:tcW w:w="794"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63"/>
              <w:ind w:left="108"/>
              <w:rPr>
                <w:rFonts w:ascii="Avenir Next Condensed" w:eastAsia="Avenir Next Condensed" w:hAnsi="Avenir Next Condensed" w:cs="Avenir Next Condensed"/>
                <w:sz w:val="18"/>
                <w:szCs w:val="18"/>
              </w:rPr>
            </w:pPr>
            <w:r>
              <w:rPr>
                <w:rFonts w:ascii="Avenir Next Condensed"/>
                <w:sz w:val="18"/>
              </w:rPr>
              <w:t>ECD</w:t>
            </w:r>
          </w:p>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z w:val="18"/>
              </w:rPr>
              <w:t>Dams and weirs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148.9</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Valves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29.7</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Pressure</w:t>
            </w:r>
            <w:r>
              <w:rPr>
                <w:rFonts w:ascii="Avenir Next Condensed"/>
                <w:sz w:val="18"/>
              </w:rPr>
              <w:t xml:space="preserve"> sensors,</w:t>
            </w:r>
            <w:r>
              <w:rPr>
                <w:rFonts w:ascii="Avenir Next Condensed"/>
                <w:spacing w:val="-6"/>
                <w:sz w:val="18"/>
              </w:rPr>
              <w:t xml:space="preserve"> </w:t>
            </w:r>
            <w:r>
              <w:rPr>
                <w:rFonts w:ascii="Avenir Next Condensed"/>
                <w:spacing w:val="-1"/>
                <w:sz w:val="18"/>
              </w:rPr>
              <w:t>transmitters</w:t>
            </w:r>
            <w:r>
              <w:rPr>
                <w:rFonts w:ascii="Avenir Next Condensed"/>
                <w:sz w:val="18"/>
              </w:rPr>
              <w:t xml:space="preserve"> and meters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9.7</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00000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z w:val="18"/>
              </w:rPr>
              <w:t>Flow meters</w:t>
            </w:r>
          </w:p>
        </w:tc>
        <w:tc>
          <w:tcPr>
            <w:tcW w:w="1996" w:type="dxa"/>
            <w:gridSpan w:val="2"/>
            <w:tcBorders>
              <w:top w:val="single" w:sz="4" w:space="0" w:color="17A7E0"/>
              <w:left w:val="single" w:sz="4" w:space="0" w:color="17A7E0"/>
              <w:bottom w:val="single" w:sz="4" w:space="0" w:color="00000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19.7</w:t>
            </w:r>
          </w:p>
        </w:tc>
      </w:tr>
      <w:tr w:rsidR="00D96B91" w:rsidTr="006909CD">
        <w:trPr>
          <w:trHeight w:hRule="exact" w:val="32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bottom w:val="single" w:sz="12" w:space="0" w:color="17A7E0"/>
              <w:right w:val="single" w:sz="4" w:space="0" w:color="17A7E0"/>
            </w:tcBorders>
            <w:shd w:val="clear" w:color="auto" w:fill="F0F9FE"/>
          </w:tcPr>
          <w:p w:rsidR="00D96B91" w:rsidRDefault="00D96B91"/>
        </w:tc>
        <w:tc>
          <w:tcPr>
            <w:tcW w:w="4462" w:type="dxa"/>
            <w:tcBorders>
              <w:top w:val="single" w:sz="4" w:space="0" w:color="00000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ind w:left="108"/>
              <w:rPr>
                <w:rFonts w:ascii="Avenir Next Condensed" w:eastAsia="Avenir Next Condensed" w:hAnsi="Avenir Next Condensed" w:cs="Avenir Next Condensed"/>
                <w:sz w:val="18"/>
                <w:szCs w:val="18"/>
              </w:rPr>
            </w:pPr>
            <w:r>
              <w:rPr>
                <w:rFonts w:ascii="Avenir Next Condensed"/>
                <w:i/>
                <w:spacing w:val="-1"/>
                <w:sz w:val="18"/>
              </w:rPr>
              <w:t>Weighted</w:t>
            </w:r>
            <w:r>
              <w:rPr>
                <w:rFonts w:ascii="Avenir Next Condensed"/>
                <w:i/>
                <w:sz w:val="18"/>
              </w:rPr>
              <w:t xml:space="preserve"> </w:t>
            </w:r>
            <w:r>
              <w:rPr>
                <w:rFonts w:ascii="Avenir Next Condensed"/>
                <w:i/>
                <w:spacing w:val="-1"/>
                <w:sz w:val="18"/>
              </w:rPr>
              <w:t>average</w:t>
            </w:r>
            <w:r>
              <w:rPr>
                <w:rFonts w:ascii="Avenir Next Condensed"/>
                <w:i/>
                <w:sz w:val="18"/>
              </w:rPr>
              <w:t xml:space="preserve"> </w:t>
            </w:r>
            <w:r>
              <w:rPr>
                <w:rFonts w:ascii="Avenir Next Condensed"/>
                <w:i/>
                <w:spacing w:val="-1"/>
                <w:sz w:val="18"/>
              </w:rPr>
              <w:t>remaining</w:t>
            </w:r>
            <w:r>
              <w:rPr>
                <w:rFonts w:ascii="Avenir Next Condensed"/>
                <w:i/>
                <w:sz w:val="18"/>
              </w:rPr>
              <w:t xml:space="preserve"> life as </w:t>
            </w:r>
            <w:r>
              <w:rPr>
                <w:rFonts w:ascii="Avenir Next Condensed"/>
                <w:i/>
                <w:spacing w:val="-1"/>
                <w:sz w:val="18"/>
              </w:rPr>
              <w:t>at</w:t>
            </w:r>
            <w:r>
              <w:rPr>
                <w:rFonts w:ascii="Avenir Next Condensed"/>
                <w:i/>
                <w:sz w:val="18"/>
              </w:rPr>
              <w:t xml:space="preserve"> 1</w:t>
            </w:r>
            <w:r>
              <w:rPr>
                <w:rFonts w:ascii="Avenir Next Condensed"/>
                <w:i/>
                <w:spacing w:val="-3"/>
                <w:sz w:val="18"/>
              </w:rPr>
              <w:t xml:space="preserve"> </w:t>
            </w:r>
            <w:r>
              <w:rPr>
                <w:rFonts w:ascii="Avenir Next Condensed"/>
                <w:i/>
                <w:sz w:val="18"/>
              </w:rPr>
              <w:t>July 2013</w:t>
            </w:r>
          </w:p>
        </w:tc>
        <w:tc>
          <w:tcPr>
            <w:tcW w:w="1996" w:type="dxa"/>
            <w:gridSpan w:val="2"/>
            <w:tcBorders>
              <w:top w:val="single" w:sz="4" w:space="0" w:color="00000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jc w:val="center"/>
              <w:rPr>
                <w:rFonts w:ascii="Avenir Next Condensed" w:eastAsia="Avenir Next Condensed" w:hAnsi="Avenir Next Condensed" w:cs="Avenir Next Condensed"/>
                <w:sz w:val="18"/>
                <w:szCs w:val="18"/>
              </w:rPr>
            </w:pPr>
            <w:r>
              <w:rPr>
                <w:rFonts w:ascii="Avenir Next Condensed"/>
                <w:i/>
                <w:sz w:val="18"/>
              </w:rPr>
              <w:t>147.2</w:t>
            </w:r>
          </w:p>
        </w:tc>
      </w:tr>
      <w:tr w:rsidR="00D96B91" w:rsidTr="006909CD">
        <w:trPr>
          <w:trHeight w:hRule="exact" w:val="30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val="restart"/>
            <w:tcBorders>
              <w:top w:val="single" w:sz="12" w:space="0" w:color="17A7E0"/>
              <w:left w:val="single" w:sz="4" w:space="0" w:color="17A7E0"/>
              <w:right w:val="single" w:sz="4" w:space="0" w:color="17A7E0"/>
            </w:tcBorders>
            <w:shd w:val="clear" w:color="auto" w:fill="F0F9FE"/>
          </w:tcPr>
          <w:p w:rsidR="00D96B91" w:rsidRDefault="00C2656B">
            <w:pPr>
              <w:pStyle w:val="TableParagraph"/>
              <w:spacing w:before="53"/>
              <w:ind w:left="108"/>
              <w:rPr>
                <w:rFonts w:ascii="Avenir Next Condensed" w:eastAsia="Avenir Next Condensed" w:hAnsi="Avenir Next Condensed" w:cs="Avenir Next Condensed"/>
                <w:sz w:val="18"/>
                <w:szCs w:val="18"/>
              </w:rPr>
            </w:pPr>
            <w:r>
              <w:rPr>
                <w:rFonts w:ascii="Avenir Next Condensed"/>
                <w:sz w:val="18"/>
              </w:rPr>
              <w:t>M2G</w:t>
            </w:r>
          </w:p>
        </w:tc>
        <w:tc>
          <w:tcPr>
            <w:tcW w:w="4462" w:type="dxa"/>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line="243" w:lineRule="exact"/>
              <w:ind w:left="108"/>
              <w:rPr>
                <w:rFonts w:ascii="Avenir Next Condensed" w:eastAsia="Avenir Next Condensed" w:hAnsi="Avenir Next Condensed" w:cs="Avenir Next Condensed"/>
                <w:sz w:val="18"/>
                <w:szCs w:val="18"/>
              </w:rPr>
            </w:pPr>
            <w:r>
              <w:rPr>
                <w:rFonts w:ascii="Avenir Next Condensed"/>
                <w:spacing w:val="-1"/>
                <w:sz w:val="18"/>
              </w:rPr>
              <w:t>Cathodic</w:t>
            </w:r>
            <w:r>
              <w:rPr>
                <w:rFonts w:ascii="Avenir Next Condensed"/>
                <w:sz w:val="18"/>
              </w:rPr>
              <w:t xml:space="preserve"> </w:t>
            </w:r>
            <w:r>
              <w:rPr>
                <w:rFonts w:ascii="Avenir Next Condensed"/>
                <w:spacing w:val="-1"/>
                <w:sz w:val="18"/>
              </w:rPr>
              <w:t>protection</w:t>
            </w:r>
          </w:p>
        </w:tc>
        <w:tc>
          <w:tcPr>
            <w:tcW w:w="1996" w:type="dxa"/>
            <w:gridSpan w:val="2"/>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line="243" w:lineRule="exact"/>
              <w:jc w:val="center"/>
              <w:rPr>
                <w:rFonts w:ascii="Avenir Next Condensed" w:eastAsia="Avenir Next Condensed" w:hAnsi="Avenir Next Condensed" w:cs="Avenir Next Condensed"/>
                <w:sz w:val="18"/>
                <w:szCs w:val="18"/>
              </w:rPr>
            </w:pPr>
            <w:r>
              <w:rPr>
                <w:rFonts w:ascii="Avenir Next Condensed"/>
                <w:sz w:val="18"/>
              </w:rPr>
              <w:t>19.2</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Valves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29.2</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z w:val="18"/>
              </w:rPr>
              <w:t>Flow meters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19.2</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mains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99.2</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Telemetry</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9.2</w:t>
            </w:r>
          </w:p>
        </w:tc>
      </w:tr>
      <w:tr w:rsidR="00D96B91" w:rsidTr="006909CD">
        <w:trPr>
          <w:trHeight w:hRule="exact" w:val="31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00000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Pump</w:t>
            </w:r>
            <w:r>
              <w:rPr>
                <w:rFonts w:ascii="Avenir Next Condensed"/>
                <w:sz w:val="18"/>
              </w:rPr>
              <w:t xml:space="preserve"> Sets</w:t>
            </w:r>
          </w:p>
        </w:tc>
        <w:tc>
          <w:tcPr>
            <w:tcW w:w="1996" w:type="dxa"/>
            <w:gridSpan w:val="2"/>
            <w:tcBorders>
              <w:top w:val="single" w:sz="4" w:space="0" w:color="17A7E0"/>
              <w:left w:val="single" w:sz="4" w:space="0" w:color="17A7E0"/>
              <w:bottom w:val="single" w:sz="4" w:space="0" w:color="00000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24.2</w:t>
            </w:r>
          </w:p>
        </w:tc>
      </w:tr>
      <w:tr w:rsidR="00D96B91" w:rsidTr="006909CD">
        <w:trPr>
          <w:trHeight w:hRule="exact" w:val="326"/>
        </w:trPr>
        <w:tc>
          <w:tcPr>
            <w:tcW w:w="2149" w:type="dxa"/>
            <w:vMerge/>
            <w:tcBorders>
              <w:left w:val="single" w:sz="12" w:space="0" w:color="17A7E0"/>
              <w:right w:val="single" w:sz="4" w:space="0" w:color="17A7E0"/>
            </w:tcBorders>
            <w:shd w:val="clear" w:color="auto" w:fill="F0F9FE"/>
          </w:tcPr>
          <w:p w:rsidR="00D96B91" w:rsidRDefault="00D96B91"/>
        </w:tc>
        <w:tc>
          <w:tcPr>
            <w:tcW w:w="794" w:type="dxa"/>
            <w:vMerge/>
            <w:tcBorders>
              <w:left w:val="single" w:sz="4" w:space="0" w:color="17A7E0"/>
              <w:bottom w:val="single" w:sz="12" w:space="0" w:color="17A7E0"/>
              <w:right w:val="single" w:sz="4" w:space="0" w:color="17A7E0"/>
            </w:tcBorders>
            <w:shd w:val="clear" w:color="auto" w:fill="F0F9FE"/>
          </w:tcPr>
          <w:p w:rsidR="00D96B91" w:rsidRDefault="00D96B91"/>
        </w:tc>
        <w:tc>
          <w:tcPr>
            <w:tcW w:w="4462" w:type="dxa"/>
            <w:tcBorders>
              <w:top w:val="single" w:sz="4" w:space="0" w:color="00000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ind w:left="108"/>
              <w:rPr>
                <w:rFonts w:ascii="Avenir Next Condensed" w:eastAsia="Avenir Next Condensed" w:hAnsi="Avenir Next Condensed" w:cs="Avenir Next Condensed"/>
                <w:sz w:val="18"/>
                <w:szCs w:val="18"/>
              </w:rPr>
            </w:pPr>
            <w:r>
              <w:rPr>
                <w:rFonts w:ascii="Avenir Next Condensed"/>
                <w:i/>
                <w:spacing w:val="-1"/>
                <w:sz w:val="18"/>
              </w:rPr>
              <w:t>Weighted</w:t>
            </w:r>
            <w:r>
              <w:rPr>
                <w:rFonts w:ascii="Avenir Next Condensed"/>
                <w:i/>
                <w:sz w:val="18"/>
              </w:rPr>
              <w:t xml:space="preserve"> </w:t>
            </w:r>
            <w:r>
              <w:rPr>
                <w:rFonts w:ascii="Avenir Next Condensed"/>
                <w:i/>
                <w:spacing w:val="-1"/>
                <w:sz w:val="18"/>
              </w:rPr>
              <w:t>average</w:t>
            </w:r>
            <w:r>
              <w:rPr>
                <w:rFonts w:ascii="Avenir Next Condensed"/>
                <w:i/>
                <w:sz w:val="18"/>
              </w:rPr>
              <w:t xml:space="preserve"> </w:t>
            </w:r>
            <w:r>
              <w:rPr>
                <w:rFonts w:ascii="Avenir Next Condensed"/>
                <w:i/>
                <w:spacing w:val="-1"/>
                <w:sz w:val="18"/>
              </w:rPr>
              <w:t>remaining</w:t>
            </w:r>
            <w:r>
              <w:rPr>
                <w:rFonts w:ascii="Avenir Next Condensed"/>
                <w:i/>
                <w:sz w:val="18"/>
              </w:rPr>
              <w:t xml:space="preserve"> life as </w:t>
            </w:r>
            <w:r>
              <w:rPr>
                <w:rFonts w:ascii="Avenir Next Condensed"/>
                <w:i/>
                <w:spacing w:val="-1"/>
                <w:sz w:val="18"/>
              </w:rPr>
              <w:t>at</w:t>
            </w:r>
            <w:r>
              <w:rPr>
                <w:rFonts w:ascii="Avenir Next Condensed"/>
                <w:i/>
                <w:sz w:val="18"/>
              </w:rPr>
              <w:t xml:space="preserve"> 1</w:t>
            </w:r>
            <w:r>
              <w:rPr>
                <w:rFonts w:ascii="Avenir Next Condensed"/>
                <w:i/>
                <w:spacing w:val="-3"/>
                <w:sz w:val="18"/>
              </w:rPr>
              <w:t xml:space="preserve"> </w:t>
            </w:r>
            <w:r>
              <w:rPr>
                <w:rFonts w:ascii="Avenir Next Condensed"/>
                <w:i/>
                <w:sz w:val="18"/>
              </w:rPr>
              <w:t>July 2013</w:t>
            </w:r>
          </w:p>
        </w:tc>
        <w:tc>
          <w:tcPr>
            <w:tcW w:w="1996" w:type="dxa"/>
            <w:gridSpan w:val="2"/>
            <w:tcBorders>
              <w:top w:val="single" w:sz="4" w:space="0" w:color="00000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jc w:val="center"/>
              <w:rPr>
                <w:rFonts w:ascii="Avenir Next Condensed" w:eastAsia="Avenir Next Condensed" w:hAnsi="Avenir Next Condensed" w:cs="Avenir Next Condensed"/>
                <w:sz w:val="18"/>
                <w:szCs w:val="18"/>
              </w:rPr>
            </w:pPr>
            <w:r>
              <w:rPr>
                <w:rFonts w:ascii="Avenir Next Condensed"/>
                <w:i/>
                <w:sz w:val="18"/>
              </w:rPr>
              <w:t>56.5</w:t>
            </w:r>
          </w:p>
        </w:tc>
      </w:tr>
      <w:tr w:rsidR="00D96B91" w:rsidTr="006909CD">
        <w:trPr>
          <w:trHeight w:hRule="exact" w:val="526"/>
        </w:trPr>
        <w:tc>
          <w:tcPr>
            <w:tcW w:w="2149" w:type="dxa"/>
            <w:vMerge/>
            <w:tcBorders>
              <w:left w:val="single" w:sz="12" w:space="0" w:color="17A7E0"/>
              <w:right w:val="single" w:sz="4" w:space="0" w:color="17A7E0"/>
            </w:tcBorders>
            <w:shd w:val="clear" w:color="auto" w:fill="F0F9FE"/>
          </w:tcPr>
          <w:p w:rsidR="00D96B91" w:rsidRDefault="00D96B91"/>
        </w:tc>
        <w:tc>
          <w:tcPr>
            <w:tcW w:w="5256" w:type="dxa"/>
            <w:gridSpan w:val="2"/>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line="233" w:lineRule="exact"/>
              <w:ind w:left="108"/>
              <w:rPr>
                <w:rFonts w:ascii="Avenir Next Condensed" w:eastAsia="Avenir Next Condensed" w:hAnsi="Avenir Next Condensed" w:cs="Avenir Next Condensed"/>
                <w:sz w:val="18"/>
                <w:szCs w:val="18"/>
              </w:rPr>
            </w:pPr>
            <w:r>
              <w:rPr>
                <w:rFonts w:ascii="Avenir Next Condensed"/>
                <w:spacing w:val="-1"/>
                <w:sz w:val="18"/>
              </w:rPr>
              <w:t>Greenhouse</w:t>
            </w:r>
            <w:r>
              <w:rPr>
                <w:rFonts w:ascii="Avenir Next Condensed"/>
                <w:sz w:val="18"/>
              </w:rPr>
              <w:t xml:space="preserve"> gas abatement activities </w:t>
            </w:r>
            <w:r>
              <w:rPr>
                <w:rFonts w:ascii="Avenir Next Condensed"/>
                <w:spacing w:val="-1"/>
                <w:sz w:val="18"/>
              </w:rPr>
              <w:t>(treated</w:t>
            </w:r>
            <w:r>
              <w:rPr>
                <w:rFonts w:ascii="Avenir Next Condensed"/>
                <w:sz w:val="18"/>
              </w:rPr>
              <w:t xml:space="preserve"> as CSO)</w:t>
            </w:r>
          </w:p>
          <w:p w:rsidR="00D96B91" w:rsidRDefault="00C2656B">
            <w:pPr>
              <w:pStyle w:val="TableParagraph"/>
              <w:spacing w:line="230" w:lineRule="exact"/>
              <w:ind w:left="108"/>
              <w:rPr>
                <w:rFonts w:ascii="Avenir Next Condensed" w:eastAsia="Avenir Next Condensed" w:hAnsi="Avenir Next Condensed" w:cs="Avenir Next Condensed"/>
                <w:sz w:val="10"/>
                <w:szCs w:val="10"/>
              </w:rPr>
            </w:pPr>
            <w:r>
              <w:rPr>
                <w:rFonts w:ascii="Avenir Next Condensed"/>
                <w:sz w:val="18"/>
              </w:rPr>
              <w:t>(set equal</w:t>
            </w:r>
            <w:r>
              <w:rPr>
                <w:rFonts w:ascii="Avenir Next Condensed"/>
                <w:spacing w:val="1"/>
                <w:sz w:val="18"/>
              </w:rPr>
              <w:t xml:space="preserve"> </w:t>
            </w:r>
            <w:r>
              <w:rPr>
                <w:rFonts w:ascii="Avenir Next Condensed"/>
                <w:sz w:val="18"/>
              </w:rPr>
              <w:t>to the</w:t>
            </w:r>
            <w:r>
              <w:rPr>
                <w:rFonts w:ascii="Avenir Next Condensed"/>
                <w:spacing w:val="1"/>
                <w:sz w:val="18"/>
              </w:rPr>
              <w:t xml:space="preserve"> </w:t>
            </w:r>
            <w:r>
              <w:rPr>
                <w:rFonts w:ascii="Avenir Next Condensed"/>
                <w:sz w:val="18"/>
              </w:rPr>
              <w:t xml:space="preserve">weighted </w:t>
            </w:r>
            <w:r>
              <w:rPr>
                <w:rFonts w:ascii="Avenir Next Condensed"/>
                <w:spacing w:val="-1"/>
                <w:sz w:val="18"/>
              </w:rPr>
              <w:t>average</w:t>
            </w:r>
            <w:r>
              <w:rPr>
                <w:rFonts w:ascii="Avenir Next Condensed"/>
                <w:spacing w:val="1"/>
                <w:sz w:val="18"/>
              </w:rPr>
              <w:t xml:space="preserve"> </w:t>
            </w:r>
            <w:r>
              <w:rPr>
                <w:rFonts w:ascii="Avenir Next Condensed"/>
                <w:sz w:val="18"/>
              </w:rPr>
              <w:t>life of</w:t>
            </w:r>
            <w:r>
              <w:rPr>
                <w:rFonts w:ascii="Avenir Next Condensed"/>
                <w:spacing w:val="5"/>
                <w:sz w:val="18"/>
              </w:rPr>
              <w:t xml:space="preserve"> </w:t>
            </w:r>
            <w:r>
              <w:rPr>
                <w:rFonts w:ascii="Avenir Next Condensed"/>
                <w:sz w:val="18"/>
              </w:rPr>
              <w:t>ECD</w:t>
            </w:r>
            <w:r>
              <w:rPr>
                <w:rFonts w:ascii="Avenir Next Condensed"/>
                <w:spacing w:val="1"/>
                <w:sz w:val="18"/>
              </w:rPr>
              <w:t xml:space="preserve"> </w:t>
            </w:r>
            <w:r>
              <w:rPr>
                <w:rFonts w:ascii="Avenir Next Condensed"/>
                <w:sz w:val="18"/>
              </w:rPr>
              <w:t xml:space="preserve">and </w:t>
            </w:r>
            <w:r>
              <w:rPr>
                <w:rFonts w:ascii="Avenir Next Condensed"/>
                <w:spacing w:val="-1"/>
                <w:sz w:val="18"/>
              </w:rPr>
              <w:t>M2G)</w:t>
            </w:r>
            <w:r>
              <w:rPr>
                <w:rFonts w:ascii="Avenir Next Condensed"/>
                <w:spacing w:val="-1"/>
                <w:position w:val="6"/>
                <w:sz w:val="10"/>
              </w:rPr>
              <w:t>147</w:t>
            </w:r>
          </w:p>
        </w:tc>
        <w:tc>
          <w:tcPr>
            <w:tcW w:w="1996" w:type="dxa"/>
            <w:gridSpan w:val="2"/>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jc w:val="center"/>
              <w:rPr>
                <w:rFonts w:ascii="Avenir Next Condensed" w:eastAsia="Avenir Next Condensed" w:hAnsi="Avenir Next Condensed" w:cs="Avenir Next Condensed"/>
                <w:sz w:val="18"/>
                <w:szCs w:val="18"/>
              </w:rPr>
            </w:pPr>
            <w:r>
              <w:rPr>
                <w:rFonts w:ascii="Avenir Next Condensed"/>
                <w:sz w:val="18"/>
              </w:rPr>
              <w:t>124.3</w:t>
            </w:r>
          </w:p>
        </w:tc>
      </w:tr>
      <w:tr w:rsidR="00D96B91" w:rsidTr="006909CD">
        <w:trPr>
          <w:trHeight w:hRule="exact" w:val="316"/>
        </w:trPr>
        <w:tc>
          <w:tcPr>
            <w:tcW w:w="2149" w:type="dxa"/>
            <w:vMerge/>
            <w:tcBorders>
              <w:left w:val="single" w:sz="12" w:space="0" w:color="17A7E0"/>
              <w:bottom w:val="single" w:sz="4" w:space="0" w:color="17A7E0"/>
              <w:right w:val="single" w:sz="4" w:space="0" w:color="17A7E0"/>
            </w:tcBorders>
            <w:shd w:val="clear" w:color="auto" w:fill="F0F9FE"/>
          </w:tcPr>
          <w:p w:rsidR="00D96B91" w:rsidRDefault="00D96B91"/>
        </w:tc>
        <w:tc>
          <w:tcPr>
            <w:tcW w:w="525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Cotter</w:t>
            </w:r>
            <w:r>
              <w:rPr>
                <w:rFonts w:ascii="Avenir Next Condensed"/>
                <w:sz w:val="18"/>
              </w:rPr>
              <w:t xml:space="preserve"> Discovery</w:t>
            </w:r>
            <w:r>
              <w:rPr>
                <w:rFonts w:ascii="Avenir Next Condensed"/>
                <w:spacing w:val="-5"/>
                <w:sz w:val="18"/>
              </w:rPr>
              <w:t xml:space="preserve"> </w:t>
            </w:r>
            <w:r>
              <w:rPr>
                <w:rFonts w:ascii="Avenir Next Condensed"/>
                <w:spacing w:val="-2"/>
                <w:sz w:val="18"/>
              </w:rPr>
              <w:t>Trail</w:t>
            </w:r>
            <w:r>
              <w:rPr>
                <w:rFonts w:ascii="Avenir Next Condensed"/>
                <w:sz w:val="18"/>
              </w:rPr>
              <w:t xml:space="preserve"> </w:t>
            </w:r>
            <w:r>
              <w:rPr>
                <w:rFonts w:ascii="Avenir Next Condensed"/>
                <w:spacing w:val="-1"/>
                <w:sz w:val="18"/>
              </w:rPr>
              <w:t>(treated</w:t>
            </w:r>
            <w:r>
              <w:rPr>
                <w:rFonts w:ascii="Avenir Next Condensed"/>
                <w:sz w:val="18"/>
              </w:rPr>
              <w:t xml:space="preserve"> as CSO)</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10.0</w:t>
            </w:r>
          </w:p>
        </w:tc>
      </w:tr>
      <w:tr w:rsidR="00D96B91" w:rsidTr="006909CD">
        <w:trPr>
          <w:trHeight w:hRule="exact" w:val="316"/>
        </w:trPr>
        <w:tc>
          <w:tcPr>
            <w:tcW w:w="7405" w:type="dxa"/>
            <w:gridSpan w:val="3"/>
            <w:tcBorders>
              <w:top w:val="single" w:sz="4" w:space="0" w:color="17A7E0"/>
              <w:left w:val="single" w:sz="12"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b/>
                <w:spacing w:val="-1"/>
                <w:sz w:val="18"/>
              </w:rPr>
              <w:t>Water</w:t>
            </w:r>
            <w:r>
              <w:rPr>
                <w:rFonts w:ascii="Avenir Next Condensed"/>
                <w:b/>
                <w:sz w:val="18"/>
              </w:rPr>
              <w:t xml:space="preserve"> </w:t>
            </w:r>
            <w:r>
              <w:rPr>
                <w:rFonts w:ascii="Avenir Next Condensed"/>
                <w:b/>
                <w:spacing w:val="-1"/>
                <w:sz w:val="18"/>
              </w:rPr>
              <w:t>assets</w:t>
            </w:r>
            <w:r>
              <w:rPr>
                <w:rFonts w:ascii="Avenir Next Condensed"/>
                <w:b/>
                <w:spacing w:val="-2"/>
                <w:sz w:val="18"/>
              </w:rPr>
              <w:t xml:space="preserve"> </w:t>
            </w:r>
            <w:r>
              <w:rPr>
                <w:rFonts w:ascii="Avenir Next Condensed"/>
                <w:spacing w:val="-1"/>
                <w:sz w:val="18"/>
              </w:rPr>
              <w:t>(excluding</w:t>
            </w:r>
            <w:r>
              <w:rPr>
                <w:rFonts w:ascii="Avenir Next Condensed"/>
                <w:sz w:val="18"/>
              </w:rPr>
              <w:t xml:space="preserve"> water security </w:t>
            </w:r>
            <w:r>
              <w:rPr>
                <w:rFonts w:ascii="Avenir Next Condensed"/>
                <w:spacing w:val="-1"/>
                <w:sz w:val="18"/>
              </w:rPr>
              <w:t>projects)</w:t>
            </w:r>
            <w:r>
              <w:rPr>
                <w:rFonts w:ascii="Avenir Next Condensed"/>
                <w:sz w:val="18"/>
              </w:rPr>
              <w:t xml:space="preserve"> (weighted </w:t>
            </w:r>
            <w:r>
              <w:rPr>
                <w:rFonts w:ascii="Avenir Next Condensed"/>
                <w:spacing w:val="-1"/>
                <w:sz w:val="18"/>
              </w:rPr>
              <w:t>average</w:t>
            </w:r>
            <w:r>
              <w:rPr>
                <w:rFonts w:ascii="Avenir Next Condensed"/>
                <w:sz w:val="18"/>
              </w:rPr>
              <w:t xml:space="preserve"> as at 1</w:t>
            </w:r>
            <w:r>
              <w:rPr>
                <w:rFonts w:ascii="Avenir Next Condensed"/>
                <w:spacing w:val="-3"/>
                <w:sz w:val="18"/>
              </w:rPr>
              <w:t xml:space="preserve"> </w:t>
            </w:r>
            <w:r>
              <w:rPr>
                <w:rFonts w:ascii="Avenir Next Condensed"/>
                <w:sz w:val="18"/>
              </w:rPr>
              <w:t>July 2013)</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51.4</w:t>
            </w:r>
          </w:p>
        </w:tc>
      </w:tr>
      <w:tr w:rsidR="00D96B91" w:rsidTr="006909CD">
        <w:trPr>
          <w:trHeight w:hRule="exact" w:val="316"/>
        </w:trPr>
        <w:tc>
          <w:tcPr>
            <w:tcW w:w="7405" w:type="dxa"/>
            <w:gridSpan w:val="3"/>
            <w:tcBorders>
              <w:top w:val="single" w:sz="4" w:space="0" w:color="17A7E0"/>
              <w:left w:val="single" w:sz="12"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b/>
                <w:sz w:val="18"/>
              </w:rPr>
              <w:t xml:space="preserve"> </w:t>
            </w:r>
            <w:r>
              <w:rPr>
                <w:rFonts w:ascii="Avenir Next Condensed"/>
                <w:sz w:val="18"/>
              </w:rPr>
              <w:t xml:space="preserve">(weighted </w:t>
            </w:r>
            <w:r>
              <w:rPr>
                <w:rFonts w:ascii="Avenir Next Condensed"/>
                <w:spacing w:val="-1"/>
                <w:sz w:val="18"/>
              </w:rPr>
              <w:t>average</w:t>
            </w:r>
            <w:r>
              <w:rPr>
                <w:rFonts w:ascii="Avenir Next Condensed"/>
                <w:sz w:val="18"/>
              </w:rPr>
              <w:t xml:space="preserve"> as at 1</w:t>
            </w:r>
            <w:r>
              <w:rPr>
                <w:rFonts w:ascii="Avenir Next Condensed"/>
                <w:spacing w:val="-3"/>
                <w:sz w:val="18"/>
              </w:rPr>
              <w:t xml:space="preserve"> </w:t>
            </w:r>
            <w:r>
              <w:rPr>
                <w:rFonts w:ascii="Avenir Next Condensed"/>
                <w:sz w:val="18"/>
              </w:rPr>
              <w:t>July 2013)</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41.3</w:t>
            </w:r>
          </w:p>
        </w:tc>
      </w:tr>
      <w:tr w:rsidR="00D96B91" w:rsidTr="006909CD">
        <w:trPr>
          <w:trHeight w:hRule="exact" w:val="316"/>
        </w:trPr>
        <w:tc>
          <w:tcPr>
            <w:tcW w:w="9401" w:type="dxa"/>
            <w:gridSpan w:val="5"/>
            <w:tcBorders>
              <w:top w:val="single" w:sz="4" w:space="0" w:color="17A7E0"/>
              <w:left w:val="single" w:sz="12" w:space="0" w:color="17A7E0"/>
              <w:bottom w:val="single" w:sz="4" w:space="0" w:color="17A7E0"/>
              <w:right w:val="single" w:sz="4" w:space="0" w:color="17A7E0"/>
            </w:tcBorders>
            <w:shd w:val="clear" w:color="auto" w:fill="9AC6EA"/>
          </w:tcPr>
          <w:p w:rsidR="00D96B91" w:rsidRDefault="00C2656B">
            <w:pPr>
              <w:pStyle w:val="TableParagraph"/>
              <w:spacing w:before="63" w:line="243" w:lineRule="exact"/>
              <w:ind w:left="2010"/>
              <w:rPr>
                <w:rFonts w:ascii="Avenir Next Condensed" w:eastAsia="Avenir Next Condensed" w:hAnsi="Avenir Next Condensed" w:cs="Avenir Next Condensed"/>
                <w:sz w:val="18"/>
                <w:szCs w:val="18"/>
              </w:rPr>
            </w:pPr>
            <w:r>
              <w:rPr>
                <w:rFonts w:ascii="Avenir Next Condensed"/>
                <w:b/>
                <w:spacing w:val="-1"/>
                <w:sz w:val="18"/>
              </w:rPr>
              <w:t>Standard</w:t>
            </w:r>
            <w:r>
              <w:rPr>
                <w:rFonts w:ascii="Avenir Next Condensed"/>
                <w:b/>
                <w:sz w:val="18"/>
              </w:rPr>
              <w:t xml:space="preserve"> </w:t>
            </w:r>
            <w:r>
              <w:rPr>
                <w:rFonts w:ascii="Avenir Next Condensed"/>
                <w:b/>
                <w:spacing w:val="-1"/>
                <w:sz w:val="18"/>
              </w:rPr>
              <w:t>asset</w:t>
            </w:r>
            <w:r>
              <w:rPr>
                <w:rFonts w:ascii="Avenir Next Condensed"/>
                <w:b/>
                <w:sz w:val="18"/>
              </w:rPr>
              <w:t xml:space="preserve"> lives for new </w:t>
            </w:r>
            <w:r>
              <w:rPr>
                <w:rFonts w:ascii="Avenir Next Condensed"/>
                <w:b/>
                <w:spacing w:val="-1"/>
                <w:sz w:val="18"/>
              </w:rPr>
              <w:t>assets</w:t>
            </w:r>
            <w:r>
              <w:rPr>
                <w:rFonts w:ascii="Avenir Next Condensed"/>
                <w:b/>
                <w:sz w:val="18"/>
              </w:rPr>
              <w:t xml:space="preserve"> to be </w:t>
            </w:r>
            <w:r>
              <w:rPr>
                <w:rFonts w:ascii="Avenir Next Condensed"/>
                <w:b/>
                <w:spacing w:val="-1"/>
                <w:sz w:val="18"/>
              </w:rPr>
              <w:t>commissioned</w:t>
            </w:r>
            <w:r>
              <w:rPr>
                <w:rFonts w:ascii="Avenir Next Condensed"/>
                <w:b/>
                <w:sz w:val="18"/>
              </w:rPr>
              <w:t xml:space="preserve"> in the </w:t>
            </w:r>
            <w:r>
              <w:rPr>
                <w:rFonts w:ascii="Avenir Next Condensed"/>
                <w:b/>
                <w:spacing w:val="-1"/>
                <w:sz w:val="18"/>
              </w:rPr>
              <w:t>regulatory</w:t>
            </w:r>
            <w:r>
              <w:rPr>
                <w:rFonts w:ascii="Avenir Next Condensed"/>
                <w:b/>
                <w:sz w:val="18"/>
              </w:rPr>
              <w:t xml:space="preserve"> period</w:t>
            </w:r>
          </w:p>
        </w:tc>
      </w:tr>
      <w:tr w:rsidR="00D96B91" w:rsidTr="006909CD">
        <w:trPr>
          <w:trHeight w:hRule="exact" w:val="316"/>
        </w:trPr>
        <w:tc>
          <w:tcPr>
            <w:tcW w:w="2943" w:type="dxa"/>
            <w:gridSpan w:val="2"/>
            <w:vMerge w:val="restart"/>
            <w:tcBorders>
              <w:top w:val="single" w:sz="4" w:space="0" w:color="17A7E0"/>
              <w:left w:val="single" w:sz="12" w:space="0" w:color="17A7E0"/>
              <w:right w:val="single" w:sz="4" w:space="0" w:color="17A7E0"/>
            </w:tcBorders>
            <w:shd w:val="clear" w:color="auto" w:fill="F0F9FE"/>
          </w:tcPr>
          <w:p w:rsidR="00D96B91" w:rsidRDefault="00C2656B">
            <w:pPr>
              <w:pStyle w:val="TableParagraph"/>
              <w:spacing w:before="63" w:line="233" w:lineRule="exact"/>
              <w:ind w:left="108"/>
              <w:rPr>
                <w:rFonts w:ascii="Avenir Next Condensed" w:eastAsia="Avenir Next Condensed" w:hAnsi="Avenir Next Condensed" w:cs="Avenir Next Condensed"/>
                <w:sz w:val="18"/>
                <w:szCs w:val="18"/>
              </w:rPr>
            </w:pPr>
            <w:r>
              <w:rPr>
                <w:rFonts w:ascii="Avenir Next Condensed"/>
                <w:b/>
                <w:spacing w:val="-1"/>
                <w:sz w:val="18"/>
              </w:rPr>
              <w:t>Water</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b/>
                <w:sz w:val="18"/>
              </w:rPr>
              <w:t>(sample of</w:t>
            </w:r>
            <w:r>
              <w:rPr>
                <w:rFonts w:ascii="Avenir Next Condensed"/>
                <w:b/>
                <w:spacing w:val="4"/>
                <w:sz w:val="18"/>
              </w:rPr>
              <w:t xml:space="preserve"> </w:t>
            </w:r>
            <w:r>
              <w:rPr>
                <w:rFonts w:ascii="Avenir Next Condensed"/>
                <w:b/>
                <w:spacing w:val="-1"/>
                <w:sz w:val="18"/>
              </w:rPr>
              <w:t>assets)</w:t>
            </w:r>
          </w:p>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mains and </w:t>
            </w:r>
            <w:r>
              <w:rPr>
                <w:rFonts w:ascii="Avenir Next Condensed"/>
                <w:spacing w:val="-1"/>
                <w:sz w:val="18"/>
              </w:rPr>
              <w:t>reticulation</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80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Treatment</w:t>
            </w:r>
            <w:r>
              <w:rPr>
                <w:rFonts w:ascii="Avenir Next Condensed"/>
                <w:sz w:val="18"/>
              </w:rPr>
              <w:t xml:space="preserve"> plant (electrical,</w:t>
            </w:r>
            <w:r>
              <w:rPr>
                <w:rFonts w:ascii="Avenir Next Condensed"/>
                <w:spacing w:val="-6"/>
                <w:sz w:val="18"/>
              </w:rPr>
              <w:t xml:space="preserve"> </w:t>
            </w:r>
            <w:r>
              <w:rPr>
                <w:rFonts w:ascii="Avenir Next Condensed"/>
                <w:sz w:val="18"/>
              </w:rPr>
              <w:t xml:space="preserve">mechanical and civil </w:t>
            </w:r>
            <w:r>
              <w:rPr>
                <w:rFonts w:ascii="Avenir Next Condensed"/>
                <w:spacing w:val="-1"/>
                <w:sz w:val="18"/>
              </w:rPr>
              <w:t>works)</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30-60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Pump</w:t>
            </w:r>
            <w:r>
              <w:rPr>
                <w:rFonts w:ascii="Avenir Next Condensed"/>
                <w:sz w:val="18"/>
              </w:rPr>
              <w:t xml:space="preserve"> station (mechanical)</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40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1"/>
                <w:sz w:val="18"/>
              </w:rPr>
              <w:t>Reservoirs</w:t>
            </w:r>
            <w:r>
              <w:rPr>
                <w:rFonts w:ascii="Avenir Next Condensed"/>
                <w:sz w:val="18"/>
              </w:rPr>
              <w:t xml:space="preserve"> </w:t>
            </w:r>
            <w:r>
              <w:rPr>
                <w:rFonts w:ascii="Avenir Next Condensed"/>
                <w:spacing w:val="-1"/>
                <w:sz w:val="18"/>
              </w:rPr>
              <w:t>(roof</w:t>
            </w:r>
            <w:r>
              <w:rPr>
                <w:rFonts w:ascii="Avenir Next Condensed"/>
                <w:spacing w:val="4"/>
                <w:sz w:val="18"/>
              </w:rPr>
              <w:t xml:space="preserve"> </w:t>
            </w:r>
            <w:r>
              <w:rPr>
                <w:rFonts w:ascii="Avenir Next Condensed"/>
                <w:sz w:val="18"/>
              </w:rPr>
              <w:t>and tank)</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50 – 100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z w:val="18"/>
              </w:rPr>
              <w:t>Dams mechanical</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60</w:t>
            </w:r>
          </w:p>
        </w:tc>
      </w:tr>
      <w:tr w:rsidR="00D96B91" w:rsidTr="006909CD">
        <w:trPr>
          <w:trHeight w:hRule="exact" w:val="536"/>
        </w:trPr>
        <w:tc>
          <w:tcPr>
            <w:tcW w:w="2943" w:type="dxa"/>
            <w:gridSpan w:val="2"/>
            <w:vMerge/>
            <w:tcBorders>
              <w:left w:val="single" w:sz="12" w:space="0" w:color="17A7E0"/>
              <w:bottom w:val="single" w:sz="4"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7" w:line="220" w:lineRule="exact"/>
              <w:ind w:left="108" w:right="214"/>
              <w:rPr>
                <w:rFonts w:ascii="Avenir Next Condensed" w:eastAsia="Avenir Next Condensed" w:hAnsi="Avenir Next Condensed" w:cs="Avenir Next Condensed"/>
                <w:sz w:val="18"/>
                <w:szCs w:val="18"/>
              </w:rPr>
            </w:pPr>
            <w:r>
              <w:rPr>
                <w:rFonts w:ascii="Avenir Next Condensed"/>
                <w:spacing w:val="-1"/>
                <w:sz w:val="18"/>
              </w:rPr>
              <w:t>Unclassified</w:t>
            </w:r>
            <w:r>
              <w:rPr>
                <w:rFonts w:ascii="Avenir Next Condensed"/>
                <w:sz w:val="18"/>
              </w:rPr>
              <w:t xml:space="preserve"> (set equal to the weighted </w:t>
            </w:r>
            <w:r>
              <w:rPr>
                <w:rFonts w:ascii="Avenir Next Condensed"/>
                <w:spacing w:val="-1"/>
                <w:sz w:val="18"/>
              </w:rPr>
              <w:t>average</w:t>
            </w:r>
            <w:r>
              <w:rPr>
                <w:rFonts w:ascii="Avenir Next Condensed"/>
                <w:sz w:val="18"/>
              </w:rPr>
              <w:t xml:space="preserve"> life for</w:t>
            </w:r>
            <w:r>
              <w:rPr>
                <w:rFonts w:ascii="Avenir Next Condensed"/>
                <w:spacing w:val="31"/>
                <w:sz w:val="18"/>
              </w:rPr>
              <w:t xml:space="preserve"> </w:t>
            </w:r>
            <w:r>
              <w:rPr>
                <w:rFonts w:ascii="Avenir Next Condensed"/>
                <w:sz w:val="18"/>
              </w:rPr>
              <w:t xml:space="preserve">those water </w:t>
            </w:r>
            <w:r>
              <w:rPr>
                <w:rFonts w:ascii="Avenir Next Condensed"/>
                <w:spacing w:val="-1"/>
                <w:sz w:val="18"/>
              </w:rPr>
              <w:t>projects</w:t>
            </w:r>
            <w:r>
              <w:rPr>
                <w:rFonts w:ascii="Avenir Next Condensed"/>
                <w:sz w:val="18"/>
              </w:rPr>
              <w:t xml:space="preserve"> that have an </w:t>
            </w:r>
            <w:r>
              <w:rPr>
                <w:rFonts w:ascii="Avenir Next Condensed"/>
                <w:spacing w:val="-1"/>
                <w:sz w:val="18"/>
              </w:rPr>
              <w:t>assumed</w:t>
            </w:r>
            <w:r>
              <w:rPr>
                <w:rFonts w:ascii="Avenir Next Condensed"/>
                <w:sz w:val="18"/>
              </w:rPr>
              <w:t xml:space="preserve"> </w:t>
            </w:r>
            <w:r>
              <w:rPr>
                <w:rFonts w:ascii="Avenir Next Condensed"/>
                <w:spacing w:val="-1"/>
                <w:sz w:val="18"/>
              </w:rPr>
              <w:t>asset</w:t>
            </w:r>
            <w:r>
              <w:rPr>
                <w:rFonts w:ascii="Avenir Next Condensed"/>
                <w:sz w:val="18"/>
              </w:rPr>
              <w:t xml:space="preserve"> life)</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jc w:val="center"/>
              <w:rPr>
                <w:rFonts w:ascii="Avenir Next Condensed" w:eastAsia="Avenir Next Condensed" w:hAnsi="Avenir Next Condensed" w:cs="Avenir Next Condensed"/>
                <w:sz w:val="18"/>
                <w:szCs w:val="18"/>
              </w:rPr>
            </w:pPr>
            <w:r>
              <w:rPr>
                <w:rFonts w:ascii="Avenir Next Condensed"/>
                <w:sz w:val="18"/>
              </w:rPr>
              <w:t>54.9</w:t>
            </w:r>
          </w:p>
        </w:tc>
      </w:tr>
      <w:tr w:rsidR="00D96B91" w:rsidTr="006909CD">
        <w:trPr>
          <w:trHeight w:hRule="exact" w:val="316"/>
        </w:trPr>
        <w:tc>
          <w:tcPr>
            <w:tcW w:w="2943" w:type="dxa"/>
            <w:gridSpan w:val="2"/>
            <w:vMerge w:val="restart"/>
            <w:tcBorders>
              <w:top w:val="single" w:sz="4" w:space="0" w:color="17A7E0"/>
              <w:left w:val="single" w:sz="12" w:space="0" w:color="17A7E0"/>
              <w:right w:val="single" w:sz="4" w:space="0" w:color="17A7E0"/>
            </w:tcBorders>
            <w:shd w:val="clear" w:color="auto" w:fill="F0F9FE"/>
          </w:tcPr>
          <w:p w:rsidR="00D96B91" w:rsidRDefault="00C2656B">
            <w:pPr>
              <w:pStyle w:val="TableParagraph"/>
              <w:spacing w:before="67" w:line="220" w:lineRule="exact"/>
              <w:ind w:left="108" w:right="1613"/>
              <w:rPr>
                <w:rFonts w:ascii="Avenir Next Condensed" w:eastAsia="Avenir Next Condensed" w:hAnsi="Avenir Next Condensed" w:cs="Avenir Next Condensed"/>
                <w:sz w:val="18"/>
                <w:szCs w:val="18"/>
              </w:rPr>
            </w:pPr>
            <w:r>
              <w:rPr>
                <w:rFonts w:ascii="Avenir Next Condensed"/>
                <w:b/>
                <w:spacing w:val="-1"/>
                <w:sz w:val="18"/>
              </w:rPr>
              <w:t>Sewerage</w:t>
            </w:r>
            <w:r>
              <w:rPr>
                <w:rFonts w:ascii="Avenir Next Condensed"/>
                <w:b/>
                <w:spacing w:val="26"/>
                <w:sz w:val="18"/>
              </w:rPr>
              <w:t xml:space="preserve"> </w:t>
            </w:r>
            <w:r>
              <w:rPr>
                <w:rFonts w:ascii="Avenir Next Condensed"/>
                <w:b/>
                <w:sz w:val="18"/>
              </w:rPr>
              <w:t>(sample of</w:t>
            </w:r>
            <w:r>
              <w:rPr>
                <w:rFonts w:ascii="Avenir Next Condensed"/>
                <w:b/>
                <w:spacing w:val="4"/>
                <w:sz w:val="18"/>
              </w:rPr>
              <w:t xml:space="preserve"> </w:t>
            </w:r>
            <w:r>
              <w:rPr>
                <w:rFonts w:ascii="Avenir Next Condensed"/>
                <w:b/>
                <w:spacing w:val="-1"/>
                <w:sz w:val="18"/>
              </w:rPr>
              <w:t>assets)</w:t>
            </w:r>
          </w:p>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z w:val="18"/>
              </w:rPr>
              <w:t xml:space="preserve">Sewer mains and </w:t>
            </w:r>
            <w:r>
              <w:rPr>
                <w:rFonts w:ascii="Avenir Next Condensed"/>
                <w:spacing w:val="-1"/>
                <w:sz w:val="18"/>
              </w:rPr>
              <w:t>reticulation</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80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Treatment</w:t>
            </w:r>
            <w:r>
              <w:rPr>
                <w:rFonts w:ascii="Avenir Next Condensed"/>
                <w:sz w:val="18"/>
              </w:rPr>
              <w:t xml:space="preserve"> plant</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30-60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Pump</w:t>
            </w:r>
            <w:r>
              <w:rPr>
                <w:rFonts w:ascii="Avenir Next Condensed"/>
                <w:sz w:val="18"/>
              </w:rPr>
              <w:t xml:space="preserve"> station</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20-60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Vent</w:t>
            </w:r>
            <w:r>
              <w:rPr>
                <w:rFonts w:ascii="Avenir Next Condensed"/>
                <w:sz w:val="18"/>
              </w:rPr>
              <w:t xml:space="preserve"> station</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20</w:t>
            </w:r>
          </w:p>
        </w:tc>
      </w:tr>
      <w:tr w:rsidR="00D96B91" w:rsidTr="006909CD">
        <w:trPr>
          <w:trHeight w:hRule="exact" w:val="546"/>
        </w:trPr>
        <w:tc>
          <w:tcPr>
            <w:tcW w:w="2943" w:type="dxa"/>
            <w:gridSpan w:val="2"/>
            <w:vMerge/>
            <w:tcBorders>
              <w:left w:val="single" w:sz="12" w:space="0" w:color="17A7E0"/>
              <w:bottom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12" w:space="0" w:color="17A7E0"/>
              <w:right w:val="single" w:sz="4" w:space="0" w:color="17A7E0"/>
            </w:tcBorders>
            <w:shd w:val="clear" w:color="auto" w:fill="F0F9FE"/>
          </w:tcPr>
          <w:p w:rsidR="00D96B91" w:rsidRDefault="00C2656B">
            <w:pPr>
              <w:pStyle w:val="TableParagraph"/>
              <w:spacing w:before="67" w:line="220" w:lineRule="exact"/>
              <w:ind w:left="108" w:right="214"/>
              <w:rPr>
                <w:rFonts w:ascii="Avenir Next Condensed" w:eastAsia="Avenir Next Condensed" w:hAnsi="Avenir Next Condensed" w:cs="Avenir Next Condensed"/>
                <w:sz w:val="18"/>
                <w:szCs w:val="18"/>
              </w:rPr>
            </w:pPr>
            <w:r>
              <w:rPr>
                <w:rFonts w:ascii="Avenir Next Condensed"/>
                <w:spacing w:val="-1"/>
                <w:sz w:val="18"/>
              </w:rPr>
              <w:t>Unclassified</w:t>
            </w:r>
            <w:r>
              <w:rPr>
                <w:rFonts w:ascii="Avenir Next Condensed"/>
                <w:sz w:val="18"/>
              </w:rPr>
              <w:t xml:space="preserve"> (set equal to the weighted </w:t>
            </w:r>
            <w:r>
              <w:rPr>
                <w:rFonts w:ascii="Avenir Next Condensed"/>
                <w:spacing w:val="-1"/>
                <w:sz w:val="18"/>
              </w:rPr>
              <w:t>average</w:t>
            </w:r>
            <w:r>
              <w:rPr>
                <w:rFonts w:ascii="Avenir Next Condensed"/>
                <w:sz w:val="18"/>
              </w:rPr>
              <w:t xml:space="preserve"> life for</w:t>
            </w:r>
            <w:r>
              <w:rPr>
                <w:rFonts w:ascii="Avenir Next Condensed"/>
                <w:spacing w:val="31"/>
                <w:sz w:val="18"/>
              </w:rPr>
              <w:t xml:space="preserve"> </w:t>
            </w:r>
            <w:r>
              <w:rPr>
                <w:rFonts w:ascii="Avenir Next Condensed"/>
                <w:sz w:val="18"/>
              </w:rPr>
              <w:t xml:space="preserve">those water </w:t>
            </w:r>
            <w:r>
              <w:rPr>
                <w:rFonts w:ascii="Avenir Next Condensed"/>
                <w:spacing w:val="-1"/>
                <w:sz w:val="18"/>
              </w:rPr>
              <w:t>projects</w:t>
            </w:r>
            <w:r>
              <w:rPr>
                <w:rFonts w:ascii="Avenir Next Condensed"/>
                <w:sz w:val="18"/>
              </w:rPr>
              <w:t xml:space="preserve"> that have an </w:t>
            </w:r>
            <w:r>
              <w:rPr>
                <w:rFonts w:ascii="Avenir Next Condensed"/>
                <w:spacing w:val="-1"/>
                <w:sz w:val="18"/>
              </w:rPr>
              <w:t>assumed</w:t>
            </w:r>
            <w:r>
              <w:rPr>
                <w:rFonts w:ascii="Avenir Next Condensed"/>
                <w:sz w:val="18"/>
              </w:rPr>
              <w:t xml:space="preserve"> </w:t>
            </w:r>
            <w:r>
              <w:rPr>
                <w:rFonts w:ascii="Avenir Next Condensed"/>
                <w:spacing w:val="-1"/>
                <w:sz w:val="18"/>
              </w:rPr>
              <w:t>asset</w:t>
            </w:r>
            <w:r>
              <w:rPr>
                <w:rFonts w:ascii="Avenir Next Condensed"/>
                <w:sz w:val="18"/>
              </w:rPr>
              <w:t xml:space="preserve"> life)</w:t>
            </w:r>
          </w:p>
        </w:tc>
        <w:tc>
          <w:tcPr>
            <w:tcW w:w="1996" w:type="dxa"/>
            <w:gridSpan w:val="2"/>
            <w:tcBorders>
              <w:top w:val="single" w:sz="4" w:space="0" w:color="17A7E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jc w:val="center"/>
              <w:rPr>
                <w:rFonts w:ascii="Avenir Next Condensed" w:eastAsia="Avenir Next Condensed" w:hAnsi="Avenir Next Condensed" w:cs="Avenir Next Condensed"/>
                <w:sz w:val="18"/>
                <w:szCs w:val="18"/>
              </w:rPr>
            </w:pPr>
            <w:r>
              <w:rPr>
                <w:rFonts w:ascii="Avenir Next Condensed"/>
                <w:sz w:val="18"/>
              </w:rPr>
              <w:t>39.3</w:t>
            </w:r>
          </w:p>
        </w:tc>
      </w:tr>
      <w:tr w:rsidR="00D96B91" w:rsidTr="006909CD">
        <w:trPr>
          <w:trHeight w:hRule="exact" w:val="306"/>
        </w:trPr>
        <w:tc>
          <w:tcPr>
            <w:tcW w:w="2943" w:type="dxa"/>
            <w:gridSpan w:val="2"/>
            <w:vMerge w:val="restart"/>
            <w:tcBorders>
              <w:top w:val="single" w:sz="12" w:space="0" w:color="17A7E0"/>
              <w:left w:val="single" w:sz="12" w:space="0" w:color="17A7E0"/>
              <w:right w:val="single" w:sz="4" w:space="0" w:color="17A7E0"/>
            </w:tcBorders>
            <w:shd w:val="clear" w:color="auto" w:fill="F0F9FE"/>
          </w:tcPr>
          <w:p w:rsidR="00D96B91" w:rsidRDefault="00C2656B">
            <w:pPr>
              <w:pStyle w:val="TableParagraph"/>
              <w:spacing w:before="53"/>
              <w:ind w:left="108"/>
              <w:rPr>
                <w:rFonts w:ascii="Avenir Next Condensed" w:eastAsia="Avenir Next Condensed" w:hAnsi="Avenir Next Condensed" w:cs="Avenir Next Condensed"/>
                <w:sz w:val="18"/>
                <w:szCs w:val="18"/>
              </w:rPr>
            </w:pPr>
            <w:r>
              <w:rPr>
                <w:rFonts w:ascii="Avenir Next Condensed"/>
                <w:b/>
                <w:spacing w:val="-1"/>
                <w:sz w:val="18"/>
              </w:rPr>
              <w:t>Corporate</w:t>
            </w:r>
          </w:p>
        </w:tc>
        <w:tc>
          <w:tcPr>
            <w:tcW w:w="4462" w:type="dxa"/>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line="243" w:lineRule="exact"/>
              <w:ind w:left="108"/>
              <w:rPr>
                <w:rFonts w:ascii="Avenir Next Condensed" w:eastAsia="Avenir Next Condensed" w:hAnsi="Avenir Next Condensed" w:cs="Avenir Next Condensed"/>
                <w:sz w:val="18"/>
                <w:szCs w:val="18"/>
              </w:rPr>
            </w:pPr>
            <w:r>
              <w:rPr>
                <w:rFonts w:ascii="Avenir Next Condensed"/>
                <w:sz w:val="18"/>
              </w:rPr>
              <w:t>Buildings</w:t>
            </w:r>
          </w:p>
        </w:tc>
        <w:tc>
          <w:tcPr>
            <w:tcW w:w="1996" w:type="dxa"/>
            <w:gridSpan w:val="2"/>
            <w:tcBorders>
              <w:top w:val="single" w:sz="12"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53" w:line="243" w:lineRule="exact"/>
              <w:jc w:val="center"/>
              <w:rPr>
                <w:rFonts w:ascii="Avenir Next Condensed" w:eastAsia="Avenir Next Condensed" w:hAnsi="Avenir Next Condensed" w:cs="Avenir Next Condensed"/>
                <w:sz w:val="18"/>
                <w:szCs w:val="18"/>
              </w:rPr>
            </w:pPr>
            <w:r>
              <w:rPr>
                <w:rFonts w:ascii="Avenir Next Condensed"/>
                <w:sz w:val="18"/>
              </w:rPr>
              <w:t>60</w:t>
            </w:r>
          </w:p>
        </w:tc>
      </w:tr>
      <w:tr w:rsidR="00D96B91" w:rsidTr="006909CD">
        <w:trPr>
          <w:trHeight w:hRule="exact" w:val="316"/>
        </w:trPr>
        <w:tc>
          <w:tcPr>
            <w:tcW w:w="2943" w:type="dxa"/>
            <w:gridSpan w:val="2"/>
            <w:vMerge/>
            <w:tcBorders>
              <w:left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ind w:left="108"/>
              <w:rPr>
                <w:rFonts w:ascii="Avenir Next Condensed" w:eastAsia="Avenir Next Condensed" w:hAnsi="Avenir Next Condensed" w:cs="Avenir Next Condensed"/>
                <w:sz w:val="18"/>
                <w:szCs w:val="18"/>
              </w:rPr>
            </w:pPr>
            <w:r>
              <w:rPr>
                <w:rFonts w:ascii="Avenir Next Condensed"/>
                <w:spacing w:val="-2"/>
                <w:sz w:val="18"/>
              </w:rPr>
              <w:t>SCADA</w:t>
            </w:r>
          </w:p>
        </w:tc>
        <w:tc>
          <w:tcPr>
            <w:tcW w:w="1996"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63" w:line="243" w:lineRule="exact"/>
              <w:jc w:val="center"/>
              <w:rPr>
                <w:rFonts w:ascii="Avenir Next Condensed" w:eastAsia="Avenir Next Condensed" w:hAnsi="Avenir Next Condensed" w:cs="Avenir Next Condensed"/>
                <w:sz w:val="18"/>
                <w:szCs w:val="18"/>
              </w:rPr>
            </w:pPr>
            <w:r>
              <w:rPr>
                <w:rFonts w:ascii="Avenir Next Condensed"/>
                <w:sz w:val="18"/>
              </w:rPr>
              <w:t>15</w:t>
            </w:r>
          </w:p>
        </w:tc>
      </w:tr>
      <w:tr w:rsidR="00D96B91" w:rsidTr="006909CD">
        <w:trPr>
          <w:trHeight w:hRule="exact" w:val="326"/>
        </w:trPr>
        <w:tc>
          <w:tcPr>
            <w:tcW w:w="2943" w:type="dxa"/>
            <w:gridSpan w:val="2"/>
            <w:vMerge/>
            <w:tcBorders>
              <w:left w:val="single" w:sz="12" w:space="0" w:color="17A7E0"/>
              <w:bottom w:val="single" w:sz="12" w:space="0" w:color="17A7E0"/>
              <w:right w:val="single" w:sz="4" w:space="0" w:color="17A7E0"/>
            </w:tcBorders>
            <w:shd w:val="clear" w:color="auto" w:fill="F0F9FE"/>
          </w:tcPr>
          <w:p w:rsidR="00D96B91" w:rsidRDefault="00D96B91"/>
        </w:tc>
        <w:tc>
          <w:tcPr>
            <w:tcW w:w="4462" w:type="dxa"/>
            <w:tcBorders>
              <w:top w:val="single" w:sz="4" w:space="0" w:color="17A7E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ind w:left="108"/>
              <w:rPr>
                <w:rFonts w:ascii="Avenir Next Condensed" w:eastAsia="Avenir Next Condensed" w:hAnsi="Avenir Next Condensed" w:cs="Avenir Next Condensed"/>
                <w:sz w:val="18"/>
                <w:szCs w:val="18"/>
              </w:rPr>
            </w:pPr>
            <w:r>
              <w:rPr>
                <w:rFonts w:ascii="Avenir Next Condensed"/>
                <w:spacing w:val="-1"/>
                <w:sz w:val="18"/>
              </w:rPr>
              <w:t>Unclassified</w:t>
            </w:r>
            <w:r>
              <w:rPr>
                <w:rFonts w:ascii="Avenir Next Condensed"/>
                <w:sz w:val="18"/>
              </w:rPr>
              <w:t xml:space="preserve"> (based on </w:t>
            </w:r>
            <w:r>
              <w:rPr>
                <w:rFonts w:ascii="Avenir Next Condensed"/>
                <w:spacing w:val="-1"/>
                <w:sz w:val="18"/>
              </w:rPr>
              <w:t>corporate</w:t>
            </w:r>
            <w:r>
              <w:rPr>
                <w:rFonts w:ascii="Avenir Next Condensed"/>
                <w:sz w:val="18"/>
              </w:rPr>
              <w:t xml:space="preserve"> equipment </w:t>
            </w:r>
            <w:r>
              <w:rPr>
                <w:rFonts w:ascii="Avenir Next Condensed"/>
                <w:spacing w:val="-1"/>
                <w:sz w:val="18"/>
              </w:rPr>
              <w:t>asset</w:t>
            </w:r>
            <w:r>
              <w:rPr>
                <w:rFonts w:ascii="Avenir Next Condensed"/>
                <w:sz w:val="18"/>
              </w:rPr>
              <w:t xml:space="preserve"> life)</w:t>
            </w:r>
          </w:p>
        </w:tc>
        <w:tc>
          <w:tcPr>
            <w:tcW w:w="1996" w:type="dxa"/>
            <w:gridSpan w:val="2"/>
            <w:tcBorders>
              <w:top w:val="single" w:sz="4" w:space="0" w:color="17A7E0"/>
              <w:left w:val="single" w:sz="4" w:space="0" w:color="17A7E0"/>
              <w:bottom w:val="single" w:sz="12" w:space="0" w:color="17A7E0"/>
              <w:right w:val="single" w:sz="4" w:space="0" w:color="17A7E0"/>
            </w:tcBorders>
            <w:shd w:val="clear" w:color="auto" w:fill="F0F9FE"/>
          </w:tcPr>
          <w:p w:rsidR="00D96B91" w:rsidRDefault="00C2656B">
            <w:pPr>
              <w:pStyle w:val="TableParagraph"/>
              <w:spacing w:before="63" w:line="233" w:lineRule="exact"/>
              <w:jc w:val="center"/>
              <w:rPr>
                <w:rFonts w:ascii="Avenir Next Condensed" w:eastAsia="Avenir Next Condensed" w:hAnsi="Avenir Next Condensed" w:cs="Avenir Next Condensed"/>
                <w:sz w:val="18"/>
                <w:szCs w:val="18"/>
              </w:rPr>
            </w:pPr>
            <w:r>
              <w:rPr>
                <w:rFonts w:ascii="Avenir Next Condensed"/>
                <w:sz w:val="18"/>
              </w:rPr>
              <w:t>5</w:t>
            </w:r>
          </w:p>
        </w:tc>
      </w:tr>
    </w:tbl>
    <w:p w:rsidR="00D96B91" w:rsidRDefault="00D96B91">
      <w:pPr>
        <w:rPr>
          <w:rFonts w:ascii="Avenir Next" w:eastAsia="Avenir Next" w:hAnsi="Avenir Next" w:cs="Avenir Next"/>
          <w:b/>
          <w:bCs/>
          <w:sz w:val="20"/>
          <w:szCs w:val="20"/>
        </w:rPr>
      </w:pPr>
    </w:p>
    <w:p w:rsidR="00D96B91" w:rsidRDefault="00D96B91">
      <w:pPr>
        <w:rPr>
          <w:rFonts w:ascii="Avenir Next" w:eastAsia="Avenir Next" w:hAnsi="Avenir Next" w:cs="Avenir Next"/>
          <w:b/>
          <w:bCs/>
          <w:sz w:val="20"/>
          <w:szCs w:val="20"/>
        </w:rPr>
      </w:pPr>
    </w:p>
    <w:p w:rsidR="00D96B91" w:rsidRDefault="00D96B91">
      <w:pPr>
        <w:spacing w:before="7"/>
        <w:rPr>
          <w:rFonts w:ascii="Avenir Next" w:eastAsia="Avenir Next" w:hAnsi="Avenir Next" w:cs="Avenir Next"/>
          <w:b/>
          <w:bCs/>
          <w:sz w:val="26"/>
          <w:szCs w:val="2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03" style="width:72.5pt;height:.5pt;mso-position-horizontal-relative:char;mso-position-vertical-relative:line" coordsize="1450,10">
            <v:group id="_x0000_s3104" style="position:absolute;left:5;top:5;width:1440;height:2" coordorigin="5,5" coordsize="1440,2">
              <v:shape id="_x0000_s3105"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45" w:line="192" w:lineRule="exact"/>
        <w:ind w:right="1769" w:hanging="510"/>
        <w:rPr>
          <w:rFonts w:ascii="Avenir Next" w:eastAsia="Avenir Next" w:hAnsi="Avenir Next" w:cs="Avenir Next"/>
          <w:sz w:val="16"/>
          <w:szCs w:val="16"/>
        </w:rPr>
      </w:pPr>
      <w:bookmarkStart w:id="127" w:name="_bookmark79"/>
      <w:bookmarkEnd w:id="127"/>
      <w:r>
        <w:rPr>
          <w:rFonts w:ascii="Avenir Next"/>
          <w:spacing w:val="-1"/>
          <w:sz w:val="16"/>
        </w:rPr>
        <w:t>The</w:t>
      </w:r>
      <w:r>
        <w:rPr>
          <w:rFonts w:ascii="Avenir Next"/>
          <w:sz w:val="16"/>
        </w:rPr>
        <w:t xml:space="preserve"> </w:t>
      </w:r>
      <w:r>
        <w:rPr>
          <w:rFonts w:ascii="Avenir Next"/>
          <w:spacing w:val="-1"/>
          <w:sz w:val="16"/>
        </w:rPr>
        <w:t>greenhouse</w:t>
      </w:r>
      <w:r>
        <w:rPr>
          <w:rFonts w:ascii="Avenir Next"/>
          <w:sz w:val="16"/>
        </w:rPr>
        <w:t xml:space="preserve"> gas </w:t>
      </w:r>
      <w:r>
        <w:rPr>
          <w:rFonts w:ascii="Avenir Next"/>
          <w:spacing w:val="-1"/>
          <w:sz w:val="16"/>
        </w:rPr>
        <w:t>abatement</w:t>
      </w:r>
      <w:r>
        <w:rPr>
          <w:rFonts w:ascii="Avenir Next"/>
          <w:sz w:val="16"/>
        </w:rPr>
        <w:t xml:space="preserve"> activities </w:t>
      </w:r>
      <w:r>
        <w:rPr>
          <w:rFonts w:ascii="Avenir Next"/>
          <w:spacing w:val="-1"/>
          <w:sz w:val="16"/>
        </w:rPr>
        <w:t>were</w:t>
      </w:r>
      <w:r>
        <w:rPr>
          <w:rFonts w:ascii="Avenir Next"/>
          <w:sz w:val="16"/>
        </w:rPr>
        <w:t xml:space="preserve"> </w:t>
      </w:r>
      <w:r>
        <w:rPr>
          <w:rFonts w:ascii="Avenir Next"/>
          <w:spacing w:val="-1"/>
          <w:sz w:val="16"/>
        </w:rPr>
        <w:t>part</w:t>
      </w:r>
      <w:r>
        <w:rPr>
          <w:rFonts w:ascii="Avenir Next"/>
          <w:sz w:val="16"/>
        </w:rPr>
        <w:t xml:space="preserve"> of</w:t>
      </w:r>
      <w:r>
        <w:rPr>
          <w:rFonts w:ascii="Avenir Next"/>
          <w:spacing w:val="3"/>
          <w:sz w:val="16"/>
        </w:rPr>
        <w:t xml:space="preserve"> </w:t>
      </w:r>
      <w:r>
        <w:rPr>
          <w:rFonts w:ascii="Avenir Next"/>
          <w:sz w:val="16"/>
        </w:rPr>
        <w:t xml:space="preserve">the </w:t>
      </w:r>
      <w:r>
        <w:rPr>
          <w:rFonts w:ascii="Avenir Next"/>
          <w:spacing w:val="-1"/>
          <w:sz w:val="16"/>
        </w:rPr>
        <w:t>expenditure</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pacing w:val="-1"/>
          <w:sz w:val="16"/>
        </w:rPr>
        <w:t>incurred</w:t>
      </w:r>
      <w:r>
        <w:rPr>
          <w:rFonts w:ascii="Avenir Next"/>
          <w:sz w:val="16"/>
        </w:rPr>
        <w:t xml:space="preserve"> when developing the </w:t>
      </w:r>
      <w:r>
        <w:rPr>
          <w:rFonts w:ascii="Avenir Next"/>
          <w:spacing w:val="-1"/>
          <w:sz w:val="16"/>
        </w:rPr>
        <w:t>water</w:t>
      </w:r>
      <w:r>
        <w:rPr>
          <w:rFonts w:ascii="Avenir Next"/>
          <w:spacing w:val="67"/>
          <w:sz w:val="16"/>
        </w:rPr>
        <w:t xml:space="preserve"> </w:t>
      </w:r>
      <w:r>
        <w:rPr>
          <w:rFonts w:ascii="Avenir Next"/>
          <w:sz w:val="16"/>
        </w:rPr>
        <w:t xml:space="preserve">security </w:t>
      </w:r>
      <w:r>
        <w:rPr>
          <w:rFonts w:ascii="Avenir Next"/>
          <w:spacing w:val="-1"/>
          <w:sz w:val="16"/>
        </w:rPr>
        <w:t>projects.</w:t>
      </w:r>
      <w:r>
        <w:rPr>
          <w:rFonts w:ascii="Avenir Next"/>
          <w:spacing w:val="-9"/>
          <w:sz w:val="16"/>
        </w:rPr>
        <w:t xml:space="preserve"> </w:t>
      </w:r>
      <w:r>
        <w:rPr>
          <w:rFonts w:ascii="Avenir Next"/>
          <w:spacing w:val="-1"/>
          <w:sz w:val="16"/>
        </w:rPr>
        <w:t>These</w:t>
      </w:r>
      <w:r>
        <w:rPr>
          <w:rFonts w:ascii="Avenir Next"/>
          <w:sz w:val="16"/>
        </w:rPr>
        <w:t xml:space="preserve"> activities included:</w:t>
      </w:r>
    </w:p>
    <w:p w:rsidR="00D96B91" w:rsidRDefault="00C2656B">
      <w:pPr>
        <w:numPr>
          <w:ilvl w:val="1"/>
          <w:numId w:val="72"/>
        </w:numPr>
        <w:tabs>
          <w:tab w:val="left" w:pos="2098"/>
        </w:tabs>
        <w:spacing w:before="50"/>
        <w:ind w:left="2097" w:hanging="360"/>
        <w:rPr>
          <w:rFonts w:ascii="Avenir Next" w:eastAsia="Avenir Next" w:hAnsi="Avenir Next" w:cs="Avenir Next"/>
          <w:sz w:val="16"/>
          <w:szCs w:val="16"/>
        </w:rPr>
      </w:pPr>
      <w:r>
        <w:rPr>
          <w:rFonts w:ascii="Avenir Next" w:hAnsi="Avenir Next"/>
          <w:sz w:val="16"/>
        </w:rPr>
        <w:t>the use of</w:t>
      </w:r>
      <w:r>
        <w:rPr>
          <w:rFonts w:ascii="Avenir Next" w:hAnsi="Avenir Next"/>
          <w:spacing w:val="3"/>
          <w:sz w:val="16"/>
        </w:rPr>
        <w:t xml:space="preserve"> </w:t>
      </w:r>
      <w:r>
        <w:rPr>
          <w:rFonts w:ascii="Avenir Next" w:hAnsi="Avenir Next"/>
          <w:sz w:val="16"/>
        </w:rPr>
        <w:t>biodiesel during construction ·</w:t>
      </w:r>
    </w:p>
    <w:p w:rsidR="00D96B91" w:rsidRDefault="00C2656B">
      <w:pPr>
        <w:numPr>
          <w:ilvl w:val="1"/>
          <w:numId w:val="72"/>
        </w:numPr>
        <w:tabs>
          <w:tab w:val="left" w:pos="2098"/>
        </w:tabs>
        <w:spacing w:before="30"/>
        <w:ind w:left="2097" w:hanging="360"/>
        <w:rPr>
          <w:rFonts w:ascii="Avenir Next" w:eastAsia="Avenir Next" w:hAnsi="Avenir Next" w:cs="Avenir Next"/>
          <w:sz w:val="16"/>
          <w:szCs w:val="16"/>
        </w:rPr>
      </w:pPr>
      <w:r>
        <w:rPr>
          <w:rFonts w:ascii="Avenir Next"/>
          <w:sz w:val="16"/>
        </w:rPr>
        <w:t xml:space="preserve">the </w:t>
      </w:r>
      <w:r>
        <w:rPr>
          <w:rFonts w:ascii="Avenir Next"/>
          <w:spacing w:val="-1"/>
          <w:sz w:val="16"/>
        </w:rPr>
        <w:t>implementation</w:t>
      </w:r>
      <w:r>
        <w:rPr>
          <w:rFonts w:ascii="Avenir Next"/>
          <w:sz w:val="16"/>
        </w:rPr>
        <w:t xml:space="preserve"> of</w:t>
      </w:r>
      <w:r>
        <w:rPr>
          <w:rFonts w:ascii="Avenir Next"/>
          <w:spacing w:val="3"/>
          <w:sz w:val="16"/>
        </w:rPr>
        <w:t xml:space="preserve"> </w:t>
      </w:r>
      <w:r>
        <w:rPr>
          <w:rFonts w:ascii="Avenir Next"/>
          <w:sz w:val="16"/>
        </w:rPr>
        <w:t xml:space="preserve">a </w:t>
      </w:r>
      <w:r>
        <w:rPr>
          <w:rFonts w:ascii="Avenir Next"/>
          <w:spacing w:val="-1"/>
          <w:sz w:val="16"/>
        </w:rPr>
        <w:t>hydro</w:t>
      </w:r>
      <w:r>
        <w:rPr>
          <w:rFonts w:ascii="Avenir Next"/>
          <w:sz w:val="16"/>
        </w:rPr>
        <w:t xml:space="preserve"> </w:t>
      </w:r>
      <w:r>
        <w:rPr>
          <w:rFonts w:ascii="Avenir Next"/>
          <w:spacing w:val="-1"/>
          <w:sz w:val="16"/>
        </w:rPr>
        <w:t>generator</w:t>
      </w:r>
      <w:r>
        <w:rPr>
          <w:rFonts w:ascii="Avenir Next"/>
          <w:sz w:val="16"/>
        </w:rPr>
        <w:t xml:space="preserve"> for </w:t>
      </w:r>
      <w:r>
        <w:rPr>
          <w:rFonts w:ascii="Avenir Next"/>
          <w:spacing w:val="-1"/>
          <w:sz w:val="16"/>
        </w:rPr>
        <w:t>energy</w:t>
      </w:r>
      <w:r>
        <w:rPr>
          <w:rFonts w:ascii="Avenir Next"/>
          <w:sz w:val="16"/>
        </w:rPr>
        <w:t xml:space="preserve"> </w:t>
      </w:r>
      <w:r>
        <w:rPr>
          <w:rFonts w:ascii="Avenir Next"/>
          <w:spacing w:val="-1"/>
          <w:sz w:val="16"/>
        </w:rPr>
        <w:t>recovery</w:t>
      </w:r>
      <w:r>
        <w:rPr>
          <w:rFonts w:ascii="Avenir Next"/>
          <w:sz w:val="16"/>
        </w:rPr>
        <w:t xml:space="preserve"> in the M2G pipeline,</w:t>
      </w:r>
      <w:r>
        <w:rPr>
          <w:rFonts w:ascii="Avenir Next"/>
          <w:spacing w:val="-5"/>
          <w:sz w:val="16"/>
        </w:rPr>
        <w:t xml:space="preserve"> </w:t>
      </w:r>
      <w:r>
        <w:rPr>
          <w:rFonts w:ascii="Avenir Next"/>
          <w:sz w:val="16"/>
        </w:rPr>
        <w:t>and</w:t>
      </w:r>
    </w:p>
    <w:p w:rsidR="00D96B91" w:rsidRDefault="00C2656B">
      <w:pPr>
        <w:numPr>
          <w:ilvl w:val="1"/>
          <w:numId w:val="72"/>
        </w:numPr>
        <w:tabs>
          <w:tab w:val="left" w:pos="2098"/>
        </w:tabs>
        <w:spacing w:before="30"/>
        <w:ind w:left="2097" w:hanging="360"/>
        <w:rPr>
          <w:rFonts w:ascii="Avenir Next" w:eastAsia="Avenir Next" w:hAnsi="Avenir Next" w:cs="Avenir Next"/>
          <w:sz w:val="16"/>
          <w:szCs w:val="16"/>
        </w:rPr>
      </w:pPr>
      <w:r>
        <w:rPr>
          <w:rFonts w:ascii="Avenir Next"/>
          <w:sz w:val="16"/>
        </w:rPr>
        <w:t xml:space="preserve">the </w:t>
      </w:r>
      <w:r>
        <w:rPr>
          <w:rFonts w:ascii="Avenir Next"/>
          <w:spacing w:val="-1"/>
          <w:sz w:val="16"/>
        </w:rPr>
        <w:t>procurement</w:t>
      </w:r>
      <w:r>
        <w:rPr>
          <w:rFonts w:ascii="Avenir Next"/>
          <w:sz w:val="16"/>
        </w:rPr>
        <w:t xml:space="preserve"> of</w:t>
      </w:r>
      <w:r>
        <w:rPr>
          <w:rFonts w:ascii="Avenir Next"/>
          <w:spacing w:val="3"/>
          <w:sz w:val="16"/>
        </w:rPr>
        <w:t xml:space="preserve"> </w:t>
      </w:r>
      <w:r>
        <w:rPr>
          <w:rFonts w:ascii="Avenir Next"/>
          <w:spacing w:val="-1"/>
          <w:sz w:val="16"/>
        </w:rPr>
        <w:t>Carbon</w:t>
      </w:r>
      <w:r>
        <w:rPr>
          <w:rFonts w:ascii="Avenir Next"/>
          <w:sz w:val="16"/>
        </w:rPr>
        <w:t xml:space="preserve"> Sink </w:t>
      </w:r>
      <w:r>
        <w:rPr>
          <w:rFonts w:ascii="Avenir Next"/>
          <w:spacing w:val="-2"/>
          <w:sz w:val="16"/>
        </w:rPr>
        <w:t>Forestry</w:t>
      </w:r>
      <w:r>
        <w:rPr>
          <w:rFonts w:ascii="Avenir Next"/>
          <w:sz w:val="16"/>
        </w:rPr>
        <w:t xml:space="preserve"> </w:t>
      </w:r>
      <w:r>
        <w:rPr>
          <w:rFonts w:ascii="Avenir Next"/>
          <w:spacing w:val="-1"/>
          <w:sz w:val="16"/>
        </w:rPr>
        <w:t>Offsets.</w:t>
      </w:r>
    </w:p>
    <w:p w:rsidR="00D96B91" w:rsidRDefault="00C2656B">
      <w:pPr>
        <w:spacing w:before="36" w:line="192" w:lineRule="exact"/>
        <w:ind w:left="1757" w:right="1283"/>
        <w:rPr>
          <w:rFonts w:ascii="Avenir Next" w:eastAsia="Avenir Next" w:hAnsi="Avenir Next" w:cs="Avenir Next"/>
          <w:sz w:val="16"/>
          <w:szCs w:val="16"/>
        </w:rPr>
      </w:pPr>
      <w:r>
        <w:rPr>
          <w:rFonts w:ascii="Avenir Next"/>
          <w:spacing w:val="-8"/>
          <w:sz w:val="16"/>
        </w:rPr>
        <w:t>To</w:t>
      </w:r>
      <w:r>
        <w:rPr>
          <w:rFonts w:ascii="Avenir Next"/>
          <w:sz w:val="16"/>
        </w:rPr>
        <w:t xml:space="preserve"> set a price for customers </w:t>
      </w:r>
      <w:r>
        <w:rPr>
          <w:rFonts w:ascii="Avenir Next"/>
          <w:spacing w:val="-1"/>
          <w:sz w:val="16"/>
        </w:rPr>
        <w:t>approximately</w:t>
      </w:r>
      <w:r>
        <w:rPr>
          <w:rFonts w:ascii="Avenir Next"/>
          <w:sz w:val="16"/>
        </w:rPr>
        <w:t xml:space="preserve"> equal to </w:t>
      </w:r>
      <w:r>
        <w:rPr>
          <w:rFonts w:ascii="Avenir Next"/>
          <w:spacing w:val="-1"/>
          <w:sz w:val="16"/>
        </w:rPr>
        <w:t>what</w:t>
      </w:r>
      <w:r>
        <w:rPr>
          <w:rFonts w:ascii="Avenir Next"/>
          <w:sz w:val="16"/>
        </w:rPr>
        <w:t xml:space="preserve"> they would have been paid without the </w:t>
      </w:r>
      <w:r>
        <w:rPr>
          <w:rFonts w:ascii="Avenir Next"/>
          <w:spacing w:val="-1"/>
          <w:sz w:val="16"/>
        </w:rPr>
        <w:t>greenhouse</w:t>
      </w:r>
      <w:r>
        <w:rPr>
          <w:rFonts w:ascii="Avenir Next"/>
          <w:sz w:val="16"/>
        </w:rPr>
        <w:t xml:space="preserve"> gas</w:t>
      </w:r>
      <w:r>
        <w:rPr>
          <w:rFonts w:ascii="Avenir Next"/>
          <w:spacing w:val="33"/>
          <w:sz w:val="16"/>
        </w:rPr>
        <w:t xml:space="preserve"> </w:t>
      </w:r>
      <w:r>
        <w:rPr>
          <w:rFonts w:ascii="Avenir Next"/>
          <w:spacing w:val="-1"/>
          <w:sz w:val="16"/>
        </w:rPr>
        <w:t>abatement</w:t>
      </w:r>
      <w:r>
        <w:rPr>
          <w:rFonts w:ascii="Avenir Next"/>
          <w:sz w:val="16"/>
        </w:rPr>
        <w:t xml:space="preserve"> activities,</w:t>
      </w:r>
      <w:r>
        <w:rPr>
          <w:rFonts w:ascii="Avenir Next"/>
          <w:spacing w:val="-5"/>
          <w:sz w:val="16"/>
        </w:rPr>
        <w:t xml:space="preserve"> </w:t>
      </w:r>
      <w:r>
        <w:rPr>
          <w:rFonts w:ascii="Avenir Next"/>
          <w:sz w:val="16"/>
        </w:rPr>
        <w:t>the life of</w:t>
      </w:r>
      <w:r>
        <w:rPr>
          <w:rFonts w:ascii="Avenir Next"/>
          <w:spacing w:val="3"/>
          <w:sz w:val="16"/>
        </w:rPr>
        <w:t xml:space="preserve"> </w:t>
      </w:r>
      <w:r>
        <w:rPr>
          <w:rFonts w:ascii="Avenir Next"/>
          <w:sz w:val="16"/>
        </w:rPr>
        <w:t xml:space="preserve">the </w:t>
      </w:r>
      <w:r>
        <w:rPr>
          <w:rFonts w:ascii="Avenir Next"/>
          <w:spacing w:val="-1"/>
          <w:sz w:val="16"/>
        </w:rPr>
        <w:t>greenhouse</w:t>
      </w:r>
      <w:r>
        <w:rPr>
          <w:rFonts w:ascii="Avenir Next"/>
          <w:sz w:val="16"/>
        </w:rPr>
        <w:t xml:space="preserve"> gas </w:t>
      </w:r>
      <w:r>
        <w:rPr>
          <w:rFonts w:ascii="Avenir Next"/>
          <w:spacing w:val="-1"/>
          <w:sz w:val="16"/>
        </w:rPr>
        <w:t>abatement</w:t>
      </w:r>
      <w:r>
        <w:rPr>
          <w:rFonts w:ascii="Avenir Next"/>
          <w:sz w:val="16"/>
        </w:rPr>
        <w:t xml:space="preserve"> assets </w:t>
      </w:r>
      <w:r>
        <w:rPr>
          <w:rFonts w:ascii="Avenir Next"/>
          <w:spacing w:val="-1"/>
          <w:sz w:val="16"/>
        </w:rPr>
        <w:t>were</w:t>
      </w:r>
      <w:r>
        <w:rPr>
          <w:rFonts w:ascii="Avenir Next"/>
          <w:sz w:val="16"/>
        </w:rPr>
        <w:t xml:space="preserve"> assumed to have the same weighted </w:t>
      </w:r>
      <w:r>
        <w:rPr>
          <w:rFonts w:ascii="Avenir Next"/>
          <w:spacing w:val="-1"/>
          <w:sz w:val="16"/>
        </w:rPr>
        <w:t>average</w:t>
      </w:r>
      <w:r>
        <w:rPr>
          <w:rFonts w:ascii="Avenir Next"/>
          <w:spacing w:val="55"/>
          <w:sz w:val="16"/>
        </w:rPr>
        <w:t xml:space="preserve"> </w:t>
      </w:r>
      <w:r>
        <w:rPr>
          <w:rFonts w:ascii="Avenir Next"/>
          <w:sz w:val="16"/>
        </w:rPr>
        <w:t xml:space="preserve">life as the </w:t>
      </w:r>
      <w:r>
        <w:rPr>
          <w:rFonts w:ascii="Avenir Next"/>
          <w:spacing w:val="-1"/>
          <w:sz w:val="16"/>
        </w:rPr>
        <w:t>water</w:t>
      </w:r>
      <w:r>
        <w:rPr>
          <w:rFonts w:ascii="Avenir Next"/>
          <w:sz w:val="16"/>
        </w:rPr>
        <w:t xml:space="preserve"> security </w:t>
      </w:r>
      <w:r>
        <w:rPr>
          <w:rFonts w:ascii="Avenir Next"/>
          <w:spacing w:val="-1"/>
          <w:sz w:val="16"/>
        </w:rPr>
        <w:t>projects</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7"/>
        <w:numPr>
          <w:ilvl w:val="3"/>
          <w:numId w:val="70"/>
        </w:numPr>
        <w:tabs>
          <w:tab w:val="left" w:pos="2212"/>
        </w:tabs>
        <w:spacing w:before="29"/>
        <w:rPr>
          <w:b w:val="0"/>
          <w:bCs w:val="0"/>
        </w:rPr>
      </w:pPr>
      <w:bookmarkStart w:id="128" w:name="9._5_Indexation_of_the_RAB"/>
      <w:bookmarkStart w:id="129" w:name="_bookmark80"/>
      <w:bookmarkEnd w:id="128"/>
      <w:bookmarkEnd w:id="129"/>
      <w:r>
        <w:rPr>
          <w:color w:val="0778BE"/>
          <w:spacing w:val="-2"/>
        </w:rPr>
        <w:t>Draft</w:t>
      </w:r>
      <w:r>
        <w:rPr>
          <w:color w:val="0778BE"/>
        </w:rPr>
        <w:t xml:space="preserve"> decision on </w:t>
      </w:r>
      <w:r>
        <w:rPr>
          <w:color w:val="0778BE"/>
          <w:spacing w:val="-1"/>
        </w:rPr>
        <w:t>depreciation</w:t>
      </w:r>
    </w:p>
    <w:p w:rsidR="00D96B91" w:rsidRDefault="00D96B91">
      <w:pPr>
        <w:pStyle w:val="BodyText"/>
        <w:spacing w:before="28" w:line="260" w:lineRule="exact"/>
        <w:ind w:right="1283"/>
      </w:pPr>
      <w:hyperlink w:anchor="_bookmark81" w:history="1">
        <w:r w:rsidR="00C2656B">
          <w:rPr>
            <w:spacing w:val="-4"/>
          </w:rPr>
          <w:t>Table</w:t>
        </w:r>
        <w:r w:rsidR="00C2656B">
          <w:t xml:space="preserve"> 9.15</w:t>
        </w:r>
      </w:hyperlink>
      <w:r w:rsidR="00C2656B">
        <w:t xml:space="preserve"> </w:t>
      </w:r>
      <w:r w:rsidR="00C2656B">
        <w:rPr>
          <w:rFonts w:cs="Avenir Next"/>
        </w:rPr>
        <w:t xml:space="preserve">sets out the </w:t>
      </w:r>
      <w:r w:rsidR="00C2656B">
        <w:rPr>
          <w:rFonts w:cs="Avenir Next"/>
          <w:spacing w:val="-4"/>
        </w:rPr>
        <w:t>Panel’s</w:t>
      </w:r>
      <w:r w:rsidR="00C2656B">
        <w:rPr>
          <w:rFonts w:cs="Avenir Next"/>
        </w:rPr>
        <w:t xml:space="preserve"> </w:t>
      </w:r>
      <w:r w:rsidR="00C2656B">
        <w:rPr>
          <w:rFonts w:cs="Avenir Next"/>
          <w:spacing w:val="-2"/>
        </w:rPr>
        <w:t>draft</w:t>
      </w:r>
      <w:r w:rsidR="00C2656B">
        <w:rPr>
          <w:rFonts w:cs="Avenir Next"/>
        </w:rPr>
        <w:t xml:space="preserve"> decision on the </w:t>
      </w:r>
      <w:r w:rsidR="00C2656B">
        <w:rPr>
          <w:rFonts w:cs="Avenir Next"/>
          <w:spacing w:val="-1"/>
        </w:rPr>
        <w:t>depreciation</w:t>
      </w:r>
      <w:r w:rsidR="00C2656B">
        <w:rPr>
          <w:rFonts w:cs="Avenir Next"/>
        </w:rPr>
        <w:t xml:space="preserve"> allowance to be included in</w:t>
      </w:r>
      <w:r w:rsidR="00C2656B">
        <w:rPr>
          <w:rFonts w:cs="Avenir Next"/>
          <w:spacing w:val="-4"/>
        </w:rPr>
        <w:t xml:space="preserve"> </w:t>
      </w:r>
      <w:r w:rsidR="00C2656B">
        <w:rPr>
          <w:rFonts w:cs="Avenir Next"/>
          <w:spacing w:val="-2"/>
        </w:rPr>
        <w:t>ACTEW’s</w:t>
      </w:r>
      <w:r w:rsidR="00C2656B">
        <w:rPr>
          <w:rFonts w:cs="Avenir Next"/>
          <w:spacing w:val="33"/>
        </w:rPr>
        <w:t xml:space="preserve"> </w:t>
      </w:r>
      <w:r w:rsidR="00C2656B">
        <w:rPr>
          <w:spacing w:val="-1"/>
        </w:rPr>
        <w:t>revenue</w:t>
      </w:r>
      <w:r w:rsidR="00C2656B">
        <w:t xml:space="preserve"> </w:t>
      </w:r>
      <w:r w:rsidR="00C2656B">
        <w:rPr>
          <w:spacing w:val="-1"/>
        </w:rPr>
        <w:t>requirement</w:t>
      </w:r>
      <w:r w:rsidR="00C2656B">
        <w:t xml:space="preserve"> in this </w:t>
      </w:r>
      <w:r w:rsidR="00C2656B">
        <w:rPr>
          <w:spacing w:val="-1"/>
        </w:rPr>
        <w:t>regulatory</w:t>
      </w:r>
      <w:r w:rsidR="00C2656B">
        <w:t xml:space="preserve"> period.</w:t>
      </w:r>
      <w:r w:rsidR="00C2656B">
        <w:rPr>
          <w:spacing w:val="-9"/>
        </w:rPr>
        <w:t xml:space="preserve"> </w:t>
      </w:r>
      <w:r w:rsidR="00C2656B">
        <w:t xml:space="preserve">With the </w:t>
      </w:r>
      <w:r w:rsidR="00C2656B">
        <w:rPr>
          <w:spacing w:val="-1"/>
        </w:rPr>
        <w:t>exception</w:t>
      </w:r>
      <w:r w:rsidR="00C2656B">
        <w:t xml:space="preserve"> of</w:t>
      </w:r>
      <w:r w:rsidR="00C2656B">
        <w:rPr>
          <w:spacing w:val="4"/>
        </w:rPr>
        <w:t xml:space="preserve"> </w:t>
      </w:r>
      <w:r w:rsidR="00C2656B">
        <w:t xml:space="preserve">the </w:t>
      </w:r>
      <w:r w:rsidR="00C2656B">
        <w:rPr>
          <w:spacing w:val="-1"/>
        </w:rPr>
        <w:t>water</w:t>
      </w:r>
      <w:r w:rsidR="00C2656B">
        <w:t xml:space="preserve"> security </w:t>
      </w:r>
      <w:r w:rsidR="00C2656B">
        <w:rPr>
          <w:spacing w:val="-1"/>
        </w:rPr>
        <w:t>projects,</w:t>
      </w:r>
    </w:p>
    <w:p w:rsidR="00D96B91" w:rsidRDefault="00C2656B">
      <w:pPr>
        <w:pStyle w:val="BodyText"/>
        <w:spacing w:line="260" w:lineRule="exact"/>
        <w:ind w:right="1283"/>
      </w:pPr>
      <w:r>
        <w:t xml:space="preserve">the </w:t>
      </w:r>
      <w:r>
        <w:rPr>
          <w:spacing w:val="-1"/>
        </w:rPr>
        <w:t>depreciation</w:t>
      </w:r>
      <w:r>
        <w:t xml:space="preserve"> allowances in this table have been </w:t>
      </w:r>
      <w:r>
        <w:rPr>
          <w:spacing w:val="-1"/>
        </w:rPr>
        <w:t>calculated</w:t>
      </w:r>
      <w:r>
        <w:t xml:space="preserve"> using the </w:t>
      </w:r>
      <w:r>
        <w:rPr>
          <w:spacing w:val="-1"/>
        </w:rPr>
        <w:t>straight</w:t>
      </w:r>
      <w:r>
        <w:t xml:space="preserve"> line </w:t>
      </w:r>
      <w:r>
        <w:rPr>
          <w:spacing w:val="-1"/>
        </w:rPr>
        <w:t>depreciation</w:t>
      </w:r>
      <w:r>
        <w:rPr>
          <w:spacing w:val="49"/>
        </w:rPr>
        <w:t xml:space="preserve"> </w:t>
      </w:r>
      <w:r>
        <w:t>method</w:t>
      </w:r>
      <w:r>
        <w:rPr>
          <w:position w:val="7"/>
          <w:sz w:val="11"/>
        </w:rPr>
        <w:t>148</w:t>
      </w:r>
      <w:r>
        <w:rPr>
          <w:spacing w:val="23"/>
          <w:position w:val="7"/>
          <w:sz w:val="11"/>
        </w:rPr>
        <w:t xml:space="preserve"> </w:t>
      </w:r>
      <w:r>
        <w:t>and</w:t>
      </w:r>
      <w:r>
        <w:rPr>
          <w:spacing w:val="1"/>
        </w:rPr>
        <w:t xml:space="preserve"> </w:t>
      </w:r>
      <w:r>
        <w:t>the</w:t>
      </w:r>
      <w:r>
        <w:rPr>
          <w:spacing w:val="2"/>
        </w:rPr>
        <w:t xml:space="preserve"> </w:t>
      </w:r>
      <w:r>
        <w:t>economic</w:t>
      </w:r>
      <w:r>
        <w:rPr>
          <w:spacing w:val="1"/>
        </w:rPr>
        <w:t xml:space="preserve"> </w:t>
      </w:r>
      <w:r>
        <w:t>asset</w:t>
      </w:r>
      <w:r>
        <w:rPr>
          <w:spacing w:val="1"/>
        </w:rPr>
        <w:t xml:space="preserve"> </w:t>
      </w:r>
      <w:r>
        <w:t>lives</w:t>
      </w:r>
      <w:r>
        <w:rPr>
          <w:spacing w:val="1"/>
        </w:rPr>
        <w:t xml:space="preserve"> </w:t>
      </w:r>
      <w:r>
        <w:t>set</w:t>
      </w:r>
      <w:r>
        <w:rPr>
          <w:spacing w:val="1"/>
        </w:rPr>
        <w:t xml:space="preserve"> </w:t>
      </w:r>
      <w:r>
        <w:t>out</w:t>
      </w:r>
      <w:r>
        <w:rPr>
          <w:spacing w:val="1"/>
        </w:rPr>
        <w:t xml:space="preserve"> </w:t>
      </w:r>
      <w:r>
        <w:t>in</w:t>
      </w:r>
      <w:r>
        <w:rPr>
          <w:spacing w:val="-4"/>
        </w:rPr>
        <w:t xml:space="preserve"> </w:t>
      </w:r>
      <w:hyperlink w:anchor="_bookmark78" w:history="1">
        <w:r>
          <w:rPr>
            <w:spacing w:val="-4"/>
          </w:rPr>
          <w:t>Table</w:t>
        </w:r>
        <w:r>
          <w:rPr>
            <w:spacing w:val="2"/>
          </w:rPr>
          <w:t xml:space="preserve"> </w:t>
        </w:r>
        <w:r>
          <w:t>9.14</w:t>
        </w:r>
      </w:hyperlink>
      <w:r>
        <w:t>.</w:t>
      </w:r>
    </w:p>
    <w:p w:rsidR="00D96B91" w:rsidRDefault="00C2656B">
      <w:pPr>
        <w:spacing w:before="158"/>
        <w:ind w:left="1247"/>
        <w:rPr>
          <w:rFonts w:ascii="Avenir Next" w:eastAsia="Avenir Next" w:hAnsi="Avenir Next" w:cs="Avenir Next"/>
          <w:sz w:val="20"/>
          <w:szCs w:val="20"/>
        </w:rPr>
      </w:pPr>
      <w:bookmarkStart w:id="130" w:name="_bookmark81"/>
      <w:bookmarkEnd w:id="130"/>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9.15: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Depreciation</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523"/>
        <w:gridCol w:w="1376"/>
        <w:gridCol w:w="1376"/>
        <w:gridCol w:w="1376"/>
        <w:gridCol w:w="1376"/>
        <w:gridCol w:w="1376"/>
      </w:tblGrid>
      <w:tr w:rsidR="00D96B91">
        <w:trPr>
          <w:trHeight w:hRule="exact" w:val="407"/>
        </w:trPr>
        <w:tc>
          <w:tcPr>
            <w:tcW w:w="25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3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1"/>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1"/>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3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1"/>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3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1"/>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5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p>
        </w:tc>
        <w:tc>
          <w:tcPr>
            <w:tcW w:w="13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0"/>
              <w:jc w:val="center"/>
              <w:rPr>
                <w:rFonts w:ascii="Avenir Next Condensed" w:eastAsia="Avenir Next Condensed" w:hAnsi="Avenir Next Condensed" w:cs="Avenir Next Condensed"/>
                <w:sz w:val="18"/>
                <w:szCs w:val="18"/>
              </w:rPr>
            </w:pPr>
            <w:r>
              <w:rPr>
                <w:rFonts w:ascii="Avenir Next Condensed"/>
                <w:sz w:val="18"/>
              </w:rPr>
              <w:t>24.52</w:t>
            </w:r>
          </w:p>
        </w:tc>
        <w:tc>
          <w:tcPr>
            <w:tcW w:w="13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0"/>
              <w:jc w:val="center"/>
              <w:rPr>
                <w:rFonts w:ascii="Avenir Next Condensed" w:eastAsia="Avenir Next Condensed" w:hAnsi="Avenir Next Condensed" w:cs="Avenir Next Condensed"/>
                <w:sz w:val="18"/>
                <w:szCs w:val="18"/>
              </w:rPr>
            </w:pPr>
            <w:r>
              <w:rPr>
                <w:rFonts w:ascii="Avenir Next Condensed"/>
                <w:sz w:val="18"/>
              </w:rPr>
              <w:t>25.86</w:t>
            </w:r>
          </w:p>
        </w:tc>
        <w:tc>
          <w:tcPr>
            <w:tcW w:w="13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27.14</w:t>
            </w:r>
          </w:p>
        </w:tc>
        <w:tc>
          <w:tcPr>
            <w:tcW w:w="13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28.49</w:t>
            </w:r>
          </w:p>
        </w:tc>
        <w:tc>
          <w:tcPr>
            <w:tcW w:w="13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30.09</w:t>
            </w:r>
          </w:p>
        </w:tc>
      </w:tr>
      <w:tr w:rsidR="00D96B91">
        <w:trPr>
          <w:trHeight w:hRule="exact" w:val="407"/>
        </w:trPr>
        <w:tc>
          <w:tcPr>
            <w:tcW w:w="25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Sewerage</w:t>
            </w:r>
          </w:p>
        </w:tc>
        <w:tc>
          <w:tcPr>
            <w:tcW w:w="13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16.64</w:t>
            </w:r>
          </w:p>
        </w:tc>
        <w:tc>
          <w:tcPr>
            <w:tcW w:w="13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18.06</w:t>
            </w:r>
          </w:p>
        </w:tc>
        <w:tc>
          <w:tcPr>
            <w:tcW w:w="13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20.19</w:t>
            </w:r>
          </w:p>
        </w:tc>
        <w:tc>
          <w:tcPr>
            <w:tcW w:w="13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23.52</w:t>
            </w:r>
          </w:p>
        </w:tc>
        <w:tc>
          <w:tcPr>
            <w:tcW w:w="13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1"/>
              <w:jc w:val="center"/>
              <w:rPr>
                <w:rFonts w:ascii="Avenir Next Condensed" w:eastAsia="Avenir Next Condensed" w:hAnsi="Avenir Next Condensed" w:cs="Avenir Next Condensed"/>
                <w:sz w:val="18"/>
                <w:szCs w:val="18"/>
              </w:rPr>
            </w:pPr>
            <w:r>
              <w:rPr>
                <w:rFonts w:ascii="Avenir Next Condensed"/>
                <w:sz w:val="18"/>
              </w:rPr>
              <w:t>27.26</w:t>
            </w:r>
          </w:p>
        </w:tc>
      </w:tr>
    </w:tbl>
    <w:p w:rsidR="00D96B91" w:rsidRDefault="00D96B91">
      <w:pPr>
        <w:spacing w:before="11"/>
        <w:rPr>
          <w:rFonts w:ascii="Avenir Next" w:eastAsia="Avenir Next" w:hAnsi="Avenir Next" w:cs="Avenir Next"/>
          <w:b/>
          <w:bCs/>
          <w:sz w:val="25"/>
          <w:szCs w:val="25"/>
        </w:rPr>
      </w:pPr>
    </w:p>
    <w:p w:rsidR="00D96B91" w:rsidRDefault="00C2656B">
      <w:pPr>
        <w:pStyle w:val="Heading4"/>
        <w:numPr>
          <w:ilvl w:val="0"/>
          <w:numId w:val="67"/>
        </w:numPr>
        <w:tabs>
          <w:tab w:val="left" w:pos="1570"/>
          <w:tab w:val="left" w:pos="2040"/>
        </w:tabs>
        <w:spacing w:before="19"/>
        <w:ind w:hanging="322"/>
      </w:pPr>
      <w:r>
        <w:rPr>
          <w:color w:val="0778BE"/>
        </w:rPr>
        <w:t>5</w:t>
      </w:r>
      <w:r>
        <w:rPr>
          <w:color w:val="0778BE"/>
        </w:rPr>
        <w:tab/>
      </w:r>
      <w:r>
        <w:rPr>
          <w:color w:val="0778BE"/>
          <w:spacing w:val="-1"/>
        </w:rPr>
        <w:t>Indexation</w:t>
      </w:r>
      <w:r>
        <w:rPr>
          <w:color w:val="0778BE"/>
        </w:rPr>
        <w:t xml:space="preserve"> of</w:t>
      </w:r>
      <w:r>
        <w:rPr>
          <w:color w:val="0778BE"/>
          <w:spacing w:val="7"/>
        </w:rPr>
        <w:t xml:space="preserve"> </w:t>
      </w:r>
      <w:r>
        <w:rPr>
          <w:color w:val="0778BE"/>
        </w:rPr>
        <w:t>the RAB</w:t>
      </w:r>
    </w:p>
    <w:p w:rsidR="00D96B91" w:rsidRDefault="00C2656B">
      <w:pPr>
        <w:pStyle w:val="BodyText"/>
        <w:spacing w:before="55" w:line="260" w:lineRule="exact"/>
        <w:ind w:right="1283"/>
      </w:pPr>
      <w:r>
        <w:rPr>
          <w:spacing w:val="-10"/>
        </w:rPr>
        <w:t>To</w:t>
      </w:r>
      <w:r>
        <w:t xml:space="preserve"> </w:t>
      </w:r>
      <w:r>
        <w:rPr>
          <w:spacing w:val="-1"/>
        </w:rPr>
        <w:t>ensure</w:t>
      </w:r>
      <w:r>
        <w:t xml:space="preserve"> </w:t>
      </w:r>
      <w:r>
        <w:rPr>
          <w:spacing w:val="-1"/>
        </w:rPr>
        <w:t>that</w:t>
      </w:r>
      <w:r>
        <w:t xml:space="preserve"> the </w:t>
      </w:r>
      <w:r>
        <w:rPr>
          <w:b/>
          <w:spacing w:val="-2"/>
        </w:rPr>
        <w:t>real</w:t>
      </w:r>
      <w:r>
        <w:rPr>
          <w:b/>
        </w:rPr>
        <w:t xml:space="preserve"> </w:t>
      </w:r>
      <w:r>
        <w:t>value of</w:t>
      </w:r>
      <w:r>
        <w:rPr>
          <w:spacing w:val="4"/>
        </w:rPr>
        <w:t xml:space="preserve"> </w:t>
      </w:r>
      <w:r>
        <w:t>the RAB is maintained over time,</w:t>
      </w:r>
      <w:r>
        <w:rPr>
          <w:spacing w:val="-7"/>
        </w:rPr>
        <w:t xml:space="preserve"> </w:t>
      </w:r>
      <w:r>
        <w:t>most</w:t>
      </w:r>
      <w:r>
        <w:rPr>
          <w:spacing w:val="-4"/>
        </w:rPr>
        <w:t xml:space="preserve"> </w:t>
      </w:r>
      <w:r>
        <w:rPr>
          <w:spacing w:val="-1"/>
        </w:rPr>
        <w:t>Australian</w:t>
      </w:r>
      <w:r>
        <w:t xml:space="preserve"> </w:t>
      </w:r>
      <w:r>
        <w:rPr>
          <w:spacing w:val="-1"/>
        </w:rPr>
        <w:t>regulators</w:t>
      </w:r>
      <w:r>
        <w:t xml:space="preserve"> </w:t>
      </w:r>
      <w:r>
        <w:rPr>
          <w:spacing w:val="-1"/>
        </w:rPr>
        <w:t>make</w:t>
      </w:r>
      <w:r>
        <w:rPr>
          <w:spacing w:val="33"/>
        </w:rPr>
        <w:t xml:space="preserve"> </w:t>
      </w:r>
      <w:r>
        <w:rPr>
          <w:spacing w:val="-1"/>
        </w:rPr>
        <w:t xml:space="preserve">provision </w:t>
      </w:r>
      <w:r>
        <w:t xml:space="preserve">for </w:t>
      </w:r>
      <w:r>
        <w:rPr>
          <w:spacing w:val="-1"/>
        </w:rPr>
        <w:t>inflation</w:t>
      </w:r>
      <w:r>
        <w:t xml:space="preserve"> by multiplying</w:t>
      </w:r>
      <w:r>
        <w:rPr>
          <w:spacing w:val="-1"/>
        </w:rPr>
        <w:t xml:space="preserve"> </w:t>
      </w:r>
      <w:r>
        <w:t>the value of</w:t>
      </w:r>
      <w:r>
        <w:rPr>
          <w:spacing w:val="4"/>
        </w:rPr>
        <w:t xml:space="preserve"> </w:t>
      </w:r>
      <w:r>
        <w:t>the</w:t>
      </w:r>
      <w:r>
        <w:rPr>
          <w:spacing w:val="-1"/>
        </w:rPr>
        <w:t xml:space="preserve"> </w:t>
      </w:r>
      <w:r>
        <w:t xml:space="preserve">RAB in </w:t>
      </w:r>
      <w:r>
        <w:rPr>
          <w:spacing w:val="-1"/>
        </w:rPr>
        <w:t>each</w:t>
      </w:r>
      <w:r>
        <w:t xml:space="preserve"> </w:t>
      </w:r>
      <w:r>
        <w:rPr>
          <w:spacing w:val="-1"/>
        </w:rPr>
        <w:t>year</w:t>
      </w:r>
      <w:r>
        <w:t xml:space="preserve"> of</w:t>
      </w:r>
      <w:r>
        <w:rPr>
          <w:spacing w:val="3"/>
        </w:rPr>
        <w:t xml:space="preserve"> </w:t>
      </w:r>
      <w:r>
        <w:t xml:space="preserve">the </w:t>
      </w:r>
      <w:r>
        <w:rPr>
          <w:spacing w:val="-1"/>
        </w:rPr>
        <w:t>regulatory</w:t>
      </w:r>
      <w:r>
        <w:t xml:space="preserve"> period by</w:t>
      </w:r>
      <w:r>
        <w:rPr>
          <w:spacing w:val="41"/>
        </w:rPr>
        <w:t xml:space="preserve"> </w:t>
      </w:r>
      <w:r>
        <w:rPr>
          <w:spacing w:val="-1"/>
        </w:rPr>
        <w:t>forecast inflation.</w:t>
      </w:r>
      <w:r>
        <w:rPr>
          <w:spacing w:val="-11"/>
        </w:rPr>
        <w:t xml:space="preserve"> </w:t>
      </w:r>
      <w:r>
        <w:rPr>
          <w:spacing w:val="-2"/>
        </w:rPr>
        <w:t>The</w:t>
      </w:r>
      <w:r>
        <w:t xml:space="preserve"> purpose of</w:t>
      </w:r>
      <w:r>
        <w:rPr>
          <w:spacing w:val="3"/>
        </w:rPr>
        <w:t xml:space="preserve"> </w:t>
      </w:r>
      <w:r>
        <w:t xml:space="preserve">maintaining the </w:t>
      </w:r>
      <w:r>
        <w:rPr>
          <w:b/>
          <w:spacing w:val="-2"/>
        </w:rPr>
        <w:t>real</w:t>
      </w:r>
      <w:r>
        <w:rPr>
          <w:b/>
        </w:rPr>
        <w:t xml:space="preserve"> </w:t>
      </w:r>
      <w:r>
        <w:t>value of</w:t>
      </w:r>
      <w:r>
        <w:rPr>
          <w:spacing w:val="3"/>
        </w:rPr>
        <w:t xml:space="preserve"> </w:t>
      </w:r>
      <w:r>
        <w:t>the RAB over time</w:t>
      </w:r>
      <w:r>
        <w:rPr>
          <w:spacing w:val="-1"/>
        </w:rPr>
        <w:t xml:space="preserve"> </w:t>
      </w:r>
      <w:r>
        <w:t xml:space="preserve">is to </w:t>
      </w:r>
      <w:r>
        <w:rPr>
          <w:spacing w:val="-1"/>
        </w:rPr>
        <w:t>ensure</w:t>
      </w:r>
      <w:r>
        <w:t xml:space="preserve"> </w:t>
      </w:r>
      <w:r>
        <w:rPr>
          <w:spacing w:val="-1"/>
        </w:rPr>
        <w:t>that</w:t>
      </w:r>
      <w:r>
        <w:rPr>
          <w:spacing w:val="39"/>
        </w:rPr>
        <w:t xml:space="preserve"> </w:t>
      </w:r>
      <w:r>
        <w:t xml:space="preserve">customers in </w:t>
      </w:r>
      <w:r>
        <w:rPr>
          <w:spacing w:val="-1"/>
        </w:rPr>
        <w:t>each</w:t>
      </w:r>
      <w:r>
        <w:t xml:space="preserve"> time period contribute to the </w:t>
      </w:r>
      <w:r>
        <w:rPr>
          <w:spacing w:val="-1"/>
        </w:rPr>
        <w:t>recovery</w:t>
      </w:r>
      <w:r>
        <w:t xml:space="preserve"> of</w:t>
      </w:r>
      <w:r>
        <w:rPr>
          <w:spacing w:val="4"/>
        </w:rPr>
        <w:t xml:space="preserve"> </w:t>
      </w:r>
      <w:r>
        <w:t xml:space="preserve">investments </w:t>
      </w:r>
      <w:r>
        <w:rPr>
          <w:spacing w:val="-1"/>
        </w:rPr>
        <w:t>from</w:t>
      </w:r>
      <w:r>
        <w:t xml:space="preserve"> which they derive</w:t>
      </w:r>
      <w:r>
        <w:rPr>
          <w:spacing w:val="27"/>
        </w:rPr>
        <w:t xml:space="preserve"> </w:t>
      </w:r>
      <w:r>
        <w:t>benefits</w:t>
      </w:r>
      <w:r>
        <w:rPr>
          <w:spacing w:val="-2"/>
        </w:rPr>
        <w:t xml:space="preserve"> </w:t>
      </w:r>
      <w:r>
        <w:t>in</w:t>
      </w:r>
      <w:r>
        <w:rPr>
          <w:spacing w:val="-2"/>
        </w:rPr>
        <w:t xml:space="preserve"> </w:t>
      </w:r>
      <w:r>
        <w:rPr>
          <w:spacing w:val="-1"/>
        </w:rPr>
        <w:t>accordance</w:t>
      </w:r>
      <w:r>
        <w:rPr>
          <w:spacing w:val="-2"/>
        </w:rPr>
        <w:t xml:space="preserve"> </w:t>
      </w:r>
      <w:r>
        <w:t>with</w:t>
      </w:r>
      <w:r>
        <w:rPr>
          <w:spacing w:val="-2"/>
        </w:rPr>
        <w:t xml:space="preserve"> </w:t>
      </w:r>
      <w:r>
        <w:t>their</w:t>
      </w:r>
      <w:r>
        <w:rPr>
          <w:spacing w:val="-2"/>
        </w:rPr>
        <w:t xml:space="preserve"> </w:t>
      </w:r>
      <w:r>
        <w:rPr>
          <w:spacing w:val="-1"/>
        </w:rPr>
        <w:t>share</w:t>
      </w:r>
      <w:r>
        <w:rPr>
          <w:spacing w:val="-2"/>
        </w:rPr>
        <w:t xml:space="preserve"> </w:t>
      </w:r>
      <w:r>
        <w:t>of</w:t>
      </w:r>
      <w:r>
        <w:rPr>
          <w:spacing w:val="2"/>
        </w:rPr>
        <w:t xml:space="preserve"> </w:t>
      </w:r>
      <w:r>
        <w:t>those</w:t>
      </w:r>
      <w:r>
        <w:rPr>
          <w:spacing w:val="-2"/>
        </w:rPr>
        <w:t xml:space="preserve"> </w:t>
      </w:r>
      <w:r>
        <w:t>benefits.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6"/>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1" w:line="260" w:lineRule="exact"/>
        <w:ind w:right="1863"/>
        <w:jc w:val="both"/>
      </w:pPr>
      <w:r>
        <w:t>In</w:t>
      </w:r>
      <w:r>
        <w:rPr>
          <w:spacing w:val="-1"/>
        </w:rPr>
        <w:t xml:space="preserve"> </w:t>
      </w:r>
      <w:r>
        <w:t>its final decision,</w:t>
      </w:r>
      <w:r>
        <w:rPr>
          <w:spacing w:val="-6"/>
        </w:rPr>
        <w:t xml:space="preserve"> </w:t>
      </w:r>
      <w:r>
        <w:t>the</w:t>
      </w:r>
      <w:r>
        <w:rPr>
          <w:spacing w:val="-1"/>
        </w:rPr>
        <w:t xml:space="preserve"> </w:t>
      </w:r>
      <w:r>
        <w:t>ICRC decided to move</w:t>
      </w:r>
      <w:r>
        <w:rPr>
          <w:spacing w:val="-1"/>
        </w:rPr>
        <w:t xml:space="preserve"> </w:t>
      </w:r>
      <w:r>
        <w:t xml:space="preserve">away </w:t>
      </w:r>
      <w:r>
        <w:rPr>
          <w:spacing w:val="-1"/>
        </w:rPr>
        <w:t>from</w:t>
      </w:r>
      <w:r>
        <w:t xml:space="preserve"> this </w:t>
      </w:r>
      <w:r>
        <w:rPr>
          <w:spacing w:val="-1"/>
        </w:rPr>
        <w:t>standard regulatory</w:t>
      </w:r>
      <w:r>
        <w:t xml:space="preserve"> </w:t>
      </w:r>
      <w:r>
        <w:rPr>
          <w:spacing w:val="-1"/>
        </w:rPr>
        <w:t>practice</w:t>
      </w:r>
      <w:r>
        <w:t xml:space="preserve"> and to</w:t>
      </w:r>
      <w:r>
        <w:rPr>
          <w:spacing w:val="27"/>
        </w:rPr>
        <w:t xml:space="preserve"> </w:t>
      </w:r>
      <w:r>
        <w:t>model</w:t>
      </w:r>
      <w:r>
        <w:rPr>
          <w:spacing w:val="-4"/>
        </w:rPr>
        <w:t xml:space="preserve"> </w:t>
      </w:r>
      <w:r>
        <w:rPr>
          <w:spacing w:val="-2"/>
        </w:rPr>
        <w:t>ACTEW’s</w:t>
      </w:r>
      <w:r>
        <w:rPr>
          <w:spacing w:val="1"/>
        </w:rPr>
        <w:t xml:space="preserve"> </w:t>
      </w:r>
      <w:r>
        <w:rPr>
          <w:spacing w:val="-1"/>
        </w:rPr>
        <w:t>revenue</w:t>
      </w:r>
      <w:r>
        <w:t xml:space="preserve"> </w:t>
      </w:r>
      <w:r>
        <w:rPr>
          <w:spacing w:val="-1"/>
        </w:rPr>
        <w:t>requirement</w:t>
      </w:r>
      <w:r>
        <w:rPr>
          <w:spacing w:val="1"/>
        </w:rPr>
        <w:t xml:space="preserve"> </w:t>
      </w:r>
      <w:r>
        <w:t>by</w:t>
      </w:r>
      <w:r>
        <w:rPr>
          <w:spacing w:val="1"/>
        </w:rPr>
        <w:t xml:space="preserve"> </w:t>
      </w:r>
      <w:r>
        <w:t>applying a</w:t>
      </w:r>
      <w:r>
        <w:rPr>
          <w:spacing w:val="1"/>
        </w:rPr>
        <w:t xml:space="preserve"> </w:t>
      </w:r>
      <w:r>
        <w:t>nominal</w:t>
      </w:r>
      <w:r>
        <w:rPr>
          <w:spacing w:val="1"/>
        </w:rPr>
        <w:t xml:space="preserve"> </w:t>
      </w:r>
      <w:r>
        <w:rPr>
          <w:spacing w:val="-1"/>
        </w:rPr>
        <w:t>return</w:t>
      </w:r>
      <w:r>
        <w:t xml:space="preserve"> to</w:t>
      </w:r>
      <w:r>
        <w:rPr>
          <w:spacing w:val="1"/>
        </w:rPr>
        <w:t xml:space="preserve"> </w:t>
      </w:r>
      <w:r>
        <w:t>a</w:t>
      </w:r>
      <w:r>
        <w:rPr>
          <w:spacing w:val="1"/>
        </w:rPr>
        <w:t xml:space="preserve"> </w:t>
      </w:r>
      <w:r>
        <w:rPr>
          <w:spacing w:val="-1"/>
        </w:rPr>
        <w:t>non-indexed</w:t>
      </w:r>
      <w:r>
        <w:t xml:space="preserve"> RAB.</w:t>
      </w:r>
      <w:r>
        <w:rPr>
          <w:position w:val="7"/>
          <w:sz w:val="11"/>
          <w:szCs w:val="11"/>
        </w:rPr>
        <w:t>149</w:t>
      </w:r>
      <w:r>
        <w:rPr>
          <w:spacing w:val="24"/>
          <w:position w:val="7"/>
          <w:sz w:val="11"/>
          <w:szCs w:val="11"/>
        </w:rPr>
        <w:t xml:space="preserve"> </w:t>
      </w:r>
      <w:r>
        <w:rPr>
          <w:rFonts w:cs="Avenir Next"/>
        </w:rPr>
        <w:t>No</w:t>
      </w:r>
      <w:r>
        <w:rPr>
          <w:rFonts w:cs="Avenir Next"/>
          <w:spacing w:val="33"/>
        </w:rPr>
        <w:t xml:space="preserve"> </w:t>
      </w:r>
      <w:r>
        <w:rPr>
          <w:spacing w:val="-1"/>
        </w:rPr>
        <w:t>provision</w:t>
      </w:r>
      <w:r>
        <w:t xml:space="preserve"> was </w:t>
      </w:r>
      <w:r>
        <w:rPr>
          <w:spacing w:val="-1"/>
        </w:rPr>
        <w:t>therefore</w:t>
      </w:r>
      <w:r>
        <w:t xml:space="preserve"> made for </w:t>
      </w:r>
      <w:r>
        <w:rPr>
          <w:spacing w:val="-1"/>
        </w:rPr>
        <w:t>indexation.</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6"/>
        </w:numPr>
        <w:tabs>
          <w:tab w:val="left" w:pos="2098"/>
        </w:tabs>
        <w:ind w:hanging="850"/>
      </w:pPr>
      <w:r>
        <w:rPr>
          <w:color w:val="0778BE"/>
          <w:spacing w:val="-3"/>
        </w:rPr>
        <w:t>ACTEW’s</w:t>
      </w:r>
      <w:r>
        <w:rPr>
          <w:color w:val="0778BE"/>
        </w:rPr>
        <w:t xml:space="preserve"> SOFC</w:t>
      </w:r>
    </w:p>
    <w:p w:rsidR="00D96B91" w:rsidRDefault="00C2656B">
      <w:pPr>
        <w:pStyle w:val="BodyText"/>
        <w:spacing w:before="29"/>
        <w:rPr>
          <w:sz w:val="11"/>
          <w:szCs w:val="11"/>
        </w:rPr>
      </w:pPr>
      <w:r>
        <w:t>In its</w:t>
      </w:r>
      <w:r>
        <w:rPr>
          <w:spacing w:val="1"/>
        </w:rPr>
        <w:t xml:space="preserve"> </w:t>
      </w:r>
      <w:r>
        <w:t>SOFC,</w:t>
      </w:r>
      <w:r>
        <w:rPr>
          <w:spacing w:val="-10"/>
        </w:rPr>
        <w:t xml:space="preserve"> </w:t>
      </w:r>
      <w:r>
        <w:rPr>
          <w:spacing w:val="-2"/>
        </w:rPr>
        <w:t xml:space="preserve">ACTEW </w:t>
      </w:r>
      <w:r>
        <w:t>contended</w:t>
      </w:r>
      <w:r>
        <w:rPr>
          <w:spacing w:val="1"/>
        </w:rPr>
        <w:t xml:space="preserve"> </w:t>
      </w:r>
      <w:r>
        <w:rPr>
          <w:spacing w:val="-1"/>
        </w:rPr>
        <w:t>that</w:t>
      </w:r>
      <w:r>
        <w:rPr>
          <w:spacing w:val="1"/>
        </w:rPr>
        <w:t xml:space="preserve"> </w:t>
      </w:r>
      <w:r>
        <w:t xml:space="preserve">the </w:t>
      </w:r>
      <w:r>
        <w:rPr>
          <w:spacing w:val="-2"/>
        </w:rPr>
        <w:t>ICRC’s</w:t>
      </w:r>
      <w:r>
        <w:rPr>
          <w:spacing w:val="1"/>
        </w:rPr>
        <w:t xml:space="preserve"> </w:t>
      </w:r>
      <w:r>
        <w:t>decision</w:t>
      </w:r>
      <w:r>
        <w:rPr>
          <w:spacing w:val="1"/>
        </w:rPr>
        <w:t xml:space="preserve"> </w:t>
      </w:r>
      <w:r>
        <w:t>not to</w:t>
      </w:r>
      <w:r>
        <w:rPr>
          <w:spacing w:val="1"/>
        </w:rPr>
        <w:t xml:space="preserve"> </w:t>
      </w:r>
      <w:r>
        <w:rPr>
          <w:spacing w:val="-1"/>
        </w:rPr>
        <w:t>index</w:t>
      </w:r>
      <w:r>
        <w:rPr>
          <w:spacing w:val="1"/>
        </w:rPr>
        <w:t xml:space="preserve"> </w:t>
      </w:r>
      <w:r>
        <w:t>the RAB</w:t>
      </w:r>
      <w:r>
        <w:rPr>
          <w:spacing w:val="1"/>
        </w:rPr>
        <w:t xml:space="preserve"> </w:t>
      </w:r>
      <w:r>
        <w:t>will:</w:t>
      </w:r>
      <w:r>
        <w:rPr>
          <w:position w:val="7"/>
          <w:sz w:val="11"/>
          <w:szCs w:val="11"/>
        </w:rPr>
        <w:t>150</w:t>
      </w:r>
    </w:p>
    <w:p w:rsidR="00D96B91" w:rsidRDefault="00C2656B">
      <w:pPr>
        <w:pStyle w:val="BodyText"/>
        <w:numPr>
          <w:ilvl w:val="0"/>
          <w:numId w:val="131"/>
        </w:numPr>
        <w:tabs>
          <w:tab w:val="left" w:pos="1531"/>
        </w:tabs>
        <w:spacing w:before="157"/>
        <w:ind w:hanging="283"/>
      </w:pPr>
      <w:r>
        <w:rPr>
          <w:spacing w:val="-1"/>
        </w:rPr>
        <w:t xml:space="preserve">expose </w:t>
      </w:r>
      <w:r>
        <w:t>it</w:t>
      </w:r>
      <w:r>
        <w:rPr>
          <w:spacing w:val="-1"/>
        </w:rPr>
        <w:t xml:space="preserve"> </w:t>
      </w:r>
      <w:r>
        <w:t>to the</w:t>
      </w:r>
      <w:r>
        <w:rPr>
          <w:spacing w:val="-1"/>
        </w:rPr>
        <w:t xml:space="preserve"> </w:t>
      </w:r>
      <w:r>
        <w:t xml:space="preserve">risk </w:t>
      </w:r>
      <w:r>
        <w:rPr>
          <w:spacing w:val="-1"/>
        </w:rPr>
        <w:t xml:space="preserve">that </w:t>
      </w:r>
      <w:r>
        <w:t>actual</w:t>
      </w:r>
      <w:r>
        <w:rPr>
          <w:spacing w:val="-1"/>
        </w:rPr>
        <w:t xml:space="preserve"> inflation</w:t>
      </w:r>
      <w:r>
        <w:t xml:space="preserve"> will</w:t>
      </w:r>
      <w:r>
        <w:rPr>
          <w:spacing w:val="-1"/>
        </w:rPr>
        <w:t xml:space="preserve"> differ</w:t>
      </w:r>
      <w:r>
        <w:t xml:space="preserve"> </w:t>
      </w:r>
      <w:r>
        <w:rPr>
          <w:spacing w:val="-1"/>
        </w:rPr>
        <w:t>from forecast inflation,</w:t>
      </w:r>
      <w:r>
        <w:rPr>
          <w:spacing w:val="-6"/>
        </w:rPr>
        <w:t xml:space="preserve"> </w:t>
      </w:r>
      <w:r>
        <w:t>and</w:t>
      </w:r>
    </w:p>
    <w:p w:rsidR="00D96B91" w:rsidRDefault="00C2656B">
      <w:pPr>
        <w:pStyle w:val="BodyText"/>
        <w:numPr>
          <w:ilvl w:val="0"/>
          <w:numId w:val="131"/>
        </w:numPr>
        <w:tabs>
          <w:tab w:val="left" w:pos="1531"/>
        </w:tabs>
        <w:spacing w:before="64" w:line="260" w:lineRule="exact"/>
        <w:ind w:right="1718" w:hanging="283"/>
      </w:pPr>
      <w:r>
        <w:rPr>
          <w:spacing w:val="-1"/>
        </w:rPr>
        <w:t>result</w:t>
      </w:r>
      <w:r>
        <w:t xml:space="preserve"> in a </w:t>
      </w:r>
      <w:r>
        <w:rPr>
          <w:spacing w:val="-2"/>
        </w:rPr>
        <w:t>real</w:t>
      </w:r>
      <w:r>
        <w:t xml:space="preserve"> </w:t>
      </w:r>
      <w:r>
        <w:rPr>
          <w:spacing w:val="-1"/>
        </w:rPr>
        <w:t>increase</w:t>
      </w:r>
      <w:r>
        <w:t xml:space="preserve"> in its debt costs because the </w:t>
      </w:r>
      <w:r>
        <w:rPr>
          <w:spacing w:val="-1"/>
        </w:rPr>
        <w:t>revenue</w:t>
      </w:r>
      <w:r>
        <w:t xml:space="preserve"> it </w:t>
      </w:r>
      <w:r>
        <w:rPr>
          <w:spacing w:val="-1"/>
        </w:rPr>
        <w:t>receives</w:t>
      </w:r>
      <w:r>
        <w:t xml:space="preserve"> will no longer </w:t>
      </w:r>
      <w:r>
        <w:rPr>
          <w:spacing w:val="-1"/>
        </w:rPr>
        <w:t>provide</w:t>
      </w:r>
      <w:r>
        <w:t xml:space="preserve"> a</w:t>
      </w:r>
      <w:r>
        <w:rPr>
          <w:spacing w:val="33"/>
        </w:rPr>
        <w:t xml:space="preserve"> </w:t>
      </w:r>
      <w:r>
        <w:rPr>
          <w:spacing w:val="-1"/>
        </w:rPr>
        <w:t xml:space="preserve">natural </w:t>
      </w:r>
      <w:r>
        <w:t>hedge against</w:t>
      </w:r>
      <w:r>
        <w:rPr>
          <w:spacing w:val="-1"/>
        </w:rPr>
        <w:t xml:space="preserve"> </w:t>
      </w:r>
      <w:r>
        <w:t>the costs of</w:t>
      </w:r>
      <w:r>
        <w:rPr>
          <w:spacing w:val="3"/>
        </w:rPr>
        <w:t xml:space="preserve"> </w:t>
      </w:r>
      <w:r>
        <w:t>servicing its</w:t>
      </w:r>
      <w:r>
        <w:rPr>
          <w:spacing w:val="-1"/>
        </w:rPr>
        <w:t xml:space="preserve"> inflation</w:t>
      </w:r>
      <w:r>
        <w:t xml:space="preserve"> </w:t>
      </w:r>
      <w:r>
        <w:rPr>
          <w:spacing w:val="-1"/>
        </w:rPr>
        <w:t>linked</w:t>
      </w:r>
      <w:r>
        <w:t xml:space="preserve"> bonds.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48"/>
        <w:rPr>
          <w:sz w:val="11"/>
          <w:szCs w:val="11"/>
        </w:rPr>
      </w:pPr>
      <w:r>
        <w:rPr>
          <w:rFonts w:cs="Avenir Next"/>
          <w:spacing w:val="-2"/>
        </w:rPr>
        <w:t>ACTEW</w:t>
      </w:r>
      <w:r>
        <w:rPr>
          <w:rFonts w:cs="Avenir Next"/>
          <w:spacing w:val="-3"/>
        </w:rPr>
        <w:t xml:space="preserve"> </w:t>
      </w:r>
      <w:r>
        <w:rPr>
          <w:rFonts w:cs="Avenir Next"/>
        </w:rPr>
        <w:t xml:space="preserve">also noted </w:t>
      </w:r>
      <w:r>
        <w:rPr>
          <w:rFonts w:cs="Avenir Next"/>
          <w:spacing w:val="-1"/>
        </w:rPr>
        <w:t>that</w:t>
      </w:r>
      <w:r>
        <w:rPr>
          <w:rFonts w:cs="Avenir Next"/>
        </w:rPr>
        <w:t xml:space="preserve"> the </w:t>
      </w:r>
      <w:r>
        <w:rPr>
          <w:rFonts w:cs="Avenir Next"/>
          <w:spacing w:val="-2"/>
        </w:rPr>
        <w:t>ICRC’s</w:t>
      </w:r>
      <w:r>
        <w:rPr>
          <w:rFonts w:cs="Avenir Next"/>
        </w:rPr>
        <w:t xml:space="preserve"> decision not to </w:t>
      </w:r>
      <w:r>
        <w:rPr>
          <w:rFonts w:cs="Avenir Next"/>
          <w:spacing w:val="-1"/>
        </w:rPr>
        <w:t>index</w:t>
      </w:r>
      <w:r>
        <w:rPr>
          <w:rFonts w:cs="Avenir Next"/>
        </w:rPr>
        <w:t xml:space="preserve"> the RAB is </w:t>
      </w:r>
      <w:r>
        <w:rPr>
          <w:rFonts w:cs="Avenir Next"/>
          <w:spacing w:val="-2"/>
        </w:rPr>
        <w:t>at</w:t>
      </w:r>
      <w:r>
        <w:rPr>
          <w:rFonts w:cs="Avenir Next"/>
        </w:rPr>
        <w:t xml:space="preserve"> odds with </w:t>
      </w:r>
      <w:r>
        <w:rPr>
          <w:rFonts w:cs="Avenir Next"/>
          <w:spacing w:val="-1"/>
        </w:rPr>
        <w:t>standard</w:t>
      </w:r>
      <w:r>
        <w:rPr>
          <w:rFonts w:cs="Avenir Next"/>
        </w:rPr>
        <w:t xml:space="preserve"> </w:t>
      </w:r>
      <w:r>
        <w:rPr>
          <w:rFonts w:cs="Avenir Next"/>
          <w:spacing w:val="-1"/>
        </w:rPr>
        <w:t>regulatory</w:t>
      </w:r>
      <w:r>
        <w:rPr>
          <w:rFonts w:cs="Avenir Next"/>
          <w:spacing w:val="37"/>
        </w:rPr>
        <w:t xml:space="preserve"> </w:t>
      </w:r>
      <w:r>
        <w:rPr>
          <w:spacing w:val="-1"/>
        </w:rPr>
        <w:t>practice.</w:t>
      </w:r>
      <w:r>
        <w:rPr>
          <w:spacing w:val="-1"/>
          <w:position w:val="7"/>
          <w:sz w:val="11"/>
          <w:szCs w:val="11"/>
        </w:rPr>
        <w:t>151</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6"/>
        </w:numPr>
        <w:tabs>
          <w:tab w:val="left" w:pos="2098"/>
        </w:tabs>
        <w:ind w:hanging="850"/>
      </w:pPr>
      <w:r>
        <w:rPr>
          <w:color w:val="0778BE"/>
        </w:rPr>
        <w:t>Other submissions</w:t>
      </w:r>
    </w:p>
    <w:p w:rsidR="00D96B91" w:rsidRDefault="00C2656B">
      <w:pPr>
        <w:pStyle w:val="BodyText"/>
        <w:spacing w:before="21" w:line="260" w:lineRule="exact"/>
        <w:ind w:right="1313"/>
        <w:rPr>
          <w:sz w:val="11"/>
          <w:szCs w:val="11"/>
        </w:rPr>
      </w:pPr>
      <w:r>
        <w:t>Of</w:t>
      </w:r>
      <w:r>
        <w:rPr>
          <w:spacing w:val="4"/>
        </w:rPr>
        <w:t xml:space="preserve"> </w:t>
      </w:r>
      <w:r>
        <w:t xml:space="preserve">the other submissions </w:t>
      </w:r>
      <w:r>
        <w:rPr>
          <w:spacing w:val="-1"/>
        </w:rPr>
        <w:t>received</w:t>
      </w:r>
      <w:r>
        <w:t xml:space="preserve"> by the </w:t>
      </w:r>
      <w:r>
        <w:rPr>
          <w:spacing w:val="-3"/>
        </w:rPr>
        <w:t>Panel</w:t>
      </w:r>
      <w:r>
        <w:t xml:space="preserve"> to </w:t>
      </w:r>
      <w:r>
        <w:rPr>
          <w:spacing w:val="-1"/>
        </w:rPr>
        <w:t>date,</w:t>
      </w:r>
      <w:r>
        <w:rPr>
          <w:spacing w:val="-6"/>
        </w:rPr>
        <w:t xml:space="preserve"> </w:t>
      </w:r>
      <w:r>
        <w:t xml:space="preserve">two commented on the </w:t>
      </w:r>
      <w:r>
        <w:rPr>
          <w:spacing w:val="-1"/>
        </w:rPr>
        <w:t>indexation</w:t>
      </w:r>
      <w:r>
        <w:t xml:space="preserve"> of</w:t>
      </w:r>
      <w:r>
        <w:rPr>
          <w:spacing w:val="4"/>
        </w:rPr>
        <w:t xml:space="preserve"> </w:t>
      </w:r>
      <w:r>
        <w:t>the RAB.</w:t>
      </w:r>
      <w:r>
        <w:rPr>
          <w:spacing w:val="33"/>
        </w:rPr>
        <w:t xml:space="preserve"> </w:t>
      </w:r>
      <w:r>
        <w:t xml:space="preserve">Dr Dwyer </w:t>
      </w:r>
      <w:r>
        <w:rPr>
          <w:spacing w:val="-1"/>
        </w:rPr>
        <w:t>stated</w:t>
      </w:r>
      <w:r>
        <w:t xml:space="preserve"> </w:t>
      </w:r>
      <w:r>
        <w:rPr>
          <w:spacing w:val="-1"/>
        </w:rPr>
        <w:t>that</w:t>
      </w:r>
      <w:r>
        <w:t xml:space="preserve"> </w:t>
      </w:r>
      <w:r>
        <w:rPr>
          <w:spacing w:val="-1"/>
        </w:rPr>
        <w:t>infrastructure</w:t>
      </w:r>
      <w:r>
        <w:t xml:space="preserve"> owners should not be </w:t>
      </w:r>
      <w:r>
        <w:rPr>
          <w:spacing w:val="-1"/>
        </w:rPr>
        <w:t>“entitled</w:t>
      </w:r>
      <w:r>
        <w:t xml:space="preserve"> to perpetually </w:t>
      </w:r>
      <w:r>
        <w:rPr>
          <w:spacing w:val="-1"/>
        </w:rPr>
        <w:t>revalue</w:t>
      </w:r>
      <w:r>
        <w:t xml:space="preserve"> </w:t>
      </w:r>
      <w:r>
        <w:rPr>
          <w:spacing w:val="-1"/>
        </w:rPr>
        <w:t>upwards</w:t>
      </w:r>
      <w:r>
        <w:t xml:space="preserve"> the</w:t>
      </w:r>
      <w:r>
        <w:rPr>
          <w:spacing w:val="39"/>
        </w:rPr>
        <w:t xml:space="preserve"> </w:t>
      </w:r>
      <w:r>
        <w:t>cost of</w:t>
      </w:r>
      <w:r>
        <w:rPr>
          <w:spacing w:val="5"/>
        </w:rPr>
        <w:t xml:space="preserve"> </w:t>
      </w:r>
      <w:r>
        <w:t>the</w:t>
      </w:r>
      <w:r>
        <w:rPr>
          <w:spacing w:val="1"/>
        </w:rPr>
        <w:t xml:space="preserve"> </w:t>
      </w:r>
      <w:r>
        <w:t>inf</w:t>
      </w:r>
      <w:r>
        <w:rPr>
          <w:spacing w:val="-3"/>
        </w:rPr>
        <w:t>r</w:t>
      </w:r>
      <w:r>
        <w:t>astructu</w:t>
      </w:r>
      <w:r>
        <w:rPr>
          <w:spacing w:val="-4"/>
        </w:rPr>
        <w:t>r</w:t>
      </w:r>
      <w:r>
        <w:t>e</w:t>
      </w:r>
      <w:r>
        <w:rPr>
          <w:spacing w:val="1"/>
        </w:rPr>
        <w:t xml:space="preserve"> </w:t>
      </w:r>
      <w:r>
        <w:t>and</w:t>
      </w:r>
      <w:r>
        <w:rPr>
          <w:spacing w:val="1"/>
        </w:rPr>
        <w:t xml:space="preserve"> </w:t>
      </w:r>
      <w:r>
        <w:t>cha</w:t>
      </w:r>
      <w:r>
        <w:rPr>
          <w:spacing w:val="-4"/>
        </w:rPr>
        <w:t>r</w:t>
      </w:r>
      <w:r>
        <w:t>ge</w:t>
      </w:r>
      <w:r>
        <w:rPr>
          <w:spacing w:val="1"/>
        </w:rPr>
        <w:t xml:space="preserve"> </w:t>
      </w:r>
      <w:r>
        <w:t>consumers acco</w:t>
      </w:r>
      <w:r>
        <w:rPr>
          <w:spacing w:val="-4"/>
        </w:rPr>
        <w:t>r</w:t>
      </w:r>
      <w:r>
        <w:t>dingly</w:t>
      </w:r>
      <w:r>
        <w:rPr>
          <w:spacing w:val="-25"/>
        </w:rPr>
        <w:t>”</w:t>
      </w:r>
      <w:r>
        <w:t>.</w:t>
      </w:r>
      <w:r>
        <w:rPr>
          <w:position w:val="7"/>
          <w:sz w:val="11"/>
          <w:szCs w:val="11"/>
        </w:rPr>
        <w:t>152</w:t>
      </w:r>
      <w:r>
        <w:rPr>
          <w:spacing w:val="24"/>
          <w:position w:val="7"/>
          <w:sz w:val="11"/>
          <w:szCs w:val="11"/>
        </w:rPr>
        <w:t xml:space="preserve"> </w:t>
      </w:r>
      <w:r>
        <w:rPr>
          <w:rFonts w:cs="Avenir Next"/>
        </w:rPr>
        <w:t>Mr</w:t>
      </w:r>
      <w:r>
        <w:rPr>
          <w:rFonts w:cs="Avenir Next"/>
          <w:spacing w:val="1"/>
        </w:rPr>
        <w:t xml:space="preserve"> </w:t>
      </w:r>
      <w:r>
        <w:rPr>
          <w:rFonts w:cs="Avenir Next"/>
          <w:spacing w:val="-3"/>
        </w:rPr>
        <w:t>C</w:t>
      </w:r>
      <w:r>
        <w:rPr>
          <w:rFonts w:cs="Avenir Next"/>
          <w:spacing w:val="-2"/>
        </w:rPr>
        <w:t>o</w:t>
      </w:r>
      <w:r>
        <w:rPr>
          <w:rFonts w:cs="Avenir Next"/>
        </w:rPr>
        <w:t>x,</w:t>
      </w:r>
      <w:r>
        <w:rPr>
          <w:rFonts w:cs="Avenir Next"/>
          <w:spacing w:val="-7"/>
        </w:rPr>
        <w:t xml:space="preserve"> </w:t>
      </w:r>
      <w:r>
        <w:rPr>
          <w:rFonts w:cs="Avenir Next"/>
        </w:rPr>
        <w:t>on</w:t>
      </w:r>
      <w:r>
        <w:rPr>
          <w:rFonts w:cs="Avenir Next"/>
          <w:spacing w:val="1"/>
        </w:rPr>
        <w:t xml:space="preserve"> </w:t>
      </w:r>
      <w:r>
        <w:rPr>
          <w:rFonts w:cs="Avenir Next"/>
        </w:rPr>
        <w:t>the</w:t>
      </w:r>
      <w:r>
        <w:rPr>
          <w:rFonts w:cs="Avenir Next"/>
          <w:spacing w:val="1"/>
        </w:rPr>
        <w:t xml:space="preserve"> </w:t>
      </w:r>
      <w:r>
        <w:rPr>
          <w:rFonts w:cs="Avenir Next"/>
        </w:rPr>
        <w:t>other</w:t>
      </w:r>
      <w:r>
        <w:rPr>
          <w:rFonts w:cs="Avenir Next"/>
          <w:spacing w:val="1"/>
        </w:rPr>
        <w:t xml:space="preserve"> </w:t>
      </w:r>
      <w:r>
        <w:rPr>
          <w:rFonts w:cs="Avenir Next"/>
        </w:rPr>
        <w:t>hand,</w:t>
      </w:r>
      <w:r>
        <w:rPr>
          <w:rFonts w:cs="Avenir Next"/>
          <w:spacing w:val="-5"/>
        </w:rPr>
        <w:t xml:space="preserve"> </w:t>
      </w:r>
      <w:r>
        <w:rPr>
          <w:rFonts w:cs="Avenir Next"/>
        </w:rPr>
        <w:t>st</w:t>
      </w:r>
      <w:r>
        <w:rPr>
          <w:rFonts w:cs="Avenir Next"/>
          <w:spacing w:val="-2"/>
        </w:rPr>
        <w:t>a</w:t>
      </w:r>
      <w:r>
        <w:rPr>
          <w:rFonts w:cs="Avenir Next"/>
        </w:rPr>
        <w:t xml:space="preserve">ted </w:t>
      </w:r>
      <w:r>
        <w:rPr>
          <w:rFonts w:cs="Avenir Next"/>
          <w:spacing w:val="-1"/>
        </w:rPr>
        <w:t>that:</w:t>
      </w:r>
      <w:r>
        <w:rPr>
          <w:spacing w:val="-1"/>
          <w:position w:val="7"/>
          <w:sz w:val="11"/>
          <w:szCs w:val="11"/>
        </w:rPr>
        <w:t>153</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4"/>
          <w:szCs w:val="24"/>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100" style="width:72.5pt;height:.5pt;mso-position-horizontal-relative:char;mso-position-vertical-relative:line" coordsize="1450,10">
            <v:group id="_x0000_s3101" style="position:absolute;left:5;top:5;width:1440;height:2" coordorigin="5,5" coordsize="1440,2">
              <v:shape id="_x0000_s3102"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45" w:line="192" w:lineRule="exact"/>
        <w:ind w:right="1582" w:hanging="510"/>
        <w:rPr>
          <w:rFonts w:ascii="Avenir Next" w:eastAsia="Avenir Next" w:hAnsi="Avenir Next" w:cs="Avenir Next"/>
          <w:sz w:val="16"/>
          <w:szCs w:val="16"/>
        </w:rPr>
      </w:pPr>
      <w:r>
        <w:rPr>
          <w:rFonts w:ascii="Avenir Next" w:eastAsia="Avenir Next" w:hAnsi="Avenir Next" w:cs="Avenir Next"/>
          <w:sz w:val="16"/>
          <w:szCs w:val="16"/>
        </w:rPr>
        <w:t xml:space="preserve">Under the </w:t>
      </w:r>
      <w:r>
        <w:rPr>
          <w:rFonts w:ascii="Avenir Next" w:eastAsia="Avenir Next" w:hAnsi="Avenir Next" w:cs="Avenir Next"/>
          <w:spacing w:val="-1"/>
          <w:sz w:val="16"/>
          <w:szCs w:val="16"/>
        </w:rPr>
        <w:t>straight</w:t>
      </w:r>
      <w:r>
        <w:rPr>
          <w:rFonts w:ascii="Avenir Next" w:eastAsia="Avenir Next" w:hAnsi="Avenir Next" w:cs="Avenir Next"/>
          <w:sz w:val="16"/>
          <w:szCs w:val="16"/>
        </w:rPr>
        <w:t xml:space="preserve"> line </w:t>
      </w:r>
      <w:r>
        <w:rPr>
          <w:rFonts w:ascii="Avenir Next" w:eastAsia="Avenir Next" w:hAnsi="Avenir Next" w:cs="Avenir Next"/>
          <w:spacing w:val="-1"/>
          <w:sz w:val="16"/>
          <w:szCs w:val="16"/>
        </w:rPr>
        <w:t>depreciation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methodology,</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assets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depreciated</w:t>
      </w:r>
      <w:r>
        <w:rPr>
          <w:rFonts w:ascii="Avenir Next" w:eastAsia="Avenir Next" w:hAnsi="Avenir Next" w:cs="Avenir Next"/>
          <w:sz w:val="16"/>
          <w:szCs w:val="16"/>
        </w:rPr>
        <w:t xml:space="preserve"> by an equal amount in </w:t>
      </w:r>
      <w:r>
        <w:rPr>
          <w:rFonts w:ascii="Avenir Next" w:eastAsia="Avenir Next" w:hAnsi="Avenir Next" w:cs="Avenir Next"/>
          <w:spacing w:val="-1"/>
          <w:sz w:val="16"/>
          <w:szCs w:val="16"/>
        </w:rPr>
        <w:t>each</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year</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their</w:t>
      </w:r>
      <w:r>
        <w:rPr>
          <w:rFonts w:ascii="Avenir Next" w:eastAsia="Avenir Next" w:hAnsi="Avenir Next" w:cs="Avenir Next"/>
          <w:spacing w:val="63"/>
          <w:sz w:val="16"/>
          <w:szCs w:val="16"/>
        </w:rPr>
        <w:t xml:space="preserve"> </w:t>
      </w:r>
      <w:r>
        <w:rPr>
          <w:rFonts w:ascii="Avenir Next" w:eastAsia="Avenir Next" w:hAnsi="Avenir Next" w:cs="Avenir Next"/>
          <w:sz w:val="16"/>
          <w:szCs w:val="16"/>
        </w:rPr>
        <w:t>economic life,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so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their </w:t>
      </w:r>
      <w:r>
        <w:rPr>
          <w:rFonts w:ascii="Avenir Next" w:eastAsia="Avenir Next" w:hAnsi="Avenir Next" w:cs="Avenir Next"/>
          <w:spacing w:val="-1"/>
          <w:sz w:val="16"/>
          <w:szCs w:val="16"/>
        </w:rPr>
        <w:t>real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written</w:t>
      </w:r>
      <w:r>
        <w:rPr>
          <w:rFonts w:ascii="Avenir Next" w:eastAsia="Avenir Next" w:hAnsi="Avenir Next" w:cs="Avenir Next"/>
          <w:sz w:val="16"/>
          <w:szCs w:val="16"/>
        </w:rPr>
        <w:t xml:space="preserve"> down value follows a </w:t>
      </w:r>
      <w:r>
        <w:rPr>
          <w:rFonts w:ascii="Avenir Next" w:eastAsia="Avenir Next" w:hAnsi="Avenir Next" w:cs="Avenir Next"/>
          <w:spacing w:val="-1"/>
          <w:sz w:val="16"/>
          <w:szCs w:val="16"/>
        </w:rPr>
        <w:t>straight</w:t>
      </w:r>
      <w:r>
        <w:rPr>
          <w:rFonts w:ascii="Avenir Next" w:eastAsia="Avenir Next" w:hAnsi="Avenir Next" w:cs="Avenir Next"/>
          <w:sz w:val="16"/>
          <w:szCs w:val="16"/>
        </w:rPr>
        <w:t xml:space="preserve"> line over time,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the initial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 asset to</w:t>
      </w:r>
      <w:r>
        <w:rPr>
          <w:rFonts w:ascii="Avenir Next" w:eastAsia="Avenir Next" w:hAnsi="Avenir Next" w:cs="Avenir Next"/>
          <w:spacing w:val="29"/>
          <w:sz w:val="16"/>
          <w:szCs w:val="16"/>
        </w:rPr>
        <w:t xml:space="preserve"> </w:t>
      </w:r>
      <w:r>
        <w:rPr>
          <w:rFonts w:ascii="Avenir Next" w:eastAsia="Avenir Next" w:hAnsi="Avenir Next" w:cs="Avenir Next"/>
          <w:spacing w:val="-1"/>
          <w:sz w:val="16"/>
          <w:szCs w:val="16"/>
        </w:rPr>
        <w:t>zero</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at</w:t>
      </w:r>
      <w:r>
        <w:rPr>
          <w:rFonts w:ascii="Avenir Next" w:eastAsia="Avenir Next" w:hAnsi="Avenir Next" w:cs="Avenir Next"/>
          <w:sz w:val="16"/>
          <w:szCs w:val="16"/>
        </w:rPr>
        <w:t xml:space="preserve"> the end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asset’s</w:t>
      </w:r>
      <w:r>
        <w:rPr>
          <w:rFonts w:ascii="Avenir Next" w:eastAsia="Avenir Next" w:hAnsi="Avenir Next" w:cs="Avenir Next"/>
          <w:sz w:val="16"/>
          <w:szCs w:val="16"/>
        </w:rPr>
        <w:t xml:space="preserve"> life.</w:t>
      </w:r>
    </w:p>
    <w:p w:rsidR="00D96B91" w:rsidRDefault="00C2656B">
      <w:pPr>
        <w:numPr>
          <w:ilvl w:val="0"/>
          <w:numId w:val="72"/>
        </w:numPr>
        <w:tabs>
          <w:tab w:val="left" w:pos="1758"/>
        </w:tabs>
        <w:spacing w:before="141"/>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xvii.</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15.</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Dr</w:t>
      </w:r>
      <w:r>
        <w:rPr>
          <w:rFonts w:ascii="Avenir Next"/>
          <w:spacing w:val="-4"/>
          <w:sz w:val="16"/>
        </w:rPr>
        <w:t xml:space="preserve"> </w:t>
      </w:r>
      <w:r>
        <w:rPr>
          <w:rFonts w:ascii="Avenir Next"/>
          <w:spacing w:val="-7"/>
          <w:sz w:val="16"/>
        </w:rPr>
        <w:t>T.</w:t>
      </w:r>
      <w:r>
        <w:rPr>
          <w:rFonts w:ascii="Avenir Next"/>
          <w:spacing w:val="-5"/>
          <w:sz w:val="16"/>
        </w:rPr>
        <w:t xml:space="preserve"> </w:t>
      </w:r>
      <w:r>
        <w:rPr>
          <w:rFonts w:ascii="Avenir Next"/>
          <w:spacing w:val="-2"/>
          <w:sz w:val="16"/>
        </w:rPr>
        <w:t>Dwyer,</w:t>
      </w:r>
      <w:r>
        <w:rPr>
          <w:rFonts w:ascii="Avenir Next"/>
          <w:spacing w:val="-5"/>
          <w:sz w:val="16"/>
        </w:rPr>
        <w:t xml:space="preserve"> </w:t>
      </w:r>
      <w:r>
        <w:rPr>
          <w:rFonts w:ascii="Avenir Next"/>
          <w:sz w:val="16"/>
        </w:rPr>
        <w:t xml:space="preserve">Submission to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z w:val="16"/>
        </w:rPr>
        <w:t>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w:t>
      </w:r>
    </w:p>
    <w:p w:rsidR="00D96B91" w:rsidRDefault="00C2656B">
      <w:pPr>
        <w:numPr>
          <w:ilvl w:val="0"/>
          <w:numId w:val="72"/>
        </w:numPr>
        <w:tabs>
          <w:tab w:val="left" w:pos="1758"/>
        </w:tabs>
        <w:spacing w:before="121"/>
        <w:ind w:hanging="510"/>
        <w:rPr>
          <w:rFonts w:ascii="Avenir Next" w:eastAsia="Avenir Next" w:hAnsi="Avenir Next" w:cs="Avenir Next"/>
          <w:sz w:val="16"/>
          <w:szCs w:val="16"/>
        </w:rPr>
      </w:pPr>
      <w:r>
        <w:rPr>
          <w:rFonts w:ascii="Avenir Next"/>
          <w:sz w:val="16"/>
        </w:rPr>
        <w:t xml:space="preserve">Mr </w:t>
      </w:r>
      <w:r>
        <w:rPr>
          <w:rFonts w:ascii="Avenir Next"/>
          <w:spacing w:val="-1"/>
          <w:sz w:val="16"/>
        </w:rPr>
        <w:t>Kevin</w:t>
      </w:r>
      <w:r>
        <w:rPr>
          <w:rFonts w:ascii="Avenir Next"/>
          <w:sz w:val="16"/>
        </w:rPr>
        <w:t xml:space="preserve"> </w:t>
      </w:r>
      <w:r>
        <w:rPr>
          <w:rFonts w:ascii="Avenir Next"/>
          <w:spacing w:val="-1"/>
          <w:sz w:val="16"/>
        </w:rPr>
        <w:t>Cox,</w:t>
      </w:r>
      <w:r>
        <w:rPr>
          <w:rFonts w:ascii="Avenir Next"/>
          <w:spacing w:val="-5"/>
          <w:sz w:val="16"/>
        </w:rPr>
        <w:t xml:space="preserve"> </w:t>
      </w:r>
      <w:r>
        <w:rPr>
          <w:rFonts w:ascii="Avenir Next"/>
          <w:sz w:val="16"/>
        </w:rPr>
        <w:t xml:space="preserve">Submission to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pacing w:val="-1"/>
          <w:sz w:val="16"/>
        </w:rPr>
        <w:t>undated,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left="1644" w:right="1548"/>
      </w:pPr>
      <w:r>
        <w:rPr>
          <w:spacing w:val="-1"/>
        </w:rPr>
        <w:t xml:space="preserve">“The </w:t>
      </w:r>
      <w:r>
        <w:t>ICRC</w:t>
      </w:r>
      <w:r>
        <w:rPr>
          <w:spacing w:val="-1"/>
        </w:rPr>
        <w:t xml:space="preserve"> </w:t>
      </w:r>
      <w:r>
        <w:t xml:space="preserve">has </w:t>
      </w:r>
      <w:r>
        <w:rPr>
          <w:spacing w:val="-1"/>
        </w:rPr>
        <w:t>demonstrated that</w:t>
      </w:r>
      <w:r>
        <w:t xml:space="preserve"> the</w:t>
      </w:r>
      <w:r>
        <w:rPr>
          <w:spacing w:val="-1"/>
        </w:rPr>
        <w:t xml:space="preserve"> current </w:t>
      </w:r>
      <w:r>
        <w:t>method of</w:t>
      </w:r>
      <w:r>
        <w:rPr>
          <w:spacing w:val="3"/>
        </w:rPr>
        <w:t xml:space="preserve"> </w:t>
      </w:r>
      <w:r>
        <w:t>financing and</w:t>
      </w:r>
      <w:r>
        <w:rPr>
          <w:spacing w:val="-1"/>
        </w:rPr>
        <w:t xml:space="preserve"> repaying </w:t>
      </w:r>
      <w:r>
        <w:t>loans to</w:t>
      </w:r>
      <w:r>
        <w:rPr>
          <w:spacing w:val="-1"/>
        </w:rPr>
        <w:t xml:space="preserve"> </w:t>
      </w:r>
      <w:r>
        <w:t>build</w:t>
      </w:r>
      <w:r>
        <w:rPr>
          <w:spacing w:val="39"/>
        </w:rPr>
        <w:t xml:space="preserve"> </w:t>
      </w:r>
      <w:r>
        <w:rPr>
          <w:rFonts w:cs="Avenir Next"/>
          <w:spacing w:val="-1"/>
        </w:rPr>
        <w:t>water</w:t>
      </w:r>
      <w:r>
        <w:rPr>
          <w:rFonts w:cs="Avenir Next"/>
        </w:rPr>
        <w:t xml:space="preserve"> supply </w:t>
      </w:r>
      <w:r>
        <w:rPr>
          <w:rFonts w:cs="Avenir Next"/>
          <w:spacing w:val="-1"/>
        </w:rPr>
        <w:t>means</w:t>
      </w:r>
      <w:r>
        <w:rPr>
          <w:rFonts w:cs="Avenir Next"/>
        </w:rPr>
        <w:t xml:space="preserve"> </w:t>
      </w:r>
      <w:r>
        <w:rPr>
          <w:rFonts w:cs="Avenir Next"/>
          <w:spacing w:val="-1"/>
        </w:rPr>
        <w:t>that</w:t>
      </w:r>
      <w:r>
        <w:rPr>
          <w:rFonts w:cs="Avenir Next"/>
        </w:rPr>
        <w:t xml:space="preserve"> </w:t>
      </w:r>
      <w:r>
        <w:rPr>
          <w:rFonts w:cs="Avenir Next"/>
          <w:spacing w:val="-1"/>
        </w:rPr>
        <w:t>current</w:t>
      </w:r>
      <w:r>
        <w:rPr>
          <w:rFonts w:cs="Avenir Next"/>
        </w:rPr>
        <w:t xml:space="preserve"> users of</w:t>
      </w:r>
      <w:r>
        <w:rPr>
          <w:rFonts w:cs="Avenir Next"/>
          <w:spacing w:val="4"/>
        </w:rPr>
        <w:t xml:space="preserve"> </w:t>
      </w:r>
      <w:r>
        <w:rPr>
          <w:rFonts w:cs="Avenir Next"/>
          <w:spacing w:val="-1"/>
        </w:rPr>
        <w:t>water</w:t>
      </w:r>
      <w:r>
        <w:rPr>
          <w:rFonts w:cs="Avenir Next"/>
        </w:rPr>
        <w:t xml:space="preserve"> </w:t>
      </w:r>
      <w:r>
        <w:rPr>
          <w:rFonts w:cs="Avenir Next"/>
          <w:spacing w:val="-2"/>
        </w:rPr>
        <w:t>are</w:t>
      </w:r>
      <w:r>
        <w:rPr>
          <w:rFonts w:cs="Avenir Next"/>
        </w:rPr>
        <w:t xml:space="preserve"> paying </w:t>
      </w:r>
      <w:r>
        <w:rPr>
          <w:rFonts w:cs="Avenir Next"/>
          <w:spacing w:val="-1"/>
        </w:rPr>
        <w:t>more</w:t>
      </w:r>
      <w:r>
        <w:rPr>
          <w:rFonts w:cs="Avenir Next"/>
        </w:rPr>
        <w:t xml:space="preserve"> of</w:t>
      </w:r>
      <w:r>
        <w:rPr>
          <w:rFonts w:cs="Avenir Next"/>
          <w:spacing w:val="4"/>
        </w:rPr>
        <w:t xml:space="preserve"> </w:t>
      </w:r>
      <w:r>
        <w:rPr>
          <w:rFonts w:cs="Avenir Next"/>
        </w:rPr>
        <w:t xml:space="preserve">the capital while </w:t>
      </w:r>
      <w:r>
        <w:rPr>
          <w:rFonts w:cs="Avenir Next"/>
          <w:spacing w:val="-1"/>
        </w:rPr>
        <w:t>future</w:t>
      </w:r>
      <w:r>
        <w:rPr>
          <w:rFonts w:cs="Avenir Next"/>
          <w:spacing w:val="37"/>
        </w:rPr>
        <w:t xml:space="preserve"> </w:t>
      </w:r>
      <w:r>
        <w:rPr>
          <w:spacing w:val="-1"/>
        </w:rPr>
        <w:t>generations</w:t>
      </w:r>
      <w:r>
        <w:t xml:space="preserve"> pay less.</w:t>
      </w:r>
      <w:r>
        <w:rPr>
          <w:spacing w:val="-11"/>
        </w:rPr>
        <w:t xml:space="preserve"> </w:t>
      </w:r>
      <w:r>
        <w:rPr>
          <w:spacing w:val="-1"/>
        </w:rPr>
        <w:t>This</w:t>
      </w:r>
      <w:r>
        <w:t xml:space="preserve"> is caused by the accounting </w:t>
      </w:r>
      <w:r>
        <w:rPr>
          <w:spacing w:val="-1"/>
        </w:rPr>
        <w:t>procedures</w:t>
      </w:r>
      <w:r>
        <w:t xml:space="preserve"> used to </w:t>
      </w:r>
      <w:r>
        <w:rPr>
          <w:spacing w:val="-1"/>
        </w:rPr>
        <w:t>allocate</w:t>
      </w:r>
      <w:r>
        <w:t xml:space="preserve"> capital costs</w:t>
      </w:r>
      <w:r>
        <w:rPr>
          <w:spacing w:val="27"/>
        </w:rPr>
        <w:t xml:space="preserve"> </w:t>
      </w:r>
      <w:r>
        <w:rPr>
          <w:spacing w:val="-1"/>
        </w:rPr>
        <w:t>across</w:t>
      </w:r>
      <w:r>
        <w:t xml:space="preserve"> the </w:t>
      </w:r>
      <w:r>
        <w:rPr>
          <w:spacing w:val="-1"/>
        </w:rPr>
        <w:t>generations</w:t>
      </w:r>
      <w:r>
        <w:t xml:space="preserve"> and is unfair on the </w:t>
      </w:r>
      <w:r>
        <w:rPr>
          <w:spacing w:val="-1"/>
        </w:rPr>
        <w:t>current</w:t>
      </w:r>
      <w:r>
        <w:t xml:space="preserve"> </w:t>
      </w:r>
      <w:r>
        <w:rPr>
          <w:spacing w:val="-2"/>
        </w:rPr>
        <w:t>generation.”</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6"/>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56"/>
        <w:rPr>
          <w:rFonts w:cs="Avenir Next"/>
        </w:rPr>
      </w:pPr>
      <w:r>
        <w:rPr>
          <w:spacing w:val="-10"/>
        </w:rPr>
        <w:t>To</w:t>
      </w:r>
      <w:r>
        <w:t xml:space="preserve"> decide whether an </w:t>
      </w:r>
      <w:r>
        <w:rPr>
          <w:spacing w:val="-1"/>
        </w:rPr>
        <w:t>indexed</w:t>
      </w:r>
      <w:r>
        <w:t xml:space="preserve"> or </w:t>
      </w:r>
      <w:r>
        <w:rPr>
          <w:spacing w:val="-1"/>
        </w:rPr>
        <w:t>non-indexed</w:t>
      </w:r>
      <w:r>
        <w:t xml:space="preserve"> RAB </w:t>
      </w:r>
      <w:r>
        <w:rPr>
          <w:spacing w:val="-1"/>
        </w:rPr>
        <w:t>approach</w:t>
      </w:r>
      <w:r>
        <w:t xml:space="preserve"> should be adopted,</w:t>
      </w:r>
      <w:r>
        <w:rPr>
          <w:spacing w:val="-6"/>
        </w:rPr>
        <w:t xml:space="preserve"> </w:t>
      </w:r>
      <w:r>
        <w:t xml:space="preserve">the </w:t>
      </w:r>
      <w:r>
        <w:rPr>
          <w:spacing w:val="-3"/>
        </w:rPr>
        <w:t>Panel</w:t>
      </w:r>
      <w:r>
        <w:t xml:space="preserve"> </w:t>
      </w:r>
      <w:r>
        <w:rPr>
          <w:spacing w:val="-1"/>
        </w:rPr>
        <w:t>considered</w:t>
      </w:r>
      <w:r>
        <w:rPr>
          <w:spacing w:val="47"/>
        </w:rPr>
        <w:t xml:space="preserve"> </w:t>
      </w:r>
      <w:r>
        <w:t xml:space="preserve">the building block methodology principles set out in section </w:t>
      </w:r>
      <w:hyperlink w:anchor="_bookmark46" w:history="1">
        <w:r>
          <w:rPr>
            <w:spacing w:val="-1"/>
          </w:rPr>
          <w:t>Box</w:t>
        </w:r>
        <w:r>
          <w:t xml:space="preserve"> 7.1</w:t>
        </w:r>
      </w:hyperlink>
      <w:r>
        <w:t xml:space="preserve"> and also had </w:t>
      </w:r>
      <w:r>
        <w:rPr>
          <w:spacing w:val="-2"/>
        </w:rPr>
        <w:t>regard</w:t>
      </w:r>
      <w:r>
        <w:t xml:space="preserve"> to:</w:t>
      </w:r>
    </w:p>
    <w:p w:rsidR="00D96B91" w:rsidRDefault="00C2656B">
      <w:pPr>
        <w:pStyle w:val="BodyText"/>
        <w:numPr>
          <w:ilvl w:val="0"/>
          <w:numId w:val="131"/>
        </w:numPr>
        <w:tabs>
          <w:tab w:val="left" w:pos="1531"/>
        </w:tabs>
        <w:spacing w:before="178"/>
        <w:ind w:hanging="283"/>
        <w:rPr>
          <w:rFonts w:cs="Avenir Next"/>
        </w:rPr>
      </w:pPr>
      <w:r>
        <w:t xml:space="preserve">the issues </w:t>
      </w:r>
      <w:r>
        <w:rPr>
          <w:spacing w:val="-1"/>
        </w:rPr>
        <w:t>raised</w:t>
      </w:r>
      <w:r>
        <w:t xml:space="preserve"> by Dr Dwyer and Mr </w:t>
      </w:r>
      <w:r>
        <w:rPr>
          <w:spacing w:val="-2"/>
        </w:rPr>
        <w:t>Cox</w:t>
      </w:r>
    </w:p>
    <w:p w:rsidR="00D96B91" w:rsidRDefault="00C2656B">
      <w:pPr>
        <w:pStyle w:val="BodyText"/>
        <w:numPr>
          <w:ilvl w:val="0"/>
          <w:numId w:val="131"/>
        </w:numPr>
        <w:tabs>
          <w:tab w:val="left" w:pos="1531"/>
        </w:tabs>
        <w:spacing w:before="72"/>
        <w:ind w:hanging="283"/>
      </w:pPr>
      <w:r>
        <w:t xml:space="preserve">the </w:t>
      </w:r>
      <w:r>
        <w:rPr>
          <w:spacing w:val="-1"/>
        </w:rPr>
        <w:t>reasons</w:t>
      </w:r>
      <w:r>
        <w:t xml:space="preserve"> </w:t>
      </w:r>
      <w:r>
        <w:rPr>
          <w:spacing w:val="-1"/>
        </w:rPr>
        <w:t>stated</w:t>
      </w:r>
      <w:r>
        <w:t xml:space="preserve"> by the ICRC for adopting a </w:t>
      </w:r>
      <w:r>
        <w:rPr>
          <w:spacing w:val="-1"/>
        </w:rPr>
        <w:t>non-indexed</w:t>
      </w:r>
      <w:r>
        <w:t xml:space="preserve"> RAB,</w:t>
      </w:r>
      <w:r>
        <w:rPr>
          <w:spacing w:val="-6"/>
        </w:rPr>
        <w:t xml:space="preserve"> </w:t>
      </w:r>
      <w:r>
        <w:t>and</w:t>
      </w:r>
    </w:p>
    <w:p w:rsidR="00D96B91" w:rsidRDefault="00C2656B">
      <w:pPr>
        <w:pStyle w:val="BodyText"/>
        <w:numPr>
          <w:ilvl w:val="0"/>
          <w:numId w:val="131"/>
        </w:numPr>
        <w:tabs>
          <w:tab w:val="left" w:pos="1531"/>
        </w:tabs>
        <w:spacing w:before="72"/>
        <w:ind w:hanging="283"/>
      </w:pPr>
      <w:r>
        <w:rPr>
          <w:spacing w:val="-2"/>
        </w:rPr>
        <w:t>ACTEW’s</w:t>
      </w:r>
      <w:r>
        <w:t xml:space="preserve"> </w:t>
      </w:r>
      <w:r>
        <w:rPr>
          <w:spacing w:val="-1"/>
        </w:rPr>
        <w:t>stated</w:t>
      </w:r>
      <w:r>
        <w:t xml:space="preserve"> </w:t>
      </w:r>
      <w:r>
        <w:rPr>
          <w:spacing w:val="-1"/>
        </w:rPr>
        <w:t>risk-management</w:t>
      </w:r>
      <w:r>
        <w:t xml:space="preserve"> </w:t>
      </w:r>
      <w:r>
        <w:rPr>
          <w:spacing w:val="-1"/>
        </w:rPr>
        <w:t>preference</w:t>
      </w:r>
      <w:r>
        <w:t xml:space="preserve"> for an </w:t>
      </w:r>
      <w:r>
        <w:rPr>
          <w:spacing w:val="-1"/>
        </w:rPr>
        <w:t>indexed</w:t>
      </w:r>
      <w:r>
        <w:t xml:space="preserve"> RAB.</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477"/>
      </w:pPr>
      <w:r>
        <w:t>In</w:t>
      </w:r>
      <w:r>
        <w:rPr>
          <w:spacing w:val="-1"/>
        </w:rPr>
        <w:t xml:space="preserve"> </w:t>
      </w:r>
      <w:r>
        <w:t>submissions to both the</w:t>
      </w:r>
      <w:r>
        <w:rPr>
          <w:spacing w:val="-1"/>
        </w:rPr>
        <w:t xml:space="preserve"> </w:t>
      </w:r>
      <w:r>
        <w:t xml:space="preserve">ICRC and the </w:t>
      </w:r>
      <w:r>
        <w:rPr>
          <w:spacing w:val="-3"/>
        </w:rPr>
        <w:t>Panel,</w:t>
      </w:r>
      <w:r>
        <w:rPr>
          <w:spacing w:val="-7"/>
        </w:rPr>
        <w:t xml:space="preserve"> </w:t>
      </w:r>
      <w:r>
        <w:t xml:space="preserve">Dr Dwyer </w:t>
      </w:r>
      <w:r>
        <w:rPr>
          <w:spacing w:val="-1"/>
        </w:rPr>
        <w:t>argued</w:t>
      </w:r>
      <w:r>
        <w:t xml:space="preserve"> </w:t>
      </w:r>
      <w:r>
        <w:rPr>
          <w:spacing w:val="-1"/>
        </w:rPr>
        <w:t xml:space="preserve">that </w:t>
      </w:r>
      <w:r>
        <w:t xml:space="preserve">applying an </w:t>
      </w:r>
      <w:r>
        <w:rPr>
          <w:spacing w:val="-1"/>
        </w:rPr>
        <w:t>inflation</w:t>
      </w:r>
      <w:r>
        <w:t xml:space="preserve"> </w:t>
      </w:r>
      <w:r>
        <w:rPr>
          <w:spacing w:val="-1"/>
        </w:rPr>
        <w:t>indexation</w:t>
      </w:r>
      <w:r>
        <w:rPr>
          <w:spacing w:val="45"/>
        </w:rPr>
        <w:t xml:space="preserve"> </w:t>
      </w:r>
      <w:r>
        <w:t>to the value of</w:t>
      </w:r>
      <w:r>
        <w:rPr>
          <w:spacing w:val="4"/>
        </w:rPr>
        <w:t xml:space="preserve"> </w:t>
      </w:r>
      <w:r>
        <w:t xml:space="preserve">the RAB </w:t>
      </w:r>
      <w:r>
        <w:rPr>
          <w:spacing w:val="-1"/>
        </w:rPr>
        <w:t>results</w:t>
      </w:r>
      <w:r>
        <w:t xml:space="preserve"> in </w:t>
      </w:r>
      <w:r>
        <w:rPr>
          <w:spacing w:val="-1"/>
        </w:rPr>
        <w:t>over-recovery</w:t>
      </w:r>
      <w:r>
        <w:t xml:space="preserve"> of</w:t>
      </w:r>
      <w:r>
        <w:rPr>
          <w:spacing w:val="4"/>
        </w:rPr>
        <w:t xml:space="preserve"> </w:t>
      </w:r>
      <w:r>
        <w:t>economic costs.</w:t>
      </w:r>
      <w:r>
        <w:rPr>
          <w:spacing w:val="-6"/>
        </w:rPr>
        <w:t xml:space="preserve"> </w:t>
      </w:r>
      <w:r>
        <w:rPr>
          <w:spacing w:val="-2"/>
        </w:rPr>
        <w:t>However,</w:t>
      </w:r>
      <w:r>
        <w:rPr>
          <w:spacing w:val="-6"/>
        </w:rPr>
        <w:t xml:space="preserve"> </w:t>
      </w:r>
      <w:r>
        <w:t xml:space="preserve">both an </w:t>
      </w:r>
      <w:r>
        <w:rPr>
          <w:spacing w:val="-1"/>
        </w:rPr>
        <w:t>indexed</w:t>
      </w:r>
      <w:r>
        <w:t xml:space="preserve"> RAB</w:t>
      </w:r>
      <w:r>
        <w:rPr>
          <w:spacing w:val="33"/>
        </w:rPr>
        <w:t xml:space="preserve"> </w:t>
      </w:r>
      <w:r>
        <w:t xml:space="preserve">and </w:t>
      </w:r>
      <w:r>
        <w:rPr>
          <w:spacing w:val="-1"/>
        </w:rPr>
        <w:t>non-indexed</w:t>
      </w:r>
      <w:r>
        <w:t xml:space="preserve"> RAB </w:t>
      </w:r>
      <w:r>
        <w:rPr>
          <w:spacing w:val="-1"/>
        </w:rPr>
        <w:t>approach</w:t>
      </w:r>
      <w:r>
        <w:t xml:space="preserve"> </w:t>
      </w:r>
      <w:r>
        <w:rPr>
          <w:spacing w:val="-1"/>
        </w:rPr>
        <w:t>recover</w:t>
      </w:r>
      <w:r>
        <w:t xml:space="preserve"> the same net </w:t>
      </w:r>
      <w:r>
        <w:rPr>
          <w:spacing w:val="-1"/>
        </w:rPr>
        <w:t>present</w:t>
      </w:r>
      <w:r>
        <w:t xml:space="preserve"> value of</w:t>
      </w:r>
      <w:r>
        <w:rPr>
          <w:spacing w:val="4"/>
        </w:rPr>
        <w:t xml:space="preserve"> </w:t>
      </w:r>
      <w:r>
        <w:rPr>
          <w:spacing w:val="-1"/>
        </w:rPr>
        <w:t>revenues</w:t>
      </w:r>
      <w:r>
        <w:t xml:space="preserve"> over time.</w:t>
      </w:r>
      <w:r>
        <w:rPr>
          <w:spacing w:val="-11"/>
        </w:rPr>
        <w:t xml:space="preserve"> </w:t>
      </w:r>
      <w:r>
        <w:rPr>
          <w:spacing w:val="-2"/>
        </w:rPr>
        <w:t>The</w:t>
      </w:r>
      <w:r>
        <w:t xml:space="preserve"> </w:t>
      </w:r>
      <w:r>
        <w:rPr>
          <w:spacing w:val="-1"/>
        </w:rPr>
        <w:t>effect</w:t>
      </w:r>
      <w:r>
        <w:rPr>
          <w:spacing w:val="51"/>
        </w:rPr>
        <w:t xml:space="preserve"> </w:t>
      </w:r>
      <w:r>
        <w:t>of</w:t>
      </w:r>
      <w:r>
        <w:rPr>
          <w:spacing w:val="4"/>
        </w:rPr>
        <w:t xml:space="preserve"> </w:t>
      </w:r>
      <w:r>
        <w:t xml:space="preserve">adopting a </w:t>
      </w:r>
      <w:r>
        <w:rPr>
          <w:spacing w:val="-1"/>
        </w:rPr>
        <w:t>non-indexed</w:t>
      </w:r>
      <w:r>
        <w:t xml:space="preserve"> RAB is to </w:t>
      </w:r>
      <w:r>
        <w:rPr>
          <w:spacing w:val="-1"/>
        </w:rPr>
        <w:t>increase</w:t>
      </w:r>
      <w:r>
        <w:rPr>
          <w:spacing w:val="-4"/>
        </w:rPr>
        <w:t xml:space="preserve"> </w:t>
      </w:r>
      <w:r>
        <w:rPr>
          <w:spacing w:val="-2"/>
        </w:rPr>
        <w:t>ACTEW’s</w:t>
      </w:r>
      <w:r>
        <w:t xml:space="preserve"> </w:t>
      </w:r>
      <w:r>
        <w:rPr>
          <w:spacing w:val="-1"/>
        </w:rPr>
        <w:t>revenue</w:t>
      </w:r>
      <w:r>
        <w:t xml:space="preserve"> </w:t>
      </w:r>
      <w:r>
        <w:rPr>
          <w:spacing w:val="-1"/>
        </w:rPr>
        <w:t>requirement</w:t>
      </w:r>
      <w:r>
        <w:t xml:space="preserve"> in the </w:t>
      </w:r>
      <w:r>
        <w:rPr>
          <w:spacing w:val="-1"/>
        </w:rPr>
        <w:t>near</w:t>
      </w:r>
      <w:r>
        <w:t xml:space="preserve"> term and</w:t>
      </w:r>
      <w:r>
        <w:rPr>
          <w:spacing w:val="37"/>
        </w:rPr>
        <w:t xml:space="preserve"> </w:t>
      </w:r>
      <w:r>
        <w:rPr>
          <w:spacing w:val="-1"/>
        </w:rPr>
        <w:t>decrease</w:t>
      </w:r>
      <w:r>
        <w:t xml:space="preserve"> it in </w:t>
      </w:r>
      <w:r>
        <w:rPr>
          <w:spacing w:val="-1"/>
        </w:rPr>
        <w:t>later</w:t>
      </w:r>
      <w:r>
        <w:t xml:space="preserve"> </w:t>
      </w:r>
      <w:r>
        <w:rPr>
          <w:spacing w:val="-1"/>
        </w:rPr>
        <w:t>years.</w:t>
      </w:r>
    </w:p>
    <w:p w:rsidR="00D96B91" w:rsidRDefault="00C2656B">
      <w:pPr>
        <w:pStyle w:val="BodyText"/>
        <w:spacing w:before="170" w:line="260" w:lineRule="exact"/>
        <w:ind w:right="1256"/>
        <w:rPr>
          <w:sz w:val="11"/>
          <w:szCs w:val="11"/>
        </w:rPr>
      </w:pPr>
      <w:r>
        <w:rPr>
          <w:spacing w:val="-2"/>
        </w:rPr>
        <w:t>The</w:t>
      </w:r>
      <w:r>
        <w:rPr>
          <w:spacing w:val="-1"/>
        </w:rPr>
        <w:t xml:space="preserve"> reason</w:t>
      </w:r>
      <w:r>
        <w:t xml:space="preserve"> the</w:t>
      </w:r>
      <w:r>
        <w:rPr>
          <w:spacing w:val="-1"/>
        </w:rPr>
        <w:t xml:space="preserve"> </w:t>
      </w:r>
      <w:r>
        <w:t>ICRC gave</w:t>
      </w:r>
      <w:r>
        <w:rPr>
          <w:spacing w:val="-1"/>
        </w:rPr>
        <w:t xml:space="preserve"> </w:t>
      </w:r>
      <w:r>
        <w:t>for</w:t>
      </w:r>
      <w:r>
        <w:rPr>
          <w:spacing w:val="-1"/>
        </w:rPr>
        <w:t xml:space="preserve"> </w:t>
      </w:r>
      <w:r>
        <w:t>adopting a</w:t>
      </w:r>
      <w:r>
        <w:rPr>
          <w:spacing w:val="-1"/>
        </w:rPr>
        <w:t xml:space="preserve"> non-indexed</w:t>
      </w:r>
      <w:r>
        <w:t xml:space="preserve"> RAB</w:t>
      </w:r>
      <w:r>
        <w:rPr>
          <w:spacing w:val="-1"/>
        </w:rPr>
        <w:t xml:space="preserve"> </w:t>
      </w:r>
      <w:r>
        <w:t>was to</w:t>
      </w:r>
      <w:r>
        <w:rPr>
          <w:spacing w:val="-1"/>
        </w:rPr>
        <w:t xml:space="preserve"> </w:t>
      </w:r>
      <w:r>
        <w:t>achieve financial</w:t>
      </w:r>
      <w:r>
        <w:rPr>
          <w:spacing w:val="-1"/>
        </w:rPr>
        <w:t xml:space="preserve"> </w:t>
      </w:r>
      <w:r>
        <w:t>viability outcomes</w:t>
      </w:r>
      <w:r>
        <w:rPr>
          <w:spacing w:val="30"/>
        </w:rPr>
        <w:t xml:space="preserve"> </w:t>
      </w:r>
      <w:r>
        <w:t>for</w:t>
      </w:r>
      <w:r>
        <w:rPr>
          <w:spacing w:val="-5"/>
        </w:rPr>
        <w:t xml:space="preserve"> </w:t>
      </w:r>
      <w:r>
        <w:rPr>
          <w:spacing w:val="-4"/>
        </w:rPr>
        <w:t>ACTEW.</w:t>
      </w:r>
      <w:r>
        <w:rPr>
          <w:spacing w:val="-7"/>
        </w:rPr>
        <w:t xml:space="preserve"> </w:t>
      </w:r>
      <w:r>
        <w:t xml:space="preserve">In </w:t>
      </w:r>
      <w:r>
        <w:rPr>
          <w:spacing w:val="-2"/>
        </w:rPr>
        <w:t>particular,</w:t>
      </w:r>
      <w:r>
        <w:rPr>
          <w:spacing w:val="-7"/>
        </w:rPr>
        <w:t xml:space="preserve"> </w:t>
      </w:r>
      <w:r>
        <w:t xml:space="preserve">the </w:t>
      </w:r>
      <w:r>
        <w:rPr>
          <w:spacing w:val="-1"/>
        </w:rPr>
        <w:t xml:space="preserve">effect </w:t>
      </w:r>
      <w:r>
        <w:t>of</w:t>
      </w:r>
      <w:r>
        <w:rPr>
          <w:spacing w:val="3"/>
        </w:rPr>
        <w:t xml:space="preserve"> </w:t>
      </w:r>
      <w:r>
        <w:t xml:space="preserve">the </w:t>
      </w:r>
      <w:r>
        <w:rPr>
          <w:spacing w:val="-2"/>
        </w:rPr>
        <w:t>ICRC’s</w:t>
      </w:r>
      <w:r>
        <w:rPr>
          <w:spacing w:val="-1"/>
        </w:rPr>
        <w:t xml:space="preserve"> </w:t>
      </w:r>
      <w:r>
        <w:t>decision</w:t>
      </w:r>
      <w:r>
        <w:rPr>
          <w:spacing w:val="-1"/>
        </w:rPr>
        <w:t xml:space="preserve"> </w:t>
      </w:r>
      <w:r>
        <w:t>to adopt</w:t>
      </w:r>
      <w:r>
        <w:rPr>
          <w:spacing w:val="-1"/>
        </w:rPr>
        <w:t xml:space="preserve"> </w:t>
      </w:r>
      <w:r>
        <w:t>a firm-specific</w:t>
      </w:r>
      <w:r>
        <w:rPr>
          <w:spacing w:val="-1"/>
        </w:rPr>
        <w:t xml:space="preserve"> </w:t>
      </w:r>
      <w:r>
        <w:rPr>
          <w:spacing w:val="-2"/>
        </w:rPr>
        <w:t>rate</w:t>
      </w:r>
      <w:r>
        <w:rPr>
          <w:spacing w:val="-1"/>
        </w:rPr>
        <w:t xml:space="preserve"> </w:t>
      </w:r>
      <w:r>
        <w:t>of</w:t>
      </w:r>
      <w:r>
        <w:rPr>
          <w:spacing w:val="4"/>
        </w:rPr>
        <w:t xml:space="preserve"> </w:t>
      </w:r>
      <w:r>
        <w:rPr>
          <w:spacing w:val="-1"/>
        </w:rPr>
        <w:t xml:space="preserve">return </w:t>
      </w:r>
      <w:r>
        <w:t>was</w:t>
      </w:r>
      <w:r>
        <w:rPr>
          <w:spacing w:val="-1"/>
        </w:rPr>
        <w:t xml:space="preserve"> </w:t>
      </w:r>
      <w:r>
        <w:t>to</w:t>
      </w:r>
      <w:r>
        <w:rPr>
          <w:spacing w:val="45"/>
        </w:rPr>
        <w:t xml:space="preserve"> </w:t>
      </w:r>
      <w:r>
        <w:rPr>
          <w:rFonts w:cs="Avenir Next"/>
          <w:spacing w:val="-1"/>
        </w:rPr>
        <w:t>decrease</w:t>
      </w:r>
      <w:r>
        <w:rPr>
          <w:rFonts w:cs="Avenir Next"/>
          <w:spacing w:val="-4"/>
        </w:rPr>
        <w:t xml:space="preserve"> </w:t>
      </w:r>
      <w:r>
        <w:rPr>
          <w:rFonts w:cs="Avenir Next"/>
          <w:spacing w:val="-2"/>
        </w:rPr>
        <w:t>ACTEW’s</w:t>
      </w:r>
      <w:r>
        <w:rPr>
          <w:rFonts w:cs="Avenir Next"/>
        </w:rPr>
        <w:t xml:space="preserve"> </w:t>
      </w:r>
      <w:r>
        <w:rPr>
          <w:rFonts w:cs="Avenir Next"/>
          <w:spacing w:val="-1"/>
        </w:rPr>
        <w:t>revenues</w:t>
      </w:r>
      <w:r>
        <w:rPr>
          <w:rFonts w:cs="Avenir Next"/>
        </w:rPr>
        <w:t xml:space="preserve"> to the point </w:t>
      </w:r>
      <w:r>
        <w:rPr>
          <w:rFonts w:cs="Avenir Next"/>
          <w:spacing w:val="-1"/>
        </w:rPr>
        <w:t>that</w:t>
      </w:r>
      <w:r>
        <w:rPr>
          <w:rFonts w:cs="Avenir Next"/>
        </w:rPr>
        <w:t xml:space="preserve"> ICRC was concerned </w:t>
      </w:r>
      <w:r>
        <w:rPr>
          <w:rFonts w:cs="Avenir Next"/>
          <w:spacing w:val="-1"/>
        </w:rPr>
        <w:t>that</w:t>
      </w:r>
      <w:r>
        <w:rPr>
          <w:rFonts w:cs="Avenir Next"/>
          <w:spacing w:val="-4"/>
        </w:rPr>
        <w:t xml:space="preserve"> </w:t>
      </w:r>
      <w:r>
        <w:rPr>
          <w:rFonts w:cs="Avenir Next"/>
          <w:spacing w:val="-2"/>
        </w:rPr>
        <w:t>ACTEW</w:t>
      </w:r>
      <w:r>
        <w:rPr>
          <w:rFonts w:cs="Avenir Next"/>
          <w:spacing w:val="-3"/>
        </w:rPr>
        <w:t xml:space="preserve"> </w:t>
      </w:r>
      <w:r>
        <w:rPr>
          <w:rFonts w:cs="Avenir Next"/>
        </w:rPr>
        <w:t>could not meet its debt</w:t>
      </w:r>
      <w:r>
        <w:rPr>
          <w:rFonts w:cs="Avenir Next"/>
          <w:spacing w:val="27"/>
        </w:rPr>
        <w:t xml:space="preserve"> </w:t>
      </w:r>
      <w:r>
        <w:rPr>
          <w:rFonts w:cs="Avenir Next"/>
          <w:spacing w:val="-1"/>
        </w:rPr>
        <w:t>repayment</w:t>
      </w:r>
      <w:r>
        <w:rPr>
          <w:rFonts w:cs="Avenir Next"/>
          <w:spacing w:val="9"/>
        </w:rPr>
        <w:t xml:space="preserve"> </w:t>
      </w:r>
      <w:r>
        <w:rPr>
          <w:rFonts w:cs="Avenir Next"/>
          <w:spacing w:val="-1"/>
        </w:rPr>
        <w:t>obligations:</w:t>
      </w:r>
      <w:r>
        <w:rPr>
          <w:spacing w:val="-1"/>
          <w:position w:val="7"/>
          <w:sz w:val="11"/>
          <w:szCs w:val="11"/>
        </w:rPr>
        <w:t>154</w:t>
      </w:r>
    </w:p>
    <w:p w:rsidR="00D96B91" w:rsidRDefault="00C2656B">
      <w:pPr>
        <w:pStyle w:val="BodyText"/>
        <w:spacing w:before="170" w:line="260" w:lineRule="exact"/>
        <w:ind w:right="1256"/>
      </w:pPr>
      <w:r>
        <w:rPr>
          <w:spacing w:val="-1"/>
        </w:rPr>
        <w:t>“Unfortunately,</w:t>
      </w:r>
      <w:r>
        <w:rPr>
          <w:spacing w:val="-6"/>
        </w:rPr>
        <w:t xml:space="preserve"> </w:t>
      </w:r>
      <w:r>
        <w:t xml:space="preserve">as the </w:t>
      </w:r>
      <w:r>
        <w:rPr>
          <w:spacing w:val="-1"/>
        </w:rPr>
        <w:t>Commission</w:t>
      </w:r>
      <w:r>
        <w:t xml:space="preserve"> now </w:t>
      </w:r>
      <w:r>
        <w:rPr>
          <w:spacing w:val="-1"/>
        </w:rPr>
        <w:t>recognises,</w:t>
      </w:r>
      <w:r>
        <w:rPr>
          <w:spacing w:val="-6"/>
        </w:rPr>
        <w:t xml:space="preserve"> </w:t>
      </w:r>
      <w:r>
        <w:t>changing one of</w:t>
      </w:r>
      <w:r>
        <w:rPr>
          <w:spacing w:val="4"/>
        </w:rPr>
        <w:t xml:space="preserve"> </w:t>
      </w:r>
      <w:r>
        <w:t>the elements of</w:t>
      </w:r>
      <w:r>
        <w:rPr>
          <w:spacing w:val="4"/>
        </w:rPr>
        <w:t xml:space="preserve"> </w:t>
      </w:r>
      <w:r>
        <w:t xml:space="preserve">the </w:t>
      </w:r>
      <w:r>
        <w:rPr>
          <w:spacing w:val="-1"/>
        </w:rPr>
        <w:t>traditional</w:t>
      </w:r>
      <w:r>
        <w:rPr>
          <w:spacing w:val="49"/>
        </w:rPr>
        <w:t xml:space="preserve"> </w:t>
      </w:r>
      <w:r>
        <w:rPr>
          <w:rFonts w:cs="Avenir Next"/>
          <w:spacing w:val="-1"/>
        </w:rPr>
        <w:t>approach</w:t>
      </w:r>
      <w:r>
        <w:rPr>
          <w:rFonts w:cs="Avenir Next"/>
        </w:rPr>
        <w:t xml:space="preserve"> without </w:t>
      </w:r>
      <w:r>
        <w:rPr>
          <w:rFonts w:cs="Avenir Next"/>
          <w:spacing w:val="-1"/>
        </w:rPr>
        <w:t>recognising</w:t>
      </w:r>
      <w:r>
        <w:rPr>
          <w:rFonts w:cs="Avenir Next"/>
        </w:rPr>
        <w:t xml:space="preserve"> the </w:t>
      </w:r>
      <w:r>
        <w:rPr>
          <w:rFonts w:cs="Avenir Next"/>
          <w:spacing w:val="-1"/>
        </w:rPr>
        <w:t>implications</w:t>
      </w:r>
      <w:r>
        <w:rPr>
          <w:rFonts w:cs="Avenir Next"/>
        </w:rPr>
        <w:t xml:space="preserve"> of</w:t>
      </w:r>
      <w:r>
        <w:rPr>
          <w:rFonts w:cs="Avenir Next"/>
          <w:spacing w:val="4"/>
        </w:rPr>
        <w:t xml:space="preserve"> </w:t>
      </w:r>
      <w:r>
        <w:rPr>
          <w:rFonts w:cs="Avenir Next"/>
        </w:rPr>
        <w:t xml:space="preserve">persisting with the other will </w:t>
      </w:r>
      <w:r w:rsidRPr="006909CD">
        <w:rPr>
          <w:spacing w:val="-1"/>
        </w:rPr>
        <w:t xml:space="preserve">further increase the financial </w:t>
      </w:r>
      <w:r>
        <w:rPr>
          <w:spacing w:val="-1"/>
        </w:rPr>
        <w:t xml:space="preserve">pressure </w:t>
      </w:r>
      <w:r w:rsidRPr="006909CD">
        <w:rPr>
          <w:spacing w:val="-1"/>
        </w:rPr>
        <w:t>on ACTEW, perhaps undermining</w:t>
      </w:r>
      <w:r>
        <w:rPr>
          <w:spacing w:val="-1"/>
        </w:rPr>
        <w:t xml:space="preserve"> </w:t>
      </w:r>
      <w:r w:rsidRPr="006909CD">
        <w:rPr>
          <w:spacing w:val="-1"/>
        </w:rPr>
        <w:t>its</w:t>
      </w:r>
      <w:r>
        <w:rPr>
          <w:spacing w:val="-1"/>
        </w:rPr>
        <w:t xml:space="preserve"> </w:t>
      </w:r>
      <w:r w:rsidRPr="006909CD">
        <w:rPr>
          <w:spacing w:val="-1"/>
        </w:rPr>
        <w:t xml:space="preserve">financial </w:t>
      </w:r>
      <w:r>
        <w:rPr>
          <w:spacing w:val="-1"/>
        </w:rPr>
        <w:t>stability.</w:t>
      </w:r>
      <w:r w:rsidRPr="006909CD">
        <w:rPr>
          <w:spacing w:val="-1"/>
        </w:rPr>
        <w:t xml:space="preserve"> The</w:t>
      </w:r>
      <w:r>
        <w:rPr>
          <w:spacing w:val="-1"/>
        </w:rPr>
        <w:t xml:space="preserve"> Commission </w:t>
      </w:r>
      <w:r w:rsidRPr="006909CD">
        <w:rPr>
          <w:spacing w:val="-1"/>
        </w:rPr>
        <w:t>has now concluded</w:t>
      </w:r>
      <w:r>
        <w:rPr>
          <w:spacing w:val="-1"/>
        </w:rPr>
        <w:t xml:space="preserve"> that </w:t>
      </w:r>
      <w:r w:rsidRPr="006909CD">
        <w:rPr>
          <w:spacing w:val="-1"/>
        </w:rPr>
        <w:t>adopting</w:t>
      </w:r>
      <w:r>
        <w:rPr>
          <w:spacing w:val="-1"/>
        </w:rPr>
        <w:t xml:space="preserve"> </w:t>
      </w:r>
      <w:r w:rsidRPr="006909CD">
        <w:rPr>
          <w:spacing w:val="-1"/>
        </w:rPr>
        <w:t>the firm</w:t>
      </w:r>
      <w:r>
        <w:rPr>
          <w:spacing w:val="-1"/>
        </w:rPr>
        <w:t xml:space="preserve"> </w:t>
      </w:r>
      <w:r w:rsidRPr="006909CD">
        <w:rPr>
          <w:spacing w:val="-1"/>
        </w:rPr>
        <w:t>specific</w:t>
      </w:r>
      <w:r>
        <w:rPr>
          <w:spacing w:val="-1"/>
        </w:rPr>
        <w:t xml:space="preserve"> approach</w:t>
      </w:r>
      <w:r w:rsidRPr="006909CD">
        <w:rPr>
          <w:spacing w:val="-1"/>
        </w:rPr>
        <w:t xml:space="preserve"> to</w:t>
      </w:r>
      <w:r>
        <w:rPr>
          <w:spacing w:val="-1"/>
        </w:rPr>
        <w:t xml:space="preserve"> measuring </w:t>
      </w:r>
      <w:r w:rsidRPr="006909CD">
        <w:rPr>
          <w:spacing w:val="-1"/>
        </w:rPr>
        <w:t>the cost</w:t>
      </w:r>
      <w:r>
        <w:rPr>
          <w:spacing w:val="-1"/>
        </w:rPr>
        <w:t xml:space="preserve"> </w:t>
      </w:r>
      <w:r w:rsidRPr="006909CD">
        <w:rPr>
          <w:spacing w:val="-1"/>
        </w:rPr>
        <w:t>of capital</w:t>
      </w:r>
      <w:r>
        <w:rPr>
          <w:spacing w:val="-1"/>
        </w:rPr>
        <w:t xml:space="preserve"> </w:t>
      </w:r>
      <w:r w:rsidRPr="006909CD">
        <w:rPr>
          <w:spacing w:val="-1"/>
        </w:rPr>
        <w:t>needs to</w:t>
      </w:r>
      <w:r>
        <w:rPr>
          <w:spacing w:val="-1"/>
        </w:rPr>
        <w:t xml:space="preserve"> </w:t>
      </w:r>
      <w:r w:rsidRPr="006909CD">
        <w:rPr>
          <w:spacing w:val="-1"/>
        </w:rPr>
        <w:t>be coupled</w:t>
      </w:r>
      <w:r>
        <w:rPr>
          <w:spacing w:val="-1"/>
        </w:rPr>
        <w:t xml:space="preserve"> </w:t>
      </w:r>
      <w:r w:rsidRPr="006909CD">
        <w:rPr>
          <w:spacing w:val="-1"/>
        </w:rPr>
        <w:t xml:space="preserve">with applying </w:t>
      </w:r>
      <w:r>
        <w:rPr>
          <w:spacing w:val="-1"/>
        </w:rPr>
        <w:t>that</w:t>
      </w:r>
      <w:r w:rsidRPr="006909CD">
        <w:rPr>
          <w:spacing w:val="-1"/>
        </w:rPr>
        <w:t xml:space="preserve"> rate</w:t>
      </w:r>
      <w:r>
        <w:rPr>
          <w:spacing w:val="-1"/>
        </w:rPr>
        <w:t xml:space="preserve"> </w:t>
      </w:r>
      <w:r>
        <w:t>of</w:t>
      </w:r>
      <w:r>
        <w:rPr>
          <w:spacing w:val="4"/>
        </w:rPr>
        <w:t xml:space="preserve"> </w:t>
      </w:r>
      <w:r>
        <w:rPr>
          <w:spacing w:val="-1"/>
        </w:rPr>
        <w:t>return,</w:t>
      </w:r>
      <w:r>
        <w:rPr>
          <w:spacing w:val="-6"/>
        </w:rPr>
        <w:t xml:space="preserve"> </w:t>
      </w:r>
      <w:r>
        <w:rPr>
          <w:spacing w:val="-1"/>
        </w:rPr>
        <w:t>uncorrected</w:t>
      </w:r>
      <w:r>
        <w:t xml:space="preserve"> for</w:t>
      </w:r>
      <w:r>
        <w:rPr>
          <w:spacing w:val="-1"/>
        </w:rPr>
        <w:t xml:space="preserve"> inflation,</w:t>
      </w:r>
      <w:r>
        <w:rPr>
          <w:spacing w:val="-6"/>
        </w:rPr>
        <w:t xml:space="preserve"> </w:t>
      </w:r>
      <w:r>
        <w:t xml:space="preserve">to a RAB </w:t>
      </w:r>
      <w:r>
        <w:rPr>
          <w:spacing w:val="-1"/>
        </w:rPr>
        <w:t xml:space="preserve">that </w:t>
      </w:r>
      <w:r>
        <w:t xml:space="preserve">has not been </w:t>
      </w:r>
      <w:r>
        <w:rPr>
          <w:spacing w:val="-1"/>
        </w:rPr>
        <w:t>indexed</w:t>
      </w:r>
      <w:r>
        <w:rPr>
          <w:spacing w:val="57"/>
        </w:rPr>
        <w:t xml:space="preserve"> </w:t>
      </w:r>
      <w:r>
        <w:t>for</w:t>
      </w:r>
      <w:r>
        <w:rPr>
          <w:spacing w:val="-4"/>
        </w:rPr>
        <w:t xml:space="preserve"> </w:t>
      </w:r>
      <w:r>
        <w:t>infl</w:t>
      </w:r>
      <w:r>
        <w:rPr>
          <w:spacing w:val="-2"/>
        </w:rPr>
        <w:t>a</w:t>
      </w:r>
      <w:r>
        <w:t>tion</w:t>
      </w:r>
      <w:r>
        <w:rPr>
          <w:spacing w:val="-24"/>
        </w:rPr>
        <w:t>”</w:t>
      </w:r>
      <w:r>
        <w:t>.</w:t>
      </w:r>
    </w:p>
    <w:p w:rsidR="00D96B91" w:rsidRDefault="00C2656B">
      <w:pPr>
        <w:pStyle w:val="BodyText"/>
        <w:spacing w:before="170" w:line="260" w:lineRule="exact"/>
        <w:ind w:right="1376"/>
      </w:pPr>
      <w:r>
        <w:rPr>
          <w:rFonts w:cs="Avenir Next"/>
          <w:spacing w:val="-2"/>
        </w:rPr>
        <w:t>The</w:t>
      </w:r>
      <w:r>
        <w:rPr>
          <w:rFonts w:cs="Avenir Next"/>
        </w:rPr>
        <w:t xml:space="preserve"> </w:t>
      </w:r>
      <w:r>
        <w:rPr>
          <w:rFonts w:cs="Avenir Next"/>
          <w:spacing w:val="-1"/>
        </w:rPr>
        <w:t>statement</w:t>
      </w:r>
      <w:r>
        <w:rPr>
          <w:rFonts w:cs="Avenir Next"/>
        </w:rPr>
        <w:t xml:space="preserve"> made by the ICRC in this </w:t>
      </w:r>
      <w:r>
        <w:rPr>
          <w:rFonts w:cs="Avenir Next"/>
          <w:spacing w:val="-1"/>
        </w:rPr>
        <w:t>context</w:t>
      </w:r>
      <w:r>
        <w:rPr>
          <w:rFonts w:cs="Avenir Next"/>
        </w:rPr>
        <w:t xml:space="preserve"> </w:t>
      </w:r>
      <w:r>
        <w:rPr>
          <w:rFonts w:cs="Avenir Next"/>
          <w:spacing w:val="-1"/>
        </w:rPr>
        <w:t>raises</w:t>
      </w:r>
      <w:r>
        <w:rPr>
          <w:rFonts w:cs="Avenir Next"/>
        </w:rPr>
        <w:t xml:space="preserve"> an </w:t>
      </w:r>
      <w:r>
        <w:rPr>
          <w:rFonts w:cs="Avenir Next"/>
          <w:spacing w:val="-1"/>
        </w:rPr>
        <w:t>important</w:t>
      </w:r>
      <w:r>
        <w:rPr>
          <w:rFonts w:cs="Avenir Next"/>
        </w:rPr>
        <w:t xml:space="preserve"> question about how concerns</w:t>
      </w:r>
      <w:r>
        <w:rPr>
          <w:rFonts w:cs="Avenir Next"/>
          <w:spacing w:val="47"/>
        </w:rPr>
        <w:t xml:space="preserve"> </w:t>
      </w:r>
      <w:r>
        <w:t>about</w:t>
      </w:r>
      <w:r>
        <w:rPr>
          <w:spacing w:val="-5"/>
        </w:rPr>
        <w:t xml:space="preserve"> </w:t>
      </w:r>
      <w:r>
        <w:rPr>
          <w:spacing w:val="-2"/>
        </w:rPr>
        <w:t>ACTEW’s</w:t>
      </w:r>
      <w:r>
        <w:t xml:space="preserve"> financial</w:t>
      </w:r>
      <w:r>
        <w:rPr>
          <w:spacing w:val="-1"/>
        </w:rPr>
        <w:t xml:space="preserve"> </w:t>
      </w:r>
      <w:r>
        <w:t>viability should</w:t>
      </w:r>
      <w:r>
        <w:rPr>
          <w:spacing w:val="-1"/>
        </w:rPr>
        <w:t xml:space="preserve"> </w:t>
      </w:r>
      <w:r>
        <w:t xml:space="preserve">be </w:t>
      </w:r>
      <w:r>
        <w:rPr>
          <w:spacing w:val="-1"/>
        </w:rPr>
        <w:t xml:space="preserve">dealt </w:t>
      </w:r>
      <w:r>
        <w:t>with.</w:t>
      </w:r>
      <w:r>
        <w:rPr>
          <w:spacing w:val="-10"/>
        </w:rPr>
        <w:t xml:space="preserve"> </w:t>
      </w:r>
      <w:r>
        <w:t>As</w:t>
      </w:r>
      <w:r>
        <w:rPr>
          <w:spacing w:val="-1"/>
        </w:rPr>
        <w:t xml:space="preserve"> </w:t>
      </w:r>
      <w:r>
        <w:t>noted in</w:t>
      </w:r>
      <w:r>
        <w:rPr>
          <w:spacing w:val="-1"/>
        </w:rPr>
        <w:t xml:space="preserve"> </w:t>
      </w:r>
      <w:r>
        <w:t>Chapter 7</w:t>
      </w:r>
      <w:r>
        <w:rPr>
          <w:spacing w:val="-1"/>
        </w:rPr>
        <w:t xml:space="preserve"> </w:t>
      </w:r>
      <w:r>
        <w:t xml:space="preserve">the </w:t>
      </w:r>
      <w:r>
        <w:rPr>
          <w:spacing w:val="-4"/>
        </w:rPr>
        <w:t>Panel’s</w:t>
      </w:r>
      <w:r>
        <w:rPr>
          <w:spacing w:val="-1"/>
        </w:rPr>
        <w:t xml:space="preserve"> preference</w:t>
      </w:r>
      <w:r>
        <w:t xml:space="preserve"> is</w:t>
      </w:r>
      <w:r>
        <w:rPr>
          <w:spacing w:val="23"/>
        </w:rPr>
        <w:t xml:space="preserve"> </w:t>
      </w:r>
      <w:r>
        <w:t>to</w:t>
      </w:r>
      <w:r>
        <w:rPr>
          <w:spacing w:val="-1"/>
        </w:rPr>
        <w:t xml:space="preserve"> deal </w:t>
      </w:r>
      <w:r>
        <w:t>with any</w:t>
      </w:r>
      <w:r>
        <w:rPr>
          <w:spacing w:val="-1"/>
        </w:rPr>
        <w:t xml:space="preserve"> </w:t>
      </w:r>
      <w:r>
        <w:t>financial viability</w:t>
      </w:r>
      <w:r>
        <w:rPr>
          <w:spacing w:val="-1"/>
        </w:rPr>
        <w:t xml:space="preserve"> </w:t>
      </w:r>
      <w:r>
        <w:t>issues</w:t>
      </w:r>
      <w:r>
        <w:rPr>
          <w:spacing w:val="-1"/>
        </w:rPr>
        <w:t xml:space="preserve"> </w:t>
      </w:r>
      <w:r>
        <w:t>by making</w:t>
      </w:r>
      <w:r>
        <w:rPr>
          <w:spacing w:val="-1"/>
        </w:rPr>
        <w:t xml:space="preserve"> transparent</w:t>
      </w:r>
      <w:r>
        <w:t xml:space="preserve"> </w:t>
      </w:r>
      <w:r>
        <w:rPr>
          <w:spacing w:val="-1"/>
        </w:rPr>
        <w:t xml:space="preserve">NPV-neutral </w:t>
      </w:r>
      <w:r>
        <w:t>adjustments to</w:t>
      </w:r>
      <w:r>
        <w:rPr>
          <w:spacing w:val="-5"/>
        </w:rPr>
        <w:t xml:space="preserve"> </w:t>
      </w:r>
      <w:r>
        <w:rPr>
          <w:spacing w:val="-2"/>
        </w:rPr>
        <w:t>ACTEW’s</w:t>
      </w:r>
      <w:r>
        <w:rPr>
          <w:spacing w:val="21"/>
        </w:rPr>
        <w:t xml:space="preserve"> </w:t>
      </w:r>
      <w:r>
        <w:rPr>
          <w:spacing w:val="-1"/>
        </w:rPr>
        <w:t>revenue requirement</w:t>
      </w:r>
      <w:r>
        <w:t xml:space="preserve"> once</w:t>
      </w:r>
      <w:r>
        <w:rPr>
          <w:spacing w:val="-1"/>
        </w:rPr>
        <w:t xml:space="preserve"> </w:t>
      </w:r>
      <w:r>
        <w:t xml:space="preserve">the </w:t>
      </w:r>
      <w:r>
        <w:rPr>
          <w:spacing w:val="-1"/>
        </w:rPr>
        <w:t>efficient</w:t>
      </w:r>
      <w:r>
        <w:t xml:space="preserve"> cost</w:t>
      </w:r>
      <w:r>
        <w:rPr>
          <w:spacing w:val="-1"/>
        </w:rPr>
        <w:t xml:space="preserve"> </w:t>
      </w:r>
      <w:r>
        <w:t>of</w:t>
      </w:r>
      <w:r>
        <w:rPr>
          <w:spacing w:val="4"/>
        </w:rPr>
        <w:t xml:space="preserve"> </w:t>
      </w:r>
      <w:r>
        <w:t>service</w:t>
      </w:r>
      <w:r>
        <w:rPr>
          <w:spacing w:val="-1"/>
        </w:rPr>
        <w:t xml:space="preserve"> provision</w:t>
      </w:r>
      <w:r>
        <w:t xml:space="preserve"> is established,</w:t>
      </w:r>
      <w:r>
        <w:rPr>
          <w:spacing w:val="-8"/>
        </w:rPr>
        <w:t xml:space="preserve"> </w:t>
      </w:r>
      <w:r>
        <w:rPr>
          <w:spacing w:val="-1"/>
        </w:rPr>
        <w:t>rather</w:t>
      </w:r>
      <w:r>
        <w:t xml:space="preserve"> than</w:t>
      </w:r>
      <w:r>
        <w:rPr>
          <w:spacing w:val="-1"/>
        </w:rPr>
        <w:t xml:space="preserve"> </w:t>
      </w:r>
      <w:r>
        <w:t xml:space="preserve">to </w:t>
      </w:r>
      <w:r>
        <w:rPr>
          <w:spacing w:val="-1"/>
        </w:rPr>
        <w:t>make</w:t>
      </w:r>
      <w:r>
        <w:rPr>
          <w:spacing w:val="35"/>
        </w:rPr>
        <w:t xml:space="preserve"> </w:t>
      </w:r>
      <w:r>
        <w:t xml:space="preserve">permanent </w:t>
      </w:r>
      <w:r>
        <w:rPr>
          <w:spacing w:val="-1"/>
        </w:rPr>
        <w:t>revisions</w:t>
      </w:r>
      <w:r>
        <w:t xml:space="preserve"> to the value of</w:t>
      </w:r>
      <w:r>
        <w:rPr>
          <w:spacing w:val="4"/>
        </w:rPr>
        <w:t xml:space="preserve"> </w:t>
      </w:r>
      <w:r>
        <w:t xml:space="preserve">the building </w:t>
      </w:r>
      <w:r>
        <w:rPr>
          <w:spacing w:val="-1"/>
        </w:rPr>
        <w:t>blocks.</w:t>
      </w:r>
    </w:p>
    <w:p w:rsidR="00D96B91" w:rsidRDefault="00C2656B">
      <w:pPr>
        <w:pStyle w:val="BodyText"/>
        <w:spacing w:before="170" w:line="260" w:lineRule="exact"/>
        <w:ind w:right="1682"/>
      </w:pPr>
      <w:r>
        <w:rPr>
          <w:rFonts w:cs="Avenir Next"/>
          <w:spacing w:val="-4"/>
        </w:rPr>
        <w:t>Setting</w:t>
      </w:r>
      <w:r>
        <w:rPr>
          <w:rFonts w:cs="Avenir Next"/>
          <w:spacing w:val="-8"/>
        </w:rPr>
        <w:t xml:space="preserve"> </w:t>
      </w:r>
      <w:r>
        <w:rPr>
          <w:rFonts w:cs="Avenir Next"/>
          <w:spacing w:val="-3"/>
        </w:rPr>
        <w:t>this</w:t>
      </w:r>
      <w:r>
        <w:rPr>
          <w:rFonts w:cs="Avenir Next"/>
          <w:spacing w:val="-8"/>
        </w:rPr>
        <w:t xml:space="preserve"> </w:t>
      </w:r>
      <w:r>
        <w:rPr>
          <w:rFonts w:cs="Avenir Next"/>
          <w:spacing w:val="-4"/>
        </w:rPr>
        <w:t>issue</w:t>
      </w:r>
      <w:r>
        <w:rPr>
          <w:rFonts w:cs="Avenir Next"/>
          <w:spacing w:val="-8"/>
        </w:rPr>
        <w:t xml:space="preserve"> </w:t>
      </w:r>
      <w:r>
        <w:rPr>
          <w:rFonts w:cs="Avenir Next"/>
          <w:spacing w:val="-4"/>
        </w:rPr>
        <w:t>aside,</w:t>
      </w:r>
      <w:r>
        <w:rPr>
          <w:rFonts w:cs="Avenir Next"/>
          <w:spacing w:val="-14"/>
        </w:rPr>
        <w:t xml:space="preserve"> </w:t>
      </w:r>
      <w:r>
        <w:rPr>
          <w:rFonts w:cs="Avenir Next"/>
          <w:spacing w:val="-3"/>
        </w:rPr>
        <w:t>for</w:t>
      </w:r>
      <w:r>
        <w:rPr>
          <w:rFonts w:cs="Avenir Next"/>
          <w:spacing w:val="-8"/>
        </w:rPr>
        <w:t xml:space="preserve"> </w:t>
      </w:r>
      <w:r>
        <w:rPr>
          <w:rFonts w:cs="Avenir Next"/>
          <w:spacing w:val="-3"/>
        </w:rPr>
        <w:t>the</w:t>
      </w:r>
      <w:r>
        <w:rPr>
          <w:rFonts w:cs="Avenir Next"/>
          <w:spacing w:val="-8"/>
        </w:rPr>
        <w:t xml:space="preserve"> </w:t>
      </w:r>
      <w:r>
        <w:rPr>
          <w:rFonts w:cs="Avenir Next"/>
          <w:spacing w:val="-5"/>
        </w:rPr>
        <w:t>reasons</w:t>
      </w:r>
      <w:r>
        <w:rPr>
          <w:rFonts w:cs="Avenir Next"/>
          <w:spacing w:val="-8"/>
        </w:rPr>
        <w:t xml:space="preserve"> </w:t>
      </w:r>
      <w:r>
        <w:rPr>
          <w:rFonts w:cs="Avenir Next"/>
          <w:spacing w:val="-3"/>
        </w:rPr>
        <w:t>set</w:t>
      </w:r>
      <w:r>
        <w:rPr>
          <w:rFonts w:cs="Avenir Next"/>
          <w:spacing w:val="-8"/>
        </w:rPr>
        <w:t xml:space="preserve"> </w:t>
      </w:r>
      <w:r>
        <w:rPr>
          <w:rFonts w:cs="Avenir Next"/>
          <w:spacing w:val="-3"/>
        </w:rPr>
        <w:t>out</w:t>
      </w:r>
      <w:r>
        <w:rPr>
          <w:rFonts w:cs="Avenir Next"/>
          <w:spacing w:val="-8"/>
        </w:rPr>
        <w:t xml:space="preserve"> </w:t>
      </w:r>
      <w:r>
        <w:rPr>
          <w:rFonts w:cs="Avenir Next"/>
          <w:spacing w:val="-2"/>
        </w:rPr>
        <w:t>in</w:t>
      </w:r>
      <w:r>
        <w:rPr>
          <w:rFonts w:cs="Avenir Next"/>
          <w:spacing w:val="-8"/>
        </w:rPr>
        <w:t xml:space="preserve"> </w:t>
      </w:r>
      <w:r>
        <w:rPr>
          <w:rFonts w:cs="Avenir Next"/>
          <w:spacing w:val="-4"/>
        </w:rPr>
        <w:t>Chapter</w:t>
      </w:r>
      <w:r>
        <w:rPr>
          <w:rFonts w:cs="Avenir Next"/>
          <w:spacing w:val="-8"/>
        </w:rPr>
        <w:t xml:space="preserve"> </w:t>
      </w:r>
      <w:r>
        <w:rPr>
          <w:spacing w:val="-3"/>
        </w:rPr>
        <w:t>10</w:t>
      </w:r>
      <w:r>
        <w:rPr>
          <w:rFonts w:cs="Avenir Next"/>
          <w:spacing w:val="-3"/>
        </w:rPr>
        <w:t>,</w:t>
      </w:r>
      <w:r>
        <w:rPr>
          <w:rFonts w:cs="Avenir Next"/>
          <w:spacing w:val="-14"/>
        </w:rPr>
        <w:t xml:space="preserve"> </w:t>
      </w:r>
      <w:r>
        <w:rPr>
          <w:rFonts w:cs="Avenir Next"/>
          <w:spacing w:val="-3"/>
        </w:rPr>
        <w:t>the</w:t>
      </w:r>
      <w:r>
        <w:rPr>
          <w:rFonts w:cs="Avenir Next"/>
          <w:spacing w:val="-8"/>
        </w:rPr>
        <w:t xml:space="preserve"> </w:t>
      </w:r>
      <w:r>
        <w:rPr>
          <w:rFonts w:cs="Avenir Next"/>
          <w:spacing w:val="-7"/>
        </w:rPr>
        <w:t>Panel’s</w:t>
      </w:r>
      <w:r>
        <w:rPr>
          <w:rFonts w:cs="Avenir Next"/>
          <w:spacing w:val="-8"/>
        </w:rPr>
        <w:t xml:space="preserve"> </w:t>
      </w:r>
      <w:r>
        <w:rPr>
          <w:rFonts w:cs="Avenir Next"/>
          <w:spacing w:val="-5"/>
        </w:rPr>
        <w:t>draft</w:t>
      </w:r>
      <w:r>
        <w:rPr>
          <w:rFonts w:cs="Avenir Next"/>
          <w:spacing w:val="-8"/>
        </w:rPr>
        <w:t xml:space="preserve"> </w:t>
      </w:r>
      <w:r>
        <w:rPr>
          <w:rFonts w:cs="Avenir Next"/>
          <w:spacing w:val="-4"/>
        </w:rPr>
        <w:t>decision</w:t>
      </w:r>
      <w:r>
        <w:rPr>
          <w:rFonts w:cs="Avenir Next"/>
          <w:spacing w:val="-8"/>
        </w:rPr>
        <w:t xml:space="preserve"> </w:t>
      </w:r>
      <w:r>
        <w:rPr>
          <w:rFonts w:cs="Avenir Next"/>
          <w:spacing w:val="-2"/>
        </w:rPr>
        <w:t>is</w:t>
      </w:r>
      <w:r>
        <w:rPr>
          <w:rFonts w:cs="Avenir Next"/>
          <w:spacing w:val="-8"/>
        </w:rPr>
        <w:t xml:space="preserve"> </w:t>
      </w:r>
      <w:r>
        <w:rPr>
          <w:rFonts w:cs="Avenir Next"/>
          <w:spacing w:val="-3"/>
        </w:rPr>
        <w:t>not</w:t>
      </w:r>
      <w:r>
        <w:rPr>
          <w:rFonts w:cs="Avenir Next"/>
          <w:spacing w:val="-8"/>
        </w:rPr>
        <w:t xml:space="preserve"> </w:t>
      </w:r>
      <w:r>
        <w:rPr>
          <w:rFonts w:cs="Avenir Next"/>
          <w:spacing w:val="-2"/>
        </w:rPr>
        <w:t>to</w:t>
      </w:r>
      <w:r>
        <w:rPr>
          <w:rFonts w:cs="Avenir Next"/>
          <w:spacing w:val="-8"/>
        </w:rPr>
        <w:t xml:space="preserve"> </w:t>
      </w:r>
      <w:r>
        <w:rPr>
          <w:rFonts w:cs="Avenir Next"/>
          <w:spacing w:val="-4"/>
        </w:rPr>
        <w:t>adopt</w:t>
      </w:r>
      <w:r>
        <w:rPr>
          <w:rFonts w:cs="Avenir Next"/>
          <w:spacing w:val="-8"/>
        </w:rPr>
        <w:t xml:space="preserve"> </w:t>
      </w:r>
      <w:r>
        <w:rPr>
          <w:rFonts w:cs="Avenir Next"/>
        </w:rPr>
        <w:t>a</w:t>
      </w:r>
      <w:r>
        <w:rPr>
          <w:rFonts w:cs="Avenir Next"/>
          <w:spacing w:val="81"/>
        </w:rPr>
        <w:t xml:space="preserve"> </w:t>
      </w:r>
      <w:r>
        <w:rPr>
          <w:spacing w:val="-5"/>
        </w:rPr>
        <w:t>fi</w:t>
      </w:r>
      <w:r>
        <w:rPr>
          <w:spacing w:val="-4"/>
        </w:rPr>
        <w:t>rm-speci</w:t>
      </w:r>
      <w:r>
        <w:rPr>
          <w:spacing w:val="-5"/>
        </w:rPr>
        <w:t>fi</w:t>
      </w:r>
      <w:r w:rsidR="006909CD">
        <w:rPr>
          <w:spacing w:val="-5"/>
        </w:rPr>
        <w:t>c</w:t>
      </w:r>
      <w:r>
        <w:t xml:space="preserve"> </w:t>
      </w:r>
      <w:r>
        <w:rPr>
          <w:spacing w:val="-6"/>
        </w:rPr>
        <w:t>WACC.</w:t>
      </w:r>
      <w:r>
        <w:rPr>
          <w:spacing w:val="-19"/>
        </w:rPr>
        <w:t xml:space="preserve"> </w:t>
      </w:r>
      <w:r>
        <w:rPr>
          <w:spacing w:val="-5"/>
        </w:rPr>
        <w:t>Therefore,</w:t>
      </w:r>
      <w:r>
        <w:rPr>
          <w:spacing w:val="-14"/>
        </w:rPr>
        <w:t xml:space="preserve"> </w:t>
      </w:r>
      <w:r>
        <w:rPr>
          <w:spacing w:val="-3"/>
        </w:rPr>
        <w:t>the</w:t>
      </w:r>
      <w:r>
        <w:rPr>
          <w:spacing w:val="-8"/>
        </w:rPr>
        <w:t xml:space="preserve"> </w:t>
      </w:r>
      <w:r>
        <w:rPr>
          <w:spacing w:val="-5"/>
        </w:rPr>
        <w:t>ICRC’s</w:t>
      </w:r>
      <w:r>
        <w:rPr>
          <w:spacing w:val="-8"/>
        </w:rPr>
        <w:t xml:space="preserve"> </w:t>
      </w:r>
      <w:r>
        <w:rPr>
          <w:spacing w:val="-5"/>
        </w:rPr>
        <w:t>rationale</w:t>
      </w:r>
      <w:r>
        <w:rPr>
          <w:spacing w:val="-7"/>
        </w:rPr>
        <w:t xml:space="preserve"> </w:t>
      </w:r>
      <w:r>
        <w:rPr>
          <w:spacing w:val="-3"/>
        </w:rPr>
        <w:t>for</w:t>
      </w:r>
      <w:r>
        <w:rPr>
          <w:spacing w:val="-8"/>
        </w:rPr>
        <w:t xml:space="preserve"> </w:t>
      </w:r>
      <w:r>
        <w:rPr>
          <w:spacing w:val="-4"/>
        </w:rPr>
        <w:t>moving</w:t>
      </w:r>
      <w:r>
        <w:rPr>
          <w:spacing w:val="-8"/>
        </w:rPr>
        <w:t xml:space="preserve"> </w:t>
      </w:r>
      <w:r>
        <w:rPr>
          <w:spacing w:val="-3"/>
        </w:rPr>
        <w:t>away</w:t>
      </w:r>
      <w:r>
        <w:rPr>
          <w:spacing w:val="-8"/>
        </w:rPr>
        <w:t xml:space="preserve"> </w:t>
      </w:r>
      <w:r>
        <w:rPr>
          <w:spacing w:val="-4"/>
        </w:rPr>
        <w:t>from</w:t>
      </w:r>
      <w:r>
        <w:rPr>
          <w:spacing w:val="-8"/>
        </w:rPr>
        <w:t xml:space="preserve"> </w:t>
      </w:r>
      <w:r>
        <w:rPr>
          <w:spacing w:val="-2"/>
        </w:rPr>
        <w:t>an</w:t>
      </w:r>
      <w:r>
        <w:rPr>
          <w:spacing w:val="-8"/>
        </w:rPr>
        <w:t xml:space="preserve"> </w:t>
      </w:r>
      <w:r>
        <w:rPr>
          <w:spacing w:val="-4"/>
        </w:rPr>
        <w:t>industry-standard</w:t>
      </w:r>
      <w:r>
        <w:rPr>
          <w:spacing w:val="-8"/>
        </w:rPr>
        <w:t xml:space="preserve"> </w:t>
      </w:r>
      <w:r>
        <w:rPr>
          <w:spacing w:val="-5"/>
        </w:rPr>
        <w:t>indexed</w:t>
      </w:r>
    </w:p>
    <w:p w:rsidR="00D96B91" w:rsidRDefault="00C2656B">
      <w:pPr>
        <w:pStyle w:val="BodyText"/>
        <w:spacing w:line="260" w:lineRule="exact"/>
        <w:ind w:right="1256"/>
      </w:pPr>
      <w:r>
        <w:rPr>
          <w:spacing w:val="-3"/>
        </w:rPr>
        <w:t>RAB</w:t>
      </w:r>
      <w:r>
        <w:rPr>
          <w:spacing w:val="-8"/>
        </w:rPr>
        <w:t xml:space="preserve"> </w:t>
      </w:r>
      <w:r>
        <w:rPr>
          <w:spacing w:val="-4"/>
        </w:rPr>
        <w:t>approach</w:t>
      </w:r>
      <w:r>
        <w:rPr>
          <w:spacing w:val="-8"/>
        </w:rPr>
        <w:t xml:space="preserve"> </w:t>
      </w:r>
      <w:r>
        <w:rPr>
          <w:spacing w:val="-3"/>
        </w:rPr>
        <w:t>does</w:t>
      </w:r>
      <w:r>
        <w:rPr>
          <w:spacing w:val="-8"/>
        </w:rPr>
        <w:t xml:space="preserve"> </w:t>
      </w:r>
      <w:r>
        <w:rPr>
          <w:spacing w:val="-3"/>
        </w:rPr>
        <w:t>not</w:t>
      </w:r>
      <w:r>
        <w:rPr>
          <w:spacing w:val="-8"/>
        </w:rPr>
        <w:t xml:space="preserve"> </w:t>
      </w:r>
      <w:r>
        <w:rPr>
          <w:spacing w:val="-4"/>
        </w:rPr>
        <w:t>apply</w:t>
      </w:r>
      <w:r>
        <w:rPr>
          <w:spacing w:val="-8"/>
        </w:rPr>
        <w:t xml:space="preserve"> </w:t>
      </w:r>
      <w:r>
        <w:rPr>
          <w:spacing w:val="-2"/>
        </w:rPr>
        <w:t>in</w:t>
      </w:r>
      <w:r>
        <w:rPr>
          <w:spacing w:val="-8"/>
        </w:rPr>
        <w:t xml:space="preserve"> </w:t>
      </w:r>
      <w:r>
        <w:rPr>
          <w:spacing w:val="-3"/>
        </w:rPr>
        <w:t>this</w:t>
      </w:r>
      <w:r>
        <w:rPr>
          <w:spacing w:val="-8"/>
        </w:rPr>
        <w:t xml:space="preserve"> </w:t>
      </w:r>
      <w:r>
        <w:rPr>
          <w:spacing w:val="-4"/>
        </w:rPr>
        <w:t>case.</w:t>
      </w:r>
      <w:r>
        <w:rPr>
          <w:spacing w:val="-17"/>
        </w:rPr>
        <w:t xml:space="preserve"> </w:t>
      </w:r>
      <w:r>
        <w:rPr>
          <w:spacing w:val="-3"/>
        </w:rPr>
        <w:t>When</w:t>
      </w:r>
      <w:r>
        <w:rPr>
          <w:spacing w:val="-8"/>
        </w:rPr>
        <w:t xml:space="preserve"> </w:t>
      </w:r>
      <w:r>
        <w:rPr>
          <w:spacing w:val="-4"/>
        </w:rPr>
        <w:t>coupled</w:t>
      </w:r>
      <w:r>
        <w:rPr>
          <w:spacing w:val="-8"/>
        </w:rPr>
        <w:t xml:space="preserve"> </w:t>
      </w:r>
      <w:r>
        <w:rPr>
          <w:spacing w:val="-3"/>
        </w:rPr>
        <w:t>with</w:t>
      </w:r>
      <w:r>
        <w:rPr>
          <w:spacing w:val="-8"/>
        </w:rPr>
        <w:t xml:space="preserve"> </w:t>
      </w:r>
      <w:r>
        <w:rPr>
          <w:spacing w:val="-3"/>
        </w:rPr>
        <w:t>the</w:t>
      </w:r>
      <w:r>
        <w:rPr>
          <w:spacing w:val="-8"/>
        </w:rPr>
        <w:t xml:space="preserve"> </w:t>
      </w:r>
      <w:r>
        <w:rPr>
          <w:spacing w:val="-3"/>
        </w:rPr>
        <w:t>fact</w:t>
      </w:r>
      <w:r>
        <w:rPr>
          <w:spacing w:val="-8"/>
        </w:rPr>
        <w:t xml:space="preserve"> </w:t>
      </w:r>
      <w:r>
        <w:rPr>
          <w:spacing w:val="-4"/>
        </w:rPr>
        <w:t>that</w:t>
      </w:r>
      <w:r>
        <w:rPr>
          <w:spacing w:val="-8"/>
        </w:rPr>
        <w:t xml:space="preserve"> </w:t>
      </w:r>
      <w:r>
        <w:rPr>
          <w:spacing w:val="-2"/>
        </w:rPr>
        <w:t>an</w:t>
      </w:r>
      <w:r>
        <w:rPr>
          <w:spacing w:val="-8"/>
        </w:rPr>
        <w:t xml:space="preserve"> </w:t>
      </w:r>
      <w:r>
        <w:rPr>
          <w:spacing w:val="-4"/>
        </w:rPr>
        <w:t>indexed</w:t>
      </w:r>
      <w:r>
        <w:rPr>
          <w:spacing w:val="-8"/>
        </w:rPr>
        <w:t xml:space="preserve"> </w:t>
      </w:r>
      <w:r>
        <w:rPr>
          <w:spacing w:val="-3"/>
        </w:rPr>
        <w:t>RAB</w:t>
      </w:r>
      <w:r>
        <w:rPr>
          <w:spacing w:val="-8"/>
        </w:rPr>
        <w:t xml:space="preserve"> </w:t>
      </w:r>
      <w:r>
        <w:rPr>
          <w:spacing w:val="-4"/>
        </w:rPr>
        <w:t>provides</w:t>
      </w:r>
      <w:r>
        <w:rPr>
          <w:spacing w:val="-8"/>
        </w:rPr>
        <w:t xml:space="preserve"> </w:t>
      </w:r>
      <w:r>
        <w:t>a</w:t>
      </w:r>
      <w:r>
        <w:rPr>
          <w:spacing w:val="-8"/>
        </w:rPr>
        <w:t xml:space="preserve"> </w:t>
      </w:r>
      <w:r>
        <w:rPr>
          <w:spacing w:val="-4"/>
        </w:rPr>
        <w:t>more</w:t>
      </w:r>
      <w:r>
        <w:rPr>
          <w:spacing w:val="38"/>
        </w:rPr>
        <w:t xml:space="preserve"> </w:t>
      </w:r>
      <w:r>
        <w:rPr>
          <w:spacing w:val="-4"/>
        </w:rPr>
        <w:t>constant</w:t>
      </w:r>
      <w:r>
        <w:rPr>
          <w:spacing w:val="-8"/>
        </w:rPr>
        <w:t xml:space="preserve"> </w:t>
      </w:r>
      <w:r>
        <w:rPr>
          <w:spacing w:val="-4"/>
        </w:rPr>
        <w:t>revenue</w:t>
      </w:r>
      <w:r>
        <w:rPr>
          <w:spacing w:val="-8"/>
        </w:rPr>
        <w:t xml:space="preserve"> </w:t>
      </w:r>
      <w:r>
        <w:rPr>
          <w:spacing w:val="-5"/>
        </w:rPr>
        <w:t>requirement</w:t>
      </w:r>
      <w:r>
        <w:rPr>
          <w:spacing w:val="-8"/>
        </w:rPr>
        <w:t xml:space="preserve"> </w:t>
      </w:r>
      <w:r>
        <w:rPr>
          <w:spacing w:val="-3"/>
        </w:rPr>
        <w:t>over</w:t>
      </w:r>
      <w:r>
        <w:rPr>
          <w:spacing w:val="-8"/>
        </w:rPr>
        <w:t xml:space="preserve"> </w:t>
      </w:r>
      <w:r>
        <w:rPr>
          <w:spacing w:val="-3"/>
        </w:rPr>
        <w:t>time</w:t>
      </w:r>
      <w:r>
        <w:rPr>
          <w:spacing w:val="-8"/>
        </w:rPr>
        <w:t xml:space="preserve"> </w:t>
      </w:r>
      <w:r>
        <w:rPr>
          <w:spacing w:val="-3"/>
        </w:rPr>
        <w:t>and</w:t>
      </w:r>
      <w:r>
        <w:rPr>
          <w:spacing w:val="-8"/>
        </w:rPr>
        <w:t xml:space="preserve"> </w:t>
      </w:r>
      <w:r>
        <w:rPr>
          <w:spacing w:val="-2"/>
        </w:rPr>
        <w:t>is</w:t>
      </w:r>
      <w:r>
        <w:rPr>
          <w:spacing w:val="-8"/>
        </w:rPr>
        <w:t xml:space="preserve"> </w:t>
      </w:r>
      <w:r>
        <w:rPr>
          <w:spacing w:val="-4"/>
        </w:rPr>
        <w:t>more</w:t>
      </w:r>
      <w:r>
        <w:rPr>
          <w:spacing w:val="-8"/>
        </w:rPr>
        <w:t xml:space="preserve"> </w:t>
      </w:r>
      <w:r>
        <w:rPr>
          <w:spacing w:val="-4"/>
        </w:rPr>
        <w:t>consistent</w:t>
      </w:r>
      <w:r>
        <w:rPr>
          <w:spacing w:val="-8"/>
        </w:rPr>
        <w:t xml:space="preserve"> </w:t>
      </w:r>
      <w:r>
        <w:rPr>
          <w:spacing w:val="-3"/>
        </w:rPr>
        <w:t>with</w:t>
      </w:r>
      <w:r>
        <w:rPr>
          <w:spacing w:val="-8"/>
        </w:rPr>
        <w:t xml:space="preserve"> </w:t>
      </w:r>
      <w:r>
        <w:rPr>
          <w:spacing w:val="-3"/>
        </w:rPr>
        <w:t>the</w:t>
      </w:r>
      <w:r>
        <w:rPr>
          <w:spacing w:val="-8"/>
        </w:rPr>
        <w:t xml:space="preserve"> </w:t>
      </w:r>
      <w:r>
        <w:rPr>
          <w:spacing w:val="-5"/>
        </w:rPr>
        <w:t>intergenerational</w:t>
      </w:r>
      <w:r>
        <w:rPr>
          <w:spacing w:val="-8"/>
        </w:rPr>
        <w:t xml:space="preserve"> </w:t>
      </w:r>
      <w:r>
        <w:rPr>
          <w:spacing w:val="-4"/>
        </w:rPr>
        <w:t>equity</w:t>
      </w:r>
      <w:r>
        <w:rPr>
          <w:spacing w:val="-8"/>
        </w:rPr>
        <w:t xml:space="preserve"> </w:t>
      </w:r>
      <w:r>
        <w:rPr>
          <w:spacing w:val="-4"/>
        </w:rPr>
        <w:t>principle</w:t>
      </w:r>
      <w:r>
        <w:rPr>
          <w:spacing w:val="65"/>
        </w:rPr>
        <w:t xml:space="preserve"> </w:t>
      </w:r>
      <w:r>
        <w:rPr>
          <w:spacing w:val="-3"/>
        </w:rPr>
        <w:t>set</w:t>
      </w:r>
      <w:r>
        <w:rPr>
          <w:spacing w:val="-9"/>
        </w:rPr>
        <w:t xml:space="preserve"> </w:t>
      </w:r>
      <w:r>
        <w:rPr>
          <w:spacing w:val="-3"/>
        </w:rPr>
        <w:t>out</w:t>
      </w:r>
      <w:r>
        <w:rPr>
          <w:spacing w:val="-8"/>
        </w:rPr>
        <w:t xml:space="preserve"> </w:t>
      </w:r>
      <w:r>
        <w:rPr>
          <w:spacing w:val="-2"/>
        </w:rPr>
        <w:t>in</w:t>
      </w:r>
      <w:r>
        <w:rPr>
          <w:spacing w:val="-8"/>
        </w:rPr>
        <w:t xml:space="preserve"> </w:t>
      </w:r>
      <w:hyperlink w:anchor="_bookmark46" w:history="1">
        <w:r>
          <w:rPr>
            <w:spacing w:val="-4"/>
          </w:rPr>
          <w:t>Box</w:t>
        </w:r>
      </w:hyperlink>
      <w:r>
        <w:rPr>
          <w:spacing w:val="-8"/>
        </w:rPr>
        <w:t xml:space="preserve"> </w:t>
      </w:r>
      <w:r>
        <w:t>,</w:t>
      </w:r>
      <w:r>
        <w:rPr>
          <w:spacing w:val="-14"/>
        </w:rPr>
        <w:t xml:space="preserve"> </w:t>
      </w:r>
      <w:r>
        <w:rPr>
          <w:spacing w:val="-3"/>
        </w:rPr>
        <w:t>the</w:t>
      </w:r>
      <w:r>
        <w:rPr>
          <w:spacing w:val="-8"/>
        </w:rPr>
        <w:t xml:space="preserve"> </w:t>
      </w:r>
      <w:r>
        <w:rPr>
          <w:spacing w:val="-6"/>
        </w:rPr>
        <w:t>Panel</w:t>
      </w:r>
      <w:r>
        <w:rPr>
          <w:spacing w:val="-8"/>
        </w:rPr>
        <w:t xml:space="preserve"> </w:t>
      </w:r>
      <w:r>
        <w:rPr>
          <w:spacing w:val="-4"/>
        </w:rPr>
        <w:t>decided</w:t>
      </w:r>
      <w:r>
        <w:rPr>
          <w:spacing w:val="-8"/>
        </w:rPr>
        <w:t xml:space="preserve"> </w:t>
      </w:r>
      <w:r>
        <w:rPr>
          <w:spacing w:val="-2"/>
        </w:rPr>
        <w:t>to</w:t>
      </w:r>
      <w:r>
        <w:rPr>
          <w:spacing w:val="-8"/>
        </w:rPr>
        <w:t xml:space="preserve"> </w:t>
      </w:r>
      <w:r>
        <w:rPr>
          <w:spacing w:val="-4"/>
        </w:rPr>
        <w:t>make</w:t>
      </w:r>
      <w:r>
        <w:rPr>
          <w:spacing w:val="-8"/>
        </w:rPr>
        <w:t xml:space="preserve"> </w:t>
      </w:r>
      <w:r>
        <w:rPr>
          <w:spacing w:val="-4"/>
        </w:rPr>
        <w:t>provision</w:t>
      </w:r>
      <w:r>
        <w:rPr>
          <w:spacing w:val="-8"/>
        </w:rPr>
        <w:t xml:space="preserve"> </w:t>
      </w:r>
      <w:r>
        <w:rPr>
          <w:spacing w:val="-3"/>
        </w:rPr>
        <w:t>for</w:t>
      </w:r>
      <w:r>
        <w:rPr>
          <w:spacing w:val="-8"/>
        </w:rPr>
        <w:t xml:space="preserve"> </w:t>
      </w:r>
      <w:r w:rsidR="008A79D5">
        <w:rPr>
          <w:spacing w:val="-3"/>
        </w:rPr>
        <w:t>infl</w:t>
      </w:r>
      <w:r w:rsidR="008A79D5">
        <w:rPr>
          <w:spacing w:val="48"/>
        </w:rPr>
        <w:t>a</w:t>
      </w:r>
      <w:r w:rsidR="008A79D5">
        <w:rPr>
          <w:spacing w:val="-3"/>
        </w:rPr>
        <w:t>tion</w:t>
      </w:r>
      <w:r>
        <w:rPr>
          <w:spacing w:val="-8"/>
        </w:rPr>
        <w:t xml:space="preserve"> </w:t>
      </w:r>
      <w:r>
        <w:rPr>
          <w:spacing w:val="-3"/>
        </w:rPr>
        <w:t>when</w:t>
      </w:r>
      <w:r>
        <w:rPr>
          <w:spacing w:val="-8"/>
        </w:rPr>
        <w:t xml:space="preserve"> </w:t>
      </w:r>
      <w:r>
        <w:rPr>
          <w:spacing w:val="-4"/>
        </w:rPr>
        <w:t>calculating</w:t>
      </w:r>
      <w:r>
        <w:rPr>
          <w:spacing w:val="-8"/>
        </w:rPr>
        <w:t xml:space="preserve"> </w:t>
      </w:r>
      <w:r>
        <w:rPr>
          <w:spacing w:val="-3"/>
        </w:rPr>
        <w:t>the</w:t>
      </w:r>
      <w:r>
        <w:rPr>
          <w:spacing w:val="-8"/>
        </w:rPr>
        <w:t xml:space="preserve"> </w:t>
      </w:r>
      <w:r>
        <w:rPr>
          <w:spacing w:val="-4"/>
        </w:rPr>
        <w:t>value</w:t>
      </w:r>
      <w:r>
        <w:rPr>
          <w:spacing w:val="-8"/>
        </w:rPr>
        <w:t xml:space="preserve"> </w:t>
      </w:r>
      <w:r>
        <w:rPr>
          <w:spacing w:val="-2"/>
        </w:rPr>
        <w:t>of</w:t>
      </w:r>
      <w:r>
        <w:rPr>
          <w:spacing w:val="-5"/>
        </w:rPr>
        <w:t xml:space="preserve"> </w:t>
      </w:r>
      <w:r>
        <w:rPr>
          <w:spacing w:val="-3"/>
        </w:rPr>
        <w:t>the</w:t>
      </w:r>
      <w:r>
        <w:rPr>
          <w:spacing w:val="-8"/>
        </w:rPr>
        <w:t xml:space="preserve"> </w:t>
      </w:r>
      <w:r>
        <w:rPr>
          <w:spacing w:val="-4"/>
        </w:rPr>
        <w:t>RAB.</w:t>
      </w:r>
    </w:p>
    <w:p w:rsidR="00D96B91" w:rsidRDefault="00C2656B">
      <w:pPr>
        <w:pStyle w:val="BodyText"/>
        <w:spacing w:before="170" w:line="260" w:lineRule="exact"/>
        <w:ind w:right="1283"/>
        <w:rPr>
          <w:sz w:val="11"/>
          <w:szCs w:val="11"/>
        </w:rPr>
      </w:pPr>
      <w:r>
        <w:rPr>
          <w:rFonts w:cs="Avenir Next"/>
          <w:spacing w:val="-3"/>
        </w:rPr>
        <w:t>The</w:t>
      </w:r>
      <w:r>
        <w:rPr>
          <w:rFonts w:cs="Avenir Next"/>
          <w:spacing w:val="-4"/>
        </w:rPr>
        <w:t xml:space="preserve"> </w:t>
      </w:r>
      <w:r>
        <w:rPr>
          <w:rFonts w:cs="Avenir Next"/>
          <w:spacing w:val="-3"/>
        </w:rPr>
        <w:t>provision</w:t>
      </w:r>
      <w:r>
        <w:rPr>
          <w:rFonts w:cs="Avenir Next"/>
          <w:spacing w:val="-4"/>
        </w:rPr>
        <w:t xml:space="preserve"> </w:t>
      </w:r>
      <w:r>
        <w:rPr>
          <w:rFonts w:cs="Avenir Next"/>
          <w:spacing w:val="-2"/>
        </w:rPr>
        <w:t>the</w:t>
      </w:r>
      <w:r>
        <w:rPr>
          <w:rFonts w:cs="Avenir Next"/>
          <w:spacing w:val="-4"/>
        </w:rPr>
        <w:t xml:space="preserve"> Panel </w:t>
      </w:r>
      <w:r>
        <w:rPr>
          <w:rFonts w:cs="Avenir Next"/>
          <w:spacing w:val="-2"/>
        </w:rPr>
        <w:t>has</w:t>
      </w:r>
      <w:r>
        <w:rPr>
          <w:rFonts w:cs="Avenir Next"/>
          <w:spacing w:val="-4"/>
        </w:rPr>
        <w:t xml:space="preserve"> </w:t>
      </w:r>
      <w:r>
        <w:rPr>
          <w:rFonts w:cs="Avenir Next"/>
          <w:spacing w:val="-2"/>
        </w:rPr>
        <w:t>made</w:t>
      </w:r>
      <w:r>
        <w:rPr>
          <w:rFonts w:cs="Avenir Next"/>
          <w:spacing w:val="-4"/>
        </w:rPr>
        <w:t xml:space="preserve"> </w:t>
      </w:r>
      <w:r>
        <w:rPr>
          <w:rFonts w:cs="Avenir Next"/>
          <w:spacing w:val="-2"/>
        </w:rPr>
        <w:t>for</w:t>
      </w:r>
      <w:r>
        <w:rPr>
          <w:rFonts w:cs="Avenir Next"/>
          <w:spacing w:val="-4"/>
        </w:rPr>
        <w:t xml:space="preserve"> </w:t>
      </w:r>
      <w:r>
        <w:rPr>
          <w:rFonts w:cs="Avenir Next"/>
          <w:spacing w:val="-3"/>
        </w:rPr>
        <w:t>indexation</w:t>
      </w:r>
      <w:r>
        <w:rPr>
          <w:rFonts w:cs="Avenir Next"/>
          <w:spacing w:val="-4"/>
        </w:rPr>
        <w:t xml:space="preserve"> </w:t>
      </w:r>
      <w:r>
        <w:rPr>
          <w:rFonts w:cs="Avenir Next"/>
          <w:spacing w:val="-1"/>
        </w:rPr>
        <w:t>in</w:t>
      </w:r>
      <w:r>
        <w:rPr>
          <w:rFonts w:cs="Avenir Next"/>
          <w:spacing w:val="-4"/>
        </w:rPr>
        <w:t xml:space="preserve"> </w:t>
      </w:r>
      <w:r>
        <w:rPr>
          <w:rFonts w:cs="Avenir Next"/>
          <w:spacing w:val="-2"/>
        </w:rPr>
        <w:t>this</w:t>
      </w:r>
      <w:r>
        <w:rPr>
          <w:rFonts w:cs="Avenir Next"/>
          <w:spacing w:val="-4"/>
        </w:rPr>
        <w:t xml:space="preserve"> </w:t>
      </w:r>
      <w:r>
        <w:rPr>
          <w:rFonts w:cs="Avenir Next"/>
          <w:spacing w:val="-3"/>
        </w:rPr>
        <w:t>regulatory</w:t>
      </w:r>
      <w:r>
        <w:rPr>
          <w:rFonts w:cs="Avenir Next"/>
          <w:spacing w:val="-4"/>
        </w:rPr>
        <w:t xml:space="preserve"> </w:t>
      </w:r>
      <w:r>
        <w:rPr>
          <w:rFonts w:cs="Avenir Next"/>
          <w:spacing w:val="-2"/>
        </w:rPr>
        <w:t>period</w:t>
      </w:r>
      <w:r>
        <w:rPr>
          <w:rFonts w:cs="Avenir Next"/>
          <w:spacing w:val="-4"/>
        </w:rPr>
        <w:t xml:space="preserve"> </w:t>
      </w:r>
      <w:r>
        <w:rPr>
          <w:rFonts w:cs="Avenir Next"/>
          <w:spacing w:val="-1"/>
        </w:rPr>
        <w:t>is</w:t>
      </w:r>
      <w:r>
        <w:rPr>
          <w:rFonts w:cs="Avenir Next"/>
          <w:spacing w:val="-4"/>
        </w:rPr>
        <w:t xml:space="preserve"> </w:t>
      </w:r>
      <w:r>
        <w:rPr>
          <w:rFonts w:cs="Avenir Next"/>
          <w:spacing w:val="-2"/>
        </w:rPr>
        <w:t>set</w:t>
      </w:r>
      <w:r>
        <w:rPr>
          <w:rFonts w:cs="Avenir Next"/>
          <w:spacing w:val="-4"/>
        </w:rPr>
        <w:t xml:space="preserve"> </w:t>
      </w:r>
      <w:r>
        <w:rPr>
          <w:rFonts w:cs="Avenir Next"/>
          <w:spacing w:val="-2"/>
        </w:rPr>
        <w:t>out</w:t>
      </w:r>
      <w:r>
        <w:rPr>
          <w:rFonts w:cs="Avenir Next"/>
          <w:spacing w:val="-4"/>
        </w:rPr>
        <w:t xml:space="preserve"> </w:t>
      </w:r>
      <w:r>
        <w:rPr>
          <w:rFonts w:cs="Avenir Next"/>
          <w:spacing w:val="-1"/>
        </w:rPr>
        <w:t>in</w:t>
      </w:r>
      <w:r>
        <w:rPr>
          <w:rFonts w:cs="Avenir Next"/>
          <w:spacing w:val="-9"/>
        </w:rPr>
        <w:t xml:space="preserve"> </w:t>
      </w:r>
      <w:hyperlink w:anchor="_bookmark82" w:history="1">
        <w:r>
          <w:rPr>
            <w:spacing w:val="-6"/>
          </w:rPr>
          <w:t>Table</w:t>
        </w:r>
        <w:r>
          <w:rPr>
            <w:spacing w:val="-4"/>
          </w:rPr>
          <w:t xml:space="preserve"> </w:t>
        </w:r>
        <w:r>
          <w:rPr>
            <w:spacing w:val="-2"/>
          </w:rPr>
          <w:t>9.16</w:t>
        </w:r>
      </w:hyperlink>
      <w:r>
        <w:rPr>
          <w:spacing w:val="-2"/>
        </w:rPr>
        <w:t>.</w:t>
      </w:r>
      <w:r>
        <w:rPr>
          <w:spacing w:val="-15"/>
        </w:rPr>
        <w:t xml:space="preserve"> </w:t>
      </w:r>
      <w:r>
        <w:rPr>
          <w:spacing w:val="-3"/>
        </w:rPr>
        <w:t>The</w:t>
      </w:r>
      <w:r>
        <w:rPr>
          <w:spacing w:val="88"/>
        </w:rPr>
        <w:t xml:space="preserve"> </w:t>
      </w:r>
      <w:r>
        <w:rPr>
          <w:spacing w:val="-3"/>
        </w:rPr>
        <w:t>indexation</w:t>
      </w:r>
      <w:r>
        <w:rPr>
          <w:spacing w:val="-5"/>
        </w:rPr>
        <w:t xml:space="preserve"> </w:t>
      </w:r>
      <w:r>
        <w:rPr>
          <w:spacing w:val="-2"/>
        </w:rPr>
        <w:t>values</w:t>
      </w:r>
      <w:r>
        <w:rPr>
          <w:spacing w:val="-4"/>
        </w:rPr>
        <w:t xml:space="preserve"> </w:t>
      </w:r>
      <w:r>
        <w:rPr>
          <w:spacing w:val="-1"/>
        </w:rPr>
        <w:t>in</w:t>
      </w:r>
      <w:r>
        <w:rPr>
          <w:spacing w:val="-4"/>
        </w:rPr>
        <w:t xml:space="preserve"> </w:t>
      </w:r>
      <w:r>
        <w:rPr>
          <w:spacing w:val="-2"/>
        </w:rPr>
        <w:t>this</w:t>
      </w:r>
      <w:r>
        <w:rPr>
          <w:spacing w:val="-4"/>
        </w:rPr>
        <w:t xml:space="preserve"> </w:t>
      </w:r>
      <w:r>
        <w:rPr>
          <w:spacing w:val="-2"/>
        </w:rPr>
        <w:t>table</w:t>
      </w:r>
      <w:r>
        <w:rPr>
          <w:spacing w:val="-4"/>
        </w:rPr>
        <w:t xml:space="preserve"> </w:t>
      </w:r>
      <w:r>
        <w:rPr>
          <w:spacing w:val="-2"/>
        </w:rPr>
        <w:t>have</w:t>
      </w:r>
      <w:r>
        <w:rPr>
          <w:spacing w:val="-4"/>
        </w:rPr>
        <w:t xml:space="preserve"> </w:t>
      </w:r>
      <w:r>
        <w:rPr>
          <w:spacing w:val="-2"/>
        </w:rPr>
        <w:t>been</w:t>
      </w:r>
      <w:r>
        <w:rPr>
          <w:spacing w:val="-4"/>
        </w:rPr>
        <w:t xml:space="preserve"> </w:t>
      </w:r>
      <w:r>
        <w:rPr>
          <w:spacing w:val="-2"/>
        </w:rPr>
        <w:t>calculated</w:t>
      </w:r>
      <w:r>
        <w:rPr>
          <w:spacing w:val="-4"/>
        </w:rPr>
        <w:t xml:space="preserve"> </w:t>
      </w:r>
      <w:r>
        <w:rPr>
          <w:spacing w:val="-2"/>
        </w:rPr>
        <w:t>assuming</w:t>
      </w:r>
      <w:r>
        <w:rPr>
          <w:spacing w:val="-4"/>
        </w:rPr>
        <w:t xml:space="preserve"> </w:t>
      </w:r>
      <w:r>
        <w:rPr>
          <w:spacing w:val="-1"/>
        </w:rPr>
        <w:t>an</w:t>
      </w:r>
      <w:r>
        <w:rPr>
          <w:spacing w:val="-4"/>
        </w:rPr>
        <w:t xml:space="preserve"> </w:t>
      </w:r>
      <w:r>
        <w:rPr>
          <w:spacing w:val="-2"/>
        </w:rPr>
        <w:t>infl</w:t>
      </w:r>
      <w:r w:rsidR="006909CD">
        <w:t>a</w:t>
      </w:r>
      <w:r>
        <w:rPr>
          <w:spacing w:val="-2"/>
        </w:rPr>
        <w:t>tion</w:t>
      </w:r>
      <w:r>
        <w:rPr>
          <w:spacing w:val="-4"/>
        </w:rPr>
        <w:t xml:space="preserve"> </w:t>
      </w:r>
      <w:r>
        <w:rPr>
          <w:spacing w:val="-3"/>
        </w:rPr>
        <w:t>rate</w:t>
      </w:r>
      <w:r>
        <w:rPr>
          <w:spacing w:val="-4"/>
        </w:rPr>
        <w:t xml:space="preserve"> </w:t>
      </w:r>
      <w:r>
        <w:rPr>
          <w:spacing w:val="-3"/>
        </w:rPr>
        <w:t>forecast</w:t>
      </w:r>
      <w:r>
        <w:rPr>
          <w:spacing w:val="-4"/>
        </w:rPr>
        <w:t xml:space="preserve"> </w:t>
      </w:r>
      <w:r>
        <w:rPr>
          <w:spacing w:val="-1"/>
        </w:rPr>
        <w:t>of</w:t>
      </w:r>
      <w:r>
        <w:t xml:space="preserve"> </w:t>
      </w:r>
      <w:r>
        <w:rPr>
          <w:spacing w:val="-2"/>
        </w:rPr>
        <w:t>2.5%.</w:t>
      </w:r>
      <w:r>
        <w:rPr>
          <w:spacing w:val="-16"/>
        </w:rPr>
        <w:t xml:space="preserve"> </w:t>
      </w:r>
      <w:r>
        <w:rPr>
          <w:spacing w:val="-3"/>
        </w:rPr>
        <w:t>The</w:t>
      </w:r>
      <w:r>
        <w:rPr>
          <w:spacing w:val="-4"/>
        </w:rPr>
        <w:t xml:space="preserve"> </w:t>
      </w:r>
      <w:r>
        <w:rPr>
          <w:spacing w:val="-2"/>
        </w:rPr>
        <w:t>2.5%</w:t>
      </w:r>
      <w:r>
        <w:rPr>
          <w:spacing w:val="70"/>
        </w:rPr>
        <w:t xml:space="preserve"> </w:t>
      </w:r>
      <w:r>
        <w:rPr>
          <w:spacing w:val="-2"/>
        </w:rPr>
        <w:t>infl</w:t>
      </w:r>
      <w:r w:rsidR="006909CD">
        <w:t>a</w:t>
      </w:r>
      <w:r>
        <w:rPr>
          <w:spacing w:val="-2"/>
        </w:rPr>
        <w:t>tion</w:t>
      </w:r>
      <w:r>
        <w:rPr>
          <w:spacing w:val="-3"/>
        </w:rPr>
        <w:t xml:space="preserve"> rate</w:t>
      </w:r>
      <w:r>
        <w:rPr>
          <w:spacing w:val="-4"/>
        </w:rPr>
        <w:t xml:space="preserve"> </w:t>
      </w:r>
      <w:r>
        <w:rPr>
          <w:spacing w:val="-3"/>
        </w:rPr>
        <w:t>forecast</w:t>
      </w:r>
      <w:r>
        <w:rPr>
          <w:spacing w:val="-4"/>
        </w:rPr>
        <w:t xml:space="preserve"> </w:t>
      </w:r>
      <w:r>
        <w:rPr>
          <w:spacing w:val="-1"/>
        </w:rPr>
        <w:t>is</w:t>
      </w:r>
      <w:r>
        <w:rPr>
          <w:spacing w:val="-4"/>
        </w:rPr>
        <w:t xml:space="preserve"> </w:t>
      </w:r>
      <w:r>
        <w:rPr>
          <w:spacing w:val="-2"/>
        </w:rPr>
        <w:t>based</w:t>
      </w:r>
      <w:r>
        <w:rPr>
          <w:spacing w:val="-3"/>
        </w:rPr>
        <w:t xml:space="preserve"> </w:t>
      </w:r>
      <w:r>
        <w:rPr>
          <w:spacing w:val="-1"/>
        </w:rPr>
        <w:t>on</w:t>
      </w:r>
      <w:r>
        <w:rPr>
          <w:spacing w:val="-4"/>
        </w:rPr>
        <w:t xml:space="preserve"> </w:t>
      </w:r>
      <w:r>
        <w:rPr>
          <w:spacing w:val="-2"/>
        </w:rPr>
        <w:t>the</w:t>
      </w:r>
      <w:r>
        <w:rPr>
          <w:spacing w:val="-4"/>
        </w:rPr>
        <w:t xml:space="preserve"> </w:t>
      </w:r>
      <w:r>
        <w:rPr>
          <w:spacing w:val="-2"/>
        </w:rPr>
        <w:t>mid-point</w:t>
      </w:r>
      <w:r>
        <w:rPr>
          <w:spacing w:val="-3"/>
        </w:rPr>
        <w:t xml:space="preserve"> </w:t>
      </w:r>
      <w:r>
        <w:rPr>
          <w:spacing w:val="-1"/>
        </w:rPr>
        <w:t>of</w:t>
      </w:r>
      <w:r>
        <w:t xml:space="preserve"> </w:t>
      </w:r>
      <w:r>
        <w:rPr>
          <w:spacing w:val="-2"/>
        </w:rPr>
        <w:t>the</w:t>
      </w:r>
      <w:r>
        <w:rPr>
          <w:spacing w:val="-4"/>
        </w:rPr>
        <w:t xml:space="preserve"> </w:t>
      </w:r>
      <w:r>
        <w:rPr>
          <w:spacing w:val="-6"/>
        </w:rPr>
        <w:t>RBA’s</w:t>
      </w:r>
      <w:r>
        <w:rPr>
          <w:spacing w:val="-3"/>
        </w:rPr>
        <w:t xml:space="preserve"> target</w:t>
      </w:r>
      <w:r>
        <w:rPr>
          <w:spacing w:val="-4"/>
        </w:rPr>
        <w:t xml:space="preserve"> </w:t>
      </w:r>
      <w:r>
        <w:rPr>
          <w:spacing w:val="-2"/>
        </w:rPr>
        <w:t>infl</w:t>
      </w:r>
      <w:r w:rsidR="006909CD">
        <w:t>a</w:t>
      </w:r>
      <w:r>
        <w:rPr>
          <w:spacing w:val="-2"/>
        </w:rPr>
        <w:t>tion</w:t>
      </w:r>
      <w:r>
        <w:rPr>
          <w:spacing w:val="-4"/>
        </w:rPr>
        <w:t xml:space="preserve"> </w:t>
      </w:r>
      <w:r>
        <w:rPr>
          <w:spacing w:val="-2"/>
        </w:rPr>
        <w:t>band</w:t>
      </w:r>
      <w:r>
        <w:rPr>
          <w:spacing w:val="-4"/>
        </w:rPr>
        <w:t xml:space="preserve"> </w:t>
      </w:r>
      <w:r>
        <w:rPr>
          <w:spacing w:val="-1"/>
        </w:rPr>
        <w:t>of</w:t>
      </w:r>
      <w:r>
        <w:rPr>
          <w:spacing w:val="1"/>
        </w:rPr>
        <w:t xml:space="preserve"> </w:t>
      </w:r>
      <w:r>
        <w:rPr>
          <w:spacing w:val="-1"/>
        </w:rPr>
        <w:t>2%</w:t>
      </w:r>
      <w:r>
        <w:rPr>
          <w:spacing w:val="-4"/>
        </w:rPr>
        <w:t xml:space="preserve"> </w:t>
      </w:r>
      <w:r>
        <w:rPr>
          <w:spacing w:val="-1"/>
        </w:rPr>
        <w:t>to</w:t>
      </w:r>
      <w:r>
        <w:rPr>
          <w:spacing w:val="-4"/>
        </w:rPr>
        <w:t xml:space="preserve"> </w:t>
      </w:r>
      <w:r>
        <w:rPr>
          <w:spacing w:val="-1"/>
        </w:rPr>
        <w:t>3%</w:t>
      </w:r>
      <w:r>
        <w:rPr>
          <w:spacing w:val="-3"/>
        </w:rPr>
        <w:t xml:space="preserve"> </w:t>
      </w:r>
      <w:r>
        <w:rPr>
          <w:spacing w:val="-2"/>
        </w:rPr>
        <w:t>(ie,</w:t>
      </w:r>
      <w:r>
        <w:rPr>
          <w:spacing w:val="-10"/>
        </w:rPr>
        <w:t xml:space="preserve"> </w:t>
      </w:r>
      <w:r>
        <w:rPr>
          <w:spacing w:val="-3"/>
        </w:rPr>
        <w:t>2.5%).</w:t>
      </w:r>
      <w:r>
        <w:rPr>
          <w:spacing w:val="-3"/>
          <w:position w:val="7"/>
          <w:sz w:val="11"/>
          <w:szCs w:val="11"/>
        </w:rPr>
        <w:t>155</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97" style="width:72.5pt;height:.5pt;mso-position-horizontal-relative:char;mso-position-vertical-relative:line" coordsize="1450,10">
            <v:group id="_x0000_s3098" style="position:absolute;left:5;top:5;width:1440;height:2" coordorigin="5,5" coordsize="1440,2">
              <v:shape id="_x0000_s3099" style="position:absolute;left:5;top:5;width:1440;height:2" coordorigin="5,5" coordsize="1440,0" path="m5,5r1440,e" filled="f" strokeweight=".5pt">
                <v:path arrowok="t"/>
              </v:shape>
            </v:group>
            <w10:wrap type="none"/>
            <w10:anchorlock/>
          </v:group>
        </w:pict>
      </w:r>
    </w:p>
    <w:p w:rsidR="00D96B91" w:rsidRDefault="00C2656B">
      <w:pPr>
        <w:numPr>
          <w:ilvl w:val="0"/>
          <w:numId w:val="72"/>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w:t>
      </w:r>
    </w:p>
    <w:p w:rsidR="00D96B91" w:rsidRDefault="00C2656B">
      <w:pPr>
        <w:numPr>
          <w:ilvl w:val="0"/>
          <w:numId w:val="72"/>
        </w:numPr>
        <w:tabs>
          <w:tab w:val="left" w:pos="1758"/>
        </w:tabs>
        <w:spacing w:before="128" w:line="192" w:lineRule="exact"/>
        <w:ind w:right="1764" w:hanging="510"/>
        <w:rPr>
          <w:rFonts w:ascii="Avenir Next" w:eastAsia="Avenir Next" w:hAnsi="Avenir Next" w:cs="Avenir Next"/>
          <w:sz w:val="16"/>
          <w:szCs w:val="16"/>
        </w:rPr>
      </w:pPr>
      <w:r>
        <w:rPr>
          <w:rFonts w:ascii="Avenir Next"/>
          <w:spacing w:val="-1"/>
          <w:sz w:val="16"/>
        </w:rPr>
        <w:t>This forecast</w:t>
      </w:r>
      <w:r>
        <w:rPr>
          <w:rFonts w:ascii="Avenir Next"/>
          <w:sz w:val="16"/>
        </w:rPr>
        <w:t xml:space="preserve"> is consistent with the </w:t>
      </w:r>
      <w:r>
        <w:rPr>
          <w:rFonts w:ascii="Avenir Next"/>
          <w:spacing w:val="-1"/>
          <w:sz w:val="16"/>
        </w:rPr>
        <w:t>inflation rate</w:t>
      </w:r>
      <w:r>
        <w:rPr>
          <w:rFonts w:ascii="Avenir Next"/>
          <w:sz w:val="16"/>
        </w:rPr>
        <w:t xml:space="preserve"> </w:t>
      </w:r>
      <w:r>
        <w:rPr>
          <w:rFonts w:ascii="Avenir Next"/>
          <w:spacing w:val="-1"/>
          <w:sz w:val="16"/>
        </w:rPr>
        <w:t>forecasts</w:t>
      </w:r>
      <w:r>
        <w:rPr>
          <w:rFonts w:ascii="Avenir Next"/>
          <w:sz w:val="16"/>
        </w:rPr>
        <w:t xml:space="preserve"> adopted by both the ICRC</w:t>
      </w:r>
      <w:r>
        <w:rPr>
          <w:rFonts w:ascii="Avenir Next"/>
          <w:spacing w:val="-1"/>
          <w:sz w:val="16"/>
        </w:rPr>
        <w:t xml:space="preserve"> </w:t>
      </w:r>
      <w:r>
        <w:rPr>
          <w:rFonts w:ascii="Avenir Next"/>
          <w:sz w:val="16"/>
        </w:rPr>
        <w:t xml:space="preserve">(in other </w:t>
      </w:r>
      <w:r>
        <w:rPr>
          <w:rFonts w:ascii="Avenir Next"/>
          <w:spacing w:val="-1"/>
          <w:sz w:val="16"/>
        </w:rPr>
        <w:t>parts</w:t>
      </w:r>
      <w:r>
        <w:rPr>
          <w:rFonts w:ascii="Avenir Next"/>
          <w:sz w:val="16"/>
        </w:rPr>
        <w:t xml:space="preserve"> of</w:t>
      </w:r>
      <w:r>
        <w:rPr>
          <w:rFonts w:ascii="Avenir Next"/>
          <w:spacing w:val="3"/>
          <w:sz w:val="16"/>
        </w:rPr>
        <w:t xml:space="preserve"> </w:t>
      </w:r>
      <w:r>
        <w:rPr>
          <w:rFonts w:ascii="Avenir Next"/>
          <w:sz w:val="16"/>
        </w:rPr>
        <w:t>its model)</w:t>
      </w:r>
      <w:r>
        <w:rPr>
          <w:rFonts w:ascii="Avenir Next"/>
          <w:spacing w:val="-1"/>
          <w:sz w:val="16"/>
        </w:rPr>
        <w:t xml:space="preserve"> </w:t>
      </w:r>
      <w:r>
        <w:rPr>
          <w:rFonts w:ascii="Avenir Next"/>
          <w:sz w:val="16"/>
        </w:rPr>
        <w:t>and</w:t>
      </w:r>
      <w:r>
        <w:rPr>
          <w:rFonts w:ascii="Avenir Next"/>
          <w:spacing w:val="45"/>
          <w:sz w:val="16"/>
        </w:rPr>
        <w:t xml:space="preserve"> </w:t>
      </w:r>
      <w:r>
        <w:rPr>
          <w:rFonts w:ascii="Avenir Next"/>
          <w:spacing w:val="-1"/>
          <w:sz w:val="16"/>
        </w:rPr>
        <w:t>proposed</w:t>
      </w:r>
      <w:r>
        <w:rPr>
          <w:rFonts w:ascii="Avenir Next"/>
          <w:sz w:val="16"/>
        </w:rPr>
        <w:t xml:space="preserve"> by</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in its SOFC.</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131" w:name="_bookmark82"/>
      <w:bookmarkEnd w:id="131"/>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9.16: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Indexation</w:t>
      </w:r>
      <w:r>
        <w:rPr>
          <w:rFonts w:ascii="Avenir Next" w:eastAsia="Avenir Next" w:hAnsi="Avenir Next" w:cs="Avenir Next"/>
          <w:b/>
          <w:bCs/>
          <w:sz w:val="20"/>
          <w:szCs w:val="20"/>
        </w:rPr>
        <w:t xml:space="preserve"> of</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the RAB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313"/>
        <w:gridCol w:w="1218"/>
        <w:gridCol w:w="1218"/>
        <w:gridCol w:w="1218"/>
        <w:gridCol w:w="1218"/>
        <w:gridCol w:w="1218"/>
      </w:tblGrid>
      <w:tr w:rsidR="00D96B91">
        <w:trPr>
          <w:trHeight w:hRule="exact" w:val="407"/>
        </w:trPr>
        <w:tc>
          <w:tcPr>
            <w:tcW w:w="33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2"/>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2"/>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2"/>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2"/>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2"/>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3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Water</w:t>
            </w:r>
          </w:p>
        </w:tc>
        <w:tc>
          <w:tcPr>
            <w:tcW w:w="12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1"/>
              <w:rPr>
                <w:rFonts w:ascii="Avenir Next Condensed" w:eastAsia="Avenir Next Condensed" w:hAnsi="Avenir Next Condensed" w:cs="Avenir Next Condensed"/>
                <w:sz w:val="18"/>
                <w:szCs w:val="18"/>
              </w:rPr>
            </w:pPr>
            <w:r>
              <w:rPr>
                <w:rFonts w:ascii="Avenir Next Condensed"/>
                <w:sz w:val="18"/>
              </w:rPr>
              <w:t>34.57</w:t>
            </w:r>
          </w:p>
        </w:tc>
        <w:tc>
          <w:tcPr>
            <w:tcW w:w="12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1"/>
              <w:rPr>
                <w:rFonts w:ascii="Avenir Next Condensed" w:eastAsia="Avenir Next Condensed" w:hAnsi="Avenir Next Condensed" w:cs="Avenir Next Condensed"/>
                <w:sz w:val="18"/>
                <w:szCs w:val="18"/>
              </w:rPr>
            </w:pPr>
            <w:r>
              <w:rPr>
                <w:rFonts w:ascii="Avenir Next Condensed"/>
                <w:sz w:val="18"/>
              </w:rPr>
              <w:t>35.48</w:t>
            </w:r>
          </w:p>
        </w:tc>
        <w:tc>
          <w:tcPr>
            <w:tcW w:w="12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36.37</w:t>
            </w:r>
          </w:p>
        </w:tc>
        <w:tc>
          <w:tcPr>
            <w:tcW w:w="12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37.29</w:t>
            </w:r>
          </w:p>
        </w:tc>
        <w:tc>
          <w:tcPr>
            <w:tcW w:w="12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38.47</w:t>
            </w:r>
          </w:p>
        </w:tc>
      </w:tr>
      <w:tr w:rsidR="00D96B91">
        <w:trPr>
          <w:trHeight w:hRule="exact" w:val="407"/>
        </w:trPr>
        <w:tc>
          <w:tcPr>
            <w:tcW w:w="33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b/>
                <w:spacing w:val="-1"/>
                <w:sz w:val="18"/>
              </w:rPr>
              <w:t>Sewerage</w:t>
            </w:r>
          </w:p>
        </w:tc>
        <w:tc>
          <w:tcPr>
            <w:tcW w:w="12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16.64</w:t>
            </w:r>
          </w:p>
        </w:tc>
        <w:tc>
          <w:tcPr>
            <w:tcW w:w="12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17.35</w:t>
            </w:r>
          </w:p>
        </w:tc>
        <w:tc>
          <w:tcPr>
            <w:tcW w:w="12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18.63</w:t>
            </w:r>
          </w:p>
        </w:tc>
        <w:tc>
          <w:tcPr>
            <w:tcW w:w="12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20.88</w:t>
            </w:r>
          </w:p>
        </w:tc>
        <w:tc>
          <w:tcPr>
            <w:tcW w:w="12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0"/>
              <w:rPr>
                <w:rFonts w:ascii="Avenir Next Condensed" w:eastAsia="Avenir Next Condensed" w:hAnsi="Avenir Next Condensed" w:cs="Avenir Next Condensed"/>
                <w:sz w:val="18"/>
                <w:szCs w:val="18"/>
              </w:rPr>
            </w:pPr>
            <w:r>
              <w:rPr>
                <w:rFonts w:ascii="Avenir Next Condensed"/>
                <w:sz w:val="18"/>
              </w:rPr>
              <w:t>23.24</w:t>
            </w:r>
          </w:p>
        </w:tc>
      </w:tr>
    </w:tbl>
    <w:p w:rsidR="00D96B91" w:rsidRDefault="00D96B91">
      <w:pPr>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32" w:name="10_Rate_of_return_and_net_tax_liabilitie"/>
      <w:bookmarkStart w:id="133" w:name="10._1_Overview_of_the_Panel’s_draft_deci"/>
      <w:bookmarkStart w:id="134" w:name="_bookmark83"/>
      <w:bookmarkEnd w:id="132"/>
      <w:bookmarkEnd w:id="133"/>
      <w:bookmarkEnd w:id="134"/>
      <w:r>
        <w:rPr>
          <w:rFonts w:ascii="Avenir Next Medium"/>
          <w:color w:val="0778BE"/>
          <w:w w:val="95"/>
          <w:sz w:val="40"/>
        </w:rPr>
        <w:t>10</w:t>
      </w:r>
      <w:r>
        <w:rPr>
          <w:rFonts w:ascii="Avenir Next Medium"/>
          <w:color w:val="0778BE"/>
          <w:w w:val="95"/>
          <w:sz w:val="40"/>
        </w:rPr>
        <w:tab/>
      </w:r>
      <w:r>
        <w:rPr>
          <w:rFonts w:ascii="Avenir Next Medium"/>
          <w:color w:val="0778BE"/>
          <w:spacing w:val="-3"/>
          <w:sz w:val="40"/>
        </w:rPr>
        <w:t>Ra</w:t>
      </w:r>
      <w:bookmarkStart w:id="135" w:name="_bookmark84"/>
      <w:bookmarkEnd w:id="135"/>
      <w:r>
        <w:rPr>
          <w:rFonts w:ascii="Avenir Next Medium"/>
          <w:color w:val="0778BE"/>
          <w:spacing w:val="-3"/>
          <w:sz w:val="40"/>
        </w:rPr>
        <w:t>te</w:t>
      </w:r>
      <w:r>
        <w:rPr>
          <w:rFonts w:ascii="Avenir Next Medium"/>
          <w:color w:val="0778BE"/>
          <w:sz w:val="40"/>
        </w:rPr>
        <w:t xml:space="preserve"> of</w:t>
      </w:r>
      <w:r>
        <w:rPr>
          <w:rFonts w:ascii="Avenir Next Medium"/>
          <w:color w:val="0778BE"/>
          <w:spacing w:val="9"/>
          <w:sz w:val="40"/>
        </w:rPr>
        <w:t xml:space="preserve"> </w:t>
      </w:r>
      <w:r>
        <w:rPr>
          <w:rFonts w:ascii="Avenir Next Medium"/>
          <w:color w:val="0778BE"/>
          <w:spacing w:val="-2"/>
          <w:sz w:val="40"/>
        </w:rPr>
        <w:t>return</w:t>
      </w:r>
      <w:r>
        <w:rPr>
          <w:rFonts w:ascii="Avenir Next Medium"/>
          <w:color w:val="0778BE"/>
          <w:sz w:val="40"/>
        </w:rPr>
        <w:t xml:space="preserve"> and net tax liabilities</w:t>
      </w:r>
    </w:p>
    <w:p w:rsidR="00D96B91" w:rsidRDefault="00C2656B">
      <w:pPr>
        <w:pStyle w:val="BodyText"/>
        <w:spacing w:before="359" w:line="260" w:lineRule="exact"/>
        <w:ind w:right="1356"/>
      </w:pPr>
      <w:r>
        <w:rPr>
          <w:rFonts w:cs="Avenir Next"/>
        </w:rPr>
        <w:t xml:space="preserve">Once it made its </w:t>
      </w:r>
      <w:r>
        <w:rPr>
          <w:rFonts w:cs="Avenir Next"/>
          <w:spacing w:val="-2"/>
        </w:rPr>
        <w:t>draft</w:t>
      </w:r>
      <w:r>
        <w:rPr>
          <w:rFonts w:cs="Avenir Next"/>
        </w:rPr>
        <w:t xml:space="preserve"> decision on the value of</w:t>
      </w:r>
      <w:r>
        <w:rPr>
          <w:rFonts w:cs="Avenir Next"/>
          <w:spacing w:val="4"/>
        </w:rPr>
        <w:t xml:space="preserve"> </w:t>
      </w:r>
      <w:r>
        <w:rPr>
          <w:rFonts w:cs="Avenir Next"/>
        </w:rPr>
        <w:t>the RAB,</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reviewed</w:t>
      </w:r>
      <w:r>
        <w:rPr>
          <w:rFonts w:cs="Avenir Next"/>
        </w:rPr>
        <w:t xml:space="preserve"> the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and net</w:t>
      </w:r>
      <w:r>
        <w:rPr>
          <w:rFonts w:cs="Avenir Next"/>
          <w:spacing w:val="31"/>
        </w:rPr>
        <w:t xml:space="preserve"> </w:t>
      </w:r>
      <w:r>
        <w:t>tax liabilities components of</w:t>
      </w:r>
      <w:r>
        <w:rPr>
          <w:spacing w:val="4"/>
        </w:rPr>
        <w:t xml:space="preserve"> </w:t>
      </w:r>
      <w:r>
        <w:t xml:space="preserve">the original price </w:t>
      </w:r>
      <w:r>
        <w:rPr>
          <w:spacing w:val="-1"/>
        </w:rPr>
        <w:t>direction.</w:t>
      </w:r>
      <w:r>
        <w:rPr>
          <w:spacing w:val="-6"/>
        </w:rPr>
        <w:t xml:space="preserve"> </w:t>
      </w:r>
      <w:r>
        <w:t xml:space="preserve">Under the building block </w:t>
      </w:r>
      <w:r>
        <w:rPr>
          <w:spacing w:val="-1"/>
        </w:rPr>
        <w:t>methodology,</w:t>
      </w:r>
      <w:r>
        <w:rPr>
          <w:spacing w:val="-6"/>
        </w:rPr>
        <w:t xml:space="preserve"> </w:t>
      </w:r>
      <w:r>
        <w:t>the</w:t>
      </w:r>
      <w:r>
        <w:rPr>
          <w:spacing w:val="21"/>
        </w:rPr>
        <w:t xml:space="preserve"> </w:t>
      </w:r>
      <w:r>
        <w:rPr>
          <w:spacing w:val="-2"/>
        </w:rPr>
        <w:t>rate</w:t>
      </w:r>
      <w:r>
        <w:t xml:space="preserve"> of</w:t>
      </w:r>
      <w:r>
        <w:rPr>
          <w:spacing w:val="5"/>
        </w:rPr>
        <w:t xml:space="preserve"> </w:t>
      </w:r>
      <w:r>
        <w:rPr>
          <w:spacing w:val="-1"/>
        </w:rPr>
        <w:t>return</w:t>
      </w:r>
      <w:r>
        <w:t xml:space="preserve"> is</w:t>
      </w:r>
      <w:r>
        <w:rPr>
          <w:spacing w:val="1"/>
        </w:rPr>
        <w:t xml:space="preserve"> </w:t>
      </w:r>
      <w:r>
        <w:t>used</w:t>
      </w:r>
      <w:r>
        <w:rPr>
          <w:spacing w:val="1"/>
        </w:rPr>
        <w:t xml:space="preserve"> </w:t>
      </w:r>
      <w:r>
        <w:t xml:space="preserve">to </w:t>
      </w:r>
      <w:r>
        <w:rPr>
          <w:spacing w:val="-1"/>
        </w:rPr>
        <w:t>calculate</w:t>
      </w:r>
      <w:r>
        <w:rPr>
          <w:spacing w:val="1"/>
        </w:rPr>
        <w:t xml:space="preserve"> </w:t>
      </w:r>
      <w:r>
        <w:t>the</w:t>
      </w:r>
      <w:r>
        <w:rPr>
          <w:spacing w:val="1"/>
        </w:rPr>
        <w:t xml:space="preserve"> </w:t>
      </w:r>
      <w:r>
        <w:rPr>
          <w:spacing w:val="-1"/>
        </w:rPr>
        <w:t>return</w:t>
      </w:r>
      <w:r>
        <w:t xml:space="preserve"> on</w:t>
      </w:r>
      <w:r>
        <w:rPr>
          <w:spacing w:val="1"/>
        </w:rPr>
        <w:t xml:space="preserve"> </w:t>
      </w:r>
      <w:r>
        <w:t>capital</w:t>
      </w:r>
      <w:r>
        <w:rPr>
          <w:spacing w:val="1"/>
        </w:rPr>
        <w:t xml:space="preserve"> </w:t>
      </w:r>
      <w:r>
        <w:t xml:space="preserve">building </w:t>
      </w:r>
      <w:r>
        <w:rPr>
          <w:spacing w:val="-1"/>
        </w:rPr>
        <w:t>block.</w:t>
      </w:r>
      <w:r>
        <w:rPr>
          <w:spacing w:val="-1"/>
          <w:position w:val="7"/>
          <w:sz w:val="11"/>
          <w:szCs w:val="11"/>
        </w:rPr>
        <w:t>156</w:t>
      </w:r>
      <w:r>
        <w:rPr>
          <w:spacing w:val="23"/>
          <w:position w:val="7"/>
          <w:sz w:val="11"/>
          <w:szCs w:val="11"/>
        </w:rPr>
        <w:t xml:space="preserve"> </w:t>
      </w:r>
      <w:r>
        <w:t>In</w:t>
      </w:r>
      <w:r>
        <w:rPr>
          <w:spacing w:val="1"/>
        </w:rPr>
        <w:t xml:space="preserve"> </w:t>
      </w:r>
      <w:r>
        <w:t>capital-intensive</w:t>
      </w:r>
      <w:r>
        <w:rPr>
          <w:spacing w:val="1"/>
        </w:rPr>
        <w:t xml:space="preserve"> </w:t>
      </w:r>
      <w:r>
        <w:t>businesses</w:t>
      </w:r>
      <w:r>
        <w:rPr>
          <w:spacing w:val="45"/>
        </w:rPr>
        <w:t xml:space="preserve"> </w:t>
      </w:r>
      <w:r>
        <w:rPr>
          <w:rFonts w:cs="Avenir Next"/>
          <w:spacing w:val="-1"/>
        </w:rPr>
        <w:t>like</w:t>
      </w:r>
      <w:r>
        <w:rPr>
          <w:rFonts w:cs="Avenir Next"/>
          <w:spacing w:val="-4"/>
        </w:rPr>
        <w:t xml:space="preserve"> </w:t>
      </w:r>
      <w:r>
        <w:rPr>
          <w:rFonts w:cs="Avenir Next"/>
          <w:spacing w:val="-2"/>
        </w:rPr>
        <w:t>ACTEW’s</w:t>
      </w:r>
      <w:r>
        <w:rPr>
          <w:rFonts w:cs="Avenir Next"/>
        </w:rPr>
        <w:t xml:space="preserve"> </w:t>
      </w:r>
      <w:r>
        <w:rPr>
          <w:rFonts w:cs="Avenir Next"/>
          <w:spacing w:val="-1"/>
        </w:rPr>
        <w:t>water</w:t>
      </w:r>
      <w:r>
        <w:rPr>
          <w:rFonts w:cs="Avenir Next"/>
        </w:rPr>
        <w:t xml:space="preserve"> business,</w:t>
      </w:r>
      <w:r>
        <w:rPr>
          <w:rFonts w:cs="Avenir Next"/>
          <w:spacing w:val="-6"/>
        </w:rPr>
        <w:t xml:space="preserve"> </w:t>
      </w:r>
      <w:r>
        <w:rPr>
          <w:rFonts w:cs="Avenir Next"/>
        </w:rPr>
        <w:t xml:space="preserve">this allowance accounts for a </w:t>
      </w:r>
      <w:r>
        <w:rPr>
          <w:rFonts w:cs="Avenir Next"/>
          <w:spacing w:val="-1"/>
        </w:rPr>
        <w:t>large</w:t>
      </w:r>
      <w:r>
        <w:rPr>
          <w:rFonts w:cs="Avenir Next"/>
        </w:rPr>
        <w:t xml:space="preserve"> </w:t>
      </w:r>
      <w:r>
        <w:rPr>
          <w:rFonts w:cs="Avenir Next"/>
          <w:spacing w:val="-1"/>
        </w:rPr>
        <w:t>proportion</w:t>
      </w:r>
      <w:r>
        <w:rPr>
          <w:rFonts w:cs="Avenir Next"/>
        </w:rPr>
        <w:t xml:space="preserve"> on the total </w:t>
      </w:r>
      <w:r>
        <w:rPr>
          <w:rFonts w:cs="Avenir Next"/>
          <w:spacing w:val="-1"/>
        </w:rPr>
        <w:t>revenue</w:t>
      </w:r>
      <w:r>
        <w:rPr>
          <w:rFonts w:cs="Avenir Next"/>
          <w:spacing w:val="21"/>
        </w:rPr>
        <w:t xml:space="preserve"> </w:t>
      </w:r>
      <w:r>
        <w:rPr>
          <w:spacing w:val="-1"/>
        </w:rPr>
        <w:t>requirement.</w:t>
      </w:r>
    </w:p>
    <w:p w:rsidR="00D96B91" w:rsidRDefault="00C2656B">
      <w:pPr>
        <w:pStyle w:val="BodyText"/>
        <w:spacing w:before="170" w:line="260" w:lineRule="exact"/>
        <w:ind w:right="1283"/>
      </w:pPr>
      <w:r>
        <w:rPr>
          <w:spacing w:val="-1"/>
        </w:rPr>
        <w:t>Regulators</w:t>
      </w:r>
      <w:r>
        <w:t xml:space="preserve"> typically determine the </w:t>
      </w:r>
      <w:r>
        <w:rPr>
          <w:spacing w:val="-2"/>
        </w:rPr>
        <w:t>rate</w:t>
      </w:r>
      <w:r>
        <w:t xml:space="preserve"> of</w:t>
      </w:r>
      <w:r>
        <w:rPr>
          <w:spacing w:val="4"/>
        </w:rPr>
        <w:t xml:space="preserve"> </w:t>
      </w:r>
      <w:r>
        <w:rPr>
          <w:spacing w:val="-1"/>
        </w:rPr>
        <w:t>return</w:t>
      </w:r>
      <w:r>
        <w:t xml:space="preserve"> based on the </w:t>
      </w:r>
      <w:r>
        <w:rPr>
          <w:spacing w:val="-1"/>
        </w:rPr>
        <w:t>estimated</w:t>
      </w:r>
      <w:r>
        <w:t xml:space="preserve"> weighted </w:t>
      </w:r>
      <w:r>
        <w:rPr>
          <w:spacing w:val="-1"/>
        </w:rPr>
        <w:t>average</w:t>
      </w:r>
      <w:r>
        <w:t xml:space="preserve"> cost of</w:t>
      </w:r>
      <w:r>
        <w:rPr>
          <w:spacing w:val="43"/>
        </w:rPr>
        <w:t xml:space="preserve"> </w:t>
      </w:r>
      <w:r>
        <w:t xml:space="preserve">capital </w:t>
      </w:r>
      <w:r>
        <w:rPr>
          <w:spacing w:val="-1"/>
        </w:rPr>
        <w:t>(WACC).</w:t>
      </w:r>
      <w:r>
        <w:rPr>
          <w:spacing w:val="-1"/>
          <w:position w:val="7"/>
          <w:sz w:val="11"/>
        </w:rPr>
        <w:t>157</w:t>
      </w:r>
      <w:r>
        <w:rPr>
          <w:spacing w:val="23"/>
          <w:position w:val="7"/>
          <w:sz w:val="11"/>
        </w:rPr>
        <w:t xml:space="preserve"> </w:t>
      </w:r>
      <w:r>
        <w:t>Depending</w:t>
      </w:r>
      <w:r>
        <w:rPr>
          <w:spacing w:val="1"/>
        </w:rPr>
        <w:t xml:space="preserve"> </w:t>
      </w:r>
      <w:r>
        <w:t>on</w:t>
      </w:r>
      <w:r>
        <w:rPr>
          <w:spacing w:val="1"/>
        </w:rPr>
        <w:t xml:space="preserve"> </w:t>
      </w:r>
      <w:r>
        <w:t>whether they</w:t>
      </w:r>
      <w:r>
        <w:rPr>
          <w:spacing w:val="1"/>
        </w:rPr>
        <w:t xml:space="preserve"> </w:t>
      </w:r>
      <w:r>
        <w:t>use</w:t>
      </w:r>
      <w:r>
        <w:rPr>
          <w:spacing w:val="1"/>
        </w:rPr>
        <w:t xml:space="preserve"> </w:t>
      </w:r>
      <w:r>
        <w:t>a</w:t>
      </w:r>
      <w:r>
        <w:rPr>
          <w:spacing w:val="1"/>
        </w:rPr>
        <w:t xml:space="preserve"> </w:t>
      </w:r>
      <w:r>
        <w:rPr>
          <w:spacing w:val="-1"/>
        </w:rPr>
        <w:t>pre-tax</w:t>
      </w:r>
      <w:r>
        <w:t xml:space="preserve"> or</w:t>
      </w:r>
      <w:r>
        <w:rPr>
          <w:spacing w:val="1"/>
        </w:rPr>
        <w:t xml:space="preserve"> </w:t>
      </w:r>
      <w:r>
        <w:t>post-tax</w:t>
      </w:r>
      <w:r>
        <w:rPr>
          <w:spacing w:val="1"/>
        </w:rPr>
        <w:t xml:space="preserve"> </w:t>
      </w:r>
      <w:r>
        <w:rPr>
          <w:spacing w:val="-1"/>
        </w:rPr>
        <w:t>regulatory</w:t>
      </w:r>
      <w:r>
        <w:t xml:space="preserve"> model,</w:t>
      </w:r>
      <w:r>
        <w:rPr>
          <w:spacing w:val="-5"/>
        </w:rPr>
        <w:t xml:space="preserve"> </w:t>
      </w:r>
      <w:r>
        <w:t>they</w:t>
      </w:r>
      <w:r>
        <w:rPr>
          <w:spacing w:val="1"/>
        </w:rPr>
        <w:t xml:space="preserve"> </w:t>
      </w:r>
      <w:r>
        <w:t>may</w:t>
      </w:r>
      <w:r>
        <w:rPr>
          <w:spacing w:val="28"/>
        </w:rPr>
        <w:t xml:space="preserve"> </w:t>
      </w:r>
      <w:r>
        <w:t xml:space="preserve">also </w:t>
      </w:r>
      <w:r>
        <w:rPr>
          <w:spacing w:val="-1"/>
        </w:rPr>
        <w:t>incorporate</w:t>
      </w:r>
      <w:r>
        <w:t xml:space="preserve"> tax </w:t>
      </w:r>
      <w:r>
        <w:rPr>
          <w:spacing w:val="-1"/>
        </w:rPr>
        <w:t>directly</w:t>
      </w:r>
      <w:r>
        <w:t xml:space="preserve"> as a </w:t>
      </w:r>
      <w:r>
        <w:rPr>
          <w:spacing w:val="-1"/>
        </w:rPr>
        <w:t>separate</w:t>
      </w:r>
      <w:r>
        <w:t xml:space="preserve"> cost building block in the </w:t>
      </w:r>
      <w:r>
        <w:rPr>
          <w:spacing w:val="-1"/>
        </w:rPr>
        <w:t>revenue</w:t>
      </w:r>
      <w:r>
        <w:t xml:space="preserve"> </w:t>
      </w:r>
      <w:r>
        <w:rPr>
          <w:spacing w:val="-1"/>
        </w:rPr>
        <w:t>requirement.</w:t>
      </w:r>
    </w:p>
    <w:p w:rsidR="00D96B91" w:rsidRDefault="00C2656B">
      <w:pPr>
        <w:pStyle w:val="BodyText"/>
        <w:spacing w:before="170" w:line="260" w:lineRule="exact"/>
        <w:ind w:right="1256"/>
      </w:pPr>
      <w:r>
        <w:rPr>
          <w:spacing w:val="-2"/>
        </w:rPr>
        <w:t>The</w:t>
      </w:r>
      <w:r>
        <w:t xml:space="preserve"> </w:t>
      </w:r>
      <w:r>
        <w:rPr>
          <w:spacing w:val="-3"/>
        </w:rPr>
        <w:t>Panel</w:t>
      </w:r>
      <w:r>
        <w:t xml:space="preserve"> notes </w:t>
      </w:r>
      <w:r>
        <w:rPr>
          <w:spacing w:val="-1"/>
        </w:rPr>
        <w:t>that</w:t>
      </w:r>
      <w:r>
        <w:t xml:space="preserve"> while the concept of</w:t>
      </w:r>
      <w:r>
        <w:rPr>
          <w:spacing w:val="4"/>
        </w:rPr>
        <w:t xml:space="preserve"> </w:t>
      </w:r>
      <w:r>
        <w:t>the</w:t>
      </w:r>
      <w:r>
        <w:rPr>
          <w:spacing w:val="-3"/>
        </w:rPr>
        <w:t xml:space="preserve"> WACC</w:t>
      </w:r>
      <w:r>
        <w:t xml:space="preserve"> is widely accepted and used,</w:t>
      </w:r>
      <w:r>
        <w:rPr>
          <w:spacing w:val="-7"/>
        </w:rPr>
        <w:t xml:space="preserve"> </w:t>
      </w:r>
      <w:r>
        <w:rPr>
          <w:spacing w:val="-1"/>
        </w:rPr>
        <w:t>there</w:t>
      </w:r>
      <w:r>
        <w:t xml:space="preserve"> is no</w:t>
      </w:r>
      <w:r>
        <w:rPr>
          <w:spacing w:val="30"/>
        </w:rPr>
        <w:t xml:space="preserve"> </w:t>
      </w:r>
      <w:r>
        <w:rPr>
          <w:spacing w:val="-1"/>
        </w:rPr>
        <w:t>theoretically</w:t>
      </w:r>
      <w:r>
        <w:t xml:space="preserve"> </w:t>
      </w:r>
      <w:r>
        <w:rPr>
          <w:spacing w:val="-1"/>
        </w:rPr>
        <w:t>correct</w:t>
      </w:r>
      <w:r>
        <w:t xml:space="preserve"> </w:t>
      </w:r>
      <w:r>
        <w:rPr>
          <w:spacing w:val="-1"/>
        </w:rPr>
        <w:t>reference</w:t>
      </w:r>
      <w:r>
        <w:t xml:space="preserve"> point for </w:t>
      </w:r>
      <w:r>
        <w:rPr>
          <w:spacing w:val="-1"/>
        </w:rPr>
        <w:t>estimating</w:t>
      </w:r>
      <w:r>
        <w:t xml:space="preserve"> this cost for the purpose of</w:t>
      </w:r>
      <w:r>
        <w:rPr>
          <w:spacing w:val="4"/>
        </w:rPr>
        <w:t xml:space="preserve"> </w:t>
      </w:r>
      <w:r>
        <w:t>determining the</w:t>
      </w:r>
      <w:r>
        <w:rPr>
          <w:spacing w:val="43"/>
        </w:rPr>
        <w:t xml:space="preserve"> </w:t>
      </w:r>
      <w:r>
        <w:rPr>
          <w:spacing w:val="-1"/>
        </w:rPr>
        <w:t xml:space="preserve">regulatory </w:t>
      </w:r>
      <w:r>
        <w:rPr>
          <w:spacing w:val="-2"/>
        </w:rPr>
        <w:t>rate</w:t>
      </w:r>
      <w:r>
        <w:t xml:space="preserve"> of</w:t>
      </w:r>
      <w:r>
        <w:rPr>
          <w:spacing w:val="4"/>
        </w:rPr>
        <w:t xml:space="preserve"> </w:t>
      </w:r>
      <w:r>
        <w:rPr>
          <w:spacing w:val="-1"/>
        </w:rPr>
        <w:t>return.</w:t>
      </w:r>
      <w:r>
        <w:rPr>
          <w:spacing w:val="-11"/>
        </w:rPr>
        <w:t xml:space="preserve"> </w:t>
      </w:r>
      <w:r>
        <w:rPr>
          <w:spacing w:val="-2"/>
        </w:rPr>
        <w:t>Therefore</w:t>
      </w:r>
      <w:r>
        <w:rPr>
          <w:spacing w:val="-1"/>
        </w:rPr>
        <w:t xml:space="preserve"> </w:t>
      </w:r>
      <w:r>
        <w:t xml:space="preserve">to </w:t>
      </w:r>
      <w:r>
        <w:rPr>
          <w:spacing w:val="-2"/>
        </w:rPr>
        <w:t>reach</w:t>
      </w:r>
      <w:r>
        <w:t xml:space="preserve"> its </w:t>
      </w:r>
      <w:r>
        <w:rPr>
          <w:spacing w:val="-2"/>
        </w:rPr>
        <w:t>draft</w:t>
      </w:r>
      <w:r>
        <w:t xml:space="preserve"> decision,</w:t>
      </w:r>
      <w:r>
        <w:rPr>
          <w:spacing w:val="-7"/>
        </w:rPr>
        <w:t xml:space="preserve"> </w:t>
      </w:r>
      <w:r>
        <w:t xml:space="preserve">the </w:t>
      </w:r>
      <w:r>
        <w:rPr>
          <w:spacing w:val="-3"/>
        </w:rPr>
        <w:t>Panel</w:t>
      </w:r>
      <w:r>
        <w:t xml:space="preserve"> first </w:t>
      </w:r>
      <w:r>
        <w:rPr>
          <w:spacing w:val="-1"/>
        </w:rPr>
        <w:t>considered what</w:t>
      </w:r>
      <w:r>
        <w:t xml:space="preserve"> </w:t>
      </w:r>
      <w:r>
        <w:rPr>
          <w:spacing w:val="-1"/>
        </w:rPr>
        <w:t>reference</w:t>
      </w:r>
      <w:r>
        <w:rPr>
          <w:spacing w:val="73"/>
        </w:rPr>
        <w:t xml:space="preserve"> </w:t>
      </w:r>
      <w:r>
        <w:t xml:space="preserve">point is most </w:t>
      </w:r>
      <w:r>
        <w:rPr>
          <w:spacing w:val="-1"/>
        </w:rPr>
        <w:t>appropriate</w:t>
      </w:r>
      <w:r>
        <w:t xml:space="preserve"> for this </w:t>
      </w:r>
      <w:r>
        <w:rPr>
          <w:spacing w:val="-2"/>
        </w:rPr>
        <w:t>review.</w:t>
      </w:r>
      <w:r>
        <w:rPr>
          <w:spacing w:val="-6"/>
        </w:rPr>
        <w:t xml:space="preserve"> </w:t>
      </w:r>
      <w:r>
        <w:t xml:space="preserve">In </w:t>
      </w:r>
      <w:r>
        <w:rPr>
          <w:spacing w:val="-2"/>
        </w:rPr>
        <w:t>particular,</w:t>
      </w:r>
      <w:r>
        <w:rPr>
          <w:spacing w:val="-6"/>
        </w:rPr>
        <w:t xml:space="preserve"> </w:t>
      </w:r>
      <w:r>
        <w:t xml:space="preserve">the </w:t>
      </w:r>
      <w:r>
        <w:rPr>
          <w:spacing w:val="-3"/>
        </w:rPr>
        <w:t>Panel</w:t>
      </w:r>
      <w:r>
        <w:t xml:space="preserve"> </w:t>
      </w:r>
      <w:r>
        <w:rPr>
          <w:spacing w:val="-1"/>
        </w:rPr>
        <w:t>considered:</w:t>
      </w:r>
    </w:p>
    <w:p w:rsidR="00D96B91" w:rsidRDefault="00C2656B">
      <w:pPr>
        <w:pStyle w:val="BodyText"/>
        <w:numPr>
          <w:ilvl w:val="0"/>
          <w:numId w:val="131"/>
        </w:numPr>
        <w:tabs>
          <w:tab w:val="left" w:pos="1531"/>
        </w:tabs>
        <w:spacing w:before="170" w:line="260" w:lineRule="exact"/>
        <w:ind w:right="1264" w:hanging="283"/>
      </w:pPr>
      <w:r>
        <w:t>the</w:t>
      </w:r>
      <w:r>
        <w:rPr>
          <w:spacing w:val="-1"/>
        </w:rPr>
        <w:t xml:space="preserve"> </w:t>
      </w:r>
      <w:r>
        <w:rPr>
          <w:spacing w:val="-2"/>
        </w:rPr>
        <w:t>ICRC’s</w:t>
      </w:r>
      <w:r>
        <w:rPr>
          <w:spacing w:val="-1"/>
        </w:rPr>
        <w:t xml:space="preserve"> </w:t>
      </w:r>
      <w:r>
        <w:t>final</w:t>
      </w:r>
      <w:r>
        <w:rPr>
          <w:spacing w:val="-1"/>
        </w:rPr>
        <w:t xml:space="preserve"> </w:t>
      </w:r>
      <w:r>
        <w:t>decision</w:t>
      </w:r>
      <w:r>
        <w:rPr>
          <w:spacing w:val="-1"/>
        </w:rPr>
        <w:t xml:space="preserve"> </w:t>
      </w:r>
      <w:r>
        <w:t>and</w:t>
      </w:r>
      <w:r>
        <w:rPr>
          <w:spacing w:val="-1"/>
        </w:rPr>
        <w:t xml:space="preserve"> rationale </w:t>
      </w:r>
      <w:r>
        <w:t>for</w:t>
      </w:r>
      <w:r>
        <w:rPr>
          <w:spacing w:val="-1"/>
        </w:rPr>
        <w:t xml:space="preserve"> </w:t>
      </w:r>
      <w:r>
        <w:t>using</w:t>
      </w:r>
      <w:r>
        <w:rPr>
          <w:spacing w:val="-1"/>
        </w:rPr>
        <w:t xml:space="preserve"> </w:t>
      </w:r>
      <w:r>
        <w:t>a</w:t>
      </w:r>
      <w:r>
        <w:rPr>
          <w:spacing w:val="-1"/>
        </w:rPr>
        <w:t xml:space="preserve"> </w:t>
      </w:r>
      <w:r>
        <w:t>firm-specific</w:t>
      </w:r>
      <w:r>
        <w:rPr>
          <w:spacing w:val="-1"/>
        </w:rPr>
        <w:t xml:space="preserve"> reference </w:t>
      </w:r>
      <w:r>
        <w:t>point</w:t>
      </w:r>
      <w:r>
        <w:rPr>
          <w:spacing w:val="-1"/>
        </w:rPr>
        <w:t xml:space="preserve"> </w:t>
      </w:r>
      <w:r>
        <w:t>to</w:t>
      </w:r>
      <w:r>
        <w:rPr>
          <w:spacing w:val="-1"/>
        </w:rPr>
        <w:t xml:space="preserve"> estimate </w:t>
      </w:r>
      <w:r>
        <w:t>the</w:t>
      </w:r>
      <w:r>
        <w:rPr>
          <w:spacing w:val="-4"/>
        </w:rPr>
        <w:t xml:space="preserve"> </w:t>
      </w:r>
      <w:r>
        <w:rPr>
          <w:spacing w:val="-3"/>
        </w:rPr>
        <w:t>WACC</w:t>
      </w:r>
      <w:r>
        <w:rPr>
          <w:spacing w:val="31"/>
        </w:rPr>
        <w:t xml:space="preserve"> </w:t>
      </w:r>
      <w:r>
        <w:rPr>
          <w:spacing w:val="-1"/>
        </w:rPr>
        <w:t>parameters</w:t>
      </w:r>
      <w:r>
        <w:t xml:space="preserve"> (without an </w:t>
      </w:r>
      <w:r>
        <w:rPr>
          <w:spacing w:val="-1"/>
        </w:rPr>
        <w:t>explicit</w:t>
      </w:r>
      <w:r>
        <w:t xml:space="preserve"> allowance for net tax liabilities)</w:t>
      </w:r>
    </w:p>
    <w:p w:rsidR="00D96B91" w:rsidRDefault="00C2656B">
      <w:pPr>
        <w:pStyle w:val="BodyText"/>
        <w:numPr>
          <w:ilvl w:val="0"/>
          <w:numId w:val="131"/>
        </w:numPr>
        <w:tabs>
          <w:tab w:val="left" w:pos="1531"/>
        </w:tabs>
        <w:spacing w:before="85" w:line="260" w:lineRule="exact"/>
        <w:ind w:right="1576" w:hanging="283"/>
      </w:pPr>
      <w:r>
        <w:t>the</w:t>
      </w:r>
      <w:r>
        <w:rPr>
          <w:spacing w:val="-1"/>
        </w:rPr>
        <w:t xml:space="preserve"> </w:t>
      </w:r>
      <w:r>
        <w:t>issues</w:t>
      </w:r>
      <w:r>
        <w:rPr>
          <w:spacing w:val="-4"/>
        </w:rPr>
        <w:t xml:space="preserve"> </w:t>
      </w:r>
      <w:r>
        <w:rPr>
          <w:spacing w:val="-2"/>
        </w:rPr>
        <w:t>ACTEW</w:t>
      </w:r>
      <w:r>
        <w:rPr>
          <w:spacing w:val="-4"/>
        </w:rPr>
        <w:t xml:space="preserve"> </w:t>
      </w:r>
      <w:r>
        <w:rPr>
          <w:spacing w:val="-1"/>
        </w:rPr>
        <w:t>raised</w:t>
      </w:r>
      <w:r>
        <w:t xml:space="preserve"> in its</w:t>
      </w:r>
      <w:r>
        <w:rPr>
          <w:spacing w:val="-1"/>
        </w:rPr>
        <w:t xml:space="preserve"> </w:t>
      </w:r>
      <w:r>
        <w:t>SOFC,</w:t>
      </w:r>
      <w:r>
        <w:rPr>
          <w:spacing w:val="-6"/>
        </w:rPr>
        <w:t xml:space="preserve"> </w:t>
      </w:r>
      <w:r>
        <w:t>including its</w:t>
      </w:r>
      <w:r>
        <w:rPr>
          <w:spacing w:val="-1"/>
        </w:rPr>
        <w:t xml:space="preserve"> proposal</w:t>
      </w:r>
      <w:r>
        <w:t xml:space="preserve"> to</w:t>
      </w:r>
      <w:r>
        <w:rPr>
          <w:spacing w:val="-1"/>
        </w:rPr>
        <w:t xml:space="preserve"> </w:t>
      </w:r>
      <w:r>
        <w:t>use a benchmark</w:t>
      </w:r>
      <w:r>
        <w:rPr>
          <w:spacing w:val="-1"/>
        </w:rPr>
        <w:t xml:space="preserve"> efficient</w:t>
      </w:r>
      <w:r>
        <w:t xml:space="preserve"> entity</w:t>
      </w:r>
      <w:r>
        <w:rPr>
          <w:spacing w:val="33"/>
        </w:rPr>
        <w:t xml:space="preserve"> </w:t>
      </w:r>
      <w:r>
        <w:rPr>
          <w:spacing w:val="-1"/>
        </w:rPr>
        <w:t>reference</w:t>
      </w:r>
      <w:r>
        <w:t xml:space="preserve"> point to </w:t>
      </w:r>
      <w:r>
        <w:rPr>
          <w:spacing w:val="-1"/>
        </w:rPr>
        <w:t>estimate</w:t>
      </w:r>
      <w:r>
        <w:t xml:space="preserve"> the</w:t>
      </w:r>
      <w:r>
        <w:rPr>
          <w:spacing w:val="-3"/>
        </w:rPr>
        <w:t xml:space="preserve"> WACC</w:t>
      </w:r>
      <w:r>
        <w:t xml:space="preserve"> and adopt a post-tax</w:t>
      </w:r>
      <w:r>
        <w:rPr>
          <w:spacing w:val="-3"/>
        </w:rPr>
        <w:t xml:space="preserve"> WACC</w:t>
      </w:r>
      <w:r>
        <w:t xml:space="preserve"> (with an </w:t>
      </w:r>
      <w:r>
        <w:rPr>
          <w:spacing w:val="-1"/>
        </w:rPr>
        <w:t>explicit</w:t>
      </w:r>
      <w:r>
        <w:t xml:space="preserve"> allowance for</w:t>
      </w:r>
      <w:r>
        <w:rPr>
          <w:spacing w:val="35"/>
        </w:rPr>
        <w:t xml:space="preserve"> </w:t>
      </w:r>
      <w:r>
        <w:t>net tax liabilities),</w:t>
      </w:r>
      <w:r>
        <w:rPr>
          <w:spacing w:val="-6"/>
        </w:rPr>
        <w:t xml:space="preserve"> </w:t>
      </w:r>
      <w:r>
        <w:t>and</w:t>
      </w:r>
    </w:p>
    <w:p w:rsidR="00D96B91" w:rsidRDefault="00C2656B">
      <w:pPr>
        <w:pStyle w:val="BodyText"/>
        <w:numPr>
          <w:ilvl w:val="0"/>
          <w:numId w:val="131"/>
        </w:numPr>
        <w:tabs>
          <w:tab w:val="left" w:pos="1531"/>
        </w:tabs>
        <w:spacing w:before="85" w:line="260" w:lineRule="exact"/>
        <w:ind w:right="1368" w:hanging="283"/>
      </w:pPr>
      <w:r>
        <w:rPr>
          <w:rFonts w:cs="Avenir Next"/>
        </w:rPr>
        <w:t xml:space="preserve">the issues </w:t>
      </w:r>
      <w:r>
        <w:rPr>
          <w:rFonts w:cs="Avenir Next"/>
          <w:spacing w:val="-1"/>
        </w:rPr>
        <w:t>raised</w:t>
      </w:r>
      <w:r>
        <w:rPr>
          <w:rFonts w:cs="Avenir Next"/>
        </w:rPr>
        <w:t xml:space="preserve"> by other </w:t>
      </w:r>
      <w:r>
        <w:rPr>
          <w:rFonts w:cs="Avenir Next"/>
          <w:spacing w:val="-1"/>
        </w:rPr>
        <w:t>stakeholders,</w:t>
      </w:r>
      <w:r>
        <w:rPr>
          <w:rFonts w:cs="Avenir Next"/>
          <w:spacing w:val="-6"/>
        </w:rPr>
        <w:t xml:space="preserve"> </w:t>
      </w:r>
      <w:r>
        <w:rPr>
          <w:rFonts w:cs="Avenir Next"/>
          <w:spacing w:val="-1"/>
        </w:rPr>
        <w:t>particularly</w:t>
      </w:r>
      <w:r>
        <w:rPr>
          <w:rFonts w:cs="Avenir Next"/>
        </w:rPr>
        <w:t xml:space="preserve"> the contention </w:t>
      </w:r>
      <w:r>
        <w:rPr>
          <w:rFonts w:cs="Avenir Next"/>
          <w:spacing w:val="-1"/>
        </w:rPr>
        <w:t>that</w:t>
      </w:r>
      <w:r>
        <w:rPr>
          <w:rFonts w:cs="Avenir Next"/>
        </w:rPr>
        <w:t xml:space="preserve"> the </w:t>
      </w:r>
      <w:r>
        <w:rPr>
          <w:rFonts w:cs="Avenir Next"/>
          <w:spacing w:val="-1"/>
        </w:rPr>
        <w:t>approach</w:t>
      </w:r>
      <w:r>
        <w:rPr>
          <w:rFonts w:cs="Avenir Next"/>
        </w:rPr>
        <w:t xml:space="preserve"> for </w:t>
      </w:r>
      <w:r>
        <w:rPr>
          <w:rFonts w:cs="Avenir Next"/>
          <w:spacing w:val="-1"/>
        </w:rPr>
        <w:t>calculating</w:t>
      </w:r>
      <w:r>
        <w:rPr>
          <w:rFonts w:cs="Avenir Next"/>
          <w:spacing w:val="71"/>
        </w:rPr>
        <w:t xml:space="preserve"> </w:t>
      </w:r>
      <w:r>
        <w:t xml:space="preserve">the </w:t>
      </w:r>
      <w:r>
        <w:rPr>
          <w:spacing w:val="-2"/>
        </w:rPr>
        <w:t>rate</w:t>
      </w:r>
      <w:r>
        <w:t xml:space="preserve"> of</w:t>
      </w:r>
      <w:r>
        <w:rPr>
          <w:spacing w:val="4"/>
        </w:rPr>
        <w:t xml:space="preserve"> </w:t>
      </w:r>
      <w:r>
        <w:rPr>
          <w:spacing w:val="-1"/>
        </w:rPr>
        <w:t>return</w:t>
      </w:r>
      <w:r>
        <w:t xml:space="preserve"> should </w:t>
      </w:r>
      <w:r>
        <w:rPr>
          <w:spacing w:val="-1"/>
        </w:rPr>
        <w:t>take</w:t>
      </w:r>
      <w:r>
        <w:t xml:space="preserve"> account of</w:t>
      </w:r>
      <w:r>
        <w:rPr>
          <w:spacing w:val="1"/>
        </w:rPr>
        <w:t xml:space="preserve"> </w:t>
      </w:r>
      <w:r>
        <w:rPr>
          <w:spacing w:val="-2"/>
        </w:rPr>
        <w:t>ACTEW’s</w:t>
      </w:r>
      <w:r>
        <w:t xml:space="preserve"> public </w:t>
      </w:r>
      <w:r>
        <w:rPr>
          <w:spacing w:val="-1"/>
        </w:rPr>
        <w:t>ownership.</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spacing w:val="-2"/>
        </w:rPr>
        <w:t>The</w:t>
      </w:r>
      <w:r>
        <w:t xml:space="preserve"> </w:t>
      </w:r>
      <w:r>
        <w:rPr>
          <w:spacing w:val="-3"/>
        </w:rPr>
        <w:t>Panel</w:t>
      </w:r>
      <w:r>
        <w:t xml:space="preserve"> </w:t>
      </w:r>
      <w:r>
        <w:rPr>
          <w:spacing w:val="-1"/>
        </w:rPr>
        <w:t>exercised</w:t>
      </w:r>
      <w:r>
        <w:t xml:space="preserve"> its judgement to decide on the most </w:t>
      </w:r>
      <w:r>
        <w:rPr>
          <w:spacing w:val="-1"/>
        </w:rPr>
        <w:t>appropriate</w:t>
      </w:r>
      <w:r>
        <w:t xml:space="preserve"> </w:t>
      </w:r>
      <w:r>
        <w:rPr>
          <w:spacing w:val="-1"/>
        </w:rPr>
        <w:t>reference</w:t>
      </w:r>
      <w:r>
        <w:t xml:space="preserve"> point,</w:t>
      </w:r>
      <w:r>
        <w:rPr>
          <w:spacing w:val="-6"/>
        </w:rPr>
        <w:t xml:space="preserve"> </w:t>
      </w:r>
      <w:r>
        <w:t>taking into</w:t>
      </w:r>
      <w:r>
        <w:rPr>
          <w:spacing w:val="25"/>
        </w:rPr>
        <w:t xml:space="preserve"> </w:t>
      </w:r>
      <w:r>
        <w:t xml:space="preserve">account the </w:t>
      </w:r>
      <w:r>
        <w:rPr>
          <w:spacing w:val="-1"/>
        </w:rPr>
        <w:t>requirements</w:t>
      </w:r>
      <w:r>
        <w:t xml:space="preserve"> of</w:t>
      </w:r>
      <w:r>
        <w:rPr>
          <w:spacing w:val="4"/>
        </w:rPr>
        <w:t xml:space="preserve"> </w:t>
      </w:r>
      <w:r>
        <w:t>the</w:t>
      </w:r>
      <w:r>
        <w:rPr>
          <w:spacing w:val="-4"/>
        </w:rPr>
        <w:t xml:space="preserve"> </w:t>
      </w:r>
      <w:r>
        <w:t>Act,</w:t>
      </w:r>
      <w:r>
        <w:rPr>
          <w:spacing w:val="-6"/>
        </w:rPr>
        <w:t xml:space="preserve"> </w:t>
      </w:r>
      <w:r>
        <w:t xml:space="preserve">the </w:t>
      </w:r>
      <w:r>
        <w:rPr>
          <w:spacing w:val="-1"/>
        </w:rPr>
        <w:t>approach</w:t>
      </w:r>
      <w:r>
        <w:t xml:space="preserve"> most commonly used by</w:t>
      </w:r>
      <w:r>
        <w:rPr>
          <w:spacing w:val="-4"/>
        </w:rPr>
        <w:t xml:space="preserve"> </w:t>
      </w:r>
      <w:r>
        <w:rPr>
          <w:spacing w:val="-1"/>
        </w:rPr>
        <w:t>Australian</w:t>
      </w:r>
      <w:r>
        <w:t xml:space="preserve"> </w:t>
      </w:r>
      <w:r>
        <w:rPr>
          <w:spacing w:val="-1"/>
        </w:rPr>
        <w:t>regulators</w:t>
      </w:r>
      <w:r>
        <w:t xml:space="preserve"> in</w:t>
      </w:r>
      <w:r>
        <w:rPr>
          <w:spacing w:val="39"/>
        </w:rPr>
        <w:t xml:space="preserve"> </w:t>
      </w:r>
      <w:r>
        <w:t xml:space="preserve">applying the building block </w:t>
      </w:r>
      <w:r>
        <w:rPr>
          <w:spacing w:val="-1"/>
        </w:rPr>
        <w:t>methodology,</w:t>
      </w:r>
      <w:r>
        <w:rPr>
          <w:spacing w:val="-6"/>
        </w:rPr>
        <w:t xml:space="preserve"> </w:t>
      </w:r>
      <w:r>
        <w:t xml:space="preserve">and the </w:t>
      </w:r>
      <w:r>
        <w:rPr>
          <w:spacing w:val="-1"/>
        </w:rPr>
        <w:t>requirement</w:t>
      </w:r>
      <w:r>
        <w:t xml:space="preserve"> to comply with competitive </w:t>
      </w:r>
      <w:r>
        <w:rPr>
          <w:spacing w:val="-1"/>
        </w:rPr>
        <w:t>neutrality</w:t>
      </w:r>
      <w:r>
        <w:rPr>
          <w:spacing w:val="29"/>
        </w:rPr>
        <w:t xml:space="preserve"> </w:t>
      </w:r>
      <w:r>
        <w:t>principles.</w:t>
      </w:r>
    </w:p>
    <w:p w:rsidR="00D96B91" w:rsidRDefault="00C2656B">
      <w:pPr>
        <w:pStyle w:val="BodyText"/>
        <w:spacing w:before="170" w:line="260" w:lineRule="exact"/>
        <w:ind w:right="1548"/>
      </w:pPr>
      <w:r>
        <w:t xml:space="preserve">Once it decided on the </w:t>
      </w:r>
      <w:r>
        <w:rPr>
          <w:spacing w:val="-1"/>
        </w:rPr>
        <w:t>appropriate</w:t>
      </w:r>
      <w:r>
        <w:t xml:space="preserve"> </w:t>
      </w:r>
      <w:r>
        <w:rPr>
          <w:spacing w:val="-1"/>
        </w:rPr>
        <w:t>reference</w:t>
      </w:r>
      <w:r>
        <w:t xml:space="preserve"> point,</w:t>
      </w:r>
      <w:r>
        <w:rPr>
          <w:spacing w:val="-6"/>
        </w:rPr>
        <w:t xml:space="preserve"> </w:t>
      </w:r>
      <w:r>
        <w:t xml:space="preserve">the </w:t>
      </w:r>
      <w:r>
        <w:rPr>
          <w:spacing w:val="-3"/>
        </w:rPr>
        <w:t>Panel</w:t>
      </w:r>
      <w:r>
        <w:t xml:space="preserve"> applied this </w:t>
      </w:r>
      <w:r>
        <w:rPr>
          <w:spacing w:val="-1"/>
        </w:rPr>
        <w:t>approach</w:t>
      </w:r>
      <w:r>
        <w:t xml:space="preserve"> to </w:t>
      </w:r>
      <w:r>
        <w:rPr>
          <w:spacing w:val="-1"/>
        </w:rPr>
        <w:t>estimate</w:t>
      </w:r>
      <w:r>
        <w:t xml:space="preserve"> the</w:t>
      </w:r>
      <w:r>
        <w:rPr>
          <w:spacing w:val="39"/>
        </w:rPr>
        <w:t xml:space="preserve"> </w:t>
      </w:r>
      <w:r>
        <w:rPr>
          <w:spacing w:val="-3"/>
        </w:rPr>
        <w:t>WACC</w:t>
      </w:r>
      <w:r>
        <w:t xml:space="preserve"> and </w:t>
      </w:r>
      <w:r>
        <w:rPr>
          <w:spacing w:val="-1"/>
        </w:rPr>
        <w:t>make</w:t>
      </w:r>
      <w:r>
        <w:t xml:space="preserve"> its </w:t>
      </w:r>
      <w:r>
        <w:rPr>
          <w:spacing w:val="-2"/>
        </w:rPr>
        <w:t>draft</w:t>
      </w:r>
      <w:r>
        <w:t xml:space="preserve"> decision on the </w:t>
      </w:r>
      <w:r>
        <w:rPr>
          <w:spacing w:val="-2"/>
        </w:rPr>
        <w:t>rate</w:t>
      </w:r>
      <w:r>
        <w:t xml:space="preserve"> of</w:t>
      </w:r>
      <w:r>
        <w:rPr>
          <w:spacing w:val="4"/>
        </w:rPr>
        <w:t xml:space="preserve"> </w:t>
      </w:r>
      <w:r>
        <w:rPr>
          <w:spacing w:val="-1"/>
        </w:rPr>
        <w:t>return</w:t>
      </w:r>
      <w:r>
        <w:t xml:space="preserve"> and the net tax liabilities allowance for this</w:t>
      </w:r>
      <w:r>
        <w:rPr>
          <w:spacing w:val="23"/>
        </w:rPr>
        <w:t xml:space="preserve"> </w:t>
      </w:r>
      <w:r>
        <w:rPr>
          <w:spacing w:val="-1"/>
        </w:rPr>
        <w:t>regulatory</w:t>
      </w:r>
      <w:r>
        <w:t xml:space="preserve"> period.</w:t>
      </w:r>
    </w:p>
    <w:p w:rsidR="00D96B91" w:rsidRDefault="00C2656B">
      <w:pPr>
        <w:pStyle w:val="BodyText"/>
        <w:spacing w:before="170" w:line="260" w:lineRule="exact"/>
        <w:ind w:right="1513"/>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w:t>
      </w:r>
      <w:r>
        <w:rPr>
          <w:rFonts w:cs="Avenir Next"/>
          <w:spacing w:val="-6"/>
        </w:rPr>
        <w:t xml:space="preserve"> </w:t>
      </w:r>
      <w:r>
        <w:rPr>
          <w:rFonts w:cs="Avenir Next"/>
        </w:rPr>
        <w:t>and then discuss its</w:t>
      </w:r>
      <w:r>
        <w:rPr>
          <w:rFonts w:cs="Avenir Next"/>
          <w:spacing w:val="31"/>
        </w:rPr>
        <w:t xml:space="preserve"> </w:t>
      </w:r>
      <w:r>
        <w:rPr>
          <w:spacing w:val="-1"/>
        </w:rPr>
        <w:t>considerations</w:t>
      </w:r>
      <w:r>
        <w:t xml:space="preserve">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67"/>
        </w:numPr>
        <w:tabs>
          <w:tab w:val="left" w:pos="1749"/>
        </w:tabs>
        <w:ind w:left="1748" w:hanging="501"/>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40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is </w:t>
      </w:r>
      <w:r>
        <w:rPr>
          <w:rFonts w:cs="Avenir Next"/>
          <w:spacing w:val="-1"/>
        </w:rPr>
        <w:t>that</w:t>
      </w:r>
      <w:r>
        <w:rPr>
          <w:rFonts w:cs="Avenir Next"/>
        </w:rPr>
        <w:t xml:space="preserve"> the </w:t>
      </w:r>
      <w:r>
        <w:rPr>
          <w:rFonts w:cs="Avenir Next"/>
          <w:spacing w:val="-1"/>
        </w:rPr>
        <w:t>appropriate</w:t>
      </w:r>
      <w:r>
        <w:rPr>
          <w:rFonts w:cs="Avenir Next"/>
        </w:rPr>
        <w:t xml:space="preserve"> </w:t>
      </w:r>
      <w:r>
        <w:rPr>
          <w:rFonts w:cs="Avenir Next"/>
          <w:spacing w:val="-1"/>
        </w:rPr>
        <w:t>reference</w:t>
      </w:r>
      <w:r>
        <w:rPr>
          <w:rFonts w:cs="Avenir Next"/>
        </w:rPr>
        <w:t xml:space="preserve"> point for </w:t>
      </w:r>
      <w:r>
        <w:rPr>
          <w:rFonts w:cs="Avenir Next"/>
          <w:spacing w:val="-1"/>
        </w:rPr>
        <w:t>estimating</w:t>
      </w:r>
      <w:r>
        <w:rPr>
          <w:rFonts w:cs="Avenir Next"/>
        </w:rPr>
        <w:t xml:space="preserve"> the</w:t>
      </w:r>
      <w:r>
        <w:rPr>
          <w:rFonts w:cs="Avenir Next"/>
          <w:spacing w:val="-3"/>
        </w:rPr>
        <w:t xml:space="preserve"> WACC</w:t>
      </w:r>
      <w:r>
        <w:rPr>
          <w:rFonts w:cs="Avenir Next"/>
        </w:rPr>
        <w:t xml:space="preserve"> in this case</w:t>
      </w:r>
      <w:r>
        <w:rPr>
          <w:rFonts w:cs="Avenir Next"/>
          <w:spacing w:val="59"/>
        </w:rPr>
        <w:t xml:space="preserve"> </w:t>
      </w:r>
      <w:r>
        <w:t>is</w:t>
      </w:r>
      <w:r>
        <w:rPr>
          <w:spacing w:val="-1"/>
        </w:rPr>
        <w:t xml:space="preserve"> </w:t>
      </w:r>
      <w:r>
        <w:t>the benchmark</w:t>
      </w:r>
      <w:r>
        <w:rPr>
          <w:spacing w:val="-1"/>
        </w:rPr>
        <w:t xml:space="preserve"> efficient</w:t>
      </w:r>
      <w:r>
        <w:t xml:space="preserve"> </w:t>
      </w:r>
      <w:r>
        <w:rPr>
          <w:spacing w:val="-2"/>
        </w:rPr>
        <w:t>entity.</w:t>
      </w:r>
      <w:r>
        <w:rPr>
          <w:spacing w:val="-6"/>
        </w:rPr>
        <w:t xml:space="preserve"> </w:t>
      </w:r>
      <w:r>
        <w:t>Using</w:t>
      </w:r>
      <w:r>
        <w:rPr>
          <w:spacing w:val="-1"/>
        </w:rPr>
        <w:t xml:space="preserve"> </w:t>
      </w:r>
      <w:r>
        <w:t xml:space="preserve">this </w:t>
      </w:r>
      <w:r>
        <w:rPr>
          <w:spacing w:val="-1"/>
        </w:rPr>
        <w:t xml:space="preserve">reference </w:t>
      </w:r>
      <w:r>
        <w:t>point,</w:t>
      </w:r>
      <w:r>
        <w:rPr>
          <w:spacing w:val="-6"/>
        </w:rPr>
        <w:t xml:space="preserve"> </w:t>
      </w:r>
      <w:r>
        <w:t xml:space="preserve">the </w:t>
      </w:r>
      <w:r>
        <w:rPr>
          <w:spacing w:val="-3"/>
        </w:rPr>
        <w:t>Panel</w:t>
      </w:r>
      <w:r>
        <w:rPr>
          <w:spacing w:val="-1"/>
        </w:rPr>
        <w:t xml:space="preserve"> </w:t>
      </w:r>
      <w:r>
        <w:t xml:space="preserve">determined </w:t>
      </w:r>
      <w:r>
        <w:rPr>
          <w:spacing w:val="-1"/>
        </w:rPr>
        <w:t xml:space="preserve">that </w:t>
      </w:r>
      <w:r>
        <w:t xml:space="preserve">the </w:t>
      </w:r>
      <w:r>
        <w:rPr>
          <w:spacing w:val="-1"/>
        </w:rPr>
        <w:t>appropriate</w:t>
      </w:r>
      <w:r>
        <w:rPr>
          <w:spacing w:val="45"/>
        </w:rPr>
        <w:t xml:space="preserve"> </w:t>
      </w:r>
      <w:r>
        <w:t>nominal post-tax</w:t>
      </w:r>
      <w:r>
        <w:rPr>
          <w:spacing w:val="-3"/>
        </w:rPr>
        <w:t xml:space="preserve"> WACC</w:t>
      </w:r>
      <w:r>
        <w:t xml:space="preserve"> for the 2013- 2018 </w:t>
      </w:r>
      <w:r>
        <w:rPr>
          <w:spacing w:val="-1"/>
        </w:rPr>
        <w:t>regulatory</w:t>
      </w:r>
      <w:r>
        <w:t xml:space="preserve"> period is 7.20%.</w:t>
      </w:r>
    </w:p>
    <w:p w:rsidR="00D96B91" w:rsidRDefault="00D96B91">
      <w:pPr>
        <w:pStyle w:val="BodyText"/>
        <w:spacing w:before="170" w:line="260" w:lineRule="exact"/>
        <w:ind w:right="1621"/>
        <w:jc w:val="both"/>
      </w:pPr>
      <w:hyperlink w:anchor="_bookmark85" w:history="1">
        <w:r w:rsidR="00C2656B">
          <w:rPr>
            <w:spacing w:val="-4"/>
          </w:rPr>
          <w:t>Table</w:t>
        </w:r>
        <w:r w:rsidR="00C2656B">
          <w:t xml:space="preserve"> 10.1</w:t>
        </w:r>
      </w:hyperlink>
      <w:r w:rsidR="00C2656B">
        <w:t xml:space="preserve"> </w:t>
      </w:r>
      <w:r w:rsidR="00C2656B">
        <w:rPr>
          <w:rFonts w:cs="Avenir Next"/>
        </w:rPr>
        <w:t xml:space="preserve">sets out the </w:t>
      </w:r>
      <w:r w:rsidR="00C2656B">
        <w:rPr>
          <w:rFonts w:cs="Avenir Next"/>
          <w:spacing w:val="-4"/>
        </w:rPr>
        <w:t>Panel’s</w:t>
      </w:r>
      <w:r w:rsidR="00C2656B">
        <w:rPr>
          <w:rFonts w:cs="Avenir Next"/>
        </w:rPr>
        <w:t xml:space="preserve"> </w:t>
      </w:r>
      <w:r w:rsidR="00C2656B">
        <w:rPr>
          <w:rFonts w:cs="Avenir Next"/>
          <w:spacing w:val="-2"/>
        </w:rPr>
        <w:t>draft</w:t>
      </w:r>
      <w:r w:rsidR="00C2656B">
        <w:rPr>
          <w:rFonts w:cs="Avenir Next"/>
        </w:rPr>
        <w:t xml:space="preserve"> decision on the value of</w:t>
      </w:r>
      <w:r w:rsidR="00C2656B">
        <w:rPr>
          <w:rFonts w:cs="Avenir Next"/>
          <w:spacing w:val="4"/>
        </w:rPr>
        <w:t xml:space="preserve"> </w:t>
      </w:r>
      <w:r w:rsidR="00C2656B">
        <w:rPr>
          <w:rFonts w:cs="Avenir Next"/>
          <w:spacing w:val="-1"/>
        </w:rPr>
        <w:t>each</w:t>
      </w:r>
      <w:r w:rsidR="00C2656B">
        <w:rPr>
          <w:rFonts w:cs="Avenir Next"/>
        </w:rPr>
        <w:t xml:space="preserve"> of</w:t>
      </w:r>
      <w:r w:rsidR="00C2656B">
        <w:rPr>
          <w:rFonts w:cs="Avenir Next"/>
          <w:spacing w:val="4"/>
        </w:rPr>
        <w:t xml:space="preserve"> </w:t>
      </w:r>
      <w:r w:rsidR="00C2656B">
        <w:rPr>
          <w:rFonts w:cs="Avenir Next"/>
        </w:rPr>
        <w:t xml:space="preserve">the </w:t>
      </w:r>
      <w:r w:rsidR="00C2656B">
        <w:rPr>
          <w:rFonts w:cs="Avenir Next"/>
          <w:spacing w:val="-1"/>
        </w:rPr>
        <w:t>parameters</w:t>
      </w:r>
      <w:r w:rsidR="00C2656B">
        <w:rPr>
          <w:rFonts w:cs="Avenir Next"/>
        </w:rPr>
        <w:t xml:space="preserve"> </w:t>
      </w:r>
      <w:r w:rsidR="00C2656B">
        <w:rPr>
          <w:rFonts w:cs="Avenir Next"/>
          <w:spacing w:val="-1"/>
        </w:rPr>
        <w:t>that</w:t>
      </w:r>
      <w:r w:rsidR="00C2656B">
        <w:rPr>
          <w:rFonts w:cs="Avenir Next"/>
        </w:rPr>
        <w:t xml:space="preserve"> </w:t>
      </w:r>
      <w:r w:rsidR="00C2656B">
        <w:rPr>
          <w:rFonts w:cs="Avenir Next"/>
          <w:spacing w:val="-2"/>
        </w:rPr>
        <w:t>are</w:t>
      </w:r>
      <w:r w:rsidR="00C2656B">
        <w:rPr>
          <w:rFonts w:cs="Avenir Next"/>
        </w:rPr>
        <w:t xml:space="preserve"> used to</w:t>
      </w:r>
      <w:r w:rsidR="00C2656B">
        <w:rPr>
          <w:rFonts w:cs="Avenir Next"/>
          <w:spacing w:val="43"/>
        </w:rPr>
        <w:t xml:space="preserve"> </w:t>
      </w:r>
      <w:r w:rsidR="00C2656B">
        <w:rPr>
          <w:rFonts w:cs="Avenir Next"/>
          <w:spacing w:val="-1"/>
        </w:rPr>
        <w:t>calculate</w:t>
      </w:r>
      <w:r w:rsidR="00C2656B">
        <w:rPr>
          <w:rFonts w:cs="Avenir Next"/>
        </w:rPr>
        <w:t xml:space="preserve"> the</w:t>
      </w:r>
      <w:r w:rsidR="00C2656B">
        <w:rPr>
          <w:rFonts w:cs="Avenir Next"/>
          <w:spacing w:val="-3"/>
        </w:rPr>
        <w:t xml:space="preserve"> WACC</w:t>
      </w:r>
      <w:r w:rsidR="00C2656B">
        <w:rPr>
          <w:rFonts w:cs="Avenir Next"/>
        </w:rPr>
        <w:t xml:space="preserve"> and the </w:t>
      </w:r>
      <w:r w:rsidR="00C2656B">
        <w:rPr>
          <w:rFonts w:cs="Avenir Next"/>
          <w:spacing w:val="-1"/>
        </w:rPr>
        <w:t>resultant</w:t>
      </w:r>
      <w:r w:rsidR="00C2656B">
        <w:rPr>
          <w:rFonts w:cs="Avenir Next"/>
          <w:spacing w:val="-3"/>
        </w:rPr>
        <w:t xml:space="preserve"> </w:t>
      </w:r>
      <w:r w:rsidR="00C2656B">
        <w:rPr>
          <w:rFonts w:cs="Avenir Next"/>
          <w:spacing w:val="-2"/>
        </w:rPr>
        <w:t>WACC,</w:t>
      </w:r>
      <w:r w:rsidR="00C2656B">
        <w:rPr>
          <w:rFonts w:cs="Avenir Next"/>
          <w:spacing w:val="-6"/>
        </w:rPr>
        <w:t xml:space="preserve"> </w:t>
      </w:r>
      <w:r w:rsidR="00C2656B">
        <w:rPr>
          <w:rFonts w:cs="Avenir Next"/>
        </w:rPr>
        <w:t xml:space="preserve">as well as its </w:t>
      </w:r>
      <w:r w:rsidR="00C2656B">
        <w:rPr>
          <w:rFonts w:cs="Avenir Next"/>
          <w:spacing w:val="-2"/>
        </w:rPr>
        <w:t>draft</w:t>
      </w:r>
      <w:r w:rsidR="00C2656B">
        <w:rPr>
          <w:rFonts w:cs="Avenir Next"/>
        </w:rPr>
        <w:t xml:space="preserve"> decision on the value of</w:t>
      </w:r>
      <w:r w:rsidR="00C2656B">
        <w:rPr>
          <w:rFonts w:cs="Avenir Next"/>
          <w:spacing w:val="4"/>
        </w:rPr>
        <w:t xml:space="preserve"> </w:t>
      </w:r>
      <w:r w:rsidR="00C2656B">
        <w:rPr>
          <w:rFonts w:cs="Avenir Next"/>
          <w:spacing w:val="-1"/>
        </w:rPr>
        <w:t>imputation</w:t>
      </w:r>
      <w:r w:rsidR="00C2656B">
        <w:rPr>
          <w:rFonts w:cs="Avenir Next"/>
          <w:spacing w:val="53"/>
        </w:rPr>
        <w:t xml:space="preserve"> </w:t>
      </w:r>
      <w:r w:rsidR="00C2656B">
        <w:rPr>
          <w:spacing w:val="-1"/>
        </w:rPr>
        <w:t>credits</w:t>
      </w:r>
      <w:r w:rsidR="00C2656B">
        <w:t xml:space="preserve"> (gamma) to be used in </w:t>
      </w:r>
      <w:r w:rsidR="00C2656B">
        <w:rPr>
          <w:spacing w:val="-1"/>
        </w:rPr>
        <w:t>calculating</w:t>
      </w:r>
      <w:r w:rsidR="00C2656B">
        <w:t xml:space="preserve"> the allowance for net tax liabilities.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0"/>
        <w:rPr>
          <w:rFonts w:ascii="Avenir Next" w:eastAsia="Avenir Next" w:hAnsi="Avenir Next" w:cs="Avenir Next"/>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94" style="width:72.5pt;height:.5pt;mso-position-horizontal-relative:char;mso-position-vertical-relative:line" coordsize="1450,10">
            <v:group id="_x0000_s3095" style="position:absolute;left:5;top:5;width:1440;height:2" coordorigin="5,5" coordsize="1440,2">
              <v:shape id="_x0000_s3096" style="position:absolute;left:5;top:5;width:1440;height:2" coordorigin="5,5" coordsize="1440,0" path="m5,5r1440,e" filled="f" strokeweight=".5pt">
                <v:path arrowok="t"/>
              </v:shape>
            </v:group>
            <w10:wrap type="none"/>
            <w10:anchorlock/>
          </v:group>
        </w:pict>
      </w:r>
    </w:p>
    <w:p w:rsidR="00D96B91" w:rsidRDefault="00C2656B">
      <w:pPr>
        <w:numPr>
          <w:ilvl w:val="0"/>
          <w:numId w:val="65"/>
        </w:numPr>
        <w:tabs>
          <w:tab w:val="left" w:pos="1758"/>
        </w:tabs>
        <w:spacing w:before="38"/>
        <w:ind w:hanging="510"/>
        <w:rPr>
          <w:rFonts w:ascii="Avenir Next" w:eastAsia="Avenir Next" w:hAnsi="Avenir Next" w:cs="Avenir Next"/>
          <w:sz w:val="16"/>
          <w:szCs w:val="16"/>
        </w:rPr>
      </w:pPr>
      <w:bookmarkStart w:id="136" w:name="_bookmark85"/>
      <w:bookmarkEnd w:id="136"/>
      <w:r>
        <w:rPr>
          <w:rFonts w:ascii="Avenir Next"/>
          <w:spacing w:val="-1"/>
          <w:sz w:val="16"/>
        </w:rPr>
        <w:t>The</w:t>
      </w:r>
      <w:r>
        <w:rPr>
          <w:rFonts w:ascii="Avenir Next"/>
          <w:sz w:val="16"/>
        </w:rPr>
        <w:t xml:space="preserve"> </w:t>
      </w:r>
      <w:r>
        <w:rPr>
          <w:rFonts w:ascii="Avenir Next"/>
          <w:spacing w:val="-1"/>
          <w:sz w:val="16"/>
        </w:rPr>
        <w:t>return</w:t>
      </w:r>
      <w:r>
        <w:rPr>
          <w:rFonts w:ascii="Avenir Next"/>
          <w:sz w:val="16"/>
        </w:rPr>
        <w:t xml:space="preserve"> on capital is </w:t>
      </w:r>
      <w:r>
        <w:rPr>
          <w:rFonts w:ascii="Avenir Next"/>
          <w:spacing w:val="-1"/>
          <w:sz w:val="16"/>
        </w:rPr>
        <w:t>calculated</w:t>
      </w:r>
      <w:r>
        <w:rPr>
          <w:rFonts w:ascii="Avenir Next"/>
          <w:sz w:val="16"/>
        </w:rPr>
        <w:t xml:space="preserve"> as the value of</w:t>
      </w:r>
      <w:r>
        <w:rPr>
          <w:rFonts w:ascii="Avenir Next"/>
          <w:spacing w:val="3"/>
          <w:sz w:val="16"/>
        </w:rPr>
        <w:t xml:space="preserve"> </w:t>
      </w:r>
      <w:r>
        <w:rPr>
          <w:rFonts w:ascii="Avenir Next"/>
          <w:sz w:val="16"/>
        </w:rPr>
        <w:t xml:space="preserve">the </w:t>
      </w:r>
      <w:r>
        <w:rPr>
          <w:rFonts w:ascii="Avenir Next"/>
          <w:spacing w:val="-1"/>
          <w:sz w:val="16"/>
        </w:rPr>
        <w:t>Regulatory</w:t>
      </w:r>
      <w:r>
        <w:rPr>
          <w:rFonts w:ascii="Avenir Next"/>
          <w:spacing w:val="-3"/>
          <w:sz w:val="16"/>
        </w:rPr>
        <w:t xml:space="preserve"> </w:t>
      </w:r>
      <w:r>
        <w:rPr>
          <w:rFonts w:ascii="Avenir Next"/>
          <w:sz w:val="16"/>
        </w:rPr>
        <w:t xml:space="preserve">Asset Base (RAB) multiplied by the allowed </w:t>
      </w:r>
      <w:r>
        <w:rPr>
          <w:rFonts w:ascii="Avenir Next"/>
          <w:spacing w:val="-1"/>
          <w:sz w:val="16"/>
        </w:rPr>
        <w:t>rate</w:t>
      </w:r>
      <w:r>
        <w:rPr>
          <w:rFonts w:ascii="Avenir Next"/>
          <w:sz w:val="16"/>
        </w:rPr>
        <w:t xml:space="preserve"> of</w:t>
      </w:r>
      <w:r>
        <w:rPr>
          <w:rFonts w:ascii="Avenir Next"/>
          <w:spacing w:val="3"/>
          <w:sz w:val="16"/>
        </w:rPr>
        <w:t xml:space="preserve"> </w:t>
      </w:r>
      <w:r>
        <w:rPr>
          <w:rFonts w:ascii="Avenir Next"/>
          <w:spacing w:val="-1"/>
          <w:sz w:val="16"/>
        </w:rPr>
        <w:t>return.</w:t>
      </w:r>
    </w:p>
    <w:p w:rsidR="00D96B91" w:rsidRDefault="00C2656B">
      <w:pPr>
        <w:numPr>
          <w:ilvl w:val="0"/>
          <w:numId w:val="65"/>
        </w:numPr>
        <w:tabs>
          <w:tab w:val="left" w:pos="1758"/>
        </w:tabs>
        <w:spacing w:before="128" w:line="192" w:lineRule="exact"/>
        <w:ind w:right="1825" w:hanging="510"/>
        <w:rPr>
          <w:rFonts w:ascii="Avenir Next" w:eastAsia="Avenir Next" w:hAnsi="Avenir Next" w:cs="Avenir Next"/>
          <w:sz w:val="16"/>
          <w:szCs w:val="16"/>
        </w:rPr>
      </w:pPr>
      <w:r>
        <w:rPr>
          <w:rFonts w:ascii="Avenir Next"/>
          <w:spacing w:val="-1"/>
          <w:sz w:val="16"/>
        </w:rPr>
        <w:t>The</w:t>
      </w:r>
      <w:r>
        <w:rPr>
          <w:rFonts w:ascii="Avenir Next"/>
          <w:spacing w:val="-2"/>
          <w:sz w:val="16"/>
        </w:rPr>
        <w:t xml:space="preserve"> WACC</w:t>
      </w:r>
      <w:r>
        <w:rPr>
          <w:rFonts w:ascii="Avenir Next"/>
          <w:sz w:val="16"/>
        </w:rPr>
        <w:t xml:space="preserve"> is the sum of</w:t>
      </w:r>
      <w:r>
        <w:rPr>
          <w:rFonts w:ascii="Avenir Next"/>
          <w:spacing w:val="3"/>
          <w:sz w:val="16"/>
        </w:rPr>
        <w:t xml:space="preserve"> </w:t>
      </w:r>
      <w:r>
        <w:rPr>
          <w:rFonts w:ascii="Avenir Next"/>
          <w:sz w:val="16"/>
        </w:rPr>
        <w:t xml:space="preserve">the </w:t>
      </w:r>
      <w:r>
        <w:rPr>
          <w:rFonts w:ascii="Avenir Next"/>
          <w:spacing w:val="-1"/>
          <w:sz w:val="16"/>
        </w:rPr>
        <w:t>rates</w:t>
      </w:r>
      <w:r>
        <w:rPr>
          <w:rFonts w:ascii="Avenir Next"/>
          <w:sz w:val="16"/>
        </w:rPr>
        <w:t xml:space="preserve"> of</w:t>
      </w:r>
      <w:r>
        <w:rPr>
          <w:rFonts w:ascii="Avenir Next"/>
          <w:spacing w:val="3"/>
          <w:sz w:val="16"/>
        </w:rPr>
        <w:t xml:space="preserve"> </w:t>
      </w:r>
      <w:r>
        <w:rPr>
          <w:rFonts w:ascii="Avenir Next"/>
          <w:spacing w:val="-1"/>
          <w:sz w:val="16"/>
        </w:rPr>
        <w:t>return</w:t>
      </w:r>
      <w:r>
        <w:rPr>
          <w:rFonts w:ascii="Avenir Next"/>
          <w:sz w:val="16"/>
        </w:rPr>
        <w:t xml:space="preserve"> </w:t>
      </w:r>
      <w:r>
        <w:rPr>
          <w:rFonts w:ascii="Avenir Next"/>
          <w:spacing w:val="-1"/>
          <w:sz w:val="16"/>
        </w:rPr>
        <w:t>expected</w:t>
      </w:r>
      <w:r>
        <w:rPr>
          <w:rFonts w:ascii="Avenir Next"/>
          <w:sz w:val="16"/>
        </w:rPr>
        <w:t xml:space="preserve"> by equity and debt investors in the business,</w:t>
      </w:r>
      <w:r>
        <w:rPr>
          <w:rFonts w:ascii="Avenir Next"/>
          <w:spacing w:val="-5"/>
          <w:sz w:val="16"/>
        </w:rPr>
        <w:t xml:space="preserve"> </w:t>
      </w:r>
      <w:r>
        <w:rPr>
          <w:rFonts w:ascii="Avenir Next"/>
          <w:sz w:val="16"/>
        </w:rPr>
        <w:t>weighted by the</w:t>
      </w:r>
      <w:r>
        <w:rPr>
          <w:rFonts w:ascii="Avenir Next"/>
          <w:spacing w:val="25"/>
          <w:sz w:val="16"/>
        </w:rPr>
        <w:t xml:space="preserve"> </w:t>
      </w:r>
      <w:r>
        <w:rPr>
          <w:rFonts w:ascii="Avenir Next"/>
          <w:spacing w:val="-1"/>
          <w:sz w:val="16"/>
        </w:rPr>
        <w:t xml:space="preserve">proportions </w:t>
      </w:r>
      <w:r>
        <w:rPr>
          <w:rFonts w:ascii="Avenir Next"/>
          <w:sz w:val="16"/>
        </w:rPr>
        <w:t>of</w:t>
      </w:r>
      <w:r>
        <w:rPr>
          <w:rFonts w:ascii="Avenir Next"/>
          <w:spacing w:val="3"/>
          <w:sz w:val="16"/>
        </w:rPr>
        <w:t xml:space="preserve"> </w:t>
      </w:r>
      <w:r>
        <w:rPr>
          <w:rFonts w:ascii="Avenir Next"/>
          <w:sz w:val="16"/>
        </w:rPr>
        <w:t>equity</w:t>
      </w:r>
      <w:r>
        <w:rPr>
          <w:rFonts w:ascii="Avenir Next"/>
          <w:spacing w:val="-1"/>
          <w:sz w:val="16"/>
        </w:rPr>
        <w:t xml:space="preserve"> </w:t>
      </w:r>
      <w:r>
        <w:rPr>
          <w:rFonts w:ascii="Avenir Next"/>
          <w:sz w:val="16"/>
        </w:rPr>
        <w:t>and debt</w:t>
      </w:r>
      <w:r>
        <w:rPr>
          <w:rFonts w:ascii="Avenir Next"/>
          <w:spacing w:val="-1"/>
          <w:sz w:val="16"/>
        </w:rPr>
        <w:t xml:space="preserve"> </w:t>
      </w:r>
      <w:r>
        <w:rPr>
          <w:rFonts w:ascii="Avenir Next"/>
          <w:sz w:val="16"/>
        </w:rPr>
        <w:t>used to</w:t>
      </w:r>
      <w:r>
        <w:rPr>
          <w:rFonts w:ascii="Avenir Next"/>
          <w:spacing w:val="-1"/>
          <w:sz w:val="16"/>
        </w:rPr>
        <w:t xml:space="preserve"> </w:t>
      </w:r>
      <w:r>
        <w:rPr>
          <w:rFonts w:ascii="Avenir Next"/>
          <w:sz w:val="16"/>
        </w:rPr>
        <w:t>finance assets</w:t>
      </w:r>
      <w:r>
        <w:rPr>
          <w:rFonts w:ascii="Avenir Next"/>
          <w:spacing w:val="-1"/>
          <w:sz w:val="16"/>
        </w:rPr>
        <w:t xml:space="preserve"> </w:t>
      </w:r>
      <w:r>
        <w:rPr>
          <w:rFonts w:ascii="Avenir Next"/>
          <w:sz w:val="16"/>
        </w:rPr>
        <w:t>in the</w:t>
      </w:r>
      <w:r>
        <w:rPr>
          <w:rFonts w:ascii="Avenir Next"/>
          <w:spacing w:val="-1"/>
          <w:sz w:val="16"/>
        </w:rPr>
        <w:t xml:space="preserve"> </w:t>
      </w:r>
      <w:r>
        <w:rPr>
          <w:rFonts w:ascii="Avenir Next"/>
          <w:sz w:val="16"/>
        </w:rPr>
        <w:t>business.</w:t>
      </w:r>
    </w:p>
    <w:p w:rsidR="00D96B91" w:rsidRDefault="00D96B91">
      <w:pPr>
        <w:spacing w:line="192" w:lineRule="exact"/>
        <w:rPr>
          <w:rFonts w:ascii="Avenir Next" w:eastAsia="Avenir Next" w:hAnsi="Avenir Next" w:cs="Avenir Next"/>
          <w:sz w:val="16"/>
          <w:szCs w:val="16"/>
        </w:rPr>
        <w:sectPr w:rsidR="00D96B91">
          <w:footerReference w:type="even" r:id="rId66"/>
          <w:footerReference w:type="default" r:id="rId67"/>
          <w:pgSz w:w="11910" w:h="16840"/>
          <w:pgMar w:top="1260" w:right="0" w:bottom="1020" w:left="0" w:header="0" w:footer="829" w:gutter="0"/>
          <w:pgNumType w:start="99"/>
          <w:cols w:space="720"/>
        </w:sectPr>
      </w:pPr>
    </w:p>
    <w:p w:rsidR="00D96B91" w:rsidRDefault="00C2656B">
      <w:pPr>
        <w:spacing w:before="29"/>
        <w:ind w:left="1247"/>
        <w:rPr>
          <w:rFonts w:ascii="Avenir Next" w:eastAsia="Avenir Next" w:hAnsi="Avenir Next" w:cs="Avenir Next"/>
          <w:sz w:val="20"/>
          <w:szCs w:val="20"/>
        </w:rPr>
      </w:pPr>
      <w:bookmarkStart w:id="137" w:name="10._2_Appropriate_approach_for_estimatin"/>
      <w:bookmarkStart w:id="138" w:name="_bookmark86"/>
      <w:bookmarkEnd w:id="137"/>
      <w:bookmarkEnd w:id="138"/>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10.1: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3"/>
          <w:sz w:val="20"/>
          <w:szCs w:val="20"/>
        </w:rPr>
        <w:t xml:space="preserve"> WACC</w:t>
      </w:r>
      <w:r>
        <w:rPr>
          <w:rFonts w:ascii="Avenir Next" w:eastAsia="Avenir Next" w:hAnsi="Avenir Next" w:cs="Avenir Next"/>
          <w:b/>
          <w:bCs/>
          <w:sz w:val="20"/>
          <w:szCs w:val="20"/>
        </w:rPr>
        <w:t xml:space="preserve"> (nominal)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100"/>
        <w:gridCol w:w="1984"/>
        <w:gridCol w:w="6156"/>
      </w:tblGrid>
      <w:tr w:rsidR="00D96B91" w:rsidTr="006909CD">
        <w:trPr>
          <w:trHeight w:hRule="exact" w:val="407"/>
        </w:trPr>
        <w:tc>
          <w:tcPr>
            <w:tcW w:w="210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198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Panel’s</w:t>
            </w:r>
            <w:r>
              <w:rPr>
                <w:rFonts w:ascii="Avenir Next Condensed" w:eastAsia="Avenir Next Condensed" w:hAnsi="Avenir Next Condensed" w:cs="Avenir Next Condensed"/>
                <w:b/>
                <w:bCs/>
                <w:color w:val="FFFFFF"/>
                <w:sz w:val="18"/>
                <w:szCs w:val="18"/>
              </w:rPr>
              <w:t xml:space="preserve"> </w:t>
            </w:r>
            <w:r>
              <w:rPr>
                <w:rFonts w:ascii="Avenir Next Condensed" w:eastAsia="Avenir Next Condensed" w:hAnsi="Avenir Next Condensed" w:cs="Avenir Next Condensed"/>
                <w:b/>
                <w:bCs/>
                <w:color w:val="FFFFFF"/>
                <w:spacing w:val="-1"/>
                <w:sz w:val="18"/>
                <w:szCs w:val="18"/>
              </w:rPr>
              <w:t>draft</w:t>
            </w:r>
            <w:r>
              <w:rPr>
                <w:rFonts w:ascii="Avenir Next Condensed" w:eastAsia="Avenir Next Condensed" w:hAnsi="Avenir Next Condensed" w:cs="Avenir Next Condensed"/>
                <w:b/>
                <w:bCs/>
                <w:color w:val="FFFFFF"/>
                <w:sz w:val="18"/>
                <w:szCs w:val="18"/>
              </w:rPr>
              <w:t xml:space="preserve"> decision</w:t>
            </w:r>
          </w:p>
        </w:tc>
        <w:tc>
          <w:tcPr>
            <w:tcW w:w="61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r>
              <w:rPr>
                <w:rFonts w:ascii="Avenir Next Condensed"/>
                <w:b/>
                <w:color w:val="FFFFFF"/>
                <w:sz w:val="18"/>
              </w:rPr>
              <w:t xml:space="preserve"> to </w:t>
            </w:r>
            <w:r>
              <w:rPr>
                <w:rFonts w:ascii="Avenir Next Condensed"/>
                <w:b/>
                <w:color w:val="FFFFFF"/>
                <w:spacing w:val="-1"/>
                <w:sz w:val="18"/>
              </w:rPr>
              <w:t>parameter</w:t>
            </w:r>
            <w:r>
              <w:rPr>
                <w:rFonts w:ascii="Avenir Next Condensed"/>
                <w:b/>
                <w:color w:val="FFFFFF"/>
                <w:sz w:val="18"/>
              </w:rPr>
              <w:t xml:space="preserve"> estimation</w:t>
            </w:r>
          </w:p>
        </w:tc>
      </w:tr>
      <w:tr w:rsidR="00D96B91" w:rsidTr="006909CD">
        <w:trPr>
          <w:trHeight w:hRule="exact" w:val="627"/>
        </w:trPr>
        <w:tc>
          <w:tcPr>
            <w:tcW w:w="210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Risk-free</w:t>
            </w:r>
            <w:r>
              <w:rPr>
                <w:rFonts w:ascii="Avenir Next Condensed"/>
                <w:sz w:val="18"/>
              </w:rPr>
              <w:t xml:space="preserve"> </w:t>
            </w:r>
            <w:r>
              <w:rPr>
                <w:rFonts w:ascii="Avenir Next Condensed"/>
                <w:spacing w:val="-1"/>
                <w:sz w:val="18"/>
              </w:rPr>
              <w:t>rate</w:t>
            </w:r>
          </w:p>
        </w:tc>
        <w:tc>
          <w:tcPr>
            <w:tcW w:w="198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3.22%</w:t>
            </w:r>
          </w:p>
        </w:tc>
        <w:tc>
          <w:tcPr>
            <w:tcW w:w="615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632"/>
              <w:rPr>
                <w:rFonts w:ascii="Avenir Next Condensed" w:eastAsia="Avenir Next Condensed" w:hAnsi="Avenir Next Condensed" w:cs="Avenir Next Condensed"/>
                <w:sz w:val="18"/>
                <w:szCs w:val="18"/>
              </w:rPr>
            </w:pPr>
            <w:r>
              <w:rPr>
                <w:rFonts w:ascii="Avenir Next Condensed"/>
                <w:sz w:val="18"/>
              </w:rPr>
              <w:t xml:space="preserve">40-day </w:t>
            </w:r>
            <w:r>
              <w:rPr>
                <w:rFonts w:ascii="Avenir Next Condensed"/>
                <w:spacing w:val="-1"/>
                <w:sz w:val="18"/>
              </w:rPr>
              <w:t>average</w:t>
            </w:r>
            <w:r>
              <w:rPr>
                <w:rFonts w:ascii="Avenir Next Condensed"/>
                <w:sz w:val="18"/>
              </w:rPr>
              <w:t xml:space="preserve"> of</w:t>
            </w:r>
            <w:r>
              <w:rPr>
                <w:rFonts w:ascii="Avenir Next Condensed"/>
                <w:spacing w:val="4"/>
                <w:sz w:val="18"/>
              </w:rPr>
              <w:t xml:space="preserve"> </w:t>
            </w:r>
            <w:r>
              <w:rPr>
                <w:rFonts w:ascii="Avenir Next Condensed"/>
                <w:sz w:val="18"/>
              </w:rPr>
              <w:t xml:space="preserve">the yields on the </w:t>
            </w:r>
            <w:r>
              <w:rPr>
                <w:rFonts w:ascii="Avenir Next Condensed"/>
                <w:spacing w:val="-1"/>
                <w:sz w:val="18"/>
              </w:rPr>
              <w:t>10-year</w:t>
            </w:r>
            <w:r>
              <w:rPr>
                <w:rFonts w:ascii="Avenir Next Condensed"/>
                <w:sz w:val="18"/>
              </w:rPr>
              <w:t xml:space="preserve"> </w:t>
            </w:r>
            <w:r>
              <w:rPr>
                <w:rFonts w:ascii="Avenir Next Condensed"/>
                <w:spacing w:val="-1"/>
                <w:sz w:val="18"/>
              </w:rPr>
              <w:t>Commonwealth</w:t>
            </w:r>
            <w:r>
              <w:rPr>
                <w:rFonts w:ascii="Avenir Next Condensed"/>
                <w:sz w:val="18"/>
              </w:rPr>
              <w:t xml:space="preserve"> Government</w:t>
            </w:r>
            <w:r>
              <w:rPr>
                <w:rFonts w:ascii="Avenir Next Condensed"/>
                <w:spacing w:val="35"/>
                <w:sz w:val="18"/>
              </w:rPr>
              <w:t xml:space="preserve"> </w:t>
            </w:r>
            <w:r>
              <w:rPr>
                <w:rFonts w:ascii="Avenir Next Condensed"/>
                <w:sz w:val="18"/>
              </w:rPr>
              <w:t xml:space="preserve">Security using data </w:t>
            </w:r>
            <w:r>
              <w:rPr>
                <w:rFonts w:ascii="Avenir Next Condensed"/>
                <w:spacing w:val="-1"/>
                <w:sz w:val="18"/>
              </w:rPr>
              <w:t>from</w:t>
            </w:r>
            <w:r>
              <w:rPr>
                <w:rFonts w:ascii="Avenir Next Condensed"/>
                <w:sz w:val="18"/>
              </w:rPr>
              <w:t xml:space="preserve"> </w:t>
            </w:r>
            <w:r>
              <w:rPr>
                <w:rFonts w:ascii="Avenir Next Condensed"/>
                <w:spacing w:val="-1"/>
                <w:sz w:val="18"/>
              </w:rPr>
              <w:t>Bloomberg</w:t>
            </w:r>
            <w:r>
              <w:rPr>
                <w:rFonts w:ascii="Avenir Next Condensed"/>
                <w:sz w:val="18"/>
              </w:rPr>
              <w:t xml:space="preserve"> (Series ID: </w:t>
            </w:r>
            <w:r>
              <w:rPr>
                <w:rFonts w:ascii="Avenir Next Condensed"/>
                <w:spacing w:val="-1"/>
                <w:sz w:val="18"/>
              </w:rPr>
              <w:t>GACGB10</w:t>
            </w:r>
            <w:r>
              <w:rPr>
                <w:rFonts w:ascii="Avenir Next Condensed"/>
                <w:sz w:val="18"/>
              </w:rPr>
              <w:t xml:space="preserve"> </w:t>
            </w:r>
            <w:r>
              <w:rPr>
                <w:rFonts w:ascii="Avenir Next Condensed"/>
                <w:spacing w:val="-1"/>
                <w:sz w:val="18"/>
              </w:rPr>
              <w:t>Index)</w:t>
            </w:r>
          </w:p>
        </w:tc>
      </w:tr>
      <w:tr w:rsidR="00D96B91" w:rsidTr="006909CD">
        <w:trPr>
          <w:trHeight w:hRule="exact" w:val="84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margin</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3.13%</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42"/>
              <w:rPr>
                <w:rFonts w:ascii="Avenir Next Condensed" w:eastAsia="Avenir Next Condensed" w:hAnsi="Avenir Next Condensed" w:cs="Avenir Next Condensed"/>
                <w:sz w:val="18"/>
                <w:szCs w:val="18"/>
              </w:rPr>
            </w:pPr>
            <w:r>
              <w:rPr>
                <w:rFonts w:ascii="Avenir Next Condensed"/>
                <w:sz w:val="18"/>
              </w:rPr>
              <w:t xml:space="preserve">40-day </w:t>
            </w:r>
            <w:r>
              <w:rPr>
                <w:rFonts w:ascii="Avenir Next Condensed"/>
                <w:spacing w:val="-1"/>
                <w:sz w:val="18"/>
              </w:rPr>
              <w:t>average</w:t>
            </w:r>
            <w:r>
              <w:rPr>
                <w:rFonts w:ascii="Avenir Next Condensed"/>
                <w:sz w:val="18"/>
              </w:rPr>
              <w:t xml:space="preserve"> </w:t>
            </w:r>
            <w:r>
              <w:rPr>
                <w:rFonts w:ascii="Avenir Next Condensed"/>
                <w:spacing w:val="-1"/>
                <w:sz w:val="18"/>
              </w:rPr>
              <w:t>(approximated</w:t>
            </w:r>
            <w:r>
              <w:rPr>
                <w:rFonts w:ascii="Avenir Next Condensed"/>
                <w:sz w:val="18"/>
              </w:rPr>
              <w:t xml:space="preserve"> by 2-month </w:t>
            </w:r>
            <w:r>
              <w:rPr>
                <w:rFonts w:ascii="Avenir Next Condensed"/>
                <w:spacing w:val="-1"/>
                <w:sz w:val="18"/>
              </w:rPr>
              <w:t>average)</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credit</w:t>
            </w:r>
            <w:r>
              <w:rPr>
                <w:rFonts w:ascii="Avenir Next Condensed"/>
                <w:sz w:val="18"/>
              </w:rPr>
              <w:t xml:space="preserve"> </w:t>
            </w:r>
            <w:r>
              <w:rPr>
                <w:rFonts w:ascii="Avenir Next Condensed"/>
                <w:spacing w:val="-1"/>
                <w:sz w:val="18"/>
              </w:rPr>
              <w:t>spreads</w:t>
            </w:r>
            <w:r>
              <w:rPr>
                <w:rFonts w:ascii="Avenir Next Condensed"/>
                <w:sz w:val="18"/>
              </w:rPr>
              <w:t xml:space="preserve"> for</w:t>
            </w:r>
            <w:r>
              <w:rPr>
                <w:rFonts w:ascii="Avenir Next Condensed"/>
                <w:spacing w:val="55"/>
                <w:sz w:val="18"/>
              </w:rPr>
              <w:t xml:space="preserve"> </w:t>
            </w:r>
            <w:r>
              <w:rPr>
                <w:rFonts w:ascii="Avenir Next Condensed"/>
                <w:sz w:val="18"/>
              </w:rPr>
              <w:t xml:space="preserve">the </w:t>
            </w:r>
            <w:r>
              <w:rPr>
                <w:rFonts w:ascii="Avenir Next Condensed"/>
                <w:spacing w:val="-1"/>
                <w:sz w:val="18"/>
              </w:rPr>
              <w:t>10-year</w:t>
            </w:r>
            <w:r>
              <w:rPr>
                <w:rFonts w:ascii="Avenir Next Condensed"/>
                <w:sz w:val="18"/>
              </w:rPr>
              <w:t xml:space="preserve"> BBB</w:t>
            </w:r>
            <w:r>
              <w:rPr>
                <w:rFonts w:ascii="Avenir Next Condensed"/>
                <w:spacing w:val="-4"/>
                <w:sz w:val="18"/>
              </w:rPr>
              <w:t xml:space="preserve"> </w:t>
            </w:r>
            <w:r>
              <w:rPr>
                <w:rFonts w:ascii="Avenir Next Condensed"/>
                <w:spacing w:val="-1"/>
                <w:sz w:val="18"/>
              </w:rPr>
              <w:t>Australian</w:t>
            </w:r>
            <w:r>
              <w:rPr>
                <w:rFonts w:ascii="Avenir Next Condensed"/>
                <w:sz w:val="18"/>
              </w:rPr>
              <w:t xml:space="preserve"> </w:t>
            </w:r>
            <w:r>
              <w:rPr>
                <w:rFonts w:ascii="Avenir Next Condensed"/>
                <w:spacing w:val="-1"/>
                <w:sz w:val="18"/>
              </w:rPr>
              <w:t>corporate</w:t>
            </w:r>
            <w:r>
              <w:rPr>
                <w:rFonts w:ascii="Avenir Next Condensed"/>
                <w:sz w:val="18"/>
              </w:rPr>
              <w:t xml:space="preserve"> bonds using data </w:t>
            </w:r>
            <w:r>
              <w:rPr>
                <w:rFonts w:ascii="Avenir Next Condensed"/>
                <w:spacing w:val="-1"/>
                <w:sz w:val="18"/>
              </w:rPr>
              <w:t>from</w:t>
            </w:r>
            <w:r>
              <w:rPr>
                <w:rFonts w:ascii="Avenir Next Condensed"/>
                <w:sz w:val="18"/>
              </w:rPr>
              <w:t xml:space="preserve"> the RBA</w:t>
            </w:r>
            <w:r>
              <w:rPr>
                <w:rFonts w:ascii="Avenir Next Condensed"/>
                <w:spacing w:val="-4"/>
                <w:sz w:val="18"/>
              </w:rPr>
              <w:t xml:space="preserve"> </w:t>
            </w:r>
            <w:r>
              <w:rPr>
                <w:rFonts w:ascii="Avenir Next Condensed"/>
                <w:sz w:val="18"/>
              </w:rPr>
              <w:t>(Series ID:</w:t>
            </w:r>
            <w:r>
              <w:rPr>
                <w:rFonts w:ascii="Avenir Next Condensed"/>
                <w:spacing w:val="45"/>
                <w:sz w:val="18"/>
              </w:rPr>
              <w:t xml:space="preserve"> </w:t>
            </w:r>
            <w:r>
              <w:rPr>
                <w:rFonts w:ascii="Avenir Next Condensed"/>
                <w:sz w:val="18"/>
              </w:rPr>
              <w:t>FNFCBBB10M)</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raising</w:t>
            </w:r>
            <w:r>
              <w:rPr>
                <w:rFonts w:ascii="Avenir Next Condensed"/>
                <w:sz w:val="18"/>
              </w:rPr>
              <w:t xml:space="preserve"> cost</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
              <w:jc w:val="center"/>
              <w:rPr>
                <w:rFonts w:ascii="Avenir Next Condensed" w:eastAsia="Avenir Next Condensed" w:hAnsi="Avenir Next Condensed" w:cs="Avenir Next Condensed"/>
                <w:sz w:val="18"/>
                <w:szCs w:val="18"/>
              </w:rPr>
            </w:pPr>
            <w:r>
              <w:rPr>
                <w:rFonts w:ascii="Avenir Next Condensed"/>
                <w:sz w:val="18"/>
              </w:rPr>
              <w:t>0.125%</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raising</w:t>
            </w:r>
            <w:r>
              <w:rPr>
                <w:rFonts w:ascii="Avenir Next Condensed"/>
                <w:sz w:val="18"/>
              </w:rPr>
              <w:t xml:space="preserve"> costs for the </w:t>
            </w:r>
            <w:r>
              <w:rPr>
                <w:rFonts w:ascii="Avenir Next Condensed"/>
                <w:spacing w:val="-1"/>
                <w:sz w:val="18"/>
              </w:rPr>
              <w:t>10-year</w:t>
            </w:r>
            <w:r>
              <w:rPr>
                <w:rFonts w:ascii="Avenir Next Condensed"/>
                <w:sz w:val="18"/>
              </w:rPr>
              <w:t xml:space="preserve"> term-to-maturity </w:t>
            </w:r>
            <w:r>
              <w:rPr>
                <w:rFonts w:ascii="Avenir Next Condensed"/>
                <w:spacing w:val="-1"/>
                <w:sz w:val="18"/>
              </w:rPr>
              <w:t>assumption</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Equity beta</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7"/>
              <w:jc w:val="center"/>
              <w:rPr>
                <w:rFonts w:ascii="Avenir Next Condensed" w:eastAsia="Avenir Next Condensed" w:hAnsi="Avenir Next Condensed" w:cs="Avenir Next Condensed"/>
                <w:sz w:val="18"/>
                <w:szCs w:val="18"/>
              </w:rPr>
            </w:pPr>
            <w:r>
              <w:rPr>
                <w:rFonts w:ascii="Avenir Next Condensed"/>
                <w:sz w:val="18"/>
              </w:rPr>
              <w:t>0.70</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Point</w:t>
            </w:r>
            <w:r>
              <w:rPr>
                <w:rFonts w:ascii="Avenir Next Condensed"/>
                <w:sz w:val="18"/>
              </w:rPr>
              <w:t xml:space="preserve"> estimate for the equity beta</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Market</w:t>
            </w:r>
            <w:r>
              <w:rPr>
                <w:rFonts w:ascii="Avenir Next Condensed"/>
                <w:sz w:val="18"/>
              </w:rPr>
              <w:t xml:space="preserve"> risk </w:t>
            </w:r>
            <w:r>
              <w:rPr>
                <w:rFonts w:ascii="Avenir Next Condensed"/>
                <w:spacing w:val="-1"/>
                <w:sz w:val="18"/>
              </w:rPr>
              <w:t>premium</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7.23%</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40-day </w:t>
            </w:r>
            <w:r>
              <w:rPr>
                <w:rFonts w:ascii="Avenir Next Condensed" w:eastAsia="Avenir Next Condensed" w:hAnsi="Avenir Next Condensed" w:cs="Avenir Next Condensed"/>
                <w:spacing w:val="-1"/>
                <w:sz w:val="18"/>
                <w:szCs w:val="18"/>
              </w:rPr>
              <w:t>average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Bloomberg’s</w:t>
            </w:r>
            <w:r>
              <w:rPr>
                <w:rFonts w:ascii="Avenir Next Condensed" w:eastAsia="Avenir Next Condensed" w:hAnsi="Avenir Next Condensed" w:cs="Avenir Next Condensed"/>
                <w:sz w:val="18"/>
                <w:szCs w:val="18"/>
              </w:rPr>
              <w:t xml:space="preserve"> daily implied </w:t>
            </w:r>
            <w:r>
              <w:rPr>
                <w:rFonts w:ascii="Avenir Next Condensed" w:eastAsia="Avenir Next Condensed" w:hAnsi="Avenir Next Condensed" w:cs="Avenir Next Condensed"/>
                <w:spacing w:val="-1"/>
                <w:sz w:val="18"/>
                <w:szCs w:val="18"/>
              </w:rPr>
              <w:t>MRPs</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Gearing</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7"/>
              <w:jc w:val="center"/>
              <w:rPr>
                <w:rFonts w:ascii="Avenir Next Condensed" w:eastAsia="Avenir Next Condensed" w:hAnsi="Avenir Next Condensed" w:cs="Avenir Next Condensed"/>
                <w:sz w:val="18"/>
                <w:szCs w:val="18"/>
              </w:rPr>
            </w:pPr>
            <w:r>
              <w:rPr>
                <w:rFonts w:ascii="Avenir Next Condensed"/>
                <w:sz w:val="18"/>
              </w:rPr>
              <w:t>60%</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Point</w:t>
            </w:r>
            <w:r>
              <w:rPr>
                <w:rFonts w:ascii="Avenir Next Condensed"/>
                <w:sz w:val="18"/>
              </w:rPr>
              <w:t xml:space="preserve"> estimate for the </w:t>
            </w:r>
            <w:r>
              <w:rPr>
                <w:rFonts w:ascii="Avenir Next Condensed"/>
                <w:spacing w:val="-1"/>
                <w:sz w:val="18"/>
              </w:rPr>
              <w:t>gearing</w:t>
            </w:r>
            <w:r>
              <w:rPr>
                <w:rFonts w:ascii="Avenir Next Condensed"/>
                <w:sz w:val="18"/>
              </w:rPr>
              <w:t xml:space="preserve"> </w:t>
            </w:r>
            <w:r>
              <w:rPr>
                <w:rFonts w:ascii="Avenir Next Condensed"/>
                <w:spacing w:val="-1"/>
                <w:sz w:val="18"/>
              </w:rPr>
              <w:t>ratio</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debt</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6.48%</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Risk-free</w:t>
            </w:r>
            <w:r>
              <w:rPr>
                <w:rFonts w:ascii="Avenir Next Condensed"/>
                <w:sz w:val="18"/>
              </w:rPr>
              <w:t xml:space="preserve"> </w:t>
            </w:r>
            <w:r>
              <w:rPr>
                <w:rFonts w:ascii="Avenir Next Condensed"/>
                <w:spacing w:val="-1"/>
                <w:sz w:val="18"/>
              </w:rPr>
              <w:t>rate</w:t>
            </w:r>
            <w:r>
              <w:rPr>
                <w:rFonts w:ascii="Avenir Next Condensed"/>
                <w:sz w:val="18"/>
              </w:rPr>
              <w:t xml:space="preserve"> + Debt </w:t>
            </w:r>
            <w:r>
              <w:rPr>
                <w:rFonts w:ascii="Avenir Next Condensed"/>
                <w:spacing w:val="-1"/>
                <w:sz w:val="18"/>
              </w:rPr>
              <w:t>margin</w:t>
            </w:r>
            <w:r>
              <w:rPr>
                <w:rFonts w:ascii="Avenir Next Condensed"/>
                <w:sz w:val="18"/>
              </w:rPr>
              <w:t xml:space="preserve"> + Debt </w:t>
            </w:r>
            <w:r>
              <w:rPr>
                <w:rFonts w:ascii="Avenir Next Condensed"/>
                <w:spacing w:val="-1"/>
                <w:sz w:val="18"/>
              </w:rPr>
              <w:t>raising</w:t>
            </w:r>
            <w:r>
              <w:rPr>
                <w:rFonts w:ascii="Avenir Next Condensed"/>
                <w:sz w:val="18"/>
              </w:rPr>
              <w:t xml:space="preserve"> cost</w:t>
            </w:r>
          </w:p>
        </w:tc>
      </w:tr>
      <w:tr w:rsidR="00D96B91" w:rsidTr="006909CD">
        <w:trPr>
          <w:trHeight w:hRule="exact" w:val="62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equity</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8.28%</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62"/>
              <w:rPr>
                <w:rFonts w:ascii="Avenir Next Condensed" w:eastAsia="Avenir Next Condensed" w:hAnsi="Avenir Next Condensed" w:cs="Avenir Next Condensed"/>
                <w:sz w:val="18"/>
                <w:szCs w:val="18"/>
              </w:rPr>
            </w:pPr>
            <w:r>
              <w:rPr>
                <w:rFonts w:ascii="Avenir Next Condensed"/>
                <w:sz w:val="18"/>
              </w:rPr>
              <w:t xml:space="preserve">Based on the </w:t>
            </w:r>
            <w:r>
              <w:rPr>
                <w:rFonts w:ascii="Avenir Next Condensed"/>
                <w:spacing w:val="-1"/>
                <w:sz w:val="18"/>
              </w:rPr>
              <w:t>Capital</w:t>
            </w:r>
            <w:r>
              <w:rPr>
                <w:rFonts w:ascii="Avenir Next Condensed"/>
                <w:spacing w:val="-4"/>
                <w:sz w:val="18"/>
              </w:rPr>
              <w:t xml:space="preserve"> </w:t>
            </w:r>
            <w:r>
              <w:rPr>
                <w:rFonts w:ascii="Avenir Next Condensed"/>
                <w:spacing w:val="-1"/>
                <w:sz w:val="18"/>
              </w:rPr>
              <w:t>Asset</w:t>
            </w:r>
            <w:r>
              <w:rPr>
                <w:rFonts w:ascii="Avenir Next Condensed"/>
                <w:sz w:val="18"/>
              </w:rPr>
              <w:t xml:space="preserve"> </w:t>
            </w:r>
            <w:r>
              <w:rPr>
                <w:rFonts w:ascii="Avenir Next Condensed"/>
                <w:spacing w:val="-1"/>
                <w:sz w:val="18"/>
              </w:rPr>
              <w:t>Pricing</w:t>
            </w:r>
            <w:r>
              <w:rPr>
                <w:rFonts w:ascii="Avenir Next Condensed"/>
                <w:sz w:val="18"/>
              </w:rPr>
              <w:t xml:space="preserve"> Model </w:t>
            </w:r>
            <w:r>
              <w:rPr>
                <w:rFonts w:ascii="Avenir Next Condensed"/>
                <w:spacing w:val="-1"/>
                <w:sz w:val="18"/>
              </w:rPr>
              <w:t>(CAPM)</w:t>
            </w:r>
            <w:r>
              <w:rPr>
                <w:rFonts w:ascii="Avenir Next Condensed"/>
                <w:sz w:val="18"/>
              </w:rPr>
              <w:t xml:space="preserve"> </w:t>
            </w:r>
            <w:r>
              <w:rPr>
                <w:rFonts w:ascii="Avenir Next Condensed"/>
                <w:spacing w:val="-1"/>
                <w:sz w:val="18"/>
              </w:rPr>
              <w:t>where</w:t>
            </w:r>
            <w:r>
              <w:rPr>
                <w:rFonts w:ascii="Avenir Next Condensed"/>
                <w:sz w:val="18"/>
              </w:rPr>
              <w:t xml:space="preserve"> cost of</w:t>
            </w:r>
            <w:r>
              <w:rPr>
                <w:rFonts w:ascii="Avenir Next Condensed"/>
                <w:spacing w:val="4"/>
                <w:sz w:val="18"/>
              </w:rPr>
              <w:t xml:space="preserve"> </w:t>
            </w:r>
            <w:r>
              <w:rPr>
                <w:rFonts w:ascii="Avenir Next Condensed"/>
                <w:sz w:val="18"/>
              </w:rPr>
              <w:t xml:space="preserve">equity = </w:t>
            </w:r>
            <w:r>
              <w:rPr>
                <w:rFonts w:ascii="Avenir Next Condensed"/>
                <w:spacing w:val="-1"/>
                <w:sz w:val="18"/>
              </w:rPr>
              <w:t>risk-free</w:t>
            </w:r>
            <w:r>
              <w:rPr>
                <w:rFonts w:ascii="Avenir Next Condensed"/>
                <w:spacing w:val="35"/>
                <w:sz w:val="18"/>
              </w:rPr>
              <w:t xml:space="preserve"> </w:t>
            </w:r>
            <w:r>
              <w:rPr>
                <w:rFonts w:ascii="Avenir Next Condensed"/>
                <w:spacing w:val="-1"/>
                <w:sz w:val="18"/>
              </w:rPr>
              <w:t>rate</w:t>
            </w:r>
            <w:r>
              <w:rPr>
                <w:rFonts w:ascii="Avenir Next Condensed"/>
                <w:sz w:val="18"/>
              </w:rPr>
              <w:t xml:space="preserve"> + beta x MRP</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Post-tax</w:t>
            </w:r>
            <w:r>
              <w:rPr>
                <w:rFonts w:ascii="Avenir Next Condensed"/>
                <w:b/>
                <w:spacing w:val="-3"/>
                <w:sz w:val="18"/>
              </w:rPr>
              <w:t xml:space="preserve"> WACC</w:t>
            </w:r>
          </w:p>
        </w:tc>
        <w:tc>
          <w:tcPr>
            <w:tcW w:w="1984"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b/>
                <w:sz w:val="18"/>
              </w:rPr>
              <w:t>7.20%</w:t>
            </w:r>
          </w:p>
        </w:tc>
        <w:tc>
          <w:tcPr>
            <w:tcW w:w="61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Post-tax</w:t>
            </w:r>
            <w:r>
              <w:rPr>
                <w:rFonts w:ascii="Avenir Next Condensed"/>
                <w:b/>
                <w:spacing w:val="-3"/>
                <w:sz w:val="18"/>
              </w:rPr>
              <w:t xml:space="preserve"> WACC</w:t>
            </w:r>
            <w:r>
              <w:rPr>
                <w:rFonts w:ascii="Avenir Next Condensed"/>
                <w:b/>
                <w:sz w:val="18"/>
              </w:rPr>
              <w:t xml:space="preserve"> = </w:t>
            </w:r>
            <w:r>
              <w:rPr>
                <w:rFonts w:ascii="Avenir Next Condensed"/>
                <w:b/>
                <w:spacing w:val="-1"/>
                <w:sz w:val="18"/>
              </w:rPr>
              <w:t>Cost</w:t>
            </w:r>
            <w:r>
              <w:rPr>
                <w:rFonts w:ascii="Avenir Next Condensed"/>
                <w:b/>
                <w:sz w:val="18"/>
              </w:rPr>
              <w:t xml:space="preserve"> of</w:t>
            </w:r>
            <w:r>
              <w:rPr>
                <w:rFonts w:ascii="Avenir Next Condensed"/>
                <w:b/>
                <w:spacing w:val="4"/>
                <w:sz w:val="18"/>
              </w:rPr>
              <w:t xml:space="preserve"> </w:t>
            </w:r>
            <w:r>
              <w:rPr>
                <w:rFonts w:ascii="Avenir Next Condensed"/>
                <w:b/>
                <w:sz w:val="18"/>
              </w:rPr>
              <w:t xml:space="preserve">debt x 60% + </w:t>
            </w:r>
            <w:r>
              <w:rPr>
                <w:rFonts w:ascii="Avenir Next Condensed"/>
                <w:b/>
                <w:spacing w:val="-1"/>
                <w:sz w:val="18"/>
              </w:rPr>
              <w:t>Cost</w:t>
            </w:r>
            <w:r>
              <w:rPr>
                <w:rFonts w:ascii="Avenir Next Condensed"/>
                <w:b/>
                <w:sz w:val="18"/>
              </w:rPr>
              <w:t xml:space="preserve"> of</w:t>
            </w:r>
            <w:r>
              <w:rPr>
                <w:rFonts w:ascii="Avenir Next Condensed"/>
                <w:b/>
                <w:spacing w:val="4"/>
                <w:sz w:val="18"/>
              </w:rPr>
              <w:t xml:space="preserve"> </w:t>
            </w:r>
            <w:r>
              <w:rPr>
                <w:rFonts w:ascii="Avenir Next Condensed"/>
                <w:b/>
                <w:sz w:val="18"/>
              </w:rPr>
              <w:t>equity x 40%</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Gamma</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7"/>
              <w:jc w:val="center"/>
              <w:rPr>
                <w:rFonts w:ascii="Avenir Next Condensed" w:eastAsia="Avenir Next Condensed" w:hAnsi="Avenir Next Condensed" w:cs="Avenir Next Condensed"/>
                <w:sz w:val="18"/>
                <w:szCs w:val="18"/>
              </w:rPr>
            </w:pPr>
            <w:r>
              <w:rPr>
                <w:rFonts w:ascii="Avenir Next Condensed"/>
                <w:sz w:val="18"/>
              </w:rPr>
              <w:t>0.50</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Based on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decisions made at the same time as the </w:t>
            </w:r>
            <w:r>
              <w:rPr>
                <w:rFonts w:ascii="Avenir Next Condensed" w:eastAsia="Avenir Next Condensed" w:hAnsi="Avenir Next Condensed" w:cs="Avenir Next Condensed"/>
                <w:spacing w:val="-2"/>
                <w:sz w:val="18"/>
                <w:szCs w:val="18"/>
              </w:rPr>
              <w:t>ICRC’s</w:t>
            </w:r>
            <w:r>
              <w:rPr>
                <w:rFonts w:ascii="Avenir Next Condensed" w:eastAsia="Avenir Next Condensed" w:hAnsi="Avenir Next Condensed" w:cs="Avenir Next Condensed"/>
                <w:sz w:val="18"/>
                <w:szCs w:val="18"/>
              </w:rPr>
              <w:t xml:space="preserve"> final decision</w:t>
            </w:r>
          </w:p>
        </w:tc>
      </w:tr>
      <w:tr w:rsidR="00D96B91" w:rsidTr="006909CD">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Inflation</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88"/>
              <w:jc w:val="center"/>
              <w:rPr>
                <w:rFonts w:ascii="Avenir Next Condensed" w:eastAsia="Avenir Next Condensed" w:hAnsi="Avenir Next Condensed" w:cs="Avenir Next Condensed"/>
                <w:sz w:val="18"/>
                <w:szCs w:val="18"/>
              </w:rPr>
            </w:pPr>
            <w:r>
              <w:rPr>
                <w:rFonts w:ascii="Avenir Next Condensed"/>
                <w:sz w:val="18"/>
              </w:rPr>
              <w:t>2.5%</w:t>
            </w:r>
          </w:p>
        </w:tc>
        <w:tc>
          <w:tcPr>
            <w:tcW w:w="6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Mid-point of</w:t>
            </w:r>
            <w:r>
              <w:rPr>
                <w:rFonts w:ascii="Avenir Next Condensed"/>
                <w:spacing w:val="4"/>
                <w:sz w:val="18"/>
              </w:rPr>
              <w:t xml:space="preserve"> </w:t>
            </w:r>
            <w:r>
              <w:rPr>
                <w:rFonts w:ascii="Avenir Next Condensed"/>
                <w:sz w:val="18"/>
              </w:rPr>
              <w:t>the RBA</w:t>
            </w:r>
            <w:r>
              <w:rPr>
                <w:rFonts w:ascii="Avenir Next Condensed"/>
                <w:spacing w:val="-4"/>
                <w:sz w:val="18"/>
              </w:rPr>
              <w:t xml:space="preserve"> </w:t>
            </w:r>
            <w:r>
              <w:rPr>
                <w:rFonts w:ascii="Avenir Next Condensed"/>
                <w:spacing w:val="-1"/>
                <w:sz w:val="18"/>
              </w:rPr>
              <w:t>target</w:t>
            </w:r>
            <w:r>
              <w:rPr>
                <w:rFonts w:ascii="Avenir Next Condensed"/>
                <w:sz w:val="18"/>
              </w:rPr>
              <w:t xml:space="preserve"> band</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548"/>
      </w:pPr>
      <w:r>
        <w:rPr>
          <w:spacing w:val="-2"/>
        </w:rPr>
        <w:t>The</w:t>
      </w:r>
      <w:r>
        <w:rPr>
          <w:spacing w:val="-1"/>
        </w:rPr>
        <w:t xml:space="preserve"> </w:t>
      </w:r>
      <w:r>
        <w:rPr>
          <w:spacing w:val="-4"/>
        </w:rPr>
        <w:t>Panel’s</w:t>
      </w:r>
      <w:r>
        <w:t xml:space="preserve"> </w:t>
      </w:r>
      <w:r>
        <w:rPr>
          <w:spacing w:val="-2"/>
        </w:rPr>
        <w:t>draft</w:t>
      </w:r>
      <w:r>
        <w:t xml:space="preserve"> decision on</w:t>
      </w:r>
      <w:r>
        <w:rPr>
          <w:spacing w:val="-1"/>
        </w:rPr>
        <w:t xml:space="preserve"> </w:t>
      </w:r>
      <w:r>
        <w:t>the</w:t>
      </w:r>
      <w:r>
        <w:rPr>
          <w:spacing w:val="-3"/>
        </w:rPr>
        <w:t xml:space="preserve"> WACC</w:t>
      </w:r>
      <w:r>
        <w:t xml:space="preserve"> is higher than</w:t>
      </w:r>
      <w:r>
        <w:rPr>
          <w:spacing w:val="-1"/>
        </w:rPr>
        <w:t xml:space="preserve"> </w:t>
      </w:r>
      <w:r>
        <w:t xml:space="preserve">the </w:t>
      </w:r>
      <w:r>
        <w:rPr>
          <w:spacing w:val="-2"/>
        </w:rPr>
        <w:t>ICRC’s</w:t>
      </w:r>
      <w:r>
        <w:t xml:space="preserve"> final decision</w:t>
      </w:r>
      <w:r>
        <w:rPr>
          <w:spacing w:val="-1"/>
        </w:rPr>
        <w:t xml:space="preserve"> </w:t>
      </w:r>
      <w:r>
        <w:t xml:space="preserve">for the </w:t>
      </w:r>
      <w:r>
        <w:rPr>
          <w:spacing w:val="-1"/>
        </w:rPr>
        <w:t>years</w:t>
      </w:r>
      <w:r>
        <w:t xml:space="preserve"> 2013-14</w:t>
      </w:r>
      <w:r>
        <w:rPr>
          <w:spacing w:val="39"/>
        </w:rPr>
        <w:t xml:space="preserve"> </w:t>
      </w:r>
      <w:r>
        <w:t>and 2014-15 (4.42%),</w:t>
      </w:r>
      <w:r>
        <w:rPr>
          <w:spacing w:val="-7"/>
        </w:rPr>
        <w:t xml:space="preserve"> </w:t>
      </w:r>
      <w:r>
        <w:t>and lower than the</w:t>
      </w:r>
      <w:r>
        <w:rPr>
          <w:spacing w:val="-3"/>
        </w:rPr>
        <w:t xml:space="preserve"> WACC</w:t>
      </w:r>
      <w:r>
        <w:rPr>
          <w:spacing w:val="-4"/>
        </w:rPr>
        <w:t xml:space="preserve"> </w:t>
      </w:r>
      <w:r>
        <w:rPr>
          <w:spacing w:val="-2"/>
        </w:rPr>
        <w:t>ACTEW</w:t>
      </w:r>
      <w:r>
        <w:rPr>
          <w:spacing w:val="-3"/>
        </w:rPr>
        <w:t xml:space="preserve"> </w:t>
      </w:r>
      <w:r>
        <w:rPr>
          <w:spacing w:val="-1"/>
        </w:rPr>
        <w:t>proposed</w:t>
      </w:r>
      <w:r>
        <w:t xml:space="preserve"> in its SOFC (8.95%).</w:t>
      </w:r>
    </w:p>
    <w:p w:rsidR="00D96B91" w:rsidRDefault="00C2656B">
      <w:pPr>
        <w:pStyle w:val="BodyText"/>
        <w:spacing w:before="170" w:line="260" w:lineRule="exact"/>
        <w:ind w:right="1283"/>
        <w:rPr>
          <w:sz w:val="11"/>
          <w:szCs w:val="11"/>
        </w:rPr>
      </w:pPr>
      <w:r>
        <w:rPr>
          <w:spacing w:val="-2"/>
        </w:rPr>
        <w:t>The</w:t>
      </w:r>
      <w:r>
        <w:rPr>
          <w:spacing w:val="-1"/>
        </w:rPr>
        <w:t xml:space="preserve"> </w:t>
      </w:r>
      <w:r>
        <w:rPr>
          <w:spacing w:val="-3"/>
        </w:rPr>
        <w:t>Panel</w:t>
      </w:r>
      <w:r>
        <w:rPr>
          <w:spacing w:val="-1"/>
        </w:rPr>
        <w:t xml:space="preserve"> estimated</w:t>
      </w:r>
      <w:r>
        <w:t xml:space="preserve"> the</w:t>
      </w:r>
      <w:r>
        <w:rPr>
          <w:spacing w:val="-4"/>
        </w:rPr>
        <w:t xml:space="preserve"> </w:t>
      </w:r>
      <w:r>
        <w:rPr>
          <w:spacing w:val="-3"/>
        </w:rPr>
        <w:t>WACC</w:t>
      </w:r>
      <w:r>
        <w:t xml:space="preserve"> as</w:t>
      </w:r>
      <w:r>
        <w:rPr>
          <w:spacing w:val="-1"/>
        </w:rPr>
        <w:t xml:space="preserve"> at</w:t>
      </w:r>
      <w:r>
        <w:t xml:space="preserve"> 31</w:t>
      </w:r>
      <w:r>
        <w:rPr>
          <w:spacing w:val="-1"/>
        </w:rPr>
        <w:t xml:space="preserve"> </w:t>
      </w:r>
      <w:r>
        <w:t>May 2013.</w:t>
      </w:r>
      <w:r>
        <w:rPr>
          <w:spacing w:val="-12"/>
        </w:rPr>
        <w:t xml:space="preserve"> </w:t>
      </w:r>
      <w:r>
        <w:rPr>
          <w:spacing w:val="-1"/>
        </w:rPr>
        <w:t>This</w:t>
      </w:r>
      <w:r>
        <w:t xml:space="preserve"> </w:t>
      </w:r>
      <w:r>
        <w:rPr>
          <w:spacing w:val="-1"/>
        </w:rPr>
        <w:t xml:space="preserve">reflects </w:t>
      </w:r>
      <w:r>
        <w:t>the timing</w:t>
      </w:r>
      <w:r>
        <w:rPr>
          <w:spacing w:val="-1"/>
        </w:rPr>
        <w:t xml:space="preserve"> </w:t>
      </w:r>
      <w:r>
        <w:t>of</w:t>
      </w:r>
      <w:r>
        <w:rPr>
          <w:spacing w:val="3"/>
        </w:rPr>
        <w:t xml:space="preserve"> </w:t>
      </w:r>
      <w:r>
        <w:t xml:space="preserve">the </w:t>
      </w:r>
      <w:r>
        <w:rPr>
          <w:spacing w:val="-2"/>
        </w:rPr>
        <w:t>ICRC’s</w:t>
      </w:r>
      <w:r>
        <w:rPr>
          <w:spacing w:val="-1"/>
        </w:rPr>
        <w:t xml:space="preserve"> </w:t>
      </w:r>
      <w:r>
        <w:t>final decision</w:t>
      </w:r>
      <w:r>
        <w:rPr>
          <w:spacing w:val="41"/>
        </w:rPr>
        <w:t xml:space="preserve"> </w:t>
      </w:r>
      <w:r>
        <w:t>and is</w:t>
      </w:r>
      <w:r>
        <w:rPr>
          <w:spacing w:val="1"/>
        </w:rPr>
        <w:t xml:space="preserve"> </w:t>
      </w:r>
      <w:r>
        <w:t>consistent</w:t>
      </w:r>
      <w:r>
        <w:rPr>
          <w:spacing w:val="1"/>
        </w:rPr>
        <w:t xml:space="preserve"> </w:t>
      </w:r>
      <w:r>
        <w:t>with</w:t>
      </w:r>
      <w:r>
        <w:rPr>
          <w:spacing w:val="1"/>
        </w:rPr>
        <w:t xml:space="preserve"> </w:t>
      </w:r>
      <w:r>
        <w:t>the timing</w:t>
      </w:r>
      <w:r>
        <w:rPr>
          <w:spacing w:val="-3"/>
        </w:rPr>
        <w:t xml:space="preserve"> </w:t>
      </w:r>
      <w:r>
        <w:rPr>
          <w:spacing w:val="-2"/>
        </w:rPr>
        <w:t xml:space="preserve">ACTEW </w:t>
      </w:r>
      <w:r>
        <w:t>used</w:t>
      </w:r>
      <w:r>
        <w:rPr>
          <w:spacing w:val="1"/>
        </w:rPr>
        <w:t xml:space="preserve"> </w:t>
      </w:r>
      <w:r>
        <w:t xml:space="preserve">to </w:t>
      </w:r>
      <w:r>
        <w:rPr>
          <w:spacing w:val="-1"/>
        </w:rPr>
        <w:t>estimate</w:t>
      </w:r>
      <w:r>
        <w:rPr>
          <w:spacing w:val="1"/>
        </w:rPr>
        <w:t xml:space="preserve"> </w:t>
      </w:r>
      <w:r>
        <w:t>the</w:t>
      </w:r>
      <w:r>
        <w:rPr>
          <w:spacing w:val="1"/>
        </w:rPr>
        <w:t xml:space="preserve"> </w:t>
      </w:r>
      <w:r>
        <w:rPr>
          <w:spacing w:val="-1"/>
        </w:rPr>
        <w:t>proposed</w:t>
      </w:r>
      <w:r>
        <w:rPr>
          <w:spacing w:val="-2"/>
        </w:rPr>
        <w:t xml:space="preserve"> </w:t>
      </w:r>
      <w:r>
        <w:rPr>
          <w:spacing w:val="-3"/>
        </w:rPr>
        <w:t>WACC</w:t>
      </w:r>
      <w:r>
        <w:t xml:space="preserve"> in</w:t>
      </w:r>
      <w:r>
        <w:rPr>
          <w:spacing w:val="1"/>
        </w:rPr>
        <w:t xml:space="preserve"> </w:t>
      </w:r>
      <w:r>
        <w:t>its</w:t>
      </w:r>
      <w:r>
        <w:rPr>
          <w:spacing w:val="1"/>
        </w:rPr>
        <w:t xml:space="preserve"> </w:t>
      </w:r>
      <w:r>
        <w:t>SOFC.</w:t>
      </w:r>
      <w:r>
        <w:rPr>
          <w:position w:val="7"/>
          <w:sz w:val="11"/>
          <w:szCs w:val="11"/>
        </w:rPr>
        <w:t>158</w:t>
      </w:r>
    </w:p>
    <w:p w:rsidR="00D96B91" w:rsidRDefault="00D96B91">
      <w:pPr>
        <w:spacing w:before="9"/>
        <w:rPr>
          <w:rFonts w:ascii="Avenir Next" w:eastAsia="Avenir Next" w:hAnsi="Avenir Next" w:cs="Avenir Next"/>
          <w:sz w:val="29"/>
          <w:szCs w:val="29"/>
        </w:rPr>
      </w:pPr>
    </w:p>
    <w:p w:rsidR="00D96B91" w:rsidRDefault="00C2656B">
      <w:pPr>
        <w:pStyle w:val="Heading4"/>
      </w:pPr>
      <w:r>
        <w:rPr>
          <w:color w:val="0778BE"/>
        </w:rPr>
        <w:t>10.</w:t>
      </w:r>
      <w:r>
        <w:rPr>
          <w:color w:val="0778BE"/>
          <w:spacing w:val="-9"/>
        </w:rPr>
        <w:t xml:space="preserve"> </w:t>
      </w:r>
      <w:r>
        <w:rPr>
          <w:color w:val="0778BE"/>
        </w:rPr>
        <w:t>2</w:t>
      </w:r>
      <w:r>
        <w:rPr>
          <w:color w:val="0778BE"/>
          <w:spacing w:val="39"/>
        </w:rPr>
        <w:t xml:space="preserve"> </w:t>
      </w:r>
      <w:r>
        <w:rPr>
          <w:color w:val="0778BE"/>
          <w:spacing w:val="-1"/>
        </w:rPr>
        <w:t>Appropriate</w:t>
      </w:r>
      <w:r>
        <w:rPr>
          <w:color w:val="0778BE"/>
        </w:rPr>
        <w:t xml:space="preserve"> </w:t>
      </w:r>
      <w:r>
        <w:rPr>
          <w:color w:val="0778BE"/>
          <w:spacing w:val="-1"/>
        </w:rPr>
        <w:t>approach</w:t>
      </w:r>
      <w:r>
        <w:rPr>
          <w:color w:val="0778BE"/>
        </w:rPr>
        <w:t xml:space="preserve"> for </w:t>
      </w:r>
      <w:r>
        <w:rPr>
          <w:color w:val="0778BE"/>
          <w:spacing w:val="-1"/>
        </w:rPr>
        <w:t>estimating</w:t>
      </w:r>
      <w:r>
        <w:rPr>
          <w:color w:val="0778BE"/>
        </w:rPr>
        <w:t xml:space="preserve"> the</w:t>
      </w:r>
      <w:r>
        <w:rPr>
          <w:color w:val="0778BE"/>
          <w:spacing w:val="-4"/>
        </w:rPr>
        <w:t xml:space="preserve"> WACC</w:t>
      </w:r>
    </w:p>
    <w:p w:rsidR="00D96B91" w:rsidRDefault="00C2656B" w:rsidP="006909CD">
      <w:pPr>
        <w:pStyle w:val="BodyText"/>
        <w:spacing w:before="55" w:line="260" w:lineRule="exact"/>
        <w:ind w:right="1548"/>
      </w:pPr>
      <w:r>
        <w:t>As noted above,</w:t>
      </w:r>
      <w:r>
        <w:rPr>
          <w:spacing w:val="-7"/>
        </w:rPr>
        <w:t xml:space="preserve"> </w:t>
      </w:r>
      <w:r>
        <w:rPr>
          <w:spacing w:val="-1"/>
        </w:rPr>
        <w:t>there</w:t>
      </w:r>
      <w:r>
        <w:t xml:space="preserve"> is no </w:t>
      </w:r>
      <w:r>
        <w:rPr>
          <w:spacing w:val="-1"/>
        </w:rPr>
        <w:t>theoretically</w:t>
      </w:r>
      <w:r>
        <w:t xml:space="preserve"> </w:t>
      </w:r>
      <w:r>
        <w:rPr>
          <w:spacing w:val="-1"/>
        </w:rPr>
        <w:t>correct</w:t>
      </w:r>
      <w:r>
        <w:t xml:space="preserve"> method for </w:t>
      </w:r>
      <w:r>
        <w:rPr>
          <w:spacing w:val="-1"/>
        </w:rPr>
        <w:t>estimating</w:t>
      </w:r>
      <w:r>
        <w:t xml:space="preserve"> the</w:t>
      </w:r>
      <w:r>
        <w:rPr>
          <w:spacing w:val="-3"/>
        </w:rPr>
        <w:t xml:space="preserve"> WACC</w:t>
      </w:r>
      <w:r>
        <w:t xml:space="preserve"> for the purpose</w:t>
      </w:r>
      <w:r>
        <w:rPr>
          <w:spacing w:val="47"/>
        </w:rPr>
        <w:t xml:space="preserve"> </w:t>
      </w:r>
      <w:r>
        <w:t>of</w:t>
      </w:r>
      <w:r>
        <w:rPr>
          <w:spacing w:val="4"/>
        </w:rPr>
        <w:t xml:space="preserve"> </w:t>
      </w:r>
      <w:r>
        <w:rPr>
          <w:spacing w:val="-1"/>
        </w:rPr>
        <w:t>setting</w:t>
      </w:r>
      <w:r>
        <w:t xml:space="preserve"> a </w:t>
      </w:r>
      <w:r>
        <w:rPr>
          <w:spacing w:val="-2"/>
        </w:rPr>
        <w:t>rate</w:t>
      </w:r>
      <w:r>
        <w:t xml:space="preserve"> of</w:t>
      </w:r>
      <w:r>
        <w:rPr>
          <w:spacing w:val="4"/>
        </w:rPr>
        <w:t xml:space="preserve"> </w:t>
      </w:r>
      <w:r>
        <w:rPr>
          <w:spacing w:val="-1"/>
        </w:rPr>
        <w:t>return</w:t>
      </w:r>
      <w:r>
        <w:t xml:space="preserve"> for a </w:t>
      </w:r>
      <w:r>
        <w:rPr>
          <w:spacing w:val="-1"/>
        </w:rPr>
        <w:t>regulated</w:t>
      </w:r>
      <w:r>
        <w:t xml:space="preserve"> business,</w:t>
      </w:r>
      <w:r>
        <w:rPr>
          <w:spacing w:val="-6"/>
        </w:rPr>
        <w:t xml:space="preserve"> </w:t>
      </w:r>
      <w:r>
        <w:t xml:space="preserve">and </w:t>
      </w:r>
      <w:r>
        <w:rPr>
          <w:spacing w:val="-1"/>
        </w:rPr>
        <w:t>several</w:t>
      </w:r>
      <w:r>
        <w:t xml:space="preserve"> </w:t>
      </w:r>
      <w:r>
        <w:rPr>
          <w:spacing w:val="-1"/>
        </w:rPr>
        <w:t>different</w:t>
      </w:r>
      <w:r>
        <w:t xml:space="preserve"> models and formulae can be</w:t>
      </w:r>
      <w:r>
        <w:rPr>
          <w:spacing w:val="33"/>
        </w:rPr>
        <w:t xml:space="preserve"> </w:t>
      </w:r>
      <w:r>
        <w:t>used.</w:t>
      </w:r>
      <w:r>
        <w:rPr>
          <w:spacing w:val="-7"/>
        </w:rPr>
        <w:t xml:space="preserve"> </w:t>
      </w:r>
      <w:r>
        <w:rPr>
          <w:spacing w:val="-2"/>
        </w:rPr>
        <w:t>However,</w:t>
      </w:r>
      <w:r>
        <w:rPr>
          <w:spacing w:val="-6"/>
        </w:rPr>
        <w:t xml:space="preserve"> </w:t>
      </w:r>
      <w:r>
        <w:t xml:space="preserve">in </w:t>
      </w:r>
      <w:r>
        <w:rPr>
          <w:spacing w:val="-1"/>
        </w:rPr>
        <w:t>general,</w:t>
      </w:r>
      <w:r>
        <w:rPr>
          <w:spacing w:val="-7"/>
        </w:rPr>
        <w:t xml:space="preserve"> </w:t>
      </w:r>
      <w:r>
        <w:rPr>
          <w:spacing w:val="-1"/>
        </w:rPr>
        <w:t>regulators</w:t>
      </w:r>
      <w:r>
        <w:t xml:space="preserve"> aim to</w:t>
      </w:r>
      <w:r>
        <w:rPr>
          <w:spacing w:val="-1"/>
        </w:rPr>
        <w:t xml:space="preserve"> </w:t>
      </w:r>
      <w:r>
        <w:t>set a</w:t>
      </w:r>
      <w:r>
        <w:rPr>
          <w:spacing w:val="-1"/>
        </w:rPr>
        <w:t xml:space="preserve"> </w:t>
      </w:r>
      <w:r>
        <w:rPr>
          <w:spacing w:val="-2"/>
        </w:rPr>
        <w:t>rate</w:t>
      </w:r>
      <w:r>
        <w:t xml:space="preserve"> of</w:t>
      </w:r>
      <w:r>
        <w:rPr>
          <w:spacing w:val="4"/>
        </w:rPr>
        <w:t xml:space="preserve"> </w:t>
      </w:r>
      <w:r>
        <w:rPr>
          <w:spacing w:val="-1"/>
        </w:rPr>
        <w:t>return that</w:t>
      </w:r>
      <w:r>
        <w:t xml:space="preserve"> </w:t>
      </w:r>
      <w:r>
        <w:rPr>
          <w:spacing w:val="-1"/>
        </w:rPr>
        <w:t>reflects</w:t>
      </w:r>
      <w:r>
        <w:t xml:space="preserve"> the</w:t>
      </w:r>
      <w:r>
        <w:rPr>
          <w:spacing w:val="-1"/>
        </w:rPr>
        <w:t xml:space="preserve"> return</w:t>
      </w:r>
      <w:r>
        <w:t xml:space="preserve"> </w:t>
      </w:r>
      <w:r>
        <w:rPr>
          <w:spacing w:val="-1"/>
        </w:rPr>
        <w:t>that</w:t>
      </w:r>
      <w:r>
        <w:t xml:space="preserve"> investors</w:t>
      </w:r>
      <w:r w:rsidR="006909CD">
        <w:t xml:space="preserve"> </w:t>
      </w:r>
      <w:r>
        <w:t xml:space="preserve">would </w:t>
      </w:r>
      <w:r>
        <w:rPr>
          <w:spacing w:val="-1"/>
        </w:rPr>
        <w:t>expect</w:t>
      </w:r>
      <w:r>
        <w:t xml:space="preserve"> to </w:t>
      </w:r>
      <w:r>
        <w:rPr>
          <w:spacing w:val="-1"/>
        </w:rPr>
        <w:t>earn</w:t>
      </w:r>
      <w:r>
        <w:t xml:space="preserve"> in a competitive </w:t>
      </w:r>
      <w:r>
        <w:rPr>
          <w:spacing w:val="-1"/>
        </w:rPr>
        <w:t>market.</w:t>
      </w:r>
      <w:r>
        <w:rPr>
          <w:spacing w:val="-11"/>
        </w:rPr>
        <w:t xml:space="preserve"> </w:t>
      </w:r>
      <w:r>
        <w:rPr>
          <w:spacing w:val="-1"/>
        </w:rPr>
        <w:t>This</w:t>
      </w:r>
      <w:r>
        <w:t xml:space="preserve"> is consistent with the view </w:t>
      </w:r>
      <w:r>
        <w:rPr>
          <w:spacing w:val="-1"/>
        </w:rPr>
        <w:t>that</w:t>
      </w:r>
      <w:r>
        <w:t xml:space="preserve"> economic </w:t>
      </w:r>
      <w:r>
        <w:rPr>
          <w:spacing w:val="-1"/>
        </w:rPr>
        <w:t>regulation</w:t>
      </w:r>
      <w:r>
        <w:rPr>
          <w:spacing w:val="29"/>
        </w:rPr>
        <w:t xml:space="preserve"> </w:t>
      </w:r>
      <w:r>
        <w:t>should,</w:t>
      </w:r>
      <w:r>
        <w:rPr>
          <w:spacing w:val="-6"/>
        </w:rPr>
        <w:t xml:space="preserve"> </w:t>
      </w:r>
      <w:r>
        <w:t>as far as possible,</w:t>
      </w:r>
      <w:r>
        <w:rPr>
          <w:spacing w:val="-7"/>
        </w:rPr>
        <w:t xml:space="preserve"> </w:t>
      </w:r>
      <w:r>
        <w:t xml:space="preserve">seek to mimic </w:t>
      </w:r>
      <w:r>
        <w:rPr>
          <w:spacing w:val="-1"/>
        </w:rPr>
        <w:t>what</w:t>
      </w:r>
      <w:r>
        <w:t xml:space="preserve"> would occur in a </w:t>
      </w:r>
      <w:r>
        <w:rPr>
          <w:spacing w:val="-1"/>
        </w:rPr>
        <w:t>workably</w:t>
      </w:r>
      <w:r>
        <w:t xml:space="preserve"> competitive </w:t>
      </w:r>
      <w:r>
        <w:rPr>
          <w:spacing w:val="-1"/>
        </w:rPr>
        <w:t>market</w:t>
      </w:r>
      <w:r>
        <w:t xml:space="preserve"> in terms of</w:t>
      </w:r>
      <w:r>
        <w:rPr>
          <w:spacing w:val="30"/>
        </w:rPr>
        <w:t xml:space="preserve"> </w:t>
      </w:r>
      <w:r>
        <w:rPr>
          <w:spacing w:val="-1"/>
        </w:rPr>
        <w:t xml:space="preserve">encouraging </w:t>
      </w:r>
      <w:r>
        <w:rPr>
          <w:spacing w:val="-2"/>
        </w:rPr>
        <w:t>greater</w:t>
      </w:r>
      <w:r>
        <w:t xml:space="preserve"> </w:t>
      </w:r>
      <w:r>
        <w:rPr>
          <w:spacing w:val="-1"/>
        </w:rPr>
        <w:t xml:space="preserve">efficiency </w:t>
      </w:r>
      <w:hyperlink w:anchor="_bookmark11" w:history="1">
        <w:r>
          <w:t>(see Chapter</w:t>
        </w:r>
        <w:r>
          <w:rPr>
            <w:spacing w:val="-1"/>
          </w:rPr>
          <w:t xml:space="preserve"> </w:t>
        </w:r>
        <w:r>
          <w:t>3).</w:t>
        </w:r>
      </w:hyperlink>
      <w:r>
        <w:rPr>
          <w:spacing w:val="-6"/>
        </w:rPr>
        <w:t xml:space="preserve"> </w:t>
      </w:r>
      <w:r>
        <w:rPr>
          <w:spacing w:val="-1"/>
        </w:rPr>
        <w:t xml:space="preserve">(Box </w:t>
      </w:r>
      <w:r>
        <w:t xml:space="preserve">10.1 </w:t>
      </w:r>
      <w:r>
        <w:rPr>
          <w:spacing w:val="-1"/>
        </w:rPr>
        <w:t>provides more</w:t>
      </w:r>
      <w:r>
        <w:t xml:space="preserve"> </w:t>
      </w:r>
      <w:r>
        <w:rPr>
          <w:spacing w:val="-1"/>
        </w:rPr>
        <w:t>information</w:t>
      </w:r>
      <w:r>
        <w:t xml:space="preserve"> on</w:t>
      </w:r>
      <w:r>
        <w:rPr>
          <w:spacing w:val="-1"/>
        </w:rPr>
        <w:t xml:space="preserve"> </w:t>
      </w:r>
      <w:r>
        <w:t xml:space="preserve">the </w:t>
      </w:r>
      <w:r>
        <w:rPr>
          <w:spacing w:val="-1"/>
        </w:rPr>
        <w:t xml:space="preserve">role </w:t>
      </w:r>
      <w:r>
        <w:t>of</w:t>
      </w:r>
      <w:r>
        <w:rPr>
          <w:spacing w:val="4"/>
        </w:rPr>
        <w:t xml:space="preserve"> </w:t>
      </w:r>
      <w:r>
        <w:t>the</w:t>
      </w:r>
      <w:r>
        <w:rPr>
          <w:spacing w:val="71"/>
        </w:rPr>
        <w:t xml:space="preserve"> </w:t>
      </w:r>
      <w:r>
        <w:rPr>
          <w:spacing w:val="-2"/>
        </w:rPr>
        <w:t>rate</w:t>
      </w:r>
      <w:r>
        <w:t xml:space="preserve"> of</w:t>
      </w:r>
      <w:r>
        <w:rPr>
          <w:spacing w:val="4"/>
        </w:rPr>
        <w:t xml:space="preserve"> </w:t>
      </w:r>
      <w:r>
        <w:rPr>
          <w:spacing w:val="-1"/>
        </w:rPr>
        <w:t>return.)</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91" style="width:72.5pt;height:.5pt;mso-position-horizontal-relative:char;mso-position-vertical-relative:line" coordsize="1450,10">
            <v:group id="_x0000_s3092" style="position:absolute;left:5;top:5;width:1440;height:2" coordorigin="5,5" coordsize="1440,2">
              <v:shape id="_x0000_s3093" style="position:absolute;left:5;top:5;width:1440;height:2" coordorigin="5,5" coordsize="1440,0" path="m5,5r1440,e" filled="f" strokeweight=".5pt">
                <v:path arrowok="t"/>
              </v:shape>
            </v:group>
            <w10:wrap type="none"/>
            <w10:anchorlock/>
          </v:group>
        </w:pict>
      </w:r>
    </w:p>
    <w:p w:rsidR="00D96B91" w:rsidRDefault="00C2656B">
      <w:pPr>
        <w:numPr>
          <w:ilvl w:val="0"/>
          <w:numId w:val="65"/>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1"/>
          <w:sz w:val="20"/>
        </w:rPr>
        <w:t>Box</w:t>
      </w:r>
      <w:r>
        <w:rPr>
          <w:rFonts w:ascii="Avenir Next"/>
          <w:b/>
          <w:sz w:val="20"/>
        </w:rPr>
        <w:t xml:space="preserve"> 10.1: </w:t>
      </w:r>
      <w:r>
        <w:rPr>
          <w:rFonts w:ascii="Avenir Next"/>
          <w:b/>
          <w:spacing w:val="-1"/>
          <w:sz w:val="20"/>
        </w:rPr>
        <w:t>Role</w:t>
      </w:r>
      <w:r>
        <w:rPr>
          <w:rFonts w:ascii="Avenir Next"/>
          <w:b/>
          <w:sz w:val="20"/>
        </w:rPr>
        <w:t xml:space="preserve"> of</w:t>
      </w:r>
      <w:r>
        <w:rPr>
          <w:rFonts w:ascii="Avenir Next"/>
          <w:b/>
          <w:spacing w:val="4"/>
          <w:sz w:val="20"/>
        </w:rPr>
        <w:t xml:space="preserve"> </w:t>
      </w:r>
      <w:r>
        <w:rPr>
          <w:rFonts w:ascii="Avenir Next"/>
          <w:b/>
          <w:sz w:val="20"/>
        </w:rPr>
        <w:t xml:space="preserve">the </w:t>
      </w:r>
      <w:r>
        <w:rPr>
          <w:rFonts w:ascii="Avenir Next"/>
          <w:b/>
          <w:spacing w:val="-2"/>
          <w:sz w:val="20"/>
        </w:rPr>
        <w:t>rate</w:t>
      </w:r>
      <w:r>
        <w:rPr>
          <w:rFonts w:ascii="Avenir Next"/>
          <w:b/>
          <w:sz w:val="20"/>
        </w:rPr>
        <w:t xml:space="preserve"> of</w:t>
      </w:r>
      <w:r>
        <w:rPr>
          <w:rFonts w:ascii="Avenir Next"/>
          <w:b/>
          <w:spacing w:val="4"/>
          <w:sz w:val="20"/>
        </w:rPr>
        <w:t xml:space="preserve"> </w:t>
      </w:r>
      <w:r>
        <w:rPr>
          <w:rFonts w:ascii="Avenir Next"/>
          <w:b/>
          <w:spacing w:val="-1"/>
          <w:sz w:val="20"/>
        </w:rPr>
        <w:t>return</w:t>
      </w:r>
    </w:p>
    <w:p w:rsidR="00D96B91" w:rsidRDefault="00D96B91">
      <w:pPr>
        <w:rPr>
          <w:rFonts w:ascii="Avenir Next" w:eastAsia="Avenir Next" w:hAnsi="Avenir Next" w:cs="Avenir Next"/>
          <w:b/>
          <w:bCs/>
          <w:sz w:val="11"/>
          <w:szCs w:val="11"/>
        </w:rPr>
      </w:pPr>
    </w:p>
    <w:p w:rsidR="00D96B91" w:rsidRDefault="006909CD">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pict>
          <v:shape id="_x0000_s3634" type="#_x0000_t202" style="position:absolute;left:0;text-align:left;margin-left:65.4pt;margin-top:154.2pt;width:446.6pt;height:70.15pt;z-index:251658240" filled="f" stroked="f">
            <v:textbox style="mso-next-textbox:#_x0000_s3634">
              <w:txbxContent>
                <w:p w:rsidR="008A79D5" w:rsidRDefault="008A79D5" w:rsidP="006909CD">
                  <w:pPr>
                    <w:spacing w:line="213" w:lineRule="exact"/>
                    <w:rPr>
                      <w:rFonts w:ascii="Avenir Next Condensed" w:eastAsia="Avenir Next Condensed" w:hAnsi="Avenir Next Condensed" w:cs="Avenir Next Condensed"/>
                      <w:sz w:val="11"/>
                      <w:szCs w:val="11"/>
                    </w:rPr>
                  </w:pPr>
                  <w:r>
                    <w:rPr>
                      <w:rFonts w:ascii="Avenir Next Condensed" w:eastAsia="Avenir Next Condensed" w:hAnsi="Avenir Next Condensed" w:cs="Avenir Next Condensed"/>
                      <w:sz w:val="20"/>
                      <w:szCs w:val="20"/>
                    </w:rPr>
                    <w:t xml:space="preserve">From a regulated business’ perspective, if the rate of return is too low it will reduce its revenues and may affect its financial viability. </w:t>
                  </w:r>
                  <w:r>
                    <w:rPr>
                      <w:rFonts w:ascii="Avenir Next Condensed" w:eastAsia="Avenir Next Condensed" w:hAnsi="Avenir Next Condensed" w:cs="Avenir Next Condensed"/>
                      <w:spacing w:val="-4"/>
                      <w:sz w:val="20"/>
                      <w:szCs w:val="20"/>
                    </w:rPr>
                    <w:t xml:space="preserve">From </w:t>
                  </w:r>
                  <w:r>
                    <w:rPr>
                      <w:rFonts w:ascii="Avenir Next Condensed" w:eastAsia="Avenir Next Condensed" w:hAnsi="Avenir Next Condensed" w:cs="Avenir Next Condensed"/>
                      <w:spacing w:val="-2"/>
                      <w:sz w:val="20"/>
                      <w:szCs w:val="20"/>
                    </w:rPr>
                    <w:t>customers’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perspective,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high,</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will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pay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much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 xml:space="preserve">provider </w:t>
                  </w:r>
                  <w:r>
                    <w:rPr>
                      <w:rFonts w:ascii="Avenir Next Condensed" w:eastAsia="Avenir Next Condensed" w:hAnsi="Avenir Next Condensed" w:cs="Avenir Next Condensed"/>
                      <w:spacing w:val="-2"/>
                      <w:sz w:val="20"/>
                      <w:szCs w:val="20"/>
                    </w:rPr>
                    <w:t>may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earn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excess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profits. Either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outcome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would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distort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signals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customers,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regulated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service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provider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investors,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58"/>
                      <w:sz w:val="20"/>
                      <w:szCs w:val="20"/>
                    </w:rPr>
                    <w:t xml:space="preserve"> </w:t>
                  </w:r>
                  <w:r>
                    <w:rPr>
                      <w:rFonts w:ascii="Avenir Next Condensed" w:eastAsia="Avenir Next Condensed" w:hAnsi="Avenir Next Condensed" w:cs="Avenir Next Condensed"/>
                      <w:spacing w:val="-2"/>
                      <w:sz w:val="20"/>
                      <w:szCs w:val="20"/>
                    </w:rPr>
                    <w:t>result</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 xml:space="preserve">misallocation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pacing w:val="1"/>
                      <w:sz w:val="20"/>
                      <w:szCs w:val="20"/>
                    </w:rPr>
                    <w:t xml:space="preserve"> </w:t>
                  </w:r>
                  <w:r>
                    <w:rPr>
                      <w:rFonts w:ascii="Avenir Next Condensed" w:eastAsia="Avenir Next Condensed" w:hAnsi="Avenir Next Condensed" w:cs="Avenir Next Condensed"/>
                      <w:spacing w:val="-3"/>
                      <w:sz w:val="20"/>
                      <w:szCs w:val="20"/>
                    </w:rPr>
                    <w:t>society’s resources.</w:t>
                  </w:r>
                  <w:r>
                    <w:rPr>
                      <w:rFonts w:ascii="Avenir Next Condensed" w:eastAsia="Avenir Next Condensed" w:hAnsi="Avenir Next Condensed" w:cs="Avenir Next Condensed"/>
                      <w:spacing w:val="-3"/>
                      <w:position w:val="7"/>
                      <w:sz w:val="11"/>
                      <w:szCs w:val="11"/>
                    </w:rPr>
                    <w:t>160</w:t>
                  </w:r>
                </w:p>
                <w:p w:rsidR="008A79D5" w:rsidRDefault="008A79D5"/>
              </w:txbxContent>
            </v:textbox>
          </v:shape>
        </w:pict>
      </w:r>
      <w:r w:rsidR="00D96B91" w:rsidRPr="00D96B91">
        <w:rPr>
          <w:rFonts w:ascii="Avenir Next" w:eastAsia="Avenir Next" w:hAnsi="Avenir Next" w:cs="Avenir Next"/>
          <w:sz w:val="20"/>
          <w:szCs w:val="20"/>
        </w:rPr>
      </w:r>
      <w:r w:rsidR="00C74EAA">
        <w:rPr>
          <w:rFonts w:ascii="Avenir Next" w:eastAsia="Avenir Next" w:hAnsi="Avenir Next" w:cs="Avenir Next"/>
          <w:sz w:val="20"/>
          <w:szCs w:val="20"/>
        </w:rPr>
        <w:pict>
          <v:group id="_x0000_s3084" style="width:470.55pt;height:245.3pt;mso-position-horizontal-relative:char;mso-position-vertical-relative:line" coordsize="9411,3941">
            <v:group id="_x0000_s3085" style="position:absolute;width:9411;height:3941" coordsize="9411,3941">
              <v:shape id="_x0000_s3090" style="position:absolute;width:9411;height:3941" coordsize="9411,3941" path="m,3941r9411,l9411,,,,,3941xe" fillcolor="#dff3fd" stroked="f">
                <v:path arrowok="t"/>
              </v:shape>
              <v:shape id="_x0000_s3089" type="#_x0000_t202" style="position:absolute;left:170;top:224;width:8932;height:2394" filled="f" stroked="f">
                <v:textbox style="mso-next-textbox:#_x0000_s3089" inset="0,0,0,0">
                  <w:txbxContent>
                    <w:p w:rsidR="008A79D5" w:rsidRDefault="008A79D5" w:rsidP="00C74EAA">
                      <w:pPr>
                        <w:tabs>
                          <w:tab w:val="left" w:pos="8682"/>
                        </w:tabs>
                        <w:spacing w:line="213" w:lineRule="exact"/>
                        <w:rPr>
                          <w:rFonts w:ascii="Avenir Next Condensed" w:eastAsia="Avenir Next Condensed" w:hAnsi="Avenir Next Condensed" w:cs="Avenir Next Condensed"/>
                          <w:sz w:val="20"/>
                          <w:szCs w:val="20"/>
                        </w:rPr>
                      </w:pPr>
                      <w:r>
                        <w:rPr>
                          <w:rFonts w:ascii="Avenir Next Condensed"/>
                          <w:sz w:val="20"/>
                        </w:rPr>
                        <w:t>A</w:t>
                      </w:r>
                      <w:r>
                        <w:rPr>
                          <w:rFonts w:ascii="Avenir Next Condensed"/>
                          <w:spacing w:val="-8"/>
                          <w:sz w:val="20"/>
                        </w:rPr>
                        <w:t xml:space="preserve"> </w:t>
                      </w:r>
                      <w:r>
                        <w:rPr>
                          <w:rFonts w:ascii="Avenir Next Condensed"/>
                          <w:spacing w:val="-3"/>
                          <w:sz w:val="20"/>
                        </w:rPr>
                        <w:t>key</w:t>
                      </w:r>
                      <w:r>
                        <w:rPr>
                          <w:rFonts w:ascii="Avenir Next Condensed"/>
                          <w:spacing w:val="-4"/>
                          <w:sz w:val="20"/>
                        </w:rPr>
                        <w:t xml:space="preserve"> </w:t>
                      </w:r>
                      <w:r>
                        <w:rPr>
                          <w:rFonts w:ascii="Avenir Next Condensed"/>
                          <w:spacing w:val="-2"/>
                          <w:sz w:val="20"/>
                        </w:rPr>
                        <w:t>objective</w:t>
                      </w:r>
                      <w:r>
                        <w:rPr>
                          <w:rFonts w:ascii="Avenir Next Condensed"/>
                          <w:spacing w:val="-4"/>
                          <w:sz w:val="20"/>
                        </w:rPr>
                        <w:t xml:space="preserve"> </w:t>
                      </w:r>
                      <w:r>
                        <w:rPr>
                          <w:rFonts w:ascii="Avenir Next Condensed"/>
                          <w:spacing w:val="-2"/>
                          <w:sz w:val="20"/>
                        </w:rPr>
                        <w:t>when</w:t>
                      </w:r>
                      <w:r>
                        <w:rPr>
                          <w:rFonts w:ascii="Avenir Next Condensed"/>
                          <w:spacing w:val="-4"/>
                          <w:sz w:val="20"/>
                        </w:rPr>
                        <w:t xml:space="preserve"> </w:t>
                      </w:r>
                      <w:r>
                        <w:rPr>
                          <w:rFonts w:ascii="Avenir Next Condensed"/>
                          <w:spacing w:val="-2"/>
                          <w:sz w:val="20"/>
                        </w:rPr>
                        <w:t>determining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rate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allow</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earn</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1"/>
                          <w:sz w:val="20"/>
                        </w:rPr>
                        <w:t>on</w:t>
                      </w:r>
                      <w:r>
                        <w:rPr>
                          <w:rFonts w:ascii="Avenir Next Condensed"/>
                          <w:spacing w:val="-4"/>
                          <w:sz w:val="20"/>
                        </w:rPr>
                        <w:t xml:space="preserve"> </w:t>
                      </w:r>
                      <w:r>
                        <w:rPr>
                          <w:rFonts w:ascii="Avenir Next Condensed"/>
                          <w:spacing w:val="-2"/>
                          <w:sz w:val="20"/>
                        </w:rPr>
                        <w:t>capital</w:t>
                      </w:r>
                      <w:r>
                        <w:rPr>
                          <w:rFonts w:ascii="Avenir Next Condensed"/>
                          <w:spacing w:val="-4"/>
                          <w:sz w:val="20"/>
                        </w:rPr>
                        <w:t xml:space="preserve"> </w:t>
                      </w:r>
                      <w:r>
                        <w:rPr>
                          <w:rFonts w:ascii="Avenir Next Condensed"/>
                          <w:spacing w:val="-2"/>
                          <w:sz w:val="20"/>
                        </w:rPr>
                        <w:t>that</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 xml:space="preserve">sufficient to </w:t>
                      </w:r>
                      <w:r>
                        <w:rPr>
                          <w:rFonts w:ascii="Avenir Next Condensed" w:eastAsia="Avenir Next Condensed" w:hAnsi="Avenir Next Condensed" w:cs="Avenir Next Condensed"/>
                          <w:spacing w:val="-2"/>
                          <w:sz w:val="20"/>
                          <w:szCs w:val="20"/>
                        </w:rPr>
                        <w:t>promote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efficient investment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but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not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over-investment.</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3"/>
                          <w:sz w:val="20"/>
                          <w:szCs w:val="20"/>
                        </w:rPr>
                        <w:t>Therefore,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appropriate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one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 xml:space="preserve">reflects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opportunity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cost</w:t>
                      </w:r>
                      <w:r>
                        <w:rPr>
                          <w:rFonts w:ascii="Avenir Next Condensed" w:eastAsia="Avenir Next Condensed" w:hAnsi="Avenir Next Condensed" w:cs="Avenir Next Condensed"/>
                          <w:spacing w:val="68"/>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capital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available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investors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next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best</w:t>
                      </w:r>
                      <w:r>
                        <w:rPr>
                          <w:rFonts w:ascii="Avenir Next Condensed" w:eastAsia="Avenir Next Condensed" w:hAnsi="Avenir Next Condensed" w:cs="Avenir Next Condensed"/>
                          <w:spacing w:val="-2"/>
                          <w:sz w:val="20"/>
                          <w:szCs w:val="20"/>
                        </w:rPr>
                        <w:noBreakHyphen/>
                        <w:t>value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investment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opportunity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adjusted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relative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risks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of</w:t>
                      </w:r>
                      <w:r>
                        <w:rPr>
                          <w:rFonts w:ascii="Avenir Next Condensed" w:eastAsia="Avenir Next Condensed" w:hAnsi="Avenir Next Condensed" w:cs="Avenir Next Condensed"/>
                          <w:spacing w:val="48"/>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projects.</w:t>
                      </w:r>
                    </w:p>
                    <w:p w:rsidR="008A79D5" w:rsidRDefault="008A79D5">
                      <w:pPr>
                        <w:tabs>
                          <w:tab w:val="left" w:pos="2487"/>
                          <w:tab w:val="left" w:pos="3140"/>
                          <w:tab w:val="left" w:pos="4609"/>
                          <w:tab w:val="left" w:pos="5858"/>
                        </w:tabs>
                        <w:spacing w:before="95" w:line="260" w:lineRule="exact"/>
                        <w:ind w:right="37"/>
                        <w:rPr>
                          <w:rFonts w:ascii="Avenir Next Condensed"/>
                          <w:spacing w:val="-2"/>
                          <w:sz w:val="20"/>
                        </w:rPr>
                      </w:pPr>
                      <w:r>
                        <w:rPr>
                          <w:rFonts w:ascii="Avenir Next Condensed"/>
                          <w:spacing w:val="-3"/>
                          <w:sz w:val="20"/>
                        </w:rPr>
                        <w:t>Setting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rate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this</w:t>
                      </w:r>
                      <w:r>
                        <w:rPr>
                          <w:rFonts w:ascii="Avenir Next Condensed"/>
                          <w:spacing w:val="-4"/>
                          <w:sz w:val="20"/>
                        </w:rPr>
                        <w:t xml:space="preserve"> </w:t>
                      </w:r>
                      <w:r>
                        <w:rPr>
                          <w:rFonts w:ascii="Avenir Next Condensed"/>
                          <w:spacing w:val="-2"/>
                          <w:sz w:val="20"/>
                        </w:rPr>
                        <w:t>way</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important</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provide</w:t>
                      </w:r>
                      <w:r>
                        <w:rPr>
                          <w:rFonts w:ascii="Avenir Next Condensed"/>
                          <w:spacing w:val="-4"/>
                          <w:sz w:val="20"/>
                        </w:rPr>
                        <w:t xml:space="preserve"> </w:t>
                      </w:r>
                      <w:r>
                        <w:rPr>
                          <w:rFonts w:ascii="Avenir Next Condensed"/>
                          <w:spacing w:val="-2"/>
                          <w:sz w:val="20"/>
                        </w:rPr>
                        <w:t>efficient price</w:t>
                      </w:r>
                      <w:r>
                        <w:rPr>
                          <w:rFonts w:ascii="Avenir Next Condensed"/>
                          <w:spacing w:val="-4"/>
                          <w:sz w:val="20"/>
                        </w:rPr>
                        <w:t xml:space="preserve"> </w:t>
                      </w:r>
                      <w:r>
                        <w:rPr>
                          <w:rFonts w:ascii="Avenir Next Condensed"/>
                          <w:spacing w:val="-2"/>
                          <w:sz w:val="20"/>
                        </w:rPr>
                        <w:t>signals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consumers</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3"/>
                          <w:sz w:val="20"/>
                        </w:rPr>
                        <w:t>create</w:t>
                      </w:r>
                      <w:r>
                        <w:rPr>
                          <w:rFonts w:ascii="Avenir Next Condensed"/>
                          <w:spacing w:val="-4"/>
                          <w:sz w:val="20"/>
                        </w:rPr>
                        <w:t xml:space="preserve"> </w:t>
                      </w:r>
                      <w:r>
                        <w:rPr>
                          <w:rFonts w:ascii="Avenir Next Condensed"/>
                          <w:spacing w:val="-1"/>
                          <w:sz w:val="20"/>
                        </w:rPr>
                        <w:t>an</w:t>
                      </w:r>
                      <w:r>
                        <w:rPr>
                          <w:rFonts w:ascii="Avenir Next Condensed"/>
                          <w:spacing w:val="-4"/>
                          <w:sz w:val="20"/>
                        </w:rPr>
                        <w:t xml:space="preserve"> </w:t>
                      </w:r>
                      <w:r>
                        <w:rPr>
                          <w:rFonts w:ascii="Avenir Next Condensed"/>
                          <w:spacing w:val="-2"/>
                          <w:sz w:val="20"/>
                        </w:rPr>
                        <w:t>incentive</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60"/>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3"/>
                          <w:sz w:val="20"/>
                        </w:rPr>
                        <w:t>make</w:t>
                      </w:r>
                      <w:r>
                        <w:rPr>
                          <w:rFonts w:ascii="Avenir Next Condensed"/>
                          <w:spacing w:val="-4"/>
                          <w:sz w:val="20"/>
                        </w:rPr>
                        <w:t xml:space="preserve"> </w:t>
                      </w:r>
                      <w:r>
                        <w:rPr>
                          <w:rFonts w:ascii="Avenir Next Condensed"/>
                          <w:spacing w:val="-2"/>
                          <w:sz w:val="20"/>
                        </w:rPr>
                        <w:t>efficient investments.</w:t>
                      </w:r>
                      <w:r>
                        <w:rPr>
                          <w:rFonts w:ascii="Avenir Next Condensed"/>
                          <w:spacing w:val="-10"/>
                          <w:sz w:val="20"/>
                        </w:rPr>
                        <w:t xml:space="preserve"> </w:t>
                      </w:r>
                      <w:r>
                        <w:rPr>
                          <w:rFonts w:ascii="Avenir Next Condensed"/>
                          <w:spacing w:val="-3"/>
                          <w:sz w:val="20"/>
                        </w:rPr>
                        <w:t>Setting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rate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2"/>
                          <w:sz w:val="20"/>
                        </w:rPr>
                        <w:t>lower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opportunity</w:t>
                      </w:r>
                      <w:r>
                        <w:rPr>
                          <w:rFonts w:ascii="Avenir Next Condensed"/>
                          <w:spacing w:val="-4"/>
                          <w:sz w:val="20"/>
                        </w:rPr>
                        <w:t xml:space="preserve"> </w:t>
                      </w:r>
                      <w:r>
                        <w:rPr>
                          <w:rFonts w:ascii="Avenir Next Condensed"/>
                          <w:spacing w:val="-2"/>
                          <w:sz w:val="20"/>
                        </w:rPr>
                        <w:t>cost</w:t>
                      </w:r>
                      <w:r>
                        <w:rPr>
                          <w:rFonts w:ascii="Avenir Next Condensed"/>
                          <w:spacing w:val="-4"/>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2"/>
                          <w:sz w:val="20"/>
                        </w:rPr>
                        <w:t>discourage</w:t>
                      </w:r>
                      <w:r>
                        <w:rPr>
                          <w:rFonts w:ascii="Avenir Next Condensed"/>
                          <w:spacing w:val="-4"/>
                          <w:sz w:val="20"/>
                        </w:rPr>
                        <w:t xml:space="preserve"> </w:t>
                      </w:r>
                      <w:r>
                        <w:rPr>
                          <w:rFonts w:ascii="Avenir Next Condensed"/>
                          <w:spacing w:val="-2"/>
                          <w:sz w:val="20"/>
                        </w:rPr>
                        <w:t>the</w:t>
                      </w:r>
                      <w:r>
                        <w:rPr>
                          <w:rFonts w:ascii="Avenir Next Condensed"/>
                          <w:spacing w:val="50"/>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2"/>
                          <w:sz w:val="20"/>
                        </w:rPr>
                        <w:t>undertaking</w:t>
                      </w:r>
                      <w:r>
                        <w:rPr>
                          <w:rFonts w:ascii="Avenir Next Condensed"/>
                          <w:spacing w:val="-4"/>
                          <w:sz w:val="20"/>
                        </w:rPr>
                        <w:t xml:space="preserve"> </w:t>
                      </w:r>
                      <w:r>
                        <w:rPr>
                          <w:rFonts w:ascii="Avenir Next Condensed"/>
                          <w:spacing w:val="-2"/>
                          <w:sz w:val="20"/>
                        </w:rPr>
                        <w:t>efficient investment</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encourage</w:t>
                      </w:r>
                      <w:r>
                        <w:rPr>
                          <w:rFonts w:ascii="Avenir Next Condensed"/>
                          <w:spacing w:val="-4"/>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consume</w:t>
                      </w:r>
                      <w:r>
                        <w:rPr>
                          <w:rFonts w:ascii="Avenir Next Condensed"/>
                          <w:spacing w:val="-4"/>
                          <w:sz w:val="20"/>
                        </w:rPr>
                        <w:t xml:space="preserve"> </w:t>
                      </w:r>
                      <w:r>
                        <w:rPr>
                          <w:rFonts w:ascii="Avenir Next Condensed"/>
                          <w:spacing w:val="-2"/>
                          <w:sz w:val="20"/>
                        </w:rPr>
                        <w:t>too</w:t>
                      </w:r>
                      <w:r>
                        <w:rPr>
                          <w:rFonts w:ascii="Avenir Next Condensed"/>
                          <w:spacing w:val="-4"/>
                          <w:sz w:val="20"/>
                        </w:rPr>
                        <w:t xml:space="preserve"> </w:t>
                      </w:r>
                      <w:r>
                        <w:rPr>
                          <w:rFonts w:ascii="Avenir Next Condensed"/>
                          <w:spacing w:val="-2"/>
                          <w:sz w:val="20"/>
                        </w:rPr>
                        <w:t>much</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services</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the</w:t>
                      </w:r>
                      <w:r>
                        <w:rPr>
                          <w:rFonts w:ascii="Avenir Next Condensed"/>
                          <w:spacing w:val="40"/>
                          <w:sz w:val="20"/>
                        </w:rPr>
                        <w:t xml:space="preserve"> </w:t>
                      </w:r>
                      <w:r>
                        <w:rPr>
                          <w:rFonts w:ascii="Avenir Next Condensed"/>
                          <w:spacing w:val="-3"/>
                          <w:sz w:val="20"/>
                        </w:rPr>
                        <w:t>resources</w:t>
                      </w:r>
                      <w:r>
                        <w:rPr>
                          <w:rFonts w:ascii="Avenir Next Condensed"/>
                          <w:spacing w:val="-4"/>
                          <w:sz w:val="20"/>
                        </w:rPr>
                        <w:t xml:space="preserve"> </w:t>
                      </w:r>
                      <w:r>
                        <w:rPr>
                          <w:rFonts w:ascii="Avenir Next Condensed"/>
                          <w:spacing w:val="-3"/>
                          <w:sz w:val="20"/>
                        </w:rPr>
                        <w:t>required</w:t>
                      </w:r>
                      <w:r>
                        <w:rPr>
                          <w:rFonts w:ascii="Avenir Next Condensed"/>
                          <w:spacing w:val="-4"/>
                          <w:sz w:val="20"/>
                        </w:rPr>
                        <w:t xml:space="preserve"> </w:t>
                      </w:r>
                      <w:r>
                        <w:rPr>
                          <w:rFonts w:ascii="Avenir Next Condensed"/>
                          <w:spacing w:val="-1"/>
                          <w:sz w:val="20"/>
                        </w:rPr>
                        <w:t>to</w:t>
                      </w:r>
                      <w:r>
                        <w:rPr>
                          <w:rFonts w:ascii="Avenir Next Condensed"/>
                          <w:spacing w:val="-3"/>
                          <w:sz w:val="20"/>
                        </w:rPr>
                        <w:t xml:space="preserve"> </w:t>
                      </w:r>
                      <w:r>
                        <w:rPr>
                          <w:rFonts w:ascii="Avenir Next Condensed"/>
                          <w:spacing w:val="-2"/>
                          <w:sz w:val="20"/>
                        </w:rPr>
                        <w:t>provide</w:t>
                      </w:r>
                      <w:r>
                        <w:rPr>
                          <w:rFonts w:ascii="Avenir Next Condensed"/>
                          <w:spacing w:val="-4"/>
                          <w:sz w:val="20"/>
                        </w:rPr>
                        <w:t xml:space="preserve"> </w:t>
                      </w:r>
                      <w:r>
                        <w:rPr>
                          <w:rFonts w:ascii="Avenir Next Condensed"/>
                          <w:spacing w:val="-2"/>
                          <w:sz w:val="20"/>
                        </w:rPr>
                        <w:t>them.</w:t>
                      </w:r>
                      <w:r>
                        <w:rPr>
                          <w:rFonts w:ascii="Avenir Next Condensed"/>
                          <w:spacing w:val="-2"/>
                          <w:position w:val="7"/>
                          <w:sz w:val="11"/>
                        </w:rPr>
                        <w:t>159</w:t>
                      </w:r>
                      <w:r>
                        <w:rPr>
                          <w:rFonts w:ascii="Avenir Next Condensed"/>
                          <w:spacing w:val="14"/>
                          <w:position w:val="7"/>
                          <w:sz w:val="11"/>
                        </w:rPr>
                        <w:t xml:space="preserve"> </w:t>
                      </w:r>
                      <w:r>
                        <w:rPr>
                          <w:rFonts w:ascii="Avenir Next Condensed"/>
                          <w:spacing w:val="-1"/>
                          <w:sz w:val="20"/>
                        </w:rPr>
                        <w:t>On</w:t>
                      </w:r>
                      <w:r>
                        <w:rPr>
                          <w:rFonts w:ascii="Avenir Next Condensed"/>
                          <w:spacing w:val="-3"/>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other</w:t>
                      </w:r>
                      <w:r>
                        <w:rPr>
                          <w:rFonts w:ascii="Avenir Next Condensed"/>
                          <w:spacing w:val="-3"/>
                          <w:sz w:val="20"/>
                        </w:rPr>
                        <w:t xml:space="preserve"> </w:t>
                      </w:r>
                      <w:r>
                        <w:rPr>
                          <w:rFonts w:ascii="Avenir Next Condensed"/>
                          <w:spacing w:val="-2"/>
                          <w:sz w:val="20"/>
                        </w:rPr>
                        <w:t>hand,</w:t>
                      </w:r>
                      <w:r>
                        <w:rPr>
                          <w:rFonts w:ascii="Avenir Next Condensed"/>
                          <w:spacing w:val="-10"/>
                          <w:sz w:val="20"/>
                        </w:rPr>
                        <w:t xml:space="preserve"> </w:t>
                      </w:r>
                      <w:r>
                        <w:rPr>
                          <w:rFonts w:ascii="Avenir Next Condensed"/>
                          <w:spacing w:val="-3"/>
                          <w:sz w:val="20"/>
                        </w:rPr>
                        <w:t>setting</w:t>
                      </w:r>
                      <w:r>
                        <w:rPr>
                          <w:rFonts w:ascii="Avenir Next Condensed"/>
                          <w:spacing w:val="-4"/>
                          <w:sz w:val="20"/>
                        </w:rPr>
                        <w:t xml:space="preserve"> </w:t>
                      </w:r>
                      <w:r>
                        <w:rPr>
                          <w:rFonts w:ascii="Avenir Next Condensed"/>
                          <w:spacing w:val="-2"/>
                          <w:sz w:val="20"/>
                        </w:rPr>
                        <w:t>the</w:t>
                      </w:r>
                      <w:r>
                        <w:rPr>
                          <w:rFonts w:ascii="Avenir Next Condensed"/>
                          <w:spacing w:val="-3"/>
                          <w:sz w:val="20"/>
                        </w:rPr>
                        <w:t xml:space="preserve"> </w:t>
                      </w:r>
                      <w:r>
                        <w:rPr>
                          <w:rFonts w:ascii="Avenir Next Condensed"/>
                          <w:spacing w:val="-2"/>
                          <w:sz w:val="20"/>
                        </w:rPr>
                        <w:t>rate</w:t>
                      </w:r>
                      <w:r>
                        <w:rPr>
                          <w:rFonts w:ascii="Avenir Next Condensed"/>
                          <w:spacing w:val="-4"/>
                          <w:sz w:val="20"/>
                        </w:rPr>
                        <w:t xml:space="preserve"> </w:t>
                      </w:r>
                      <w:r>
                        <w:rPr>
                          <w:rFonts w:ascii="Avenir Next Condensed"/>
                          <w:spacing w:val="-1"/>
                          <w:sz w:val="20"/>
                        </w:rPr>
                        <w:t>of</w:t>
                      </w:r>
                      <w:r>
                        <w:rPr>
                          <w:rFonts w:ascii="Avenir Next Condensed"/>
                          <w:spacing w:val="1"/>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2"/>
                          <w:sz w:val="20"/>
                        </w:rPr>
                        <w:t>higher</w:t>
                      </w:r>
                      <w:r>
                        <w:rPr>
                          <w:rFonts w:ascii="Avenir Next Condensed"/>
                          <w:spacing w:val="-3"/>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3"/>
                          <w:sz w:val="20"/>
                        </w:rPr>
                        <w:t xml:space="preserve"> </w:t>
                      </w:r>
                      <w:r>
                        <w:rPr>
                          <w:rFonts w:ascii="Avenir Next Condensed"/>
                          <w:spacing w:val="-2"/>
                          <w:sz w:val="20"/>
                        </w:rPr>
                        <w:t>opportunity</w:t>
                      </w:r>
                      <w:r>
                        <w:rPr>
                          <w:rFonts w:ascii="Avenir Next Condensed"/>
                          <w:spacing w:val="-4"/>
                          <w:sz w:val="20"/>
                        </w:rPr>
                        <w:t xml:space="preserve"> </w:t>
                      </w:r>
                      <w:r>
                        <w:rPr>
                          <w:rFonts w:ascii="Avenir Next Condensed"/>
                          <w:spacing w:val="-2"/>
                          <w:sz w:val="20"/>
                        </w:rPr>
                        <w:t>cost</w:t>
                      </w:r>
                      <w:r>
                        <w:rPr>
                          <w:rFonts w:ascii="Avenir Next Condensed"/>
                          <w:spacing w:val="-3"/>
                          <w:sz w:val="20"/>
                        </w:rPr>
                        <w:t xml:space="preserve"> </w:t>
                      </w:r>
                      <w:r>
                        <w:rPr>
                          <w:rFonts w:ascii="Avenir Next Condensed"/>
                          <w:spacing w:val="-2"/>
                          <w:sz w:val="20"/>
                        </w:rPr>
                        <w:t>may</w:t>
                      </w:r>
                      <w:r>
                        <w:rPr>
                          <w:rFonts w:ascii="Avenir Next Condensed"/>
                          <w:spacing w:val="-4"/>
                          <w:sz w:val="20"/>
                        </w:rPr>
                        <w:t xml:space="preserve"> </w:t>
                      </w:r>
                      <w:r>
                        <w:rPr>
                          <w:rFonts w:ascii="Avenir Next Condensed"/>
                          <w:spacing w:val="-3"/>
                          <w:sz w:val="20"/>
                        </w:rPr>
                        <w:t>encourage</w:t>
                      </w:r>
                      <w:r>
                        <w:rPr>
                          <w:rFonts w:ascii="Avenir Next Condensed"/>
                          <w:spacing w:val="96"/>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regulated</w:t>
                      </w:r>
                      <w:r>
                        <w:rPr>
                          <w:rFonts w:ascii="Avenir Next Condensed"/>
                          <w:spacing w:val="-4"/>
                          <w:sz w:val="20"/>
                        </w:rPr>
                        <w:t xml:space="preserve"> </w:t>
                      </w:r>
                      <w:r>
                        <w:rPr>
                          <w:rFonts w:ascii="Avenir Next Condensed"/>
                          <w:spacing w:val="-2"/>
                          <w:sz w:val="20"/>
                        </w:rPr>
                        <w:t>business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3"/>
                          <w:sz w:val="20"/>
                        </w:rPr>
                        <w:t>over-invest</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consume</w:t>
                      </w:r>
                      <w:r>
                        <w:rPr>
                          <w:rFonts w:ascii="Avenir Next Condensed"/>
                          <w:spacing w:val="-4"/>
                          <w:sz w:val="20"/>
                        </w:rPr>
                        <w:t xml:space="preserve"> </w:t>
                      </w:r>
                      <w:r>
                        <w:rPr>
                          <w:rFonts w:ascii="Avenir Next Condensed"/>
                          <w:spacing w:val="-2"/>
                          <w:sz w:val="20"/>
                        </w:rPr>
                        <w:t>less</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efficient level</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services.</w:t>
                      </w:r>
                    </w:p>
                  </w:txbxContent>
                </v:textbox>
              </v:shape>
              <v:shape id="_x0000_s3088" type="#_x0000_t202" style="position:absolute;left:170;top:2790;width:7740;height:200" filled="f" stroked="f">
                <v:textbox style="mso-next-textbox:#_x0000_s3088" inset="0,0,0,0">
                  <w:txbxContent>
                    <w:p w:rsidR="008A79D5" w:rsidRPr="006909CD" w:rsidRDefault="008A79D5" w:rsidP="006909CD">
                      <w:pPr>
                        <w:rPr>
                          <w:szCs w:val="20"/>
                        </w:rPr>
                      </w:pPr>
                    </w:p>
                  </w:txbxContent>
                </v:textbox>
              </v:shape>
              <v:shape id="_x0000_s3087" type="#_x0000_t202" style="position:absolute;left:8435;top:2790;width:569;height:200" filled="f" stroked="f">
                <v:textbox style="mso-next-textbox:#_x0000_s3087" inset="0,0,0,0">
                  <w:txbxContent>
                    <w:p w:rsidR="008A79D5" w:rsidRPr="006909CD" w:rsidRDefault="008A79D5" w:rsidP="006909CD">
                      <w:pPr>
                        <w:rPr>
                          <w:szCs w:val="20"/>
                        </w:rPr>
                      </w:pPr>
                    </w:p>
                  </w:txbxContent>
                </v:textbox>
              </v:shape>
              <v:shape id="_x0000_s3086" type="#_x0000_t202" style="position:absolute;left:170;top:3050;width:9015;height:720" filled="f" stroked="f">
                <v:textbox style="mso-next-textbox:#_x0000_s3086" inset="0,0,0,0">
                  <w:txbxContent>
                    <w:p w:rsidR="008A79D5" w:rsidRPr="006909CD" w:rsidRDefault="008A79D5" w:rsidP="006909CD">
                      <w:pPr>
                        <w:rPr>
                          <w:szCs w:val="11"/>
                        </w:rPr>
                      </w:pPr>
                    </w:p>
                  </w:txbxContent>
                </v:textbox>
              </v:shape>
            </v:group>
            <w10:wrap type="none"/>
            <w10:anchorlock/>
          </v:group>
        </w:pict>
      </w:r>
    </w:p>
    <w:p w:rsidR="00D96B91" w:rsidRDefault="00D96B91">
      <w:pPr>
        <w:spacing w:before="1"/>
        <w:rPr>
          <w:rFonts w:ascii="Avenir Next" w:eastAsia="Avenir Next" w:hAnsi="Avenir Next" w:cs="Avenir Next"/>
          <w:b/>
          <w:bCs/>
          <w:sz w:val="14"/>
          <w:szCs w:val="14"/>
        </w:rPr>
      </w:pPr>
    </w:p>
    <w:p w:rsidR="00D96B91" w:rsidRDefault="00C2656B">
      <w:pPr>
        <w:pStyle w:val="Heading6"/>
        <w:numPr>
          <w:ilvl w:val="2"/>
          <w:numId w:val="64"/>
        </w:numPr>
        <w:tabs>
          <w:tab w:val="left" w:pos="2098"/>
        </w:tabs>
        <w:spacing w:before="35"/>
        <w:ind w:hanging="850"/>
        <w:rPr>
          <w:rFonts w:cs="Avenir Next Medium"/>
        </w:rPr>
      </w:pPr>
      <w:r>
        <w:rPr>
          <w:rFonts w:cs="Avenir Next Medium"/>
          <w:color w:val="0778BE"/>
          <w:spacing w:val="-2"/>
        </w:rPr>
        <w:t>ICRC’s</w:t>
      </w:r>
      <w:r>
        <w:rPr>
          <w:rFonts w:cs="Avenir Next Medium"/>
          <w:color w:val="0778BE"/>
        </w:rPr>
        <w:t xml:space="preserve"> </w:t>
      </w:r>
      <w:bookmarkStart w:id="139" w:name="_bookmark87"/>
      <w:bookmarkEnd w:id="139"/>
      <w:r>
        <w:rPr>
          <w:rFonts w:cs="Avenir Next Medium"/>
          <w:color w:val="0778BE"/>
        </w:rPr>
        <w:t>final decision</w:t>
      </w:r>
    </w:p>
    <w:p w:rsidR="00D96B91" w:rsidRDefault="008A79D5">
      <w:pPr>
        <w:pStyle w:val="BodyText"/>
        <w:tabs>
          <w:tab w:val="left" w:pos="2125"/>
        </w:tabs>
        <w:spacing w:before="21" w:line="260" w:lineRule="exact"/>
        <w:ind w:right="1408"/>
      </w:pPr>
      <w:r>
        <w:rPr>
          <w:spacing w:val="-1"/>
        </w:rPr>
        <w:t>In</w:t>
      </w:r>
      <w:r>
        <w:rPr>
          <w:spacing w:val="-5"/>
        </w:rPr>
        <w:t xml:space="preserve"> </w:t>
      </w:r>
      <w:r>
        <w:rPr>
          <w:spacing w:val="-2"/>
        </w:rPr>
        <w:t>its</w:t>
      </w:r>
      <w:r>
        <w:rPr>
          <w:spacing w:val="-5"/>
        </w:rPr>
        <w:t xml:space="preserve"> </w:t>
      </w:r>
      <w:r>
        <w:rPr>
          <w:spacing w:val="-1"/>
        </w:rPr>
        <w:t xml:space="preserve">final </w:t>
      </w:r>
      <w:r>
        <w:rPr>
          <w:spacing w:val="-2"/>
        </w:rPr>
        <w:t>decision,</w:t>
      </w:r>
      <w:r>
        <w:rPr>
          <w:spacing w:val="-10"/>
        </w:rPr>
        <w:t xml:space="preserve"> </w:t>
      </w:r>
      <w:r>
        <w:rPr>
          <w:spacing w:val="-2"/>
        </w:rPr>
        <w:t>the</w:t>
      </w:r>
      <w:r>
        <w:rPr>
          <w:spacing w:val="-4"/>
        </w:rPr>
        <w:t xml:space="preserve"> </w:t>
      </w:r>
      <w:r>
        <w:rPr>
          <w:spacing w:val="-2"/>
        </w:rPr>
        <w:t>ICRC</w:t>
      </w:r>
      <w:r>
        <w:rPr>
          <w:spacing w:val="-4"/>
        </w:rPr>
        <w:t xml:space="preserve"> </w:t>
      </w:r>
      <w:r>
        <w:rPr>
          <w:spacing w:val="-2"/>
        </w:rPr>
        <w:t>decided</w:t>
      </w:r>
      <w:r>
        <w:rPr>
          <w:spacing w:val="-4"/>
        </w:rPr>
        <w:t xml:space="preserve"> </w:t>
      </w:r>
      <w:r>
        <w:rPr>
          <w:spacing w:val="-1"/>
        </w:rPr>
        <w:t>to</w:t>
      </w:r>
      <w:r>
        <w:rPr>
          <w:spacing w:val="-4"/>
        </w:rPr>
        <w:t xml:space="preserve"> </w:t>
      </w:r>
      <w:r>
        <w:rPr>
          <w:spacing w:val="-3"/>
        </w:rPr>
        <w:t>depart</w:t>
      </w:r>
      <w:r>
        <w:rPr>
          <w:spacing w:val="-4"/>
        </w:rPr>
        <w:t xml:space="preserve"> </w:t>
      </w:r>
      <w:r>
        <w:rPr>
          <w:spacing w:val="-3"/>
        </w:rPr>
        <w:t>from</w:t>
      </w:r>
      <w:r>
        <w:rPr>
          <w:spacing w:val="-4"/>
        </w:rPr>
        <w:t xml:space="preserve"> </w:t>
      </w:r>
      <w:r>
        <w:rPr>
          <w:spacing w:val="-2"/>
        </w:rPr>
        <w:t>the</w:t>
      </w:r>
      <w:r>
        <w:rPr>
          <w:spacing w:val="-4"/>
        </w:rPr>
        <w:t xml:space="preserve"> </w:t>
      </w:r>
      <w:r>
        <w:rPr>
          <w:spacing w:val="-3"/>
        </w:rPr>
        <w:t>approach</w:t>
      </w:r>
      <w:r>
        <w:rPr>
          <w:spacing w:val="-4"/>
        </w:rPr>
        <w:t xml:space="preserve"> </w:t>
      </w:r>
      <w:r>
        <w:rPr>
          <w:spacing w:val="-1"/>
        </w:rPr>
        <w:t>it</w:t>
      </w:r>
      <w:r>
        <w:rPr>
          <w:spacing w:val="-4"/>
        </w:rPr>
        <w:t xml:space="preserve"> </w:t>
      </w:r>
      <w:r>
        <w:rPr>
          <w:spacing w:val="-2"/>
        </w:rPr>
        <w:t>had</w:t>
      </w:r>
      <w:r>
        <w:rPr>
          <w:spacing w:val="-4"/>
        </w:rPr>
        <w:t xml:space="preserve"> </w:t>
      </w:r>
      <w:r>
        <w:rPr>
          <w:spacing w:val="-3"/>
        </w:rPr>
        <w:t>previously</w:t>
      </w:r>
      <w:r>
        <w:rPr>
          <w:spacing w:val="-4"/>
        </w:rPr>
        <w:t xml:space="preserve"> </w:t>
      </w:r>
      <w:r>
        <w:rPr>
          <w:spacing w:val="-2"/>
        </w:rPr>
        <w:t>used</w:t>
      </w:r>
      <w:r>
        <w:rPr>
          <w:spacing w:val="-4"/>
        </w:rPr>
        <w:t xml:space="preserve"> </w:t>
      </w:r>
      <w:r>
        <w:rPr>
          <w:spacing w:val="-1"/>
        </w:rPr>
        <w:t>to</w:t>
      </w:r>
      <w:r>
        <w:rPr>
          <w:spacing w:val="-4"/>
        </w:rPr>
        <w:t xml:space="preserve"> </w:t>
      </w:r>
      <w:r>
        <w:rPr>
          <w:spacing w:val="-2"/>
        </w:rPr>
        <w:t>estimate</w:t>
      </w:r>
      <w:r>
        <w:rPr>
          <w:spacing w:val="-4"/>
        </w:rPr>
        <w:t xml:space="preserve"> </w:t>
      </w:r>
      <w:r>
        <w:rPr>
          <w:spacing w:val="-2"/>
        </w:rPr>
        <w:t>the</w:t>
      </w:r>
      <w:r>
        <w:rPr>
          <w:spacing w:val="76"/>
        </w:rPr>
        <w:t xml:space="preserve"> </w:t>
      </w:r>
      <w:r>
        <w:rPr>
          <w:spacing w:val="-4"/>
        </w:rPr>
        <w:t>WACC</w:t>
      </w:r>
      <w:r>
        <w:rPr>
          <w:spacing w:val="-5"/>
        </w:rPr>
        <w:t xml:space="preserve"> </w:t>
      </w:r>
      <w:r>
        <w:rPr>
          <w:spacing w:val="-2"/>
        </w:rPr>
        <w:t>for</w:t>
      </w:r>
      <w:r>
        <w:rPr>
          <w:spacing w:val="-4"/>
        </w:rPr>
        <w:t xml:space="preserve"> </w:t>
      </w:r>
      <w:r>
        <w:rPr>
          <w:spacing w:val="-2"/>
        </w:rPr>
        <w:t>the</w:t>
      </w:r>
      <w:r>
        <w:rPr>
          <w:spacing w:val="-4"/>
        </w:rPr>
        <w:t xml:space="preserve"> </w:t>
      </w:r>
      <w:r>
        <w:rPr>
          <w:spacing w:val="-2"/>
        </w:rPr>
        <w:t>purpose</w:t>
      </w:r>
      <w:r>
        <w:rPr>
          <w:spacing w:val="-4"/>
        </w:rPr>
        <w:t xml:space="preserve"> </w:t>
      </w:r>
      <w:r>
        <w:rPr>
          <w:spacing w:val="-1"/>
        </w:rPr>
        <w:t>of</w:t>
      </w:r>
      <w:r>
        <w:t xml:space="preserve"> </w:t>
      </w:r>
      <w:r>
        <w:rPr>
          <w:spacing w:val="-3"/>
        </w:rPr>
        <w:t>setting</w:t>
      </w:r>
      <w:r>
        <w:rPr>
          <w:spacing w:val="-4"/>
        </w:rPr>
        <w:t xml:space="preserve"> </w:t>
      </w:r>
      <w:r>
        <w:rPr>
          <w:spacing w:val="-2"/>
        </w:rPr>
        <w:t>the</w:t>
      </w:r>
      <w:r>
        <w:rPr>
          <w:spacing w:val="-4"/>
        </w:rPr>
        <w:t xml:space="preserve"> </w:t>
      </w:r>
      <w:r>
        <w:rPr>
          <w:spacing w:val="-3"/>
        </w:rPr>
        <w:t>rate</w:t>
      </w:r>
      <w:r>
        <w:rPr>
          <w:spacing w:val="-5"/>
        </w:rPr>
        <w:t xml:space="preserve"> </w:t>
      </w:r>
      <w:r>
        <w:rPr>
          <w:spacing w:val="-1"/>
        </w:rPr>
        <w:t>of</w:t>
      </w:r>
      <w:r>
        <w:t xml:space="preserve"> </w:t>
      </w:r>
      <w:r>
        <w:rPr>
          <w:spacing w:val="-3"/>
        </w:rPr>
        <w:t>return</w:t>
      </w:r>
      <w:r>
        <w:rPr>
          <w:spacing w:val="-4"/>
        </w:rPr>
        <w:t xml:space="preserve"> </w:t>
      </w:r>
      <w:r>
        <w:rPr>
          <w:spacing w:val="-2"/>
        </w:rPr>
        <w:t>for</w:t>
      </w:r>
      <w:r>
        <w:rPr>
          <w:spacing w:val="-8"/>
        </w:rPr>
        <w:t xml:space="preserve"> </w:t>
      </w:r>
      <w:r>
        <w:rPr>
          <w:spacing w:val="-4"/>
        </w:rPr>
        <w:t xml:space="preserve">ACTEW’s </w:t>
      </w:r>
      <w:r>
        <w:rPr>
          <w:spacing w:val="-2"/>
        </w:rPr>
        <w:t>water</w:t>
      </w:r>
      <w:r>
        <w:rPr>
          <w:spacing w:val="-4"/>
        </w:rPr>
        <w:t xml:space="preserve"> </w:t>
      </w:r>
      <w:r>
        <w:rPr>
          <w:spacing w:val="-2"/>
        </w:rPr>
        <w:t>business,</w:t>
      </w:r>
      <w:r>
        <w:rPr>
          <w:spacing w:val="-10"/>
        </w:rPr>
        <w:t xml:space="preserve"> </w:t>
      </w:r>
      <w:r>
        <w:rPr>
          <w:spacing w:val="-1"/>
        </w:rPr>
        <w:t>by</w:t>
      </w:r>
      <w:r>
        <w:rPr>
          <w:spacing w:val="-4"/>
        </w:rPr>
        <w:t xml:space="preserve"> </w:t>
      </w:r>
      <w:r>
        <w:rPr>
          <w:spacing w:val="-2"/>
        </w:rPr>
        <w:t>using</w:t>
      </w:r>
      <w:r>
        <w:rPr>
          <w:spacing w:val="-5"/>
        </w:rPr>
        <w:t xml:space="preserve"> </w:t>
      </w:r>
      <w:r>
        <w:t>a</w:t>
      </w:r>
      <w:r>
        <w:rPr>
          <w:spacing w:val="-4"/>
        </w:rPr>
        <w:t xml:space="preserve"> </w:t>
      </w:r>
      <w:r>
        <w:rPr>
          <w:spacing w:val="-2"/>
        </w:rPr>
        <w:t>firm-specific</w:t>
      </w:r>
      <w:r>
        <w:rPr>
          <w:spacing w:val="64"/>
          <w:w w:val="99"/>
        </w:rPr>
        <w:t xml:space="preserve"> </w:t>
      </w:r>
      <w:r>
        <w:rPr>
          <w:spacing w:val="-3"/>
        </w:rPr>
        <w:t>approach.</w:t>
      </w:r>
      <w:r>
        <w:rPr>
          <w:spacing w:val="-10"/>
        </w:rPr>
        <w:t xml:space="preserve"> </w:t>
      </w:r>
      <w:r w:rsidR="00C2656B">
        <w:rPr>
          <w:spacing w:val="-1"/>
        </w:rPr>
        <w:t>In</w:t>
      </w:r>
      <w:r w:rsidR="00C2656B">
        <w:rPr>
          <w:spacing w:val="-4"/>
        </w:rPr>
        <w:t xml:space="preserve"> </w:t>
      </w:r>
      <w:r w:rsidR="00C2656B">
        <w:rPr>
          <w:spacing w:val="-3"/>
        </w:rPr>
        <w:t>particular,</w:t>
      </w:r>
      <w:r w:rsidR="00C2656B">
        <w:rPr>
          <w:spacing w:val="-10"/>
        </w:rPr>
        <w:t xml:space="preserve"> </w:t>
      </w:r>
      <w:r w:rsidR="00C2656B">
        <w:rPr>
          <w:spacing w:val="-2"/>
        </w:rPr>
        <w:t>the</w:t>
      </w:r>
      <w:r w:rsidR="00C2656B">
        <w:rPr>
          <w:spacing w:val="-4"/>
        </w:rPr>
        <w:t xml:space="preserve"> </w:t>
      </w:r>
      <w:r w:rsidR="00C2656B">
        <w:rPr>
          <w:spacing w:val="-2"/>
        </w:rPr>
        <w:t>ICRC</w:t>
      </w:r>
      <w:r w:rsidR="00C2656B">
        <w:rPr>
          <w:spacing w:val="-4"/>
        </w:rPr>
        <w:t xml:space="preserve"> </w:t>
      </w:r>
      <w:r w:rsidR="00C2656B">
        <w:rPr>
          <w:spacing w:val="-2"/>
        </w:rPr>
        <w:t>set</w:t>
      </w:r>
      <w:r w:rsidR="00C2656B">
        <w:rPr>
          <w:spacing w:val="-4"/>
        </w:rPr>
        <w:t xml:space="preserve"> </w:t>
      </w:r>
      <w:r w:rsidR="00C2656B">
        <w:rPr>
          <w:spacing w:val="-2"/>
        </w:rPr>
        <w:t>the</w:t>
      </w:r>
      <w:r w:rsidR="00C2656B">
        <w:rPr>
          <w:spacing w:val="-4"/>
        </w:rPr>
        <w:t xml:space="preserve"> </w:t>
      </w:r>
      <w:r w:rsidR="00C2656B">
        <w:rPr>
          <w:spacing w:val="-2"/>
        </w:rPr>
        <w:t>cost</w:t>
      </w:r>
      <w:r w:rsidR="00C2656B">
        <w:rPr>
          <w:spacing w:val="-4"/>
        </w:rPr>
        <w:t xml:space="preserve"> </w:t>
      </w:r>
      <w:r w:rsidR="00C2656B">
        <w:rPr>
          <w:spacing w:val="-1"/>
        </w:rPr>
        <w:t>of</w:t>
      </w:r>
      <w:r w:rsidR="00C2656B">
        <w:t xml:space="preserve"> </w:t>
      </w:r>
      <w:r w:rsidR="00C2656B">
        <w:rPr>
          <w:spacing w:val="-2"/>
        </w:rPr>
        <w:t>debt</w:t>
      </w:r>
      <w:r w:rsidR="00C2656B">
        <w:rPr>
          <w:spacing w:val="-4"/>
        </w:rPr>
        <w:t xml:space="preserve"> </w:t>
      </w:r>
      <w:r w:rsidR="00C2656B">
        <w:rPr>
          <w:spacing w:val="-3"/>
        </w:rPr>
        <w:t>parameter</w:t>
      </w:r>
      <w:r w:rsidR="00C2656B">
        <w:rPr>
          <w:spacing w:val="-4"/>
        </w:rPr>
        <w:t xml:space="preserve"> </w:t>
      </w:r>
      <w:r w:rsidR="00C2656B">
        <w:rPr>
          <w:spacing w:val="-2"/>
        </w:rPr>
        <w:t>based</w:t>
      </w:r>
      <w:r w:rsidR="00C2656B">
        <w:rPr>
          <w:spacing w:val="-4"/>
        </w:rPr>
        <w:t xml:space="preserve"> </w:t>
      </w:r>
      <w:r w:rsidR="00C2656B">
        <w:rPr>
          <w:spacing w:val="-1"/>
        </w:rPr>
        <w:t>on</w:t>
      </w:r>
      <w:r w:rsidR="00C2656B">
        <w:rPr>
          <w:spacing w:val="-4"/>
        </w:rPr>
        <w:t xml:space="preserve"> </w:t>
      </w:r>
      <w:r w:rsidR="00C2656B">
        <w:rPr>
          <w:spacing w:val="-2"/>
        </w:rPr>
        <w:t>its</w:t>
      </w:r>
      <w:r w:rsidR="00C2656B">
        <w:rPr>
          <w:spacing w:val="-4"/>
        </w:rPr>
        <w:t xml:space="preserve"> </w:t>
      </w:r>
      <w:r w:rsidR="00C2656B">
        <w:rPr>
          <w:spacing w:val="-2"/>
        </w:rPr>
        <w:t>estimate</w:t>
      </w:r>
      <w:r w:rsidR="00C2656B">
        <w:rPr>
          <w:spacing w:val="-4"/>
        </w:rPr>
        <w:t xml:space="preserve"> </w:t>
      </w:r>
      <w:r w:rsidR="00C2656B">
        <w:rPr>
          <w:spacing w:val="-1"/>
        </w:rPr>
        <w:t>of</w:t>
      </w:r>
      <w:r w:rsidR="00C2656B">
        <w:rPr>
          <w:spacing w:val="-3"/>
        </w:rPr>
        <w:t xml:space="preserve"> </w:t>
      </w:r>
      <w:r w:rsidR="00C2656B">
        <w:rPr>
          <w:spacing w:val="-4"/>
        </w:rPr>
        <w:t>ACTEW’s</w:t>
      </w:r>
      <w:r w:rsidR="00C2656B">
        <w:rPr>
          <w:spacing w:val="-5"/>
        </w:rPr>
        <w:t xml:space="preserve"> </w:t>
      </w:r>
      <w:r w:rsidR="00C2656B">
        <w:rPr>
          <w:rFonts w:cs="Avenir Next"/>
          <w:b/>
          <w:bCs/>
          <w:spacing w:val="-2"/>
        </w:rPr>
        <w:t>actual</w:t>
      </w:r>
      <w:r w:rsidR="00C2656B">
        <w:rPr>
          <w:rFonts w:cs="Avenir Next"/>
          <w:b/>
          <w:bCs/>
          <w:spacing w:val="68"/>
        </w:rPr>
        <w:t xml:space="preserve"> </w:t>
      </w:r>
      <w:r w:rsidR="00C2656B">
        <w:rPr>
          <w:spacing w:val="-2"/>
        </w:rPr>
        <w:t>cost</w:t>
      </w:r>
      <w:r w:rsidR="00C2656B">
        <w:rPr>
          <w:spacing w:val="-4"/>
        </w:rPr>
        <w:t xml:space="preserve"> </w:t>
      </w:r>
      <w:r w:rsidR="00C2656B">
        <w:rPr>
          <w:spacing w:val="-1"/>
        </w:rPr>
        <w:t>of</w:t>
      </w:r>
      <w:r w:rsidR="00C2656B">
        <w:t xml:space="preserve"> </w:t>
      </w:r>
      <w:r w:rsidR="00C2656B">
        <w:rPr>
          <w:spacing w:val="-2"/>
        </w:rPr>
        <w:t>debt,</w:t>
      </w:r>
      <w:r w:rsidR="00C2656B">
        <w:rPr>
          <w:spacing w:val="-10"/>
        </w:rPr>
        <w:t xml:space="preserve"> </w:t>
      </w:r>
      <w:r w:rsidR="00C2656B">
        <w:rPr>
          <w:spacing w:val="-2"/>
        </w:rPr>
        <w:t>and</w:t>
      </w:r>
      <w:r w:rsidR="00C2656B">
        <w:rPr>
          <w:spacing w:val="-4"/>
        </w:rPr>
        <w:t xml:space="preserve"> </w:t>
      </w:r>
      <w:r w:rsidR="00C2656B">
        <w:rPr>
          <w:spacing w:val="-2"/>
        </w:rPr>
        <w:t>the</w:t>
      </w:r>
      <w:r w:rsidR="00C2656B">
        <w:rPr>
          <w:spacing w:val="-4"/>
        </w:rPr>
        <w:t xml:space="preserve"> </w:t>
      </w:r>
      <w:r w:rsidR="00C2656B">
        <w:rPr>
          <w:spacing w:val="-2"/>
        </w:rPr>
        <w:t>debt-to-equity</w:t>
      </w:r>
      <w:r w:rsidR="00C2656B">
        <w:rPr>
          <w:spacing w:val="-4"/>
        </w:rPr>
        <w:t xml:space="preserve"> </w:t>
      </w:r>
      <w:r w:rsidR="00C2656B">
        <w:rPr>
          <w:spacing w:val="-1"/>
        </w:rPr>
        <w:t>or</w:t>
      </w:r>
      <w:r w:rsidR="00C2656B">
        <w:rPr>
          <w:spacing w:val="-4"/>
        </w:rPr>
        <w:t xml:space="preserve"> </w:t>
      </w:r>
      <w:r w:rsidR="00C2656B">
        <w:rPr>
          <w:spacing w:val="-2"/>
        </w:rPr>
        <w:t>gearing</w:t>
      </w:r>
      <w:r w:rsidR="00C2656B">
        <w:rPr>
          <w:spacing w:val="-4"/>
        </w:rPr>
        <w:t xml:space="preserve"> </w:t>
      </w:r>
      <w:r w:rsidR="00C2656B">
        <w:rPr>
          <w:spacing w:val="-3"/>
        </w:rPr>
        <w:t>ratio</w:t>
      </w:r>
      <w:r w:rsidR="00C2656B">
        <w:rPr>
          <w:spacing w:val="-4"/>
        </w:rPr>
        <w:t xml:space="preserve"> </w:t>
      </w:r>
      <w:r w:rsidR="00C2656B">
        <w:rPr>
          <w:spacing w:val="-2"/>
        </w:rPr>
        <w:t>based</w:t>
      </w:r>
      <w:r w:rsidR="00C2656B">
        <w:rPr>
          <w:spacing w:val="-4"/>
        </w:rPr>
        <w:t xml:space="preserve"> </w:t>
      </w:r>
      <w:r w:rsidR="00C2656B">
        <w:rPr>
          <w:spacing w:val="-1"/>
        </w:rPr>
        <w:t>on</w:t>
      </w:r>
      <w:r w:rsidR="00C2656B">
        <w:rPr>
          <w:spacing w:val="-8"/>
        </w:rPr>
        <w:t xml:space="preserve"> </w:t>
      </w:r>
      <w:r w:rsidR="00C2656B">
        <w:rPr>
          <w:spacing w:val="-4"/>
        </w:rPr>
        <w:t xml:space="preserve">ACTEW’s </w:t>
      </w:r>
      <w:r w:rsidR="00C2656B">
        <w:rPr>
          <w:rFonts w:cs="Avenir Next"/>
          <w:b/>
          <w:bCs/>
          <w:spacing w:val="-2"/>
        </w:rPr>
        <w:t>actual</w:t>
      </w:r>
      <w:r w:rsidR="00C2656B">
        <w:rPr>
          <w:rFonts w:cs="Avenir Next"/>
          <w:b/>
          <w:bCs/>
          <w:spacing w:val="-4"/>
        </w:rPr>
        <w:t xml:space="preserve"> </w:t>
      </w:r>
      <w:r w:rsidR="00C2656B">
        <w:rPr>
          <w:spacing w:val="-2"/>
        </w:rPr>
        <w:t>gearing</w:t>
      </w:r>
      <w:r w:rsidR="00C2656B">
        <w:rPr>
          <w:spacing w:val="-4"/>
        </w:rPr>
        <w:t xml:space="preserve"> </w:t>
      </w:r>
      <w:r w:rsidR="00C2656B">
        <w:rPr>
          <w:spacing w:val="-3"/>
        </w:rPr>
        <w:t>ratio.</w:t>
      </w:r>
    </w:p>
    <w:p w:rsidR="00D96B91" w:rsidRDefault="00C2656B">
      <w:pPr>
        <w:pStyle w:val="BodyText"/>
        <w:spacing w:before="170" w:line="260" w:lineRule="exact"/>
        <w:ind w:right="1376"/>
      </w:pPr>
      <w:r>
        <w:t>In</w:t>
      </w:r>
      <w:r>
        <w:rPr>
          <w:spacing w:val="-1"/>
        </w:rPr>
        <w:t xml:space="preserve"> </w:t>
      </w:r>
      <w:r>
        <w:t>addition,</w:t>
      </w:r>
      <w:r>
        <w:rPr>
          <w:spacing w:val="-7"/>
        </w:rPr>
        <w:t xml:space="preserve"> </w:t>
      </w:r>
      <w:r>
        <w:t>the ICRC</w:t>
      </w:r>
      <w:r>
        <w:rPr>
          <w:spacing w:val="-1"/>
        </w:rPr>
        <w:t xml:space="preserve"> </w:t>
      </w:r>
      <w:r>
        <w:t>noted</w:t>
      </w:r>
      <w:r>
        <w:rPr>
          <w:spacing w:val="-1"/>
        </w:rPr>
        <w:t xml:space="preserve"> that</w:t>
      </w:r>
      <w:r>
        <w:t xml:space="preserve"> a</w:t>
      </w:r>
      <w:r>
        <w:rPr>
          <w:spacing w:val="-1"/>
        </w:rPr>
        <w:t xml:space="preserve"> </w:t>
      </w:r>
      <w:r>
        <w:t>firm-specific</w:t>
      </w:r>
      <w:r>
        <w:rPr>
          <w:spacing w:val="-1"/>
        </w:rPr>
        <w:t xml:space="preserve"> </w:t>
      </w:r>
      <w:r>
        <w:t>cost of</w:t>
      </w:r>
      <w:r>
        <w:rPr>
          <w:spacing w:val="3"/>
        </w:rPr>
        <w:t xml:space="preserve"> </w:t>
      </w:r>
      <w:r>
        <w:t>equity</w:t>
      </w:r>
      <w:r>
        <w:rPr>
          <w:spacing w:val="-1"/>
        </w:rPr>
        <w:t xml:space="preserve"> </w:t>
      </w:r>
      <w:r>
        <w:t>should be</w:t>
      </w:r>
      <w:r>
        <w:rPr>
          <w:spacing w:val="-1"/>
        </w:rPr>
        <w:t xml:space="preserve"> </w:t>
      </w:r>
      <w:r>
        <w:t>set</w:t>
      </w:r>
      <w:r>
        <w:rPr>
          <w:spacing w:val="-1"/>
        </w:rPr>
        <w:t xml:space="preserve"> </w:t>
      </w:r>
      <w:r>
        <w:t>between upper</w:t>
      </w:r>
      <w:r>
        <w:rPr>
          <w:spacing w:val="-1"/>
        </w:rPr>
        <w:t xml:space="preserve"> </w:t>
      </w:r>
      <w:r>
        <w:t>and</w:t>
      </w:r>
      <w:r>
        <w:rPr>
          <w:spacing w:val="-1"/>
        </w:rPr>
        <w:t xml:space="preserve"> </w:t>
      </w:r>
      <w:r>
        <w:t>lower</w:t>
      </w:r>
      <w:r>
        <w:rPr>
          <w:spacing w:val="22"/>
        </w:rPr>
        <w:t xml:space="preserve"> </w:t>
      </w:r>
      <w:r>
        <w:t>bounds for this cost,</w:t>
      </w:r>
      <w:r>
        <w:rPr>
          <w:spacing w:val="-7"/>
        </w:rPr>
        <w:t xml:space="preserve"> </w:t>
      </w:r>
      <w:r>
        <w:t>with the lower bound being the</w:t>
      </w:r>
      <w:r>
        <w:rPr>
          <w:spacing w:val="-4"/>
        </w:rPr>
        <w:t xml:space="preserve"> </w:t>
      </w:r>
      <w:r>
        <w:rPr>
          <w:spacing w:val="-2"/>
        </w:rPr>
        <w:t>ACT</w:t>
      </w:r>
      <w:r>
        <w:rPr>
          <w:spacing w:val="-5"/>
        </w:rPr>
        <w:t xml:space="preserve"> </w:t>
      </w:r>
      <w:r>
        <w:rPr>
          <w:spacing w:val="-1"/>
        </w:rPr>
        <w:t>Government’s</w:t>
      </w:r>
      <w:r>
        <w:t xml:space="preserve"> </w:t>
      </w:r>
      <w:r>
        <w:rPr>
          <w:spacing w:val="-1"/>
        </w:rPr>
        <w:t>borrowing</w:t>
      </w:r>
      <w:r>
        <w:t xml:space="preserve"> </w:t>
      </w:r>
      <w:r>
        <w:rPr>
          <w:spacing w:val="-2"/>
        </w:rPr>
        <w:t>rate</w:t>
      </w:r>
      <w:r>
        <w:t xml:space="preserve"> of</w:t>
      </w:r>
      <w:r>
        <w:rPr>
          <w:spacing w:val="4"/>
        </w:rPr>
        <w:t xml:space="preserve"> </w:t>
      </w:r>
      <w:r>
        <w:t>4.25%,</w:t>
      </w:r>
      <w:r>
        <w:rPr>
          <w:spacing w:val="-6"/>
        </w:rPr>
        <w:t xml:space="preserve"> </w:t>
      </w:r>
      <w:r>
        <w:t>and</w:t>
      </w:r>
      <w:r>
        <w:rPr>
          <w:spacing w:val="29"/>
        </w:rPr>
        <w:t xml:space="preserve"> </w:t>
      </w:r>
      <w:r>
        <w:t>the upper bound being</w:t>
      </w:r>
      <w:r>
        <w:rPr>
          <w:spacing w:val="1"/>
        </w:rPr>
        <w:t xml:space="preserve"> </w:t>
      </w:r>
      <w:r>
        <w:t xml:space="preserve">7% to </w:t>
      </w:r>
      <w:r>
        <w:rPr>
          <w:spacing w:val="-1"/>
        </w:rPr>
        <w:t>8%.</w:t>
      </w:r>
      <w:r>
        <w:rPr>
          <w:spacing w:val="-1"/>
          <w:position w:val="7"/>
          <w:sz w:val="11"/>
          <w:szCs w:val="11"/>
        </w:rPr>
        <w:t>161</w:t>
      </w:r>
      <w:r>
        <w:rPr>
          <w:spacing w:val="23"/>
          <w:position w:val="7"/>
          <w:sz w:val="11"/>
          <w:szCs w:val="11"/>
        </w:rPr>
        <w:t xml:space="preserve"> </w:t>
      </w:r>
      <w:r>
        <w:rPr>
          <w:spacing w:val="-2"/>
        </w:rPr>
        <w:t>However,</w:t>
      </w:r>
      <w:r>
        <w:rPr>
          <w:spacing w:val="-6"/>
        </w:rPr>
        <w:t xml:space="preserve"> </w:t>
      </w:r>
      <w:r>
        <w:t>it</w:t>
      </w:r>
      <w:r>
        <w:rPr>
          <w:spacing w:val="1"/>
        </w:rPr>
        <w:t xml:space="preserve"> </w:t>
      </w:r>
      <w:r>
        <w:t>then set the</w:t>
      </w:r>
      <w:r>
        <w:rPr>
          <w:spacing w:val="1"/>
        </w:rPr>
        <w:t xml:space="preserve"> </w:t>
      </w:r>
      <w:r>
        <w:t>cost of</w:t>
      </w:r>
      <w:r>
        <w:rPr>
          <w:spacing w:val="4"/>
        </w:rPr>
        <w:t xml:space="preserve"> </w:t>
      </w:r>
      <w:r>
        <w:t>equity</w:t>
      </w:r>
      <w:r>
        <w:rPr>
          <w:spacing w:val="1"/>
        </w:rPr>
        <w:t xml:space="preserve"> </w:t>
      </w:r>
      <w:r>
        <w:rPr>
          <w:spacing w:val="-1"/>
        </w:rPr>
        <w:t>at</w:t>
      </w:r>
      <w:r>
        <w:t xml:space="preserve"> 2.8% for</w:t>
      </w:r>
      <w:r>
        <w:rPr>
          <w:spacing w:val="1"/>
        </w:rPr>
        <w:t xml:space="preserve"> </w:t>
      </w:r>
      <w:r>
        <w:t>the first two</w:t>
      </w:r>
      <w:r>
        <w:rPr>
          <w:spacing w:val="23"/>
        </w:rPr>
        <w:t xml:space="preserve"> </w:t>
      </w:r>
      <w:r>
        <w:rPr>
          <w:spacing w:val="-1"/>
        </w:rPr>
        <w:t>years</w:t>
      </w:r>
      <w:r>
        <w:t xml:space="preserve"> of</w:t>
      </w:r>
      <w:r>
        <w:rPr>
          <w:spacing w:val="4"/>
        </w:rPr>
        <w:t xml:space="preserve"> </w:t>
      </w:r>
      <w:r>
        <w:t xml:space="preserve">the </w:t>
      </w:r>
      <w:r>
        <w:rPr>
          <w:spacing w:val="-1"/>
        </w:rPr>
        <w:t>regulatory</w:t>
      </w:r>
      <w:r>
        <w:t xml:space="preserve"> period,</w:t>
      </w:r>
      <w:r>
        <w:rPr>
          <w:spacing w:val="-6"/>
        </w:rPr>
        <w:t xml:space="preserve"> </w:t>
      </w:r>
      <w:r>
        <w:t>which is below the lower bound of</w:t>
      </w:r>
      <w:r>
        <w:rPr>
          <w:spacing w:val="4"/>
        </w:rPr>
        <w:t xml:space="preserve"> </w:t>
      </w:r>
      <w:r>
        <w:t xml:space="preserve">this </w:t>
      </w:r>
      <w:r>
        <w:rPr>
          <w:spacing w:val="-1"/>
        </w:rPr>
        <w:t>range.</w:t>
      </w:r>
    </w:p>
    <w:p w:rsidR="00D96B91" w:rsidRDefault="00C2656B">
      <w:pPr>
        <w:pStyle w:val="BodyText"/>
        <w:spacing w:before="170" w:line="260" w:lineRule="exact"/>
        <w:ind w:right="1376"/>
        <w:rPr>
          <w:sz w:val="11"/>
          <w:szCs w:val="11"/>
        </w:rPr>
      </w:pPr>
      <w:r>
        <w:rPr>
          <w:spacing w:val="-3"/>
        </w:rPr>
        <w:t>Further,</w:t>
      </w:r>
      <w:r>
        <w:rPr>
          <w:spacing w:val="-7"/>
        </w:rPr>
        <w:t xml:space="preserve"> </w:t>
      </w:r>
      <w:r>
        <w:t>the</w:t>
      </w:r>
      <w:r>
        <w:rPr>
          <w:spacing w:val="-1"/>
        </w:rPr>
        <w:t xml:space="preserve"> </w:t>
      </w:r>
      <w:r>
        <w:t xml:space="preserve">ICRC </w:t>
      </w:r>
      <w:r>
        <w:rPr>
          <w:spacing w:val="-1"/>
        </w:rPr>
        <w:t>indicated that,</w:t>
      </w:r>
      <w:r>
        <w:rPr>
          <w:spacing w:val="-6"/>
        </w:rPr>
        <w:t xml:space="preserve"> </w:t>
      </w:r>
      <w:r>
        <w:t>as</w:t>
      </w:r>
      <w:r>
        <w:rPr>
          <w:spacing w:val="-1"/>
        </w:rPr>
        <w:t xml:space="preserve"> </w:t>
      </w:r>
      <w:r>
        <w:t>a</w:t>
      </w:r>
      <w:r>
        <w:rPr>
          <w:spacing w:val="-1"/>
        </w:rPr>
        <w:t xml:space="preserve"> result</w:t>
      </w:r>
      <w:r>
        <w:t xml:space="preserve"> of</w:t>
      </w:r>
      <w:r>
        <w:rPr>
          <w:spacing w:val="3"/>
        </w:rPr>
        <w:t xml:space="preserve"> </w:t>
      </w:r>
      <w:r>
        <w:t>its</w:t>
      </w:r>
      <w:r>
        <w:rPr>
          <w:spacing w:val="-1"/>
        </w:rPr>
        <w:t xml:space="preserve"> </w:t>
      </w:r>
      <w:r>
        <w:t>decision to</w:t>
      </w:r>
      <w:r>
        <w:rPr>
          <w:spacing w:val="-1"/>
        </w:rPr>
        <w:t xml:space="preserve"> </w:t>
      </w:r>
      <w:r>
        <w:t>use</w:t>
      </w:r>
      <w:r>
        <w:rPr>
          <w:spacing w:val="-1"/>
        </w:rPr>
        <w:t xml:space="preserve"> </w:t>
      </w:r>
      <w:r>
        <w:t>a firm-specific</w:t>
      </w:r>
      <w:r>
        <w:rPr>
          <w:spacing w:val="-1"/>
        </w:rPr>
        <w:t xml:space="preserve"> approach,</w:t>
      </w:r>
      <w:r>
        <w:rPr>
          <w:spacing w:val="-6"/>
        </w:rPr>
        <w:t xml:space="preserve"> </w:t>
      </w:r>
      <w:r>
        <w:rPr>
          <w:spacing w:val="-9"/>
        </w:rPr>
        <w:t>“…</w:t>
      </w:r>
      <w:r>
        <w:rPr>
          <w:spacing w:val="-7"/>
        </w:rPr>
        <w:t xml:space="preserve"> </w:t>
      </w:r>
      <w:r>
        <w:t>the</w:t>
      </w:r>
      <w:r>
        <w:rPr>
          <w:spacing w:val="-1"/>
        </w:rPr>
        <w:t xml:space="preserve"> </w:t>
      </w:r>
      <w:r>
        <w:t>need</w:t>
      </w:r>
      <w:r>
        <w:rPr>
          <w:spacing w:val="39"/>
        </w:rPr>
        <w:t xml:space="preserve"> </w:t>
      </w:r>
      <w:r>
        <w:t>to model tax liabilities</w:t>
      </w:r>
      <w:r>
        <w:rPr>
          <w:spacing w:val="1"/>
        </w:rPr>
        <w:t xml:space="preserve"> </w:t>
      </w:r>
      <w:r>
        <w:t xml:space="preserve">is </w:t>
      </w:r>
      <w:r>
        <w:rPr>
          <w:spacing w:val="-1"/>
        </w:rPr>
        <w:t>eliminated.</w:t>
      </w:r>
      <w:r>
        <w:rPr>
          <w:spacing w:val="-10"/>
        </w:rPr>
        <w:t xml:space="preserve"> </w:t>
      </w:r>
      <w:r>
        <w:t>As</w:t>
      </w:r>
      <w:r>
        <w:rPr>
          <w:spacing w:val="1"/>
        </w:rPr>
        <w:t xml:space="preserve"> </w:t>
      </w:r>
      <w:r>
        <w:t>such,</w:t>
      </w:r>
      <w:r>
        <w:rPr>
          <w:spacing w:val="-6"/>
        </w:rPr>
        <w:t xml:space="preserve"> </w:t>
      </w:r>
      <w:r>
        <w:rPr>
          <w:spacing w:val="-1"/>
        </w:rPr>
        <w:t>there</w:t>
      </w:r>
      <w:r>
        <w:t xml:space="preserve"> is</w:t>
      </w:r>
      <w:r>
        <w:rPr>
          <w:spacing w:val="1"/>
        </w:rPr>
        <w:t xml:space="preserve"> </w:t>
      </w:r>
      <w:r>
        <w:t>no benefit to</w:t>
      </w:r>
      <w:r>
        <w:rPr>
          <w:spacing w:val="1"/>
        </w:rPr>
        <w:t xml:space="preserve"> </w:t>
      </w:r>
      <w:r>
        <w:t>adopting a post-tax</w:t>
      </w:r>
      <w:r>
        <w:rPr>
          <w:spacing w:val="1"/>
        </w:rPr>
        <w:t xml:space="preserve"> </w:t>
      </w:r>
      <w:r>
        <w:rPr>
          <w:spacing w:val="-2"/>
        </w:rPr>
        <w:t>approach.”</w:t>
      </w:r>
      <w:r>
        <w:rPr>
          <w:spacing w:val="-2"/>
          <w:position w:val="7"/>
          <w:sz w:val="11"/>
          <w:szCs w:val="11"/>
        </w:rPr>
        <w:t>162</w:t>
      </w:r>
    </w:p>
    <w:p w:rsidR="00D96B91" w:rsidRDefault="00C2656B">
      <w:pPr>
        <w:pStyle w:val="BodyText"/>
        <w:spacing w:line="260" w:lineRule="exact"/>
        <w:ind w:right="1256"/>
        <w:rPr>
          <w:sz w:val="11"/>
          <w:szCs w:val="11"/>
        </w:rPr>
      </w:pPr>
      <w:r>
        <w:t xml:space="preserve">In line with this </w:t>
      </w:r>
      <w:r>
        <w:rPr>
          <w:spacing w:val="-2"/>
        </w:rPr>
        <w:t>view,</w:t>
      </w:r>
      <w:r>
        <w:rPr>
          <w:spacing w:val="-6"/>
        </w:rPr>
        <w:t xml:space="preserve"> </w:t>
      </w:r>
      <w:r>
        <w:t xml:space="preserve">the ICRC did not include an </w:t>
      </w:r>
      <w:r>
        <w:rPr>
          <w:spacing w:val="-1"/>
        </w:rPr>
        <w:t>explicit</w:t>
      </w:r>
      <w:r>
        <w:t xml:space="preserve"> allowance for net tax liabilities in the </w:t>
      </w:r>
      <w:r>
        <w:rPr>
          <w:spacing w:val="-1"/>
        </w:rPr>
        <w:t>revenue</w:t>
      </w:r>
      <w:r>
        <w:rPr>
          <w:spacing w:val="23"/>
        </w:rPr>
        <w:t xml:space="preserve"> </w:t>
      </w:r>
      <w:r>
        <w:rPr>
          <w:spacing w:val="-1"/>
        </w:rPr>
        <w:t>requirement.</w:t>
      </w:r>
      <w:r>
        <w:rPr>
          <w:spacing w:val="-1"/>
          <w:position w:val="7"/>
          <w:sz w:val="11"/>
        </w:rPr>
        <w:t>163</w:t>
      </w:r>
    </w:p>
    <w:p w:rsidR="00D96B91" w:rsidRDefault="00D96B91">
      <w:pPr>
        <w:pStyle w:val="BodyText"/>
        <w:spacing w:before="170" w:line="260" w:lineRule="exact"/>
        <w:ind w:right="1283"/>
      </w:pPr>
      <w:hyperlink w:anchor="_bookmark88" w:history="1">
        <w:r w:rsidR="00C2656B">
          <w:rPr>
            <w:spacing w:val="-4"/>
          </w:rPr>
          <w:t>Table</w:t>
        </w:r>
        <w:r w:rsidR="00C2656B">
          <w:rPr>
            <w:spacing w:val="-1"/>
          </w:rPr>
          <w:t xml:space="preserve"> </w:t>
        </w:r>
        <w:r w:rsidR="00C2656B">
          <w:t>10.2</w:t>
        </w:r>
      </w:hyperlink>
      <w:r w:rsidR="00C2656B">
        <w:t xml:space="preserve"> sets</w:t>
      </w:r>
      <w:r w:rsidR="00C2656B">
        <w:rPr>
          <w:spacing w:val="-1"/>
        </w:rPr>
        <w:t xml:space="preserve"> </w:t>
      </w:r>
      <w:r w:rsidR="00C2656B">
        <w:t xml:space="preserve">out the </w:t>
      </w:r>
      <w:r w:rsidR="00C2656B">
        <w:rPr>
          <w:spacing w:val="-2"/>
        </w:rPr>
        <w:t>ICRC’s</w:t>
      </w:r>
      <w:r w:rsidR="00C2656B">
        <w:rPr>
          <w:spacing w:val="-1"/>
        </w:rPr>
        <w:t xml:space="preserve"> </w:t>
      </w:r>
      <w:r w:rsidR="00C2656B">
        <w:t>final decisions</w:t>
      </w:r>
      <w:r w:rsidR="00C2656B">
        <w:rPr>
          <w:spacing w:val="-1"/>
        </w:rPr>
        <w:t xml:space="preserve"> </w:t>
      </w:r>
      <w:r w:rsidR="00C2656B">
        <w:t>on the</w:t>
      </w:r>
      <w:r w:rsidR="00C2656B">
        <w:rPr>
          <w:spacing w:val="-3"/>
        </w:rPr>
        <w:t xml:space="preserve"> WACC</w:t>
      </w:r>
      <w:r w:rsidR="00C2656B">
        <w:rPr>
          <w:spacing w:val="-1"/>
        </w:rPr>
        <w:t xml:space="preserve"> </w:t>
      </w:r>
      <w:r w:rsidR="00C2656B">
        <w:t>for the</w:t>
      </w:r>
      <w:r w:rsidR="00C2656B">
        <w:rPr>
          <w:spacing w:val="-1"/>
        </w:rPr>
        <w:t xml:space="preserve"> </w:t>
      </w:r>
      <w:r w:rsidR="00C2656B">
        <w:t xml:space="preserve">first two </w:t>
      </w:r>
      <w:r w:rsidR="00C2656B">
        <w:rPr>
          <w:spacing w:val="-1"/>
        </w:rPr>
        <w:t xml:space="preserve">years </w:t>
      </w:r>
      <w:r w:rsidR="00C2656B">
        <w:t>of</w:t>
      </w:r>
      <w:r w:rsidR="00C2656B">
        <w:rPr>
          <w:spacing w:val="4"/>
        </w:rPr>
        <w:t xml:space="preserve"> </w:t>
      </w:r>
      <w:r w:rsidR="00C2656B">
        <w:t>the</w:t>
      </w:r>
      <w:r w:rsidR="00C2656B">
        <w:rPr>
          <w:spacing w:val="-1"/>
        </w:rPr>
        <w:t xml:space="preserve"> regulatory</w:t>
      </w:r>
      <w:r w:rsidR="00C2656B">
        <w:rPr>
          <w:spacing w:val="23"/>
        </w:rPr>
        <w:t xml:space="preserve"> </w:t>
      </w:r>
      <w:r w:rsidR="00C2656B">
        <w:t>period.</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25"/>
          <w:szCs w:val="2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81" style="width:72.5pt;height:.5pt;mso-position-horizontal-relative:char;mso-position-vertical-relative:line" coordsize="1450,10">
            <v:group id="_x0000_s3082" style="position:absolute;left:5;top:5;width:1440;height:2" coordorigin="5,5" coordsize="1440,2">
              <v:shape id="_x0000_s3083" style="position:absolute;left:5;top:5;width:1440;height:2" coordorigin="5,5" coordsize="1440,0" path="m5,5r1440,e" filled="f" strokeweight=".5pt">
                <v:path arrowok="t"/>
              </v:shape>
            </v:group>
            <w10:wrap type="none"/>
            <w10:anchorlock/>
          </v:group>
        </w:pict>
      </w:r>
    </w:p>
    <w:p w:rsidR="00D96B91" w:rsidRDefault="00C2656B">
      <w:pPr>
        <w:numPr>
          <w:ilvl w:val="0"/>
          <w:numId w:val="65"/>
        </w:numPr>
        <w:tabs>
          <w:tab w:val="left" w:pos="1758"/>
        </w:tabs>
        <w:spacing w:before="38"/>
        <w:ind w:hanging="510"/>
        <w:rPr>
          <w:rFonts w:ascii="Avenir Next" w:eastAsia="Avenir Next" w:hAnsi="Avenir Next" w:cs="Avenir Next"/>
          <w:sz w:val="16"/>
          <w:szCs w:val="16"/>
        </w:rPr>
      </w:pPr>
      <w:bookmarkStart w:id="140" w:name="_bookmark88"/>
      <w:bookmarkEnd w:id="140"/>
      <w:r>
        <w:rPr>
          <w:rFonts w:ascii="Avenir Next"/>
          <w:sz w:val="16"/>
        </w:rPr>
        <w:t xml:space="preserve">It could also </w:t>
      </w:r>
      <w:r>
        <w:rPr>
          <w:rFonts w:ascii="Avenir Next"/>
          <w:spacing w:val="-1"/>
          <w:sz w:val="16"/>
        </w:rPr>
        <w:t>make</w:t>
      </w:r>
      <w:r>
        <w:rPr>
          <w:rFonts w:ascii="Avenir Next"/>
          <w:sz w:val="16"/>
        </w:rPr>
        <w:t xml:space="preserve"> investment </w:t>
      </w:r>
      <w:r>
        <w:rPr>
          <w:rFonts w:ascii="Avenir Next"/>
          <w:spacing w:val="-1"/>
          <w:sz w:val="16"/>
        </w:rPr>
        <w:t>unattractive</w:t>
      </w:r>
      <w:r>
        <w:rPr>
          <w:rFonts w:ascii="Avenir Next"/>
          <w:sz w:val="16"/>
        </w:rPr>
        <w:t xml:space="preserve"> to investors.</w:t>
      </w:r>
    </w:p>
    <w:p w:rsidR="00D96B91" w:rsidRDefault="00C2656B">
      <w:pPr>
        <w:numPr>
          <w:ilvl w:val="0"/>
          <w:numId w:val="65"/>
        </w:numPr>
        <w:tabs>
          <w:tab w:val="left" w:pos="1758"/>
        </w:tabs>
        <w:spacing w:before="128" w:line="192" w:lineRule="exact"/>
        <w:ind w:right="1501" w:hanging="510"/>
        <w:rPr>
          <w:rFonts w:ascii="Avenir Next" w:eastAsia="Avenir Next" w:hAnsi="Avenir Next" w:cs="Avenir Next"/>
          <w:sz w:val="16"/>
          <w:szCs w:val="16"/>
        </w:rPr>
      </w:pPr>
      <w:r>
        <w:rPr>
          <w:rFonts w:ascii="Avenir Next"/>
          <w:sz w:val="16"/>
        </w:rPr>
        <w:t>In addition,</w:t>
      </w:r>
      <w:r>
        <w:rPr>
          <w:rFonts w:ascii="Avenir Next"/>
          <w:spacing w:val="-5"/>
          <w:sz w:val="16"/>
        </w:rPr>
        <w:t xml:space="preserve"> </w:t>
      </w:r>
      <w:r>
        <w:rPr>
          <w:rFonts w:ascii="Avenir Next"/>
          <w:sz w:val="16"/>
        </w:rPr>
        <w:t xml:space="preserve">the </w:t>
      </w:r>
      <w:r>
        <w:rPr>
          <w:rFonts w:ascii="Avenir Next"/>
          <w:spacing w:val="-2"/>
          <w:sz w:val="16"/>
        </w:rPr>
        <w:t>Panel</w:t>
      </w:r>
      <w:r>
        <w:rPr>
          <w:rFonts w:ascii="Avenir Next"/>
          <w:sz w:val="16"/>
        </w:rPr>
        <w:t xml:space="preserve"> notes </w:t>
      </w:r>
      <w:r>
        <w:rPr>
          <w:rFonts w:ascii="Avenir Next"/>
          <w:spacing w:val="-1"/>
          <w:sz w:val="16"/>
        </w:rPr>
        <w:t>that</w:t>
      </w:r>
      <w:r>
        <w:rPr>
          <w:rFonts w:ascii="Avenir Next"/>
          <w:sz w:val="16"/>
        </w:rPr>
        <w:t xml:space="preserve"> if</w:t>
      </w:r>
      <w:r>
        <w:rPr>
          <w:rFonts w:ascii="Avenir Next"/>
          <w:spacing w:val="3"/>
          <w:sz w:val="16"/>
        </w:rPr>
        <w:t xml:space="preserve"> </w:t>
      </w:r>
      <w:r>
        <w:rPr>
          <w:rFonts w:ascii="Avenir Next"/>
          <w:sz w:val="16"/>
        </w:rPr>
        <w:t>a publicly-owned,</w:t>
      </w:r>
      <w:r>
        <w:rPr>
          <w:rFonts w:ascii="Avenir Next"/>
          <w:spacing w:val="-5"/>
          <w:sz w:val="16"/>
        </w:rPr>
        <w:t xml:space="preserve"> </w:t>
      </w:r>
      <w:r>
        <w:rPr>
          <w:rFonts w:ascii="Avenir Next"/>
          <w:spacing w:val="-1"/>
          <w:sz w:val="16"/>
        </w:rPr>
        <w:t>regulated</w:t>
      </w:r>
      <w:r>
        <w:rPr>
          <w:rFonts w:ascii="Avenir Next"/>
          <w:sz w:val="16"/>
        </w:rPr>
        <w:t xml:space="preserve"> monopoly is deemed by its owners to </w:t>
      </w:r>
      <w:r>
        <w:rPr>
          <w:rFonts w:ascii="Avenir Next"/>
          <w:spacing w:val="-1"/>
          <w:sz w:val="16"/>
        </w:rPr>
        <w:t>operate</w:t>
      </w:r>
      <w:r>
        <w:rPr>
          <w:rFonts w:ascii="Avenir Next"/>
          <w:sz w:val="16"/>
        </w:rPr>
        <w:t xml:space="preserve"> as if</w:t>
      </w:r>
      <w:r>
        <w:rPr>
          <w:rFonts w:ascii="Avenir Next"/>
          <w:spacing w:val="3"/>
          <w:sz w:val="16"/>
        </w:rPr>
        <w:t xml:space="preserve"> </w:t>
      </w:r>
      <w:r>
        <w:rPr>
          <w:rFonts w:ascii="Avenir Next"/>
          <w:sz w:val="16"/>
        </w:rPr>
        <w:t>it has</w:t>
      </w:r>
      <w:r>
        <w:rPr>
          <w:rFonts w:ascii="Avenir Next"/>
          <w:spacing w:val="30"/>
          <w:sz w:val="16"/>
        </w:rPr>
        <w:t xml:space="preserve"> </w:t>
      </w:r>
      <w:r>
        <w:rPr>
          <w:rFonts w:ascii="Avenir Next"/>
          <w:sz w:val="16"/>
        </w:rPr>
        <w:t>a</w:t>
      </w:r>
      <w:r>
        <w:rPr>
          <w:rFonts w:ascii="Avenir Next"/>
          <w:spacing w:val="-1"/>
          <w:sz w:val="16"/>
        </w:rPr>
        <w:t xml:space="preserve"> </w:t>
      </w:r>
      <w:r>
        <w:rPr>
          <w:rFonts w:ascii="Avenir Next"/>
          <w:sz w:val="16"/>
        </w:rPr>
        <w:t>lower cost of</w:t>
      </w:r>
      <w:r>
        <w:rPr>
          <w:rFonts w:ascii="Avenir Next"/>
          <w:spacing w:val="2"/>
          <w:sz w:val="16"/>
        </w:rPr>
        <w:t xml:space="preserve"> </w:t>
      </w:r>
      <w:r>
        <w:rPr>
          <w:rFonts w:ascii="Avenir Next"/>
          <w:sz w:val="16"/>
        </w:rPr>
        <w:t>capital than a benchmark</w:t>
      </w:r>
      <w:r>
        <w:rPr>
          <w:rFonts w:ascii="Avenir Next"/>
          <w:spacing w:val="-1"/>
          <w:sz w:val="16"/>
        </w:rPr>
        <w:t xml:space="preserve"> entity,</w:t>
      </w:r>
      <w:r>
        <w:rPr>
          <w:rFonts w:ascii="Avenir Next"/>
          <w:spacing w:val="-5"/>
          <w:sz w:val="16"/>
        </w:rPr>
        <w:t xml:space="preserve"> </w:t>
      </w:r>
      <w:r>
        <w:rPr>
          <w:rFonts w:ascii="Avenir Next"/>
          <w:sz w:val="16"/>
        </w:rPr>
        <w:t>then an</w:t>
      </w:r>
      <w:r>
        <w:rPr>
          <w:rFonts w:ascii="Avenir Next"/>
          <w:spacing w:val="-1"/>
          <w:sz w:val="16"/>
        </w:rPr>
        <w:t xml:space="preserve"> inefficiently</w:t>
      </w:r>
      <w:r>
        <w:rPr>
          <w:rFonts w:ascii="Avenir Next"/>
          <w:sz w:val="16"/>
        </w:rPr>
        <w:t xml:space="preserve"> high level of</w:t>
      </w:r>
      <w:r>
        <w:rPr>
          <w:rFonts w:ascii="Avenir Next"/>
          <w:spacing w:val="2"/>
          <w:sz w:val="16"/>
        </w:rPr>
        <w:t xml:space="preserve"> </w:t>
      </w:r>
      <w:r>
        <w:rPr>
          <w:rFonts w:ascii="Avenir Next"/>
          <w:sz w:val="16"/>
        </w:rPr>
        <w:t>investment may be</w:t>
      </w:r>
      <w:r>
        <w:rPr>
          <w:rFonts w:ascii="Avenir Next"/>
          <w:spacing w:val="-1"/>
          <w:sz w:val="16"/>
        </w:rPr>
        <w:t xml:space="preserve"> undertaken</w:t>
      </w:r>
      <w:r>
        <w:rPr>
          <w:rFonts w:ascii="Avenir Next"/>
          <w:sz w:val="16"/>
        </w:rPr>
        <w:t xml:space="preserve"> </w:t>
      </w:r>
      <w:r>
        <w:rPr>
          <w:rFonts w:ascii="Avenir Next"/>
          <w:spacing w:val="-1"/>
          <w:sz w:val="16"/>
        </w:rPr>
        <w:t>at</w:t>
      </w:r>
      <w:r>
        <w:rPr>
          <w:rFonts w:ascii="Avenir Next"/>
          <w:sz w:val="16"/>
        </w:rPr>
        <w:t xml:space="preserve"> the</w:t>
      </w:r>
      <w:r>
        <w:rPr>
          <w:rFonts w:ascii="Avenir Next"/>
          <w:spacing w:val="33"/>
          <w:sz w:val="16"/>
        </w:rPr>
        <w:t xml:space="preserve"> </w:t>
      </w:r>
      <w:r>
        <w:rPr>
          <w:rFonts w:ascii="Avenir Next"/>
          <w:spacing w:val="-1"/>
          <w:sz w:val="16"/>
        </w:rPr>
        <w:t xml:space="preserve">expense </w:t>
      </w:r>
      <w:r>
        <w:rPr>
          <w:rFonts w:ascii="Avenir Next"/>
          <w:sz w:val="16"/>
        </w:rPr>
        <w:t>of</w:t>
      </w:r>
      <w:r>
        <w:rPr>
          <w:rFonts w:ascii="Avenir Next"/>
          <w:spacing w:val="3"/>
          <w:sz w:val="16"/>
        </w:rPr>
        <w:t xml:space="preserve"> </w:t>
      </w:r>
      <w:r>
        <w:rPr>
          <w:rFonts w:ascii="Avenir Next"/>
          <w:sz w:val="16"/>
        </w:rPr>
        <w:t>another activity (eg,</w:t>
      </w:r>
      <w:r>
        <w:rPr>
          <w:rFonts w:ascii="Avenir Next"/>
          <w:spacing w:val="-6"/>
          <w:sz w:val="16"/>
        </w:rPr>
        <w:t xml:space="preserve"> </w:t>
      </w:r>
      <w:r>
        <w:rPr>
          <w:rFonts w:ascii="Avenir Next"/>
          <w:spacing w:val="-1"/>
          <w:sz w:val="16"/>
        </w:rPr>
        <w:t>health</w:t>
      </w:r>
      <w:r>
        <w:rPr>
          <w:rFonts w:ascii="Avenir Next"/>
          <w:sz w:val="16"/>
        </w:rPr>
        <w:t xml:space="preserve"> </w:t>
      </w:r>
      <w:r>
        <w:rPr>
          <w:rFonts w:ascii="Avenir Next"/>
          <w:spacing w:val="-1"/>
          <w:sz w:val="16"/>
        </w:rPr>
        <w:t>care).</w:t>
      </w:r>
      <w:r>
        <w:rPr>
          <w:rFonts w:ascii="Avenir Next"/>
          <w:spacing w:val="-7"/>
          <w:sz w:val="16"/>
        </w:rPr>
        <w:t xml:space="preserve"> </w:t>
      </w:r>
      <w:r>
        <w:rPr>
          <w:rFonts w:ascii="Avenir Next"/>
          <w:spacing w:val="-2"/>
          <w:sz w:val="16"/>
        </w:rPr>
        <w:t>Water</w:t>
      </w:r>
      <w:r>
        <w:rPr>
          <w:rFonts w:ascii="Avenir Next"/>
          <w:sz w:val="16"/>
        </w:rPr>
        <w:t xml:space="preserve"> will</w:t>
      </w:r>
      <w:r>
        <w:rPr>
          <w:rFonts w:ascii="Avenir Next"/>
          <w:spacing w:val="-1"/>
          <w:sz w:val="16"/>
        </w:rPr>
        <w:t xml:space="preserve"> </w:t>
      </w:r>
      <w:r>
        <w:rPr>
          <w:rFonts w:ascii="Avenir Next"/>
          <w:sz w:val="16"/>
        </w:rPr>
        <w:t xml:space="preserve">also have </w:t>
      </w:r>
      <w:r>
        <w:rPr>
          <w:rFonts w:ascii="Avenir Next"/>
          <w:spacing w:val="-1"/>
          <w:sz w:val="16"/>
        </w:rPr>
        <w:t>alternative</w:t>
      </w:r>
      <w:r>
        <w:rPr>
          <w:rFonts w:ascii="Avenir Next"/>
          <w:sz w:val="16"/>
        </w:rPr>
        <w:t xml:space="preserve"> uses</w:t>
      </w:r>
      <w:r>
        <w:rPr>
          <w:rFonts w:ascii="Avenir Next"/>
          <w:spacing w:val="-1"/>
          <w:sz w:val="16"/>
        </w:rPr>
        <w:t xml:space="preserve"> </w:t>
      </w:r>
      <w:r>
        <w:rPr>
          <w:rFonts w:ascii="Avenir Next"/>
          <w:sz w:val="16"/>
        </w:rPr>
        <w:t>(eg,</w:t>
      </w:r>
      <w:r>
        <w:rPr>
          <w:rFonts w:ascii="Avenir Next"/>
          <w:spacing w:val="-5"/>
          <w:sz w:val="16"/>
        </w:rPr>
        <w:t xml:space="preserve"> </w:t>
      </w:r>
      <w:r>
        <w:rPr>
          <w:rFonts w:ascii="Avenir Next"/>
          <w:spacing w:val="-1"/>
          <w:sz w:val="16"/>
        </w:rPr>
        <w:t>environmental</w:t>
      </w:r>
      <w:r>
        <w:rPr>
          <w:rFonts w:ascii="Avenir Next"/>
          <w:sz w:val="16"/>
        </w:rPr>
        <w:t xml:space="preserve"> flows) and its</w:t>
      </w:r>
      <w:r>
        <w:rPr>
          <w:rFonts w:ascii="Avenir Next"/>
          <w:spacing w:val="-1"/>
          <w:sz w:val="16"/>
        </w:rPr>
        <w:t xml:space="preserve"> </w:t>
      </w:r>
      <w:r>
        <w:rPr>
          <w:rFonts w:ascii="Avenir Next"/>
          <w:sz w:val="16"/>
        </w:rPr>
        <w:t>use</w:t>
      </w:r>
      <w:r>
        <w:rPr>
          <w:rFonts w:ascii="Avenir Next"/>
          <w:spacing w:val="71"/>
          <w:sz w:val="16"/>
        </w:rPr>
        <w:t xml:space="preserve"> </w:t>
      </w:r>
      <w:r>
        <w:rPr>
          <w:rFonts w:ascii="Avenir Next"/>
          <w:spacing w:val="-1"/>
          <w:sz w:val="16"/>
        </w:rPr>
        <w:t>through</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 xml:space="preserve">should not be </w:t>
      </w:r>
      <w:r>
        <w:rPr>
          <w:rFonts w:ascii="Avenir Next"/>
          <w:spacing w:val="-1"/>
          <w:sz w:val="16"/>
        </w:rPr>
        <w:t>cross-subsidised.</w:t>
      </w:r>
    </w:p>
    <w:p w:rsidR="00D96B91" w:rsidRDefault="00D96B91">
      <w:pPr>
        <w:spacing w:before="12"/>
        <w:rPr>
          <w:rFonts w:ascii="Avenir Next" w:eastAsia="Avenir Next" w:hAnsi="Avenir Next" w:cs="Avenir Next"/>
          <w:sz w:val="10"/>
          <w:szCs w:val="10"/>
        </w:rPr>
      </w:pPr>
    </w:p>
    <w:p w:rsidR="00D96B91" w:rsidRDefault="00C2656B">
      <w:pPr>
        <w:numPr>
          <w:ilvl w:val="0"/>
          <w:numId w:val="65"/>
        </w:numPr>
        <w:tabs>
          <w:tab w:val="left" w:pos="1758"/>
        </w:tabs>
        <w:spacing w:line="192" w:lineRule="exact"/>
        <w:ind w:right="1443" w:hanging="510"/>
        <w:jc w:val="both"/>
        <w:rPr>
          <w:rFonts w:ascii="Avenir Next" w:eastAsia="Avenir Next" w:hAnsi="Avenir Next" w:cs="Avenir Next"/>
          <w:sz w:val="16"/>
          <w:szCs w:val="16"/>
        </w:rPr>
      </w:pPr>
      <w:r>
        <w:rPr>
          <w:rFonts w:ascii="Avenir Next"/>
          <w:sz w:val="16"/>
        </w:rPr>
        <w:t>ICRC,</w:t>
      </w:r>
      <w:r>
        <w:rPr>
          <w:rFonts w:ascii="Avenir Next"/>
          <w:spacing w:val="-6"/>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6"/>
          <w:sz w:val="16"/>
        </w:rPr>
        <w:t xml:space="preserve"> </w:t>
      </w:r>
      <w:r>
        <w:rPr>
          <w:rFonts w:ascii="Avenir Next"/>
          <w:spacing w:val="-1"/>
          <w:sz w:val="16"/>
        </w:rPr>
        <w:t>Regulated</w:t>
      </w:r>
      <w:r>
        <w:rPr>
          <w:rFonts w:ascii="Avenir Next"/>
          <w:spacing w:val="-2"/>
          <w:sz w:val="16"/>
        </w:rPr>
        <w:t xml:space="preserve"> Water</w:t>
      </w:r>
      <w:r>
        <w:rPr>
          <w:rFonts w:ascii="Avenir Next"/>
          <w:spacing w:val="-1"/>
          <w:sz w:val="16"/>
        </w:rPr>
        <w:t xml:space="preserve"> </w:t>
      </w:r>
      <w:r>
        <w:rPr>
          <w:rFonts w:ascii="Avenir Next"/>
          <w:sz w:val="16"/>
        </w:rPr>
        <w:t xml:space="preserve">and </w:t>
      </w:r>
      <w:r>
        <w:rPr>
          <w:rFonts w:ascii="Avenir Next"/>
          <w:spacing w:val="-1"/>
          <w:sz w:val="16"/>
        </w:rPr>
        <w:t xml:space="preserve">Sewerage </w:t>
      </w:r>
      <w:r>
        <w:rPr>
          <w:rFonts w:ascii="Avenir Next"/>
          <w:sz w:val="16"/>
        </w:rPr>
        <w:t>Services,</w:t>
      </w:r>
      <w:r>
        <w:rPr>
          <w:rFonts w:ascii="Avenir Next"/>
          <w:spacing w:val="-7"/>
          <w:sz w:val="16"/>
        </w:rPr>
        <w:t xml:space="preserve"> </w:t>
      </w:r>
      <w:r>
        <w:rPr>
          <w:rFonts w:ascii="Avenir Next"/>
          <w:sz w:val="16"/>
        </w:rPr>
        <w:t>June 2013,</w:t>
      </w:r>
      <w:r>
        <w:rPr>
          <w:rFonts w:ascii="Avenir Next"/>
          <w:spacing w:val="-6"/>
          <w:sz w:val="16"/>
        </w:rPr>
        <w:t xml:space="preserve"> </w:t>
      </w:r>
      <w:r>
        <w:rPr>
          <w:rFonts w:ascii="Avenir Next"/>
          <w:spacing w:val="-1"/>
          <w:sz w:val="16"/>
        </w:rPr>
        <w:t>p.</w:t>
      </w:r>
      <w:r>
        <w:rPr>
          <w:rFonts w:ascii="Avenir Next"/>
          <w:spacing w:val="-5"/>
          <w:sz w:val="16"/>
        </w:rPr>
        <w:t xml:space="preserve"> </w:t>
      </w:r>
      <w:r>
        <w:rPr>
          <w:rFonts w:ascii="Avenir Next"/>
          <w:sz w:val="16"/>
        </w:rPr>
        <w:t>65.</w:t>
      </w:r>
      <w:r>
        <w:rPr>
          <w:rFonts w:ascii="Avenir Next"/>
          <w:spacing w:val="-6"/>
          <w:sz w:val="16"/>
        </w:rPr>
        <w:t xml:space="preserve"> </w:t>
      </w:r>
      <w:r>
        <w:rPr>
          <w:rFonts w:ascii="Avenir Next"/>
          <w:sz w:val="16"/>
        </w:rPr>
        <w:t xml:space="preserve">Note </w:t>
      </w:r>
      <w:r>
        <w:rPr>
          <w:rFonts w:ascii="Avenir Next"/>
          <w:spacing w:val="-1"/>
          <w:sz w:val="16"/>
        </w:rPr>
        <w:t xml:space="preserve">that </w:t>
      </w:r>
      <w:r>
        <w:rPr>
          <w:rFonts w:ascii="Avenir Next"/>
          <w:sz w:val="16"/>
        </w:rPr>
        <w:t>a firm-specific</w:t>
      </w:r>
      <w:r>
        <w:rPr>
          <w:rFonts w:ascii="Avenir Next"/>
          <w:spacing w:val="-1"/>
          <w:sz w:val="16"/>
        </w:rPr>
        <w:t xml:space="preserve"> </w:t>
      </w:r>
      <w:r>
        <w:rPr>
          <w:rFonts w:ascii="Avenir Next"/>
          <w:sz w:val="16"/>
        </w:rPr>
        <w:t>cost of</w:t>
      </w:r>
      <w:r>
        <w:rPr>
          <w:rFonts w:ascii="Avenir Next"/>
          <w:spacing w:val="2"/>
          <w:sz w:val="16"/>
        </w:rPr>
        <w:t xml:space="preserve"> </w:t>
      </w:r>
      <w:r>
        <w:rPr>
          <w:rFonts w:ascii="Avenir Next"/>
          <w:sz w:val="16"/>
        </w:rPr>
        <w:t>equity for</w:t>
      </w:r>
      <w:r>
        <w:rPr>
          <w:rFonts w:ascii="Avenir Next"/>
          <w:spacing w:val="41"/>
          <w:sz w:val="16"/>
        </w:rPr>
        <w:t xml:space="preserve"> </w:t>
      </w:r>
      <w:r>
        <w:rPr>
          <w:rFonts w:ascii="Avenir Next"/>
          <w:spacing w:val="-1"/>
          <w:sz w:val="16"/>
        </w:rPr>
        <w:t>ACTEW</w:t>
      </w:r>
      <w:r>
        <w:rPr>
          <w:rFonts w:ascii="Avenir Next"/>
          <w:spacing w:val="-2"/>
          <w:sz w:val="16"/>
        </w:rPr>
        <w:t xml:space="preserve"> </w:t>
      </w:r>
      <w:r>
        <w:rPr>
          <w:rFonts w:ascii="Avenir Next"/>
          <w:sz w:val="16"/>
        </w:rPr>
        <w:t>cannot in fact be observed as</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is not a publicly listed company (so its actual equity beta and subsequent</w:t>
      </w:r>
      <w:r>
        <w:rPr>
          <w:rFonts w:ascii="Avenir Next"/>
          <w:spacing w:val="23"/>
          <w:sz w:val="16"/>
        </w:rPr>
        <w:t xml:space="preserve"> </w:t>
      </w:r>
      <w:r>
        <w:rPr>
          <w:rFonts w:ascii="Avenir Next"/>
          <w:sz w:val="16"/>
        </w:rPr>
        <w:t>cost of</w:t>
      </w:r>
      <w:r>
        <w:rPr>
          <w:rFonts w:ascii="Avenir Next"/>
          <w:spacing w:val="3"/>
          <w:sz w:val="16"/>
        </w:rPr>
        <w:t xml:space="preserve"> </w:t>
      </w:r>
      <w:r>
        <w:rPr>
          <w:rFonts w:ascii="Avenir Next"/>
          <w:sz w:val="16"/>
        </w:rPr>
        <w:t>equity cannot be observed).</w:t>
      </w:r>
    </w:p>
    <w:p w:rsidR="00D96B91" w:rsidRDefault="00C2656B">
      <w:pPr>
        <w:numPr>
          <w:ilvl w:val="0"/>
          <w:numId w:val="65"/>
        </w:numPr>
        <w:tabs>
          <w:tab w:val="left" w:pos="1758"/>
        </w:tabs>
        <w:spacing w:before="14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33.</w:t>
      </w:r>
    </w:p>
    <w:p w:rsidR="00D96B91" w:rsidRDefault="00C2656B">
      <w:pPr>
        <w:numPr>
          <w:ilvl w:val="0"/>
          <w:numId w:val="65"/>
        </w:numPr>
        <w:tabs>
          <w:tab w:val="left" w:pos="1758"/>
        </w:tabs>
        <w:spacing w:before="121"/>
        <w:ind w:hanging="510"/>
        <w:rPr>
          <w:rFonts w:ascii="Avenir Next" w:eastAsia="Avenir Next" w:hAnsi="Avenir Next" w:cs="Avenir Next"/>
          <w:sz w:val="16"/>
          <w:szCs w:val="16"/>
        </w:rPr>
      </w:pPr>
      <w:r>
        <w:rPr>
          <w:rFonts w:ascii="Avenir Next"/>
          <w:spacing w:val="-2"/>
          <w:sz w:val="16"/>
        </w:rPr>
        <w:t>That</w:t>
      </w:r>
      <w:r>
        <w:rPr>
          <w:rFonts w:ascii="Avenir Next"/>
          <w:sz w:val="16"/>
        </w:rPr>
        <w:t xml:space="preserve"> is,</w:t>
      </w:r>
      <w:r>
        <w:rPr>
          <w:rFonts w:ascii="Avenir Next"/>
          <w:spacing w:val="-5"/>
          <w:sz w:val="16"/>
        </w:rPr>
        <w:t xml:space="preserve"> </w:t>
      </w:r>
      <w:r>
        <w:rPr>
          <w:rFonts w:ascii="Avenir Next"/>
          <w:sz w:val="16"/>
        </w:rPr>
        <w:t xml:space="preserve">tax liabilities taking into account (or net </w:t>
      </w:r>
      <w:r>
        <w:rPr>
          <w:rFonts w:ascii="Avenir Next"/>
          <w:spacing w:val="2"/>
          <w:sz w:val="16"/>
        </w:rPr>
        <w:t>of)</w:t>
      </w:r>
      <w:r>
        <w:rPr>
          <w:rFonts w:ascii="Avenir Next"/>
          <w:sz w:val="16"/>
        </w:rPr>
        <w:t xml:space="preserve"> dividend </w:t>
      </w:r>
      <w:r>
        <w:rPr>
          <w:rFonts w:ascii="Avenir Next"/>
          <w:spacing w:val="-1"/>
          <w:sz w:val="16"/>
        </w:rPr>
        <w:t>imputation</w:t>
      </w:r>
      <w:r>
        <w:rPr>
          <w:rFonts w:ascii="Avenir Next"/>
          <w:sz w:val="16"/>
        </w:rPr>
        <w:t xml:space="preserve"> </w:t>
      </w:r>
      <w:r>
        <w:rPr>
          <w:rFonts w:ascii="Avenir Next"/>
          <w:spacing w:val="-1"/>
          <w:sz w:val="16"/>
        </w:rPr>
        <w:t>credits.</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10.2: ICRC final decision –</w:t>
      </w:r>
      <w:r>
        <w:rPr>
          <w:rFonts w:ascii="Avenir Next" w:eastAsia="Avenir Next" w:hAnsi="Avenir Next" w:cs="Avenir Next"/>
          <w:b/>
          <w:bCs/>
          <w:spacing w:val="-3"/>
          <w:sz w:val="20"/>
          <w:szCs w:val="20"/>
        </w:rPr>
        <w:t xml:space="preserve"> WACC</w:t>
      </w:r>
      <w:r>
        <w:rPr>
          <w:rFonts w:ascii="Avenir Next" w:eastAsia="Avenir Next" w:hAnsi="Avenir Next" w:cs="Avenir Next"/>
          <w:b/>
          <w:bCs/>
          <w:sz w:val="20"/>
          <w:szCs w:val="20"/>
        </w:rPr>
        <w:t xml:space="preserve"> in 2013-14 and 2014-15</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100"/>
        <w:gridCol w:w="1984"/>
        <w:gridCol w:w="6014"/>
      </w:tblGrid>
      <w:tr w:rsidR="00D96B91" w:rsidTr="00C74EAA">
        <w:trPr>
          <w:trHeight w:hRule="exact" w:val="407"/>
        </w:trPr>
        <w:tc>
          <w:tcPr>
            <w:tcW w:w="210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198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b/>
                <w:color w:val="FFFFFF"/>
                <w:sz w:val="18"/>
              </w:rPr>
              <w:t>ICRC final decision</w:t>
            </w:r>
          </w:p>
        </w:tc>
        <w:tc>
          <w:tcPr>
            <w:tcW w:w="601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r>
              <w:rPr>
                <w:rFonts w:ascii="Avenir Next Condensed"/>
                <w:b/>
                <w:color w:val="FFFFFF"/>
                <w:sz w:val="18"/>
              </w:rPr>
              <w:t xml:space="preserve"> to </w:t>
            </w:r>
            <w:r>
              <w:rPr>
                <w:rFonts w:ascii="Avenir Next Condensed"/>
                <w:b/>
                <w:color w:val="FFFFFF"/>
                <w:spacing w:val="-1"/>
                <w:sz w:val="18"/>
              </w:rPr>
              <w:t>parameter</w:t>
            </w:r>
            <w:r>
              <w:rPr>
                <w:rFonts w:ascii="Avenir Next Condensed"/>
                <w:b/>
                <w:color w:val="FFFFFF"/>
                <w:sz w:val="18"/>
              </w:rPr>
              <w:t xml:space="preserve"> estimation</w:t>
            </w:r>
          </w:p>
        </w:tc>
      </w:tr>
      <w:tr w:rsidR="00D96B91" w:rsidTr="00C74EAA">
        <w:trPr>
          <w:trHeight w:hRule="exact" w:val="407"/>
        </w:trPr>
        <w:tc>
          <w:tcPr>
            <w:tcW w:w="210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Nominal cost of</w:t>
            </w:r>
            <w:r>
              <w:rPr>
                <w:rFonts w:ascii="Avenir Next Condensed"/>
                <w:spacing w:val="4"/>
                <w:sz w:val="18"/>
              </w:rPr>
              <w:t xml:space="preserve"> </w:t>
            </w:r>
            <w:r>
              <w:rPr>
                <w:rFonts w:ascii="Avenir Next Condensed"/>
                <w:sz w:val="18"/>
              </w:rPr>
              <w:t>equity</w:t>
            </w:r>
          </w:p>
        </w:tc>
        <w:tc>
          <w:tcPr>
            <w:tcW w:w="198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2.80%</w:t>
            </w:r>
          </w:p>
        </w:tc>
        <w:tc>
          <w:tcPr>
            <w:tcW w:w="601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Set below the lower bound identified for this </w:t>
            </w:r>
            <w:r>
              <w:rPr>
                <w:rFonts w:ascii="Avenir Next Condensed"/>
                <w:spacing w:val="-1"/>
                <w:sz w:val="18"/>
              </w:rPr>
              <w:t>parameter</w:t>
            </w:r>
            <w:r>
              <w:rPr>
                <w:rFonts w:ascii="Avenir Next Condensed"/>
                <w:sz w:val="18"/>
              </w:rPr>
              <w:t xml:space="preserve"> as a </w:t>
            </w:r>
            <w:r>
              <w:rPr>
                <w:rFonts w:ascii="Avenir Next Condensed"/>
                <w:spacing w:val="-1"/>
                <w:sz w:val="18"/>
              </w:rPr>
              <w:t>transitional</w:t>
            </w:r>
            <w:r>
              <w:rPr>
                <w:rFonts w:ascii="Avenir Next Condensed"/>
                <w:sz w:val="18"/>
              </w:rPr>
              <w:t xml:space="preserve"> </w:t>
            </w:r>
            <w:r>
              <w:rPr>
                <w:rFonts w:ascii="Avenir Next Condensed"/>
                <w:spacing w:val="-1"/>
                <w:sz w:val="18"/>
              </w:rPr>
              <w:t>measure</w:t>
            </w:r>
          </w:p>
        </w:tc>
      </w:tr>
      <w:tr w:rsidR="00D96B91" w:rsidTr="00C74EAA">
        <w:trPr>
          <w:trHeight w:hRule="exact" w:val="407"/>
        </w:trPr>
        <w:tc>
          <w:tcPr>
            <w:tcW w:w="21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Nominal cost of</w:t>
            </w:r>
            <w:r>
              <w:rPr>
                <w:rFonts w:ascii="Avenir Next Condensed"/>
                <w:spacing w:val="4"/>
                <w:sz w:val="18"/>
              </w:rPr>
              <w:t xml:space="preserve"> </w:t>
            </w:r>
            <w:r>
              <w:rPr>
                <w:rFonts w:ascii="Avenir Next Condensed"/>
                <w:sz w:val="18"/>
              </w:rPr>
              <w:t>debt</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3"/>
              <w:jc w:val="center"/>
              <w:rPr>
                <w:rFonts w:ascii="Avenir Next Condensed" w:eastAsia="Avenir Next Condensed" w:hAnsi="Avenir Next Condensed" w:cs="Avenir Next Condensed"/>
                <w:sz w:val="18"/>
                <w:szCs w:val="18"/>
              </w:rPr>
            </w:pPr>
            <w:r>
              <w:rPr>
                <w:rFonts w:ascii="Avenir Next Condensed"/>
                <w:sz w:val="18"/>
              </w:rPr>
              <w:t>5.50%</w:t>
            </w:r>
          </w:p>
        </w:tc>
        <w:tc>
          <w:tcPr>
            <w:tcW w:w="601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Reflects</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estimated actual debt costs</w:t>
            </w:r>
          </w:p>
        </w:tc>
      </w:tr>
      <w:tr w:rsidR="00D96B91" w:rsidTr="00C74EAA">
        <w:trPr>
          <w:trHeight w:hRule="exact" w:val="417"/>
        </w:trPr>
        <w:tc>
          <w:tcPr>
            <w:tcW w:w="210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Level</w:t>
            </w:r>
            <w:r>
              <w:rPr>
                <w:rFonts w:ascii="Avenir Next Condensed"/>
                <w:sz w:val="18"/>
              </w:rPr>
              <w:t xml:space="preserve"> of</w:t>
            </w:r>
            <w:r>
              <w:rPr>
                <w:rFonts w:ascii="Avenir Next Condensed"/>
                <w:spacing w:val="4"/>
                <w:sz w:val="18"/>
              </w:rPr>
              <w:t xml:space="preserve"> </w:t>
            </w:r>
            <w:r>
              <w:rPr>
                <w:rFonts w:ascii="Avenir Next Condensed"/>
                <w:spacing w:val="-1"/>
                <w:sz w:val="18"/>
              </w:rPr>
              <w:t>gearing</w:t>
            </w:r>
          </w:p>
        </w:tc>
        <w:tc>
          <w:tcPr>
            <w:tcW w:w="198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27"/>
              <w:jc w:val="center"/>
              <w:rPr>
                <w:rFonts w:ascii="Avenir Next Condensed" w:eastAsia="Avenir Next Condensed" w:hAnsi="Avenir Next Condensed" w:cs="Avenir Next Condensed"/>
                <w:sz w:val="18"/>
                <w:szCs w:val="18"/>
              </w:rPr>
            </w:pPr>
            <w:r>
              <w:rPr>
                <w:rFonts w:ascii="Avenir Next Condensed"/>
                <w:sz w:val="18"/>
              </w:rPr>
              <w:t>60%</w:t>
            </w:r>
          </w:p>
        </w:tc>
        <w:tc>
          <w:tcPr>
            <w:tcW w:w="601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Reflects</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actual level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gearing</w:t>
            </w:r>
          </w:p>
        </w:tc>
      </w:tr>
      <w:tr w:rsidR="00D96B91" w:rsidTr="00C74EAA">
        <w:trPr>
          <w:trHeight w:hRule="exact" w:val="407"/>
        </w:trPr>
        <w:tc>
          <w:tcPr>
            <w:tcW w:w="210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z w:val="18"/>
              </w:rPr>
              <w:t>Nominal</w:t>
            </w:r>
            <w:r>
              <w:rPr>
                <w:rFonts w:ascii="Avenir Next Condensed"/>
                <w:b/>
                <w:spacing w:val="-3"/>
                <w:sz w:val="18"/>
              </w:rPr>
              <w:t xml:space="preserve"> WACC</w:t>
            </w:r>
          </w:p>
        </w:tc>
        <w:tc>
          <w:tcPr>
            <w:tcW w:w="198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75"/>
              <w:jc w:val="center"/>
              <w:rPr>
                <w:rFonts w:ascii="Avenir Next Condensed" w:eastAsia="Avenir Next Condensed" w:hAnsi="Avenir Next Condensed" w:cs="Avenir Next Condensed"/>
                <w:sz w:val="18"/>
                <w:szCs w:val="18"/>
              </w:rPr>
            </w:pPr>
            <w:r>
              <w:rPr>
                <w:rFonts w:ascii="Avenir Next Condensed"/>
                <w:b/>
                <w:sz w:val="18"/>
              </w:rPr>
              <w:t>4.42%</w:t>
            </w:r>
          </w:p>
        </w:tc>
        <w:tc>
          <w:tcPr>
            <w:tcW w:w="601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3"/>
                <w:sz w:val="18"/>
              </w:rPr>
              <w:t>WACC</w:t>
            </w:r>
            <w:r>
              <w:rPr>
                <w:rFonts w:ascii="Avenir Next Condensed"/>
                <w:b/>
                <w:sz w:val="18"/>
              </w:rPr>
              <w:t xml:space="preserve"> = </w:t>
            </w:r>
            <w:r>
              <w:rPr>
                <w:rFonts w:ascii="Avenir Next Condensed"/>
                <w:b/>
                <w:spacing w:val="-1"/>
                <w:sz w:val="18"/>
              </w:rPr>
              <w:t>Cost</w:t>
            </w:r>
            <w:r>
              <w:rPr>
                <w:rFonts w:ascii="Avenir Next Condensed"/>
                <w:b/>
                <w:sz w:val="18"/>
              </w:rPr>
              <w:t xml:space="preserve"> of</w:t>
            </w:r>
            <w:r>
              <w:rPr>
                <w:rFonts w:ascii="Avenir Next Condensed"/>
                <w:b/>
                <w:spacing w:val="4"/>
                <w:sz w:val="18"/>
              </w:rPr>
              <w:t xml:space="preserve"> </w:t>
            </w:r>
            <w:r>
              <w:rPr>
                <w:rFonts w:ascii="Avenir Next Condensed"/>
                <w:b/>
                <w:sz w:val="18"/>
              </w:rPr>
              <w:t xml:space="preserve">debt x 60% + </w:t>
            </w:r>
            <w:r>
              <w:rPr>
                <w:rFonts w:ascii="Avenir Next Condensed"/>
                <w:b/>
                <w:spacing w:val="-1"/>
                <w:sz w:val="18"/>
              </w:rPr>
              <w:t>Cost</w:t>
            </w:r>
            <w:r>
              <w:rPr>
                <w:rFonts w:ascii="Avenir Next Condensed"/>
                <w:b/>
                <w:sz w:val="18"/>
              </w:rPr>
              <w:t xml:space="preserve"> of</w:t>
            </w:r>
            <w:r>
              <w:rPr>
                <w:rFonts w:ascii="Avenir Next Condensed"/>
                <w:b/>
                <w:spacing w:val="4"/>
                <w:sz w:val="18"/>
              </w:rPr>
              <w:t xml:space="preserve"> </w:t>
            </w:r>
            <w:r>
              <w:rPr>
                <w:rFonts w:ascii="Avenir Next Condensed"/>
                <w:b/>
                <w:sz w:val="18"/>
              </w:rPr>
              <w:t>equity x 40%</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69.</w:t>
      </w:r>
    </w:p>
    <w:p w:rsidR="00D96B91" w:rsidRDefault="00D96B91">
      <w:pPr>
        <w:rPr>
          <w:rFonts w:ascii="Avenir Next" w:eastAsia="Avenir Next" w:hAnsi="Avenir Next" w:cs="Avenir Next"/>
          <w:sz w:val="16"/>
          <w:szCs w:val="16"/>
        </w:rPr>
      </w:pPr>
    </w:p>
    <w:p w:rsidR="00D96B91" w:rsidRDefault="00C2656B">
      <w:pPr>
        <w:pStyle w:val="Heading6"/>
        <w:numPr>
          <w:ilvl w:val="2"/>
          <w:numId w:val="64"/>
        </w:numPr>
        <w:tabs>
          <w:tab w:val="left" w:pos="2098"/>
        </w:tabs>
        <w:spacing w:before="111"/>
        <w:ind w:hanging="850"/>
      </w:pPr>
      <w:r>
        <w:rPr>
          <w:color w:val="0778BE"/>
          <w:spacing w:val="-3"/>
        </w:rPr>
        <w:t>ACTEW’s</w:t>
      </w:r>
      <w:r>
        <w:rPr>
          <w:color w:val="0778BE"/>
        </w:rPr>
        <w:t xml:space="preserve"> SOFC</w:t>
      </w:r>
    </w:p>
    <w:p w:rsidR="00D96B91" w:rsidRDefault="00C2656B">
      <w:pPr>
        <w:pStyle w:val="BodyText"/>
        <w:spacing w:before="21" w:line="260" w:lineRule="exact"/>
        <w:ind w:right="1356"/>
        <w:rPr>
          <w:rFonts w:cs="Avenir Next"/>
        </w:rPr>
      </w:pPr>
      <w:r>
        <w:t>In</w:t>
      </w:r>
      <w:r>
        <w:rPr>
          <w:spacing w:val="-1"/>
        </w:rPr>
        <w:t xml:space="preserve"> </w:t>
      </w:r>
      <w:r>
        <w:t>its SOFC,</w:t>
      </w:r>
      <w:r>
        <w:rPr>
          <w:spacing w:val="-10"/>
        </w:rPr>
        <w:t xml:space="preserve"> </w:t>
      </w:r>
      <w:r>
        <w:rPr>
          <w:spacing w:val="-2"/>
        </w:rPr>
        <w:t>ACTEW</w:t>
      </w:r>
      <w:r>
        <w:rPr>
          <w:spacing w:val="-3"/>
        </w:rPr>
        <w:t xml:space="preserve"> </w:t>
      </w:r>
      <w:r>
        <w:t>contended</w:t>
      </w:r>
      <w:r>
        <w:rPr>
          <w:spacing w:val="-1"/>
        </w:rPr>
        <w:t xml:space="preserve"> that</w:t>
      </w:r>
      <w:r>
        <w:t xml:space="preserve"> the following components</w:t>
      </w:r>
      <w:r>
        <w:rPr>
          <w:spacing w:val="-1"/>
        </w:rPr>
        <w:t xml:space="preserve"> </w:t>
      </w:r>
      <w:r>
        <w:t>of</w:t>
      </w:r>
      <w:r>
        <w:rPr>
          <w:spacing w:val="4"/>
        </w:rPr>
        <w:t xml:space="preserve"> </w:t>
      </w:r>
      <w:r>
        <w:t xml:space="preserve">the </w:t>
      </w:r>
      <w:r>
        <w:rPr>
          <w:spacing w:val="-2"/>
        </w:rPr>
        <w:t>ICRC’s</w:t>
      </w:r>
      <w:r>
        <w:t xml:space="preserve"> final</w:t>
      </w:r>
      <w:r>
        <w:rPr>
          <w:spacing w:val="-1"/>
        </w:rPr>
        <w:t xml:space="preserve"> </w:t>
      </w:r>
      <w:r>
        <w:t xml:space="preserve">decision on the </w:t>
      </w:r>
      <w:r>
        <w:rPr>
          <w:spacing w:val="-2"/>
        </w:rPr>
        <w:t>rate</w:t>
      </w:r>
      <w:r>
        <w:rPr>
          <w:spacing w:val="23"/>
        </w:rPr>
        <w:t xml:space="preserve"> </w:t>
      </w:r>
      <w:r>
        <w:rPr>
          <w:rFonts w:cs="Avenir Next"/>
        </w:rPr>
        <w:t>of</w:t>
      </w:r>
      <w:r>
        <w:rPr>
          <w:rFonts w:cs="Avenir Next"/>
          <w:spacing w:val="4"/>
        </w:rPr>
        <w:t xml:space="preserve"> </w:t>
      </w:r>
      <w:r>
        <w:rPr>
          <w:rFonts w:cs="Avenir Next"/>
          <w:spacing w:val="-1"/>
        </w:rPr>
        <w:t>return</w:t>
      </w:r>
      <w:r>
        <w:rPr>
          <w:rFonts w:cs="Avenir Next"/>
        </w:rPr>
        <w:t xml:space="preserve"> should be </w:t>
      </w:r>
      <w:r>
        <w:rPr>
          <w:rFonts w:cs="Avenir Next"/>
          <w:spacing w:val="-1"/>
        </w:rPr>
        <w:t>reviewed:</w:t>
      </w:r>
    </w:p>
    <w:p w:rsidR="00D96B91" w:rsidRDefault="00C2656B">
      <w:pPr>
        <w:pStyle w:val="BodyText"/>
        <w:numPr>
          <w:ilvl w:val="0"/>
          <w:numId w:val="131"/>
        </w:numPr>
        <w:tabs>
          <w:tab w:val="left" w:pos="1531"/>
        </w:tabs>
        <w:spacing w:before="178"/>
        <w:ind w:hanging="283"/>
      </w:pPr>
      <w:r>
        <w:t>the</w:t>
      </w:r>
      <w:r>
        <w:rPr>
          <w:spacing w:val="-2"/>
        </w:rPr>
        <w:t xml:space="preserve"> </w:t>
      </w:r>
      <w:r>
        <w:t>decision</w:t>
      </w:r>
      <w:r>
        <w:rPr>
          <w:spacing w:val="-1"/>
        </w:rPr>
        <w:t xml:space="preserve"> </w:t>
      </w:r>
      <w:r>
        <w:t>to</w:t>
      </w:r>
      <w:r>
        <w:rPr>
          <w:spacing w:val="-1"/>
        </w:rPr>
        <w:t xml:space="preserve"> </w:t>
      </w:r>
      <w:r>
        <w:t>adopt</w:t>
      </w:r>
      <w:r>
        <w:rPr>
          <w:spacing w:val="-1"/>
        </w:rPr>
        <w:t xml:space="preserve"> </w:t>
      </w:r>
      <w:r>
        <w:t>a</w:t>
      </w:r>
      <w:r>
        <w:rPr>
          <w:spacing w:val="-1"/>
        </w:rPr>
        <w:t xml:space="preserve"> </w:t>
      </w:r>
      <w:r>
        <w:t>firm-specific</w:t>
      </w:r>
      <w:r>
        <w:rPr>
          <w:spacing w:val="-1"/>
        </w:rPr>
        <w:t xml:space="preserve"> approach </w:t>
      </w:r>
      <w:r>
        <w:t>for</w:t>
      </w:r>
      <w:r>
        <w:rPr>
          <w:spacing w:val="-1"/>
        </w:rPr>
        <w:t xml:space="preserve"> calculating</w:t>
      </w:r>
      <w:r>
        <w:rPr>
          <w:spacing w:val="-2"/>
        </w:rPr>
        <w:t xml:space="preserve"> </w:t>
      </w:r>
      <w:r>
        <w:t>the</w:t>
      </w:r>
      <w:r>
        <w:rPr>
          <w:spacing w:val="-4"/>
        </w:rPr>
        <w:t xml:space="preserve"> </w:t>
      </w:r>
      <w:r>
        <w:rPr>
          <w:spacing w:val="-3"/>
        </w:rPr>
        <w:t>WACC</w:t>
      </w:r>
    </w:p>
    <w:p w:rsidR="00D96B91" w:rsidRDefault="00C2656B">
      <w:pPr>
        <w:pStyle w:val="BodyText"/>
        <w:numPr>
          <w:ilvl w:val="0"/>
          <w:numId w:val="131"/>
        </w:numPr>
        <w:tabs>
          <w:tab w:val="left" w:pos="1531"/>
        </w:tabs>
        <w:spacing w:before="64" w:line="260" w:lineRule="exact"/>
        <w:ind w:right="1717" w:hanging="283"/>
        <w:rPr>
          <w:rFonts w:cs="Avenir Next"/>
        </w:rPr>
      </w:pPr>
      <w:r>
        <w:t xml:space="preserve">the methods the ICRC used to </w:t>
      </w:r>
      <w:r>
        <w:rPr>
          <w:spacing w:val="-1"/>
        </w:rPr>
        <w:t>estimate</w:t>
      </w:r>
      <w:r>
        <w:t xml:space="preserve"> the cost of</w:t>
      </w:r>
      <w:r>
        <w:rPr>
          <w:spacing w:val="4"/>
        </w:rPr>
        <w:t xml:space="preserve"> </w:t>
      </w:r>
      <w:r>
        <w:t>equity and the cost of</w:t>
      </w:r>
      <w:r>
        <w:rPr>
          <w:spacing w:val="4"/>
        </w:rPr>
        <w:t xml:space="preserve"> </w:t>
      </w:r>
      <w:r>
        <w:t>debt,</w:t>
      </w:r>
      <w:r>
        <w:rPr>
          <w:spacing w:val="-6"/>
        </w:rPr>
        <w:t xml:space="preserve"> </w:t>
      </w:r>
      <w:r>
        <w:t>and the values it</w:t>
      </w:r>
      <w:r>
        <w:rPr>
          <w:spacing w:val="25"/>
        </w:rPr>
        <w:t xml:space="preserve"> </w:t>
      </w:r>
      <w:r>
        <w:t xml:space="preserve">adopted for these </w:t>
      </w:r>
      <w:r>
        <w:rPr>
          <w:spacing w:val="-1"/>
        </w:rPr>
        <w:t>parameters,</w:t>
      </w:r>
      <w:r>
        <w:rPr>
          <w:spacing w:val="-6"/>
        </w:rPr>
        <w:t xml:space="preserve"> </w:t>
      </w:r>
      <w:r>
        <w:t>and</w:t>
      </w:r>
    </w:p>
    <w:p w:rsidR="00D96B91" w:rsidRDefault="00C2656B">
      <w:pPr>
        <w:pStyle w:val="BodyText"/>
        <w:numPr>
          <w:ilvl w:val="0"/>
          <w:numId w:val="131"/>
        </w:numPr>
        <w:tabs>
          <w:tab w:val="left" w:pos="1531"/>
        </w:tabs>
        <w:spacing w:before="93"/>
        <w:ind w:hanging="283"/>
      </w:pPr>
      <w:r>
        <w:t xml:space="preserve">the decision not to include an </w:t>
      </w:r>
      <w:r>
        <w:rPr>
          <w:spacing w:val="-1"/>
        </w:rPr>
        <w:t>explicit</w:t>
      </w:r>
      <w:r>
        <w:t xml:space="preserve"> allowance for net tax liabilities in the </w:t>
      </w:r>
      <w:r>
        <w:rPr>
          <w:spacing w:val="-1"/>
        </w:rPr>
        <w:t>revenue</w:t>
      </w:r>
      <w:r>
        <w:t xml:space="preserve"> </w:t>
      </w:r>
      <w:r>
        <w:rPr>
          <w:spacing w:val="-1"/>
        </w:rPr>
        <w:t>requirement.</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03"/>
        <w:rPr>
          <w:sz w:val="11"/>
          <w:szCs w:val="11"/>
        </w:rPr>
      </w:pPr>
      <w:r>
        <w:rPr>
          <w:rFonts w:cs="Avenir Next"/>
          <w:spacing w:val="-2"/>
        </w:rPr>
        <w:t>ACTEW</w:t>
      </w:r>
      <w:r>
        <w:rPr>
          <w:rFonts w:cs="Avenir Next"/>
          <w:spacing w:val="-3"/>
        </w:rPr>
        <w:t xml:space="preserve"> </w:t>
      </w:r>
      <w:r>
        <w:rPr>
          <w:rFonts w:cs="Avenir Next"/>
        </w:rPr>
        <w:t xml:space="preserve">contended </w:t>
      </w:r>
      <w:r>
        <w:rPr>
          <w:rFonts w:cs="Avenir Next"/>
          <w:spacing w:val="-1"/>
        </w:rPr>
        <w:t>that</w:t>
      </w:r>
      <w:r>
        <w:rPr>
          <w:rFonts w:cs="Avenir Next"/>
        </w:rPr>
        <w:t xml:space="preserve"> the</w:t>
      </w:r>
      <w:r>
        <w:rPr>
          <w:rFonts w:cs="Avenir Next"/>
          <w:spacing w:val="-4"/>
        </w:rPr>
        <w:t xml:space="preserve"> </w:t>
      </w:r>
      <w:r>
        <w:rPr>
          <w:rFonts w:cs="Avenir Next"/>
          <w:spacing w:val="-2"/>
        </w:rPr>
        <w:t>ACT</w:t>
      </w:r>
      <w:r>
        <w:rPr>
          <w:rFonts w:cs="Avenir Next"/>
          <w:spacing w:val="-5"/>
        </w:rPr>
        <w:t xml:space="preserve"> </w:t>
      </w:r>
      <w:r>
        <w:rPr>
          <w:rFonts w:cs="Avenir Next"/>
          <w:spacing w:val="-1"/>
        </w:rPr>
        <w:t>Government’s</w:t>
      </w:r>
      <w:r>
        <w:rPr>
          <w:rFonts w:cs="Avenir Next"/>
        </w:rPr>
        <w:t xml:space="preserve"> competitive </w:t>
      </w:r>
      <w:r>
        <w:rPr>
          <w:rFonts w:cs="Avenir Next"/>
          <w:spacing w:val="-1"/>
        </w:rPr>
        <w:t>neutrality</w:t>
      </w:r>
      <w:r>
        <w:rPr>
          <w:rFonts w:cs="Avenir Next"/>
        </w:rPr>
        <w:t xml:space="preserve"> policy applies to</w:t>
      </w:r>
      <w:r>
        <w:rPr>
          <w:rFonts w:cs="Avenir Next"/>
          <w:spacing w:val="-4"/>
        </w:rPr>
        <w:t xml:space="preserve"> </w:t>
      </w:r>
      <w:r>
        <w:rPr>
          <w:rFonts w:cs="Avenir Next"/>
          <w:spacing w:val="-2"/>
        </w:rPr>
        <w:t>ACTEW</w:t>
      </w:r>
      <w:r>
        <w:rPr>
          <w:rFonts w:cs="Avenir Next"/>
          <w:spacing w:val="-3"/>
        </w:rPr>
        <w:t xml:space="preserve"> </w:t>
      </w:r>
      <w:r>
        <w:rPr>
          <w:rFonts w:cs="Avenir Next"/>
        </w:rPr>
        <w:t>and this</w:t>
      </w:r>
      <w:r>
        <w:rPr>
          <w:rFonts w:cs="Avenir Next"/>
          <w:spacing w:val="45"/>
        </w:rPr>
        <w:t xml:space="preserve"> </w:t>
      </w:r>
      <w:r>
        <w:t>policy</w:t>
      </w:r>
      <w:r>
        <w:rPr>
          <w:spacing w:val="-1"/>
        </w:rPr>
        <w:t xml:space="preserve"> precludes </w:t>
      </w:r>
      <w:r>
        <w:t>the use</w:t>
      </w:r>
      <w:r>
        <w:rPr>
          <w:spacing w:val="-1"/>
        </w:rPr>
        <w:t xml:space="preserve"> </w:t>
      </w:r>
      <w:r>
        <w:t>of</w:t>
      </w:r>
      <w:r>
        <w:rPr>
          <w:spacing w:val="3"/>
        </w:rPr>
        <w:t xml:space="preserve"> </w:t>
      </w:r>
      <w:r>
        <w:t>a firm-specific</w:t>
      </w:r>
      <w:r>
        <w:rPr>
          <w:spacing w:val="-1"/>
        </w:rPr>
        <w:t xml:space="preserve"> approach.</w:t>
      </w:r>
      <w:r>
        <w:rPr>
          <w:spacing w:val="-7"/>
        </w:rPr>
        <w:t xml:space="preserve"> </w:t>
      </w:r>
      <w:r>
        <w:t>It also</w:t>
      </w:r>
      <w:r>
        <w:rPr>
          <w:spacing w:val="-1"/>
        </w:rPr>
        <w:t xml:space="preserve"> argued that</w:t>
      </w:r>
      <w:r>
        <w:t xml:space="preserve"> this</w:t>
      </w:r>
      <w:r>
        <w:rPr>
          <w:spacing w:val="-1"/>
        </w:rPr>
        <w:t xml:space="preserve"> approach results</w:t>
      </w:r>
      <w:r>
        <w:t xml:space="preserve"> in</w:t>
      </w:r>
      <w:r>
        <w:rPr>
          <w:spacing w:val="-1"/>
        </w:rPr>
        <w:t xml:space="preserve"> </w:t>
      </w:r>
      <w:r>
        <w:t>a</w:t>
      </w:r>
      <w:r>
        <w:rPr>
          <w:spacing w:val="-1"/>
        </w:rPr>
        <w:t xml:space="preserve"> </w:t>
      </w:r>
      <w:r>
        <w:t>less</w:t>
      </w:r>
      <w:r>
        <w:rPr>
          <w:spacing w:val="43"/>
        </w:rPr>
        <w:t xml:space="preserve"> </w:t>
      </w:r>
      <w:r>
        <w:rPr>
          <w:spacing w:val="-1"/>
        </w:rPr>
        <w:t>efficient allocation</w:t>
      </w:r>
      <w:r>
        <w:t xml:space="preserve"> of</w:t>
      </w:r>
      <w:r>
        <w:rPr>
          <w:spacing w:val="3"/>
        </w:rPr>
        <w:t xml:space="preserve"> </w:t>
      </w:r>
      <w:r>
        <w:rPr>
          <w:spacing w:val="-1"/>
        </w:rPr>
        <w:t>resources,</w:t>
      </w:r>
      <w:r>
        <w:rPr>
          <w:spacing w:val="-6"/>
        </w:rPr>
        <w:t xml:space="preserve"> </w:t>
      </w:r>
      <w:r>
        <w:t xml:space="preserve">and </w:t>
      </w:r>
      <w:r>
        <w:rPr>
          <w:spacing w:val="-1"/>
        </w:rPr>
        <w:t xml:space="preserve">leads </w:t>
      </w:r>
      <w:r>
        <w:t>to the absence</w:t>
      </w:r>
      <w:r>
        <w:rPr>
          <w:spacing w:val="-1"/>
        </w:rPr>
        <w:t xml:space="preserve"> </w:t>
      </w:r>
      <w:r>
        <w:t>of</w:t>
      </w:r>
      <w:r>
        <w:rPr>
          <w:spacing w:val="4"/>
        </w:rPr>
        <w:t xml:space="preserve"> </w:t>
      </w:r>
      <w:r>
        <w:t>a</w:t>
      </w:r>
      <w:r>
        <w:rPr>
          <w:spacing w:val="-1"/>
        </w:rPr>
        <w:t xml:space="preserve"> clear</w:t>
      </w:r>
      <w:r>
        <w:t xml:space="preserve"> methodology for</w:t>
      </w:r>
      <w:r>
        <w:rPr>
          <w:spacing w:val="-1"/>
        </w:rPr>
        <w:t xml:space="preserve"> estimating</w:t>
      </w:r>
      <w:r>
        <w:t xml:space="preserve"> the</w:t>
      </w:r>
      <w:r>
        <w:rPr>
          <w:spacing w:val="59"/>
        </w:rPr>
        <w:t xml:space="preserve"> </w:t>
      </w:r>
      <w:r>
        <w:t>cost</w:t>
      </w:r>
      <w:r>
        <w:rPr>
          <w:spacing w:val="5"/>
        </w:rPr>
        <w:t xml:space="preserve"> </w:t>
      </w:r>
      <w:r>
        <w:t>of</w:t>
      </w:r>
      <w:r>
        <w:rPr>
          <w:spacing w:val="10"/>
        </w:rPr>
        <w:t xml:space="preserve"> </w:t>
      </w:r>
      <w:r>
        <w:rPr>
          <w:spacing w:val="-1"/>
        </w:rPr>
        <w:t>equity.</w:t>
      </w:r>
      <w:r>
        <w:rPr>
          <w:spacing w:val="-1"/>
          <w:position w:val="7"/>
          <w:sz w:val="11"/>
          <w:szCs w:val="11"/>
        </w:rPr>
        <w:t>164</w:t>
      </w:r>
    </w:p>
    <w:p w:rsidR="00D96B91" w:rsidRDefault="00C2656B">
      <w:pPr>
        <w:pStyle w:val="BodyText"/>
        <w:spacing w:before="170" w:line="260" w:lineRule="exact"/>
        <w:ind w:right="1256"/>
        <w:rPr>
          <w:sz w:val="11"/>
          <w:szCs w:val="11"/>
        </w:rPr>
      </w:pPr>
      <w:r>
        <w:rPr>
          <w:rFonts w:cs="Avenir Next"/>
          <w:spacing w:val="-2"/>
        </w:rPr>
        <w:t>ACTEW</w:t>
      </w:r>
      <w:r>
        <w:rPr>
          <w:rFonts w:cs="Avenir Next"/>
          <w:spacing w:val="-3"/>
        </w:rPr>
        <w:t xml:space="preserve"> </w:t>
      </w:r>
      <w:r>
        <w:rPr>
          <w:rFonts w:cs="Avenir Next"/>
          <w:spacing w:val="-1"/>
        </w:rPr>
        <w:t>proposed</w:t>
      </w:r>
      <w:r>
        <w:rPr>
          <w:rFonts w:cs="Avenir Next"/>
        </w:rPr>
        <w:t xml:space="preserve"> </w:t>
      </w:r>
      <w:r>
        <w:rPr>
          <w:rFonts w:cs="Avenir Next"/>
          <w:spacing w:val="-1"/>
        </w:rPr>
        <w:t>that</w:t>
      </w:r>
      <w:r>
        <w:rPr>
          <w:rFonts w:cs="Avenir Next"/>
        </w:rPr>
        <w:t xml:space="preserve"> the</w:t>
      </w:r>
      <w:r>
        <w:rPr>
          <w:rFonts w:cs="Avenir Next"/>
          <w:spacing w:val="-3"/>
        </w:rPr>
        <w:t xml:space="preserve"> WACC</w:t>
      </w:r>
      <w:r>
        <w:rPr>
          <w:rFonts w:cs="Avenir Next"/>
        </w:rPr>
        <w:t xml:space="preserve"> be </w:t>
      </w:r>
      <w:r>
        <w:rPr>
          <w:rFonts w:cs="Avenir Next"/>
          <w:spacing w:val="-1"/>
        </w:rPr>
        <w:t>estimated</w:t>
      </w:r>
      <w:r>
        <w:rPr>
          <w:rFonts w:cs="Avenir Next"/>
        </w:rPr>
        <w:t xml:space="preserve"> using a benchmark entity </w:t>
      </w:r>
      <w:r>
        <w:rPr>
          <w:rFonts w:cs="Avenir Next"/>
          <w:spacing w:val="-1"/>
        </w:rPr>
        <w:t>approach,</w:t>
      </w:r>
      <w:r>
        <w:rPr>
          <w:rFonts w:cs="Avenir Next"/>
          <w:spacing w:val="-6"/>
        </w:rPr>
        <w:t xml:space="preserve"> </w:t>
      </w:r>
      <w:r>
        <w:rPr>
          <w:rFonts w:cs="Avenir Next"/>
        </w:rPr>
        <w:t xml:space="preserve">and </w:t>
      </w:r>
      <w:r>
        <w:rPr>
          <w:rFonts w:cs="Avenir Next"/>
          <w:spacing w:val="-1"/>
        </w:rPr>
        <w:t>that</w:t>
      </w:r>
      <w:r>
        <w:rPr>
          <w:rFonts w:cs="Avenir Next"/>
        </w:rPr>
        <w:t xml:space="preserve"> an </w:t>
      </w:r>
      <w:r>
        <w:rPr>
          <w:rFonts w:cs="Avenir Next"/>
          <w:spacing w:val="-1"/>
        </w:rPr>
        <w:t>explicit</w:t>
      </w:r>
      <w:r>
        <w:rPr>
          <w:rFonts w:cs="Avenir Next"/>
          <w:spacing w:val="63"/>
        </w:rPr>
        <w:t xml:space="preserve"> </w:t>
      </w:r>
      <w:r>
        <w:t xml:space="preserve">allowance for net tax liabilities be included in the </w:t>
      </w:r>
      <w:r>
        <w:rPr>
          <w:spacing w:val="-1"/>
        </w:rPr>
        <w:t>revenue</w:t>
      </w:r>
      <w:r>
        <w:t xml:space="preserve"> </w:t>
      </w:r>
      <w:r>
        <w:rPr>
          <w:spacing w:val="-1"/>
        </w:rPr>
        <w:t>requirement.</w:t>
      </w:r>
      <w:r>
        <w:rPr>
          <w:spacing w:val="-11"/>
        </w:rPr>
        <w:t xml:space="preserve"> </w:t>
      </w:r>
      <w:hyperlink w:anchor="_bookmark89" w:history="1">
        <w:r>
          <w:rPr>
            <w:spacing w:val="-4"/>
          </w:rPr>
          <w:t>Table</w:t>
        </w:r>
        <w:r>
          <w:t xml:space="preserve"> 10.3</w:t>
        </w:r>
      </w:hyperlink>
      <w:r>
        <w:t xml:space="preserve"> </w:t>
      </w:r>
      <w:r>
        <w:rPr>
          <w:rFonts w:cs="Avenir Next"/>
        </w:rPr>
        <w:t>sets out</w:t>
      </w:r>
      <w:r>
        <w:rPr>
          <w:rFonts w:cs="Avenir Next"/>
          <w:spacing w:val="-4"/>
        </w:rPr>
        <w:t xml:space="preserve"> </w:t>
      </w:r>
      <w:r>
        <w:rPr>
          <w:rFonts w:cs="Avenir Next"/>
          <w:spacing w:val="-2"/>
        </w:rPr>
        <w:t>ACTEW’s</w:t>
      </w:r>
      <w:r>
        <w:rPr>
          <w:rFonts w:cs="Avenir Next"/>
          <w:spacing w:val="29"/>
        </w:rPr>
        <w:t xml:space="preserve"> </w:t>
      </w:r>
      <w:r>
        <w:rPr>
          <w:spacing w:val="-1"/>
        </w:rPr>
        <w:t>proposal</w:t>
      </w:r>
      <w:r>
        <w:rPr>
          <w:spacing w:val="5"/>
        </w:rPr>
        <w:t xml:space="preserve"> </w:t>
      </w:r>
      <w:r>
        <w:t>on</w:t>
      </w:r>
      <w:r>
        <w:rPr>
          <w:spacing w:val="3"/>
        </w:rPr>
        <w:t xml:space="preserve"> </w:t>
      </w:r>
      <w:r>
        <w:rPr>
          <w:spacing w:val="-2"/>
        </w:rPr>
        <w:t>WACC.</w:t>
      </w:r>
      <w:r>
        <w:rPr>
          <w:spacing w:val="-2"/>
          <w:position w:val="7"/>
          <w:sz w:val="11"/>
          <w:szCs w:val="11"/>
        </w:rPr>
        <w:t>165</w:t>
      </w:r>
    </w:p>
    <w:p w:rsidR="00D96B91" w:rsidRDefault="00C2656B">
      <w:pPr>
        <w:spacing w:before="158"/>
        <w:ind w:left="1247"/>
        <w:rPr>
          <w:rFonts w:ascii="Avenir Next" w:eastAsia="Avenir Next" w:hAnsi="Avenir Next" w:cs="Avenir Next"/>
          <w:sz w:val="20"/>
          <w:szCs w:val="20"/>
        </w:rPr>
      </w:pPr>
      <w:bookmarkStart w:id="141" w:name="_bookmark89"/>
      <w:bookmarkEnd w:id="141"/>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10.3:</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SOFC –</w:t>
      </w:r>
      <w:r>
        <w:rPr>
          <w:rFonts w:ascii="Avenir Next" w:eastAsia="Avenir Next" w:hAnsi="Avenir Next" w:cs="Avenir Next"/>
          <w:b/>
          <w:bCs/>
          <w:spacing w:val="-3"/>
          <w:sz w:val="20"/>
          <w:szCs w:val="20"/>
        </w:rPr>
        <w:t xml:space="preserve"> WACC</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667"/>
        <w:gridCol w:w="2268"/>
        <w:gridCol w:w="4466"/>
      </w:tblGrid>
      <w:tr w:rsidR="00D96B91">
        <w:trPr>
          <w:trHeight w:hRule="exact" w:val="627"/>
        </w:trPr>
        <w:tc>
          <w:tcPr>
            <w:tcW w:w="266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22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74EAA">
            <w:pPr>
              <w:pStyle w:val="TableParagraph"/>
              <w:spacing w:before="112" w:line="220" w:lineRule="exact"/>
              <w:ind w:left="202" w:right="81" w:hanging="84"/>
              <w:jc w:val="center"/>
              <w:rPr>
                <w:rFonts w:ascii="Avenir Next Condensed" w:eastAsia="Avenir Next Condensed" w:hAnsi="Avenir Next Condensed" w:cs="Avenir Next Condensed"/>
                <w:sz w:val="18"/>
                <w:szCs w:val="18"/>
              </w:rPr>
            </w:pPr>
            <w:r>
              <w:rPr>
                <w:rFonts w:ascii="Avenir Next Condensed"/>
                <w:b/>
                <w:color w:val="FFFFFF"/>
                <w:spacing w:val="-1"/>
                <w:sz w:val="18"/>
              </w:rPr>
              <w:t>ACTEW</w:t>
            </w:r>
            <w:r>
              <w:rPr>
                <w:rFonts w:ascii="Avenir Next Condensed"/>
                <w:b/>
                <w:color w:val="FFFFFF"/>
                <w:spacing w:val="-3"/>
                <w:sz w:val="18"/>
              </w:rPr>
              <w:t xml:space="preserve"> </w:t>
            </w:r>
            <w:r>
              <w:rPr>
                <w:rFonts w:ascii="Avenir Next Condensed"/>
                <w:b/>
                <w:color w:val="FFFFFF"/>
                <w:spacing w:val="-1"/>
                <w:sz w:val="18"/>
              </w:rPr>
              <w:t>Proposal</w:t>
            </w:r>
            <w:r>
              <w:rPr>
                <w:rFonts w:ascii="Avenir Next Condensed"/>
                <w:b/>
                <w:color w:val="FFFFFF"/>
                <w:spacing w:val="23"/>
                <w:sz w:val="18"/>
              </w:rPr>
              <w:t xml:space="preserve"> </w:t>
            </w:r>
            <w:r w:rsidR="00C74EAA">
              <w:rPr>
                <w:rFonts w:ascii="Avenir Next Condensed"/>
                <w:b/>
                <w:color w:val="FFFFFF"/>
                <w:sz w:val="18"/>
              </w:rPr>
              <w:t>(Data</w:t>
            </w:r>
            <w:r w:rsidR="00C74EAA">
              <w:rPr>
                <w:rFonts w:ascii="Avenir Next Condensed"/>
                <w:b/>
                <w:color w:val="FFFFFF"/>
                <w:sz w:val="18"/>
              </w:rPr>
              <w:t> </w:t>
            </w:r>
            <w:r>
              <w:rPr>
                <w:rFonts w:ascii="Avenir Next Condensed"/>
                <w:b/>
                <w:color w:val="FFFFFF"/>
                <w:sz w:val="18"/>
              </w:rPr>
              <w:t>as at 31 May 2013)</w:t>
            </w:r>
          </w:p>
        </w:tc>
        <w:tc>
          <w:tcPr>
            <w:tcW w:w="44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r>
              <w:rPr>
                <w:rFonts w:ascii="Avenir Next Condensed"/>
                <w:b/>
                <w:color w:val="FFFFFF"/>
                <w:sz w:val="18"/>
              </w:rPr>
              <w:t xml:space="preserve"> to </w:t>
            </w:r>
            <w:r>
              <w:rPr>
                <w:rFonts w:ascii="Avenir Next Condensed"/>
                <w:b/>
                <w:color w:val="FFFFFF"/>
                <w:spacing w:val="-1"/>
                <w:sz w:val="18"/>
              </w:rPr>
              <w:t>parameter</w:t>
            </w:r>
            <w:r>
              <w:rPr>
                <w:rFonts w:ascii="Avenir Next Condensed"/>
                <w:b/>
                <w:color w:val="FFFFFF"/>
                <w:sz w:val="18"/>
              </w:rPr>
              <w:t xml:space="preserve"> estimation</w:t>
            </w:r>
          </w:p>
        </w:tc>
      </w:tr>
      <w:tr w:rsidR="00D96B91">
        <w:trPr>
          <w:trHeight w:hRule="exact" w:val="627"/>
        </w:trPr>
        <w:tc>
          <w:tcPr>
            <w:tcW w:w="266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Risk-free</w:t>
            </w:r>
            <w:r>
              <w:rPr>
                <w:rFonts w:ascii="Avenir Next Condensed"/>
                <w:sz w:val="18"/>
              </w:rPr>
              <w:t xml:space="preserve"> </w:t>
            </w:r>
            <w:r>
              <w:rPr>
                <w:rFonts w:ascii="Avenir Next Condensed"/>
                <w:spacing w:val="-1"/>
                <w:sz w:val="18"/>
              </w:rPr>
              <w:t>rate</w:t>
            </w:r>
          </w:p>
        </w:tc>
        <w:tc>
          <w:tcPr>
            <w:tcW w:w="22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0"/>
              <w:jc w:val="center"/>
              <w:rPr>
                <w:rFonts w:ascii="Avenir Next Condensed" w:eastAsia="Avenir Next Condensed" w:hAnsi="Avenir Next Condensed" w:cs="Avenir Next Condensed"/>
                <w:sz w:val="18"/>
                <w:szCs w:val="18"/>
              </w:rPr>
            </w:pPr>
            <w:r>
              <w:rPr>
                <w:rFonts w:ascii="Avenir Next Condensed"/>
                <w:sz w:val="18"/>
              </w:rPr>
              <w:t>5.24%</w:t>
            </w:r>
          </w:p>
        </w:tc>
        <w:tc>
          <w:tcPr>
            <w:tcW w:w="44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523"/>
              <w:rPr>
                <w:rFonts w:ascii="Avenir Next Condensed" w:eastAsia="Avenir Next Condensed" w:hAnsi="Avenir Next Condensed" w:cs="Avenir Next Condensed"/>
                <w:sz w:val="18"/>
                <w:szCs w:val="18"/>
              </w:rPr>
            </w:pPr>
            <w:r>
              <w:rPr>
                <w:rFonts w:ascii="Avenir Next Condensed"/>
                <w:spacing w:val="-1"/>
                <w:sz w:val="18"/>
              </w:rPr>
              <w:t>10-year</w:t>
            </w:r>
            <w:r>
              <w:rPr>
                <w:rFonts w:ascii="Avenir Next Condensed"/>
                <w:sz w:val="18"/>
              </w:rPr>
              <w:t xml:space="preserve"> </w:t>
            </w:r>
            <w:r>
              <w:rPr>
                <w:rFonts w:ascii="Avenir Next Condensed"/>
                <w:spacing w:val="-1"/>
                <w:sz w:val="18"/>
              </w:rPr>
              <w:t>average</w:t>
            </w:r>
            <w:r>
              <w:rPr>
                <w:rFonts w:ascii="Avenir Next Condensed"/>
                <w:sz w:val="18"/>
              </w:rPr>
              <w:t xml:space="preserve"> of</w:t>
            </w:r>
            <w:r>
              <w:rPr>
                <w:rFonts w:ascii="Avenir Next Condensed"/>
                <w:spacing w:val="4"/>
                <w:sz w:val="18"/>
              </w:rPr>
              <w:t xml:space="preserve"> </w:t>
            </w:r>
            <w:r>
              <w:rPr>
                <w:rFonts w:ascii="Avenir Next Condensed"/>
                <w:sz w:val="18"/>
              </w:rPr>
              <w:t xml:space="preserve">the nominal </w:t>
            </w:r>
            <w:r>
              <w:rPr>
                <w:rFonts w:ascii="Avenir Next Condensed"/>
                <w:spacing w:val="-1"/>
                <w:sz w:val="18"/>
              </w:rPr>
              <w:t>Commonwealth</w:t>
            </w:r>
            <w:r>
              <w:rPr>
                <w:rFonts w:ascii="Avenir Next Condensed"/>
                <w:sz w:val="18"/>
              </w:rPr>
              <w:t xml:space="preserve"> Government</w:t>
            </w:r>
            <w:r>
              <w:rPr>
                <w:rFonts w:ascii="Avenir Next Condensed"/>
                <w:spacing w:val="35"/>
                <w:sz w:val="18"/>
              </w:rPr>
              <w:t xml:space="preserve"> </w:t>
            </w:r>
            <w:r>
              <w:rPr>
                <w:rFonts w:ascii="Avenir Next Condensed"/>
                <w:sz w:val="18"/>
              </w:rPr>
              <w:t xml:space="preserve">Security yields interpolated to 10 </w:t>
            </w:r>
            <w:r>
              <w:rPr>
                <w:rFonts w:ascii="Avenir Next Condensed"/>
                <w:spacing w:val="-1"/>
                <w:sz w:val="18"/>
              </w:rPr>
              <w:t>years</w:t>
            </w:r>
          </w:p>
        </w:tc>
      </w:tr>
      <w:tr w:rsidR="00D96B91">
        <w:trPr>
          <w:trHeight w:hRule="exact" w:val="62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margin</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0"/>
              <w:jc w:val="center"/>
              <w:rPr>
                <w:rFonts w:ascii="Avenir Next Condensed" w:eastAsia="Avenir Next Condensed" w:hAnsi="Avenir Next Condensed" w:cs="Avenir Next Condensed"/>
                <w:sz w:val="18"/>
                <w:szCs w:val="18"/>
              </w:rPr>
            </w:pPr>
            <w:r>
              <w:rPr>
                <w:rFonts w:ascii="Avenir Next Condensed"/>
                <w:sz w:val="18"/>
              </w:rPr>
              <w:t>2.46%</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1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10-year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average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yields on </w:t>
            </w:r>
            <w:r>
              <w:rPr>
                <w:rFonts w:ascii="Avenir Next Condensed" w:eastAsia="Avenir Next Condensed" w:hAnsi="Avenir Next Condensed" w:cs="Avenir Next Condensed"/>
                <w:spacing w:val="-1"/>
                <w:sz w:val="18"/>
                <w:szCs w:val="18"/>
              </w:rPr>
              <w:t>Bloomberg’s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7-year</w:t>
            </w:r>
            <w:r>
              <w:rPr>
                <w:rFonts w:ascii="Avenir Next Condensed" w:eastAsia="Avenir Next Condensed" w:hAnsi="Avenir Next Condensed" w:cs="Avenir Next Condensed"/>
                <w:sz w:val="18"/>
                <w:szCs w:val="18"/>
              </w:rPr>
              <w:t xml:space="preserve"> BBB </w:t>
            </w:r>
            <w:r>
              <w:rPr>
                <w:rFonts w:ascii="Avenir Next Condensed" w:eastAsia="Avenir Next Condensed" w:hAnsi="Avenir Next Condensed" w:cs="Avenir Next Condensed"/>
                <w:spacing w:val="-1"/>
                <w:sz w:val="18"/>
                <w:szCs w:val="18"/>
              </w:rPr>
              <w:t>index</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pacing w:val="-1"/>
                <w:sz w:val="18"/>
                <w:szCs w:val="18"/>
              </w:rPr>
              <w:t>extrapolated</w:t>
            </w:r>
            <w:r>
              <w:rPr>
                <w:rFonts w:ascii="Avenir Next Condensed" w:eastAsia="Avenir Next Condensed" w:hAnsi="Avenir Next Condensed" w:cs="Avenir Next Condensed"/>
                <w:sz w:val="18"/>
                <w:szCs w:val="18"/>
              </w:rPr>
              <w:t xml:space="preserve"> to 10 </w:t>
            </w:r>
            <w:r>
              <w:rPr>
                <w:rFonts w:ascii="Avenir Next Condensed" w:eastAsia="Avenir Next Condensed" w:hAnsi="Avenir Next Condensed" w:cs="Avenir Next Condensed"/>
                <w:spacing w:val="-1"/>
                <w:sz w:val="18"/>
                <w:szCs w:val="18"/>
              </w:rPr>
              <w:t>years</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raising</w:t>
            </w:r>
            <w:r>
              <w:rPr>
                <w:rFonts w:ascii="Avenir Next Condensed"/>
                <w:sz w:val="18"/>
              </w:rPr>
              <w:t xml:space="preserve"> cost</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
              <w:jc w:val="center"/>
              <w:rPr>
                <w:rFonts w:ascii="Avenir Next Condensed" w:eastAsia="Avenir Next Condensed" w:hAnsi="Avenir Next Condensed" w:cs="Avenir Next Condensed"/>
                <w:sz w:val="18"/>
                <w:szCs w:val="18"/>
              </w:rPr>
            </w:pPr>
            <w:r>
              <w:rPr>
                <w:rFonts w:ascii="Avenir Next Condensed"/>
                <w:sz w:val="18"/>
              </w:rPr>
              <w:t>0.125%</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Consistent</w:t>
            </w:r>
            <w:r>
              <w:rPr>
                <w:rFonts w:ascii="Avenir Next Condensed" w:eastAsia="Avenir Next Condensed" w:hAnsi="Avenir Next Condensed" w:cs="Avenir Next Condensed"/>
                <w:sz w:val="18"/>
                <w:szCs w:val="18"/>
              </w:rPr>
              <w:t xml:space="preserve"> with the </w:t>
            </w:r>
            <w:r>
              <w:rPr>
                <w:rFonts w:ascii="Avenir Next Condensed" w:eastAsia="Avenir Next Condensed" w:hAnsi="Avenir Next Condensed" w:cs="Avenir Next Condensed"/>
                <w:spacing w:val="-2"/>
                <w:sz w:val="18"/>
                <w:szCs w:val="18"/>
              </w:rPr>
              <w:t>ICRC’s</w:t>
            </w:r>
            <w:r>
              <w:rPr>
                <w:rFonts w:ascii="Avenir Next Condensed" w:eastAsia="Avenir Next Condensed" w:hAnsi="Avenir Next Condensed" w:cs="Avenir Next Condensed"/>
                <w:sz w:val="18"/>
                <w:szCs w:val="18"/>
              </w:rPr>
              <w:t xml:space="preserve"> 2008 final decision.</w:t>
            </w:r>
          </w:p>
        </w:tc>
      </w:tr>
      <w:tr w:rsidR="00D96B91">
        <w:trPr>
          <w:trHeight w:hRule="exact" w:val="62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Equity beta</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3"/>
              <w:jc w:val="center"/>
              <w:rPr>
                <w:rFonts w:ascii="Avenir Next Condensed" w:eastAsia="Avenir Next Condensed" w:hAnsi="Avenir Next Condensed" w:cs="Avenir Next Condensed"/>
                <w:sz w:val="18"/>
                <w:szCs w:val="18"/>
              </w:rPr>
            </w:pPr>
            <w:r>
              <w:rPr>
                <w:rFonts w:ascii="Avenir Next Condensed"/>
                <w:sz w:val="18"/>
              </w:rPr>
              <w:t>0.90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11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Outlined in </w:t>
            </w:r>
            <w:r>
              <w:rPr>
                <w:rFonts w:ascii="Avenir Next Condensed" w:eastAsia="Avenir Next Condensed" w:hAnsi="Avenir Next Condensed" w:cs="Avenir Next Condensed"/>
                <w:spacing w:val="-2"/>
                <w:sz w:val="18"/>
                <w:szCs w:val="18"/>
              </w:rPr>
              <w:t>SFG’s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expert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report</w:t>
            </w:r>
            <w:r>
              <w:rPr>
                <w:rFonts w:ascii="Avenir Next Condensed" w:eastAsia="Avenir Next Condensed" w:hAnsi="Avenir Next Condensed" w:cs="Avenir Next Condensed"/>
                <w:sz w:val="18"/>
                <w:szCs w:val="18"/>
              </w:rPr>
              <w:t xml:space="preserve"> in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Attachment</w:t>
            </w:r>
            <w:r>
              <w:rPr>
                <w:rFonts w:ascii="Avenir Next Condensed" w:eastAsia="Avenir Next Condensed" w:hAnsi="Avenir Next Condensed" w:cs="Avenir Next Condensed"/>
                <w:sz w:val="18"/>
                <w:szCs w:val="18"/>
              </w:rPr>
              <w:t xml:space="preserve"> 15 to the </w:t>
            </w:r>
            <w:r>
              <w:rPr>
                <w:rFonts w:ascii="Avenir Next Condensed" w:eastAsia="Avenir Next Condensed" w:hAnsi="Avenir Next Condensed" w:cs="Avenir Next Condensed"/>
                <w:spacing w:val="-1"/>
                <w:sz w:val="18"/>
                <w:szCs w:val="18"/>
              </w:rPr>
              <w:t>Response</w:t>
            </w:r>
            <w:r>
              <w:rPr>
                <w:rFonts w:ascii="Avenir Next Condensed" w:eastAsia="Avenir Next Condensed" w:hAnsi="Avenir Next Condensed" w:cs="Avenir Next Condensed"/>
                <w:sz w:val="18"/>
                <w:szCs w:val="18"/>
              </w:rPr>
              <w:t xml:space="preserve"> to</w:t>
            </w:r>
            <w:r>
              <w:rPr>
                <w:rFonts w:ascii="Avenir Next Condensed" w:eastAsia="Avenir Next Condensed" w:hAnsi="Avenir Next Condensed" w:cs="Avenir Next Condensed"/>
                <w:spacing w:val="49"/>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Draft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Report</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Market</w:t>
            </w:r>
            <w:r>
              <w:rPr>
                <w:rFonts w:ascii="Avenir Next Condensed"/>
                <w:sz w:val="18"/>
              </w:rPr>
              <w:t xml:space="preserve"> risk </w:t>
            </w:r>
            <w:r>
              <w:rPr>
                <w:rFonts w:ascii="Avenir Next Condensed"/>
                <w:spacing w:val="-1"/>
                <w:sz w:val="18"/>
              </w:rPr>
              <w:t>premium</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9"/>
              <w:jc w:val="center"/>
              <w:rPr>
                <w:rFonts w:ascii="Avenir Next Condensed" w:eastAsia="Avenir Next Condensed" w:hAnsi="Avenir Next Condensed" w:cs="Avenir Next Condensed"/>
                <w:sz w:val="18"/>
                <w:szCs w:val="18"/>
              </w:rPr>
            </w:pPr>
            <w:r>
              <w:rPr>
                <w:rFonts w:ascii="Avenir Next Condensed"/>
                <w:sz w:val="18"/>
              </w:rPr>
              <w:t>6.00%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Historical </w:t>
            </w:r>
            <w:r>
              <w:rPr>
                <w:rFonts w:ascii="Avenir Next Condensed"/>
                <w:spacing w:val="-1"/>
                <w:sz w:val="18"/>
              </w:rPr>
              <w:t>market</w:t>
            </w:r>
            <w:r>
              <w:rPr>
                <w:rFonts w:ascii="Avenir Next Condensed"/>
                <w:sz w:val="18"/>
              </w:rPr>
              <w:t xml:space="preserve"> risk </w:t>
            </w:r>
            <w:r>
              <w:rPr>
                <w:rFonts w:ascii="Avenir Next Condensed"/>
                <w:spacing w:val="-1"/>
                <w:sz w:val="18"/>
              </w:rPr>
              <w:t>premium</w:t>
            </w:r>
            <w:r>
              <w:rPr>
                <w:rFonts w:ascii="Avenir Next Condensed"/>
                <w:sz w:val="18"/>
              </w:rPr>
              <w:t xml:space="preserve"> </w:t>
            </w:r>
            <w:r>
              <w:rPr>
                <w:rFonts w:ascii="Avenir Next Condensed"/>
                <w:spacing w:val="-1"/>
                <w:sz w:val="18"/>
              </w:rPr>
              <w:t>(Long-term</w:t>
            </w:r>
            <w:r>
              <w:rPr>
                <w:rFonts w:ascii="Avenir Next Condensed"/>
                <w:sz w:val="18"/>
              </w:rPr>
              <w:t xml:space="preserve"> benchmark)</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Gearing</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jc w:val="center"/>
              <w:rPr>
                <w:rFonts w:ascii="Avenir Next Condensed" w:eastAsia="Avenir Next Condensed" w:hAnsi="Avenir Next Condensed" w:cs="Avenir Next Condensed"/>
                <w:sz w:val="18"/>
                <w:szCs w:val="18"/>
              </w:rPr>
            </w:pPr>
            <w:r>
              <w:rPr>
                <w:rFonts w:ascii="Avenir Next Condensed"/>
                <w:sz w:val="18"/>
              </w:rPr>
              <w:t>60%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Benchmark firm </w:t>
            </w:r>
            <w:r>
              <w:rPr>
                <w:rFonts w:ascii="Avenir Next Condensed"/>
                <w:spacing w:val="-1"/>
                <w:sz w:val="18"/>
              </w:rPr>
              <w:t>gearing</w:t>
            </w:r>
            <w:r>
              <w:rPr>
                <w:rFonts w:ascii="Avenir Next Condensed"/>
                <w:sz w:val="18"/>
              </w:rPr>
              <w:t xml:space="preserve"> </w:t>
            </w:r>
            <w:r>
              <w:rPr>
                <w:rFonts w:ascii="Avenir Next Condensed"/>
                <w:spacing w:val="-1"/>
                <w:sz w:val="18"/>
              </w:rPr>
              <w:t>ratio</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debt</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8"/>
              <w:jc w:val="center"/>
              <w:rPr>
                <w:rFonts w:ascii="Avenir Next Condensed" w:eastAsia="Avenir Next Condensed" w:hAnsi="Avenir Next Condensed" w:cs="Avenir Next Condensed"/>
                <w:sz w:val="18"/>
                <w:szCs w:val="18"/>
              </w:rPr>
            </w:pPr>
            <w:r>
              <w:rPr>
                <w:rFonts w:ascii="Avenir Next Condensed"/>
                <w:sz w:val="18"/>
              </w:rPr>
              <w:t>7.83%</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17"/>
        </w:trPr>
        <w:tc>
          <w:tcPr>
            <w:tcW w:w="26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equity</w:t>
            </w:r>
          </w:p>
        </w:tc>
        <w:tc>
          <w:tcPr>
            <w:tcW w:w="226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3"/>
              <w:jc w:val="center"/>
              <w:rPr>
                <w:rFonts w:ascii="Avenir Next Condensed" w:eastAsia="Avenir Next Condensed" w:hAnsi="Avenir Next Condensed" w:cs="Avenir Next Condensed"/>
                <w:sz w:val="18"/>
                <w:szCs w:val="18"/>
              </w:rPr>
            </w:pPr>
            <w:r>
              <w:rPr>
                <w:rFonts w:ascii="Avenir Next Condensed"/>
                <w:sz w:val="18"/>
              </w:rPr>
              <w:t>10.64%</w:t>
            </w:r>
          </w:p>
        </w:tc>
        <w:tc>
          <w:tcPr>
            <w:tcW w:w="446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r>
      <w:tr w:rsidR="00D96B91">
        <w:trPr>
          <w:trHeight w:hRule="exact" w:val="407"/>
        </w:trPr>
        <w:tc>
          <w:tcPr>
            <w:tcW w:w="26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z w:val="18"/>
              </w:rPr>
              <w:t>Nominal post-tax</w:t>
            </w:r>
            <w:r>
              <w:rPr>
                <w:rFonts w:ascii="Avenir Next Condensed"/>
                <w:b/>
                <w:spacing w:val="-3"/>
                <w:sz w:val="18"/>
              </w:rPr>
              <w:t xml:space="preserve"> WACC</w:t>
            </w:r>
          </w:p>
        </w:tc>
        <w:tc>
          <w:tcPr>
            <w:tcW w:w="226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30"/>
              <w:jc w:val="center"/>
              <w:rPr>
                <w:rFonts w:ascii="Avenir Next Condensed" w:eastAsia="Avenir Next Condensed" w:hAnsi="Avenir Next Condensed" w:cs="Avenir Next Condensed"/>
                <w:sz w:val="18"/>
                <w:szCs w:val="18"/>
              </w:rPr>
            </w:pPr>
            <w:r>
              <w:rPr>
                <w:rFonts w:ascii="Avenir Next Condensed"/>
                <w:b/>
                <w:sz w:val="18"/>
              </w:rPr>
              <w:t>8.95%</w:t>
            </w:r>
          </w:p>
        </w:tc>
        <w:tc>
          <w:tcPr>
            <w:tcW w:w="446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D96B91"/>
        </w:tc>
      </w:tr>
    </w:tbl>
    <w:p w:rsidR="00D96B91" w:rsidRDefault="00C2656B">
      <w:pPr>
        <w:spacing w:before="78"/>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w:t>
      </w: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27.</w:t>
      </w:r>
    </w:p>
    <w:p w:rsidR="00D96B91" w:rsidRDefault="00D96B91">
      <w:pPr>
        <w:spacing w:before="13"/>
        <w:rPr>
          <w:rFonts w:ascii="Avenir Next" w:eastAsia="Avenir Next" w:hAnsi="Avenir Next" w:cs="Avenir Next"/>
          <w:sz w:val="19"/>
          <w:szCs w:val="1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78" style="width:72.5pt;height:.5pt;mso-position-horizontal-relative:char;mso-position-vertical-relative:line" coordsize="1450,10">
            <v:group id="_x0000_s3079" style="position:absolute;left:5;top:5;width:1440;height:2" coordorigin="5,5" coordsize="1440,2">
              <v:shape id="_x0000_s3080" style="position:absolute;left:5;top:5;width:1440;height:2" coordorigin="5,5" coordsize="1440,0" path="m5,5r1440,e" filled="f" strokeweight=".5pt">
                <v:path arrowok="t"/>
              </v:shape>
            </v:group>
            <w10:wrap type="none"/>
            <w10:anchorlock/>
          </v:group>
        </w:pict>
      </w:r>
    </w:p>
    <w:p w:rsidR="00D96B91" w:rsidRDefault="00C2656B">
      <w:pPr>
        <w:tabs>
          <w:tab w:val="left" w:pos="1757"/>
        </w:tabs>
        <w:spacing w:before="38"/>
        <w:ind w:left="1247"/>
        <w:rPr>
          <w:rFonts w:ascii="Avenir Next" w:eastAsia="Avenir Next" w:hAnsi="Avenir Next" w:cs="Avenir Next"/>
          <w:sz w:val="16"/>
          <w:szCs w:val="16"/>
        </w:rPr>
      </w:pPr>
      <w:r>
        <w:rPr>
          <w:rFonts w:ascii="Avenir Next"/>
          <w:sz w:val="16"/>
        </w:rPr>
        <w:t>164</w:t>
      </w:r>
      <w:r>
        <w:rPr>
          <w:rFonts w:ascii="Avenir Next"/>
          <w:sz w:val="16"/>
        </w:rPr>
        <w:tab/>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7-16.</w:t>
      </w:r>
    </w:p>
    <w:p w:rsidR="00D96B91" w:rsidRDefault="00C2656B">
      <w:pPr>
        <w:numPr>
          <w:ilvl w:val="0"/>
          <w:numId w:val="63"/>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27.</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64"/>
        </w:numPr>
        <w:tabs>
          <w:tab w:val="left" w:pos="2098"/>
        </w:tabs>
        <w:spacing w:before="9"/>
        <w:ind w:hanging="850"/>
      </w:pPr>
      <w:r>
        <w:rPr>
          <w:color w:val="0778BE"/>
        </w:rPr>
        <w:t xml:space="preserve">Issues </w:t>
      </w:r>
      <w:r>
        <w:rPr>
          <w:color w:val="0778BE"/>
          <w:spacing w:val="-1"/>
        </w:rPr>
        <w:t>raised</w:t>
      </w:r>
      <w:r>
        <w:rPr>
          <w:color w:val="0778BE"/>
        </w:rPr>
        <w:t xml:space="preserve"> by other </w:t>
      </w:r>
      <w:r>
        <w:rPr>
          <w:color w:val="0778BE"/>
          <w:spacing w:val="-1"/>
        </w:rPr>
        <w:t>stakeholders</w:t>
      </w:r>
    </w:p>
    <w:p w:rsidR="00D96B91" w:rsidRDefault="00C2656B">
      <w:pPr>
        <w:pStyle w:val="BodyText"/>
        <w:spacing w:before="21" w:line="260" w:lineRule="exact"/>
        <w:ind w:right="1313"/>
        <w:rPr>
          <w:sz w:val="11"/>
          <w:szCs w:val="11"/>
        </w:rPr>
      </w:pPr>
      <w:r>
        <w:rPr>
          <w:rFonts w:cs="Avenir Next"/>
        </w:rPr>
        <w:t xml:space="preserve">In </w:t>
      </w:r>
      <w:r>
        <w:rPr>
          <w:rFonts w:cs="Avenir Next"/>
          <w:spacing w:val="-1"/>
        </w:rPr>
        <w:t>contrast</w:t>
      </w:r>
      <w:r>
        <w:rPr>
          <w:rFonts w:cs="Avenir Next"/>
        </w:rPr>
        <w:t xml:space="preserve"> to the position </w:t>
      </w:r>
      <w:r>
        <w:rPr>
          <w:rFonts w:cs="Avenir Next"/>
          <w:spacing w:val="-1"/>
        </w:rPr>
        <w:t>taken</w:t>
      </w:r>
      <w:r>
        <w:rPr>
          <w:rFonts w:cs="Avenir Next"/>
        </w:rPr>
        <w:t xml:space="preserve"> by</w:t>
      </w:r>
      <w:r>
        <w:rPr>
          <w:rFonts w:cs="Avenir Next"/>
          <w:spacing w:val="-4"/>
        </w:rPr>
        <w:t xml:space="preserve"> ACTEW,</w:t>
      </w:r>
      <w:r>
        <w:rPr>
          <w:rFonts w:cs="Avenir Next"/>
          <w:spacing w:val="-6"/>
        </w:rPr>
        <w:t xml:space="preserve"> </w:t>
      </w:r>
      <w:r>
        <w:rPr>
          <w:rFonts w:cs="Avenir Next"/>
        </w:rPr>
        <w:t xml:space="preserve">other submissions to the </w:t>
      </w:r>
      <w:r>
        <w:rPr>
          <w:rFonts w:cs="Avenir Next"/>
          <w:spacing w:val="-3"/>
        </w:rPr>
        <w:t>Panel</w:t>
      </w:r>
      <w:r>
        <w:rPr>
          <w:rFonts w:cs="Avenir Next"/>
        </w:rPr>
        <w:t xml:space="preserve"> contended </w:t>
      </w:r>
      <w:r>
        <w:rPr>
          <w:rFonts w:cs="Avenir Next"/>
          <w:spacing w:val="-1"/>
        </w:rPr>
        <w:t>that</w:t>
      </w:r>
      <w:r>
        <w:rPr>
          <w:rFonts w:cs="Avenir Next"/>
          <w:spacing w:val="-4"/>
        </w:rPr>
        <w:t xml:space="preserve"> </w:t>
      </w:r>
      <w:r>
        <w:rPr>
          <w:rFonts w:cs="Avenir Next"/>
          <w:spacing w:val="-2"/>
        </w:rPr>
        <w:t>ACTEW’s</w:t>
      </w:r>
      <w:r>
        <w:rPr>
          <w:rFonts w:cs="Avenir Next"/>
          <w:spacing w:val="29"/>
        </w:rPr>
        <w:t xml:space="preserve"> </w:t>
      </w:r>
      <w:r>
        <w:t xml:space="preserve">public ownership should be </w:t>
      </w:r>
      <w:r>
        <w:rPr>
          <w:spacing w:val="-1"/>
        </w:rPr>
        <w:t>recognised</w:t>
      </w:r>
      <w:r>
        <w:t xml:space="preserve"> in the </w:t>
      </w:r>
      <w:r>
        <w:rPr>
          <w:spacing w:val="-1"/>
        </w:rPr>
        <w:t>approach</w:t>
      </w:r>
      <w:r>
        <w:t xml:space="preserve"> for determining the </w:t>
      </w:r>
      <w:r>
        <w:rPr>
          <w:spacing w:val="-2"/>
        </w:rPr>
        <w:t>rate</w:t>
      </w:r>
      <w:r>
        <w:t xml:space="preserve"> of</w:t>
      </w:r>
      <w:r>
        <w:rPr>
          <w:spacing w:val="4"/>
        </w:rPr>
        <w:t xml:space="preserve"> </w:t>
      </w:r>
      <w:r>
        <w:rPr>
          <w:spacing w:val="-1"/>
        </w:rPr>
        <w:t>return.</w:t>
      </w:r>
      <w:r>
        <w:rPr>
          <w:spacing w:val="-6"/>
        </w:rPr>
        <w:t xml:space="preserve"> </w:t>
      </w:r>
      <w:r>
        <w:rPr>
          <w:spacing w:val="-4"/>
        </w:rPr>
        <w:t>For</w:t>
      </w:r>
      <w:r>
        <w:rPr>
          <w:spacing w:val="37"/>
        </w:rPr>
        <w:t xml:space="preserve"> </w:t>
      </w:r>
      <w:r>
        <w:rPr>
          <w:spacing w:val="-1"/>
        </w:rPr>
        <w:t>example,</w:t>
      </w:r>
      <w:r>
        <w:rPr>
          <w:spacing w:val="-5"/>
        </w:rPr>
        <w:t xml:space="preserve"> </w:t>
      </w:r>
      <w:r>
        <w:t>in</w:t>
      </w:r>
      <w:r>
        <w:rPr>
          <w:spacing w:val="1"/>
        </w:rPr>
        <w:t xml:space="preserve"> </w:t>
      </w:r>
      <w:r>
        <w:rPr>
          <w:spacing w:val="-1"/>
        </w:rPr>
        <w:t>addressing</w:t>
      </w:r>
      <w:r>
        <w:rPr>
          <w:spacing w:val="-3"/>
        </w:rPr>
        <w:t xml:space="preserve"> </w:t>
      </w:r>
      <w:r>
        <w:rPr>
          <w:spacing w:val="-2"/>
        </w:rPr>
        <w:t>ACTEW’s</w:t>
      </w:r>
      <w:r>
        <w:rPr>
          <w:spacing w:val="2"/>
        </w:rPr>
        <w:t xml:space="preserve"> </w:t>
      </w:r>
      <w:r>
        <w:t>SOFC,</w:t>
      </w:r>
      <w:r>
        <w:rPr>
          <w:spacing w:val="-5"/>
        </w:rPr>
        <w:t xml:space="preserve"> </w:t>
      </w:r>
      <w:r>
        <w:t>Dr</w:t>
      </w:r>
      <w:r>
        <w:rPr>
          <w:spacing w:val="1"/>
        </w:rPr>
        <w:t xml:space="preserve"> </w:t>
      </w:r>
      <w:r>
        <w:t>Dwyer</w:t>
      </w:r>
      <w:r>
        <w:rPr>
          <w:spacing w:val="1"/>
        </w:rPr>
        <w:t xml:space="preserve"> </w:t>
      </w:r>
      <w:r>
        <w:rPr>
          <w:spacing w:val="-1"/>
        </w:rPr>
        <w:t>submitted</w:t>
      </w:r>
      <w:r>
        <w:rPr>
          <w:spacing w:val="2"/>
        </w:rPr>
        <w:t xml:space="preserve"> </w:t>
      </w:r>
      <w:r>
        <w:rPr>
          <w:spacing w:val="-1"/>
        </w:rPr>
        <w:t>that:</w:t>
      </w:r>
      <w:r>
        <w:rPr>
          <w:spacing w:val="1"/>
        </w:rPr>
        <w:t xml:space="preserve"> </w:t>
      </w:r>
      <w:r>
        <w:rPr>
          <w:position w:val="7"/>
          <w:sz w:val="11"/>
          <w:szCs w:val="11"/>
        </w:rPr>
        <w:t>166</w:t>
      </w:r>
    </w:p>
    <w:p w:rsidR="00D96B91" w:rsidRDefault="00C2656B">
      <w:pPr>
        <w:pStyle w:val="BodyText"/>
        <w:spacing w:before="170" w:line="260" w:lineRule="exact"/>
        <w:ind w:left="1644" w:right="1548"/>
      </w:pPr>
      <w:r>
        <w:rPr>
          <w:spacing w:val="-1"/>
        </w:rPr>
        <w:t>“The</w:t>
      </w:r>
      <w:r>
        <w:rPr>
          <w:spacing w:val="-2"/>
        </w:rPr>
        <w:t xml:space="preserve"> </w:t>
      </w:r>
      <w:r>
        <w:t>discussion</w:t>
      </w:r>
      <w:r>
        <w:rPr>
          <w:spacing w:val="-1"/>
        </w:rPr>
        <w:t xml:space="preserve"> </w:t>
      </w:r>
      <w:r>
        <w:t>on</w:t>
      </w:r>
      <w:r>
        <w:rPr>
          <w:spacing w:val="-1"/>
        </w:rPr>
        <w:t xml:space="preserve"> </w:t>
      </w:r>
      <w:r>
        <w:t>page</w:t>
      </w:r>
      <w:r>
        <w:rPr>
          <w:spacing w:val="-1"/>
        </w:rPr>
        <w:t xml:space="preserve"> </w:t>
      </w:r>
      <w:r>
        <w:t>9</w:t>
      </w:r>
      <w:r>
        <w:rPr>
          <w:spacing w:val="-1"/>
        </w:rPr>
        <w:t xml:space="preserve"> </w:t>
      </w:r>
      <w:r>
        <w:t>in</w:t>
      </w:r>
      <w:r>
        <w:rPr>
          <w:spacing w:val="-1"/>
        </w:rPr>
        <w:t xml:space="preserve"> paragraphs</w:t>
      </w:r>
      <w:r>
        <w:rPr>
          <w:spacing w:val="-2"/>
        </w:rPr>
        <w:t xml:space="preserve"> </w:t>
      </w:r>
      <w:r>
        <w:t>2</w:t>
      </w:r>
      <w:r>
        <w:rPr>
          <w:spacing w:val="-1"/>
        </w:rPr>
        <w:t xml:space="preserve"> </w:t>
      </w:r>
      <w:r>
        <w:t>and</w:t>
      </w:r>
      <w:r>
        <w:rPr>
          <w:spacing w:val="-1"/>
        </w:rPr>
        <w:t xml:space="preserve"> </w:t>
      </w:r>
      <w:r>
        <w:t>3</w:t>
      </w:r>
      <w:r>
        <w:rPr>
          <w:spacing w:val="-1"/>
        </w:rPr>
        <w:t xml:space="preserve"> </w:t>
      </w:r>
      <w:r>
        <w:t>about</w:t>
      </w:r>
      <w:r>
        <w:rPr>
          <w:spacing w:val="-1"/>
        </w:rPr>
        <w:t xml:space="preserve"> </w:t>
      </w:r>
      <w:r>
        <w:t>economic</w:t>
      </w:r>
      <w:r>
        <w:rPr>
          <w:spacing w:val="-1"/>
        </w:rPr>
        <w:t xml:space="preserve"> efficiency</w:t>
      </w:r>
      <w:r>
        <w:rPr>
          <w:spacing w:val="-2"/>
        </w:rPr>
        <w:t xml:space="preserve"> </w:t>
      </w:r>
      <w:r>
        <w:t>and</w:t>
      </w:r>
      <w:r>
        <w:rPr>
          <w:spacing w:val="-1"/>
        </w:rPr>
        <w:t xml:space="preserve"> </w:t>
      </w:r>
      <w:r>
        <w:t>firm</w:t>
      </w:r>
      <w:r>
        <w:rPr>
          <w:spacing w:val="-1"/>
        </w:rPr>
        <w:t xml:space="preserve"> </w:t>
      </w:r>
      <w:r>
        <w:t>specific</w:t>
      </w:r>
      <w:r>
        <w:rPr>
          <w:spacing w:val="27"/>
          <w:w w:val="99"/>
        </w:rPr>
        <w:t xml:space="preserve"> </w:t>
      </w:r>
      <w:r>
        <w:rPr>
          <w:spacing w:val="-1"/>
        </w:rPr>
        <w:t xml:space="preserve">approaches </w:t>
      </w:r>
      <w:r>
        <w:t>completely</w:t>
      </w:r>
      <w:r>
        <w:rPr>
          <w:spacing w:val="-1"/>
        </w:rPr>
        <w:t xml:space="preserve"> ignores</w:t>
      </w:r>
      <w:r>
        <w:t xml:space="preserve"> the</w:t>
      </w:r>
      <w:r>
        <w:rPr>
          <w:spacing w:val="-1"/>
        </w:rPr>
        <w:t xml:space="preserve"> </w:t>
      </w:r>
      <w:r>
        <w:t xml:space="preserve">fact </w:t>
      </w:r>
      <w:r>
        <w:rPr>
          <w:spacing w:val="-1"/>
        </w:rPr>
        <w:t xml:space="preserve">that </w:t>
      </w:r>
      <w:r>
        <w:t xml:space="preserve">economic </w:t>
      </w:r>
      <w:r>
        <w:rPr>
          <w:spacing w:val="-1"/>
        </w:rPr>
        <w:t xml:space="preserve">efficiency means </w:t>
      </w:r>
      <w:r>
        <w:t>the securing</w:t>
      </w:r>
      <w:r>
        <w:rPr>
          <w:spacing w:val="-1"/>
        </w:rPr>
        <w:t xml:space="preserve"> </w:t>
      </w:r>
      <w:r>
        <w:t>of</w:t>
      </w:r>
      <w:r>
        <w:rPr>
          <w:spacing w:val="4"/>
        </w:rPr>
        <w:t xml:space="preserve"> </w:t>
      </w:r>
      <w:r>
        <w:rPr>
          <w:spacing w:val="-1"/>
        </w:rPr>
        <w:t>desired</w:t>
      </w:r>
      <w:r>
        <w:rPr>
          <w:spacing w:val="47"/>
        </w:rPr>
        <w:t xml:space="preserve"> </w:t>
      </w:r>
      <w:r>
        <w:t xml:space="preserve">supply </w:t>
      </w:r>
      <w:r>
        <w:rPr>
          <w:spacing w:val="-1"/>
        </w:rPr>
        <w:t>at</w:t>
      </w:r>
      <w:r>
        <w:t xml:space="preserve"> </w:t>
      </w:r>
      <w:r>
        <w:rPr>
          <w:spacing w:val="-1"/>
        </w:rPr>
        <w:t>least</w:t>
      </w:r>
      <w:r>
        <w:t xml:space="preserve"> </w:t>
      </w:r>
      <w:r>
        <w:rPr>
          <w:spacing w:val="-3"/>
        </w:rPr>
        <w:t>cost.”</w:t>
      </w:r>
    </w:p>
    <w:p w:rsidR="00D96B91" w:rsidRDefault="00C2656B">
      <w:pPr>
        <w:pStyle w:val="BodyText"/>
        <w:spacing w:before="178"/>
        <w:rPr>
          <w:sz w:val="11"/>
          <w:szCs w:val="11"/>
        </w:rPr>
      </w:pPr>
      <w:r>
        <w:rPr>
          <w:spacing w:val="-1"/>
        </w:rPr>
        <w:t>Executive</w:t>
      </w:r>
      <w:r>
        <w:rPr>
          <w:spacing w:val="1"/>
        </w:rPr>
        <w:t xml:space="preserve"> </w:t>
      </w:r>
      <w:r>
        <w:rPr>
          <w:spacing w:val="-1"/>
        </w:rPr>
        <w:t>Committee</w:t>
      </w:r>
      <w:r>
        <w:rPr>
          <w:spacing w:val="2"/>
        </w:rPr>
        <w:t xml:space="preserve"> </w:t>
      </w:r>
      <w:r>
        <w:t>UP999</w:t>
      </w:r>
      <w:r>
        <w:rPr>
          <w:spacing w:val="2"/>
        </w:rPr>
        <w:t xml:space="preserve"> </w:t>
      </w:r>
      <w:r>
        <w:t>also</w:t>
      </w:r>
      <w:r>
        <w:rPr>
          <w:spacing w:val="2"/>
        </w:rPr>
        <w:t xml:space="preserve"> </w:t>
      </w:r>
      <w:r>
        <w:t>contended</w:t>
      </w:r>
      <w:r>
        <w:rPr>
          <w:spacing w:val="2"/>
        </w:rPr>
        <w:t xml:space="preserve"> </w:t>
      </w:r>
      <w:r>
        <w:rPr>
          <w:spacing w:val="-1"/>
        </w:rPr>
        <w:t>that:</w:t>
      </w:r>
      <w:r>
        <w:rPr>
          <w:spacing w:val="1"/>
        </w:rPr>
        <w:t xml:space="preserve"> </w:t>
      </w:r>
      <w:r>
        <w:rPr>
          <w:position w:val="7"/>
          <w:sz w:val="11"/>
        </w:rPr>
        <w:t>167</w:t>
      </w:r>
    </w:p>
    <w:p w:rsidR="00D96B91" w:rsidRDefault="00C2656B">
      <w:pPr>
        <w:pStyle w:val="BodyText"/>
        <w:spacing w:before="149" w:line="260" w:lineRule="exact"/>
        <w:ind w:right="1548"/>
      </w:pPr>
      <w:r>
        <w:rPr>
          <w:spacing w:val="-1"/>
        </w:rPr>
        <w:t>”The</w:t>
      </w:r>
      <w:r>
        <w:t xml:space="preserve"> </w:t>
      </w:r>
      <w:r>
        <w:rPr>
          <w:spacing w:val="-3"/>
        </w:rPr>
        <w:t>Panel</w:t>
      </w:r>
      <w:r>
        <w:t xml:space="preserve"> must conduct this </w:t>
      </w:r>
      <w:r>
        <w:rPr>
          <w:spacing w:val="-1"/>
        </w:rPr>
        <w:t>Review</w:t>
      </w:r>
      <w:r>
        <w:t xml:space="preserve"> with </w:t>
      </w:r>
      <w:r>
        <w:rPr>
          <w:spacing w:val="-2"/>
        </w:rPr>
        <w:t>regard</w:t>
      </w:r>
      <w:r>
        <w:t xml:space="preserve"> to</w:t>
      </w:r>
      <w:r>
        <w:rPr>
          <w:spacing w:val="-4"/>
        </w:rPr>
        <w:t xml:space="preserve"> </w:t>
      </w:r>
      <w:r>
        <w:rPr>
          <w:spacing w:val="-2"/>
        </w:rPr>
        <w:t>ACTEW’s</w:t>
      </w:r>
      <w:r>
        <w:t xml:space="preserve"> </w:t>
      </w:r>
      <w:r>
        <w:rPr>
          <w:spacing w:val="-1"/>
        </w:rPr>
        <w:t>role</w:t>
      </w:r>
      <w:r>
        <w:t xml:space="preserve"> as a publicly owned utility and not</w:t>
      </w:r>
      <w:r>
        <w:rPr>
          <w:spacing w:val="23"/>
        </w:rPr>
        <w:t xml:space="preserve"> </w:t>
      </w:r>
      <w:r>
        <w:rPr>
          <w:spacing w:val="-1"/>
        </w:rPr>
        <w:t>that</w:t>
      </w:r>
      <w:r>
        <w:t xml:space="preserve"> of</w:t>
      </w:r>
      <w:r>
        <w:rPr>
          <w:spacing w:val="4"/>
        </w:rPr>
        <w:t xml:space="preserve"> </w:t>
      </w:r>
      <w:r>
        <w:t xml:space="preserve">a </w:t>
      </w:r>
      <w:r>
        <w:rPr>
          <w:spacing w:val="-1"/>
        </w:rPr>
        <w:t>private</w:t>
      </w:r>
      <w:r>
        <w:t xml:space="preserve"> sector </w:t>
      </w:r>
      <w:r>
        <w:rPr>
          <w:spacing w:val="-1"/>
        </w:rPr>
        <w:t>corporation</w:t>
      </w:r>
      <w:r>
        <w:t xml:space="preserve"> and </w:t>
      </w:r>
      <w:r>
        <w:rPr>
          <w:spacing w:val="-1"/>
        </w:rPr>
        <w:t>take</w:t>
      </w:r>
      <w:r>
        <w:t xml:space="preserve"> this into </w:t>
      </w:r>
      <w:r>
        <w:rPr>
          <w:spacing w:val="-2"/>
        </w:rPr>
        <w:t>account.”</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4"/>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83"/>
        <w:rPr>
          <w:rFonts w:cs="Avenir Next"/>
        </w:rPr>
      </w:pPr>
      <w:r>
        <w:t>As noted above,</w:t>
      </w:r>
      <w:r>
        <w:rPr>
          <w:spacing w:val="-7"/>
        </w:rPr>
        <w:t xml:space="preserve"> </w:t>
      </w:r>
      <w:r>
        <w:t xml:space="preserve">the </w:t>
      </w:r>
      <w:r>
        <w:rPr>
          <w:spacing w:val="-3"/>
        </w:rPr>
        <w:t>Panel</w:t>
      </w:r>
      <w:r>
        <w:t xml:space="preserve"> assessed the </w:t>
      </w:r>
      <w:r>
        <w:rPr>
          <w:spacing w:val="-1"/>
        </w:rPr>
        <w:t>approaches</w:t>
      </w:r>
      <w:r>
        <w:t xml:space="preserve"> for </w:t>
      </w:r>
      <w:r>
        <w:rPr>
          <w:spacing w:val="-1"/>
        </w:rPr>
        <w:t>estimating</w:t>
      </w:r>
      <w:r>
        <w:t xml:space="preserve"> the</w:t>
      </w:r>
      <w:r>
        <w:rPr>
          <w:spacing w:val="-3"/>
        </w:rPr>
        <w:t xml:space="preserve"> WACC</w:t>
      </w:r>
      <w:r>
        <w:t xml:space="preserve"> used by the ICRC in its</w:t>
      </w:r>
      <w:r>
        <w:rPr>
          <w:spacing w:val="39"/>
        </w:rPr>
        <w:t xml:space="preserve"> </w:t>
      </w:r>
      <w:r>
        <w:t>final</w:t>
      </w:r>
      <w:r>
        <w:rPr>
          <w:spacing w:val="-1"/>
        </w:rPr>
        <w:t xml:space="preserve"> </w:t>
      </w:r>
      <w:r>
        <w:t xml:space="preserve">decision and </w:t>
      </w:r>
      <w:r>
        <w:rPr>
          <w:spacing w:val="-1"/>
        </w:rPr>
        <w:t>proposed</w:t>
      </w:r>
      <w:r>
        <w:t xml:space="preserve"> by</w:t>
      </w:r>
      <w:r>
        <w:rPr>
          <w:spacing w:val="-5"/>
        </w:rPr>
        <w:t xml:space="preserve"> </w:t>
      </w:r>
      <w:r>
        <w:rPr>
          <w:spacing w:val="-2"/>
        </w:rPr>
        <w:t>ACTEW</w:t>
      </w:r>
      <w:r>
        <w:rPr>
          <w:spacing w:val="-3"/>
        </w:rPr>
        <w:t xml:space="preserve"> </w:t>
      </w:r>
      <w:r>
        <w:t>in its SOFC</w:t>
      </w:r>
      <w:r>
        <w:rPr>
          <w:spacing w:val="-1"/>
        </w:rPr>
        <w:t xml:space="preserve"> </w:t>
      </w:r>
      <w:r>
        <w:t>and the views of</w:t>
      </w:r>
      <w:r>
        <w:rPr>
          <w:spacing w:val="3"/>
        </w:rPr>
        <w:t xml:space="preserve"> </w:t>
      </w:r>
      <w:r>
        <w:t xml:space="preserve">other </w:t>
      </w:r>
      <w:r>
        <w:rPr>
          <w:spacing w:val="-1"/>
        </w:rPr>
        <w:t>stakeholders,</w:t>
      </w:r>
      <w:r>
        <w:rPr>
          <w:spacing w:val="-6"/>
        </w:rPr>
        <w:t xml:space="preserve"> </w:t>
      </w:r>
      <w:r>
        <w:t>taking into</w:t>
      </w:r>
      <w:r>
        <w:rPr>
          <w:spacing w:val="35"/>
        </w:rPr>
        <w:t xml:space="preserve"> </w:t>
      </w:r>
      <w:r>
        <w:t xml:space="preserve">account the </w:t>
      </w:r>
      <w:r>
        <w:rPr>
          <w:spacing w:val="-1"/>
        </w:rPr>
        <w:t>extent</w:t>
      </w:r>
      <w:r>
        <w:t xml:space="preserve"> to which they </w:t>
      </w:r>
      <w:r>
        <w:rPr>
          <w:spacing w:val="-2"/>
        </w:rPr>
        <w:t>are</w:t>
      </w:r>
      <w:r>
        <w:t xml:space="preserve"> consistent with:</w:t>
      </w:r>
    </w:p>
    <w:p w:rsidR="00D96B91" w:rsidRDefault="00C2656B">
      <w:pPr>
        <w:pStyle w:val="BodyText"/>
        <w:numPr>
          <w:ilvl w:val="0"/>
          <w:numId w:val="131"/>
        </w:numPr>
        <w:tabs>
          <w:tab w:val="left" w:pos="1531"/>
        </w:tabs>
        <w:spacing w:before="178"/>
        <w:ind w:hanging="283"/>
        <w:rPr>
          <w:rFonts w:cs="Avenir Next"/>
        </w:rPr>
      </w:pPr>
      <w:r>
        <w:t xml:space="preserve">the </w:t>
      </w:r>
      <w:r>
        <w:rPr>
          <w:spacing w:val="-1"/>
        </w:rPr>
        <w:t>requirements</w:t>
      </w:r>
      <w:r>
        <w:t xml:space="preserve"> of</w:t>
      </w:r>
      <w:r>
        <w:rPr>
          <w:spacing w:val="4"/>
        </w:rPr>
        <w:t xml:space="preserve"> </w:t>
      </w:r>
      <w:r>
        <w:t>the</w:t>
      </w:r>
      <w:r>
        <w:rPr>
          <w:spacing w:val="-4"/>
        </w:rPr>
        <w:t xml:space="preserve"> </w:t>
      </w:r>
      <w:r>
        <w:t>Act</w:t>
      </w:r>
    </w:p>
    <w:p w:rsidR="00D96B91" w:rsidRDefault="00C2656B">
      <w:pPr>
        <w:pStyle w:val="BodyText"/>
        <w:numPr>
          <w:ilvl w:val="0"/>
          <w:numId w:val="131"/>
        </w:numPr>
        <w:tabs>
          <w:tab w:val="left" w:pos="1531"/>
        </w:tabs>
        <w:spacing w:before="64" w:line="260" w:lineRule="exact"/>
        <w:ind w:right="1336" w:hanging="283"/>
        <w:rPr>
          <w:rFonts w:cs="Avenir Next"/>
        </w:rPr>
      </w:pPr>
      <w:r>
        <w:t xml:space="preserve">the </w:t>
      </w:r>
      <w:r>
        <w:rPr>
          <w:spacing w:val="-1"/>
        </w:rPr>
        <w:t>approach</w:t>
      </w:r>
      <w:r>
        <w:t xml:space="preserve"> most commonly used by</w:t>
      </w:r>
      <w:r>
        <w:rPr>
          <w:spacing w:val="-4"/>
        </w:rPr>
        <w:t xml:space="preserve"> </w:t>
      </w:r>
      <w:r>
        <w:rPr>
          <w:spacing w:val="-1"/>
        </w:rPr>
        <w:t>Australian</w:t>
      </w:r>
      <w:r>
        <w:t xml:space="preserve"> </w:t>
      </w:r>
      <w:r>
        <w:rPr>
          <w:spacing w:val="-1"/>
        </w:rPr>
        <w:t>regulators</w:t>
      </w:r>
      <w:r>
        <w:t xml:space="preserve"> in applying the building block method,</w:t>
      </w:r>
      <w:r>
        <w:rPr>
          <w:spacing w:val="31"/>
        </w:rPr>
        <w:t xml:space="preserve"> </w:t>
      </w:r>
      <w:r>
        <w:t>and</w:t>
      </w:r>
    </w:p>
    <w:p w:rsidR="00D96B91" w:rsidRDefault="00C2656B">
      <w:pPr>
        <w:pStyle w:val="BodyText"/>
        <w:numPr>
          <w:ilvl w:val="0"/>
          <w:numId w:val="131"/>
        </w:numPr>
        <w:tabs>
          <w:tab w:val="left" w:pos="1531"/>
        </w:tabs>
        <w:spacing w:before="93"/>
        <w:ind w:hanging="283"/>
      </w:pPr>
      <w:r>
        <w:t xml:space="preserve">competitive </w:t>
      </w:r>
      <w:r>
        <w:rPr>
          <w:spacing w:val="-1"/>
        </w:rPr>
        <w:t>neutrality</w:t>
      </w:r>
      <w:r>
        <w:t xml:space="preserve"> principles.</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313"/>
      </w:pPr>
      <w:r>
        <w:t>Based</w:t>
      </w:r>
      <w:r>
        <w:rPr>
          <w:spacing w:val="-1"/>
        </w:rPr>
        <w:t xml:space="preserve"> </w:t>
      </w:r>
      <w:r>
        <w:t>on this</w:t>
      </w:r>
      <w:r>
        <w:rPr>
          <w:spacing w:val="-1"/>
        </w:rPr>
        <w:t xml:space="preserve"> </w:t>
      </w:r>
      <w:r>
        <w:t>assessment and in</w:t>
      </w:r>
      <w:r>
        <w:rPr>
          <w:spacing w:val="-1"/>
        </w:rPr>
        <w:t xml:space="preserve"> </w:t>
      </w:r>
      <w:r>
        <w:t xml:space="preserve">the </w:t>
      </w:r>
      <w:r>
        <w:rPr>
          <w:spacing w:val="-4"/>
        </w:rPr>
        <w:t>Panel’s</w:t>
      </w:r>
      <w:r>
        <w:t xml:space="preserve"> judgement,</w:t>
      </w:r>
      <w:r>
        <w:rPr>
          <w:spacing w:val="-7"/>
        </w:rPr>
        <w:t xml:space="preserve"> </w:t>
      </w:r>
      <w:r>
        <w:t>the benchmark</w:t>
      </w:r>
      <w:r>
        <w:rPr>
          <w:spacing w:val="-1"/>
        </w:rPr>
        <w:t xml:space="preserve"> efficient</w:t>
      </w:r>
      <w:r>
        <w:t xml:space="preserve"> entity </w:t>
      </w:r>
      <w:r>
        <w:rPr>
          <w:spacing w:val="-1"/>
        </w:rPr>
        <w:t xml:space="preserve">approach </w:t>
      </w:r>
      <w:r>
        <w:t>is the</w:t>
      </w:r>
      <w:r>
        <w:rPr>
          <w:spacing w:val="29"/>
        </w:rPr>
        <w:t xml:space="preserve"> </w:t>
      </w:r>
      <w:r>
        <w:rPr>
          <w:rFonts w:cs="Avenir Next"/>
          <w:spacing w:val="-1"/>
        </w:rPr>
        <w:t>appropriate</w:t>
      </w:r>
      <w:r>
        <w:rPr>
          <w:rFonts w:cs="Avenir Next"/>
        </w:rPr>
        <w:t xml:space="preserve"> </w:t>
      </w:r>
      <w:r>
        <w:rPr>
          <w:rFonts w:cs="Avenir Next"/>
          <w:spacing w:val="-1"/>
        </w:rPr>
        <w:t>approach</w:t>
      </w:r>
      <w:r>
        <w:rPr>
          <w:rFonts w:cs="Avenir Next"/>
        </w:rPr>
        <w:t xml:space="preserve"> for </w:t>
      </w:r>
      <w:r>
        <w:rPr>
          <w:rFonts w:cs="Avenir Next"/>
          <w:spacing w:val="-1"/>
        </w:rPr>
        <w:t>estimating</w:t>
      </w:r>
      <w:r>
        <w:rPr>
          <w:rFonts w:cs="Avenir Next"/>
        </w:rPr>
        <w:t xml:space="preserve"> the</w:t>
      </w:r>
      <w:r>
        <w:rPr>
          <w:rFonts w:cs="Avenir Next"/>
          <w:spacing w:val="-3"/>
        </w:rPr>
        <w:t xml:space="preserve"> WACC</w:t>
      </w:r>
      <w:r>
        <w:rPr>
          <w:rFonts w:cs="Avenir Next"/>
        </w:rPr>
        <w:t xml:space="preserve"> and determining the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for this </w:t>
      </w:r>
      <w:r>
        <w:rPr>
          <w:rFonts w:cs="Avenir Next"/>
          <w:spacing w:val="-1"/>
        </w:rPr>
        <w:t>regulatory</w:t>
      </w:r>
      <w:r>
        <w:rPr>
          <w:rFonts w:cs="Avenir Next"/>
          <w:spacing w:val="55"/>
        </w:rPr>
        <w:t xml:space="preserve"> </w:t>
      </w:r>
      <w:r>
        <w:t>period.</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64"/>
        </w:numPr>
        <w:tabs>
          <w:tab w:val="left" w:pos="2212"/>
        </w:tabs>
        <w:rPr>
          <w:b w:val="0"/>
          <w:bCs w:val="0"/>
        </w:rPr>
      </w:pPr>
      <w:r>
        <w:rPr>
          <w:color w:val="0778BE"/>
          <w:spacing w:val="-1"/>
        </w:rPr>
        <w:t>Requirements</w:t>
      </w:r>
      <w:r>
        <w:rPr>
          <w:color w:val="0778BE"/>
        </w:rPr>
        <w:t xml:space="preserve"> of</w:t>
      </w:r>
      <w:r>
        <w:rPr>
          <w:color w:val="0778BE"/>
          <w:spacing w:val="5"/>
        </w:rPr>
        <w:t xml:space="preserve"> </w:t>
      </w:r>
      <w:r>
        <w:rPr>
          <w:color w:val="0778BE"/>
        </w:rPr>
        <w:t>the</w:t>
      </w:r>
      <w:r>
        <w:rPr>
          <w:color w:val="0778BE"/>
          <w:spacing w:val="-4"/>
        </w:rPr>
        <w:t xml:space="preserve"> </w:t>
      </w:r>
      <w:r>
        <w:rPr>
          <w:color w:val="0778BE"/>
        </w:rPr>
        <w:t>Act</w:t>
      </w:r>
    </w:p>
    <w:p w:rsidR="00D96B91" w:rsidRDefault="00D96B91">
      <w:pPr>
        <w:pStyle w:val="BodyText"/>
        <w:spacing w:before="36" w:line="267" w:lineRule="exact"/>
      </w:pPr>
      <w:hyperlink w:anchor="_bookmark16" w:history="1">
        <w:r w:rsidR="00C2656B">
          <w:t>As</w:t>
        </w:r>
        <w:r w:rsidR="00C2656B">
          <w:rPr>
            <w:spacing w:val="-1"/>
          </w:rPr>
          <w:t xml:space="preserve"> </w:t>
        </w:r>
        <w:r w:rsidR="00C2656B">
          <w:t>Chapter 4</w:t>
        </w:r>
      </w:hyperlink>
      <w:r w:rsidR="00C2656B">
        <w:rPr>
          <w:spacing w:val="-1"/>
        </w:rPr>
        <w:t xml:space="preserve"> </w:t>
      </w:r>
      <w:r w:rsidR="00C2656B">
        <w:t>discussed,</w:t>
      </w:r>
      <w:r w:rsidR="00C2656B">
        <w:rPr>
          <w:spacing w:val="-6"/>
        </w:rPr>
        <w:t xml:space="preserve"> </w:t>
      </w:r>
      <w:r w:rsidR="00C2656B">
        <w:t>section 20(2)</w:t>
      </w:r>
      <w:r w:rsidR="00C2656B">
        <w:rPr>
          <w:spacing w:val="-1"/>
        </w:rPr>
        <w:t xml:space="preserve"> </w:t>
      </w:r>
      <w:r w:rsidR="00C2656B">
        <w:t>of</w:t>
      </w:r>
      <w:r w:rsidR="00C2656B">
        <w:rPr>
          <w:spacing w:val="4"/>
        </w:rPr>
        <w:t xml:space="preserve"> </w:t>
      </w:r>
      <w:r w:rsidR="00C2656B">
        <w:t>the</w:t>
      </w:r>
      <w:r w:rsidR="00C2656B">
        <w:rPr>
          <w:spacing w:val="-5"/>
        </w:rPr>
        <w:t xml:space="preserve"> </w:t>
      </w:r>
      <w:r w:rsidR="00C2656B">
        <w:t>Act sets out</w:t>
      </w:r>
      <w:r w:rsidR="00C2656B">
        <w:rPr>
          <w:spacing w:val="-1"/>
        </w:rPr>
        <w:t xml:space="preserve"> </w:t>
      </w:r>
      <w:r w:rsidR="00C2656B">
        <w:t xml:space="preserve">a </w:t>
      </w:r>
      <w:r w:rsidR="00C2656B">
        <w:rPr>
          <w:spacing w:val="-1"/>
        </w:rPr>
        <w:t>range</w:t>
      </w:r>
      <w:r w:rsidR="00C2656B">
        <w:t xml:space="preserve"> of</w:t>
      </w:r>
      <w:r w:rsidR="00C2656B">
        <w:rPr>
          <w:spacing w:val="3"/>
        </w:rPr>
        <w:t xml:space="preserve"> </w:t>
      </w:r>
      <w:r w:rsidR="00C2656B">
        <w:t xml:space="preserve">specific </w:t>
      </w:r>
      <w:r w:rsidR="00C2656B">
        <w:rPr>
          <w:spacing w:val="-1"/>
        </w:rPr>
        <w:t xml:space="preserve">matters </w:t>
      </w:r>
      <w:r w:rsidR="00C2656B">
        <w:t xml:space="preserve">the </w:t>
      </w:r>
      <w:r w:rsidR="00C2656B">
        <w:rPr>
          <w:spacing w:val="-3"/>
        </w:rPr>
        <w:t>Panel</w:t>
      </w:r>
      <w:r w:rsidR="00C2656B">
        <w:t xml:space="preserve"> must</w:t>
      </w:r>
    </w:p>
    <w:p w:rsidR="00D96B91" w:rsidRDefault="00C2656B">
      <w:pPr>
        <w:pStyle w:val="BodyText"/>
        <w:spacing w:before="3" w:line="228" w:lineRule="auto"/>
        <w:ind w:right="1283"/>
      </w:pPr>
      <w:r>
        <w:t>have</w:t>
      </w:r>
      <w:r>
        <w:rPr>
          <w:spacing w:val="-1"/>
        </w:rPr>
        <w:t xml:space="preserve"> </w:t>
      </w:r>
      <w:r>
        <w:rPr>
          <w:spacing w:val="-2"/>
        </w:rPr>
        <w:t>regard</w:t>
      </w:r>
      <w:r>
        <w:t xml:space="preserve"> to</w:t>
      </w:r>
      <w:r>
        <w:rPr>
          <w:spacing w:val="-1"/>
        </w:rPr>
        <w:t xml:space="preserve"> </w:t>
      </w:r>
      <w:r>
        <w:t>in making its</w:t>
      </w:r>
      <w:r>
        <w:rPr>
          <w:spacing w:val="-1"/>
        </w:rPr>
        <w:t xml:space="preserve"> </w:t>
      </w:r>
      <w:r>
        <w:t>decisions.</w:t>
      </w:r>
      <w:r>
        <w:rPr>
          <w:spacing w:val="-11"/>
        </w:rPr>
        <w:t xml:space="preserve"> </w:t>
      </w:r>
      <w:r>
        <w:rPr>
          <w:spacing w:val="-2"/>
        </w:rPr>
        <w:t>The</w:t>
      </w:r>
      <w:r>
        <w:t xml:space="preserve"> </w:t>
      </w:r>
      <w:r>
        <w:rPr>
          <w:spacing w:val="-3"/>
        </w:rPr>
        <w:t>Panel</w:t>
      </w:r>
      <w:r>
        <w:rPr>
          <w:spacing w:val="-1"/>
        </w:rPr>
        <w:t xml:space="preserve"> </w:t>
      </w:r>
      <w:r>
        <w:t xml:space="preserve">considers </w:t>
      </w:r>
      <w:r>
        <w:rPr>
          <w:spacing w:val="-1"/>
        </w:rPr>
        <w:t>that,</w:t>
      </w:r>
      <w:r>
        <w:rPr>
          <w:spacing w:val="-6"/>
        </w:rPr>
        <w:t xml:space="preserve"> </w:t>
      </w:r>
      <w:r>
        <w:t>in</w:t>
      </w:r>
      <w:r>
        <w:rPr>
          <w:spacing w:val="-1"/>
        </w:rPr>
        <w:t xml:space="preserve"> general,</w:t>
      </w:r>
      <w:r>
        <w:rPr>
          <w:spacing w:val="-6"/>
        </w:rPr>
        <w:t xml:space="preserve"> </w:t>
      </w:r>
      <w:r>
        <w:t>a benchmark</w:t>
      </w:r>
      <w:r>
        <w:rPr>
          <w:spacing w:val="-1"/>
        </w:rPr>
        <w:t xml:space="preserve"> efficient</w:t>
      </w:r>
      <w:r>
        <w:t xml:space="preserve"> entity</w:t>
      </w:r>
      <w:r>
        <w:rPr>
          <w:spacing w:val="45"/>
        </w:rPr>
        <w:t xml:space="preserve"> </w:t>
      </w:r>
      <w:r>
        <w:rPr>
          <w:spacing w:val="-1"/>
        </w:rPr>
        <w:t xml:space="preserve">approach </w:t>
      </w:r>
      <w:r>
        <w:t>is</w:t>
      </w:r>
      <w:r>
        <w:rPr>
          <w:spacing w:val="-1"/>
        </w:rPr>
        <w:t xml:space="preserve"> more </w:t>
      </w:r>
      <w:r>
        <w:t>consistent</w:t>
      </w:r>
      <w:r>
        <w:rPr>
          <w:spacing w:val="-1"/>
        </w:rPr>
        <w:t xml:space="preserve"> </w:t>
      </w:r>
      <w:r>
        <w:t>with</w:t>
      </w:r>
      <w:r>
        <w:rPr>
          <w:spacing w:val="-1"/>
        </w:rPr>
        <w:t xml:space="preserve"> </w:t>
      </w:r>
      <w:r>
        <w:t>these</w:t>
      </w:r>
      <w:r>
        <w:rPr>
          <w:spacing w:val="-1"/>
        </w:rPr>
        <w:t xml:space="preserve"> matters </w:t>
      </w:r>
      <w:r>
        <w:t>than a</w:t>
      </w:r>
      <w:r>
        <w:rPr>
          <w:spacing w:val="-1"/>
        </w:rPr>
        <w:t xml:space="preserve"> </w:t>
      </w:r>
      <w:r>
        <w:t>firm-specific</w:t>
      </w:r>
      <w:r>
        <w:rPr>
          <w:spacing w:val="-1"/>
        </w:rPr>
        <w:t xml:space="preserve"> approach.</w:t>
      </w:r>
      <w:r>
        <w:rPr>
          <w:spacing w:val="-7"/>
        </w:rPr>
        <w:t xml:space="preserve"> </w:t>
      </w:r>
      <w:r>
        <w:rPr>
          <w:spacing w:val="-4"/>
        </w:rPr>
        <w:t>For</w:t>
      </w:r>
      <w:r>
        <w:rPr>
          <w:spacing w:val="-1"/>
        </w:rPr>
        <w:t xml:space="preserve"> example,</w:t>
      </w:r>
      <w:r>
        <w:rPr>
          <w:spacing w:val="-7"/>
        </w:rPr>
        <w:t xml:space="preserve"> </w:t>
      </w:r>
      <w:r>
        <w:t>subsection</w:t>
      </w:r>
    </w:p>
    <w:p w:rsidR="00D96B91" w:rsidRDefault="00C2656B">
      <w:pPr>
        <w:pStyle w:val="BodyText"/>
        <w:spacing w:line="228" w:lineRule="auto"/>
        <w:ind w:right="1548"/>
      </w:pPr>
      <w:r>
        <w:t>(i)</w:t>
      </w:r>
      <w:r>
        <w:rPr>
          <w:spacing w:val="-1"/>
        </w:rPr>
        <w:t xml:space="preserve"> requires</w:t>
      </w:r>
      <w:r>
        <w:t xml:space="preserve"> the </w:t>
      </w:r>
      <w:r>
        <w:rPr>
          <w:spacing w:val="-3"/>
        </w:rPr>
        <w:t>Panel</w:t>
      </w:r>
      <w:r>
        <w:t xml:space="preserve"> to</w:t>
      </w:r>
      <w:r>
        <w:rPr>
          <w:spacing w:val="-1"/>
        </w:rPr>
        <w:t xml:space="preserve"> </w:t>
      </w:r>
      <w:r>
        <w:t xml:space="preserve">have </w:t>
      </w:r>
      <w:r>
        <w:rPr>
          <w:spacing w:val="-2"/>
        </w:rPr>
        <w:t>regard</w:t>
      </w:r>
      <w:r>
        <w:t xml:space="preserve"> to “the</w:t>
      </w:r>
      <w:r>
        <w:rPr>
          <w:spacing w:val="-1"/>
        </w:rPr>
        <w:t xml:space="preserve"> borrowing,</w:t>
      </w:r>
      <w:r>
        <w:rPr>
          <w:spacing w:val="-6"/>
        </w:rPr>
        <w:t xml:space="preserve"> </w:t>
      </w:r>
      <w:r>
        <w:t>capital and cash</w:t>
      </w:r>
      <w:r>
        <w:rPr>
          <w:spacing w:val="-1"/>
        </w:rPr>
        <w:t xml:space="preserve"> </w:t>
      </w:r>
      <w:r>
        <w:t xml:space="preserve">flow </w:t>
      </w:r>
      <w:r>
        <w:rPr>
          <w:spacing w:val="-1"/>
        </w:rPr>
        <w:t>requirements</w:t>
      </w:r>
      <w:r>
        <w:t xml:space="preserve"> of</w:t>
      </w:r>
      <w:r>
        <w:rPr>
          <w:spacing w:val="4"/>
        </w:rPr>
        <w:t xml:space="preserve"> </w:t>
      </w:r>
      <w:r>
        <w:t>people</w:t>
      </w:r>
      <w:r>
        <w:rPr>
          <w:spacing w:val="35"/>
        </w:rPr>
        <w:t xml:space="preserve"> </w:t>
      </w:r>
      <w:r>
        <w:rPr>
          <w:rFonts w:cs="Avenir Next"/>
          <w:spacing w:val="-1"/>
        </w:rPr>
        <w:t>providing</w:t>
      </w:r>
      <w:r>
        <w:rPr>
          <w:rFonts w:cs="Avenir Next"/>
        </w:rPr>
        <w:t xml:space="preserve"> </w:t>
      </w:r>
      <w:r>
        <w:rPr>
          <w:rFonts w:cs="Avenir Next"/>
          <w:spacing w:val="-1"/>
        </w:rPr>
        <w:t>regulated</w:t>
      </w:r>
      <w:r>
        <w:rPr>
          <w:rFonts w:cs="Avenir Next"/>
        </w:rPr>
        <w:t xml:space="preserve"> services and the need to </w:t>
      </w:r>
      <w:r>
        <w:rPr>
          <w:rFonts w:cs="Avenir Next"/>
          <w:spacing w:val="-1"/>
        </w:rPr>
        <w:t>renew</w:t>
      </w:r>
      <w:r>
        <w:rPr>
          <w:rFonts w:cs="Avenir Next"/>
        </w:rPr>
        <w:t xml:space="preserve"> or </w:t>
      </w:r>
      <w:r>
        <w:rPr>
          <w:rFonts w:cs="Avenir Next"/>
          <w:spacing w:val="-1"/>
        </w:rPr>
        <w:t>increase</w:t>
      </w:r>
      <w:r>
        <w:rPr>
          <w:rFonts w:cs="Avenir Next"/>
        </w:rPr>
        <w:t xml:space="preserve"> </w:t>
      </w:r>
      <w:r>
        <w:rPr>
          <w:rFonts w:cs="Avenir Next"/>
          <w:spacing w:val="-1"/>
        </w:rPr>
        <w:t>relevant</w:t>
      </w:r>
      <w:r>
        <w:rPr>
          <w:rFonts w:cs="Avenir Next"/>
        </w:rPr>
        <w:t xml:space="preserve"> assets in the </w:t>
      </w:r>
      <w:r>
        <w:rPr>
          <w:rFonts w:cs="Avenir Next"/>
          <w:spacing w:val="-1"/>
        </w:rPr>
        <w:t>regulated</w:t>
      </w:r>
      <w:r>
        <w:rPr>
          <w:rFonts w:cs="Avenir Next"/>
          <w:spacing w:val="37"/>
        </w:rPr>
        <w:t xml:space="preserve"> </w:t>
      </w:r>
      <w:r>
        <w:t>industry</w:t>
      </w:r>
      <w:r>
        <w:rPr>
          <w:spacing w:val="-24"/>
        </w:rPr>
        <w:t>”</w:t>
      </w:r>
      <w:r>
        <w:t>.</w:t>
      </w:r>
      <w:r>
        <w:rPr>
          <w:spacing w:val="-6"/>
        </w:rPr>
        <w:t xml:space="preserve"> </w:t>
      </w:r>
      <w:r>
        <w:t xml:space="preserve">In the </w:t>
      </w:r>
      <w:r>
        <w:rPr>
          <w:spacing w:val="-12"/>
        </w:rPr>
        <w:t>P</w:t>
      </w:r>
      <w:r>
        <w:t>anel</w:t>
      </w:r>
      <w:r>
        <w:rPr>
          <w:spacing w:val="-10"/>
        </w:rPr>
        <w:t>’</w:t>
      </w:r>
      <w:r>
        <w:t>s view:</w:t>
      </w:r>
    </w:p>
    <w:p w:rsidR="00D96B91" w:rsidRDefault="00C2656B">
      <w:pPr>
        <w:pStyle w:val="BodyText"/>
        <w:numPr>
          <w:ilvl w:val="0"/>
          <w:numId w:val="131"/>
        </w:numPr>
        <w:tabs>
          <w:tab w:val="left" w:pos="1531"/>
        </w:tabs>
        <w:spacing w:before="152" w:line="260" w:lineRule="exact"/>
        <w:ind w:right="1357" w:hanging="283"/>
      </w:pPr>
      <w:r>
        <w:t>A</w:t>
      </w:r>
      <w:r>
        <w:rPr>
          <w:spacing w:val="-5"/>
        </w:rPr>
        <w:t xml:space="preserve"> </w:t>
      </w:r>
      <w:r>
        <w:t>benchmark</w:t>
      </w:r>
      <w:r>
        <w:rPr>
          <w:spacing w:val="-1"/>
        </w:rPr>
        <w:t xml:space="preserve"> efficient </w:t>
      </w:r>
      <w:r>
        <w:t xml:space="preserve">entity </w:t>
      </w:r>
      <w:r>
        <w:rPr>
          <w:spacing w:val="-1"/>
        </w:rPr>
        <w:t>approach,</w:t>
      </w:r>
      <w:r>
        <w:rPr>
          <w:spacing w:val="-7"/>
        </w:rPr>
        <w:t xml:space="preserve"> </w:t>
      </w:r>
      <w:r>
        <w:t>which</w:t>
      </w:r>
      <w:r>
        <w:rPr>
          <w:spacing w:val="-1"/>
        </w:rPr>
        <w:t xml:space="preserve"> </w:t>
      </w:r>
      <w:r>
        <w:t>sets the</w:t>
      </w:r>
      <w:r>
        <w:rPr>
          <w:spacing w:val="-1"/>
        </w:rPr>
        <w:t xml:space="preserve"> </w:t>
      </w:r>
      <w:r>
        <w:rPr>
          <w:spacing w:val="-2"/>
        </w:rPr>
        <w:t>rate</w:t>
      </w:r>
      <w:r>
        <w:rPr>
          <w:spacing w:val="-1"/>
        </w:rPr>
        <w:t xml:space="preserve"> </w:t>
      </w:r>
      <w:r>
        <w:t>of</w:t>
      </w:r>
      <w:r>
        <w:rPr>
          <w:spacing w:val="4"/>
        </w:rPr>
        <w:t xml:space="preserve"> </w:t>
      </w:r>
      <w:r>
        <w:rPr>
          <w:spacing w:val="-1"/>
        </w:rPr>
        <w:t xml:space="preserve">return </w:t>
      </w:r>
      <w:r>
        <w:t>in</w:t>
      </w:r>
      <w:r>
        <w:rPr>
          <w:spacing w:val="-1"/>
        </w:rPr>
        <w:t xml:space="preserve"> </w:t>
      </w:r>
      <w:r>
        <w:t>line with</w:t>
      </w:r>
      <w:r>
        <w:rPr>
          <w:spacing w:val="-1"/>
        </w:rPr>
        <w:t xml:space="preserve"> </w:t>
      </w:r>
      <w:r>
        <w:t>the</w:t>
      </w:r>
      <w:r>
        <w:rPr>
          <w:spacing w:val="-1"/>
        </w:rPr>
        <w:t xml:space="preserve"> efficient </w:t>
      </w:r>
      <w:r>
        <w:t>debt</w:t>
      </w:r>
      <w:r>
        <w:rPr>
          <w:spacing w:val="41"/>
        </w:rPr>
        <w:t xml:space="preserve"> </w:t>
      </w:r>
      <w:r>
        <w:t>and</w:t>
      </w:r>
      <w:r>
        <w:rPr>
          <w:spacing w:val="-1"/>
        </w:rPr>
        <w:t xml:space="preserve"> </w:t>
      </w:r>
      <w:r>
        <w:t>equity</w:t>
      </w:r>
      <w:r>
        <w:rPr>
          <w:spacing w:val="-1"/>
        </w:rPr>
        <w:t xml:space="preserve"> </w:t>
      </w:r>
      <w:r>
        <w:t>costs</w:t>
      </w:r>
      <w:r>
        <w:rPr>
          <w:spacing w:val="-1"/>
        </w:rPr>
        <w:t xml:space="preserve"> </w:t>
      </w:r>
      <w:r>
        <w:t>in</w:t>
      </w:r>
      <w:r>
        <w:rPr>
          <w:spacing w:val="-1"/>
        </w:rPr>
        <w:t xml:space="preserve"> </w:t>
      </w:r>
      <w:r>
        <w:t>the</w:t>
      </w:r>
      <w:r>
        <w:rPr>
          <w:spacing w:val="-1"/>
        </w:rPr>
        <w:t xml:space="preserve"> regulated industry,</w:t>
      </w:r>
      <w:r>
        <w:rPr>
          <w:spacing w:val="-7"/>
        </w:rPr>
        <w:t xml:space="preserve"> </w:t>
      </w:r>
      <w:r>
        <w:rPr>
          <w:spacing w:val="-1"/>
        </w:rPr>
        <w:t xml:space="preserve">takes </w:t>
      </w:r>
      <w:r>
        <w:t>account</w:t>
      </w:r>
      <w:r>
        <w:rPr>
          <w:spacing w:val="-1"/>
        </w:rPr>
        <w:t xml:space="preserve"> </w:t>
      </w:r>
      <w:r>
        <w:t>of</w:t>
      </w:r>
      <w:r>
        <w:rPr>
          <w:spacing w:val="3"/>
        </w:rPr>
        <w:t xml:space="preserve"> </w:t>
      </w:r>
      <w:r>
        <w:t>this</w:t>
      </w:r>
      <w:r>
        <w:rPr>
          <w:spacing w:val="-1"/>
        </w:rPr>
        <w:t xml:space="preserve"> </w:t>
      </w:r>
      <w:r>
        <w:rPr>
          <w:spacing w:val="-3"/>
        </w:rPr>
        <w:t>matter,</w:t>
      </w:r>
      <w:r>
        <w:rPr>
          <w:spacing w:val="-7"/>
        </w:rPr>
        <w:t xml:space="preserve"> </w:t>
      </w:r>
      <w:r>
        <w:t>as</w:t>
      </w:r>
      <w:r>
        <w:rPr>
          <w:spacing w:val="-1"/>
        </w:rPr>
        <w:t xml:space="preserve"> </w:t>
      </w:r>
      <w:r>
        <w:t xml:space="preserve">using </w:t>
      </w:r>
      <w:r>
        <w:rPr>
          <w:spacing w:val="-1"/>
        </w:rPr>
        <w:t xml:space="preserve">efficient </w:t>
      </w:r>
      <w:r>
        <w:t>financing</w:t>
      </w:r>
      <w:r>
        <w:rPr>
          <w:spacing w:val="33"/>
          <w:w w:val="99"/>
        </w:rPr>
        <w:t xml:space="preserve"> </w:t>
      </w:r>
      <w:r>
        <w:t xml:space="preserve">costs allows the </w:t>
      </w:r>
      <w:r>
        <w:rPr>
          <w:spacing w:val="-1"/>
        </w:rPr>
        <w:t>regulated</w:t>
      </w:r>
      <w:r>
        <w:t xml:space="preserve"> business to </w:t>
      </w:r>
      <w:r>
        <w:rPr>
          <w:spacing w:val="-2"/>
        </w:rPr>
        <w:t>attract</w:t>
      </w:r>
      <w:r>
        <w:t xml:space="preserve"> the necessary investment capital to maintain a </w:t>
      </w:r>
      <w:r>
        <w:rPr>
          <w:spacing w:val="-1"/>
        </w:rPr>
        <w:t>reliable</w:t>
      </w:r>
      <w:r>
        <w:rPr>
          <w:spacing w:val="25"/>
        </w:rPr>
        <w:t xml:space="preserve"> </w:t>
      </w:r>
      <w:r>
        <w:t>service supply while minimising the costs to consumers.</w:t>
      </w:r>
    </w:p>
    <w:p w:rsidR="00D96B91" w:rsidRDefault="00C2656B">
      <w:pPr>
        <w:pStyle w:val="BodyText"/>
        <w:numPr>
          <w:ilvl w:val="0"/>
          <w:numId w:val="131"/>
        </w:numPr>
        <w:tabs>
          <w:tab w:val="left" w:pos="1531"/>
        </w:tabs>
        <w:spacing w:before="85" w:line="260" w:lineRule="exact"/>
        <w:ind w:right="1463" w:hanging="283"/>
      </w:pPr>
      <w:r>
        <w:t>A</w:t>
      </w:r>
      <w:r>
        <w:rPr>
          <w:spacing w:val="-5"/>
        </w:rPr>
        <w:t xml:space="preserve"> </w:t>
      </w:r>
      <w:r>
        <w:t>firm-specific</w:t>
      </w:r>
      <w:r>
        <w:rPr>
          <w:spacing w:val="-1"/>
        </w:rPr>
        <w:t xml:space="preserve"> approach,</w:t>
      </w:r>
      <w:r>
        <w:rPr>
          <w:spacing w:val="-6"/>
        </w:rPr>
        <w:t xml:space="preserve"> </w:t>
      </w:r>
      <w:r>
        <w:t>which</w:t>
      </w:r>
      <w:r>
        <w:rPr>
          <w:spacing w:val="-1"/>
        </w:rPr>
        <w:t xml:space="preserve"> </w:t>
      </w:r>
      <w:r>
        <w:t>sets</w:t>
      </w:r>
      <w:r>
        <w:rPr>
          <w:spacing w:val="-1"/>
        </w:rPr>
        <w:t xml:space="preserve"> </w:t>
      </w:r>
      <w:r>
        <w:t xml:space="preserve">the </w:t>
      </w:r>
      <w:r>
        <w:rPr>
          <w:spacing w:val="-2"/>
        </w:rPr>
        <w:t>rate</w:t>
      </w:r>
      <w:r>
        <w:rPr>
          <w:spacing w:val="-1"/>
        </w:rPr>
        <w:t xml:space="preserve"> </w:t>
      </w:r>
      <w:r>
        <w:t>of</w:t>
      </w:r>
      <w:r>
        <w:rPr>
          <w:spacing w:val="3"/>
        </w:rPr>
        <w:t xml:space="preserve"> </w:t>
      </w:r>
      <w:r>
        <w:rPr>
          <w:spacing w:val="-1"/>
        </w:rPr>
        <w:t>return</w:t>
      </w:r>
      <w:r>
        <w:t xml:space="preserve"> in</w:t>
      </w:r>
      <w:r>
        <w:rPr>
          <w:spacing w:val="-1"/>
        </w:rPr>
        <w:t xml:space="preserve"> </w:t>
      </w:r>
      <w:r>
        <w:t>line</w:t>
      </w:r>
      <w:r>
        <w:rPr>
          <w:spacing w:val="-1"/>
        </w:rPr>
        <w:t xml:space="preserve"> </w:t>
      </w:r>
      <w:r>
        <w:t>with the</w:t>
      </w:r>
      <w:r>
        <w:rPr>
          <w:spacing w:val="-1"/>
        </w:rPr>
        <w:t xml:space="preserve"> </w:t>
      </w:r>
      <w:r>
        <w:t>actual</w:t>
      </w:r>
      <w:r>
        <w:rPr>
          <w:spacing w:val="-1"/>
        </w:rPr>
        <w:t xml:space="preserve"> </w:t>
      </w:r>
      <w:r>
        <w:t>debt and</w:t>
      </w:r>
      <w:r>
        <w:rPr>
          <w:spacing w:val="-1"/>
        </w:rPr>
        <w:t xml:space="preserve"> </w:t>
      </w:r>
      <w:r>
        <w:t>equity</w:t>
      </w:r>
      <w:r>
        <w:rPr>
          <w:spacing w:val="-1"/>
        </w:rPr>
        <w:t xml:space="preserve"> </w:t>
      </w:r>
      <w:r>
        <w:t>costs</w:t>
      </w:r>
      <w:r>
        <w:rPr>
          <w:spacing w:val="21"/>
        </w:rPr>
        <w:t xml:space="preserve"> </w:t>
      </w:r>
      <w:r>
        <w:t>of</w:t>
      </w:r>
      <w:r>
        <w:rPr>
          <w:spacing w:val="3"/>
        </w:rPr>
        <w:t xml:space="preserve"> </w:t>
      </w:r>
      <w:r>
        <w:t xml:space="preserve">the </w:t>
      </w:r>
      <w:r>
        <w:rPr>
          <w:spacing w:val="-1"/>
        </w:rPr>
        <w:t>regulated</w:t>
      </w:r>
      <w:r>
        <w:t xml:space="preserve"> business,</w:t>
      </w:r>
      <w:r>
        <w:rPr>
          <w:spacing w:val="-7"/>
        </w:rPr>
        <w:t xml:space="preserve"> </w:t>
      </w:r>
      <w:r>
        <w:t xml:space="preserve">may not </w:t>
      </w:r>
      <w:r>
        <w:rPr>
          <w:spacing w:val="-1"/>
        </w:rPr>
        <w:t>take sufficient</w:t>
      </w:r>
      <w:r>
        <w:t xml:space="preserve"> account of</w:t>
      </w:r>
      <w:r>
        <w:rPr>
          <w:spacing w:val="3"/>
        </w:rPr>
        <w:t xml:space="preserve"> </w:t>
      </w:r>
      <w:r>
        <w:t xml:space="preserve">this </w:t>
      </w:r>
      <w:r>
        <w:rPr>
          <w:spacing w:val="-3"/>
        </w:rPr>
        <w:t>matter,</w:t>
      </w:r>
      <w:r>
        <w:rPr>
          <w:spacing w:val="-6"/>
        </w:rPr>
        <w:t xml:space="preserve"> </w:t>
      </w:r>
      <w:r>
        <w:t>as</w:t>
      </w:r>
      <w:r>
        <w:rPr>
          <w:spacing w:val="-1"/>
        </w:rPr>
        <w:t xml:space="preserve"> </w:t>
      </w:r>
      <w:r>
        <w:t>the actual costs</w:t>
      </w:r>
      <w:r>
        <w:rPr>
          <w:spacing w:val="-1"/>
        </w:rPr>
        <w:t xml:space="preserve"> </w:t>
      </w:r>
      <w:r>
        <w:t>may be</w:t>
      </w:r>
    </w:p>
    <w:p w:rsidR="00D96B91" w:rsidRDefault="00C2656B">
      <w:pPr>
        <w:pStyle w:val="BodyText"/>
        <w:spacing w:line="260" w:lineRule="exact"/>
        <w:ind w:left="1530" w:right="1256"/>
        <w:rPr>
          <w:sz w:val="11"/>
          <w:szCs w:val="11"/>
        </w:rPr>
      </w:pPr>
      <w:r>
        <w:t>higher</w:t>
      </w:r>
      <w:r>
        <w:rPr>
          <w:spacing w:val="-1"/>
        </w:rPr>
        <w:t xml:space="preserve"> </w:t>
      </w:r>
      <w:r>
        <w:t>or</w:t>
      </w:r>
      <w:r>
        <w:rPr>
          <w:spacing w:val="-1"/>
        </w:rPr>
        <w:t xml:space="preserve"> </w:t>
      </w:r>
      <w:r>
        <w:t>lower than</w:t>
      </w:r>
      <w:r>
        <w:rPr>
          <w:spacing w:val="-1"/>
        </w:rPr>
        <w:t xml:space="preserve"> </w:t>
      </w:r>
      <w:r>
        <w:t xml:space="preserve">the </w:t>
      </w:r>
      <w:r>
        <w:rPr>
          <w:spacing w:val="-1"/>
        </w:rPr>
        <w:t xml:space="preserve">efficient </w:t>
      </w:r>
      <w:r>
        <w:t>cost.</w:t>
      </w:r>
      <w:r>
        <w:rPr>
          <w:spacing w:val="-7"/>
        </w:rPr>
        <w:t xml:space="preserve"> </w:t>
      </w:r>
      <w:r>
        <w:t>If</w:t>
      </w:r>
      <w:r>
        <w:rPr>
          <w:spacing w:val="4"/>
        </w:rPr>
        <w:t xml:space="preserve"> </w:t>
      </w:r>
      <w:r>
        <w:t>they</w:t>
      </w:r>
      <w:r>
        <w:rPr>
          <w:spacing w:val="-1"/>
        </w:rPr>
        <w:t xml:space="preserve"> </w:t>
      </w:r>
      <w:r>
        <w:rPr>
          <w:spacing w:val="-2"/>
        </w:rPr>
        <w:t>are</w:t>
      </w:r>
      <w:r>
        <w:t xml:space="preserve"> </w:t>
      </w:r>
      <w:r>
        <w:rPr>
          <w:spacing w:val="-2"/>
        </w:rPr>
        <w:t>lower,</w:t>
      </w:r>
      <w:r>
        <w:rPr>
          <w:spacing w:val="-7"/>
        </w:rPr>
        <w:t xml:space="preserve"> </w:t>
      </w:r>
      <w:r>
        <w:t>it could</w:t>
      </w:r>
      <w:r>
        <w:rPr>
          <w:spacing w:val="-1"/>
        </w:rPr>
        <w:t xml:space="preserve"> result </w:t>
      </w:r>
      <w:r>
        <w:t>in prices</w:t>
      </w:r>
      <w:r>
        <w:rPr>
          <w:spacing w:val="-1"/>
        </w:rPr>
        <w:t xml:space="preserve"> that</w:t>
      </w:r>
      <w:r>
        <w:t xml:space="preserve"> </w:t>
      </w:r>
      <w:r>
        <w:rPr>
          <w:spacing w:val="-2"/>
        </w:rPr>
        <w:t>are</w:t>
      </w:r>
      <w:r>
        <w:rPr>
          <w:spacing w:val="-1"/>
        </w:rPr>
        <w:t xml:space="preserve"> insufficient </w:t>
      </w:r>
      <w:r>
        <w:t>to</w:t>
      </w:r>
      <w:r>
        <w:rPr>
          <w:spacing w:val="47"/>
        </w:rPr>
        <w:t xml:space="preserve"> </w:t>
      </w:r>
      <w:r>
        <w:t>meet</w:t>
      </w:r>
      <w:r>
        <w:rPr>
          <w:spacing w:val="-1"/>
        </w:rPr>
        <w:t xml:space="preserve"> </w:t>
      </w:r>
      <w:r>
        <w:t xml:space="preserve">the </w:t>
      </w:r>
      <w:r>
        <w:rPr>
          <w:spacing w:val="-1"/>
        </w:rPr>
        <w:t>borrowing,</w:t>
      </w:r>
      <w:r>
        <w:rPr>
          <w:spacing w:val="-6"/>
        </w:rPr>
        <w:t xml:space="preserve"> </w:t>
      </w:r>
      <w:r>
        <w:t>capital and</w:t>
      </w:r>
      <w:r>
        <w:rPr>
          <w:spacing w:val="-1"/>
        </w:rPr>
        <w:t xml:space="preserve"> </w:t>
      </w:r>
      <w:r>
        <w:t xml:space="preserve">cash flow </w:t>
      </w:r>
      <w:r>
        <w:rPr>
          <w:spacing w:val="-1"/>
        </w:rPr>
        <w:t>requirements</w:t>
      </w:r>
      <w:r>
        <w:t xml:space="preserve"> of</w:t>
      </w:r>
      <w:r>
        <w:rPr>
          <w:spacing w:val="3"/>
        </w:rPr>
        <w:t xml:space="preserve"> </w:t>
      </w:r>
      <w:r>
        <w:t xml:space="preserve">the </w:t>
      </w:r>
      <w:r>
        <w:rPr>
          <w:spacing w:val="-1"/>
        </w:rPr>
        <w:t>regulated</w:t>
      </w:r>
      <w:r>
        <w:t xml:space="preserve"> business</w:t>
      </w:r>
      <w:r>
        <w:rPr>
          <w:spacing w:val="-1"/>
        </w:rPr>
        <w:t xml:space="preserve"> </w:t>
      </w:r>
      <w:r>
        <w:t>in the long term,</w:t>
      </w:r>
      <w:r>
        <w:rPr>
          <w:spacing w:val="27"/>
        </w:rPr>
        <w:t xml:space="preserve"> </w:t>
      </w:r>
      <w:r>
        <w:t xml:space="preserve">and/or </w:t>
      </w:r>
      <w:r>
        <w:rPr>
          <w:spacing w:val="-1"/>
        </w:rPr>
        <w:t>discourage</w:t>
      </w:r>
      <w:r>
        <w:rPr>
          <w:spacing w:val="1"/>
        </w:rPr>
        <w:t xml:space="preserve"> </w:t>
      </w:r>
      <w:r>
        <w:t>the</w:t>
      </w:r>
      <w:r>
        <w:rPr>
          <w:spacing w:val="1"/>
        </w:rPr>
        <w:t xml:space="preserve"> </w:t>
      </w:r>
      <w:r>
        <w:t>business</w:t>
      </w:r>
      <w:r>
        <w:rPr>
          <w:spacing w:val="1"/>
        </w:rPr>
        <w:t xml:space="preserve"> </w:t>
      </w:r>
      <w:r>
        <w:rPr>
          <w:spacing w:val="-1"/>
        </w:rPr>
        <w:t>from</w:t>
      </w:r>
      <w:r>
        <w:rPr>
          <w:spacing w:val="1"/>
        </w:rPr>
        <w:t xml:space="preserve"> </w:t>
      </w:r>
      <w:r>
        <w:t>making</w:t>
      </w:r>
      <w:r>
        <w:rPr>
          <w:spacing w:val="1"/>
        </w:rPr>
        <w:t xml:space="preserve"> </w:t>
      </w:r>
      <w:r>
        <w:rPr>
          <w:spacing w:val="-1"/>
        </w:rPr>
        <w:t>efficient</w:t>
      </w:r>
      <w:r>
        <w:t xml:space="preserve"> investment.</w:t>
      </w:r>
      <w:r>
        <w:rPr>
          <w:position w:val="7"/>
          <w:sz w:val="11"/>
        </w:rPr>
        <w:t>168</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2"/>
        </w:rPr>
        <w:t>The</w:t>
      </w:r>
      <w:r>
        <w:t xml:space="preserve"> </w:t>
      </w:r>
      <w:r>
        <w:rPr>
          <w:spacing w:val="-3"/>
        </w:rPr>
        <w:t>Panel</w:t>
      </w:r>
      <w:r>
        <w:t xml:space="preserve"> considers </w:t>
      </w:r>
      <w:r>
        <w:rPr>
          <w:spacing w:val="-1"/>
        </w:rPr>
        <w:t>that</w:t>
      </w:r>
      <w:r>
        <w:t xml:space="preserve"> the </w:t>
      </w:r>
      <w:r>
        <w:rPr>
          <w:spacing w:val="-1"/>
        </w:rPr>
        <w:t>approach</w:t>
      </w:r>
      <w:r>
        <w:t xml:space="preserve"> the ICRC used to determine the cost of</w:t>
      </w:r>
      <w:r>
        <w:rPr>
          <w:spacing w:val="4"/>
        </w:rPr>
        <w:t xml:space="preserve"> </w:t>
      </w:r>
      <w:r>
        <w:t xml:space="preserve">equity may not </w:t>
      </w:r>
      <w:r>
        <w:rPr>
          <w:spacing w:val="-1"/>
        </w:rPr>
        <w:t>strike</w:t>
      </w:r>
      <w:r>
        <w:t xml:space="preserve"> an</w:t>
      </w:r>
      <w:r>
        <w:rPr>
          <w:spacing w:val="25"/>
        </w:rPr>
        <w:t xml:space="preserve"> </w:t>
      </w:r>
      <w:r>
        <w:rPr>
          <w:spacing w:val="-1"/>
        </w:rPr>
        <w:t>appropriate</w:t>
      </w:r>
      <w:r>
        <w:t xml:space="preserve"> balance between the </w:t>
      </w:r>
      <w:r>
        <w:rPr>
          <w:spacing w:val="-1"/>
        </w:rPr>
        <w:t>requirements</w:t>
      </w:r>
      <w:r>
        <w:t xml:space="preserve"> of</w:t>
      </w:r>
      <w:r>
        <w:rPr>
          <w:spacing w:val="4"/>
        </w:rPr>
        <w:t xml:space="preserve"> </w:t>
      </w:r>
      <w:r>
        <w:t>section 20(2) of</w:t>
      </w:r>
      <w:r>
        <w:rPr>
          <w:spacing w:val="4"/>
        </w:rPr>
        <w:t xml:space="preserve"> </w:t>
      </w:r>
      <w:r>
        <w:t>the</w:t>
      </w:r>
      <w:r>
        <w:rPr>
          <w:spacing w:val="-4"/>
        </w:rPr>
        <w:t xml:space="preserve"> </w:t>
      </w:r>
      <w:r>
        <w:t>Act.</w:t>
      </w:r>
      <w:r>
        <w:rPr>
          <w:spacing w:val="-6"/>
        </w:rPr>
        <w:t xml:space="preserve"> </w:t>
      </w:r>
      <w:r>
        <w:t xml:space="preserve">In </w:t>
      </w:r>
      <w:r>
        <w:rPr>
          <w:spacing w:val="-1"/>
        </w:rPr>
        <w:t>particular:</w:t>
      </w: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21"/>
          <w:szCs w:val="2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75" style="width:72.5pt;height:.5pt;mso-position-horizontal-relative:char;mso-position-vertical-relative:line" coordsize="1450,10">
            <v:group id="_x0000_s3076" style="position:absolute;left:5;top:5;width:1440;height:2" coordorigin="5,5" coordsize="1440,2">
              <v:shape id="_x0000_s3077" style="position:absolute;left:5;top:5;width:1440;height:2" coordorigin="5,5" coordsize="1440,0" path="m5,5r1440,e" filled="f" strokeweight=".5pt">
                <v:path arrowok="t"/>
              </v:shape>
            </v:group>
            <w10:wrap type="none"/>
            <w10:anchorlock/>
          </v:group>
        </w:pict>
      </w:r>
    </w:p>
    <w:p w:rsidR="00D96B91" w:rsidRDefault="00C2656B">
      <w:pPr>
        <w:numPr>
          <w:ilvl w:val="0"/>
          <w:numId w:val="63"/>
        </w:numPr>
        <w:tabs>
          <w:tab w:val="left" w:pos="1758"/>
        </w:tabs>
        <w:spacing w:before="38"/>
        <w:ind w:hanging="510"/>
        <w:rPr>
          <w:rFonts w:ascii="Avenir Next" w:eastAsia="Avenir Next" w:hAnsi="Avenir Next" w:cs="Avenir Next"/>
          <w:sz w:val="16"/>
          <w:szCs w:val="16"/>
        </w:rPr>
      </w:pPr>
      <w:r>
        <w:rPr>
          <w:rFonts w:ascii="Avenir Next"/>
          <w:sz w:val="16"/>
        </w:rPr>
        <w:t>Dr</w:t>
      </w:r>
      <w:r>
        <w:rPr>
          <w:rFonts w:ascii="Avenir Next"/>
          <w:spacing w:val="-4"/>
          <w:sz w:val="16"/>
        </w:rPr>
        <w:t xml:space="preserve"> </w:t>
      </w:r>
      <w:r>
        <w:rPr>
          <w:rFonts w:ascii="Avenir Next"/>
          <w:spacing w:val="-7"/>
          <w:sz w:val="16"/>
        </w:rPr>
        <w:t>T.</w:t>
      </w:r>
      <w:r>
        <w:rPr>
          <w:rFonts w:ascii="Avenir Next"/>
          <w:spacing w:val="-5"/>
          <w:sz w:val="16"/>
        </w:rPr>
        <w:t xml:space="preserve"> </w:t>
      </w:r>
      <w:r>
        <w:rPr>
          <w:rFonts w:ascii="Avenir Next"/>
          <w:spacing w:val="-2"/>
          <w:sz w:val="16"/>
        </w:rPr>
        <w:t>Dwyer,</w:t>
      </w:r>
      <w:r>
        <w:rPr>
          <w:rFonts w:ascii="Avenir Next"/>
          <w:spacing w:val="-5"/>
          <w:sz w:val="16"/>
        </w:rPr>
        <w:t xml:space="preserve"> </w:t>
      </w:r>
      <w:r>
        <w:rPr>
          <w:rFonts w:ascii="Avenir Next"/>
          <w:sz w:val="16"/>
        </w:rPr>
        <w:t xml:space="preserve">Submission to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z w:val="16"/>
        </w:rPr>
        <w:t>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w:t>
      </w:r>
    </w:p>
    <w:p w:rsidR="00D96B91" w:rsidRDefault="00C2656B">
      <w:pPr>
        <w:numPr>
          <w:ilvl w:val="0"/>
          <w:numId w:val="63"/>
        </w:numPr>
        <w:tabs>
          <w:tab w:val="left" w:pos="1758"/>
        </w:tabs>
        <w:spacing w:before="128" w:line="192" w:lineRule="exact"/>
        <w:ind w:right="1288" w:hanging="510"/>
        <w:rPr>
          <w:rFonts w:ascii="Avenir Next" w:eastAsia="Avenir Next" w:hAnsi="Avenir Next" w:cs="Avenir Next"/>
          <w:sz w:val="16"/>
          <w:szCs w:val="16"/>
        </w:rPr>
      </w:pPr>
      <w:r>
        <w:rPr>
          <w:rFonts w:ascii="Avenir Next"/>
          <w:spacing w:val="-1"/>
          <w:sz w:val="16"/>
        </w:rPr>
        <w:t>Executive</w:t>
      </w:r>
      <w:r>
        <w:rPr>
          <w:rFonts w:ascii="Avenir Next"/>
          <w:sz w:val="16"/>
        </w:rPr>
        <w:t xml:space="preserve"> </w:t>
      </w:r>
      <w:r>
        <w:rPr>
          <w:rFonts w:ascii="Avenir Next"/>
          <w:spacing w:val="-1"/>
          <w:sz w:val="16"/>
        </w:rPr>
        <w:t>Committee</w:t>
      </w:r>
      <w:r>
        <w:rPr>
          <w:rFonts w:ascii="Avenir Next"/>
          <w:sz w:val="16"/>
        </w:rPr>
        <w:t xml:space="preserve"> UP999,</w:t>
      </w:r>
      <w:r>
        <w:rPr>
          <w:rFonts w:ascii="Avenir Next"/>
          <w:spacing w:val="-5"/>
          <w:sz w:val="16"/>
        </w:rPr>
        <w:t xml:space="preserve"> </w:t>
      </w:r>
      <w:r>
        <w:rPr>
          <w:rFonts w:ascii="Avenir Next"/>
          <w:sz w:val="16"/>
        </w:rPr>
        <w:t xml:space="preserve">Submission to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z w:val="16"/>
        </w:rPr>
        <w:t>15</w:t>
      </w:r>
      <w:r>
        <w:rPr>
          <w:rFonts w:ascii="Avenir Next"/>
          <w:spacing w:val="-3"/>
          <w:sz w:val="16"/>
        </w:rPr>
        <w:t xml:space="preserve"> </w:t>
      </w:r>
      <w:r>
        <w:rPr>
          <w:rFonts w:ascii="Avenir Next"/>
          <w:sz w:val="16"/>
        </w:rPr>
        <w:t>August</w:t>
      </w:r>
      <w:r>
        <w:rPr>
          <w:rFonts w:ascii="Avenir Next"/>
          <w:spacing w:val="69"/>
          <w:sz w:val="16"/>
        </w:rPr>
        <w:t xml:space="preserve"> </w:t>
      </w:r>
      <w:r>
        <w:rPr>
          <w:rFonts w:ascii="Avenir Next"/>
          <w:sz w:val="16"/>
        </w:rPr>
        <w:t>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4.</w:t>
      </w:r>
    </w:p>
    <w:p w:rsidR="00D96B91" w:rsidRDefault="00C2656B">
      <w:pPr>
        <w:numPr>
          <w:ilvl w:val="0"/>
          <w:numId w:val="63"/>
        </w:numPr>
        <w:tabs>
          <w:tab w:val="left" w:pos="1758"/>
        </w:tabs>
        <w:spacing w:before="141"/>
        <w:ind w:hanging="510"/>
        <w:rPr>
          <w:rFonts w:ascii="Avenir Next" w:eastAsia="Avenir Next" w:hAnsi="Avenir Next" w:cs="Avenir Next"/>
          <w:sz w:val="16"/>
          <w:szCs w:val="16"/>
        </w:rPr>
      </w:pPr>
      <w:r>
        <w:rPr>
          <w:rFonts w:ascii="Avenir Next"/>
          <w:sz w:val="16"/>
        </w:rPr>
        <w:t>If</w:t>
      </w:r>
      <w:r>
        <w:rPr>
          <w:rFonts w:ascii="Avenir Next"/>
          <w:spacing w:val="2"/>
          <w:sz w:val="16"/>
        </w:rPr>
        <w:t xml:space="preserve"> </w:t>
      </w:r>
      <w:r>
        <w:rPr>
          <w:rFonts w:ascii="Avenir Next"/>
          <w:sz w:val="16"/>
        </w:rPr>
        <w:t>it is</w:t>
      </w:r>
      <w:r>
        <w:rPr>
          <w:rFonts w:ascii="Avenir Next"/>
          <w:spacing w:val="-1"/>
          <w:sz w:val="16"/>
        </w:rPr>
        <w:t xml:space="preserve"> </w:t>
      </w:r>
      <w:r>
        <w:rPr>
          <w:rFonts w:ascii="Avenir Next"/>
          <w:sz w:val="16"/>
        </w:rPr>
        <w:t xml:space="preserve">higher than </w:t>
      </w:r>
      <w:r>
        <w:rPr>
          <w:rFonts w:ascii="Avenir Next"/>
          <w:spacing w:val="-1"/>
          <w:sz w:val="16"/>
        </w:rPr>
        <w:t xml:space="preserve">efficient </w:t>
      </w:r>
      <w:r>
        <w:rPr>
          <w:rFonts w:ascii="Avenir Next"/>
          <w:sz w:val="16"/>
        </w:rPr>
        <w:t>costs then</w:t>
      </w:r>
      <w:r>
        <w:rPr>
          <w:rFonts w:ascii="Avenir Next"/>
          <w:spacing w:val="-1"/>
          <w:sz w:val="16"/>
        </w:rPr>
        <w:t xml:space="preserve"> </w:t>
      </w:r>
      <w:r>
        <w:rPr>
          <w:rFonts w:ascii="Avenir Next"/>
          <w:sz w:val="16"/>
        </w:rPr>
        <w:t>the business could</w:t>
      </w:r>
      <w:r>
        <w:rPr>
          <w:rFonts w:ascii="Avenir Next"/>
          <w:spacing w:val="-1"/>
          <w:sz w:val="16"/>
        </w:rPr>
        <w:t xml:space="preserve"> earn</w:t>
      </w:r>
      <w:r>
        <w:rPr>
          <w:rFonts w:ascii="Avenir Next"/>
          <w:sz w:val="16"/>
        </w:rPr>
        <w:t xml:space="preserve"> </w:t>
      </w:r>
      <w:r>
        <w:rPr>
          <w:rFonts w:ascii="Avenir Next"/>
          <w:spacing w:val="-1"/>
          <w:sz w:val="16"/>
        </w:rPr>
        <w:t>excess profits</w:t>
      </w:r>
      <w:r>
        <w:rPr>
          <w:rFonts w:ascii="Avenir Next"/>
          <w:sz w:val="16"/>
        </w:rPr>
        <w:t xml:space="preserve"> and has</w:t>
      </w:r>
      <w:r>
        <w:rPr>
          <w:rFonts w:ascii="Avenir Next"/>
          <w:spacing w:val="-1"/>
          <w:sz w:val="16"/>
        </w:rPr>
        <w:t xml:space="preserve"> </w:t>
      </w:r>
      <w:r>
        <w:rPr>
          <w:rFonts w:ascii="Avenir Next"/>
          <w:sz w:val="16"/>
        </w:rPr>
        <w:t>an incentive</w:t>
      </w:r>
      <w:r>
        <w:rPr>
          <w:rFonts w:ascii="Avenir Next"/>
          <w:spacing w:val="-1"/>
          <w:sz w:val="16"/>
        </w:rPr>
        <w:t xml:space="preserve"> </w:t>
      </w:r>
      <w:r>
        <w:rPr>
          <w:rFonts w:ascii="Avenir Next"/>
          <w:sz w:val="16"/>
        </w:rPr>
        <w:t xml:space="preserve">to </w:t>
      </w:r>
      <w:r>
        <w:rPr>
          <w:rFonts w:ascii="Avenir Next"/>
          <w:spacing w:val="-1"/>
          <w:sz w:val="16"/>
        </w:rPr>
        <w:t>over-invest.</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numPr>
          <w:ilvl w:val="0"/>
          <w:numId w:val="131"/>
        </w:numPr>
        <w:tabs>
          <w:tab w:val="left" w:pos="1531"/>
          <w:tab w:val="left" w:pos="2267"/>
          <w:tab w:val="left" w:pos="3553"/>
          <w:tab w:val="left" w:pos="6102"/>
          <w:tab w:val="left" w:pos="8334"/>
        </w:tabs>
        <w:spacing w:before="21" w:line="260" w:lineRule="exact"/>
        <w:ind w:right="1249" w:hanging="283"/>
      </w:pPr>
      <w:r>
        <w:rPr>
          <w:spacing w:val="-2"/>
        </w:rPr>
        <w:t>By</w:t>
      </w:r>
      <w:r>
        <w:rPr>
          <w:spacing w:val="-10"/>
        </w:rPr>
        <w:t xml:space="preserve"> </w:t>
      </w:r>
      <w:r>
        <w:rPr>
          <w:spacing w:val="-3"/>
        </w:rPr>
        <w:t>not</w:t>
      </w:r>
      <w:r>
        <w:rPr>
          <w:spacing w:val="-9"/>
        </w:rPr>
        <w:t xml:space="preserve"> </w:t>
      </w:r>
      <w:r w:rsidRPr="00C74EAA">
        <w:rPr>
          <w:spacing w:val="-1"/>
        </w:rPr>
        <w:t xml:space="preserve">setting out the method it used to estimate the cost of equity for the </w:t>
      </w:r>
      <w:r>
        <w:rPr>
          <w:spacing w:val="-1"/>
        </w:rPr>
        <w:t>fi</w:t>
      </w:r>
      <w:r w:rsidR="00C74EAA">
        <w:rPr>
          <w:spacing w:val="-1"/>
        </w:rPr>
        <w:t xml:space="preserve">rst </w:t>
      </w:r>
      <w:r w:rsidRPr="00C74EAA">
        <w:rPr>
          <w:spacing w:val="-1"/>
        </w:rPr>
        <w:t xml:space="preserve">two years of the regulatory period, the ICRC’s </w:t>
      </w:r>
      <w:r>
        <w:rPr>
          <w:spacing w:val="-1"/>
        </w:rPr>
        <w:t>fi</w:t>
      </w:r>
      <w:r w:rsidR="00C74EAA">
        <w:rPr>
          <w:spacing w:val="-1"/>
        </w:rPr>
        <w:t xml:space="preserve">nal </w:t>
      </w:r>
      <w:r w:rsidRPr="00C74EAA">
        <w:rPr>
          <w:spacing w:val="-1"/>
        </w:rPr>
        <w:t>decision on the WACC creates uncertainty. This hampers ACTEW’s incentives for effi</w:t>
      </w:r>
      <w:r w:rsidR="00C74EAA">
        <w:rPr>
          <w:spacing w:val="-1"/>
        </w:rPr>
        <w:t>cient</w:t>
      </w:r>
      <w:r w:rsidRPr="00C74EAA">
        <w:rPr>
          <w:spacing w:val="-1"/>
        </w:rPr>
        <w:tab/>
        <w:t>investment, and thus may not take suffi</w:t>
      </w:r>
      <w:r w:rsidR="00C74EAA" w:rsidRPr="00C74EAA">
        <w:rPr>
          <w:spacing w:val="-1"/>
        </w:rPr>
        <w:t xml:space="preserve">cient </w:t>
      </w:r>
      <w:r w:rsidRPr="00C74EAA">
        <w:rPr>
          <w:spacing w:val="-1"/>
        </w:rPr>
        <w:t>account of section</w:t>
      </w:r>
      <w:r>
        <w:rPr>
          <w:spacing w:val="-8"/>
        </w:rPr>
        <w:t xml:space="preserve"> </w:t>
      </w:r>
      <w:r>
        <w:rPr>
          <w:spacing w:val="-4"/>
        </w:rPr>
        <w:t>20(2)(i)</w:t>
      </w:r>
      <w:r>
        <w:rPr>
          <w:spacing w:val="-8"/>
        </w:rPr>
        <w:t xml:space="preserve"> </w:t>
      </w:r>
      <w:r>
        <w:rPr>
          <w:spacing w:val="-2"/>
        </w:rPr>
        <w:t>of</w:t>
      </w:r>
      <w:r>
        <w:rPr>
          <w:spacing w:val="-4"/>
        </w:rPr>
        <w:t xml:space="preserve"> </w:t>
      </w:r>
      <w:r>
        <w:rPr>
          <w:spacing w:val="-3"/>
        </w:rPr>
        <w:t>the</w:t>
      </w:r>
      <w:r>
        <w:rPr>
          <w:spacing w:val="-12"/>
        </w:rPr>
        <w:t xml:space="preserve"> </w:t>
      </w:r>
      <w:r>
        <w:rPr>
          <w:spacing w:val="-4"/>
        </w:rPr>
        <w:t>Act.</w:t>
      </w:r>
    </w:p>
    <w:p w:rsidR="00D96B91" w:rsidRDefault="00C2656B">
      <w:pPr>
        <w:pStyle w:val="BodyText"/>
        <w:numPr>
          <w:ilvl w:val="0"/>
          <w:numId w:val="131"/>
        </w:numPr>
        <w:tabs>
          <w:tab w:val="left" w:pos="1531"/>
        </w:tabs>
        <w:spacing w:before="85" w:line="260" w:lineRule="exact"/>
        <w:ind w:right="1411" w:hanging="283"/>
      </w:pPr>
      <w:r>
        <w:t>By</w:t>
      </w:r>
      <w:r>
        <w:rPr>
          <w:spacing w:val="-1"/>
        </w:rPr>
        <w:t xml:space="preserve"> setting</w:t>
      </w:r>
      <w:r>
        <w:t xml:space="preserve"> the cost of</w:t>
      </w:r>
      <w:r>
        <w:rPr>
          <w:spacing w:val="4"/>
        </w:rPr>
        <w:t xml:space="preserve"> </w:t>
      </w:r>
      <w:r>
        <w:t>equity</w:t>
      </w:r>
      <w:r>
        <w:rPr>
          <w:spacing w:val="-1"/>
        </w:rPr>
        <w:t xml:space="preserve"> </w:t>
      </w:r>
      <w:r>
        <w:t xml:space="preserve">for the first two </w:t>
      </w:r>
      <w:r>
        <w:rPr>
          <w:spacing w:val="-1"/>
        </w:rPr>
        <w:t>years</w:t>
      </w:r>
      <w:r>
        <w:t xml:space="preserve"> of</w:t>
      </w:r>
      <w:r>
        <w:rPr>
          <w:spacing w:val="3"/>
        </w:rPr>
        <w:t xml:space="preserve"> </w:t>
      </w:r>
      <w:r>
        <w:t>the period below the ‘lower bound’</w:t>
      </w:r>
      <w:r>
        <w:rPr>
          <w:spacing w:val="-1"/>
        </w:rPr>
        <w:t xml:space="preserve"> </w:t>
      </w:r>
      <w:r>
        <w:t>it had</w:t>
      </w:r>
      <w:r>
        <w:rPr>
          <w:spacing w:val="27"/>
        </w:rPr>
        <w:t xml:space="preserve"> </w:t>
      </w:r>
      <w:r>
        <w:rPr>
          <w:spacing w:val="-1"/>
        </w:rPr>
        <w:t xml:space="preserve">previously </w:t>
      </w:r>
      <w:r>
        <w:t>determined,</w:t>
      </w:r>
      <w:r>
        <w:rPr>
          <w:spacing w:val="-7"/>
        </w:rPr>
        <w:t xml:space="preserve"> </w:t>
      </w:r>
      <w:r>
        <w:t>the</w:t>
      </w:r>
      <w:r>
        <w:rPr>
          <w:spacing w:val="-1"/>
        </w:rPr>
        <w:t xml:space="preserve"> </w:t>
      </w:r>
      <w:r>
        <w:t xml:space="preserve">ICRC </w:t>
      </w:r>
      <w:r>
        <w:rPr>
          <w:spacing w:val="-1"/>
        </w:rPr>
        <w:t>departed</w:t>
      </w:r>
      <w:r>
        <w:t xml:space="preserve"> </w:t>
      </w:r>
      <w:r>
        <w:rPr>
          <w:spacing w:val="-1"/>
        </w:rPr>
        <w:t xml:space="preserve">from </w:t>
      </w:r>
      <w:r>
        <w:t>the principle</w:t>
      </w:r>
      <w:r>
        <w:rPr>
          <w:spacing w:val="-1"/>
        </w:rPr>
        <w:t xml:space="preserve"> that</w:t>
      </w:r>
      <w:r>
        <w:t xml:space="preserve"> </w:t>
      </w:r>
      <w:r>
        <w:rPr>
          <w:spacing w:val="-1"/>
        </w:rPr>
        <w:t>revenues</w:t>
      </w:r>
      <w:r>
        <w:t xml:space="preserve"> should</w:t>
      </w:r>
      <w:r>
        <w:rPr>
          <w:spacing w:val="-1"/>
        </w:rPr>
        <w:t xml:space="preserve"> reflect</w:t>
      </w:r>
      <w:r>
        <w:t xml:space="preserve"> the costs</w:t>
      </w:r>
      <w:r>
        <w:rPr>
          <w:spacing w:val="41"/>
        </w:rPr>
        <w:t xml:space="preserve"> </w:t>
      </w:r>
      <w:r>
        <w:t>of</w:t>
      </w:r>
      <w:r>
        <w:rPr>
          <w:spacing w:val="4"/>
        </w:rPr>
        <w:t xml:space="preserve"> </w:t>
      </w:r>
      <w:r>
        <w:t xml:space="preserve">maintaining a </w:t>
      </w:r>
      <w:r>
        <w:rPr>
          <w:spacing w:val="-1"/>
        </w:rPr>
        <w:t>reliable</w:t>
      </w:r>
      <w:r>
        <w:t xml:space="preserve"> supply of</w:t>
      </w:r>
      <w:r>
        <w:rPr>
          <w:spacing w:val="4"/>
        </w:rPr>
        <w:t xml:space="preserve"> </w:t>
      </w:r>
      <w:r>
        <w:t>services (in line with section 20(2)(e) of</w:t>
      </w:r>
      <w:r>
        <w:rPr>
          <w:spacing w:val="4"/>
        </w:rPr>
        <w:t xml:space="preserve"> </w:t>
      </w:r>
      <w:r>
        <w:t>the</w:t>
      </w:r>
      <w:r>
        <w:rPr>
          <w:spacing w:val="-4"/>
        </w:rPr>
        <w:t xml:space="preserve"> </w:t>
      </w:r>
      <w:r>
        <w:t>Act).</w:t>
      </w:r>
    </w:p>
    <w:p w:rsidR="00D96B91" w:rsidRDefault="00D96B91">
      <w:pPr>
        <w:spacing w:before="4"/>
        <w:rPr>
          <w:rFonts w:ascii="Avenir Next" w:eastAsia="Avenir Next" w:hAnsi="Avenir Next" w:cs="Avenir Next"/>
          <w:sz w:val="24"/>
          <w:szCs w:val="24"/>
        </w:rPr>
      </w:pPr>
    </w:p>
    <w:p w:rsidR="00D96B91" w:rsidRDefault="00C2656B">
      <w:pPr>
        <w:pStyle w:val="Heading7"/>
        <w:numPr>
          <w:ilvl w:val="3"/>
          <w:numId w:val="64"/>
        </w:numPr>
        <w:tabs>
          <w:tab w:val="left" w:pos="2212"/>
        </w:tabs>
        <w:rPr>
          <w:b w:val="0"/>
          <w:bCs w:val="0"/>
        </w:rPr>
      </w:pPr>
      <w:r>
        <w:rPr>
          <w:color w:val="0778BE"/>
          <w:spacing w:val="-1"/>
        </w:rPr>
        <w:t>Approach</w:t>
      </w:r>
      <w:r>
        <w:rPr>
          <w:color w:val="0778BE"/>
        </w:rPr>
        <w:t xml:space="preserve"> commonly used by other</w:t>
      </w:r>
      <w:r>
        <w:rPr>
          <w:color w:val="0778BE"/>
          <w:spacing w:val="-4"/>
        </w:rPr>
        <w:t xml:space="preserve"> </w:t>
      </w:r>
      <w:r>
        <w:rPr>
          <w:color w:val="0778BE"/>
          <w:spacing w:val="-1"/>
        </w:rPr>
        <w:t>Australian</w:t>
      </w:r>
      <w:r>
        <w:rPr>
          <w:color w:val="0778BE"/>
        </w:rPr>
        <w:t xml:space="preserve"> </w:t>
      </w:r>
      <w:r>
        <w:rPr>
          <w:color w:val="0778BE"/>
          <w:spacing w:val="-1"/>
        </w:rPr>
        <w:t>regulators</w:t>
      </w:r>
    </w:p>
    <w:p w:rsidR="00D96B91" w:rsidRDefault="00C2656B">
      <w:pPr>
        <w:pStyle w:val="BodyText"/>
        <w:spacing w:before="28" w:line="260" w:lineRule="exact"/>
        <w:ind w:right="1256"/>
      </w:pPr>
      <w:r>
        <w:t>In</w:t>
      </w:r>
      <w:r>
        <w:rPr>
          <w:spacing w:val="-1"/>
        </w:rPr>
        <w:t xml:space="preserve"> </w:t>
      </w:r>
      <w:r>
        <w:t>applying the</w:t>
      </w:r>
      <w:r>
        <w:rPr>
          <w:spacing w:val="-1"/>
        </w:rPr>
        <w:t xml:space="preserve"> </w:t>
      </w:r>
      <w:r>
        <w:t>building block</w:t>
      </w:r>
      <w:r>
        <w:rPr>
          <w:spacing w:val="-1"/>
        </w:rPr>
        <w:t xml:space="preserve"> methodology,</w:t>
      </w:r>
      <w:r>
        <w:rPr>
          <w:spacing w:val="-10"/>
        </w:rPr>
        <w:t xml:space="preserve"> </w:t>
      </w:r>
      <w:r>
        <w:rPr>
          <w:spacing w:val="-1"/>
        </w:rPr>
        <w:t>Australian regulators</w:t>
      </w:r>
      <w:r>
        <w:t xml:space="preserve"> most</w:t>
      </w:r>
      <w:r>
        <w:rPr>
          <w:spacing w:val="-1"/>
        </w:rPr>
        <w:t xml:space="preserve"> </w:t>
      </w:r>
      <w:r>
        <w:t>commonly use</w:t>
      </w:r>
      <w:r>
        <w:rPr>
          <w:spacing w:val="-1"/>
        </w:rPr>
        <w:t xml:space="preserve"> </w:t>
      </w:r>
      <w:r>
        <w:t xml:space="preserve">the </w:t>
      </w:r>
      <w:r>
        <w:rPr>
          <w:spacing w:val="-1"/>
        </w:rPr>
        <w:t>efficient</w:t>
      </w:r>
      <w:r>
        <w:rPr>
          <w:spacing w:val="41"/>
          <w:w w:val="99"/>
        </w:rPr>
        <w:t xml:space="preserve"> </w:t>
      </w:r>
      <w:r>
        <w:t xml:space="preserve">benchmark entity </w:t>
      </w:r>
      <w:r>
        <w:rPr>
          <w:spacing w:val="-1"/>
        </w:rPr>
        <w:t>approach</w:t>
      </w:r>
      <w:r>
        <w:t xml:space="preserve"> to </w:t>
      </w:r>
      <w:r>
        <w:rPr>
          <w:spacing w:val="-1"/>
        </w:rPr>
        <w:t>estimate</w:t>
      </w:r>
      <w:r>
        <w:t xml:space="preserve"> the</w:t>
      </w:r>
      <w:r>
        <w:rPr>
          <w:spacing w:val="-3"/>
        </w:rPr>
        <w:t xml:space="preserve"> WACC</w:t>
      </w:r>
      <w:r>
        <w:t xml:space="preserve"> and determine the </w:t>
      </w:r>
      <w:r>
        <w:rPr>
          <w:spacing w:val="-2"/>
        </w:rPr>
        <w:t>rate</w:t>
      </w:r>
      <w:r>
        <w:t xml:space="preserve"> of</w:t>
      </w:r>
      <w:r>
        <w:rPr>
          <w:spacing w:val="4"/>
        </w:rPr>
        <w:t xml:space="preserve"> </w:t>
      </w:r>
      <w:r>
        <w:rPr>
          <w:spacing w:val="-1"/>
        </w:rPr>
        <w:t>return.</w:t>
      </w:r>
      <w:r>
        <w:rPr>
          <w:spacing w:val="-10"/>
        </w:rPr>
        <w:t xml:space="preserve"> </w:t>
      </w:r>
      <w:hyperlink w:anchor="_bookmark45" w:history="1">
        <w:r>
          <w:t>As Chapter 7</w:t>
        </w:r>
      </w:hyperlink>
      <w:r>
        <w:rPr>
          <w:spacing w:val="37"/>
        </w:rPr>
        <w:t xml:space="preserve"> </w:t>
      </w:r>
      <w:r>
        <w:t>discussed,</w:t>
      </w:r>
      <w:r>
        <w:rPr>
          <w:spacing w:val="-6"/>
        </w:rPr>
        <w:t xml:space="preserve"> </w:t>
      </w:r>
      <w:r>
        <w:t xml:space="preserve">this methodology involves </w:t>
      </w:r>
      <w:r>
        <w:rPr>
          <w:spacing w:val="-1"/>
        </w:rPr>
        <w:t>estimating</w:t>
      </w:r>
      <w:r>
        <w:t xml:space="preserve"> the </w:t>
      </w:r>
      <w:r>
        <w:rPr>
          <w:spacing w:val="-1"/>
        </w:rPr>
        <w:t>revenue</w:t>
      </w:r>
      <w:r>
        <w:t xml:space="preserve"> the </w:t>
      </w:r>
      <w:r>
        <w:rPr>
          <w:spacing w:val="-1"/>
        </w:rPr>
        <w:t>regulated</w:t>
      </w:r>
      <w:r>
        <w:t xml:space="preserve"> business </w:t>
      </w:r>
      <w:r>
        <w:rPr>
          <w:spacing w:val="-1"/>
        </w:rPr>
        <w:t>requires</w:t>
      </w:r>
      <w:r>
        <w:t xml:space="preserve"> having</w:t>
      </w:r>
      <w:r>
        <w:rPr>
          <w:spacing w:val="25"/>
        </w:rPr>
        <w:t xml:space="preserve"> </w:t>
      </w:r>
      <w:r>
        <w:rPr>
          <w:spacing w:val="-2"/>
        </w:rPr>
        <w:t>regard</w:t>
      </w:r>
      <w:r>
        <w:rPr>
          <w:spacing w:val="-1"/>
        </w:rPr>
        <w:t xml:space="preserve"> </w:t>
      </w:r>
      <w:r>
        <w:t>to the</w:t>
      </w:r>
      <w:r>
        <w:rPr>
          <w:spacing w:val="-1"/>
        </w:rPr>
        <w:t xml:space="preserve"> </w:t>
      </w:r>
      <w:r>
        <w:rPr>
          <w:b/>
          <w:spacing w:val="-1"/>
        </w:rPr>
        <w:t>efficient</w:t>
      </w:r>
      <w:r>
        <w:rPr>
          <w:b/>
        </w:rPr>
        <w:t xml:space="preserve"> cost </w:t>
      </w:r>
      <w:r>
        <w:t>of</w:t>
      </w:r>
      <w:r>
        <w:rPr>
          <w:spacing w:val="3"/>
        </w:rPr>
        <w:t xml:space="preserve"> </w:t>
      </w:r>
      <w:r>
        <w:rPr>
          <w:spacing w:val="-1"/>
        </w:rPr>
        <w:t>providing</w:t>
      </w:r>
      <w:r>
        <w:t xml:space="preserve"> the </w:t>
      </w:r>
      <w:r>
        <w:rPr>
          <w:spacing w:val="-1"/>
        </w:rPr>
        <w:t xml:space="preserve">regulated </w:t>
      </w:r>
      <w:r>
        <w:t>services.</w:t>
      </w:r>
      <w:r>
        <w:rPr>
          <w:spacing w:val="-11"/>
        </w:rPr>
        <w:t xml:space="preserve"> </w:t>
      </w:r>
      <w:r>
        <w:rPr>
          <w:spacing w:val="-2"/>
        </w:rPr>
        <w:t>The</w:t>
      </w:r>
      <w:r>
        <w:t xml:space="preserve"> </w:t>
      </w:r>
      <w:r>
        <w:rPr>
          <w:spacing w:val="-1"/>
        </w:rPr>
        <w:t xml:space="preserve">reference </w:t>
      </w:r>
      <w:r>
        <w:t>point for the</w:t>
      </w:r>
      <w:r>
        <w:rPr>
          <w:spacing w:val="-1"/>
        </w:rPr>
        <w:t xml:space="preserve"> efficient</w:t>
      </w:r>
      <w:r>
        <w:t xml:space="preserve"> cost</w:t>
      </w:r>
      <w:r>
        <w:rPr>
          <w:spacing w:val="49"/>
        </w:rPr>
        <w:t xml:space="preserve"> </w:t>
      </w:r>
      <w:r>
        <w:t>is</w:t>
      </w:r>
      <w:r>
        <w:rPr>
          <w:spacing w:val="-1"/>
        </w:rPr>
        <w:t xml:space="preserve"> </w:t>
      </w:r>
      <w:r>
        <w:t>a prudent</w:t>
      </w:r>
      <w:r>
        <w:rPr>
          <w:spacing w:val="-1"/>
        </w:rPr>
        <w:t xml:space="preserve"> </w:t>
      </w:r>
      <w:r>
        <w:t xml:space="preserve">service </w:t>
      </w:r>
      <w:r>
        <w:rPr>
          <w:spacing w:val="-1"/>
        </w:rPr>
        <w:t>provider operating</w:t>
      </w:r>
      <w:r>
        <w:t xml:space="preserve"> </w:t>
      </w:r>
      <w:r>
        <w:rPr>
          <w:spacing w:val="-1"/>
        </w:rPr>
        <w:t>efficiently,</w:t>
      </w:r>
      <w:r>
        <w:rPr>
          <w:spacing w:val="-7"/>
        </w:rPr>
        <w:t xml:space="preserve"> </w:t>
      </w:r>
      <w:r>
        <w:rPr>
          <w:b/>
        </w:rPr>
        <w:t>not the</w:t>
      </w:r>
      <w:r>
        <w:rPr>
          <w:b/>
          <w:spacing w:val="-1"/>
        </w:rPr>
        <w:t xml:space="preserve"> </w:t>
      </w:r>
      <w:r>
        <w:rPr>
          <w:b/>
        </w:rPr>
        <w:t>actual business</w:t>
      </w:r>
      <w:r>
        <w:t>.</w:t>
      </w:r>
      <w:r>
        <w:rPr>
          <w:spacing w:val="-12"/>
        </w:rPr>
        <w:t xml:space="preserve"> </w:t>
      </w:r>
      <w:r>
        <w:rPr>
          <w:spacing w:val="-1"/>
        </w:rPr>
        <w:t>This</w:t>
      </w:r>
      <w:r>
        <w:t xml:space="preserve"> </w:t>
      </w:r>
      <w:r>
        <w:rPr>
          <w:spacing w:val="-2"/>
        </w:rPr>
        <w:t>creates</w:t>
      </w:r>
      <w:r>
        <w:rPr>
          <w:spacing w:val="-1"/>
        </w:rPr>
        <w:t xml:space="preserve"> </w:t>
      </w:r>
      <w:r>
        <w:t>an incentive for</w:t>
      </w:r>
      <w:r>
        <w:rPr>
          <w:spacing w:val="29"/>
        </w:rPr>
        <w:t xml:space="preserve"> </w:t>
      </w:r>
      <w:r>
        <w:t>the</w:t>
      </w:r>
      <w:r>
        <w:rPr>
          <w:spacing w:val="-1"/>
        </w:rPr>
        <w:t xml:space="preserve"> </w:t>
      </w:r>
      <w:r>
        <w:t>business</w:t>
      </w:r>
      <w:r>
        <w:rPr>
          <w:spacing w:val="-1"/>
        </w:rPr>
        <w:t xml:space="preserve"> </w:t>
      </w:r>
      <w:r>
        <w:t>to</w:t>
      </w:r>
      <w:r>
        <w:rPr>
          <w:spacing w:val="-1"/>
        </w:rPr>
        <w:t xml:space="preserve"> improve</w:t>
      </w:r>
      <w:r>
        <w:t xml:space="preserve"> its</w:t>
      </w:r>
      <w:r>
        <w:rPr>
          <w:spacing w:val="-1"/>
        </w:rPr>
        <w:t xml:space="preserve"> </w:t>
      </w:r>
      <w:r>
        <w:rPr>
          <w:spacing w:val="-2"/>
        </w:rPr>
        <w:t>efficiency,</w:t>
      </w:r>
      <w:r>
        <w:rPr>
          <w:spacing w:val="-7"/>
        </w:rPr>
        <w:t xml:space="preserve"> </w:t>
      </w:r>
      <w:r>
        <w:t>because</w:t>
      </w:r>
      <w:r>
        <w:rPr>
          <w:spacing w:val="-1"/>
        </w:rPr>
        <w:t xml:space="preserve"> </w:t>
      </w:r>
      <w:r>
        <w:t xml:space="preserve">it </w:t>
      </w:r>
      <w:r>
        <w:rPr>
          <w:spacing w:val="-2"/>
        </w:rPr>
        <w:t>rewards</w:t>
      </w:r>
      <w:r>
        <w:rPr>
          <w:spacing w:val="-1"/>
        </w:rPr>
        <w:t xml:space="preserve"> </w:t>
      </w:r>
      <w:r>
        <w:t>it</w:t>
      </w:r>
      <w:r>
        <w:rPr>
          <w:spacing w:val="-1"/>
        </w:rPr>
        <w:t xml:space="preserve"> </w:t>
      </w:r>
      <w:r>
        <w:t>for spending</w:t>
      </w:r>
      <w:r>
        <w:rPr>
          <w:spacing w:val="-1"/>
        </w:rPr>
        <w:t xml:space="preserve"> </w:t>
      </w:r>
      <w:r>
        <w:t>less</w:t>
      </w:r>
      <w:r>
        <w:rPr>
          <w:spacing w:val="-1"/>
        </w:rPr>
        <w:t xml:space="preserve"> </w:t>
      </w:r>
      <w:r>
        <w:t>than</w:t>
      </w:r>
      <w:r>
        <w:rPr>
          <w:spacing w:val="-1"/>
        </w:rPr>
        <w:t xml:space="preserve"> </w:t>
      </w:r>
      <w:r>
        <w:t xml:space="preserve">the </w:t>
      </w:r>
      <w:r>
        <w:rPr>
          <w:spacing w:val="-1"/>
        </w:rPr>
        <w:t xml:space="preserve">efficient </w:t>
      </w:r>
      <w:r>
        <w:t>cost</w:t>
      </w:r>
      <w:r>
        <w:rPr>
          <w:spacing w:val="-1"/>
        </w:rPr>
        <w:t xml:space="preserve"> </w:t>
      </w:r>
      <w:r>
        <w:t>and</w:t>
      </w:r>
      <w:r>
        <w:rPr>
          <w:spacing w:val="49"/>
        </w:rPr>
        <w:t xml:space="preserve"> </w:t>
      </w:r>
      <w:r>
        <w:t xml:space="preserve">penalises it for spending </w:t>
      </w:r>
      <w:r>
        <w:rPr>
          <w:spacing w:val="-1"/>
        </w:rPr>
        <w:t>more.</w:t>
      </w:r>
    </w:p>
    <w:p w:rsidR="00D96B91" w:rsidRDefault="00C2656B">
      <w:pPr>
        <w:pStyle w:val="BodyText"/>
        <w:spacing w:before="170" w:line="260" w:lineRule="exact"/>
        <w:ind w:right="1548"/>
      </w:pPr>
      <w:r>
        <w:rPr>
          <w:rFonts w:cs="Avenir Next"/>
        </w:rPr>
        <w:t xml:space="preserve">In </w:t>
      </w:r>
      <w:r>
        <w:rPr>
          <w:rFonts w:cs="Avenir Next"/>
          <w:spacing w:val="-1"/>
        </w:rPr>
        <w:t>setting</w:t>
      </w:r>
      <w:r>
        <w:rPr>
          <w:rFonts w:cs="Avenir Next"/>
        </w:rPr>
        <w:t xml:space="preserve"> the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spacing w:val="-6"/>
        </w:rPr>
        <w:t xml:space="preserve"> </w:t>
      </w:r>
      <w:r>
        <w:rPr>
          <w:rFonts w:cs="Avenir Next"/>
        </w:rPr>
        <w:t xml:space="preserve">most </w:t>
      </w:r>
      <w:r>
        <w:rPr>
          <w:rFonts w:cs="Avenir Next"/>
          <w:spacing w:val="-1"/>
        </w:rPr>
        <w:t>regulators</w:t>
      </w:r>
      <w:r>
        <w:rPr>
          <w:rFonts w:cs="Avenir Next"/>
        </w:rPr>
        <w:t xml:space="preserve"> aim to </w:t>
      </w:r>
      <w:r>
        <w:rPr>
          <w:rFonts w:cs="Avenir Next"/>
          <w:spacing w:val="-1"/>
        </w:rPr>
        <w:t>provide</w:t>
      </w:r>
      <w:r>
        <w:rPr>
          <w:rFonts w:cs="Avenir Next"/>
        </w:rPr>
        <w:t xml:space="preserve"> the </w:t>
      </w:r>
      <w:r>
        <w:rPr>
          <w:rFonts w:cs="Avenir Next"/>
          <w:spacing w:val="-1"/>
        </w:rPr>
        <w:t>regulated</w:t>
      </w:r>
      <w:r>
        <w:rPr>
          <w:rFonts w:cs="Avenir Next"/>
        </w:rPr>
        <w:t xml:space="preserve"> business with a </w:t>
      </w:r>
      <w:r>
        <w:rPr>
          <w:rFonts w:cs="Avenir Next"/>
          <w:spacing w:val="-1"/>
        </w:rPr>
        <w:t>return</w:t>
      </w:r>
      <w:r>
        <w:rPr>
          <w:rFonts w:cs="Avenir Next"/>
        </w:rPr>
        <w:t xml:space="preserve"> on</w:t>
      </w:r>
      <w:r>
        <w:rPr>
          <w:rFonts w:cs="Avenir Next"/>
          <w:spacing w:val="43"/>
        </w:rPr>
        <w:t xml:space="preserve"> </w:t>
      </w:r>
      <w:r>
        <w:t>capital</w:t>
      </w:r>
      <w:r>
        <w:rPr>
          <w:spacing w:val="-2"/>
        </w:rPr>
        <w:t xml:space="preserve"> </w:t>
      </w:r>
      <w:r>
        <w:rPr>
          <w:spacing w:val="-1"/>
        </w:rPr>
        <w:t>that</w:t>
      </w:r>
      <w:r>
        <w:rPr>
          <w:spacing w:val="-2"/>
        </w:rPr>
        <w:t xml:space="preserve"> </w:t>
      </w:r>
      <w:r>
        <w:rPr>
          <w:spacing w:val="-1"/>
        </w:rPr>
        <w:t>reflects</w:t>
      </w:r>
      <w:r>
        <w:rPr>
          <w:spacing w:val="-2"/>
        </w:rPr>
        <w:t xml:space="preserve"> </w:t>
      </w:r>
      <w:r>
        <w:t>the</w:t>
      </w:r>
      <w:r>
        <w:rPr>
          <w:spacing w:val="-2"/>
        </w:rPr>
        <w:t xml:space="preserve"> </w:t>
      </w:r>
      <w:r>
        <w:rPr>
          <w:spacing w:val="-1"/>
        </w:rPr>
        <w:t>efficient</w:t>
      </w:r>
      <w:r>
        <w:rPr>
          <w:spacing w:val="-2"/>
        </w:rPr>
        <w:t xml:space="preserve"> </w:t>
      </w:r>
      <w:r>
        <w:t>financing</w:t>
      </w:r>
      <w:r>
        <w:rPr>
          <w:spacing w:val="-2"/>
        </w:rPr>
        <w:t xml:space="preserve"> </w:t>
      </w:r>
      <w:r>
        <w:t>costs</w:t>
      </w:r>
      <w:r>
        <w:rPr>
          <w:spacing w:val="-2"/>
        </w:rPr>
        <w:t xml:space="preserve"> </w:t>
      </w:r>
      <w:r>
        <w:t>of</w:t>
      </w:r>
      <w:r>
        <w:rPr>
          <w:spacing w:val="1"/>
        </w:rPr>
        <w:t xml:space="preserve"> </w:t>
      </w:r>
      <w:r>
        <w:t>a</w:t>
      </w:r>
      <w:r>
        <w:rPr>
          <w:spacing w:val="-2"/>
        </w:rPr>
        <w:t xml:space="preserve"> </w:t>
      </w:r>
      <w:r>
        <w:t>benchmark</w:t>
      </w:r>
      <w:r>
        <w:rPr>
          <w:spacing w:val="-2"/>
        </w:rPr>
        <w:t xml:space="preserve"> </w:t>
      </w:r>
      <w:r>
        <w:rPr>
          <w:spacing w:val="-1"/>
        </w:rPr>
        <w:t>efficient</w:t>
      </w:r>
      <w:r>
        <w:rPr>
          <w:spacing w:val="-2"/>
        </w:rPr>
        <w:t xml:space="preserve"> </w:t>
      </w:r>
      <w:r>
        <w:t>entity</w:t>
      </w:r>
      <w:r>
        <w:rPr>
          <w:spacing w:val="-2"/>
        </w:rPr>
        <w:t xml:space="preserve"> </w:t>
      </w:r>
      <w:r>
        <w:t>(or</w:t>
      </w:r>
      <w:r>
        <w:rPr>
          <w:spacing w:val="-1"/>
        </w:rPr>
        <w:t xml:space="preserve"> </w:t>
      </w:r>
      <w:r>
        <w:t>‘typical</w:t>
      </w:r>
      <w:r>
        <w:rPr>
          <w:spacing w:val="-2"/>
        </w:rPr>
        <w:t xml:space="preserve"> </w:t>
      </w:r>
      <w:r>
        <w:t>firm’)</w:t>
      </w:r>
      <w:r>
        <w:rPr>
          <w:spacing w:val="-2"/>
        </w:rPr>
        <w:t xml:space="preserve"> </w:t>
      </w:r>
      <w:r>
        <w:t>and</w:t>
      </w:r>
      <w:r>
        <w:rPr>
          <w:spacing w:val="33"/>
        </w:rPr>
        <w:t xml:space="preserve"> </w:t>
      </w:r>
      <w:r>
        <w:t xml:space="preserve">the </w:t>
      </w:r>
      <w:r>
        <w:rPr>
          <w:spacing w:val="-1"/>
        </w:rPr>
        <w:t>risks</w:t>
      </w:r>
      <w:r>
        <w:rPr>
          <w:spacing w:val="1"/>
        </w:rPr>
        <w:t xml:space="preserve"> </w:t>
      </w:r>
      <w:r>
        <w:t>involved</w:t>
      </w:r>
      <w:r>
        <w:rPr>
          <w:spacing w:val="1"/>
        </w:rPr>
        <w:t xml:space="preserve"> </w:t>
      </w:r>
      <w:r>
        <w:t>in</w:t>
      </w:r>
      <w:r>
        <w:rPr>
          <w:spacing w:val="1"/>
        </w:rPr>
        <w:t xml:space="preserve"> </w:t>
      </w:r>
      <w:r>
        <w:t>delivering the</w:t>
      </w:r>
      <w:r>
        <w:rPr>
          <w:spacing w:val="1"/>
        </w:rPr>
        <w:t xml:space="preserve"> </w:t>
      </w:r>
      <w:r>
        <w:rPr>
          <w:spacing w:val="-1"/>
        </w:rPr>
        <w:t>regulated</w:t>
      </w:r>
      <w:r>
        <w:rPr>
          <w:spacing w:val="1"/>
        </w:rPr>
        <w:t xml:space="preserve"> </w:t>
      </w:r>
      <w:r>
        <w:t>services.</w:t>
      </w:r>
      <w:r>
        <w:rPr>
          <w:position w:val="7"/>
          <w:sz w:val="11"/>
          <w:szCs w:val="11"/>
        </w:rPr>
        <w:t>169</w:t>
      </w:r>
      <w:r>
        <w:rPr>
          <w:spacing w:val="23"/>
          <w:position w:val="7"/>
          <w:sz w:val="11"/>
          <w:szCs w:val="11"/>
        </w:rPr>
        <w:t xml:space="preserve"> </w:t>
      </w:r>
      <w:r>
        <w:rPr>
          <w:rFonts w:cs="Avenir Next"/>
        </w:rPr>
        <w:t>In</w:t>
      </w:r>
      <w:r>
        <w:rPr>
          <w:rFonts w:cs="Avenir Next"/>
          <w:spacing w:val="1"/>
        </w:rPr>
        <w:t xml:space="preserve"> </w:t>
      </w:r>
      <w:r>
        <w:rPr>
          <w:rFonts w:cs="Avenir Next"/>
        </w:rPr>
        <w:t>principle,</w:t>
      </w:r>
      <w:r>
        <w:rPr>
          <w:rFonts w:cs="Avenir Next"/>
          <w:spacing w:val="-5"/>
        </w:rPr>
        <w:t xml:space="preserve"> </w:t>
      </w:r>
      <w:r>
        <w:rPr>
          <w:rFonts w:cs="Avenir Next"/>
        </w:rPr>
        <w:t xml:space="preserve">this </w:t>
      </w:r>
      <w:r>
        <w:rPr>
          <w:rFonts w:cs="Avenir Next"/>
          <w:spacing w:val="-2"/>
        </w:rPr>
        <w:t>creates</w:t>
      </w:r>
      <w:r>
        <w:rPr>
          <w:rFonts w:cs="Avenir Next"/>
          <w:spacing w:val="1"/>
        </w:rPr>
        <w:t xml:space="preserve"> </w:t>
      </w:r>
      <w:r>
        <w:rPr>
          <w:rFonts w:cs="Avenir Next"/>
        </w:rPr>
        <w:t>an</w:t>
      </w:r>
      <w:r>
        <w:rPr>
          <w:rFonts w:cs="Avenir Next"/>
          <w:spacing w:val="1"/>
        </w:rPr>
        <w:t xml:space="preserve"> </w:t>
      </w:r>
      <w:r>
        <w:rPr>
          <w:rFonts w:cs="Avenir Next"/>
        </w:rPr>
        <w:t>incentive</w:t>
      </w:r>
      <w:r>
        <w:rPr>
          <w:rFonts w:cs="Avenir Next"/>
          <w:spacing w:val="1"/>
        </w:rPr>
        <w:t xml:space="preserve"> </w:t>
      </w:r>
      <w:r>
        <w:rPr>
          <w:rFonts w:cs="Avenir Next"/>
        </w:rPr>
        <w:t>for</w:t>
      </w:r>
      <w:r>
        <w:rPr>
          <w:rFonts w:cs="Avenir Next"/>
          <w:spacing w:val="1"/>
        </w:rPr>
        <w:t xml:space="preserve"> </w:t>
      </w:r>
      <w:r>
        <w:rPr>
          <w:rFonts w:cs="Avenir Next"/>
        </w:rPr>
        <w:t>the</w:t>
      </w:r>
      <w:r>
        <w:rPr>
          <w:rFonts w:cs="Avenir Next"/>
          <w:spacing w:val="25"/>
        </w:rPr>
        <w:t xml:space="preserve"> </w:t>
      </w:r>
      <w:r>
        <w:t>business</w:t>
      </w:r>
      <w:r>
        <w:rPr>
          <w:spacing w:val="-2"/>
        </w:rPr>
        <w:t xml:space="preserve"> </w:t>
      </w:r>
      <w:r>
        <w:t>to</w:t>
      </w:r>
      <w:r>
        <w:rPr>
          <w:spacing w:val="-1"/>
        </w:rPr>
        <w:t xml:space="preserve"> source </w:t>
      </w:r>
      <w:r>
        <w:t>debt</w:t>
      </w:r>
      <w:r>
        <w:rPr>
          <w:spacing w:val="-1"/>
        </w:rPr>
        <w:t xml:space="preserve"> </w:t>
      </w:r>
      <w:r>
        <w:t>and</w:t>
      </w:r>
      <w:r>
        <w:rPr>
          <w:spacing w:val="-1"/>
        </w:rPr>
        <w:t xml:space="preserve"> </w:t>
      </w:r>
      <w:r>
        <w:t>equity</w:t>
      </w:r>
      <w:r>
        <w:rPr>
          <w:spacing w:val="-1"/>
        </w:rPr>
        <w:t xml:space="preserve"> </w:t>
      </w:r>
      <w:r>
        <w:t>financing</w:t>
      </w:r>
      <w:r>
        <w:rPr>
          <w:spacing w:val="-1"/>
        </w:rPr>
        <w:t xml:space="preserve"> efficiently,</w:t>
      </w:r>
      <w:r>
        <w:rPr>
          <w:spacing w:val="-7"/>
        </w:rPr>
        <w:t xml:space="preserve"> </w:t>
      </w:r>
      <w:r>
        <w:t>while</w:t>
      </w:r>
      <w:r>
        <w:rPr>
          <w:spacing w:val="-1"/>
        </w:rPr>
        <w:t xml:space="preserve"> </w:t>
      </w:r>
      <w:r>
        <w:t>taking</w:t>
      </w:r>
      <w:r>
        <w:rPr>
          <w:spacing w:val="-1"/>
        </w:rPr>
        <w:t xml:space="preserve"> </w:t>
      </w:r>
      <w:r>
        <w:t>account</w:t>
      </w:r>
      <w:r>
        <w:rPr>
          <w:spacing w:val="-1"/>
        </w:rPr>
        <w:t xml:space="preserve"> </w:t>
      </w:r>
      <w:r>
        <w:t>of</w:t>
      </w:r>
      <w:r>
        <w:rPr>
          <w:spacing w:val="2"/>
        </w:rPr>
        <w:t xml:space="preserve"> </w:t>
      </w:r>
      <w:r>
        <w:t>the</w:t>
      </w:r>
      <w:r>
        <w:rPr>
          <w:spacing w:val="-1"/>
        </w:rPr>
        <w:t xml:space="preserve"> risks associated</w:t>
      </w:r>
      <w:r>
        <w:rPr>
          <w:spacing w:val="27"/>
        </w:rPr>
        <w:t xml:space="preserve"> </w:t>
      </w:r>
      <w:r>
        <w:t>with</w:t>
      </w:r>
      <w:r>
        <w:rPr>
          <w:spacing w:val="-3"/>
        </w:rPr>
        <w:t xml:space="preserve"> </w:t>
      </w:r>
      <w:r>
        <w:rPr>
          <w:spacing w:val="-1"/>
        </w:rPr>
        <w:t>different</w:t>
      </w:r>
      <w:r>
        <w:rPr>
          <w:spacing w:val="-3"/>
        </w:rPr>
        <w:t xml:space="preserve"> </w:t>
      </w:r>
      <w:r>
        <w:t>financing</w:t>
      </w:r>
      <w:r>
        <w:rPr>
          <w:spacing w:val="-3"/>
        </w:rPr>
        <w:t xml:space="preserve"> </w:t>
      </w:r>
      <w:r>
        <w:rPr>
          <w:spacing w:val="-1"/>
        </w:rPr>
        <w:t>strategies.</w:t>
      </w:r>
    </w:p>
    <w:p w:rsidR="00D96B91" w:rsidRDefault="00C2656B">
      <w:pPr>
        <w:pStyle w:val="BodyText"/>
        <w:spacing w:before="170" w:line="260" w:lineRule="exact"/>
        <w:ind w:right="1278"/>
        <w:jc w:val="both"/>
      </w:pPr>
      <w:r>
        <w:rPr>
          <w:spacing w:val="-2"/>
        </w:rPr>
        <w:t>The</w:t>
      </w:r>
      <w:r>
        <w:rPr>
          <w:spacing w:val="-1"/>
        </w:rPr>
        <w:t xml:space="preserve"> </w:t>
      </w:r>
      <w:r>
        <w:rPr>
          <w:spacing w:val="-3"/>
        </w:rPr>
        <w:t>Panel</w:t>
      </w:r>
      <w:r>
        <w:rPr>
          <w:spacing w:val="-1"/>
        </w:rPr>
        <w:t xml:space="preserve"> recognises that,</w:t>
      </w:r>
      <w:r>
        <w:rPr>
          <w:spacing w:val="-6"/>
        </w:rPr>
        <w:t xml:space="preserve"> </w:t>
      </w:r>
      <w:r>
        <w:t>in</w:t>
      </w:r>
      <w:r>
        <w:rPr>
          <w:spacing w:val="-1"/>
        </w:rPr>
        <w:t xml:space="preserve"> </w:t>
      </w:r>
      <w:r>
        <w:t>some</w:t>
      </w:r>
      <w:r>
        <w:rPr>
          <w:spacing w:val="-1"/>
        </w:rPr>
        <w:t xml:space="preserve"> circumstances,</w:t>
      </w:r>
      <w:r>
        <w:rPr>
          <w:spacing w:val="-7"/>
        </w:rPr>
        <w:t xml:space="preserve"> </w:t>
      </w:r>
      <w:r>
        <w:t>using a</w:t>
      </w:r>
      <w:r>
        <w:rPr>
          <w:spacing w:val="-1"/>
        </w:rPr>
        <w:t xml:space="preserve"> </w:t>
      </w:r>
      <w:r>
        <w:t>firm-specific</w:t>
      </w:r>
      <w:r>
        <w:rPr>
          <w:spacing w:val="-1"/>
        </w:rPr>
        <w:t xml:space="preserve"> approach </w:t>
      </w:r>
      <w:r>
        <w:t xml:space="preserve">to </w:t>
      </w:r>
      <w:r>
        <w:rPr>
          <w:spacing w:val="-1"/>
        </w:rPr>
        <w:t xml:space="preserve">estimate </w:t>
      </w:r>
      <w:r>
        <w:t>the</w:t>
      </w:r>
      <w:r>
        <w:rPr>
          <w:spacing w:val="-4"/>
        </w:rPr>
        <w:t xml:space="preserve"> </w:t>
      </w:r>
      <w:r>
        <w:rPr>
          <w:spacing w:val="-3"/>
        </w:rPr>
        <w:t>WACC</w:t>
      </w:r>
      <w:r>
        <w:rPr>
          <w:spacing w:val="73"/>
        </w:rPr>
        <w:t xml:space="preserve"> </w:t>
      </w:r>
      <w:r>
        <w:t>and set</w:t>
      </w:r>
      <w:r>
        <w:rPr>
          <w:spacing w:val="1"/>
        </w:rPr>
        <w:t xml:space="preserve"> </w:t>
      </w:r>
      <w:r>
        <w:t xml:space="preserve">the </w:t>
      </w:r>
      <w:r>
        <w:rPr>
          <w:spacing w:val="-2"/>
        </w:rPr>
        <w:t>rate</w:t>
      </w:r>
      <w:r>
        <w:rPr>
          <w:spacing w:val="1"/>
        </w:rPr>
        <w:t xml:space="preserve"> </w:t>
      </w:r>
      <w:r>
        <w:t>of</w:t>
      </w:r>
      <w:r>
        <w:rPr>
          <w:spacing w:val="4"/>
        </w:rPr>
        <w:t xml:space="preserve"> </w:t>
      </w:r>
      <w:r>
        <w:rPr>
          <w:spacing w:val="-1"/>
        </w:rPr>
        <w:t>return</w:t>
      </w:r>
      <w:r>
        <w:rPr>
          <w:spacing w:val="1"/>
        </w:rPr>
        <w:t xml:space="preserve"> </w:t>
      </w:r>
      <w:r>
        <w:t>may be</w:t>
      </w:r>
      <w:r>
        <w:rPr>
          <w:spacing w:val="1"/>
        </w:rPr>
        <w:t xml:space="preserve"> </w:t>
      </w:r>
      <w:r>
        <w:rPr>
          <w:spacing w:val="-1"/>
        </w:rPr>
        <w:t>appropriate.</w:t>
      </w:r>
      <w:r>
        <w:rPr>
          <w:spacing w:val="-1"/>
          <w:position w:val="7"/>
          <w:sz w:val="11"/>
        </w:rPr>
        <w:t>170</w:t>
      </w:r>
      <w:r>
        <w:rPr>
          <w:spacing w:val="23"/>
          <w:position w:val="7"/>
          <w:sz w:val="11"/>
        </w:rPr>
        <w:t xml:space="preserve"> </w:t>
      </w:r>
      <w:r>
        <w:rPr>
          <w:spacing w:val="-2"/>
        </w:rPr>
        <w:t>However,</w:t>
      </w:r>
      <w:r>
        <w:rPr>
          <w:spacing w:val="-6"/>
        </w:rPr>
        <w:t xml:space="preserve"> </w:t>
      </w:r>
      <w:r>
        <w:t>in</w:t>
      </w:r>
      <w:r>
        <w:rPr>
          <w:spacing w:val="1"/>
        </w:rPr>
        <w:t xml:space="preserve"> </w:t>
      </w:r>
      <w:r>
        <w:t>its view</w:t>
      </w:r>
      <w:r>
        <w:rPr>
          <w:spacing w:val="1"/>
        </w:rPr>
        <w:t xml:space="preserve"> </w:t>
      </w:r>
      <w:r>
        <w:rPr>
          <w:spacing w:val="-1"/>
        </w:rPr>
        <w:t>there</w:t>
      </w:r>
      <w:r>
        <w:t xml:space="preserve"> </w:t>
      </w:r>
      <w:r>
        <w:rPr>
          <w:spacing w:val="-2"/>
        </w:rPr>
        <w:t>are</w:t>
      </w:r>
      <w:r>
        <w:rPr>
          <w:spacing w:val="1"/>
        </w:rPr>
        <w:t xml:space="preserve"> </w:t>
      </w:r>
      <w:r>
        <w:t>no such</w:t>
      </w:r>
      <w:r>
        <w:rPr>
          <w:spacing w:val="1"/>
        </w:rPr>
        <w:t xml:space="preserve"> </w:t>
      </w:r>
      <w:r>
        <w:rPr>
          <w:spacing w:val="-1"/>
        </w:rPr>
        <w:t>circumstances</w:t>
      </w:r>
      <w:r>
        <w:t xml:space="preserve"> in</w:t>
      </w:r>
      <w:r>
        <w:rPr>
          <w:spacing w:val="65"/>
        </w:rPr>
        <w:t xml:space="preserve"> </w:t>
      </w:r>
      <w:r>
        <w:t>this case.</w:t>
      </w:r>
    </w:p>
    <w:p w:rsidR="00D96B91" w:rsidRDefault="00D96B91">
      <w:pPr>
        <w:spacing w:before="2"/>
        <w:rPr>
          <w:rFonts w:ascii="Avenir Next" w:eastAsia="Avenir Next" w:hAnsi="Avenir Next" w:cs="Avenir Next"/>
          <w:sz w:val="20"/>
          <w:szCs w:val="20"/>
        </w:rPr>
      </w:pPr>
    </w:p>
    <w:p w:rsidR="00D96B91" w:rsidRDefault="00C2656B">
      <w:pPr>
        <w:pStyle w:val="Heading7"/>
        <w:numPr>
          <w:ilvl w:val="3"/>
          <w:numId w:val="64"/>
        </w:numPr>
        <w:tabs>
          <w:tab w:val="left" w:pos="2212"/>
        </w:tabs>
        <w:rPr>
          <w:b w:val="0"/>
          <w:bCs w:val="0"/>
        </w:rPr>
      </w:pPr>
      <w:r>
        <w:rPr>
          <w:color w:val="0778BE"/>
          <w:spacing w:val="-1"/>
        </w:rPr>
        <w:t>Requirement</w:t>
      </w:r>
      <w:r>
        <w:rPr>
          <w:color w:val="0778BE"/>
        </w:rPr>
        <w:t xml:space="preserve"> to comply with competitive </w:t>
      </w:r>
      <w:r>
        <w:rPr>
          <w:color w:val="0778BE"/>
          <w:spacing w:val="-1"/>
        </w:rPr>
        <w:t>neutrality</w:t>
      </w:r>
      <w:r>
        <w:rPr>
          <w:color w:val="0778BE"/>
        </w:rPr>
        <w:t xml:space="preserve"> principles</w:t>
      </w:r>
    </w:p>
    <w:p w:rsidR="00D96B91" w:rsidRDefault="00C2656B">
      <w:pPr>
        <w:pStyle w:val="BodyText"/>
        <w:spacing w:before="28" w:line="260" w:lineRule="exact"/>
        <w:ind w:right="1421"/>
      </w:pPr>
      <w:r>
        <w:t xml:space="preserve">As Chapter </w:t>
      </w:r>
      <w:hyperlink w:anchor="_bookmark11" w:history="1">
        <w:r>
          <w:t>3</w:t>
        </w:r>
      </w:hyperlink>
      <w:r>
        <w:t xml:space="preserve"> discussed,</w:t>
      </w:r>
      <w:r>
        <w:rPr>
          <w:spacing w:val="-6"/>
        </w:rPr>
        <w:t xml:space="preserve"> </w:t>
      </w:r>
      <w:r>
        <w:t>the</w:t>
      </w:r>
      <w:r>
        <w:rPr>
          <w:spacing w:val="-4"/>
        </w:rPr>
        <w:t xml:space="preserve"> </w:t>
      </w:r>
      <w:r>
        <w:rPr>
          <w:spacing w:val="-2"/>
        </w:rPr>
        <w:t>ACT</w:t>
      </w:r>
      <w:r>
        <w:rPr>
          <w:spacing w:val="-5"/>
        </w:rPr>
        <w:t xml:space="preserve"> </w:t>
      </w:r>
      <w:r>
        <w:t xml:space="preserve">Government has signed the </w:t>
      </w:r>
      <w:r>
        <w:rPr>
          <w:spacing w:val="-1"/>
        </w:rPr>
        <w:t>Competition</w:t>
      </w:r>
      <w:r>
        <w:t xml:space="preserve"> </w:t>
      </w:r>
      <w:r>
        <w:rPr>
          <w:spacing w:val="-1"/>
        </w:rPr>
        <w:t>Principles</w:t>
      </w:r>
      <w:r>
        <w:rPr>
          <w:spacing w:val="-4"/>
        </w:rPr>
        <w:t xml:space="preserve"> </w:t>
      </w:r>
      <w:r>
        <w:rPr>
          <w:spacing w:val="-1"/>
        </w:rPr>
        <w:t>Agreement</w:t>
      </w:r>
      <w:r>
        <w:rPr>
          <w:spacing w:val="27"/>
        </w:rPr>
        <w:t xml:space="preserve"> </w:t>
      </w:r>
      <w:r>
        <w:rPr>
          <w:spacing w:val="-3"/>
        </w:rPr>
        <w:t>(CPA)</w:t>
      </w:r>
      <w:r>
        <w:t xml:space="preserve"> with all other </w:t>
      </w:r>
      <w:r>
        <w:rPr>
          <w:spacing w:val="-1"/>
        </w:rPr>
        <w:t>state</w:t>
      </w:r>
      <w:r>
        <w:t xml:space="preserve"> and territory governments.</w:t>
      </w:r>
      <w:r>
        <w:rPr>
          <w:spacing w:val="-11"/>
        </w:rPr>
        <w:t xml:space="preserve"> </w:t>
      </w:r>
      <w:r>
        <w:rPr>
          <w:spacing w:val="-2"/>
        </w:rPr>
        <w:t>The</w:t>
      </w:r>
      <w:r>
        <w:t xml:space="preserve"> </w:t>
      </w:r>
      <w:r>
        <w:rPr>
          <w:spacing w:val="-4"/>
        </w:rPr>
        <w:t xml:space="preserve">CPA </w:t>
      </w:r>
      <w:r>
        <w:t xml:space="preserve">obliges it to apply competitive </w:t>
      </w:r>
      <w:r>
        <w:rPr>
          <w:spacing w:val="-1"/>
        </w:rPr>
        <w:t>neutrality</w:t>
      </w:r>
      <w:r>
        <w:rPr>
          <w:spacing w:val="29"/>
        </w:rPr>
        <w:t xml:space="preserve"> </w:t>
      </w:r>
      <w:r>
        <w:t>principles</w:t>
      </w:r>
      <w:r>
        <w:rPr>
          <w:spacing w:val="-1"/>
        </w:rPr>
        <w:t xml:space="preserve"> </w:t>
      </w:r>
      <w:r>
        <w:t>to</w:t>
      </w:r>
      <w:r>
        <w:rPr>
          <w:spacing w:val="-1"/>
        </w:rPr>
        <w:t xml:space="preserve"> </w:t>
      </w:r>
      <w:r>
        <w:t>all</w:t>
      </w:r>
      <w:r>
        <w:rPr>
          <w:spacing w:val="-1"/>
        </w:rPr>
        <w:t xml:space="preserve"> </w:t>
      </w:r>
      <w:r>
        <w:t>significant</w:t>
      </w:r>
      <w:r>
        <w:rPr>
          <w:spacing w:val="-1"/>
        </w:rPr>
        <w:t xml:space="preserve"> </w:t>
      </w:r>
      <w:r>
        <w:t>government-owned businesses.</w:t>
      </w:r>
      <w:r>
        <w:rPr>
          <w:spacing w:val="-12"/>
        </w:rPr>
        <w:t xml:space="preserve"> </w:t>
      </w:r>
      <w:r>
        <w:rPr>
          <w:spacing w:val="-2"/>
        </w:rPr>
        <w:t>The</w:t>
      </w:r>
      <w:r>
        <w:rPr>
          <w:spacing w:val="-1"/>
        </w:rPr>
        <w:t xml:space="preserve"> </w:t>
      </w:r>
      <w:r>
        <w:t>objective</w:t>
      </w:r>
      <w:r>
        <w:rPr>
          <w:spacing w:val="-1"/>
        </w:rPr>
        <w:t xml:space="preserve"> </w:t>
      </w:r>
      <w:r>
        <w:t>of</w:t>
      </w:r>
      <w:r>
        <w:rPr>
          <w:spacing w:val="4"/>
        </w:rPr>
        <w:t xml:space="preserve"> </w:t>
      </w:r>
      <w:r>
        <w:t>these</w:t>
      </w:r>
      <w:r>
        <w:rPr>
          <w:spacing w:val="-1"/>
        </w:rPr>
        <w:t xml:space="preserve"> </w:t>
      </w:r>
      <w:r>
        <w:t>principles</w:t>
      </w:r>
      <w:r>
        <w:rPr>
          <w:spacing w:val="-1"/>
        </w:rPr>
        <w:t xml:space="preserve"> </w:t>
      </w:r>
      <w:r>
        <w:t>is</w:t>
      </w:r>
      <w:r>
        <w:rPr>
          <w:spacing w:val="-1"/>
        </w:rPr>
        <w:t xml:space="preserve"> </w:t>
      </w:r>
      <w:r>
        <w:t>to</w:t>
      </w:r>
      <w:r>
        <w:rPr>
          <w:spacing w:val="22"/>
        </w:rPr>
        <w:t xml:space="preserve"> </w:t>
      </w:r>
      <w:r>
        <w:rPr>
          <w:spacing w:val="-1"/>
        </w:rPr>
        <w:t>eliminate</w:t>
      </w:r>
      <w:r>
        <w:t xml:space="preserve"> </w:t>
      </w:r>
      <w:r>
        <w:rPr>
          <w:spacing w:val="-1"/>
        </w:rPr>
        <w:t>resource</w:t>
      </w:r>
      <w:r>
        <w:t xml:space="preserve"> </w:t>
      </w:r>
      <w:r>
        <w:rPr>
          <w:spacing w:val="-1"/>
        </w:rPr>
        <w:t>allocation</w:t>
      </w:r>
      <w:r>
        <w:t xml:space="preserve"> </w:t>
      </w:r>
      <w:r>
        <w:rPr>
          <w:spacing w:val="-1"/>
        </w:rPr>
        <w:t>distortions</w:t>
      </w:r>
      <w:r>
        <w:t xml:space="preserve"> arising out of</w:t>
      </w:r>
      <w:r>
        <w:rPr>
          <w:spacing w:val="4"/>
        </w:rPr>
        <w:t xml:space="preserve"> </w:t>
      </w:r>
      <w:r>
        <w:t>the public ownership of</w:t>
      </w:r>
      <w:r>
        <w:rPr>
          <w:spacing w:val="4"/>
        </w:rPr>
        <w:t xml:space="preserve"> </w:t>
      </w:r>
      <w:r>
        <w:t>entities engaged in</w:t>
      </w:r>
      <w:r>
        <w:rPr>
          <w:spacing w:val="47"/>
        </w:rPr>
        <w:t xml:space="preserve"> </w:t>
      </w:r>
      <w:r>
        <w:t>significant</w:t>
      </w:r>
      <w:r>
        <w:rPr>
          <w:spacing w:val="-2"/>
        </w:rPr>
        <w:t xml:space="preserve"> </w:t>
      </w:r>
      <w:r>
        <w:t>business</w:t>
      </w:r>
      <w:r>
        <w:rPr>
          <w:spacing w:val="-2"/>
        </w:rPr>
        <w:t xml:space="preserve"> </w:t>
      </w:r>
      <w:r>
        <w:t>activities,</w:t>
      </w:r>
      <w:r>
        <w:rPr>
          <w:spacing w:val="-9"/>
        </w:rPr>
        <w:t xml:space="preserve"> </w:t>
      </w:r>
      <w:r>
        <w:t>for</w:t>
      </w:r>
      <w:r>
        <w:rPr>
          <w:spacing w:val="-1"/>
        </w:rPr>
        <w:t xml:space="preserve"> </w:t>
      </w:r>
      <w:r>
        <w:t>the</w:t>
      </w:r>
      <w:r>
        <w:rPr>
          <w:spacing w:val="-2"/>
        </w:rPr>
        <w:t xml:space="preserve"> </w:t>
      </w:r>
      <w:r>
        <w:t>benefit</w:t>
      </w:r>
      <w:r>
        <w:rPr>
          <w:spacing w:val="-2"/>
        </w:rPr>
        <w:t xml:space="preserve"> </w:t>
      </w:r>
      <w:r>
        <w:t>of</w:t>
      </w:r>
      <w:r>
        <w:rPr>
          <w:spacing w:val="2"/>
        </w:rPr>
        <w:t xml:space="preserve"> </w:t>
      </w:r>
      <w:r>
        <w:t>consumers</w:t>
      </w:r>
      <w:r>
        <w:rPr>
          <w:spacing w:val="-1"/>
        </w:rPr>
        <w:t xml:space="preserve"> </w:t>
      </w:r>
      <w:r>
        <w:t>and</w:t>
      </w:r>
      <w:r>
        <w:rPr>
          <w:spacing w:val="-2"/>
        </w:rPr>
        <w:t xml:space="preserve"> </w:t>
      </w:r>
      <w:r>
        <w:t>taxpayers.</w:t>
      </w:r>
    </w:p>
    <w:p w:rsidR="00D96B91" w:rsidRDefault="00C2656B">
      <w:pPr>
        <w:pStyle w:val="BodyText"/>
        <w:spacing w:before="170" w:line="260" w:lineRule="exact"/>
        <w:ind w:right="1341"/>
      </w:pPr>
      <w:r>
        <w:rPr>
          <w:rFonts w:cs="Avenir Next"/>
          <w:spacing w:val="-2"/>
        </w:rPr>
        <w:t>The</w:t>
      </w:r>
      <w:r>
        <w:rPr>
          <w:rFonts w:cs="Avenir Next"/>
        </w:rPr>
        <w:t xml:space="preserve"> </w:t>
      </w:r>
      <w:r>
        <w:rPr>
          <w:rFonts w:cs="Avenir Next"/>
          <w:spacing w:val="-3"/>
        </w:rPr>
        <w:t>Panel</w:t>
      </w:r>
      <w:r>
        <w:rPr>
          <w:rFonts w:cs="Avenir Next"/>
        </w:rPr>
        <w:t xml:space="preserve"> </w:t>
      </w:r>
      <w:r>
        <w:rPr>
          <w:rFonts w:cs="Avenir Next"/>
          <w:spacing w:val="-1"/>
        </w:rPr>
        <w:t>agrees</w:t>
      </w:r>
      <w:r>
        <w:rPr>
          <w:rFonts w:cs="Avenir Next"/>
        </w:rPr>
        <w:t xml:space="preserve"> with</w:t>
      </w:r>
      <w:r>
        <w:rPr>
          <w:rFonts w:cs="Avenir Next"/>
          <w:spacing w:val="-4"/>
        </w:rPr>
        <w:t xml:space="preserve"> </w:t>
      </w:r>
      <w:r>
        <w:rPr>
          <w:rFonts w:cs="Avenir Next"/>
          <w:spacing w:val="-2"/>
        </w:rPr>
        <w:t>ACTEW</w:t>
      </w:r>
      <w:r>
        <w:rPr>
          <w:rFonts w:cs="Avenir Next"/>
          <w:spacing w:val="-3"/>
        </w:rPr>
        <w:t xml:space="preserve"> </w:t>
      </w:r>
      <w:r>
        <w:rPr>
          <w:rFonts w:cs="Avenir Next"/>
          <w:spacing w:val="-1"/>
        </w:rPr>
        <w:t>that</w:t>
      </w:r>
      <w:r>
        <w:rPr>
          <w:rFonts w:cs="Avenir Next"/>
        </w:rPr>
        <w:t xml:space="preserve"> the </w:t>
      </w:r>
      <w:r>
        <w:rPr>
          <w:rFonts w:cs="Avenir Next"/>
          <w:spacing w:val="-1"/>
        </w:rPr>
        <w:t>obligation</w:t>
      </w:r>
      <w:r>
        <w:rPr>
          <w:rFonts w:cs="Avenir Next"/>
        </w:rPr>
        <w:t xml:space="preserve"> to comply with competitive </w:t>
      </w:r>
      <w:r>
        <w:rPr>
          <w:rFonts w:cs="Avenir Next"/>
          <w:spacing w:val="-1"/>
        </w:rPr>
        <w:t>neutrality</w:t>
      </w:r>
      <w:r>
        <w:rPr>
          <w:rFonts w:cs="Avenir Next"/>
        </w:rPr>
        <w:t xml:space="preserve"> principles</w:t>
      </w:r>
      <w:r>
        <w:rPr>
          <w:rFonts w:cs="Avenir Next"/>
          <w:spacing w:val="57"/>
        </w:rPr>
        <w:t xml:space="preserve"> </w:t>
      </w:r>
      <w:r>
        <w:t>applies</w:t>
      </w:r>
      <w:r>
        <w:rPr>
          <w:spacing w:val="-1"/>
        </w:rPr>
        <w:t xml:space="preserve"> </w:t>
      </w:r>
      <w:r>
        <w:t>to</w:t>
      </w:r>
      <w:r>
        <w:rPr>
          <w:spacing w:val="-1"/>
        </w:rPr>
        <w:t xml:space="preserve"> </w:t>
      </w:r>
      <w:r>
        <w:t>the</w:t>
      </w:r>
      <w:r>
        <w:rPr>
          <w:spacing w:val="-1"/>
        </w:rPr>
        <w:t xml:space="preserve"> regulation </w:t>
      </w:r>
      <w:r>
        <w:t>of</w:t>
      </w:r>
      <w:r>
        <w:rPr>
          <w:spacing w:val="1"/>
        </w:rPr>
        <w:t xml:space="preserve"> </w:t>
      </w:r>
      <w:r>
        <w:rPr>
          <w:spacing w:val="-2"/>
        </w:rPr>
        <w:t>ACTEW’s</w:t>
      </w:r>
      <w:r>
        <w:rPr>
          <w:spacing w:val="-1"/>
        </w:rPr>
        <w:t xml:space="preserve"> water </w:t>
      </w:r>
      <w:r>
        <w:t>and</w:t>
      </w:r>
      <w:r>
        <w:rPr>
          <w:spacing w:val="-1"/>
        </w:rPr>
        <w:t xml:space="preserve"> sewerage </w:t>
      </w:r>
      <w:r>
        <w:t>prices,</w:t>
      </w:r>
      <w:r>
        <w:rPr>
          <w:spacing w:val="-6"/>
        </w:rPr>
        <w:t xml:space="preserve"> </w:t>
      </w:r>
      <w:r>
        <w:t>and</w:t>
      </w:r>
      <w:r>
        <w:rPr>
          <w:spacing w:val="-1"/>
        </w:rPr>
        <w:t xml:space="preserve"> that </w:t>
      </w:r>
      <w:r>
        <w:t>using</w:t>
      </w:r>
      <w:r>
        <w:rPr>
          <w:spacing w:val="-1"/>
        </w:rPr>
        <w:t xml:space="preserve"> </w:t>
      </w:r>
      <w:r>
        <w:t>a</w:t>
      </w:r>
      <w:r>
        <w:rPr>
          <w:spacing w:val="-1"/>
        </w:rPr>
        <w:t xml:space="preserve"> </w:t>
      </w:r>
      <w:r>
        <w:t>firm-specific</w:t>
      </w:r>
      <w:r>
        <w:rPr>
          <w:spacing w:val="31"/>
          <w:w w:val="99"/>
        </w:rPr>
        <w:t xml:space="preserve"> </w:t>
      </w:r>
      <w:r>
        <w:rPr>
          <w:spacing w:val="-1"/>
        </w:rPr>
        <w:t xml:space="preserve">approach </w:t>
      </w:r>
      <w:r>
        <w:t xml:space="preserve">for </w:t>
      </w:r>
      <w:r>
        <w:rPr>
          <w:spacing w:val="-1"/>
        </w:rPr>
        <w:t xml:space="preserve">setting </w:t>
      </w:r>
      <w:r>
        <w:t xml:space="preserve">the </w:t>
      </w:r>
      <w:r>
        <w:rPr>
          <w:spacing w:val="-2"/>
        </w:rPr>
        <w:t>rate</w:t>
      </w:r>
      <w:r>
        <w:rPr>
          <w:spacing w:val="-1"/>
        </w:rPr>
        <w:t xml:space="preserve"> </w:t>
      </w:r>
      <w:r>
        <w:t>of</w:t>
      </w:r>
      <w:r>
        <w:rPr>
          <w:spacing w:val="3"/>
        </w:rPr>
        <w:t xml:space="preserve"> </w:t>
      </w:r>
      <w:r>
        <w:rPr>
          <w:spacing w:val="-1"/>
        </w:rPr>
        <w:t>return</w:t>
      </w:r>
      <w:r>
        <w:t xml:space="preserve"> conflicts</w:t>
      </w:r>
      <w:r>
        <w:rPr>
          <w:spacing w:val="-1"/>
        </w:rPr>
        <w:t xml:space="preserve"> </w:t>
      </w:r>
      <w:r>
        <w:t>with these</w:t>
      </w:r>
      <w:r>
        <w:rPr>
          <w:spacing w:val="-1"/>
        </w:rPr>
        <w:t xml:space="preserve"> </w:t>
      </w:r>
      <w:r>
        <w:t>principles.</w:t>
      </w:r>
      <w:r>
        <w:rPr>
          <w:spacing w:val="-11"/>
        </w:rPr>
        <w:t xml:space="preserve"> </w:t>
      </w:r>
      <w:r>
        <w:rPr>
          <w:spacing w:val="-2"/>
        </w:rPr>
        <w:t>The</w:t>
      </w:r>
      <w:r>
        <w:t xml:space="preserve"> </w:t>
      </w:r>
      <w:r>
        <w:rPr>
          <w:spacing w:val="-3"/>
        </w:rPr>
        <w:t>Panel</w:t>
      </w:r>
      <w:r>
        <w:rPr>
          <w:spacing w:val="-1"/>
        </w:rPr>
        <w:t xml:space="preserve"> </w:t>
      </w:r>
      <w:r>
        <w:t>also considers</w:t>
      </w:r>
      <w:r>
        <w:rPr>
          <w:spacing w:val="-1"/>
        </w:rPr>
        <w:t xml:space="preserve"> that</w:t>
      </w:r>
      <w:r>
        <w:rPr>
          <w:spacing w:val="41"/>
        </w:rPr>
        <w:t xml:space="preserve"> </w:t>
      </w:r>
      <w:r>
        <w:rPr>
          <w:rFonts w:cs="Avenir Next"/>
        </w:rPr>
        <w:t xml:space="preserve">using any </w:t>
      </w:r>
      <w:r>
        <w:rPr>
          <w:rFonts w:cs="Avenir Next"/>
          <w:spacing w:val="-1"/>
        </w:rPr>
        <w:t>approach</w:t>
      </w:r>
      <w:r>
        <w:rPr>
          <w:rFonts w:cs="Avenir Next"/>
        </w:rPr>
        <w:t xml:space="preserve"> </w:t>
      </w:r>
      <w:r>
        <w:rPr>
          <w:rFonts w:cs="Avenir Next"/>
          <w:spacing w:val="-1"/>
        </w:rPr>
        <w:t>that</w:t>
      </w:r>
      <w:r>
        <w:rPr>
          <w:rFonts w:cs="Avenir Next"/>
        </w:rPr>
        <w:t xml:space="preserve"> </w:t>
      </w:r>
      <w:r>
        <w:rPr>
          <w:rFonts w:cs="Avenir Next"/>
          <w:spacing w:val="-1"/>
        </w:rPr>
        <w:t>takes</w:t>
      </w:r>
      <w:r>
        <w:rPr>
          <w:rFonts w:cs="Avenir Next"/>
        </w:rPr>
        <w:t xml:space="preserve"> account of</w:t>
      </w:r>
      <w:r>
        <w:rPr>
          <w:rFonts w:cs="Avenir Next"/>
          <w:spacing w:val="1"/>
        </w:rPr>
        <w:t xml:space="preserve"> </w:t>
      </w:r>
      <w:r>
        <w:rPr>
          <w:rFonts w:cs="Avenir Next"/>
          <w:spacing w:val="-2"/>
        </w:rPr>
        <w:t>ACTEW’s</w:t>
      </w:r>
      <w:r>
        <w:rPr>
          <w:rFonts w:cs="Avenir Next"/>
        </w:rPr>
        <w:t xml:space="preserve"> public ownership in </w:t>
      </w:r>
      <w:r>
        <w:rPr>
          <w:rFonts w:cs="Avenir Next"/>
          <w:spacing w:val="-1"/>
        </w:rPr>
        <w:t>setting</w:t>
      </w:r>
      <w:r>
        <w:rPr>
          <w:rFonts w:cs="Avenir Next"/>
        </w:rPr>
        <w:t xml:space="preserve"> the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would</w:t>
      </w:r>
      <w:r>
        <w:rPr>
          <w:rFonts w:cs="Avenir Next"/>
          <w:spacing w:val="35"/>
        </w:rPr>
        <w:t xml:space="preserve"> </w:t>
      </w:r>
      <w:r>
        <w:t>conflict</w:t>
      </w:r>
      <w:r>
        <w:rPr>
          <w:spacing w:val="-3"/>
        </w:rPr>
        <w:t xml:space="preserve"> </w:t>
      </w:r>
      <w:r>
        <w:t>with</w:t>
      </w:r>
      <w:r>
        <w:rPr>
          <w:spacing w:val="-2"/>
        </w:rPr>
        <w:t xml:space="preserve"> </w:t>
      </w:r>
      <w:r>
        <w:t>this</w:t>
      </w:r>
      <w:r>
        <w:rPr>
          <w:spacing w:val="-2"/>
        </w:rPr>
        <w:t xml:space="preserve"> </w:t>
      </w:r>
      <w:r>
        <w:rPr>
          <w:spacing w:val="-1"/>
        </w:rPr>
        <w:t>obligation.</w:t>
      </w:r>
    </w:p>
    <w:p w:rsidR="00D96B91" w:rsidRDefault="00C2656B">
      <w:pPr>
        <w:pStyle w:val="BodyText"/>
        <w:spacing w:before="170" w:line="260" w:lineRule="exact"/>
        <w:ind w:right="1248"/>
      </w:pPr>
      <w:r>
        <w:rPr>
          <w:spacing w:val="-2"/>
        </w:rPr>
        <w:t>However,</w:t>
      </w:r>
      <w:r>
        <w:rPr>
          <w:spacing w:val="-6"/>
        </w:rPr>
        <w:t xml:space="preserve"> </w:t>
      </w:r>
      <w:r>
        <w:t xml:space="preserve">the </w:t>
      </w:r>
      <w:r>
        <w:rPr>
          <w:spacing w:val="-3"/>
        </w:rPr>
        <w:t>Panel</w:t>
      </w:r>
      <w:r>
        <w:t xml:space="preserve"> considers </w:t>
      </w:r>
      <w:r>
        <w:rPr>
          <w:spacing w:val="-1"/>
        </w:rPr>
        <w:t>that</w:t>
      </w:r>
      <w:r>
        <w:t xml:space="preserve"> a benchmark entity </w:t>
      </w:r>
      <w:r>
        <w:rPr>
          <w:spacing w:val="-1"/>
        </w:rPr>
        <w:t>approach</w:t>
      </w:r>
      <w:r>
        <w:t xml:space="preserve"> is consistent with competitive </w:t>
      </w:r>
      <w:r>
        <w:rPr>
          <w:spacing w:val="-1"/>
        </w:rPr>
        <w:t>neutrality</w:t>
      </w:r>
      <w:r>
        <w:rPr>
          <w:spacing w:val="45"/>
        </w:rPr>
        <w:t xml:space="preserve"> </w:t>
      </w:r>
      <w:r>
        <w:t>principles.</w:t>
      </w:r>
      <w:r>
        <w:rPr>
          <w:spacing w:val="-7"/>
        </w:rPr>
        <w:t xml:space="preserve"> </w:t>
      </w:r>
      <w:r>
        <w:t>In</w:t>
      </w:r>
      <w:r>
        <w:rPr>
          <w:spacing w:val="-1"/>
        </w:rPr>
        <w:t xml:space="preserve"> </w:t>
      </w:r>
      <w:r>
        <w:rPr>
          <w:spacing w:val="-2"/>
        </w:rPr>
        <w:t>particular,</w:t>
      </w:r>
      <w:r>
        <w:rPr>
          <w:spacing w:val="-6"/>
        </w:rPr>
        <w:t xml:space="preserve"> </w:t>
      </w:r>
      <w:r>
        <w:t>this</w:t>
      </w:r>
      <w:r>
        <w:rPr>
          <w:spacing w:val="-1"/>
        </w:rPr>
        <w:t xml:space="preserve"> approach</w:t>
      </w:r>
      <w:r>
        <w:t xml:space="preserve"> complies</w:t>
      </w:r>
      <w:r>
        <w:rPr>
          <w:spacing w:val="-1"/>
        </w:rPr>
        <w:t xml:space="preserve"> </w:t>
      </w:r>
      <w:r>
        <w:t>with the</w:t>
      </w:r>
      <w:r>
        <w:rPr>
          <w:spacing w:val="-1"/>
        </w:rPr>
        <w:t xml:space="preserve"> </w:t>
      </w:r>
      <w:r>
        <w:t xml:space="preserve">specific </w:t>
      </w:r>
      <w:r>
        <w:rPr>
          <w:spacing w:val="-1"/>
        </w:rPr>
        <w:t xml:space="preserve">obligations </w:t>
      </w:r>
      <w:r>
        <w:t xml:space="preserve">the </w:t>
      </w:r>
      <w:r>
        <w:rPr>
          <w:spacing w:val="-4"/>
        </w:rPr>
        <w:t>CPA</w:t>
      </w:r>
      <w:r>
        <w:rPr>
          <w:spacing w:val="-5"/>
        </w:rPr>
        <w:t xml:space="preserve"> </w:t>
      </w:r>
      <w:r>
        <w:t>imposes,</w:t>
      </w:r>
      <w:r>
        <w:rPr>
          <w:spacing w:val="-6"/>
        </w:rPr>
        <w:t xml:space="preserve"> </w:t>
      </w:r>
      <w:r>
        <w:t>including</w:t>
      </w:r>
      <w:r>
        <w:rPr>
          <w:spacing w:val="45"/>
        </w:rPr>
        <w:t xml:space="preserve"> </w:t>
      </w:r>
      <w:r>
        <w:rPr>
          <w:spacing w:val="-1"/>
        </w:rPr>
        <w:t>obligations</w:t>
      </w:r>
      <w:r>
        <w:t xml:space="preserve"> </w:t>
      </w:r>
      <w:r>
        <w:rPr>
          <w:spacing w:val="-1"/>
        </w:rPr>
        <w:t>related</w:t>
      </w:r>
      <w:r>
        <w:t xml:space="preserve"> to </w:t>
      </w:r>
      <w:r>
        <w:rPr>
          <w:spacing w:val="-1"/>
        </w:rPr>
        <w:t>commercial</w:t>
      </w:r>
      <w:r>
        <w:t xml:space="preserve"> </w:t>
      </w:r>
      <w:r>
        <w:rPr>
          <w:spacing w:val="-1"/>
        </w:rPr>
        <w:t>returns,</w:t>
      </w:r>
      <w:r>
        <w:rPr>
          <w:spacing w:val="-6"/>
        </w:rPr>
        <w:t xml:space="preserve"> </w:t>
      </w:r>
      <w:r>
        <w:t xml:space="preserve">debt </w:t>
      </w:r>
      <w:r>
        <w:rPr>
          <w:spacing w:val="-1"/>
        </w:rPr>
        <w:t>neutrality</w:t>
      </w:r>
      <w:r>
        <w:t xml:space="preserve"> and the payment of</w:t>
      </w:r>
      <w:r>
        <w:rPr>
          <w:spacing w:val="4"/>
        </w:rPr>
        <w:t xml:space="preserve"> </w:t>
      </w:r>
      <w:r>
        <w:t>tax equivalents (and not</w:t>
      </w:r>
      <w:r>
        <w:rPr>
          <w:spacing w:val="55"/>
        </w:rPr>
        <w:t xml:space="preserve"> </w:t>
      </w:r>
      <w:r>
        <w:t>only</w:t>
      </w:r>
      <w:r>
        <w:rPr>
          <w:spacing w:val="-2"/>
        </w:rPr>
        <w:t xml:space="preserve"> </w:t>
      </w:r>
      <w:r>
        <w:t>the</w:t>
      </w:r>
      <w:r>
        <w:rPr>
          <w:spacing w:val="-1"/>
        </w:rPr>
        <w:t xml:space="preserve"> broad </w:t>
      </w:r>
      <w:r>
        <w:t>objective</w:t>
      </w:r>
      <w:r>
        <w:rPr>
          <w:spacing w:val="-2"/>
        </w:rPr>
        <w:t xml:space="preserve"> </w:t>
      </w:r>
      <w:r>
        <w:t>of</w:t>
      </w:r>
      <w:r>
        <w:rPr>
          <w:spacing w:val="3"/>
        </w:rPr>
        <w:t xml:space="preserve"> </w:t>
      </w:r>
      <w:r>
        <w:rPr>
          <w:spacing w:val="-1"/>
        </w:rPr>
        <w:t>allocative efficiency).</w:t>
      </w:r>
    </w:p>
    <w:p w:rsidR="00D96B91" w:rsidRDefault="00C2656B">
      <w:pPr>
        <w:pStyle w:val="BodyText"/>
        <w:spacing w:before="170" w:line="260" w:lineRule="exact"/>
        <w:ind w:right="1283"/>
      </w:pPr>
      <w:r>
        <w:rPr>
          <w:spacing w:val="-2"/>
        </w:rPr>
        <w:t>The</w:t>
      </w:r>
      <w:r>
        <w:rPr>
          <w:spacing w:val="-1"/>
        </w:rPr>
        <w:t xml:space="preserve"> </w:t>
      </w:r>
      <w:r>
        <w:rPr>
          <w:spacing w:val="-3"/>
        </w:rPr>
        <w:t>Panel</w:t>
      </w:r>
      <w:r>
        <w:t xml:space="preserve"> notes</w:t>
      </w:r>
      <w:r>
        <w:rPr>
          <w:spacing w:val="-1"/>
        </w:rPr>
        <w:t xml:space="preserve"> that</w:t>
      </w:r>
      <w:r>
        <w:t xml:space="preserve"> its</w:t>
      </w:r>
      <w:r>
        <w:rPr>
          <w:spacing w:val="-1"/>
        </w:rPr>
        <w:t xml:space="preserve"> </w:t>
      </w:r>
      <w:r>
        <w:t>view is</w:t>
      </w:r>
      <w:r>
        <w:rPr>
          <w:spacing w:val="-1"/>
        </w:rPr>
        <w:t xml:space="preserve"> </w:t>
      </w:r>
      <w:r>
        <w:t>consistent with</w:t>
      </w:r>
      <w:r>
        <w:rPr>
          <w:spacing w:val="-1"/>
        </w:rPr>
        <w:t xml:space="preserve"> </w:t>
      </w:r>
      <w:r>
        <w:t>the findings</w:t>
      </w:r>
      <w:r>
        <w:rPr>
          <w:spacing w:val="-1"/>
        </w:rPr>
        <w:t xml:space="preserve"> </w:t>
      </w:r>
      <w:r>
        <w:t>of</w:t>
      </w:r>
      <w:r>
        <w:rPr>
          <w:spacing w:val="4"/>
        </w:rPr>
        <w:t xml:space="preserve"> </w:t>
      </w:r>
      <w:r>
        <w:t>the</w:t>
      </w:r>
      <w:r>
        <w:rPr>
          <w:spacing w:val="-4"/>
        </w:rPr>
        <w:t xml:space="preserve"> </w:t>
      </w:r>
      <w:r>
        <w:rPr>
          <w:spacing w:val="-1"/>
        </w:rPr>
        <w:t>Australian Energy</w:t>
      </w:r>
      <w:r>
        <w:t xml:space="preserve"> </w:t>
      </w:r>
      <w:r>
        <w:rPr>
          <w:spacing w:val="-1"/>
        </w:rPr>
        <w:t>Market Commission</w:t>
      </w:r>
      <w:r>
        <w:rPr>
          <w:spacing w:val="51"/>
        </w:rPr>
        <w:t xml:space="preserve"> </w:t>
      </w:r>
      <w:r>
        <w:t xml:space="preserve">(AEMC) as </w:t>
      </w:r>
      <w:r>
        <w:rPr>
          <w:spacing w:val="-1"/>
        </w:rPr>
        <w:t>part</w:t>
      </w:r>
      <w:r>
        <w:t xml:space="preserve"> of</w:t>
      </w:r>
      <w:r>
        <w:rPr>
          <w:spacing w:val="4"/>
        </w:rPr>
        <w:t xml:space="preserve"> </w:t>
      </w:r>
      <w:r>
        <w:t xml:space="preserve">its </w:t>
      </w:r>
      <w:r>
        <w:rPr>
          <w:spacing w:val="-1"/>
        </w:rPr>
        <w:t>review</w:t>
      </w:r>
      <w:r>
        <w:t xml:space="preserve"> of</w:t>
      </w:r>
      <w:r>
        <w:rPr>
          <w:spacing w:val="4"/>
        </w:rPr>
        <w:t xml:space="preserve"> </w:t>
      </w:r>
      <w:r>
        <w:t xml:space="preserve">the </w:t>
      </w:r>
      <w:r>
        <w:rPr>
          <w:spacing w:val="-2"/>
        </w:rPr>
        <w:t>rate</w:t>
      </w:r>
      <w:r>
        <w:t xml:space="preserve"> of</w:t>
      </w:r>
      <w:r>
        <w:rPr>
          <w:spacing w:val="4"/>
        </w:rPr>
        <w:t xml:space="preserve"> </w:t>
      </w:r>
      <w:r>
        <w:rPr>
          <w:spacing w:val="-1"/>
        </w:rPr>
        <w:t>return</w:t>
      </w:r>
      <w:r>
        <w:t xml:space="preserve"> </w:t>
      </w:r>
      <w:r>
        <w:rPr>
          <w:spacing w:val="-1"/>
        </w:rPr>
        <w:t>provisions</w:t>
      </w:r>
      <w:r>
        <w:t xml:space="preserve"> in the </w:t>
      </w:r>
      <w:r>
        <w:rPr>
          <w:spacing w:val="-1"/>
        </w:rPr>
        <w:t>National</w:t>
      </w:r>
      <w:r>
        <w:t xml:space="preserve"> Gas </w:t>
      </w:r>
      <w:r>
        <w:rPr>
          <w:spacing w:val="-1"/>
        </w:rPr>
        <w:t>Rules</w:t>
      </w:r>
      <w:r>
        <w:t xml:space="preserve"> and </w:t>
      </w:r>
      <w:r>
        <w:rPr>
          <w:spacing w:val="-1"/>
        </w:rPr>
        <w:t>National</w:t>
      </w: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3072" style="width:72.5pt;height:.5pt;mso-position-horizontal-relative:char;mso-position-vertical-relative:line" coordsize="1450,10">
            <v:group id="_x0000_s3073" style="position:absolute;left:5;top:5;width:1440;height:2" coordorigin="5,5" coordsize="1440,2">
              <v:shape id="_x0000_s3074" style="position:absolute;left:5;top:5;width:1440;height:2" coordorigin="5,5" coordsize="1440,0" path="m5,5r1440,e" filled="f" strokeweight=".5pt">
                <v:path arrowok="t"/>
              </v:shape>
            </v:group>
            <w10:wrap type="none"/>
            <w10:anchorlock/>
          </v:group>
        </w:pict>
      </w:r>
    </w:p>
    <w:p w:rsidR="00D96B91" w:rsidRDefault="00C2656B">
      <w:pPr>
        <w:numPr>
          <w:ilvl w:val="0"/>
          <w:numId w:val="63"/>
        </w:numPr>
        <w:tabs>
          <w:tab w:val="left" w:pos="1758"/>
        </w:tabs>
        <w:spacing w:before="45" w:line="192" w:lineRule="exact"/>
        <w:ind w:right="1317" w:hanging="510"/>
        <w:rPr>
          <w:rFonts w:ascii="Avenir Next" w:eastAsia="Avenir Next" w:hAnsi="Avenir Next" w:cs="Avenir Next"/>
          <w:sz w:val="16"/>
          <w:szCs w:val="16"/>
        </w:rPr>
      </w:pPr>
      <w:r>
        <w:rPr>
          <w:rFonts w:ascii="Avenir Next"/>
          <w:spacing w:val="-1"/>
          <w:sz w:val="16"/>
        </w:rPr>
        <w:t>This</w:t>
      </w:r>
      <w:r>
        <w:rPr>
          <w:rFonts w:ascii="Avenir Next"/>
          <w:spacing w:val="-2"/>
          <w:sz w:val="16"/>
        </w:rPr>
        <w:t xml:space="preserve"> </w:t>
      </w:r>
      <w:r>
        <w:rPr>
          <w:rFonts w:ascii="Avenir Next"/>
          <w:sz w:val="16"/>
        </w:rPr>
        <w:t>is</w:t>
      </w:r>
      <w:r>
        <w:rPr>
          <w:rFonts w:ascii="Avenir Next"/>
          <w:spacing w:val="-2"/>
          <w:sz w:val="16"/>
        </w:rPr>
        <w:t xml:space="preserve"> </w:t>
      </w:r>
      <w:r>
        <w:rPr>
          <w:rFonts w:ascii="Avenir Next"/>
          <w:sz w:val="16"/>
        </w:rPr>
        <w:t>an</w:t>
      </w:r>
      <w:r>
        <w:rPr>
          <w:rFonts w:ascii="Avenir Next"/>
          <w:spacing w:val="-1"/>
          <w:sz w:val="16"/>
        </w:rPr>
        <w:t xml:space="preserve"> estimate</w:t>
      </w:r>
      <w:r>
        <w:rPr>
          <w:rFonts w:ascii="Avenir Next"/>
          <w:spacing w:val="-2"/>
          <w:sz w:val="16"/>
        </w:rPr>
        <w:t xml:space="preserve"> </w:t>
      </w:r>
      <w:r>
        <w:rPr>
          <w:rFonts w:ascii="Avenir Next"/>
          <w:sz w:val="16"/>
        </w:rPr>
        <w:t>of</w:t>
      </w:r>
      <w:r>
        <w:rPr>
          <w:rFonts w:ascii="Avenir Next"/>
          <w:spacing w:val="1"/>
          <w:sz w:val="16"/>
        </w:rPr>
        <w:t xml:space="preserve"> </w:t>
      </w:r>
      <w:r>
        <w:rPr>
          <w:rFonts w:ascii="Avenir Next"/>
          <w:sz w:val="16"/>
        </w:rPr>
        <w:t>the</w:t>
      </w:r>
      <w:r>
        <w:rPr>
          <w:rFonts w:ascii="Avenir Next"/>
          <w:spacing w:val="-2"/>
          <w:sz w:val="16"/>
        </w:rPr>
        <w:t xml:space="preserve"> </w:t>
      </w:r>
      <w:r>
        <w:rPr>
          <w:rFonts w:ascii="Avenir Next"/>
          <w:sz w:val="16"/>
        </w:rPr>
        <w:t>financing</w:t>
      </w:r>
      <w:r>
        <w:rPr>
          <w:rFonts w:ascii="Avenir Next"/>
          <w:spacing w:val="-1"/>
          <w:sz w:val="16"/>
        </w:rPr>
        <w:t xml:space="preserve"> </w:t>
      </w:r>
      <w:r>
        <w:rPr>
          <w:rFonts w:ascii="Avenir Next"/>
          <w:sz w:val="16"/>
        </w:rPr>
        <w:t>costs</w:t>
      </w:r>
      <w:r>
        <w:rPr>
          <w:rFonts w:ascii="Avenir Next"/>
          <w:spacing w:val="-2"/>
          <w:sz w:val="16"/>
        </w:rPr>
        <w:t xml:space="preserve"> </w:t>
      </w:r>
      <w:r>
        <w:rPr>
          <w:rFonts w:ascii="Avenir Next"/>
          <w:sz w:val="16"/>
        </w:rPr>
        <w:t>of</w:t>
      </w:r>
      <w:r>
        <w:rPr>
          <w:rFonts w:ascii="Avenir Next"/>
          <w:spacing w:val="1"/>
          <w:sz w:val="16"/>
        </w:rPr>
        <w:t xml:space="preserve"> </w:t>
      </w:r>
      <w:r>
        <w:rPr>
          <w:rFonts w:ascii="Avenir Next"/>
          <w:sz w:val="16"/>
        </w:rPr>
        <w:t>a</w:t>
      </w:r>
      <w:r>
        <w:rPr>
          <w:rFonts w:ascii="Avenir Next"/>
          <w:spacing w:val="-1"/>
          <w:sz w:val="16"/>
        </w:rPr>
        <w:t xml:space="preserve"> </w:t>
      </w:r>
      <w:r>
        <w:rPr>
          <w:rFonts w:ascii="Avenir Next"/>
          <w:sz w:val="16"/>
        </w:rPr>
        <w:t>typical</w:t>
      </w:r>
      <w:r>
        <w:rPr>
          <w:rFonts w:ascii="Avenir Next"/>
          <w:spacing w:val="-2"/>
          <w:sz w:val="16"/>
        </w:rPr>
        <w:t xml:space="preserve"> </w:t>
      </w:r>
      <w:r>
        <w:rPr>
          <w:rFonts w:ascii="Avenir Next"/>
          <w:sz w:val="16"/>
        </w:rPr>
        <w:t>firm</w:t>
      </w:r>
      <w:r>
        <w:rPr>
          <w:rFonts w:ascii="Avenir Next"/>
          <w:spacing w:val="-2"/>
          <w:sz w:val="16"/>
        </w:rPr>
        <w:t xml:space="preserve"> </w:t>
      </w:r>
      <w:r>
        <w:rPr>
          <w:rFonts w:ascii="Avenir Next"/>
          <w:sz w:val="16"/>
        </w:rPr>
        <w:t>with</w:t>
      </w:r>
      <w:r>
        <w:rPr>
          <w:rFonts w:ascii="Avenir Next"/>
          <w:spacing w:val="-1"/>
          <w:sz w:val="16"/>
        </w:rPr>
        <w:t xml:space="preserve"> </w:t>
      </w:r>
      <w:r>
        <w:rPr>
          <w:rFonts w:ascii="Avenir Next"/>
          <w:sz w:val="16"/>
        </w:rPr>
        <w:t>an</w:t>
      </w:r>
      <w:r>
        <w:rPr>
          <w:rFonts w:ascii="Avenir Next"/>
          <w:spacing w:val="-2"/>
          <w:sz w:val="16"/>
        </w:rPr>
        <w:t xml:space="preserve"> </w:t>
      </w:r>
      <w:r>
        <w:rPr>
          <w:rFonts w:ascii="Avenir Next"/>
          <w:spacing w:val="-1"/>
          <w:sz w:val="16"/>
        </w:rPr>
        <w:t>efficient</w:t>
      </w:r>
      <w:r>
        <w:rPr>
          <w:rFonts w:ascii="Avenir Next"/>
          <w:spacing w:val="-2"/>
          <w:sz w:val="16"/>
        </w:rPr>
        <w:t xml:space="preserve"> </w:t>
      </w:r>
      <w:r>
        <w:rPr>
          <w:rFonts w:ascii="Avenir Next"/>
          <w:sz w:val="16"/>
        </w:rPr>
        <w:t>capital</w:t>
      </w:r>
      <w:r>
        <w:rPr>
          <w:rFonts w:ascii="Avenir Next"/>
          <w:spacing w:val="-1"/>
          <w:sz w:val="16"/>
        </w:rPr>
        <w:t xml:space="preserve"> structure.</w:t>
      </w:r>
      <w:r>
        <w:rPr>
          <w:rFonts w:ascii="Avenir Next"/>
          <w:spacing w:val="-7"/>
          <w:sz w:val="16"/>
        </w:rPr>
        <w:t xml:space="preserve"> </w:t>
      </w:r>
      <w:r>
        <w:rPr>
          <w:rFonts w:ascii="Avenir Next"/>
          <w:spacing w:val="-1"/>
          <w:sz w:val="16"/>
        </w:rPr>
        <w:t>Reflecting efficient</w:t>
      </w:r>
      <w:r>
        <w:rPr>
          <w:rFonts w:ascii="Avenir Next"/>
          <w:spacing w:val="-2"/>
          <w:sz w:val="16"/>
        </w:rPr>
        <w:t xml:space="preserve"> </w:t>
      </w:r>
      <w:r>
        <w:rPr>
          <w:rFonts w:ascii="Avenir Next"/>
          <w:sz w:val="16"/>
        </w:rPr>
        <w:t>financing</w:t>
      </w:r>
      <w:r>
        <w:rPr>
          <w:rFonts w:ascii="Avenir Next"/>
          <w:spacing w:val="69"/>
          <w:w w:val="99"/>
          <w:sz w:val="16"/>
        </w:rPr>
        <w:t xml:space="preserve"> </w:t>
      </w:r>
      <w:r>
        <w:rPr>
          <w:rFonts w:ascii="Avenir Next"/>
          <w:sz w:val="16"/>
        </w:rPr>
        <w:t xml:space="preserve">costs allows the </w:t>
      </w:r>
      <w:r>
        <w:rPr>
          <w:rFonts w:ascii="Avenir Next"/>
          <w:spacing w:val="-1"/>
          <w:sz w:val="16"/>
        </w:rPr>
        <w:t>regulated</w:t>
      </w:r>
      <w:r>
        <w:rPr>
          <w:rFonts w:ascii="Avenir Next"/>
          <w:sz w:val="16"/>
        </w:rPr>
        <w:t xml:space="preserve"> service </w:t>
      </w:r>
      <w:r>
        <w:rPr>
          <w:rFonts w:ascii="Avenir Next"/>
          <w:spacing w:val="-1"/>
          <w:sz w:val="16"/>
        </w:rPr>
        <w:t>provider</w:t>
      </w:r>
      <w:r>
        <w:rPr>
          <w:rFonts w:ascii="Avenir Next"/>
          <w:sz w:val="16"/>
        </w:rPr>
        <w:t xml:space="preserve"> to </w:t>
      </w:r>
      <w:r>
        <w:rPr>
          <w:rFonts w:ascii="Avenir Next"/>
          <w:spacing w:val="-1"/>
          <w:sz w:val="16"/>
        </w:rPr>
        <w:t>attract</w:t>
      </w:r>
      <w:r>
        <w:rPr>
          <w:rFonts w:ascii="Avenir Next"/>
          <w:sz w:val="16"/>
        </w:rPr>
        <w:t xml:space="preserve"> the necessary investment capital to maintain a </w:t>
      </w:r>
      <w:r>
        <w:rPr>
          <w:rFonts w:ascii="Avenir Next"/>
          <w:spacing w:val="-1"/>
          <w:sz w:val="16"/>
        </w:rPr>
        <w:t>reliable</w:t>
      </w:r>
      <w:r>
        <w:rPr>
          <w:rFonts w:ascii="Avenir Next"/>
          <w:sz w:val="16"/>
        </w:rPr>
        <w:t xml:space="preserve"> service supply</w:t>
      </w:r>
      <w:r>
        <w:rPr>
          <w:rFonts w:ascii="Avenir Next"/>
          <w:spacing w:val="31"/>
          <w:sz w:val="16"/>
        </w:rPr>
        <w:t xml:space="preserve"> </w:t>
      </w:r>
      <w:r>
        <w:rPr>
          <w:rFonts w:ascii="Avenir Next"/>
          <w:sz w:val="16"/>
        </w:rPr>
        <w:t>while minimising the costs to consumers.</w:t>
      </w:r>
    </w:p>
    <w:p w:rsidR="00D96B91" w:rsidRDefault="00D96B91">
      <w:pPr>
        <w:spacing w:before="12"/>
        <w:rPr>
          <w:rFonts w:ascii="Avenir Next" w:eastAsia="Avenir Next" w:hAnsi="Avenir Next" w:cs="Avenir Next"/>
          <w:sz w:val="10"/>
          <w:szCs w:val="10"/>
        </w:rPr>
      </w:pPr>
    </w:p>
    <w:p w:rsidR="00D96B91" w:rsidRDefault="00C2656B">
      <w:pPr>
        <w:numPr>
          <w:ilvl w:val="0"/>
          <w:numId w:val="63"/>
        </w:numPr>
        <w:tabs>
          <w:tab w:val="left" w:pos="1758"/>
        </w:tabs>
        <w:spacing w:line="192" w:lineRule="exact"/>
        <w:ind w:right="1501" w:hanging="510"/>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pacing w:val="-1"/>
          <w:sz w:val="16"/>
          <w:szCs w:val="16"/>
        </w:rPr>
        <w:t xml:space="preserve"> example,</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IPART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made a</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firm-specific adjustment</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to the</w:t>
      </w:r>
      <w:r>
        <w:rPr>
          <w:rFonts w:ascii="Avenir Next" w:eastAsia="Avenir Next" w:hAnsi="Avenir Next" w:cs="Avenir Next"/>
          <w:spacing w:val="-1"/>
          <w:sz w:val="16"/>
          <w:szCs w:val="16"/>
        </w:rPr>
        <w:t xml:space="preserve"> gearing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ratio </w:t>
      </w:r>
      <w:r>
        <w:rPr>
          <w:rFonts w:ascii="Avenir Next" w:eastAsia="Avenir Next" w:hAnsi="Avenir Next" w:cs="Avenir Next"/>
          <w:sz w:val="16"/>
          <w:szCs w:val="16"/>
        </w:rPr>
        <w:t>used in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its </w:t>
      </w:r>
      <w:r>
        <w:rPr>
          <w:rFonts w:ascii="Avenir Next" w:eastAsia="Avenir Next" w:hAnsi="Avenir Next" w:cs="Avenir Next"/>
          <w:spacing w:val="-1"/>
          <w:sz w:val="16"/>
          <w:szCs w:val="16"/>
        </w:rPr>
        <w:t>estimation</w:t>
      </w:r>
      <w:r>
        <w:rPr>
          <w:rFonts w:ascii="Avenir Next" w:eastAsia="Avenir Next" w:hAnsi="Avenir Next" w:cs="Avenir Next"/>
          <w:sz w:val="16"/>
          <w:szCs w:val="16"/>
        </w:rPr>
        <w:t xml:space="preserve"> of</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2"/>
          <w:sz w:val="16"/>
          <w:szCs w:val="16"/>
        </w:rPr>
        <w:t xml:space="preserve"> WACC</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applying to</w:t>
      </w:r>
      <w:r>
        <w:rPr>
          <w:rFonts w:ascii="Avenir Next" w:eastAsia="Avenir Next" w:hAnsi="Avenir Next" w:cs="Avenir Next"/>
          <w:spacing w:val="55"/>
          <w:sz w:val="16"/>
          <w:szCs w:val="16"/>
        </w:rPr>
        <w:t xml:space="preserve"> </w:t>
      </w:r>
      <w:r>
        <w:rPr>
          <w:rFonts w:ascii="Avenir Next" w:eastAsia="Avenir Next" w:hAnsi="Avenir Next" w:cs="Avenir Next"/>
          <w:sz w:val="16"/>
          <w:szCs w:val="16"/>
        </w:rPr>
        <w:t xml:space="preserve">Essential </w:t>
      </w:r>
      <w:r>
        <w:rPr>
          <w:rFonts w:ascii="Avenir Next" w:eastAsia="Avenir Next" w:hAnsi="Avenir Next" w:cs="Avenir Next"/>
          <w:spacing w:val="-2"/>
          <w:sz w:val="16"/>
          <w:szCs w:val="16"/>
        </w:rPr>
        <w:t>Energy’s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business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2014.</w:t>
      </w:r>
      <w:r>
        <w:rPr>
          <w:rFonts w:ascii="Avenir Next" w:eastAsia="Avenir Next" w:hAnsi="Avenir Next" w:cs="Avenir Next"/>
          <w:spacing w:val="-5"/>
          <w:sz w:val="16"/>
          <w:szCs w:val="16"/>
        </w:rPr>
        <w:t xml:space="preserve"> IPART, </w:t>
      </w:r>
      <w:r>
        <w:rPr>
          <w:rFonts w:ascii="Avenir Next" w:eastAsia="Avenir Next" w:hAnsi="Avenir Next" w:cs="Avenir Next"/>
          <w:sz w:val="16"/>
          <w:szCs w:val="16"/>
        </w:rPr>
        <w:t xml:space="preserve">Essential </w:t>
      </w:r>
      <w:r>
        <w:rPr>
          <w:rFonts w:ascii="Avenir Next" w:eastAsia="Avenir Next" w:hAnsi="Avenir Next" w:cs="Avenir Next"/>
          <w:spacing w:val="-2"/>
          <w:sz w:val="16"/>
          <w:szCs w:val="16"/>
        </w:rPr>
        <w:t>Energy’s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services in </w:t>
      </w:r>
      <w:r>
        <w:rPr>
          <w:rFonts w:ascii="Avenir Next" w:eastAsia="Avenir Next" w:hAnsi="Avenir Next" w:cs="Avenir Next"/>
          <w:spacing w:val="-1"/>
          <w:sz w:val="16"/>
          <w:szCs w:val="16"/>
        </w:rPr>
        <w:t>Broken</w:t>
      </w:r>
      <w:r>
        <w:rPr>
          <w:rFonts w:ascii="Avenir Next" w:eastAsia="Avenir Next" w:hAnsi="Avenir Next" w:cs="Avenir Next"/>
          <w:sz w:val="16"/>
          <w:szCs w:val="16"/>
        </w:rPr>
        <w:t xml:space="preserve"> Hill</w:t>
      </w:r>
    </w:p>
    <w:p w:rsidR="00D96B91" w:rsidRDefault="00C2656B">
      <w:pPr>
        <w:spacing w:line="192" w:lineRule="exact"/>
        <w:ind w:left="1757" w:right="1358"/>
        <w:jc w:val="both"/>
        <w:rPr>
          <w:rFonts w:ascii="Avenir Next" w:eastAsia="Avenir Next" w:hAnsi="Avenir Next" w:cs="Avenir Next"/>
          <w:sz w:val="16"/>
          <w:szCs w:val="16"/>
        </w:rPr>
      </w:pPr>
      <w:r>
        <w:rPr>
          <w:rFonts w:ascii="Avenir Next" w:eastAsia="Avenir Next" w:hAnsi="Avenir Next" w:cs="Avenir Next"/>
          <w:sz w:val="16"/>
          <w:szCs w:val="16"/>
        </w:rPr>
        <w:t>–</w:t>
      </w:r>
      <w:r>
        <w:rPr>
          <w:rFonts w:ascii="Avenir Next" w:eastAsia="Avenir Next" w:hAnsi="Avenir Next" w:cs="Avenir Next"/>
          <w:spacing w:val="-1"/>
          <w:sz w:val="16"/>
          <w:szCs w:val="16"/>
        </w:rPr>
        <w:t xml:space="preserve"> 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2014,</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98.</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 xml:space="preserve">The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also notes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economist,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Stephen</w:t>
      </w:r>
      <w:r>
        <w:rPr>
          <w:rFonts w:ascii="Avenir Next" w:eastAsia="Avenir Next" w:hAnsi="Avenir Next" w:cs="Avenir Next"/>
          <w:sz w:val="16"/>
          <w:szCs w:val="16"/>
        </w:rPr>
        <w:t xml:space="preserve"> King,</w:t>
      </w:r>
      <w:r>
        <w:rPr>
          <w:rFonts w:ascii="Avenir Next" w:eastAsia="Avenir Next" w:hAnsi="Avenir Next" w:cs="Avenir Next"/>
          <w:spacing w:val="-6"/>
          <w:sz w:val="16"/>
          <w:szCs w:val="16"/>
        </w:rPr>
        <w:t xml:space="preserve"> </w:t>
      </w:r>
      <w:r>
        <w:rPr>
          <w:rFonts w:ascii="Avenir Next" w:eastAsia="Avenir Next" w:hAnsi="Avenir Next" w:cs="Avenir Next"/>
          <w:sz w:val="16"/>
          <w:szCs w:val="16"/>
        </w:rPr>
        <w:t xml:space="preserve">has </w:t>
      </w:r>
      <w:r>
        <w:rPr>
          <w:rFonts w:ascii="Avenir Next" w:eastAsia="Avenir Next" w:hAnsi="Avenir Next" w:cs="Avenir Next"/>
          <w:spacing w:val="-1"/>
          <w:sz w:val="16"/>
          <w:szCs w:val="16"/>
        </w:rPr>
        <w:t>taken</w:t>
      </w:r>
      <w:r>
        <w:rPr>
          <w:rFonts w:ascii="Avenir Next" w:eastAsia="Avenir Next" w:hAnsi="Avenir Next" w:cs="Avenir Next"/>
          <w:sz w:val="16"/>
          <w:szCs w:val="16"/>
        </w:rPr>
        <w:t xml:space="preserve"> the view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a (lower)</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firm-</w:t>
      </w:r>
      <w:r>
        <w:rPr>
          <w:rFonts w:ascii="Avenir Next" w:eastAsia="Avenir Next" w:hAnsi="Avenir Next" w:cs="Avenir Next"/>
          <w:spacing w:val="33"/>
          <w:w w:val="99"/>
          <w:sz w:val="16"/>
          <w:szCs w:val="16"/>
        </w:rPr>
        <w:t xml:space="preserve"> </w:t>
      </w:r>
      <w:r>
        <w:rPr>
          <w:rFonts w:ascii="Avenir Next" w:eastAsia="Avenir Next" w:hAnsi="Avenir Next" w:cs="Avenir Next"/>
          <w:sz w:val="16"/>
          <w:szCs w:val="16"/>
        </w:rPr>
        <w:t>specific</w:t>
      </w:r>
      <w:r>
        <w:rPr>
          <w:rFonts w:ascii="Avenir Next" w:eastAsia="Avenir Next" w:hAnsi="Avenir Next" w:cs="Avenir Next"/>
          <w:spacing w:val="-1"/>
          <w:sz w:val="16"/>
          <w:szCs w:val="16"/>
        </w:rPr>
        <w:t xml:space="preserve"> rate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 xml:space="preserve">return </w:t>
      </w:r>
      <w:r>
        <w:rPr>
          <w:rFonts w:ascii="Avenir Next" w:eastAsia="Avenir Next" w:hAnsi="Avenir Next" w:cs="Avenir Next"/>
          <w:sz w:val="16"/>
          <w:szCs w:val="16"/>
        </w:rPr>
        <w:t>should be applied to</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publicly-owned electricity network</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businesses and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prices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(in this case for</w:t>
      </w:r>
      <w:r>
        <w:rPr>
          <w:rFonts w:ascii="Avenir Next" w:eastAsia="Avenir Next" w:hAnsi="Avenir Next" w:cs="Avenir Next"/>
          <w:spacing w:val="26"/>
          <w:sz w:val="16"/>
          <w:szCs w:val="16"/>
        </w:rPr>
        <w:t xml:space="preserve"> </w:t>
      </w:r>
      <w:r>
        <w:rPr>
          <w:rFonts w:ascii="Avenir Next" w:eastAsia="Avenir Next" w:hAnsi="Avenir Next" w:cs="Avenir Next"/>
          <w:sz w:val="16"/>
          <w:szCs w:val="16"/>
        </w:rPr>
        <w:t xml:space="preserve">electricity)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distorted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through</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compensation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 government-owned business for </w:t>
      </w:r>
      <w:r>
        <w:rPr>
          <w:rFonts w:ascii="Avenir Next" w:eastAsia="Avenir Next" w:hAnsi="Avenir Next" w:cs="Avenir Next"/>
          <w:spacing w:val="-1"/>
          <w:sz w:val="16"/>
          <w:szCs w:val="16"/>
        </w:rPr>
        <w:t>sovereign</w:t>
      </w:r>
      <w:r>
        <w:rPr>
          <w:rFonts w:ascii="Avenir Next" w:eastAsia="Avenir Next" w:hAnsi="Avenir Next" w:cs="Avenir Next"/>
          <w:sz w:val="16"/>
          <w:szCs w:val="16"/>
        </w:rPr>
        <w:t xml:space="preserve"> risk,</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 it does not</w:t>
      </w:r>
      <w:r>
        <w:rPr>
          <w:rFonts w:ascii="Avenir Next" w:eastAsia="Avenir Next" w:hAnsi="Avenir Next" w:cs="Avenir Next"/>
          <w:spacing w:val="55"/>
          <w:sz w:val="16"/>
          <w:szCs w:val="16"/>
        </w:rPr>
        <w:t xml:space="preserve"> </w:t>
      </w:r>
      <w:r>
        <w:rPr>
          <w:rFonts w:ascii="Avenir Next" w:eastAsia="Avenir Next" w:hAnsi="Avenir Next" w:cs="Avenir Next"/>
          <w:sz w:val="16"/>
          <w:szCs w:val="16"/>
        </w:rPr>
        <w:t>face.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See </w:t>
      </w:r>
      <w:hyperlink r:id="rId68">
        <w:r>
          <w:rPr>
            <w:rFonts w:ascii="Avenir Next" w:eastAsia="Avenir Next" w:hAnsi="Avenir Next" w:cs="Avenir Next"/>
            <w:color w:val="0778BE"/>
            <w:spacing w:val="-1"/>
            <w:sz w:val="16"/>
            <w:szCs w:val="16"/>
          </w:rPr>
          <w:t>http://economics.com.au/?p=9138</w:t>
        </w:r>
      </w:hyperlink>
      <w:r>
        <w:rPr>
          <w:rFonts w:ascii="Avenir Next" w:eastAsia="Avenir Next" w:hAnsi="Avenir Next" w:cs="Avenir Next"/>
          <w:color w:val="0778BE"/>
          <w:sz w:val="16"/>
          <w:szCs w:val="16"/>
        </w:rPr>
        <w:t xml:space="preserve"> </w:t>
      </w:r>
      <w:r>
        <w:rPr>
          <w:rFonts w:ascii="Avenir Next" w:eastAsia="Avenir Next" w:hAnsi="Avenir Next" w:cs="Avenir Next"/>
          <w:sz w:val="16"/>
          <w:szCs w:val="16"/>
        </w:rPr>
        <w:t xml:space="preserve">and </w:t>
      </w:r>
      <w:hyperlink r:id="rId69">
        <w:r>
          <w:rPr>
            <w:rFonts w:ascii="Avenir Next" w:eastAsia="Avenir Next" w:hAnsi="Avenir Next" w:cs="Avenir Next"/>
            <w:color w:val="0778BE"/>
            <w:spacing w:val="-1"/>
            <w:sz w:val="16"/>
            <w:szCs w:val="16"/>
          </w:rPr>
          <w:t>http://economics.com.au/?p=9198</w:t>
        </w:r>
      </w:hyperlink>
      <w:r>
        <w:rPr>
          <w:rFonts w:ascii="Avenir Next" w:eastAsia="Avenir Next" w:hAnsi="Avenir Next" w:cs="Avenir Next"/>
          <w:spacing w:val="-1"/>
          <w:sz w:val="16"/>
          <w:szCs w:val="16"/>
        </w:rPr>
        <w:t>.</w:t>
      </w:r>
    </w:p>
    <w:p w:rsidR="00D96B91" w:rsidRDefault="00D96B91">
      <w:pPr>
        <w:spacing w:line="192" w:lineRule="exact"/>
        <w:jc w:val="both"/>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370"/>
        <w:rPr>
          <w:sz w:val="11"/>
          <w:szCs w:val="11"/>
        </w:rPr>
      </w:pPr>
      <w:bookmarkStart w:id="142" w:name="10._3_Panel’s_estimation_of_the_WACC"/>
      <w:bookmarkStart w:id="143" w:name="_bookmark90"/>
      <w:bookmarkEnd w:id="142"/>
      <w:bookmarkEnd w:id="143"/>
      <w:r>
        <w:t xml:space="preserve">Electricity </w:t>
      </w:r>
      <w:r>
        <w:rPr>
          <w:spacing w:val="-1"/>
        </w:rPr>
        <w:t>Rules.</w:t>
      </w:r>
      <w:r>
        <w:rPr>
          <w:spacing w:val="-6"/>
        </w:rPr>
        <w:t xml:space="preserve"> </w:t>
      </w:r>
      <w:r>
        <w:t xml:space="preserve">In its 2012 discussion </w:t>
      </w:r>
      <w:r>
        <w:rPr>
          <w:spacing w:val="-2"/>
        </w:rPr>
        <w:t>paper,</w:t>
      </w:r>
      <w:r>
        <w:rPr>
          <w:spacing w:val="-6"/>
        </w:rPr>
        <w:t xml:space="preserve"> </w:t>
      </w:r>
      <w:r>
        <w:t>the</w:t>
      </w:r>
      <w:r>
        <w:rPr>
          <w:spacing w:val="-4"/>
        </w:rPr>
        <w:t xml:space="preserve"> </w:t>
      </w:r>
      <w:r>
        <w:t xml:space="preserve">AEMC cited </w:t>
      </w:r>
      <w:r>
        <w:rPr>
          <w:spacing w:val="-1"/>
        </w:rPr>
        <w:t>several</w:t>
      </w:r>
      <w:r>
        <w:t xml:space="preserve"> </w:t>
      </w:r>
      <w:r>
        <w:rPr>
          <w:spacing w:val="-1"/>
        </w:rPr>
        <w:t>problems</w:t>
      </w:r>
      <w:r>
        <w:t xml:space="preserve"> </w:t>
      </w:r>
      <w:r>
        <w:rPr>
          <w:spacing w:val="-1"/>
        </w:rPr>
        <w:t>that</w:t>
      </w:r>
      <w:r>
        <w:t xml:space="preserve"> </w:t>
      </w:r>
      <w:r>
        <w:rPr>
          <w:spacing w:val="-1"/>
        </w:rPr>
        <w:t>result</w:t>
      </w:r>
      <w:r>
        <w:t xml:space="preserve"> </w:t>
      </w:r>
      <w:r>
        <w:rPr>
          <w:spacing w:val="-1"/>
        </w:rPr>
        <w:t>from</w:t>
      </w:r>
      <w:r>
        <w:rPr>
          <w:spacing w:val="35"/>
        </w:rPr>
        <w:t xml:space="preserve"> </w:t>
      </w:r>
      <w:r>
        <w:rPr>
          <w:rFonts w:cs="Avenir Next"/>
          <w:spacing w:val="-1"/>
        </w:rPr>
        <w:t>discriminating</w:t>
      </w:r>
      <w:r>
        <w:rPr>
          <w:rFonts w:cs="Avenir Next"/>
        </w:rPr>
        <w:t xml:space="preserve"> between public or </w:t>
      </w:r>
      <w:r>
        <w:rPr>
          <w:rFonts w:cs="Avenir Next"/>
          <w:spacing w:val="-1"/>
        </w:rPr>
        <w:t>private</w:t>
      </w:r>
      <w:r>
        <w:rPr>
          <w:rFonts w:cs="Avenir Next"/>
        </w:rPr>
        <w:t xml:space="preserve"> ownership </w:t>
      </w:r>
      <w:r>
        <w:rPr>
          <w:rFonts w:cs="Avenir Next"/>
          <w:spacing w:val="-1"/>
        </w:rPr>
        <w:t>structures</w:t>
      </w:r>
      <w:r>
        <w:rPr>
          <w:rFonts w:cs="Avenir Next"/>
        </w:rPr>
        <w:t xml:space="preserve"> in </w:t>
      </w:r>
      <w:r>
        <w:rPr>
          <w:rFonts w:cs="Avenir Next"/>
          <w:spacing w:val="-1"/>
        </w:rPr>
        <w:t>estimating</w:t>
      </w:r>
      <w:r>
        <w:rPr>
          <w:rFonts w:cs="Avenir Next"/>
        </w:rPr>
        <w:t xml:space="preserve"> the cost of</w:t>
      </w:r>
      <w:r>
        <w:rPr>
          <w:rFonts w:cs="Avenir Next"/>
          <w:spacing w:val="4"/>
        </w:rPr>
        <w:t xml:space="preserve"> </w:t>
      </w:r>
      <w:r>
        <w:rPr>
          <w:rFonts w:cs="Avenir Next"/>
        </w:rPr>
        <w:t>debt,</w:t>
      </w:r>
      <w:r>
        <w:rPr>
          <w:rFonts w:cs="Avenir Next"/>
          <w:spacing w:val="-6"/>
        </w:rPr>
        <w:t xml:space="preserve"> </w:t>
      </w:r>
      <w:r>
        <w:rPr>
          <w:rFonts w:cs="Avenir Next"/>
        </w:rPr>
        <w:t>and</w:t>
      </w:r>
      <w:r>
        <w:rPr>
          <w:rFonts w:cs="Avenir Next"/>
          <w:spacing w:val="61"/>
        </w:rPr>
        <w:t xml:space="preserve"> </w:t>
      </w:r>
      <w:r>
        <w:t xml:space="preserve">found </w:t>
      </w:r>
      <w:r>
        <w:rPr>
          <w:spacing w:val="-1"/>
        </w:rPr>
        <w:t>that</w:t>
      </w:r>
      <w:r>
        <w:t xml:space="preserve"> such </w:t>
      </w:r>
      <w:r>
        <w:rPr>
          <w:spacing w:val="-1"/>
        </w:rPr>
        <w:t>treatment</w:t>
      </w:r>
      <w:r>
        <w:t xml:space="preserve"> “fails to </w:t>
      </w:r>
      <w:r>
        <w:rPr>
          <w:spacing w:val="-1"/>
        </w:rPr>
        <w:t>recognise</w:t>
      </w:r>
      <w:r>
        <w:t xml:space="preserve"> </w:t>
      </w:r>
      <w:r>
        <w:rPr>
          <w:spacing w:val="-1"/>
        </w:rPr>
        <w:t>that</w:t>
      </w:r>
      <w:r>
        <w:t xml:space="preserve"> competitive </w:t>
      </w:r>
      <w:r>
        <w:rPr>
          <w:spacing w:val="-1"/>
        </w:rPr>
        <w:t>neutrality</w:t>
      </w:r>
      <w:r>
        <w:t xml:space="preserve"> principles also apply to </w:t>
      </w:r>
      <w:r>
        <w:rPr>
          <w:spacing w:val="-1"/>
        </w:rPr>
        <w:t>correct</w:t>
      </w:r>
      <w:r>
        <w:rPr>
          <w:spacing w:val="41"/>
        </w:rPr>
        <w:t xml:space="preserve"> </w:t>
      </w:r>
      <w:r>
        <w:rPr>
          <w:spacing w:val="-1"/>
        </w:rPr>
        <w:t>resource</w:t>
      </w:r>
      <w:r>
        <w:t xml:space="preserve"> </w:t>
      </w:r>
      <w:r>
        <w:rPr>
          <w:spacing w:val="-1"/>
        </w:rPr>
        <w:t>allocation</w:t>
      </w:r>
      <w:r>
        <w:t xml:space="preserve"> </w:t>
      </w:r>
      <w:r>
        <w:rPr>
          <w:spacing w:val="-1"/>
        </w:rPr>
        <w:t>distortions</w:t>
      </w:r>
      <w:r>
        <w:t xml:space="preserve"> </w:t>
      </w:r>
      <w:r>
        <w:rPr>
          <w:spacing w:val="-1"/>
        </w:rPr>
        <w:t>that</w:t>
      </w:r>
      <w:r>
        <w:t xml:space="preserve"> can </w:t>
      </w:r>
      <w:r>
        <w:rPr>
          <w:spacing w:val="-1"/>
        </w:rPr>
        <w:t>result</w:t>
      </w:r>
      <w:r>
        <w:t xml:space="preserve"> in the input as well as output </w:t>
      </w:r>
      <w:r>
        <w:rPr>
          <w:spacing w:val="-1"/>
        </w:rPr>
        <w:t>markets</w:t>
      </w:r>
      <w:r>
        <w:t xml:space="preserve"> of</w:t>
      </w:r>
      <w:r>
        <w:rPr>
          <w:spacing w:val="4"/>
        </w:rPr>
        <w:t xml:space="preserve"> </w:t>
      </w:r>
      <w:r>
        <w:t>a government-</w:t>
      </w:r>
      <w:r>
        <w:rPr>
          <w:spacing w:val="47"/>
        </w:rPr>
        <w:t xml:space="preserve"> </w:t>
      </w:r>
      <w:r>
        <w:t>owned</w:t>
      </w:r>
      <w:r>
        <w:rPr>
          <w:spacing w:val="4"/>
        </w:rPr>
        <w:t xml:space="preserve"> </w:t>
      </w:r>
      <w:r>
        <w:t>monopoly</w:t>
      </w:r>
      <w:r>
        <w:rPr>
          <w:spacing w:val="5"/>
        </w:rPr>
        <w:t xml:space="preserve"> </w:t>
      </w:r>
      <w:r>
        <w:rPr>
          <w:spacing w:val="-2"/>
        </w:rPr>
        <w:t>business.”</w:t>
      </w:r>
      <w:r>
        <w:rPr>
          <w:spacing w:val="-2"/>
          <w:position w:val="7"/>
          <w:sz w:val="11"/>
          <w:szCs w:val="11"/>
        </w:rPr>
        <w:t>171</w:t>
      </w:r>
    </w:p>
    <w:p w:rsidR="00D96B91" w:rsidRDefault="00C2656B">
      <w:pPr>
        <w:pStyle w:val="BodyText"/>
        <w:spacing w:before="170" w:line="260" w:lineRule="exact"/>
        <w:ind w:right="1513"/>
      </w:pPr>
      <w:r>
        <w:t xml:space="preserve">All businesses – even publicly-owned </w:t>
      </w:r>
      <w:r>
        <w:rPr>
          <w:spacing w:val="-1"/>
        </w:rPr>
        <w:t>regulated</w:t>
      </w:r>
      <w:r>
        <w:t xml:space="preserve"> monopolies – compete for economic </w:t>
      </w:r>
      <w:r>
        <w:rPr>
          <w:spacing w:val="-1"/>
        </w:rPr>
        <w:t>resources.</w:t>
      </w:r>
      <w:r>
        <w:rPr>
          <w:spacing w:val="-11"/>
        </w:rPr>
        <w:t xml:space="preserve"> </w:t>
      </w:r>
      <w:r>
        <w:rPr>
          <w:spacing w:val="-2"/>
        </w:rPr>
        <w:t>That</w:t>
      </w:r>
      <w:r>
        <w:rPr>
          <w:spacing w:val="28"/>
        </w:rPr>
        <w:t xml:space="preserve"> </w:t>
      </w:r>
      <w:r>
        <w:rPr>
          <w:rFonts w:cs="Avenir Next"/>
        </w:rPr>
        <w:t>is,</w:t>
      </w:r>
      <w:r>
        <w:rPr>
          <w:rFonts w:cs="Avenir Next"/>
          <w:spacing w:val="-6"/>
        </w:rPr>
        <w:t xml:space="preserve"> </w:t>
      </w:r>
      <w:r>
        <w:rPr>
          <w:rFonts w:cs="Avenir Next"/>
        </w:rPr>
        <w:t xml:space="preserve">they compete with their </w:t>
      </w:r>
      <w:r>
        <w:rPr>
          <w:rFonts w:cs="Avenir Next"/>
          <w:spacing w:val="-1"/>
        </w:rPr>
        <w:t>counterparts</w:t>
      </w:r>
      <w:r>
        <w:rPr>
          <w:rFonts w:cs="Avenir Next"/>
        </w:rPr>
        <w:t xml:space="preserve"> and the </w:t>
      </w:r>
      <w:r>
        <w:rPr>
          <w:rFonts w:cs="Avenir Next"/>
          <w:spacing w:val="-1"/>
        </w:rPr>
        <w:t>rest</w:t>
      </w:r>
      <w:r>
        <w:rPr>
          <w:rFonts w:cs="Avenir Next"/>
        </w:rPr>
        <w:t xml:space="preserve"> of</w:t>
      </w:r>
      <w:r>
        <w:rPr>
          <w:rFonts w:cs="Avenir Next"/>
          <w:spacing w:val="4"/>
        </w:rPr>
        <w:t xml:space="preserve"> </w:t>
      </w:r>
      <w:r>
        <w:rPr>
          <w:rFonts w:cs="Avenir Next"/>
        </w:rPr>
        <w:t xml:space="preserve">the economy </w:t>
      </w:r>
      <w:r>
        <w:rPr>
          <w:rFonts w:cs="Avenir Next"/>
          <w:spacing w:val="-1"/>
        </w:rPr>
        <w:t>more</w:t>
      </w:r>
      <w:r>
        <w:rPr>
          <w:rFonts w:cs="Avenir Next"/>
        </w:rPr>
        <w:t xml:space="preserve"> </w:t>
      </w:r>
      <w:r>
        <w:rPr>
          <w:rFonts w:cs="Avenir Next"/>
          <w:spacing w:val="-1"/>
        </w:rPr>
        <w:t>generally</w:t>
      </w:r>
      <w:r>
        <w:rPr>
          <w:rFonts w:cs="Avenir Next"/>
        </w:rPr>
        <w:t xml:space="preserve"> for inputs such</w:t>
      </w:r>
      <w:r>
        <w:rPr>
          <w:rFonts w:cs="Avenir Next"/>
          <w:spacing w:val="31"/>
        </w:rPr>
        <w:t xml:space="preserve"> </w:t>
      </w:r>
      <w:r>
        <w:t xml:space="preserve">as capital and </w:t>
      </w:r>
      <w:r>
        <w:rPr>
          <w:spacing w:val="-2"/>
        </w:rPr>
        <w:t>labour.</w:t>
      </w:r>
      <w:r>
        <w:rPr>
          <w:spacing w:val="-6"/>
        </w:rPr>
        <w:t xml:space="preserve"> </w:t>
      </w:r>
      <w:r>
        <w:t>In principle,</w:t>
      </w:r>
      <w:r>
        <w:rPr>
          <w:spacing w:val="-6"/>
        </w:rPr>
        <w:t xml:space="preserve"> </w:t>
      </w:r>
      <w:r>
        <w:t xml:space="preserve">the </w:t>
      </w:r>
      <w:r>
        <w:rPr>
          <w:spacing w:val="-1"/>
        </w:rPr>
        <w:t>resources</w:t>
      </w:r>
      <w:r>
        <w:t xml:space="preserve"> embodied in the assets of</w:t>
      </w:r>
      <w:r>
        <w:rPr>
          <w:spacing w:val="4"/>
        </w:rPr>
        <w:t xml:space="preserve"> </w:t>
      </w:r>
      <w:r>
        <w:t xml:space="preserve">a </w:t>
      </w:r>
      <w:r>
        <w:rPr>
          <w:spacing w:val="-1"/>
        </w:rPr>
        <w:t>regulated</w:t>
      </w:r>
      <w:r>
        <w:t xml:space="preserve"> </w:t>
      </w:r>
      <w:r>
        <w:rPr>
          <w:spacing w:val="-1"/>
        </w:rPr>
        <w:t>water</w:t>
      </w:r>
      <w:r>
        <w:t xml:space="preserve"> and</w:t>
      </w:r>
      <w:r>
        <w:rPr>
          <w:spacing w:val="23"/>
        </w:rPr>
        <w:t xml:space="preserve"> </w:t>
      </w:r>
      <w:r>
        <w:rPr>
          <w:spacing w:val="-1"/>
        </w:rPr>
        <w:t>sewerage</w:t>
      </w:r>
      <w:r>
        <w:t xml:space="preserve"> business have the same </w:t>
      </w:r>
      <w:r>
        <w:rPr>
          <w:spacing w:val="-1"/>
        </w:rPr>
        <w:t>opportunity</w:t>
      </w:r>
      <w:r>
        <w:t xml:space="preserve"> cost </w:t>
      </w:r>
      <w:r>
        <w:rPr>
          <w:spacing w:val="-1"/>
        </w:rPr>
        <w:t>irrespective</w:t>
      </w:r>
      <w:r>
        <w:t xml:space="preserve"> of</w:t>
      </w:r>
      <w:r>
        <w:rPr>
          <w:spacing w:val="4"/>
        </w:rPr>
        <w:t xml:space="preserve"> </w:t>
      </w:r>
      <w:r>
        <w:rPr>
          <w:spacing w:val="-1"/>
        </w:rPr>
        <w:t>that</w:t>
      </w:r>
      <w:r>
        <w:t xml:space="preserve"> business’ </w:t>
      </w:r>
      <w:r>
        <w:rPr>
          <w:spacing w:val="-1"/>
        </w:rPr>
        <w:t>ownership.</w:t>
      </w:r>
    </w:p>
    <w:p w:rsidR="00D96B91" w:rsidRDefault="00D96B91">
      <w:pPr>
        <w:spacing w:before="9"/>
        <w:rPr>
          <w:rFonts w:ascii="Avenir Next" w:eastAsia="Avenir Next" w:hAnsi="Avenir Next" w:cs="Avenir Next"/>
          <w:sz w:val="29"/>
          <w:szCs w:val="29"/>
        </w:rPr>
      </w:pPr>
    </w:p>
    <w:p w:rsidR="00D96B91" w:rsidRDefault="00C2656B">
      <w:pPr>
        <w:pStyle w:val="Heading4"/>
      </w:pPr>
      <w:r>
        <w:rPr>
          <w:color w:val="0778BE"/>
        </w:rPr>
        <w:t>10.</w:t>
      </w:r>
      <w:r>
        <w:rPr>
          <w:color w:val="0778BE"/>
          <w:spacing w:val="-9"/>
        </w:rPr>
        <w:t xml:space="preserve"> </w:t>
      </w:r>
      <w:r>
        <w:rPr>
          <w:color w:val="0778BE"/>
        </w:rPr>
        <w:t>3</w:t>
      </w:r>
      <w:r>
        <w:rPr>
          <w:color w:val="0778BE"/>
          <w:spacing w:val="39"/>
        </w:rPr>
        <w:t xml:space="preserve"> </w:t>
      </w:r>
      <w:r>
        <w:rPr>
          <w:color w:val="0778BE"/>
          <w:spacing w:val="-5"/>
        </w:rPr>
        <w:t>Panel’s</w:t>
      </w:r>
      <w:r>
        <w:rPr>
          <w:color w:val="0778BE"/>
        </w:rPr>
        <w:t xml:space="preserve"> </w:t>
      </w:r>
      <w:r>
        <w:rPr>
          <w:color w:val="0778BE"/>
          <w:spacing w:val="-1"/>
        </w:rPr>
        <w:t>estimation</w:t>
      </w:r>
      <w:r>
        <w:rPr>
          <w:color w:val="0778BE"/>
        </w:rPr>
        <w:t xml:space="preserve"> of</w:t>
      </w:r>
      <w:r>
        <w:rPr>
          <w:color w:val="0778BE"/>
          <w:spacing w:val="7"/>
        </w:rPr>
        <w:t xml:space="preserve"> </w:t>
      </w:r>
      <w:r>
        <w:rPr>
          <w:color w:val="0778BE"/>
        </w:rPr>
        <w:t>the</w:t>
      </w:r>
      <w:r>
        <w:rPr>
          <w:color w:val="0778BE"/>
          <w:spacing w:val="-4"/>
        </w:rPr>
        <w:t xml:space="preserve"> WACC</w:t>
      </w:r>
    </w:p>
    <w:p w:rsidR="00D96B91" w:rsidRDefault="00C2656B">
      <w:pPr>
        <w:pStyle w:val="BodyText"/>
        <w:spacing w:before="55" w:line="260" w:lineRule="exact"/>
        <w:ind w:right="1270"/>
        <w:rPr>
          <w:rFonts w:cs="Avenir Next"/>
        </w:rPr>
      </w:pPr>
      <w:r>
        <w:t>Under</w:t>
      </w:r>
      <w:r>
        <w:rPr>
          <w:spacing w:val="-1"/>
        </w:rPr>
        <w:t xml:space="preserve"> </w:t>
      </w:r>
      <w:r>
        <w:t xml:space="preserve">the benchmark </w:t>
      </w:r>
      <w:r>
        <w:rPr>
          <w:spacing w:val="-1"/>
        </w:rPr>
        <w:t xml:space="preserve">efficient </w:t>
      </w:r>
      <w:r>
        <w:t xml:space="preserve">entity </w:t>
      </w:r>
      <w:r>
        <w:rPr>
          <w:spacing w:val="-1"/>
        </w:rPr>
        <w:t>approach,</w:t>
      </w:r>
      <w:r>
        <w:rPr>
          <w:spacing w:val="-6"/>
        </w:rPr>
        <w:t xml:space="preserve"> </w:t>
      </w:r>
      <w:r>
        <w:t>the</w:t>
      </w:r>
      <w:r>
        <w:rPr>
          <w:spacing w:val="-4"/>
        </w:rPr>
        <w:t xml:space="preserve"> </w:t>
      </w:r>
      <w:r>
        <w:rPr>
          <w:spacing w:val="-3"/>
        </w:rPr>
        <w:t>WACC</w:t>
      </w:r>
      <w:r>
        <w:t xml:space="preserve"> is </w:t>
      </w:r>
      <w:r>
        <w:rPr>
          <w:spacing w:val="-1"/>
        </w:rPr>
        <w:t xml:space="preserve">calculated </w:t>
      </w:r>
      <w:r>
        <w:t>as the sum</w:t>
      </w:r>
      <w:r>
        <w:rPr>
          <w:spacing w:val="-1"/>
        </w:rPr>
        <w:t xml:space="preserve"> </w:t>
      </w:r>
      <w:r>
        <w:t>of</w:t>
      </w:r>
      <w:r>
        <w:rPr>
          <w:spacing w:val="4"/>
        </w:rPr>
        <w:t xml:space="preserve"> </w:t>
      </w:r>
      <w:r>
        <w:t xml:space="preserve">the </w:t>
      </w:r>
      <w:r>
        <w:rPr>
          <w:rFonts w:cs="Avenir Next"/>
          <w:b/>
          <w:bCs/>
        </w:rPr>
        <w:t>cost</w:t>
      </w:r>
      <w:r>
        <w:rPr>
          <w:rFonts w:cs="Avenir Next"/>
          <w:b/>
          <w:bCs/>
          <w:spacing w:val="-1"/>
        </w:rPr>
        <w:t xml:space="preserve"> </w:t>
      </w:r>
      <w:r>
        <w:rPr>
          <w:rFonts w:cs="Avenir Next"/>
          <w:b/>
          <w:bCs/>
        </w:rPr>
        <w:t>of</w:t>
      </w:r>
      <w:r>
        <w:rPr>
          <w:rFonts w:cs="Avenir Next"/>
          <w:b/>
          <w:bCs/>
          <w:spacing w:val="4"/>
        </w:rPr>
        <w:t xml:space="preserve"> </w:t>
      </w:r>
      <w:r>
        <w:rPr>
          <w:rFonts w:cs="Avenir Next"/>
          <w:b/>
          <w:bCs/>
        </w:rPr>
        <w:t>debt</w:t>
      </w:r>
      <w:r>
        <w:rPr>
          <w:rFonts w:cs="Avenir Next"/>
          <w:b/>
          <w:bCs/>
          <w:spacing w:val="41"/>
        </w:rPr>
        <w:t xml:space="preserve"> </w:t>
      </w:r>
      <w:r>
        <w:rPr>
          <w:rFonts w:cs="Avenir Next"/>
        </w:rPr>
        <w:t>and</w:t>
      </w:r>
      <w:r>
        <w:rPr>
          <w:rFonts w:cs="Avenir Next"/>
          <w:spacing w:val="-1"/>
        </w:rPr>
        <w:t xml:space="preserve"> </w:t>
      </w:r>
      <w:r>
        <w:rPr>
          <w:rFonts w:cs="Avenir Next"/>
          <w:b/>
          <w:bCs/>
        </w:rPr>
        <w:t>the cost</w:t>
      </w:r>
      <w:r>
        <w:rPr>
          <w:rFonts w:cs="Avenir Next"/>
          <w:b/>
          <w:bCs/>
          <w:spacing w:val="-1"/>
        </w:rPr>
        <w:t xml:space="preserve"> </w:t>
      </w:r>
      <w:r>
        <w:rPr>
          <w:rFonts w:cs="Avenir Next"/>
          <w:b/>
          <w:bCs/>
        </w:rPr>
        <w:t>of</w:t>
      </w:r>
      <w:r>
        <w:rPr>
          <w:rFonts w:cs="Avenir Next"/>
          <w:b/>
          <w:bCs/>
          <w:spacing w:val="4"/>
        </w:rPr>
        <w:t xml:space="preserve"> </w:t>
      </w:r>
      <w:r>
        <w:rPr>
          <w:rFonts w:cs="Avenir Next"/>
          <w:b/>
          <w:bCs/>
        </w:rPr>
        <w:t>equity</w:t>
      </w:r>
      <w:r>
        <w:rPr>
          <w:rFonts w:cs="Avenir Next"/>
          <w:b/>
          <w:bCs/>
          <w:spacing w:val="-1"/>
        </w:rPr>
        <w:t xml:space="preserve"> </w:t>
      </w:r>
      <w:r>
        <w:t>of</w:t>
      </w:r>
      <w:r>
        <w:rPr>
          <w:spacing w:val="3"/>
        </w:rPr>
        <w:t xml:space="preserve"> </w:t>
      </w:r>
      <w:r>
        <w:t xml:space="preserve">a benchmark </w:t>
      </w:r>
      <w:r>
        <w:rPr>
          <w:spacing w:val="-2"/>
        </w:rPr>
        <w:t>entity,</w:t>
      </w:r>
      <w:r>
        <w:rPr>
          <w:spacing w:val="-7"/>
        </w:rPr>
        <w:t xml:space="preserve"> </w:t>
      </w:r>
      <w:r>
        <w:t>weighted by</w:t>
      </w:r>
      <w:r>
        <w:rPr>
          <w:spacing w:val="-1"/>
        </w:rPr>
        <w:t xml:space="preserve"> </w:t>
      </w:r>
      <w:r>
        <w:t xml:space="preserve">the </w:t>
      </w:r>
      <w:r>
        <w:rPr>
          <w:spacing w:val="-1"/>
        </w:rPr>
        <w:t xml:space="preserve">proportions </w:t>
      </w:r>
      <w:r>
        <w:t>of</w:t>
      </w:r>
      <w:r>
        <w:rPr>
          <w:spacing w:val="4"/>
        </w:rPr>
        <w:t xml:space="preserve"> </w:t>
      </w:r>
      <w:r>
        <w:t>debt</w:t>
      </w:r>
      <w:r>
        <w:rPr>
          <w:spacing w:val="-1"/>
        </w:rPr>
        <w:t xml:space="preserve"> </w:t>
      </w:r>
      <w:r>
        <w:t>and equity</w:t>
      </w:r>
      <w:r>
        <w:rPr>
          <w:spacing w:val="-1"/>
        </w:rPr>
        <w:t xml:space="preserve"> </w:t>
      </w:r>
      <w:r>
        <w:t>financing</w:t>
      </w:r>
      <w:r>
        <w:rPr>
          <w:spacing w:val="21"/>
          <w:w w:val="99"/>
        </w:rPr>
        <w:t xml:space="preserve"> </w:t>
      </w:r>
      <w:r>
        <w:t>in</w:t>
      </w:r>
      <w:r>
        <w:rPr>
          <w:spacing w:val="-1"/>
        </w:rPr>
        <w:t xml:space="preserve"> </w:t>
      </w:r>
      <w:r>
        <w:t>the</w:t>
      </w:r>
      <w:r>
        <w:rPr>
          <w:spacing w:val="-1"/>
        </w:rPr>
        <w:t xml:space="preserve"> </w:t>
      </w:r>
      <w:r>
        <w:rPr>
          <w:spacing w:val="-2"/>
        </w:rPr>
        <w:t>entity’s</w:t>
      </w:r>
      <w:r>
        <w:rPr>
          <w:spacing w:val="-1"/>
        </w:rPr>
        <w:t xml:space="preserve"> </w:t>
      </w:r>
      <w:r>
        <w:t>capital</w:t>
      </w:r>
      <w:r>
        <w:rPr>
          <w:spacing w:val="-1"/>
        </w:rPr>
        <w:t xml:space="preserve"> structure.</w:t>
      </w:r>
      <w:r>
        <w:rPr>
          <w:spacing w:val="-7"/>
        </w:rPr>
        <w:t xml:space="preserve"> </w:t>
      </w:r>
      <w:r>
        <w:t>In</w:t>
      </w:r>
      <w:r>
        <w:rPr>
          <w:spacing w:val="-1"/>
        </w:rPr>
        <w:t xml:space="preserve"> </w:t>
      </w:r>
      <w:r>
        <w:t>line</w:t>
      </w:r>
      <w:r>
        <w:rPr>
          <w:spacing w:val="-1"/>
        </w:rPr>
        <w:t xml:space="preserve"> </w:t>
      </w:r>
      <w:r>
        <w:t>with</w:t>
      </w:r>
      <w:r>
        <w:rPr>
          <w:spacing w:val="-1"/>
        </w:rPr>
        <w:t xml:space="preserve"> </w:t>
      </w:r>
      <w:r>
        <w:t>common</w:t>
      </w:r>
      <w:r>
        <w:rPr>
          <w:spacing w:val="-1"/>
        </w:rPr>
        <w:t xml:space="preserve"> regulatory practice,</w:t>
      </w:r>
      <w:r>
        <w:rPr>
          <w:spacing w:val="-7"/>
        </w:rPr>
        <w:t xml:space="preserve"> </w:t>
      </w:r>
      <w:r>
        <w:t>the</w:t>
      </w:r>
      <w:r>
        <w:rPr>
          <w:spacing w:val="-1"/>
        </w:rPr>
        <w:t xml:space="preserve"> </w:t>
      </w:r>
      <w:r>
        <w:rPr>
          <w:spacing w:val="-3"/>
        </w:rPr>
        <w:t>Panel</w:t>
      </w:r>
      <w:r>
        <w:rPr>
          <w:spacing w:val="-1"/>
        </w:rPr>
        <w:t xml:space="preserve"> estimated </w:t>
      </w:r>
      <w:r>
        <w:t>the</w:t>
      </w:r>
      <w:r>
        <w:rPr>
          <w:spacing w:val="-1"/>
        </w:rPr>
        <w:t xml:space="preserve"> </w:t>
      </w:r>
      <w:r>
        <w:t>post-tax</w:t>
      </w:r>
      <w:r>
        <w:rPr>
          <w:spacing w:val="65"/>
        </w:rPr>
        <w:t xml:space="preserve"> </w:t>
      </w:r>
      <w:r>
        <w:rPr>
          <w:rFonts w:cs="Avenir Next"/>
          <w:spacing w:val="-3"/>
        </w:rPr>
        <w:t>WACC</w:t>
      </w:r>
      <w:r>
        <w:rPr>
          <w:rFonts w:cs="Avenir Next"/>
        </w:rPr>
        <w:t xml:space="preserve"> for this </w:t>
      </w:r>
      <w:r>
        <w:rPr>
          <w:rFonts w:cs="Avenir Next"/>
          <w:spacing w:val="-1"/>
        </w:rPr>
        <w:t>regulatory</w:t>
      </w:r>
      <w:r>
        <w:rPr>
          <w:rFonts w:cs="Avenir Next"/>
        </w:rPr>
        <w:t xml:space="preserve"> period using the following formula:</w:t>
      </w:r>
    </w:p>
    <w:p w:rsidR="00C74EAA" w:rsidRPr="00F75F7B" w:rsidRDefault="00C74EAA" w:rsidP="00C74EAA"/>
    <w:p w:rsidR="00C74EAA" w:rsidRPr="00F75F7B" w:rsidRDefault="00C74EAA" w:rsidP="00C74EAA">
      <w:pPr>
        <w:jc w:val="center"/>
      </w:pPr>
      <m:oMathPara>
        <m:oMathParaPr>
          <m:jc m:val="center"/>
        </m:oMathParaPr>
        <m:oMath>
          <m:r>
            <m:rPr>
              <m:nor/>
            </m:rPr>
            <w:rPr>
              <w:rFonts w:ascii="Cambria Math" w:hAnsi="Cambria Math"/>
            </w:rPr>
            <m:t xml:space="preserve">WACC </m:t>
          </m:r>
          <m:r>
            <w:rPr>
              <w:rFonts w:ascii="Cambria Math" w:hAnsi="Cambria Math"/>
            </w:rPr>
            <m:t>=E</m:t>
          </m:r>
          <m:d>
            <m:dPr>
              <m:ctrlPr>
                <w:rPr>
                  <w:rFonts w:ascii="Cambria Math" w:hAnsi="Cambria Math"/>
                  <w:i/>
                </w:rPr>
              </m:ctrlPr>
            </m:dPr>
            <m:e>
              <m:sSub>
                <m:sSubPr>
                  <m:ctrlPr>
                    <w:rPr>
                      <w:rFonts w:ascii="Cambria Math" w:eastAsia="Times New Roman" w:hAnsi="Cambria Math"/>
                      <w:i/>
                      <w:szCs w:val="21"/>
                      <w:lang w:eastAsia="en-AU"/>
                    </w:rPr>
                  </m:ctrlPr>
                </m:sSubPr>
                <m:e>
                  <m:r>
                    <w:rPr>
                      <w:rFonts w:ascii="Cambria Math" w:hAnsi="Cambria Math"/>
                    </w:rPr>
                    <m:t>R</m:t>
                  </m:r>
                </m:e>
                <m:sub>
                  <m:r>
                    <w:rPr>
                      <w:rFonts w:ascii="Cambria Math" w:hAnsi="Cambria Math"/>
                    </w:rPr>
                    <m:t>d</m:t>
                  </m:r>
                </m:sub>
              </m:sSub>
            </m:e>
          </m:d>
          <m:r>
            <m:rPr>
              <m:nor/>
            </m:rPr>
            <w:rPr>
              <w:rFonts w:ascii="Cambria Math" w:hAnsi="Cambria Math"/>
            </w:rPr>
            <m:t xml:space="preserve"> </m:t>
          </m:r>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+E(</m:t>
          </m:r>
          <m:sSub>
            <m:sSubPr>
              <m:ctrlPr>
                <w:rPr>
                  <w:rFonts w:ascii="Cambria Math" w:eastAsia="Times New Roman" w:hAnsi="Cambria Math"/>
                  <w:i/>
                  <w:szCs w:val="21"/>
                  <w:lang w:eastAsia="en-AU"/>
                </w:rPr>
              </m:ctrlPr>
            </m:sSubPr>
            <m:e>
              <m:r>
                <w:rPr>
                  <w:rFonts w:ascii="Cambria Math" w:hAnsi="Cambria Math"/>
                </w:rPr>
                <m:t>R</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V</m:t>
              </m:r>
            </m:den>
          </m:f>
          <m:r>
            <w:rPr>
              <w:rFonts w:ascii="Cambria Math" w:hAnsi="Cambria Math"/>
            </w:rPr>
            <m:t xml:space="preserve"> </m:t>
          </m:r>
        </m:oMath>
      </m:oMathPara>
    </w:p>
    <w:p w:rsidR="00C74EAA" w:rsidRPr="00C74EAA" w:rsidRDefault="00C74EAA" w:rsidP="00C74EAA">
      <w:pPr>
        <w:pStyle w:val="BodyText"/>
        <w:spacing w:before="80" w:line="260" w:lineRule="exact"/>
        <w:ind w:right="1548"/>
        <w:rPr>
          <w:rFonts w:cs="Avenir Next"/>
        </w:rPr>
      </w:pPr>
      <w:r w:rsidRPr="00C74EAA">
        <w:rPr>
          <w:rFonts w:cs="Avenir Next"/>
        </w:rPr>
        <w:t xml:space="preserve">Where: </w:t>
      </w:r>
    </w:p>
    <w:p w:rsidR="00C74EAA" w:rsidRPr="00C74EAA" w:rsidRDefault="00C74EAA" w:rsidP="00C74EAA">
      <w:pPr>
        <w:pStyle w:val="BodyText"/>
        <w:spacing w:before="80" w:line="260" w:lineRule="exact"/>
        <w:ind w:right="1548"/>
        <w:rPr>
          <w:rFonts w:cs="Avenir Next"/>
        </w:rPr>
      </w:pPr>
      <m:oMath>
        <m:r>
          <m:rPr>
            <m:sty m:val="p"/>
          </m:rPr>
          <w:rPr>
            <w:rFonts w:ascii="Cambria Math" w:hAnsi="Cambria Math" w:cs="Avenir Next"/>
          </w:rPr>
          <m:t>E</m:t>
        </m:r>
        <m:d>
          <m:dPr>
            <m:ctrlPr>
              <w:rPr>
                <w:rFonts w:ascii="Cambria Math" w:hAnsi="Cambria Math" w:cs="Avenir Next"/>
              </w:rPr>
            </m:ctrlPr>
          </m:dPr>
          <m:e>
            <m:sSub>
              <m:sSubPr>
                <m:ctrlPr>
                  <w:rPr>
                    <w:rFonts w:ascii="Cambria Math" w:hAnsi="Cambria Math" w:cs="Avenir Next"/>
                  </w:rPr>
                </m:ctrlPr>
              </m:sSubPr>
              <m:e>
                <m:r>
                  <m:rPr>
                    <m:sty m:val="p"/>
                  </m:rPr>
                  <w:rPr>
                    <w:rFonts w:ascii="Cambria Math" w:hAnsi="Cambria Math" w:cs="Avenir Next"/>
                  </w:rPr>
                  <m:t>R</m:t>
                </m:r>
              </m:e>
              <m:sub>
                <m:r>
                  <m:rPr>
                    <m:sty m:val="p"/>
                  </m:rPr>
                  <w:rPr>
                    <w:rFonts w:ascii="Cambria Math" w:hAnsi="Cambria Math" w:cs="Avenir Next"/>
                  </w:rPr>
                  <m:t>d</m:t>
                </m:r>
              </m:sub>
            </m:sSub>
          </m:e>
        </m:d>
        <m:r>
          <m:rPr>
            <m:nor/>
          </m:rPr>
          <w:rPr>
            <w:rFonts w:cs="Avenir Next"/>
          </w:rPr>
          <m:t xml:space="preserve"> </m:t>
        </m:r>
      </m:oMath>
      <w:r w:rsidRPr="00C74EAA">
        <w:rPr>
          <w:rFonts w:cs="Avenir Next"/>
        </w:rPr>
        <w:t xml:space="preserve">is the expected cost of debt, </w:t>
      </w:r>
    </w:p>
    <w:p w:rsidR="00C74EAA" w:rsidRPr="00C74EAA" w:rsidRDefault="00C74EAA" w:rsidP="00C74EAA">
      <w:pPr>
        <w:pStyle w:val="BodyText"/>
        <w:spacing w:before="80" w:line="260" w:lineRule="exact"/>
        <w:ind w:right="1548"/>
        <w:rPr>
          <w:rFonts w:cs="Avenir Next"/>
        </w:rPr>
      </w:pPr>
      <m:oMath>
        <m:r>
          <m:rPr>
            <m:sty m:val="p"/>
          </m:rPr>
          <w:rPr>
            <w:rFonts w:ascii="Cambria Math" w:hAnsi="Cambria Math" w:cs="Avenir Next"/>
          </w:rPr>
          <m:t>E</m:t>
        </m:r>
        <m:r>
          <m:rPr>
            <m:sty m:val="p"/>
          </m:rPr>
          <w:rPr>
            <w:rFonts w:ascii="Cambria Math" w:cs="Avenir Next"/>
          </w:rPr>
          <m:t>(</m:t>
        </m:r>
        <m:sSub>
          <m:sSubPr>
            <m:ctrlPr>
              <w:rPr>
                <w:rFonts w:ascii="Cambria Math" w:cs="Avenir Next"/>
              </w:rPr>
            </m:ctrlPr>
          </m:sSubPr>
          <m:e>
            <m:r>
              <m:rPr>
                <m:sty m:val="p"/>
              </m:rPr>
              <w:rPr>
                <w:rFonts w:ascii="Cambria Math" w:hAnsi="Cambria Math" w:cs="Avenir Next"/>
              </w:rPr>
              <m:t>R</m:t>
            </m:r>
          </m:e>
          <m:sub>
            <m:r>
              <m:rPr>
                <m:sty m:val="p"/>
              </m:rPr>
              <w:rPr>
                <w:rFonts w:ascii="Cambria Math" w:hAnsi="Cambria Math" w:cs="Avenir Next"/>
              </w:rPr>
              <m:t>e</m:t>
            </m:r>
          </m:sub>
        </m:sSub>
        <m:r>
          <m:rPr>
            <m:sty m:val="p"/>
          </m:rPr>
          <w:rPr>
            <w:rFonts w:ascii="Cambria Math" w:cs="Avenir Next"/>
          </w:rPr>
          <m:t>)</m:t>
        </m:r>
      </m:oMath>
      <w:r w:rsidRPr="00C74EAA">
        <w:rPr>
          <w:rFonts w:cs="Avenir Next"/>
        </w:rPr>
        <w:t xml:space="preserve"> is the expected cost of equity, and </w:t>
      </w:r>
    </w:p>
    <w:p w:rsidR="00C74EAA" w:rsidRPr="00C74EAA" w:rsidRDefault="00C74EAA" w:rsidP="00C74EAA">
      <w:pPr>
        <w:ind w:left="1276"/>
        <w:rPr>
          <w:rFonts w:ascii="Avenir Next" w:eastAsia="Avenir Next" w:hAnsi="Avenir Next" w:cs="Avenir Next"/>
          <w:sz w:val="20"/>
          <w:szCs w:val="20"/>
        </w:rPr>
      </w:pPr>
      <m:oMath>
        <m:f>
          <m:fPr>
            <m:ctrlPr>
              <w:rPr>
                <w:rFonts w:ascii="Cambria Math" w:hAnsi="Avenir Next"/>
              </w:rPr>
            </m:ctrlPr>
          </m:fPr>
          <m:num>
            <m:r>
              <m:rPr>
                <m:sty m:val="p"/>
              </m:rPr>
              <w:rPr>
                <w:rFonts w:ascii="Cambria Math" w:hAnsi="Avenir Next"/>
              </w:rPr>
              <m:t>D</m:t>
            </m:r>
          </m:num>
          <m:den>
            <m:r>
              <m:rPr>
                <m:sty m:val="p"/>
              </m:rPr>
              <w:rPr>
                <w:rFonts w:ascii="Cambria Math" w:hAnsi="Avenir Next"/>
              </w:rPr>
              <m:t>V</m:t>
            </m:r>
          </m:den>
        </m:f>
      </m:oMath>
      <w:r w:rsidRPr="00F75F7B">
        <w:t xml:space="preserve"> </w:t>
      </w:r>
      <w:r w:rsidRPr="00C74EAA">
        <w:rPr>
          <w:rFonts w:ascii="Avenir Next" w:eastAsia="Avenir Next" w:hAnsi="Avenir Next" w:cs="Avenir Next"/>
          <w:sz w:val="20"/>
          <w:szCs w:val="20"/>
        </w:rPr>
        <w:t>and</w:t>
      </w:r>
      <w:r w:rsidRPr="00C74EAA">
        <w:rPr>
          <w:rFonts w:ascii="Avenir Next" w:hAnsi="Avenir Next"/>
        </w:rPr>
        <w:t xml:space="preserve"> </w:t>
      </w:r>
      <m:oMath>
        <m:f>
          <m:fPr>
            <m:ctrlPr>
              <w:rPr>
                <w:rFonts w:ascii="Cambria Math" w:hAnsi="Avenir Next"/>
              </w:rPr>
            </m:ctrlPr>
          </m:fPr>
          <m:num>
            <m:r>
              <m:rPr>
                <m:sty m:val="p"/>
              </m:rPr>
              <w:rPr>
                <w:rFonts w:ascii="Cambria Math" w:hAnsi="Avenir Next"/>
              </w:rPr>
              <m:t>E</m:t>
            </m:r>
          </m:num>
          <m:den>
            <m:r>
              <m:rPr>
                <m:sty m:val="p"/>
              </m:rPr>
              <w:rPr>
                <w:rFonts w:ascii="Cambria Math" w:hAnsi="Avenir Next"/>
              </w:rPr>
              <m:t>V</m:t>
            </m:r>
          </m:den>
        </m:f>
      </m:oMath>
      <w:r w:rsidRPr="00F75F7B">
        <w:t xml:space="preserve"> </w:t>
      </w:r>
      <w:r w:rsidRPr="00C74EAA">
        <w:rPr>
          <w:rFonts w:ascii="Avenir Next" w:eastAsia="Avenir Next" w:hAnsi="Avenir Next" w:cs="Avenir Next"/>
          <w:sz w:val="20"/>
          <w:szCs w:val="20"/>
        </w:rPr>
        <w:t>are the proportions of debt and equity in the entity’s capital structure, respectively.</w:t>
      </w:r>
    </w:p>
    <w:p w:rsidR="00D96B91" w:rsidRDefault="00D96B91" w:rsidP="00C74EAA">
      <w:pPr>
        <w:spacing w:line="260" w:lineRule="exact"/>
        <w:ind w:left="1276"/>
        <w:rPr>
          <w:rFonts w:ascii="Avenir Next" w:eastAsia="Avenir Next" w:hAnsi="Avenir Next" w:cs="Avenir Next"/>
        </w:rPr>
        <w:sectPr w:rsidR="00D96B91">
          <w:pgSz w:w="11910" w:h="16840"/>
          <w:pgMar w:top="1200" w:right="0" w:bottom="1020" w:left="0" w:header="0" w:footer="829" w:gutter="0"/>
          <w:cols w:space="720"/>
        </w:sectPr>
      </w:pPr>
    </w:p>
    <w:p w:rsidR="00C74EAA" w:rsidRDefault="00C74EAA" w:rsidP="00C74EAA">
      <w:pPr>
        <w:spacing w:line="206" w:lineRule="exact"/>
        <w:ind w:left="1276"/>
        <w:rPr>
          <w:rFonts w:ascii="Cambria" w:eastAsia="Cambria" w:hAnsi="Cambria" w:cs="Cambria"/>
        </w:rPr>
        <w:sectPr w:rsidR="00C74EAA">
          <w:type w:val="continuous"/>
          <w:pgSz w:w="11910" w:h="16840"/>
          <w:pgMar w:top="0" w:right="0" w:bottom="0" w:left="0" w:header="720" w:footer="720" w:gutter="0"/>
          <w:cols w:num="2" w:space="720" w:equalWidth="0">
            <w:col w:w="6314" w:space="40"/>
            <w:col w:w="5556"/>
          </w:cols>
        </w:sectPr>
      </w:pPr>
      <w:r>
        <w:rPr>
          <w:rFonts w:ascii="Cambria" w:eastAsia="Cambria" w:hAnsi="Cambria" w:cs="Cambria"/>
        </w:rPr>
        <w:tab/>
      </w:r>
      <w:r>
        <w:rPr>
          <w:rFonts w:ascii="Cambria" w:eastAsia="Cambria" w:hAnsi="Cambria" w:cs="Cambria"/>
        </w:rPr>
        <w:tab/>
      </w:r>
    </w:p>
    <w:p w:rsidR="00D96B91" w:rsidRDefault="00C2656B">
      <w:pPr>
        <w:pStyle w:val="BodyText"/>
        <w:spacing w:before="80" w:line="260" w:lineRule="exact"/>
        <w:ind w:right="1548"/>
      </w:pPr>
      <w:r>
        <w:rPr>
          <w:rFonts w:cs="Avenir Next"/>
        </w:rPr>
        <w:t xml:space="preserve">In doing </w:t>
      </w:r>
      <w:r>
        <w:rPr>
          <w:rFonts w:cs="Avenir Next"/>
          <w:spacing w:val="-1"/>
        </w:rPr>
        <w:t>so,</w:t>
      </w:r>
      <w:r>
        <w:rPr>
          <w:rFonts w:cs="Avenir Next"/>
          <w:spacing w:val="-6"/>
        </w:rPr>
        <w:t xml:space="preserve"> </w:t>
      </w:r>
      <w:r>
        <w:rPr>
          <w:rFonts w:cs="Avenir Next"/>
        </w:rPr>
        <w:t xml:space="preserve">it made a </w:t>
      </w:r>
      <w:r>
        <w:rPr>
          <w:rFonts w:cs="Avenir Next"/>
          <w:spacing w:val="-2"/>
        </w:rPr>
        <w:t>draft</w:t>
      </w:r>
      <w:r>
        <w:rPr>
          <w:rFonts w:cs="Avenir Next"/>
        </w:rPr>
        <w:t xml:space="preserve"> decision on the value of</w:t>
      </w:r>
      <w:r>
        <w:rPr>
          <w:rFonts w:cs="Avenir Next"/>
          <w:spacing w:val="4"/>
        </w:rPr>
        <w:t xml:space="preserve"> </w:t>
      </w:r>
      <w:r>
        <w:rPr>
          <w:rFonts w:cs="Avenir Next"/>
        </w:rPr>
        <w:t>the cost of</w:t>
      </w:r>
      <w:r>
        <w:rPr>
          <w:rFonts w:cs="Avenir Next"/>
          <w:spacing w:val="4"/>
        </w:rPr>
        <w:t xml:space="preserve"> </w:t>
      </w:r>
      <w:r>
        <w:rPr>
          <w:rFonts w:cs="Avenir Next"/>
        </w:rPr>
        <w:t>debt,</w:t>
      </w:r>
      <w:r>
        <w:rPr>
          <w:rFonts w:cs="Avenir Next"/>
          <w:spacing w:val="-6"/>
        </w:rPr>
        <w:t xml:space="preserve"> </w:t>
      </w:r>
      <w:r>
        <w:rPr>
          <w:rFonts w:cs="Avenir Next"/>
        </w:rPr>
        <w:t>the cost of</w:t>
      </w:r>
      <w:r>
        <w:rPr>
          <w:rFonts w:cs="Avenir Next"/>
          <w:spacing w:val="4"/>
        </w:rPr>
        <w:t xml:space="preserve"> </w:t>
      </w:r>
      <w:r>
        <w:rPr>
          <w:rFonts w:cs="Avenir Next"/>
        </w:rPr>
        <w:t xml:space="preserve">entity and </w:t>
      </w:r>
      <w:r>
        <w:rPr>
          <w:rFonts w:cs="Avenir Next"/>
          <w:spacing w:val="-1"/>
        </w:rPr>
        <w:t>gearing</w:t>
      </w:r>
      <w:r>
        <w:rPr>
          <w:rFonts w:cs="Avenir Next"/>
          <w:spacing w:val="30"/>
        </w:rPr>
        <w:t xml:space="preserve"> </w:t>
      </w:r>
      <w:r>
        <w:rPr>
          <w:spacing w:val="-2"/>
        </w:rPr>
        <w:t>ratio.</w:t>
      </w:r>
      <w:r>
        <w:rPr>
          <w:spacing w:val="-11"/>
        </w:rPr>
        <w:t xml:space="preserve"> </w:t>
      </w:r>
      <w:r>
        <w:rPr>
          <w:spacing w:val="-2"/>
        </w:rPr>
        <w:t>The</w:t>
      </w:r>
      <w:r>
        <w:t xml:space="preserve"> </w:t>
      </w:r>
      <w:r>
        <w:rPr>
          <w:spacing w:val="-4"/>
        </w:rPr>
        <w:t>Panel’s</w:t>
      </w:r>
      <w:r>
        <w:t xml:space="preserve"> </w:t>
      </w:r>
      <w:r>
        <w:rPr>
          <w:spacing w:val="-2"/>
        </w:rPr>
        <w:t>draft</w:t>
      </w:r>
      <w:r>
        <w:t xml:space="preserve"> decision on </w:t>
      </w:r>
      <w:r>
        <w:rPr>
          <w:spacing w:val="-1"/>
        </w:rPr>
        <w:t>each</w:t>
      </w:r>
      <w:r>
        <w:t xml:space="preserve"> of</w:t>
      </w:r>
      <w:r>
        <w:rPr>
          <w:spacing w:val="4"/>
        </w:rPr>
        <w:t xml:space="preserve"> </w:t>
      </w:r>
      <w:r>
        <w:t xml:space="preserve">these </w:t>
      </w:r>
      <w:r>
        <w:rPr>
          <w:spacing w:val="-1"/>
        </w:rPr>
        <w:t>parameters</w:t>
      </w:r>
      <w:r>
        <w:t xml:space="preserve"> is outlined below while</w:t>
      </w:r>
      <w:r>
        <w:rPr>
          <w:spacing w:val="-4"/>
        </w:rPr>
        <w:t xml:space="preserve"> </w:t>
      </w:r>
      <w:r>
        <w:t xml:space="preserve">Appendix 8 </w:t>
      </w:r>
      <w:r>
        <w:rPr>
          <w:rFonts w:cs="Avenir Next"/>
        </w:rPr>
        <w:t>and</w:t>
      </w:r>
      <w:r>
        <w:rPr>
          <w:rFonts w:cs="Avenir Next"/>
          <w:spacing w:val="51"/>
        </w:rPr>
        <w:t xml:space="preserve"> </w:t>
      </w:r>
      <w:r>
        <w:t xml:space="preserve">Appendix 9 </w:t>
      </w:r>
      <w:r>
        <w:rPr>
          <w:spacing w:val="-1"/>
        </w:rPr>
        <w:t>provide</w:t>
      </w:r>
      <w:r>
        <w:t xml:space="preserve"> </w:t>
      </w:r>
      <w:r>
        <w:rPr>
          <w:spacing w:val="-1"/>
        </w:rPr>
        <w:t>more</w:t>
      </w:r>
      <w:r>
        <w:t xml:space="preserve"> detail on the analysis and methodologies underlying the decision.</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2"/>
        </w:numPr>
        <w:tabs>
          <w:tab w:val="left" w:pos="2098"/>
        </w:tabs>
        <w:ind w:hanging="850"/>
      </w:pPr>
      <w:r>
        <w:rPr>
          <w:color w:val="0778BE"/>
          <w:spacing w:val="-1"/>
        </w:rPr>
        <w:t>Cost</w:t>
      </w:r>
      <w:r>
        <w:rPr>
          <w:color w:val="0778BE"/>
        </w:rPr>
        <w:t xml:space="preserve"> of</w:t>
      </w:r>
      <w:r>
        <w:rPr>
          <w:color w:val="0778BE"/>
          <w:spacing w:val="5"/>
        </w:rPr>
        <w:t xml:space="preserve"> </w:t>
      </w:r>
      <w:r>
        <w:rPr>
          <w:color w:val="0778BE"/>
        </w:rPr>
        <w:t>debt</w:t>
      </w:r>
    </w:p>
    <w:p w:rsidR="00D96B91" w:rsidRDefault="00C2656B">
      <w:pPr>
        <w:pStyle w:val="BodyText"/>
        <w:spacing w:before="21" w:line="260" w:lineRule="exact"/>
        <w:ind w:right="1283"/>
      </w:pPr>
      <w:r>
        <w:rPr>
          <w:spacing w:val="-2"/>
        </w:rPr>
        <w:t>The</w:t>
      </w:r>
      <w:r>
        <w:t xml:space="preserve"> cost of</w:t>
      </w:r>
      <w:r>
        <w:rPr>
          <w:spacing w:val="4"/>
        </w:rPr>
        <w:t xml:space="preserve"> </w:t>
      </w:r>
      <w:r>
        <w:t xml:space="preserve">debt is the </w:t>
      </w:r>
      <w:r>
        <w:rPr>
          <w:spacing w:val="-2"/>
        </w:rPr>
        <w:t>rate</w:t>
      </w:r>
      <w:r>
        <w:t xml:space="preserve"> </w:t>
      </w:r>
      <w:r>
        <w:rPr>
          <w:spacing w:val="-1"/>
        </w:rPr>
        <w:t>that</w:t>
      </w:r>
      <w:r>
        <w:t xml:space="preserve"> a business is </w:t>
      </w:r>
      <w:r>
        <w:rPr>
          <w:spacing w:val="-1"/>
        </w:rPr>
        <w:t>expected</w:t>
      </w:r>
      <w:r>
        <w:t xml:space="preserve"> to pay to debt holders to fund its assets </w:t>
      </w:r>
      <w:r>
        <w:rPr>
          <w:spacing w:val="-1"/>
        </w:rPr>
        <w:t>through</w:t>
      </w:r>
      <w:r>
        <w:rPr>
          <w:spacing w:val="33"/>
        </w:rPr>
        <w:t xml:space="preserve"> </w:t>
      </w:r>
      <w:r>
        <w:t>debt</w:t>
      </w:r>
      <w:r>
        <w:rPr>
          <w:spacing w:val="-2"/>
        </w:rPr>
        <w:t xml:space="preserve"> </w:t>
      </w:r>
      <w:r>
        <w:t>financing,</w:t>
      </w:r>
      <w:r>
        <w:rPr>
          <w:spacing w:val="-7"/>
        </w:rPr>
        <w:t xml:space="preserve"> </w:t>
      </w:r>
      <w:r>
        <w:t>and</w:t>
      </w:r>
      <w:r>
        <w:rPr>
          <w:spacing w:val="-1"/>
        </w:rPr>
        <w:t xml:space="preserve"> </w:t>
      </w:r>
      <w:r>
        <w:t>is</w:t>
      </w:r>
      <w:r>
        <w:rPr>
          <w:spacing w:val="-2"/>
        </w:rPr>
        <w:t xml:space="preserve"> </w:t>
      </w:r>
      <w:r>
        <w:rPr>
          <w:spacing w:val="-1"/>
        </w:rPr>
        <w:t xml:space="preserve">generally calculated </w:t>
      </w:r>
      <w:r>
        <w:t>as</w:t>
      </w:r>
      <w:r>
        <w:rPr>
          <w:spacing w:val="-1"/>
        </w:rPr>
        <w:t xml:space="preserve"> </w:t>
      </w:r>
      <w:r>
        <w:t>follows:</w:t>
      </w:r>
    </w:p>
    <w:p w:rsidR="00D96B91" w:rsidRDefault="00D96B91">
      <w:pPr>
        <w:spacing w:before="8"/>
        <w:rPr>
          <w:rFonts w:ascii="Avenir Next" w:eastAsia="Avenir Next" w:hAnsi="Avenir Next" w:cs="Avenir Next"/>
          <w:sz w:val="25"/>
          <w:szCs w:val="25"/>
        </w:rPr>
      </w:pPr>
    </w:p>
    <w:p w:rsidR="00D96B91" w:rsidRDefault="00C2656B">
      <w:pPr>
        <w:ind w:left="1480" w:right="1476"/>
        <w:jc w:val="center"/>
        <w:rPr>
          <w:rFonts w:ascii="Cambria" w:eastAsia="Cambria" w:hAnsi="Cambria" w:cs="Cambria"/>
          <w:sz w:val="24"/>
          <w:szCs w:val="24"/>
        </w:rPr>
      </w:pPr>
      <w:r>
        <w:rPr>
          <w:rFonts w:ascii="Cambria"/>
          <w:spacing w:val="-1"/>
          <w:sz w:val="24"/>
        </w:rPr>
        <w:t>R</w:t>
      </w:r>
      <w:r>
        <w:rPr>
          <w:rFonts w:ascii="Cambria"/>
          <w:spacing w:val="-1"/>
          <w:sz w:val="16"/>
        </w:rPr>
        <w:t>d</w:t>
      </w:r>
      <w:r>
        <w:rPr>
          <w:rFonts w:ascii="Cambria"/>
          <w:spacing w:val="-2"/>
          <w:sz w:val="16"/>
        </w:rPr>
        <w:t xml:space="preserve"> </w:t>
      </w:r>
      <w:r>
        <w:rPr>
          <w:rFonts w:ascii="Cambria"/>
          <w:spacing w:val="-1"/>
          <w:sz w:val="24"/>
        </w:rPr>
        <w:t>=R</w:t>
      </w:r>
      <w:r>
        <w:rPr>
          <w:rFonts w:ascii="Cambria"/>
          <w:spacing w:val="-1"/>
          <w:sz w:val="16"/>
        </w:rPr>
        <w:t>f</w:t>
      </w:r>
      <w:r>
        <w:rPr>
          <w:rFonts w:ascii="Cambria"/>
          <w:spacing w:val="-2"/>
          <w:sz w:val="16"/>
        </w:rPr>
        <w:t xml:space="preserve"> </w:t>
      </w:r>
      <w:r>
        <w:rPr>
          <w:rFonts w:ascii="Cambria"/>
          <w:sz w:val="24"/>
        </w:rPr>
        <w:t>+</w:t>
      </w:r>
      <w:r>
        <w:rPr>
          <w:rFonts w:ascii="Cambria"/>
          <w:spacing w:val="-3"/>
          <w:sz w:val="24"/>
        </w:rPr>
        <w:t xml:space="preserve"> </w:t>
      </w:r>
      <w:r>
        <w:rPr>
          <w:rFonts w:ascii="Cambria"/>
          <w:sz w:val="24"/>
        </w:rPr>
        <w:t>DM</w:t>
      </w:r>
    </w:p>
    <w:p w:rsidR="00D96B91" w:rsidRDefault="00D96B91">
      <w:pPr>
        <w:spacing w:before="3"/>
        <w:rPr>
          <w:rFonts w:ascii="Cambria" w:eastAsia="Cambria" w:hAnsi="Cambria" w:cs="Cambria"/>
        </w:rPr>
      </w:pPr>
    </w:p>
    <w:p w:rsidR="00D96B91" w:rsidRDefault="00C2656B">
      <w:pPr>
        <w:pStyle w:val="BodyText"/>
        <w:rPr>
          <w:rFonts w:cs="Avenir Next"/>
        </w:rPr>
      </w:pPr>
      <w:r>
        <w:rPr>
          <w:spacing w:val="-1"/>
        </w:rPr>
        <w:t>Where:</w:t>
      </w:r>
    </w:p>
    <w:p w:rsidR="00D96B91" w:rsidRDefault="00C2656B">
      <w:pPr>
        <w:pStyle w:val="BodyText"/>
        <w:spacing w:before="149" w:line="260" w:lineRule="exact"/>
        <w:ind w:right="1294" w:firstLine="3"/>
      </w:pPr>
      <w:r>
        <w:rPr>
          <w:rFonts w:ascii="Cambria"/>
          <w:spacing w:val="-1"/>
          <w:position w:val="2"/>
          <w:sz w:val="24"/>
        </w:rPr>
        <w:t>R</w:t>
      </w:r>
      <w:r>
        <w:rPr>
          <w:rFonts w:ascii="Cambria"/>
          <w:spacing w:val="-1"/>
          <w:position w:val="2"/>
          <w:sz w:val="16"/>
        </w:rPr>
        <w:t>f</w:t>
      </w:r>
      <w:r>
        <w:rPr>
          <w:rFonts w:ascii="Cambria"/>
          <w:position w:val="2"/>
          <w:sz w:val="16"/>
        </w:rPr>
        <w:t xml:space="preserve"> </w:t>
      </w:r>
      <w:r>
        <w:rPr>
          <w:rFonts w:ascii="Cambria"/>
          <w:spacing w:val="34"/>
          <w:position w:val="2"/>
          <w:sz w:val="16"/>
        </w:rPr>
        <w:t xml:space="preserve"> </w:t>
      </w:r>
      <w:r>
        <w:t xml:space="preserve">is the </w:t>
      </w:r>
      <w:r>
        <w:rPr>
          <w:spacing w:val="-1"/>
        </w:rPr>
        <w:t>risk-free</w:t>
      </w:r>
      <w:r>
        <w:t xml:space="preserve"> </w:t>
      </w:r>
      <w:r>
        <w:rPr>
          <w:spacing w:val="-1"/>
        </w:rPr>
        <w:t>rate.</w:t>
      </w:r>
      <w:r>
        <w:rPr>
          <w:spacing w:val="-11"/>
        </w:rPr>
        <w:t xml:space="preserve"> </w:t>
      </w:r>
      <w:r>
        <w:rPr>
          <w:spacing w:val="-2"/>
        </w:rPr>
        <w:t>The</w:t>
      </w:r>
      <w:r>
        <w:t xml:space="preserve"> </w:t>
      </w:r>
      <w:r>
        <w:rPr>
          <w:spacing w:val="-1"/>
        </w:rPr>
        <w:t>risk-free</w:t>
      </w:r>
      <w:r>
        <w:t xml:space="preserve"> </w:t>
      </w:r>
      <w:r>
        <w:rPr>
          <w:spacing w:val="-2"/>
        </w:rPr>
        <w:t>rate</w:t>
      </w:r>
      <w:r>
        <w:t xml:space="preserve"> </w:t>
      </w:r>
      <w:r>
        <w:rPr>
          <w:spacing w:val="-1"/>
        </w:rPr>
        <w:t>measures</w:t>
      </w:r>
      <w:r>
        <w:t xml:space="preserve"> the </w:t>
      </w:r>
      <w:r>
        <w:rPr>
          <w:spacing w:val="-1"/>
        </w:rPr>
        <w:t>return</w:t>
      </w:r>
      <w:r>
        <w:t xml:space="preserve"> an investor would derive </w:t>
      </w:r>
      <w:r>
        <w:rPr>
          <w:spacing w:val="-1"/>
        </w:rPr>
        <w:t>from</w:t>
      </w:r>
      <w:r>
        <w:t xml:space="preserve"> an asset</w:t>
      </w:r>
      <w:r>
        <w:rPr>
          <w:spacing w:val="21"/>
        </w:rPr>
        <w:t xml:space="preserve"> </w:t>
      </w:r>
      <w:r>
        <w:t xml:space="preserve">with </w:t>
      </w:r>
      <w:r>
        <w:rPr>
          <w:spacing w:val="-1"/>
        </w:rPr>
        <w:t>certainty</w:t>
      </w:r>
      <w:r>
        <w:t xml:space="preserve"> of</w:t>
      </w:r>
      <w:r>
        <w:rPr>
          <w:spacing w:val="4"/>
        </w:rPr>
        <w:t xml:space="preserve"> </w:t>
      </w:r>
      <w:r>
        <w:rPr>
          <w:spacing w:val="-1"/>
        </w:rPr>
        <w:t>return</w:t>
      </w:r>
      <w:r>
        <w:t xml:space="preserve"> being achieved.</w:t>
      </w:r>
      <w:r>
        <w:rPr>
          <w:spacing w:val="-11"/>
        </w:rPr>
        <w:t xml:space="preserve"> </w:t>
      </w:r>
      <w:r>
        <w:rPr>
          <w:spacing w:val="-1"/>
        </w:rPr>
        <w:t>This</w:t>
      </w:r>
      <w:r>
        <w:t xml:space="preserve"> </w:t>
      </w:r>
      <w:r>
        <w:rPr>
          <w:spacing w:val="-2"/>
        </w:rPr>
        <w:t>rate</w:t>
      </w:r>
      <w:r>
        <w:t xml:space="preserve"> cannot be observed </w:t>
      </w:r>
      <w:r>
        <w:rPr>
          <w:spacing w:val="-2"/>
        </w:rPr>
        <w:t>directly,</w:t>
      </w:r>
      <w:r>
        <w:rPr>
          <w:spacing w:val="-6"/>
        </w:rPr>
        <w:t xml:space="preserve"> </w:t>
      </w:r>
      <w:r>
        <w:t xml:space="preserve">but can be </w:t>
      </w:r>
      <w:r>
        <w:rPr>
          <w:spacing w:val="-1"/>
        </w:rPr>
        <w:t>approximated</w:t>
      </w:r>
      <w:r>
        <w:rPr>
          <w:spacing w:val="43"/>
        </w:rPr>
        <w:t xml:space="preserve"> </w:t>
      </w:r>
      <w:r>
        <w:t xml:space="preserve">by the yield to </w:t>
      </w:r>
      <w:r>
        <w:rPr>
          <w:spacing w:val="-1"/>
        </w:rPr>
        <w:t>maturity</w:t>
      </w:r>
      <w:r>
        <w:t xml:space="preserve"> on government bonds.</w:t>
      </w:r>
    </w:p>
    <w:p w:rsidR="00D96B91" w:rsidRDefault="00C2656B">
      <w:pPr>
        <w:pStyle w:val="BodyText"/>
        <w:spacing w:before="174" w:line="258" w:lineRule="exact"/>
        <w:ind w:right="1256" w:firstLine="23"/>
      </w:pPr>
      <w:r>
        <w:rPr>
          <w:rFonts w:ascii="Cambria"/>
          <w:sz w:val="24"/>
        </w:rPr>
        <w:t>DM</w:t>
      </w:r>
      <w:r>
        <w:rPr>
          <w:rFonts w:ascii="Cambria"/>
          <w:spacing w:val="14"/>
          <w:sz w:val="24"/>
        </w:rPr>
        <w:t xml:space="preserve"> </w:t>
      </w:r>
      <w:r>
        <w:t xml:space="preserve">is the debt </w:t>
      </w:r>
      <w:r>
        <w:rPr>
          <w:spacing w:val="-1"/>
        </w:rPr>
        <w:t>margin.</w:t>
      </w:r>
      <w:r>
        <w:rPr>
          <w:spacing w:val="-11"/>
        </w:rPr>
        <w:t xml:space="preserve"> </w:t>
      </w:r>
      <w:r>
        <w:rPr>
          <w:spacing w:val="-2"/>
        </w:rPr>
        <w:t>The</w:t>
      </w:r>
      <w:r>
        <w:t xml:space="preserve"> debt </w:t>
      </w:r>
      <w:r>
        <w:rPr>
          <w:spacing w:val="-1"/>
        </w:rPr>
        <w:t>margin</w:t>
      </w:r>
      <w:r>
        <w:t xml:space="preserve"> </w:t>
      </w:r>
      <w:r>
        <w:rPr>
          <w:spacing w:val="-1"/>
        </w:rPr>
        <w:t>represents</w:t>
      </w:r>
      <w:r>
        <w:t xml:space="preserve"> the</w:t>
      </w:r>
      <w:r>
        <w:rPr>
          <w:spacing w:val="-1"/>
        </w:rPr>
        <w:t xml:space="preserve"> compensation</w:t>
      </w:r>
      <w:r>
        <w:t xml:space="preserve"> above the </w:t>
      </w:r>
      <w:r>
        <w:rPr>
          <w:spacing w:val="-1"/>
        </w:rPr>
        <w:t>risk-free</w:t>
      </w:r>
      <w:r>
        <w:t xml:space="preserve"> </w:t>
      </w:r>
      <w:r>
        <w:rPr>
          <w:spacing w:val="-2"/>
        </w:rPr>
        <w:t>rate</w:t>
      </w:r>
      <w:r>
        <w:t xml:space="preserve"> </w:t>
      </w:r>
      <w:r>
        <w:rPr>
          <w:spacing w:val="-1"/>
        </w:rPr>
        <w:t>required</w:t>
      </w:r>
      <w:r>
        <w:rPr>
          <w:spacing w:val="45"/>
        </w:rPr>
        <w:t xml:space="preserve"> </w:t>
      </w:r>
      <w:r>
        <w:t xml:space="preserve">by debt holders for </w:t>
      </w:r>
      <w:r>
        <w:rPr>
          <w:spacing w:val="-1"/>
        </w:rPr>
        <w:t>credit,</w:t>
      </w:r>
      <w:r>
        <w:rPr>
          <w:spacing w:val="-6"/>
        </w:rPr>
        <w:t xml:space="preserve"> </w:t>
      </w:r>
      <w:r>
        <w:t xml:space="preserve">liquidity and </w:t>
      </w:r>
      <w:r>
        <w:rPr>
          <w:spacing w:val="-1"/>
        </w:rPr>
        <w:t>maturity</w:t>
      </w:r>
      <w:r>
        <w:t xml:space="preserve"> </w:t>
      </w:r>
      <w:r>
        <w:rPr>
          <w:spacing w:val="-1"/>
        </w:rPr>
        <w:t>risks.</w:t>
      </w:r>
    </w:p>
    <w:p w:rsidR="00D96B91" w:rsidRDefault="00C2656B">
      <w:pPr>
        <w:pStyle w:val="BodyText"/>
        <w:spacing w:before="170" w:line="260" w:lineRule="exact"/>
        <w:ind w:right="1283"/>
      </w:pPr>
      <w:r>
        <w:t>In some jurisdictions,</w:t>
      </w:r>
      <w:r>
        <w:rPr>
          <w:spacing w:val="-6"/>
        </w:rPr>
        <w:t xml:space="preserve"> </w:t>
      </w:r>
      <w:r>
        <w:t>the cost of</w:t>
      </w:r>
      <w:r>
        <w:rPr>
          <w:spacing w:val="4"/>
        </w:rPr>
        <w:t xml:space="preserve"> </w:t>
      </w:r>
      <w:r>
        <w:t xml:space="preserve">debt also includes an allowance for </w:t>
      </w:r>
      <w:r>
        <w:rPr>
          <w:spacing w:val="-1"/>
        </w:rPr>
        <w:t>debt-raising</w:t>
      </w:r>
      <w:r>
        <w:t xml:space="preserve"> costs,</w:t>
      </w:r>
      <w:r>
        <w:rPr>
          <w:spacing w:val="-6"/>
        </w:rPr>
        <w:t xml:space="preserve"> </w:t>
      </w:r>
      <w:r>
        <w:t>while in other</w:t>
      </w:r>
      <w:r>
        <w:rPr>
          <w:spacing w:val="29"/>
        </w:rPr>
        <w:t xml:space="preserve"> </w:t>
      </w:r>
      <w:r>
        <w:t xml:space="preserve">jurisdictions this allowance is included in the </w:t>
      </w:r>
      <w:r>
        <w:rPr>
          <w:spacing w:val="-1"/>
        </w:rPr>
        <w:t>forecast</w:t>
      </w:r>
      <w:r>
        <w:t xml:space="preserve"> </w:t>
      </w:r>
      <w:r>
        <w:rPr>
          <w:spacing w:val="-1"/>
        </w:rPr>
        <w:t>operating</w:t>
      </w:r>
      <w:r>
        <w:t xml:space="preserve"> </w:t>
      </w:r>
      <w:r>
        <w:rPr>
          <w:spacing w:val="-1"/>
        </w:rPr>
        <w:t>expenditure</w:t>
      </w:r>
      <w:r>
        <w:t xml:space="preserve"> allowance.</w:t>
      </w:r>
    </w:p>
    <w:p w:rsidR="00D96B91" w:rsidRDefault="00C2656B">
      <w:pPr>
        <w:pStyle w:val="BodyText"/>
        <w:spacing w:before="170" w:line="260" w:lineRule="exact"/>
        <w:ind w:right="1356"/>
        <w:rPr>
          <w:rFonts w:cs="Avenir Next"/>
        </w:rPr>
      </w:pPr>
      <w:r>
        <w:rPr>
          <w:spacing w:val="-4"/>
        </w:rPr>
        <w:t>For</w:t>
      </w:r>
      <w:r>
        <w:t xml:space="preserve"> the </w:t>
      </w:r>
      <w:r>
        <w:rPr>
          <w:spacing w:val="-1"/>
        </w:rPr>
        <w:t>reasons</w:t>
      </w:r>
      <w:r>
        <w:t xml:space="preserve"> set out in</w:t>
      </w:r>
      <w:r>
        <w:rPr>
          <w:spacing w:val="-4"/>
        </w:rPr>
        <w:t xml:space="preserve"> </w:t>
      </w:r>
      <w:r>
        <w:t>Appendix</w:t>
      </w:r>
      <w:r>
        <w:rPr>
          <w:spacing w:val="-4"/>
        </w:rPr>
        <w:t xml:space="preserve"> </w:t>
      </w:r>
      <w:r>
        <w:t>A8.1,</w:t>
      </w:r>
      <w:r>
        <w:rPr>
          <w:spacing w:val="-6"/>
        </w:rPr>
        <w:t xml:space="preserve"> </w:t>
      </w:r>
      <w:r>
        <w:t xml:space="preserve">in applying the above formula to </w:t>
      </w:r>
      <w:r>
        <w:rPr>
          <w:spacing w:val="-1"/>
        </w:rPr>
        <w:t>estimate</w:t>
      </w:r>
      <w:r>
        <w:t xml:space="preserve"> the cost of</w:t>
      </w:r>
      <w:r>
        <w:rPr>
          <w:spacing w:val="4"/>
        </w:rPr>
        <w:t xml:space="preserve"> </w:t>
      </w:r>
      <w:r>
        <w:t>debt,</w:t>
      </w:r>
      <w:r>
        <w:rPr>
          <w:spacing w:val="29"/>
        </w:rPr>
        <w:t xml:space="preserve"> </w:t>
      </w:r>
      <w:r>
        <w:t xml:space="preserve">the </w:t>
      </w:r>
      <w:r>
        <w:rPr>
          <w:spacing w:val="-3"/>
        </w:rPr>
        <w:t>Panel</w:t>
      </w:r>
      <w:r>
        <w:t xml:space="preserve"> decided to use:</w:t>
      </w: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18"/>
          <w:szCs w:val="1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2035" style="width:72.5pt;height:.5pt;mso-position-horizontal-relative:char;mso-position-vertical-relative:line" coordsize="1450,10">
            <v:group id="_x0000_s2036" style="position:absolute;left:5;top:5;width:1440;height:2" coordorigin="5,5" coordsize="1440,2">
              <v:shape id="_x0000_s2037" style="position:absolute;left:5;top:5;width:1440;height:2" coordorigin="5,5" coordsize="1440,0" path="m5,5r1440,e" filled="f" strokeweight=".5pt">
                <v:path arrowok="t"/>
              </v:shape>
            </v:group>
            <w10:wrap type="none"/>
            <w10:anchorlock/>
          </v:group>
        </w:pict>
      </w:r>
    </w:p>
    <w:p w:rsidR="00D96B91" w:rsidRDefault="00C2656B">
      <w:pPr>
        <w:numPr>
          <w:ilvl w:val="0"/>
          <w:numId w:val="63"/>
        </w:numPr>
        <w:tabs>
          <w:tab w:val="left" w:pos="1758"/>
        </w:tabs>
        <w:spacing w:before="45" w:line="192" w:lineRule="exact"/>
        <w:ind w:right="1390" w:hanging="510"/>
        <w:rPr>
          <w:rFonts w:ascii="Avenir Next" w:eastAsia="Avenir Next" w:hAnsi="Avenir Next" w:cs="Avenir Next"/>
          <w:sz w:val="16"/>
          <w:szCs w:val="16"/>
        </w:rPr>
      </w:pPr>
      <w:r>
        <w:rPr>
          <w:rFonts w:ascii="Avenir Next"/>
          <w:sz w:val="16"/>
        </w:rPr>
        <w:t>See</w:t>
      </w:r>
      <w:r>
        <w:rPr>
          <w:rFonts w:ascii="Avenir Next"/>
          <w:spacing w:val="-3"/>
          <w:sz w:val="16"/>
        </w:rPr>
        <w:t xml:space="preserve"> </w:t>
      </w:r>
      <w:r>
        <w:rPr>
          <w:rFonts w:ascii="Avenir Next"/>
          <w:sz w:val="16"/>
        </w:rPr>
        <w:t>AEMC,</w:t>
      </w:r>
      <w:r>
        <w:rPr>
          <w:rFonts w:ascii="Avenir Next"/>
          <w:spacing w:val="-5"/>
          <w:sz w:val="16"/>
        </w:rPr>
        <w:t xml:space="preserve"> </w:t>
      </w:r>
      <w:r>
        <w:rPr>
          <w:rFonts w:ascii="Avenir Next"/>
          <w:spacing w:val="-1"/>
          <w:sz w:val="16"/>
        </w:rPr>
        <w:t>National</w:t>
      </w:r>
      <w:r>
        <w:rPr>
          <w:rFonts w:ascii="Avenir Next"/>
          <w:sz w:val="16"/>
        </w:rPr>
        <w:t xml:space="preserve"> Electricity</w:t>
      </w:r>
      <w:r>
        <w:rPr>
          <w:rFonts w:ascii="Avenir Next"/>
          <w:spacing w:val="-3"/>
          <w:sz w:val="16"/>
        </w:rPr>
        <w:t xml:space="preserve"> </w:t>
      </w:r>
      <w:r>
        <w:rPr>
          <w:rFonts w:ascii="Avenir Next"/>
          <w:sz w:val="16"/>
        </w:rPr>
        <w:t xml:space="preserve">Amendment (Economic </w:t>
      </w:r>
      <w:r>
        <w:rPr>
          <w:rFonts w:ascii="Avenir Next"/>
          <w:spacing w:val="-1"/>
          <w:sz w:val="16"/>
        </w:rPr>
        <w:t>Regulation</w:t>
      </w:r>
      <w:r>
        <w:rPr>
          <w:rFonts w:ascii="Avenir Next"/>
          <w:sz w:val="16"/>
        </w:rPr>
        <w:t xml:space="preserve"> of</w:t>
      </w:r>
      <w:r>
        <w:rPr>
          <w:rFonts w:ascii="Avenir Next"/>
          <w:spacing w:val="3"/>
          <w:sz w:val="16"/>
        </w:rPr>
        <w:t xml:space="preserve"> </w:t>
      </w:r>
      <w:r>
        <w:rPr>
          <w:rFonts w:ascii="Avenir Next"/>
          <w:sz w:val="16"/>
        </w:rPr>
        <w:t xml:space="preserve">Network Service </w:t>
      </w:r>
      <w:r>
        <w:rPr>
          <w:rFonts w:ascii="Avenir Next"/>
          <w:spacing w:val="-2"/>
          <w:sz w:val="16"/>
        </w:rPr>
        <w:t>Providers)</w:t>
      </w:r>
      <w:r>
        <w:rPr>
          <w:rFonts w:ascii="Avenir Next"/>
          <w:sz w:val="16"/>
        </w:rPr>
        <w:t xml:space="preserve"> </w:t>
      </w:r>
      <w:r>
        <w:rPr>
          <w:rFonts w:ascii="Avenir Next"/>
          <w:spacing w:val="-1"/>
          <w:sz w:val="16"/>
        </w:rPr>
        <w:t>Rule</w:t>
      </w:r>
      <w:r>
        <w:rPr>
          <w:rFonts w:ascii="Avenir Next"/>
          <w:sz w:val="16"/>
        </w:rPr>
        <w:t xml:space="preserve"> 2012,</w:t>
      </w:r>
      <w:r>
        <w:rPr>
          <w:rFonts w:ascii="Avenir Next"/>
          <w:spacing w:val="-5"/>
          <w:sz w:val="16"/>
        </w:rPr>
        <w:t xml:space="preserve"> </w:t>
      </w:r>
      <w:r>
        <w:rPr>
          <w:rFonts w:ascii="Avenir Next"/>
          <w:sz w:val="16"/>
        </w:rPr>
        <w:t xml:space="preserve">and </w:t>
      </w:r>
      <w:r>
        <w:rPr>
          <w:rFonts w:ascii="Avenir Next"/>
          <w:spacing w:val="-1"/>
          <w:sz w:val="16"/>
        </w:rPr>
        <w:t>National</w:t>
      </w:r>
      <w:r>
        <w:rPr>
          <w:rFonts w:ascii="Avenir Next"/>
          <w:spacing w:val="59"/>
          <w:sz w:val="16"/>
        </w:rPr>
        <w:t xml:space="preserve"> </w:t>
      </w:r>
      <w:r>
        <w:rPr>
          <w:rFonts w:ascii="Avenir Next"/>
          <w:sz w:val="16"/>
        </w:rPr>
        <w:t>Gas</w:t>
      </w:r>
      <w:r>
        <w:rPr>
          <w:rFonts w:ascii="Avenir Next"/>
          <w:spacing w:val="-3"/>
          <w:sz w:val="16"/>
        </w:rPr>
        <w:t xml:space="preserve"> </w:t>
      </w:r>
      <w:r>
        <w:rPr>
          <w:rFonts w:ascii="Avenir Next"/>
          <w:sz w:val="16"/>
        </w:rPr>
        <w:t xml:space="preserve">Amendment </w:t>
      </w:r>
      <w:r>
        <w:rPr>
          <w:rFonts w:ascii="Avenir Next"/>
          <w:spacing w:val="-2"/>
          <w:sz w:val="16"/>
        </w:rPr>
        <w:t>(Price</w:t>
      </w:r>
      <w:r>
        <w:rPr>
          <w:rFonts w:ascii="Avenir Next"/>
          <w:sz w:val="16"/>
        </w:rPr>
        <w:t xml:space="preserve"> and </w:t>
      </w:r>
      <w:r>
        <w:rPr>
          <w:rFonts w:ascii="Avenir Next"/>
          <w:spacing w:val="-1"/>
          <w:sz w:val="16"/>
        </w:rPr>
        <w:t>Revenue</w:t>
      </w:r>
      <w:r>
        <w:rPr>
          <w:rFonts w:ascii="Avenir Next"/>
          <w:sz w:val="16"/>
        </w:rPr>
        <w:t xml:space="preserve"> </w:t>
      </w:r>
      <w:r>
        <w:rPr>
          <w:rFonts w:ascii="Avenir Next"/>
          <w:spacing w:val="-1"/>
          <w:sz w:val="16"/>
        </w:rPr>
        <w:t>Regulation</w:t>
      </w:r>
      <w:r>
        <w:rPr>
          <w:rFonts w:ascii="Avenir Next"/>
          <w:sz w:val="16"/>
        </w:rPr>
        <w:t xml:space="preserve"> of</w:t>
      </w:r>
      <w:r>
        <w:rPr>
          <w:rFonts w:ascii="Avenir Next"/>
          <w:spacing w:val="3"/>
          <w:sz w:val="16"/>
        </w:rPr>
        <w:t xml:space="preserve"> </w:t>
      </w:r>
      <w:r>
        <w:rPr>
          <w:rFonts w:ascii="Avenir Next"/>
          <w:sz w:val="16"/>
        </w:rPr>
        <w:t xml:space="preserve">Gas Services) </w:t>
      </w:r>
      <w:r>
        <w:rPr>
          <w:rFonts w:ascii="Avenir Next"/>
          <w:spacing w:val="-1"/>
          <w:sz w:val="16"/>
        </w:rPr>
        <w:t>Rule</w:t>
      </w:r>
      <w:r>
        <w:rPr>
          <w:rFonts w:ascii="Avenir Next"/>
          <w:sz w:val="16"/>
        </w:rPr>
        <w:t xml:space="preserve"> 2012,</w:t>
      </w:r>
      <w:r>
        <w:rPr>
          <w:rFonts w:ascii="Avenir Next"/>
          <w:spacing w:val="-5"/>
          <w:sz w:val="16"/>
        </w:rPr>
        <w:t xml:space="preserve"> </w:t>
      </w:r>
      <w:r>
        <w:rPr>
          <w:rFonts w:ascii="Avenir Next"/>
          <w:spacing w:val="-1"/>
          <w:sz w:val="16"/>
        </w:rPr>
        <w:t>Directions</w:t>
      </w:r>
      <w:r>
        <w:rPr>
          <w:rFonts w:ascii="Avenir Next"/>
          <w:sz w:val="16"/>
        </w:rPr>
        <w:t xml:space="preserve"> </w:t>
      </w:r>
      <w:r>
        <w:rPr>
          <w:rFonts w:ascii="Avenir Next"/>
          <w:spacing w:val="-3"/>
          <w:sz w:val="16"/>
        </w:rPr>
        <w:t>Paper,</w:t>
      </w:r>
      <w:r>
        <w:rPr>
          <w:rFonts w:ascii="Avenir Next"/>
          <w:spacing w:val="-5"/>
          <w:sz w:val="16"/>
        </w:rPr>
        <w:t xml:space="preserve"> </w:t>
      </w:r>
      <w:r>
        <w:rPr>
          <w:rFonts w:ascii="Avenir Next"/>
          <w:sz w:val="16"/>
        </w:rPr>
        <w:t xml:space="preserve">2 </w:t>
      </w:r>
      <w:r>
        <w:rPr>
          <w:rFonts w:ascii="Avenir Next"/>
          <w:spacing w:val="-1"/>
          <w:sz w:val="16"/>
        </w:rPr>
        <w:t>March,</w:t>
      </w:r>
      <w:r>
        <w:rPr>
          <w:rFonts w:ascii="Avenir Next"/>
          <w:spacing w:val="-5"/>
          <w:sz w:val="16"/>
        </w:rPr>
        <w:t xml:space="preserve"> </w:t>
      </w:r>
      <w:r>
        <w:rPr>
          <w:rFonts w:ascii="Avenir Next"/>
          <w:sz w:val="16"/>
        </w:rPr>
        <w:t>2012,</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120.</w:t>
      </w:r>
    </w:p>
    <w:p w:rsidR="00D96B91" w:rsidRDefault="00D96B91">
      <w:pPr>
        <w:spacing w:line="192" w:lineRule="exact"/>
        <w:rPr>
          <w:rFonts w:ascii="Avenir Next" w:eastAsia="Avenir Next" w:hAnsi="Avenir Next" w:cs="Avenir Next"/>
          <w:sz w:val="16"/>
          <w:szCs w:val="16"/>
        </w:rPr>
        <w:sectPr w:rsidR="00D96B91">
          <w:type w:val="continuous"/>
          <w:pgSz w:w="11910" w:h="16840"/>
          <w:pgMar w:top="0" w:right="0" w:bottom="0" w:left="0" w:header="720" w:footer="720" w:gutter="0"/>
          <w:cols w:space="720"/>
        </w:sectPr>
      </w:pPr>
    </w:p>
    <w:p w:rsidR="00D96B91" w:rsidRDefault="00C2656B">
      <w:pPr>
        <w:pStyle w:val="BodyText"/>
        <w:numPr>
          <w:ilvl w:val="0"/>
          <w:numId w:val="131"/>
        </w:numPr>
        <w:tabs>
          <w:tab w:val="left" w:pos="1531"/>
        </w:tabs>
        <w:spacing w:before="29"/>
        <w:ind w:hanging="283"/>
      </w:pPr>
      <w:r>
        <w:t xml:space="preserve">a </w:t>
      </w:r>
      <w:r>
        <w:rPr>
          <w:spacing w:val="-1"/>
        </w:rPr>
        <w:t>10-year</w:t>
      </w:r>
      <w:r>
        <w:t xml:space="preserve"> </w:t>
      </w:r>
      <w:r>
        <w:rPr>
          <w:spacing w:val="-1"/>
        </w:rPr>
        <w:t>term-to-maturity</w:t>
      </w:r>
      <w:r>
        <w:t xml:space="preserve"> when </w:t>
      </w:r>
      <w:r>
        <w:rPr>
          <w:spacing w:val="-1"/>
        </w:rPr>
        <w:t>measuring</w:t>
      </w:r>
      <w:r>
        <w:t xml:space="preserve"> the </w:t>
      </w:r>
      <w:r>
        <w:rPr>
          <w:spacing w:val="-1"/>
        </w:rPr>
        <w:t>risk-free</w:t>
      </w:r>
      <w:r>
        <w:t xml:space="preserve"> </w:t>
      </w:r>
      <w:r>
        <w:rPr>
          <w:spacing w:val="-2"/>
        </w:rPr>
        <w:t>rate</w:t>
      </w:r>
      <w:r>
        <w:t xml:space="preserve"> and debt </w:t>
      </w:r>
      <w:r>
        <w:rPr>
          <w:spacing w:val="-1"/>
        </w:rPr>
        <w:t>margin</w:t>
      </w:r>
    </w:p>
    <w:p w:rsidR="00D96B91" w:rsidRDefault="00C2656B">
      <w:pPr>
        <w:pStyle w:val="BodyText"/>
        <w:numPr>
          <w:ilvl w:val="0"/>
          <w:numId w:val="131"/>
        </w:numPr>
        <w:tabs>
          <w:tab w:val="left" w:pos="1531"/>
        </w:tabs>
        <w:spacing w:before="72"/>
        <w:ind w:hanging="283"/>
      </w:pPr>
      <w:r>
        <w:t xml:space="preserve">a 40-day </w:t>
      </w:r>
      <w:r>
        <w:rPr>
          <w:spacing w:val="-1"/>
        </w:rPr>
        <w:t>averaging</w:t>
      </w:r>
      <w:r>
        <w:t xml:space="preserve"> period when </w:t>
      </w:r>
      <w:r>
        <w:rPr>
          <w:spacing w:val="-1"/>
        </w:rPr>
        <w:t>measuring</w:t>
      </w:r>
      <w:r>
        <w:t xml:space="preserve"> the </w:t>
      </w:r>
      <w:r>
        <w:rPr>
          <w:spacing w:val="-1"/>
        </w:rPr>
        <w:t>risk-free</w:t>
      </w:r>
      <w:r>
        <w:t xml:space="preserve"> </w:t>
      </w:r>
      <w:r>
        <w:rPr>
          <w:spacing w:val="-2"/>
        </w:rPr>
        <w:t>rate</w:t>
      </w:r>
      <w:r>
        <w:t xml:space="preserve"> and debt </w:t>
      </w:r>
      <w:r>
        <w:rPr>
          <w:spacing w:val="-1"/>
        </w:rPr>
        <w:t>margin</w:t>
      </w:r>
    </w:p>
    <w:p w:rsidR="00D96B91" w:rsidRDefault="00C2656B">
      <w:pPr>
        <w:pStyle w:val="BodyText"/>
        <w:numPr>
          <w:ilvl w:val="0"/>
          <w:numId w:val="131"/>
        </w:numPr>
        <w:tabs>
          <w:tab w:val="left" w:pos="1531"/>
        </w:tabs>
        <w:spacing w:before="72"/>
        <w:ind w:hanging="283"/>
        <w:rPr>
          <w:rFonts w:cs="Avenir Next"/>
        </w:rPr>
      </w:pPr>
      <w:r>
        <w:t xml:space="preserve">a BBB </w:t>
      </w:r>
      <w:r>
        <w:rPr>
          <w:spacing w:val="-1"/>
        </w:rPr>
        <w:t>credit</w:t>
      </w:r>
      <w:r>
        <w:t xml:space="preserve"> </w:t>
      </w:r>
      <w:r>
        <w:rPr>
          <w:spacing w:val="-1"/>
        </w:rPr>
        <w:t>rating</w:t>
      </w:r>
      <w:r>
        <w:t xml:space="preserve"> when </w:t>
      </w:r>
      <w:r>
        <w:rPr>
          <w:spacing w:val="-1"/>
        </w:rPr>
        <w:t>measuring</w:t>
      </w:r>
      <w:r>
        <w:t xml:space="preserve"> the cost of</w:t>
      </w:r>
      <w:r>
        <w:rPr>
          <w:spacing w:val="4"/>
        </w:rPr>
        <w:t xml:space="preserve"> </w:t>
      </w:r>
      <w:r>
        <w:t>debt,</w:t>
      </w:r>
      <w:r>
        <w:rPr>
          <w:spacing w:val="-6"/>
        </w:rPr>
        <w:t xml:space="preserve"> </w:t>
      </w:r>
      <w:r>
        <w:t>and</w:t>
      </w:r>
    </w:p>
    <w:p w:rsidR="00C77ECE" w:rsidRPr="00C77ECE" w:rsidRDefault="00C2656B">
      <w:pPr>
        <w:pStyle w:val="BodyText"/>
        <w:numPr>
          <w:ilvl w:val="0"/>
          <w:numId w:val="131"/>
        </w:numPr>
        <w:tabs>
          <w:tab w:val="left" w:pos="1531"/>
        </w:tabs>
        <w:spacing w:before="72" w:line="427" w:lineRule="auto"/>
        <w:ind w:left="1247" w:right="5697" w:firstLine="0"/>
        <w:rPr>
          <w:rFonts w:cs="Avenir Next"/>
        </w:rPr>
      </w:pPr>
      <w:r>
        <w:t xml:space="preserve">a 12.5 basis points allowance for </w:t>
      </w:r>
      <w:r>
        <w:rPr>
          <w:spacing w:val="-1"/>
        </w:rPr>
        <w:t>debt-raising</w:t>
      </w:r>
      <w:r>
        <w:t xml:space="preserve"> costs.</w:t>
      </w:r>
      <w:r>
        <w:rPr>
          <w:spacing w:val="29"/>
        </w:rPr>
        <w:t xml:space="preserve"> </w:t>
      </w:r>
    </w:p>
    <w:p w:rsidR="00D96B91" w:rsidRDefault="00C2656B" w:rsidP="00C77ECE">
      <w:pPr>
        <w:pStyle w:val="BodyText"/>
        <w:tabs>
          <w:tab w:val="left" w:pos="1531"/>
        </w:tabs>
        <w:spacing w:before="72" w:line="427" w:lineRule="auto"/>
        <w:ind w:right="5697"/>
        <w:rPr>
          <w:rFonts w:cs="Avenir Next"/>
        </w:rPr>
      </w:pPr>
      <w:r>
        <w:t>In line with these decisions,</w:t>
      </w:r>
      <w:r>
        <w:rPr>
          <w:spacing w:val="-7"/>
        </w:rPr>
        <w:t xml:space="preserve"> </w:t>
      </w:r>
      <w:r>
        <w:t xml:space="preserve">the </w:t>
      </w:r>
      <w:r>
        <w:rPr>
          <w:spacing w:val="-3"/>
        </w:rPr>
        <w:t>Panel</w:t>
      </w:r>
      <w:r>
        <w:t xml:space="preserve"> </w:t>
      </w:r>
      <w:r>
        <w:rPr>
          <w:spacing w:val="-1"/>
        </w:rPr>
        <w:t>estimated:</w:t>
      </w:r>
    </w:p>
    <w:p w:rsidR="00D96B91" w:rsidRDefault="00C2656B">
      <w:pPr>
        <w:pStyle w:val="BodyText"/>
        <w:numPr>
          <w:ilvl w:val="0"/>
          <w:numId w:val="131"/>
        </w:numPr>
        <w:tabs>
          <w:tab w:val="left" w:pos="1531"/>
        </w:tabs>
        <w:spacing w:line="216" w:lineRule="exact"/>
        <w:ind w:hanging="283"/>
      </w:pPr>
      <w:r>
        <w:t xml:space="preserve">the </w:t>
      </w:r>
      <w:r>
        <w:rPr>
          <w:spacing w:val="-1"/>
        </w:rPr>
        <w:t>risk-free</w:t>
      </w:r>
      <w:r>
        <w:t xml:space="preserve"> </w:t>
      </w:r>
      <w:r>
        <w:rPr>
          <w:spacing w:val="-2"/>
        </w:rPr>
        <w:t>rate</w:t>
      </w:r>
      <w:r>
        <w:t xml:space="preserve"> to be 3.22% as </w:t>
      </w:r>
      <w:r>
        <w:rPr>
          <w:spacing w:val="-1"/>
        </w:rPr>
        <w:t>at</w:t>
      </w:r>
      <w:r>
        <w:t xml:space="preserve"> 31 May 2013</w:t>
      </w:r>
    </w:p>
    <w:p w:rsidR="00D96B91" w:rsidRDefault="00C2656B">
      <w:pPr>
        <w:pStyle w:val="BodyText"/>
        <w:numPr>
          <w:ilvl w:val="0"/>
          <w:numId w:val="131"/>
        </w:numPr>
        <w:tabs>
          <w:tab w:val="left" w:pos="1531"/>
        </w:tabs>
        <w:spacing w:before="72"/>
        <w:ind w:hanging="283"/>
      </w:pPr>
      <w:r>
        <w:t xml:space="preserve">the debt </w:t>
      </w:r>
      <w:r>
        <w:rPr>
          <w:spacing w:val="-1"/>
        </w:rPr>
        <w:t>margin</w:t>
      </w:r>
      <w:r>
        <w:t xml:space="preserve"> for a BBB </w:t>
      </w:r>
      <w:r>
        <w:rPr>
          <w:spacing w:val="-1"/>
        </w:rPr>
        <w:t>corporate</w:t>
      </w:r>
      <w:r>
        <w:t xml:space="preserve"> bond to be 3.13% as </w:t>
      </w:r>
      <w:r>
        <w:rPr>
          <w:spacing w:val="-2"/>
        </w:rPr>
        <w:t>at</w:t>
      </w:r>
      <w:r>
        <w:t xml:space="preserve"> 31 May 2013,</w:t>
      </w:r>
      <w:r>
        <w:rPr>
          <w:spacing w:val="-6"/>
        </w:rPr>
        <w:t xml:space="preserve"> </w:t>
      </w:r>
      <w:r>
        <w:t>and</w:t>
      </w:r>
    </w:p>
    <w:p w:rsidR="00D96B91" w:rsidRDefault="00C2656B">
      <w:pPr>
        <w:pStyle w:val="BodyText"/>
        <w:numPr>
          <w:ilvl w:val="0"/>
          <w:numId w:val="131"/>
        </w:numPr>
        <w:tabs>
          <w:tab w:val="left" w:pos="1531"/>
        </w:tabs>
        <w:spacing w:before="72"/>
        <w:ind w:hanging="283"/>
      </w:pPr>
      <w:r>
        <w:t xml:space="preserve">the </w:t>
      </w:r>
      <w:r>
        <w:rPr>
          <w:spacing w:val="-1"/>
        </w:rPr>
        <w:t>overall</w:t>
      </w:r>
      <w:r>
        <w:t xml:space="preserve"> cost of</w:t>
      </w:r>
      <w:r>
        <w:rPr>
          <w:spacing w:val="4"/>
        </w:rPr>
        <w:t xml:space="preserve"> </w:t>
      </w:r>
      <w:r>
        <w:t xml:space="preserve">debt to be 6.48% as </w:t>
      </w:r>
      <w:r>
        <w:rPr>
          <w:spacing w:val="-2"/>
        </w:rPr>
        <w:t>at</w:t>
      </w:r>
      <w:r>
        <w:t xml:space="preserve"> 31 May 2013.</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548"/>
      </w:pPr>
      <w:r>
        <w:rPr>
          <w:spacing w:val="-2"/>
        </w:rPr>
        <w:t>The</w:t>
      </w:r>
      <w:r>
        <w:rPr>
          <w:spacing w:val="-1"/>
        </w:rPr>
        <w:t xml:space="preserve"> </w:t>
      </w:r>
      <w:r>
        <w:rPr>
          <w:spacing w:val="-4"/>
        </w:rPr>
        <w:t>Panel’s</w:t>
      </w:r>
      <w:r>
        <w:t xml:space="preserve"> </w:t>
      </w:r>
      <w:r>
        <w:rPr>
          <w:spacing w:val="-1"/>
        </w:rPr>
        <w:t>estimate</w:t>
      </w:r>
      <w:r>
        <w:t xml:space="preserve"> of</w:t>
      </w:r>
      <w:r>
        <w:rPr>
          <w:spacing w:val="4"/>
        </w:rPr>
        <w:t xml:space="preserve"> </w:t>
      </w:r>
      <w:r>
        <w:t>the</w:t>
      </w:r>
      <w:r>
        <w:rPr>
          <w:spacing w:val="-1"/>
        </w:rPr>
        <w:t xml:space="preserve"> </w:t>
      </w:r>
      <w:r>
        <w:t>cost of</w:t>
      </w:r>
      <w:r>
        <w:rPr>
          <w:spacing w:val="4"/>
        </w:rPr>
        <w:t xml:space="preserve"> </w:t>
      </w:r>
      <w:r>
        <w:t>debt is higher</w:t>
      </w:r>
      <w:r>
        <w:rPr>
          <w:spacing w:val="-1"/>
        </w:rPr>
        <w:t xml:space="preserve"> </w:t>
      </w:r>
      <w:r>
        <w:t>than the value used in</w:t>
      </w:r>
      <w:r>
        <w:rPr>
          <w:spacing w:val="-1"/>
        </w:rPr>
        <w:t xml:space="preserve"> </w:t>
      </w:r>
      <w:r>
        <w:t xml:space="preserve">the </w:t>
      </w:r>
      <w:r>
        <w:rPr>
          <w:spacing w:val="-2"/>
        </w:rPr>
        <w:t>ICRC’s</w:t>
      </w:r>
      <w:r>
        <w:t xml:space="preserve"> final decision</w:t>
      </w:r>
      <w:r>
        <w:rPr>
          <w:spacing w:val="33"/>
        </w:rPr>
        <w:t xml:space="preserve"> </w:t>
      </w:r>
      <w:r>
        <w:t>(5.5%,</w:t>
      </w:r>
      <w:r>
        <w:rPr>
          <w:spacing w:val="-6"/>
        </w:rPr>
        <w:t xml:space="preserve"> </w:t>
      </w:r>
      <w:r>
        <w:t>see</w:t>
      </w:r>
      <w:r>
        <w:rPr>
          <w:spacing w:val="-5"/>
        </w:rPr>
        <w:t xml:space="preserve"> </w:t>
      </w:r>
      <w:hyperlink w:anchor="_bookmark88" w:history="1">
        <w:r>
          <w:rPr>
            <w:spacing w:val="-4"/>
          </w:rPr>
          <w:t>Table</w:t>
        </w:r>
        <w:r>
          <w:t xml:space="preserve"> 10.2)</w:t>
        </w:r>
      </w:hyperlink>
      <w:r>
        <w:t xml:space="preserve"> and lower than</w:t>
      </w:r>
      <w:r>
        <w:rPr>
          <w:spacing w:val="-4"/>
        </w:rPr>
        <w:t xml:space="preserve"> </w:t>
      </w:r>
      <w:r>
        <w:rPr>
          <w:spacing w:val="-2"/>
        </w:rPr>
        <w:t>ACTEW</w:t>
      </w:r>
      <w:r>
        <w:rPr>
          <w:spacing w:val="-3"/>
        </w:rPr>
        <w:t xml:space="preserve"> </w:t>
      </w:r>
      <w:r>
        <w:rPr>
          <w:spacing w:val="-1"/>
        </w:rPr>
        <w:t>proposed</w:t>
      </w:r>
      <w:r>
        <w:t xml:space="preserve"> (7.83%,</w:t>
      </w:r>
      <w:r>
        <w:rPr>
          <w:spacing w:val="-6"/>
        </w:rPr>
        <w:t xml:space="preserve"> </w:t>
      </w:r>
      <w:r>
        <w:t>see</w:t>
      </w:r>
      <w:r>
        <w:rPr>
          <w:spacing w:val="-5"/>
        </w:rPr>
        <w:t xml:space="preserve"> </w:t>
      </w:r>
      <w:hyperlink w:anchor="_bookmark89" w:history="1">
        <w:r>
          <w:rPr>
            <w:spacing w:val="-4"/>
          </w:rPr>
          <w:t>Table</w:t>
        </w:r>
        <w:r>
          <w:t xml:space="preserve"> 10.3).</w:t>
        </w:r>
      </w:hyperlink>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2"/>
        </w:numPr>
        <w:tabs>
          <w:tab w:val="left" w:pos="2098"/>
        </w:tabs>
        <w:ind w:hanging="850"/>
      </w:pPr>
      <w:r>
        <w:rPr>
          <w:color w:val="0778BE"/>
          <w:spacing w:val="-1"/>
        </w:rPr>
        <w:t>Cost</w:t>
      </w:r>
      <w:r>
        <w:rPr>
          <w:color w:val="0778BE"/>
        </w:rPr>
        <w:t xml:space="preserve"> of</w:t>
      </w:r>
      <w:r>
        <w:rPr>
          <w:color w:val="0778BE"/>
          <w:spacing w:val="5"/>
        </w:rPr>
        <w:t xml:space="preserve"> </w:t>
      </w:r>
      <w:r>
        <w:rPr>
          <w:color w:val="0778BE"/>
        </w:rPr>
        <w:t>equity</w:t>
      </w:r>
    </w:p>
    <w:p w:rsidR="00D96B91" w:rsidRDefault="00C2656B">
      <w:pPr>
        <w:pStyle w:val="BodyText"/>
        <w:spacing w:before="21" w:line="260" w:lineRule="exact"/>
        <w:ind w:right="1283"/>
      </w:pPr>
      <w:r>
        <w:rPr>
          <w:spacing w:val="-2"/>
        </w:rPr>
        <w:t>The</w:t>
      </w:r>
      <w:r>
        <w:t xml:space="preserve"> cost of</w:t>
      </w:r>
      <w:r>
        <w:rPr>
          <w:spacing w:val="4"/>
        </w:rPr>
        <w:t xml:space="preserve"> </w:t>
      </w:r>
      <w:r>
        <w:t xml:space="preserve">equity is the </w:t>
      </w:r>
      <w:r>
        <w:rPr>
          <w:spacing w:val="-1"/>
        </w:rPr>
        <w:t>return</w:t>
      </w:r>
      <w:r>
        <w:t xml:space="preserve"> </w:t>
      </w:r>
      <w:r>
        <w:rPr>
          <w:spacing w:val="-1"/>
        </w:rPr>
        <w:t>that</w:t>
      </w:r>
      <w:r>
        <w:t xml:space="preserve"> a business is </w:t>
      </w:r>
      <w:r>
        <w:rPr>
          <w:spacing w:val="-1"/>
        </w:rPr>
        <w:t>expected</w:t>
      </w:r>
      <w:r>
        <w:t xml:space="preserve"> to pay to </w:t>
      </w:r>
      <w:r>
        <w:rPr>
          <w:spacing w:val="-1"/>
        </w:rPr>
        <w:t>shareholders</w:t>
      </w:r>
      <w:r>
        <w:t xml:space="preserve"> to fund its assets</w:t>
      </w:r>
      <w:r>
        <w:rPr>
          <w:spacing w:val="41"/>
        </w:rPr>
        <w:t xml:space="preserve"> </w:t>
      </w:r>
      <w:r>
        <w:rPr>
          <w:spacing w:val="-1"/>
        </w:rPr>
        <w:t xml:space="preserve">through </w:t>
      </w:r>
      <w:r>
        <w:t>equity</w:t>
      </w:r>
      <w:r>
        <w:rPr>
          <w:spacing w:val="-1"/>
        </w:rPr>
        <w:t xml:space="preserve"> </w:t>
      </w:r>
      <w:r>
        <w:t>financing,</w:t>
      </w:r>
      <w:r>
        <w:rPr>
          <w:spacing w:val="-7"/>
        </w:rPr>
        <w:t xml:space="preserve"> </w:t>
      </w:r>
      <w:r>
        <w:t>and</w:t>
      </w:r>
      <w:r>
        <w:rPr>
          <w:spacing w:val="-1"/>
        </w:rPr>
        <w:t xml:space="preserve"> </w:t>
      </w:r>
      <w:r>
        <w:t>is</w:t>
      </w:r>
      <w:r>
        <w:rPr>
          <w:spacing w:val="-1"/>
        </w:rPr>
        <w:t xml:space="preserve"> </w:t>
      </w:r>
      <w:r>
        <w:t>usually</w:t>
      </w:r>
      <w:r>
        <w:rPr>
          <w:spacing w:val="-1"/>
        </w:rPr>
        <w:t xml:space="preserve"> estimated</w:t>
      </w:r>
      <w:r>
        <w:t xml:space="preserve"> by</w:t>
      </w:r>
      <w:r>
        <w:rPr>
          <w:spacing w:val="-1"/>
        </w:rPr>
        <w:t xml:space="preserve"> regulators </w:t>
      </w:r>
      <w:r>
        <w:t>using the</w:t>
      </w:r>
      <w:r>
        <w:rPr>
          <w:spacing w:val="-1"/>
        </w:rPr>
        <w:t xml:space="preserve"> </w:t>
      </w:r>
      <w:r>
        <w:t>Sharpe-Lintner</w:t>
      </w:r>
      <w:r>
        <w:rPr>
          <w:spacing w:val="-1"/>
        </w:rPr>
        <w:t xml:space="preserve"> Capital</w:t>
      </w:r>
      <w:r>
        <w:rPr>
          <w:spacing w:val="-4"/>
        </w:rPr>
        <w:t xml:space="preserve"> </w:t>
      </w:r>
      <w:r>
        <w:t>Asset</w:t>
      </w:r>
      <w:r>
        <w:rPr>
          <w:spacing w:val="35"/>
        </w:rPr>
        <w:t xml:space="preserve"> </w:t>
      </w:r>
      <w:r>
        <w:rPr>
          <w:spacing w:val="-2"/>
        </w:rPr>
        <w:t>Pricing</w:t>
      </w:r>
      <w:r>
        <w:t xml:space="preserve"> Model (S-L</w:t>
      </w:r>
      <w:r>
        <w:rPr>
          <w:spacing w:val="-5"/>
        </w:rPr>
        <w:t xml:space="preserve"> </w:t>
      </w:r>
      <w:r>
        <w:rPr>
          <w:spacing w:val="-1"/>
        </w:rPr>
        <w:t>CAPM):</w:t>
      </w:r>
    </w:p>
    <w:p w:rsidR="00D96B91" w:rsidRDefault="00D96B91">
      <w:pPr>
        <w:spacing w:before="7"/>
        <w:rPr>
          <w:rFonts w:ascii="Avenir Next" w:eastAsia="Avenir Next" w:hAnsi="Avenir Next" w:cs="Avenir Next"/>
          <w:sz w:val="24"/>
          <w:szCs w:val="24"/>
        </w:rPr>
      </w:pPr>
    </w:p>
    <w:p w:rsidR="00D96B91" w:rsidRDefault="00D96B91">
      <w:pPr>
        <w:spacing w:line="60" w:lineRule="atLeast"/>
        <w:ind w:left="4139"/>
        <w:rPr>
          <w:rFonts w:ascii="Avenir Next" w:eastAsia="Avenir Next" w:hAnsi="Avenir Next" w:cs="Avenir Next"/>
          <w:sz w:val="11"/>
          <w:szCs w:val="11"/>
        </w:rPr>
      </w:pPr>
      <w:r w:rsidRPr="00D96B91">
        <w:rPr>
          <w:rFonts w:ascii="Avenir Next"/>
          <w:position w:val="3"/>
          <w:sz w:val="20"/>
        </w:rPr>
      </w:r>
      <w:r w:rsidRPr="00D96B91">
        <w:rPr>
          <w:rFonts w:ascii="Avenir Next"/>
          <w:position w:val="3"/>
          <w:sz w:val="20"/>
        </w:rPr>
        <w:pict>
          <v:group id="_x0000_s2016" style="width:29.4pt;height:11.15pt;mso-position-horizontal-relative:char;mso-position-vertical-relative:line" coordsize="588,223">
            <v:group id="_x0000_s2029" style="position:absolute;top:9;width:139;height:160" coordorigin=",9" coordsize="139,160">
              <v:shape id="_x0000_s2034" style="position:absolute;top:9;width:139;height:160" coordorigin=",9" coordsize="139,160" path="m139,9l31,9r-2,6l33,15r3,1l40,19r1,3l41,30r-1,6l17,142,1,164,,169r104,l107,159r-73,l49,91r50,l102,81r-51,l65,20r71,l139,9xe" fillcolor="black" stroked="f">
                <v:path arrowok="t"/>
              </v:shape>
              <v:shape id="_x0000_s2033" style="position:absolute;top:9;width:139;height:160" coordorigin=",9" coordsize="139,160" path="m114,129r-11,l100,135r-3,5l73,159r34,l114,129xe" fillcolor="black" stroked="f">
                <v:path arrowok="t"/>
              </v:shape>
              <v:shape id="_x0000_s2032" style="position:absolute;top:9;width:139;height:160" coordorigin=",9" coordsize="139,160" path="m99,91r-23,l79,92r3,1l83,94r2,5l85,103r,6l95,109,99,91xe" fillcolor="black" stroked="f">
                <v:path arrowok="t"/>
              </v:shape>
              <v:shape id="_x0000_s2031" style="position:absolute;top:9;width:139;height:160" coordorigin=",9" coordsize="139,160" path="m106,64r-11,l92,70r-3,5l83,80r-4,1l102,81r4,-17xe" fillcolor="black" stroked="f">
                <v:path arrowok="t"/>
              </v:shape>
              <v:shape id="_x0000_s2030" style="position:absolute;top:9;width:139;height:160" coordorigin=",9" coordsize="139,160" path="m136,20r-30,l108,20r4,1l119,45r11,l136,20xe" fillcolor="black" stroked="f">
                <v:path arrowok="t"/>
              </v:shape>
            </v:group>
            <v:group id="_x0000_s2027" style="position:absolute;left:174;top:5;width:73;height:218" coordorigin="174,5" coordsize="73,218">
              <v:shape id="_x0000_s2028" style="position:absolute;left:174;top:5;width:73;height:218" coordorigin="174,5" coordsize="73,218" path="m230,5l186,49r-12,84l178,151r30,52l244,222r2,-9l229,205,215,191,203,171r-5,-18l194,133r-1,-23l193,109,214,32,247,9,230,5xe" fillcolor="black" stroked="f">
                <v:path arrowok="t"/>
              </v:shape>
            </v:group>
            <v:group id="_x0000_s2023" style="position:absolute;left:259;top:9;width:134;height:160" coordorigin="259,9" coordsize="134,160">
              <v:shape id="_x0000_s2026" style="position:absolute;left:259;top:9;width:134;height:160" coordorigin="259,9" coordsize="134,160" path="m350,9r-60,l289,15r4,l296,16r3,3l300,21r,9l299,36,276,142r-15,22l259,169r48,l309,164r-4,-1l302,163r-3,-1l298,161r-2,-3l296,156r,-6l298,135r9,-37l351,98r-2,-1l349,96r14,-5l369,88r-60,l324,20r4,l342,20r41,l379,17r-7,-4l368,12,357,10,350,9xe" fillcolor="black" stroked="f">
                <v:path arrowok="t"/>
              </v:shape>
              <v:shape id="_x0000_s2025" style="position:absolute;left:259;top:9;width:134;height:160" coordorigin="259,9" coordsize="134,160" path="m351,98r-28,l326,98r4,1l341,120r6,25l348,154r3,8l353,169r33,l387,164r-4,-1l380,162,364,123r-2,-7l360,111r-4,-8l353,100r-2,-2xe" fillcolor="black" stroked="f">
                <v:path arrowok="t"/>
              </v:shape>
              <v:shape id="_x0000_s2024" style="position:absolute;left:259;top:9;width:134;height:160" coordorigin="259,9" coordsize="134,160" path="m383,20r-41,l346,20r7,1l371,54r-2,7l361,75r-5,5l343,86r-9,2l369,88r5,-3l389,68r4,-10l393,41r-1,-4l389,29r-1,-3l383,20xe" fillcolor="black" stroked="f">
                <v:path arrowok="t"/>
              </v:shape>
            </v:group>
            <v:group id="_x0000_s2019" style="position:absolute;left:412;top:132;width:74;height:87" coordorigin="412,132" coordsize="74,87">
              <v:shape id="_x0000_s2022" style="position:absolute;left:412;top:132;width:74;height:87" coordorigin="412,132" coordsize="74,87" path="m471,132r-15,l449,134r-13,7l430,145r-4,6l423,154r-11,42l413,198r22,21l446,219r7,-2l466,211r4,-3l438,208r-4,-1l429,201r-1,-4l428,187r,-4l429,182r8,-2l464,176r6,-4l431,172r1,-4l458,141r26,l484,140r-7,-6l471,132xe" fillcolor="black" stroked="f">
                <v:path arrowok="t"/>
              </v:shape>
              <v:shape id="_x0000_s2021" style="position:absolute;left:412;top:132;width:74;height:87" coordorigin="412,132" coordsize="74,87" path="m473,193r-27,15l470,208r3,-2l479,200r-6,-7xe" fillcolor="black" stroked="f">
                <v:path arrowok="t"/>
              </v:shape>
              <v:shape id="_x0000_s2020" style="position:absolute;left:412;top:132;width:74;height:87" coordorigin="412,132" coordsize="74,87" path="m484,141r-20,l466,142r4,3l471,148r-1,7l470,157r-39,15l470,172r10,-6l486,151r,-7l484,141xe" fillcolor="black" stroked="f">
                <v:path arrowok="t"/>
              </v:shape>
            </v:group>
            <v:group id="_x0000_s2017" style="position:absolute;left:514;width:74;height:217" coordorigin="514" coordsize="74,217">
              <v:shape id="_x0000_s2018" style="position:absolute;left:514;width:74;height:217" coordorigin="514" coordsize="74,217" path="m517,r13,17l545,30r12,20l563,68r3,20l568,110r,3l547,190r-33,23l532,217r44,-46l588,110,587,91,566,34,536,7,517,xe" fillcolor="black" stroked="f">
                <v:path arrowok="t"/>
              </v:shape>
            </v:group>
            <w10:wrap type="none"/>
            <w10:anchorlock/>
          </v:group>
        </w:pict>
      </w:r>
      <w:r w:rsidR="00C2656B">
        <w:rPr>
          <w:rFonts w:ascii="Times New Roman"/>
          <w:spacing w:val="80"/>
          <w:position w:val="3"/>
          <w:sz w:val="6"/>
        </w:rPr>
        <w:t xml:space="preserve"> </w:t>
      </w:r>
      <w:r w:rsidRPr="00D96B91">
        <w:rPr>
          <w:rFonts w:ascii="Avenir Next"/>
          <w:spacing w:val="80"/>
          <w:position w:val="12"/>
          <w:sz w:val="6"/>
        </w:rPr>
      </w:r>
      <w:r w:rsidRPr="00D96B91">
        <w:rPr>
          <w:rFonts w:ascii="Avenir Next"/>
          <w:spacing w:val="80"/>
          <w:position w:val="12"/>
          <w:sz w:val="6"/>
        </w:rPr>
        <w:pict>
          <v:group id="_x0000_s2011" style="width:8.1pt;height:3.35pt;mso-position-horizontal-relative:char;mso-position-vertical-relative:line" coordsize="162,67">
            <v:group id="_x0000_s2014" style="position:absolute;left:9;top:57;width:145;height:2" coordorigin="9,57" coordsize="145,2">
              <v:shape id="_x0000_s2015" style="position:absolute;left:9;top:57;width:145;height:2" coordorigin="9,57" coordsize="145,0" path="m9,57r144,e" filled="f" strokeweight=".31008mm">
                <v:path arrowok="t"/>
              </v:shape>
            </v:group>
            <v:group id="_x0000_s2012" style="position:absolute;left:9;top:9;width:145;height:2" coordorigin="9,9" coordsize="145,2">
              <v:shape id="_x0000_s2013" style="position:absolute;left:9;top:9;width:145;height:2" coordorigin="9,9" coordsize="145,0" path="m9,9r144,e" filled="f" strokeweight=".31008mm">
                <v:path arrowok="t"/>
              </v:shape>
            </v:group>
            <w10:wrap type="none"/>
            <w10:anchorlock/>
          </v:group>
        </w:pict>
      </w:r>
      <w:r w:rsidR="00C2656B">
        <w:rPr>
          <w:rFonts w:ascii="Times New Roman"/>
          <w:spacing w:val="65"/>
          <w:position w:val="12"/>
          <w:sz w:val="6"/>
        </w:rPr>
        <w:t xml:space="preserve"> </w:t>
      </w:r>
      <w:r w:rsidRPr="00D96B91">
        <w:rPr>
          <w:rFonts w:ascii="Avenir Next"/>
          <w:spacing w:val="65"/>
          <w:sz w:val="20"/>
        </w:rPr>
      </w:r>
      <w:r w:rsidRPr="00D96B91">
        <w:rPr>
          <w:rFonts w:ascii="Avenir Next"/>
          <w:spacing w:val="65"/>
          <w:sz w:val="20"/>
        </w:rPr>
        <w:pict>
          <v:group id="_x0000_s2002" style="width:11.35pt;height:12.1pt;mso-position-horizontal-relative:char;mso-position-vertical-relative:line" coordsize="227,242">
            <v:group id="_x0000_s2007" style="position:absolute;width:134;height:160" coordsize="134,160">
              <v:shape id="_x0000_s2010" style="position:absolute;width:134;height:160" coordsize="134,160" path="m91,l31,,29,6r4,l36,7r4,3l41,12r,9l40,27,17,133,1,154,,160r48,l49,154r-3,l43,153r-3,-1l39,151r-2,-3l37,147r,-6l39,126,47,89r45,l90,87r,-1l104,82r5,-3l50,79,65,11r4,-1l83,10r40,l120,8,113,4,108,2,98,1,91,xe" fillcolor="black" stroked="f">
                <v:path arrowok="t"/>
              </v:shape>
              <v:shape id="_x0000_s2009" style="position:absolute;width:134;height:160" coordsize="134,160" path="m92,89r-28,l67,89r4,1l82,110r5,26l89,145r2,8l94,160r32,l128,154r-4,l121,153,105,114r-2,-7l101,101,97,94,94,90,92,89xe" fillcolor="black" stroked="f">
                <v:path arrowok="t"/>
              </v:shape>
              <v:shape id="_x0000_s2008" style="position:absolute;width:134;height:160" coordsize="134,160" path="m123,10r-40,l87,11r6,l112,45r-2,7l102,66r-5,5l84,77r-9,2l109,79r6,-4l130,58r3,-10l133,32r,-4l130,20r-2,-3l123,10xe" fillcolor="black" stroked="f">
                <v:path arrowok="t"/>
              </v:shape>
            </v:group>
            <v:group id="_x0000_s2003" style="position:absolute;left:129;top:92;width:98;height:150" coordorigin="129,92" coordsize="98,150">
              <v:shape id="_x0000_s2006" style="position:absolute;left:129;top:92;width:98;height:150" coordorigin="129,92" coordsize="98,150" path="m186,134r-16,l152,213r-1,4l137,232r-6,l130,233r,2l129,238r,3l130,241r14,l152,238r6,-6l137,232r-6,l158,232r6,-6l168,217r2,-12l186,134xe" fillcolor="black" stroked="f">
                <v:path arrowok="t"/>
              </v:shape>
              <v:shape id="_x0000_s2005" style="position:absolute;left:129;top:92;width:98;height:150" coordorigin="129,92" coordsize="98,150" path="m201,92r-8,2l180,104r-5,8l172,122r-1,2l157,128r-1,6l209,134r2,-9l187,125r1,-3l203,100r22,l226,93r-2,l222,92r-5,l201,92xe" fillcolor="black" stroked="f">
                <v:path arrowok="t"/>
              </v:shape>
              <v:shape id="_x0000_s2004" style="position:absolute;left:129;top:92;width:98;height:150" coordorigin="129,92" coordsize="98,150" path="m225,100r-17,l210,100r3,3l214,106r1,3l223,109r2,-9xe" fillcolor="black" stroked="f">
                <v:path arrowok="t"/>
              </v:shape>
            </v:group>
            <w10:wrap type="none"/>
            <w10:anchorlock/>
          </v:group>
        </w:pict>
      </w:r>
      <w:r w:rsidR="00C2656B">
        <w:rPr>
          <w:rFonts w:ascii="Times New Roman"/>
          <w:spacing w:val="65"/>
          <w:sz w:val="6"/>
        </w:rPr>
        <w:t xml:space="preserve"> </w:t>
      </w:r>
      <w:r w:rsidR="00C2656B">
        <w:rPr>
          <w:rFonts w:ascii="Avenir Next"/>
          <w:noProof/>
          <w:spacing w:val="65"/>
          <w:position w:val="3"/>
          <w:sz w:val="20"/>
          <w:lang w:val="en-AU" w:eastAsia="en-AU"/>
        </w:rPr>
        <w:drawing>
          <wp:inline distT="0" distB="0" distL="0" distR="0">
            <wp:extent cx="954972" cy="147637"/>
            <wp:effectExtent l="0" t="0" r="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70" cstate="print"/>
                    <a:stretch>
                      <a:fillRect/>
                    </a:stretch>
                  </pic:blipFill>
                  <pic:spPr>
                    <a:xfrm>
                      <a:off x="0" y="0"/>
                      <a:ext cx="954972" cy="147637"/>
                    </a:xfrm>
                    <a:prstGeom prst="rect">
                      <a:avLst/>
                    </a:prstGeom>
                  </pic:spPr>
                </pic:pic>
              </a:graphicData>
            </a:graphic>
          </wp:inline>
        </w:drawing>
      </w:r>
      <w:r w:rsidR="00C2656B">
        <w:rPr>
          <w:rFonts w:ascii="Times New Roman"/>
          <w:spacing w:val="63"/>
          <w:position w:val="3"/>
          <w:sz w:val="6"/>
        </w:rPr>
        <w:t xml:space="preserve"> </w:t>
      </w:r>
      <w:r w:rsidRPr="00D96B91">
        <w:rPr>
          <w:rFonts w:ascii="Avenir Next"/>
          <w:spacing w:val="63"/>
          <w:sz w:val="20"/>
        </w:rPr>
      </w:r>
      <w:r w:rsidRPr="00D96B91">
        <w:rPr>
          <w:rFonts w:ascii="Avenir Next"/>
          <w:spacing w:val="63"/>
          <w:sz w:val="20"/>
        </w:rPr>
        <w:pict>
          <v:group id="_x0000_s1989" style="width:27.75pt;height:12.55pt;mso-position-horizontal-relative:char;mso-position-vertical-relative:line" coordsize="555,251">
            <v:group id="_x0000_s2000" style="position:absolute;left:9;top:101;width:145;height:2" coordorigin="9,101" coordsize="145,2">
              <v:shape id="_x0000_s2001" style="position:absolute;left:9;top:101;width:145;height:2" coordorigin="9,101" coordsize="145,0" path="m9,101r144,e" filled="f" strokeweight=".31008mm">
                <v:path arrowok="t"/>
              </v:shape>
            </v:group>
            <v:group id="_x0000_s1996" style="position:absolute;left:231;top:9;width:134;height:160" coordorigin="231,9" coordsize="134,160">
              <v:shape id="_x0000_s1999" style="position:absolute;left:231;top:9;width:134;height:160" coordorigin="231,9" coordsize="134,160" path="m322,9r-60,l260,15r4,l267,16r4,3l272,21r,9l271,36,247,142r-15,22l231,169r48,l280,164r-4,-1l274,163r-3,-1l269,161r-1,-3l267,156r1,-6l270,135r8,-37l322,98r-1,-1l321,96r14,-5l340,88r-60,l295,20r5,l314,20r40,l351,17r-7,-4l339,12,329,10,322,9xe" fillcolor="black" stroked="f">
                <v:path arrowok="t"/>
              </v:shape>
              <v:shape id="_x0000_s1998" style="position:absolute;left:231;top:9;width:134;height:160" coordorigin="231,9" coordsize="134,160" path="m322,98r-27,l297,98r5,1l313,120r5,25l320,154r2,8l325,169r32,l358,164r-3,-1l352,162,335,123r-1,-7l332,111r-5,-8l324,100r-2,-2xe" fillcolor="black" stroked="f">
                <v:path arrowok="t"/>
              </v:shape>
              <v:shape id="_x0000_s1997" style="position:absolute;left:231;top:9;width:134;height:160" coordorigin="231,9" coordsize="134,160" path="m354,20r-40,l318,20r6,1l342,54r-2,7l333,75r-5,5l314,86r-8,2l340,88r6,-3l360,68r4,-10l364,41r,-4l361,29r-2,-3l354,20xe" fillcolor="black" stroked="f">
                <v:path arrowok="t"/>
              </v:shape>
            </v:group>
            <v:group id="_x0000_s1992" style="position:absolute;left:360;top:101;width:98;height:150" coordorigin="360,101" coordsize="98,150">
              <v:shape id="_x0000_s1995" style="position:absolute;left:360;top:101;width:98;height:150" coordorigin="360,101" coordsize="98,150" path="m416,143r-15,l383,222r-1,4l368,242r-7,l361,243r,1l360,249r,1l361,250r14,l383,248r6,-6l368,242r-6,-1l389,241r5,-5l399,227r2,-12l416,143xe" fillcolor="black" stroked="f">
                <v:path arrowok="t"/>
              </v:shape>
              <v:shape id="_x0000_s1994" style="position:absolute;left:360;top:101;width:98;height:150" coordorigin="360,101" coordsize="98,150" path="m432,101r-8,3l411,113r-5,8l402,132r,1l388,137r-2,6l439,143r2,-9l418,134r1,-2l434,109r22,l457,103r-2,-1l453,102r-5,-1l432,101xe" fillcolor="black" stroked="f">
                <v:path arrowok="t"/>
              </v:shape>
              <v:shape id="_x0000_s1993" style="position:absolute;left:360;top:101;width:98;height:150" coordorigin="360,101" coordsize="98,150" path="m456,109r-17,l441,110r3,3l445,115r,3l454,118r2,-9xe" fillcolor="black" stroked="f">
                <v:path arrowok="t"/>
              </v:shape>
            </v:group>
            <v:group id="_x0000_s1990" style="position:absolute;left:481;width:74;height:217" coordorigin="481" coordsize="74,217">
              <v:shape id="_x0000_s1991" style="position:absolute;left:481;width:74;height:217" coordorigin="481" coordsize="74,217" path="m484,r13,17l512,30r12,20l530,68r3,20l534,110r,3l514,190r-33,23l499,217r44,-46l555,110,553,91,533,34,503,7,484,xe" fillcolor="black" stroked="f">
                <v:path arrowok="t"/>
              </v:shape>
            </v:group>
            <w10:wrap type="none"/>
            <w10:anchorlock/>
          </v:group>
        </w:pict>
      </w:r>
      <w:r w:rsidR="00C2656B">
        <w:rPr>
          <w:rFonts w:ascii="Times New Roman"/>
          <w:spacing w:val="73"/>
          <w:sz w:val="6"/>
        </w:rPr>
        <w:t xml:space="preserve"> </w:t>
      </w:r>
      <w:r w:rsidRPr="00D96B91">
        <w:rPr>
          <w:rFonts w:ascii="Avenir Next"/>
          <w:spacing w:val="73"/>
          <w:position w:val="8"/>
          <w:sz w:val="11"/>
        </w:rPr>
      </w:r>
      <w:r w:rsidRPr="00D96B91">
        <w:rPr>
          <w:rFonts w:ascii="Avenir Next"/>
          <w:spacing w:val="73"/>
          <w:position w:val="8"/>
          <w:sz w:val="11"/>
        </w:rPr>
        <w:pict>
          <v:group id="_x0000_s1979" style="width:9.7pt;height:5.7pt;mso-position-horizontal-relative:char;mso-position-vertical-relative:line" coordsize="194,114">
            <v:group id="_x0000_s1986" style="position:absolute;width:104;height:114" coordsize="104,114">
              <v:shape id="_x0000_s1988" style="position:absolute;width:104;height:114" coordsize="104,114" path="m52,l43,,35,2,19,12r-7,7l2,38,,48,,60,4,78,14,97r16,13l51,114r10,l70,111r9,-6l45,105r-8,-5l30,87,24,69,22,48r,-10l44,8r33,l72,4,52,xe" fillcolor="black" stroked="f">
                <v:path arrowok="t"/>
              </v:shape>
              <v:shape id="_x0000_s1987" style="position:absolute;width:104;height:114" coordsize="104,114" path="m77,8l57,8r7,3l73,24r7,18l82,64r,15l79,90,69,102r-6,3l79,105r7,-4l92,94r9,-20l104,64r,-11l100,34,89,16,77,8xe" fillcolor="black" stroked="f">
                <v:path arrowok="t"/>
              </v:shape>
            </v:group>
            <v:group id="_x0000_s1980" style="position:absolute;left:113;width:80;height:111" coordorigin="113" coordsize="80,111">
              <v:shape id="_x0000_s1985" style="position:absolute;left:113;width:80;height:111" coordorigin="113" coordsize="80,111" path="m170,106r-55,l115,111r55,l170,106xe" fillcolor="black" stroked="f">
                <v:path arrowok="t"/>
              </v:shape>
              <v:shape id="_x0000_s1984" style="position:absolute;left:113;width:80;height:111" coordorigin="113" coordsize="80,111" path="m151,16r-26,l127,16r2,2l130,20r1,5l131,96r,l130,100r-1,2l124,105r-4,1l165,106,151,91r,-57l155,27r1,-3l151,24r,-8xe" fillcolor="black" stroked="f">
                <v:path arrowok="t"/>
              </v:shape>
              <v:shape id="_x0000_s1983" style="position:absolute;left:113;width:80;height:111" coordorigin="113" coordsize="80,111" path="m183,l169,r-9,8l151,24r5,l158,21r4,-3l163,17r2,-1l193,16r,-6l192,7,186,1,183,xe" fillcolor="black" stroked="f">
                <v:path arrowok="t"/>
              </v:shape>
              <v:shape id="_x0000_s1982" style="position:absolute;left:113;width:80;height:111" coordorigin="113" coordsize="80,111" path="m193,16r-25,l170,17r7,6l180,24r6,l188,23r4,-4l193,16r,xe" fillcolor="black" stroked="f">
                <v:path arrowok="t"/>
              </v:shape>
              <v:shape id="_x0000_s1981" style="position:absolute;left:113;width:80;height:111" coordorigin="113" coordsize="80,111" path="m151,r-5,l113,13r2,4l118,16r2,l151,16,151,xe" fillcolor="black" stroked="f">
                <v:path arrowok="t"/>
              </v:shape>
            </v:group>
            <w10:wrap type="none"/>
            <w10:anchorlock/>
          </v:group>
        </w:pict>
      </w:r>
    </w:p>
    <w:p w:rsidR="00D96B91" w:rsidRDefault="00D96B91">
      <w:pPr>
        <w:spacing w:before="13"/>
        <w:rPr>
          <w:rFonts w:ascii="Avenir Next" w:eastAsia="Avenir Next" w:hAnsi="Avenir Next" w:cs="Avenir Next"/>
          <w:sz w:val="21"/>
          <w:szCs w:val="21"/>
        </w:rPr>
      </w:pPr>
    </w:p>
    <w:p w:rsidR="00D96B91" w:rsidRDefault="00D96B91">
      <w:pPr>
        <w:spacing w:line="60" w:lineRule="atLeast"/>
        <w:ind w:left="4146"/>
        <w:rPr>
          <w:rFonts w:ascii="Avenir Next" w:eastAsia="Avenir Next" w:hAnsi="Avenir Next" w:cs="Avenir Next"/>
          <w:sz w:val="20"/>
          <w:szCs w:val="20"/>
        </w:rPr>
      </w:pPr>
      <w:r w:rsidRPr="00D96B91">
        <w:rPr>
          <w:rFonts w:ascii="Avenir Next"/>
          <w:position w:val="3"/>
          <w:sz w:val="20"/>
        </w:rPr>
      </w:r>
      <w:r w:rsidRPr="00D96B91">
        <w:rPr>
          <w:rFonts w:ascii="Avenir Next"/>
          <w:position w:val="3"/>
          <w:sz w:val="20"/>
        </w:rPr>
        <w:pict>
          <v:group id="_x0000_s1960" style="width:29.55pt;height:11.15pt;mso-position-horizontal-relative:char;mso-position-vertical-relative:line" coordsize="591,223">
            <v:group id="_x0000_s1973" style="position:absolute;top:9;width:139;height:160" coordorigin=",9" coordsize="139,160">
              <v:shape id="_x0000_s1978" style="position:absolute;top:9;width:139;height:160" coordorigin=",9" coordsize="139,160" path="m139,9l31,9r-2,6l33,15r3,1l40,19r1,3l41,30r-1,6l17,142,1,164,,169r104,l107,159r-73,l49,91r50,l102,81r-51,l65,20r71,l139,9xe" fillcolor="black" stroked="f">
                <v:path arrowok="t"/>
              </v:shape>
              <v:shape id="_x0000_s1977" style="position:absolute;top:9;width:139;height:160" coordorigin=",9" coordsize="139,160" path="m114,129r-11,l100,135r-3,5l73,159r34,l114,129xe" fillcolor="black" stroked="f">
                <v:path arrowok="t"/>
              </v:shape>
              <v:shape id="_x0000_s1976" style="position:absolute;top:9;width:139;height:160" coordorigin=",9" coordsize="139,160" path="m99,91r-23,l79,92r3,1l83,94r2,5l85,103r,6l95,109,99,91xe" fillcolor="black" stroked="f">
                <v:path arrowok="t"/>
              </v:shape>
              <v:shape id="_x0000_s1975" style="position:absolute;top:9;width:139;height:160" coordorigin=",9" coordsize="139,160" path="m106,64r-11,l92,70r-3,5l83,80r-4,1l102,81r4,-17xe" fillcolor="black" stroked="f">
                <v:path arrowok="t"/>
              </v:shape>
              <v:shape id="_x0000_s1974" style="position:absolute;top:9;width:139;height:160" coordorigin=",9" coordsize="139,160" path="m136,20r-30,l108,20r4,1l119,45r11,l136,20xe" fillcolor="black" stroked="f">
                <v:path arrowok="t"/>
              </v:shape>
            </v:group>
            <v:group id="_x0000_s1971" style="position:absolute;left:177;top:5;width:73;height:218" coordorigin="177,5" coordsize="73,218">
              <v:shape id="_x0000_s1972" style="position:absolute;left:177;top:5;width:73;height:218" coordorigin="177,5" coordsize="73,218" path="m233,5l188,49r-11,84l180,151r30,52l246,222r2,-9l232,205,218,191,205,171r-5,-18l197,133r-2,-23l195,109,216,32,249,9,233,5xe" fillcolor="black" stroked="f">
                <v:path arrowok="t"/>
              </v:shape>
            </v:group>
            <v:group id="_x0000_s1967" style="position:absolute;left:262;top:9;width:134;height:160" coordorigin="262,9" coordsize="134,160">
              <v:shape id="_x0000_s1970" style="position:absolute;left:262;top:9;width:134;height:160" coordorigin="262,9" coordsize="134,160" path="m353,9r-61,l291,15r4,l298,16r4,3l302,21r1,9l302,36,278,142r-15,22l262,169r48,l311,164r-4,-1l305,163r-4,-1l300,161r-1,-3l298,156r,-6l301,135r8,-37l353,98r-2,-1l351,96r15,-5l371,88r-60,l326,20r5,l345,20r40,l382,17r-8,-4l370,12,360,10,353,9xe" fillcolor="black" stroked="f">
                <v:path arrowok="t"/>
              </v:shape>
              <v:shape id="_x0000_s1969" style="position:absolute;left:262;top:9;width:134;height:160" coordorigin="262,9" coordsize="134,160" path="m353,98r-27,l328,98r5,1l344,120r5,25l351,154r2,8l356,169r32,l389,164r-3,-1l383,162,366,123r-1,-7l363,111r-5,-8l355,100r-2,-2xe" fillcolor="black" stroked="f">
                <v:path arrowok="t"/>
              </v:shape>
              <v:shape id="_x0000_s1968" style="position:absolute;left:262;top:9;width:134;height:160" coordorigin="262,9" coordsize="134,160" path="m385,20r-40,l349,20r6,1l373,54r-2,7l364,75r-6,5l345,86r-9,2l371,88r6,-3l391,68r4,-10l395,41r-1,-4l392,29r-2,-3l385,20xe" fillcolor="black" stroked="f">
                <v:path arrowok="t"/>
              </v:shape>
            </v:group>
            <v:group id="_x0000_s1963" style="position:absolute;left:415;top:132;width:74;height:87" coordorigin="415,132" coordsize="74,87">
              <v:shape id="_x0000_s1966" style="position:absolute;left:415;top:132;width:74;height:87" coordorigin="415,132" coordsize="74,87" path="m474,132r-15,l452,134r-14,7l433,145r-5,6l426,154r-11,42l415,198r22,21l449,219r7,-2l468,211r4,-3l440,208r-3,-1l432,201r-2,-4l430,187r1,-4l431,182r8,-2l466,176r6,-4l433,172r1,-4l460,141r27,l486,140r-7,-6l474,132xe" fillcolor="black" stroked="f">
                <v:path arrowok="t"/>
              </v:shape>
              <v:shape id="_x0000_s1965" style="position:absolute;left:415;top:132;width:74;height:87" coordorigin="415,132" coordsize="74,87" path="m475,193r-27,15l472,208r3,-2l481,200r-6,-7xe" fillcolor="black" stroked="f">
                <v:path arrowok="t"/>
              </v:shape>
              <v:shape id="_x0000_s1964" style="position:absolute;left:415;top:132;width:74;height:87" coordorigin="415,132" coordsize="74,87" path="m487,141r-21,l469,142r3,3l473,148r,7l472,157r-39,15l472,172r11,-6l488,151r,-7l487,141xe" fillcolor="black" stroked="f">
                <v:path arrowok="t"/>
              </v:shape>
            </v:group>
            <v:group id="_x0000_s1961" style="position:absolute;left:517;width:74;height:217" coordorigin="517" coordsize="74,217">
              <v:shape id="_x0000_s1962" style="position:absolute;left:517;width:74;height:217" coordorigin="517" coordsize="74,217" path="m519,r14,17l547,30r12,20l565,68r4,20l570,110r,3l549,190r-32,23l534,217r44,-46l590,110,589,91,569,34,539,7,519,xe" fillcolor="black" stroked="f">
                <v:path arrowok="t"/>
              </v:shape>
            </v:group>
            <w10:wrap type="none"/>
            <w10:anchorlock/>
          </v:group>
        </w:pict>
      </w:r>
      <w:r w:rsidR="00C2656B">
        <w:rPr>
          <w:rFonts w:ascii="Times New Roman"/>
          <w:spacing w:val="78"/>
          <w:position w:val="3"/>
          <w:sz w:val="6"/>
        </w:rPr>
        <w:t xml:space="preserve"> </w:t>
      </w:r>
      <w:r w:rsidRPr="00D96B91">
        <w:rPr>
          <w:rFonts w:ascii="Avenir Next"/>
          <w:spacing w:val="78"/>
          <w:position w:val="12"/>
          <w:sz w:val="6"/>
        </w:rPr>
      </w:r>
      <w:r w:rsidRPr="00D96B91">
        <w:rPr>
          <w:rFonts w:ascii="Avenir Next"/>
          <w:spacing w:val="78"/>
          <w:position w:val="12"/>
          <w:sz w:val="6"/>
        </w:rPr>
        <w:pict>
          <v:group id="_x0000_s1955" style="width:8.1pt;height:3.35pt;mso-position-horizontal-relative:char;mso-position-vertical-relative:line" coordsize="162,67">
            <v:group id="_x0000_s1958" style="position:absolute;left:9;top:57;width:145;height:2" coordorigin="9,57" coordsize="145,2">
              <v:shape id="_x0000_s1959" style="position:absolute;left:9;top:57;width:145;height:2" coordorigin="9,57" coordsize="145,0" path="m9,57r144,e" filled="f" strokeweight=".31008mm">
                <v:path arrowok="t"/>
              </v:shape>
            </v:group>
            <v:group id="_x0000_s1956" style="position:absolute;left:9;top:9;width:145;height:2" coordorigin="9,9" coordsize="145,2">
              <v:shape id="_x0000_s1957" style="position:absolute;left:9;top:9;width:145;height:2" coordorigin="9,9" coordsize="145,0" path="m9,9r144,e" filled="f" strokeweight=".31008mm">
                <v:path arrowok="t"/>
              </v:shape>
            </v:group>
            <w10:wrap type="none"/>
            <w10:anchorlock/>
          </v:group>
        </w:pict>
      </w:r>
      <w:r w:rsidR="00C2656B">
        <w:rPr>
          <w:rFonts w:ascii="Times New Roman"/>
          <w:spacing w:val="68"/>
          <w:position w:val="12"/>
          <w:sz w:val="6"/>
        </w:rPr>
        <w:t xml:space="preserve"> </w:t>
      </w:r>
      <w:r w:rsidRPr="00D96B91">
        <w:rPr>
          <w:rFonts w:ascii="Avenir Next"/>
          <w:spacing w:val="68"/>
          <w:sz w:val="20"/>
        </w:rPr>
      </w:r>
      <w:r w:rsidRPr="00D96B91">
        <w:rPr>
          <w:rFonts w:ascii="Avenir Next"/>
          <w:spacing w:val="68"/>
          <w:sz w:val="20"/>
        </w:rPr>
        <w:pict>
          <v:group id="_x0000_s1946" style="width:11.35pt;height:12.1pt;mso-position-horizontal-relative:char;mso-position-vertical-relative:line" coordsize="227,242">
            <v:group id="_x0000_s1951" style="position:absolute;width:134;height:160" coordsize="134,160">
              <v:shape id="_x0000_s1954" style="position:absolute;width:134;height:160" coordsize="134,160" path="m91,l31,,29,6r4,l36,7r4,3l41,12r,9l40,27,17,133,1,154,,160r48,l49,154r-3,l43,153r-3,-1l39,151r-2,-3l37,147r,-6l39,126,47,89r45,l90,87r,-1l104,82r5,-3l50,79,65,11r4,-1l83,10r40,l120,8,113,4,108,2,98,1,91,xe" fillcolor="black" stroked="f">
                <v:path arrowok="t"/>
              </v:shape>
              <v:shape id="_x0000_s1953" style="position:absolute;width:134;height:160" coordsize="134,160" path="m92,89r-28,l67,89r4,1l82,110r5,26l89,145r2,8l94,160r32,l128,154r-4,l121,153,105,114r-2,-7l101,101,97,94,94,90,92,89xe" fillcolor="black" stroked="f">
                <v:path arrowok="t"/>
              </v:shape>
              <v:shape id="_x0000_s1952" style="position:absolute;width:134;height:160" coordsize="134,160" path="m123,10r-40,l87,11r6,l112,45r-2,7l102,66r-5,5l84,77r-9,2l109,79r6,-4l130,58r3,-10l133,32r,-4l130,20r-2,-3l123,10xe" fillcolor="black" stroked="f">
                <v:path arrowok="t"/>
              </v:shape>
            </v:group>
            <v:group id="_x0000_s1947" style="position:absolute;left:129;top:92;width:98;height:150" coordorigin="129,92" coordsize="98,150">
              <v:shape id="_x0000_s1950" style="position:absolute;left:129;top:92;width:98;height:150" coordorigin="129,92" coordsize="98,150" path="m186,134r-16,l152,213r-1,4l137,232r-6,l130,233r,2l129,238r,3l130,241r14,l152,238r6,-6l137,232r-6,l158,232r6,-6l168,217r2,-12l186,134xe" fillcolor="black" stroked="f">
                <v:path arrowok="t"/>
              </v:shape>
              <v:shape id="_x0000_s1949" style="position:absolute;left:129;top:92;width:98;height:150" coordorigin="129,92" coordsize="98,150" path="m201,92r-8,2l180,104r-5,8l172,122r-1,2l157,128r-1,6l209,134r2,-9l187,125r1,-3l203,100r22,l226,93r-2,l222,92r-5,l201,92xe" fillcolor="black" stroked="f">
                <v:path arrowok="t"/>
              </v:shape>
              <v:shape id="_x0000_s1948" style="position:absolute;left:129;top:92;width:98;height:150" coordorigin="129,92" coordsize="98,150" path="m225,100r-17,l210,100r3,3l214,106r1,3l223,109r2,-9xe" fillcolor="black" stroked="f">
                <v:path arrowok="t"/>
              </v:shape>
            </v:group>
            <w10:wrap type="none"/>
            <w10:anchorlock/>
          </v:group>
        </w:pict>
      </w:r>
      <w:r w:rsidR="00C2656B">
        <w:rPr>
          <w:rFonts w:ascii="Times New Roman"/>
          <w:spacing w:val="65"/>
          <w:sz w:val="6"/>
        </w:rPr>
        <w:t xml:space="preserve"> </w:t>
      </w:r>
      <w:r w:rsidR="00C2656B">
        <w:rPr>
          <w:rFonts w:ascii="Avenir Next"/>
          <w:noProof/>
          <w:spacing w:val="65"/>
          <w:position w:val="3"/>
          <w:sz w:val="20"/>
          <w:lang w:val="en-AU" w:eastAsia="en-AU"/>
        </w:rPr>
        <w:drawing>
          <wp:inline distT="0" distB="0" distL="0" distR="0">
            <wp:extent cx="910599" cy="147637"/>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71" cstate="print"/>
                    <a:stretch>
                      <a:fillRect/>
                    </a:stretch>
                  </pic:blipFill>
                  <pic:spPr>
                    <a:xfrm>
                      <a:off x="0" y="0"/>
                      <a:ext cx="910599" cy="147637"/>
                    </a:xfrm>
                    <a:prstGeom prst="rect">
                      <a:avLst/>
                    </a:prstGeom>
                  </pic:spPr>
                </pic:pic>
              </a:graphicData>
            </a:graphic>
          </wp:inline>
        </w:drawing>
      </w:r>
    </w:p>
    <w:p w:rsidR="00D96B91" w:rsidRDefault="00D96B91">
      <w:pPr>
        <w:rPr>
          <w:rFonts w:ascii="Avenir Next" w:eastAsia="Avenir Next" w:hAnsi="Avenir Next" w:cs="Avenir Next"/>
          <w:sz w:val="16"/>
          <w:szCs w:val="16"/>
        </w:rPr>
      </w:pPr>
    </w:p>
    <w:p w:rsidR="00D96B91" w:rsidRDefault="00C2656B">
      <w:pPr>
        <w:pStyle w:val="BodyText"/>
        <w:rPr>
          <w:rFonts w:cs="Avenir Next"/>
        </w:rPr>
      </w:pPr>
      <w:r>
        <w:rPr>
          <w:spacing w:val="-1"/>
        </w:rPr>
        <w:t>Where:</w:t>
      </w:r>
    </w:p>
    <w:p w:rsidR="00D96B91" w:rsidRDefault="00D96B91">
      <w:pPr>
        <w:spacing w:before="1"/>
        <w:rPr>
          <w:rFonts w:ascii="Avenir Next" w:eastAsia="Avenir Next" w:hAnsi="Avenir Next" w:cs="Avenir Next"/>
          <w:sz w:val="8"/>
          <w:szCs w:val="8"/>
        </w:rPr>
      </w:pPr>
    </w:p>
    <w:p w:rsidR="00D96B91" w:rsidRDefault="00C77ECE">
      <w:pPr>
        <w:pStyle w:val="BodyText"/>
        <w:spacing w:before="46"/>
        <w:ind w:left="1938"/>
        <w:rPr>
          <w:rFonts w:cs="Avenir Next"/>
        </w:rPr>
      </w:pPr>
      <w:r w:rsidRPr="00D96B91">
        <w:pict>
          <v:group id="_x0000_s1923" style="position:absolute;left:0;text-align:left;margin-left:231.1pt;margin-top:5.3pt;width:4.8pt;height:5.35pt;z-index:251543040;mso-position-horizontal-relative:page" coordorigin="5007,150" coordsize="96,107">
            <v:shape id="_x0000_s1926" style="position:absolute;left:5007;top:150;width:96;height:107" coordorigin="5007,150" coordsize="96,107" path="m5087,150r-20,l5056,154r-22,13l5025,177r-14,24l5007,213r,20l5010,241r8,10l5031,257r27,-1l5076,247r-30,l5040,245r-10,-10l5027,229r,-10l5028,216r,-4l5044,211r12,-3l5060,207r-31,l5030,204r8,-20l5049,169r9,-8l5066,156r32,l5093,152r-6,-2xe" fillcolor="black" stroked="f">
              <v:path arrowok="t"/>
            </v:shape>
            <v:shape id="_x0000_s1925" style="position:absolute;left:5007;top:150;width:96;height:107" coordorigin="5007,150" coordsize="96,107" path="m5092,228r-10,8l5074,241r-10,5l5058,247r18,l5095,232r-3,-4xe" fillcolor="black" stroked="f">
              <v:path arrowok="t"/>
            </v:shape>
            <v:shape id="_x0000_s1924" style="position:absolute;left:5007;top:150;width:96;height:107" coordorigin="5007,150" coordsize="96,107" path="m5098,156r-20,l5081,157r4,4l5086,164r,9l5029,207r31,l5103,174r,-11l5101,159r-3,-3xe" fillcolor="black" stroked="f">
              <v:path arrowok="t"/>
            </v:shape>
            <w10:wrap anchorx="page"/>
          </v:group>
        </w:pict>
      </w:r>
      <w:r w:rsidR="00D96B91" w:rsidRPr="00D96B91">
        <w:pict>
          <v:group id="_x0000_s1927" style="position:absolute;left:0;text-align:left;margin-left:64pt;margin-top:3.5pt;width:29.55pt;height:11.15pt;z-index:251542016;mso-position-horizontal-relative:page" coordorigin="1280,70" coordsize="591,223">
            <v:group id="_x0000_s1940" style="position:absolute;left:1280;top:80;width:139;height:160" coordorigin="1280,80" coordsize="139,160">
              <v:shape id="_x0000_s1945" style="position:absolute;left:1280;top:80;width:139;height:160" coordorigin="1280,80" coordsize="139,160" path="m1418,80r-107,l1309,85r4,1l1316,86r4,3l1321,92r,8l1320,107r-23,105l1281,234r-1,6l1384,240r3,-11l1314,229r15,-67l1379,162r3,-11l1331,151r14,-61l1416,90r2,-10xe" fillcolor="black" stroked="f">
                <v:path arrowok="t"/>
              </v:shape>
              <v:shape id="_x0000_s1944" style="position:absolute;left:1280;top:80;width:139;height:160" coordorigin="1280,80" coordsize="139,160" path="m1394,199r-11,l1380,206r-3,5l1353,229r34,l1394,199xe" fillcolor="black" stroked="f">
                <v:path arrowok="t"/>
              </v:shape>
              <v:shape id="_x0000_s1943" style="position:absolute;left:1280;top:80;width:139;height:160" coordorigin="1280,80" coordsize="139,160" path="m1379,162r-23,l1359,162r3,1l1363,165r2,4l1365,173r,7l1375,180r4,-18xe" fillcolor="black" stroked="f">
                <v:path arrowok="t"/>
              </v:shape>
              <v:shape id="_x0000_s1942" style="position:absolute;left:1280;top:80;width:139;height:160" coordorigin="1280,80" coordsize="139,160" path="m1386,135r-11,l1372,141r-3,4l1363,150r-4,1l1382,151r4,-16xe" fillcolor="black" stroked="f">
                <v:path arrowok="t"/>
              </v:shape>
              <v:shape id="_x0000_s1941" style="position:absolute;left:1280;top:80;width:139;height:160" coordorigin="1280,80" coordsize="139,160" path="m1416,90r-30,l1388,90r4,1l1399,116r11,l1416,90xe" fillcolor="black" stroked="f">
                <v:path arrowok="t"/>
              </v:shape>
            </v:group>
            <v:group id="_x0000_s1938" style="position:absolute;left:1457;top:75;width:73;height:218" coordorigin="1457,75" coordsize="73,218">
              <v:shape id="_x0000_s1939" style="position:absolute;left:1457;top:75;width:73;height:218" coordorigin="1457,75" coordsize="73,218" path="m1513,75r-45,44l1457,203r3,18l1490,274r36,19l1528,283r-16,-8l1498,261r-13,-20l1480,223r-3,-20l1475,180r,l1496,102r33,-23l1513,75xe" fillcolor="black" stroked="f">
                <v:path arrowok="t"/>
              </v:shape>
            </v:group>
            <v:group id="_x0000_s1934" style="position:absolute;left:1542;top:80;width:134;height:160" coordorigin="1542,80" coordsize="134,160">
              <v:shape id="_x0000_s1937" style="position:absolute;left:1542;top:80;width:134;height:160" coordorigin="1542,80" coordsize="134,160" path="m1633,80r-61,l1571,85r4,1l1578,87r4,2l1582,92r,8l1582,107r-24,105l1543,234r-1,6l1590,240r1,-6l1587,234r-3,-1l1581,232r-1,-1l1579,228r-1,-2l1578,220r3,-14l1589,168r44,l1631,167r,-1l1646,161r5,-3l1591,158r15,-68l1611,90r14,l1665,90r-3,-3l1654,84r-4,-2l1639,80r-6,xe" fillcolor="black" stroked="f">
                <v:path arrowok="t"/>
              </v:shape>
              <v:shape id="_x0000_s1936" style="position:absolute;left:1542;top:80;width:134;height:160" coordorigin="1542,80" coordsize="134,160" path="m1633,168r-28,l1608,169r5,1l1624,190r5,25l1631,224r2,9l1636,240r32,l1669,234r-4,-1l1663,232r-17,-39l1645,187r-2,-6l1638,173r-3,-3l1633,168xe" fillcolor="black" stroked="f">
                <v:path arrowok="t"/>
              </v:shape>
              <v:shape id="_x0000_s1935" style="position:absolute;left:1542;top:80;width:134;height:160" coordorigin="1542,80" coordsize="134,160" path="m1665,90r-40,l1629,90r6,1l1653,124r-2,8l1644,146r-6,5l1625,157r-9,1l1651,158r6,-3l1671,138r4,-10l1675,112r-1,-5l1672,100r-2,-4l1665,90xe" fillcolor="black" stroked="f">
                <v:path arrowok="t"/>
              </v:shape>
            </v:group>
            <v:group id="_x0000_s1930" style="position:absolute;left:1694;top:203;width:74;height:87" coordorigin="1694,203" coordsize="74,87">
              <v:shape id="_x0000_s1933" style="position:absolute;left:1694;top:203;width:74;height:87" coordorigin="1694,203" coordsize="74,87" path="m1754,203r-15,l1731,204r-13,7l1713,215r-5,6l1706,224r-12,42l1695,269r22,20l1729,289r7,-1l1748,281r4,-3l1720,278r-4,-1l1711,271r-1,-4l1710,257r1,-3l1711,252r8,-1l1746,246r6,-3l1713,243r1,-5l1740,211r26,l1766,210r-7,-6l1754,203xe" fillcolor="black" stroked="f">
                <v:path arrowok="t"/>
              </v:shape>
              <v:shape id="_x0000_s1932" style="position:absolute;left:1694;top:203;width:74;height:87" coordorigin="1694,203" coordsize="74,87" path="m1755,263r-27,15l1752,278r3,-2l1761,270r-6,-7xe" fillcolor="black" stroked="f">
                <v:path arrowok="t"/>
              </v:shape>
              <v:shape id="_x0000_s1931" style="position:absolute;left:1694;top:203;width:74;height:87" coordorigin="1694,203" coordsize="74,87" path="m1766,211r-20,l1749,212r3,4l1753,218r,8l1752,228r-39,15l1752,243r11,-7l1768,221r,-6l1766,211xe" fillcolor="black" stroked="f">
                <v:path arrowok="t"/>
              </v:shape>
            </v:group>
            <v:group id="_x0000_s1928" style="position:absolute;left:1796;top:70;width:74;height:217" coordorigin="1796,70" coordsize="74,217">
              <v:shape id="_x0000_s1929" style="position:absolute;left:1796;top:70;width:74;height:217" coordorigin="1796,70" coordsize="74,217" path="m1799,70r14,17l1827,101r12,19l1845,138r4,20l1850,180r,3l1829,260r-33,24l1814,287r44,-45l1870,180r-1,-19l1849,104,1819,78r-20,-8xe" fillcolor="black" stroked="f">
                <v:path arrowok="t"/>
              </v:shape>
            </v:group>
            <w10:wrap anchorx="page"/>
          </v:group>
        </w:pict>
      </w:r>
      <w:r w:rsidR="00C2656B">
        <w:t xml:space="preserve">is the </w:t>
      </w:r>
      <w:r w:rsidR="00C2656B">
        <w:rPr>
          <w:spacing w:val="-1"/>
        </w:rPr>
        <w:t>expected</w:t>
      </w:r>
      <w:r w:rsidR="00C2656B">
        <w:t xml:space="preserve"> </w:t>
      </w:r>
      <w:r w:rsidR="00C2656B">
        <w:rPr>
          <w:spacing w:val="-1"/>
        </w:rPr>
        <w:t>return</w:t>
      </w:r>
      <w:r w:rsidR="00C2656B">
        <w:t xml:space="preserve"> on a stock</w:t>
      </w:r>
    </w:p>
    <w:p w:rsidR="00D96B91" w:rsidRDefault="00D96B91">
      <w:pPr>
        <w:spacing w:before="1"/>
        <w:rPr>
          <w:rFonts w:ascii="Avenir Next" w:eastAsia="Avenir Next" w:hAnsi="Avenir Next" w:cs="Avenir Next"/>
          <w:sz w:val="8"/>
          <w:szCs w:val="8"/>
        </w:rPr>
      </w:pPr>
    </w:p>
    <w:p w:rsidR="00D96B91" w:rsidRDefault="00D96B91">
      <w:pPr>
        <w:pStyle w:val="BodyText"/>
        <w:spacing w:before="46"/>
        <w:ind w:left="1617"/>
      </w:pPr>
      <w:r w:rsidRPr="00D96B91">
        <w:pict>
          <v:group id="_x0000_s1914" style="position:absolute;left:0;text-align:left;margin-left:64pt;margin-top:3.1pt;width:11.35pt;height:12.1pt;z-index:251544064;mso-position-horizontal-relative:page" coordorigin="1280,62" coordsize="227,242">
            <v:group id="_x0000_s1919" style="position:absolute;left:1280;top:62;width:134;height:160" coordorigin="1280,62" coordsize="134,160">
              <v:shape id="_x0000_s1922" style="position:absolute;left:1280;top:62;width:134;height:160" coordorigin="1280,62" coordsize="134,160" path="m1371,62r-60,l1309,68r4,l1316,69r4,3l1321,74r,9l1320,89r-23,106l1281,216r-1,6l1328,222r1,-6l1326,216r-3,-1l1320,214r-1,-1l1317,210r,-2l1317,203r2,-15l1327,151r45,l1370,149r,-1l1384,144r5,-4l1330,140r15,-67l1349,72r14,l1403,72r-3,-2l1393,66r-5,-2l1378,62r-7,xe" fillcolor="black" stroked="f">
                <v:path arrowok="t"/>
              </v:shape>
              <v:shape id="_x0000_s1921" style="position:absolute;left:1280;top:62;width:134;height:160" coordorigin="1280,62" coordsize="134,160" path="m1372,151r-28,l1347,151r4,1l1362,172r5,25l1369,207r2,8l1374,222r32,l1408,216r-4,-1l1401,215r-17,-39l1383,169r-2,-6l1377,155r-3,-3l1372,151xe" fillcolor="black" stroked="f">
                <v:path arrowok="t"/>
              </v:shape>
              <v:shape id="_x0000_s1920" style="position:absolute;left:1280;top:62;width:134;height:160" coordorigin="1280,62" coordsize="134,160" path="m1403,72r-40,l1367,72r6,1l1392,106r-2,8l1382,128r-5,5l1364,139r-9,1l1389,140r6,-3l1410,120r3,-10l1413,94r,-4l1410,82r-2,-4l1403,72xe" fillcolor="black" stroked="f">
                <v:path arrowok="t"/>
              </v:shape>
            </v:group>
            <v:group id="_x0000_s1915" style="position:absolute;left:1409;top:153;width:98;height:150" coordorigin="1409,153" coordsize="98,150">
              <v:shape id="_x0000_s1918" style="position:absolute;left:1409;top:153;width:98;height:150" coordorigin="1409,153" coordsize="98,150" path="m1465,196r-15,l1432,275r-1,4l1417,294r-6,l1410,295r,2l1409,300r,2l1410,303r14,l1432,300r6,-6l1417,294r-6,l1438,294r6,-6l1448,279r2,-12l1465,196xe" fillcolor="black" stroked="f">
                <v:path arrowok="t"/>
              </v:shape>
              <v:shape id="_x0000_s1917" style="position:absolute;left:1409;top:153;width:98;height:150" coordorigin="1409,153" coordsize="98,150" path="m1481,153r-8,3l1460,166r-5,7l1452,184r-1,1l1437,189r-1,7l1489,196r1,-9l1467,187r1,-3l1483,161r22,l1506,155r-2,l1502,154r-5,l1481,153xe" fillcolor="black" stroked="f">
                <v:path arrowok="t"/>
              </v:shape>
              <v:shape id="_x0000_s1916" style="position:absolute;left:1409;top:153;width:98;height:150" coordorigin="1409,153" coordsize="98,150" path="m1505,161r-17,l1490,162r3,3l1494,167r1,4l1503,171r2,-10xe" fillcolor="black" stroked="f">
                <v:path arrowok="t"/>
              </v:shape>
            </v:group>
            <w10:wrap anchorx="page"/>
          </v:group>
        </w:pict>
      </w:r>
      <w:r w:rsidR="00C2656B">
        <w:t xml:space="preserve">is the </w:t>
      </w:r>
      <w:r w:rsidR="00C2656B">
        <w:rPr>
          <w:spacing w:val="-1"/>
        </w:rPr>
        <w:t>risk-free</w:t>
      </w:r>
      <w:r w:rsidR="00C2656B">
        <w:t xml:space="preserve"> </w:t>
      </w:r>
      <w:r w:rsidR="00C2656B">
        <w:rPr>
          <w:spacing w:val="-2"/>
        </w:rPr>
        <w:t>rate</w:t>
      </w:r>
    </w:p>
    <w:p w:rsidR="00D96B91" w:rsidRDefault="00C77ECE">
      <w:pPr>
        <w:pStyle w:val="BodyText"/>
        <w:spacing w:before="157"/>
        <w:ind w:left="1579"/>
        <w:rPr>
          <w:rFonts w:cs="Avenir Next"/>
        </w:rPr>
      </w:pPr>
      <w:r w:rsidRPr="00D96B91">
        <w:pict>
          <v:group id="_x0000_s1901" style="position:absolute;left:0;text-align:left;margin-left:166.75pt;margin-top:10.9pt;width:4.8pt;height:5.35pt;z-index:251546112;mso-position-horizontal-relative:page" coordorigin="3544,240" coordsize="96,107">
            <v:shape id="_x0000_s1904" style="position:absolute;left:3544;top:240;width:96;height:107" coordorigin="3544,240" coordsize="96,107" path="m3623,240r-20,l3592,243r-21,14l3561,266r-14,25l3544,303r,20l3546,331r8,9l3567,346r28,l3613,337r-31,l3576,334r-10,-10l3564,318r,-9l3564,306r1,-4l3580,300r13,-3l3597,296r-32,l3566,293r8,-20l3585,258r9,-8l3603,246r31,l3629,242r-6,-2xe" fillcolor="black" stroked="f">
              <v:path arrowok="t"/>
            </v:shape>
            <v:shape id="_x0000_s1903" style="position:absolute;left:3544;top:240;width:96;height:107" coordorigin="3544,240" coordsize="96,107" path="m3628,318r-10,8l3611,331r-11,4l3595,337r18,l3631,321r-3,-3xe" fillcolor="black" stroked="f">
              <v:path arrowok="t"/>
            </v:shape>
            <v:shape id="_x0000_s1902" style="position:absolute;left:3544;top:240;width:96;height:107" coordorigin="3544,240" coordsize="96,107" path="m3634,246r-20,l3617,247r4,4l3623,254r,8l3565,296r32,l3639,263r,-11l3637,248r-3,-2xe" fillcolor="black" stroked="f">
              <v:path arrowok="t"/>
            </v:shape>
            <w10:wrap anchorx="page"/>
          </v:group>
        </w:pict>
      </w:r>
      <w:r w:rsidR="00D96B91" w:rsidRPr="00D96B91">
        <w:pict>
          <v:group id="_x0000_s1905" style="position:absolute;left:0;text-align:left;margin-left:63.75pt;margin-top:9.5pt;width:10.75pt;height:10.95pt;z-index:251545088;mso-position-horizontal-relative:page" coordorigin="1275,190" coordsize="215,219">
            <v:group id="_x0000_s1910" style="position:absolute;left:1275;top:190;width:134;height:219" coordorigin="1275,190" coordsize="134,219">
              <v:shape id="_x0000_s1913" style="position:absolute;left:1275;top:190;width:134;height:219" coordorigin="1275,190" coordsize="134,219" path="m1382,190r-22,l1350,192r-75,216l1294,408r13,-56l1367,352r4,-2l1332,350r-4,l1312,337r,-5l1330,249r29,-50l1400,199r-8,-7l1382,190xe" fillcolor="black" stroked="f">
                <v:path arrowok="t"/>
              </v:shape>
              <v:shape id="_x0000_s1912" style="position:absolute;left:1275;top:190;width:134;height:219" coordorigin="1275,190" coordsize="134,219" path="m1367,352r-60,l1312,355r5,2l1327,359r6,l1350,359r9,-2l1367,352xe" fillcolor="black" stroked="f">
                <v:path arrowok="t"/>
              </v:shape>
              <v:shape id="_x0000_s1911" style="position:absolute;left:1275;top:190;width:134;height:219" coordorigin="1275,190" coordsize="134,219" path="m1400,199r-24,l1380,201r7,7l1389,213r-1,14l1387,235r-43,30l1342,274r9,l1358,277r10,10l1371,294r,18l1343,350r28,l1375,347r6,-6l1389,325r2,-9l1391,300r-9,-18l1363,270r1,l1408,225r,-14l1405,203r-5,-4xe" fillcolor="black" stroked="f">
                <v:path arrowok="t"/>
              </v:shape>
            </v:group>
            <v:group id="_x0000_s1906" style="position:absolute;left:1416;top:320;width:74;height:87" coordorigin="1416,320" coordsize="74,87">
              <v:shape id="_x0000_s1909" style="position:absolute;left:1416;top:320;width:74;height:87" coordorigin="1416,320" coordsize="74,87" path="m1475,320r-15,l1453,322r-13,7l1434,333r-4,6l1427,342r-11,42l1417,387r22,20l1450,407r7,-2l1470,399r4,-3l1442,396r-4,-1l1433,389r-1,-4l1432,375r,-4l1433,370r7,-2l1468,364r6,-4l1434,360r2,-4l1461,329r27,l1488,328r-7,-6l1475,320xe" fillcolor="black" stroked="f">
                <v:path arrowok="t"/>
              </v:shape>
              <v:shape id="_x0000_s1908" style="position:absolute;left:1416;top:320;width:74;height:87" coordorigin="1416,320" coordsize="74,87" path="m1477,381r-27,15l1474,396r2,-2l1483,388r-6,-7xe" fillcolor="black" stroked="f">
                <v:path arrowok="t"/>
              </v:shape>
              <v:shape id="_x0000_s1907" style="position:absolute;left:1416;top:320;width:74;height:87" coordorigin="1416,320" coordsize="74,87" path="m1488,329r-20,l1470,330r4,4l1475,336r-1,7l1474,345r-40,15l1474,360r10,-6l1490,339r,-7l1488,329xe" fillcolor="black" stroked="f">
                <v:path arrowok="t"/>
              </v:shape>
            </v:group>
            <w10:wrap anchorx="page"/>
          </v:group>
        </w:pict>
      </w:r>
      <w:r w:rsidR="00C2656B">
        <w:t>is the beta of</w:t>
      </w:r>
      <w:r w:rsidR="00C2656B">
        <w:rPr>
          <w:spacing w:val="4"/>
        </w:rPr>
        <w:t xml:space="preserve"> </w:t>
      </w:r>
      <w:r w:rsidR="00C2656B">
        <w:t>a stock</w:t>
      </w:r>
      <w:r>
        <w:t xml:space="preserve"> </w:t>
      </w:r>
    </w:p>
    <w:p w:rsidR="00D96B91" w:rsidRDefault="00C2656B">
      <w:pPr>
        <w:pStyle w:val="BodyText"/>
        <w:spacing w:before="157"/>
        <w:ind w:left="1265"/>
      </w:pPr>
      <w:r>
        <w:rPr>
          <w:noProof/>
          <w:position w:val="-8"/>
          <w:lang w:val="en-AU" w:eastAsia="en-AU"/>
        </w:rPr>
        <w:drawing>
          <wp:inline distT="0" distB="0" distL="0" distR="0">
            <wp:extent cx="1229755" cy="165130"/>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72" cstate="print"/>
                    <a:stretch>
                      <a:fillRect/>
                    </a:stretch>
                  </pic:blipFill>
                  <pic:spPr>
                    <a:xfrm>
                      <a:off x="0" y="0"/>
                      <a:ext cx="1229755" cy="165130"/>
                    </a:xfrm>
                    <a:prstGeom prst="rect">
                      <a:avLst/>
                    </a:prstGeom>
                  </pic:spPr>
                </pic:pic>
              </a:graphicData>
            </a:graphic>
          </wp:inline>
        </w:drawing>
      </w:r>
      <w:r>
        <w:rPr>
          <w:rFonts w:ascii="Times New Roman"/>
        </w:rPr>
        <w:t xml:space="preserve">  </w:t>
      </w:r>
      <w:r>
        <w:t xml:space="preserve">is the </w:t>
      </w:r>
      <w:r>
        <w:rPr>
          <w:spacing w:val="-1"/>
        </w:rPr>
        <w:t>market</w:t>
      </w:r>
      <w:r>
        <w:t xml:space="preserve"> risk </w:t>
      </w:r>
      <w:r>
        <w:rPr>
          <w:spacing w:val="-1"/>
        </w:rPr>
        <w:t>premium.</w:t>
      </w:r>
    </w:p>
    <w:p w:rsidR="00D96B91" w:rsidRDefault="00C2656B">
      <w:pPr>
        <w:pStyle w:val="BodyText"/>
        <w:spacing w:before="130" w:line="260" w:lineRule="exact"/>
        <w:ind w:right="1548"/>
        <w:rPr>
          <w:rFonts w:cs="Avenir Next"/>
        </w:rPr>
      </w:pPr>
      <w:r>
        <w:rPr>
          <w:spacing w:val="-4"/>
        </w:rPr>
        <w:t>For</w:t>
      </w:r>
      <w:r>
        <w:t xml:space="preserve"> the </w:t>
      </w:r>
      <w:r>
        <w:rPr>
          <w:spacing w:val="-1"/>
        </w:rPr>
        <w:t>reasons</w:t>
      </w:r>
      <w:r>
        <w:t xml:space="preserve"> set out in</w:t>
      </w:r>
      <w:r>
        <w:rPr>
          <w:spacing w:val="-4"/>
        </w:rPr>
        <w:t xml:space="preserve"> </w:t>
      </w:r>
      <w:r>
        <w:t>Appendix</w:t>
      </w:r>
      <w:r>
        <w:rPr>
          <w:spacing w:val="-4"/>
        </w:rPr>
        <w:t xml:space="preserve"> </w:t>
      </w:r>
      <w:r>
        <w:t>A8.2,</w:t>
      </w:r>
      <w:r>
        <w:rPr>
          <w:spacing w:val="-6"/>
        </w:rPr>
        <w:t xml:space="preserve"> </w:t>
      </w:r>
      <w:r>
        <w:t xml:space="preserve">in using this model to </w:t>
      </w:r>
      <w:r>
        <w:rPr>
          <w:spacing w:val="-1"/>
        </w:rPr>
        <w:t>estimate</w:t>
      </w:r>
      <w:r>
        <w:t xml:space="preserve"> the cost of</w:t>
      </w:r>
      <w:r>
        <w:rPr>
          <w:spacing w:val="4"/>
        </w:rPr>
        <w:t xml:space="preserve"> </w:t>
      </w:r>
      <w:r>
        <w:t xml:space="preserve">equity the </w:t>
      </w:r>
      <w:r>
        <w:rPr>
          <w:spacing w:val="-3"/>
        </w:rPr>
        <w:t>Panel</w:t>
      </w:r>
      <w:r>
        <w:rPr>
          <w:spacing w:val="21"/>
        </w:rPr>
        <w:t xml:space="preserve"> </w:t>
      </w:r>
      <w:r>
        <w:t>decided to use:</w:t>
      </w:r>
    </w:p>
    <w:p w:rsidR="00D96B91" w:rsidRDefault="00C2656B">
      <w:pPr>
        <w:pStyle w:val="BodyText"/>
        <w:numPr>
          <w:ilvl w:val="0"/>
          <w:numId w:val="131"/>
        </w:numPr>
        <w:tabs>
          <w:tab w:val="left" w:pos="1531"/>
        </w:tabs>
        <w:spacing w:before="178"/>
        <w:ind w:hanging="283"/>
      </w:pPr>
      <w:r>
        <w:t xml:space="preserve">a </w:t>
      </w:r>
      <w:r>
        <w:rPr>
          <w:spacing w:val="-1"/>
        </w:rPr>
        <w:t>risk-free</w:t>
      </w:r>
      <w:r>
        <w:t xml:space="preserve"> </w:t>
      </w:r>
      <w:r>
        <w:rPr>
          <w:spacing w:val="-2"/>
        </w:rPr>
        <w:t>rate</w:t>
      </w:r>
      <w:r>
        <w:t xml:space="preserve"> of</w:t>
      </w:r>
      <w:r>
        <w:rPr>
          <w:spacing w:val="4"/>
        </w:rPr>
        <w:t xml:space="preserve"> </w:t>
      </w:r>
      <w:r>
        <w:t>3.22% (as discussed above)</w:t>
      </w:r>
    </w:p>
    <w:p w:rsidR="00D96B91" w:rsidRDefault="00C2656B">
      <w:pPr>
        <w:pStyle w:val="BodyText"/>
        <w:numPr>
          <w:ilvl w:val="0"/>
          <w:numId w:val="131"/>
        </w:numPr>
        <w:tabs>
          <w:tab w:val="left" w:pos="1531"/>
        </w:tabs>
        <w:spacing w:before="72"/>
        <w:ind w:hanging="283"/>
      </w:pPr>
      <w:r>
        <w:t>an equity beta of</w:t>
      </w:r>
      <w:r>
        <w:rPr>
          <w:spacing w:val="4"/>
        </w:rPr>
        <w:t xml:space="preserve"> </w:t>
      </w:r>
      <w:r>
        <w:t>0.7,</w:t>
      </w:r>
      <w:r>
        <w:rPr>
          <w:spacing w:val="-6"/>
        </w:rPr>
        <w:t xml:space="preserve"> </w:t>
      </w:r>
      <w:r>
        <w:t>and</w:t>
      </w:r>
    </w:p>
    <w:p w:rsidR="00D96B91" w:rsidRDefault="00C2656B">
      <w:pPr>
        <w:pStyle w:val="BodyText"/>
        <w:numPr>
          <w:ilvl w:val="0"/>
          <w:numId w:val="131"/>
        </w:numPr>
        <w:tabs>
          <w:tab w:val="left" w:pos="1531"/>
        </w:tabs>
        <w:spacing w:before="72"/>
        <w:ind w:hanging="283"/>
      </w:pPr>
      <w:r>
        <w:t xml:space="preserve">a </w:t>
      </w:r>
      <w:r>
        <w:rPr>
          <w:spacing w:val="-1"/>
        </w:rPr>
        <w:t>market</w:t>
      </w:r>
      <w:r>
        <w:t xml:space="preserve"> risk </w:t>
      </w:r>
      <w:r>
        <w:rPr>
          <w:spacing w:val="-1"/>
        </w:rPr>
        <w:t>premium</w:t>
      </w:r>
      <w:r>
        <w:t xml:space="preserve"> of</w:t>
      </w:r>
      <w:r>
        <w:rPr>
          <w:spacing w:val="4"/>
        </w:rPr>
        <w:t xml:space="preserve"> </w:t>
      </w:r>
      <w:r>
        <w:t>7.23%.</w:t>
      </w:r>
    </w:p>
    <w:p w:rsidR="00D96B91" w:rsidRDefault="00C2656B">
      <w:pPr>
        <w:pStyle w:val="BodyText"/>
        <w:spacing w:before="64" w:line="260" w:lineRule="exact"/>
        <w:ind w:right="1548"/>
      </w:pPr>
      <w:r>
        <w:t>In line with these decisions,</w:t>
      </w:r>
      <w:r>
        <w:rPr>
          <w:spacing w:val="-7"/>
        </w:rPr>
        <w:t xml:space="preserve"> </w:t>
      </w:r>
      <w:r>
        <w:t xml:space="preserve">the </w:t>
      </w:r>
      <w:r>
        <w:rPr>
          <w:spacing w:val="-3"/>
        </w:rPr>
        <w:t>Panel</w:t>
      </w:r>
      <w:r>
        <w:t xml:space="preserve"> </w:t>
      </w:r>
      <w:r>
        <w:rPr>
          <w:spacing w:val="-1"/>
        </w:rPr>
        <w:t>estimated</w:t>
      </w:r>
      <w:r>
        <w:t xml:space="preserve"> the cost of</w:t>
      </w:r>
      <w:r>
        <w:rPr>
          <w:spacing w:val="4"/>
        </w:rPr>
        <w:t xml:space="preserve"> </w:t>
      </w:r>
      <w:r>
        <w:t xml:space="preserve">equity to be 8.28% as </w:t>
      </w:r>
      <w:r>
        <w:rPr>
          <w:spacing w:val="-2"/>
        </w:rPr>
        <w:t>at</w:t>
      </w:r>
      <w:r>
        <w:t xml:space="preserve"> 31 May 2013.</w:t>
      </w:r>
      <w:r>
        <w:rPr>
          <w:spacing w:val="23"/>
        </w:rPr>
        <w:t xml:space="preserve"> </w:t>
      </w:r>
      <w:r>
        <w:rPr>
          <w:spacing w:val="-1"/>
        </w:rPr>
        <w:t>This estimate</w:t>
      </w:r>
      <w:r>
        <w:t xml:space="preserve"> is higher than</w:t>
      </w:r>
      <w:r>
        <w:rPr>
          <w:spacing w:val="-1"/>
        </w:rPr>
        <w:t xml:space="preserve"> </w:t>
      </w:r>
      <w:r>
        <w:t>the value used in</w:t>
      </w:r>
      <w:r>
        <w:rPr>
          <w:spacing w:val="-1"/>
        </w:rPr>
        <w:t xml:space="preserve"> </w:t>
      </w:r>
      <w:r>
        <w:t xml:space="preserve">the </w:t>
      </w:r>
      <w:r>
        <w:rPr>
          <w:spacing w:val="-2"/>
        </w:rPr>
        <w:t>ICRC’s</w:t>
      </w:r>
      <w:r>
        <w:t xml:space="preserve"> final decision (2.8%)</w:t>
      </w:r>
      <w:r>
        <w:rPr>
          <w:spacing w:val="-1"/>
        </w:rPr>
        <w:t xml:space="preserve"> </w:t>
      </w:r>
      <w:r>
        <w:t>and lower than</w:t>
      </w:r>
      <w:r>
        <w:rPr>
          <w:spacing w:val="-4"/>
        </w:rPr>
        <w:t xml:space="preserve"> </w:t>
      </w:r>
      <w:r>
        <w:rPr>
          <w:spacing w:val="-2"/>
        </w:rPr>
        <w:t>ACTEW</w:t>
      </w:r>
      <w:r>
        <w:rPr>
          <w:spacing w:val="25"/>
        </w:rPr>
        <w:t xml:space="preserve"> </w:t>
      </w:r>
      <w:r>
        <w:rPr>
          <w:spacing w:val="-1"/>
        </w:rPr>
        <w:t>proposed</w:t>
      </w:r>
      <w:r>
        <w:t xml:space="preserve"> (10.64%).</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2"/>
        </w:numPr>
        <w:tabs>
          <w:tab w:val="left" w:pos="2098"/>
        </w:tabs>
        <w:ind w:hanging="850"/>
      </w:pPr>
      <w:r>
        <w:rPr>
          <w:color w:val="0778BE"/>
          <w:spacing w:val="-1"/>
        </w:rPr>
        <w:t>Gearing</w:t>
      </w:r>
      <w:r>
        <w:rPr>
          <w:color w:val="0778BE"/>
        </w:rPr>
        <w:t xml:space="preserve"> </w:t>
      </w:r>
      <w:r>
        <w:rPr>
          <w:color w:val="0778BE"/>
          <w:spacing w:val="-2"/>
        </w:rPr>
        <w:t>ratio</w:t>
      </w:r>
    </w:p>
    <w:p w:rsidR="00D96B91" w:rsidRDefault="00C2656B">
      <w:pPr>
        <w:pStyle w:val="BodyText"/>
        <w:spacing w:before="21" w:line="260" w:lineRule="exact"/>
        <w:ind w:right="1270"/>
      </w:pPr>
      <w:r>
        <w:t xml:space="preserve">Under the benchmark entity </w:t>
      </w:r>
      <w:r>
        <w:rPr>
          <w:spacing w:val="-1"/>
        </w:rPr>
        <w:t>approach</w:t>
      </w:r>
      <w:r>
        <w:t xml:space="preserve"> to </w:t>
      </w:r>
      <w:r>
        <w:rPr>
          <w:spacing w:val="-1"/>
        </w:rPr>
        <w:t>calculating</w:t>
      </w:r>
      <w:r>
        <w:t xml:space="preserve"> the</w:t>
      </w:r>
      <w:r>
        <w:rPr>
          <w:spacing w:val="-3"/>
        </w:rPr>
        <w:t xml:space="preserve"> </w:t>
      </w:r>
      <w:r>
        <w:rPr>
          <w:spacing w:val="-2"/>
        </w:rPr>
        <w:t>WACC,</w:t>
      </w:r>
      <w:r>
        <w:rPr>
          <w:spacing w:val="-6"/>
        </w:rPr>
        <w:t xml:space="preserve"> </w:t>
      </w:r>
      <w:r>
        <w:rPr>
          <w:spacing w:val="-1"/>
        </w:rPr>
        <w:t>regulators</w:t>
      </w:r>
      <w:r>
        <w:t xml:space="preserve"> usually adopt a benchmark</w:t>
      </w:r>
      <w:r>
        <w:rPr>
          <w:spacing w:val="31"/>
        </w:rPr>
        <w:t xml:space="preserve"> </w:t>
      </w:r>
      <w:r>
        <w:rPr>
          <w:spacing w:val="-1"/>
        </w:rPr>
        <w:t>gearing ratio rather</w:t>
      </w:r>
      <w:r>
        <w:t xml:space="preserve"> than</w:t>
      </w:r>
      <w:r>
        <w:rPr>
          <w:spacing w:val="-1"/>
        </w:rPr>
        <w:t xml:space="preserve"> </w:t>
      </w:r>
      <w:r>
        <w:t>the actual</w:t>
      </w:r>
      <w:r>
        <w:rPr>
          <w:spacing w:val="-1"/>
        </w:rPr>
        <w:t xml:space="preserve"> </w:t>
      </w:r>
      <w:r>
        <w:t xml:space="preserve">financial </w:t>
      </w:r>
      <w:r>
        <w:rPr>
          <w:spacing w:val="-1"/>
        </w:rPr>
        <w:t xml:space="preserve">structure </w:t>
      </w:r>
      <w:r>
        <w:t>of</w:t>
      </w:r>
      <w:r>
        <w:rPr>
          <w:spacing w:val="4"/>
        </w:rPr>
        <w:t xml:space="preserve"> </w:t>
      </w:r>
      <w:r>
        <w:t>the</w:t>
      </w:r>
      <w:r>
        <w:rPr>
          <w:spacing w:val="-1"/>
        </w:rPr>
        <w:t xml:space="preserve"> regulated </w:t>
      </w:r>
      <w:r>
        <w:t>business.</w:t>
      </w:r>
      <w:r>
        <w:rPr>
          <w:spacing w:val="-11"/>
        </w:rPr>
        <w:t xml:space="preserve"> </w:t>
      </w:r>
      <w:r>
        <w:rPr>
          <w:spacing w:val="-1"/>
        </w:rPr>
        <w:t>This</w:t>
      </w:r>
      <w:r>
        <w:t xml:space="preserve"> </w:t>
      </w:r>
      <w:r>
        <w:rPr>
          <w:spacing w:val="-1"/>
        </w:rPr>
        <w:t>approach provides</w:t>
      </w:r>
      <w:r>
        <w:rPr>
          <w:spacing w:val="45"/>
        </w:rPr>
        <w:t xml:space="preserve"> </w:t>
      </w:r>
      <w:r>
        <w:t>the</w:t>
      </w:r>
      <w:r>
        <w:rPr>
          <w:spacing w:val="-1"/>
        </w:rPr>
        <w:t xml:space="preserve"> </w:t>
      </w:r>
      <w:r>
        <w:t>business with</w:t>
      </w:r>
      <w:r>
        <w:rPr>
          <w:spacing w:val="-1"/>
        </w:rPr>
        <w:t xml:space="preserve"> </w:t>
      </w:r>
      <w:r>
        <w:t>an incentive to</w:t>
      </w:r>
      <w:r>
        <w:rPr>
          <w:spacing w:val="-1"/>
        </w:rPr>
        <w:t xml:space="preserve"> </w:t>
      </w:r>
      <w:r>
        <w:t xml:space="preserve">adopt </w:t>
      </w:r>
      <w:r>
        <w:rPr>
          <w:spacing w:val="-1"/>
        </w:rPr>
        <w:t>efficient</w:t>
      </w:r>
      <w:r>
        <w:t xml:space="preserve"> capital</w:t>
      </w:r>
      <w:r>
        <w:rPr>
          <w:spacing w:val="-1"/>
        </w:rPr>
        <w:t xml:space="preserve"> structures,</w:t>
      </w:r>
      <w:r>
        <w:rPr>
          <w:spacing w:val="-6"/>
        </w:rPr>
        <w:t xml:space="preserve"> </w:t>
      </w:r>
      <w:r>
        <w:t>and</w:t>
      </w:r>
      <w:r>
        <w:rPr>
          <w:spacing w:val="-1"/>
        </w:rPr>
        <w:t xml:space="preserve"> ensures</w:t>
      </w:r>
      <w:r>
        <w:t xml:space="preserve"> </w:t>
      </w:r>
      <w:r>
        <w:rPr>
          <w:spacing w:val="-1"/>
        </w:rPr>
        <w:t>that</w:t>
      </w:r>
      <w:r>
        <w:t xml:space="preserve"> customers</w:t>
      </w:r>
      <w:r>
        <w:rPr>
          <w:spacing w:val="-1"/>
        </w:rPr>
        <w:t xml:space="preserve"> </w:t>
      </w:r>
      <w:r>
        <w:t>do not</w:t>
      </w:r>
      <w:r>
        <w:rPr>
          <w:spacing w:val="35"/>
        </w:rPr>
        <w:t xml:space="preserve"> </w:t>
      </w:r>
      <w:r>
        <w:rPr>
          <w:spacing w:val="-1"/>
        </w:rPr>
        <w:t>bear</w:t>
      </w:r>
      <w:r>
        <w:t xml:space="preserve"> the costs </w:t>
      </w:r>
      <w:r>
        <w:rPr>
          <w:spacing w:val="-1"/>
        </w:rPr>
        <w:t>associated</w:t>
      </w:r>
      <w:r>
        <w:t xml:space="preserve"> with a sub-optimal capital </w:t>
      </w:r>
      <w:r>
        <w:rPr>
          <w:spacing w:val="-1"/>
        </w:rPr>
        <w:t>structure.</w:t>
      </w:r>
    </w:p>
    <w:p w:rsidR="00D96B91" w:rsidRDefault="00C2656B">
      <w:pPr>
        <w:pStyle w:val="BodyText"/>
        <w:spacing w:before="178"/>
      </w:pPr>
      <w:r>
        <w:rPr>
          <w:spacing w:val="-4"/>
        </w:rPr>
        <w:t>For</w:t>
      </w:r>
      <w:r>
        <w:t xml:space="preserve"> the </w:t>
      </w:r>
      <w:r>
        <w:rPr>
          <w:spacing w:val="-1"/>
        </w:rPr>
        <w:t>reasons</w:t>
      </w:r>
      <w:r>
        <w:t xml:space="preserve"> set out in</w:t>
      </w:r>
      <w:r>
        <w:rPr>
          <w:spacing w:val="-4"/>
        </w:rPr>
        <w:t xml:space="preserve"> </w:t>
      </w:r>
      <w:r>
        <w:t>Appendix</w:t>
      </w:r>
      <w:r>
        <w:rPr>
          <w:spacing w:val="-4"/>
        </w:rPr>
        <w:t xml:space="preserve"> </w:t>
      </w:r>
      <w:r>
        <w:t>A8.3,</w:t>
      </w:r>
      <w:r>
        <w:rPr>
          <w:spacing w:val="-6"/>
        </w:rPr>
        <w:t xml:space="preserve"> </w:t>
      </w:r>
      <w:r>
        <w:t xml:space="preserve">the </w:t>
      </w:r>
      <w:r>
        <w:rPr>
          <w:spacing w:val="-3"/>
        </w:rPr>
        <w:t>Panel</w:t>
      </w:r>
      <w:r>
        <w:t xml:space="preserve"> has decided to adopt a </w:t>
      </w:r>
      <w:r>
        <w:rPr>
          <w:spacing w:val="-1"/>
        </w:rPr>
        <w:t>gearing</w:t>
      </w:r>
      <w:r>
        <w:t xml:space="preserve"> </w:t>
      </w:r>
      <w:r>
        <w:rPr>
          <w:spacing w:val="-1"/>
        </w:rPr>
        <w:t>ratio</w:t>
      </w:r>
      <w:r>
        <w:t xml:space="preserve"> of</w:t>
      </w:r>
      <w:r>
        <w:rPr>
          <w:spacing w:val="4"/>
        </w:rPr>
        <w:t xml:space="preserve"> </w:t>
      </w:r>
      <w:r>
        <w:t>60%.</w:t>
      </w:r>
    </w:p>
    <w:p w:rsidR="00D96B91" w:rsidRDefault="00D96B91">
      <w:pPr>
        <w:sectPr w:rsidR="00D96B91">
          <w:pgSz w:w="11910" w:h="16840"/>
          <w:pgMar w:top="1200" w:right="0" w:bottom="1020" w:left="0" w:header="0" w:footer="829" w:gutter="0"/>
          <w:cols w:space="720"/>
        </w:sectPr>
      </w:pPr>
    </w:p>
    <w:p w:rsidR="00D96B91" w:rsidRDefault="00C2656B">
      <w:pPr>
        <w:pStyle w:val="Heading6"/>
        <w:numPr>
          <w:ilvl w:val="2"/>
          <w:numId w:val="62"/>
        </w:numPr>
        <w:tabs>
          <w:tab w:val="left" w:pos="2098"/>
        </w:tabs>
        <w:spacing w:before="9"/>
        <w:ind w:hanging="850"/>
      </w:pPr>
      <w:r>
        <w:rPr>
          <w:color w:val="0778BE"/>
          <w:spacing w:val="-1"/>
        </w:rPr>
        <w:t>Resulting</w:t>
      </w:r>
      <w:r>
        <w:rPr>
          <w:color w:val="0778BE"/>
        </w:rPr>
        <w:t xml:space="preserve"> </w:t>
      </w:r>
      <w:r>
        <w:rPr>
          <w:color w:val="0778BE"/>
          <w:spacing w:val="-1"/>
        </w:rPr>
        <w:t>estimate</w:t>
      </w:r>
      <w:r>
        <w:rPr>
          <w:color w:val="0778BE"/>
        </w:rPr>
        <w:t xml:space="preserve"> of</w:t>
      </w:r>
      <w:r>
        <w:rPr>
          <w:color w:val="0778BE"/>
          <w:spacing w:val="5"/>
        </w:rPr>
        <w:t xml:space="preserve"> </w:t>
      </w:r>
      <w:r>
        <w:rPr>
          <w:color w:val="0778BE"/>
        </w:rPr>
        <w:t>the</w:t>
      </w:r>
      <w:r>
        <w:rPr>
          <w:color w:val="0778BE"/>
          <w:spacing w:val="-3"/>
        </w:rPr>
        <w:t xml:space="preserve"> WACC</w:t>
      </w:r>
    </w:p>
    <w:p w:rsidR="00D96B91" w:rsidRDefault="00C2656B">
      <w:pPr>
        <w:pStyle w:val="BodyText"/>
        <w:spacing w:before="21" w:line="260" w:lineRule="exact"/>
        <w:ind w:right="1256"/>
      </w:pPr>
      <w:r>
        <w:rPr>
          <w:rFonts w:cs="Avenir Next"/>
        </w:rPr>
        <w:t>Using the decisions on the cost of</w:t>
      </w:r>
      <w:r>
        <w:rPr>
          <w:rFonts w:cs="Avenir Next"/>
          <w:spacing w:val="4"/>
        </w:rPr>
        <w:t xml:space="preserve"> </w:t>
      </w:r>
      <w:r>
        <w:rPr>
          <w:rFonts w:cs="Avenir Next"/>
        </w:rPr>
        <w:t>debt,</w:t>
      </w:r>
      <w:r>
        <w:rPr>
          <w:rFonts w:cs="Avenir Next"/>
          <w:spacing w:val="-6"/>
        </w:rPr>
        <w:t xml:space="preserve"> </w:t>
      </w:r>
      <w:r>
        <w:rPr>
          <w:rFonts w:cs="Avenir Next"/>
        </w:rPr>
        <w:t>cost of</w:t>
      </w:r>
      <w:r>
        <w:rPr>
          <w:rFonts w:cs="Avenir Next"/>
          <w:spacing w:val="4"/>
        </w:rPr>
        <w:t xml:space="preserve"> </w:t>
      </w:r>
      <w:r>
        <w:rPr>
          <w:rFonts w:cs="Avenir Next"/>
        </w:rPr>
        <w:t xml:space="preserve">equity and </w:t>
      </w:r>
      <w:r>
        <w:rPr>
          <w:rFonts w:cs="Avenir Next"/>
          <w:spacing w:val="-1"/>
        </w:rPr>
        <w:t>gearing</w:t>
      </w:r>
      <w:r>
        <w:rPr>
          <w:rFonts w:cs="Avenir Next"/>
        </w:rPr>
        <w:t xml:space="preserve"> </w:t>
      </w:r>
      <w:r>
        <w:rPr>
          <w:rFonts w:cs="Avenir Next"/>
          <w:spacing w:val="-1"/>
        </w:rPr>
        <w:t>ratio</w:t>
      </w:r>
      <w:r>
        <w:rPr>
          <w:rFonts w:cs="Avenir Next"/>
        </w:rPr>
        <w:t xml:space="preserve"> set out above,</w:t>
      </w:r>
      <w:r>
        <w:rPr>
          <w:rFonts w:cs="Avenir Next"/>
          <w:spacing w:val="-7"/>
        </w:rPr>
        <w:t xml:space="preserve"> </w:t>
      </w:r>
      <w:r>
        <w:rPr>
          <w:rFonts w:cs="Avenir Next"/>
        </w:rPr>
        <w:t xml:space="preserve">the </w:t>
      </w:r>
      <w:r>
        <w:rPr>
          <w:rFonts w:cs="Avenir Next"/>
          <w:spacing w:val="-3"/>
        </w:rPr>
        <w:t>Panel</w:t>
      </w:r>
      <w:r>
        <w:rPr>
          <w:rFonts w:cs="Avenir Next"/>
          <w:spacing w:val="29"/>
        </w:rPr>
        <w:t xml:space="preserve"> </w:t>
      </w:r>
      <w:r>
        <w:rPr>
          <w:spacing w:val="-1"/>
        </w:rPr>
        <w:t>estimated</w:t>
      </w:r>
      <w:r>
        <w:t xml:space="preserve"> the post-tax nominal</w:t>
      </w:r>
      <w:r>
        <w:rPr>
          <w:spacing w:val="-3"/>
        </w:rPr>
        <w:t xml:space="preserve"> WACC</w:t>
      </w:r>
      <w:r>
        <w:t xml:space="preserve"> to be 7.20% as </w:t>
      </w:r>
      <w:r>
        <w:rPr>
          <w:spacing w:val="-1"/>
        </w:rPr>
        <w:t>at</w:t>
      </w:r>
      <w:r>
        <w:t xml:space="preserve"> 31 May 2013.</w:t>
      </w:r>
      <w:r>
        <w:rPr>
          <w:spacing w:val="-11"/>
        </w:rPr>
        <w:t xml:space="preserve"> </w:t>
      </w:r>
      <w:hyperlink w:anchor="_bookmark91" w:history="1">
        <w:r>
          <w:rPr>
            <w:spacing w:val="-4"/>
          </w:rPr>
          <w:t>Table</w:t>
        </w:r>
        <w:r>
          <w:t xml:space="preserve"> 10.4</w:t>
        </w:r>
      </w:hyperlink>
      <w:r>
        <w:t xml:space="preserve"> </w:t>
      </w:r>
      <w:r>
        <w:rPr>
          <w:rFonts w:cs="Avenir Next"/>
          <w:spacing w:val="-1"/>
        </w:rPr>
        <w:t>compares</w:t>
      </w:r>
      <w:r>
        <w:rPr>
          <w:rFonts w:cs="Avenir Next"/>
        </w:rPr>
        <w:t xml:space="preserve"> the </w:t>
      </w:r>
      <w:r>
        <w:rPr>
          <w:rFonts w:cs="Avenir Next"/>
          <w:spacing w:val="-4"/>
        </w:rPr>
        <w:t>Panel’s</w:t>
      </w:r>
      <w:r>
        <w:rPr>
          <w:rFonts w:cs="Avenir Next"/>
          <w:spacing w:val="37"/>
        </w:rPr>
        <w:t xml:space="preserve"> </w:t>
      </w:r>
      <w:r>
        <w:rPr>
          <w:spacing w:val="-2"/>
        </w:rPr>
        <w:t>draft</w:t>
      </w:r>
      <w:r>
        <w:rPr>
          <w:spacing w:val="-1"/>
        </w:rPr>
        <w:t xml:space="preserve"> </w:t>
      </w:r>
      <w:r>
        <w:t>decision on the</w:t>
      </w:r>
      <w:r>
        <w:rPr>
          <w:spacing w:val="-3"/>
        </w:rPr>
        <w:t xml:space="preserve"> WACC</w:t>
      </w:r>
      <w:r>
        <w:rPr>
          <w:spacing w:val="-1"/>
        </w:rPr>
        <w:t xml:space="preserve"> </w:t>
      </w:r>
      <w:r>
        <w:t xml:space="preserve">to the </w:t>
      </w:r>
      <w:r>
        <w:rPr>
          <w:spacing w:val="-2"/>
        </w:rPr>
        <w:t>ICRC’s</w:t>
      </w:r>
      <w:r>
        <w:t xml:space="preserve"> final</w:t>
      </w:r>
      <w:r>
        <w:rPr>
          <w:spacing w:val="-1"/>
        </w:rPr>
        <w:t xml:space="preserve"> </w:t>
      </w:r>
      <w:r>
        <w:t>decision and</w:t>
      </w:r>
      <w:r>
        <w:rPr>
          <w:spacing w:val="-4"/>
        </w:rPr>
        <w:t xml:space="preserve"> </w:t>
      </w:r>
      <w:r>
        <w:rPr>
          <w:spacing w:val="-2"/>
        </w:rPr>
        <w:t>ACTEW’s</w:t>
      </w:r>
      <w:r>
        <w:t xml:space="preserve"> </w:t>
      </w:r>
      <w:r>
        <w:rPr>
          <w:spacing w:val="-1"/>
        </w:rPr>
        <w:t>proposal.</w:t>
      </w:r>
      <w:r>
        <w:rPr>
          <w:spacing w:val="-6"/>
        </w:rPr>
        <w:t xml:space="preserve"> </w:t>
      </w:r>
      <w:r>
        <w:t>It</w:t>
      </w:r>
      <w:r>
        <w:rPr>
          <w:spacing w:val="-1"/>
        </w:rPr>
        <w:t xml:space="preserve"> </w:t>
      </w:r>
      <w:r>
        <w:t xml:space="preserve">shows </w:t>
      </w:r>
      <w:r>
        <w:rPr>
          <w:spacing w:val="-1"/>
        </w:rPr>
        <w:t>that</w:t>
      </w:r>
      <w:r>
        <w:t xml:space="preserve"> the </w:t>
      </w:r>
      <w:r>
        <w:rPr>
          <w:spacing w:val="-4"/>
        </w:rPr>
        <w:t>Panel’s</w:t>
      </w:r>
      <w:r>
        <w:rPr>
          <w:spacing w:val="45"/>
        </w:rPr>
        <w:t xml:space="preserve"> </w:t>
      </w:r>
      <w:r>
        <w:rPr>
          <w:spacing w:val="-2"/>
        </w:rPr>
        <w:t>draft</w:t>
      </w:r>
      <w:r>
        <w:rPr>
          <w:spacing w:val="-1"/>
        </w:rPr>
        <w:t xml:space="preserve"> </w:t>
      </w:r>
      <w:r>
        <w:t>decision is 2.78%</w:t>
      </w:r>
      <w:r>
        <w:rPr>
          <w:spacing w:val="-1"/>
        </w:rPr>
        <w:t xml:space="preserve"> </w:t>
      </w:r>
      <w:r>
        <w:t xml:space="preserve">higher than the </w:t>
      </w:r>
      <w:r>
        <w:rPr>
          <w:spacing w:val="-2"/>
        </w:rPr>
        <w:t>ICRC’s</w:t>
      </w:r>
      <w:r>
        <w:rPr>
          <w:spacing w:val="-1"/>
        </w:rPr>
        <w:t xml:space="preserve"> </w:t>
      </w:r>
      <w:r>
        <w:t>final decision and 1.75%</w:t>
      </w:r>
      <w:r>
        <w:rPr>
          <w:spacing w:val="-1"/>
        </w:rPr>
        <w:t xml:space="preserve"> </w:t>
      </w:r>
      <w:r>
        <w:t>lower than</w:t>
      </w:r>
      <w:r>
        <w:rPr>
          <w:spacing w:val="-4"/>
        </w:rPr>
        <w:t xml:space="preserve"> </w:t>
      </w:r>
      <w:r>
        <w:rPr>
          <w:spacing w:val="-2"/>
        </w:rPr>
        <w:t>ACTEW’s</w:t>
      </w:r>
      <w:r>
        <w:t xml:space="preserve"> </w:t>
      </w:r>
      <w:r>
        <w:rPr>
          <w:spacing w:val="-1"/>
        </w:rPr>
        <w:t>proposal:</w:t>
      </w:r>
    </w:p>
    <w:p w:rsidR="00D96B91" w:rsidRDefault="00C2656B">
      <w:pPr>
        <w:pStyle w:val="BodyText"/>
        <w:numPr>
          <w:ilvl w:val="0"/>
          <w:numId w:val="131"/>
        </w:numPr>
        <w:tabs>
          <w:tab w:val="left" w:pos="1531"/>
        </w:tabs>
        <w:spacing w:before="170" w:line="260" w:lineRule="exact"/>
        <w:ind w:right="1637" w:hanging="283"/>
      </w:pPr>
      <w:r>
        <w:rPr>
          <w:spacing w:val="-2"/>
        </w:rPr>
        <w:t>The</w:t>
      </w:r>
      <w:r>
        <w:rPr>
          <w:spacing w:val="-1"/>
        </w:rPr>
        <w:t xml:space="preserve"> </w:t>
      </w:r>
      <w:r>
        <w:t xml:space="preserve">2.78% </w:t>
      </w:r>
      <w:r>
        <w:rPr>
          <w:spacing w:val="-1"/>
        </w:rPr>
        <w:t>difference</w:t>
      </w:r>
      <w:r>
        <w:t xml:space="preserve"> between</w:t>
      </w:r>
      <w:r>
        <w:rPr>
          <w:spacing w:val="-1"/>
        </w:rPr>
        <w:t xml:space="preserve"> </w:t>
      </w:r>
      <w:r>
        <w:t xml:space="preserve">the </w:t>
      </w:r>
      <w:r>
        <w:rPr>
          <w:spacing w:val="-4"/>
        </w:rPr>
        <w:t>Panel’s</w:t>
      </w:r>
      <w:r>
        <w:t xml:space="preserve"> </w:t>
      </w:r>
      <w:r>
        <w:rPr>
          <w:spacing w:val="-2"/>
        </w:rPr>
        <w:t>draft</w:t>
      </w:r>
      <w:r>
        <w:t xml:space="preserve"> decision</w:t>
      </w:r>
      <w:r>
        <w:rPr>
          <w:spacing w:val="-1"/>
        </w:rPr>
        <w:t xml:space="preserve"> </w:t>
      </w:r>
      <w:r>
        <w:t xml:space="preserve">and the </w:t>
      </w:r>
      <w:r>
        <w:rPr>
          <w:spacing w:val="-2"/>
        </w:rPr>
        <w:t>ICRC’s</w:t>
      </w:r>
      <w:r>
        <w:t xml:space="preserve"> final</w:t>
      </w:r>
      <w:r>
        <w:rPr>
          <w:spacing w:val="-1"/>
        </w:rPr>
        <w:t xml:space="preserve"> </w:t>
      </w:r>
      <w:r>
        <w:t>decision in 2013-14</w:t>
      </w:r>
      <w:r>
        <w:rPr>
          <w:spacing w:val="33"/>
        </w:rPr>
        <w:t xml:space="preserve"> </w:t>
      </w:r>
      <w:r>
        <w:t xml:space="preserve">and 2014-15 is primarily due to the </w:t>
      </w:r>
      <w:r>
        <w:rPr>
          <w:spacing w:val="-1"/>
        </w:rPr>
        <w:t>different</w:t>
      </w:r>
      <w:r>
        <w:t xml:space="preserve"> positions </w:t>
      </w:r>
      <w:r>
        <w:rPr>
          <w:spacing w:val="-1"/>
        </w:rPr>
        <w:t>taken</w:t>
      </w:r>
      <w:r>
        <w:t xml:space="preserve"> on the cost of</w:t>
      </w:r>
      <w:r>
        <w:rPr>
          <w:spacing w:val="4"/>
        </w:rPr>
        <w:t xml:space="preserve"> </w:t>
      </w:r>
      <w:r>
        <w:rPr>
          <w:spacing w:val="-2"/>
        </w:rPr>
        <w:t>equity.</w:t>
      </w:r>
      <w:r>
        <w:rPr>
          <w:spacing w:val="-9"/>
        </w:rPr>
        <w:t xml:space="preserve"> </w:t>
      </w:r>
      <w:r>
        <w:rPr>
          <w:spacing w:val="-1"/>
        </w:rPr>
        <w:t>Whereas</w:t>
      </w:r>
      <w:r>
        <w:t xml:space="preserve"> the</w:t>
      </w:r>
    </w:p>
    <w:p w:rsidR="00D96B91" w:rsidRDefault="00C2656B">
      <w:pPr>
        <w:pStyle w:val="BodyText"/>
        <w:spacing w:line="260" w:lineRule="exact"/>
        <w:ind w:left="1530" w:right="1270"/>
      </w:pPr>
      <w:r>
        <w:rPr>
          <w:spacing w:val="-3"/>
        </w:rPr>
        <w:t>Panel</w:t>
      </w:r>
      <w:r>
        <w:t xml:space="preserve"> determined the cost of</w:t>
      </w:r>
      <w:r>
        <w:rPr>
          <w:spacing w:val="4"/>
        </w:rPr>
        <w:t xml:space="preserve"> </w:t>
      </w:r>
      <w:r>
        <w:t>equity using the S-L</w:t>
      </w:r>
      <w:r>
        <w:rPr>
          <w:spacing w:val="-5"/>
        </w:rPr>
        <w:t xml:space="preserve"> </w:t>
      </w:r>
      <w:r>
        <w:rPr>
          <w:spacing w:val="-1"/>
        </w:rPr>
        <w:t>CAPM,</w:t>
      </w:r>
      <w:r>
        <w:rPr>
          <w:spacing w:val="-6"/>
        </w:rPr>
        <w:t xml:space="preserve"> </w:t>
      </w:r>
      <w:r>
        <w:t>the ICRC adopted a value of</w:t>
      </w:r>
      <w:r>
        <w:rPr>
          <w:spacing w:val="4"/>
        </w:rPr>
        <w:t xml:space="preserve"> </w:t>
      </w:r>
      <w:r>
        <w:t>2.8% for these</w:t>
      </w:r>
      <w:r>
        <w:rPr>
          <w:spacing w:val="25"/>
        </w:rPr>
        <w:t xml:space="preserve"> </w:t>
      </w:r>
      <w:r>
        <w:t xml:space="preserve">two </w:t>
      </w:r>
      <w:r>
        <w:rPr>
          <w:spacing w:val="-1"/>
        </w:rPr>
        <w:t>years.</w:t>
      </w:r>
      <w:r>
        <w:rPr>
          <w:spacing w:val="-9"/>
        </w:rPr>
        <w:t xml:space="preserve"> </w:t>
      </w:r>
      <w:r>
        <w:t xml:space="preserve">While the ICRC did not </w:t>
      </w:r>
      <w:r>
        <w:rPr>
          <w:spacing w:val="-1"/>
        </w:rPr>
        <w:t>provide</w:t>
      </w:r>
      <w:r>
        <w:t xml:space="preserve"> </w:t>
      </w:r>
      <w:r>
        <w:rPr>
          <w:spacing w:val="-1"/>
        </w:rPr>
        <w:t>information</w:t>
      </w:r>
      <w:r>
        <w:t xml:space="preserve"> on how this value was </w:t>
      </w:r>
      <w:r>
        <w:rPr>
          <w:spacing w:val="-1"/>
        </w:rPr>
        <w:t>calculated,</w:t>
      </w:r>
      <w:r>
        <w:rPr>
          <w:spacing w:val="-6"/>
        </w:rPr>
        <w:t xml:space="preserve"> </w:t>
      </w:r>
      <w:r>
        <w:t xml:space="preserve">the </w:t>
      </w:r>
      <w:r>
        <w:rPr>
          <w:spacing w:val="-3"/>
        </w:rPr>
        <w:t>Panel</w:t>
      </w:r>
      <w:r>
        <w:rPr>
          <w:spacing w:val="55"/>
        </w:rPr>
        <w:t xml:space="preserve"> </w:t>
      </w:r>
      <w:r>
        <w:t>understands</w:t>
      </w:r>
      <w:r>
        <w:rPr>
          <w:spacing w:val="-1"/>
        </w:rPr>
        <w:t xml:space="preserve"> from</w:t>
      </w:r>
      <w:r>
        <w:t xml:space="preserve"> the </w:t>
      </w:r>
      <w:r>
        <w:rPr>
          <w:spacing w:val="-2"/>
        </w:rPr>
        <w:t>ICRC’s</w:t>
      </w:r>
      <w:r>
        <w:rPr>
          <w:spacing w:val="-1"/>
        </w:rPr>
        <w:t xml:space="preserve"> </w:t>
      </w:r>
      <w:r>
        <w:t xml:space="preserve">final decision </w:t>
      </w:r>
      <w:r>
        <w:rPr>
          <w:spacing w:val="-1"/>
        </w:rPr>
        <w:t>that</w:t>
      </w:r>
      <w:r>
        <w:t xml:space="preserve"> it</w:t>
      </w:r>
      <w:r>
        <w:rPr>
          <w:spacing w:val="-1"/>
        </w:rPr>
        <w:t xml:space="preserve"> </w:t>
      </w:r>
      <w:r>
        <w:t>adopted a 2.8% cost</w:t>
      </w:r>
      <w:r>
        <w:rPr>
          <w:spacing w:val="-1"/>
        </w:rPr>
        <w:t xml:space="preserve"> </w:t>
      </w:r>
      <w:r>
        <w:t>of</w:t>
      </w:r>
      <w:r>
        <w:rPr>
          <w:spacing w:val="4"/>
        </w:rPr>
        <w:t xml:space="preserve"> </w:t>
      </w:r>
      <w:r>
        <w:t>equity to:</w:t>
      </w:r>
    </w:p>
    <w:p w:rsidR="00D96B91" w:rsidRDefault="00C2656B">
      <w:pPr>
        <w:pStyle w:val="BodyText"/>
        <w:numPr>
          <w:ilvl w:val="1"/>
          <w:numId w:val="131"/>
        </w:numPr>
        <w:tabs>
          <w:tab w:val="left" w:pos="1815"/>
        </w:tabs>
        <w:spacing w:before="85" w:line="260" w:lineRule="exact"/>
        <w:ind w:right="1806"/>
      </w:pPr>
      <w:r>
        <w:t>counter some of</w:t>
      </w:r>
      <w:r>
        <w:rPr>
          <w:spacing w:val="4"/>
        </w:rPr>
        <w:t xml:space="preserve"> </w:t>
      </w:r>
      <w:r>
        <w:t xml:space="preserve">the </w:t>
      </w:r>
      <w:r>
        <w:rPr>
          <w:spacing w:val="-1"/>
        </w:rPr>
        <w:t>effect</w:t>
      </w:r>
      <w:r>
        <w:t xml:space="preserve"> of</w:t>
      </w:r>
      <w:r>
        <w:rPr>
          <w:spacing w:val="4"/>
        </w:rPr>
        <w:t xml:space="preserve"> </w:t>
      </w:r>
      <w:r>
        <w:t xml:space="preserve">its decision to move </w:t>
      </w:r>
      <w:r>
        <w:rPr>
          <w:spacing w:val="-1"/>
        </w:rPr>
        <w:t>from</w:t>
      </w:r>
      <w:r>
        <w:t xml:space="preserve"> a </w:t>
      </w:r>
      <w:r>
        <w:rPr>
          <w:spacing w:val="-2"/>
        </w:rPr>
        <w:t>real</w:t>
      </w:r>
      <w:r>
        <w:t xml:space="preserve"> to a nominal </w:t>
      </w:r>
      <w:r>
        <w:rPr>
          <w:spacing w:val="-1"/>
        </w:rPr>
        <w:t>(unindexed)</w:t>
      </w:r>
      <w:r>
        <w:t xml:space="preserve"> RAB</w:t>
      </w:r>
      <w:r>
        <w:rPr>
          <w:spacing w:val="23"/>
        </w:rPr>
        <w:t xml:space="preserve"> </w:t>
      </w:r>
      <w:r>
        <w:t xml:space="preserve">modelling </w:t>
      </w:r>
      <w:r>
        <w:rPr>
          <w:spacing w:val="-1"/>
        </w:rPr>
        <w:t>framework</w:t>
      </w:r>
      <w:r>
        <w:t xml:space="preserve"> (discussed in section </w:t>
      </w:r>
      <w:hyperlink w:anchor="_bookmark79" w:history="1">
        <w:r>
          <w:t>9.4.3.4</w:t>
        </w:r>
      </w:hyperlink>
      <w:r>
        <w:t>),</w:t>
      </w:r>
      <w:r>
        <w:rPr>
          <w:spacing w:val="-6"/>
        </w:rPr>
        <w:t xml:space="preserve"> </w:t>
      </w:r>
      <w:r>
        <w:t>and</w:t>
      </w:r>
    </w:p>
    <w:p w:rsidR="00D96B91" w:rsidRDefault="00C2656B">
      <w:pPr>
        <w:pStyle w:val="BodyText"/>
        <w:numPr>
          <w:ilvl w:val="1"/>
          <w:numId w:val="131"/>
        </w:numPr>
        <w:tabs>
          <w:tab w:val="left" w:pos="1815"/>
        </w:tabs>
        <w:spacing w:before="85" w:line="260" w:lineRule="exact"/>
        <w:ind w:right="1646"/>
      </w:pPr>
      <w:r>
        <w:rPr>
          <w:spacing w:val="-1"/>
        </w:rPr>
        <w:t>transfer</w:t>
      </w:r>
      <w:r>
        <w:t xml:space="preserve"> some of</w:t>
      </w:r>
      <w:r>
        <w:rPr>
          <w:spacing w:val="4"/>
        </w:rPr>
        <w:t xml:space="preserve"> </w:t>
      </w:r>
      <w:r>
        <w:t xml:space="preserve">the </w:t>
      </w:r>
      <w:r>
        <w:rPr>
          <w:spacing w:val="-1"/>
        </w:rPr>
        <w:t>intergenerational</w:t>
      </w:r>
      <w:r>
        <w:t xml:space="preserve"> equity issue </w:t>
      </w:r>
      <w:r>
        <w:rPr>
          <w:spacing w:val="-1"/>
        </w:rPr>
        <w:t>associated</w:t>
      </w:r>
      <w:r>
        <w:t xml:space="preserve"> with the </w:t>
      </w:r>
      <w:r>
        <w:rPr>
          <w:spacing w:val="-1"/>
        </w:rPr>
        <w:t>water</w:t>
      </w:r>
      <w:r>
        <w:t xml:space="preserve"> security </w:t>
      </w:r>
      <w:r>
        <w:rPr>
          <w:spacing w:val="-1"/>
        </w:rPr>
        <w:t>projects</w:t>
      </w:r>
      <w:r>
        <w:rPr>
          <w:spacing w:val="53"/>
        </w:rPr>
        <w:t xml:space="preserve"> </w:t>
      </w:r>
      <w:r>
        <w:t>back to the</w:t>
      </w:r>
      <w:r>
        <w:rPr>
          <w:spacing w:val="-4"/>
        </w:rPr>
        <w:t xml:space="preserve"> </w:t>
      </w:r>
      <w:r>
        <w:rPr>
          <w:spacing w:val="-2"/>
        </w:rPr>
        <w:t>ACT</w:t>
      </w:r>
      <w:r>
        <w:rPr>
          <w:spacing w:val="-5"/>
        </w:rPr>
        <w:t xml:space="preserve"> </w:t>
      </w:r>
      <w:r>
        <w:t xml:space="preserve">Government (see section </w:t>
      </w:r>
      <w:hyperlink w:anchor="_bookmark54" w:history="1">
        <w:r>
          <w:t>8.3</w:t>
        </w:r>
      </w:hyperlink>
      <w:r>
        <w:t>).</w:t>
      </w:r>
    </w:p>
    <w:p w:rsidR="00D96B91" w:rsidRDefault="00C2656B">
      <w:pPr>
        <w:pStyle w:val="BodyText"/>
        <w:numPr>
          <w:ilvl w:val="0"/>
          <w:numId w:val="131"/>
        </w:numPr>
        <w:tabs>
          <w:tab w:val="left" w:pos="1531"/>
        </w:tabs>
        <w:spacing w:before="85" w:line="260" w:lineRule="exact"/>
        <w:ind w:right="1468" w:hanging="283"/>
        <w:rPr>
          <w:rFonts w:cs="Avenir Next"/>
        </w:rPr>
      </w:pPr>
      <w:r>
        <w:rPr>
          <w:spacing w:val="-2"/>
        </w:rPr>
        <w:t>The</w:t>
      </w:r>
      <w:r>
        <w:t xml:space="preserve"> 1.75% </w:t>
      </w:r>
      <w:r>
        <w:rPr>
          <w:spacing w:val="-1"/>
        </w:rPr>
        <w:t>difference</w:t>
      </w:r>
      <w:r>
        <w:t xml:space="preserve"> between the </w:t>
      </w:r>
      <w:r>
        <w:rPr>
          <w:spacing w:val="-4"/>
        </w:rPr>
        <w:t>Panel’s</w:t>
      </w:r>
      <w:r>
        <w:t xml:space="preserve"> </w:t>
      </w:r>
      <w:r>
        <w:rPr>
          <w:spacing w:val="-2"/>
        </w:rPr>
        <w:t>draft</w:t>
      </w:r>
      <w:r>
        <w:t xml:space="preserve"> decision and</w:t>
      </w:r>
      <w:r>
        <w:rPr>
          <w:spacing w:val="-4"/>
        </w:rPr>
        <w:t xml:space="preserve"> </w:t>
      </w:r>
      <w:r>
        <w:rPr>
          <w:spacing w:val="-2"/>
        </w:rPr>
        <w:t>ACTEW’s</w:t>
      </w:r>
      <w:r>
        <w:t xml:space="preserve"> </w:t>
      </w:r>
      <w:r>
        <w:rPr>
          <w:spacing w:val="-1"/>
        </w:rPr>
        <w:t>proposal</w:t>
      </w:r>
      <w:r>
        <w:t xml:space="preserve"> is primarily due to</w:t>
      </w:r>
      <w:r>
        <w:rPr>
          <w:spacing w:val="39"/>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to use:</w:t>
      </w:r>
    </w:p>
    <w:p w:rsidR="00D96B91" w:rsidRDefault="00C2656B">
      <w:pPr>
        <w:pStyle w:val="BodyText"/>
        <w:numPr>
          <w:ilvl w:val="1"/>
          <w:numId w:val="131"/>
        </w:numPr>
        <w:tabs>
          <w:tab w:val="left" w:pos="1814"/>
        </w:tabs>
        <w:spacing w:before="85" w:line="260" w:lineRule="exact"/>
        <w:ind w:left="1813" w:right="1640" w:hanging="283"/>
      </w:pPr>
      <w:r>
        <w:t xml:space="preserve">a </w:t>
      </w:r>
      <w:r>
        <w:rPr>
          <w:spacing w:val="-1"/>
        </w:rPr>
        <w:t>short-term</w:t>
      </w:r>
      <w:r>
        <w:t xml:space="preserve"> </w:t>
      </w:r>
      <w:r>
        <w:rPr>
          <w:spacing w:val="-1"/>
        </w:rPr>
        <w:t>averaging</w:t>
      </w:r>
      <w:r>
        <w:t xml:space="preserve"> period </w:t>
      </w:r>
      <w:r>
        <w:rPr>
          <w:spacing w:val="-1"/>
        </w:rPr>
        <w:t>rather</w:t>
      </w:r>
      <w:r>
        <w:t xml:space="preserve"> than the long-term </w:t>
      </w:r>
      <w:r>
        <w:rPr>
          <w:spacing w:val="-1"/>
        </w:rPr>
        <w:t>averaging</w:t>
      </w:r>
      <w:r>
        <w:t xml:space="preserve"> period</w:t>
      </w:r>
      <w:r>
        <w:rPr>
          <w:spacing w:val="-4"/>
        </w:rPr>
        <w:t xml:space="preserve"> </w:t>
      </w:r>
      <w:r>
        <w:rPr>
          <w:spacing w:val="-2"/>
        </w:rPr>
        <w:t>ACTEW</w:t>
      </w:r>
      <w:r>
        <w:rPr>
          <w:spacing w:val="-3"/>
        </w:rPr>
        <w:t xml:space="preserve"> </w:t>
      </w:r>
      <w:r>
        <w:rPr>
          <w:spacing w:val="-1"/>
        </w:rPr>
        <w:t>proposed,</w:t>
      </w:r>
      <w:r>
        <w:rPr>
          <w:spacing w:val="59"/>
        </w:rPr>
        <w:t xml:space="preserve"> </w:t>
      </w:r>
      <w:r>
        <w:t xml:space="preserve">which </w:t>
      </w:r>
      <w:r>
        <w:rPr>
          <w:spacing w:val="-1"/>
        </w:rPr>
        <w:t>resulted</w:t>
      </w:r>
      <w:r>
        <w:t xml:space="preserve"> in a lower </w:t>
      </w:r>
      <w:r>
        <w:rPr>
          <w:spacing w:val="-1"/>
        </w:rPr>
        <w:t>risk-free</w:t>
      </w:r>
      <w:r>
        <w:t xml:space="preserve"> </w:t>
      </w:r>
      <w:r>
        <w:rPr>
          <w:spacing w:val="-2"/>
        </w:rPr>
        <w:t>rate</w:t>
      </w:r>
      <w:r>
        <w:t xml:space="preserve"> than</w:t>
      </w:r>
      <w:r>
        <w:rPr>
          <w:spacing w:val="-4"/>
        </w:rPr>
        <w:t xml:space="preserve"> </w:t>
      </w:r>
      <w:r>
        <w:rPr>
          <w:spacing w:val="-2"/>
        </w:rPr>
        <w:t>ACTEW</w:t>
      </w:r>
      <w:r>
        <w:rPr>
          <w:spacing w:val="-3"/>
        </w:rPr>
        <w:t xml:space="preserve"> </w:t>
      </w:r>
      <w:r>
        <w:rPr>
          <w:spacing w:val="-1"/>
        </w:rPr>
        <w:t>proposed</w:t>
      </w:r>
    </w:p>
    <w:p w:rsidR="00D96B91" w:rsidRDefault="00C2656B">
      <w:pPr>
        <w:pStyle w:val="BodyText"/>
        <w:numPr>
          <w:ilvl w:val="1"/>
          <w:numId w:val="131"/>
        </w:numPr>
        <w:tabs>
          <w:tab w:val="left" w:pos="1814"/>
        </w:tabs>
        <w:spacing w:before="93"/>
        <w:ind w:left="1813" w:hanging="283"/>
      </w:pPr>
      <w:r>
        <w:t>an equity beta of</w:t>
      </w:r>
      <w:r>
        <w:rPr>
          <w:spacing w:val="4"/>
        </w:rPr>
        <w:t xml:space="preserve"> </w:t>
      </w:r>
      <w:r>
        <w:t>0.7,</w:t>
      </w:r>
      <w:r>
        <w:rPr>
          <w:spacing w:val="-6"/>
        </w:rPr>
        <w:t xml:space="preserve"> </w:t>
      </w:r>
      <w:r>
        <w:t>which is 0.2 lower than</w:t>
      </w:r>
      <w:r>
        <w:rPr>
          <w:spacing w:val="-4"/>
        </w:rPr>
        <w:t xml:space="preserve"> </w:t>
      </w:r>
      <w:r>
        <w:rPr>
          <w:spacing w:val="-2"/>
        </w:rPr>
        <w:t>ACTEW</w:t>
      </w:r>
      <w:r>
        <w:rPr>
          <w:spacing w:val="-3"/>
        </w:rPr>
        <w:t xml:space="preserve"> </w:t>
      </w:r>
      <w:r>
        <w:rPr>
          <w:spacing w:val="-1"/>
        </w:rPr>
        <w:t>proposed,</w:t>
      </w:r>
      <w:r>
        <w:rPr>
          <w:spacing w:val="-6"/>
        </w:rPr>
        <w:t xml:space="preserve"> </w:t>
      </w:r>
      <w:r>
        <w:t>and</w:t>
      </w:r>
    </w:p>
    <w:p w:rsidR="00D96B91" w:rsidRDefault="00C2656B">
      <w:pPr>
        <w:pStyle w:val="BodyText"/>
        <w:numPr>
          <w:ilvl w:val="1"/>
          <w:numId w:val="131"/>
        </w:numPr>
        <w:tabs>
          <w:tab w:val="left" w:pos="1814"/>
        </w:tabs>
        <w:spacing w:before="72"/>
        <w:ind w:left="1813" w:hanging="283"/>
      </w:pPr>
      <w:r>
        <w:t xml:space="preserve">a </w:t>
      </w:r>
      <w:r>
        <w:rPr>
          <w:spacing w:val="-1"/>
        </w:rPr>
        <w:t>market</w:t>
      </w:r>
      <w:r>
        <w:t xml:space="preserve"> risk </w:t>
      </w:r>
      <w:r>
        <w:rPr>
          <w:spacing w:val="-1"/>
        </w:rPr>
        <w:t>premium</w:t>
      </w:r>
      <w:r>
        <w:t xml:space="preserve"> of</w:t>
      </w:r>
      <w:r>
        <w:rPr>
          <w:spacing w:val="4"/>
        </w:rPr>
        <w:t xml:space="preserve"> </w:t>
      </w:r>
      <w:r>
        <w:t>7.23%,</w:t>
      </w:r>
      <w:r>
        <w:rPr>
          <w:spacing w:val="-6"/>
        </w:rPr>
        <w:t xml:space="preserve"> </w:t>
      </w:r>
      <w:r>
        <w:t>which is higher than the 6%</w:t>
      </w:r>
      <w:r>
        <w:rPr>
          <w:spacing w:val="-4"/>
        </w:rPr>
        <w:t xml:space="preserve"> </w:t>
      </w:r>
      <w:r>
        <w:rPr>
          <w:spacing w:val="-2"/>
        </w:rPr>
        <w:t>ACTEW’s</w:t>
      </w:r>
      <w:r>
        <w:t xml:space="preserve"> </w:t>
      </w:r>
      <w:r>
        <w:rPr>
          <w:spacing w:val="-1"/>
        </w:rPr>
        <w:t>proposed.</w:t>
      </w:r>
    </w:p>
    <w:p w:rsidR="00D96B91" w:rsidRDefault="00C2656B">
      <w:pPr>
        <w:pStyle w:val="BodyText"/>
        <w:spacing w:before="149" w:line="260" w:lineRule="exact"/>
        <w:ind w:left="1246" w:right="1258"/>
      </w:pPr>
      <w:r>
        <w:rPr>
          <w:rFonts w:cs="Avenir Next"/>
          <w:spacing w:val="-10"/>
        </w:rPr>
        <w:t>To</w:t>
      </w:r>
      <w:r>
        <w:rPr>
          <w:rFonts w:cs="Avenir Next"/>
        </w:rPr>
        <w:t xml:space="preserve"> test the </w:t>
      </w:r>
      <w:r>
        <w:rPr>
          <w:rFonts w:cs="Avenir Next"/>
          <w:spacing w:val="-1"/>
        </w:rPr>
        <w:t>reasonableness</w:t>
      </w:r>
      <w:r>
        <w:rPr>
          <w:rFonts w:cs="Avenir Next"/>
        </w:rPr>
        <w:t xml:space="preserve"> of</w:t>
      </w:r>
      <w:r>
        <w:rPr>
          <w:rFonts w:cs="Avenir Next"/>
          <w:spacing w:val="4"/>
        </w:rPr>
        <w:t xml:space="preserve"> </w:t>
      </w:r>
      <w:r>
        <w:rPr>
          <w:rFonts w:cs="Avenir Next"/>
        </w:rPr>
        <w:t xml:space="preserve">its </w:t>
      </w:r>
      <w:r>
        <w:rPr>
          <w:rFonts w:cs="Avenir Next"/>
          <w:spacing w:val="-2"/>
        </w:rPr>
        <w:t>draft</w:t>
      </w:r>
      <w:r>
        <w:rPr>
          <w:rFonts w:cs="Avenir Next"/>
        </w:rPr>
        <w:t xml:space="preserve"> decision on the</w:t>
      </w:r>
      <w:r>
        <w:rPr>
          <w:rFonts w:cs="Avenir Next"/>
          <w:spacing w:val="-3"/>
        </w:rPr>
        <w:t xml:space="preserve"> </w:t>
      </w:r>
      <w:r>
        <w:rPr>
          <w:rFonts w:cs="Avenir Next"/>
          <w:spacing w:val="-2"/>
        </w:rPr>
        <w:t>WACC,</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compared</w:t>
      </w:r>
      <w:r>
        <w:rPr>
          <w:rFonts w:cs="Avenir Next"/>
        </w:rPr>
        <w:t xml:space="preserve"> this decision to the</w:t>
      </w:r>
      <w:r>
        <w:rPr>
          <w:rFonts w:cs="Avenir Next"/>
          <w:spacing w:val="39"/>
        </w:rPr>
        <w:t xml:space="preserve"> </w:t>
      </w:r>
      <w:r>
        <w:rPr>
          <w:spacing w:val="-3"/>
        </w:rPr>
        <w:t>WACC</w:t>
      </w:r>
      <w:r>
        <w:rPr>
          <w:spacing w:val="-1"/>
        </w:rPr>
        <w:t xml:space="preserve"> </w:t>
      </w:r>
      <w:r>
        <w:t xml:space="preserve">adopted by other </w:t>
      </w:r>
      <w:r>
        <w:rPr>
          <w:spacing w:val="-1"/>
        </w:rPr>
        <w:t>regulators around</w:t>
      </w:r>
      <w:r>
        <w:t xml:space="preserve"> the time the</w:t>
      </w:r>
      <w:r>
        <w:rPr>
          <w:spacing w:val="-1"/>
        </w:rPr>
        <w:t xml:space="preserve"> </w:t>
      </w:r>
      <w:r>
        <w:t>ICRC made its final</w:t>
      </w:r>
      <w:r>
        <w:rPr>
          <w:spacing w:val="-1"/>
        </w:rPr>
        <w:t xml:space="preserve"> </w:t>
      </w:r>
      <w:r>
        <w:t>decision.</w:t>
      </w:r>
      <w:r>
        <w:rPr>
          <w:spacing w:val="-10"/>
        </w:rPr>
        <w:t xml:space="preserve"> </w:t>
      </w:r>
      <w:r>
        <w:t>As</w:t>
      </w:r>
      <w:r>
        <w:rPr>
          <w:spacing w:val="-5"/>
        </w:rPr>
        <w:t xml:space="preserve"> </w:t>
      </w:r>
      <w:r>
        <w:rPr>
          <w:spacing w:val="-4"/>
        </w:rPr>
        <w:t>Table</w:t>
      </w:r>
      <w:r>
        <w:t xml:space="preserve"> 10.5</w:t>
      </w:r>
      <w:r>
        <w:rPr>
          <w:spacing w:val="29"/>
        </w:rPr>
        <w:t xml:space="preserve"> </w:t>
      </w:r>
      <w:r>
        <w:rPr>
          <w:spacing w:val="-1"/>
        </w:rPr>
        <w:t>indicates,</w:t>
      </w:r>
      <w:r>
        <w:rPr>
          <w:spacing w:val="-6"/>
        </w:rPr>
        <w:t xml:space="preserve"> </w:t>
      </w:r>
      <w:r>
        <w:t xml:space="preserve">the </w:t>
      </w:r>
      <w:r>
        <w:rPr>
          <w:spacing w:val="-4"/>
        </w:rPr>
        <w:t>Panel’s</w:t>
      </w:r>
      <w:r>
        <w:t xml:space="preserve"> 7.2%</w:t>
      </w:r>
      <w:r>
        <w:rPr>
          <w:spacing w:val="-3"/>
        </w:rPr>
        <w:t xml:space="preserve"> WACC</w:t>
      </w:r>
      <w:r>
        <w:t xml:space="preserve"> is </w:t>
      </w:r>
      <w:r>
        <w:rPr>
          <w:spacing w:val="-1"/>
        </w:rPr>
        <w:t>broadly</w:t>
      </w:r>
      <w:r>
        <w:t xml:space="preserve"> in line with decisions made by other </w:t>
      </w:r>
      <w:r>
        <w:rPr>
          <w:spacing w:val="-1"/>
        </w:rPr>
        <w:t>regulators</w:t>
      </w:r>
      <w:r>
        <w:t xml:space="preserve"> </w:t>
      </w:r>
      <w:r>
        <w:rPr>
          <w:spacing w:val="-1"/>
        </w:rPr>
        <w:t>at</w:t>
      </w:r>
      <w:r>
        <w:t xml:space="preserve"> </w:t>
      </w:r>
      <w:r>
        <w:rPr>
          <w:spacing w:val="-1"/>
        </w:rPr>
        <w:t>that</w:t>
      </w:r>
      <w:r>
        <w:t xml:space="preserve"> time.</w:t>
      </w:r>
    </w:p>
    <w:p w:rsidR="00D96B91" w:rsidRDefault="00C2656B">
      <w:pPr>
        <w:spacing w:before="166" w:line="240" w:lineRule="exact"/>
        <w:ind w:left="1246" w:right="1283"/>
        <w:rPr>
          <w:rFonts w:ascii="Avenir Next" w:eastAsia="Avenir Next" w:hAnsi="Avenir Next" w:cs="Avenir Next"/>
          <w:sz w:val="20"/>
          <w:szCs w:val="20"/>
        </w:rPr>
      </w:pPr>
      <w:bookmarkStart w:id="144" w:name="_bookmark91"/>
      <w:bookmarkEnd w:id="144"/>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10.4: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on the</w:t>
      </w:r>
      <w:r>
        <w:rPr>
          <w:rFonts w:ascii="Avenir Next" w:eastAsia="Avenir Next" w:hAnsi="Avenir Next" w:cs="Avenir Next"/>
          <w:b/>
          <w:bCs/>
          <w:spacing w:val="-3"/>
          <w:sz w:val="20"/>
          <w:szCs w:val="20"/>
        </w:rPr>
        <w:t xml:space="preserve"> WACC</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compared</w:t>
      </w:r>
      <w:r>
        <w:rPr>
          <w:rFonts w:ascii="Avenir Next" w:eastAsia="Avenir Next" w:hAnsi="Avenir Next" w:cs="Avenir Next"/>
          <w:b/>
          <w:bCs/>
          <w:sz w:val="20"/>
          <w:szCs w:val="20"/>
        </w:rPr>
        <w:t xml:space="preserve"> to the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final decision and</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pacing w:val="39"/>
          <w:sz w:val="20"/>
          <w:szCs w:val="20"/>
        </w:rPr>
        <w:t xml:space="preserve"> </w:t>
      </w:r>
      <w:r>
        <w:rPr>
          <w:rFonts w:ascii="Avenir Next" w:eastAsia="Avenir Next" w:hAnsi="Avenir Next" w:cs="Avenir Next"/>
          <w:b/>
          <w:bCs/>
          <w:spacing w:val="-1"/>
          <w:sz w:val="20"/>
          <w:szCs w:val="20"/>
        </w:rPr>
        <w:t>proposal</w:t>
      </w:r>
    </w:p>
    <w:p w:rsidR="00D96B91" w:rsidRDefault="00D96B91">
      <w:pPr>
        <w:spacing w:before="12"/>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2315"/>
        <w:gridCol w:w="2362"/>
        <w:gridCol w:w="2362"/>
        <w:gridCol w:w="2362"/>
      </w:tblGrid>
      <w:tr w:rsidR="00D96B91">
        <w:trPr>
          <w:trHeight w:hRule="exact" w:val="627"/>
        </w:trPr>
        <w:tc>
          <w:tcPr>
            <w:tcW w:w="231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46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Panel’s</w:t>
            </w:r>
            <w:r>
              <w:rPr>
                <w:rFonts w:ascii="Avenir Next Condensed" w:eastAsia="Avenir Next Condensed" w:hAnsi="Avenir Next Condensed" w:cs="Avenir Next Condensed"/>
                <w:b/>
                <w:bCs/>
                <w:color w:val="FFFFFF"/>
                <w:sz w:val="18"/>
                <w:szCs w:val="18"/>
              </w:rPr>
              <w:t xml:space="preserve"> </w:t>
            </w:r>
            <w:r>
              <w:rPr>
                <w:rFonts w:ascii="Avenir Next Condensed" w:eastAsia="Avenir Next Condensed" w:hAnsi="Avenir Next Condensed" w:cs="Avenir Next Condensed"/>
                <w:b/>
                <w:bCs/>
                <w:color w:val="FFFFFF"/>
                <w:spacing w:val="-1"/>
                <w:sz w:val="18"/>
                <w:szCs w:val="18"/>
              </w:rPr>
              <w:t>draft</w:t>
            </w:r>
            <w:r>
              <w:rPr>
                <w:rFonts w:ascii="Avenir Next Condensed" w:eastAsia="Avenir Next Condensed" w:hAnsi="Avenir Next Condensed" w:cs="Avenir Next Condensed"/>
                <w:b/>
                <w:bCs/>
                <w:color w:val="FFFFFF"/>
                <w:sz w:val="18"/>
                <w:szCs w:val="18"/>
              </w:rPr>
              <w:t xml:space="preserve"> decision</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77ECE">
            <w:pPr>
              <w:pStyle w:val="TableParagraph"/>
              <w:spacing w:before="112" w:line="220" w:lineRule="exact"/>
              <w:ind w:left="177" w:right="426" w:firstLine="67"/>
              <w:jc w:val="center"/>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ICRC’s</w:t>
            </w:r>
            <w:r>
              <w:rPr>
                <w:rFonts w:ascii="Avenir Next Condensed" w:eastAsia="Avenir Next Condensed" w:hAnsi="Avenir Next Condensed" w:cs="Avenir Next Condensed"/>
                <w:b/>
                <w:bCs/>
                <w:color w:val="FFFFFF"/>
                <w:sz w:val="18"/>
                <w:szCs w:val="18"/>
              </w:rPr>
              <w:t xml:space="preserve"> final decision</w:t>
            </w:r>
            <w:r>
              <w:rPr>
                <w:rFonts w:ascii="Avenir Next Condensed" w:eastAsia="Avenir Next Condensed" w:hAnsi="Avenir Next Condensed" w:cs="Avenir Next Condensed"/>
                <w:b/>
                <w:bCs/>
                <w:color w:val="FFFFFF"/>
                <w:spacing w:val="25"/>
                <w:sz w:val="18"/>
                <w:szCs w:val="18"/>
              </w:rPr>
              <w:t xml:space="preserve"> </w:t>
            </w:r>
            <w:r>
              <w:rPr>
                <w:rFonts w:ascii="Avenir Next Condensed" w:eastAsia="Avenir Next Condensed" w:hAnsi="Avenir Next Condensed" w:cs="Avenir Next Condensed"/>
                <w:b/>
                <w:bCs/>
                <w:color w:val="FFFFFF"/>
                <w:sz w:val="18"/>
                <w:szCs w:val="18"/>
              </w:rPr>
              <w:t>2013-14 and 2014-15</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rsidP="00C77ECE">
            <w:pPr>
              <w:pStyle w:val="TableParagraph"/>
              <w:ind w:left="83"/>
              <w:jc w:val="center"/>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color w:val="FFFFFF"/>
                <w:spacing w:val="-2"/>
                <w:sz w:val="18"/>
                <w:szCs w:val="18"/>
              </w:rPr>
              <w:t>ACTEW’s</w:t>
            </w:r>
            <w:r>
              <w:rPr>
                <w:rFonts w:ascii="Avenir Next Condensed" w:eastAsia="Avenir Next Condensed" w:hAnsi="Avenir Next Condensed" w:cs="Avenir Next Condensed"/>
                <w:b/>
                <w:bCs/>
                <w:color w:val="FFFFFF"/>
                <w:sz w:val="18"/>
                <w:szCs w:val="18"/>
              </w:rPr>
              <w:t xml:space="preserve"> SOFC</w:t>
            </w:r>
          </w:p>
        </w:tc>
      </w:tr>
      <w:tr w:rsidR="00D96B91">
        <w:trPr>
          <w:trHeight w:hRule="exact" w:val="407"/>
        </w:trPr>
        <w:tc>
          <w:tcPr>
            <w:tcW w:w="231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Risk-free</w:t>
            </w:r>
            <w:r>
              <w:rPr>
                <w:rFonts w:ascii="Avenir Next Condensed"/>
                <w:sz w:val="18"/>
              </w:rPr>
              <w:t xml:space="preserve"> </w:t>
            </w:r>
            <w:r>
              <w:rPr>
                <w:rFonts w:ascii="Avenir Next Condensed"/>
                <w:spacing w:val="-1"/>
                <w:sz w:val="18"/>
              </w:rPr>
              <w:t>rate</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1"/>
              <w:jc w:val="center"/>
              <w:rPr>
                <w:rFonts w:ascii="Avenir Next Condensed" w:eastAsia="Avenir Next Condensed" w:hAnsi="Avenir Next Condensed" w:cs="Avenir Next Condensed"/>
                <w:sz w:val="18"/>
                <w:szCs w:val="18"/>
              </w:rPr>
            </w:pPr>
            <w:r>
              <w:rPr>
                <w:rFonts w:ascii="Avenir Next Condensed"/>
                <w:sz w:val="18"/>
              </w:rPr>
              <w:t>3.22%</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jc w:val="center"/>
              <w:rPr>
                <w:rFonts w:ascii="Avenir Next Condensed" w:eastAsia="Avenir Next Condensed" w:hAnsi="Avenir Next Condensed" w:cs="Avenir Next Condensed"/>
                <w:sz w:val="18"/>
                <w:szCs w:val="18"/>
              </w:rPr>
            </w:pPr>
            <w:r>
              <w:rPr>
                <w:rFonts w:ascii="Avenir Next Condensed"/>
                <w:sz w:val="18"/>
              </w:rPr>
              <w:t>-</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0"/>
              <w:jc w:val="center"/>
              <w:rPr>
                <w:rFonts w:ascii="Avenir Next Condensed" w:eastAsia="Avenir Next Condensed" w:hAnsi="Avenir Next Condensed" w:cs="Avenir Next Condensed"/>
                <w:sz w:val="18"/>
                <w:szCs w:val="18"/>
              </w:rPr>
            </w:pPr>
            <w:r>
              <w:rPr>
                <w:rFonts w:ascii="Avenir Next Condensed"/>
                <w:sz w:val="18"/>
              </w:rPr>
              <w:t>5.24%</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margin</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0"/>
              <w:jc w:val="center"/>
              <w:rPr>
                <w:rFonts w:ascii="Avenir Next Condensed" w:eastAsia="Avenir Next Condensed" w:hAnsi="Avenir Next Condensed" w:cs="Avenir Next Condensed"/>
                <w:sz w:val="18"/>
                <w:szCs w:val="18"/>
              </w:rPr>
            </w:pPr>
            <w:r>
              <w:rPr>
                <w:rFonts w:ascii="Avenir Next Condensed"/>
                <w:sz w:val="18"/>
              </w:rPr>
              <w:t>3.13%</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6"/>
              <w:jc w:val="center"/>
              <w:rPr>
                <w:rFonts w:ascii="Avenir Next Condensed" w:eastAsia="Avenir Next Condensed" w:hAnsi="Avenir Next Condensed" w:cs="Avenir Next Condensed"/>
                <w:sz w:val="18"/>
                <w:szCs w:val="18"/>
              </w:rPr>
            </w:pPr>
            <w:r>
              <w:rPr>
                <w:rFonts w:ascii="Avenir Next Condensed"/>
                <w:sz w:val="18"/>
              </w:rPr>
              <w: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0"/>
              <w:jc w:val="center"/>
              <w:rPr>
                <w:rFonts w:ascii="Avenir Next Condensed" w:eastAsia="Avenir Next Condensed" w:hAnsi="Avenir Next Condensed" w:cs="Avenir Next Condensed"/>
                <w:sz w:val="18"/>
                <w:szCs w:val="18"/>
              </w:rPr>
            </w:pPr>
            <w:r>
              <w:rPr>
                <w:rFonts w:ascii="Avenir Next Condensed"/>
                <w:sz w:val="18"/>
              </w:rPr>
              <w:t>2.46%</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raising</w:t>
            </w:r>
            <w:r>
              <w:rPr>
                <w:rFonts w:ascii="Avenir Next Condensed"/>
                <w:sz w:val="18"/>
              </w:rPr>
              <w:t xml:space="preserve"> cost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
              <w:jc w:val="center"/>
              <w:rPr>
                <w:rFonts w:ascii="Avenir Next Condensed" w:eastAsia="Avenir Next Condensed" w:hAnsi="Avenir Next Condensed" w:cs="Avenir Next Condensed"/>
                <w:sz w:val="18"/>
                <w:szCs w:val="18"/>
              </w:rPr>
            </w:pPr>
            <w:r>
              <w:rPr>
                <w:rFonts w:ascii="Avenir Next Condensed"/>
                <w:sz w:val="18"/>
              </w:rPr>
              <w:t>0.125%</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jc w:val="center"/>
              <w:rPr>
                <w:rFonts w:ascii="Avenir Next Condensed" w:eastAsia="Avenir Next Condensed" w:hAnsi="Avenir Next Condensed" w:cs="Avenir Next Condensed"/>
                <w:sz w:val="18"/>
                <w:szCs w:val="18"/>
              </w:rPr>
            </w:pPr>
            <w:r>
              <w:rPr>
                <w:rFonts w:ascii="Avenir Next Condensed"/>
                <w:sz w:val="18"/>
              </w:rPr>
              <w: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
              <w:jc w:val="center"/>
              <w:rPr>
                <w:rFonts w:ascii="Avenir Next Condensed" w:eastAsia="Avenir Next Condensed" w:hAnsi="Avenir Next Condensed" w:cs="Avenir Next Condensed"/>
                <w:sz w:val="18"/>
                <w:szCs w:val="18"/>
              </w:rPr>
            </w:pPr>
            <w:r>
              <w:rPr>
                <w:rFonts w:ascii="Avenir Next Condensed"/>
                <w:sz w:val="18"/>
              </w:rPr>
              <w:t>0.125%</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Equity beta</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3"/>
              <w:jc w:val="center"/>
              <w:rPr>
                <w:rFonts w:ascii="Avenir Next Condensed" w:eastAsia="Avenir Next Condensed" w:hAnsi="Avenir Next Condensed" w:cs="Avenir Next Condensed"/>
                <w:sz w:val="18"/>
                <w:szCs w:val="18"/>
              </w:rPr>
            </w:pPr>
            <w:r>
              <w:rPr>
                <w:rFonts w:ascii="Avenir Next Condensed"/>
                <w:sz w:val="18"/>
              </w:rPr>
              <w:t>0.70</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jc w:val="center"/>
              <w:rPr>
                <w:rFonts w:ascii="Avenir Next Condensed" w:eastAsia="Avenir Next Condensed" w:hAnsi="Avenir Next Condensed" w:cs="Avenir Next Condensed"/>
                <w:sz w:val="18"/>
                <w:szCs w:val="18"/>
              </w:rPr>
            </w:pPr>
            <w:r>
              <w:rPr>
                <w:rFonts w:ascii="Avenir Next Condensed"/>
                <w:sz w:val="18"/>
              </w:rPr>
              <w: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3"/>
              <w:jc w:val="center"/>
              <w:rPr>
                <w:rFonts w:ascii="Avenir Next Condensed" w:eastAsia="Avenir Next Condensed" w:hAnsi="Avenir Next Condensed" w:cs="Avenir Next Condensed"/>
                <w:sz w:val="18"/>
                <w:szCs w:val="18"/>
              </w:rPr>
            </w:pPr>
            <w:r>
              <w:rPr>
                <w:rFonts w:ascii="Avenir Next Condensed"/>
                <w:sz w:val="18"/>
              </w:rPr>
              <w:t>0.90</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Market</w:t>
            </w:r>
            <w:r>
              <w:rPr>
                <w:rFonts w:ascii="Avenir Next Condensed"/>
                <w:sz w:val="18"/>
              </w:rPr>
              <w:t xml:space="preserve"> risk </w:t>
            </w:r>
            <w:r>
              <w:rPr>
                <w:rFonts w:ascii="Avenir Next Condensed"/>
                <w:spacing w:val="-1"/>
                <w:sz w:val="18"/>
              </w:rPr>
              <w:t>premium</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7.23%</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jc w:val="center"/>
              <w:rPr>
                <w:rFonts w:ascii="Avenir Next Condensed" w:eastAsia="Avenir Next Condensed" w:hAnsi="Avenir Next Condensed" w:cs="Avenir Next Condensed"/>
                <w:sz w:val="18"/>
                <w:szCs w:val="18"/>
              </w:rPr>
            </w:pPr>
            <w:r>
              <w:rPr>
                <w:rFonts w:ascii="Avenir Next Condensed"/>
                <w:sz w:val="18"/>
              </w:rPr>
              <w: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6.00%</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Gearing</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2"/>
              <w:jc w:val="center"/>
              <w:rPr>
                <w:rFonts w:ascii="Avenir Next Condensed" w:eastAsia="Avenir Next Condensed" w:hAnsi="Avenir Next Condensed" w:cs="Avenir Next Condensed"/>
                <w:sz w:val="18"/>
                <w:szCs w:val="18"/>
              </w:rPr>
            </w:pPr>
            <w:r>
              <w:rPr>
                <w:rFonts w:ascii="Avenir Next Condensed"/>
                <w:sz w:val="18"/>
              </w:rPr>
              <w:t>60%</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2"/>
              <w:jc w:val="center"/>
              <w:rPr>
                <w:rFonts w:ascii="Avenir Next Condensed" w:eastAsia="Avenir Next Condensed" w:hAnsi="Avenir Next Condensed" w:cs="Avenir Next Condensed"/>
                <w:sz w:val="18"/>
                <w:szCs w:val="18"/>
              </w:rPr>
            </w:pPr>
            <w:r>
              <w:rPr>
                <w:rFonts w:ascii="Avenir Next Condensed"/>
                <w:sz w:val="18"/>
              </w:rPr>
              <w:t>60%</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2"/>
              <w:jc w:val="center"/>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debt</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8"/>
              <w:jc w:val="center"/>
              <w:rPr>
                <w:rFonts w:ascii="Avenir Next Condensed" w:eastAsia="Avenir Next Condensed" w:hAnsi="Avenir Next Condensed" w:cs="Avenir Next Condensed"/>
                <w:sz w:val="18"/>
                <w:szCs w:val="18"/>
              </w:rPr>
            </w:pPr>
            <w:r>
              <w:rPr>
                <w:rFonts w:ascii="Avenir Next Condensed"/>
                <w:sz w:val="18"/>
              </w:rPr>
              <w:t>6.48%</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8"/>
              <w:jc w:val="center"/>
              <w:rPr>
                <w:rFonts w:ascii="Avenir Next Condensed" w:eastAsia="Avenir Next Condensed" w:hAnsi="Avenir Next Condensed" w:cs="Avenir Next Condensed"/>
                <w:sz w:val="18"/>
                <w:szCs w:val="18"/>
              </w:rPr>
            </w:pPr>
            <w:r>
              <w:rPr>
                <w:rFonts w:ascii="Avenir Next Condensed"/>
                <w:sz w:val="18"/>
              </w:rPr>
              <w:t>5.50%</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8"/>
              <w:jc w:val="center"/>
              <w:rPr>
                <w:rFonts w:ascii="Avenir Next Condensed" w:eastAsia="Avenir Next Condensed" w:hAnsi="Avenir Next Condensed" w:cs="Avenir Next Condensed"/>
                <w:sz w:val="18"/>
                <w:szCs w:val="18"/>
              </w:rPr>
            </w:pPr>
            <w:r>
              <w:rPr>
                <w:rFonts w:ascii="Avenir Next Condensed"/>
                <w:sz w:val="18"/>
              </w:rPr>
              <w:t>7.83%</w:t>
            </w:r>
          </w:p>
        </w:tc>
      </w:tr>
      <w:tr w:rsidR="00D96B91">
        <w:trPr>
          <w:trHeight w:hRule="exact" w:val="417"/>
        </w:trPr>
        <w:tc>
          <w:tcPr>
            <w:tcW w:w="231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equity</w:t>
            </w:r>
          </w:p>
        </w:tc>
        <w:tc>
          <w:tcPr>
            <w:tcW w:w="236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38"/>
              <w:jc w:val="center"/>
              <w:rPr>
                <w:rFonts w:ascii="Avenir Next Condensed" w:eastAsia="Avenir Next Condensed" w:hAnsi="Avenir Next Condensed" w:cs="Avenir Next Condensed"/>
                <w:sz w:val="18"/>
                <w:szCs w:val="18"/>
              </w:rPr>
            </w:pPr>
            <w:r>
              <w:rPr>
                <w:rFonts w:ascii="Avenir Next Condensed"/>
                <w:sz w:val="18"/>
              </w:rPr>
              <w:t>8.28%</w:t>
            </w:r>
          </w:p>
        </w:tc>
        <w:tc>
          <w:tcPr>
            <w:tcW w:w="236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38"/>
              <w:jc w:val="center"/>
              <w:rPr>
                <w:rFonts w:ascii="Avenir Next Condensed" w:eastAsia="Avenir Next Condensed" w:hAnsi="Avenir Next Condensed" w:cs="Avenir Next Condensed"/>
                <w:sz w:val="18"/>
                <w:szCs w:val="18"/>
              </w:rPr>
            </w:pPr>
            <w:r>
              <w:rPr>
                <w:rFonts w:ascii="Avenir Next Condensed"/>
                <w:sz w:val="18"/>
              </w:rPr>
              <w:t>2.80%</w:t>
            </w:r>
          </w:p>
        </w:tc>
        <w:tc>
          <w:tcPr>
            <w:tcW w:w="236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
              <w:jc w:val="center"/>
              <w:rPr>
                <w:rFonts w:ascii="Avenir Next Condensed" w:eastAsia="Avenir Next Condensed" w:hAnsi="Avenir Next Condensed" w:cs="Avenir Next Condensed"/>
                <w:sz w:val="18"/>
                <w:szCs w:val="18"/>
              </w:rPr>
            </w:pPr>
            <w:r>
              <w:rPr>
                <w:rFonts w:ascii="Avenir Next Condensed"/>
                <w:sz w:val="18"/>
              </w:rPr>
              <w:t>10.64%</w:t>
            </w:r>
          </w:p>
        </w:tc>
      </w:tr>
      <w:tr w:rsidR="00D96B91">
        <w:trPr>
          <w:trHeight w:hRule="exact" w:val="407"/>
        </w:trPr>
        <w:tc>
          <w:tcPr>
            <w:tcW w:w="231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6"/>
              <w:rPr>
                <w:rFonts w:ascii="Avenir Next Condensed" w:eastAsia="Avenir Next Condensed" w:hAnsi="Avenir Next Condensed" w:cs="Avenir Next Condensed"/>
                <w:sz w:val="18"/>
                <w:szCs w:val="18"/>
              </w:rPr>
            </w:pPr>
            <w:r>
              <w:rPr>
                <w:rFonts w:ascii="Avenir Next Condensed"/>
                <w:b/>
                <w:sz w:val="18"/>
              </w:rPr>
              <w:t>Nominal post-tax</w:t>
            </w:r>
            <w:r>
              <w:rPr>
                <w:rFonts w:ascii="Avenir Next Condensed"/>
                <w:b/>
                <w:spacing w:val="-3"/>
                <w:sz w:val="18"/>
              </w:rPr>
              <w:t xml:space="preserve"> WACC</w:t>
            </w:r>
          </w:p>
        </w:tc>
        <w:tc>
          <w:tcPr>
            <w:tcW w:w="236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10"/>
              <w:jc w:val="center"/>
              <w:rPr>
                <w:rFonts w:ascii="Avenir Next Condensed" w:eastAsia="Avenir Next Condensed" w:hAnsi="Avenir Next Condensed" w:cs="Avenir Next Condensed"/>
                <w:sz w:val="18"/>
                <w:szCs w:val="18"/>
              </w:rPr>
            </w:pPr>
            <w:r>
              <w:rPr>
                <w:rFonts w:ascii="Avenir Next Condensed"/>
                <w:b/>
                <w:sz w:val="18"/>
              </w:rPr>
              <w:t>7.20%</w:t>
            </w:r>
          </w:p>
        </w:tc>
        <w:tc>
          <w:tcPr>
            <w:tcW w:w="236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10"/>
              <w:jc w:val="center"/>
              <w:rPr>
                <w:rFonts w:ascii="Avenir Next Condensed" w:eastAsia="Avenir Next Condensed" w:hAnsi="Avenir Next Condensed" w:cs="Avenir Next Condensed"/>
                <w:sz w:val="18"/>
                <w:szCs w:val="18"/>
              </w:rPr>
            </w:pPr>
            <w:r>
              <w:rPr>
                <w:rFonts w:ascii="Avenir Next Condensed"/>
                <w:b/>
                <w:sz w:val="18"/>
              </w:rPr>
              <w:t>4.42%</w:t>
            </w:r>
          </w:p>
        </w:tc>
        <w:tc>
          <w:tcPr>
            <w:tcW w:w="236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10"/>
              <w:jc w:val="center"/>
              <w:rPr>
                <w:rFonts w:ascii="Avenir Next Condensed" w:eastAsia="Avenir Next Condensed" w:hAnsi="Avenir Next Condensed" w:cs="Avenir Next Condensed"/>
                <w:sz w:val="18"/>
                <w:szCs w:val="18"/>
              </w:rPr>
            </w:pPr>
            <w:r>
              <w:rPr>
                <w:rFonts w:ascii="Avenir Next Condensed"/>
                <w:b/>
                <w:sz w:val="18"/>
              </w:rPr>
              <w:t>8.95%</w:t>
            </w:r>
          </w:p>
        </w:tc>
      </w:tr>
    </w:tbl>
    <w:p w:rsidR="00D96B91" w:rsidRDefault="00D96B91">
      <w:pPr>
        <w:jc w:val="center"/>
        <w:rPr>
          <w:rFonts w:ascii="Avenir Next Condensed" w:eastAsia="Avenir Next Condensed" w:hAnsi="Avenir Next Condensed" w:cs="Avenir Next Condensed"/>
          <w:sz w:val="18"/>
          <w:szCs w:val="18"/>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145" w:name="10._4_Allowance_for_net_tax_liabilities_"/>
      <w:bookmarkStart w:id="146" w:name="_bookmark92"/>
      <w:bookmarkEnd w:id="145"/>
      <w:bookmarkEnd w:id="146"/>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10.5:</w:t>
      </w:r>
      <w:r>
        <w:rPr>
          <w:rFonts w:ascii="Avenir Next" w:eastAsia="Avenir Next" w:hAnsi="Avenir Next" w:cs="Avenir Next"/>
          <w:b/>
          <w:bCs/>
          <w:spacing w:val="-3"/>
          <w:sz w:val="20"/>
          <w:szCs w:val="20"/>
        </w:rPr>
        <w:t xml:space="preserve"> WACC</w:t>
      </w:r>
      <w:r>
        <w:rPr>
          <w:rFonts w:ascii="Avenir Next" w:eastAsia="Avenir Next" w:hAnsi="Avenir Next" w:cs="Avenir Next"/>
          <w:b/>
          <w:bCs/>
          <w:sz w:val="20"/>
          <w:szCs w:val="20"/>
        </w:rPr>
        <w:t xml:space="preserve"> decisions by other </w:t>
      </w:r>
      <w:r>
        <w:rPr>
          <w:rFonts w:ascii="Avenir Next" w:eastAsia="Avenir Next" w:hAnsi="Avenir Next" w:cs="Avenir Next"/>
          <w:b/>
          <w:bCs/>
          <w:spacing w:val="-1"/>
          <w:sz w:val="20"/>
          <w:szCs w:val="20"/>
        </w:rPr>
        <w:t>regulators</w:t>
      </w:r>
      <w:r>
        <w:rPr>
          <w:rFonts w:ascii="Avenir Next" w:eastAsia="Avenir Next" w:hAnsi="Avenir Next" w:cs="Avenir Next"/>
          <w:b/>
          <w:bCs/>
          <w:sz w:val="20"/>
          <w:szCs w:val="20"/>
        </w:rPr>
        <w:t xml:space="preserve"> (May 2013 –</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June 2013)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767"/>
        <w:gridCol w:w="3654"/>
        <w:gridCol w:w="1856"/>
        <w:gridCol w:w="2123"/>
      </w:tblGrid>
      <w:tr w:rsidR="00D96B91" w:rsidTr="00C77ECE">
        <w:trPr>
          <w:trHeight w:hRule="exact" w:val="407"/>
        </w:trPr>
        <w:tc>
          <w:tcPr>
            <w:tcW w:w="176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365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8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77ECE">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Date of</w:t>
            </w:r>
            <w:r>
              <w:rPr>
                <w:rFonts w:ascii="Avenir Next Condensed"/>
                <w:b/>
                <w:color w:val="FFFFFF"/>
                <w:spacing w:val="4"/>
                <w:sz w:val="18"/>
              </w:rPr>
              <w:t xml:space="preserve"> </w:t>
            </w:r>
            <w:r>
              <w:rPr>
                <w:rFonts w:ascii="Avenir Next Condensed"/>
                <w:b/>
                <w:color w:val="FFFFFF"/>
                <w:sz w:val="18"/>
              </w:rPr>
              <w:t>Decision</w:t>
            </w:r>
          </w:p>
        </w:tc>
        <w:tc>
          <w:tcPr>
            <w:tcW w:w="21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77ECE">
            <w:pPr>
              <w:pStyle w:val="TableParagraph"/>
              <w:spacing w:before="108"/>
              <w:ind w:left="128"/>
              <w:rPr>
                <w:rFonts w:ascii="Avenir Next Condensed" w:eastAsia="Avenir Next Condensed" w:hAnsi="Avenir Next Condensed" w:cs="Avenir Next Condensed"/>
                <w:sz w:val="18"/>
                <w:szCs w:val="18"/>
              </w:rPr>
            </w:pPr>
            <w:r>
              <w:rPr>
                <w:rFonts w:ascii="Avenir Next Condensed"/>
                <w:b/>
                <w:color w:val="FFFFFF"/>
                <w:sz w:val="18"/>
              </w:rPr>
              <w:t>Nominal vanilla</w:t>
            </w:r>
            <w:r>
              <w:rPr>
                <w:rFonts w:ascii="Avenir Next Condensed"/>
                <w:b/>
                <w:color w:val="FFFFFF"/>
                <w:spacing w:val="-3"/>
                <w:sz w:val="18"/>
              </w:rPr>
              <w:t xml:space="preserve"> WACC</w:t>
            </w:r>
          </w:p>
        </w:tc>
      </w:tr>
      <w:tr w:rsidR="00D96B91" w:rsidTr="00C77ECE">
        <w:trPr>
          <w:trHeight w:hRule="exact" w:val="407"/>
        </w:trPr>
        <w:tc>
          <w:tcPr>
            <w:tcW w:w="176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65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85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Jun 13</w:t>
            </w:r>
          </w:p>
        </w:tc>
        <w:tc>
          <w:tcPr>
            <w:tcW w:w="21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7.15%</w:t>
            </w:r>
          </w:p>
        </w:tc>
      </w:tr>
      <w:tr w:rsidR="00D96B91" w:rsidTr="00C77ECE">
        <w:trPr>
          <w:trHeight w:hRule="exact" w:val="407"/>
        </w:trPr>
        <w:tc>
          <w:tcPr>
            <w:tcW w:w="17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6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8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Jun 13</w:t>
            </w:r>
          </w:p>
        </w:tc>
        <w:tc>
          <w:tcPr>
            <w:tcW w:w="21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7.15%</w:t>
            </w:r>
          </w:p>
        </w:tc>
      </w:tr>
      <w:tr w:rsidR="00D96B91" w:rsidTr="00C77ECE">
        <w:trPr>
          <w:trHeight w:hRule="exact" w:val="407"/>
        </w:trPr>
        <w:tc>
          <w:tcPr>
            <w:tcW w:w="17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6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8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Jun 13</w:t>
            </w:r>
          </w:p>
        </w:tc>
        <w:tc>
          <w:tcPr>
            <w:tcW w:w="21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7.15%</w:t>
            </w:r>
          </w:p>
        </w:tc>
      </w:tr>
      <w:tr w:rsidR="00D96B91" w:rsidTr="00C77ECE">
        <w:trPr>
          <w:trHeight w:hRule="exact" w:val="407"/>
        </w:trPr>
        <w:tc>
          <w:tcPr>
            <w:tcW w:w="17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6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8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Jun 13</w:t>
            </w:r>
          </w:p>
        </w:tc>
        <w:tc>
          <w:tcPr>
            <w:tcW w:w="21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7.50%</w:t>
            </w:r>
          </w:p>
        </w:tc>
      </w:tr>
      <w:tr w:rsidR="00D96B91" w:rsidTr="00C77ECE">
        <w:trPr>
          <w:trHeight w:hRule="exact" w:val="407"/>
        </w:trPr>
        <w:tc>
          <w:tcPr>
            <w:tcW w:w="17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6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C77ECE">
            <w:pPr>
              <w:pStyle w:val="TableParagraph"/>
              <w:spacing w:before="108"/>
              <w:ind w:left="108" w:right="-125"/>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8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May 13</w:t>
            </w:r>
          </w:p>
        </w:tc>
        <w:tc>
          <w:tcPr>
            <w:tcW w:w="21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7.39%</w:t>
            </w:r>
          </w:p>
        </w:tc>
      </w:tr>
      <w:tr w:rsidR="00D96B91" w:rsidTr="00C77ECE">
        <w:trPr>
          <w:trHeight w:hRule="exact" w:val="407"/>
        </w:trPr>
        <w:tc>
          <w:tcPr>
            <w:tcW w:w="17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36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8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May 13</w:t>
            </w:r>
          </w:p>
        </w:tc>
        <w:tc>
          <w:tcPr>
            <w:tcW w:w="21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0"/>
              <w:jc w:val="center"/>
              <w:rPr>
                <w:rFonts w:ascii="Avenir Next Condensed" w:eastAsia="Avenir Next Condensed" w:hAnsi="Avenir Next Condensed" w:cs="Avenir Next Condensed"/>
                <w:sz w:val="18"/>
                <w:szCs w:val="18"/>
              </w:rPr>
            </w:pPr>
            <w:r>
              <w:rPr>
                <w:rFonts w:ascii="Avenir Next Condensed"/>
                <w:sz w:val="18"/>
              </w:rPr>
              <w:t>6.85%</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Note:</w:t>
      </w:r>
      <w:r>
        <w:rPr>
          <w:rFonts w:ascii="Avenir Next"/>
          <w:spacing w:val="-4"/>
          <w:sz w:val="16"/>
        </w:rPr>
        <w:t xml:space="preserve"> </w:t>
      </w:r>
      <w:r>
        <w:rPr>
          <w:rFonts w:ascii="Avenir Next"/>
          <w:spacing w:val="-1"/>
          <w:sz w:val="16"/>
        </w:rPr>
        <w:t>The</w:t>
      </w:r>
      <w:r>
        <w:rPr>
          <w:rFonts w:ascii="Avenir Next"/>
          <w:sz w:val="16"/>
        </w:rPr>
        <w:t xml:space="preserve"> </w:t>
      </w:r>
      <w:r>
        <w:rPr>
          <w:rFonts w:ascii="Avenir Next"/>
          <w:spacing w:val="-1"/>
          <w:sz w:val="16"/>
        </w:rPr>
        <w:t>real</w:t>
      </w:r>
      <w:r>
        <w:rPr>
          <w:rFonts w:ascii="Avenir Next"/>
          <w:spacing w:val="-2"/>
          <w:sz w:val="16"/>
        </w:rPr>
        <w:t xml:space="preserve"> WACCs</w:t>
      </w:r>
      <w:r>
        <w:rPr>
          <w:rFonts w:ascii="Avenir Next"/>
          <w:sz w:val="16"/>
        </w:rPr>
        <w:t xml:space="preserve"> have been </w:t>
      </w:r>
      <w:r>
        <w:rPr>
          <w:rFonts w:ascii="Avenir Next"/>
          <w:spacing w:val="-1"/>
          <w:sz w:val="16"/>
        </w:rPr>
        <w:t>converted</w:t>
      </w:r>
      <w:r>
        <w:rPr>
          <w:rFonts w:ascii="Avenir Next"/>
          <w:sz w:val="16"/>
        </w:rPr>
        <w:t xml:space="preserve"> to nominal</w:t>
      </w:r>
      <w:r>
        <w:rPr>
          <w:rFonts w:ascii="Avenir Next"/>
          <w:spacing w:val="-2"/>
          <w:sz w:val="16"/>
        </w:rPr>
        <w:t xml:space="preserve"> WACCs.</w:t>
      </w:r>
    </w:p>
    <w:p w:rsidR="00D96B91" w:rsidRDefault="00C2656B">
      <w:pPr>
        <w:spacing w:before="115"/>
        <w:ind w:left="1247" w:right="1270"/>
        <w:rPr>
          <w:rFonts w:ascii="Avenir Next" w:eastAsia="Avenir Next" w:hAnsi="Avenir Next" w:cs="Avenir Next"/>
          <w:sz w:val="16"/>
          <w:szCs w:val="16"/>
        </w:rPr>
      </w:pPr>
      <w:r>
        <w:rPr>
          <w:rFonts w:ascii="Avenir Next" w:eastAsia="Avenir Next" w:hAnsi="Avenir Next" w:cs="Avenir Next"/>
          <w:spacing w:val="-1"/>
          <w:sz w:val="16"/>
          <w:szCs w:val="16"/>
        </w:rPr>
        <w:t xml:space="preserve">Source: </w:t>
      </w:r>
      <w:r>
        <w:rPr>
          <w:rFonts w:ascii="Avenir Next" w:eastAsia="Avenir Next" w:hAnsi="Avenir Next" w:cs="Avenir Next"/>
          <w:sz w:val="16"/>
          <w:szCs w:val="16"/>
        </w:rPr>
        <w:t>ESC,</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2013: </w:t>
      </w:r>
      <w:r>
        <w:rPr>
          <w:rFonts w:ascii="Avenir Next" w:eastAsia="Avenir Next" w:hAnsi="Avenir Next" w:cs="Avenir Next"/>
          <w:spacing w:val="-1"/>
          <w:sz w:val="16"/>
          <w:szCs w:val="16"/>
        </w:rPr>
        <w:t>Greater metropolitan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business final decision,</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2013; ESC;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Regional </w:t>
      </w:r>
      <w:r>
        <w:rPr>
          <w:rFonts w:ascii="Avenir Next" w:eastAsia="Avenir Next" w:hAnsi="Avenir Next" w:cs="Avenir Next"/>
          <w:sz w:val="16"/>
          <w:szCs w:val="16"/>
        </w:rPr>
        <w:t>urban</w:t>
      </w:r>
      <w:r>
        <w:rPr>
          <w:rFonts w:ascii="Avenir Next" w:eastAsia="Avenir Next" w:hAnsi="Avenir Next" w:cs="Avenir Next"/>
          <w:spacing w:val="69"/>
          <w:sz w:val="16"/>
          <w:szCs w:val="16"/>
        </w:rPr>
        <w:t xml:space="preserve"> </w:t>
      </w:r>
      <w:r>
        <w:rPr>
          <w:rFonts w:ascii="Avenir Next" w:eastAsia="Avenir Next" w:hAnsi="Avenir Next" w:cs="Avenir Next"/>
          <w:spacing w:val="-1"/>
          <w:sz w:val="16"/>
          <w:szCs w:val="16"/>
        </w:rPr>
        <w:t xml:space="preserve">water </w:t>
      </w:r>
      <w:r>
        <w:rPr>
          <w:rFonts w:ascii="Avenir Next" w:eastAsia="Avenir Next" w:hAnsi="Avenir Next" w:cs="Avenir Next"/>
          <w:sz w:val="16"/>
          <w:szCs w:val="16"/>
        </w:rPr>
        <w:t>business final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decision,</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ESC,</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review </w:t>
      </w:r>
      <w:r>
        <w:rPr>
          <w:rFonts w:ascii="Avenir Next" w:eastAsia="Avenir Next" w:hAnsi="Avenir Next" w:cs="Avenir Next"/>
          <w:sz w:val="16"/>
          <w:szCs w:val="16"/>
        </w:rPr>
        <w:t xml:space="preserve">2013; </w:t>
      </w:r>
      <w:r>
        <w:rPr>
          <w:rFonts w:ascii="Avenir Next" w:eastAsia="Avenir Next" w:hAnsi="Avenir Next" w:cs="Avenir Next"/>
          <w:spacing w:val="-1"/>
          <w:sz w:val="16"/>
          <w:szCs w:val="16"/>
        </w:rPr>
        <w:t>Rural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water </w:t>
      </w:r>
      <w:r>
        <w:rPr>
          <w:rFonts w:ascii="Avenir Next" w:eastAsia="Avenir Next" w:hAnsi="Avenir Next" w:cs="Avenir Next"/>
          <w:sz w:val="16"/>
          <w:szCs w:val="16"/>
        </w:rPr>
        <w:t>businesses final decision,</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 xml:space="preserve">June 2013; </w:t>
      </w:r>
      <w:r>
        <w:rPr>
          <w:rFonts w:ascii="Avenir Next" w:eastAsia="Avenir Next" w:hAnsi="Avenir Next" w:cs="Avenir Next"/>
          <w:spacing w:val="-5"/>
          <w:sz w:val="16"/>
          <w:szCs w:val="16"/>
        </w:rPr>
        <w:t>IPART,</w:t>
      </w:r>
      <w:r>
        <w:rPr>
          <w:rFonts w:ascii="Avenir Next" w:eastAsia="Avenir Next" w:hAnsi="Avenir Next" w:cs="Avenir Next"/>
          <w:spacing w:val="-6"/>
          <w:sz w:val="16"/>
          <w:szCs w:val="16"/>
        </w:rPr>
        <w:t xml:space="preserve"> </w:t>
      </w:r>
      <w:r>
        <w:rPr>
          <w:rFonts w:ascii="Avenir Next" w:eastAsia="Avenir Next" w:hAnsi="Avenir Next" w:cs="Avenir Next"/>
          <w:sz w:val="16"/>
          <w:szCs w:val="16"/>
        </w:rPr>
        <w:t>Hunter</w:t>
      </w:r>
      <w:r>
        <w:rPr>
          <w:rFonts w:ascii="Avenir Next" w:eastAsia="Avenir Next" w:hAnsi="Avenir Next" w:cs="Avenir Next"/>
          <w:spacing w:val="35"/>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 services: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2013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June</w:t>
      </w:r>
      <w:r>
        <w:rPr>
          <w:rFonts w:ascii="Avenir Next" w:eastAsia="Avenir Next" w:hAnsi="Avenir Next" w:cs="Avenir Next"/>
          <w:spacing w:val="85"/>
          <w:sz w:val="16"/>
          <w:szCs w:val="16"/>
        </w:rPr>
        <w:t xml:space="preserve"> </w:t>
      </w:r>
      <w:r>
        <w:rPr>
          <w:rFonts w:ascii="Avenir Next" w:eastAsia="Avenir Next" w:hAnsi="Avenir Next" w:cs="Avenir Next"/>
          <w:sz w:val="16"/>
          <w:szCs w:val="16"/>
        </w:rPr>
        <w:t>2017,</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5"/>
          <w:sz w:val="16"/>
          <w:szCs w:val="16"/>
        </w:rPr>
        <w:t xml:space="preserve"> IPART, </w:t>
      </w:r>
      <w:r>
        <w:rPr>
          <w:rFonts w:ascii="Avenir Next" w:eastAsia="Avenir Next" w:hAnsi="Avenir Next" w:cs="Avenir Next"/>
          <w:spacing w:val="-1"/>
          <w:sz w:val="16"/>
          <w:szCs w:val="16"/>
        </w:rPr>
        <w:t>Gosford</w:t>
      </w:r>
      <w:r>
        <w:rPr>
          <w:rFonts w:ascii="Avenir Next" w:eastAsia="Avenir Next" w:hAnsi="Avenir Next" w:cs="Avenir Next"/>
          <w:sz w:val="16"/>
          <w:szCs w:val="16"/>
        </w:rPr>
        <w:t xml:space="preserve"> City </w:t>
      </w:r>
      <w:r>
        <w:rPr>
          <w:rFonts w:ascii="Avenir Next" w:eastAsia="Avenir Next" w:hAnsi="Avenir Next" w:cs="Avenir Next"/>
          <w:spacing w:val="-1"/>
          <w:sz w:val="16"/>
          <w:szCs w:val="16"/>
        </w:rPr>
        <w:t>Council</w:t>
      </w:r>
      <w:r>
        <w:rPr>
          <w:rFonts w:ascii="Avenir Next" w:eastAsia="Avenir Next" w:hAnsi="Avenir Next" w:cs="Avenir Next"/>
          <w:sz w:val="16"/>
          <w:szCs w:val="16"/>
        </w:rPr>
        <w:t xml:space="preserve"> and</w:t>
      </w:r>
      <w:r>
        <w:rPr>
          <w:rFonts w:ascii="Avenir Next" w:eastAsia="Avenir Next" w:hAnsi="Avenir Next" w:cs="Avenir Next"/>
          <w:spacing w:val="-2"/>
          <w:sz w:val="16"/>
          <w:szCs w:val="16"/>
        </w:rPr>
        <w:t xml:space="preserve"> </w:t>
      </w:r>
      <w:r>
        <w:rPr>
          <w:rFonts w:ascii="Avenir Next" w:eastAsia="Avenir Next" w:hAnsi="Avenir Next" w:cs="Avenir Next"/>
          <w:spacing w:val="-1"/>
          <w:sz w:val="16"/>
          <w:szCs w:val="16"/>
        </w:rPr>
        <w:t>Wyong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Shire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Council:</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Prices</w:t>
      </w:r>
      <w:r>
        <w:rPr>
          <w:rFonts w:ascii="Avenir Next" w:eastAsia="Avenir Next" w:hAnsi="Avenir Next" w:cs="Avenir Next"/>
          <w:sz w:val="16"/>
          <w:szCs w:val="16"/>
        </w:rPr>
        <w:t xml:space="preserve"> for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pacing w:val="99"/>
          <w:sz w:val="16"/>
          <w:szCs w:val="16"/>
        </w:rPr>
        <w:t xml:space="preserve"> </w:t>
      </w:r>
      <w:r>
        <w:rPr>
          <w:rFonts w:ascii="Avenir Next" w:eastAsia="Avenir Next" w:hAnsi="Avenir Next" w:cs="Avenir Next"/>
          <w:sz w:val="16"/>
          <w:szCs w:val="16"/>
        </w:rPr>
        <w:t xml:space="preserve">services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2013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June 2017; </w:t>
      </w:r>
      <w:r>
        <w:rPr>
          <w:rFonts w:ascii="Avenir Next" w:eastAsia="Avenir Next" w:hAnsi="Avenir Next" w:cs="Avenir Next"/>
          <w:spacing w:val="-1"/>
          <w:sz w:val="16"/>
          <w:szCs w:val="16"/>
        </w:rPr>
        <w:t>ESCOSA,</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Determination</w:t>
      </w:r>
      <w:r>
        <w:rPr>
          <w:rFonts w:ascii="Avenir Next" w:eastAsia="Avenir Next" w:hAnsi="Avenir Next" w:cs="Avenir Next"/>
          <w:sz w:val="16"/>
          <w:szCs w:val="16"/>
        </w:rPr>
        <w:t xml:space="preserve"> - SA</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Water’s 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Revenues</w:t>
      </w:r>
      <w:r>
        <w:rPr>
          <w:rFonts w:ascii="Avenir Next" w:eastAsia="Avenir Next" w:hAnsi="Avenir Next" w:cs="Avenir Next"/>
          <w:sz w:val="16"/>
          <w:szCs w:val="16"/>
        </w:rPr>
        <w:t xml:space="preserve"> 2013-14-</w:t>
      </w:r>
      <w:r>
        <w:rPr>
          <w:rFonts w:ascii="Avenir Next" w:eastAsia="Avenir Next" w:hAnsi="Avenir Next" w:cs="Avenir Next"/>
          <w:spacing w:val="69"/>
          <w:sz w:val="16"/>
          <w:szCs w:val="16"/>
        </w:rPr>
        <w:t xml:space="preserve"> </w:t>
      </w:r>
      <w:r>
        <w:rPr>
          <w:rFonts w:ascii="Avenir Next" w:eastAsia="Avenir Next" w:hAnsi="Avenir Next" w:cs="Avenir Next"/>
          <w:sz w:val="16"/>
          <w:szCs w:val="16"/>
        </w:rPr>
        <w:t>2015-16,</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May 2013.</w:t>
      </w:r>
    </w:p>
    <w:p w:rsidR="00D96B91" w:rsidRDefault="00D96B91">
      <w:pPr>
        <w:rPr>
          <w:rFonts w:ascii="Avenir Next" w:eastAsia="Avenir Next" w:hAnsi="Avenir Next" w:cs="Avenir Next"/>
          <w:sz w:val="16"/>
          <w:szCs w:val="16"/>
        </w:rPr>
      </w:pPr>
    </w:p>
    <w:p w:rsidR="00D96B91" w:rsidRDefault="00D96B91">
      <w:pPr>
        <w:rPr>
          <w:rFonts w:ascii="Avenir Next" w:eastAsia="Avenir Next" w:hAnsi="Avenir Next" w:cs="Avenir Next"/>
          <w:sz w:val="16"/>
          <w:szCs w:val="16"/>
        </w:rPr>
      </w:pPr>
    </w:p>
    <w:p w:rsidR="00D96B91" w:rsidRDefault="00C2656B">
      <w:pPr>
        <w:pStyle w:val="Heading4"/>
        <w:numPr>
          <w:ilvl w:val="0"/>
          <w:numId w:val="61"/>
        </w:numPr>
        <w:tabs>
          <w:tab w:val="left" w:pos="1749"/>
        </w:tabs>
        <w:spacing w:before="131"/>
      </w:pPr>
      <w:r>
        <w:rPr>
          <w:color w:val="0778BE"/>
        </w:rPr>
        <w:t>4</w:t>
      </w:r>
      <w:r>
        <w:rPr>
          <w:color w:val="0778BE"/>
          <w:spacing w:val="39"/>
        </w:rPr>
        <w:t xml:space="preserve"> </w:t>
      </w:r>
      <w:r>
        <w:rPr>
          <w:color w:val="0778BE"/>
        </w:rPr>
        <w:t>Allowance for net tax liabilities</w:t>
      </w:r>
    </w:p>
    <w:p w:rsidR="00D96B91" w:rsidRDefault="00C2656B">
      <w:pPr>
        <w:pStyle w:val="BodyText"/>
        <w:spacing w:before="55" w:line="260" w:lineRule="exact"/>
        <w:ind w:right="1640"/>
      </w:pPr>
      <w:r>
        <w:rPr>
          <w:rFonts w:cs="Avenir Next"/>
        </w:rPr>
        <w:t>As</w:t>
      </w:r>
      <w:r>
        <w:rPr>
          <w:rFonts w:cs="Avenir Next"/>
          <w:spacing w:val="-1"/>
        </w:rPr>
        <w:t xml:space="preserve"> </w:t>
      </w:r>
      <w:r>
        <w:rPr>
          <w:rFonts w:cs="Avenir Next"/>
        </w:rPr>
        <w:t>noted</w:t>
      </w:r>
      <w:r>
        <w:rPr>
          <w:rFonts w:cs="Avenir Next"/>
          <w:spacing w:val="-1"/>
        </w:rPr>
        <w:t xml:space="preserve"> </w:t>
      </w:r>
      <w:r>
        <w:rPr>
          <w:rFonts w:cs="Avenir Next"/>
        </w:rPr>
        <w:t>in section</w:t>
      </w:r>
      <w:r>
        <w:rPr>
          <w:rFonts w:cs="Avenir Next"/>
          <w:spacing w:val="-1"/>
        </w:rPr>
        <w:t xml:space="preserve"> </w:t>
      </w:r>
      <w:hyperlink w:anchor="_bookmark87" w:history="1">
        <w:r>
          <w:t>10.2.1</w:t>
        </w:r>
      </w:hyperlink>
      <w:r>
        <w:t>,</w:t>
      </w:r>
      <w:r>
        <w:rPr>
          <w:spacing w:val="-6"/>
        </w:rPr>
        <w:t xml:space="preserve"> </w:t>
      </w:r>
      <w:r>
        <w:t>the</w:t>
      </w:r>
      <w:r>
        <w:rPr>
          <w:spacing w:val="-1"/>
        </w:rPr>
        <w:t xml:space="preserve"> </w:t>
      </w:r>
      <w:r>
        <w:t>ICRC</w:t>
      </w:r>
      <w:r>
        <w:rPr>
          <w:spacing w:val="-1"/>
        </w:rPr>
        <w:t xml:space="preserve"> indicated</w:t>
      </w:r>
      <w:r>
        <w:t xml:space="preserve"> </w:t>
      </w:r>
      <w:r>
        <w:rPr>
          <w:spacing w:val="-1"/>
        </w:rPr>
        <w:t xml:space="preserve">that </w:t>
      </w:r>
      <w:r>
        <w:t>as</w:t>
      </w:r>
      <w:r>
        <w:rPr>
          <w:spacing w:val="-1"/>
        </w:rPr>
        <w:t xml:space="preserve"> </w:t>
      </w:r>
      <w:r>
        <w:t xml:space="preserve">a </w:t>
      </w:r>
      <w:r>
        <w:rPr>
          <w:spacing w:val="-1"/>
        </w:rPr>
        <w:t xml:space="preserve">result </w:t>
      </w:r>
      <w:r>
        <w:t>of</w:t>
      </w:r>
      <w:r>
        <w:rPr>
          <w:spacing w:val="4"/>
        </w:rPr>
        <w:t xml:space="preserve"> </w:t>
      </w:r>
      <w:r>
        <w:t>its</w:t>
      </w:r>
      <w:r>
        <w:rPr>
          <w:spacing w:val="-1"/>
        </w:rPr>
        <w:t xml:space="preserve"> </w:t>
      </w:r>
      <w:r>
        <w:t>decision</w:t>
      </w:r>
      <w:r>
        <w:rPr>
          <w:spacing w:val="-1"/>
        </w:rPr>
        <w:t xml:space="preserve"> </w:t>
      </w:r>
      <w:r>
        <w:t>to use</w:t>
      </w:r>
      <w:r>
        <w:rPr>
          <w:spacing w:val="-1"/>
        </w:rPr>
        <w:t xml:space="preserve"> </w:t>
      </w:r>
      <w:r>
        <w:t>a</w:t>
      </w:r>
      <w:r>
        <w:rPr>
          <w:spacing w:val="-1"/>
        </w:rPr>
        <w:t xml:space="preserve"> </w:t>
      </w:r>
      <w:r>
        <w:t>firm-specific</w:t>
      </w:r>
      <w:r>
        <w:rPr>
          <w:spacing w:val="23"/>
          <w:w w:val="99"/>
        </w:rPr>
        <w:t xml:space="preserve"> </w:t>
      </w:r>
      <w:r>
        <w:rPr>
          <w:spacing w:val="-1"/>
        </w:rPr>
        <w:t>approach,</w:t>
      </w:r>
      <w:r>
        <w:rPr>
          <w:spacing w:val="-7"/>
        </w:rPr>
        <w:t xml:space="preserve"> </w:t>
      </w:r>
      <w:r>
        <w:rPr>
          <w:spacing w:val="-9"/>
        </w:rPr>
        <w:t>“…</w:t>
      </w:r>
      <w:r>
        <w:rPr>
          <w:spacing w:val="-6"/>
        </w:rPr>
        <w:t xml:space="preserve"> </w:t>
      </w:r>
      <w:r>
        <w:t>the</w:t>
      </w:r>
      <w:r>
        <w:rPr>
          <w:spacing w:val="-1"/>
        </w:rPr>
        <w:t xml:space="preserve"> </w:t>
      </w:r>
      <w:r>
        <w:t>need to model</w:t>
      </w:r>
      <w:r>
        <w:rPr>
          <w:spacing w:val="-1"/>
        </w:rPr>
        <w:t xml:space="preserve"> </w:t>
      </w:r>
      <w:r>
        <w:t>tax liabilities</w:t>
      </w:r>
      <w:r>
        <w:rPr>
          <w:spacing w:val="-1"/>
        </w:rPr>
        <w:t xml:space="preserve"> </w:t>
      </w:r>
      <w:r>
        <w:t xml:space="preserve">is </w:t>
      </w:r>
      <w:r>
        <w:rPr>
          <w:spacing w:val="-1"/>
        </w:rPr>
        <w:t>eliminated.</w:t>
      </w:r>
      <w:r>
        <w:rPr>
          <w:spacing w:val="-10"/>
        </w:rPr>
        <w:t xml:space="preserve"> </w:t>
      </w:r>
      <w:r>
        <w:t>As</w:t>
      </w:r>
      <w:r>
        <w:rPr>
          <w:spacing w:val="-1"/>
        </w:rPr>
        <w:t xml:space="preserve"> </w:t>
      </w:r>
      <w:r>
        <w:t>such,</w:t>
      </w:r>
      <w:r>
        <w:rPr>
          <w:spacing w:val="-6"/>
        </w:rPr>
        <w:t xml:space="preserve"> </w:t>
      </w:r>
      <w:r>
        <w:rPr>
          <w:spacing w:val="-1"/>
        </w:rPr>
        <w:t>there</w:t>
      </w:r>
      <w:r>
        <w:t xml:space="preserve"> is</w:t>
      </w:r>
      <w:r>
        <w:rPr>
          <w:spacing w:val="-1"/>
        </w:rPr>
        <w:t xml:space="preserve"> </w:t>
      </w:r>
      <w:r>
        <w:t>no benefit</w:t>
      </w:r>
      <w:r>
        <w:rPr>
          <w:spacing w:val="-1"/>
        </w:rPr>
        <w:t xml:space="preserve"> </w:t>
      </w:r>
      <w:r>
        <w:t>to adopting</w:t>
      </w:r>
      <w:r>
        <w:rPr>
          <w:spacing w:val="29"/>
        </w:rPr>
        <w:t xml:space="preserve"> </w:t>
      </w:r>
      <w:r>
        <w:t>a post-tax</w:t>
      </w:r>
      <w:r>
        <w:rPr>
          <w:spacing w:val="1"/>
        </w:rPr>
        <w:t xml:space="preserve"> </w:t>
      </w:r>
      <w:r>
        <w:rPr>
          <w:spacing w:val="-2"/>
        </w:rPr>
        <w:t>approach.”</w:t>
      </w:r>
      <w:r>
        <w:rPr>
          <w:spacing w:val="-2"/>
          <w:position w:val="7"/>
          <w:sz w:val="11"/>
          <w:szCs w:val="11"/>
        </w:rPr>
        <w:t>172</w:t>
      </w:r>
      <w:r>
        <w:rPr>
          <w:spacing w:val="23"/>
          <w:position w:val="7"/>
          <w:sz w:val="11"/>
          <w:szCs w:val="11"/>
        </w:rPr>
        <w:t xml:space="preserve"> </w:t>
      </w:r>
      <w:r>
        <w:rPr>
          <w:rFonts w:cs="Avenir Next"/>
        </w:rPr>
        <w:t>In</w:t>
      </w:r>
      <w:r>
        <w:rPr>
          <w:rFonts w:cs="Avenir Next"/>
          <w:spacing w:val="1"/>
        </w:rPr>
        <w:t xml:space="preserve"> </w:t>
      </w:r>
      <w:r>
        <w:rPr>
          <w:rFonts w:cs="Avenir Next"/>
        </w:rPr>
        <w:t>line with</w:t>
      </w:r>
      <w:r>
        <w:rPr>
          <w:rFonts w:cs="Avenir Next"/>
          <w:spacing w:val="1"/>
        </w:rPr>
        <w:t xml:space="preserve"> </w:t>
      </w:r>
      <w:r>
        <w:rPr>
          <w:rFonts w:cs="Avenir Next"/>
        </w:rPr>
        <w:t>this</w:t>
      </w:r>
      <w:r>
        <w:rPr>
          <w:rFonts w:cs="Avenir Next"/>
          <w:spacing w:val="1"/>
        </w:rPr>
        <w:t xml:space="preserve"> </w:t>
      </w:r>
      <w:r>
        <w:rPr>
          <w:rFonts w:cs="Avenir Next"/>
          <w:spacing w:val="-2"/>
        </w:rPr>
        <w:t>view,</w:t>
      </w:r>
      <w:r>
        <w:rPr>
          <w:rFonts w:cs="Avenir Next"/>
          <w:spacing w:val="-6"/>
        </w:rPr>
        <w:t xml:space="preserve"> </w:t>
      </w:r>
      <w:r>
        <w:rPr>
          <w:rFonts w:cs="Avenir Next"/>
        </w:rPr>
        <w:t>the</w:t>
      </w:r>
      <w:r>
        <w:rPr>
          <w:rFonts w:cs="Avenir Next"/>
          <w:spacing w:val="1"/>
        </w:rPr>
        <w:t xml:space="preserve"> </w:t>
      </w:r>
      <w:r>
        <w:rPr>
          <w:rFonts w:cs="Avenir Next"/>
        </w:rPr>
        <w:t>ICRC</w:t>
      </w:r>
      <w:r>
        <w:rPr>
          <w:rFonts w:cs="Avenir Next"/>
          <w:spacing w:val="1"/>
        </w:rPr>
        <w:t xml:space="preserve"> </w:t>
      </w:r>
      <w:r>
        <w:rPr>
          <w:rFonts w:cs="Avenir Next"/>
        </w:rPr>
        <w:t>did not</w:t>
      </w:r>
      <w:r>
        <w:rPr>
          <w:rFonts w:cs="Avenir Next"/>
          <w:spacing w:val="1"/>
        </w:rPr>
        <w:t xml:space="preserve"> </w:t>
      </w:r>
      <w:r>
        <w:rPr>
          <w:rFonts w:cs="Avenir Next"/>
        </w:rPr>
        <w:t>include</w:t>
      </w:r>
      <w:r>
        <w:rPr>
          <w:rFonts w:cs="Avenir Next"/>
          <w:spacing w:val="1"/>
        </w:rPr>
        <w:t xml:space="preserve"> </w:t>
      </w:r>
      <w:r>
        <w:rPr>
          <w:rFonts w:cs="Avenir Next"/>
        </w:rPr>
        <w:t xml:space="preserve">an </w:t>
      </w:r>
      <w:r>
        <w:rPr>
          <w:rFonts w:cs="Avenir Next"/>
          <w:spacing w:val="-1"/>
        </w:rPr>
        <w:t>explicit</w:t>
      </w:r>
      <w:r>
        <w:rPr>
          <w:rFonts w:cs="Avenir Next"/>
          <w:spacing w:val="1"/>
        </w:rPr>
        <w:t xml:space="preserve"> </w:t>
      </w:r>
      <w:r>
        <w:rPr>
          <w:rFonts w:cs="Avenir Next"/>
        </w:rPr>
        <w:t>allowance</w:t>
      </w:r>
      <w:r>
        <w:rPr>
          <w:rFonts w:cs="Avenir Next"/>
          <w:spacing w:val="1"/>
        </w:rPr>
        <w:t xml:space="preserve"> </w:t>
      </w:r>
      <w:r>
        <w:rPr>
          <w:rFonts w:cs="Avenir Next"/>
        </w:rPr>
        <w:t>for</w:t>
      </w:r>
      <w:r>
        <w:rPr>
          <w:rFonts w:cs="Avenir Next"/>
          <w:spacing w:val="1"/>
        </w:rPr>
        <w:t xml:space="preserve"> </w:t>
      </w:r>
      <w:r>
        <w:rPr>
          <w:rFonts w:cs="Avenir Next"/>
        </w:rPr>
        <w:t>net</w:t>
      </w:r>
      <w:r>
        <w:rPr>
          <w:rFonts w:cs="Avenir Next"/>
          <w:spacing w:val="31"/>
        </w:rPr>
        <w:t xml:space="preserve"> </w:t>
      </w:r>
      <w:r>
        <w:rPr>
          <w:rFonts w:cs="Avenir Next"/>
        </w:rPr>
        <w:t>tax liabilities</w:t>
      </w:r>
      <w:r>
        <w:rPr>
          <w:rFonts w:cs="Avenir Next"/>
          <w:spacing w:val="1"/>
        </w:rPr>
        <w:t xml:space="preserve"> </w:t>
      </w:r>
      <w:r>
        <w:rPr>
          <w:rFonts w:cs="Avenir Next"/>
        </w:rPr>
        <w:t>in</w:t>
      </w:r>
      <w:r>
        <w:rPr>
          <w:rFonts w:cs="Avenir Next"/>
          <w:spacing w:val="1"/>
        </w:rPr>
        <w:t xml:space="preserve"> </w:t>
      </w:r>
      <w:r>
        <w:rPr>
          <w:rFonts w:cs="Avenir Next"/>
        </w:rPr>
        <w:t>the</w:t>
      </w:r>
      <w:r>
        <w:rPr>
          <w:rFonts w:cs="Avenir Next"/>
          <w:spacing w:val="1"/>
        </w:rPr>
        <w:t xml:space="preserve"> </w:t>
      </w:r>
      <w:r>
        <w:rPr>
          <w:rFonts w:cs="Avenir Next"/>
          <w:spacing w:val="-1"/>
        </w:rPr>
        <w:t>revenue</w:t>
      </w:r>
      <w:r>
        <w:rPr>
          <w:rFonts w:cs="Avenir Next"/>
          <w:spacing w:val="1"/>
        </w:rPr>
        <w:t xml:space="preserve"> </w:t>
      </w:r>
      <w:r>
        <w:rPr>
          <w:rFonts w:cs="Avenir Next"/>
          <w:spacing w:val="-1"/>
        </w:rPr>
        <w:t>requirement,</w:t>
      </w:r>
      <w:r>
        <w:rPr>
          <w:spacing w:val="-1"/>
          <w:position w:val="7"/>
          <w:sz w:val="11"/>
          <w:szCs w:val="11"/>
        </w:rPr>
        <w:t>173</w:t>
      </w:r>
      <w:r>
        <w:rPr>
          <w:spacing w:val="23"/>
          <w:position w:val="7"/>
          <w:sz w:val="11"/>
          <w:szCs w:val="11"/>
        </w:rPr>
        <w:t xml:space="preserve"> </w:t>
      </w:r>
      <w:r>
        <w:t>even</w:t>
      </w:r>
      <w:r>
        <w:rPr>
          <w:spacing w:val="1"/>
        </w:rPr>
        <w:t xml:space="preserve"> </w:t>
      </w:r>
      <w:r>
        <w:t>though</w:t>
      </w:r>
      <w:r>
        <w:rPr>
          <w:spacing w:val="-3"/>
        </w:rPr>
        <w:t xml:space="preserve"> </w:t>
      </w:r>
      <w:r>
        <w:rPr>
          <w:spacing w:val="-2"/>
        </w:rPr>
        <w:t xml:space="preserve">ACTEW </w:t>
      </w:r>
      <w:r>
        <w:t>is</w:t>
      </w:r>
      <w:r>
        <w:rPr>
          <w:spacing w:val="1"/>
        </w:rPr>
        <w:t xml:space="preserve"> </w:t>
      </w:r>
      <w:r>
        <w:rPr>
          <w:spacing w:val="-1"/>
        </w:rPr>
        <w:t>required</w:t>
      </w:r>
      <w:r>
        <w:rPr>
          <w:spacing w:val="1"/>
        </w:rPr>
        <w:t xml:space="preserve"> </w:t>
      </w:r>
      <w:r>
        <w:t>to</w:t>
      </w:r>
      <w:r>
        <w:rPr>
          <w:spacing w:val="1"/>
        </w:rPr>
        <w:t xml:space="preserve"> </w:t>
      </w:r>
      <w:r>
        <w:rPr>
          <w:spacing w:val="-1"/>
        </w:rPr>
        <w:t>make</w:t>
      </w:r>
      <w:r>
        <w:rPr>
          <w:spacing w:val="1"/>
        </w:rPr>
        <w:t xml:space="preserve"> </w:t>
      </w:r>
      <w:r>
        <w:rPr>
          <w:spacing w:val="-1"/>
        </w:rPr>
        <w:t>tax-equivalent</w:t>
      </w:r>
      <w:r>
        <w:rPr>
          <w:spacing w:val="49"/>
        </w:rPr>
        <w:t xml:space="preserve"> </w:t>
      </w:r>
      <w:r>
        <w:t>payments.</w:t>
      </w:r>
    </w:p>
    <w:p w:rsidR="00D96B91" w:rsidRDefault="00C2656B">
      <w:pPr>
        <w:pStyle w:val="BodyText"/>
        <w:spacing w:before="170" w:line="260" w:lineRule="exact"/>
        <w:ind w:right="1256"/>
      </w:pPr>
      <w:r>
        <w:rPr>
          <w:spacing w:val="-2"/>
        </w:rPr>
        <w:t>The</w:t>
      </w:r>
      <w:r>
        <w:rPr>
          <w:spacing w:val="-1"/>
        </w:rPr>
        <w:t xml:space="preserve"> </w:t>
      </w:r>
      <w:r>
        <w:rPr>
          <w:spacing w:val="-3"/>
        </w:rPr>
        <w:t>Panel</w:t>
      </w:r>
      <w:r>
        <w:rPr>
          <w:spacing w:val="-1"/>
        </w:rPr>
        <w:t xml:space="preserve"> </w:t>
      </w:r>
      <w:r>
        <w:t>considers</w:t>
      </w:r>
      <w:r>
        <w:rPr>
          <w:spacing w:val="-1"/>
        </w:rPr>
        <w:t xml:space="preserve"> that</w:t>
      </w:r>
      <w:r>
        <w:t xml:space="preserve"> even</w:t>
      </w:r>
      <w:r>
        <w:rPr>
          <w:spacing w:val="-1"/>
        </w:rPr>
        <w:t xml:space="preserve"> </w:t>
      </w:r>
      <w:r>
        <w:t>under</w:t>
      </w:r>
      <w:r>
        <w:rPr>
          <w:spacing w:val="-1"/>
        </w:rPr>
        <w:t xml:space="preserve"> </w:t>
      </w:r>
      <w:r>
        <w:t>a</w:t>
      </w:r>
      <w:r>
        <w:rPr>
          <w:spacing w:val="-1"/>
        </w:rPr>
        <w:t xml:space="preserve"> </w:t>
      </w:r>
      <w:r>
        <w:t xml:space="preserve">firm-specific </w:t>
      </w:r>
      <w:r>
        <w:rPr>
          <w:spacing w:val="-1"/>
        </w:rPr>
        <w:t>approach,</w:t>
      </w:r>
      <w:r>
        <w:rPr>
          <w:spacing w:val="-7"/>
        </w:rPr>
        <w:t xml:space="preserve"> </w:t>
      </w:r>
      <w:r>
        <w:rPr>
          <w:spacing w:val="-1"/>
        </w:rPr>
        <w:t xml:space="preserve">provision </w:t>
      </w:r>
      <w:r>
        <w:t>should</w:t>
      </w:r>
      <w:r>
        <w:rPr>
          <w:spacing w:val="-1"/>
        </w:rPr>
        <w:t xml:space="preserve"> </w:t>
      </w:r>
      <w:r>
        <w:t>be made</w:t>
      </w:r>
      <w:r>
        <w:rPr>
          <w:spacing w:val="-1"/>
        </w:rPr>
        <w:t xml:space="preserve"> </w:t>
      </w:r>
      <w:r>
        <w:t>for</w:t>
      </w:r>
      <w:r>
        <w:rPr>
          <w:spacing w:val="-1"/>
        </w:rPr>
        <w:t xml:space="preserve"> </w:t>
      </w:r>
      <w:r>
        <w:t>net</w:t>
      </w:r>
      <w:r>
        <w:rPr>
          <w:spacing w:val="-1"/>
        </w:rPr>
        <w:t xml:space="preserve"> </w:t>
      </w:r>
      <w:r>
        <w:t>tax</w:t>
      </w:r>
      <w:r>
        <w:rPr>
          <w:spacing w:val="35"/>
        </w:rPr>
        <w:t xml:space="preserve"> </w:t>
      </w:r>
      <w:r>
        <w:t>liabilities.</w:t>
      </w:r>
      <w:r>
        <w:rPr>
          <w:spacing w:val="-6"/>
        </w:rPr>
        <w:t xml:space="preserve"> </w:t>
      </w:r>
      <w:r>
        <w:t>In</w:t>
      </w:r>
      <w:r>
        <w:rPr>
          <w:spacing w:val="1"/>
        </w:rPr>
        <w:t xml:space="preserve"> </w:t>
      </w:r>
      <w:r>
        <w:t>line</w:t>
      </w:r>
      <w:r>
        <w:rPr>
          <w:spacing w:val="1"/>
        </w:rPr>
        <w:t xml:space="preserve"> </w:t>
      </w:r>
      <w:r>
        <w:t>with</w:t>
      </w:r>
      <w:r>
        <w:rPr>
          <w:spacing w:val="1"/>
        </w:rPr>
        <w:t xml:space="preserve"> </w:t>
      </w:r>
      <w:r>
        <w:rPr>
          <w:spacing w:val="-1"/>
        </w:rPr>
        <w:t>standard</w:t>
      </w:r>
      <w:r>
        <w:t xml:space="preserve"> </w:t>
      </w:r>
      <w:r>
        <w:rPr>
          <w:spacing w:val="-1"/>
        </w:rPr>
        <w:t>regulatory</w:t>
      </w:r>
      <w:r>
        <w:rPr>
          <w:spacing w:val="1"/>
        </w:rPr>
        <w:t xml:space="preserve"> </w:t>
      </w:r>
      <w:r>
        <w:rPr>
          <w:spacing w:val="-1"/>
        </w:rPr>
        <w:t>practice</w:t>
      </w:r>
      <w:r>
        <w:rPr>
          <w:spacing w:val="1"/>
        </w:rPr>
        <w:t xml:space="preserve"> </w:t>
      </w:r>
      <w:r>
        <w:t>it</w:t>
      </w:r>
      <w:r>
        <w:rPr>
          <w:spacing w:val="1"/>
        </w:rPr>
        <w:t xml:space="preserve"> </w:t>
      </w:r>
      <w:r>
        <w:t>has decided</w:t>
      </w:r>
      <w:r>
        <w:rPr>
          <w:spacing w:val="1"/>
        </w:rPr>
        <w:t xml:space="preserve"> </w:t>
      </w:r>
      <w:r>
        <w:t>to</w:t>
      </w:r>
      <w:r>
        <w:rPr>
          <w:spacing w:val="1"/>
        </w:rPr>
        <w:t xml:space="preserve"> </w:t>
      </w:r>
      <w:r>
        <w:t>use</w:t>
      </w:r>
      <w:r>
        <w:rPr>
          <w:spacing w:val="1"/>
        </w:rPr>
        <w:t xml:space="preserve"> </w:t>
      </w:r>
      <w:r>
        <w:t>a post-tax</w:t>
      </w:r>
      <w:r>
        <w:rPr>
          <w:spacing w:val="1"/>
        </w:rPr>
        <w:t xml:space="preserve"> </w:t>
      </w:r>
      <w:r>
        <w:rPr>
          <w:spacing w:val="-1"/>
        </w:rPr>
        <w:t>regulatory</w:t>
      </w:r>
      <w:r>
        <w:rPr>
          <w:spacing w:val="1"/>
        </w:rPr>
        <w:t xml:space="preserve"> </w:t>
      </w:r>
      <w:r>
        <w:rPr>
          <w:spacing w:val="-1"/>
        </w:rPr>
        <w:t>model,</w:t>
      </w:r>
      <w:r>
        <w:rPr>
          <w:spacing w:val="-1"/>
          <w:position w:val="7"/>
          <w:sz w:val="11"/>
        </w:rPr>
        <w:t>174</w:t>
      </w:r>
      <w:r>
        <w:rPr>
          <w:spacing w:val="51"/>
          <w:w w:val="106"/>
          <w:position w:val="7"/>
          <w:sz w:val="11"/>
        </w:rPr>
        <w:t xml:space="preserve"> </w:t>
      </w:r>
      <w:r>
        <w:t xml:space="preserve">so </w:t>
      </w:r>
      <w:r>
        <w:rPr>
          <w:spacing w:val="-1"/>
        </w:rPr>
        <w:t>that</w:t>
      </w:r>
      <w:r>
        <w:rPr>
          <w:spacing w:val="1"/>
        </w:rPr>
        <w:t xml:space="preserve"> </w:t>
      </w:r>
      <w:r>
        <w:rPr>
          <w:spacing w:val="-1"/>
        </w:rPr>
        <w:t>appropriate</w:t>
      </w:r>
      <w:r>
        <w:rPr>
          <w:spacing w:val="1"/>
        </w:rPr>
        <w:t xml:space="preserve"> </w:t>
      </w:r>
      <w:r>
        <w:t>tax</w:t>
      </w:r>
      <w:r>
        <w:rPr>
          <w:spacing w:val="1"/>
        </w:rPr>
        <w:t xml:space="preserve"> </w:t>
      </w:r>
      <w:r>
        <w:t>allowances will</w:t>
      </w:r>
      <w:r>
        <w:rPr>
          <w:spacing w:val="1"/>
        </w:rPr>
        <w:t xml:space="preserve"> </w:t>
      </w:r>
      <w:r>
        <w:t>be</w:t>
      </w:r>
      <w:r>
        <w:rPr>
          <w:spacing w:val="1"/>
        </w:rPr>
        <w:t xml:space="preserve"> </w:t>
      </w:r>
      <w:r>
        <w:rPr>
          <w:spacing w:val="-1"/>
        </w:rPr>
        <w:t>calculated</w:t>
      </w:r>
      <w:r>
        <w:rPr>
          <w:spacing w:val="1"/>
        </w:rPr>
        <w:t xml:space="preserve"> </w:t>
      </w:r>
      <w:r>
        <w:t>for</w:t>
      </w:r>
      <w:r>
        <w:rPr>
          <w:spacing w:val="-4"/>
        </w:rPr>
        <w:t xml:space="preserve"> </w:t>
      </w:r>
      <w:r>
        <w:rPr>
          <w:spacing w:val="-2"/>
        </w:rPr>
        <w:t xml:space="preserve">ACTEW </w:t>
      </w:r>
      <w:r>
        <w:t>as</w:t>
      </w:r>
      <w:r>
        <w:rPr>
          <w:spacing w:val="1"/>
        </w:rPr>
        <w:t xml:space="preserve"> </w:t>
      </w:r>
      <w:r>
        <w:rPr>
          <w:spacing w:val="-1"/>
        </w:rPr>
        <w:t>part</w:t>
      </w:r>
      <w:r>
        <w:rPr>
          <w:spacing w:val="1"/>
        </w:rPr>
        <w:t xml:space="preserve"> </w:t>
      </w:r>
      <w:r>
        <w:t>of</w:t>
      </w:r>
      <w:r>
        <w:rPr>
          <w:spacing w:val="4"/>
        </w:rPr>
        <w:t xml:space="preserve"> </w:t>
      </w:r>
      <w:r>
        <w:t>the</w:t>
      </w:r>
      <w:r>
        <w:rPr>
          <w:spacing w:val="1"/>
        </w:rPr>
        <w:t xml:space="preserve"> </w:t>
      </w:r>
      <w:r>
        <w:rPr>
          <w:spacing w:val="-1"/>
        </w:rPr>
        <w:t>revenue</w:t>
      </w:r>
      <w:r>
        <w:rPr>
          <w:spacing w:val="1"/>
        </w:rPr>
        <w:t xml:space="preserve"> </w:t>
      </w:r>
      <w:r>
        <w:rPr>
          <w:spacing w:val="-1"/>
        </w:rPr>
        <w:t>requirement.</w:t>
      </w:r>
      <w:r>
        <w:rPr>
          <w:spacing w:val="-1"/>
          <w:position w:val="7"/>
          <w:sz w:val="11"/>
        </w:rPr>
        <w:t>175</w:t>
      </w:r>
      <w:r>
        <w:rPr>
          <w:spacing w:val="59"/>
          <w:w w:val="106"/>
          <w:position w:val="7"/>
          <w:sz w:val="11"/>
        </w:rPr>
        <w:t xml:space="preserve"> </w:t>
      </w:r>
      <w:r>
        <w:rPr>
          <w:spacing w:val="-1"/>
        </w:rPr>
        <w:t>This provides</w:t>
      </w:r>
      <w:r>
        <w:rPr>
          <w:spacing w:val="-4"/>
        </w:rPr>
        <w:t xml:space="preserve"> </w:t>
      </w:r>
      <w:r>
        <w:rPr>
          <w:spacing w:val="-2"/>
        </w:rPr>
        <w:t>ACTEW</w:t>
      </w:r>
      <w:r>
        <w:rPr>
          <w:spacing w:val="-3"/>
        </w:rPr>
        <w:t xml:space="preserve"> </w:t>
      </w:r>
      <w:r>
        <w:t>with</w:t>
      </w:r>
      <w:r>
        <w:rPr>
          <w:spacing w:val="-1"/>
        </w:rPr>
        <w:t xml:space="preserve"> </w:t>
      </w:r>
      <w:r>
        <w:t>the cash flow</w:t>
      </w:r>
      <w:r>
        <w:rPr>
          <w:spacing w:val="-1"/>
        </w:rPr>
        <w:t xml:space="preserve"> </w:t>
      </w:r>
      <w:r>
        <w:t xml:space="preserve">needed to </w:t>
      </w:r>
      <w:r>
        <w:rPr>
          <w:spacing w:val="-1"/>
        </w:rPr>
        <w:t>make</w:t>
      </w:r>
      <w:r>
        <w:t xml:space="preserve"> the</w:t>
      </w:r>
      <w:r>
        <w:rPr>
          <w:spacing w:val="-1"/>
        </w:rPr>
        <w:t xml:space="preserve"> requisite</w:t>
      </w:r>
      <w:r>
        <w:t xml:space="preserve"> tax payments.</w:t>
      </w:r>
    </w:p>
    <w:p w:rsidR="00D96B91" w:rsidRDefault="00C2656B">
      <w:pPr>
        <w:pStyle w:val="BodyText"/>
        <w:spacing w:before="170" w:line="260" w:lineRule="exact"/>
        <w:ind w:right="1246"/>
      </w:pPr>
      <w:r>
        <w:rPr>
          <w:spacing w:val="-10"/>
        </w:rPr>
        <w:t>To</w:t>
      </w:r>
      <w:r>
        <w:t xml:space="preserve"> </w:t>
      </w:r>
      <w:r>
        <w:rPr>
          <w:spacing w:val="-1"/>
        </w:rPr>
        <w:t>calculate</w:t>
      </w:r>
      <w:r>
        <w:t xml:space="preserve"> this tax allowance,</w:t>
      </w:r>
      <w:r>
        <w:rPr>
          <w:spacing w:val="-7"/>
        </w:rPr>
        <w:t xml:space="preserve"> </w:t>
      </w:r>
      <w:r>
        <w:t xml:space="preserve">the </w:t>
      </w:r>
      <w:r>
        <w:rPr>
          <w:spacing w:val="-3"/>
        </w:rPr>
        <w:t>Panel</w:t>
      </w:r>
      <w:r>
        <w:t xml:space="preserve"> must </w:t>
      </w:r>
      <w:r>
        <w:rPr>
          <w:spacing w:val="-1"/>
        </w:rPr>
        <w:t>make</w:t>
      </w:r>
      <w:r>
        <w:t xml:space="preserve"> a decision about the value of</w:t>
      </w:r>
      <w:r>
        <w:rPr>
          <w:spacing w:val="4"/>
        </w:rPr>
        <w:t xml:space="preserve"> </w:t>
      </w:r>
      <w:r>
        <w:t xml:space="preserve">dividend </w:t>
      </w:r>
      <w:r>
        <w:rPr>
          <w:spacing w:val="-1"/>
        </w:rPr>
        <w:t>imputation</w:t>
      </w:r>
      <w:r>
        <w:rPr>
          <w:spacing w:val="35"/>
        </w:rPr>
        <w:t xml:space="preserve"> </w:t>
      </w:r>
      <w:r>
        <w:rPr>
          <w:spacing w:val="-1"/>
        </w:rPr>
        <w:t xml:space="preserve">credits </w:t>
      </w:r>
      <w:r>
        <w:t>(gamma).</w:t>
      </w:r>
      <w:r>
        <w:rPr>
          <w:spacing w:val="-9"/>
        </w:rPr>
        <w:t xml:space="preserve"> </w:t>
      </w:r>
      <w:r>
        <w:t>While</w:t>
      </w:r>
      <w:r>
        <w:rPr>
          <w:spacing w:val="-1"/>
        </w:rPr>
        <w:t xml:space="preserve"> franked </w:t>
      </w:r>
      <w:r>
        <w:t>dividends</w:t>
      </w:r>
      <w:r>
        <w:rPr>
          <w:spacing w:val="-1"/>
        </w:rPr>
        <w:t xml:space="preserve"> </w:t>
      </w:r>
      <w:r>
        <w:rPr>
          <w:spacing w:val="-2"/>
        </w:rPr>
        <w:t>are</w:t>
      </w:r>
      <w:r>
        <w:rPr>
          <w:spacing w:val="-1"/>
        </w:rPr>
        <w:t xml:space="preserve"> </w:t>
      </w:r>
      <w:r>
        <w:t>not</w:t>
      </w:r>
      <w:r>
        <w:rPr>
          <w:spacing w:val="-1"/>
        </w:rPr>
        <w:t xml:space="preserve"> generally </w:t>
      </w:r>
      <w:r>
        <w:t>paid</w:t>
      </w:r>
      <w:r>
        <w:rPr>
          <w:spacing w:val="-1"/>
        </w:rPr>
        <w:t xml:space="preserve"> </w:t>
      </w:r>
      <w:r>
        <w:t>by</w:t>
      </w:r>
      <w:r>
        <w:rPr>
          <w:spacing w:val="-1"/>
        </w:rPr>
        <w:t xml:space="preserve"> </w:t>
      </w:r>
      <w:r>
        <w:t>publicly</w:t>
      </w:r>
      <w:r>
        <w:rPr>
          <w:spacing w:val="-1"/>
        </w:rPr>
        <w:t xml:space="preserve"> </w:t>
      </w:r>
      <w:r>
        <w:t>owned</w:t>
      </w:r>
      <w:r>
        <w:rPr>
          <w:spacing w:val="-1"/>
        </w:rPr>
        <w:t xml:space="preserve"> </w:t>
      </w:r>
      <w:r>
        <w:t>businesses,</w:t>
      </w:r>
      <w:r>
        <w:rPr>
          <w:spacing w:val="-7"/>
        </w:rPr>
        <w:t xml:space="preserve"> </w:t>
      </w:r>
      <w:r>
        <w:t>in</w:t>
      </w:r>
      <w:r>
        <w:rPr>
          <w:spacing w:val="-1"/>
        </w:rPr>
        <w:t xml:space="preserve"> order</w:t>
      </w:r>
      <w:r>
        <w:rPr>
          <w:spacing w:val="25"/>
        </w:rPr>
        <w:t xml:space="preserve"> </w:t>
      </w:r>
      <w:r>
        <w:t xml:space="preserve">to maintain competitive </w:t>
      </w:r>
      <w:r>
        <w:rPr>
          <w:spacing w:val="-1"/>
        </w:rPr>
        <w:t>neutrality</w:t>
      </w:r>
      <w:r>
        <w:t xml:space="preserve"> it is necessary to </w:t>
      </w:r>
      <w:r>
        <w:rPr>
          <w:spacing w:val="-1"/>
        </w:rPr>
        <w:t>make</w:t>
      </w:r>
      <w:r>
        <w:t xml:space="preserve"> an assumption of</w:t>
      </w:r>
      <w:r>
        <w:rPr>
          <w:spacing w:val="4"/>
        </w:rPr>
        <w:t xml:space="preserve"> </w:t>
      </w:r>
      <w:r>
        <w:t>the value of</w:t>
      </w:r>
      <w:r>
        <w:rPr>
          <w:spacing w:val="4"/>
        </w:rPr>
        <w:t xml:space="preserve"> </w:t>
      </w:r>
      <w:r>
        <w:rPr>
          <w:spacing w:val="-1"/>
        </w:rPr>
        <w:t>imputation</w:t>
      </w:r>
      <w:r>
        <w:rPr>
          <w:spacing w:val="29"/>
        </w:rPr>
        <w:t xml:space="preserve"> </w:t>
      </w:r>
      <w:r>
        <w:rPr>
          <w:spacing w:val="-1"/>
        </w:rPr>
        <w:t>credits</w:t>
      </w:r>
      <w:r>
        <w:t xml:space="preserve"> for a hypothetical </w:t>
      </w:r>
      <w:r>
        <w:rPr>
          <w:spacing w:val="-1"/>
        </w:rPr>
        <w:t>private</w:t>
      </w:r>
      <w:r>
        <w:t xml:space="preserve"> investor in the business.</w:t>
      </w:r>
    </w:p>
    <w:p w:rsidR="00D96B91" w:rsidRDefault="00C2656B">
      <w:pPr>
        <w:pStyle w:val="BodyText"/>
        <w:spacing w:before="170" w:line="260" w:lineRule="exact"/>
        <w:ind w:right="1484"/>
        <w:jc w:val="both"/>
        <w:rPr>
          <w:sz w:val="11"/>
          <w:szCs w:val="11"/>
        </w:rPr>
      </w:pPr>
      <w:r>
        <w:rPr>
          <w:spacing w:val="-4"/>
        </w:rPr>
        <w:t>For</w:t>
      </w:r>
      <w:r>
        <w:t xml:space="preserve"> the </w:t>
      </w:r>
      <w:r>
        <w:rPr>
          <w:spacing w:val="-1"/>
        </w:rPr>
        <w:t>reasons</w:t>
      </w:r>
      <w:r>
        <w:t xml:space="preserve"> set out in</w:t>
      </w:r>
      <w:r>
        <w:rPr>
          <w:spacing w:val="-4"/>
        </w:rPr>
        <w:t xml:space="preserve"> </w:t>
      </w:r>
      <w:r>
        <w:t>Appendix</w:t>
      </w:r>
      <w:r>
        <w:rPr>
          <w:spacing w:val="-4"/>
        </w:rPr>
        <w:t xml:space="preserve"> </w:t>
      </w:r>
      <w:r>
        <w:t>A8.4,</w:t>
      </w:r>
      <w:r>
        <w:rPr>
          <w:spacing w:val="-6"/>
        </w:rPr>
        <w:t xml:space="preserve"> </w:t>
      </w:r>
      <w:r>
        <w:t xml:space="preserve">the </w:t>
      </w:r>
      <w:r>
        <w:rPr>
          <w:spacing w:val="-4"/>
        </w:rPr>
        <w:t>Panel’s</w:t>
      </w:r>
      <w:r>
        <w:t xml:space="preserve"> </w:t>
      </w:r>
      <w:r>
        <w:rPr>
          <w:spacing w:val="-2"/>
        </w:rPr>
        <w:t>draft</w:t>
      </w:r>
      <w:r>
        <w:t xml:space="preserve"> decision is to adopt a gamma value of</w:t>
      </w:r>
      <w:r>
        <w:rPr>
          <w:spacing w:val="4"/>
        </w:rPr>
        <w:t xml:space="preserve"> </w:t>
      </w:r>
      <w:r>
        <w:t>0.5.</w:t>
      </w:r>
      <w:r>
        <w:rPr>
          <w:spacing w:val="27"/>
        </w:rPr>
        <w:t xml:space="preserve"> </w:t>
      </w:r>
      <w:r>
        <w:rPr>
          <w:spacing w:val="-1"/>
        </w:rPr>
        <w:t>This</w:t>
      </w:r>
      <w:r>
        <w:t xml:space="preserve"> is higher than</w:t>
      </w:r>
      <w:r>
        <w:rPr>
          <w:spacing w:val="-4"/>
        </w:rPr>
        <w:t xml:space="preserve"> </w:t>
      </w:r>
      <w:r>
        <w:rPr>
          <w:spacing w:val="-2"/>
        </w:rPr>
        <w:t>ACTEW’s</w:t>
      </w:r>
      <w:r>
        <w:t xml:space="preserve"> </w:t>
      </w:r>
      <w:r>
        <w:rPr>
          <w:spacing w:val="-1"/>
        </w:rPr>
        <w:t>proposal</w:t>
      </w:r>
      <w:r>
        <w:t xml:space="preserve"> of</w:t>
      </w:r>
      <w:r>
        <w:rPr>
          <w:spacing w:val="4"/>
        </w:rPr>
        <w:t xml:space="preserve"> </w:t>
      </w:r>
      <w:r>
        <w:t>0.25,</w:t>
      </w:r>
      <w:r>
        <w:rPr>
          <w:spacing w:val="-6"/>
        </w:rPr>
        <w:t xml:space="preserve"> </w:t>
      </w:r>
      <w:r>
        <w:t xml:space="preserve">and has the </w:t>
      </w:r>
      <w:r>
        <w:rPr>
          <w:spacing w:val="-1"/>
        </w:rPr>
        <w:t>effect</w:t>
      </w:r>
      <w:r>
        <w:t xml:space="preserve"> of</w:t>
      </w:r>
      <w:r>
        <w:rPr>
          <w:spacing w:val="4"/>
        </w:rPr>
        <w:t xml:space="preserve"> </w:t>
      </w:r>
      <w:r>
        <w:rPr>
          <w:spacing w:val="-1"/>
        </w:rPr>
        <w:t>reducing</w:t>
      </w:r>
      <w:r>
        <w:t xml:space="preserve"> the allowance for net tax</w:t>
      </w:r>
      <w:r>
        <w:rPr>
          <w:spacing w:val="23"/>
        </w:rPr>
        <w:t xml:space="preserve"> </w:t>
      </w:r>
      <w:r>
        <w:t>liabilities</w:t>
      </w:r>
      <w:r>
        <w:rPr>
          <w:spacing w:val="1"/>
        </w:rPr>
        <w:t xml:space="preserve"> </w:t>
      </w:r>
      <w:r>
        <w:t>and,</w:t>
      </w:r>
      <w:r>
        <w:rPr>
          <w:spacing w:val="-5"/>
        </w:rPr>
        <w:t xml:space="preserve"> </w:t>
      </w:r>
      <w:r>
        <w:t>in</w:t>
      </w:r>
      <w:r>
        <w:rPr>
          <w:spacing w:val="2"/>
        </w:rPr>
        <w:t xml:space="preserve"> </w:t>
      </w:r>
      <w:r>
        <w:t>turn,</w:t>
      </w:r>
      <w:r>
        <w:rPr>
          <w:spacing w:val="-5"/>
        </w:rPr>
        <w:t xml:space="preserve"> </w:t>
      </w:r>
      <w:r>
        <w:rPr>
          <w:spacing w:val="-1"/>
        </w:rPr>
        <w:t>water</w:t>
      </w:r>
      <w:r>
        <w:rPr>
          <w:spacing w:val="1"/>
        </w:rPr>
        <w:t xml:space="preserve"> </w:t>
      </w:r>
      <w:r>
        <w:t>and</w:t>
      </w:r>
      <w:r>
        <w:rPr>
          <w:spacing w:val="2"/>
        </w:rPr>
        <w:t xml:space="preserve"> </w:t>
      </w:r>
      <w:r>
        <w:rPr>
          <w:spacing w:val="-1"/>
        </w:rPr>
        <w:t>sewerage</w:t>
      </w:r>
      <w:r>
        <w:rPr>
          <w:spacing w:val="1"/>
        </w:rPr>
        <w:t xml:space="preserve"> </w:t>
      </w:r>
      <w:r>
        <w:rPr>
          <w:spacing w:val="-1"/>
        </w:rPr>
        <w:t>charges.</w:t>
      </w:r>
      <w:r>
        <w:rPr>
          <w:spacing w:val="-1"/>
          <w:position w:val="7"/>
          <w:sz w:val="11"/>
          <w:szCs w:val="11"/>
        </w:rPr>
        <w:t>176</w:t>
      </w:r>
    </w:p>
    <w:p w:rsidR="00D96B91" w:rsidRDefault="00D96B91">
      <w:pPr>
        <w:spacing w:before="3"/>
        <w:rPr>
          <w:rFonts w:ascii="Avenir Next" w:eastAsia="Avenir Next" w:hAnsi="Avenir Next" w:cs="Avenir Next"/>
          <w:sz w:val="25"/>
          <w:szCs w:val="2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98" style="width:72.5pt;height:.5pt;mso-position-horizontal-relative:char;mso-position-vertical-relative:line" coordsize="1450,10">
            <v:group id="_x0000_s1899" style="position:absolute;left:5;top:5;width:1440;height:2" coordorigin="5,5" coordsize="1440,2">
              <v:shape id="_x0000_s1900" style="position:absolute;left:5;top:5;width:1440;height:2" coordorigin="5,5" coordsize="1440,0" path="m5,5r1440,e" filled="f" strokeweight=".5pt">
                <v:path arrowok="t"/>
              </v:shape>
            </v:group>
            <w10:wrap type="none"/>
            <w10:anchorlock/>
          </v:group>
        </w:pict>
      </w:r>
    </w:p>
    <w:p w:rsidR="00D96B91" w:rsidRDefault="00C2656B">
      <w:pPr>
        <w:numPr>
          <w:ilvl w:val="0"/>
          <w:numId w:val="63"/>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33.</w:t>
      </w:r>
    </w:p>
    <w:p w:rsidR="00D96B91" w:rsidRDefault="00C2656B">
      <w:pPr>
        <w:numPr>
          <w:ilvl w:val="0"/>
          <w:numId w:val="63"/>
        </w:numPr>
        <w:tabs>
          <w:tab w:val="left" w:pos="1758"/>
        </w:tabs>
        <w:spacing w:before="121"/>
        <w:ind w:hanging="510"/>
        <w:rPr>
          <w:rFonts w:ascii="Avenir Next" w:eastAsia="Avenir Next" w:hAnsi="Avenir Next" w:cs="Avenir Next"/>
          <w:sz w:val="16"/>
          <w:szCs w:val="16"/>
        </w:rPr>
      </w:pPr>
      <w:r>
        <w:rPr>
          <w:rFonts w:ascii="Avenir Next"/>
          <w:spacing w:val="-2"/>
          <w:sz w:val="16"/>
        </w:rPr>
        <w:t>That</w:t>
      </w:r>
      <w:r>
        <w:rPr>
          <w:rFonts w:ascii="Avenir Next"/>
          <w:sz w:val="16"/>
        </w:rPr>
        <w:t xml:space="preserve"> is,</w:t>
      </w:r>
      <w:r>
        <w:rPr>
          <w:rFonts w:ascii="Avenir Next"/>
          <w:spacing w:val="-5"/>
          <w:sz w:val="16"/>
        </w:rPr>
        <w:t xml:space="preserve"> </w:t>
      </w:r>
      <w:r>
        <w:rPr>
          <w:rFonts w:ascii="Avenir Next"/>
          <w:sz w:val="16"/>
        </w:rPr>
        <w:t xml:space="preserve">tax liabilities taking into account (or net </w:t>
      </w:r>
      <w:r>
        <w:rPr>
          <w:rFonts w:ascii="Avenir Next"/>
          <w:spacing w:val="2"/>
          <w:sz w:val="16"/>
        </w:rPr>
        <w:t>of)</w:t>
      </w:r>
      <w:r>
        <w:rPr>
          <w:rFonts w:ascii="Avenir Next"/>
          <w:sz w:val="16"/>
        </w:rPr>
        <w:t xml:space="preserve"> dividend </w:t>
      </w:r>
      <w:r>
        <w:rPr>
          <w:rFonts w:ascii="Avenir Next"/>
          <w:spacing w:val="-1"/>
          <w:sz w:val="16"/>
        </w:rPr>
        <w:t>imputation</w:t>
      </w:r>
      <w:r>
        <w:rPr>
          <w:rFonts w:ascii="Avenir Next"/>
          <w:sz w:val="16"/>
        </w:rPr>
        <w:t xml:space="preserve"> </w:t>
      </w:r>
      <w:r>
        <w:rPr>
          <w:rFonts w:ascii="Avenir Next"/>
          <w:spacing w:val="-1"/>
          <w:sz w:val="16"/>
        </w:rPr>
        <w:t>credits.</w:t>
      </w:r>
    </w:p>
    <w:p w:rsidR="00D96B91" w:rsidRDefault="00C2656B">
      <w:pPr>
        <w:numPr>
          <w:ilvl w:val="0"/>
          <w:numId w:val="63"/>
        </w:numPr>
        <w:tabs>
          <w:tab w:val="left" w:pos="1758"/>
        </w:tabs>
        <w:spacing w:before="121"/>
        <w:ind w:hanging="510"/>
        <w:rPr>
          <w:rFonts w:ascii="Avenir Next" w:eastAsia="Avenir Next" w:hAnsi="Avenir Next" w:cs="Avenir Next"/>
          <w:sz w:val="16"/>
          <w:szCs w:val="16"/>
        </w:rPr>
      </w:pPr>
      <w:r>
        <w:rPr>
          <w:rFonts w:ascii="Avenir Next"/>
          <w:spacing w:val="-2"/>
          <w:sz w:val="16"/>
        </w:rPr>
        <w:t>Post-tax</w:t>
      </w:r>
      <w:r>
        <w:rPr>
          <w:rFonts w:ascii="Avenir Next"/>
          <w:sz w:val="16"/>
        </w:rPr>
        <w:t xml:space="preserve"> models </w:t>
      </w:r>
      <w:r>
        <w:rPr>
          <w:rFonts w:ascii="Avenir Next"/>
          <w:spacing w:val="-1"/>
          <w:sz w:val="16"/>
        </w:rPr>
        <w:t>are</w:t>
      </w:r>
      <w:r>
        <w:rPr>
          <w:rFonts w:ascii="Avenir Next"/>
          <w:sz w:val="16"/>
        </w:rPr>
        <w:t xml:space="preserve"> commonly used by </w:t>
      </w:r>
      <w:r>
        <w:rPr>
          <w:rFonts w:ascii="Avenir Next"/>
          <w:spacing w:val="-1"/>
          <w:sz w:val="16"/>
        </w:rPr>
        <w:t>regulators,</w:t>
      </w:r>
      <w:r>
        <w:rPr>
          <w:rFonts w:ascii="Avenir Next"/>
          <w:spacing w:val="-5"/>
          <w:sz w:val="16"/>
        </w:rPr>
        <w:t xml:space="preserve"> </w:t>
      </w:r>
      <w:r>
        <w:rPr>
          <w:rFonts w:ascii="Avenir Next"/>
          <w:sz w:val="16"/>
        </w:rPr>
        <w:t xml:space="preserve">for </w:t>
      </w:r>
      <w:r>
        <w:rPr>
          <w:rFonts w:ascii="Avenir Next"/>
          <w:spacing w:val="-1"/>
          <w:sz w:val="16"/>
        </w:rPr>
        <w:t>example</w:t>
      </w:r>
      <w:r>
        <w:rPr>
          <w:rFonts w:ascii="Avenir Next"/>
          <w:sz w:val="16"/>
        </w:rPr>
        <w:t xml:space="preserve"> the ESC,</w:t>
      </w:r>
      <w:r>
        <w:rPr>
          <w:rFonts w:ascii="Avenir Next"/>
          <w:spacing w:val="-5"/>
          <w:sz w:val="16"/>
        </w:rPr>
        <w:t xml:space="preserve"> </w:t>
      </w:r>
      <w:r>
        <w:rPr>
          <w:rFonts w:ascii="Avenir Next"/>
          <w:spacing w:val="-3"/>
          <w:sz w:val="16"/>
        </w:rPr>
        <w:t>IPART</w:t>
      </w:r>
      <w:r>
        <w:rPr>
          <w:rFonts w:ascii="Avenir Next"/>
          <w:spacing w:val="-4"/>
          <w:sz w:val="16"/>
        </w:rPr>
        <w:t xml:space="preserve"> </w:t>
      </w:r>
      <w:r>
        <w:rPr>
          <w:rFonts w:ascii="Avenir Next"/>
          <w:sz w:val="16"/>
        </w:rPr>
        <w:t>and the</w:t>
      </w:r>
      <w:r>
        <w:rPr>
          <w:rFonts w:ascii="Avenir Next"/>
          <w:spacing w:val="-3"/>
          <w:sz w:val="16"/>
        </w:rPr>
        <w:t xml:space="preserve"> </w:t>
      </w:r>
      <w:r>
        <w:rPr>
          <w:rFonts w:ascii="Avenir Next"/>
          <w:sz w:val="16"/>
        </w:rPr>
        <w:t>AER.</w:t>
      </w:r>
    </w:p>
    <w:p w:rsidR="00D96B91" w:rsidRDefault="00C2656B">
      <w:pPr>
        <w:numPr>
          <w:ilvl w:val="0"/>
          <w:numId w:val="63"/>
        </w:numPr>
        <w:tabs>
          <w:tab w:val="left" w:pos="1758"/>
        </w:tabs>
        <w:spacing w:before="128" w:line="192" w:lineRule="exact"/>
        <w:ind w:right="1288" w:hanging="510"/>
        <w:rPr>
          <w:rFonts w:ascii="Avenir Next" w:eastAsia="Avenir Next" w:hAnsi="Avenir Next" w:cs="Avenir Next"/>
          <w:sz w:val="16"/>
          <w:szCs w:val="16"/>
        </w:rPr>
      </w:pPr>
      <w:r>
        <w:rPr>
          <w:rFonts w:ascii="Avenir Next" w:eastAsia="Avenir Next" w:hAnsi="Avenir Next" w:cs="Avenir Next"/>
          <w:spacing w:val="-6"/>
          <w:sz w:val="16"/>
          <w:szCs w:val="16"/>
        </w:rPr>
        <w:t>Tax</w:t>
      </w:r>
      <w:r>
        <w:rPr>
          <w:rFonts w:ascii="Avenir Next" w:eastAsia="Avenir Next" w:hAnsi="Avenir Next" w:cs="Avenir Next"/>
          <w:sz w:val="16"/>
          <w:szCs w:val="16"/>
        </w:rPr>
        <w:t xml:space="preserve"> liabilities can be </w:t>
      </w:r>
      <w:r>
        <w:rPr>
          <w:rFonts w:ascii="Avenir Next" w:eastAsia="Avenir Next" w:hAnsi="Avenir Next" w:cs="Avenir Next"/>
          <w:spacing w:val="-1"/>
          <w:sz w:val="16"/>
          <w:szCs w:val="16"/>
        </w:rPr>
        <w:t>incorporated</w:t>
      </w:r>
      <w:r>
        <w:rPr>
          <w:rFonts w:ascii="Avenir Next" w:eastAsia="Avenir Next" w:hAnsi="Avenir Next" w:cs="Avenir Next"/>
          <w:sz w:val="16"/>
          <w:szCs w:val="16"/>
        </w:rPr>
        <w:t xml:space="preserve"> into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capital </w:t>
      </w:r>
      <w:r>
        <w:rPr>
          <w:rFonts w:ascii="Avenir Next" w:eastAsia="Avenir Next" w:hAnsi="Avenir Next" w:cs="Avenir Next"/>
          <w:spacing w:val="-1"/>
          <w:sz w:val="16"/>
          <w:szCs w:val="16"/>
        </w:rPr>
        <w:t>through</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estimating</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required</w:t>
      </w:r>
      <w:r>
        <w:rPr>
          <w:rFonts w:ascii="Avenir Next" w:eastAsia="Avenir Next" w:hAnsi="Avenir Next" w:cs="Avenir Next"/>
          <w:sz w:val="16"/>
          <w:szCs w:val="16"/>
        </w:rPr>
        <w:t xml:space="preserve"> to cover both tax and</w:t>
      </w:r>
      <w:r>
        <w:rPr>
          <w:rFonts w:ascii="Avenir Next" w:eastAsia="Avenir Next" w:hAnsi="Avenir Next" w:cs="Avenir Next"/>
          <w:spacing w:val="61"/>
          <w:sz w:val="16"/>
          <w:szCs w:val="16"/>
        </w:rPr>
        <w:t xml:space="preserve"> </w:t>
      </w:r>
      <w:r>
        <w:rPr>
          <w:rFonts w:ascii="Avenir Next" w:eastAsia="Avenir Next" w:hAnsi="Avenir Next" w:cs="Avenir Next"/>
          <w:sz w:val="16"/>
          <w:szCs w:val="16"/>
        </w:rPr>
        <w:t xml:space="preserve">an </w:t>
      </w:r>
      <w:r>
        <w:rPr>
          <w:rFonts w:ascii="Avenir Next" w:eastAsia="Avenir Next" w:hAnsi="Avenir Next" w:cs="Avenir Next"/>
          <w:spacing w:val="-1"/>
          <w:sz w:val="16"/>
          <w:szCs w:val="16"/>
        </w:rPr>
        <w:t>appropriate</w:t>
      </w:r>
      <w:r>
        <w:rPr>
          <w:rFonts w:ascii="Avenir Next" w:eastAsia="Avenir Next" w:hAnsi="Avenir Next" w:cs="Avenir Next"/>
          <w:sz w:val="16"/>
          <w:szCs w:val="16"/>
        </w:rPr>
        <w:t xml:space="preserve"> post-tax </w:t>
      </w:r>
      <w:r>
        <w:rPr>
          <w:rFonts w:ascii="Avenir Next" w:eastAsia="Avenir Next" w:hAnsi="Avenir Next" w:cs="Avenir Next"/>
          <w:spacing w:val="-1"/>
          <w:sz w:val="16"/>
          <w:szCs w:val="16"/>
        </w:rPr>
        <w:t>return.</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This</w:t>
      </w:r>
      <w:r>
        <w:rPr>
          <w:rFonts w:ascii="Avenir Next" w:eastAsia="Avenir Next" w:hAnsi="Avenir Next" w:cs="Avenir Next"/>
          <w:sz w:val="16"/>
          <w:szCs w:val="16"/>
        </w:rPr>
        <w:t xml:space="preserve"> is called a </w:t>
      </w:r>
      <w:r>
        <w:rPr>
          <w:rFonts w:ascii="Avenir Next" w:eastAsia="Avenir Next" w:hAnsi="Avenir Next" w:cs="Avenir Next"/>
          <w:spacing w:val="-1"/>
          <w:sz w:val="16"/>
          <w:szCs w:val="16"/>
        </w:rPr>
        <w:t>pre-tax</w:t>
      </w:r>
      <w:r>
        <w:rPr>
          <w:rFonts w:ascii="Avenir Next" w:eastAsia="Avenir Next" w:hAnsi="Avenir Next" w:cs="Avenir Next"/>
          <w:spacing w:val="-2"/>
          <w:sz w:val="16"/>
          <w:szCs w:val="16"/>
        </w:rPr>
        <w:t xml:space="preserve"> WACC.</w:t>
      </w:r>
      <w:r>
        <w:rPr>
          <w:rFonts w:ascii="Avenir Next" w:eastAsia="Avenir Next" w:hAnsi="Avenir Next" w:cs="Avenir Next"/>
          <w:spacing w:val="-8"/>
          <w:sz w:val="16"/>
          <w:szCs w:val="16"/>
        </w:rPr>
        <w:t xml:space="preserve"> </w:t>
      </w:r>
      <w:r>
        <w:rPr>
          <w:rFonts w:ascii="Avenir Next" w:eastAsia="Avenir Next" w:hAnsi="Avenir Next" w:cs="Avenir Next"/>
          <w:spacing w:val="-1"/>
          <w:sz w:val="16"/>
          <w:szCs w:val="16"/>
        </w:rPr>
        <w:t>Alternatively,</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tax liabilities can be </w:t>
      </w:r>
      <w:r>
        <w:rPr>
          <w:rFonts w:ascii="Avenir Next" w:eastAsia="Avenir Next" w:hAnsi="Avenir Next" w:cs="Avenir Next"/>
          <w:spacing w:val="-1"/>
          <w:sz w:val="16"/>
          <w:szCs w:val="16"/>
        </w:rPr>
        <w:t>incorporated</w:t>
      </w:r>
      <w:r>
        <w:rPr>
          <w:rFonts w:ascii="Avenir Next" w:eastAsia="Avenir Next" w:hAnsi="Avenir Next" w:cs="Avenir Next"/>
          <w:sz w:val="16"/>
          <w:szCs w:val="16"/>
        </w:rPr>
        <w:t xml:space="preserve"> as a </w:t>
      </w:r>
      <w:r>
        <w:rPr>
          <w:rFonts w:ascii="Avenir Next" w:eastAsia="Avenir Next" w:hAnsi="Avenir Next" w:cs="Avenir Next"/>
          <w:spacing w:val="-1"/>
          <w:sz w:val="16"/>
          <w:szCs w:val="16"/>
        </w:rPr>
        <w:t>separate</w:t>
      </w:r>
      <w:r>
        <w:rPr>
          <w:rFonts w:ascii="Avenir Next" w:eastAsia="Avenir Next" w:hAnsi="Avenir Next" w:cs="Avenir Next"/>
          <w:spacing w:val="73"/>
          <w:sz w:val="16"/>
          <w:szCs w:val="16"/>
        </w:rPr>
        <w:t xml:space="preserve"> </w:t>
      </w:r>
      <w:r>
        <w:rPr>
          <w:rFonts w:ascii="Avenir Next" w:eastAsia="Avenir Next" w:hAnsi="Avenir Next" w:cs="Avenir Next"/>
          <w:sz w:val="16"/>
          <w:szCs w:val="16"/>
        </w:rPr>
        <w:t xml:space="preserve">building block </w:t>
      </w:r>
      <w:r>
        <w:rPr>
          <w:rFonts w:ascii="Avenir Next" w:eastAsia="Avenir Next" w:hAnsi="Avenir Next" w:cs="Avenir Next"/>
          <w:spacing w:val="-1"/>
          <w:sz w:val="16"/>
          <w:szCs w:val="16"/>
        </w:rPr>
        <w:t>rather</w:t>
      </w:r>
      <w:r>
        <w:rPr>
          <w:rFonts w:ascii="Avenir Next" w:eastAsia="Avenir Next" w:hAnsi="Avenir Next" w:cs="Avenir Next"/>
          <w:sz w:val="16"/>
          <w:szCs w:val="16"/>
        </w:rPr>
        <w:t xml:space="preserve"> than being </w:t>
      </w:r>
      <w:r>
        <w:rPr>
          <w:rFonts w:ascii="Avenir Next" w:eastAsia="Avenir Next" w:hAnsi="Avenir Next" w:cs="Avenir Next"/>
          <w:spacing w:val="-1"/>
          <w:sz w:val="16"/>
          <w:szCs w:val="16"/>
        </w:rPr>
        <w:t>part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capital.</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In this case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capital is a post-tax</w:t>
      </w:r>
      <w:r>
        <w:rPr>
          <w:rFonts w:ascii="Avenir Next" w:eastAsia="Avenir Next" w:hAnsi="Avenir Next" w:cs="Avenir Next"/>
          <w:spacing w:val="-2"/>
          <w:sz w:val="16"/>
          <w:szCs w:val="16"/>
        </w:rPr>
        <w:t xml:space="preserve"> WACC.</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This</w:t>
      </w:r>
      <w:r>
        <w:rPr>
          <w:rFonts w:ascii="Avenir Next" w:eastAsia="Avenir Next" w:hAnsi="Avenir Next" w:cs="Avenir Next"/>
          <w:spacing w:val="29"/>
          <w:sz w:val="16"/>
          <w:szCs w:val="16"/>
        </w:rPr>
        <w:t xml:space="preserve"> </w:t>
      </w:r>
      <w:r>
        <w:rPr>
          <w:rFonts w:ascii="Avenir Next" w:eastAsia="Avenir Next" w:hAnsi="Avenir Next" w:cs="Avenir Next"/>
          <w:sz w:val="16"/>
          <w:szCs w:val="16"/>
        </w:rPr>
        <w:t>model,</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which the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has adopted,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is </w:t>
      </w:r>
      <w:r>
        <w:rPr>
          <w:rFonts w:ascii="Avenir Next" w:eastAsia="Avenir Next" w:hAnsi="Avenir Next" w:cs="Avenir Next"/>
          <w:spacing w:val="-1"/>
          <w:sz w:val="16"/>
          <w:szCs w:val="16"/>
        </w:rPr>
        <w:t>generally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considered</w:t>
      </w:r>
      <w:r>
        <w:rPr>
          <w:rFonts w:ascii="Avenir Next" w:eastAsia="Avenir Next" w:hAnsi="Avenir Next" w:cs="Avenir Next"/>
          <w:sz w:val="16"/>
          <w:szCs w:val="16"/>
        </w:rPr>
        <w:t xml:space="preserve"> by </w:t>
      </w:r>
      <w:r>
        <w:rPr>
          <w:rFonts w:ascii="Avenir Next" w:eastAsia="Avenir Next" w:hAnsi="Avenir Next" w:cs="Avenir Next"/>
          <w:spacing w:val="-1"/>
          <w:sz w:val="16"/>
          <w:szCs w:val="16"/>
        </w:rPr>
        <w:t>regulators</w:t>
      </w:r>
      <w:r>
        <w:rPr>
          <w:rFonts w:ascii="Avenir Next" w:eastAsia="Avenir Next" w:hAnsi="Avenir Next" w:cs="Avenir Next"/>
          <w:sz w:val="16"/>
          <w:szCs w:val="16"/>
        </w:rPr>
        <w:t xml:space="preserve"> to </w:t>
      </w:r>
      <w:r>
        <w:rPr>
          <w:rFonts w:ascii="Avenir Next" w:eastAsia="Avenir Next" w:hAnsi="Avenir Next" w:cs="Avenir Next"/>
          <w:spacing w:val="-1"/>
          <w:sz w:val="16"/>
          <w:szCs w:val="16"/>
        </w:rPr>
        <w:t>more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accurately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estimate</w:t>
      </w:r>
      <w:r>
        <w:rPr>
          <w:rFonts w:ascii="Avenir Next" w:eastAsia="Avenir Next" w:hAnsi="Avenir Next" w:cs="Avenir Next"/>
          <w:sz w:val="16"/>
          <w:szCs w:val="16"/>
        </w:rPr>
        <w:t xml:space="preserve"> the tax liability </w:t>
      </w:r>
      <w:r>
        <w:rPr>
          <w:rFonts w:ascii="Avenir Next" w:eastAsia="Avenir Next" w:hAnsi="Avenir Next" w:cs="Avenir Next"/>
          <w:spacing w:val="-1"/>
          <w:sz w:val="16"/>
          <w:szCs w:val="16"/>
        </w:rPr>
        <w:t>that</w:t>
      </w:r>
      <w:r>
        <w:rPr>
          <w:rFonts w:ascii="Avenir Next" w:eastAsia="Avenir Next" w:hAnsi="Avenir Next" w:cs="Avenir Next"/>
          <w:spacing w:val="69"/>
          <w:sz w:val="16"/>
          <w:szCs w:val="16"/>
        </w:rPr>
        <w:t xml:space="preserve"> </w:t>
      </w:r>
      <w:r>
        <w:rPr>
          <w:rFonts w:ascii="Avenir Next" w:eastAsia="Avenir Next" w:hAnsi="Avenir Next" w:cs="Avenir Next"/>
          <w:sz w:val="16"/>
          <w:szCs w:val="16"/>
        </w:rPr>
        <w:t>would be achievable by a similar well-managed,</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privately</w:t>
      </w:r>
      <w:r>
        <w:rPr>
          <w:rFonts w:ascii="Avenir Next" w:eastAsia="Avenir Next" w:hAnsi="Avenir Next" w:cs="Avenir Next"/>
          <w:sz w:val="16"/>
          <w:szCs w:val="16"/>
        </w:rPr>
        <w:t xml:space="preserve"> owned business.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See for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IPART,</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incorporation</w:t>
      </w:r>
      <w:r>
        <w:rPr>
          <w:rFonts w:ascii="Avenir Next" w:eastAsia="Avenir Next" w:hAnsi="Avenir Next" w:cs="Avenir Next"/>
          <w:sz w:val="16"/>
          <w:szCs w:val="16"/>
        </w:rPr>
        <w:t xml:space="preserve"> of</w:t>
      </w:r>
      <w:r>
        <w:rPr>
          <w:rFonts w:ascii="Avenir Next" w:eastAsia="Avenir Next" w:hAnsi="Avenir Next" w:cs="Avenir Next"/>
          <w:spacing w:val="57"/>
          <w:sz w:val="16"/>
          <w:szCs w:val="16"/>
        </w:rPr>
        <w:t xml:space="preserve"> </w:t>
      </w:r>
      <w:r>
        <w:rPr>
          <w:rFonts w:ascii="Avenir Next" w:eastAsia="Avenir Next" w:hAnsi="Avenir Next" w:cs="Avenir Next"/>
          <w:sz w:val="16"/>
          <w:szCs w:val="16"/>
        </w:rPr>
        <w:t xml:space="preserve">company tax in pricing </w:t>
      </w:r>
      <w:r>
        <w:rPr>
          <w:rFonts w:ascii="Avenir Next" w:eastAsia="Avenir Next" w:hAnsi="Avenir Next" w:cs="Avenir Next"/>
          <w:spacing w:val="-1"/>
          <w:sz w:val="16"/>
          <w:szCs w:val="16"/>
        </w:rPr>
        <w:t>determinations</w:t>
      </w:r>
      <w:r>
        <w:rPr>
          <w:rFonts w:ascii="Avenir Next" w:eastAsia="Avenir Next" w:hAnsi="Avenir Next" w:cs="Avenir Next"/>
          <w:sz w:val="16"/>
          <w:szCs w:val="16"/>
        </w:rPr>
        <w:t xml:space="preserve"> –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December 2011,</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w:t>
      </w:r>
    </w:p>
    <w:p w:rsidR="00D96B91" w:rsidRDefault="00D96B91">
      <w:pPr>
        <w:spacing w:before="12"/>
        <w:rPr>
          <w:rFonts w:ascii="Avenir Next" w:eastAsia="Avenir Next" w:hAnsi="Avenir Next" w:cs="Avenir Next"/>
          <w:sz w:val="10"/>
          <w:szCs w:val="10"/>
        </w:rPr>
      </w:pPr>
    </w:p>
    <w:p w:rsidR="00D96B91" w:rsidRDefault="00C2656B">
      <w:pPr>
        <w:numPr>
          <w:ilvl w:val="0"/>
          <w:numId w:val="63"/>
        </w:numPr>
        <w:tabs>
          <w:tab w:val="left" w:pos="1758"/>
        </w:tabs>
        <w:spacing w:line="192" w:lineRule="exact"/>
        <w:ind w:right="1519" w:hanging="510"/>
        <w:rPr>
          <w:rFonts w:ascii="Avenir Next" w:eastAsia="Avenir Next" w:hAnsi="Avenir Next" w:cs="Avenir Next"/>
          <w:sz w:val="16"/>
          <w:szCs w:val="16"/>
        </w:rPr>
      </w:pPr>
      <w:r>
        <w:rPr>
          <w:rFonts w:ascii="Avenir Next" w:eastAsia="Avenir Next" w:hAnsi="Avenir Next" w:cs="Avenir Next"/>
          <w:sz w:val="16"/>
          <w:szCs w:val="16"/>
        </w:rPr>
        <w:t>A</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lower gamma value </w:t>
      </w:r>
      <w:r>
        <w:rPr>
          <w:rFonts w:ascii="Avenir Next" w:eastAsia="Avenir Next" w:hAnsi="Avenir Next" w:cs="Avenir Next"/>
          <w:spacing w:val="-1"/>
          <w:sz w:val="16"/>
          <w:szCs w:val="16"/>
        </w:rPr>
        <w:t>corresponds</w:t>
      </w:r>
      <w:r>
        <w:rPr>
          <w:rFonts w:ascii="Avenir Next" w:eastAsia="Avenir Next" w:hAnsi="Avenir Next" w:cs="Avenir Next"/>
          <w:sz w:val="16"/>
          <w:szCs w:val="16"/>
        </w:rPr>
        <w:t xml:space="preserve"> to a higher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z w:val="16"/>
          <w:szCs w:val="16"/>
        </w:rPr>
        <w:t xml:space="preserve"> and higher prices,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while a higher gamma</w:t>
      </w:r>
      <w:r>
        <w:rPr>
          <w:rFonts w:ascii="Avenir Next" w:eastAsia="Avenir Next" w:hAnsi="Avenir Next" w:cs="Avenir Next"/>
          <w:spacing w:val="35"/>
          <w:sz w:val="16"/>
          <w:szCs w:val="16"/>
        </w:rPr>
        <w:t xml:space="preserve"> </w:t>
      </w:r>
      <w:r>
        <w:rPr>
          <w:rFonts w:ascii="Avenir Next" w:eastAsia="Avenir Next" w:hAnsi="Avenir Next" w:cs="Avenir Next"/>
          <w:spacing w:val="-1"/>
          <w:sz w:val="16"/>
          <w:szCs w:val="16"/>
        </w:rPr>
        <w:t>corresponds</w:t>
      </w:r>
      <w:r>
        <w:rPr>
          <w:rFonts w:ascii="Avenir Next" w:eastAsia="Avenir Next" w:hAnsi="Avenir Next" w:cs="Avenir Next"/>
          <w:sz w:val="16"/>
          <w:szCs w:val="16"/>
        </w:rPr>
        <w:t xml:space="preserve"> to a lower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z w:val="16"/>
          <w:szCs w:val="16"/>
        </w:rPr>
        <w:t xml:space="preserve"> and lower prices.</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reduction</w:t>
      </w:r>
      <w:r>
        <w:rPr>
          <w:rFonts w:ascii="Avenir Next" w:eastAsia="Avenir Next" w:hAnsi="Avenir Next" w:cs="Avenir Next"/>
          <w:sz w:val="16"/>
          <w:szCs w:val="16"/>
        </w:rPr>
        <w:t xml:space="preserve"> in</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pacing w:val="75"/>
          <w:sz w:val="16"/>
          <w:szCs w:val="16"/>
        </w:rPr>
        <w:t xml:space="preserve"> </w:t>
      </w:r>
      <w:r>
        <w:rPr>
          <w:rFonts w:ascii="Avenir Next" w:eastAsia="Avenir Next" w:hAnsi="Avenir Next" w:cs="Avenir Next"/>
          <w:sz w:val="16"/>
          <w:szCs w:val="16"/>
        </w:rPr>
        <w:t>adopting a gamma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0.25 over 0.5 is between $1 million and $2 million per </w:t>
      </w:r>
      <w:r>
        <w:rPr>
          <w:rFonts w:ascii="Avenir Next" w:eastAsia="Avenir Next" w:hAnsi="Avenir Next" w:cs="Avenir Next"/>
          <w:spacing w:val="-2"/>
          <w:sz w:val="16"/>
          <w:szCs w:val="16"/>
        </w:rPr>
        <w:t>year,</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maintaining all other elements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20"/>
          <w:sz w:val="16"/>
          <w:szCs w:val="16"/>
        </w:rPr>
        <w:t xml:space="preserve"> </w:t>
      </w:r>
      <w:r>
        <w:rPr>
          <w:rFonts w:ascii="Avenir Next" w:eastAsia="Avenir Next" w:hAnsi="Avenir Next" w:cs="Avenir Next"/>
          <w:spacing w:val="-3"/>
          <w:sz w:val="16"/>
          <w:szCs w:val="16"/>
        </w:rPr>
        <w:t>Panel’s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draft</w:t>
      </w:r>
      <w:r>
        <w:rPr>
          <w:rFonts w:ascii="Avenir Next" w:eastAsia="Avenir Next" w:hAnsi="Avenir Next" w:cs="Avenir Next"/>
          <w:sz w:val="16"/>
          <w:szCs w:val="16"/>
        </w:rPr>
        <w:t xml:space="preserve"> decision.</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47" w:name="11_Forecast_operating_expenditure"/>
      <w:bookmarkStart w:id="148" w:name="11._1_Overview_of_the_Panel’s_draft_deci"/>
      <w:bookmarkStart w:id="149" w:name="_bookmark93"/>
      <w:bookmarkEnd w:id="147"/>
      <w:bookmarkEnd w:id="148"/>
      <w:bookmarkEnd w:id="149"/>
      <w:r>
        <w:rPr>
          <w:rFonts w:ascii="Avenir Next Medium"/>
          <w:color w:val="0778BE"/>
          <w:w w:val="95"/>
          <w:sz w:val="40"/>
        </w:rPr>
        <w:t>11</w:t>
      </w:r>
      <w:r>
        <w:rPr>
          <w:rFonts w:ascii="Avenir Next Medium"/>
          <w:color w:val="0778BE"/>
          <w:w w:val="95"/>
          <w:sz w:val="40"/>
        </w:rPr>
        <w:tab/>
      </w:r>
      <w:r>
        <w:rPr>
          <w:rFonts w:ascii="Avenir Next Medium"/>
          <w:color w:val="0778BE"/>
          <w:spacing w:val="-4"/>
          <w:sz w:val="40"/>
        </w:rPr>
        <w:t>Forecast</w:t>
      </w:r>
      <w:r>
        <w:rPr>
          <w:rFonts w:ascii="Avenir Next Medium"/>
          <w:color w:val="0778BE"/>
          <w:sz w:val="40"/>
        </w:rPr>
        <w:t xml:space="preserve"> </w:t>
      </w:r>
      <w:r>
        <w:rPr>
          <w:rFonts w:ascii="Avenir Next Medium"/>
          <w:color w:val="0778BE"/>
          <w:spacing w:val="-2"/>
          <w:sz w:val="40"/>
        </w:rPr>
        <w:t>operating</w:t>
      </w:r>
      <w:r>
        <w:rPr>
          <w:rFonts w:ascii="Avenir Next Medium"/>
          <w:color w:val="0778BE"/>
          <w:sz w:val="40"/>
        </w:rPr>
        <w:t xml:space="preserve"> </w:t>
      </w:r>
      <w:r>
        <w:rPr>
          <w:rFonts w:ascii="Avenir Next Medium"/>
          <w:color w:val="0778BE"/>
          <w:spacing w:val="-2"/>
          <w:sz w:val="40"/>
        </w:rPr>
        <w:t>expenditure</w:t>
      </w:r>
    </w:p>
    <w:p w:rsidR="00D96B91" w:rsidRDefault="00C2656B">
      <w:pPr>
        <w:pStyle w:val="BodyText"/>
        <w:spacing w:before="359" w:line="260" w:lineRule="exact"/>
        <w:ind w:right="1283"/>
        <w:rPr>
          <w:rFonts w:cs="Avenir Next"/>
        </w:rPr>
      </w:pPr>
      <w:r>
        <w:rPr>
          <w:rFonts w:cs="Avenir Next"/>
          <w:spacing w:val="-2"/>
        </w:rPr>
        <w:t>The</w:t>
      </w:r>
      <w:r>
        <w:rPr>
          <w:rFonts w:cs="Avenir Next"/>
        </w:rPr>
        <w:t xml:space="preserve"> </w:t>
      </w:r>
      <w:r>
        <w:rPr>
          <w:rFonts w:cs="Avenir Next"/>
          <w:spacing w:val="-1"/>
        </w:rPr>
        <w:t>next</w:t>
      </w:r>
      <w:r>
        <w:rPr>
          <w:rFonts w:cs="Avenir Next"/>
        </w:rPr>
        <w:t xml:space="preserve"> component of</w:t>
      </w:r>
      <w:r>
        <w:rPr>
          <w:rFonts w:cs="Avenir Next"/>
          <w:spacing w:val="4"/>
        </w:rPr>
        <w:t xml:space="preserve"> </w:t>
      </w:r>
      <w:r>
        <w:rPr>
          <w:rFonts w:cs="Avenir Next"/>
        </w:rPr>
        <w:t xml:space="preserve">the original price </w:t>
      </w:r>
      <w:r>
        <w:rPr>
          <w:rFonts w:cs="Avenir Next"/>
          <w:spacing w:val="-1"/>
        </w:rPr>
        <w:t>direction</w:t>
      </w:r>
      <w:r>
        <w:rPr>
          <w:rFonts w:cs="Avenir Next"/>
        </w:rPr>
        <w:t xml:space="preserve"> the </w:t>
      </w:r>
      <w:r>
        <w:rPr>
          <w:rFonts w:cs="Avenir Next"/>
          <w:spacing w:val="-3"/>
        </w:rPr>
        <w:t>Panel</w:t>
      </w:r>
      <w:r>
        <w:rPr>
          <w:rFonts w:cs="Avenir Next"/>
        </w:rPr>
        <w:t xml:space="preserve"> </w:t>
      </w:r>
      <w:r>
        <w:rPr>
          <w:rFonts w:cs="Avenir Next"/>
          <w:spacing w:val="-1"/>
        </w:rPr>
        <w:t>reviewed</w:t>
      </w:r>
      <w:r>
        <w:rPr>
          <w:rFonts w:cs="Avenir Next"/>
        </w:rPr>
        <w:t xml:space="preserve"> was the </w:t>
      </w:r>
      <w:r>
        <w:rPr>
          <w:rFonts w:cs="Avenir Next"/>
          <w:spacing w:val="-1"/>
        </w:rPr>
        <w:t>forecast</w:t>
      </w:r>
      <w:r>
        <w:rPr>
          <w:rFonts w:cs="Avenir Next"/>
        </w:rPr>
        <w:t xml:space="preserve"> </w:t>
      </w:r>
      <w:r>
        <w:rPr>
          <w:rFonts w:cs="Avenir Next"/>
          <w:spacing w:val="-1"/>
        </w:rPr>
        <w:t>operating</w:t>
      </w:r>
      <w:r>
        <w:rPr>
          <w:rFonts w:cs="Avenir Next"/>
          <w:spacing w:val="47"/>
        </w:rPr>
        <w:t xml:space="preserve"> </w:t>
      </w:r>
      <w:r>
        <w:rPr>
          <w:spacing w:val="-1"/>
        </w:rPr>
        <w:t>expenditure</w:t>
      </w:r>
      <w:r>
        <w:t xml:space="preserve"> included in</w:t>
      </w:r>
      <w:r>
        <w:rPr>
          <w:spacing w:val="-4"/>
        </w:rPr>
        <w:t xml:space="preserve"> </w:t>
      </w:r>
      <w:r>
        <w:rPr>
          <w:spacing w:val="-2"/>
        </w:rPr>
        <w:t>ACTEW’s</w:t>
      </w:r>
      <w:r>
        <w:t xml:space="preserve"> </w:t>
      </w:r>
      <w:r>
        <w:rPr>
          <w:spacing w:val="-1"/>
        </w:rPr>
        <w:t>revenue</w:t>
      </w:r>
      <w:r>
        <w:t xml:space="preserve"> </w:t>
      </w:r>
      <w:r>
        <w:rPr>
          <w:spacing w:val="-1"/>
        </w:rPr>
        <w:t>requirement.</w:t>
      </w:r>
      <w:r>
        <w:rPr>
          <w:spacing w:val="-6"/>
        </w:rPr>
        <w:t xml:space="preserve"> </w:t>
      </w:r>
      <w:r>
        <w:t>In</w:t>
      </w:r>
      <w:r>
        <w:rPr>
          <w:spacing w:val="-4"/>
        </w:rPr>
        <w:t xml:space="preserve"> </w:t>
      </w:r>
      <w:r>
        <w:rPr>
          <w:spacing w:val="-2"/>
        </w:rPr>
        <w:t>ACTEW’s</w:t>
      </w:r>
      <w:r>
        <w:t xml:space="preserve"> case,</w:t>
      </w:r>
      <w:r>
        <w:rPr>
          <w:spacing w:val="-6"/>
        </w:rPr>
        <w:t xml:space="preserve"> </w:t>
      </w:r>
      <w:r>
        <w:t>this building block is</w:t>
      </w:r>
      <w:r>
        <w:rPr>
          <w:spacing w:val="29"/>
        </w:rPr>
        <w:t xml:space="preserve"> </w:t>
      </w:r>
      <w:r>
        <w:rPr>
          <w:rFonts w:cs="Avenir Next"/>
        </w:rPr>
        <w:t xml:space="preserve">intended to </w:t>
      </w:r>
      <w:r>
        <w:rPr>
          <w:rFonts w:cs="Avenir Next"/>
          <w:spacing w:val="-1"/>
        </w:rPr>
        <w:t>recover:</w:t>
      </w:r>
    </w:p>
    <w:p w:rsidR="00D96B91" w:rsidRDefault="00C2656B">
      <w:pPr>
        <w:pStyle w:val="BodyText"/>
        <w:numPr>
          <w:ilvl w:val="0"/>
          <w:numId w:val="131"/>
        </w:numPr>
        <w:tabs>
          <w:tab w:val="left" w:pos="1531"/>
        </w:tabs>
        <w:spacing w:before="170" w:line="260" w:lineRule="exact"/>
        <w:ind w:right="1690" w:hanging="283"/>
      </w:pPr>
      <w:r>
        <w:t>the</w:t>
      </w:r>
      <w:r>
        <w:rPr>
          <w:spacing w:val="-1"/>
        </w:rPr>
        <w:t xml:space="preserve"> efficient</w:t>
      </w:r>
      <w:r>
        <w:t xml:space="preserve"> </w:t>
      </w:r>
      <w:r>
        <w:rPr>
          <w:spacing w:val="-1"/>
        </w:rPr>
        <w:t>operating,</w:t>
      </w:r>
      <w:r>
        <w:rPr>
          <w:spacing w:val="-7"/>
        </w:rPr>
        <w:t xml:space="preserve"> </w:t>
      </w:r>
      <w:r>
        <w:t>maintenance and</w:t>
      </w:r>
      <w:r>
        <w:rPr>
          <w:spacing w:val="-1"/>
        </w:rPr>
        <w:t xml:space="preserve"> administration</w:t>
      </w:r>
      <w:r>
        <w:t xml:space="preserve"> costs</w:t>
      </w:r>
      <w:r>
        <w:rPr>
          <w:spacing w:val="-1"/>
        </w:rPr>
        <w:t xml:space="preserve"> </w:t>
      </w:r>
      <w:r>
        <w:t>it incurs</w:t>
      </w:r>
      <w:r>
        <w:rPr>
          <w:spacing w:val="-1"/>
        </w:rPr>
        <w:t xml:space="preserve"> </w:t>
      </w:r>
      <w:r>
        <w:t>in delivering</w:t>
      </w:r>
      <w:r>
        <w:rPr>
          <w:spacing w:val="-1"/>
        </w:rPr>
        <w:t xml:space="preserve"> </w:t>
      </w:r>
      <w:r>
        <w:t xml:space="preserve">its </w:t>
      </w:r>
      <w:r>
        <w:rPr>
          <w:spacing w:val="-1"/>
        </w:rPr>
        <w:t>regulated</w:t>
      </w:r>
      <w:r>
        <w:rPr>
          <w:spacing w:val="45"/>
        </w:rPr>
        <w:t xml:space="preserve"> </w:t>
      </w:r>
      <w:r>
        <w:t>services,</w:t>
      </w:r>
      <w:r>
        <w:rPr>
          <w:spacing w:val="-6"/>
        </w:rPr>
        <w:t xml:space="preserve"> </w:t>
      </w:r>
      <w:r>
        <w:t xml:space="preserve">usually in the </w:t>
      </w:r>
      <w:r>
        <w:rPr>
          <w:spacing w:val="-1"/>
        </w:rPr>
        <w:t>year</w:t>
      </w:r>
      <w:r>
        <w:t xml:space="preserve"> the costs </w:t>
      </w:r>
      <w:r>
        <w:rPr>
          <w:spacing w:val="-2"/>
        </w:rPr>
        <w:t>are</w:t>
      </w:r>
      <w:r>
        <w:t xml:space="preserve"> </w:t>
      </w:r>
      <w:r>
        <w:rPr>
          <w:spacing w:val="-1"/>
        </w:rPr>
        <w:t>incurred</w:t>
      </w:r>
      <w:r>
        <w:t xml:space="preserve"> </w:t>
      </w:r>
      <w:r>
        <w:rPr>
          <w:spacing w:val="-1"/>
        </w:rPr>
        <w:t>(‘controllable</w:t>
      </w:r>
      <w:r>
        <w:t xml:space="preserve"> </w:t>
      </w:r>
      <w:r>
        <w:rPr>
          <w:spacing w:val="-1"/>
        </w:rPr>
        <w:t>operating</w:t>
      </w:r>
      <w:r>
        <w:t xml:space="preserve"> </w:t>
      </w:r>
      <w:r>
        <w:rPr>
          <w:spacing w:val="-1"/>
        </w:rPr>
        <w:t>expenditure’),</w:t>
      </w:r>
      <w:r>
        <w:rPr>
          <w:spacing w:val="-6"/>
        </w:rPr>
        <w:t xml:space="preserve"> </w:t>
      </w:r>
      <w:r>
        <w:t>and</w:t>
      </w:r>
    </w:p>
    <w:p w:rsidR="00D96B91" w:rsidRDefault="00C2656B">
      <w:pPr>
        <w:pStyle w:val="BodyText"/>
        <w:numPr>
          <w:ilvl w:val="0"/>
          <w:numId w:val="131"/>
        </w:numPr>
        <w:tabs>
          <w:tab w:val="left" w:pos="1531"/>
        </w:tabs>
        <w:spacing w:before="85" w:line="260" w:lineRule="exact"/>
        <w:ind w:right="1447" w:hanging="283"/>
      </w:pPr>
      <w:r>
        <w:t>the</w:t>
      </w:r>
      <w:r>
        <w:rPr>
          <w:spacing w:val="-3"/>
        </w:rPr>
        <w:t xml:space="preserve"> </w:t>
      </w:r>
      <w:r>
        <w:rPr>
          <w:spacing w:val="-2"/>
        </w:rPr>
        <w:t>Water</w:t>
      </w:r>
      <w:r>
        <w:rPr>
          <w:spacing w:val="-4"/>
        </w:rPr>
        <w:t xml:space="preserve"> </w:t>
      </w:r>
      <w:r>
        <w:rPr>
          <w:spacing w:val="-1"/>
        </w:rPr>
        <w:t>Abstraction</w:t>
      </w:r>
      <w:r>
        <w:t xml:space="preserve"> </w:t>
      </w:r>
      <w:r>
        <w:rPr>
          <w:spacing w:val="-1"/>
        </w:rPr>
        <w:t>Charge</w:t>
      </w:r>
      <w:r>
        <w:t xml:space="preserve"> </w:t>
      </w:r>
      <w:r>
        <w:rPr>
          <w:spacing w:val="-2"/>
        </w:rPr>
        <w:t>(WAC)</w:t>
      </w:r>
      <w:r>
        <w:t xml:space="preserve"> and the Utilities Network </w:t>
      </w:r>
      <w:r>
        <w:rPr>
          <w:spacing w:val="-1"/>
        </w:rPr>
        <w:t>Facilities</w:t>
      </w:r>
      <w:r>
        <w:rPr>
          <w:spacing w:val="-5"/>
        </w:rPr>
        <w:t xml:space="preserve"> </w:t>
      </w:r>
      <w:r>
        <w:rPr>
          <w:spacing w:val="-7"/>
        </w:rPr>
        <w:t>Tax</w:t>
      </w:r>
      <w:r>
        <w:t xml:space="preserve"> (UNFT) it is </w:t>
      </w:r>
      <w:r>
        <w:rPr>
          <w:spacing w:val="-1"/>
        </w:rPr>
        <w:t>required</w:t>
      </w:r>
      <w:r>
        <w:t xml:space="preserve"> to</w:t>
      </w:r>
      <w:r>
        <w:rPr>
          <w:spacing w:val="29"/>
        </w:rPr>
        <w:t xml:space="preserve"> </w:t>
      </w:r>
      <w:r>
        <w:t>pay to the</w:t>
      </w:r>
      <w:r>
        <w:rPr>
          <w:spacing w:val="-4"/>
        </w:rPr>
        <w:t xml:space="preserve"> </w:t>
      </w:r>
      <w:r>
        <w:rPr>
          <w:spacing w:val="-2"/>
        </w:rPr>
        <w:t>ACT</w:t>
      </w:r>
      <w:r>
        <w:rPr>
          <w:spacing w:val="-5"/>
        </w:rPr>
        <w:t xml:space="preserve"> </w:t>
      </w:r>
      <w:r>
        <w:t>Government.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13"/>
      </w:pPr>
      <w:r>
        <w:rPr>
          <w:rFonts w:cs="Avenir Next"/>
          <w:spacing w:val="-10"/>
        </w:rPr>
        <w:t>To</w:t>
      </w:r>
      <w:r>
        <w:rPr>
          <w:rFonts w:cs="Avenir Next"/>
        </w:rPr>
        <w:t xml:space="preserve"> </w:t>
      </w:r>
      <w:r>
        <w:rPr>
          <w:rFonts w:cs="Avenir Next"/>
          <w:spacing w:val="-1"/>
        </w:rPr>
        <w:t>make</w:t>
      </w:r>
      <w:r>
        <w:rPr>
          <w:rFonts w:cs="Avenir Next"/>
        </w:rPr>
        <w:t xml:space="preserve"> its </w:t>
      </w:r>
      <w:r>
        <w:rPr>
          <w:rFonts w:cs="Avenir Next"/>
          <w:spacing w:val="-2"/>
        </w:rPr>
        <w:t>draft</w:t>
      </w:r>
      <w:r>
        <w:rPr>
          <w:rFonts w:cs="Avenir Next"/>
        </w:rPr>
        <w:t xml:space="preserve"> decision on </w:t>
      </w:r>
      <w:r>
        <w:rPr>
          <w:rFonts w:cs="Avenir Next"/>
          <w:spacing w:val="-1"/>
        </w:rPr>
        <w:t>each</w:t>
      </w:r>
      <w:r>
        <w:rPr>
          <w:rFonts w:cs="Avenir Next"/>
        </w:rPr>
        <w:t xml:space="preserve"> of</w:t>
      </w:r>
      <w:r>
        <w:rPr>
          <w:rFonts w:cs="Avenir Next"/>
          <w:spacing w:val="4"/>
        </w:rPr>
        <w:t xml:space="preserve"> </w:t>
      </w:r>
      <w:r>
        <w:rPr>
          <w:rFonts w:cs="Avenir Next"/>
        </w:rPr>
        <w:t>these components of</w:t>
      </w:r>
      <w:r>
        <w:rPr>
          <w:rFonts w:cs="Avenir Next"/>
          <w:spacing w:val="4"/>
        </w:rPr>
        <w:t xml:space="preserve"> </w:t>
      </w:r>
      <w:r>
        <w:rPr>
          <w:rFonts w:cs="Avenir Next"/>
          <w:spacing w:val="-1"/>
        </w:rPr>
        <w:t>forecast</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spacing w:val="-6"/>
        </w:rPr>
        <w:t xml:space="preserve"> </w:t>
      </w:r>
      <w:r>
        <w:rPr>
          <w:rFonts w:cs="Avenir Next"/>
        </w:rPr>
        <w:t xml:space="preserve">the </w:t>
      </w:r>
      <w:r>
        <w:rPr>
          <w:rFonts w:cs="Avenir Next"/>
          <w:spacing w:val="-3"/>
        </w:rPr>
        <w:t>Panel</w:t>
      </w:r>
      <w:r>
        <w:rPr>
          <w:rFonts w:cs="Avenir Next"/>
          <w:spacing w:val="45"/>
        </w:rPr>
        <w:t xml:space="preserve"> </w:t>
      </w:r>
      <w:r>
        <w:rPr>
          <w:spacing w:val="-1"/>
        </w:rPr>
        <w:t xml:space="preserve">considered </w:t>
      </w:r>
      <w:r>
        <w:t xml:space="preserve">the </w:t>
      </w:r>
      <w:r>
        <w:rPr>
          <w:spacing w:val="-2"/>
        </w:rPr>
        <w:t>ICRC’s</w:t>
      </w:r>
      <w:r>
        <w:t xml:space="preserve"> final</w:t>
      </w:r>
      <w:r>
        <w:rPr>
          <w:spacing w:val="-1"/>
        </w:rPr>
        <w:t xml:space="preserve"> </w:t>
      </w:r>
      <w:r>
        <w:t>decision,</w:t>
      </w:r>
      <w:r>
        <w:rPr>
          <w:spacing w:val="-10"/>
        </w:rPr>
        <w:t xml:space="preserve"> </w:t>
      </w:r>
      <w:r>
        <w:rPr>
          <w:spacing w:val="-2"/>
        </w:rPr>
        <w:t>ACTEW’s</w:t>
      </w:r>
      <w:r>
        <w:t xml:space="preserve"> SOFC</w:t>
      </w:r>
      <w:r>
        <w:rPr>
          <w:spacing w:val="-1"/>
        </w:rPr>
        <w:t xml:space="preserve"> </w:t>
      </w:r>
      <w:r>
        <w:t xml:space="preserve">and other </w:t>
      </w:r>
      <w:r>
        <w:rPr>
          <w:spacing w:val="-1"/>
        </w:rPr>
        <w:t xml:space="preserve">stakeholders’ </w:t>
      </w:r>
      <w:r>
        <w:t>submissions.</w:t>
      </w:r>
      <w:r>
        <w:rPr>
          <w:spacing w:val="-7"/>
        </w:rPr>
        <w:t xml:space="preserve"> </w:t>
      </w:r>
      <w:r>
        <w:t>It also</w:t>
      </w:r>
      <w:r>
        <w:rPr>
          <w:spacing w:val="37"/>
        </w:rPr>
        <w:t xml:space="preserve"> </w:t>
      </w:r>
      <w:r>
        <w:t xml:space="preserve">sought </w:t>
      </w:r>
      <w:r>
        <w:rPr>
          <w:spacing w:val="-1"/>
        </w:rPr>
        <w:t>expert</w:t>
      </w:r>
      <w:r>
        <w:t xml:space="preserve"> advice </w:t>
      </w:r>
      <w:r>
        <w:rPr>
          <w:spacing w:val="-1"/>
        </w:rPr>
        <w:t>from</w:t>
      </w:r>
      <w:r>
        <w:t xml:space="preserve"> </w:t>
      </w:r>
      <w:r>
        <w:rPr>
          <w:spacing w:val="-2"/>
        </w:rPr>
        <w:t>Cardno.</w:t>
      </w:r>
    </w:p>
    <w:p w:rsidR="00D96B91" w:rsidRDefault="00C2656B">
      <w:pPr>
        <w:pStyle w:val="BodyText"/>
        <w:spacing w:before="170" w:line="260" w:lineRule="exact"/>
        <w:ind w:right="1256"/>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w:t>
      </w:r>
      <w:r>
        <w:rPr>
          <w:rFonts w:cs="Avenir Next"/>
          <w:spacing w:val="-1"/>
        </w:rPr>
        <w:t>forecast</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spacing w:val="57"/>
        </w:rPr>
        <w:t xml:space="preserve"> </w:t>
      </w:r>
      <w:r>
        <w:t xml:space="preserve">for this </w:t>
      </w:r>
      <w:r>
        <w:rPr>
          <w:spacing w:val="-1"/>
        </w:rPr>
        <w:t>regulatory</w:t>
      </w:r>
      <w:r>
        <w:t xml:space="preserve"> period,</w:t>
      </w:r>
      <w:r>
        <w:rPr>
          <w:spacing w:val="-6"/>
        </w:rPr>
        <w:t xml:space="preserve"> </w:t>
      </w:r>
      <w:r>
        <w:t xml:space="preserve">and then discuss its </w:t>
      </w:r>
      <w:r>
        <w:rPr>
          <w:spacing w:val="-1"/>
        </w:rPr>
        <w:t>considerations</w:t>
      </w:r>
      <w:r>
        <w:t xml:space="preserve"> on </w:t>
      </w:r>
      <w:r>
        <w:rPr>
          <w:spacing w:val="-1"/>
        </w:rPr>
        <w:t>each</w:t>
      </w:r>
      <w:r>
        <w:t xml:space="preserve"> component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61"/>
        </w:numPr>
        <w:tabs>
          <w:tab w:val="left" w:pos="1749"/>
        </w:tabs>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283"/>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the </w:t>
      </w:r>
      <w:r>
        <w:rPr>
          <w:rFonts w:cs="Avenir Next"/>
          <w:spacing w:val="-1"/>
        </w:rPr>
        <w:t>forecast</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rPr>
        <w:t xml:space="preserve"> over the </w:t>
      </w:r>
      <w:r>
        <w:rPr>
          <w:rFonts w:cs="Avenir Next"/>
          <w:spacing w:val="-1"/>
        </w:rPr>
        <w:t>regulatory</w:t>
      </w:r>
      <w:r>
        <w:rPr>
          <w:rFonts w:cs="Avenir Next"/>
        </w:rPr>
        <w:t xml:space="preserve"> period </w:t>
      </w:r>
      <w:r>
        <w:rPr>
          <w:rFonts w:cs="Avenir Next"/>
          <w:spacing w:val="-2"/>
        </w:rPr>
        <w:t>are</w:t>
      </w:r>
      <w:r>
        <w:rPr>
          <w:rFonts w:cs="Avenir Next"/>
        </w:rPr>
        <w:t xml:space="preserve"> set out</w:t>
      </w:r>
      <w:r>
        <w:rPr>
          <w:rFonts w:cs="Avenir Next"/>
          <w:spacing w:val="61"/>
        </w:rPr>
        <w:t xml:space="preserve"> </w:t>
      </w:r>
      <w:r>
        <w:t xml:space="preserve">in the tables </w:t>
      </w:r>
      <w:r>
        <w:rPr>
          <w:spacing w:val="-2"/>
        </w:rPr>
        <w:t>below.</w:t>
      </w:r>
    </w:p>
    <w:p w:rsidR="00D96B91" w:rsidRDefault="00C2656B">
      <w:pPr>
        <w:spacing w:before="158"/>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0"/>
        <w:gridCol w:w="1230"/>
        <w:gridCol w:w="1230"/>
        <w:gridCol w:w="1230"/>
        <w:gridCol w:w="1230"/>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Controllable</w:t>
            </w:r>
            <w:r>
              <w:rPr>
                <w:rFonts w:ascii="Avenir Next Condensed"/>
                <w:sz w:val="18"/>
              </w:rPr>
              <w:t xml:space="preserve">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62.75</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66.15</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66.91</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67.94</w:t>
            </w:r>
          </w:p>
        </w:tc>
        <w:tc>
          <w:tcPr>
            <w:tcW w:w="123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70.32</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3"/>
                <w:sz w:val="18"/>
              </w:rPr>
              <w:t>WAC</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25.01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27.81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28.16</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28.53</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28.90</w:t>
            </w:r>
          </w:p>
        </w:tc>
      </w:tr>
      <w:tr w:rsidR="00D96B91">
        <w:trPr>
          <w:trHeight w:hRule="exact" w:val="417"/>
        </w:trPr>
        <w:tc>
          <w:tcPr>
            <w:tcW w:w="32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4"/>
              <w:rPr>
                <w:rFonts w:ascii="Avenir Next Condensed" w:eastAsia="Avenir Next Condensed" w:hAnsi="Avenir Next Condensed" w:cs="Avenir Next Condensed"/>
                <w:sz w:val="18"/>
                <w:szCs w:val="18"/>
              </w:rPr>
            </w:pPr>
            <w:r>
              <w:rPr>
                <w:rFonts w:ascii="Avenir Next Condensed"/>
                <w:sz w:val="18"/>
              </w:rPr>
              <w:t>4.10</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4"/>
              <w:rPr>
                <w:rFonts w:ascii="Avenir Next Condensed" w:eastAsia="Avenir Next Condensed" w:hAnsi="Avenir Next Condensed" w:cs="Avenir Next Condensed"/>
                <w:sz w:val="18"/>
                <w:szCs w:val="18"/>
              </w:rPr>
            </w:pPr>
            <w:r>
              <w:rPr>
                <w:rFonts w:ascii="Avenir Next Condensed"/>
                <w:sz w:val="18"/>
              </w:rPr>
              <w:t>4.52</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4"/>
              <w:rPr>
                <w:rFonts w:ascii="Avenir Next Condensed" w:eastAsia="Avenir Next Condensed" w:hAnsi="Avenir Next Condensed" w:cs="Avenir Next Condensed"/>
                <w:sz w:val="18"/>
                <w:szCs w:val="18"/>
              </w:rPr>
            </w:pPr>
            <w:r>
              <w:rPr>
                <w:rFonts w:ascii="Avenir Next Condensed"/>
                <w:sz w:val="18"/>
              </w:rPr>
              <w:t>4.74</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4"/>
              <w:rPr>
                <w:rFonts w:ascii="Avenir Next Condensed" w:eastAsia="Avenir Next Condensed" w:hAnsi="Avenir Next Condensed" w:cs="Avenir Next Condensed"/>
                <w:sz w:val="18"/>
                <w:szCs w:val="18"/>
              </w:rPr>
            </w:pPr>
            <w:r>
              <w:rPr>
                <w:rFonts w:ascii="Avenir Next Condensed"/>
                <w:sz w:val="18"/>
              </w:rPr>
              <w:t>4.97</w:t>
            </w:r>
          </w:p>
        </w:tc>
        <w:tc>
          <w:tcPr>
            <w:tcW w:w="123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4"/>
              <w:rPr>
                <w:rFonts w:ascii="Avenir Next Condensed" w:eastAsia="Avenir Next Condensed" w:hAnsi="Avenir Next Condensed" w:cs="Avenir Next Condensed"/>
                <w:sz w:val="18"/>
                <w:szCs w:val="18"/>
              </w:rPr>
            </w:pPr>
            <w:r>
              <w:rPr>
                <w:rFonts w:ascii="Avenir Next Condensed"/>
                <w:sz w:val="18"/>
              </w:rPr>
              <w:t>5.09</w:t>
            </w:r>
          </w:p>
        </w:tc>
      </w:tr>
      <w:tr w:rsidR="00D96B91">
        <w:trPr>
          <w:trHeight w:hRule="exact" w:val="407"/>
        </w:trPr>
        <w:tc>
          <w:tcPr>
            <w:tcW w:w="32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3"/>
              <w:rPr>
                <w:rFonts w:ascii="Avenir Next Condensed" w:eastAsia="Avenir Next Condensed" w:hAnsi="Avenir Next Condensed" w:cs="Avenir Next Condensed"/>
                <w:sz w:val="18"/>
                <w:szCs w:val="18"/>
              </w:rPr>
            </w:pPr>
            <w:r>
              <w:rPr>
                <w:rFonts w:ascii="Avenir Next Condensed"/>
                <w:b/>
                <w:sz w:val="18"/>
              </w:rPr>
              <w:t>91.86</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3"/>
              <w:rPr>
                <w:rFonts w:ascii="Avenir Next Condensed" w:eastAsia="Avenir Next Condensed" w:hAnsi="Avenir Next Condensed" w:cs="Avenir Next Condensed"/>
                <w:sz w:val="18"/>
                <w:szCs w:val="18"/>
              </w:rPr>
            </w:pPr>
            <w:r>
              <w:rPr>
                <w:rFonts w:ascii="Avenir Next Condensed"/>
                <w:b/>
                <w:sz w:val="18"/>
              </w:rPr>
              <w:t>98.48</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3"/>
              <w:rPr>
                <w:rFonts w:ascii="Avenir Next Condensed" w:eastAsia="Avenir Next Condensed" w:hAnsi="Avenir Next Condensed" w:cs="Avenir Next Condensed"/>
                <w:sz w:val="18"/>
                <w:szCs w:val="18"/>
              </w:rPr>
            </w:pPr>
            <w:r>
              <w:rPr>
                <w:rFonts w:ascii="Avenir Next Condensed"/>
                <w:b/>
                <w:sz w:val="18"/>
              </w:rPr>
              <w:t>99.81</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101.44</w:t>
            </w:r>
          </w:p>
        </w:tc>
        <w:tc>
          <w:tcPr>
            <w:tcW w:w="123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104.31</w:t>
            </w:r>
          </w:p>
        </w:tc>
      </w:tr>
    </w:tbl>
    <w:p w:rsidR="00D96B91" w:rsidRDefault="00D96B91">
      <w:pPr>
        <w:spacing w:before="7"/>
        <w:rPr>
          <w:rFonts w:ascii="Avenir Next" w:eastAsia="Avenir Next" w:hAnsi="Avenir Next" w:cs="Avenir Next"/>
          <w:b/>
          <w:bCs/>
          <w:sz w:val="17"/>
          <w:szCs w:val="17"/>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11.2: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13"/>
        <w:gridCol w:w="1240"/>
        <w:gridCol w:w="1240"/>
        <w:gridCol w:w="1240"/>
        <w:gridCol w:w="1240"/>
        <w:gridCol w:w="1240"/>
      </w:tblGrid>
      <w:tr w:rsidR="00D96B91">
        <w:trPr>
          <w:trHeight w:hRule="exact" w:val="407"/>
        </w:trPr>
        <w:tc>
          <w:tcPr>
            <w:tcW w:w="32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Controllable</w:t>
            </w:r>
            <w:r>
              <w:rPr>
                <w:rFonts w:ascii="Avenir Next Condensed"/>
                <w:sz w:val="18"/>
              </w:rPr>
              <w:t xml:space="preserve">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3"/>
              <w:rPr>
                <w:rFonts w:ascii="Avenir Next Condensed" w:eastAsia="Avenir Next Condensed" w:hAnsi="Avenir Next Condensed" w:cs="Avenir Next Condensed"/>
                <w:sz w:val="18"/>
                <w:szCs w:val="18"/>
              </w:rPr>
            </w:pPr>
            <w:r>
              <w:rPr>
                <w:rFonts w:ascii="Avenir Next Condensed"/>
                <w:sz w:val="18"/>
              </w:rPr>
              <w:t>67.70</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3"/>
              <w:rPr>
                <w:rFonts w:ascii="Avenir Next Condensed" w:eastAsia="Avenir Next Condensed" w:hAnsi="Avenir Next Condensed" w:cs="Avenir Next Condensed"/>
                <w:sz w:val="18"/>
                <w:szCs w:val="18"/>
              </w:rPr>
            </w:pPr>
            <w:r>
              <w:rPr>
                <w:rFonts w:ascii="Avenir Next Condensed"/>
                <w:sz w:val="18"/>
              </w:rPr>
              <w:t>69.29</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3"/>
              <w:rPr>
                <w:rFonts w:ascii="Avenir Next Condensed" w:eastAsia="Avenir Next Condensed" w:hAnsi="Avenir Next Condensed" w:cs="Avenir Next Condensed"/>
                <w:sz w:val="18"/>
                <w:szCs w:val="18"/>
              </w:rPr>
            </w:pPr>
            <w:r>
              <w:rPr>
                <w:rFonts w:ascii="Avenir Next Condensed"/>
                <w:sz w:val="18"/>
              </w:rPr>
              <w:t>70.64</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4"/>
              <w:rPr>
                <w:rFonts w:ascii="Avenir Next Condensed" w:eastAsia="Avenir Next Condensed" w:hAnsi="Avenir Next Condensed" w:cs="Avenir Next Condensed"/>
                <w:sz w:val="18"/>
                <w:szCs w:val="18"/>
              </w:rPr>
            </w:pPr>
            <w:r>
              <w:rPr>
                <w:rFonts w:ascii="Avenir Next Condensed"/>
                <w:sz w:val="18"/>
              </w:rPr>
              <w:t>73.33</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4"/>
              <w:rPr>
                <w:rFonts w:ascii="Avenir Next Condensed" w:eastAsia="Avenir Next Condensed" w:hAnsi="Avenir Next Condensed" w:cs="Avenir Next Condensed"/>
                <w:sz w:val="18"/>
                <w:szCs w:val="18"/>
              </w:rPr>
            </w:pPr>
            <w:r>
              <w:rPr>
                <w:rFonts w:ascii="Avenir Next Condensed"/>
                <w:sz w:val="18"/>
              </w:rPr>
              <w:t>76.27</w:t>
            </w:r>
          </w:p>
        </w:tc>
      </w:tr>
      <w:tr w:rsidR="00D96B91">
        <w:trPr>
          <w:trHeight w:hRule="exact" w:val="417"/>
        </w:trPr>
        <w:tc>
          <w:tcPr>
            <w:tcW w:w="321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3.39</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3.72</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3.89</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4.07</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4.25</w:t>
            </w:r>
          </w:p>
        </w:tc>
      </w:tr>
      <w:tr w:rsidR="00D96B91">
        <w:trPr>
          <w:trHeight w:hRule="exact" w:val="407"/>
        </w:trPr>
        <w:tc>
          <w:tcPr>
            <w:tcW w:w="321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7"/>
              <w:rPr>
                <w:rFonts w:ascii="Avenir Next Condensed" w:eastAsia="Avenir Next Condensed" w:hAnsi="Avenir Next Condensed" w:cs="Avenir Next Condensed"/>
                <w:sz w:val="18"/>
                <w:szCs w:val="18"/>
              </w:rPr>
            </w:pPr>
            <w:r>
              <w:rPr>
                <w:rFonts w:ascii="Avenir Next Condensed"/>
                <w:b/>
                <w:sz w:val="18"/>
              </w:rPr>
              <w:t>71.09</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7"/>
              <w:rPr>
                <w:rFonts w:ascii="Avenir Next Condensed" w:eastAsia="Avenir Next Condensed" w:hAnsi="Avenir Next Condensed" w:cs="Avenir Next Condensed"/>
                <w:sz w:val="18"/>
                <w:szCs w:val="18"/>
              </w:rPr>
            </w:pPr>
            <w:r>
              <w:rPr>
                <w:rFonts w:ascii="Avenir Next Condensed"/>
                <w:b/>
                <w:sz w:val="18"/>
              </w:rPr>
              <w:t>73.01</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7"/>
              <w:rPr>
                <w:rFonts w:ascii="Avenir Next Condensed" w:eastAsia="Avenir Next Condensed" w:hAnsi="Avenir Next Condensed" w:cs="Avenir Next Condensed"/>
                <w:sz w:val="18"/>
                <w:szCs w:val="18"/>
              </w:rPr>
            </w:pPr>
            <w:r>
              <w:rPr>
                <w:rFonts w:ascii="Avenir Next Condensed"/>
                <w:b/>
                <w:sz w:val="18"/>
              </w:rPr>
              <w:t>74.53</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7"/>
              <w:rPr>
                <w:rFonts w:ascii="Avenir Next Condensed" w:eastAsia="Avenir Next Condensed" w:hAnsi="Avenir Next Condensed" w:cs="Avenir Next Condensed"/>
                <w:sz w:val="18"/>
                <w:szCs w:val="18"/>
              </w:rPr>
            </w:pPr>
            <w:r>
              <w:rPr>
                <w:rFonts w:ascii="Avenir Next Condensed"/>
                <w:b/>
                <w:sz w:val="18"/>
              </w:rPr>
              <w:t>77.40</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7"/>
              <w:rPr>
                <w:rFonts w:ascii="Avenir Next Condensed" w:eastAsia="Avenir Next Condensed" w:hAnsi="Avenir Next Condensed" w:cs="Avenir Next Condensed"/>
                <w:sz w:val="18"/>
                <w:szCs w:val="18"/>
              </w:rPr>
            </w:pPr>
            <w:r>
              <w:rPr>
                <w:rFonts w:ascii="Avenir Next Condensed"/>
                <w:b/>
                <w:sz w:val="18"/>
              </w:rPr>
              <w:t>80.52</w:t>
            </w:r>
          </w:p>
        </w:tc>
      </w:tr>
    </w:tbl>
    <w:p w:rsidR="00D96B91" w:rsidRDefault="00D96B91">
      <w:pPr>
        <w:spacing w:before="13"/>
        <w:rPr>
          <w:rFonts w:ascii="Avenir Next" w:eastAsia="Avenir Next" w:hAnsi="Avenir Next" w:cs="Avenir Next"/>
          <w:b/>
          <w:bCs/>
          <w:sz w:val="18"/>
          <w:szCs w:val="18"/>
        </w:rPr>
      </w:pPr>
    </w:p>
    <w:p w:rsidR="00D96B91" w:rsidRDefault="00C2656B">
      <w:pPr>
        <w:pStyle w:val="BodyText"/>
        <w:spacing w:before="46"/>
        <w:rPr>
          <w:rFonts w:cs="Avenir Next"/>
        </w:rPr>
      </w:pPr>
      <w:r>
        <w:t>In making this decision,</w:t>
      </w:r>
      <w:r>
        <w:rPr>
          <w:spacing w:val="-6"/>
        </w:rPr>
        <w:t xml:space="preserve"> </w:t>
      </w:r>
      <w:r>
        <w:t xml:space="preserve">the </w:t>
      </w:r>
      <w:r>
        <w:rPr>
          <w:spacing w:val="-3"/>
        </w:rPr>
        <w:t>Panel:</w:t>
      </w:r>
    </w:p>
    <w:p w:rsidR="00D96B91" w:rsidRDefault="00C2656B">
      <w:pPr>
        <w:pStyle w:val="BodyText"/>
        <w:numPr>
          <w:ilvl w:val="0"/>
          <w:numId w:val="131"/>
        </w:numPr>
        <w:tabs>
          <w:tab w:val="left" w:pos="1531"/>
        </w:tabs>
        <w:spacing w:before="149" w:line="260" w:lineRule="exact"/>
        <w:ind w:right="1346" w:hanging="283"/>
        <w:jc w:val="both"/>
      </w:pPr>
      <w:r>
        <w:t>Accepted</w:t>
      </w:r>
      <w:r>
        <w:rPr>
          <w:spacing w:val="-5"/>
        </w:rPr>
        <w:t xml:space="preserve"> </w:t>
      </w:r>
      <w:r>
        <w:rPr>
          <w:spacing w:val="-2"/>
        </w:rPr>
        <w:t>ACTEW’s</w:t>
      </w:r>
      <w:r>
        <w:t xml:space="preserve"> </w:t>
      </w:r>
      <w:r>
        <w:rPr>
          <w:spacing w:val="-1"/>
        </w:rPr>
        <w:t>forecast controllable</w:t>
      </w:r>
      <w:r>
        <w:t xml:space="preserve"> </w:t>
      </w:r>
      <w:r>
        <w:rPr>
          <w:spacing w:val="-1"/>
        </w:rPr>
        <w:t>operating</w:t>
      </w:r>
      <w:r>
        <w:t xml:space="preserve"> </w:t>
      </w:r>
      <w:r>
        <w:rPr>
          <w:spacing w:val="-1"/>
        </w:rPr>
        <w:t>expenditure,</w:t>
      </w:r>
      <w:r>
        <w:rPr>
          <w:spacing w:val="-7"/>
        </w:rPr>
        <w:t xml:space="preserve"> </w:t>
      </w:r>
      <w:r>
        <w:t>but adjusted</w:t>
      </w:r>
      <w:r>
        <w:rPr>
          <w:spacing w:val="-1"/>
        </w:rPr>
        <w:t xml:space="preserve"> </w:t>
      </w:r>
      <w:r>
        <w:t xml:space="preserve">it to </w:t>
      </w:r>
      <w:r>
        <w:rPr>
          <w:spacing w:val="-1"/>
        </w:rPr>
        <w:t xml:space="preserve">reflect </w:t>
      </w:r>
      <w:r>
        <w:t xml:space="preserve">the </w:t>
      </w:r>
      <w:r>
        <w:rPr>
          <w:spacing w:val="-2"/>
        </w:rPr>
        <w:t>ICRC’s</w:t>
      </w:r>
      <w:r>
        <w:rPr>
          <w:spacing w:val="57"/>
        </w:rPr>
        <w:t xml:space="preserve"> </w:t>
      </w:r>
      <w:r>
        <w:rPr>
          <w:rFonts w:cs="Avenir Next"/>
          <w:spacing w:val="-1"/>
        </w:rPr>
        <w:t>approach</w:t>
      </w:r>
      <w:r>
        <w:rPr>
          <w:rFonts w:cs="Avenir Next"/>
        </w:rPr>
        <w:t xml:space="preserve"> to </w:t>
      </w:r>
      <w:r>
        <w:rPr>
          <w:rFonts w:cs="Avenir Next"/>
          <w:spacing w:val="-1"/>
        </w:rPr>
        <w:t>treating</w:t>
      </w:r>
      <w:r>
        <w:rPr>
          <w:rFonts w:cs="Avenir Next"/>
        </w:rPr>
        <w:t xml:space="preserve"> the costs </w:t>
      </w:r>
      <w:r>
        <w:rPr>
          <w:rFonts w:cs="Avenir Next"/>
          <w:spacing w:val="-1"/>
        </w:rPr>
        <w:t>associated</w:t>
      </w:r>
      <w:r>
        <w:rPr>
          <w:rFonts w:cs="Avenir Next"/>
        </w:rPr>
        <w:t xml:space="preserve"> with the </w:t>
      </w:r>
      <w:r>
        <w:rPr>
          <w:rFonts w:cs="Avenir Next"/>
          <w:spacing w:val="-1"/>
        </w:rPr>
        <w:t>Uriarra</w:t>
      </w:r>
      <w:r>
        <w:rPr>
          <w:rFonts w:cs="Avenir Next"/>
          <w:spacing w:val="-4"/>
        </w:rPr>
        <w:t xml:space="preserve"> </w:t>
      </w:r>
      <w:r>
        <w:rPr>
          <w:rFonts w:cs="Avenir Next"/>
          <w:spacing w:val="-1"/>
        </w:rPr>
        <w:t>Village</w:t>
      </w:r>
      <w:r>
        <w:rPr>
          <w:rFonts w:cs="Avenir Next"/>
        </w:rPr>
        <w:t xml:space="preserve"> </w:t>
      </w:r>
      <w:r>
        <w:rPr>
          <w:rFonts w:cs="Avenir Next"/>
          <w:spacing w:val="-1"/>
        </w:rPr>
        <w:t>sewerage</w:t>
      </w:r>
      <w:r>
        <w:rPr>
          <w:rFonts w:cs="Avenir Next"/>
        </w:rPr>
        <w:t xml:space="preserve"> </w:t>
      </w:r>
      <w:r>
        <w:rPr>
          <w:rFonts w:cs="Avenir Next"/>
          <w:spacing w:val="-1"/>
        </w:rPr>
        <w:t>project</w:t>
      </w:r>
      <w:r>
        <w:rPr>
          <w:rFonts w:cs="Avenir Next"/>
        </w:rPr>
        <w:t xml:space="preserve"> and the </w:t>
      </w:r>
      <w:r>
        <w:rPr>
          <w:rFonts w:cs="Avenir Next"/>
          <w:spacing w:val="-1"/>
        </w:rPr>
        <w:t>removal</w:t>
      </w:r>
      <w:r>
        <w:rPr>
          <w:rFonts w:cs="Avenir Next"/>
          <w:spacing w:val="59"/>
        </w:rPr>
        <w:t xml:space="preserve"> </w:t>
      </w:r>
      <w:r>
        <w:t>of</w:t>
      </w:r>
      <w:r>
        <w:rPr>
          <w:spacing w:val="4"/>
        </w:rPr>
        <w:t xml:space="preserve"> </w:t>
      </w:r>
      <w:r>
        <w:t>carbon costs.</w:t>
      </w:r>
    </w:p>
    <w:p w:rsidR="00D96B91" w:rsidRDefault="00C2656B">
      <w:pPr>
        <w:pStyle w:val="BodyText"/>
        <w:numPr>
          <w:ilvl w:val="0"/>
          <w:numId w:val="131"/>
        </w:numPr>
        <w:tabs>
          <w:tab w:val="left" w:pos="1531"/>
        </w:tabs>
        <w:spacing w:before="93"/>
        <w:ind w:hanging="283"/>
        <w:rPr>
          <w:rFonts w:cs="Avenir Next"/>
        </w:rPr>
      </w:pPr>
      <w:r>
        <w:t xml:space="preserve">In </w:t>
      </w:r>
      <w:r>
        <w:rPr>
          <w:spacing w:val="-1"/>
        </w:rPr>
        <w:t>relation</w:t>
      </w:r>
      <w:r>
        <w:t xml:space="preserve"> to</w:t>
      </w:r>
      <w:r>
        <w:rPr>
          <w:spacing w:val="-3"/>
        </w:rPr>
        <w:t xml:space="preserve"> </w:t>
      </w:r>
      <w:r>
        <w:rPr>
          <w:spacing w:val="-2"/>
        </w:rPr>
        <w:t>WAC,</w:t>
      </w:r>
      <w:r>
        <w:rPr>
          <w:spacing w:val="-6"/>
        </w:rPr>
        <w:t xml:space="preserve"> </w:t>
      </w:r>
      <w:r>
        <w:t>decided to:</w:t>
      </w:r>
    </w:p>
    <w:p w:rsidR="00D96B91" w:rsidRDefault="00C2656B">
      <w:pPr>
        <w:pStyle w:val="BodyText"/>
        <w:numPr>
          <w:ilvl w:val="1"/>
          <w:numId w:val="131"/>
        </w:numPr>
        <w:tabs>
          <w:tab w:val="left" w:pos="1815"/>
        </w:tabs>
        <w:spacing w:before="64" w:line="260" w:lineRule="exact"/>
        <w:ind w:right="1429"/>
      </w:pPr>
      <w:r>
        <w:rPr>
          <w:spacing w:val="-1"/>
        </w:rPr>
        <w:t>take</w:t>
      </w:r>
      <w:r>
        <w:t xml:space="preserve"> into account the higher dam </w:t>
      </w:r>
      <w:r>
        <w:rPr>
          <w:spacing w:val="-1"/>
        </w:rPr>
        <w:t>release</w:t>
      </w:r>
      <w:r>
        <w:t xml:space="preserve"> </w:t>
      </w:r>
      <w:r>
        <w:rPr>
          <w:spacing w:val="-1"/>
        </w:rPr>
        <w:t>forecast</w:t>
      </w:r>
      <w:r>
        <w:t xml:space="preserve"> </w:t>
      </w:r>
      <w:r>
        <w:rPr>
          <w:spacing w:val="-1"/>
        </w:rPr>
        <w:t>associated</w:t>
      </w:r>
      <w:r>
        <w:t xml:space="preserve"> with its higher </w:t>
      </w:r>
      <w:r>
        <w:rPr>
          <w:spacing w:val="-1"/>
        </w:rPr>
        <w:t>water</w:t>
      </w:r>
      <w:r>
        <w:t xml:space="preserve"> sales </w:t>
      </w:r>
      <w:r>
        <w:rPr>
          <w:spacing w:val="-1"/>
        </w:rPr>
        <w:t>forecast</w:t>
      </w:r>
      <w:r>
        <w:rPr>
          <w:spacing w:val="39"/>
        </w:rPr>
        <w:t xml:space="preserve"> </w:t>
      </w:r>
      <w:r>
        <w:t>(see Chapter 12),</w:t>
      </w:r>
      <w:r>
        <w:rPr>
          <w:spacing w:val="-7"/>
        </w:rPr>
        <w:t xml:space="preserve"> </w:t>
      </w:r>
      <w:r>
        <w:t>and</w:t>
      </w:r>
    </w:p>
    <w:p w:rsidR="00D96B91" w:rsidRDefault="00C2656B">
      <w:pPr>
        <w:pStyle w:val="BodyText"/>
        <w:numPr>
          <w:ilvl w:val="1"/>
          <w:numId w:val="131"/>
        </w:numPr>
        <w:tabs>
          <w:tab w:val="left" w:pos="1815"/>
        </w:tabs>
        <w:spacing w:before="93"/>
      </w:pPr>
      <w:r>
        <w:t>use the actual 2014-15</w:t>
      </w:r>
      <w:r>
        <w:rPr>
          <w:spacing w:val="-3"/>
        </w:rPr>
        <w:t xml:space="preserve"> WAC</w:t>
      </w:r>
      <w:r>
        <w:t xml:space="preserve"> </w:t>
      </w:r>
      <w:r>
        <w:rPr>
          <w:spacing w:val="-2"/>
        </w:rPr>
        <w:t>rate</w:t>
      </w:r>
      <w:r>
        <w:t xml:space="preserve"> when </w:t>
      </w:r>
      <w:r>
        <w:rPr>
          <w:spacing w:val="-1"/>
        </w:rPr>
        <w:t>calculating</w:t>
      </w:r>
      <w:r>
        <w:t xml:space="preserve"> </w:t>
      </w:r>
      <w:r>
        <w:rPr>
          <w:spacing w:val="-1"/>
        </w:rPr>
        <w:t>charges</w:t>
      </w:r>
      <w:r>
        <w:t xml:space="preserve"> </w:t>
      </w:r>
      <w:r>
        <w:rPr>
          <w:spacing w:val="-1"/>
        </w:rPr>
        <w:t>from</w:t>
      </w:r>
      <w:r>
        <w:t xml:space="preserve"> 2014-15 </w:t>
      </w:r>
      <w:r>
        <w:rPr>
          <w:spacing w:val="-1"/>
        </w:rPr>
        <w:t>onwards.</w:t>
      </w:r>
    </w:p>
    <w:p w:rsidR="00D96B91" w:rsidRDefault="00C2656B">
      <w:pPr>
        <w:pStyle w:val="BodyText"/>
        <w:numPr>
          <w:ilvl w:val="0"/>
          <w:numId w:val="131"/>
        </w:numPr>
        <w:tabs>
          <w:tab w:val="left" w:pos="1531"/>
        </w:tabs>
        <w:spacing w:before="72"/>
        <w:ind w:hanging="283"/>
      </w:pPr>
      <w:r>
        <w:t>Accepted</w:t>
      </w:r>
      <w:r>
        <w:rPr>
          <w:spacing w:val="-5"/>
        </w:rPr>
        <w:t xml:space="preserve"> </w:t>
      </w:r>
      <w:r>
        <w:rPr>
          <w:spacing w:val="-2"/>
        </w:rPr>
        <w:t>ACTEW’s</w:t>
      </w:r>
      <w:r>
        <w:t xml:space="preserve"> </w:t>
      </w:r>
      <w:r>
        <w:rPr>
          <w:spacing w:val="-1"/>
        </w:rPr>
        <w:t xml:space="preserve">forecast </w:t>
      </w:r>
      <w:r>
        <w:rPr>
          <w:spacing w:val="-4"/>
        </w:rPr>
        <w:t>UNFT,</w:t>
      </w:r>
      <w:r>
        <w:rPr>
          <w:spacing w:val="-6"/>
        </w:rPr>
        <w:t xml:space="preserve"> </w:t>
      </w:r>
      <w:r>
        <w:t>which,</w:t>
      </w:r>
      <w:r>
        <w:rPr>
          <w:spacing w:val="-7"/>
        </w:rPr>
        <w:t xml:space="preserve"> </w:t>
      </w:r>
      <w:r>
        <w:rPr>
          <w:spacing w:val="-1"/>
        </w:rPr>
        <w:t>from</w:t>
      </w:r>
      <w:r>
        <w:t xml:space="preserve"> 2014-15,</w:t>
      </w:r>
      <w:r>
        <w:rPr>
          <w:spacing w:val="-7"/>
        </w:rPr>
        <w:t xml:space="preserve"> </w:t>
      </w:r>
      <w:r>
        <w:rPr>
          <w:spacing w:val="-1"/>
        </w:rPr>
        <w:t>reflects</w:t>
      </w:r>
      <w:r>
        <w:t xml:space="preserve"> the</w:t>
      </w:r>
      <w:r>
        <w:rPr>
          <w:spacing w:val="-1"/>
        </w:rPr>
        <w:t xml:space="preserve"> </w:t>
      </w:r>
      <w:r>
        <w:t>actual 2014-15</w:t>
      </w:r>
      <w:r>
        <w:rPr>
          <w:spacing w:val="-1"/>
        </w:rPr>
        <w:t xml:space="preserve"> </w:t>
      </w:r>
      <w:r>
        <w:t>UNFT</w:t>
      </w:r>
      <w:r>
        <w:rPr>
          <w:spacing w:val="-5"/>
        </w:rPr>
        <w:t xml:space="preserve"> </w:t>
      </w:r>
      <w:r>
        <w:rPr>
          <w:spacing w:val="-1"/>
        </w:rPr>
        <w:t>rate.</w:t>
      </w:r>
    </w:p>
    <w:p w:rsidR="00D96B91" w:rsidRDefault="00D96B91">
      <w:pPr>
        <w:sectPr w:rsidR="00D96B91">
          <w:footerReference w:type="even" r:id="rId73"/>
          <w:footerReference w:type="default" r:id="rId74"/>
          <w:pgSz w:w="11910" w:h="16840"/>
          <w:pgMar w:top="1260" w:right="0" w:bottom="1020" w:left="0" w:header="0" w:footer="829" w:gutter="0"/>
          <w:cols w:space="720"/>
        </w:sectPr>
      </w:pPr>
    </w:p>
    <w:p w:rsidR="00D96B91" w:rsidRDefault="00C2656B">
      <w:pPr>
        <w:pStyle w:val="Heading4"/>
        <w:spacing w:before="9"/>
      </w:pPr>
      <w:bookmarkStart w:id="150" w:name="11._2_Controllable_operating_expenditure"/>
      <w:bookmarkStart w:id="151" w:name="_bookmark94"/>
      <w:bookmarkEnd w:id="150"/>
      <w:bookmarkEnd w:id="151"/>
      <w:r>
        <w:rPr>
          <w:color w:val="0778BE"/>
        </w:rPr>
        <w:t>11.</w:t>
      </w:r>
      <w:r>
        <w:rPr>
          <w:color w:val="0778BE"/>
          <w:spacing w:val="-9"/>
        </w:rPr>
        <w:t xml:space="preserve"> </w:t>
      </w:r>
      <w:r>
        <w:rPr>
          <w:color w:val="0778BE"/>
        </w:rPr>
        <w:t>2</w:t>
      </w:r>
      <w:r>
        <w:rPr>
          <w:color w:val="0778BE"/>
          <w:spacing w:val="39"/>
        </w:rPr>
        <w:t xml:space="preserve"> </w:t>
      </w:r>
      <w:r>
        <w:rPr>
          <w:color w:val="0778BE"/>
          <w:spacing w:val="-1"/>
        </w:rPr>
        <w:t>Controllable</w:t>
      </w:r>
      <w:r>
        <w:rPr>
          <w:color w:val="0778BE"/>
        </w:rPr>
        <w:t xml:space="preserve"> </w:t>
      </w:r>
      <w:r>
        <w:rPr>
          <w:color w:val="0778BE"/>
          <w:spacing w:val="-1"/>
        </w:rPr>
        <w:t>operating</w:t>
      </w:r>
      <w:r>
        <w:rPr>
          <w:color w:val="0778BE"/>
        </w:rPr>
        <w:t xml:space="preserve"> </w:t>
      </w:r>
      <w:r>
        <w:rPr>
          <w:color w:val="0778BE"/>
          <w:spacing w:val="-1"/>
        </w:rPr>
        <w:t>expenditure</w:t>
      </w:r>
    </w:p>
    <w:p w:rsidR="00D96B91" w:rsidRDefault="00C2656B">
      <w:pPr>
        <w:pStyle w:val="BodyText"/>
        <w:spacing w:before="55" w:line="260" w:lineRule="exact"/>
        <w:ind w:right="1283"/>
      </w:pPr>
      <w:r>
        <w:t>As</w:t>
      </w:r>
      <w:r>
        <w:rPr>
          <w:spacing w:val="-1"/>
        </w:rPr>
        <w:t xml:space="preserve"> </w:t>
      </w:r>
      <w:r>
        <w:t>noted</w:t>
      </w:r>
      <w:r>
        <w:rPr>
          <w:spacing w:val="-1"/>
        </w:rPr>
        <w:t xml:space="preserve"> </w:t>
      </w:r>
      <w:r>
        <w:t>above,</w:t>
      </w:r>
      <w:r>
        <w:rPr>
          <w:spacing w:val="-6"/>
        </w:rPr>
        <w:t xml:space="preserve"> </w:t>
      </w:r>
      <w:r>
        <w:rPr>
          <w:spacing w:val="-1"/>
        </w:rPr>
        <w:t>controllable</w:t>
      </w:r>
      <w:r>
        <w:t xml:space="preserve"> </w:t>
      </w:r>
      <w:r>
        <w:rPr>
          <w:spacing w:val="-1"/>
        </w:rPr>
        <w:t xml:space="preserve">operating expenditure </w:t>
      </w:r>
      <w:r>
        <w:t>includes the</w:t>
      </w:r>
      <w:r>
        <w:rPr>
          <w:spacing w:val="-1"/>
        </w:rPr>
        <w:t xml:space="preserve"> efficient</w:t>
      </w:r>
      <w:r>
        <w:t xml:space="preserve"> </w:t>
      </w:r>
      <w:r>
        <w:rPr>
          <w:spacing w:val="-1"/>
        </w:rPr>
        <w:t>operating,</w:t>
      </w:r>
      <w:r>
        <w:rPr>
          <w:spacing w:val="-6"/>
        </w:rPr>
        <w:t xml:space="preserve"> </w:t>
      </w:r>
      <w:r>
        <w:t>maintenance</w:t>
      </w:r>
      <w:r>
        <w:rPr>
          <w:spacing w:val="-1"/>
        </w:rPr>
        <w:t xml:space="preserve"> </w:t>
      </w:r>
      <w:r>
        <w:t>and</w:t>
      </w:r>
      <w:r>
        <w:rPr>
          <w:spacing w:val="55"/>
        </w:rPr>
        <w:t xml:space="preserve"> </w:t>
      </w:r>
      <w:r>
        <w:rPr>
          <w:spacing w:val="-1"/>
        </w:rPr>
        <w:t>administration</w:t>
      </w:r>
      <w:r>
        <w:t xml:space="preserve"> costs</w:t>
      </w:r>
      <w:r>
        <w:rPr>
          <w:spacing w:val="-4"/>
        </w:rPr>
        <w:t xml:space="preserve"> </w:t>
      </w:r>
      <w:r>
        <w:rPr>
          <w:spacing w:val="-2"/>
        </w:rPr>
        <w:t>ACTEW</w:t>
      </w:r>
      <w:r>
        <w:rPr>
          <w:spacing w:val="-3"/>
        </w:rPr>
        <w:t xml:space="preserve"> </w:t>
      </w:r>
      <w:r>
        <w:t xml:space="preserve">incurs in delivering its </w:t>
      </w:r>
      <w:r>
        <w:rPr>
          <w:spacing w:val="-1"/>
        </w:rPr>
        <w:t>regulated</w:t>
      </w:r>
      <w:r>
        <w:t xml:space="preserve"> services.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0"/>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21" w:line="260" w:lineRule="exact"/>
        <w:ind w:right="1732"/>
        <w:rPr>
          <w:sz w:val="11"/>
          <w:szCs w:val="11"/>
        </w:rPr>
      </w:pPr>
      <w:r>
        <w:rPr>
          <w:spacing w:val="-2"/>
        </w:rPr>
        <w:t>The</w:t>
      </w:r>
      <w:r>
        <w:rPr>
          <w:spacing w:val="-1"/>
        </w:rPr>
        <w:t xml:space="preserve"> </w:t>
      </w:r>
      <w:r>
        <w:rPr>
          <w:spacing w:val="-2"/>
        </w:rPr>
        <w:t>ICRC’s</w:t>
      </w:r>
      <w:r>
        <w:t xml:space="preserve"> final decision</w:t>
      </w:r>
      <w:r>
        <w:rPr>
          <w:spacing w:val="-1"/>
        </w:rPr>
        <w:t xml:space="preserve"> </w:t>
      </w:r>
      <w:r>
        <w:t>on</w:t>
      </w:r>
      <w:r>
        <w:rPr>
          <w:spacing w:val="-4"/>
        </w:rPr>
        <w:t xml:space="preserve"> </w:t>
      </w:r>
      <w:r>
        <w:rPr>
          <w:spacing w:val="-2"/>
        </w:rPr>
        <w:t>ACTEW’s</w:t>
      </w:r>
      <w:r>
        <w:t xml:space="preserve"> </w:t>
      </w:r>
      <w:r>
        <w:rPr>
          <w:spacing w:val="-1"/>
        </w:rPr>
        <w:t>forecast controllable</w:t>
      </w:r>
      <w:r>
        <w:t xml:space="preserve"> </w:t>
      </w:r>
      <w:r>
        <w:rPr>
          <w:spacing w:val="-1"/>
        </w:rPr>
        <w:t>operating</w:t>
      </w:r>
      <w:r>
        <w:t xml:space="preserve"> </w:t>
      </w:r>
      <w:r>
        <w:rPr>
          <w:spacing w:val="-1"/>
        </w:rPr>
        <w:t xml:space="preserve">expenditure </w:t>
      </w:r>
      <w:r>
        <w:t>for 2013-14 and</w:t>
      </w:r>
      <w:r>
        <w:rPr>
          <w:spacing w:val="53"/>
        </w:rPr>
        <w:t xml:space="preserve"> </w:t>
      </w:r>
      <w:r>
        <w:t>2014-15</w:t>
      </w:r>
      <w:r>
        <w:rPr>
          <w:spacing w:val="2"/>
        </w:rPr>
        <w:t xml:space="preserve"> </w:t>
      </w:r>
      <w:r>
        <w:t>is</w:t>
      </w:r>
      <w:r>
        <w:rPr>
          <w:spacing w:val="2"/>
        </w:rPr>
        <w:t xml:space="preserve"> </w:t>
      </w:r>
      <w:r>
        <w:t>set</w:t>
      </w:r>
      <w:r>
        <w:rPr>
          <w:spacing w:val="3"/>
        </w:rPr>
        <w:t xml:space="preserve"> </w:t>
      </w:r>
      <w:r>
        <w:t>out</w:t>
      </w:r>
      <w:r>
        <w:rPr>
          <w:spacing w:val="2"/>
        </w:rPr>
        <w:t xml:space="preserve"> </w:t>
      </w:r>
      <w:r>
        <w:rPr>
          <w:spacing w:val="-1"/>
        </w:rPr>
        <w:t>below.</w:t>
      </w:r>
      <w:r>
        <w:rPr>
          <w:spacing w:val="-1"/>
          <w:position w:val="7"/>
          <w:sz w:val="11"/>
          <w:szCs w:val="11"/>
        </w:rPr>
        <w:t>177</w:t>
      </w:r>
    </w:p>
    <w:p w:rsidR="00D96B91" w:rsidRDefault="00C2656B">
      <w:pPr>
        <w:spacing w:before="158"/>
        <w:ind w:left="1247"/>
        <w:rPr>
          <w:rFonts w:ascii="Avenir Next" w:eastAsia="Avenir Next" w:hAnsi="Avenir Next" w:cs="Avenir Next"/>
          <w:sz w:val="20"/>
          <w:szCs w:val="20"/>
        </w:rPr>
      </w:pPr>
      <w:bookmarkStart w:id="152" w:name="_bookmark95"/>
      <w:bookmarkEnd w:id="152"/>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11.3: ICRC final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3841"/>
        <w:gridCol w:w="1390"/>
        <w:gridCol w:w="1390"/>
        <w:gridCol w:w="1390"/>
        <w:gridCol w:w="1390"/>
      </w:tblGrid>
      <w:tr w:rsidR="00D96B91">
        <w:trPr>
          <w:trHeight w:hRule="exact" w:val="407"/>
        </w:trPr>
        <w:tc>
          <w:tcPr>
            <w:tcW w:w="3841"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2780"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Water</w:t>
            </w:r>
          </w:p>
        </w:tc>
        <w:tc>
          <w:tcPr>
            <w:tcW w:w="2780"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Sewerage</w:t>
            </w:r>
          </w:p>
        </w:tc>
      </w:tr>
      <w:tr w:rsidR="00D96B91">
        <w:trPr>
          <w:trHeight w:hRule="exact" w:val="407"/>
        </w:trPr>
        <w:tc>
          <w:tcPr>
            <w:tcW w:w="3841" w:type="dxa"/>
            <w:vMerge/>
            <w:tcBorders>
              <w:left w:val="single" w:sz="4" w:space="0" w:color="1A9EDA"/>
              <w:bottom w:val="single" w:sz="4" w:space="0" w:color="1A9EDA"/>
              <w:right w:val="single" w:sz="4" w:space="0" w:color="1A9EDA"/>
            </w:tcBorders>
            <w:shd w:val="clear" w:color="auto" w:fill="0778BE"/>
          </w:tcPr>
          <w:p w:rsidR="00D96B91" w:rsidRDefault="00D96B91"/>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98"/>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trPr>
          <w:trHeight w:hRule="exact" w:val="407"/>
        </w:trPr>
        <w:tc>
          <w:tcPr>
            <w:tcW w:w="384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Controllable</w:t>
            </w:r>
            <w:r>
              <w:rPr>
                <w:rFonts w:ascii="Avenir Next Condensed"/>
                <w:sz w:val="18"/>
              </w:rPr>
              <w:t xml:space="preserve">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62.75</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66.15</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67.70</w:t>
            </w:r>
          </w:p>
        </w:tc>
        <w:tc>
          <w:tcPr>
            <w:tcW w:w="1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69.29</w:t>
            </w:r>
          </w:p>
        </w:tc>
      </w:tr>
      <w:tr w:rsidR="00D96B91">
        <w:trPr>
          <w:trHeight w:hRule="exact" w:val="407"/>
        </w:trPr>
        <w:tc>
          <w:tcPr>
            <w:tcW w:w="38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3"/>
                <w:sz w:val="18"/>
              </w:rPr>
              <w:t>WAC</w:t>
            </w:r>
          </w:p>
        </w:tc>
        <w:tc>
          <w:tcPr>
            <w:tcW w:w="1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22.68</w:t>
            </w:r>
          </w:p>
        </w:tc>
        <w:tc>
          <w:tcPr>
            <w:tcW w:w="1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3"/>
              <w:rPr>
                <w:rFonts w:ascii="Avenir Next Condensed" w:eastAsia="Avenir Next Condensed" w:hAnsi="Avenir Next Condensed" w:cs="Avenir Next Condensed"/>
                <w:sz w:val="18"/>
                <w:szCs w:val="18"/>
              </w:rPr>
            </w:pPr>
            <w:r>
              <w:rPr>
                <w:rFonts w:ascii="Avenir Next Condensed"/>
                <w:sz w:val="18"/>
              </w:rPr>
              <w:t>22.68</w:t>
            </w:r>
          </w:p>
        </w:tc>
        <w:tc>
          <w:tcPr>
            <w:tcW w:w="1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0"/>
              <w:rPr>
                <w:rFonts w:ascii="Avenir Next Condensed" w:eastAsia="Avenir Next Condensed" w:hAnsi="Avenir Next Condensed" w:cs="Avenir Next Condensed"/>
                <w:sz w:val="18"/>
                <w:szCs w:val="18"/>
              </w:rPr>
            </w:pPr>
            <w:r>
              <w:rPr>
                <w:rFonts w:ascii="Avenir Next Condensed"/>
                <w:sz w:val="18"/>
              </w:rPr>
              <w:t>-</w:t>
            </w:r>
          </w:p>
        </w:tc>
        <w:tc>
          <w:tcPr>
            <w:tcW w:w="1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90"/>
              <w:rPr>
                <w:rFonts w:ascii="Avenir Next Condensed" w:eastAsia="Avenir Next Condensed" w:hAnsi="Avenir Next Condensed" w:cs="Avenir Next Condensed"/>
                <w:sz w:val="18"/>
                <w:szCs w:val="18"/>
              </w:rPr>
            </w:pPr>
            <w:r>
              <w:rPr>
                <w:rFonts w:ascii="Avenir Next Condensed"/>
                <w:sz w:val="18"/>
              </w:rPr>
              <w:t>-</w:t>
            </w:r>
          </w:p>
        </w:tc>
      </w:tr>
      <w:tr w:rsidR="00D96B91">
        <w:trPr>
          <w:trHeight w:hRule="exact" w:val="407"/>
        </w:trPr>
        <w:tc>
          <w:tcPr>
            <w:tcW w:w="384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638"/>
              <w:rPr>
                <w:rFonts w:ascii="Avenir Next Condensed" w:eastAsia="Avenir Next Condensed" w:hAnsi="Avenir Next Condensed" w:cs="Avenir Next Condensed"/>
                <w:sz w:val="18"/>
                <w:szCs w:val="18"/>
              </w:rPr>
            </w:pPr>
            <w:r>
              <w:rPr>
                <w:rFonts w:ascii="Avenir Next Condensed"/>
                <w:sz w:val="18"/>
              </w:rPr>
              <w:t>4.10</w:t>
            </w:r>
          </w:p>
        </w:tc>
        <w:tc>
          <w:tcPr>
            <w:tcW w:w="1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638"/>
              <w:rPr>
                <w:rFonts w:ascii="Avenir Next Condensed" w:eastAsia="Avenir Next Condensed" w:hAnsi="Avenir Next Condensed" w:cs="Avenir Next Condensed"/>
                <w:sz w:val="18"/>
                <w:szCs w:val="18"/>
              </w:rPr>
            </w:pPr>
            <w:r>
              <w:rPr>
                <w:rFonts w:ascii="Avenir Next Condensed"/>
                <w:sz w:val="18"/>
              </w:rPr>
              <w:t>4.29</w:t>
            </w:r>
          </w:p>
        </w:tc>
        <w:tc>
          <w:tcPr>
            <w:tcW w:w="1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638"/>
              <w:rPr>
                <w:rFonts w:ascii="Avenir Next Condensed" w:eastAsia="Avenir Next Condensed" w:hAnsi="Avenir Next Condensed" w:cs="Avenir Next Condensed"/>
                <w:sz w:val="18"/>
                <w:szCs w:val="18"/>
              </w:rPr>
            </w:pPr>
            <w:r>
              <w:rPr>
                <w:rFonts w:ascii="Avenir Next Condensed"/>
                <w:sz w:val="18"/>
              </w:rPr>
              <w:t>3.39</w:t>
            </w:r>
          </w:p>
        </w:tc>
        <w:tc>
          <w:tcPr>
            <w:tcW w:w="1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638"/>
              <w:rPr>
                <w:rFonts w:ascii="Avenir Next Condensed" w:eastAsia="Avenir Next Condensed" w:hAnsi="Avenir Next Condensed" w:cs="Avenir Next Condensed"/>
                <w:sz w:val="18"/>
                <w:szCs w:val="18"/>
              </w:rPr>
            </w:pPr>
            <w:r>
              <w:rPr>
                <w:rFonts w:ascii="Avenir Next Condensed"/>
                <w:sz w:val="18"/>
              </w:rPr>
              <w:t>3.54</w:t>
            </w:r>
          </w:p>
        </w:tc>
      </w:tr>
      <w:tr w:rsidR="00D96B91">
        <w:trPr>
          <w:trHeight w:hRule="exact" w:val="407"/>
        </w:trPr>
        <w:tc>
          <w:tcPr>
            <w:tcW w:w="384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39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27"/>
              <w:rPr>
                <w:rFonts w:ascii="Avenir Next Condensed" w:eastAsia="Avenir Next Condensed" w:hAnsi="Avenir Next Condensed" w:cs="Avenir Next Condensed"/>
                <w:sz w:val="18"/>
                <w:szCs w:val="18"/>
              </w:rPr>
            </w:pPr>
            <w:r>
              <w:rPr>
                <w:rFonts w:ascii="Avenir Next Condensed"/>
                <w:b/>
                <w:sz w:val="18"/>
              </w:rPr>
              <w:t>89.53</w:t>
            </w:r>
          </w:p>
        </w:tc>
        <w:tc>
          <w:tcPr>
            <w:tcW w:w="139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27"/>
              <w:rPr>
                <w:rFonts w:ascii="Avenir Next Condensed" w:eastAsia="Avenir Next Condensed" w:hAnsi="Avenir Next Condensed" w:cs="Avenir Next Condensed"/>
                <w:sz w:val="18"/>
                <w:szCs w:val="18"/>
              </w:rPr>
            </w:pPr>
            <w:r>
              <w:rPr>
                <w:rFonts w:ascii="Avenir Next Condensed"/>
                <w:b/>
                <w:sz w:val="18"/>
              </w:rPr>
              <w:t>93.12</w:t>
            </w:r>
          </w:p>
        </w:tc>
        <w:tc>
          <w:tcPr>
            <w:tcW w:w="139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27"/>
              <w:rPr>
                <w:rFonts w:ascii="Avenir Next Condensed" w:eastAsia="Avenir Next Condensed" w:hAnsi="Avenir Next Condensed" w:cs="Avenir Next Condensed"/>
                <w:sz w:val="18"/>
                <w:szCs w:val="18"/>
              </w:rPr>
            </w:pPr>
            <w:r>
              <w:rPr>
                <w:rFonts w:ascii="Avenir Next Condensed"/>
                <w:b/>
                <w:sz w:val="18"/>
              </w:rPr>
              <w:t>71.09</w:t>
            </w:r>
          </w:p>
        </w:tc>
        <w:tc>
          <w:tcPr>
            <w:tcW w:w="139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27"/>
              <w:rPr>
                <w:rFonts w:ascii="Avenir Next Condensed" w:eastAsia="Avenir Next Condensed" w:hAnsi="Avenir Next Condensed" w:cs="Avenir Next Condensed"/>
                <w:sz w:val="18"/>
                <w:szCs w:val="18"/>
              </w:rPr>
            </w:pPr>
            <w:r>
              <w:rPr>
                <w:rFonts w:ascii="Avenir Next Condensed"/>
                <w:b/>
                <w:sz w:val="18"/>
              </w:rPr>
              <w:t>72.83</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153.</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356"/>
        <w:rPr>
          <w:rFonts w:cs="Avenir Next"/>
        </w:rPr>
      </w:pPr>
      <w:r>
        <w:t>In making this decision,</w:t>
      </w:r>
      <w:r>
        <w:rPr>
          <w:spacing w:val="-6"/>
        </w:rPr>
        <w:t xml:space="preserve"> </w:t>
      </w:r>
      <w:r>
        <w:t xml:space="preserve">the ICRC accepted the </w:t>
      </w:r>
      <w:r>
        <w:rPr>
          <w:spacing w:val="-1"/>
        </w:rPr>
        <w:t>forecast</w:t>
      </w:r>
      <w:r>
        <w:t xml:space="preserve"> </w:t>
      </w:r>
      <w:r>
        <w:rPr>
          <w:spacing w:val="-1"/>
        </w:rPr>
        <w:t>operating</w:t>
      </w:r>
      <w:r>
        <w:t xml:space="preserve"> </w:t>
      </w:r>
      <w:r>
        <w:rPr>
          <w:spacing w:val="-1"/>
        </w:rPr>
        <w:t>expenditure</w:t>
      </w:r>
      <w:r>
        <w:rPr>
          <w:spacing w:val="-4"/>
        </w:rPr>
        <w:t xml:space="preserve"> </w:t>
      </w:r>
      <w:r>
        <w:rPr>
          <w:spacing w:val="-2"/>
        </w:rPr>
        <w:t>ACTEW</w:t>
      </w:r>
      <w:r>
        <w:rPr>
          <w:spacing w:val="-3"/>
        </w:rPr>
        <w:t xml:space="preserve"> </w:t>
      </w:r>
      <w:r>
        <w:t xml:space="preserve">had </w:t>
      </w:r>
      <w:r>
        <w:rPr>
          <w:spacing w:val="-1"/>
        </w:rPr>
        <w:t>proposed</w:t>
      </w:r>
      <w:r>
        <w:rPr>
          <w:spacing w:val="43"/>
        </w:rPr>
        <w:t xml:space="preserve"> </w:t>
      </w:r>
      <w:r>
        <w:t>in its</w:t>
      </w:r>
      <w:r>
        <w:rPr>
          <w:spacing w:val="-4"/>
        </w:rPr>
        <w:t xml:space="preserve"> </w:t>
      </w:r>
      <w:r>
        <w:t xml:space="preserve">April 2013 submission in </w:t>
      </w:r>
      <w:r>
        <w:rPr>
          <w:spacing w:val="-1"/>
        </w:rPr>
        <w:t>response</w:t>
      </w:r>
      <w:r>
        <w:t xml:space="preserve"> to the </w:t>
      </w:r>
      <w:r>
        <w:rPr>
          <w:spacing w:val="-2"/>
        </w:rPr>
        <w:t>draft</w:t>
      </w:r>
      <w:r>
        <w:t xml:space="preserve"> decision for 2013-14 and 2014-15,</w:t>
      </w:r>
      <w:r>
        <w:rPr>
          <w:spacing w:val="-7"/>
        </w:rPr>
        <w:t xml:space="preserve"> </w:t>
      </w:r>
      <w:r>
        <w:t>subject to the</w:t>
      </w:r>
      <w:r>
        <w:rPr>
          <w:spacing w:val="29"/>
        </w:rPr>
        <w:t xml:space="preserve"> </w:t>
      </w:r>
      <w:r>
        <w:t>following adjustments:</w:t>
      </w:r>
    </w:p>
    <w:p w:rsidR="00D96B91" w:rsidRDefault="00C2656B">
      <w:pPr>
        <w:pStyle w:val="BodyText"/>
        <w:numPr>
          <w:ilvl w:val="0"/>
          <w:numId w:val="131"/>
        </w:numPr>
        <w:tabs>
          <w:tab w:val="left" w:pos="1531"/>
        </w:tabs>
        <w:spacing w:before="170" w:line="260" w:lineRule="exact"/>
        <w:ind w:right="1387" w:hanging="283"/>
        <w:rPr>
          <w:rFonts w:cs="Avenir Next"/>
        </w:rPr>
      </w:pPr>
      <w:r>
        <w:t>the ICRC did not allow</w:t>
      </w:r>
      <w:r>
        <w:rPr>
          <w:spacing w:val="-4"/>
        </w:rPr>
        <w:t xml:space="preserve"> </w:t>
      </w:r>
      <w:r>
        <w:rPr>
          <w:spacing w:val="-2"/>
        </w:rPr>
        <w:t>ACTEW’s</w:t>
      </w:r>
      <w:r>
        <w:t xml:space="preserve"> </w:t>
      </w:r>
      <w:r>
        <w:rPr>
          <w:spacing w:val="-1"/>
        </w:rPr>
        <w:t>pass-through</w:t>
      </w:r>
      <w:r>
        <w:t xml:space="preserve"> claim of</w:t>
      </w:r>
      <w:r>
        <w:rPr>
          <w:spacing w:val="4"/>
        </w:rPr>
        <w:t xml:space="preserve"> </w:t>
      </w:r>
      <w:r>
        <w:t xml:space="preserve">$4.86 million for costs </w:t>
      </w:r>
      <w:r>
        <w:rPr>
          <w:spacing w:val="-1"/>
        </w:rPr>
        <w:t>relating</w:t>
      </w:r>
      <w:r>
        <w:t xml:space="preserve"> to the </w:t>
      </w:r>
      <w:r>
        <w:rPr>
          <w:spacing w:val="-1"/>
        </w:rPr>
        <w:t>Uriarra</w:t>
      </w:r>
      <w:r>
        <w:rPr>
          <w:spacing w:val="31"/>
        </w:rPr>
        <w:t xml:space="preserve"> </w:t>
      </w:r>
      <w:r>
        <w:rPr>
          <w:rFonts w:cs="Avenir Next"/>
          <w:spacing w:val="-1"/>
        </w:rPr>
        <w:t>Village</w:t>
      </w:r>
      <w:r>
        <w:rPr>
          <w:rFonts w:cs="Avenir Next"/>
        </w:rPr>
        <w:t xml:space="preserve">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projects,</w:t>
      </w:r>
      <w:r>
        <w:rPr>
          <w:rFonts w:cs="Avenir Next"/>
          <w:spacing w:val="-6"/>
        </w:rPr>
        <w:t xml:space="preserve"> </w:t>
      </w:r>
      <w:r>
        <w:rPr>
          <w:rFonts w:cs="Avenir Next"/>
        </w:rPr>
        <w:t xml:space="preserve">which </w:t>
      </w:r>
      <w:r>
        <w:rPr>
          <w:rFonts w:cs="Avenir Next"/>
          <w:spacing w:val="-1"/>
        </w:rPr>
        <w:t>were</w:t>
      </w:r>
      <w:r>
        <w:rPr>
          <w:rFonts w:cs="Avenir Next"/>
        </w:rPr>
        <w:t xml:space="preserve"> </w:t>
      </w:r>
      <w:r>
        <w:rPr>
          <w:rFonts w:cs="Avenir Next"/>
          <w:spacing w:val="-1"/>
        </w:rPr>
        <w:t>incurred</w:t>
      </w:r>
      <w:r>
        <w:rPr>
          <w:rFonts w:cs="Avenir Next"/>
        </w:rPr>
        <w:t xml:space="preserve"> in the </w:t>
      </w:r>
      <w:r>
        <w:rPr>
          <w:rFonts w:cs="Avenir Next"/>
          <w:spacing w:val="-1"/>
        </w:rPr>
        <w:t>previous</w:t>
      </w:r>
      <w:r>
        <w:rPr>
          <w:rFonts w:cs="Avenir Next"/>
        </w:rPr>
        <w:t xml:space="preserve"> </w:t>
      </w:r>
      <w:r>
        <w:rPr>
          <w:rFonts w:cs="Avenir Next"/>
          <w:spacing w:val="-1"/>
        </w:rPr>
        <w:t>regulatory</w:t>
      </w:r>
      <w:r>
        <w:rPr>
          <w:rFonts w:cs="Avenir Next"/>
        </w:rPr>
        <w:t xml:space="preserve"> period,</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85" w:line="260" w:lineRule="exact"/>
        <w:ind w:right="1481" w:hanging="283"/>
        <w:rPr>
          <w:sz w:val="11"/>
          <w:szCs w:val="11"/>
        </w:rPr>
      </w:pPr>
      <w:r>
        <w:t xml:space="preserve">the ICRC decided to </w:t>
      </w:r>
      <w:r>
        <w:rPr>
          <w:spacing w:val="-1"/>
        </w:rPr>
        <w:t>reduce</w:t>
      </w:r>
      <w:r>
        <w:t xml:space="preserve"> the on-going sewage </w:t>
      </w:r>
      <w:r>
        <w:rPr>
          <w:spacing w:val="-1"/>
        </w:rPr>
        <w:t>treatment</w:t>
      </w:r>
      <w:r>
        <w:t xml:space="preserve"> costs for the </w:t>
      </w:r>
      <w:r>
        <w:rPr>
          <w:spacing w:val="-1"/>
        </w:rPr>
        <w:t>Uriarra</w:t>
      </w:r>
      <w:r>
        <w:rPr>
          <w:spacing w:val="-4"/>
        </w:rPr>
        <w:t xml:space="preserve"> </w:t>
      </w:r>
      <w:r>
        <w:rPr>
          <w:spacing w:val="-1"/>
        </w:rPr>
        <w:t>Village</w:t>
      </w:r>
      <w:r>
        <w:t xml:space="preserve"> </w:t>
      </w:r>
      <w:r>
        <w:rPr>
          <w:spacing w:val="-1"/>
        </w:rPr>
        <w:t>treatment</w:t>
      </w:r>
      <w:r>
        <w:rPr>
          <w:spacing w:val="23"/>
        </w:rPr>
        <w:t xml:space="preserve"> </w:t>
      </w:r>
      <w:r>
        <w:t>plant by $0.143 million</w:t>
      </w:r>
      <w:r>
        <w:rPr>
          <w:spacing w:val="1"/>
        </w:rPr>
        <w:t xml:space="preserve"> </w:t>
      </w:r>
      <w:r>
        <w:t xml:space="preserve">per </w:t>
      </w:r>
      <w:r>
        <w:rPr>
          <w:spacing w:val="-3"/>
        </w:rPr>
        <w:t>year,</w:t>
      </w:r>
      <w:r>
        <w:rPr>
          <w:spacing w:val="-6"/>
        </w:rPr>
        <w:t xml:space="preserve"> </w:t>
      </w:r>
      <w:r>
        <w:t>to</w:t>
      </w:r>
      <w:r>
        <w:rPr>
          <w:spacing w:val="1"/>
        </w:rPr>
        <w:t xml:space="preserve"> </w:t>
      </w:r>
      <w:r>
        <w:rPr>
          <w:spacing w:val="-1"/>
        </w:rPr>
        <w:t>reflect</w:t>
      </w:r>
      <w:r>
        <w:t xml:space="preserve"> the costs</w:t>
      </w:r>
      <w:r>
        <w:rPr>
          <w:spacing w:val="1"/>
        </w:rPr>
        <w:t xml:space="preserve"> </w:t>
      </w:r>
      <w:r>
        <w:t>of</w:t>
      </w:r>
      <w:r>
        <w:rPr>
          <w:spacing w:val="4"/>
        </w:rPr>
        <w:t xml:space="preserve"> </w:t>
      </w:r>
      <w:r>
        <w:rPr>
          <w:spacing w:val="-1"/>
        </w:rPr>
        <w:t>operating</w:t>
      </w:r>
      <w:r>
        <w:t xml:space="preserve"> a</w:t>
      </w:r>
      <w:r>
        <w:rPr>
          <w:spacing w:val="1"/>
        </w:rPr>
        <w:t xml:space="preserve"> </w:t>
      </w:r>
      <w:r>
        <w:rPr>
          <w:spacing w:val="-1"/>
        </w:rPr>
        <w:t>package</w:t>
      </w:r>
      <w:r>
        <w:t xml:space="preserve"> plant.</w:t>
      </w:r>
      <w:r>
        <w:rPr>
          <w:position w:val="7"/>
          <w:sz w:val="11"/>
        </w:rPr>
        <w:t>178</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2"/>
        </w:rPr>
        <w:t>The</w:t>
      </w:r>
      <w:r>
        <w:t xml:space="preserve"> ICRC also decided </w:t>
      </w:r>
      <w:r>
        <w:rPr>
          <w:spacing w:val="-1"/>
        </w:rPr>
        <w:t>that</w:t>
      </w:r>
      <w:r>
        <w:t xml:space="preserve"> the actual carbon costs</w:t>
      </w:r>
      <w:r>
        <w:rPr>
          <w:spacing w:val="-4"/>
        </w:rPr>
        <w:t xml:space="preserve"> </w:t>
      </w:r>
      <w:r>
        <w:rPr>
          <w:spacing w:val="-2"/>
        </w:rPr>
        <w:t>ACTEW</w:t>
      </w:r>
      <w:r>
        <w:rPr>
          <w:spacing w:val="-3"/>
        </w:rPr>
        <w:t xml:space="preserve"> </w:t>
      </w:r>
      <w:r>
        <w:rPr>
          <w:spacing w:val="-1"/>
        </w:rPr>
        <w:t>incurred</w:t>
      </w:r>
      <w:r>
        <w:t xml:space="preserve"> should be passed </w:t>
      </w:r>
      <w:r>
        <w:rPr>
          <w:spacing w:val="-1"/>
        </w:rPr>
        <w:t>through</w:t>
      </w:r>
      <w:r>
        <w:t xml:space="preserve"> to</w:t>
      </w:r>
      <w:r>
        <w:rPr>
          <w:spacing w:val="29"/>
        </w:rPr>
        <w:t xml:space="preserve"> </w:t>
      </w:r>
      <w:r>
        <w:t>customers</w:t>
      </w:r>
      <w:r>
        <w:rPr>
          <w:spacing w:val="-1"/>
        </w:rPr>
        <w:t xml:space="preserve"> at </w:t>
      </w:r>
      <w:r>
        <w:t>the first</w:t>
      </w:r>
      <w:r>
        <w:rPr>
          <w:spacing w:val="-1"/>
        </w:rPr>
        <w:t xml:space="preserve"> </w:t>
      </w:r>
      <w:r>
        <w:t>biennial</w:t>
      </w:r>
      <w:r>
        <w:rPr>
          <w:spacing w:val="-1"/>
        </w:rPr>
        <w:t xml:space="preserve"> recalibration.</w:t>
      </w:r>
    </w:p>
    <w:p w:rsidR="00D96B91" w:rsidRDefault="00C2656B">
      <w:pPr>
        <w:pStyle w:val="BodyText"/>
        <w:spacing w:before="170" w:line="260" w:lineRule="exact"/>
        <w:ind w:right="1246"/>
        <w:rPr>
          <w:rFonts w:cs="Avenir Next"/>
        </w:rPr>
      </w:pPr>
      <w:r>
        <w:rPr>
          <w:spacing w:val="-2"/>
        </w:rPr>
        <w:t>The</w:t>
      </w:r>
      <w:r>
        <w:rPr>
          <w:spacing w:val="-1"/>
        </w:rPr>
        <w:t xml:space="preserve"> </w:t>
      </w:r>
      <w:r>
        <w:rPr>
          <w:spacing w:val="-2"/>
        </w:rPr>
        <w:t>ICRC’s</w:t>
      </w:r>
      <w:r>
        <w:t xml:space="preserve"> final decision</w:t>
      </w:r>
      <w:r>
        <w:rPr>
          <w:spacing w:val="-1"/>
        </w:rPr>
        <w:t xml:space="preserve"> recognised</w:t>
      </w:r>
      <w:r>
        <w:t xml:space="preserve"> </w:t>
      </w:r>
      <w:r>
        <w:rPr>
          <w:spacing w:val="-1"/>
        </w:rPr>
        <w:t>that</w:t>
      </w:r>
      <w:r>
        <w:rPr>
          <w:spacing w:val="-4"/>
        </w:rPr>
        <w:t xml:space="preserve"> </w:t>
      </w:r>
      <w:r>
        <w:rPr>
          <w:spacing w:val="-2"/>
        </w:rPr>
        <w:t>ACTEW’s</w:t>
      </w:r>
      <w:r>
        <w:rPr>
          <w:spacing w:val="-5"/>
        </w:rPr>
        <w:t xml:space="preserve"> </w:t>
      </w:r>
      <w:r>
        <w:t>April 2013 submission</w:t>
      </w:r>
      <w:r>
        <w:rPr>
          <w:spacing w:val="-1"/>
        </w:rPr>
        <w:t xml:space="preserve"> </w:t>
      </w:r>
      <w:r>
        <w:t xml:space="preserve">included substantially </w:t>
      </w:r>
      <w:r>
        <w:rPr>
          <w:spacing w:val="-1"/>
        </w:rPr>
        <w:t>revised</w:t>
      </w:r>
      <w:r>
        <w:rPr>
          <w:spacing w:val="33"/>
        </w:rPr>
        <w:t xml:space="preserve"> </w:t>
      </w:r>
      <w:r>
        <w:rPr>
          <w:rFonts w:cs="Avenir Next"/>
        </w:rPr>
        <w:t>and</w:t>
      </w:r>
      <w:r>
        <w:rPr>
          <w:rFonts w:cs="Avenir Next"/>
          <w:spacing w:val="1"/>
        </w:rPr>
        <w:t xml:space="preserve"> </w:t>
      </w:r>
      <w:r>
        <w:rPr>
          <w:rFonts w:cs="Avenir Next"/>
        </w:rPr>
        <w:t>lower</w:t>
      </w:r>
      <w:r>
        <w:rPr>
          <w:rFonts w:cs="Avenir Next"/>
          <w:spacing w:val="1"/>
        </w:rPr>
        <w:t xml:space="preserve"> </w:t>
      </w:r>
      <w:r>
        <w:rPr>
          <w:rFonts w:cs="Avenir Next"/>
          <w:spacing w:val="-1"/>
        </w:rPr>
        <w:t>operating</w:t>
      </w:r>
      <w:r>
        <w:rPr>
          <w:rFonts w:cs="Avenir Next"/>
          <w:spacing w:val="2"/>
        </w:rPr>
        <w:t xml:space="preserve"> </w:t>
      </w:r>
      <w:r>
        <w:rPr>
          <w:rFonts w:cs="Avenir Next"/>
          <w:spacing w:val="-1"/>
        </w:rPr>
        <w:t>expenditure</w:t>
      </w:r>
      <w:r>
        <w:rPr>
          <w:rFonts w:cs="Avenir Next"/>
          <w:spacing w:val="1"/>
        </w:rPr>
        <w:t xml:space="preserve"> </w:t>
      </w:r>
      <w:r>
        <w:rPr>
          <w:rFonts w:cs="Avenir Next"/>
          <w:spacing w:val="-1"/>
        </w:rPr>
        <w:t>forecasts</w:t>
      </w:r>
      <w:r>
        <w:rPr>
          <w:spacing w:val="-1"/>
          <w:position w:val="7"/>
          <w:sz w:val="11"/>
          <w:szCs w:val="11"/>
        </w:rPr>
        <w:t>179</w:t>
      </w:r>
      <w:r>
        <w:rPr>
          <w:spacing w:val="24"/>
          <w:position w:val="7"/>
          <w:sz w:val="11"/>
          <w:szCs w:val="11"/>
        </w:rPr>
        <w:t xml:space="preserve"> </w:t>
      </w:r>
      <w:r>
        <w:rPr>
          <w:rFonts w:cs="Avenir Next"/>
        </w:rPr>
        <w:t>in</w:t>
      </w:r>
      <w:r>
        <w:rPr>
          <w:rFonts w:cs="Avenir Next"/>
          <w:spacing w:val="1"/>
        </w:rPr>
        <w:t xml:space="preserve"> </w:t>
      </w:r>
      <w:r>
        <w:rPr>
          <w:rFonts w:cs="Avenir Next"/>
        </w:rPr>
        <w:t>line</w:t>
      </w:r>
      <w:r>
        <w:rPr>
          <w:rFonts w:cs="Avenir Next"/>
          <w:spacing w:val="2"/>
        </w:rPr>
        <w:t xml:space="preserve"> </w:t>
      </w:r>
      <w:r>
        <w:rPr>
          <w:rFonts w:cs="Avenir Next"/>
        </w:rPr>
        <w:t>with:</w:t>
      </w:r>
    </w:p>
    <w:p w:rsidR="00D96B91" w:rsidRDefault="00C2656B">
      <w:pPr>
        <w:pStyle w:val="BodyText"/>
        <w:numPr>
          <w:ilvl w:val="0"/>
          <w:numId w:val="131"/>
        </w:numPr>
        <w:tabs>
          <w:tab w:val="left" w:pos="1531"/>
        </w:tabs>
        <w:spacing w:before="178"/>
        <w:ind w:hanging="283"/>
        <w:rPr>
          <w:rFonts w:cs="Avenir Next"/>
        </w:rPr>
      </w:pPr>
      <w:r>
        <w:rPr>
          <w:rFonts w:cs="Avenir Next"/>
          <w:spacing w:val="-3"/>
        </w:rPr>
        <w:t>Cardno’s</w:t>
      </w:r>
      <w:r>
        <w:rPr>
          <w:rFonts w:cs="Avenir Next"/>
          <w:spacing w:val="1"/>
        </w:rPr>
        <w:t xml:space="preserve"> </w:t>
      </w:r>
      <w:r>
        <w:rPr>
          <w:rFonts w:cs="Avenir Next"/>
          <w:spacing w:val="-1"/>
        </w:rPr>
        <w:t>recommendations</w:t>
      </w:r>
      <w:r>
        <w:rPr>
          <w:rFonts w:cs="Avenir Next"/>
          <w:spacing w:val="1"/>
        </w:rPr>
        <w:t xml:space="preserve"> </w:t>
      </w:r>
      <w:r>
        <w:rPr>
          <w:rFonts w:cs="Avenir Next"/>
        </w:rPr>
        <w:t>in</w:t>
      </w:r>
      <w:r>
        <w:rPr>
          <w:rFonts w:cs="Avenir Next"/>
          <w:spacing w:val="1"/>
        </w:rPr>
        <w:t xml:space="preserve"> </w:t>
      </w:r>
      <w:r>
        <w:rPr>
          <w:rFonts w:cs="Avenir Next"/>
          <w:spacing w:val="-1"/>
        </w:rPr>
        <w:t>relation</w:t>
      </w:r>
      <w:r>
        <w:rPr>
          <w:rFonts w:cs="Avenir Next"/>
          <w:spacing w:val="1"/>
        </w:rPr>
        <w:t xml:space="preserve"> </w:t>
      </w:r>
      <w:r>
        <w:rPr>
          <w:rFonts w:cs="Avenir Next"/>
        </w:rPr>
        <w:t>to</w:t>
      </w:r>
      <w:r>
        <w:rPr>
          <w:rFonts w:cs="Avenir Next"/>
          <w:spacing w:val="-3"/>
        </w:rPr>
        <w:t xml:space="preserve"> </w:t>
      </w:r>
      <w:r>
        <w:rPr>
          <w:rFonts w:cs="Avenir Next"/>
          <w:spacing w:val="-2"/>
        </w:rPr>
        <w:t>ACTEW’s</w:t>
      </w:r>
      <w:r>
        <w:rPr>
          <w:rFonts w:cs="Avenir Next"/>
          <w:spacing w:val="2"/>
        </w:rPr>
        <w:t xml:space="preserve"> </w:t>
      </w:r>
      <w:r>
        <w:rPr>
          <w:rFonts w:cs="Avenir Next"/>
        </w:rPr>
        <w:t>original</w:t>
      </w:r>
      <w:r>
        <w:rPr>
          <w:rFonts w:cs="Avenir Next"/>
          <w:spacing w:val="1"/>
        </w:rPr>
        <w:t xml:space="preserve"> </w:t>
      </w:r>
      <w:r>
        <w:rPr>
          <w:rFonts w:cs="Avenir Next"/>
        </w:rPr>
        <w:t>submission,</w:t>
      </w:r>
      <w:r>
        <w:rPr>
          <w:position w:val="7"/>
          <w:sz w:val="11"/>
          <w:szCs w:val="11"/>
        </w:rPr>
        <w:t>180</w:t>
      </w:r>
      <w:r>
        <w:rPr>
          <w:spacing w:val="24"/>
          <w:position w:val="7"/>
          <w:sz w:val="11"/>
          <w:szCs w:val="11"/>
        </w:rPr>
        <w:t xml:space="preserve"> </w:t>
      </w:r>
      <w:r>
        <w:rPr>
          <w:rFonts w:cs="Avenir Next"/>
        </w:rPr>
        <w:t>and</w:t>
      </w:r>
    </w:p>
    <w:p w:rsidR="00D96B91" w:rsidRDefault="00C2656B">
      <w:pPr>
        <w:pStyle w:val="BodyText"/>
        <w:numPr>
          <w:ilvl w:val="0"/>
          <w:numId w:val="131"/>
        </w:numPr>
        <w:tabs>
          <w:tab w:val="left" w:pos="1531"/>
        </w:tabs>
        <w:spacing w:before="72"/>
        <w:ind w:hanging="283"/>
        <w:rPr>
          <w:sz w:val="11"/>
          <w:szCs w:val="11"/>
        </w:rPr>
      </w:pPr>
      <w:r>
        <w:rPr>
          <w:spacing w:val="-5"/>
        </w:rPr>
        <w:t>ACTEW’s</w:t>
      </w:r>
      <w:r>
        <w:rPr>
          <w:spacing w:val="-6"/>
        </w:rPr>
        <w:t xml:space="preserve"> </w:t>
      </w:r>
      <w:r>
        <w:rPr>
          <w:spacing w:val="-3"/>
        </w:rPr>
        <w:t>actual</w:t>
      </w:r>
      <w:r>
        <w:rPr>
          <w:spacing w:val="-5"/>
        </w:rPr>
        <w:t xml:space="preserve"> </w:t>
      </w:r>
      <w:r>
        <w:rPr>
          <w:spacing w:val="-4"/>
        </w:rPr>
        <w:t>operating</w:t>
      </w:r>
      <w:r>
        <w:rPr>
          <w:spacing w:val="-5"/>
        </w:rPr>
        <w:t xml:space="preserve"> </w:t>
      </w:r>
      <w:r>
        <w:rPr>
          <w:spacing w:val="-4"/>
        </w:rPr>
        <w:t>expenditure</w:t>
      </w:r>
      <w:r>
        <w:rPr>
          <w:spacing w:val="-5"/>
        </w:rPr>
        <w:t xml:space="preserve"> </w:t>
      </w:r>
      <w:r>
        <w:rPr>
          <w:spacing w:val="-3"/>
        </w:rPr>
        <w:t>since</w:t>
      </w:r>
      <w:r>
        <w:rPr>
          <w:spacing w:val="-5"/>
        </w:rPr>
        <w:t xml:space="preserve"> </w:t>
      </w:r>
      <w:r>
        <w:rPr>
          <w:spacing w:val="-2"/>
        </w:rPr>
        <w:t>the</w:t>
      </w:r>
      <w:r>
        <w:rPr>
          <w:spacing w:val="-6"/>
        </w:rPr>
        <w:t xml:space="preserve"> </w:t>
      </w:r>
      <w:r>
        <w:rPr>
          <w:spacing w:val="-4"/>
        </w:rPr>
        <w:t>re-integration</w:t>
      </w:r>
      <w:r>
        <w:rPr>
          <w:spacing w:val="-5"/>
        </w:rPr>
        <w:t xml:space="preserve"> </w:t>
      </w:r>
      <w:r>
        <w:rPr>
          <w:spacing w:val="-2"/>
        </w:rPr>
        <w:t>of</w:t>
      </w:r>
      <w:r>
        <w:rPr>
          <w:spacing w:val="-1"/>
        </w:rPr>
        <w:t xml:space="preserve"> </w:t>
      </w:r>
      <w:r>
        <w:rPr>
          <w:spacing w:val="-2"/>
        </w:rPr>
        <w:t>its</w:t>
      </w:r>
      <w:r>
        <w:rPr>
          <w:spacing w:val="-8"/>
        </w:rPr>
        <w:t xml:space="preserve"> </w:t>
      </w:r>
      <w:r>
        <w:rPr>
          <w:spacing w:val="-5"/>
        </w:rPr>
        <w:t xml:space="preserve">Water </w:t>
      </w:r>
      <w:r>
        <w:rPr>
          <w:spacing w:val="-3"/>
        </w:rPr>
        <w:t>Division</w:t>
      </w:r>
      <w:r>
        <w:rPr>
          <w:spacing w:val="-5"/>
        </w:rPr>
        <w:t xml:space="preserve"> </w:t>
      </w:r>
      <w:r>
        <w:rPr>
          <w:spacing w:val="-4"/>
        </w:rPr>
        <w:t>from</w:t>
      </w:r>
      <w:r>
        <w:rPr>
          <w:spacing w:val="-6"/>
        </w:rPr>
        <w:t xml:space="preserve"> </w:t>
      </w:r>
      <w:r>
        <w:t>1</w:t>
      </w:r>
      <w:r>
        <w:rPr>
          <w:spacing w:val="-8"/>
        </w:rPr>
        <w:t xml:space="preserve"> </w:t>
      </w:r>
      <w:r>
        <w:rPr>
          <w:spacing w:val="-3"/>
        </w:rPr>
        <w:t>July</w:t>
      </w:r>
      <w:r>
        <w:rPr>
          <w:spacing w:val="-5"/>
        </w:rPr>
        <w:t xml:space="preserve"> </w:t>
      </w:r>
      <w:r>
        <w:rPr>
          <w:spacing w:val="-3"/>
        </w:rPr>
        <w:t>2012.</w:t>
      </w:r>
      <w:r>
        <w:rPr>
          <w:spacing w:val="-3"/>
          <w:position w:val="7"/>
          <w:sz w:val="11"/>
          <w:szCs w:val="11"/>
        </w:rPr>
        <w:t>181</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4"/>
        <w:rPr>
          <w:rFonts w:ascii="Avenir Next" w:eastAsia="Avenir Next" w:hAnsi="Avenir Next" w:cs="Avenir Next"/>
          <w:sz w:val="23"/>
          <w:szCs w:val="2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95" style="width:72.5pt;height:.5pt;mso-position-horizontal-relative:char;mso-position-vertical-relative:line" coordsize="1450,10">
            <v:group id="_x0000_s1896" style="position:absolute;left:5;top:5;width:1440;height:2" coordorigin="5,5" coordsize="1440,2">
              <v:shape id="_x0000_s1897" style="position:absolute;left:5;top:5;width:1440;height:2" coordorigin="5,5" coordsize="1440,0" path="m5,5r1440,e" filled="f" strokeweight=".5pt">
                <v:path arrowok="t"/>
              </v:shape>
            </v:group>
            <w10:wrap type="none"/>
            <w10:anchorlock/>
          </v:group>
        </w:pict>
      </w:r>
    </w:p>
    <w:p w:rsidR="00D96B91" w:rsidRDefault="00C2656B">
      <w:pPr>
        <w:numPr>
          <w:ilvl w:val="0"/>
          <w:numId w:val="59"/>
        </w:numPr>
        <w:tabs>
          <w:tab w:val="left" w:pos="1758"/>
        </w:tabs>
        <w:spacing w:before="45" w:line="192" w:lineRule="exact"/>
        <w:ind w:right="1318" w:hanging="510"/>
        <w:rPr>
          <w:rFonts w:ascii="Avenir Next" w:eastAsia="Avenir Next" w:hAnsi="Avenir Next" w:cs="Avenir Next"/>
          <w:sz w:val="16"/>
          <w:szCs w:val="16"/>
        </w:rPr>
      </w:pPr>
      <w:r>
        <w:rPr>
          <w:rFonts w:ascii="Avenir Next"/>
          <w:spacing w:val="-1"/>
          <w:sz w:val="16"/>
        </w:rPr>
        <w:t>Consistent</w:t>
      </w:r>
      <w:r>
        <w:rPr>
          <w:rFonts w:ascii="Avenir Next"/>
          <w:sz w:val="16"/>
        </w:rPr>
        <w:t xml:space="preserve"> with its decision to adopt the biennial </w:t>
      </w:r>
      <w:r>
        <w:rPr>
          <w:rFonts w:ascii="Avenir Next"/>
          <w:spacing w:val="-1"/>
          <w:sz w:val="16"/>
        </w:rPr>
        <w:t>recalibration</w:t>
      </w:r>
      <w:r>
        <w:rPr>
          <w:rFonts w:ascii="Avenir Next"/>
          <w:sz w:val="16"/>
        </w:rPr>
        <w:t xml:space="preserve"> </w:t>
      </w:r>
      <w:r>
        <w:rPr>
          <w:rFonts w:ascii="Avenir Next"/>
          <w:spacing w:val="-1"/>
          <w:sz w:val="16"/>
        </w:rPr>
        <w:t>process,</w:t>
      </w:r>
      <w:r>
        <w:rPr>
          <w:rFonts w:ascii="Avenir Next"/>
          <w:spacing w:val="-5"/>
          <w:sz w:val="16"/>
        </w:rPr>
        <w:t xml:space="preserve"> </w:t>
      </w:r>
      <w:r>
        <w:rPr>
          <w:rFonts w:ascii="Avenir Next"/>
          <w:sz w:val="16"/>
        </w:rPr>
        <w:t xml:space="preserve">the ICRC did not </w:t>
      </w:r>
      <w:r>
        <w:rPr>
          <w:rFonts w:ascii="Avenir Next"/>
          <w:spacing w:val="-1"/>
          <w:sz w:val="16"/>
        </w:rPr>
        <w:t>make</w:t>
      </w:r>
      <w:r>
        <w:rPr>
          <w:rFonts w:ascii="Avenir Next"/>
          <w:sz w:val="16"/>
        </w:rPr>
        <w:t xml:space="preserve"> a decision about </w:t>
      </w:r>
      <w:r>
        <w:rPr>
          <w:rFonts w:ascii="Avenir Next"/>
          <w:spacing w:val="-1"/>
          <w:sz w:val="16"/>
        </w:rPr>
        <w:t>operating</w:t>
      </w:r>
      <w:r>
        <w:rPr>
          <w:rFonts w:ascii="Avenir Next"/>
          <w:spacing w:val="51"/>
          <w:sz w:val="16"/>
        </w:rPr>
        <w:t xml:space="preserve"> </w:t>
      </w:r>
      <w:r>
        <w:rPr>
          <w:rFonts w:ascii="Avenir Next"/>
          <w:spacing w:val="-1"/>
          <w:sz w:val="16"/>
        </w:rPr>
        <w:t>expenditure</w:t>
      </w:r>
      <w:r>
        <w:rPr>
          <w:rFonts w:ascii="Avenir Next"/>
          <w:sz w:val="16"/>
        </w:rPr>
        <w:t xml:space="preserve"> </w:t>
      </w:r>
      <w:r>
        <w:rPr>
          <w:rFonts w:ascii="Avenir Next"/>
          <w:spacing w:val="-1"/>
          <w:sz w:val="16"/>
        </w:rPr>
        <w:t>forecasts</w:t>
      </w:r>
      <w:r>
        <w:rPr>
          <w:rFonts w:ascii="Avenir Next"/>
          <w:sz w:val="16"/>
        </w:rPr>
        <w:t xml:space="preserve"> beyond 2014-15.</w:t>
      </w:r>
    </w:p>
    <w:p w:rsidR="00D96B91" w:rsidRDefault="00D96B91">
      <w:pPr>
        <w:spacing w:before="12"/>
        <w:rPr>
          <w:rFonts w:ascii="Avenir Next" w:eastAsia="Avenir Next" w:hAnsi="Avenir Next" w:cs="Avenir Next"/>
          <w:sz w:val="10"/>
          <w:szCs w:val="10"/>
        </w:rPr>
      </w:pPr>
    </w:p>
    <w:p w:rsidR="00D96B91" w:rsidRDefault="00C2656B">
      <w:pPr>
        <w:numPr>
          <w:ilvl w:val="0"/>
          <w:numId w:val="59"/>
        </w:numPr>
        <w:tabs>
          <w:tab w:val="left" w:pos="1758"/>
        </w:tabs>
        <w:spacing w:line="192" w:lineRule="exact"/>
        <w:ind w:right="1270" w:hanging="510"/>
        <w:rPr>
          <w:rFonts w:ascii="Avenir Next" w:eastAsia="Avenir Next" w:hAnsi="Avenir Next" w:cs="Avenir Next"/>
          <w:sz w:val="16"/>
          <w:szCs w:val="16"/>
        </w:rPr>
      </w:pPr>
      <w:r>
        <w:rPr>
          <w:rFonts w:ascii="Avenir Next"/>
          <w:sz w:val="16"/>
        </w:rPr>
        <w:t>ibid,</w:t>
      </w:r>
      <w:r>
        <w:rPr>
          <w:rFonts w:ascii="Avenir Next"/>
          <w:spacing w:val="-6"/>
          <w:sz w:val="16"/>
        </w:rPr>
        <w:t xml:space="preserve"> </w:t>
      </w:r>
      <w:r>
        <w:rPr>
          <w:rFonts w:ascii="Avenir Next"/>
          <w:spacing w:val="-1"/>
          <w:sz w:val="16"/>
        </w:rPr>
        <w:t>p.</w:t>
      </w:r>
      <w:r>
        <w:rPr>
          <w:rFonts w:ascii="Avenir Next"/>
          <w:spacing w:val="-5"/>
          <w:sz w:val="16"/>
        </w:rPr>
        <w:t xml:space="preserve"> </w:t>
      </w:r>
      <w:r>
        <w:rPr>
          <w:rFonts w:ascii="Avenir Next"/>
          <w:sz w:val="16"/>
        </w:rPr>
        <w:t>129.</w:t>
      </w:r>
      <w:r>
        <w:rPr>
          <w:rFonts w:ascii="Avenir Next"/>
          <w:spacing w:val="-9"/>
          <w:sz w:val="16"/>
        </w:rPr>
        <w:t xml:space="preserve"> </w:t>
      </w:r>
      <w:r>
        <w:rPr>
          <w:rFonts w:ascii="Avenir Next"/>
          <w:spacing w:val="-1"/>
          <w:sz w:val="16"/>
        </w:rPr>
        <w:t>This</w:t>
      </w:r>
      <w:r>
        <w:rPr>
          <w:rFonts w:ascii="Avenir Next"/>
          <w:sz w:val="16"/>
        </w:rPr>
        <w:t xml:space="preserve"> </w:t>
      </w:r>
      <w:r>
        <w:rPr>
          <w:rFonts w:ascii="Avenir Next"/>
          <w:spacing w:val="-1"/>
          <w:sz w:val="16"/>
        </w:rPr>
        <w:t>reflect</w:t>
      </w:r>
      <w:r>
        <w:rPr>
          <w:rFonts w:ascii="Avenir Next"/>
          <w:sz w:val="16"/>
        </w:rPr>
        <w:t xml:space="preserve"> the fact</w:t>
      </w:r>
      <w:r>
        <w:rPr>
          <w:rFonts w:ascii="Avenir Next"/>
          <w:spacing w:val="-1"/>
          <w:sz w:val="16"/>
        </w:rPr>
        <w:t xml:space="preserve"> that,</w:t>
      </w:r>
      <w:r>
        <w:rPr>
          <w:rFonts w:ascii="Avenir Next"/>
          <w:spacing w:val="-5"/>
          <w:sz w:val="16"/>
        </w:rPr>
        <w:t xml:space="preserve"> </w:t>
      </w:r>
      <w:r>
        <w:rPr>
          <w:rFonts w:ascii="Avenir Next"/>
          <w:sz w:val="16"/>
        </w:rPr>
        <w:t>on the basis of</w:t>
      </w:r>
      <w:r>
        <w:rPr>
          <w:rFonts w:ascii="Avenir Next"/>
          <w:spacing w:val="2"/>
          <w:sz w:val="16"/>
        </w:rPr>
        <w:t xml:space="preserve"> </w:t>
      </w:r>
      <w:r>
        <w:rPr>
          <w:rFonts w:ascii="Avenir Next"/>
          <w:sz w:val="16"/>
        </w:rPr>
        <w:t xml:space="preserve">advice it </w:t>
      </w:r>
      <w:r>
        <w:rPr>
          <w:rFonts w:ascii="Avenir Next"/>
          <w:spacing w:val="-1"/>
          <w:sz w:val="16"/>
        </w:rPr>
        <w:t>received</w:t>
      </w:r>
      <w:r>
        <w:rPr>
          <w:rFonts w:ascii="Avenir Next"/>
          <w:sz w:val="16"/>
        </w:rPr>
        <w:t xml:space="preserve"> </w:t>
      </w:r>
      <w:r>
        <w:rPr>
          <w:rFonts w:ascii="Avenir Next"/>
          <w:spacing w:val="-1"/>
          <w:sz w:val="16"/>
        </w:rPr>
        <w:t>from</w:t>
      </w:r>
      <w:r>
        <w:rPr>
          <w:rFonts w:ascii="Avenir Next"/>
          <w:sz w:val="16"/>
        </w:rPr>
        <w:t xml:space="preserve"> </w:t>
      </w:r>
      <w:r>
        <w:rPr>
          <w:rFonts w:ascii="Avenir Next"/>
          <w:spacing w:val="-2"/>
          <w:sz w:val="16"/>
        </w:rPr>
        <w:t>Cardno,</w:t>
      </w:r>
      <w:r>
        <w:rPr>
          <w:rFonts w:ascii="Avenir Next"/>
          <w:spacing w:val="-5"/>
          <w:sz w:val="16"/>
        </w:rPr>
        <w:t xml:space="preserve"> </w:t>
      </w:r>
      <w:r>
        <w:rPr>
          <w:rFonts w:ascii="Avenir Next"/>
          <w:sz w:val="16"/>
        </w:rPr>
        <w:t>the</w:t>
      </w:r>
      <w:r>
        <w:rPr>
          <w:rFonts w:ascii="Avenir Next"/>
          <w:spacing w:val="-1"/>
          <w:sz w:val="16"/>
        </w:rPr>
        <w:t xml:space="preserve"> </w:t>
      </w:r>
      <w:r>
        <w:rPr>
          <w:rFonts w:ascii="Avenir Next"/>
          <w:sz w:val="16"/>
        </w:rPr>
        <w:t xml:space="preserve">ICRC decided </w:t>
      </w:r>
      <w:r>
        <w:rPr>
          <w:rFonts w:ascii="Avenir Next"/>
          <w:spacing w:val="-1"/>
          <w:sz w:val="16"/>
        </w:rPr>
        <w:t>that</w:t>
      </w:r>
      <w:r>
        <w:rPr>
          <w:rFonts w:ascii="Avenir Next"/>
          <w:sz w:val="16"/>
        </w:rPr>
        <w:t xml:space="preserve"> a prudent and</w:t>
      </w:r>
      <w:r>
        <w:rPr>
          <w:rFonts w:ascii="Avenir Next"/>
          <w:spacing w:val="45"/>
          <w:sz w:val="16"/>
        </w:rPr>
        <w:t xml:space="preserve"> </w:t>
      </w:r>
      <w:r>
        <w:rPr>
          <w:rFonts w:ascii="Avenir Next"/>
          <w:spacing w:val="-1"/>
          <w:sz w:val="16"/>
        </w:rPr>
        <w:t xml:space="preserve">efficient </w:t>
      </w:r>
      <w:r>
        <w:rPr>
          <w:rFonts w:ascii="Avenir Next"/>
          <w:sz w:val="16"/>
        </w:rPr>
        <w:t xml:space="preserve">service </w:t>
      </w:r>
      <w:r>
        <w:rPr>
          <w:rFonts w:ascii="Avenir Next"/>
          <w:spacing w:val="-1"/>
          <w:sz w:val="16"/>
        </w:rPr>
        <w:t>provider</w:t>
      </w:r>
      <w:r>
        <w:rPr>
          <w:rFonts w:ascii="Avenir Next"/>
          <w:sz w:val="16"/>
        </w:rPr>
        <w:t xml:space="preserve"> would</w:t>
      </w:r>
      <w:r>
        <w:rPr>
          <w:rFonts w:ascii="Avenir Next"/>
          <w:spacing w:val="-1"/>
          <w:sz w:val="16"/>
        </w:rPr>
        <w:t xml:space="preserve"> </w:t>
      </w:r>
      <w:r>
        <w:rPr>
          <w:rFonts w:ascii="Avenir Next"/>
          <w:sz w:val="16"/>
        </w:rPr>
        <w:t xml:space="preserve">have built a </w:t>
      </w:r>
      <w:r>
        <w:rPr>
          <w:rFonts w:ascii="Avenir Next"/>
          <w:spacing w:val="-1"/>
          <w:sz w:val="16"/>
        </w:rPr>
        <w:t>package sewerage</w:t>
      </w:r>
      <w:r>
        <w:rPr>
          <w:rFonts w:ascii="Avenir Next"/>
          <w:sz w:val="16"/>
        </w:rPr>
        <w:t xml:space="preserve"> plant </w:t>
      </w:r>
      <w:r>
        <w:rPr>
          <w:rFonts w:ascii="Avenir Next"/>
          <w:spacing w:val="-1"/>
          <w:sz w:val="16"/>
        </w:rPr>
        <w:t xml:space="preserve">rather </w:t>
      </w:r>
      <w:r>
        <w:rPr>
          <w:rFonts w:ascii="Avenir Next"/>
          <w:sz w:val="16"/>
        </w:rPr>
        <w:t xml:space="preserve">than the </w:t>
      </w:r>
      <w:r>
        <w:rPr>
          <w:rFonts w:ascii="Avenir Next"/>
          <w:spacing w:val="-1"/>
          <w:sz w:val="16"/>
        </w:rPr>
        <w:t>membrane</w:t>
      </w:r>
      <w:r>
        <w:rPr>
          <w:rFonts w:ascii="Avenir Next"/>
          <w:sz w:val="16"/>
        </w:rPr>
        <w:t xml:space="preserve"> </w:t>
      </w:r>
      <w:r>
        <w:rPr>
          <w:rFonts w:ascii="Avenir Next"/>
          <w:spacing w:val="-1"/>
          <w:sz w:val="16"/>
        </w:rPr>
        <w:t>bioreactor treatment</w:t>
      </w:r>
      <w:r>
        <w:rPr>
          <w:rFonts w:ascii="Avenir Next"/>
          <w:sz w:val="16"/>
        </w:rPr>
        <w:t xml:space="preserve"> plant</w:t>
      </w:r>
      <w:r>
        <w:rPr>
          <w:rFonts w:ascii="Avenir Next"/>
          <w:spacing w:val="81"/>
          <w:sz w:val="16"/>
        </w:rPr>
        <w:t xml:space="preserve"> </w:t>
      </w:r>
      <w:r>
        <w:rPr>
          <w:rFonts w:ascii="Avenir Next"/>
          <w:sz w:val="16"/>
        </w:rPr>
        <w:t>built by</w:t>
      </w:r>
      <w:r>
        <w:rPr>
          <w:rFonts w:ascii="Avenir Next"/>
          <w:spacing w:val="-3"/>
          <w:sz w:val="16"/>
        </w:rPr>
        <w:t xml:space="preserve"> ACTEW.</w:t>
      </w:r>
    </w:p>
    <w:p w:rsidR="00D96B91" w:rsidRDefault="00D96B91">
      <w:pPr>
        <w:spacing w:before="12"/>
        <w:rPr>
          <w:rFonts w:ascii="Avenir Next" w:eastAsia="Avenir Next" w:hAnsi="Avenir Next" w:cs="Avenir Next"/>
          <w:sz w:val="10"/>
          <w:szCs w:val="10"/>
        </w:rPr>
      </w:pPr>
    </w:p>
    <w:p w:rsidR="00D96B91" w:rsidRDefault="00C2656B">
      <w:pPr>
        <w:numPr>
          <w:ilvl w:val="0"/>
          <w:numId w:val="59"/>
        </w:numPr>
        <w:tabs>
          <w:tab w:val="left" w:pos="1758"/>
        </w:tabs>
        <w:spacing w:line="192" w:lineRule="exact"/>
        <w:ind w:right="1535" w:hanging="510"/>
        <w:rPr>
          <w:rFonts w:ascii="Avenir Next" w:eastAsia="Avenir Next" w:hAnsi="Avenir Next" w:cs="Avenir Next"/>
          <w:sz w:val="16"/>
          <w:szCs w:val="16"/>
        </w:rPr>
      </w:pPr>
      <w:r>
        <w:rPr>
          <w:rFonts w:ascii="Avenir Next" w:eastAsia="Avenir Next" w:hAnsi="Avenir Next" w:cs="Avenir Next"/>
          <w:spacing w:val="-2"/>
          <w:sz w:val="16"/>
          <w:szCs w:val="16"/>
        </w:rPr>
        <w:t>ACTEW’s</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April 2013 </w:t>
      </w:r>
      <w:r>
        <w:rPr>
          <w:rFonts w:ascii="Avenir Next" w:eastAsia="Avenir Next" w:hAnsi="Avenir Next" w:cs="Avenir Next"/>
          <w:spacing w:val="-1"/>
          <w:sz w:val="16"/>
          <w:szCs w:val="16"/>
        </w:rPr>
        <w:t>forecast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z w:val="16"/>
          <w:szCs w:val="16"/>
        </w:rPr>
        <w:t xml:space="preserve"> was lower than the amounts </w:t>
      </w:r>
      <w:r>
        <w:rPr>
          <w:rFonts w:ascii="Avenir Next" w:eastAsia="Avenir Next" w:hAnsi="Avenir Next" w:cs="Avenir Next"/>
          <w:spacing w:val="-1"/>
          <w:sz w:val="16"/>
          <w:szCs w:val="16"/>
        </w:rPr>
        <w:t>proposed</w:t>
      </w:r>
      <w:r>
        <w:rPr>
          <w:rFonts w:ascii="Avenir Next" w:eastAsia="Avenir Next" w:hAnsi="Avenir Next" w:cs="Avenir Next"/>
          <w:sz w:val="16"/>
          <w:szCs w:val="16"/>
        </w:rPr>
        <w:t xml:space="preserve"> in its</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2012 submission,</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 xml:space="preserve">and lower than the amounts </w:t>
      </w:r>
      <w:r>
        <w:rPr>
          <w:rFonts w:ascii="Avenir Next" w:eastAsia="Avenir Next" w:hAnsi="Avenir Next" w:cs="Avenir Next"/>
          <w:spacing w:val="-1"/>
          <w:sz w:val="16"/>
          <w:szCs w:val="16"/>
        </w:rPr>
        <w:t>recommended</w:t>
      </w:r>
      <w:r>
        <w:rPr>
          <w:rFonts w:ascii="Avenir Next" w:eastAsia="Avenir Next" w:hAnsi="Avenir Next" w:cs="Avenir Next"/>
          <w:sz w:val="16"/>
          <w:szCs w:val="16"/>
        </w:rPr>
        <w:t xml:space="preserve"> by </w:t>
      </w:r>
      <w:r>
        <w:rPr>
          <w:rFonts w:ascii="Avenir Next" w:eastAsia="Avenir Next" w:hAnsi="Avenir Next" w:cs="Avenir Next"/>
          <w:spacing w:val="-2"/>
          <w:sz w:val="16"/>
          <w:szCs w:val="16"/>
        </w:rPr>
        <w:t>Cardno.</w:t>
      </w:r>
    </w:p>
    <w:p w:rsidR="00D96B91" w:rsidRDefault="00C2656B">
      <w:pPr>
        <w:numPr>
          <w:ilvl w:val="0"/>
          <w:numId w:val="59"/>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z w:val="16"/>
          <w:szCs w:val="16"/>
        </w:rPr>
        <w:t xml:space="preserve">See </w:t>
      </w:r>
      <w:r>
        <w:rPr>
          <w:rFonts w:ascii="Avenir Next" w:eastAsia="Avenir Next" w:hAnsi="Avenir Next" w:cs="Avenir Next"/>
          <w:spacing w:val="-2"/>
          <w:sz w:val="16"/>
          <w:szCs w:val="16"/>
        </w:rPr>
        <w:t>Cardno,</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Capital</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Expenditure,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November 2012.</w:t>
      </w:r>
    </w:p>
    <w:p w:rsidR="00D96B91" w:rsidRDefault="00C2656B">
      <w:pPr>
        <w:numPr>
          <w:ilvl w:val="0"/>
          <w:numId w:val="59"/>
        </w:numPr>
        <w:tabs>
          <w:tab w:val="left" w:pos="1758"/>
        </w:tabs>
        <w:spacing w:before="128" w:line="192" w:lineRule="exact"/>
        <w:ind w:right="1256" w:hanging="510"/>
        <w:rPr>
          <w:rFonts w:ascii="Avenir Next" w:eastAsia="Avenir Next" w:hAnsi="Avenir Next" w:cs="Avenir Next"/>
          <w:sz w:val="16"/>
          <w:szCs w:val="16"/>
        </w:rPr>
      </w:pPr>
      <w:r>
        <w:rPr>
          <w:rFonts w:ascii="Avenir Next" w:eastAsia="Avenir Next" w:hAnsi="Avenir Next" w:cs="Avenir Next"/>
          <w:sz w:val="16"/>
          <w:szCs w:val="16"/>
        </w:rPr>
        <w:t xml:space="preserve">With the </w:t>
      </w:r>
      <w:r>
        <w:rPr>
          <w:rFonts w:ascii="Avenir Next" w:eastAsia="Avenir Next" w:hAnsi="Avenir Next" w:cs="Avenir Next"/>
          <w:spacing w:val="-1"/>
          <w:sz w:val="16"/>
          <w:szCs w:val="16"/>
        </w:rPr>
        <w:t>re-integration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z w:val="16"/>
          <w:szCs w:val="16"/>
        </w:rPr>
        <w:t xml:space="preserve"> Division,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the Utilities Management</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Agreement</w:t>
      </w:r>
      <w:r>
        <w:rPr>
          <w:rFonts w:ascii="Avenir Next" w:eastAsia="Avenir Next" w:hAnsi="Avenir Next" w:cs="Avenir Next"/>
          <w:sz w:val="16"/>
          <w:szCs w:val="16"/>
        </w:rPr>
        <w:t xml:space="preserve"> (UMA) between</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and</w:t>
      </w:r>
      <w:r>
        <w:rPr>
          <w:rFonts w:ascii="Avenir Next" w:eastAsia="Avenir Next" w:hAnsi="Avenir Next" w:cs="Avenir Next"/>
          <w:spacing w:val="35"/>
          <w:sz w:val="16"/>
          <w:szCs w:val="16"/>
        </w:rPr>
        <w:t xml:space="preserve"> </w:t>
      </w:r>
      <w:r>
        <w:rPr>
          <w:rFonts w:ascii="Avenir Next" w:eastAsia="Avenir Next" w:hAnsi="Avenir Next" w:cs="Avenir Next"/>
          <w:spacing w:val="-1"/>
          <w:sz w:val="16"/>
          <w:szCs w:val="16"/>
        </w:rPr>
        <w:t>ActewAGL</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ceased</w:t>
      </w:r>
      <w:r>
        <w:rPr>
          <w:rFonts w:ascii="Avenir Next" w:eastAsia="Avenir Next" w:hAnsi="Avenir Next" w:cs="Avenir Next"/>
          <w:sz w:val="16"/>
          <w:szCs w:val="16"/>
        </w:rPr>
        <w:t xml:space="preserve"> to apply and </w:t>
      </w:r>
      <w:r>
        <w:rPr>
          <w:rFonts w:ascii="Avenir Next" w:eastAsia="Avenir Next" w:hAnsi="Avenir Next" w:cs="Avenir Next"/>
          <w:spacing w:val="-1"/>
          <w:sz w:val="16"/>
          <w:szCs w:val="16"/>
        </w:rPr>
        <w:t>certain</w:t>
      </w:r>
      <w:r>
        <w:rPr>
          <w:rFonts w:ascii="Avenir Next" w:eastAsia="Avenir Next" w:hAnsi="Avenir Next" w:cs="Avenir Next"/>
          <w:sz w:val="16"/>
          <w:szCs w:val="16"/>
        </w:rPr>
        <w:t xml:space="preserve"> functions </w:t>
      </w:r>
      <w:r>
        <w:rPr>
          <w:rFonts w:ascii="Avenir Next" w:eastAsia="Avenir Next" w:hAnsi="Avenir Next" w:cs="Avenir Next"/>
          <w:spacing w:val="-1"/>
          <w:sz w:val="16"/>
          <w:szCs w:val="16"/>
        </w:rPr>
        <w:t>previously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undertaken</w:t>
      </w:r>
      <w:r>
        <w:rPr>
          <w:rFonts w:ascii="Avenir Next" w:eastAsia="Avenir Next" w:hAnsi="Avenir Next" w:cs="Avenir Next"/>
          <w:sz w:val="16"/>
          <w:szCs w:val="16"/>
        </w:rPr>
        <w:t xml:space="preserve"> by</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ActewAGL</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on</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behalf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were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transferred</w:t>
      </w:r>
      <w:r>
        <w:rPr>
          <w:rFonts w:ascii="Avenir Next" w:eastAsia="Avenir Next" w:hAnsi="Avenir Next" w:cs="Avenir Next"/>
          <w:spacing w:val="87"/>
          <w:sz w:val="16"/>
          <w:szCs w:val="16"/>
        </w:rPr>
        <w:t xml:space="preserve"> </w:t>
      </w:r>
      <w:r>
        <w:rPr>
          <w:rFonts w:ascii="Avenir Next" w:eastAsia="Avenir Next" w:hAnsi="Avenir Next" w:cs="Avenir Next"/>
          <w:sz w:val="16"/>
          <w:szCs w:val="16"/>
        </w:rPr>
        <w:t>back to</w:t>
      </w:r>
      <w:r>
        <w:rPr>
          <w:rFonts w:ascii="Avenir Next" w:eastAsia="Avenir Next" w:hAnsi="Avenir Next" w:cs="Avenir Next"/>
          <w:spacing w:val="-3"/>
          <w:sz w:val="16"/>
          <w:szCs w:val="16"/>
        </w:rPr>
        <w:t xml:space="preserve"> ACTEW.</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 xml:space="preserve">As a </w:t>
      </w:r>
      <w:r>
        <w:rPr>
          <w:rFonts w:ascii="Avenir Next" w:eastAsia="Avenir Next" w:hAnsi="Avenir Next" w:cs="Avenir Next"/>
          <w:spacing w:val="-1"/>
          <w:sz w:val="16"/>
          <w:szCs w:val="16"/>
        </w:rPr>
        <w:t>result,</w:t>
      </w:r>
      <w:r>
        <w:rPr>
          <w:rFonts w:ascii="Avenir Next" w:eastAsia="Avenir Next" w:hAnsi="Avenir Next" w:cs="Avenir Next"/>
          <w:spacing w:val="-8"/>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was no longer </w:t>
      </w:r>
      <w:r>
        <w:rPr>
          <w:rFonts w:ascii="Avenir Next" w:eastAsia="Avenir Next" w:hAnsi="Avenir Next" w:cs="Avenir Next"/>
          <w:spacing w:val="-1"/>
          <w:sz w:val="16"/>
          <w:szCs w:val="16"/>
        </w:rPr>
        <w:t>required</w:t>
      </w:r>
      <w:r>
        <w:rPr>
          <w:rFonts w:ascii="Avenir Next" w:eastAsia="Avenir Next" w:hAnsi="Avenir Next" w:cs="Avenir Next"/>
          <w:sz w:val="16"/>
          <w:szCs w:val="16"/>
        </w:rPr>
        <w:t xml:space="preserve"> to pay a </w:t>
      </w:r>
      <w:r>
        <w:rPr>
          <w:rFonts w:ascii="Avenir Next" w:eastAsia="Avenir Next" w:hAnsi="Avenir Next" w:cs="Avenir Next"/>
          <w:spacing w:val="-1"/>
          <w:sz w:val="16"/>
          <w:szCs w:val="16"/>
        </w:rPr>
        <w:t>contractor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margin</w:t>
      </w:r>
      <w:r>
        <w:rPr>
          <w:rFonts w:ascii="Avenir Next" w:eastAsia="Avenir Next" w:hAnsi="Avenir Next" w:cs="Avenir Next"/>
          <w:sz w:val="16"/>
          <w:szCs w:val="16"/>
        </w:rPr>
        <w:t xml:space="preserve"> to</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ActewAGL</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(which had applied in</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 xml:space="preserve">addition to the payments made for service </w:t>
      </w:r>
      <w:r>
        <w:rPr>
          <w:rFonts w:ascii="Avenir Next" w:eastAsia="Avenir Next" w:hAnsi="Avenir Next" w:cs="Avenir Next"/>
          <w:spacing w:val="-1"/>
          <w:sz w:val="16"/>
          <w:szCs w:val="16"/>
        </w:rPr>
        <w:t>provision).</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331"/>
      </w:pPr>
      <w:r>
        <w:rPr>
          <w:rFonts w:cs="Avenir Next"/>
          <w:spacing w:val="-2"/>
        </w:rPr>
        <w:t>The</w:t>
      </w:r>
      <w:r>
        <w:rPr>
          <w:rFonts w:cs="Avenir Next"/>
        </w:rPr>
        <w:t xml:space="preserve"> ICRC found </w:t>
      </w:r>
      <w:r>
        <w:rPr>
          <w:rFonts w:cs="Avenir Next"/>
          <w:spacing w:val="-1"/>
        </w:rPr>
        <w:t>that</w:t>
      </w:r>
      <w:r>
        <w:rPr>
          <w:rFonts w:cs="Avenir Next"/>
        </w:rPr>
        <w:t xml:space="preserve"> the additional </w:t>
      </w:r>
      <w:r>
        <w:rPr>
          <w:rFonts w:cs="Avenir Next"/>
          <w:spacing w:val="-1"/>
        </w:rPr>
        <w:t>information</w:t>
      </w:r>
      <w:r>
        <w:rPr>
          <w:rFonts w:cs="Avenir Next"/>
        </w:rPr>
        <w:t xml:space="preserve"> </w:t>
      </w:r>
      <w:r>
        <w:rPr>
          <w:rFonts w:cs="Avenir Next"/>
          <w:spacing w:val="-1"/>
        </w:rPr>
        <w:t>submitted</w:t>
      </w:r>
      <w:r>
        <w:rPr>
          <w:rFonts w:cs="Avenir Next"/>
        </w:rPr>
        <w:t xml:space="preserve"> by</w:t>
      </w:r>
      <w:r>
        <w:rPr>
          <w:rFonts w:cs="Avenir Next"/>
          <w:spacing w:val="-4"/>
        </w:rPr>
        <w:t xml:space="preserve"> </w:t>
      </w:r>
      <w:r>
        <w:rPr>
          <w:rFonts w:cs="Avenir Next"/>
          <w:spacing w:val="-2"/>
        </w:rPr>
        <w:t>ACTEW</w:t>
      </w:r>
      <w:r>
        <w:rPr>
          <w:rFonts w:cs="Avenir Next"/>
          <w:spacing w:val="-3"/>
        </w:rPr>
        <w:t xml:space="preserve"> </w:t>
      </w:r>
      <w:r>
        <w:rPr>
          <w:rFonts w:cs="Avenir Next"/>
        </w:rPr>
        <w:t xml:space="preserve">on </w:t>
      </w:r>
      <w:r>
        <w:rPr>
          <w:rFonts w:cs="Avenir Next"/>
          <w:spacing w:val="-1"/>
        </w:rPr>
        <w:t>operating</w:t>
      </w:r>
      <w:r>
        <w:rPr>
          <w:rFonts w:cs="Avenir Next"/>
        </w:rPr>
        <w:t xml:space="preserve"> </w:t>
      </w:r>
      <w:r>
        <w:rPr>
          <w:rFonts w:cs="Avenir Next"/>
          <w:spacing w:val="-1"/>
        </w:rPr>
        <w:t>expenditure</w:t>
      </w:r>
      <w:r>
        <w:rPr>
          <w:rFonts w:cs="Avenir Next"/>
        </w:rPr>
        <w:t xml:space="preserve"> (and in</w:t>
      </w:r>
      <w:r>
        <w:rPr>
          <w:rFonts w:cs="Avenir Next"/>
          <w:spacing w:val="61"/>
        </w:rPr>
        <w:t xml:space="preserve"> </w:t>
      </w:r>
      <w:r>
        <w:rPr>
          <w:spacing w:val="-1"/>
        </w:rPr>
        <w:t xml:space="preserve">particular </w:t>
      </w:r>
      <w:r>
        <w:t>the step</w:t>
      </w:r>
      <w:r>
        <w:rPr>
          <w:spacing w:val="-1"/>
        </w:rPr>
        <w:t xml:space="preserve"> </w:t>
      </w:r>
      <w:r>
        <w:t>changes in</w:t>
      </w:r>
      <w:r>
        <w:rPr>
          <w:spacing w:val="-1"/>
        </w:rPr>
        <w:t xml:space="preserve"> expenditure)</w:t>
      </w:r>
      <w:r>
        <w:t xml:space="preserve"> </w:t>
      </w:r>
      <w:r>
        <w:rPr>
          <w:spacing w:val="-1"/>
        </w:rPr>
        <w:t xml:space="preserve">provided </w:t>
      </w:r>
      <w:r>
        <w:t xml:space="preserve">a </w:t>
      </w:r>
      <w:r>
        <w:rPr>
          <w:spacing w:val="-1"/>
        </w:rPr>
        <w:t xml:space="preserve">better </w:t>
      </w:r>
      <w:r>
        <w:t>basis for the</w:t>
      </w:r>
      <w:r>
        <w:rPr>
          <w:spacing w:val="-1"/>
        </w:rPr>
        <w:t xml:space="preserve"> </w:t>
      </w:r>
      <w:r>
        <w:t>assessment of</w:t>
      </w:r>
      <w:r>
        <w:rPr>
          <w:spacing w:val="3"/>
        </w:rPr>
        <w:t xml:space="preserve"> </w:t>
      </w:r>
      <w:r>
        <w:t xml:space="preserve">the </w:t>
      </w:r>
      <w:r>
        <w:rPr>
          <w:spacing w:val="-1"/>
        </w:rPr>
        <w:t>efficiency</w:t>
      </w:r>
      <w:r>
        <w:rPr>
          <w:spacing w:val="53"/>
          <w:w w:val="99"/>
        </w:rPr>
        <w:t xml:space="preserve"> </w:t>
      </w:r>
      <w:r>
        <w:t>of</w:t>
      </w:r>
      <w:r>
        <w:rPr>
          <w:spacing w:val="4"/>
        </w:rPr>
        <w:t xml:space="preserve"> </w:t>
      </w:r>
      <w:r>
        <w:t>these</w:t>
      </w:r>
      <w:r>
        <w:rPr>
          <w:spacing w:val="1"/>
        </w:rPr>
        <w:t xml:space="preserve"> </w:t>
      </w:r>
      <w:r>
        <w:t>costs</w:t>
      </w:r>
      <w:r>
        <w:rPr>
          <w:spacing w:val="1"/>
        </w:rPr>
        <w:t xml:space="preserve"> </w:t>
      </w:r>
      <w:r>
        <w:rPr>
          <w:spacing w:val="-1"/>
        </w:rPr>
        <w:t>compared</w:t>
      </w:r>
      <w:r>
        <w:t xml:space="preserve"> to</w:t>
      </w:r>
      <w:r>
        <w:rPr>
          <w:spacing w:val="1"/>
        </w:rPr>
        <w:t xml:space="preserve"> </w:t>
      </w:r>
      <w:r>
        <w:t>the</w:t>
      </w:r>
      <w:r>
        <w:rPr>
          <w:spacing w:val="1"/>
        </w:rPr>
        <w:t xml:space="preserve"> </w:t>
      </w:r>
      <w:r>
        <w:rPr>
          <w:spacing w:val="-1"/>
        </w:rPr>
        <w:t>information</w:t>
      </w:r>
      <w:r>
        <w:t xml:space="preserve"> </w:t>
      </w:r>
      <w:r>
        <w:rPr>
          <w:spacing w:val="-1"/>
        </w:rPr>
        <w:t>provided</w:t>
      </w:r>
      <w:r>
        <w:rPr>
          <w:spacing w:val="1"/>
        </w:rPr>
        <w:t xml:space="preserve"> </w:t>
      </w:r>
      <w:r>
        <w:t>in</w:t>
      </w:r>
      <w:r>
        <w:rPr>
          <w:spacing w:val="1"/>
        </w:rPr>
        <w:t xml:space="preserve"> </w:t>
      </w:r>
      <w:r>
        <w:t>the</w:t>
      </w:r>
      <w:r>
        <w:rPr>
          <w:spacing w:val="-3"/>
        </w:rPr>
        <w:t xml:space="preserve"> </w:t>
      </w:r>
      <w:r>
        <w:t>July</w:t>
      </w:r>
      <w:r>
        <w:rPr>
          <w:spacing w:val="1"/>
        </w:rPr>
        <w:t xml:space="preserve"> </w:t>
      </w:r>
      <w:r>
        <w:t>2012</w:t>
      </w:r>
      <w:r>
        <w:rPr>
          <w:spacing w:val="1"/>
        </w:rPr>
        <w:t xml:space="preserve"> </w:t>
      </w:r>
      <w:r>
        <w:rPr>
          <w:spacing w:val="-1"/>
        </w:rPr>
        <w:t>submission.</w:t>
      </w:r>
      <w:r>
        <w:rPr>
          <w:spacing w:val="-1"/>
          <w:position w:val="7"/>
          <w:sz w:val="11"/>
          <w:szCs w:val="11"/>
        </w:rPr>
        <w:t>182</w:t>
      </w:r>
      <w:r>
        <w:rPr>
          <w:spacing w:val="18"/>
          <w:position w:val="7"/>
          <w:sz w:val="11"/>
          <w:szCs w:val="11"/>
        </w:rPr>
        <w:t xml:space="preserve"> </w:t>
      </w:r>
      <w:r>
        <w:rPr>
          <w:rFonts w:cs="Avenir Next"/>
          <w:spacing w:val="-2"/>
        </w:rPr>
        <w:t>Therefore,</w:t>
      </w:r>
      <w:r>
        <w:rPr>
          <w:rFonts w:cs="Avenir Next"/>
          <w:spacing w:val="-5"/>
        </w:rPr>
        <w:t xml:space="preserve"> </w:t>
      </w:r>
      <w:r>
        <w:rPr>
          <w:rFonts w:cs="Avenir Next"/>
        </w:rPr>
        <w:t>it</w:t>
      </w:r>
      <w:r>
        <w:rPr>
          <w:rFonts w:cs="Avenir Next"/>
          <w:spacing w:val="77"/>
        </w:rPr>
        <w:t xml:space="preserve"> </w:t>
      </w:r>
      <w:r>
        <w:rPr>
          <w:spacing w:val="-1"/>
        </w:rPr>
        <w:t>largely</w:t>
      </w:r>
      <w:r>
        <w:t xml:space="preserve"> accepted</w:t>
      </w:r>
      <w:r>
        <w:rPr>
          <w:spacing w:val="-4"/>
        </w:rPr>
        <w:t xml:space="preserve"> </w:t>
      </w:r>
      <w:r>
        <w:rPr>
          <w:spacing w:val="-2"/>
        </w:rPr>
        <w:t>ACTEW’s</w:t>
      </w:r>
      <w:r>
        <w:t xml:space="preserve"> </w:t>
      </w:r>
      <w:r>
        <w:rPr>
          <w:spacing w:val="-1"/>
        </w:rPr>
        <w:t>forecast</w:t>
      </w:r>
      <w:r>
        <w:t xml:space="preserve"> </w:t>
      </w:r>
      <w:r>
        <w:rPr>
          <w:spacing w:val="-1"/>
        </w:rPr>
        <w:t>operating</w:t>
      </w:r>
      <w:r>
        <w:t xml:space="preserve"> </w:t>
      </w:r>
      <w:r>
        <w:rPr>
          <w:spacing w:val="-1"/>
        </w:rPr>
        <w:t>expenditure</w:t>
      </w:r>
      <w:r>
        <w:t xml:space="preserve"> for 2013-14 and 2014-15.</w:t>
      </w:r>
    </w:p>
    <w:p w:rsidR="00D96B91" w:rsidRDefault="00C2656B">
      <w:pPr>
        <w:pStyle w:val="BodyText"/>
        <w:spacing w:before="178"/>
        <w:rPr>
          <w:sz w:val="11"/>
          <w:szCs w:val="11"/>
        </w:rPr>
      </w:pPr>
      <w:r>
        <w:rPr>
          <w:spacing w:val="-2"/>
        </w:rPr>
        <w:t>However,</w:t>
      </w:r>
      <w:r>
        <w:rPr>
          <w:spacing w:val="-5"/>
        </w:rPr>
        <w:t xml:space="preserve"> </w:t>
      </w:r>
      <w:r>
        <w:t>the</w:t>
      </w:r>
      <w:r>
        <w:rPr>
          <w:spacing w:val="2"/>
        </w:rPr>
        <w:t xml:space="preserve"> </w:t>
      </w:r>
      <w:r>
        <w:t>ICRC</w:t>
      </w:r>
      <w:r>
        <w:rPr>
          <w:spacing w:val="1"/>
        </w:rPr>
        <w:t xml:space="preserve"> </w:t>
      </w:r>
      <w:r>
        <w:rPr>
          <w:spacing w:val="-1"/>
        </w:rPr>
        <w:t>indicated</w:t>
      </w:r>
      <w:r>
        <w:rPr>
          <w:spacing w:val="2"/>
        </w:rPr>
        <w:t xml:space="preserve"> </w:t>
      </w:r>
      <w:r>
        <w:rPr>
          <w:spacing w:val="-1"/>
        </w:rPr>
        <w:t>that</w:t>
      </w:r>
      <w:r>
        <w:rPr>
          <w:spacing w:val="2"/>
        </w:rPr>
        <w:t xml:space="preserve"> </w:t>
      </w:r>
      <w:r>
        <w:t>it</w:t>
      </w:r>
      <w:r>
        <w:rPr>
          <w:spacing w:val="1"/>
        </w:rPr>
        <w:t xml:space="preserve"> </w:t>
      </w:r>
      <w:r>
        <w:t>would:</w:t>
      </w:r>
      <w:r>
        <w:rPr>
          <w:spacing w:val="2"/>
        </w:rPr>
        <w:t xml:space="preserve"> </w:t>
      </w:r>
      <w:r>
        <w:rPr>
          <w:position w:val="7"/>
          <w:sz w:val="11"/>
        </w:rPr>
        <w:t>183</w:t>
      </w:r>
    </w:p>
    <w:p w:rsidR="00D96B91" w:rsidRDefault="00C2656B">
      <w:pPr>
        <w:pStyle w:val="BodyText"/>
        <w:spacing w:before="149" w:line="260" w:lineRule="exact"/>
        <w:ind w:left="1644" w:right="1664"/>
      </w:pPr>
      <w:r>
        <w:rPr>
          <w:spacing w:val="-9"/>
        </w:rPr>
        <w:t>“…</w:t>
      </w:r>
      <w:r>
        <w:rPr>
          <w:spacing w:val="-6"/>
        </w:rPr>
        <w:t xml:space="preserve"> </w:t>
      </w:r>
      <w:r>
        <w:rPr>
          <w:spacing w:val="-1"/>
        </w:rPr>
        <w:t>take</w:t>
      </w:r>
      <w:r>
        <w:t xml:space="preserve"> the necessary steps in </w:t>
      </w:r>
      <w:r>
        <w:rPr>
          <w:spacing w:val="-1"/>
        </w:rPr>
        <w:t>concert</w:t>
      </w:r>
      <w:r>
        <w:t xml:space="preserve"> with</w:t>
      </w:r>
      <w:r>
        <w:rPr>
          <w:spacing w:val="-4"/>
        </w:rPr>
        <w:t xml:space="preserve"> </w:t>
      </w:r>
      <w:r>
        <w:rPr>
          <w:spacing w:val="-2"/>
        </w:rPr>
        <w:t>ACTEW</w:t>
      </w:r>
      <w:r>
        <w:rPr>
          <w:spacing w:val="-3"/>
        </w:rPr>
        <w:t xml:space="preserve"> </w:t>
      </w:r>
      <w:r>
        <w:t xml:space="preserve">to </w:t>
      </w:r>
      <w:r>
        <w:rPr>
          <w:spacing w:val="-1"/>
        </w:rPr>
        <w:t>ensure</w:t>
      </w:r>
      <w:r>
        <w:t xml:space="preserve"> </w:t>
      </w:r>
      <w:r>
        <w:rPr>
          <w:spacing w:val="-1"/>
        </w:rPr>
        <w:t>that</w:t>
      </w:r>
      <w:r>
        <w:t xml:space="preserve"> for </w:t>
      </w:r>
      <w:r>
        <w:rPr>
          <w:spacing w:val="-1"/>
        </w:rPr>
        <w:t>each</w:t>
      </w:r>
      <w:r>
        <w:t xml:space="preserve"> of</w:t>
      </w:r>
      <w:r>
        <w:rPr>
          <w:spacing w:val="4"/>
        </w:rPr>
        <w:t xml:space="preserve"> </w:t>
      </w:r>
      <w:r>
        <w:t>the biennial</w:t>
      </w:r>
      <w:r>
        <w:rPr>
          <w:spacing w:val="29"/>
        </w:rPr>
        <w:t xml:space="preserve"> </w:t>
      </w:r>
      <w:r>
        <w:rPr>
          <w:spacing w:val="-1"/>
        </w:rPr>
        <w:t xml:space="preserve">recalibrations throughout </w:t>
      </w:r>
      <w:r>
        <w:t>the</w:t>
      </w:r>
      <w:r>
        <w:rPr>
          <w:spacing w:val="-1"/>
        </w:rPr>
        <w:t xml:space="preserve"> next regulatory </w:t>
      </w:r>
      <w:r>
        <w:t>period</w:t>
      </w:r>
      <w:r>
        <w:rPr>
          <w:spacing w:val="-1"/>
        </w:rPr>
        <w:t xml:space="preserve"> there</w:t>
      </w:r>
      <w:r>
        <w:t xml:space="preserve"> is</w:t>
      </w:r>
      <w:r>
        <w:rPr>
          <w:spacing w:val="-1"/>
        </w:rPr>
        <w:t xml:space="preserve"> </w:t>
      </w:r>
      <w:r>
        <w:t>a</w:t>
      </w:r>
      <w:r>
        <w:rPr>
          <w:spacing w:val="-1"/>
        </w:rPr>
        <w:t xml:space="preserve"> </w:t>
      </w:r>
      <w:r>
        <w:t>higher</w:t>
      </w:r>
      <w:r>
        <w:rPr>
          <w:spacing w:val="-1"/>
        </w:rPr>
        <w:t xml:space="preserve"> degree </w:t>
      </w:r>
      <w:r>
        <w:t>of</w:t>
      </w:r>
      <w:r>
        <w:rPr>
          <w:spacing w:val="3"/>
        </w:rPr>
        <w:t xml:space="preserve"> </w:t>
      </w:r>
      <w:r>
        <w:t>confidence</w:t>
      </w:r>
      <w:r>
        <w:rPr>
          <w:spacing w:val="41"/>
          <w:w w:val="99"/>
        </w:rPr>
        <w:t xml:space="preserve"> </w:t>
      </w:r>
      <w:r>
        <w:rPr>
          <w:spacing w:val="-1"/>
        </w:rPr>
        <w:t>that</w:t>
      </w:r>
      <w:r>
        <w:rPr>
          <w:spacing w:val="-5"/>
        </w:rPr>
        <w:t xml:space="preserve"> </w:t>
      </w:r>
      <w:r>
        <w:rPr>
          <w:spacing w:val="-2"/>
        </w:rPr>
        <w:t>ACTEW’s</w:t>
      </w:r>
      <w:r>
        <w:t xml:space="preserve"> </w:t>
      </w:r>
      <w:r>
        <w:rPr>
          <w:spacing w:val="-1"/>
        </w:rPr>
        <w:t>proposed operating</w:t>
      </w:r>
      <w:r>
        <w:t xml:space="preserve"> </w:t>
      </w:r>
      <w:r>
        <w:rPr>
          <w:spacing w:val="-1"/>
        </w:rPr>
        <w:t>expenditure</w:t>
      </w:r>
      <w:r>
        <w:t xml:space="preserve"> is</w:t>
      </w:r>
      <w:r>
        <w:rPr>
          <w:spacing w:val="-1"/>
        </w:rPr>
        <w:t xml:space="preserve"> at</w:t>
      </w:r>
      <w:r>
        <w:t xml:space="preserve"> an</w:t>
      </w:r>
      <w:r>
        <w:rPr>
          <w:spacing w:val="-1"/>
        </w:rPr>
        <w:t xml:space="preserve"> efficient</w:t>
      </w:r>
      <w:r>
        <w:t xml:space="preserve"> level.</w:t>
      </w:r>
      <w:r>
        <w:rPr>
          <w:spacing w:val="-11"/>
        </w:rPr>
        <w:t xml:space="preserve"> </w:t>
      </w:r>
      <w:r>
        <w:rPr>
          <w:spacing w:val="-1"/>
        </w:rPr>
        <w:t xml:space="preserve">This </w:t>
      </w:r>
      <w:r>
        <w:t xml:space="preserve">will </w:t>
      </w:r>
      <w:r>
        <w:rPr>
          <w:spacing w:val="-2"/>
        </w:rPr>
        <w:t>reassure</w:t>
      </w:r>
      <w:r>
        <w:rPr>
          <w:spacing w:val="-1"/>
        </w:rPr>
        <w:t xml:space="preserve"> </w:t>
      </w:r>
      <w:r>
        <w:t>the</w:t>
      </w:r>
      <w:r>
        <w:rPr>
          <w:spacing w:val="-4"/>
        </w:rPr>
        <w:t xml:space="preserve"> </w:t>
      </w:r>
      <w:r>
        <w:rPr>
          <w:spacing w:val="-2"/>
        </w:rPr>
        <w:t>ACT</w:t>
      </w:r>
      <w:r>
        <w:rPr>
          <w:spacing w:val="55"/>
        </w:rPr>
        <w:t xml:space="preserve"> </w:t>
      </w:r>
      <w:r>
        <w:t>community</w:t>
      </w:r>
      <w:r>
        <w:rPr>
          <w:spacing w:val="-1"/>
        </w:rPr>
        <w:t xml:space="preserve"> that water</w:t>
      </w:r>
      <w:r>
        <w:t xml:space="preserve"> and</w:t>
      </w:r>
      <w:r>
        <w:rPr>
          <w:spacing w:val="-1"/>
        </w:rPr>
        <w:t xml:space="preserve"> sewerage</w:t>
      </w:r>
      <w:r>
        <w:t xml:space="preserve"> services</w:t>
      </w:r>
      <w:r>
        <w:rPr>
          <w:spacing w:val="-1"/>
        </w:rPr>
        <w:t xml:space="preserve"> </w:t>
      </w:r>
      <w:r>
        <w:rPr>
          <w:spacing w:val="-2"/>
        </w:rPr>
        <w:t>are</w:t>
      </w:r>
      <w:r>
        <w:rPr>
          <w:spacing w:val="-1"/>
        </w:rPr>
        <w:t xml:space="preserve"> </w:t>
      </w:r>
      <w:r>
        <w:t xml:space="preserve">being </w:t>
      </w:r>
      <w:r>
        <w:rPr>
          <w:spacing w:val="-1"/>
        </w:rPr>
        <w:t xml:space="preserve">provided </w:t>
      </w:r>
      <w:r>
        <w:t xml:space="preserve">as </w:t>
      </w:r>
      <w:r>
        <w:rPr>
          <w:spacing w:val="-1"/>
        </w:rPr>
        <w:t xml:space="preserve">efficiently </w:t>
      </w:r>
      <w:r>
        <w:t xml:space="preserve">as </w:t>
      </w:r>
      <w:r>
        <w:rPr>
          <w:spacing w:val="-2"/>
        </w:rPr>
        <w:t>possible.”</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0"/>
        </w:numPr>
        <w:tabs>
          <w:tab w:val="left" w:pos="2098"/>
        </w:tabs>
        <w:ind w:hanging="850"/>
      </w:pPr>
      <w:r>
        <w:rPr>
          <w:color w:val="0778BE"/>
          <w:spacing w:val="-3"/>
        </w:rPr>
        <w:t>ACTEW’s</w:t>
      </w:r>
      <w:r>
        <w:rPr>
          <w:color w:val="0778BE"/>
        </w:rPr>
        <w:t xml:space="preserve"> SOFC</w:t>
      </w:r>
    </w:p>
    <w:p w:rsidR="00D96B91" w:rsidRDefault="00C2656B">
      <w:pPr>
        <w:pStyle w:val="BodyText"/>
        <w:spacing w:before="21" w:line="260" w:lineRule="exact"/>
        <w:ind w:right="1283"/>
        <w:rPr>
          <w:sz w:val="11"/>
          <w:szCs w:val="11"/>
        </w:rPr>
      </w:pPr>
      <w:r>
        <w:t>In its</w:t>
      </w:r>
      <w:r>
        <w:rPr>
          <w:spacing w:val="1"/>
        </w:rPr>
        <w:t xml:space="preserve"> </w:t>
      </w:r>
      <w:r>
        <w:t>SOFC,</w:t>
      </w:r>
      <w:r>
        <w:rPr>
          <w:spacing w:val="-9"/>
        </w:rPr>
        <w:t xml:space="preserve"> </w:t>
      </w:r>
      <w:r>
        <w:rPr>
          <w:spacing w:val="-2"/>
        </w:rPr>
        <w:t xml:space="preserve">ACTEW </w:t>
      </w:r>
      <w:r>
        <w:rPr>
          <w:spacing w:val="-1"/>
        </w:rPr>
        <w:t>submitted</w:t>
      </w:r>
      <w:r>
        <w:rPr>
          <w:spacing w:val="1"/>
        </w:rPr>
        <w:t xml:space="preserve"> </w:t>
      </w:r>
      <w:r>
        <w:rPr>
          <w:spacing w:val="-1"/>
        </w:rPr>
        <w:t>proposed</w:t>
      </w:r>
      <w:r>
        <w:rPr>
          <w:spacing w:val="1"/>
        </w:rPr>
        <w:t xml:space="preserve"> </w:t>
      </w:r>
      <w:r>
        <w:rPr>
          <w:spacing w:val="-1"/>
        </w:rPr>
        <w:t>operating</w:t>
      </w:r>
      <w:r>
        <w:rPr>
          <w:spacing w:val="1"/>
        </w:rPr>
        <w:t xml:space="preserve"> </w:t>
      </w:r>
      <w:r>
        <w:rPr>
          <w:spacing w:val="-1"/>
        </w:rPr>
        <w:t>expenditure</w:t>
      </w:r>
      <w:r>
        <w:rPr>
          <w:spacing w:val="1"/>
        </w:rPr>
        <w:t xml:space="preserve"> </w:t>
      </w:r>
      <w:r>
        <w:rPr>
          <w:spacing w:val="-1"/>
        </w:rPr>
        <w:t>forecasts</w:t>
      </w:r>
      <w:r>
        <w:rPr>
          <w:spacing w:val="1"/>
        </w:rPr>
        <w:t xml:space="preserve"> </w:t>
      </w:r>
      <w:r>
        <w:t>for</w:t>
      </w:r>
      <w:r>
        <w:rPr>
          <w:spacing w:val="1"/>
        </w:rPr>
        <w:t xml:space="preserve"> </w:t>
      </w:r>
      <w:r>
        <w:t>2013-14</w:t>
      </w:r>
      <w:r>
        <w:rPr>
          <w:spacing w:val="1"/>
        </w:rPr>
        <w:t xml:space="preserve"> </w:t>
      </w:r>
      <w:r>
        <w:t>to</w:t>
      </w:r>
      <w:r>
        <w:rPr>
          <w:spacing w:val="1"/>
        </w:rPr>
        <w:t xml:space="preserve"> </w:t>
      </w:r>
      <w:r>
        <w:rPr>
          <w:spacing w:val="-1"/>
        </w:rPr>
        <w:t>2017-18.</w:t>
      </w:r>
      <w:r>
        <w:rPr>
          <w:spacing w:val="-1"/>
          <w:position w:val="7"/>
          <w:sz w:val="11"/>
          <w:szCs w:val="11"/>
        </w:rPr>
        <w:t>184</w:t>
      </w:r>
      <w:r>
        <w:rPr>
          <w:spacing w:val="77"/>
          <w:w w:val="106"/>
          <w:position w:val="7"/>
          <w:sz w:val="11"/>
          <w:szCs w:val="11"/>
        </w:rPr>
        <w:t xml:space="preserve"> </w:t>
      </w:r>
      <w:r>
        <w:rPr>
          <w:spacing w:val="-1"/>
        </w:rPr>
        <w:t>These</w:t>
      </w:r>
      <w:r>
        <w:t xml:space="preserve"> </w:t>
      </w:r>
      <w:r>
        <w:rPr>
          <w:spacing w:val="-1"/>
        </w:rPr>
        <w:t>forecasts</w:t>
      </w:r>
      <w:r>
        <w:t xml:space="preserve"> </w:t>
      </w:r>
      <w:r>
        <w:rPr>
          <w:spacing w:val="-2"/>
        </w:rPr>
        <w:t>are</w:t>
      </w:r>
      <w:r>
        <w:t xml:space="preserve"> consistent with the </w:t>
      </w:r>
      <w:r>
        <w:rPr>
          <w:spacing w:val="-1"/>
        </w:rPr>
        <w:t>forecasts</w:t>
      </w:r>
      <w:r>
        <w:t xml:space="preserve"> in</w:t>
      </w:r>
      <w:r>
        <w:rPr>
          <w:spacing w:val="-4"/>
        </w:rPr>
        <w:t xml:space="preserve"> </w:t>
      </w:r>
      <w:r>
        <w:rPr>
          <w:spacing w:val="-2"/>
        </w:rPr>
        <w:t>ACTEW’s</w:t>
      </w:r>
      <w:r>
        <w:rPr>
          <w:spacing w:val="-4"/>
        </w:rPr>
        <w:t xml:space="preserve"> </w:t>
      </w:r>
      <w:r>
        <w:t xml:space="preserve">April 2013 submission to the </w:t>
      </w:r>
      <w:r>
        <w:rPr>
          <w:spacing w:val="-2"/>
        </w:rPr>
        <w:t>ICRC’s</w:t>
      </w:r>
      <w:r>
        <w:t xml:space="preserve"> </w:t>
      </w:r>
      <w:r>
        <w:rPr>
          <w:spacing w:val="-2"/>
        </w:rPr>
        <w:t>draft</w:t>
      </w:r>
      <w:r>
        <w:rPr>
          <w:spacing w:val="41"/>
        </w:rPr>
        <w:t xml:space="preserve"> </w:t>
      </w:r>
      <w:r>
        <w:t>decision,</w:t>
      </w:r>
      <w:r>
        <w:rPr>
          <w:spacing w:val="-6"/>
        </w:rPr>
        <w:t xml:space="preserve"> </w:t>
      </w:r>
      <w:r>
        <w:t>with one adjustment.</w:t>
      </w:r>
      <w:r>
        <w:rPr>
          <w:spacing w:val="-11"/>
        </w:rPr>
        <w:t xml:space="preserve"> </w:t>
      </w:r>
      <w:r>
        <w:rPr>
          <w:spacing w:val="-2"/>
        </w:rPr>
        <w:t>The</w:t>
      </w:r>
      <w:r>
        <w:t xml:space="preserve"> </w:t>
      </w:r>
      <w:r>
        <w:rPr>
          <w:spacing w:val="-1"/>
        </w:rPr>
        <w:t>Uriarra</w:t>
      </w:r>
      <w:r>
        <w:t xml:space="preserve"> component of</w:t>
      </w:r>
      <w:r>
        <w:rPr>
          <w:spacing w:val="4"/>
        </w:rPr>
        <w:t xml:space="preserve"> </w:t>
      </w:r>
      <w:r>
        <w:rPr>
          <w:spacing w:val="-1"/>
        </w:rPr>
        <w:t>sewerage</w:t>
      </w:r>
      <w:r>
        <w:t xml:space="preserve"> </w:t>
      </w:r>
      <w:r>
        <w:rPr>
          <w:spacing w:val="-1"/>
        </w:rPr>
        <w:t>operating</w:t>
      </w:r>
      <w:r>
        <w:t xml:space="preserve"> costs has been </w:t>
      </w:r>
      <w:r>
        <w:rPr>
          <w:spacing w:val="-1"/>
        </w:rPr>
        <w:t>removed.</w:t>
      </w:r>
      <w:r>
        <w:rPr>
          <w:spacing w:val="39"/>
        </w:rPr>
        <w:t xml:space="preserve"> </w:t>
      </w:r>
      <w:r>
        <w:rPr>
          <w:rFonts w:cs="Avenir Next"/>
          <w:spacing w:val="-2"/>
        </w:rPr>
        <w:t>ACTEW</w:t>
      </w:r>
      <w:r>
        <w:rPr>
          <w:rFonts w:cs="Avenir Next"/>
          <w:spacing w:val="-3"/>
        </w:rPr>
        <w:t xml:space="preserve"> </w:t>
      </w:r>
      <w:r>
        <w:rPr>
          <w:rFonts w:cs="Avenir Next"/>
        </w:rPr>
        <w:t xml:space="preserve">informed the </w:t>
      </w:r>
      <w:r>
        <w:rPr>
          <w:rFonts w:cs="Avenir Next"/>
          <w:spacing w:val="-3"/>
        </w:rPr>
        <w:t>Panel</w:t>
      </w:r>
      <w:r>
        <w:rPr>
          <w:rFonts w:cs="Avenir Next"/>
        </w:rPr>
        <w:t xml:space="preserve"> </w:t>
      </w:r>
      <w:r>
        <w:rPr>
          <w:rFonts w:cs="Avenir Next"/>
          <w:spacing w:val="-1"/>
        </w:rPr>
        <w:t>that</w:t>
      </w:r>
      <w:r>
        <w:rPr>
          <w:rFonts w:cs="Avenir Next"/>
        </w:rPr>
        <w:t xml:space="preserve"> this has the same </w:t>
      </w:r>
      <w:r>
        <w:rPr>
          <w:rFonts w:cs="Avenir Next"/>
          <w:spacing w:val="-1"/>
        </w:rPr>
        <w:t>effect</w:t>
      </w:r>
      <w:r>
        <w:rPr>
          <w:rFonts w:cs="Avenir Next"/>
        </w:rPr>
        <w:t xml:space="preserve"> on its </w:t>
      </w:r>
      <w:r>
        <w:rPr>
          <w:rFonts w:cs="Avenir Next"/>
          <w:spacing w:val="-1"/>
        </w:rPr>
        <w:t>forecast</w:t>
      </w:r>
      <w:r>
        <w:rPr>
          <w:rFonts w:cs="Avenir Next"/>
        </w:rPr>
        <w:t xml:space="preserve"> </w:t>
      </w:r>
      <w:r>
        <w:rPr>
          <w:rFonts w:cs="Avenir Next"/>
          <w:spacing w:val="-1"/>
        </w:rPr>
        <w:t>revenue</w:t>
      </w:r>
      <w:r>
        <w:rPr>
          <w:rFonts w:cs="Avenir Next"/>
        </w:rPr>
        <w:t xml:space="preserve"> </w:t>
      </w:r>
      <w:r>
        <w:rPr>
          <w:rFonts w:cs="Avenir Next"/>
          <w:spacing w:val="-1"/>
        </w:rPr>
        <w:t>requirement</w:t>
      </w:r>
      <w:r>
        <w:rPr>
          <w:rFonts w:cs="Avenir Next"/>
        </w:rPr>
        <w:t xml:space="preserve"> as the</w:t>
      </w:r>
      <w:r>
        <w:rPr>
          <w:rFonts w:cs="Avenir Next"/>
          <w:spacing w:val="39"/>
        </w:rPr>
        <w:t xml:space="preserve"> </w:t>
      </w:r>
      <w:r>
        <w:rPr>
          <w:spacing w:val="-2"/>
        </w:rPr>
        <w:t>ICRC’s</w:t>
      </w:r>
      <w:r>
        <w:rPr>
          <w:spacing w:val="-1"/>
        </w:rPr>
        <w:t xml:space="preserve"> </w:t>
      </w:r>
      <w:r>
        <w:t>final</w:t>
      </w:r>
      <w:r>
        <w:rPr>
          <w:spacing w:val="-1"/>
        </w:rPr>
        <w:t xml:space="preserve"> </w:t>
      </w:r>
      <w:r>
        <w:t>decisions to</w:t>
      </w:r>
      <w:r>
        <w:rPr>
          <w:spacing w:val="-1"/>
        </w:rPr>
        <w:t xml:space="preserve"> reflect</w:t>
      </w:r>
      <w:r>
        <w:t xml:space="preserve"> the</w:t>
      </w:r>
      <w:r>
        <w:rPr>
          <w:spacing w:val="-1"/>
        </w:rPr>
        <w:t xml:space="preserve"> operating</w:t>
      </w:r>
      <w:r>
        <w:t xml:space="preserve"> costs</w:t>
      </w:r>
      <w:r>
        <w:rPr>
          <w:spacing w:val="-1"/>
        </w:rPr>
        <w:t xml:space="preserve"> </w:t>
      </w:r>
      <w:r>
        <w:t>of</w:t>
      </w:r>
      <w:r>
        <w:rPr>
          <w:spacing w:val="4"/>
        </w:rPr>
        <w:t xml:space="preserve"> </w:t>
      </w:r>
      <w:r>
        <w:t>a</w:t>
      </w:r>
      <w:r>
        <w:rPr>
          <w:spacing w:val="-1"/>
        </w:rPr>
        <w:t xml:space="preserve"> package</w:t>
      </w:r>
      <w:r>
        <w:t xml:space="preserve"> plant</w:t>
      </w:r>
      <w:r>
        <w:rPr>
          <w:spacing w:val="-1"/>
        </w:rPr>
        <w:t xml:space="preserve"> </w:t>
      </w:r>
      <w:r>
        <w:t xml:space="preserve">and </w:t>
      </w:r>
      <w:r>
        <w:rPr>
          <w:spacing w:val="-2"/>
        </w:rPr>
        <w:t>treat</w:t>
      </w:r>
      <w:r>
        <w:rPr>
          <w:spacing w:val="-1"/>
        </w:rPr>
        <w:t xml:space="preserve"> </w:t>
      </w:r>
      <w:r>
        <w:t xml:space="preserve">the </w:t>
      </w:r>
      <w:r>
        <w:rPr>
          <w:spacing w:val="-1"/>
        </w:rPr>
        <w:t xml:space="preserve">recovery </w:t>
      </w:r>
      <w:r>
        <w:t>of</w:t>
      </w:r>
      <w:r>
        <w:rPr>
          <w:spacing w:val="4"/>
        </w:rPr>
        <w:t xml:space="preserve"> </w:t>
      </w:r>
      <w:r>
        <w:t>the</w:t>
      </w:r>
      <w:r>
        <w:rPr>
          <w:spacing w:val="41"/>
        </w:rPr>
        <w:t xml:space="preserve"> </w:t>
      </w:r>
      <w:r>
        <w:t>prudent</w:t>
      </w:r>
      <w:r>
        <w:rPr>
          <w:spacing w:val="1"/>
        </w:rPr>
        <w:t xml:space="preserve"> </w:t>
      </w:r>
      <w:r>
        <w:t>and</w:t>
      </w:r>
      <w:r>
        <w:rPr>
          <w:spacing w:val="2"/>
        </w:rPr>
        <w:t xml:space="preserve"> </w:t>
      </w:r>
      <w:r>
        <w:rPr>
          <w:spacing w:val="-1"/>
        </w:rPr>
        <w:t>efficient</w:t>
      </w:r>
      <w:r>
        <w:rPr>
          <w:spacing w:val="2"/>
        </w:rPr>
        <w:t xml:space="preserve"> </w:t>
      </w:r>
      <w:r>
        <w:t>costs</w:t>
      </w:r>
      <w:r>
        <w:rPr>
          <w:spacing w:val="1"/>
        </w:rPr>
        <w:t xml:space="preserve"> </w:t>
      </w:r>
      <w:r>
        <w:t>of</w:t>
      </w:r>
      <w:r>
        <w:rPr>
          <w:spacing w:val="6"/>
        </w:rPr>
        <w:t xml:space="preserve"> </w:t>
      </w:r>
      <w:r>
        <w:t>this</w:t>
      </w:r>
      <w:r>
        <w:rPr>
          <w:spacing w:val="2"/>
        </w:rPr>
        <w:t xml:space="preserve"> </w:t>
      </w:r>
      <w:r>
        <w:rPr>
          <w:spacing w:val="-1"/>
        </w:rPr>
        <w:t>infrastructure</w:t>
      </w:r>
      <w:r>
        <w:rPr>
          <w:spacing w:val="-1"/>
          <w:position w:val="7"/>
          <w:sz w:val="11"/>
          <w:szCs w:val="11"/>
        </w:rPr>
        <w:t>185</w:t>
      </w:r>
      <w:r>
        <w:rPr>
          <w:spacing w:val="24"/>
          <w:position w:val="7"/>
          <w:sz w:val="11"/>
          <w:szCs w:val="11"/>
        </w:rPr>
        <w:t xml:space="preserve"> </w:t>
      </w:r>
      <w:r>
        <w:t>as</w:t>
      </w:r>
      <w:r>
        <w:rPr>
          <w:spacing w:val="2"/>
        </w:rPr>
        <w:t xml:space="preserve"> </w:t>
      </w:r>
      <w:r>
        <w:t>a</w:t>
      </w:r>
      <w:r>
        <w:rPr>
          <w:spacing w:val="2"/>
        </w:rPr>
        <w:t xml:space="preserve"> </w:t>
      </w:r>
      <w:r>
        <w:t>notional</w:t>
      </w:r>
      <w:r>
        <w:rPr>
          <w:spacing w:val="1"/>
        </w:rPr>
        <w:t xml:space="preserve"> </w:t>
      </w:r>
      <w:r>
        <w:rPr>
          <w:spacing w:val="-2"/>
        </w:rPr>
        <w:t>CSO.</w:t>
      </w:r>
      <w:r>
        <w:rPr>
          <w:spacing w:val="-2"/>
          <w:position w:val="7"/>
          <w:sz w:val="11"/>
          <w:szCs w:val="11"/>
        </w:rPr>
        <w:t>186</w:t>
      </w:r>
    </w:p>
    <w:p w:rsidR="00D96B91" w:rsidRDefault="00C2656B">
      <w:pPr>
        <w:pStyle w:val="BodyText"/>
        <w:spacing w:before="170" w:line="260" w:lineRule="exact"/>
        <w:ind w:right="1548"/>
      </w:pPr>
      <w:r>
        <w:rPr>
          <w:spacing w:val="-2"/>
        </w:rPr>
        <w:t>ACTEW’s</w:t>
      </w:r>
      <w:r>
        <w:t xml:space="preserve"> </w:t>
      </w:r>
      <w:r>
        <w:rPr>
          <w:spacing w:val="-1"/>
        </w:rPr>
        <w:t>proposed</w:t>
      </w:r>
      <w:r>
        <w:t xml:space="preserve"> </w:t>
      </w:r>
      <w:r>
        <w:rPr>
          <w:spacing w:val="-1"/>
        </w:rPr>
        <w:t>forecast</w:t>
      </w:r>
      <w:r>
        <w:t xml:space="preserve"> </w:t>
      </w:r>
      <w:r>
        <w:rPr>
          <w:spacing w:val="-1"/>
        </w:rPr>
        <w:t>controllable</w:t>
      </w:r>
      <w:r>
        <w:t xml:space="preserve"> </w:t>
      </w:r>
      <w:r>
        <w:rPr>
          <w:spacing w:val="-1"/>
        </w:rPr>
        <w:t>operating</w:t>
      </w:r>
      <w:r>
        <w:t xml:space="preserve"> </w:t>
      </w:r>
      <w:r>
        <w:rPr>
          <w:spacing w:val="-1"/>
        </w:rPr>
        <w:t>expenditure</w:t>
      </w:r>
      <w:r>
        <w:t xml:space="preserve"> for 2013-14 to 2017-18 is set out in</w:t>
      </w:r>
      <w:hyperlink w:anchor="_bookmark96" w:history="1">
        <w:r>
          <w:rPr>
            <w:spacing w:val="53"/>
          </w:rPr>
          <w:t xml:space="preserve"> </w:t>
        </w:r>
        <w:r>
          <w:rPr>
            <w:spacing w:val="-4"/>
          </w:rPr>
          <w:t>Table</w:t>
        </w:r>
        <w:r>
          <w:t xml:space="preserve"> 11.4</w:t>
        </w:r>
      </w:hyperlink>
      <w:r>
        <w:t xml:space="preserve"> </w:t>
      </w:r>
      <w:r>
        <w:rPr>
          <w:rFonts w:cs="Avenir Next"/>
        </w:rPr>
        <w:t>and</w:t>
      </w:r>
      <w:r>
        <w:rPr>
          <w:rFonts w:cs="Avenir Next"/>
          <w:spacing w:val="-5"/>
        </w:rPr>
        <w:t xml:space="preserve"> </w:t>
      </w:r>
      <w:r>
        <w:rPr>
          <w:spacing w:val="-4"/>
        </w:rPr>
        <w:t>Table</w:t>
      </w:r>
      <w:r>
        <w:t xml:space="preserve"> 11.5.</w:t>
      </w:r>
    </w:p>
    <w:p w:rsidR="00D96B91" w:rsidRDefault="00C2656B">
      <w:pPr>
        <w:spacing w:before="158"/>
        <w:ind w:left="1247"/>
        <w:rPr>
          <w:rFonts w:ascii="Avenir Next" w:eastAsia="Avenir Next" w:hAnsi="Avenir Next" w:cs="Avenir Next"/>
          <w:sz w:val="20"/>
          <w:szCs w:val="20"/>
        </w:rPr>
      </w:pPr>
      <w:bookmarkStart w:id="153" w:name="_bookmark96"/>
      <w:bookmarkEnd w:id="153"/>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11.4:</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 xml:space="preserve">SOFC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2"/>
        <w:gridCol w:w="1232"/>
        <w:gridCol w:w="1232"/>
        <w:gridCol w:w="1232"/>
        <w:gridCol w:w="1232"/>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Controllable</w:t>
            </w:r>
            <w:r>
              <w:rPr>
                <w:rFonts w:ascii="Avenir Next Condensed"/>
                <w:sz w:val="18"/>
              </w:rPr>
              <w:t xml:space="preserve">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62.75</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66.15</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66.91</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67.95</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70.33</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3"/>
                <w:sz w:val="18"/>
              </w:rPr>
              <w:t>WAC</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22.65</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1"/>
              <w:rPr>
                <w:rFonts w:ascii="Avenir Next Condensed" w:eastAsia="Avenir Next Condensed" w:hAnsi="Avenir Next Condensed" w:cs="Avenir Next Condensed"/>
                <w:sz w:val="18"/>
                <w:szCs w:val="18"/>
              </w:rPr>
            </w:pPr>
            <w:r>
              <w:rPr>
                <w:rFonts w:ascii="Avenir Next Condensed"/>
                <w:sz w:val="18"/>
              </w:rPr>
              <w:t>24.06</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1"/>
              <w:rPr>
                <w:rFonts w:ascii="Avenir Next Condensed" w:eastAsia="Avenir Next Condensed" w:hAnsi="Avenir Next Condensed" w:cs="Avenir Next Condensed"/>
                <w:sz w:val="18"/>
                <w:szCs w:val="18"/>
              </w:rPr>
            </w:pPr>
            <w:r>
              <w:rPr>
                <w:rFonts w:ascii="Avenir Next Condensed"/>
                <w:sz w:val="18"/>
              </w:rPr>
              <w:t>26.49</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1"/>
              <w:rPr>
                <w:rFonts w:ascii="Avenir Next Condensed" w:eastAsia="Avenir Next Condensed" w:hAnsi="Avenir Next Condensed" w:cs="Avenir Next Condensed"/>
                <w:sz w:val="18"/>
                <w:szCs w:val="18"/>
              </w:rPr>
            </w:pPr>
            <w:r>
              <w:rPr>
                <w:rFonts w:ascii="Avenir Next Condensed"/>
                <w:sz w:val="18"/>
              </w:rPr>
              <w:t>26.60</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1"/>
              <w:rPr>
                <w:rFonts w:ascii="Avenir Next Condensed" w:eastAsia="Avenir Next Condensed" w:hAnsi="Avenir Next Condensed" w:cs="Avenir Next Condensed"/>
                <w:sz w:val="18"/>
                <w:szCs w:val="18"/>
              </w:rPr>
            </w:pPr>
            <w:r>
              <w:rPr>
                <w:rFonts w:ascii="Avenir Next Condensed"/>
                <w:sz w:val="18"/>
              </w:rPr>
              <w:t>26.81</w:t>
            </w:r>
          </w:p>
        </w:tc>
      </w:tr>
      <w:tr w:rsidR="00D96B91">
        <w:trPr>
          <w:trHeight w:hRule="exact" w:val="417"/>
        </w:trPr>
        <w:tc>
          <w:tcPr>
            <w:tcW w:w="32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UNFT</w:t>
            </w:r>
          </w:p>
        </w:tc>
        <w:tc>
          <w:tcPr>
            <w:tcW w:w="123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6"/>
              <w:rPr>
                <w:rFonts w:ascii="Avenir Next Condensed" w:eastAsia="Avenir Next Condensed" w:hAnsi="Avenir Next Condensed" w:cs="Avenir Next Condensed"/>
                <w:sz w:val="18"/>
                <w:szCs w:val="18"/>
              </w:rPr>
            </w:pPr>
            <w:r>
              <w:rPr>
                <w:rFonts w:ascii="Avenir Next Condensed"/>
                <w:sz w:val="18"/>
              </w:rPr>
              <w:t>4.10</w:t>
            </w:r>
          </w:p>
        </w:tc>
        <w:tc>
          <w:tcPr>
            <w:tcW w:w="123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6"/>
              <w:rPr>
                <w:rFonts w:ascii="Avenir Next Condensed" w:eastAsia="Avenir Next Condensed" w:hAnsi="Avenir Next Condensed" w:cs="Avenir Next Condensed"/>
                <w:sz w:val="18"/>
                <w:szCs w:val="18"/>
              </w:rPr>
            </w:pPr>
            <w:r>
              <w:rPr>
                <w:rFonts w:ascii="Avenir Next Condensed"/>
                <w:sz w:val="18"/>
              </w:rPr>
              <w:t>4.52</w:t>
            </w:r>
          </w:p>
        </w:tc>
        <w:tc>
          <w:tcPr>
            <w:tcW w:w="123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6"/>
              <w:rPr>
                <w:rFonts w:ascii="Avenir Next Condensed" w:eastAsia="Avenir Next Condensed" w:hAnsi="Avenir Next Condensed" w:cs="Avenir Next Condensed"/>
                <w:sz w:val="18"/>
                <w:szCs w:val="18"/>
              </w:rPr>
            </w:pPr>
            <w:r>
              <w:rPr>
                <w:rFonts w:ascii="Avenir Next Condensed"/>
                <w:sz w:val="18"/>
              </w:rPr>
              <w:t>4.74</w:t>
            </w:r>
          </w:p>
        </w:tc>
        <w:tc>
          <w:tcPr>
            <w:tcW w:w="123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6"/>
              <w:rPr>
                <w:rFonts w:ascii="Avenir Next Condensed" w:eastAsia="Avenir Next Condensed" w:hAnsi="Avenir Next Condensed" w:cs="Avenir Next Condensed"/>
                <w:sz w:val="18"/>
                <w:szCs w:val="18"/>
              </w:rPr>
            </w:pPr>
            <w:r>
              <w:rPr>
                <w:rFonts w:ascii="Avenir Next Condensed"/>
                <w:sz w:val="18"/>
              </w:rPr>
              <w:t>4.97</w:t>
            </w:r>
          </w:p>
        </w:tc>
        <w:tc>
          <w:tcPr>
            <w:tcW w:w="1232"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36"/>
              <w:rPr>
                <w:rFonts w:ascii="Avenir Next Condensed" w:eastAsia="Avenir Next Condensed" w:hAnsi="Avenir Next Condensed" w:cs="Avenir Next Condensed"/>
                <w:sz w:val="18"/>
                <w:szCs w:val="18"/>
              </w:rPr>
            </w:pPr>
            <w:r>
              <w:rPr>
                <w:rFonts w:ascii="Avenir Next Condensed"/>
                <w:sz w:val="18"/>
              </w:rPr>
              <w:t>5.09</w:t>
            </w:r>
          </w:p>
        </w:tc>
      </w:tr>
      <w:tr w:rsidR="00D96B91">
        <w:trPr>
          <w:trHeight w:hRule="exact" w:val="407"/>
        </w:trPr>
        <w:tc>
          <w:tcPr>
            <w:tcW w:w="32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23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5"/>
              <w:rPr>
                <w:rFonts w:ascii="Avenir Next Condensed" w:eastAsia="Avenir Next Condensed" w:hAnsi="Avenir Next Condensed" w:cs="Avenir Next Condensed"/>
                <w:sz w:val="18"/>
                <w:szCs w:val="18"/>
              </w:rPr>
            </w:pPr>
            <w:r>
              <w:rPr>
                <w:rFonts w:ascii="Avenir Next Condensed"/>
                <w:b/>
                <w:sz w:val="18"/>
              </w:rPr>
              <w:t>89.51</w:t>
            </w:r>
          </w:p>
        </w:tc>
        <w:tc>
          <w:tcPr>
            <w:tcW w:w="123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4"/>
              <w:rPr>
                <w:rFonts w:ascii="Avenir Next Condensed" w:eastAsia="Avenir Next Condensed" w:hAnsi="Avenir Next Condensed" w:cs="Avenir Next Condensed"/>
                <w:sz w:val="18"/>
                <w:szCs w:val="18"/>
              </w:rPr>
            </w:pPr>
            <w:r>
              <w:rPr>
                <w:rFonts w:ascii="Avenir Next Condensed"/>
                <w:b/>
                <w:sz w:val="18"/>
              </w:rPr>
              <w:t>94.73</w:t>
            </w:r>
          </w:p>
        </w:tc>
        <w:tc>
          <w:tcPr>
            <w:tcW w:w="123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4"/>
              <w:rPr>
                <w:rFonts w:ascii="Avenir Next Condensed" w:eastAsia="Avenir Next Condensed" w:hAnsi="Avenir Next Condensed" w:cs="Avenir Next Condensed"/>
                <w:sz w:val="18"/>
                <w:szCs w:val="18"/>
              </w:rPr>
            </w:pPr>
            <w:r>
              <w:rPr>
                <w:rFonts w:ascii="Avenir Next Condensed"/>
                <w:b/>
                <w:sz w:val="18"/>
              </w:rPr>
              <w:t>98.14</w:t>
            </w:r>
          </w:p>
        </w:tc>
        <w:tc>
          <w:tcPr>
            <w:tcW w:w="123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24"/>
              <w:rPr>
                <w:rFonts w:ascii="Avenir Next Condensed" w:eastAsia="Avenir Next Condensed" w:hAnsi="Avenir Next Condensed" w:cs="Avenir Next Condensed"/>
                <w:sz w:val="18"/>
                <w:szCs w:val="18"/>
              </w:rPr>
            </w:pPr>
            <w:r>
              <w:rPr>
                <w:rFonts w:ascii="Avenir Next Condensed"/>
                <w:b/>
                <w:sz w:val="18"/>
              </w:rPr>
              <w:t>99.52</w:t>
            </w:r>
          </w:p>
        </w:tc>
        <w:tc>
          <w:tcPr>
            <w:tcW w:w="1232"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4"/>
              <w:rPr>
                <w:rFonts w:ascii="Avenir Next Condensed" w:eastAsia="Avenir Next Condensed" w:hAnsi="Avenir Next Condensed" w:cs="Avenir Next Condensed"/>
                <w:sz w:val="18"/>
                <w:szCs w:val="18"/>
              </w:rPr>
            </w:pPr>
            <w:r>
              <w:rPr>
                <w:rFonts w:ascii="Avenir Next Condensed"/>
                <w:b/>
                <w:sz w:val="18"/>
              </w:rPr>
              <w:t>102.24</w:t>
            </w:r>
          </w:p>
        </w:tc>
      </w:tr>
    </w:tbl>
    <w:p w:rsidR="00D96B91" w:rsidRDefault="00D96B91">
      <w:pPr>
        <w:spacing w:before="7"/>
        <w:rPr>
          <w:rFonts w:ascii="Avenir Next" w:eastAsia="Avenir Next" w:hAnsi="Avenir Next" w:cs="Avenir Next"/>
          <w:b/>
          <w:bCs/>
          <w:sz w:val="17"/>
          <w:szCs w:val="17"/>
        </w:rPr>
      </w:pPr>
    </w:p>
    <w:p w:rsidR="00D96B91" w:rsidRDefault="00C2656B">
      <w:pPr>
        <w:spacing w:before="46"/>
        <w:ind w:left="1247"/>
        <w:rPr>
          <w:rFonts w:ascii="Avenir Next" w:eastAsia="Avenir Next" w:hAnsi="Avenir Next" w:cs="Avenir Next"/>
          <w:sz w:val="20"/>
          <w:szCs w:val="20"/>
        </w:rPr>
      </w:pPr>
      <w:bookmarkStart w:id="154" w:name="_bookmark97"/>
      <w:bookmarkEnd w:id="154"/>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11.5:</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 xml:space="preserve">SOFC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028"/>
        <w:gridCol w:w="1275"/>
        <w:gridCol w:w="1275"/>
        <w:gridCol w:w="1275"/>
        <w:gridCol w:w="1275"/>
        <w:gridCol w:w="1275"/>
      </w:tblGrid>
      <w:tr w:rsidR="00D96B91">
        <w:trPr>
          <w:trHeight w:hRule="exact" w:val="407"/>
        </w:trPr>
        <w:tc>
          <w:tcPr>
            <w:tcW w:w="30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7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7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7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7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7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0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Controllable</w:t>
            </w:r>
            <w:r>
              <w:rPr>
                <w:rFonts w:ascii="Avenir Next Condensed"/>
                <w:sz w:val="18"/>
              </w:rPr>
              <w:t xml:space="preserve">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27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
              <w:jc w:val="center"/>
              <w:rPr>
                <w:rFonts w:ascii="Avenir Next Condensed" w:eastAsia="Avenir Next Condensed" w:hAnsi="Avenir Next Condensed" w:cs="Avenir Next Condensed"/>
                <w:sz w:val="18"/>
                <w:szCs w:val="18"/>
              </w:rPr>
            </w:pPr>
            <w:r>
              <w:rPr>
                <w:rFonts w:ascii="Avenir Next Condensed"/>
                <w:sz w:val="18"/>
              </w:rPr>
              <w:t>67.27</w:t>
            </w:r>
          </w:p>
        </w:tc>
        <w:tc>
          <w:tcPr>
            <w:tcW w:w="127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
              <w:jc w:val="center"/>
              <w:rPr>
                <w:rFonts w:ascii="Avenir Next Condensed" w:eastAsia="Avenir Next Condensed" w:hAnsi="Avenir Next Condensed" w:cs="Avenir Next Condensed"/>
                <w:sz w:val="18"/>
                <w:szCs w:val="18"/>
              </w:rPr>
            </w:pPr>
            <w:r>
              <w:rPr>
                <w:rFonts w:ascii="Avenir Next Condensed"/>
                <w:sz w:val="18"/>
              </w:rPr>
              <w:t>68.84</w:t>
            </w:r>
          </w:p>
        </w:tc>
        <w:tc>
          <w:tcPr>
            <w:tcW w:w="127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
              <w:jc w:val="center"/>
              <w:rPr>
                <w:rFonts w:ascii="Avenir Next Condensed" w:eastAsia="Avenir Next Condensed" w:hAnsi="Avenir Next Condensed" w:cs="Avenir Next Condensed"/>
                <w:sz w:val="18"/>
                <w:szCs w:val="18"/>
              </w:rPr>
            </w:pPr>
            <w:r>
              <w:rPr>
                <w:rFonts w:ascii="Avenir Next Condensed"/>
                <w:sz w:val="18"/>
              </w:rPr>
              <w:t>70.18</w:t>
            </w:r>
          </w:p>
        </w:tc>
        <w:tc>
          <w:tcPr>
            <w:tcW w:w="127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7"/>
              <w:jc w:val="center"/>
              <w:rPr>
                <w:rFonts w:ascii="Avenir Next Condensed" w:eastAsia="Avenir Next Condensed" w:hAnsi="Avenir Next Condensed" w:cs="Avenir Next Condensed"/>
                <w:sz w:val="18"/>
                <w:szCs w:val="18"/>
              </w:rPr>
            </w:pPr>
            <w:r>
              <w:rPr>
                <w:rFonts w:ascii="Avenir Next Condensed"/>
                <w:sz w:val="18"/>
              </w:rPr>
              <w:t>72.86</w:t>
            </w:r>
          </w:p>
        </w:tc>
        <w:tc>
          <w:tcPr>
            <w:tcW w:w="127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9"/>
              <w:jc w:val="center"/>
              <w:rPr>
                <w:rFonts w:ascii="Avenir Next Condensed" w:eastAsia="Avenir Next Condensed" w:hAnsi="Avenir Next Condensed" w:cs="Avenir Next Condensed"/>
                <w:sz w:val="18"/>
                <w:szCs w:val="18"/>
              </w:rPr>
            </w:pPr>
            <w:r>
              <w:rPr>
                <w:rFonts w:ascii="Avenir Next Condensed"/>
                <w:sz w:val="18"/>
              </w:rPr>
              <w:t>75.79</w:t>
            </w:r>
          </w:p>
        </w:tc>
      </w:tr>
      <w:tr w:rsidR="00D96B91">
        <w:trPr>
          <w:trHeight w:hRule="exact" w:val="417"/>
        </w:trPr>
        <w:tc>
          <w:tcPr>
            <w:tcW w:w="30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27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4"/>
              <w:jc w:val="center"/>
              <w:rPr>
                <w:rFonts w:ascii="Avenir Next Condensed" w:eastAsia="Avenir Next Condensed" w:hAnsi="Avenir Next Condensed" w:cs="Avenir Next Condensed"/>
                <w:sz w:val="18"/>
                <w:szCs w:val="18"/>
              </w:rPr>
            </w:pPr>
            <w:r>
              <w:rPr>
                <w:rFonts w:ascii="Avenir Next Condensed"/>
                <w:sz w:val="18"/>
              </w:rPr>
              <w:t>3.39</w:t>
            </w:r>
          </w:p>
        </w:tc>
        <w:tc>
          <w:tcPr>
            <w:tcW w:w="127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4"/>
              <w:jc w:val="center"/>
              <w:rPr>
                <w:rFonts w:ascii="Avenir Next Condensed" w:eastAsia="Avenir Next Condensed" w:hAnsi="Avenir Next Condensed" w:cs="Avenir Next Condensed"/>
                <w:sz w:val="18"/>
                <w:szCs w:val="18"/>
              </w:rPr>
            </w:pPr>
            <w:r>
              <w:rPr>
                <w:rFonts w:ascii="Avenir Next Condensed"/>
                <w:sz w:val="18"/>
              </w:rPr>
              <w:t>3.72</w:t>
            </w:r>
          </w:p>
        </w:tc>
        <w:tc>
          <w:tcPr>
            <w:tcW w:w="127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4"/>
              <w:jc w:val="center"/>
              <w:rPr>
                <w:rFonts w:ascii="Avenir Next Condensed" w:eastAsia="Avenir Next Condensed" w:hAnsi="Avenir Next Condensed" w:cs="Avenir Next Condensed"/>
                <w:sz w:val="18"/>
                <w:szCs w:val="18"/>
              </w:rPr>
            </w:pPr>
            <w:r>
              <w:rPr>
                <w:rFonts w:ascii="Avenir Next Condensed"/>
                <w:sz w:val="18"/>
              </w:rPr>
              <w:t>3.89</w:t>
            </w:r>
          </w:p>
        </w:tc>
        <w:tc>
          <w:tcPr>
            <w:tcW w:w="127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4"/>
              <w:jc w:val="center"/>
              <w:rPr>
                <w:rFonts w:ascii="Avenir Next Condensed" w:eastAsia="Avenir Next Condensed" w:hAnsi="Avenir Next Condensed" w:cs="Avenir Next Condensed"/>
                <w:sz w:val="18"/>
                <w:szCs w:val="18"/>
              </w:rPr>
            </w:pPr>
            <w:r>
              <w:rPr>
                <w:rFonts w:ascii="Avenir Next Condensed"/>
                <w:sz w:val="18"/>
              </w:rPr>
              <w:t>4.07</w:t>
            </w:r>
          </w:p>
        </w:tc>
        <w:tc>
          <w:tcPr>
            <w:tcW w:w="127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74"/>
              <w:jc w:val="center"/>
              <w:rPr>
                <w:rFonts w:ascii="Avenir Next Condensed" w:eastAsia="Avenir Next Condensed" w:hAnsi="Avenir Next Condensed" w:cs="Avenir Next Condensed"/>
                <w:sz w:val="18"/>
                <w:szCs w:val="18"/>
              </w:rPr>
            </w:pPr>
            <w:r>
              <w:rPr>
                <w:rFonts w:ascii="Avenir Next Condensed"/>
                <w:sz w:val="18"/>
              </w:rPr>
              <w:t>4.25</w:t>
            </w:r>
          </w:p>
        </w:tc>
      </w:tr>
      <w:tr w:rsidR="00D96B91">
        <w:trPr>
          <w:trHeight w:hRule="exact" w:val="407"/>
        </w:trPr>
        <w:tc>
          <w:tcPr>
            <w:tcW w:w="30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27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11"/>
              <w:rPr>
                <w:rFonts w:ascii="Avenir Next Condensed" w:eastAsia="Avenir Next Condensed" w:hAnsi="Avenir Next Condensed" w:cs="Avenir Next Condensed"/>
                <w:sz w:val="18"/>
                <w:szCs w:val="18"/>
              </w:rPr>
            </w:pPr>
            <w:r>
              <w:rPr>
                <w:rFonts w:ascii="Avenir Next Condensed"/>
                <w:b/>
                <w:sz w:val="18"/>
              </w:rPr>
              <w:t>70.66</w:t>
            </w:r>
          </w:p>
        </w:tc>
        <w:tc>
          <w:tcPr>
            <w:tcW w:w="127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11"/>
              <w:rPr>
                <w:rFonts w:ascii="Avenir Next Condensed" w:eastAsia="Avenir Next Condensed" w:hAnsi="Avenir Next Condensed" w:cs="Avenir Next Condensed"/>
                <w:sz w:val="18"/>
                <w:szCs w:val="18"/>
              </w:rPr>
            </w:pPr>
            <w:r>
              <w:rPr>
                <w:rFonts w:ascii="Avenir Next Condensed"/>
                <w:b/>
                <w:sz w:val="18"/>
              </w:rPr>
              <w:t>72.56</w:t>
            </w:r>
          </w:p>
        </w:tc>
        <w:tc>
          <w:tcPr>
            <w:tcW w:w="127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11"/>
              <w:rPr>
                <w:rFonts w:ascii="Avenir Next Condensed" w:eastAsia="Avenir Next Condensed" w:hAnsi="Avenir Next Condensed" w:cs="Avenir Next Condensed"/>
                <w:sz w:val="18"/>
                <w:szCs w:val="18"/>
              </w:rPr>
            </w:pPr>
            <w:r>
              <w:rPr>
                <w:rFonts w:ascii="Avenir Next Condensed"/>
                <w:b/>
                <w:sz w:val="18"/>
              </w:rPr>
              <w:t>74.07</w:t>
            </w:r>
          </w:p>
        </w:tc>
        <w:tc>
          <w:tcPr>
            <w:tcW w:w="127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11"/>
              <w:rPr>
                <w:rFonts w:ascii="Avenir Next Condensed" w:eastAsia="Avenir Next Condensed" w:hAnsi="Avenir Next Condensed" w:cs="Avenir Next Condensed"/>
                <w:sz w:val="18"/>
                <w:szCs w:val="18"/>
              </w:rPr>
            </w:pPr>
            <w:r>
              <w:rPr>
                <w:rFonts w:ascii="Avenir Next Condensed"/>
                <w:b/>
                <w:sz w:val="18"/>
              </w:rPr>
              <w:t>76.93</w:t>
            </w:r>
          </w:p>
        </w:tc>
        <w:tc>
          <w:tcPr>
            <w:tcW w:w="127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11"/>
              <w:rPr>
                <w:rFonts w:ascii="Avenir Next Condensed" w:eastAsia="Avenir Next Condensed" w:hAnsi="Avenir Next Condensed" w:cs="Avenir Next Condensed"/>
                <w:sz w:val="18"/>
                <w:szCs w:val="18"/>
              </w:rPr>
            </w:pPr>
            <w:r>
              <w:rPr>
                <w:rFonts w:ascii="Avenir Next Condensed"/>
                <w:b/>
                <w:sz w:val="18"/>
              </w:rPr>
              <w:t>80.05</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pacing w:val="-4"/>
          <w:sz w:val="16"/>
        </w:rPr>
        <w:t xml:space="preserve"> </w:t>
      </w: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w:t>
      </w:r>
      <w:r>
        <w:rPr>
          <w:rFonts w:ascii="Avenir Next"/>
          <w:spacing w:val="-1"/>
          <w:sz w:val="16"/>
        </w:rPr>
        <w:t xml:space="preserve"> Contentions,</w:t>
      </w:r>
      <w:r>
        <w:rPr>
          <w:rFonts w:ascii="Avenir Next"/>
          <w:spacing w:val="-7"/>
          <w:sz w:val="16"/>
        </w:rPr>
        <w:t xml:space="preserve"> </w:t>
      </w:r>
      <w:r>
        <w:rPr>
          <w:rFonts w:ascii="Avenir Next"/>
          <w:sz w:val="16"/>
        </w:rPr>
        <w:t>July 2014,</w:t>
      </w:r>
      <w:r>
        <w:rPr>
          <w:rFonts w:ascii="Avenir Next"/>
          <w:spacing w:val="-5"/>
          <w:sz w:val="16"/>
        </w:rPr>
        <w:t xml:space="preserve"> </w:t>
      </w:r>
      <w:r>
        <w:rPr>
          <w:rFonts w:ascii="Avenir Next"/>
          <w:sz w:val="16"/>
        </w:rPr>
        <w:t>p 32.</w:t>
      </w:r>
      <w:r>
        <w:rPr>
          <w:rFonts w:ascii="Avenir Next"/>
          <w:spacing w:val="-5"/>
          <w:sz w:val="16"/>
        </w:rPr>
        <w:t xml:space="preserve"> </w:t>
      </w:r>
      <w:r>
        <w:rPr>
          <w:rFonts w:ascii="Avenir Next"/>
          <w:spacing w:val="-1"/>
          <w:sz w:val="16"/>
        </w:rPr>
        <w:t>Figures</w:t>
      </w:r>
      <w:r>
        <w:rPr>
          <w:rFonts w:ascii="Avenir Next"/>
          <w:sz w:val="16"/>
        </w:rPr>
        <w:t xml:space="preserve"> adjusted</w:t>
      </w:r>
      <w:r>
        <w:rPr>
          <w:rFonts w:ascii="Avenir Next"/>
          <w:spacing w:val="-1"/>
          <w:sz w:val="16"/>
        </w:rPr>
        <w:t xml:space="preserve"> </w:t>
      </w:r>
      <w:r>
        <w:rPr>
          <w:rFonts w:ascii="Avenir Next"/>
          <w:sz w:val="16"/>
        </w:rPr>
        <w:t xml:space="preserve">for </w:t>
      </w:r>
      <w:r>
        <w:rPr>
          <w:rFonts w:ascii="Avenir Next"/>
          <w:spacing w:val="-1"/>
          <w:sz w:val="16"/>
        </w:rPr>
        <w:t>inflation</w:t>
      </w:r>
      <w:r>
        <w:rPr>
          <w:rFonts w:ascii="Avenir Next"/>
          <w:sz w:val="16"/>
        </w:rPr>
        <w:t xml:space="preserve"> of</w:t>
      </w:r>
      <w:r>
        <w:rPr>
          <w:rFonts w:ascii="Avenir Next"/>
          <w:spacing w:val="3"/>
          <w:sz w:val="16"/>
        </w:rPr>
        <w:t xml:space="preserve"> </w:t>
      </w:r>
      <w:r>
        <w:rPr>
          <w:rFonts w:ascii="Avenir Next"/>
          <w:sz w:val="16"/>
        </w:rPr>
        <w:t>2.5% per</w:t>
      </w:r>
      <w:r>
        <w:rPr>
          <w:rFonts w:ascii="Avenir Next"/>
          <w:spacing w:val="-1"/>
          <w:sz w:val="16"/>
        </w:rPr>
        <w:t xml:space="preserve"> </w:t>
      </w:r>
      <w:r>
        <w:rPr>
          <w:rFonts w:ascii="Avenir Next"/>
          <w:sz w:val="16"/>
        </w:rPr>
        <w:t>annum.</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2"/>
        <w:rPr>
          <w:rFonts w:ascii="Avenir Next" w:eastAsia="Avenir Next" w:hAnsi="Avenir Next" w:cs="Avenir Next"/>
          <w:sz w:val="13"/>
          <w:szCs w:val="1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92" style="width:72.5pt;height:.5pt;mso-position-horizontal-relative:char;mso-position-vertical-relative:line" coordsize="1450,10">
            <v:group id="_x0000_s1893" style="position:absolute;left:5;top:5;width:1440;height:2" coordorigin="5,5" coordsize="1440,2">
              <v:shape id="_x0000_s1894" style="position:absolute;left:5;top:5;width:1440;height:2" coordorigin="5,5" coordsize="1440,0" path="m5,5r1440,e" filled="f" strokeweight=".5pt">
                <v:path arrowok="t"/>
              </v:shape>
            </v:group>
            <w10:wrap type="none"/>
            <w10:anchorlock/>
          </v:group>
        </w:pict>
      </w:r>
    </w:p>
    <w:p w:rsidR="00D96B91" w:rsidRDefault="00C2656B">
      <w:pPr>
        <w:numPr>
          <w:ilvl w:val="0"/>
          <w:numId w:val="59"/>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127.</w:t>
      </w:r>
    </w:p>
    <w:p w:rsidR="00D96B91" w:rsidRDefault="00C2656B">
      <w:pPr>
        <w:numPr>
          <w:ilvl w:val="0"/>
          <w:numId w:val="59"/>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C2656B">
      <w:pPr>
        <w:tabs>
          <w:tab w:val="left" w:pos="1757"/>
        </w:tabs>
        <w:spacing w:before="121"/>
        <w:ind w:left="1247"/>
        <w:rPr>
          <w:rFonts w:ascii="Avenir Next" w:eastAsia="Avenir Next" w:hAnsi="Avenir Next" w:cs="Avenir Next"/>
          <w:sz w:val="16"/>
          <w:szCs w:val="16"/>
        </w:rPr>
      </w:pPr>
      <w:r>
        <w:rPr>
          <w:rFonts w:ascii="Avenir Next"/>
          <w:sz w:val="16"/>
        </w:rPr>
        <w:t>184</w:t>
      </w:r>
      <w:r>
        <w:rPr>
          <w:rFonts w:ascii="Avenir Next"/>
          <w:sz w:val="16"/>
        </w:rPr>
        <w:tab/>
        <w:t>ibid,</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31-32.</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z w:val="16"/>
        </w:rPr>
        <w:t xml:space="preserve">In </w:t>
      </w:r>
      <w:r>
        <w:rPr>
          <w:rFonts w:ascii="Avenir Next"/>
          <w:spacing w:val="-1"/>
          <w:sz w:val="16"/>
        </w:rPr>
        <w:t>excess</w:t>
      </w:r>
      <w:r>
        <w:rPr>
          <w:rFonts w:ascii="Avenir Next"/>
          <w:sz w:val="16"/>
        </w:rPr>
        <w:t xml:space="preserve"> of</w:t>
      </w:r>
      <w:r>
        <w:rPr>
          <w:rFonts w:ascii="Avenir Next"/>
          <w:spacing w:val="3"/>
          <w:sz w:val="16"/>
        </w:rPr>
        <w:t xml:space="preserve"> </w:t>
      </w:r>
      <w:r>
        <w:rPr>
          <w:rFonts w:ascii="Avenir Next"/>
          <w:sz w:val="16"/>
        </w:rPr>
        <w:t xml:space="preserve">the </w:t>
      </w:r>
      <w:r>
        <w:rPr>
          <w:rFonts w:ascii="Avenir Next"/>
          <w:spacing w:val="-1"/>
          <w:sz w:val="16"/>
        </w:rPr>
        <w:t>revenue</w:t>
      </w:r>
      <w:r>
        <w:rPr>
          <w:rFonts w:ascii="Avenir Next"/>
          <w:sz w:val="16"/>
        </w:rPr>
        <w:t xml:space="preserve"> </w:t>
      </w:r>
      <w:r>
        <w:rPr>
          <w:rFonts w:ascii="Avenir Next"/>
          <w:spacing w:val="-1"/>
          <w:sz w:val="16"/>
        </w:rPr>
        <w:t>received</w:t>
      </w:r>
      <w:r>
        <w:rPr>
          <w:rFonts w:ascii="Avenir Next"/>
          <w:sz w:val="16"/>
        </w:rPr>
        <w:t xml:space="preserve"> </w:t>
      </w:r>
      <w:r>
        <w:rPr>
          <w:rFonts w:ascii="Avenir Next"/>
          <w:spacing w:val="-1"/>
          <w:sz w:val="16"/>
        </w:rPr>
        <w:t>from</w:t>
      </w:r>
      <w:r>
        <w:rPr>
          <w:rFonts w:ascii="Avenir Next"/>
          <w:sz w:val="16"/>
        </w:rPr>
        <w:t xml:space="preserve"> the </w:t>
      </w:r>
      <w:r>
        <w:rPr>
          <w:rFonts w:ascii="Avenir Next"/>
          <w:spacing w:val="-1"/>
          <w:sz w:val="16"/>
        </w:rPr>
        <w:t>standard</w:t>
      </w:r>
      <w:r>
        <w:rPr>
          <w:rFonts w:ascii="Avenir Next"/>
          <w:sz w:val="16"/>
        </w:rPr>
        <w:t xml:space="preserve"> </w:t>
      </w:r>
      <w:r>
        <w:rPr>
          <w:rFonts w:ascii="Avenir Next"/>
          <w:spacing w:val="-1"/>
          <w:sz w:val="16"/>
        </w:rPr>
        <w:t>sewerage</w:t>
      </w:r>
      <w:r>
        <w:rPr>
          <w:rFonts w:ascii="Avenir Next"/>
          <w:sz w:val="16"/>
        </w:rPr>
        <w:t xml:space="preserve"> </w:t>
      </w:r>
      <w:r>
        <w:rPr>
          <w:rFonts w:ascii="Avenir Next"/>
          <w:spacing w:val="-1"/>
          <w:sz w:val="16"/>
        </w:rPr>
        <w:t>charges</w:t>
      </w:r>
      <w:r>
        <w:rPr>
          <w:rFonts w:ascii="Avenir Next"/>
          <w:sz w:val="16"/>
        </w:rPr>
        <w:t xml:space="preserve"> paid by </w:t>
      </w:r>
      <w:r>
        <w:rPr>
          <w:rFonts w:ascii="Avenir Next"/>
          <w:spacing w:val="-1"/>
          <w:sz w:val="16"/>
        </w:rPr>
        <w:t>Uriarra</w:t>
      </w:r>
      <w:r>
        <w:rPr>
          <w:rFonts w:ascii="Avenir Next"/>
          <w:sz w:val="16"/>
        </w:rPr>
        <w:t xml:space="preserve"> </w:t>
      </w:r>
      <w:r>
        <w:rPr>
          <w:rFonts w:ascii="Avenir Next"/>
          <w:spacing w:val="-1"/>
          <w:sz w:val="16"/>
        </w:rPr>
        <w:t>residents.</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z w:val="16"/>
        </w:rPr>
        <w:t xml:space="preserve">Email </w:t>
      </w:r>
      <w:r>
        <w:rPr>
          <w:rFonts w:ascii="Avenir Next"/>
          <w:spacing w:val="-1"/>
          <w:sz w:val="16"/>
        </w:rPr>
        <w:t>responses</w:t>
      </w:r>
      <w:r>
        <w:rPr>
          <w:rFonts w:ascii="Avenir Next"/>
          <w:sz w:val="16"/>
        </w:rPr>
        <w:t xml:space="preserve"> to questions,</w:t>
      </w:r>
      <w:r>
        <w:rPr>
          <w:rFonts w:ascii="Avenir Next"/>
          <w:spacing w:val="-5"/>
          <w:sz w:val="16"/>
        </w:rPr>
        <w:t xml:space="preserve"> </w:t>
      </w:r>
      <w:r>
        <w:rPr>
          <w:rFonts w:ascii="Avenir Next"/>
          <w:sz w:val="16"/>
        </w:rPr>
        <w:t>1 September 2014.</w:t>
      </w:r>
    </w:p>
    <w:p w:rsidR="00D96B91" w:rsidRDefault="00D96B91">
      <w:pPr>
        <w:rPr>
          <w:rFonts w:ascii="Avenir Next" w:eastAsia="Avenir Next" w:hAnsi="Avenir Next" w:cs="Avenir Next"/>
          <w:sz w:val="16"/>
          <w:szCs w:val="16"/>
        </w:rPr>
        <w:sectPr w:rsidR="00D96B91">
          <w:footerReference w:type="even" r:id="rId75"/>
          <w:footerReference w:type="default" r:id="rId76"/>
          <w:pgSz w:w="11910" w:h="16840"/>
          <w:pgMar w:top="1200" w:right="0" w:bottom="1020" w:left="0" w:header="0" w:footer="829" w:gutter="0"/>
          <w:cols w:space="720"/>
        </w:sectPr>
      </w:pPr>
    </w:p>
    <w:p w:rsidR="00D96B91" w:rsidRDefault="00C2656B">
      <w:pPr>
        <w:pStyle w:val="Heading6"/>
        <w:numPr>
          <w:ilvl w:val="2"/>
          <w:numId w:val="60"/>
        </w:numPr>
        <w:tabs>
          <w:tab w:val="left" w:pos="2098"/>
        </w:tabs>
        <w:spacing w:before="9"/>
        <w:ind w:hanging="850"/>
      </w:pPr>
      <w:r>
        <w:rPr>
          <w:color w:val="0778BE"/>
        </w:rPr>
        <w:t>Other submissions</w:t>
      </w:r>
    </w:p>
    <w:p w:rsidR="00D96B91" w:rsidRDefault="00C2656B">
      <w:pPr>
        <w:pStyle w:val="BodyText"/>
        <w:spacing w:before="21" w:line="260" w:lineRule="exact"/>
        <w:ind w:right="1436"/>
        <w:rPr>
          <w:sz w:val="11"/>
          <w:szCs w:val="11"/>
        </w:rPr>
      </w:pPr>
      <w:r>
        <w:rPr>
          <w:rFonts w:cs="Avenir Next"/>
        </w:rPr>
        <w:t xml:space="preserve">In two other submissions </w:t>
      </w:r>
      <w:r>
        <w:rPr>
          <w:rFonts w:cs="Avenir Next"/>
          <w:spacing w:val="-1"/>
        </w:rPr>
        <w:t>received</w:t>
      </w:r>
      <w:r>
        <w:rPr>
          <w:rFonts w:cs="Avenir Next"/>
        </w:rPr>
        <w:t xml:space="preserve"> by the </w:t>
      </w:r>
      <w:r>
        <w:rPr>
          <w:rFonts w:cs="Avenir Next"/>
          <w:spacing w:val="-3"/>
        </w:rPr>
        <w:t>Panel</w:t>
      </w:r>
      <w:r>
        <w:rPr>
          <w:rFonts w:cs="Avenir Next"/>
        </w:rPr>
        <w:t xml:space="preserve"> to </w:t>
      </w:r>
      <w:r>
        <w:rPr>
          <w:rFonts w:cs="Avenir Next"/>
          <w:spacing w:val="-1"/>
        </w:rPr>
        <w:t>date,</w:t>
      </w:r>
      <w:r>
        <w:rPr>
          <w:rFonts w:cs="Avenir Next"/>
          <w:spacing w:val="-7"/>
        </w:rPr>
        <w:t xml:space="preserve"> </w:t>
      </w:r>
      <w:r>
        <w:rPr>
          <w:rFonts w:cs="Avenir Next"/>
          <w:spacing w:val="-1"/>
        </w:rPr>
        <w:t>stakeholders</w:t>
      </w:r>
      <w:r>
        <w:rPr>
          <w:rFonts w:cs="Avenir Next"/>
        </w:rPr>
        <w:t xml:space="preserve"> </w:t>
      </w:r>
      <w:r>
        <w:rPr>
          <w:rFonts w:cs="Avenir Next"/>
          <w:spacing w:val="-1"/>
        </w:rPr>
        <w:t>raised</w:t>
      </w:r>
      <w:r>
        <w:rPr>
          <w:rFonts w:cs="Avenir Next"/>
        </w:rPr>
        <w:t xml:space="preserve"> concerns about the</w:t>
      </w:r>
      <w:r>
        <w:rPr>
          <w:rFonts w:cs="Avenir Next"/>
          <w:spacing w:val="41"/>
        </w:rPr>
        <w:t xml:space="preserve"> </w:t>
      </w:r>
      <w:r>
        <w:rPr>
          <w:spacing w:val="-1"/>
        </w:rPr>
        <w:t>transparency</w:t>
      </w:r>
      <w:r>
        <w:t xml:space="preserve"> of</w:t>
      </w:r>
      <w:r>
        <w:rPr>
          <w:spacing w:val="2"/>
        </w:rPr>
        <w:t xml:space="preserve"> </w:t>
      </w:r>
      <w:r>
        <w:rPr>
          <w:spacing w:val="-2"/>
        </w:rPr>
        <w:t>ACTEW’s</w:t>
      </w:r>
      <w:r>
        <w:rPr>
          <w:spacing w:val="1"/>
        </w:rPr>
        <w:t xml:space="preserve"> </w:t>
      </w:r>
      <w:r>
        <w:t>actual</w:t>
      </w:r>
      <w:r>
        <w:rPr>
          <w:spacing w:val="1"/>
        </w:rPr>
        <w:t xml:space="preserve"> </w:t>
      </w:r>
      <w:r>
        <w:rPr>
          <w:spacing w:val="-1"/>
        </w:rPr>
        <w:t>operating</w:t>
      </w:r>
      <w:r>
        <w:rPr>
          <w:spacing w:val="1"/>
        </w:rPr>
        <w:t xml:space="preserve"> </w:t>
      </w:r>
      <w:r>
        <w:t>costs</w:t>
      </w:r>
      <w:r>
        <w:rPr>
          <w:spacing w:val="1"/>
        </w:rPr>
        <w:t xml:space="preserve"> </w:t>
      </w:r>
      <w:r>
        <w:t>and</w:t>
      </w:r>
      <w:r>
        <w:rPr>
          <w:spacing w:val="1"/>
        </w:rPr>
        <w:t xml:space="preserve"> </w:t>
      </w:r>
      <w:r>
        <w:t>the</w:t>
      </w:r>
      <w:r>
        <w:rPr>
          <w:spacing w:val="1"/>
        </w:rPr>
        <w:t xml:space="preserve"> </w:t>
      </w:r>
      <w:r>
        <w:t>prudence of</w:t>
      </w:r>
      <w:r>
        <w:rPr>
          <w:spacing w:val="5"/>
        </w:rPr>
        <w:t xml:space="preserve"> </w:t>
      </w:r>
      <w:r>
        <w:t>some</w:t>
      </w:r>
      <w:r>
        <w:rPr>
          <w:spacing w:val="1"/>
        </w:rPr>
        <w:t xml:space="preserve"> </w:t>
      </w:r>
      <w:r>
        <w:t>actual</w:t>
      </w:r>
      <w:r>
        <w:rPr>
          <w:spacing w:val="1"/>
        </w:rPr>
        <w:t xml:space="preserve"> </w:t>
      </w:r>
      <w:r>
        <w:rPr>
          <w:spacing w:val="-1"/>
        </w:rPr>
        <w:t>operating</w:t>
      </w:r>
      <w:r>
        <w:rPr>
          <w:spacing w:val="1"/>
        </w:rPr>
        <w:t xml:space="preserve"> </w:t>
      </w:r>
      <w:r>
        <w:rPr>
          <w:spacing w:val="-1"/>
        </w:rPr>
        <w:t>costs.</w:t>
      </w:r>
      <w:r>
        <w:rPr>
          <w:spacing w:val="-1"/>
          <w:position w:val="7"/>
          <w:sz w:val="11"/>
          <w:szCs w:val="11"/>
        </w:rPr>
        <w:t>187</w:t>
      </w:r>
      <w:r>
        <w:rPr>
          <w:spacing w:val="45"/>
          <w:w w:val="106"/>
          <w:position w:val="7"/>
          <w:sz w:val="11"/>
          <w:szCs w:val="11"/>
        </w:rPr>
        <w:t xml:space="preserve"> </w:t>
      </w:r>
      <w:r>
        <w:t>In</w:t>
      </w:r>
      <w:r>
        <w:rPr>
          <w:spacing w:val="-1"/>
        </w:rPr>
        <w:t xml:space="preserve"> </w:t>
      </w:r>
      <w:r>
        <w:t>addition,</w:t>
      </w:r>
      <w:r>
        <w:rPr>
          <w:spacing w:val="-7"/>
        </w:rPr>
        <w:t xml:space="preserve"> </w:t>
      </w:r>
      <w:r>
        <w:t xml:space="preserve">a </w:t>
      </w:r>
      <w:r>
        <w:rPr>
          <w:spacing w:val="-1"/>
        </w:rPr>
        <w:t xml:space="preserve">third </w:t>
      </w:r>
      <w:r>
        <w:t xml:space="preserve">submission </w:t>
      </w:r>
      <w:r>
        <w:rPr>
          <w:spacing w:val="-1"/>
        </w:rPr>
        <w:t>recommended that</w:t>
      </w:r>
      <w:r>
        <w:rPr>
          <w:spacing w:val="-4"/>
        </w:rPr>
        <w:t xml:space="preserve"> </w:t>
      </w:r>
      <w:r>
        <w:rPr>
          <w:spacing w:val="-2"/>
        </w:rPr>
        <w:t>ACTEW’s</w:t>
      </w:r>
      <w:r>
        <w:rPr>
          <w:spacing w:val="-1"/>
        </w:rPr>
        <w:t xml:space="preserve"> efficiency </w:t>
      </w:r>
      <w:r>
        <w:t>should be</w:t>
      </w:r>
      <w:r>
        <w:rPr>
          <w:spacing w:val="-1"/>
        </w:rPr>
        <w:t xml:space="preserve"> </w:t>
      </w:r>
      <w:r>
        <w:t>assessed by</w:t>
      </w:r>
      <w:r>
        <w:rPr>
          <w:spacing w:val="35"/>
        </w:rPr>
        <w:t xml:space="preserve"> </w:t>
      </w:r>
      <w:r>
        <w:t xml:space="preserve">benchmarking it against other </w:t>
      </w:r>
      <w:r>
        <w:rPr>
          <w:spacing w:val="-1"/>
        </w:rPr>
        <w:t>comparable</w:t>
      </w:r>
      <w:r>
        <w:t xml:space="preserve"> utilities,</w:t>
      </w:r>
      <w:r>
        <w:rPr>
          <w:spacing w:val="-6"/>
        </w:rPr>
        <w:t xml:space="preserve"> </w:t>
      </w:r>
      <w:r>
        <w:t xml:space="preserve">commenting </w:t>
      </w:r>
      <w:r>
        <w:rPr>
          <w:spacing w:val="-1"/>
        </w:rPr>
        <w:t>that</w:t>
      </w:r>
      <w:r>
        <w:t xml:space="preserve"> the </w:t>
      </w:r>
      <w:r>
        <w:rPr>
          <w:spacing w:val="-1"/>
        </w:rPr>
        <w:t>“question</w:t>
      </w:r>
      <w:r>
        <w:t xml:space="preserve"> of</w:t>
      </w:r>
      <w:r>
        <w:rPr>
          <w:spacing w:val="4"/>
        </w:rPr>
        <w:t xml:space="preserve"> </w:t>
      </w:r>
      <w:r>
        <w:t>whether the</w:t>
      </w:r>
      <w:r>
        <w:rPr>
          <w:spacing w:val="30"/>
        </w:rPr>
        <w:t xml:space="preserve"> </w:t>
      </w:r>
      <w:r>
        <w:rPr>
          <w:rFonts w:cs="Avenir Next"/>
          <w:spacing w:val="-1"/>
        </w:rPr>
        <w:t>operator</w:t>
      </w:r>
      <w:r>
        <w:rPr>
          <w:rFonts w:cs="Avenir Next"/>
        </w:rPr>
        <w:t xml:space="preserve"> is delivering good value can best be </w:t>
      </w:r>
      <w:r>
        <w:rPr>
          <w:rFonts w:cs="Avenir Next"/>
          <w:spacing w:val="-1"/>
        </w:rPr>
        <w:t>answered</w:t>
      </w:r>
      <w:r>
        <w:rPr>
          <w:rFonts w:cs="Avenir Next"/>
        </w:rPr>
        <w:t xml:space="preserve"> by benchmarking the costs of</w:t>
      </w:r>
      <w:r>
        <w:rPr>
          <w:rFonts w:cs="Avenir Next"/>
          <w:spacing w:val="4"/>
        </w:rPr>
        <w:t xml:space="preserve"> </w:t>
      </w:r>
      <w:r>
        <w:rPr>
          <w:rFonts w:cs="Avenir Next"/>
        </w:rPr>
        <w:t>supply against</w:t>
      </w:r>
      <w:r>
        <w:rPr>
          <w:rFonts w:cs="Avenir Next"/>
          <w:spacing w:val="28"/>
        </w:rPr>
        <w:t xml:space="preserve"> </w:t>
      </w:r>
      <w:r>
        <w:t>other</w:t>
      </w:r>
      <w:r>
        <w:rPr>
          <w:spacing w:val="5"/>
        </w:rPr>
        <w:t xml:space="preserve"> </w:t>
      </w:r>
      <w:r>
        <w:t>similar</w:t>
      </w:r>
      <w:r>
        <w:rPr>
          <w:spacing w:val="6"/>
        </w:rPr>
        <w:t xml:space="preserve"> </w:t>
      </w:r>
      <w:r>
        <w:t>jurisdictions</w:t>
      </w:r>
      <w:r>
        <w:rPr>
          <w:spacing w:val="-25"/>
        </w:rPr>
        <w:t>”</w:t>
      </w:r>
      <w:r>
        <w:t>.</w:t>
      </w:r>
      <w:r>
        <w:rPr>
          <w:position w:val="7"/>
          <w:sz w:val="11"/>
          <w:szCs w:val="11"/>
        </w:rPr>
        <w:t>188</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60"/>
        </w:numPr>
        <w:tabs>
          <w:tab w:val="left" w:pos="2098"/>
        </w:tabs>
        <w:ind w:hanging="850"/>
      </w:pPr>
      <w:r>
        <w:rPr>
          <w:color w:val="0778BE"/>
          <w:spacing w:val="-3"/>
        </w:rPr>
        <w:t>Cardno’s</w:t>
      </w:r>
      <w:r>
        <w:rPr>
          <w:color w:val="0778BE"/>
        </w:rPr>
        <w:t xml:space="preserve"> advice to the </w:t>
      </w:r>
      <w:r>
        <w:rPr>
          <w:color w:val="0778BE"/>
          <w:spacing w:val="-3"/>
        </w:rPr>
        <w:t>Panel</w:t>
      </w:r>
      <w:r>
        <w:rPr>
          <w:color w:val="0778BE"/>
        </w:rPr>
        <w:t xml:space="preserve"> on </w:t>
      </w:r>
      <w:r>
        <w:rPr>
          <w:color w:val="0778BE"/>
          <w:spacing w:val="-1"/>
        </w:rPr>
        <w:t>operating</w:t>
      </w:r>
      <w:r>
        <w:rPr>
          <w:color w:val="0778BE"/>
        </w:rPr>
        <w:t xml:space="preserve"> </w:t>
      </w:r>
      <w:r>
        <w:rPr>
          <w:color w:val="0778BE"/>
          <w:spacing w:val="-1"/>
        </w:rPr>
        <w:t>expenditure</w:t>
      </w:r>
    </w:p>
    <w:p w:rsidR="00D96B91" w:rsidRDefault="00C2656B">
      <w:pPr>
        <w:pStyle w:val="BodyText"/>
        <w:spacing w:before="21" w:line="260" w:lineRule="exact"/>
        <w:ind w:right="1256"/>
        <w:rPr>
          <w:sz w:val="11"/>
          <w:szCs w:val="11"/>
        </w:rPr>
      </w:pPr>
      <w:r>
        <w:rPr>
          <w:spacing w:val="-2"/>
        </w:rPr>
        <w:t>Cardno</w:t>
      </w:r>
      <w:r>
        <w:t xml:space="preserve"> </w:t>
      </w:r>
      <w:r>
        <w:rPr>
          <w:spacing w:val="-1"/>
        </w:rPr>
        <w:t>undertook</w:t>
      </w:r>
      <w:r>
        <w:t xml:space="preserve"> a </w:t>
      </w:r>
      <w:r>
        <w:rPr>
          <w:spacing w:val="-1"/>
        </w:rPr>
        <w:t>review</w:t>
      </w:r>
      <w:r>
        <w:t xml:space="preserve"> of</w:t>
      </w:r>
      <w:r>
        <w:rPr>
          <w:spacing w:val="1"/>
        </w:rPr>
        <w:t xml:space="preserve"> </w:t>
      </w:r>
      <w:r>
        <w:rPr>
          <w:spacing w:val="-2"/>
        </w:rPr>
        <w:t>ACTEW’s</w:t>
      </w:r>
      <w:r>
        <w:t xml:space="preserve"> </w:t>
      </w:r>
      <w:r>
        <w:rPr>
          <w:spacing w:val="-1"/>
        </w:rPr>
        <w:t>forecast</w:t>
      </w:r>
      <w:r>
        <w:t xml:space="preserve"> </w:t>
      </w:r>
      <w:r>
        <w:rPr>
          <w:spacing w:val="-1"/>
        </w:rPr>
        <w:t>controllable</w:t>
      </w:r>
      <w:r>
        <w:t xml:space="preserve"> </w:t>
      </w:r>
      <w:r>
        <w:rPr>
          <w:spacing w:val="-1"/>
        </w:rPr>
        <w:t>operating</w:t>
      </w:r>
      <w:r>
        <w:t xml:space="preserve"> </w:t>
      </w:r>
      <w:r>
        <w:rPr>
          <w:spacing w:val="-1"/>
        </w:rPr>
        <w:t>expenditure</w:t>
      </w:r>
      <w:r>
        <w:t xml:space="preserve"> for the </w:t>
      </w:r>
      <w:r>
        <w:rPr>
          <w:spacing w:val="-2"/>
        </w:rPr>
        <w:t>Panel.</w:t>
      </w:r>
      <w:r>
        <w:rPr>
          <w:spacing w:val="-10"/>
        </w:rPr>
        <w:t xml:space="preserve"> </w:t>
      </w:r>
      <w:r>
        <w:t>As</w:t>
      </w:r>
      <w:r>
        <w:rPr>
          <w:spacing w:val="69"/>
        </w:rPr>
        <w:t xml:space="preserve"> </w:t>
      </w:r>
      <w:r>
        <w:rPr>
          <w:rFonts w:cs="Avenir Next"/>
          <w:spacing w:val="-1"/>
        </w:rPr>
        <w:t>part</w:t>
      </w:r>
      <w:r>
        <w:rPr>
          <w:rFonts w:cs="Avenir Next"/>
        </w:rPr>
        <w:t xml:space="preserve"> of</w:t>
      </w:r>
      <w:r>
        <w:rPr>
          <w:rFonts w:cs="Avenir Next"/>
          <w:spacing w:val="4"/>
        </w:rPr>
        <w:t xml:space="preserve"> </w:t>
      </w:r>
      <w:r>
        <w:rPr>
          <w:rFonts w:cs="Avenir Next"/>
        </w:rPr>
        <w:t xml:space="preserve">this </w:t>
      </w:r>
      <w:r>
        <w:rPr>
          <w:rFonts w:cs="Avenir Next"/>
          <w:spacing w:val="-2"/>
        </w:rPr>
        <w:t>review,</w:t>
      </w:r>
      <w:r>
        <w:rPr>
          <w:rFonts w:cs="Avenir Next"/>
          <w:spacing w:val="-6"/>
        </w:rPr>
        <w:t xml:space="preserve"> </w:t>
      </w:r>
      <w:r>
        <w:rPr>
          <w:rFonts w:cs="Avenir Next"/>
        </w:rPr>
        <w:t>it analysed</w:t>
      </w:r>
      <w:r>
        <w:rPr>
          <w:rFonts w:cs="Avenir Next"/>
          <w:spacing w:val="-4"/>
        </w:rPr>
        <w:t xml:space="preserve"> </w:t>
      </w:r>
      <w:r>
        <w:rPr>
          <w:rFonts w:cs="Avenir Next"/>
          <w:spacing w:val="-2"/>
        </w:rPr>
        <w:t>ACTEW’s</w:t>
      </w:r>
      <w:r>
        <w:rPr>
          <w:rFonts w:cs="Avenir Next"/>
        </w:rPr>
        <w:t xml:space="preserve"> service </w:t>
      </w:r>
      <w:r>
        <w:rPr>
          <w:rFonts w:cs="Avenir Next"/>
          <w:spacing w:val="-1"/>
        </w:rPr>
        <w:t>standards</w:t>
      </w:r>
      <w:r>
        <w:rPr>
          <w:rFonts w:cs="Avenir Next"/>
        </w:rPr>
        <w:t xml:space="preserve"> and </w:t>
      </w:r>
      <w:r>
        <w:rPr>
          <w:rFonts w:cs="Avenir Next"/>
          <w:spacing w:val="-1"/>
        </w:rPr>
        <w:t>compared</w:t>
      </w:r>
      <w:r>
        <w:rPr>
          <w:rFonts w:cs="Avenir Next"/>
          <w:spacing w:val="-4"/>
        </w:rPr>
        <w:t xml:space="preserve"> </w:t>
      </w:r>
      <w:r>
        <w:rPr>
          <w:rFonts w:cs="Avenir Next"/>
          <w:spacing w:val="-2"/>
        </w:rPr>
        <w:t>ACTEW’s</w:t>
      </w:r>
      <w:r>
        <w:rPr>
          <w:rFonts w:cs="Avenir Next"/>
        </w:rPr>
        <w:t xml:space="preserve"> performance with</w:t>
      </w:r>
      <w:r>
        <w:rPr>
          <w:rFonts w:cs="Avenir Next"/>
          <w:spacing w:val="29"/>
        </w:rPr>
        <w:t xml:space="preserve"> </w:t>
      </w:r>
      <w:r>
        <w:t>other</w:t>
      </w:r>
      <w:r>
        <w:rPr>
          <w:spacing w:val="-1"/>
        </w:rPr>
        <w:t xml:space="preserve"> water</w:t>
      </w:r>
      <w:r>
        <w:t xml:space="preserve"> service</w:t>
      </w:r>
      <w:r>
        <w:rPr>
          <w:spacing w:val="-1"/>
        </w:rPr>
        <w:t xml:space="preserve"> providers</w:t>
      </w:r>
      <w:r>
        <w:t xml:space="preserve"> in</w:t>
      </w:r>
      <w:r>
        <w:rPr>
          <w:spacing w:val="-4"/>
        </w:rPr>
        <w:t xml:space="preserve"> </w:t>
      </w:r>
      <w:r>
        <w:rPr>
          <w:spacing w:val="-1"/>
        </w:rPr>
        <w:t>Australia.</w:t>
      </w:r>
      <w:r>
        <w:rPr>
          <w:spacing w:val="-7"/>
        </w:rPr>
        <w:t xml:space="preserve"> </w:t>
      </w:r>
      <w:r>
        <w:t>It also</w:t>
      </w:r>
      <w:r>
        <w:rPr>
          <w:spacing w:val="-1"/>
        </w:rPr>
        <w:t xml:space="preserve"> </w:t>
      </w:r>
      <w:r>
        <w:t xml:space="preserve">made </w:t>
      </w:r>
      <w:r>
        <w:rPr>
          <w:spacing w:val="-1"/>
        </w:rPr>
        <w:t>recommendations</w:t>
      </w:r>
      <w:r>
        <w:t xml:space="preserve"> on</w:t>
      </w:r>
      <w:r>
        <w:rPr>
          <w:spacing w:val="-1"/>
        </w:rPr>
        <w:t xml:space="preserve"> </w:t>
      </w:r>
      <w:r>
        <w:t>the prudent</w:t>
      </w:r>
      <w:r>
        <w:rPr>
          <w:spacing w:val="-1"/>
        </w:rPr>
        <w:t xml:space="preserve"> efficient</w:t>
      </w:r>
      <w:r>
        <w:t xml:space="preserve"> level</w:t>
      </w:r>
      <w:r>
        <w:rPr>
          <w:spacing w:val="59"/>
        </w:rPr>
        <w:t xml:space="preserve"> </w:t>
      </w:r>
      <w:r>
        <w:t>of</w:t>
      </w:r>
      <w:r>
        <w:rPr>
          <w:spacing w:val="4"/>
        </w:rPr>
        <w:t xml:space="preserve"> </w:t>
      </w:r>
      <w:r>
        <w:rPr>
          <w:spacing w:val="-1"/>
        </w:rPr>
        <w:t>forecast</w:t>
      </w:r>
      <w:r>
        <w:t xml:space="preserve"> </w:t>
      </w:r>
      <w:r>
        <w:rPr>
          <w:spacing w:val="-1"/>
        </w:rPr>
        <w:t>operating</w:t>
      </w:r>
      <w:r>
        <w:t xml:space="preserve"> </w:t>
      </w:r>
      <w:r>
        <w:rPr>
          <w:spacing w:val="-1"/>
        </w:rPr>
        <w:t>expenditure</w:t>
      </w:r>
      <w:r>
        <w:t xml:space="preserve"> for the period 2013-14 to 2017-18.</w:t>
      </w:r>
      <w:r>
        <w:rPr>
          <w:spacing w:val="-7"/>
        </w:rPr>
        <w:t xml:space="preserve"> </w:t>
      </w:r>
      <w:r>
        <w:rPr>
          <w:spacing w:val="-3"/>
        </w:rPr>
        <w:t>Cardno’s</w:t>
      </w:r>
      <w:r>
        <w:t xml:space="preserve"> detailed analysis is</w:t>
      </w:r>
      <w:r>
        <w:rPr>
          <w:spacing w:val="39"/>
        </w:rPr>
        <w:t xml:space="preserve"> </w:t>
      </w:r>
      <w:r>
        <w:t>contained in</w:t>
      </w:r>
      <w:r>
        <w:rPr>
          <w:spacing w:val="1"/>
        </w:rPr>
        <w:t xml:space="preserve"> </w:t>
      </w:r>
      <w:r>
        <w:t>its</w:t>
      </w:r>
      <w:r>
        <w:rPr>
          <w:spacing w:val="1"/>
        </w:rPr>
        <w:t xml:space="preserve"> </w:t>
      </w:r>
      <w:r>
        <w:t>full</w:t>
      </w:r>
      <w:r>
        <w:rPr>
          <w:spacing w:val="1"/>
        </w:rPr>
        <w:t xml:space="preserve"> </w:t>
      </w:r>
      <w:r>
        <w:rPr>
          <w:spacing w:val="-1"/>
        </w:rPr>
        <w:t>report,</w:t>
      </w:r>
      <w:r>
        <w:rPr>
          <w:spacing w:val="-5"/>
        </w:rPr>
        <w:t xml:space="preserve"> </w:t>
      </w:r>
      <w:r>
        <w:t>which</w:t>
      </w:r>
      <w:r>
        <w:rPr>
          <w:spacing w:val="1"/>
        </w:rPr>
        <w:t xml:space="preserve"> </w:t>
      </w:r>
      <w:r>
        <w:t>is</w:t>
      </w:r>
      <w:r>
        <w:rPr>
          <w:spacing w:val="1"/>
        </w:rPr>
        <w:t xml:space="preserve"> </w:t>
      </w:r>
      <w:r>
        <w:t>available on</w:t>
      </w:r>
      <w:r>
        <w:rPr>
          <w:spacing w:val="1"/>
        </w:rPr>
        <w:t xml:space="preserve"> </w:t>
      </w:r>
      <w:r>
        <w:t>the</w:t>
      </w:r>
      <w:r>
        <w:rPr>
          <w:spacing w:val="1"/>
        </w:rPr>
        <w:t xml:space="preserve"> </w:t>
      </w:r>
      <w:r>
        <w:rPr>
          <w:spacing w:val="-4"/>
        </w:rPr>
        <w:t>Panel’s</w:t>
      </w:r>
      <w:r>
        <w:rPr>
          <w:spacing w:val="1"/>
        </w:rPr>
        <w:t xml:space="preserve"> </w:t>
      </w:r>
      <w:r>
        <w:rPr>
          <w:spacing w:val="-1"/>
        </w:rPr>
        <w:t>website.</w:t>
      </w:r>
      <w:r>
        <w:rPr>
          <w:spacing w:val="-1"/>
          <w:position w:val="7"/>
          <w:sz w:val="11"/>
          <w:szCs w:val="11"/>
        </w:rPr>
        <w:t>189</w:t>
      </w:r>
    </w:p>
    <w:p w:rsidR="00D96B91" w:rsidRDefault="00C2656B">
      <w:pPr>
        <w:pStyle w:val="BodyText"/>
        <w:spacing w:before="178"/>
        <w:rPr>
          <w:sz w:val="11"/>
          <w:szCs w:val="11"/>
        </w:rPr>
      </w:pPr>
      <w:r>
        <w:t>In</w:t>
      </w:r>
      <w:r>
        <w:rPr>
          <w:spacing w:val="2"/>
        </w:rPr>
        <w:t xml:space="preserve"> </w:t>
      </w:r>
      <w:r>
        <w:rPr>
          <w:spacing w:val="-1"/>
        </w:rPr>
        <w:t>summary,</w:t>
      </w:r>
      <w:r>
        <w:rPr>
          <w:spacing w:val="-4"/>
        </w:rPr>
        <w:t xml:space="preserve"> </w:t>
      </w:r>
      <w:r>
        <w:rPr>
          <w:spacing w:val="-2"/>
        </w:rPr>
        <w:t>Cardno</w:t>
      </w:r>
      <w:r>
        <w:rPr>
          <w:spacing w:val="2"/>
        </w:rPr>
        <w:t xml:space="preserve"> </w:t>
      </w:r>
      <w:r>
        <w:t>found</w:t>
      </w:r>
      <w:r>
        <w:rPr>
          <w:spacing w:val="3"/>
        </w:rPr>
        <w:t xml:space="preserve"> </w:t>
      </w:r>
      <w:r>
        <w:rPr>
          <w:spacing w:val="-1"/>
        </w:rPr>
        <w:t>that:</w:t>
      </w:r>
      <w:r>
        <w:rPr>
          <w:spacing w:val="2"/>
        </w:rPr>
        <w:t xml:space="preserve"> </w:t>
      </w:r>
      <w:r>
        <w:rPr>
          <w:position w:val="7"/>
          <w:sz w:val="11"/>
        </w:rPr>
        <w:t>190</w:t>
      </w:r>
    </w:p>
    <w:p w:rsidR="00D96B91" w:rsidRDefault="00C2656B">
      <w:pPr>
        <w:pStyle w:val="BodyText"/>
        <w:spacing w:before="149" w:line="260" w:lineRule="exact"/>
        <w:ind w:left="1644" w:right="1513"/>
      </w:pPr>
      <w:r>
        <w:rPr>
          <w:spacing w:val="-4"/>
        </w:rPr>
        <w:t>“ACTEW’s</w:t>
      </w:r>
      <w:r>
        <w:t xml:space="preserve"> service </w:t>
      </w:r>
      <w:r>
        <w:rPr>
          <w:spacing w:val="-1"/>
        </w:rPr>
        <w:t>standards</w:t>
      </w:r>
      <w:r>
        <w:t xml:space="preserve"> </w:t>
      </w:r>
      <w:r>
        <w:rPr>
          <w:spacing w:val="-1"/>
        </w:rPr>
        <w:t>appear</w:t>
      </w:r>
      <w:r>
        <w:t xml:space="preserve"> less </w:t>
      </w:r>
      <w:r>
        <w:rPr>
          <w:spacing w:val="-1"/>
        </w:rPr>
        <w:t>onerous</w:t>
      </w:r>
      <w:r>
        <w:t xml:space="preserve"> than other </w:t>
      </w:r>
      <w:r>
        <w:rPr>
          <w:spacing w:val="-1"/>
        </w:rPr>
        <w:t>water</w:t>
      </w:r>
      <w:r>
        <w:t xml:space="preserve"> utilities in</w:t>
      </w:r>
      <w:r>
        <w:rPr>
          <w:spacing w:val="-4"/>
        </w:rPr>
        <w:t xml:space="preserve"> </w:t>
      </w:r>
      <w:r>
        <w:rPr>
          <w:spacing w:val="-1"/>
        </w:rPr>
        <w:t>Australia</w:t>
      </w:r>
      <w:r>
        <w:t xml:space="preserve"> which</w:t>
      </w:r>
      <w:r>
        <w:rPr>
          <w:spacing w:val="51"/>
        </w:rPr>
        <w:t xml:space="preserve"> </w:t>
      </w:r>
      <w:r>
        <w:rPr>
          <w:rFonts w:cs="Avenir Next"/>
        </w:rPr>
        <w:t xml:space="preserve">suggests </w:t>
      </w:r>
      <w:r>
        <w:rPr>
          <w:rFonts w:cs="Avenir Next"/>
          <w:spacing w:val="-1"/>
        </w:rPr>
        <w:t>that</w:t>
      </w:r>
      <w:r>
        <w:rPr>
          <w:rFonts w:cs="Avenir Next"/>
        </w:rPr>
        <w:t xml:space="preserve"> its costs for </w:t>
      </w:r>
      <w:r>
        <w:rPr>
          <w:rFonts w:cs="Avenir Next"/>
          <w:spacing w:val="-1"/>
        </w:rPr>
        <w:t>providing</w:t>
      </w:r>
      <w:r>
        <w:rPr>
          <w:rFonts w:cs="Avenir Next"/>
        </w:rPr>
        <w:t xml:space="preserve"> its services could be </w:t>
      </w:r>
      <w:r>
        <w:rPr>
          <w:rFonts w:cs="Avenir Next"/>
          <w:spacing w:val="-1"/>
        </w:rPr>
        <w:t>relatively</w:t>
      </w:r>
      <w:r>
        <w:rPr>
          <w:rFonts w:cs="Avenir Next"/>
        </w:rPr>
        <w:t xml:space="preserve"> less than these other </w:t>
      </w:r>
      <w:r>
        <w:rPr>
          <w:rFonts w:cs="Avenir Next"/>
          <w:spacing w:val="-1"/>
        </w:rPr>
        <w:t>water</w:t>
      </w:r>
      <w:r>
        <w:rPr>
          <w:rFonts w:cs="Avenir Next"/>
          <w:spacing w:val="25"/>
        </w:rPr>
        <w:t xml:space="preserve"> </w:t>
      </w:r>
      <w:r>
        <w:t>utilities.</w:t>
      </w:r>
      <w:r>
        <w:rPr>
          <w:spacing w:val="-6"/>
        </w:rPr>
        <w:t xml:space="preserve"> </w:t>
      </w:r>
      <w:r>
        <w:rPr>
          <w:spacing w:val="-2"/>
        </w:rPr>
        <w:t>However,</w:t>
      </w:r>
      <w:r>
        <w:rPr>
          <w:spacing w:val="-6"/>
        </w:rPr>
        <w:t xml:space="preserve"> </w:t>
      </w:r>
      <w:r>
        <w:t>…</w:t>
      </w:r>
      <w:r>
        <w:rPr>
          <w:spacing w:val="-10"/>
        </w:rPr>
        <w:t xml:space="preserve"> </w:t>
      </w:r>
      <w:r>
        <w:rPr>
          <w:spacing w:val="-2"/>
        </w:rPr>
        <w:t>ACTEW</w:t>
      </w:r>
      <w:r>
        <w:rPr>
          <w:spacing w:val="-3"/>
        </w:rPr>
        <w:t xml:space="preserve"> </w:t>
      </w:r>
      <w:r>
        <w:t xml:space="preserve">has the highest </w:t>
      </w:r>
      <w:r>
        <w:rPr>
          <w:spacing w:val="-1"/>
        </w:rPr>
        <w:t>sewerage</w:t>
      </w:r>
      <w:r>
        <w:t xml:space="preserve"> </w:t>
      </w:r>
      <w:r>
        <w:rPr>
          <w:spacing w:val="-1"/>
        </w:rPr>
        <w:t>operating</w:t>
      </w:r>
      <w:r>
        <w:t xml:space="preserve"> costs per </w:t>
      </w:r>
      <w:r>
        <w:rPr>
          <w:spacing w:val="-1"/>
        </w:rPr>
        <w:t>property</w:t>
      </w:r>
      <w:r>
        <w:t xml:space="preserve"> when</w:t>
      </w:r>
      <w:r>
        <w:rPr>
          <w:spacing w:val="41"/>
        </w:rPr>
        <w:t xml:space="preserve"> </w:t>
      </w:r>
      <w:r>
        <w:rPr>
          <w:spacing w:val="-1"/>
        </w:rPr>
        <w:t>compared</w:t>
      </w:r>
      <w:r>
        <w:t xml:space="preserve"> with its peers and amongst the highest </w:t>
      </w:r>
      <w:r>
        <w:rPr>
          <w:spacing w:val="-1"/>
        </w:rPr>
        <w:t>water</w:t>
      </w:r>
      <w:r>
        <w:t xml:space="preserve"> </w:t>
      </w:r>
      <w:r>
        <w:rPr>
          <w:spacing w:val="-1"/>
        </w:rPr>
        <w:t>operating</w:t>
      </w:r>
      <w:r>
        <w:t xml:space="preserve"> costs per </w:t>
      </w:r>
      <w:r>
        <w:rPr>
          <w:spacing w:val="-2"/>
        </w:rPr>
        <w:t>property.</w:t>
      </w:r>
      <w:r>
        <w:rPr>
          <w:spacing w:val="-11"/>
        </w:rPr>
        <w:t xml:space="preserve"> </w:t>
      </w:r>
      <w:r>
        <w:rPr>
          <w:spacing w:val="-5"/>
        </w:rPr>
        <w:t>Taken</w:t>
      </w:r>
      <w:r>
        <w:rPr>
          <w:spacing w:val="29"/>
        </w:rPr>
        <w:t xml:space="preserve"> </w:t>
      </w:r>
      <w:r>
        <w:rPr>
          <w:spacing w:val="-2"/>
        </w:rPr>
        <w:t>together,</w:t>
      </w:r>
      <w:r>
        <w:rPr>
          <w:spacing w:val="-7"/>
        </w:rPr>
        <w:t xml:space="preserve"> </w:t>
      </w:r>
      <w:r>
        <w:t>these factors</w:t>
      </w:r>
      <w:r>
        <w:rPr>
          <w:spacing w:val="-1"/>
        </w:rPr>
        <w:t xml:space="preserve"> </w:t>
      </w:r>
      <w:r>
        <w:t>suggest</w:t>
      </w:r>
      <w:r>
        <w:rPr>
          <w:spacing w:val="-1"/>
        </w:rPr>
        <w:t xml:space="preserve"> that</w:t>
      </w:r>
      <w:r>
        <w:t xml:space="preserve"> </w:t>
      </w:r>
      <w:r>
        <w:rPr>
          <w:spacing w:val="-1"/>
        </w:rPr>
        <w:t xml:space="preserve">there </w:t>
      </w:r>
      <w:r>
        <w:t>is scope</w:t>
      </w:r>
      <w:r>
        <w:rPr>
          <w:spacing w:val="-1"/>
        </w:rPr>
        <w:t xml:space="preserve"> </w:t>
      </w:r>
      <w:r>
        <w:t xml:space="preserve">for </w:t>
      </w:r>
      <w:r>
        <w:rPr>
          <w:spacing w:val="-1"/>
        </w:rPr>
        <w:t xml:space="preserve">efficiency </w:t>
      </w:r>
      <w:r>
        <w:t>gains in</w:t>
      </w:r>
      <w:r>
        <w:rPr>
          <w:spacing w:val="-5"/>
        </w:rPr>
        <w:t xml:space="preserve"> </w:t>
      </w:r>
      <w:r>
        <w:rPr>
          <w:spacing w:val="-2"/>
        </w:rPr>
        <w:t>ACTEW’s</w:t>
      </w:r>
      <w:r>
        <w:t xml:space="preserve"> </w:t>
      </w:r>
      <w:r>
        <w:rPr>
          <w:spacing w:val="-1"/>
        </w:rPr>
        <w:t>operating</w:t>
      </w:r>
      <w:r>
        <w:rPr>
          <w:spacing w:val="43"/>
        </w:rPr>
        <w:t xml:space="preserve"> </w:t>
      </w:r>
      <w:r>
        <w:rPr>
          <w:spacing w:val="-3"/>
        </w:rPr>
        <w:t>costs.”</w:t>
      </w:r>
    </w:p>
    <w:p w:rsidR="00D96B91" w:rsidRDefault="00C2656B">
      <w:pPr>
        <w:pStyle w:val="BodyText"/>
        <w:spacing w:before="170" w:line="260" w:lineRule="exact"/>
        <w:ind w:right="1268"/>
        <w:rPr>
          <w:sz w:val="11"/>
          <w:szCs w:val="11"/>
        </w:rPr>
      </w:pPr>
      <w:r>
        <w:rPr>
          <w:rFonts w:cs="Avenir Next"/>
          <w:spacing w:val="-2"/>
        </w:rPr>
        <w:t>Cardno</w:t>
      </w:r>
      <w:r>
        <w:rPr>
          <w:rFonts w:cs="Avenir Next"/>
        </w:rPr>
        <w:t xml:space="preserve"> also found </w:t>
      </w:r>
      <w:r>
        <w:rPr>
          <w:rFonts w:cs="Avenir Next"/>
          <w:spacing w:val="-1"/>
        </w:rPr>
        <w:t>that</w:t>
      </w:r>
      <w:r>
        <w:rPr>
          <w:rFonts w:cs="Avenir Next"/>
          <w:spacing w:val="-4"/>
        </w:rPr>
        <w:t xml:space="preserve"> </w:t>
      </w:r>
      <w:r>
        <w:rPr>
          <w:rFonts w:cs="Avenir Next"/>
          <w:spacing w:val="-2"/>
        </w:rPr>
        <w:t>ACTEW</w:t>
      </w:r>
      <w:r>
        <w:rPr>
          <w:rFonts w:cs="Avenir Next"/>
          <w:spacing w:val="-3"/>
        </w:rPr>
        <w:t xml:space="preserve"> </w:t>
      </w:r>
      <w:r>
        <w:rPr>
          <w:rFonts w:cs="Avenir Next"/>
        </w:rPr>
        <w:t xml:space="preserve">had not included an </w:t>
      </w:r>
      <w:r>
        <w:rPr>
          <w:rFonts w:cs="Avenir Next"/>
          <w:spacing w:val="-1"/>
        </w:rPr>
        <w:t>explicit</w:t>
      </w:r>
      <w:r>
        <w:rPr>
          <w:rFonts w:cs="Avenir Next"/>
        </w:rPr>
        <w:t xml:space="preserve"> allowance for </w:t>
      </w:r>
      <w:r>
        <w:rPr>
          <w:rFonts w:cs="Avenir Next"/>
          <w:spacing w:val="-1"/>
        </w:rPr>
        <w:t>productivity</w:t>
      </w:r>
      <w:r>
        <w:rPr>
          <w:rFonts w:cs="Avenir Next"/>
        </w:rPr>
        <w:t xml:space="preserve"> </w:t>
      </w:r>
      <w:r>
        <w:rPr>
          <w:rFonts w:cs="Avenir Next"/>
          <w:spacing w:val="-1"/>
        </w:rPr>
        <w:t>improvements</w:t>
      </w:r>
      <w:r>
        <w:rPr>
          <w:rFonts w:cs="Avenir Next"/>
          <w:spacing w:val="63"/>
        </w:rPr>
        <w:t xml:space="preserve"> </w:t>
      </w:r>
      <w:r>
        <w:t xml:space="preserve">in the </w:t>
      </w:r>
      <w:r>
        <w:rPr>
          <w:spacing w:val="-1"/>
        </w:rPr>
        <w:t>revised</w:t>
      </w:r>
      <w:r>
        <w:t xml:space="preserve"> </w:t>
      </w:r>
      <w:r>
        <w:rPr>
          <w:spacing w:val="-1"/>
        </w:rPr>
        <w:t>forecasts</w:t>
      </w:r>
      <w:r>
        <w:t xml:space="preserve"> in the</w:t>
      </w:r>
      <w:r>
        <w:rPr>
          <w:spacing w:val="-4"/>
        </w:rPr>
        <w:t xml:space="preserve"> </w:t>
      </w:r>
      <w:r>
        <w:t>April 2013 submission.</w:t>
      </w:r>
      <w:r>
        <w:rPr>
          <w:spacing w:val="-6"/>
        </w:rPr>
        <w:t xml:space="preserve"> </w:t>
      </w:r>
      <w:r>
        <w:rPr>
          <w:spacing w:val="-2"/>
        </w:rPr>
        <w:t>However,</w:t>
      </w:r>
      <w:r>
        <w:rPr>
          <w:spacing w:val="-6"/>
        </w:rPr>
        <w:t xml:space="preserve"> </w:t>
      </w:r>
      <w:r>
        <w:t>it accepted</w:t>
      </w:r>
      <w:r>
        <w:rPr>
          <w:spacing w:val="-4"/>
        </w:rPr>
        <w:t xml:space="preserve"> </w:t>
      </w:r>
      <w:r>
        <w:rPr>
          <w:spacing w:val="-2"/>
        </w:rPr>
        <w:t>ACTEW’s</w:t>
      </w:r>
      <w:r>
        <w:t xml:space="preserve"> contention </w:t>
      </w:r>
      <w:r>
        <w:rPr>
          <w:spacing w:val="-1"/>
        </w:rPr>
        <w:t>that</w:t>
      </w:r>
      <w:r>
        <w:t xml:space="preserve"> the</w:t>
      </w:r>
      <w:r>
        <w:rPr>
          <w:spacing w:val="35"/>
        </w:rPr>
        <w:t xml:space="preserve"> </w:t>
      </w:r>
      <w:r>
        <w:rPr>
          <w:spacing w:val="-1"/>
        </w:rPr>
        <w:t>forecasts</w:t>
      </w:r>
      <w:r>
        <w:t xml:space="preserve"> assumed</w:t>
      </w:r>
      <w:r>
        <w:rPr>
          <w:spacing w:val="1"/>
        </w:rPr>
        <w:t xml:space="preserve"> </w:t>
      </w:r>
      <w:r>
        <w:rPr>
          <w:spacing w:val="-1"/>
        </w:rPr>
        <w:t>zero</w:t>
      </w:r>
      <w:r>
        <w:rPr>
          <w:spacing w:val="1"/>
        </w:rPr>
        <w:t xml:space="preserve"> </w:t>
      </w:r>
      <w:r>
        <w:rPr>
          <w:spacing w:val="-1"/>
        </w:rPr>
        <w:t>population</w:t>
      </w:r>
      <w:r>
        <w:t xml:space="preserve"> </w:t>
      </w:r>
      <w:r>
        <w:rPr>
          <w:spacing w:val="-1"/>
        </w:rPr>
        <w:t>growth,</w:t>
      </w:r>
      <w:r>
        <w:rPr>
          <w:spacing w:val="-5"/>
        </w:rPr>
        <w:t xml:space="preserve"> </w:t>
      </w:r>
      <w:r>
        <w:t>and</w:t>
      </w:r>
      <w:r>
        <w:rPr>
          <w:spacing w:val="1"/>
        </w:rPr>
        <w:t xml:space="preserve"> </w:t>
      </w:r>
      <w:r>
        <w:t>this</w:t>
      </w:r>
      <w:r>
        <w:rPr>
          <w:spacing w:val="1"/>
        </w:rPr>
        <w:t xml:space="preserve"> </w:t>
      </w:r>
      <w:r>
        <w:t>could be</w:t>
      </w:r>
      <w:r>
        <w:rPr>
          <w:spacing w:val="1"/>
        </w:rPr>
        <w:t xml:space="preserve"> </w:t>
      </w:r>
      <w:r>
        <w:rPr>
          <w:spacing w:val="-1"/>
        </w:rPr>
        <w:t>considered</w:t>
      </w:r>
      <w:r>
        <w:rPr>
          <w:spacing w:val="1"/>
        </w:rPr>
        <w:t xml:space="preserve"> </w:t>
      </w:r>
      <w:r>
        <w:t>a</w:t>
      </w:r>
      <w:r>
        <w:rPr>
          <w:spacing w:val="1"/>
        </w:rPr>
        <w:t xml:space="preserve"> </w:t>
      </w:r>
      <w:r>
        <w:rPr>
          <w:spacing w:val="-2"/>
        </w:rPr>
        <w:t>proxy</w:t>
      </w:r>
      <w:r>
        <w:t xml:space="preserve"> </w:t>
      </w:r>
      <w:r>
        <w:rPr>
          <w:spacing w:val="-1"/>
        </w:rPr>
        <w:t>productivity</w:t>
      </w:r>
      <w:r>
        <w:rPr>
          <w:spacing w:val="1"/>
        </w:rPr>
        <w:t xml:space="preserve"> </w:t>
      </w:r>
      <w:r>
        <w:rPr>
          <w:spacing w:val="-1"/>
        </w:rPr>
        <w:t>gain.</w:t>
      </w:r>
      <w:r>
        <w:rPr>
          <w:spacing w:val="-1"/>
          <w:position w:val="7"/>
          <w:sz w:val="11"/>
          <w:szCs w:val="11"/>
        </w:rPr>
        <w:t>191</w:t>
      </w:r>
    </w:p>
    <w:p w:rsidR="00D96B91" w:rsidRDefault="00C2656B">
      <w:pPr>
        <w:pStyle w:val="BodyText"/>
        <w:spacing w:before="170" w:line="260" w:lineRule="exact"/>
        <w:ind w:right="1283"/>
        <w:rPr>
          <w:rFonts w:cs="Avenir Next"/>
        </w:rPr>
      </w:pPr>
      <w:r>
        <w:t>In</w:t>
      </w:r>
      <w:r>
        <w:rPr>
          <w:spacing w:val="-1"/>
        </w:rPr>
        <w:t xml:space="preserve"> relation </w:t>
      </w:r>
      <w:r>
        <w:t>to the</w:t>
      </w:r>
      <w:r>
        <w:rPr>
          <w:spacing w:val="-1"/>
        </w:rPr>
        <w:t xml:space="preserve"> </w:t>
      </w:r>
      <w:r>
        <w:t>prudence and</w:t>
      </w:r>
      <w:r>
        <w:rPr>
          <w:spacing w:val="-1"/>
        </w:rPr>
        <w:t xml:space="preserve"> efficiency</w:t>
      </w:r>
      <w:r>
        <w:t xml:space="preserve"> of </w:t>
      </w:r>
      <w:r>
        <w:rPr>
          <w:spacing w:val="-2"/>
        </w:rPr>
        <w:t>ACTEW’s</w:t>
      </w:r>
      <w:r>
        <w:rPr>
          <w:spacing w:val="-1"/>
        </w:rPr>
        <w:t xml:space="preserve"> forecast</w:t>
      </w:r>
      <w:r>
        <w:t xml:space="preserve"> </w:t>
      </w:r>
      <w:r>
        <w:rPr>
          <w:spacing w:val="-1"/>
        </w:rPr>
        <w:t>controllable operating</w:t>
      </w:r>
      <w:r>
        <w:t xml:space="preserve"> </w:t>
      </w:r>
      <w:r>
        <w:rPr>
          <w:spacing w:val="-1"/>
        </w:rPr>
        <w:t>expenditure</w:t>
      </w:r>
      <w:r>
        <w:rPr>
          <w:spacing w:val="61"/>
        </w:rPr>
        <w:t xml:space="preserve"> </w:t>
      </w:r>
      <w:r>
        <w:rPr>
          <w:spacing w:val="-2"/>
        </w:rPr>
        <w:t>Cardno</w:t>
      </w:r>
      <w:r>
        <w:t xml:space="preserve"> concluded </w:t>
      </w:r>
      <w:r>
        <w:rPr>
          <w:spacing w:val="-1"/>
        </w:rPr>
        <w:t>that</w:t>
      </w:r>
      <w:r>
        <w:t xml:space="preserve"> the </w:t>
      </w:r>
      <w:r>
        <w:rPr>
          <w:spacing w:val="-1"/>
        </w:rPr>
        <w:t>revised</w:t>
      </w:r>
      <w:r>
        <w:t xml:space="preserve"> </w:t>
      </w:r>
      <w:r>
        <w:rPr>
          <w:spacing w:val="-1"/>
        </w:rPr>
        <w:t>forecasts</w:t>
      </w:r>
      <w:r>
        <w:t xml:space="preserve"> </w:t>
      </w:r>
      <w:r>
        <w:rPr>
          <w:spacing w:val="-1"/>
        </w:rPr>
        <w:t>from</w:t>
      </w:r>
      <w:r>
        <w:rPr>
          <w:spacing w:val="-4"/>
        </w:rPr>
        <w:t xml:space="preserve"> </w:t>
      </w:r>
      <w:r>
        <w:rPr>
          <w:spacing w:val="-2"/>
        </w:rPr>
        <w:t>ACTEW’s</w:t>
      </w:r>
      <w:r>
        <w:rPr>
          <w:spacing w:val="-4"/>
        </w:rPr>
        <w:t xml:space="preserve"> </w:t>
      </w:r>
      <w:r>
        <w:t>April 2013 submission “should be adopted</w:t>
      </w:r>
      <w:r>
        <w:rPr>
          <w:spacing w:val="31"/>
        </w:rPr>
        <w:t xml:space="preserve"> </w:t>
      </w:r>
      <w:r>
        <w:t xml:space="preserve">as prudent and </w:t>
      </w:r>
      <w:r>
        <w:rPr>
          <w:spacing w:val="-2"/>
        </w:rPr>
        <w:t>efficient.”</w:t>
      </w:r>
      <w:r>
        <w:rPr>
          <w:spacing w:val="-2"/>
          <w:position w:val="7"/>
          <w:sz w:val="11"/>
          <w:szCs w:val="11"/>
        </w:rPr>
        <w:t>192</w:t>
      </w:r>
      <w:r>
        <w:rPr>
          <w:spacing w:val="23"/>
          <w:position w:val="7"/>
          <w:sz w:val="11"/>
          <w:szCs w:val="11"/>
        </w:rPr>
        <w:t xml:space="preserve"> </w:t>
      </w:r>
      <w:r>
        <w:rPr>
          <w:spacing w:val="-2"/>
        </w:rPr>
        <w:t>However,</w:t>
      </w:r>
      <w:r>
        <w:rPr>
          <w:spacing w:val="-6"/>
        </w:rPr>
        <w:t xml:space="preserve"> </w:t>
      </w:r>
      <w:r>
        <w:t>it added</w:t>
      </w:r>
      <w:r>
        <w:rPr>
          <w:spacing w:val="1"/>
        </w:rPr>
        <w:t xml:space="preserve"> </w:t>
      </w:r>
      <w:r>
        <w:rPr>
          <w:spacing w:val="-1"/>
        </w:rPr>
        <w:t>that,</w:t>
      </w:r>
      <w:r>
        <w:rPr>
          <w:spacing w:val="-6"/>
        </w:rPr>
        <w:t xml:space="preserve"> </w:t>
      </w:r>
      <w:r>
        <w:t xml:space="preserve">for the </w:t>
      </w:r>
      <w:r>
        <w:rPr>
          <w:spacing w:val="-1"/>
        </w:rPr>
        <w:t>future,</w:t>
      </w:r>
      <w:r>
        <w:rPr>
          <w:spacing w:val="-9"/>
        </w:rPr>
        <w:t xml:space="preserve"> </w:t>
      </w:r>
      <w:r>
        <w:rPr>
          <w:spacing w:val="-2"/>
        </w:rPr>
        <w:t>ACTEW</w:t>
      </w:r>
      <w:r>
        <w:rPr>
          <w:spacing w:val="-3"/>
        </w:rPr>
        <w:t xml:space="preserve"> </w:t>
      </w:r>
      <w:r>
        <w:t>should consider whether</w:t>
      </w:r>
      <w:r>
        <w:rPr>
          <w:spacing w:val="1"/>
        </w:rPr>
        <w:t xml:space="preserve"> </w:t>
      </w:r>
      <w:r>
        <w:t>its</w:t>
      </w:r>
      <w:r>
        <w:rPr>
          <w:spacing w:val="51"/>
        </w:rPr>
        <w:t xml:space="preserve"> </w:t>
      </w:r>
      <w:r>
        <w:rPr>
          <w:rFonts w:cs="Avenir Next"/>
          <w:spacing w:val="-1"/>
        </w:rPr>
        <w:t>forecasting</w:t>
      </w:r>
      <w:r>
        <w:rPr>
          <w:rFonts w:cs="Avenir Next"/>
        </w:rPr>
        <w:t xml:space="preserve"> and internal budgeting </w:t>
      </w:r>
      <w:r>
        <w:rPr>
          <w:rFonts w:cs="Avenir Next"/>
          <w:spacing w:val="-1"/>
        </w:rPr>
        <w:t>approach</w:t>
      </w:r>
      <w:r>
        <w:rPr>
          <w:rFonts w:cs="Avenir Next"/>
        </w:rPr>
        <w:t xml:space="preserve"> </w:t>
      </w:r>
      <w:r>
        <w:rPr>
          <w:rFonts w:cs="Avenir Next"/>
          <w:spacing w:val="-1"/>
        </w:rPr>
        <w:t>adequately</w:t>
      </w:r>
      <w:r>
        <w:rPr>
          <w:rFonts w:cs="Avenir Next"/>
        </w:rPr>
        <w:t xml:space="preserve"> accounts for:</w:t>
      </w:r>
    </w:p>
    <w:p w:rsidR="00D96B91" w:rsidRDefault="00C2656B">
      <w:pPr>
        <w:pStyle w:val="BodyText"/>
        <w:numPr>
          <w:ilvl w:val="0"/>
          <w:numId w:val="131"/>
        </w:numPr>
        <w:tabs>
          <w:tab w:val="left" w:pos="1531"/>
        </w:tabs>
        <w:spacing w:before="178"/>
        <w:ind w:hanging="283"/>
        <w:rPr>
          <w:rFonts w:cs="Avenir Next"/>
        </w:rPr>
      </w:pPr>
      <w:r>
        <w:rPr>
          <w:spacing w:val="-1"/>
        </w:rPr>
        <w:t>operating</w:t>
      </w:r>
      <w:r>
        <w:t xml:space="preserve"> </w:t>
      </w:r>
      <w:r>
        <w:rPr>
          <w:spacing w:val="-1"/>
        </w:rPr>
        <w:t>expenditure</w:t>
      </w:r>
      <w:r>
        <w:t xml:space="preserve"> arising </w:t>
      </w:r>
      <w:r>
        <w:rPr>
          <w:spacing w:val="-1"/>
        </w:rPr>
        <w:t>from</w:t>
      </w:r>
      <w:r>
        <w:t xml:space="preserve"> new capital investments</w:t>
      </w:r>
    </w:p>
    <w:p w:rsidR="00D96B91" w:rsidRDefault="00C2656B">
      <w:pPr>
        <w:pStyle w:val="BodyText"/>
        <w:numPr>
          <w:ilvl w:val="0"/>
          <w:numId w:val="131"/>
        </w:numPr>
        <w:tabs>
          <w:tab w:val="left" w:pos="1531"/>
        </w:tabs>
        <w:spacing w:before="64" w:line="260" w:lineRule="exact"/>
        <w:ind w:right="1468" w:hanging="283"/>
        <w:rPr>
          <w:rFonts w:cs="Avenir Next"/>
        </w:rPr>
      </w:pPr>
      <w:r>
        <w:rPr>
          <w:spacing w:val="-1"/>
        </w:rPr>
        <w:t>operating</w:t>
      </w:r>
      <w:r>
        <w:t xml:space="preserve"> </w:t>
      </w:r>
      <w:r>
        <w:rPr>
          <w:spacing w:val="-1"/>
        </w:rPr>
        <w:t>expenditure</w:t>
      </w:r>
      <w:r>
        <w:t xml:space="preserve"> arising </w:t>
      </w:r>
      <w:r>
        <w:rPr>
          <w:spacing w:val="-1"/>
        </w:rPr>
        <w:t>from</w:t>
      </w:r>
      <w:r>
        <w:t xml:space="preserve"> </w:t>
      </w:r>
      <w:r>
        <w:rPr>
          <w:spacing w:val="-1"/>
        </w:rPr>
        <w:t>population</w:t>
      </w:r>
      <w:r>
        <w:t xml:space="preserve"> </w:t>
      </w:r>
      <w:r>
        <w:rPr>
          <w:spacing w:val="-1"/>
        </w:rPr>
        <w:t>growth</w:t>
      </w:r>
      <w:r>
        <w:t xml:space="preserve"> (eg,</w:t>
      </w:r>
      <w:r>
        <w:rPr>
          <w:spacing w:val="-6"/>
        </w:rPr>
        <w:t xml:space="preserve"> </w:t>
      </w:r>
      <w:r>
        <w:rPr>
          <w:spacing w:val="-1"/>
        </w:rPr>
        <w:t>increased</w:t>
      </w:r>
      <w:r>
        <w:t xml:space="preserve"> </w:t>
      </w:r>
      <w:r>
        <w:rPr>
          <w:spacing w:val="-1"/>
        </w:rPr>
        <w:t>treatment</w:t>
      </w:r>
      <w:r>
        <w:t xml:space="preserve"> plant </w:t>
      </w:r>
      <w:r>
        <w:rPr>
          <w:spacing w:val="-1"/>
        </w:rPr>
        <w:t>throughput),</w:t>
      </w:r>
      <w:r>
        <w:rPr>
          <w:spacing w:val="63"/>
        </w:rPr>
        <w:t xml:space="preserve"> </w:t>
      </w:r>
      <w:r>
        <w:t>and</w:t>
      </w:r>
    </w:p>
    <w:p w:rsidR="00D96B91" w:rsidRDefault="00C2656B">
      <w:pPr>
        <w:pStyle w:val="BodyText"/>
        <w:numPr>
          <w:ilvl w:val="0"/>
          <w:numId w:val="131"/>
        </w:numPr>
        <w:tabs>
          <w:tab w:val="left" w:pos="1531"/>
        </w:tabs>
        <w:spacing w:before="85" w:line="260" w:lineRule="exact"/>
        <w:ind w:right="1246" w:hanging="283"/>
        <w:rPr>
          <w:sz w:val="11"/>
          <w:szCs w:val="11"/>
        </w:rPr>
      </w:pPr>
      <w:r>
        <w:rPr>
          <w:spacing w:val="-1"/>
        </w:rPr>
        <w:t>efficiency</w:t>
      </w:r>
      <w:r>
        <w:rPr>
          <w:spacing w:val="-2"/>
        </w:rPr>
        <w:t xml:space="preserve"> </w:t>
      </w:r>
      <w:r>
        <w:t>gains</w:t>
      </w:r>
      <w:r>
        <w:rPr>
          <w:spacing w:val="-2"/>
        </w:rPr>
        <w:t xml:space="preserve"> </w:t>
      </w:r>
      <w:r>
        <w:rPr>
          <w:spacing w:val="-1"/>
        </w:rPr>
        <w:t>through improved</w:t>
      </w:r>
      <w:r>
        <w:rPr>
          <w:spacing w:val="-2"/>
        </w:rPr>
        <w:t xml:space="preserve"> </w:t>
      </w:r>
      <w:r>
        <w:t>work</w:t>
      </w:r>
      <w:r>
        <w:rPr>
          <w:spacing w:val="-1"/>
        </w:rPr>
        <w:t xml:space="preserve"> practices,</w:t>
      </w:r>
      <w:r>
        <w:rPr>
          <w:spacing w:val="-8"/>
        </w:rPr>
        <w:t xml:space="preserve"> </w:t>
      </w:r>
      <w:r>
        <w:t>lower</w:t>
      </w:r>
      <w:r>
        <w:rPr>
          <w:spacing w:val="-1"/>
        </w:rPr>
        <w:t xml:space="preserve"> </w:t>
      </w:r>
      <w:r>
        <w:t>input</w:t>
      </w:r>
      <w:r>
        <w:rPr>
          <w:spacing w:val="-2"/>
        </w:rPr>
        <w:t xml:space="preserve"> </w:t>
      </w:r>
      <w:r>
        <w:t>costs,</w:t>
      </w:r>
      <w:r>
        <w:rPr>
          <w:spacing w:val="-7"/>
        </w:rPr>
        <w:t xml:space="preserve"> </w:t>
      </w:r>
      <w:r>
        <w:t>the</w:t>
      </w:r>
      <w:r>
        <w:rPr>
          <w:spacing w:val="-2"/>
        </w:rPr>
        <w:t xml:space="preserve"> </w:t>
      </w:r>
      <w:r>
        <w:t>adoption</w:t>
      </w:r>
      <w:r>
        <w:rPr>
          <w:spacing w:val="-1"/>
        </w:rPr>
        <w:t xml:space="preserve"> </w:t>
      </w:r>
      <w:r>
        <w:t>of</w:t>
      </w:r>
      <w:r>
        <w:rPr>
          <w:spacing w:val="3"/>
        </w:rPr>
        <w:t xml:space="preserve"> </w:t>
      </w:r>
      <w:r>
        <w:t>new</w:t>
      </w:r>
      <w:r>
        <w:rPr>
          <w:spacing w:val="-1"/>
        </w:rPr>
        <w:t xml:space="preserve"> </w:t>
      </w:r>
      <w:r>
        <w:t>technology</w:t>
      </w:r>
      <w:r>
        <w:rPr>
          <w:spacing w:val="41"/>
        </w:rPr>
        <w:t xml:space="preserve"> </w:t>
      </w:r>
      <w:r>
        <w:t>and</w:t>
      </w:r>
      <w:r>
        <w:rPr>
          <w:spacing w:val="5"/>
        </w:rPr>
        <w:t xml:space="preserve"> </w:t>
      </w:r>
      <w:r>
        <w:t>other</w:t>
      </w:r>
      <w:r>
        <w:rPr>
          <w:spacing w:val="6"/>
        </w:rPr>
        <w:t xml:space="preserve"> </w:t>
      </w:r>
      <w:r>
        <w:rPr>
          <w:spacing w:val="-1"/>
        </w:rPr>
        <w:t>sources.</w:t>
      </w:r>
      <w:r>
        <w:rPr>
          <w:spacing w:val="-1"/>
          <w:position w:val="7"/>
          <w:sz w:val="11"/>
        </w:rPr>
        <w:t>193</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3"/>
        <w:rPr>
          <w:rFonts w:ascii="Avenir Next" w:eastAsia="Avenir Next" w:hAnsi="Avenir Next" w:cs="Avenir Next"/>
          <w:sz w:val="19"/>
          <w:szCs w:val="1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89" style="width:72.5pt;height:.5pt;mso-position-horizontal-relative:char;mso-position-vertical-relative:line" coordsize="1450,10">
            <v:group id="_x0000_s1890" style="position:absolute;left:5;top:5;width:1440;height:2" coordorigin="5,5" coordsize="1440,2">
              <v:shape id="_x0000_s1891" style="position:absolute;left:5;top:5;width:1440;height:2" coordorigin="5,5" coordsize="1440,0" path="m5,5r1440,e" filled="f" strokeweight=".5pt">
                <v:path arrowok="t"/>
              </v:shape>
            </v:group>
            <w10:wrap type="none"/>
            <w10:anchorlock/>
          </v:group>
        </w:pict>
      </w:r>
    </w:p>
    <w:p w:rsidR="00D96B91" w:rsidRDefault="00C2656B">
      <w:pPr>
        <w:numPr>
          <w:ilvl w:val="0"/>
          <w:numId w:val="58"/>
        </w:numPr>
        <w:tabs>
          <w:tab w:val="left" w:pos="1758"/>
        </w:tabs>
        <w:spacing w:before="45" w:line="192" w:lineRule="exact"/>
        <w:ind w:right="1455" w:hanging="510"/>
        <w:rPr>
          <w:rFonts w:ascii="Avenir Next" w:eastAsia="Avenir Next" w:hAnsi="Avenir Next" w:cs="Avenir Next"/>
          <w:sz w:val="16"/>
          <w:szCs w:val="16"/>
        </w:rPr>
      </w:pPr>
      <w:r>
        <w:rPr>
          <w:rFonts w:ascii="Avenir Next"/>
          <w:sz w:val="16"/>
        </w:rPr>
        <w:t xml:space="preserve">See </w:t>
      </w:r>
      <w:r>
        <w:rPr>
          <w:rFonts w:ascii="Avenir Next"/>
          <w:spacing w:val="-1"/>
          <w:sz w:val="16"/>
        </w:rPr>
        <w:t>Executive</w:t>
      </w:r>
      <w:r>
        <w:rPr>
          <w:rFonts w:ascii="Avenir Next"/>
          <w:sz w:val="16"/>
        </w:rPr>
        <w:t xml:space="preserve"> </w:t>
      </w:r>
      <w:r>
        <w:rPr>
          <w:rFonts w:ascii="Avenir Next"/>
          <w:spacing w:val="-1"/>
          <w:sz w:val="16"/>
        </w:rPr>
        <w:t>Committee</w:t>
      </w:r>
      <w:r>
        <w:rPr>
          <w:rFonts w:ascii="Avenir Next"/>
          <w:sz w:val="16"/>
        </w:rPr>
        <w:t xml:space="preserve"> UP999,</w:t>
      </w:r>
      <w:r>
        <w:rPr>
          <w:rFonts w:ascii="Avenir Next"/>
          <w:spacing w:val="-5"/>
          <w:sz w:val="16"/>
        </w:rPr>
        <w:t xml:space="preserve"> </w:t>
      </w:r>
      <w:r>
        <w:rPr>
          <w:rFonts w:ascii="Avenir Next"/>
          <w:sz w:val="16"/>
        </w:rPr>
        <w:t xml:space="preserve">Submission on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Direction</w:t>
      </w:r>
      <w:r>
        <w:rPr>
          <w:rFonts w:ascii="Avenir Next"/>
          <w:sz w:val="16"/>
        </w:rPr>
        <w:t xml:space="preserve"> for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pacing w:val="79"/>
          <w:sz w:val="16"/>
        </w:rPr>
        <w:t xml:space="preserve"> </w:t>
      </w:r>
      <w:r>
        <w:rPr>
          <w:rFonts w:ascii="Avenir Next"/>
          <w:sz w:val="16"/>
        </w:rPr>
        <w:t>15</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 xml:space="preserve">5 and </w:t>
      </w:r>
      <w:r>
        <w:rPr>
          <w:rFonts w:ascii="Avenir Next"/>
          <w:spacing w:val="-1"/>
          <w:sz w:val="16"/>
        </w:rPr>
        <w:t>Ratepayers</w:t>
      </w:r>
      <w:r>
        <w:rPr>
          <w:rFonts w:ascii="Avenir Next"/>
          <w:spacing w:val="-3"/>
          <w:sz w:val="16"/>
        </w:rPr>
        <w:t xml:space="preserve"> </w:t>
      </w:r>
      <w:r>
        <w:rPr>
          <w:rFonts w:ascii="Avenir Next"/>
          <w:spacing w:val="-1"/>
          <w:sz w:val="16"/>
        </w:rPr>
        <w:t>Association</w:t>
      </w:r>
      <w:r>
        <w:rPr>
          <w:rFonts w:ascii="Avenir Next"/>
          <w:sz w:val="16"/>
        </w:rPr>
        <w:t xml:space="preserve"> of </w:t>
      </w:r>
      <w:r>
        <w:rPr>
          <w:rFonts w:ascii="Avenir Next"/>
          <w:spacing w:val="-5"/>
          <w:sz w:val="16"/>
        </w:rPr>
        <w:t xml:space="preserve">ACT, </w:t>
      </w:r>
      <w:r>
        <w:rPr>
          <w:rFonts w:ascii="Avenir Next"/>
          <w:sz w:val="16"/>
        </w:rPr>
        <w:t>Submission,</w:t>
      </w:r>
      <w:r>
        <w:rPr>
          <w:rFonts w:ascii="Avenir Next"/>
          <w:spacing w:val="-5"/>
          <w:sz w:val="16"/>
        </w:rPr>
        <w:t xml:space="preserve"> </w:t>
      </w:r>
      <w:r>
        <w:rPr>
          <w:rFonts w:ascii="Avenir Next"/>
          <w:sz w:val="16"/>
        </w:rPr>
        <w:t>18</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w:t>
      </w:r>
    </w:p>
    <w:p w:rsidR="00D96B91" w:rsidRDefault="00C2656B">
      <w:pPr>
        <w:numPr>
          <w:ilvl w:val="0"/>
          <w:numId w:val="58"/>
        </w:numPr>
        <w:tabs>
          <w:tab w:val="left" w:pos="1758"/>
        </w:tabs>
        <w:spacing w:before="141"/>
        <w:ind w:hanging="510"/>
        <w:rPr>
          <w:rFonts w:ascii="Avenir Next" w:eastAsia="Avenir Next" w:hAnsi="Avenir Next" w:cs="Avenir Next"/>
          <w:sz w:val="16"/>
          <w:szCs w:val="16"/>
        </w:rPr>
      </w:pPr>
      <w:r>
        <w:rPr>
          <w:rFonts w:ascii="Avenir Next"/>
          <w:sz w:val="16"/>
        </w:rPr>
        <w:t xml:space="preserve">Mr </w:t>
      </w:r>
      <w:r>
        <w:rPr>
          <w:rFonts w:ascii="Avenir Next"/>
          <w:spacing w:val="-1"/>
          <w:sz w:val="16"/>
        </w:rPr>
        <w:t>Kevin</w:t>
      </w:r>
      <w:r>
        <w:rPr>
          <w:rFonts w:ascii="Avenir Next"/>
          <w:sz w:val="16"/>
        </w:rPr>
        <w:t xml:space="preserve"> </w:t>
      </w:r>
      <w:r>
        <w:rPr>
          <w:rFonts w:ascii="Avenir Next"/>
          <w:spacing w:val="-1"/>
          <w:sz w:val="16"/>
        </w:rPr>
        <w:t>Cox,</w:t>
      </w:r>
      <w:r>
        <w:rPr>
          <w:rFonts w:ascii="Avenir Next"/>
          <w:spacing w:val="-5"/>
          <w:sz w:val="16"/>
        </w:rPr>
        <w:t xml:space="preserve"> </w:t>
      </w:r>
      <w:r>
        <w:rPr>
          <w:rFonts w:ascii="Avenir Next"/>
          <w:sz w:val="16"/>
        </w:rPr>
        <w:t xml:space="preserve">Submission to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Increases</w:t>
      </w:r>
      <w:r>
        <w:rPr>
          <w:rFonts w:ascii="Avenir Next"/>
          <w:sz w:val="16"/>
        </w:rPr>
        <w:t xml:space="preserve"> in</w:t>
      </w:r>
      <w:r>
        <w:rPr>
          <w:rFonts w:ascii="Avenir Next"/>
          <w:spacing w:val="-3"/>
          <w:sz w:val="16"/>
        </w:rPr>
        <w:t xml:space="preserve"> </w:t>
      </w:r>
      <w:r>
        <w:rPr>
          <w:rFonts w:ascii="Avenir Next"/>
          <w:spacing w:val="-1"/>
          <w:sz w:val="16"/>
        </w:rPr>
        <w:t>ACTEW</w:t>
      </w:r>
      <w:r>
        <w:rPr>
          <w:rFonts w:ascii="Avenir Next"/>
          <w:spacing w:val="-4"/>
          <w:sz w:val="16"/>
        </w:rPr>
        <w:t xml:space="preserve"> </w:t>
      </w:r>
      <w:r>
        <w:rPr>
          <w:rFonts w:ascii="Avenir Next"/>
          <w:spacing w:val="-2"/>
          <w:sz w:val="16"/>
        </w:rPr>
        <w:t>Water</w:t>
      </w:r>
      <w:r>
        <w:rPr>
          <w:rFonts w:ascii="Avenir Next"/>
          <w:sz w:val="16"/>
        </w:rPr>
        <w:t xml:space="preserve"> and </w:t>
      </w:r>
      <w:r>
        <w:rPr>
          <w:rFonts w:ascii="Avenir Next"/>
          <w:spacing w:val="-1"/>
          <w:sz w:val="16"/>
        </w:rPr>
        <w:t>Sewerage,</w:t>
      </w:r>
      <w:r>
        <w:rPr>
          <w:rFonts w:ascii="Avenir Next"/>
          <w:spacing w:val="-5"/>
          <w:sz w:val="16"/>
        </w:rPr>
        <w:t xml:space="preserve"> </w:t>
      </w:r>
      <w:r>
        <w:rPr>
          <w:rFonts w:ascii="Avenir Next"/>
          <w:spacing w:val="-1"/>
          <w:sz w:val="16"/>
        </w:rPr>
        <w:t>undated,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16.</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28.</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6"/>
        <w:numPr>
          <w:ilvl w:val="2"/>
          <w:numId w:val="60"/>
        </w:numPr>
        <w:tabs>
          <w:tab w:val="left" w:pos="2098"/>
        </w:tabs>
        <w:spacing w:before="9"/>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tabs>
          <w:tab w:val="left" w:pos="4650"/>
        </w:tabs>
        <w:spacing w:before="21" w:line="260" w:lineRule="exact"/>
        <w:ind w:right="1411"/>
      </w:pPr>
      <w:r>
        <w:rPr>
          <w:rFonts w:cs="Avenir Next"/>
          <w:spacing w:val="-3"/>
        </w:rPr>
        <w:t>After</w:t>
      </w:r>
      <w:r>
        <w:rPr>
          <w:rFonts w:cs="Avenir Next"/>
          <w:spacing w:val="-4"/>
        </w:rPr>
        <w:t xml:space="preserve"> </w:t>
      </w:r>
      <w:r>
        <w:rPr>
          <w:rFonts w:cs="Avenir Next"/>
          <w:spacing w:val="-2"/>
        </w:rPr>
        <w:t>considering</w:t>
      </w:r>
      <w:r>
        <w:rPr>
          <w:rFonts w:cs="Avenir Next"/>
          <w:spacing w:val="-4"/>
        </w:rPr>
        <w:t xml:space="preserve"> </w:t>
      </w:r>
      <w:r>
        <w:rPr>
          <w:rFonts w:cs="Avenir Next"/>
          <w:spacing w:val="-2"/>
        </w:rPr>
        <w:t>the</w:t>
      </w:r>
      <w:r>
        <w:rPr>
          <w:rFonts w:cs="Avenir Next"/>
          <w:spacing w:val="-4"/>
        </w:rPr>
        <w:t xml:space="preserve"> </w:t>
      </w:r>
      <w:r>
        <w:rPr>
          <w:rFonts w:cs="Avenir Next"/>
          <w:spacing w:val="-2"/>
        </w:rPr>
        <w:t>information</w:t>
      </w:r>
      <w:r>
        <w:rPr>
          <w:rFonts w:cs="Avenir Next"/>
          <w:spacing w:val="-4"/>
        </w:rPr>
        <w:t xml:space="preserve"> </w:t>
      </w:r>
      <w:r>
        <w:rPr>
          <w:rFonts w:cs="Avenir Next"/>
          <w:spacing w:val="-1"/>
        </w:rPr>
        <w:t>in</w:t>
      </w:r>
      <w:r>
        <w:rPr>
          <w:rFonts w:cs="Avenir Next"/>
          <w:spacing w:val="-4"/>
        </w:rPr>
        <w:t xml:space="preserve"> </w:t>
      </w:r>
      <w:r>
        <w:rPr>
          <w:rFonts w:cs="Avenir Next"/>
          <w:spacing w:val="-2"/>
        </w:rPr>
        <w:t>the</w:t>
      </w:r>
      <w:r>
        <w:rPr>
          <w:rFonts w:cs="Avenir Next"/>
          <w:spacing w:val="-4"/>
        </w:rPr>
        <w:t xml:space="preserve"> </w:t>
      </w:r>
      <w:r>
        <w:rPr>
          <w:rFonts w:cs="Avenir Next"/>
          <w:spacing w:val="-2"/>
        </w:rPr>
        <w:t>sections</w:t>
      </w:r>
      <w:r>
        <w:rPr>
          <w:rFonts w:cs="Avenir Next"/>
          <w:spacing w:val="-4"/>
        </w:rPr>
        <w:t xml:space="preserve"> </w:t>
      </w:r>
      <w:r>
        <w:rPr>
          <w:rFonts w:cs="Avenir Next"/>
          <w:spacing w:val="-2"/>
        </w:rPr>
        <w:t>above,</w:t>
      </w:r>
      <w:r>
        <w:rPr>
          <w:rFonts w:cs="Avenir Next"/>
          <w:spacing w:val="-11"/>
        </w:rPr>
        <w:t xml:space="preserve"> </w:t>
      </w:r>
      <w:r>
        <w:rPr>
          <w:rFonts w:cs="Avenir Next"/>
          <w:spacing w:val="-2"/>
        </w:rPr>
        <w:t>the</w:t>
      </w:r>
      <w:r>
        <w:rPr>
          <w:rFonts w:cs="Avenir Next"/>
          <w:spacing w:val="-4"/>
        </w:rPr>
        <w:t xml:space="preserve"> Panel </w:t>
      </w:r>
      <w:r>
        <w:rPr>
          <w:rFonts w:cs="Avenir Next"/>
          <w:spacing w:val="-3"/>
        </w:rPr>
        <w:t>reached</w:t>
      </w:r>
      <w:r>
        <w:rPr>
          <w:rFonts w:cs="Avenir Next"/>
          <w:spacing w:val="-4"/>
        </w:rPr>
        <w:t xml:space="preserve"> </w:t>
      </w:r>
      <w:r>
        <w:rPr>
          <w:rFonts w:cs="Avenir Next"/>
          <w:spacing w:val="-2"/>
        </w:rPr>
        <w:t>the</w:t>
      </w:r>
      <w:r>
        <w:rPr>
          <w:rFonts w:cs="Avenir Next"/>
          <w:spacing w:val="-4"/>
        </w:rPr>
        <w:t xml:space="preserve"> </w:t>
      </w:r>
      <w:r>
        <w:rPr>
          <w:rFonts w:cs="Avenir Next"/>
          <w:spacing w:val="-2"/>
        </w:rPr>
        <w:t>view</w:t>
      </w:r>
      <w:r>
        <w:rPr>
          <w:rFonts w:cs="Avenir Next"/>
          <w:spacing w:val="-4"/>
        </w:rPr>
        <w:t xml:space="preserve"> </w:t>
      </w:r>
      <w:r>
        <w:rPr>
          <w:rFonts w:cs="Avenir Next"/>
          <w:spacing w:val="-2"/>
        </w:rPr>
        <w:t>that</w:t>
      </w:r>
      <w:r>
        <w:rPr>
          <w:rFonts w:cs="Avenir Next"/>
          <w:spacing w:val="-4"/>
        </w:rPr>
        <w:t xml:space="preserve"> </w:t>
      </w:r>
      <w:r>
        <w:rPr>
          <w:rFonts w:cs="Avenir Next"/>
          <w:spacing w:val="-2"/>
        </w:rPr>
        <w:t>the</w:t>
      </w:r>
      <w:r>
        <w:rPr>
          <w:rFonts w:cs="Avenir Next"/>
          <w:spacing w:val="-4"/>
        </w:rPr>
        <w:t xml:space="preserve"> </w:t>
      </w:r>
      <w:r>
        <w:rPr>
          <w:rFonts w:cs="Avenir Next"/>
          <w:spacing w:val="-3"/>
        </w:rPr>
        <w:t>forecast</w:t>
      </w:r>
      <w:r>
        <w:rPr>
          <w:rFonts w:cs="Avenir Next"/>
          <w:spacing w:val="58"/>
        </w:rPr>
        <w:t xml:space="preserve"> </w:t>
      </w:r>
      <w:r>
        <w:rPr>
          <w:spacing w:val="-3"/>
        </w:rPr>
        <w:t>controllable</w:t>
      </w:r>
      <w:r>
        <w:rPr>
          <w:spacing w:val="-4"/>
        </w:rPr>
        <w:t xml:space="preserve"> </w:t>
      </w:r>
      <w:r>
        <w:rPr>
          <w:spacing w:val="-3"/>
        </w:rPr>
        <w:t xml:space="preserve">operating expenditure </w:t>
      </w:r>
      <w:r>
        <w:rPr>
          <w:spacing w:val="-2"/>
        </w:rPr>
        <w:t>for</w:t>
      </w:r>
      <w:r>
        <w:rPr>
          <w:spacing w:val="-3"/>
        </w:rPr>
        <w:t xml:space="preserve"> </w:t>
      </w:r>
      <w:r>
        <w:rPr>
          <w:spacing w:val="-2"/>
        </w:rPr>
        <w:t>the</w:t>
      </w:r>
      <w:r>
        <w:rPr>
          <w:spacing w:val="-4"/>
        </w:rPr>
        <w:t xml:space="preserve"> </w:t>
      </w:r>
      <w:r>
        <w:rPr>
          <w:spacing w:val="-2"/>
        </w:rPr>
        <w:t>period</w:t>
      </w:r>
      <w:r>
        <w:rPr>
          <w:spacing w:val="-3"/>
        </w:rPr>
        <w:t xml:space="preserve"> </w:t>
      </w:r>
      <w:r>
        <w:rPr>
          <w:spacing w:val="-2"/>
        </w:rPr>
        <w:t>2013-14</w:t>
      </w:r>
      <w:r>
        <w:rPr>
          <w:spacing w:val="-3"/>
        </w:rPr>
        <w:t xml:space="preserve"> </w:t>
      </w:r>
      <w:r>
        <w:rPr>
          <w:spacing w:val="-1"/>
        </w:rPr>
        <w:t>to</w:t>
      </w:r>
      <w:r>
        <w:rPr>
          <w:spacing w:val="-3"/>
        </w:rPr>
        <w:t xml:space="preserve"> </w:t>
      </w:r>
      <w:r>
        <w:rPr>
          <w:spacing w:val="-2"/>
        </w:rPr>
        <w:t>2017-18</w:t>
      </w:r>
      <w:r>
        <w:rPr>
          <w:spacing w:val="-4"/>
        </w:rPr>
        <w:t xml:space="preserve"> </w:t>
      </w:r>
      <w:r>
        <w:rPr>
          <w:spacing w:val="-2"/>
        </w:rPr>
        <w:t>set</w:t>
      </w:r>
      <w:r>
        <w:rPr>
          <w:spacing w:val="-3"/>
        </w:rPr>
        <w:t xml:space="preserve"> </w:t>
      </w:r>
      <w:r>
        <w:rPr>
          <w:spacing w:val="-2"/>
        </w:rPr>
        <w:t>out</w:t>
      </w:r>
      <w:r>
        <w:rPr>
          <w:spacing w:val="-3"/>
        </w:rPr>
        <w:t xml:space="preserve"> </w:t>
      </w:r>
      <w:r>
        <w:rPr>
          <w:spacing w:val="-1"/>
        </w:rPr>
        <w:t>in</w:t>
      </w:r>
      <w:r>
        <w:rPr>
          <w:spacing w:val="-7"/>
        </w:rPr>
        <w:t xml:space="preserve"> </w:t>
      </w:r>
      <w:r>
        <w:rPr>
          <w:spacing w:val="-4"/>
        </w:rPr>
        <w:t xml:space="preserve">ACTEW’s </w:t>
      </w:r>
      <w:r>
        <w:rPr>
          <w:spacing w:val="-2"/>
        </w:rPr>
        <w:t>SOFC</w:t>
      </w:r>
      <w:r>
        <w:rPr>
          <w:spacing w:val="-2"/>
          <w:position w:val="7"/>
          <w:sz w:val="11"/>
          <w:szCs w:val="11"/>
        </w:rPr>
        <w:t>194</w:t>
      </w:r>
      <w:r>
        <w:rPr>
          <w:spacing w:val="20"/>
          <w:position w:val="7"/>
          <w:sz w:val="11"/>
          <w:szCs w:val="11"/>
        </w:rPr>
        <w:t xml:space="preserve"> </w:t>
      </w:r>
      <w:r>
        <w:rPr>
          <w:rFonts w:cs="Avenir Next"/>
          <w:spacing w:val="-1"/>
        </w:rPr>
        <w:t>is</w:t>
      </w:r>
      <w:r>
        <w:rPr>
          <w:rFonts w:cs="Avenir Next"/>
          <w:spacing w:val="-3"/>
        </w:rPr>
        <w:t xml:space="preserve"> </w:t>
      </w:r>
      <w:r>
        <w:rPr>
          <w:rFonts w:cs="Avenir Next"/>
          <w:spacing w:val="-2"/>
        </w:rPr>
        <w:t>the</w:t>
      </w:r>
      <w:r>
        <w:rPr>
          <w:rFonts w:cs="Avenir Next"/>
          <w:spacing w:val="82"/>
        </w:rPr>
        <w:t xml:space="preserve"> </w:t>
      </w:r>
      <w:r>
        <w:rPr>
          <w:spacing w:val="-2"/>
        </w:rPr>
        <w:t>best</w:t>
      </w:r>
      <w:r>
        <w:rPr>
          <w:spacing w:val="-5"/>
        </w:rPr>
        <w:t xml:space="preserve"> </w:t>
      </w:r>
      <w:r>
        <w:rPr>
          <w:spacing w:val="-2"/>
        </w:rPr>
        <w:t>available</w:t>
      </w:r>
      <w:r>
        <w:rPr>
          <w:spacing w:val="-4"/>
        </w:rPr>
        <w:t xml:space="preserve"> </w:t>
      </w:r>
      <w:r>
        <w:rPr>
          <w:spacing w:val="-2"/>
        </w:rPr>
        <w:t>estimate</w:t>
      </w:r>
      <w:r>
        <w:rPr>
          <w:spacing w:val="-4"/>
        </w:rPr>
        <w:t xml:space="preserve"> </w:t>
      </w:r>
      <w:r>
        <w:rPr>
          <w:spacing w:val="-1"/>
        </w:rPr>
        <w:t>of</w:t>
      </w:r>
      <w:r>
        <w:t xml:space="preserve"> </w:t>
      </w:r>
      <w:r>
        <w:rPr>
          <w:spacing w:val="-2"/>
        </w:rPr>
        <w:t>the</w:t>
      </w:r>
      <w:r>
        <w:rPr>
          <w:spacing w:val="-5"/>
        </w:rPr>
        <w:t xml:space="preserve"> </w:t>
      </w:r>
      <w:r>
        <w:rPr>
          <w:spacing w:val="-3"/>
        </w:rPr>
        <w:t>effi</w:t>
      </w:r>
      <w:r w:rsidR="00C77ECE">
        <w:rPr>
          <w:spacing w:val="-3"/>
        </w:rPr>
        <w:t xml:space="preserve">cient </w:t>
      </w:r>
      <w:r>
        <w:rPr>
          <w:spacing w:val="-2"/>
        </w:rPr>
        <w:t>level</w:t>
      </w:r>
      <w:r>
        <w:rPr>
          <w:spacing w:val="-4"/>
        </w:rPr>
        <w:t xml:space="preserve"> </w:t>
      </w:r>
      <w:r>
        <w:rPr>
          <w:spacing w:val="-1"/>
        </w:rPr>
        <w:t>of</w:t>
      </w:r>
      <w:r>
        <w:t xml:space="preserve"> </w:t>
      </w:r>
      <w:r>
        <w:rPr>
          <w:spacing w:val="-2"/>
        </w:rPr>
        <w:t>these</w:t>
      </w:r>
      <w:r>
        <w:rPr>
          <w:spacing w:val="-4"/>
        </w:rPr>
        <w:t xml:space="preserve"> </w:t>
      </w:r>
      <w:r>
        <w:rPr>
          <w:spacing w:val="-2"/>
        </w:rPr>
        <w:t>costs.</w:t>
      </w:r>
      <w:r>
        <w:rPr>
          <w:spacing w:val="-10"/>
        </w:rPr>
        <w:t xml:space="preserve"> </w:t>
      </w:r>
      <w:r>
        <w:rPr>
          <w:spacing w:val="-1"/>
        </w:rPr>
        <w:t>In</w:t>
      </w:r>
      <w:r>
        <w:rPr>
          <w:spacing w:val="-4"/>
        </w:rPr>
        <w:t xml:space="preserve"> </w:t>
      </w:r>
      <w:r>
        <w:rPr>
          <w:spacing w:val="-3"/>
        </w:rPr>
        <w:t>support</w:t>
      </w:r>
      <w:r>
        <w:rPr>
          <w:spacing w:val="-4"/>
        </w:rPr>
        <w:t xml:space="preserve"> </w:t>
      </w:r>
      <w:r>
        <w:rPr>
          <w:spacing w:val="-1"/>
        </w:rPr>
        <w:t>of</w:t>
      </w:r>
      <w:r>
        <w:t xml:space="preserve"> </w:t>
      </w:r>
      <w:r>
        <w:rPr>
          <w:spacing w:val="-2"/>
        </w:rPr>
        <w:t>this</w:t>
      </w:r>
      <w:r>
        <w:rPr>
          <w:spacing w:val="-4"/>
        </w:rPr>
        <w:t xml:space="preserve"> view,</w:t>
      </w:r>
      <w:r>
        <w:rPr>
          <w:spacing w:val="-10"/>
        </w:rPr>
        <w:t xml:space="preserve"> </w:t>
      </w:r>
      <w:r>
        <w:rPr>
          <w:spacing w:val="-2"/>
        </w:rPr>
        <w:t>the</w:t>
      </w:r>
      <w:r>
        <w:rPr>
          <w:spacing w:val="-4"/>
        </w:rPr>
        <w:t xml:space="preserve"> Panel </w:t>
      </w:r>
      <w:r>
        <w:rPr>
          <w:spacing w:val="-2"/>
        </w:rPr>
        <w:t>notes</w:t>
      </w:r>
      <w:r>
        <w:rPr>
          <w:spacing w:val="-4"/>
        </w:rPr>
        <w:t xml:space="preserve"> </w:t>
      </w:r>
      <w:r>
        <w:rPr>
          <w:spacing w:val="-3"/>
        </w:rPr>
        <w:t>that:</w:t>
      </w:r>
    </w:p>
    <w:p w:rsidR="00D96B91" w:rsidRDefault="00C2656B">
      <w:pPr>
        <w:pStyle w:val="BodyText"/>
        <w:numPr>
          <w:ilvl w:val="0"/>
          <w:numId w:val="131"/>
        </w:numPr>
        <w:tabs>
          <w:tab w:val="left" w:pos="1531"/>
        </w:tabs>
        <w:spacing w:before="170" w:line="260" w:lineRule="exact"/>
        <w:ind w:right="1280" w:hanging="283"/>
        <w:rPr>
          <w:rFonts w:cs="Avenir Next"/>
        </w:rPr>
      </w:pPr>
      <w:r>
        <w:t xml:space="preserve">the base </w:t>
      </w:r>
      <w:r>
        <w:rPr>
          <w:spacing w:val="-1"/>
        </w:rPr>
        <w:t>year</w:t>
      </w:r>
      <w:r>
        <w:t xml:space="preserve"> and step change </w:t>
      </w:r>
      <w:r>
        <w:rPr>
          <w:spacing w:val="-1"/>
        </w:rPr>
        <w:t>approach</w:t>
      </w:r>
      <w:r>
        <w:t xml:space="preserve"> </w:t>
      </w:r>
      <w:r>
        <w:rPr>
          <w:spacing w:val="-1"/>
        </w:rPr>
        <w:t>that</w:t>
      </w:r>
      <w:r>
        <w:rPr>
          <w:spacing w:val="-4"/>
        </w:rPr>
        <w:t xml:space="preserve"> </w:t>
      </w:r>
      <w:r>
        <w:rPr>
          <w:spacing w:val="-2"/>
        </w:rPr>
        <w:t>ACTEW</w:t>
      </w:r>
      <w:r>
        <w:rPr>
          <w:spacing w:val="-3"/>
        </w:rPr>
        <w:t xml:space="preserve"> </w:t>
      </w:r>
      <w:r>
        <w:t xml:space="preserve">applied in deriving this </w:t>
      </w:r>
      <w:r>
        <w:rPr>
          <w:spacing w:val="-1"/>
        </w:rPr>
        <w:t>controllable</w:t>
      </w:r>
      <w:r>
        <w:t xml:space="preserve"> </w:t>
      </w:r>
      <w:r>
        <w:rPr>
          <w:spacing w:val="-1"/>
        </w:rPr>
        <w:t>operating</w:t>
      </w:r>
      <w:r>
        <w:rPr>
          <w:spacing w:val="49"/>
        </w:rPr>
        <w:t xml:space="preserve"> </w:t>
      </w:r>
      <w:r>
        <w:rPr>
          <w:spacing w:val="-1"/>
        </w:rPr>
        <w:t>expenditure</w:t>
      </w:r>
      <w:r>
        <w:t xml:space="preserve"> </w:t>
      </w:r>
      <w:r>
        <w:rPr>
          <w:spacing w:val="-1"/>
        </w:rPr>
        <w:t>forecast</w:t>
      </w:r>
      <w:r>
        <w:t xml:space="preserve"> is an accepted </w:t>
      </w:r>
      <w:r>
        <w:rPr>
          <w:spacing w:val="-1"/>
        </w:rPr>
        <w:t>regulatory</w:t>
      </w:r>
      <w:r>
        <w:t xml:space="preserve"> </w:t>
      </w:r>
      <w:r>
        <w:rPr>
          <w:spacing w:val="-1"/>
        </w:rPr>
        <w:t>approach</w:t>
      </w:r>
      <w:r>
        <w:t xml:space="preserve"> to </w:t>
      </w:r>
      <w:r>
        <w:rPr>
          <w:spacing w:val="-1"/>
        </w:rPr>
        <w:t>estimating</w:t>
      </w:r>
      <w:r>
        <w:t xml:space="preserve"> these costs</w:t>
      </w:r>
    </w:p>
    <w:p w:rsidR="00D96B91" w:rsidRDefault="00C2656B">
      <w:pPr>
        <w:pStyle w:val="BodyText"/>
        <w:numPr>
          <w:ilvl w:val="0"/>
          <w:numId w:val="131"/>
        </w:numPr>
        <w:tabs>
          <w:tab w:val="left" w:pos="1531"/>
        </w:tabs>
        <w:spacing w:before="85" w:line="260" w:lineRule="exact"/>
        <w:ind w:right="1898" w:hanging="283"/>
      </w:pPr>
      <w:r>
        <w:rPr>
          <w:rFonts w:cs="Avenir Next"/>
        </w:rPr>
        <w:t xml:space="preserve">this </w:t>
      </w:r>
      <w:r>
        <w:rPr>
          <w:rFonts w:cs="Avenir Next"/>
          <w:spacing w:val="-1"/>
        </w:rPr>
        <w:t>controllable</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rPr>
        <w:t xml:space="preserve"> </w:t>
      </w:r>
      <w:r>
        <w:rPr>
          <w:rFonts w:cs="Avenir Next"/>
          <w:spacing w:val="-1"/>
        </w:rPr>
        <w:t>forecast</w:t>
      </w:r>
      <w:r>
        <w:rPr>
          <w:rFonts w:cs="Avenir Next"/>
        </w:rPr>
        <w:t xml:space="preserve"> is lower than the </w:t>
      </w:r>
      <w:r>
        <w:rPr>
          <w:rFonts w:cs="Avenir Next"/>
          <w:spacing w:val="-1"/>
        </w:rPr>
        <w:t>recommended</w:t>
      </w:r>
      <w:r>
        <w:rPr>
          <w:rFonts w:cs="Avenir Next"/>
        </w:rPr>
        <w:t xml:space="preserve"> prudent and</w:t>
      </w:r>
      <w:r>
        <w:rPr>
          <w:rFonts w:cs="Avenir Next"/>
          <w:spacing w:val="57"/>
        </w:rPr>
        <w:t xml:space="preserve"> </w:t>
      </w:r>
      <w:r>
        <w:rPr>
          <w:spacing w:val="-1"/>
        </w:rPr>
        <w:t>efficient expenditure</w:t>
      </w:r>
      <w:r>
        <w:t xml:space="preserve"> in</w:t>
      </w:r>
      <w:r>
        <w:rPr>
          <w:spacing w:val="-1"/>
        </w:rPr>
        <w:t xml:space="preserve"> </w:t>
      </w:r>
      <w:r>
        <w:rPr>
          <w:spacing w:val="-3"/>
        </w:rPr>
        <w:t>Cardno’s</w:t>
      </w:r>
      <w:r>
        <w:t xml:space="preserve"> November</w:t>
      </w:r>
      <w:r>
        <w:rPr>
          <w:spacing w:val="-1"/>
        </w:rPr>
        <w:t xml:space="preserve"> </w:t>
      </w:r>
      <w:r>
        <w:t xml:space="preserve">2012 </w:t>
      </w:r>
      <w:r>
        <w:rPr>
          <w:spacing w:val="-2"/>
        </w:rPr>
        <w:t>report</w:t>
      </w:r>
      <w:r>
        <w:rPr>
          <w:spacing w:val="-1"/>
        </w:rPr>
        <w:t xml:space="preserve"> </w:t>
      </w:r>
      <w:r>
        <w:t>to the ICRC</w:t>
      </w:r>
      <w:r>
        <w:rPr>
          <w:spacing w:val="-1"/>
        </w:rPr>
        <w:t xml:space="preserve"> </w:t>
      </w:r>
      <w:r>
        <w:t>(see</w:t>
      </w:r>
      <w:r>
        <w:rPr>
          <w:spacing w:val="-5"/>
        </w:rPr>
        <w:t xml:space="preserve"> </w:t>
      </w:r>
      <w:hyperlink w:anchor="_bookmark98" w:history="1">
        <w:r>
          <w:rPr>
            <w:spacing w:val="-4"/>
          </w:rPr>
          <w:t>Table</w:t>
        </w:r>
        <w:r>
          <w:rPr>
            <w:spacing w:val="-1"/>
          </w:rPr>
          <w:t xml:space="preserve"> </w:t>
        </w:r>
        <w:r>
          <w:t>11.6),</w:t>
        </w:r>
      </w:hyperlink>
      <w:r>
        <w:rPr>
          <w:spacing w:val="-6"/>
        </w:rPr>
        <w:t xml:space="preserve"> </w:t>
      </w:r>
      <w:r>
        <w:t>and</w:t>
      </w:r>
    </w:p>
    <w:p w:rsidR="00D96B91" w:rsidRDefault="00C2656B">
      <w:pPr>
        <w:pStyle w:val="BodyText"/>
        <w:numPr>
          <w:ilvl w:val="0"/>
          <w:numId w:val="131"/>
        </w:numPr>
        <w:tabs>
          <w:tab w:val="left" w:pos="1531"/>
        </w:tabs>
        <w:spacing w:before="85" w:line="260" w:lineRule="exact"/>
        <w:ind w:right="1747" w:hanging="283"/>
      </w:pPr>
      <w:r>
        <w:rPr>
          <w:rFonts w:cs="Avenir Next"/>
        </w:rPr>
        <w:t xml:space="preserve">this </w:t>
      </w:r>
      <w:r>
        <w:rPr>
          <w:rFonts w:cs="Avenir Next"/>
          <w:spacing w:val="-1"/>
        </w:rPr>
        <w:t>controllable</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rPr>
        <w:t xml:space="preserve"> </w:t>
      </w:r>
      <w:r>
        <w:rPr>
          <w:rFonts w:cs="Avenir Next"/>
          <w:spacing w:val="-1"/>
        </w:rPr>
        <w:t>forecast</w:t>
      </w:r>
      <w:r>
        <w:rPr>
          <w:rFonts w:cs="Avenir Next"/>
        </w:rPr>
        <w:t xml:space="preserve"> is consistent with the </w:t>
      </w:r>
      <w:r>
        <w:rPr>
          <w:rFonts w:cs="Avenir Next"/>
          <w:spacing w:val="-1"/>
        </w:rPr>
        <w:t>forecast</w:t>
      </w:r>
      <w:r>
        <w:rPr>
          <w:rFonts w:cs="Avenir Next"/>
        </w:rPr>
        <w:t xml:space="preserve"> in</w:t>
      </w:r>
      <w:r>
        <w:rPr>
          <w:rFonts w:cs="Avenir Next"/>
          <w:spacing w:val="-4"/>
        </w:rPr>
        <w:t xml:space="preserve"> </w:t>
      </w:r>
      <w:r>
        <w:rPr>
          <w:rFonts w:cs="Avenir Next"/>
          <w:spacing w:val="-2"/>
        </w:rPr>
        <w:t>ACTEW’s</w:t>
      </w:r>
      <w:r>
        <w:rPr>
          <w:rFonts w:cs="Avenir Next"/>
          <w:spacing w:val="-4"/>
        </w:rPr>
        <w:t xml:space="preserve"> </w:t>
      </w:r>
      <w:r>
        <w:rPr>
          <w:rFonts w:cs="Avenir Next"/>
        </w:rPr>
        <w:t>April</w:t>
      </w:r>
      <w:r>
        <w:rPr>
          <w:rFonts w:cs="Avenir Next"/>
          <w:spacing w:val="53"/>
        </w:rPr>
        <w:t xml:space="preserve"> </w:t>
      </w:r>
      <w:r>
        <w:t>2013</w:t>
      </w:r>
      <w:r>
        <w:rPr>
          <w:spacing w:val="-1"/>
        </w:rPr>
        <w:t xml:space="preserve"> </w:t>
      </w:r>
      <w:r>
        <w:t>submission,</w:t>
      </w:r>
      <w:r>
        <w:rPr>
          <w:spacing w:val="-7"/>
        </w:rPr>
        <w:t xml:space="preserve"> </w:t>
      </w:r>
      <w:r>
        <w:t xml:space="preserve">which </w:t>
      </w:r>
      <w:r>
        <w:rPr>
          <w:spacing w:val="-2"/>
        </w:rPr>
        <w:t>Cardno</w:t>
      </w:r>
      <w:r>
        <w:rPr>
          <w:spacing w:val="-1"/>
        </w:rPr>
        <w:t xml:space="preserve"> recommended</w:t>
      </w:r>
      <w:r>
        <w:t xml:space="preserve"> be</w:t>
      </w:r>
      <w:r>
        <w:rPr>
          <w:spacing w:val="-1"/>
        </w:rPr>
        <w:t xml:space="preserve"> </w:t>
      </w:r>
      <w:r>
        <w:t>adopted</w:t>
      </w:r>
      <w:r>
        <w:rPr>
          <w:spacing w:val="-1"/>
        </w:rPr>
        <w:t xml:space="preserve"> </w:t>
      </w:r>
      <w:r>
        <w:t>as prudent</w:t>
      </w:r>
      <w:r>
        <w:rPr>
          <w:spacing w:val="-1"/>
        </w:rPr>
        <w:t xml:space="preserve"> </w:t>
      </w:r>
      <w:r>
        <w:t>and</w:t>
      </w:r>
      <w:r>
        <w:rPr>
          <w:spacing w:val="-1"/>
        </w:rPr>
        <w:t xml:space="preserve"> efficient.</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bookmarkStart w:id="155" w:name="_bookmark98"/>
      <w:bookmarkEnd w:id="15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11.6: </w:t>
      </w:r>
      <w:r>
        <w:rPr>
          <w:rFonts w:ascii="Avenir Next" w:eastAsia="Avenir Next" w:hAnsi="Avenir Next" w:cs="Avenir Next"/>
          <w:b/>
          <w:bCs/>
          <w:spacing w:val="-1"/>
          <w:sz w:val="20"/>
          <w:szCs w:val="20"/>
        </w:rPr>
        <w:t>Comparison</w:t>
      </w:r>
      <w:r>
        <w:rPr>
          <w:rFonts w:ascii="Avenir Next" w:eastAsia="Avenir Next" w:hAnsi="Avenir Next" w:cs="Avenir Next"/>
          <w:b/>
          <w:bCs/>
          <w:sz w:val="20"/>
          <w:szCs w:val="20"/>
        </w:rPr>
        <w:t xml:space="preserve">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controllable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2"/>
        <w:gridCol w:w="1232"/>
        <w:gridCol w:w="1232"/>
        <w:gridCol w:w="1232"/>
        <w:gridCol w:w="1232"/>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July 2012 </w:t>
            </w:r>
            <w:r>
              <w:rPr>
                <w:rFonts w:ascii="Avenir Next Condensed" w:eastAsia="Avenir Next Condensed" w:hAnsi="Avenir Next Condensed" w:cs="Avenir Next Condensed"/>
                <w:spacing w:val="-1"/>
                <w:sz w:val="18"/>
                <w:szCs w:val="18"/>
              </w:rPr>
              <w:t>submission</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137.71</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143.99</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148.51</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155.86</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160.13</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Cardno’s</w:t>
            </w:r>
            <w:r>
              <w:rPr>
                <w:rFonts w:ascii="Avenir Next Condensed" w:eastAsia="Avenir Next Condensed" w:hAnsi="Avenir Next Condensed" w:cs="Avenir Next Condensed"/>
                <w:sz w:val="18"/>
                <w:szCs w:val="18"/>
              </w:rPr>
              <w:t xml:space="preserve"> November 2012 </w:t>
            </w:r>
            <w:r>
              <w:rPr>
                <w:rFonts w:ascii="Avenir Next Condensed" w:eastAsia="Avenir Next Condensed" w:hAnsi="Avenir Next Condensed" w:cs="Avenir Next Condensed"/>
                <w:spacing w:val="-1"/>
                <w:sz w:val="18"/>
                <w:szCs w:val="18"/>
              </w:rPr>
              <w:t>report</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134.44</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139.83</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142.85</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148.29</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150.39</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April 2013 </w:t>
            </w:r>
            <w:r>
              <w:rPr>
                <w:rFonts w:ascii="Avenir Next Condensed" w:eastAsia="Avenir Next Condensed" w:hAnsi="Avenir Next Condensed" w:cs="Avenir Next Condensed"/>
                <w:spacing w:val="-1"/>
                <w:sz w:val="18"/>
                <w:szCs w:val="18"/>
              </w:rPr>
              <w:t>submission</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130.61</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135.58</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137.70</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141.43</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146.75</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July 2014 SOFC</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130.02</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sz w:val="18"/>
              </w:rPr>
              <w:t>135.00</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6"/>
              <w:rPr>
                <w:rFonts w:ascii="Avenir Next Condensed" w:eastAsia="Avenir Next Condensed" w:hAnsi="Avenir Next Condensed" w:cs="Avenir Next Condensed"/>
                <w:sz w:val="18"/>
                <w:szCs w:val="18"/>
              </w:rPr>
            </w:pPr>
            <w:r>
              <w:rPr>
                <w:rFonts w:ascii="Avenir Next Condensed"/>
                <w:sz w:val="18"/>
              </w:rPr>
              <w:t>137.10</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6"/>
              <w:rPr>
                <w:rFonts w:ascii="Avenir Next Condensed" w:eastAsia="Avenir Next Condensed" w:hAnsi="Avenir Next Condensed" w:cs="Avenir Next Condensed"/>
                <w:sz w:val="18"/>
                <w:szCs w:val="18"/>
              </w:rPr>
            </w:pPr>
            <w:r>
              <w:rPr>
                <w:rFonts w:ascii="Avenir Next Condensed"/>
                <w:sz w:val="18"/>
              </w:rPr>
              <w:t>140.81</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6"/>
              <w:rPr>
                <w:rFonts w:ascii="Avenir Next Condensed" w:eastAsia="Avenir Next Condensed" w:hAnsi="Avenir Next Condensed" w:cs="Avenir Next Condensed"/>
                <w:sz w:val="18"/>
                <w:szCs w:val="18"/>
              </w:rPr>
            </w:pPr>
            <w:r>
              <w:rPr>
                <w:rFonts w:ascii="Avenir Next Condensed"/>
                <w:sz w:val="18"/>
              </w:rPr>
              <w:t>146.13</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548"/>
        <w:rPr>
          <w:rFonts w:ascii="Avenir Next" w:eastAsia="Avenir Next" w:hAnsi="Avenir Next" w:cs="Avenir Next"/>
          <w:sz w:val="16"/>
          <w:szCs w:val="16"/>
        </w:rPr>
      </w:pPr>
      <w:r>
        <w:rPr>
          <w:rFonts w:ascii="Avenir Next"/>
          <w:spacing w:val="-1"/>
          <w:sz w:val="16"/>
        </w:rPr>
        <w:t>Sources:</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128.</w:t>
      </w:r>
      <w:r>
        <w:rPr>
          <w:rFonts w:ascii="Avenir Next"/>
          <w:spacing w:val="-8"/>
          <w:sz w:val="16"/>
        </w:rPr>
        <w:t xml:space="preserve"> </w:t>
      </w: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w:t>
      </w:r>
      <w:r>
        <w:rPr>
          <w:rFonts w:ascii="Avenir Next"/>
          <w:spacing w:val="69"/>
          <w:sz w:val="16"/>
        </w:rPr>
        <w:t xml:space="preserve"> </w:t>
      </w:r>
      <w:r>
        <w:rPr>
          <w:rFonts w:ascii="Avenir Next"/>
          <w:spacing w:val="-1"/>
          <w:sz w:val="16"/>
        </w:rPr>
        <w:t>Contentions,</w:t>
      </w:r>
      <w:r>
        <w:rPr>
          <w:rFonts w:ascii="Avenir Next"/>
          <w:spacing w:val="-6"/>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6"/>
          <w:sz w:val="16"/>
        </w:rPr>
        <w:t xml:space="preserve"> </w:t>
      </w:r>
      <w:r>
        <w:rPr>
          <w:rFonts w:ascii="Avenir Next"/>
          <w:sz w:val="16"/>
        </w:rPr>
        <w:t>32.</w:t>
      </w:r>
      <w:r>
        <w:rPr>
          <w:rFonts w:ascii="Avenir Next"/>
          <w:spacing w:val="-5"/>
          <w:sz w:val="16"/>
        </w:rPr>
        <w:t xml:space="preserve"> </w:t>
      </w:r>
      <w:r>
        <w:rPr>
          <w:rFonts w:ascii="Avenir Next"/>
          <w:spacing w:val="-1"/>
          <w:sz w:val="16"/>
        </w:rPr>
        <w:t>Figures</w:t>
      </w:r>
      <w:r>
        <w:rPr>
          <w:rFonts w:ascii="Avenir Next"/>
          <w:sz w:val="16"/>
        </w:rPr>
        <w:t xml:space="preserve"> adjusted for</w:t>
      </w:r>
      <w:r>
        <w:rPr>
          <w:rFonts w:ascii="Avenir Next"/>
          <w:spacing w:val="-1"/>
          <w:sz w:val="16"/>
        </w:rPr>
        <w:t xml:space="preserve"> inflation</w:t>
      </w:r>
      <w:r>
        <w:rPr>
          <w:rFonts w:ascii="Avenir Next"/>
          <w:sz w:val="16"/>
        </w:rPr>
        <w:t xml:space="preserve"> of</w:t>
      </w:r>
      <w:r>
        <w:rPr>
          <w:rFonts w:ascii="Avenir Next"/>
          <w:spacing w:val="3"/>
          <w:sz w:val="16"/>
        </w:rPr>
        <w:t xml:space="preserve"> </w:t>
      </w:r>
      <w:r>
        <w:rPr>
          <w:rFonts w:ascii="Avenir Next"/>
          <w:sz w:val="16"/>
        </w:rPr>
        <w:t>2.5% per</w:t>
      </w:r>
      <w:r>
        <w:rPr>
          <w:rFonts w:ascii="Avenir Next"/>
          <w:spacing w:val="-1"/>
          <w:sz w:val="16"/>
        </w:rPr>
        <w:t xml:space="preserve"> </w:t>
      </w:r>
      <w:r>
        <w:rPr>
          <w:rFonts w:ascii="Avenir Next"/>
          <w:sz w:val="16"/>
        </w:rPr>
        <w:t>annum.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314"/>
        <w:rPr>
          <w:rFonts w:cs="Avenir Next"/>
        </w:rPr>
      </w:pPr>
      <w:r>
        <w:rPr>
          <w:spacing w:val="-2"/>
        </w:rPr>
        <w:t>However,</w:t>
      </w:r>
      <w:r>
        <w:rPr>
          <w:spacing w:val="-6"/>
        </w:rPr>
        <w:t xml:space="preserve"> </w:t>
      </w:r>
      <w:r>
        <w:t xml:space="preserve">the </w:t>
      </w:r>
      <w:r>
        <w:rPr>
          <w:spacing w:val="-3"/>
        </w:rPr>
        <w:t>Panel</w:t>
      </w:r>
      <w:r>
        <w:t xml:space="preserve"> considers two adjustments to</w:t>
      </w:r>
      <w:r>
        <w:rPr>
          <w:spacing w:val="-4"/>
        </w:rPr>
        <w:t xml:space="preserve"> </w:t>
      </w:r>
      <w:r>
        <w:rPr>
          <w:spacing w:val="-2"/>
        </w:rPr>
        <w:t>ACTEW’s</w:t>
      </w:r>
      <w:r>
        <w:t xml:space="preserve"> </w:t>
      </w:r>
      <w:r>
        <w:rPr>
          <w:spacing w:val="-1"/>
        </w:rPr>
        <w:t>forecast</w:t>
      </w:r>
      <w:r>
        <w:t xml:space="preserve"> </w:t>
      </w:r>
      <w:r>
        <w:rPr>
          <w:spacing w:val="-1"/>
        </w:rPr>
        <w:t>controllable</w:t>
      </w:r>
      <w:r>
        <w:t xml:space="preserve"> </w:t>
      </w:r>
      <w:r>
        <w:rPr>
          <w:spacing w:val="-1"/>
        </w:rPr>
        <w:t>operating</w:t>
      </w:r>
      <w:r>
        <w:t xml:space="preserve"> </w:t>
      </w:r>
      <w:r>
        <w:rPr>
          <w:spacing w:val="-1"/>
        </w:rPr>
        <w:t>expenditure</w:t>
      </w:r>
      <w:r>
        <w:rPr>
          <w:spacing w:val="63"/>
        </w:rPr>
        <w:t xml:space="preserve"> </w:t>
      </w:r>
      <w:r>
        <w:rPr>
          <w:spacing w:val="-2"/>
        </w:rPr>
        <w:t>are</w:t>
      </w:r>
      <w:r>
        <w:rPr>
          <w:spacing w:val="-1"/>
        </w:rPr>
        <w:t xml:space="preserve"> appropriate.</w:t>
      </w:r>
      <w:r>
        <w:rPr>
          <w:spacing w:val="-11"/>
        </w:rPr>
        <w:t xml:space="preserve"> </w:t>
      </w:r>
      <w:r>
        <w:rPr>
          <w:spacing w:val="-2"/>
        </w:rPr>
        <w:t>The</w:t>
      </w:r>
      <w:r>
        <w:t xml:space="preserve"> first </w:t>
      </w:r>
      <w:r>
        <w:rPr>
          <w:spacing w:val="-1"/>
        </w:rPr>
        <w:t xml:space="preserve">relates </w:t>
      </w:r>
      <w:r>
        <w:t>to</w:t>
      </w:r>
      <w:r>
        <w:rPr>
          <w:spacing w:val="-4"/>
        </w:rPr>
        <w:t xml:space="preserve"> </w:t>
      </w:r>
      <w:r>
        <w:rPr>
          <w:spacing w:val="-2"/>
        </w:rPr>
        <w:t>ACTEW’s</w:t>
      </w:r>
      <w:r>
        <w:t xml:space="preserve"> </w:t>
      </w:r>
      <w:r>
        <w:rPr>
          <w:spacing w:val="-1"/>
        </w:rPr>
        <w:t>proposal</w:t>
      </w:r>
      <w:r>
        <w:t xml:space="preserve"> to</w:t>
      </w:r>
      <w:r>
        <w:rPr>
          <w:spacing w:val="-1"/>
        </w:rPr>
        <w:t xml:space="preserve"> remove</w:t>
      </w:r>
      <w:r>
        <w:t xml:space="preserve"> the </w:t>
      </w:r>
      <w:r>
        <w:rPr>
          <w:spacing w:val="-1"/>
        </w:rPr>
        <w:t>Uriarra</w:t>
      </w:r>
      <w:r>
        <w:rPr>
          <w:spacing w:val="-4"/>
        </w:rPr>
        <w:t xml:space="preserve"> </w:t>
      </w:r>
      <w:r>
        <w:rPr>
          <w:spacing w:val="-1"/>
        </w:rPr>
        <w:t>Village sewerage</w:t>
      </w:r>
      <w:r>
        <w:t xml:space="preserve"> </w:t>
      </w:r>
      <w:r>
        <w:rPr>
          <w:spacing w:val="-1"/>
        </w:rPr>
        <w:t>project</w:t>
      </w:r>
      <w:r>
        <w:rPr>
          <w:spacing w:val="67"/>
        </w:rPr>
        <w:t xml:space="preserve"> </w:t>
      </w:r>
      <w:r>
        <w:rPr>
          <w:rFonts w:cs="Avenir Next"/>
        </w:rPr>
        <w:t>component of</w:t>
      </w:r>
      <w:r>
        <w:rPr>
          <w:rFonts w:cs="Avenir Next"/>
          <w:spacing w:val="4"/>
        </w:rPr>
        <w:t xml:space="preserve"> </w:t>
      </w:r>
      <w:r>
        <w:rPr>
          <w:rFonts w:cs="Avenir Next"/>
          <w:spacing w:val="-1"/>
        </w:rPr>
        <w:t>forecast</w:t>
      </w:r>
      <w:r>
        <w:rPr>
          <w:rFonts w:cs="Avenir Next"/>
        </w:rPr>
        <w:t xml:space="preserve"> </w:t>
      </w:r>
      <w:r>
        <w:rPr>
          <w:rFonts w:cs="Avenir Next"/>
          <w:spacing w:val="-1"/>
        </w:rPr>
        <w:t>sewerage</w:t>
      </w:r>
      <w:r>
        <w:rPr>
          <w:rFonts w:cs="Avenir Next"/>
        </w:rPr>
        <w:t xml:space="preserve"> </w:t>
      </w:r>
      <w:r>
        <w:rPr>
          <w:rFonts w:cs="Avenir Next"/>
          <w:spacing w:val="-1"/>
        </w:rPr>
        <w:t>operating</w:t>
      </w:r>
      <w:r>
        <w:rPr>
          <w:rFonts w:cs="Avenir Next"/>
        </w:rPr>
        <w:t xml:space="preserve"> </w:t>
      </w:r>
      <w:r>
        <w:rPr>
          <w:rFonts w:cs="Avenir Next"/>
          <w:spacing w:val="-1"/>
        </w:rPr>
        <w:t>expenditure,</w:t>
      </w:r>
      <w:r>
        <w:rPr>
          <w:rFonts w:cs="Avenir Next"/>
          <w:spacing w:val="-6"/>
        </w:rPr>
        <w:t xml:space="preserve"> </w:t>
      </w:r>
      <w:r>
        <w:rPr>
          <w:rFonts w:cs="Avenir Next"/>
        </w:rPr>
        <w:t xml:space="preserve">on the </w:t>
      </w:r>
      <w:r>
        <w:rPr>
          <w:rFonts w:cs="Avenir Next"/>
          <w:spacing w:val="-1"/>
        </w:rPr>
        <w:t>grounds</w:t>
      </w:r>
      <w:r>
        <w:rPr>
          <w:rFonts w:cs="Avenir Next"/>
        </w:rPr>
        <w:t xml:space="preserve"> </w:t>
      </w:r>
      <w:r>
        <w:rPr>
          <w:rFonts w:cs="Avenir Next"/>
          <w:spacing w:val="-1"/>
        </w:rPr>
        <w:t>that</w:t>
      </w:r>
      <w:r>
        <w:rPr>
          <w:rFonts w:cs="Avenir Next"/>
        </w:rPr>
        <w:t xml:space="preserve"> this has the same </w:t>
      </w:r>
      <w:r>
        <w:rPr>
          <w:rFonts w:cs="Avenir Next"/>
          <w:spacing w:val="-1"/>
        </w:rPr>
        <w:t>effect</w:t>
      </w:r>
      <w:r>
        <w:rPr>
          <w:rFonts w:cs="Avenir Next"/>
          <w:spacing w:val="51"/>
        </w:rPr>
        <w:t xml:space="preserve"> </w:t>
      </w:r>
      <w:r>
        <w:t xml:space="preserve">on the </w:t>
      </w:r>
      <w:r>
        <w:rPr>
          <w:spacing w:val="-1"/>
        </w:rPr>
        <w:t>revenue</w:t>
      </w:r>
      <w:r>
        <w:t xml:space="preserve"> </w:t>
      </w:r>
      <w:r>
        <w:rPr>
          <w:spacing w:val="-1"/>
        </w:rPr>
        <w:t>requirement</w:t>
      </w:r>
      <w:r>
        <w:t xml:space="preserve"> as the </w:t>
      </w:r>
      <w:r>
        <w:rPr>
          <w:spacing w:val="-2"/>
        </w:rPr>
        <w:t>ICRC’s</w:t>
      </w:r>
      <w:r>
        <w:t xml:space="preserve"> decision to adjust </w:t>
      </w:r>
      <w:r>
        <w:rPr>
          <w:spacing w:val="-1"/>
        </w:rPr>
        <w:t>forecast</w:t>
      </w:r>
      <w:r>
        <w:t xml:space="preserve"> costs down.</w:t>
      </w:r>
      <w:r>
        <w:rPr>
          <w:spacing w:val="-9"/>
        </w:rPr>
        <w:t xml:space="preserve"> </w:t>
      </w:r>
      <w:r>
        <w:t xml:space="preserve">While the </w:t>
      </w:r>
      <w:r>
        <w:rPr>
          <w:spacing w:val="-3"/>
        </w:rPr>
        <w:t>Panel</w:t>
      </w:r>
      <w:r>
        <w:rPr>
          <w:spacing w:val="31"/>
        </w:rPr>
        <w:t xml:space="preserve"> </w:t>
      </w:r>
      <w:r>
        <w:rPr>
          <w:rFonts w:cs="Avenir Next"/>
        </w:rPr>
        <w:t xml:space="preserve">accepts </w:t>
      </w:r>
      <w:r>
        <w:rPr>
          <w:rFonts w:cs="Avenir Next"/>
          <w:spacing w:val="-1"/>
        </w:rPr>
        <w:t>that</w:t>
      </w:r>
      <w:r>
        <w:rPr>
          <w:rFonts w:cs="Avenir Next"/>
          <w:spacing w:val="-4"/>
        </w:rPr>
        <w:t xml:space="preserve"> </w:t>
      </w:r>
      <w:r>
        <w:rPr>
          <w:rFonts w:cs="Avenir Next"/>
          <w:spacing w:val="-2"/>
        </w:rPr>
        <w:t>ACTEW’s</w:t>
      </w:r>
      <w:r>
        <w:rPr>
          <w:rFonts w:cs="Avenir Next"/>
        </w:rPr>
        <w:t xml:space="preserve"> </w:t>
      </w:r>
      <w:r>
        <w:rPr>
          <w:rFonts w:cs="Avenir Next"/>
          <w:spacing w:val="-1"/>
        </w:rPr>
        <w:t>proposed</w:t>
      </w:r>
      <w:r>
        <w:rPr>
          <w:rFonts w:cs="Avenir Next"/>
        </w:rPr>
        <w:t xml:space="preserve"> </w:t>
      </w:r>
      <w:r>
        <w:rPr>
          <w:rFonts w:cs="Avenir Next"/>
          <w:spacing w:val="-1"/>
        </w:rPr>
        <w:t>approach</w:t>
      </w:r>
      <w:r>
        <w:rPr>
          <w:rFonts w:cs="Avenir Next"/>
        </w:rPr>
        <w:t xml:space="preserve"> may be </w:t>
      </w:r>
      <w:r>
        <w:rPr>
          <w:rFonts w:cs="Avenir Next"/>
          <w:spacing w:val="-1"/>
        </w:rPr>
        <w:t>administratively</w:t>
      </w:r>
      <w:r>
        <w:rPr>
          <w:rFonts w:cs="Avenir Next"/>
        </w:rPr>
        <w:t xml:space="preserve"> </w:t>
      </w:r>
      <w:r>
        <w:rPr>
          <w:rFonts w:cs="Avenir Next"/>
          <w:spacing w:val="-2"/>
        </w:rPr>
        <w:t>simpler,</w:t>
      </w:r>
      <w:r>
        <w:rPr>
          <w:rFonts w:cs="Avenir Next"/>
          <w:spacing w:val="-6"/>
        </w:rPr>
        <w:t xml:space="preserve"> </w:t>
      </w:r>
      <w:r>
        <w:rPr>
          <w:rFonts w:cs="Avenir Next"/>
        </w:rPr>
        <w:t xml:space="preserve">it considers the </w:t>
      </w:r>
      <w:r>
        <w:rPr>
          <w:rFonts w:cs="Avenir Next"/>
          <w:spacing w:val="-2"/>
        </w:rPr>
        <w:t>ICRC’s</w:t>
      </w:r>
      <w:r>
        <w:rPr>
          <w:rFonts w:cs="Avenir Next"/>
          <w:spacing w:val="59"/>
        </w:rPr>
        <w:t xml:space="preserve"> </w:t>
      </w:r>
      <w:r>
        <w:rPr>
          <w:spacing w:val="-1"/>
        </w:rPr>
        <w:t>approach</w:t>
      </w:r>
      <w:r>
        <w:t xml:space="preserve"> </w:t>
      </w:r>
      <w:r>
        <w:rPr>
          <w:spacing w:val="-1"/>
        </w:rPr>
        <w:t>more</w:t>
      </w:r>
      <w:r>
        <w:rPr>
          <w:spacing w:val="1"/>
        </w:rPr>
        <w:t xml:space="preserve"> </w:t>
      </w:r>
      <w:r>
        <w:rPr>
          <w:spacing w:val="-1"/>
        </w:rPr>
        <w:t>transparent.</w:t>
      </w:r>
      <w:r>
        <w:rPr>
          <w:spacing w:val="-1"/>
          <w:position w:val="7"/>
          <w:sz w:val="11"/>
          <w:szCs w:val="11"/>
        </w:rPr>
        <w:t>195</w:t>
      </w:r>
      <w:r>
        <w:rPr>
          <w:spacing w:val="18"/>
          <w:position w:val="7"/>
          <w:sz w:val="11"/>
          <w:szCs w:val="11"/>
        </w:rPr>
        <w:t xml:space="preserve"> </w:t>
      </w:r>
      <w:r>
        <w:rPr>
          <w:rFonts w:cs="Avenir Next"/>
          <w:spacing w:val="-2"/>
        </w:rPr>
        <w:t>Therefore,</w:t>
      </w:r>
      <w:r>
        <w:rPr>
          <w:rFonts w:cs="Avenir Next"/>
          <w:spacing w:val="-5"/>
        </w:rPr>
        <w:t xml:space="preserve"> </w:t>
      </w:r>
      <w:r>
        <w:rPr>
          <w:rFonts w:cs="Avenir Next"/>
        </w:rPr>
        <w:t>the</w:t>
      </w:r>
      <w:r>
        <w:rPr>
          <w:rFonts w:cs="Avenir Next"/>
          <w:spacing w:val="1"/>
        </w:rPr>
        <w:t xml:space="preserve"> </w:t>
      </w:r>
      <w:r>
        <w:rPr>
          <w:rFonts w:cs="Avenir Next"/>
          <w:spacing w:val="-3"/>
        </w:rPr>
        <w:t>Panel</w:t>
      </w:r>
      <w:r>
        <w:rPr>
          <w:rFonts w:cs="Avenir Next"/>
          <w:spacing w:val="1"/>
        </w:rPr>
        <w:t xml:space="preserve"> </w:t>
      </w:r>
      <w:r>
        <w:rPr>
          <w:rFonts w:cs="Avenir Next"/>
        </w:rPr>
        <w:t>has</w:t>
      </w:r>
      <w:r>
        <w:rPr>
          <w:rFonts w:cs="Avenir Next"/>
          <w:spacing w:val="1"/>
        </w:rPr>
        <w:t xml:space="preserve"> </w:t>
      </w:r>
      <w:r>
        <w:rPr>
          <w:rFonts w:cs="Avenir Next"/>
        </w:rPr>
        <w:t>decided</w:t>
      </w:r>
      <w:r>
        <w:rPr>
          <w:rFonts w:cs="Avenir Next"/>
          <w:spacing w:val="1"/>
        </w:rPr>
        <w:t xml:space="preserve"> </w:t>
      </w:r>
      <w:r>
        <w:rPr>
          <w:rFonts w:cs="Avenir Next"/>
        </w:rPr>
        <w:t>to adopt</w:t>
      </w:r>
      <w:r>
        <w:rPr>
          <w:rFonts w:cs="Avenir Next"/>
          <w:spacing w:val="1"/>
        </w:rPr>
        <w:t xml:space="preserve"> </w:t>
      </w:r>
      <w:r>
        <w:rPr>
          <w:rFonts w:cs="Avenir Next"/>
        </w:rPr>
        <w:t>the</w:t>
      </w:r>
      <w:r>
        <w:rPr>
          <w:rFonts w:cs="Avenir Next"/>
          <w:spacing w:val="1"/>
        </w:rPr>
        <w:t xml:space="preserve"> </w:t>
      </w:r>
      <w:r>
        <w:rPr>
          <w:rFonts w:cs="Avenir Next"/>
        </w:rPr>
        <w:t>same</w:t>
      </w:r>
      <w:r>
        <w:rPr>
          <w:rFonts w:cs="Avenir Next"/>
          <w:spacing w:val="1"/>
        </w:rPr>
        <w:t xml:space="preserve"> </w:t>
      </w:r>
      <w:r>
        <w:rPr>
          <w:rFonts w:cs="Avenir Next"/>
          <w:spacing w:val="-1"/>
        </w:rPr>
        <w:t>approach</w:t>
      </w:r>
      <w:r>
        <w:rPr>
          <w:rFonts w:cs="Avenir Next"/>
          <w:spacing w:val="1"/>
        </w:rPr>
        <w:t xml:space="preserve"> </w:t>
      </w:r>
      <w:r>
        <w:rPr>
          <w:rFonts w:cs="Avenir Next"/>
        </w:rPr>
        <w:t>as</w:t>
      </w:r>
      <w:r>
        <w:rPr>
          <w:rFonts w:cs="Avenir Next"/>
          <w:spacing w:val="1"/>
        </w:rPr>
        <w:t xml:space="preserve"> </w:t>
      </w:r>
      <w:r>
        <w:rPr>
          <w:rFonts w:cs="Avenir Next"/>
        </w:rPr>
        <w:t>the</w:t>
      </w:r>
      <w:r>
        <w:rPr>
          <w:rFonts w:cs="Avenir Next"/>
          <w:spacing w:val="53"/>
        </w:rPr>
        <w:t xml:space="preserve"> </w:t>
      </w:r>
      <w:r>
        <w:rPr>
          <w:rFonts w:cs="Avenir Next"/>
        </w:rPr>
        <w:t>ICRC and to:</w:t>
      </w:r>
    </w:p>
    <w:p w:rsidR="00D96B91" w:rsidRDefault="00C2656B">
      <w:pPr>
        <w:pStyle w:val="BodyText"/>
        <w:numPr>
          <w:ilvl w:val="0"/>
          <w:numId w:val="131"/>
        </w:numPr>
        <w:tabs>
          <w:tab w:val="left" w:pos="1531"/>
        </w:tabs>
        <w:spacing w:before="170" w:line="260" w:lineRule="exact"/>
        <w:ind w:right="1343" w:hanging="283"/>
      </w:pPr>
      <w:r>
        <w:t xml:space="preserve">add back the </w:t>
      </w:r>
      <w:r>
        <w:rPr>
          <w:spacing w:val="-1"/>
        </w:rPr>
        <w:t>negative</w:t>
      </w:r>
      <w:r>
        <w:t xml:space="preserve"> adjustment made by</w:t>
      </w:r>
      <w:r>
        <w:rPr>
          <w:spacing w:val="-4"/>
        </w:rPr>
        <w:t xml:space="preserve"> </w:t>
      </w:r>
      <w:r>
        <w:rPr>
          <w:spacing w:val="-2"/>
        </w:rPr>
        <w:t>ACTEW</w:t>
      </w:r>
      <w:r>
        <w:rPr>
          <w:spacing w:val="-3"/>
        </w:rPr>
        <w:t xml:space="preserve"> </w:t>
      </w:r>
      <w:r>
        <w:t xml:space="preserve">to </w:t>
      </w:r>
      <w:r>
        <w:rPr>
          <w:spacing w:val="-1"/>
        </w:rPr>
        <w:t>sewerage</w:t>
      </w:r>
      <w:r>
        <w:t xml:space="preserve"> </w:t>
      </w:r>
      <w:r>
        <w:rPr>
          <w:spacing w:val="-1"/>
        </w:rPr>
        <w:t>operating</w:t>
      </w:r>
      <w:r>
        <w:t xml:space="preserve"> </w:t>
      </w:r>
      <w:r>
        <w:rPr>
          <w:spacing w:val="-1"/>
        </w:rPr>
        <w:t>expenditure</w:t>
      </w:r>
      <w:r>
        <w:t xml:space="preserve"> in its SOFC</w:t>
      </w:r>
      <w:r>
        <w:rPr>
          <w:spacing w:val="49"/>
        </w:rPr>
        <w:t xml:space="preserve"> </w:t>
      </w:r>
      <w:r>
        <w:t xml:space="preserve">for the on-going costs </w:t>
      </w:r>
      <w:r>
        <w:rPr>
          <w:spacing w:val="-1"/>
        </w:rPr>
        <w:t>relating</w:t>
      </w:r>
      <w:r>
        <w:t xml:space="preserve"> to the </w:t>
      </w:r>
      <w:r>
        <w:rPr>
          <w:spacing w:val="-1"/>
        </w:rPr>
        <w:t>Uriarra</w:t>
      </w:r>
      <w:r>
        <w:rPr>
          <w:spacing w:val="-4"/>
        </w:rPr>
        <w:t xml:space="preserve"> </w:t>
      </w:r>
      <w:r>
        <w:rPr>
          <w:spacing w:val="-1"/>
        </w:rPr>
        <w:t>Village</w:t>
      </w:r>
      <w:r>
        <w:t xml:space="preserve"> </w:t>
      </w:r>
      <w:r>
        <w:rPr>
          <w:spacing w:val="-1"/>
        </w:rPr>
        <w:t>sewerage</w:t>
      </w:r>
      <w:r>
        <w:t xml:space="preserve"> </w:t>
      </w:r>
      <w:r>
        <w:rPr>
          <w:spacing w:val="-1"/>
        </w:rPr>
        <w:t>project,</w:t>
      </w:r>
      <w:r>
        <w:rPr>
          <w:spacing w:val="-6"/>
        </w:rPr>
        <w:t xml:space="preserve"> </w:t>
      </w:r>
      <w:r>
        <w:t>and</w:t>
      </w:r>
    </w:p>
    <w:p w:rsidR="00D96B91" w:rsidRDefault="00C2656B">
      <w:pPr>
        <w:pStyle w:val="BodyText"/>
        <w:numPr>
          <w:ilvl w:val="0"/>
          <w:numId w:val="131"/>
        </w:numPr>
        <w:tabs>
          <w:tab w:val="left" w:pos="1531"/>
        </w:tabs>
        <w:spacing w:before="85" w:line="260" w:lineRule="exact"/>
        <w:ind w:right="2076" w:hanging="283"/>
      </w:pPr>
      <w:r>
        <w:t>adjust</w:t>
      </w:r>
      <w:r>
        <w:rPr>
          <w:spacing w:val="-1"/>
        </w:rPr>
        <w:t xml:space="preserve"> </w:t>
      </w:r>
      <w:r>
        <w:t>these</w:t>
      </w:r>
      <w:r>
        <w:rPr>
          <w:spacing w:val="-1"/>
        </w:rPr>
        <w:t xml:space="preserve"> operating </w:t>
      </w:r>
      <w:r>
        <w:t>costs</w:t>
      </w:r>
      <w:r>
        <w:rPr>
          <w:spacing w:val="-1"/>
        </w:rPr>
        <w:t xml:space="preserve"> downwards </w:t>
      </w:r>
      <w:r>
        <w:t xml:space="preserve">to </w:t>
      </w:r>
      <w:r>
        <w:rPr>
          <w:spacing w:val="-1"/>
        </w:rPr>
        <w:t xml:space="preserve">reflect </w:t>
      </w:r>
      <w:r>
        <w:rPr>
          <w:spacing w:val="-3"/>
        </w:rPr>
        <w:t>Cardno’s</w:t>
      </w:r>
      <w:r>
        <w:rPr>
          <w:spacing w:val="-1"/>
        </w:rPr>
        <w:t xml:space="preserve"> estimate </w:t>
      </w:r>
      <w:r>
        <w:t>of</w:t>
      </w:r>
      <w:r>
        <w:rPr>
          <w:spacing w:val="3"/>
        </w:rPr>
        <w:t xml:space="preserve"> </w:t>
      </w:r>
      <w:r>
        <w:t xml:space="preserve">the </w:t>
      </w:r>
      <w:r>
        <w:rPr>
          <w:spacing w:val="-1"/>
        </w:rPr>
        <w:t xml:space="preserve">efficient </w:t>
      </w:r>
      <w:r>
        <w:t>costs</w:t>
      </w:r>
      <w:r>
        <w:rPr>
          <w:spacing w:val="-1"/>
        </w:rPr>
        <w:t xml:space="preserve"> </w:t>
      </w:r>
      <w:r>
        <w:t>of</w:t>
      </w:r>
      <w:r>
        <w:rPr>
          <w:spacing w:val="59"/>
        </w:rPr>
        <w:t xml:space="preserve"> </w:t>
      </w:r>
      <w:r>
        <w:rPr>
          <w:spacing w:val="-1"/>
        </w:rPr>
        <w:t>operating</w:t>
      </w:r>
      <w:r>
        <w:t xml:space="preserve"> a </w:t>
      </w:r>
      <w:r>
        <w:rPr>
          <w:spacing w:val="-1"/>
        </w:rPr>
        <w:t>package</w:t>
      </w:r>
      <w:r>
        <w:t xml:space="preserve"> plant.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4"/>
        </w:rPr>
        <w:t>The</w:t>
      </w:r>
      <w:r>
        <w:rPr>
          <w:spacing w:val="-6"/>
        </w:rPr>
        <w:t xml:space="preserve"> </w:t>
      </w:r>
      <w:r>
        <w:rPr>
          <w:spacing w:val="-3"/>
        </w:rPr>
        <w:t>second</w:t>
      </w:r>
      <w:r>
        <w:rPr>
          <w:spacing w:val="-5"/>
        </w:rPr>
        <w:t xml:space="preserve"> </w:t>
      </w:r>
      <w:r>
        <w:rPr>
          <w:spacing w:val="-3"/>
        </w:rPr>
        <w:t>adjustment</w:t>
      </w:r>
      <w:r>
        <w:rPr>
          <w:spacing w:val="-6"/>
        </w:rPr>
        <w:t xml:space="preserve"> </w:t>
      </w:r>
      <w:r>
        <w:rPr>
          <w:spacing w:val="-4"/>
        </w:rPr>
        <w:t>relates</w:t>
      </w:r>
      <w:r>
        <w:rPr>
          <w:spacing w:val="-5"/>
        </w:rPr>
        <w:t xml:space="preserve"> </w:t>
      </w:r>
      <w:r>
        <w:rPr>
          <w:spacing w:val="-2"/>
        </w:rPr>
        <w:t>to</w:t>
      </w:r>
      <w:r>
        <w:rPr>
          <w:spacing w:val="-6"/>
        </w:rPr>
        <w:t xml:space="preserve"> </w:t>
      </w:r>
      <w:r>
        <w:rPr>
          <w:spacing w:val="-3"/>
        </w:rPr>
        <w:t>carbon</w:t>
      </w:r>
      <w:r>
        <w:rPr>
          <w:spacing w:val="-5"/>
        </w:rPr>
        <w:t xml:space="preserve"> </w:t>
      </w:r>
      <w:r>
        <w:rPr>
          <w:spacing w:val="-3"/>
        </w:rPr>
        <w:t>costs.</w:t>
      </w:r>
      <w:r>
        <w:rPr>
          <w:spacing w:val="-12"/>
        </w:rPr>
        <w:t xml:space="preserve"> </w:t>
      </w:r>
      <w:r>
        <w:rPr>
          <w:spacing w:val="-3"/>
        </w:rPr>
        <w:t>Given</w:t>
      </w:r>
      <w:r>
        <w:rPr>
          <w:spacing w:val="-5"/>
        </w:rPr>
        <w:t xml:space="preserve"> </w:t>
      </w:r>
      <w:r>
        <w:rPr>
          <w:spacing w:val="-2"/>
        </w:rPr>
        <w:t>the</w:t>
      </w:r>
      <w:r>
        <w:rPr>
          <w:spacing w:val="-5"/>
        </w:rPr>
        <w:t xml:space="preserve"> </w:t>
      </w:r>
      <w:r>
        <w:rPr>
          <w:spacing w:val="-4"/>
        </w:rPr>
        <w:t>removal</w:t>
      </w:r>
      <w:r>
        <w:rPr>
          <w:spacing w:val="-6"/>
        </w:rPr>
        <w:t xml:space="preserve"> </w:t>
      </w:r>
      <w:r>
        <w:rPr>
          <w:spacing w:val="-2"/>
        </w:rPr>
        <w:t>of</w:t>
      </w:r>
      <w:r>
        <w:rPr>
          <w:spacing w:val="-1"/>
        </w:rPr>
        <w:t xml:space="preserve"> </w:t>
      </w:r>
      <w:r>
        <w:rPr>
          <w:spacing w:val="-2"/>
        </w:rPr>
        <w:t>the</w:t>
      </w:r>
      <w:r>
        <w:rPr>
          <w:spacing w:val="-6"/>
        </w:rPr>
        <w:t xml:space="preserve"> </w:t>
      </w:r>
      <w:r>
        <w:rPr>
          <w:spacing w:val="-3"/>
        </w:rPr>
        <w:t>carbon</w:t>
      </w:r>
      <w:r>
        <w:rPr>
          <w:spacing w:val="-5"/>
        </w:rPr>
        <w:t xml:space="preserve"> </w:t>
      </w:r>
      <w:r>
        <w:rPr>
          <w:spacing w:val="-3"/>
        </w:rPr>
        <w:t>price</w:t>
      </w:r>
      <w:r>
        <w:rPr>
          <w:spacing w:val="-6"/>
        </w:rPr>
        <w:t xml:space="preserve"> </w:t>
      </w:r>
      <w:r>
        <w:rPr>
          <w:spacing w:val="-4"/>
        </w:rPr>
        <w:t>from</w:t>
      </w:r>
      <w:r>
        <w:rPr>
          <w:spacing w:val="-5"/>
        </w:rPr>
        <w:t xml:space="preserve"> </w:t>
      </w:r>
      <w:r>
        <w:t>1</w:t>
      </w:r>
      <w:r>
        <w:rPr>
          <w:spacing w:val="-8"/>
        </w:rPr>
        <w:t xml:space="preserve"> </w:t>
      </w:r>
      <w:r>
        <w:rPr>
          <w:spacing w:val="-3"/>
        </w:rPr>
        <w:t>July</w:t>
      </w:r>
      <w:r>
        <w:rPr>
          <w:spacing w:val="-6"/>
        </w:rPr>
        <w:t xml:space="preserve"> </w:t>
      </w:r>
      <w:r>
        <w:rPr>
          <w:spacing w:val="-3"/>
        </w:rPr>
        <w:t>2014,</w:t>
      </w:r>
      <w:r>
        <w:rPr>
          <w:spacing w:val="-3"/>
          <w:position w:val="7"/>
          <w:sz w:val="11"/>
          <w:szCs w:val="11"/>
        </w:rPr>
        <w:t>196</w:t>
      </w:r>
      <w:r>
        <w:rPr>
          <w:spacing w:val="86"/>
          <w:w w:val="105"/>
          <w:position w:val="7"/>
          <w:sz w:val="11"/>
          <w:szCs w:val="11"/>
        </w:rPr>
        <w:t xml:space="preserve"> </w:t>
      </w:r>
      <w:r>
        <w:rPr>
          <w:rFonts w:cs="Avenir Next"/>
        </w:rPr>
        <w:t xml:space="preserve">the </w:t>
      </w:r>
      <w:r>
        <w:rPr>
          <w:rFonts w:cs="Avenir Next"/>
          <w:spacing w:val="-3"/>
        </w:rPr>
        <w:t>Panel</w:t>
      </w:r>
      <w:r>
        <w:rPr>
          <w:rFonts w:cs="Avenir Next"/>
        </w:rPr>
        <w:t xml:space="preserve"> considers it </w:t>
      </w:r>
      <w:r>
        <w:rPr>
          <w:rFonts w:cs="Avenir Next"/>
          <w:spacing w:val="-1"/>
        </w:rPr>
        <w:t>appropriate</w:t>
      </w:r>
      <w:r>
        <w:rPr>
          <w:rFonts w:cs="Avenir Next"/>
        </w:rPr>
        <w:t xml:space="preserve"> to </w:t>
      </w:r>
      <w:r>
        <w:rPr>
          <w:rFonts w:cs="Avenir Next"/>
          <w:spacing w:val="-1"/>
        </w:rPr>
        <w:t>remove</w:t>
      </w:r>
      <w:r>
        <w:rPr>
          <w:rFonts w:cs="Avenir Next"/>
        </w:rPr>
        <w:t xml:space="preserve"> costs </w:t>
      </w:r>
      <w:r>
        <w:rPr>
          <w:rFonts w:cs="Avenir Next"/>
          <w:spacing w:val="-1"/>
        </w:rPr>
        <w:t>associated</w:t>
      </w:r>
      <w:r>
        <w:rPr>
          <w:rFonts w:cs="Avenir Next"/>
        </w:rPr>
        <w:t xml:space="preserve"> with this price </w:t>
      </w:r>
      <w:r>
        <w:rPr>
          <w:rFonts w:cs="Avenir Next"/>
          <w:spacing w:val="-1"/>
        </w:rPr>
        <w:t>from</w:t>
      </w:r>
      <w:r>
        <w:rPr>
          <w:rFonts w:cs="Avenir Next"/>
          <w:spacing w:val="-4"/>
        </w:rPr>
        <w:t xml:space="preserve"> </w:t>
      </w:r>
      <w:r>
        <w:rPr>
          <w:rFonts w:cs="Avenir Next"/>
          <w:spacing w:val="-2"/>
        </w:rPr>
        <w:t>ACTEW’s</w:t>
      </w:r>
      <w:r>
        <w:rPr>
          <w:rFonts w:cs="Avenir Next"/>
        </w:rPr>
        <w:t xml:space="preserve"> </w:t>
      </w:r>
      <w:r>
        <w:rPr>
          <w:rFonts w:cs="Avenir Next"/>
          <w:spacing w:val="-1"/>
        </w:rPr>
        <w:t>forecast</w:t>
      </w:r>
      <w:r>
        <w:rPr>
          <w:rFonts w:cs="Avenir Next"/>
          <w:spacing w:val="45"/>
        </w:rPr>
        <w:t xml:space="preserve"> </w:t>
      </w:r>
      <w:r>
        <w:rPr>
          <w:spacing w:val="-1"/>
        </w:rPr>
        <w:t>controllable</w:t>
      </w:r>
      <w:r>
        <w:t xml:space="preserve"> </w:t>
      </w:r>
      <w:r>
        <w:rPr>
          <w:spacing w:val="-1"/>
        </w:rPr>
        <w:t>operating</w:t>
      </w:r>
      <w:r>
        <w:t xml:space="preserve"> </w:t>
      </w:r>
      <w:r>
        <w:rPr>
          <w:spacing w:val="-1"/>
        </w:rPr>
        <w:t>expenditure.</w:t>
      </w:r>
      <w:r>
        <w:rPr>
          <w:spacing w:val="-11"/>
        </w:rPr>
        <w:t xml:space="preserve"> </w:t>
      </w:r>
      <w:r>
        <w:rPr>
          <w:spacing w:val="-2"/>
        </w:rPr>
        <w:t>The</w:t>
      </w:r>
      <w:r>
        <w:t xml:space="preserve"> </w:t>
      </w:r>
      <w:r>
        <w:rPr>
          <w:spacing w:val="-3"/>
        </w:rPr>
        <w:t>Panel</w:t>
      </w:r>
      <w:r>
        <w:t xml:space="preserve"> notes </w:t>
      </w:r>
      <w:r>
        <w:rPr>
          <w:spacing w:val="-1"/>
        </w:rPr>
        <w:t>that</w:t>
      </w:r>
      <w:r>
        <w:t xml:space="preserve"> this </w:t>
      </w:r>
      <w:r>
        <w:rPr>
          <w:spacing w:val="-1"/>
        </w:rPr>
        <w:t>forecast</w:t>
      </w:r>
      <w:r>
        <w:t xml:space="preserve"> does not include an </w:t>
      </w:r>
      <w:r>
        <w:rPr>
          <w:spacing w:val="-1"/>
        </w:rPr>
        <w:t>explicit</w:t>
      </w:r>
      <w:r>
        <w:rPr>
          <w:spacing w:val="71"/>
        </w:rPr>
        <w:t xml:space="preserve"> </w:t>
      </w:r>
      <w:r>
        <w:t>allowance for carbon costs,</w:t>
      </w:r>
      <w:r>
        <w:rPr>
          <w:spacing w:val="-7"/>
        </w:rPr>
        <w:t xml:space="preserve"> </w:t>
      </w:r>
      <w:r>
        <w:t xml:space="preserve">either </w:t>
      </w:r>
      <w:r>
        <w:rPr>
          <w:spacing w:val="-1"/>
        </w:rPr>
        <w:t>through</w:t>
      </w:r>
      <w:r>
        <w:t xml:space="preserve"> the base </w:t>
      </w:r>
      <w:r>
        <w:rPr>
          <w:spacing w:val="-1"/>
        </w:rPr>
        <w:t>year</w:t>
      </w:r>
      <w:r>
        <w:t xml:space="preserve"> or step changes.</w:t>
      </w:r>
      <w:r>
        <w:rPr>
          <w:spacing w:val="-6"/>
        </w:rPr>
        <w:t xml:space="preserve"> </w:t>
      </w:r>
      <w:r>
        <w:rPr>
          <w:spacing w:val="-2"/>
        </w:rPr>
        <w:t>However,</w:t>
      </w:r>
      <w:r>
        <w:rPr>
          <w:spacing w:val="-6"/>
        </w:rPr>
        <w:t xml:space="preserve"> </w:t>
      </w:r>
      <w:r>
        <w:t xml:space="preserve">the </w:t>
      </w:r>
      <w:r>
        <w:rPr>
          <w:spacing w:val="-1"/>
        </w:rPr>
        <w:t>escalation</w:t>
      </w:r>
      <w:r>
        <w:rPr>
          <w:spacing w:val="39"/>
        </w:rPr>
        <w:t xml:space="preserve"> </w:t>
      </w:r>
      <w:r>
        <w:t>factors for electricity and chemical costs include the impact of</w:t>
      </w:r>
      <w:r>
        <w:rPr>
          <w:spacing w:val="4"/>
        </w:rPr>
        <w:t xml:space="preserve"> </w:t>
      </w:r>
      <w:r>
        <w:t>the carbon price on these costs.</w:t>
      </w:r>
    </w:p>
    <w:p w:rsidR="00D96B91" w:rsidRDefault="00C2656B">
      <w:pPr>
        <w:pStyle w:val="BodyText"/>
        <w:spacing w:line="260" w:lineRule="exact"/>
        <w:ind w:right="1283"/>
      </w:pPr>
      <w:r>
        <w:rPr>
          <w:spacing w:val="-2"/>
        </w:rPr>
        <w:t>Therefore,</w:t>
      </w:r>
      <w:r>
        <w:rPr>
          <w:spacing w:val="-7"/>
        </w:rPr>
        <w:t xml:space="preserve"> </w:t>
      </w:r>
      <w:r>
        <w:t>a small</w:t>
      </w:r>
      <w:r>
        <w:rPr>
          <w:spacing w:val="-1"/>
        </w:rPr>
        <w:t xml:space="preserve"> proportion</w:t>
      </w:r>
      <w:r>
        <w:t xml:space="preserve"> of </w:t>
      </w:r>
      <w:r>
        <w:rPr>
          <w:spacing w:val="-2"/>
        </w:rPr>
        <w:t>ACTEW’s</w:t>
      </w:r>
      <w:r>
        <w:t xml:space="preserve"> total</w:t>
      </w:r>
      <w:r>
        <w:rPr>
          <w:spacing w:val="-1"/>
        </w:rPr>
        <w:t xml:space="preserve"> forecast</w:t>
      </w:r>
      <w:r>
        <w:t xml:space="preserve"> </w:t>
      </w:r>
      <w:r>
        <w:rPr>
          <w:spacing w:val="-1"/>
        </w:rPr>
        <w:t>operating expenditure</w:t>
      </w:r>
      <w:r>
        <w:t xml:space="preserve"> </w:t>
      </w:r>
      <w:r>
        <w:rPr>
          <w:spacing w:val="-1"/>
        </w:rPr>
        <w:t>reflects</w:t>
      </w:r>
      <w:r>
        <w:t xml:space="preserve"> the</w:t>
      </w:r>
      <w:r>
        <w:rPr>
          <w:spacing w:val="-1"/>
        </w:rPr>
        <w:t xml:space="preserve"> </w:t>
      </w:r>
      <w:r>
        <w:t>cost of</w:t>
      </w:r>
      <w:r>
        <w:rPr>
          <w:spacing w:val="59"/>
        </w:rPr>
        <w:t xml:space="preserve"> </w:t>
      </w:r>
      <w:r>
        <w:t>carbon.</w:t>
      </w:r>
      <w:r>
        <w:rPr>
          <w:spacing w:val="-10"/>
        </w:rPr>
        <w:t xml:space="preserve"> </w:t>
      </w:r>
      <w:r>
        <w:rPr>
          <w:spacing w:val="-2"/>
        </w:rPr>
        <w:t>ACTEW</w:t>
      </w:r>
      <w:r>
        <w:rPr>
          <w:spacing w:val="-3"/>
        </w:rPr>
        <w:t xml:space="preserve"> </w:t>
      </w:r>
      <w:r>
        <w:t xml:space="preserve">has </w:t>
      </w:r>
      <w:r>
        <w:rPr>
          <w:spacing w:val="-1"/>
        </w:rPr>
        <w:t>indicated</w:t>
      </w:r>
      <w:r>
        <w:t xml:space="preserve"> </w:t>
      </w:r>
      <w:r>
        <w:rPr>
          <w:spacing w:val="-1"/>
        </w:rPr>
        <w:t>that</w:t>
      </w:r>
      <w:r>
        <w:t xml:space="preserve"> the impact of</w:t>
      </w:r>
      <w:r>
        <w:rPr>
          <w:spacing w:val="4"/>
        </w:rPr>
        <w:t xml:space="preserve"> </w:t>
      </w:r>
      <w:r>
        <w:t>the carbon price on these costs is,</w:t>
      </w:r>
      <w:r>
        <w:rPr>
          <w:spacing w:val="-7"/>
        </w:rPr>
        <w:t xml:space="preserve"> </w:t>
      </w:r>
      <w:r>
        <w:t xml:space="preserve">on </w:t>
      </w:r>
      <w:r>
        <w:rPr>
          <w:spacing w:val="-1"/>
        </w:rPr>
        <w:t>average,</w:t>
      </w:r>
      <w:r>
        <w:rPr>
          <w:spacing w:val="-6"/>
        </w:rPr>
        <w:t xml:space="preserve"> </w:t>
      </w:r>
      <w:r>
        <w:t>no</w:t>
      </w:r>
      <w:r>
        <w:rPr>
          <w:spacing w:val="37"/>
        </w:rPr>
        <w:t xml:space="preserve"> </w:t>
      </w:r>
      <w:r>
        <w:rPr>
          <w:spacing w:val="-2"/>
        </w:rPr>
        <w:t>greater</w:t>
      </w:r>
      <w:r>
        <w:t xml:space="preserve"> than</w:t>
      </w:r>
      <w:r>
        <w:rPr>
          <w:spacing w:val="1"/>
        </w:rPr>
        <w:t xml:space="preserve"> </w:t>
      </w:r>
      <w:r>
        <w:rPr>
          <w:spacing w:val="-1"/>
        </w:rPr>
        <w:t>around</w:t>
      </w:r>
      <w:r>
        <w:rPr>
          <w:spacing w:val="1"/>
        </w:rPr>
        <w:t xml:space="preserve"> </w:t>
      </w:r>
      <w:r>
        <w:t>$40,000</w:t>
      </w:r>
      <w:r>
        <w:rPr>
          <w:spacing w:val="1"/>
        </w:rPr>
        <w:t xml:space="preserve"> </w:t>
      </w:r>
      <w:r>
        <w:t xml:space="preserve">per </w:t>
      </w:r>
      <w:r>
        <w:rPr>
          <w:spacing w:val="-2"/>
        </w:rPr>
        <w:t>year.</w:t>
      </w:r>
      <w:r>
        <w:rPr>
          <w:spacing w:val="-2"/>
          <w:position w:val="7"/>
          <w:sz w:val="11"/>
          <w:szCs w:val="11"/>
        </w:rPr>
        <w:t>197</w:t>
      </w:r>
      <w:r>
        <w:rPr>
          <w:spacing w:val="19"/>
          <w:position w:val="7"/>
          <w:sz w:val="11"/>
          <w:szCs w:val="11"/>
        </w:rPr>
        <w:t xml:space="preserve"> </w:t>
      </w:r>
      <w:r>
        <w:rPr>
          <w:rFonts w:cs="Avenir Next"/>
          <w:spacing w:val="-1"/>
        </w:rPr>
        <w:t>Accordingly,</w:t>
      </w:r>
      <w:r>
        <w:rPr>
          <w:rFonts w:cs="Avenir Next"/>
          <w:spacing w:val="-5"/>
        </w:rPr>
        <w:t xml:space="preserve"> </w:t>
      </w:r>
      <w:r>
        <w:rPr>
          <w:rFonts w:cs="Avenir Next"/>
        </w:rPr>
        <w:t>the</w:t>
      </w:r>
      <w:r>
        <w:rPr>
          <w:rFonts w:cs="Avenir Next"/>
          <w:spacing w:val="1"/>
        </w:rPr>
        <w:t xml:space="preserve"> </w:t>
      </w:r>
      <w:r>
        <w:rPr>
          <w:rFonts w:cs="Avenir Next"/>
          <w:spacing w:val="-3"/>
        </w:rPr>
        <w:t>Panel</w:t>
      </w:r>
      <w:r>
        <w:rPr>
          <w:rFonts w:cs="Avenir Next"/>
          <w:spacing w:val="1"/>
        </w:rPr>
        <w:t xml:space="preserve"> </w:t>
      </w:r>
      <w:r>
        <w:rPr>
          <w:rFonts w:cs="Avenir Next"/>
        </w:rPr>
        <w:t>has adjusted</w:t>
      </w:r>
      <w:r>
        <w:rPr>
          <w:rFonts w:cs="Avenir Next"/>
          <w:spacing w:val="1"/>
        </w:rPr>
        <w:t xml:space="preserve"> </w:t>
      </w:r>
      <w:r>
        <w:rPr>
          <w:rFonts w:cs="Avenir Next"/>
        </w:rPr>
        <w:t>total</w:t>
      </w:r>
      <w:r>
        <w:rPr>
          <w:rFonts w:cs="Avenir Next"/>
          <w:spacing w:val="1"/>
        </w:rPr>
        <w:t xml:space="preserve"> </w:t>
      </w:r>
      <w:r>
        <w:rPr>
          <w:rFonts w:cs="Avenir Next"/>
          <w:spacing w:val="-1"/>
        </w:rPr>
        <w:t>forecast</w:t>
      </w:r>
      <w:r>
        <w:rPr>
          <w:rFonts w:cs="Avenir Next"/>
          <w:spacing w:val="1"/>
        </w:rPr>
        <w:t xml:space="preserve"> </w:t>
      </w:r>
      <w:r>
        <w:rPr>
          <w:rFonts w:cs="Avenir Next"/>
          <w:spacing w:val="-1"/>
        </w:rPr>
        <w:t>operating</w:t>
      </w:r>
      <w:r>
        <w:rPr>
          <w:rFonts w:cs="Avenir Next"/>
          <w:spacing w:val="45"/>
        </w:rPr>
        <w:t xml:space="preserve"> </w:t>
      </w:r>
      <w:r>
        <w:rPr>
          <w:spacing w:val="-1"/>
        </w:rPr>
        <w:t>expenditure</w:t>
      </w:r>
      <w:r>
        <w:t xml:space="preserve"> down by this amount.</w:t>
      </w:r>
    </w:p>
    <w:p w:rsidR="00D96B91" w:rsidRDefault="00D96B91">
      <w:pPr>
        <w:spacing w:before="8"/>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86" style="width:72.5pt;height:.5pt;mso-position-horizontal-relative:char;mso-position-vertical-relative:line" coordsize="1450,10">
            <v:group id="_x0000_s1887" style="position:absolute;left:5;top:5;width:1440;height:2" coordorigin="5,5" coordsize="1440,2">
              <v:shape id="_x0000_s1888" style="position:absolute;left:5;top:5;width:1440;height:2" coordorigin="5,5" coordsize="1440,0" path="m5,5r1440,e" filled="f" strokeweight=".5pt">
                <v:path arrowok="t"/>
              </v:shape>
            </v:group>
            <w10:wrap type="none"/>
            <w10:anchorlock/>
          </v:group>
        </w:pict>
      </w:r>
    </w:p>
    <w:p w:rsidR="00D96B91" w:rsidRDefault="00C2656B">
      <w:pPr>
        <w:numPr>
          <w:ilvl w:val="0"/>
          <w:numId w:val="58"/>
        </w:numPr>
        <w:tabs>
          <w:tab w:val="left" w:pos="1758"/>
        </w:tabs>
        <w:spacing w:before="45" w:line="192" w:lineRule="exact"/>
        <w:ind w:right="1250"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notes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this </w:t>
      </w:r>
      <w:r>
        <w:rPr>
          <w:rFonts w:ascii="Avenir Next" w:eastAsia="Avenir Next" w:hAnsi="Avenir Next" w:cs="Avenir Next"/>
          <w:spacing w:val="-1"/>
          <w:sz w:val="16"/>
          <w:szCs w:val="16"/>
        </w:rPr>
        <w:t>forecast</w:t>
      </w:r>
      <w:r>
        <w:rPr>
          <w:rFonts w:ascii="Avenir Next" w:eastAsia="Avenir Next" w:hAnsi="Avenir Next" w:cs="Avenir Next"/>
          <w:sz w:val="16"/>
          <w:szCs w:val="16"/>
        </w:rPr>
        <w:t xml:space="preserve"> is based on</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April 2013 pricing submission,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with an adjustment for the </w:t>
      </w:r>
      <w:r>
        <w:rPr>
          <w:rFonts w:ascii="Avenir Next" w:eastAsia="Avenir Next" w:hAnsi="Avenir Next" w:cs="Avenir Next"/>
          <w:spacing w:val="-1"/>
          <w:sz w:val="16"/>
          <w:szCs w:val="16"/>
        </w:rPr>
        <w:t>treatment</w:t>
      </w:r>
      <w:r>
        <w:rPr>
          <w:rFonts w:ascii="Avenir Next" w:eastAsia="Avenir Next" w:hAnsi="Avenir Next" w:cs="Avenir Next"/>
          <w:spacing w:val="29"/>
          <w:sz w:val="16"/>
          <w:szCs w:val="16"/>
        </w:rPr>
        <w:t xml:space="preserve">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costs </w:t>
      </w:r>
      <w:r>
        <w:rPr>
          <w:rFonts w:ascii="Avenir Next" w:eastAsia="Avenir Next" w:hAnsi="Avenir Next" w:cs="Avenir Next"/>
          <w:spacing w:val="-1"/>
          <w:sz w:val="16"/>
          <w:szCs w:val="16"/>
        </w:rPr>
        <w:t>associated</w:t>
      </w:r>
      <w:r>
        <w:rPr>
          <w:rFonts w:ascii="Avenir Next" w:eastAsia="Avenir Next" w:hAnsi="Avenir Next" w:cs="Avenir Next"/>
          <w:sz w:val="16"/>
          <w:szCs w:val="16"/>
        </w:rPr>
        <w:t xml:space="preserve"> with the </w:t>
      </w:r>
      <w:r>
        <w:rPr>
          <w:rFonts w:ascii="Avenir Next" w:eastAsia="Avenir Next" w:hAnsi="Avenir Next" w:cs="Avenir Next"/>
          <w:spacing w:val="-1"/>
          <w:sz w:val="16"/>
          <w:szCs w:val="16"/>
        </w:rPr>
        <w:t>Uriarra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Village</w:t>
      </w:r>
      <w:r>
        <w:rPr>
          <w:rFonts w:ascii="Avenir Next" w:eastAsia="Avenir Next" w:hAnsi="Avenir Next" w:cs="Avenir Next"/>
          <w:sz w:val="16"/>
          <w:szCs w:val="16"/>
        </w:rPr>
        <w:t xml:space="preserve"> sewage </w:t>
      </w:r>
      <w:r>
        <w:rPr>
          <w:rFonts w:ascii="Avenir Next" w:eastAsia="Avenir Next" w:hAnsi="Avenir Next" w:cs="Avenir Next"/>
          <w:spacing w:val="-1"/>
          <w:sz w:val="16"/>
          <w:szCs w:val="16"/>
        </w:rPr>
        <w:t>treatment</w:t>
      </w:r>
      <w:r>
        <w:rPr>
          <w:rFonts w:ascii="Avenir Next" w:eastAsia="Avenir Next" w:hAnsi="Avenir Next" w:cs="Avenir Next"/>
          <w:sz w:val="16"/>
          <w:szCs w:val="16"/>
        </w:rPr>
        <w:t xml:space="preserve"> plant.</w:t>
      </w:r>
    </w:p>
    <w:p w:rsidR="00D96B91" w:rsidRDefault="00C2656B">
      <w:pPr>
        <w:numPr>
          <w:ilvl w:val="0"/>
          <w:numId w:val="58"/>
        </w:numPr>
        <w:tabs>
          <w:tab w:val="left" w:pos="1758"/>
        </w:tabs>
        <w:spacing w:before="141"/>
        <w:ind w:hanging="510"/>
        <w:rPr>
          <w:rFonts w:ascii="Avenir Next" w:eastAsia="Avenir Next" w:hAnsi="Avenir Next" w:cs="Avenir Next"/>
          <w:sz w:val="16"/>
          <w:szCs w:val="16"/>
        </w:rPr>
      </w:pPr>
      <w:r>
        <w:rPr>
          <w:rFonts w:ascii="Avenir Next"/>
          <w:sz w:val="16"/>
        </w:rPr>
        <w:t xml:space="preserve">In addition the </w:t>
      </w:r>
      <w:r>
        <w:rPr>
          <w:rFonts w:ascii="Avenir Next"/>
          <w:spacing w:val="-2"/>
          <w:sz w:val="16"/>
        </w:rPr>
        <w:t>Panel</w:t>
      </w:r>
      <w:r>
        <w:rPr>
          <w:rFonts w:ascii="Avenir Next"/>
          <w:sz w:val="16"/>
        </w:rPr>
        <w:t xml:space="preserve"> notes </w:t>
      </w:r>
      <w:r>
        <w:rPr>
          <w:rFonts w:ascii="Avenir Next"/>
          <w:spacing w:val="-1"/>
          <w:sz w:val="16"/>
        </w:rPr>
        <w:t>that</w:t>
      </w:r>
      <w:r>
        <w:rPr>
          <w:rFonts w:ascii="Avenir Next"/>
          <w:sz w:val="16"/>
        </w:rPr>
        <w:t xml:space="preserve"> in its SOFC</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 xml:space="preserve">claimed </w:t>
      </w:r>
      <w:r>
        <w:rPr>
          <w:rFonts w:ascii="Avenir Next"/>
          <w:spacing w:val="-1"/>
          <w:sz w:val="16"/>
        </w:rPr>
        <w:t>that</w:t>
      </w:r>
      <w:r>
        <w:rPr>
          <w:rFonts w:ascii="Avenir Next"/>
          <w:sz w:val="16"/>
        </w:rPr>
        <w:t xml:space="preserve"> this decision was not </w:t>
      </w:r>
      <w:r>
        <w:rPr>
          <w:rFonts w:ascii="Avenir Next"/>
          <w:spacing w:val="-1"/>
          <w:sz w:val="16"/>
        </w:rPr>
        <w:t>part</w:t>
      </w:r>
      <w:r>
        <w:rPr>
          <w:rFonts w:ascii="Avenir Next"/>
          <w:sz w:val="16"/>
        </w:rPr>
        <w:t xml:space="preserve"> of</w:t>
      </w:r>
      <w:r>
        <w:rPr>
          <w:rFonts w:ascii="Avenir Next"/>
          <w:spacing w:val="3"/>
          <w:sz w:val="16"/>
        </w:rPr>
        <w:t xml:space="preserve"> </w:t>
      </w:r>
      <w:r>
        <w:rPr>
          <w:rFonts w:ascii="Avenir Next"/>
          <w:sz w:val="16"/>
        </w:rPr>
        <w:t xml:space="preserve">its </w:t>
      </w:r>
      <w:r>
        <w:rPr>
          <w:rFonts w:ascii="Avenir Next"/>
          <w:spacing w:val="-1"/>
          <w:sz w:val="16"/>
        </w:rPr>
        <w:t>application</w:t>
      </w:r>
      <w:r>
        <w:rPr>
          <w:rFonts w:ascii="Avenir Next"/>
          <w:sz w:val="16"/>
        </w:rPr>
        <w:t xml:space="preserve"> for </w:t>
      </w:r>
      <w:r>
        <w:rPr>
          <w:rFonts w:ascii="Avenir Next"/>
          <w:spacing w:val="-2"/>
          <w:sz w:val="16"/>
        </w:rPr>
        <w:t>review.</w:t>
      </w:r>
    </w:p>
    <w:p w:rsidR="00D96B91" w:rsidRDefault="00C2656B">
      <w:pPr>
        <w:numPr>
          <w:ilvl w:val="0"/>
          <w:numId w:val="58"/>
        </w:numPr>
        <w:tabs>
          <w:tab w:val="left" w:pos="1758"/>
        </w:tabs>
        <w:spacing w:before="128" w:line="192" w:lineRule="exact"/>
        <w:ind w:right="1392" w:hanging="510"/>
        <w:rPr>
          <w:rFonts w:ascii="Avenir Next" w:eastAsia="Avenir Next" w:hAnsi="Avenir Next" w:cs="Avenir Next"/>
          <w:sz w:val="16"/>
          <w:szCs w:val="16"/>
        </w:rPr>
      </w:pPr>
      <w:r>
        <w:rPr>
          <w:rFonts w:ascii="Avenir Next"/>
          <w:sz w:val="16"/>
        </w:rPr>
        <w:t>Under the original terms of</w:t>
      </w:r>
      <w:r>
        <w:rPr>
          <w:rFonts w:ascii="Avenir Next"/>
          <w:spacing w:val="3"/>
          <w:sz w:val="16"/>
        </w:rPr>
        <w:t xml:space="preserve"> </w:t>
      </w:r>
      <w:r>
        <w:rPr>
          <w:rFonts w:ascii="Avenir Next"/>
          <w:spacing w:val="-1"/>
          <w:sz w:val="16"/>
        </w:rPr>
        <w:t>reference</w:t>
      </w:r>
      <w:r>
        <w:rPr>
          <w:rFonts w:ascii="Avenir Next"/>
          <w:sz w:val="16"/>
        </w:rPr>
        <w:t xml:space="preserve"> </w:t>
      </w:r>
      <w:r>
        <w:rPr>
          <w:rFonts w:ascii="Avenir Next"/>
          <w:spacing w:val="-1"/>
          <w:sz w:val="16"/>
        </w:rPr>
        <w:t>there</w:t>
      </w:r>
      <w:r>
        <w:rPr>
          <w:rFonts w:ascii="Avenir Next"/>
          <w:sz w:val="16"/>
        </w:rPr>
        <w:t xml:space="preserve"> is a </w:t>
      </w:r>
      <w:r>
        <w:rPr>
          <w:rFonts w:ascii="Avenir Next"/>
          <w:spacing w:val="-1"/>
          <w:sz w:val="16"/>
        </w:rPr>
        <w:t>requirement</w:t>
      </w:r>
      <w:r>
        <w:rPr>
          <w:rFonts w:ascii="Avenir Next"/>
          <w:sz w:val="16"/>
        </w:rPr>
        <w:t xml:space="preserve"> to consider the impact of</w:t>
      </w:r>
      <w:r>
        <w:rPr>
          <w:rFonts w:ascii="Avenir Next"/>
          <w:spacing w:val="3"/>
          <w:sz w:val="16"/>
        </w:rPr>
        <w:t xml:space="preserve"> </w:t>
      </w:r>
      <w:r>
        <w:rPr>
          <w:rFonts w:ascii="Avenir Next"/>
          <w:sz w:val="16"/>
        </w:rPr>
        <w:t xml:space="preserve">a price on carbon on the </w:t>
      </w:r>
      <w:r>
        <w:rPr>
          <w:rFonts w:ascii="Avenir Next"/>
          <w:spacing w:val="-1"/>
          <w:sz w:val="16"/>
        </w:rPr>
        <w:t>provision</w:t>
      </w:r>
      <w:r>
        <w:rPr>
          <w:rFonts w:ascii="Avenir Next"/>
          <w:spacing w:val="33"/>
          <w:sz w:val="16"/>
        </w:rPr>
        <w:t xml:space="preserve"> </w:t>
      </w:r>
      <w:r>
        <w:rPr>
          <w:rFonts w:ascii="Avenir Next"/>
          <w:sz w:val="16"/>
        </w:rPr>
        <w:t>of</w:t>
      </w:r>
      <w:r>
        <w:rPr>
          <w:rFonts w:ascii="Avenir Next"/>
          <w:spacing w:val="3"/>
          <w:sz w:val="16"/>
        </w:rPr>
        <w:t xml:space="preserve"> </w:t>
      </w:r>
      <w:r>
        <w:rPr>
          <w:rFonts w:ascii="Avenir Next"/>
          <w:spacing w:val="-1"/>
          <w:sz w:val="16"/>
        </w:rPr>
        <w:t>water</w:t>
      </w:r>
      <w:r>
        <w:rPr>
          <w:rFonts w:ascii="Avenir Next"/>
          <w:sz w:val="16"/>
        </w:rPr>
        <w:t xml:space="preserve"> and </w:t>
      </w:r>
      <w:r>
        <w:rPr>
          <w:rFonts w:ascii="Avenir Next"/>
          <w:spacing w:val="-1"/>
          <w:sz w:val="16"/>
        </w:rPr>
        <w:t>sewerage</w:t>
      </w:r>
      <w:r>
        <w:rPr>
          <w:rFonts w:ascii="Avenir Next"/>
          <w:sz w:val="16"/>
        </w:rPr>
        <w:t xml:space="preserve"> services.</w:t>
      </w:r>
    </w:p>
    <w:p w:rsidR="00D96B91" w:rsidRDefault="00C2656B">
      <w:pPr>
        <w:numPr>
          <w:ilvl w:val="0"/>
          <w:numId w:val="58"/>
        </w:numPr>
        <w:tabs>
          <w:tab w:val="left" w:pos="1758"/>
        </w:tabs>
        <w:spacing w:before="14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z w:val="16"/>
        </w:rPr>
        <w:t xml:space="preserve">email </w:t>
      </w:r>
      <w:r>
        <w:rPr>
          <w:rFonts w:ascii="Avenir Next"/>
          <w:spacing w:val="-1"/>
          <w:sz w:val="16"/>
        </w:rPr>
        <w:t>responses</w:t>
      </w:r>
      <w:r>
        <w:rPr>
          <w:rFonts w:ascii="Avenir Next"/>
          <w:sz w:val="16"/>
        </w:rPr>
        <w:t xml:space="preserve"> to questions,</w:t>
      </w:r>
      <w:r>
        <w:rPr>
          <w:rFonts w:ascii="Avenir Next"/>
          <w:spacing w:val="-5"/>
          <w:sz w:val="16"/>
        </w:rPr>
        <w:t xml:space="preserve"> </w:t>
      </w:r>
      <w:r>
        <w:rPr>
          <w:rFonts w:ascii="Avenir Next"/>
          <w:sz w:val="16"/>
        </w:rPr>
        <w:t>9 September 2014.</w:t>
      </w:r>
    </w:p>
    <w:p w:rsidR="00D96B91" w:rsidRDefault="00D96B91">
      <w:pPr>
        <w:rPr>
          <w:rFonts w:ascii="Avenir Next" w:eastAsia="Avenir Next" w:hAnsi="Avenir Next" w:cs="Avenir Next"/>
          <w:sz w:val="16"/>
          <w:szCs w:val="16"/>
        </w:rPr>
        <w:sectPr w:rsidR="00D96B91">
          <w:footerReference w:type="even" r:id="rId77"/>
          <w:footerReference w:type="default" r:id="rId78"/>
          <w:pgSz w:w="11910" w:h="16840"/>
          <w:pgMar w:top="1220" w:right="0" w:bottom="1020" w:left="0" w:header="0" w:footer="829" w:gutter="0"/>
          <w:pgNumType w:start="113"/>
          <w:cols w:space="720"/>
        </w:sectPr>
      </w:pPr>
    </w:p>
    <w:p w:rsidR="00D96B91" w:rsidRDefault="00C2656B">
      <w:pPr>
        <w:pStyle w:val="BodyText"/>
        <w:spacing w:before="21" w:line="260" w:lineRule="exact"/>
        <w:ind w:right="1313"/>
      </w:pPr>
      <w:bookmarkStart w:id="156" w:name="11._3_WAC_and_UNFT"/>
      <w:bookmarkStart w:id="157" w:name="_bookmark99"/>
      <w:bookmarkEnd w:id="156"/>
      <w:bookmarkEnd w:id="157"/>
      <w:r>
        <w:rPr>
          <w:spacing w:val="-2"/>
        </w:rPr>
        <w:t>The</w:t>
      </w:r>
      <w:r>
        <w:t xml:space="preserve"> </w:t>
      </w:r>
      <w:r>
        <w:rPr>
          <w:spacing w:val="-4"/>
        </w:rPr>
        <w:t>Panel’s</w:t>
      </w:r>
      <w:r>
        <w:t xml:space="preserve"> </w:t>
      </w:r>
      <w:r>
        <w:rPr>
          <w:spacing w:val="-2"/>
        </w:rPr>
        <w:t>draft</w:t>
      </w:r>
      <w:r>
        <w:t xml:space="preserve"> decision on </w:t>
      </w:r>
      <w:r>
        <w:rPr>
          <w:spacing w:val="-1"/>
        </w:rPr>
        <w:t>controllable</w:t>
      </w:r>
      <w:r>
        <w:t xml:space="preserve"> </w:t>
      </w:r>
      <w:r>
        <w:rPr>
          <w:spacing w:val="-1"/>
        </w:rPr>
        <w:t>operating</w:t>
      </w:r>
      <w:r>
        <w:t xml:space="preserve"> </w:t>
      </w:r>
      <w:r>
        <w:rPr>
          <w:spacing w:val="-1"/>
        </w:rPr>
        <w:t>expenditure</w:t>
      </w:r>
      <w:r>
        <w:t xml:space="preserve"> is set out in the table </w:t>
      </w:r>
      <w:r>
        <w:rPr>
          <w:spacing w:val="-2"/>
        </w:rPr>
        <w:t>below.</w:t>
      </w:r>
      <w:r>
        <w:rPr>
          <w:spacing w:val="-6"/>
        </w:rPr>
        <w:t xml:space="preserve"> </w:t>
      </w:r>
      <w:r>
        <w:t xml:space="preserve">It is </w:t>
      </w:r>
      <w:r>
        <w:rPr>
          <w:spacing w:val="-1"/>
        </w:rPr>
        <w:t>worth</w:t>
      </w:r>
      <w:r>
        <w:rPr>
          <w:spacing w:val="71"/>
        </w:rPr>
        <w:t xml:space="preserve"> </w:t>
      </w:r>
      <w:r>
        <w:rPr>
          <w:rFonts w:cs="Avenir Next"/>
        </w:rPr>
        <w:t xml:space="preserve">noting </w:t>
      </w:r>
      <w:r>
        <w:rPr>
          <w:rFonts w:cs="Avenir Next"/>
          <w:spacing w:val="-1"/>
        </w:rPr>
        <w:t>that</w:t>
      </w:r>
      <w:r>
        <w:rPr>
          <w:rFonts w:cs="Avenir Next"/>
        </w:rPr>
        <w:t xml:space="preserve"> </w:t>
      </w:r>
      <w:r>
        <w:rPr>
          <w:rFonts w:cs="Avenir Next"/>
          <w:spacing w:val="-3"/>
        </w:rPr>
        <w:t>Panel</w:t>
      </w:r>
      <w:r>
        <w:rPr>
          <w:rFonts w:cs="Avenir Next"/>
        </w:rPr>
        <w:t xml:space="preserve"> has not made any </w:t>
      </w:r>
      <w:r>
        <w:rPr>
          <w:rFonts w:cs="Avenir Next"/>
          <w:spacing w:val="-1"/>
        </w:rPr>
        <w:t>provision</w:t>
      </w:r>
      <w:r>
        <w:rPr>
          <w:rFonts w:cs="Avenir Next"/>
        </w:rPr>
        <w:t xml:space="preserve"> in this </w:t>
      </w:r>
      <w:r>
        <w:rPr>
          <w:rFonts w:cs="Avenir Next"/>
          <w:spacing w:val="-1"/>
        </w:rPr>
        <w:t>expenditure</w:t>
      </w:r>
      <w:r>
        <w:rPr>
          <w:rFonts w:cs="Avenir Next"/>
        </w:rPr>
        <w:t xml:space="preserve"> for the additional </w:t>
      </w:r>
      <w:r>
        <w:rPr>
          <w:rFonts w:cs="Avenir Next"/>
          <w:spacing w:val="-1"/>
        </w:rPr>
        <w:t>water</w:t>
      </w:r>
      <w:r>
        <w:rPr>
          <w:rFonts w:cs="Avenir Next"/>
        </w:rPr>
        <w:t xml:space="preserve"> </w:t>
      </w:r>
      <w:r>
        <w:rPr>
          <w:rFonts w:cs="Avenir Next"/>
          <w:spacing w:val="-1"/>
        </w:rPr>
        <w:t>treatment</w:t>
      </w:r>
      <w:r>
        <w:rPr>
          <w:rFonts w:cs="Avenir Next"/>
          <w:spacing w:val="35"/>
        </w:rPr>
        <w:t xml:space="preserve"> </w:t>
      </w:r>
      <w:r>
        <w:rPr>
          <w:rFonts w:cs="Avenir Next"/>
        </w:rPr>
        <w:t xml:space="preserve">costs </w:t>
      </w:r>
      <w:r>
        <w:rPr>
          <w:rFonts w:cs="Avenir Next"/>
          <w:spacing w:val="-1"/>
        </w:rPr>
        <w:t>associated</w:t>
      </w:r>
      <w:r>
        <w:rPr>
          <w:rFonts w:cs="Avenir Next"/>
        </w:rPr>
        <w:t xml:space="preserve"> with its decision to adopt higher </w:t>
      </w:r>
      <w:r>
        <w:rPr>
          <w:rFonts w:cs="Avenir Next"/>
          <w:spacing w:val="-1"/>
        </w:rPr>
        <w:t>water</w:t>
      </w:r>
      <w:r>
        <w:rPr>
          <w:rFonts w:cs="Avenir Next"/>
        </w:rPr>
        <w:t xml:space="preserve"> sales </w:t>
      </w:r>
      <w:r>
        <w:rPr>
          <w:rFonts w:cs="Avenir Next"/>
          <w:spacing w:val="-1"/>
        </w:rPr>
        <w:t>forecast</w:t>
      </w:r>
      <w:r>
        <w:rPr>
          <w:rFonts w:cs="Avenir Next"/>
        </w:rPr>
        <w:t xml:space="preserve"> because it does not have</w:t>
      </w:r>
      <w:r>
        <w:rPr>
          <w:rFonts w:cs="Avenir Next"/>
          <w:spacing w:val="27"/>
        </w:rPr>
        <w:t xml:space="preserve"> </w:t>
      </w:r>
      <w:r>
        <w:rPr>
          <w:spacing w:val="-1"/>
        </w:rPr>
        <w:t xml:space="preserve">sufficient information </w:t>
      </w:r>
      <w:r>
        <w:t>to</w:t>
      </w:r>
      <w:r>
        <w:rPr>
          <w:spacing w:val="-1"/>
        </w:rPr>
        <w:t xml:space="preserve"> make </w:t>
      </w:r>
      <w:r>
        <w:t>such</w:t>
      </w:r>
      <w:r>
        <w:rPr>
          <w:spacing w:val="-1"/>
        </w:rPr>
        <w:t xml:space="preserve"> </w:t>
      </w:r>
      <w:r>
        <w:t>an</w:t>
      </w:r>
      <w:r>
        <w:rPr>
          <w:spacing w:val="-1"/>
        </w:rPr>
        <w:t xml:space="preserve"> </w:t>
      </w:r>
      <w:r>
        <w:t>adjustment.</w:t>
      </w:r>
    </w:p>
    <w:p w:rsidR="00D96B91" w:rsidRDefault="00C2656B">
      <w:pPr>
        <w:spacing w:before="158"/>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11.7: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controllable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operating</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expenditure</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13"/>
        <w:gridCol w:w="1240"/>
        <w:gridCol w:w="1240"/>
        <w:gridCol w:w="1240"/>
        <w:gridCol w:w="1240"/>
        <w:gridCol w:w="1240"/>
      </w:tblGrid>
      <w:tr w:rsidR="00D96B91">
        <w:trPr>
          <w:trHeight w:hRule="exact" w:val="407"/>
        </w:trPr>
        <w:tc>
          <w:tcPr>
            <w:tcW w:w="32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62.75</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66.15</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66.91</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67.94</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70.32</w:t>
            </w:r>
          </w:p>
        </w:tc>
      </w:tr>
      <w:tr w:rsidR="00D96B91">
        <w:trPr>
          <w:trHeight w:hRule="exact" w:val="417"/>
        </w:trPr>
        <w:tc>
          <w:tcPr>
            <w:tcW w:w="321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Sewerage</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67.70</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69.29</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70.64</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73.33</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sz w:val="18"/>
              </w:rPr>
              <w:t>76.27</w:t>
            </w:r>
          </w:p>
        </w:tc>
      </w:tr>
      <w:tr w:rsidR="00D96B91">
        <w:trPr>
          <w:trHeight w:hRule="exact" w:val="407"/>
        </w:trPr>
        <w:tc>
          <w:tcPr>
            <w:tcW w:w="321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operating</w:t>
            </w:r>
            <w:r>
              <w:rPr>
                <w:rFonts w:ascii="Avenir Next Condensed"/>
                <w:b/>
                <w:sz w:val="18"/>
              </w:rPr>
              <w:t xml:space="preserve"> </w:t>
            </w:r>
            <w:r>
              <w:rPr>
                <w:rFonts w:ascii="Avenir Next Condensed"/>
                <w:b/>
                <w:spacing w:val="-1"/>
                <w:sz w:val="18"/>
              </w:rPr>
              <w:t>expenditure</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6"/>
              <w:rPr>
                <w:rFonts w:ascii="Avenir Next Condensed" w:eastAsia="Avenir Next Condensed" w:hAnsi="Avenir Next Condensed" w:cs="Avenir Next Condensed"/>
                <w:sz w:val="18"/>
                <w:szCs w:val="18"/>
              </w:rPr>
            </w:pPr>
            <w:r>
              <w:rPr>
                <w:rFonts w:ascii="Avenir Next Condensed"/>
                <w:sz w:val="18"/>
              </w:rPr>
              <w:t>130.46</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6"/>
              <w:rPr>
                <w:rFonts w:ascii="Avenir Next Condensed" w:eastAsia="Avenir Next Condensed" w:hAnsi="Avenir Next Condensed" w:cs="Avenir Next Condensed"/>
                <w:sz w:val="18"/>
                <w:szCs w:val="18"/>
              </w:rPr>
            </w:pPr>
            <w:r>
              <w:rPr>
                <w:rFonts w:ascii="Avenir Next Condensed"/>
                <w:sz w:val="18"/>
              </w:rPr>
              <w:t>135.44</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6"/>
              <w:rPr>
                <w:rFonts w:ascii="Avenir Next Condensed" w:eastAsia="Avenir Next Condensed" w:hAnsi="Avenir Next Condensed" w:cs="Avenir Next Condensed"/>
                <w:sz w:val="18"/>
                <w:szCs w:val="18"/>
              </w:rPr>
            </w:pPr>
            <w:r>
              <w:rPr>
                <w:rFonts w:ascii="Avenir Next Condensed"/>
                <w:sz w:val="18"/>
              </w:rPr>
              <w:t>137.69</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6"/>
              <w:rPr>
                <w:rFonts w:ascii="Avenir Next Condensed" w:eastAsia="Avenir Next Condensed" w:hAnsi="Avenir Next Condensed" w:cs="Avenir Next Condensed"/>
                <w:sz w:val="18"/>
                <w:szCs w:val="18"/>
              </w:rPr>
            </w:pPr>
            <w:r>
              <w:rPr>
                <w:rFonts w:ascii="Avenir Next Condensed"/>
                <w:sz w:val="18"/>
              </w:rPr>
              <w:t>141.42</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76"/>
              <w:rPr>
                <w:rFonts w:ascii="Avenir Next Condensed" w:eastAsia="Avenir Next Condensed" w:hAnsi="Avenir Next Condensed" w:cs="Avenir Next Condensed"/>
                <w:sz w:val="18"/>
                <w:szCs w:val="18"/>
              </w:rPr>
            </w:pPr>
            <w:r>
              <w:rPr>
                <w:rFonts w:ascii="Avenir Next Condensed"/>
                <w:sz w:val="18"/>
              </w:rPr>
              <w:t>146.75</w:t>
            </w:r>
          </w:p>
        </w:tc>
      </w:tr>
    </w:tbl>
    <w:p w:rsidR="00D96B91" w:rsidRDefault="00D96B91">
      <w:pPr>
        <w:spacing w:before="10"/>
        <w:rPr>
          <w:rFonts w:ascii="Avenir Next" w:eastAsia="Avenir Next" w:hAnsi="Avenir Next" w:cs="Avenir Next"/>
          <w:b/>
          <w:bCs/>
          <w:sz w:val="5"/>
          <w:szCs w:val="5"/>
        </w:rPr>
      </w:pPr>
    </w:p>
    <w:p w:rsidR="00D96B91" w:rsidRDefault="00C2656B">
      <w:pPr>
        <w:pStyle w:val="BodyText"/>
        <w:spacing w:before="46" w:line="250" w:lineRule="exact"/>
        <w:ind w:right="1283"/>
        <w:rPr>
          <w:rFonts w:cs="Avenir Next"/>
        </w:rPr>
      </w:pPr>
      <w:r>
        <w:rPr>
          <w:rFonts w:cs="Avenir Next"/>
          <w:spacing w:val="-1"/>
        </w:rPr>
        <w:t>In</w:t>
      </w:r>
      <w:r>
        <w:rPr>
          <w:rFonts w:cs="Avenir Next"/>
          <w:spacing w:val="-4"/>
        </w:rPr>
        <w:t xml:space="preserve"> </w:t>
      </w:r>
      <w:r>
        <w:rPr>
          <w:rFonts w:cs="Avenir Next"/>
          <w:spacing w:val="-3"/>
        </w:rPr>
        <w:t>relation</w:t>
      </w:r>
      <w:r>
        <w:rPr>
          <w:rFonts w:cs="Avenir Next"/>
          <w:spacing w:val="-4"/>
        </w:rPr>
        <w:t xml:space="preserve"> </w:t>
      </w:r>
      <w:r>
        <w:rPr>
          <w:rFonts w:cs="Avenir Next"/>
          <w:spacing w:val="-1"/>
        </w:rPr>
        <w:t>to</w:t>
      </w:r>
      <w:r>
        <w:rPr>
          <w:rFonts w:cs="Avenir Next"/>
          <w:spacing w:val="-4"/>
        </w:rPr>
        <w:t xml:space="preserve"> </w:t>
      </w:r>
      <w:r>
        <w:rPr>
          <w:rFonts w:cs="Avenir Next"/>
          <w:spacing w:val="-2"/>
        </w:rPr>
        <w:t>the</w:t>
      </w:r>
      <w:r>
        <w:rPr>
          <w:rFonts w:cs="Avenir Next"/>
          <w:spacing w:val="-4"/>
        </w:rPr>
        <w:t xml:space="preserve"> </w:t>
      </w:r>
      <w:r>
        <w:rPr>
          <w:rFonts w:cs="Avenir Next"/>
          <w:spacing w:val="-2"/>
        </w:rPr>
        <w:t>concerns</w:t>
      </w:r>
      <w:r>
        <w:rPr>
          <w:rFonts w:cs="Avenir Next"/>
          <w:spacing w:val="-4"/>
        </w:rPr>
        <w:t xml:space="preserve"> </w:t>
      </w:r>
      <w:r>
        <w:rPr>
          <w:rFonts w:cs="Avenir Next"/>
          <w:spacing w:val="-3"/>
        </w:rPr>
        <w:t>stakeholders</w:t>
      </w:r>
      <w:r>
        <w:rPr>
          <w:rFonts w:cs="Avenir Next"/>
          <w:spacing w:val="-4"/>
        </w:rPr>
        <w:t xml:space="preserve"> </w:t>
      </w:r>
      <w:r>
        <w:rPr>
          <w:rFonts w:cs="Avenir Next"/>
          <w:spacing w:val="-3"/>
        </w:rPr>
        <w:t>raised</w:t>
      </w:r>
      <w:r>
        <w:rPr>
          <w:rFonts w:cs="Avenir Next"/>
          <w:spacing w:val="-4"/>
        </w:rPr>
        <w:t xml:space="preserve"> </w:t>
      </w:r>
      <w:r>
        <w:rPr>
          <w:rFonts w:cs="Avenir Next"/>
          <w:spacing w:val="-2"/>
        </w:rPr>
        <w:t>about</w:t>
      </w:r>
      <w:r>
        <w:rPr>
          <w:rFonts w:cs="Avenir Next"/>
          <w:spacing w:val="-4"/>
        </w:rPr>
        <w:t xml:space="preserve"> </w:t>
      </w:r>
      <w:r>
        <w:rPr>
          <w:rFonts w:cs="Avenir Next"/>
          <w:spacing w:val="-2"/>
        </w:rPr>
        <w:t>the</w:t>
      </w:r>
      <w:r>
        <w:rPr>
          <w:rFonts w:cs="Avenir Next"/>
          <w:spacing w:val="-4"/>
        </w:rPr>
        <w:t xml:space="preserve"> </w:t>
      </w:r>
      <w:r>
        <w:rPr>
          <w:rFonts w:cs="Avenir Next"/>
          <w:spacing w:val="-3"/>
        </w:rPr>
        <w:t>transparency</w:t>
      </w:r>
      <w:r>
        <w:rPr>
          <w:rFonts w:cs="Avenir Next"/>
          <w:spacing w:val="-4"/>
        </w:rPr>
        <w:t xml:space="preserve"> </w:t>
      </w:r>
      <w:r>
        <w:rPr>
          <w:rFonts w:cs="Avenir Next"/>
          <w:spacing w:val="-1"/>
        </w:rPr>
        <w:t>of</w:t>
      </w:r>
      <w:r>
        <w:rPr>
          <w:rFonts w:cs="Avenir Next"/>
          <w:spacing w:val="-3"/>
        </w:rPr>
        <w:t xml:space="preserve"> </w:t>
      </w:r>
      <w:r>
        <w:rPr>
          <w:rFonts w:cs="Avenir Next"/>
          <w:spacing w:val="-4"/>
        </w:rPr>
        <w:t xml:space="preserve">ACTEW’s </w:t>
      </w:r>
      <w:r>
        <w:rPr>
          <w:rFonts w:cs="Avenir Next"/>
          <w:spacing w:val="-3"/>
        </w:rPr>
        <w:t>operating</w:t>
      </w:r>
      <w:r>
        <w:rPr>
          <w:rFonts w:cs="Avenir Next"/>
          <w:spacing w:val="-4"/>
        </w:rPr>
        <w:t xml:space="preserve"> </w:t>
      </w:r>
      <w:r>
        <w:rPr>
          <w:rFonts w:cs="Avenir Next"/>
          <w:spacing w:val="-3"/>
        </w:rPr>
        <w:t>expenditure,</w:t>
      </w:r>
      <w:r>
        <w:rPr>
          <w:rFonts w:cs="Avenir Next"/>
          <w:spacing w:val="98"/>
        </w:rPr>
        <w:t xml:space="preserve"> </w:t>
      </w:r>
      <w:r>
        <w:rPr>
          <w:rFonts w:cs="Avenir Next"/>
          <w:spacing w:val="-2"/>
        </w:rPr>
        <w:t>the</w:t>
      </w:r>
      <w:r>
        <w:rPr>
          <w:rFonts w:cs="Avenir Next"/>
          <w:spacing w:val="-4"/>
        </w:rPr>
        <w:t xml:space="preserve"> Panel </w:t>
      </w:r>
      <w:r>
        <w:rPr>
          <w:rFonts w:cs="Avenir Next"/>
          <w:spacing w:val="-2"/>
        </w:rPr>
        <w:t>notes</w:t>
      </w:r>
      <w:r>
        <w:rPr>
          <w:rFonts w:cs="Avenir Next"/>
          <w:spacing w:val="-4"/>
        </w:rPr>
        <w:t xml:space="preserve"> </w:t>
      </w:r>
      <w:r>
        <w:rPr>
          <w:rFonts w:cs="Avenir Next"/>
          <w:spacing w:val="-2"/>
        </w:rPr>
        <w:t>that,</w:t>
      </w:r>
      <w:r>
        <w:rPr>
          <w:rFonts w:cs="Avenir Next"/>
          <w:spacing w:val="-10"/>
        </w:rPr>
        <w:t xml:space="preserve"> </w:t>
      </w:r>
      <w:r>
        <w:rPr>
          <w:rFonts w:cs="Avenir Next"/>
          <w:spacing w:val="-1"/>
        </w:rPr>
        <w:t>as</w:t>
      </w:r>
      <w:r>
        <w:rPr>
          <w:rFonts w:cs="Avenir Next"/>
          <w:spacing w:val="-4"/>
        </w:rPr>
        <w:t xml:space="preserve"> </w:t>
      </w:r>
      <w:r>
        <w:rPr>
          <w:rFonts w:cs="Avenir Next"/>
          <w:spacing w:val="-2"/>
        </w:rPr>
        <w:t>section</w:t>
      </w:r>
      <w:r>
        <w:rPr>
          <w:rFonts w:cs="Avenir Next"/>
          <w:spacing w:val="-4"/>
        </w:rPr>
        <w:t xml:space="preserve"> </w:t>
      </w:r>
      <w:hyperlink w:anchor="_bookmark32" w:history="1">
        <w:r>
          <w:rPr>
            <w:spacing w:val="-2"/>
          </w:rPr>
          <w:t>6.3.3</w:t>
        </w:r>
      </w:hyperlink>
      <w:r>
        <w:rPr>
          <w:spacing w:val="-4"/>
        </w:rPr>
        <w:t xml:space="preserve"> </w:t>
      </w:r>
      <w:r>
        <w:rPr>
          <w:rFonts w:cs="Avenir Next"/>
          <w:spacing w:val="-2"/>
        </w:rPr>
        <w:t>discussed,</w:t>
      </w:r>
      <w:r>
        <w:rPr>
          <w:rFonts w:cs="Avenir Next"/>
          <w:spacing w:val="-10"/>
        </w:rPr>
        <w:t xml:space="preserve"> </w:t>
      </w:r>
      <w:r>
        <w:rPr>
          <w:rFonts w:cs="Avenir Next"/>
          <w:spacing w:val="-1"/>
        </w:rPr>
        <w:t>it</w:t>
      </w:r>
      <w:r>
        <w:rPr>
          <w:rFonts w:cs="Avenir Next"/>
          <w:spacing w:val="-4"/>
        </w:rPr>
        <w:t xml:space="preserve"> </w:t>
      </w:r>
      <w:r>
        <w:rPr>
          <w:rFonts w:cs="Avenir Next"/>
          <w:spacing w:val="-1"/>
        </w:rPr>
        <w:t>is</w:t>
      </w:r>
      <w:r>
        <w:rPr>
          <w:rFonts w:cs="Avenir Next"/>
          <w:spacing w:val="-4"/>
        </w:rPr>
        <w:t xml:space="preserve"> </w:t>
      </w:r>
      <w:r>
        <w:rPr>
          <w:rFonts w:cs="Avenir Next"/>
          <w:spacing w:val="-3"/>
        </w:rPr>
        <w:t>recommending</w:t>
      </w:r>
      <w:r>
        <w:rPr>
          <w:rFonts w:cs="Avenir Next"/>
          <w:spacing w:val="-4"/>
        </w:rPr>
        <w:t xml:space="preserve"> </w:t>
      </w:r>
      <w:r>
        <w:rPr>
          <w:rFonts w:cs="Avenir Next"/>
          <w:spacing w:val="-2"/>
        </w:rPr>
        <w:t>that</w:t>
      </w:r>
      <w:r>
        <w:rPr>
          <w:rFonts w:cs="Avenir Next"/>
          <w:spacing w:val="-8"/>
        </w:rPr>
        <w:t xml:space="preserve"> </w:t>
      </w:r>
      <w:r>
        <w:rPr>
          <w:rFonts w:cs="Avenir Next"/>
          <w:spacing w:val="-3"/>
        </w:rPr>
        <w:t>ACTEW</w:t>
      </w:r>
      <w:r>
        <w:rPr>
          <w:rFonts w:cs="Avenir Next"/>
          <w:spacing w:val="-7"/>
        </w:rPr>
        <w:t xml:space="preserve"> </w:t>
      </w:r>
      <w:r>
        <w:rPr>
          <w:rFonts w:cs="Avenir Next"/>
          <w:spacing w:val="-1"/>
        </w:rPr>
        <w:t>be</w:t>
      </w:r>
      <w:r>
        <w:rPr>
          <w:rFonts w:cs="Avenir Next"/>
          <w:spacing w:val="-4"/>
        </w:rPr>
        <w:t xml:space="preserve"> </w:t>
      </w:r>
      <w:r>
        <w:rPr>
          <w:rFonts w:cs="Avenir Next"/>
          <w:spacing w:val="-3"/>
        </w:rPr>
        <w:t>required</w:t>
      </w:r>
      <w:r>
        <w:rPr>
          <w:rFonts w:cs="Avenir Next"/>
          <w:spacing w:val="-4"/>
        </w:rPr>
        <w:t xml:space="preserve"> </w:t>
      </w:r>
      <w:r>
        <w:rPr>
          <w:rFonts w:cs="Avenir Next"/>
          <w:spacing w:val="-1"/>
        </w:rPr>
        <w:t>to</w:t>
      </w:r>
      <w:r>
        <w:rPr>
          <w:rFonts w:cs="Avenir Next"/>
          <w:spacing w:val="-4"/>
        </w:rPr>
        <w:t xml:space="preserve"> </w:t>
      </w:r>
      <w:r>
        <w:rPr>
          <w:rFonts w:cs="Avenir Next"/>
          <w:spacing w:val="-2"/>
        </w:rPr>
        <w:t>submit</w:t>
      </w:r>
    </w:p>
    <w:p w:rsidR="00D96B91" w:rsidRDefault="00C2656B">
      <w:pPr>
        <w:pStyle w:val="BodyText"/>
        <w:spacing w:line="262" w:lineRule="exact"/>
        <w:rPr>
          <w:rFonts w:cs="Avenir Next"/>
        </w:rPr>
      </w:pPr>
      <w:r>
        <w:t>a</w:t>
      </w:r>
      <w:r>
        <w:rPr>
          <w:spacing w:val="-4"/>
        </w:rPr>
        <w:t xml:space="preserve"> </w:t>
      </w:r>
      <w:r>
        <w:rPr>
          <w:spacing w:val="-3"/>
        </w:rPr>
        <w:t>report</w:t>
      </w:r>
      <w:r>
        <w:rPr>
          <w:spacing w:val="-4"/>
        </w:rPr>
        <w:t xml:space="preserve"> </w:t>
      </w:r>
      <w:r>
        <w:rPr>
          <w:spacing w:val="-1"/>
        </w:rPr>
        <w:t>to</w:t>
      </w:r>
      <w:r>
        <w:rPr>
          <w:spacing w:val="-4"/>
        </w:rPr>
        <w:t xml:space="preserve"> </w:t>
      </w:r>
      <w:r>
        <w:rPr>
          <w:spacing w:val="-2"/>
        </w:rPr>
        <w:t>the</w:t>
      </w:r>
      <w:r>
        <w:rPr>
          <w:spacing w:val="-4"/>
        </w:rPr>
        <w:t xml:space="preserve"> </w:t>
      </w:r>
      <w:r>
        <w:rPr>
          <w:spacing w:val="-2"/>
        </w:rPr>
        <w:t>ICRC</w:t>
      </w:r>
      <w:r>
        <w:rPr>
          <w:spacing w:val="-4"/>
        </w:rPr>
        <w:t xml:space="preserve"> </w:t>
      </w:r>
      <w:r>
        <w:rPr>
          <w:spacing w:val="-2"/>
        </w:rPr>
        <w:t>each</w:t>
      </w:r>
      <w:r>
        <w:rPr>
          <w:spacing w:val="-4"/>
        </w:rPr>
        <w:t xml:space="preserve"> year,</w:t>
      </w:r>
      <w:r>
        <w:rPr>
          <w:spacing w:val="-11"/>
        </w:rPr>
        <w:t xml:space="preserve"> </w:t>
      </w:r>
      <w:r>
        <w:rPr>
          <w:spacing w:val="-3"/>
        </w:rPr>
        <w:t>setting</w:t>
      </w:r>
      <w:r>
        <w:rPr>
          <w:spacing w:val="-4"/>
        </w:rPr>
        <w:t xml:space="preserve"> </w:t>
      </w:r>
      <w:r>
        <w:rPr>
          <w:spacing w:val="-2"/>
        </w:rPr>
        <w:t>out</w:t>
      </w:r>
      <w:r>
        <w:rPr>
          <w:spacing w:val="-4"/>
        </w:rPr>
        <w:t xml:space="preserve"> </w:t>
      </w:r>
      <w:r>
        <w:rPr>
          <w:spacing w:val="-2"/>
        </w:rPr>
        <w:t>its</w:t>
      </w:r>
      <w:r>
        <w:rPr>
          <w:spacing w:val="-4"/>
        </w:rPr>
        <w:t xml:space="preserve"> </w:t>
      </w:r>
      <w:r>
        <w:rPr>
          <w:spacing w:val="-2"/>
        </w:rPr>
        <w:t>actual</w:t>
      </w:r>
      <w:r>
        <w:rPr>
          <w:spacing w:val="-4"/>
        </w:rPr>
        <w:t xml:space="preserve"> </w:t>
      </w:r>
      <w:r>
        <w:rPr>
          <w:spacing w:val="-3"/>
        </w:rPr>
        <w:t>operating</w:t>
      </w:r>
      <w:r>
        <w:rPr>
          <w:spacing w:val="-4"/>
        </w:rPr>
        <w:t xml:space="preserve"> </w:t>
      </w:r>
      <w:r>
        <w:rPr>
          <w:spacing w:val="-2"/>
        </w:rPr>
        <w:t>and</w:t>
      </w:r>
      <w:r>
        <w:rPr>
          <w:spacing w:val="-4"/>
        </w:rPr>
        <w:t xml:space="preserve"> </w:t>
      </w:r>
      <w:r>
        <w:rPr>
          <w:spacing w:val="-2"/>
        </w:rPr>
        <w:t>capital</w:t>
      </w:r>
      <w:r>
        <w:rPr>
          <w:spacing w:val="-4"/>
        </w:rPr>
        <w:t xml:space="preserve"> </w:t>
      </w:r>
      <w:r>
        <w:rPr>
          <w:spacing w:val="-3"/>
        </w:rPr>
        <w:t>expenditure</w:t>
      </w:r>
      <w:r>
        <w:rPr>
          <w:spacing w:val="-4"/>
        </w:rPr>
        <w:t xml:space="preserve"> </w:t>
      </w:r>
      <w:r>
        <w:rPr>
          <w:spacing w:val="-1"/>
        </w:rPr>
        <w:t>in</w:t>
      </w:r>
      <w:r>
        <w:rPr>
          <w:spacing w:val="-4"/>
        </w:rPr>
        <w:t xml:space="preserve"> </w:t>
      </w:r>
      <w:r>
        <w:rPr>
          <w:spacing w:val="-2"/>
        </w:rPr>
        <w:t>the</w:t>
      </w:r>
      <w:r>
        <w:rPr>
          <w:spacing w:val="-4"/>
        </w:rPr>
        <w:t xml:space="preserve"> </w:t>
      </w:r>
      <w:r>
        <w:rPr>
          <w:spacing w:val="-3"/>
        </w:rPr>
        <w:t>previous</w:t>
      </w:r>
    </w:p>
    <w:p w:rsidR="00D96B91" w:rsidRDefault="00C77ECE" w:rsidP="00C77ECE">
      <w:pPr>
        <w:pStyle w:val="BodyText"/>
        <w:spacing w:line="262" w:lineRule="exact"/>
      </w:pPr>
      <w:r w:rsidRPr="00C77ECE">
        <w:rPr>
          <w:spacing w:val="-3"/>
        </w:rPr>
        <w:t xml:space="preserve">financial </w:t>
      </w:r>
      <w:r w:rsidR="00C2656B" w:rsidRPr="00C77ECE">
        <w:rPr>
          <w:spacing w:val="-3"/>
        </w:rPr>
        <w:t>year, and</w:t>
      </w:r>
      <w:r w:rsidR="00C2656B">
        <w:rPr>
          <w:spacing w:val="-4"/>
        </w:rPr>
        <w:t xml:space="preserve"> </w:t>
      </w:r>
      <w:r w:rsidR="00C2656B">
        <w:rPr>
          <w:spacing w:val="-2"/>
        </w:rPr>
        <w:t>explaining</w:t>
      </w:r>
      <w:r w:rsidR="00C2656B">
        <w:rPr>
          <w:spacing w:val="-4"/>
        </w:rPr>
        <w:t xml:space="preserve"> </w:t>
      </w:r>
      <w:r w:rsidR="00C2656B">
        <w:rPr>
          <w:spacing w:val="-2"/>
        </w:rPr>
        <w:t>any</w:t>
      </w:r>
      <w:r w:rsidR="00C2656B">
        <w:rPr>
          <w:spacing w:val="-4"/>
        </w:rPr>
        <w:t xml:space="preserve"> </w:t>
      </w:r>
      <w:r w:rsidR="00C2656B">
        <w:rPr>
          <w:spacing w:val="-2"/>
        </w:rPr>
        <w:t>major</w:t>
      </w:r>
      <w:r w:rsidR="00C2656B">
        <w:rPr>
          <w:spacing w:val="-4"/>
        </w:rPr>
        <w:t xml:space="preserve"> </w:t>
      </w:r>
      <w:r w:rsidR="00C2656B">
        <w:rPr>
          <w:spacing w:val="-2"/>
        </w:rPr>
        <w:t>deviation</w:t>
      </w:r>
      <w:r w:rsidR="00C2656B">
        <w:rPr>
          <w:spacing w:val="-4"/>
        </w:rPr>
        <w:t xml:space="preserve"> </w:t>
      </w:r>
      <w:r w:rsidR="00C2656B">
        <w:rPr>
          <w:spacing w:val="-3"/>
        </w:rPr>
        <w:t>from</w:t>
      </w:r>
      <w:r w:rsidR="00C2656B">
        <w:rPr>
          <w:spacing w:val="-4"/>
        </w:rPr>
        <w:t xml:space="preserve"> </w:t>
      </w:r>
      <w:r w:rsidR="00C2656B">
        <w:rPr>
          <w:spacing w:val="-2"/>
        </w:rPr>
        <w:t>the</w:t>
      </w:r>
      <w:r w:rsidR="00C2656B">
        <w:rPr>
          <w:spacing w:val="-4"/>
        </w:rPr>
        <w:t xml:space="preserve"> </w:t>
      </w:r>
      <w:r w:rsidR="00C2656B">
        <w:rPr>
          <w:spacing w:val="-3"/>
        </w:rPr>
        <w:t>expenditure</w:t>
      </w:r>
      <w:r w:rsidR="00C2656B">
        <w:rPr>
          <w:spacing w:val="-4"/>
        </w:rPr>
        <w:t xml:space="preserve"> </w:t>
      </w:r>
      <w:r w:rsidR="00C2656B">
        <w:rPr>
          <w:spacing w:val="-2"/>
        </w:rPr>
        <w:t>allowances</w:t>
      </w:r>
      <w:r w:rsidR="00C2656B">
        <w:rPr>
          <w:spacing w:val="-4"/>
        </w:rPr>
        <w:t xml:space="preserve"> </w:t>
      </w:r>
      <w:r w:rsidR="00C2656B">
        <w:rPr>
          <w:spacing w:val="-3"/>
        </w:rPr>
        <w:t>approved</w:t>
      </w:r>
      <w:r w:rsidR="00C2656B">
        <w:rPr>
          <w:spacing w:val="-4"/>
        </w:rPr>
        <w:t xml:space="preserve"> </w:t>
      </w:r>
      <w:r w:rsidR="00C2656B">
        <w:rPr>
          <w:spacing w:val="-1"/>
        </w:rPr>
        <w:t>in</w:t>
      </w:r>
      <w:r w:rsidR="00C2656B">
        <w:rPr>
          <w:spacing w:val="-4"/>
        </w:rPr>
        <w:t xml:space="preserve"> </w:t>
      </w:r>
      <w:r w:rsidR="00C2656B">
        <w:rPr>
          <w:spacing w:val="-2"/>
        </w:rPr>
        <w:t>the</w:t>
      </w:r>
      <w:r w:rsidR="00C2656B">
        <w:rPr>
          <w:spacing w:val="-4"/>
        </w:rPr>
        <w:t xml:space="preserve"> </w:t>
      </w:r>
      <w:r w:rsidR="00C2656B">
        <w:rPr>
          <w:spacing w:val="-2"/>
        </w:rPr>
        <w:t>price</w:t>
      </w:r>
      <w:r w:rsidR="00C2656B">
        <w:rPr>
          <w:spacing w:val="56"/>
        </w:rPr>
        <w:t xml:space="preserve"> </w:t>
      </w:r>
      <w:r w:rsidR="00C2656B">
        <w:rPr>
          <w:spacing w:val="-3"/>
        </w:rPr>
        <w:t>direction.</w:t>
      </w:r>
      <w:r w:rsidR="00C2656B">
        <w:rPr>
          <w:spacing w:val="-15"/>
        </w:rPr>
        <w:t xml:space="preserve"> </w:t>
      </w:r>
      <w:r w:rsidR="00C2656B">
        <w:rPr>
          <w:spacing w:val="-3"/>
        </w:rPr>
        <w:t>This</w:t>
      </w:r>
      <w:r w:rsidR="00C2656B">
        <w:rPr>
          <w:spacing w:val="-4"/>
        </w:rPr>
        <w:t xml:space="preserve"> </w:t>
      </w:r>
      <w:r w:rsidR="00C2656B">
        <w:rPr>
          <w:spacing w:val="-3"/>
        </w:rPr>
        <w:t>reporting</w:t>
      </w:r>
      <w:r w:rsidR="00C2656B">
        <w:rPr>
          <w:spacing w:val="-4"/>
        </w:rPr>
        <w:t xml:space="preserve"> </w:t>
      </w:r>
      <w:r w:rsidR="00C2656B">
        <w:rPr>
          <w:spacing w:val="-3"/>
        </w:rPr>
        <w:t>requirement</w:t>
      </w:r>
      <w:r w:rsidR="00C2656B">
        <w:rPr>
          <w:spacing w:val="-4"/>
        </w:rPr>
        <w:t xml:space="preserve"> </w:t>
      </w:r>
      <w:r w:rsidR="00C2656B">
        <w:rPr>
          <w:spacing w:val="-2"/>
        </w:rPr>
        <w:t>would</w:t>
      </w:r>
      <w:r w:rsidR="00C2656B">
        <w:rPr>
          <w:spacing w:val="-4"/>
        </w:rPr>
        <w:t xml:space="preserve"> </w:t>
      </w:r>
      <w:r w:rsidR="00C2656B">
        <w:rPr>
          <w:spacing w:val="-3"/>
        </w:rPr>
        <w:t>increase</w:t>
      </w:r>
      <w:r w:rsidR="00C2656B">
        <w:rPr>
          <w:spacing w:val="-4"/>
        </w:rPr>
        <w:t xml:space="preserve"> </w:t>
      </w:r>
      <w:r w:rsidR="00C2656B">
        <w:rPr>
          <w:spacing w:val="-2"/>
        </w:rPr>
        <w:t>the</w:t>
      </w:r>
      <w:r w:rsidR="00C2656B">
        <w:rPr>
          <w:spacing w:val="-4"/>
        </w:rPr>
        <w:t xml:space="preserve"> </w:t>
      </w:r>
      <w:r w:rsidR="00C2656B">
        <w:rPr>
          <w:spacing w:val="-3"/>
        </w:rPr>
        <w:t>transparency</w:t>
      </w:r>
      <w:r w:rsidR="00C2656B">
        <w:rPr>
          <w:spacing w:val="-4"/>
        </w:rPr>
        <w:t xml:space="preserve"> </w:t>
      </w:r>
      <w:r w:rsidR="00C2656B">
        <w:rPr>
          <w:spacing w:val="-1"/>
        </w:rPr>
        <w:t>of</w:t>
      </w:r>
      <w:r w:rsidR="00C2656B">
        <w:rPr>
          <w:spacing w:val="-3"/>
        </w:rPr>
        <w:t xml:space="preserve"> </w:t>
      </w:r>
      <w:r w:rsidR="00C2656B">
        <w:rPr>
          <w:spacing w:val="-4"/>
        </w:rPr>
        <w:t xml:space="preserve">ACTEW’s </w:t>
      </w:r>
      <w:r w:rsidR="00C2656B">
        <w:rPr>
          <w:spacing w:val="-2"/>
        </w:rPr>
        <w:t>actual</w:t>
      </w:r>
      <w:r w:rsidR="00C2656B">
        <w:rPr>
          <w:spacing w:val="-4"/>
        </w:rPr>
        <w:t xml:space="preserve"> </w:t>
      </w:r>
      <w:r w:rsidR="00C2656B">
        <w:rPr>
          <w:spacing w:val="-3"/>
        </w:rPr>
        <w:t>expenditure.</w:t>
      </w:r>
    </w:p>
    <w:p w:rsidR="00D96B91" w:rsidRDefault="00C2656B">
      <w:pPr>
        <w:pStyle w:val="BodyText"/>
        <w:spacing w:before="167" w:line="222" w:lineRule="auto"/>
        <w:ind w:right="1283"/>
      </w:pPr>
      <w:r>
        <w:t>In addition,</w:t>
      </w:r>
      <w:r>
        <w:rPr>
          <w:spacing w:val="-7"/>
        </w:rPr>
        <w:t xml:space="preserve"> </w:t>
      </w:r>
      <w:r>
        <w:t xml:space="preserve">the </w:t>
      </w:r>
      <w:r>
        <w:rPr>
          <w:spacing w:val="-3"/>
        </w:rPr>
        <w:t>Panel</w:t>
      </w:r>
      <w:r>
        <w:t xml:space="preserve"> is mindful </w:t>
      </w:r>
      <w:r>
        <w:rPr>
          <w:spacing w:val="-1"/>
        </w:rPr>
        <w:t>that</w:t>
      </w:r>
      <w:r>
        <w:t xml:space="preserve"> the </w:t>
      </w:r>
      <w:r>
        <w:rPr>
          <w:spacing w:val="-1"/>
        </w:rPr>
        <w:t>regulatory</w:t>
      </w:r>
      <w:r>
        <w:t xml:space="preserve"> </w:t>
      </w:r>
      <w:r>
        <w:rPr>
          <w:spacing w:val="-1"/>
        </w:rPr>
        <w:t>framework</w:t>
      </w:r>
      <w:r>
        <w:t xml:space="preserve"> applying to</w:t>
      </w:r>
      <w:r>
        <w:rPr>
          <w:spacing w:val="-4"/>
        </w:rPr>
        <w:t xml:space="preserve"> </w:t>
      </w:r>
      <w:r>
        <w:rPr>
          <w:spacing w:val="-2"/>
        </w:rPr>
        <w:t>ACTEW</w:t>
      </w:r>
      <w:r>
        <w:rPr>
          <w:spacing w:val="-3"/>
        </w:rPr>
        <w:t xml:space="preserve"> </w:t>
      </w:r>
      <w:r>
        <w:t xml:space="preserve">should </w:t>
      </w:r>
      <w:r>
        <w:rPr>
          <w:spacing w:val="-1"/>
        </w:rPr>
        <w:t>provide</w:t>
      </w:r>
      <w:r>
        <w:rPr>
          <w:spacing w:val="41"/>
        </w:rPr>
        <w:t xml:space="preserve"> </w:t>
      </w:r>
      <w:r>
        <w:rPr>
          <w:spacing w:val="-1"/>
        </w:rPr>
        <w:t xml:space="preserve">sufficient </w:t>
      </w:r>
      <w:r>
        <w:t>incentives</w:t>
      </w:r>
      <w:r>
        <w:rPr>
          <w:spacing w:val="-1"/>
        </w:rPr>
        <w:t xml:space="preserve"> </w:t>
      </w:r>
      <w:r>
        <w:t>for</w:t>
      </w:r>
      <w:r>
        <w:rPr>
          <w:spacing w:val="-1"/>
        </w:rPr>
        <w:t xml:space="preserve"> </w:t>
      </w:r>
      <w:r>
        <w:t>it</w:t>
      </w:r>
      <w:r>
        <w:rPr>
          <w:spacing w:val="-1"/>
        </w:rPr>
        <w:t xml:space="preserve"> </w:t>
      </w:r>
      <w:r>
        <w:t xml:space="preserve">to </w:t>
      </w:r>
      <w:r>
        <w:rPr>
          <w:spacing w:val="-1"/>
        </w:rPr>
        <w:t xml:space="preserve">improve </w:t>
      </w:r>
      <w:r>
        <w:t>the</w:t>
      </w:r>
      <w:r>
        <w:rPr>
          <w:spacing w:val="-1"/>
        </w:rPr>
        <w:t xml:space="preserve"> efficiency </w:t>
      </w:r>
      <w:r>
        <w:t>of</w:t>
      </w:r>
      <w:r>
        <w:rPr>
          <w:spacing w:val="3"/>
        </w:rPr>
        <w:t xml:space="preserve"> </w:t>
      </w:r>
      <w:r>
        <w:t xml:space="preserve">its </w:t>
      </w:r>
      <w:r>
        <w:rPr>
          <w:spacing w:val="-1"/>
        </w:rPr>
        <w:t xml:space="preserve">operating </w:t>
      </w:r>
      <w:r>
        <w:t>and</w:t>
      </w:r>
      <w:r>
        <w:rPr>
          <w:spacing w:val="-1"/>
        </w:rPr>
        <w:t xml:space="preserve"> </w:t>
      </w:r>
      <w:r>
        <w:t>capital</w:t>
      </w:r>
      <w:r>
        <w:rPr>
          <w:spacing w:val="-1"/>
        </w:rPr>
        <w:t xml:space="preserve"> expenditure,</w:t>
      </w:r>
      <w:r>
        <w:rPr>
          <w:spacing w:val="-6"/>
        </w:rPr>
        <w:t xml:space="preserve"> </w:t>
      </w:r>
      <w:r>
        <w:t>so</w:t>
      </w:r>
      <w:r>
        <w:rPr>
          <w:spacing w:val="-1"/>
        </w:rPr>
        <w:t xml:space="preserve"> </w:t>
      </w:r>
      <w:r>
        <w:t>it</w:t>
      </w:r>
      <w:r>
        <w:rPr>
          <w:spacing w:val="-1"/>
        </w:rPr>
        <w:t xml:space="preserve"> </w:t>
      </w:r>
      <w:r>
        <w:t>intends</w:t>
      </w:r>
      <w:r>
        <w:rPr>
          <w:spacing w:val="51"/>
        </w:rPr>
        <w:t xml:space="preserve"> </w:t>
      </w:r>
      <w:r>
        <w:t xml:space="preserve">to suggest to the ICRC </w:t>
      </w:r>
      <w:r>
        <w:rPr>
          <w:spacing w:val="-1"/>
        </w:rPr>
        <w:t>that</w:t>
      </w:r>
      <w:r>
        <w:t xml:space="preserve"> it </w:t>
      </w:r>
      <w:r>
        <w:rPr>
          <w:spacing w:val="-1"/>
        </w:rPr>
        <w:t>investigate</w:t>
      </w:r>
      <w:r>
        <w:t xml:space="preserve"> the potential use of</w:t>
      </w:r>
      <w:r>
        <w:rPr>
          <w:spacing w:val="4"/>
        </w:rPr>
        <w:t xml:space="preserve"> </w:t>
      </w:r>
      <w:r>
        <w:t xml:space="preserve">an </w:t>
      </w:r>
      <w:r>
        <w:rPr>
          <w:spacing w:val="-1"/>
        </w:rPr>
        <w:t>operating</w:t>
      </w:r>
      <w:r>
        <w:t xml:space="preserve"> and capital </w:t>
      </w:r>
      <w:r>
        <w:rPr>
          <w:spacing w:val="-1"/>
        </w:rPr>
        <w:t>expenditure</w:t>
      </w:r>
      <w:r>
        <w:rPr>
          <w:spacing w:val="37"/>
        </w:rPr>
        <w:t xml:space="preserve"> </w:t>
      </w:r>
      <w:r>
        <w:t xml:space="preserve">incentive scheme in the </w:t>
      </w:r>
      <w:r>
        <w:rPr>
          <w:spacing w:val="-1"/>
        </w:rPr>
        <w:t>next</w:t>
      </w:r>
      <w:r>
        <w:t xml:space="preserve"> </w:t>
      </w:r>
      <w:r>
        <w:rPr>
          <w:spacing w:val="-1"/>
        </w:rPr>
        <w:t>regulatory</w:t>
      </w:r>
      <w:r>
        <w:t xml:space="preserve"> period (see section </w:t>
      </w:r>
      <w:hyperlink w:anchor="_bookmark32" w:history="1">
        <w:r>
          <w:t>6.3.3</w:t>
        </w:r>
      </w:hyperlink>
      <w:r>
        <w:t>).</w:t>
      </w:r>
    </w:p>
    <w:p w:rsidR="00D96B91" w:rsidRDefault="00D96B91">
      <w:pPr>
        <w:spacing w:before="7"/>
        <w:rPr>
          <w:rFonts w:ascii="Avenir Next" w:eastAsia="Avenir Next" w:hAnsi="Avenir Next" w:cs="Avenir Next"/>
          <w:sz w:val="28"/>
          <w:szCs w:val="28"/>
        </w:rPr>
      </w:pPr>
    </w:p>
    <w:p w:rsidR="00D96B91" w:rsidRDefault="00C2656B">
      <w:pPr>
        <w:pStyle w:val="Heading4"/>
        <w:numPr>
          <w:ilvl w:val="0"/>
          <w:numId w:val="57"/>
        </w:numPr>
        <w:tabs>
          <w:tab w:val="left" w:pos="1749"/>
        </w:tabs>
      </w:pPr>
      <w:r>
        <w:rPr>
          <w:color w:val="0778BE"/>
        </w:rPr>
        <w:t>3</w:t>
      </w:r>
      <w:r>
        <w:rPr>
          <w:color w:val="0778BE"/>
          <w:spacing w:val="39"/>
        </w:rPr>
        <w:t xml:space="preserve"> </w:t>
      </w:r>
      <w:r>
        <w:rPr>
          <w:color w:val="0778BE"/>
          <w:spacing w:val="-4"/>
        </w:rPr>
        <w:t>WAC</w:t>
      </w:r>
      <w:r>
        <w:rPr>
          <w:color w:val="0778BE"/>
        </w:rPr>
        <w:t xml:space="preserve"> and UNFT</w:t>
      </w:r>
    </w:p>
    <w:p w:rsidR="00D96B91" w:rsidRDefault="00C2656B">
      <w:pPr>
        <w:pStyle w:val="BodyText"/>
        <w:spacing w:before="55" w:line="260" w:lineRule="exact"/>
        <w:ind w:right="1256"/>
      </w:pPr>
      <w:r>
        <w:rPr>
          <w:rFonts w:cs="Avenir Next"/>
          <w:spacing w:val="-2"/>
        </w:rPr>
        <w:t>The</w:t>
      </w:r>
      <w:r>
        <w:rPr>
          <w:rFonts w:cs="Avenir Next"/>
          <w:spacing w:val="-3"/>
        </w:rPr>
        <w:t xml:space="preserve"> WAC</w:t>
      </w:r>
      <w:r>
        <w:rPr>
          <w:rFonts w:cs="Avenir Next"/>
        </w:rPr>
        <w:t xml:space="preserve"> is a ‘$ per </w:t>
      </w:r>
      <w:r>
        <w:rPr>
          <w:rFonts w:cs="Avenir Next"/>
          <w:spacing w:val="-5"/>
        </w:rPr>
        <w:t>kL’</w:t>
      </w:r>
      <w:r>
        <w:rPr>
          <w:rFonts w:cs="Avenir Next"/>
        </w:rPr>
        <w:t xml:space="preserve"> </w:t>
      </w:r>
      <w:r>
        <w:rPr>
          <w:rFonts w:cs="Avenir Next"/>
          <w:spacing w:val="-1"/>
        </w:rPr>
        <w:t>charge</w:t>
      </w:r>
      <w:r>
        <w:rPr>
          <w:rFonts w:cs="Avenir Next"/>
        </w:rPr>
        <w:t xml:space="preserve"> levied by the</w:t>
      </w:r>
      <w:r>
        <w:rPr>
          <w:rFonts w:cs="Avenir Next"/>
          <w:spacing w:val="-4"/>
        </w:rPr>
        <w:t xml:space="preserve"> </w:t>
      </w:r>
      <w:r>
        <w:rPr>
          <w:rFonts w:cs="Avenir Next"/>
          <w:spacing w:val="-2"/>
        </w:rPr>
        <w:t>ACT</w:t>
      </w:r>
      <w:r>
        <w:rPr>
          <w:rFonts w:cs="Avenir Next"/>
          <w:spacing w:val="-5"/>
        </w:rPr>
        <w:t xml:space="preserve"> </w:t>
      </w:r>
      <w:r>
        <w:rPr>
          <w:rFonts w:cs="Avenir Next"/>
        </w:rPr>
        <w:t xml:space="preserve">Government on all </w:t>
      </w:r>
      <w:r>
        <w:rPr>
          <w:rFonts w:cs="Avenir Next"/>
          <w:spacing w:val="-1"/>
        </w:rPr>
        <w:t>water</w:t>
      </w:r>
      <w:r>
        <w:rPr>
          <w:rFonts w:cs="Avenir Next"/>
        </w:rPr>
        <w:t xml:space="preserve"> </w:t>
      </w:r>
      <w:r>
        <w:rPr>
          <w:rFonts w:cs="Avenir Next"/>
          <w:spacing w:val="-1"/>
        </w:rPr>
        <w:t>abstracted</w:t>
      </w:r>
      <w:r>
        <w:rPr>
          <w:rFonts w:cs="Avenir Next"/>
        </w:rPr>
        <w:t xml:space="preserve"> </w:t>
      </w:r>
      <w:r>
        <w:rPr>
          <w:rFonts w:cs="Avenir Next"/>
          <w:spacing w:val="-1"/>
        </w:rPr>
        <w:t>from</w:t>
      </w:r>
      <w:r>
        <w:rPr>
          <w:rFonts w:cs="Avenir Next"/>
          <w:spacing w:val="-4"/>
        </w:rPr>
        <w:t xml:space="preserve"> </w:t>
      </w:r>
      <w:r>
        <w:rPr>
          <w:rFonts w:cs="Avenir Next"/>
          <w:spacing w:val="-2"/>
        </w:rPr>
        <w:t>ACT</w:t>
      </w:r>
      <w:r>
        <w:rPr>
          <w:rFonts w:cs="Avenir Next"/>
          <w:spacing w:val="-5"/>
        </w:rPr>
        <w:t xml:space="preserve"> </w:t>
      </w:r>
      <w:r>
        <w:rPr>
          <w:rFonts w:cs="Avenir Next"/>
          <w:spacing w:val="-1"/>
        </w:rPr>
        <w:t>water</w:t>
      </w:r>
      <w:r>
        <w:rPr>
          <w:rFonts w:cs="Avenir Next"/>
          <w:spacing w:val="37"/>
        </w:rPr>
        <w:t xml:space="preserve"> </w:t>
      </w:r>
      <w:r>
        <w:rPr>
          <w:spacing w:val="-1"/>
        </w:rPr>
        <w:t>sources.</w:t>
      </w:r>
      <w:r>
        <w:rPr>
          <w:spacing w:val="-6"/>
        </w:rPr>
        <w:t xml:space="preserve"> </w:t>
      </w:r>
      <w:r>
        <w:t>It is applied to meet the costs of</w:t>
      </w:r>
      <w:r>
        <w:rPr>
          <w:spacing w:val="4"/>
        </w:rPr>
        <w:t xml:space="preserve"> </w:t>
      </w:r>
      <w:r>
        <w:t xml:space="preserve">a </w:t>
      </w:r>
      <w:r>
        <w:rPr>
          <w:spacing w:val="-1"/>
        </w:rPr>
        <w:t>range</w:t>
      </w:r>
      <w:r>
        <w:t xml:space="preserve"> of</w:t>
      </w:r>
      <w:r>
        <w:rPr>
          <w:spacing w:val="4"/>
        </w:rPr>
        <w:t xml:space="preserve"> </w:t>
      </w:r>
      <w:r>
        <w:rPr>
          <w:spacing w:val="-1"/>
        </w:rPr>
        <w:t>water</w:t>
      </w:r>
      <w:r>
        <w:t xml:space="preserve"> planning and management activities </w:t>
      </w:r>
      <w:r>
        <w:rPr>
          <w:spacing w:val="-1"/>
        </w:rPr>
        <w:t>across</w:t>
      </w:r>
    </w:p>
    <w:p w:rsidR="00D96B91" w:rsidRDefault="00C2656B">
      <w:pPr>
        <w:pStyle w:val="BodyText"/>
        <w:spacing w:line="260" w:lineRule="exact"/>
        <w:ind w:right="1283"/>
      </w:pPr>
      <w:r>
        <w:t>a</w:t>
      </w:r>
      <w:r>
        <w:rPr>
          <w:spacing w:val="-1"/>
        </w:rPr>
        <w:t xml:space="preserve"> </w:t>
      </w:r>
      <w:r>
        <w:t xml:space="preserve">number of </w:t>
      </w:r>
      <w:r>
        <w:rPr>
          <w:spacing w:val="-2"/>
        </w:rPr>
        <w:t>ACT</w:t>
      </w:r>
      <w:r>
        <w:rPr>
          <w:spacing w:val="-5"/>
        </w:rPr>
        <w:t xml:space="preserve"> </w:t>
      </w:r>
      <w:r>
        <w:t>Government agencies.</w:t>
      </w:r>
      <w:r>
        <w:rPr>
          <w:spacing w:val="-7"/>
        </w:rPr>
        <w:t xml:space="preserve"> </w:t>
      </w:r>
      <w:r>
        <w:t>In addition,</w:t>
      </w:r>
      <w:r>
        <w:rPr>
          <w:spacing w:val="-6"/>
        </w:rPr>
        <w:t xml:space="preserve"> </w:t>
      </w:r>
      <w:r>
        <w:t>the</w:t>
      </w:r>
      <w:r>
        <w:rPr>
          <w:spacing w:val="-4"/>
        </w:rPr>
        <w:t xml:space="preserve"> </w:t>
      </w:r>
      <w:r>
        <w:rPr>
          <w:spacing w:val="-3"/>
        </w:rPr>
        <w:t>WAC</w:t>
      </w:r>
      <w:r>
        <w:t xml:space="preserve"> includes components</w:t>
      </w:r>
      <w:r>
        <w:rPr>
          <w:spacing w:val="-1"/>
        </w:rPr>
        <w:t xml:space="preserve"> </w:t>
      </w:r>
      <w:r>
        <w:t xml:space="preserve">intended to </w:t>
      </w:r>
      <w:r>
        <w:rPr>
          <w:spacing w:val="-1"/>
        </w:rPr>
        <w:t>reflect</w:t>
      </w:r>
      <w:r>
        <w:rPr>
          <w:spacing w:val="26"/>
          <w:w w:val="99"/>
        </w:rPr>
        <w:t xml:space="preserve"> </w:t>
      </w:r>
      <w:r>
        <w:t xml:space="preserve">the </w:t>
      </w:r>
      <w:r>
        <w:rPr>
          <w:spacing w:val="-1"/>
        </w:rPr>
        <w:t>scarcity</w:t>
      </w:r>
      <w:r>
        <w:rPr>
          <w:spacing w:val="1"/>
        </w:rPr>
        <w:t xml:space="preserve"> </w:t>
      </w:r>
      <w:r>
        <w:t>value</w:t>
      </w:r>
      <w:r>
        <w:rPr>
          <w:spacing w:val="1"/>
        </w:rPr>
        <w:t xml:space="preserve"> </w:t>
      </w:r>
      <w:r>
        <w:t>of</w:t>
      </w:r>
      <w:r>
        <w:rPr>
          <w:spacing w:val="5"/>
        </w:rPr>
        <w:t xml:space="preserve"> </w:t>
      </w:r>
      <w:r>
        <w:rPr>
          <w:spacing w:val="-1"/>
        </w:rPr>
        <w:t>water</w:t>
      </w:r>
      <w:r>
        <w:rPr>
          <w:spacing w:val="1"/>
        </w:rPr>
        <w:t xml:space="preserve"> </w:t>
      </w:r>
      <w:r>
        <w:t>and</w:t>
      </w:r>
      <w:r>
        <w:rPr>
          <w:spacing w:val="1"/>
        </w:rPr>
        <w:t xml:space="preserve"> </w:t>
      </w:r>
      <w:r>
        <w:rPr>
          <w:spacing w:val="-1"/>
        </w:rPr>
        <w:t>environmental</w:t>
      </w:r>
      <w:r>
        <w:rPr>
          <w:spacing w:val="1"/>
        </w:rPr>
        <w:t xml:space="preserve"> </w:t>
      </w:r>
      <w:r>
        <w:rPr>
          <w:spacing w:val="-1"/>
        </w:rPr>
        <w:t>costs.</w:t>
      </w:r>
      <w:r>
        <w:rPr>
          <w:spacing w:val="-1"/>
          <w:position w:val="7"/>
          <w:sz w:val="11"/>
        </w:rPr>
        <w:t>198</w:t>
      </w:r>
      <w:r>
        <w:rPr>
          <w:spacing w:val="18"/>
          <w:position w:val="7"/>
          <w:sz w:val="11"/>
        </w:rPr>
        <w:t xml:space="preserve"> </w:t>
      </w:r>
      <w:r>
        <w:rPr>
          <w:spacing w:val="-2"/>
        </w:rPr>
        <w:t>The</w:t>
      </w:r>
      <w:r>
        <w:rPr>
          <w:spacing w:val="1"/>
        </w:rPr>
        <w:t xml:space="preserve"> </w:t>
      </w:r>
      <w:r>
        <w:t>contributions</w:t>
      </w:r>
      <w:r>
        <w:rPr>
          <w:spacing w:val="1"/>
        </w:rPr>
        <w:t xml:space="preserve"> </w:t>
      </w:r>
      <w:r>
        <w:t>of</w:t>
      </w:r>
      <w:r>
        <w:rPr>
          <w:spacing w:val="5"/>
        </w:rPr>
        <w:t xml:space="preserve"> </w:t>
      </w:r>
      <w:r>
        <w:t>the</w:t>
      </w:r>
      <w:r>
        <w:rPr>
          <w:spacing w:val="1"/>
        </w:rPr>
        <w:t xml:space="preserve"> </w:t>
      </w:r>
      <w:r>
        <w:t>individual</w:t>
      </w:r>
      <w:r>
        <w:rPr>
          <w:spacing w:val="1"/>
        </w:rPr>
        <w:t xml:space="preserve"> </w:t>
      </w:r>
      <w:r>
        <w:t>components</w:t>
      </w:r>
      <w:r>
        <w:rPr>
          <w:spacing w:val="53"/>
        </w:rPr>
        <w:t xml:space="preserve"> </w:t>
      </w:r>
      <w:r>
        <w:t>to</w:t>
      </w:r>
      <w:r>
        <w:rPr>
          <w:spacing w:val="-2"/>
        </w:rPr>
        <w:t xml:space="preserve"> </w:t>
      </w:r>
      <w:r>
        <w:t>the</w:t>
      </w:r>
      <w:r>
        <w:rPr>
          <w:spacing w:val="-1"/>
        </w:rPr>
        <w:t xml:space="preserve"> </w:t>
      </w:r>
      <w:r>
        <w:t>total</w:t>
      </w:r>
      <w:r>
        <w:rPr>
          <w:spacing w:val="-4"/>
        </w:rPr>
        <w:t xml:space="preserve"> </w:t>
      </w:r>
      <w:r>
        <w:rPr>
          <w:spacing w:val="-3"/>
        </w:rPr>
        <w:t>WAC</w:t>
      </w:r>
      <w:r>
        <w:rPr>
          <w:spacing w:val="-2"/>
        </w:rPr>
        <w:t xml:space="preserve"> are</w:t>
      </w:r>
      <w:r>
        <w:rPr>
          <w:spacing w:val="-1"/>
        </w:rPr>
        <w:t xml:space="preserve"> </w:t>
      </w:r>
      <w:r>
        <w:t>not</w:t>
      </w:r>
      <w:r>
        <w:rPr>
          <w:spacing w:val="-1"/>
        </w:rPr>
        <w:t xml:space="preserve"> separately</w:t>
      </w:r>
      <w:r>
        <w:rPr>
          <w:spacing w:val="-2"/>
        </w:rPr>
        <w:t xml:space="preserve"> </w:t>
      </w:r>
      <w:r>
        <w:t>identified.</w:t>
      </w:r>
    </w:p>
    <w:p w:rsidR="00D96B91" w:rsidRDefault="00C2656B">
      <w:pPr>
        <w:pStyle w:val="BodyText"/>
        <w:spacing w:before="170" w:line="260" w:lineRule="exact"/>
        <w:ind w:right="1256"/>
        <w:rPr>
          <w:sz w:val="11"/>
          <w:szCs w:val="11"/>
        </w:rPr>
      </w:pPr>
      <w:r>
        <w:rPr>
          <w:spacing w:val="-2"/>
        </w:rPr>
        <w:t>The</w:t>
      </w:r>
      <w:r>
        <w:t xml:space="preserve"> UNFT</w:t>
      </w:r>
      <w:r>
        <w:rPr>
          <w:spacing w:val="-5"/>
        </w:rPr>
        <w:t xml:space="preserve"> </w:t>
      </w:r>
      <w:r>
        <w:t>is a ‘$ per km of</w:t>
      </w:r>
      <w:r>
        <w:rPr>
          <w:spacing w:val="4"/>
        </w:rPr>
        <w:t xml:space="preserve"> </w:t>
      </w:r>
      <w:r>
        <w:t xml:space="preserve">network length’ </w:t>
      </w:r>
      <w:r>
        <w:rPr>
          <w:spacing w:val="-1"/>
        </w:rPr>
        <w:t>charge</w:t>
      </w:r>
      <w:r>
        <w:t xml:space="preserve"> payable by any entity in the</w:t>
      </w:r>
      <w:r>
        <w:rPr>
          <w:spacing w:val="-4"/>
        </w:rPr>
        <w:t xml:space="preserve"> </w:t>
      </w:r>
      <w:r>
        <w:rPr>
          <w:spacing w:val="-6"/>
        </w:rPr>
        <w:t xml:space="preserve">ACT, </w:t>
      </w:r>
      <w:r>
        <w:t>either government</w:t>
      </w:r>
      <w:r>
        <w:rPr>
          <w:spacing w:val="27"/>
        </w:rPr>
        <w:t xml:space="preserve"> </w:t>
      </w:r>
      <w:r>
        <w:t>or</w:t>
      </w:r>
      <w:r>
        <w:rPr>
          <w:spacing w:val="1"/>
        </w:rPr>
        <w:t xml:space="preserve"> </w:t>
      </w:r>
      <w:r>
        <w:t>non-government</w:t>
      </w:r>
      <w:r>
        <w:rPr>
          <w:spacing w:val="1"/>
        </w:rPr>
        <w:t xml:space="preserve"> </w:t>
      </w:r>
      <w:r>
        <w:t>owned,</w:t>
      </w:r>
      <w:r>
        <w:rPr>
          <w:spacing w:val="-6"/>
        </w:rPr>
        <w:t xml:space="preserve"> </w:t>
      </w:r>
      <w:r>
        <w:t>which</w:t>
      </w:r>
      <w:r>
        <w:rPr>
          <w:spacing w:val="1"/>
        </w:rPr>
        <w:t xml:space="preserve"> </w:t>
      </w:r>
      <w:r>
        <w:t>has</w:t>
      </w:r>
      <w:r>
        <w:rPr>
          <w:spacing w:val="1"/>
        </w:rPr>
        <w:t xml:space="preserve"> </w:t>
      </w:r>
      <w:r>
        <w:t>network</w:t>
      </w:r>
      <w:r>
        <w:rPr>
          <w:spacing w:val="1"/>
        </w:rPr>
        <w:t xml:space="preserve"> </w:t>
      </w:r>
      <w:r>
        <w:t>facilities</w:t>
      </w:r>
      <w:r>
        <w:rPr>
          <w:spacing w:val="1"/>
        </w:rPr>
        <w:t xml:space="preserve"> </w:t>
      </w:r>
      <w:r>
        <w:t>in</w:t>
      </w:r>
      <w:r>
        <w:rPr>
          <w:spacing w:val="1"/>
        </w:rPr>
        <w:t xml:space="preserve"> </w:t>
      </w:r>
      <w:r>
        <w:t>the</w:t>
      </w:r>
      <w:r>
        <w:rPr>
          <w:spacing w:val="-3"/>
        </w:rPr>
        <w:t xml:space="preserve"> </w:t>
      </w:r>
      <w:r>
        <w:rPr>
          <w:spacing w:val="-4"/>
        </w:rPr>
        <w:t>ACT.</w:t>
      </w:r>
      <w:r>
        <w:rPr>
          <w:spacing w:val="-4"/>
          <w:position w:val="7"/>
          <w:sz w:val="11"/>
          <w:szCs w:val="11"/>
        </w:rPr>
        <w:t>199</w:t>
      </w:r>
    </w:p>
    <w:p w:rsidR="00D96B91" w:rsidRDefault="00C2656B">
      <w:pPr>
        <w:pStyle w:val="BodyText"/>
        <w:spacing w:before="170" w:line="260" w:lineRule="exact"/>
        <w:ind w:right="1356"/>
      </w:pPr>
      <w:r>
        <w:rPr>
          <w:spacing w:val="-2"/>
        </w:rPr>
        <w:t>ACTEW</w:t>
      </w:r>
      <w:r>
        <w:rPr>
          <w:spacing w:val="-3"/>
        </w:rPr>
        <w:t xml:space="preserve"> </w:t>
      </w:r>
      <w:r>
        <w:t xml:space="preserve">is </w:t>
      </w:r>
      <w:r>
        <w:rPr>
          <w:spacing w:val="-1"/>
        </w:rPr>
        <w:t>required</w:t>
      </w:r>
      <w:r>
        <w:t xml:space="preserve"> to pay both the</w:t>
      </w:r>
      <w:r>
        <w:rPr>
          <w:spacing w:val="-3"/>
        </w:rPr>
        <w:t xml:space="preserve"> WAC</w:t>
      </w:r>
      <w:r>
        <w:t xml:space="preserve"> and the UNFT</w:t>
      </w:r>
      <w:r>
        <w:rPr>
          <w:spacing w:val="-5"/>
        </w:rPr>
        <w:t xml:space="preserve"> </w:t>
      </w:r>
      <w:r>
        <w:t>and incurs both of</w:t>
      </w:r>
      <w:r>
        <w:rPr>
          <w:spacing w:val="4"/>
        </w:rPr>
        <w:t xml:space="preserve"> </w:t>
      </w:r>
      <w:r>
        <w:t xml:space="preserve">these </w:t>
      </w:r>
      <w:r>
        <w:rPr>
          <w:spacing w:val="-1"/>
        </w:rPr>
        <w:t>uncontrollable</w:t>
      </w:r>
      <w:r>
        <w:t xml:space="preserve"> costs</w:t>
      </w:r>
      <w:r>
        <w:rPr>
          <w:spacing w:val="33"/>
        </w:rPr>
        <w:t xml:space="preserve"> </w:t>
      </w:r>
      <w:r>
        <w:t>on an annual basis.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56"/>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 and</w:t>
      </w:r>
      <w:r>
        <w:rPr>
          <w:rFonts w:cs="Avenir Next Medium"/>
          <w:color w:val="0778BE"/>
          <w:spacing w:val="-5"/>
        </w:rPr>
        <w:t xml:space="preserve"> </w:t>
      </w:r>
      <w:r>
        <w:rPr>
          <w:rFonts w:cs="Avenir Next Medium"/>
          <w:color w:val="0778BE"/>
          <w:spacing w:val="-3"/>
        </w:rPr>
        <w:t>ACTEW’s</w:t>
      </w:r>
      <w:r>
        <w:rPr>
          <w:rFonts w:cs="Avenir Next Medium"/>
          <w:color w:val="0778BE"/>
        </w:rPr>
        <w:t xml:space="preserve"> SOFC</w:t>
      </w:r>
    </w:p>
    <w:p w:rsidR="00D96B91" w:rsidRDefault="00C2656B">
      <w:pPr>
        <w:pStyle w:val="BodyText"/>
        <w:spacing w:before="21" w:line="260" w:lineRule="exact"/>
        <w:ind w:right="1246"/>
      </w:pPr>
      <w:r>
        <w:rPr>
          <w:spacing w:val="-2"/>
        </w:rPr>
        <w:t>The</w:t>
      </w:r>
      <w:r>
        <w:rPr>
          <w:spacing w:val="-1"/>
        </w:rPr>
        <w:t xml:space="preserve"> </w:t>
      </w:r>
      <w:r>
        <w:rPr>
          <w:spacing w:val="-2"/>
        </w:rPr>
        <w:t>ICRC’s</w:t>
      </w:r>
      <w:r>
        <w:t xml:space="preserve"> final decision on</w:t>
      </w:r>
      <w:r>
        <w:rPr>
          <w:spacing w:val="-1"/>
        </w:rPr>
        <w:t xml:space="preserve"> </w:t>
      </w:r>
      <w:r>
        <w:t xml:space="preserve">the </w:t>
      </w:r>
      <w:r>
        <w:rPr>
          <w:spacing w:val="-1"/>
        </w:rPr>
        <w:t>revenue</w:t>
      </w:r>
      <w:r>
        <w:t xml:space="preserve"> allowances for</w:t>
      </w:r>
      <w:r>
        <w:rPr>
          <w:spacing w:val="-1"/>
        </w:rPr>
        <w:t xml:space="preserve"> </w:t>
      </w:r>
      <w:r>
        <w:t>the</w:t>
      </w:r>
      <w:r>
        <w:rPr>
          <w:spacing w:val="-3"/>
        </w:rPr>
        <w:t xml:space="preserve"> WAC</w:t>
      </w:r>
      <w:r>
        <w:t xml:space="preserve"> and UNFT</w:t>
      </w:r>
      <w:r>
        <w:rPr>
          <w:spacing w:val="-5"/>
        </w:rPr>
        <w:t xml:space="preserve"> </w:t>
      </w:r>
      <w:r>
        <w:t>in</w:t>
      </w:r>
      <w:r>
        <w:rPr>
          <w:spacing w:val="-1"/>
        </w:rPr>
        <w:t xml:space="preserve"> </w:t>
      </w:r>
      <w:r>
        <w:t>2013-14 and 2014-15 is</w:t>
      </w:r>
      <w:r>
        <w:rPr>
          <w:spacing w:val="30"/>
        </w:rPr>
        <w:t xml:space="preserve"> </w:t>
      </w:r>
      <w:r>
        <w:rPr>
          <w:rFonts w:cs="Avenir Next"/>
        </w:rPr>
        <w:t>set out in</w:t>
      </w:r>
      <w:r>
        <w:rPr>
          <w:rFonts w:cs="Avenir Next"/>
          <w:spacing w:val="-5"/>
        </w:rPr>
        <w:t xml:space="preserve"> </w:t>
      </w:r>
      <w:hyperlink w:anchor="_bookmark95" w:history="1">
        <w:r>
          <w:rPr>
            <w:spacing w:val="-4"/>
          </w:rPr>
          <w:t>Table</w:t>
        </w:r>
        <w:r>
          <w:t xml:space="preserve"> 11.3</w:t>
        </w:r>
      </w:hyperlink>
      <w:r>
        <w:t xml:space="preserve"> above.</w:t>
      </w:r>
      <w:r>
        <w:rPr>
          <w:spacing w:val="-10"/>
        </w:rPr>
        <w:t xml:space="preserve"> </w:t>
      </w:r>
      <w:r>
        <w:rPr>
          <w:spacing w:val="-2"/>
        </w:rPr>
        <w:t>ACTEW’s</w:t>
      </w:r>
      <w:r>
        <w:t xml:space="preserve"> SOFC </w:t>
      </w:r>
      <w:r>
        <w:rPr>
          <w:spacing w:val="-1"/>
        </w:rPr>
        <w:t>proposal</w:t>
      </w:r>
      <w:r>
        <w:t xml:space="preserve"> for these allowances for 2013-14 to 2017-18 is set</w:t>
      </w:r>
      <w:r>
        <w:rPr>
          <w:spacing w:val="26"/>
        </w:rPr>
        <w:t xml:space="preserve"> </w:t>
      </w:r>
      <w:r>
        <w:rPr>
          <w:rFonts w:cs="Avenir Next"/>
        </w:rPr>
        <w:t>out in</w:t>
      </w:r>
      <w:r>
        <w:rPr>
          <w:rFonts w:cs="Avenir Next"/>
          <w:spacing w:val="-5"/>
        </w:rPr>
        <w:t xml:space="preserve"> </w:t>
      </w:r>
      <w:hyperlink w:anchor="_bookmark96" w:history="1">
        <w:r>
          <w:rPr>
            <w:spacing w:val="-4"/>
          </w:rPr>
          <w:t>Table</w:t>
        </w:r>
        <w:r>
          <w:t xml:space="preserve"> 11.4</w:t>
        </w:r>
      </w:hyperlink>
      <w:r>
        <w:t xml:space="preserve"> </w:t>
      </w:r>
      <w:r>
        <w:rPr>
          <w:rFonts w:cs="Avenir Next"/>
        </w:rPr>
        <w:t>and</w:t>
      </w:r>
      <w:r>
        <w:rPr>
          <w:rFonts w:cs="Avenir Next"/>
          <w:spacing w:val="-5"/>
        </w:rPr>
        <w:t xml:space="preserve"> </w:t>
      </w:r>
      <w:hyperlink w:anchor="_bookmark97" w:history="1">
        <w:r>
          <w:rPr>
            <w:spacing w:val="-4"/>
          </w:rPr>
          <w:t>Table</w:t>
        </w:r>
        <w:r>
          <w:t xml:space="preserve"> 11.5</w:t>
        </w:r>
      </w:hyperlink>
      <w:r>
        <w:t>.</w:t>
      </w:r>
    </w:p>
    <w:p w:rsidR="00D96B91" w:rsidRDefault="00C2656B">
      <w:pPr>
        <w:pStyle w:val="BodyText"/>
        <w:spacing w:before="170" w:line="260" w:lineRule="exact"/>
        <w:ind w:right="1256"/>
        <w:rPr>
          <w:sz w:val="11"/>
          <w:szCs w:val="11"/>
        </w:rPr>
      </w:pPr>
      <w:r>
        <w:t>In the 2014-15 budget,</w:t>
      </w:r>
      <w:r>
        <w:rPr>
          <w:spacing w:val="-7"/>
        </w:rPr>
        <w:t xml:space="preserve"> </w:t>
      </w:r>
      <w:r>
        <w:t>the</w:t>
      </w:r>
      <w:r>
        <w:rPr>
          <w:spacing w:val="-4"/>
        </w:rPr>
        <w:t xml:space="preserve"> </w:t>
      </w:r>
      <w:r>
        <w:rPr>
          <w:spacing w:val="-2"/>
        </w:rPr>
        <w:t>ACT</w:t>
      </w:r>
      <w:r>
        <w:rPr>
          <w:spacing w:val="-5"/>
        </w:rPr>
        <w:t xml:space="preserve"> </w:t>
      </w:r>
      <w:r>
        <w:t xml:space="preserve">Government announced a 5% </w:t>
      </w:r>
      <w:r>
        <w:rPr>
          <w:spacing w:val="-1"/>
        </w:rPr>
        <w:t>increase</w:t>
      </w:r>
      <w:r>
        <w:t xml:space="preserve"> in both the</w:t>
      </w:r>
      <w:r>
        <w:rPr>
          <w:spacing w:val="-3"/>
        </w:rPr>
        <w:t xml:space="preserve"> WAC</w:t>
      </w:r>
      <w:r>
        <w:t xml:space="preserve"> and the</w:t>
      </w:r>
      <w:r>
        <w:rPr>
          <w:spacing w:val="25"/>
        </w:rPr>
        <w:t xml:space="preserve"> </w:t>
      </w:r>
      <w:r>
        <w:rPr>
          <w:spacing w:val="-2"/>
        </w:rPr>
        <w:t>UNFT.</w:t>
      </w:r>
      <w:r>
        <w:rPr>
          <w:spacing w:val="-2"/>
          <w:position w:val="7"/>
          <w:sz w:val="11"/>
          <w:szCs w:val="11"/>
        </w:rPr>
        <w:t>200</w:t>
      </w:r>
      <w:r>
        <w:rPr>
          <w:spacing w:val="17"/>
          <w:position w:val="7"/>
          <w:sz w:val="11"/>
          <w:szCs w:val="11"/>
        </w:rPr>
        <w:t xml:space="preserve"> </w:t>
      </w:r>
      <w:r>
        <w:rPr>
          <w:spacing w:val="-1"/>
        </w:rPr>
        <w:t>These</w:t>
      </w:r>
      <w:r>
        <w:rPr>
          <w:spacing w:val="1"/>
        </w:rPr>
        <w:t xml:space="preserve"> </w:t>
      </w:r>
      <w:r>
        <w:rPr>
          <w:spacing w:val="-1"/>
        </w:rPr>
        <w:t>increases</w:t>
      </w:r>
      <w:r>
        <w:t xml:space="preserve"> </w:t>
      </w:r>
      <w:r>
        <w:rPr>
          <w:spacing w:val="-1"/>
        </w:rPr>
        <w:t>were</w:t>
      </w:r>
      <w:r>
        <w:rPr>
          <w:spacing w:val="1"/>
        </w:rPr>
        <w:t xml:space="preserve"> </w:t>
      </w:r>
      <w:r>
        <w:t>not known</w:t>
      </w:r>
      <w:r>
        <w:rPr>
          <w:spacing w:val="1"/>
        </w:rPr>
        <w:t xml:space="preserve"> </w:t>
      </w:r>
      <w:r>
        <w:t xml:space="preserve">or </w:t>
      </w:r>
      <w:r>
        <w:rPr>
          <w:spacing w:val="-1"/>
        </w:rPr>
        <w:t>forecast</w:t>
      </w:r>
      <w:r>
        <w:rPr>
          <w:spacing w:val="1"/>
        </w:rPr>
        <w:t xml:space="preserve"> </w:t>
      </w:r>
      <w:r>
        <w:rPr>
          <w:spacing w:val="-1"/>
        </w:rPr>
        <w:t>at</w:t>
      </w:r>
      <w:r>
        <w:t xml:space="preserve"> the</w:t>
      </w:r>
      <w:r>
        <w:rPr>
          <w:spacing w:val="1"/>
        </w:rPr>
        <w:t xml:space="preserve"> </w:t>
      </w:r>
      <w:r>
        <w:t>time of</w:t>
      </w:r>
      <w:r>
        <w:rPr>
          <w:spacing w:val="5"/>
        </w:rPr>
        <w:t xml:space="preserve"> </w:t>
      </w:r>
      <w:r>
        <w:t xml:space="preserve">the </w:t>
      </w:r>
      <w:r>
        <w:rPr>
          <w:spacing w:val="-2"/>
        </w:rPr>
        <w:t>ICRC’s</w:t>
      </w:r>
      <w:r>
        <w:rPr>
          <w:spacing w:val="1"/>
        </w:rPr>
        <w:t xml:space="preserve"> </w:t>
      </w:r>
      <w:r>
        <w:t>final decision;</w:t>
      </w:r>
      <w:r>
        <w:rPr>
          <w:spacing w:val="1"/>
        </w:rPr>
        <w:t xml:space="preserve"> </w:t>
      </w:r>
      <w:r>
        <w:t>however</w:t>
      </w:r>
      <w:r>
        <w:rPr>
          <w:spacing w:val="21"/>
        </w:rPr>
        <w:t xml:space="preserve"> </w:t>
      </w:r>
      <w:r>
        <w:t>the</w:t>
      </w:r>
      <w:r>
        <w:rPr>
          <w:spacing w:val="1"/>
        </w:rPr>
        <w:t xml:space="preserve"> </w:t>
      </w:r>
      <w:r>
        <w:t>ICRC</w:t>
      </w:r>
      <w:r>
        <w:rPr>
          <w:spacing w:val="1"/>
        </w:rPr>
        <w:t xml:space="preserve"> </w:t>
      </w:r>
      <w:r>
        <w:t>has</w:t>
      </w:r>
      <w:r>
        <w:rPr>
          <w:spacing w:val="2"/>
        </w:rPr>
        <w:t xml:space="preserve"> </w:t>
      </w:r>
      <w:r>
        <w:t>passed</w:t>
      </w:r>
      <w:r>
        <w:rPr>
          <w:spacing w:val="1"/>
        </w:rPr>
        <w:t xml:space="preserve"> </w:t>
      </w:r>
      <w:r>
        <w:t>them</w:t>
      </w:r>
      <w:r>
        <w:rPr>
          <w:spacing w:val="2"/>
        </w:rPr>
        <w:t xml:space="preserve"> </w:t>
      </w:r>
      <w:r>
        <w:rPr>
          <w:spacing w:val="-1"/>
        </w:rPr>
        <w:t>through</w:t>
      </w:r>
      <w:r>
        <w:rPr>
          <w:spacing w:val="1"/>
        </w:rPr>
        <w:t xml:space="preserve"> </w:t>
      </w:r>
      <w:r>
        <w:t>into</w:t>
      </w:r>
      <w:r>
        <w:rPr>
          <w:spacing w:val="2"/>
        </w:rPr>
        <w:t xml:space="preserve"> </w:t>
      </w:r>
      <w:r>
        <w:t>2014-15</w:t>
      </w:r>
      <w:r>
        <w:rPr>
          <w:spacing w:val="1"/>
        </w:rPr>
        <w:t xml:space="preserve"> </w:t>
      </w:r>
      <w:r>
        <w:rPr>
          <w:spacing w:val="-1"/>
        </w:rPr>
        <w:t>prices.</w:t>
      </w:r>
      <w:r>
        <w:rPr>
          <w:spacing w:val="-1"/>
          <w:position w:val="7"/>
          <w:sz w:val="11"/>
          <w:szCs w:val="11"/>
        </w:rPr>
        <w:t>201</w:t>
      </w: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83" style="width:72.5pt;height:.5pt;mso-position-horizontal-relative:char;mso-position-vertical-relative:line" coordsize="1450,10">
            <v:group id="_x0000_s1884" style="position:absolute;left:5;top:5;width:1440;height:2" coordorigin="5,5" coordsize="1440,2">
              <v:shape id="_x0000_s1885" style="position:absolute;left:5;top:5;width:1440;height:2" coordorigin="5,5" coordsize="1440,0" path="m5,5r1440,e" filled="f" strokeweight=".5pt">
                <v:path arrowok="t"/>
              </v:shape>
            </v:group>
            <w10:wrap type="none"/>
            <w10:anchorlock/>
          </v:group>
        </w:pict>
      </w:r>
    </w:p>
    <w:p w:rsidR="00D96B91" w:rsidRDefault="00C2656B">
      <w:pPr>
        <w:numPr>
          <w:ilvl w:val="0"/>
          <w:numId w:val="58"/>
        </w:numPr>
        <w:tabs>
          <w:tab w:val="left" w:pos="1758"/>
        </w:tabs>
        <w:spacing w:before="38"/>
        <w:ind w:hanging="510"/>
        <w:rPr>
          <w:rFonts w:ascii="Avenir Next" w:eastAsia="Avenir Next" w:hAnsi="Avenir Next" w:cs="Avenir Next"/>
          <w:sz w:val="16"/>
          <w:szCs w:val="16"/>
        </w:rPr>
      </w:pPr>
      <w:r>
        <w:rPr>
          <w:rFonts w:ascii="Avenir Next"/>
          <w:sz w:val="16"/>
        </w:rPr>
        <w:t>See</w:t>
      </w:r>
      <w:r>
        <w:rPr>
          <w:rFonts w:ascii="Avenir Next"/>
          <w:spacing w:val="-5"/>
          <w:sz w:val="16"/>
        </w:rPr>
        <w:t xml:space="preserve"> </w:t>
      </w:r>
      <w:hyperlink r:id="rId79">
        <w:r>
          <w:rPr>
            <w:rFonts w:ascii="Avenir Next"/>
            <w:color w:val="0778BE"/>
            <w:spacing w:val="-1"/>
            <w:sz w:val="16"/>
          </w:rPr>
          <w:t>http://www.environment.act.gov.au/</w:t>
        </w:r>
        <w:r w:rsidRPr="00C77ECE">
          <w:rPr>
            <w:rFonts w:ascii="Avenir Next"/>
            <w:color w:val="0778BE"/>
            <w:spacing w:val="-1"/>
            <w:sz w:val="16"/>
          </w:rPr>
          <w:t xml:space="preserve">   </w:t>
        </w:r>
        <w:r>
          <w:rPr>
            <w:rFonts w:ascii="Avenir Next"/>
            <w:color w:val="0778BE"/>
            <w:spacing w:val="-1"/>
            <w:sz w:val="16"/>
          </w:rPr>
          <w:t>data/assets/pdf_file/0008/576062/ACT_Water_Abstraction_Charge.pdf</w:t>
        </w:r>
      </w:hyperlink>
      <w:r>
        <w:rPr>
          <w:rFonts w:ascii="Avenir Next"/>
          <w:spacing w:val="-1"/>
          <w:sz w:val="16"/>
        </w:rPr>
        <w:t>.</w:t>
      </w:r>
    </w:p>
    <w:p w:rsidR="00D96B91" w:rsidRDefault="00C2656B">
      <w:pPr>
        <w:numPr>
          <w:ilvl w:val="0"/>
          <w:numId w:val="58"/>
        </w:numPr>
        <w:tabs>
          <w:tab w:val="left" w:pos="1758"/>
        </w:tabs>
        <w:spacing w:before="128" w:line="192" w:lineRule="exact"/>
        <w:ind w:right="1336" w:hanging="510"/>
        <w:jc w:val="both"/>
        <w:rPr>
          <w:rFonts w:ascii="Avenir Next" w:eastAsia="Avenir Next" w:hAnsi="Avenir Next" w:cs="Avenir Next"/>
          <w:sz w:val="16"/>
          <w:szCs w:val="16"/>
        </w:rPr>
      </w:pPr>
      <w:r>
        <w:rPr>
          <w:rFonts w:ascii="Avenir Next" w:eastAsia="Avenir Next" w:hAnsi="Avenir Next" w:cs="Avenir Next"/>
          <w:sz w:val="16"/>
          <w:szCs w:val="16"/>
        </w:rPr>
        <w:t>A</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‘network facility’ is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defined as any</w:t>
      </w:r>
      <w:r>
        <w:rPr>
          <w:rFonts w:ascii="Avenir Next" w:eastAsia="Avenir Next" w:hAnsi="Avenir Next" w:cs="Avenir Next"/>
          <w:spacing w:val="-1"/>
          <w:sz w:val="16"/>
          <w:szCs w:val="16"/>
        </w:rPr>
        <w:t xml:space="preserve"> part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 xml:space="preserve">infrastructure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 utility</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network not </w:t>
      </w:r>
      <w:r>
        <w:rPr>
          <w:rFonts w:ascii="Avenir Next" w:eastAsia="Avenir Next" w:hAnsi="Avenir Next" w:cs="Avenir Next"/>
          <w:spacing w:val="-1"/>
          <w:sz w:val="16"/>
          <w:szCs w:val="16"/>
        </w:rPr>
        <w:t xml:space="preserve">fixed </w:t>
      </w:r>
      <w:r>
        <w:rPr>
          <w:rFonts w:ascii="Avenir Next" w:eastAsia="Avenir Next" w:hAnsi="Avenir Next" w:cs="Avenir Next"/>
          <w:sz w:val="16"/>
          <w:szCs w:val="16"/>
        </w:rPr>
        <w:t>to land subject to</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either a </w:t>
      </w:r>
      <w:r>
        <w:rPr>
          <w:rFonts w:ascii="Avenir Next" w:eastAsia="Avenir Next" w:hAnsi="Avenir Next" w:cs="Avenir Next"/>
          <w:spacing w:val="-1"/>
          <w:sz w:val="16"/>
          <w:szCs w:val="16"/>
        </w:rPr>
        <w:t>lease,</w:t>
      </w:r>
      <w:r>
        <w:rPr>
          <w:rFonts w:ascii="Avenir Next" w:eastAsia="Avenir Next" w:hAnsi="Avenir Next" w:cs="Avenir Next"/>
          <w:spacing w:val="41"/>
          <w:sz w:val="16"/>
          <w:szCs w:val="16"/>
        </w:rPr>
        <w:t xml:space="preserve"> </w:t>
      </w:r>
      <w:r>
        <w:rPr>
          <w:rFonts w:ascii="Avenir Next" w:eastAsia="Avenir Next" w:hAnsi="Avenir Next" w:cs="Avenir Next"/>
          <w:sz w:val="16"/>
          <w:szCs w:val="16"/>
        </w:rPr>
        <w:t xml:space="preserve">a licence </w:t>
      </w:r>
      <w:r>
        <w:rPr>
          <w:rFonts w:ascii="Avenir Next" w:eastAsia="Avenir Next" w:hAnsi="Avenir Next" w:cs="Avenir Next"/>
          <w:spacing w:val="-1"/>
          <w:sz w:val="16"/>
          <w:szCs w:val="16"/>
        </w:rPr>
        <w:t>granted</w:t>
      </w:r>
      <w:r>
        <w:rPr>
          <w:rFonts w:ascii="Avenir Next" w:eastAsia="Avenir Next" w:hAnsi="Avenir Next" w:cs="Avenir Next"/>
          <w:sz w:val="16"/>
          <w:szCs w:val="16"/>
        </w:rPr>
        <w:t xml:space="preserve"> by the</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Territory</w:t>
      </w:r>
      <w:r>
        <w:rPr>
          <w:rFonts w:ascii="Avenir Next" w:eastAsia="Avenir Next" w:hAnsi="Avenir Next" w:cs="Avenir Next"/>
          <w:sz w:val="16"/>
          <w:szCs w:val="16"/>
        </w:rPr>
        <w:t xml:space="preserve"> or any right </w:t>
      </w:r>
      <w:r>
        <w:rPr>
          <w:rFonts w:ascii="Avenir Next" w:eastAsia="Avenir Next" w:hAnsi="Avenir Next" w:cs="Avenir Next"/>
          <w:spacing w:val="-1"/>
          <w:sz w:val="16"/>
          <w:szCs w:val="16"/>
        </w:rPr>
        <w:t>prescribed</w:t>
      </w:r>
      <w:r>
        <w:rPr>
          <w:rFonts w:ascii="Avenir Next" w:eastAsia="Avenir Next" w:hAnsi="Avenir Next" w:cs="Avenir Next"/>
          <w:sz w:val="16"/>
          <w:szCs w:val="16"/>
        </w:rPr>
        <w:t xml:space="preserve"> by </w:t>
      </w:r>
      <w:r>
        <w:rPr>
          <w:rFonts w:ascii="Avenir Next" w:eastAsia="Avenir Next" w:hAnsi="Avenir Next" w:cs="Avenir Next"/>
          <w:spacing w:val="-1"/>
          <w:sz w:val="16"/>
          <w:szCs w:val="16"/>
        </w:rPr>
        <w:t>regulation.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‘Utility </w:t>
      </w:r>
      <w:r>
        <w:rPr>
          <w:rFonts w:ascii="Avenir Next" w:eastAsia="Avenir Next" w:hAnsi="Avenir Next" w:cs="Avenir Next"/>
          <w:spacing w:val="-1"/>
          <w:sz w:val="16"/>
          <w:szCs w:val="16"/>
        </w:rPr>
        <w:t>networks’</w:t>
      </w:r>
      <w:r>
        <w:rPr>
          <w:rFonts w:ascii="Avenir Next" w:eastAsia="Avenir Next" w:hAnsi="Avenir Next" w:cs="Avenir Next"/>
          <w:sz w:val="16"/>
          <w:szCs w:val="16"/>
        </w:rPr>
        <w:t xml:space="preserve"> include </w:t>
      </w:r>
      <w:r>
        <w:rPr>
          <w:rFonts w:ascii="Avenir Next" w:eastAsia="Avenir Next" w:hAnsi="Avenir Next" w:cs="Avenir Next"/>
          <w:spacing w:val="-1"/>
          <w:sz w:val="16"/>
          <w:szCs w:val="16"/>
        </w:rPr>
        <w:t>networks</w:t>
      </w:r>
      <w:r>
        <w:rPr>
          <w:rFonts w:ascii="Avenir Next" w:eastAsia="Avenir Next" w:hAnsi="Avenir Next" w:cs="Avenir Next"/>
          <w:sz w:val="16"/>
          <w:szCs w:val="16"/>
        </w:rPr>
        <w:t xml:space="preserve"> for </w:t>
      </w:r>
      <w:r>
        <w:rPr>
          <w:rFonts w:ascii="Avenir Next" w:eastAsia="Avenir Next" w:hAnsi="Avenir Next" w:cs="Avenir Next"/>
          <w:spacing w:val="-1"/>
          <w:sz w:val="16"/>
          <w:szCs w:val="16"/>
        </w:rPr>
        <w:t>transmitting</w:t>
      </w:r>
      <w:r>
        <w:rPr>
          <w:rFonts w:ascii="Avenir Next" w:eastAsia="Avenir Next" w:hAnsi="Avenir Next" w:cs="Avenir Next"/>
          <w:spacing w:val="87"/>
          <w:sz w:val="16"/>
          <w:szCs w:val="16"/>
        </w:rPr>
        <w:t xml:space="preserve"> </w:t>
      </w:r>
      <w:r>
        <w:rPr>
          <w:rFonts w:ascii="Avenir Next" w:eastAsia="Avenir Next" w:hAnsi="Avenir Next" w:cs="Avenir Next"/>
          <w:sz w:val="16"/>
          <w:szCs w:val="16"/>
        </w:rPr>
        <w:t xml:space="preserve">and distributing </w:t>
      </w:r>
      <w:r>
        <w:rPr>
          <w:rFonts w:ascii="Avenir Next" w:eastAsia="Avenir Next" w:hAnsi="Avenir Next" w:cs="Avenir Next"/>
          <w:spacing w:val="-1"/>
          <w:sz w:val="16"/>
          <w:szCs w:val="16"/>
        </w:rPr>
        <w:t>electricity,</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gas,</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telecommunications.</w:t>
      </w:r>
    </w:p>
    <w:p w:rsidR="00D96B91" w:rsidRDefault="00C2656B">
      <w:pPr>
        <w:numPr>
          <w:ilvl w:val="0"/>
          <w:numId w:val="58"/>
        </w:numPr>
        <w:tabs>
          <w:tab w:val="left" w:pos="1758"/>
        </w:tabs>
        <w:spacing w:before="141" w:line="205" w:lineRule="exact"/>
        <w:ind w:hanging="510"/>
        <w:rPr>
          <w:rFonts w:ascii="Avenir Next" w:eastAsia="Avenir Next" w:hAnsi="Avenir Next" w:cs="Avenir Next"/>
          <w:sz w:val="16"/>
          <w:szCs w:val="16"/>
        </w:rPr>
      </w:pPr>
      <w:r>
        <w:rPr>
          <w:rFonts w:ascii="Avenir Next"/>
          <w:spacing w:val="-2"/>
          <w:sz w:val="16"/>
        </w:rPr>
        <w:t>See</w:t>
      </w:r>
      <w:r>
        <w:rPr>
          <w:rFonts w:ascii="Avenir Next"/>
          <w:spacing w:val="-4"/>
          <w:sz w:val="16"/>
        </w:rPr>
        <w:t xml:space="preserve"> </w:t>
      </w:r>
      <w:r>
        <w:rPr>
          <w:rFonts w:ascii="Avenir Next"/>
          <w:spacing w:val="-2"/>
          <w:sz w:val="16"/>
        </w:rPr>
        <w:t>Chapter</w:t>
      </w:r>
      <w:r>
        <w:rPr>
          <w:rFonts w:ascii="Avenir Next"/>
          <w:spacing w:val="-4"/>
          <w:sz w:val="16"/>
        </w:rPr>
        <w:t xml:space="preserve"> </w:t>
      </w:r>
      <w:r>
        <w:rPr>
          <w:rFonts w:ascii="Avenir Next"/>
          <w:spacing w:val="-1"/>
          <w:sz w:val="16"/>
        </w:rPr>
        <w:t>3,</w:t>
      </w:r>
      <w:r>
        <w:rPr>
          <w:rFonts w:ascii="Avenir Next"/>
          <w:spacing w:val="-8"/>
          <w:sz w:val="16"/>
        </w:rPr>
        <w:t xml:space="preserve"> </w:t>
      </w:r>
      <w:r>
        <w:rPr>
          <w:rFonts w:ascii="Avenir Next"/>
          <w:spacing w:val="-2"/>
          <w:sz w:val="16"/>
        </w:rPr>
        <w:t>section</w:t>
      </w:r>
      <w:r>
        <w:rPr>
          <w:rFonts w:ascii="Avenir Next"/>
          <w:spacing w:val="-4"/>
          <w:sz w:val="16"/>
        </w:rPr>
        <w:t xml:space="preserve"> </w:t>
      </w:r>
      <w:r>
        <w:rPr>
          <w:rFonts w:ascii="Avenir Next"/>
          <w:spacing w:val="-2"/>
          <w:sz w:val="16"/>
        </w:rPr>
        <w:t>3.4,</w:t>
      </w:r>
      <w:r>
        <w:rPr>
          <w:rFonts w:ascii="Avenir Next"/>
          <w:spacing w:val="-8"/>
          <w:sz w:val="16"/>
        </w:rPr>
        <w:t xml:space="preserve"> </w:t>
      </w:r>
      <w:r>
        <w:rPr>
          <w:rFonts w:ascii="Avenir Next"/>
          <w:spacing w:val="-2"/>
          <w:sz w:val="16"/>
        </w:rPr>
        <w:t>p.</w:t>
      </w:r>
      <w:r>
        <w:rPr>
          <w:rFonts w:ascii="Avenir Next"/>
          <w:spacing w:val="-8"/>
          <w:sz w:val="16"/>
        </w:rPr>
        <w:t xml:space="preserve"> </w:t>
      </w:r>
      <w:r>
        <w:rPr>
          <w:rFonts w:ascii="Avenir Next"/>
          <w:spacing w:val="-2"/>
          <w:sz w:val="16"/>
        </w:rPr>
        <w:t>153</w:t>
      </w:r>
      <w:r>
        <w:rPr>
          <w:rFonts w:ascii="Avenir Next"/>
          <w:spacing w:val="-4"/>
          <w:sz w:val="16"/>
        </w:rPr>
        <w:t xml:space="preserve"> </w:t>
      </w:r>
      <w:r>
        <w:rPr>
          <w:rFonts w:ascii="Avenir Next"/>
          <w:spacing w:val="-2"/>
          <w:sz w:val="16"/>
        </w:rPr>
        <w:t>at</w:t>
      </w:r>
      <w:r>
        <w:rPr>
          <w:rFonts w:ascii="Avenir Next"/>
          <w:spacing w:val="-4"/>
          <w:sz w:val="16"/>
        </w:rPr>
        <w:t xml:space="preserve"> </w:t>
      </w:r>
      <w:hyperlink r:id="rId80">
        <w:r>
          <w:rPr>
            <w:rFonts w:ascii="Avenir Next"/>
            <w:color w:val="0778BE"/>
            <w:spacing w:val="-3"/>
            <w:sz w:val="16"/>
          </w:rPr>
          <w:t>http://apps.treasury.act.gov.au/budget/budget-2014-2015/budget-paper-3</w:t>
        </w:r>
      </w:hyperlink>
      <w:r>
        <w:rPr>
          <w:rFonts w:ascii="Avenir Next"/>
          <w:spacing w:val="-3"/>
          <w:sz w:val="16"/>
        </w:rPr>
        <w:t>.</w:t>
      </w:r>
      <w:r>
        <w:rPr>
          <w:rFonts w:ascii="Avenir Next"/>
          <w:spacing w:val="-12"/>
          <w:sz w:val="16"/>
        </w:rPr>
        <w:t xml:space="preserve"> </w:t>
      </w:r>
      <w:r>
        <w:rPr>
          <w:rFonts w:ascii="Avenir Next"/>
          <w:spacing w:val="-3"/>
          <w:sz w:val="16"/>
        </w:rPr>
        <w:t>The</w:t>
      </w:r>
    </w:p>
    <w:p w:rsidR="00D96B91" w:rsidRDefault="00C2656B">
      <w:pPr>
        <w:spacing w:line="205" w:lineRule="exact"/>
        <w:ind w:left="1757"/>
        <w:rPr>
          <w:rFonts w:ascii="Avenir Next" w:eastAsia="Avenir Next" w:hAnsi="Avenir Next" w:cs="Avenir Next"/>
          <w:sz w:val="16"/>
          <w:szCs w:val="16"/>
        </w:rPr>
      </w:pPr>
      <w:r>
        <w:rPr>
          <w:rFonts w:ascii="Avenir Next"/>
          <w:spacing w:val="-2"/>
          <w:sz w:val="16"/>
        </w:rPr>
        <w:t>2014-15</w:t>
      </w:r>
      <w:r>
        <w:rPr>
          <w:rFonts w:ascii="Avenir Next"/>
          <w:spacing w:val="-4"/>
          <w:sz w:val="16"/>
        </w:rPr>
        <w:t xml:space="preserve"> </w:t>
      </w:r>
      <w:r>
        <w:rPr>
          <w:rFonts w:ascii="Avenir Next"/>
          <w:spacing w:val="-2"/>
          <w:sz w:val="16"/>
        </w:rPr>
        <w:t>budget</w:t>
      </w:r>
      <w:r>
        <w:rPr>
          <w:rFonts w:ascii="Avenir Next"/>
          <w:spacing w:val="-4"/>
          <w:sz w:val="16"/>
        </w:rPr>
        <w:t xml:space="preserve"> </w:t>
      </w:r>
      <w:r>
        <w:rPr>
          <w:rFonts w:ascii="Avenir Next"/>
          <w:spacing w:val="-2"/>
          <w:sz w:val="16"/>
        </w:rPr>
        <w:t>indicated</w:t>
      </w:r>
      <w:r>
        <w:rPr>
          <w:rFonts w:ascii="Avenir Next"/>
          <w:spacing w:val="-4"/>
          <w:sz w:val="16"/>
        </w:rPr>
        <w:t xml:space="preserve"> </w:t>
      </w:r>
      <w:r>
        <w:rPr>
          <w:rFonts w:ascii="Avenir Next"/>
          <w:spacing w:val="-2"/>
          <w:sz w:val="16"/>
        </w:rPr>
        <w:t>that</w:t>
      </w:r>
      <w:r>
        <w:rPr>
          <w:rFonts w:ascii="Avenir Next"/>
          <w:spacing w:val="-4"/>
          <w:sz w:val="16"/>
        </w:rPr>
        <w:t xml:space="preserve"> </w:t>
      </w:r>
      <w:r>
        <w:rPr>
          <w:rFonts w:ascii="Avenir Next"/>
          <w:spacing w:val="-2"/>
          <w:sz w:val="16"/>
        </w:rPr>
        <w:t>the</w:t>
      </w:r>
      <w:r>
        <w:rPr>
          <w:rFonts w:ascii="Avenir Next"/>
          <w:spacing w:val="-4"/>
          <w:sz w:val="16"/>
        </w:rPr>
        <w:t xml:space="preserve"> </w:t>
      </w:r>
      <w:r>
        <w:rPr>
          <w:rFonts w:ascii="Avenir Next"/>
          <w:spacing w:val="-2"/>
          <w:sz w:val="16"/>
        </w:rPr>
        <w:t>UNFT</w:t>
      </w:r>
      <w:r>
        <w:rPr>
          <w:rFonts w:ascii="Avenir Next"/>
          <w:spacing w:val="-8"/>
          <w:sz w:val="16"/>
        </w:rPr>
        <w:t xml:space="preserve"> </w:t>
      </w:r>
      <w:r>
        <w:rPr>
          <w:rFonts w:ascii="Avenir Next"/>
          <w:spacing w:val="-2"/>
          <w:sz w:val="16"/>
        </w:rPr>
        <w:t>would</w:t>
      </w:r>
      <w:r>
        <w:rPr>
          <w:rFonts w:ascii="Avenir Next"/>
          <w:spacing w:val="-4"/>
          <w:sz w:val="16"/>
        </w:rPr>
        <w:t xml:space="preserve"> </w:t>
      </w:r>
      <w:r>
        <w:rPr>
          <w:rFonts w:ascii="Avenir Next"/>
          <w:spacing w:val="-3"/>
          <w:sz w:val="16"/>
        </w:rPr>
        <w:t>increase</w:t>
      </w:r>
      <w:r>
        <w:rPr>
          <w:rFonts w:ascii="Avenir Next"/>
          <w:spacing w:val="-4"/>
          <w:sz w:val="16"/>
        </w:rPr>
        <w:t xml:space="preserve"> </w:t>
      </w:r>
      <w:r>
        <w:rPr>
          <w:rFonts w:ascii="Avenir Next"/>
          <w:spacing w:val="-1"/>
          <w:sz w:val="16"/>
        </w:rPr>
        <w:t>by</w:t>
      </w:r>
      <w:r>
        <w:rPr>
          <w:rFonts w:ascii="Avenir Next"/>
          <w:spacing w:val="-4"/>
          <w:sz w:val="16"/>
        </w:rPr>
        <w:t xml:space="preserve"> </w:t>
      </w:r>
      <w:r>
        <w:rPr>
          <w:rFonts w:ascii="Avenir Next"/>
          <w:spacing w:val="-1"/>
          <w:sz w:val="16"/>
        </w:rPr>
        <w:t>5%</w:t>
      </w:r>
      <w:r>
        <w:rPr>
          <w:rFonts w:ascii="Avenir Next"/>
          <w:spacing w:val="-4"/>
          <w:sz w:val="16"/>
        </w:rPr>
        <w:t xml:space="preserve"> </w:t>
      </w:r>
      <w:r>
        <w:rPr>
          <w:rFonts w:ascii="Avenir Next"/>
          <w:spacing w:val="-2"/>
          <w:sz w:val="16"/>
        </w:rPr>
        <w:t>each</w:t>
      </w:r>
      <w:r>
        <w:rPr>
          <w:rFonts w:ascii="Avenir Next"/>
          <w:spacing w:val="-4"/>
          <w:sz w:val="16"/>
        </w:rPr>
        <w:t xml:space="preserve"> </w:t>
      </w:r>
      <w:r>
        <w:rPr>
          <w:rFonts w:ascii="Avenir Next"/>
          <w:spacing w:val="-2"/>
          <w:sz w:val="16"/>
        </w:rPr>
        <w:t>year</w:t>
      </w:r>
      <w:r>
        <w:rPr>
          <w:rFonts w:ascii="Avenir Next"/>
          <w:spacing w:val="-4"/>
          <w:sz w:val="16"/>
        </w:rPr>
        <w:t xml:space="preserve"> </w:t>
      </w:r>
      <w:r>
        <w:rPr>
          <w:rFonts w:ascii="Avenir Next"/>
          <w:spacing w:val="-2"/>
          <w:sz w:val="16"/>
        </w:rPr>
        <w:t>over</w:t>
      </w:r>
      <w:r>
        <w:rPr>
          <w:rFonts w:ascii="Avenir Next"/>
          <w:spacing w:val="-4"/>
          <w:sz w:val="16"/>
        </w:rPr>
        <w:t xml:space="preserve"> </w:t>
      </w:r>
      <w:r>
        <w:rPr>
          <w:rFonts w:ascii="Avenir Next"/>
          <w:spacing w:val="-2"/>
          <w:sz w:val="16"/>
        </w:rPr>
        <w:t>the</w:t>
      </w:r>
      <w:r>
        <w:rPr>
          <w:rFonts w:ascii="Avenir Next"/>
          <w:spacing w:val="-4"/>
          <w:sz w:val="16"/>
        </w:rPr>
        <w:t xml:space="preserve"> </w:t>
      </w:r>
      <w:r>
        <w:rPr>
          <w:rFonts w:ascii="Avenir Next"/>
          <w:spacing w:val="-3"/>
          <w:sz w:val="16"/>
        </w:rPr>
        <w:t>forward</w:t>
      </w:r>
      <w:r>
        <w:rPr>
          <w:rFonts w:ascii="Avenir Next"/>
          <w:spacing w:val="-4"/>
          <w:sz w:val="16"/>
        </w:rPr>
        <w:t xml:space="preserve"> </w:t>
      </w:r>
      <w:r>
        <w:rPr>
          <w:rFonts w:ascii="Avenir Next"/>
          <w:spacing w:val="-2"/>
          <w:sz w:val="16"/>
        </w:rPr>
        <w:t>estimates</w:t>
      </w:r>
      <w:r>
        <w:rPr>
          <w:rFonts w:ascii="Avenir Next"/>
          <w:spacing w:val="-4"/>
          <w:sz w:val="16"/>
        </w:rPr>
        <w:t xml:space="preserve"> </w:t>
      </w:r>
      <w:r>
        <w:rPr>
          <w:rFonts w:ascii="Avenir Next"/>
          <w:spacing w:val="-2"/>
          <w:sz w:val="16"/>
        </w:rPr>
        <w:t>period</w:t>
      </w:r>
      <w:r>
        <w:rPr>
          <w:rFonts w:ascii="Avenir Next"/>
          <w:spacing w:val="-4"/>
          <w:sz w:val="16"/>
        </w:rPr>
        <w:t xml:space="preserve"> </w:t>
      </w:r>
      <w:r>
        <w:rPr>
          <w:rFonts w:ascii="Avenir Next"/>
          <w:spacing w:val="-2"/>
          <w:sz w:val="16"/>
        </w:rPr>
        <w:t>(ie,</w:t>
      </w:r>
      <w:r>
        <w:rPr>
          <w:rFonts w:ascii="Avenir Next"/>
          <w:spacing w:val="-8"/>
          <w:sz w:val="16"/>
        </w:rPr>
        <w:t xml:space="preserve"> </w:t>
      </w:r>
      <w:r>
        <w:rPr>
          <w:rFonts w:ascii="Avenir Next"/>
          <w:spacing w:val="-1"/>
          <w:sz w:val="16"/>
        </w:rPr>
        <w:t>to</w:t>
      </w:r>
      <w:r>
        <w:rPr>
          <w:rFonts w:ascii="Avenir Next"/>
          <w:spacing w:val="-4"/>
          <w:sz w:val="16"/>
        </w:rPr>
        <w:t xml:space="preserve"> </w:t>
      </w:r>
      <w:r>
        <w:rPr>
          <w:rFonts w:ascii="Avenir Next"/>
          <w:spacing w:val="-2"/>
          <w:sz w:val="16"/>
        </w:rPr>
        <w:t>2017-18).</w:t>
      </w:r>
    </w:p>
    <w:p w:rsidR="00D96B91" w:rsidRDefault="00C2656B">
      <w:pPr>
        <w:numPr>
          <w:ilvl w:val="0"/>
          <w:numId w:val="58"/>
        </w:numPr>
        <w:tabs>
          <w:tab w:val="left" w:pos="1758"/>
        </w:tabs>
        <w:spacing w:before="128" w:line="192" w:lineRule="exact"/>
        <w:ind w:right="1968"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Commission</w:t>
      </w:r>
      <w:r>
        <w:rPr>
          <w:rFonts w:ascii="Avenir Next"/>
          <w:sz w:val="16"/>
        </w:rPr>
        <w:t xml:space="preserve"> determines</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pacing w:val="-1"/>
          <w:sz w:val="16"/>
        </w:rPr>
        <w:t>regulated</w:t>
      </w:r>
      <w:r>
        <w:rPr>
          <w:rFonts w:ascii="Avenir Next"/>
          <w:sz w:val="16"/>
        </w:rPr>
        <w:t xml:space="preserve"> </w:t>
      </w:r>
      <w:r>
        <w:rPr>
          <w:rFonts w:ascii="Avenir Next"/>
          <w:spacing w:val="-1"/>
          <w:sz w:val="16"/>
        </w:rPr>
        <w:t>water</w:t>
      </w:r>
      <w:r>
        <w:rPr>
          <w:rFonts w:ascii="Avenir Next"/>
          <w:sz w:val="16"/>
        </w:rPr>
        <w:t xml:space="preserve"> and </w:t>
      </w:r>
      <w:r>
        <w:rPr>
          <w:rFonts w:ascii="Avenir Next"/>
          <w:spacing w:val="-1"/>
          <w:sz w:val="16"/>
        </w:rPr>
        <w:t>sewerage</w:t>
      </w:r>
      <w:r>
        <w:rPr>
          <w:rFonts w:ascii="Avenir Next"/>
          <w:sz w:val="16"/>
        </w:rPr>
        <w:t xml:space="preserve"> service prices for 2014-15,</w:t>
      </w:r>
      <w:r>
        <w:rPr>
          <w:rFonts w:ascii="Avenir Next"/>
          <w:spacing w:val="-5"/>
          <w:sz w:val="16"/>
        </w:rPr>
        <w:t xml:space="preserve"> </w:t>
      </w:r>
      <w:r>
        <w:rPr>
          <w:rFonts w:ascii="Avenir Next"/>
          <w:sz w:val="16"/>
        </w:rPr>
        <w:t xml:space="preserve">Media </w:t>
      </w:r>
      <w:r>
        <w:rPr>
          <w:rFonts w:ascii="Avenir Next"/>
          <w:spacing w:val="-1"/>
          <w:sz w:val="16"/>
        </w:rPr>
        <w:t>Release,</w:t>
      </w:r>
      <w:r>
        <w:rPr>
          <w:rFonts w:ascii="Avenir Next"/>
          <w:spacing w:val="55"/>
          <w:sz w:val="16"/>
        </w:rPr>
        <w:t xml:space="preserve"> </w:t>
      </w:r>
      <w:r>
        <w:rPr>
          <w:rFonts w:ascii="Avenir Next"/>
          <w:sz w:val="16"/>
        </w:rPr>
        <w:t>24</w:t>
      </w:r>
      <w:r>
        <w:rPr>
          <w:rFonts w:ascii="Avenir Next"/>
          <w:spacing w:val="-2"/>
          <w:sz w:val="16"/>
        </w:rPr>
        <w:t xml:space="preserve"> </w:t>
      </w:r>
      <w:r>
        <w:rPr>
          <w:rFonts w:ascii="Avenir Next"/>
          <w:sz w:val="16"/>
        </w:rPr>
        <w:t>June 2014.</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548"/>
        <w:rPr>
          <w:sz w:val="11"/>
          <w:szCs w:val="11"/>
        </w:rPr>
      </w:pPr>
      <w:r>
        <w:t>In its SOFC,</w:t>
      </w:r>
      <w:r>
        <w:rPr>
          <w:spacing w:val="-10"/>
        </w:rPr>
        <w:t xml:space="preserve"> </w:t>
      </w:r>
      <w:r>
        <w:rPr>
          <w:spacing w:val="-2"/>
        </w:rPr>
        <w:t>ACTEW</w:t>
      </w:r>
      <w:r>
        <w:rPr>
          <w:spacing w:val="-3"/>
        </w:rPr>
        <w:t xml:space="preserve"> </w:t>
      </w:r>
      <w:r>
        <w:rPr>
          <w:spacing w:val="-1"/>
        </w:rPr>
        <w:t>proposed</w:t>
      </w:r>
      <w:r>
        <w:t xml:space="preserve"> </w:t>
      </w:r>
      <w:r>
        <w:rPr>
          <w:spacing w:val="-1"/>
        </w:rPr>
        <w:t>that</w:t>
      </w:r>
      <w:r>
        <w:t xml:space="preserve"> the</w:t>
      </w:r>
      <w:r>
        <w:rPr>
          <w:spacing w:val="-3"/>
        </w:rPr>
        <w:t xml:space="preserve"> WAC</w:t>
      </w:r>
      <w:r>
        <w:t xml:space="preserve"> and UNFT</w:t>
      </w:r>
      <w:r>
        <w:rPr>
          <w:spacing w:val="-5"/>
        </w:rPr>
        <w:t xml:space="preserve"> </w:t>
      </w:r>
      <w:r>
        <w:t xml:space="preserve">allowances in its </w:t>
      </w:r>
      <w:r>
        <w:rPr>
          <w:spacing w:val="-1"/>
        </w:rPr>
        <w:t>operating</w:t>
      </w:r>
      <w:r>
        <w:t xml:space="preserve"> </w:t>
      </w:r>
      <w:r>
        <w:rPr>
          <w:spacing w:val="-1"/>
        </w:rPr>
        <w:t>expenditure</w:t>
      </w:r>
      <w:r>
        <w:rPr>
          <w:spacing w:val="43"/>
        </w:rPr>
        <w:t xml:space="preserve"> </w:t>
      </w:r>
      <w:r>
        <w:rPr>
          <w:spacing w:val="-1"/>
        </w:rPr>
        <w:t>forecasts</w:t>
      </w:r>
      <w:r>
        <w:t xml:space="preserve"> be adjusted to account for this </w:t>
      </w:r>
      <w:r>
        <w:rPr>
          <w:spacing w:val="-1"/>
        </w:rPr>
        <w:t>increase,</w:t>
      </w:r>
      <w:r>
        <w:rPr>
          <w:spacing w:val="-6"/>
        </w:rPr>
        <w:t xml:space="preserve"> </w:t>
      </w:r>
      <w:r>
        <w:t xml:space="preserve">with any </w:t>
      </w:r>
      <w:r>
        <w:rPr>
          <w:spacing w:val="-1"/>
        </w:rPr>
        <w:t>further</w:t>
      </w:r>
      <w:r>
        <w:t xml:space="preserve"> </w:t>
      </w:r>
      <w:r>
        <w:rPr>
          <w:spacing w:val="-1"/>
        </w:rPr>
        <w:t>pass-through</w:t>
      </w:r>
      <w:r>
        <w:t xml:space="preserve"> events assessed</w:t>
      </w:r>
      <w:r>
        <w:rPr>
          <w:spacing w:val="41"/>
        </w:rPr>
        <w:t xml:space="preserve"> </w:t>
      </w:r>
      <w:r>
        <w:rPr>
          <w:spacing w:val="-1"/>
        </w:rPr>
        <w:t>relative</w:t>
      </w:r>
      <w:r>
        <w:rPr>
          <w:spacing w:val="1"/>
        </w:rPr>
        <w:t xml:space="preserve"> </w:t>
      </w:r>
      <w:r>
        <w:t>to</w:t>
      </w:r>
      <w:r>
        <w:rPr>
          <w:spacing w:val="1"/>
        </w:rPr>
        <w:t xml:space="preserve"> </w:t>
      </w:r>
      <w:r>
        <w:t>the</w:t>
      </w:r>
      <w:r>
        <w:rPr>
          <w:spacing w:val="1"/>
        </w:rPr>
        <w:t xml:space="preserve"> </w:t>
      </w:r>
      <w:r>
        <w:t>levels</w:t>
      </w:r>
      <w:r>
        <w:rPr>
          <w:spacing w:val="1"/>
        </w:rPr>
        <w:t xml:space="preserve"> </w:t>
      </w:r>
      <w:r>
        <w:t>of</w:t>
      </w:r>
      <w:r>
        <w:rPr>
          <w:spacing w:val="6"/>
        </w:rPr>
        <w:t xml:space="preserve"> </w:t>
      </w:r>
      <w:r>
        <w:t>these</w:t>
      </w:r>
      <w:r>
        <w:rPr>
          <w:spacing w:val="1"/>
        </w:rPr>
        <w:t xml:space="preserve"> </w:t>
      </w:r>
      <w:r>
        <w:rPr>
          <w:spacing w:val="-1"/>
        </w:rPr>
        <w:t>charges</w:t>
      </w:r>
      <w:r>
        <w:rPr>
          <w:spacing w:val="1"/>
        </w:rPr>
        <w:t xml:space="preserve"> </w:t>
      </w:r>
      <w:r>
        <w:t>in</w:t>
      </w:r>
      <w:r>
        <w:rPr>
          <w:spacing w:val="1"/>
        </w:rPr>
        <w:t xml:space="preserve"> </w:t>
      </w:r>
      <w:r>
        <w:rPr>
          <w:spacing w:val="-1"/>
        </w:rPr>
        <w:t>2014-15.</w:t>
      </w:r>
      <w:r>
        <w:rPr>
          <w:spacing w:val="-1"/>
          <w:position w:val="7"/>
          <w:sz w:val="11"/>
        </w:rPr>
        <w:t>202</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56"/>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83"/>
      </w:pPr>
      <w:r>
        <w:t xml:space="preserve">As section </w:t>
      </w:r>
      <w:hyperlink w:anchor="_bookmark42" w:history="1">
        <w:r>
          <w:t>6.5.3</w:t>
        </w:r>
      </w:hyperlink>
      <w:r>
        <w:t xml:space="preserve"> discussed,</w:t>
      </w:r>
      <w:r>
        <w:rPr>
          <w:spacing w:val="-6"/>
        </w:rPr>
        <w:t xml:space="preserve"> </w:t>
      </w:r>
      <w:r>
        <w:t xml:space="preserve">in </w:t>
      </w:r>
      <w:r>
        <w:rPr>
          <w:spacing w:val="-1"/>
        </w:rPr>
        <w:t>keeping</w:t>
      </w:r>
      <w:r>
        <w:t xml:space="preserve"> with its </w:t>
      </w:r>
      <w:r>
        <w:rPr>
          <w:spacing w:val="-2"/>
        </w:rPr>
        <w:t>draft</w:t>
      </w:r>
      <w:r>
        <w:t xml:space="preserve"> decision not to include a biennial </w:t>
      </w:r>
      <w:r>
        <w:rPr>
          <w:spacing w:val="-1"/>
        </w:rPr>
        <w:t>recalibration</w:t>
      </w:r>
      <w:r>
        <w:rPr>
          <w:spacing w:val="23"/>
        </w:rPr>
        <w:t xml:space="preserve"> </w:t>
      </w:r>
      <w:r>
        <w:t>mechanism,</w:t>
      </w:r>
      <w:r>
        <w:rPr>
          <w:spacing w:val="-6"/>
        </w:rPr>
        <w:t xml:space="preserve"> </w:t>
      </w:r>
      <w:r>
        <w:t xml:space="preserve">the </w:t>
      </w:r>
      <w:r>
        <w:rPr>
          <w:spacing w:val="-3"/>
        </w:rPr>
        <w:t>Panel</w:t>
      </w:r>
      <w:r>
        <w:t xml:space="preserve"> has made a </w:t>
      </w:r>
      <w:r>
        <w:rPr>
          <w:spacing w:val="-2"/>
        </w:rPr>
        <w:t>draft</w:t>
      </w:r>
      <w:r>
        <w:t xml:space="preserve"> decision to </w:t>
      </w:r>
      <w:r>
        <w:rPr>
          <w:spacing w:val="-1"/>
        </w:rPr>
        <w:t>expand</w:t>
      </w:r>
      <w:r>
        <w:t xml:space="preserve"> the scope of</w:t>
      </w:r>
      <w:r>
        <w:rPr>
          <w:spacing w:val="4"/>
        </w:rPr>
        <w:t xml:space="preserve"> </w:t>
      </w:r>
      <w:r>
        <w:t xml:space="preserve">the cost </w:t>
      </w:r>
      <w:r>
        <w:rPr>
          <w:spacing w:val="-1"/>
        </w:rPr>
        <w:t>pass-through</w:t>
      </w:r>
      <w:r>
        <w:rPr>
          <w:spacing w:val="39"/>
        </w:rPr>
        <w:t xml:space="preserve"> </w:t>
      </w:r>
      <w:r>
        <w:t>mechanism to include changes in the annual amount payable by</w:t>
      </w:r>
      <w:r>
        <w:rPr>
          <w:spacing w:val="-4"/>
        </w:rPr>
        <w:t xml:space="preserve"> </w:t>
      </w:r>
      <w:r>
        <w:rPr>
          <w:spacing w:val="-2"/>
        </w:rPr>
        <w:t>ACTEW</w:t>
      </w:r>
      <w:r>
        <w:rPr>
          <w:spacing w:val="-3"/>
        </w:rPr>
        <w:t xml:space="preserve"> </w:t>
      </w:r>
      <w:r>
        <w:t>to the</w:t>
      </w:r>
      <w:r>
        <w:rPr>
          <w:spacing w:val="-4"/>
        </w:rPr>
        <w:t xml:space="preserve"> </w:t>
      </w:r>
      <w:r>
        <w:rPr>
          <w:spacing w:val="-2"/>
        </w:rPr>
        <w:t>ACT</w:t>
      </w:r>
      <w:r>
        <w:rPr>
          <w:spacing w:val="-5"/>
        </w:rPr>
        <w:t xml:space="preserve"> </w:t>
      </w:r>
      <w:r>
        <w:t>Government for</w:t>
      </w:r>
      <w:r>
        <w:rPr>
          <w:spacing w:val="25"/>
        </w:rPr>
        <w:t xml:space="preserve"> </w:t>
      </w:r>
      <w:r>
        <w:t>the</w:t>
      </w:r>
      <w:r>
        <w:rPr>
          <w:spacing w:val="-3"/>
        </w:rPr>
        <w:t xml:space="preserve"> WAC</w:t>
      </w:r>
      <w:r>
        <w:t xml:space="preserve"> and the </w:t>
      </w:r>
      <w:r>
        <w:rPr>
          <w:spacing w:val="-4"/>
        </w:rPr>
        <w:t>UNFT.</w:t>
      </w:r>
    </w:p>
    <w:p w:rsidR="00D96B91" w:rsidRDefault="00C2656B">
      <w:pPr>
        <w:pStyle w:val="BodyText"/>
        <w:spacing w:before="170" w:line="260" w:lineRule="exact"/>
        <w:ind w:right="1283"/>
        <w:rPr>
          <w:rFonts w:cs="Avenir Next"/>
        </w:rPr>
      </w:pPr>
      <w:r>
        <w:rPr>
          <w:spacing w:val="-2"/>
        </w:rPr>
        <w:t>The</w:t>
      </w:r>
      <w:r>
        <w:t xml:space="preserve"> </w:t>
      </w:r>
      <w:r>
        <w:rPr>
          <w:spacing w:val="-3"/>
        </w:rPr>
        <w:t>Panel</w:t>
      </w:r>
      <w:r>
        <w:t xml:space="preserve"> notes </w:t>
      </w:r>
      <w:r>
        <w:rPr>
          <w:spacing w:val="-1"/>
        </w:rPr>
        <w:t>that,</w:t>
      </w:r>
      <w:r>
        <w:rPr>
          <w:spacing w:val="-6"/>
        </w:rPr>
        <w:t xml:space="preserve"> </w:t>
      </w:r>
      <w:r>
        <w:rPr>
          <w:spacing w:val="-1"/>
        </w:rPr>
        <w:t>unlike</w:t>
      </w:r>
      <w:r>
        <w:t xml:space="preserve"> </w:t>
      </w:r>
      <w:r>
        <w:rPr>
          <w:spacing w:val="-1"/>
        </w:rPr>
        <w:t>previous</w:t>
      </w:r>
      <w:r>
        <w:t xml:space="preserve"> price </w:t>
      </w:r>
      <w:r>
        <w:rPr>
          <w:spacing w:val="-1"/>
        </w:rPr>
        <w:t>directions</w:t>
      </w:r>
      <w:r>
        <w:t xml:space="preserve"> </w:t>
      </w:r>
      <w:r>
        <w:rPr>
          <w:spacing w:val="-1"/>
        </w:rPr>
        <w:t>that</w:t>
      </w:r>
      <w:r>
        <w:t xml:space="preserve"> have only passed </w:t>
      </w:r>
      <w:r>
        <w:rPr>
          <w:spacing w:val="-1"/>
        </w:rPr>
        <w:t>through</w:t>
      </w:r>
      <w:r>
        <w:t xml:space="preserve"> changes in the</w:t>
      </w:r>
      <w:r>
        <w:rPr>
          <w:spacing w:val="47"/>
        </w:rPr>
        <w:t xml:space="preserve"> </w:t>
      </w:r>
      <w:r>
        <w:rPr>
          <w:spacing w:val="-3"/>
        </w:rPr>
        <w:t>WAC</w:t>
      </w:r>
      <w:r>
        <w:rPr>
          <w:spacing w:val="-1"/>
        </w:rPr>
        <w:t xml:space="preserve"> </w:t>
      </w:r>
      <w:r>
        <w:t>and UNFT</w:t>
      </w:r>
      <w:r>
        <w:rPr>
          <w:spacing w:val="-5"/>
        </w:rPr>
        <w:t xml:space="preserve"> </w:t>
      </w:r>
      <w:r>
        <w:rPr>
          <w:b/>
          <w:spacing w:val="-1"/>
        </w:rPr>
        <w:t>rates</w:t>
      </w:r>
      <w:r>
        <w:rPr>
          <w:spacing w:val="-1"/>
        </w:rPr>
        <w:t>,</w:t>
      </w:r>
      <w:r>
        <w:rPr>
          <w:spacing w:val="-7"/>
        </w:rPr>
        <w:t xml:space="preserve"> </w:t>
      </w:r>
      <w:r>
        <w:t xml:space="preserve">the </w:t>
      </w:r>
      <w:r>
        <w:rPr>
          <w:spacing w:val="-3"/>
        </w:rPr>
        <w:t>Panel</w:t>
      </w:r>
      <w:r>
        <w:t xml:space="preserve"> has</w:t>
      </w:r>
      <w:r>
        <w:rPr>
          <w:spacing w:val="-1"/>
        </w:rPr>
        <w:t xml:space="preserve"> </w:t>
      </w:r>
      <w:r>
        <w:t xml:space="preserve">decided </w:t>
      </w:r>
      <w:r>
        <w:rPr>
          <w:spacing w:val="-1"/>
        </w:rPr>
        <w:t>that</w:t>
      </w:r>
      <w:r>
        <w:t xml:space="preserve"> the</w:t>
      </w:r>
      <w:r>
        <w:rPr>
          <w:spacing w:val="-1"/>
        </w:rPr>
        <w:t xml:space="preserve"> pass-through</w:t>
      </w:r>
      <w:r>
        <w:t xml:space="preserve"> amount should</w:t>
      </w:r>
      <w:r>
        <w:rPr>
          <w:spacing w:val="-1"/>
        </w:rPr>
        <w:t xml:space="preserve"> reflect</w:t>
      </w:r>
      <w:r>
        <w:t xml:space="preserve"> </w:t>
      </w:r>
      <w:r>
        <w:rPr>
          <w:spacing w:val="-1"/>
        </w:rPr>
        <w:t>differences</w:t>
      </w:r>
      <w:r>
        <w:t xml:space="preserve"> in</w:t>
      </w:r>
      <w:r>
        <w:rPr>
          <w:spacing w:val="45"/>
        </w:rPr>
        <w:t xml:space="preserve"> </w:t>
      </w:r>
      <w:r>
        <w:t>the total</w:t>
      </w:r>
      <w:r>
        <w:rPr>
          <w:spacing w:val="1"/>
        </w:rPr>
        <w:t xml:space="preserve"> </w:t>
      </w:r>
      <w:r>
        <w:t>amount payable</w:t>
      </w:r>
      <w:r>
        <w:rPr>
          <w:spacing w:val="1"/>
        </w:rPr>
        <w:t xml:space="preserve"> </w:t>
      </w:r>
      <w:r>
        <w:t>to</w:t>
      </w:r>
      <w:r>
        <w:rPr>
          <w:spacing w:val="1"/>
        </w:rPr>
        <w:t xml:space="preserve"> </w:t>
      </w:r>
      <w:r>
        <w:t>the</w:t>
      </w:r>
      <w:r>
        <w:rPr>
          <w:spacing w:val="-4"/>
        </w:rPr>
        <w:t xml:space="preserve"> </w:t>
      </w:r>
      <w:r>
        <w:rPr>
          <w:spacing w:val="-2"/>
        </w:rPr>
        <w:t>ACT</w:t>
      </w:r>
      <w:r>
        <w:rPr>
          <w:spacing w:val="-4"/>
        </w:rPr>
        <w:t xml:space="preserve"> </w:t>
      </w:r>
      <w:r>
        <w:t>Government</w:t>
      </w:r>
      <w:r>
        <w:rPr>
          <w:spacing w:val="1"/>
        </w:rPr>
        <w:t xml:space="preserve"> </w:t>
      </w:r>
      <w:r>
        <w:t xml:space="preserve">in </w:t>
      </w:r>
      <w:r>
        <w:rPr>
          <w:spacing w:val="-1"/>
        </w:rPr>
        <w:t>each</w:t>
      </w:r>
      <w:r>
        <w:rPr>
          <w:spacing w:val="1"/>
        </w:rPr>
        <w:t xml:space="preserve"> </w:t>
      </w:r>
      <w:r>
        <w:rPr>
          <w:spacing w:val="-2"/>
        </w:rPr>
        <w:t>year,</w:t>
      </w:r>
      <w:r>
        <w:rPr>
          <w:spacing w:val="-2"/>
          <w:position w:val="7"/>
          <w:sz w:val="11"/>
        </w:rPr>
        <w:t>203</w:t>
      </w:r>
      <w:r>
        <w:rPr>
          <w:spacing w:val="23"/>
          <w:position w:val="7"/>
          <w:sz w:val="11"/>
        </w:rPr>
        <w:t xml:space="preserve"> </w:t>
      </w:r>
      <w:r>
        <w:t>which</w:t>
      </w:r>
      <w:r>
        <w:rPr>
          <w:spacing w:val="1"/>
        </w:rPr>
        <w:t xml:space="preserve"> </w:t>
      </w:r>
      <w:r>
        <w:t xml:space="preserve">is </w:t>
      </w:r>
      <w:r>
        <w:rPr>
          <w:spacing w:val="-1"/>
        </w:rPr>
        <w:t>calculated</w:t>
      </w:r>
      <w:r>
        <w:rPr>
          <w:spacing w:val="1"/>
        </w:rPr>
        <w:t xml:space="preserve"> </w:t>
      </w:r>
      <w:r>
        <w:t>as</w:t>
      </w:r>
      <w:r>
        <w:rPr>
          <w:spacing w:val="1"/>
        </w:rPr>
        <w:t xml:space="preserve"> </w:t>
      </w:r>
      <w:r>
        <w:t>follows:</w:t>
      </w:r>
    </w:p>
    <w:p w:rsidR="00D96B91" w:rsidRDefault="00C2656B">
      <w:pPr>
        <w:pStyle w:val="BodyText"/>
        <w:numPr>
          <w:ilvl w:val="0"/>
          <w:numId w:val="131"/>
        </w:numPr>
        <w:tabs>
          <w:tab w:val="left" w:pos="1531"/>
        </w:tabs>
        <w:spacing w:before="178"/>
        <w:ind w:hanging="283"/>
        <w:rPr>
          <w:rFonts w:cs="Avenir Next"/>
          <w:sz w:val="11"/>
          <w:szCs w:val="11"/>
        </w:rPr>
      </w:pPr>
      <w:r>
        <w:rPr>
          <w:spacing w:val="-3"/>
        </w:rPr>
        <w:t>WAC</w:t>
      </w:r>
      <w:r>
        <w:t xml:space="preserve"> </w:t>
      </w:r>
      <w:r>
        <w:rPr>
          <w:spacing w:val="-1"/>
        </w:rPr>
        <w:t>charge</w:t>
      </w:r>
      <w:r>
        <w:rPr>
          <w:spacing w:val="-1"/>
          <w:position w:val="-6"/>
          <w:sz w:val="11"/>
        </w:rPr>
        <w:t>t</w:t>
      </w:r>
      <w:r>
        <w:rPr>
          <w:spacing w:val="24"/>
          <w:position w:val="-6"/>
          <w:sz w:val="11"/>
        </w:rPr>
        <w:t xml:space="preserve"> </w:t>
      </w:r>
      <w:r>
        <w:t>=</w:t>
      </w:r>
      <w:r>
        <w:rPr>
          <w:spacing w:val="-4"/>
        </w:rPr>
        <w:t xml:space="preserve"> </w:t>
      </w:r>
      <w:r>
        <w:t>Actual</w:t>
      </w:r>
      <w:r>
        <w:rPr>
          <w:spacing w:val="1"/>
        </w:rPr>
        <w:t xml:space="preserve"> </w:t>
      </w:r>
      <w:r>
        <w:t>dam</w:t>
      </w:r>
      <w:r>
        <w:rPr>
          <w:spacing w:val="1"/>
        </w:rPr>
        <w:t xml:space="preserve"> </w:t>
      </w:r>
      <w:r>
        <w:rPr>
          <w:spacing w:val="-1"/>
        </w:rPr>
        <w:t>releases</w:t>
      </w:r>
      <w:r>
        <w:rPr>
          <w:spacing w:val="-1"/>
          <w:position w:val="-4"/>
          <w:sz w:val="11"/>
        </w:rPr>
        <w:t>t</w:t>
      </w:r>
      <w:r>
        <w:rPr>
          <w:spacing w:val="23"/>
          <w:position w:val="-4"/>
          <w:sz w:val="11"/>
        </w:rPr>
        <w:t xml:space="preserve"> </w:t>
      </w:r>
      <w:r>
        <w:t>x</w:t>
      </w:r>
      <w:r>
        <w:rPr>
          <w:spacing w:val="-2"/>
        </w:rPr>
        <w:t xml:space="preserve"> </w:t>
      </w:r>
      <w:r>
        <w:rPr>
          <w:spacing w:val="-3"/>
        </w:rPr>
        <w:t>WAC</w:t>
      </w:r>
      <w:r>
        <w:rPr>
          <w:spacing w:val="1"/>
        </w:rPr>
        <w:t xml:space="preserve"> </w:t>
      </w:r>
      <w:r>
        <w:rPr>
          <w:spacing w:val="-1"/>
        </w:rPr>
        <w:t>rate</w:t>
      </w:r>
      <w:r>
        <w:rPr>
          <w:spacing w:val="-1"/>
          <w:position w:val="-6"/>
          <w:sz w:val="11"/>
        </w:rPr>
        <w:t>t</w:t>
      </w:r>
    </w:p>
    <w:p w:rsidR="00D96B91" w:rsidRDefault="00C2656B">
      <w:pPr>
        <w:pStyle w:val="BodyText"/>
        <w:numPr>
          <w:ilvl w:val="0"/>
          <w:numId w:val="131"/>
        </w:numPr>
        <w:tabs>
          <w:tab w:val="left" w:pos="1531"/>
        </w:tabs>
        <w:spacing w:before="35"/>
        <w:ind w:hanging="283"/>
        <w:rPr>
          <w:rFonts w:cs="Avenir Next"/>
          <w:sz w:val="11"/>
          <w:szCs w:val="11"/>
        </w:rPr>
      </w:pPr>
      <w:r>
        <w:t>UNFT</w:t>
      </w:r>
      <w:r>
        <w:rPr>
          <w:spacing w:val="-5"/>
        </w:rPr>
        <w:t xml:space="preserve"> </w:t>
      </w:r>
      <w:r>
        <w:rPr>
          <w:spacing w:val="-1"/>
        </w:rPr>
        <w:t>charge</w:t>
      </w:r>
      <w:r>
        <w:rPr>
          <w:spacing w:val="-1"/>
          <w:position w:val="-6"/>
          <w:sz w:val="11"/>
        </w:rPr>
        <w:t>t</w:t>
      </w:r>
      <w:r>
        <w:rPr>
          <w:spacing w:val="24"/>
          <w:position w:val="-6"/>
          <w:sz w:val="11"/>
        </w:rPr>
        <w:t xml:space="preserve"> </w:t>
      </w:r>
      <w:r>
        <w:t>=</w:t>
      </w:r>
      <w:r>
        <w:rPr>
          <w:spacing w:val="-4"/>
        </w:rPr>
        <w:t xml:space="preserve"> </w:t>
      </w:r>
      <w:r>
        <w:t>Actual</w:t>
      </w:r>
      <w:r>
        <w:rPr>
          <w:spacing w:val="1"/>
        </w:rPr>
        <w:t xml:space="preserve"> </w:t>
      </w:r>
      <w:r>
        <w:t>network</w:t>
      </w:r>
      <w:r>
        <w:rPr>
          <w:spacing w:val="1"/>
        </w:rPr>
        <w:t xml:space="preserve"> </w:t>
      </w:r>
      <w:r>
        <w:rPr>
          <w:spacing w:val="-1"/>
        </w:rPr>
        <w:t>length</w:t>
      </w:r>
      <w:r>
        <w:rPr>
          <w:spacing w:val="-1"/>
          <w:position w:val="-6"/>
          <w:sz w:val="11"/>
        </w:rPr>
        <w:t>t</w:t>
      </w:r>
      <w:r>
        <w:rPr>
          <w:spacing w:val="23"/>
          <w:position w:val="-6"/>
          <w:sz w:val="11"/>
        </w:rPr>
        <w:t xml:space="preserve"> </w:t>
      </w:r>
      <w:r>
        <w:t>x</w:t>
      </w:r>
      <w:r>
        <w:rPr>
          <w:spacing w:val="1"/>
        </w:rPr>
        <w:t xml:space="preserve"> </w:t>
      </w:r>
      <w:r>
        <w:t>UNFT</w:t>
      </w:r>
      <w:r>
        <w:rPr>
          <w:spacing w:val="-4"/>
        </w:rPr>
        <w:t xml:space="preserve"> </w:t>
      </w:r>
      <w:r>
        <w:rPr>
          <w:spacing w:val="-1"/>
        </w:rPr>
        <w:t>rate</w:t>
      </w:r>
      <w:r>
        <w:rPr>
          <w:spacing w:val="-1"/>
          <w:position w:val="-6"/>
          <w:sz w:val="11"/>
        </w:rPr>
        <w:t>t</w:t>
      </w:r>
    </w:p>
    <w:p w:rsidR="00D96B91" w:rsidRDefault="00C2656B">
      <w:pPr>
        <w:pStyle w:val="BodyText"/>
        <w:spacing w:before="168" w:line="260" w:lineRule="exact"/>
        <w:ind w:right="1283"/>
      </w:pPr>
      <w:r>
        <w:t>In</w:t>
      </w:r>
      <w:r>
        <w:rPr>
          <w:spacing w:val="-1"/>
        </w:rPr>
        <w:t xml:space="preserve"> </w:t>
      </w:r>
      <w:r>
        <w:t xml:space="preserve">other </w:t>
      </w:r>
      <w:r>
        <w:rPr>
          <w:spacing w:val="-1"/>
        </w:rPr>
        <w:t>words,</w:t>
      </w:r>
      <w:r>
        <w:rPr>
          <w:spacing w:val="-6"/>
        </w:rPr>
        <w:t xml:space="preserve"> </w:t>
      </w:r>
      <w:r>
        <w:t>the</w:t>
      </w:r>
      <w:r>
        <w:rPr>
          <w:spacing w:val="-1"/>
        </w:rPr>
        <w:t xml:space="preserve"> </w:t>
      </w:r>
      <w:r>
        <w:t xml:space="preserve">cost </w:t>
      </w:r>
      <w:r>
        <w:rPr>
          <w:spacing w:val="-1"/>
        </w:rPr>
        <w:t>pass-through</w:t>
      </w:r>
      <w:r>
        <w:t xml:space="preserve"> amount</w:t>
      </w:r>
      <w:r>
        <w:rPr>
          <w:spacing w:val="-1"/>
        </w:rPr>
        <w:t xml:space="preserve"> </w:t>
      </w:r>
      <w:r>
        <w:t xml:space="preserve">should </w:t>
      </w:r>
      <w:r>
        <w:rPr>
          <w:spacing w:val="-1"/>
        </w:rPr>
        <w:t>reflect</w:t>
      </w:r>
      <w:r>
        <w:t xml:space="preserve"> </w:t>
      </w:r>
      <w:r>
        <w:rPr>
          <w:spacing w:val="-1"/>
        </w:rPr>
        <w:t xml:space="preserve">differences </w:t>
      </w:r>
      <w:r>
        <w:t>in the</w:t>
      </w:r>
      <w:r>
        <w:rPr>
          <w:spacing w:val="-1"/>
        </w:rPr>
        <w:t xml:space="preserve"> rates,</w:t>
      </w:r>
      <w:r>
        <w:rPr>
          <w:spacing w:val="-6"/>
        </w:rPr>
        <w:t xml:space="preserve"> </w:t>
      </w:r>
      <w:r>
        <w:t xml:space="preserve">the dam </w:t>
      </w:r>
      <w:r>
        <w:rPr>
          <w:spacing w:val="-1"/>
        </w:rPr>
        <w:t>releases</w:t>
      </w:r>
      <w:r>
        <w:rPr>
          <w:spacing w:val="39"/>
        </w:rPr>
        <w:t xml:space="preserve"> </w:t>
      </w:r>
      <w:r>
        <w:t xml:space="preserve">and the network lengths </w:t>
      </w:r>
      <w:r>
        <w:rPr>
          <w:spacing w:val="-1"/>
        </w:rPr>
        <w:t>that</w:t>
      </w:r>
      <w:r>
        <w:t xml:space="preserve"> </w:t>
      </w:r>
      <w:r>
        <w:rPr>
          <w:spacing w:val="-1"/>
        </w:rPr>
        <w:t>were</w:t>
      </w:r>
      <w:r>
        <w:t xml:space="preserve"> assumed when </w:t>
      </w:r>
      <w:r>
        <w:rPr>
          <w:spacing w:val="-1"/>
        </w:rPr>
        <w:t>calculating</w:t>
      </w:r>
      <w:r>
        <w:rPr>
          <w:spacing w:val="-4"/>
        </w:rPr>
        <w:t xml:space="preserve"> </w:t>
      </w:r>
      <w:r>
        <w:rPr>
          <w:spacing w:val="-2"/>
        </w:rPr>
        <w:t>ACTEW’s</w:t>
      </w:r>
      <w:r>
        <w:t xml:space="preserve"> </w:t>
      </w:r>
      <w:r>
        <w:rPr>
          <w:spacing w:val="-1"/>
        </w:rPr>
        <w:t>revenue</w:t>
      </w:r>
      <w:r>
        <w:t xml:space="preserve"> </w:t>
      </w:r>
      <w:r>
        <w:rPr>
          <w:spacing w:val="-1"/>
        </w:rPr>
        <w:t>requirement.</w:t>
      </w:r>
      <w:r>
        <w:rPr>
          <w:spacing w:val="-11"/>
        </w:rPr>
        <w:t xml:space="preserve"> </w:t>
      </w:r>
      <w:r>
        <w:rPr>
          <w:spacing w:val="-1"/>
        </w:rPr>
        <w:t>This</w:t>
      </w:r>
      <w:r>
        <w:rPr>
          <w:spacing w:val="37"/>
        </w:rPr>
        <w:t xml:space="preserve"> </w:t>
      </w:r>
      <w:r>
        <w:rPr>
          <w:rFonts w:cs="Avenir Next"/>
          <w:spacing w:val="-1"/>
        </w:rPr>
        <w:t>approach</w:t>
      </w:r>
      <w:r>
        <w:rPr>
          <w:rFonts w:cs="Avenir Next"/>
        </w:rPr>
        <w:t xml:space="preserve"> will </w:t>
      </w:r>
      <w:r>
        <w:rPr>
          <w:rFonts w:cs="Avenir Next"/>
          <w:spacing w:val="-1"/>
        </w:rPr>
        <w:t>ensure</w:t>
      </w:r>
      <w:r>
        <w:rPr>
          <w:rFonts w:cs="Avenir Next"/>
        </w:rPr>
        <w:t xml:space="preserve"> </w:t>
      </w:r>
      <w:r>
        <w:rPr>
          <w:rFonts w:cs="Avenir Next"/>
          <w:spacing w:val="-1"/>
        </w:rPr>
        <w:t>that</w:t>
      </w:r>
      <w:r>
        <w:rPr>
          <w:rFonts w:cs="Avenir Next"/>
          <w:spacing w:val="-4"/>
        </w:rPr>
        <w:t xml:space="preserve"> </w:t>
      </w:r>
      <w:r>
        <w:rPr>
          <w:rFonts w:cs="Avenir Next"/>
          <w:spacing w:val="-2"/>
        </w:rPr>
        <w:t>ACTEW</w:t>
      </w:r>
      <w:r>
        <w:rPr>
          <w:rFonts w:cs="Avenir Next"/>
          <w:spacing w:val="-3"/>
        </w:rPr>
        <w:t xml:space="preserve"> </w:t>
      </w:r>
      <w:r>
        <w:rPr>
          <w:rFonts w:cs="Avenir Next"/>
        </w:rPr>
        <w:t xml:space="preserve">does not </w:t>
      </w:r>
      <w:r>
        <w:rPr>
          <w:rFonts w:cs="Avenir Next"/>
          <w:spacing w:val="-1"/>
        </w:rPr>
        <w:t>receive</w:t>
      </w:r>
      <w:r>
        <w:rPr>
          <w:rFonts w:cs="Avenir Next"/>
        </w:rPr>
        <w:t xml:space="preserve"> or incur a windfall gain or loss as a </w:t>
      </w:r>
      <w:r>
        <w:rPr>
          <w:rFonts w:cs="Avenir Next"/>
          <w:spacing w:val="-1"/>
        </w:rPr>
        <w:t>result</w:t>
      </w:r>
      <w:r>
        <w:rPr>
          <w:rFonts w:cs="Avenir Next"/>
        </w:rPr>
        <w:t xml:space="preserve"> of</w:t>
      </w:r>
      <w:r>
        <w:rPr>
          <w:rFonts w:cs="Avenir Next"/>
          <w:spacing w:val="4"/>
        </w:rPr>
        <w:t xml:space="preserve"> </w:t>
      </w:r>
      <w:r>
        <w:rPr>
          <w:rFonts w:cs="Avenir Next"/>
        </w:rPr>
        <w:t>changes</w:t>
      </w:r>
      <w:r>
        <w:rPr>
          <w:rFonts w:cs="Avenir Next"/>
          <w:spacing w:val="35"/>
        </w:rPr>
        <w:t xml:space="preserve"> </w:t>
      </w:r>
      <w:r>
        <w:t xml:space="preserve">in these </w:t>
      </w:r>
      <w:r>
        <w:rPr>
          <w:spacing w:val="-1"/>
        </w:rPr>
        <w:t>uncontrollable</w:t>
      </w:r>
      <w:r>
        <w:t xml:space="preserve"> costs.</w:t>
      </w:r>
    </w:p>
    <w:p w:rsidR="00D96B91" w:rsidRDefault="00C2656B">
      <w:pPr>
        <w:pStyle w:val="BodyText"/>
        <w:spacing w:before="170" w:line="260" w:lineRule="exact"/>
        <w:ind w:right="1513"/>
      </w:pPr>
      <w:r>
        <w:t xml:space="preserve">While the cost </w:t>
      </w:r>
      <w:r>
        <w:rPr>
          <w:spacing w:val="-1"/>
        </w:rPr>
        <w:t>pass-through</w:t>
      </w:r>
      <w:r>
        <w:t xml:space="preserve"> mechanism will allow</w:t>
      </w:r>
      <w:r>
        <w:rPr>
          <w:spacing w:val="-4"/>
        </w:rPr>
        <w:t xml:space="preserve"> </w:t>
      </w:r>
      <w:r>
        <w:rPr>
          <w:spacing w:val="-2"/>
        </w:rPr>
        <w:t>ACTEW</w:t>
      </w:r>
      <w:r>
        <w:rPr>
          <w:spacing w:val="-3"/>
        </w:rPr>
        <w:t xml:space="preserve"> </w:t>
      </w:r>
      <w:r>
        <w:t xml:space="preserve">to </w:t>
      </w:r>
      <w:r>
        <w:rPr>
          <w:spacing w:val="-1"/>
        </w:rPr>
        <w:t>recover</w:t>
      </w:r>
      <w:r>
        <w:t xml:space="preserve"> the actual</w:t>
      </w:r>
      <w:r>
        <w:rPr>
          <w:spacing w:val="-3"/>
        </w:rPr>
        <w:t xml:space="preserve"> WAC</w:t>
      </w:r>
      <w:r>
        <w:t xml:space="preserve"> and UNFT</w:t>
      </w:r>
      <w:r>
        <w:rPr>
          <w:spacing w:val="35"/>
        </w:rPr>
        <w:t xml:space="preserve"> </w:t>
      </w:r>
      <w:r>
        <w:rPr>
          <w:rFonts w:cs="Avenir Next"/>
          <w:spacing w:val="-1"/>
        </w:rPr>
        <w:t>charges</w:t>
      </w:r>
      <w:r>
        <w:rPr>
          <w:rFonts w:cs="Avenir Next"/>
        </w:rPr>
        <w:t xml:space="preserve"> it pays,</w:t>
      </w:r>
      <w:r>
        <w:rPr>
          <w:rFonts w:cs="Avenir Next"/>
          <w:spacing w:val="-6"/>
        </w:rPr>
        <w:t xml:space="preserve"> </w:t>
      </w:r>
      <w:r>
        <w:rPr>
          <w:rFonts w:cs="Avenir Next"/>
        </w:rPr>
        <w:t xml:space="preserve">the </w:t>
      </w:r>
      <w:r>
        <w:rPr>
          <w:rFonts w:cs="Avenir Next"/>
          <w:spacing w:val="-3"/>
        </w:rPr>
        <w:t>Panel</w:t>
      </w:r>
      <w:r>
        <w:rPr>
          <w:rFonts w:cs="Avenir Next"/>
        </w:rPr>
        <w:t xml:space="preserve"> </w:t>
      </w:r>
      <w:r>
        <w:rPr>
          <w:rFonts w:cs="Avenir Next"/>
          <w:spacing w:val="-1"/>
        </w:rPr>
        <w:t>requires</w:t>
      </w:r>
      <w:r>
        <w:rPr>
          <w:rFonts w:cs="Avenir Next"/>
        </w:rPr>
        <w:t xml:space="preserve"> an </w:t>
      </w:r>
      <w:r>
        <w:rPr>
          <w:rFonts w:cs="Avenir Next"/>
          <w:spacing w:val="-1"/>
        </w:rPr>
        <w:t>estimate</w:t>
      </w:r>
      <w:r>
        <w:rPr>
          <w:rFonts w:cs="Avenir Next"/>
        </w:rPr>
        <w:t xml:space="preserve"> of</w:t>
      </w:r>
      <w:r>
        <w:rPr>
          <w:rFonts w:cs="Avenir Next"/>
          <w:spacing w:val="4"/>
        </w:rPr>
        <w:t xml:space="preserve"> </w:t>
      </w:r>
      <w:r>
        <w:rPr>
          <w:rFonts w:cs="Avenir Next"/>
        </w:rPr>
        <w:t>these costs to establish</w:t>
      </w:r>
      <w:r>
        <w:rPr>
          <w:rFonts w:cs="Avenir Next"/>
          <w:spacing w:val="-4"/>
        </w:rPr>
        <w:t xml:space="preserve"> </w:t>
      </w:r>
      <w:r>
        <w:rPr>
          <w:rFonts w:cs="Avenir Next"/>
          <w:spacing w:val="-2"/>
        </w:rPr>
        <w:t>ACTEW’s</w:t>
      </w:r>
      <w:r>
        <w:rPr>
          <w:rFonts w:cs="Avenir Next"/>
        </w:rPr>
        <w:t xml:space="preserve"> </w:t>
      </w:r>
      <w:r>
        <w:rPr>
          <w:rFonts w:cs="Avenir Next"/>
          <w:spacing w:val="-1"/>
        </w:rPr>
        <w:t>revenue</w:t>
      </w:r>
      <w:r>
        <w:rPr>
          <w:rFonts w:cs="Avenir Next"/>
          <w:spacing w:val="33"/>
        </w:rPr>
        <w:t xml:space="preserve"> </w:t>
      </w:r>
      <w:r>
        <w:rPr>
          <w:spacing w:val="-1"/>
        </w:rPr>
        <w:t>requirement</w:t>
      </w:r>
      <w:r>
        <w:t xml:space="preserve"> and set prices.</w:t>
      </w:r>
    </w:p>
    <w:p w:rsidR="00D96B91" w:rsidRDefault="00C2656B">
      <w:pPr>
        <w:pStyle w:val="BodyText"/>
        <w:spacing w:before="178"/>
        <w:rPr>
          <w:rFonts w:cs="Avenir Next"/>
        </w:rPr>
      </w:pPr>
      <w:r>
        <w:rPr>
          <w:spacing w:val="-10"/>
        </w:rPr>
        <w:t>To</w:t>
      </w:r>
      <w:r>
        <w:t xml:space="preserve"> determine </w:t>
      </w:r>
      <w:r>
        <w:rPr>
          <w:spacing w:val="-1"/>
        </w:rPr>
        <w:t>what</w:t>
      </w:r>
      <w:r>
        <w:t xml:space="preserve"> </w:t>
      </w:r>
      <w:r>
        <w:rPr>
          <w:spacing w:val="-1"/>
        </w:rPr>
        <w:t>provision</w:t>
      </w:r>
      <w:r>
        <w:t xml:space="preserve"> should be made for the</w:t>
      </w:r>
      <w:r>
        <w:rPr>
          <w:spacing w:val="-3"/>
        </w:rPr>
        <w:t xml:space="preserve"> </w:t>
      </w:r>
      <w:r>
        <w:rPr>
          <w:spacing w:val="-2"/>
        </w:rPr>
        <w:t>WAC,</w:t>
      </w:r>
      <w:r>
        <w:rPr>
          <w:spacing w:val="-6"/>
        </w:rPr>
        <w:t xml:space="preserve"> </w:t>
      </w:r>
      <w:r>
        <w:t xml:space="preserve">the </w:t>
      </w:r>
      <w:r>
        <w:rPr>
          <w:spacing w:val="-3"/>
        </w:rPr>
        <w:t>Panel</w:t>
      </w:r>
      <w:r>
        <w:t xml:space="preserve"> has:</w:t>
      </w:r>
    </w:p>
    <w:p w:rsidR="00D96B91" w:rsidRDefault="00C2656B">
      <w:pPr>
        <w:pStyle w:val="BodyText"/>
        <w:numPr>
          <w:ilvl w:val="0"/>
          <w:numId w:val="131"/>
        </w:numPr>
        <w:tabs>
          <w:tab w:val="left" w:pos="1531"/>
        </w:tabs>
        <w:spacing w:before="157"/>
        <w:ind w:hanging="283"/>
      </w:pPr>
      <w:r>
        <w:t>for 2013-14,</w:t>
      </w:r>
      <w:r>
        <w:rPr>
          <w:spacing w:val="-6"/>
        </w:rPr>
        <w:t xml:space="preserve"> </w:t>
      </w:r>
      <w:r>
        <w:t>adopted the same allowance as the ICRC,</w:t>
      </w:r>
      <w:r>
        <w:rPr>
          <w:spacing w:val="-7"/>
        </w:rPr>
        <w:t xml:space="preserve"> </w:t>
      </w:r>
      <w:r>
        <w:t>and</w:t>
      </w:r>
    </w:p>
    <w:p w:rsidR="00D96B91" w:rsidRDefault="00C2656B">
      <w:pPr>
        <w:pStyle w:val="BodyText"/>
        <w:numPr>
          <w:ilvl w:val="0"/>
          <w:numId w:val="131"/>
        </w:numPr>
        <w:tabs>
          <w:tab w:val="left" w:pos="1531"/>
        </w:tabs>
        <w:spacing w:before="72"/>
        <w:ind w:hanging="283"/>
      </w:pPr>
      <w:r>
        <w:t xml:space="preserve">for 2014-15 </w:t>
      </w:r>
      <w:r>
        <w:rPr>
          <w:spacing w:val="-1"/>
        </w:rPr>
        <w:t>onwards,</w:t>
      </w:r>
      <w:r>
        <w:rPr>
          <w:spacing w:val="-6"/>
        </w:rPr>
        <w:t xml:space="preserve"> </w:t>
      </w:r>
      <w:r>
        <w:t>multiplied:</w:t>
      </w:r>
    </w:p>
    <w:p w:rsidR="00D96B91" w:rsidRDefault="00C2656B">
      <w:pPr>
        <w:pStyle w:val="BodyText"/>
        <w:numPr>
          <w:ilvl w:val="1"/>
          <w:numId w:val="131"/>
        </w:numPr>
        <w:tabs>
          <w:tab w:val="left" w:pos="1815"/>
        </w:tabs>
        <w:spacing w:before="72"/>
        <w:rPr>
          <w:rFonts w:cs="Avenir Next"/>
        </w:rPr>
      </w:pPr>
      <w:r>
        <w:t>the new</w:t>
      </w:r>
      <w:r>
        <w:rPr>
          <w:spacing w:val="-3"/>
        </w:rPr>
        <w:t xml:space="preserve"> WAC</w:t>
      </w:r>
      <w:r>
        <w:t xml:space="preserve"> </w:t>
      </w:r>
      <w:r>
        <w:rPr>
          <w:spacing w:val="-2"/>
        </w:rPr>
        <w:t>rate</w:t>
      </w:r>
      <w:r>
        <w:t xml:space="preserve"> </w:t>
      </w:r>
      <w:r>
        <w:rPr>
          <w:spacing w:val="-1"/>
        </w:rPr>
        <w:t>that</w:t>
      </w:r>
      <w:r>
        <w:t xml:space="preserve"> was announced in the 2014-15 budget,</w:t>
      </w:r>
      <w:r>
        <w:rPr>
          <w:spacing w:val="-6"/>
        </w:rPr>
        <w:t xml:space="preserve"> </w:t>
      </w:r>
      <w:r>
        <w:rPr>
          <w:i/>
        </w:rPr>
        <w:t>by</w:t>
      </w:r>
    </w:p>
    <w:p w:rsidR="00D96B91" w:rsidRDefault="00C2656B">
      <w:pPr>
        <w:pStyle w:val="BodyText"/>
        <w:numPr>
          <w:ilvl w:val="1"/>
          <w:numId w:val="131"/>
        </w:numPr>
        <w:tabs>
          <w:tab w:val="left" w:pos="1815"/>
        </w:tabs>
        <w:spacing w:before="72"/>
        <w:rPr>
          <w:sz w:val="11"/>
          <w:szCs w:val="11"/>
        </w:rPr>
      </w:pPr>
      <w:r>
        <w:rPr>
          <w:rFonts w:cs="Avenir Next"/>
        </w:rPr>
        <w:t>the dam</w:t>
      </w:r>
      <w:r>
        <w:rPr>
          <w:rFonts w:cs="Avenir Next"/>
          <w:spacing w:val="1"/>
        </w:rPr>
        <w:t xml:space="preserve"> </w:t>
      </w:r>
      <w:r>
        <w:rPr>
          <w:rFonts w:cs="Avenir Next"/>
          <w:spacing w:val="-1"/>
        </w:rPr>
        <w:t>releases</w:t>
      </w:r>
      <w:r>
        <w:rPr>
          <w:rFonts w:cs="Avenir Next"/>
          <w:spacing w:val="1"/>
        </w:rPr>
        <w:t xml:space="preserve"> </w:t>
      </w:r>
      <w:r>
        <w:rPr>
          <w:rFonts w:cs="Avenir Next"/>
        </w:rPr>
        <w:t>implied</w:t>
      </w:r>
      <w:r>
        <w:rPr>
          <w:rFonts w:cs="Avenir Next"/>
          <w:spacing w:val="1"/>
        </w:rPr>
        <w:t xml:space="preserve"> </w:t>
      </w:r>
      <w:r>
        <w:rPr>
          <w:rFonts w:cs="Avenir Next"/>
        </w:rPr>
        <w:t>by the</w:t>
      </w:r>
      <w:r>
        <w:rPr>
          <w:rFonts w:cs="Avenir Next"/>
          <w:spacing w:val="1"/>
        </w:rPr>
        <w:t xml:space="preserve"> </w:t>
      </w:r>
      <w:r>
        <w:rPr>
          <w:rFonts w:cs="Avenir Next"/>
          <w:spacing w:val="-4"/>
        </w:rPr>
        <w:t>Panel’s</w:t>
      </w:r>
      <w:r>
        <w:rPr>
          <w:rFonts w:cs="Avenir Next"/>
          <w:spacing w:val="1"/>
        </w:rPr>
        <w:t xml:space="preserve"> </w:t>
      </w:r>
      <w:r>
        <w:rPr>
          <w:rFonts w:cs="Avenir Next"/>
          <w:spacing w:val="-2"/>
        </w:rPr>
        <w:t>draft</w:t>
      </w:r>
      <w:r>
        <w:rPr>
          <w:rFonts w:cs="Avenir Next"/>
          <w:spacing w:val="1"/>
        </w:rPr>
        <w:t xml:space="preserve"> </w:t>
      </w:r>
      <w:r>
        <w:rPr>
          <w:rFonts w:cs="Avenir Next"/>
        </w:rPr>
        <w:t>decision on</w:t>
      </w:r>
      <w:r>
        <w:rPr>
          <w:rFonts w:cs="Avenir Next"/>
          <w:spacing w:val="1"/>
        </w:rPr>
        <w:t xml:space="preserve"> </w:t>
      </w:r>
      <w:r>
        <w:rPr>
          <w:rFonts w:cs="Avenir Next"/>
          <w:spacing w:val="-1"/>
        </w:rPr>
        <w:t>forecast</w:t>
      </w:r>
      <w:r>
        <w:rPr>
          <w:rFonts w:cs="Avenir Next"/>
          <w:spacing w:val="1"/>
        </w:rPr>
        <w:t xml:space="preserve"> </w:t>
      </w:r>
      <w:r>
        <w:rPr>
          <w:rFonts w:cs="Avenir Next"/>
          <w:spacing w:val="-1"/>
        </w:rPr>
        <w:t>water</w:t>
      </w:r>
      <w:r>
        <w:rPr>
          <w:rFonts w:cs="Avenir Next"/>
          <w:spacing w:val="1"/>
        </w:rPr>
        <w:t xml:space="preserve"> </w:t>
      </w:r>
      <w:r>
        <w:rPr>
          <w:rFonts w:cs="Avenir Next"/>
        </w:rPr>
        <w:t>sales (see</w:t>
      </w:r>
      <w:r>
        <w:rPr>
          <w:rFonts w:cs="Avenir Next"/>
          <w:spacing w:val="1"/>
        </w:rPr>
        <w:t xml:space="preserve"> </w:t>
      </w:r>
      <w:r>
        <w:rPr>
          <w:rFonts w:cs="Avenir Next"/>
        </w:rPr>
        <w:t>Chapter</w:t>
      </w:r>
      <w:r>
        <w:rPr>
          <w:rFonts w:cs="Avenir Next"/>
          <w:spacing w:val="1"/>
        </w:rPr>
        <w:t xml:space="preserve"> </w:t>
      </w:r>
      <w:r>
        <w:t>12).</w:t>
      </w:r>
      <w:r>
        <w:rPr>
          <w:position w:val="7"/>
          <w:sz w:val="11"/>
          <w:szCs w:val="11"/>
        </w:rPr>
        <w:t>204</w:t>
      </w:r>
    </w:p>
    <w:p w:rsidR="00D96B91" w:rsidRDefault="00C2656B">
      <w:pPr>
        <w:pStyle w:val="BodyText"/>
        <w:spacing w:before="149" w:line="260" w:lineRule="exact"/>
        <w:ind w:right="1356"/>
      </w:pPr>
      <w:r>
        <w:rPr>
          <w:spacing w:val="-10"/>
        </w:rPr>
        <w:t>To</w:t>
      </w:r>
      <w:r>
        <w:t xml:space="preserve"> determine </w:t>
      </w:r>
      <w:r>
        <w:rPr>
          <w:spacing w:val="-1"/>
        </w:rPr>
        <w:t>what</w:t>
      </w:r>
      <w:r>
        <w:t xml:space="preserve"> </w:t>
      </w:r>
      <w:r>
        <w:rPr>
          <w:spacing w:val="-1"/>
        </w:rPr>
        <w:t>provision</w:t>
      </w:r>
      <w:r>
        <w:t xml:space="preserve"> should be made for the </w:t>
      </w:r>
      <w:r>
        <w:rPr>
          <w:spacing w:val="-4"/>
        </w:rPr>
        <w:t>UNFT,</w:t>
      </w:r>
      <w:r>
        <w:rPr>
          <w:spacing w:val="-6"/>
        </w:rPr>
        <w:t xml:space="preserve"> </w:t>
      </w:r>
      <w:r>
        <w:t xml:space="preserve">the </w:t>
      </w:r>
      <w:r>
        <w:rPr>
          <w:spacing w:val="-3"/>
        </w:rPr>
        <w:t>Panel</w:t>
      </w:r>
      <w:r>
        <w:t xml:space="preserve"> has made a </w:t>
      </w:r>
      <w:r>
        <w:rPr>
          <w:spacing w:val="-2"/>
        </w:rPr>
        <w:t>draft</w:t>
      </w:r>
      <w:r>
        <w:t xml:space="preserve"> decision to</w:t>
      </w:r>
      <w:r>
        <w:rPr>
          <w:spacing w:val="37"/>
        </w:rPr>
        <w:t xml:space="preserve"> </w:t>
      </w:r>
      <w:r>
        <w:t>adopt</w:t>
      </w:r>
      <w:r>
        <w:rPr>
          <w:spacing w:val="-4"/>
        </w:rPr>
        <w:t xml:space="preserve"> </w:t>
      </w:r>
      <w:r>
        <w:rPr>
          <w:spacing w:val="-2"/>
        </w:rPr>
        <w:t>ACTEW’s</w:t>
      </w:r>
      <w:r>
        <w:t xml:space="preserve"> </w:t>
      </w:r>
      <w:r>
        <w:rPr>
          <w:spacing w:val="-1"/>
        </w:rPr>
        <w:t>forecast</w:t>
      </w:r>
      <w:r>
        <w:t xml:space="preserve"> network length in its original pricing submission.</w:t>
      </w:r>
      <w:r>
        <w:rPr>
          <w:spacing w:val="-10"/>
        </w:rPr>
        <w:t xml:space="preserve"> </w:t>
      </w:r>
      <w:r>
        <w:rPr>
          <w:spacing w:val="-2"/>
        </w:rPr>
        <w:t>ACTEW</w:t>
      </w:r>
      <w:r>
        <w:rPr>
          <w:spacing w:val="-3"/>
        </w:rPr>
        <w:t xml:space="preserve"> </w:t>
      </w:r>
      <w:r>
        <w:rPr>
          <w:spacing w:val="-1"/>
        </w:rPr>
        <w:t>provided</w:t>
      </w:r>
      <w:r>
        <w:t xml:space="preserve"> this</w:t>
      </w:r>
      <w:r>
        <w:rPr>
          <w:spacing w:val="27"/>
        </w:rPr>
        <w:t xml:space="preserve"> </w:t>
      </w:r>
      <w:r>
        <w:rPr>
          <w:spacing w:val="-1"/>
        </w:rPr>
        <w:t xml:space="preserve">forecast </w:t>
      </w:r>
      <w:r>
        <w:t>for the purpose of</w:t>
      </w:r>
      <w:r>
        <w:rPr>
          <w:spacing w:val="3"/>
        </w:rPr>
        <w:t xml:space="preserve"> </w:t>
      </w:r>
      <w:r>
        <w:rPr>
          <w:spacing w:val="-1"/>
        </w:rPr>
        <w:t>calculating</w:t>
      </w:r>
      <w:r>
        <w:t xml:space="preserve"> the </w:t>
      </w:r>
      <w:r>
        <w:rPr>
          <w:spacing w:val="-4"/>
        </w:rPr>
        <w:t>UNFT,</w:t>
      </w:r>
      <w:r>
        <w:rPr>
          <w:spacing w:val="-6"/>
        </w:rPr>
        <w:t xml:space="preserve"> </w:t>
      </w:r>
      <w:r>
        <w:t>and</w:t>
      </w:r>
      <w:r>
        <w:rPr>
          <w:spacing w:val="-1"/>
        </w:rPr>
        <w:t xml:space="preserve"> </w:t>
      </w:r>
      <w:r>
        <w:t xml:space="preserve">the ICRC adopted this </w:t>
      </w:r>
      <w:r>
        <w:rPr>
          <w:spacing w:val="-1"/>
        </w:rPr>
        <w:t xml:space="preserve">forecast </w:t>
      </w:r>
      <w:r>
        <w:t>in making its final</w:t>
      </w:r>
      <w:r>
        <w:rPr>
          <w:spacing w:val="43"/>
          <w:w w:val="99"/>
        </w:rPr>
        <w:t xml:space="preserve"> </w:t>
      </w:r>
      <w:r>
        <w:t>decision on the UNFT</w:t>
      </w:r>
      <w:r>
        <w:rPr>
          <w:spacing w:val="-5"/>
        </w:rPr>
        <w:t xml:space="preserve"> </w:t>
      </w:r>
      <w:r>
        <w:t>allowance for 2013-14 and 2014-15.</w:t>
      </w:r>
    </w:p>
    <w:p w:rsidR="00D96B91" w:rsidRDefault="00C2656B">
      <w:pPr>
        <w:pStyle w:val="BodyText"/>
        <w:spacing w:before="170" w:line="260" w:lineRule="exact"/>
        <w:ind w:right="1256"/>
      </w:pPr>
      <w:r>
        <w:rPr>
          <w:spacing w:val="-2"/>
        </w:rPr>
        <w:t>The</w:t>
      </w:r>
      <w:r>
        <w:rPr>
          <w:spacing w:val="-1"/>
        </w:rPr>
        <w:t xml:space="preserve"> </w:t>
      </w:r>
      <w:r>
        <w:rPr>
          <w:spacing w:val="-3"/>
        </w:rPr>
        <w:t>Panel</w:t>
      </w:r>
      <w:r>
        <w:t xml:space="preserve"> notes</w:t>
      </w:r>
      <w:r>
        <w:rPr>
          <w:spacing w:val="-1"/>
        </w:rPr>
        <w:t xml:space="preserve"> that</w:t>
      </w:r>
      <w:r>
        <w:rPr>
          <w:spacing w:val="-4"/>
        </w:rPr>
        <w:t xml:space="preserve"> </w:t>
      </w:r>
      <w:r>
        <w:rPr>
          <w:spacing w:val="-2"/>
        </w:rPr>
        <w:t>ACTEW’s</w:t>
      </w:r>
      <w:r>
        <w:t xml:space="preserve"> </w:t>
      </w:r>
      <w:r>
        <w:rPr>
          <w:spacing w:val="-1"/>
        </w:rPr>
        <w:t xml:space="preserve">forecast </w:t>
      </w:r>
      <w:r>
        <w:t>network length</w:t>
      </w:r>
      <w:r>
        <w:rPr>
          <w:spacing w:val="-1"/>
        </w:rPr>
        <w:t xml:space="preserve"> reflects</w:t>
      </w:r>
      <w:r>
        <w:t xml:space="preserve"> its </w:t>
      </w:r>
      <w:r>
        <w:rPr>
          <w:spacing w:val="-1"/>
        </w:rPr>
        <w:t>expectation that</w:t>
      </w:r>
      <w:r>
        <w:t xml:space="preserve"> the</w:t>
      </w:r>
      <w:r>
        <w:rPr>
          <w:spacing w:val="-1"/>
        </w:rPr>
        <w:t xml:space="preserve"> </w:t>
      </w:r>
      <w:r>
        <w:t xml:space="preserve">network will </w:t>
      </w:r>
      <w:r>
        <w:rPr>
          <w:spacing w:val="-1"/>
        </w:rPr>
        <w:t>grow</w:t>
      </w:r>
      <w:r>
        <w:rPr>
          <w:spacing w:val="51"/>
        </w:rPr>
        <w:t xml:space="preserve"> </w:t>
      </w:r>
      <w:r>
        <w:t xml:space="preserve">by 2% per </w:t>
      </w:r>
      <w:r>
        <w:rPr>
          <w:spacing w:val="-1"/>
        </w:rPr>
        <w:t>year</w:t>
      </w:r>
      <w:r>
        <w:t xml:space="preserve"> (for both </w:t>
      </w:r>
      <w:r>
        <w:rPr>
          <w:spacing w:val="-1"/>
        </w:rPr>
        <w:t>water</w:t>
      </w:r>
      <w:r>
        <w:t xml:space="preserve"> and </w:t>
      </w:r>
      <w:r>
        <w:rPr>
          <w:spacing w:val="-1"/>
        </w:rPr>
        <w:t>sewerage)</w:t>
      </w:r>
      <w:r>
        <w:t xml:space="preserve"> in this </w:t>
      </w:r>
      <w:r>
        <w:rPr>
          <w:spacing w:val="-1"/>
        </w:rPr>
        <w:t>regulatory</w:t>
      </w:r>
      <w:r>
        <w:t xml:space="preserve"> period.</w:t>
      </w:r>
      <w:r>
        <w:rPr>
          <w:spacing w:val="-6"/>
        </w:rPr>
        <w:t xml:space="preserve"> </w:t>
      </w:r>
      <w:r>
        <w:t xml:space="preserve">Given </w:t>
      </w:r>
      <w:r>
        <w:rPr>
          <w:spacing w:val="-3"/>
        </w:rPr>
        <w:t>Cardno’s</w:t>
      </w:r>
      <w:r>
        <w:t xml:space="preserve"> advice </w:t>
      </w:r>
      <w:r>
        <w:rPr>
          <w:spacing w:val="-1"/>
        </w:rPr>
        <w:t>that,</w:t>
      </w:r>
      <w:r>
        <w:rPr>
          <w:spacing w:val="49"/>
        </w:rPr>
        <w:t xml:space="preserve"> </w:t>
      </w:r>
      <w:r>
        <w:rPr>
          <w:spacing w:val="-1"/>
        </w:rPr>
        <w:t>population</w:t>
      </w:r>
      <w:r>
        <w:t xml:space="preserve"> </w:t>
      </w:r>
      <w:r>
        <w:rPr>
          <w:spacing w:val="-1"/>
        </w:rPr>
        <w:t>growth</w:t>
      </w:r>
      <w:r>
        <w:rPr>
          <w:spacing w:val="1"/>
        </w:rPr>
        <w:t xml:space="preserve"> </w:t>
      </w:r>
      <w:r>
        <w:t>of</w:t>
      </w:r>
      <w:r>
        <w:rPr>
          <w:spacing w:val="4"/>
        </w:rPr>
        <w:t xml:space="preserve"> </w:t>
      </w:r>
      <w:r>
        <w:t>7%</w:t>
      </w:r>
      <w:r>
        <w:rPr>
          <w:spacing w:val="1"/>
        </w:rPr>
        <w:t xml:space="preserve"> </w:t>
      </w:r>
      <w:r>
        <w:t>to</w:t>
      </w:r>
      <w:r>
        <w:rPr>
          <w:spacing w:val="1"/>
        </w:rPr>
        <w:t xml:space="preserve"> </w:t>
      </w:r>
      <w:r>
        <w:t>8% could</w:t>
      </w:r>
      <w:r>
        <w:rPr>
          <w:spacing w:val="1"/>
        </w:rPr>
        <w:t xml:space="preserve"> </w:t>
      </w:r>
      <w:r>
        <w:t>be</w:t>
      </w:r>
      <w:r>
        <w:rPr>
          <w:spacing w:val="1"/>
        </w:rPr>
        <w:t xml:space="preserve"> </w:t>
      </w:r>
      <w:r>
        <w:rPr>
          <w:spacing w:val="-1"/>
        </w:rPr>
        <w:t>expected</w:t>
      </w:r>
      <w:r>
        <w:t xml:space="preserve"> over</w:t>
      </w:r>
      <w:r>
        <w:rPr>
          <w:spacing w:val="1"/>
        </w:rPr>
        <w:t xml:space="preserve"> </w:t>
      </w:r>
      <w:r>
        <w:t>this</w:t>
      </w:r>
      <w:r>
        <w:rPr>
          <w:spacing w:val="1"/>
        </w:rPr>
        <w:t xml:space="preserve"> </w:t>
      </w:r>
      <w:r>
        <w:rPr>
          <w:spacing w:val="-1"/>
        </w:rPr>
        <w:t>period,</w:t>
      </w:r>
      <w:r>
        <w:rPr>
          <w:spacing w:val="-1"/>
          <w:position w:val="7"/>
          <w:sz w:val="11"/>
          <w:szCs w:val="11"/>
        </w:rPr>
        <w:t>205</w:t>
      </w:r>
      <w:r>
        <w:rPr>
          <w:spacing w:val="23"/>
          <w:position w:val="7"/>
          <w:sz w:val="11"/>
          <w:szCs w:val="11"/>
        </w:rPr>
        <w:t xml:space="preserve"> </w:t>
      </w:r>
      <w:r>
        <w:rPr>
          <w:rFonts w:cs="Avenir Next"/>
        </w:rPr>
        <w:t xml:space="preserve">the </w:t>
      </w:r>
      <w:r>
        <w:rPr>
          <w:rFonts w:cs="Avenir Next"/>
          <w:spacing w:val="-3"/>
        </w:rPr>
        <w:t>Panel</w:t>
      </w:r>
      <w:r>
        <w:rPr>
          <w:rFonts w:cs="Avenir Next"/>
          <w:spacing w:val="1"/>
        </w:rPr>
        <w:t xml:space="preserve"> </w:t>
      </w:r>
      <w:r>
        <w:rPr>
          <w:rFonts w:cs="Avenir Next"/>
        </w:rPr>
        <w:t>considers</w:t>
      </w:r>
      <w:r>
        <w:rPr>
          <w:rFonts w:cs="Avenir Next"/>
          <w:spacing w:val="-3"/>
        </w:rPr>
        <w:t xml:space="preserve"> </w:t>
      </w:r>
      <w:r>
        <w:rPr>
          <w:rFonts w:cs="Avenir Next"/>
          <w:spacing w:val="-2"/>
        </w:rPr>
        <w:t>ACTEW’s</w:t>
      </w:r>
      <w:r>
        <w:rPr>
          <w:rFonts w:cs="Avenir Next"/>
          <w:spacing w:val="59"/>
        </w:rPr>
        <w:t xml:space="preserve"> </w:t>
      </w:r>
      <w:r>
        <w:rPr>
          <w:spacing w:val="-1"/>
        </w:rPr>
        <w:t>forecast</w:t>
      </w:r>
      <w:r>
        <w:t xml:space="preserve"> network length is </w:t>
      </w:r>
      <w:r>
        <w:rPr>
          <w:spacing w:val="-1"/>
        </w:rPr>
        <w:t>reasonable.</w:t>
      </w:r>
    </w:p>
    <w:p w:rsidR="00D96B91" w:rsidRDefault="00C2656B">
      <w:pPr>
        <w:pStyle w:val="BodyText"/>
        <w:spacing w:before="178"/>
      </w:pPr>
      <w:r>
        <w:rPr>
          <w:spacing w:val="-2"/>
        </w:rPr>
        <w:t>The</w:t>
      </w:r>
      <w:r>
        <w:t xml:space="preserve"> </w:t>
      </w:r>
      <w:r>
        <w:rPr>
          <w:spacing w:val="-4"/>
        </w:rPr>
        <w:t>Panel’s</w:t>
      </w:r>
      <w:r>
        <w:t xml:space="preserve"> </w:t>
      </w:r>
      <w:r>
        <w:rPr>
          <w:spacing w:val="-2"/>
        </w:rPr>
        <w:t>draft</w:t>
      </w:r>
      <w:r>
        <w:t xml:space="preserve"> decision on the</w:t>
      </w:r>
      <w:r>
        <w:rPr>
          <w:spacing w:val="-3"/>
        </w:rPr>
        <w:t xml:space="preserve"> WAC</w:t>
      </w:r>
      <w:r>
        <w:t xml:space="preserve"> and UNFT</w:t>
      </w:r>
      <w:r>
        <w:rPr>
          <w:spacing w:val="-5"/>
        </w:rPr>
        <w:t xml:space="preserve"> </w:t>
      </w:r>
      <w:r>
        <w:rPr>
          <w:spacing w:val="-2"/>
        </w:rPr>
        <w:t>are</w:t>
      </w:r>
      <w:r>
        <w:t xml:space="preserve"> set out in the table </w:t>
      </w:r>
      <w:r>
        <w:rPr>
          <w:spacing w:val="-2"/>
        </w:rPr>
        <w:t>below.</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80" style="width:72.5pt;height:.5pt;mso-position-horizontal-relative:char;mso-position-vertical-relative:line" coordsize="1450,10">
            <v:group id="_x0000_s1881" style="position:absolute;left:5;top:5;width:1440;height:2" coordorigin="5,5" coordsize="1440,2">
              <v:shape id="_x0000_s1882" style="position:absolute;left:5;top:5;width:1440;height:2" coordorigin="5,5" coordsize="1440,0" path="m5,5r1440,e" filled="f" strokeweight=".5pt">
                <v:path arrowok="t"/>
              </v:shape>
            </v:group>
            <w10:wrap type="none"/>
            <w10:anchorlock/>
          </v:group>
        </w:pict>
      </w:r>
    </w:p>
    <w:p w:rsidR="00D96B91" w:rsidRDefault="00C2656B">
      <w:pPr>
        <w:numPr>
          <w:ilvl w:val="0"/>
          <w:numId w:val="58"/>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30.</w:t>
      </w:r>
    </w:p>
    <w:p w:rsidR="00D96B91" w:rsidRDefault="00C2656B">
      <w:pPr>
        <w:numPr>
          <w:ilvl w:val="0"/>
          <w:numId w:val="58"/>
        </w:numPr>
        <w:tabs>
          <w:tab w:val="left" w:pos="1758"/>
        </w:tabs>
        <w:spacing w:before="121"/>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is </w:t>
      </w:r>
      <w:r>
        <w:rPr>
          <w:rFonts w:ascii="Avenir Next"/>
          <w:spacing w:val="-1"/>
          <w:sz w:val="16"/>
        </w:rPr>
        <w:t>broadly</w:t>
      </w:r>
      <w:r>
        <w:rPr>
          <w:rFonts w:ascii="Avenir Next"/>
          <w:sz w:val="16"/>
        </w:rPr>
        <w:t xml:space="preserve"> in line with the </w:t>
      </w:r>
      <w:r>
        <w:rPr>
          <w:rFonts w:ascii="Avenir Next"/>
          <w:spacing w:val="-1"/>
          <w:sz w:val="16"/>
        </w:rPr>
        <w:t>approach</w:t>
      </w:r>
      <w:r>
        <w:rPr>
          <w:rFonts w:ascii="Avenir Next"/>
          <w:sz w:val="16"/>
        </w:rPr>
        <w:t xml:space="preserve"> </w:t>
      </w:r>
      <w:r>
        <w:rPr>
          <w:rFonts w:ascii="Avenir Next"/>
          <w:spacing w:val="-1"/>
          <w:sz w:val="16"/>
        </w:rPr>
        <w:t>previously</w:t>
      </w:r>
      <w:r>
        <w:rPr>
          <w:rFonts w:ascii="Avenir Next"/>
          <w:sz w:val="16"/>
        </w:rPr>
        <w:t xml:space="preserve"> adopted by the ICRC and the </w:t>
      </w:r>
      <w:r>
        <w:rPr>
          <w:rFonts w:ascii="Avenir Next"/>
          <w:spacing w:val="-1"/>
          <w:sz w:val="16"/>
        </w:rPr>
        <w:t>approach</w:t>
      </w:r>
      <w:r>
        <w:rPr>
          <w:rFonts w:ascii="Avenir Next"/>
          <w:sz w:val="16"/>
        </w:rPr>
        <w:t xml:space="preserve"> adopted by the</w:t>
      </w:r>
      <w:r>
        <w:rPr>
          <w:rFonts w:ascii="Avenir Next"/>
          <w:spacing w:val="-3"/>
          <w:sz w:val="16"/>
        </w:rPr>
        <w:t xml:space="preserve"> </w:t>
      </w:r>
      <w:r>
        <w:rPr>
          <w:rFonts w:ascii="Avenir Next"/>
          <w:sz w:val="16"/>
        </w:rPr>
        <w:t>AER.</w:t>
      </w:r>
    </w:p>
    <w:p w:rsidR="00D96B91" w:rsidRDefault="00C2656B">
      <w:pPr>
        <w:numPr>
          <w:ilvl w:val="0"/>
          <w:numId w:val="58"/>
        </w:numPr>
        <w:tabs>
          <w:tab w:val="left" w:pos="1758"/>
        </w:tabs>
        <w:spacing w:before="128" w:line="192" w:lineRule="exact"/>
        <w:ind w:right="1548" w:hanging="510"/>
        <w:rPr>
          <w:rFonts w:ascii="Avenir Next" w:eastAsia="Avenir Next" w:hAnsi="Avenir Next" w:cs="Avenir Next"/>
          <w:sz w:val="16"/>
          <w:szCs w:val="16"/>
        </w:rPr>
      </w:pPr>
      <w:r>
        <w:rPr>
          <w:rFonts w:ascii="Avenir Next"/>
          <w:spacing w:val="-1"/>
          <w:sz w:val="16"/>
        </w:rPr>
        <w:t>These</w:t>
      </w:r>
      <w:r>
        <w:rPr>
          <w:rFonts w:ascii="Avenir Next"/>
          <w:sz w:val="16"/>
        </w:rPr>
        <w:t xml:space="preserve"> dam </w:t>
      </w:r>
      <w:r>
        <w:rPr>
          <w:rFonts w:ascii="Avenir Next"/>
          <w:spacing w:val="-1"/>
          <w:sz w:val="16"/>
        </w:rPr>
        <w:t>releases</w:t>
      </w:r>
      <w:r>
        <w:rPr>
          <w:rFonts w:ascii="Avenir Next"/>
          <w:sz w:val="16"/>
        </w:rPr>
        <w:t xml:space="preserve"> have been </w:t>
      </w:r>
      <w:r>
        <w:rPr>
          <w:rFonts w:ascii="Avenir Next"/>
          <w:spacing w:val="-1"/>
          <w:sz w:val="16"/>
        </w:rPr>
        <w:t>calculated</w:t>
      </w:r>
      <w:r>
        <w:rPr>
          <w:rFonts w:ascii="Avenir Next"/>
          <w:sz w:val="16"/>
        </w:rPr>
        <w:t xml:space="preserve"> using the historic </w:t>
      </w:r>
      <w:r>
        <w:rPr>
          <w:rFonts w:ascii="Avenir Next"/>
          <w:spacing w:val="-1"/>
          <w:sz w:val="16"/>
        </w:rPr>
        <w:t>ratio</w:t>
      </w:r>
      <w:r>
        <w:rPr>
          <w:rFonts w:ascii="Avenir Next"/>
          <w:sz w:val="16"/>
        </w:rPr>
        <w:t xml:space="preserve"> of</w:t>
      </w:r>
      <w:r>
        <w:rPr>
          <w:rFonts w:ascii="Avenir Next"/>
          <w:spacing w:val="3"/>
          <w:sz w:val="16"/>
        </w:rPr>
        <w:t xml:space="preserve"> </w:t>
      </w:r>
      <w:r>
        <w:rPr>
          <w:rFonts w:ascii="Avenir Next"/>
          <w:spacing w:val="-1"/>
          <w:sz w:val="16"/>
        </w:rPr>
        <w:t>water</w:t>
      </w:r>
      <w:r>
        <w:rPr>
          <w:rFonts w:ascii="Avenir Next"/>
          <w:sz w:val="16"/>
        </w:rPr>
        <w:t xml:space="preserve"> </w:t>
      </w:r>
      <w:r>
        <w:rPr>
          <w:rFonts w:ascii="Avenir Next"/>
          <w:spacing w:val="-1"/>
          <w:sz w:val="16"/>
        </w:rPr>
        <w:t>releases</w:t>
      </w:r>
      <w:r>
        <w:rPr>
          <w:rFonts w:ascii="Avenir Next"/>
          <w:sz w:val="16"/>
        </w:rPr>
        <w:t xml:space="preserve"> to </w:t>
      </w:r>
      <w:r>
        <w:rPr>
          <w:rFonts w:ascii="Avenir Next"/>
          <w:spacing w:val="-1"/>
          <w:sz w:val="16"/>
        </w:rPr>
        <w:t>water</w:t>
      </w:r>
      <w:r>
        <w:rPr>
          <w:rFonts w:ascii="Avenir Next"/>
          <w:sz w:val="16"/>
        </w:rPr>
        <w:t xml:space="preserve"> sales.</w:t>
      </w:r>
      <w:r>
        <w:rPr>
          <w:rFonts w:ascii="Avenir Next"/>
          <w:spacing w:val="-5"/>
          <w:sz w:val="16"/>
        </w:rPr>
        <w:t xml:space="preserve"> </w:t>
      </w:r>
      <w:r>
        <w:rPr>
          <w:rFonts w:ascii="Avenir Next"/>
          <w:sz w:val="16"/>
        </w:rPr>
        <w:t xml:space="preserve">Historically </w:t>
      </w:r>
      <w:r>
        <w:rPr>
          <w:rFonts w:ascii="Avenir Next"/>
          <w:spacing w:val="-1"/>
          <w:sz w:val="16"/>
        </w:rPr>
        <w:t>water</w:t>
      </w:r>
      <w:r>
        <w:rPr>
          <w:rFonts w:ascii="Avenir Next"/>
          <w:spacing w:val="57"/>
          <w:sz w:val="16"/>
        </w:rPr>
        <w:t xml:space="preserve"> </w:t>
      </w:r>
      <w:r>
        <w:rPr>
          <w:rFonts w:ascii="Avenir Next"/>
          <w:spacing w:val="-1"/>
          <w:sz w:val="16"/>
        </w:rPr>
        <w:t>releases</w:t>
      </w:r>
      <w:r>
        <w:rPr>
          <w:rFonts w:ascii="Avenir Next"/>
          <w:sz w:val="16"/>
        </w:rPr>
        <w:t xml:space="preserve"> have been </w:t>
      </w:r>
      <w:r>
        <w:rPr>
          <w:rFonts w:ascii="Avenir Next"/>
          <w:spacing w:val="-1"/>
          <w:sz w:val="16"/>
        </w:rPr>
        <w:t>around</w:t>
      </w:r>
      <w:r>
        <w:rPr>
          <w:rFonts w:ascii="Avenir Next"/>
          <w:sz w:val="16"/>
        </w:rPr>
        <w:t xml:space="preserve"> 15% higher than </w:t>
      </w:r>
      <w:r>
        <w:rPr>
          <w:rFonts w:ascii="Avenir Next"/>
          <w:spacing w:val="-1"/>
          <w:sz w:val="16"/>
        </w:rPr>
        <w:t>water</w:t>
      </w:r>
      <w:r>
        <w:rPr>
          <w:rFonts w:ascii="Avenir Next"/>
          <w:sz w:val="16"/>
        </w:rPr>
        <w:t xml:space="preserve"> sales.</w:t>
      </w:r>
      <w:r>
        <w:rPr>
          <w:rFonts w:ascii="Avenir Next"/>
          <w:spacing w:val="-9"/>
          <w:sz w:val="16"/>
        </w:rPr>
        <w:t xml:space="preserve"> </w:t>
      </w:r>
      <w:r>
        <w:rPr>
          <w:rFonts w:ascii="Avenir Next"/>
          <w:spacing w:val="-1"/>
          <w:sz w:val="16"/>
        </w:rPr>
        <w:t>The</w:t>
      </w:r>
      <w:r>
        <w:rPr>
          <w:rFonts w:ascii="Avenir Next"/>
          <w:sz w:val="16"/>
        </w:rPr>
        <w:t xml:space="preserve"> </w:t>
      </w:r>
      <w:r>
        <w:rPr>
          <w:rFonts w:ascii="Avenir Next"/>
          <w:spacing w:val="-1"/>
          <w:sz w:val="16"/>
        </w:rPr>
        <w:t>difference</w:t>
      </w:r>
      <w:r>
        <w:rPr>
          <w:rFonts w:ascii="Avenir Next"/>
          <w:sz w:val="16"/>
        </w:rPr>
        <w:t xml:space="preserve"> is made up of</w:t>
      </w:r>
      <w:r>
        <w:rPr>
          <w:rFonts w:ascii="Avenir Next"/>
          <w:spacing w:val="3"/>
          <w:sz w:val="16"/>
        </w:rPr>
        <w:t xml:space="preserve"> </w:t>
      </w:r>
      <w:r>
        <w:rPr>
          <w:rFonts w:ascii="Avenir Next"/>
          <w:sz w:val="16"/>
        </w:rPr>
        <w:t xml:space="preserve">network losses (or </w:t>
      </w:r>
      <w:r>
        <w:rPr>
          <w:rFonts w:ascii="Avenir Next"/>
          <w:spacing w:val="-1"/>
          <w:sz w:val="16"/>
        </w:rPr>
        <w:t>leakage)</w:t>
      </w:r>
      <w:r>
        <w:rPr>
          <w:rFonts w:ascii="Avenir Next"/>
          <w:sz w:val="16"/>
        </w:rPr>
        <w:t xml:space="preserve"> and</w:t>
      </w:r>
      <w:r>
        <w:rPr>
          <w:rFonts w:ascii="Avenir Next"/>
          <w:spacing w:val="41"/>
          <w:sz w:val="16"/>
        </w:rPr>
        <w:t xml:space="preserve"> </w:t>
      </w:r>
      <w:r>
        <w:rPr>
          <w:rFonts w:ascii="Avenir Next"/>
          <w:spacing w:val="-1"/>
          <w:sz w:val="16"/>
        </w:rPr>
        <w:t>water</w:t>
      </w:r>
      <w:r>
        <w:rPr>
          <w:rFonts w:ascii="Avenir Next"/>
          <w:sz w:val="16"/>
        </w:rPr>
        <w:t xml:space="preserve"> sales to </w:t>
      </w:r>
      <w:r>
        <w:rPr>
          <w:rFonts w:ascii="Avenir Next"/>
          <w:spacing w:val="-1"/>
          <w:sz w:val="16"/>
        </w:rPr>
        <w:t>Queanbeyan</w:t>
      </w:r>
      <w:r>
        <w:rPr>
          <w:rFonts w:ascii="Avenir Next"/>
          <w:sz w:val="16"/>
        </w:rPr>
        <w:t xml:space="preserve"> City </w:t>
      </w:r>
      <w:r>
        <w:rPr>
          <w:rFonts w:ascii="Avenir Next"/>
          <w:spacing w:val="-1"/>
          <w:sz w:val="16"/>
        </w:rPr>
        <w:t>Council.</w:t>
      </w:r>
      <w:r>
        <w:rPr>
          <w:rFonts w:ascii="Avenir Next"/>
          <w:spacing w:val="-5"/>
          <w:sz w:val="16"/>
        </w:rPr>
        <w:t xml:space="preserve"> </w:t>
      </w:r>
      <w:r>
        <w:rPr>
          <w:rFonts w:ascii="Avenir Next"/>
          <w:sz w:val="16"/>
        </w:rPr>
        <w:t>See</w:t>
      </w:r>
      <w:r>
        <w:rPr>
          <w:rFonts w:ascii="Avenir Next"/>
          <w:spacing w:val="-3"/>
          <w:sz w:val="16"/>
        </w:rPr>
        <w:t xml:space="preserve"> </w:t>
      </w:r>
      <w:r>
        <w:rPr>
          <w:rFonts w:ascii="Avenir Next"/>
          <w:spacing w:val="-1"/>
          <w:sz w:val="16"/>
        </w:rPr>
        <w:t>Attachment</w:t>
      </w:r>
      <w:r>
        <w:rPr>
          <w:rFonts w:ascii="Avenir Next"/>
          <w:sz w:val="16"/>
        </w:rPr>
        <w:t xml:space="preserve"> 2 to the </w:t>
      </w:r>
      <w:r>
        <w:rPr>
          <w:rFonts w:ascii="Avenir Next"/>
          <w:spacing w:val="-2"/>
          <w:sz w:val="16"/>
        </w:rPr>
        <w:t>Price</w:t>
      </w:r>
      <w:r>
        <w:rPr>
          <w:rFonts w:ascii="Avenir Next"/>
          <w:sz w:val="16"/>
        </w:rPr>
        <w:t xml:space="preserve"> </w:t>
      </w:r>
      <w:r>
        <w:rPr>
          <w:rFonts w:ascii="Avenir Next"/>
          <w:spacing w:val="-1"/>
          <w:sz w:val="16"/>
        </w:rPr>
        <w:t>Direction:</w:t>
      </w:r>
      <w:r>
        <w:rPr>
          <w:rFonts w:ascii="Avenir Next"/>
          <w:sz w:val="16"/>
        </w:rPr>
        <w:t xml:space="preserve"> </w:t>
      </w:r>
      <w:r>
        <w:rPr>
          <w:rFonts w:ascii="Avenir Next"/>
          <w:spacing w:val="-2"/>
          <w:sz w:val="16"/>
        </w:rPr>
        <w:t>Pricing</w:t>
      </w:r>
      <w:r>
        <w:rPr>
          <w:rFonts w:ascii="Avenir Next"/>
          <w:sz w:val="16"/>
        </w:rPr>
        <w:t xml:space="preserve"> Model - </w:t>
      </w:r>
      <w:r>
        <w:rPr>
          <w:rFonts w:ascii="Avenir Next"/>
          <w:spacing w:val="-1"/>
          <w:sz w:val="16"/>
        </w:rPr>
        <w:t>Regulated</w:t>
      </w:r>
      <w:r>
        <w:rPr>
          <w:rFonts w:ascii="Avenir Next"/>
          <w:spacing w:val="-2"/>
          <w:sz w:val="16"/>
        </w:rPr>
        <w:t xml:space="preserve"> Water</w:t>
      </w:r>
      <w:r>
        <w:rPr>
          <w:rFonts w:ascii="Avenir Next"/>
          <w:sz w:val="16"/>
        </w:rPr>
        <w:t xml:space="preserve"> and</w:t>
      </w:r>
      <w:r>
        <w:rPr>
          <w:rFonts w:ascii="Avenir Next"/>
          <w:spacing w:val="97"/>
          <w:sz w:val="16"/>
        </w:rPr>
        <w:t xml:space="preserve"> </w:t>
      </w:r>
      <w:r>
        <w:rPr>
          <w:rFonts w:ascii="Avenir Next"/>
          <w:spacing w:val="-1"/>
          <w:sz w:val="16"/>
        </w:rPr>
        <w:t>Sewerage</w:t>
      </w:r>
      <w:r>
        <w:rPr>
          <w:rFonts w:ascii="Avenir Next"/>
          <w:sz w:val="16"/>
        </w:rPr>
        <w:t xml:space="preserve"> Services </w:t>
      </w:r>
      <w:r>
        <w:rPr>
          <w:rFonts w:ascii="Avenir Next"/>
          <w:spacing w:val="-1"/>
          <w:sz w:val="16"/>
        </w:rPr>
        <w:t>(June</w:t>
      </w:r>
      <w:r>
        <w:rPr>
          <w:rFonts w:ascii="Avenir Next"/>
          <w:sz w:val="16"/>
        </w:rPr>
        <w:t xml:space="preserve"> 2013) </w:t>
      </w:r>
      <w:r>
        <w:rPr>
          <w:rFonts w:ascii="Avenir Next"/>
          <w:spacing w:val="-1"/>
          <w:sz w:val="16"/>
        </w:rPr>
        <w:t>at</w:t>
      </w:r>
      <w:r>
        <w:rPr>
          <w:rFonts w:ascii="Avenir Next"/>
          <w:sz w:val="16"/>
        </w:rPr>
        <w:t xml:space="preserve"> </w:t>
      </w:r>
      <w:hyperlink r:id="rId81">
        <w:r>
          <w:rPr>
            <w:rFonts w:ascii="Avenir Next"/>
            <w:color w:val="0778BE"/>
            <w:spacing w:val="-1"/>
            <w:sz w:val="16"/>
          </w:rPr>
          <w:t>http://www.icrc.act.gov.au/water-and-sewerage/price-directions/</w:t>
        </w:r>
      </w:hyperlink>
      <w:r>
        <w:rPr>
          <w:rFonts w:ascii="Avenir Next"/>
          <w:spacing w:val="-1"/>
          <w:sz w:val="16"/>
        </w:rPr>
        <w:t>.</w:t>
      </w:r>
    </w:p>
    <w:p w:rsidR="00D96B91" w:rsidRDefault="00C2656B">
      <w:pPr>
        <w:numPr>
          <w:ilvl w:val="0"/>
          <w:numId w:val="58"/>
        </w:numPr>
        <w:tabs>
          <w:tab w:val="left" w:pos="1758"/>
        </w:tabs>
        <w:spacing w:before="141"/>
        <w:ind w:hanging="510"/>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28.</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11.8: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3"/>
          <w:sz w:val="20"/>
          <w:szCs w:val="20"/>
        </w:rPr>
        <w:t xml:space="preserve"> </w:t>
      </w:r>
      <w:r>
        <w:rPr>
          <w:rFonts w:ascii="Avenir Next" w:eastAsia="Avenir Next" w:hAnsi="Avenir Next" w:cs="Avenir Next"/>
          <w:b/>
          <w:bCs/>
          <w:spacing w:val="-2"/>
          <w:sz w:val="20"/>
          <w:szCs w:val="20"/>
        </w:rPr>
        <w:t>Water</w:t>
      </w:r>
      <w:r>
        <w:rPr>
          <w:rFonts w:ascii="Avenir Next" w:eastAsia="Avenir Next" w:hAnsi="Avenir Next" w:cs="Avenir Next"/>
          <w:b/>
          <w:bCs/>
          <w:spacing w:val="-3"/>
          <w:sz w:val="20"/>
          <w:szCs w:val="20"/>
        </w:rPr>
        <w:t xml:space="preserve"> WAC</w:t>
      </w:r>
      <w:r>
        <w:rPr>
          <w:rFonts w:ascii="Avenir Next" w:eastAsia="Avenir Next" w:hAnsi="Avenir Next" w:cs="Avenir Next"/>
          <w:b/>
          <w:bCs/>
          <w:sz w:val="20"/>
          <w:szCs w:val="20"/>
        </w:rPr>
        <w:t xml:space="preserve"> and UNFT</w:t>
      </w:r>
      <w:r>
        <w:rPr>
          <w:rFonts w:ascii="Avenir Next" w:eastAsia="Avenir Next" w:hAnsi="Avenir Next" w:cs="Avenir Next"/>
          <w:b/>
          <w:bCs/>
          <w:spacing w:val="-5"/>
          <w:sz w:val="20"/>
          <w:szCs w:val="20"/>
        </w:rPr>
        <w:t xml:space="preserve"> </w:t>
      </w:r>
      <w:r>
        <w:rPr>
          <w:rFonts w:ascii="Avenir Next" w:eastAsia="Avenir Next" w:hAnsi="Avenir Next" w:cs="Avenir Next"/>
          <w:b/>
          <w:bCs/>
          <w:sz w:val="20"/>
          <w:szCs w:val="20"/>
        </w:rPr>
        <w:t>($m,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53"/>
        <w:gridCol w:w="1232"/>
        <w:gridCol w:w="1232"/>
        <w:gridCol w:w="1232"/>
        <w:gridCol w:w="1232"/>
        <w:gridCol w:w="1232"/>
      </w:tblGrid>
      <w:tr w:rsidR="00D96B91">
        <w:trPr>
          <w:trHeight w:hRule="exact" w:val="407"/>
        </w:trPr>
        <w:tc>
          <w:tcPr>
            <w:tcW w:w="32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9"/>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3"/>
                <w:sz w:val="18"/>
              </w:rPr>
              <w:t>WAC</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5"/>
              <w:rPr>
                <w:rFonts w:ascii="Avenir Next Condensed" w:eastAsia="Avenir Next Condensed" w:hAnsi="Avenir Next Condensed" w:cs="Avenir Next Condensed"/>
                <w:sz w:val="18"/>
                <w:szCs w:val="18"/>
              </w:rPr>
            </w:pPr>
            <w:r>
              <w:rPr>
                <w:rFonts w:ascii="Avenir Next Condensed"/>
                <w:sz w:val="18"/>
              </w:rPr>
              <w:t>25.01</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5"/>
              <w:rPr>
                <w:rFonts w:ascii="Avenir Next Condensed" w:eastAsia="Avenir Next Condensed" w:hAnsi="Avenir Next Condensed" w:cs="Avenir Next Condensed"/>
                <w:sz w:val="18"/>
                <w:szCs w:val="18"/>
              </w:rPr>
            </w:pPr>
            <w:r>
              <w:rPr>
                <w:rFonts w:ascii="Avenir Next Condensed"/>
                <w:sz w:val="18"/>
              </w:rPr>
              <w:t>27.81</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5"/>
              <w:rPr>
                <w:rFonts w:ascii="Avenir Next Condensed" w:eastAsia="Avenir Next Condensed" w:hAnsi="Avenir Next Condensed" w:cs="Avenir Next Condensed"/>
                <w:sz w:val="18"/>
                <w:szCs w:val="18"/>
              </w:rPr>
            </w:pPr>
            <w:r>
              <w:rPr>
                <w:rFonts w:ascii="Avenir Next Condensed"/>
                <w:sz w:val="18"/>
              </w:rPr>
              <w:t>28.16</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5"/>
              <w:rPr>
                <w:rFonts w:ascii="Avenir Next Condensed" w:eastAsia="Avenir Next Condensed" w:hAnsi="Avenir Next Condensed" w:cs="Avenir Next Condensed"/>
                <w:sz w:val="18"/>
                <w:szCs w:val="18"/>
              </w:rPr>
            </w:pPr>
            <w:r>
              <w:rPr>
                <w:rFonts w:ascii="Avenir Next Condensed"/>
                <w:sz w:val="18"/>
              </w:rPr>
              <w:t>28.53</w:t>
            </w:r>
          </w:p>
        </w:tc>
        <w:tc>
          <w:tcPr>
            <w:tcW w:w="123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5"/>
              <w:rPr>
                <w:rFonts w:ascii="Avenir Next Condensed" w:eastAsia="Avenir Next Condensed" w:hAnsi="Avenir Next Condensed" w:cs="Avenir Next Condensed"/>
                <w:sz w:val="18"/>
                <w:szCs w:val="18"/>
              </w:rPr>
            </w:pPr>
            <w:r>
              <w:rPr>
                <w:rFonts w:ascii="Avenir Next Condensed"/>
                <w:sz w:val="18"/>
              </w:rPr>
              <w:t>28.90</w:t>
            </w:r>
          </w:p>
        </w:tc>
      </w:tr>
      <w:tr w:rsidR="00D96B91">
        <w:trPr>
          <w:trHeight w:hRule="exact" w:val="407"/>
        </w:trPr>
        <w:tc>
          <w:tcPr>
            <w:tcW w:w="32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4.10</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
              <w:jc w:val="center"/>
              <w:rPr>
                <w:rFonts w:ascii="Avenir Next Condensed" w:eastAsia="Avenir Next Condensed" w:hAnsi="Avenir Next Condensed" w:cs="Avenir Next Condensed"/>
                <w:sz w:val="18"/>
                <w:szCs w:val="18"/>
              </w:rPr>
            </w:pPr>
            <w:r>
              <w:rPr>
                <w:rFonts w:ascii="Avenir Next Condensed"/>
                <w:sz w:val="18"/>
              </w:rPr>
              <w:t>4.52</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4.74</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4.97</w:t>
            </w:r>
          </w:p>
        </w:tc>
        <w:tc>
          <w:tcPr>
            <w:tcW w:w="123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5.09</w:t>
            </w:r>
          </w:p>
        </w:tc>
      </w:tr>
    </w:tbl>
    <w:p w:rsidR="00D96B91" w:rsidRDefault="00D96B91">
      <w:pPr>
        <w:spacing w:before="3"/>
        <w:rPr>
          <w:rFonts w:ascii="Avenir Next" w:eastAsia="Avenir Next" w:hAnsi="Avenir Next" w:cs="Avenir Next"/>
          <w:b/>
          <w:bCs/>
          <w:sz w:val="18"/>
          <w:szCs w:val="18"/>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11.9: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UNFT</w:t>
      </w:r>
      <w:r>
        <w:rPr>
          <w:rFonts w:ascii="Avenir Next" w:eastAsia="Avenir Next" w:hAnsi="Avenir Next" w:cs="Avenir Next"/>
          <w:b/>
          <w:bCs/>
          <w:spacing w:val="-5"/>
          <w:sz w:val="20"/>
          <w:szCs w:val="20"/>
        </w:rPr>
        <w:t xml:space="preserve"> </w:t>
      </w:r>
      <w:r>
        <w:rPr>
          <w:rFonts w:ascii="Avenir Next" w:eastAsia="Avenir Next" w:hAnsi="Avenir Next" w:cs="Avenir Next"/>
          <w:b/>
          <w:bCs/>
          <w:sz w:val="20"/>
          <w:szCs w:val="20"/>
        </w:rPr>
        <w:t>($m,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213"/>
        <w:gridCol w:w="1240"/>
        <w:gridCol w:w="1240"/>
        <w:gridCol w:w="1240"/>
        <w:gridCol w:w="1240"/>
        <w:gridCol w:w="1240"/>
      </w:tblGrid>
      <w:tr w:rsidR="00D96B91">
        <w:trPr>
          <w:trHeight w:hRule="exact" w:val="407"/>
        </w:trPr>
        <w:tc>
          <w:tcPr>
            <w:tcW w:w="321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4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3"/>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32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UNFT</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3.39</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3.72</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3.89</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4.07</w:t>
            </w:r>
          </w:p>
        </w:tc>
        <w:tc>
          <w:tcPr>
            <w:tcW w:w="124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
              <w:jc w:val="center"/>
              <w:rPr>
                <w:rFonts w:ascii="Avenir Next Condensed" w:eastAsia="Avenir Next Condensed" w:hAnsi="Avenir Next Condensed" w:cs="Avenir Next Condensed"/>
                <w:sz w:val="18"/>
                <w:szCs w:val="18"/>
              </w:rPr>
            </w:pPr>
            <w:r>
              <w:rPr>
                <w:rFonts w:ascii="Avenir Next Condensed"/>
                <w:sz w:val="18"/>
              </w:rPr>
              <w:t>4.25</w:t>
            </w:r>
          </w:p>
        </w:tc>
      </w:tr>
    </w:tbl>
    <w:p w:rsidR="00D96B91" w:rsidRDefault="00D96B91">
      <w:pPr>
        <w:jc w:val="center"/>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58" w:name="12_Forecast_demand_"/>
      <w:bookmarkStart w:id="159" w:name="12._1_Overview_of_the_Panel’s_draft_deci"/>
      <w:bookmarkStart w:id="160" w:name="_bookmark100"/>
      <w:bookmarkEnd w:id="158"/>
      <w:bookmarkEnd w:id="159"/>
      <w:bookmarkEnd w:id="160"/>
      <w:r>
        <w:rPr>
          <w:rFonts w:ascii="Avenir Next Medium"/>
          <w:color w:val="0778BE"/>
          <w:w w:val="95"/>
          <w:sz w:val="40"/>
        </w:rPr>
        <w:t>12</w:t>
      </w:r>
      <w:r>
        <w:rPr>
          <w:rFonts w:ascii="Avenir Next Medium"/>
          <w:color w:val="0778BE"/>
          <w:w w:val="95"/>
          <w:sz w:val="40"/>
        </w:rPr>
        <w:tab/>
      </w:r>
      <w:r>
        <w:rPr>
          <w:rFonts w:ascii="Avenir Next Medium"/>
          <w:color w:val="0778BE"/>
          <w:spacing w:val="-4"/>
          <w:sz w:val="40"/>
        </w:rPr>
        <w:t>For</w:t>
      </w:r>
      <w:bookmarkStart w:id="161" w:name="_bookmark101"/>
      <w:bookmarkEnd w:id="161"/>
      <w:r>
        <w:rPr>
          <w:rFonts w:ascii="Avenir Next Medium"/>
          <w:color w:val="0778BE"/>
          <w:spacing w:val="-4"/>
          <w:sz w:val="40"/>
        </w:rPr>
        <w:t>ecast</w:t>
      </w:r>
      <w:r>
        <w:rPr>
          <w:rFonts w:ascii="Avenir Next Medium"/>
          <w:color w:val="0778BE"/>
          <w:sz w:val="40"/>
        </w:rPr>
        <w:t xml:space="preserve"> demand</w:t>
      </w:r>
    </w:p>
    <w:p w:rsidR="00D96B91" w:rsidRDefault="00C2656B">
      <w:pPr>
        <w:pStyle w:val="BodyText"/>
        <w:spacing w:before="359" w:line="260" w:lineRule="exact"/>
        <w:ind w:right="1335"/>
        <w:rPr>
          <w:rFonts w:cs="Avenir Next"/>
        </w:rPr>
      </w:pPr>
      <w:r>
        <w:rPr>
          <w:spacing w:val="-2"/>
        </w:rPr>
        <w:t>The</w:t>
      </w:r>
      <w:r>
        <w:rPr>
          <w:spacing w:val="-1"/>
        </w:rPr>
        <w:t xml:space="preserve"> </w:t>
      </w:r>
      <w:r>
        <w:t>final component of</w:t>
      </w:r>
      <w:r>
        <w:rPr>
          <w:spacing w:val="3"/>
        </w:rPr>
        <w:t xml:space="preserve"> </w:t>
      </w:r>
      <w:r>
        <w:t xml:space="preserve">the original price </w:t>
      </w:r>
      <w:r>
        <w:rPr>
          <w:spacing w:val="-1"/>
        </w:rPr>
        <w:t xml:space="preserve">direction </w:t>
      </w:r>
      <w:r>
        <w:t xml:space="preserve">the </w:t>
      </w:r>
      <w:r>
        <w:rPr>
          <w:spacing w:val="-3"/>
        </w:rPr>
        <w:t>Panel</w:t>
      </w:r>
      <w:r>
        <w:t xml:space="preserve"> </w:t>
      </w:r>
      <w:r>
        <w:rPr>
          <w:spacing w:val="-1"/>
        </w:rPr>
        <w:t>reviewed</w:t>
      </w:r>
      <w:r>
        <w:t xml:space="preserve"> was</w:t>
      </w:r>
      <w:r>
        <w:rPr>
          <w:spacing w:val="-1"/>
        </w:rPr>
        <w:t xml:space="preserve"> </w:t>
      </w:r>
      <w:r>
        <w:t xml:space="preserve">the </w:t>
      </w:r>
      <w:r>
        <w:rPr>
          <w:spacing w:val="-1"/>
        </w:rPr>
        <w:t>forecast</w:t>
      </w:r>
      <w:r>
        <w:t xml:space="preserve"> demand used</w:t>
      </w:r>
      <w:r>
        <w:rPr>
          <w:spacing w:val="37"/>
        </w:rPr>
        <w:t xml:space="preserve"> </w:t>
      </w:r>
      <w:r>
        <w:t xml:space="preserve">in </w:t>
      </w:r>
      <w:r>
        <w:rPr>
          <w:spacing w:val="-1"/>
        </w:rPr>
        <w:t>converting</w:t>
      </w:r>
      <w:r>
        <w:t xml:space="preserve"> the net </w:t>
      </w:r>
      <w:r>
        <w:rPr>
          <w:spacing w:val="-1"/>
        </w:rPr>
        <w:t>revenue</w:t>
      </w:r>
      <w:r>
        <w:t xml:space="preserve"> </w:t>
      </w:r>
      <w:r>
        <w:rPr>
          <w:spacing w:val="-1"/>
        </w:rPr>
        <w:t>requirement</w:t>
      </w:r>
      <w:r>
        <w:t xml:space="preserve"> (discussed in Chapter 13) into </w:t>
      </w:r>
      <w:r>
        <w:rPr>
          <w:spacing w:val="-1"/>
        </w:rPr>
        <w:t>water</w:t>
      </w:r>
      <w:r>
        <w:t xml:space="preserve"> and </w:t>
      </w:r>
      <w:r>
        <w:rPr>
          <w:spacing w:val="-1"/>
        </w:rPr>
        <w:t>sewerage</w:t>
      </w:r>
      <w:r>
        <w:t xml:space="preserve"> </w:t>
      </w:r>
      <w:r>
        <w:rPr>
          <w:spacing w:val="-1"/>
        </w:rPr>
        <w:t>charges.</w:t>
      </w:r>
      <w:r>
        <w:rPr>
          <w:spacing w:val="49"/>
        </w:rPr>
        <w:t xml:space="preserve"> </w:t>
      </w:r>
      <w:r>
        <w:rPr>
          <w:spacing w:val="-1"/>
        </w:rPr>
        <w:t>This</w:t>
      </w:r>
      <w:r>
        <w:t xml:space="preserve"> includes:</w:t>
      </w:r>
    </w:p>
    <w:p w:rsidR="00D96B91" w:rsidRDefault="00C2656B">
      <w:pPr>
        <w:pStyle w:val="BodyText"/>
        <w:numPr>
          <w:ilvl w:val="0"/>
          <w:numId w:val="131"/>
        </w:numPr>
        <w:tabs>
          <w:tab w:val="left" w:pos="1531"/>
        </w:tabs>
        <w:spacing w:before="170" w:line="260" w:lineRule="exact"/>
        <w:ind w:right="1411" w:hanging="283"/>
        <w:rPr>
          <w:rFonts w:cs="Avenir Next"/>
        </w:rPr>
      </w:pPr>
      <w:r>
        <w:rPr>
          <w:b/>
          <w:spacing w:val="-1"/>
        </w:rPr>
        <w:t>forecast</w:t>
      </w:r>
      <w:r>
        <w:rPr>
          <w:b/>
        </w:rPr>
        <w:t xml:space="preserve"> </w:t>
      </w:r>
      <w:r>
        <w:rPr>
          <w:b/>
          <w:spacing w:val="-1"/>
        </w:rPr>
        <w:t>water</w:t>
      </w:r>
      <w:r>
        <w:rPr>
          <w:b/>
        </w:rPr>
        <w:t xml:space="preserve"> sales,</w:t>
      </w:r>
      <w:r>
        <w:rPr>
          <w:b/>
          <w:spacing w:val="-6"/>
        </w:rPr>
        <w:t xml:space="preserve"> </w:t>
      </w:r>
      <w:r>
        <w:t xml:space="preserve">which </w:t>
      </w:r>
      <w:r>
        <w:rPr>
          <w:spacing w:val="-2"/>
        </w:rPr>
        <w:t>are</w:t>
      </w:r>
      <w:r>
        <w:t xml:space="preserve"> used to determine the volumetric component of</w:t>
      </w:r>
      <w:r>
        <w:rPr>
          <w:spacing w:val="4"/>
        </w:rPr>
        <w:t xml:space="preserve"> </w:t>
      </w:r>
      <w:r>
        <w:t xml:space="preserve">the </w:t>
      </w:r>
      <w:r>
        <w:rPr>
          <w:spacing w:val="-1"/>
        </w:rPr>
        <w:t>water</w:t>
      </w:r>
      <w:r>
        <w:t xml:space="preserve"> </w:t>
      </w:r>
      <w:r>
        <w:rPr>
          <w:spacing w:val="-1"/>
        </w:rPr>
        <w:t>charge</w:t>
      </w:r>
      <w:r>
        <w:rPr>
          <w:spacing w:val="27"/>
        </w:rPr>
        <w:t xml:space="preserve"> </w:t>
      </w:r>
      <w:r>
        <w:t>and,</w:t>
      </w:r>
      <w:r>
        <w:rPr>
          <w:spacing w:val="-6"/>
        </w:rPr>
        <w:t xml:space="preserve"> </w:t>
      </w:r>
      <w:r>
        <w:t xml:space="preserve">under the </w:t>
      </w:r>
      <w:r>
        <w:rPr>
          <w:spacing w:val="-1"/>
        </w:rPr>
        <w:t>current</w:t>
      </w:r>
      <w:r>
        <w:t xml:space="preserve"> </w:t>
      </w:r>
      <w:r>
        <w:rPr>
          <w:spacing w:val="-1"/>
        </w:rPr>
        <w:t>tariff</w:t>
      </w:r>
      <w:r>
        <w:rPr>
          <w:spacing w:val="4"/>
        </w:rPr>
        <w:t xml:space="preserve"> </w:t>
      </w:r>
      <w:r>
        <w:rPr>
          <w:spacing w:val="-1"/>
        </w:rPr>
        <w:t>structure,</w:t>
      </w:r>
      <w:r>
        <w:rPr>
          <w:spacing w:val="-6"/>
        </w:rPr>
        <w:t xml:space="preserve"> </w:t>
      </w:r>
      <w:r>
        <w:rPr>
          <w:spacing w:val="-2"/>
        </w:rPr>
        <w:t>are</w:t>
      </w:r>
      <w:r>
        <w:t xml:space="preserve"> </w:t>
      </w:r>
      <w:r>
        <w:rPr>
          <w:spacing w:val="-2"/>
        </w:rPr>
        <w:t>broken</w:t>
      </w:r>
      <w:r>
        <w:t xml:space="preserve"> down into </w:t>
      </w:r>
      <w:r>
        <w:rPr>
          <w:spacing w:val="-1"/>
        </w:rPr>
        <w:t>water</w:t>
      </w:r>
      <w:r>
        <w:t xml:space="preserve"> consumed </w:t>
      </w:r>
      <w:r>
        <w:rPr>
          <w:spacing w:val="-1"/>
        </w:rPr>
        <w:t>at</w:t>
      </w:r>
      <w:r>
        <w:t xml:space="preserve"> the tier 1 and tier 2</w:t>
      </w:r>
      <w:r>
        <w:rPr>
          <w:spacing w:val="41"/>
        </w:rPr>
        <w:t xml:space="preserve"> </w:t>
      </w:r>
      <w:r>
        <w:t>levels</w:t>
      </w:r>
    </w:p>
    <w:p w:rsidR="00D96B91" w:rsidRDefault="00C2656B">
      <w:pPr>
        <w:numPr>
          <w:ilvl w:val="0"/>
          <w:numId w:val="131"/>
        </w:numPr>
        <w:tabs>
          <w:tab w:val="left" w:pos="1531"/>
        </w:tabs>
        <w:spacing w:before="85" w:line="260" w:lineRule="exact"/>
        <w:ind w:right="1734" w:hanging="283"/>
        <w:rPr>
          <w:rFonts w:ascii="Avenir Next" w:eastAsia="Avenir Next" w:hAnsi="Avenir Next" w:cs="Avenir Next"/>
          <w:sz w:val="20"/>
          <w:szCs w:val="20"/>
        </w:rPr>
      </w:pPr>
      <w:r>
        <w:rPr>
          <w:rFonts w:ascii="Avenir Next"/>
          <w:b/>
          <w:spacing w:val="-1"/>
          <w:sz w:val="20"/>
        </w:rPr>
        <w:t>forecast water</w:t>
      </w:r>
      <w:r>
        <w:rPr>
          <w:rFonts w:ascii="Avenir Next"/>
          <w:b/>
          <w:sz w:val="20"/>
        </w:rPr>
        <w:t xml:space="preserve"> and </w:t>
      </w:r>
      <w:r>
        <w:rPr>
          <w:rFonts w:ascii="Avenir Next"/>
          <w:b/>
          <w:spacing w:val="-1"/>
          <w:sz w:val="20"/>
        </w:rPr>
        <w:t>sewerage</w:t>
      </w:r>
      <w:r>
        <w:rPr>
          <w:rFonts w:ascii="Avenir Next"/>
          <w:b/>
          <w:sz w:val="20"/>
        </w:rPr>
        <w:t xml:space="preserve"> customer numbers,</w:t>
      </w:r>
      <w:r>
        <w:rPr>
          <w:rFonts w:ascii="Avenir Next"/>
          <w:b/>
          <w:spacing w:val="-6"/>
          <w:sz w:val="20"/>
        </w:rPr>
        <w:t xml:space="preserve"> </w:t>
      </w:r>
      <w:r>
        <w:rPr>
          <w:rFonts w:ascii="Avenir Next"/>
          <w:sz w:val="20"/>
        </w:rPr>
        <w:t>which</w:t>
      </w:r>
      <w:r>
        <w:rPr>
          <w:rFonts w:ascii="Avenir Next"/>
          <w:spacing w:val="-1"/>
          <w:sz w:val="20"/>
        </w:rPr>
        <w:t xml:space="preserve"> </w:t>
      </w:r>
      <w:r>
        <w:rPr>
          <w:rFonts w:ascii="Avenir Next"/>
          <w:spacing w:val="-2"/>
          <w:sz w:val="20"/>
        </w:rPr>
        <w:t>are</w:t>
      </w:r>
      <w:r>
        <w:rPr>
          <w:rFonts w:ascii="Avenir Next"/>
          <w:sz w:val="20"/>
        </w:rPr>
        <w:t xml:space="preserve"> used to determine the </w:t>
      </w:r>
      <w:r>
        <w:rPr>
          <w:rFonts w:ascii="Avenir Next"/>
          <w:spacing w:val="-1"/>
          <w:sz w:val="20"/>
        </w:rPr>
        <w:t xml:space="preserve">fixed </w:t>
      </w:r>
      <w:r>
        <w:rPr>
          <w:rFonts w:ascii="Avenir Next"/>
          <w:sz w:val="20"/>
        </w:rPr>
        <w:t>annual</w:t>
      </w:r>
      <w:r>
        <w:rPr>
          <w:rFonts w:ascii="Avenir Next"/>
          <w:spacing w:val="33"/>
          <w:sz w:val="20"/>
        </w:rPr>
        <w:t xml:space="preserve"> </w:t>
      </w:r>
      <w:r>
        <w:rPr>
          <w:rFonts w:ascii="Avenir Next"/>
          <w:spacing w:val="-1"/>
          <w:sz w:val="20"/>
        </w:rPr>
        <w:t>charges</w:t>
      </w:r>
      <w:r>
        <w:rPr>
          <w:rFonts w:ascii="Avenir Next"/>
          <w:sz w:val="20"/>
        </w:rPr>
        <w:t xml:space="preserve"> for </w:t>
      </w:r>
      <w:r>
        <w:rPr>
          <w:rFonts w:ascii="Avenir Next"/>
          <w:spacing w:val="-1"/>
          <w:sz w:val="20"/>
        </w:rPr>
        <w:t>water</w:t>
      </w:r>
      <w:r>
        <w:rPr>
          <w:rFonts w:ascii="Avenir Next"/>
          <w:sz w:val="20"/>
        </w:rPr>
        <w:t xml:space="preserve"> supply </w:t>
      </w:r>
      <w:r>
        <w:rPr>
          <w:rFonts w:ascii="Avenir Next"/>
          <w:spacing w:val="-1"/>
          <w:sz w:val="20"/>
        </w:rPr>
        <w:t>charges</w:t>
      </w:r>
      <w:r>
        <w:rPr>
          <w:rFonts w:ascii="Avenir Next"/>
          <w:sz w:val="20"/>
        </w:rPr>
        <w:t xml:space="preserve"> and </w:t>
      </w:r>
      <w:r>
        <w:rPr>
          <w:rFonts w:ascii="Avenir Next"/>
          <w:spacing w:val="-1"/>
          <w:sz w:val="20"/>
        </w:rPr>
        <w:t>sewerage</w:t>
      </w:r>
      <w:r>
        <w:rPr>
          <w:rFonts w:ascii="Avenir Next"/>
          <w:sz w:val="20"/>
        </w:rPr>
        <w:t xml:space="preserve"> supply </w:t>
      </w:r>
      <w:r>
        <w:rPr>
          <w:rFonts w:ascii="Avenir Next"/>
          <w:spacing w:val="-1"/>
          <w:sz w:val="20"/>
        </w:rPr>
        <w:t>charges,</w:t>
      </w:r>
      <w:r>
        <w:rPr>
          <w:rFonts w:ascii="Avenir Next"/>
          <w:spacing w:val="-6"/>
          <w:sz w:val="20"/>
        </w:rPr>
        <w:t xml:space="preserve"> </w:t>
      </w:r>
      <w:r>
        <w:rPr>
          <w:rFonts w:ascii="Avenir Next"/>
          <w:spacing w:val="-1"/>
          <w:sz w:val="20"/>
        </w:rPr>
        <w:t>respectively,</w:t>
      </w:r>
      <w:r>
        <w:rPr>
          <w:rFonts w:ascii="Avenir Next"/>
          <w:spacing w:val="-6"/>
          <w:sz w:val="20"/>
        </w:rPr>
        <w:t xml:space="preserve"> </w:t>
      </w:r>
      <w:r>
        <w:rPr>
          <w:rFonts w:ascii="Avenir Next"/>
          <w:sz w:val="20"/>
        </w:rPr>
        <w:t>and</w:t>
      </w:r>
    </w:p>
    <w:p w:rsidR="00D96B91" w:rsidRDefault="00C2656B">
      <w:pPr>
        <w:pStyle w:val="BodyText"/>
        <w:numPr>
          <w:ilvl w:val="0"/>
          <w:numId w:val="131"/>
        </w:numPr>
        <w:tabs>
          <w:tab w:val="left" w:pos="1531"/>
        </w:tabs>
        <w:spacing w:before="85" w:line="260" w:lineRule="exact"/>
        <w:ind w:right="1358" w:hanging="283"/>
      </w:pPr>
      <w:r>
        <w:rPr>
          <w:b/>
          <w:spacing w:val="-1"/>
        </w:rPr>
        <w:t>forecast</w:t>
      </w:r>
      <w:r>
        <w:rPr>
          <w:b/>
        </w:rPr>
        <w:t xml:space="preserve"> billable </w:t>
      </w:r>
      <w:r>
        <w:rPr>
          <w:b/>
          <w:spacing w:val="-1"/>
        </w:rPr>
        <w:t>fixtures</w:t>
      </w:r>
      <w:r>
        <w:rPr>
          <w:spacing w:val="-1"/>
        </w:rPr>
        <w:t>,</w:t>
      </w:r>
      <w:r>
        <w:rPr>
          <w:spacing w:val="-6"/>
        </w:rPr>
        <w:t xml:space="preserve"> </w:t>
      </w:r>
      <w:r>
        <w:t xml:space="preserve">which </w:t>
      </w:r>
      <w:r>
        <w:rPr>
          <w:spacing w:val="-2"/>
        </w:rPr>
        <w:t>are</w:t>
      </w:r>
      <w:r>
        <w:t xml:space="preserve"> used to determine additional </w:t>
      </w:r>
      <w:r>
        <w:rPr>
          <w:spacing w:val="-1"/>
        </w:rPr>
        <w:t>sewerage</w:t>
      </w:r>
      <w:r>
        <w:t xml:space="preserve"> supply </w:t>
      </w:r>
      <w:r>
        <w:rPr>
          <w:spacing w:val="-1"/>
        </w:rPr>
        <w:t>charges</w:t>
      </w:r>
      <w:r>
        <w:t xml:space="preserve"> for non-</w:t>
      </w:r>
      <w:r>
        <w:rPr>
          <w:spacing w:val="39"/>
        </w:rPr>
        <w:t xml:space="preserve"> </w:t>
      </w:r>
      <w:r>
        <w:rPr>
          <w:spacing w:val="-1"/>
        </w:rPr>
        <w:t xml:space="preserve">residential </w:t>
      </w:r>
      <w:r>
        <w:t>customers</w:t>
      </w:r>
      <w:r>
        <w:rPr>
          <w:spacing w:val="-1"/>
        </w:rPr>
        <w:t xml:space="preserve"> that</w:t>
      </w:r>
      <w:r>
        <w:t xml:space="preserve"> have</w:t>
      </w:r>
      <w:r>
        <w:rPr>
          <w:spacing w:val="-1"/>
        </w:rPr>
        <w:t xml:space="preserve"> more</w:t>
      </w:r>
      <w:r>
        <w:t xml:space="preserve"> than</w:t>
      </w:r>
      <w:r>
        <w:rPr>
          <w:spacing w:val="-1"/>
        </w:rPr>
        <w:t xml:space="preserve"> </w:t>
      </w:r>
      <w:r>
        <w:t>two billable</w:t>
      </w:r>
      <w:r>
        <w:rPr>
          <w:spacing w:val="-1"/>
        </w:rPr>
        <w:t xml:space="preserve"> fixtures.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13"/>
        <w:rPr>
          <w:sz w:val="11"/>
          <w:szCs w:val="11"/>
        </w:rPr>
      </w:pPr>
      <w:r>
        <w:rPr>
          <w:rFonts w:cs="Avenir Next"/>
        </w:rPr>
        <w:t xml:space="preserve">Deciding on the demand </w:t>
      </w:r>
      <w:r>
        <w:rPr>
          <w:rFonts w:cs="Avenir Next"/>
          <w:spacing w:val="-1"/>
        </w:rPr>
        <w:t>forecasts</w:t>
      </w:r>
      <w:r>
        <w:rPr>
          <w:rFonts w:cs="Avenir Next"/>
        </w:rPr>
        <w:t xml:space="preserve"> for the </w:t>
      </w:r>
      <w:r>
        <w:rPr>
          <w:rFonts w:cs="Avenir Next"/>
          <w:spacing w:val="-1"/>
        </w:rPr>
        <w:t>regulatory</w:t>
      </w:r>
      <w:r>
        <w:rPr>
          <w:rFonts w:cs="Avenir Next"/>
        </w:rPr>
        <w:t xml:space="preserve"> period is a critical </w:t>
      </w:r>
      <w:r>
        <w:rPr>
          <w:rFonts w:cs="Avenir Next"/>
          <w:spacing w:val="-1"/>
        </w:rPr>
        <w:t>part</w:t>
      </w:r>
      <w:r>
        <w:rPr>
          <w:rFonts w:cs="Avenir Next"/>
        </w:rPr>
        <w:t xml:space="preserve"> of</w:t>
      </w:r>
      <w:r>
        <w:rPr>
          <w:rFonts w:cs="Avenir Next"/>
          <w:spacing w:val="4"/>
        </w:rPr>
        <w:t xml:space="preserve"> </w:t>
      </w:r>
      <w:r>
        <w:rPr>
          <w:rFonts w:cs="Avenir Next"/>
        </w:rPr>
        <w:t xml:space="preserve">the price </w:t>
      </w:r>
      <w:r>
        <w:rPr>
          <w:rFonts w:cs="Avenir Next"/>
          <w:spacing w:val="-1"/>
        </w:rPr>
        <w:t>regulation</w:t>
      </w:r>
      <w:r>
        <w:rPr>
          <w:rFonts w:cs="Avenir Next"/>
          <w:spacing w:val="27"/>
        </w:rPr>
        <w:t xml:space="preserve"> </w:t>
      </w:r>
      <w:r>
        <w:rPr>
          <w:spacing w:val="-1"/>
        </w:rPr>
        <w:t>process,</w:t>
      </w:r>
      <w:r>
        <w:rPr>
          <w:spacing w:val="-6"/>
        </w:rPr>
        <w:t xml:space="preserve"> </w:t>
      </w:r>
      <w:r>
        <w:t xml:space="preserve">as these </w:t>
      </w:r>
      <w:r>
        <w:rPr>
          <w:spacing w:val="-1"/>
        </w:rPr>
        <w:t>forecasts</w:t>
      </w:r>
      <w:r>
        <w:t xml:space="preserve"> have a </w:t>
      </w:r>
      <w:r>
        <w:rPr>
          <w:spacing w:val="-1"/>
        </w:rPr>
        <w:t>large</w:t>
      </w:r>
      <w:r>
        <w:t xml:space="preserve"> impact on the </w:t>
      </w:r>
      <w:r>
        <w:rPr>
          <w:spacing w:val="-1"/>
        </w:rPr>
        <w:t>resulting</w:t>
      </w:r>
      <w:r>
        <w:t xml:space="preserve"> price levels.</w:t>
      </w:r>
      <w:r>
        <w:rPr>
          <w:spacing w:val="-7"/>
        </w:rPr>
        <w:t xml:space="preserve"> </w:t>
      </w:r>
      <w:r>
        <w:rPr>
          <w:spacing w:val="-4"/>
        </w:rPr>
        <w:t>For</w:t>
      </w:r>
      <w:r>
        <w:t xml:space="preserve"> any given </w:t>
      </w:r>
      <w:r>
        <w:rPr>
          <w:spacing w:val="-1"/>
        </w:rPr>
        <w:t>revenue</w:t>
      </w:r>
      <w:r>
        <w:rPr>
          <w:spacing w:val="41"/>
        </w:rPr>
        <w:t xml:space="preserve"> </w:t>
      </w:r>
      <w:r>
        <w:rPr>
          <w:rFonts w:cs="Avenir Next"/>
          <w:spacing w:val="-1"/>
        </w:rPr>
        <w:t>requirement,</w:t>
      </w:r>
      <w:r>
        <w:rPr>
          <w:rFonts w:cs="Avenir Next"/>
          <w:spacing w:val="-7"/>
        </w:rPr>
        <w:t xml:space="preserve"> </w:t>
      </w:r>
      <w:r>
        <w:rPr>
          <w:rFonts w:cs="Avenir Next"/>
        </w:rPr>
        <w:t xml:space="preserve">a higher demand </w:t>
      </w:r>
      <w:r>
        <w:rPr>
          <w:rFonts w:cs="Avenir Next"/>
          <w:spacing w:val="-1"/>
        </w:rPr>
        <w:t>forecast</w:t>
      </w:r>
      <w:r>
        <w:rPr>
          <w:rFonts w:cs="Avenir Next"/>
        </w:rPr>
        <w:t xml:space="preserve"> will </w:t>
      </w:r>
      <w:r>
        <w:rPr>
          <w:rFonts w:cs="Avenir Next"/>
          <w:spacing w:val="-1"/>
        </w:rPr>
        <w:t>lead</w:t>
      </w:r>
      <w:r>
        <w:rPr>
          <w:rFonts w:cs="Avenir Next"/>
        </w:rPr>
        <w:t xml:space="preserve"> to lower prices,</w:t>
      </w:r>
      <w:r>
        <w:rPr>
          <w:rFonts w:cs="Avenir Next"/>
          <w:spacing w:val="-7"/>
        </w:rPr>
        <w:t xml:space="preserve"> </w:t>
      </w:r>
      <w:r>
        <w:rPr>
          <w:rFonts w:cs="Avenir Next"/>
        </w:rPr>
        <w:t xml:space="preserve">while a lower demand </w:t>
      </w:r>
      <w:r>
        <w:rPr>
          <w:rFonts w:cs="Avenir Next"/>
          <w:spacing w:val="-1"/>
        </w:rPr>
        <w:t>forecast</w:t>
      </w:r>
      <w:r>
        <w:rPr>
          <w:rFonts w:cs="Avenir Next"/>
        </w:rPr>
        <w:t xml:space="preserve"> will</w:t>
      </w:r>
      <w:r>
        <w:rPr>
          <w:rFonts w:cs="Avenir Next"/>
          <w:spacing w:val="29"/>
        </w:rPr>
        <w:t xml:space="preserve"> </w:t>
      </w:r>
      <w:r>
        <w:rPr>
          <w:spacing w:val="-1"/>
        </w:rPr>
        <w:t>lead</w:t>
      </w:r>
      <w:r>
        <w:t xml:space="preserve"> to higher prices.</w:t>
      </w:r>
      <w:r>
        <w:rPr>
          <w:spacing w:val="-6"/>
        </w:rPr>
        <w:t xml:space="preserve"> </w:t>
      </w:r>
      <w:r>
        <w:t xml:space="preserve">It is </w:t>
      </w:r>
      <w:r>
        <w:rPr>
          <w:spacing w:val="-1"/>
        </w:rPr>
        <w:t>important</w:t>
      </w:r>
      <w:r>
        <w:t xml:space="preserve"> </w:t>
      </w:r>
      <w:r>
        <w:rPr>
          <w:spacing w:val="-1"/>
        </w:rPr>
        <w:t>that</w:t>
      </w:r>
      <w:r>
        <w:t xml:space="preserve"> the </w:t>
      </w:r>
      <w:r>
        <w:rPr>
          <w:spacing w:val="-1"/>
        </w:rPr>
        <w:t>forecasts</w:t>
      </w:r>
      <w:r>
        <w:t xml:space="preserve"> adopted by the </w:t>
      </w:r>
      <w:r>
        <w:rPr>
          <w:spacing w:val="-1"/>
        </w:rPr>
        <w:t>regulator</w:t>
      </w:r>
      <w:r>
        <w:t xml:space="preserve"> </w:t>
      </w:r>
      <w:r>
        <w:rPr>
          <w:spacing w:val="-2"/>
        </w:rPr>
        <w:t>are</w:t>
      </w:r>
      <w:r>
        <w:t xml:space="preserve"> neither overly</w:t>
      </w:r>
      <w:r>
        <w:rPr>
          <w:spacing w:val="41"/>
        </w:rPr>
        <w:t xml:space="preserve"> </w:t>
      </w:r>
      <w:r>
        <w:rPr>
          <w:rFonts w:cs="Avenir Next"/>
          <w:spacing w:val="-1"/>
        </w:rPr>
        <w:t>conservative</w:t>
      </w:r>
      <w:r>
        <w:rPr>
          <w:rFonts w:cs="Avenir Next"/>
        </w:rPr>
        <w:t xml:space="preserve"> (or customers will pay higher prices than necessary to </w:t>
      </w:r>
      <w:r>
        <w:rPr>
          <w:rFonts w:cs="Avenir Next"/>
          <w:spacing w:val="-1"/>
        </w:rPr>
        <w:t>recover</w:t>
      </w:r>
      <w:r>
        <w:rPr>
          <w:rFonts w:cs="Avenir Next"/>
        </w:rPr>
        <w:t xml:space="preserve"> the </w:t>
      </w:r>
      <w:r>
        <w:rPr>
          <w:rFonts w:cs="Avenir Next"/>
          <w:spacing w:val="-1"/>
        </w:rPr>
        <w:t>regulated</w:t>
      </w:r>
      <w:r>
        <w:rPr>
          <w:rFonts w:cs="Avenir Next"/>
        </w:rPr>
        <w:t xml:space="preserve"> business’</w:t>
      </w:r>
      <w:r>
        <w:rPr>
          <w:rFonts w:cs="Avenir Next"/>
          <w:spacing w:val="31"/>
        </w:rPr>
        <w:t xml:space="preserve"> </w:t>
      </w:r>
      <w:r>
        <w:rPr>
          <w:spacing w:val="-1"/>
        </w:rPr>
        <w:t xml:space="preserve">efficient </w:t>
      </w:r>
      <w:r>
        <w:t>costs),</w:t>
      </w:r>
      <w:r>
        <w:rPr>
          <w:spacing w:val="-7"/>
        </w:rPr>
        <w:t xml:space="preserve"> </w:t>
      </w:r>
      <w:r>
        <w:t>nor</w:t>
      </w:r>
      <w:r>
        <w:rPr>
          <w:spacing w:val="-1"/>
        </w:rPr>
        <w:t xml:space="preserve"> </w:t>
      </w:r>
      <w:r>
        <w:t>overly buoyant</w:t>
      </w:r>
      <w:r>
        <w:rPr>
          <w:spacing w:val="-1"/>
        </w:rPr>
        <w:t xml:space="preserve"> </w:t>
      </w:r>
      <w:r>
        <w:t>(or</w:t>
      </w:r>
      <w:r>
        <w:rPr>
          <w:spacing w:val="-1"/>
        </w:rPr>
        <w:t xml:space="preserve"> </w:t>
      </w:r>
      <w:r>
        <w:t>the</w:t>
      </w:r>
      <w:r>
        <w:rPr>
          <w:spacing w:val="-1"/>
        </w:rPr>
        <w:t xml:space="preserve"> regulated</w:t>
      </w:r>
      <w:r>
        <w:t xml:space="preserve"> business</w:t>
      </w:r>
      <w:r>
        <w:rPr>
          <w:spacing w:val="-1"/>
        </w:rPr>
        <w:t xml:space="preserve"> </w:t>
      </w:r>
      <w:r>
        <w:t>may</w:t>
      </w:r>
      <w:r>
        <w:rPr>
          <w:spacing w:val="-1"/>
        </w:rPr>
        <w:t xml:space="preserve"> earn insufficient</w:t>
      </w:r>
      <w:r>
        <w:t xml:space="preserve"> </w:t>
      </w:r>
      <w:r>
        <w:rPr>
          <w:spacing w:val="-1"/>
        </w:rPr>
        <w:t xml:space="preserve">revenue </w:t>
      </w:r>
      <w:r>
        <w:t>to</w:t>
      </w:r>
      <w:r>
        <w:rPr>
          <w:spacing w:val="-1"/>
        </w:rPr>
        <w:t xml:space="preserve"> </w:t>
      </w:r>
      <w:r>
        <w:t>cover</w:t>
      </w:r>
      <w:r>
        <w:rPr>
          <w:spacing w:val="-1"/>
        </w:rPr>
        <w:t xml:space="preserve"> </w:t>
      </w:r>
      <w:r>
        <w:t>its</w:t>
      </w:r>
      <w:r>
        <w:rPr>
          <w:spacing w:val="43"/>
        </w:rPr>
        <w:t xml:space="preserve"> </w:t>
      </w:r>
      <w:r>
        <w:rPr>
          <w:spacing w:val="-1"/>
        </w:rPr>
        <w:t>efficient</w:t>
      </w:r>
      <w:r>
        <w:rPr>
          <w:spacing w:val="2"/>
        </w:rPr>
        <w:t xml:space="preserve"> </w:t>
      </w:r>
      <w:r>
        <w:t>costs).</w:t>
      </w:r>
      <w:r>
        <w:rPr>
          <w:spacing w:val="-5"/>
        </w:rPr>
        <w:t xml:space="preserve"> </w:t>
      </w:r>
      <w:r>
        <w:rPr>
          <w:position w:val="7"/>
          <w:sz w:val="11"/>
          <w:szCs w:val="11"/>
        </w:rPr>
        <w:t>206</w:t>
      </w:r>
    </w:p>
    <w:p w:rsidR="00D96B91" w:rsidRDefault="00C2656B">
      <w:pPr>
        <w:pStyle w:val="BodyText"/>
        <w:spacing w:before="170" w:line="260" w:lineRule="exact"/>
        <w:ind w:right="1356"/>
        <w:rPr>
          <w:rFonts w:cs="Avenir Next"/>
        </w:rPr>
      </w:pPr>
      <w:r>
        <w:t xml:space="preserve">Because it is </w:t>
      </w:r>
      <w:r>
        <w:rPr>
          <w:spacing w:val="-1"/>
        </w:rPr>
        <w:t>already</w:t>
      </w:r>
      <w:r>
        <w:t xml:space="preserve"> </w:t>
      </w:r>
      <w:r>
        <w:rPr>
          <w:spacing w:val="-1"/>
        </w:rPr>
        <w:t>part</w:t>
      </w:r>
      <w:r>
        <w:t xml:space="preserve"> way </w:t>
      </w:r>
      <w:r>
        <w:rPr>
          <w:spacing w:val="-1"/>
        </w:rPr>
        <w:t>through</w:t>
      </w:r>
      <w:r>
        <w:t xml:space="preserve"> this </w:t>
      </w:r>
      <w:r>
        <w:rPr>
          <w:spacing w:val="-1"/>
        </w:rPr>
        <w:t>regulatory</w:t>
      </w:r>
      <w:r>
        <w:t xml:space="preserve"> period,</w:t>
      </w:r>
      <w:r>
        <w:rPr>
          <w:spacing w:val="-6"/>
        </w:rPr>
        <w:t xml:space="preserve"> </w:t>
      </w:r>
      <w:r>
        <w:t xml:space="preserve">actual demand </w:t>
      </w:r>
      <w:r>
        <w:rPr>
          <w:spacing w:val="-1"/>
        </w:rPr>
        <w:t>data</w:t>
      </w:r>
      <w:r>
        <w:t xml:space="preserve"> is available for the</w:t>
      </w:r>
      <w:r>
        <w:rPr>
          <w:spacing w:val="21"/>
        </w:rPr>
        <w:t xml:space="preserve"> </w:t>
      </w:r>
      <w:r>
        <w:t>first</w:t>
      </w:r>
      <w:r>
        <w:rPr>
          <w:spacing w:val="-1"/>
        </w:rPr>
        <w:t xml:space="preserve"> year</w:t>
      </w:r>
      <w:r>
        <w:t xml:space="preserve"> of</w:t>
      </w:r>
      <w:r>
        <w:rPr>
          <w:spacing w:val="4"/>
        </w:rPr>
        <w:t xml:space="preserve"> </w:t>
      </w:r>
      <w:r>
        <w:t>this period (2013-14),</w:t>
      </w:r>
      <w:r>
        <w:rPr>
          <w:spacing w:val="-8"/>
        </w:rPr>
        <w:t xml:space="preserve"> </w:t>
      </w:r>
      <w:r>
        <w:t xml:space="preserve">so the </w:t>
      </w:r>
      <w:r>
        <w:rPr>
          <w:spacing w:val="-3"/>
        </w:rPr>
        <w:t>Panel</w:t>
      </w:r>
      <w:r>
        <w:t xml:space="preserve"> used this </w:t>
      </w:r>
      <w:r>
        <w:rPr>
          <w:spacing w:val="-1"/>
        </w:rPr>
        <w:t>data.</w:t>
      </w:r>
      <w:r>
        <w:rPr>
          <w:spacing w:val="-12"/>
        </w:rPr>
        <w:t xml:space="preserve"> </w:t>
      </w:r>
      <w:r>
        <w:rPr>
          <w:spacing w:val="-10"/>
        </w:rPr>
        <w:t>To</w:t>
      </w:r>
      <w:r>
        <w:t xml:space="preserve"> </w:t>
      </w:r>
      <w:r>
        <w:rPr>
          <w:spacing w:val="-2"/>
        </w:rPr>
        <w:t>reach</w:t>
      </w:r>
      <w:r>
        <w:t xml:space="preserve"> its </w:t>
      </w:r>
      <w:r>
        <w:rPr>
          <w:spacing w:val="-2"/>
        </w:rPr>
        <w:t>draft</w:t>
      </w:r>
      <w:r>
        <w:t xml:space="preserve"> decision on</w:t>
      </w:r>
      <w:r>
        <w:rPr>
          <w:spacing w:val="-1"/>
        </w:rPr>
        <w:t xml:space="preserve"> </w:t>
      </w:r>
      <w:r>
        <w:t xml:space="preserve">the </w:t>
      </w:r>
      <w:r>
        <w:rPr>
          <w:spacing w:val="-1"/>
        </w:rPr>
        <w:t>forecast</w:t>
      </w:r>
      <w:r>
        <w:rPr>
          <w:spacing w:val="41"/>
        </w:rPr>
        <w:t xml:space="preserve"> </w:t>
      </w:r>
      <w:r>
        <w:t xml:space="preserve">demand in the </w:t>
      </w:r>
      <w:r>
        <w:rPr>
          <w:spacing w:val="-1"/>
        </w:rPr>
        <w:t>remaining</w:t>
      </w:r>
      <w:r>
        <w:t xml:space="preserve"> four </w:t>
      </w:r>
      <w:r>
        <w:rPr>
          <w:spacing w:val="-1"/>
        </w:rPr>
        <w:t>years</w:t>
      </w:r>
      <w:r>
        <w:t xml:space="preserve"> of</w:t>
      </w:r>
      <w:r>
        <w:rPr>
          <w:spacing w:val="4"/>
        </w:rPr>
        <w:t xml:space="preserve"> </w:t>
      </w:r>
      <w:r>
        <w:t>the period,</w:t>
      </w:r>
      <w:r>
        <w:rPr>
          <w:spacing w:val="-6"/>
        </w:rPr>
        <w:t xml:space="preserve"> </w:t>
      </w:r>
      <w:r>
        <w:t xml:space="preserve">the </w:t>
      </w:r>
      <w:r>
        <w:rPr>
          <w:spacing w:val="-3"/>
        </w:rPr>
        <w:t>Panel</w:t>
      </w:r>
      <w:r>
        <w:t xml:space="preserve"> </w:t>
      </w:r>
      <w:r>
        <w:rPr>
          <w:spacing w:val="-1"/>
        </w:rPr>
        <w:t>considered:</w:t>
      </w:r>
    </w:p>
    <w:p w:rsidR="00D96B91" w:rsidRDefault="00C2656B">
      <w:pPr>
        <w:pStyle w:val="BodyText"/>
        <w:numPr>
          <w:ilvl w:val="0"/>
          <w:numId w:val="131"/>
        </w:numPr>
        <w:tabs>
          <w:tab w:val="left" w:pos="1531"/>
        </w:tabs>
        <w:spacing w:before="170" w:line="260" w:lineRule="exact"/>
        <w:ind w:right="1444" w:hanging="283"/>
        <w:rPr>
          <w:rFonts w:cs="Avenir Next"/>
        </w:rPr>
      </w:pPr>
      <w:r>
        <w:t>the</w:t>
      </w:r>
      <w:r>
        <w:rPr>
          <w:spacing w:val="-1"/>
        </w:rPr>
        <w:t xml:space="preserve"> </w:t>
      </w:r>
      <w:r>
        <w:rPr>
          <w:spacing w:val="-2"/>
        </w:rPr>
        <w:t>ICRC’s</w:t>
      </w:r>
      <w:r>
        <w:t xml:space="preserve"> final</w:t>
      </w:r>
      <w:r>
        <w:rPr>
          <w:spacing w:val="-1"/>
        </w:rPr>
        <w:t xml:space="preserve"> </w:t>
      </w:r>
      <w:r>
        <w:t>decision for</w:t>
      </w:r>
      <w:r>
        <w:rPr>
          <w:spacing w:val="-1"/>
        </w:rPr>
        <w:t xml:space="preserve"> </w:t>
      </w:r>
      <w:r>
        <w:t>the first two</w:t>
      </w:r>
      <w:r>
        <w:rPr>
          <w:spacing w:val="-1"/>
        </w:rPr>
        <w:t xml:space="preserve"> years</w:t>
      </w:r>
      <w:r>
        <w:t xml:space="preserve"> of</w:t>
      </w:r>
      <w:r>
        <w:rPr>
          <w:spacing w:val="3"/>
        </w:rPr>
        <w:t xml:space="preserve"> </w:t>
      </w:r>
      <w:r>
        <w:t xml:space="preserve">the </w:t>
      </w:r>
      <w:r>
        <w:rPr>
          <w:spacing w:val="-1"/>
        </w:rPr>
        <w:t xml:space="preserve">regulatory </w:t>
      </w:r>
      <w:r>
        <w:t>period,</w:t>
      </w:r>
      <w:r>
        <w:rPr>
          <w:spacing w:val="-6"/>
        </w:rPr>
        <w:t xml:space="preserve"> </w:t>
      </w:r>
      <w:r>
        <w:t>and its</w:t>
      </w:r>
      <w:r>
        <w:rPr>
          <w:spacing w:val="-1"/>
        </w:rPr>
        <w:t xml:space="preserve"> rationale</w:t>
      </w:r>
      <w:r>
        <w:t xml:space="preserve"> for</w:t>
      </w:r>
      <w:r>
        <w:rPr>
          <w:spacing w:val="-1"/>
        </w:rPr>
        <w:t xml:space="preserve"> </w:t>
      </w:r>
      <w:r>
        <w:t>making</w:t>
      </w:r>
      <w:r>
        <w:rPr>
          <w:spacing w:val="27"/>
        </w:rPr>
        <w:t xml:space="preserve"> </w:t>
      </w:r>
      <w:r>
        <w:rPr>
          <w:rFonts w:cs="Avenir Next"/>
          <w:spacing w:val="-1"/>
        </w:rPr>
        <w:t>that</w:t>
      </w:r>
      <w:r>
        <w:rPr>
          <w:rFonts w:cs="Avenir Next"/>
        </w:rPr>
        <w:t xml:space="preserve"> decision and </w:t>
      </w:r>
      <w:r>
        <w:rPr>
          <w:rFonts w:cs="Avenir Next"/>
          <w:spacing w:val="-1"/>
        </w:rPr>
        <w:t>rejecting</w:t>
      </w:r>
      <w:r>
        <w:rPr>
          <w:rFonts w:cs="Avenir Next"/>
          <w:spacing w:val="-4"/>
        </w:rPr>
        <w:t xml:space="preserve"> </w:t>
      </w:r>
      <w:r>
        <w:rPr>
          <w:rFonts w:cs="Avenir Next"/>
          <w:spacing w:val="-2"/>
        </w:rPr>
        <w:t>ACTEW’s</w:t>
      </w:r>
      <w:r>
        <w:rPr>
          <w:rFonts w:cs="Avenir Next"/>
        </w:rPr>
        <w:t xml:space="preserve"> </w:t>
      </w:r>
      <w:r>
        <w:rPr>
          <w:rFonts w:cs="Avenir Next"/>
          <w:spacing w:val="-1"/>
        </w:rPr>
        <w:t>proposal</w:t>
      </w:r>
      <w:r>
        <w:rPr>
          <w:rFonts w:cs="Avenir Next"/>
        </w:rPr>
        <w:t xml:space="preserve"> on </w:t>
      </w:r>
      <w:r>
        <w:rPr>
          <w:rFonts w:cs="Avenir Next"/>
          <w:spacing w:val="-1"/>
        </w:rPr>
        <w:t>forecast</w:t>
      </w:r>
      <w:r>
        <w:rPr>
          <w:rFonts w:cs="Avenir Next"/>
        </w:rPr>
        <w:t xml:space="preserve"> demand</w:t>
      </w:r>
    </w:p>
    <w:p w:rsidR="00D96B91" w:rsidRDefault="00C2656B">
      <w:pPr>
        <w:pStyle w:val="BodyText"/>
        <w:numPr>
          <w:ilvl w:val="0"/>
          <w:numId w:val="131"/>
        </w:numPr>
        <w:tabs>
          <w:tab w:val="left" w:pos="1531"/>
        </w:tabs>
        <w:spacing w:before="85" w:line="260" w:lineRule="exact"/>
        <w:ind w:right="1640" w:hanging="283"/>
      </w:pPr>
      <w:r>
        <w:rPr>
          <w:spacing w:val="-2"/>
        </w:rPr>
        <w:t>ACTEW’s</w:t>
      </w:r>
      <w:r>
        <w:t xml:space="preserve"> </w:t>
      </w:r>
      <w:r>
        <w:rPr>
          <w:spacing w:val="-1"/>
        </w:rPr>
        <w:t>proposal</w:t>
      </w:r>
      <w:r>
        <w:t xml:space="preserve"> (both </w:t>
      </w:r>
      <w:r>
        <w:rPr>
          <w:spacing w:val="-1"/>
        </w:rPr>
        <w:t>originally,</w:t>
      </w:r>
      <w:r>
        <w:rPr>
          <w:spacing w:val="-6"/>
        </w:rPr>
        <w:t xml:space="preserve"> </w:t>
      </w:r>
      <w:r>
        <w:t xml:space="preserve">in its SOFC and in </w:t>
      </w:r>
      <w:r>
        <w:rPr>
          <w:spacing w:val="-1"/>
        </w:rPr>
        <w:t>information</w:t>
      </w:r>
      <w:r>
        <w:t xml:space="preserve"> </w:t>
      </w:r>
      <w:r>
        <w:rPr>
          <w:spacing w:val="-1"/>
        </w:rPr>
        <w:t>provided</w:t>
      </w:r>
      <w:r>
        <w:t xml:space="preserve"> in </w:t>
      </w:r>
      <w:r>
        <w:rPr>
          <w:spacing w:val="-1"/>
        </w:rPr>
        <w:t>response</w:t>
      </w:r>
      <w:r>
        <w:t xml:space="preserve"> to the</w:t>
      </w:r>
      <w:r>
        <w:rPr>
          <w:spacing w:val="51"/>
        </w:rPr>
        <w:t xml:space="preserve"> </w:t>
      </w:r>
      <w:r>
        <w:rPr>
          <w:spacing w:val="-4"/>
        </w:rPr>
        <w:t>Panel’s</w:t>
      </w:r>
      <w:r>
        <w:t xml:space="preserve"> </w:t>
      </w:r>
      <w:r>
        <w:rPr>
          <w:spacing w:val="-1"/>
        </w:rPr>
        <w:t>request),</w:t>
      </w:r>
      <w:r>
        <w:rPr>
          <w:spacing w:val="-6"/>
        </w:rPr>
        <w:t xml:space="preserve"> </w:t>
      </w:r>
      <w:r>
        <w:t xml:space="preserve">including </w:t>
      </w:r>
      <w:r>
        <w:rPr>
          <w:spacing w:val="-1"/>
        </w:rPr>
        <w:t>that</w:t>
      </w:r>
      <w:r>
        <w:t xml:space="preserve"> all </w:t>
      </w:r>
      <w:r>
        <w:rPr>
          <w:spacing w:val="-1"/>
        </w:rPr>
        <w:t>forecast</w:t>
      </w:r>
      <w:r>
        <w:t xml:space="preserve"> demand </w:t>
      </w:r>
      <w:r>
        <w:rPr>
          <w:spacing w:val="-1"/>
        </w:rPr>
        <w:t>measures</w:t>
      </w:r>
      <w:r>
        <w:t xml:space="preserve"> be </w:t>
      </w:r>
      <w:r>
        <w:rPr>
          <w:spacing w:val="-1"/>
        </w:rPr>
        <w:t>updated</w:t>
      </w:r>
      <w:r>
        <w:t xml:space="preserve"> annually in 2014-15 to</w:t>
      </w:r>
      <w:r>
        <w:rPr>
          <w:spacing w:val="49"/>
        </w:rPr>
        <w:t xml:space="preserve"> </w:t>
      </w:r>
      <w:r>
        <w:t xml:space="preserve">2017-18 due to the </w:t>
      </w:r>
      <w:r>
        <w:rPr>
          <w:spacing w:val="-1"/>
        </w:rPr>
        <w:t>uncertainty</w:t>
      </w:r>
      <w:r>
        <w:t xml:space="preserve"> </w:t>
      </w:r>
      <w:r>
        <w:rPr>
          <w:spacing w:val="-1"/>
        </w:rPr>
        <w:t>surrounding</w:t>
      </w:r>
      <w:r>
        <w:t xml:space="preserve"> demand </w:t>
      </w:r>
      <w:r>
        <w:rPr>
          <w:spacing w:val="-1"/>
        </w:rPr>
        <w:t>forecasts,</w:t>
      </w:r>
      <w:r>
        <w:rPr>
          <w:spacing w:val="-6"/>
        </w:rPr>
        <w:t xml:space="preserve"> </w:t>
      </w:r>
      <w:r>
        <w:t xml:space="preserve">and </w:t>
      </w:r>
      <w:r>
        <w:rPr>
          <w:spacing w:val="-1"/>
        </w:rPr>
        <w:t>that</w:t>
      </w:r>
      <w:r>
        <w:t xml:space="preserve"> </w:t>
      </w:r>
      <w:r>
        <w:rPr>
          <w:spacing w:val="-1"/>
        </w:rPr>
        <w:t>forecast</w:t>
      </w:r>
      <w:r>
        <w:t xml:space="preserve"> </w:t>
      </w:r>
      <w:r>
        <w:rPr>
          <w:spacing w:val="-1"/>
        </w:rPr>
        <w:t>water</w:t>
      </w:r>
      <w:r>
        <w:t xml:space="preserve"> sales be</w:t>
      </w:r>
      <w:r>
        <w:rPr>
          <w:spacing w:val="61"/>
        </w:rPr>
        <w:t xml:space="preserve"> </w:t>
      </w:r>
      <w:r>
        <w:rPr>
          <w:spacing w:val="-1"/>
        </w:rPr>
        <w:t>updated</w:t>
      </w:r>
      <w:r>
        <w:t xml:space="preserve"> using a methodology based on the </w:t>
      </w:r>
      <w:r>
        <w:rPr>
          <w:spacing w:val="-2"/>
        </w:rPr>
        <w:t>Breusch-Ward</w:t>
      </w:r>
      <w:r>
        <w:t xml:space="preserve"> model,</w:t>
      </w:r>
      <w:r>
        <w:rPr>
          <w:spacing w:val="-6"/>
        </w:rPr>
        <w:t xml:space="preserve"> </w:t>
      </w:r>
      <w:r>
        <w:t>and</w:t>
      </w:r>
    </w:p>
    <w:p w:rsidR="00D96B91" w:rsidRDefault="00C2656B">
      <w:pPr>
        <w:pStyle w:val="BodyText"/>
        <w:numPr>
          <w:ilvl w:val="0"/>
          <w:numId w:val="131"/>
        </w:numPr>
        <w:tabs>
          <w:tab w:val="left" w:pos="1531"/>
        </w:tabs>
        <w:spacing w:before="85" w:line="260" w:lineRule="exact"/>
        <w:ind w:right="1406" w:hanging="283"/>
      </w:pPr>
      <w:r>
        <w:rPr>
          <w:rFonts w:cs="Avenir Next"/>
          <w:spacing w:val="-3"/>
        </w:rPr>
        <w:t>Cardno’s</w:t>
      </w:r>
      <w:r>
        <w:rPr>
          <w:rFonts w:cs="Avenir Next"/>
        </w:rPr>
        <w:t xml:space="preserve"> </w:t>
      </w:r>
      <w:r>
        <w:rPr>
          <w:rFonts w:cs="Avenir Next"/>
          <w:spacing w:val="-1"/>
        </w:rPr>
        <w:t>expert</w:t>
      </w:r>
      <w:r>
        <w:rPr>
          <w:rFonts w:cs="Avenir Next"/>
        </w:rPr>
        <w:t xml:space="preserve"> advice on the </w:t>
      </w:r>
      <w:r>
        <w:rPr>
          <w:rFonts w:cs="Avenir Next"/>
          <w:spacing w:val="-1"/>
        </w:rPr>
        <w:t>appropriate</w:t>
      </w:r>
      <w:r>
        <w:rPr>
          <w:rFonts w:cs="Avenir Next"/>
        </w:rPr>
        <w:t xml:space="preserve"> methodology for </w:t>
      </w:r>
      <w:r>
        <w:rPr>
          <w:rFonts w:cs="Avenir Next"/>
          <w:spacing w:val="-1"/>
        </w:rPr>
        <w:t>forecasting</w:t>
      </w:r>
      <w:r>
        <w:rPr>
          <w:rFonts w:cs="Avenir Next"/>
        </w:rPr>
        <w:t xml:space="preserve"> </w:t>
      </w:r>
      <w:r>
        <w:rPr>
          <w:rFonts w:cs="Avenir Next"/>
          <w:spacing w:val="-1"/>
        </w:rPr>
        <w:t>water</w:t>
      </w:r>
      <w:r>
        <w:rPr>
          <w:rFonts w:cs="Avenir Next"/>
        </w:rPr>
        <w:t xml:space="preserve"> sales for the</w:t>
      </w:r>
      <w:r>
        <w:rPr>
          <w:rFonts w:cs="Avenir Next"/>
          <w:spacing w:val="45"/>
        </w:rPr>
        <w:t xml:space="preserve"> </w:t>
      </w:r>
      <w:r>
        <w:rPr>
          <w:rFonts w:cs="Avenir Next"/>
          <w:spacing w:val="-1"/>
        </w:rPr>
        <w:t>remaining</w:t>
      </w:r>
      <w:r>
        <w:rPr>
          <w:rFonts w:cs="Avenir Next"/>
        </w:rPr>
        <w:t xml:space="preserve"> four </w:t>
      </w:r>
      <w:r>
        <w:rPr>
          <w:rFonts w:cs="Avenir Next"/>
          <w:spacing w:val="-1"/>
        </w:rPr>
        <w:t>years</w:t>
      </w:r>
      <w:r>
        <w:rPr>
          <w:rFonts w:cs="Avenir Next"/>
        </w:rPr>
        <w:t xml:space="preserve"> of</w:t>
      </w:r>
      <w:r>
        <w:rPr>
          <w:rFonts w:cs="Avenir Next"/>
          <w:spacing w:val="4"/>
        </w:rPr>
        <w:t xml:space="preserve"> </w:t>
      </w:r>
      <w:r>
        <w:rPr>
          <w:rFonts w:cs="Avenir Next"/>
        </w:rPr>
        <w:t xml:space="preserve">the </w:t>
      </w:r>
      <w:r>
        <w:rPr>
          <w:rFonts w:cs="Avenir Next"/>
          <w:spacing w:val="-1"/>
        </w:rPr>
        <w:t>regulatory</w:t>
      </w:r>
      <w:r>
        <w:rPr>
          <w:rFonts w:cs="Avenir Next"/>
        </w:rPr>
        <w:t xml:space="preserve"> period,</w:t>
      </w:r>
      <w:r>
        <w:rPr>
          <w:rFonts w:cs="Avenir Next"/>
          <w:spacing w:val="-6"/>
        </w:rPr>
        <w:t xml:space="preserve"> </w:t>
      </w:r>
      <w:r>
        <w:rPr>
          <w:rFonts w:cs="Avenir Next"/>
        </w:rPr>
        <w:t xml:space="preserve">and its </w:t>
      </w:r>
      <w:r>
        <w:rPr>
          <w:rFonts w:cs="Avenir Next"/>
          <w:spacing w:val="-1"/>
        </w:rPr>
        <w:t>recommended</w:t>
      </w:r>
      <w:r>
        <w:rPr>
          <w:rFonts w:cs="Avenir Next"/>
        </w:rPr>
        <w:t xml:space="preserve"> </w:t>
      </w:r>
      <w:r>
        <w:rPr>
          <w:rFonts w:cs="Avenir Next"/>
          <w:spacing w:val="-1"/>
        </w:rPr>
        <w:t>water</w:t>
      </w:r>
      <w:r>
        <w:rPr>
          <w:rFonts w:cs="Avenir Next"/>
        </w:rPr>
        <w:t xml:space="preserve"> sales </w:t>
      </w:r>
      <w:r>
        <w:rPr>
          <w:rFonts w:cs="Avenir Next"/>
          <w:spacing w:val="-1"/>
        </w:rPr>
        <w:t>forecasts</w:t>
      </w:r>
      <w:r>
        <w:rPr>
          <w:rFonts w:cs="Avenir Next"/>
        </w:rPr>
        <w:t xml:space="preserve"> for these</w:t>
      </w:r>
      <w:r>
        <w:rPr>
          <w:rFonts w:cs="Avenir Next"/>
          <w:spacing w:val="53"/>
        </w:rPr>
        <w:t xml:space="preserve"> </w:t>
      </w:r>
      <w:r>
        <w:rPr>
          <w:spacing w:val="-1"/>
        </w:rPr>
        <w:t>years.</w:t>
      </w:r>
    </w:p>
    <w:p w:rsidR="00D96B91" w:rsidRDefault="00C2656B">
      <w:pPr>
        <w:pStyle w:val="BodyText"/>
        <w:spacing w:before="85" w:line="260" w:lineRule="exact"/>
        <w:ind w:right="1256"/>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w:t>
      </w:r>
      <w:r>
        <w:rPr>
          <w:rFonts w:cs="Avenir Next"/>
          <w:spacing w:val="-1"/>
        </w:rPr>
        <w:t>forecast</w:t>
      </w:r>
      <w:r>
        <w:rPr>
          <w:rFonts w:cs="Avenir Next"/>
        </w:rPr>
        <w:t xml:space="preserve"> </w:t>
      </w:r>
      <w:r>
        <w:rPr>
          <w:rFonts w:cs="Avenir Next"/>
          <w:spacing w:val="-1"/>
        </w:rPr>
        <w:t>water</w:t>
      </w:r>
      <w:r>
        <w:rPr>
          <w:rFonts w:cs="Avenir Next"/>
        </w:rPr>
        <w:t xml:space="preserve"> sales,</w:t>
      </w:r>
      <w:r>
        <w:rPr>
          <w:rFonts w:cs="Avenir Next"/>
          <w:spacing w:val="-7"/>
        </w:rPr>
        <w:t xml:space="preserve"> </w:t>
      </w:r>
      <w:r>
        <w:rPr>
          <w:rFonts w:cs="Avenir Next"/>
        </w:rPr>
        <w:t>customer</w:t>
      </w:r>
      <w:r>
        <w:rPr>
          <w:rFonts w:cs="Avenir Next"/>
          <w:spacing w:val="43"/>
        </w:rPr>
        <w:t xml:space="preserve"> </w:t>
      </w:r>
      <w:r>
        <w:t>numbers</w:t>
      </w:r>
      <w:r>
        <w:rPr>
          <w:spacing w:val="-1"/>
        </w:rPr>
        <w:t xml:space="preserve"> </w:t>
      </w:r>
      <w:r>
        <w:t xml:space="preserve">and billable </w:t>
      </w:r>
      <w:r>
        <w:rPr>
          <w:spacing w:val="-1"/>
        </w:rPr>
        <w:t>fixtures,</w:t>
      </w:r>
      <w:r>
        <w:rPr>
          <w:spacing w:val="-7"/>
        </w:rPr>
        <w:t xml:space="preserve"> </w:t>
      </w:r>
      <w:r>
        <w:t>and then discuss</w:t>
      </w:r>
      <w:r>
        <w:rPr>
          <w:spacing w:val="-1"/>
        </w:rPr>
        <w:t xml:space="preserve"> </w:t>
      </w:r>
      <w:r>
        <w:t xml:space="preserve">its </w:t>
      </w:r>
      <w:r>
        <w:rPr>
          <w:spacing w:val="-1"/>
        </w:rPr>
        <w:t>considerations</w:t>
      </w:r>
      <w:r>
        <w:t xml:space="preserve"> and</w:t>
      </w:r>
      <w:r>
        <w:rPr>
          <w:spacing w:val="-1"/>
        </w:rPr>
        <w:t xml:space="preserve"> </w:t>
      </w:r>
      <w:r>
        <w:rPr>
          <w:spacing w:val="-2"/>
        </w:rPr>
        <w:t>draft</w:t>
      </w:r>
      <w:r>
        <w:t xml:space="preserve"> decision in</w:t>
      </w:r>
      <w:r>
        <w:rPr>
          <w:spacing w:val="-1"/>
        </w:rPr>
        <w:t xml:space="preserve"> 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57"/>
        </w:numPr>
        <w:tabs>
          <w:tab w:val="left" w:pos="1749"/>
        </w:tabs>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548"/>
      </w:pPr>
      <w:r>
        <w:rPr>
          <w:spacing w:val="-2"/>
        </w:rPr>
        <w:t>The</w:t>
      </w:r>
      <w:r>
        <w:t xml:space="preserve"> </w:t>
      </w:r>
      <w:r>
        <w:rPr>
          <w:spacing w:val="-4"/>
        </w:rPr>
        <w:t>Panel’s</w:t>
      </w:r>
      <w:r>
        <w:t xml:space="preserve"> </w:t>
      </w:r>
      <w:r>
        <w:rPr>
          <w:spacing w:val="-2"/>
        </w:rPr>
        <w:t>draft</w:t>
      </w:r>
      <w:r>
        <w:t xml:space="preserve"> decision is to adopt the </w:t>
      </w:r>
      <w:r>
        <w:rPr>
          <w:spacing w:val="-1"/>
        </w:rPr>
        <w:t>multi-year</w:t>
      </w:r>
      <w:r>
        <w:t xml:space="preserve"> demand </w:t>
      </w:r>
      <w:r>
        <w:rPr>
          <w:spacing w:val="-1"/>
        </w:rPr>
        <w:t>forecasts</w:t>
      </w:r>
      <w:r>
        <w:t xml:space="preserve"> shown in</w:t>
      </w:r>
      <w:r>
        <w:rPr>
          <w:spacing w:val="-5"/>
        </w:rPr>
        <w:t xml:space="preserve"> </w:t>
      </w:r>
      <w:hyperlink w:anchor="_bookmark102" w:history="1">
        <w:r>
          <w:rPr>
            <w:spacing w:val="-4"/>
          </w:rPr>
          <w:t>Table</w:t>
        </w:r>
        <w:r>
          <w:t xml:space="preserve"> 12.1</w:t>
        </w:r>
      </w:hyperlink>
      <w:r>
        <w:t xml:space="preserve"> </w:t>
      </w:r>
      <w:r>
        <w:rPr>
          <w:rFonts w:cs="Avenir Next"/>
        </w:rPr>
        <w:t>for the</w:t>
      </w:r>
      <w:r>
        <w:rPr>
          <w:rFonts w:cs="Avenir Next"/>
          <w:spacing w:val="51"/>
        </w:rPr>
        <w:t xml:space="preserve"> </w:t>
      </w:r>
      <w:r>
        <w:t>purpose of</w:t>
      </w:r>
      <w:r>
        <w:rPr>
          <w:spacing w:val="4"/>
        </w:rPr>
        <w:t xml:space="preserve"> </w:t>
      </w:r>
      <w:r>
        <w:rPr>
          <w:spacing w:val="-1"/>
        </w:rPr>
        <w:t>calculating</w:t>
      </w:r>
      <w:r>
        <w:rPr>
          <w:spacing w:val="-4"/>
        </w:rPr>
        <w:t xml:space="preserve"> </w:t>
      </w:r>
      <w:r>
        <w:rPr>
          <w:spacing w:val="-2"/>
        </w:rPr>
        <w:t>ACTEW’s</w:t>
      </w:r>
      <w:r>
        <w:t xml:space="preserve"> maximum </w:t>
      </w:r>
      <w:r>
        <w:rPr>
          <w:spacing w:val="-1"/>
        </w:rPr>
        <w:t>water</w:t>
      </w:r>
      <w:r>
        <w:t xml:space="preserve"> and </w:t>
      </w:r>
      <w:r>
        <w:rPr>
          <w:spacing w:val="-1"/>
        </w:rPr>
        <w:t>sewerage</w:t>
      </w:r>
      <w:r>
        <w:t xml:space="preserve"> </w:t>
      </w:r>
      <w:r>
        <w:rPr>
          <w:spacing w:val="-1"/>
        </w:rPr>
        <w:t>charges</w:t>
      </w:r>
      <w:r>
        <w:t xml:space="preserve"> for this </w:t>
      </w:r>
      <w:r>
        <w:rPr>
          <w:spacing w:val="-1"/>
        </w:rPr>
        <w:t>regulatory</w:t>
      </w:r>
      <w:r>
        <w:t xml:space="preserve"> period.</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21"/>
          <w:szCs w:val="2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77" style="width:72.5pt;height:.5pt;mso-position-horizontal-relative:char;mso-position-vertical-relative:line" coordsize="1450,10">
            <v:group id="_x0000_s1878" style="position:absolute;left:5;top:5;width:1440;height:2" coordorigin="5,5" coordsize="1440,2">
              <v:shape id="_x0000_s1879"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45" w:line="192" w:lineRule="exact"/>
        <w:ind w:right="1376" w:hanging="510"/>
        <w:rPr>
          <w:rFonts w:ascii="Avenir Next" w:eastAsia="Avenir Next" w:hAnsi="Avenir Next" w:cs="Avenir Next"/>
          <w:sz w:val="16"/>
          <w:szCs w:val="16"/>
        </w:rPr>
      </w:pPr>
      <w:bookmarkStart w:id="162" w:name="_bookmark102"/>
      <w:bookmarkEnd w:id="162"/>
      <w:r>
        <w:rPr>
          <w:rFonts w:ascii="Avenir Next"/>
          <w:sz w:val="16"/>
        </w:rPr>
        <w:t xml:space="preserve">In addition to </w:t>
      </w:r>
      <w:r>
        <w:rPr>
          <w:rFonts w:ascii="Avenir Next"/>
          <w:spacing w:val="-1"/>
          <w:sz w:val="16"/>
        </w:rPr>
        <w:t>revenues</w:t>
      </w:r>
      <w:r>
        <w:rPr>
          <w:rFonts w:ascii="Avenir Next"/>
          <w:sz w:val="16"/>
        </w:rPr>
        <w:t xml:space="preserve"> and prices,</w:t>
      </w:r>
      <w:r>
        <w:rPr>
          <w:rFonts w:ascii="Avenir Next"/>
          <w:spacing w:val="-5"/>
          <w:sz w:val="16"/>
        </w:rPr>
        <w:t xml:space="preserve"> </w:t>
      </w:r>
      <w:r>
        <w:rPr>
          <w:rFonts w:ascii="Avenir Next"/>
          <w:sz w:val="16"/>
        </w:rPr>
        <w:t xml:space="preserve">demand </w:t>
      </w:r>
      <w:r>
        <w:rPr>
          <w:rFonts w:ascii="Avenir Next"/>
          <w:spacing w:val="-1"/>
          <w:sz w:val="16"/>
        </w:rPr>
        <w:t>forecasts</w:t>
      </w:r>
      <w:r>
        <w:rPr>
          <w:rFonts w:ascii="Avenir Next"/>
          <w:sz w:val="16"/>
        </w:rPr>
        <w:t xml:space="preserve"> </w:t>
      </w:r>
      <w:r>
        <w:rPr>
          <w:rFonts w:ascii="Avenir Next"/>
          <w:spacing w:val="-1"/>
          <w:sz w:val="16"/>
        </w:rPr>
        <w:t>affect</w:t>
      </w:r>
      <w:r>
        <w:rPr>
          <w:rFonts w:ascii="Avenir Next"/>
          <w:sz w:val="16"/>
        </w:rPr>
        <w:t xml:space="preserve"> other components of</w:t>
      </w:r>
      <w:r>
        <w:rPr>
          <w:rFonts w:ascii="Avenir Next"/>
          <w:spacing w:val="3"/>
          <w:sz w:val="16"/>
        </w:rPr>
        <w:t xml:space="preserve"> </w:t>
      </w:r>
      <w:r>
        <w:rPr>
          <w:rFonts w:ascii="Avenir Next"/>
          <w:sz w:val="16"/>
        </w:rPr>
        <w:t xml:space="preserve">a </w:t>
      </w:r>
      <w:r>
        <w:rPr>
          <w:rFonts w:ascii="Avenir Next"/>
          <w:spacing w:val="-1"/>
          <w:sz w:val="16"/>
        </w:rPr>
        <w:t>standard</w:t>
      </w:r>
      <w:r>
        <w:rPr>
          <w:rFonts w:ascii="Avenir Next"/>
          <w:sz w:val="16"/>
        </w:rPr>
        <w:t xml:space="preserve"> price </w:t>
      </w:r>
      <w:r>
        <w:rPr>
          <w:rFonts w:ascii="Avenir Next"/>
          <w:spacing w:val="-1"/>
          <w:sz w:val="16"/>
        </w:rPr>
        <w:t>determination</w:t>
      </w:r>
      <w:r>
        <w:rPr>
          <w:rFonts w:ascii="Avenir Next"/>
          <w:sz w:val="16"/>
        </w:rPr>
        <w:t xml:space="preserve"> </w:t>
      </w:r>
      <w:r>
        <w:rPr>
          <w:rFonts w:ascii="Avenir Next"/>
          <w:spacing w:val="-1"/>
          <w:sz w:val="16"/>
        </w:rPr>
        <w:t>process</w:t>
      </w:r>
      <w:r>
        <w:rPr>
          <w:rFonts w:ascii="Avenir Next"/>
          <w:spacing w:val="69"/>
          <w:sz w:val="16"/>
        </w:rPr>
        <w:t xml:space="preserve"> </w:t>
      </w:r>
      <w:r>
        <w:rPr>
          <w:rFonts w:ascii="Avenir Next"/>
          <w:sz w:val="16"/>
        </w:rPr>
        <w:t xml:space="preserve">because they have a </w:t>
      </w:r>
      <w:r>
        <w:rPr>
          <w:rFonts w:ascii="Avenir Next"/>
          <w:spacing w:val="-1"/>
          <w:sz w:val="16"/>
        </w:rPr>
        <w:t>direct</w:t>
      </w:r>
      <w:r>
        <w:rPr>
          <w:rFonts w:ascii="Avenir Next"/>
          <w:sz w:val="16"/>
        </w:rPr>
        <w:t xml:space="preserve"> impact on capital </w:t>
      </w:r>
      <w:r>
        <w:rPr>
          <w:rFonts w:ascii="Avenir Next"/>
          <w:spacing w:val="-1"/>
          <w:sz w:val="16"/>
        </w:rPr>
        <w:t>expenditure</w:t>
      </w:r>
      <w:r>
        <w:rPr>
          <w:rFonts w:ascii="Avenir Next"/>
          <w:sz w:val="16"/>
        </w:rPr>
        <w:t xml:space="preserve"> </w:t>
      </w:r>
      <w:r>
        <w:rPr>
          <w:rFonts w:ascii="Avenir Next"/>
          <w:spacing w:val="-1"/>
          <w:sz w:val="16"/>
        </w:rPr>
        <w:t>estimates</w:t>
      </w:r>
      <w:r>
        <w:rPr>
          <w:rFonts w:ascii="Avenir Next"/>
          <w:sz w:val="16"/>
        </w:rPr>
        <w:t xml:space="preserve"> </w:t>
      </w:r>
      <w:r>
        <w:rPr>
          <w:rFonts w:ascii="Avenir Next"/>
          <w:spacing w:val="-1"/>
          <w:sz w:val="16"/>
        </w:rPr>
        <w:t>(particularly</w:t>
      </w:r>
      <w:r>
        <w:rPr>
          <w:rFonts w:ascii="Avenir Next"/>
          <w:sz w:val="16"/>
        </w:rPr>
        <w:t xml:space="preserve"> </w:t>
      </w:r>
      <w:r>
        <w:rPr>
          <w:rFonts w:ascii="Avenir Next"/>
          <w:spacing w:val="-1"/>
          <w:sz w:val="16"/>
        </w:rPr>
        <w:t>where</w:t>
      </w:r>
      <w:r>
        <w:rPr>
          <w:rFonts w:ascii="Avenir Next"/>
          <w:sz w:val="16"/>
        </w:rPr>
        <w:t xml:space="preserve"> the </w:t>
      </w:r>
      <w:r>
        <w:rPr>
          <w:rFonts w:ascii="Avenir Next"/>
          <w:spacing w:val="-1"/>
          <w:sz w:val="16"/>
        </w:rPr>
        <w:t>growth</w:t>
      </w:r>
      <w:r>
        <w:rPr>
          <w:rFonts w:ascii="Avenir Next"/>
          <w:sz w:val="16"/>
        </w:rPr>
        <w:t xml:space="preserve"> in demand is a major</w:t>
      </w:r>
      <w:r>
        <w:rPr>
          <w:rFonts w:ascii="Avenir Next"/>
          <w:spacing w:val="67"/>
          <w:sz w:val="16"/>
        </w:rPr>
        <w:t xml:space="preserve"> </w:t>
      </w:r>
      <w:r>
        <w:rPr>
          <w:rFonts w:ascii="Avenir Next"/>
          <w:sz w:val="16"/>
        </w:rPr>
        <w:t>driver of</w:t>
      </w:r>
      <w:r>
        <w:rPr>
          <w:rFonts w:ascii="Avenir Next"/>
          <w:spacing w:val="3"/>
          <w:sz w:val="16"/>
        </w:rPr>
        <w:t xml:space="preserve"> </w:t>
      </w:r>
      <w:r>
        <w:rPr>
          <w:rFonts w:ascii="Avenir Next"/>
          <w:sz w:val="16"/>
        </w:rPr>
        <w:t xml:space="preserve">system </w:t>
      </w:r>
      <w:r>
        <w:rPr>
          <w:rFonts w:ascii="Avenir Next"/>
          <w:spacing w:val="-1"/>
          <w:sz w:val="16"/>
        </w:rPr>
        <w:t>augmentation),</w:t>
      </w:r>
      <w:r>
        <w:rPr>
          <w:rFonts w:ascii="Avenir Next"/>
          <w:spacing w:val="-5"/>
          <w:sz w:val="16"/>
        </w:rPr>
        <w:t xml:space="preserve"> </w:t>
      </w:r>
      <w:r>
        <w:rPr>
          <w:rFonts w:ascii="Avenir Next"/>
          <w:sz w:val="16"/>
        </w:rPr>
        <w:t xml:space="preserve">and </w:t>
      </w:r>
      <w:r>
        <w:rPr>
          <w:rFonts w:ascii="Avenir Next"/>
          <w:spacing w:val="-1"/>
          <w:sz w:val="16"/>
        </w:rPr>
        <w:t>operating</w:t>
      </w:r>
      <w:r>
        <w:rPr>
          <w:rFonts w:ascii="Avenir Next"/>
          <w:sz w:val="16"/>
        </w:rPr>
        <w:t xml:space="preserve"> and maintenance </w:t>
      </w:r>
      <w:r>
        <w:rPr>
          <w:rFonts w:ascii="Avenir Next"/>
          <w:spacing w:val="-1"/>
          <w:sz w:val="16"/>
        </w:rPr>
        <w:t>expenditure</w:t>
      </w:r>
      <w:r>
        <w:rPr>
          <w:rFonts w:ascii="Avenir Next"/>
          <w:sz w:val="16"/>
        </w:rPr>
        <w:t xml:space="preserve"> </w:t>
      </w:r>
      <w:r>
        <w:rPr>
          <w:rFonts w:ascii="Avenir Next"/>
          <w:spacing w:val="-1"/>
          <w:sz w:val="16"/>
        </w:rPr>
        <w:t>(particularly</w:t>
      </w:r>
      <w:r>
        <w:rPr>
          <w:rFonts w:ascii="Avenir Next"/>
          <w:sz w:val="16"/>
        </w:rPr>
        <w:t xml:space="preserve"> for </w:t>
      </w:r>
      <w:r>
        <w:rPr>
          <w:rFonts w:ascii="Avenir Next"/>
          <w:spacing w:val="-1"/>
          <w:sz w:val="16"/>
        </w:rPr>
        <w:t>categories</w:t>
      </w:r>
      <w:r>
        <w:rPr>
          <w:rFonts w:ascii="Avenir Next"/>
          <w:sz w:val="16"/>
        </w:rPr>
        <w:t xml:space="preserve"> of</w:t>
      </w:r>
      <w:r>
        <w:rPr>
          <w:rFonts w:ascii="Avenir Next"/>
          <w:spacing w:val="3"/>
          <w:sz w:val="16"/>
        </w:rPr>
        <w:t xml:space="preserve"> </w:t>
      </w:r>
      <w:r>
        <w:rPr>
          <w:rFonts w:ascii="Avenir Next"/>
          <w:spacing w:val="-1"/>
          <w:sz w:val="16"/>
        </w:rPr>
        <w:t>expenditures</w:t>
      </w:r>
      <w:r>
        <w:rPr>
          <w:rFonts w:ascii="Avenir Next"/>
          <w:spacing w:val="103"/>
          <w:sz w:val="16"/>
        </w:rPr>
        <w:t xml:space="preserve"> </w:t>
      </w:r>
      <w:r>
        <w:rPr>
          <w:rFonts w:ascii="Avenir Next"/>
          <w:spacing w:val="-1"/>
          <w:sz w:val="16"/>
        </w:rPr>
        <w:t>that</w:t>
      </w:r>
      <w:r>
        <w:rPr>
          <w:rFonts w:ascii="Avenir Next"/>
          <w:sz w:val="16"/>
        </w:rPr>
        <w:t xml:space="preserve"> </w:t>
      </w:r>
      <w:r>
        <w:rPr>
          <w:rFonts w:ascii="Avenir Next"/>
          <w:spacing w:val="-1"/>
          <w:sz w:val="16"/>
        </w:rPr>
        <w:t>are</w:t>
      </w:r>
      <w:r>
        <w:rPr>
          <w:rFonts w:ascii="Avenir Next"/>
          <w:sz w:val="16"/>
        </w:rPr>
        <w:t xml:space="preserve"> </w:t>
      </w:r>
      <w:r>
        <w:rPr>
          <w:rFonts w:ascii="Avenir Next"/>
          <w:spacing w:val="-1"/>
          <w:sz w:val="16"/>
        </w:rPr>
        <w:t>volume-related,</w:t>
      </w:r>
      <w:r>
        <w:rPr>
          <w:rFonts w:ascii="Avenir Next"/>
          <w:spacing w:val="-5"/>
          <w:sz w:val="16"/>
        </w:rPr>
        <w:t xml:space="preserve"> </w:t>
      </w:r>
      <w:r>
        <w:rPr>
          <w:rFonts w:ascii="Avenir Next"/>
          <w:sz w:val="16"/>
        </w:rPr>
        <w:t xml:space="preserve">such as electricity for pumping and chemicals for </w:t>
      </w:r>
      <w:r>
        <w:rPr>
          <w:rFonts w:ascii="Avenir Next"/>
          <w:spacing w:val="-1"/>
          <w:sz w:val="16"/>
        </w:rPr>
        <w:t>treatment).</w:t>
      </w:r>
      <w:r>
        <w:rPr>
          <w:rFonts w:ascii="Avenir Next"/>
          <w:spacing w:val="-9"/>
          <w:sz w:val="16"/>
        </w:rPr>
        <w:t xml:space="preserve"> </w:t>
      </w:r>
      <w:r>
        <w:rPr>
          <w:rFonts w:ascii="Avenir Next"/>
          <w:spacing w:val="-1"/>
          <w:sz w:val="16"/>
        </w:rPr>
        <w:t>The</w:t>
      </w:r>
      <w:r>
        <w:rPr>
          <w:rFonts w:ascii="Avenir Next"/>
          <w:sz w:val="16"/>
        </w:rPr>
        <w:t xml:space="preserve"> level of</w:t>
      </w:r>
      <w:r>
        <w:rPr>
          <w:rFonts w:ascii="Avenir Next"/>
          <w:spacing w:val="3"/>
          <w:sz w:val="16"/>
        </w:rPr>
        <w:t xml:space="preserve"> </w:t>
      </w:r>
      <w:r>
        <w:rPr>
          <w:rFonts w:ascii="Avenir Next"/>
          <w:spacing w:val="-1"/>
          <w:sz w:val="16"/>
        </w:rPr>
        <w:t>water</w:t>
      </w:r>
      <w:r>
        <w:rPr>
          <w:rFonts w:ascii="Avenir Next"/>
          <w:sz w:val="16"/>
        </w:rPr>
        <w:t xml:space="preserve"> sales also </w:t>
      </w:r>
      <w:r>
        <w:rPr>
          <w:rFonts w:ascii="Avenir Next"/>
          <w:spacing w:val="-1"/>
          <w:sz w:val="16"/>
        </w:rPr>
        <w:t>affects</w:t>
      </w:r>
      <w:r>
        <w:rPr>
          <w:rFonts w:ascii="Avenir Next"/>
          <w:spacing w:val="49"/>
          <w:sz w:val="16"/>
        </w:rPr>
        <w:t xml:space="preserve"> </w:t>
      </w:r>
      <w:r>
        <w:rPr>
          <w:rFonts w:ascii="Avenir Next"/>
          <w:sz w:val="16"/>
        </w:rPr>
        <w:t>the</w:t>
      </w:r>
      <w:r>
        <w:rPr>
          <w:rFonts w:ascii="Avenir Next"/>
          <w:spacing w:val="-2"/>
          <w:sz w:val="16"/>
        </w:rPr>
        <w:t xml:space="preserve"> WAC,</w:t>
      </w:r>
      <w:r>
        <w:rPr>
          <w:rFonts w:ascii="Avenir Next"/>
          <w:spacing w:val="-5"/>
          <w:sz w:val="16"/>
        </w:rPr>
        <w:t xml:space="preserve"> </w:t>
      </w:r>
      <w:r>
        <w:rPr>
          <w:rFonts w:ascii="Avenir Next"/>
          <w:sz w:val="16"/>
        </w:rPr>
        <w:t xml:space="preserve">which is </w:t>
      </w:r>
      <w:r>
        <w:rPr>
          <w:rFonts w:ascii="Avenir Next"/>
          <w:spacing w:val="-1"/>
          <w:sz w:val="16"/>
        </w:rPr>
        <w:t>relevant</w:t>
      </w:r>
      <w:r>
        <w:rPr>
          <w:rFonts w:ascii="Avenir Next"/>
          <w:sz w:val="16"/>
        </w:rPr>
        <w:t xml:space="preserve"> for the </w:t>
      </w:r>
      <w:r>
        <w:rPr>
          <w:rFonts w:ascii="Avenir Next"/>
          <w:spacing w:val="-1"/>
          <w:sz w:val="16"/>
        </w:rPr>
        <w:t>calculation</w:t>
      </w:r>
      <w:r>
        <w:rPr>
          <w:rFonts w:ascii="Avenir Next"/>
          <w:sz w:val="16"/>
        </w:rPr>
        <w:t xml:space="preserve"> of</w:t>
      </w:r>
      <w:r>
        <w:rPr>
          <w:rFonts w:ascii="Avenir Next"/>
          <w:spacing w:val="3"/>
          <w:sz w:val="16"/>
        </w:rPr>
        <w:t xml:space="preserve"> </w:t>
      </w:r>
      <w:r>
        <w:rPr>
          <w:rFonts w:ascii="Avenir Next"/>
          <w:sz w:val="16"/>
        </w:rPr>
        <w:t xml:space="preserve">the net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(see Chapter 13).</w:t>
      </w:r>
    </w:p>
    <w:p w:rsidR="00D96B91" w:rsidRDefault="00D96B91">
      <w:pPr>
        <w:spacing w:line="192" w:lineRule="exact"/>
        <w:rPr>
          <w:rFonts w:ascii="Avenir Next" w:eastAsia="Avenir Next" w:hAnsi="Avenir Next" w:cs="Avenir Next"/>
          <w:sz w:val="16"/>
          <w:szCs w:val="16"/>
        </w:rPr>
        <w:sectPr w:rsidR="00D96B91">
          <w:footerReference w:type="even" r:id="rId82"/>
          <w:footerReference w:type="default" r:id="rId83"/>
          <w:pgSz w:w="11910" w:h="16840"/>
          <w:pgMar w:top="1260" w:right="0" w:bottom="1020" w:left="0" w:header="0" w:footer="829" w:gutter="0"/>
          <w:pgNumType w:start="117"/>
          <w:cols w:space="720"/>
        </w:sectPr>
      </w:pPr>
    </w:p>
    <w:p w:rsidR="00D96B91" w:rsidRDefault="00C2656B">
      <w:pPr>
        <w:spacing w:before="29"/>
        <w:ind w:left="1247"/>
        <w:rPr>
          <w:rFonts w:ascii="Avenir Next" w:eastAsia="Avenir Next" w:hAnsi="Avenir Next" w:cs="Avenir Next"/>
          <w:sz w:val="20"/>
          <w:szCs w:val="20"/>
        </w:rPr>
      </w:pPr>
      <w:bookmarkStart w:id="163" w:name="12._2_Forecast_water_sales"/>
      <w:bookmarkStart w:id="164" w:name="_bookmark103"/>
      <w:bookmarkEnd w:id="163"/>
      <w:bookmarkEnd w:id="164"/>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Demand </w:t>
      </w:r>
      <w:r>
        <w:rPr>
          <w:rFonts w:ascii="Avenir Next" w:eastAsia="Avenir Next" w:hAnsi="Avenir Next" w:cs="Avenir Next"/>
          <w:b/>
          <w:bCs/>
          <w:spacing w:val="-1"/>
          <w:sz w:val="20"/>
          <w:szCs w:val="20"/>
        </w:rPr>
        <w:t>forecasts</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3252"/>
        <w:gridCol w:w="1230"/>
        <w:gridCol w:w="1230"/>
        <w:gridCol w:w="1230"/>
        <w:gridCol w:w="1230"/>
        <w:gridCol w:w="1230"/>
      </w:tblGrid>
      <w:tr w:rsidR="00D96B91">
        <w:trPr>
          <w:trHeight w:hRule="exact" w:val="407"/>
        </w:trPr>
        <w:tc>
          <w:tcPr>
            <w:tcW w:w="3252"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0"/>
              <w:rPr>
                <w:rFonts w:ascii="Avenir Next Condensed" w:eastAsia="Avenir Next Condensed" w:hAnsi="Avenir Next Condensed" w:cs="Avenir Next Condensed"/>
                <w:sz w:val="18"/>
                <w:szCs w:val="18"/>
              </w:rPr>
            </w:pPr>
            <w:r>
              <w:rPr>
                <w:rFonts w:ascii="Avenir Next Condensed"/>
                <w:b/>
                <w:color w:val="FFFFFF"/>
                <w:sz w:val="18"/>
              </w:rPr>
              <w:t>Actual</w:t>
            </w:r>
          </w:p>
        </w:tc>
        <w:tc>
          <w:tcPr>
            <w:tcW w:w="4919" w:type="dxa"/>
            <w:gridSpan w:val="4"/>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Forecasts</w:t>
            </w:r>
          </w:p>
        </w:tc>
      </w:tr>
      <w:tr w:rsidR="00D96B91">
        <w:trPr>
          <w:trHeight w:hRule="exact" w:val="407"/>
        </w:trPr>
        <w:tc>
          <w:tcPr>
            <w:tcW w:w="3252" w:type="dxa"/>
            <w:vMerge/>
            <w:tcBorders>
              <w:left w:val="single" w:sz="4" w:space="0" w:color="1A9EDA"/>
              <w:bottom w:val="single" w:sz="4" w:space="0" w:color="1A9EDA"/>
              <w:right w:val="single" w:sz="4" w:space="0" w:color="1A9EDA"/>
            </w:tcBorders>
            <w:shd w:val="clear" w:color="auto" w:fill="0778BE"/>
          </w:tcPr>
          <w:p w:rsidR="00D96B91" w:rsidRDefault="00D96B91"/>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23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1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water sales (GL)</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23.76</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24.07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24.99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0"/>
              <w:rPr>
                <w:rFonts w:ascii="Avenir Next Condensed" w:eastAsia="Avenir Next Condensed" w:hAnsi="Avenir Next Condensed" w:cs="Avenir Next Condensed"/>
                <w:sz w:val="18"/>
                <w:szCs w:val="18"/>
              </w:rPr>
            </w:pPr>
            <w:r>
              <w:rPr>
                <w:rFonts w:ascii="Avenir Next Condensed"/>
                <w:sz w:val="18"/>
              </w:rPr>
              <w:t>25.85</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26.66</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water sales (GL)</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18.17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19.97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19.61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19.32</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19.10</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water sales (GL)</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3"/>
              <w:rPr>
                <w:rFonts w:ascii="Avenir Next Condensed" w:eastAsia="Avenir Next Condensed" w:hAnsi="Avenir Next Condensed" w:cs="Avenir Next Condensed"/>
                <w:sz w:val="18"/>
                <w:szCs w:val="18"/>
              </w:rPr>
            </w:pPr>
            <w:r>
              <w:rPr>
                <w:rFonts w:ascii="Avenir Next Condensed"/>
                <w:b/>
                <w:sz w:val="18"/>
              </w:rPr>
              <w:t>41.93</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3"/>
              <w:rPr>
                <w:rFonts w:ascii="Avenir Next Condensed" w:eastAsia="Avenir Next Condensed" w:hAnsi="Avenir Next Condensed" w:cs="Avenir Next Condensed"/>
                <w:sz w:val="18"/>
                <w:szCs w:val="18"/>
              </w:rPr>
            </w:pPr>
            <w:r>
              <w:rPr>
                <w:rFonts w:ascii="Avenir Next Condensed"/>
                <w:b/>
                <w:sz w:val="18"/>
              </w:rPr>
              <w:t>44.04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3"/>
              <w:rPr>
                <w:rFonts w:ascii="Avenir Next Condensed" w:eastAsia="Avenir Next Condensed" w:hAnsi="Avenir Next Condensed" w:cs="Avenir Next Condensed"/>
                <w:sz w:val="18"/>
                <w:szCs w:val="18"/>
              </w:rPr>
            </w:pPr>
            <w:r>
              <w:rPr>
                <w:rFonts w:ascii="Avenir Next Condensed"/>
                <w:b/>
                <w:sz w:val="18"/>
              </w:rPr>
              <w:t>44.59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3"/>
              <w:rPr>
                <w:rFonts w:ascii="Avenir Next Condensed" w:eastAsia="Avenir Next Condensed" w:hAnsi="Avenir Next Condensed" w:cs="Avenir Next Condensed"/>
                <w:sz w:val="18"/>
                <w:szCs w:val="18"/>
              </w:rPr>
            </w:pPr>
            <w:r>
              <w:rPr>
                <w:rFonts w:ascii="Avenir Next Condensed"/>
                <w:b/>
                <w:sz w:val="18"/>
              </w:rPr>
              <w:t>45.17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22"/>
              <w:rPr>
                <w:rFonts w:ascii="Avenir Next Condensed" w:eastAsia="Avenir Next Condensed" w:hAnsi="Avenir Next Condensed" w:cs="Avenir Next Condensed"/>
                <w:sz w:val="18"/>
                <w:szCs w:val="18"/>
              </w:rPr>
            </w:pPr>
            <w:r>
              <w:rPr>
                <w:rFonts w:ascii="Avenir Next Condensed"/>
                <w:b/>
                <w:sz w:val="18"/>
              </w:rPr>
              <w:t>45.76</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customer numbers</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162,951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166,992</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171,134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175,378</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179,728</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Sewerage</w:t>
            </w:r>
            <w:r>
              <w:rPr>
                <w:rFonts w:ascii="Avenir Next Condensed"/>
                <w:sz w:val="18"/>
              </w:rPr>
              <w:t xml:space="preserve"> customer numbers</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162,609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0"/>
              <w:rPr>
                <w:rFonts w:ascii="Avenir Next Condensed" w:eastAsia="Avenir Next Condensed" w:hAnsi="Avenir Next Condensed" w:cs="Avenir Next Condensed"/>
                <w:sz w:val="18"/>
                <w:szCs w:val="18"/>
              </w:rPr>
            </w:pPr>
            <w:r>
              <w:rPr>
                <w:rFonts w:ascii="Avenir Next Condensed"/>
                <w:sz w:val="18"/>
              </w:rPr>
              <w:t>166,678</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9"/>
              <w:rPr>
                <w:rFonts w:ascii="Avenir Next Condensed" w:eastAsia="Avenir Next Condensed" w:hAnsi="Avenir Next Condensed" w:cs="Avenir Next Condensed"/>
                <w:sz w:val="18"/>
                <w:szCs w:val="18"/>
              </w:rPr>
            </w:pPr>
            <w:r>
              <w:rPr>
                <w:rFonts w:ascii="Avenir Next Condensed"/>
                <w:sz w:val="18"/>
              </w:rPr>
              <w:t>170,849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9"/>
              <w:rPr>
                <w:rFonts w:ascii="Avenir Next Condensed" w:eastAsia="Avenir Next Condensed" w:hAnsi="Avenir Next Condensed" w:cs="Avenir Next Condensed"/>
                <w:sz w:val="18"/>
                <w:szCs w:val="18"/>
              </w:rPr>
            </w:pPr>
            <w:r>
              <w:rPr>
                <w:rFonts w:ascii="Avenir Next Condensed"/>
                <w:sz w:val="18"/>
              </w:rPr>
              <w:t>175,124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9"/>
              <w:rPr>
                <w:rFonts w:ascii="Avenir Next Condensed" w:eastAsia="Avenir Next Condensed" w:hAnsi="Avenir Next Condensed" w:cs="Avenir Next Condensed"/>
                <w:sz w:val="18"/>
                <w:szCs w:val="18"/>
              </w:rPr>
            </w:pPr>
            <w:r>
              <w:rPr>
                <w:rFonts w:ascii="Avenir Next Condensed"/>
                <w:sz w:val="18"/>
              </w:rPr>
              <w:t>179,506</w:t>
            </w:r>
          </w:p>
        </w:tc>
      </w:tr>
      <w:tr w:rsidR="00D96B91">
        <w:trPr>
          <w:trHeight w:hRule="exact" w:val="407"/>
        </w:trPr>
        <w:tc>
          <w:tcPr>
            <w:tcW w:w="325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Billable </w:t>
            </w:r>
            <w:r>
              <w:rPr>
                <w:rFonts w:ascii="Avenir Next Condensed"/>
                <w:spacing w:val="-1"/>
                <w:sz w:val="18"/>
              </w:rPr>
              <w:t>fixtures</w:t>
            </w:r>
            <w:r>
              <w:rPr>
                <w:rFonts w:ascii="Avenir Next Condensed"/>
                <w:sz w:val="18"/>
              </w:rPr>
              <w:t xml:space="preserve"> </w:t>
            </w:r>
            <w:r>
              <w:rPr>
                <w:rFonts w:ascii="Avenir Next Condensed"/>
                <w:spacing w:val="-1"/>
                <w:sz w:val="18"/>
              </w:rPr>
              <w:t>(non-residential)</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4"/>
              <w:rPr>
                <w:rFonts w:ascii="Avenir Next Condensed" w:eastAsia="Avenir Next Condensed" w:hAnsi="Avenir Next Condensed" w:cs="Avenir Next Condensed"/>
                <w:sz w:val="18"/>
                <w:szCs w:val="18"/>
              </w:rPr>
            </w:pPr>
            <w:r>
              <w:rPr>
                <w:rFonts w:ascii="Avenir Next Condensed"/>
                <w:sz w:val="18"/>
              </w:rPr>
              <w:t>60,274</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4"/>
              <w:rPr>
                <w:rFonts w:ascii="Avenir Next Condensed" w:eastAsia="Avenir Next Condensed" w:hAnsi="Avenir Next Condensed" w:cs="Avenir Next Condensed"/>
                <w:sz w:val="18"/>
                <w:szCs w:val="18"/>
              </w:rPr>
            </w:pPr>
            <w:r>
              <w:rPr>
                <w:rFonts w:ascii="Avenir Next Condensed"/>
                <w:sz w:val="18"/>
              </w:rPr>
              <w:t>61,597</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4"/>
              <w:rPr>
                <w:rFonts w:ascii="Avenir Next Condensed" w:eastAsia="Avenir Next Condensed" w:hAnsi="Avenir Next Condensed" w:cs="Avenir Next Condensed"/>
                <w:sz w:val="18"/>
                <w:szCs w:val="18"/>
              </w:rPr>
            </w:pPr>
            <w:r>
              <w:rPr>
                <w:rFonts w:ascii="Avenir Next Condensed"/>
                <w:sz w:val="18"/>
              </w:rPr>
              <w:t>62,949</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4"/>
              <w:rPr>
                <w:rFonts w:ascii="Avenir Next Condensed" w:eastAsia="Avenir Next Condensed" w:hAnsi="Avenir Next Condensed" w:cs="Avenir Next Condensed"/>
                <w:sz w:val="18"/>
                <w:szCs w:val="18"/>
              </w:rPr>
            </w:pPr>
            <w:r>
              <w:rPr>
                <w:rFonts w:ascii="Avenir Next Condensed"/>
                <w:sz w:val="18"/>
              </w:rPr>
              <w:t>64,331</w:t>
            </w:r>
          </w:p>
        </w:tc>
        <w:tc>
          <w:tcPr>
            <w:tcW w:w="123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4"/>
              <w:rPr>
                <w:rFonts w:ascii="Avenir Next Condensed" w:eastAsia="Avenir Next Condensed" w:hAnsi="Avenir Next Condensed" w:cs="Avenir Next Condensed"/>
                <w:sz w:val="18"/>
                <w:szCs w:val="18"/>
              </w:rPr>
            </w:pPr>
            <w:r>
              <w:rPr>
                <w:rFonts w:ascii="Avenir Next Condensed"/>
                <w:sz w:val="18"/>
              </w:rPr>
              <w:t>65,743</w:t>
            </w:r>
          </w:p>
        </w:tc>
      </w:tr>
    </w:tbl>
    <w:p w:rsidR="00D96B91" w:rsidRDefault="00D96B91">
      <w:pPr>
        <w:spacing w:before="8"/>
        <w:rPr>
          <w:rFonts w:ascii="Avenir Next" w:eastAsia="Avenir Next" w:hAnsi="Avenir Next" w:cs="Avenir Next"/>
          <w:b/>
          <w:bCs/>
          <w:sz w:val="7"/>
          <w:szCs w:val="7"/>
        </w:rPr>
      </w:pPr>
    </w:p>
    <w:p w:rsidR="00D96B91" w:rsidRDefault="00C2656B">
      <w:pPr>
        <w:pStyle w:val="BodyText"/>
        <w:spacing w:before="38" w:line="260" w:lineRule="exact"/>
        <w:ind w:right="1355"/>
      </w:pPr>
      <w:r>
        <w:rPr>
          <w:spacing w:val="-2"/>
        </w:rPr>
        <w:t>The</w:t>
      </w:r>
      <w:r>
        <w:t xml:space="preserve"> </w:t>
      </w:r>
      <w:r>
        <w:rPr>
          <w:spacing w:val="-3"/>
        </w:rPr>
        <w:t>Panel</w:t>
      </w:r>
      <w:r>
        <w:t xml:space="preserve"> considers the adoption of</w:t>
      </w:r>
      <w:r>
        <w:rPr>
          <w:spacing w:val="4"/>
        </w:rPr>
        <w:t xml:space="preserve"> </w:t>
      </w:r>
      <w:r>
        <w:rPr>
          <w:spacing w:val="-1"/>
        </w:rPr>
        <w:t>multi-year</w:t>
      </w:r>
      <w:r>
        <w:t xml:space="preserve"> demand </w:t>
      </w:r>
      <w:r>
        <w:rPr>
          <w:spacing w:val="-1"/>
        </w:rPr>
        <w:t>forecasts</w:t>
      </w:r>
      <w:r>
        <w:t xml:space="preserve"> is </w:t>
      </w:r>
      <w:r>
        <w:rPr>
          <w:spacing w:val="-1"/>
        </w:rPr>
        <w:t>appropriate</w:t>
      </w:r>
      <w:r>
        <w:t xml:space="preserve"> given the </w:t>
      </w:r>
      <w:r>
        <w:rPr>
          <w:spacing w:val="-1"/>
        </w:rPr>
        <w:t>importance</w:t>
      </w:r>
      <w:r>
        <w:rPr>
          <w:spacing w:val="61"/>
        </w:rPr>
        <w:t xml:space="preserve"> </w:t>
      </w:r>
      <w:r>
        <w:t>of</w:t>
      </w:r>
      <w:r>
        <w:rPr>
          <w:spacing w:val="4"/>
        </w:rPr>
        <w:t xml:space="preserve"> </w:t>
      </w:r>
      <w:r>
        <w:t xml:space="preserve">these </w:t>
      </w:r>
      <w:r>
        <w:rPr>
          <w:spacing w:val="-1"/>
        </w:rPr>
        <w:t>forecasts</w:t>
      </w:r>
      <w:r>
        <w:t xml:space="preserve"> in the price </w:t>
      </w:r>
      <w:r>
        <w:rPr>
          <w:spacing w:val="-1"/>
        </w:rPr>
        <w:t>regulation</w:t>
      </w:r>
      <w:r>
        <w:t xml:space="preserve"> </w:t>
      </w:r>
      <w:r>
        <w:rPr>
          <w:spacing w:val="-1"/>
        </w:rPr>
        <w:t>process,</w:t>
      </w:r>
      <w:r>
        <w:rPr>
          <w:spacing w:val="-6"/>
        </w:rPr>
        <w:t xml:space="preserve"> </w:t>
      </w:r>
      <w:r>
        <w:t xml:space="preserve">and is in </w:t>
      </w:r>
      <w:r>
        <w:rPr>
          <w:spacing w:val="-1"/>
        </w:rPr>
        <w:t>keeping</w:t>
      </w:r>
      <w:r>
        <w:t xml:space="preserve"> with </w:t>
      </w:r>
      <w:r>
        <w:rPr>
          <w:spacing w:val="-1"/>
        </w:rPr>
        <w:t>general</w:t>
      </w:r>
      <w:r>
        <w:t xml:space="preserve"> </w:t>
      </w:r>
      <w:r>
        <w:rPr>
          <w:spacing w:val="-1"/>
        </w:rPr>
        <w:t>regulatory</w:t>
      </w:r>
      <w:r>
        <w:t xml:space="preserve"> </w:t>
      </w:r>
      <w:r>
        <w:rPr>
          <w:spacing w:val="-1"/>
        </w:rPr>
        <w:t>practice.</w:t>
      </w:r>
      <w:r>
        <w:rPr>
          <w:spacing w:val="61"/>
        </w:rPr>
        <w:t xml:space="preserve"> </w:t>
      </w:r>
      <w:r>
        <w:rPr>
          <w:spacing w:val="-2"/>
        </w:rPr>
        <w:t>The</w:t>
      </w:r>
      <w:r>
        <w:t xml:space="preserve"> </w:t>
      </w:r>
      <w:r>
        <w:rPr>
          <w:spacing w:val="-3"/>
        </w:rPr>
        <w:t>Panel</w:t>
      </w:r>
      <w:r>
        <w:t xml:space="preserve"> accepts </w:t>
      </w:r>
      <w:r>
        <w:rPr>
          <w:spacing w:val="-1"/>
        </w:rPr>
        <w:t>that</w:t>
      </w:r>
      <w:r>
        <w:t xml:space="preserve"> the </w:t>
      </w:r>
      <w:r>
        <w:rPr>
          <w:spacing w:val="-1"/>
        </w:rPr>
        <w:t>uncertainty</w:t>
      </w:r>
      <w:r>
        <w:t xml:space="preserve"> </w:t>
      </w:r>
      <w:r>
        <w:rPr>
          <w:spacing w:val="-1"/>
        </w:rPr>
        <w:t>surrounding</w:t>
      </w:r>
      <w:r>
        <w:t xml:space="preserve"> demand </w:t>
      </w:r>
      <w:r>
        <w:rPr>
          <w:spacing w:val="-1"/>
        </w:rPr>
        <w:t>forecasts</w:t>
      </w:r>
      <w:r>
        <w:t xml:space="preserve"> </w:t>
      </w:r>
      <w:r>
        <w:rPr>
          <w:spacing w:val="-1"/>
        </w:rPr>
        <w:t>means</w:t>
      </w:r>
      <w:r>
        <w:t xml:space="preserve"> </w:t>
      </w:r>
      <w:r>
        <w:rPr>
          <w:spacing w:val="-1"/>
        </w:rPr>
        <w:t>there</w:t>
      </w:r>
      <w:r>
        <w:t xml:space="preserve"> is a risk </w:t>
      </w:r>
      <w:r>
        <w:rPr>
          <w:spacing w:val="-1"/>
        </w:rPr>
        <w:t>that</w:t>
      </w:r>
      <w:r>
        <w:t xml:space="preserve"> actual</w:t>
      </w:r>
      <w:r>
        <w:rPr>
          <w:spacing w:val="63"/>
        </w:rPr>
        <w:t xml:space="preserve"> </w:t>
      </w:r>
      <w:r>
        <w:t xml:space="preserve">demand will </w:t>
      </w:r>
      <w:r>
        <w:rPr>
          <w:spacing w:val="-1"/>
        </w:rPr>
        <w:t>deviate</w:t>
      </w:r>
      <w:r>
        <w:t xml:space="preserve"> </w:t>
      </w:r>
      <w:r>
        <w:rPr>
          <w:spacing w:val="-1"/>
        </w:rPr>
        <w:t>from</w:t>
      </w:r>
      <w:r>
        <w:t xml:space="preserve"> </w:t>
      </w:r>
      <w:r>
        <w:rPr>
          <w:spacing w:val="-1"/>
        </w:rPr>
        <w:t>forecast</w:t>
      </w:r>
      <w:r>
        <w:t xml:space="preserve"> demand over the </w:t>
      </w:r>
      <w:r>
        <w:rPr>
          <w:spacing w:val="-1"/>
        </w:rPr>
        <w:t>remainder</w:t>
      </w:r>
      <w:r>
        <w:t xml:space="preserve"> of</w:t>
      </w:r>
      <w:r>
        <w:rPr>
          <w:spacing w:val="4"/>
        </w:rPr>
        <w:t xml:space="preserve"> </w:t>
      </w:r>
      <w:r>
        <w:t xml:space="preserve">the </w:t>
      </w:r>
      <w:r>
        <w:rPr>
          <w:spacing w:val="-1"/>
        </w:rPr>
        <w:t>regulatory</w:t>
      </w:r>
      <w:r>
        <w:t xml:space="preserve"> period.</w:t>
      </w:r>
      <w:r>
        <w:rPr>
          <w:spacing w:val="-6"/>
        </w:rPr>
        <w:t xml:space="preserve"> </w:t>
      </w:r>
      <w:r>
        <w:rPr>
          <w:spacing w:val="-2"/>
        </w:rPr>
        <w:t>However,</w:t>
      </w:r>
    </w:p>
    <w:p w:rsidR="00D96B91" w:rsidRDefault="00C2656B">
      <w:pPr>
        <w:pStyle w:val="BodyText"/>
        <w:spacing w:line="260" w:lineRule="exact"/>
        <w:ind w:right="1411"/>
      </w:pPr>
      <w:r>
        <w:rPr>
          <w:rFonts w:cs="Avenir Next"/>
        </w:rPr>
        <w:t xml:space="preserve">in its </w:t>
      </w:r>
      <w:r>
        <w:rPr>
          <w:rFonts w:cs="Avenir Next"/>
          <w:spacing w:val="-2"/>
        </w:rPr>
        <w:t>view,</w:t>
      </w:r>
      <w:r>
        <w:rPr>
          <w:rFonts w:cs="Avenir Next"/>
          <w:spacing w:val="-6"/>
        </w:rPr>
        <w:t xml:space="preserve"> </w:t>
      </w:r>
      <w:r>
        <w:rPr>
          <w:rFonts w:cs="Avenir Next"/>
        </w:rPr>
        <w:t>the level of</w:t>
      </w:r>
      <w:r>
        <w:rPr>
          <w:rFonts w:cs="Avenir Next"/>
          <w:spacing w:val="4"/>
        </w:rPr>
        <w:t xml:space="preserve"> </w:t>
      </w:r>
      <w:r>
        <w:rPr>
          <w:rFonts w:cs="Avenir Next"/>
        </w:rPr>
        <w:t xml:space="preserve">this risk is far lower in the </w:t>
      </w:r>
      <w:r>
        <w:rPr>
          <w:rFonts w:cs="Avenir Next"/>
          <w:spacing w:val="-1"/>
        </w:rPr>
        <w:t>current</w:t>
      </w:r>
      <w:r>
        <w:rPr>
          <w:rFonts w:cs="Avenir Next"/>
        </w:rPr>
        <w:t xml:space="preserve"> </w:t>
      </w:r>
      <w:r>
        <w:rPr>
          <w:rFonts w:cs="Avenir Next"/>
          <w:spacing w:val="-1"/>
        </w:rPr>
        <w:t>regulatory</w:t>
      </w:r>
      <w:r>
        <w:rPr>
          <w:rFonts w:cs="Avenir Next"/>
        </w:rPr>
        <w:t xml:space="preserve"> period than the </w:t>
      </w:r>
      <w:r>
        <w:rPr>
          <w:rFonts w:cs="Avenir Next"/>
          <w:spacing w:val="-1"/>
        </w:rPr>
        <w:t>previous</w:t>
      </w:r>
      <w:r>
        <w:rPr>
          <w:rFonts w:cs="Avenir Next"/>
        </w:rPr>
        <w:t xml:space="preserve"> period</w:t>
      </w:r>
      <w:r>
        <w:rPr>
          <w:rFonts w:cs="Avenir Next"/>
          <w:spacing w:val="27"/>
        </w:rPr>
        <w:t xml:space="preserve"> </w:t>
      </w:r>
      <w:r>
        <w:t>(see section 6.2).</w:t>
      </w:r>
      <w:r>
        <w:rPr>
          <w:spacing w:val="-11"/>
        </w:rPr>
        <w:t xml:space="preserve"> </w:t>
      </w:r>
      <w:r>
        <w:rPr>
          <w:spacing w:val="-2"/>
        </w:rPr>
        <w:t>The</w:t>
      </w:r>
      <w:r>
        <w:t xml:space="preserve"> </w:t>
      </w:r>
      <w:r>
        <w:rPr>
          <w:spacing w:val="-3"/>
        </w:rPr>
        <w:t>Panel</w:t>
      </w:r>
      <w:r>
        <w:t xml:space="preserve"> also considers </w:t>
      </w:r>
      <w:r>
        <w:rPr>
          <w:spacing w:val="-1"/>
        </w:rPr>
        <w:t>that</w:t>
      </w:r>
      <w:r>
        <w:rPr>
          <w:spacing w:val="-4"/>
        </w:rPr>
        <w:t xml:space="preserve"> </w:t>
      </w:r>
      <w:r>
        <w:rPr>
          <w:spacing w:val="-2"/>
        </w:rPr>
        <w:t>ACTEW’s</w:t>
      </w:r>
      <w:r>
        <w:t xml:space="preserve"> </w:t>
      </w:r>
      <w:r>
        <w:rPr>
          <w:spacing w:val="-1"/>
        </w:rPr>
        <w:t>proposal</w:t>
      </w:r>
      <w:r>
        <w:t xml:space="preserve"> for </w:t>
      </w:r>
      <w:r>
        <w:rPr>
          <w:spacing w:val="-1"/>
        </w:rPr>
        <w:t>addressing</w:t>
      </w:r>
      <w:r>
        <w:t xml:space="preserve"> this risk – an annual</w:t>
      </w:r>
      <w:r>
        <w:rPr>
          <w:spacing w:val="37"/>
        </w:rPr>
        <w:t xml:space="preserve"> </w:t>
      </w:r>
      <w:r>
        <w:t>demand adjustment mechanism,</w:t>
      </w:r>
      <w:r>
        <w:rPr>
          <w:spacing w:val="-7"/>
        </w:rPr>
        <w:t xml:space="preserve"> </w:t>
      </w:r>
      <w:r>
        <w:t xml:space="preserve">in conjunction with a </w:t>
      </w:r>
      <w:r>
        <w:rPr>
          <w:spacing w:val="-1"/>
        </w:rPr>
        <w:t>revenue</w:t>
      </w:r>
      <w:r>
        <w:t xml:space="preserve"> cap – </w:t>
      </w:r>
      <w:r>
        <w:rPr>
          <w:spacing w:val="-1"/>
        </w:rPr>
        <w:t>allocates</w:t>
      </w:r>
      <w:r>
        <w:t xml:space="preserve"> too much of</w:t>
      </w:r>
      <w:r>
        <w:rPr>
          <w:spacing w:val="4"/>
        </w:rPr>
        <w:t xml:space="preserve"> </w:t>
      </w:r>
      <w:r>
        <w:t>the risk to</w:t>
      </w:r>
      <w:r>
        <w:rPr>
          <w:spacing w:val="21"/>
        </w:rPr>
        <w:t xml:space="preserve"> </w:t>
      </w:r>
      <w:r>
        <w:t>customers,</w:t>
      </w:r>
      <w:r>
        <w:rPr>
          <w:spacing w:val="-6"/>
        </w:rPr>
        <w:t xml:space="preserve"> </w:t>
      </w:r>
      <w:r>
        <w:t xml:space="preserve">and has the potential to </w:t>
      </w:r>
      <w:r>
        <w:rPr>
          <w:spacing w:val="-1"/>
        </w:rPr>
        <w:t>lead</w:t>
      </w:r>
      <w:r>
        <w:t xml:space="preserve"> to price instability within the </w:t>
      </w:r>
      <w:r>
        <w:rPr>
          <w:spacing w:val="-1"/>
        </w:rPr>
        <w:t>regulatory</w:t>
      </w:r>
      <w:r>
        <w:t xml:space="preserve"> period.</w:t>
      </w:r>
    </w:p>
    <w:p w:rsidR="00D96B91" w:rsidRDefault="00C2656B">
      <w:pPr>
        <w:pStyle w:val="BodyText"/>
        <w:spacing w:before="170" w:line="260" w:lineRule="exact"/>
        <w:ind w:right="1256"/>
      </w:pPr>
      <w:r>
        <w:t>As Chapter 6 discussed,</w:t>
      </w:r>
      <w:r>
        <w:rPr>
          <w:spacing w:val="-7"/>
        </w:rPr>
        <w:t xml:space="preserve"> </w:t>
      </w:r>
      <w:r>
        <w:t xml:space="preserve">the </w:t>
      </w:r>
      <w:r>
        <w:rPr>
          <w:spacing w:val="-3"/>
        </w:rPr>
        <w:t>Panel</w:t>
      </w:r>
      <w:r>
        <w:t xml:space="preserve"> has decided to adopt a hybrid price and </w:t>
      </w:r>
      <w:r>
        <w:rPr>
          <w:spacing w:val="-1"/>
        </w:rPr>
        <w:t>revenue</w:t>
      </w:r>
      <w:r>
        <w:t xml:space="preserve"> cap form of</w:t>
      </w:r>
      <w:r>
        <w:rPr>
          <w:spacing w:val="4"/>
        </w:rPr>
        <w:t xml:space="preserve"> </w:t>
      </w:r>
      <w:r>
        <w:t>price</w:t>
      </w:r>
      <w:r>
        <w:rPr>
          <w:spacing w:val="27"/>
        </w:rPr>
        <w:t xml:space="preserve"> </w:t>
      </w:r>
      <w:r>
        <w:rPr>
          <w:spacing w:val="-1"/>
        </w:rPr>
        <w:t>control,</w:t>
      </w:r>
      <w:r>
        <w:rPr>
          <w:spacing w:val="-6"/>
        </w:rPr>
        <w:t xml:space="preserve"> </w:t>
      </w:r>
      <w:r>
        <w:t xml:space="preserve">which includes a demand </w:t>
      </w:r>
      <w:r>
        <w:rPr>
          <w:spacing w:val="-1"/>
        </w:rPr>
        <w:t>volatility</w:t>
      </w:r>
      <w:r>
        <w:t xml:space="preserve"> adjustment mechanism to account for </w:t>
      </w:r>
      <w:r>
        <w:rPr>
          <w:spacing w:val="-1"/>
        </w:rPr>
        <w:t>deviation</w:t>
      </w:r>
      <w:r>
        <w:t xml:space="preserve"> between</w:t>
      </w:r>
      <w:r>
        <w:rPr>
          <w:spacing w:val="35"/>
        </w:rPr>
        <w:t xml:space="preserve"> </w:t>
      </w:r>
      <w:r>
        <w:t xml:space="preserve">actual and </w:t>
      </w:r>
      <w:r>
        <w:rPr>
          <w:spacing w:val="-1"/>
        </w:rPr>
        <w:t>forecast</w:t>
      </w:r>
      <w:r>
        <w:t xml:space="preserve"> </w:t>
      </w:r>
      <w:r>
        <w:rPr>
          <w:spacing w:val="-1"/>
        </w:rPr>
        <w:t>water</w:t>
      </w:r>
      <w:r>
        <w:t xml:space="preserve"> sales in </w:t>
      </w:r>
      <w:r>
        <w:rPr>
          <w:spacing w:val="-1"/>
        </w:rPr>
        <w:t>excess</w:t>
      </w:r>
      <w:r>
        <w:t xml:space="preserve"> of</w:t>
      </w:r>
      <w:r>
        <w:rPr>
          <w:spacing w:val="4"/>
        </w:rPr>
        <w:t xml:space="preserve"> </w:t>
      </w:r>
      <w:r>
        <w:t xml:space="preserve">a 7% </w:t>
      </w:r>
      <w:r>
        <w:rPr>
          <w:spacing w:val="-1"/>
        </w:rPr>
        <w:t>deadband.</w:t>
      </w:r>
      <w:r>
        <w:rPr>
          <w:spacing w:val="-11"/>
        </w:rPr>
        <w:t xml:space="preserve"> </w:t>
      </w:r>
      <w:r>
        <w:rPr>
          <w:spacing w:val="-2"/>
        </w:rPr>
        <w:t>The</w:t>
      </w:r>
      <w:r>
        <w:t xml:space="preserve"> </w:t>
      </w:r>
      <w:r>
        <w:rPr>
          <w:spacing w:val="-3"/>
        </w:rPr>
        <w:t>Panel</w:t>
      </w:r>
      <w:r>
        <w:t xml:space="preserve"> considers this </w:t>
      </w:r>
      <w:r>
        <w:rPr>
          <w:spacing w:val="-1"/>
        </w:rPr>
        <w:t>approach</w:t>
      </w:r>
      <w:r>
        <w:t xml:space="preserve"> </w:t>
      </w:r>
      <w:r>
        <w:rPr>
          <w:spacing w:val="-1"/>
        </w:rPr>
        <w:t>more</w:t>
      </w:r>
      <w:r>
        <w:rPr>
          <w:spacing w:val="51"/>
        </w:rPr>
        <w:t xml:space="preserve"> </w:t>
      </w:r>
      <w:r>
        <w:rPr>
          <w:spacing w:val="-1"/>
        </w:rPr>
        <w:t>appropriately</w:t>
      </w:r>
      <w:r>
        <w:t xml:space="preserve"> </w:t>
      </w:r>
      <w:r>
        <w:rPr>
          <w:spacing w:val="-1"/>
        </w:rPr>
        <w:t>allocates</w:t>
      </w:r>
      <w:r>
        <w:t xml:space="preserve"> </w:t>
      </w:r>
      <w:r>
        <w:rPr>
          <w:spacing w:val="-1"/>
        </w:rPr>
        <w:t>demand-related</w:t>
      </w:r>
      <w:r>
        <w:t xml:space="preserve"> risk between</w:t>
      </w:r>
      <w:r>
        <w:rPr>
          <w:spacing w:val="-4"/>
        </w:rPr>
        <w:t xml:space="preserve"> </w:t>
      </w:r>
      <w:r>
        <w:rPr>
          <w:spacing w:val="-2"/>
        </w:rPr>
        <w:t>ACTEW</w:t>
      </w:r>
      <w:r>
        <w:rPr>
          <w:spacing w:val="-3"/>
        </w:rPr>
        <w:t xml:space="preserve"> </w:t>
      </w:r>
      <w:r>
        <w:t>and customers.</w:t>
      </w:r>
    </w:p>
    <w:p w:rsidR="00D96B91" w:rsidRDefault="00C2656B">
      <w:pPr>
        <w:pStyle w:val="BodyText"/>
        <w:spacing w:before="170" w:line="260" w:lineRule="exact"/>
        <w:ind w:right="1513"/>
      </w:pPr>
      <w:r>
        <w:rPr>
          <w:spacing w:val="-2"/>
        </w:rPr>
        <w:t>The</w:t>
      </w:r>
      <w:r>
        <w:rPr>
          <w:spacing w:val="-1"/>
        </w:rPr>
        <w:t xml:space="preserve"> </w:t>
      </w:r>
      <w:r>
        <w:rPr>
          <w:spacing w:val="-4"/>
        </w:rPr>
        <w:t>Panel’s</w:t>
      </w:r>
      <w:r>
        <w:t xml:space="preserve"> </w:t>
      </w:r>
      <w:r>
        <w:rPr>
          <w:spacing w:val="-2"/>
        </w:rPr>
        <w:t>draft</w:t>
      </w:r>
      <w:r>
        <w:rPr>
          <w:spacing w:val="-1"/>
        </w:rPr>
        <w:t xml:space="preserve"> </w:t>
      </w:r>
      <w:r>
        <w:t>decision on</w:t>
      </w:r>
      <w:r>
        <w:rPr>
          <w:spacing w:val="-1"/>
        </w:rPr>
        <w:t xml:space="preserve"> forecast</w:t>
      </w:r>
      <w:r>
        <w:t xml:space="preserve"> </w:t>
      </w:r>
      <w:r>
        <w:rPr>
          <w:spacing w:val="-1"/>
        </w:rPr>
        <w:t>water</w:t>
      </w:r>
      <w:r>
        <w:t xml:space="preserve"> sales</w:t>
      </w:r>
      <w:r>
        <w:rPr>
          <w:spacing w:val="-1"/>
        </w:rPr>
        <w:t xml:space="preserve"> </w:t>
      </w:r>
      <w:r>
        <w:t>for 2014-15</w:t>
      </w:r>
      <w:r>
        <w:rPr>
          <w:spacing w:val="-1"/>
        </w:rPr>
        <w:t xml:space="preserve"> </w:t>
      </w:r>
      <w:r>
        <w:t>to 2017-18</w:t>
      </w:r>
      <w:r>
        <w:rPr>
          <w:spacing w:val="-1"/>
        </w:rPr>
        <w:t xml:space="preserve"> reflects</w:t>
      </w:r>
      <w:r>
        <w:t xml:space="preserve"> </w:t>
      </w:r>
      <w:r>
        <w:rPr>
          <w:spacing w:val="-3"/>
        </w:rPr>
        <w:t>Cardno’s</w:t>
      </w:r>
      <w:r>
        <w:t xml:space="preserve"> advice.</w:t>
      </w:r>
      <w:r>
        <w:rPr>
          <w:spacing w:val="59"/>
        </w:rPr>
        <w:t xml:space="preserve"> </w:t>
      </w:r>
      <w:r>
        <w:rPr>
          <w:spacing w:val="-1"/>
        </w:rPr>
        <w:t>These</w:t>
      </w:r>
      <w:r>
        <w:t xml:space="preserve"> </w:t>
      </w:r>
      <w:r>
        <w:rPr>
          <w:spacing w:val="-1"/>
        </w:rPr>
        <w:t>forecasts</w:t>
      </w:r>
      <w:r>
        <w:t xml:space="preserve"> </w:t>
      </w:r>
      <w:r>
        <w:rPr>
          <w:spacing w:val="-2"/>
        </w:rPr>
        <w:t>are</w:t>
      </w:r>
      <w:r>
        <w:t xml:space="preserve"> between 3.5% and 7.6% higher than the </w:t>
      </w:r>
      <w:r>
        <w:rPr>
          <w:spacing w:val="-1"/>
        </w:rPr>
        <w:t>forecast</w:t>
      </w:r>
      <w:r>
        <w:t xml:space="preserve"> </w:t>
      </w:r>
      <w:r>
        <w:rPr>
          <w:spacing w:val="-1"/>
        </w:rPr>
        <w:t>water</w:t>
      </w:r>
      <w:r>
        <w:t xml:space="preserve"> sales</w:t>
      </w:r>
      <w:r>
        <w:rPr>
          <w:spacing w:val="-4"/>
        </w:rPr>
        <w:t xml:space="preserve"> </w:t>
      </w:r>
      <w:r>
        <w:rPr>
          <w:spacing w:val="-2"/>
        </w:rPr>
        <w:t>ACTEW</w:t>
      </w:r>
      <w:r>
        <w:rPr>
          <w:spacing w:val="-3"/>
        </w:rPr>
        <w:t xml:space="preserve"> </w:t>
      </w:r>
      <w:r>
        <w:rPr>
          <w:spacing w:val="-1"/>
        </w:rPr>
        <w:t>provided</w:t>
      </w:r>
      <w:r>
        <w:t xml:space="preserve"> in</w:t>
      </w:r>
      <w:r>
        <w:rPr>
          <w:spacing w:val="47"/>
        </w:rPr>
        <w:t xml:space="preserve"> </w:t>
      </w:r>
      <w:r>
        <w:rPr>
          <w:spacing w:val="-1"/>
        </w:rPr>
        <w:t>response</w:t>
      </w:r>
      <w:r>
        <w:t xml:space="preserve"> to the </w:t>
      </w:r>
      <w:r>
        <w:rPr>
          <w:spacing w:val="-4"/>
        </w:rPr>
        <w:t>Panel’s</w:t>
      </w:r>
      <w:r>
        <w:t xml:space="preserve"> </w:t>
      </w:r>
      <w:r>
        <w:rPr>
          <w:spacing w:val="-1"/>
        </w:rPr>
        <w:t>information</w:t>
      </w:r>
      <w:r>
        <w:t xml:space="preserve"> </w:t>
      </w:r>
      <w:r>
        <w:rPr>
          <w:spacing w:val="-1"/>
        </w:rPr>
        <w:t>request,</w:t>
      </w:r>
      <w:r>
        <w:rPr>
          <w:spacing w:val="-6"/>
        </w:rPr>
        <w:t xml:space="preserve"> </w:t>
      </w:r>
      <w:r>
        <w:t>and 15-20% higher than the 38 GL</w:t>
      </w:r>
      <w:r>
        <w:rPr>
          <w:spacing w:val="-5"/>
        </w:rPr>
        <w:t xml:space="preserve"> </w:t>
      </w:r>
      <w:r>
        <w:rPr>
          <w:spacing w:val="-1"/>
        </w:rPr>
        <w:t>forecasts</w:t>
      </w:r>
      <w:r>
        <w:t xml:space="preserve"> used by the</w:t>
      </w:r>
      <w:r>
        <w:rPr>
          <w:spacing w:val="57"/>
        </w:rPr>
        <w:t xml:space="preserve"> </w:t>
      </w:r>
      <w:r>
        <w:t xml:space="preserve">ICRC to </w:t>
      </w:r>
      <w:r>
        <w:rPr>
          <w:spacing w:val="-1"/>
        </w:rPr>
        <w:t>calculate</w:t>
      </w:r>
      <w:r>
        <w:t xml:space="preserve"> prices in 2013-14 and 2014-15.</w:t>
      </w:r>
    </w:p>
    <w:p w:rsidR="00D96B91" w:rsidRDefault="00C2656B">
      <w:pPr>
        <w:pStyle w:val="BodyText"/>
        <w:spacing w:before="170" w:line="260" w:lineRule="exact"/>
        <w:ind w:right="1585"/>
        <w:rPr>
          <w:rFonts w:cs="Avenir Next"/>
        </w:rPr>
      </w:pPr>
      <w:r>
        <w:rPr>
          <w:spacing w:val="-2"/>
        </w:rPr>
        <w:t>The</w:t>
      </w:r>
      <w:r>
        <w:rPr>
          <w:spacing w:val="-1"/>
        </w:rPr>
        <w:t xml:space="preserve"> </w:t>
      </w:r>
      <w:r>
        <w:rPr>
          <w:spacing w:val="-4"/>
        </w:rPr>
        <w:t>Panel’s</w:t>
      </w:r>
      <w:r>
        <w:t xml:space="preserve"> </w:t>
      </w:r>
      <w:r>
        <w:rPr>
          <w:spacing w:val="-2"/>
        </w:rPr>
        <w:t>draft</w:t>
      </w:r>
      <w:r>
        <w:rPr>
          <w:spacing w:val="-1"/>
        </w:rPr>
        <w:t xml:space="preserve"> </w:t>
      </w:r>
      <w:r>
        <w:t xml:space="preserve">decision on </w:t>
      </w:r>
      <w:r>
        <w:rPr>
          <w:spacing w:val="-1"/>
        </w:rPr>
        <w:t xml:space="preserve">water </w:t>
      </w:r>
      <w:r>
        <w:t xml:space="preserve">and </w:t>
      </w:r>
      <w:r>
        <w:rPr>
          <w:spacing w:val="-1"/>
        </w:rPr>
        <w:t>sewerage</w:t>
      </w:r>
      <w:r>
        <w:t xml:space="preserve"> customer</w:t>
      </w:r>
      <w:r>
        <w:rPr>
          <w:spacing w:val="-1"/>
        </w:rPr>
        <w:t xml:space="preserve"> </w:t>
      </w:r>
      <w:r>
        <w:t>numbers and billable</w:t>
      </w:r>
      <w:r>
        <w:rPr>
          <w:spacing w:val="-1"/>
        </w:rPr>
        <w:t xml:space="preserve"> fixture</w:t>
      </w:r>
      <w:r>
        <w:t xml:space="preserve"> numbers</w:t>
      </w:r>
      <w:r>
        <w:rPr>
          <w:spacing w:val="47"/>
        </w:rPr>
        <w:t xml:space="preserve"> </w:t>
      </w:r>
      <w:r>
        <w:rPr>
          <w:spacing w:val="-1"/>
        </w:rPr>
        <w:t xml:space="preserve">reflects </w:t>
      </w:r>
      <w:r>
        <w:t>the</w:t>
      </w:r>
      <w:r>
        <w:rPr>
          <w:spacing w:val="-1"/>
        </w:rPr>
        <w:t xml:space="preserve"> revised</w:t>
      </w:r>
      <w:r>
        <w:t xml:space="preserve"> and</w:t>
      </w:r>
      <w:r>
        <w:rPr>
          <w:spacing w:val="-1"/>
        </w:rPr>
        <w:t xml:space="preserve"> corrected estimates</w:t>
      </w:r>
      <w:r>
        <w:t xml:space="preserve"> of</w:t>
      </w:r>
      <w:r>
        <w:rPr>
          <w:spacing w:val="3"/>
        </w:rPr>
        <w:t xml:space="preserve"> </w:t>
      </w:r>
      <w:r>
        <w:t>these</w:t>
      </w:r>
      <w:r>
        <w:rPr>
          <w:spacing w:val="-1"/>
        </w:rPr>
        <w:t xml:space="preserve"> </w:t>
      </w:r>
      <w:r>
        <w:t xml:space="preserve">numbers </w:t>
      </w:r>
      <w:r>
        <w:rPr>
          <w:spacing w:val="-1"/>
        </w:rPr>
        <w:t xml:space="preserve">provided </w:t>
      </w:r>
      <w:r>
        <w:t>by</w:t>
      </w:r>
      <w:r>
        <w:rPr>
          <w:spacing w:val="-5"/>
        </w:rPr>
        <w:t xml:space="preserve"> </w:t>
      </w:r>
      <w:r>
        <w:rPr>
          <w:spacing w:val="-2"/>
        </w:rPr>
        <w:t>ACTEW</w:t>
      </w:r>
      <w:r>
        <w:rPr>
          <w:spacing w:val="-3"/>
        </w:rPr>
        <w:t xml:space="preserve"> </w:t>
      </w:r>
      <w:r>
        <w:t>over</w:t>
      </w:r>
      <w:r>
        <w:rPr>
          <w:spacing w:val="-1"/>
        </w:rPr>
        <w:t xml:space="preserve"> </w:t>
      </w:r>
      <w:r>
        <w:t>the</w:t>
      </w:r>
      <w:r>
        <w:rPr>
          <w:spacing w:val="-1"/>
        </w:rPr>
        <w:t xml:space="preserve"> </w:t>
      </w:r>
      <w:r>
        <w:t>five</w:t>
      </w:r>
      <w:r>
        <w:rPr>
          <w:spacing w:val="55"/>
          <w:w w:val="99"/>
        </w:rPr>
        <w:t xml:space="preserve"> </w:t>
      </w:r>
      <w:r>
        <w:rPr>
          <w:spacing w:val="-1"/>
        </w:rPr>
        <w:t>years</w:t>
      </w:r>
      <w:r>
        <w:t xml:space="preserve"> </w:t>
      </w:r>
      <w:r>
        <w:rPr>
          <w:spacing w:val="-1"/>
        </w:rPr>
        <w:t>from</w:t>
      </w:r>
      <w:r>
        <w:rPr>
          <w:spacing w:val="1"/>
        </w:rPr>
        <w:t xml:space="preserve"> </w:t>
      </w:r>
      <w:r>
        <w:t>2008-09</w:t>
      </w:r>
      <w:r>
        <w:rPr>
          <w:spacing w:val="1"/>
        </w:rPr>
        <w:t xml:space="preserve"> </w:t>
      </w:r>
      <w:r>
        <w:t>to</w:t>
      </w:r>
      <w:r>
        <w:rPr>
          <w:spacing w:val="1"/>
        </w:rPr>
        <w:t xml:space="preserve"> </w:t>
      </w:r>
      <w:r>
        <w:rPr>
          <w:spacing w:val="-1"/>
        </w:rPr>
        <w:t>2013-14,</w:t>
      </w:r>
      <w:r>
        <w:rPr>
          <w:spacing w:val="-1"/>
          <w:position w:val="7"/>
          <w:sz w:val="11"/>
          <w:szCs w:val="11"/>
        </w:rPr>
        <w:t>207</w:t>
      </w:r>
      <w:r>
        <w:rPr>
          <w:spacing w:val="23"/>
          <w:position w:val="7"/>
          <w:sz w:val="11"/>
          <w:szCs w:val="11"/>
        </w:rPr>
        <w:t xml:space="preserve"> </w:t>
      </w:r>
      <w:r>
        <w:rPr>
          <w:rFonts w:cs="Avenir Next"/>
        </w:rPr>
        <w:t>and</w:t>
      </w:r>
      <w:r>
        <w:rPr>
          <w:rFonts w:cs="Avenir Next"/>
          <w:spacing w:val="1"/>
        </w:rPr>
        <w:t xml:space="preserve"> </w:t>
      </w:r>
      <w:r>
        <w:rPr>
          <w:rFonts w:cs="Avenir Next"/>
        </w:rPr>
        <w:t>the historical</w:t>
      </w:r>
      <w:r>
        <w:rPr>
          <w:rFonts w:cs="Avenir Next"/>
          <w:spacing w:val="1"/>
        </w:rPr>
        <w:t xml:space="preserve"> </w:t>
      </w:r>
      <w:r>
        <w:rPr>
          <w:rFonts w:cs="Avenir Next"/>
        </w:rPr>
        <w:t>annual</w:t>
      </w:r>
      <w:r>
        <w:rPr>
          <w:rFonts w:cs="Avenir Next"/>
          <w:spacing w:val="1"/>
        </w:rPr>
        <w:t xml:space="preserve"> </w:t>
      </w:r>
      <w:r>
        <w:rPr>
          <w:rFonts w:cs="Avenir Next"/>
          <w:spacing w:val="-1"/>
        </w:rPr>
        <w:t>growth</w:t>
      </w:r>
      <w:r>
        <w:rPr>
          <w:rFonts w:cs="Avenir Next"/>
          <w:spacing w:val="1"/>
        </w:rPr>
        <w:t xml:space="preserve"> </w:t>
      </w:r>
      <w:r>
        <w:rPr>
          <w:rFonts w:cs="Avenir Next"/>
        </w:rPr>
        <w:t>in these</w:t>
      </w:r>
      <w:r>
        <w:rPr>
          <w:rFonts w:cs="Avenir Next"/>
          <w:spacing w:val="1"/>
        </w:rPr>
        <w:t xml:space="preserve"> </w:t>
      </w:r>
      <w:r>
        <w:rPr>
          <w:rFonts w:cs="Avenir Next"/>
        </w:rPr>
        <w:t>numbers</w:t>
      </w:r>
      <w:r>
        <w:rPr>
          <w:rFonts w:cs="Avenir Next"/>
          <w:spacing w:val="1"/>
        </w:rPr>
        <w:t xml:space="preserve"> </w:t>
      </w:r>
      <w:r>
        <w:rPr>
          <w:rFonts w:cs="Avenir Next"/>
        </w:rPr>
        <w:t>implied</w:t>
      </w:r>
      <w:r>
        <w:rPr>
          <w:rFonts w:cs="Avenir Next"/>
          <w:spacing w:val="1"/>
        </w:rPr>
        <w:t xml:space="preserve"> </w:t>
      </w:r>
      <w:r>
        <w:rPr>
          <w:rFonts w:cs="Avenir Next"/>
        </w:rPr>
        <w:t>by</w:t>
      </w:r>
      <w:r>
        <w:rPr>
          <w:rFonts w:cs="Avenir Next"/>
          <w:spacing w:val="1"/>
        </w:rPr>
        <w:t xml:space="preserve"> </w:t>
      </w:r>
      <w:r>
        <w:rPr>
          <w:rFonts w:cs="Avenir Next"/>
        </w:rPr>
        <w:t>the</w:t>
      </w:r>
    </w:p>
    <w:p w:rsidR="00D96B91" w:rsidRDefault="00C2656B">
      <w:pPr>
        <w:pStyle w:val="BodyText"/>
        <w:spacing w:line="260" w:lineRule="exact"/>
        <w:ind w:right="1283"/>
      </w:pPr>
      <w:r>
        <w:rPr>
          <w:spacing w:val="-1"/>
        </w:rPr>
        <w:t>estimates.</w:t>
      </w:r>
      <w:r>
        <w:rPr>
          <w:spacing w:val="-6"/>
        </w:rPr>
        <w:t xml:space="preserve"> </w:t>
      </w:r>
      <w:r>
        <w:t xml:space="preserve">Its </w:t>
      </w:r>
      <w:r>
        <w:rPr>
          <w:spacing w:val="-2"/>
        </w:rPr>
        <w:t>draft</w:t>
      </w:r>
      <w:r>
        <w:t xml:space="preserve"> decision on customer numbers is higher than </w:t>
      </w:r>
      <w:r>
        <w:rPr>
          <w:spacing w:val="-1"/>
        </w:rPr>
        <w:t>that</w:t>
      </w:r>
      <w:r>
        <w:t xml:space="preserve"> adopted by the ICRC in 2013-14</w:t>
      </w:r>
      <w:r>
        <w:rPr>
          <w:spacing w:val="27"/>
        </w:rPr>
        <w:t xml:space="preserve"> </w:t>
      </w:r>
      <w:r>
        <w:t>and</w:t>
      </w:r>
      <w:r>
        <w:rPr>
          <w:spacing w:val="-1"/>
        </w:rPr>
        <w:t xml:space="preserve"> </w:t>
      </w:r>
      <w:r>
        <w:t>2014-15,</w:t>
      </w:r>
      <w:r>
        <w:rPr>
          <w:spacing w:val="-6"/>
        </w:rPr>
        <w:t xml:space="preserve"> </w:t>
      </w:r>
      <w:r>
        <w:t>and</w:t>
      </w:r>
      <w:r>
        <w:rPr>
          <w:spacing w:val="-1"/>
        </w:rPr>
        <w:t xml:space="preserve"> </w:t>
      </w:r>
      <w:r>
        <w:t xml:space="preserve">its </w:t>
      </w:r>
      <w:r>
        <w:rPr>
          <w:spacing w:val="-2"/>
        </w:rPr>
        <w:t>draft</w:t>
      </w:r>
      <w:r>
        <w:rPr>
          <w:spacing w:val="-1"/>
        </w:rPr>
        <w:t xml:space="preserve"> </w:t>
      </w:r>
      <w:r>
        <w:t>decision on billable</w:t>
      </w:r>
      <w:r>
        <w:rPr>
          <w:spacing w:val="-1"/>
        </w:rPr>
        <w:t xml:space="preserve"> fixtures</w:t>
      </w:r>
      <w:r>
        <w:t xml:space="preserve"> is</w:t>
      </w:r>
      <w:r>
        <w:rPr>
          <w:spacing w:val="-1"/>
        </w:rPr>
        <w:t xml:space="preserve"> </w:t>
      </w:r>
      <w:r>
        <w:t xml:space="preserve">slightly </w:t>
      </w:r>
      <w:r>
        <w:rPr>
          <w:spacing w:val="-2"/>
        </w:rPr>
        <w:t>lower.</w:t>
      </w:r>
    </w:p>
    <w:p w:rsidR="00D96B91" w:rsidRDefault="00D96B91">
      <w:pPr>
        <w:spacing w:before="9"/>
        <w:rPr>
          <w:rFonts w:ascii="Avenir Next" w:eastAsia="Avenir Next" w:hAnsi="Avenir Next" w:cs="Avenir Next"/>
          <w:sz w:val="29"/>
          <w:szCs w:val="29"/>
        </w:rPr>
      </w:pPr>
    </w:p>
    <w:p w:rsidR="00D96B91" w:rsidRDefault="00C2656B">
      <w:pPr>
        <w:pStyle w:val="Heading4"/>
      </w:pPr>
      <w:r>
        <w:rPr>
          <w:color w:val="0778BE"/>
        </w:rPr>
        <w:t>12.</w:t>
      </w:r>
      <w:r>
        <w:rPr>
          <w:color w:val="0778BE"/>
          <w:spacing w:val="-9"/>
        </w:rPr>
        <w:t xml:space="preserve"> </w:t>
      </w:r>
      <w:r>
        <w:rPr>
          <w:color w:val="0778BE"/>
        </w:rPr>
        <w:t>2</w:t>
      </w:r>
      <w:r>
        <w:rPr>
          <w:color w:val="0778BE"/>
          <w:spacing w:val="39"/>
        </w:rPr>
        <w:t xml:space="preserve"> </w:t>
      </w:r>
      <w:r>
        <w:rPr>
          <w:color w:val="0778BE"/>
          <w:spacing w:val="-3"/>
        </w:rPr>
        <w:t>Forecast</w:t>
      </w:r>
      <w:r>
        <w:rPr>
          <w:color w:val="0778BE"/>
        </w:rPr>
        <w:t xml:space="preserve"> </w:t>
      </w:r>
      <w:r>
        <w:rPr>
          <w:color w:val="0778BE"/>
          <w:spacing w:val="-1"/>
        </w:rPr>
        <w:t>water</w:t>
      </w:r>
      <w:r>
        <w:rPr>
          <w:color w:val="0778BE"/>
        </w:rPr>
        <w:t xml:space="preserve"> sales</w:t>
      </w:r>
    </w:p>
    <w:p w:rsidR="00D96B91" w:rsidRDefault="00C2656B">
      <w:pPr>
        <w:pStyle w:val="BodyText"/>
        <w:spacing w:before="55" w:line="260" w:lineRule="exact"/>
        <w:ind w:right="1283"/>
        <w:rPr>
          <w:rFonts w:cs="Avenir Next"/>
        </w:rPr>
      </w:pPr>
      <w:r>
        <w:rPr>
          <w:spacing w:val="-2"/>
        </w:rPr>
        <w:t>Forecast</w:t>
      </w:r>
      <w:r>
        <w:t xml:space="preserve"> </w:t>
      </w:r>
      <w:r>
        <w:rPr>
          <w:spacing w:val="-1"/>
        </w:rPr>
        <w:t>water</w:t>
      </w:r>
      <w:r>
        <w:t xml:space="preserve"> sales </w:t>
      </w:r>
      <w:r>
        <w:rPr>
          <w:spacing w:val="-2"/>
        </w:rPr>
        <w:t>are</w:t>
      </w:r>
      <w:r>
        <w:t xml:space="preserve"> used to </w:t>
      </w:r>
      <w:r>
        <w:rPr>
          <w:spacing w:val="-1"/>
        </w:rPr>
        <w:t>calculate</w:t>
      </w:r>
      <w:r>
        <w:t xml:space="preserve"> the volumetric </w:t>
      </w:r>
      <w:r>
        <w:rPr>
          <w:spacing w:val="-1"/>
        </w:rPr>
        <w:t>charge</w:t>
      </w:r>
      <w:r>
        <w:t xml:space="preserve"> paid by </w:t>
      </w:r>
      <w:r>
        <w:rPr>
          <w:spacing w:val="-1"/>
        </w:rPr>
        <w:t>water</w:t>
      </w:r>
      <w:r>
        <w:t xml:space="preserve"> customers.</w:t>
      </w:r>
      <w:r>
        <w:rPr>
          <w:spacing w:val="-11"/>
        </w:rPr>
        <w:t xml:space="preserve"> </w:t>
      </w:r>
      <w:r>
        <w:rPr>
          <w:spacing w:val="-1"/>
        </w:rPr>
        <w:t>This</w:t>
      </w:r>
      <w:r>
        <w:t xml:space="preserve"> is an</w:t>
      </w:r>
      <w:r>
        <w:rPr>
          <w:spacing w:val="39"/>
        </w:rPr>
        <w:t xml:space="preserve"> </w:t>
      </w:r>
      <w:r>
        <w:t xml:space="preserve">inclining block </w:t>
      </w:r>
      <w:r>
        <w:rPr>
          <w:spacing w:val="-1"/>
        </w:rPr>
        <w:t>charge,</w:t>
      </w:r>
      <w:r>
        <w:rPr>
          <w:spacing w:val="-6"/>
        </w:rPr>
        <w:t xml:space="preserve"> </w:t>
      </w:r>
      <w:r>
        <w:t>with two consumption tiers:</w:t>
      </w:r>
    </w:p>
    <w:p w:rsidR="00D96B91" w:rsidRDefault="00C2656B">
      <w:pPr>
        <w:pStyle w:val="BodyText"/>
        <w:numPr>
          <w:ilvl w:val="0"/>
          <w:numId w:val="131"/>
        </w:numPr>
        <w:tabs>
          <w:tab w:val="left" w:pos="1531"/>
        </w:tabs>
        <w:spacing w:before="170" w:line="260" w:lineRule="exact"/>
        <w:ind w:right="1760" w:hanging="283"/>
      </w:pPr>
      <w:r>
        <w:rPr>
          <w:spacing w:val="-1"/>
        </w:rPr>
        <w:t xml:space="preserve">Tier </w:t>
      </w:r>
      <w:r>
        <w:t>1,</w:t>
      </w:r>
      <w:r>
        <w:rPr>
          <w:spacing w:val="-6"/>
        </w:rPr>
        <w:t xml:space="preserve"> </w:t>
      </w:r>
      <w:r>
        <w:t>which</w:t>
      </w:r>
      <w:r>
        <w:rPr>
          <w:spacing w:val="-1"/>
        </w:rPr>
        <w:t xml:space="preserve"> </w:t>
      </w:r>
      <w:r>
        <w:t>is defined as</w:t>
      </w:r>
      <w:r>
        <w:rPr>
          <w:spacing w:val="-1"/>
        </w:rPr>
        <w:t xml:space="preserve"> </w:t>
      </w:r>
      <w:r>
        <w:t>consumption up</w:t>
      </w:r>
      <w:r>
        <w:rPr>
          <w:spacing w:val="-1"/>
        </w:rPr>
        <w:t xml:space="preserve"> </w:t>
      </w:r>
      <w:r>
        <w:t>to 0.548 kL</w:t>
      </w:r>
      <w:r>
        <w:rPr>
          <w:spacing w:val="-6"/>
        </w:rPr>
        <w:t xml:space="preserve"> </w:t>
      </w:r>
      <w:r>
        <w:t xml:space="preserve">on </w:t>
      </w:r>
      <w:r>
        <w:rPr>
          <w:spacing w:val="-1"/>
        </w:rPr>
        <w:t xml:space="preserve">average </w:t>
      </w:r>
      <w:r>
        <w:t>per day of</w:t>
      </w:r>
      <w:r>
        <w:rPr>
          <w:spacing w:val="3"/>
        </w:rPr>
        <w:t xml:space="preserve"> </w:t>
      </w:r>
      <w:r>
        <w:t>the billing</w:t>
      </w:r>
      <w:r>
        <w:rPr>
          <w:spacing w:val="-1"/>
        </w:rPr>
        <w:t xml:space="preserve"> </w:t>
      </w:r>
      <w:r>
        <w:t>period</w:t>
      </w:r>
      <w:r>
        <w:rPr>
          <w:spacing w:val="26"/>
        </w:rPr>
        <w:t xml:space="preserve"> </w:t>
      </w:r>
      <w:r>
        <w:t>(equivalent to 200 kL</w:t>
      </w:r>
      <w:r>
        <w:rPr>
          <w:spacing w:val="-5"/>
        </w:rPr>
        <w:t xml:space="preserve"> </w:t>
      </w:r>
      <w:r>
        <w:t>pa),</w:t>
      </w:r>
      <w:r>
        <w:rPr>
          <w:spacing w:val="-6"/>
        </w:rPr>
        <w:t xml:space="preserve"> </w:t>
      </w:r>
      <w:r>
        <w:t>and</w:t>
      </w:r>
    </w:p>
    <w:p w:rsidR="00D96B91" w:rsidRDefault="00C2656B">
      <w:pPr>
        <w:pStyle w:val="BodyText"/>
        <w:numPr>
          <w:ilvl w:val="0"/>
          <w:numId w:val="131"/>
        </w:numPr>
        <w:tabs>
          <w:tab w:val="left" w:pos="1531"/>
        </w:tabs>
        <w:spacing w:before="85" w:line="260" w:lineRule="exact"/>
        <w:ind w:right="1849" w:hanging="283"/>
      </w:pPr>
      <w:r>
        <w:rPr>
          <w:spacing w:val="-1"/>
        </w:rPr>
        <w:t xml:space="preserve">Tier </w:t>
      </w:r>
      <w:r>
        <w:t>2,</w:t>
      </w:r>
      <w:r>
        <w:rPr>
          <w:spacing w:val="-6"/>
        </w:rPr>
        <w:t xml:space="preserve"> </w:t>
      </w:r>
      <w:r>
        <w:t>which</w:t>
      </w:r>
      <w:r>
        <w:rPr>
          <w:spacing w:val="-1"/>
        </w:rPr>
        <w:t xml:space="preserve"> </w:t>
      </w:r>
      <w:r>
        <w:t>is defined as</w:t>
      </w:r>
      <w:r>
        <w:rPr>
          <w:spacing w:val="-1"/>
        </w:rPr>
        <w:t xml:space="preserve"> </w:t>
      </w:r>
      <w:r>
        <w:t>consumption in</w:t>
      </w:r>
      <w:r>
        <w:rPr>
          <w:spacing w:val="-1"/>
        </w:rPr>
        <w:t xml:space="preserve"> excess</w:t>
      </w:r>
      <w:r>
        <w:t xml:space="preserve"> of</w:t>
      </w:r>
      <w:r>
        <w:rPr>
          <w:spacing w:val="4"/>
        </w:rPr>
        <w:t xml:space="preserve"> </w:t>
      </w:r>
      <w:r>
        <w:t>0.548</w:t>
      </w:r>
      <w:r>
        <w:rPr>
          <w:spacing w:val="-1"/>
        </w:rPr>
        <w:t xml:space="preserve"> </w:t>
      </w:r>
      <w:r>
        <w:t>kL</w:t>
      </w:r>
      <w:r>
        <w:rPr>
          <w:spacing w:val="-5"/>
        </w:rPr>
        <w:t xml:space="preserve"> </w:t>
      </w:r>
      <w:r>
        <w:t>on</w:t>
      </w:r>
      <w:r>
        <w:rPr>
          <w:spacing w:val="-1"/>
        </w:rPr>
        <w:t xml:space="preserve"> average</w:t>
      </w:r>
      <w:r>
        <w:t xml:space="preserve"> per day</w:t>
      </w:r>
      <w:r>
        <w:rPr>
          <w:spacing w:val="-1"/>
        </w:rPr>
        <w:t xml:space="preserve"> </w:t>
      </w:r>
      <w:r>
        <w:t>of</w:t>
      </w:r>
      <w:r>
        <w:rPr>
          <w:spacing w:val="4"/>
        </w:rPr>
        <w:t xml:space="preserve"> </w:t>
      </w:r>
      <w:r>
        <w:t>the</w:t>
      </w:r>
      <w:r>
        <w:rPr>
          <w:spacing w:val="-1"/>
        </w:rPr>
        <w:t xml:space="preserve"> </w:t>
      </w:r>
      <w:r>
        <w:t>billing</w:t>
      </w:r>
      <w:r>
        <w:rPr>
          <w:spacing w:val="28"/>
        </w:rPr>
        <w:t xml:space="preserve"> </w:t>
      </w:r>
      <w:r>
        <w:t xml:space="preserve">period </w:t>
      </w:r>
      <w:r>
        <w:rPr>
          <w:spacing w:val="-1"/>
        </w:rPr>
        <w:t>(greater</w:t>
      </w:r>
      <w:r>
        <w:t xml:space="preserve"> than 200 kL</w:t>
      </w:r>
      <w:r>
        <w:rPr>
          <w:spacing w:val="-5"/>
        </w:rPr>
        <w:t xml:space="preserve"> </w:t>
      </w:r>
      <w:r>
        <w:t>pa).</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6"/>
        <w:rPr>
          <w:rFonts w:ascii="Avenir Next" w:eastAsia="Avenir Next" w:hAnsi="Avenir Next" w:cs="Avenir Next"/>
          <w:sz w:val="13"/>
          <w:szCs w:val="1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74" style="width:72.5pt;height:.5pt;mso-position-horizontal-relative:char;mso-position-vertical-relative:line" coordsize="1450,10">
            <v:group id="_x0000_s1875" style="position:absolute;left:5;top:5;width:1440;height:2" coordorigin="5,5" coordsize="1440,2">
              <v:shape id="_x0000_s1876"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ind w:hanging="510"/>
        <w:rPr>
          <w:rFonts w:ascii="Avenir Next" w:eastAsia="Avenir Next" w:hAnsi="Avenir Next" w:cs="Avenir Next"/>
          <w:sz w:val="16"/>
          <w:szCs w:val="16"/>
        </w:rPr>
      </w:pPr>
      <w:r>
        <w:rPr>
          <w:rFonts w:ascii="Avenir Next"/>
          <w:spacing w:val="-1"/>
          <w:sz w:val="16"/>
        </w:rPr>
        <w:t xml:space="preserve">The </w:t>
      </w:r>
      <w:r>
        <w:rPr>
          <w:rFonts w:ascii="Avenir Next"/>
          <w:sz w:val="16"/>
        </w:rPr>
        <w:t xml:space="preserve">most </w:t>
      </w:r>
      <w:r>
        <w:rPr>
          <w:rFonts w:ascii="Avenir Next"/>
          <w:spacing w:val="-1"/>
          <w:sz w:val="16"/>
        </w:rPr>
        <w:t>recent five-year</w:t>
      </w:r>
      <w:r>
        <w:rPr>
          <w:rFonts w:ascii="Avenir Next"/>
          <w:sz w:val="16"/>
        </w:rPr>
        <w:t xml:space="preserve"> period</w:t>
      </w:r>
      <w:r>
        <w:rPr>
          <w:rFonts w:ascii="Avenir Next"/>
          <w:spacing w:val="-1"/>
          <w:sz w:val="16"/>
        </w:rPr>
        <w:t xml:space="preserve"> </w:t>
      </w:r>
      <w:r>
        <w:rPr>
          <w:rFonts w:ascii="Avenir Next"/>
          <w:sz w:val="16"/>
        </w:rPr>
        <w:t>for which</w:t>
      </w:r>
      <w:r>
        <w:rPr>
          <w:rFonts w:ascii="Avenir Next"/>
          <w:spacing w:val="-1"/>
          <w:sz w:val="16"/>
        </w:rPr>
        <w:t xml:space="preserve"> </w:t>
      </w:r>
      <w:r>
        <w:rPr>
          <w:rFonts w:ascii="Avenir Next"/>
          <w:sz w:val="16"/>
        </w:rPr>
        <w:t xml:space="preserve">actual </w:t>
      </w:r>
      <w:r>
        <w:rPr>
          <w:rFonts w:ascii="Avenir Next"/>
          <w:spacing w:val="-1"/>
          <w:sz w:val="16"/>
        </w:rPr>
        <w:t xml:space="preserve">data </w:t>
      </w:r>
      <w:r>
        <w:rPr>
          <w:rFonts w:ascii="Avenir Next"/>
          <w:sz w:val="16"/>
        </w:rPr>
        <w:t>is available.</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line="250" w:lineRule="exact"/>
        <w:ind w:right="1283"/>
      </w:pPr>
      <w:r>
        <w:rPr>
          <w:spacing w:val="-3"/>
        </w:rPr>
        <w:t>Traditionally,</w:t>
      </w:r>
      <w:r>
        <w:rPr>
          <w:spacing w:val="-6"/>
        </w:rPr>
        <w:t xml:space="preserve"> </w:t>
      </w:r>
      <w:r>
        <w:rPr>
          <w:spacing w:val="-1"/>
        </w:rPr>
        <w:t>water</w:t>
      </w:r>
      <w:r>
        <w:t xml:space="preserve"> sales </w:t>
      </w:r>
      <w:r>
        <w:rPr>
          <w:spacing w:val="-1"/>
        </w:rPr>
        <w:t>forecasts</w:t>
      </w:r>
      <w:r>
        <w:t xml:space="preserve"> have been based on historical </w:t>
      </w:r>
      <w:r>
        <w:rPr>
          <w:spacing w:val="-1"/>
        </w:rPr>
        <w:t>data</w:t>
      </w:r>
      <w:r>
        <w:t xml:space="preserve"> combined with </w:t>
      </w:r>
      <w:r>
        <w:rPr>
          <w:spacing w:val="-1"/>
        </w:rPr>
        <w:t>expected</w:t>
      </w:r>
      <w:r>
        <w:rPr>
          <w:spacing w:val="57"/>
        </w:rPr>
        <w:t xml:space="preserve"> </w:t>
      </w:r>
      <w:r>
        <w:t xml:space="preserve">customer </w:t>
      </w:r>
      <w:r>
        <w:rPr>
          <w:spacing w:val="-1"/>
        </w:rPr>
        <w:t>growth</w:t>
      </w:r>
      <w:r>
        <w:t xml:space="preserve"> and </w:t>
      </w:r>
      <w:r>
        <w:rPr>
          <w:spacing w:val="-1"/>
        </w:rPr>
        <w:t>forecast</w:t>
      </w:r>
      <w:r>
        <w:t xml:space="preserve"> </w:t>
      </w:r>
      <w:r>
        <w:rPr>
          <w:spacing w:val="-1"/>
        </w:rPr>
        <w:t>weather</w:t>
      </w:r>
      <w:r>
        <w:t xml:space="preserve"> </w:t>
      </w:r>
      <w:r>
        <w:rPr>
          <w:spacing w:val="-1"/>
        </w:rPr>
        <w:t>patterns.</w:t>
      </w:r>
      <w:r>
        <w:rPr>
          <w:spacing w:val="-6"/>
        </w:rPr>
        <w:t xml:space="preserve"> </w:t>
      </w:r>
      <w:r>
        <w:rPr>
          <w:spacing w:val="-2"/>
        </w:rPr>
        <w:t>However,</w:t>
      </w:r>
      <w:r>
        <w:rPr>
          <w:spacing w:val="-6"/>
        </w:rPr>
        <w:t xml:space="preserve"> </w:t>
      </w:r>
      <w:r>
        <w:t>as Chapter 3 discussed,</w:t>
      </w:r>
      <w:r>
        <w:rPr>
          <w:spacing w:val="-7"/>
        </w:rPr>
        <w:t xml:space="preserve"> </w:t>
      </w:r>
      <w:r>
        <w:t>the imposition (and</w:t>
      </w:r>
      <w:r>
        <w:rPr>
          <w:spacing w:val="39"/>
        </w:rPr>
        <w:t xml:space="preserve"> </w:t>
      </w:r>
      <w:r>
        <w:t xml:space="preserve">subsequent </w:t>
      </w:r>
      <w:r>
        <w:rPr>
          <w:spacing w:val="-1"/>
        </w:rPr>
        <w:t>lifting)</w:t>
      </w:r>
      <w:r>
        <w:t xml:space="preserve"> of</w:t>
      </w:r>
      <w:r>
        <w:rPr>
          <w:spacing w:val="4"/>
        </w:rPr>
        <w:t xml:space="preserve"> </w:t>
      </w:r>
      <w:r>
        <w:rPr>
          <w:spacing w:val="-1"/>
        </w:rPr>
        <w:t>water</w:t>
      </w:r>
      <w:r>
        <w:t xml:space="preserve"> </w:t>
      </w:r>
      <w:r>
        <w:rPr>
          <w:spacing w:val="-1"/>
        </w:rPr>
        <w:t>restrictions</w:t>
      </w:r>
      <w:r>
        <w:t xml:space="preserve"> during </w:t>
      </w:r>
      <w:r>
        <w:rPr>
          <w:spacing w:val="-1"/>
        </w:rPr>
        <w:t>severe</w:t>
      </w:r>
      <w:r>
        <w:t xml:space="preserve"> </w:t>
      </w:r>
      <w:r>
        <w:rPr>
          <w:spacing w:val="-1"/>
        </w:rPr>
        <w:t>drought</w:t>
      </w:r>
      <w:r>
        <w:t xml:space="preserve"> conditions has </w:t>
      </w:r>
      <w:r>
        <w:rPr>
          <w:spacing w:val="-1"/>
        </w:rPr>
        <w:t>increased</w:t>
      </w:r>
      <w:r>
        <w:t xml:space="preserve"> the </w:t>
      </w:r>
      <w:r>
        <w:rPr>
          <w:spacing w:val="-1"/>
        </w:rPr>
        <w:t>uncertainty</w:t>
      </w:r>
      <w:r>
        <w:rPr>
          <w:spacing w:val="65"/>
        </w:rPr>
        <w:t xml:space="preserve"> </w:t>
      </w:r>
      <w:r>
        <w:t>of</w:t>
      </w:r>
      <w:r>
        <w:rPr>
          <w:spacing w:val="4"/>
        </w:rPr>
        <w:t xml:space="preserve"> </w:t>
      </w:r>
      <w:r>
        <w:rPr>
          <w:spacing w:val="-1"/>
        </w:rPr>
        <w:t>projecting</w:t>
      </w:r>
      <w:r>
        <w:t xml:space="preserve"> </w:t>
      </w:r>
      <w:r>
        <w:rPr>
          <w:spacing w:val="-1"/>
        </w:rPr>
        <w:t>water</w:t>
      </w:r>
      <w:r>
        <w:t xml:space="preserve"> demand.</w:t>
      </w:r>
      <w:r>
        <w:rPr>
          <w:spacing w:val="-6"/>
        </w:rPr>
        <w:t xml:space="preserve"> </w:t>
      </w:r>
      <w:r>
        <w:t>In addition,</w:t>
      </w:r>
      <w:r>
        <w:rPr>
          <w:spacing w:val="-6"/>
        </w:rPr>
        <w:t xml:space="preserve"> </w:t>
      </w:r>
      <w:r>
        <w:t>ongoing changes in the mix of</w:t>
      </w:r>
      <w:r>
        <w:rPr>
          <w:spacing w:val="4"/>
        </w:rPr>
        <w:t xml:space="preserve"> </w:t>
      </w:r>
      <w:r>
        <w:t>housing in the</w:t>
      </w:r>
      <w:r>
        <w:rPr>
          <w:spacing w:val="-4"/>
        </w:rPr>
        <w:t xml:space="preserve"> </w:t>
      </w:r>
      <w:r>
        <w:rPr>
          <w:spacing w:val="-2"/>
        </w:rPr>
        <w:t>ACT</w:t>
      </w:r>
      <w:r>
        <w:rPr>
          <w:spacing w:val="-5"/>
        </w:rPr>
        <w:t xml:space="preserve"> </w:t>
      </w:r>
      <w:r>
        <w:t>(with an</w:t>
      </w:r>
      <w:r>
        <w:rPr>
          <w:spacing w:val="30"/>
        </w:rPr>
        <w:t xml:space="preserve"> </w:t>
      </w:r>
      <w:r>
        <w:rPr>
          <w:spacing w:val="-1"/>
        </w:rPr>
        <w:t>increasing</w:t>
      </w:r>
      <w:r>
        <w:t xml:space="preserve"> </w:t>
      </w:r>
      <w:r>
        <w:rPr>
          <w:spacing w:val="-1"/>
        </w:rPr>
        <w:t>proportion</w:t>
      </w:r>
      <w:r>
        <w:t xml:space="preserve"> of</w:t>
      </w:r>
      <w:r>
        <w:rPr>
          <w:spacing w:val="4"/>
        </w:rPr>
        <w:t xml:space="preserve"> </w:t>
      </w:r>
      <w:r>
        <w:rPr>
          <w:spacing w:val="-1"/>
        </w:rPr>
        <w:t>apartments</w:t>
      </w:r>
      <w:r>
        <w:t xml:space="preserve"> and units) and changes to customer behaviour and </w:t>
      </w:r>
      <w:r>
        <w:rPr>
          <w:spacing w:val="-1"/>
        </w:rPr>
        <w:t>water-using</w:t>
      </w:r>
      <w:r>
        <w:rPr>
          <w:spacing w:val="35"/>
        </w:rPr>
        <w:t xml:space="preserve"> </w:t>
      </w:r>
      <w:r>
        <w:t xml:space="preserve">appliances have added </w:t>
      </w:r>
      <w:r>
        <w:rPr>
          <w:spacing w:val="-1"/>
        </w:rPr>
        <w:t>further</w:t>
      </w:r>
      <w:r>
        <w:t xml:space="preserve"> </w:t>
      </w:r>
      <w:r>
        <w:rPr>
          <w:spacing w:val="-1"/>
        </w:rPr>
        <w:t>complexity</w:t>
      </w:r>
      <w:r>
        <w:t xml:space="preserve"> to determining demand </w:t>
      </w:r>
      <w:r>
        <w:rPr>
          <w:spacing w:val="-1"/>
        </w:rPr>
        <w:t>forecasts.</w:t>
      </w:r>
    </w:p>
    <w:p w:rsidR="00D96B91" w:rsidRDefault="00D96B91">
      <w:pPr>
        <w:spacing w:before="8"/>
        <w:rPr>
          <w:rFonts w:ascii="Avenir Next" w:eastAsia="Avenir Next" w:hAnsi="Avenir Next" w:cs="Avenir Next"/>
          <w:sz w:val="20"/>
          <w:szCs w:val="20"/>
        </w:rPr>
      </w:pPr>
    </w:p>
    <w:p w:rsidR="00D96B91" w:rsidRDefault="00C2656B">
      <w:pPr>
        <w:pStyle w:val="Heading6"/>
        <w:numPr>
          <w:ilvl w:val="2"/>
          <w:numId w:val="54"/>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spacing w:before="19" w:line="250" w:lineRule="exact"/>
        <w:ind w:right="1328"/>
      </w:pPr>
      <w:r>
        <w:t>In</w:t>
      </w:r>
      <w:r>
        <w:rPr>
          <w:spacing w:val="-1"/>
        </w:rPr>
        <w:t xml:space="preserve"> </w:t>
      </w:r>
      <w:r>
        <w:t xml:space="preserve">its original </w:t>
      </w:r>
      <w:r>
        <w:rPr>
          <w:spacing w:val="-1"/>
        </w:rPr>
        <w:t>proposal,</w:t>
      </w:r>
      <w:r>
        <w:rPr>
          <w:spacing w:val="-10"/>
        </w:rPr>
        <w:t xml:space="preserve"> </w:t>
      </w:r>
      <w:r>
        <w:rPr>
          <w:spacing w:val="-2"/>
        </w:rPr>
        <w:t>ACTEW</w:t>
      </w:r>
      <w:r>
        <w:rPr>
          <w:spacing w:val="-3"/>
        </w:rPr>
        <w:t xml:space="preserve"> </w:t>
      </w:r>
      <w:r>
        <w:rPr>
          <w:spacing w:val="-1"/>
        </w:rPr>
        <w:t>provided water</w:t>
      </w:r>
      <w:r>
        <w:t xml:space="preserve"> sales </w:t>
      </w:r>
      <w:r>
        <w:rPr>
          <w:spacing w:val="-1"/>
        </w:rPr>
        <w:t>forecasts</w:t>
      </w:r>
      <w:r>
        <w:t xml:space="preserve"> for</w:t>
      </w:r>
      <w:r>
        <w:rPr>
          <w:spacing w:val="-1"/>
        </w:rPr>
        <w:t xml:space="preserve"> </w:t>
      </w:r>
      <w:r>
        <w:t xml:space="preserve">the first </w:t>
      </w:r>
      <w:r>
        <w:rPr>
          <w:spacing w:val="-1"/>
        </w:rPr>
        <w:t>year</w:t>
      </w:r>
      <w:r>
        <w:t xml:space="preserve"> of</w:t>
      </w:r>
      <w:r>
        <w:rPr>
          <w:spacing w:val="4"/>
        </w:rPr>
        <w:t xml:space="preserve"> </w:t>
      </w:r>
      <w:r>
        <w:t>the</w:t>
      </w:r>
      <w:r>
        <w:rPr>
          <w:spacing w:val="-1"/>
        </w:rPr>
        <w:t xml:space="preserve"> regulatory</w:t>
      </w:r>
      <w:r>
        <w:t xml:space="preserve"> period</w:t>
      </w:r>
      <w:r>
        <w:rPr>
          <w:spacing w:val="55"/>
        </w:rPr>
        <w:t xml:space="preserve"> </w:t>
      </w:r>
      <w:r>
        <w:t>only (40.864 GL,</w:t>
      </w:r>
      <w:r>
        <w:rPr>
          <w:spacing w:val="-6"/>
        </w:rPr>
        <w:t xml:space="preserve"> </w:t>
      </w:r>
      <w:r>
        <w:t>comprising tier 1consumption of</w:t>
      </w:r>
      <w:r>
        <w:rPr>
          <w:spacing w:val="4"/>
        </w:rPr>
        <w:t xml:space="preserve"> </w:t>
      </w:r>
      <w:r>
        <w:t>21.2 GL</w:t>
      </w:r>
      <w:r>
        <w:rPr>
          <w:spacing w:val="-5"/>
        </w:rPr>
        <w:t xml:space="preserve"> </w:t>
      </w:r>
      <w:r>
        <w:t>and tier 2 sales of</w:t>
      </w:r>
      <w:r>
        <w:rPr>
          <w:spacing w:val="4"/>
        </w:rPr>
        <w:t xml:space="preserve"> </w:t>
      </w:r>
      <w:r>
        <w:t>19.665 GL).</w:t>
      </w:r>
      <w:r>
        <w:rPr>
          <w:spacing w:val="-6"/>
        </w:rPr>
        <w:t xml:space="preserve"> </w:t>
      </w:r>
      <w:r>
        <w:t xml:space="preserve">Because of the </w:t>
      </w:r>
      <w:r>
        <w:rPr>
          <w:spacing w:val="-1"/>
        </w:rPr>
        <w:t>uncertainty</w:t>
      </w:r>
      <w:r>
        <w:t xml:space="preserve"> of</w:t>
      </w:r>
      <w:r>
        <w:rPr>
          <w:spacing w:val="4"/>
        </w:rPr>
        <w:t xml:space="preserve"> </w:t>
      </w:r>
      <w:r>
        <w:rPr>
          <w:spacing w:val="-1"/>
        </w:rPr>
        <w:t>projecting</w:t>
      </w:r>
      <w:r>
        <w:t xml:space="preserve"> demand,</w:t>
      </w:r>
      <w:r>
        <w:rPr>
          <w:spacing w:val="-6"/>
        </w:rPr>
        <w:t xml:space="preserve"> </w:t>
      </w:r>
      <w:r>
        <w:t xml:space="preserve">it also </w:t>
      </w:r>
      <w:r>
        <w:rPr>
          <w:spacing w:val="-1"/>
        </w:rPr>
        <w:t>proposed</w:t>
      </w:r>
      <w:r>
        <w:t xml:space="preserve"> </w:t>
      </w:r>
      <w:r>
        <w:rPr>
          <w:spacing w:val="-1"/>
        </w:rPr>
        <w:t>that</w:t>
      </w:r>
      <w:r>
        <w:t xml:space="preserve"> </w:t>
      </w:r>
      <w:r>
        <w:rPr>
          <w:spacing w:val="-1"/>
        </w:rPr>
        <w:t>water</w:t>
      </w:r>
      <w:r>
        <w:t xml:space="preserve"> sales </w:t>
      </w:r>
      <w:r>
        <w:rPr>
          <w:spacing w:val="-1"/>
        </w:rPr>
        <w:t>forecasts</w:t>
      </w:r>
      <w:r>
        <w:t xml:space="preserve"> be </w:t>
      </w:r>
      <w:r>
        <w:rPr>
          <w:spacing w:val="-1"/>
        </w:rPr>
        <w:t>updated</w:t>
      </w:r>
      <w:r>
        <w:t xml:space="preserve"> annually</w:t>
      </w:r>
      <w:r>
        <w:rPr>
          <w:spacing w:val="63"/>
        </w:rPr>
        <w:t xml:space="preserve"> </w:t>
      </w:r>
      <w:r>
        <w:t xml:space="preserve">using the </w:t>
      </w:r>
      <w:r>
        <w:rPr>
          <w:spacing w:val="-1"/>
        </w:rPr>
        <w:t>forecasting</w:t>
      </w:r>
      <w:r>
        <w:t xml:space="preserve"> model developed by </w:t>
      </w:r>
      <w:r>
        <w:rPr>
          <w:spacing w:val="-2"/>
        </w:rPr>
        <w:t>Professors</w:t>
      </w:r>
      <w:r>
        <w:t xml:space="preserve"> </w:t>
      </w:r>
      <w:r>
        <w:rPr>
          <w:spacing w:val="-1"/>
        </w:rPr>
        <w:t>Breusch</w:t>
      </w:r>
      <w:r>
        <w:t xml:space="preserve"> and</w:t>
      </w:r>
      <w:r>
        <w:rPr>
          <w:spacing w:val="-3"/>
        </w:rPr>
        <w:t xml:space="preserve"> Ward.</w:t>
      </w:r>
    </w:p>
    <w:p w:rsidR="00D96B91" w:rsidRDefault="00C2656B">
      <w:pPr>
        <w:pStyle w:val="BodyText"/>
        <w:spacing w:before="170"/>
      </w:pPr>
      <w:r>
        <w:rPr>
          <w:spacing w:val="-2"/>
        </w:rPr>
        <w:t>The</w:t>
      </w:r>
      <w:r>
        <w:rPr>
          <w:spacing w:val="-1"/>
        </w:rPr>
        <w:t xml:space="preserve"> </w:t>
      </w:r>
      <w:r>
        <w:rPr>
          <w:spacing w:val="-2"/>
        </w:rPr>
        <w:t>ICRC’s</w:t>
      </w:r>
      <w:r>
        <w:t xml:space="preserve"> final</w:t>
      </w:r>
      <w:r>
        <w:rPr>
          <w:spacing w:val="-1"/>
        </w:rPr>
        <w:t xml:space="preserve"> </w:t>
      </w:r>
      <w:r>
        <w:t>decision was to</w:t>
      </w:r>
      <w:r>
        <w:rPr>
          <w:spacing w:val="-1"/>
        </w:rPr>
        <w:t xml:space="preserve"> reject</w:t>
      </w:r>
      <w:r>
        <w:t xml:space="preserve"> this</w:t>
      </w:r>
      <w:r>
        <w:rPr>
          <w:spacing w:val="-1"/>
        </w:rPr>
        <w:t xml:space="preserve"> proposal,</w:t>
      </w:r>
      <w:r>
        <w:rPr>
          <w:spacing w:val="-6"/>
        </w:rPr>
        <w:t xml:space="preserve"> </w:t>
      </w:r>
      <w:r>
        <w:t>and to:</w:t>
      </w:r>
    </w:p>
    <w:p w:rsidR="00D96B91" w:rsidRDefault="00C2656B">
      <w:pPr>
        <w:pStyle w:val="BodyText"/>
        <w:numPr>
          <w:ilvl w:val="0"/>
          <w:numId w:val="131"/>
        </w:numPr>
        <w:tabs>
          <w:tab w:val="left" w:pos="1531"/>
        </w:tabs>
        <w:spacing w:before="147" w:line="250" w:lineRule="exact"/>
        <w:ind w:right="1819" w:hanging="283"/>
      </w:pPr>
      <w:r>
        <w:t>adopt</w:t>
      </w:r>
      <w:r>
        <w:rPr>
          <w:spacing w:val="-1"/>
        </w:rPr>
        <w:t xml:space="preserve"> </w:t>
      </w:r>
      <w:r>
        <w:t xml:space="preserve">its own </w:t>
      </w:r>
      <w:r>
        <w:rPr>
          <w:spacing w:val="-1"/>
        </w:rPr>
        <w:t>“conservative”</w:t>
      </w:r>
      <w:r>
        <w:t xml:space="preserve"> </w:t>
      </w:r>
      <w:r>
        <w:rPr>
          <w:spacing w:val="-1"/>
        </w:rPr>
        <w:t>water</w:t>
      </w:r>
      <w:r>
        <w:t xml:space="preserve"> sales</w:t>
      </w:r>
      <w:r>
        <w:rPr>
          <w:spacing w:val="-1"/>
        </w:rPr>
        <w:t xml:space="preserve"> forecasts</w:t>
      </w:r>
      <w:r>
        <w:t xml:space="preserve"> of</w:t>
      </w:r>
      <w:r>
        <w:rPr>
          <w:spacing w:val="4"/>
        </w:rPr>
        <w:t xml:space="preserve"> </w:t>
      </w:r>
      <w:r>
        <w:t>38 GL</w:t>
      </w:r>
      <w:r>
        <w:rPr>
          <w:spacing w:val="-5"/>
        </w:rPr>
        <w:t xml:space="preserve"> </w:t>
      </w:r>
      <w:r>
        <w:t xml:space="preserve">for </w:t>
      </w:r>
      <w:r>
        <w:rPr>
          <w:spacing w:val="-1"/>
        </w:rPr>
        <w:t xml:space="preserve">each </w:t>
      </w:r>
      <w:r>
        <w:t>of</w:t>
      </w:r>
      <w:r>
        <w:rPr>
          <w:spacing w:val="4"/>
        </w:rPr>
        <w:t xml:space="preserve"> </w:t>
      </w:r>
      <w:r>
        <w:t xml:space="preserve">the first two </w:t>
      </w:r>
      <w:r>
        <w:rPr>
          <w:spacing w:val="-1"/>
        </w:rPr>
        <w:t xml:space="preserve">years </w:t>
      </w:r>
      <w:r>
        <w:t>of</w:t>
      </w:r>
      <w:r>
        <w:rPr>
          <w:spacing w:val="4"/>
        </w:rPr>
        <w:t xml:space="preserve"> </w:t>
      </w:r>
      <w:r>
        <w:t>the</w:t>
      </w:r>
      <w:r>
        <w:rPr>
          <w:spacing w:val="33"/>
        </w:rPr>
        <w:t xml:space="preserve"> </w:t>
      </w:r>
      <w:r>
        <w:rPr>
          <w:spacing w:val="-1"/>
        </w:rPr>
        <w:t>regulatory</w:t>
      </w:r>
      <w:r>
        <w:t xml:space="preserve"> period (comprising tier 1 consumption of</w:t>
      </w:r>
      <w:r>
        <w:rPr>
          <w:spacing w:val="4"/>
        </w:rPr>
        <w:t xml:space="preserve"> </w:t>
      </w:r>
      <w:r>
        <w:t>21.2 GL</w:t>
      </w:r>
      <w:r>
        <w:rPr>
          <w:spacing w:val="-5"/>
        </w:rPr>
        <w:t xml:space="preserve"> </w:t>
      </w:r>
      <w:r>
        <w:t>and tier 2 sales of</w:t>
      </w:r>
      <w:r>
        <w:rPr>
          <w:spacing w:val="4"/>
        </w:rPr>
        <w:t xml:space="preserve"> </w:t>
      </w:r>
      <w:r>
        <w:t>16.8 GL),</w:t>
      </w:r>
      <w:r>
        <w:rPr>
          <w:spacing w:val="-6"/>
        </w:rPr>
        <w:t xml:space="preserve"> </w:t>
      </w:r>
      <w:r>
        <w:t>and</w:t>
      </w:r>
    </w:p>
    <w:p w:rsidR="00D96B91" w:rsidRDefault="00C2656B">
      <w:pPr>
        <w:pStyle w:val="BodyText"/>
        <w:numPr>
          <w:ilvl w:val="0"/>
          <w:numId w:val="131"/>
        </w:numPr>
        <w:tabs>
          <w:tab w:val="left" w:pos="1531"/>
        </w:tabs>
        <w:spacing w:before="85"/>
        <w:ind w:hanging="283"/>
      </w:pPr>
      <w:r>
        <w:t xml:space="preserve">determine </w:t>
      </w:r>
      <w:r>
        <w:rPr>
          <w:spacing w:val="-1"/>
        </w:rPr>
        <w:t>water</w:t>
      </w:r>
      <w:r>
        <w:t xml:space="preserve"> sales </w:t>
      </w:r>
      <w:r>
        <w:rPr>
          <w:spacing w:val="-1"/>
        </w:rPr>
        <w:t>forecasts</w:t>
      </w:r>
      <w:r>
        <w:t xml:space="preserve"> for the </w:t>
      </w:r>
      <w:r>
        <w:rPr>
          <w:spacing w:val="-1"/>
        </w:rPr>
        <w:t>remaining</w:t>
      </w:r>
      <w:r>
        <w:t xml:space="preserve"> </w:t>
      </w:r>
      <w:r>
        <w:rPr>
          <w:spacing w:val="-1"/>
        </w:rPr>
        <w:t>years</w:t>
      </w:r>
      <w:r>
        <w:t xml:space="preserve"> as </w:t>
      </w:r>
      <w:r>
        <w:rPr>
          <w:spacing w:val="-1"/>
        </w:rPr>
        <w:t>part</w:t>
      </w:r>
      <w:r>
        <w:t xml:space="preserve"> of</w:t>
      </w:r>
      <w:r>
        <w:rPr>
          <w:spacing w:val="4"/>
        </w:rPr>
        <w:t xml:space="preserve"> </w:t>
      </w:r>
      <w:r>
        <w:t xml:space="preserve">the biennial </w:t>
      </w:r>
      <w:r>
        <w:rPr>
          <w:spacing w:val="-1"/>
        </w:rPr>
        <w:t>recalibration</w:t>
      </w:r>
      <w:r>
        <w:t xml:space="preserve"> </w:t>
      </w:r>
      <w:r>
        <w:rPr>
          <w:spacing w:val="-1"/>
        </w:rPr>
        <w:t>process.</w:t>
      </w:r>
    </w:p>
    <w:p w:rsidR="00D96B91" w:rsidRDefault="00D96B91">
      <w:pPr>
        <w:spacing w:before="12"/>
        <w:rPr>
          <w:rFonts w:ascii="Avenir Next" w:eastAsia="Avenir Next" w:hAnsi="Avenir Next" w:cs="Avenir Next"/>
          <w:sz w:val="14"/>
          <w:szCs w:val="14"/>
        </w:rPr>
      </w:pPr>
    </w:p>
    <w:p w:rsidR="00D96B91" w:rsidRDefault="00C2656B">
      <w:pPr>
        <w:pStyle w:val="BodyText"/>
        <w:spacing w:line="250" w:lineRule="exact"/>
        <w:ind w:right="1283"/>
      </w:pPr>
      <w:r>
        <w:rPr>
          <w:spacing w:val="-2"/>
        </w:rPr>
        <w:t>The</w:t>
      </w:r>
      <w:r>
        <w:t xml:space="preserve"> ICRC </w:t>
      </w:r>
      <w:r>
        <w:rPr>
          <w:spacing w:val="-1"/>
        </w:rPr>
        <w:t>raised</w:t>
      </w:r>
      <w:r>
        <w:t xml:space="preserve"> a number of</w:t>
      </w:r>
      <w:r>
        <w:rPr>
          <w:spacing w:val="4"/>
        </w:rPr>
        <w:t xml:space="preserve"> </w:t>
      </w:r>
      <w:r>
        <w:t xml:space="preserve">concerns about the </w:t>
      </w:r>
      <w:r>
        <w:rPr>
          <w:spacing w:val="-2"/>
        </w:rPr>
        <w:t>Breusch-Ward</w:t>
      </w:r>
      <w:r>
        <w:t xml:space="preserve"> model,</w:t>
      </w:r>
      <w:r>
        <w:rPr>
          <w:spacing w:val="-6"/>
        </w:rPr>
        <w:t xml:space="preserve"> </w:t>
      </w:r>
      <w:r>
        <w:t xml:space="preserve">and noted </w:t>
      </w:r>
      <w:r>
        <w:rPr>
          <w:spacing w:val="-1"/>
        </w:rPr>
        <w:t>that</w:t>
      </w:r>
      <w:r>
        <w:t xml:space="preserve"> </w:t>
      </w:r>
      <w:r>
        <w:rPr>
          <w:spacing w:val="-1"/>
        </w:rPr>
        <w:t>“statistical</w:t>
      </w:r>
      <w:r>
        <w:rPr>
          <w:spacing w:val="45"/>
        </w:rPr>
        <w:t xml:space="preserve"> </w:t>
      </w:r>
      <w:r>
        <w:t>modelling was</w:t>
      </w:r>
      <w:r>
        <w:rPr>
          <w:spacing w:val="1"/>
        </w:rPr>
        <w:t xml:space="preserve"> </w:t>
      </w:r>
      <w:r>
        <w:t>not</w:t>
      </w:r>
      <w:r>
        <w:rPr>
          <w:spacing w:val="1"/>
        </w:rPr>
        <w:t xml:space="preserve"> </w:t>
      </w:r>
      <w:r>
        <w:rPr>
          <w:spacing w:val="-1"/>
        </w:rPr>
        <w:t>providing</w:t>
      </w:r>
      <w:r>
        <w:t xml:space="preserve"> an</w:t>
      </w:r>
      <w:r>
        <w:rPr>
          <w:spacing w:val="1"/>
        </w:rPr>
        <w:t xml:space="preserve"> </w:t>
      </w:r>
      <w:r>
        <w:rPr>
          <w:spacing w:val="-1"/>
        </w:rPr>
        <w:t>adequate</w:t>
      </w:r>
      <w:r>
        <w:rPr>
          <w:spacing w:val="1"/>
        </w:rPr>
        <w:t xml:space="preserve"> </w:t>
      </w:r>
      <w:r>
        <w:t>tool</w:t>
      </w:r>
      <w:r>
        <w:rPr>
          <w:spacing w:val="1"/>
        </w:rPr>
        <w:t xml:space="preserve"> </w:t>
      </w:r>
      <w:r>
        <w:t>for making</w:t>
      </w:r>
      <w:r>
        <w:rPr>
          <w:spacing w:val="1"/>
        </w:rPr>
        <w:t xml:space="preserve"> </w:t>
      </w:r>
      <w:r>
        <w:t>sales</w:t>
      </w:r>
      <w:r>
        <w:rPr>
          <w:spacing w:val="1"/>
        </w:rPr>
        <w:t xml:space="preserve"> </w:t>
      </w:r>
      <w:r>
        <w:rPr>
          <w:spacing w:val="-1"/>
        </w:rPr>
        <w:t>forecasts</w:t>
      </w:r>
      <w:r>
        <w:rPr>
          <w:spacing w:val="1"/>
        </w:rPr>
        <w:t xml:space="preserve"> </w:t>
      </w:r>
      <w:r>
        <w:t xml:space="preserve">in </w:t>
      </w:r>
      <w:r>
        <w:rPr>
          <w:spacing w:val="-1"/>
        </w:rPr>
        <w:t>current</w:t>
      </w:r>
      <w:r>
        <w:rPr>
          <w:spacing w:val="1"/>
        </w:rPr>
        <w:t xml:space="preserve"> </w:t>
      </w:r>
      <w:r>
        <w:rPr>
          <w:spacing w:val="-1"/>
        </w:rPr>
        <w:t>circumstances”</w:t>
      </w:r>
      <w:r>
        <w:rPr>
          <w:spacing w:val="-1"/>
          <w:position w:val="7"/>
          <w:sz w:val="11"/>
          <w:szCs w:val="11"/>
        </w:rPr>
        <w:t>208</w:t>
      </w:r>
      <w:r>
        <w:rPr>
          <w:spacing w:val="65"/>
          <w:w w:val="105"/>
          <w:position w:val="7"/>
          <w:sz w:val="11"/>
          <w:szCs w:val="11"/>
        </w:rPr>
        <w:t xml:space="preserve"> </w:t>
      </w:r>
      <w:r>
        <w:t>because of</w:t>
      </w:r>
      <w:r>
        <w:rPr>
          <w:spacing w:val="4"/>
        </w:rPr>
        <w:t xml:space="preserve"> </w:t>
      </w:r>
      <w:r>
        <w:t xml:space="preserve">an </w:t>
      </w:r>
      <w:r>
        <w:rPr>
          <w:spacing w:val="-1"/>
        </w:rPr>
        <w:t>apparent</w:t>
      </w:r>
      <w:r>
        <w:t xml:space="preserve"> </w:t>
      </w:r>
      <w:r>
        <w:rPr>
          <w:spacing w:val="-1"/>
        </w:rPr>
        <w:t>“structural</w:t>
      </w:r>
      <w:r>
        <w:t xml:space="preserve"> </w:t>
      </w:r>
      <w:r>
        <w:rPr>
          <w:spacing w:val="-1"/>
        </w:rPr>
        <w:t>break”</w:t>
      </w:r>
      <w:r>
        <w:t xml:space="preserve"> between historic and </w:t>
      </w:r>
      <w:r>
        <w:rPr>
          <w:spacing w:val="-1"/>
        </w:rPr>
        <w:t>current</w:t>
      </w:r>
      <w:r>
        <w:t xml:space="preserve"> levels of</w:t>
      </w:r>
      <w:r>
        <w:rPr>
          <w:spacing w:val="4"/>
        </w:rPr>
        <w:t xml:space="preserve"> </w:t>
      </w:r>
      <w:r>
        <w:t>consumption.</w:t>
      </w:r>
      <w:r>
        <w:rPr>
          <w:spacing w:val="-6"/>
        </w:rPr>
        <w:t xml:space="preserve"> </w:t>
      </w:r>
      <w:r>
        <w:t>It</w:t>
      </w:r>
      <w:r>
        <w:rPr>
          <w:spacing w:val="31"/>
        </w:rPr>
        <w:t xml:space="preserve"> </w:t>
      </w:r>
      <w:r>
        <w:rPr>
          <w:spacing w:val="-1"/>
        </w:rPr>
        <w:t>considered that</w:t>
      </w:r>
      <w:r>
        <w:t xml:space="preserve"> such</w:t>
      </w:r>
      <w:r>
        <w:rPr>
          <w:spacing w:val="-1"/>
        </w:rPr>
        <w:t xml:space="preserve"> </w:t>
      </w:r>
      <w:r>
        <w:t xml:space="preserve">a </w:t>
      </w:r>
      <w:r>
        <w:rPr>
          <w:spacing w:val="-1"/>
        </w:rPr>
        <w:t xml:space="preserve">structural </w:t>
      </w:r>
      <w:r>
        <w:rPr>
          <w:spacing w:val="-2"/>
        </w:rPr>
        <w:t>break</w:t>
      </w:r>
      <w:r>
        <w:t xml:space="preserve"> could </w:t>
      </w:r>
      <w:r>
        <w:rPr>
          <w:spacing w:val="-1"/>
        </w:rPr>
        <w:t xml:space="preserve">reflect </w:t>
      </w:r>
      <w:r>
        <w:t>permanent changes</w:t>
      </w:r>
      <w:r>
        <w:rPr>
          <w:spacing w:val="-1"/>
        </w:rPr>
        <w:t xml:space="preserve"> </w:t>
      </w:r>
      <w:r>
        <w:t xml:space="preserve">in </w:t>
      </w:r>
      <w:r>
        <w:rPr>
          <w:spacing w:val="-1"/>
        </w:rPr>
        <w:t>water</w:t>
      </w:r>
      <w:r>
        <w:t xml:space="preserve"> consumption</w:t>
      </w:r>
      <w:r>
        <w:rPr>
          <w:spacing w:val="49"/>
        </w:rPr>
        <w:t xml:space="preserve"> </w:t>
      </w:r>
      <w:r>
        <w:rPr>
          <w:rFonts w:cs="Avenir Next"/>
        </w:rPr>
        <w:t xml:space="preserve">behaviour </w:t>
      </w:r>
      <w:r>
        <w:rPr>
          <w:rFonts w:cs="Avenir Next"/>
          <w:spacing w:val="-1"/>
        </w:rPr>
        <w:t>resulting</w:t>
      </w:r>
      <w:r>
        <w:rPr>
          <w:rFonts w:cs="Avenir Next"/>
        </w:rPr>
        <w:t xml:space="preserve"> </w:t>
      </w:r>
      <w:r>
        <w:rPr>
          <w:rFonts w:cs="Avenir Next"/>
          <w:spacing w:val="-1"/>
        </w:rPr>
        <w:t>from</w:t>
      </w:r>
      <w:r>
        <w:rPr>
          <w:rFonts w:cs="Avenir Next"/>
        </w:rPr>
        <w:t xml:space="preserve"> </w:t>
      </w:r>
      <w:r>
        <w:rPr>
          <w:rFonts w:cs="Avenir Next"/>
          <w:spacing w:val="-1"/>
        </w:rPr>
        <w:t>increased</w:t>
      </w:r>
      <w:r>
        <w:rPr>
          <w:rFonts w:cs="Avenir Next"/>
        </w:rPr>
        <w:t xml:space="preserve"> </w:t>
      </w:r>
      <w:r>
        <w:rPr>
          <w:rFonts w:cs="Avenir Next"/>
          <w:spacing w:val="-1"/>
        </w:rPr>
        <w:t>awareness</w:t>
      </w:r>
      <w:r>
        <w:rPr>
          <w:rFonts w:cs="Avenir Next"/>
        </w:rPr>
        <w:t xml:space="preserve"> of</w:t>
      </w:r>
      <w:r>
        <w:rPr>
          <w:rFonts w:cs="Avenir Next"/>
          <w:spacing w:val="4"/>
        </w:rPr>
        <w:t xml:space="preserve"> </w:t>
      </w:r>
      <w:r>
        <w:rPr>
          <w:rFonts w:cs="Avenir Next"/>
          <w:spacing w:val="-1"/>
        </w:rPr>
        <w:t>water</w:t>
      </w:r>
      <w:r>
        <w:rPr>
          <w:rFonts w:cs="Avenir Next"/>
        </w:rPr>
        <w:t xml:space="preserve"> security and </w:t>
      </w:r>
      <w:r>
        <w:rPr>
          <w:rFonts w:cs="Avenir Next"/>
          <w:spacing w:val="-1"/>
        </w:rPr>
        <w:t>increased</w:t>
      </w:r>
      <w:r>
        <w:rPr>
          <w:rFonts w:cs="Avenir Next"/>
        </w:rPr>
        <w:t xml:space="preserve"> investment in </w:t>
      </w:r>
      <w:r>
        <w:rPr>
          <w:rFonts w:cs="Avenir Next"/>
          <w:spacing w:val="-1"/>
        </w:rPr>
        <w:t>water</w:t>
      </w:r>
      <w:r>
        <w:rPr>
          <w:rFonts w:cs="Avenir Next"/>
          <w:spacing w:val="43"/>
        </w:rPr>
        <w:t xml:space="preserve"> </w:t>
      </w:r>
      <w:r>
        <w:t xml:space="preserve">saving technologies during the Millennium </w:t>
      </w:r>
      <w:r>
        <w:rPr>
          <w:spacing w:val="-1"/>
        </w:rPr>
        <w:t>drought.</w:t>
      </w:r>
    </w:p>
    <w:p w:rsidR="00D96B91" w:rsidRDefault="00D96B91">
      <w:pPr>
        <w:spacing w:before="6"/>
        <w:rPr>
          <w:rFonts w:ascii="Avenir Next" w:eastAsia="Avenir Next" w:hAnsi="Avenir Next" w:cs="Avenir Next"/>
          <w:sz w:val="13"/>
          <w:szCs w:val="13"/>
        </w:rPr>
      </w:pPr>
    </w:p>
    <w:p w:rsidR="00D96B91" w:rsidRDefault="00C2656B">
      <w:pPr>
        <w:pStyle w:val="BodyText"/>
        <w:spacing w:line="223" w:lineRule="auto"/>
        <w:ind w:right="1395"/>
        <w:jc w:val="both"/>
        <w:rPr>
          <w:sz w:val="11"/>
          <w:szCs w:val="11"/>
        </w:rPr>
      </w:pPr>
      <w:r>
        <w:rPr>
          <w:spacing w:val="-2"/>
        </w:rPr>
        <w:t>The</w:t>
      </w:r>
      <w:r>
        <w:t xml:space="preserve"> ICRC </w:t>
      </w:r>
      <w:r>
        <w:rPr>
          <w:spacing w:val="-1"/>
        </w:rPr>
        <w:t>characterised</w:t>
      </w:r>
      <w:r>
        <w:t xml:space="preserve"> its total </w:t>
      </w:r>
      <w:r>
        <w:rPr>
          <w:spacing w:val="-1"/>
        </w:rPr>
        <w:t>water</w:t>
      </w:r>
      <w:r>
        <w:t xml:space="preserve"> sales </w:t>
      </w:r>
      <w:r>
        <w:rPr>
          <w:spacing w:val="-1"/>
        </w:rPr>
        <w:t>forecast</w:t>
      </w:r>
      <w:r>
        <w:t xml:space="preserve"> of</w:t>
      </w:r>
      <w:r>
        <w:rPr>
          <w:spacing w:val="4"/>
        </w:rPr>
        <w:t xml:space="preserve"> </w:t>
      </w:r>
      <w:r>
        <w:t>38 GL</w:t>
      </w:r>
      <w:r>
        <w:rPr>
          <w:spacing w:val="-5"/>
        </w:rPr>
        <w:t xml:space="preserve"> </w:t>
      </w:r>
      <w:r>
        <w:t xml:space="preserve">per </w:t>
      </w:r>
      <w:r>
        <w:rPr>
          <w:spacing w:val="-1"/>
        </w:rPr>
        <w:t>year</w:t>
      </w:r>
      <w:r>
        <w:t xml:space="preserve"> as </w:t>
      </w:r>
      <w:r>
        <w:rPr>
          <w:spacing w:val="-1"/>
        </w:rPr>
        <w:t>“conservative”</w:t>
      </w:r>
      <w:r>
        <w:t xml:space="preserve"> because it was</w:t>
      </w:r>
      <w:r>
        <w:rPr>
          <w:spacing w:val="49"/>
        </w:rPr>
        <w:t xml:space="preserve"> </w:t>
      </w:r>
      <w:r>
        <w:t>lower than</w:t>
      </w:r>
      <w:r>
        <w:rPr>
          <w:spacing w:val="-4"/>
        </w:rPr>
        <w:t xml:space="preserve"> </w:t>
      </w:r>
      <w:r>
        <w:rPr>
          <w:spacing w:val="-2"/>
        </w:rPr>
        <w:t>ACTEW’s</w:t>
      </w:r>
      <w:r>
        <w:t xml:space="preserve"> </w:t>
      </w:r>
      <w:r>
        <w:rPr>
          <w:spacing w:val="-1"/>
        </w:rPr>
        <w:t>proposal,</w:t>
      </w:r>
      <w:r>
        <w:rPr>
          <w:spacing w:val="-6"/>
        </w:rPr>
        <w:t xml:space="preserve"> </w:t>
      </w:r>
      <w:r>
        <w:t>and in line with the level of</w:t>
      </w:r>
      <w:r>
        <w:rPr>
          <w:spacing w:val="4"/>
        </w:rPr>
        <w:t xml:space="preserve"> </w:t>
      </w:r>
      <w:r>
        <w:rPr>
          <w:spacing w:val="-1"/>
        </w:rPr>
        <w:t>water</w:t>
      </w:r>
      <w:r>
        <w:t xml:space="preserve"> sales observed between 2008-09 and</w:t>
      </w:r>
      <w:r>
        <w:rPr>
          <w:spacing w:val="30"/>
        </w:rPr>
        <w:t xml:space="preserve"> </w:t>
      </w:r>
      <w:r>
        <w:t>2009-10</w:t>
      </w:r>
      <w:r>
        <w:rPr>
          <w:spacing w:val="1"/>
        </w:rPr>
        <w:t xml:space="preserve"> </w:t>
      </w:r>
      <w:r>
        <w:t>when</w:t>
      </w:r>
      <w:r>
        <w:rPr>
          <w:spacing w:val="2"/>
        </w:rPr>
        <w:t xml:space="preserve"> </w:t>
      </w:r>
      <w:r>
        <w:rPr>
          <w:spacing w:val="-1"/>
        </w:rPr>
        <w:t>water</w:t>
      </w:r>
      <w:r>
        <w:rPr>
          <w:spacing w:val="1"/>
        </w:rPr>
        <w:t xml:space="preserve"> </w:t>
      </w:r>
      <w:r>
        <w:rPr>
          <w:spacing w:val="-1"/>
        </w:rPr>
        <w:t>restrictions</w:t>
      </w:r>
      <w:r>
        <w:rPr>
          <w:spacing w:val="2"/>
        </w:rPr>
        <w:t xml:space="preserve"> </w:t>
      </w:r>
      <w:r>
        <w:rPr>
          <w:spacing w:val="-1"/>
        </w:rPr>
        <w:t>were</w:t>
      </w:r>
      <w:r>
        <w:rPr>
          <w:spacing w:val="1"/>
        </w:rPr>
        <w:t xml:space="preserve"> </w:t>
      </w:r>
      <w:r>
        <w:t>in</w:t>
      </w:r>
      <w:r>
        <w:rPr>
          <w:spacing w:val="2"/>
        </w:rPr>
        <w:t xml:space="preserve"> </w:t>
      </w:r>
      <w:r>
        <w:t>place.</w:t>
      </w:r>
      <w:r>
        <w:rPr>
          <w:position w:val="7"/>
          <w:sz w:val="11"/>
          <w:szCs w:val="11"/>
        </w:rPr>
        <w:t>209</w:t>
      </w:r>
    </w:p>
    <w:p w:rsidR="00D96B91" w:rsidRDefault="00D96B91">
      <w:pPr>
        <w:spacing w:before="4"/>
        <w:rPr>
          <w:rFonts w:ascii="Avenir Next" w:eastAsia="Avenir Next" w:hAnsi="Avenir Next" w:cs="Avenir Next"/>
          <w:sz w:val="19"/>
          <w:szCs w:val="19"/>
        </w:rPr>
      </w:pPr>
    </w:p>
    <w:p w:rsidR="00D96B91" w:rsidRDefault="00C2656B">
      <w:pPr>
        <w:pStyle w:val="Heading6"/>
        <w:numPr>
          <w:ilvl w:val="2"/>
          <w:numId w:val="54"/>
        </w:numPr>
        <w:tabs>
          <w:tab w:val="left" w:pos="2098"/>
        </w:tabs>
        <w:ind w:hanging="850"/>
      </w:pPr>
      <w:r>
        <w:rPr>
          <w:color w:val="0778BE"/>
          <w:spacing w:val="-3"/>
        </w:rPr>
        <w:t>ACTEW’s</w:t>
      </w:r>
      <w:r>
        <w:rPr>
          <w:color w:val="0778BE"/>
        </w:rPr>
        <w:t xml:space="preserve"> SOFC and </w:t>
      </w:r>
      <w:r>
        <w:rPr>
          <w:color w:val="0778BE"/>
          <w:spacing w:val="-1"/>
        </w:rPr>
        <w:t>response</w:t>
      </w:r>
      <w:r>
        <w:rPr>
          <w:color w:val="0778BE"/>
        </w:rPr>
        <w:t xml:space="preserve"> to </w:t>
      </w:r>
      <w:r>
        <w:rPr>
          <w:color w:val="0778BE"/>
          <w:spacing w:val="-1"/>
        </w:rPr>
        <w:t>request</w:t>
      </w:r>
      <w:r>
        <w:rPr>
          <w:color w:val="0778BE"/>
        </w:rPr>
        <w:t xml:space="preserve"> for </w:t>
      </w:r>
      <w:r>
        <w:rPr>
          <w:color w:val="0778BE"/>
          <w:spacing w:val="-1"/>
        </w:rPr>
        <w:t>further</w:t>
      </w:r>
      <w:r>
        <w:rPr>
          <w:color w:val="0778BE"/>
        </w:rPr>
        <w:t xml:space="preserve"> </w:t>
      </w:r>
      <w:r>
        <w:rPr>
          <w:color w:val="0778BE"/>
          <w:spacing w:val="-1"/>
        </w:rPr>
        <w:t>information</w:t>
      </w:r>
    </w:p>
    <w:p w:rsidR="00D96B91" w:rsidRDefault="00C2656B">
      <w:pPr>
        <w:pStyle w:val="BodyText"/>
        <w:spacing w:before="21" w:line="260" w:lineRule="exact"/>
        <w:ind w:right="1313"/>
        <w:rPr>
          <w:sz w:val="11"/>
          <w:szCs w:val="11"/>
        </w:rPr>
      </w:pPr>
      <w:r>
        <w:rPr>
          <w:spacing w:val="-2"/>
        </w:rPr>
        <w:t>In</w:t>
      </w:r>
      <w:r>
        <w:rPr>
          <w:spacing w:val="-6"/>
        </w:rPr>
        <w:t xml:space="preserve"> </w:t>
      </w:r>
      <w:r>
        <w:rPr>
          <w:spacing w:val="-2"/>
        </w:rPr>
        <w:t>its</w:t>
      </w:r>
      <w:r>
        <w:rPr>
          <w:spacing w:val="-6"/>
        </w:rPr>
        <w:t xml:space="preserve"> </w:t>
      </w:r>
      <w:r>
        <w:rPr>
          <w:spacing w:val="-3"/>
        </w:rPr>
        <w:t>SOFC,</w:t>
      </w:r>
      <w:r>
        <w:rPr>
          <w:spacing w:val="-16"/>
        </w:rPr>
        <w:t xml:space="preserve"> </w:t>
      </w:r>
      <w:r>
        <w:rPr>
          <w:spacing w:val="-4"/>
        </w:rPr>
        <w:t>ACTEW</w:t>
      </w:r>
      <w:r>
        <w:rPr>
          <w:spacing w:val="-9"/>
        </w:rPr>
        <w:t xml:space="preserve"> </w:t>
      </w:r>
      <w:r>
        <w:rPr>
          <w:spacing w:val="-3"/>
        </w:rPr>
        <w:t>maintained</w:t>
      </w:r>
      <w:r>
        <w:rPr>
          <w:spacing w:val="-6"/>
        </w:rPr>
        <w:t xml:space="preserve"> </w:t>
      </w:r>
      <w:r>
        <w:rPr>
          <w:spacing w:val="-2"/>
        </w:rPr>
        <w:t>its</w:t>
      </w:r>
      <w:r>
        <w:rPr>
          <w:spacing w:val="-6"/>
        </w:rPr>
        <w:t xml:space="preserve"> </w:t>
      </w:r>
      <w:r>
        <w:rPr>
          <w:spacing w:val="-3"/>
        </w:rPr>
        <w:t>original</w:t>
      </w:r>
      <w:r>
        <w:rPr>
          <w:spacing w:val="-6"/>
        </w:rPr>
        <w:t xml:space="preserve"> </w:t>
      </w:r>
      <w:r>
        <w:rPr>
          <w:spacing w:val="-4"/>
        </w:rPr>
        <w:t>proposal</w:t>
      </w:r>
      <w:r>
        <w:rPr>
          <w:spacing w:val="-6"/>
        </w:rPr>
        <w:t xml:space="preserve"> </w:t>
      </w:r>
      <w:r>
        <w:rPr>
          <w:spacing w:val="-3"/>
        </w:rPr>
        <w:t>that,</w:t>
      </w:r>
      <w:r>
        <w:rPr>
          <w:spacing w:val="-12"/>
        </w:rPr>
        <w:t xml:space="preserve"> </w:t>
      </w:r>
      <w:r>
        <w:rPr>
          <w:spacing w:val="-2"/>
        </w:rPr>
        <w:t>for</w:t>
      </w:r>
      <w:r>
        <w:rPr>
          <w:spacing w:val="-6"/>
        </w:rPr>
        <w:t xml:space="preserve"> </w:t>
      </w:r>
      <w:r>
        <w:rPr>
          <w:spacing w:val="-2"/>
        </w:rPr>
        <w:t>the</w:t>
      </w:r>
      <w:r>
        <w:rPr>
          <w:spacing w:val="-6"/>
        </w:rPr>
        <w:t xml:space="preserve"> </w:t>
      </w:r>
      <w:r>
        <w:rPr>
          <w:spacing w:val="-3"/>
        </w:rPr>
        <w:t>purposes</w:t>
      </w:r>
      <w:r>
        <w:rPr>
          <w:spacing w:val="-6"/>
        </w:rPr>
        <w:t xml:space="preserve"> </w:t>
      </w:r>
      <w:r>
        <w:rPr>
          <w:spacing w:val="-2"/>
        </w:rPr>
        <w:t xml:space="preserve">of </w:t>
      </w:r>
      <w:r>
        <w:rPr>
          <w:spacing w:val="-3"/>
        </w:rPr>
        <w:t>setting</w:t>
      </w:r>
      <w:r>
        <w:rPr>
          <w:spacing w:val="-6"/>
        </w:rPr>
        <w:t xml:space="preserve"> </w:t>
      </w:r>
      <w:r>
        <w:rPr>
          <w:spacing w:val="-3"/>
        </w:rPr>
        <w:t>prices,</w:t>
      </w:r>
      <w:r>
        <w:rPr>
          <w:spacing w:val="-12"/>
        </w:rPr>
        <w:t xml:space="preserve"> </w:t>
      </w:r>
      <w:r>
        <w:rPr>
          <w:spacing w:val="-4"/>
        </w:rPr>
        <w:t>forecasts</w:t>
      </w:r>
      <w:r>
        <w:rPr>
          <w:spacing w:val="-6"/>
        </w:rPr>
        <w:t xml:space="preserve"> </w:t>
      </w:r>
      <w:r>
        <w:rPr>
          <w:spacing w:val="-3"/>
        </w:rPr>
        <w:t>of</w:t>
      </w:r>
      <w:r>
        <w:rPr>
          <w:spacing w:val="69"/>
        </w:rPr>
        <w:t xml:space="preserve"> </w:t>
      </w:r>
      <w:r>
        <w:rPr>
          <w:spacing w:val="-3"/>
        </w:rPr>
        <w:t>water</w:t>
      </w:r>
      <w:r>
        <w:rPr>
          <w:spacing w:val="-6"/>
        </w:rPr>
        <w:t xml:space="preserve"> </w:t>
      </w:r>
      <w:r>
        <w:rPr>
          <w:spacing w:val="-3"/>
        </w:rPr>
        <w:t>sales</w:t>
      </w:r>
      <w:r>
        <w:rPr>
          <w:spacing w:val="-6"/>
        </w:rPr>
        <w:t xml:space="preserve"> </w:t>
      </w:r>
      <w:r>
        <w:rPr>
          <w:spacing w:val="-3"/>
        </w:rPr>
        <w:t>should</w:t>
      </w:r>
      <w:r>
        <w:rPr>
          <w:spacing w:val="-6"/>
        </w:rPr>
        <w:t xml:space="preserve"> </w:t>
      </w:r>
      <w:r>
        <w:rPr>
          <w:spacing w:val="-2"/>
        </w:rPr>
        <w:t>be</w:t>
      </w:r>
      <w:r>
        <w:rPr>
          <w:spacing w:val="-6"/>
        </w:rPr>
        <w:t xml:space="preserve"> </w:t>
      </w:r>
      <w:r>
        <w:rPr>
          <w:spacing w:val="-3"/>
        </w:rPr>
        <w:t>made</w:t>
      </w:r>
      <w:r>
        <w:rPr>
          <w:spacing w:val="-6"/>
        </w:rPr>
        <w:t xml:space="preserve"> </w:t>
      </w:r>
      <w:r>
        <w:rPr>
          <w:spacing w:val="-2"/>
        </w:rPr>
        <w:t>on</w:t>
      </w:r>
      <w:r>
        <w:rPr>
          <w:spacing w:val="-6"/>
        </w:rPr>
        <w:t xml:space="preserve"> </w:t>
      </w:r>
      <w:r>
        <w:rPr>
          <w:spacing w:val="-2"/>
        </w:rPr>
        <w:t>an</w:t>
      </w:r>
      <w:r>
        <w:rPr>
          <w:spacing w:val="-6"/>
        </w:rPr>
        <w:t xml:space="preserve"> </w:t>
      </w:r>
      <w:r>
        <w:rPr>
          <w:spacing w:val="-3"/>
        </w:rPr>
        <w:t>annual</w:t>
      </w:r>
      <w:r>
        <w:rPr>
          <w:spacing w:val="-6"/>
        </w:rPr>
        <w:t xml:space="preserve"> </w:t>
      </w:r>
      <w:r>
        <w:rPr>
          <w:spacing w:val="-3"/>
        </w:rPr>
        <w:t>basis</w:t>
      </w:r>
      <w:r>
        <w:rPr>
          <w:spacing w:val="-6"/>
        </w:rPr>
        <w:t xml:space="preserve"> </w:t>
      </w:r>
      <w:r>
        <w:rPr>
          <w:spacing w:val="-3"/>
        </w:rPr>
        <w:t>using</w:t>
      </w:r>
      <w:r>
        <w:rPr>
          <w:spacing w:val="-6"/>
        </w:rPr>
        <w:t xml:space="preserve"> </w:t>
      </w:r>
      <w:r>
        <w:rPr>
          <w:spacing w:val="-2"/>
        </w:rPr>
        <w:t>the</w:t>
      </w:r>
      <w:r>
        <w:rPr>
          <w:spacing w:val="-6"/>
        </w:rPr>
        <w:t xml:space="preserve"> </w:t>
      </w:r>
      <w:r>
        <w:rPr>
          <w:spacing w:val="-5"/>
        </w:rPr>
        <w:t>Breusch-Ward</w:t>
      </w:r>
      <w:r>
        <w:rPr>
          <w:spacing w:val="-6"/>
        </w:rPr>
        <w:t xml:space="preserve"> </w:t>
      </w:r>
      <w:r>
        <w:rPr>
          <w:spacing w:val="-3"/>
        </w:rPr>
        <w:t>model.</w:t>
      </w:r>
      <w:r>
        <w:rPr>
          <w:spacing w:val="-16"/>
        </w:rPr>
        <w:t xml:space="preserve"> </w:t>
      </w:r>
      <w:r>
        <w:rPr>
          <w:spacing w:val="-4"/>
        </w:rPr>
        <w:t>ACTEW</w:t>
      </w:r>
      <w:r>
        <w:rPr>
          <w:spacing w:val="-9"/>
        </w:rPr>
        <w:t xml:space="preserve"> </w:t>
      </w:r>
      <w:r>
        <w:rPr>
          <w:spacing w:val="-4"/>
        </w:rPr>
        <w:t>offered</w:t>
      </w:r>
      <w:r>
        <w:rPr>
          <w:spacing w:val="-6"/>
        </w:rPr>
        <w:t xml:space="preserve"> </w:t>
      </w:r>
      <w:r>
        <w:rPr>
          <w:spacing w:val="-2"/>
        </w:rPr>
        <w:t>to</w:t>
      </w:r>
      <w:r>
        <w:rPr>
          <w:spacing w:val="-6"/>
        </w:rPr>
        <w:t xml:space="preserve"> </w:t>
      </w:r>
      <w:r>
        <w:rPr>
          <w:spacing w:val="-4"/>
        </w:rPr>
        <w:t>provide</w:t>
      </w:r>
      <w:r>
        <w:rPr>
          <w:spacing w:val="81"/>
        </w:rPr>
        <w:t xml:space="preserve"> </w:t>
      </w:r>
      <w:r>
        <w:rPr>
          <w:spacing w:val="-3"/>
        </w:rPr>
        <w:t>up-to-d</w:t>
      </w:r>
      <w:r>
        <w:rPr>
          <w:spacing w:val="-5"/>
        </w:rPr>
        <w:t>a</w:t>
      </w:r>
      <w:r>
        <w:rPr>
          <w:spacing w:val="-3"/>
        </w:rPr>
        <w:t>t</w:t>
      </w:r>
      <w:r>
        <w:t>e</w:t>
      </w:r>
      <w:r>
        <w:rPr>
          <w:spacing w:val="-6"/>
        </w:rPr>
        <w:t xml:space="preserve"> </w:t>
      </w:r>
      <w:r>
        <w:rPr>
          <w:spacing w:val="-3"/>
        </w:rPr>
        <w:t>d</w:t>
      </w:r>
      <w:r>
        <w:rPr>
          <w:spacing w:val="-5"/>
        </w:rPr>
        <w:t>a</w:t>
      </w:r>
      <w:r>
        <w:rPr>
          <w:spacing w:val="-3"/>
        </w:rPr>
        <w:t>t</w:t>
      </w:r>
      <w:r>
        <w:t>a</w:t>
      </w:r>
      <w:r>
        <w:rPr>
          <w:spacing w:val="-5"/>
        </w:rPr>
        <w:t xml:space="preserve"> </w:t>
      </w:r>
      <w:r>
        <w:rPr>
          <w:spacing w:val="-3"/>
        </w:rPr>
        <w:t>fo</w:t>
      </w:r>
      <w:r>
        <w:t>r</w:t>
      </w:r>
      <w:r>
        <w:rPr>
          <w:spacing w:val="-6"/>
        </w:rPr>
        <w:t xml:space="preserve"> </w:t>
      </w:r>
      <w:r>
        <w:rPr>
          <w:spacing w:val="-3"/>
        </w:rPr>
        <w:t>th</w:t>
      </w:r>
      <w:r>
        <w:t>e</w:t>
      </w:r>
      <w:r>
        <w:rPr>
          <w:spacing w:val="-5"/>
        </w:rPr>
        <w:t xml:space="preserve"> </w:t>
      </w:r>
      <w:r>
        <w:rPr>
          <w:spacing w:val="-3"/>
        </w:rPr>
        <w:t>mode</w:t>
      </w:r>
      <w:r>
        <w:t>l</w:t>
      </w:r>
      <w:r>
        <w:rPr>
          <w:spacing w:val="-6"/>
        </w:rPr>
        <w:t xml:space="preserve"> </w:t>
      </w:r>
      <w:r>
        <w:rPr>
          <w:spacing w:val="-3"/>
        </w:rPr>
        <w:t>“t</w:t>
      </w:r>
      <w:r>
        <w:t>o</w:t>
      </w:r>
      <w:r>
        <w:rPr>
          <w:spacing w:val="-5"/>
        </w:rPr>
        <w:t xml:space="preserve"> </w:t>
      </w:r>
      <w:r>
        <w:rPr>
          <w:spacing w:val="-3"/>
        </w:rPr>
        <w:t>allo</w:t>
      </w:r>
      <w:r>
        <w:t>w</w:t>
      </w:r>
      <w:r>
        <w:rPr>
          <w:spacing w:val="-6"/>
        </w:rPr>
        <w:t xml:space="preserve"> </w:t>
      </w:r>
      <w:r>
        <w:rPr>
          <w:spacing w:val="-3"/>
        </w:rPr>
        <w:t>price</w:t>
      </w:r>
      <w:r>
        <w:t>s</w:t>
      </w:r>
      <w:r>
        <w:rPr>
          <w:spacing w:val="-5"/>
        </w:rPr>
        <w:t xml:space="preserve"> </w:t>
      </w:r>
      <w:r>
        <w:rPr>
          <w:spacing w:val="-3"/>
        </w:rPr>
        <w:t>t</w:t>
      </w:r>
      <w:r>
        <w:t>o</w:t>
      </w:r>
      <w:r>
        <w:rPr>
          <w:spacing w:val="-6"/>
        </w:rPr>
        <w:t xml:space="preserve"> </w:t>
      </w:r>
      <w:r>
        <w:rPr>
          <w:spacing w:val="-3"/>
        </w:rPr>
        <w:t>b</w:t>
      </w:r>
      <w:r>
        <w:t>e</w:t>
      </w:r>
      <w:r>
        <w:rPr>
          <w:spacing w:val="-5"/>
        </w:rPr>
        <w:t xml:space="preserve"> </w:t>
      </w:r>
      <w:r>
        <w:rPr>
          <w:spacing w:val="-3"/>
        </w:rPr>
        <w:t>se</w:t>
      </w:r>
      <w:r>
        <w:t>t</w:t>
      </w:r>
      <w:r>
        <w:rPr>
          <w:spacing w:val="-6"/>
        </w:rPr>
        <w:t xml:space="preserve"> </w:t>
      </w:r>
      <w:r>
        <w:rPr>
          <w:spacing w:val="-3"/>
        </w:rPr>
        <w:t>fo</w:t>
      </w:r>
      <w:r>
        <w:t>r</w:t>
      </w:r>
      <w:r>
        <w:rPr>
          <w:spacing w:val="-5"/>
        </w:rPr>
        <w:t xml:space="preserve"> </w:t>
      </w:r>
      <w:r>
        <w:rPr>
          <w:spacing w:val="-3"/>
        </w:rPr>
        <w:t>2015-1</w:t>
      </w:r>
      <w:r>
        <w:t>6</w:t>
      </w:r>
      <w:r>
        <w:rPr>
          <w:spacing w:val="-6"/>
        </w:rPr>
        <w:t xml:space="preserve"> </w:t>
      </w:r>
      <w:r>
        <w:rPr>
          <w:spacing w:val="-3"/>
        </w:rPr>
        <w:t>a</w:t>
      </w:r>
      <w:r>
        <w:t>s</w:t>
      </w:r>
      <w:r>
        <w:rPr>
          <w:spacing w:val="-5"/>
        </w:rPr>
        <w:t xml:space="preserve"> </w:t>
      </w:r>
      <w:r>
        <w:rPr>
          <w:spacing w:val="-3"/>
        </w:rPr>
        <w:t>pa</w:t>
      </w:r>
      <w:r>
        <w:rPr>
          <w:spacing w:val="-6"/>
        </w:rPr>
        <w:t>r</w:t>
      </w:r>
      <w:r>
        <w:t>t</w:t>
      </w:r>
      <w:r>
        <w:rPr>
          <w:spacing w:val="-6"/>
        </w:rPr>
        <w:t xml:space="preserve"> </w:t>
      </w:r>
      <w:r>
        <w:rPr>
          <w:spacing w:val="-3"/>
        </w:rPr>
        <w:t>o</w:t>
      </w:r>
      <w:r>
        <w:t>f</w:t>
      </w:r>
      <w:r>
        <w:rPr>
          <w:spacing w:val="-1"/>
        </w:rPr>
        <w:t xml:space="preserve"> </w:t>
      </w:r>
      <w:r>
        <w:rPr>
          <w:spacing w:val="-3"/>
        </w:rPr>
        <w:t>[th</w:t>
      </w:r>
      <w:r>
        <w:t>e</w:t>
      </w:r>
      <w:r>
        <w:rPr>
          <w:spacing w:val="-5"/>
        </w:rPr>
        <w:t xml:space="preserve"> </w:t>
      </w:r>
      <w:r>
        <w:rPr>
          <w:spacing w:val="-15"/>
        </w:rPr>
        <w:t>P</w:t>
      </w:r>
      <w:r>
        <w:rPr>
          <w:spacing w:val="-3"/>
        </w:rPr>
        <w:t>anel</w:t>
      </w:r>
      <w:r>
        <w:rPr>
          <w:spacing w:val="-13"/>
        </w:rPr>
        <w:t>’</w:t>
      </w:r>
      <w:r>
        <w:rPr>
          <w:spacing w:val="-3"/>
        </w:rPr>
        <w:t>s</w:t>
      </w:r>
      <w:r>
        <w:t>]</w:t>
      </w:r>
      <w:r>
        <w:rPr>
          <w:spacing w:val="-6"/>
        </w:rPr>
        <w:t xml:space="preserve"> </w:t>
      </w:r>
      <w:r>
        <w:rPr>
          <w:spacing w:val="-7"/>
        </w:rPr>
        <w:t>r</w:t>
      </w:r>
      <w:r>
        <w:rPr>
          <w:spacing w:val="-3"/>
        </w:rPr>
        <w:t>eview</w:t>
      </w:r>
      <w:r>
        <w:rPr>
          <w:spacing w:val="-27"/>
        </w:rPr>
        <w:t>”</w:t>
      </w:r>
      <w:r>
        <w:rPr>
          <w:spacing w:val="-4"/>
        </w:rPr>
        <w:t>.</w:t>
      </w:r>
      <w:r>
        <w:rPr>
          <w:spacing w:val="-2"/>
          <w:position w:val="7"/>
          <w:sz w:val="11"/>
          <w:szCs w:val="11"/>
        </w:rPr>
        <w:t>210</w:t>
      </w:r>
    </w:p>
    <w:p w:rsidR="00D96B91" w:rsidRDefault="00C2656B">
      <w:pPr>
        <w:pStyle w:val="BodyText"/>
        <w:spacing w:before="170" w:line="260" w:lineRule="exact"/>
        <w:ind w:right="1355"/>
      </w:pPr>
      <w:r>
        <w:rPr>
          <w:spacing w:val="-3"/>
        </w:rPr>
        <w:t>The</w:t>
      </w:r>
      <w:r>
        <w:rPr>
          <w:spacing w:val="-4"/>
        </w:rPr>
        <w:t xml:space="preserve"> Panel </w:t>
      </w:r>
      <w:r>
        <w:rPr>
          <w:spacing w:val="-3"/>
        </w:rPr>
        <w:t>asked</w:t>
      </w:r>
      <w:r>
        <w:rPr>
          <w:spacing w:val="-8"/>
        </w:rPr>
        <w:t xml:space="preserve"> </w:t>
      </w:r>
      <w:r>
        <w:rPr>
          <w:spacing w:val="-3"/>
        </w:rPr>
        <w:t>ACTEW</w:t>
      </w:r>
      <w:r>
        <w:rPr>
          <w:spacing w:val="-7"/>
        </w:rPr>
        <w:t xml:space="preserve"> </w:t>
      </w:r>
      <w:r>
        <w:rPr>
          <w:spacing w:val="-1"/>
        </w:rPr>
        <w:t>to</w:t>
      </w:r>
      <w:r>
        <w:rPr>
          <w:spacing w:val="-4"/>
        </w:rPr>
        <w:t xml:space="preserve"> </w:t>
      </w:r>
      <w:r>
        <w:rPr>
          <w:spacing w:val="-3"/>
        </w:rPr>
        <w:t>provide</w:t>
      </w:r>
      <w:r>
        <w:rPr>
          <w:spacing w:val="-4"/>
        </w:rPr>
        <w:t xml:space="preserve"> </w:t>
      </w:r>
      <w:r>
        <w:rPr>
          <w:spacing w:val="-2"/>
        </w:rPr>
        <w:t>actual</w:t>
      </w:r>
      <w:r>
        <w:rPr>
          <w:spacing w:val="-4"/>
        </w:rPr>
        <w:t xml:space="preserve"> </w:t>
      </w:r>
      <w:r>
        <w:rPr>
          <w:spacing w:val="-2"/>
        </w:rPr>
        <w:t>demand</w:t>
      </w:r>
      <w:r>
        <w:rPr>
          <w:spacing w:val="-4"/>
        </w:rPr>
        <w:t xml:space="preserve"> </w:t>
      </w:r>
      <w:r>
        <w:rPr>
          <w:spacing w:val="-2"/>
        </w:rPr>
        <w:t>data</w:t>
      </w:r>
      <w:r>
        <w:rPr>
          <w:spacing w:val="-4"/>
        </w:rPr>
        <w:t xml:space="preserve"> </w:t>
      </w:r>
      <w:r>
        <w:rPr>
          <w:spacing w:val="-2"/>
        </w:rPr>
        <w:t>for</w:t>
      </w:r>
      <w:r>
        <w:rPr>
          <w:spacing w:val="-4"/>
        </w:rPr>
        <w:t xml:space="preserve"> </w:t>
      </w:r>
      <w:r>
        <w:rPr>
          <w:spacing w:val="-2"/>
        </w:rPr>
        <w:t>2012-13</w:t>
      </w:r>
      <w:r>
        <w:rPr>
          <w:spacing w:val="-4"/>
        </w:rPr>
        <w:t xml:space="preserve"> </w:t>
      </w:r>
      <w:r>
        <w:rPr>
          <w:spacing w:val="-2"/>
        </w:rPr>
        <w:t>and</w:t>
      </w:r>
      <w:r>
        <w:rPr>
          <w:spacing w:val="-4"/>
        </w:rPr>
        <w:t xml:space="preserve"> </w:t>
      </w:r>
      <w:r>
        <w:rPr>
          <w:spacing w:val="-2"/>
        </w:rPr>
        <w:t>2013-14,</w:t>
      </w:r>
      <w:r>
        <w:rPr>
          <w:spacing w:val="-10"/>
        </w:rPr>
        <w:t xml:space="preserve"> </w:t>
      </w:r>
      <w:r>
        <w:rPr>
          <w:spacing w:val="-2"/>
        </w:rPr>
        <w:t>along</w:t>
      </w:r>
      <w:r>
        <w:rPr>
          <w:spacing w:val="-4"/>
        </w:rPr>
        <w:t xml:space="preserve"> </w:t>
      </w:r>
      <w:r>
        <w:rPr>
          <w:spacing w:val="-2"/>
        </w:rPr>
        <w:t>with</w:t>
      </w:r>
      <w:r>
        <w:rPr>
          <w:spacing w:val="-4"/>
        </w:rPr>
        <w:t xml:space="preserve"> </w:t>
      </w:r>
      <w:r>
        <w:rPr>
          <w:spacing w:val="-2"/>
        </w:rPr>
        <w:t>water</w:t>
      </w:r>
      <w:r>
        <w:rPr>
          <w:spacing w:val="-4"/>
        </w:rPr>
        <w:t xml:space="preserve"> </w:t>
      </w:r>
      <w:r>
        <w:rPr>
          <w:spacing w:val="-2"/>
        </w:rPr>
        <w:t>sales</w:t>
      </w:r>
      <w:r>
        <w:rPr>
          <w:spacing w:val="52"/>
        </w:rPr>
        <w:t xml:space="preserve"> </w:t>
      </w:r>
      <w:r>
        <w:rPr>
          <w:spacing w:val="-3"/>
        </w:rPr>
        <w:t>forecasts</w:t>
      </w:r>
      <w:r>
        <w:rPr>
          <w:spacing w:val="-4"/>
        </w:rPr>
        <w:t xml:space="preserve"> </w:t>
      </w:r>
      <w:r>
        <w:rPr>
          <w:spacing w:val="-2"/>
        </w:rPr>
        <w:t>for</w:t>
      </w:r>
      <w:r>
        <w:rPr>
          <w:spacing w:val="-4"/>
        </w:rPr>
        <w:t xml:space="preserve"> </w:t>
      </w:r>
      <w:r>
        <w:rPr>
          <w:spacing w:val="-2"/>
        </w:rPr>
        <w:t>the</w:t>
      </w:r>
      <w:r>
        <w:rPr>
          <w:spacing w:val="-4"/>
        </w:rPr>
        <w:t xml:space="preserve"> </w:t>
      </w:r>
      <w:r>
        <w:rPr>
          <w:spacing w:val="-2"/>
        </w:rPr>
        <w:t>last</w:t>
      </w:r>
      <w:r>
        <w:rPr>
          <w:spacing w:val="-4"/>
        </w:rPr>
        <w:t xml:space="preserve"> </w:t>
      </w:r>
      <w:r>
        <w:rPr>
          <w:spacing w:val="-2"/>
        </w:rPr>
        <w:t>four</w:t>
      </w:r>
      <w:r>
        <w:rPr>
          <w:spacing w:val="-4"/>
        </w:rPr>
        <w:t xml:space="preserve"> </w:t>
      </w:r>
      <w:r>
        <w:rPr>
          <w:spacing w:val="-2"/>
        </w:rPr>
        <w:t>years</w:t>
      </w:r>
      <w:r>
        <w:rPr>
          <w:spacing w:val="-4"/>
        </w:rPr>
        <w:t xml:space="preserve"> </w:t>
      </w:r>
      <w:r>
        <w:rPr>
          <w:spacing w:val="-1"/>
        </w:rPr>
        <w:t>of</w:t>
      </w:r>
      <w:r>
        <w:t xml:space="preserve"> </w:t>
      </w:r>
      <w:r>
        <w:rPr>
          <w:spacing w:val="-2"/>
        </w:rPr>
        <w:t>the</w:t>
      </w:r>
      <w:r>
        <w:rPr>
          <w:spacing w:val="-4"/>
        </w:rPr>
        <w:t xml:space="preserve"> </w:t>
      </w:r>
      <w:r>
        <w:rPr>
          <w:spacing w:val="-3"/>
        </w:rPr>
        <w:t>regulatory</w:t>
      </w:r>
      <w:r>
        <w:rPr>
          <w:spacing w:val="-4"/>
        </w:rPr>
        <w:t xml:space="preserve"> </w:t>
      </w:r>
      <w:r>
        <w:rPr>
          <w:spacing w:val="-2"/>
        </w:rPr>
        <w:t>period.</w:t>
      </w:r>
      <w:r>
        <w:rPr>
          <w:spacing w:val="-10"/>
        </w:rPr>
        <w:t xml:space="preserve"> </w:t>
      </w:r>
      <w:r>
        <w:rPr>
          <w:spacing w:val="-1"/>
        </w:rPr>
        <w:t>In</w:t>
      </w:r>
      <w:r>
        <w:rPr>
          <w:spacing w:val="-4"/>
        </w:rPr>
        <w:t xml:space="preserve"> </w:t>
      </w:r>
      <w:r>
        <w:rPr>
          <w:spacing w:val="-2"/>
        </w:rPr>
        <w:t>its</w:t>
      </w:r>
      <w:r>
        <w:rPr>
          <w:spacing w:val="-4"/>
        </w:rPr>
        <w:t xml:space="preserve"> </w:t>
      </w:r>
      <w:r>
        <w:rPr>
          <w:spacing w:val="-3"/>
        </w:rPr>
        <w:t>response,</w:t>
      </w:r>
      <w:r>
        <w:rPr>
          <w:spacing w:val="-14"/>
        </w:rPr>
        <w:t xml:space="preserve"> </w:t>
      </w:r>
      <w:r>
        <w:rPr>
          <w:spacing w:val="-3"/>
        </w:rPr>
        <w:t>ACTEW</w:t>
      </w:r>
      <w:r>
        <w:rPr>
          <w:spacing w:val="-7"/>
        </w:rPr>
        <w:t xml:space="preserve"> </w:t>
      </w:r>
      <w:r>
        <w:rPr>
          <w:spacing w:val="-3"/>
        </w:rPr>
        <w:t>reiterated</w:t>
      </w:r>
      <w:r>
        <w:rPr>
          <w:spacing w:val="-4"/>
        </w:rPr>
        <w:t xml:space="preserve"> </w:t>
      </w:r>
      <w:r>
        <w:rPr>
          <w:spacing w:val="-2"/>
        </w:rPr>
        <w:t>its</w:t>
      </w:r>
      <w:r>
        <w:rPr>
          <w:spacing w:val="-4"/>
        </w:rPr>
        <w:t xml:space="preserve"> </w:t>
      </w:r>
      <w:r>
        <w:rPr>
          <w:spacing w:val="-3"/>
        </w:rPr>
        <w:t>proposal</w:t>
      </w:r>
      <w:r>
        <w:rPr>
          <w:spacing w:val="88"/>
        </w:rPr>
        <w:t xml:space="preserve"> </w:t>
      </w:r>
      <w:r>
        <w:rPr>
          <w:spacing w:val="-2"/>
        </w:rPr>
        <w:t>that</w:t>
      </w:r>
      <w:r>
        <w:rPr>
          <w:spacing w:val="-4"/>
        </w:rPr>
        <w:t xml:space="preserve"> </w:t>
      </w:r>
      <w:r>
        <w:rPr>
          <w:spacing w:val="-2"/>
        </w:rPr>
        <w:t>demand</w:t>
      </w:r>
      <w:r>
        <w:rPr>
          <w:spacing w:val="-4"/>
        </w:rPr>
        <w:t xml:space="preserve"> </w:t>
      </w:r>
      <w:r>
        <w:rPr>
          <w:spacing w:val="-3"/>
        </w:rPr>
        <w:t>forecasts</w:t>
      </w:r>
      <w:r>
        <w:rPr>
          <w:spacing w:val="-4"/>
        </w:rPr>
        <w:t xml:space="preserve"> </w:t>
      </w:r>
      <w:r>
        <w:rPr>
          <w:spacing w:val="-1"/>
        </w:rPr>
        <w:t>be</w:t>
      </w:r>
      <w:r>
        <w:rPr>
          <w:spacing w:val="-4"/>
        </w:rPr>
        <w:t xml:space="preserve"> </w:t>
      </w:r>
      <w:r>
        <w:rPr>
          <w:spacing w:val="-2"/>
        </w:rPr>
        <w:t>made</w:t>
      </w:r>
      <w:r>
        <w:rPr>
          <w:spacing w:val="-4"/>
        </w:rPr>
        <w:t xml:space="preserve"> </w:t>
      </w:r>
      <w:r>
        <w:rPr>
          <w:spacing w:val="-3"/>
        </w:rPr>
        <w:t>annually,</w:t>
      </w:r>
      <w:r>
        <w:rPr>
          <w:spacing w:val="-10"/>
        </w:rPr>
        <w:t xml:space="preserve"> </w:t>
      </w:r>
      <w:r>
        <w:rPr>
          <w:spacing w:val="-2"/>
        </w:rPr>
        <w:t>but</w:t>
      </w:r>
      <w:r>
        <w:rPr>
          <w:spacing w:val="-4"/>
        </w:rPr>
        <w:t xml:space="preserve"> </w:t>
      </w:r>
      <w:r>
        <w:rPr>
          <w:spacing w:val="-3"/>
        </w:rPr>
        <w:t>nevertheless</w:t>
      </w:r>
      <w:r>
        <w:rPr>
          <w:spacing w:val="-4"/>
        </w:rPr>
        <w:t xml:space="preserve"> </w:t>
      </w:r>
      <w:r>
        <w:rPr>
          <w:spacing w:val="-3"/>
        </w:rPr>
        <w:t>provided</w:t>
      </w:r>
      <w:r>
        <w:rPr>
          <w:spacing w:val="-4"/>
        </w:rPr>
        <w:t xml:space="preserve"> </w:t>
      </w:r>
      <w:r>
        <w:rPr>
          <w:spacing w:val="-2"/>
        </w:rPr>
        <w:t>the</w:t>
      </w:r>
      <w:r>
        <w:rPr>
          <w:spacing w:val="-4"/>
        </w:rPr>
        <w:t xml:space="preserve"> </w:t>
      </w:r>
      <w:r>
        <w:rPr>
          <w:spacing w:val="-3"/>
        </w:rPr>
        <w:t>requested</w:t>
      </w:r>
      <w:r>
        <w:rPr>
          <w:spacing w:val="-4"/>
        </w:rPr>
        <w:t xml:space="preserve"> </w:t>
      </w:r>
      <w:r>
        <w:rPr>
          <w:spacing w:val="-2"/>
        </w:rPr>
        <w:t>information,</w:t>
      </w:r>
      <w:r>
        <w:rPr>
          <w:spacing w:val="-10"/>
        </w:rPr>
        <w:t xml:space="preserve"> </w:t>
      </w:r>
      <w:r>
        <w:rPr>
          <w:spacing w:val="-2"/>
        </w:rPr>
        <w:t>shown</w:t>
      </w:r>
      <w:r>
        <w:rPr>
          <w:spacing w:val="-4"/>
        </w:rPr>
        <w:t xml:space="preserve"> </w:t>
      </w:r>
      <w:r>
        <w:rPr>
          <w:spacing w:val="-2"/>
        </w:rPr>
        <w:t>in</w:t>
      </w:r>
      <w:r>
        <w:rPr>
          <w:spacing w:val="88"/>
        </w:rPr>
        <w:t xml:space="preserve"> </w:t>
      </w:r>
      <w:hyperlink w:anchor="_bookmark104" w:history="1">
        <w:r>
          <w:rPr>
            <w:spacing w:val="-6"/>
          </w:rPr>
          <w:t>Table</w:t>
        </w:r>
        <w:r>
          <w:rPr>
            <w:spacing w:val="-4"/>
          </w:rPr>
          <w:t xml:space="preserve"> </w:t>
        </w:r>
        <w:r>
          <w:rPr>
            <w:spacing w:val="-2"/>
          </w:rPr>
          <w:t>12.2</w:t>
        </w:r>
      </w:hyperlink>
      <w:r>
        <w:rPr>
          <w:spacing w:val="-2"/>
        </w:rPr>
        <w:t>.</w:t>
      </w:r>
      <w:r>
        <w:rPr>
          <w:spacing w:val="-14"/>
        </w:rPr>
        <w:t xml:space="preserve"> </w:t>
      </w:r>
      <w:r>
        <w:rPr>
          <w:spacing w:val="-3"/>
        </w:rPr>
        <w:t>ACTEW</w:t>
      </w:r>
      <w:r>
        <w:rPr>
          <w:spacing w:val="-7"/>
        </w:rPr>
        <w:t xml:space="preserve"> </w:t>
      </w:r>
      <w:r>
        <w:rPr>
          <w:spacing w:val="-2"/>
        </w:rPr>
        <w:t>derived</w:t>
      </w:r>
      <w:r>
        <w:rPr>
          <w:spacing w:val="-4"/>
        </w:rPr>
        <w:t xml:space="preserve"> </w:t>
      </w:r>
      <w:r>
        <w:rPr>
          <w:spacing w:val="-2"/>
        </w:rPr>
        <w:t>these</w:t>
      </w:r>
      <w:r>
        <w:rPr>
          <w:spacing w:val="-4"/>
        </w:rPr>
        <w:t xml:space="preserve"> </w:t>
      </w:r>
      <w:r>
        <w:rPr>
          <w:spacing w:val="-2"/>
        </w:rPr>
        <w:t>water</w:t>
      </w:r>
      <w:r>
        <w:rPr>
          <w:spacing w:val="-4"/>
        </w:rPr>
        <w:t xml:space="preserve"> </w:t>
      </w:r>
      <w:r>
        <w:rPr>
          <w:spacing w:val="-2"/>
        </w:rPr>
        <w:t>sales</w:t>
      </w:r>
      <w:r>
        <w:rPr>
          <w:spacing w:val="-4"/>
        </w:rPr>
        <w:t xml:space="preserve"> </w:t>
      </w:r>
      <w:r>
        <w:rPr>
          <w:spacing w:val="-3"/>
        </w:rPr>
        <w:t>forecasts</w:t>
      </w:r>
      <w:r>
        <w:rPr>
          <w:spacing w:val="-4"/>
        </w:rPr>
        <w:t xml:space="preserve"> </w:t>
      </w:r>
      <w:r>
        <w:rPr>
          <w:spacing w:val="-2"/>
        </w:rPr>
        <w:t>using</w:t>
      </w:r>
      <w:r>
        <w:rPr>
          <w:spacing w:val="-4"/>
        </w:rPr>
        <w:t xml:space="preserve"> </w:t>
      </w:r>
      <w:r>
        <w:rPr>
          <w:spacing w:val="-2"/>
        </w:rPr>
        <w:t>the</w:t>
      </w:r>
      <w:r>
        <w:rPr>
          <w:spacing w:val="-4"/>
        </w:rPr>
        <w:t xml:space="preserve"> Breusch-Ward </w:t>
      </w:r>
      <w:r>
        <w:rPr>
          <w:spacing w:val="-2"/>
        </w:rPr>
        <w:t>model.</w:t>
      </w:r>
    </w:p>
    <w:p w:rsidR="00D96B91" w:rsidRDefault="00C2656B">
      <w:pPr>
        <w:spacing w:before="158"/>
        <w:ind w:left="1247"/>
        <w:rPr>
          <w:rFonts w:ascii="Avenir Next" w:eastAsia="Avenir Next" w:hAnsi="Avenir Next" w:cs="Avenir Next"/>
          <w:sz w:val="20"/>
          <w:szCs w:val="20"/>
        </w:rPr>
      </w:pPr>
      <w:bookmarkStart w:id="165" w:name="_bookmark104"/>
      <w:bookmarkEnd w:id="16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12.2:</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SOFC –</w:t>
      </w:r>
      <w:r>
        <w:rPr>
          <w:rFonts w:ascii="Avenir Next" w:eastAsia="Avenir Next" w:hAnsi="Avenir Next" w:cs="Avenir Next"/>
          <w:b/>
          <w:bCs/>
          <w:spacing w:val="-4"/>
          <w:sz w:val="20"/>
          <w:szCs w:val="20"/>
        </w:rPr>
        <w:t xml:space="preserve"> </w:t>
      </w:r>
      <w:r>
        <w:rPr>
          <w:rFonts w:ascii="Avenir Next" w:eastAsia="Avenir Next" w:hAnsi="Avenir Next" w:cs="Avenir Next"/>
          <w:b/>
          <w:bCs/>
          <w:sz w:val="20"/>
          <w:szCs w:val="20"/>
        </w:rPr>
        <w:t xml:space="preserve">Actual and </w:t>
      </w:r>
      <w:r>
        <w:rPr>
          <w:rFonts w:ascii="Avenir Next" w:eastAsia="Avenir Next" w:hAnsi="Avenir Next" w:cs="Avenir Next"/>
          <w:b/>
          <w:bCs/>
          <w:spacing w:val="-1"/>
          <w:sz w:val="20"/>
          <w:szCs w:val="20"/>
        </w:rPr>
        <w:t>forecast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sales (GL)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455"/>
        <w:gridCol w:w="1324"/>
        <w:gridCol w:w="1325"/>
        <w:gridCol w:w="1324"/>
        <w:gridCol w:w="1324"/>
        <w:gridCol w:w="1324"/>
        <w:gridCol w:w="1325"/>
      </w:tblGrid>
      <w:tr w:rsidR="00D96B91">
        <w:trPr>
          <w:trHeight w:hRule="exact" w:val="407"/>
        </w:trPr>
        <w:tc>
          <w:tcPr>
            <w:tcW w:w="1455"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2649"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Actual</w:t>
            </w:r>
          </w:p>
        </w:tc>
        <w:tc>
          <w:tcPr>
            <w:tcW w:w="5297" w:type="dxa"/>
            <w:gridSpan w:val="4"/>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r>
      <w:tr w:rsidR="00D96B91">
        <w:trPr>
          <w:trHeight w:hRule="exact" w:val="407"/>
        </w:trPr>
        <w:tc>
          <w:tcPr>
            <w:tcW w:w="1455" w:type="dxa"/>
            <w:vMerge/>
            <w:tcBorders>
              <w:left w:val="single" w:sz="4" w:space="0" w:color="1A9EDA"/>
              <w:bottom w:val="single" w:sz="4" w:space="0" w:color="1A9EDA"/>
              <w:right w:val="single" w:sz="4" w:space="0" w:color="1A9EDA"/>
            </w:tcBorders>
            <w:shd w:val="clear" w:color="auto" w:fill="0778BE"/>
          </w:tcPr>
          <w:p w:rsidR="00D96B91" w:rsidRDefault="00D96B91"/>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3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5"/>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145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23.03</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23.76</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24.87</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24.87</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24.86</w:t>
            </w:r>
          </w:p>
        </w:tc>
        <w:tc>
          <w:tcPr>
            <w:tcW w:w="13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24.86</w:t>
            </w:r>
          </w:p>
        </w:tc>
      </w:tr>
      <w:tr w:rsidR="00D96B91">
        <w:trPr>
          <w:trHeight w:hRule="exact" w:val="407"/>
        </w:trPr>
        <w:tc>
          <w:tcPr>
            <w:tcW w:w="145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8"/>
              <w:jc w:val="center"/>
              <w:rPr>
                <w:rFonts w:ascii="Avenir Next Condensed" w:eastAsia="Avenir Next Condensed" w:hAnsi="Avenir Next Condensed" w:cs="Avenir Next Condensed"/>
                <w:sz w:val="18"/>
                <w:szCs w:val="18"/>
              </w:rPr>
            </w:pPr>
            <w:r>
              <w:rPr>
                <w:rFonts w:ascii="Avenir Next Condensed"/>
                <w:sz w:val="18"/>
              </w:rPr>
              <w:t>17.40</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
              <w:jc w:val="center"/>
              <w:rPr>
                <w:rFonts w:ascii="Avenir Next Condensed" w:eastAsia="Avenir Next Condensed" w:hAnsi="Avenir Next Condensed" w:cs="Avenir Next Condensed"/>
                <w:sz w:val="18"/>
                <w:szCs w:val="18"/>
              </w:rPr>
            </w:pPr>
            <w:r>
              <w:rPr>
                <w:rFonts w:ascii="Avenir Next Condensed"/>
                <w:sz w:val="18"/>
              </w:rPr>
              <w:t>18.17</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
              <w:jc w:val="center"/>
              <w:rPr>
                <w:rFonts w:ascii="Avenir Next Condensed" w:eastAsia="Avenir Next Condensed" w:hAnsi="Avenir Next Condensed" w:cs="Avenir Next Condensed"/>
                <w:sz w:val="18"/>
                <w:szCs w:val="18"/>
              </w:rPr>
            </w:pPr>
            <w:r>
              <w:rPr>
                <w:rFonts w:ascii="Avenir Next Condensed"/>
                <w:sz w:val="18"/>
              </w:rPr>
              <w:t>17.69</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
              <w:jc w:val="center"/>
              <w:rPr>
                <w:rFonts w:ascii="Avenir Next Condensed" w:eastAsia="Avenir Next Condensed" w:hAnsi="Avenir Next Condensed" w:cs="Avenir Next Condensed"/>
                <w:sz w:val="18"/>
                <w:szCs w:val="18"/>
              </w:rPr>
            </w:pPr>
            <w:r>
              <w:rPr>
                <w:rFonts w:ascii="Avenir Next Condensed"/>
                <w:sz w:val="18"/>
              </w:rPr>
              <w:t>17.69</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
              <w:jc w:val="center"/>
              <w:rPr>
                <w:rFonts w:ascii="Avenir Next Condensed" w:eastAsia="Avenir Next Condensed" w:hAnsi="Avenir Next Condensed" w:cs="Avenir Next Condensed"/>
                <w:sz w:val="18"/>
                <w:szCs w:val="18"/>
              </w:rPr>
            </w:pPr>
            <w:r>
              <w:rPr>
                <w:rFonts w:ascii="Avenir Next Condensed"/>
                <w:sz w:val="18"/>
              </w:rPr>
              <w:t>17.68</w:t>
            </w:r>
          </w:p>
        </w:tc>
        <w:tc>
          <w:tcPr>
            <w:tcW w:w="132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7"/>
              <w:jc w:val="center"/>
              <w:rPr>
                <w:rFonts w:ascii="Avenir Next Condensed" w:eastAsia="Avenir Next Condensed" w:hAnsi="Avenir Next Condensed" w:cs="Avenir Next Condensed"/>
                <w:sz w:val="18"/>
                <w:szCs w:val="18"/>
              </w:rPr>
            </w:pPr>
            <w:r>
              <w:rPr>
                <w:rFonts w:ascii="Avenir Next Condensed"/>
                <w:sz w:val="18"/>
              </w:rPr>
              <w:t>17.68</w:t>
            </w:r>
          </w:p>
        </w:tc>
      </w:tr>
      <w:tr w:rsidR="00D96B91">
        <w:trPr>
          <w:trHeight w:hRule="exact" w:val="407"/>
        </w:trPr>
        <w:tc>
          <w:tcPr>
            <w:tcW w:w="145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pacing w:val="-2"/>
                <w:sz w:val="18"/>
              </w:rPr>
              <w:t>Total</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
              <w:jc w:val="center"/>
              <w:rPr>
                <w:rFonts w:ascii="Avenir Next Condensed" w:eastAsia="Avenir Next Condensed" w:hAnsi="Avenir Next Condensed" w:cs="Avenir Next Condensed"/>
                <w:sz w:val="18"/>
                <w:szCs w:val="18"/>
              </w:rPr>
            </w:pPr>
            <w:r>
              <w:rPr>
                <w:rFonts w:ascii="Avenir Next Condensed"/>
                <w:b/>
                <w:sz w:val="18"/>
              </w:rPr>
              <w:t>40.43</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
              <w:jc w:val="center"/>
              <w:rPr>
                <w:rFonts w:ascii="Avenir Next Condensed" w:eastAsia="Avenir Next Condensed" w:hAnsi="Avenir Next Condensed" w:cs="Avenir Next Condensed"/>
                <w:sz w:val="18"/>
                <w:szCs w:val="18"/>
              </w:rPr>
            </w:pPr>
            <w:r>
              <w:rPr>
                <w:rFonts w:ascii="Avenir Next Condensed"/>
                <w:b/>
                <w:sz w:val="18"/>
              </w:rPr>
              <w:t>41.93</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
              <w:jc w:val="center"/>
              <w:rPr>
                <w:rFonts w:ascii="Avenir Next Condensed" w:eastAsia="Avenir Next Condensed" w:hAnsi="Avenir Next Condensed" w:cs="Avenir Next Condensed"/>
                <w:sz w:val="18"/>
                <w:szCs w:val="18"/>
              </w:rPr>
            </w:pPr>
            <w:r>
              <w:rPr>
                <w:rFonts w:ascii="Avenir Next Condensed"/>
                <w:b/>
                <w:sz w:val="18"/>
              </w:rPr>
              <w:t>42.56</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
              <w:jc w:val="center"/>
              <w:rPr>
                <w:rFonts w:ascii="Avenir Next Condensed" w:eastAsia="Avenir Next Condensed" w:hAnsi="Avenir Next Condensed" w:cs="Avenir Next Condensed"/>
                <w:sz w:val="18"/>
                <w:szCs w:val="18"/>
              </w:rPr>
            </w:pPr>
            <w:r>
              <w:rPr>
                <w:rFonts w:ascii="Avenir Next Condensed"/>
                <w:b/>
                <w:sz w:val="18"/>
              </w:rPr>
              <w:t>42.55</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
              <w:jc w:val="center"/>
              <w:rPr>
                <w:rFonts w:ascii="Avenir Next Condensed" w:eastAsia="Avenir Next Condensed" w:hAnsi="Avenir Next Condensed" w:cs="Avenir Next Condensed"/>
                <w:sz w:val="18"/>
                <w:szCs w:val="18"/>
              </w:rPr>
            </w:pPr>
            <w:r>
              <w:rPr>
                <w:rFonts w:ascii="Avenir Next Condensed"/>
                <w:b/>
                <w:sz w:val="18"/>
              </w:rPr>
              <w:t>42.55</w:t>
            </w:r>
          </w:p>
        </w:tc>
        <w:tc>
          <w:tcPr>
            <w:tcW w:w="132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9"/>
              <w:jc w:val="center"/>
              <w:rPr>
                <w:rFonts w:ascii="Avenir Next Condensed" w:eastAsia="Avenir Next Condensed" w:hAnsi="Avenir Next Condensed" w:cs="Avenir Next Condensed"/>
                <w:sz w:val="18"/>
                <w:szCs w:val="18"/>
              </w:rPr>
            </w:pPr>
            <w:r>
              <w:rPr>
                <w:rFonts w:ascii="Avenir Next Condensed"/>
                <w:b/>
                <w:sz w:val="18"/>
              </w:rPr>
              <w:t>42.54</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pacing w:val="-3"/>
          <w:sz w:val="16"/>
        </w:rPr>
        <w:t xml:space="preserve"> ACTEW,</w:t>
      </w:r>
      <w:r>
        <w:rPr>
          <w:rFonts w:ascii="Avenir Next"/>
          <w:spacing w:val="-5"/>
          <w:sz w:val="16"/>
        </w:rPr>
        <w:t xml:space="preserve"> </w:t>
      </w:r>
      <w:r>
        <w:rPr>
          <w:rFonts w:ascii="Avenir Next"/>
          <w:spacing w:val="-1"/>
          <w:sz w:val="16"/>
        </w:rPr>
        <w:t>Information</w:t>
      </w:r>
      <w:r>
        <w:rPr>
          <w:rFonts w:ascii="Avenir Next"/>
          <w:sz w:val="16"/>
        </w:rPr>
        <w:t xml:space="preserve"> </w:t>
      </w:r>
      <w:r>
        <w:rPr>
          <w:rFonts w:ascii="Avenir Next"/>
          <w:spacing w:val="-1"/>
          <w:sz w:val="16"/>
        </w:rPr>
        <w:t>return:</w:t>
      </w:r>
      <w:r>
        <w:rPr>
          <w:rFonts w:ascii="Avenir Next"/>
          <w:sz w:val="16"/>
        </w:rPr>
        <w:t xml:space="preserve"> demand </w:t>
      </w:r>
      <w:r>
        <w:rPr>
          <w:rFonts w:ascii="Avenir Next"/>
          <w:spacing w:val="-1"/>
          <w:sz w:val="16"/>
        </w:rPr>
        <w:t>forecasts,</w:t>
      </w:r>
      <w:r>
        <w:rPr>
          <w:rFonts w:ascii="Avenir Next"/>
          <w:spacing w:val="-5"/>
          <w:sz w:val="16"/>
        </w:rPr>
        <w:t xml:space="preserve"> </w:t>
      </w:r>
      <w:r>
        <w:rPr>
          <w:rFonts w:ascii="Avenir Next"/>
          <w:sz w:val="16"/>
        </w:rPr>
        <w:t>5</w:t>
      </w:r>
      <w:r>
        <w:rPr>
          <w:rFonts w:ascii="Avenir Next"/>
          <w:spacing w:val="-3"/>
          <w:sz w:val="16"/>
        </w:rPr>
        <w:t xml:space="preserve"> </w:t>
      </w:r>
      <w:r>
        <w:rPr>
          <w:rFonts w:ascii="Avenir Next"/>
          <w:sz w:val="16"/>
        </w:rPr>
        <w:t>August 2014.</w:t>
      </w:r>
    </w:p>
    <w:p w:rsidR="00D96B91" w:rsidRDefault="00D96B91">
      <w:pPr>
        <w:spacing w:before="7"/>
        <w:rPr>
          <w:rFonts w:ascii="Avenir Next" w:eastAsia="Avenir Next" w:hAnsi="Avenir Next" w:cs="Avenir Next"/>
          <w:sz w:val="23"/>
          <w:szCs w:val="2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71" style="width:72.5pt;height:.5pt;mso-position-horizontal-relative:char;mso-position-vertical-relative:line" coordsize="1450,10">
            <v:group id="_x0000_s1872" style="position:absolute;left:5;top:5;width:1440;height:2" coordorigin="5,5" coordsize="1440,2">
              <v:shape id="_x0000_s1873"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ind w:hanging="510"/>
        <w:rPr>
          <w:rFonts w:ascii="Avenir Next" w:eastAsia="Avenir Next" w:hAnsi="Avenir Next" w:cs="Avenir Next"/>
          <w:sz w:val="16"/>
          <w:szCs w:val="16"/>
        </w:rPr>
      </w:pP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106.</w:t>
      </w:r>
    </w:p>
    <w:p w:rsidR="00D96B91" w:rsidRDefault="00C2656B">
      <w:pPr>
        <w:numPr>
          <w:ilvl w:val="0"/>
          <w:numId w:val="55"/>
        </w:numPr>
        <w:tabs>
          <w:tab w:val="left" w:pos="1758"/>
        </w:tabs>
        <w:spacing w:before="128" w:line="192" w:lineRule="exact"/>
        <w:ind w:right="1300" w:hanging="510"/>
        <w:rPr>
          <w:rFonts w:ascii="Avenir Next" w:eastAsia="Avenir Next" w:hAnsi="Avenir Next" w:cs="Avenir Next"/>
          <w:sz w:val="16"/>
          <w:szCs w:val="16"/>
        </w:rPr>
      </w:pPr>
      <w:r>
        <w:rPr>
          <w:rFonts w:ascii="Avenir Next" w:eastAsia="Avenir Next" w:hAnsi="Avenir Next" w:cs="Avenir Next"/>
          <w:sz w:val="16"/>
          <w:szCs w:val="16"/>
        </w:rPr>
        <w:t>Actual</w:t>
      </w:r>
      <w:r>
        <w:rPr>
          <w:rFonts w:ascii="Avenir Next" w:eastAsia="Avenir Next" w:hAnsi="Avenir Next" w:cs="Avenir Next"/>
          <w:spacing w:val="-1"/>
          <w:sz w:val="16"/>
          <w:szCs w:val="16"/>
        </w:rPr>
        <w:t xml:space="preserve"> water</w:t>
      </w:r>
      <w:r>
        <w:rPr>
          <w:rFonts w:ascii="Avenir Next" w:eastAsia="Avenir Next" w:hAnsi="Avenir Next" w:cs="Avenir Next"/>
          <w:sz w:val="16"/>
          <w:szCs w:val="16"/>
        </w:rPr>
        <w:t xml:space="preserve"> sales </w:t>
      </w:r>
      <w:r>
        <w:rPr>
          <w:rFonts w:ascii="Avenir Next" w:eastAsia="Avenir Next" w:hAnsi="Avenir Next" w:cs="Avenir Next"/>
          <w:spacing w:val="-1"/>
          <w:sz w:val="16"/>
          <w:szCs w:val="16"/>
        </w:rPr>
        <w:t xml:space="preserve">data </w:t>
      </w:r>
      <w:r>
        <w:rPr>
          <w:rFonts w:ascii="Avenir Next" w:eastAsia="Avenir Next" w:hAnsi="Avenir Next" w:cs="Avenir Next"/>
          <w:sz w:val="16"/>
          <w:szCs w:val="16"/>
        </w:rPr>
        <w:t xml:space="preserve">subsequently </w:t>
      </w:r>
      <w:r>
        <w:rPr>
          <w:rFonts w:ascii="Avenir Next" w:eastAsia="Avenir Next" w:hAnsi="Avenir Next" w:cs="Avenir Next"/>
          <w:spacing w:val="-1"/>
          <w:sz w:val="16"/>
          <w:szCs w:val="16"/>
        </w:rPr>
        <w:t>provided</w:t>
      </w:r>
      <w:r>
        <w:rPr>
          <w:rFonts w:ascii="Avenir Next" w:eastAsia="Avenir Next" w:hAnsi="Avenir Next" w:cs="Avenir Next"/>
          <w:sz w:val="16"/>
          <w:szCs w:val="16"/>
        </w:rPr>
        <w:t xml:space="preserve"> by</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confirm the</w:t>
      </w:r>
      <w:r>
        <w:rPr>
          <w:rFonts w:ascii="Avenir Next" w:eastAsia="Avenir Next" w:hAnsi="Avenir Next" w:cs="Avenir Next"/>
          <w:spacing w:val="-1"/>
          <w:sz w:val="16"/>
          <w:szCs w:val="16"/>
        </w:rPr>
        <w:t xml:space="preserv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forecasts</w:t>
      </w:r>
      <w:r>
        <w:rPr>
          <w:rFonts w:ascii="Avenir Next" w:eastAsia="Avenir Next" w:hAnsi="Avenir Next" w:cs="Avenir Next"/>
          <w:sz w:val="16"/>
          <w:szCs w:val="16"/>
        </w:rPr>
        <w:t xml:space="preserve"> to</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be </w:t>
      </w:r>
      <w:r>
        <w:rPr>
          <w:rFonts w:ascii="Avenir Next" w:eastAsia="Avenir Next" w:hAnsi="Avenir Next" w:cs="Avenir Next"/>
          <w:spacing w:val="-1"/>
          <w:sz w:val="16"/>
          <w:szCs w:val="16"/>
        </w:rPr>
        <w:t>conservative.</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For</w:t>
      </w:r>
      <w:r>
        <w:rPr>
          <w:rFonts w:ascii="Avenir Next" w:eastAsia="Avenir Next" w:hAnsi="Avenir Next" w:cs="Avenir Next"/>
          <w:spacing w:val="-1"/>
          <w:sz w:val="16"/>
          <w:szCs w:val="16"/>
        </w:rPr>
        <w:t xml:space="preserve"> example,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in</w:t>
      </w:r>
      <w:r>
        <w:rPr>
          <w:rFonts w:ascii="Avenir Next" w:eastAsia="Avenir Next" w:hAnsi="Avenir Next" w:cs="Avenir Next"/>
          <w:spacing w:val="81"/>
          <w:sz w:val="16"/>
          <w:szCs w:val="16"/>
        </w:rPr>
        <w:t xml:space="preserve"> </w:t>
      </w:r>
      <w:r>
        <w:rPr>
          <w:rFonts w:ascii="Avenir Next" w:eastAsia="Avenir Next" w:hAnsi="Avenir Next" w:cs="Avenir Next"/>
          <w:sz w:val="16"/>
          <w:szCs w:val="16"/>
        </w:rPr>
        <w:t>2013-14,</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actual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sales </w:t>
      </w:r>
      <w:r>
        <w:rPr>
          <w:rFonts w:ascii="Avenir Next" w:eastAsia="Avenir Next" w:hAnsi="Avenir Next" w:cs="Avenir Next"/>
          <w:spacing w:val="-1"/>
          <w:sz w:val="16"/>
          <w:szCs w:val="16"/>
        </w:rPr>
        <w:t>were</w:t>
      </w:r>
      <w:r>
        <w:rPr>
          <w:rFonts w:ascii="Avenir Next" w:eastAsia="Avenir Next" w:hAnsi="Avenir Next" w:cs="Avenir Next"/>
          <w:sz w:val="16"/>
          <w:szCs w:val="16"/>
        </w:rPr>
        <w:t xml:space="preserve"> close to 42 GL</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(see</w:t>
      </w:r>
      <w:r>
        <w:rPr>
          <w:rFonts w:ascii="Avenir Next" w:eastAsia="Avenir Next" w:hAnsi="Avenir Next" w:cs="Avenir Next"/>
          <w:spacing w:val="-4"/>
          <w:sz w:val="16"/>
          <w:szCs w:val="16"/>
        </w:rPr>
        <w:t xml:space="preserve"> Table</w:t>
      </w:r>
      <w:r>
        <w:rPr>
          <w:rFonts w:ascii="Avenir Next" w:eastAsia="Avenir Next" w:hAnsi="Avenir Next" w:cs="Avenir Next"/>
          <w:sz w:val="16"/>
          <w:szCs w:val="16"/>
        </w:rPr>
        <w:t xml:space="preserve"> 12.2).</w:t>
      </w:r>
    </w:p>
    <w:p w:rsidR="00D96B91" w:rsidRDefault="00C2656B">
      <w:pPr>
        <w:numPr>
          <w:ilvl w:val="0"/>
          <w:numId w:val="55"/>
        </w:numPr>
        <w:tabs>
          <w:tab w:val="left" w:pos="1758"/>
        </w:tabs>
        <w:spacing w:before="14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31.</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54"/>
        </w:numPr>
        <w:tabs>
          <w:tab w:val="left" w:pos="2098"/>
        </w:tabs>
        <w:spacing w:before="9"/>
        <w:ind w:hanging="850"/>
      </w:pPr>
      <w:r>
        <w:rPr>
          <w:color w:val="0778BE"/>
          <w:spacing w:val="-3"/>
        </w:rPr>
        <w:t>Cardno’s</w:t>
      </w:r>
      <w:r>
        <w:rPr>
          <w:color w:val="0778BE"/>
        </w:rPr>
        <w:t xml:space="preserve"> advice</w:t>
      </w:r>
    </w:p>
    <w:p w:rsidR="00D96B91" w:rsidRDefault="00C2656B">
      <w:pPr>
        <w:pStyle w:val="BodyText"/>
        <w:spacing w:before="29"/>
        <w:rPr>
          <w:rFonts w:cs="Avenir Next"/>
        </w:rPr>
      </w:pPr>
      <w:r>
        <w:rPr>
          <w:spacing w:val="-10"/>
        </w:rPr>
        <w:t>To</w:t>
      </w:r>
      <w:r>
        <w:t xml:space="preserve"> assist it in making its decision on </w:t>
      </w:r>
      <w:r>
        <w:rPr>
          <w:spacing w:val="-1"/>
        </w:rPr>
        <w:t>water</w:t>
      </w:r>
      <w:r>
        <w:t xml:space="preserve"> sales </w:t>
      </w:r>
      <w:r>
        <w:rPr>
          <w:spacing w:val="-1"/>
        </w:rPr>
        <w:t>forecasts,</w:t>
      </w:r>
      <w:r>
        <w:rPr>
          <w:spacing w:val="-6"/>
        </w:rPr>
        <w:t xml:space="preserve"> </w:t>
      </w:r>
      <w:r>
        <w:t xml:space="preserve">the </w:t>
      </w:r>
      <w:r>
        <w:rPr>
          <w:spacing w:val="-3"/>
        </w:rPr>
        <w:t>Panel</w:t>
      </w:r>
      <w:r>
        <w:t xml:space="preserve"> </w:t>
      </w:r>
      <w:r>
        <w:rPr>
          <w:spacing w:val="-1"/>
        </w:rPr>
        <w:t>asked</w:t>
      </w:r>
      <w:r>
        <w:t xml:space="preserve"> </w:t>
      </w:r>
      <w:r>
        <w:rPr>
          <w:spacing w:val="-2"/>
        </w:rPr>
        <w:t>Cardno</w:t>
      </w:r>
      <w:r>
        <w:t xml:space="preserve"> to:</w:t>
      </w:r>
    </w:p>
    <w:p w:rsidR="00D96B91" w:rsidRDefault="00C2656B">
      <w:pPr>
        <w:pStyle w:val="BodyText"/>
        <w:numPr>
          <w:ilvl w:val="0"/>
          <w:numId w:val="131"/>
        </w:numPr>
        <w:tabs>
          <w:tab w:val="left" w:pos="1531"/>
        </w:tabs>
        <w:spacing w:before="149" w:line="260" w:lineRule="exact"/>
        <w:ind w:right="1597" w:hanging="283"/>
        <w:rPr>
          <w:rFonts w:cs="Avenir Next"/>
        </w:rPr>
      </w:pPr>
      <w:r>
        <w:rPr>
          <w:rFonts w:cs="Avenir Next"/>
          <w:spacing w:val="-1"/>
        </w:rPr>
        <w:t>review</w:t>
      </w:r>
      <w:r>
        <w:rPr>
          <w:rFonts w:cs="Avenir Next"/>
          <w:spacing w:val="-4"/>
        </w:rPr>
        <w:t xml:space="preserve"> </w:t>
      </w:r>
      <w:r>
        <w:rPr>
          <w:rFonts w:cs="Avenir Next"/>
          <w:spacing w:val="-2"/>
        </w:rPr>
        <w:t>ACTEW’s</w:t>
      </w:r>
      <w:r>
        <w:rPr>
          <w:rFonts w:cs="Avenir Next"/>
        </w:rPr>
        <w:t xml:space="preserve"> </w:t>
      </w:r>
      <w:r>
        <w:rPr>
          <w:rFonts w:cs="Avenir Next"/>
          <w:spacing w:val="-1"/>
        </w:rPr>
        <w:t>proposed</w:t>
      </w:r>
      <w:r>
        <w:rPr>
          <w:rFonts w:cs="Avenir Next"/>
        </w:rPr>
        <w:t xml:space="preserve"> methodology for </w:t>
      </w:r>
      <w:r>
        <w:rPr>
          <w:rFonts w:cs="Avenir Next"/>
          <w:spacing w:val="-1"/>
        </w:rPr>
        <w:t>forecasting</w:t>
      </w:r>
      <w:r>
        <w:rPr>
          <w:rFonts w:cs="Avenir Next"/>
        </w:rPr>
        <w:t xml:space="preserve"> </w:t>
      </w:r>
      <w:r>
        <w:rPr>
          <w:rFonts w:cs="Avenir Next"/>
          <w:spacing w:val="-1"/>
        </w:rPr>
        <w:t>water</w:t>
      </w:r>
      <w:r>
        <w:rPr>
          <w:rFonts w:cs="Avenir Next"/>
        </w:rPr>
        <w:t xml:space="preserve"> sales,</w:t>
      </w:r>
      <w:r>
        <w:rPr>
          <w:rFonts w:cs="Avenir Next"/>
          <w:spacing w:val="-7"/>
        </w:rPr>
        <w:t xml:space="preserve"> </w:t>
      </w:r>
      <w:r>
        <w:rPr>
          <w:rFonts w:cs="Avenir Next"/>
        </w:rPr>
        <w:t xml:space="preserve">and </w:t>
      </w:r>
      <w:r>
        <w:rPr>
          <w:rFonts w:cs="Avenir Next"/>
          <w:spacing w:val="-1"/>
        </w:rPr>
        <w:t>provide</w:t>
      </w:r>
      <w:r>
        <w:rPr>
          <w:rFonts w:cs="Avenir Next"/>
        </w:rPr>
        <w:t xml:space="preserve"> advice as to</w:t>
      </w:r>
      <w:r>
        <w:rPr>
          <w:rFonts w:cs="Avenir Next"/>
          <w:spacing w:val="41"/>
        </w:rPr>
        <w:t xml:space="preserve"> </w:t>
      </w:r>
      <w:r>
        <w:rPr>
          <w:rFonts w:cs="Avenir Next"/>
        </w:rPr>
        <w:t xml:space="preserve">whether this methodology and the </w:t>
      </w:r>
      <w:r>
        <w:rPr>
          <w:rFonts w:cs="Avenir Next"/>
          <w:spacing w:val="-1"/>
        </w:rPr>
        <w:t>resulting</w:t>
      </w:r>
      <w:r>
        <w:rPr>
          <w:rFonts w:cs="Avenir Next"/>
        </w:rPr>
        <w:t xml:space="preserve"> demand </w:t>
      </w:r>
      <w:r>
        <w:rPr>
          <w:rFonts w:cs="Avenir Next"/>
          <w:spacing w:val="-1"/>
        </w:rPr>
        <w:t>forecasts</w:t>
      </w:r>
      <w:r>
        <w:rPr>
          <w:rFonts w:cs="Avenir Next"/>
        </w:rPr>
        <w:t xml:space="preserve"> </w:t>
      </w:r>
      <w:r>
        <w:rPr>
          <w:rFonts w:cs="Avenir Next"/>
          <w:spacing w:val="-2"/>
        </w:rPr>
        <w:t>are</w:t>
      </w:r>
      <w:r>
        <w:rPr>
          <w:rFonts w:cs="Avenir Next"/>
        </w:rPr>
        <w:t xml:space="preserve"> </w:t>
      </w:r>
      <w:r>
        <w:rPr>
          <w:rFonts w:cs="Avenir Next"/>
          <w:spacing w:val="-1"/>
        </w:rPr>
        <w:t>reasonable</w:t>
      </w:r>
      <w:r>
        <w:rPr>
          <w:rFonts w:cs="Avenir Next"/>
        </w:rPr>
        <w:t xml:space="preserve"> for the purpose of</w:t>
      </w:r>
      <w:r>
        <w:rPr>
          <w:rFonts w:cs="Avenir Next"/>
          <w:spacing w:val="33"/>
        </w:rPr>
        <w:t xml:space="preserve"> </w:t>
      </w:r>
      <w:r>
        <w:rPr>
          <w:rFonts w:cs="Avenir Next"/>
          <w:spacing w:val="-1"/>
        </w:rPr>
        <w:t>setting</w:t>
      </w:r>
      <w:r>
        <w:rPr>
          <w:rFonts w:cs="Avenir Next"/>
        </w:rPr>
        <w:t xml:space="preserve"> prices,</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93"/>
        <w:ind w:hanging="283"/>
      </w:pPr>
      <w:r>
        <w:rPr>
          <w:spacing w:val="-1"/>
        </w:rPr>
        <w:t>provide</w:t>
      </w:r>
      <w:r>
        <w:t xml:space="preserve"> </w:t>
      </w:r>
      <w:r>
        <w:rPr>
          <w:spacing w:val="-1"/>
        </w:rPr>
        <w:t>alternative</w:t>
      </w:r>
      <w:r>
        <w:t xml:space="preserve"> </w:t>
      </w:r>
      <w:r>
        <w:rPr>
          <w:spacing w:val="-1"/>
        </w:rPr>
        <w:t>forecasts</w:t>
      </w:r>
      <w:r>
        <w:t xml:space="preserve"> if</w:t>
      </w:r>
      <w:r>
        <w:rPr>
          <w:spacing w:val="4"/>
        </w:rPr>
        <w:t xml:space="preserve"> </w:t>
      </w:r>
      <w:r>
        <w:t xml:space="preserve">it concludes </w:t>
      </w:r>
      <w:r>
        <w:rPr>
          <w:spacing w:val="-1"/>
        </w:rPr>
        <w:t>that</w:t>
      </w:r>
      <w:r>
        <w:rPr>
          <w:spacing w:val="-4"/>
        </w:rPr>
        <w:t xml:space="preserve"> </w:t>
      </w:r>
      <w:r>
        <w:rPr>
          <w:spacing w:val="-2"/>
        </w:rPr>
        <w:t>ACTEW’s</w:t>
      </w:r>
      <w:r>
        <w:t xml:space="preserve"> </w:t>
      </w:r>
      <w:r>
        <w:rPr>
          <w:spacing w:val="-1"/>
        </w:rPr>
        <w:t>forecasts</w:t>
      </w:r>
      <w:r>
        <w:t xml:space="preserve"> </w:t>
      </w:r>
      <w:r>
        <w:rPr>
          <w:spacing w:val="-2"/>
        </w:rPr>
        <w:t>are</w:t>
      </w:r>
      <w:r>
        <w:t xml:space="preserve"> not </w:t>
      </w:r>
      <w:r>
        <w:rPr>
          <w:spacing w:val="-1"/>
        </w:rPr>
        <w:t>reasonable.</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548"/>
      </w:pPr>
      <w:r>
        <w:rPr>
          <w:spacing w:val="-3"/>
        </w:rPr>
        <w:t>Cardno’s</w:t>
      </w:r>
      <w:r>
        <w:t xml:space="preserve"> detailed analysis is contained in its </w:t>
      </w:r>
      <w:r>
        <w:rPr>
          <w:spacing w:val="-1"/>
        </w:rPr>
        <w:t>report,</w:t>
      </w:r>
      <w:r>
        <w:rPr>
          <w:spacing w:val="-6"/>
        </w:rPr>
        <w:t xml:space="preserve"> </w:t>
      </w:r>
      <w:r>
        <w:t xml:space="preserve">which is available on the </w:t>
      </w:r>
      <w:r>
        <w:rPr>
          <w:spacing w:val="-4"/>
        </w:rPr>
        <w:t>Panel’s</w:t>
      </w:r>
      <w:r>
        <w:t xml:space="preserve"> website.</w:t>
      </w:r>
      <w:r>
        <w:rPr>
          <w:spacing w:val="-11"/>
        </w:rPr>
        <w:t xml:space="preserve"> </w:t>
      </w:r>
      <w:r>
        <w:rPr>
          <w:spacing w:val="-2"/>
        </w:rPr>
        <w:t>The</w:t>
      </w:r>
      <w:r>
        <w:rPr>
          <w:spacing w:val="27"/>
        </w:rPr>
        <w:t xml:space="preserve"> </w:t>
      </w:r>
      <w:r>
        <w:t>section</w:t>
      </w:r>
      <w:r>
        <w:rPr>
          <w:spacing w:val="-2"/>
        </w:rPr>
        <w:t xml:space="preserve"> </w:t>
      </w:r>
      <w:r>
        <w:t>below</w:t>
      </w:r>
      <w:r>
        <w:rPr>
          <w:spacing w:val="-1"/>
        </w:rPr>
        <w:t xml:space="preserve"> </w:t>
      </w:r>
      <w:r>
        <w:t>summarises</w:t>
      </w:r>
      <w:r>
        <w:rPr>
          <w:spacing w:val="-1"/>
        </w:rPr>
        <w:t xml:space="preserve"> </w:t>
      </w:r>
      <w:r>
        <w:t>its</w:t>
      </w:r>
      <w:r>
        <w:rPr>
          <w:spacing w:val="-1"/>
        </w:rPr>
        <w:t xml:space="preserve"> </w:t>
      </w:r>
      <w:r>
        <w:rPr>
          <w:spacing w:val="-2"/>
        </w:rPr>
        <w:t>key</w:t>
      </w:r>
      <w:r>
        <w:rPr>
          <w:spacing w:val="-1"/>
        </w:rPr>
        <w:t xml:space="preserve"> </w:t>
      </w:r>
      <w:r>
        <w:t>findings</w:t>
      </w:r>
      <w:r>
        <w:rPr>
          <w:spacing w:val="-1"/>
        </w:rPr>
        <w:t xml:space="preserve"> </w:t>
      </w:r>
      <w:r>
        <w:t>and</w:t>
      </w:r>
      <w:r>
        <w:rPr>
          <w:spacing w:val="-1"/>
        </w:rPr>
        <w:t xml:space="preserve"> </w:t>
      </w:r>
      <w:r>
        <w:t>advice.</w:t>
      </w:r>
    </w:p>
    <w:p w:rsidR="00D96B91" w:rsidRDefault="00D96B91">
      <w:pPr>
        <w:spacing w:before="2"/>
        <w:rPr>
          <w:rFonts w:ascii="Avenir Next" w:eastAsia="Avenir Next" w:hAnsi="Avenir Next" w:cs="Avenir Next"/>
          <w:sz w:val="20"/>
          <w:szCs w:val="20"/>
        </w:rPr>
      </w:pPr>
    </w:p>
    <w:p w:rsidR="00D96B91" w:rsidRDefault="00C2656B">
      <w:pPr>
        <w:pStyle w:val="Heading7"/>
        <w:ind w:left="1247" w:firstLine="0"/>
        <w:rPr>
          <w:rFonts w:cs="Avenir Next"/>
          <w:b w:val="0"/>
          <w:bCs w:val="0"/>
        </w:rPr>
      </w:pPr>
      <w:r>
        <w:rPr>
          <w:color w:val="0778BE"/>
        </w:rPr>
        <w:t xml:space="preserve">12.2.3.1 </w:t>
      </w:r>
      <w:r>
        <w:rPr>
          <w:color w:val="0778BE"/>
          <w:spacing w:val="11"/>
        </w:rPr>
        <w:t xml:space="preserve"> </w:t>
      </w:r>
      <w:r>
        <w:rPr>
          <w:rFonts w:cs="Avenir Next"/>
          <w:color w:val="0778BE"/>
          <w:spacing w:val="-3"/>
        </w:rPr>
        <w:t>Cardno’s</w:t>
      </w:r>
      <w:r>
        <w:rPr>
          <w:rFonts w:cs="Avenir Next"/>
          <w:color w:val="0778BE"/>
        </w:rPr>
        <w:t xml:space="preserve"> findings on</w:t>
      </w:r>
      <w:r>
        <w:rPr>
          <w:rFonts w:cs="Avenir Next"/>
          <w:color w:val="0778BE"/>
          <w:spacing w:val="-4"/>
        </w:rPr>
        <w:t xml:space="preserve"> </w:t>
      </w:r>
      <w:r>
        <w:rPr>
          <w:rFonts w:cs="Avenir Next"/>
          <w:color w:val="0778BE"/>
          <w:spacing w:val="-2"/>
        </w:rPr>
        <w:t>ACTEW’s</w:t>
      </w:r>
      <w:r>
        <w:rPr>
          <w:rFonts w:cs="Avenir Next"/>
          <w:color w:val="0778BE"/>
        </w:rPr>
        <w:t xml:space="preserve"> </w:t>
      </w:r>
      <w:r>
        <w:rPr>
          <w:rFonts w:cs="Avenir Next"/>
          <w:color w:val="0778BE"/>
          <w:spacing w:val="-1"/>
        </w:rPr>
        <w:t>proposed</w:t>
      </w:r>
      <w:r>
        <w:rPr>
          <w:rFonts w:cs="Avenir Next"/>
          <w:color w:val="0778BE"/>
        </w:rPr>
        <w:t xml:space="preserve"> methodology</w:t>
      </w:r>
    </w:p>
    <w:p w:rsidR="00D96B91" w:rsidRDefault="00C2656B">
      <w:pPr>
        <w:pStyle w:val="BodyText"/>
        <w:spacing w:before="28" w:line="260" w:lineRule="exact"/>
        <w:ind w:right="1548"/>
      </w:pPr>
      <w:r>
        <w:rPr>
          <w:spacing w:val="-2"/>
        </w:rPr>
        <w:t>Cardno</w:t>
      </w:r>
      <w:r>
        <w:t xml:space="preserve"> noted </w:t>
      </w:r>
      <w:r>
        <w:rPr>
          <w:spacing w:val="-1"/>
        </w:rPr>
        <w:t>that</w:t>
      </w:r>
      <w:r>
        <w:t xml:space="preserve"> the </w:t>
      </w:r>
      <w:r>
        <w:rPr>
          <w:spacing w:val="-2"/>
        </w:rPr>
        <w:t>Breusch-Ward</w:t>
      </w:r>
      <w:r>
        <w:t xml:space="preserve"> model </w:t>
      </w:r>
      <w:r>
        <w:rPr>
          <w:spacing w:val="-1"/>
        </w:rPr>
        <w:t>proposed</w:t>
      </w:r>
      <w:r>
        <w:t xml:space="preserve"> by</w:t>
      </w:r>
      <w:r>
        <w:rPr>
          <w:spacing w:val="-4"/>
        </w:rPr>
        <w:t xml:space="preserve"> </w:t>
      </w:r>
      <w:r>
        <w:rPr>
          <w:spacing w:val="-2"/>
        </w:rPr>
        <w:t>ACTEW</w:t>
      </w:r>
      <w:r>
        <w:rPr>
          <w:spacing w:val="-3"/>
        </w:rPr>
        <w:t xml:space="preserve"> </w:t>
      </w:r>
      <w:r>
        <w:t>was not designed for the purpose</w:t>
      </w:r>
      <w:r>
        <w:rPr>
          <w:spacing w:val="39"/>
        </w:rPr>
        <w:t xml:space="preserve"> </w:t>
      </w:r>
      <w:r>
        <w:t>of</w:t>
      </w:r>
      <w:r>
        <w:rPr>
          <w:spacing w:val="4"/>
        </w:rPr>
        <w:t xml:space="preserve"> </w:t>
      </w:r>
      <w:r>
        <w:rPr>
          <w:spacing w:val="-1"/>
        </w:rPr>
        <w:t>predicting</w:t>
      </w:r>
      <w:r>
        <w:t xml:space="preserve"> demand over the medium term,</w:t>
      </w:r>
      <w:r>
        <w:rPr>
          <w:spacing w:val="-7"/>
        </w:rPr>
        <w:t xml:space="preserve"> </w:t>
      </w:r>
      <w:r>
        <w:t>and has a number of</w:t>
      </w:r>
      <w:r>
        <w:rPr>
          <w:spacing w:val="4"/>
        </w:rPr>
        <w:t xml:space="preserve"> </w:t>
      </w:r>
      <w:r>
        <w:rPr>
          <w:spacing w:val="-1"/>
        </w:rPr>
        <w:t>drawbacks</w:t>
      </w:r>
      <w:r>
        <w:t xml:space="preserve"> when used for this</w:t>
      </w:r>
      <w:r>
        <w:rPr>
          <w:spacing w:val="21"/>
        </w:rPr>
        <w:t xml:space="preserve"> </w:t>
      </w:r>
      <w:r>
        <w:t>purpose.</w:t>
      </w:r>
      <w:r>
        <w:rPr>
          <w:spacing w:val="-11"/>
        </w:rPr>
        <w:t xml:space="preserve"> </w:t>
      </w:r>
      <w:r>
        <w:rPr>
          <w:spacing w:val="-1"/>
        </w:rPr>
        <w:t>These</w:t>
      </w:r>
      <w:r>
        <w:t xml:space="preserve"> include the following:</w:t>
      </w:r>
    </w:p>
    <w:p w:rsidR="00D96B91" w:rsidRDefault="00C2656B">
      <w:pPr>
        <w:pStyle w:val="BodyText"/>
        <w:numPr>
          <w:ilvl w:val="0"/>
          <w:numId w:val="131"/>
        </w:numPr>
        <w:tabs>
          <w:tab w:val="left" w:pos="1531"/>
        </w:tabs>
        <w:spacing w:before="170" w:line="260" w:lineRule="exact"/>
        <w:ind w:right="2138" w:hanging="283"/>
      </w:pPr>
      <w:r>
        <w:rPr>
          <w:spacing w:val="-2"/>
        </w:rPr>
        <w:t>The</w:t>
      </w:r>
      <w:r>
        <w:t xml:space="preserve"> model does not </w:t>
      </w:r>
      <w:r>
        <w:rPr>
          <w:spacing w:val="-1"/>
        </w:rPr>
        <w:t>take</w:t>
      </w:r>
      <w:r>
        <w:t xml:space="preserve"> account of</w:t>
      </w:r>
      <w:r>
        <w:rPr>
          <w:spacing w:val="4"/>
        </w:rPr>
        <w:t xml:space="preserve"> </w:t>
      </w:r>
      <w:r>
        <w:rPr>
          <w:spacing w:val="-1"/>
        </w:rPr>
        <w:t>demographic</w:t>
      </w:r>
      <w:r>
        <w:t xml:space="preserve"> changes,</w:t>
      </w:r>
      <w:r>
        <w:rPr>
          <w:spacing w:val="-7"/>
        </w:rPr>
        <w:t xml:space="preserve"> </w:t>
      </w:r>
      <w:r>
        <w:t xml:space="preserve">and </w:t>
      </w:r>
      <w:r>
        <w:rPr>
          <w:spacing w:val="-1"/>
        </w:rPr>
        <w:t>population</w:t>
      </w:r>
      <w:r>
        <w:t xml:space="preserve"> is assumed to</w:t>
      </w:r>
      <w:r>
        <w:rPr>
          <w:spacing w:val="35"/>
        </w:rPr>
        <w:t xml:space="preserve"> </w:t>
      </w:r>
      <w:r>
        <w:t xml:space="preserve">be constant in the medium-term </w:t>
      </w:r>
      <w:r>
        <w:rPr>
          <w:spacing w:val="-1"/>
        </w:rPr>
        <w:t>forecast</w:t>
      </w:r>
      <w:r>
        <w:t xml:space="preserve"> derived by the model (or </w:t>
      </w:r>
      <w:r>
        <w:rPr>
          <w:spacing w:val="-1"/>
        </w:rPr>
        <w:t>explained</w:t>
      </w:r>
      <w:r>
        <w:t xml:space="preserve"> by the model</w:t>
      </w:r>
    </w:p>
    <w:p w:rsidR="00D96B91" w:rsidRDefault="00C2656B">
      <w:pPr>
        <w:pStyle w:val="BodyText"/>
        <w:spacing w:line="260" w:lineRule="exact"/>
        <w:ind w:left="1530" w:right="1548"/>
      </w:pPr>
      <w:r>
        <w:rPr>
          <w:spacing w:val="-1"/>
        </w:rPr>
        <w:t>autoregressive</w:t>
      </w:r>
      <w:r>
        <w:t xml:space="preserve"> </w:t>
      </w:r>
      <w:r>
        <w:rPr>
          <w:spacing w:val="-1"/>
        </w:rPr>
        <w:t>error</w:t>
      </w:r>
      <w:r>
        <w:t xml:space="preserve"> factor in the </w:t>
      </w:r>
      <w:r>
        <w:rPr>
          <w:spacing w:val="-1"/>
        </w:rPr>
        <w:t>short</w:t>
      </w:r>
      <w:r>
        <w:t xml:space="preserve"> term).</w:t>
      </w:r>
      <w:r>
        <w:rPr>
          <w:spacing w:val="-11"/>
        </w:rPr>
        <w:t xml:space="preserve"> </w:t>
      </w:r>
      <w:r>
        <w:rPr>
          <w:spacing w:val="-1"/>
        </w:rPr>
        <w:t>This</w:t>
      </w:r>
      <w:r>
        <w:t xml:space="preserve"> is notable,</w:t>
      </w:r>
      <w:r>
        <w:rPr>
          <w:spacing w:val="-6"/>
        </w:rPr>
        <w:t xml:space="preserve"> </w:t>
      </w:r>
      <w:r>
        <w:t xml:space="preserve">given </w:t>
      </w:r>
      <w:r>
        <w:rPr>
          <w:spacing w:val="-1"/>
        </w:rPr>
        <w:t>that</w:t>
      </w:r>
      <w:r>
        <w:t xml:space="preserve"> </w:t>
      </w:r>
      <w:r>
        <w:rPr>
          <w:spacing w:val="-1"/>
        </w:rPr>
        <w:t>population</w:t>
      </w:r>
      <w:r>
        <w:t xml:space="preserve"> is an obvious</w:t>
      </w:r>
      <w:r>
        <w:rPr>
          <w:spacing w:val="39"/>
        </w:rPr>
        <w:t xml:space="preserve"> </w:t>
      </w:r>
      <w:r>
        <w:t>driver of</w:t>
      </w:r>
      <w:r>
        <w:rPr>
          <w:spacing w:val="4"/>
        </w:rPr>
        <w:t xml:space="preserve"> </w:t>
      </w:r>
      <w:r>
        <w:rPr>
          <w:spacing w:val="-1"/>
        </w:rPr>
        <w:t>water</w:t>
      </w:r>
      <w:r>
        <w:t xml:space="preserve"> consumption,</w:t>
      </w:r>
      <w:r>
        <w:rPr>
          <w:spacing w:val="-6"/>
        </w:rPr>
        <w:t xml:space="preserve"> </w:t>
      </w:r>
      <w:r>
        <w:t xml:space="preserve">and </w:t>
      </w:r>
      <w:r>
        <w:rPr>
          <w:spacing w:val="-1"/>
        </w:rPr>
        <w:t>there</w:t>
      </w:r>
      <w:r>
        <w:t xml:space="preserve"> is </w:t>
      </w:r>
      <w:r>
        <w:rPr>
          <w:spacing w:val="-1"/>
        </w:rPr>
        <w:t>robust</w:t>
      </w:r>
      <w:r>
        <w:t xml:space="preserve"> </w:t>
      </w:r>
      <w:r>
        <w:rPr>
          <w:spacing w:val="-1"/>
        </w:rPr>
        <w:t>data</w:t>
      </w:r>
      <w:r>
        <w:t xml:space="preserve"> available on </w:t>
      </w:r>
      <w:r>
        <w:rPr>
          <w:spacing w:val="-1"/>
        </w:rPr>
        <w:t>expected</w:t>
      </w:r>
      <w:r>
        <w:t xml:space="preserve"> </w:t>
      </w:r>
      <w:r>
        <w:rPr>
          <w:spacing w:val="-1"/>
        </w:rPr>
        <w:t>population</w:t>
      </w:r>
      <w:r>
        <w:t xml:space="preserve"> </w:t>
      </w:r>
      <w:r>
        <w:rPr>
          <w:spacing w:val="-1"/>
        </w:rPr>
        <w:t>growth.</w:t>
      </w:r>
    </w:p>
    <w:p w:rsidR="00D96B91" w:rsidRDefault="00C2656B">
      <w:pPr>
        <w:pStyle w:val="BodyText"/>
        <w:numPr>
          <w:ilvl w:val="0"/>
          <w:numId w:val="131"/>
        </w:numPr>
        <w:tabs>
          <w:tab w:val="left" w:pos="1531"/>
        </w:tabs>
        <w:spacing w:before="85" w:line="260" w:lineRule="exact"/>
        <w:ind w:right="1718" w:hanging="283"/>
      </w:pPr>
      <w:r>
        <w:rPr>
          <w:spacing w:val="-1"/>
        </w:rPr>
        <w:t>Instead,</w:t>
      </w:r>
      <w:r>
        <w:rPr>
          <w:spacing w:val="-6"/>
        </w:rPr>
        <w:t xml:space="preserve"> </w:t>
      </w:r>
      <w:r>
        <w:t xml:space="preserve">the model </w:t>
      </w:r>
      <w:r>
        <w:rPr>
          <w:spacing w:val="-1"/>
        </w:rPr>
        <w:t>relies</w:t>
      </w:r>
      <w:r>
        <w:t xml:space="preserve"> on </w:t>
      </w:r>
      <w:r>
        <w:rPr>
          <w:spacing w:val="-1"/>
        </w:rPr>
        <w:t>weather</w:t>
      </w:r>
      <w:r>
        <w:t xml:space="preserve"> as its </w:t>
      </w:r>
      <w:r>
        <w:rPr>
          <w:spacing w:val="-2"/>
        </w:rPr>
        <w:t>key</w:t>
      </w:r>
      <w:r>
        <w:t xml:space="preserve"> </w:t>
      </w:r>
      <w:r>
        <w:rPr>
          <w:spacing w:val="-1"/>
        </w:rPr>
        <w:t>predictive</w:t>
      </w:r>
      <w:r>
        <w:t xml:space="preserve"> variable,</w:t>
      </w:r>
      <w:r>
        <w:rPr>
          <w:spacing w:val="-6"/>
        </w:rPr>
        <w:t xml:space="preserve"> </w:t>
      </w:r>
      <w:r>
        <w:t xml:space="preserve">even though </w:t>
      </w:r>
      <w:r>
        <w:rPr>
          <w:spacing w:val="-1"/>
        </w:rPr>
        <w:t>weather</w:t>
      </w:r>
      <w:r>
        <w:t xml:space="preserve"> is </w:t>
      </w:r>
      <w:r>
        <w:rPr>
          <w:spacing w:val="-1"/>
        </w:rPr>
        <w:t>more</w:t>
      </w:r>
      <w:r>
        <w:rPr>
          <w:spacing w:val="45"/>
        </w:rPr>
        <w:t xml:space="preserve"> </w:t>
      </w:r>
      <w:r>
        <w:rPr>
          <w:spacing w:val="-1"/>
        </w:rPr>
        <w:t xml:space="preserve">difficult </w:t>
      </w:r>
      <w:r>
        <w:t xml:space="preserve">to </w:t>
      </w:r>
      <w:r>
        <w:rPr>
          <w:spacing w:val="-1"/>
        </w:rPr>
        <w:t>predict</w:t>
      </w:r>
      <w:r>
        <w:t xml:space="preserve"> than</w:t>
      </w:r>
      <w:r>
        <w:rPr>
          <w:spacing w:val="-1"/>
        </w:rPr>
        <w:t xml:space="preserve"> population</w:t>
      </w:r>
      <w:r>
        <w:t xml:space="preserve"> </w:t>
      </w:r>
      <w:r>
        <w:rPr>
          <w:spacing w:val="-1"/>
        </w:rPr>
        <w:t>growth.</w:t>
      </w:r>
      <w:r>
        <w:rPr>
          <w:spacing w:val="-10"/>
        </w:rPr>
        <w:t xml:space="preserve"> </w:t>
      </w:r>
      <w:r>
        <w:t>As</w:t>
      </w:r>
      <w:r>
        <w:rPr>
          <w:spacing w:val="-1"/>
        </w:rPr>
        <w:t xml:space="preserve"> </w:t>
      </w:r>
      <w:r>
        <w:t xml:space="preserve">a </w:t>
      </w:r>
      <w:r>
        <w:rPr>
          <w:spacing w:val="-1"/>
        </w:rPr>
        <w:t>result,</w:t>
      </w:r>
      <w:r>
        <w:rPr>
          <w:spacing w:val="-6"/>
        </w:rPr>
        <w:t xml:space="preserve"> </w:t>
      </w:r>
      <w:r>
        <w:t xml:space="preserve">the </w:t>
      </w:r>
      <w:r>
        <w:rPr>
          <w:spacing w:val="-1"/>
        </w:rPr>
        <w:t xml:space="preserve">central </w:t>
      </w:r>
      <w:r>
        <w:t>scenario is based</w:t>
      </w:r>
      <w:r>
        <w:rPr>
          <w:spacing w:val="-1"/>
        </w:rPr>
        <w:t xml:space="preserve"> </w:t>
      </w:r>
      <w:r>
        <w:t>on historic</w:t>
      </w:r>
      <w:r>
        <w:rPr>
          <w:spacing w:val="53"/>
        </w:rPr>
        <w:t xml:space="preserve"> </w:t>
      </w:r>
      <w:r>
        <w:rPr>
          <w:spacing w:val="-1"/>
        </w:rPr>
        <w:t>weather</w:t>
      </w:r>
      <w:r>
        <w:t xml:space="preserve"> </w:t>
      </w:r>
      <w:r>
        <w:rPr>
          <w:spacing w:val="-1"/>
        </w:rPr>
        <w:t>averages</w:t>
      </w:r>
      <w:r>
        <w:t xml:space="preserve"> for all </w:t>
      </w:r>
      <w:r>
        <w:rPr>
          <w:spacing w:val="-1"/>
        </w:rPr>
        <w:t>years</w:t>
      </w:r>
      <w:r>
        <w:t xml:space="preserve"> in the price period,</w:t>
      </w:r>
      <w:r>
        <w:rPr>
          <w:spacing w:val="-6"/>
        </w:rPr>
        <w:t xml:space="preserve"> </w:t>
      </w:r>
      <w:r>
        <w:rPr>
          <w:spacing w:val="-1"/>
        </w:rPr>
        <w:t>resulting</w:t>
      </w:r>
      <w:r>
        <w:t xml:space="preserve"> in </w:t>
      </w:r>
      <w:r>
        <w:rPr>
          <w:spacing w:val="-1"/>
        </w:rPr>
        <w:t>virtually</w:t>
      </w:r>
      <w:r>
        <w:t xml:space="preserve"> constant demand.</w:t>
      </w:r>
    </w:p>
    <w:p w:rsidR="00D96B91" w:rsidRDefault="00C2656B">
      <w:pPr>
        <w:pStyle w:val="BodyText"/>
        <w:numPr>
          <w:ilvl w:val="0"/>
          <w:numId w:val="131"/>
        </w:numPr>
        <w:tabs>
          <w:tab w:val="left" w:pos="1531"/>
        </w:tabs>
        <w:spacing w:before="85" w:line="260" w:lineRule="exact"/>
        <w:ind w:right="1406" w:hanging="283"/>
      </w:pPr>
      <w:r>
        <w:rPr>
          <w:rFonts w:cs="Avenir Next"/>
          <w:spacing w:val="-2"/>
        </w:rPr>
        <w:t>The</w:t>
      </w:r>
      <w:r>
        <w:rPr>
          <w:rFonts w:cs="Avenir Next"/>
        </w:rPr>
        <w:t xml:space="preserve"> model is based on a set of</w:t>
      </w:r>
      <w:r>
        <w:rPr>
          <w:rFonts w:cs="Avenir Next"/>
          <w:spacing w:val="4"/>
        </w:rPr>
        <w:t xml:space="preserve"> </w:t>
      </w:r>
      <w:r>
        <w:rPr>
          <w:rFonts w:cs="Avenir Next"/>
        </w:rPr>
        <w:t xml:space="preserve">sample </w:t>
      </w:r>
      <w:r>
        <w:rPr>
          <w:rFonts w:cs="Avenir Next"/>
          <w:spacing w:val="-1"/>
        </w:rPr>
        <w:t>data</w:t>
      </w:r>
      <w:r>
        <w:rPr>
          <w:rFonts w:cs="Avenir Next"/>
        </w:rPr>
        <w:t xml:space="preserve"> </w:t>
      </w:r>
      <w:r>
        <w:rPr>
          <w:rFonts w:cs="Avenir Next"/>
          <w:spacing w:val="-1"/>
        </w:rPr>
        <w:t>that</w:t>
      </w:r>
      <w:r>
        <w:rPr>
          <w:rFonts w:cs="Avenir Next"/>
        </w:rPr>
        <w:t xml:space="preserve"> is not </w:t>
      </w:r>
      <w:r>
        <w:rPr>
          <w:rFonts w:cs="Avenir Next"/>
          <w:spacing w:val="-1"/>
        </w:rPr>
        <w:t>representative</w:t>
      </w:r>
      <w:r>
        <w:rPr>
          <w:rFonts w:cs="Avenir Next"/>
        </w:rPr>
        <w:t xml:space="preserve"> of</w:t>
      </w:r>
      <w:r>
        <w:rPr>
          <w:rFonts w:cs="Avenir Next"/>
          <w:spacing w:val="1"/>
        </w:rPr>
        <w:t xml:space="preserve"> </w:t>
      </w:r>
      <w:r>
        <w:rPr>
          <w:rFonts w:cs="Avenir Next"/>
          <w:spacing w:val="-2"/>
        </w:rPr>
        <w:t>ACTEW’s</w:t>
      </w:r>
      <w:r>
        <w:rPr>
          <w:rFonts w:cs="Avenir Next"/>
        </w:rPr>
        <w:t xml:space="preserve"> wider customer</w:t>
      </w:r>
      <w:r>
        <w:rPr>
          <w:rFonts w:cs="Avenir Next"/>
          <w:spacing w:val="30"/>
        </w:rPr>
        <w:t xml:space="preserve"> </w:t>
      </w:r>
      <w:r>
        <w:t xml:space="preserve">base (all </w:t>
      </w:r>
      <w:r>
        <w:rPr>
          <w:spacing w:val="-2"/>
        </w:rPr>
        <w:t>are</w:t>
      </w:r>
      <w:r>
        <w:t xml:space="preserve"> </w:t>
      </w:r>
      <w:r>
        <w:rPr>
          <w:spacing w:val="-1"/>
        </w:rPr>
        <w:t>existing</w:t>
      </w:r>
      <w:r>
        <w:t xml:space="preserve"> customers since 2001).</w:t>
      </w:r>
      <w:r>
        <w:rPr>
          <w:spacing w:val="-11"/>
        </w:rPr>
        <w:t xml:space="preserve"> </w:t>
      </w:r>
      <w:r>
        <w:rPr>
          <w:spacing w:val="-1"/>
        </w:rPr>
        <w:t>These</w:t>
      </w:r>
      <w:r>
        <w:t xml:space="preserve"> customers’ </w:t>
      </w:r>
      <w:r>
        <w:rPr>
          <w:spacing w:val="-1"/>
        </w:rPr>
        <w:t>water</w:t>
      </w:r>
      <w:r>
        <w:t xml:space="preserve"> consumption is </w:t>
      </w:r>
      <w:r>
        <w:rPr>
          <w:spacing w:val="-1"/>
        </w:rPr>
        <w:t>considerably</w:t>
      </w:r>
      <w:r>
        <w:rPr>
          <w:spacing w:val="43"/>
        </w:rPr>
        <w:t xml:space="preserve"> </w:t>
      </w:r>
      <w:r>
        <w:t xml:space="preserve">above the </w:t>
      </w:r>
      <w:r>
        <w:rPr>
          <w:spacing w:val="-1"/>
        </w:rPr>
        <w:t>average,</w:t>
      </w:r>
      <w:r>
        <w:rPr>
          <w:spacing w:val="-6"/>
        </w:rPr>
        <w:t xml:space="preserve"> </w:t>
      </w:r>
      <w:r>
        <w:t xml:space="preserve">and a substantial </w:t>
      </w:r>
      <w:r>
        <w:rPr>
          <w:spacing w:val="-2"/>
        </w:rPr>
        <w:t>“correction</w:t>
      </w:r>
      <w:r>
        <w:t xml:space="preserve"> factor” is </w:t>
      </w:r>
      <w:r>
        <w:rPr>
          <w:spacing w:val="-1"/>
        </w:rPr>
        <w:t>required</w:t>
      </w:r>
      <w:r>
        <w:t xml:space="preserve"> to adjust their </w:t>
      </w:r>
      <w:r>
        <w:rPr>
          <w:spacing w:val="-1"/>
        </w:rPr>
        <w:t>average</w:t>
      </w:r>
      <w:r>
        <w:t xml:space="preserve"> demand</w:t>
      </w:r>
      <w:r>
        <w:rPr>
          <w:spacing w:val="45"/>
        </w:rPr>
        <w:t xml:space="preserve"> </w:t>
      </w:r>
      <w:r>
        <w:t xml:space="preserve">to the </w:t>
      </w:r>
      <w:r>
        <w:rPr>
          <w:spacing w:val="-1"/>
        </w:rPr>
        <w:t>population</w:t>
      </w:r>
      <w:r>
        <w:t xml:space="preserve"> </w:t>
      </w:r>
      <w:r>
        <w:rPr>
          <w:spacing w:val="-1"/>
        </w:rPr>
        <w:t>average.</w:t>
      </w:r>
    </w:p>
    <w:p w:rsidR="00D96B91" w:rsidRDefault="00C2656B">
      <w:pPr>
        <w:pStyle w:val="BodyText"/>
        <w:numPr>
          <w:ilvl w:val="0"/>
          <w:numId w:val="131"/>
        </w:numPr>
        <w:tabs>
          <w:tab w:val="left" w:pos="1531"/>
        </w:tabs>
        <w:spacing w:before="85" w:line="260" w:lineRule="exact"/>
        <w:ind w:right="1356" w:hanging="283"/>
      </w:pPr>
      <w:r>
        <w:rPr>
          <w:spacing w:val="-2"/>
        </w:rPr>
        <w:t>The</w:t>
      </w:r>
      <w:r>
        <w:t xml:space="preserve"> model </w:t>
      </w:r>
      <w:r>
        <w:rPr>
          <w:spacing w:val="-1"/>
        </w:rPr>
        <w:t>appears</w:t>
      </w:r>
      <w:r>
        <w:t xml:space="preserve"> only to have been tested using “in sample </w:t>
      </w:r>
      <w:r>
        <w:rPr>
          <w:spacing w:val="-6"/>
        </w:rPr>
        <w:t>data”.</w:t>
      </w:r>
      <w:r>
        <w:rPr>
          <w:spacing w:val="-9"/>
        </w:rPr>
        <w:t xml:space="preserve"> </w:t>
      </w:r>
      <w:r>
        <w:t xml:space="preserve">When additional </w:t>
      </w:r>
      <w:r>
        <w:rPr>
          <w:spacing w:val="-1"/>
        </w:rPr>
        <w:t>data</w:t>
      </w:r>
      <w:r>
        <w:t xml:space="preserve"> was</w:t>
      </w:r>
      <w:r>
        <w:rPr>
          <w:spacing w:val="27"/>
        </w:rPr>
        <w:t xml:space="preserve"> </w:t>
      </w:r>
      <w:r>
        <w:t>added</w:t>
      </w:r>
      <w:r>
        <w:rPr>
          <w:spacing w:val="-1"/>
        </w:rPr>
        <w:t xml:space="preserve"> </w:t>
      </w:r>
      <w:r>
        <w:t>to</w:t>
      </w:r>
      <w:r>
        <w:rPr>
          <w:spacing w:val="-1"/>
        </w:rPr>
        <w:t xml:space="preserve"> </w:t>
      </w:r>
      <w:r>
        <w:t>the model</w:t>
      </w:r>
      <w:r>
        <w:rPr>
          <w:spacing w:val="-1"/>
        </w:rPr>
        <w:t xml:space="preserve"> </w:t>
      </w:r>
      <w:r>
        <w:t>(ie,</w:t>
      </w:r>
      <w:r>
        <w:rPr>
          <w:spacing w:val="-6"/>
        </w:rPr>
        <w:t xml:space="preserve"> </w:t>
      </w:r>
      <w:r>
        <w:t>when</w:t>
      </w:r>
      <w:r>
        <w:rPr>
          <w:spacing w:val="-1"/>
        </w:rPr>
        <w:t xml:space="preserve"> </w:t>
      </w:r>
      <w:r>
        <w:t>it</w:t>
      </w:r>
      <w:r>
        <w:rPr>
          <w:spacing w:val="-1"/>
        </w:rPr>
        <w:t xml:space="preserve"> </w:t>
      </w:r>
      <w:r>
        <w:t xml:space="preserve">was </w:t>
      </w:r>
      <w:r>
        <w:rPr>
          <w:spacing w:val="-1"/>
        </w:rPr>
        <w:t>updated),</w:t>
      </w:r>
      <w:r>
        <w:rPr>
          <w:spacing w:val="-7"/>
        </w:rPr>
        <w:t xml:space="preserve"> </w:t>
      </w:r>
      <w:r>
        <w:t xml:space="preserve">this </w:t>
      </w:r>
      <w:r>
        <w:rPr>
          <w:spacing w:val="-1"/>
        </w:rPr>
        <w:t xml:space="preserve">resulted </w:t>
      </w:r>
      <w:r>
        <w:t>in significant</w:t>
      </w:r>
      <w:r>
        <w:rPr>
          <w:spacing w:val="-1"/>
        </w:rPr>
        <w:t xml:space="preserve"> </w:t>
      </w:r>
      <w:r>
        <w:t>changes</w:t>
      </w:r>
      <w:r>
        <w:rPr>
          <w:spacing w:val="-1"/>
        </w:rPr>
        <w:t xml:space="preserve"> </w:t>
      </w:r>
      <w:r>
        <w:t>to the</w:t>
      </w:r>
      <w:r>
        <w:rPr>
          <w:spacing w:val="-1"/>
        </w:rPr>
        <w:t xml:space="preserve"> regression</w:t>
      </w:r>
      <w:r>
        <w:rPr>
          <w:spacing w:val="27"/>
        </w:rPr>
        <w:t xml:space="preserve"> </w:t>
      </w:r>
      <w:r>
        <w:rPr>
          <w:spacing w:val="-1"/>
        </w:rPr>
        <w:t xml:space="preserve">coefficients </w:t>
      </w:r>
      <w:r>
        <w:t>and the</w:t>
      </w:r>
      <w:r>
        <w:rPr>
          <w:spacing w:val="-1"/>
        </w:rPr>
        <w:t xml:space="preserve"> predicted</w:t>
      </w:r>
      <w:r>
        <w:t xml:space="preserve"> outcomes.</w:t>
      </w:r>
      <w:r>
        <w:rPr>
          <w:spacing w:val="-7"/>
        </w:rPr>
        <w:t xml:space="preserve"> </w:t>
      </w:r>
      <w:r>
        <w:t>If</w:t>
      </w:r>
      <w:r>
        <w:rPr>
          <w:spacing w:val="4"/>
        </w:rPr>
        <w:t xml:space="preserve"> </w:t>
      </w:r>
      <w:r>
        <w:t>the addition</w:t>
      </w:r>
      <w:r>
        <w:rPr>
          <w:spacing w:val="-1"/>
        </w:rPr>
        <w:t xml:space="preserve"> </w:t>
      </w:r>
      <w:r>
        <w:t>of</w:t>
      </w:r>
      <w:r>
        <w:rPr>
          <w:spacing w:val="4"/>
        </w:rPr>
        <w:t xml:space="preserve"> </w:t>
      </w:r>
      <w:r>
        <w:t>a</w:t>
      </w:r>
      <w:r>
        <w:rPr>
          <w:spacing w:val="-1"/>
        </w:rPr>
        <w:t xml:space="preserve"> relatively</w:t>
      </w:r>
      <w:r>
        <w:t xml:space="preserve"> small</w:t>
      </w:r>
      <w:r>
        <w:rPr>
          <w:spacing w:val="-1"/>
        </w:rPr>
        <w:t xml:space="preserve"> </w:t>
      </w:r>
      <w:r>
        <w:t>amount of</w:t>
      </w:r>
      <w:r>
        <w:rPr>
          <w:spacing w:val="4"/>
        </w:rPr>
        <w:t xml:space="preserve"> </w:t>
      </w:r>
      <w:r>
        <w:t>new</w:t>
      </w:r>
      <w:r>
        <w:rPr>
          <w:spacing w:val="-1"/>
        </w:rPr>
        <w:t xml:space="preserve"> </w:t>
      </w:r>
      <w:r>
        <w:t>sample</w:t>
      </w:r>
      <w:r>
        <w:rPr>
          <w:spacing w:val="35"/>
        </w:rPr>
        <w:t xml:space="preserve"> </w:t>
      </w:r>
      <w:r>
        <w:rPr>
          <w:spacing w:val="-1"/>
        </w:rPr>
        <w:t>data</w:t>
      </w:r>
      <w:r>
        <w:rPr>
          <w:spacing w:val="-2"/>
        </w:rPr>
        <w:t xml:space="preserve"> </w:t>
      </w:r>
      <w:r>
        <w:t>significantly</w:t>
      </w:r>
      <w:r>
        <w:rPr>
          <w:spacing w:val="-2"/>
        </w:rPr>
        <w:t xml:space="preserve"> </w:t>
      </w:r>
      <w:r>
        <w:t>changes</w:t>
      </w:r>
      <w:r>
        <w:rPr>
          <w:spacing w:val="-2"/>
        </w:rPr>
        <w:t xml:space="preserve"> </w:t>
      </w:r>
      <w:r>
        <w:t>the</w:t>
      </w:r>
      <w:r>
        <w:rPr>
          <w:spacing w:val="-2"/>
        </w:rPr>
        <w:t xml:space="preserve"> model’s </w:t>
      </w:r>
      <w:r>
        <w:t>medium-term</w:t>
      </w:r>
      <w:r>
        <w:rPr>
          <w:spacing w:val="-2"/>
        </w:rPr>
        <w:t xml:space="preserve"> </w:t>
      </w:r>
      <w:r>
        <w:rPr>
          <w:spacing w:val="-1"/>
        </w:rPr>
        <w:t>predictions,</w:t>
      </w:r>
      <w:r>
        <w:rPr>
          <w:spacing w:val="-8"/>
        </w:rPr>
        <w:t xml:space="preserve"> </w:t>
      </w:r>
      <w:r>
        <w:t>confidence</w:t>
      </w:r>
      <w:r>
        <w:rPr>
          <w:spacing w:val="-2"/>
        </w:rPr>
        <w:t xml:space="preserve"> </w:t>
      </w:r>
      <w:r>
        <w:t>in</w:t>
      </w:r>
      <w:r>
        <w:rPr>
          <w:spacing w:val="-2"/>
        </w:rPr>
        <w:t xml:space="preserve"> </w:t>
      </w:r>
      <w:r>
        <w:t>its</w:t>
      </w:r>
      <w:r>
        <w:rPr>
          <w:spacing w:val="-2"/>
        </w:rPr>
        <w:t xml:space="preserve"> </w:t>
      </w:r>
      <w:r>
        <w:rPr>
          <w:spacing w:val="-1"/>
        </w:rPr>
        <w:t xml:space="preserve">predictive </w:t>
      </w:r>
      <w:r>
        <w:t>power</w:t>
      </w:r>
      <w:r>
        <w:rPr>
          <w:spacing w:val="41"/>
        </w:rPr>
        <w:t xml:space="preserve"> </w:t>
      </w:r>
      <w:r>
        <w:t xml:space="preserve">is </w:t>
      </w:r>
      <w:r>
        <w:rPr>
          <w:spacing w:val="-1"/>
        </w:rPr>
        <w:t>reduced.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48"/>
        <w:rPr>
          <w:sz w:val="11"/>
          <w:szCs w:val="11"/>
        </w:rPr>
      </w:pPr>
      <w:r>
        <w:t>Based on its own modelling,</w:t>
      </w:r>
      <w:r>
        <w:rPr>
          <w:spacing w:val="-7"/>
        </w:rPr>
        <w:t xml:space="preserve"> </w:t>
      </w:r>
      <w:r>
        <w:rPr>
          <w:spacing w:val="-2"/>
        </w:rPr>
        <w:t>Cardno</w:t>
      </w:r>
      <w:r>
        <w:t xml:space="preserve"> found </w:t>
      </w:r>
      <w:r>
        <w:rPr>
          <w:spacing w:val="-1"/>
        </w:rPr>
        <w:t>that</w:t>
      </w:r>
      <w:r>
        <w:t xml:space="preserve"> </w:t>
      </w:r>
      <w:r>
        <w:rPr>
          <w:spacing w:val="-1"/>
        </w:rPr>
        <w:t>there</w:t>
      </w:r>
      <w:r>
        <w:t xml:space="preserve"> is an 89% chance of</w:t>
      </w:r>
      <w:r>
        <w:rPr>
          <w:spacing w:val="1"/>
        </w:rPr>
        <w:t xml:space="preserve"> </w:t>
      </w:r>
      <w:r>
        <w:rPr>
          <w:spacing w:val="-2"/>
        </w:rPr>
        <w:t>ACTEW’s</w:t>
      </w:r>
      <w:r>
        <w:t xml:space="preserve"> </w:t>
      </w:r>
      <w:r>
        <w:rPr>
          <w:spacing w:val="-1"/>
        </w:rPr>
        <w:t>forecasts</w:t>
      </w:r>
      <w:r>
        <w:t xml:space="preserve"> being</w:t>
      </w:r>
      <w:r>
        <w:rPr>
          <w:spacing w:val="27"/>
        </w:rPr>
        <w:t xml:space="preserve"> </w:t>
      </w:r>
      <w:r>
        <w:rPr>
          <w:spacing w:val="-1"/>
        </w:rPr>
        <w:t>exceeded</w:t>
      </w:r>
      <w:r>
        <w:t xml:space="preserve"> in </w:t>
      </w:r>
      <w:r>
        <w:rPr>
          <w:spacing w:val="-1"/>
        </w:rPr>
        <w:t>aggregate</w:t>
      </w:r>
      <w:r>
        <w:rPr>
          <w:spacing w:val="1"/>
        </w:rPr>
        <w:t xml:space="preserve"> </w:t>
      </w:r>
      <w:r>
        <w:t>over the</w:t>
      </w:r>
      <w:r>
        <w:rPr>
          <w:spacing w:val="1"/>
        </w:rPr>
        <w:t xml:space="preserve"> </w:t>
      </w:r>
      <w:r>
        <w:rPr>
          <w:spacing w:val="-1"/>
        </w:rPr>
        <w:t>proposed</w:t>
      </w:r>
      <w:r>
        <w:t xml:space="preserve"> </w:t>
      </w:r>
      <w:r>
        <w:rPr>
          <w:spacing w:val="-1"/>
        </w:rPr>
        <w:t>five-year</w:t>
      </w:r>
      <w:r>
        <w:rPr>
          <w:spacing w:val="1"/>
        </w:rPr>
        <w:t xml:space="preserve"> </w:t>
      </w:r>
      <w:r>
        <w:rPr>
          <w:spacing w:val="-1"/>
        </w:rPr>
        <w:t>regulatory</w:t>
      </w:r>
      <w:r>
        <w:t xml:space="preserve"> period.</w:t>
      </w:r>
      <w:r>
        <w:rPr>
          <w:position w:val="7"/>
          <w:sz w:val="11"/>
          <w:szCs w:val="11"/>
        </w:rPr>
        <w:t>211</w:t>
      </w:r>
    </w:p>
    <w:p w:rsidR="00D96B91" w:rsidRDefault="00C2656B">
      <w:pPr>
        <w:pStyle w:val="BodyText"/>
        <w:spacing w:before="170" w:line="260" w:lineRule="exact"/>
        <w:ind w:right="1283"/>
        <w:rPr>
          <w:sz w:val="11"/>
          <w:szCs w:val="11"/>
        </w:rPr>
      </w:pPr>
      <w:r>
        <w:rPr>
          <w:spacing w:val="-4"/>
        </w:rPr>
        <w:t>For</w:t>
      </w:r>
      <w:r>
        <w:t xml:space="preserve"> the above </w:t>
      </w:r>
      <w:r>
        <w:rPr>
          <w:spacing w:val="-1"/>
        </w:rPr>
        <w:t>reasons,</w:t>
      </w:r>
      <w:r>
        <w:rPr>
          <w:spacing w:val="-6"/>
        </w:rPr>
        <w:t xml:space="preserve"> </w:t>
      </w:r>
      <w:r>
        <w:rPr>
          <w:spacing w:val="-2"/>
        </w:rPr>
        <w:t>Cardno</w:t>
      </w:r>
      <w:r>
        <w:t xml:space="preserve"> concluded </w:t>
      </w:r>
      <w:r>
        <w:rPr>
          <w:spacing w:val="-1"/>
        </w:rPr>
        <w:t>that</w:t>
      </w:r>
      <w:r>
        <w:rPr>
          <w:spacing w:val="-4"/>
        </w:rPr>
        <w:t xml:space="preserve"> </w:t>
      </w:r>
      <w:r>
        <w:rPr>
          <w:spacing w:val="-2"/>
        </w:rPr>
        <w:t>ACTEW’s</w:t>
      </w:r>
      <w:r>
        <w:t xml:space="preserve"> </w:t>
      </w:r>
      <w:r>
        <w:rPr>
          <w:spacing w:val="-1"/>
        </w:rPr>
        <w:t>proposed</w:t>
      </w:r>
      <w:r>
        <w:t xml:space="preserve"> model is not suitable for </w:t>
      </w:r>
      <w:r>
        <w:rPr>
          <w:spacing w:val="-1"/>
        </w:rPr>
        <w:t>forecasting</w:t>
      </w:r>
      <w:r>
        <w:rPr>
          <w:spacing w:val="45"/>
        </w:rPr>
        <w:t xml:space="preserve"> </w:t>
      </w:r>
      <w:r>
        <w:rPr>
          <w:spacing w:val="-1"/>
        </w:rPr>
        <w:t>water</w:t>
      </w:r>
      <w:r>
        <w:t xml:space="preserve"> sales for the purpose of</w:t>
      </w:r>
      <w:r>
        <w:rPr>
          <w:spacing w:val="4"/>
        </w:rPr>
        <w:t xml:space="preserve"> </w:t>
      </w:r>
      <w:r>
        <w:t xml:space="preserve">determining prices over the </w:t>
      </w:r>
      <w:r>
        <w:rPr>
          <w:spacing w:val="-1"/>
        </w:rPr>
        <w:t>remainder</w:t>
      </w:r>
      <w:r>
        <w:t xml:space="preserve"> of</w:t>
      </w:r>
      <w:r>
        <w:rPr>
          <w:spacing w:val="4"/>
        </w:rPr>
        <w:t xml:space="preserve"> </w:t>
      </w:r>
      <w:r>
        <w:t xml:space="preserve">the </w:t>
      </w:r>
      <w:r>
        <w:rPr>
          <w:spacing w:val="-1"/>
        </w:rPr>
        <w:t>regulatory</w:t>
      </w:r>
      <w:r>
        <w:t xml:space="preserve"> period.</w:t>
      </w:r>
      <w:r>
        <w:rPr>
          <w:spacing w:val="-6"/>
        </w:rPr>
        <w:t xml:space="preserve"> </w:t>
      </w:r>
      <w:r>
        <w:t>It</w:t>
      </w:r>
      <w:r>
        <w:rPr>
          <w:spacing w:val="25"/>
        </w:rPr>
        <w:t xml:space="preserve"> </w:t>
      </w:r>
      <w:r>
        <w:rPr>
          <w:spacing w:val="-1"/>
        </w:rPr>
        <w:t>recommended</w:t>
      </w:r>
      <w:r>
        <w:t xml:space="preserve"> an </w:t>
      </w:r>
      <w:r>
        <w:rPr>
          <w:spacing w:val="-1"/>
        </w:rPr>
        <w:t>alternative</w:t>
      </w:r>
      <w:r>
        <w:t xml:space="preserve"> </w:t>
      </w:r>
      <w:r>
        <w:rPr>
          <w:spacing w:val="-1"/>
        </w:rPr>
        <w:t>forecasting</w:t>
      </w:r>
      <w:r>
        <w:t xml:space="preserve"> </w:t>
      </w:r>
      <w:r>
        <w:rPr>
          <w:spacing w:val="-1"/>
        </w:rPr>
        <w:t>methodology,</w:t>
      </w:r>
      <w:r>
        <w:rPr>
          <w:spacing w:val="-6"/>
        </w:rPr>
        <w:t xml:space="preserve"> </w:t>
      </w:r>
      <w:r>
        <w:t xml:space="preserve">which </w:t>
      </w:r>
      <w:r>
        <w:rPr>
          <w:spacing w:val="-1"/>
        </w:rPr>
        <w:t>draws</w:t>
      </w:r>
      <w:r>
        <w:t xml:space="preserve"> on the high-level </w:t>
      </w:r>
      <w:r>
        <w:rPr>
          <w:spacing w:val="-1"/>
        </w:rPr>
        <w:t>approach</w:t>
      </w:r>
      <w:r>
        <w:t xml:space="preserve"> set out</w:t>
      </w:r>
      <w:r>
        <w:rPr>
          <w:spacing w:val="67"/>
        </w:rPr>
        <w:t xml:space="preserve"> </w:t>
      </w:r>
      <w:r>
        <w:rPr>
          <w:rFonts w:cs="Avenir Next"/>
        </w:rPr>
        <w:t>in</w:t>
      </w:r>
      <w:r>
        <w:rPr>
          <w:rFonts w:cs="Avenir Next"/>
          <w:spacing w:val="1"/>
        </w:rPr>
        <w:t xml:space="preserve"> </w:t>
      </w:r>
      <w:r>
        <w:rPr>
          <w:rFonts w:cs="Avenir Next"/>
        </w:rPr>
        <w:t>the</w:t>
      </w:r>
      <w:r>
        <w:rPr>
          <w:rFonts w:cs="Avenir Next"/>
          <w:spacing w:val="1"/>
        </w:rPr>
        <w:t xml:space="preserve"> </w:t>
      </w:r>
      <w:r>
        <w:rPr>
          <w:rFonts w:cs="Avenir Next"/>
          <w:spacing w:val="-1"/>
        </w:rPr>
        <w:t>National</w:t>
      </w:r>
      <w:r>
        <w:rPr>
          <w:rFonts w:cs="Avenir Next"/>
          <w:spacing w:val="-2"/>
        </w:rPr>
        <w:t xml:space="preserve"> Water</w:t>
      </w:r>
      <w:r>
        <w:rPr>
          <w:rFonts w:cs="Avenir Next"/>
          <w:spacing w:val="1"/>
        </w:rPr>
        <w:t xml:space="preserve"> </w:t>
      </w:r>
      <w:r>
        <w:rPr>
          <w:rFonts w:cs="Avenir Next"/>
          <w:spacing w:val="-2"/>
        </w:rPr>
        <w:t>Commission’s</w:t>
      </w:r>
      <w:r>
        <w:rPr>
          <w:rFonts w:cs="Avenir Next"/>
          <w:spacing w:val="1"/>
        </w:rPr>
        <w:t xml:space="preserve"> </w:t>
      </w:r>
      <w:r>
        <w:rPr>
          <w:rFonts w:cs="Avenir Next"/>
          <w:spacing w:val="-2"/>
        </w:rPr>
        <w:t>paper,</w:t>
      </w:r>
      <w:r>
        <w:rPr>
          <w:rFonts w:cs="Avenir Next"/>
          <w:spacing w:val="-5"/>
        </w:rPr>
        <w:t xml:space="preserve"> </w:t>
      </w:r>
      <w:r>
        <w:rPr>
          <w:rFonts w:cs="Avenir Next"/>
          <w:i/>
          <w:spacing w:val="-1"/>
        </w:rPr>
        <w:t>Integrated</w:t>
      </w:r>
      <w:r>
        <w:rPr>
          <w:rFonts w:cs="Avenir Next"/>
          <w:i/>
          <w:spacing w:val="1"/>
        </w:rPr>
        <w:t xml:space="preserve"> </w:t>
      </w:r>
      <w:r>
        <w:rPr>
          <w:rFonts w:cs="Avenir Next"/>
          <w:i/>
          <w:spacing w:val="-1"/>
        </w:rPr>
        <w:t>Resource</w:t>
      </w:r>
      <w:r>
        <w:rPr>
          <w:rFonts w:cs="Avenir Next"/>
          <w:i/>
          <w:spacing w:val="1"/>
        </w:rPr>
        <w:t xml:space="preserve"> </w:t>
      </w:r>
      <w:r>
        <w:rPr>
          <w:rFonts w:cs="Avenir Next"/>
          <w:i/>
        </w:rPr>
        <w:t>Planning</w:t>
      </w:r>
      <w:r>
        <w:rPr>
          <w:rFonts w:cs="Avenir Next"/>
          <w:i/>
          <w:spacing w:val="1"/>
        </w:rPr>
        <w:t xml:space="preserve"> </w:t>
      </w:r>
      <w:r>
        <w:rPr>
          <w:rFonts w:cs="Avenir Next"/>
          <w:i/>
        </w:rPr>
        <w:t>for</w:t>
      </w:r>
      <w:r>
        <w:rPr>
          <w:rFonts w:cs="Avenir Next"/>
          <w:i/>
          <w:spacing w:val="1"/>
        </w:rPr>
        <w:t xml:space="preserve"> </w:t>
      </w:r>
      <w:r>
        <w:rPr>
          <w:rFonts w:cs="Avenir Next"/>
          <w:i/>
        </w:rPr>
        <w:t>Urban</w:t>
      </w:r>
      <w:r>
        <w:rPr>
          <w:rFonts w:cs="Avenir Next"/>
          <w:i/>
          <w:spacing w:val="-2"/>
        </w:rPr>
        <w:t xml:space="preserve"> Water.</w:t>
      </w:r>
      <w:r>
        <w:rPr>
          <w:spacing w:val="-2"/>
          <w:position w:val="7"/>
          <w:sz w:val="11"/>
          <w:szCs w:val="11"/>
        </w:rPr>
        <w:t>212</w:t>
      </w:r>
    </w:p>
    <w:p w:rsidR="00D96B91" w:rsidRDefault="00C2656B">
      <w:pPr>
        <w:pStyle w:val="BodyText"/>
        <w:spacing w:before="170" w:line="260" w:lineRule="exact"/>
        <w:ind w:right="1283"/>
      </w:pPr>
      <w:r>
        <w:rPr>
          <w:rFonts w:cs="Avenir Next"/>
          <w:spacing w:val="-2"/>
        </w:rPr>
        <w:t>Broadly,</w:t>
      </w:r>
      <w:r>
        <w:rPr>
          <w:rFonts w:cs="Avenir Next"/>
          <w:spacing w:val="-7"/>
        </w:rPr>
        <w:t xml:space="preserve"> </w:t>
      </w:r>
      <w:r>
        <w:rPr>
          <w:rFonts w:cs="Avenir Next"/>
        </w:rPr>
        <w:t xml:space="preserve">the </w:t>
      </w:r>
      <w:r>
        <w:rPr>
          <w:rFonts w:cs="Avenir Next"/>
          <w:spacing w:val="-2"/>
        </w:rPr>
        <w:t>key</w:t>
      </w:r>
      <w:r>
        <w:rPr>
          <w:rFonts w:cs="Avenir Next"/>
        </w:rPr>
        <w:t xml:space="preserve"> </w:t>
      </w:r>
      <w:r>
        <w:rPr>
          <w:rFonts w:cs="Avenir Next"/>
          <w:spacing w:val="-1"/>
        </w:rPr>
        <w:t>differences</w:t>
      </w:r>
      <w:r>
        <w:rPr>
          <w:rFonts w:cs="Avenir Next"/>
        </w:rPr>
        <w:t xml:space="preserve"> between </w:t>
      </w:r>
      <w:r>
        <w:rPr>
          <w:rFonts w:cs="Avenir Next"/>
          <w:spacing w:val="-3"/>
        </w:rPr>
        <w:t>Cardno’s</w:t>
      </w:r>
      <w:r>
        <w:rPr>
          <w:rFonts w:cs="Avenir Next"/>
        </w:rPr>
        <w:t xml:space="preserve"> </w:t>
      </w:r>
      <w:r>
        <w:rPr>
          <w:rFonts w:cs="Avenir Next"/>
          <w:spacing w:val="-1"/>
        </w:rPr>
        <w:t>recommended</w:t>
      </w:r>
      <w:r>
        <w:rPr>
          <w:rFonts w:cs="Avenir Next"/>
        </w:rPr>
        <w:t xml:space="preserve"> and</w:t>
      </w:r>
      <w:r>
        <w:rPr>
          <w:rFonts w:cs="Avenir Next"/>
          <w:spacing w:val="-4"/>
        </w:rPr>
        <w:t xml:space="preserve"> </w:t>
      </w:r>
      <w:r>
        <w:rPr>
          <w:rFonts w:cs="Avenir Next"/>
          <w:spacing w:val="-2"/>
        </w:rPr>
        <w:t>ACTEW’s</w:t>
      </w:r>
      <w:r>
        <w:rPr>
          <w:rFonts w:cs="Avenir Next"/>
        </w:rPr>
        <w:t xml:space="preserve"> </w:t>
      </w:r>
      <w:r>
        <w:rPr>
          <w:rFonts w:cs="Avenir Next"/>
          <w:spacing w:val="-1"/>
        </w:rPr>
        <w:t>proposed</w:t>
      </w:r>
      <w:r>
        <w:rPr>
          <w:rFonts w:cs="Avenir Next"/>
        </w:rPr>
        <w:t xml:space="preserve"> </w:t>
      </w:r>
      <w:r>
        <w:rPr>
          <w:rFonts w:cs="Avenir Next"/>
          <w:spacing w:val="-1"/>
        </w:rPr>
        <w:t>approach</w:t>
      </w:r>
      <w:r>
        <w:rPr>
          <w:rFonts w:cs="Avenir Next"/>
        </w:rPr>
        <w:t xml:space="preserve"> for</w:t>
      </w:r>
      <w:r>
        <w:rPr>
          <w:rFonts w:cs="Avenir Next"/>
          <w:spacing w:val="63"/>
        </w:rPr>
        <w:t xml:space="preserve"> </w:t>
      </w:r>
      <w:r>
        <w:rPr>
          <w:rFonts w:cs="Avenir Next"/>
          <w:spacing w:val="-1"/>
        </w:rPr>
        <w:t>forecasting</w:t>
      </w:r>
      <w:r>
        <w:rPr>
          <w:rFonts w:cs="Avenir Next"/>
        </w:rPr>
        <w:t xml:space="preserve"> </w:t>
      </w:r>
      <w:r>
        <w:rPr>
          <w:rFonts w:cs="Avenir Next"/>
          <w:spacing w:val="-1"/>
        </w:rPr>
        <w:t>water</w:t>
      </w:r>
      <w:r>
        <w:rPr>
          <w:rFonts w:cs="Avenir Next"/>
        </w:rPr>
        <w:t xml:space="preserve"> sales is </w:t>
      </w:r>
      <w:r>
        <w:rPr>
          <w:rFonts w:cs="Avenir Next"/>
          <w:spacing w:val="-1"/>
        </w:rPr>
        <w:t>that</w:t>
      </w:r>
      <w:r>
        <w:rPr>
          <w:rFonts w:cs="Avenir Next"/>
        </w:rPr>
        <w:t xml:space="preserve"> </w:t>
      </w:r>
      <w:r>
        <w:rPr>
          <w:rFonts w:cs="Avenir Next"/>
          <w:spacing w:val="-3"/>
        </w:rPr>
        <w:t>Cardno’s</w:t>
      </w:r>
      <w:r>
        <w:rPr>
          <w:rFonts w:cs="Avenir Next"/>
        </w:rPr>
        <w:t xml:space="preserve"> </w:t>
      </w:r>
      <w:r>
        <w:rPr>
          <w:rFonts w:cs="Avenir Next"/>
          <w:spacing w:val="-1"/>
        </w:rPr>
        <w:t>approach</w:t>
      </w:r>
      <w:r>
        <w:rPr>
          <w:rFonts w:cs="Avenir Next"/>
        </w:rPr>
        <w:t xml:space="preserve"> </w:t>
      </w:r>
      <w:r>
        <w:rPr>
          <w:rFonts w:cs="Avenir Next"/>
          <w:spacing w:val="-1"/>
        </w:rPr>
        <w:t>takes</w:t>
      </w:r>
      <w:r>
        <w:rPr>
          <w:rFonts w:cs="Avenir Next"/>
        </w:rPr>
        <w:t xml:space="preserve"> account of</w:t>
      </w:r>
      <w:r>
        <w:rPr>
          <w:rFonts w:cs="Avenir Next"/>
          <w:spacing w:val="4"/>
        </w:rPr>
        <w:t xml:space="preserve"> </w:t>
      </w:r>
      <w:r>
        <w:rPr>
          <w:rFonts w:cs="Avenir Next"/>
          <w:spacing w:val="-1"/>
        </w:rPr>
        <w:t>population</w:t>
      </w:r>
      <w:r>
        <w:rPr>
          <w:rFonts w:cs="Avenir Next"/>
        </w:rPr>
        <w:t xml:space="preserve"> </w:t>
      </w:r>
      <w:r>
        <w:rPr>
          <w:rFonts w:cs="Avenir Next"/>
          <w:spacing w:val="-1"/>
        </w:rPr>
        <w:t>projections</w:t>
      </w:r>
      <w:r>
        <w:rPr>
          <w:rFonts w:cs="Avenir Next"/>
        </w:rPr>
        <w:t xml:space="preserve"> as well as</w:t>
      </w:r>
      <w:r>
        <w:rPr>
          <w:rFonts w:cs="Avenir Next"/>
          <w:spacing w:val="73"/>
        </w:rPr>
        <w:t xml:space="preserve"> </w:t>
      </w:r>
      <w:r>
        <w:rPr>
          <w:spacing w:val="-1"/>
        </w:rPr>
        <w:t>weather</w:t>
      </w:r>
      <w:r>
        <w:t xml:space="preserve"> and</w:t>
      </w:r>
      <w:r>
        <w:rPr>
          <w:spacing w:val="1"/>
        </w:rPr>
        <w:t xml:space="preserve"> </w:t>
      </w:r>
      <w:r>
        <w:rPr>
          <w:spacing w:val="-1"/>
        </w:rPr>
        <w:t>water</w:t>
      </w:r>
      <w:r>
        <w:t xml:space="preserve"> </w:t>
      </w:r>
      <w:r>
        <w:rPr>
          <w:spacing w:val="-1"/>
        </w:rPr>
        <w:t>restrictions.</w:t>
      </w:r>
      <w:r>
        <w:rPr>
          <w:spacing w:val="-5"/>
        </w:rPr>
        <w:t xml:space="preserve"> </w:t>
      </w:r>
      <w:r>
        <w:t>It</w:t>
      </w:r>
      <w:r>
        <w:rPr>
          <w:spacing w:val="1"/>
        </w:rPr>
        <w:t xml:space="preserve"> </w:t>
      </w:r>
      <w:r>
        <w:t xml:space="preserve">also </w:t>
      </w:r>
      <w:r>
        <w:rPr>
          <w:spacing w:val="-1"/>
        </w:rPr>
        <w:t>disaggregates</w:t>
      </w:r>
      <w:r>
        <w:rPr>
          <w:spacing w:val="1"/>
        </w:rPr>
        <w:t xml:space="preserve"> </w:t>
      </w:r>
      <w:r>
        <w:rPr>
          <w:spacing w:val="-1"/>
        </w:rPr>
        <w:t>water</w:t>
      </w:r>
      <w:r>
        <w:rPr>
          <w:spacing w:val="1"/>
        </w:rPr>
        <w:t xml:space="preserve"> </w:t>
      </w:r>
      <w:r>
        <w:t>sales to</w:t>
      </w:r>
      <w:r>
        <w:rPr>
          <w:spacing w:val="1"/>
        </w:rPr>
        <w:t xml:space="preserve"> </w:t>
      </w:r>
      <w:r>
        <w:t>a</w:t>
      </w:r>
      <w:r>
        <w:rPr>
          <w:spacing w:val="1"/>
        </w:rPr>
        <w:t xml:space="preserve"> </w:t>
      </w:r>
      <w:r>
        <w:t xml:space="preserve">‘per </w:t>
      </w:r>
      <w:r>
        <w:rPr>
          <w:spacing w:val="-1"/>
        </w:rPr>
        <w:t>property’</w:t>
      </w:r>
      <w:r>
        <w:rPr>
          <w:spacing w:val="1"/>
        </w:rPr>
        <w:t xml:space="preserve"> </w:t>
      </w:r>
      <w:r>
        <w:t>level,</w:t>
      </w:r>
      <w:r>
        <w:rPr>
          <w:position w:val="7"/>
          <w:sz w:val="11"/>
          <w:szCs w:val="11"/>
        </w:rPr>
        <w:t>213</w:t>
      </w:r>
      <w:r>
        <w:rPr>
          <w:spacing w:val="23"/>
          <w:position w:val="7"/>
          <w:sz w:val="11"/>
          <w:szCs w:val="11"/>
        </w:rPr>
        <w:t xml:space="preserve"> </w:t>
      </w:r>
      <w:r>
        <w:rPr>
          <w:rFonts w:cs="Avenir Next"/>
        </w:rPr>
        <w:t>taking</w:t>
      </w:r>
      <w:r>
        <w:rPr>
          <w:rFonts w:cs="Avenir Next"/>
          <w:spacing w:val="1"/>
        </w:rPr>
        <w:t xml:space="preserve"> </w:t>
      </w:r>
      <w:r>
        <w:rPr>
          <w:rFonts w:cs="Avenir Next"/>
        </w:rPr>
        <w:t>into</w:t>
      </w:r>
      <w:r>
        <w:rPr>
          <w:rFonts w:cs="Avenir Next"/>
          <w:spacing w:val="55"/>
        </w:rPr>
        <w:t xml:space="preserve"> </w:t>
      </w:r>
      <w:r>
        <w:rPr>
          <w:rFonts w:cs="Avenir Next"/>
        </w:rPr>
        <w:t>account changes in the composition of</w:t>
      </w:r>
      <w:r>
        <w:rPr>
          <w:rFonts w:cs="Avenir Next"/>
          <w:spacing w:val="4"/>
        </w:rPr>
        <w:t xml:space="preserve"> </w:t>
      </w:r>
      <w:r>
        <w:rPr>
          <w:rFonts w:cs="Avenir Next"/>
        </w:rPr>
        <w:t xml:space="preserve">the housing stock (which </w:t>
      </w:r>
      <w:r>
        <w:rPr>
          <w:rFonts w:cs="Avenir Next"/>
          <w:spacing w:val="-1"/>
        </w:rPr>
        <w:t>recognises</w:t>
      </w:r>
      <w:r>
        <w:rPr>
          <w:rFonts w:cs="Avenir Next"/>
        </w:rPr>
        <w:t xml:space="preserve"> the addition of</w:t>
      </w:r>
      <w:r>
        <w:rPr>
          <w:rFonts w:cs="Avenir Next"/>
          <w:spacing w:val="4"/>
        </w:rPr>
        <w:t xml:space="preserve"> </w:t>
      </w:r>
      <w:r>
        <w:rPr>
          <w:rFonts w:cs="Avenir Next"/>
          <w:spacing w:val="-2"/>
        </w:rPr>
        <w:t>new,</w:t>
      </w:r>
      <w:r>
        <w:rPr>
          <w:rFonts w:cs="Avenir Next"/>
          <w:spacing w:val="-6"/>
        </w:rPr>
        <w:t xml:space="preserve"> </w:t>
      </w:r>
      <w:r>
        <w:rPr>
          <w:rFonts w:cs="Avenir Next"/>
          <w:spacing w:val="-1"/>
        </w:rPr>
        <w:t>more</w:t>
      </w:r>
      <w:r>
        <w:rPr>
          <w:rFonts w:cs="Avenir Next"/>
          <w:spacing w:val="27"/>
        </w:rPr>
        <w:t xml:space="preserve"> </w:t>
      </w:r>
      <w:r>
        <w:rPr>
          <w:spacing w:val="-1"/>
        </w:rPr>
        <w:t>“water</w:t>
      </w:r>
      <w:r>
        <w:rPr>
          <w:spacing w:val="-3"/>
        </w:rPr>
        <w:t xml:space="preserve"> </w:t>
      </w:r>
      <w:r>
        <w:t>efficient”</w:t>
      </w:r>
      <w:r>
        <w:rPr>
          <w:spacing w:val="-3"/>
        </w:rPr>
        <w:t xml:space="preserve"> </w:t>
      </w:r>
      <w:r>
        <w:t>housing).</w:t>
      </w: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68" style="width:72.5pt;height:.5pt;mso-position-horizontal-relative:char;mso-position-vertical-relative:line" coordsize="1450,10">
            <v:group id="_x0000_s1869" style="position:absolute;left:5;top:5;width:1440;height:2" coordorigin="5,5" coordsize="1440,2">
              <v:shape id="_x0000_s1870"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45" w:line="192" w:lineRule="exact"/>
        <w:ind w:right="1477" w:hanging="510"/>
        <w:rPr>
          <w:rFonts w:ascii="Avenir Next" w:eastAsia="Avenir Next" w:hAnsi="Avenir Next" w:cs="Avenir Next"/>
          <w:sz w:val="16"/>
          <w:szCs w:val="16"/>
        </w:rPr>
      </w:pPr>
      <w:r>
        <w:rPr>
          <w:rFonts w:ascii="Avenir Next"/>
          <w:sz w:val="16"/>
        </w:rPr>
        <w:t xml:space="preserve">See </w:t>
      </w: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84.</w:t>
      </w:r>
      <w:r>
        <w:rPr>
          <w:rFonts w:ascii="Avenir Next"/>
          <w:spacing w:val="-9"/>
          <w:sz w:val="16"/>
        </w:rPr>
        <w:t xml:space="preserve"> </w:t>
      </w:r>
      <w:r>
        <w:rPr>
          <w:rFonts w:ascii="Avenir Next"/>
          <w:spacing w:val="-2"/>
          <w:sz w:val="16"/>
        </w:rPr>
        <w:t>There</w:t>
      </w:r>
      <w:r>
        <w:rPr>
          <w:rFonts w:ascii="Avenir Next"/>
          <w:sz w:val="16"/>
        </w:rPr>
        <w:t xml:space="preserve"> is </w:t>
      </w:r>
      <w:r>
        <w:rPr>
          <w:rFonts w:ascii="Avenir Next"/>
          <w:spacing w:val="-1"/>
          <w:sz w:val="16"/>
        </w:rPr>
        <w:t>uncertainty</w:t>
      </w:r>
      <w:r>
        <w:rPr>
          <w:rFonts w:ascii="Avenir Next"/>
          <w:spacing w:val="53"/>
          <w:sz w:val="16"/>
        </w:rPr>
        <w:t xml:space="preserve"> </w:t>
      </w:r>
      <w:r>
        <w:rPr>
          <w:rFonts w:ascii="Avenir Next"/>
          <w:spacing w:val="-1"/>
          <w:sz w:val="16"/>
        </w:rPr>
        <w:t>around</w:t>
      </w:r>
      <w:r>
        <w:rPr>
          <w:rFonts w:ascii="Avenir Next"/>
          <w:sz w:val="16"/>
        </w:rPr>
        <w:t xml:space="preserve"> any </w:t>
      </w:r>
      <w:r>
        <w:rPr>
          <w:rFonts w:ascii="Avenir Next"/>
          <w:spacing w:val="-1"/>
          <w:sz w:val="16"/>
        </w:rPr>
        <w:t>forecast.</w:t>
      </w:r>
      <w:r>
        <w:rPr>
          <w:rFonts w:ascii="Avenir Next"/>
          <w:spacing w:val="-9"/>
          <w:sz w:val="16"/>
        </w:rPr>
        <w:t xml:space="preserve"> </w:t>
      </w:r>
      <w:r>
        <w:rPr>
          <w:rFonts w:ascii="Avenir Next"/>
          <w:spacing w:val="-1"/>
          <w:sz w:val="16"/>
        </w:rPr>
        <w:t>The</w:t>
      </w:r>
      <w:r>
        <w:rPr>
          <w:rFonts w:ascii="Avenir Next"/>
          <w:sz w:val="16"/>
        </w:rPr>
        <w:t xml:space="preserve"> </w:t>
      </w:r>
      <w:r>
        <w:rPr>
          <w:rFonts w:ascii="Avenir Next"/>
          <w:spacing w:val="-1"/>
          <w:sz w:val="16"/>
        </w:rPr>
        <w:t>probability</w:t>
      </w:r>
      <w:r>
        <w:rPr>
          <w:rFonts w:ascii="Avenir Next"/>
          <w:sz w:val="16"/>
        </w:rPr>
        <w:t xml:space="preserve"> of</w:t>
      </w:r>
      <w:r>
        <w:rPr>
          <w:rFonts w:ascii="Avenir Next"/>
          <w:spacing w:val="3"/>
          <w:sz w:val="16"/>
        </w:rPr>
        <w:t xml:space="preserve"> </w:t>
      </w:r>
      <w:r>
        <w:rPr>
          <w:rFonts w:ascii="Avenir Next"/>
          <w:sz w:val="16"/>
        </w:rPr>
        <w:t xml:space="preserve">a </w:t>
      </w:r>
      <w:r>
        <w:rPr>
          <w:rFonts w:ascii="Avenir Next"/>
          <w:spacing w:val="-1"/>
          <w:sz w:val="16"/>
        </w:rPr>
        <w:t>forecast</w:t>
      </w:r>
      <w:r>
        <w:rPr>
          <w:rFonts w:ascii="Avenir Next"/>
          <w:sz w:val="16"/>
        </w:rPr>
        <w:t xml:space="preserve"> being </w:t>
      </w:r>
      <w:r>
        <w:rPr>
          <w:rFonts w:ascii="Avenir Next"/>
          <w:spacing w:val="-1"/>
          <w:sz w:val="16"/>
        </w:rPr>
        <w:t>exceeded</w:t>
      </w:r>
      <w:r>
        <w:rPr>
          <w:rFonts w:ascii="Avenir Next"/>
          <w:sz w:val="16"/>
        </w:rPr>
        <w:t xml:space="preserve"> (or not met) lies between 0% and 100%.</w:t>
      </w:r>
      <w:r>
        <w:rPr>
          <w:rFonts w:ascii="Avenir Next"/>
          <w:spacing w:val="-5"/>
          <w:sz w:val="16"/>
        </w:rPr>
        <w:t xml:space="preserve"> </w:t>
      </w:r>
      <w:r>
        <w:rPr>
          <w:rFonts w:ascii="Avenir Next"/>
          <w:sz w:val="16"/>
        </w:rPr>
        <w:t>In making its</w:t>
      </w:r>
      <w:r>
        <w:rPr>
          <w:rFonts w:ascii="Avenir Next"/>
          <w:spacing w:val="57"/>
          <w:sz w:val="16"/>
        </w:rPr>
        <w:t xml:space="preserve"> </w:t>
      </w:r>
      <w:r>
        <w:rPr>
          <w:rFonts w:ascii="Avenir Next"/>
          <w:spacing w:val="-1"/>
          <w:sz w:val="16"/>
        </w:rPr>
        <w:t>draft</w:t>
      </w:r>
      <w:r>
        <w:rPr>
          <w:rFonts w:ascii="Avenir Next"/>
          <w:sz w:val="16"/>
        </w:rPr>
        <w:t xml:space="preserve"> decision,</w:t>
      </w:r>
      <w:r>
        <w:rPr>
          <w:rFonts w:ascii="Avenir Next"/>
          <w:spacing w:val="-5"/>
          <w:sz w:val="16"/>
        </w:rPr>
        <w:t xml:space="preserve"> </w:t>
      </w:r>
      <w:r>
        <w:rPr>
          <w:rFonts w:ascii="Avenir Next"/>
          <w:sz w:val="16"/>
        </w:rPr>
        <w:t>the objective of</w:t>
      </w:r>
      <w:r>
        <w:rPr>
          <w:rFonts w:ascii="Avenir Next"/>
          <w:spacing w:val="3"/>
          <w:sz w:val="16"/>
        </w:rPr>
        <w:t xml:space="preserve"> </w:t>
      </w:r>
      <w:r>
        <w:rPr>
          <w:rFonts w:ascii="Avenir Next"/>
          <w:sz w:val="16"/>
        </w:rPr>
        <w:t xml:space="preserve">the </w:t>
      </w:r>
      <w:r>
        <w:rPr>
          <w:rFonts w:ascii="Avenir Next"/>
          <w:spacing w:val="-2"/>
          <w:sz w:val="16"/>
        </w:rPr>
        <w:t>Panel</w:t>
      </w:r>
      <w:r>
        <w:rPr>
          <w:rFonts w:ascii="Avenir Next"/>
          <w:sz w:val="16"/>
        </w:rPr>
        <w:t xml:space="preserve"> is to adopt </w:t>
      </w:r>
      <w:r>
        <w:rPr>
          <w:rFonts w:ascii="Avenir Next"/>
          <w:spacing w:val="-1"/>
          <w:sz w:val="16"/>
        </w:rPr>
        <w:t>what</w:t>
      </w:r>
      <w:r>
        <w:rPr>
          <w:rFonts w:ascii="Avenir Next"/>
          <w:sz w:val="16"/>
        </w:rPr>
        <w:t xml:space="preserve"> it considers to be the best </w:t>
      </w:r>
      <w:r>
        <w:rPr>
          <w:rFonts w:ascii="Avenir Next"/>
          <w:spacing w:val="-1"/>
          <w:sz w:val="16"/>
        </w:rPr>
        <w:t>estimate</w:t>
      </w:r>
      <w:r>
        <w:rPr>
          <w:rFonts w:ascii="Avenir Next"/>
          <w:sz w:val="16"/>
        </w:rPr>
        <w:t xml:space="preserve"> of</w:t>
      </w:r>
      <w:r>
        <w:rPr>
          <w:rFonts w:ascii="Avenir Next"/>
          <w:spacing w:val="3"/>
          <w:sz w:val="16"/>
        </w:rPr>
        <w:t xml:space="preserve"> </w:t>
      </w:r>
      <w:r>
        <w:rPr>
          <w:rFonts w:ascii="Avenir Next"/>
          <w:spacing w:val="-1"/>
          <w:sz w:val="16"/>
        </w:rPr>
        <w:t>forecast</w:t>
      </w:r>
      <w:r>
        <w:rPr>
          <w:rFonts w:ascii="Avenir Next"/>
          <w:sz w:val="16"/>
        </w:rPr>
        <w:t xml:space="preserve"> </w:t>
      </w:r>
      <w:r>
        <w:rPr>
          <w:rFonts w:ascii="Avenir Next"/>
          <w:spacing w:val="-1"/>
          <w:sz w:val="16"/>
        </w:rPr>
        <w:t>water</w:t>
      </w:r>
      <w:r>
        <w:rPr>
          <w:rFonts w:ascii="Avenir Next"/>
          <w:sz w:val="16"/>
        </w:rPr>
        <w:t xml:space="preserve"> sales.</w:t>
      </w:r>
      <w:r>
        <w:rPr>
          <w:rFonts w:ascii="Avenir Next"/>
          <w:spacing w:val="-8"/>
          <w:sz w:val="16"/>
        </w:rPr>
        <w:t xml:space="preserve"> </w:t>
      </w:r>
      <w:r>
        <w:rPr>
          <w:rFonts w:ascii="Avenir Next"/>
          <w:sz w:val="16"/>
        </w:rPr>
        <w:t>A</w:t>
      </w:r>
      <w:r>
        <w:rPr>
          <w:rFonts w:ascii="Avenir Next"/>
          <w:spacing w:val="35"/>
          <w:sz w:val="16"/>
        </w:rPr>
        <w:t xml:space="preserve"> </w:t>
      </w:r>
      <w:r>
        <w:rPr>
          <w:rFonts w:ascii="Avenir Next"/>
          <w:spacing w:val="-1"/>
          <w:sz w:val="16"/>
        </w:rPr>
        <w:t>forecast</w:t>
      </w:r>
      <w:r>
        <w:rPr>
          <w:rFonts w:ascii="Avenir Next"/>
          <w:sz w:val="16"/>
        </w:rPr>
        <w:t xml:space="preserve"> with a </w:t>
      </w:r>
      <w:r>
        <w:rPr>
          <w:rFonts w:ascii="Avenir Next"/>
          <w:spacing w:val="-1"/>
          <w:sz w:val="16"/>
        </w:rPr>
        <w:t>near</w:t>
      </w:r>
      <w:r>
        <w:rPr>
          <w:rFonts w:ascii="Avenir Next"/>
          <w:sz w:val="16"/>
        </w:rPr>
        <w:t xml:space="preserve"> 90% chance of</w:t>
      </w:r>
      <w:r>
        <w:rPr>
          <w:rFonts w:ascii="Avenir Next"/>
          <w:spacing w:val="3"/>
          <w:sz w:val="16"/>
        </w:rPr>
        <w:t xml:space="preserve"> </w:t>
      </w:r>
      <w:r>
        <w:rPr>
          <w:rFonts w:ascii="Avenir Next"/>
          <w:sz w:val="16"/>
        </w:rPr>
        <w:t xml:space="preserve">being </w:t>
      </w:r>
      <w:r>
        <w:rPr>
          <w:rFonts w:ascii="Avenir Next"/>
          <w:spacing w:val="-1"/>
          <w:sz w:val="16"/>
        </w:rPr>
        <w:t>exceeded</w:t>
      </w:r>
      <w:r>
        <w:rPr>
          <w:rFonts w:ascii="Avenir Next"/>
          <w:sz w:val="16"/>
        </w:rPr>
        <w:t xml:space="preserve"> is </w:t>
      </w:r>
      <w:r>
        <w:rPr>
          <w:rFonts w:ascii="Avenir Next"/>
          <w:spacing w:val="-1"/>
          <w:sz w:val="16"/>
        </w:rPr>
        <w:t>unlikely</w:t>
      </w:r>
      <w:r>
        <w:rPr>
          <w:rFonts w:ascii="Avenir Next"/>
          <w:sz w:val="16"/>
        </w:rPr>
        <w:t xml:space="preserve"> to meet this objective.</w:t>
      </w:r>
    </w:p>
    <w:p w:rsidR="00D96B91" w:rsidRDefault="00D96B91">
      <w:pPr>
        <w:spacing w:before="12"/>
        <w:rPr>
          <w:rFonts w:ascii="Avenir Next" w:eastAsia="Avenir Next" w:hAnsi="Avenir Next" w:cs="Avenir Next"/>
          <w:sz w:val="10"/>
          <w:szCs w:val="10"/>
        </w:rPr>
      </w:pPr>
    </w:p>
    <w:p w:rsidR="00D96B91" w:rsidRDefault="00C2656B">
      <w:pPr>
        <w:numPr>
          <w:ilvl w:val="0"/>
          <w:numId w:val="55"/>
        </w:numPr>
        <w:tabs>
          <w:tab w:val="left" w:pos="1758"/>
        </w:tabs>
        <w:spacing w:line="192" w:lineRule="exact"/>
        <w:ind w:right="1627" w:hanging="510"/>
        <w:rPr>
          <w:rFonts w:ascii="Avenir Next" w:eastAsia="Avenir Next" w:hAnsi="Avenir Next" w:cs="Avenir Next"/>
          <w:sz w:val="16"/>
          <w:szCs w:val="16"/>
        </w:rPr>
      </w:pPr>
      <w:r>
        <w:rPr>
          <w:rFonts w:ascii="Avenir Next"/>
          <w:sz w:val="16"/>
        </w:rPr>
        <w:t xml:space="preserve">Institute for Sustainable </w:t>
      </w:r>
      <w:r>
        <w:rPr>
          <w:rFonts w:ascii="Avenir Next"/>
          <w:spacing w:val="-2"/>
          <w:sz w:val="16"/>
        </w:rPr>
        <w:t>Futures</w:t>
      </w:r>
      <w:r>
        <w:rPr>
          <w:rFonts w:ascii="Avenir Next"/>
          <w:sz w:val="16"/>
        </w:rPr>
        <w:t xml:space="preserve"> (on behalf</w:t>
      </w:r>
      <w:r>
        <w:rPr>
          <w:rFonts w:ascii="Avenir Next"/>
          <w:spacing w:val="3"/>
          <w:sz w:val="16"/>
        </w:rPr>
        <w:t xml:space="preserve"> </w:t>
      </w:r>
      <w:r>
        <w:rPr>
          <w:rFonts w:ascii="Avenir Next"/>
          <w:sz w:val="16"/>
        </w:rPr>
        <w:t>of</w:t>
      </w:r>
      <w:r>
        <w:rPr>
          <w:rFonts w:ascii="Avenir Next"/>
          <w:spacing w:val="3"/>
          <w:sz w:val="16"/>
        </w:rPr>
        <w:t xml:space="preserve"> </w:t>
      </w:r>
      <w:r>
        <w:rPr>
          <w:rFonts w:ascii="Avenir Next"/>
          <w:sz w:val="16"/>
        </w:rPr>
        <w:t xml:space="preserve">the </w:t>
      </w:r>
      <w:r>
        <w:rPr>
          <w:rFonts w:ascii="Avenir Next"/>
          <w:spacing w:val="-1"/>
          <w:sz w:val="16"/>
        </w:rPr>
        <w:t>National</w:t>
      </w:r>
      <w:r>
        <w:rPr>
          <w:rFonts w:ascii="Avenir Next"/>
          <w:spacing w:val="-2"/>
          <w:sz w:val="16"/>
        </w:rPr>
        <w:t xml:space="preserve"> Water</w:t>
      </w:r>
      <w:r>
        <w:rPr>
          <w:rFonts w:ascii="Avenir Next"/>
          <w:sz w:val="16"/>
        </w:rPr>
        <w:t xml:space="preserve"> </w:t>
      </w:r>
      <w:r>
        <w:rPr>
          <w:rFonts w:ascii="Avenir Next"/>
          <w:spacing w:val="-1"/>
          <w:sz w:val="16"/>
        </w:rPr>
        <w:t>Commission),</w:t>
      </w:r>
      <w:r>
        <w:rPr>
          <w:rFonts w:ascii="Avenir Next"/>
          <w:spacing w:val="-7"/>
          <w:sz w:val="16"/>
        </w:rPr>
        <w:t xml:space="preserve"> </w:t>
      </w:r>
      <w:r>
        <w:rPr>
          <w:rFonts w:ascii="Avenir Next"/>
          <w:spacing w:val="-1"/>
          <w:sz w:val="16"/>
        </w:rPr>
        <w:t>Waterlines</w:t>
      </w:r>
      <w:r>
        <w:rPr>
          <w:rFonts w:ascii="Avenir Next"/>
          <w:sz w:val="16"/>
        </w:rPr>
        <w:t xml:space="preserve"> </w:t>
      </w:r>
      <w:r>
        <w:rPr>
          <w:rFonts w:ascii="Avenir Next"/>
          <w:spacing w:val="-1"/>
          <w:sz w:val="16"/>
        </w:rPr>
        <w:t>Report</w:t>
      </w:r>
      <w:r>
        <w:rPr>
          <w:rFonts w:ascii="Avenir Next"/>
          <w:sz w:val="16"/>
        </w:rPr>
        <w:t xml:space="preserve"> Series </w:t>
      </w:r>
      <w:r>
        <w:rPr>
          <w:rFonts w:ascii="Avenir Next"/>
          <w:spacing w:val="-1"/>
          <w:sz w:val="16"/>
        </w:rPr>
        <w:t>No.41,</w:t>
      </w:r>
      <w:r>
        <w:rPr>
          <w:rFonts w:ascii="Avenir Next"/>
          <w:spacing w:val="-5"/>
          <w:sz w:val="16"/>
        </w:rPr>
        <w:t xml:space="preserve"> </w:t>
      </w:r>
      <w:r>
        <w:rPr>
          <w:rFonts w:ascii="Avenir Next"/>
          <w:spacing w:val="-1"/>
          <w:sz w:val="16"/>
        </w:rPr>
        <w:t>March</w:t>
      </w:r>
      <w:r>
        <w:rPr>
          <w:rFonts w:ascii="Avenir Next"/>
          <w:spacing w:val="65"/>
          <w:sz w:val="16"/>
        </w:rPr>
        <w:t xml:space="preserve"> </w:t>
      </w:r>
      <w:r>
        <w:rPr>
          <w:rFonts w:ascii="Avenir Next"/>
          <w:sz w:val="16"/>
        </w:rPr>
        <w:t>2011.</w:t>
      </w:r>
    </w:p>
    <w:p w:rsidR="00D96B91" w:rsidRDefault="00C2656B">
      <w:pPr>
        <w:numPr>
          <w:ilvl w:val="0"/>
          <w:numId w:val="55"/>
        </w:numPr>
        <w:tabs>
          <w:tab w:val="left" w:pos="1758"/>
        </w:tabs>
        <w:spacing w:before="141"/>
        <w:ind w:hanging="510"/>
        <w:rPr>
          <w:rFonts w:ascii="Avenir Next" w:eastAsia="Avenir Next" w:hAnsi="Avenir Next" w:cs="Avenir Next"/>
          <w:sz w:val="16"/>
          <w:szCs w:val="16"/>
        </w:rPr>
      </w:pP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model considers per capita consumption,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but only for the purposes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estimating</w:t>
      </w:r>
      <w:r>
        <w:rPr>
          <w:rFonts w:ascii="Avenir Next" w:eastAsia="Avenir Next" w:hAnsi="Avenir Next" w:cs="Avenir Next"/>
          <w:sz w:val="16"/>
          <w:szCs w:val="16"/>
        </w:rPr>
        <w:t xml:space="preserve"> tier 1 and 2 consumption.</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D96B91">
      <w:pPr>
        <w:pStyle w:val="BodyText"/>
        <w:spacing w:before="21" w:line="260" w:lineRule="exact"/>
        <w:ind w:right="1548"/>
      </w:pPr>
      <w:hyperlink w:anchor="_bookmark105" w:history="1">
        <w:r w:rsidR="00C2656B">
          <w:rPr>
            <w:spacing w:val="-4"/>
          </w:rPr>
          <w:t>Table</w:t>
        </w:r>
        <w:r w:rsidR="00C2656B">
          <w:t xml:space="preserve"> 12.3</w:t>
        </w:r>
      </w:hyperlink>
      <w:r w:rsidR="00C2656B">
        <w:t xml:space="preserve"> </w:t>
      </w:r>
      <w:r w:rsidR="00C2656B">
        <w:rPr>
          <w:spacing w:val="-1"/>
        </w:rPr>
        <w:t>compares</w:t>
      </w:r>
      <w:r w:rsidR="00C2656B">
        <w:t xml:space="preserve"> </w:t>
      </w:r>
      <w:r w:rsidR="00C2656B">
        <w:rPr>
          <w:spacing w:val="-3"/>
        </w:rPr>
        <w:t>Cardno’s</w:t>
      </w:r>
      <w:r w:rsidR="00C2656B">
        <w:t xml:space="preserve"> and</w:t>
      </w:r>
      <w:r w:rsidR="00C2656B">
        <w:rPr>
          <w:spacing w:val="-4"/>
        </w:rPr>
        <w:t xml:space="preserve"> </w:t>
      </w:r>
      <w:r w:rsidR="00C2656B">
        <w:rPr>
          <w:spacing w:val="-2"/>
        </w:rPr>
        <w:t>ACTEW’s</w:t>
      </w:r>
      <w:r w:rsidR="00C2656B">
        <w:t xml:space="preserve"> </w:t>
      </w:r>
      <w:r w:rsidR="00C2656B">
        <w:rPr>
          <w:spacing w:val="-1"/>
        </w:rPr>
        <w:t>broad</w:t>
      </w:r>
      <w:r w:rsidR="00C2656B">
        <w:t xml:space="preserve"> </w:t>
      </w:r>
      <w:r w:rsidR="00C2656B">
        <w:rPr>
          <w:spacing w:val="-1"/>
        </w:rPr>
        <w:t>approaches</w:t>
      </w:r>
      <w:r w:rsidR="00C2656B">
        <w:t xml:space="preserve"> to </w:t>
      </w:r>
      <w:r w:rsidR="00C2656B">
        <w:rPr>
          <w:spacing w:val="-1"/>
        </w:rPr>
        <w:t>forecasting</w:t>
      </w:r>
      <w:r w:rsidR="00C2656B">
        <w:t xml:space="preserve"> </w:t>
      </w:r>
      <w:r w:rsidR="00C2656B">
        <w:rPr>
          <w:spacing w:val="-1"/>
        </w:rPr>
        <w:t>water</w:t>
      </w:r>
      <w:r w:rsidR="00C2656B">
        <w:t xml:space="preserve"> sales.</w:t>
      </w:r>
      <w:r w:rsidR="00C2656B">
        <w:rPr>
          <w:spacing w:val="-6"/>
        </w:rPr>
        <w:t xml:space="preserve"> </w:t>
      </w:r>
      <w:r w:rsidR="00C2656B">
        <w:rPr>
          <w:spacing w:val="-1"/>
        </w:rPr>
        <w:t>Box</w:t>
      </w:r>
      <w:r w:rsidR="00C2656B">
        <w:t xml:space="preserve"> 12.1</w:t>
      </w:r>
      <w:r w:rsidR="00C2656B">
        <w:rPr>
          <w:spacing w:val="59"/>
        </w:rPr>
        <w:t xml:space="preserve"> </w:t>
      </w:r>
      <w:r w:rsidR="00C2656B">
        <w:t xml:space="preserve">summarises the main steps in </w:t>
      </w:r>
      <w:r w:rsidR="00C2656B">
        <w:rPr>
          <w:spacing w:val="-3"/>
        </w:rPr>
        <w:t>Cardno’s</w:t>
      </w:r>
      <w:r w:rsidR="00C2656B">
        <w:t xml:space="preserve"> </w:t>
      </w:r>
      <w:r w:rsidR="00C2656B">
        <w:rPr>
          <w:spacing w:val="-1"/>
        </w:rPr>
        <w:t>recommended</w:t>
      </w:r>
      <w:r w:rsidR="00C2656B">
        <w:t xml:space="preserve"> </w:t>
      </w:r>
      <w:r w:rsidR="00C2656B">
        <w:rPr>
          <w:spacing w:val="-1"/>
        </w:rPr>
        <w:t>forecasting</w:t>
      </w:r>
      <w:r w:rsidR="00C2656B">
        <w:t xml:space="preserve"> </w:t>
      </w:r>
      <w:r w:rsidR="00C2656B">
        <w:rPr>
          <w:spacing w:val="-1"/>
        </w:rPr>
        <w:t>methodology.</w:t>
      </w:r>
    </w:p>
    <w:p w:rsidR="00D96B91" w:rsidRDefault="00C2656B">
      <w:pPr>
        <w:spacing w:before="158"/>
        <w:ind w:left="1247"/>
        <w:rPr>
          <w:rFonts w:ascii="Avenir Next" w:eastAsia="Avenir Next" w:hAnsi="Avenir Next" w:cs="Avenir Next"/>
          <w:sz w:val="20"/>
          <w:szCs w:val="20"/>
        </w:rPr>
      </w:pPr>
      <w:bookmarkStart w:id="166" w:name="_bookmark105"/>
      <w:bookmarkEnd w:id="166"/>
      <w:r>
        <w:rPr>
          <w:rFonts w:ascii="Avenir Next"/>
          <w:b/>
          <w:spacing w:val="-4"/>
          <w:sz w:val="20"/>
        </w:rPr>
        <w:t>Table</w:t>
      </w:r>
      <w:r>
        <w:rPr>
          <w:rFonts w:ascii="Avenir Next"/>
          <w:b/>
          <w:sz w:val="20"/>
        </w:rPr>
        <w:t xml:space="preserve"> 12.3: </w:t>
      </w:r>
      <w:r>
        <w:rPr>
          <w:rFonts w:ascii="Avenir Next"/>
          <w:b/>
          <w:spacing w:val="-1"/>
          <w:sz w:val="20"/>
        </w:rPr>
        <w:t>Comparison</w:t>
      </w:r>
      <w:r>
        <w:rPr>
          <w:rFonts w:ascii="Avenir Next"/>
          <w:b/>
          <w:sz w:val="20"/>
        </w:rPr>
        <w:t xml:space="preserve"> of</w:t>
      </w:r>
      <w:r>
        <w:rPr>
          <w:rFonts w:ascii="Avenir Next"/>
          <w:b/>
          <w:spacing w:val="4"/>
          <w:sz w:val="20"/>
        </w:rPr>
        <w:t xml:space="preserve"> </w:t>
      </w:r>
      <w:r>
        <w:rPr>
          <w:rFonts w:ascii="Avenir Next"/>
          <w:b/>
          <w:spacing w:val="-2"/>
          <w:sz w:val="20"/>
        </w:rPr>
        <w:t>Cardno</w:t>
      </w:r>
      <w:r>
        <w:rPr>
          <w:rFonts w:ascii="Avenir Next"/>
          <w:b/>
          <w:sz w:val="20"/>
        </w:rPr>
        <w:t xml:space="preserve"> and</w:t>
      </w:r>
      <w:r>
        <w:rPr>
          <w:rFonts w:ascii="Avenir Next"/>
          <w:b/>
          <w:spacing w:val="-4"/>
          <w:sz w:val="20"/>
        </w:rPr>
        <w:t xml:space="preserve"> </w:t>
      </w:r>
      <w:r>
        <w:rPr>
          <w:rFonts w:ascii="Avenir Next"/>
          <w:b/>
          <w:spacing w:val="-2"/>
          <w:sz w:val="20"/>
        </w:rPr>
        <w:t>ACTEW</w:t>
      </w:r>
      <w:r>
        <w:rPr>
          <w:rFonts w:ascii="Avenir Next"/>
          <w:b/>
          <w:spacing w:val="-3"/>
          <w:sz w:val="20"/>
        </w:rPr>
        <w:t xml:space="preserve"> </w:t>
      </w:r>
      <w:r>
        <w:rPr>
          <w:rFonts w:ascii="Avenir Next"/>
          <w:b/>
          <w:spacing w:val="-1"/>
          <w:sz w:val="20"/>
        </w:rPr>
        <w:t>approaches</w:t>
      </w:r>
      <w:r>
        <w:rPr>
          <w:rFonts w:ascii="Avenir Next"/>
          <w:b/>
          <w:sz w:val="20"/>
        </w:rPr>
        <w:t xml:space="preserve"> in </w:t>
      </w:r>
      <w:r>
        <w:rPr>
          <w:rFonts w:ascii="Avenir Next"/>
          <w:b/>
          <w:spacing w:val="-1"/>
          <w:sz w:val="20"/>
        </w:rPr>
        <w:t>forecasting</w:t>
      </w:r>
      <w:r>
        <w:rPr>
          <w:rFonts w:ascii="Avenir Next"/>
          <w:b/>
          <w:sz w:val="20"/>
        </w:rPr>
        <w:t xml:space="preserve"> </w:t>
      </w:r>
      <w:r>
        <w:rPr>
          <w:rFonts w:ascii="Avenir Next"/>
          <w:b/>
          <w:spacing w:val="-1"/>
          <w:sz w:val="20"/>
        </w:rPr>
        <w:t>water</w:t>
      </w:r>
      <w:r>
        <w:rPr>
          <w:rFonts w:ascii="Avenir Next"/>
          <w:b/>
          <w:sz w:val="20"/>
        </w:rPr>
        <w:t xml:space="preserve"> sales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4701"/>
        <w:gridCol w:w="4701"/>
      </w:tblGrid>
      <w:tr w:rsidR="00D96B91">
        <w:trPr>
          <w:trHeight w:hRule="exact" w:val="407"/>
        </w:trPr>
        <w:tc>
          <w:tcPr>
            <w:tcW w:w="47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ACTEW</w:t>
            </w:r>
            <w:r>
              <w:rPr>
                <w:rFonts w:ascii="Avenir Next Condensed"/>
                <w:b/>
                <w:color w:val="FFFFFF"/>
                <w:spacing w:val="-3"/>
                <w:sz w:val="18"/>
              </w:rPr>
              <w:t xml:space="preserve"> </w:t>
            </w:r>
            <w:r>
              <w:rPr>
                <w:rFonts w:ascii="Avenir Next Condensed"/>
                <w:b/>
                <w:color w:val="FFFFFF"/>
                <w:spacing w:val="-1"/>
                <w:sz w:val="18"/>
              </w:rPr>
              <w:t>approach</w:t>
            </w:r>
          </w:p>
        </w:tc>
        <w:tc>
          <w:tcPr>
            <w:tcW w:w="47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Cardno</w:t>
            </w:r>
            <w:r>
              <w:rPr>
                <w:rFonts w:ascii="Avenir Next Condensed"/>
                <w:b/>
                <w:color w:val="FFFFFF"/>
                <w:sz w:val="18"/>
              </w:rPr>
              <w:t xml:space="preserve"> </w:t>
            </w:r>
            <w:r>
              <w:rPr>
                <w:rFonts w:ascii="Avenir Next Condensed"/>
                <w:b/>
                <w:color w:val="FFFFFF"/>
                <w:spacing w:val="-1"/>
                <w:sz w:val="18"/>
              </w:rPr>
              <w:t>approach</w:t>
            </w:r>
          </w:p>
        </w:tc>
      </w:tr>
      <w:tr w:rsidR="00D96B91">
        <w:trPr>
          <w:trHeight w:hRule="exact" w:val="407"/>
        </w:trPr>
        <w:tc>
          <w:tcPr>
            <w:tcW w:w="47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53"/>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Uses </w:t>
            </w:r>
            <w:r>
              <w:rPr>
                <w:rFonts w:ascii="Avenir Next Condensed"/>
                <w:spacing w:val="-1"/>
                <w:sz w:val="18"/>
              </w:rPr>
              <w:t>weather</w:t>
            </w:r>
            <w:r>
              <w:rPr>
                <w:rFonts w:ascii="Avenir Next Condensed"/>
                <w:sz w:val="18"/>
              </w:rPr>
              <w:t xml:space="preserve"> as a </w:t>
            </w:r>
            <w:r>
              <w:rPr>
                <w:rFonts w:ascii="Avenir Next Condensed"/>
                <w:spacing w:val="-1"/>
                <w:sz w:val="18"/>
              </w:rPr>
              <w:t>predictor</w:t>
            </w:r>
          </w:p>
        </w:tc>
        <w:tc>
          <w:tcPr>
            <w:tcW w:w="47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52"/>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Uses </w:t>
            </w:r>
            <w:r>
              <w:rPr>
                <w:rFonts w:ascii="Avenir Next Condensed"/>
                <w:spacing w:val="-1"/>
                <w:sz w:val="18"/>
              </w:rPr>
              <w:t>weather</w:t>
            </w:r>
            <w:r>
              <w:rPr>
                <w:rFonts w:ascii="Avenir Next Condensed"/>
                <w:sz w:val="18"/>
              </w:rPr>
              <w:t xml:space="preserve"> as a </w:t>
            </w:r>
            <w:r>
              <w:rPr>
                <w:rFonts w:ascii="Avenir Next Condensed"/>
                <w:spacing w:val="-1"/>
                <w:sz w:val="18"/>
              </w:rPr>
              <w:t>predictor</w:t>
            </w:r>
          </w:p>
        </w:tc>
      </w:tr>
      <w:tr w:rsidR="00D96B91">
        <w:trPr>
          <w:trHeight w:hRule="exact" w:val="407"/>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51"/>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Uses </w:t>
            </w:r>
            <w:r>
              <w:rPr>
                <w:rFonts w:ascii="Avenir Next Condensed"/>
                <w:spacing w:val="-1"/>
                <w:sz w:val="18"/>
              </w:rPr>
              <w:t>restrictions</w:t>
            </w:r>
            <w:r>
              <w:rPr>
                <w:rFonts w:ascii="Avenir Next Condensed"/>
                <w:sz w:val="18"/>
              </w:rPr>
              <w:t xml:space="preserve"> as a </w:t>
            </w:r>
            <w:r>
              <w:rPr>
                <w:rFonts w:ascii="Avenir Next Condensed"/>
                <w:spacing w:val="-1"/>
                <w:sz w:val="18"/>
              </w:rPr>
              <w:t>predictor</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50"/>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Uses </w:t>
            </w:r>
            <w:r>
              <w:rPr>
                <w:rFonts w:ascii="Avenir Next Condensed"/>
                <w:spacing w:val="-1"/>
                <w:sz w:val="18"/>
              </w:rPr>
              <w:t>restrictions</w:t>
            </w:r>
            <w:r>
              <w:rPr>
                <w:rFonts w:ascii="Avenir Next Condensed"/>
                <w:sz w:val="18"/>
              </w:rPr>
              <w:t xml:space="preserve"> as a </w:t>
            </w:r>
            <w:r>
              <w:rPr>
                <w:rFonts w:ascii="Avenir Next Condensed"/>
                <w:spacing w:val="-1"/>
                <w:sz w:val="18"/>
              </w:rPr>
              <w:t>predictor</w:t>
            </w:r>
          </w:p>
        </w:tc>
      </w:tr>
      <w:tr w:rsidR="00D96B91">
        <w:trPr>
          <w:trHeight w:hRule="exact" w:val="627"/>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9"/>
              </w:numPr>
              <w:tabs>
                <w:tab w:val="left" w:pos="336"/>
              </w:tabs>
              <w:spacing w:before="112" w:line="220" w:lineRule="exact"/>
              <w:ind w:right="263"/>
              <w:rPr>
                <w:rFonts w:ascii="Avenir Next Condensed" w:eastAsia="Avenir Next Condensed" w:hAnsi="Avenir Next Condensed" w:cs="Avenir Next Condensed"/>
                <w:sz w:val="18"/>
                <w:szCs w:val="18"/>
              </w:rPr>
            </w:pPr>
            <w:r>
              <w:rPr>
                <w:rFonts w:ascii="Avenir Next Condensed"/>
                <w:sz w:val="18"/>
              </w:rPr>
              <w:t xml:space="preserve">Does not </w:t>
            </w:r>
            <w:r>
              <w:rPr>
                <w:rFonts w:ascii="Avenir Next Condensed"/>
                <w:spacing w:val="-1"/>
                <w:sz w:val="18"/>
              </w:rPr>
              <w:t>take</w:t>
            </w:r>
            <w:r>
              <w:rPr>
                <w:rFonts w:ascii="Avenir Next Condensed"/>
                <w:sz w:val="18"/>
              </w:rPr>
              <w:t xml:space="preserve"> into account population </w:t>
            </w:r>
            <w:r>
              <w:rPr>
                <w:rFonts w:ascii="Avenir Next Condensed"/>
                <w:spacing w:val="-1"/>
                <w:sz w:val="18"/>
              </w:rPr>
              <w:t>(assumed</w:t>
            </w:r>
            <w:r>
              <w:rPr>
                <w:rFonts w:ascii="Avenir Next Condensed"/>
                <w:sz w:val="18"/>
              </w:rPr>
              <w:t xml:space="preserve"> to cancel out the</w:t>
            </w:r>
            <w:r>
              <w:rPr>
                <w:rFonts w:ascii="Avenir Next Condensed"/>
                <w:spacing w:val="27"/>
                <w:sz w:val="18"/>
              </w:rPr>
              <w:t xml:space="preserve"> </w:t>
            </w:r>
            <w:r>
              <w:rPr>
                <w:rFonts w:ascii="Avenir Next Condensed"/>
                <w:spacing w:val="-1"/>
                <w:sz w:val="18"/>
              </w:rPr>
              <w:t>effects</w:t>
            </w:r>
            <w:r>
              <w:rPr>
                <w:rFonts w:ascii="Avenir Next Condensed"/>
                <w:sz w:val="18"/>
              </w:rPr>
              <w:t xml:space="preserve"> of</w:t>
            </w:r>
            <w:r>
              <w:rPr>
                <w:rFonts w:ascii="Avenir Next Condensed"/>
                <w:spacing w:val="4"/>
                <w:sz w:val="18"/>
              </w:rPr>
              <w:t xml:space="preserve"> </w:t>
            </w:r>
            <w:r>
              <w:rPr>
                <w:rFonts w:ascii="Avenir Next Condensed"/>
                <w:sz w:val="18"/>
              </w:rPr>
              <w:t>behaviour and housing stock changes)</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8"/>
              </w:numPr>
              <w:tabs>
                <w:tab w:val="left" w:pos="336"/>
              </w:tabs>
              <w:spacing w:before="112" w:line="220" w:lineRule="exact"/>
              <w:ind w:right="545"/>
              <w:rPr>
                <w:rFonts w:ascii="Avenir Next Condensed" w:eastAsia="Avenir Next Condensed" w:hAnsi="Avenir Next Condensed" w:cs="Avenir Next Condensed"/>
                <w:sz w:val="18"/>
                <w:szCs w:val="18"/>
              </w:rPr>
            </w:pPr>
            <w:r>
              <w:rPr>
                <w:rFonts w:ascii="Avenir Next Condensed"/>
                <w:sz w:val="18"/>
              </w:rPr>
              <w:t xml:space="preserve">Uses population </w:t>
            </w:r>
            <w:r>
              <w:rPr>
                <w:rFonts w:ascii="Avenir Next Condensed"/>
                <w:spacing w:val="-1"/>
                <w:sz w:val="18"/>
              </w:rPr>
              <w:t>growth</w:t>
            </w:r>
            <w:r>
              <w:rPr>
                <w:rFonts w:ascii="Avenir Next Condensed"/>
                <w:sz w:val="18"/>
              </w:rPr>
              <w:t xml:space="preserve"> as a </w:t>
            </w:r>
            <w:r>
              <w:rPr>
                <w:rFonts w:ascii="Avenir Next Condensed"/>
                <w:spacing w:val="-1"/>
                <w:sz w:val="18"/>
              </w:rPr>
              <w:t>predictor</w:t>
            </w:r>
            <w:r>
              <w:rPr>
                <w:rFonts w:ascii="Avenir Next Condensed"/>
                <w:sz w:val="18"/>
              </w:rPr>
              <w:t xml:space="preserve"> (ie,</w:t>
            </w:r>
            <w:r>
              <w:rPr>
                <w:rFonts w:ascii="Avenir Next Condensed"/>
                <w:spacing w:val="-6"/>
                <w:sz w:val="18"/>
              </w:rPr>
              <w:t xml:space="preserve"> </w:t>
            </w:r>
            <w:r>
              <w:rPr>
                <w:rFonts w:ascii="Avenir Next Condensed"/>
                <w:spacing w:val="-1"/>
                <w:sz w:val="18"/>
              </w:rPr>
              <w:t>trends</w:t>
            </w:r>
            <w:r>
              <w:rPr>
                <w:rFonts w:ascii="Avenir Next Condensed"/>
                <w:sz w:val="18"/>
              </w:rPr>
              <w:t xml:space="preserve"> in customer</w:t>
            </w:r>
            <w:r>
              <w:rPr>
                <w:rFonts w:ascii="Avenir Next Condensed"/>
                <w:spacing w:val="31"/>
                <w:sz w:val="18"/>
              </w:rPr>
              <w:t xml:space="preserve"> </w:t>
            </w:r>
            <w:r>
              <w:rPr>
                <w:rFonts w:ascii="Avenir Next Condensed"/>
                <w:spacing w:val="-1"/>
                <w:sz w:val="18"/>
              </w:rPr>
              <w:t>growth)</w:t>
            </w:r>
          </w:p>
        </w:tc>
      </w:tr>
      <w:tr w:rsidR="00D96B91">
        <w:trPr>
          <w:trHeight w:hRule="exact" w:val="407"/>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7"/>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Does not allow for behaviour change</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6"/>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Accounts for behaviour change </w:t>
            </w:r>
            <w:r>
              <w:rPr>
                <w:rFonts w:ascii="Avenir Next Condensed"/>
                <w:spacing w:val="-1"/>
                <w:sz w:val="18"/>
              </w:rPr>
              <w:t>(where</w:t>
            </w:r>
            <w:r>
              <w:rPr>
                <w:rFonts w:ascii="Avenir Next Condensed"/>
                <w:sz w:val="18"/>
              </w:rPr>
              <w:t xml:space="preserve"> </w:t>
            </w:r>
            <w:r>
              <w:rPr>
                <w:rFonts w:ascii="Avenir Next Condensed"/>
                <w:spacing w:val="-1"/>
                <w:sz w:val="18"/>
              </w:rPr>
              <w:t>possible)</w:t>
            </w:r>
          </w:p>
        </w:tc>
      </w:tr>
      <w:tr w:rsidR="00D96B91">
        <w:trPr>
          <w:trHeight w:hRule="exact" w:val="407"/>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5"/>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Does not </w:t>
            </w:r>
            <w:r>
              <w:rPr>
                <w:rFonts w:ascii="Avenir Next Condensed"/>
                <w:spacing w:val="-1"/>
                <w:sz w:val="18"/>
              </w:rPr>
              <w:t>take</w:t>
            </w:r>
            <w:r>
              <w:rPr>
                <w:rFonts w:ascii="Avenir Next Condensed"/>
                <w:sz w:val="18"/>
              </w:rPr>
              <w:t xml:space="preserve"> into account changes in housing stock</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4"/>
              </w:numPr>
              <w:tabs>
                <w:tab w:val="left" w:pos="336"/>
              </w:tabs>
              <w:spacing w:before="108"/>
              <w:rPr>
                <w:rFonts w:ascii="Avenir Next Condensed" w:eastAsia="Avenir Next Condensed" w:hAnsi="Avenir Next Condensed" w:cs="Avenir Next Condensed"/>
                <w:sz w:val="18"/>
                <w:szCs w:val="18"/>
              </w:rPr>
            </w:pPr>
            <w:r>
              <w:rPr>
                <w:rFonts w:ascii="Avenir Next Condensed"/>
                <w:sz w:val="18"/>
              </w:rPr>
              <w:t xml:space="preserve">Uses available data about the </w:t>
            </w:r>
            <w:r>
              <w:rPr>
                <w:rFonts w:ascii="Avenir Next Condensed"/>
                <w:spacing w:val="-1"/>
                <w:sz w:val="18"/>
              </w:rPr>
              <w:t>effect</w:t>
            </w:r>
            <w:r>
              <w:rPr>
                <w:rFonts w:ascii="Avenir Next Condensed"/>
                <w:sz w:val="18"/>
              </w:rPr>
              <w:t xml:space="preserve"> of</w:t>
            </w:r>
            <w:r>
              <w:rPr>
                <w:rFonts w:ascii="Avenir Next Condensed"/>
                <w:spacing w:val="4"/>
                <w:sz w:val="18"/>
              </w:rPr>
              <w:t xml:space="preserve"> </w:t>
            </w:r>
            <w:r>
              <w:rPr>
                <w:rFonts w:ascii="Avenir Next Condensed"/>
                <w:sz w:val="18"/>
              </w:rPr>
              <w:t xml:space="preserve">new </w:t>
            </w:r>
            <w:r>
              <w:rPr>
                <w:rFonts w:ascii="Avenir Next Condensed"/>
                <w:spacing w:val="-1"/>
                <w:sz w:val="18"/>
              </w:rPr>
              <w:t>properties</w:t>
            </w:r>
          </w:p>
        </w:tc>
      </w:tr>
      <w:tr w:rsidR="00D96B91">
        <w:trPr>
          <w:trHeight w:hRule="exact" w:val="627"/>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3"/>
              </w:numPr>
              <w:tabs>
                <w:tab w:val="left" w:pos="336"/>
              </w:tabs>
              <w:spacing w:before="108"/>
              <w:rPr>
                <w:rFonts w:ascii="Avenir Next Condensed" w:eastAsia="Avenir Next Condensed" w:hAnsi="Avenir Next Condensed" w:cs="Avenir Next Condensed"/>
                <w:sz w:val="18"/>
                <w:szCs w:val="18"/>
              </w:rPr>
            </w:pPr>
            <w:r>
              <w:rPr>
                <w:rFonts w:ascii="Avenir Next Condensed"/>
                <w:spacing w:val="-1"/>
                <w:sz w:val="18"/>
              </w:rPr>
              <w:t>Considers</w:t>
            </w:r>
            <w:r>
              <w:rPr>
                <w:rFonts w:ascii="Avenir Next Condensed"/>
                <w:sz w:val="18"/>
              </w:rPr>
              <w:t xml:space="preserve"> price elasticity</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2"/>
              </w:numPr>
              <w:tabs>
                <w:tab w:val="left" w:pos="336"/>
              </w:tabs>
              <w:spacing w:before="112" w:line="220" w:lineRule="exact"/>
              <w:ind w:right="526"/>
              <w:rPr>
                <w:rFonts w:ascii="Avenir Next Condensed" w:eastAsia="Avenir Next Condensed" w:hAnsi="Avenir Next Condensed" w:cs="Avenir Next Condensed"/>
                <w:sz w:val="18"/>
                <w:szCs w:val="18"/>
              </w:rPr>
            </w:pPr>
            <w:r>
              <w:rPr>
                <w:rFonts w:ascii="Avenir Next Condensed"/>
                <w:spacing w:val="-1"/>
                <w:sz w:val="18"/>
              </w:rPr>
              <w:t>Ignores</w:t>
            </w:r>
            <w:r>
              <w:rPr>
                <w:rFonts w:ascii="Avenir Next Condensed"/>
                <w:sz w:val="18"/>
              </w:rPr>
              <w:t xml:space="preserve"> price elasticity but </w:t>
            </w:r>
            <w:r>
              <w:rPr>
                <w:rFonts w:ascii="Avenir Next Condensed"/>
                <w:spacing w:val="-1"/>
                <w:sz w:val="18"/>
              </w:rPr>
              <w:t>assumes</w:t>
            </w:r>
            <w:r>
              <w:rPr>
                <w:rFonts w:ascii="Avenir Next Condensed"/>
                <w:sz w:val="18"/>
              </w:rPr>
              <w:t xml:space="preserve"> it is part of</w:t>
            </w:r>
            <w:r>
              <w:rPr>
                <w:rFonts w:ascii="Avenir Next Condensed"/>
                <w:spacing w:val="4"/>
                <w:sz w:val="18"/>
              </w:rPr>
              <w:t xml:space="preserve"> </w:t>
            </w:r>
            <w:r>
              <w:rPr>
                <w:rFonts w:ascii="Avenir Next Condensed"/>
                <w:sz w:val="18"/>
              </w:rPr>
              <w:t>the behaviour</w:t>
            </w:r>
            <w:r>
              <w:rPr>
                <w:rFonts w:ascii="Avenir Next Condensed"/>
                <w:spacing w:val="21"/>
                <w:sz w:val="18"/>
              </w:rPr>
              <w:t xml:space="preserve"> </w:t>
            </w:r>
            <w:r>
              <w:rPr>
                <w:rFonts w:ascii="Avenir Next Condensed"/>
                <w:sz w:val="18"/>
              </w:rPr>
              <w:t xml:space="preserve">change following </w:t>
            </w:r>
            <w:r>
              <w:rPr>
                <w:rFonts w:ascii="Avenir Next Condensed"/>
                <w:spacing w:val="-1"/>
                <w:sz w:val="18"/>
              </w:rPr>
              <w:t>restrictions</w:t>
            </w:r>
          </w:p>
        </w:tc>
      </w:tr>
      <w:tr w:rsidR="00D96B91">
        <w:trPr>
          <w:trHeight w:hRule="exact" w:val="826"/>
        </w:trPr>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1"/>
              </w:numPr>
              <w:tabs>
                <w:tab w:val="left" w:pos="336"/>
              </w:tabs>
              <w:spacing w:before="112" w:line="220" w:lineRule="exact"/>
              <w:ind w:right="253"/>
              <w:rPr>
                <w:rFonts w:ascii="Avenir Next Condensed" w:eastAsia="Avenir Next Condensed" w:hAnsi="Avenir Next Condensed" w:cs="Avenir Next Condensed"/>
                <w:sz w:val="18"/>
                <w:szCs w:val="18"/>
              </w:rPr>
            </w:pPr>
            <w:r>
              <w:rPr>
                <w:rFonts w:ascii="Avenir Next Condensed"/>
                <w:sz w:val="18"/>
              </w:rPr>
              <w:t xml:space="preserve">Builds a </w:t>
            </w:r>
            <w:r>
              <w:rPr>
                <w:rFonts w:ascii="Avenir Next Condensed"/>
                <w:spacing w:val="-1"/>
                <w:sz w:val="18"/>
              </w:rPr>
              <w:t>regression</w:t>
            </w:r>
            <w:r>
              <w:rPr>
                <w:rFonts w:ascii="Avenir Next Condensed"/>
                <w:sz w:val="18"/>
              </w:rPr>
              <w:t xml:space="preserve"> model of</w:t>
            </w:r>
            <w:r>
              <w:rPr>
                <w:rFonts w:ascii="Avenir Next Condensed"/>
                <w:spacing w:val="4"/>
                <w:sz w:val="18"/>
              </w:rPr>
              <w:t xml:space="preserve"> </w:t>
            </w:r>
            <w:r>
              <w:rPr>
                <w:rFonts w:ascii="Avenir Next Condensed"/>
                <w:sz w:val="18"/>
              </w:rPr>
              <w:t xml:space="preserve">daily </w:t>
            </w:r>
            <w:r>
              <w:rPr>
                <w:rFonts w:ascii="Avenir Next Condensed"/>
                <w:spacing w:val="-1"/>
                <w:sz w:val="18"/>
              </w:rPr>
              <w:t>average</w:t>
            </w:r>
            <w:r>
              <w:rPr>
                <w:rFonts w:ascii="Avenir Next Condensed"/>
                <w:sz w:val="18"/>
              </w:rPr>
              <w:t xml:space="preserve"> (and median)</w:t>
            </w:r>
            <w:r>
              <w:rPr>
                <w:rFonts w:ascii="Avenir Next Condensed"/>
                <w:spacing w:val="30"/>
                <w:sz w:val="18"/>
              </w:rPr>
              <w:t xml:space="preserve"> </w:t>
            </w:r>
            <w:r>
              <w:rPr>
                <w:rFonts w:ascii="Avenir Next Condensed"/>
                <w:sz w:val="18"/>
              </w:rPr>
              <w:t>consumption using a sample of</w:t>
            </w:r>
            <w:r>
              <w:rPr>
                <w:rFonts w:ascii="Avenir Next Condensed"/>
                <w:spacing w:val="4"/>
                <w:sz w:val="18"/>
              </w:rPr>
              <w:t xml:space="preserve"> </w:t>
            </w:r>
            <w:r>
              <w:rPr>
                <w:rFonts w:ascii="Avenir Next Condensed"/>
                <w:sz w:val="18"/>
              </w:rPr>
              <w:t>billing data by customer category</w:t>
            </w:r>
          </w:p>
        </w:tc>
        <w:tc>
          <w:tcPr>
            <w:tcW w:w="4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40"/>
              </w:numPr>
              <w:tabs>
                <w:tab w:val="left" w:pos="336"/>
              </w:tabs>
              <w:spacing w:before="112" w:line="220" w:lineRule="exact"/>
              <w:ind w:right="261"/>
              <w:rPr>
                <w:rFonts w:ascii="Avenir Next Condensed" w:eastAsia="Avenir Next Condensed" w:hAnsi="Avenir Next Condensed" w:cs="Avenir Next Condensed"/>
                <w:sz w:val="18"/>
                <w:szCs w:val="18"/>
              </w:rPr>
            </w:pPr>
            <w:r>
              <w:rPr>
                <w:rFonts w:ascii="Avenir Next Condensed"/>
                <w:sz w:val="18"/>
              </w:rPr>
              <w:t xml:space="preserve">Builds a </w:t>
            </w:r>
            <w:r>
              <w:rPr>
                <w:rFonts w:ascii="Avenir Next Condensed"/>
                <w:spacing w:val="-1"/>
                <w:sz w:val="18"/>
              </w:rPr>
              <w:t>regression</w:t>
            </w:r>
            <w:r>
              <w:rPr>
                <w:rFonts w:ascii="Avenir Next Condensed"/>
                <w:sz w:val="18"/>
              </w:rPr>
              <w:t xml:space="preserve"> model for consumption using annual </w:t>
            </w:r>
            <w:r>
              <w:rPr>
                <w:rFonts w:ascii="Avenir Next Condensed"/>
                <w:spacing w:val="-1"/>
                <w:sz w:val="18"/>
              </w:rPr>
              <w:t>average</w:t>
            </w:r>
            <w:r>
              <w:rPr>
                <w:rFonts w:ascii="Avenir Next Condensed"/>
                <w:spacing w:val="30"/>
                <w:sz w:val="18"/>
              </w:rPr>
              <w:t xml:space="preserve"> </w:t>
            </w:r>
            <w:r>
              <w:rPr>
                <w:rFonts w:ascii="Avenir Next Condensed"/>
                <w:sz w:val="18"/>
              </w:rPr>
              <w:t>data,</w:t>
            </w:r>
            <w:r>
              <w:rPr>
                <w:rFonts w:ascii="Avenir Next Condensed"/>
                <w:spacing w:val="-6"/>
                <w:sz w:val="18"/>
              </w:rPr>
              <w:t xml:space="preserve"> </w:t>
            </w:r>
            <w:r>
              <w:rPr>
                <w:rFonts w:ascii="Avenir Next Condensed"/>
                <w:sz w:val="18"/>
              </w:rPr>
              <w:t>by customer category</w:t>
            </w:r>
          </w:p>
        </w:tc>
      </w:tr>
    </w:tbl>
    <w:p w:rsidR="00D96B91" w:rsidRDefault="00D96B91">
      <w:pPr>
        <w:spacing w:before="10"/>
        <w:rPr>
          <w:rFonts w:ascii="Avenir Next" w:eastAsia="Avenir Next" w:hAnsi="Avenir Next" w:cs="Avenir Next"/>
          <w:b/>
          <w:bCs/>
          <w:sz w:val="5"/>
          <w:szCs w:val="5"/>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12.1: Main steps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3"/>
          <w:sz w:val="20"/>
          <w:szCs w:val="20"/>
        </w:rPr>
        <w:t>Cardno’s</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sales </w:t>
      </w:r>
      <w:r>
        <w:rPr>
          <w:rFonts w:ascii="Avenir Next" w:eastAsia="Avenir Next" w:hAnsi="Avenir Next" w:cs="Avenir Next"/>
          <w:b/>
          <w:bCs/>
          <w:spacing w:val="-1"/>
          <w:sz w:val="20"/>
          <w:szCs w:val="20"/>
        </w:rPr>
        <w:t>forecasting</w:t>
      </w:r>
      <w:r>
        <w:rPr>
          <w:rFonts w:ascii="Avenir Next" w:eastAsia="Avenir Next" w:hAnsi="Avenir Next" w:cs="Avenir Next"/>
          <w:b/>
          <w:bCs/>
          <w:sz w:val="20"/>
          <w:szCs w:val="20"/>
        </w:rPr>
        <w:t xml:space="preserve"> methodology</w:t>
      </w:r>
    </w:p>
    <w:p w:rsidR="00D96B91" w:rsidRDefault="00D96B91">
      <w:pPr>
        <w:spacing w:before="3"/>
        <w:rPr>
          <w:rFonts w:ascii="Avenir Next" w:eastAsia="Avenir Next" w:hAnsi="Avenir Next" w:cs="Avenir Next"/>
          <w:b/>
          <w:bCs/>
          <w:sz w:val="3"/>
          <w:szCs w:val="3"/>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shape id="_x0000_s1867" type="#_x0000_t202" style="width:470.55pt;height:306.85pt;mso-left-percent:-10001;mso-top-percent:-10001;mso-position-horizontal:absolute;mso-position-horizontal-relative:char;mso-position-vertical:absolute;mso-position-vertical-relative:line;mso-left-percent:-10001;mso-top-percent:-10001" fillcolor="#dff3fd" stroked="f">
            <v:textbox style="mso-next-textbox:#_x0000_s1867" inset="0,0,0,0">
              <w:txbxContent>
                <w:p w:rsidR="008A79D5" w:rsidRDefault="008A79D5">
                  <w:pPr>
                    <w:spacing w:before="170"/>
                    <w:ind w:left="170"/>
                    <w:rPr>
                      <w:rFonts w:ascii="Avenir Next Condensed" w:eastAsia="Avenir Next Condensed" w:hAnsi="Avenir Next Condensed" w:cs="Avenir Next Condensed"/>
                      <w:sz w:val="11"/>
                      <w:szCs w:val="11"/>
                    </w:rPr>
                  </w:pPr>
                  <w:r>
                    <w:rPr>
                      <w:rFonts w:ascii="Avenir Next Condensed" w:eastAsia="Avenir Next Condensed" w:hAnsi="Avenir Next Condensed" w:cs="Avenir Next Condensed"/>
                      <w:spacing w:val="-4"/>
                      <w:sz w:val="20"/>
                      <w:szCs w:val="20"/>
                    </w:rPr>
                    <w:t xml:space="preserve">Cardno’s </w:t>
                  </w:r>
                  <w:r>
                    <w:rPr>
                      <w:rFonts w:ascii="Avenir Next Condensed" w:eastAsia="Avenir Next Condensed" w:hAnsi="Avenir Next Condensed" w:cs="Avenir Next Condensed"/>
                      <w:spacing w:val="-2"/>
                      <w:sz w:val="20"/>
                      <w:szCs w:val="20"/>
                    </w:rPr>
                    <w:t>forecasting</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methodology</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comprises</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following</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eight</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main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steps: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position w:val="7"/>
                      <w:sz w:val="11"/>
                      <w:szCs w:val="11"/>
                    </w:rPr>
                    <w:t>214</w:t>
                  </w:r>
                </w:p>
                <w:p w:rsidR="008A79D5" w:rsidRDefault="008A79D5">
                  <w:pPr>
                    <w:numPr>
                      <w:ilvl w:val="0"/>
                      <w:numId w:val="39"/>
                    </w:numPr>
                    <w:tabs>
                      <w:tab w:val="left" w:pos="511"/>
                    </w:tabs>
                    <w:spacing w:before="100"/>
                    <w:ind w:hanging="340"/>
                    <w:rPr>
                      <w:rFonts w:ascii="Avenir Next Condensed" w:eastAsia="Avenir Next Condensed" w:hAnsi="Avenir Next Condensed" w:cs="Avenir Next Condensed"/>
                      <w:sz w:val="20"/>
                      <w:szCs w:val="20"/>
                    </w:rPr>
                  </w:pPr>
                  <w:r>
                    <w:rPr>
                      <w:rFonts w:ascii="Avenir Next Condensed"/>
                      <w:b/>
                      <w:spacing w:val="-3"/>
                      <w:sz w:val="20"/>
                    </w:rPr>
                    <w:t>Calculate</w:t>
                  </w:r>
                  <w:r>
                    <w:rPr>
                      <w:rFonts w:ascii="Avenir Next Condensed"/>
                      <w:b/>
                      <w:spacing w:val="-4"/>
                      <w:sz w:val="20"/>
                    </w:rPr>
                    <w:t xml:space="preserve"> </w:t>
                  </w:r>
                  <w:r>
                    <w:rPr>
                      <w:rFonts w:ascii="Avenir Next Condensed"/>
                      <w:b/>
                      <w:spacing w:val="-2"/>
                      <w:sz w:val="20"/>
                    </w:rPr>
                    <w:t>consumption</w:t>
                  </w:r>
                  <w:r>
                    <w:rPr>
                      <w:rFonts w:ascii="Avenir Next Condensed"/>
                      <w:b/>
                      <w:spacing w:val="-4"/>
                      <w:sz w:val="20"/>
                    </w:rPr>
                    <w:t xml:space="preserve"> </w:t>
                  </w:r>
                  <w:r>
                    <w:rPr>
                      <w:rFonts w:ascii="Avenir Next Condensed"/>
                      <w:b/>
                      <w:spacing w:val="-2"/>
                      <w:sz w:val="20"/>
                    </w:rPr>
                    <w:t>per</w:t>
                  </w:r>
                  <w:r>
                    <w:rPr>
                      <w:rFonts w:ascii="Avenir Next Condensed"/>
                      <w:b/>
                      <w:spacing w:val="-4"/>
                      <w:sz w:val="20"/>
                    </w:rPr>
                    <w:t xml:space="preserve"> </w:t>
                  </w:r>
                  <w:r>
                    <w:rPr>
                      <w:rFonts w:ascii="Avenir Next Condensed"/>
                      <w:b/>
                      <w:spacing w:val="-2"/>
                      <w:sz w:val="20"/>
                    </w:rPr>
                    <w:t>property</w:t>
                  </w:r>
                  <w:r>
                    <w:rPr>
                      <w:rFonts w:ascii="Avenir Next Condensed"/>
                      <w:spacing w:val="-2"/>
                      <w:sz w:val="20"/>
                    </w:rPr>
                    <w:t>,</w:t>
                  </w:r>
                  <w:r>
                    <w:rPr>
                      <w:rFonts w:ascii="Avenir Next Condensed"/>
                      <w:spacing w:val="-10"/>
                      <w:sz w:val="20"/>
                    </w:rPr>
                    <w:t xml:space="preserve"> </w:t>
                  </w:r>
                  <w:r>
                    <w:rPr>
                      <w:rFonts w:ascii="Avenir Next Condensed"/>
                      <w:spacing w:val="-2"/>
                      <w:sz w:val="20"/>
                    </w:rPr>
                    <w:t>based</w:t>
                  </w:r>
                  <w:r>
                    <w:rPr>
                      <w:rFonts w:ascii="Avenir Next Condensed"/>
                      <w:spacing w:val="-4"/>
                      <w:sz w:val="20"/>
                    </w:rPr>
                    <w:t xml:space="preserve"> </w:t>
                  </w:r>
                  <w:r>
                    <w:rPr>
                      <w:rFonts w:ascii="Avenir Next Condensed"/>
                      <w:spacing w:val="-1"/>
                      <w:sz w:val="20"/>
                    </w:rPr>
                    <w:t>on</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consumption</w:t>
                  </w:r>
                  <w:r>
                    <w:rPr>
                      <w:rFonts w:ascii="Avenir Next Condensed"/>
                      <w:spacing w:val="-4"/>
                      <w:sz w:val="20"/>
                    </w:rPr>
                    <w:t xml:space="preserve"> </w:t>
                  </w:r>
                  <w:r>
                    <w:rPr>
                      <w:rFonts w:ascii="Avenir Next Condensed"/>
                      <w:spacing w:val="-2"/>
                      <w:sz w:val="20"/>
                    </w:rPr>
                    <w:t>data</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period</w:t>
                  </w:r>
                  <w:r>
                    <w:rPr>
                      <w:rFonts w:ascii="Avenir Next Condensed"/>
                      <w:spacing w:val="-4"/>
                      <w:sz w:val="20"/>
                    </w:rPr>
                    <w:t xml:space="preserve"> </w:t>
                  </w:r>
                  <w:r>
                    <w:rPr>
                      <w:rFonts w:ascii="Avenir Next Condensed"/>
                      <w:spacing w:val="-2"/>
                      <w:sz w:val="20"/>
                    </w:rPr>
                    <w:t>2001-02</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2013-14.</w:t>
                  </w:r>
                </w:p>
                <w:p w:rsidR="008A79D5" w:rsidRDefault="008A79D5">
                  <w:pPr>
                    <w:numPr>
                      <w:ilvl w:val="0"/>
                      <w:numId w:val="39"/>
                    </w:numPr>
                    <w:tabs>
                      <w:tab w:val="left" w:pos="511"/>
                    </w:tabs>
                    <w:spacing w:before="92" w:line="260" w:lineRule="exact"/>
                    <w:ind w:right="427" w:hanging="340"/>
                    <w:rPr>
                      <w:rFonts w:ascii="Avenir Next Condensed" w:eastAsia="Avenir Next Condensed" w:hAnsi="Avenir Next Condensed" w:cs="Avenir Next Condensed"/>
                      <w:sz w:val="20"/>
                      <w:szCs w:val="20"/>
                    </w:rPr>
                  </w:pPr>
                  <w:r>
                    <w:rPr>
                      <w:rFonts w:ascii="Avenir Next Condensed"/>
                      <w:b/>
                      <w:spacing w:val="-2"/>
                      <w:sz w:val="20"/>
                    </w:rPr>
                    <w:t>Apply</w:t>
                  </w:r>
                  <w:r>
                    <w:rPr>
                      <w:rFonts w:ascii="Avenir Next Condensed"/>
                      <w:b/>
                      <w:spacing w:val="-4"/>
                      <w:sz w:val="20"/>
                    </w:rPr>
                    <w:t xml:space="preserve"> </w:t>
                  </w:r>
                  <w:r>
                    <w:rPr>
                      <w:rFonts w:ascii="Avenir Next Condensed"/>
                      <w:b/>
                      <w:spacing w:val="-2"/>
                      <w:sz w:val="20"/>
                    </w:rPr>
                    <w:t>the</w:t>
                  </w:r>
                  <w:r>
                    <w:rPr>
                      <w:rFonts w:ascii="Avenir Next Condensed"/>
                      <w:b/>
                      <w:spacing w:val="-4"/>
                      <w:sz w:val="20"/>
                    </w:rPr>
                    <w:t xml:space="preserve"> </w:t>
                  </w:r>
                  <w:r>
                    <w:rPr>
                      <w:rFonts w:ascii="Avenir Next Condensed"/>
                      <w:b/>
                      <w:spacing w:val="-2"/>
                      <w:sz w:val="20"/>
                    </w:rPr>
                    <w:t>weather</w:t>
                  </w:r>
                  <w:r>
                    <w:rPr>
                      <w:rFonts w:ascii="Avenir Next Condensed"/>
                      <w:b/>
                      <w:spacing w:val="-4"/>
                      <w:sz w:val="20"/>
                    </w:rPr>
                    <w:t xml:space="preserve"> </w:t>
                  </w:r>
                  <w:r>
                    <w:rPr>
                      <w:rFonts w:ascii="Avenir Next Condensed"/>
                      <w:b/>
                      <w:spacing w:val="-2"/>
                      <w:sz w:val="20"/>
                    </w:rPr>
                    <w:t>and</w:t>
                  </w:r>
                  <w:r>
                    <w:rPr>
                      <w:rFonts w:ascii="Avenir Next Condensed"/>
                      <w:b/>
                      <w:spacing w:val="-4"/>
                      <w:sz w:val="20"/>
                    </w:rPr>
                    <w:t xml:space="preserve"> </w:t>
                  </w:r>
                  <w:r>
                    <w:rPr>
                      <w:rFonts w:ascii="Avenir Next Condensed"/>
                      <w:b/>
                      <w:spacing w:val="-2"/>
                      <w:sz w:val="20"/>
                    </w:rPr>
                    <w:t>restrictions</w:t>
                  </w:r>
                  <w:r>
                    <w:rPr>
                      <w:rFonts w:ascii="Avenir Next Condensed"/>
                      <w:b/>
                      <w:spacing w:val="-4"/>
                      <w:sz w:val="20"/>
                    </w:rPr>
                    <w:t xml:space="preserve"> </w:t>
                  </w:r>
                  <w:r>
                    <w:rPr>
                      <w:rFonts w:ascii="Avenir Next Condensed"/>
                      <w:b/>
                      <w:spacing w:val="-2"/>
                      <w:sz w:val="20"/>
                    </w:rPr>
                    <w:t>data</w:t>
                  </w:r>
                  <w:r>
                    <w:rPr>
                      <w:rFonts w:ascii="Avenir Next Condensed"/>
                      <w:b/>
                      <w:spacing w:val="-10"/>
                      <w:sz w:val="20"/>
                    </w:rPr>
                    <w:t xml:space="preserve"> </w:t>
                  </w:r>
                  <w:r>
                    <w:rPr>
                      <w:rFonts w:ascii="Avenir Next Condensed"/>
                      <w:spacing w:val="-3"/>
                      <w:sz w:val="20"/>
                    </w:rPr>
                    <w:t>ACTEW</w:t>
                  </w:r>
                  <w:r>
                    <w:rPr>
                      <w:rFonts w:ascii="Avenir Next Condensed"/>
                      <w:spacing w:val="-7"/>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applying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Breusch-Ward</w:t>
                  </w:r>
                  <w:r>
                    <w:rPr>
                      <w:rFonts w:ascii="Avenir Next Condensed"/>
                      <w:spacing w:val="-4"/>
                      <w:sz w:val="20"/>
                    </w:rPr>
                    <w:t xml:space="preserve"> </w:t>
                  </w:r>
                  <w:r>
                    <w:rPr>
                      <w:rFonts w:ascii="Avenir Next Condensed"/>
                      <w:spacing w:val="-2"/>
                      <w:sz w:val="20"/>
                    </w:rPr>
                    <w:t>model</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3"/>
                      <w:sz w:val="20"/>
                    </w:rPr>
                    <w:t>attempt</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explain</w:t>
                  </w:r>
                  <w:r>
                    <w:rPr>
                      <w:rFonts w:ascii="Avenir Next Condensed"/>
                      <w:spacing w:val="-4"/>
                      <w:sz w:val="20"/>
                    </w:rPr>
                    <w:t xml:space="preserve"> </w:t>
                  </w:r>
                  <w:r>
                    <w:rPr>
                      <w:rFonts w:ascii="Avenir Next Condensed"/>
                      <w:spacing w:val="-2"/>
                      <w:sz w:val="20"/>
                    </w:rPr>
                    <w:t>changes</w:t>
                  </w:r>
                  <w:r>
                    <w:rPr>
                      <w:rFonts w:ascii="Avenir Next Condensed"/>
                      <w:spacing w:val="-4"/>
                      <w:sz w:val="20"/>
                    </w:rPr>
                    <w:t xml:space="preserve"> </w:t>
                  </w:r>
                  <w:r>
                    <w:rPr>
                      <w:rFonts w:ascii="Avenir Next Condensed"/>
                      <w:spacing w:val="-2"/>
                      <w:sz w:val="20"/>
                    </w:rPr>
                    <w:t>in</w:t>
                  </w:r>
                  <w:r>
                    <w:rPr>
                      <w:rFonts w:ascii="Avenir Next Condensed"/>
                      <w:spacing w:val="62"/>
                      <w:sz w:val="20"/>
                    </w:rPr>
                    <w:t xml:space="preserve"> </w:t>
                  </w:r>
                  <w:r>
                    <w:rPr>
                      <w:rFonts w:ascii="Avenir Next Condensed"/>
                      <w:spacing w:val="-2"/>
                      <w:sz w:val="20"/>
                    </w:rPr>
                    <w:t>per</w:t>
                  </w:r>
                  <w:r>
                    <w:rPr>
                      <w:rFonts w:ascii="Avenir Next Condensed"/>
                      <w:spacing w:val="-4"/>
                      <w:sz w:val="20"/>
                    </w:rPr>
                    <w:t xml:space="preserve"> </w:t>
                  </w:r>
                  <w:r>
                    <w:rPr>
                      <w:rFonts w:ascii="Avenir Next Condensed"/>
                      <w:spacing w:val="-2"/>
                      <w:sz w:val="20"/>
                    </w:rPr>
                    <w:t>property</w:t>
                  </w:r>
                  <w:r>
                    <w:rPr>
                      <w:rFonts w:ascii="Avenir Next Condensed"/>
                      <w:spacing w:val="-4"/>
                      <w:sz w:val="20"/>
                    </w:rPr>
                    <w:t xml:space="preserve"> </w:t>
                  </w:r>
                  <w:r>
                    <w:rPr>
                      <w:rFonts w:ascii="Avenir Next Condensed"/>
                      <w:spacing w:val="-2"/>
                      <w:sz w:val="20"/>
                    </w:rPr>
                    <w:t>consumption</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total</w:t>
                  </w:r>
                  <w:r>
                    <w:rPr>
                      <w:rFonts w:ascii="Avenir Next Condensed"/>
                      <w:spacing w:val="-4"/>
                      <w:sz w:val="20"/>
                    </w:rPr>
                    <w:t xml:space="preserve"> </w:t>
                  </w:r>
                  <w:r>
                    <w:rPr>
                      <w:rFonts w:ascii="Avenir Next Condensed"/>
                      <w:spacing w:val="-2"/>
                      <w:sz w:val="20"/>
                    </w:rPr>
                    <w:t>volumes</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customer</w:t>
                  </w:r>
                  <w:r>
                    <w:rPr>
                      <w:rFonts w:ascii="Avenir Next Condensed"/>
                      <w:spacing w:val="-4"/>
                      <w:sz w:val="20"/>
                    </w:rPr>
                    <w:t xml:space="preserve"> </w:t>
                  </w:r>
                  <w:r>
                    <w:rPr>
                      <w:rFonts w:ascii="Avenir Next Condensed"/>
                      <w:spacing w:val="-2"/>
                      <w:sz w:val="20"/>
                    </w:rPr>
                    <w:t>type.</w:t>
                  </w:r>
                </w:p>
                <w:p w:rsidR="008A79D5" w:rsidRDefault="008A79D5">
                  <w:pPr>
                    <w:numPr>
                      <w:ilvl w:val="0"/>
                      <w:numId w:val="39"/>
                    </w:numPr>
                    <w:tabs>
                      <w:tab w:val="left" w:pos="511"/>
                      <w:tab w:val="left" w:pos="2703"/>
                    </w:tabs>
                    <w:spacing w:before="113" w:line="260" w:lineRule="exact"/>
                    <w:ind w:right="300" w:hanging="34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b/>
                      <w:bCs/>
                      <w:spacing w:val="-2"/>
                      <w:sz w:val="20"/>
                      <w:szCs w:val="20"/>
                    </w:rPr>
                    <w:t>Analyse</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detailed</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3"/>
                      <w:sz w:val="20"/>
                      <w:szCs w:val="20"/>
                    </w:rPr>
                    <w:t>meter-reading</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data</w:t>
                  </w:r>
                  <w:r>
                    <w:rPr>
                      <w:rFonts w:ascii="Avenir Next Condensed" w:eastAsia="Avenir Next Condensed" w:hAnsi="Avenir Next Condensed" w:cs="Avenir Next Condensed"/>
                      <w:b/>
                      <w:bCs/>
                      <w:spacing w:val="-6"/>
                      <w:sz w:val="20"/>
                      <w:szCs w:val="20"/>
                    </w:rPr>
                    <w:t xml:space="preserve"> </w:t>
                  </w:r>
                  <w:r>
                    <w:rPr>
                      <w:rFonts w:ascii="Avenir Next Condensed" w:eastAsia="Avenir Next Condensed" w:hAnsi="Avenir Next Condensed" w:cs="Avenir Next Condensed"/>
                      <w:spacing w:val="-2"/>
                      <w:sz w:val="20"/>
                      <w:szCs w:val="20"/>
                    </w:rPr>
                    <w:t>(4.5</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million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records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from</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2006</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2014)</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reconcile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residential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units</w:t>
                  </w:r>
                  <w:r>
                    <w:rPr>
                      <w:rFonts w:ascii="Avenir Next Condensed" w:eastAsia="Avenir Next Condensed" w:hAnsi="Avenir Next Condensed" w:cs="Avenir Next Condensed"/>
                      <w:spacing w:val="62"/>
                      <w:sz w:val="20"/>
                      <w:szCs w:val="20"/>
                    </w:rPr>
                    <w:t xml:space="preserve"> </w:t>
                  </w:r>
                  <w:r>
                    <w:rPr>
                      <w:rFonts w:ascii="Avenir Next Condensed" w:eastAsia="Avenir Next Condensed" w:hAnsi="Avenir Next Condensed" w:cs="Avenir Next Condensed"/>
                      <w:spacing w:val="-2"/>
                      <w:sz w:val="20"/>
                      <w:szCs w:val="20"/>
                    </w:rPr>
                    <w:t>consumption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with</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ACTEW’s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w:t>
                  </w:r>
                  <w:r w:rsidR="009B14B7">
                    <w:rPr>
                      <w:rFonts w:ascii="Avenir Next Condensed" w:eastAsia="Avenir Next Condensed" w:hAnsi="Avenir Next Condensed" w:cs="Avenir Next Condensed"/>
                      <w:spacing w:val="-1"/>
                      <w:sz w:val="20"/>
                      <w:szCs w:val="20"/>
                    </w:rPr>
                    <w:t>gures.</w:t>
                  </w:r>
                  <w:r>
                    <w:rPr>
                      <w:rFonts w:ascii="Avenir Next Condensed" w:eastAsia="Avenir Next Condensed" w:hAnsi="Avenir Next Condensed" w:cs="Avenir Next Condensed"/>
                      <w:spacing w:val="-15"/>
                      <w:sz w:val="20"/>
                      <w:szCs w:val="20"/>
                    </w:rPr>
                    <w:t xml:space="preserve"> </w:t>
                  </w:r>
                  <w:r>
                    <w:rPr>
                      <w:rFonts w:ascii="Avenir Next Condensed" w:eastAsia="Avenir Next Condensed" w:hAnsi="Avenir Next Condensed" w:cs="Avenir Next Condensed"/>
                      <w:spacing w:val="-2"/>
                      <w:sz w:val="20"/>
                      <w:szCs w:val="20"/>
                    </w:rPr>
                    <w:t>This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analysis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revealed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stock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consumes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less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stock</w:t>
                  </w:r>
                  <w:r>
                    <w:rPr>
                      <w:rFonts w:ascii="Avenir Next Condensed" w:eastAsia="Avenir Next Condensed" w:hAnsi="Avenir Next Condensed" w:cs="Avenir Next Condensed"/>
                      <w:spacing w:val="66"/>
                      <w:sz w:val="20"/>
                      <w:szCs w:val="20"/>
                    </w:rPr>
                    <w:t xml:space="preserve"> </w:t>
                  </w:r>
                  <w:r>
                    <w:rPr>
                      <w:rFonts w:ascii="Avenir Next Condensed" w:eastAsia="Avenir Next Condensed" w:hAnsi="Avenir Next Condensed" w:cs="Avenir Next Condensed"/>
                      <w:spacing w:val="-2"/>
                      <w:sz w:val="20"/>
                      <w:szCs w:val="20"/>
                    </w:rPr>
                    <w:t>existing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2007.</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also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indicated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behavioural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change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between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new</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old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stock.</w:t>
                  </w:r>
                </w:p>
                <w:p w:rsidR="008A79D5" w:rsidRDefault="008A79D5">
                  <w:pPr>
                    <w:numPr>
                      <w:ilvl w:val="0"/>
                      <w:numId w:val="39"/>
                    </w:numPr>
                    <w:tabs>
                      <w:tab w:val="left" w:pos="511"/>
                      <w:tab w:val="left" w:pos="2449"/>
                    </w:tabs>
                    <w:spacing w:before="113" w:line="260" w:lineRule="exact"/>
                    <w:ind w:right="232" w:hanging="340"/>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b/>
                      <w:bCs/>
                      <w:spacing w:val="-2"/>
                      <w:sz w:val="20"/>
                      <w:szCs w:val="20"/>
                    </w:rPr>
                    <w:t>Adjust</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the</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predicted</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per</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property</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consumption</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1"/>
                      <w:sz w:val="20"/>
                      <w:szCs w:val="20"/>
                    </w:rPr>
                    <w:t>to</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account</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for</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changes</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1"/>
                      <w:sz w:val="20"/>
                      <w:szCs w:val="20"/>
                    </w:rPr>
                    <w:t>in</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the</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housing</w:t>
                  </w:r>
                  <w:r>
                    <w:rPr>
                      <w:rFonts w:ascii="Avenir Next Condensed" w:eastAsia="Avenir Next Condensed" w:hAnsi="Avenir Next Condensed" w:cs="Avenir Next Condensed"/>
                      <w:b/>
                      <w:bCs/>
                      <w:spacing w:val="-4"/>
                      <w:sz w:val="20"/>
                      <w:szCs w:val="20"/>
                    </w:rPr>
                    <w:t xml:space="preserve"> </w:t>
                  </w:r>
                  <w:r>
                    <w:rPr>
                      <w:rFonts w:ascii="Avenir Next Condensed" w:eastAsia="Avenir Next Condensed" w:hAnsi="Avenir Next Condensed" w:cs="Avenir Next Condensed"/>
                      <w:b/>
                      <w:bCs/>
                      <w:spacing w:val="-2"/>
                      <w:sz w:val="20"/>
                      <w:szCs w:val="20"/>
                    </w:rPr>
                    <w:t>stock</w:t>
                  </w:r>
                  <w:r>
                    <w:rPr>
                      <w:rFonts w:ascii="Avenir Next Condensed" w:eastAsia="Avenir Next Condensed" w:hAnsi="Avenir Next Condensed" w:cs="Avenir Next Condensed"/>
                      <w:spacing w:val="-2"/>
                      <w:sz w:val="20"/>
                      <w:szCs w:val="20"/>
                    </w:rPr>
                    <w:t>,</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particularly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likely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impacts</w:t>
                  </w:r>
                  <w:r>
                    <w:rPr>
                      <w:rFonts w:ascii="Avenir Next Condensed" w:eastAsia="Avenir Next Condensed" w:hAnsi="Avenir Next Condensed" w:cs="Avenir Next Condensed"/>
                      <w:spacing w:val="58"/>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4"/>
                      <w:sz w:val="20"/>
                      <w:szCs w:val="20"/>
                    </w:rPr>
                    <w:t>new,</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more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effi</w:t>
                  </w:r>
                  <w:r w:rsidR="009B14B7">
                    <w:rPr>
                      <w:rFonts w:ascii="Avenir Next Condensed" w:eastAsia="Avenir Next Condensed" w:hAnsi="Avenir Next Condensed" w:cs="Avenir Next Condensed"/>
                      <w:spacing w:val="-2"/>
                      <w:sz w:val="20"/>
                      <w:szCs w:val="20"/>
                    </w:rPr>
                    <w:t>cient</w:t>
                  </w:r>
                  <w:r>
                    <w:rPr>
                      <w:rFonts w:ascii="Avenir Next Condensed" w:eastAsia="Avenir Next Condensed" w:hAnsi="Avenir Next Condensed" w:cs="Avenir Next Condensed"/>
                      <w:spacing w:val="-2"/>
                      <w:sz w:val="20"/>
                      <w:szCs w:val="20"/>
                    </w:rPr>
                    <w:tab/>
                  </w:r>
                  <w:r>
                    <w:rPr>
                      <w:rFonts w:ascii="Avenir Next Condensed" w:eastAsia="Avenir Next Condensed" w:hAnsi="Avenir Next Condensed" w:cs="Avenir Next Condensed"/>
                      <w:sz w:val="20"/>
                      <w:szCs w:val="20"/>
                    </w:rPr>
                    <w: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p>
                <w:p w:rsidR="008A79D5" w:rsidRDefault="008A79D5">
                  <w:pPr>
                    <w:numPr>
                      <w:ilvl w:val="0"/>
                      <w:numId w:val="39"/>
                    </w:numPr>
                    <w:tabs>
                      <w:tab w:val="left" w:pos="511"/>
                      <w:tab w:val="left" w:pos="1304"/>
                    </w:tabs>
                    <w:spacing w:before="113" w:line="260" w:lineRule="exact"/>
                    <w:ind w:right="498" w:hanging="340"/>
                    <w:rPr>
                      <w:rFonts w:ascii="Avenir Next Condensed" w:eastAsia="Avenir Next Condensed" w:hAnsi="Avenir Next Condensed" w:cs="Avenir Next Condensed"/>
                      <w:sz w:val="20"/>
                      <w:szCs w:val="20"/>
                    </w:rPr>
                  </w:pPr>
                  <w:r>
                    <w:rPr>
                      <w:rFonts w:ascii="Avenir Next Condensed"/>
                      <w:b/>
                      <w:spacing w:val="-2"/>
                      <w:sz w:val="20"/>
                    </w:rPr>
                    <w:t>Estimate</w:t>
                  </w:r>
                  <w:r>
                    <w:rPr>
                      <w:rFonts w:ascii="Avenir Next Condensed"/>
                      <w:b/>
                      <w:spacing w:val="-4"/>
                      <w:sz w:val="20"/>
                    </w:rPr>
                    <w:t xml:space="preserve"> </w:t>
                  </w:r>
                  <w:r>
                    <w:rPr>
                      <w:rFonts w:ascii="Avenir Next Condensed"/>
                      <w:b/>
                      <w:spacing w:val="-2"/>
                      <w:sz w:val="20"/>
                    </w:rPr>
                    <w:t>the</w:t>
                  </w:r>
                  <w:r>
                    <w:rPr>
                      <w:rFonts w:ascii="Avenir Next Condensed"/>
                      <w:b/>
                      <w:spacing w:val="-4"/>
                      <w:sz w:val="20"/>
                    </w:rPr>
                    <w:t xml:space="preserve"> </w:t>
                  </w:r>
                  <w:r>
                    <w:rPr>
                      <w:rFonts w:ascii="Avenir Next Condensed"/>
                      <w:b/>
                      <w:spacing w:val="-2"/>
                      <w:sz w:val="20"/>
                    </w:rPr>
                    <w:t>growth</w:t>
                  </w:r>
                  <w:r>
                    <w:rPr>
                      <w:rFonts w:ascii="Avenir Next Condensed"/>
                      <w:b/>
                      <w:spacing w:val="-4"/>
                      <w:sz w:val="20"/>
                    </w:rPr>
                    <w:t xml:space="preserve"> </w:t>
                  </w:r>
                  <w:r>
                    <w:rPr>
                      <w:rFonts w:ascii="Avenir Next Condensed"/>
                      <w:b/>
                      <w:spacing w:val="-1"/>
                      <w:sz w:val="20"/>
                    </w:rPr>
                    <w:t>in</w:t>
                  </w:r>
                  <w:r>
                    <w:rPr>
                      <w:rFonts w:ascii="Avenir Next Condensed"/>
                      <w:b/>
                      <w:spacing w:val="-4"/>
                      <w:sz w:val="20"/>
                    </w:rPr>
                    <w:t xml:space="preserve"> </w:t>
                  </w:r>
                  <w:r>
                    <w:rPr>
                      <w:rFonts w:ascii="Avenir Next Condensed"/>
                      <w:b/>
                      <w:spacing w:val="-2"/>
                      <w:sz w:val="20"/>
                    </w:rPr>
                    <w:t>the</w:t>
                  </w:r>
                  <w:r>
                    <w:rPr>
                      <w:rFonts w:ascii="Avenir Next Condensed"/>
                      <w:b/>
                      <w:spacing w:val="-4"/>
                      <w:sz w:val="20"/>
                    </w:rPr>
                    <w:t xml:space="preserve"> </w:t>
                  </w:r>
                  <w:r>
                    <w:rPr>
                      <w:rFonts w:ascii="Avenir Next Condensed"/>
                      <w:b/>
                      <w:spacing w:val="-2"/>
                      <w:sz w:val="20"/>
                    </w:rPr>
                    <w:t>customer</w:t>
                  </w:r>
                  <w:r>
                    <w:rPr>
                      <w:rFonts w:ascii="Avenir Next Condensed"/>
                      <w:b/>
                      <w:spacing w:val="-4"/>
                      <w:sz w:val="20"/>
                    </w:rPr>
                    <w:t xml:space="preserve"> </w:t>
                  </w:r>
                  <w:r>
                    <w:rPr>
                      <w:rFonts w:ascii="Avenir Next Condensed"/>
                      <w:b/>
                      <w:spacing w:val="-2"/>
                      <w:sz w:val="20"/>
                    </w:rPr>
                    <w:t>base</w:t>
                  </w:r>
                  <w:r>
                    <w:rPr>
                      <w:rFonts w:ascii="Avenir Next Condensed"/>
                      <w:spacing w:val="-2"/>
                      <w:sz w:val="20"/>
                    </w:rPr>
                    <w:t>,</w:t>
                  </w:r>
                  <w:r>
                    <w:rPr>
                      <w:rFonts w:ascii="Avenir Next Condensed"/>
                      <w:spacing w:val="-10"/>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analysing</w:t>
                  </w:r>
                  <w:r>
                    <w:rPr>
                      <w:rFonts w:ascii="Avenir Next Condensed"/>
                      <w:spacing w:val="-4"/>
                      <w:sz w:val="20"/>
                    </w:rPr>
                    <w:t xml:space="preserve"> </w:t>
                  </w:r>
                  <w:r>
                    <w:rPr>
                      <w:rFonts w:ascii="Avenir Next Condensed"/>
                      <w:spacing w:val="-2"/>
                      <w:sz w:val="20"/>
                    </w:rPr>
                    <w:t>historic</w:t>
                  </w:r>
                  <w:r>
                    <w:rPr>
                      <w:rFonts w:ascii="Avenir Next Condensed"/>
                      <w:spacing w:val="-4"/>
                      <w:sz w:val="20"/>
                    </w:rPr>
                    <w:t xml:space="preserve"> </w:t>
                  </w:r>
                  <w:r>
                    <w:rPr>
                      <w:rFonts w:ascii="Avenir Next Condensed"/>
                      <w:spacing w:val="-2"/>
                      <w:sz w:val="20"/>
                    </w:rPr>
                    <w:t>trends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customer</w:t>
                  </w:r>
                  <w:r>
                    <w:rPr>
                      <w:rFonts w:ascii="Avenir Next Condensed"/>
                      <w:spacing w:val="-4"/>
                      <w:sz w:val="20"/>
                    </w:rPr>
                    <w:t xml:space="preserve"> </w:t>
                  </w:r>
                  <w:r>
                    <w:rPr>
                      <w:rFonts w:ascii="Avenir Next Condensed"/>
                      <w:spacing w:val="-2"/>
                      <w:sz w:val="20"/>
                    </w:rPr>
                    <w:t>growth</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taking</w:t>
                  </w:r>
                  <w:r>
                    <w:rPr>
                      <w:rFonts w:ascii="Avenir Next Condensed"/>
                      <w:spacing w:val="-4"/>
                      <w:sz w:val="20"/>
                    </w:rPr>
                    <w:t xml:space="preserve"> </w:t>
                  </w:r>
                  <w:r>
                    <w:rPr>
                      <w:rFonts w:ascii="Avenir Next Condensed"/>
                      <w:spacing w:val="-2"/>
                      <w:sz w:val="20"/>
                    </w:rPr>
                    <w:t>account</w:t>
                  </w:r>
                  <w:r>
                    <w:rPr>
                      <w:rFonts w:ascii="Avenir Next Condensed"/>
                      <w:spacing w:val="-4"/>
                      <w:sz w:val="20"/>
                    </w:rPr>
                    <w:t xml:space="preserve"> </w:t>
                  </w:r>
                  <w:r>
                    <w:rPr>
                      <w:rFonts w:ascii="Avenir Next Condensed"/>
                      <w:spacing w:val="-1"/>
                      <w:sz w:val="20"/>
                    </w:rPr>
                    <w:t>of</w:t>
                  </w:r>
                  <w:r>
                    <w:rPr>
                      <w:rFonts w:ascii="Avenir Next Condensed"/>
                      <w:spacing w:val="-3"/>
                      <w:sz w:val="20"/>
                    </w:rPr>
                    <w:t xml:space="preserve"> </w:t>
                  </w:r>
                  <w:r>
                    <w:rPr>
                      <w:rFonts w:ascii="Avenir Next Condensed"/>
                      <w:spacing w:val="-2"/>
                      <w:sz w:val="20"/>
                    </w:rPr>
                    <w:t>ABS</w:t>
                  </w:r>
                  <w:r>
                    <w:rPr>
                      <w:rFonts w:ascii="Avenir Next Condensed"/>
                      <w:spacing w:val="44"/>
                      <w:sz w:val="20"/>
                    </w:rPr>
                    <w:t xml:space="preserve"> </w:t>
                  </w:r>
                  <w:r>
                    <w:rPr>
                      <w:rFonts w:ascii="Avenir Next Condensed"/>
                      <w:spacing w:val="-2"/>
                      <w:sz w:val="20"/>
                    </w:rPr>
                    <w:t>population</w:t>
                  </w:r>
                  <w:r>
                    <w:rPr>
                      <w:rFonts w:ascii="Avenir Next Condensed"/>
                      <w:spacing w:val="-4"/>
                      <w:sz w:val="20"/>
                    </w:rPr>
                    <w:t xml:space="preserve"> </w:t>
                  </w:r>
                  <w:r>
                    <w:rPr>
                      <w:rFonts w:ascii="Avenir Next Condensed"/>
                      <w:spacing w:val="-2"/>
                      <w:sz w:val="20"/>
                    </w:rPr>
                    <w:t>trends.</w:t>
                  </w:r>
                  <w:r>
                    <w:rPr>
                      <w:rFonts w:ascii="Avenir Next Condensed"/>
                      <w:spacing w:val="-10"/>
                      <w:sz w:val="20"/>
                    </w:rPr>
                    <w:t xml:space="preserve"> </w:t>
                  </w:r>
                  <w:r>
                    <w:rPr>
                      <w:rFonts w:ascii="Avenir Next Condensed"/>
                      <w:spacing w:val="-3"/>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purpose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forecasting</w:t>
                  </w:r>
                  <w:r>
                    <w:rPr>
                      <w:rFonts w:ascii="Avenir Next Condensed"/>
                      <w:spacing w:val="-4"/>
                      <w:sz w:val="20"/>
                    </w:rPr>
                    <w:t xml:space="preserve"> </w:t>
                  </w:r>
                  <w:r>
                    <w:rPr>
                      <w:rFonts w:ascii="Avenir Next Condensed"/>
                      <w:spacing w:val="-2"/>
                      <w:sz w:val="20"/>
                    </w:rPr>
                    <w:t>changes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customer</w:t>
                  </w:r>
                  <w:r>
                    <w:rPr>
                      <w:rFonts w:ascii="Avenir Next Condensed"/>
                      <w:spacing w:val="-4"/>
                      <w:sz w:val="20"/>
                    </w:rPr>
                    <w:t xml:space="preserve"> </w:t>
                  </w:r>
                  <w:r>
                    <w:rPr>
                      <w:rFonts w:ascii="Avenir Next Condensed"/>
                      <w:spacing w:val="-2"/>
                      <w:sz w:val="20"/>
                    </w:rPr>
                    <w:t>numbers,</w:t>
                  </w:r>
                  <w:r>
                    <w:rPr>
                      <w:rFonts w:ascii="Avenir Next Condensed"/>
                      <w:spacing w:val="-10"/>
                      <w:sz w:val="20"/>
                    </w:rPr>
                    <w:t xml:space="preserve"> </w:t>
                  </w:r>
                  <w:r>
                    <w:rPr>
                      <w:rFonts w:ascii="Avenir Next Condensed"/>
                      <w:spacing w:val="-3"/>
                      <w:sz w:val="20"/>
                    </w:rPr>
                    <w:t>Cardno</w:t>
                  </w:r>
                  <w:r>
                    <w:rPr>
                      <w:rFonts w:ascii="Avenir Next Condensed"/>
                      <w:spacing w:val="-4"/>
                      <w:sz w:val="20"/>
                    </w:rPr>
                    <w:t xml:space="preserve"> </w:t>
                  </w:r>
                  <w:r>
                    <w:rPr>
                      <w:rFonts w:ascii="Avenir Next Condensed"/>
                      <w:spacing w:val="-2"/>
                      <w:sz w:val="20"/>
                    </w:rPr>
                    <w:t>adopted</w:t>
                  </w:r>
                  <w:r>
                    <w:rPr>
                      <w:rFonts w:ascii="Avenir Next Condensed"/>
                      <w:spacing w:val="-4"/>
                      <w:sz w:val="20"/>
                    </w:rPr>
                    <w:t xml:space="preserve"> </w:t>
                  </w:r>
                  <w:r>
                    <w:rPr>
                      <w:rFonts w:ascii="Avenir Next Condensed"/>
                      <w:spacing w:val="-2"/>
                      <w:sz w:val="20"/>
                    </w:rPr>
                    <w:t>historic</w:t>
                  </w:r>
                  <w:r>
                    <w:rPr>
                      <w:rFonts w:ascii="Avenir Next Condensed"/>
                      <w:spacing w:val="-4"/>
                      <w:sz w:val="20"/>
                    </w:rPr>
                    <w:t xml:space="preserve"> </w:t>
                  </w:r>
                  <w:r>
                    <w:rPr>
                      <w:rFonts w:ascii="Avenir Next Condensed"/>
                      <w:spacing w:val="-2"/>
                      <w:sz w:val="20"/>
                    </w:rPr>
                    <w:t>growth</w:t>
                  </w:r>
                  <w:r>
                    <w:rPr>
                      <w:rFonts w:ascii="Avenir Next Condensed"/>
                      <w:spacing w:val="-4"/>
                      <w:sz w:val="20"/>
                    </w:rPr>
                    <w:t xml:space="preserve"> </w:t>
                  </w:r>
                  <w:r>
                    <w:rPr>
                      <w:rFonts w:ascii="Avenir Next Condensed"/>
                      <w:spacing w:val="-2"/>
                      <w:sz w:val="20"/>
                    </w:rPr>
                    <w:t>rates</w:t>
                  </w:r>
                  <w:r>
                    <w:rPr>
                      <w:rFonts w:ascii="Avenir Next Condensed"/>
                      <w:spacing w:val="-4"/>
                      <w:sz w:val="20"/>
                    </w:rPr>
                    <w:t xml:space="preserve"> </w:t>
                  </w:r>
                  <w:r>
                    <w:rPr>
                      <w:rFonts w:ascii="Avenir Next Condensed"/>
                      <w:spacing w:val="-2"/>
                      <w:sz w:val="20"/>
                    </w:rPr>
                    <w:t>for</w:t>
                  </w:r>
                  <w:r>
                    <w:rPr>
                      <w:rFonts w:ascii="Avenir Next Condensed"/>
                      <w:spacing w:val="36"/>
                      <w:sz w:val="20"/>
                    </w:rPr>
                    <w:t xml:space="preserve"> </w:t>
                  </w:r>
                  <w:r>
                    <w:rPr>
                      <w:rFonts w:ascii="Avenir Next Condensed"/>
                      <w:spacing w:val="-3"/>
                      <w:sz w:val="20"/>
                    </w:rPr>
                    <w:t>different</w:t>
                  </w:r>
                  <w:r>
                    <w:rPr>
                      <w:rFonts w:ascii="Avenir Next Condensed"/>
                      <w:spacing w:val="-4"/>
                      <w:sz w:val="20"/>
                    </w:rPr>
                    <w:t xml:space="preserve"> </w:t>
                  </w:r>
                  <w:r>
                    <w:rPr>
                      <w:rFonts w:ascii="Avenir Next Condensed"/>
                      <w:spacing w:val="-2"/>
                      <w:sz w:val="20"/>
                    </w:rPr>
                    <w:t>types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dwellings,</w:t>
                  </w:r>
                  <w:r>
                    <w:rPr>
                      <w:rFonts w:ascii="Avenir Next Condensed"/>
                      <w:spacing w:val="-10"/>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number</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customers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residential</w:t>
                  </w:r>
                  <w:r>
                    <w:rPr>
                      <w:rFonts w:ascii="Avenir Next Condensed"/>
                      <w:spacing w:val="-4"/>
                      <w:sz w:val="20"/>
                    </w:rPr>
                    <w:t xml:space="preserve"> </w:t>
                  </w:r>
                  <w:r>
                    <w:rPr>
                      <w:rFonts w:ascii="Avenir Next Condensed"/>
                      <w:spacing w:val="-2"/>
                      <w:sz w:val="20"/>
                    </w:rPr>
                    <w:t>houses</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residential</w:t>
                  </w:r>
                  <w:r>
                    <w:rPr>
                      <w:rFonts w:ascii="Avenir Next Condensed"/>
                      <w:spacing w:val="-4"/>
                      <w:sz w:val="20"/>
                    </w:rPr>
                    <w:t xml:space="preserve"> </w:t>
                  </w:r>
                  <w:r>
                    <w:rPr>
                      <w:rFonts w:ascii="Avenir Next Condensed"/>
                      <w:spacing w:val="-2"/>
                      <w:sz w:val="20"/>
                    </w:rPr>
                    <w:t>units</w:t>
                  </w:r>
                  <w:r>
                    <w:rPr>
                      <w:rFonts w:ascii="Avenir Next Condensed"/>
                      <w:spacing w:val="-4"/>
                      <w:sz w:val="20"/>
                    </w:rPr>
                    <w:t xml:space="preserve"> </w:t>
                  </w:r>
                  <w:r>
                    <w:rPr>
                      <w:rFonts w:ascii="Avenir Next Condensed"/>
                      <w:spacing w:val="-2"/>
                      <w:sz w:val="20"/>
                    </w:rPr>
                    <w:t>assumed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3"/>
                      <w:sz w:val="20"/>
                    </w:rPr>
                    <w:t>increase</w:t>
                  </w:r>
                  <w:r>
                    <w:rPr>
                      <w:rFonts w:ascii="Avenir Next Condensed"/>
                      <w:spacing w:val="-4"/>
                      <w:sz w:val="20"/>
                    </w:rPr>
                    <w:t xml:space="preserve"> </w:t>
                  </w:r>
                  <w:r>
                    <w:rPr>
                      <w:rFonts w:ascii="Avenir Next Condensed"/>
                      <w:spacing w:val="-2"/>
                      <w:sz w:val="20"/>
                    </w:rPr>
                    <w:t>at</w:t>
                  </w:r>
                  <w:r>
                    <w:rPr>
                      <w:rFonts w:ascii="Avenir Next Condensed"/>
                      <w:spacing w:val="60"/>
                      <w:sz w:val="20"/>
                    </w:rPr>
                    <w:t xml:space="preserve"> </w:t>
                  </w:r>
                  <w:r>
                    <w:rPr>
                      <w:rFonts w:ascii="Avenir Next Condensed"/>
                      <w:spacing w:val="-2"/>
                      <w:sz w:val="20"/>
                    </w:rPr>
                    <w:t>their</w:t>
                  </w:r>
                  <w:r>
                    <w:rPr>
                      <w:rFonts w:ascii="Avenir Next Condensed"/>
                      <w:spacing w:val="-4"/>
                      <w:sz w:val="20"/>
                    </w:rPr>
                    <w:t xml:space="preserve"> </w:t>
                  </w:r>
                  <w:r>
                    <w:rPr>
                      <w:rFonts w:ascii="Avenir Next Condensed"/>
                      <w:spacing w:val="-1"/>
                      <w:sz w:val="20"/>
                    </w:rPr>
                    <w:t>fi</w:t>
                  </w:r>
                  <w:r w:rsidR="009B14B7">
                    <w:rPr>
                      <w:rFonts w:ascii="Avenir Next Condensed"/>
                      <w:spacing w:val="-1"/>
                      <w:sz w:val="20"/>
                    </w:rPr>
                    <w:t xml:space="preserve">ve-year </w:t>
                  </w:r>
                  <w:r>
                    <w:rPr>
                      <w:rFonts w:ascii="Avenir Next Condensed"/>
                      <w:spacing w:val="-2"/>
                      <w:sz w:val="20"/>
                    </w:rPr>
                    <w:t>historic</w:t>
                  </w:r>
                  <w:r>
                    <w:rPr>
                      <w:rFonts w:ascii="Avenir Next Condensed"/>
                      <w:spacing w:val="-4"/>
                      <w:sz w:val="20"/>
                    </w:rPr>
                    <w:t xml:space="preserve"> </w:t>
                  </w:r>
                  <w:r>
                    <w:rPr>
                      <w:rFonts w:ascii="Avenir Next Condensed"/>
                      <w:spacing w:val="-2"/>
                      <w:sz w:val="20"/>
                    </w:rPr>
                    <w:t>average</w:t>
                  </w:r>
                  <w:r>
                    <w:rPr>
                      <w:rFonts w:ascii="Avenir Next Condensed"/>
                      <w:spacing w:val="-4"/>
                      <w:sz w:val="20"/>
                    </w:rPr>
                    <w:t xml:space="preserve"> </w:t>
                  </w:r>
                  <w:r>
                    <w:rPr>
                      <w:rFonts w:ascii="Avenir Next Condensed"/>
                      <w:spacing w:val="-2"/>
                      <w:sz w:val="20"/>
                    </w:rPr>
                    <w:t>annual</w:t>
                  </w:r>
                  <w:r>
                    <w:rPr>
                      <w:rFonts w:ascii="Avenir Next Condensed"/>
                      <w:spacing w:val="-4"/>
                      <w:sz w:val="20"/>
                    </w:rPr>
                    <w:t xml:space="preserve"> </w:t>
                  </w:r>
                  <w:r>
                    <w:rPr>
                      <w:rFonts w:ascii="Avenir Next Condensed"/>
                      <w:spacing w:val="-2"/>
                      <w:sz w:val="20"/>
                    </w:rPr>
                    <w:t>growth</w:t>
                  </w:r>
                  <w:r>
                    <w:rPr>
                      <w:rFonts w:ascii="Avenir Next Condensed"/>
                      <w:spacing w:val="-4"/>
                      <w:sz w:val="20"/>
                    </w:rPr>
                    <w:t xml:space="preserve"> </w:t>
                  </w:r>
                  <w:r>
                    <w:rPr>
                      <w:rFonts w:ascii="Avenir Next Condensed"/>
                      <w:spacing w:val="-3"/>
                      <w:sz w:val="20"/>
                    </w:rPr>
                    <w:t>rate.</w:t>
                  </w:r>
                </w:p>
                <w:p w:rsidR="008A79D5" w:rsidRDefault="008A79D5">
                  <w:pPr>
                    <w:numPr>
                      <w:ilvl w:val="0"/>
                      <w:numId w:val="39"/>
                    </w:numPr>
                    <w:tabs>
                      <w:tab w:val="left" w:pos="511"/>
                    </w:tabs>
                    <w:spacing w:before="113" w:line="260" w:lineRule="exact"/>
                    <w:ind w:right="296" w:hanging="340"/>
                    <w:rPr>
                      <w:rFonts w:ascii="Avenir Next Condensed" w:eastAsia="Avenir Next Condensed" w:hAnsi="Avenir Next Condensed" w:cs="Avenir Next Condensed"/>
                      <w:sz w:val="20"/>
                      <w:szCs w:val="20"/>
                    </w:rPr>
                  </w:pPr>
                  <w:r>
                    <w:rPr>
                      <w:rFonts w:ascii="Avenir Next Condensed"/>
                      <w:b/>
                      <w:spacing w:val="-3"/>
                      <w:sz w:val="20"/>
                    </w:rPr>
                    <w:t>Assess</w:t>
                  </w:r>
                  <w:r>
                    <w:rPr>
                      <w:rFonts w:ascii="Avenir Next Condensed"/>
                      <w:b/>
                      <w:spacing w:val="-4"/>
                      <w:sz w:val="20"/>
                    </w:rPr>
                    <w:t xml:space="preserve"> </w:t>
                  </w:r>
                  <w:r>
                    <w:rPr>
                      <w:rFonts w:ascii="Avenir Next Condensed"/>
                      <w:b/>
                      <w:spacing w:val="-2"/>
                      <w:sz w:val="20"/>
                    </w:rPr>
                    <w:t>the</w:t>
                  </w:r>
                  <w:r>
                    <w:rPr>
                      <w:rFonts w:ascii="Avenir Next Condensed"/>
                      <w:b/>
                      <w:spacing w:val="-4"/>
                      <w:sz w:val="20"/>
                    </w:rPr>
                    <w:t xml:space="preserve"> </w:t>
                  </w:r>
                  <w:r>
                    <w:rPr>
                      <w:rFonts w:ascii="Avenir Next Condensed"/>
                      <w:b/>
                      <w:spacing w:val="-2"/>
                      <w:sz w:val="20"/>
                    </w:rPr>
                    <w:t>accuracy</w:t>
                  </w:r>
                  <w:r>
                    <w:rPr>
                      <w:rFonts w:ascii="Avenir Next Condensed"/>
                      <w:b/>
                      <w:spacing w:val="-4"/>
                      <w:sz w:val="20"/>
                    </w:rPr>
                    <w:t xml:space="preserve"> </w:t>
                  </w:r>
                  <w:r>
                    <w:rPr>
                      <w:rFonts w:ascii="Avenir Next Condensed"/>
                      <w:b/>
                      <w:spacing w:val="-1"/>
                      <w:sz w:val="20"/>
                    </w:rPr>
                    <w:t>of</w:t>
                  </w:r>
                  <w:r>
                    <w:rPr>
                      <w:rFonts w:ascii="Avenir Next Condensed"/>
                      <w:b/>
                      <w:sz w:val="20"/>
                    </w:rPr>
                    <w:t xml:space="preserve"> </w:t>
                  </w:r>
                  <w:r>
                    <w:rPr>
                      <w:rFonts w:ascii="Avenir Next Condensed"/>
                      <w:b/>
                      <w:spacing w:val="-2"/>
                      <w:sz w:val="20"/>
                    </w:rPr>
                    <w:t>population</w:t>
                  </w:r>
                  <w:r>
                    <w:rPr>
                      <w:rFonts w:ascii="Avenir Next Condensed"/>
                      <w:b/>
                      <w:spacing w:val="-4"/>
                      <w:sz w:val="20"/>
                    </w:rPr>
                    <w:t xml:space="preserve"> </w:t>
                  </w:r>
                  <w:r>
                    <w:rPr>
                      <w:rFonts w:ascii="Avenir Next Condensed"/>
                      <w:b/>
                      <w:spacing w:val="-2"/>
                      <w:sz w:val="20"/>
                    </w:rPr>
                    <w:t>forecasts</w:t>
                  </w:r>
                  <w:r>
                    <w:rPr>
                      <w:rFonts w:ascii="Avenir Next Condensed"/>
                      <w:spacing w:val="-2"/>
                      <w:sz w:val="20"/>
                    </w:rPr>
                    <w:t>,</w:t>
                  </w:r>
                  <w:r>
                    <w:rPr>
                      <w:rFonts w:ascii="Avenir Next Condensed"/>
                      <w:spacing w:val="-10"/>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comparing</w:t>
                  </w:r>
                  <w:r>
                    <w:rPr>
                      <w:rFonts w:ascii="Avenir Next Condensed"/>
                      <w:spacing w:val="-4"/>
                      <w:sz w:val="20"/>
                    </w:rPr>
                    <w:t xml:space="preserve"> </w:t>
                  </w:r>
                  <w:r>
                    <w:rPr>
                      <w:rFonts w:ascii="Avenir Next Condensed"/>
                      <w:spacing w:val="-2"/>
                      <w:sz w:val="20"/>
                    </w:rPr>
                    <w:t>population</w:t>
                  </w:r>
                  <w:r>
                    <w:rPr>
                      <w:rFonts w:ascii="Avenir Next Condensed"/>
                      <w:spacing w:val="-4"/>
                      <w:sz w:val="20"/>
                    </w:rPr>
                    <w:t xml:space="preserve"> </w:t>
                  </w:r>
                  <w:r>
                    <w:rPr>
                      <w:rFonts w:ascii="Avenir Next Condensed"/>
                      <w:spacing w:val="-2"/>
                      <w:sz w:val="20"/>
                    </w:rPr>
                    <w:t>projections</w:t>
                  </w:r>
                  <w:r>
                    <w:rPr>
                      <w:rFonts w:ascii="Avenir Next Condensed"/>
                      <w:spacing w:val="-4"/>
                      <w:sz w:val="20"/>
                    </w:rPr>
                    <w:t xml:space="preserve"> </w:t>
                  </w:r>
                  <w:r>
                    <w:rPr>
                      <w:rFonts w:ascii="Avenir Next Condensed"/>
                      <w:spacing w:val="-2"/>
                      <w:sz w:val="20"/>
                    </w:rPr>
                    <w:t>made</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2"/>
                      <w:sz w:val="20"/>
                    </w:rPr>
                    <w:t>ABS</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3"/>
                      <w:sz w:val="20"/>
                    </w:rPr>
                    <w:t>ACT</w:t>
                  </w:r>
                  <w:r>
                    <w:rPr>
                      <w:rFonts w:ascii="Avenir Next Condensed"/>
                      <w:spacing w:val="-9"/>
                      <w:sz w:val="20"/>
                    </w:rPr>
                    <w:t xml:space="preserve"> </w:t>
                  </w:r>
                  <w:r>
                    <w:rPr>
                      <w:rFonts w:ascii="Avenir Next Condensed"/>
                      <w:spacing w:val="-2"/>
                      <w:sz w:val="20"/>
                    </w:rPr>
                    <w:t>Government</w:t>
                  </w:r>
                  <w:r>
                    <w:rPr>
                      <w:rFonts w:ascii="Avenir Next Condensed"/>
                      <w:spacing w:val="46"/>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actual</w:t>
                  </w:r>
                  <w:r>
                    <w:rPr>
                      <w:rFonts w:ascii="Avenir Next Condensed"/>
                      <w:spacing w:val="-4"/>
                      <w:sz w:val="20"/>
                    </w:rPr>
                    <w:t xml:space="preserve"> </w:t>
                  </w:r>
                  <w:r>
                    <w:rPr>
                      <w:rFonts w:ascii="Avenir Next Condensed"/>
                      <w:spacing w:val="-2"/>
                      <w:sz w:val="20"/>
                    </w:rPr>
                    <w:t>observed</w:t>
                  </w:r>
                  <w:r>
                    <w:rPr>
                      <w:rFonts w:ascii="Avenir Next Condensed"/>
                      <w:spacing w:val="-4"/>
                      <w:sz w:val="20"/>
                    </w:rPr>
                    <w:t xml:space="preserve"> </w:t>
                  </w:r>
                  <w:r>
                    <w:rPr>
                      <w:rFonts w:ascii="Avenir Next Condensed"/>
                      <w:spacing w:val="-2"/>
                      <w:sz w:val="20"/>
                    </w:rPr>
                    <w:t>population</w:t>
                  </w:r>
                  <w:r>
                    <w:rPr>
                      <w:rFonts w:ascii="Avenir Next Condensed"/>
                      <w:spacing w:val="-4"/>
                      <w:sz w:val="20"/>
                    </w:rPr>
                    <w:t xml:space="preserve"> </w:t>
                  </w:r>
                  <w:r>
                    <w:rPr>
                      <w:rFonts w:ascii="Avenir Next Condensed"/>
                      <w:spacing w:val="-1"/>
                      <w:sz w:val="20"/>
                    </w:rPr>
                    <w:t>at</w:t>
                  </w:r>
                  <w:r>
                    <w:rPr>
                      <w:rFonts w:ascii="Avenir Next Condensed"/>
                      <w:spacing w:val="-4"/>
                      <w:sz w:val="20"/>
                    </w:rPr>
                    <w:t xml:space="preserve"> </w:t>
                  </w:r>
                  <w:r>
                    <w:rPr>
                      <w:rFonts w:ascii="Avenir Next Condensed"/>
                      <w:spacing w:val="-2"/>
                      <w:sz w:val="20"/>
                    </w:rPr>
                    <w:t>various</w:t>
                  </w:r>
                  <w:r>
                    <w:rPr>
                      <w:rFonts w:ascii="Avenir Next Condensed"/>
                      <w:spacing w:val="-4"/>
                      <w:sz w:val="20"/>
                    </w:rPr>
                    <w:t xml:space="preserve"> </w:t>
                  </w:r>
                  <w:r>
                    <w:rPr>
                      <w:rFonts w:ascii="Avenir Next Condensed"/>
                      <w:spacing w:val="-2"/>
                      <w:sz w:val="20"/>
                    </w:rPr>
                    <w:t>time</w:t>
                  </w:r>
                  <w:r>
                    <w:rPr>
                      <w:rFonts w:ascii="Avenir Next Condensed"/>
                      <w:spacing w:val="-4"/>
                      <w:sz w:val="20"/>
                    </w:rPr>
                    <w:t xml:space="preserve"> </w:t>
                  </w:r>
                  <w:r>
                    <w:rPr>
                      <w:rFonts w:ascii="Avenir Next Condensed"/>
                      <w:spacing w:val="-2"/>
                      <w:sz w:val="20"/>
                    </w:rPr>
                    <w:t>horizons.</w:t>
                  </w:r>
                </w:p>
                <w:p w:rsidR="008A79D5" w:rsidRDefault="008A79D5">
                  <w:pPr>
                    <w:numPr>
                      <w:ilvl w:val="0"/>
                      <w:numId w:val="39"/>
                    </w:numPr>
                    <w:tabs>
                      <w:tab w:val="left" w:pos="511"/>
                    </w:tabs>
                    <w:spacing w:before="113" w:line="260" w:lineRule="exact"/>
                    <w:ind w:right="306" w:hanging="340"/>
                    <w:rPr>
                      <w:rFonts w:ascii="Avenir Next Condensed" w:eastAsia="Avenir Next Condensed" w:hAnsi="Avenir Next Condensed" w:cs="Avenir Next Condensed"/>
                      <w:sz w:val="20"/>
                      <w:szCs w:val="20"/>
                    </w:rPr>
                  </w:pPr>
                  <w:r>
                    <w:rPr>
                      <w:rFonts w:ascii="Avenir Next Condensed"/>
                      <w:b/>
                      <w:spacing w:val="-2"/>
                      <w:sz w:val="20"/>
                    </w:rPr>
                    <w:t>Analyse</w:t>
                  </w:r>
                  <w:r>
                    <w:rPr>
                      <w:rFonts w:ascii="Avenir Next Condensed"/>
                      <w:b/>
                      <w:spacing w:val="-4"/>
                      <w:sz w:val="20"/>
                    </w:rPr>
                    <w:t xml:space="preserve"> </w:t>
                  </w:r>
                  <w:r>
                    <w:rPr>
                      <w:rFonts w:ascii="Avenir Next Condensed"/>
                      <w:b/>
                      <w:spacing w:val="-2"/>
                      <w:sz w:val="20"/>
                    </w:rPr>
                    <w:t>weather</w:t>
                  </w:r>
                  <w:r>
                    <w:rPr>
                      <w:rFonts w:ascii="Avenir Next Condensed"/>
                      <w:b/>
                      <w:spacing w:val="-4"/>
                      <w:sz w:val="20"/>
                    </w:rPr>
                    <w:t xml:space="preserve"> </w:t>
                  </w:r>
                  <w:r>
                    <w:rPr>
                      <w:rFonts w:ascii="Avenir Next Condensed"/>
                      <w:b/>
                      <w:spacing w:val="-2"/>
                      <w:sz w:val="20"/>
                    </w:rPr>
                    <w:t>variance</w:t>
                  </w:r>
                  <w:r>
                    <w:rPr>
                      <w:rFonts w:ascii="Avenir Next Condensed"/>
                      <w:b/>
                      <w:spacing w:val="-4"/>
                      <w:sz w:val="20"/>
                    </w:rPr>
                    <w:t xml:space="preserve"> </w:t>
                  </w:r>
                  <w:r>
                    <w:rPr>
                      <w:rFonts w:ascii="Avenir Next Condensed"/>
                      <w:b/>
                      <w:spacing w:val="-2"/>
                      <w:sz w:val="20"/>
                    </w:rPr>
                    <w:t>distribution</w:t>
                  </w:r>
                  <w:r>
                    <w:rPr>
                      <w:rFonts w:ascii="Avenir Next Condensed"/>
                      <w:b/>
                      <w:spacing w:val="-6"/>
                      <w:sz w:val="20"/>
                    </w:rPr>
                    <w:t xml:space="preserve"> </w:t>
                  </w:r>
                  <w:r>
                    <w:rPr>
                      <w:rFonts w:ascii="Avenir Next Condensed"/>
                      <w:spacing w:val="-2"/>
                      <w:sz w:val="20"/>
                    </w:rPr>
                    <w:t>(sensitivity</w:t>
                  </w:r>
                  <w:r>
                    <w:rPr>
                      <w:rFonts w:ascii="Avenir Next Condensed"/>
                      <w:spacing w:val="-4"/>
                      <w:sz w:val="20"/>
                    </w:rPr>
                    <w:t xml:space="preserve"> </w:t>
                  </w:r>
                  <w:r>
                    <w:rPr>
                      <w:rFonts w:ascii="Avenir Next Condensed"/>
                      <w:spacing w:val="-2"/>
                      <w:sz w:val="20"/>
                    </w:rPr>
                    <w:t>analysis),</w:t>
                  </w:r>
                  <w:r>
                    <w:rPr>
                      <w:rFonts w:ascii="Avenir Next Condensed"/>
                      <w:spacing w:val="-10"/>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examining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variance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annual</w:t>
                  </w:r>
                  <w:r>
                    <w:rPr>
                      <w:rFonts w:ascii="Avenir Next Condensed"/>
                      <w:spacing w:val="-4"/>
                      <w:sz w:val="20"/>
                    </w:rPr>
                    <w:t xml:space="preserve"> </w:t>
                  </w:r>
                  <w:r>
                    <w:rPr>
                      <w:rFonts w:ascii="Avenir Next Condensed"/>
                      <w:spacing w:val="-2"/>
                      <w:sz w:val="20"/>
                    </w:rPr>
                    <w:t>averages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weather</w:t>
                  </w:r>
                  <w:r>
                    <w:rPr>
                      <w:rFonts w:ascii="Avenir Next Condensed"/>
                      <w:spacing w:val="50"/>
                      <w:sz w:val="20"/>
                    </w:rPr>
                    <w:t xml:space="preserve"> </w:t>
                  </w:r>
                  <w:r>
                    <w:rPr>
                      <w:rFonts w:ascii="Avenir Next Condensed"/>
                      <w:spacing w:val="-2"/>
                      <w:sz w:val="20"/>
                    </w:rPr>
                    <w:t>data</w:t>
                  </w:r>
                  <w:r>
                    <w:rPr>
                      <w:rFonts w:ascii="Avenir Next Condensed"/>
                      <w:spacing w:val="-4"/>
                      <w:sz w:val="20"/>
                    </w:rPr>
                    <w:t xml:space="preserve"> </w:t>
                  </w:r>
                  <w:r>
                    <w:rPr>
                      <w:rFonts w:ascii="Avenir Next Condensed"/>
                      <w:spacing w:val="-2"/>
                      <w:sz w:val="20"/>
                    </w:rPr>
                    <w:t>collated</w:t>
                  </w:r>
                  <w:r>
                    <w:rPr>
                      <w:rFonts w:ascii="Avenir Next Condensed"/>
                      <w:spacing w:val="-4"/>
                      <w:sz w:val="20"/>
                    </w:rPr>
                    <w:t xml:space="preserve"> </w:t>
                  </w:r>
                  <w:r>
                    <w:rPr>
                      <w:rFonts w:ascii="Avenir Next Condensed"/>
                      <w:spacing w:val="-2"/>
                      <w:sz w:val="20"/>
                    </w:rPr>
                    <w:t>for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3"/>
                      <w:sz w:val="20"/>
                    </w:rPr>
                    <w:t>Breusch-Ward</w:t>
                  </w:r>
                  <w:r>
                    <w:rPr>
                      <w:rFonts w:ascii="Avenir Next Condensed"/>
                      <w:spacing w:val="-4"/>
                      <w:sz w:val="20"/>
                    </w:rPr>
                    <w:t xml:space="preserve"> </w:t>
                  </w:r>
                  <w:r>
                    <w:rPr>
                      <w:rFonts w:ascii="Avenir Next Condensed"/>
                      <w:spacing w:val="-2"/>
                      <w:sz w:val="20"/>
                    </w:rPr>
                    <w:t>model.</w:t>
                  </w:r>
                </w:p>
                <w:p w:rsidR="008A79D5" w:rsidRDefault="008A79D5">
                  <w:pPr>
                    <w:numPr>
                      <w:ilvl w:val="0"/>
                      <w:numId w:val="39"/>
                    </w:numPr>
                    <w:tabs>
                      <w:tab w:val="left" w:pos="511"/>
                    </w:tabs>
                    <w:spacing w:before="113" w:line="260" w:lineRule="exact"/>
                    <w:ind w:right="470" w:hanging="340"/>
                    <w:rPr>
                      <w:rFonts w:ascii="Avenir Next Condensed" w:eastAsia="Avenir Next Condensed" w:hAnsi="Avenir Next Condensed" w:cs="Avenir Next Condensed"/>
                      <w:sz w:val="20"/>
                      <w:szCs w:val="20"/>
                    </w:rPr>
                  </w:pPr>
                  <w:r>
                    <w:rPr>
                      <w:rFonts w:ascii="Avenir Next Condensed"/>
                      <w:spacing w:val="-2"/>
                      <w:sz w:val="20"/>
                    </w:rPr>
                    <w:t>Analyse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data</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determine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split</w:t>
                  </w:r>
                  <w:r>
                    <w:rPr>
                      <w:rFonts w:ascii="Avenir Next Condensed"/>
                      <w:spacing w:val="-4"/>
                      <w:sz w:val="20"/>
                    </w:rPr>
                    <w:t xml:space="preserve"> </w:t>
                  </w:r>
                  <w:r>
                    <w:rPr>
                      <w:rFonts w:ascii="Avenir Next Condensed"/>
                      <w:spacing w:val="-2"/>
                      <w:sz w:val="20"/>
                    </w:rPr>
                    <w:t>between</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1</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tier</w:t>
                  </w:r>
                  <w:r>
                    <w:rPr>
                      <w:rFonts w:ascii="Avenir Next Condensed"/>
                      <w:spacing w:val="-4"/>
                      <w:sz w:val="20"/>
                    </w:rPr>
                    <w:t xml:space="preserve"> </w:t>
                  </w:r>
                  <w:r>
                    <w:rPr>
                      <w:rFonts w:ascii="Avenir Next Condensed"/>
                      <w:sz w:val="20"/>
                    </w:rPr>
                    <w:t>2</w:t>
                  </w:r>
                  <w:r>
                    <w:rPr>
                      <w:rFonts w:ascii="Avenir Next Condensed"/>
                      <w:spacing w:val="-4"/>
                      <w:sz w:val="20"/>
                    </w:rPr>
                    <w:t xml:space="preserve"> </w:t>
                  </w:r>
                  <w:r>
                    <w:rPr>
                      <w:rFonts w:ascii="Avenir Next Condensed"/>
                      <w:spacing w:val="-2"/>
                      <w:sz w:val="20"/>
                    </w:rPr>
                    <w:t>consumption,</w:t>
                  </w:r>
                  <w:r>
                    <w:rPr>
                      <w:rFonts w:ascii="Avenir Next Condensed"/>
                      <w:spacing w:val="-10"/>
                      <w:sz w:val="20"/>
                    </w:rPr>
                    <w:t xml:space="preserve"> </w:t>
                  </w:r>
                  <w:r>
                    <w:rPr>
                      <w:rFonts w:ascii="Avenir Next Condensed"/>
                      <w:spacing w:val="-2"/>
                      <w:sz w:val="20"/>
                    </w:rPr>
                    <w:t>using</w:t>
                  </w:r>
                  <w:r>
                    <w:rPr>
                      <w:rFonts w:ascii="Avenir Next Condensed"/>
                      <w:spacing w:val="-4"/>
                      <w:sz w:val="20"/>
                    </w:rPr>
                    <w:t xml:space="preserve"> </w:t>
                  </w:r>
                  <w:r>
                    <w:rPr>
                      <w:rFonts w:ascii="Avenir Next Condensed"/>
                      <w:sz w:val="20"/>
                    </w:rPr>
                    <w:t>a</w:t>
                  </w:r>
                  <w:r>
                    <w:rPr>
                      <w:rFonts w:ascii="Avenir Next Condensed"/>
                      <w:spacing w:val="-2"/>
                      <w:sz w:val="20"/>
                    </w:rPr>
                    <w:t xml:space="preserve"> </w:t>
                  </w:r>
                  <w:r>
                    <w:rPr>
                      <w:rFonts w:ascii="Avenir Next Condensed"/>
                      <w:b/>
                      <w:spacing w:val="-2"/>
                      <w:sz w:val="20"/>
                    </w:rPr>
                    <w:t>method</w:t>
                  </w:r>
                  <w:r>
                    <w:rPr>
                      <w:rFonts w:ascii="Avenir Next Condensed"/>
                      <w:b/>
                      <w:spacing w:val="-4"/>
                      <w:sz w:val="20"/>
                    </w:rPr>
                    <w:t xml:space="preserve"> </w:t>
                  </w:r>
                  <w:r>
                    <w:rPr>
                      <w:rFonts w:ascii="Avenir Next Condensed"/>
                      <w:b/>
                      <w:spacing w:val="-2"/>
                      <w:sz w:val="20"/>
                    </w:rPr>
                    <w:t>based</w:t>
                  </w:r>
                  <w:r>
                    <w:rPr>
                      <w:rFonts w:ascii="Avenir Next Condensed"/>
                      <w:b/>
                      <w:spacing w:val="-4"/>
                      <w:sz w:val="20"/>
                    </w:rPr>
                    <w:t xml:space="preserve"> </w:t>
                  </w:r>
                  <w:r>
                    <w:rPr>
                      <w:rFonts w:ascii="Avenir Next Condensed"/>
                      <w:b/>
                      <w:spacing w:val="-1"/>
                      <w:sz w:val="20"/>
                    </w:rPr>
                    <w:t>on</w:t>
                  </w:r>
                  <w:r>
                    <w:rPr>
                      <w:rFonts w:ascii="Avenir Next Condensed"/>
                      <w:b/>
                      <w:spacing w:val="-4"/>
                      <w:sz w:val="20"/>
                    </w:rPr>
                    <w:t xml:space="preserve"> </w:t>
                  </w:r>
                  <w:r>
                    <w:rPr>
                      <w:rFonts w:ascii="Avenir Next Condensed"/>
                      <w:b/>
                      <w:spacing w:val="-2"/>
                      <w:sz w:val="20"/>
                    </w:rPr>
                    <w:t>the</w:t>
                  </w:r>
                  <w:r>
                    <w:rPr>
                      <w:rFonts w:ascii="Avenir Next Condensed"/>
                      <w:b/>
                      <w:spacing w:val="-4"/>
                      <w:sz w:val="20"/>
                    </w:rPr>
                    <w:t xml:space="preserve"> </w:t>
                  </w:r>
                  <w:r>
                    <w:rPr>
                      <w:rFonts w:ascii="Avenir Next Condensed"/>
                      <w:b/>
                      <w:spacing w:val="-2"/>
                      <w:sz w:val="20"/>
                    </w:rPr>
                    <w:t>actual</w:t>
                  </w:r>
                  <w:r>
                    <w:rPr>
                      <w:rFonts w:ascii="Avenir Next Condensed"/>
                      <w:b/>
                      <w:spacing w:val="-4"/>
                      <w:sz w:val="20"/>
                    </w:rPr>
                    <w:t xml:space="preserve"> </w:t>
                  </w:r>
                  <w:r>
                    <w:rPr>
                      <w:rFonts w:ascii="Avenir Next Condensed"/>
                      <w:b/>
                      <w:spacing w:val="-2"/>
                      <w:sz w:val="20"/>
                    </w:rPr>
                    <w:t>spilt</w:t>
                  </w:r>
                  <w:r>
                    <w:rPr>
                      <w:rFonts w:ascii="Avenir Next Condensed"/>
                      <w:b/>
                      <w:spacing w:val="-4"/>
                      <w:sz w:val="20"/>
                    </w:rPr>
                    <w:t xml:space="preserve"> </w:t>
                  </w:r>
                  <w:r>
                    <w:rPr>
                      <w:rFonts w:ascii="Avenir Next Condensed"/>
                      <w:b/>
                      <w:spacing w:val="-2"/>
                      <w:sz w:val="20"/>
                    </w:rPr>
                    <w:t>of</w:t>
                  </w:r>
                  <w:r>
                    <w:rPr>
                      <w:rFonts w:ascii="Avenir Next Condensed"/>
                      <w:b/>
                      <w:spacing w:val="68"/>
                      <w:sz w:val="20"/>
                    </w:rPr>
                    <w:t xml:space="preserve"> </w:t>
                  </w:r>
                  <w:r>
                    <w:rPr>
                      <w:rFonts w:ascii="Avenir Next Condensed"/>
                      <w:b/>
                      <w:spacing w:val="-2"/>
                      <w:sz w:val="20"/>
                    </w:rPr>
                    <w:t>consumption</w:t>
                  </w:r>
                  <w:r>
                    <w:rPr>
                      <w:rFonts w:ascii="Avenir Next Condensed"/>
                      <w:b/>
                      <w:spacing w:val="-4"/>
                      <w:sz w:val="20"/>
                    </w:rPr>
                    <w:t xml:space="preserve"> </w:t>
                  </w:r>
                  <w:r>
                    <w:rPr>
                      <w:rFonts w:ascii="Avenir Next Condensed"/>
                      <w:b/>
                      <w:spacing w:val="-1"/>
                      <w:sz w:val="20"/>
                    </w:rPr>
                    <w:t>as</w:t>
                  </w:r>
                  <w:r>
                    <w:rPr>
                      <w:rFonts w:ascii="Avenir Next Condensed"/>
                      <w:b/>
                      <w:spacing w:val="-4"/>
                      <w:sz w:val="20"/>
                    </w:rPr>
                    <w:t xml:space="preserve"> </w:t>
                  </w:r>
                  <w:r>
                    <w:rPr>
                      <w:rFonts w:ascii="Avenir Next Condensed"/>
                      <w:b/>
                      <w:spacing w:val="-2"/>
                      <w:sz w:val="20"/>
                    </w:rPr>
                    <w:t>observed</w:t>
                  </w:r>
                  <w:r>
                    <w:rPr>
                      <w:rFonts w:ascii="Avenir Next Condensed"/>
                      <w:b/>
                      <w:spacing w:val="-4"/>
                      <w:sz w:val="20"/>
                    </w:rPr>
                    <w:t xml:space="preserve"> </w:t>
                  </w:r>
                  <w:r>
                    <w:rPr>
                      <w:rFonts w:ascii="Avenir Next Condensed"/>
                      <w:b/>
                      <w:spacing w:val="-1"/>
                      <w:sz w:val="20"/>
                    </w:rPr>
                    <w:t>by</w:t>
                  </w:r>
                  <w:r>
                    <w:rPr>
                      <w:rFonts w:ascii="Avenir Next Condensed"/>
                      <w:b/>
                      <w:spacing w:val="-8"/>
                      <w:sz w:val="20"/>
                    </w:rPr>
                    <w:t xml:space="preserve"> </w:t>
                  </w:r>
                  <w:r>
                    <w:rPr>
                      <w:rFonts w:ascii="Avenir Next Condensed"/>
                      <w:b/>
                      <w:spacing w:val="-3"/>
                      <w:sz w:val="20"/>
                    </w:rPr>
                    <w:t>ACTEW</w:t>
                  </w:r>
                  <w:r>
                    <w:rPr>
                      <w:rFonts w:ascii="Avenir Next Condensed"/>
                      <w:spacing w:val="-3"/>
                      <w:sz w:val="20"/>
                    </w:rPr>
                    <w:t>.</w:t>
                  </w:r>
                </w:p>
              </w:txbxContent>
            </v:textbox>
          </v:shape>
        </w:pict>
      </w:r>
    </w:p>
    <w:p w:rsidR="00D96B91" w:rsidRDefault="00D96B91">
      <w:pPr>
        <w:spacing w:before="1"/>
        <w:rPr>
          <w:rFonts w:ascii="Avenir Next" w:eastAsia="Avenir Next" w:hAnsi="Avenir Next" w:cs="Avenir Next"/>
          <w:b/>
          <w:bCs/>
          <w:sz w:val="7"/>
          <w:szCs w:val="7"/>
        </w:rPr>
      </w:pPr>
    </w:p>
    <w:p w:rsidR="00D96B91" w:rsidRDefault="00C2656B">
      <w:pPr>
        <w:pStyle w:val="BodyText"/>
        <w:spacing w:before="38" w:line="260" w:lineRule="exact"/>
        <w:ind w:right="1553"/>
      </w:pPr>
      <w:r>
        <w:rPr>
          <w:rFonts w:cs="Avenir Next"/>
        </w:rPr>
        <w:t xml:space="preserve">Using its </w:t>
      </w:r>
      <w:r>
        <w:rPr>
          <w:rFonts w:cs="Avenir Next"/>
          <w:spacing w:val="-1"/>
        </w:rPr>
        <w:t>recommended</w:t>
      </w:r>
      <w:r>
        <w:rPr>
          <w:rFonts w:cs="Avenir Next"/>
        </w:rPr>
        <w:t xml:space="preserve"> </w:t>
      </w:r>
      <w:r>
        <w:rPr>
          <w:rFonts w:cs="Avenir Next"/>
          <w:spacing w:val="-1"/>
        </w:rPr>
        <w:t>methodology,</w:t>
      </w:r>
      <w:r>
        <w:rPr>
          <w:rFonts w:cs="Avenir Next"/>
          <w:spacing w:val="-6"/>
        </w:rPr>
        <w:t xml:space="preserve"> </w:t>
      </w:r>
      <w:r>
        <w:rPr>
          <w:rFonts w:cs="Avenir Next"/>
          <w:spacing w:val="-2"/>
        </w:rPr>
        <w:t>Cardno</w:t>
      </w:r>
      <w:r>
        <w:rPr>
          <w:rFonts w:cs="Avenir Next"/>
        </w:rPr>
        <w:t xml:space="preserve"> </w:t>
      </w:r>
      <w:r>
        <w:rPr>
          <w:rFonts w:cs="Avenir Next"/>
          <w:spacing w:val="-1"/>
        </w:rPr>
        <w:t>provided</w:t>
      </w:r>
      <w:r>
        <w:rPr>
          <w:rFonts w:cs="Avenir Next"/>
        </w:rPr>
        <w:t xml:space="preserve"> the </w:t>
      </w:r>
      <w:r>
        <w:rPr>
          <w:rFonts w:cs="Avenir Next"/>
          <w:spacing w:val="-1"/>
        </w:rPr>
        <w:t>alternative</w:t>
      </w:r>
      <w:r>
        <w:rPr>
          <w:rFonts w:cs="Avenir Next"/>
        </w:rPr>
        <w:t xml:space="preserve"> </w:t>
      </w:r>
      <w:r>
        <w:rPr>
          <w:rFonts w:cs="Avenir Next"/>
          <w:spacing w:val="-1"/>
        </w:rPr>
        <w:t>forecast</w:t>
      </w:r>
      <w:r>
        <w:rPr>
          <w:rFonts w:cs="Avenir Next"/>
        </w:rPr>
        <w:t xml:space="preserve"> </w:t>
      </w:r>
      <w:r>
        <w:rPr>
          <w:rFonts w:cs="Avenir Next"/>
          <w:spacing w:val="-1"/>
        </w:rPr>
        <w:t>water</w:t>
      </w:r>
      <w:r>
        <w:rPr>
          <w:rFonts w:cs="Avenir Next"/>
        </w:rPr>
        <w:t xml:space="preserve"> sales shown</w:t>
      </w:r>
      <w:r>
        <w:rPr>
          <w:rFonts w:cs="Avenir Next"/>
          <w:spacing w:val="67"/>
        </w:rPr>
        <w:t xml:space="preserve"> </w:t>
      </w:r>
      <w:r>
        <w:rPr>
          <w:rFonts w:cs="Avenir Next"/>
        </w:rPr>
        <w:t>in</w:t>
      </w:r>
      <w:r>
        <w:rPr>
          <w:rFonts w:cs="Avenir Next"/>
          <w:spacing w:val="-5"/>
        </w:rPr>
        <w:t xml:space="preserve"> </w:t>
      </w:r>
      <w:hyperlink w:anchor="_bookmark106" w:history="1">
        <w:r>
          <w:rPr>
            <w:spacing w:val="-4"/>
          </w:rPr>
          <w:t>Table</w:t>
        </w:r>
        <w:r>
          <w:t xml:space="preserve"> 12.4</w:t>
        </w:r>
      </w:hyperlink>
      <w:r>
        <w:t>.</w:t>
      </w:r>
      <w:r>
        <w:rPr>
          <w:spacing w:val="-6"/>
        </w:rPr>
        <w:t xml:space="preserve"> </w:t>
      </w:r>
      <w:r>
        <w:t xml:space="preserve">In </w:t>
      </w:r>
      <w:r>
        <w:rPr>
          <w:spacing w:val="-1"/>
        </w:rPr>
        <w:t>contrast</w:t>
      </w:r>
      <w:r>
        <w:t xml:space="preserve"> to</w:t>
      </w:r>
      <w:r>
        <w:rPr>
          <w:spacing w:val="-4"/>
        </w:rPr>
        <w:t xml:space="preserve"> </w:t>
      </w:r>
      <w:r>
        <w:rPr>
          <w:spacing w:val="-2"/>
        </w:rPr>
        <w:t>ACTEW’s</w:t>
      </w:r>
      <w:r>
        <w:t xml:space="preserve"> </w:t>
      </w:r>
      <w:r>
        <w:rPr>
          <w:spacing w:val="-1"/>
        </w:rPr>
        <w:t>forecasts,</w:t>
      </w:r>
      <w:r>
        <w:rPr>
          <w:spacing w:val="-6"/>
        </w:rPr>
        <w:t xml:space="preserve"> </w:t>
      </w:r>
      <w:r>
        <w:t xml:space="preserve">which </w:t>
      </w:r>
      <w:r>
        <w:rPr>
          <w:spacing w:val="-1"/>
        </w:rPr>
        <w:t>predict</w:t>
      </w:r>
      <w:r>
        <w:t xml:space="preserve"> </w:t>
      </w:r>
      <w:r>
        <w:rPr>
          <w:spacing w:val="-1"/>
        </w:rPr>
        <w:t>water</w:t>
      </w:r>
      <w:r>
        <w:t xml:space="preserve"> sales will </w:t>
      </w:r>
      <w:r>
        <w:rPr>
          <w:spacing w:val="-1"/>
        </w:rPr>
        <w:t>remain</w:t>
      </w:r>
      <w:r>
        <w:t xml:space="preserve"> essentially </w:t>
      </w:r>
      <w:r>
        <w:rPr>
          <w:spacing w:val="-1"/>
        </w:rPr>
        <w:t>static</w:t>
      </w:r>
    </w:p>
    <w:p w:rsidR="00D96B91" w:rsidRDefault="00C2656B">
      <w:pPr>
        <w:pStyle w:val="BodyText"/>
        <w:spacing w:line="260" w:lineRule="exact"/>
        <w:ind w:right="1330"/>
      </w:pPr>
      <w:r>
        <w:t xml:space="preserve">over the </w:t>
      </w:r>
      <w:r>
        <w:rPr>
          <w:spacing w:val="-1"/>
        </w:rPr>
        <w:t>remainder</w:t>
      </w:r>
      <w:r>
        <w:t xml:space="preserve"> of</w:t>
      </w:r>
      <w:r>
        <w:rPr>
          <w:spacing w:val="4"/>
        </w:rPr>
        <w:t xml:space="preserve"> </w:t>
      </w:r>
      <w:r>
        <w:t xml:space="preserve">the </w:t>
      </w:r>
      <w:r>
        <w:rPr>
          <w:spacing w:val="-1"/>
        </w:rPr>
        <w:t>regulatory</w:t>
      </w:r>
      <w:r>
        <w:t xml:space="preserve"> period,</w:t>
      </w:r>
      <w:r>
        <w:rPr>
          <w:spacing w:val="-6"/>
        </w:rPr>
        <w:t xml:space="preserve"> </w:t>
      </w:r>
      <w:r>
        <w:rPr>
          <w:spacing w:val="-3"/>
        </w:rPr>
        <w:t>Cardno’s</w:t>
      </w:r>
      <w:r>
        <w:t xml:space="preserve"> </w:t>
      </w:r>
      <w:r>
        <w:rPr>
          <w:spacing w:val="-1"/>
        </w:rPr>
        <w:t>forecasts</w:t>
      </w:r>
      <w:r>
        <w:t xml:space="preserve"> show an </w:t>
      </w:r>
      <w:r>
        <w:rPr>
          <w:spacing w:val="-1"/>
        </w:rPr>
        <w:t>increase</w:t>
      </w:r>
      <w:r>
        <w:t xml:space="preserve"> in 2014-15 and then</w:t>
      </w:r>
      <w:r>
        <w:rPr>
          <w:spacing w:val="45"/>
        </w:rPr>
        <w:t xml:space="preserve"> </w:t>
      </w:r>
      <w:r>
        <w:t xml:space="preserve">a </w:t>
      </w:r>
      <w:r>
        <w:rPr>
          <w:spacing w:val="-1"/>
        </w:rPr>
        <w:t>steady</w:t>
      </w:r>
      <w:r>
        <w:t xml:space="preserve"> – albeit modest – </w:t>
      </w:r>
      <w:r>
        <w:rPr>
          <w:spacing w:val="-1"/>
        </w:rPr>
        <w:t>increase</w:t>
      </w:r>
      <w:r>
        <w:t xml:space="preserve"> in annual </w:t>
      </w:r>
      <w:r>
        <w:rPr>
          <w:spacing w:val="-1"/>
        </w:rPr>
        <w:t>water</w:t>
      </w:r>
      <w:r>
        <w:t xml:space="preserve"> sales,</w:t>
      </w:r>
      <w:r>
        <w:rPr>
          <w:spacing w:val="-6"/>
        </w:rPr>
        <w:t xml:space="preserve"> </w:t>
      </w:r>
      <w:r>
        <w:rPr>
          <w:spacing w:val="-1"/>
        </w:rPr>
        <w:t>reaching</w:t>
      </w:r>
      <w:r>
        <w:t xml:space="preserve"> 45.8 GL</w:t>
      </w:r>
      <w:r>
        <w:rPr>
          <w:spacing w:val="-5"/>
        </w:rPr>
        <w:t xml:space="preserve"> </w:t>
      </w:r>
      <w:r>
        <w:t>in 2017-18.</w:t>
      </w:r>
      <w:r>
        <w:rPr>
          <w:spacing w:val="-11"/>
        </w:rPr>
        <w:t xml:space="preserve"> </w:t>
      </w:r>
      <w:r>
        <w:rPr>
          <w:spacing w:val="-2"/>
        </w:rPr>
        <w:t>The</w:t>
      </w:r>
      <w:r>
        <w:t xml:space="preserve"> main factors</w:t>
      </w:r>
      <w:r>
        <w:rPr>
          <w:spacing w:val="27"/>
        </w:rPr>
        <w:t xml:space="preserve"> </w:t>
      </w:r>
      <w:r>
        <w:t xml:space="preserve">underpinning these </w:t>
      </w:r>
      <w:r>
        <w:rPr>
          <w:spacing w:val="-1"/>
        </w:rPr>
        <w:t>forecasts</w:t>
      </w:r>
      <w:r>
        <w:t xml:space="preserve"> </w:t>
      </w:r>
      <w:r>
        <w:rPr>
          <w:spacing w:val="-2"/>
        </w:rPr>
        <w:t>are</w:t>
      </w:r>
      <w:r>
        <w:t xml:space="preserve"> summarised in </w:t>
      </w:r>
      <w:r>
        <w:rPr>
          <w:spacing w:val="-1"/>
        </w:rPr>
        <w:t>Box</w:t>
      </w:r>
      <w:r>
        <w:t xml:space="preserve"> 12.2.</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18"/>
          <w:szCs w:val="1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64" style="width:72.5pt;height:.5pt;mso-position-horizontal-relative:char;mso-position-vertical-relative:line" coordsize="1450,10">
            <v:group id="_x0000_s1865" style="position:absolute;left:5;top:5;width:1440;height:2" coordorigin="5,5" coordsize="1440,2">
              <v:shape id="_x0000_s1866"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ind w:hanging="510"/>
        <w:rPr>
          <w:rFonts w:ascii="Avenir Next" w:eastAsia="Avenir Next" w:hAnsi="Avenir Next" w:cs="Avenir Next"/>
          <w:sz w:val="16"/>
          <w:szCs w:val="16"/>
        </w:rPr>
      </w:pPr>
      <w:bookmarkStart w:id="167" w:name="_bookmark106"/>
      <w:bookmarkEnd w:id="167"/>
      <w:r>
        <w:rPr>
          <w:rFonts w:ascii="Avenir Next" w:eastAsia="Avenir Next" w:hAnsi="Avenir Next" w:cs="Avenir Next"/>
          <w:spacing w:val="-2"/>
          <w:sz w:val="16"/>
          <w:szCs w:val="16"/>
        </w:rPr>
        <w:t>Further</w:t>
      </w:r>
      <w:r>
        <w:rPr>
          <w:rFonts w:ascii="Avenir Next" w:eastAsia="Avenir Next" w:hAnsi="Avenir Next" w:cs="Avenir Next"/>
          <w:sz w:val="16"/>
          <w:szCs w:val="16"/>
        </w:rPr>
        <w:t xml:space="preserve"> detail on </w:t>
      </w:r>
      <w:r>
        <w:rPr>
          <w:rFonts w:ascii="Avenir Next" w:eastAsia="Avenir Next" w:hAnsi="Avenir Next" w:cs="Avenir Next"/>
          <w:spacing w:val="-2"/>
          <w:sz w:val="16"/>
          <w:szCs w:val="16"/>
        </w:rPr>
        <w:t>Cardno’s</w:t>
      </w:r>
      <w:r>
        <w:rPr>
          <w:rFonts w:ascii="Avenir Next" w:eastAsia="Avenir Next" w:hAnsi="Avenir Next" w:cs="Avenir Next"/>
          <w:sz w:val="16"/>
          <w:szCs w:val="16"/>
        </w:rPr>
        <w:t xml:space="preserve"> model can be found in its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which can be found on the </w:t>
      </w:r>
      <w:r>
        <w:rPr>
          <w:rFonts w:ascii="Avenir Next" w:eastAsia="Avenir Next" w:hAnsi="Avenir Next" w:cs="Avenir Next"/>
          <w:spacing w:val="-3"/>
          <w:sz w:val="16"/>
          <w:szCs w:val="16"/>
        </w:rPr>
        <w:t>Panel’s</w:t>
      </w:r>
      <w:r>
        <w:rPr>
          <w:rFonts w:ascii="Avenir Next" w:eastAsia="Avenir Next" w:hAnsi="Avenir Next" w:cs="Avenir Next"/>
          <w:sz w:val="16"/>
          <w:szCs w:val="16"/>
        </w:rPr>
        <w:t xml:space="preserve"> website.</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12.4: </w:t>
      </w:r>
      <w:r>
        <w:rPr>
          <w:rFonts w:ascii="Avenir Next" w:eastAsia="Avenir Next" w:hAnsi="Avenir Next" w:cs="Avenir Next"/>
          <w:b/>
          <w:bCs/>
          <w:spacing w:val="-2"/>
          <w:sz w:val="20"/>
          <w:szCs w:val="20"/>
        </w:rPr>
        <w:t>Cardno</w:t>
      </w:r>
      <w:r>
        <w:rPr>
          <w:rFonts w:ascii="Avenir Next" w:eastAsia="Avenir Next" w:hAnsi="Avenir Next" w:cs="Avenir Next"/>
          <w:b/>
          <w:bCs/>
          <w:sz w:val="20"/>
          <w:szCs w:val="20"/>
        </w:rPr>
        <w:t xml:space="preserve"> – </w:t>
      </w:r>
      <w:r>
        <w:rPr>
          <w:rFonts w:ascii="Avenir Next" w:eastAsia="Avenir Next" w:hAnsi="Avenir Next" w:cs="Avenir Next"/>
          <w:b/>
          <w:bCs/>
          <w:spacing w:val="-1"/>
          <w:sz w:val="20"/>
          <w:szCs w:val="20"/>
        </w:rPr>
        <w:t>Recommended</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sales </w:t>
      </w:r>
      <w:r>
        <w:rPr>
          <w:rFonts w:ascii="Avenir Next" w:eastAsia="Avenir Next" w:hAnsi="Avenir Next" w:cs="Avenir Next"/>
          <w:b/>
          <w:bCs/>
          <w:spacing w:val="-1"/>
          <w:sz w:val="20"/>
          <w:szCs w:val="20"/>
        </w:rPr>
        <w:t>forecasts</w:t>
      </w:r>
      <w:r>
        <w:rPr>
          <w:rFonts w:ascii="Avenir Next" w:eastAsia="Avenir Next" w:hAnsi="Avenir Next" w:cs="Avenir Next"/>
          <w:b/>
          <w:bCs/>
          <w:sz w:val="20"/>
          <w:szCs w:val="20"/>
        </w:rPr>
        <w:t xml:space="preserve"> (GL)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156"/>
        <w:gridCol w:w="2061"/>
        <w:gridCol w:w="2061"/>
        <w:gridCol w:w="2061"/>
        <w:gridCol w:w="2061"/>
      </w:tblGrid>
      <w:tr w:rsidR="00D96B91">
        <w:trPr>
          <w:trHeight w:hRule="exact" w:val="407"/>
        </w:trPr>
        <w:tc>
          <w:tcPr>
            <w:tcW w:w="11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206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2014-15</w:t>
            </w:r>
          </w:p>
        </w:tc>
        <w:tc>
          <w:tcPr>
            <w:tcW w:w="206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2015-16</w:t>
            </w:r>
          </w:p>
        </w:tc>
        <w:tc>
          <w:tcPr>
            <w:tcW w:w="206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2016-17</w:t>
            </w:r>
          </w:p>
        </w:tc>
        <w:tc>
          <w:tcPr>
            <w:tcW w:w="206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115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w:t>
            </w:r>
          </w:p>
        </w:tc>
        <w:tc>
          <w:tcPr>
            <w:tcW w:w="206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24.07</w:t>
            </w:r>
          </w:p>
        </w:tc>
        <w:tc>
          <w:tcPr>
            <w:tcW w:w="206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24.99</w:t>
            </w:r>
          </w:p>
        </w:tc>
        <w:tc>
          <w:tcPr>
            <w:tcW w:w="206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25.85</w:t>
            </w:r>
          </w:p>
        </w:tc>
        <w:tc>
          <w:tcPr>
            <w:tcW w:w="206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26.66</w:t>
            </w:r>
          </w:p>
        </w:tc>
      </w:tr>
      <w:tr w:rsidR="00D96B91">
        <w:trPr>
          <w:trHeight w:hRule="exact" w:val="417"/>
        </w:trPr>
        <w:tc>
          <w:tcPr>
            <w:tcW w:w="115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w:t>
            </w:r>
          </w:p>
        </w:tc>
        <w:tc>
          <w:tcPr>
            <w:tcW w:w="206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19.97</w:t>
            </w:r>
          </w:p>
        </w:tc>
        <w:tc>
          <w:tcPr>
            <w:tcW w:w="206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95"/>
              <w:jc w:val="center"/>
              <w:rPr>
                <w:rFonts w:ascii="Avenir Next Condensed" w:eastAsia="Avenir Next Condensed" w:hAnsi="Avenir Next Condensed" w:cs="Avenir Next Condensed"/>
                <w:sz w:val="18"/>
                <w:szCs w:val="18"/>
              </w:rPr>
            </w:pPr>
            <w:r>
              <w:rPr>
                <w:rFonts w:ascii="Avenir Next Condensed"/>
                <w:sz w:val="18"/>
              </w:rPr>
              <w:t>19.61</w:t>
            </w:r>
          </w:p>
        </w:tc>
        <w:tc>
          <w:tcPr>
            <w:tcW w:w="206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94"/>
              <w:jc w:val="center"/>
              <w:rPr>
                <w:rFonts w:ascii="Avenir Next Condensed" w:eastAsia="Avenir Next Condensed" w:hAnsi="Avenir Next Condensed" w:cs="Avenir Next Condensed"/>
                <w:sz w:val="18"/>
                <w:szCs w:val="18"/>
              </w:rPr>
            </w:pPr>
            <w:r>
              <w:rPr>
                <w:rFonts w:ascii="Avenir Next Condensed"/>
                <w:sz w:val="18"/>
              </w:rPr>
              <w:t>19.32</w:t>
            </w:r>
          </w:p>
        </w:tc>
        <w:tc>
          <w:tcPr>
            <w:tcW w:w="206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94"/>
              <w:jc w:val="center"/>
              <w:rPr>
                <w:rFonts w:ascii="Avenir Next Condensed" w:eastAsia="Avenir Next Condensed" w:hAnsi="Avenir Next Condensed" w:cs="Avenir Next Condensed"/>
                <w:sz w:val="18"/>
                <w:szCs w:val="18"/>
              </w:rPr>
            </w:pPr>
            <w:r>
              <w:rPr>
                <w:rFonts w:ascii="Avenir Next Condensed"/>
                <w:sz w:val="18"/>
              </w:rPr>
              <w:t>19.10</w:t>
            </w:r>
          </w:p>
        </w:tc>
      </w:tr>
      <w:tr w:rsidR="00D96B91">
        <w:trPr>
          <w:trHeight w:hRule="exact" w:val="407"/>
        </w:trPr>
        <w:tc>
          <w:tcPr>
            <w:tcW w:w="115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pacing w:val="-2"/>
                <w:sz w:val="18"/>
              </w:rPr>
              <w:t>Total</w:t>
            </w:r>
          </w:p>
        </w:tc>
        <w:tc>
          <w:tcPr>
            <w:tcW w:w="206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67"/>
              <w:jc w:val="center"/>
              <w:rPr>
                <w:rFonts w:ascii="Avenir Next Condensed" w:eastAsia="Avenir Next Condensed" w:hAnsi="Avenir Next Condensed" w:cs="Avenir Next Condensed"/>
                <w:sz w:val="18"/>
                <w:szCs w:val="18"/>
              </w:rPr>
            </w:pPr>
            <w:r>
              <w:rPr>
                <w:rFonts w:ascii="Avenir Next Condensed"/>
                <w:b/>
                <w:sz w:val="18"/>
              </w:rPr>
              <w:t>44.04</w:t>
            </w:r>
          </w:p>
        </w:tc>
        <w:tc>
          <w:tcPr>
            <w:tcW w:w="206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67"/>
              <w:jc w:val="center"/>
              <w:rPr>
                <w:rFonts w:ascii="Avenir Next Condensed" w:eastAsia="Avenir Next Condensed" w:hAnsi="Avenir Next Condensed" w:cs="Avenir Next Condensed"/>
                <w:sz w:val="18"/>
                <w:szCs w:val="18"/>
              </w:rPr>
            </w:pPr>
            <w:r>
              <w:rPr>
                <w:rFonts w:ascii="Avenir Next Condensed"/>
                <w:b/>
                <w:sz w:val="18"/>
              </w:rPr>
              <w:t>44.59</w:t>
            </w:r>
          </w:p>
        </w:tc>
        <w:tc>
          <w:tcPr>
            <w:tcW w:w="206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67"/>
              <w:jc w:val="center"/>
              <w:rPr>
                <w:rFonts w:ascii="Avenir Next Condensed" w:eastAsia="Avenir Next Condensed" w:hAnsi="Avenir Next Condensed" w:cs="Avenir Next Condensed"/>
                <w:sz w:val="18"/>
                <w:szCs w:val="18"/>
              </w:rPr>
            </w:pPr>
            <w:r>
              <w:rPr>
                <w:rFonts w:ascii="Avenir Next Condensed"/>
                <w:b/>
                <w:sz w:val="18"/>
              </w:rPr>
              <w:t>45.17</w:t>
            </w:r>
          </w:p>
        </w:tc>
        <w:tc>
          <w:tcPr>
            <w:tcW w:w="206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67"/>
              <w:jc w:val="center"/>
              <w:rPr>
                <w:rFonts w:ascii="Avenir Next Condensed" w:eastAsia="Avenir Next Condensed" w:hAnsi="Avenir Next Condensed" w:cs="Avenir Next Condensed"/>
                <w:sz w:val="18"/>
                <w:szCs w:val="18"/>
              </w:rPr>
            </w:pPr>
            <w:r>
              <w:rPr>
                <w:rFonts w:ascii="Avenir Next Condensed"/>
                <w:b/>
                <w:sz w:val="18"/>
              </w:rPr>
              <w:t>45.76</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w:t>
      </w: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84.</w:t>
      </w:r>
    </w:p>
    <w:p w:rsidR="00D96B91" w:rsidRDefault="00D96B91">
      <w:pPr>
        <w:spacing w:before="7"/>
        <w:rPr>
          <w:rFonts w:ascii="Avenir Next" w:eastAsia="Avenir Next" w:hAnsi="Avenir Next" w:cs="Avenir Next"/>
          <w:sz w:val="23"/>
          <w:szCs w:val="23"/>
        </w:rPr>
      </w:pPr>
    </w:p>
    <w:p w:rsidR="00D96B91" w:rsidRDefault="00C2656B">
      <w:pPr>
        <w:ind w:left="1247"/>
        <w:rPr>
          <w:rFonts w:ascii="Avenir Next" w:eastAsia="Avenir Next" w:hAnsi="Avenir Next" w:cs="Avenir Next"/>
          <w:sz w:val="20"/>
          <w:szCs w:val="20"/>
        </w:rPr>
      </w:pPr>
      <w:r>
        <w:rPr>
          <w:rFonts w:ascii="Avenir Next" w:eastAsia="Avenir Next" w:hAnsi="Avenir Next" w:cs="Avenir Next"/>
          <w:b/>
          <w:bCs/>
          <w:spacing w:val="-1"/>
          <w:sz w:val="20"/>
          <w:szCs w:val="20"/>
        </w:rPr>
        <w:t>Box</w:t>
      </w:r>
      <w:r>
        <w:rPr>
          <w:rFonts w:ascii="Avenir Next" w:eastAsia="Avenir Next" w:hAnsi="Avenir Next" w:cs="Avenir Next"/>
          <w:b/>
          <w:bCs/>
          <w:sz w:val="20"/>
          <w:szCs w:val="20"/>
        </w:rPr>
        <w:t xml:space="preserve"> 12.2: Summary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3"/>
          <w:sz w:val="20"/>
          <w:szCs w:val="20"/>
        </w:rPr>
        <w:t>Cardno’s</w:t>
      </w:r>
      <w:r>
        <w:rPr>
          <w:rFonts w:ascii="Avenir Next" w:eastAsia="Avenir Next" w:hAnsi="Avenir Next" w:cs="Avenir Next"/>
          <w:b/>
          <w:bCs/>
          <w:sz w:val="20"/>
          <w:szCs w:val="20"/>
        </w:rPr>
        <w:t xml:space="preserve"> analysis of</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sales</w:t>
      </w:r>
    </w:p>
    <w:p w:rsidR="00D96B91" w:rsidRDefault="00D96B91">
      <w:pPr>
        <w:spacing w:before="4"/>
        <w:rPr>
          <w:rFonts w:ascii="Avenir Next" w:eastAsia="Avenir Next" w:hAnsi="Avenir Next" w:cs="Avenir Next"/>
          <w:b/>
          <w:bCs/>
          <w:sz w:val="6"/>
          <w:szCs w:val="6"/>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sidR="00EB16D5">
        <w:rPr>
          <w:rFonts w:ascii="Avenir Next" w:eastAsia="Avenir Next" w:hAnsi="Avenir Next" w:cs="Avenir Next"/>
          <w:sz w:val="20"/>
          <w:szCs w:val="20"/>
        </w:rPr>
        <w:pict>
          <v:shape id="_x0000_s1863" type="#_x0000_t202" style="width:470.55pt;height:274.4pt;mso-left-percent:-10001;mso-top-percent:-10001;mso-position-horizontal:absolute;mso-position-horizontal-relative:char;mso-position-vertical:absolute;mso-position-vertical-relative:line;mso-left-percent:-10001;mso-top-percent:-10001" fillcolor="#dff3fd" stroked="f">
            <v:textbox style="mso-next-textbox:#_x0000_s1863" inset="0,0,0,0">
              <w:txbxContent>
                <w:p w:rsidR="008A79D5" w:rsidRDefault="008A79D5">
                  <w:pPr>
                    <w:numPr>
                      <w:ilvl w:val="0"/>
                      <w:numId w:val="38"/>
                    </w:numPr>
                    <w:tabs>
                      <w:tab w:val="left" w:pos="397"/>
                    </w:tabs>
                    <w:spacing w:before="162" w:line="260" w:lineRule="exact"/>
                    <w:ind w:right="327" w:hanging="226"/>
                    <w:rPr>
                      <w:rFonts w:ascii="Avenir Next Condensed" w:eastAsia="Avenir Next Condensed" w:hAnsi="Avenir Next Condensed" w:cs="Avenir Next Condensed"/>
                      <w:sz w:val="20"/>
                      <w:szCs w:val="20"/>
                    </w:rPr>
                  </w:pPr>
                  <w:r>
                    <w:rPr>
                      <w:rFonts w:ascii="Avenir Next Condensed"/>
                      <w:spacing w:val="-2"/>
                      <w:sz w:val="20"/>
                    </w:rPr>
                    <w:t>Average</w:t>
                  </w:r>
                  <w:r>
                    <w:rPr>
                      <w:rFonts w:ascii="Avenir Next Condensed"/>
                      <w:spacing w:val="-4"/>
                      <w:sz w:val="20"/>
                    </w:rPr>
                    <w:t xml:space="preserve"> </w:t>
                  </w:r>
                  <w:r>
                    <w:rPr>
                      <w:rFonts w:ascii="Avenir Next Condensed"/>
                      <w:spacing w:val="-2"/>
                      <w:sz w:val="20"/>
                    </w:rPr>
                    <w:t>per</w:t>
                  </w:r>
                  <w:r>
                    <w:rPr>
                      <w:rFonts w:ascii="Avenir Next Condensed"/>
                      <w:spacing w:val="-4"/>
                      <w:sz w:val="20"/>
                    </w:rPr>
                    <w:t xml:space="preserve"> </w:t>
                  </w:r>
                  <w:r>
                    <w:rPr>
                      <w:rFonts w:ascii="Avenir Next Condensed"/>
                      <w:spacing w:val="-2"/>
                      <w:sz w:val="20"/>
                    </w:rPr>
                    <w:t>property</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consumption</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8"/>
                      <w:sz w:val="20"/>
                    </w:rPr>
                    <w:t xml:space="preserve"> </w:t>
                  </w:r>
                  <w:r>
                    <w:rPr>
                      <w:rFonts w:ascii="Avenir Next Condensed"/>
                      <w:spacing w:val="-3"/>
                      <w:sz w:val="20"/>
                    </w:rPr>
                    <w:t>ACT</w:t>
                  </w:r>
                  <w:r>
                    <w:rPr>
                      <w:rFonts w:ascii="Avenir Next Condensed"/>
                      <w:spacing w:val="-9"/>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2"/>
                      <w:sz w:val="20"/>
                    </w:rPr>
                    <w:t>falling</w:t>
                  </w:r>
                  <w:r>
                    <w:rPr>
                      <w:rFonts w:ascii="Avenir Next Condensed"/>
                      <w:spacing w:val="-4"/>
                      <w:sz w:val="20"/>
                    </w:rPr>
                    <w:t xml:space="preserve"> </w:t>
                  </w:r>
                  <w:r>
                    <w:rPr>
                      <w:rFonts w:ascii="Avenir Next Condensed"/>
                      <w:spacing w:val="-2"/>
                      <w:sz w:val="20"/>
                    </w:rPr>
                    <w:t>because</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growth</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housing</w:t>
                  </w:r>
                  <w:r>
                    <w:rPr>
                      <w:rFonts w:ascii="Avenir Next Condensed"/>
                      <w:spacing w:val="-4"/>
                      <w:sz w:val="20"/>
                    </w:rPr>
                    <w:t xml:space="preserve"> </w:t>
                  </w:r>
                  <w:r>
                    <w:rPr>
                      <w:rFonts w:ascii="Avenir Next Condensed"/>
                      <w:spacing w:val="-2"/>
                      <w:sz w:val="20"/>
                    </w:rPr>
                    <w:t>stock</w:t>
                  </w:r>
                  <w:r>
                    <w:rPr>
                      <w:rFonts w:ascii="Avenir Next Condensed"/>
                      <w:spacing w:val="-4"/>
                      <w:sz w:val="20"/>
                    </w:rPr>
                    <w:t xml:space="preserve"> </w:t>
                  </w:r>
                  <w:r>
                    <w:rPr>
                      <w:rFonts w:ascii="Avenir Next Condensed"/>
                      <w:spacing w:val="-1"/>
                      <w:sz w:val="20"/>
                    </w:rPr>
                    <w:t>is</w:t>
                  </w:r>
                  <w:r>
                    <w:rPr>
                      <w:rFonts w:ascii="Avenir Next Condensed"/>
                      <w:spacing w:val="-4"/>
                      <w:sz w:val="20"/>
                    </w:rPr>
                    <w:t xml:space="preserve"> </w:t>
                  </w:r>
                  <w:r>
                    <w:rPr>
                      <w:rFonts w:ascii="Avenir Next Condensed"/>
                      <w:spacing w:val="-3"/>
                      <w:sz w:val="20"/>
                    </w:rPr>
                    <w:t>increasingly</w:t>
                  </w:r>
                  <w:r>
                    <w:rPr>
                      <w:rFonts w:ascii="Avenir Next Condensed"/>
                      <w:spacing w:val="-4"/>
                      <w:sz w:val="20"/>
                    </w:rPr>
                    <w:t xml:space="preserve"> </w:t>
                  </w:r>
                  <w:r>
                    <w:rPr>
                      <w:rFonts w:ascii="Avenir Next Condensed"/>
                      <w:spacing w:val="-2"/>
                      <w:sz w:val="20"/>
                    </w:rPr>
                    <w:t>focussed</w:t>
                  </w:r>
                  <w:r>
                    <w:rPr>
                      <w:rFonts w:ascii="Avenir Next Condensed"/>
                      <w:spacing w:val="-4"/>
                      <w:sz w:val="20"/>
                    </w:rPr>
                    <w:t xml:space="preserve"> </w:t>
                  </w:r>
                  <w:r>
                    <w:rPr>
                      <w:rFonts w:ascii="Avenir Next Condensed"/>
                      <w:spacing w:val="-2"/>
                      <w:sz w:val="20"/>
                    </w:rPr>
                    <w:t>on</w:t>
                  </w:r>
                  <w:r>
                    <w:rPr>
                      <w:rFonts w:ascii="Avenir Next Condensed"/>
                      <w:spacing w:val="62"/>
                      <w:sz w:val="20"/>
                    </w:rPr>
                    <w:t xml:space="preserve"> </w:t>
                  </w:r>
                  <w:r>
                    <w:rPr>
                      <w:rFonts w:ascii="Avenir Next Condensed"/>
                      <w:spacing w:val="-2"/>
                      <w:sz w:val="20"/>
                    </w:rPr>
                    <w:t>units,</w:t>
                  </w:r>
                  <w:r>
                    <w:rPr>
                      <w:rFonts w:ascii="Avenir Next Condensed"/>
                      <w:spacing w:val="-10"/>
                      <w:sz w:val="20"/>
                    </w:rPr>
                    <w:t xml:space="preserve"> </w:t>
                  </w:r>
                  <w:r>
                    <w:rPr>
                      <w:rFonts w:ascii="Avenir Next Condensed"/>
                      <w:spacing w:val="-2"/>
                      <w:sz w:val="20"/>
                    </w:rPr>
                    <w:t>which</w:t>
                  </w:r>
                  <w:r>
                    <w:rPr>
                      <w:rFonts w:ascii="Avenir Next Condensed"/>
                      <w:spacing w:val="-4"/>
                      <w:sz w:val="20"/>
                    </w:rPr>
                    <w:t xml:space="preserve"> </w:t>
                  </w:r>
                  <w:r>
                    <w:rPr>
                      <w:rFonts w:ascii="Avenir Next Condensed"/>
                      <w:spacing w:val="-2"/>
                      <w:sz w:val="20"/>
                    </w:rPr>
                    <w:t>tend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use</w:t>
                  </w:r>
                  <w:r>
                    <w:rPr>
                      <w:rFonts w:ascii="Avenir Next Condensed"/>
                      <w:spacing w:val="-4"/>
                      <w:sz w:val="20"/>
                    </w:rPr>
                    <w:t xml:space="preserve"> </w:t>
                  </w:r>
                  <w:r>
                    <w:rPr>
                      <w:rFonts w:ascii="Avenir Next Condensed"/>
                      <w:spacing w:val="-2"/>
                      <w:sz w:val="20"/>
                    </w:rPr>
                    <w:t>less</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freestanding</w:t>
                  </w:r>
                  <w:r>
                    <w:rPr>
                      <w:rFonts w:ascii="Avenir Next Condensed"/>
                      <w:spacing w:val="-4"/>
                      <w:sz w:val="20"/>
                    </w:rPr>
                    <w:t xml:space="preserve"> </w:t>
                  </w:r>
                  <w:r>
                    <w:rPr>
                      <w:rFonts w:ascii="Avenir Next Condensed"/>
                      <w:spacing w:val="-2"/>
                      <w:sz w:val="20"/>
                    </w:rPr>
                    <w:t>houses.</w:t>
                  </w:r>
                </w:p>
                <w:p w:rsidR="008A79D5" w:rsidRDefault="008A79D5">
                  <w:pPr>
                    <w:numPr>
                      <w:ilvl w:val="0"/>
                      <w:numId w:val="38"/>
                    </w:numPr>
                    <w:tabs>
                      <w:tab w:val="left" w:pos="397"/>
                    </w:tabs>
                    <w:spacing w:before="64"/>
                    <w:ind w:hanging="226"/>
                    <w:rPr>
                      <w:rFonts w:ascii="Avenir Next Condensed" w:eastAsia="Avenir Next Condensed" w:hAnsi="Avenir Next Condensed" w:cs="Avenir Next Condensed"/>
                      <w:sz w:val="20"/>
                      <w:szCs w:val="20"/>
                    </w:rPr>
                  </w:pPr>
                  <w:r>
                    <w:rPr>
                      <w:rFonts w:ascii="Avenir Next Condensed"/>
                      <w:spacing w:val="-1"/>
                      <w:sz w:val="20"/>
                    </w:rPr>
                    <w:t>In</w:t>
                  </w:r>
                  <w:r>
                    <w:rPr>
                      <w:rFonts w:ascii="Avenir Next Condensed"/>
                      <w:spacing w:val="-4"/>
                      <w:sz w:val="20"/>
                    </w:rPr>
                    <w:t xml:space="preserve"> </w:t>
                  </w:r>
                  <w:r>
                    <w:rPr>
                      <w:rFonts w:ascii="Avenir Next Condensed"/>
                      <w:spacing w:val="-2"/>
                      <w:sz w:val="20"/>
                    </w:rPr>
                    <w:t>addition,</w:t>
                  </w:r>
                  <w:r>
                    <w:rPr>
                      <w:rFonts w:ascii="Avenir Next Condensed"/>
                      <w:spacing w:val="-10"/>
                      <w:sz w:val="20"/>
                    </w:rPr>
                    <w:t xml:space="preserve"> </w:t>
                  </w:r>
                  <w:r>
                    <w:rPr>
                      <w:rFonts w:ascii="Avenir Next Condensed"/>
                      <w:spacing w:val="-2"/>
                      <w:sz w:val="20"/>
                    </w:rPr>
                    <w:t>newer</w:t>
                  </w:r>
                  <w:r>
                    <w:rPr>
                      <w:rFonts w:ascii="Avenir Next Condensed"/>
                      <w:spacing w:val="-4"/>
                      <w:sz w:val="20"/>
                    </w:rPr>
                    <w:t xml:space="preserve"> </w:t>
                  </w:r>
                  <w:r>
                    <w:rPr>
                      <w:rFonts w:ascii="Avenir Next Condensed"/>
                      <w:spacing w:val="-2"/>
                      <w:sz w:val="20"/>
                    </w:rPr>
                    <w:t>freestanding</w:t>
                  </w:r>
                  <w:r>
                    <w:rPr>
                      <w:rFonts w:ascii="Avenir Next Condensed"/>
                      <w:spacing w:val="-4"/>
                      <w:sz w:val="20"/>
                    </w:rPr>
                    <w:t xml:space="preserve"> </w:t>
                  </w:r>
                  <w:r>
                    <w:rPr>
                      <w:rFonts w:ascii="Avenir Next Condensed"/>
                      <w:spacing w:val="-2"/>
                      <w:sz w:val="20"/>
                    </w:rPr>
                    <w:t>houses</w:t>
                  </w:r>
                  <w:r>
                    <w:rPr>
                      <w:rFonts w:ascii="Avenir Next Condensed"/>
                      <w:spacing w:val="-4"/>
                      <w:sz w:val="20"/>
                    </w:rPr>
                    <w:t xml:space="preserve"> </w:t>
                  </w:r>
                  <w:r>
                    <w:rPr>
                      <w:rFonts w:ascii="Avenir Next Condensed"/>
                      <w:spacing w:val="-2"/>
                      <w:sz w:val="20"/>
                    </w:rPr>
                    <w:t>are</w:t>
                  </w:r>
                  <w:r>
                    <w:rPr>
                      <w:rFonts w:ascii="Avenir Next Condensed"/>
                      <w:spacing w:val="-4"/>
                      <w:sz w:val="20"/>
                    </w:rPr>
                    <w:t xml:space="preserve"> </w:t>
                  </w:r>
                  <w:r>
                    <w:rPr>
                      <w:rFonts w:ascii="Avenir Next Condensed"/>
                      <w:spacing w:val="-2"/>
                      <w:sz w:val="20"/>
                    </w:rPr>
                    <w:t>consuming</w:t>
                  </w:r>
                  <w:r>
                    <w:rPr>
                      <w:rFonts w:ascii="Avenir Next Condensed"/>
                      <w:spacing w:val="-4"/>
                      <w:sz w:val="20"/>
                    </w:rPr>
                    <w:t xml:space="preserve"> </w:t>
                  </w:r>
                  <w:r>
                    <w:rPr>
                      <w:rFonts w:ascii="Avenir Next Condensed"/>
                      <w:spacing w:val="-2"/>
                      <w:sz w:val="20"/>
                    </w:rPr>
                    <w:t>less</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2"/>
                      <w:sz w:val="20"/>
                    </w:rPr>
                    <w:t>older</w:t>
                  </w:r>
                  <w:r>
                    <w:rPr>
                      <w:rFonts w:ascii="Avenir Next Condensed"/>
                      <w:spacing w:val="-4"/>
                      <w:sz w:val="20"/>
                    </w:rPr>
                    <w:t xml:space="preserve"> </w:t>
                  </w:r>
                  <w:r>
                    <w:rPr>
                      <w:rFonts w:ascii="Avenir Next Condensed"/>
                      <w:spacing w:val="-2"/>
                      <w:sz w:val="20"/>
                    </w:rPr>
                    <w:t>ones.</w:t>
                  </w:r>
                </w:p>
                <w:p w:rsidR="008A79D5" w:rsidRDefault="008A79D5">
                  <w:pPr>
                    <w:numPr>
                      <w:ilvl w:val="0"/>
                      <w:numId w:val="38"/>
                    </w:numPr>
                    <w:tabs>
                      <w:tab w:val="left" w:pos="397"/>
                      <w:tab w:val="left" w:pos="4982"/>
                    </w:tabs>
                    <w:spacing w:before="35" w:line="260" w:lineRule="exact"/>
                    <w:ind w:right="510" w:hanging="22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3"/>
                      <w:sz w:val="20"/>
                      <w:szCs w:val="20"/>
                    </w:rPr>
                    <w:t>Cardno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has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assumed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no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‘bounce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back’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consumption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following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restrictions,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which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50"/>
                      <w:sz w:val="20"/>
                      <w:szCs w:val="20"/>
                    </w:rPr>
                    <w:t xml:space="preserve"> </w:t>
                  </w:r>
                  <w:r>
                    <w:rPr>
                      <w:rFonts w:ascii="Avenir Next Condensed" w:eastAsia="Avenir Next Condensed" w:hAnsi="Avenir Next Condensed" w:cs="Avenir Next Condensed"/>
                      <w:spacing w:val="-2"/>
                      <w:sz w:val="20"/>
                      <w:szCs w:val="20"/>
                    </w:rPr>
                    <w:t>further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limiting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factor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growth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consumption.</w:t>
                  </w:r>
                  <w:r>
                    <w:rPr>
                      <w:rFonts w:ascii="Avenir Next Condensed" w:eastAsia="Avenir Next Condensed" w:hAnsi="Avenir Next Condensed" w:cs="Avenir Next Condensed"/>
                      <w:spacing w:val="-14"/>
                      <w:sz w:val="20"/>
                      <w:szCs w:val="20"/>
                    </w:rPr>
                    <w:t xml:space="preserve"> </w:t>
                  </w:r>
                  <w:r>
                    <w:rPr>
                      <w:rFonts w:ascii="Avenir Next Condensed" w:eastAsia="Avenir Next Condensed" w:hAnsi="Avenir Next Condensed" w:cs="Avenir Next Condensed"/>
                      <w:spacing w:val="-3"/>
                      <w:sz w:val="20"/>
                      <w:szCs w:val="20"/>
                    </w:rPr>
                    <w:t>After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examining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post-drought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experience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5"/>
                      <w:sz w:val="20"/>
                      <w:szCs w:val="20"/>
                    </w:rPr>
                    <w:t>ACT,</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NSW</w:t>
                  </w:r>
                  <w:r>
                    <w:rPr>
                      <w:rFonts w:ascii="Avenir Next Condensed" w:eastAsia="Avenir Next Condensed" w:hAnsi="Avenir Next Condensed" w:cs="Avenir Next Condensed"/>
                      <w:spacing w:val="-7"/>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4"/>
                      <w:sz w:val="20"/>
                      <w:szCs w:val="20"/>
                    </w:rPr>
                    <w:t xml:space="preserve"> </w:t>
                  </w:r>
                  <w:r>
                    <w:rPr>
                      <w:rFonts w:ascii="Avenir Next Condensed" w:eastAsia="Avenir Next Condensed" w:hAnsi="Avenir Next Condensed" w:cs="Avenir Next Condensed"/>
                      <w:spacing w:val="-2"/>
                      <w:sz w:val="20"/>
                      <w:szCs w:val="20"/>
                    </w:rPr>
                    <w:t>Queensland,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3"/>
                      <w:sz w:val="20"/>
                      <w:szCs w:val="20"/>
                    </w:rPr>
                    <w:t>Cardno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notes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evidence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extent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timing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any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rebound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consumption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following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restrictions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is</w:t>
                  </w:r>
                  <w:r>
                    <w:rPr>
                      <w:rFonts w:ascii="Avenir Next Condensed" w:eastAsia="Avenir Next Condensed" w:hAnsi="Avenir Next Condensed" w:cs="Avenir Next Condensed"/>
                      <w:spacing w:val="52"/>
                      <w:sz w:val="20"/>
                      <w:szCs w:val="20"/>
                    </w:rPr>
                    <w:t xml:space="preserve"> </w:t>
                  </w:r>
                  <w:r>
                    <w:rPr>
                      <w:rFonts w:ascii="Avenir Next Condensed" w:eastAsia="Avenir Next Condensed" w:hAnsi="Avenir Next Condensed" w:cs="Avenir Next Condensed"/>
                      <w:spacing w:val="-2"/>
                      <w:sz w:val="20"/>
                      <w:szCs w:val="20"/>
                    </w:rPr>
                    <w:t>varied,</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and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concludes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still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too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early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signifi</w:t>
                  </w:r>
                  <w:r w:rsidR="009B14B7">
                    <w:rPr>
                      <w:rFonts w:ascii="Avenir Next Condensed" w:eastAsia="Avenir Next Condensed" w:hAnsi="Avenir Next Condensed" w:cs="Avenir Next Condensed"/>
                      <w:spacing w:val="-2"/>
                      <w:sz w:val="20"/>
                      <w:szCs w:val="20"/>
                    </w:rPr>
                    <w:t xml:space="preserve">cant </w:t>
                  </w:r>
                  <w:r>
                    <w:rPr>
                      <w:rFonts w:ascii="Avenir Next Condensed" w:eastAsia="Avenir Next Condensed" w:hAnsi="Avenir Next Condensed" w:cs="Avenir Next Condensed"/>
                      <w:spacing w:val="-2"/>
                      <w:sz w:val="20"/>
                      <w:szCs w:val="20"/>
                    </w:rPr>
                    <w:t>non-weather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related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underlying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bounce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back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demand</w:t>
                  </w:r>
                  <w:r>
                    <w:rPr>
                      <w:rFonts w:ascii="Avenir Next Condensed" w:eastAsia="Avenir Next Condensed" w:hAnsi="Avenir Next Condensed" w:cs="Avenir Next Condensed"/>
                      <w:spacing w:val="42"/>
                      <w:sz w:val="20"/>
                      <w:szCs w:val="20"/>
                    </w:rPr>
                    <w:t xml:space="preserve"> </w:t>
                  </w:r>
                  <w:r>
                    <w:rPr>
                      <w:rFonts w:ascii="Avenir Next Condensed" w:eastAsia="Avenir Next Condensed" w:hAnsi="Avenir Next Condensed" w:cs="Avenir Next Condensed"/>
                      <w:spacing w:val="-2"/>
                      <w:sz w:val="20"/>
                      <w:szCs w:val="20"/>
                    </w:rPr>
                    <w:t>following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end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a</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long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period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3"/>
                      <w:sz w:val="20"/>
                      <w:szCs w:val="20"/>
                    </w:rPr>
                    <w:t>restrictions.</w:t>
                  </w:r>
                </w:p>
                <w:p w:rsidR="008A79D5" w:rsidRDefault="008A79D5">
                  <w:pPr>
                    <w:numPr>
                      <w:ilvl w:val="0"/>
                      <w:numId w:val="38"/>
                    </w:numPr>
                    <w:tabs>
                      <w:tab w:val="left" w:pos="397"/>
                      <w:tab w:val="left" w:pos="1885"/>
                    </w:tabs>
                    <w:spacing w:before="56" w:line="260" w:lineRule="exact"/>
                    <w:ind w:right="426" w:hanging="226"/>
                    <w:rPr>
                      <w:rFonts w:ascii="Avenir Next Condensed" w:eastAsia="Avenir Next Condensed" w:hAnsi="Avenir Next Condensed" w:cs="Avenir Next Condensed"/>
                      <w:sz w:val="20"/>
                      <w:szCs w:val="20"/>
                    </w:rPr>
                  </w:pP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stock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8"/>
                      <w:sz w:val="20"/>
                      <w:szCs w:val="20"/>
                    </w:rPr>
                    <w:t xml:space="preserve"> </w:t>
                  </w:r>
                  <w:r>
                    <w:rPr>
                      <w:rFonts w:ascii="Avenir Next Condensed" w:eastAsia="Avenir Next Condensed" w:hAnsi="Avenir Next Condensed" w:cs="Avenir Next Condensed"/>
                      <w:spacing w:val="-3"/>
                      <w:sz w:val="20"/>
                      <w:szCs w:val="20"/>
                    </w:rPr>
                    <w:t>ACT</w:t>
                  </w:r>
                  <w:r>
                    <w:rPr>
                      <w:rFonts w:ascii="Avenir Next Condensed" w:eastAsia="Avenir Next Condensed" w:hAnsi="Avenir Next Condensed" w:cs="Avenir Next Condensed"/>
                      <w:spacing w:val="-9"/>
                      <w:sz w:val="20"/>
                      <w:szCs w:val="20"/>
                    </w:rPr>
                    <w:t xml:space="preserve"> </w:t>
                  </w:r>
                  <w:r>
                    <w:rPr>
                      <w:rFonts w:ascii="Avenir Next Condensed" w:eastAsia="Avenir Next Condensed" w:hAnsi="Avenir Next Condensed" w:cs="Avenir Next Condensed"/>
                      <w:spacing w:val="-2"/>
                      <w:sz w:val="20"/>
                      <w:szCs w:val="20"/>
                    </w:rPr>
                    <w:t>(ie,</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number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water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customers)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is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forecast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continue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grow.</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4"/>
                      <w:sz w:val="20"/>
                      <w:szCs w:val="20"/>
                    </w:rPr>
                    <w:t xml:space="preserve">Cardno’s </w:t>
                  </w:r>
                  <w:r>
                    <w:rPr>
                      <w:rFonts w:ascii="Avenir Next Condensed" w:eastAsia="Avenir Next Condensed" w:hAnsi="Avenir Next Condensed" w:cs="Avenir Next Condensed"/>
                      <w:spacing w:val="-2"/>
                      <w:sz w:val="20"/>
                      <w:szCs w:val="20"/>
                    </w:rPr>
                    <w:t>forecasts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 xml:space="preserve">based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8"/>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historic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(fi</w:t>
                  </w:r>
                  <w:r w:rsidR="00EB16D5">
                    <w:rPr>
                      <w:rFonts w:ascii="Avenir Next Condensed" w:eastAsia="Avenir Next Condensed" w:hAnsi="Avenir Next Condensed" w:cs="Avenir Next Condensed"/>
                      <w:spacing w:val="-1"/>
                      <w:sz w:val="20"/>
                      <w:szCs w:val="20"/>
                    </w:rPr>
                    <w:t>ve-year</w:t>
                  </w:r>
                  <w:r>
                    <w:rPr>
                      <w:rFonts w:ascii="Avenir Next Condensed" w:eastAsia="Avenir Next Condensed" w:hAnsi="Avenir Next Condensed" w:cs="Avenir Next Condensed"/>
                      <w:spacing w:val="-2"/>
                      <w:sz w:val="20"/>
                      <w:szCs w:val="20"/>
                    </w:rPr>
                    <w: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growth</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type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dwelling.</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Based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these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historic</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trends,</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number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freestanding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houses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is</w:t>
                  </w:r>
                  <w:r>
                    <w:rPr>
                      <w:rFonts w:ascii="Avenir Next Condensed" w:eastAsia="Avenir Next Condensed" w:hAnsi="Avenir Next Condensed" w:cs="Avenir Next Condensed"/>
                      <w:spacing w:val="44"/>
                      <w:sz w:val="20"/>
                      <w:szCs w:val="20"/>
                    </w:rPr>
                    <w:t xml:space="preserve"> </w:t>
                  </w:r>
                  <w:r>
                    <w:rPr>
                      <w:rFonts w:ascii="Avenir Next Condensed" w:eastAsia="Avenir Next Condensed" w:hAnsi="Avenir Next Condensed" w:cs="Avenir Next Condensed"/>
                      <w:spacing w:val="-2"/>
                      <w:sz w:val="20"/>
                      <w:szCs w:val="20"/>
                    </w:rPr>
                    <w:t>growing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at</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an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annual</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rate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over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1.5%,</w:t>
                  </w:r>
                  <w:r>
                    <w:rPr>
                      <w:rFonts w:ascii="Avenir Next Condensed" w:eastAsia="Avenir Next Condensed" w:hAnsi="Avenir Next Condensed" w:cs="Avenir Next Condensed"/>
                      <w:spacing w:val="-10"/>
                      <w:sz w:val="20"/>
                      <w:szCs w:val="20"/>
                    </w:rPr>
                    <w:t xml:space="preserve"> </w:t>
                  </w:r>
                  <w:r>
                    <w:rPr>
                      <w:rFonts w:ascii="Avenir Next Condensed" w:eastAsia="Avenir Next Condensed" w:hAnsi="Avenir Next Condensed" w:cs="Avenir Next Condensed"/>
                      <w:spacing w:val="-2"/>
                      <w:sz w:val="20"/>
                      <w:szCs w:val="20"/>
                    </w:rPr>
                    <w:t>while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additions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stock</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of</w:t>
                  </w:r>
                  <w:r>
                    <w:rPr>
                      <w:rFonts w:ascii="Avenir Next Condensed" w:eastAsia="Avenir Next Condensed" w:hAnsi="Avenir Next Condensed" w:cs="Avenir Next Condensed"/>
                      <w:sz w:val="20"/>
                      <w:szCs w:val="20"/>
                    </w:rPr>
                    <w:t xml:space="preserve"> </w:t>
                  </w:r>
                  <w:r>
                    <w:rPr>
                      <w:rFonts w:ascii="Avenir Next Condensed" w:eastAsia="Avenir Next Condensed" w:hAnsi="Avenir Next Condensed" w:cs="Avenir Next Condensed"/>
                      <w:spacing w:val="-2"/>
                      <w:sz w:val="20"/>
                      <w:szCs w:val="20"/>
                    </w:rPr>
                    <w:t>units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are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rising</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close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4.7%</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per</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3"/>
                      <w:sz w:val="20"/>
                      <w:szCs w:val="20"/>
                    </w:rPr>
                    <w:t>year.</w:t>
                  </w:r>
                </w:p>
                <w:p w:rsidR="008A79D5" w:rsidRDefault="008A79D5">
                  <w:pPr>
                    <w:numPr>
                      <w:ilvl w:val="0"/>
                      <w:numId w:val="38"/>
                    </w:numPr>
                    <w:tabs>
                      <w:tab w:val="left" w:pos="397"/>
                    </w:tabs>
                    <w:spacing w:before="56" w:line="260" w:lineRule="exact"/>
                    <w:ind w:right="352"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growth</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housing</w:t>
                  </w:r>
                  <w:r>
                    <w:rPr>
                      <w:rFonts w:ascii="Avenir Next Condensed"/>
                      <w:spacing w:val="-4"/>
                      <w:sz w:val="20"/>
                    </w:rPr>
                    <w:t xml:space="preserve"> </w:t>
                  </w:r>
                  <w:r>
                    <w:rPr>
                      <w:rFonts w:ascii="Avenir Next Condensed"/>
                      <w:spacing w:val="-2"/>
                      <w:sz w:val="20"/>
                    </w:rPr>
                    <w:t>stock</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hence</w:t>
                  </w:r>
                  <w:r>
                    <w:rPr>
                      <w:rFonts w:ascii="Avenir Next Condensed"/>
                      <w:spacing w:val="-4"/>
                      <w:sz w:val="20"/>
                    </w:rPr>
                    <w:t xml:space="preserve"> </w:t>
                  </w:r>
                  <w:r>
                    <w:rPr>
                      <w:rFonts w:ascii="Avenir Next Condensed"/>
                      <w:spacing w:val="-2"/>
                      <w:sz w:val="20"/>
                    </w:rPr>
                    <w:t>customer)</w:t>
                  </w:r>
                  <w:r>
                    <w:rPr>
                      <w:rFonts w:ascii="Avenir Next Condensed"/>
                      <w:spacing w:val="-4"/>
                      <w:sz w:val="20"/>
                    </w:rPr>
                    <w:t xml:space="preserve"> </w:t>
                  </w:r>
                  <w:r>
                    <w:rPr>
                      <w:rFonts w:ascii="Avenir Next Condensed"/>
                      <w:spacing w:val="-2"/>
                      <w:sz w:val="20"/>
                    </w:rPr>
                    <w:t>numbers</w:t>
                  </w:r>
                  <w:r>
                    <w:rPr>
                      <w:rFonts w:ascii="Avenir Next Condensed"/>
                      <w:spacing w:val="-4"/>
                      <w:sz w:val="20"/>
                    </w:rPr>
                    <w:t xml:space="preserve"> </w:t>
                  </w:r>
                  <w:r>
                    <w:rPr>
                      <w:rFonts w:ascii="Avenir Next Condensed"/>
                      <w:spacing w:val="-2"/>
                      <w:sz w:val="20"/>
                    </w:rPr>
                    <w:t>more</w:t>
                  </w:r>
                  <w:r>
                    <w:rPr>
                      <w:rFonts w:ascii="Avenir Next Condensed"/>
                      <w:spacing w:val="-4"/>
                      <w:sz w:val="20"/>
                    </w:rPr>
                    <w:t xml:space="preserve"> </w:t>
                  </w:r>
                  <w:r>
                    <w:rPr>
                      <w:rFonts w:ascii="Avenir Next Condensed"/>
                      <w:spacing w:val="-2"/>
                      <w:sz w:val="20"/>
                    </w:rPr>
                    <w:t>than</w:t>
                  </w:r>
                  <w:r>
                    <w:rPr>
                      <w:rFonts w:ascii="Avenir Next Condensed"/>
                      <w:spacing w:val="-4"/>
                      <w:sz w:val="20"/>
                    </w:rPr>
                    <w:t xml:space="preserve"> </w:t>
                  </w:r>
                  <w:r>
                    <w:rPr>
                      <w:rFonts w:ascii="Avenir Next Condensed"/>
                      <w:spacing w:val="-3"/>
                      <w:sz w:val="20"/>
                    </w:rPr>
                    <w:t>offsets</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underlying</w:t>
                  </w:r>
                  <w:r>
                    <w:rPr>
                      <w:rFonts w:ascii="Avenir Next Condensed"/>
                      <w:spacing w:val="-4"/>
                      <w:sz w:val="20"/>
                    </w:rPr>
                    <w:t xml:space="preserve"> </w:t>
                  </w:r>
                  <w:r>
                    <w:rPr>
                      <w:rFonts w:ascii="Avenir Next Condensed"/>
                      <w:spacing w:val="-3"/>
                      <w:sz w:val="20"/>
                    </w:rPr>
                    <w:t>decrease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per</w:t>
                  </w:r>
                  <w:r>
                    <w:rPr>
                      <w:rFonts w:ascii="Avenir Next Condensed"/>
                      <w:spacing w:val="-4"/>
                      <w:sz w:val="20"/>
                    </w:rPr>
                    <w:t xml:space="preserve"> </w:t>
                  </w:r>
                  <w:r>
                    <w:rPr>
                      <w:rFonts w:ascii="Avenir Next Condensed"/>
                      <w:spacing w:val="-2"/>
                      <w:sz w:val="20"/>
                    </w:rPr>
                    <w:t>property</w:t>
                  </w:r>
                  <w:r>
                    <w:rPr>
                      <w:rFonts w:ascii="Avenir Next Condensed"/>
                      <w:spacing w:val="-4"/>
                      <w:sz w:val="20"/>
                    </w:rPr>
                    <w:t xml:space="preserve"> </w:t>
                  </w:r>
                  <w:r>
                    <w:rPr>
                      <w:rFonts w:ascii="Avenir Next Condensed"/>
                      <w:spacing w:val="-2"/>
                      <w:sz w:val="20"/>
                    </w:rPr>
                    <w:t>water</w:t>
                  </w:r>
                  <w:r>
                    <w:rPr>
                      <w:rFonts w:ascii="Avenir Next Condensed"/>
                      <w:spacing w:val="68"/>
                      <w:sz w:val="20"/>
                    </w:rPr>
                    <w:t xml:space="preserve"> </w:t>
                  </w:r>
                  <w:r>
                    <w:rPr>
                      <w:rFonts w:ascii="Avenir Next Condensed"/>
                      <w:spacing w:val="-2"/>
                      <w:sz w:val="20"/>
                    </w:rPr>
                    <w:t>consumption</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2"/>
                      <w:sz w:val="20"/>
                    </w:rPr>
                    <w:t>terms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total</w:t>
                  </w:r>
                  <w:r>
                    <w:rPr>
                      <w:rFonts w:ascii="Avenir Next Condensed"/>
                      <w:spacing w:val="-4"/>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sales.</w:t>
                  </w:r>
                </w:p>
                <w:p w:rsidR="008A79D5" w:rsidRDefault="008A79D5">
                  <w:pPr>
                    <w:numPr>
                      <w:ilvl w:val="0"/>
                      <w:numId w:val="38"/>
                    </w:numPr>
                    <w:tabs>
                      <w:tab w:val="left" w:pos="397"/>
                    </w:tabs>
                    <w:spacing w:before="64"/>
                    <w:ind w:hanging="226"/>
                    <w:rPr>
                      <w:rFonts w:ascii="Avenir Next Condensed" w:eastAsia="Avenir Next Condensed" w:hAnsi="Avenir Next Condensed" w:cs="Avenir Next Condensed"/>
                      <w:sz w:val="11"/>
                      <w:szCs w:val="11"/>
                    </w:rPr>
                  </w:pPr>
                  <w:r>
                    <w:rPr>
                      <w:rFonts w:ascii="Avenir Next Condensed" w:eastAsia="Avenir Next Condensed" w:hAnsi="Avenir Next Condensed" w:cs="Avenir Next Condensed"/>
                      <w:spacing w:val="-4"/>
                      <w:sz w:val="20"/>
                      <w:szCs w:val="20"/>
                    </w:rPr>
                    <w:t xml:space="preserve">Cardno’s </w:t>
                  </w:r>
                  <w:r>
                    <w:rPr>
                      <w:rFonts w:ascii="Avenir Next Condensed" w:eastAsia="Avenir Next Condensed" w:hAnsi="Avenir Next Condensed" w:cs="Avenir Next Condensed"/>
                      <w:spacing w:val="-2"/>
                      <w:sz w:val="20"/>
                      <w:szCs w:val="20"/>
                    </w:rPr>
                    <w:t>model</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assumes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z w:val="20"/>
                      <w:szCs w:val="20"/>
                    </w:rPr>
                    <w:t>a</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return</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to</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historically</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average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weather</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conditions</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(as</w:t>
                  </w:r>
                  <w:r>
                    <w:rPr>
                      <w:rFonts w:ascii="Avenir Next Condensed" w:eastAsia="Avenir Next Condensed" w:hAnsi="Avenir Next Condensed" w:cs="Avenir Next Condensed"/>
                      <w:spacing w:val="-3"/>
                      <w:sz w:val="20"/>
                      <w:szCs w:val="20"/>
                    </w:rPr>
                    <w:t xml:space="preserve"> measured</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1"/>
                      <w:sz w:val="20"/>
                      <w:szCs w:val="20"/>
                    </w:rPr>
                    <w:t>by</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the</w:t>
                  </w:r>
                  <w:r>
                    <w:rPr>
                      <w:rFonts w:ascii="Avenir Next Condensed" w:eastAsia="Avenir Next Condensed" w:hAnsi="Avenir Next Condensed" w:cs="Avenir Next Condensed"/>
                      <w:spacing w:val="-3"/>
                      <w:sz w:val="20"/>
                      <w:szCs w:val="20"/>
                    </w:rPr>
                    <w:t xml:space="preserve"> </w:t>
                  </w:r>
                  <w:r>
                    <w:rPr>
                      <w:rFonts w:ascii="Avenir Next Condensed" w:eastAsia="Avenir Next Condensed" w:hAnsi="Avenir Next Condensed" w:cs="Avenir Next Condensed"/>
                      <w:spacing w:val="-2"/>
                      <w:sz w:val="20"/>
                      <w:szCs w:val="20"/>
                    </w:rPr>
                    <w:t>cumulative</w:t>
                  </w:r>
                  <w:r>
                    <w:rPr>
                      <w:rFonts w:ascii="Avenir Next Condensed" w:eastAsia="Avenir Next Condensed" w:hAnsi="Avenir Next Condensed" w:cs="Avenir Next Condensed"/>
                      <w:spacing w:val="-4"/>
                      <w:sz w:val="20"/>
                      <w:szCs w:val="20"/>
                    </w:rPr>
                    <w:t xml:space="preserve"> </w:t>
                  </w:r>
                  <w:r>
                    <w:rPr>
                      <w:rFonts w:ascii="Avenir Next Condensed" w:eastAsia="Avenir Next Condensed" w:hAnsi="Avenir Next Condensed" w:cs="Avenir Next Condensed"/>
                      <w:spacing w:val="-2"/>
                      <w:sz w:val="20"/>
                      <w:szCs w:val="20"/>
                    </w:rPr>
                    <w:t>evaporation</w:t>
                  </w:r>
                  <w:r>
                    <w:rPr>
                      <w:rFonts w:ascii="Avenir Next Condensed" w:eastAsia="Avenir Next Condensed" w:hAnsi="Avenir Next Condensed" w:cs="Avenir Next Condensed"/>
                      <w:spacing w:val="-3"/>
                      <w:sz w:val="20"/>
                      <w:szCs w:val="20"/>
                    </w:rPr>
                    <w:t xml:space="preserve"> index).</w:t>
                  </w:r>
                  <w:r>
                    <w:rPr>
                      <w:rFonts w:ascii="Avenir Next Condensed" w:eastAsia="Avenir Next Condensed" w:hAnsi="Avenir Next Condensed" w:cs="Avenir Next Condensed"/>
                      <w:spacing w:val="-3"/>
                      <w:position w:val="7"/>
                      <w:sz w:val="11"/>
                      <w:szCs w:val="11"/>
                    </w:rPr>
                    <w:t>215</w:t>
                  </w:r>
                </w:p>
                <w:p w:rsidR="008A79D5" w:rsidRDefault="008A79D5">
                  <w:pPr>
                    <w:numPr>
                      <w:ilvl w:val="0"/>
                      <w:numId w:val="38"/>
                    </w:numPr>
                    <w:tabs>
                      <w:tab w:val="left" w:pos="397"/>
                    </w:tabs>
                    <w:spacing w:before="35" w:line="260" w:lineRule="exact"/>
                    <w:ind w:right="410" w:hanging="226"/>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combination</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rising</w:t>
                  </w:r>
                  <w:r>
                    <w:rPr>
                      <w:rFonts w:ascii="Avenir Next Condensed"/>
                      <w:spacing w:val="-4"/>
                      <w:sz w:val="20"/>
                    </w:rPr>
                    <w:t xml:space="preserve"> </w:t>
                  </w:r>
                  <w:r>
                    <w:rPr>
                      <w:rFonts w:ascii="Avenir Next Condensed"/>
                      <w:spacing w:val="-2"/>
                      <w:sz w:val="20"/>
                    </w:rPr>
                    <w:t>housing</w:t>
                  </w:r>
                  <w:r>
                    <w:rPr>
                      <w:rFonts w:ascii="Avenir Next Condensed"/>
                      <w:spacing w:val="-4"/>
                      <w:sz w:val="20"/>
                    </w:rPr>
                    <w:t xml:space="preserve"> </w:t>
                  </w:r>
                  <w:r>
                    <w:rPr>
                      <w:rFonts w:ascii="Avenir Next Condensed"/>
                      <w:spacing w:val="-2"/>
                      <w:sz w:val="20"/>
                    </w:rPr>
                    <w:t>stock</w:t>
                  </w:r>
                  <w:r>
                    <w:rPr>
                      <w:rFonts w:ascii="Avenir Next Condensed"/>
                      <w:spacing w:val="-4"/>
                      <w:sz w:val="20"/>
                    </w:rPr>
                    <w:t xml:space="preserve"> </w:t>
                  </w:r>
                  <w:r>
                    <w:rPr>
                      <w:rFonts w:ascii="Avenir Next Condensed"/>
                      <w:spacing w:val="-2"/>
                      <w:sz w:val="20"/>
                    </w:rPr>
                    <w:t>and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return</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average</w:t>
                  </w:r>
                  <w:r>
                    <w:rPr>
                      <w:rFonts w:ascii="Avenir Next Condensed"/>
                      <w:spacing w:val="-4"/>
                      <w:sz w:val="20"/>
                    </w:rPr>
                    <w:t xml:space="preserve"> </w:t>
                  </w:r>
                  <w:r>
                    <w:rPr>
                      <w:rFonts w:ascii="Avenir Next Condensed"/>
                      <w:spacing w:val="-2"/>
                      <w:sz w:val="20"/>
                    </w:rPr>
                    <w:t>weather</w:t>
                  </w:r>
                  <w:r>
                    <w:rPr>
                      <w:rFonts w:ascii="Avenir Next Condensed"/>
                      <w:spacing w:val="-4"/>
                      <w:sz w:val="20"/>
                    </w:rPr>
                    <w:t xml:space="preserve"> </w:t>
                  </w:r>
                  <w:r>
                    <w:rPr>
                      <w:rFonts w:ascii="Avenir Next Condensed"/>
                      <w:spacing w:val="-2"/>
                      <w:sz w:val="20"/>
                    </w:rPr>
                    <w:t>conditions</w:t>
                  </w:r>
                  <w:r>
                    <w:rPr>
                      <w:rFonts w:ascii="Avenir Next Condensed"/>
                      <w:spacing w:val="-4"/>
                      <w:sz w:val="20"/>
                    </w:rPr>
                    <w:t xml:space="preserve"> </w:t>
                  </w:r>
                  <w:r>
                    <w:rPr>
                      <w:rFonts w:ascii="Avenir Next Condensed"/>
                      <w:spacing w:val="-2"/>
                      <w:sz w:val="20"/>
                    </w:rPr>
                    <w:t>results</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steady</w:t>
                  </w:r>
                  <w:r>
                    <w:rPr>
                      <w:rFonts w:ascii="Avenir Next Condensed"/>
                      <w:spacing w:val="-4"/>
                      <w:sz w:val="20"/>
                    </w:rPr>
                    <w:t xml:space="preserve"> </w:t>
                  </w:r>
                  <w:r>
                    <w:rPr>
                      <w:rFonts w:ascii="Avenir Next Condensed"/>
                      <w:spacing w:val="-3"/>
                      <w:sz w:val="20"/>
                    </w:rPr>
                    <w:t>increase</w:t>
                  </w:r>
                  <w:r>
                    <w:rPr>
                      <w:rFonts w:ascii="Avenir Next Condensed"/>
                      <w:spacing w:val="-4"/>
                      <w:sz w:val="20"/>
                    </w:rPr>
                    <w:t xml:space="preserve"> </w:t>
                  </w:r>
                  <w:r>
                    <w:rPr>
                      <w:rFonts w:ascii="Avenir Next Condensed"/>
                      <w:spacing w:val="-1"/>
                      <w:sz w:val="20"/>
                    </w:rPr>
                    <w:t>in</w:t>
                  </w:r>
                  <w:r>
                    <w:rPr>
                      <w:rFonts w:ascii="Avenir Next Condensed"/>
                      <w:spacing w:val="-4"/>
                      <w:sz w:val="20"/>
                    </w:rPr>
                    <w:t xml:space="preserve"> </w:t>
                  </w:r>
                  <w:r>
                    <w:rPr>
                      <w:rFonts w:ascii="Avenir Next Condensed"/>
                      <w:spacing w:val="-3"/>
                      <w:sz w:val="20"/>
                    </w:rPr>
                    <w:t>forecast</w:t>
                  </w:r>
                  <w:r>
                    <w:rPr>
                      <w:rFonts w:ascii="Avenir Next Condensed"/>
                      <w:spacing w:val="56"/>
                      <w:sz w:val="20"/>
                    </w:rPr>
                    <w:t xml:space="preserve"> </w:t>
                  </w:r>
                  <w:r>
                    <w:rPr>
                      <w:rFonts w:ascii="Avenir Next Condensed"/>
                      <w:spacing w:val="-2"/>
                      <w:sz w:val="20"/>
                    </w:rPr>
                    <w:t>water</w:t>
                  </w:r>
                  <w:r>
                    <w:rPr>
                      <w:rFonts w:ascii="Avenir Next Condensed"/>
                      <w:spacing w:val="-4"/>
                      <w:sz w:val="20"/>
                    </w:rPr>
                    <w:t xml:space="preserve"> </w:t>
                  </w:r>
                  <w:r>
                    <w:rPr>
                      <w:rFonts w:ascii="Avenir Next Condensed"/>
                      <w:spacing w:val="-2"/>
                      <w:sz w:val="20"/>
                    </w:rPr>
                    <w:t>sales</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proposed</w:t>
                  </w:r>
                  <w:r>
                    <w:rPr>
                      <w:rFonts w:ascii="Avenir Next Condensed"/>
                      <w:spacing w:val="-4"/>
                      <w:sz w:val="20"/>
                    </w:rPr>
                    <w:t xml:space="preserve"> </w:t>
                  </w:r>
                  <w:r>
                    <w:rPr>
                      <w:rFonts w:ascii="Avenir Next Condensed"/>
                      <w:spacing w:val="-2"/>
                      <w:sz w:val="20"/>
                    </w:rPr>
                    <w:t>regulatory</w:t>
                  </w:r>
                  <w:r>
                    <w:rPr>
                      <w:rFonts w:ascii="Avenir Next Condensed"/>
                      <w:spacing w:val="-4"/>
                      <w:sz w:val="20"/>
                    </w:rPr>
                    <w:t xml:space="preserve"> </w:t>
                  </w:r>
                  <w:r>
                    <w:rPr>
                      <w:rFonts w:ascii="Avenir Next Condensed"/>
                      <w:spacing w:val="-2"/>
                      <w:sz w:val="20"/>
                    </w:rPr>
                    <w:t>period.</w:t>
                  </w:r>
                </w:p>
              </w:txbxContent>
            </v:textbox>
          </v:shape>
        </w:pict>
      </w:r>
    </w:p>
    <w:p w:rsidR="00D96B91" w:rsidRDefault="00D96B91">
      <w:pPr>
        <w:spacing w:before="7"/>
        <w:rPr>
          <w:rFonts w:ascii="Avenir Next" w:eastAsia="Avenir Next" w:hAnsi="Avenir Next" w:cs="Avenir Next"/>
          <w:b/>
          <w:bCs/>
          <w:sz w:val="21"/>
          <w:szCs w:val="21"/>
        </w:rPr>
      </w:pPr>
    </w:p>
    <w:p w:rsidR="00D96B91" w:rsidRDefault="00C2656B">
      <w:pPr>
        <w:pStyle w:val="Heading6"/>
        <w:spacing w:before="35"/>
        <w:ind w:left="1247" w:firstLine="0"/>
      </w:pPr>
      <w:r>
        <w:rPr>
          <w:color w:val="0778BE"/>
        </w:rPr>
        <w:t xml:space="preserve">12.2.4 </w:t>
      </w:r>
      <w:r>
        <w:rPr>
          <w:color w:val="0778BE"/>
          <w:spacing w:val="34"/>
        </w:rPr>
        <w:t xml:space="preserve"> </w:t>
      </w: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313"/>
      </w:pPr>
      <w:r>
        <w:rPr>
          <w:spacing w:val="-4"/>
        </w:rPr>
        <w:t>For</w:t>
      </w:r>
      <w:r>
        <w:t xml:space="preserve"> the </w:t>
      </w:r>
      <w:r>
        <w:rPr>
          <w:spacing w:val="-1"/>
        </w:rPr>
        <w:t>reasons</w:t>
      </w:r>
      <w:r>
        <w:t xml:space="preserve"> discussed in section 12.1,</w:t>
      </w:r>
      <w:r>
        <w:rPr>
          <w:spacing w:val="-7"/>
        </w:rPr>
        <w:t xml:space="preserve"> </w:t>
      </w:r>
      <w:r>
        <w:t xml:space="preserve">the </w:t>
      </w:r>
      <w:r>
        <w:rPr>
          <w:spacing w:val="-3"/>
        </w:rPr>
        <w:t>Panel</w:t>
      </w:r>
      <w:r>
        <w:t xml:space="preserve"> decided to adopt </w:t>
      </w:r>
      <w:r>
        <w:rPr>
          <w:spacing w:val="-1"/>
        </w:rPr>
        <w:t>multi-year</w:t>
      </w:r>
      <w:r>
        <w:t xml:space="preserve"> </w:t>
      </w:r>
      <w:r>
        <w:rPr>
          <w:spacing w:val="-1"/>
        </w:rPr>
        <w:t>water</w:t>
      </w:r>
      <w:r>
        <w:t xml:space="preserve"> sales </w:t>
      </w:r>
      <w:r>
        <w:rPr>
          <w:spacing w:val="-1"/>
        </w:rPr>
        <w:t>forecasts</w:t>
      </w:r>
      <w:r>
        <w:rPr>
          <w:spacing w:val="45"/>
        </w:rPr>
        <w:t xml:space="preserve"> </w:t>
      </w:r>
      <w:r>
        <w:t>for</w:t>
      </w:r>
      <w:r>
        <w:rPr>
          <w:spacing w:val="-1"/>
        </w:rPr>
        <w:t xml:space="preserve"> </w:t>
      </w:r>
      <w:r>
        <w:t xml:space="preserve">the </w:t>
      </w:r>
      <w:r>
        <w:rPr>
          <w:spacing w:val="-1"/>
        </w:rPr>
        <w:t>remainder</w:t>
      </w:r>
      <w:r>
        <w:t xml:space="preserve"> of</w:t>
      </w:r>
      <w:r>
        <w:rPr>
          <w:spacing w:val="3"/>
        </w:rPr>
        <w:t xml:space="preserve"> </w:t>
      </w:r>
      <w:r>
        <w:t xml:space="preserve">the </w:t>
      </w:r>
      <w:r>
        <w:rPr>
          <w:spacing w:val="-1"/>
        </w:rPr>
        <w:t>regulatory</w:t>
      </w:r>
      <w:r>
        <w:t xml:space="preserve"> period.</w:t>
      </w:r>
      <w:r>
        <w:rPr>
          <w:spacing w:val="-7"/>
        </w:rPr>
        <w:t xml:space="preserve"> </w:t>
      </w:r>
      <w:r>
        <w:t xml:space="preserve">It is </w:t>
      </w:r>
      <w:r>
        <w:rPr>
          <w:spacing w:val="-1"/>
        </w:rPr>
        <w:t>satisfied that</w:t>
      </w:r>
      <w:r>
        <w:t xml:space="preserve"> </w:t>
      </w:r>
      <w:r>
        <w:rPr>
          <w:spacing w:val="-1"/>
        </w:rPr>
        <w:t>through</w:t>
      </w:r>
      <w:r>
        <w:t xml:space="preserve"> its</w:t>
      </w:r>
      <w:r>
        <w:rPr>
          <w:spacing w:val="-1"/>
        </w:rPr>
        <w:t xml:space="preserve"> </w:t>
      </w:r>
      <w:r>
        <w:t>chosen form of</w:t>
      </w:r>
      <w:r>
        <w:rPr>
          <w:spacing w:val="3"/>
        </w:rPr>
        <w:t xml:space="preserve"> </w:t>
      </w:r>
      <w:r>
        <w:t xml:space="preserve">price </w:t>
      </w:r>
      <w:r>
        <w:rPr>
          <w:spacing w:val="-1"/>
        </w:rPr>
        <w:t>control</w:t>
      </w:r>
      <w:r>
        <w:rPr>
          <w:spacing w:val="49"/>
        </w:rPr>
        <w:t xml:space="preserve"> </w:t>
      </w:r>
      <w:r>
        <w:t xml:space="preserve">(hybrid price and </w:t>
      </w:r>
      <w:r>
        <w:rPr>
          <w:spacing w:val="-1"/>
        </w:rPr>
        <w:t>revenue</w:t>
      </w:r>
      <w:r>
        <w:t xml:space="preserve"> cap),</w:t>
      </w:r>
      <w:r>
        <w:rPr>
          <w:spacing w:val="-6"/>
        </w:rPr>
        <w:t xml:space="preserve"> </w:t>
      </w:r>
      <w:r>
        <w:t xml:space="preserve">the risk </w:t>
      </w:r>
      <w:r>
        <w:rPr>
          <w:spacing w:val="-1"/>
        </w:rPr>
        <w:t>associated</w:t>
      </w:r>
      <w:r>
        <w:t xml:space="preserve"> with this decision can be </w:t>
      </w:r>
      <w:r>
        <w:rPr>
          <w:spacing w:val="-1"/>
        </w:rPr>
        <w:t>allocated</w:t>
      </w:r>
      <w:r>
        <w:t xml:space="preserve"> </w:t>
      </w:r>
      <w:r>
        <w:rPr>
          <w:spacing w:val="-1"/>
        </w:rPr>
        <w:t>appropriately</w:t>
      </w:r>
      <w:r>
        <w:rPr>
          <w:spacing w:val="49"/>
        </w:rPr>
        <w:t xml:space="preserve"> </w:t>
      </w:r>
      <w:r>
        <w:t>between</w:t>
      </w:r>
      <w:r>
        <w:rPr>
          <w:spacing w:val="-4"/>
        </w:rPr>
        <w:t xml:space="preserve"> </w:t>
      </w:r>
      <w:r>
        <w:rPr>
          <w:spacing w:val="-2"/>
        </w:rPr>
        <w:t>ACTEW</w:t>
      </w:r>
      <w:r>
        <w:rPr>
          <w:spacing w:val="-3"/>
        </w:rPr>
        <w:t xml:space="preserve"> </w:t>
      </w:r>
      <w:r>
        <w:t>and its customers.</w:t>
      </w:r>
    </w:p>
    <w:p w:rsidR="00D96B91" w:rsidRDefault="00C2656B">
      <w:pPr>
        <w:pStyle w:val="BodyText"/>
        <w:spacing w:before="170" w:line="260" w:lineRule="exact"/>
        <w:ind w:right="1548"/>
      </w:pPr>
      <w:r>
        <w:rPr>
          <w:spacing w:val="-1"/>
        </w:rPr>
        <w:t xml:space="preserve">After </w:t>
      </w:r>
      <w:r>
        <w:t xml:space="preserve">considering the </w:t>
      </w:r>
      <w:r>
        <w:rPr>
          <w:spacing w:val="-2"/>
        </w:rPr>
        <w:t>ICRC’s</w:t>
      </w:r>
      <w:r>
        <w:rPr>
          <w:spacing w:val="-1"/>
        </w:rPr>
        <w:t xml:space="preserve"> </w:t>
      </w:r>
      <w:r>
        <w:t xml:space="preserve">final decision on </w:t>
      </w:r>
      <w:r>
        <w:rPr>
          <w:spacing w:val="-1"/>
        </w:rPr>
        <w:t xml:space="preserve">water </w:t>
      </w:r>
      <w:r>
        <w:t xml:space="preserve">sales </w:t>
      </w:r>
      <w:r>
        <w:rPr>
          <w:spacing w:val="-1"/>
        </w:rPr>
        <w:t>forecasts</w:t>
      </w:r>
      <w:r>
        <w:t xml:space="preserve"> for</w:t>
      </w:r>
      <w:r>
        <w:rPr>
          <w:spacing w:val="-1"/>
        </w:rPr>
        <w:t xml:space="preserve"> </w:t>
      </w:r>
      <w:r>
        <w:t>2013-14 and 2014-15,</w:t>
      </w:r>
      <w:r>
        <w:rPr>
          <w:spacing w:val="-7"/>
        </w:rPr>
        <w:t xml:space="preserve"> </w:t>
      </w:r>
      <w:r>
        <w:t>the</w:t>
      </w:r>
      <w:r>
        <w:rPr>
          <w:spacing w:val="25"/>
        </w:rPr>
        <w:t xml:space="preserve"> </w:t>
      </w:r>
      <w:r>
        <w:rPr>
          <w:spacing w:val="-3"/>
        </w:rPr>
        <w:t>Panel</w:t>
      </w:r>
      <w:r>
        <w:t xml:space="preserve"> decided not to adopt these </w:t>
      </w:r>
      <w:r>
        <w:rPr>
          <w:spacing w:val="-1"/>
        </w:rPr>
        <w:t>forecasts.</w:t>
      </w:r>
      <w:r>
        <w:rPr>
          <w:spacing w:val="-11"/>
        </w:rPr>
        <w:t xml:space="preserve"> </w:t>
      </w:r>
      <w:r>
        <w:rPr>
          <w:spacing w:val="-2"/>
        </w:rPr>
        <w:t>The</w:t>
      </w:r>
      <w:r>
        <w:t xml:space="preserve"> </w:t>
      </w:r>
      <w:r>
        <w:rPr>
          <w:spacing w:val="-3"/>
        </w:rPr>
        <w:t>Panel</w:t>
      </w:r>
      <w:r>
        <w:t xml:space="preserve"> notes </w:t>
      </w:r>
      <w:r>
        <w:rPr>
          <w:spacing w:val="-1"/>
        </w:rPr>
        <w:t>that</w:t>
      </w:r>
      <w:r>
        <w:t xml:space="preserve"> the </w:t>
      </w:r>
      <w:r>
        <w:rPr>
          <w:spacing w:val="-2"/>
        </w:rPr>
        <w:t>ICRC’s</w:t>
      </w:r>
      <w:r>
        <w:t xml:space="preserve"> view of</w:t>
      </w:r>
      <w:r>
        <w:rPr>
          <w:spacing w:val="4"/>
        </w:rPr>
        <w:t xml:space="preserve"> </w:t>
      </w:r>
      <w:r>
        <w:t xml:space="preserve">these </w:t>
      </w:r>
      <w:r>
        <w:rPr>
          <w:spacing w:val="-1"/>
        </w:rPr>
        <w:t>water</w:t>
      </w:r>
      <w:r>
        <w:t xml:space="preserve"> sales</w:t>
      </w:r>
    </w:p>
    <w:p w:rsidR="00D96B91" w:rsidRDefault="00C2656B">
      <w:pPr>
        <w:pStyle w:val="BodyText"/>
        <w:spacing w:line="260" w:lineRule="exact"/>
        <w:ind w:right="1246"/>
      </w:pPr>
      <w:r>
        <w:rPr>
          <w:spacing w:val="-1"/>
        </w:rPr>
        <w:t>forecasts</w:t>
      </w:r>
      <w:r>
        <w:t xml:space="preserve"> as </w:t>
      </w:r>
      <w:r>
        <w:rPr>
          <w:spacing w:val="-1"/>
        </w:rPr>
        <w:t>“conservative”</w:t>
      </w:r>
      <w:r>
        <w:t xml:space="preserve"> is borne out by the </w:t>
      </w:r>
      <w:r>
        <w:rPr>
          <w:spacing w:val="-1"/>
        </w:rPr>
        <w:t>revised</w:t>
      </w:r>
      <w:r>
        <w:t xml:space="preserve"> actual consumption </w:t>
      </w:r>
      <w:r>
        <w:rPr>
          <w:spacing w:val="-1"/>
        </w:rPr>
        <w:t>data</w:t>
      </w:r>
      <w:r>
        <w:rPr>
          <w:spacing w:val="-4"/>
        </w:rPr>
        <w:t xml:space="preserve"> </w:t>
      </w:r>
      <w:r>
        <w:rPr>
          <w:spacing w:val="-2"/>
        </w:rPr>
        <w:t>ACTEW</w:t>
      </w:r>
      <w:r>
        <w:rPr>
          <w:spacing w:val="-3"/>
        </w:rPr>
        <w:t xml:space="preserve"> </w:t>
      </w:r>
      <w:r>
        <w:rPr>
          <w:spacing w:val="-1"/>
        </w:rPr>
        <w:t>provided</w:t>
      </w:r>
      <w:r>
        <w:t xml:space="preserve"> to this</w:t>
      </w:r>
      <w:r>
        <w:rPr>
          <w:spacing w:val="41"/>
        </w:rPr>
        <w:t xml:space="preserve"> </w:t>
      </w:r>
      <w:r>
        <w:rPr>
          <w:spacing w:val="-2"/>
        </w:rPr>
        <w:t>review.</w:t>
      </w:r>
      <w:r>
        <w:rPr>
          <w:spacing w:val="-10"/>
        </w:rPr>
        <w:t xml:space="preserve"> </w:t>
      </w:r>
      <w:r>
        <w:t>As</w:t>
      </w:r>
      <w:r>
        <w:rPr>
          <w:spacing w:val="-5"/>
        </w:rPr>
        <w:t xml:space="preserve"> </w:t>
      </w:r>
      <w:hyperlink w:anchor="_bookmark104" w:history="1">
        <w:r>
          <w:rPr>
            <w:spacing w:val="-4"/>
          </w:rPr>
          <w:t>Table</w:t>
        </w:r>
        <w:r>
          <w:t xml:space="preserve"> 12.2</w:t>
        </w:r>
      </w:hyperlink>
      <w:r>
        <w:t xml:space="preserve"> above shows,</w:t>
      </w:r>
      <w:r>
        <w:rPr>
          <w:spacing w:val="-10"/>
        </w:rPr>
        <w:t xml:space="preserve"> </w:t>
      </w:r>
      <w:r>
        <w:rPr>
          <w:spacing w:val="-2"/>
        </w:rPr>
        <w:t>ACTEW’s</w:t>
      </w:r>
      <w:r>
        <w:t xml:space="preserve"> actual </w:t>
      </w:r>
      <w:r>
        <w:rPr>
          <w:spacing w:val="-1"/>
        </w:rPr>
        <w:t>water</w:t>
      </w:r>
      <w:r>
        <w:t xml:space="preserve"> sales in 2013-14 </w:t>
      </w:r>
      <w:r>
        <w:rPr>
          <w:spacing w:val="-1"/>
        </w:rPr>
        <w:t>were</w:t>
      </w:r>
      <w:r>
        <w:t xml:space="preserve"> close to 42 GL,</w:t>
      </w:r>
      <w:r>
        <w:rPr>
          <w:spacing w:val="-6"/>
        </w:rPr>
        <w:t xml:space="preserve"> </w:t>
      </w:r>
      <w:r>
        <w:t>which</w:t>
      </w:r>
    </w:p>
    <w:p w:rsidR="00D96B91" w:rsidRDefault="00C2656B">
      <w:pPr>
        <w:pStyle w:val="BodyText"/>
        <w:spacing w:line="260" w:lineRule="exact"/>
        <w:ind w:right="1388"/>
        <w:jc w:val="both"/>
        <w:rPr>
          <w:sz w:val="11"/>
          <w:szCs w:val="11"/>
        </w:rPr>
      </w:pPr>
      <w:r>
        <w:t xml:space="preserve">is </w:t>
      </w:r>
      <w:r>
        <w:rPr>
          <w:spacing w:val="-1"/>
        </w:rPr>
        <w:t>more</w:t>
      </w:r>
      <w:r>
        <w:rPr>
          <w:spacing w:val="1"/>
        </w:rPr>
        <w:t xml:space="preserve"> </w:t>
      </w:r>
      <w:r>
        <w:t>than 10%</w:t>
      </w:r>
      <w:r>
        <w:rPr>
          <w:spacing w:val="1"/>
        </w:rPr>
        <w:t xml:space="preserve"> </w:t>
      </w:r>
      <w:r>
        <w:t>higher</w:t>
      </w:r>
      <w:r>
        <w:rPr>
          <w:spacing w:val="1"/>
        </w:rPr>
        <w:t xml:space="preserve"> </w:t>
      </w:r>
      <w:r>
        <w:t>than the</w:t>
      </w:r>
      <w:r>
        <w:rPr>
          <w:spacing w:val="1"/>
        </w:rPr>
        <w:t xml:space="preserve"> </w:t>
      </w:r>
      <w:r>
        <w:rPr>
          <w:spacing w:val="-1"/>
        </w:rPr>
        <w:t>forecast</w:t>
      </w:r>
      <w:r>
        <w:rPr>
          <w:spacing w:val="1"/>
        </w:rPr>
        <w:t xml:space="preserve"> </w:t>
      </w:r>
      <w:r>
        <w:t>sales of</w:t>
      </w:r>
      <w:r>
        <w:rPr>
          <w:spacing w:val="5"/>
        </w:rPr>
        <w:t xml:space="preserve"> </w:t>
      </w:r>
      <w:r>
        <w:t>38 GL</w:t>
      </w:r>
      <w:r>
        <w:rPr>
          <w:spacing w:val="-4"/>
        </w:rPr>
        <w:t xml:space="preserve"> </w:t>
      </w:r>
      <w:r>
        <w:t>used</w:t>
      </w:r>
      <w:r>
        <w:rPr>
          <w:spacing w:val="1"/>
        </w:rPr>
        <w:t xml:space="preserve"> </w:t>
      </w:r>
      <w:r>
        <w:t>in making</w:t>
      </w:r>
      <w:r>
        <w:rPr>
          <w:spacing w:val="1"/>
        </w:rPr>
        <w:t xml:space="preserve"> </w:t>
      </w:r>
      <w:r>
        <w:t>the</w:t>
      </w:r>
      <w:r>
        <w:rPr>
          <w:spacing w:val="1"/>
        </w:rPr>
        <w:t xml:space="preserve"> </w:t>
      </w:r>
      <w:r>
        <w:t>original price</w:t>
      </w:r>
      <w:r>
        <w:rPr>
          <w:spacing w:val="1"/>
        </w:rPr>
        <w:t xml:space="preserve"> </w:t>
      </w:r>
      <w:r>
        <w:rPr>
          <w:spacing w:val="-1"/>
        </w:rPr>
        <w:t>direction.</w:t>
      </w:r>
      <w:r>
        <w:rPr>
          <w:spacing w:val="-1"/>
          <w:position w:val="7"/>
          <w:sz w:val="11"/>
          <w:szCs w:val="11"/>
        </w:rPr>
        <w:t>216</w:t>
      </w:r>
      <w:r>
        <w:rPr>
          <w:spacing w:val="27"/>
          <w:w w:val="106"/>
          <w:position w:val="7"/>
          <w:sz w:val="11"/>
          <w:szCs w:val="11"/>
        </w:rPr>
        <w:t xml:space="preserve"> </w:t>
      </w:r>
      <w:r>
        <w:rPr>
          <w:spacing w:val="-2"/>
        </w:rPr>
        <w:t>The</w:t>
      </w:r>
      <w:r>
        <w:t xml:space="preserve"> </w:t>
      </w:r>
      <w:r>
        <w:rPr>
          <w:spacing w:val="-3"/>
        </w:rPr>
        <w:t>Panel</w:t>
      </w:r>
      <w:r>
        <w:t xml:space="preserve"> also notes </w:t>
      </w:r>
      <w:r>
        <w:rPr>
          <w:spacing w:val="-1"/>
        </w:rPr>
        <w:t>that</w:t>
      </w:r>
      <w:r>
        <w:t xml:space="preserve"> </w:t>
      </w:r>
      <w:r>
        <w:rPr>
          <w:spacing w:val="-3"/>
        </w:rPr>
        <w:t>Cardno’s</w:t>
      </w:r>
      <w:r>
        <w:t xml:space="preserve"> modelling </w:t>
      </w:r>
      <w:r>
        <w:rPr>
          <w:spacing w:val="-1"/>
        </w:rPr>
        <w:t>indicates</w:t>
      </w:r>
      <w:r>
        <w:t xml:space="preserve"> </w:t>
      </w:r>
      <w:r>
        <w:rPr>
          <w:spacing w:val="-1"/>
        </w:rPr>
        <w:t>there</w:t>
      </w:r>
      <w:r>
        <w:t xml:space="preserve"> is 95% </w:t>
      </w:r>
      <w:r>
        <w:rPr>
          <w:spacing w:val="-1"/>
        </w:rPr>
        <w:t>probability</w:t>
      </w:r>
      <w:r>
        <w:t xml:space="preserve"> </w:t>
      </w:r>
      <w:r>
        <w:rPr>
          <w:spacing w:val="-1"/>
        </w:rPr>
        <w:t>that</w:t>
      </w:r>
      <w:r>
        <w:t xml:space="preserve"> actual </w:t>
      </w:r>
      <w:r>
        <w:rPr>
          <w:spacing w:val="-1"/>
        </w:rPr>
        <w:t>water</w:t>
      </w:r>
      <w:r>
        <w:t xml:space="preserve"> sales</w:t>
      </w:r>
      <w:r>
        <w:rPr>
          <w:spacing w:val="67"/>
        </w:rPr>
        <w:t xml:space="preserve"> </w:t>
      </w:r>
      <w:r>
        <w:t>will</w:t>
      </w:r>
      <w:r>
        <w:rPr>
          <w:spacing w:val="1"/>
        </w:rPr>
        <w:t xml:space="preserve"> </w:t>
      </w:r>
      <w:r>
        <w:rPr>
          <w:spacing w:val="-1"/>
        </w:rPr>
        <w:t>exceed</w:t>
      </w:r>
      <w:r>
        <w:rPr>
          <w:spacing w:val="2"/>
        </w:rPr>
        <w:t xml:space="preserve"> </w:t>
      </w:r>
      <w:r>
        <w:t>38</w:t>
      </w:r>
      <w:r>
        <w:rPr>
          <w:spacing w:val="2"/>
        </w:rPr>
        <w:t xml:space="preserve"> </w:t>
      </w:r>
      <w:r>
        <w:t>GL</w:t>
      </w:r>
      <w:r>
        <w:rPr>
          <w:spacing w:val="-4"/>
        </w:rPr>
        <w:t xml:space="preserve"> </w:t>
      </w:r>
      <w:r>
        <w:t>in</w:t>
      </w:r>
      <w:r>
        <w:rPr>
          <w:spacing w:val="2"/>
        </w:rPr>
        <w:t xml:space="preserve"> </w:t>
      </w:r>
      <w:r>
        <w:t>2014-15</w:t>
      </w:r>
      <w:r>
        <w:rPr>
          <w:spacing w:val="1"/>
        </w:rPr>
        <w:t xml:space="preserve"> </w:t>
      </w:r>
      <w:r>
        <w:t>and</w:t>
      </w:r>
      <w:r>
        <w:rPr>
          <w:spacing w:val="2"/>
        </w:rPr>
        <w:t xml:space="preserve"> </w:t>
      </w:r>
      <w:r>
        <w:rPr>
          <w:spacing w:val="-1"/>
        </w:rPr>
        <w:t>2015-16.</w:t>
      </w:r>
      <w:r>
        <w:rPr>
          <w:spacing w:val="-1"/>
          <w:position w:val="7"/>
          <w:sz w:val="11"/>
          <w:szCs w:val="11"/>
        </w:rPr>
        <w:t>217</w:t>
      </w:r>
    </w:p>
    <w:p w:rsidR="00D96B91" w:rsidRDefault="00D96B91">
      <w:pPr>
        <w:spacing w:before="5"/>
        <w:rPr>
          <w:rFonts w:ascii="Avenir Next" w:eastAsia="Avenir Next" w:hAnsi="Avenir Next" w:cs="Avenir Next"/>
          <w:sz w:val="20"/>
          <w:szCs w:val="2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60" style="width:72.5pt;height:.5pt;mso-position-horizontal-relative:char;mso-position-vertical-relative:line" coordsize="1450,10">
            <v:group id="_x0000_s1861" style="position:absolute;left:5;top:5;width:1440;height:2" coordorigin="5,5" coordsize="1440,2">
              <v:shape id="_x0000_s1862"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line="205" w:lineRule="exact"/>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is the </w:t>
      </w:r>
      <w:r>
        <w:rPr>
          <w:rFonts w:ascii="Avenir Next"/>
          <w:spacing w:val="-1"/>
          <w:sz w:val="16"/>
        </w:rPr>
        <w:t>reason</w:t>
      </w:r>
      <w:r>
        <w:rPr>
          <w:rFonts w:ascii="Avenir Next"/>
          <w:sz w:val="16"/>
        </w:rPr>
        <w:t xml:space="preserve"> for the jump in </w:t>
      </w:r>
      <w:r>
        <w:rPr>
          <w:rFonts w:ascii="Avenir Next"/>
          <w:spacing w:val="-1"/>
          <w:sz w:val="16"/>
        </w:rPr>
        <w:t>forecast</w:t>
      </w:r>
      <w:r>
        <w:rPr>
          <w:rFonts w:ascii="Avenir Next"/>
          <w:sz w:val="16"/>
        </w:rPr>
        <w:t xml:space="preserve"> </w:t>
      </w:r>
      <w:r>
        <w:rPr>
          <w:rFonts w:ascii="Avenir Next"/>
          <w:spacing w:val="-1"/>
          <w:sz w:val="16"/>
        </w:rPr>
        <w:t>water</w:t>
      </w:r>
      <w:r>
        <w:rPr>
          <w:rFonts w:ascii="Avenir Next"/>
          <w:sz w:val="16"/>
        </w:rPr>
        <w:t xml:space="preserve"> sales in 2014-15 </w:t>
      </w:r>
      <w:r>
        <w:rPr>
          <w:rFonts w:ascii="Avenir Next"/>
          <w:spacing w:val="-1"/>
          <w:sz w:val="16"/>
        </w:rPr>
        <w:t>compared</w:t>
      </w:r>
      <w:r>
        <w:rPr>
          <w:rFonts w:ascii="Avenir Next"/>
          <w:sz w:val="16"/>
        </w:rPr>
        <w:t xml:space="preserve"> with the actual 2013-14 </w:t>
      </w:r>
      <w:r>
        <w:rPr>
          <w:rFonts w:ascii="Avenir Next"/>
          <w:spacing w:val="-1"/>
          <w:sz w:val="16"/>
        </w:rPr>
        <w:t>result</w:t>
      </w:r>
      <w:r>
        <w:rPr>
          <w:rFonts w:ascii="Avenir Next"/>
          <w:sz w:val="16"/>
        </w:rPr>
        <w:t xml:space="preserve"> (44 GL</w:t>
      </w:r>
      <w:r>
        <w:rPr>
          <w:rFonts w:ascii="Avenir Next"/>
          <w:spacing w:val="-4"/>
          <w:sz w:val="16"/>
        </w:rPr>
        <w:t xml:space="preserve"> </w:t>
      </w:r>
      <w:r>
        <w:rPr>
          <w:rFonts w:ascii="Avenir Next"/>
          <w:sz w:val="16"/>
        </w:rPr>
        <w:t>versus</w:t>
      </w:r>
    </w:p>
    <w:p w:rsidR="00D96B91" w:rsidRDefault="00C2656B">
      <w:pPr>
        <w:spacing w:before="6" w:line="210" w:lineRule="auto"/>
        <w:ind w:left="1757" w:right="1283"/>
        <w:rPr>
          <w:rFonts w:ascii="Avenir Next" w:eastAsia="Avenir Next" w:hAnsi="Avenir Next" w:cs="Avenir Next"/>
          <w:sz w:val="16"/>
          <w:szCs w:val="16"/>
        </w:rPr>
      </w:pPr>
      <w:r>
        <w:rPr>
          <w:rFonts w:ascii="Avenir Next" w:eastAsia="Avenir Next" w:hAnsi="Avenir Next" w:cs="Avenir Next"/>
          <w:sz w:val="16"/>
          <w:szCs w:val="16"/>
        </w:rPr>
        <w:t>42 GL).</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Cardno’s</w:t>
      </w:r>
      <w:r>
        <w:rPr>
          <w:rFonts w:ascii="Avenir Next" w:eastAsia="Avenir Next" w:hAnsi="Avenir Next" w:cs="Avenir Next"/>
          <w:sz w:val="16"/>
          <w:szCs w:val="16"/>
        </w:rPr>
        <w:t xml:space="preserve"> model </w:t>
      </w:r>
      <w:r>
        <w:rPr>
          <w:rFonts w:ascii="Avenir Next" w:eastAsia="Avenir Next" w:hAnsi="Avenir Next" w:cs="Avenir Next"/>
          <w:spacing w:val="-1"/>
          <w:sz w:val="16"/>
          <w:szCs w:val="16"/>
        </w:rPr>
        <w:t>incorporates</w:t>
      </w:r>
      <w:r>
        <w:rPr>
          <w:rFonts w:ascii="Avenir Next" w:eastAsia="Avenir Next" w:hAnsi="Avenir Next" w:cs="Avenir Next"/>
          <w:sz w:val="16"/>
          <w:szCs w:val="16"/>
        </w:rPr>
        <w:t xml:space="preserve"> a </w:t>
      </w:r>
      <w:r>
        <w:rPr>
          <w:rFonts w:ascii="Avenir Next" w:eastAsia="Avenir Next" w:hAnsi="Avenir Next" w:cs="Avenir Next"/>
          <w:spacing w:val="-1"/>
          <w:sz w:val="16"/>
          <w:szCs w:val="16"/>
        </w:rPr>
        <w:t>“cumevap”</w:t>
      </w:r>
      <w:r>
        <w:rPr>
          <w:rFonts w:ascii="Avenir Next" w:eastAsia="Avenir Next" w:hAnsi="Avenir Next" w:cs="Avenir Next"/>
          <w:sz w:val="16"/>
          <w:szCs w:val="16"/>
        </w:rPr>
        <w:t xml:space="preserve"> variable,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which is a </w:t>
      </w:r>
      <w:r>
        <w:rPr>
          <w:rFonts w:ascii="Avenir Next" w:eastAsia="Avenir Next" w:hAnsi="Avenir Next" w:cs="Avenir Next"/>
          <w:spacing w:val="-1"/>
          <w:sz w:val="16"/>
          <w:szCs w:val="16"/>
        </w:rPr>
        <w:t>cumulative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evaporation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index.</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All other things being</w:t>
      </w:r>
      <w:r>
        <w:rPr>
          <w:rFonts w:ascii="Avenir Next" w:eastAsia="Avenir Next" w:hAnsi="Avenir Next" w:cs="Avenir Next"/>
          <w:spacing w:val="65"/>
          <w:sz w:val="16"/>
          <w:szCs w:val="16"/>
        </w:rPr>
        <w:t xml:space="preserve"> </w:t>
      </w:r>
      <w:r>
        <w:rPr>
          <w:rFonts w:ascii="Avenir Next" w:eastAsia="Avenir Next" w:hAnsi="Avenir Next" w:cs="Avenir Next"/>
          <w:sz w:val="16"/>
          <w:szCs w:val="16"/>
        </w:rPr>
        <w:t>equal,</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high levels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evaporation</w:t>
      </w:r>
      <w:r>
        <w:rPr>
          <w:rFonts w:ascii="Avenir Next" w:eastAsia="Avenir Next" w:hAnsi="Avenir Next" w:cs="Avenir Next"/>
          <w:sz w:val="16"/>
          <w:szCs w:val="16"/>
        </w:rPr>
        <w:t xml:space="preserve"> will boost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demand,</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while low </w:t>
      </w:r>
      <w:r>
        <w:rPr>
          <w:rFonts w:ascii="Avenir Next" w:eastAsia="Avenir Next" w:hAnsi="Avenir Next" w:cs="Avenir Next"/>
          <w:spacing w:val="-1"/>
          <w:sz w:val="16"/>
          <w:szCs w:val="16"/>
        </w:rPr>
        <w:t>evaporation</w:t>
      </w:r>
      <w:r>
        <w:rPr>
          <w:rFonts w:ascii="Avenir Next" w:eastAsia="Avenir Next" w:hAnsi="Avenir Next" w:cs="Avenir Next"/>
          <w:sz w:val="16"/>
          <w:szCs w:val="16"/>
        </w:rPr>
        <w:t xml:space="preserve"> is consistent with lower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sales.</w:t>
      </w:r>
    </w:p>
    <w:p w:rsidR="00D96B91" w:rsidRDefault="00C2656B">
      <w:pPr>
        <w:spacing w:line="210" w:lineRule="auto"/>
        <w:ind w:left="1757" w:right="1256"/>
        <w:rPr>
          <w:rFonts w:ascii="Avenir Next" w:eastAsia="Avenir Next" w:hAnsi="Avenir Next" w:cs="Avenir Next"/>
          <w:sz w:val="16"/>
          <w:szCs w:val="16"/>
        </w:rPr>
      </w:pPr>
      <w:r>
        <w:rPr>
          <w:rFonts w:ascii="Avenir Next" w:eastAsia="Avenir Next" w:hAnsi="Avenir Next" w:cs="Avenir Next"/>
          <w:sz w:val="16"/>
          <w:szCs w:val="16"/>
        </w:rPr>
        <w:t>Cumevap in 2013-14 was 52.7mm,</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while </w:t>
      </w:r>
      <w:r>
        <w:rPr>
          <w:rFonts w:ascii="Avenir Next" w:eastAsia="Avenir Next" w:hAnsi="Avenir Next" w:cs="Avenir Next"/>
          <w:spacing w:val="-2"/>
          <w:sz w:val="16"/>
          <w:szCs w:val="16"/>
        </w:rPr>
        <w:t>Cardno’s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central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forecast</w:t>
      </w:r>
      <w:r>
        <w:rPr>
          <w:rFonts w:ascii="Avenir Next" w:eastAsia="Avenir Next" w:hAnsi="Avenir Next" w:cs="Avenir Next"/>
          <w:sz w:val="16"/>
          <w:szCs w:val="16"/>
        </w:rPr>
        <w:t xml:space="preserve"> scenario assumes a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to the historic </w:t>
      </w:r>
      <w:r>
        <w:rPr>
          <w:rFonts w:ascii="Avenir Next" w:eastAsia="Avenir Next" w:hAnsi="Avenir Next" w:cs="Avenir Next"/>
          <w:spacing w:val="-1"/>
          <w:sz w:val="16"/>
          <w:szCs w:val="16"/>
        </w:rPr>
        <w:t>average</w:t>
      </w:r>
      <w:r>
        <w:rPr>
          <w:rFonts w:ascii="Avenir Next" w:eastAsia="Avenir Next" w:hAnsi="Avenir Next" w:cs="Avenir Next"/>
          <w:sz w:val="16"/>
          <w:szCs w:val="16"/>
        </w:rPr>
        <w:t xml:space="preserve"> of</w:t>
      </w:r>
      <w:r>
        <w:rPr>
          <w:rFonts w:ascii="Avenir Next" w:eastAsia="Avenir Next" w:hAnsi="Avenir Next" w:cs="Avenir Next"/>
          <w:spacing w:val="41"/>
          <w:sz w:val="16"/>
          <w:szCs w:val="16"/>
        </w:rPr>
        <w:t xml:space="preserve"> </w:t>
      </w:r>
      <w:r>
        <w:rPr>
          <w:rFonts w:ascii="Avenir Next" w:eastAsia="Avenir Next" w:hAnsi="Avenir Next" w:cs="Avenir Next"/>
          <w:sz w:val="16"/>
          <w:szCs w:val="16"/>
        </w:rPr>
        <w:t>60mm.</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Each point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increase</w:t>
      </w:r>
      <w:r>
        <w:rPr>
          <w:rFonts w:ascii="Avenir Next" w:eastAsia="Avenir Next" w:hAnsi="Avenir Next" w:cs="Avenir Next"/>
          <w:sz w:val="16"/>
          <w:szCs w:val="16"/>
        </w:rPr>
        <w:t xml:space="preserve"> in cumevap </w:t>
      </w:r>
      <w:r>
        <w:rPr>
          <w:rFonts w:ascii="Avenir Next" w:eastAsia="Avenir Next" w:hAnsi="Avenir Next" w:cs="Avenir Next"/>
          <w:spacing w:val="-1"/>
          <w:sz w:val="16"/>
          <w:szCs w:val="16"/>
        </w:rPr>
        <w:t>results</w:t>
      </w:r>
      <w:r>
        <w:rPr>
          <w:rFonts w:ascii="Avenir Next" w:eastAsia="Avenir Next" w:hAnsi="Avenir Next" w:cs="Avenir Next"/>
          <w:sz w:val="16"/>
          <w:szCs w:val="16"/>
        </w:rPr>
        <w:t xml:space="preserve"> in 2.7 kl </w:t>
      </w:r>
      <w:r>
        <w:rPr>
          <w:rFonts w:ascii="Avenir Next" w:eastAsia="Avenir Next" w:hAnsi="Avenir Next" w:cs="Avenir Next"/>
          <w:spacing w:val="-1"/>
          <w:sz w:val="16"/>
          <w:szCs w:val="16"/>
        </w:rPr>
        <w:t>more</w:t>
      </w:r>
      <w:r>
        <w:rPr>
          <w:rFonts w:ascii="Avenir Next" w:eastAsia="Avenir Next" w:hAnsi="Avenir Next" w:cs="Avenir Next"/>
          <w:sz w:val="16"/>
          <w:szCs w:val="16"/>
        </w:rPr>
        <w:t xml:space="preserve"> consumption per </w:t>
      </w:r>
      <w:r>
        <w:rPr>
          <w:rFonts w:ascii="Avenir Next" w:eastAsia="Avenir Next" w:hAnsi="Avenir Next" w:cs="Avenir Next"/>
          <w:spacing w:val="-1"/>
          <w:sz w:val="16"/>
          <w:szCs w:val="16"/>
        </w:rPr>
        <w:t>freestanding</w:t>
      </w:r>
      <w:r>
        <w:rPr>
          <w:rFonts w:ascii="Avenir Next" w:eastAsia="Avenir Next" w:hAnsi="Avenir Next" w:cs="Avenir Next"/>
          <w:sz w:val="16"/>
          <w:szCs w:val="16"/>
        </w:rPr>
        <w:t xml:space="preserve"> house,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so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a 7 point</w:t>
      </w:r>
      <w:r>
        <w:rPr>
          <w:rFonts w:ascii="Avenir Next" w:eastAsia="Avenir Next" w:hAnsi="Avenir Next" w:cs="Avenir Next"/>
          <w:spacing w:val="41"/>
          <w:sz w:val="16"/>
          <w:szCs w:val="16"/>
        </w:rPr>
        <w:t xml:space="preserve"> </w:t>
      </w:r>
      <w:r>
        <w:rPr>
          <w:rFonts w:ascii="Avenir Next" w:eastAsia="Avenir Next" w:hAnsi="Avenir Next" w:cs="Avenir Next"/>
          <w:spacing w:val="-1"/>
          <w:sz w:val="16"/>
          <w:szCs w:val="16"/>
        </w:rPr>
        <w:t>increase</w:t>
      </w:r>
      <w:r>
        <w:rPr>
          <w:rFonts w:ascii="Avenir Next" w:eastAsia="Avenir Next" w:hAnsi="Avenir Next" w:cs="Avenir Next"/>
          <w:sz w:val="16"/>
          <w:szCs w:val="16"/>
        </w:rPr>
        <w:t xml:space="preserve"> gives an </w:t>
      </w:r>
      <w:r>
        <w:rPr>
          <w:rFonts w:ascii="Avenir Next" w:eastAsia="Avenir Next" w:hAnsi="Avenir Next" w:cs="Avenir Next"/>
          <w:spacing w:val="-1"/>
          <w:sz w:val="16"/>
          <w:szCs w:val="16"/>
        </w:rPr>
        <w:t>extra</w:t>
      </w:r>
      <w:r>
        <w:rPr>
          <w:rFonts w:ascii="Avenir Next" w:eastAsia="Avenir Next" w:hAnsi="Avenir Next" w:cs="Avenir Next"/>
          <w:sz w:val="16"/>
          <w:szCs w:val="16"/>
        </w:rPr>
        <w:t xml:space="preserve"> 20 kl per house (which is about 10%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household consumption).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Such </w:t>
      </w:r>
      <w:r>
        <w:rPr>
          <w:rFonts w:ascii="Avenir Next" w:eastAsia="Avenir Next" w:hAnsi="Avenir Next" w:cs="Avenir Next"/>
          <w:spacing w:val="-1"/>
          <w:sz w:val="16"/>
          <w:szCs w:val="16"/>
        </w:rPr>
        <w:t>large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variations</w:t>
      </w:r>
      <w:r>
        <w:rPr>
          <w:rFonts w:ascii="Avenir Next" w:eastAsia="Avenir Next" w:hAnsi="Avenir Next" w:cs="Avenir Next"/>
          <w:sz w:val="16"/>
          <w:szCs w:val="16"/>
        </w:rPr>
        <w:t xml:space="preserve"> have been</w:t>
      </w:r>
      <w:r>
        <w:rPr>
          <w:rFonts w:ascii="Avenir Next" w:eastAsia="Avenir Next" w:hAnsi="Avenir Next" w:cs="Avenir Next"/>
          <w:spacing w:val="33"/>
          <w:sz w:val="16"/>
          <w:szCs w:val="16"/>
        </w:rPr>
        <w:t xml:space="preserve"> </w:t>
      </w:r>
      <w:r>
        <w:rPr>
          <w:rFonts w:ascii="Avenir Next" w:eastAsia="Avenir Next" w:hAnsi="Avenir Next" w:cs="Avenir Next"/>
          <w:sz w:val="16"/>
          <w:szCs w:val="16"/>
        </w:rPr>
        <w:t>observed historically (eg,</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data</w:t>
      </w:r>
      <w:r>
        <w:rPr>
          <w:rFonts w:ascii="Avenir Next" w:eastAsia="Avenir Next" w:hAnsi="Avenir Next" w:cs="Avenir Next"/>
          <w:sz w:val="16"/>
          <w:szCs w:val="16"/>
        </w:rPr>
        <w:t xml:space="preserve"> shows an annual jump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14% in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sales in 2012-13).</w:t>
      </w:r>
    </w:p>
    <w:p w:rsidR="00D96B91" w:rsidRDefault="00C2656B">
      <w:pPr>
        <w:numPr>
          <w:ilvl w:val="0"/>
          <w:numId w:val="55"/>
        </w:numPr>
        <w:tabs>
          <w:tab w:val="left" w:pos="1758"/>
        </w:tabs>
        <w:spacing w:before="135" w:line="192" w:lineRule="exact"/>
        <w:ind w:right="1934" w:hanging="510"/>
        <w:rPr>
          <w:rFonts w:ascii="Avenir Next" w:eastAsia="Avenir Next" w:hAnsi="Avenir Next" w:cs="Avenir Next"/>
          <w:sz w:val="16"/>
          <w:szCs w:val="16"/>
        </w:rPr>
      </w:pPr>
      <w:r>
        <w:rPr>
          <w:rFonts w:ascii="Avenir Next"/>
          <w:spacing w:val="-1"/>
          <w:sz w:val="16"/>
        </w:rPr>
        <w:t>The</w:t>
      </w:r>
      <w:r>
        <w:rPr>
          <w:rFonts w:ascii="Avenir Next"/>
          <w:sz w:val="16"/>
        </w:rPr>
        <w:t xml:space="preserve"> </w:t>
      </w:r>
      <w:r>
        <w:rPr>
          <w:rFonts w:ascii="Avenir Next"/>
          <w:spacing w:val="-2"/>
          <w:sz w:val="16"/>
        </w:rPr>
        <w:t>Panel</w:t>
      </w:r>
      <w:r>
        <w:rPr>
          <w:rFonts w:ascii="Avenir Next"/>
          <w:sz w:val="16"/>
        </w:rPr>
        <w:t xml:space="preserve"> notes </w:t>
      </w:r>
      <w:r>
        <w:rPr>
          <w:rFonts w:ascii="Avenir Next"/>
          <w:spacing w:val="-1"/>
          <w:sz w:val="16"/>
        </w:rPr>
        <w:t>that</w:t>
      </w:r>
      <w:r>
        <w:rPr>
          <w:rFonts w:ascii="Avenir Next"/>
          <w:sz w:val="16"/>
        </w:rPr>
        <w:t xml:space="preserve"> a </w:t>
      </w:r>
      <w:r>
        <w:rPr>
          <w:rFonts w:ascii="Avenir Next"/>
          <w:spacing w:val="-1"/>
          <w:sz w:val="16"/>
        </w:rPr>
        <w:t>discrepancy</w:t>
      </w:r>
      <w:r>
        <w:rPr>
          <w:rFonts w:ascii="Avenir Next"/>
          <w:sz w:val="16"/>
        </w:rPr>
        <w:t xml:space="preserve"> between </w:t>
      </w:r>
      <w:r>
        <w:rPr>
          <w:rFonts w:ascii="Avenir Next"/>
          <w:spacing w:val="-1"/>
          <w:sz w:val="16"/>
        </w:rPr>
        <w:t>forecast</w:t>
      </w:r>
      <w:r>
        <w:rPr>
          <w:rFonts w:ascii="Avenir Next"/>
          <w:sz w:val="16"/>
        </w:rPr>
        <w:t xml:space="preserve"> and actual demand </w:t>
      </w:r>
      <w:r>
        <w:rPr>
          <w:rFonts w:ascii="Avenir Next"/>
          <w:spacing w:val="-1"/>
          <w:sz w:val="16"/>
        </w:rPr>
        <w:t>data</w:t>
      </w:r>
      <w:r>
        <w:rPr>
          <w:rFonts w:ascii="Avenir Next"/>
          <w:sz w:val="16"/>
        </w:rPr>
        <w:t xml:space="preserve"> is common as actual </w:t>
      </w:r>
      <w:r>
        <w:rPr>
          <w:rFonts w:ascii="Avenir Next"/>
          <w:spacing w:val="-1"/>
          <w:sz w:val="16"/>
        </w:rPr>
        <w:t>water</w:t>
      </w:r>
      <w:r>
        <w:rPr>
          <w:rFonts w:ascii="Avenir Next"/>
          <w:sz w:val="16"/>
        </w:rPr>
        <w:t xml:space="preserve"> usage is</w:t>
      </w:r>
      <w:r>
        <w:rPr>
          <w:rFonts w:ascii="Avenir Next"/>
          <w:spacing w:val="41"/>
          <w:sz w:val="16"/>
        </w:rPr>
        <w:t xml:space="preserve"> </w:t>
      </w:r>
      <w:r>
        <w:rPr>
          <w:rFonts w:ascii="Avenir Next"/>
          <w:sz w:val="16"/>
        </w:rPr>
        <w:t>influenced</w:t>
      </w:r>
      <w:r>
        <w:rPr>
          <w:rFonts w:ascii="Avenir Next"/>
          <w:spacing w:val="-2"/>
          <w:sz w:val="16"/>
        </w:rPr>
        <w:t xml:space="preserve"> </w:t>
      </w:r>
      <w:r>
        <w:rPr>
          <w:rFonts w:ascii="Avenir Next"/>
          <w:sz w:val="16"/>
        </w:rPr>
        <w:t>by</w:t>
      </w:r>
      <w:r>
        <w:rPr>
          <w:rFonts w:ascii="Avenir Next"/>
          <w:spacing w:val="-1"/>
          <w:sz w:val="16"/>
        </w:rPr>
        <w:t xml:space="preserve"> </w:t>
      </w:r>
      <w:r>
        <w:rPr>
          <w:rFonts w:ascii="Avenir Next"/>
          <w:sz w:val="16"/>
        </w:rPr>
        <w:t>many</w:t>
      </w:r>
      <w:r>
        <w:rPr>
          <w:rFonts w:ascii="Avenir Next"/>
          <w:spacing w:val="-1"/>
          <w:sz w:val="16"/>
        </w:rPr>
        <w:t xml:space="preserve"> </w:t>
      </w:r>
      <w:r>
        <w:rPr>
          <w:rFonts w:ascii="Avenir Next"/>
          <w:sz w:val="16"/>
        </w:rPr>
        <w:t>variables,</w:t>
      </w:r>
      <w:r>
        <w:rPr>
          <w:rFonts w:ascii="Avenir Next"/>
          <w:spacing w:val="-6"/>
          <w:sz w:val="16"/>
        </w:rPr>
        <w:t xml:space="preserve"> </w:t>
      </w:r>
      <w:r>
        <w:rPr>
          <w:rFonts w:ascii="Avenir Next"/>
          <w:sz w:val="16"/>
        </w:rPr>
        <w:t>including</w:t>
      </w:r>
      <w:r>
        <w:rPr>
          <w:rFonts w:ascii="Avenir Next"/>
          <w:spacing w:val="-1"/>
          <w:sz w:val="16"/>
        </w:rPr>
        <w:t xml:space="preserve"> weather patterns,</w:t>
      </w:r>
      <w:r>
        <w:rPr>
          <w:rFonts w:ascii="Avenir Next"/>
          <w:spacing w:val="-6"/>
          <w:sz w:val="16"/>
        </w:rPr>
        <w:t xml:space="preserve"> </w:t>
      </w:r>
      <w:r>
        <w:rPr>
          <w:rFonts w:ascii="Avenir Next"/>
          <w:sz w:val="16"/>
        </w:rPr>
        <w:t>which</w:t>
      </w:r>
      <w:r>
        <w:rPr>
          <w:rFonts w:ascii="Avenir Next"/>
          <w:spacing w:val="-1"/>
          <w:sz w:val="16"/>
        </w:rPr>
        <w:t xml:space="preserve"> are difficult </w:t>
      </w:r>
      <w:r>
        <w:rPr>
          <w:rFonts w:ascii="Avenir Next"/>
          <w:sz w:val="16"/>
        </w:rPr>
        <w:t>to</w:t>
      </w:r>
      <w:r>
        <w:rPr>
          <w:rFonts w:ascii="Avenir Next"/>
          <w:spacing w:val="-1"/>
          <w:sz w:val="16"/>
        </w:rPr>
        <w:t xml:space="preserve"> predict</w:t>
      </w:r>
    </w:p>
    <w:p w:rsidR="00D96B91" w:rsidRDefault="00C2656B">
      <w:pPr>
        <w:numPr>
          <w:ilvl w:val="0"/>
          <w:numId w:val="55"/>
        </w:numPr>
        <w:tabs>
          <w:tab w:val="left" w:pos="1758"/>
        </w:tabs>
        <w:spacing w:before="141"/>
        <w:ind w:hanging="510"/>
        <w:rPr>
          <w:rFonts w:ascii="Avenir Next" w:eastAsia="Avenir Next" w:hAnsi="Avenir Next" w:cs="Avenir Next"/>
          <w:sz w:val="16"/>
          <w:szCs w:val="16"/>
        </w:rPr>
      </w:pPr>
      <w:r>
        <w:rPr>
          <w:rFonts w:ascii="Avenir Next"/>
          <w:spacing w:val="-2"/>
          <w:sz w:val="16"/>
        </w:rPr>
        <w:t>Cardno,</w:t>
      </w:r>
      <w:r>
        <w:rPr>
          <w:rFonts w:ascii="Avenir Next"/>
          <w:spacing w:val="-5"/>
          <w:sz w:val="16"/>
        </w:rPr>
        <w:t xml:space="preserve"> </w:t>
      </w:r>
      <w:r>
        <w:rPr>
          <w:rFonts w:ascii="Avenir Next"/>
          <w:sz w:val="16"/>
        </w:rPr>
        <w:t xml:space="preserve">Independent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ICRC price decision,</w:t>
      </w:r>
      <w:r>
        <w:rPr>
          <w:rFonts w:ascii="Avenir Next"/>
          <w:spacing w:val="-9"/>
          <w:sz w:val="16"/>
        </w:rPr>
        <w:t xml:space="preserve"> </w:t>
      </w:r>
      <w:r>
        <w:rPr>
          <w:rFonts w:ascii="Avenir Next"/>
          <w:spacing w:val="-2"/>
          <w:sz w:val="16"/>
        </w:rPr>
        <w:t>Technical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z w:val="16"/>
        </w:rPr>
        <w:t>November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84.</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line="250" w:lineRule="exact"/>
        <w:ind w:right="1256"/>
      </w:pPr>
      <w:bookmarkStart w:id="168" w:name="12._3_Forecast_water_and_sewerage_custom"/>
      <w:bookmarkStart w:id="169" w:name="_bookmark107"/>
      <w:bookmarkEnd w:id="168"/>
      <w:bookmarkEnd w:id="169"/>
      <w:r>
        <w:rPr>
          <w:spacing w:val="-3"/>
        </w:rPr>
        <w:t>After</w:t>
      </w:r>
      <w:r>
        <w:rPr>
          <w:spacing w:val="-4"/>
        </w:rPr>
        <w:t xml:space="preserve"> </w:t>
      </w:r>
      <w:r>
        <w:rPr>
          <w:spacing w:val="-2"/>
        </w:rPr>
        <w:t>considering</w:t>
      </w:r>
      <w:r>
        <w:rPr>
          <w:spacing w:val="-4"/>
        </w:rPr>
        <w:t xml:space="preserve"> </w:t>
      </w:r>
      <w:r>
        <w:rPr>
          <w:spacing w:val="-2"/>
        </w:rPr>
        <w:t>the</w:t>
      </w:r>
      <w:r>
        <w:rPr>
          <w:spacing w:val="-4"/>
        </w:rPr>
        <w:t xml:space="preserve"> </w:t>
      </w:r>
      <w:r>
        <w:rPr>
          <w:spacing w:val="-2"/>
        </w:rPr>
        <w:t>information</w:t>
      </w:r>
      <w:r>
        <w:rPr>
          <w:spacing w:val="-8"/>
        </w:rPr>
        <w:t xml:space="preserve"> </w:t>
      </w:r>
      <w:r>
        <w:rPr>
          <w:spacing w:val="-3"/>
        </w:rPr>
        <w:t>ACTEW</w:t>
      </w:r>
      <w:r>
        <w:rPr>
          <w:spacing w:val="-7"/>
        </w:rPr>
        <w:t xml:space="preserve"> </w:t>
      </w:r>
      <w:r>
        <w:rPr>
          <w:spacing w:val="-3"/>
        </w:rPr>
        <w:t>provided</w:t>
      </w:r>
      <w:r>
        <w:rPr>
          <w:spacing w:val="-4"/>
        </w:rPr>
        <w:t xml:space="preserve"> </w:t>
      </w:r>
      <w:r>
        <w:rPr>
          <w:spacing w:val="-1"/>
        </w:rPr>
        <w:t>on</w:t>
      </w:r>
      <w:r>
        <w:rPr>
          <w:spacing w:val="-4"/>
        </w:rPr>
        <w:t xml:space="preserve"> </w:t>
      </w:r>
      <w:r>
        <w:rPr>
          <w:spacing w:val="-2"/>
        </w:rPr>
        <w:t>its</w:t>
      </w:r>
      <w:r>
        <w:rPr>
          <w:spacing w:val="-4"/>
        </w:rPr>
        <w:t xml:space="preserve"> </w:t>
      </w:r>
      <w:r>
        <w:rPr>
          <w:spacing w:val="-2"/>
        </w:rPr>
        <w:t>actual</w:t>
      </w:r>
      <w:r>
        <w:rPr>
          <w:spacing w:val="-4"/>
        </w:rPr>
        <w:t xml:space="preserve"> </w:t>
      </w:r>
      <w:r>
        <w:rPr>
          <w:spacing w:val="-2"/>
        </w:rPr>
        <w:t>sales</w:t>
      </w:r>
      <w:r>
        <w:rPr>
          <w:spacing w:val="-4"/>
        </w:rPr>
        <w:t xml:space="preserve"> </w:t>
      </w:r>
      <w:r>
        <w:rPr>
          <w:spacing w:val="-1"/>
        </w:rPr>
        <w:t>in</w:t>
      </w:r>
      <w:r>
        <w:rPr>
          <w:spacing w:val="-4"/>
        </w:rPr>
        <w:t xml:space="preserve"> </w:t>
      </w:r>
      <w:r>
        <w:rPr>
          <w:spacing w:val="-2"/>
        </w:rPr>
        <w:t>2012-13</w:t>
      </w:r>
      <w:r>
        <w:rPr>
          <w:spacing w:val="-4"/>
        </w:rPr>
        <w:t xml:space="preserve"> </w:t>
      </w:r>
      <w:r>
        <w:rPr>
          <w:spacing w:val="-2"/>
        </w:rPr>
        <w:t>and</w:t>
      </w:r>
      <w:r>
        <w:rPr>
          <w:spacing w:val="-4"/>
        </w:rPr>
        <w:t xml:space="preserve"> </w:t>
      </w:r>
      <w:r>
        <w:rPr>
          <w:spacing w:val="-2"/>
        </w:rPr>
        <w:t>2013-14</w:t>
      </w:r>
      <w:r>
        <w:rPr>
          <w:spacing w:val="-4"/>
        </w:rPr>
        <w:t xml:space="preserve"> </w:t>
      </w:r>
      <w:r>
        <w:rPr>
          <w:spacing w:val="-2"/>
        </w:rPr>
        <w:t>and</w:t>
      </w:r>
      <w:r>
        <w:rPr>
          <w:spacing w:val="-4"/>
        </w:rPr>
        <w:t xml:space="preserve"> </w:t>
      </w:r>
      <w:r>
        <w:rPr>
          <w:spacing w:val="-2"/>
        </w:rPr>
        <w:t>its</w:t>
      </w:r>
      <w:r>
        <w:rPr>
          <w:spacing w:val="58"/>
        </w:rPr>
        <w:t xml:space="preserve"> </w:t>
      </w:r>
      <w:r>
        <w:rPr>
          <w:spacing w:val="-3"/>
        </w:rPr>
        <w:t>forecast</w:t>
      </w:r>
      <w:r>
        <w:rPr>
          <w:spacing w:val="-4"/>
        </w:rPr>
        <w:t xml:space="preserve"> </w:t>
      </w:r>
      <w:r>
        <w:rPr>
          <w:spacing w:val="-2"/>
        </w:rPr>
        <w:t>sales</w:t>
      </w:r>
      <w:r>
        <w:rPr>
          <w:spacing w:val="-4"/>
        </w:rPr>
        <w:t xml:space="preserve"> </w:t>
      </w:r>
      <w:r>
        <w:rPr>
          <w:spacing w:val="-2"/>
        </w:rPr>
        <w:t>for</w:t>
      </w:r>
      <w:r>
        <w:rPr>
          <w:spacing w:val="-4"/>
        </w:rPr>
        <w:t xml:space="preserve"> </w:t>
      </w:r>
      <w:r>
        <w:rPr>
          <w:spacing w:val="-2"/>
        </w:rPr>
        <w:t>2014-15</w:t>
      </w:r>
      <w:r>
        <w:rPr>
          <w:spacing w:val="-4"/>
        </w:rPr>
        <w:t xml:space="preserve"> </w:t>
      </w:r>
      <w:r>
        <w:rPr>
          <w:spacing w:val="-1"/>
        </w:rPr>
        <w:t>to</w:t>
      </w:r>
      <w:r>
        <w:rPr>
          <w:spacing w:val="-4"/>
        </w:rPr>
        <w:t xml:space="preserve"> </w:t>
      </w:r>
      <w:r>
        <w:rPr>
          <w:spacing w:val="-2"/>
        </w:rPr>
        <w:t>2017-18,</w:t>
      </w:r>
      <w:r>
        <w:rPr>
          <w:spacing w:val="-10"/>
        </w:rPr>
        <w:t xml:space="preserve"> </w:t>
      </w:r>
      <w:r>
        <w:rPr>
          <w:spacing w:val="-2"/>
        </w:rPr>
        <w:t>and</w:t>
      </w:r>
      <w:r>
        <w:rPr>
          <w:spacing w:val="-4"/>
        </w:rPr>
        <w:t xml:space="preserve"> Cardno’s </w:t>
      </w:r>
      <w:r>
        <w:rPr>
          <w:spacing w:val="-3"/>
        </w:rPr>
        <w:t>expert</w:t>
      </w:r>
      <w:r>
        <w:rPr>
          <w:spacing w:val="-4"/>
        </w:rPr>
        <w:t xml:space="preserve"> </w:t>
      </w:r>
      <w:r>
        <w:rPr>
          <w:spacing w:val="-2"/>
        </w:rPr>
        <w:t>advice</w:t>
      </w:r>
      <w:r>
        <w:rPr>
          <w:spacing w:val="-4"/>
        </w:rPr>
        <w:t xml:space="preserve"> </w:t>
      </w:r>
      <w:r>
        <w:rPr>
          <w:spacing w:val="-2"/>
        </w:rPr>
        <w:t>and</w:t>
      </w:r>
      <w:r>
        <w:rPr>
          <w:spacing w:val="-4"/>
        </w:rPr>
        <w:t xml:space="preserve"> </w:t>
      </w:r>
      <w:r>
        <w:rPr>
          <w:spacing w:val="-3"/>
        </w:rPr>
        <w:t>recommendations,</w:t>
      </w:r>
      <w:r>
        <w:rPr>
          <w:spacing w:val="-10"/>
        </w:rPr>
        <w:t xml:space="preserve"> </w:t>
      </w:r>
      <w:r>
        <w:rPr>
          <w:spacing w:val="-2"/>
        </w:rPr>
        <w:t>the</w:t>
      </w:r>
      <w:r>
        <w:rPr>
          <w:spacing w:val="-4"/>
        </w:rPr>
        <w:t xml:space="preserve"> Panel </w:t>
      </w:r>
      <w:r>
        <w:rPr>
          <w:spacing w:val="-2"/>
        </w:rPr>
        <w:t>made</w:t>
      </w:r>
      <w:r>
        <w:rPr>
          <w:spacing w:val="74"/>
        </w:rPr>
        <w:t xml:space="preserve"> </w:t>
      </w:r>
      <w:r>
        <w:rPr>
          <w:rFonts w:cs="Avenir Next"/>
        </w:rPr>
        <w:t>a</w:t>
      </w:r>
      <w:r>
        <w:rPr>
          <w:rFonts w:cs="Avenir Next"/>
          <w:spacing w:val="-4"/>
        </w:rPr>
        <w:t xml:space="preserve"> </w:t>
      </w:r>
      <w:r>
        <w:rPr>
          <w:rFonts w:cs="Avenir Next"/>
          <w:spacing w:val="-3"/>
        </w:rPr>
        <w:t>draft</w:t>
      </w:r>
      <w:r>
        <w:rPr>
          <w:rFonts w:cs="Avenir Next"/>
          <w:spacing w:val="-4"/>
        </w:rPr>
        <w:t xml:space="preserve"> </w:t>
      </w:r>
      <w:r>
        <w:rPr>
          <w:rFonts w:cs="Avenir Next"/>
          <w:spacing w:val="-2"/>
        </w:rPr>
        <w:t>decision</w:t>
      </w:r>
      <w:r>
        <w:rPr>
          <w:rFonts w:cs="Avenir Next"/>
          <w:spacing w:val="-4"/>
        </w:rPr>
        <w:t xml:space="preserve"> </w:t>
      </w:r>
      <w:r>
        <w:rPr>
          <w:rFonts w:cs="Avenir Next"/>
          <w:spacing w:val="-1"/>
        </w:rPr>
        <w:t>to</w:t>
      </w:r>
      <w:r>
        <w:rPr>
          <w:rFonts w:cs="Avenir Next"/>
          <w:spacing w:val="-4"/>
        </w:rPr>
        <w:t xml:space="preserve"> </w:t>
      </w:r>
      <w:r>
        <w:rPr>
          <w:rFonts w:cs="Avenir Next"/>
          <w:spacing w:val="-2"/>
        </w:rPr>
        <w:t>accept</w:t>
      </w:r>
      <w:r>
        <w:rPr>
          <w:rFonts w:cs="Avenir Next"/>
          <w:spacing w:val="-4"/>
        </w:rPr>
        <w:t xml:space="preserve"> Cardno’s </w:t>
      </w:r>
      <w:r>
        <w:rPr>
          <w:rFonts w:cs="Avenir Next"/>
          <w:spacing w:val="-2"/>
        </w:rPr>
        <w:t>advice</w:t>
      </w:r>
      <w:r>
        <w:rPr>
          <w:rFonts w:cs="Avenir Next"/>
          <w:spacing w:val="-4"/>
        </w:rPr>
        <w:t xml:space="preserve"> </w:t>
      </w:r>
      <w:r>
        <w:rPr>
          <w:rFonts w:cs="Avenir Next"/>
          <w:spacing w:val="-2"/>
        </w:rPr>
        <w:t>and</w:t>
      </w:r>
      <w:r>
        <w:rPr>
          <w:rFonts w:cs="Avenir Next"/>
          <w:spacing w:val="-4"/>
        </w:rPr>
        <w:t xml:space="preserve"> </w:t>
      </w:r>
      <w:r>
        <w:rPr>
          <w:rFonts w:cs="Avenir Next"/>
          <w:spacing w:val="-2"/>
        </w:rPr>
        <w:t>adopt</w:t>
      </w:r>
      <w:r>
        <w:rPr>
          <w:rFonts w:cs="Avenir Next"/>
          <w:spacing w:val="-4"/>
        </w:rPr>
        <w:t xml:space="preserve"> </w:t>
      </w:r>
      <w:r>
        <w:rPr>
          <w:rFonts w:cs="Avenir Next"/>
          <w:spacing w:val="-2"/>
        </w:rPr>
        <w:t>its</w:t>
      </w:r>
      <w:r>
        <w:rPr>
          <w:rFonts w:cs="Avenir Next"/>
          <w:spacing w:val="-4"/>
        </w:rPr>
        <w:t xml:space="preserve"> </w:t>
      </w:r>
      <w:r>
        <w:rPr>
          <w:rFonts w:cs="Avenir Next"/>
          <w:spacing w:val="-3"/>
        </w:rPr>
        <w:t>recommended</w:t>
      </w:r>
      <w:r>
        <w:rPr>
          <w:rFonts w:cs="Avenir Next"/>
          <w:spacing w:val="-4"/>
        </w:rPr>
        <w:t xml:space="preserve"> </w:t>
      </w:r>
      <w:r>
        <w:rPr>
          <w:rFonts w:cs="Avenir Next"/>
          <w:spacing w:val="-2"/>
        </w:rPr>
        <w:t>water</w:t>
      </w:r>
      <w:r>
        <w:rPr>
          <w:rFonts w:cs="Avenir Next"/>
          <w:spacing w:val="-4"/>
        </w:rPr>
        <w:t xml:space="preserve"> </w:t>
      </w:r>
      <w:r>
        <w:rPr>
          <w:rFonts w:cs="Avenir Next"/>
          <w:spacing w:val="-2"/>
        </w:rPr>
        <w:t>sales</w:t>
      </w:r>
      <w:r>
        <w:rPr>
          <w:rFonts w:cs="Avenir Next"/>
          <w:spacing w:val="-4"/>
        </w:rPr>
        <w:t xml:space="preserve"> </w:t>
      </w:r>
      <w:r>
        <w:rPr>
          <w:rFonts w:cs="Avenir Next"/>
          <w:spacing w:val="-3"/>
        </w:rPr>
        <w:t>forecasts</w:t>
      </w:r>
      <w:r>
        <w:rPr>
          <w:rFonts w:cs="Avenir Next"/>
          <w:spacing w:val="-4"/>
        </w:rPr>
        <w:t xml:space="preserve"> </w:t>
      </w:r>
      <w:r>
        <w:rPr>
          <w:rFonts w:cs="Avenir Next"/>
          <w:spacing w:val="-2"/>
        </w:rPr>
        <w:t>for</w:t>
      </w:r>
      <w:r>
        <w:rPr>
          <w:rFonts w:cs="Avenir Next"/>
          <w:spacing w:val="-4"/>
        </w:rPr>
        <w:t xml:space="preserve"> </w:t>
      </w:r>
      <w:r>
        <w:rPr>
          <w:rFonts w:cs="Avenir Next"/>
          <w:spacing w:val="-2"/>
        </w:rPr>
        <w:t>the</w:t>
      </w:r>
      <w:r>
        <w:rPr>
          <w:rFonts w:cs="Avenir Next"/>
          <w:spacing w:val="66"/>
        </w:rPr>
        <w:t xml:space="preserve"> </w:t>
      </w:r>
      <w:r>
        <w:rPr>
          <w:spacing w:val="-2"/>
        </w:rPr>
        <w:t>purposes</w:t>
      </w:r>
      <w:r>
        <w:rPr>
          <w:spacing w:val="-4"/>
        </w:rPr>
        <w:t xml:space="preserve"> </w:t>
      </w:r>
      <w:r>
        <w:rPr>
          <w:spacing w:val="-1"/>
        </w:rPr>
        <w:t>of</w:t>
      </w:r>
      <w:r>
        <w:t xml:space="preserve"> </w:t>
      </w:r>
      <w:r>
        <w:rPr>
          <w:spacing w:val="-2"/>
        </w:rPr>
        <w:t>this</w:t>
      </w:r>
      <w:r>
        <w:rPr>
          <w:spacing w:val="-4"/>
        </w:rPr>
        <w:t xml:space="preserve"> </w:t>
      </w:r>
      <w:r>
        <w:rPr>
          <w:spacing w:val="-2"/>
        </w:rPr>
        <w:t>price</w:t>
      </w:r>
      <w:r>
        <w:rPr>
          <w:spacing w:val="-4"/>
        </w:rPr>
        <w:t xml:space="preserve"> </w:t>
      </w:r>
      <w:r>
        <w:rPr>
          <w:spacing w:val="-3"/>
        </w:rPr>
        <w:t>direction.</w:t>
      </w:r>
      <w:r>
        <w:rPr>
          <w:spacing w:val="-15"/>
        </w:rPr>
        <w:t xml:space="preserve"> </w:t>
      </w:r>
      <w:r>
        <w:rPr>
          <w:spacing w:val="-3"/>
        </w:rPr>
        <w:t>The</w:t>
      </w:r>
      <w:r>
        <w:rPr>
          <w:spacing w:val="-4"/>
        </w:rPr>
        <w:t xml:space="preserve"> </w:t>
      </w:r>
      <w:r>
        <w:rPr>
          <w:spacing w:val="-5"/>
        </w:rPr>
        <w:t>Panel’s</w:t>
      </w:r>
      <w:r>
        <w:rPr>
          <w:spacing w:val="-4"/>
        </w:rPr>
        <w:t xml:space="preserve"> </w:t>
      </w:r>
      <w:r>
        <w:rPr>
          <w:spacing w:val="-3"/>
        </w:rPr>
        <w:t>considerations</w:t>
      </w:r>
      <w:r>
        <w:rPr>
          <w:spacing w:val="-4"/>
        </w:rPr>
        <w:t xml:space="preserve"> </w:t>
      </w:r>
      <w:r>
        <w:rPr>
          <w:spacing w:val="-1"/>
        </w:rPr>
        <w:t>in</w:t>
      </w:r>
      <w:r>
        <w:rPr>
          <w:spacing w:val="-4"/>
        </w:rPr>
        <w:t xml:space="preserve"> </w:t>
      </w:r>
      <w:r>
        <w:rPr>
          <w:spacing w:val="-2"/>
        </w:rPr>
        <w:t>making</w:t>
      </w:r>
      <w:r>
        <w:rPr>
          <w:spacing w:val="-4"/>
        </w:rPr>
        <w:t xml:space="preserve"> </w:t>
      </w:r>
      <w:r>
        <w:rPr>
          <w:spacing w:val="-2"/>
        </w:rPr>
        <w:t>this</w:t>
      </w:r>
      <w:r>
        <w:rPr>
          <w:spacing w:val="-4"/>
        </w:rPr>
        <w:t xml:space="preserve"> </w:t>
      </w:r>
      <w:r>
        <w:rPr>
          <w:spacing w:val="-2"/>
        </w:rPr>
        <w:t>decision</w:t>
      </w:r>
      <w:r>
        <w:rPr>
          <w:spacing w:val="-4"/>
        </w:rPr>
        <w:t xml:space="preserve"> </w:t>
      </w:r>
      <w:r>
        <w:rPr>
          <w:spacing w:val="-2"/>
        </w:rPr>
        <w:t>include</w:t>
      </w:r>
      <w:r>
        <w:rPr>
          <w:spacing w:val="-4"/>
        </w:rPr>
        <w:t xml:space="preserve"> </w:t>
      </w:r>
      <w:r>
        <w:rPr>
          <w:spacing w:val="-2"/>
        </w:rPr>
        <w:t>the</w:t>
      </w:r>
      <w:r>
        <w:rPr>
          <w:spacing w:val="-4"/>
        </w:rPr>
        <w:t xml:space="preserve"> </w:t>
      </w:r>
      <w:r>
        <w:rPr>
          <w:spacing w:val="-2"/>
        </w:rPr>
        <w:t>following:</w:t>
      </w:r>
    </w:p>
    <w:p w:rsidR="00D96B91" w:rsidRDefault="00C2656B">
      <w:pPr>
        <w:pStyle w:val="BodyText"/>
        <w:numPr>
          <w:ilvl w:val="0"/>
          <w:numId w:val="131"/>
        </w:numPr>
        <w:tabs>
          <w:tab w:val="left" w:pos="1531"/>
        </w:tabs>
        <w:spacing w:before="170" w:line="250" w:lineRule="exact"/>
        <w:ind w:right="1561" w:hanging="283"/>
      </w:pPr>
      <w:r>
        <w:rPr>
          <w:rFonts w:cs="Avenir Next"/>
          <w:spacing w:val="-2"/>
        </w:rPr>
        <w:t>The</w:t>
      </w:r>
      <w:r>
        <w:rPr>
          <w:rFonts w:cs="Avenir Next"/>
        </w:rPr>
        <w:t xml:space="preserve"> </w:t>
      </w:r>
      <w:r>
        <w:rPr>
          <w:rFonts w:cs="Avenir Next"/>
          <w:spacing w:val="-3"/>
        </w:rPr>
        <w:t>Panel</w:t>
      </w:r>
      <w:r>
        <w:rPr>
          <w:rFonts w:cs="Avenir Next"/>
        </w:rPr>
        <w:t xml:space="preserve"> is not </w:t>
      </w:r>
      <w:r>
        <w:rPr>
          <w:rFonts w:cs="Avenir Next"/>
          <w:spacing w:val="-1"/>
        </w:rPr>
        <w:t>aware</w:t>
      </w:r>
      <w:r>
        <w:rPr>
          <w:rFonts w:cs="Avenir Next"/>
        </w:rPr>
        <w:t xml:space="preserve"> of</w:t>
      </w:r>
      <w:r>
        <w:rPr>
          <w:rFonts w:cs="Avenir Next"/>
          <w:spacing w:val="4"/>
        </w:rPr>
        <w:t xml:space="preserve"> </w:t>
      </w:r>
      <w:r>
        <w:rPr>
          <w:rFonts w:cs="Avenir Next"/>
        </w:rPr>
        <w:t xml:space="preserve">any other demand </w:t>
      </w:r>
      <w:r>
        <w:rPr>
          <w:rFonts w:cs="Avenir Next"/>
          <w:spacing w:val="-1"/>
        </w:rPr>
        <w:t>forecasting</w:t>
      </w:r>
      <w:r>
        <w:rPr>
          <w:rFonts w:cs="Avenir Next"/>
        </w:rPr>
        <w:t xml:space="preserve"> model used by</w:t>
      </w:r>
      <w:r>
        <w:rPr>
          <w:rFonts w:cs="Avenir Next"/>
          <w:spacing w:val="-4"/>
        </w:rPr>
        <w:t xml:space="preserve"> </w:t>
      </w:r>
      <w:r>
        <w:rPr>
          <w:rFonts w:cs="Avenir Next"/>
          <w:spacing w:val="-1"/>
        </w:rPr>
        <w:t>Australian</w:t>
      </w:r>
      <w:r>
        <w:rPr>
          <w:rFonts w:cs="Avenir Next"/>
        </w:rPr>
        <w:t xml:space="preserve"> </w:t>
      </w:r>
      <w:r>
        <w:rPr>
          <w:rFonts w:cs="Avenir Next"/>
          <w:spacing w:val="-1"/>
        </w:rPr>
        <w:t>regulators</w:t>
      </w:r>
      <w:r>
        <w:rPr>
          <w:rFonts w:cs="Avenir Next"/>
        </w:rPr>
        <w:t xml:space="preserve"> of</w:t>
      </w:r>
      <w:r>
        <w:rPr>
          <w:rFonts w:cs="Avenir Next"/>
          <w:spacing w:val="49"/>
        </w:rPr>
        <w:t xml:space="preserve"> </w:t>
      </w:r>
      <w:r>
        <w:t xml:space="preserve">utilities </w:t>
      </w:r>
      <w:r>
        <w:rPr>
          <w:spacing w:val="-1"/>
        </w:rPr>
        <w:t>that</w:t>
      </w:r>
      <w:r>
        <w:t xml:space="preserve"> </w:t>
      </w:r>
      <w:r>
        <w:rPr>
          <w:spacing w:val="-1"/>
        </w:rPr>
        <w:t>excludes</w:t>
      </w:r>
      <w:r>
        <w:t xml:space="preserve"> customer numbers (or </w:t>
      </w:r>
      <w:r>
        <w:rPr>
          <w:spacing w:val="-1"/>
        </w:rPr>
        <w:t>population</w:t>
      </w:r>
      <w:r>
        <w:t xml:space="preserve"> as a </w:t>
      </w:r>
      <w:r>
        <w:rPr>
          <w:spacing w:val="-2"/>
        </w:rPr>
        <w:t>proxy</w:t>
      </w:r>
      <w:r>
        <w:t xml:space="preserve"> for customer numbers) as a</w:t>
      </w:r>
      <w:r>
        <w:rPr>
          <w:spacing w:val="35"/>
        </w:rPr>
        <w:t xml:space="preserve"> </w:t>
      </w:r>
      <w:r>
        <w:rPr>
          <w:spacing w:val="-2"/>
        </w:rPr>
        <w:t>key</w:t>
      </w:r>
      <w:r>
        <w:t xml:space="preserve"> </w:t>
      </w:r>
      <w:r>
        <w:rPr>
          <w:spacing w:val="-1"/>
        </w:rPr>
        <w:t>explanatory</w:t>
      </w:r>
      <w:r>
        <w:t xml:space="preserve"> variable when </w:t>
      </w:r>
      <w:r>
        <w:rPr>
          <w:spacing w:val="-1"/>
        </w:rPr>
        <w:t>forecasting</w:t>
      </w:r>
      <w:r>
        <w:t xml:space="preserve"> demand over the medium term.</w:t>
      </w:r>
      <w:r>
        <w:rPr>
          <w:spacing w:val="-11"/>
        </w:rPr>
        <w:t xml:space="preserve"> </w:t>
      </w:r>
      <w:r>
        <w:rPr>
          <w:spacing w:val="-2"/>
        </w:rPr>
        <w:t>The</w:t>
      </w:r>
      <w:r>
        <w:t xml:space="preserve"> </w:t>
      </w:r>
      <w:r>
        <w:rPr>
          <w:spacing w:val="-3"/>
        </w:rPr>
        <w:t>Panel</w:t>
      </w:r>
      <w:r>
        <w:t xml:space="preserve"> </w:t>
      </w:r>
      <w:r>
        <w:rPr>
          <w:spacing w:val="-1"/>
        </w:rPr>
        <w:t>appreciates</w:t>
      </w:r>
      <w:r>
        <w:rPr>
          <w:spacing w:val="53"/>
        </w:rPr>
        <w:t xml:space="preserve"> </w:t>
      </w:r>
      <w:r>
        <w:t xml:space="preserve">the </w:t>
      </w:r>
      <w:r>
        <w:rPr>
          <w:spacing w:val="-2"/>
        </w:rPr>
        <w:t>Breusch-Ward</w:t>
      </w:r>
      <w:r>
        <w:t xml:space="preserve"> model was not designed to </w:t>
      </w:r>
      <w:r>
        <w:rPr>
          <w:spacing w:val="-1"/>
        </w:rPr>
        <w:t>forecast</w:t>
      </w:r>
      <w:r>
        <w:t xml:space="preserve"> over the medium term because</w:t>
      </w:r>
      <w:r>
        <w:rPr>
          <w:spacing w:val="-4"/>
        </w:rPr>
        <w:t xml:space="preserve"> </w:t>
      </w:r>
      <w:r>
        <w:rPr>
          <w:spacing w:val="-2"/>
        </w:rPr>
        <w:t>ACTEW’s</w:t>
      </w:r>
    </w:p>
    <w:p w:rsidR="00D96B91" w:rsidRDefault="00C2656B">
      <w:pPr>
        <w:pStyle w:val="BodyText"/>
        <w:spacing w:line="250" w:lineRule="exact"/>
        <w:ind w:left="1530" w:right="1548"/>
      </w:pPr>
      <w:r>
        <w:rPr>
          <w:spacing w:val="-1"/>
        </w:rPr>
        <w:t>proposal</w:t>
      </w:r>
      <w:r>
        <w:t xml:space="preserve"> is for demand </w:t>
      </w:r>
      <w:r>
        <w:rPr>
          <w:spacing w:val="-1"/>
        </w:rPr>
        <w:t>forecasts</w:t>
      </w:r>
      <w:r>
        <w:t xml:space="preserve"> to be </w:t>
      </w:r>
      <w:r>
        <w:rPr>
          <w:spacing w:val="-1"/>
        </w:rPr>
        <w:t>updated</w:t>
      </w:r>
      <w:r>
        <w:t xml:space="preserve"> annually (so </w:t>
      </w:r>
      <w:r>
        <w:rPr>
          <w:spacing w:val="-1"/>
        </w:rPr>
        <w:t>that</w:t>
      </w:r>
      <w:r>
        <w:t xml:space="preserve"> </w:t>
      </w:r>
      <w:r>
        <w:rPr>
          <w:spacing w:val="-1"/>
        </w:rPr>
        <w:t>population-related</w:t>
      </w:r>
      <w:r>
        <w:t xml:space="preserve"> variables </w:t>
      </w:r>
      <w:r>
        <w:rPr>
          <w:spacing w:val="-2"/>
        </w:rPr>
        <w:t>are</w:t>
      </w:r>
      <w:r>
        <w:rPr>
          <w:spacing w:val="55"/>
        </w:rPr>
        <w:t xml:space="preserve"> </w:t>
      </w:r>
      <w:r>
        <w:t xml:space="preserve">less </w:t>
      </w:r>
      <w:r>
        <w:rPr>
          <w:spacing w:val="-1"/>
        </w:rPr>
        <w:t>relevant).</w:t>
      </w:r>
      <w:r>
        <w:rPr>
          <w:spacing w:val="-6"/>
        </w:rPr>
        <w:t xml:space="preserve"> </w:t>
      </w:r>
      <w:r>
        <w:rPr>
          <w:spacing w:val="-2"/>
        </w:rPr>
        <w:t>However,</w:t>
      </w:r>
      <w:r>
        <w:rPr>
          <w:spacing w:val="-6"/>
        </w:rPr>
        <w:t xml:space="preserve"> </w:t>
      </w:r>
      <w:r>
        <w:t xml:space="preserve">the </w:t>
      </w:r>
      <w:r>
        <w:rPr>
          <w:spacing w:val="-4"/>
        </w:rPr>
        <w:t>Panel’s</w:t>
      </w:r>
      <w:r>
        <w:t xml:space="preserve"> decision to adopt </w:t>
      </w:r>
      <w:r>
        <w:rPr>
          <w:spacing w:val="-1"/>
        </w:rPr>
        <w:t>multi-year</w:t>
      </w:r>
      <w:r>
        <w:t xml:space="preserve"> </w:t>
      </w:r>
      <w:r>
        <w:rPr>
          <w:spacing w:val="-1"/>
        </w:rPr>
        <w:t>forecasts</w:t>
      </w:r>
      <w:r>
        <w:t xml:space="preserve"> for the </w:t>
      </w:r>
      <w:r>
        <w:rPr>
          <w:spacing w:val="-1"/>
        </w:rPr>
        <w:t>remainder</w:t>
      </w:r>
      <w:r>
        <w:t xml:space="preserve"> of</w:t>
      </w:r>
      <w:r>
        <w:rPr>
          <w:spacing w:val="4"/>
        </w:rPr>
        <w:t xml:space="preserve"> </w:t>
      </w:r>
      <w:r>
        <w:t>the</w:t>
      </w:r>
      <w:r>
        <w:rPr>
          <w:spacing w:val="73"/>
        </w:rPr>
        <w:t xml:space="preserve"> </w:t>
      </w:r>
      <w:r>
        <w:rPr>
          <w:rFonts w:cs="Avenir Next"/>
          <w:spacing w:val="-1"/>
        </w:rPr>
        <w:t>regulatory</w:t>
      </w:r>
      <w:r>
        <w:rPr>
          <w:rFonts w:cs="Avenir Next"/>
        </w:rPr>
        <w:t xml:space="preserve"> period </w:t>
      </w:r>
      <w:r>
        <w:rPr>
          <w:rFonts w:cs="Avenir Next"/>
          <w:spacing w:val="-1"/>
        </w:rPr>
        <w:t>means</w:t>
      </w:r>
      <w:r>
        <w:rPr>
          <w:rFonts w:cs="Avenir Next"/>
        </w:rPr>
        <w:t xml:space="preserve"> </w:t>
      </w:r>
      <w:r>
        <w:rPr>
          <w:rFonts w:cs="Avenir Next"/>
          <w:spacing w:val="-3"/>
        </w:rPr>
        <w:t>Cardno’s</w:t>
      </w:r>
      <w:r>
        <w:rPr>
          <w:rFonts w:cs="Avenir Next"/>
        </w:rPr>
        <w:t xml:space="preserve"> model is </w:t>
      </w:r>
      <w:r>
        <w:rPr>
          <w:rFonts w:cs="Avenir Next"/>
          <w:spacing w:val="-1"/>
        </w:rPr>
        <w:t>more</w:t>
      </w:r>
      <w:r>
        <w:rPr>
          <w:rFonts w:cs="Avenir Next"/>
        </w:rPr>
        <w:t xml:space="preserve"> suitable,</w:t>
      </w:r>
      <w:r>
        <w:rPr>
          <w:rFonts w:cs="Avenir Next"/>
          <w:spacing w:val="-6"/>
        </w:rPr>
        <w:t xml:space="preserve"> </w:t>
      </w:r>
      <w:r>
        <w:rPr>
          <w:rFonts w:cs="Avenir Next"/>
        </w:rPr>
        <w:t xml:space="preserve">as it </w:t>
      </w:r>
      <w:r>
        <w:rPr>
          <w:rFonts w:cs="Avenir Next"/>
          <w:spacing w:val="-1"/>
        </w:rPr>
        <w:t>takes</w:t>
      </w:r>
      <w:r>
        <w:rPr>
          <w:rFonts w:cs="Avenir Next"/>
        </w:rPr>
        <w:t xml:space="preserve"> into account the </w:t>
      </w:r>
      <w:r>
        <w:rPr>
          <w:rFonts w:cs="Avenir Next"/>
          <w:spacing w:val="-1"/>
        </w:rPr>
        <w:t>growth</w:t>
      </w:r>
      <w:r>
        <w:rPr>
          <w:rFonts w:cs="Avenir Next"/>
        </w:rPr>
        <w:t xml:space="preserve"> in</w:t>
      </w:r>
      <w:r>
        <w:rPr>
          <w:rFonts w:cs="Avenir Next"/>
          <w:spacing w:val="33"/>
        </w:rPr>
        <w:t xml:space="preserve"> </w:t>
      </w:r>
      <w:r>
        <w:rPr>
          <w:spacing w:val="-1"/>
        </w:rPr>
        <w:t>different</w:t>
      </w:r>
      <w:r>
        <w:t xml:space="preserve"> </w:t>
      </w:r>
      <w:r>
        <w:rPr>
          <w:spacing w:val="-1"/>
        </w:rPr>
        <w:t>categories</w:t>
      </w:r>
      <w:r>
        <w:t xml:space="preserve"> of</w:t>
      </w:r>
      <w:r>
        <w:rPr>
          <w:spacing w:val="4"/>
        </w:rPr>
        <w:t xml:space="preserve"> </w:t>
      </w:r>
      <w:r>
        <w:t>customers (by type of</w:t>
      </w:r>
      <w:r>
        <w:rPr>
          <w:spacing w:val="4"/>
        </w:rPr>
        <w:t xml:space="preserve"> </w:t>
      </w:r>
      <w:r>
        <w:t>dwelling) over the medium term.</w:t>
      </w:r>
    </w:p>
    <w:p w:rsidR="00D96B91" w:rsidRDefault="00C2656B">
      <w:pPr>
        <w:pStyle w:val="BodyText"/>
        <w:numPr>
          <w:ilvl w:val="0"/>
          <w:numId w:val="131"/>
        </w:numPr>
        <w:tabs>
          <w:tab w:val="left" w:pos="1531"/>
        </w:tabs>
        <w:spacing w:before="85" w:line="250" w:lineRule="exact"/>
        <w:ind w:right="1328" w:hanging="283"/>
      </w:pPr>
      <w:r>
        <w:rPr>
          <w:spacing w:val="-2"/>
        </w:rPr>
        <w:t>The</w:t>
      </w:r>
      <w:r>
        <w:t xml:space="preserve"> </w:t>
      </w:r>
      <w:r>
        <w:rPr>
          <w:spacing w:val="-3"/>
        </w:rPr>
        <w:t>Panel</w:t>
      </w:r>
      <w:r>
        <w:t xml:space="preserve"> accepts</w:t>
      </w:r>
      <w:r>
        <w:rPr>
          <w:spacing w:val="-4"/>
        </w:rPr>
        <w:t xml:space="preserve"> </w:t>
      </w:r>
      <w:r>
        <w:rPr>
          <w:spacing w:val="-2"/>
        </w:rPr>
        <w:t>ACTEW’s</w:t>
      </w:r>
      <w:r>
        <w:t xml:space="preserve"> </w:t>
      </w:r>
      <w:r>
        <w:rPr>
          <w:spacing w:val="-1"/>
        </w:rPr>
        <w:t>arguments</w:t>
      </w:r>
      <w:r>
        <w:t xml:space="preserve"> </w:t>
      </w:r>
      <w:r>
        <w:rPr>
          <w:spacing w:val="-1"/>
        </w:rPr>
        <w:t>that</w:t>
      </w:r>
      <w:r>
        <w:t xml:space="preserve"> the impact of</w:t>
      </w:r>
      <w:r>
        <w:rPr>
          <w:spacing w:val="4"/>
        </w:rPr>
        <w:t xml:space="preserve"> </w:t>
      </w:r>
      <w:r>
        <w:rPr>
          <w:spacing w:val="-1"/>
        </w:rPr>
        <w:t>population</w:t>
      </w:r>
      <w:r>
        <w:t xml:space="preserve"> (or customer) </w:t>
      </w:r>
      <w:r>
        <w:rPr>
          <w:spacing w:val="-1"/>
        </w:rPr>
        <w:t>growth</w:t>
      </w:r>
      <w:r>
        <w:t xml:space="preserve"> on </w:t>
      </w:r>
      <w:r>
        <w:rPr>
          <w:spacing w:val="-1"/>
        </w:rPr>
        <w:t>water</w:t>
      </w:r>
      <w:r>
        <w:rPr>
          <w:spacing w:val="53"/>
        </w:rPr>
        <w:t xml:space="preserve"> </w:t>
      </w:r>
      <w:r>
        <w:rPr>
          <w:rFonts w:cs="Avenir Next"/>
        </w:rPr>
        <w:t xml:space="preserve">sales </w:t>
      </w:r>
      <w:r>
        <w:rPr>
          <w:rFonts w:cs="Avenir Next"/>
          <w:b/>
          <w:bCs/>
        </w:rPr>
        <w:t xml:space="preserve">may </w:t>
      </w:r>
      <w:r>
        <w:t xml:space="preserve">be </w:t>
      </w:r>
      <w:r>
        <w:rPr>
          <w:spacing w:val="-1"/>
        </w:rPr>
        <w:t>offset</w:t>
      </w:r>
      <w:r>
        <w:t xml:space="preserve"> by the adoption of</w:t>
      </w:r>
      <w:r>
        <w:rPr>
          <w:spacing w:val="4"/>
        </w:rPr>
        <w:t xml:space="preserve"> </w:t>
      </w:r>
      <w:r>
        <w:rPr>
          <w:spacing w:val="-1"/>
        </w:rPr>
        <w:t>water</w:t>
      </w:r>
      <w:r>
        <w:t xml:space="preserve"> saving </w:t>
      </w:r>
      <w:r>
        <w:rPr>
          <w:spacing w:val="-1"/>
        </w:rPr>
        <w:t>measures</w:t>
      </w:r>
      <w:r>
        <w:t xml:space="preserve"> by consumers.</w:t>
      </w:r>
      <w:r>
        <w:rPr>
          <w:spacing w:val="-6"/>
        </w:rPr>
        <w:t xml:space="preserve"> </w:t>
      </w:r>
      <w:r>
        <w:rPr>
          <w:spacing w:val="-2"/>
        </w:rPr>
        <w:t>However,</w:t>
      </w:r>
      <w:r>
        <w:rPr>
          <w:spacing w:val="-6"/>
        </w:rPr>
        <w:t xml:space="preserve"> </w:t>
      </w:r>
      <w:r>
        <w:t>it notes</w:t>
      </w:r>
    </w:p>
    <w:p w:rsidR="00D96B91" w:rsidRDefault="00C2656B">
      <w:pPr>
        <w:pStyle w:val="BodyText"/>
        <w:spacing w:line="250" w:lineRule="exact"/>
        <w:ind w:left="1530" w:right="1276"/>
      </w:pPr>
      <w:r>
        <w:rPr>
          <w:spacing w:val="-1"/>
        </w:rPr>
        <w:t>that</w:t>
      </w:r>
      <w:r>
        <w:rPr>
          <w:spacing w:val="-4"/>
        </w:rPr>
        <w:t xml:space="preserve"> </w:t>
      </w:r>
      <w:r>
        <w:rPr>
          <w:spacing w:val="-2"/>
        </w:rPr>
        <w:t>ACTEW</w:t>
      </w:r>
      <w:r>
        <w:rPr>
          <w:spacing w:val="-3"/>
        </w:rPr>
        <w:t xml:space="preserve"> </w:t>
      </w:r>
      <w:r>
        <w:t xml:space="preserve">has not </w:t>
      </w:r>
      <w:r>
        <w:rPr>
          <w:spacing w:val="-1"/>
        </w:rPr>
        <w:t>provided</w:t>
      </w:r>
      <w:r>
        <w:t xml:space="preserve"> evidence to quantify these impacts.</w:t>
      </w:r>
      <w:r>
        <w:rPr>
          <w:spacing w:val="-7"/>
        </w:rPr>
        <w:t xml:space="preserve"> </w:t>
      </w:r>
      <w:r>
        <w:t xml:space="preserve">In </w:t>
      </w:r>
      <w:r>
        <w:rPr>
          <w:spacing w:val="-1"/>
        </w:rPr>
        <w:t>contrast,</w:t>
      </w:r>
      <w:r>
        <w:rPr>
          <w:spacing w:val="-6"/>
        </w:rPr>
        <w:t xml:space="preserve"> </w:t>
      </w:r>
      <w:r>
        <w:rPr>
          <w:spacing w:val="-3"/>
        </w:rPr>
        <w:t>Cardno’s</w:t>
      </w:r>
      <w:r>
        <w:t xml:space="preserve"> model</w:t>
      </w:r>
      <w:r>
        <w:rPr>
          <w:spacing w:val="45"/>
        </w:rPr>
        <w:t xml:space="preserve"> </w:t>
      </w:r>
      <w:r>
        <w:rPr>
          <w:rFonts w:cs="Avenir Next"/>
          <w:spacing w:val="-1"/>
        </w:rPr>
        <w:t>attempts</w:t>
      </w:r>
      <w:r>
        <w:rPr>
          <w:rFonts w:cs="Avenir Next"/>
        </w:rPr>
        <w:t xml:space="preserve"> to </w:t>
      </w:r>
      <w:r>
        <w:rPr>
          <w:rFonts w:cs="Avenir Next"/>
          <w:spacing w:val="-1"/>
        </w:rPr>
        <w:t>disaggregate</w:t>
      </w:r>
      <w:r>
        <w:rPr>
          <w:rFonts w:cs="Avenir Next"/>
        </w:rPr>
        <w:t xml:space="preserve"> the competing factors of</w:t>
      </w:r>
      <w:r>
        <w:rPr>
          <w:rFonts w:cs="Avenir Next"/>
          <w:spacing w:val="4"/>
        </w:rPr>
        <w:t xml:space="preserve"> </w:t>
      </w:r>
      <w:r>
        <w:rPr>
          <w:rFonts w:cs="Avenir Next"/>
          <w:spacing w:val="-1"/>
        </w:rPr>
        <w:t>population</w:t>
      </w:r>
      <w:r>
        <w:rPr>
          <w:rFonts w:cs="Avenir Next"/>
        </w:rPr>
        <w:t xml:space="preserve"> </w:t>
      </w:r>
      <w:r>
        <w:rPr>
          <w:rFonts w:cs="Avenir Next"/>
          <w:spacing w:val="-1"/>
        </w:rPr>
        <w:t>growth</w:t>
      </w:r>
      <w:r>
        <w:rPr>
          <w:rFonts w:cs="Avenir Next"/>
        </w:rPr>
        <w:t xml:space="preserve"> and declining per capita</w:t>
      </w:r>
      <w:r>
        <w:rPr>
          <w:rFonts w:cs="Avenir Next"/>
          <w:spacing w:val="37"/>
        </w:rPr>
        <w:t xml:space="preserve"> </w:t>
      </w:r>
      <w:r>
        <w:rPr>
          <w:spacing w:val="-1"/>
        </w:rPr>
        <w:t>water</w:t>
      </w:r>
      <w:r>
        <w:t xml:space="preserve"> consumption.</w:t>
      </w:r>
      <w:r>
        <w:rPr>
          <w:spacing w:val="-6"/>
        </w:rPr>
        <w:t xml:space="preserve"> </w:t>
      </w:r>
      <w:r>
        <w:t xml:space="preserve">It does this by </w:t>
      </w:r>
      <w:r>
        <w:rPr>
          <w:spacing w:val="-1"/>
        </w:rPr>
        <w:t>forecasting</w:t>
      </w:r>
      <w:r>
        <w:t xml:space="preserve"> </w:t>
      </w:r>
      <w:r>
        <w:rPr>
          <w:spacing w:val="-1"/>
        </w:rPr>
        <w:t>growth</w:t>
      </w:r>
      <w:r>
        <w:t xml:space="preserve"> in customer numbers by type of</w:t>
      </w:r>
      <w:r>
        <w:rPr>
          <w:spacing w:val="4"/>
        </w:rPr>
        <w:t xml:space="preserve"> </w:t>
      </w:r>
      <w:r>
        <w:t>dwelling,</w:t>
      </w:r>
      <w:r>
        <w:rPr>
          <w:spacing w:val="-6"/>
        </w:rPr>
        <w:t xml:space="preserve"> </w:t>
      </w:r>
      <w:r>
        <w:t>and</w:t>
      </w:r>
      <w:r>
        <w:rPr>
          <w:spacing w:val="25"/>
        </w:rPr>
        <w:t xml:space="preserve"> </w:t>
      </w:r>
      <w:r>
        <w:t xml:space="preserve">taking into account the </w:t>
      </w:r>
      <w:r>
        <w:rPr>
          <w:spacing w:val="-1"/>
        </w:rPr>
        <w:t>different</w:t>
      </w:r>
      <w:r>
        <w:t xml:space="preserve"> behaviour in consumption </w:t>
      </w:r>
      <w:r>
        <w:rPr>
          <w:spacing w:val="-1"/>
        </w:rPr>
        <w:t>associated</w:t>
      </w:r>
      <w:r>
        <w:t xml:space="preserve"> with newer dwellings.</w:t>
      </w:r>
      <w:r>
        <w:rPr>
          <w:spacing w:val="-6"/>
        </w:rPr>
        <w:t xml:space="preserve"> </w:t>
      </w:r>
      <w:r>
        <w:t>In the</w:t>
      </w:r>
      <w:r>
        <w:rPr>
          <w:spacing w:val="29"/>
        </w:rPr>
        <w:t xml:space="preserve"> </w:t>
      </w:r>
      <w:r>
        <w:rPr>
          <w:spacing w:val="-4"/>
        </w:rPr>
        <w:t>Panel’s</w:t>
      </w:r>
      <w:r>
        <w:t xml:space="preserve"> </w:t>
      </w:r>
      <w:r>
        <w:rPr>
          <w:spacing w:val="-2"/>
        </w:rPr>
        <w:t>view,</w:t>
      </w:r>
      <w:r>
        <w:rPr>
          <w:spacing w:val="-6"/>
        </w:rPr>
        <w:t xml:space="preserve"> </w:t>
      </w:r>
      <w:r>
        <w:t xml:space="preserve">this </w:t>
      </w:r>
      <w:r>
        <w:rPr>
          <w:spacing w:val="-1"/>
        </w:rPr>
        <w:t>represents</w:t>
      </w:r>
      <w:r>
        <w:t xml:space="preserve"> a </w:t>
      </w:r>
      <w:r>
        <w:rPr>
          <w:spacing w:val="-1"/>
        </w:rPr>
        <w:t>robust</w:t>
      </w:r>
      <w:r>
        <w:t xml:space="preserve"> </w:t>
      </w:r>
      <w:r>
        <w:rPr>
          <w:spacing w:val="-1"/>
        </w:rPr>
        <w:t>approach</w:t>
      </w:r>
      <w:r>
        <w:t xml:space="preserve"> to assess the impact of</w:t>
      </w:r>
      <w:r>
        <w:rPr>
          <w:spacing w:val="4"/>
        </w:rPr>
        <w:t xml:space="preserve"> </w:t>
      </w:r>
      <w:r>
        <w:rPr>
          <w:spacing w:val="-1"/>
        </w:rPr>
        <w:t>water</w:t>
      </w:r>
      <w:r>
        <w:t xml:space="preserve"> saving </w:t>
      </w:r>
      <w:r>
        <w:rPr>
          <w:spacing w:val="-1"/>
        </w:rPr>
        <w:t>measures.</w:t>
      </w:r>
    </w:p>
    <w:p w:rsidR="00D96B91" w:rsidRDefault="00C2656B">
      <w:pPr>
        <w:pStyle w:val="BodyText"/>
        <w:numPr>
          <w:ilvl w:val="0"/>
          <w:numId w:val="131"/>
        </w:numPr>
        <w:tabs>
          <w:tab w:val="left" w:pos="1531"/>
        </w:tabs>
        <w:spacing w:before="85" w:line="250" w:lineRule="exact"/>
        <w:ind w:right="1576" w:hanging="283"/>
      </w:pPr>
      <w:r>
        <w:rPr>
          <w:rFonts w:cs="Avenir Next"/>
          <w:spacing w:val="-2"/>
        </w:rPr>
        <w:t>ACTEW’s</w:t>
      </w:r>
      <w:r>
        <w:rPr>
          <w:rFonts w:cs="Avenir Next"/>
        </w:rPr>
        <w:t xml:space="preserve"> </w:t>
      </w:r>
      <w:r>
        <w:rPr>
          <w:rFonts w:cs="Avenir Next"/>
          <w:spacing w:val="-1"/>
        </w:rPr>
        <w:t>forecasts</w:t>
      </w:r>
      <w:r>
        <w:rPr>
          <w:rFonts w:cs="Avenir Next"/>
        </w:rPr>
        <w:t xml:space="preserve"> suggest </w:t>
      </w:r>
      <w:r>
        <w:rPr>
          <w:rFonts w:cs="Avenir Next"/>
          <w:spacing w:val="-1"/>
        </w:rPr>
        <w:t>that</w:t>
      </w:r>
      <w:r>
        <w:rPr>
          <w:rFonts w:cs="Avenir Next"/>
        </w:rPr>
        <w:t xml:space="preserve"> </w:t>
      </w:r>
      <w:r>
        <w:rPr>
          <w:rFonts w:cs="Avenir Next"/>
          <w:spacing w:val="-1"/>
        </w:rPr>
        <w:t>water</w:t>
      </w:r>
      <w:r>
        <w:rPr>
          <w:rFonts w:cs="Avenir Next"/>
        </w:rPr>
        <w:t xml:space="preserve"> sales will </w:t>
      </w:r>
      <w:r>
        <w:rPr>
          <w:rFonts w:cs="Avenir Next"/>
          <w:spacing w:val="-1"/>
        </w:rPr>
        <w:t>remain</w:t>
      </w:r>
      <w:r>
        <w:rPr>
          <w:rFonts w:cs="Avenir Next"/>
        </w:rPr>
        <w:t xml:space="preserve"> </w:t>
      </w:r>
      <w:r>
        <w:rPr>
          <w:rFonts w:cs="Avenir Next"/>
          <w:spacing w:val="-1"/>
        </w:rPr>
        <w:t>relatively</w:t>
      </w:r>
      <w:r>
        <w:rPr>
          <w:rFonts w:cs="Avenir Next"/>
        </w:rPr>
        <w:t xml:space="preserve"> </w:t>
      </w:r>
      <w:r>
        <w:rPr>
          <w:rFonts w:cs="Avenir Next"/>
          <w:spacing w:val="-1"/>
        </w:rPr>
        <w:t>static</w:t>
      </w:r>
      <w:r>
        <w:rPr>
          <w:rFonts w:cs="Avenir Next"/>
        </w:rPr>
        <w:t xml:space="preserve"> over the </w:t>
      </w:r>
      <w:r>
        <w:rPr>
          <w:rFonts w:cs="Avenir Next"/>
          <w:spacing w:val="-1"/>
        </w:rPr>
        <w:t>projection</w:t>
      </w:r>
      <w:r>
        <w:rPr>
          <w:rFonts w:cs="Avenir Next"/>
        </w:rPr>
        <w:t xml:space="preserve"> period</w:t>
      </w:r>
      <w:r>
        <w:rPr>
          <w:rFonts w:cs="Avenir Next"/>
          <w:spacing w:val="49"/>
        </w:rPr>
        <w:t xml:space="preserve"> </w:t>
      </w:r>
      <w:r>
        <w:t>(see</w:t>
      </w:r>
      <w:r>
        <w:rPr>
          <w:spacing w:val="-5"/>
        </w:rPr>
        <w:t xml:space="preserve"> </w:t>
      </w:r>
      <w:r>
        <w:rPr>
          <w:spacing w:val="-4"/>
        </w:rPr>
        <w:t>Table</w:t>
      </w:r>
      <w:r>
        <w:t xml:space="preserve"> 12.2).</w:t>
      </w:r>
      <w:r>
        <w:rPr>
          <w:spacing w:val="-6"/>
        </w:rPr>
        <w:t xml:space="preserve"> </w:t>
      </w:r>
      <w:r>
        <w:rPr>
          <w:spacing w:val="-1"/>
        </w:rPr>
        <w:t>Even</w:t>
      </w:r>
      <w:r>
        <w:t xml:space="preserve"> allowing for changing behaviour (such as the continuing adoption of</w:t>
      </w:r>
      <w:r>
        <w:rPr>
          <w:spacing w:val="4"/>
        </w:rPr>
        <w:t xml:space="preserve"> </w:t>
      </w:r>
      <w:r>
        <w:rPr>
          <w:spacing w:val="-1"/>
        </w:rPr>
        <w:t>water</w:t>
      </w:r>
      <w:r>
        <w:rPr>
          <w:spacing w:val="24"/>
        </w:rPr>
        <w:t xml:space="preserve"> </w:t>
      </w:r>
      <w:r>
        <w:t xml:space="preserve">saving </w:t>
      </w:r>
      <w:r>
        <w:rPr>
          <w:spacing w:val="-1"/>
        </w:rPr>
        <w:t>measures),</w:t>
      </w:r>
      <w:r>
        <w:rPr>
          <w:spacing w:val="-6"/>
        </w:rPr>
        <w:t xml:space="preserve"> </w:t>
      </w:r>
      <w:r>
        <w:t xml:space="preserve">the </w:t>
      </w:r>
      <w:r>
        <w:rPr>
          <w:spacing w:val="-3"/>
        </w:rPr>
        <w:t>Panel</w:t>
      </w:r>
      <w:r>
        <w:t xml:space="preserve"> does not consider a </w:t>
      </w:r>
      <w:r>
        <w:rPr>
          <w:spacing w:val="-1"/>
        </w:rPr>
        <w:t>zero</w:t>
      </w:r>
      <w:r>
        <w:t xml:space="preserve"> </w:t>
      </w:r>
      <w:r>
        <w:rPr>
          <w:spacing w:val="-1"/>
        </w:rPr>
        <w:t>growth</w:t>
      </w:r>
      <w:r>
        <w:t xml:space="preserve"> </w:t>
      </w:r>
      <w:r>
        <w:rPr>
          <w:spacing w:val="-2"/>
        </w:rPr>
        <w:t>rate</w:t>
      </w:r>
      <w:r>
        <w:t xml:space="preserve"> in </w:t>
      </w:r>
      <w:r>
        <w:rPr>
          <w:spacing w:val="-1"/>
        </w:rPr>
        <w:t>water</w:t>
      </w:r>
      <w:r>
        <w:t xml:space="preserve"> usage to be </w:t>
      </w:r>
      <w:r>
        <w:rPr>
          <w:spacing w:val="-1"/>
        </w:rPr>
        <w:t>realistic,</w:t>
      </w:r>
      <w:r>
        <w:rPr>
          <w:spacing w:val="39"/>
        </w:rPr>
        <w:t xml:space="preserve"> </w:t>
      </w:r>
      <w:r>
        <w:t xml:space="preserve">given the </w:t>
      </w:r>
      <w:r>
        <w:rPr>
          <w:spacing w:val="-1"/>
        </w:rPr>
        <w:t>expected</w:t>
      </w:r>
      <w:r>
        <w:t xml:space="preserve"> </w:t>
      </w:r>
      <w:r>
        <w:rPr>
          <w:spacing w:val="-1"/>
        </w:rPr>
        <w:t>growth</w:t>
      </w:r>
      <w:r>
        <w:t xml:space="preserve"> in customer numbers.</w:t>
      </w:r>
    </w:p>
    <w:p w:rsidR="00D96B91" w:rsidRDefault="00C2656B">
      <w:pPr>
        <w:pStyle w:val="BodyText"/>
        <w:numPr>
          <w:ilvl w:val="0"/>
          <w:numId w:val="131"/>
        </w:numPr>
        <w:tabs>
          <w:tab w:val="left" w:pos="1531"/>
        </w:tabs>
        <w:spacing w:before="85" w:line="250" w:lineRule="exact"/>
        <w:ind w:right="1288" w:hanging="283"/>
      </w:pPr>
      <w:r>
        <w:rPr>
          <w:spacing w:val="-3"/>
        </w:rPr>
        <w:t>Cardno’s</w:t>
      </w:r>
      <w:r>
        <w:t xml:space="preserve"> </w:t>
      </w:r>
      <w:r>
        <w:rPr>
          <w:spacing w:val="-1"/>
        </w:rPr>
        <w:t>approach</w:t>
      </w:r>
      <w:r>
        <w:t xml:space="preserve"> is </w:t>
      </w:r>
      <w:r>
        <w:rPr>
          <w:spacing w:val="-1"/>
        </w:rPr>
        <w:t>broadly</w:t>
      </w:r>
      <w:r>
        <w:t xml:space="preserve"> consistent with </w:t>
      </w:r>
      <w:r>
        <w:rPr>
          <w:spacing w:val="-1"/>
        </w:rPr>
        <w:t>National</w:t>
      </w:r>
      <w:r>
        <w:rPr>
          <w:spacing w:val="-3"/>
        </w:rPr>
        <w:t xml:space="preserve"> </w:t>
      </w:r>
      <w:r>
        <w:rPr>
          <w:spacing w:val="-2"/>
        </w:rPr>
        <w:t>Water</w:t>
      </w:r>
      <w:r>
        <w:t xml:space="preserve"> </w:t>
      </w:r>
      <w:r>
        <w:rPr>
          <w:spacing w:val="-1"/>
        </w:rPr>
        <w:t>Commission</w:t>
      </w:r>
      <w:r>
        <w:t xml:space="preserve"> guidelines.</w:t>
      </w:r>
      <w:r>
        <w:rPr>
          <w:spacing w:val="-10"/>
        </w:rPr>
        <w:t xml:space="preserve"> </w:t>
      </w:r>
      <w:r>
        <w:t>As these</w:t>
      </w:r>
      <w:r>
        <w:rPr>
          <w:spacing w:val="51"/>
        </w:rPr>
        <w:t xml:space="preserve"> </w:t>
      </w:r>
      <w:r>
        <w:rPr>
          <w:rFonts w:cs="Avenir Next"/>
        </w:rPr>
        <w:t xml:space="preserve">guidelines fall under the </w:t>
      </w:r>
      <w:r>
        <w:rPr>
          <w:rFonts w:cs="Avenir Next"/>
          <w:spacing w:val="-1"/>
        </w:rPr>
        <w:t>remit</w:t>
      </w:r>
      <w:r>
        <w:rPr>
          <w:rFonts w:cs="Avenir Next"/>
        </w:rPr>
        <w:t xml:space="preserve"> of</w:t>
      </w:r>
      <w:r>
        <w:rPr>
          <w:rFonts w:cs="Avenir Next"/>
          <w:spacing w:val="4"/>
        </w:rPr>
        <w:t xml:space="preserve"> </w:t>
      </w:r>
      <w:r>
        <w:rPr>
          <w:rFonts w:cs="Avenir Next"/>
        </w:rPr>
        <w:t xml:space="preserve">the </w:t>
      </w:r>
      <w:r>
        <w:rPr>
          <w:rFonts w:cs="Avenir Next"/>
          <w:spacing w:val="-1"/>
        </w:rPr>
        <w:t>National</w:t>
      </w:r>
      <w:r>
        <w:rPr>
          <w:rFonts w:cs="Avenir Next"/>
          <w:spacing w:val="-3"/>
        </w:rPr>
        <w:t xml:space="preserve"> </w:t>
      </w:r>
      <w:r>
        <w:rPr>
          <w:rFonts w:cs="Avenir Next"/>
          <w:spacing w:val="-2"/>
        </w:rPr>
        <w:t>Water</w:t>
      </w:r>
      <w:r>
        <w:rPr>
          <w:rFonts w:cs="Avenir Next"/>
        </w:rPr>
        <w:t xml:space="preserve"> </w:t>
      </w:r>
      <w:r>
        <w:rPr>
          <w:rFonts w:cs="Avenir Next"/>
          <w:spacing w:val="-1"/>
        </w:rPr>
        <w:t>Initiative,</w:t>
      </w:r>
      <w:r>
        <w:rPr>
          <w:rFonts w:cs="Avenir Next"/>
          <w:spacing w:val="-7"/>
        </w:rPr>
        <w:t xml:space="preserve"> </w:t>
      </w:r>
      <w:r>
        <w:rPr>
          <w:rFonts w:cs="Avenir Next"/>
        </w:rPr>
        <w:t xml:space="preserve">the </w:t>
      </w:r>
      <w:r>
        <w:rPr>
          <w:rFonts w:cs="Avenir Next"/>
          <w:spacing w:val="-3"/>
        </w:rPr>
        <w:t>Panel</w:t>
      </w:r>
      <w:r>
        <w:rPr>
          <w:rFonts w:cs="Avenir Next"/>
        </w:rPr>
        <w:t xml:space="preserve"> has had </w:t>
      </w:r>
      <w:r>
        <w:rPr>
          <w:rFonts w:cs="Avenir Next"/>
          <w:spacing w:val="-2"/>
        </w:rPr>
        <w:t>regard</w:t>
      </w:r>
      <w:r>
        <w:rPr>
          <w:rFonts w:cs="Avenir Next"/>
        </w:rPr>
        <w:t xml:space="preserve"> to this in line</w:t>
      </w:r>
      <w:r>
        <w:rPr>
          <w:rFonts w:cs="Avenir Next"/>
          <w:spacing w:val="47"/>
        </w:rPr>
        <w:t xml:space="preserve"> </w:t>
      </w:r>
      <w:r>
        <w:rPr>
          <w:rFonts w:cs="Avenir Next"/>
        </w:rPr>
        <w:t xml:space="preserve">with the </w:t>
      </w:r>
      <w:r>
        <w:rPr>
          <w:rFonts w:cs="Avenir Next"/>
          <w:spacing w:val="-1"/>
        </w:rPr>
        <w:t>requirements</w:t>
      </w:r>
      <w:r>
        <w:rPr>
          <w:rFonts w:cs="Avenir Next"/>
        </w:rPr>
        <w:t xml:space="preserve"> of</w:t>
      </w:r>
      <w:r>
        <w:rPr>
          <w:rFonts w:cs="Avenir Next"/>
          <w:spacing w:val="4"/>
        </w:rPr>
        <w:t xml:space="preserve"> </w:t>
      </w:r>
      <w:r>
        <w:rPr>
          <w:rFonts w:cs="Avenir Next"/>
        </w:rPr>
        <w:t>the original terms of</w:t>
      </w:r>
      <w:r>
        <w:rPr>
          <w:rFonts w:cs="Avenir Next"/>
          <w:spacing w:val="4"/>
        </w:rPr>
        <w:t xml:space="preserve"> </w:t>
      </w:r>
      <w:r>
        <w:rPr>
          <w:rFonts w:cs="Avenir Next"/>
          <w:spacing w:val="-1"/>
        </w:rPr>
        <w:t>reference</w:t>
      </w:r>
      <w:r>
        <w:rPr>
          <w:rFonts w:cs="Avenir Next"/>
        </w:rPr>
        <w:t xml:space="preserve"> as </w:t>
      </w:r>
      <w:r>
        <w:rPr>
          <w:rFonts w:cs="Avenir Next"/>
          <w:spacing w:val="-1"/>
        </w:rPr>
        <w:t>matters</w:t>
      </w:r>
      <w:r>
        <w:rPr>
          <w:rFonts w:cs="Avenir Next"/>
        </w:rPr>
        <w:t xml:space="preserve"> of</w:t>
      </w:r>
      <w:r>
        <w:rPr>
          <w:rFonts w:cs="Avenir Next"/>
          <w:spacing w:val="4"/>
        </w:rPr>
        <w:t xml:space="preserve"> </w:t>
      </w:r>
      <w:r>
        <w:rPr>
          <w:rFonts w:cs="Avenir Next"/>
          <w:spacing w:val="-1"/>
        </w:rPr>
        <w:t>relevance</w:t>
      </w:r>
      <w:r>
        <w:rPr>
          <w:rFonts w:cs="Avenir Next"/>
        </w:rPr>
        <w:t xml:space="preserve"> to its </w:t>
      </w:r>
      <w:r>
        <w:rPr>
          <w:rFonts w:cs="Avenir Next"/>
          <w:spacing w:val="-1"/>
        </w:rPr>
        <w:t>determination</w:t>
      </w:r>
      <w:r>
        <w:rPr>
          <w:rFonts w:cs="Avenir Next"/>
          <w:spacing w:val="45"/>
        </w:rPr>
        <w:t xml:space="preserve"> </w:t>
      </w:r>
      <w:r>
        <w:rPr>
          <w:rFonts w:cs="Avenir Next"/>
        </w:rPr>
        <w:t xml:space="preserve">(see section </w:t>
      </w:r>
      <w:hyperlink w:anchor="_bookmark19" w:history="1">
        <w:r>
          <w:t>4.2</w:t>
        </w:r>
      </w:hyperlink>
      <w:r>
        <w:t>).</w:t>
      </w:r>
    </w:p>
    <w:p w:rsidR="00D96B91" w:rsidRDefault="00C2656B">
      <w:pPr>
        <w:pStyle w:val="BodyText"/>
        <w:numPr>
          <w:ilvl w:val="0"/>
          <w:numId w:val="131"/>
        </w:numPr>
        <w:tabs>
          <w:tab w:val="left" w:pos="1531"/>
        </w:tabs>
        <w:spacing w:before="77" w:line="260" w:lineRule="exact"/>
        <w:ind w:right="1251" w:hanging="283"/>
        <w:rPr>
          <w:sz w:val="11"/>
          <w:szCs w:val="11"/>
        </w:rPr>
      </w:pPr>
      <w:r>
        <w:rPr>
          <w:spacing w:val="-3"/>
        </w:rPr>
        <w:t>Cardno’s</w:t>
      </w:r>
      <w:r>
        <w:t xml:space="preserve"> modelling </w:t>
      </w:r>
      <w:r>
        <w:rPr>
          <w:spacing w:val="-1"/>
        </w:rPr>
        <w:t>indicates</w:t>
      </w:r>
      <w:r>
        <w:t xml:space="preserve"> </w:t>
      </w:r>
      <w:r>
        <w:rPr>
          <w:spacing w:val="-1"/>
        </w:rPr>
        <w:t>there</w:t>
      </w:r>
      <w:r>
        <w:t xml:space="preserve"> is an 89% </w:t>
      </w:r>
      <w:r>
        <w:rPr>
          <w:spacing w:val="-1"/>
        </w:rPr>
        <w:t>probability</w:t>
      </w:r>
      <w:r>
        <w:t xml:space="preserve"> </w:t>
      </w:r>
      <w:r>
        <w:rPr>
          <w:spacing w:val="-1"/>
        </w:rPr>
        <w:t>that</w:t>
      </w:r>
      <w:r>
        <w:t xml:space="preserve"> actual </w:t>
      </w:r>
      <w:r>
        <w:rPr>
          <w:spacing w:val="-1"/>
        </w:rPr>
        <w:t>water</w:t>
      </w:r>
      <w:r>
        <w:t xml:space="preserve"> sales will </w:t>
      </w:r>
      <w:r>
        <w:rPr>
          <w:spacing w:val="-1"/>
        </w:rPr>
        <w:t>exceed</w:t>
      </w:r>
      <w:r>
        <w:rPr>
          <w:spacing w:val="-4"/>
        </w:rPr>
        <w:t xml:space="preserve"> </w:t>
      </w:r>
      <w:r>
        <w:rPr>
          <w:spacing w:val="-2"/>
        </w:rPr>
        <w:t>ACTEW’s</w:t>
      </w:r>
      <w:r>
        <w:rPr>
          <w:spacing w:val="59"/>
        </w:rPr>
        <w:t xml:space="preserve"> </w:t>
      </w:r>
      <w:r>
        <w:rPr>
          <w:spacing w:val="-1"/>
        </w:rPr>
        <w:t>forecasts</w:t>
      </w:r>
      <w:r>
        <w:rPr>
          <w:spacing w:val="1"/>
        </w:rPr>
        <w:t xml:space="preserve"> </w:t>
      </w:r>
      <w:r>
        <w:t>over</w:t>
      </w:r>
      <w:r>
        <w:rPr>
          <w:spacing w:val="1"/>
        </w:rPr>
        <w:t xml:space="preserve"> </w:t>
      </w:r>
      <w:r>
        <w:t>the</w:t>
      </w:r>
      <w:r>
        <w:rPr>
          <w:spacing w:val="1"/>
        </w:rPr>
        <w:t xml:space="preserve"> </w:t>
      </w:r>
      <w:r>
        <w:rPr>
          <w:spacing w:val="-1"/>
        </w:rPr>
        <w:t>five-year</w:t>
      </w:r>
      <w:r>
        <w:rPr>
          <w:spacing w:val="1"/>
        </w:rPr>
        <w:t xml:space="preserve"> </w:t>
      </w:r>
      <w:r>
        <w:rPr>
          <w:spacing w:val="-1"/>
        </w:rPr>
        <w:t>regulatory</w:t>
      </w:r>
      <w:r>
        <w:rPr>
          <w:spacing w:val="1"/>
        </w:rPr>
        <w:t xml:space="preserve"> </w:t>
      </w:r>
      <w:r>
        <w:t>period.</w:t>
      </w:r>
      <w:r>
        <w:rPr>
          <w:position w:val="7"/>
          <w:sz w:val="11"/>
          <w:szCs w:val="11"/>
        </w:rPr>
        <w:t>218</w:t>
      </w: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14"/>
          <w:szCs w:val="14"/>
        </w:rPr>
      </w:pPr>
    </w:p>
    <w:p w:rsidR="00D96B91" w:rsidRDefault="00C2656B">
      <w:pPr>
        <w:pStyle w:val="Heading4"/>
        <w:numPr>
          <w:ilvl w:val="0"/>
          <w:numId w:val="37"/>
        </w:numPr>
        <w:tabs>
          <w:tab w:val="left" w:pos="1749"/>
        </w:tabs>
        <w:spacing w:line="360" w:lineRule="exact"/>
        <w:ind w:right="1485" w:hanging="794"/>
        <w:rPr>
          <w:rFonts w:cs="Avenir Next Medium"/>
        </w:rPr>
      </w:pPr>
      <w:r>
        <w:rPr>
          <w:color w:val="0778BE"/>
        </w:rPr>
        <w:t>3</w:t>
      </w:r>
      <w:r>
        <w:rPr>
          <w:color w:val="0778BE"/>
          <w:spacing w:val="39"/>
        </w:rPr>
        <w:t xml:space="preserve"> </w:t>
      </w:r>
      <w:r>
        <w:rPr>
          <w:color w:val="0778BE"/>
          <w:spacing w:val="-3"/>
        </w:rPr>
        <w:t>Forecast</w:t>
      </w:r>
      <w:r>
        <w:rPr>
          <w:color w:val="0778BE"/>
        </w:rPr>
        <w:t xml:space="preserve"> </w:t>
      </w:r>
      <w:r>
        <w:rPr>
          <w:color w:val="0778BE"/>
          <w:spacing w:val="-1"/>
        </w:rPr>
        <w:t>water</w:t>
      </w:r>
      <w:r>
        <w:rPr>
          <w:color w:val="0778BE"/>
        </w:rPr>
        <w:t xml:space="preserve"> and </w:t>
      </w:r>
      <w:r>
        <w:rPr>
          <w:color w:val="0778BE"/>
          <w:spacing w:val="-1"/>
        </w:rPr>
        <w:t>sewerage</w:t>
      </w:r>
      <w:r>
        <w:rPr>
          <w:color w:val="0778BE"/>
        </w:rPr>
        <w:t xml:space="preserve"> customer numbers and billable</w:t>
      </w:r>
      <w:r>
        <w:rPr>
          <w:color w:val="0778BE"/>
          <w:spacing w:val="29"/>
        </w:rPr>
        <w:t xml:space="preserve"> </w:t>
      </w:r>
      <w:r>
        <w:rPr>
          <w:color w:val="0778BE"/>
          <w:spacing w:val="-1"/>
        </w:rPr>
        <w:t>fixtures</w:t>
      </w:r>
    </w:p>
    <w:p w:rsidR="00D96B91" w:rsidRDefault="00C2656B">
      <w:pPr>
        <w:pStyle w:val="BodyText"/>
        <w:spacing w:before="93" w:line="260" w:lineRule="exact"/>
        <w:ind w:right="1279"/>
      </w:pPr>
      <w:r>
        <w:rPr>
          <w:spacing w:val="-2"/>
        </w:rPr>
        <w:t>Forecast</w:t>
      </w:r>
      <w:r>
        <w:rPr>
          <w:spacing w:val="-1"/>
        </w:rPr>
        <w:t xml:space="preserve"> water</w:t>
      </w:r>
      <w:r>
        <w:t xml:space="preserve"> and </w:t>
      </w:r>
      <w:r>
        <w:rPr>
          <w:spacing w:val="-1"/>
        </w:rPr>
        <w:t>sewerage</w:t>
      </w:r>
      <w:r>
        <w:t xml:space="preserve"> customer numbers </w:t>
      </w:r>
      <w:r>
        <w:rPr>
          <w:spacing w:val="-2"/>
        </w:rPr>
        <w:t>are</w:t>
      </w:r>
      <w:r>
        <w:rPr>
          <w:spacing w:val="-1"/>
        </w:rPr>
        <w:t xml:space="preserve"> </w:t>
      </w:r>
      <w:r>
        <w:t xml:space="preserve">used to determine the </w:t>
      </w:r>
      <w:r>
        <w:rPr>
          <w:spacing w:val="-1"/>
        </w:rPr>
        <w:t>fixed</w:t>
      </w:r>
      <w:r>
        <w:t xml:space="preserve"> annual</w:t>
      </w:r>
      <w:r>
        <w:rPr>
          <w:spacing w:val="-1"/>
        </w:rPr>
        <w:t xml:space="preserve"> </w:t>
      </w:r>
      <w:r>
        <w:t>service</w:t>
      </w:r>
      <w:r>
        <w:rPr>
          <w:spacing w:val="31"/>
        </w:rPr>
        <w:t xml:space="preserve"> </w:t>
      </w:r>
      <w:r>
        <w:rPr>
          <w:spacing w:val="-1"/>
        </w:rPr>
        <w:t xml:space="preserve">charges </w:t>
      </w:r>
      <w:r>
        <w:t xml:space="preserve">for </w:t>
      </w:r>
      <w:r>
        <w:rPr>
          <w:spacing w:val="-1"/>
        </w:rPr>
        <w:t>water</w:t>
      </w:r>
      <w:r>
        <w:t xml:space="preserve"> and</w:t>
      </w:r>
      <w:r>
        <w:rPr>
          <w:spacing w:val="-1"/>
        </w:rPr>
        <w:t xml:space="preserve"> sewerage</w:t>
      </w:r>
      <w:r>
        <w:t xml:space="preserve"> </w:t>
      </w:r>
      <w:r>
        <w:rPr>
          <w:spacing w:val="-1"/>
        </w:rPr>
        <w:t>respectively.</w:t>
      </w:r>
      <w:r>
        <w:rPr>
          <w:spacing w:val="-6"/>
        </w:rPr>
        <w:t xml:space="preserve"> </w:t>
      </w:r>
      <w:r>
        <w:rPr>
          <w:spacing w:val="-2"/>
        </w:rPr>
        <w:t>Forecast</w:t>
      </w:r>
      <w:r>
        <w:rPr>
          <w:spacing w:val="-1"/>
        </w:rPr>
        <w:t xml:space="preserve"> </w:t>
      </w:r>
      <w:r>
        <w:t xml:space="preserve">billable </w:t>
      </w:r>
      <w:r>
        <w:rPr>
          <w:spacing w:val="-1"/>
        </w:rPr>
        <w:t>fixture</w:t>
      </w:r>
      <w:r>
        <w:t xml:space="preserve"> numbers</w:t>
      </w:r>
      <w:r>
        <w:rPr>
          <w:spacing w:val="-1"/>
        </w:rPr>
        <w:t xml:space="preserve"> </w:t>
      </w:r>
      <w:r>
        <w:rPr>
          <w:spacing w:val="-2"/>
        </w:rPr>
        <w:t>are</w:t>
      </w:r>
      <w:r>
        <w:t xml:space="preserve"> used to</w:t>
      </w:r>
      <w:r>
        <w:rPr>
          <w:spacing w:val="-1"/>
        </w:rPr>
        <w:t xml:space="preserve"> calculate</w:t>
      </w:r>
      <w:r>
        <w:t xml:space="preserve"> the</w:t>
      </w:r>
      <w:r>
        <w:rPr>
          <w:spacing w:val="53"/>
        </w:rPr>
        <w:t xml:space="preserve"> </w:t>
      </w:r>
      <w:r>
        <w:t xml:space="preserve">additional supply </w:t>
      </w:r>
      <w:r>
        <w:rPr>
          <w:spacing w:val="-1"/>
        </w:rPr>
        <w:t>charge</w:t>
      </w:r>
      <w:r>
        <w:t xml:space="preserve"> payable by </w:t>
      </w:r>
      <w:r>
        <w:rPr>
          <w:spacing w:val="-1"/>
        </w:rPr>
        <w:t>non-residential</w:t>
      </w:r>
      <w:r>
        <w:t xml:space="preserve"> customers for </w:t>
      </w:r>
      <w:r>
        <w:rPr>
          <w:spacing w:val="-1"/>
        </w:rPr>
        <w:t>sewerage</w:t>
      </w:r>
      <w:r>
        <w:t xml:space="preserve"> services.</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36"/>
        </w:numPr>
        <w:tabs>
          <w:tab w:val="left" w:pos="2098"/>
        </w:tabs>
        <w:ind w:hanging="850"/>
        <w:rPr>
          <w:rFonts w:cs="Avenir Next Medium"/>
        </w:rPr>
      </w:pPr>
      <w:r>
        <w:rPr>
          <w:rFonts w:cs="Avenir Next Medium"/>
          <w:color w:val="0778BE"/>
          <w:spacing w:val="-2"/>
        </w:rPr>
        <w:t>ICRC’s</w:t>
      </w:r>
      <w:r>
        <w:rPr>
          <w:rFonts w:cs="Avenir Next Medium"/>
          <w:color w:val="0778BE"/>
        </w:rPr>
        <w:t xml:space="preserve"> final decision</w:t>
      </w:r>
    </w:p>
    <w:p w:rsidR="00D96B91" w:rsidRDefault="00C2656B">
      <w:pPr>
        <w:pStyle w:val="BodyText"/>
        <w:tabs>
          <w:tab w:val="left" w:pos="2672"/>
          <w:tab w:val="left" w:pos="9087"/>
        </w:tabs>
        <w:spacing w:before="19" w:line="250" w:lineRule="exact"/>
        <w:ind w:right="1802"/>
      </w:pPr>
      <w:r>
        <w:rPr>
          <w:spacing w:val="-3"/>
        </w:rPr>
        <w:t>The</w:t>
      </w:r>
      <w:r>
        <w:rPr>
          <w:spacing w:val="-5"/>
        </w:rPr>
        <w:t xml:space="preserve"> </w:t>
      </w:r>
      <w:r>
        <w:rPr>
          <w:spacing w:val="-4"/>
        </w:rPr>
        <w:t>ICRC’s</w:t>
      </w:r>
      <w:r>
        <w:rPr>
          <w:spacing w:val="-5"/>
        </w:rPr>
        <w:t xml:space="preserve"> </w:t>
      </w:r>
      <w:r w:rsidR="008A79D5">
        <w:rPr>
          <w:spacing w:val="-1"/>
        </w:rPr>
        <w:t>final</w:t>
      </w:r>
      <w:r>
        <w:rPr>
          <w:spacing w:val="-1"/>
        </w:rPr>
        <w:tab/>
      </w:r>
      <w:r>
        <w:rPr>
          <w:spacing w:val="-2"/>
        </w:rPr>
        <w:t>decision</w:t>
      </w:r>
      <w:r>
        <w:rPr>
          <w:spacing w:val="-4"/>
        </w:rPr>
        <w:t xml:space="preserve"> </w:t>
      </w:r>
      <w:r>
        <w:rPr>
          <w:spacing w:val="-2"/>
        </w:rPr>
        <w:t>was</w:t>
      </w:r>
      <w:r>
        <w:rPr>
          <w:spacing w:val="-4"/>
        </w:rPr>
        <w:t xml:space="preserve"> </w:t>
      </w:r>
      <w:r>
        <w:rPr>
          <w:spacing w:val="-1"/>
        </w:rPr>
        <w:t>to</w:t>
      </w:r>
      <w:r>
        <w:rPr>
          <w:spacing w:val="-4"/>
        </w:rPr>
        <w:t xml:space="preserve"> </w:t>
      </w:r>
      <w:r>
        <w:rPr>
          <w:spacing w:val="-2"/>
        </w:rPr>
        <w:t>adopt</w:t>
      </w:r>
      <w:r>
        <w:rPr>
          <w:spacing w:val="-4"/>
        </w:rPr>
        <w:t xml:space="preserve"> </w:t>
      </w:r>
      <w:r>
        <w:rPr>
          <w:spacing w:val="-3"/>
        </w:rPr>
        <w:t>forecasts</w:t>
      </w:r>
      <w:r>
        <w:rPr>
          <w:spacing w:val="-4"/>
        </w:rPr>
        <w:t xml:space="preserve"> </w:t>
      </w:r>
      <w:r>
        <w:rPr>
          <w:spacing w:val="-2"/>
        </w:rPr>
        <w:t>for</w:t>
      </w:r>
      <w:r>
        <w:rPr>
          <w:spacing w:val="-4"/>
        </w:rPr>
        <w:t xml:space="preserve"> </w:t>
      </w:r>
      <w:r>
        <w:rPr>
          <w:spacing w:val="-2"/>
        </w:rPr>
        <w:t>customer</w:t>
      </w:r>
      <w:r>
        <w:rPr>
          <w:spacing w:val="-4"/>
        </w:rPr>
        <w:t xml:space="preserve"> </w:t>
      </w:r>
      <w:r>
        <w:rPr>
          <w:spacing w:val="-2"/>
        </w:rPr>
        <w:t>numbers</w:t>
      </w:r>
      <w:r>
        <w:rPr>
          <w:spacing w:val="-4"/>
        </w:rPr>
        <w:t xml:space="preserve"> </w:t>
      </w:r>
      <w:r>
        <w:rPr>
          <w:spacing w:val="-2"/>
        </w:rPr>
        <w:t>and</w:t>
      </w:r>
      <w:r>
        <w:rPr>
          <w:spacing w:val="-5"/>
        </w:rPr>
        <w:t xml:space="preserve"> </w:t>
      </w:r>
      <w:r>
        <w:rPr>
          <w:spacing w:val="-2"/>
        </w:rPr>
        <w:t>billable</w:t>
      </w:r>
      <w:r>
        <w:rPr>
          <w:spacing w:val="-4"/>
        </w:rPr>
        <w:t xml:space="preserve"> </w:t>
      </w:r>
      <w:r>
        <w:rPr>
          <w:spacing w:val="-1"/>
        </w:rPr>
        <w:t>fi</w:t>
      </w:r>
      <w:r w:rsidR="008A79D5">
        <w:rPr>
          <w:spacing w:val="-1"/>
        </w:rPr>
        <w:t>xtures</w:t>
      </w:r>
      <w:r>
        <w:rPr>
          <w:spacing w:val="-4"/>
        </w:rPr>
        <w:t xml:space="preserve"> </w:t>
      </w:r>
      <w:r>
        <w:rPr>
          <w:spacing w:val="-2"/>
        </w:rPr>
        <w:t>for</w:t>
      </w:r>
      <w:r>
        <w:rPr>
          <w:spacing w:val="-4"/>
        </w:rPr>
        <w:t xml:space="preserve"> </w:t>
      </w:r>
      <w:r>
        <w:rPr>
          <w:spacing w:val="-2"/>
        </w:rPr>
        <w:t>the</w:t>
      </w:r>
      <w:r>
        <w:rPr>
          <w:spacing w:val="-5"/>
        </w:rPr>
        <w:t xml:space="preserve"> </w:t>
      </w:r>
      <w:r>
        <w:rPr>
          <w:spacing w:val="-1"/>
        </w:rPr>
        <w:t>fi</w:t>
      </w:r>
      <w:r w:rsidR="008A79D5">
        <w:rPr>
          <w:spacing w:val="-1"/>
        </w:rPr>
        <w:t>rst</w:t>
      </w:r>
      <w:r>
        <w:rPr>
          <w:spacing w:val="68"/>
          <w:w w:val="99"/>
        </w:rPr>
        <w:t xml:space="preserve"> </w:t>
      </w:r>
      <w:r>
        <w:rPr>
          <w:rFonts w:cs="Avenir Next"/>
          <w:spacing w:val="-2"/>
        </w:rPr>
        <w:t>two</w:t>
      </w:r>
      <w:r>
        <w:rPr>
          <w:rFonts w:cs="Avenir Next"/>
          <w:spacing w:val="-4"/>
        </w:rPr>
        <w:t xml:space="preserve"> </w:t>
      </w:r>
      <w:r>
        <w:rPr>
          <w:rFonts w:cs="Avenir Next"/>
          <w:spacing w:val="-2"/>
        </w:rPr>
        <w:t>years</w:t>
      </w:r>
      <w:r>
        <w:rPr>
          <w:rFonts w:cs="Avenir Next"/>
          <w:spacing w:val="-4"/>
        </w:rPr>
        <w:t xml:space="preserve"> </w:t>
      </w:r>
      <w:r>
        <w:rPr>
          <w:rFonts w:cs="Avenir Next"/>
          <w:spacing w:val="-1"/>
        </w:rPr>
        <w:t>of</w:t>
      </w:r>
      <w:r>
        <w:rPr>
          <w:rFonts w:cs="Avenir Next"/>
        </w:rPr>
        <w:t xml:space="preserve"> </w:t>
      </w:r>
      <w:r>
        <w:rPr>
          <w:rFonts w:cs="Avenir Next"/>
          <w:spacing w:val="-2"/>
        </w:rPr>
        <w:t>the</w:t>
      </w:r>
      <w:r>
        <w:rPr>
          <w:rFonts w:cs="Avenir Next"/>
          <w:spacing w:val="-4"/>
        </w:rPr>
        <w:t xml:space="preserve"> </w:t>
      </w:r>
      <w:r>
        <w:rPr>
          <w:rFonts w:cs="Avenir Next"/>
          <w:spacing w:val="-3"/>
        </w:rPr>
        <w:t>regulatory</w:t>
      </w:r>
      <w:r>
        <w:rPr>
          <w:rFonts w:cs="Avenir Next"/>
          <w:spacing w:val="-4"/>
        </w:rPr>
        <w:t xml:space="preserve"> </w:t>
      </w:r>
      <w:r>
        <w:rPr>
          <w:rFonts w:cs="Avenir Next"/>
          <w:spacing w:val="-2"/>
        </w:rPr>
        <w:t>period</w:t>
      </w:r>
      <w:r>
        <w:rPr>
          <w:rFonts w:cs="Avenir Next"/>
          <w:spacing w:val="-4"/>
        </w:rPr>
        <w:t xml:space="preserve"> </w:t>
      </w:r>
      <w:r>
        <w:rPr>
          <w:rFonts w:cs="Avenir Next"/>
          <w:spacing w:val="-2"/>
        </w:rPr>
        <w:t>(see</w:t>
      </w:r>
      <w:r>
        <w:rPr>
          <w:rFonts w:cs="Avenir Next"/>
          <w:spacing w:val="-9"/>
        </w:rPr>
        <w:t xml:space="preserve"> </w:t>
      </w:r>
      <w:hyperlink w:anchor="_bookmark108" w:history="1">
        <w:r>
          <w:rPr>
            <w:spacing w:val="-6"/>
          </w:rPr>
          <w:t>Table</w:t>
        </w:r>
        <w:r>
          <w:rPr>
            <w:spacing w:val="-4"/>
          </w:rPr>
          <w:t xml:space="preserve"> </w:t>
        </w:r>
        <w:r>
          <w:rPr>
            <w:spacing w:val="-2"/>
          </w:rPr>
          <w:t>12.5</w:t>
        </w:r>
      </w:hyperlink>
      <w:r>
        <w:rPr>
          <w:spacing w:val="-2"/>
        </w:rPr>
        <w:t>)</w:t>
      </w:r>
      <w:r>
        <w:rPr>
          <w:spacing w:val="-4"/>
        </w:rPr>
        <w:t xml:space="preserve"> </w:t>
      </w:r>
      <w:r>
        <w:rPr>
          <w:spacing w:val="-2"/>
        </w:rPr>
        <w:t>and</w:t>
      </w:r>
      <w:r>
        <w:rPr>
          <w:spacing w:val="-4"/>
        </w:rPr>
        <w:t xml:space="preserve"> </w:t>
      </w:r>
      <w:r>
        <w:rPr>
          <w:spacing w:val="-2"/>
        </w:rPr>
        <w:t>determine</w:t>
      </w:r>
      <w:r>
        <w:rPr>
          <w:spacing w:val="-4"/>
        </w:rPr>
        <w:t xml:space="preserve"> </w:t>
      </w:r>
      <w:r>
        <w:rPr>
          <w:spacing w:val="-3"/>
        </w:rPr>
        <w:t>forecasts</w:t>
      </w:r>
      <w:r>
        <w:rPr>
          <w:spacing w:val="-4"/>
        </w:rPr>
        <w:t xml:space="preserve"> </w:t>
      </w:r>
      <w:r>
        <w:rPr>
          <w:spacing w:val="-2"/>
        </w:rPr>
        <w:t>for</w:t>
      </w:r>
      <w:r>
        <w:rPr>
          <w:spacing w:val="-4"/>
        </w:rPr>
        <w:t xml:space="preserve"> </w:t>
      </w:r>
      <w:r>
        <w:rPr>
          <w:spacing w:val="-2"/>
        </w:rPr>
        <w:t>the</w:t>
      </w:r>
      <w:r>
        <w:rPr>
          <w:spacing w:val="-4"/>
        </w:rPr>
        <w:t xml:space="preserve"> </w:t>
      </w:r>
      <w:r>
        <w:rPr>
          <w:spacing w:val="-3"/>
        </w:rPr>
        <w:t>remainder</w:t>
      </w:r>
      <w:r>
        <w:rPr>
          <w:spacing w:val="-4"/>
        </w:rPr>
        <w:t xml:space="preserve"> </w:t>
      </w:r>
      <w:r>
        <w:rPr>
          <w:spacing w:val="-1"/>
        </w:rPr>
        <w:t>of</w:t>
      </w:r>
      <w:r>
        <w:t xml:space="preserve"> </w:t>
      </w:r>
      <w:r>
        <w:rPr>
          <w:spacing w:val="-2"/>
        </w:rPr>
        <w:t>the</w:t>
      </w:r>
    </w:p>
    <w:p w:rsidR="00D96B91" w:rsidRDefault="00C2656B">
      <w:pPr>
        <w:pStyle w:val="BodyText"/>
        <w:spacing w:line="250" w:lineRule="exact"/>
        <w:ind w:right="1256"/>
      </w:pPr>
      <w:r>
        <w:rPr>
          <w:spacing w:val="-2"/>
        </w:rPr>
        <w:t>period</w:t>
      </w:r>
      <w:r>
        <w:rPr>
          <w:spacing w:val="-4"/>
        </w:rPr>
        <w:t xml:space="preserve"> </w:t>
      </w:r>
      <w:r>
        <w:rPr>
          <w:spacing w:val="-3"/>
        </w:rPr>
        <w:t>through</w:t>
      </w:r>
      <w:r>
        <w:rPr>
          <w:spacing w:val="-4"/>
        </w:rPr>
        <w:t xml:space="preserve"> </w:t>
      </w:r>
      <w:r>
        <w:rPr>
          <w:spacing w:val="-2"/>
        </w:rPr>
        <w:t>the</w:t>
      </w:r>
      <w:r>
        <w:rPr>
          <w:spacing w:val="-4"/>
        </w:rPr>
        <w:t xml:space="preserve"> </w:t>
      </w:r>
      <w:r>
        <w:rPr>
          <w:spacing w:val="-2"/>
        </w:rPr>
        <w:t>biennial</w:t>
      </w:r>
      <w:r>
        <w:rPr>
          <w:spacing w:val="-4"/>
        </w:rPr>
        <w:t xml:space="preserve"> </w:t>
      </w:r>
      <w:r>
        <w:rPr>
          <w:spacing w:val="-3"/>
        </w:rPr>
        <w:t>recalibration</w:t>
      </w:r>
      <w:r>
        <w:rPr>
          <w:spacing w:val="-4"/>
        </w:rPr>
        <w:t xml:space="preserve"> </w:t>
      </w:r>
      <w:r>
        <w:rPr>
          <w:spacing w:val="-3"/>
        </w:rPr>
        <w:t>process.</w:t>
      </w:r>
      <w:r>
        <w:rPr>
          <w:spacing w:val="-15"/>
        </w:rPr>
        <w:t xml:space="preserve"> </w:t>
      </w:r>
      <w:r>
        <w:rPr>
          <w:spacing w:val="-3"/>
        </w:rPr>
        <w:t>The</w:t>
      </w:r>
      <w:r>
        <w:rPr>
          <w:spacing w:val="-4"/>
        </w:rPr>
        <w:t xml:space="preserve"> </w:t>
      </w:r>
      <w:r>
        <w:rPr>
          <w:spacing w:val="-2"/>
        </w:rPr>
        <w:t>ICRC</w:t>
      </w:r>
      <w:r>
        <w:rPr>
          <w:spacing w:val="-4"/>
        </w:rPr>
        <w:t xml:space="preserve"> </w:t>
      </w:r>
      <w:r>
        <w:rPr>
          <w:spacing w:val="-2"/>
        </w:rPr>
        <w:t>based</w:t>
      </w:r>
      <w:r>
        <w:rPr>
          <w:spacing w:val="-4"/>
        </w:rPr>
        <w:t xml:space="preserve"> </w:t>
      </w:r>
      <w:r>
        <w:rPr>
          <w:spacing w:val="-2"/>
        </w:rPr>
        <w:t>its</w:t>
      </w:r>
      <w:r>
        <w:rPr>
          <w:spacing w:val="-4"/>
        </w:rPr>
        <w:t xml:space="preserve"> </w:t>
      </w:r>
      <w:r>
        <w:rPr>
          <w:spacing w:val="-3"/>
        </w:rPr>
        <w:t>forecasts</w:t>
      </w:r>
      <w:r>
        <w:rPr>
          <w:spacing w:val="-4"/>
        </w:rPr>
        <w:t xml:space="preserve"> </w:t>
      </w:r>
      <w:r>
        <w:rPr>
          <w:spacing w:val="-2"/>
        </w:rPr>
        <w:t>for</w:t>
      </w:r>
      <w:r>
        <w:rPr>
          <w:spacing w:val="-4"/>
        </w:rPr>
        <w:t xml:space="preserve"> </w:t>
      </w:r>
      <w:r>
        <w:rPr>
          <w:spacing w:val="-2"/>
        </w:rPr>
        <w:t>2013-14</w:t>
      </w:r>
      <w:r>
        <w:rPr>
          <w:spacing w:val="-4"/>
        </w:rPr>
        <w:t xml:space="preserve"> </w:t>
      </w:r>
      <w:r>
        <w:rPr>
          <w:spacing w:val="-2"/>
        </w:rPr>
        <w:t>and</w:t>
      </w:r>
      <w:r>
        <w:rPr>
          <w:spacing w:val="-4"/>
        </w:rPr>
        <w:t xml:space="preserve"> </w:t>
      </w:r>
      <w:r>
        <w:rPr>
          <w:spacing w:val="-2"/>
        </w:rPr>
        <w:t>2015-16</w:t>
      </w:r>
      <w:r>
        <w:rPr>
          <w:spacing w:val="86"/>
        </w:rPr>
        <w:t xml:space="preserve"> </w:t>
      </w:r>
      <w:r>
        <w:rPr>
          <w:spacing w:val="-1"/>
        </w:rPr>
        <w:t>on</w:t>
      </w:r>
      <w:r>
        <w:rPr>
          <w:spacing w:val="-4"/>
        </w:rPr>
        <w:t xml:space="preserve"> </w:t>
      </w:r>
      <w:r>
        <w:rPr>
          <w:spacing w:val="-2"/>
        </w:rPr>
        <w:t>the</w:t>
      </w:r>
      <w:r>
        <w:rPr>
          <w:spacing w:val="-4"/>
        </w:rPr>
        <w:t xml:space="preserve"> </w:t>
      </w:r>
      <w:r>
        <w:rPr>
          <w:spacing w:val="-2"/>
        </w:rPr>
        <w:t>historic</w:t>
      </w:r>
      <w:r>
        <w:rPr>
          <w:spacing w:val="-4"/>
        </w:rPr>
        <w:t xml:space="preserve"> </w:t>
      </w:r>
      <w:r>
        <w:rPr>
          <w:spacing w:val="-3"/>
        </w:rPr>
        <w:t>growth</w:t>
      </w:r>
      <w:r>
        <w:rPr>
          <w:spacing w:val="-4"/>
        </w:rPr>
        <w:t xml:space="preserve"> </w:t>
      </w:r>
      <w:r>
        <w:rPr>
          <w:spacing w:val="-1"/>
        </w:rPr>
        <w:t>in</w:t>
      </w:r>
      <w:r>
        <w:rPr>
          <w:spacing w:val="-4"/>
        </w:rPr>
        <w:t xml:space="preserve"> </w:t>
      </w:r>
      <w:r>
        <w:rPr>
          <w:spacing w:val="-2"/>
        </w:rPr>
        <w:t>these</w:t>
      </w:r>
      <w:r>
        <w:rPr>
          <w:spacing w:val="-4"/>
        </w:rPr>
        <w:t xml:space="preserve"> </w:t>
      </w:r>
      <w:r>
        <w:rPr>
          <w:spacing w:val="-2"/>
        </w:rPr>
        <w:t>numbers</w:t>
      </w:r>
      <w:r>
        <w:rPr>
          <w:spacing w:val="-4"/>
        </w:rPr>
        <w:t xml:space="preserve"> </w:t>
      </w:r>
      <w:r>
        <w:rPr>
          <w:spacing w:val="-2"/>
        </w:rPr>
        <w:t>during</w:t>
      </w:r>
      <w:r>
        <w:rPr>
          <w:spacing w:val="-4"/>
        </w:rPr>
        <w:t xml:space="preserve"> </w:t>
      </w:r>
      <w:r>
        <w:rPr>
          <w:spacing w:val="-2"/>
        </w:rPr>
        <w:t>the</w:t>
      </w:r>
      <w:r>
        <w:rPr>
          <w:spacing w:val="-4"/>
        </w:rPr>
        <w:t xml:space="preserve"> </w:t>
      </w:r>
      <w:r>
        <w:rPr>
          <w:spacing w:val="-3"/>
        </w:rPr>
        <w:t>previous</w:t>
      </w:r>
      <w:r>
        <w:rPr>
          <w:spacing w:val="-4"/>
        </w:rPr>
        <w:t xml:space="preserve"> </w:t>
      </w:r>
      <w:r>
        <w:rPr>
          <w:spacing w:val="-3"/>
        </w:rPr>
        <w:t>regulatory</w:t>
      </w:r>
      <w:r>
        <w:rPr>
          <w:spacing w:val="-4"/>
        </w:rPr>
        <w:t xml:space="preserve"> </w:t>
      </w:r>
      <w:r>
        <w:rPr>
          <w:spacing w:val="-2"/>
        </w:rPr>
        <w:t>period</w:t>
      </w:r>
      <w:r>
        <w:rPr>
          <w:spacing w:val="-4"/>
        </w:rPr>
        <w:t xml:space="preserve"> </w:t>
      </w:r>
      <w:r>
        <w:rPr>
          <w:spacing w:val="-2"/>
        </w:rPr>
        <w:t>(2008-09</w:t>
      </w:r>
      <w:r>
        <w:rPr>
          <w:spacing w:val="-4"/>
        </w:rPr>
        <w:t xml:space="preserve"> </w:t>
      </w:r>
      <w:r>
        <w:rPr>
          <w:spacing w:val="-1"/>
        </w:rPr>
        <w:t>to</w:t>
      </w:r>
      <w:r>
        <w:rPr>
          <w:spacing w:val="-4"/>
        </w:rPr>
        <w:t xml:space="preserve"> </w:t>
      </w:r>
      <w:r>
        <w:rPr>
          <w:spacing w:val="-2"/>
        </w:rPr>
        <w:t>2012-13).</w:t>
      </w:r>
    </w:p>
    <w:p w:rsidR="00D96B91" w:rsidRDefault="00C2656B">
      <w:pPr>
        <w:spacing w:before="160"/>
        <w:ind w:left="1247"/>
        <w:rPr>
          <w:rFonts w:ascii="Avenir Next" w:eastAsia="Avenir Next" w:hAnsi="Avenir Next" w:cs="Avenir Next"/>
          <w:sz w:val="20"/>
          <w:szCs w:val="20"/>
        </w:rPr>
      </w:pPr>
      <w:bookmarkStart w:id="170" w:name="_bookmark108"/>
      <w:bookmarkEnd w:id="170"/>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12.5: ICRC final decision – </w:t>
      </w:r>
      <w:r>
        <w:rPr>
          <w:rFonts w:ascii="Avenir Next" w:eastAsia="Avenir Next" w:hAnsi="Avenir Next" w:cs="Avenir Next"/>
          <w:b/>
          <w:bCs/>
          <w:spacing w:val="-2"/>
          <w:sz w:val="20"/>
          <w:szCs w:val="20"/>
        </w:rPr>
        <w:t>Forecast</w:t>
      </w:r>
      <w:r>
        <w:rPr>
          <w:rFonts w:ascii="Avenir Next" w:eastAsia="Avenir Next" w:hAnsi="Avenir Next" w:cs="Avenir Next"/>
          <w:b/>
          <w:bCs/>
          <w:sz w:val="20"/>
          <w:szCs w:val="20"/>
        </w:rPr>
        <w:t xml:space="preserve"> customer numbers and billable </w:t>
      </w:r>
      <w:r>
        <w:rPr>
          <w:rFonts w:ascii="Avenir Next" w:eastAsia="Avenir Next" w:hAnsi="Avenir Next" w:cs="Avenir Next"/>
          <w:b/>
          <w:bCs/>
          <w:spacing w:val="-1"/>
          <w:sz w:val="20"/>
          <w:szCs w:val="20"/>
        </w:rPr>
        <w:t>fixtures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5202"/>
        <w:gridCol w:w="2105"/>
        <w:gridCol w:w="2105"/>
      </w:tblGrid>
      <w:tr w:rsidR="00D96B91">
        <w:trPr>
          <w:trHeight w:hRule="exact" w:val="350"/>
        </w:trPr>
        <w:tc>
          <w:tcPr>
            <w:tcW w:w="52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210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b/>
                <w:color w:val="FFFFFF"/>
                <w:sz w:val="18"/>
              </w:rPr>
              <w:t>2013-14</w:t>
            </w:r>
          </w:p>
        </w:tc>
        <w:tc>
          <w:tcPr>
            <w:tcW w:w="210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trPr>
          <w:trHeight w:hRule="exact" w:val="350"/>
        </w:trPr>
        <w:tc>
          <w:tcPr>
            <w:tcW w:w="520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customer numbers</w:t>
            </w:r>
          </w:p>
        </w:tc>
        <w:tc>
          <w:tcPr>
            <w:tcW w:w="210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
              <w:jc w:val="center"/>
              <w:rPr>
                <w:rFonts w:ascii="Avenir Next Condensed" w:eastAsia="Avenir Next Condensed" w:hAnsi="Avenir Next Condensed" w:cs="Avenir Next Condensed"/>
                <w:sz w:val="18"/>
                <w:szCs w:val="18"/>
              </w:rPr>
            </w:pPr>
            <w:r>
              <w:rPr>
                <w:rFonts w:ascii="Avenir Next Condensed"/>
                <w:sz w:val="18"/>
              </w:rPr>
              <w:t>159,126</w:t>
            </w:r>
          </w:p>
        </w:tc>
        <w:tc>
          <w:tcPr>
            <w:tcW w:w="210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
              <w:jc w:val="center"/>
              <w:rPr>
                <w:rFonts w:ascii="Avenir Next Condensed" w:eastAsia="Avenir Next Condensed" w:hAnsi="Avenir Next Condensed" w:cs="Avenir Next Condensed"/>
                <w:sz w:val="18"/>
                <w:szCs w:val="18"/>
              </w:rPr>
            </w:pPr>
            <w:r>
              <w:rPr>
                <w:rFonts w:ascii="Avenir Next Condensed"/>
                <w:sz w:val="18"/>
              </w:rPr>
              <w:t>162,578</w:t>
            </w:r>
          </w:p>
        </w:tc>
      </w:tr>
      <w:tr w:rsidR="00D96B91">
        <w:trPr>
          <w:trHeight w:hRule="exact" w:val="350"/>
        </w:trPr>
        <w:tc>
          <w:tcPr>
            <w:tcW w:w="52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Sewerage</w:t>
            </w:r>
            <w:r>
              <w:rPr>
                <w:rFonts w:ascii="Avenir Next Condensed"/>
                <w:sz w:val="18"/>
              </w:rPr>
              <w:t xml:space="preserve"> customer numbers</w:t>
            </w:r>
          </w:p>
        </w:tc>
        <w:tc>
          <w:tcPr>
            <w:tcW w:w="21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
              <w:jc w:val="center"/>
              <w:rPr>
                <w:rFonts w:ascii="Avenir Next Condensed" w:eastAsia="Avenir Next Condensed" w:hAnsi="Avenir Next Condensed" w:cs="Avenir Next Condensed"/>
                <w:sz w:val="18"/>
                <w:szCs w:val="18"/>
              </w:rPr>
            </w:pPr>
            <w:r>
              <w:rPr>
                <w:rFonts w:ascii="Avenir Next Condensed"/>
                <w:sz w:val="18"/>
              </w:rPr>
              <w:t>153,918</w:t>
            </w:r>
          </w:p>
        </w:tc>
        <w:tc>
          <w:tcPr>
            <w:tcW w:w="21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
              <w:jc w:val="center"/>
              <w:rPr>
                <w:rFonts w:ascii="Avenir Next Condensed" w:eastAsia="Avenir Next Condensed" w:hAnsi="Avenir Next Condensed" w:cs="Avenir Next Condensed"/>
                <w:sz w:val="18"/>
                <w:szCs w:val="18"/>
              </w:rPr>
            </w:pPr>
            <w:r>
              <w:rPr>
                <w:rFonts w:ascii="Avenir Next Condensed"/>
                <w:sz w:val="18"/>
              </w:rPr>
              <w:t>157,491</w:t>
            </w:r>
          </w:p>
        </w:tc>
      </w:tr>
      <w:tr w:rsidR="00D96B91">
        <w:trPr>
          <w:trHeight w:hRule="exact" w:val="350"/>
        </w:trPr>
        <w:tc>
          <w:tcPr>
            <w:tcW w:w="52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z w:val="18"/>
              </w:rPr>
              <w:t xml:space="preserve">Billable </w:t>
            </w:r>
            <w:r>
              <w:rPr>
                <w:rFonts w:ascii="Avenir Next Condensed"/>
                <w:spacing w:val="-1"/>
                <w:sz w:val="18"/>
              </w:rPr>
              <w:t>fixtures</w:t>
            </w:r>
            <w:r>
              <w:rPr>
                <w:rFonts w:ascii="Avenir Next Condensed"/>
                <w:sz w:val="18"/>
              </w:rPr>
              <w:t xml:space="preserve"> </w:t>
            </w:r>
            <w:r>
              <w:rPr>
                <w:rFonts w:ascii="Avenir Next Condensed"/>
                <w:spacing w:val="-1"/>
                <w:sz w:val="18"/>
              </w:rPr>
              <w:t>(non-residential)</w:t>
            </w:r>
          </w:p>
        </w:tc>
        <w:tc>
          <w:tcPr>
            <w:tcW w:w="21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5"/>
              <w:jc w:val="center"/>
              <w:rPr>
                <w:rFonts w:ascii="Avenir Next Condensed" w:eastAsia="Avenir Next Condensed" w:hAnsi="Avenir Next Condensed" w:cs="Avenir Next Condensed"/>
                <w:sz w:val="18"/>
                <w:szCs w:val="18"/>
              </w:rPr>
            </w:pPr>
            <w:r>
              <w:rPr>
                <w:rFonts w:ascii="Avenir Next Condensed"/>
                <w:sz w:val="18"/>
              </w:rPr>
              <w:t>61,150</w:t>
            </w:r>
          </w:p>
        </w:tc>
        <w:tc>
          <w:tcPr>
            <w:tcW w:w="21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5"/>
              <w:jc w:val="center"/>
              <w:rPr>
                <w:rFonts w:ascii="Avenir Next Condensed" w:eastAsia="Avenir Next Condensed" w:hAnsi="Avenir Next Condensed" w:cs="Avenir Next Condensed"/>
                <w:sz w:val="18"/>
                <w:szCs w:val="18"/>
              </w:rPr>
            </w:pPr>
            <w:r>
              <w:rPr>
                <w:rFonts w:ascii="Avenir Next Condensed"/>
                <w:sz w:val="18"/>
              </w:rPr>
              <w:t>62,673</w:t>
            </w:r>
          </w:p>
        </w:tc>
      </w:tr>
    </w:tbl>
    <w:p w:rsidR="00D96B91" w:rsidRDefault="00C2656B">
      <w:pPr>
        <w:spacing w:before="88"/>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118.</w:t>
      </w:r>
    </w:p>
    <w:p w:rsidR="00D96B91" w:rsidRDefault="00D96B91">
      <w:pPr>
        <w:spacing w:before="11"/>
        <w:rPr>
          <w:rFonts w:ascii="Avenir Next" w:eastAsia="Avenir Next" w:hAnsi="Avenir Next" w:cs="Avenir Next"/>
          <w:sz w:val="18"/>
          <w:szCs w:val="1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57" style="width:72.5pt;height:.5pt;mso-position-horizontal-relative:char;mso-position-vertical-relative:line" coordsize="1450,10">
            <v:group id="_x0000_s1858" style="position:absolute;left:5;top:5;width:1440;height:2" coordorigin="5,5" coordsize="1440,2">
              <v:shape id="_x0000_s1859"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36"/>
        </w:numPr>
        <w:tabs>
          <w:tab w:val="left" w:pos="2098"/>
        </w:tabs>
        <w:spacing w:before="9"/>
        <w:ind w:hanging="850"/>
      </w:pPr>
      <w:r>
        <w:rPr>
          <w:color w:val="0778BE"/>
          <w:spacing w:val="-3"/>
        </w:rPr>
        <w:t>ACTEW’s</w:t>
      </w:r>
      <w:r>
        <w:rPr>
          <w:color w:val="0778BE"/>
        </w:rPr>
        <w:t xml:space="preserve"> SOFC and </w:t>
      </w:r>
      <w:r>
        <w:rPr>
          <w:color w:val="0778BE"/>
          <w:spacing w:val="-1"/>
        </w:rPr>
        <w:t>response</w:t>
      </w:r>
      <w:r>
        <w:rPr>
          <w:color w:val="0778BE"/>
        </w:rPr>
        <w:t xml:space="preserve"> to </w:t>
      </w:r>
      <w:r>
        <w:rPr>
          <w:color w:val="0778BE"/>
          <w:spacing w:val="-1"/>
        </w:rPr>
        <w:t>request</w:t>
      </w:r>
      <w:r>
        <w:rPr>
          <w:color w:val="0778BE"/>
        </w:rPr>
        <w:t xml:space="preserve"> for </w:t>
      </w:r>
      <w:r>
        <w:rPr>
          <w:color w:val="0778BE"/>
          <w:spacing w:val="-1"/>
        </w:rPr>
        <w:t>further</w:t>
      </w:r>
      <w:r>
        <w:rPr>
          <w:color w:val="0778BE"/>
        </w:rPr>
        <w:t xml:space="preserve"> </w:t>
      </w:r>
      <w:r>
        <w:rPr>
          <w:color w:val="0778BE"/>
          <w:spacing w:val="-1"/>
        </w:rPr>
        <w:t>information</w:t>
      </w:r>
    </w:p>
    <w:p w:rsidR="00D96B91" w:rsidRDefault="00C2656B">
      <w:pPr>
        <w:pStyle w:val="BodyText"/>
        <w:spacing w:before="21" w:line="260" w:lineRule="exact"/>
        <w:ind w:right="1296"/>
      </w:pPr>
      <w:r>
        <w:rPr>
          <w:spacing w:val="-2"/>
        </w:rPr>
        <w:t>ACTEW</w:t>
      </w:r>
      <w:r>
        <w:rPr>
          <w:spacing w:val="-4"/>
        </w:rPr>
        <w:t xml:space="preserve"> </w:t>
      </w:r>
      <w:r>
        <w:t xml:space="preserve">did not </w:t>
      </w:r>
      <w:r>
        <w:rPr>
          <w:spacing w:val="-1"/>
        </w:rPr>
        <w:t>raise</w:t>
      </w:r>
      <w:r>
        <w:t xml:space="preserve"> any</w:t>
      </w:r>
      <w:r>
        <w:rPr>
          <w:spacing w:val="-1"/>
        </w:rPr>
        <w:t xml:space="preserve"> </w:t>
      </w:r>
      <w:r>
        <w:t>concerns in its SOFC about</w:t>
      </w:r>
      <w:r>
        <w:rPr>
          <w:spacing w:val="-1"/>
        </w:rPr>
        <w:t xml:space="preserve"> </w:t>
      </w:r>
      <w:r>
        <w:t xml:space="preserve">the </w:t>
      </w:r>
      <w:r>
        <w:rPr>
          <w:spacing w:val="-1"/>
        </w:rPr>
        <w:t>approach</w:t>
      </w:r>
      <w:r>
        <w:t xml:space="preserve"> the ICRC used</w:t>
      </w:r>
      <w:r>
        <w:rPr>
          <w:spacing w:val="-1"/>
        </w:rPr>
        <w:t xml:space="preserve"> </w:t>
      </w:r>
      <w:r>
        <w:t>to derive its final</w:t>
      </w:r>
      <w:r>
        <w:rPr>
          <w:spacing w:val="21"/>
          <w:w w:val="99"/>
        </w:rPr>
        <w:t xml:space="preserve"> </w:t>
      </w:r>
      <w:r>
        <w:t>decision</w:t>
      </w:r>
      <w:r>
        <w:rPr>
          <w:spacing w:val="-1"/>
        </w:rPr>
        <w:t xml:space="preserve"> </w:t>
      </w:r>
      <w:r>
        <w:t xml:space="preserve">on </w:t>
      </w:r>
      <w:r>
        <w:rPr>
          <w:spacing w:val="-1"/>
        </w:rPr>
        <w:t>forecast</w:t>
      </w:r>
      <w:r>
        <w:t xml:space="preserve"> customer</w:t>
      </w:r>
      <w:r>
        <w:rPr>
          <w:spacing w:val="-1"/>
        </w:rPr>
        <w:t xml:space="preserve"> </w:t>
      </w:r>
      <w:r>
        <w:t>numbers and billable</w:t>
      </w:r>
      <w:r>
        <w:rPr>
          <w:spacing w:val="-1"/>
        </w:rPr>
        <w:t xml:space="preserve"> fixtures.</w:t>
      </w:r>
      <w:r>
        <w:rPr>
          <w:spacing w:val="-6"/>
        </w:rPr>
        <w:t xml:space="preserve"> </w:t>
      </w:r>
      <w:r>
        <w:rPr>
          <w:spacing w:val="-2"/>
        </w:rPr>
        <w:t>However,</w:t>
      </w:r>
      <w:r>
        <w:rPr>
          <w:spacing w:val="-6"/>
        </w:rPr>
        <w:t xml:space="preserve"> </w:t>
      </w:r>
      <w:r>
        <w:t>in</w:t>
      </w:r>
      <w:r>
        <w:rPr>
          <w:spacing w:val="-1"/>
        </w:rPr>
        <w:t xml:space="preserve"> </w:t>
      </w:r>
      <w:r>
        <w:t xml:space="preserve">its </w:t>
      </w:r>
      <w:r>
        <w:rPr>
          <w:spacing w:val="-1"/>
        </w:rPr>
        <w:t>response</w:t>
      </w:r>
      <w:r>
        <w:t xml:space="preserve"> to</w:t>
      </w:r>
      <w:r>
        <w:rPr>
          <w:spacing w:val="-1"/>
        </w:rPr>
        <w:t xml:space="preserve"> </w:t>
      </w:r>
      <w:r>
        <w:t xml:space="preserve">the </w:t>
      </w:r>
      <w:r>
        <w:rPr>
          <w:spacing w:val="-4"/>
        </w:rPr>
        <w:t>Panel’s</w:t>
      </w:r>
      <w:r>
        <w:rPr>
          <w:spacing w:val="51"/>
        </w:rPr>
        <w:t xml:space="preserve"> </w:t>
      </w:r>
      <w:r>
        <w:rPr>
          <w:rFonts w:cs="Avenir Next"/>
          <w:spacing w:val="-1"/>
        </w:rPr>
        <w:t>request</w:t>
      </w:r>
      <w:r>
        <w:rPr>
          <w:rFonts w:cs="Avenir Next"/>
        </w:rPr>
        <w:t xml:space="preserve"> for </w:t>
      </w:r>
      <w:r>
        <w:rPr>
          <w:rFonts w:cs="Avenir Next"/>
          <w:spacing w:val="-1"/>
        </w:rPr>
        <w:t>further</w:t>
      </w:r>
      <w:r>
        <w:rPr>
          <w:rFonts w:cs="Avenir Next"/>
        </w:rPr>
        <w:t xml:space="preserve"> </w:t>
      </w:r>
      <w:r>
        <w:rPr>
          <w:rFonts w:cs="Avenir Next"/>
          <w:spacing w:val="-1"/>
        </w:rPr>
        <w:t>information</w:t>
      </w:r>
      <w:r>
        <w:rPr>
          <w:rFonts w:cs="Avenir Next"/>
        </w:rPr>
        <w:t xml:space="preserve"> on its </w:t>
      </w:r>
      <w:r>
        <w:rPr>
          <w:rFonts w:cs="Avenir Next"/>
          <w:spacing w:val="-1"/>
        </w:rPr>
        <w:t>forecast</w:t>
      </w:r>
      <w:r>
        <w:rPr>
          <w:rFonts w:cs="Avenir Next"/>
        </w:rPr>
        <w:t xml:space="preserve"> demand,</w:t>
      </w:r>
      <w:r>
        <w:rPr>
          <w:rFonts w:cs="Avenir Next"/>
          <w:spacing w:val="-10"/>
        </w:rPr>
        <w:t xml:space="preserve"> </w:t>
      </w:r>
      <w:r>
        <w:rPr>
          <w:rFonts w:cs="Avenir Next"/>
          <w:spacing w:val="-2"/>
        </w:rPr>
        <w:t>ACTEW</w:t>
      </w:r>
      <w:r>
        <w:rPr>
          <w:rFonts w:cs="Avenir Next"/>
          <w:spacing w:val="-3"/>
        </w:rPr>
        <w:t xml:space="preserve"> </w:t>
      </w:r>
      <w:r>
        <w:rPr>
          <w:rFonts w:cs="Avenir Next"/>
          <w:spacing w:val="-1"/>
        </w:rPr>
        <w:t>provided</w:t>
      </w:r>
      <w:r>
        <w:rPr>
          <w:rFonts w:cs="Avenir Next"/>
        </w:rPr>
        <w:t xml:space="preserve"> </w:t>
      </w:r>
      <w:r>
        <w:rPr>
          <w:rFonts w:cs="Avenir Next"/>
          <w:spacing w:val="-1"/>
        </w:rPr>
        <w:t>updated</w:t>
      </w:r>
      <w:r>
        <w:rPr>
          <w:rFonts w:cs="Avenir Next"/>
        </w:rPr>
        <w:t xml:space="preserve"> historical </w:t>
      </w:r>
      <w:r>
        <w:rPr>
          <w:rFonts w:cs="Avenir Next"/>
          <w:spacing w:val="-1"/>
        </w:rPr>
        <w:t>estimates</w:t>
      </w:r>
      <w:r>
        <w:rPr>
          <w:rFonts w:cs="Avenir Next"/>
          <w:spacing w:val="77"/>
        </w:rPr>
        <w:t xml:space="preserve"> </w:t>
      </w:r>
      <w:r>
        <w:t>of</w:t>
      </w:r>
      <w:r>
        <w:rPr>
          <w:spacing w:val="4"/>
        </w:rPr>
        <w:t xml:space="preserve"> </w:t>
      </w:r>
      <w:r>
        <w:t>the number of</w:t>
      </w:r>
      <w:r>
        <w:rPr>
          <w:spacing w:val="4"/>
        </w:rPr>
        <w:t xml:space="preserve"> </w:t>
      </w:r>
      <w:r>
        <w:rPr>
          <w:spacing w:val="-1"/>
        </w:rPr>
        <w:t>water</w:t>
      </w:r>
      <w:r>
        <w:t xml:space="preserve"> and </w:t>
      </w:r>
      <w:r>
        <w:rPr>
          <w:spacing w:val="-1"/>
        </w:rPr>
        <w:t>sewerage</w:t>
      </w:r>
      <w:r>
        <w:t xml:space="preserve"> supply </w:t>
      </w:r>
      <w:r>
        <w:rPr>
          <w:spacing w:val="-1"/>
        </w:rPr>
        <w:t>charges</w:t>
      </w:r>
      <w:r>
        <w:t xml:space="preserve"> between 2008-09 to 2013-14,</w:t>
      </w:r>
      <w:r>
        <w:rPr>
          <w:spacing w:val="-7"/>
        </w:rPr>
        <w:t xml:space="preserve"> </w:t>
      </w:r>
      <w:r>
        <w:t>and of</w:t>
      </w:r>
      <w:r>
        <w:rPr>
          <w:spacing w:val="4"/>
        </w:rPr>
        <w:t xml:space="preserve"> </w:t>
      </w:r>
      <w:r>
        <w:t>the number</w:t>
      </w:r>
      <w:r>
        <w:rPr>
          <w:spacing w:val="23"/>
        </w:rPr>
        <w:t xml:space="preserve"> </w:t>
      </w:r>
      <w:r>
        <w:t>of</w:t>
      </w:r>
      <w:r>
        <w:rPr>
          <w:spacing w:val="3"/>
        </w:rPr>
        <w:t xml:space="preserve"> </w:t>
      </w:r>
      <w:r>
        <w:rPr>
          <w:spacing w:val="-1"/>
        </w:rPr>
        <w:t>fixture charges</w:t>
      </w:r>
      <w:r>
        <w:t xml:space="preserve"> in</w:t>
      </w:r>
      <w:r>
        <w:rPr>
          <w:spacing w:val="-1"/>
        </w:rPr>
        <w:t xml:space="preserve"> </w:t>
      </w:r>
      <w:r>
        <w:t>2012-13 and</w:t>
      </w:r>
      <w:r>
        <w:rPr>
          <w:spacing w:val="-1"/>
        </w:rPr>
        <w:t xml:space="preserve"> </w:t>
      </w:r>
      <w:r>
        <w:t>2013-14 (see</w:t>
      </w:r>
      <w:r>
        <w:rPr>
          <w:spacing w:val="-6"/>
        </w:rPr>
        <w:t xml:space="preserve"> </w:t>
      </w:r>
      <w:hyperlink w:anchor="_bookmark109" w:history="1">
        <w:r>
          <w:rPr>
            <w:spacing w:val="-4"/>
          </w:rPr>
          <w:t>Table</w:t>
        </w:r>
        <w:r>
          <w:t xml:space="preserve"> 12.6</w:t>
        </w:r>
      </w:hyperlink>
      <w:r>
        <w:t>).</w:t>
      </w:r>
    </w:p>
    <w:p w:rsidR="00D96B91" w:rsidRDefault="00C2656B">
      <w:pPr>
        <w:pStyle w:val="BodyText"/>
        <w:spacing w:before="170" w:line="260" w:lineRule="exact"/>
        <w:ind w:right="1455"/>
      </w:pPr>
      <w:r>
        <w:rPr>
          <w:rFonts w:cs="Avenir Next"/>
          <w:spacing w:val="-2"/>
        </w:rPr>
        <w:t>ACTEW</w:t>
      </w:r>
      <w:r>
        <w:rPr>
          <w:rFonts w:cs="Avenir Next"/>
          <w:spacing w:val="-3"/>
        </w:rPr>
        <w:t xml:space="preserve"> </w:t>
      </w:r>
      <w:r>
        <w:rPr>
          <w:rFonts w:cs="Avenir Next"/>
        </w:rPr>
        <w:t xml:space="preserve">noted </w:t>
      </w:r>
      <w:r>
        <w:rPr>
          <w:rFonts w:cs="Avenir Next"/>
          <w:spacing w:val="-1"/>
        </w:rPr>
        <w:t>that</w:t>
      </w:r>
      <w:r>
        <w:rPr>
          <w:rFonts w:cs="Avenir Next"/>
        </w:rPr>
        <w:t xml:space="preserve"> this </w:t>
      </w:r>
      <w:r>
        <w:rPr>
          <w:rFonts w:cs="Avenir Next"/>
          <w:spacing w:val="-1"/>
        </w:rPr>
        <w:t>updated</w:t>
      </w:r>
      <w:r>
        <w:rPr>
          <w:rFonts w:cs="Avenir Next"/>
        </w:rPr>
        <w:t xml:space="preserve"> </w:t>
      </w:r>
      <w:r>
        <w:rPr>
          <w:rFonts w:cs="Avenir Next"/>
          <w:spacing w:val="-1"/>
        </w:rPr>
        <w:t>data</w:t>
      </w:r>
      <w:r>
        <w:rPr>
          <w:rFonts w:cs="Avenir Next"/>
        </w:rPr>
        <w:t xml:space="preserve"> </w:t>
      </w:r>
      <w:r>
        <w:rPr>
          <w:rFonts w:cs="Avenir Next"/>
          <w:spacing w:val="-1"/>
        </w:rPr>
        <w:t>differed</w:t>
      </w:r>
      <w:r>
        <w:rPr>
          <w:rFonts w:cs="Avenir Next"/>
        </w:rPr>
        <w:t xml:space="preserve"> </w:t>
      </w:r>
      <w:r>
        <w:rPr>
          <w:rFonts w:cs="Avenir Next"/>
          <w:spacing w:val="-1"/>
        </w:rPr>
        <w:t>from</w:t>
      </w:r>
      <w:r>
        <w:rPr>
          <w:rFonts w:cs="Avenir Next"/>
        </w:rPr>
        <w:t xml:space="preserve"> the historical </w:t>
      </w:r>
      <w:r>
        <w:rPr>
          <w:rFonts w:cs="Avenir Next"/>
          <w:spacing w:val="-1"/>
        </w:rPr>
        <w:t>information</w:t>
      </w:r>
      <w:r>
        <w:rPr>
          <w:rFonts w:cs="Avenir Next"/>
        </w:rPr>
        <w:t xml:space="preserve"> it </w:t>
      </w:r>
      <w:r>
        <w:rPr>
          <w:rFonts w:cs="Avenir Next"/>
          <w:spacing w:val="-1"/>
        </w:rPr>
        <w:t>provided</w:t>
      </w:r>
      <w:r>
        <w:rPr>
          <w:rFonts w:cs="Avenir Next"/>
        </w:rPr>
        <w:t xml:space="preserve"> to the ICRC</w:t>
      </w:r>
      <w:r>
        <w:rPr>
          <w:rFonts w:cs="Avenir Next"/>
          <w:spacing w:val="47"/>
        </w:rPr>
        <w:t xml:space="preserve"> </w:t>
      </w:r>
      <w:r>
        <w:t xml:space="preserve">for the original price </w:t>
      </w:r>
      <w:r>
        <w:rPr>
          <w:spacing w:val="-1"/>
        </w:rPr>
        <w:t>direction</w:t>
      </w:r>
      <w:r>
        <w:t xml:space="preserve"> </w:t>
      </w:r>
      <w:r>
        <w:rPr>
          <w:spacing w:val="-3"/>
        </w:rPr>
        <w:t>“due</w:t>
      </w:r>
      <w:r>
        <w:t xml:space="preserve"> to the </w:t>
      </w:r>
      <w:r>
        <w:rPr>
          <w:spacing w:val="-1"/>
        </w:rPr>
        <w:t>correction</w:t>
      </w:r>
      <w:r>
        <w:t xml:space="preserve"> of</w:t>
      </w:r>
      <w:r>
        <w:rPr>
          <w:spacing w:val="4"/>
        </w:rPr>
        <w:t xml:space="preserve"> </w:t>
      </w:r>
      <w:r>
        <w:rPr>
          <w:spacing w:val="-1"/>
        </w:rPr>
        <w:t>errors</w:t>
      </w:r>
      <w:r>
        <w:t xml:space="preserve"> used to derive </w:t>
      </w:r>
      <w:r>
        <w:rPr>
          <w:spacing w:val="-1"/>
        </w:rPr>
        <w:t>estimates</w:t>
      </w:r>
      <w:r>
        <w:t xml:space="preserve"> </w:t>
      </w:r>
      <w:r>
        <w:rPr>
          <w:spacing w:val="-1"/>
        </w:rPr>
        <w:t>from</w:t>
      </w:r>
      <w:r>
        <w:rPr>
          <w:spacing w:val="-4"/>
        </w:rPr>
        <w:t xml:space="preserve"> </w:t>
      </w:r>
      <w:r>
        <w:rPr>
          <w:spacing w:val="-2"/>
        </w:rPr>
        <w:t>ACTEW’s</w:t>
      </w:r>
      <w:r>
        <w:rPr>
          <w:spacing w:val="47"/>
        </w:rPr>
        <w:t xml:space="preserve"> </w:t>
      </w:r>
      <w:r>
        <w:t>consumer count</w:t>
      </w:r>
      <w:r>
        <w:rPr>
          <w:spacing w:val="1"/>
        </w:rPr>
        <w:t xml:space="preserve"> </w:t>
      </w:r>
      <w:r>
        <w:rPr>
          <w:spacing w:val="-4"/>
        </w:rPr>
        <w:t>data”.</w:t>
      </w:r>
      <w:r>
        <w:rPr>
          <w:spacing w:val="-4"/>
          <w:position w:val="7"/>
          <w:sz w:val="11"/>
          <w:szCs w:val="11"/>
        </w:rPr>
        <w:t>219</w:t>
      </w:r>
      <w:r>
        <w:rPr>
          <w:spacing w:val="19"/>
          <w:position w:val="7"/>
          <w:sz w:val="11"/>
          <w:szCs w:val="11"/>
        </w:rPr>
        <w:t xml:space="preserve"> </w:t>
      </w:r>
      <w:r>
        <w:rPr>
          <w:rFonts w:cs="Avenir Next"/>
          <w:spacing w:val="-2"/>
        </w:rPr>
        <w:t>The</w:t>
      </w:r>
      <w:r>
        <w:rPr>
          <w:rFonts w:cs="Avenir Next"/>
          <w:spacing w:val="1"/>
        </w:rPr>
        <w:t xml:space="preserve"> </w:t>
      </w:r>
      <w:r>
        <w:rPr>
          <w:rFonts w:cs="Avenir Next"/>
          <w:spacing w:val="-1"/>
        </w:rPr>
        <w:t>estimated</w:t>
      </w:r>
      <w:r>
        <w:rPr>
          <w:rFonts w:cs="Avenir Next"/>
          <w:spacing w:val="1"/>
        </w:rPr>
        <w:t xml:space="preserve"> </w:t>
      </w:r>
      <w:r>
        <w:rPr>
          <w:rFonts w:cs="Avenir Next"/>
        </w:rPr>
        <w:t>numbers</w:t>
      </w:r>
      <w:r>
        <w:rPr>
          <w:rFonts w:cs="Avenir Next"/>
          <w:spacing w:val="1"/>
        </w:rPr>
        <w:t xml:space="preserve"> </w:t>
      </w:r>
      <w:r>
        <w:rPr>
          <w:rFonts w:cs="Avenir Next"/>
        </w:rPr>
        <w:t>of</w:t>
      </w:r>
      <w:r>
        <w:rPr>
          <w:rFonts w:cs="Avenir Next"/>
          <w:spacing w:val="5"/>
        </w:rPr>
        <w:t xml:space="preserve"> </w:t>
      </w:r>
      <w:r>
        <w:rPr>
          <w:rFonts w:cs="Avenir Next"/>
          <w:spacing w:val="-1"/>
        </w:rPr>
        <w:t>sewerage</w:t>
      </w:r>
      <w:r>
        <w:rPr>
          <w:rFonts w:cs="Avenir Next"/>
          <w:spacing w:val="1"/>
        </w:rPr>
        <w:t xml:space="preserve"> </w:t>
      </w:r>
      <w:r>
        <w:rPr>
          <w:rFonts w:cs="Avenir Next"/>
        </w:rPr>
        <w:t>supply</w:t>
      </w:r>
      <w:r>
        <w:rPr>
          <w:rFonts w:cs="Avenir Next"/>
          <w:spacing w:val="1"/>
        </w:rPr>
        <w:t xml:space="preserve"> </w:t>
      </w:r>
      <w:r>
        <w:rPr>
          <w:rFonts w:cs="Avenir Next"/>
          <w:spacing w:val="-1"/>
        </w:rPr>
        <w:t>charges,</w:t>
      </w:r>
      <w:r>
        <w:rPr>
          <w:rFonts w:cs="Avenir Next"/>
          <w:spacing w:val="-5"/>
        </w:rPr>
        <w:t xml:space="preserve"> </w:t>
      </w:r>
      <w:r>
        <w:rPr>
          <w:rFonts w:cs="Avenir Next"/>
        </w:rPr>
        <w:t>in</w:t>
      </w:r>
      <w:r>
        <w:rPr>
          <w:rFonts w:cs="Avenir Next"/>
          <w:spacing w:val="1"/>
        </w:rPr>
        <w:t xml:space="preserve"> </w:t>
      </w:r>
      <w:r>
        <w:rPr>
          <w:rFonts w:cs="Avenir Next"/>
          <w:spacing w:val="-2"/>
        </w:rPr>
        <w:t>particular,</w:t>
      </w:r>
      <w:r>
        <w:rPr>
          <w:rFonts w:cs="Avenir Next"/>
          <w:spacing w:val="-5"/>
        </w:rPr>
        <w:t xml:space="preserve"> </w:t>
      </w:r>
      <w:r>
        <w:rPr>
          <w:rFonts w:cs="Avenir Next"/>
          <w:spacing w:val="-2"/>
        </w:rPr>
        <w:t>are</w:t>
      </w:r>
      <w:r>
        <w:rPr>
          <w:rFonts w:cs="Avenir Next"/>
          <w:spacing w:val="69"/>
        </w:rPr>
        <w:t xml:space="preserve"> </w:t>
      </w:r>
      <w:r>
        <w:t xml:space="preserve">substantially higher than those </w:t>
      </w:r>
      <w:r>
        <w:rPr>
          <w:spacing w:val="-1"/>
        </w:rPr>
        <w:t>previously</w:t>
      </w:r>
      <w:r>
        <w:t xml:space="preserve"> </w:t>
      </w:r>
      <w:r>
        <w:rPr>
          <w:spacing w:val="-1"/>
        </w:rPr>
        <w:t>provided</w:t>
      </w:r>
      <w:r>
        <w:t xml:space="preserve"> to the ICRC.</w:t>
      </w:r>
    </w:p>
    <w:p w:rsidR="00D96B91" w:rsidRDefault="00C2656B">
      <w:pPr>
        <w:spacing w:before="158"/>
        <w:ind w:left="1247"/>
        <w:rPr>
          <w:rFonts w:ascii="Avenir Next" w:eastAsia="Avenir Next" w:hAnsi="Avenir Next" w:cs="Avenir Next"/>
          <w:sz w:val="20"/>
          <w:szCs w:val="20"/>
        </w:rPr>
      </w:pPr>
      <w:bookmarkStart w:id="171" w:name="_bookmark109"/>
      <w:bookmarkEnd w:id="171"/>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12.6:</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Revised</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and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supply and </w:t>
      </w:r>
      <w:r>
        <w:rPr>
          <w:rFonts w:ascii="Avenir Next" w:eastAsia="Avenir Next" w:hAnsi="Avenir Next" w:cs="Avenir Next"/>
          <w:b/>
          <w:bCs/>
          <w:spacing w:val="-1"/>
          <w:sz w:val="20"/>
          <w:szCs w:val="20"/>
        </w:rPr>
        <w:t>fixture</w:t>
      </w:r>
      <w:r>
        <w:rPr>
          <w:rFonts w:ascii="Avenir Next" w:eastAsia="Avenir Next" w:hAnsi="Avenir Next" w:cs="Avenir Next"/>
          <w:b/>
          <w:bCs/>
          <w:sz w:val="20"/>
          <w:szCs w:val="20"/>
        </w:rPr>
        <w:t xml:space="preserve"> numbers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611"/>
        <w:gridCol w:w="1298"/>
        <w:gridCol w:w="1298"/>
        <w:gridCol w:w="1298"/>
        <w:gridCol w:w="1298"/>
        <w:gridCol w:w="1298"/>
        <w:gridCol w:w="1298"/>
      </w:tblGrid>
      <w:tr w:rsidR="00D96B91">
        <w:trPr>
          <w:trHeight w:hRule="exact" w:val="350"/>
        </w:trPr>
        <w:tc>
          <w:tcPr>
            <w:tcW w:w="161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2008-09</w:t>
            </w:r>
          </w:p>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2009-10</w:t>
            </w:r>
          </w:p>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2010-11</w:t>
            </w:r>
          </w:p>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2011-12</w:t>
            </w:r>
          </w:p>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2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352"/>
              <w:rPr>
                <w:rFonts w:ascii="Avenir Next Condensed" w:eastAsia="Avenir Next Condensed" w:hAnsi="Avenir Next Condensed" w:cs="Avenir Next Condensed"/>
                <w:sz w:val="18"/>
                <w:szCs w:val="18"/>
              </w:rPr>
            </w:pPr>
            <w:r>
              <w:rPr>
                <w:rFonts w:ascii="Avenir Next Condensed"/>
                <w:b/>
                <w:color w:val="FFFFFF"/>
                <w:sz w:val="18"/>
              </w:rPr>
              <w:t>2013-14</w:t>
            </w:r>
          </w:p>
        </w:tc>
      </w:tr>
      <w:tr w:rsidR="00D96B91">
        <w:trPr>
          <w:trHeight w:hRule="exact" w:val="350"/>
        </w:trPr>
        <w:tc>
          <w:tcPr>
            <w:tcW w:w="161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Water</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144,165</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146,853</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149,794</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153,256</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158,258</w:t>
            </w:r>
          </w:p>
        </w:tc>
        <w:tc>
          <w:tcPr>
            <w:tcW w:w="12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162,951</w:t>
            </w:r>
          </w:p>
        </w:tc>
      </w:tr>
      <w:tr w:rsidR="00D96B91">
        <w:trPr>
          <w:trHeight w:hRule="exact" w:val="350"/>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Sewerage</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143,707</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146,397</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149,406</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152,870</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157,922</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49"/>
              <w:rPr>
                <w:rFonts w:ascii="Avenir Next Condensed" w:eastAsia="Avenir Next Condensed" w:hAnsi="Avenir Next Condensed" w:cs="Avenir Next Condensed"/>
                <w:sz w:val="18"/>
                <w:szCs w:val="18"/>
              </w:rPr>
            </w:pPr>
            <w:r>
              <w:rPr>
                <w:rFonts w:ascii="Avenir Next Condensed"/>
                <w:sz w:val="18"/>
              </w:rPr>
              <w:t>162,609</w:t>
            </w:r>
          </w:p>
        </w:tc>
      </w:tr>
      <w:tr w:rsidR="00D96B91">
        <w:trPr>
          <w:trHeight w:hRule="exact" w:val="350"/>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7"/>
              <w:rPr>
                <w:rFonts w:ascii="Avenir Next Condensed" w:eastAsia="Avenir Next Condensed" w:hAnsi="Avenir Next Condensed" w:cs="Avenir Next Condensed"/>
                <w:sz w:val="18"/>
                <w:szCs w:val="18"/>
              </w:rPr>
            </w:pPr>
            <w:r>
              <w:rPr>
                <w:rFonts w:ascii="Avenir Next Condensed"/>
                <w:sz w:val="18"/>
              </w:rPr>
              <w:t xml:space="preserve">Billable </w:t>
            </w:r>
            <w:r>
              <w:rPr>
                <w:rFonts w:ascii="Avenir Next Condensed"/>
                <w:spacing w:val="-1"/>
                <w:sz w:val="18"/>
              </w:rPr>
              <w:t>Fixtures</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54,073</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56,788</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58,324</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59,250</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59,726</w:t>
            </w:r>
          </w:p>
        </w:tc>
        <w:tc>
          <w:tcPr>
            <w:tcW w:w="12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33"/>
              <w:rPr>
                <w:rFonts w:ascii="Avenir Next Condensed" w:eastAsia="Avenir Next Condensed" w:hAnsi="Avenir Next Condensed" w:cs="Avenir Next Condensed"/>
                <w:sz w:val="18"/>
                <w:szCs w:val="18"/>
              </w:rPr>
            </w:pPr>
            <w:r>
              <w:rPr>
                <w:rFonts w:ascii="Avenir Next Condensed"/>
                <w:sz w:val="18"/>
              </w:rPr>
              <w:t>60,274</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714"/>
        <w:rPr>
          <w:rFonts w:ascii="Avenir Next" w:eastAsia="Avenir Next" w:hAnsi="Avenir Next" w:cs="Avenir Next"/>
          <w:sz w:val="16"/>
          <w:szCs w:val="16"/>
        </w:rPr>
      </w:pPr>
      <w:r>
        <w:rPr>
          <w:rFonts w:ascii="Avenir Next"/>
          <w:spacing w:val="-1"/>
          <w:sz w:val="16"/>
        </w:rPr>
        <w:t>Source:</w:t>
      </w:r>
      <w:r>
        <w:rPr>
          <w:rFonts w:ascii="Avenir Next"/>
          <w:spacing w:val="-4"/>
          <w:sz w:val="16"/>
        </w:rPr>
        <w:t xml:space="preserve"> </w:t>
      </w:r>
      <w:r>
        <w:rPr>
          <w:rFonts w:ascii="Avenir Next"/>
          <w:spacing w:val="-3"/>
          <w:sz w:val="16"/>
        </w:rPr>
        <w:t>ACTEW,</w:t>
      </w:r>
      <w:r>
        <w:rPr>
          <w:rFonts w:ascii="Avenir Next"/>
          <w:spacing w:val="-5"/>
          <w:sz w:val="16"/>
        </w:rPr>
        <w:t xml:space="preserve"> </w:t>
      </w:r>
      <w:r>
        <w:rPr>
          <w:rFonts w:ascii="Avenir Next"/>
          <w:spacing w:val="-1"/>
          <w:sz w:val="16"/>
        </w:rPr>
        <w:t>Information</w:t>
      </w:r>
      <w:r>
        <w:rPr>
          <w:rFonts w:ascii="Avenir Next"/>
          <w:sz w:val="16"/>
        </w:rPr>
        <w:t xml:space="preserve"> </w:t>
      </w:r>
      <w:r>
        <w:rPr>
          <w:rFonts w:ascii="Avenir Next"/>
          <w:spacing w:val="-1"/>
          <w:sz w:val="16"/>
        </w:rPr>
        <w:t>return:</w:t>
      </w:r>
      <w:r>
        <w:rPr>
          <w:rFonts w:ascii="Avenir Next"/>
          <w:sz w:val="16"/>
        </w:rPr>
        <w:t xml:space="preserve"> demand</w:t>
      </w:r>
      <w:r>
        <w:rPr>
          <w:rFonts w:ascii="Avenir Next"/>
          <w:spacing w:val="-1"/>
          <w:sz w:val="16"/>
        </w:rPr>
        <w:t xml:space="preserve"> forecasts,</w:t>
      </w:r>
      <w:r>
        <w:rPr>
          <w:rFonts w:ascii="Avenir Next"/>
          <w:spacing w:val="-5"/>
          <w:sz w:val="16"/>
        </w:rPr>
        <w:t xml:space="preserve"> </w:t>
      </w:r>
      <w:r>
        <w:rPr>
          <w:rFonts w:ascii="Avenir Next"/>
          <w:sz w:val="16"/>
        </w:rPr>
        <w:t>5</w:t>
      </w:r>
      <w:r>
        <w:rPr>
          <w:rFonts w:ascii="Avenir Next"/>
          <w:spacing w:val="-3"/>
          <w:sz w:val="16"/>
        </w:rPr>
        <w:t xml:space="preserve"> </w:t>
      </w:r>
      <w:r>
        <w:rPr>
          <w:rFonts w:ascii="Avenir Next"/>
          <w:sz w:val="16"/>
        </w:rPr>
        <w:t>August 2014.</w:t>
      </w:r>
      <w:r>
        <w:rPr>
          <w:rFonts w:ascii="Avenir Next"/>
          <w:spacing w:val="-6"/>
          <w:sz w:val="16"/>
        </w:rPr>
        <w:t xml:space="preserve"> </w:t>
      </w:r>
      <w:r>
        <w:rPr>
          <w:rFonts w:ascii="Avenir Next"/>
          <w:spacing w:val="-3"/>
          <w:sz w:val="16"/>
        </w:rPr>
        <w:t>For</w:t>
      </w:r>
      <w:r>
        <w:rPr>
          <w:rFonts w:ascii="Avenir Next"/>
          <w:sz w:val="16"/>
        </w:rPr>
        <w:t xml:space="preserve"> </w:t>
      </w:r>
      <w:r>
        <w:rPr>
          <w:rFonts w:ascii="Avenir Next"/>
          <w:spacing w:val="-1"/>
          <w:sz w:val="16"/>
        </w:rPr>
        <w:t>fixtures,</w:t>
      </w:r>
      <w:r>
        <w:rPr>
          <w:rFonts w:ascii="Avenir Next"/>
          <w:spacing w:val="-8"/>
          <w:sz w:val="16"/>
        </w:rPr>
        <w:t xml:space="preserve"> </w:t>
      </w:r>
      <w:r>
        <w:rPr>
          <w:rFonts w:ascii="Avenir Next"/>
          <w:spacing w:val="-1"/>
          <w:sz w:val="16"/>
        </w:rPr>
        <w:t>ACTEW</w:t>
      </w:r>
      <w:r>
        <w:rPr>
          <w:rFonts w:ascii="Avenir Next"/>
          <w:spacing w:val="-2"/>
          <w:sz w:val="16"/>
        </w:rPr>
        <w:t xml:space="preserve"> </w:t>
      </w:r>
      <w:r>
        <w:rPr>
          <w:rFonts w:ascii="Avenir Next"/>
          <w:spacing w:val="-1"/>
          <w:sz w:val="16"/>
        </w:rPr>
        <w:t>provided updated</w:t>
      </w:r>
      <w:r>
        <w:rPr>
          <w:rFonts w:ascii="Avenir Next"/>
          <w:sz w:val="16"/>
        </w:rPr>
        <w:t xml:space="preserve"> </w:t>
      </w:r>
      <w:r>
        <w:rPr>
          <w:rFonts w:ascii="Avenir Next"/>
          <w:spacing w:val="-1"/>
          <w:sz w:val="16"/>
        </w:rPr>
        <w:t>estimates</w:t>
      </w:r>
      <w:r>
        <w:rPr>
          <w:rFonts w:ascii="Avenir Next"/>
          <w:sz w:val="16"/>
        </w:rPr>
        <w:t xml:space="preserve"> for</w:t>
      </w:r>
      <w:r>
        <w:rPr>
          <w:rFonts w:ascii="Avenir Next"/>
          <w:spacing w:val="105"/>
          <w:sz w:val="16"/>
        </w:rPr>
        <w:t xml:space="preserve"> </w:t>
      </w:r>
      <w:r>
        <w:rPr>
          <w:rFonts w:ascii="Avenir Next"/>
          <w:sz w:val="16"/>
        </w:rPr>
        <w:t>2012-13</w:t>
      </w:r>
      <w:r>
        <w:rPr>
          <w:rFonts w:ascii="Avenir Next"/>
          <w:spacing w:val="-1"/>
          <w:sz w:val="16"/>
        </w:rPr>
        <w:t xml:space="preserve"> </w:t>
      </w:r>
      <w:r>
        <w:rPr>
          <w:rFonts w:ascii="Avenir Next"/>
          <w:sz w:val="16"/>
        </w:rPr>
        <w:t xml:space="preserve">and 2013-14 </w:t>
      </w:r>
      <w:r>
        <w:rPr>
          <w:rFonts w:ascii="Avenir Next"/>
          <w:spacing w:val="-2"/>
          <w:sz w:val="16"/>
        </w:rPr>
        <w:t>only.</w:t>
      </w:r>
      <w:r>
        <w:rPr>
          <w:rFonts w:ascii="Avenir Next"/>
          <w:spacing w:val="-9"/>
          <w:sz w:val="16"/>
        </w:rPr>
        <w:t xml:space="preserve"> </w:t>
      </w:r>
      <w:r>
        <w:rPr>
          <w:rFonts w:ascii="Avenir Next"/>
          <w:spacing w:val="-1"/>
          <w:sz w:val="16"/>
        </w:rPr>
        <w:t>The</w:t>
      </w:r>
      <w:r>
        <w:rPr>
          <w:rFonts w:ascii="Avenir Next"/>
          <w:sz w:val="16"/>
        </w:rPr>
        <w:t xml:space="preserve"> </w:t>
      </w:r>
      <w:r>
        <w:rPr>
          <w:rFonts w:ascii="Avenir Next"/>
          <w:spacing w:val="-1"/>
          <w:sz w:val="16"/>
        </w:rPr>
        <w:t>data</w:t>
      </w:r>
      <w:r>
        <w:rPr>
          <w:rFonts w:ascii="Avenir Next"/>
          <w:sz w:val="16"/>
        </w:rPr>
        <w:t xml:space="preserve"> for</w:t>
      </w:r>
      <w:r>
        <w:rPr>
          <w:rFonts w:ascii="Avenir Next"/>
          <w:spacing w:val="-1"/>
          <w:sz w:val="16"/>
        </w:rPr>
        <w:t xml:space="preserve"> </w:t>
      </w:r>
      <w:r>
        <w:rPr>
          <w:rFonts w:ascii="Avenir Next"/>
          <w:sz w:val="16"/>
        </w:rPr>
        <w:t xml:space="preserve">2008-09 to 2011-12 </w:t>
      </w:r>
      <w:r>
        <w:rPr>
          <w:rFonts w:ascii="Avenir Next"/>
          <w:spacing w:val="-1"/>
          <w:sz w:val="16"/>
        </w:rPr>
        <w:t>are</w:t>
      </w:r>
      <w:r>
        <w:rPr>
          <w:rFonts w:ascii="Avenir Next"/>
          <w:sz w:val="16"/>
        </w:rPr>
        <w:t xml:space="preserve"> those adopted</w:t>
      </w:r>
      <w:r>
        <w:rPr>
          <w:rFonts w:ascii="Avenir Next"/>
          <w:spacing w:val="-1"/>
          <w:sz w:val="16"/>
        </w:rPr>
        <w:t xml:space="preserve"> </w:t>
      </w:r>
      <w:r>
        <w:rPr>
          <w:rFonts w:ascii="Avenir Next"/>
          <w:sz w:val="16"/>
        </w:rPr>
        <w:t>by the ICRC in its final</w:t>
      </w:r>
      <w:r>
        <w:rPr>
          <w:rFonts w:ascii="Avenir Next"/>
          <w:spacing w:val="-1"/>
          <w:sz w:val="16"/>
        </w:rPr>
        <w:t xml:space="preserve"> </w:t>
      </w:r>
      <w:r>
        <w:rPr>
          <w:rFonts w:ascii="Avenir Next"/>
          <w:sz w:val="16"/>
        </w:rPr>
        <w:t>decision.</w:t>
      </w:r>
    </w:p>
    <w:p w:rsidR="00D96B91" w:rsidRDefault="00D96B91">
      <w:pPr>
        <w:rPr>
          <w:rFonts w:ascii="Avenir Next" w:eastAsia="Avenir Next" w:hAnsi="Avenir Next" w:cs="Avenir Next"/>
          <w:sz w:val="16"/>
          <w:szCs w:val="16"/>
        </w:rPr>
      </w:pPr>
    </w:p>
    <w:p w:rsidR="00D96B91" w:rsidRDefault="00D96B91">
      <w:pPr>
        <w:spacing w:before="6"/>
        <w:rPr>
          <w:rFonts w:ascii="Avenir Next" w:eastAsia="Avenir Next" w:hAnsi="Avenir Next" w:cs="Avenir Next"/>
          <w:sz w:val="16"/>
          <w:szCs w:val="16"/>
        </w:rPr>
      </w:pPr>
    </w:p>
    <w:p w:rsidR="00D96B91" w:rsidRDefault="00C2656B">
      <w:pPr>
        <w:pStyle w:val="Heading6"/>
        <w:numPr>
          <w:ilvl w:val="2"/>
          <w:numId w:val="36"/>
        </w:numPr>
        <w:tabs>
          <w:tab w:val="left" w:pos="2098"/>
        </w:tabs>
        <w:ind w:hanging="850"/>
      </w:pPr>
      <w:r>
        <w:rPr>
          <w:color w:val="0778BE"/>
          <w:spacing w:val="-4"/>
        </w:rPr>
        <w:t>Panel’s</w:t>
      </w:r>
      <w:r>
        <w:rPr>
          <w:color w:val="0778BE"/>
        </w:rPr>
        <w:t xml:space="preserve"> </w:t>
      </w:r>
      <w:r>
        <w:rPr>
          <w:color w:val="0778BE"/>
          <w:spacing w:val="-1"/>
        </w:rPr>
        <w:t>considerations</w:t>
      </w:r>
      <w:r>
        <w:rPr>
          <w:color w:val="0778BE"/>
        </w:rPr>
        <w:t xml:space="preserve"> and </w:t>
      </w:r>
      <w:r>
        <w:rPr>
          <w:color w:val="0778BE"/>
          <w:spacing w:val="-2"/>
        </w:rPr>
        <w:t>draft</w:t>
      </w:r>
      <w:r>
        <w:rPr>
          <w:color w:val="0778BE"/>
        </w:rPr>
        <w:t xml:space="preserve"> decision</w:t>
      </w:r>
    </w:p>
    <w:p w:rsidR="00D96B91" w:rsidRDefault="00C2656B">
      <w:pPr>
        <w:pStyle w:val="BodyText"/>
        <w:spacing w:before="21" w:line="260" w:lineRule="exact"/>
        <w:ind w:right="1256"/>
        <w:rPr>
          <w:rFonts w:cs="Avenir Next"/>
        </w:rPr>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 </w:t>
      </w:r>
      <w:r>
        <w:rPr>
          <w:rFonts w:cs="Avenir Next"/>
          <w:spacing w:val="-2"/>
        </w:rPr>
        <w:t>ICRC’s</w:t>
      </w:r>
      <w:r>
        <w:rPr>
          <w:rFonts w:cs="Avenir Next"/>
        </w:rPr>
        <w:t xml:space="preserve"> decision to use historic </w:t>
      </w:r>
      <w:r>
        <w:rPr>
          <w:rFonts w:cs="Avenir Next"/>
          <w:spacing w:val="-1"/>
        </w:rPr>
        <w:t>growth</w:t>
      </w:r>
      <w:r>
        <w:rPr>
          <w:rFonts w:cs="Avenir Next"/>
        </w:rPr>
        <w:t xml:space="preserve"> </w:t>
      </w:r>
      <w:r>
        <w:rPr>
          <w:rFonts w:cs="Avenir Next"/>
          <w:spacing w:val="-1"/>
        </w:rPr>
        <w:t>rates</w:t>
      </w:r>
      <w:r>
        <w:rPr>
          <w:rFonts w:cs="Avenir Next"/>
        </w:rPr>
        <w:t xml:space="preserve"> to derive </w:t>
      </w:r>
      <w:r>
        <w:rPr>
          <w:rFonts w:cs="Avenir Next"/>
          <w:spacing w:val="-1"/>
        </w:rPr>
        <w:t>forecast</w:t>
      </w:r>
      <w:r>
        <w:rPr>
          <w:rFonts w:cs="Avenir Next"/>
        </w:rPr>
        <w:t xml:space="preserve"> customer numbers</w:t>
      </w:r>
      <w:r>
        <w:rPr>
          <w:rFonts w:cs="Avenir Next"/>
          <w:spacing w:val="33"/>
        </w:rPr>
        <w:t xml:space="preserve"> </w:t>
      </w:r>
      <w:r>
        <w:t>and</w:t>
      </w:r>
      <w:r>
        <w:rPr>
          <w:spacing w:val="-1"/>
        </w:rPr>
        <w:t xml:space="preserve"> </w:t>
      </w:r>
      <w:r>
        <w:t xml:space="preserve">billable </w:t>
      </w:r>
      <w:r>
        <w:rPr>
          <w:spacing w:val="-1"/>
        </w:rPr>
        <w:t>fixture</w:t>
      </w:r>
      <w:r>
        <w:t xml:space="preserve"> numbers</w:t>
      </w:r>
      <w:r>
        <w:rPr>
          <w:spacing w:val="-1"/>
        </w:rPr>
        <w:t xml:space="preserve"> </w:t>
      </w:r>
      <w:r>
        <w:t xml:space="preserve">was </w:t>
      </w:r>
      <w:r>
        <w:rPr>
          <w:spacing w:val="-1"/>
        </w:rPr>
        <w:t>appropriate.</w:t>
      </w:r>
      <w:r>
        <w:rPr>
          <w:spacing w:val="-11"/>
        </w:rPr>
        <w:t xml:space="preserve"> </w:t>
      </w:r>
      <w:r>
        <w:rPr>
          <w:spacing w:val="-2"/>
        </w:rPr>
        <w:t>Therefore,</w:t>
      </w:r>
      <w:r>
        <w:rPr>
          <w:spacing w:val="-7"/>
        </w:rPr>
        <w:t xml:space="preserve"> </w:t>
      </w:r>
      <w:r>
        <w:t>it used a</w:t>
      </w:r>
      <w:r>
        <w:rPr>
          <w:spacing w:val="-1"/>
        </w:rPr>
        <w:t xml:space="preserve"> </w:t>
      </w:r>
      <w:r>
        <w:t xml:space="preserve">similar </w:t>
      </w:r>
      <w:r>
        <w:rPr>
          <w:spacing w:val="-1"/>
        </w:rPr>
        <w:t>approach</w:t>
      </w:r>
      <w:r>
        <w:t xml:space="preserve"> to</w:t>
      </w:r>
      <w:r>
        <w:rPr>
          <w:spacing w:val="-1"/>
        </w:rPr>
        <w:t xml:space="preserve"> </w:t>
      </w:r>
      <w:r>
        <w:t>derive these</w:t>
      </w:r>
      <w:r>
        <w:rPr>
          <w:spacing w:val="43"/>
        </w:rPr>
        <w:t xml:space="preserve"> </w:t>
      </w:r>
      <w:r>
        <w:rPr>
          <w:rFonts w:cs="Avenir Next"/>
          <w:spacing w:val="-1"/>
        </w:rPr>
        <w:t>forecasts</w:t>
      </w:r>
      <w:r>
        <w:rPr>
          <w:rFonts w:cs="Avenir Next"/>
        </w:rPr>
        <w:t xml:space="preserve"> for the </w:t>
      </w:r>
      <w:r>
        <w:rPr>
          <w:rFonts w:cs="Avenir Next"/>
          <w:spacing w:val="-1"/>
        </w:rPr>
        <w:t>remaining</w:t>
      </w:r>
      <w:r>
        <w:rPr>
          <w:rFonts w:cs="Avenir Next"/>
        </w:rPr>
        <w:t xml:space="preserve"> four </w:t>
      </w:r>
      <w:r>
        <w:rPr>
          <w:rFonts w:cs="Avenir Next"/>
          <w:spacing w:val="-1"/>
        </w:rPr>
        <w:t>years</w:t>
      </w:r>
      <w:r>
        <w:rPr>
          <w:rFonts w:cs="Avenir Next"/>
        </w:rPr>
        <w:t xml:space="preserve"> of</w:t>
      </w:r>
      <w:r>
        <w:rPr>
          <w:rFonts w:cs="Avenir Next"/>
          <w:spacing w:val="4"/>
        </w:rPr>
        <w:t xml:space="preserve"> </w:t>
      </w:r>
      <w:r>
        <w:rPr>
          <w:rFonts w:cs="Avenir Next"/>
        </w:rPr>
        <w:t xml:space="preserve">the </w:t>
      </w:r>
      <w:r>
        <w:rPr>
          <w:rFonts w:cs="Avenir Next"/>
          <w:spacing w:val="-1"/>
        </w:rPr>
        <w:t>regulatory</w:t>
      </w:r>
      <w:r>
        <w:rPr>
          <w:rFonts w:cs="Avenir Next"/>
        </w:rPr>
        <w:t xml:space="preserve"> period:</w:t>
      </w:r>
    </w:p>
    <w:p w:rsidR="00D96B91" w:rsidRDefault="00C2656B">
      <w:pPr>
        <w:pStyle w:val="BodyText"/>
        <w:numPr>
          <w:ilvl w:val="0"/>
          <w:numId w:val="131"/>
        </w:numPr>
        <w:tabs>
          <w:tab w:val="left" w:pos="1531"/>
        </w:tabs>
        <w:spacing w:before="170" w:line="260" w:lineRule="exact"/>
        <w:ind w:right="1402" w:hanging="283"/>
      </w:pPr>
      <w:r>
        <w:t xml:space="preserve">for </w:t>
      </w:r>
      <w:r>
        <w:rPr>
          <w:spacing w:val="-1"/>
        </w:rPr>
        <w:t>water</w:t>
      </w:r>
      <w:r>
        <w:t xml:space="preserve"> customer numbers,</w:t>
      </w:r>
      <w:r>
        <w:rPr>
          <w:spacing w:val="-7"/>
        </w:rPr>
        <w:t xml:space="preserve"> </w:t>
      </w:r>
      <w:r>
        <w:t xml:space="preserve">the </w:t>
      </w:r>
      <w:r>
        <w:rPr>
          <w:spacing w:val="-3"/>
        </w:rPr>
        <w:t>Panel</w:t>
      </w:r>
      <w:r>
        <w:t xml:space="preserve"> applied an annual </w:t>
      </w:r>
      <w:r>
        <w:rPr>
          <w:spacing w:val="-1"/>
        </w:rPr>
        <w:t>growth</w:t>
      </w:r>
      <w:r>
        <w:t xml:space="preserve"> </w:t>
      </w:r>
      <w:r>
        <w:rPr>
          <w:spacing w:val="-2"/>
        </w:rPr>
        <w:t>rate</w:t>
      </w:r>
      <w:r>
        <w:t xml:space="preserve"> of</w:t>
      </w:r>
      <w:r>
        <w:rPr>
          <w:spacing w:val="4"/>
        </w:rPr>
        <w:t xml:space="preserve"> </w:t>
      </w:r>
      <w:r>
        <w:t>2.48% to</w:t>
      </w:r>
      <w:r>
        <w:rPr>
          <w:spacing w:val="-4"/>
        </w:rPr>
        <w:t xml:space="preserve"> </w:t>
      </w:r>
      <w:r>
        <w:rPr>
          <w:spacing w:val="-2"/>
        </w:rPr>
        <w:t>ACTEW’s</w:t>
      </w:r>
      <w:r>
        <w:t xml:space="preserve"> </w:t>
      </w:r>
      <w:r>
        <w:rPr>
          <w:spacing w:val="-1"/>
        </w:rPr>
        <w:t>revised</w:t>
      </w:r>
      <w:r>
        <w:rPr>
          <w:spacing w:val="31"/>
        </w:rPr>
        <w:t xml:space="preserve"> </w:t>
      </w:r>
      <w:r>
        <w:rPr>
          <w:spacing w:val="-1"/>
        </w:rPr>
        <w:t>estimate</w:t>
      </w:r>
      <w:r>
        <w:t xml:space="preserve"> of</w:t>
      </w:r>
      <w:r>
        <w:rPr>
          <w:spacing w:val="4"/>
        </w:rPr>
        <w:t xml:space="preserve"> </w:t>
      </w:r>
      <w:r>
        <w:rPr>
          <w:spacing w:val="-1"/>
        </w:rPr>
        <w:t>water</w:t>
      </w:r>
      <w:r>
        <w:t xml:space="preserve"> supply </w:t>
      </w:r>
      <w:r>
        <w:rPr>
          <w:spacing w:val="-1"/>
        </w:rPr>
        <w:t>charges</w:t>
      </w:r>
      <w:r>
        <w:t xml:space="preserve"> in 2013-14</w:t>
      </w:r>
    </w:p>
    <w:p w:rsidR="00D96B91" w:rsidRDefault="00C2656B">
      <w:pPr>
        <w:pStyle w:val="BodyText"/>
        <w:numPr>
          <w:ilvl w:val="0"/>
          <w:numId w:val="131"/>
        </w:numPr>
        <w:tabs>
          <w:tab w:val="left" w:pos="1531"/>
        </w:tabs>
        <w:spacing w:before="85" w:line="260" w:lineRule="exact"/>
        <w:ind w:right="1745" w:hanging="283"/>
      </w:pPr>
      <w:r>
        <w:t xml:space="preserve">for </w:t>
      </w:r>
      <w:r>
        <w:rPr>
          <w:spacing w:val="-1"/>
        </w:rPr>
        <w:t>sewerage</w:t>
      </w:r>
      <w:r>
        <w:t xml:space="preserve"> customer numbers,</w:t>
      </w:r>
      <w:r>
        <w:rPr>
          <w:spacing w:val="-6"/>
        </w:rPr>
        <w:t xml:space="preserve"> </w:t>
      </w:r>
      <w:r>
        <w:t xml:space="preserve">it applied an annual </w:t>
      </w:r>
      <w:r>
        <w:rPr>
          <w:spacing w:val="-1"/>
        </w:rPr>
        <w:t>growth</w:t>
      </w:r>
      <w:r>
        <w:t xml:space="preserve"> </w:t>
      </w:r>
      <w:r>
        <w:rPr>
          <w:spacing w:val="-2"/>
        </w:rPr>
        <w:t>rate</w:t>
      </w:r>
      <w:r>
        <w:t xml:space="preserve"> of</w:t>
      </w:r>
      <w:r>
        <w:rPr>
          <w:spacing w:val="4"/>
        </w:rPr>
        <w:t xml:space="preserve"> </w:t>
      </w:r>
      <w:r>
        <w:t>2.50% to</w:t>
      </w:r>
      <w:r>
        <w:rPr>
          <w:spacing w:val="-4"/>
        </w:rPr>
        <w:t xml:space="preserve"> </w:t>
      </w:r>
      <w:r>
        <w:rPr>
          <w:spacing w:val="-2"/>
        </w:rPr>
        <w:t>ACTEW’s</w:t>
      </w:r>
      <w:r>
        <w:t xml:space="preserve"> </w:t>
      </w:r>
      <w:r>
        <w:rPr>
          <w:spacing w:val="-1"/>
        </w:rPr>
        <w:t>revised</w:t>
      </w:r>
      <w:r>
        <w:rPr>
          <w:spacing w:val="29"/>
        </w:rPr>
        <w:t xml:space="preserve"> </w:t>
      </w:r>
      <w:r>
        <w:rPr>
          <w:spacing w:val="-1"/>
        </w:rPr>
        <w:t>estimate</w:t>
      </w:r>
      <w:r>
        <w:t xml:space="preserve"> of</w:t>
      </w:r>
      <w:r>
        <w:rPr>
          <w:spacing w:val="4"/>
        </w:rPr>
        <w:t xml:space="preserve"> </w:t>
      </w:r>
      <w:r>
        <w:rPr>
          <w:spacing w:val="-1"/>
        </w:rPr>
        <w:t>sewerage</w:t>
      </w:r>
      <w:r>
        <w:t xml:space="preserve"> supply </w:t>
      </w:r>
      <w:r>
        <w:rPr>
          <w:spacing w:val="-1"/>
        </w:rPr>
        <w:t>charges</w:t>
      </w:r>
      <w:r>
        <w:t xml:space="preserve"> in 2013-14,</w:t>
      </w:r>
      <w:r>
        <w:rPr>
          <w:spacing w:val="-7"/>
        </w:rPr>
        <w:t xml:space="preserve"> </w:t>
      </w:r>
      <w:r>
        <w:t>and</w:t>
      </w:r>
    </w:p>
    <w:p w:rsidR="00D96B91" w:rsidRDefault="00C2656B">
      <w:pPr>
        <w:pStyle w:val="BodyText"/>
        <w:numPr>
          <w:ilvl w:val="0"/>
          <w:numId w:val="131"/>
        </w:numPr>
        <w:tabs>
          <w:tab w:val="left" w:pos="1531"/>
        </w:tabs>
        <w:spacing w:before="85" w:line="260" w:lineRule="exact"/>
        <w:ind w:right="1332" w:hanging="283"/>
      </w:pPr>
      <w:r>
        <w:t>for</w:t>
      </w:r>
      <w:r>
        <w:rPr>
          <w:spacing w:val="-1"/>
        </w:rPr>
        <w:t xml:space="preserve"> </w:t>
      </w:r>
      <w:r>
        <w:t xml:space="preserve">billable </w:t>
      </w:r>
      <w:r>
        <w:rPr>
          <w:spacing w:val="-1"/>
        </w:rPr>
        <w:t>fixtures</w:t>
      </w:r>
      <w:r>
        <w:t xml:space="preserve"> numbers,</w:t>
      </w:r>
      <w:r>
        <w:rPr>
          <w:spacing w:val="-7"/>
        </w:rPr>
        <w:t xml:space="preserve"> </w:t>
      </w:r>
      <w:r>
        <w:t>it applied an</w:t>
      </w:r>
      <w:r>
        <w:rPr>
          <w:spacing w:val="-1"/>
        </w:rPr>
        <w:t xml:space="preserve"> </w:t>
      </w:r>
      <w:r>
        <w:t xml:space="preserve">annual </w:t>
      </w:r>
      <w:r>
        <w:rPr>
          <w:spacing w:val="-1"/>
        </w:rPr>
        <w:t>growth</w:t>
      </w:r>
      <w:r>
        <w:t xml:space="preserve"> </w:t>
      </w:r>
      <w:r>
        <w:rPr>
          <w:spacing w:val="-2"/>
        </w:rPr>
        <w:t>rate</w:t>
      </w:r>
      <w:r>
        <w:rPr>
          <w:spacing w:val="-1"/>
        </w:rPr>
        <w:t xml:space="preserve"> </w:t>
      </w:r>
      <w:r>
        <w:t>of</w:t>
      </w:r>
      <w:r>
        <w:rPr>
          <w:spacing w:val="4"/>
        </w:rPr>
        <w:t xml:space="preserve"> </w:t>
      </w:r>
      <w:r>
        <w:t>2.20% to</w:t>
      </w:r>
      <w:r>
        <w:rPr>
          <w:spacing w:val="-4"/>
        </w:rPr>
        <w:t xml:space="preserve"> </w:t>
      </w:r>
      <w:r>
        <w:rPr>
          <w:spacing w:val="-2"/>
        </w:rPr>
        <w:t>ACTEW’s</w:t>
      </w:r>
      <w:r>
        <w:rPr>
          <w:spacing w:val="-1"/>
        </w:rPr>
        <w:t xml:space="preserve"> revised</w:t>
      </w:r>
      <w:r>
        <w:t xml:space="preserve"> </w:t>
      </w:r>
      <w:r>
        <w:rPr>
          <w:spacing w:val="-1"/>
        </w:rPr>
        <w:t>estimate</w:t>
      </w:r>
      <w:r>
        <w:rPr>
          <w:spacing w:val="39"/>
        </w:rPr>
        <w:t xml:space="preserve"> </w:t>
      </w:r>
      <w:r>
        <w:t>of</w:t>
      </w:r>
      <w:r>
        <w:rPr>
          <w:spacing w:val="2"/>
        </w:rPr>
        <w:t xml:space="preserve"> </w:t>
      </w:r>
      <w:r>
        <w:rPr>
          <w:spacing w:val="-1"/>
        </w:rPr>
        <w:t xml:space="preserve">fixtures charges </w:t>
      </w:r>
      <w:r>
        <w:t>in</w:t>
      </w:r>
      <w:r>
        <w:rPr>
          <w:spacing w:val="-1"/>
        </w:rPr>
        <w:t xml:space="preserve"> </w:t>
      </w:r>
      <w:r>
        <w:t>2013-14.</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48"/>
        <w:rPr>
          <w:sz w:val="11"/>
          <w:szCs w:val="11"/>
        </w:rPr>
      </w:pPr>
      <w:r>
        <w:rPr>
          <w:spacing w:val="-1"/>
        </w:rPr>
        <w:t xml:space="preserve">These </w:t>
      </w:r>
      <w:r>
        <w:t xml:space="preserve">annual </w:t>
      </w:r>
      <w:r>
        <w:rPr>
          <w:spacing w:val="-1"/>
        </w:rPr>
        <w:t>growth rates</w:t>
      </w:r>
      <w:r>
        <w:t xml:space="preserve"> </w:t>
      </w:r>
      <w:r>
        <w:rPr>
          <w:spacing w:val="-1"/>
        </w:rPr>
        <w:t>reflect</w:t>
      </w:r>
      <w:r>
        <w:t xml:space="preserve"> the</w:t>
      </w:r>
      <w:r>
        <w:rPr>
          <w:spacing w:val="-1"/>
        </w:rPr>
        <w:t xml:space="preserve"> average</w:t>
      </w:r>
      <w:r>
        <w:t xml:space="preserve"> annual</w:t>
      </w:r>
      <w:r>
        <w:rPr>
          <w:spacing w:val="-1"/>
        </w:rPr>
        <w:t xml:space="preserve"> growth</w:t>
      </w:r>
      <w:r>
        <w:t xml:space="preserve"> </w:t>
      </w:r>
      <w:r>
        <w:rPr>
          <w:spacing w:val="-1"/>
        </w:rPr>
        <w:t>rates</w:t>
      </w:r>
      <w:r>
        <w:t xml:space="preserve"> implied</w:t>
      </w:r>
      <w:r>
        <w:rPr>
          <w:spacing w:val="-1"/>
        </w:rPr>
        <w:t xml:space="preserve"> </w:t>
      </w:r>
      <w:r>
        <w:t>by</w:t>
      </w:r>
      <w:r>
        <w:rPr>
          <w:spacing w:val="-4"/>
        </w:rPr>
        <w:t xml:space="preserve"> </w:t>
      </w:r>
      <w:r>
        <w:rPr>
          <w:spacing w:val="-2"/>
        </w:rPr>
        <w:t>ACTEW’s</w:t>
      </w:r>
      <w:r>
        <w:t xml:space="preserve"> </w:t>
      </w:r>
      <w:r>
        <w:rPr>
          <w:spacing w:val="-1"/>
        </w:rPr>
        <w:t>revised</w:t>
      </w:r>
      <w:r>
        <w:rPr>
          <w:spacing w:val="33"/>
        </w:rPr>
        <w:t xml:space="preserve"> </w:t>
      </w:r>
      <w:r>
        <w:rPr>
          <w:spacing w:val="-1"/>
        </w:rPr>
        <w:t>estimates</w:t>
      </w:r>
      <w:r>
        <w:rPr>
          <w:spacing w:val="2"/>
        </w:rPr>
        <w:t xml:space="preserve"> </w:t>
      </w:r>
      <w:r>
        <w:t>for</w:t>
      </w:r>
      <w:r>
        <w:rPr>
          <w:spacing w:val="2"/>
        </w:rPr>
        <w:t xml:space="preserve"> </w:t>
      </w:r>
      <w:r>
        <w:t>the</w:t>
      </w:r>
      <w:r>
        <w:rPr>
          <w:spacing w:val="2"/>
        </w:rPr>
        <w:t xml:space="preserve"> </w:t>
      </w:r>
      <w:r>
        <w:t>most</w:t>
      </w:r>
      <w:r>
        <w:rPr>
          <w:spacing w:val="2"/>
        </w:rPr>
        <w:t xml:space="preserve"> </w:t>
      </w:r>
      <w:r>
        <w:rPr>
          <w:spacing w:val="-1"/>
        </w:rPr>
        <w:t>recent</w:t>
      </w:r>
      <w:r>
        <w:rPr>
          <w:spacing w:val="2"/>
        </w:rPr>
        <w:t xml:space="preserve"> </w:t>
      </w:r>
      <w:r>
        <w:rPr>
          <w:spacing w:val="-1"/>
        </w:rPr>
        <w:t>five-year</w:t>
      </w:r>
      <w:r>
        <w:rPr>
          <w:spacing w:val="2"/>
        </w:rPr>
        <w:t xml:space="preserve"> </w:t>
      </w:r>
      <w:r>
        <w:t>period</w:t>
      </w:r>
      <w:r>
        <w:rPr>
          <w:spacing w:val="2"/>
        </w:rPr>
        <w:t xml:space="preserve"> </w:t>
      </w:r>
      <w:r>
        <w:t>(2008-09</w:t>
      </w:r>
      <w:r>
        <w:rPr>
          <w:spacing w:val="2"/>
        </w:rPr>
        <w:t xml:space="preserve"> </w:t>
      </w:r>
      <w:r>
        <w:t>to</w:t>
      </w:r>
      <w:r>
        <w:rPr>
          <w:spacing w:val="2"/>
        </w:rPr>
        <w:t xml:space="preserve"> </w:t>
      </w:r>
      <w:r>
        <w:rPr>
          <w:spacing w:val="-1"/>
        </w:rPr>
        <w:t>2013-14).</w:t>
      </w:r>
      <w:r>
        <w:rPr>
          <w:spacing w:val="-1"/>
          <w:position w:val="7"/>
          <w:sz w:val="11"/>
          <w:szCs w:val="11"/>
        </w:rPr>
        <w:t>220</w:t>
      </w:r>
      <w:r>
        <w:rPr>
          <w:rFonts w:cs="Avenir Next"/>
          <w:spacing w:val="-1"/>
          <w:position w:val="7"/>
          <w:sz w:val="11"/>
          <w:szCs w:val="11"/>
        </w:rPr>
        <w:t>,</w:t>
      </w:r>
      <w:r>
        <w:rPr>
          <w:spacing w:val="-1"/>
          <w:position w:val="7"/>
          <w:sz w:val="11"/>
          <w:szCs w:val="11"/>
        </w:rPr>
        <w:t>221</w:t>
      </w:r>
    </w:p>
    <w:p w:rsidR="00D96B91" w:rsidRDefault="00C2656B">
      <w:pPr>
        <w:pStyle w:val="BodyText"/>
        <w:spacing w:before="178"/>
      </w:pPr>
      <w:r>
        <w:rPr>
          <w:spacing w:val="-2"/>
        </w:rPr>
        <w:t>The</w:t>
      </w:r>
      <w:r>
        <w:rPr>
          <w:spacing w:val="-1"/>
        </w:rPr>
        <w:t xml:space="preserve"> </w:t>
      </w:r>
      <w:r>
        <w:rPr>
          <w:spacing w:val="-4"/>
        </w:rPr>
        <w:t>Panel’s</w:t>
      </w:r>
      <w:r>
        <w:t xml:space="preserve"> </w:t>
      </w:r>
      <w:r>
        <w:rPr>
          <w:spacing w:val="-2"/>
        </w:rPr>
        <w:t>draft</w:t>
      </w:r>
      <w:r>
        <w:t xml:space="preserve"> decision</w:t>
      </w:r>
      <w:r>
        <w:rPr>
          <w:spacing w:val="-1"/>
        </w:rPr>
        <w:t xml:space="preserve"> </w:t>
      </w:r>
      <w:r>
        <w:t xml:space="preserve">on </w:t>
      </w:r>
      <w:r>
        <w:rPr>
          <w:spacing w:val="-1"/>
        </w:rPr>
        <w:t>forecast</w:t>
      </w:r>
      <w:r>
        <w:t xml:space="preserve"> customer</w:t>
      </w:r>
      <w:r>
        <w:rPr>
          <w:spacing w:val="-1"/>
        </w:rPr>
        <w:t xml:space="preserve"> </w:t>
      </w:r>
      <w:r>
        <w:t>numbers and billable</w:t>
      </w:r>
      <w:r>
        <w:rPr>
          <w:spacing w:val="-1"/>
        </w:rPr>
        <w:t xml:space="preserve"> fixtures</w:t>
      </w:r>
      <w:r>
        <w:t xml:space="preserve"> is shown in</w:t>
      </w:r>
      <w:r>
        <w:rPr>
          <w:spacing w:val="-6"/>
        </w:rPr>
        <w:t xml:space="preserve"> </w:t>
      </w:r>
      <w:hyperlink w:anchor="_bookmark110" w:history="1">
        <w:r>
          <w:rPr>
            <w:spacing w:val="-4"/>
          </w:rPr>
          <w:t>Table</w:t>
        </w:r>
        <w:r>
          <w:t xml:space="preserve"> 12.7.</w:t>
        </w:r>
      </w:hyperlink>
    </w:p>
    <w:p w:rsidR="00D96B91" w:rsidRDefault="00C2656B">
      <w:pPr>
        <w:spacing w:before="137"/>
        <w:ind w:left="1247"/>
        <w:rPr>
          <w:rFonts w:ascii="Avenir Next" w:eastAsia="Avenir Next" w:hAnsi="Avenir Next" w:cs="Avenir Next"/>
          <w:sz w:val="20"/>
          <w:szCs w:val="20"/>
        </w:rPr>
      </w:pPr>
      <w:bookmarkStart w:id="172" w:name="_bookmark110"/>
      <w:bookmarkEnd w:id="172"/>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12.7: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Customer numbers and billable </w:t>
      </w:r>
      <w:r>
        <w:rPr>
          <w:rFonts w:ascii="Avenir Next" w:eastAsia="Avenir Next" w:hAnsi="Avenir Next" w:cs="Avenir Next"/>
          <w:b/>
          <w:bCs/>
          <w:spacing w:val="-1"/>
          <w:sz w:val="20"/>
          <w:szCs w:val="20"/>
        </w:rPr>
        <w:t>fixtures</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908"/>
        <w:gridCol w:w="1499"/>
        <w:gridCol w:w="1499"/>
        <w:gridCol w:w="1499"/>
        <w:gridCol w:w="1499"/>
        <w:gridCol w:w="1499"/>
      </w:tblGrid>
      <w:tr w:rsidR="00D96B91">
        <w:trPr>
          <w:trHeight w:hRule="exact" w:val="350"/>
        </w:trPr>
        <w:tc>
          <w:tcPr>
            <w:tcW w:w="1908"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b/>
                <w:color w:val="FFFFFF"/>
                <w:sz w:val="18"/>
              </w:rPr>
              <w:t>Actual</w:t>
            </w:r>
          </w:p>
        </w:tc>
        <w:tc>
          <w:tcPr>
            <w:tcW w:w="5994" w:type="dxa"/>
            <w:gridSpan w:val="4"/>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r>
      <w:tr w:rsidR="00D96B91">
        <w:trPr>
          <w:trHeight w:hRule="exact" w:val="570"/>
        </w:trPr>
        <w:tc>
          <w:tcPr>
            <w:tcW w:w="1908" w:type="dxa"/>
            <w:vMerge/>
            <w:tcBorders>
              <w:left w:val="single" w:sz="4" w:space="0" w:color="1A9EDA"/>
              <w:bottom w:val="single" w:sz="4" w:space="0" w:color="1A9EDA"/>
              <w:right w:val="single" w:sz="4" w:space="0" w:color="1A9EDA"/>
            </w:tcBorders>
            <w:shd w:val="clear" w:color="auto" w:fill="0778BE"/>
          </w:tcPr>
          <w:p w:rsidR="00D96B91" w:rsidRDefault="00D96B91"/>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line="233" w:lineRule="exact"/>
              <w:ind w:left="452"/>
              <w:rPr>
                <w:rFonts w:ascii="Avenir Next Condensed" w:eastAsia="Avenir Next Condensed" w:hAnsi="Avenir Next Condensed" w:cs="Avenir Next Condensed"/>
                <w:sz w:val="18"/>
                <w:szCs w:val="18"/>
              </w:rPr>
            </w:pPr>
            <w:r>
              <w:rPr>
                <w:rFonts w:ascii="Avenir Next Condensed"/>
                <w:b/>
                <w:color w:val="FFFFFF"/>
                <w:sz w:val="18"/>
              </w:rPr>
              <w:t>2013-14</w:t>
            </w:r>
          </w:p>
          <w:p w:rsidR="00D96B91" w:rsidRDefault="00C2656B">
            <w:pPr>
              <w:pStyle w:val="TableParagraph"/>
              <w:spacing w:line="233" w:lineRule="exact"/>
              <w:ind w:left="492"/>
              <w:rPr>
                <w:rFonts w:ascii="Avenir Next Condensed" w:eastAsia="Avenir Next Condensed" w:hAnsi="Avenir Next Condensed" w:cs="Avenir Next Condensed"/>
                <w:sz w:val="18"/>
                <w:szCs w:val="18"/>
              </w:rPr>
            </w:pPr>
            <w:r>
              <w:rPr>
                <w:rFonts w:ascii="Avenir Next Condensed"/>
                <w:b/>
                <w:color w:val="FFFFFF"/>
                <w:sz w:val="18"/>
              </w:rPr>
              <w:t>(actual)</w:t>
            </w:r>
          </w:p>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line="233" w:lineRule="exact"/>
              <w:ind w:left="452"/>
              <w:rPr>
                <w:rFonts w:ascii="Avenir Next Condensed" w:eastAsia="Avenir Next Condensed" w:hAnsi="Avenir Next Condensed" w:cs="Avenir Next Condensed"/>
                <w:sz w:val="18"/>
                <w:szCs w:val="18"/>
              </w:rPr>
            </w:pPr>
            <w:r>
              <w:rPr>
                <w:rFonts w:ascii="Avenir Next Condensed"/>
                <w:b/>
                <w:color w:val="FFFFFF"/>
                <w:sz w:val="18"/>
              </w:rPr>
              <w:t>2014-15</w:t>
            </w:r>
          </w:p>
          <w:p w:rsidR="00D96B91" w:rsidRDefault="00C2656B">
            <w:pPr>
              <w:pStyle w:val="TableParagraph"/>
              <w:spacing w:line="233" w:lineRule="exact"/>
              <w:ind w:left="432"/>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line="233" w:lineRule="exact"/>
              <w:ind w:left="453"/>
              <w:rPr>
                <w:rFonts w:ascii="Avenir Next Condensed" w:eastAsia="Avenir Next Condensed" w:hAnsi="Avenir Next Condensed" w:cs="Avenir Next Condensed"/>
                <w:sz w:val="18"/>
                <w:szCs w:val="18"/>
              </w:rPr>
            </w:pPr>
            <w:r>
              <w:rPr>
                <w:rFonts w:ascii="Avenir Next Condensed"/>
                <w:b/>
                <w:color w:val="FFFFFF"/>
                <w:sz w:val="18"/>
              </w:rPr>
              <w:t>2015-16</w:t>
            </w:r>
          </w:p>
          <w:p w:rsidR="00D96B91" w:rsidRDefault="00C2656B">
            <w:pPr>
              <w:pStyle w:val="TableParagraph"/>
              <w:spacing w:line="233" w:lineRule="exact"/>
              <w:ind w:left="432"/>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line="233" w:lineRule="exact"/>
              <w:ind w:left="453"/>
              <w:rPr>
                <w:rFonts w:ascii="Avenir Next Condensed" w:eastAsia="Avenir Next Condensed" w:hAnsi="Avenir Next Condensed" w:cs="Avenir Next Condensed"/>
                <w:sz w:val="18"/>
                <w:szCs w:val="18"/>
              </w:rPr>
            </w:pPr>
            <w:r>
              <w:rPr>
                <w:rFonts w:ascii="Avenir Next Condensed"/>
                <w:b/>
                <w:color w:val="FFFFFF"/>
                <w:sz w:val="18"/>
              </w:rPr>
              <w:t>2016-17</w:t>
            </w:r>
          </w:p>
          <w:p w:rsidR="00D96B91" w:rsidRDefault="00C2656B">
            <w:pPr>
              <w:pStyle w:val="TableParagraph"/>
              <w:spacing w:line="233" w:lineRule="exact"/>
              <w:ind w:left="433"/>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c>
          <w:tcPr>
            <w:tcW w:w="149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line="233" w:lineRule="exact"/>
              <w:ind w:left="453"/>
              <w:rPr>
                <w:rFonts w:ascii="Avenir Next Condensed" w:eastAsia="Avenir Next Condensed" w:hAnsi="Avenir Next Condensed" w:cs="Avenir Next Condensed"/>
                <w:sz w:val="18"/>
                <w:szCs w:val="18"/>
              </w:rPr>
            </w:pPr>
            <w:r>
              <w:rPr>
                <w:rFonts w:ascii="Avenir Next Condensed"/>
                <w:b/>
                <w:color w:val="FFFFFF"/>
                <w:sz w:val="18"/>
              </w:rPr>
              <w:t>2017-18</w:t>
            </w:r>
          </w:p>
          <w:p w:rsidR="00D96B91" w:rsidRDefault="00C2656B">
            <w:pPr>
              <w:pStyle w:val="TableParagraph"/>
              <w:spacing w:line="233" w:lineRule="exact"/>
              <w:ind w:left="433"/>
              <w:rPr>
                <w:rFonts w:ascii="Avenir Next Condensed" w:eastAsia="Avenir Next Condensed" w:hAnsi="Avenir Next Condensed" w:cs="Avenir Next Condensed"/>
                <w:sz w:val="18"/>
                <w:szCs w:val="18"/>
              </w:rPr>
            </w:pPr>
            <w:r>
              <w:rPr>
                <w:rFonts w:ascii="Avenir Next Condensed"/>
                <w:b/>
                <w:color w:val="FFFFFF"/>
                <w:spacing w:val="-1"/>
                <w:sz w:val="18"/>
              </w:rPr>
              <w:t>(forecast)</w:t>
            </w:r>
          </w:p>
        </w:tc>
      </w:tr>
      <w:tr w:rsidR="00D96B91">
        <w:trPr>
          <w:trHeight w:hRule="exact" w:val="350"/>
        </w:trPr>
        <w:tc>
          <w:tcPr>
            <w:tcW w:w="190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customers</w:t>
            </w:r>
          </w:p>
        </w:tc>
        <w:tc>
          <w:tcPr>
            <w:tcW w:w="14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162,951</w:t>
            </w:r>
          </w:p>
        </w:tc>
        <w:tc>
          <w:tcPr>
            <w:tcW w:w="14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166,992</w:t>
            </w:r>
          </w:p>
        </w:tc>
        <w:tc>
          <w:tcPr>
            <w:tcW w:w="14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171,134</w:t>
            </w:r>
          </w:p>
        </w:tc>
        <w:tc>
          <w:tcPr>
            <w:tcW w:w="14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175,378</w:t>
            </w:r>
          </w:p>
        </w:tc>
        <w:tc>
          <w:tcPr>
            <w:tcW w:w="149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179,728</w:t>
            </w:r>
          </w:p>
        </w:tc>
      </w:tr>
      <w:tr w:rsidR="00D96B91">
        <w:trPr>
          <w:trHeight w:hRule="exact" w:val="350"/>
        </w:trPr>
        <w:tc>
          <w:tcPr>
            <w:tcW w:w="19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Sewerage</w:t>
            </w:r>
            <w:r>
              <w:rPr>
                <w:rFonts w:ascii="Avenir Next Condensed"/>
                <w:sz w:val="18"/>
              </w:rPr>
              <w:t xml:space="preserve"> customers</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162,609</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166,678</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170,849</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175,124</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93"/>
              <w:rPr>
                <w:rFonts w:ascii="Avenir Next Condensed" w:eastAsia="Avenir Next Condensed" w:hAnsi="Avenir Next Condensed" w:cs="Avenir Next Condensed"/>
                <w:sz w:val="18"/>
                <w:szCs w:val="18"/>
              </w:rPr>
            </w:pPr>
            <w:r>
              <w:rPr>
                <w:rFonts w:ascii="Avenir Next Condensed"/>
                <w:sz w:val="18"/>
              </w:rPr>
              <w:t>179,506</w:t>
            </w:r>
          </w:p>
        </w:tc>
      </w:tr>
      <w:tr w:rsidR="00D96B91">
        <w:trPr>
          <w:trHeight w:hRule="exact" w:val="350"/>
        </w:trPr>
        <w:tc>
          <w:tcPr>
            <w:tcW w:w="19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z w:val="18"/>
              </w:rPr>
              <w:t xml:space="preserve">Billable </w:t>
            </w:r>
            <w:r>
              <w:rPr>
                <w:rFonts w:ascii="Avenir Next Condensed"/>
                <w:spacing w:val="-1"/>
                <w:sz w:val="18"/>
              </w:rPr>
              <w:t>fixtures</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78"/>
              <w:rPr>
                <w:rFonts w:ascii="Avenir Next Condensed" w:eastAsia="Avenir Next Condensed" w:hAnsi="Avenir Next Condensed" w:cs="Avenir Next Condensed"/>
                <w:sz w:val="18"/>
                <w:szCs w:val="18"/>
              </w:rPr>
            </w:pPr>
            <w:r>
              <w:rPr>
                <w:rFonts w:ascii="Avenir Next Condensed"/>
                <w:sz w:val="18"/>
              </w:rPr>
              <w:t>60,274</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78"/>
              <w:rPr>
                <w:rFonts w:ascii="Avenir Next Condensed" w:eastAsia="Avenir Next Condensed" w:hAnsi="Avenir Next Condensed" w:cs="Avenir Next Condensed"/>
                <w:sz w:val="18"/>
                <w:szCs w:val="18"/>
              </w:rPr>
            </w:pPr>
            <w:r>
              <w:rPr>
                <w:rFonts w:ascii="Avenir Next Condensed"/>
                <w:sz w:val="18"/>
              </w:rPr>
              <w:t>61,597</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78"/>
              <w:rPr>
                <w:rFonts w:ascii="Avenir Next Condensed" w:eastAsia="Avenir Next Condensed" w:hAnsi="Avenir Next Condensed" w:cs="Avenir Next Condensed"/>
                <w:sz w:val="18"/>
                <w:szCs w:val="18"/>
              </w:rPr>
            </w:pPr>
            <w:r>
              <w:rPr>
                <w:rFonts w:ascii="Avenir Next Condensed"/>
                <w:sz w:val="18"/>
              </w:rPr>
              <w:t>62,949</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78"/>
              <w:rPr>
                <w:rFonts w:ascii="Avenir Next Condensed" w:eastAsia="Avenir Next Condensed" w:hAnsi="Avenir Next Condensed" w:cs="Avenir Next Condensed"/>
                <w:sz w:val="18"/>
                <w:szCs w:val="18"/>
              </w:rPr>
            </w:pPr>
            <w:r>
              <w:rPr>
                <w:rFonts w:ascii="Avenir Next Condensed"/>
                <w:sz w:val="18"/>
              </w:rPr>
              <w:t>64,331</w:t>
            </w:r>
          </w:p>
        </w:tc>
        <w:tc>
          <w:tcPr>
            <w:tcW w:w="149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78"/>
              <w:rPr>
                <w:rFonts w:ascii="Avenir Next Condensed" w:eastAsia="Avenir Next Condensed" w:hAnsi="Avenir Next Condensed" w:cs="Avenir Next Condensed"/>
                <w:sz w:val="18"/>
                <w:szCs w:val="18"/>
              </w:rPr>
            </w:pPr>
            <w:r>
              <w:rPr>
                <w:rFonts w:ascii="Avenir Next Condensed"/>
                <w:sz w:val="18"/>
              </w:rPr>
              <w:t>65,743</w:t>
            </w:r>
          </w:p>
        </w:tc>
      </w:tr>
    </w:tbl>
    <w:p w:rsidR="00D96B91" w:rsidRDefault="00D96B91">
      <w:pPr>
        <w:spacing w:before="5"/>
        <w:rPr>
          <w:rFonts w:ascii="Avenir Next" w:eastAsia="Avenir Next" w:hAnsi="Avenir Next" w:cs="Avenir Next"/>
          <w:b/>
          <w:bCs/>
          <w:sz w:val="29"/>
          <w:szCs w:val="2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54" style="width:72.5pt;height:.5pt;mso-position-horizontal-relative:char;mso-position-vertical-relative:line" coordsize="1450,10">
            <v:group id="_x0000_s1855" style="position:absolute;left:5;top:5;width:1440;height:2" coordorigin="5,5" coordsize="1440,2">
              <v:shape id="_x0000_s1856" style="position:absolute;left:5;top:5;width:1440;height:2" coordorigin="5,5" coordsize="1440,0" path="m5,5r1440,e" filled="f" strokeweight=".5pt">
                <v:path arrowok="t"/>
              </v:shape>
            </v:group>
            <w10:wrap type="none"/>
            <w10:anchorlock/>
          </v:group>
        </w:pict>
      </w:r>
    </w:p>
    <w:p w:rsidR="00D96B91" w:rsidRDefault="00C2656B">
      <w:pPr>
        <w:numPr>
          <w:ilvl w:val="0"/>
          <w:numId w:val="55"/>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Information</w:t>
      </w:r>
      <w:r>
        <w:rPr>
          <w:rFonts w:ascii="Avenir Next"/>
          <w:sz w:val="16"/>
        </w:rPr>
        <w:t xml:space="preserve"> </w:t>
      </w:r>
      <w:r>
        <w:rPr>
          <w:rFonts w:ascii="Avenir Next"/>
          <w:spacing w:val="-1"/>
          <w:sz w:val="16"/>
        </w:rPr>
        <w:t>return:</w:t>
      </w:r>
      <w:r>
        <w:rPr>
          <w:rFonts w:ascii="Avenir Next"/>
          <w:sz w:val="16"/>
        </w:rPr>
        <w:t xml:space="preserve"> demand </w:t>
      </w:r>
      <w:r>
        <w:rPr>
          <w:rFonts w:ascii="Avenir Next"/>
          <w:spacing w:val="-1"/>
          <w:sz w:val="16"/>
        </w:rPr>
        <w:t>forecasts,</w:t>
      </w:r>
      <w:r>
        <w:rPr>
          <w:rFonts w:ascii="Avenir Next"/>
          <w:spacing w:val="-5"/>
          <w:sz w:val="16"/>
        </w:rPr>
        <w:t xml:space="preserve"> </w:t>
      </w:r>
      <w:r>
        <w:rPr>
          <w:rFonts w:ascii="Avenir Next"/>
          <w:sz w:val="16"/>
        </w:rPr>
        <w:t>15</w:t>
      </w:r>
      <w:r>
        <w:rPr>
          <w:rFonts w:ascii="Avenir Next"/>
          <w:spacing w:val="-3"/>
          <w:sz w:val="16"/>
        </w:rPr>
        <w:t xml:space="preserve"> </w:t>
      </w:r>
      <w:r>
        <w:rPr>
          <w:rFonts w:ascii="Avenir Next"/>
          <w:sz w:val="16"/>
        </w:rPr>
        <w:t>August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6.</w:t>
      </w:r>
    </w:p>
    <w:p w:rsidR="00D96B91" w:rsidRDefault="00C2656B">
      <w:pPr>
        <w:numPr>
          <w:ilvl w:val="0"/>
          <w:numId w:val="55"/>
        </w:numPr>
        <w:tabs>
          <w:tab w:val="left" w:pos="1758"/>
        </w:tabs>
        <w:spacing w:before="128" w:line="192" w:lineRule="exact"/>
        <w:ind w:right="1613" w:hanging="510"/>
        <w:rPr>
          <w:rFonts w:ascii="Avenir Next" w:eastAsia="Avenir Next" w:hAnsi="Avenir Next" w:cs="Avenir Next"/>
          <w:sz w:val="16"/>
          <w:szCs w:val="16"/>
        </w:rPr>
      </w:pPr>
      <w:r>
        <w:rPr>
          <w:rFonts w:ascii="Avenir Next"/>
          <w:sz w:val="16"/>
        </w:rPr>
        <w:t>In</w:t>
      </w:r>
      <w:r>
        <w:rPr>
          <w:rFonts w:ascii="Avenir Next"/>
          <w:spacing w:val="-1"/>
          <w:sz w:val="16"/>
        </w:rPr>
        <w:t xml:space="preserve"> </w:t>
      </w:r>
      <w:r>
        <w:rPr>
          <w:rFonts w:ascii="Avenir Next"/>
          <w:sz w:val="16"/>
        </w:rPr>
        <w:t>this instance,</w:t>
      </w:r>
      <w:r>
        <w:rPr>
          <w:rFonts w:ascii="Avenir Next"/>
          <w:spacing w:val="-5"/>
          <w:sz w:val="16"/>
        </w:rPr>
        <w:t xml:space="preserve"> </w:t>
      </w:r>
      <w:r>
        <w:rPr>
          <w:rFonts w:ascii="Avenir Next"/>
          <w:sz w:val="16"/>
        </w:rPr>
        <w:t xml:space="preserve">the </w:t>
      </w:r>
      <w:r>
        <w:rPr>
          <w:rFonts w:ascii="Avenir Next"/>
          <w:spacing w:val="-2"/>
          <w:sz w:val="16"/>
        </w:rPr>
        <w:t>Panel</w:t>
      </w:r>
      <w:r>
        <w:rPr>
          <w:rFonts w:ascii="Avenir Next"/>
          <w:sz w:val="16"/>
        </w:rPr>
        <w:t xml:space="preserve"> has</w:t>
      </w:r>
      <w:r>
        <w:rPr>
          <w:rFonts w:ascii="Avenir Next"/>
          <w:spacing w:val="-1"/>
          <w:sz w:val="16"/>
        </w:rPr>
        <w:t xml:space="preserve"> </w:t>
      </w:r>
      <w:r>
        <w:rPr>
          <w:rFonts w:ascii="Avenir Next"/>
          <w:sz w:val="16"/>
        </w:rPr>
        <w:t xml:space="preserve">chosen to base the </w:t>
      </w:r>
      <w:r>
        <w:rPr>
          <w:rFonts w:ascii="Avenir Next"/>
          <w:spacing w:val="-1"/>
          <w:sz w:val="16"/>
        </w:rPr>
        <w:t>growth rates</w:t>
      </w:r>
      <w:r>
        <w:rPr>
          <w:rFonts w:ascii="Avenir Next"/>
          <w:sz w:val="16"/>
        </w:rPr>
        <w:t xml:space="preserve"> on the </w:t>
      </w:r>
      <w:r>
        <w:rPr>
          <w:rFonts w:ascii="Times New Roman"/>
          <w:i/>
          <w:spacing w:val="-1"/>
          <w:sz w:val="16"/>
        </w:rPr>
        <w:t xml:space="preserve">revised </w:t>
      </w:r>
      <w:r>
        <w:rPr>
          <w:rFonts w:ascii="Avenir Next"/>
          <w:sz w:val="16"/>
        </w:rPr>
        <w:t>historical</w:t>
      </w:r>
      <w:r>
        <w:rPr>
          <w:rFonts w:ascii="Avenir Next"/>
          <w:spacing w:val="-1"/>
          <w:sz w:val="16"/>
        </w:rPr>
        <w:t xml:space="preserve"> data</w:t>
      </w:r>
      <w:r>
        <w:rPr>
          <w:rFonts w:ascii="Avenir Next"/>
          <w:sz w:val="16"/>
        </w:rPr>
        <w:t xml:space="preserve"> </w:t>
      </w:r>
      <w:r>
        <w:rPr>
          <w:rFonts w:ascii="Avenir Next"/>
          <w:spacing w:val="-1"/>
          <w:sz w:val="16"/>
        </w:rPr>
        <w:t>rather</w:t>
      </w:r>
      <w:r>
        <w:rPr>
          <w:rFonts w:ascii="Avenir Next"/>
          <w:sz w:val="16"/>
        </w:rPr>
        <w:t xml:space="preserve"> than the </w:t>
      </w:r>
      <w:r>
        <w:rPr>
          <w:rFonts w:ascii="Avenir Next"/>
          <w:spacing w:val="-1"/>
          <w:sz w:val="16"/>
        </w:rPr>
        <w:t>information</w:t>
      </w:r>
      <w:r>
        <w:rPr>
          <w:rFonts w:ascii="Avenir Next"/>
          <w:spacing w:val="37"/>
          <w:sz w:val="16"/>
        </w:rPr>
        <w:t xml:space="preserve"> </w:t>
      </w:r>
      <w:r>
        <w:rPr>
          <w:rFonts w:ascii="Avenir Next"/>
          <w:sz w:val="16"/>
        </w:rPr>
        <w:t xml:space="preserve">available to the ICRC </w:t>
      </w:r>
      <w:r>
        <w:rPr>
          <w:rFonts w:ascii="Avenir Next"/>
          <w:spacing w:val="-1"/>
          <w:sz w:val="16"/>
        </w:rPr>
        <w:t>at</w:t>
      </w:r>
      <w:r>
        <w:rPr>
          <w:rFonts w:ascii="Avenir Next"/>
          <w:sz w:val="16"/>
        </w:rPr>
        <w:t xml:space="preserve"> the time of</w:t>
      </w:r>
      <w:r>
        <w:rPr>
          <w:rFonts w:ascii="Avenir Next"/>
          <w:spacing w:val="3"/>
          <w:sz w:val="16"/>
        </w:rPr>
        <w:t xml:space="preserve"> </w:t>
      </w:r>
      <w:r>
        <w:rPr>
          <w:rFonts w:ascii="Avenir Next"/>
          <w:sz w:val="16"/>
        </w:rPr>
        <w:t xml:space="preserve">the original pricing </w:t>
      </w:r>
      <w:r>
        <w:rPr>
          <w:rFonts w:ascii="Avenir Next"/>
          <w:spacing w:val="-1"/>
          <w:sz w:val="16"/>
        </w:rPr>
        <w:t>direction</w:t>
      </w:r>
      <w:r>
        <w:rPr>
          <w:rFonts w:ascii="Avenir Next"/>
          <w:sz w:val="16"/>
        </w:rPr>
        <w:t xml:space="preserve"> because the original </w:t>
      </w:r>
      <w:r>
        <w:rPr>
          <w:rFonts w:ascii="Avenir Next"/>
          <w:spacing w:val="-1"/>
          <w:sz w:val="16"/>
        </w:rPr>
        <w:t>information</w:t>
      </w:r>
      <w:r>
        <w:rPr>
          <w:rFonts w:ascii="Avenir Next"/>
          <w:sz w:val="16"/>
        </w:rPr>
        <w:t xml:space="preserve"> contained </w:t>
      </w:r>
      <w:r>
        <w:rPr>
          <w:rFonts w:ascii="Avenir Next"/>
          <w:spacing w:val="-1"/>
          <w:sz w:val="16"/>
        </w:rPr>
        <w:t>errors.</w:t>
      </w:r>
    </w:p>
    <w:p w:rsidR="00D96B91" w:rsidRDefault="00D96B91">
      <w:pPr>
        <w:spacing w:before="12"/>
        <w:rPr>
          <w:rFonts w:ascii="Avenir Next" w:eastAsia="Avenir Next" w:hAnsi="Avenir Next" w:cs="Avenir Next"/>
          <w:sz w:val="10"/>
          <w:szCs w:val="10"/>
        </w:rPr>
      </w:pPr>
    </w:p>
    <w:p w:rsidR="00D96B91" w:rsidRDefault="00C2656B">
      <w:pPr>
        <w:numPr>
          <w:ilvl w:val="0"/>
          <w:numId w:val="55"/>
        </w:numPr>
        <w:tabs>
          <w:tab w:val="left" w:pos="1758"/>
        </w:tabs>
        <w:spacing w:line="192" w:lineRule="exact"/>
        <w:ind w:right="1477" w:hanging="510"/>
        <w:rPr>
          <w:rFonts w:ascii="Avenir Next" w:eastAsia="Avenir Next" w:hAnsi="Avenir Next" w:cs="Avenir Next"/>
          <w:sz w:val="16"/>
          <w:szCs w:val="16"/>
        </w:rPr>
      </w:pPr>
      <w:r>
        <w:rPr>
          <w:rFonts w:ascii="Avenir Next"/>
          <w:spacing w:val="-1"/>
          <w:sz w:val="16"/>
        </w:rPr>
        <w:t>This approach</w:t>
      </w:r>
      <w:r>
        <w:rPr>
          <w:rFonts w:ascii="Avenir Next"/>
          <w:sz w:val="16"/>
        </w:rPr>
        <w:t xml:space="preserve"> of</w:t>
      </w:r>
      <w:r>
        <w:rPr>
          <w:rFonts w:ascii="Avenir Next"/>
          <w:spacing w:val="3"/>
          <w:sz w:val="16"/>
        </w:rPr>
        <w:t xml:space="preserve"> </w:t>
      </w:r>
      <w:r>
        <w:rPr>
          <w:rFonts w:ascii="Avenir Next"/>
          <w:sz w:val="16"/>
        </w:rPr>
        <w:t>using</w:t>
      </w:r>
      <w:r>
        <w:rPr>
          <w:rFonts w:ascii="Avenir Next"/>
          <w:spacing w:val="-1"/>
          <w:sz w:val="16"/>
        </w:rPr>
        <w:t xml:space="preserve"> growth</w:t>
      </w:r>
      <w:r>
        <w:rPr>
          <w:rFonts w:ascii="Avenir Next"/>
          <w:sz w:val="16"/>
        </w:rPr>
        <w:t xml:space="preserve"> </w:t>
      </w:r>
      <w:r>
        <w:rPr>
          <w:rFonts w:ascii="Avenir Next"/>
          <w:spacing w:val="-1"/>
          <w:sz w:val="16"/>
        </w:rPr>
        <w:t>rates</w:t>
      </w:r>
      <w:r>
        <w:rPr>
          <w:rFonts w:ascii="Avenir Next"/>
          <w:sz w:val="16"/>
        </w:rPr>
        <w:t xml:space="preserve"> based on</w:t>
      </w:r>
      <w:r>
        <w:rPr>
          <w:rFonts w:ascii="Avenir Next"/>
          <w:spacing w:val="-1"/>
          <w:sz w:val="16"/>
        </w:rPr>
        <w:t xml:space="preserve"> </w:t>
      </w:r>
      <w:r>
        <w:rPr>
          <w:rFonts w:ascii="Avenir Next"/>
          <w:sz w:val="16"/>
        </w:rPr>
        <w:t xml:space="preserve">the most </w:t>
      </w:r>
      <w:r>
        <w:rPr>
          <w:rFonts w:ascii="Avenir Next"/>
          <w:spacing w:val="-1"/>
          <w:sz w:val="16"/>
        </w:rPr>
        <w:t>five-year</w:t>
      </w:r>
      <w:r>
        <w:rPr>
          <w:rFonts w:ascii="Avenir Next"/>
          <w:sz w:val="16"/>
        </w:rPr>
        <w:t xml:space="preserve"> period</w:t>
      </w:r>
      <w:r>
        <w:rPr>
          <w:rFonts w:ascii="Avenir Next"/>
          <w:spacing w:val="-1"/>
          <w:sz w:val="16"/>
        </w:rPr>
        <w:t xml:space="preserve"> </w:t>
      </w:r>
      <w:r>
        <w:rPr>
          <w:rFonts w:ascii="Avenir Next"/>
          <w:sz w:val="16"/>
        </w:rPr>
        <w:t>is consistent with the</w:t>
      </w:r>
      <w:r>
        <w:rPr>
          <w:rFonts w:ascii="Avenir Next"/>
          <w:spacing w:val="-1"/>
          <w:sz w:val="16"/>
        </w:rPr>
        <w:t xml:space="preserve"> </w:t>
      </w:r>
      <w:r>
        <w:rPr>
          <w:rFonts w:ascii="Avenir Next"/>
          <w:sz w:val="16"/>
        </w:rPr>
        <w:t>methodology adopted by</w:t>
      </w:r>
      <w:r>
        <w:rPr>
          <w:rFonts w:ascii="Avenir Next"/>
          <w:spacing w:val="37"/>
          <w:sz w:val="16"/>
        </w:rPr>
        <w:t xml:space="preserve"> </w:t>
      </w:r>
      <w:r>
        <w:rPr>
          <w:rFonts w:ascii="Avenir Next"/>
          <w:spacing w:val="-1"/>
          <w:sz w:val="16"/>
        </w:rPr>
        <w:t>Cardno</w:t>
      </w:r>
      <w:r>
        <w:rPr>
          <w:rFonts w:ascii="Avenir Next"/>
          <w:sz w:val="16"/>
        </w:rPr>
        <w:t xml:space="preserve"> in its </w:t>
      </w:r>
      <w:r>
        <w:rPr>
          <w:rFonts w:ascii="Avenir Next"/>
          <w:spacing w:val="-1"/>
          <w:sz w:val="16"/>
        </w:rPr>
        <w:t>forecasts</w:t>
      </w:r>
      <w:r>
        <w:rPr>
          <w:rFonts w:ascii="Avenir Next"/>
          <w:sz w:val="16"/>
        </w:rPr>
        <w:t xml:space="preserve"> of</w:t>
      </w:r>
      <w:r>
        <w:rPr>
          <w:rFonts w:ascii="Avenir Next"/>
          <w:spacing w:val="3"/>
          <w:sz w:val="16"/>
        </w:rPr>
        <w:t xml:space="preserve"> </w:t>
      </w:r>
      <w:r>
        <w:rPr>
          <w:rFonts w:ascii="Avenir Next"/>
          <w:spacing w:val="-1"/>
          <w:sz w:val="16"/>
        </w:rPr>
        <w:t>water</w:t>
      </w:r>
      <w:r>
        <w:rPr>
          <w:rFonts w:ascii="Avenir Next"/>
          <w:sz w:val="16"/>
        </w:rPr>
        <w:t xml:space="preserve"> sales.</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tabs>
          <w:tab w:val="left" w:pos="1927"/>
        </w:tabs>
        <w:spacing w:before="18" w:line="210" w:lineRule="auto"/>
        <w:ind w:left="1927" w:right="2917" w:hanging="681"/>
        <w:rPr>
          <w:rFonts w:ascii="Avenir Next Medium" w:eastAsia="Avenir Next Medium" w:hAnsi="Avenir Next Medium" w:cs="Avenir Next Medium"/>
          <w:sz w:val="40"/>
          <w:szCs w:val="40"/>
        </w:rPr>
      </w:pPr>
      <w:bookmarkStart w:id="173" w:name="13_Net_revenue_requirement_and_‘true_up’"/>
      <w:bookmarkStart w:id="174" w:name="13._1_Overview_of_the_Panel’s_draft_deci"/>
      <w:bookmarkStart w:id="175" w:name="_bookmark111"/>
      <w:bookmarkEnd w:id="173"/>
      <w:bookmarkEnd w:id="174"/>
      <w:bookmarkEnd w:id="175"/>
      <w:r>
        <w:rPr>
          <w:rFonts w:ascii="Avenir Next Medium" w:eastAsia="Avenir Next Medium" w:hAnsi="Avenir Next Medium" w:cs="Avenir Next Medium"/>
          <w:color w:val="0778BE"/>
          <w:w w:val="95"/>
          <w:sz w:val="40"/>
          <w:szCs w:val="40"/>
        </w:rPr>
        <w:t>13</w:t>
      </w:r>
      <w:r>
        <w:rPr>
          <w:rFonts w:ascii="Avenir Next Medium" w:eastAsia="Avenir Next Medium" w:hAnsi="Avenir Next Medium" w:cs="Avenir Next Medium"/>
          <w:color w:val="0778BE"/>
          <w:w w:val="95"/>
          <w:sz w:val="40"/>
          <w:szCs w:val="40"/>
        </w:rPr>
        <w:tab/>
      </w:r>
      <w:r>
        <w:rPr>
          <w:rFonts w:ascii="Avenir Next Medium" w:eastAsia="Avenir Next Medium" w:hAnsi="Avenir Next Medium" w:cs="Avenir Next Medium"/>
          <w:color w:val="0778BE"/>
          <w:sz w:val="40"/>
          <w:szCs w:val="40"/>
        </w:rPr>
        <w:t xml:space="preserve">Net </w:t>
      </w:r>
      <w:r>
        <w:rPr>
          <w:rFonts w:ascii="Avenir Next Medium" w:eastAsia="Avenir Next Medium" w:hAnsi="Avenir Next Medium" w:cs="Avenir Next Medium"/>
          <w:color w:val="0778BE"/>
          <w:spacing w:val="-2"/>
          <w:sz w:val="40"/>
          <w:szCs w:val="40"/>
        </w:rPr>
        <w:t>revenue</w:t>
      </w:r>
      <w:r>
        <w:rPr>
          <w:rFonts w:ascii="Avenir Next Medium" w:eastAsia="Avenir Next Medium" w:hAnsi="Avenir Next Medium" w:cs="Avenir Next Medium"/>
          <w:color w:val="0778BE"/>
          <w:sz w:val="40"/>
          <w:szCs w:val="40"/>
        </w:rPr>
        <w:t xml:space="preserve"> </w:t>
      </w:r>
      <w:r>
        <w:rPr>
          <w:rFonts w:ascii="Avenir Next Medium" w:eastAsia="Avenir Next Medium" w:hAnsi="Avenir Next Medium" w:cs="Avenir Next Medium"/>
          <w:color w:val="0778BE"/>
          <w:spacing w:val="-2"/>
          <w:sz w:val="40"/>
          <w:szCs w:val="40"/>
        </w:rPr>
        <w:t>requirement</w:t>
      </w:r>
      <w:r>
        <w:rPr>
          <w:rFonts w:ascii="Avenir Next Medium" w:eastAsia="Avenir Next Medium" w:hAnsi="Avenir Next Medium" w:cs="Avenir Next Medium"/>
          <w:color w:val="0778BE"/>
          <w:sz w:val="40"/>
          <w:szCs w:val="40"/>
        </w:rPr>
        <w:t xml:space="preserve"> and ‘true up’</w:t>
      </w:r>
      <w:r>
        <w:rPr>
          <w:rFonts w:ascii="Avenir Next Medium" w:eastAsia="Avenir Next Medium" w:hAnsi="Avenir Next Medium" w:cs="Avenir Next Medium"/>
          <w:color w:val="0778BE"/>
          <w:spacing w:val="25"/>
          <w:sz w:val="40"/>
          <w:szCs w:val="40"/>
        </w:rPr>
        <w:t xml:space="preserve"> </w:t>
      </w:r>
      <w:r>
        <w:rPr>
          <w:rFonts w:ascii="Avenir Next Medium" w:eastAsia="Avenir Next Medium" w:hAnsi="Avenir Next Medium" w:cs="Avenir Next Medium"/>
          <w:color w:val="0778BE"/>
          <w:sz w:val="40"/>
          <w:szCs w:val="40"/>
        </w:rPr>
        <w:t>adjustment</w:t>
      </w:r>
    </w:p>
    <w:p w:rsidR="00D96B91" w:rsidRDefault="00D96B91">
      <w:pPr>
        <w:spacing w:before="8"/>
        <w:rPr>
          <w:rFonts w:ascii="Avenir Next Medium" w:eastAsia="Avenir Next Medium" w:hAnsi="Avenir Next Medium" w:cs="Avenir Next Medium"/>
          <w:sz w:val="27"/>
          <w:szCs w:val="27"/>
        </w:rPr>
      </w:pPr>
    </w:p>
    <w:p w:rsidR="00D96B91" w:rsidRDefault="00C2656B">
      <w:pPr>
        <w:pStyle w:val="BodyText"/>
        <w:spacing w:line="260" w:lineRule="exact"/>
        <w:ind w:right="1356"/>
      </w:pPr>
      <w:r>
        <w:t xml:space="preserve">In line with the price </w:t>
      </w:r>
      <w:r>
        <w:rPr>
          <w:spacing w:val="-1"/>
        </w:rPr>
        <w:t>setting</w:t>
      </w:r>
      <w:r>
        <w:t xml:space="preserve"> method discussed in Chapter </w:t>
      </w:r>
      <w:hyperlink w:anchor="_bookmark45" w:history="1">
        <w:r>
          <w:t>7</w:t>
        </w:r>
      </w:hyperlink>
      <w:r>
        <w:t>,</w:t>
      </w:r>
      <w:r>
        <w:rPr>
          <w:spacing w:val="-6"/>
        </w:rPr>
        <w:t xml:space="preserve"> </w:t>
      </w:r>
      <w:r>
        <w:t xml:space="preserve">and the </w:t>
      </w:r>
      <w:r>
        <w:rPr>
          <w:spacing w:val="-2"/>
        </w:rPr>
        <w:t>draft</w:t>
      </w:r>
      <w:r>
        <w:t xml:space="preserve"> decision set out in Chapters</w:t>
      </w:r>
      <w:r>
        <w:rPr>
          <w:spacing w:val="29"/>
        </w:rPr>
        <w:t xml:space="preserve"> </w:t>
      </w:r>
      <w:r>
        <w:t>8 to 11,</w:t>
      </w:r>
      <w:r>
        <w:rPr>
          <w:spacing w:val="-6"/>
        </w:rPr>
        <w:t xml:space="preserve"> </w:t>
      </w:r>
      <w:r>
        <w:t xml:space="preserve">the </w:t>
      </w:r>
      <w:r>
        <w:rPr>
          <w:spacing w:val="-3"/>
        </w:rPr>
        <w:t>Panel</w:t>
      </w:r>
      <w:r>
        <w:t xml:space="preserve"> made a </w:t>
      </w:r>
      <w:r>
        <w:rPr>
          <w:spacing w:val="-2"/>
        </w:rPr>
        <w:t>draft</w:t>
      </w:r>
      <w:r>
        <w:t xml:space="preserve"> decision on:</w:t>
      </w:r>
    </w:p>
    <w:p w:rsidR="00D96B91" w:rsidRDefault="00C2656B">
      <w:pPr>
        <w:pStyle w:val="BodyText"/>
        <w:numPr>
          <w:ilvl w:val="0"/>
          <w:numId w:val="131"/>
        </w:numPr>
        <w:tabs>
          <w:tab w:val="left" w:pos="1531"/>
        </w:tabs>
        <w:spacing w:before="170" w:line="260" w:lineRule="exact"/>
        <w:ind w:right="1773" w:hanging="283"/>
      </w:pPr>
      <w:r>
        <w:rPr>
          <w:spacing w:val="-2"/>
        </w:rPr>
        <w:t>ACTEW’s</w:t>
      </w:r>
      <w:r>
        <w:t xml:space="preserve"> net </w:t>
      </w:r>
      <w:r>
        <w:rPr>
          <w:spacing w:val="-1"/>
        </w:rPr>
        <w:t>revenue</w:t>
      </w:r>
      <w:r>
        <w:t xml:space="preserve"> </w:t>
      </w:r>
      <w:r>
        <w:rPr>
          <w:spacing w:val="-1"/>
        </w:rPr>
        <w:t>requirement</w:t>
      </w:r>
      <w:r>
        <w:t xml:space="preserve"> in </w:t>
      </w:r>
      <w:r>
        <w:rPr>
          <w:spacing w:val="-1"/>
        </w:rPr>
        <w:t>each</w:t>
      </w:r>
      <w:r>
        <w:t xml:space="preserve"> </w:t>
      </w:r>
      <w:r>
        <w:rPr>
          <w:spacing w:val="-1"/>
        </w:rPr>
        <w:t>year</w:t>
      </w:r>
      <w:r>
        <w:t xml:space="preserve"> of</w:t>
      </w:r>
      <w:r>
        <w:rPr>
          <w:spacing w:val="4"/>
        </w:rPr>
        <w:t xml:space="preserve"> </w:t>
      </w:r>
      <w:r>
        <w:t xml:space="preserve">this </w:t>
      </w:r>
      <w:r>
        <w:rPr>
          <w:spacing w:val="-1"/>
        </w:rPr>
        <w:t>regulatory</w:t>
      </w:r>
      <w:r>
        <w:t xml:space="preserve"> period (1</w:t>
      </w:r>
      <w:r>
        <w:rPr>
          <w:spacing w:val="-3"/>
        </w:rPr>
        <w:t xml:space="preserve"> </w:t>
      </w:r>
      <w:r>
        <w:t>July 2013 – 30</w:t>
      </w:r>
      <w:r>
        <w:rPr>
          <w:spacing w:val="-3"/>
        </w:rPr>
        <w:t xml:space="preserve"> </w:t>
      </w:r>
      <w:r>
        <w:t>June</w:t>
      </w:r>
      <w:r>
        <w:rPr>
          <w:spacing w:val="31"/>
        </w:rPr>
        <w:t xml:space="preserve"> </w:t>
      </w:r>
      <w:r>
        <w:t>2018) by:</w:t>
      </w:r>
    </w:p>
    <w:p w:rsidR="00D96B91" w:rsidRDefault="00C2656B">
      <w:pPr>
        <w:pStyle w:val="BodyText"/>
        <w:numPr>
          <w:ilvl w:val="1"/>
          <w:numId w:val="131"/>
        </w:numPr>
        <w:tabs>
          <w:tab w:val="left" w:pos="1815"/>
        </w:tabs>
        <w:spacing w:before="85" w:line="260" w:lineRule="exact"/>
        <w:ind w:right="1341"/>
        <w:rPr>
          <w:rFonts w:cs="Avenir Next"/>
        </w:rPr>
      </w:pPr>
      <w:r>
        <w:t xml:space="preserve">using the building block methodology to </w:t>
      </w:r>
      <w:r>
        <w:rPr>
          <w:spacing w:val="-1"/>
        </w:rPr>
        <w:t>calculate</w:t>
      </w:r>
      <w:r>
        <w:t xml:space="preserve"> the total </w:t>
      </w:r>
      <w:r>
        <w:rPr>
          <w:spacing w:val="-1"/>
        </w:rPr>
        <w:t>revenue</w:t>
      </w:r>
      <w:r>
        <w:t xml:space="preserve"> </w:t>
      </w:r>
      <w:r>
        <w:rPr>
          <w:spacing w:val="-1"/>
        </w:rPr>
        <w:t>requirement</w:t>
      </w:r>
      <w:r>
        <w:t xml:space="preserve"> for this period,</w:t>
      </w:r>
      <w:r>
        <w:rPr>
          <w:spacing w:val="25"/>
        </w:rPr>
        <w:t xml:space="preserve"> </w:t>
      </w:r>
      <w:r>
        <w:t>and</w:t>
      </w:r>
    </w:p>
    <w:p w:rsidR="00D96B91" w:rsidRDefault="00C2656B">
      <w:pPr>
        <w:pStyle w:val="BodyText"/>
        <w:numPr>
          <w:ilvl w:val="1"/>
          <w:numId w:val="131"/>
        </w:numPr>
        <w:tabs>
          <w:tab w:val="left" w:pos="1815"/>
        </w:tabs>
        <w:spacing w:before="85" w:line="260" w:lineRule="exact"/>
        <w:ind w:right="1719"/>
      </w:pPr>
      <w:r>
        <w:t xml:space="preserve">deducting </w:t>
      </w:r>
      <w:r>
        <w:rPr>
          <w:spacing w:val="-1"/>
        </w:rPr>
        <w:t>expected</w:t>
      </w:r>
      <w:r>
        <w:t xml:space="preserve"> income </w:t>
      </w:r>
      <w:r>
        <w:rPr>
          <w:spacing w:val="-1"/>
        </w:rPr>
        <w:t>from</w:t>
      </w:r>
      <w:r>
        <w:t xml:space="preserve"> other </w:t>
      </w:r>
      <w:r>
        <w:rPr>
          <w:spacing w:val="-1"/>
        </w:rPr>
        <w:t>sources</w:t>
      </w:r>
      <w:r>
        <w:t xml:space="preserve"> and </w:t>
      </w:r>
      <w:r>
        <w:rPr>
          <w:spacing w:val="-1"/>
        </w:rPr>
        <w:t>expenditure</w:t>
      </w:r>
      <w:r>
        <w:t xml:space="preserve"> </w:t>
      </w:r>
      <w:r>
        <w:rPr>
          <w:spacing w:val="-1"/>
        </w:rPr>
        <w:t>that</w:t>
      </w:r>
      <w:r>
        <w:t xml:space="preserve"> should be </w:t>
      </w:r>
      <w:r>
        <w:rPr>
          <w:spacing w:val="-2"/>
        </w:rPr>
        <w:t>treated</w:t>
      </w:r>
      <w:r>
        <w:t xml:space="preserve"> as if</w:t>
      </w:r>
      <w:r>
        <w:rPr>
          <w:spacing w:val="43"/>
        </w:rPr>
        <w:t xml:space="preserve"> </w:t>
      </w:r>
      <w:r>
        <w:t xml:space="preserve">funded </w:t>
      </w:r>
      <w:r>
        <w:rPr>
          <w:spacing w:val="-1"/>
        </w:rPr>
        <w:t>through</w:t>
      </w:r>
      <w:r>
        <w:t xml:space="preserve"> a </w:t>
      </w:r>
      <w:r>
        <w:rPr>
          <w:spacing w:val="-3"/>
        </w:rPr>
        <w:t>CSO.</w:t>
      </w:r>
    </w:p>
    <w:p w:rsidR="00D96B91" w:rsidRDefault="00C2656B">
      <w:pPr>
        <w:pStyle w:val="BodyText"/>
        <w:numPr>
          <w:ilvl w:val="0"/>
          <w:numId w:val="131"/>
        </w:numPr>
        <w:tabs>
          <w:tab w:val="left" w:pos="1531"/>
        </w:tabs>
        <w:spacing w:before="85" w:line="260" w:lineRule="exact"/>
        <w:ind w:right="1374" w:hanging="283"/>
        <w:jc w:val="both"/>
      </w:pPr>
      <w:r>
        <w:rPr>
          <w:spacing w:val="-2"/>
        </w:rPr>
        <w:t>The</w:t>
      </w:r>
      <w:r>
        <w:t xml:space="preserve"> ‘true up’ adjustment </w:t>
      </w:r>
      <w:r>
        <w:rPr>
          <w:spacing w:val="-1"/>
        </w:rPr>
        <w:t>required</w:t>
      </w:r>
      <w:r>
        <w:t xml:space="preserve"> to account for</w:t>
      </w:r>
      <w:r>
        <w:rPr>
          <w:spacing w:val="-4"/>
        </w:rPr>
        <w:t xml:space="preserve"> </w:t>
      </w:r>
      <w:r>
        <w:rPr>
          <w:spacing w:val="-2"/>
        </w:rPr>
        <w:t>ACTEW’s</w:t>
      </w:r>
      <w:r>
        <w:t xml:space="preserve"> </w:t>
      </w:r>
      <w:r>
        <w:rPr>
          <w:spacing w:val="-1"/>
        </w:rPr>
        <w:t>expected</w:t>
      </w:r>
      <w:r>
        <w:t xml:space="preserve"> over (or under) </w:t>
      </w:r>
      <w:r>
        <w:rPr>
          <w:spacing w:val="-1"/>
        </w:rPr>
        <w:t>recovery</w:t>
      </w:r>
      <w:r>
        <w:t xml:space="preserve"> of</w:t>
      </w:r>
      <w:r>
        <w:rPr>
          <w:spacing w:val="4"/>
        </w:rPr>
        <w:t xml:space="preserve"> </w:t>
      </w:r>
      <w:r>
        <w:t>the</w:t>
      </w:r>
      <w:r>
        <w:rPr>
          <w:spacing w:val="27"/>
        </w:rPr>
        <w:t xml:space="preserve"> </w:t>
      </w:r>
      <w:r>
        <w:t xml:space="preserve">net </w:t>
      </w:r>
      <w:r>
        <w:rPr>
          <w:spacing w:val="-1"/>
        </w:rPr>
        <w:t>revenue</w:t>
      </w:r>
      <w:r>
        <w:t xml:space="preserve"> </w:t>
      </w:r>
      <w:r>
        <w:rPr>
          <w:spacing w:val="-1"/>
        </w:rPr>
        <w:t>requirement</w:t>
      </w:r>
      <w:r>
        <w:t xml:space="preserve"> in 2013-14 and 2014-15 when </w:t>
      </w:r>
      <w:r>
        <w:rPr>
          <w:spacing w:val="-1"/>
        </w:rPr>
        <w:t>setting</w:t>
      </w:r>
      <w:r>
        <w:t xml:space="preserve"> prices for the </w:t>
      </w:r>
      <w:r>
        <w:rPr>
          <w:spacing w:val="-1"/>
        </w:rPr>
        <w:t>remaining</w:t>
      </w:r>
      <w:r>
        <w:t xml:space="preserve"> </w:t>
      </w:r>
      <w:r>
        <w:rPr>
          <w:spacing w:val="-1"/>
        </w:rPr>
        <w:t>three</w:t>
      </w:r>
      <w:r>
        <w:t xml:space="preserve"> </w:t>
      </w:r>
      <w:r>
        <w:rPr>
          <w:spacing w:val="-1"/>
        </w:rPr>
        <w:t>years</w:t>
      </w:r>
      <w:r>
        <w:rPr>
          <w:spacing w:val="39"/>
        </w:rPr>
        <w:t xml:space="preserve"> </w:t>
      </w:r>
      <w:r>
        <w:t>of</w:t>
      </w:r>
      <w:r>
        <w:rPr>
          <w:spacing w:val="4"/>
        </w:rPr>
        <w:t xml:space="preserve"> </w:t>
      </w:r>
      <w:r>
        <w:t>the period.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rFonts w:cs="Avenir Next"/>
          <w:spacing w:val="-2"/>
        </w:rPr>
        <w:t>The</w:t>
      </w:r>
      <w:r>
        <w:rPr>
          <w:rFonts w:cs="Avenir Next"/>
        </w:rPr>
        <w:t xml:space="preserve"> sections below </w:t>
      </w:r>
      <w:r>
        <w:rPr>
          <w:rFonts w:cs="Avenir Next"/>
          <w:spacing w:val="-1"/>
        </w:rPr>
        <w:t>provide</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and then discuss its </w:t>
      </w:r>
      <w:r>
        <w:rPr>
          <w:rFonts w:cs="Avenir Next"/>
          <w:spacing w:val="-1"/>
        </w:rPr>
        <w:t>considerations</w:t>
      </w:r>
      <w:r>
        <w:rPr>
          <w:rFonts w:cs="Avenir Next"/>
          <w:spacing w:val="49"/>
        </w:rPr>
        <w:t xml:space="preserve"> </w:t>
      </w:r>
      <w:r>
        <w:t xml:space="preserve">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37"/>
        </w:numPr>
        <w:tabs>
          <w:tab w:val="left" w:pos="1749"/>
        </w:tabs>
        <w:ind w:left="1748"/>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258"/>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w:t>
      </w:r>
      <w:r>
        <w:rPr>
          <w:rFonts w:cs="Avenir Next"/>
          <w:spacing w:val="-4"/>
        </w:rPr>
        <w:t xml:space="preserve"> </w:t>
      </w:r>
      <w:r>
        <w:rPr>
          <w:rFonts w:cs="Avenir Next"/>
          <w:spacing w:val="-2"/>
        </w:rPr>
        <w:t>ACTEW’s</w:t>
      </w:r>
      <w:r>
        <w:rPr>
          <w:rFonts w:cs="Avenir Next"/>
        </w:rPr>
        <w:t xml:space="preserve"> net </w:t>
      </w:r>
      <w:r>
        <w:rPr>
          <w:rFonts w:cs="Avenir Next"/>
          <w:spacing w:val="-1"/>
        </w:rPr>
        <w:t>revenue</w:t>
      </w:r>
      <w:r>
        <w:rPr>
          <w:rFonts w:cs="Avenir Next"/>
        </w:rPr>
        <w:t xml:space="preserve"> </w:t>
      </w:r>
      <w:r>
        <w:rPr>
          <w:rFonts w:cs="Avenir Next"/>
          <w:spacing w:val="-1"/>
        </w:rPr>
        <w:t>requirement</w:t>
      </w:r>
      <w:r>
        <w:rPr>
          <w:rFonts w:cs="Avenir Next"/>
        </w:rPr>
        <w:t xml:space="preserve"> and the ‘true up’ adjustment </w:t>
      </w:r>
      <w:r>
        <w:rPr>
          <w:rFonts w:cs="Avenir Next"/>
          <w:spacing w:val="-2"/>
        </w:rPr>
        <w:t>are</w:t>
      </w:r>
      <w:r>
        <w:rPr>
          <w:rFonts w:cs="Avenir Next"/>
        </w:rPr>
        <w:t xml:space="preserve"> shown</w:t>
      </w:r>
      <w:r>
        <w:rPr>
          <w:rFonts w:cs="Avenir Next"/>
          <w:spacing w:val="43"/>
        </w:rPr>
        <w:t xml:space="preserve"> </w:t>
      </w:r>
      <w:r>
        <w:rPr>
          <w:rFonts w:cs="Avenir Next"/>
        </w:rPr>
        <w:t>in</w:t>
      </w:r>
      <w:r>
        <w:rPr>
          <w:rFonts w:cs="Avenir Next"/>
          <w:spacing w:val="-5"/>
        </w:rPr>
        <w:t xml:space="preserve"> </w:t>
      </w:r>
      <w:hyperlink w:anchor="_bookmark112" w:history="1">
        <w:r>
          <w:rPr>
            <w:spacing w:val="-4"/>
          </w:rPr>
          <w:t>Table</w:t>
        </w:r>
        <w:r>
          <w:t xml:space="preserve"> 13.1</w:t>
        </w:r>
      </w:hyperlink>
      <w:r>
        <w:t>.</w:t>
      </w:r>
    </w:p>
    <w:p w:rsidR="00D96B91" w:rsidRDefault="00D96B91">
      <w:pPr>
        <w:spacing w:before="158"/>
        <w:ind w:left="1247"/>
        <w:rPr>
          <w:rFonts w:ascii="Avenir Next" w:eastAsia="Avenir Next" w:hAnsi="Avenir Next" w:cs="Avenir Next"/>
          <w:sz w:val="20"/>
          <w:szCs w:val="20"/>
        </w:rPr>
      </w:pPr>
      <w:r w:rsidRPr="00D96B91">
        <w:pict>
          <v:group id="_x0000_s1852" style="position:absolute;left:0;text-align:left;margin-left:259.75pt;margin-top:25.25pt;width:.1pt;height:19.85pt;z-index:-251737600;mso-position-horizontal-relative:page" coordorigin="5195,505" coordsize="2,397">
            <v:shape id="_x0000_s1853" style="position:absolute;left:5195;top:505;width:2;height:397" coordorigin="5195,505" coordsize="0,397" path="m5195,902r,-397e" filled="f" strokecolor="#1a9eda" strokeweight=".5pt">
              <v:path arrowok="t"/>
            </v:shape>
            <w10:wrap anchorx="page"/>
          </v:group>
        </w:pict>
      </w:r>
      <w:r w:rsidRPr="00D96B91">
        <w:pict>
          <v:group id="_x0000_s1850" style="position:absolute;left:0;text-align:left;margin-left:310.8pt;margin-top:25.25pt;width:.1pt;height:19.85pt;z-index:-251736576;mso-position-horizontal-relative:page" coordorigin="6216,505" coordsize="2,397">
            <v:shape id="_x0000_s1851" style="position:absolute;left:6216;top:505;width:2;height:397" coordorigin="6216,505" coordsize="0,397" path="m6216,902r,-397e" filled="f" strokecolor="#1a9eda" strokeweight=".5pt">
              <v:path arrowok="t"/>
            </v:shape>
            <w10:wrap anchorx="page"/>
          </v:group>
        </w:pict>
      </w:r>
      <w:r w:rsidRPr="00D96B91">
        <w:pict>
          <v:group id="_x0000_s1848" style="position:absolute;left:0;text-align:left;margin-left:361.8pt;margin-top:25.25pt;width:.1pt;height:19.85pt;z-index:-251735552;mso-position-horizontal-relative:page" coordorigin="7236,505" coordsize="2,397">
            <v:shape id="_x0000_s1849" style="position:absolute;left:7236;top:505;width:2;height:397" coordorigin="7236,505" coordsize="0,397" path="m7236,902r,-397e" filled="f" strokecolor="#1a9eda" strokeweight=".5pt">
              <v:path arrowok="t"/>
            </v:shape>
            <w10:wrap anchorx="page"/>
          </v:group>
        </w:pict>
      </w:r>
      <w:r w:rsidRPr="00D96B91">
        <w:pict>
          <v:group id="_x0000_s1846" style="position:absolute;left:0;text-align:left;margin-left:412.85pt;margin-top:25.25pt;width:.1pt;height:19.85pt;z-index:-251734528;mso-position-horizontal-relative:page" coordorigin="8257,505" coordsize="2,397">
            <v:shape id="_x0000_s1847" style="position:absolute;left:8257;top:505;width:2;height:397" coordorigin="8257,505" coordsize="0,397" path="m8257,902r,-397e" filled="f" strokecolor="#1a9eda" strokeweight=".5pt">
              <v:path arrowok="t"/>
            </v:shape>
            <w10:wrap anchorx="page"/>
          </v:group>
        </w:pict>
      </w:r>
      <w:r w:rsidRPr="00D96B91">
        <w:pict>
          <v:group id="_x0000_s1844" style="position:absolute;left:0;text-align:left;margin-left:463.9pt;margin-top:25.25pt;width:.1pt;height:19.85pt;z-index:-251733504;mso-position-horizontal-relative:page" coordorigin="9278,505" coordsize="2,397">
            <v:shape id="_x0000_s1845" style="position:absolute;left:9278;top:505;width:2;height:397" coordorigin="9278,505" coordsize="0,397" path="m9278,902r,-397e" filled="f" strokecolor="#1a9eda" strokeweight=".5pt">
              <v:path arrowok="t"/>
            </v:shape>
            <w10:wrap anchorx="page"/>
          </v:group>
        </w:pict>
      </w:r>
      <w:bookmarkStart w:id="176" w:name="_bookmark112"/>
      <w:bookmarkEnd w:id="176"/>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13.1: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 – Net </w:t>
      </w:r>
      <w:r w:rsidR="00C2656B">
        <w:rPr>
          <w:rFonts w:ascii="Avenir Next" w:eastAsia="Avenir Next" w:hAnsi="Avenir Next" w:cs="Avenir Next"/>
          <w:b/>
          <w:bCs/>
          <w:spacing w:val="-1"/>
          <w:sz w:val="20"/>
          <w:szCs w:val="20"/>
        </w:rPr>
        <w:t>revenue</w:t>
      </w:r>
      <w:r w:rsidR="00C2656B">
        <w:rPr>
          <w:rFonts w:ascii="Avenir Next" w:eastAsia="Avenir Next" w:hAnsi="Avenir Next" w:cs="Avenir Next"/>
          <w:b/>
          <w:bCs/>
          <w:sz w:val="20"/>
          <w:szCs w:val="20"/>
        </w:rPr>
        <w:t xml:space="preserve"> </w:t>
      </w:r>
      <w:r w:rsidR="00C2656B">
        <w:rPr>
          <w:rFonts w:ascii="Avenir Next" w:eastAsia="Avenir Next" w:hAnsi="Avenir Next" w:cs="Avenir Next"/>
          <w:b/>
          <w:bCs/>
          <w:spacing w:val="-1"/>
          <w:sz w:val="20"/>
          <w:szCs w:val="20"/>
        </w:rPr>
        <w:t>requirement</w:t>
      </w:r>
      <w:r w:rsidR="00C2656B">
        <w:rPr>
          <w:rFonts w:ascii="Avenir Next" w:eastAsia="Avenir Next" w:hAnsi="Avenir Next" w:cs="Avenir Next"/>
          <w:b/>
          <w:bCs/>
          <w:sz w:val="20"/>
          <w:szCs w:val="20"/>
        </w:rPr>
        <w:t xml:space="preserve"> and ‘true up’ adjustment ($m,</w:t>
      </w:r>
      <w:r w:rsidR="00C2656B">
        <w:rPr>
          <w:rFonts w:ascii="Avenir Next" w:eastAsia="Avenir Next" w:hAnsi="Avenir Next" w:cs="Avenir Next"/>
          <w:b/>
          <w:bCs/>
          <w:spacing w:val="-7"/>
          <w:sz w:val="20"/>
          <w:szCs w:val="20"/>
        </w:rPr>
        <w:t xml:space="preserve"> </w:t>
      </w:r>
      <w:r w:rsidR="00C2656B">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943"/>
        <w:gridCol w:w="1021"/>
        <w:gridCol w:w="1021"/>
        <w:gridCol w:w="1021"/>
        <w:gridCol w:w="1021"/>
        <w:gridCol w:w="1021"/>
      </w:tblGrid>
      <w:tr w:rsidR="00D96B91">
        <w:trPr>
          <w:trHeight w:hRule="exact" w:val="407"/>
        </w:trPr>
        <w:tc>
          <w:tcPr>
            <w:tcW w:w="3943"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021"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21"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21"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021"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021" w:type="dxa"/>
            <w:tcBorders>
              <w:top w:val="single" w:sz="4" w:space="0" w:color="1A9EDA"/>
              <w:left w:val="nil"/>
              <w:bottom w:val="single" w:sz="4" w:space="0" w:color="1A9EDA"/>
              <w:right w:val="single" w:sz="4" w:space="0" w:color="1A9EDA"/>
            </w:tcBorders>
            <w:shd w:val="clear" w:color="auto" w:fill="0778B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9046"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Total</w:t>
            </w:r>
            <w:r>
              <w:rPr>
                <w:rFonts w:ascii="Avenir Next Condensed"/>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181.68</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191.96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196.29</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201.05</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207.56</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pacing w:val="-2"/>
                <w:sz w:val="18"/>
              </w:rPr>
              <w:t>Less</w:t>
            </w:r>
            <w:r>
              <w:rPr>
                <w:rFonts w:ascii="Avenir Next Condensed"/>
                <w:i/>
                <w:sz w:val="18"/>
              </w:rPr>
              <w:t xml:space="preserve"> </w:t>
            </w:r>
            <w:r>
              <w:rPr>
                <w:rFonts w:ascii="Avenir Next Condensed"/>
                <w:sz w:val="18"/>
              </w:rPr>
              <w:t xml:space="preserve">other income and </w:t>
            </w: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CSO</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16.22</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16.55</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16.90</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17.25</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17.61</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 xml:space="preserve">Net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165.46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175.41</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179.39</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183.80</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189.95</w:t>
            </w:r>
          </w:p>
        </w:tc>
      </w:tr>
      <w:tr w:rsidR="00D96B91">
        <w:trPr>
          <w:trHeight w:hRule="exact" w:val="62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1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spacing w:val="-1"/>
                <w:sz w:val="18"/>
                <w:szCs w:val="18"/>
              </w:rPr>
              <w:t>‘True</w:t>
            </w:r>
            <w:r>
              <w:rPr>
                <w:rFonts w:ascii="Avenir Next Condensed" w:eastAsia="Avenir Next Condensed" w:hAnsi="Avenir Next Condensed" w:cs="Avenir Next Condensed"/>
                <w:b/>
                <w:bCs/>
                <w:sz w:val="18"/>
                <w:szCs w:val="18"/>
              </w:rPr>
              <w:t xml:space="preserve"> up’ adjustment</w:t>
            </w:r>
            <w:r>
              <w:rPr>
                <w:rFonts w:ascii="Avenir Next Condensed" w:eastAsia="Avenir Next Condensed" w:hAnsi="Avenir Next Condensed" w:cs="Avenir Next Condensed"/>
                <w:b/>
                <w:bCs/>
                <w:spacing w:val="-2"/>
                <w:sz w:val="18"/>
                <w:szCs w:val="18"/>
              </w:rPr>
              <w:t xml:space="preserve"> </w:t>
            </w:r>
            <w:r>
              <w:rPr>
                <w:rFonts w:ascii="Avenir Next Condensed" w:eastAsia="Avenir Next Condensed" w:hAnsi="Avenir Next Condensed" w:cs="Avenir Next Condensed"/>
                <w:sz w:val="18"/>
                <w:szCs w:val="18"/>
              </w:rPr>
              <w:t xml:space="preserve">(negative=adjustment for </w:t>
            </w:r>
            <w:r>
              <w:rPr>
                <w:rFonts w:ascii="Avenir Next Condensed" w:eastAsia="Avenir Next Condensed" w:hAnsi="Avenir Next Condensed" w:cs="Avenir Next Condensed"/>
                <w:spacing w:val="-1"/>
                <w:sz w:val="18"/>
                <w:szCs w:val="18"/>
              </w:rPr>
              <w:t>over-</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positive=adjustment for under </w:t>
            </w:r>
            <w:r>
              <w:rPr>
                <w:rFonts w:ascii="Avenir Next Condensed" w:eastAsia="Avenir Next Condensed" w:hAnsi="Avenir Next Condensed" w:cs="Avenir Next Condensed"/>
                <w:spacing w:val="-1"/>
                <w:sz w:val="18"/>
                <w:szCs w:val="18"/>
              </w:rPr>
              <w:t>recovery)</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b/>
                <w:sz w:val="18"/>
              </w:rPr>
              <w:t>-2.59</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b/>
                <w:sz w:val="18"/>
              </w:rPr>
              <w:t>-8.10</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r>
      <w:tr w:rsidR="00D96B91">
        <w:trPr>
          <w:trHeight w:hRule="exact" w:val="407"/>
        </w:trPr>
        <w:tc>
          <w:tcPr>
            <w:tcW w:w="9046"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Total</w:t>
            </w:r>
            <w:r>
              <w:rPr>
                <w:rFonts w:ascii="Avenir Next Condensed"/>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120.22</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125.14</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131.34</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141.35</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70"/>
              <w:rPr>
                <w:rFonts w:ascii="Avenir Next Condensed" w:eastAsia="Avenir Next Condensed" w:hAnsi="Avenir Next Condensed" w:cs="Avenir Next Condensed"/>
                <w:sz w:val="18"/>
                <w:szCs w:val="18"/>
              </w:rPr>
            </w:pPr>
            <w:r>
              <w:rPr>
                <w:rFonts w:ascii="Avenir Next Condensed"/>
                <w:sz w:val="18"/>
              </w:rPr>
              <w:t>152.18</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pacing w:val="-2"/>
                <w:sz w:val="18"/>
              </w:rPr>
              <w:t>Less</w:t>
            </w:r>
            <w:r>
              <w:rPr>
                <w:rFonts w:ascii="Avenir Next Condensed"/>
                <w:i/>
                <w:sz w:val="18"/>
              </w:rPr>
              <w:t xml:space="preserve"> </w:t>
            </w:r>
            <w:r>
              <w:rPr>
                <w:rFonts w:ascii="Avenir Next Condensed"/>
                <w:sz w:val="18"/>
              </w:rPr>
              <w:t xml:space="preserve">other income and </w:t>
            </w: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CSO</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10.94</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11.21</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11.48</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11.76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12.05</w:t>
            </w:r>
          </w:p>
        </w:tc>
      </w:tr>
      <w:tr w:rsidR="00D96B91">
        <w:trPr>
          <w:trHeight w:hRule="exact" w:val="40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z w:val="18"/>
              </w:rPr>
              <w:t xml:space="preserve">Net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109.27</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113.93</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119.86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129.58</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38"/>
              <w:rPr>
                <w:rFonts w:ascii="Avenir Next Condensed" w:eastAsia="Avenir Next Condensed" w:hAnsi="Avenir Next Condensed" w:cs="Avenir Next Condensed"/>
                <w:sz w:val="18"/>
                <w:szCs w:val="18"/>
              </w:rPr>
            </w:pPr>
            <w:r>
              <w:rPr>
                <w:rFonts w:ascii="Avenir Next Condensed"/>
                <w:b/>
                <w:sz w:val="18"/>
              </w:rPr>
              <w:t>140.13</w:t>
            </w:r>
          </w:p>
        </w:tc>
      </w:tr>
      <w:tr w:rsidR="00D96B91">
        <w:trPr>
          <w:trHeight w:hRule="exact" w:val="627"/>
        </w:trPr>
        <w:tc>
          <w:tcPr>
            <w:tcW w:w="39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1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spacing w:val="-1"/>
                <w:sz w:val="18"/>
                <w:szCs w:val="18"/>
              </w:rPr>
              <w:t>‘True</w:t>
            </w:r>
            <w:r>
              <w:rPr>
                <w:rFonts w:ascii="Avenir Next Condensed" w:eastAsia="Avenir Next Condensed" w:hAnsi="Avenir Next Condensed" w:cs="Avenir Next Condensed"/>
                <w:b/>
                <w:bCs/>
                <w:sz w:val="18"/>
                <w:szCs w:val="18"/>
              </w:rPr>
              <w:t xml:space="preserve"> up’ adjustment</w:t>
            </w:r>
            <w:r>
              <w:rPr>
                <w:rFonts w:ascii="Avenir Next Condensed" w:eastAsia="Avenir Next Condensed" w:hAnsi="Avenir Next Condensed" w:cs="Avenir Next Condensed"/>
                <w:b/>
                <w:bCs/>
                <w:spacing w:val="-2"/>
                <w:sz w:val="18"/>
                <w:szCs w:val="18"/>
              </w:rPr>
              <w:t xml:space="preserve"> </w:t>
            </w:r>
            <w:r>
              <w:rPr>
                <w:rFonts w:ascii="Avenir Next Condensed" w:eastAsia="Avenir Next Condensed" w:hAnsi="Avenir Next Condensed" w:cs="Avenir Next Condensed"/>
                <w:sz w:val="18"/>
                <w:szCs w:val="18"/>
              </w:rPr>
              <w:t xml:space="preserve">(negative=adjustment for </w:t>
            </w:r>
            <w:r>
              <w:rPr>
                <w:rFonts w:ascii="Avenir Next Condensed" w:eastAsia="Avenir Next Condensed" w:hAnsi="Avenir Next Condensed" w:cs="Avenir Next Condensed"/>
                <w:spacing w:val="-1"/>
                <w:sz w:val="18"/>
                <w:szCs w:val="18"/>
              </w:rPr>
              <w:t>over-</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positive=adjustment for under </w:t>
            </w:r>
            <w:r>
              <w:rPr>
                <w:rFonts w:ascii="Avenir Next Condensed" w:eastAsia="Avenir Next Condensed" w:hAnsi="Avenir Next Condensed" w:cs="Avenir Next Condensed"/>
                <w:spacing w:val="-1"/>
                <w:sz w:val="18"/>
                <w:szCs w:val="18"/>
              </w:rPr>
              <w:t>recovery)</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8"/>
              <w:rPr>
                <w:rFonts w:ascii="Avenir Next Condensed" w:eastAsia="Avenir Next Condensed" w:hAnsi="Avenir Next Condensed" w:cs="Avenir Next Condensed"/>
                <w:sz w:val="18"/>
                <w:szCs w:val="18"/>
              </w:rPr>
            </w:pPr>
            <w:r>
              <w:rPr>
                <w:rFonts w:ascii="Avenir Next Condensed"/>
                <w:b/>
                <w:sz w:val="18"/>
              </w:rPr>
              <w:t>0.26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5"/>
              <w:rPr>
                <w:rFonts w:ascii="Avenir Next Condensed" w:eastAsia="Avenir Next Condensed" w:hAnsi="Avenir Next Condensed" w:cs="Avenir Next Condensed"/>
                <w:sz w:val="18"/>
                <w:szCs w:val="18"/>
              </w:rPr>
            </w:pPr>
            <w:r>
              <w:rPr>
                <w:rFonts w:ascii="Avenir Next Condensed"/>
                <w:b/>
                <w:sz w:val="18"/>
              </w:rPr>
              <w:t>-0.76</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c>
          <w:tcPr>
            <w:tcW w:w="10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sz w:val="18"/>
              </w:rPr>
              <w:t>na</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283"/>
        <w:rPr>
          <w:rFonts w:ascii="Avenir Next" w:eastAsia="Avenir Next" w:hAnsi="Avenir Next" w:cs="Avenir Next"/>
          <w:sz w:val="16"/>
          <w:szCs w:val="16"/>
        </w:rPr>
      </w:pPr>
      <w:r>
        <w:rPr>
          <w:rFonts w:ascii="Avenir Next"/>
          <w:sz w:val="16"/>
        </w:rPr>
        <w:t>*</w:t>
      </w:r>
      <w:r>
        <w:rPr>
          <w:rFonts w:ascii="Avenir Next"/>
          <w:spacing w:val="-4"/>
          <w:sz w:val="16"/>
        </w:rPr>
        <w:t xml:space="preserve"> </w:t>
      </w:r>
      <w:r>
        <w:rPr>
          <w:rFonts w:ascii="Avenir Next"/>
          <w:spacing w:val="-1"/>
          <w:sz w:val="16"/>
        </w:rPr>
        <w:t>The</w:t>
      </w:r>
      <w:r>
        <w:rPr>
          <w:rFonts w:ascii="Avenir Next"/>
          <w:sz w:val="16"/>
        </w:rPr>
        <w:t xml:space="preserv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is </w:t>
      </w:r>
      <w:r>
        <w:rPr>
          <w:rFonts w:ascii="Avenir Next"/>
          <w:spacing w:val="-1"/>
          <w:sz w:val="16"/>
        </w:rPr>
        <w:t>calculated</w:t>
      </w:r>
      <w:r>
        <w:rPr>
          <w:rFonts w:ascii="Avenir Next"/>
          <w:sz w:val="16"/>
        </w:rPr>
        <w:t xml:space="preserve"> as the sum of</w:t>
      </w:r>
      <w:r>
        <w:rPr>
          <w:rFonts w:ascii="Avenir Next"/>
          <w:spacing w:val="3"/>
          <w:sz w:val="16"/>
        </w:rPr>
        <w:t xml:space="preserve"> </w:t>
      </w:r>
      <w:r>
        <w:rPr>
          <w:rFonts w:ascii="Avenir Next"/>
          <w:sz w:val="16"/>
        </w:rPr>
        <w:t xml:space="preserve">the following building </w:t>
      </w:r>
      <w:r>
        <w:rPr>
          <w:rFonts w:ascii="Avenir Next"/>
          <w:spacing w:val="-1"/>
          <w:sz w:val="16"/>
        </w:rPr>
        <w:t>blocks:</w:t>
      </w:r>
      <w:r>
        <w:rPr>
          <w:rFonts w:ascii="Avenir Next"/>
          <w:sz w:val="16"/>
        </w:rPr>
        <w:t xml:space="preserve"> </w:t>
      </w:r>
      <w:r>
        <w:rPr>
          <w:rFonts w:ascii="Avenir Next"/>
          <w:spacing w:val="-1"/>
          <w:sz w:val="16"/>
        </w:rPr>
        <w:t>return</w:t>
      </w:r>
      <w:r>
        <w:rPr>
          <w:rFonts w:ascii="Avenir Next"/>
          <w:sz w:val="16"/>
        </w:rPr>
        <w:t xml:space="preserve"> on capital,</w:t>
      </w:r>
      <w:r>
        <w:rPr>
          <w:rFonts w:ascii="Avenir Next"/>
          <w:spacing w:val="-5"/>
          <w:sz w:val="16"/>
        </w:rPr>
        <w:t xml:space="preserve"> </w:t>
      </w:r>
      <w:r>
        <w:rPr>
          <w:rFonts w:ascii="Avenir Next"/>
          <w:spacing w:val="-1"/>
          <w:sz w:val="16"/>
        </w:rPr>
        <w:t>depreciation,</w:t>
      </w:r>
      <w:r>
        <w:rPr>
          <w:rFonts w:ascii="Avenir Next"/>
          <w:spacing w:val="69"/>
          <w:sz w:val="16"/>
        </w:rPr>
        <w:t xml:space="preserve"> </w:t>
      </w:r>
      <w:r>
        <w:rPr>
          <w:rFonts w:ascii="Avenir Next"/>
          <w:spacing w:val="-1"/>
          <w:sz w:val="16"/>
        </w:rPr>
        <w:t>operating</w:t>
      </w:r>
      <w:r>
        <w:rPr>
          <w:rFonts w:ascii="Avenir Next"/>
          <w:sz w:val="16"/>
        </w:rPr>
        <w:t xml:space="preserve"> </w:t>
      </w:r>
      <w:r>
        <w:rPr>
          <w:rFonts w:ascii="Avenir Next"/>
          <w:spacing w:val="-1"/>
          <w:sz w:val="16"/>
        </w:rPr>
        <w:t>expenditure,</w:t>
      </w:r>
      <w:r>
        <w:rPr>
          <w:rFonts w:ascii="Avenir Next"/>
          <w:spacing w:val="-5"/>
          <w:sz w:val="16"/>
        </w:rPr>
        <w:t xml:space="preserve"> </w:t>
      </w:r>
      <w:r>
        <w:rPr>
          <w:rFonts w:ascii="Avenir Next"/>
          <w:sz w:val="16"/>
        </w:rPr>
        <w:t>net tax liabilities,</w:t>
      </w:r>
      <w:r>
        <w:rPr>
          <w:rFonts w:ascii="Avenir Next"/>
          <w:spacing w:val="-5"/>
          <w:sz w:val="16"/>
        </w:rPr>
        <w:t xml:space="preserve"> </w:t>
      </w:r>
      <w:r>
        <w:rPr>
          <w:rFonts w:ascii="Avenir Next"/>
          <w:sz w:val="16"/>
        </w:rPr>
        <w:t xml:space="preserve">the </w:t>
      </w:r>
      <w:r>
        <w:rPr>
          <w:rFonts w:ascii="Avenir Next"/>
          <w:spacing w:val="-1"/>
          <w:sz w:val="16"/>
        </w:rPr>
        <w:t>water</w:t>
      </w:r>
      <w:r>
        <w:rPr>
          <w:rFonts w:ascii="Avenir Next"/>
          <w:sz w:val="16"/>
        </w:rPr>
        <w:t xml:space="preserve"> </w:t>
      </w:r>
      <w:r>
        <w:rPr>
          <w:rFonts w:ascii="Avenir Next"/>
          <w:spacing w:val="-1"/>
          <w:sz w:val="16"/>
        </w:rPr>
        <w:t>abstraction</w:t>
      </w:r>
      <w:r>
        <w:rPr>
          <w:rFonts w:ascii="Avenir Next"/>
          <w:sz w:val="16"/>
        </w:rPr>
        <w:t xml:space="preserve"> </w:t>
      </w:r>
      <w:r>
        <w:rPr>
          <w:rFonts w:ascii="Avenir Next"/>
          <w:spacing w:val="-1"/>
          <w:sz w:val="16"/>
        </w:rPr>
        <w:t>charge</w:t>
      </w:r>
      <w:r>
        <w:rPr>
          <w:rFonts w:ascii="Avenir Next"/>
          <w:sz w:val="16"/>
        </w:rPr>
        <w:t xml:space="preserve"> and utilities network facilities tax.</w:t>
      </w:r>
    </w:p>
    <w:p w:rsidR="00D96B91" w:rsidRDefault="00D96B91">
      <w:pPr>
        <w:rPr>
          <w:rFonts w:ascii="Avenir Next" w:eastAsia="Avenir Next" w:hAnsi="Avenir Next" w:cs="Avenir Next"/>
          <w:sz w:val="16"/>
          <w:szCs w:val="16"/>
        </w:rPr>
        <w:sectPr w:rsidR="00D96B91">
          <w:footerReference w:type="even" r:id="rId84"/>
          <w:footerReference w:type="default" r:id="rId85"/>
          <w:pgSz w:w="11910" w:h="16840"/>
          <w:pgMar w:top="1260" w:right="0" w:bottom="1020" w:left="0" w:header="0" w:footer="829" w:gutter="0"/>
          <w:pgNumType w:start="125"/>
          <w:cols w:space="720"/>
        </w:sectPr>
      </w:pPr>
    </w:p>
    <w:p w:rsidR="00D96B91" w:rsidRDefault="00C2656B">
      <w:pPr>
        <w:pStyle w:val="BodyText"/>
        <w:spacing w:before="29"/>
        <w:rPr>
          <w:rFonts w:cs="Avenir Next"/>
        </w:rPr>
      </w:pPr>
      <w:bookmarkStart w:id="177" w:name="_bookmark115"/>
      <w:bookmarkStart w:id="178" w:name="13._2_Total_revenue_requirement"/>
      <w:bookmarkStart w:id="179" w:name="_bookmark113"/>
      <w:bookmarkEnd w:id="177"/>
      <w:bookmarkEnd w:id="178"/>
      <w:bookmarkEnd w:id="179"/>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w:t>
      </w:r>
      <w:r>
        <w:rPr>
          <w:rFonts w:cs="Avenir Next"/>
          <w:spacing w:val="-4"/>
        </w:rPr>
        <w:t xml:space="preserve"> </w:t>
      </w:r>
      <w:r>
        <w:rPr>
          <w:rFonts w:cs="Avenir Next"/>
          <w:spacing w:val="-2"/>
        </w:rPr>
        <w:t>ACTEW’s</w:t>
      </w:r>
      <w:r>
        <w:rPr>
          <w:rFonts w:cs="Avenir Next"/>
        </w:rPr>
        <w:t xml:space="preserve"> net </w:t>
      </w:r>
      <w:r>
        <w:rPr>
          <w:rFonts w:cs="Avenir Next"/>
          <w:spacing w:val="-1"/>
        </w:rPr>
        <w:t>revenue</w:t>
      </w:r>
      <w:r>
        <w:rPr>
          <w:rFonts w:cs="Avenir Next"/>
        </w:rPr>
        <w:t xml:space="preserve"> </w:t>
      </w:r>
      <w:r>
        <w:rPr>
          <w:rFonts w:cs="Avenir Next"/>
          <w:spacing w:val="-1"/>
        </w:rPr>
        <w:t>requirement</w:t>
      </w:r>
      <w:r>
        <w:rPr>
          <w:rFonts w:cs="Avenir Next"/>
        </w:rPr>
        <w:t xml:space="preserve"> is:</w:t>
      </w:r>
    </w:p>
    <w:p w:rsidR="00D96B91" w:rsidRDefault="00C2656B">
      <w:pPr>
        <w:pStyle w:val="BodyText"/>
        <w:numPr>
          <w:ilvl w:val="0"/>
          <w:numId w:val="131"/>
        </w:numPr>
        <w:tabs>
          <w:tab w:val="left" w:pos="1531"/>
        </w:tabs>
        <w:spacing w:before="149" w:line="260" w:lineRule="exact"/>
        <w:ind w:right="1654" w:hanging="283"/>
      </w:pPr>
      <w:r>
        <w:rPr>
          <w:spacing w:val="-1"/>
        </w:rPr>
        <w:t xml:space="preserve">approximately </w:t>
      </w:r>
      <w:r>
        <w:t xml:space="preserve">$34 million (6%) </w:t>
      </w:r>
      <w:r>
        <w:rPr>
          <w:rFonts w:cs="Avenir Next"/>
          <w:b/>
          <w:bCs/>
        </w:rPr>
        <w:t>higher</w:t>
      </w:r>
      <w:r>
        <w:rPr>
          <w:rFonts w:cs="Avenir Next"/>
          <w:b/>
          <w:bCs/>
          <w:spacing w:val="-1"/>
        </w:rPr>
        <w:t xml:space="preserve"> </w:t>
      </w:r>
      <w:r>
        <w:t xml:space="preserve">than the </w:t>
      </w:r>
      <w:r>
        <w:rPr>
          <w:spacing w:val="-2"/>
        </w:rPr>
        <w:t>ICRC’s</w:t>
      </w:r>
      <w:r>
        <w:t xml:space="preserve"> final</w:t>
      </w:r>
      <w:r>
        <w:rPr>
          <w:spacing w:val="-1"/>
        </w:rPr>
        <w:t xml:space="preserve"> </w:t>
      </w:r>
      <w:r>
        <w:t xml:space="preserve">decision for the </w:t>
      </w:r>
      <w:r>
        <w:rPr>
          <w:rFonts w:cs="Avenir Next"/>
          <w:b/>
          <w:bCs/>
        </w:rPr>
        <w:t>first</w:t>
      </w:r>
      <w:r>
        <w:rPr>
          <w:rFonts w:cs="Avenir Next"/>
          <w:b/>
          <w:bCs/>
          <w:spacing w:val="-1"/>
        </w:rPr>
        <w:t xml:space="preserve"> </w:t>
      </w:r>
      <w:r>
        <w:rPr>
          <w:rFonts w:cs="Avenir Next"/>
          <w:b/>
          <w:bCs/>
        </w:rPr>
        <w:t xml:space="preserve">two </w:t>
      </w:r>
      <w:r>
        <w:rPr>
          <w:rFonts w:cs="Avenir Next"/>
          <w:b/>
          <w:bCs/>
          <w:spacing w:val="-1"/>
        </w:rPr>
        <w:t>years</w:t>
      </w:r>
      <w:r>
        <w:rPr>
          <w:rFonts w:cs="Avenir Next"/>
          <w:b/>
          <w:bCs/>
        </w:rPr>
        <w:t xml:space="preserve"> </w:t>
      </w:r>
      <w:r>
        <w:rPr>
          <w:rFonts w:cs="Avenir Next"/>
        </w:rPr>
        <w:t>of</w:t>
      </w:r>
      <w:r>
        <w:rPr>
          <w:rFonts w:cs="Avenir Next"/>
          <w:spacing w:val="4"/>
        </w:rPr>
        <w:t xml:space="preserve"> </w:t>
      </w:r>
      <w:r>
        <w:rPr>
          <w:rFonts w:cs="Avenir Next"/>
        </w:rPr>
        <w:t>the</w:t>
      </w:r>
      <w:r>
        <w:rPr>
          <w:rFonts w:cs="Avenir Next"/>
          <w:spacing w:val="21"/>
        </w:rPr>
        <w:t xml:space="preserve"> </w:t>
      </w:r>
      <w:r>
        <w:t xml:space="preserve">period </w:t>
      </w:r>
      <w:r>
        <w:rPr>
          <w:spacing w:val="-1"/>
        </w:rPr>
        <w:t>(water:</w:t>
      </w:r>
      <w:r>
        <w:t xml:space="preserve"> $26.6 million and </w:t>
      </w:r>
      <w:r>
        <w:rPr>
          <w:spacing w:val="-1"/>
        </w:rPr>
        <w:t>sewerage:</w:t>
      </w:r>
      <w:r>
        <w:t xml:space="preserve"> $7.7 million),</w:t>
      </w:r>
      <w:r>
        <w:rPr>
          <w:spacing w:val="-6"/>
        </w:rPr>
        <w:t xml:space="preserve"> </w:t>
      </w:r>
      <w:r>
        <w:t>and</w:t>
      </w:r>
    </w:p>
    <w:p w:rsidR="00D96B91" w:rsidRDefault="00C2656B">
      <w:pPr>
        <w:numPr>
          <w:ilvl w:val="0"/>
          <w:numId w:val="131"/>
        </w:numPr>
        <w:tabs>
          <w:tab w:val="left" w:pos="1531"/>
        </w:tabs>
        <w:spacing w:before="93" w:line="267" w:lineRule="exact"/>
        <w:ind w:hanging="283"/>
        <w:rPr>
          <w:rFonts w:ascii="Avenir Next" w:eastAsia="Avenir Next" w:hAnsi="Avenir Next" w:cs="Avenir Next"/>
          <w:sz w:val="20"/>
          <w:szCs w:val="20"/>
        </w:rPr>
      </w:pPr>
      <w:r>
        <w:rPr>
          <w:rFonts w:ascii="Avenir Next" w:eastAsia="Avenir Next" w:hAnsi="Avenir Next" w:cs="Avenir Next"/>
          <w:spacing w:val="-1"/>
          <w:sz w:val="20"/>
          <w:szCs w:val="20"/>
        </w:rPr>
        <w:t>approximately</w:t>
      </w:r>
      <w:r>
        <w:rPr>
          <w:rFonts w:ascii="Avenir Next" w:eastAsia="Avenir Next" w:hAnsi="Avenir Next" w:cs="Avenir Next"/>
          <w:sz w:val="20"/>
          <w:szCs w:val="20"/>
        </w:rPr>
        <w:t xml:space="preserve"> $267 million (15%) </w:t>
      </w:r>
      <w:r>
        <w:rPr>
          <w:rFonts w:ascii="Avenir Next" w:eastAsia="Avenir Next" w:hAnsi="Avenir Next" w:cs="Avenir Next"/>
          <w:b/>
          <w:bCs/>
          <w:sz w:val="20"/>
          <w:szCs w:val="20"/>
        </w:rPr>
        <w:t xml:space="preserve">lower </w:t>
      </w:r>
      <w:r>
        <w:rPr>
          <w:rFonts w:ascii="Avenir Next" w:eastAsia="Avenir Next" w:hAnsi="Avenir Next" w:cs="Avenir Next"/>
          <w:sz w:val="20"/>
          <w:szCs w:val="20"/>
        </w:rPr>
        <w:t>than</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SOFC </w:t>
      </w:r>
      <w:r>
        <w:rPr>
          <w:rFonts w:ascii="Avenir Next" w:eastAsia="Avenir Next" w:hAnsi="Avenir Next" w:cs="Avenir Next"/>
          <w:spacing w:val="-1"/>
          <w:sz w:val="20"/>
          <w:szCs w:val="20"/>
        </w:rPr>
        <w:t>proposal</w:t>
      </w:r>
      <w:r>
        <w:rPr>
          <w:rFonts w:ascii="Avenir Next" w:eastAsia="Avenir Next" w:hAnsi="Avenir Next" w:cs="Avenir Next"/>
          <w:sz w:val="20"/>
          <w:szCs w:val="20"/>
        </w:rPr>
        <w:t xml:space="preserve"> for the </w:t>
      </w:r>
      <w:r>
        <w:rPr>
          <w:rFonts w:ascii="Avenir Next" w:eastAsia="Avenir Next" w:hAnsi="Avenir Next" w:cs="Avenir Next"/>
          <w:b/>
          <w:bCs/>
          <w:sz w:val="20"/>
          <w:szCs w:val="20"/>
        </w:rPr>
        <w:t xml:space="preserve">full </w:t>
      </w:r>
      <w:r>
        <w:rPr>
          <w:rFonts w:ascii="Avenir Next" w:eastAsia="Avenir Next" w:hAnsi="Avenir Next" w:cs="Avenir Next"/>
          <w:b/>
          <w:bCs/>
          <w:spacing w:val="-1"/>
          <w:sz w:val="20"/>
          <w:szCs w:val="20"/>
        </w:rPr>
        <w:t>five-year</w:t>
      </w:r>
      <w:r>
        <w:rPr>
          <w:rFonts w:ascii="Avenir Next" w:eastAsia="Avenir Next" w:hAnsi="Avenir Next" w:cs="Avenir Next"/>
          <w:b/>
          <w:bCs/>
          <w:sz w:val="20"/>
          <w:szCs w:val="20"/>
        </w:rPr>
        <w:t xml:space="preserve"> period</w:t>
      </w:r>
    </w:p>
    <w:p w:rsidR="00D96B91" w:rsidRDefault="00C2656B">
      <w:pPr>
        <w:pStyle w:val="BodyText"/>
        <w:spacing w:line="267" w:lineRule="exact"/>
        <w:ind w:left="1530"/>
      </w:pPr>
      <w:r>
        <w:rPr>
          <w:spacing w:val="-1"/>
        </w:rPr>
        <w:t>(water:</w:t>
      </w:r>
      <w:r>
        <w:t xml:space="preserve"> $159 million and </w:t>
      </w:r>
      <w:r>
        <w:rPr>
          <w:spacing w:val="-1"/>
        </w:rPr>
        <w:t>sewerage:</w:t>
      </w:r>
      <w:r>
        <w:t xml:space="preserve"> $108 million).</w:t>
      </w:r>
    </w:p>
    <w:p w:rsidR="00D96B91" w:rsidRDefault="00D96B91">
      <w:pPr>
        <w:spacing w:before="9"/>
        <w:rPr>
          <w:rFonts w:ascii="Avenir Next" w:eastAsia="Avenir Next" w:hAnsi="Avenir Next" w:cs="Avenir Next"/>
          <w:sz w:val="15"/>
          <w:szCs w:val="15"/>
        </w:rPr>
      </w:pPr>
    </w:p>
    <w:p w:rsidR="00D96B91" w:rsidRDefault="00C2656B">
      <w:pPr>
        <w:pStyle w:val="BodyText"/>
      </w:pPr>
      <w:r>
        <w:rPr>
          <w:spacing w:val="-2"/>
        </w:rPr>
        <w:t>The</w:t>
      </w:r>
      <w:r>
        <w:rPr>
          <w:spacing w:val="-1"/>
        </w:rPr>
        <w:t xml:space="preserve"> </w:t>
      </w:r>
      <w:r>
        <w:rPr>
          <w:spacing w:val="-4"/>
        </w:rPr>
        <w:t>Panel’s</w:t>
      </w:r>
      <w:r>
        <w:t xml:space="preserve"> </w:t>
      </w:r>
      <w:r>
        <w:rPr>
          <w:spacing w:val="-2"/>
        </w:rPr>
        <w:t>draft</w:t>
      </w:r>
      <w:r>
        <w:rPr>
          <w:spacing w:val="-1"/>
        </w:rPr>
        <w:t xml:space="preserve"> </w:t>
      </w:r>
      <w:r>
        <w:t>decision on the</w:t>
      </w:r>
      <w:r>
        <w:rPr>
          <w:spacing w:val="-1"/>
        </w:rPr>
        <w:t xml:space="preserve"> </w:t>
      </w:r>
      <w:r>
        <w:t>‘true up’</w:t>
      </w:r>
      <w:r>
        <w:rPr>
          <w:spacing w:val="-1"/>
        </w:rPr>
        <w:t xml:space="preserve"> </w:t>
      </w:r>
      <w:r>
        <w:t xml:space="preserve">adjustment </w:t>
      </w:r>
      <w:r>
        <w:rPr>
          <w:spacing w:val="-1"/>
        </w:rPr>
        <w:t>reflects</w:t>
      </w:r>
      <w:r>
        <w:t xml:space="preserve"> its</w:t>
      </w:r>
      <w:r>
        <w:rPr>
          <w:spacing w:val="-1"/>
        </w:rPr>
        <w:t xml:space="preserve"> expectation</w:t>
      </w:r>
      <w:r>
        <w:t xml:space="preserve"> </w:t>
      </w:r>
      <w:r>
        <w:rPr>
          <w:spacing w:val="-1"/>
        </w:rPr>
        <w:t>that</w:t>
      </w:r>
      <w:r>
        <w:rPr>
          <w:spacing w:val="-5"/>
        </w:rPr>
        <w:t xml:space="preserve"> </w:t>
      </w:r>
      <w:r>
        <w:rPr>
          <w:spacing w:val="-2"/>
        </w:rPr>
        <w:t>ACTEW</w:t>
      </w:r>
      <w:r>
        <w:rPr>
          <w:spacing w:val="-3"/>
        </w:rPr>
        <w:t xml:space="preserve"> </w:t>
      </w:r>
      <w:r>
        <w:t xml:space="preserve">will </w:t>
      </w:r>
      <w:r>
        <w:rPr>
          <w:spacing w:val="-1"/>
        </w:rPr>
        <w:t>recover:</w:t>
      </w:r>
    </w:p>
    <w:p w:rsidR="00D96B91" w:rsidRDefault="00C2656B">
      <w:pPr>
        <w:pStyle w:val="BodyText"/>
        <w:numPr>
          <w:ilvl w:val="0"/>
          <w:numId w:val="131"/>
        </w:numPr>
        <w:tabs>
          <w:tab w:val="left" w:pos="1531"/>
        </w:tabs>
        <w:spacing w:before="149" w:line="260" w:lineRule="exact"/>
        <w:ind w:right="1552" w:hanging="283"/>
        <w:rPr>
          <w:rFonts w:cs="Avenir Next"/>
        </w:rPr>
      </w:pPr>
      <w:r>
        <w:t xml:space="preserve">$10.6 million </w:t>
      </w:r>
      <w:r>
        <w:rPr>
          <w:b/>
          <w:spacing w:val="-1"/>
        </w:rPr>
        <w:t>more</w:t>
      </w:r>
      <w:r>
        <w:rPr>
          <w:b/>
        </w:rPr>
        <w:t xml:space="preserve"> </w:t>
      </w:r>
      <w:r>
        <w:rPr>
          <w:spacing w:val="-1"/>
        </w:rPr>
        <w:t>revenue</w:t>
      </w:r>
      <w:r>
        <w:t xml:space="preserve"> </w:t>
      </w:r>
      <w:r>
        <w:rPr>
          <w:spacing w:val="-1"/>
        </w:rPr>
        <w:t>from</w:t>
      </w:r>
      <w:r>
        <w:t xml:space="preserve"> the </w:t>
      </w:r>
      <w:r>
        <w:rPr>
          <w:spacing w:val="-1"/>
        </w:rPr>
        <w:t>provision</w:t>
      </w:r>
      <w:r>
        <w:t xml:space="preserve"> of</w:t>
      </w:r>
      <w:r>
        <w:rPr>
          <w:spacing w:val="4"/>
        </w:rPr>
        <w:t xml:space="preserve"> </w:t>
      </w:r>
      <w:r>
        <w:rPr>
          <w:spacing w:val="-1"/>
        </w:rPr>
        <w:t>water</w:t>
      </w:r>
      <w:r>
        <w:t xml:space="preserve"> services in 2013-14 and 2014-15 than the</w:t>
      </w:r>
      <w:r>
        <w:rPr>
          <w:spacing w:val="23"/>
        </w:rPr>
        <w:t xml:space="preserve"> </w:t>
      </w:r>
      <w:r>
        <w:t xml:space="preserve">net </w:t>
      </w:r>
      <w:r>
        <w:rPr>
          <w:spacing w:val="-1"/>
        </w:rPr>
        <w:t>revenue</w:t>
      </w:r>
      <w:r>
        <w:t xml:space="preserve"> </w:t>
      </w:r>
      <w:r>
        <w:rPr>
          <w:spacing w:val="-1"/>
        </w:rPr>
        <w:t>requirement</w:t>
      </w:r>
      <w:r>
        <w:t xml:space="preserve"> for these two </w:t>
      </w:r>
      <w:r>
        <w:rPr>
          <w:spacing w:val="-1"/>
        </w:rPr>
        <w:t>years,</w:t>
      </w:r>
      <w:r>
        <w:rPr>
          <w:spacing w:val="-6"/>
        </w:rPr>
        <w:t xml:space="preserve"> </w:t>
      </w:r>
      <w:r>
        <w:t>and</w:t>
      </w:r>
    </w:p>
    <w:p w:rsidR="00D96B91" w:rsidRDefault="00C2656B">
      <w:pPr>
        <w:pStyle w:val="BodyText"/>
        <w:numPr>
          <w:ilvl w:val="0"/>
          <w:numId w:val="131"/>
        </w:numPr>
        <w:tabs>
          <w:tab w:val="left" w:pos="1531"/>
        </w:tabs>
        <w:spacing w:before="85" w:line="260" w:lineRule="exact"/>
        <w:ind w:right="1288" w:hanging="283"/>
      </w:pPr>
      <w:r>
        <w:t xml:space="preserve">$0.5 million </w:t>
      </w:r>
      <w:r>
        <w:rPr>
          <w:b/>
          <w:spacing w:val="-1"/>
        </w:rPr>
        <w:t>more</w:t>
      </w:r>
      <w:r>
        <w:rPr>
          <w:b/>
        </w:rPr>
        <w:t xml:space="preserve"> </w:t>
      </w:r>
      <w:r>
        <w:rPr>
          <w:spacing w:val="-1"/>
        </w:rPr>
        <w:t>revenue</w:t>
      </w:r>
      <w:r>
        <w:t xml:space="preserve"> </w:t>
      </w:r>
      <w:r>
        <w:rPr>
          <w:spacing w:val="-1"/>
        </w:rPr>
        <w:t>from</w:t>
      </w:r>
      <w:r>
        <w:t xml:space="preserve"> the </w:t>
      </w:r>
      <w:r>
        <w:rPr>
          <w:spacing w:val="-1"/>
        </w:rPr>
        <w:t>provision</w:t>
      </w:r>
      <w:r>
        <w:t xml:space="preserve"> of</w:t>
      </w:r>
      <w:r>
        <w:rPr>
          <w:spacing w:val="4"/>
        </w:rPr>
        <w:t xml:space="preserve"> </w:t>
      </w:r>
      <w:r>
        <w:rPr>
          <w:spacing w:val="-1"/>
        </w:rPr>
        <w:t>sewerage</w:t>
      </w:r>
      <w:r>
        <w:t xml:space="preserve"> services in 2013-14 and 2014-15 than the</w:t>
      </w:r>
      <w:r>
        <w:rPr>
          <w:spacing w:val="27"/>
        </w:rPr>
        <w:t xml:space="preserve"> </w:t>
      </w:r>
      <w:r>
        <w:t xml:space="preserve">net </w:t>
      </w:r>
      <w:r>
        <w:rPr>
          <w:spacing w:val="-1"/>
        </w:rPr>
        <w:t>revenue</w:t>
      </w:r>
      <w:r>
        <w:t xml:space="preserve"> </w:t>
      </w:r>
      <w:r>
        <w:rPr>
          <w:spacing w:val="-1"/>
        </w:rPr>
        <w:t>requirement</w:t>
      </w:r>
      <w:r>
        <w:t xml:space="preserve"> for these two </w:t>
      </w:r>
      <w:r>
        <w:rPr>
          <w:spacing w:val="-1"/>
        </w:rPr>
        <w:t>years.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pPr>
      <w:r>
        <w:rPr>
          <w:rFonts w:cs="Avenir Next"/>
          <w:spacing w:val="-2"/>
        </w:rPr>
        <w:t>The</w:t>
      </w:r>
      <w:r>
        <w:rPr>
          <w:rFonts w:cs="Avenir Next"/>
        </w:rPr>
        <w:t xml:space="preserve"> model the </w:t>
      </w:r>
      <w:r>
        <w:rPr>
          <w:rFonts w:cs="Avenir Next"/>
          <w:spacing w:val="-3"/>
        </w:rPr>
        <w:t>Panel</w:t>
      </w:r>
      <w:r>
        <w:rPr>
          <w:rFonts w:cs="Avenir Next"/>
        </w:rPr>
        <w:t xml:space="preserve"> used to </w:t>
      </w:r>
      <w:r>
        <w:rPr>
          <w:rFonts w:cs="Avenir Next"/>
          <w:spacing w:val="-1"/>
        </w:rPr>
        <w:t>calculate</w:t>
      </w:r>
      <w:r>
        <w:rPr>
          <w:rFonts w:cs="Avenir Next"/>
        </w:rPr>
        <w:t xml:space="preserve"> prices for</w:t>
      </w:r>
      <w:r>
        <w:rPr>
          <w:rFonts w:cs="Avenir Next"/>
          <w:spacing w:val="-4"/>
        </w:rPr>
        <w:t xml:space="preserve"> </w:t>
      </w:r>
      <w:r>
        <w:rPr>
          <w:rFonts w:cs="Avenir Next"/>
          <w:spacing w:val="-2"/>
        </w:rPr>
        <w:t>ACTEW’s</w:t>
      </w:r>
      <w:r>
        <w:rPr>
          <w:rFonts w:cs="Avenir Next"/>
        </w:rPr>
        <w:t xml:space="preserve"> </w:t>
      </w:r>
      <w:r>
        <w:rPr>
          <w:rFonts w:cs="Avenir Next"/>
          <w:spacing w:val="-1"/>
        </w:rPr>
        <w:t>water</w:t>
      </w:r>
      <w:r>
        <w:rPr>
          <w:rFonts w:cs="Avenir Next"/>
        </w:rPr>
        <w:t xml:space="preserve"> and </w:t>
      </w:r>
      <w:r>
        <w:rPr>
          <w:rFonts w:cs="Avenir Next"/>
          <w:spacing w:val="-1"/>
        </w:rPr>
        <w:t>sewerage</w:t>
      </w:r>
      <w:r>
        <w:rPr>
          <w:rFonts w:cs="Avenir Next"/>
        </w:rPr>
        <w:t xml:space="preserve"> services in the</w:t>
      </w:r>
      <w:r>
        <w:rPr>
          <w:rFonts w:cs="Avenir Next"/>
          <w:spacing w:val="39"/>
        </w:rPr>
        <w:t xml:space="preserve"> </w:t>
      </w:r>
      <w:r>
        <w:rPr>
          <w:spacing w:val="-1"/>
        </w:rPr>
        <w:t>remaining</w:t>
      </w:r>
      <w:r>
        <w:t xml:space="preserve"> </w:t>
      </w:r>
      <w:r>
        <w:rPr>
          <w:spacing w:val="-1"/>
        </w:rPr>
        <w:t>three</w:t>
      </w:r>
      <w:r>
        <w:t xml:space="preserve"> </w:t>
      </w:r>
      <w:r>
        <w:rPr>
          <w:spacing w:val="-1"/>
        </w:rPr>
        <w:t>years</w:t>
      </w:r>
      <w:r>
        <w:t xml:space="preserve"> of</w:t>
      </w:r>
      <w:r>
        <w:rPr>
          <w:spacing w:val="4"/>
        </w:rPr>
        <w:t xml:space="preserve"> </w:t>
      </w:r>
      <w:r>
        <w:t xml:space="preserve">the </w:t>
      </w:r>
      <w:r>
        <w:rPr>
          <w:spacing w:val="-1"/>
        </w:rPr>
        <w:t>regulatory</w:t>
      </w:r>
      <w:r>
        <w:t xml:space="preserve"> period (discussed in Chapter 14) applied the ‘true up’</w:t>
      </w:r>
      <w:r>
        <w:rPr>
          <w:spacing w:val="27"/>
        </w:rPr>
        <w:t xml:space="preserve"> </w:t>
      </w:r>
      <w:r>
        <w:rPr>
          <w:rFonts w:cs="Avenir Next"/>
        </w:rPr>
        <w:t xml:space="preserve">adjustments to the net </w:t>
      </w:r>
      <w:r>
        <w:rPr>
          <w:rFonts w:cs="Avenir Next"/>
          <w:spacing w:val="-1"/>
        </w:rPr>
        <w:t>revenue</w:t>
      </w:r>
      <w:r>
        <w:rPr>
          <w:rFonts w:cs="Avenir Next"/>
        </w:rPr>
        <w:t xml:space="preserve"> </w:t>
      </w:r>
      <w:r>
        <w:rPr>
          <w:rFonts w:cs="Avenir Next"/>
          <w:spacing w:val="-1"/>
        </w:rPr>
        <w:t>requirements</w:t>
      </w:r>
      <w:r>
        <w:rPr>
          <w:rFonts w:cs="Avenir Next"/>
        </w:rPr>
        <w:t xml:space="preserve"> for these </w:t>
      </w:r>
      <w:r>
        <w:rPr>
          <w:rFonts w:cs="Avenir Next"/>
          <w:spacing w:val="-1"/>
        </w:rPr>
        <w:t>years</w:t>
      </w:r>
      <w:r>
        <w:rPr>
          <w:rFonts w:cs="Avenir Next"/>
        </w:rPr>
        <w:t xml:space="preserve"> in a way </w:t>
      </w:r>
      <w:r>
        <w:rPr>
          <w:rFonts w:cs="Avenir Next"/>
          <w:spacing w:val="-1"/>
        </w:rPr>
        <w:t>that</w:t>
      </w:r>
      <w:r>
        <w:rPr>
          <w:rFonts w:cs="Avenir Next"/>
        </w:rPr>
        <w:t xml:space="preserve"> smoothed the impact on</w:t>
      </w:r>
      <w:r>
        <w:rPr>
          <w:rFonts w:cs="Avenir Next"/>
          <w:spacing w:val="23"/>
        </w:rPr>
        <w:t xml:space="preserve"> </w:t>
      </w:r>
      <w:r>
        <w:t xml:space="preserve">prices and was </w:t>
      </w:r>
      <w:r>
        <w:rPr>
          <w:spacing w:val="-1"/>
        </w:rPr>
        <w:t>neutral</w:t>
      </w:r>
      <w:r>
        <w:t xml:space="preserve"> in net </w:t>
      </w:r>
      <w:r>
        <w:rPr>
          <w:spacing w:val="-1"/>
        </w:rPr>
        <w:t>present</w:t>
      </w:r>
      <w:r>
        <w:t xml:space="preserve"> value terms.</w:t>
      </w:r>
    </w:p>
    <w:p w:rsidR="00D96B91" w:rsidRDefault="00D96B91">
      <w:pPr>
        <w:spacing w:before="9"/>
        <w:rPr>
          <w:rFonts w:ascii="Avenir Next" w:eastAsia="Avenir Next" w:hAnsi="Avenir Next" w:cs="Avenir Next"/>
          <w:sz w:val="29"/>
          <w:szCs w:val="29"/>
        </w:rPr>
      </w:pPr>
    </w:p>
    <w:p w:rsidR="00D96B91" w:rsidRDefault="00C2656B">
      <w:pPr>
        <w:pStyle w:val="Heading4"/>
      </w:pPr>
      <w:r>
        <w:rPr>
          <w:color w:val="0778BE"/>
        </w:rPr>
        <w:t>13.</w:t>
      </w:r>
      <w:r>
        <w:rPr>
          <w:color w:val="0778BE"/>
          <w:spacing w:val="-9"/>
        </w:rPr>
        <w:t xml:space="preserve"> </w:t>
      </w:r>
      <w:r>
        <w:rPr>
          <w:color w:val="0778BE"/>
        </w:rPr>
        <w:t>2</w:t>
      </w:r>
      <w:r>
        <w:rPr>
          <w:color w:val="0778BE"/>
          <w:spacing w:val="39"/>
        </w:rPr>
        <w:t xml:space="preserve"> </w:t>
      </w:r>
      <w:r>
        <w:rPr>
          <w:color w:val="0778BE"/>
          <w:spacing w:val="-29"/>
        </w:rPr>
        <w:t>T</w:t>
      </w:r>
      <w:r>
        <w:rPr>
          <w:color w:val="0778BE"/>
        </w:rPr>
        <w:t xml:space="preserve">otal </w:t>
      </w:r>
      <w:r>
        <w:rPr>
          <w:color w:val="0778BE"/>
          <w:spacing w:val="-6"/>
        </w:rPr>
        <w:t>r</w:t>
      </w:r>
      <w:r>
        <w:rPr>
          <w:color w:val="0778BE"/>
        </w:rPr>
        <w:t xml:space="preserve">evenue </w:t>
      </w:r>
      <w:r>
        <w:rPr>
          <w:color w:val="0778BE"/>
          <w:spacing w:val="-6"/>
        </w:rPr>
        <w:t>r</w:t>
      </w:r>
      <w:r>
        <w:rPr>
          <w:color w:val="0778BE"/>
        </w:rPr>
        <w:t>equi</w:t>
      </w:r>
      <w:r>
        <w:rPr>
          <w:color w:val="0778BE"/>
          <w:spacing w:val="-6"/>
        </w:rPr>
        <w:t>r</w:t>
      </w:r>
      <w:r>
        <w:rPr>
          <w:color w:val="0778BE"/>
        </w:rPr>
        <w:t>ement</w:t>
      </w:r>
    </w:p>
    <w:p w:rsidR="00D96B91" w:rsidRDefault="00C2656B">
      <w:pPr>
        <w:pStyle w:val="BodyText"/>
        <w:spacing w:before="55" w:line="260" w:lineRule="exact"/>
        <w:ind w:right="1256"/>
      </w:pPr>
      <w:r>
        <w:rPr>
          <w:rFonts w:cs="Avenir Next"/>
          <w:spacing w:val="-10"/>
        </w:rPr>
        <w:t>To</w:t>
      </w:r>
      <w:r>
        <w:rPr>
          <w:rFonts w:cs="Avenir Next"/>
        </w:rPr>
        <w:t xml:space="preserve"> determine</w:t>
      </w:r>
      <w:r>
        <w:rPr>
          <w:rFonts w:cs="Avenir Next"/>
          <w:spacing w:val="-4"/>
        </w:rPr>
        <w:t xml:space="preserve"> </w:t>
      </w:r>
      <w:r>
        <w:rPr>
          <w:rFonts w:cs="Avenir Next"/>
          <w:spacing w:val="-2"/>
        </w:rPr>
        <w:t>ACTEW’s</w:t>
      </w:r>
      <w:r>
        <w:rPr>
          <w:rFonts w:cs="Avenir Next"/>
        </w:rPr>
        <w:t xml:space="preserve"> total </w:t>
      </w:r>
      <w:r>
        <w:rPr>
          <w:rFonts w:cs="Avenir Next"/>
          <w:spacing w:val="-1"/>
        </w:rPr>
        <w:t>revenue</w:t>
      </w:r>
      <w:r>
        <w:rPr>
          <w:rFonts w:cs="Avenir Next"/>
        </w:rPr>
        <w:t xml:space="preserve"> </w:t>
      </w:r>
      <w:r>
        <w:rPr>
          <w:rFonts w:cs="Avenir Next"/>
          <w:spacing w:val="-1"/>
        </w:rPr>
        <w:t>requirement</w:t>
      </w:r>
      <w:r>
        <w:rPr>
          <w:rFonts w:cs="Avenir Next"/>
        </w:rPr>
        <w:t xml:space="preserve"> for the </w:t>
      </w:r>
      <w:r>
        <w:rPr>
          <w:rFonts w:cs="Avenir Next"/>
          <w:spacing w:val="-1"/>
        </w:rPr>
        <w:t>provision</w:t>
      </w:r>
      <w:r>
        <w:rPr>
          <w:rFonts w:cs="Avenir Next"/>
        </w:rPr>
        <w:t xml:space="preserve"> of</w:t>
      </w:r>
      <w:r>
        <w:rPr>
          <w:rFonts w:cs="Avenir Next"/>
          <w:spacing w:val="4"/>
        </w:rPr>
        <w:t xml:space="preserve"> </w:t>
      </w:r>
      <w:r>
        <w:rPr>
          <w:rFonts w:cs="Avenir Next"/>
          <w:spacing w:val="-1"/>
        </w:rPr>
        <w:t>water</w:t>
      </w:r>
      <w:r>
        <w:rPr>
          <w:rFonts w:cs="Avenir Next"/>
        </w:rPr>
        <w:t xml:space="preserve"> services and </w:t>
      </w:r>
      <w:r>
        <w:rPr>
          <w:rFonts w:cs="Avenir Next"/>
          <w:spacing w:val="-1"/>
        </w:rPr>
        <w:t>sewerage</w:t>
      </w:r>
      <w:r>
        <w:rPr>
          <w:rFonts w:cs="Avenir Next"/>
          <w:spacing w:val="41"/>
        </w:rPr>
        <w:t xml:space="preserve"> </w:t>
      </w:r>
      <w:r>
        <w:rPr>
          <w:rFonts w:cs="Avenir Next"/>
        </w:rPr>
        <w:t xml:space="preserve">services in this </w:t>
      </w:r>
      <w:r>
        <w:rPr>
          <w:rFonts w:cs="Avenir Next"/>
          <w:spacing w:val="-1"/>
        </w:rPr>
        <w:t>regulatory</w:t>
      </w:r>
      <w:r>
        <w:rPr>
          <w:rFonts w:cs="Avenir Next"/>
        </w:rPr>
        <w:t xml:space="preserve"> period,</w:t>
      </w:r>
      <w:r>
        <w:rPr>
          <w:rFonts w:cs="Avenir Next"/>
          <w:spacing w:val="-6"/>
        </w:rPr>
        <w:t xml:space="preserve"> </w:t>
      </w:r>
      <w:r>
        <w:rPr>
          <w:rFonts w:cs="Avenir Next"/>
        </w:rPr>
        <w:t xml:space="preserve">the </w:t>
      </w:r>
      <w:r>
        <w:rPr>
          <w:rFonts w:cs="Avenir Next"/>
          <w:spacing w:val="-3"/>
        </w:rPr>
        <w:t>Panel</w:t>
      </w:r>
      <w:r>
        <w:rPr>
          <w:rFonts w:cs="Avenir Next"/>
        </w:rPr>
        <w:t xml:space="preserve"> made a </w:t>
      </w:r>
      <w:r>
        <w:rPr>
          <w:rFonts w:cs="Avenir Next"/>
          <w:spacing w:val="-2"/>
        </w:rPr>
        <w:t>draft</w:t>
      </w:r>
      <w:r>
        <w:rPr>
          <w:rFonts w:cs="Avenir Next"/>
        </w:rPr>
        <w:t xml:space="preserve"> decision on the value of</w:t>
      </w:r>
      <w:r>
        <w:rPr>
          <w:rFonts w:cs="Avenir Next"/>
          <w:spacing w:val="4"/>
        </w:rPr>
        <w:t xml:space="preserve"> </w:t>
      </w:r>
      <w:r>
        <w:rPr>
          <w:rFonts w:cs="Avenir Next"/>
        </w:rPr>
        <w:t xml:space="preserve">the building </w:t>
      </w:r>
      <w:r>
        <w:rPr>
          <w:rFonts w:cs="Avenir Next"/>
          <w:spacing w:val="-1"/>
        </w:rPr>
        <w:t>blocks</w:t>
      </w:r>
      <w:r>
        <w:rPr>
          <w:rFonts w:cs="Avenir Next"/>
          <w:spacing w:val="29"/>
        </w:rPr>
        <w:t xml:space="preserve"> </w:t>
      </w:r>
      <w:r>
        <w:t>discussed in Chapter 7,</w:t>
      </w:r>
      <w:r>
        <w:rPr>
          <w:spacing w:val="-7"/>
        </w:rPr>
        <w:t xml:space="preserve"> </w:t>
      </w:r>
      <w:r>
        <w:t xml:space="preserve">using the conclusions </w:t>
      </w:r>
      <w:r>
        <w:rPr>
          <w:spacing w:val="-1"/>
        </w:rPr>
        <w:t>reached</w:t>
      </w:r>
      <w:r>
        <w:t xml:space="preserve"> in Chapters 8 to 11.</w:t>
      </w:r>
      <w:r>
        <w:rPr>
          <w:spacing w:val="-7"/>
        </w:rPr>
        <w:t xml:space="preserve"> </w:t>
      </w:r>
      <w:r>
        <w:t>It then summed the value of</w:t>
      </w:r>
      <w:r>
        <w:rPr>
          <w:spacing w:val="22"/>
        </w:rPr>
        <w:t xml:space="preserve"> </w:t>
      </w:r>
      <w:r>
        <w:rPr>
          <w:rFonts w:cs="Avenir Next"/>
        </w:rPr>
        <w:t xml:space="preserve">the building </w:t>
      </w:r>
      <w:r>
        <w:rPr>
          <w:rFonts w:cs="Avenir Next"/>
          <w:spacing w:val="-1"/>
        </w:rPr>
        <w:t>blocks,</w:t>
      </w:r>
      <w:r>
        <w:rPr>
          <w:rFonts w:cs="Avenir Next"/>
          <w:spacing w:val="-6"/>
        </w:rPr>
        <w:t xml:space="preserve"> </w:t>
      </w:r>
      <w:r>
        <w:rPr>
          <w:rFonts w:cs="Avenir Next"/>
        </w:rPr>
        <w:t>as shown in</w:t>
      </w:r>
      <w:r>
        <w:rPr>
          <w:rFonts w:cs="Avenir Next"/>
          <w:spacing w:val="-5"/>
        </w:rPr>
        <w:t xml:space="preserve"> </w:t>
      </w:r>
      <w:hyperlink w:anchor="_bookmark114" w:history="1">
        <w:r>
          <w:rPr>
            <w:spacing w:val="-4"/>
          </w:rPr>
          <w:t>Table</w:t>
        </w:r>
        <w:r>
          <w:t xml:space="preserve"> 13.2</w:t>
        </w:r>
      </w:hyperlink>
      <w:r>
        <w:t xml:space="preserve"> </w:t>
      </w:r>
      <w:r>
        <w:rPr>
          <w:rFonts w:cs="Avenir Next"/>
        </w:rPr>
        <w:t>and</w:t>
      </w:r>
      <w:r>
        <w:rPr>
          <w:rFonts w:cs="Avenir Next"/>
          <w:spacing w:val="-5"/>
        </w:rPr>
        <w:t xml:space="preserve"> </w:t>
      </w:r>
      <w:r>
        <w:rPr>
          <w:spacing w:val="-4"/>
        </w:rPr>
        <w:t>Table</w:t>
      </w:r>
      <w:r>
        <w:t xml:space="preserve"> 13.3.</w:t>
      </w:r>
    </w:p>
    <w:p w:rsidR="00D96B91" w:rsidRDefault="00C2656B">
      <w:pPr>
        <w:spacing w:before="158"/>
        <w:ind w:left="1247"/>
        <w:rPr>
          <w:rFonts w:ascii="Avenir Next" w:eastAsia="Avenir Next" w:hAnsi="Avenir Next" w:cs="Avenir Next"/>
          <w:sz w:val="20"/>
          <w:szCs w:val="20"/>
        </w:rPr>
      </w:pPr>
      <w:bookmarkStart w:id="180" w:name="_bookmark114"/>
      <w:bookmarkEnd w:id="180"/>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13.2: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3"/>
          <w:sz w:val="20"/>
          <w:szCs w:val="20"/>
        </w:rPr>
        <w:t xml:space="preserve"> </w:t>
      </w:r>
      <w:r>
        <w:rPr>
          <w:rFonts w:ascii="Avenir Next" w:eastAsia="Avenir Next" w:hAnsi="Avenir Next" w:cs="Avenir Next"/>
          <w:b/>
          <w:bCs/>
          <w:spacing w:val="-2"/>
          <w:sz w:val="20"/>
          <w:szCs w:val="20"/>
        </w:rPr>
        <w:t>Water</w:t>
      </w:r>
      <w:r>
        <w:rPr>
          <w:rFonts w:ascii="Avenir Next" w:eastAsia="Avenir Next" w:hAnsi="Avenir Next" w:cs="Avenir Next"/>
          <w:b/>
          <w:bCs/>
          <w:sz w:val="20"/>
          <w:szCs w:val="20"/>
        </w:rPr>
        <w:t xml:space="preserve"> total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($m,</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759"/>
        <w:gridCol w:w="1328"/>
        <w:gridCol w:w="1328"/>
        <w:gridCol w:w="1328"/>
        <w:gridCol w:w="1328"/>
        <w:gridCol w:w="1328"/>
      </w:tblGrid>
      <w:tr w:rsidR="00D96B91">
        <w:trPr>
          <w:trHeight w:hRule="exact" w:val="407"/>
        </w:trPr>
        <w:tc>
          <w:tcPr>
            <w:tcW w:w="275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3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3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32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67"/>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75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Return</w:t>
            </w:r>
            <w:r>
              <w:rPr>
                <w:rFonts w:ascii="Avenir Next Condensed"/>
                <w:sz w:val="18"/>
              </w:rPr>
              <w:t xml:space="preserve"> on capital</w:t>
            </w:r>
          </w:p>
        </w:tc>
        <w:tc>
          <w:tcPr>
            <w:tcW w:w="13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64.99</w:t>
            </w:r>
          </w:p>
        </w:tc>
        <w:tc>
          <w:tcPr>
            <w:tcW w:w="13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66.71</w:t>
            </w:r>
          </w:p>
        </w:tc>
        <w:tc>
          <w:tcPr>
            <w:tcW w:w="13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68.37</w:t>
            </w:r>
          </w:p>
        </w:tc>
        <w:tc>
          <w:tcPr>
            <w:tcW w:w="13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70.10</w:t>
            </w:r>
          </w:p>
        </w:tc>
        <w:tc>
          <w:tcPr>
            <w:tcW w:w="132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72.32</w:t>
            </w:r>
          </w:p>
        </w:tc>
      </w:tr>
      <w:tr w:rsidR="00D96B91">
        <w:trPr>
          <w:trHeight w:hRule="exact" w:val="407"/>
        </w:trPr>
        <w:tc>
          <w:tcPr>
            <w:tcW w:w="27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24.52</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25.86</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27.14</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28.49</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30.09</w:t>
            </w:r>
          </w:p>
        </w:tc>
      </w:tr>
      <w:tr w:rsidR="00D96B91">
        <w:trPr>
          <w:trHeight w:hRule="exact" w:val="407"/>
        </w:trPr>
        <w:tc>
          <w:tcPr>
            <w:tcW w:w="27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62.75</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66.15</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5"/>
              <w:rPr>
                <w:rFonts w:ascii="Avenir Next Condensed" w:eastAsia="Avenir Next Condensed" w:hAnsi="Avenir Next Condensed" w:cs="Avenir Next Condensed"/>
                <w:sz w:val="18"/>
                <w:szCs w:val="18"/>
              </w:rPr>
            </w:pPr>
            <w:r>
              <w:rPr>
                <w:rFonts w:ascii="Avenir Next Condensed"/>
                <w:sz w:val="18"/>
              </w:rPr>
              <w:t>66.91</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67.94</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70.32</w:t>
            </w:r>
          </w:p>
        </w:tc>
      </w:tr>
      <w:tr w:rsidR="00D96B91">
        <w:trPr>
          <w:trHeight w:hRule="exact" w:val="407"/>
        </w:trPr>
        <w:tc>
          <w:tcPr>
            <w:tcW w:w="27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abstraction</w:t>
            </w:r>
            <w:r>
              <w:rPr>
                <w:rFonts w:ascii="Avenir Next Condensed"/>
                <w:sz w:val="18"/>
              </w:rPr>
              <w:t xml:space="preserve"> </w:t>
            </w:r>
            <w:r>
              <w:rPr>
                <w:rFonts w:ascii="Avenir Next Condensed"/>
                <w:spacing w:val="-1"/>
                <w:sz w:val="18"/>
              </w:rPr>
              <w:t>charge</w:t>
            </w:r>
            <w:r>
              <w:rPr>
                <w:rFonts w:ascii="Avenir Next Condensed"/>
                <w:sz w:val="18"/>
              </w:rPr>
              <w:t xml:space="preserve"> </w:t>
            </w:r>
            <w:r>
              <w:rPr>
                <w:rFonts w:ascii="Avenir Next Condensed"/>
                <w:spacing w:val="-2"/>
                <w:sz w:val="18"/>
              </w:rPr>
              <w:t>(WAC)</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25.01</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27.81</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28.17</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28.53</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4"/>
              <w:rPr>
                <w:rFonts w:ascii="Avenir Next Condensed" w:eastAsia="Avenir Next Condensed" w:hAnsi="Avenir Next Condensed" w:cs="Avenir Next Condensed"/>
                <w:sz w:val="18"/>
                <w:szCs w:val="18"/>
              </w:rPr>
            </w:pPr>
            <w:r>
              <w:rPr>
                <w:rFonts w:ascii="Avenir Next Condensed"/>
                <w:sz w:val="18"/>
              </w:rPr>
              <w:t>28.90</w:t>
            </w:r>
          </w:p>
        </w:tc>
      </w:tr>
      <w:tr w:rsidR="00D96B91">
        <w:trPr>
          <w:trHeight w:hRule="exact" w:val="407"/>
        </w:trPr>
        <w:tc>
          <w:tcPr>
            <w:tcW w:w="27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Utilities Network facilities tax</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
              <w:jc w:val="center"/>
              <w:rPr>
                <w:rFonts w:ascii="Avenir Next Condensed" w:eastAsia="Avenir Next Condensed" w:hAnsi="Avenir Next Condensed" w:cs="Avenir Next Condensed"/>
                <w:sz w:val="18"/>
                <w:szCs w:val="18"/>
              </w:rPr>
            </w:pPr>
            <w:r>
              <w:rPr>
                <w:rFonts w:ascii="Avenir Next Condensed"/>
                <w:sz w:val="18"/>
              </w:rPr>
              <w:t>4.10</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
              <w:jc w:val="center"/>
              <w:rPr>
                <w:rFonts w:ascii="Avenir Next Condensed" w:eastAsia="Avenir Next Condensed" w:hAnsi="Avenir Next Condensed" w:cs="Avenir Next Condensed"/>
                <w:sz w:val="18"/>
                <w:szCs w:val="18"/>
              </w:rPr>
            </w:pPr>
            <w:r>
              <w:rPr>
                <w:rFonts w:ascii="Avenir Next Condensed"/>
                <w:sz w:val="18"/>
              </w:rPr>
              <w:t>4.52</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4.74</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4.97</w:t>
            </w:r>
          </w:p>
        </w:tc>
        <w:tc>
          <w:tcPr>
            <w:tcW w:w="132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5.09</w:t>
            </w:r>
          </w:p>
        </w:tc>
      </w:tr>
      <w:tr w:rsidR="00D96B91">
        <w:trPr>
          <w:trHeight w:hRule="exact" w:val="417"/>
        </w:trPr>
        <w:tc>
          <w:tcPr>
            <w:tcW w:w="2759"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Net tax liabilities</w:t>
            </w:r>
          </w:p>
        </w:tc>
        <w:tc>
          <w:tcPr>
            <w:tcW w:w="13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0.30</w:t>
            </w:r>
          </w:p>
        </w:tc>
        <w:tc>
          <w:tcPr>
            <w:tcW w:w="13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0.91</w:t>
            </w:r>
          </w:p>
        </w:tc>
        <w:tc>
          <w:tcPr>
            <w:tcW w:w="13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0.97</w:t>
            </w:r>
          </w:p>
        </w:tc>
        <w:tc>
          <w:tcPr>
            <w:tcW w:w="13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1.02</w:t>
            </w:r>
          </w:p>
        </w:tc>
        <w:tc>
          <w:tcPr>
            <w:tcW w:w="132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
              <w:jc w:val="center"/>
              <w:rPr>
                <w:rFonts w:ascii="Avenir Next Condensed" w:eastAsia="Avenir Next Condensed" w:hAnsi="Avenir Next Condensed" w:cs="Avenir Next Condensed"/>
                <w:sz w:val="18"/>
                <w:szCs w:val="18"/>
              </w:rPr>
            </w:pPr>
            <w:r>
              <w:rPr>
                <w:rFonts w:ascii="Avenir Next Condensed"/>
                <w:sz w:val="18"/>
              </w:rPr>
              <w:t>0.83</w:t>
            </w:r>
          </w:p>
        </w:tc>
      </w:tr>
      <w:tr w:rsidR="00D96B91">
        <w:trPr>
          <w:trHeight w:hRule="exact" w:val="407"/>
        </w:trPr>
        <w:tc>
          <w:tcPr>
            <w:tcW w:w="2759"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3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17"/>
              <w:rPr>
                <w:rFonts w:ascii="Avenir Next Condensed" w:eastAsia="Avenir Next Condensed" w:hAnsi="Avenir Next Condensed" w:cs="Avenir Next Condensed"/>
                <w:sz w:val="18"/>
                <w:szCs w:val="18"/>
              </w:rPr>
            </w:pPr>
            <w:r>
              <w:rPr>
                <w:rFonts w:ascii="Avenir Next Condensed"/>
                <w:b/>
                <w:sz w:val="18"/>
              </w:rPr>
              <w:t>181.68</w:t>
            </w:r>
          </w:p>
        </w:tc>
        <w:tc>
          <w:tcPr>
            <w:tcW w:w="13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17"/>
              <w:rPr>
                <w:rFonts w:ascii="Avenir Next Condensed" w:eastAsia="Avenir Next Condensed" w:hAnsi="Avenir Next Condensed" w:cs="Avenir Next Condensed"/>
                <w:sz w:val="18"/>
                <w:szCs w:val="18"/>
              </w:rPr>
            </w:pPr>
            <w:r>
              <w:rPr>
                <w:rFonts w:ascii="Avenir Next Condensed"/>
                <w:b/>
                <w:sz w:val="18"/>
              </w:rPr>
              <w:t>191.96</w:t>
            </w:r>
          </w:p>
        </w:tc>
        <w:tc>
          <w:tcPr>
            <w:tcW w:w="13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17"/>
              <w:rPr>
                <w:rFonts w:ascii="Avenir Next Condensed" w:eastAsia="Avenir Next Condensed" w:hAnsi="Avenir Next Condensed" w:cs="Avenir Next Condensed"/>
                <w:sz w:val="18"/>
                <w:szCs w:val="18"/>
              </w:rPr>
            </w:pPr>
            <w:r>
              <w:rPr>
                <w:rFonts w:ascii="Avenir Next Condensed"/>
                <w:b/>
                <w:sz w:val="18"/>
              </w:rPr>
              <w:t>196.29</w:t>
            </w:r>
          </w:p>
        </w:tc>
        <w:tc>
          <w:tcPr>
            <w:tcW w:w="13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17"/>
              <w:rPr>
                <w:rFonts w:ascii="Avenir Next Condensed" w:eastAsia="Avenir Next Condensed" w:hAnsi="Avenir Next Condensed" w:cs="Avenir Next Condensed"/>
                <w:sz w:val="18"/>
                <w:szCs w:val="18"/>
              </w:rPr>
            </w:pPr>
            <w:r>
              <w:rPr>
                <w:rFonts w:ascii="Avenir Next Condensed"/>
                <w:b/>
                <w:sz w:val="18"/>
              </w:rPr>
              <w:t>201.05</w:t>
            </w:r>
          </w:p>
        </w:tc>
        <w:tc>
          <w:tcPr>
            <w:tcW w:w="132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17"/>
              <w:rPr>
                <w:rFonts w:ascii="Avenir Next Condensed" w:eastAsia="Avenir Next Condensed" w:hAnsi="Avenir Next Condensed" w:cs="Avenir Next Condensed"/>
                <w:sz w:val="18"/>
                <w:szCs w:val="18"/>
              </w:rPr>
            </w:pPr>
            <w:r>
              <w:rPr>
                <w:rFonts w:ascii="Avenir Next Condensed"/>
                <w:b/>
                <w:sz w:val="18"/>
              </w:rPr>
              <w:t>207.56</w:t>
            </w:r>
          </w:p>
        </w:tc>
      </w:tr>
    </w:tbl>
    <w:p w:rsidR="00D96B91" w:rsidRDefault="00D96B91">
      <w:pPr>
        <w:rPr>
          <w:rFonts w:ascii="Avenir Next" w:eastAsia="Avenir Next" w:hAnsi="Avenir Next" w:cs="Avenir Next"/>
          <w:b/>
          <w:bCs/>
          <w:sz w:val="5"/>
          <w:szCs w:val="5"/>
        </w:rPr>
      </w:pPr>
    </w:p>
    <w:p w:rsidR="00D96B91" w:rsidRDefault="00C2656B">
      <w:pPr>
        <w:spacing w:before="46"/>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13.3: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total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($m,</w:t>
      </w:r>
      <w:r>
        <w:rPr>
          <w:rFonts w:ascii="Avenir Next" w:eastAsia="Avenir Next" w:hAnsi="Avenir Next" w:cs="Avenir Next"/>
          <w:b/>
          <w:bCs/>
          <w:spacing w:val="-6"/>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687"/>
        <w:gridCol w:w="1343"/>
        <w:gridCol w:w="1343"/>
        <w:gridCol w:w="1343"/>
        <w:gridCol w:w="1343"/>
        <w:gridCol w:w="1343"/>
      </w:tblGrid>
      <w:tr w:rsidR="00D96B91">
        <w:trPr>
          <w:trHeight w:hRule="exact" w:val="407"/>
        </w:trPr>
        <w:tc>
          <w:tcPr>
            <w:tcW w:w="268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3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3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3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3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3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74"/>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68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Return</w:t>
            </w:r>
            <w:r>
              <w:rPr>
                <w:rFonts w:ascii="Avenir Next Condensed"/>
                <w:sz w:val="18"/>
              </w:rPr>
              <w:t xml:space="preserve"> on capital</w:t>
            </w:r>
          </w:p>
        </w:tc>
        <w:tc>
          <w:tcPr>
            <w:tcW w:w="13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31.29</w:t>
            </w:r>
          </w:p>
        </w:tc>
        <w:tc>
          <w:tcPr>
            <w:tcW w:w="13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32.62</w:t>
            </w:r>
          </w:p>
        </w:tc>
        <w:tc>
          <w:tcPr>
            <w:tcW w:w="13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35.02</w:t>
            </w:r>
          </w:p>
        </w:tc>
        <w:tc>
          <w:tcPr>
            <w:tcW w:w="13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39.26</w:t>
            </w:r>
          </w:p>
        </w:tc>
        <w:tc>
          <w:tcPr>
            <w:tcW w:w="13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43.70</w:t>
            </w:r>
          </w:p>
        </w:tc>
      </w:tr>
      <w:tr w:rsidR="00D96B91">
        <w:trPr>
          <w:trHeight w:hRule="exact" w:val="407"/>
        </w:trPr>
        <w:tc>
          <w:tcPr>
            <w:tcW w:w="268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Depreciation</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16.64</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18.06</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20.19</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23.52</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27.26</w:t>
            </w:r>
          </w:p>
        </w:tc>
      </w:tr>
      <w:tr w:rsidR="00D96B91">
        <w:trPr>
          <w:trHeight w:hRule="exact" w:val="407"/>
        </w:trPr>
        <w:tc>
          <w:tcPr>
            <w:tcW w:w="268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Operating</w:t>
            </w:r>
            <w:r>
              <w:rPr>
                <w:rFonts w:ascii="Avenir Next Condensed"/>
                <w:sz w:val="18"/>
              </w:rPr>
              <w:t xml:space="preserve"> </w:t>
            </w:r>
            <w:r>
              <w:rPr>
                <w:rFonts w:ascii="Avenir Next Condensed"/>
                <w:spacing w:val="-1"/>
                <w:sz w:val="18"/>
              </w:rPr>
              <w:t>expenditure</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67.70</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69.29</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70.64</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73.33</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3"/>
              <w:jc w:val="center"/>
              <w:rPr>
                <w:rFonts w:ascii="Avenir Next Condensed" w:eastAsia="Avenir Next Condensed" w:hAnsi="Avenir Next Condensed" w:cs="Avenir Next Condensed"/>
                <w:sz w:val="18"/>
                <w:szCs w:val="18"/>
              </w:rPr>
            </w:pPr>
            <w:r>
              <w:rPr>
                <w:rFonts w:ascii="Avenir Next Condensed"/>
                <w:sz w:val="18"/>
              </w:rPr>
              <w:t>76.27</w:t>
            </w:r>
          </w:p>
        </w:tc>
      </w:tr>
      <w:tr w:rsidR="00D96B91">
        <w:trPr>
          <w:trHeight w:hRule="exact" w:val="407"/>
        </w:trPr>
        <w:tc>
          <w:tcPr>
            <w:tcW w:w="268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Utilities Network facilities tax (UNFT)</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3.39</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3.72</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3.89</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4.07</w:t>
            </w:r>
          </w:p>
        </w:tc>
        <w:tc>
          <w:tcPr>
            <w:tcW w:w="13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4.25</w:t>
            </w:r>
          </w:p>
        </w:tc>
      </w:tr>
      <w:tr w:rsidR="00D96B91">
        <w:trPr>
          <w:trHeight w:hRule="exact" w:val="417"/>
        </w:trPr>
        <w:tc>
          <w:tcPr>
            <w:tcW w:w="268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Net tax liabilities</w:t>
            </w:r>
          </w:p>
        </w:tc>
        <w:tc>
          <w:tcPr>
            <w:tcW w:w="134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1.19</w:t>
            </w:r>
          </w:p>
        </w:tc>
        <w:tc>
          <w:tcPr>
            <w:tcW w:w="134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1.46</w:t>
            </w:r>
          </w:p>
        </w:tc>
        <w:tc>
          <w:tcPr>
            <w:tcW w:w="134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1.60</w:t>
            </w:r>
          </w:p>
        </w:tc>
        <w:tc>
          <w:tcPr>
            <w:tcW w:w="134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1.18</w:t>
            </w:r>
          </w:p>
        </w:tc>
        <w:tc>
          <w:tcPr>
            <w:tcW w:w="134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
              <w:jc w:val="center"/>
              <w:rPr>
                <w:rFonts w:ascii="Avenir Next Condensed" w:eastAsia="Avenir Next Condensed" w:hAnsi="Avenir Next Condensed" w:cs="Avenir Next Condensed"/>
                <w:sz w:val="18"/>
                <w:szCs w:val="18"/>
              </w:rPr>
            </w:pPr>
            <w:r>
              <w:rPr>
                <w:rFonts w:ascii="Avenir Next Condensed"/>
                <w:sz w:val="18"/>
              </w:rPr>
              <w:t>0.70</w:t>
            </w:r>
          </w:p>
        </w:tc>
      </w:tr>
      <w:tr w:rsidR="00D96B91">
        <w:trPr>
          <w:trHeight w:hRule="exact" w:val="407"/>
        </w:trPr>
        <w:tc>
          <w:tcPr>
            <w:tcW w:w="268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34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120.22</w:t>
            </w:r>
          </w:p>
        </w:tc>
        <w:tc>
          <w:tcPr>
            <w:tcW w:w="134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125.14</w:t>
            </w:r>
          </w:p>
        </w:tc>
        <w:tc>
          <w:tcPr>
            <w:tcW w:w="134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131.34</w:t>
            </w:r>
          </w:p>
        </w:tc>
        <w:tc>
          <w:tcPr>
            <w:tcW w:w="134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141.35</w:t>
            </w:r>
          </w:p>
        </w:tc>
        <w:tc>
          <w:tcPr>
            <w:tcW w:w="134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33"/>
              <w:rPr>
                <w:rFonts w:ascii="Avenir Next Condensed" w:eastAsia="Avenir Next Condensed" w:hAnsi="Avenir Next Condensed" w:cs="Avenir Next Condensed"/>
                <w:sz w:val="18"/>
                <w:szCs w:val="18"/>
              </w:rPr>
            </w:pPr>
            <w:r>
              <w:rPr>
                <w:rFonts w:ascii="Avenir Next Condensed"/>
                <w:b/>
                <w:sz w:val="18"/>
              </w:rPr>
              <w:t>152.18</w:t>
            </w:r>
          </w:p>
        </w:tc>
      </w:tr>
    </w:tbl>
    <w:p w:rsidR="00D96B91" w:rsidRDefault="00D96B91">
      <w:pPr>
        <w:rPr>
          <w:rFonts w:ascii="Avenir Next Condensed" w:eastAsia="Avenir Next Condensed" w:hAnsi="Avenir Next Condensed" w:cs="Avenir Next Condensed"/>
          <w:sz w:val="18"/>
          <w:szCs w:val="18"/>
        </w:rPr>
        <w:sectPr w:rsidR="00D96B91">
          <w:pgSz w:w="11910" w:h="16840"/>
          <w:pgMar w:top="1200" w:right="0" w:bottom="1020" w:left="0" w:header="0" w:footer="829" w:gutter="0"/>
          <w:cols w:space="720"/>
        </w:sectPr>
      </w:pPr>
    </w:p>
    <w:p w:rsidR="00D96B91" w:rsidRDefault="00C2656B">
      <w:pPr>
        <w:pStyle w:val="BodyText"/>
        <w:spacing w:before="21" w:line="260" w:lineRule="exact"/>
        <w:ind w:right="1548"/>
        <w:rPr>
          <w:rFonts w:cs="Avenir Next"/>
        </w:rPr>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on the total </w:t>
      </w:r>
      <w:r>
        <w:rPr>
          <w:rFonts w:cs="Avenir Next"/>
          <w:spacing w:val="-1"/>
        </w:rPr>
        <w:t>revenue</w:t>
      </w:r>
      <w:r>
        <w:rPr>
          <w:rFonts w:cs="Avenir Next"/>
        </w:rPr>
        <w:t xml:space="preserve"> </w:t>
      </w:r>
      <w:r>
        <w:rPr>
          <w:rFonts w:cs="Avenir Next"/>
          <w:spacing w:val="-1"/>
        </w:rPr>
        <w:t>requirement</w:t>
      </w:r>
      <w:r>
        <w:rPr>
          <w:rFonts w:cs="Avenir Next"/>
        </w:rPr>
        <w:t xml:space="preserve"> for </w:t>
      </w:r>
      <w:r>
        <w:rPr>
          <w:rFonts w:cs="Avenir Next"/>
          <w:spacing w:val="-1"/>
        </w:rPr>
        <w:t>water</w:t>
      </w:r>
      <w:r>
        <w:rPr>
          <w:rFonts w:cs="Avenir Next"/>
        </w:rPr>
        <w:t xml:space="preserve"> and </w:t>
      </w:r>
      <w:r>
        <w:rPr>
          <w:rFonts w:cs="Avenir Next"/>
          <w:spacing w:val="-1"/>
        </w:rPr>
        <w:t>sewerage</w:t>
      </w:r>
      <w:r>
        <w:rPr>
          <w:rFonts w:cs="Avenir Next"/>
        </w:rPr>
        <w:t xml:space="preserve"> services is</w:t>
      </w:r>
      <w:r>
        <w:rPr>
          <w:rFonts w:cs="Avenir Next"/>
          <w:spacing w:val="51"/>
        </w:rPr>
        <w:t xml:space="preserve"> </w:t>
      </w:r>
      <w:r>
        <w:rPr>
          <w:rFonts w:cs="Avenir Next"/>
          <w:spacing w:val="-1"/>
        </w:rPr>
        <w:t>approximately:</w:t>
      </w:r>
    </w:p>
    <w:p w:rsidR="00D96B91" w:rsidRDefault="00C2656B">
      <w:pPr>
        <w:pStyle w:val="BodyText"/>
        <w:numPr>
          <w:ilvl w:val="0"/>
          <w:numId w:val="131"/>
        </w:numPr>
        <w:tabs>
          <w:tab w:val="left" w:pos="1531"/>
        </w:tabs>
        <w:spacing w:before="170" w:line="260" w:lineRule="exact"/>
        <w:ind w:right="1359" w:hanging="283"/>
      </w:pPr>
      <w:r>
        <w:t>$35</w:t>
      </w:r>
      <w:r>
        <w:rPr>
          <w:spacing w:val="-1"/>
        </w:rPr>
        <w:t xml:space="preserve"> </w:t>
      </w:r>
      <w:r>
        <w:t xml:space="preserve">million (6%) </w:t>
      </w:r>
      <w:r>
        <w:rPr>
          <w:rFonts w:cs="Avenir Next"/>
          <w:b/>
          <w:bCs/>
        </w:rPr>
        <w:t xml:space="preserve">higher </w:t>
      </w:r>
      <w:r>
        <w:t>than</w:t>
      </w:r>
      <w:r>
        <w:rPr>
          <w:spacing w:val="-1"/>
        </w:rPr>
        <w:t xml:space="preserve"> </w:t>
      </w:r>
      <w:r>
        <w:t xml:space="preserve">the </w:t>
      </w:r>
      <w:r>
        <w:rPr>
          <w:spacing w:val="-2"/>
        </w:rPr>
        <w:t>ICRC’s</w:t>
      </w:r>
      <w:r>
        <w:t xml:space="preserve"> final decision for</w:t>
      </w:r>
      <w:r>
        <w:rPr>
          <w:spacing w:val="-1"/>
        </w:rPr>
        <w:t xml:space="preserve"> </w:t>
      </w:r>
      <w:r>
        <w:t xml:space="preserve">the </w:t>
      </w:r>
      <w:r>
        <w:rPr>
          <w:rFonts w:cs="Avenir Next"/>
          <w:b/>
          <w:bCs/>
        </w:rPr>
        <w:t xml:space="preserve">first two </w:t>
      </w:r>
      <w:r>
        <w:rPr>
          <w:rFonts w:cs="Avenir Next"/>
          <w:b/>
          <w:bCs/>
          <w:spacing w:val="-1"/>
        </w:rPr>
        <w:t xml:space="preserve">years </w:t>
      </w:r>
      <w:r>
        <w:rPr>
          <w:rFonts w:cs="Avenir Next"/>
        </w:rPr>
        <w:t>of</w:t>
      </w:r>
      <w:r>
        <w:rPr>
          <w:rFonts w:cs="Avenir Next"/>
          <w:spacing w:val="4"/>
        </w:rPr>
        <w:t xml:space="preserve"> </w:t>
      </w:r>
      <w:r>
        <w:rPr>
          <w:rFonts w:cs="Avenir Next"/>
        </w:rPr>
        <w:t xml:space="preserve">the </w:t>
      </w:r>
      <w:r>
        <w:rPr>
          <w:rFonts w:cs="Avenir Next"/>
          <w:spacing w:val="-1"/>
        </w:rPr>
        <w:t>regulatory</w:t>
      </w:r>
      <w:r>
        <w:rPr>
          <w:rFonts w:cs="Avenir Next"/>
        </w:rPr>
        <w:t xml:space="preserve"> period</w:t>
      </w:r>
      <w:r>
        <w:rPr>
          <w:rFonts w:cs="Avenir Next"/>
          <w:spacing w:val="30"/>
        </w:rPr>
        <w:t xml:space="preserve"> </w:t>
      </w:r>
      <w:r>
        <w:rPr>
          <w:spacing w:val="-1"/>
        </w:rPr>
        <w:t>(water:</w:t>
      </w:r>
      <w:r>
        <w:t xml:space="preserve"> $27.5 million and </w:t>
      </w:r>
      <w:r>
        <w:rPr>
          <w:spacing w:val="-1"/>
        </w:rPr>
        <w:t>sewerage:</w:t>
      </w:r>
      <w:r>
        <w:t xml:space="preserve"> $7.7 million),</w:t>
      </w:r>
      <w:r>
        <w:rPr>
          <w:spacing w:val="-6"/>
        </w:rPr>
        <w:t xml:space="preserve"> </w:t>
      </w:r>
      <w:r>
        <w:t>and</w:t>
      </w:r>
    </w:p>
    <w:p w:rsidR="00D96B91" w:rsidRDefault="00C2656B">
      <w:pPr>
        <w:numPr>
          <w:ilvl w:val="0"/>
          <w:numId w:val="131"/>
        </w:numPr>
        <w:tabs>
          <w:tab w:val="left" w:pos="1531"/>
        </w:tabs>
        <w:spacing w:before="93" w:line="267" w:lineRule="exact"/>
        <w:ind w:hanging="283"/>
        <w:rPr>
          <w:rFonts w:ascii="Avenir Next" w:eastAsia="Avenir Next" w:hAnsi="Avenir Next" w:cs="Avenir Next"/>
          <w:sz w:val="20"/>
          <w:szCs w:val="20"/>
        </w:rPr>
      </w:pPr>
      <w:r>
        <w:rPr>
          <w:rFonts w:ascii="Avenir Next" w:eastAsia="Avenir Next" w:hAnsi="Avenir Next" w:cs="Avenir Next"/>
          <w:sz w:val="20"/>
          <w:szCs w:val="20"/>
        </w:rPr>
        <w:t xml:space="preserve">$258 million (14%) </w:t>
      </w:r>
      <w:r>
        <w:rPr>
          <w:rFonts w:ascii="Avenir Next" w:eastAsia="Avenir Next" w:hAnsi="Avenir Next" w:cs="Avenir Next"/>
          <w:b/>
          <w:bCs/>
          <w:sz w:val="20"/>
          <w:szCs w:val="20"/>
        </w:rPr>
        <w:t xml:space="preserve">lower </w:t>
      </w:r>
      <w:r>
        <w:rPr>
          <w:rFonts w:ascii="Avenir Next" w:eastAsia="Avenir Next" w:hAnsi="Avenir Next" w:cs="Avenir Next"/>
          <w:sz w:val="20"/>
          <w:szCs w:val="20"/>
        </w:rPr>
        <w:t>than</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ACTEW’s</w:t>
      </w:r>
      <w:r>
        <w:rPr>
          <w:rFonts w:ascii="Avenir Next" w:eastAsia="Avenir Next" w:hAnsi="Avenir Next" w:cs="Avenir Next"/>
          <w:sz w:val="20"/>
          <w:szCs w:val="20"/>
        </w:rPr>
        <w:t xml:space="preserve"> SOFC </w:t>
      </w:r>
      <w:r>
        <w:rPr>
          <w:rFonts w:ascii="Avenir Next" w:eastAsia="Avenir Next" w:hAnsi="Avenir Next" w:cs="Avenir Next"/>
          <w:spacing w:val="-1"/>
          <w:sz w:val="20"/>
          <w:szCs w:val="20"/>
        </w:rPr>
        <w:t>proposal</w:t>
      </w:r>
      <w:r>
        <w:rPr>
          <w:rFonts w:ascii="Avenir Next" w:eastAsia="Avenir Next" w:hAnsi="Avenir Next" w:cs="Avenir Next"/>
          <w:sz w:val="20"/>
          <w:szCs w:val="20"/>
        </w:rPr>
        <w:t xml:space="preserve"> for the </w:t>
      </w:r>
      <w:r>
        <w:rPr>
          <w:rFonts w:ascii="Avenir Next" w:eastAsia="Avenir Next" w:hAnsi="Avenir Next" w:cs="Avenir Next"/>
          <w:b/>
          <w:bCs/>
          <w:sz w:val="20"/>
          <w:szCs w:val="20"/>
        </w:rPr>
        <w:t xml:space="preserve">full </w:t>
      </w:r>
      <w:r>
        <w:rPr>
          <w:rFonts w:ascii="Avenir Next" w:eastAsia="Avenir Next" w:hAnsi="Avenir Next" w:cs="Avenir Next"/>
          <w:b/>
          <w:bCs/>
          <w:spacing w:val="-1"/>
          <w:sz w:val="20"/>
          <w:szCs w:val="20"/>
        </w:rPr>
        <w:t>five-year</w:t>
      </w:r>
      <w:r>
        <w:rPr>
          <w:rFonts w:ascii="Avenir Next" w:eastAsia="Avenir Next" w:hAnsi="Avenir Next" w:cs="Avenir Next"/>
          <w:b/>
          <w:bCs/>
          <w:sz w:val="20"/>
          <w:szCs w:val="20"/>
        </w:rPr>
        <w:t xml:space="preserve"> period </w:t>
      </w:r>
      <w:r>
        <w:rPr>
          <w:rFonts w:ascii="Avenir Next" w:eastAsia="Avenir Next" w:hAnsi="Avenir Next" w:cs="Avenir Next"/>
          <w:spacing w:val="-1"/>
          <w:sz w:val="20"/>
          <w:szCs w:val="20"/>
        </w:rPr>
        <w:t>(water:</w:t>
      </w:r>
    </w:p>
    <w:p w:rsidR="00D96B91" w:rsidRDefault="00C2656B">
      <w:pPr>
        <w:pStyle w:val="BodyText"/>
        <w:spacing w:line="267" w:lineRule="exact"/>
        <w:ind w:left="1530"/>
      </w:pPr>
      <w:r>
        <w:t xml:space="preserve">$150 million and </w:t>
      </w:r>
      <w:r>
        <w:rPr>
          <w:spacing w:val="-1"/>
        </w:rPr>
        <w:t>sewerage:</w:t>
      </w:r>
      <w:r>
        <w:t xml:space="preserve"> $108 million).</w:t>
      </w:r>
      <w:r>
        <w:rPr>
          <w:spacing w:val="-6"/>
        </w:rPr>
        <w:t xml:space="preserve"> </w:t>
      </w:r>
      <w:hyperlink w:anchor="_bookmark116" w:history="1">
        <w:r>
          <w:t xml:space="preserve">(See </w:t>
        </w:r>
        <w:r>
          <w:rPr>
            <w:spacing w:val="-2"/>
          </w:rPr>
          <w:t>Figure</w:t>
        </w:r>
        <w:r>
          <w:t xml:space="preserve"> 13.1.)</w:t>
        </w:r>
      </w:hyperlink>
    </w:p>
    <w:p w:rsidR="00D96B91" w:rsidRDefault="00D96B91">
      <w:pPr>
        <w:spacing w:before="2"/>
        <w:rPr>
          <w:rFonts w:ascii="Avenir Next" w:eastAsia="Avenir Next" w:hAnsi="Avenir Next" w:cs="Avenir Next"/>
          <w:sz w:val="14"/>
          <w:szCs w:val="14"/>
        </w:rPr>
      </w:pPr>
    </w:p>
    <w:p w:rsidR="00D96B91" w:rsidRDefault="00C2656B">
      <w:pPr>
        <w:ind w:left="1247"/>
        <w:rPr>
          <w:rFonts w:ascii="Avenir Next" w:eastAsia="Avenir Next" w:hAnsi="Avenir Next" w:cs="Avenir Next"/>
          <w:sz w:val="20"/>
          <w:szCs w:val="20"/>
        </w:rPr>
      </w:pPr>
      <w:bookmarkStart w:id="181" w:name="_bookmark116"/>
      <w:bookmarkEnd w:id="181"/>
      <w:r>
        <w:rPr>
          <w:rFonts w:ascii="Avenir Next"/>
          <w:b/>
          <w:spacing w:val="-2"/>
          <w:sz w:val="20"/>
        </w:rPr>
        <w:t>Figure</w:t>
      </w:r>
      <w:r>
        <w:rPr>
          <w:rFonts w:ascii="Avenir Next"/>
          <w:b/>
          <w:sz w:val="20"/>
        </w:rPr>
        <w:t xml:space="preserve"> 13.1: </w:t>
      </w:r>
      <w:r>
        <w:rPr>
          <w:rFonts w:ascii="Avenir Next"/>
          <w:b/>
          <w:spacing w:val="-1"/>
          <w:sz w:val="20"/>
        </w:rPr>
        <w:t>Comparison</w:t>
      </w:r>
      <w:r>
        <w:rPr>
          <w:rFonts w:ascii="Avenir Next"/>
          <w:b/>
          <w:sz w:val="20"/>
        </w:rPr>
        <w:t xml:space="preserve"> of</w:t>
      </w:r>
      <w:r>
        <w:rPr>
          <w:rFonts w:ascii="Avenir Next"/>
          <w:b/>
          <w:spacing w:val="4"/>
          <w:sz w:val="20"/>
        </w:rPr>
        <w:t xml:space="preserve"> </w:t>
      </w:r>
      <w:r>
        <w:rPr>
          <w:rFonts w:ascii="Avenir Next"/>
          <w:b/>
          <w:sz w:val="20"/>
        </w:rPr>
        <w:t xml:space="preserve">total </w:t>
      </w:r>
      <w:r>
        <w:rPr>
          <w:rFonts w:ascii="Avenir Next"/>
          <w:b/>
          <w:spacing w:val="-1"/>
          <w:sz w:val="20"/>
        </w:rPr>
        <w:t>revenue</w:t>
      </w:r>
      <w:r>
        <w:rPr>
          <w:rFonts w:ascii="Avenir Next"/>
          <w:b/>
          <w:sz w:val="20"/>
        </w:rPr>
        <w:t xml:space="preserve"> </w:t>
      </w:r>
      <w:r>
        <w:rPr>
          <w:rFonts w:ascii="Avenir Next"/>
          <w:b/>
          <w:spacing w:val="-1"/>
          <w:sz w:val="20"/>
        </w:rPr>
        <w:t>requirement</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9243"/>
      </w:tblGrid>
      <w:tr w:rsidR="00D96B91">
        <w:trPr>
          <w:trHeight w:hRule="exact" w:val="360"/>
        </w:trPr>
        <w:tc>
          <w:tcPr>
            <w:tcW w:w="9243"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2"/>
                <w:sz w:val="20"/>
              </w:rPr>
              <w:t>Water</w:t>
            </w:r>
            <w:r>
              <w:rPr>
                <w:rFonts w:ascii="Avenir Next"/>
                <w:b/>
                <w:sz w:val="20"/>
              </w:rPr>
              <w:t xml:space="preserve"> services</w:t>
            </w:r>
          </w:p>
        </w:tc>
      </w:tr>
      <w:tr w:rsidR="00D96B91">
        <w:trPr>
          <w:trHeight w:hRule="exact" w:val="4976"/>
        </w:trPr>
        <w:tc>
          <w:tcPr>
            <w:tcW w:w="9243"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926"/>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07252" cy="307600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0" cstate="print"/>
                          <a:stretch>
                            <a:fillRect/>
                          </a:stretch>
                        </pic:blipFill>
                        <pic:spPr>
                          <a:xfrm>
                            <a:off x="0" y="0"/>
                            <a:ext cx="4707252" cy="3076003"/>
                          </a:xfrm>
                          <a:prstGeom prst="rect">
                            <a:avLst/>
                          </a:prstGeom>
                        </pic:spPr>
                      </pic:pic>
                    </a:graphicData>
                  </a:graphic>
                </wp:inline>
              </w:drawing>
            </w:r>
          </w:p>
        </w:tc>
      </w:tr>
      <w:tr w:rsidR="00D96B91">
        <w:trPr>
          <w:trHeight w:hRule="exact" w:val="360"/>
        </w:trPr>
        <w:tc>
          <w:tcPr>
            <w:tcW w:w="9243"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1"/>
                <w:sz w:val="20"/>
              </w:rPr>
              <w:t>Sewerage</w:t>
            </w:r>
            <w:r>
              <w:rPr>
                <w:rFonts w:ascii="Avenir Next"/>
                <w:b/>
                <w:sz w:val="20"/>
              </w:rPr>
              <w:t xml:space="preserve"> services</w:t>
            </w:r>
          </w:p>
        </w:tc>
      </w:tr>
      <w:tr w:rsidR="00D96B91">
        <w:trPr>
          <w:trHeight w:hRule="exact" w:val="4971"/>
        </w:trPr>
        <w:tc>
          <w:tcPr>
            <w:tcW w:w="9243"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926"/>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12144" cy="3076003"/>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4712144" cy="3076003"/>
                          </a:xfrm>
                          <a:prstGeom prst="rect">
                            <a:avLst/>
                          </a:prstGeom>
                        </pic:spPr>
                      </pic:pic>
                    </a:graphicData>
                  </a:graphic>
                </wp:inline>
              </w:drawing>
            </w:r>
          </w:p>
        </w:tc>
      </w:tr>
    </w:tbl>
    <w:p w:rsidR="00D96B91" w:rsidRDefault="00D96B91">
      <w:pPr>
        <w:spacing w:line="200" w:lineRule="atLeast"/>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C2656B">
      <w:pPr>
        <w:pStyle w:val="BodyText"/>
        <w:spacing w:before="21" w:line="260" w:lineRule="exact"/>
        <w:ind w:right="1283"/>
        <w:rPr>
          <w:rFonts w:cs="Avenir Next"/>
        </w:rPr>
      </w:pPr>
      <w:r>
        <w:rPr>
          <w:spacing w:val="-2"/>
        </w:rPr>
        <w:t>The</w:t>
      </w:r>
      <w:r>
        <w:rPr>
          <w:spacing w:val="-1"/>
        </w:rPr>
        <w:t xml:space="preserve"> </w:t>
      </w:r>
      <w:r>
        <w:t xml:space="preserve">$35 million </w:t>
      </w:r>
      <w:r>
        <w:rPr>
          <w:spacing w:val="-1"/>
        </w:rPr>
        <w:t>difference</w:t>
      </w:r>
      <w:r>
        <w:t xml:space="preserve"> between</w:t>
      </w:r>
      <w:r>
        <w:rPr>
          <w:spacing w:val="-1"/>
        </w:rPr>
        <w:t xml:space="preserve"> </w:t>
      </w:r>
      <w:r>
        <w:t xml:space="preserve">the </w:t>
      </w:r>
      <w:r>
        <w:rPr>
          <w:spacing w:val="-4"/>
        </w:rPr>
        <w:t>Panel’s</w:t>
      </w:r>
      <w:r>
        <w:t xml:space="preserve"> </w:t>
      </w:r>
      <w:r>
        <w:rPr>
          <w:spacing w:val="-2"/>
        </w:rPr>
        <w:t>draft</w:t>
      </w:r>
      <w:r>
        <w:t xml:space="preserve"> decision</w:t>
      </w:r>
      <w:r>
        <w:rPr>
          <w:spacing w:val="-1"/>
        </w:rPr>
        <w:t xml:space="preserve"> </w:t>
      </w:r>
      <w:r>
        <w:t xml:space="preserve">and the </w:t>
      </w:r>
      <w:r>
        <w:rPr>
          <w:spacing w:val="-2"/>
        </w:rPr>
        <w:t>ICRC’s</w:t>
      </w:r>
      <w:r>
        <w:t xml:space="preserve"> final</w:t>
      </w:r>
      <w:r>
        <w:rPr>
          <w:spacing w:val="-1"/>
        </w:rPr>
        <w:t xml:space="preserve"> </w:t>
      </w:r>
      <w:r>
        <w:t xml:space="preserve">decision for the </w:t>
      </w:r>
      <w:r>
        <w:rPr>
          <w:rFonts w:cs="Avenir Next"/>
          <w:b/>
          <w:bCs/>
        </w:rPr>
        <w:t>first</w:t>
      </w:r>
      <w:r>
        <w:rPr>
          <w:rFonts w:cs="Avenir Next"/>
          <w:b/>
          <w:bCs/>
          <w:spacing w:val="33"/>
        </w:rPr>
        <w:t xml:space="preserve"> </w:t>
      </w:r>
      <w:r>
        <w:rPr>
          <w:rFonts w:cs="Avenir Next"/>
          <w:b/>
          <w:bCs/>
        </w:rPr>
        <w:t xml:space="preserve">two </w:t>
      </w:r>
      <w:r>
        <w:rPr>
          <w:rFonts w:cs="Avenir Next"/>
          <w:b/>
          <w:bCs/>
          <w:spacing w:val="-1"/>
        </w:rPr>
        <w:t>years</w:t>
      </w:r>
      <w:r>
        <w:rPr>
          <w:rFonts w:cs="Avenir Next"/>
          <w:b/>
          <w:bCs/>
        </w:rPr>
        <w:t xml:space="preserve"> </w:t>
      </w:r>
      <w:r>
        <w:rPr>
          <w:rFonts w:cs="Avenir Next"/>
        </w:rPr>
        <w:t>of</w:t>
      </w:r>
      <w:r>
        <w:rPr>
          <w:rFonts w:cs="Avenir Next"/>
          <w:spacing w:val="4"/>
        </w:rPr>
        <w:t xml:space="preserve"> </w:t>
      </w:r>
      <w:r>
        <w:rPr>
          <w:rFonts w:cs="Avenir Next"/>
        </w:rPr>
        <w:t xml:space="preserve">the period is </w:t>
      </w:r>
      <w:r>
        <w:rPr>
          <w:rFonts w:cs="Avenir Next"/>
          <w:spacing w:val="-1"/>
        </w:rPr>
        <w:t>largely</w:t>
      </w:r>
      <w:r>
        <w:rPr>
          <w:rFonts w:cs="Avenir Next"/>
        </w:rPr>
        <w:t xml:space="preserve"> due to the </w:t>
      </w:r>
      <w:r>
        <w:rPr>
          <w:rFonts w:cs="Avenir Next"/>
          <w:spacing w:val="-4"/>
        </w:rPr>
        <w:t>Panel’s</w:t>
      </w:r>
      <w:r>
        <w:rPr>
          <w:rFonts w:cs="Avenir Next"/>
        </w:rPr>
        <w:t xml:space="preserve"> </w:t>
      </w:r>
      <w:r>
        <w:rPr>
          <w:rFonts w:cs="Avenir Next"/>
          <w:spacing w:val="-2"/>
        </w:rPr>
        <w:t>draft</w:t>
      </w:r>
      <w:r>
        <w:rPr>
          <w:rFonts w:cs="Avenir Next"/>
        </w:rPr>
        <w:t xml:space="preserve"> decision to:</w:t>
      </w:r>
    </w:p>
    <w:p w:rsidR="00D96B91" w:rsidRDefault="00C2656B">
      <w:pPr>
        <w:pStyle w:val="BodyText"/>
        <w:numPr>
          <w:ilvl w:val="0"/>
          <w:numId w:val="131"/>
        </w:numPr>
        <w:tabs>
          <w:tab w:val="left" w:pos="1531"/>
        </w:tabs>
        <w:spacing w:before="170" w:line="260" w:lineRule="exact"/>
        <w:ind w:right="2273" w:hanging="283"/>
        <w:rPr>
          <w:sz w:val="11"/>
          <w:szCs w:val="11"/>
        </w:rPr>
      </w:pPr>
      <w:r>
        <w:t>adopt</w:t>
      </w:r>
      <w:r>
        <w:rPr>
          <w:spacing w:val="-1"/>
        </w:rPr>
        <w:t xml:space="preserve"> </w:t>
      </w:r>
      <w:r>
        <w:t>a</w:t>
      </w:r>
      <w:r>
        <w:rPr>
          <w:spacing w:val="-1"/>
        </w:rPr>
        <w:t xml:space="preserve"> </w:t>
      </w:r>
      <w:r>
        <w:t>benchmark</w:t>
      </w:r>
      <w:r>
        <w:rPr>
          <w:spacing w:val="-1"/>
        </w:rPr>
        <w:t xml:space="preserve"> approach</w:t>
      </w:r>
      <w:r>
        <w:t xml:space="preserve"> to</w:t>
      </w:r>
      <w:r>
        <w:rPr>
          <w:spacing w:val="-1"/>
        </w:rPr>
        <w:t xml:space="preserve"> </w:t>
      </w:r>
      <w:r>
        <w:t>determining</w:t>
      </w:r>
      <w:r>
        <w:rPr>
          <w:spacing w:val="-1"/>
        </w:rPr>
        <w:t xml:space="preserve"> </w:t>
      </w:r>
      <w:r>
        <w:t>the</w:t>
      </w:r>
      <w:r>
        <w:rPr>
          <w:spacing w:val="-1"/>
        </w:rPr>
        <w:t xml:space="preserve"> </w:t>
      </w:r>
      <w:r>
        <w:rPr>
          <w:spacing w:val="-2"/>
        </w:rPr>
        <w:t>rate</w:t>
      </w:r>
      <w:r>
        <w:t xml:space="preserve"> of</w:t>
      </w:r>
      <w:r>
        <w:rPr>
          <w:spacing w:val="3"/>
        </w:rPr>
        <w:t xml:space="preserve"> </w:t>
      </w:r>
      <w:r>
        <w:rPr>
          <w:spacing w:val="-1"/>
        </w:rPr>
        <w:t>return,</w:t>
      </w:r>
      <w:r>
        <w:rPr>
          <w:spacing w:val="-7"/>
        </w:rPr>
        <w:t xml:space="preserve"> </w:t>
      </w:r>
      <w:r>
        <w:rPr>
          <w:spacing w:val="-1"/>
        </w:rPr>
        <w:t xml:space="preserve">rather </w:t>
      </w:r>
      <w:r>
        <w:t>than a</w:t>
      </w:r>
      <w:r>
        <w:rPr>
          <w:spacing w:val="-1"/>
        </w:rPr>
        <w:t xml:space="preserve"> </w:t>
      </w:r>
      <w:r>
        <w:t>firm</w:t>
      </w:r>
      <w:r>
        <w:rPr>
          <w:spacing w:val="-1"/>
        </w:rPr>
        <w:t xml:space="preserve"> </w:t>
      </w:r>
      <w:r>
        <w:t>specific</w:t>
      </w:r>
      <w:r>
        <w:rPr>
          <w:spacing w:val="23"/>
          <w:w w:val="99"/>
        </w:rPr>
        <w:t xml:space="preserve"> </w:t>
      </w:r>
      <w:r>
        <w:rPr>
          <w:spacing w:val="-1"/>
        </w:rPr>
        <w:t>approach</w:t>
      </w:r>
      <w:r>
        <w:rPr>
          <w:spacing w:val="-1"/>
          <w:position w:val="7"/>
          <w:sz w:val="11"/>
        </w:rPr>
        <w:t>222</w:t>
      </w:r>
    </w:p>
    <w:p w:rsidR="00D96B91" w:rsidRDefault="00C2656B">
      <w:pPr>
        <w:pStyle w:val="BodyText"/>
        <w:numPr>
          <w:ilvl w:val="0"/>
          <w:numId w:val="131"/>
        </w:numPr>
        <w:tabs>
          <w:tab w:val="left" w:pos="1531"/>
        </w:tabs>
        <w:spacing w:before="93"/>
        <w:ind w:hanging="283"/>
        <w:rPr>
          <w:sz w:val="11"/>
          <w:szCs w:val="11"/>
        </w:rPr>
      </w:pPr>
      <w:r>
        <w:rPr>
          <w:spacing w:val="-1"/>
        </w:rPr>
        <w:t>index</w:t>
      </w:r>
      <w:r>
        <w:t xml:space="preserve"> the</w:t>
      </w:r>
      <w:r>
        <w:rPr>
          <w:spacing w:val="1"/>
        </w:rPr>
        <w:t xml:space="preserve"> </w:t>
      </w:r>
      <w:r>
        <w:t>value</w:t>
      </w:r>
      <w:r>
        <w:rPr>
          <w:spacing w:val="1"/>
        </w:rPr>
        <w:t xml:space="preserve"> </w:t>
      </w:r>
      <w:r>
        <w:t>of</w:t>
      </w:r>
      <w:r>
        <w:rPr>
          <w:spacing w:val="4"/>
        </w:rPr>
        <w:t xml:space="preserve"> </w:t>
      </w:r>
      <w:r>
        <w:t>the</w:t>
      </w:r>
      <w:r>
        <w:rPr>
          <w:spacing w:val="1"/>
        </w:rPr>
        <w:t xml:space="preserve"> </w:t>
      </w:r>
      <w:r>
        <w:t>RAB</w:t>
      </w:r>
      <w:r>
        <w:rPr>
          <w:spacing w:val="1"/>
        </w:rPr>
        <w:t xml:space="preserve"> </w:t>
      </w:r>
      <w:r>
        <w:t xml:space="preserve">to </w:t>
      </w:r>
      <w:r>
        <w:rPr>
          <w:spacing w:val="-1"/>
        </w:rPr>
        <w:t>ensure</w:t>
      </w:r>
      <w:r>
        <w:rPr>
          <w:spacing w:val="1"/>
        </w:rPr>
        <w:t xml:space="preserve"> </w:t>
      </w:r>
      <w:r>
        <w:t>the</w:t>
      </w:r>
      <w:r>
        <w:rPr>
          <w:spacing w:val="1"/>
        </w:rPr>
        <w:t xml:space="preserve"> </w:t>
      </w:r>
      <w:r>
        <w:rPr>
          <w:spacing w:val="-2"/>
        </w:rPr>
        <w:t>real</w:t>
      </w:r>
      <w:r>
        <w:t xml:space="preserve"> value</w:t>
      </w:r>
      <w:r>
        <w:rPr>
          <w:spacing w:val="1"/>
        </w:rPr>
        <w:t xml:space="preserve"> </w:t>
      </w:r>
      <w:r>
        <w:t>of</w:t>
      </w:r>
      <w:r>
        <w:rPr>
          <w:spacing w:val="5"/>
        </w:rPr>
        <w:t xml:space="preserve"> </w:t>
      </w:r>
      <w:r>
        <w:t>the assets</w:t>
      </w:r>
      <w:r>
        <w:rPr>
          <w:spacing w:val="1"/>
        </w:rPr>
        <w:t xml:space="preserve"> </w:t>
      </w:r>
      <w:r>
        <w:t>is</w:t>
      </w:r>
      <w:r>
        <w:rPr>
          <w:spacing w:val="1"/>
        </w:rPr>
        <w:t xml:space="preserve"> </w:t>
      </w:r>
      <w:r>
        <w:t>maintained over</w:t>
      </w:r>
      <w:r>
        <w:rPr>
          <w:spacing w:val="1"/>
        </w:rPr>
        <w:t xml:space="preserve"> </w:t>
      </w:r>
      <w:r>
        <w:t>time</w:t>
      </w:r>
      <w:r>
        <w:rPr>
          <w:position w:val="7"/>
          <w:sz w:val="11"/>
        </w:rPr>
        <w:t>223</w:t>
      </w:r>
    </w:p>
    <w:p w:rsidR="00D96B91" w:rsidRDefault="00C2656B">
      <w:pPr>
        <w:pStyle w:val="BodyText"/>
        <w:numPr>
          <w:ilvl w:val="0"/>
          <w:numId w:val="131"/>
        </w:numPr>
        <w:tabs>
          <w:tab w:val="left" w:pos="1531"/>
        </w:tabs>
        <w:spacing w:before="64" w:line="260" w:lineRule="exact"/>
        <w:ind w:right="1475" w:hanging="283"/>
        <w:rPr>
          <w:sz w:val="11"/>
          <w:szCs w:val="11"/>
        </w:rPr>
      </w:pPr>
      <w:r>
        <w:rPr>
          <w:spacing w:val="-1"/>
        </w:rPr>
        <w:t xml:space="preserve">increase </w:t>
      </w:r>
      <w:r>
        <w:t>the allowance for</w:t>
      </w:r>
      <w:r>
        <w:rPr>
          <w:spacing w:val="-1"/>
        </w:rPr>
        <w:t xml:space="preserve"> </w:t>
      </w:r>
      <w:r>
        <w:t>the</w:t>
      </w:r>
      <w:r>
        <w:rPr>
          <w:spacing w:val="-3"/>
        </w:rPr>
        <w:t xml:space="preserve"> WAC</w:t>
      </w:r>
      <w:r>
        <w:t xml:space="preserve"> to</w:t>
      </w:r>
      <w:r>
        <w:rPr>
          <w:spacing w:val="-1"/>
        </w:rPr>
        <w:t xml:space="preserve"> reflect</w:t>
      </w:r>
      <w:r>
        <w:t xml:space="preserve"> its decision to</w:t>
      </w:r>
      <w:r>
        <w:rPr>
          <w:spacing w:val="-1"/>
        </w:rPr>
        <w:t xml:space="preserve"> </w:t>
      </w:r>
      <w:r>
        <w:t>adopt a higher</w:t>
      </w:r>
      <w:r>
        <w:rPr>
          <w:spacing w:val="-1"/>
        </w:rPr>
        <w:t xml:space="preserve"> water</w:t>
      </w:r>
      <w:r>
        <w:t xml:space="preserve"> sales and higher</w:t>
      </w:r>
      <w:r>
        <w:rPr>
          <w:spacing w:val="30"/>
        </w:rPr>
        <w:t xml:space="preserve"> </w:t>
      </w:r>
      <w:r>
        <w:t>dam</w:t>
      </w:r>
      <w:r>
        <w:rPr>
          <w:spacing w:val="5"/>
        </w:rPr>
        <w:t xml:space="preserve"> </w:t>
      </w:r>
      <w:r>
        <w:rPr>
          <w:spacing w:val="-1"/>
        </w:rPr>
        <w:t>release</w:t>
      </w:r>
      <w:r>
        <w:rPr>
          <w:spacing w:val="6"/>
        </w:rPr>
        <w:t xml:space="preserve"> </w:t>
      </w:r>
      <w:r>
        <w:rPr>
          <w:spacing w:val="-1"/>
        </w:rPr>
        <w:t>forecast</w:t>
      </w:r>
      <w:r>
        <w:rPr>
          <w:spacing w:val="-1"/>
          <w:position w:val="7"/>
          <w:sz w:val="11"/>
        </w:rPr>
        <w:t>224</w:t>
      </w:r>
    </w:p>
    <w:p w:rsidR="00D96B91" w:rsidRDefault="00C2656B">
      <w:pPr>
        <w:pStyle w:val="BodyText"/>
        <w:numPr>
          <w:ilvl w:val="0"/>
          <w:numId w:val="131"/>
        </w:numPr>
        <w:tabs>
          <w:tab w:val="left" w:pos="1531"/>
        </w:tabs>
        <w:spacing w:before="85" w:line="260" w:lineRule="exact"/>
        <w:ind w:right="1335" w:hanging="283"/>
        <w:rPr>
          <w:rFonts w:cs="Avenir Next"/>
        </w:rPr>
      </w:pPr>
      <w:r>
        <w:rPr>
          <w:spacing w:val="-1"/>
        </w:rPr>
        <w:t>calculate</w:t>
      </w:r>
      <w:r>
        <w:t xml:space="preserve"> the </w:t>
      </w:r>
      <w:r>
        <w:rPr>
          <w:spacing w:val="-1"/>
        </w:rPr>
        <w:t>depreciation</w:t>
      </w:r>
      <w:r>
        <w:t xml:space="preserve"> allowance for </w:t>
      </w:r>
      <w:r>
        <w:rPr>
          <w:spacing w:val="-1"/>
        </w:rPr>
        <w:t>forecast</w:t>
      </w:r>
      <w:r>
        <w:t xml:space="preserve"> capital </w:t>
      </w:r>
      <w:r>
        <w:rPr>
          <w:spacing w:val="-1"/>
        </w:rPr>
        <w:t>expenditure</w:t>
      </w:r>
      <w:r>
        <w:t xml:space="preserve"> and the </w:t>
      </w:r>
      <w:r>
        <w:rPr>
          <w:spacing w:val="-1"/>
        </w:rPr>
        <w:t>water</w:t>
      </w:r>
      <w:r>
        <w:t xml:space="preserve"> security </w:t>
      </w:r>
      <w:r>
        <w:rPr>
          <w:spacing w:val="-1"/>
        </w:rPr>
        <w:t>projects</w:t>
      </w:r>
      <w:r>
        <w:rPr>
          <w:spacing w:val="57"/>
        </w:rPr>
        <w:t xml:space="preserve"> </w:t>
      </w:r>
      <w:r>
        <w:t>by using</w:t>
      </w:r>
      <w:r>
        <w:rPr>
          <w:spacing w:val="1"/>
        </w:rPr>
        <w:t xml:space="preserve"> </w:t>
      </w:r>
      <w:r>
        <w:t>an</w:t>
      </w:r>
      <w:r>
        <w:rPr>
          <w:spacing w:val="1"/>
        </w:rPr>
        <w:t xml:space="preserve"> </w:t>
      </w:r>
      <w:r>
        <w:rPr>
          <w:spacing w:val="-1"/>
        </w:rPr>
        <w:t>estimate</w:t>
      </w:r>
      <w:r>
        <w:t xml:space="preserve"> of</w:t>
      </w:r>
      <w:r>
        <w:rPr>
          <w:spacing w:val="5"/>
        </w:rPr>
        <w:t xml:space="preserve"> </w:t>
      </w:r>
      <w:r>
        <w:t>the</w:t>
      </w:r>
      <w:r>
        <w:rPr>
          <w:spacing w:val="1"/>
        </w:rPr>
        <w:t xml:space="preserve"> </w:t>
      </w:r>
      <w:r>
        <w:t>economic</w:t>
      </w:r>
      <w:r>
        <w:rPr>
          <w:spacing w:val="1"/>
        </w:rPr>
        <w:t xml:space="preserve"> </w:t>
      </w:r>
      <w:r>
        <w:t>lives of</w:t>
      </w:r>
      <w:r>
        <w:rPr>
          <w:spacing w:val="5"/>
        </w:rPr>
        <w:t xml:space="preserve"> </w:t>
      </w:r>
      <w:r>
        <w:t>these</w:t>
      </w:r>
      <w:r>
        <w:rPr>
          <w:spacing w:val="1"/>
        </w:rPr>
        <w:t xml:space="preserve"> </w:t>
      </w:r>
      <w:r>
        <w:t xml:space="preserve">assets </w:t>
      </w:r>
      <w:r>
        <w:rPr>
          <w:spacing w:val="-1"/>
        </w:rPr>
        <w:t>rather</w:t>
      </w:r>
      <w:r>
        <w:rPr>
          <w:spacing w:val="1"/>
        </w:rPr>
        <w:t xml:space="preserve"> </w:t>
      </w:r>
      <w:r>
        <w:t>than</w:t>
      </w:r>
      <w:r>
        <w:rPr>
          <w:spacing w:val="1"/>
        </w:rPr>
        <w:t xml:space="preserve"> </w:t>
      </w:r>
      <w:r>
        <w:t>a</w:t>
      </w:r>
      <w:r>
        <w:rPr>
          <w:spacing w:val="1"/>
        </w:rPr>
        <w:t xml:space="preserve"> </w:t>
      </w:r>
      <w:r>
        <w:t xml:space="preserve">notional </w:t>
      </w:r>
      <w:r>
        <w:rPr>
          <w:spacing w:val="-1"/>
        </w:rPr>
        <w:t>estimate,</w:t>
      </w:r>
      <w:r>
        <w:rPr>
          <w:spacing w:val="-1"/>
          <w:position w:val="7"/>
          <w:sz w:val="11"/>
        </w:rPr>
        <w:t>225</w:t>
      </w:r>
      <w:r>
        <w:rPr>
          <w:spacing w:val="24"/>
          <w:position w:val="7"/>
          <w:sz w:val="11"/>
        </w:rPr>
        <w:t xml:space="preserve"> </w:t>
      </w:r>
      <w:r>
        <w:t>and</w:t>
      </w:r>
    </w:p>
    <w:p w:rsidR="00D96B91" w:rsidRDefault="00C2656B">
      <w:pPr>
        <w:pStyle w:val="BodyText"/>
        <w:numPr>
          <w:ilvl w:val="0"/>
          <w:numId w:val="131"/>
        </w:numPr>
        <w:tabs>
          <w:tab w:val="left" w:pos="1531"/>
        </w:tabs>
        <w:spacing w:before="93"/>
        <w:ind w:hanging="283"/>
        <w:rPr>
          <w:sz w:val="11"/>
          <w:szCs w:val="11"/>
        </w:rPr>
      </w:pPr>
      <w:r>
        <w:rPr>
          <w:spacing w:val="-1"/>
        </w:rPr>
        <w:t>make</w:t>
      </w:r>
      <w:r>
        <w:rPr>
          <w:spacing w:val="1"/>
        </w:rPr>
        <w:t xml:space="preserve"> </w:t>
      </w:r>
      <w:r>
        <w:rPr>
          <w:spacing w:val="-1"/>
        </w:rPr>
        <w:t>provision</w:t>
      </w:r>
      <w:r>
        <w:rPr>
          <w:spacing w:val="2"/>
        </w:rPr>
        <w:t xml:space="preserve"> </w:t>
      </w:r>
      <w:r>
        <w:t>for</w:t>
      </w:r>
      <w:r>
        <w:rPr>
          <w:spacing w:val="1"/>
        </w:rPr>
        <w:t xml:space="preserve"> </w:t>
      </w:r>
      <w:r>
        <w:t>net</w:t>
      </w:r>
      <w:r>
        <w:rPr>
          <w:spacing w:val="2"/>
        </w:rPr>
        <w:t xml:space="preserve"> </w:t>
      </w:r>
      <w:r>
        <w:t>tax</w:t>
      </w:r>
      <w:r>
        <w:rPr>
          <w:spacing w:val="2"/>
        </w:rPr>
        <w:t xml:space="preserve"> </w:t>
      </w:r>
      <w:r>
        <w:t>liabilities.</w:t>
      </w:r>
      <w:r>
        <w:rPr>
          <w:spacing w:val="-5"/>
        </w:rPr>
        <w:t xml:space="preserve"> </w:t>
      </w:r>
      <w:r>
        <w:rPr>
          <w:position w:val="7"/>
          <w:sz w:val="11"/>
        </w:rPr>
        <w:t>226</w:t>
      </w:r>
    </w:p>
    <w:p w:rsidR="00D96B91" w:rsidRDefault="00D96B91">
      <w:pPr>
        <w:spacing w:before="1"/>
        <w:rPr>
          <w:rFonts w:ascii="Avenir Next" w:eastAsia="Avenir Next" w:hAnsi="Avenir Next" w:cs="Avenir Next"/>
          <w:sz w:val="15"/>
          <w:szCs w:val="15"/>
        </w:rPr>
      </w:pPr>
    </w:p>
    <w:p w:rsidR="00D96B91" w:rsidRDefault="00D96B91">
      <w:pPr>
        <w:pStyle w:val="BodyText"/>
        <w:spacing w:line="260" w:lineRule="exact"/>
        <w:ind w:right="1256"/>
      </w:pPr>
      <w:hyperlink w:anchor="_bookmark117" w:history="1">
        <w:r w:rsidR="00C2656B">
          <w:rPr>
            <w:spacing w:val="-2"/>
          </w:rPr>
          <w:t>Figure</w:t>
        </w:r>
        <w:r w:rsidR="00C2656B">
          <w:t xml:space="preserve"> 13.2</w:t>
        </w:r>
      </w:hyperlink>
      <w:r w:rsidR="00C2656B">
        <w:t xml:space="preserve"> </w:t>
      </w:r>
      <w:r w:rsidR="00C2656B">
        <w:rPr>
          <w:rFonts w:cs="Avenir Next"/>
          <w:spacing w:val="-1"/>
        </w:rPr>
        <w:t>provides</w:t>
      </w:r>
      <w:r w:rsidR="00C2656B">
        <w:rPr>
          <w:rFonts w:cs="Avenir Next"/>
        </w:rPr>
        <w:t xml:space="preserve"> </w:t>
      </w:r>
      <w:r w:rsidR="00C2656B">
        <w:rPr>
          <w:rFonts w:cs="Avenir Next"/>
          <w:spacing w:val="-1"/>
        </w:rPr>
        <w:t>further</w:t>
      </w:r>
      <w:r w:rsidR="00C2656B">
        <w:rPr>
          <w:rFonts w:cs="Avenir Next"/>
        </w:rPr>
        <w:t xml:space="preserve"> insight into the </w:t>
      </w:r>
      <w:r w:rsidR="00C2656B">
        <w:rPr>
          <w:rFonts w:cs="Avenir Next"/>
          <w:spacing w:val="-1"/>
        </w:rPr>
        <w:t>source</w:t>
      </w:r>
      <w:r w:rsidR="00C2656B">
        <w:rPr>
          <w:rFonts w:cs="Avenir Next"/>
        </w:rPr>
        <w:t xml:space="preserve"> of</w:t>
      </w:r>
      <w:r w:rsidR="00C2656B">
        <w:rPr>
          <w:rFonts w:cs="Avenir Next"/>
          <w:spacing w:val="4"/>
        </w:rPr>
        <w:t xml:space="preserve"> </w:t>
      </w:r>
      <w:r w:rsidR="00C2656B">
        <w:rPr>
          <w:rFonts w:cs="Avenir Next"/>
        </w:rPr>
        <w:t xml:space="preserve">the </w:t>
      </w:r>
      <w:r w:rsidR="00C2656B">
        <w:rPr>
          <w:rFonts w:cs="Avenir Next"/>
          <w:spacing w:val="-1"/>
        </w:rPr>
        <w:t>difference</w:t>
      </w:r>
      <w:r w:rsidR="00C2656B">
        <w:rPr>
          <w:rFonts w:cs="Avenir Next"/>
        </w:rPr>
        <w:t xml:space="preserve"> between the </w:t>
      </w:r>
      <w:r w:rsidR="00C2656B">
        <w:rPr>
          <w:rFonts w:cs="Avenir Next"/>
          <w:spacing w:val="-4"/>
        </w:rPr>
        <w:t>Panel’s</w:t>
      </w:r>
      <w:r w:rsidR="00C2656B">
        <w:rPr>
          <w:rFonts w:cs="Avenir Next"/>
        </w:rPr>
        <w:t xml:space="preserve"> </w:t>
      </w:r>
      <w:r w:rsidR="00C2656B">
        <w:rPr>
          <w:rFonts w:cs="Avenir Next"/>
          <w:spacing w:val="-2"/>
        </w:rPr>
        <w:t>draft</w:t>
      </w:r>
      <w:r w:rsidR="00C2656B">
        <w:rPr>
          <w:rFonts w:cs="Avenir Next"/>
        </w:rPr>
        <w:t xml:space="preserve"> decision</w:t>
      </w:r>
      <w:r w:rsidR="00C2656B">
        <w:rPr>
          <w:rFonts w:cs="Avenir Next"/>
          <w:spacing w:val="51"/>
        </w:rPr>
        <w:t xml:space="preserve"> </w:t>
      </w:r>
      <w:r w:rsidR="00C2656B">
        <w:t>and</w:t>
      </w:r>
      <w:r w:rsidR="00C2656B">
        <w:rPr>
          <w:spacing w:val="-1"/>
        </w:rPr>
        <w:t xml:space="preserve"> </w:t>
      </w:r>
      <w:r w:rsidR="00C2656B">
        <w:t xml:space="preserve">the </w:t>
      </w:r>
      <w:r w:rsidR="00C2656B">
        <w:rPr>
          <w:spacing w:val="-2"/>
        </w:rPr>
        <w:t>ICRC’s</w:t>
      </w:r>
      <w:r w:rsidR="00C2656B">
        <w:rPr>
          <w:spacing w:val="-1"/>
        </w:rPr>
        <w:t xml:space="preserve"> </w:t>
      </w:r>
      <w:r w:rsidR="00C2656B">
        <w:t>final decision for</w:t>
      </w:r>
      <w:r w:rsidR="00C2656B">
        <w:rPr>
          <w:spacing w:val="-1"/>
        </w:rPr>
        <w:t xml:space="preserve"> </w:t>
      </w:r>
      <w:r w:rsidR="00C2656B">
        <w:t>the first</w:t>
      </w:r>
      <w:r w:rsidR="00C2656B">
        <w:rPr>
          <w:spacing w:val="-1"/>
        </w:rPr>
        <w:t xml:space="preserve"> </w:t>
      </w:r>
      <w:r w:rsidR="00C2656B">
        <w:t xml:space="preserve">two </w:t>
      </w:r>
      <w:r w:rsidR="00C2656B">
        <w:rPr>
          <w:spacing w:val="-1"/>
        </w:rPr>
        <w:t>years.</w:t>
      </w:r>
      <w:r w:rsidR="00C2656B">
        <w:rPr>
          <w:spacing w:val="-6"/>
        </w:rPr>
        <w:t xml:space="preserve"> </w:t>
      </w:r>
      <w:r w:rsidR="00C2656B">
        <w:t>It</w:t>
      </w:r>
      <w:r w:rsidR="00C2656B">
        <w:rPr>
          <w:spacing w:val="-1"/>
        </w:rPr>
        <w:t xml:space="preserve"> </w:t>
      </w:r>
      <w:r w:rsidR="00C2656B">
        <w:t>shows the</w:t>
      </w:r>
      <w:r w:rsidR="00C2656B">
        <w:rPr>
          <w:spacing w:val="-1"/>
        </w:rPr>
        <w:t xml:space="preserve"> </w:t>
      </w:r>
      <w:r w:rsidR="00C2656B">
        <w:rPr>
          <w:spacing w:val="-4"/>
        </w:rPr>
        <w:t>Panel’s</w:t>
      </w:r>
      <w:r w:rsidR="00C2656B">
        <w:t xml:space="preserve"> decision to</w:t>
      </w:r>
      <w:r w:rsidR="00C2656B">
        <w:rPr>
          <w:spacing w:val="-1"/>
        </w:rPr>
        <w:t xml:space="preserve"> </w:t>
      </w:r>
      <w:r w:rsidR="00C2656B">
        <w:t>adopt a</w:t>
      </w:r>
      <w:r w:rsidR="00C2656B">
        <w:rPr>
          <w:spacing w:val="-1"/>
        </w:rPr>
        <w:t xml:space="preserve"> </w:t>
      </w:r>
      <w:r w:rsidR="00C2656B">
        <w:t>benchmark</w:t>
      </w:r>
      <w:r w:rsidR="00C2656B">
        <w:rPr>
          <w:spacing w:val="25"/>
        </w:rPr>
        <w:t xml:space="preserve"> </w:t>
      </w:r>
      <w:r w:rsidR="00C2656B">
        <w:rPr>
          <w:spacing w:val="-2"/>
        </w:rPr>
        <w:t>rate</w:t>
      </w:r>
      <w:r w:rsidR="00C2656B">
        <w:rPr>
          <w:spacing w:val="-1"/>
        </w:rPr>
        <w:t xml:space="preserve"> </w:t>
      </w:r>
      <w:r w:rsidR="00C2656B">
        <w:t>of</w:t>
      </w:r>
      <w:r w:rsidR="00C2656B">
        <w:rPr>
          <w:spacing w:val="3"/>
        </w:rPr>
        <w:t xml:space="preserve"> </w:t>
      </w:r>
      <w:r w:rsidR="00C2656B">
        <w:rPr>
          <w:spacing w:val="-1"/>
        </w:rPr>
        <w:t>return</w:t>
      </w:r>
      <w:r w:rsidR="00C2656B">
        <w:t xml:space="preserve"> accounts</w:t>
      </w:r>
      <w:r w:rsidR="00C2656B">
        <w:rPr>
          <w:spacing w:val="-1"/>
        </w:rPr>
        <w:t xml:space="preserve"> </w:t>
      </w:r>
      <w:r w:rsidR="00C2656B">
        <w:t>for</w:t>
      </w:r>
      <w:r w:rsidR="00C2656B">
        <w:rPr>
          <w:spacing w:val="-1"/>
        </w:rPr>
        <w:t xml:space="preserve"> </w:t>
      </w:r>
      <w:r w:rsidR="00C2656B">
        <w:t>most of</w:t>
      </w:r>
      <w:r w:rsidR="00C2656B">
        <w:rPr>
          <w:spacing w:val="3"/>
        </w:rPr>
        <w:t xml:space="preserve"> </w:t>
      </w:r>
      <w:r w:rsidR="00C2656B">
        <w:t xml:space="preserve">this </w:t>
      </w:r>
      <w:r w:rsidR="00C2656B">
        <w:rPr>
          <w:spacing w:val="-1"/>
        </w:rPr>
        <w:t>difference,</w:t>
      </w:r>
      <w:r w:rsidR="00C2656B">
        <w:rPr>
          <w:spacing w:val="-7"/>
        </w:rPr>
        <w:t xml:space="preserve"> </w:t>
      </w:r>
      <w:r w:rsidR="00C2656B">
        <w:t>although</w:t>
      </w:r>
      <w:r w:rsidR="00C2656B">
        <w:rPr>
          <w:spacing w:val="-1"/>
        </w:rPr>
        <w:t xml:space="preserve"> </w:t>
      </w:r>
      <w:r w:rsidR="00C2656B">
        <w:t>a significant</w:t>
      </w:r>
      <w:r w:rsidR="00C2656B">
        <w:rPr>
          <w:spacing w:val="-1"/>
        </w:rPr>
        <w:t xml:space="preserve"> proportion</w:t>
      </w:r>
      <w:r w:rsidR="00C2656B">
        <w:t xml:space="preserve"> of</w:t>
      </w:r>
      <w:r w:rsidR="00C2656B">
        <w:rPr>
          <w:spacing w:val="3"/>
        </w:rPr>
        <w:t xml:space="preserve"> </w:t>
      </w:r>
      <w:r w:rsidR="00C2656B">
        <w:t>the</w:t>
      </w:r>
      <w:r w:rsidR="00C2656B">
        <w:rPr>
          <w:spacing w:val="-1"/>
        </w:rPr>
        <w:t xml:space="preserve"> increase</w:t>
      </w:r>
      <w:r w:rsidR="00C2656B">
        <w:rPr>
          <w:spacing w:val="27"/>
        </w:rPr>
        <w:t xml:space="preserve"> </w:t>
      </w:r>
      <w:r w:rsidR="00C2656B">
        <w:rPr>
          <w:spacing w:val="-1"/>
        </w:rPr>
        <w:t>associated</w:t>
      </w:r>
      <w:r w:rsidR="00C2656B">
        <w:t xml:space="preserve"> with this is </w:t>
      </w:r>
      <w:r w:rsidR="00C2656B">
        <w:rPr>
          <w:spacing w:val="-1"/>
        </w:rPr>
        <w:t>offset</w:t>
      </w:r>
      <w:r w:rsidR="00C2656B">
        <w:t xml:space="preserve"> by the </w:t>
      </w:r>
      <w:r w:rsidR="00C2656B">
        <w:rPr>
          <w:spacing w:val="-4"/>
        </w:rPr>
        <w:t>Panel’s</w:t>
      </w:r>
      <w:r w:rsidR="00C2656B">
        <w:t xml:space="preserve"> decision to </w:t>
      </w:r>
      <w:r w:rsidR="00C2656B">
        <w:rPr>
          <w:spacing w:val="-1"/>
        </w:rPr>
        <w:t>index</w:t>
      </w:r>
      <w:r w:rsidR="00C2656B">
        <w:t xml:space="preserve"> the RAB.</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21"/>
          <w:szCs w:val="2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41" style="width:72.5pt;height:.5pt;mso-position-horizontal-relative:char;mso-position-vertical-relative:line" coordsize="1450,10">
            <v:group id="_x0000_s1842" style="position:absolute;left:5;top:5;width:1440;height:2" coordorigin="5,5" coordsize="1440,2">
              <v:shape id="_x0000_s1843" style="position:absolute;left:5;top:5;width:1440;height:2" coordorigin="5,5" coordsize="1440,0" path="m5,5r1440,e" filled="f" strokeweight=".5pt">
                <v:path arrowok="t"/>
              </v:shape>
            </v:group>
            <w10:wrap type="none"/>
            <w10:anchorlock/>
          </v:group>
        </w:pict>
      </w:r>
    </w:p>
    <w:p w:rsidR="00D96B91" w:rsidRDefault="00C2656B">
      <w:pPr>
        <w:numPr>
          <w:ilvl w:val="0"/>
          <w:numId w:val="35"/>
        </w:numPr>
        <w:tabs>
          <w:tab w:val="left" w:pos="1758"/>
        </w:tabs>
        <w:spacing w:before="38"/>
        <w:ind w:hanging="510"/>
        <w:rPr>
          <w:rFonts w:ascii="Avenir Next" w:eastAsia="Avenir Next" w:hAnsi="Avenir Next" w:cs="Avenir Next"/>
          <w:sz w:val="16"/>
          <w:szCs w:val="16"/>
        </w:rPr>
      </w:pPr>
      <w:bookmarkStart w:id="182" w:name="_bookmark117"/>
      <w:bookmarkEnd w:id="182"/>
      <w:r>
        <w:rPr>
          <w:rFonts w:ascii="Avenir Next"/>
          <w:spacing w:val="-1"/>
          <w:sz w:val="16"/>
        </w:rPr>
        <w:t>This</w:t>
      </w:r>
      <w:r>
        <w:rPr>
          <w:rFonts w:ascii="Avenir Next"/>
          <w:sz w:val="16"/>
        </w:rPr>
        <w:t xml:space="preserve"> decision added $115 million to the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for 2013-14 and 2014-15.</w:t>
      </w:r>
    </w:p>
    <w:p w:rsidR="00D96B91" w:rsidRDefault="00C2656B">
      <w:pPr>
        <w:numPr>
          <w:ilvl w:val="0"/>
          <w:numId w:val="35"/>
        </w:numPr>
        <w:tabs>
          <w:tab w:val="left" w:pos="1758"/>
        </w:tabs>
        <w:spacing w:before="121"/>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decision </w:t>
      </w:r>
      <w:r>
        <w:rPr>
          <w:rFonts w:ascii="Avenir Next"/>
          <w:spacing w:val="-1"/>
          <w:sz w:val="16"/>
        </w:rPr>
        <w:t>reduced</w:t>
      </w:r>
      <w:r>
        <w:rPr>
          <w:rFonts w:ascii="Avenir Next"/>
          <w:sz w:val="16"/>
        </w:rPr>
        <w:t xml:space="preserve"> the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for 2013-14 and 2014-15 by $98 million.</w:t>
      </w:r>
    </w:p>
    <w:p w:rsidR="00D96B91" w:rsidRDefault="00C2656B">
      <w:pPr>
        <w:numPr>
          <w:ilvl w:val="0"/>
          <w:numId w:val="35"/>
        </w:numPr>
        <w:tabs>
          <w:tab w:val="left" w:pos="1758"/>
        </w:tabs>
        <w:spacing w:before="121"/>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decision added $6 million to the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for 2013-14 and 2014-15.</w:t>
      </w:r>
    </w:p>
    <w:p w:rsidR="00D96B91" w:rsidRDefault="00C2656B">
      <w:pPr>
        <w:numPr>
          <w:ilvl w:val="0"/>
          <w:numId w:val="35"/>
        </w:numPr>
        <w:tabs>
          <w:tab w:val="left" w:pos="1758"/>
        </w:tabs>
        <w:spacing w:before="121"/>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decision added $2 million to the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for 2013-14 and 2014-15.</w:t>
      </w:r>
    </w:p>
    <w:p w:rsidR="00D96B91" w:rsidRDefault="00C2656B">
      <w:pPr>
        <w:numPr>
          <w:ilvl w:val="0"/>
          <w:numId w:val="35"/>
        </w:numPr>
        <w:tabs>
          <w:tab w:val="left" w:pos="1758"/>
        </w:tabs>
        <w:spacing w:before="121"/>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decision added $5 million to the total </w:t>
      </w:r>
      <w:r>
        <w:rPr>
          <w:rFonts w:ascii="Avenir Next"/>
          <w:spacing w:val="-1"/>
          <w:sz w:val="16"/>
        </w:rPr>
        <w:t>revenue</w:t>
      </w:r>
      <w:r>
        <w:rPr>
          <w:rFonts w:ascii="Avenir Next"/>
          <w:sz w:val="16"/>
        </w:rPr>
        <w:t xml:space="preserve"> </w:t>
      </w:r>
      <w:r>
        <w:rPr>
          <w:rFonts w:ascii="Avenir Next"/>
          <w:spacing w:val="-1"/>
          <w:sz w:val="16"/>
        </w:rPr>
        <w:t>requirement</w:t>
      </w:r>
      <w:r>
        <w:rPr>
          <w:rFonts w:ascii="Avenir Next"/>
          <w:sz w:val="16"/>
        </w:rPr>
        <w:t xml:space="preserve"> for 2013-14 and 2014-15.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37" w:line="240" w:lineRule="exact"/>
        <w:ind w:left="1247" w:right="1283"/>
        <w:rPr>
          <w:rFonts w:ascii="Avenir Next" w:eastAsia="Avenir Next" w:hAnsi="Avenir Next" w:cs="Avenir Next"/>
          <w:sz w:val="20"/>
          <w:szCs w:val="20"/>
        </w:rPr>
      </w:pPr>
      <w:r>
        <w:rPr>
          <w:rFonts w:ascii="Avenir Next" w:eastAsia="Avenir Next" w:hAnsi="Avenir Next" w:cs="Avenir Next"/>
          <w:b/>
          <w:bCs/>
          <w:spacing w:val="-2"/>
          <w:sz w:val="20"/>
          <w:szCs w:val="20"/>
        </w:rPr>
        <w:t>Figure</w:t>
      </w:r>
      <w:r>
        <w:rPr>
          <w:rFonts w:ascii="Avenir Next" w:eastAsia="Avenir Next" w:hAnsi="Avenir Next" w:cs="Avenir Next"/>
          <w:b/>
          <w:bCs/>
          <w:sz w:val="20"/>
          <w:szCs w:val="20"/>
        </w:rPr>
        <w:t xml:space="preserve"> 13.2: </w:t>
      </w:r>
      <w:r>
        <w:rPr>
          <w:rFonts w:ascii="Avenir Next" w:eastAsia="Avenir Next" w:hAnsi="Avenir Next" w:cs="Avenir Next"/>
          <w:b/>
          <w:bCs/>
          <w:spacing w:val="-1"/>
          <w:sz w:val="20"/>
          <w:szCs w:val="20"/>
        </w:rPr>
        <w:t>Difference</w:t>
      </w:r>
      <w:r>
        <w:rPr>
          <w:rFonts w:ascii="Avenir Next" w:eastAsia="Avenir Next" w:hAnsi="Avenir Next" w:cs="Avenir Next"/>
          <w:b/>
          <w:bCs/>
          <w:sz w:val="20"/>
          <w:szCs w:val="20"/>
        </w:rPr>
        <w:t xml:space="preserve"> between the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and the </w:t>
      </w:r>
      <w:r>
        <w:rPr>
          <w:rFonts w:ascii="Avenir Next" w:eastAsia="Avenir Next" w:hAnsi="Avenir Next" w:cs="Avenir Next"/>
          <w:b/>
          <w:bCs/>
          <w:spacing w:val="-2"/>
          <w:sz w:val="20"/>
          <w:szCs w:val="20"/>
        </w:rPr>
        <w:t>ICRC’s</w:t>
      </w:r>
      <w:r>
        <w:rPr>
          <w:rFonts w:ascii="Avenir Next" w:eastAsia="Avenir Next" w:hAnsi="Avenir Next" w:cs="Avenir Next"/>
          <w:b/>
          <w:bCs/>
          <w:sz w:val="20"/>
          <w:szCs w:val="20"/>
        </w:rPr>
        <w:t xml:space="preserve"> final decision on total</w:t>
      </w:r>
      <w:r>
        <w:rPr>
          <w:rFonts w:ascii="Avenir Next" w:eastAsia="Avenir Next" w:hAnsi="Avenir Next" w:cs="Avenir Next"/>
          <w:b/>
          <w:bCs/>
          <w:spacing w:val="35"/>
          <w:sz w:val="20"/>
          <w:szCs w:val="20"/>
        </w:rPr>
        <w:t xml:space="preserve">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(2013-14 and 2014-15)</w:t>
      </w:r>
    </w:p>
    <w:p w:rsidR="00D96B91" w:rsidRDefault="00D96B91">
      <w:pPr>
        <w:spacing w:before="7"/>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9243"/>
      </w:tblGrid>
      <w:tr w:rsidR="00D96B91">
        <w:trPr>
          <w:trHeight w:hRule="exact" w:val="360"/>
        </w:trPr>
        <w:tc>
          <w:tcPr>
            <w:tcW w:w="9243"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2"/>
                <w:sz w:val="20"/>
              </w:rPr>
              <w:t>Water</w:t>
            </w:r>
          </w:p>
        </w:tc>
      </w:tr>
      <w:tr w:rsidR="00D96B91">
        <w:trPr>
          <w:trHeight w:hRule="exact" w:val="4652"/>
        </w:trPr>
        <w:tc>
          <w:tcPr>
            <w:tcW w:w="9243"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926"/>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11714" cy="2871787"/>
                  <wp:effectExtent l="0" t="0" r="0" b="0"/>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86" cstate="print"/>
                          <a:stretch>
                            <a:fillRect/>
                          </a:stretch>
                        </pic:blipFill>
                        <pic:spPr>
                          <a:xfrm>
                            <a:off x="0" y="0"/>
                            <a:ext cx="4711714" cy="2871787"/>
                          </a:xfrm>
                          <a:prstGeom prst="rect">
                            <a:avLst/>
                          </a:prstGeom>
                        </pic:spPr>
                      </pic:pic>
                    </a:graphicData>
                  </a:graphic>
                </wp:inline>
              </w:drawing>
            </w:r>
          </w:p>
        </w:tc>
      </w:tr>
      <w:tr w:rsidR="00D96B91">
        <w:trPr>
          <w:trHeight w:hRule="exact" w:val="360"/>
        </w:trPr>
        <w:tc>
          <w:tcPr>
            <w:tcW w:w="9243"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1"/>
                <w:sz w:val="20"/>
              </w:rPr>
              <w:t>Sewerage</w:t>
            </w:r>
          </w:p>
        </w:tc>
      </w:tr>
      <w:tr w:rsidR="00D96B91">
        <w:trPr>
          <w:trHeight w:hRule="exact" w:val="4652"/>
        </w:trPr>
        <w:tc>
          <w:tcPr>
            <w:tcW w:w="9243"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926"/>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711714" cy="2871787"/>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87" cstate="print"/>
                          <a:stretch>
                            <a:fillRect/>
                          </a:stretch>
                        </pic:blipFill>
                        <pic:spPr>
                          <a:xfrm>
                            <a:off x="0" y="0"/>
                            <a:ext cx="4711714" cy="2871787"/>
                          </a:xfrm>
                          <a:prstGeom prst="rect">
                            <a:avLst/>
                          </a:prstGeom>
                        </pic:spPr>
                      </pic:pic>
                    </a:graphicData>
                  </a:graphic>
                </wp:inline>
              </w:drawing>
            </w:r>
          </w:p>
        </w:tc>
      </w:tr>
    </w:tbl>
    <w:p w:rsidR="00D96B91" w:rsidRDefault="00D96B91">
      <w:pPr>
        <w:spacing w:before="8"/>
        <w:rPr>
          <w:rFonts w:ascii="Avenir Next" w:eastAsia="Avenir Next" w:hAnsi="Avenir Next" w:cs="Avenir Next"/>
          <w:b/>
          <w:bCs/>
          <w:sz w:val="7"/>
          <w:szCs w:val="7"/>
        </w:rPr>
      </w:pPr>
    </w:p>
    <w:p w:rsidR="00D96B91" w:rsidRDefault="00C2656B">
      <w:pPr>
        <w:pStyle w:val="BodyText"/>
        <w:tabs>
          <w:tab w:val="left" w:pos="10151"/>
        </w:tabs>
        <w:spacing w:before="46" w:line="267" w:lineRule="exact"/>
        <w:rPr>
          <w:rFonts w:cs="Avenir Next"/>
        </w:rPr>
      </w:pPr>
      <w:r>
        <w:rPr>
          <w:spacing w:val="-4"/>
        </w:rPr>
        <w:t>The</w:t>
      </w:r>
      <w:r>
        <w:rPr>
          <w:spacing w:val="-6"/>
        </w:rPr>
        <w:t xml:space="preserve"> </w:t>
      </w:r>
      <w:r>
        <w:rPr>
          <w:spacing w:val="-3"/>
        </w:rPr>
        <w:t>$258</w:t>
      </w:r>
      <w:r>
        <w:rPr>
          <w:spacing w:val="-6"/>
        </w:rPr>
        <w:t xml:space="preserve"> </w:t>
      </w:r>
      <w:r>
        <w:rPr>
          <w:spacing w:val="-3"/>
        </w:rPr>
        <w:t>million</w:t>
      </w:r>
      <w:r>
        <w:rPr>
          <w:spacing w:val="-6"/>
        </w:rPr>
        <w:t xml:space="preserve"> </w:t>
      </w:r>
      <w:r>
        <w:rPr>
          <w:spacing w:val="-4"/>
        </w:rPr>
        <w:t>difference</w:t>
      </w:r>
      <w:r>
        <w:rPr>
          <w:spacing w:val="-6"/>
        </w:rPr>
        <w:t xml:space="preserve"> </w:t>
      </w:r>
      <w:r>
        <w:rPr>
          <w:spacing w:val="-3"/>
        </w:rPr>
        <w:t>between</w:t>
      </w:r>
      <w:r>
        <w:rPr>
          <w:spacing w:val="-6"/>
        </w:rPr>
        <w:t xml:space="preserve"> </w:t>
      </w:r>
      <w:r>
        <w:rPr>
          <w:spacing w:val="-2"/>
        </w:rPr>
        <w:t>the</w:t>
      </w:r>
      <w:r>
        <w:rPr>
          <w:spacing w:val="-6"/>
        </w:rPr>
        <w:t xml:space="preserve"> Panel’s </w:t>
      </w:r>
      <w:r>
        <w:rPr>
          <w:spacing w:val="-4"/>
        </w:rPr>
        <w:t>draft</w:t>
      </w:r>
      <w:r>
        <w:rPr>
          <w:spacing w:val="-6"/>
        </w:rPr>
        <w:t xml:space="preserve"> </w:t>
      </w:r>
      <w:r>
        <w:rPr>
          <w:spacing w:val="-3"/>
        </w:rPr>
        <w:t>decision</w:t>
      </w:r>
      <w:r>
        <w:rPr>
          <w:spacing w:val="-6"/>
        </w:rPr>
        <w:t xml:space="preserve"> </w:t>
      </w:r>
      <w:r>
        <w:rPr>
          <w:spacing w:val="-2"/>
        </w:rPr>
        <w:t>and</w:t>
      </w:r>
      <w:r>
        <w:rPr>
          <w:spacing w:val="-10"/>
        </w:rPr>
        <w:t xml:space="preserve"> </w:t>
      </w:r>
      <w:r>
        <w:rPr>
          <w:spacing w:val="-5"/>
        </w:rPr>
        <w:t>ACTEW’s</w:t>
      </w:r>
      <w:r>
        <w:rPr>
          <w:spacing w:val="-6"/>
        </w:rPr>
        <w:t xml:space="preserve"> </w:t>
      </w:r>
      <w:r>
        <w:rPr>
          <w:spacing w:val="-4"/>
        </w:rPr>
        <w:t>proposal</w:t>
      </w:r>
      <w:r>
        <w:rPr>
          <w:spacing w:val="-6"/>
        </w:rPr>
        <w:t xml:space="preserve"> </w:t>
      </w:r>
      <w:r>
        <w:rPr>
          <w:spacing w:val="-2"/>
        </w:rPr>
        <w:t>for</w:t>
      </w:r>
      <w:r>
        <w:rPr>
          <w:spacing w:val="-6"/>
        </w:rPr>
        <w:t xml:space="preserve"> </w:t>
      </w:r>
      <w:r>
        <w:rPr>
          <w:spacing w:val="-2"/>
        </w:rPr>
        <w:t>the</w:t>
      </w:r>
      <w:r>
        <w:rPr>
          <w:spacing w:val="-7"/>
        </w:rPr>
        <w:t xml:space="preserve"> </w:t>
      </w:r>
      <w:r>
        <w:rPr>
          <w:rFonts w:cs="Avenir Next"/>
          <w:b/>
          <w:bCs/>
          <w:spacing w:val="-3"/>
        </w:rPr>
        <w:t>full</w:t>
      </w:r>
      <w:r>
        <w:rPr>
          <w:rFonts w:cs="Avenir Next"/>
          <w:b/>
          <w:bCs/>
          <w:spacing w:val="-6"/>
        </w:rPr>
        <w:t xml:space="preserve"> </w:t>
      </w:r>
      <w:r>
        <w:rPr>
          <w:rFonts w:cs="Avenir Next"/>
          <w:b/>
          <w:bCs/>
          <w:spacing w:val="-1"/>
        </w:rPr>
        <w:t>fi</w:t>
      </w:r>
      <w:r w:rsidR="00055D11">
        <w:rPr>
          <w:rFonts w:cs="Avenir Next"/>
          <w:b/>
          <w:bCs/>
          <w:spacing w:val="-1"/>
        </w:rPr>
        <w:t xml:space="preserve">ve </w:t>
      </w:r>
      <w:r>
        <w:rPr>
          <w:rFonts w:cs="Avenir Next"/>
          <w:b/>
          <w:bCs/>
          <w:spacing w:val="-4"/>
        </w:rPr>
        <w:t>years</w:t>
      </w:r>
    </w:p>
    <w:p w:rsidR="00D96B91" w:rsidRDefault="00C2656B">
      <w:pPr>
        <w:pStyle w:val="BodyText"/>
        <w:tabs>
          <w:tab w:val="left" w:pos="2571"/>
        </w:tabs>
        <w:spacing w:line="267" w:lineRule="exact"/>
      </w:pPr>
      <w:r>
        <w:rPr>
          <w:spacing w:val="-4"/>
        </w:rPr>
        <w:t>largely</w:t>
      </w:r>
      <w:r>
        <w:rPr>
          <w:spacing w:val="-8"/>
        </w:rPr>
        <w:t xml:space="preserve"> </w:t>
      </w:r>
      <w:r w:rsidR="00055D11">
        <w:rPr>
          <w:spacing w:val="-3"/>
        </w:rPr>
        <w:t>ref</w:t>
      </w:r>
      <w:r>
        <w:rPr>
          <w:spacing w:val="-3"/>
        </w:rPr>
        <w:t>l</w:t>
      </w:r>
      <w:r w:rsidR="00055D11">
        <w:rPr>
          <w:spacing w:val="-3"/>
        </w:rPr>
        <w:t xml:space="preserve">ects </w:t>
      </w:r>
      <w:r>
        <w:rPr>
          <w:spacing w:val="-2"/>
        </w:rPr>
        <w:t>the</w:t>
      </w:r>
      <w:r>
        <w:rPr>
          <w:spacing w:val="-6"/>
        </w:rPr>
        <w:t xml:space="preserve"> Panel’s </w:t>
      </w:r>
      <w:r>
        <w:rPr>
          <w:spacing w:val="-3"/>
        </w:rPr>
        <w:t>decisions</w:t>
      </w:r>
      <w:r>
        <w:rPr>
          <w:spacing w:val="-6"/>
        </w:rPr>
        <w:t xml:space="preserve"> </w:t>
      </w:r>
      <w:r>
        <w:rPr>
          <w:spacing w:val="-2"/>
        </w:rPr>
        <w:t>to</w:t>
      </w:r>
      <w:r>
        <w:rPr>
          <w:spacing w:val="-6"/>
        </w:rPr>
        <w:t xml:space="preserve"> </w:t>
      </w:r>
      <w:r>
        <w:rPr>
          <w:spacing w:val="-3"/>
        </w:rPr>
        <w:t>adopt:</w:t>
      </w:r>
    </w:p>
    <w:p w:rsidR="00D96B91" w:rsidRDefault="00C2656B">
      <w:pPr>
        <w:pStyle w:val="BodyText"/>
        <w:numPr>
          <w:ilvl w:val="0"/>
          <w:numId w:val="131"/>
        </w:numPr>
        <w:tabs>
          <w:tab w:val="left" w:pos="1531"/>
        </w:tabs>
        <w:spacing w:before="157"/>
        <w:ind w:hanging="283"/>
        <w:rPr>
          <w:rFonts w:cs="Avenir Next"/>
        </w:rPr>
      </w:pPr>
      <w:r>
        <w:t xml:space="preserve">a lower </w:t>
      </w:r>
      <w:r>
        <w:rPr>
          <w:spacing w:val="-2"/>
        </w:rPr>
        <w:t>rate</w:t>
      </w:r>
      <w:r>
        <w:t xml:space="preserve"> of</w:t>
      </w:r>
      <w:r>
        <w:rPr>
          <w:spacing w:val="4"/>
        </w:rPr>
        <w:t xml:space="preserve"> </w:t>
      </w:r>
      <w:r>
        <w:rPr>
          <w:spacing w:val="-1"/>
        </w:rPr>
        <w:t>return</w:t>
      </w:r>
      <w:r>
        <w:t xml:space="preserve"> than </w:t>
      </w:r>
      <w:r>
        <w:rPr>
          <w:spacing w:val="-1"/>
        </w:rPr>
        <w:t>proposed</w:t>
      </w:r>
      <w:r>
        <w:t xml:space="preserve"> by</w:t>
      </w:r>
      <w:r>
        <w:rPr>
          <w:spacing w:val="-4"/>
        </w:rPr>
        <w:t xml:space="preserve"> ACTEW,</w:t>
      </w:r>
      <w:r>
        <w:rPr>
          <w:spacing w:val="-6"/>
        </w:rPr>
        <w:t xml:space="preserve"> </w:t>
      </w:r>
      <w:r>
        <w:t xml:space="preserve">which </w:t>
      </w:r>
      <w:r>
        <w:rPr>
          <w:spacing w:val="-1"/>
        </w:rPr>
        <w:t>resulted</w:t>
      </w:r>
      <w:r>
        <w:t xml:space="preserve"> in lower </w:t>
      </w:r>
      <w:r>
        <w:rPr>
          <w:spacing w:val="-1"/>
        </w:rPr>
        <w:t>return</w:t>
      </w:r>
      <w:r>
        <w:t xml:space="preserve"> on capital</w:t>
      </w:r>
    </w:p>
    <w:p w:rsidR="00D96B91" w:rsidRDefault="00C2656B">
      <w:pPr>
        <w:pStyle w:val="BodyText"/>
        <w:numPr>
          <w:ilvl w:val="0"/>
          <w:numId w:val="131"/>
        </w:numPr>
        <w:tabs>
          <w:tab w:val="left" w:pos="1531"/>
        </w:tabs>
        <w:spacing w:before="64" w:line="260" w:lineRule="exact"/>
        <w:ind w:right="1390" w:hanging="283"/>
        <w:rPr>
          <w:rFonts w:cs="Avenir Next"/>
        </w:rPr>
      </w:pPr>
      <w:r>
        <w:t xml:space="preserve">an </w:t>
      </w:r>
      <w:r>
        <w:rPr>
          <w:spacing w:val="-1"/>
        </w:rPr>
        <w:t>updated</w:t>
      </w:r>
      <w:r>
        <w:t xml:space="preserve"> capital </w:t>
      </w:r>
      <w:r>
        <w:rPr>
          <w:spacing w:val="-1"/>
        </w:rPr>
        <w:t>expenditure</w:t>
      </w:r>
      <w:r>
        <w:t xml:space="preserve"> </w:t>
      </w:r>
      <w:r>
        <w:rPr>
          <w:spacing w:val="-1"/>
        </w:rPr>
        <w:t>forecast,</w:t>
      </w:r>
      <w:r>
        <w:rPr>
          <w:spacing w:val="-6"/>
        </w:rPr>
        <w:t xml:space="preserve"> </w:t>
      </w:r>
      <w:r>
        <w:t xml:space="preserve">which </w:t>
      </w:r>
      <w:r>
        <w:rPr>
          <w:spacing w:val="-1"/>
        </w:rPr>
        <w:t>resulted</w:t>
      </w:r>
      <w:r>
        <w:t xml:space="preserve"> in lower </w:t>
      </w:r>
      <w:r>
        <w:rPr>
          <w:spacing w:val="-1"/>
        </w:rPr>
        <w:t>return</w:t>
      </w:r>
      <w:r>
        <w:t xml:space="preserve"> on capital and </w:t>
      </w:r>
      <w:r>
        <w:rPr>
          <w:spacing w:val="-1"/>
        </w:rPr>
        <w:t>depreciation</w:t>
      </w:r>
      <w:r>
        <w:rPr>
          <w:spacing w:val="55"/>
        </w:rPr>
        <w:t xml:space="preserve"> </w:t>
      </w:r>
      <w:r>
        <w:t>allowances</w:t>
      </w:r>
    </w:p>
    <w:p w:rsidR="00D96B91" w:rsidRDefault="00C2656B">
      <w:pPr>
        <w:pStyle w:val="BodyText"/>
        <w:numPr>
          <w:ilvl w:val="0"/>
          <w:numId w:val="131"/>
        </w:numPr>
        <w:tabs>
          <w:tab w:val="left" w:pos="1531"/>
        </w:tabs>
        <w:spacing w:before="85" w:line="260" w:lineRule="exact"/>
        <w:ind w:right="1825" w:hanging="283"/>
        <w:rPr>
          <w:rFonts w:cs="Avenir Next"/>
        </w:rPr>
      </w:pPr>
      <w:r>
        <w:t>a higher value of</w:t>
      </w:r>
      <w:r>
        <w:rPr>
          <w:spacing w:val="4"/>
        </w:rPr>
        <w:t xml:space="preserve"> </w:t>
      </w:r>
      <w:r>
        <w:t xml:space="preserve">gamma than </w:t>
      </w:r>
      <w:r>
        <w:rPr>
          <w:spacing w:val="-1"/>
        </w:rPr>
        <w:t>proposed</w:t>
      </w:r>
      <w:r>
        <w:t xml:space="preserve"> by</w:t>
      </w:r>
      <w:r>
        <w:rPr>
          <w:spacing w:val="-4"/>
        </w:rPr>
        <w:t xml:space="preserve"> ACTEW,</w:t>
      </w:r>
      <w:r>
        <w:rPr>
          <w:spacing w:val="-6"/>
        </w:rPr>
        <w:t xml:space="preserve"> </w:t>
      </w:r>
      <w:r>
        <w:t xml:space="preserve">which </w:t>
      </w:r>
      <w:r>
        <w:rPr>
          <w:spacing w:val="-1"/>
        </w:rPr>
        <w:t>resulted</w:t>
      </w:r>
      <w:r>
        <w:t xml:space="preserve"> in a lower net tax liabilities</w:t>
      </w:r>
      <w:r>
        <w:rPr>
          <w:spacing w:val="25"/>
        </w:rPr>
        <w:t xml:space="preserve"> </w:t>
      </w:r>
      <w:r>
        <w:t>allowance,</w:t>
      </w:r>
      <w:r>
        <w:rPr>
          <w:spacing w:val="-6"/>
        </w:rPr>
        <w:t xml:space="preserve"> </w:t>
      </w:r>
      <w:r>
        <w:t>and</w:t>
      </w:r>
    </w:p>
    <w:p w:rsidR="00D96B91" w:rsidRDefault="00C2656B">
      <w:pPr>
        <w:pStyle w:val="BodyText"/>
        <w:numPr>
          <w:ilvl w:val="0"/>
          <w:numId w:val="131"/>
        </w:numPr>
        <w:tabs>
          <w:tab w:val="left" w:pos="1531"/>
        </w:tabs>
        <w:spacing w:before="85" w:line="260" w:lineRule="exact"/>
        <w:ind w:right="1376" w:hanging="283"/>
      </w:pPr>
      <w:r>
        <w:t xml:space="preserve">a higher </w:t>
      </w:r>
      <w:r>
        <w:rPr>
          <w:spacing w:val="-1"/>
        </w:rPr>
        <w:t>water</w:t>
      </w:r>
      <w:r>
        <w:t xml:space="preserve"> sales and dam </w:t>
      </w:r>
      <w:r>
        <w:rPr>
          <w:spacing w:val="-1"/>
        </w:rPr>
        <w:t>release</w:t>
      </w:r>
      <w:r>
        <w:t xml:space="preserve"> </w:t>
      </w:r>
      <w:r>
        <w:rPr>
          <w:spacing w:val="-1"/>
        </w:rPr>
        <w:t>forecast</w:t>
      </w:r>
      <w:r>
        <w:t xml:space="preserve"> than </w:t>
      </w:r>
      <w:r>
        <w:rPr>
          <w:spacing w:val="-1"/>
        </w:rPr>
        <w:t>proposed</w:t>
      </w:r>
      <w:r>
        <w:t xml:space="preserve"> by</w:t>
      </w:r>
      <w:r>
        <w:rPr>
          <w:spacing w:val="-4"/>
        </w:rPr>
        <w:t xml:space="preserve"> ACTEW,</w:t>
      </w:r>
      <w:r>
        <w:rPr>
          <w:spacing w:val="-6"/>
        </w:rPr>
        <w:t xml:space="preserve"> </w:t>
      </w:r>
      <w:r>
        <w:t xml:space="preserve">which </w:t>
      </w:r>
      <w:r>
        <w:rPr>
          <w:spacing w:val="-1"/>
        </w:rPr>
        <w:t>resulted</w:t>
      </w:r>
      <w:r>
        <w:t xml:space="preserve"> in a higher</w:t>
      </w:r>
      <w:r>
        <w:rPr>
          <w:spacing w:val="39"/>
        </w:rPr>
        <w:t xml:space="preserve"> </w:t>
      </w:r>
      <w:r>
        <w:rPr>
          <w:spacing w:val="-3"/>
        </w:rPr>
        <w:t>WAC</w:t>
      </w:r>
      <w:r>
        <w:t xml:space="preserve"> allowance.</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BodyText"/>
        <w:spacing w:before="21" w:line="260" w:lineRule="exact"/>
        <w:ind w:right="1361"/>
        <w:jc w:val="both"/>
      </w:pPr>
      <w:bookmarkStart w:id="183" w:name="13._3_Deductions_for_other_sources_of_in"/>
      <w:bookmarkStart w:id="184" w:name="_bookmark118"/>
      <w:bookmarkEnd w:id="183"/>
      <w:bookmarkEnd w:id="184"/>
      <w:r>
        <w:rPr>
          <w:spacing w:val="-2"/>
        </w:rPr>
        <w:t>Further</w:t>
      </w:r>
      <w:r>
        <w:t xml:space="preserve"> insight into the </w:t>
      </w:r>
      <w:r>
        <w:rPr>
          <w:spacing w:val="-1"/>
        </w:rPr>
        <w:t>source</w:t>
      </w:r>
      <w:r>
        <w:t xml:space="preserve"> of</w:t>
      </w:r>
      <w:r>
        <w:rPr>
          <w:spacing w:val="4"/>
        </w:rPr>
        <w:t xml:space="preserve"> </w:t>
      </w:r>
      <w:r>
        <w:t xml:space="preserve">the </w:t>
      </w:r>
      <w:r>
        <w:rPr>
          <w:spacing w:val="-1"/>
        </w:rPr>
        <w:t>difference</w:t>
      </w:r>
      <w:r>
        <w:t xml:space="preserve"> between the </w:t>
      </w:r>
      <w:r>
        <w:rPr>
          <w:spacing w:val="-4"/>
        </w:rPr>
        <w:t>Panel’s</w:t>
      </w:r>
      <w:r>
        <w:t xml:space="preserve"> </w:t>
      </w:r>
      <w:r>
        <w:rPr>
          <w:spacing w:val="-2"/>
        </w:rPr>
        <w:t>draft</w:t>
      </w:r>
      <w:r>
        <w:t xml:space="preserve"> decision and</w:t>
      </w:r>
      <w:r>
        <w:rPr>
          <w:spacing w:val="-4"/>
        </w:rPr>
        <w:t xml:space="preserve"> </w:t>
      </w:r>
      <w:r>
        <w:rPr>
          <w:spacing w:val="-2"/>
        </w:rPr>
        <w:t>ACTEW’s</w:t>
      </w:r>
      <w:r>
        <w:t xml:space="preserve"> SOFC</w:t>
      </w:r>
      <w:r>
        <w:rPr>
          <w:spacing w:val="35"/>
        </w:rPr>
        <w:t xml:space="preserve"> </w:t>
      </w:r>
      <w:r>
        <w:rPr>
          <w:spacing w:val="-1"/>
        </w:rPr>
        <w:t xml:space="preserve">proposal </w:t>
      </w:r>
      <w:r>
        <w:t>over the</w:t>
      </w:r>
      <w:r>
        <w:rPr>
          <w:spacing w:val="-1"/>
        </w:rPr>
        <w:t xml:space="preserve"> </w:t>
      </w:r>
      <w:r>
        <w:t xml:space="preserve">full five </w:t>
      </w:r>
      <w:r>
        <w:rPr>
          <w:spacing w:val="-1"/>
        </w:rPr>
        <w:t>ye</w:t>
      </w:r>
      <w:hyperlink w:anchor="_bookmark119" w:history="1">
        <w:r>
          <w:rPr>
            <w:spacing w:val="-1"/>
          </w:rPr>
          <w:t xml:space="preserve">ar </w:t>
        </w:r>
        <w:r>
          <w:t>period can</w:t>
        </w:r>
        <w:r>
          <w:rPr>
            <w:spacing w:val="-1"/>
          </w:rPr>
          <w:t xml:space="preserve"> </w:t>
        </w:r>
        <w:r>
          <w:t>be found in</w:t>
        </w:r>
        <w:r>
          <w:rPr>
            <w:spacing w:val="-1"/>
          </w:rPr>
          <w:t xml:space="preserve"> </w:t>
        </w:r>
        <w:r>
          <w:rPr>
            <w:spacing w:val="-2"/>
          </w:rPr>
          <w:t>Figure</w:t>
        </w:r>
        <w:r>
          <w:t xml:space="preserve"> 13.3</w:t>
        </w:r>
      </w:hyperlink>
      <w:r>
        <w:t>.</w:t>
      </w:r>
      <w:r>
        <w:rPr>
          <w:spacing w:val="-10"/>
        </w:rPr>
        <w:t xml:space="preserve"> </w:t>
      </w:r>
      <w:r>
        <w:t>As</w:t>
      </w:r>
      <w:r>
        <w:rPr>
          <w:spacing w:val="-1"/>
        </w:rPr>
        <w:t xml:space="preserve"> </w:t>
      </w:r>
      <w:r>
        <w:t xml:space="preserve">this </w:t>
      </w:r>
      <w:r>
        <w:rPr>
          <w:spacing w:val="-1"/>
        </w:rPr>
        <w:t xml:space="preserve">figure </w:t>
      </w:r>
      <w:r>
        <w:t>highlights,</w:t>
      </w:r>
      <w:r>
        <w:rPr>
          <w:spacing w:val="-6"/>
        </w:rPr>
        <w:t xml:space="preserve"> </w:t>
      </w:r>
      <w:r>
        <w:t xml:space="preserve">the </w:t>
      </w:r>
      <w:r>
        <w:rPr>
          <w:spacing w:val="-4"/>
        </w:rPr>
        <w:t>Panel’s</w:t>
      </w:r>
      <w:r>
        <w:rPr>
          <w:spacing w:val="37"/>
        </w:rPr>
        <w:t xml:space="preserve"> </w:t>
      </w:r>
      <w:r>
        <w:rPr>
          <w:spacing w:val="-2"/>
        </w:rPr>
        <w:t>draft</w:t>
      </w:r>
      <w:r>
        <w:t xml:space="preserve"> decision to adopt a 7.2% </w:t>
      </w:r>
      <w:r>
        <w:rPr>
          <w:spacing w:val="-2"/>
        </w:rPr>
        <w:t>rate</w:t>
      </w:r>
      <w:r>
        <w:t xml:space="preserve"> of</w:t>
      </w:r>
      <w:r>
        <w:rPr>
          <w:spacing w:val="4"/>
        </w:rPr>
        <w:t xml:space="preserve"> </w:t>
      </w:r>
      <w:r>
        <w:rPr>
          <w:spacing w:val="-1"/>
        </w:rPr>
        <w:t>return</w:t>
      </w:r>
      <w:r>
        <w:t xml:space="preserve"> accounts for most of</w:t>
      </w:r>
      <w:r>
        <w:rPr>
          <w:spacing w:val="4"/>
        </w:rPr>
        <w:t xml:space="preserve"> </w:t>
      </w:r>
      <w:r>
        <w:t xml:space="preserve">the </w:t>
      </w:r>
      <w:r>
        <w:rPr>
          <w:spacing w:val="-1"/>
        </w:rPr>
        <w:t>difference.</w:t>
      </w:r>
    </w:p>
    <w:p w:rsidR="00D96B91" w:rsidRDefault="00C2656B">
      <w:pPr>
        <w:spacing w:before="166" w:line="240" w:lineRule="exact"/>
        <w:ind w:left="1247" w:right="1283"/>
        <w:rPr>
          <w:rFonts w:ascii="Avenir Next" w:eastAsia="Avenir Next" w:hAnsi="Avenir Next" w:cs="Avenir Next"/>
          <w:sz w:val="20"/>
          <w:szCs w:val="20"/>
        </w:rPr>
      </w:pPr>
      <w:bookmarkStart w:id="185" w:name="_bookmark119"/>
      <w:bookmarkEnd w:id="185"/>
      <w:r>
        <w:rPr>
          <w:rFonts w:ascii="Avenir Next" w:eastAsia="Avenir Next" w:hAnsi="Avenir Next" w:cs="Avenir Next"/>
          <w:b/>
          <w:bCs/>
          <w:spacing w:val="-2"/>
          <w:sz w:val="20"/>
          <w:szCs w:val="20"/>
        </w:rPr>
        <w:t>Figure</w:t>
      </w:r>
      <w:r>
        <w:rPr>
          <w:rFonts w:ascii="Avenir Next" w:eastAsia="Avenir Next" w:hAnsi="Avenir Next" w:cs="Avenir Next"/>
          <w:b/>
          <w:bCs/>
          <w:sz w:val="20"/>
          <w:szCs w:val="20"/>
        </w:rPr>
        <w:t xml:space="preserve"> 13.3: </w:t>
      </w:r>
      <w:r>
        <w:rPr>
          <w:rFonts w:ascii="Avenir Next" w:eastAsia="Avenir Next" w:hAnsi="Avenir Next" w:cs="Avenir Next"/>
          <w:b/>
          <w:bCs/>
          <w:spacing w:val="-1"/>
          <w:sz w:val="20"/>
          <w:szCs w:val="20"/>
        </w:rPr>
        <w:t>Difference</w:t>
      </w:r>
      <w:r>
        <w:rPr>
          <w:rFonts w:ascii="Avenir Next" w:eastAsia="Avenir Next" w:hAnsi="Avenir Next" w:cs="Avenir Next"/>
          <w:b/>
          <w:bCs/>
          <w:sz w:val="20"/>
          <w:szCs w:val="20"/>
        </w:rPr>
        <w:t xml:space="preserve"> between the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and</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ACTEW’s</w:t>
      </w:r>
      <w:r>
        <w:rPr>
          <w:rFonts w:ascii="Avenir Next" w:eastAsia="Avenir Next" w:hAnsi="Avenir Next" w:cs="Avenir Next"/>
          <w:b/>
          <w:bCs/>
          <w:sz w:val="20"/>
          <w:szCs w:val="20"/>
        </w:rPr>
        <w:t xml:space="preserve"> SOFC </w:t>
      </w:r>
      <w:r>
        <w:rPr>
          <w:rFonts w:ascii="Avenir Next" w:eastAsia="Avenir Next" w:hAnsi="Avenir Next" w:cs="Avenir Next"/>
          <w:b/>
          <w:bCs/>
          <w:spacing w:val="-1"/>
          <w:sz w:val="20"/>
          <w:szCs w:val="20"/>
        </w:rPr>
        <w:t>proposal</w:t>
      </w:r>
      <w:r>
        <w:rPr>
          <w:rFonts w:ascii="Avenir Next" w:eastAsia="Avenir Next" w:hAnsi="Avenir Next" w:cs="Avenir Next"/>
          <w:b/>
          <w:bCs/>
          <w:sz w:val="20"/>
          <w:szCs w:val="20"/>
        </w:rPr>
        <w:t xml:space="preserve"> for total</w:t>
      </w:r>
      <w:r>
        <w:rPr>
          <w:rFonts w:ascii="Avenir Next" w:eastAsia="Avenir Next" w:hAnsi="Avenir Next" w:cs="Avenir Next"/>
          <w:b/>
          <w:bCs/>
          <w:spacing w:val="41"/>
          <w:sz w:val="20"/>
          <w:szCs w:val="20"/>
        </w:rPr>
        <w:t xml:space="preserve"> </w:t>
      </w:r>
      <w:r>
        <w:rPr>
          <w:rFonts w:ascii="Avenir Next" w:eastAsia="Avenir Next" w:hAnsi="Avenir Next" w:cs="Avenir Next"/>
          <w:b/>
          <w:bCs/>
          <w:spacing w:val="-1"/>
          <w:sz w:val="20"/>
          <w:szCs w:val="20"/>
        </w:rPr>
        <w:t>revenue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requirement</w:t>
      </w:r>
      <w:r>
        <w:rPr>
          <w:rFonts w:ascii="Avenir Next" w:eastAsia="Avenir Next" w:hAnsi="Avenir Next" w:cs="Avenir Next"/>
          <w:b/>
          <w:bCs/>
          <w:sz w:val="20"/>
          <w:szCs w:val="20"/>
        </w:rPr>
        <w:t xml:space="preserve"> (full </w:t>
      </w:r>
      <w:r>
        <w:rPr>
          <w:rFonts w:ascii="Avenir Next" w:eastAsia="Avenir Next" w:hAnsi="Avenir Next" w:cs="Avenir Next"/>
          <w:b/>
          <w:bCs/>
          <w:spacing w:val="-1"/>
          <w:sz w:val="20"/>
          <w:szCs w:val="20"/>
        </w:rPr>
        <w:t>regulatory</w:t>
      </w:r>
      <w:r>
        <w:rPr>
          <w:rFonts w:ascii="Avenir Next" w:eastAsia="Avenir Next" w:hAnsi="Avenir Next" w:cs="Avenir Next"/>
          <w:b/>
          <w:bCs/>
          <w:sz w:val="20"/>
          <w:szCs w:val="20"/>
        </w:rPr>
        <w:t xml:space="preserve"> period: 2013-14 to 2017-18)</w:t>
      </w:r>
    </w:p>
    <w:p w:rsidR="00D96B91" w:rsidRDefault="00D96B91">
      <w:pPr>
        <w:spacing w:before="7"/>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9391"/>
      </w:tblGrid>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2"/>
                <w:sz w:val="20"/>
              </w:rPr>
              <w:t>Water</w:t>
            </w:r>
          </w:p>
        </w:tc>
      </w:tr>
      <w:tr w:rsidR="00D96B91">
        <w:trPr>
          <w:trHeight w:hRule="exact" w:val="4277"/>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1308"/>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313861" cy="2629280"/>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88" cstate="print"/>
                          <a:stretch>
                            <a:fillRect/>
                          </a:stretch>
                        </pic:blipFill>
                        <pic:spPr>
                          <a:xfrm>
                            <a:off x="0" y="0"/>
                            <a:ext cx="4313861" cy="2629280"/>
                          </a:xfrm>
                          <a:prstGeom prst="rect">
                            <a:avLst/>
                          </a:prstGeom>
                        </pic:spPr>
                      </pic:pic>
                    </a:graphicData>
                  </a:graphic>
                </wp:inline>
              </w:drawing>
            </w:r>
          </w:p>
        </w:tc>
      </w:tr>
      <w:tr w:rsidR="00D96B91">
        <w:trPr>
          <w:trHeight w:hRule="exact" w:val="360"/>
        </w:trPr>
        <w:tc>
          <w:tcPr>
            <w:tcW w:w="9391" w:type="dxa"/>
            <w:tcBorders>
              <w:top w:val="single" w:sz="8" w:space="0" w:color="000000"/>
              <w:left w:val="single" w:sz="8" w:space="0" w:color="000000"/>
              <w:bottom w:val="single" w:sz="8" w:space="0" w:color="000000"/>
              <w:right w:val="single" w:sz="8" w:space="0" w:color="000000"/>
            </w:tcBorders>
          </w:tcPr>
          <w:p w:rsidR="00D96B91" w:rsidRDefault="00C2656B">
            <w:pPr>
              <w:pStyle w:val="TableParagraph"/>
              <w:spacing w:before="70" w:line="270" w:lineRule="exact"/>
              <w:jc w:val="center"/>
              <w:rPr>
                <w:rFonts w:ascii="Avenir Next" w:eastAsia="Avenir Next" w:hAnsi="Avenir Next" w:cs="Avenir Next"/>
                <w:sz w:val="20"/>
                <w:szCs w:val="20"/>
              </w:rPr>
            </w:pPr>
            <w:r>
              <w:rPr>
                <w:rFonts w:ascii="Avenir Next"/>
                <w:b/>
                <w:spacing w:val="-1"/>
                <w:sz w:val="20"/>
              </w:rPr>
              <w:t>Sewerage</w:t>
            </w:r>
          </w:p>
        </w:tc>
      </w:tr>
      <w:tr w:rsidR="00D96B91">
        <w:trPr>
          <w:trHeight w:hRule="exact" w:val="4280"/>
        </w:trPr>
        <w:tc>
          <w:tcPr>
            <w:tcW w:w="9391" w:type="dxa"/>
            <w:tcBorders>
              <w:top w:val="single" w:sz="8" w:space="0" w:color="000000"/>
              <w:left w:val="single" w:sz="8" w:space="0" w:color="000000"/>
              <w:bottom w:val="single" w:sz="8" w:space="0" w:color="000000"/>
              <w:right w:val="single" w:sz="8" w:space="0" w:color="000000"/>
            </w:tcBorders>
          </w:tcPr>
          <w:p w:rsidR="00D96B91" w:rsidRDefault="00D96B91">
            <w:pPr>
              <w:pStyle w:val="TableParagraph"/>
              <w:spacing w:before="2"/>
              <w:rPr>
                <w:rFonts w:ascii="Avenir Next" w:eastAsia="Avenir Next" w:hAnsi="Avenir Next" w:cs="Avenir Next"/>
                <w:b/>
                <w:bCs/>
                <w:sz w:val="5"/>
                <w:szCs w:val="5"/>
              </w:rPr>
            </w:pPr>
          </w:p>
          <w:p w:rsidR="00D96B91" w:rsidRDefault="00C2656B">
            <w:pPr>
              <w:pStyle w:val="TableParagraph"/>
              <w:spacing w:line="200" w:lineRule="atLeast"/>
              <w:ind w:left="1305"/>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4324303" cy="2635662"/>
                  <wp:effectExtent l="0" t="0" r="0" b="0"/>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89" cstate="print"/>
                          <a:stretch>
                            <a:fillRect/>
                          </a:stretch>
                        </pic:blipFill>
                        <pic:spPr>
                          <a:xfrm>
                            <a:off x="0" y="0"/>
                            <a:ext cx="4324303" cy="2635662"/>
                          </a:xfrm>
                          <a:prstGeom prst="rect">
                            <a:avLst/>
                          </a:prstGeom>
                        </pic:spPr>
                      </pic:pic>
                    </a:graphicData>
                  </a:graphic>
                </wp:inline>
              </w:drawing>
            </w:r>
          </w:p>
        </w:tc>
      </w:tr>
    </w:tbl>
    <w:p w:rsidR="00D96B91" w:rsidRDefault="00D96B91">
      <w:pPr>
        <w:spacing w:before="8"/>
        <w:rPr>
          <w:rFonts w:ascii="Avenir Next" w:eastAsia="Avenir Next" w:hAnsi="Avenir Next" w:cs="Avenir Next"/>
          <w:b/>
          <w:bCs/>
          <w:sz w:val="9"/>
          <w:szCs w:val="9"/>
        </w:rPr>
      </w:pPr>
    </w:p>
    <w:p w:rsidR="00D96B91" w:rsidRDefault="00C2656B">
      <w:pPr>
        <w:pStyle w:val="Heading4"/>
        <w:spacing w:before="31" w:line="360" w:lineRule="exact"/>
        <w:ind w:left="2041" w:right="1256" w:hanging="794"/>
      </w:pPr>
      <w:r>
        <w:rPr>
          <w:color w:val="0778BE"/>
        </w:rPr>
        <w:t>13.</w:t>
      </w:r>
      <w:r>
        <w:rPr>
          <w:color w:val="0778BE"/>
          <w:spacing w:val="-9"/>
        </w:rPr>
        <w:t xml:space="preserve"> </w:t>
      </w:r>
      <w:r>
        <w:rPr>
          <w:color w:val="0778BE"/>
        </w:rPr>
        <w:t>3</w:t>
      </w:r>
      <w:r>
        <w:rPr>
          <w:color w:val="0778BE"/>
          <w:spacing w:val="39"/>
        </w:rPr>
        <w:t xml:space="preserve"> </w:t>
      </w:r>
      <w:r>
        <w:rPr>
          <w:color w:val="0778BE"/>
        </w:rPr>
        <w:t xml:space="preserve">Deductions for other </w:t>
      </w:r>
      <w:r>
        <w:rPr>
          <w:color w:val="0778BE"/>
          <w:spacing w:val="-1"/>
        </w:rPr>
        <w:t>sources</w:t>
      </w:r>
      <w:r>
        <w:rPr>
          <w:color w:val="0778BE"/>
        </w:rPr>
        <w:t xml:space="preserve"> of</w:t>
      </w:r>
      <w:r>
        <w:rPr>
          <w:color w:val="0778BE"/>
          <w:spacing w:val="7"/>
        </w:rPr>
        <w:t xml:space="preserve"> </w:t>
      </w:r>
      <w:r>
        <w:rPr>
          <w:color w:val="0778BE"/>
        </w:rPr>
        <w:t xml:space="preserve">income and </w:t>
      </w:r>
      <w:r>
        <w:rPr>
          <w:color w:val="0778BE"/>
          <w:spacing w:val="-1"/>
        </w:rPr>
        <w:t>expenditure</w:t>
      </w:r>
      <w:r>
        <w:rPr>
          <w:color w:val="0778BE"/>
        </w:rPr>
        <w:t xml:space="preserve"> </w:t>
      </w:r>
      <w:r>
        <w:rPr>
          <w:color w:val="0778BE"/>
          <w:spacing w:val="-1"/>
        </w:rPr>
        <w:t>that</w:t>
      </w:r>
      <w:r>
        <w:rPr>
          <w:color w:val="0778BE"/>
          <w:spacing w:val="25"/>
        </w:rPr>
        <w:t xml:space="preserve"> </w:t>
      </w:r>
      <w:r>
        <w:rPr>
          <w:color w:val="0778BE"/>
        </w:rPr>
        <w:t xml:space="preserve">should be </w:t>
      </w:r>
      <w:r>
        <w:rPr>
          <w:color w:val="0778BE"/>
          <w:spacing w:val="-2"/>
        </w:rPr>
        <w:t>treated</w:t>
      </w:r>
      <w:r>
        <w:rPr>
          <w:color w:val="0778BE"/>
        </w:rPr>
        <w:t xml:space="preserve"> as a CSO</w:t>
      </w:r>
    </w:p>
    <w:p w:rsidR="00D96B91" w:rsidRDefault="00C2656B">
      <w:pPr>
        <w:pStyle w:val="BodyText"/>
        <w:spacing w:before="89" w:line="240" w:lineRule="exact"/>
        <w:ind w:right="1313"/>
      </w:pPr>
      <w:r>
        <w:rPr>
          <w:spacing w:val="-2"/>
        </w:rPr>
        <w:t>ACTEW</w:t>
      </w:r>
      <w:r>
        <w:rPr>
          <w:spacing w:val="-3"/>
        </w:rPr>
        <w:t xml:space="preserve"> </w:t>
      </w:r>
      <w:r>
        <w:t xml:space="preserve">derives </w:t>
      </w:r>
      <w:r>
        <w:rPr>
          <w:spacing w:val="-1"/>
        </w:rPr>
        <w:t>revenue</w:t>
      </w:r>
      <w:r>
        <w:t xml:space="preserve"> </w:t>
      </w:r>
      <w:r>
        <w:rPr>
          <w:spacing w:val="-1"/>
        </w:rPr>
        <w:t>from</w:t>
      </w:r>
      <w:r>
        <w:t xml:space="preserve"> a number of</w:t>
      </w:r>
      <w:r>
        <w:rPr>
          <w:spacing w:val="4"/>
        </w:rPr>
        <w:t xml:space="preserve"> </w:t>
      </w:r>
      <w:r>
        <w:rPr>
          <w:spacing w:val="-1"/>
        </w:rPr>
        <w:t>sources</w:t>
      </w:r>
      <w:r>
        <w:t xml:space="preserve"> </w:t>
      </w:r>
      <w:r>
        <w:rPr>
          <w:spacing w:val="-1"/>
        </w:rPr>
        <w:t>unrelated</w:t>
      </w:r>
      <w:r>
        <w:t xml:space="preserve"> to its </w:t>
      </w:r>
      <w:r>
        <w:rPr>
          <w:spacing w:val="-1"/>
        </w:rPr>
        <w:t>regulated</w:t>
      </w:r>
      <w:r>
        <w:t xml:space="preserve"> </w:t>
      </w:r>
      <w:r>
        <w:rPr>
          <w:spacing w:val="-1"/>
        </w:rPr>
        <w:t>water</w:t>
      </w:r>
      <w:r>
        <w:t xml:space="preserve"> and </w:t>
      </w:r>
      <w:r>
        <w:rPr>
          <w:spacing w:val="-1"/>
        </w:rPr>
        <w:t>sewerage</w:t>
      </w:r>
      <w:r>
        <w:rPr>
          <w:spacing w:val="47"/>
        </w:rPr>
        <w:t xml:space="preserve"> </w:t>
      </w:r>
      <w:r>
        <w:t>services,</w:t>
      </w:r>
      <w:r>
        <w:rPr>
          <w:spacing w:val="-7"/>
        </w:rPr>
        <w:t xml:space="preserve"> </w:t>
      </w:r>
      <w:r>
        <w:t xml:space="preserve">which must be deducted </w:t>
      </w:r>
      <w:r>
        <w:rPr>
          <w:spacing w:val="-1"/>
        </w:rPr>
        <w:t>from</w:t>
      </w:r>
      <w:r>
        <w:t xml:space="preserve"> its total </w:t>
      </w:r>
      <w:r>
        <w:rPr>
          <w:spacing w:val="-1"/>
        </w:rPr>
        <w:t>revenue</w:t>
      </w:r>
      <w:r>
        <w:t xml:space="preserve"> </w:t>
      </w:r>
      <w:r>
        <w:rPr>
          <w:spacing w:val="-1"/>
        </w:rPr>
        <w:t>requirement</w:t>
      </w:r>
      <w:r>
        <w:t xml:space="preserve"> to determine the net </w:t>
      </w:r>
      <w:r>
        <w:rPr>
          <w:spacing w:val="-1"/>
        </w:rPr>
        <w:t>revenue</w:t>
      </w:r>
      <w:r>
        <w:t xml:space="preserve"> to</w:t>
      </w:r>
      <w:r>
        <w:rPr>
          <w:spacing w:val="30"/>
        </w:rPr>
        <w:t xml:space="preserve"> </w:t>
      </w:r>
      <w:r>
        <w:t xml:space="preserve">be </w:t>
      </w:r>
      <w:r>
        <w:rPr>
          <w:spacing w:val="-1"/>
        </w:rPr>
        <w:t>recovered</w:t>
      </w:r>
      <w:r>
        <w:t xml:space="preserve"> </w:t>
      </w:r>
      <w:r>
        <w:rPr>
          <w:spacing w:val="-1"/>
        </w:rPr>
        <w:t>from</w:t>
      </w:r>
      <w:r>
        <w:t xml:space="preserve"> the </w:t>
      </w:r>
      <w:r>
        <w:rPr>
          <w:spacing w:val="-1"/>
        </w:rPr>
        <w:t>charges</w:t>
      </w:r>
      <w:r>
        <w:t xml:space="preserve"> for these services.</w:t>
      </w:r>
      <w:r>
        <w:rPr>
          <w:spacing w:val="-11"/>
        </w:rPr>
        <w:t xml:space="preserve"> </w:t>
      </w:r>
      <w:r>
        <w:rPr>
          <w:spacing w:val="-1"/>
        </w:rPr>
        <w:t>These</w:t>
      </w:r>
      <w:r>
        <w:t xml:space="preserve"> include:</w:t>
      </w:r>
    </w:p>
    <w:p w:rsidR="00D96B91" w:rsidRDefault="00C2656B">
      <w:pPr>
        <w:pStyle w:val="BodyText"/>
        <w:numPr>
          <w:ilvl w:val="0"/>
          <w:numId w:val="131"/>
        </w:numPr>
        <w:tabs>
          <w:tab w:val="left" w:pos="1531"/>
        </w:tabs>
        <w:spacing w:before="105"/>
        <w:ind w:hanging="283"/>
      </w:pPr>
      <w:r>
        <w:rPr>
          <w:spacing w:val="-1"/>
        </w:rPr>
        <w:t>charges</w:t>
      </w:r>
      <w:r>
        <w:t xml:space="preserve"> for bulk </w:t>
      </w:r>
      <w:r>
        <w:rPr>
          <w:spacing w:val="-1"/>
        </w:rPr>
        <w:t>water</w:t>
      </w:r>
      <w:r>
        <w:t xml:space="preserve"> </w:t>
      </w:r>
      <w:r>
        <w:rPr>
          <w:spacing w:val="-1"/>
        </w:rPr>
        <w:t>provided</w:t>
      </w:r>
      <w:r>
        <w:t xml:space="preserve"> to the </w:t>
      </w:r>
      <w:r>
        <w:rPr>
          <w:spacing w:val="-1"/>
        </w:rPr>
        <w:t>Queanbeyan</w:t>
      </w:r>
      <w:r>
        <w:t xml:space="preserve"> City </w:t>
      </w:r>
      <w:r>
        <w:rPr>
          <w:spacing w:val="-1"/>
        </w:rPr>
        <w:t>Council</w:t>
      </w:r>
    </w:p>
    <w:p w:rsidR="00D96B91" w:rsidRDefault="00C2656B">
      <w:pPr>
        <w:pStyle w:val="BodyText"/>
        <w:numPr>
          <w:ilvl w:val="0"/>
          <w:numId w:val="131"/>
        </w:numPr>
        <w:tabs>
          <w:tab w:val="left" w:pos="1531"/>
        </w:tabs>
        <w:spacing w:before="52"/>
        <w:ind w:hanging="283"/>
        <w:rPr>
          <w:rFonts w:cs="Avenir Next"/>
        </w:rPr>
      </w:pPr>
      <w:r>
        <w:t>special</w:t>
      </w:r>
      <w:r>
        <w:rPr>
          <w:spacing w:val="1"/>
        </w:rPr>
        <w:t xml:space="preserve"> </w:t>
      </w:r>
      <w:r>
        <w:t>purpose</w:t>
      </w:r>
      <w:r>
        <w:rPr>
          <w:spacing w:val="2"/>
        </w:rPr>
        <w:t xml:space="preserve"> </w:t>
      </w:r>
      <w:r>
        <w:t>(subvention)</w:t>
      </w:r>
      <w:r>
        <w:rPr>
          <w:spacing w:val="1"/>
        </w:rPr>
        <w:t xml:space="preserve"> </w:t>
      </w:r>
      <w:r>
        <w:t>payments</w:t>
      </w:r>
      <w:r>
        <w:rPr>
          <w:spacing w:val="2"/>
        </w:rPr>
        <w:t xml:space="preserve"> </w:t>
      </w:r>
      <w:r>
        <w:t>by</w:t>
      </w:r>
      <w:r>
        <w:rPr>
          <w:spacing w:val="2"/>
        </w:rPr>
        <w:t xml:space="preserve"> </w:t>
      </w:r>
      <w:r>
        <w:t>the</w:t>
      </w:r>
      <w:r>
        <w:rPr>
          <w:spacing w:val="1"/>
        </w:rPr>
        <w:t xml:space="preserve"> </w:t>
      </w:r>
      <w:r>
        <w:rPr>
          <w:spacing w:val="-1"/>
        </w:rPr>
        <w:t>Commonwealth,</w:t>
      </w:r>
      <w:r>
        <w:rPr>
          <w:spacing w:val="-1"/>
          <w:position w:val="7"/>
          <w:sz w:val="11"/>
        </w:rPr>
        <w:t>227</w:t>
      </w:r>
      <w:r>
        <w:rPr>
          <w:spacing w:val="25"/>
          <w:position w:val="7"/>
          <w:sz w:val="11"/>
        </w:rPr>
        <w:t xml:space="preserve"> </w:t>
      </w:r>
      <w:r>
        <w:t>and</w:t>
      </w:r>
    </w:p>
    <w:p w:rsidR="00D96B91" w:rsidRDefault="00C2656B">
      <w:pPr>
        <w:pStyle w:val="BodyText"/>
        <w:numPr>
          <w:ilvl w:val="0"/>
          <w:numId w:val="131"/>
        </w:numPr>
        <w:tabs>
          <w:tab w:val="left" w:pos="1531"/>
        </w:tabs>
        <w:spacing w:before="43"/>
        <w:ind w:hanging="283"/>
      </w:pPr>
      <w:r>
        <w:t xml:space="preserve">miscellaneous </w:t>
      </w:r>
      <w:r>
        <w:rPr>
          <w:spacing w:val="-1"/>
        </w:rPr>
        <w:t>charges</w:t>
      </w:r>
      <w:r>
        <w:t xml:space="preserve"> and income </w:t>
      </w:r>
      <w:r>
        <w:rPr>
          <w:spacing w:val="-1"/>
        </w:rPr>
        <w:t>from</w:t>
      </w:r>
      <w:r>
        <w:t xml:space="preserve"> other </w:t>
      </w:r>
      <w:r>
        <w:rPr>
          <w:spacing w:val="-1"/>
        </w:rPr>
        <w:t>sources.</w:t>
      </w:r>
    </w:p>
    <w:p w:rsidR="00D96B91" w:rsidRDefault="00D96B91">
      <w:pPr>
        <w:spacing w:before="2"/>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38" style="width:72.5pt;height:.5pt;mso-position-horizontal-relative:char;mso-position-vertical-relative:line" coordsize="1450,10">
            <v:group id="_x0000_s1839" style="position:absolute;left:5;top:5;width:1440;height:2" coordorigin="5,5" coordsize="1440,2">
              <v:shape id="_x0000_s1840" style="position:absolute;left:5;top:5;width:1440;height:2" coordorigin="5,5" coordsize="1440,0" path="m5,5r1440,e" filled="f" strokeweight=".5pt">
                <v:path arrowok="t"/>
              </v:shape>
            </v:group>
            <w10:wrap type="none"/>
            <w10:anchorlock/>
          </v:group>
        </w:pict>
      </w:r>
    </w:p>
    <w:p w:rsidR="00D96B91" w:rsidRDefault="00C2656B">
      <w:pPr>
        <w:numPr>
          <w:ilvl w:val="0"/>
          <w:numId w:val="35"/>
        </w:numPr>
        <w:tabs>
          <w:tab w:val="left" w:pos="1758"/>
        </w:tabs>
        <w:spacing w:before="45" w:line="192" w:lineRule="exact"/>
        <w:ind w:right="1335" w:hanging="510"/>
        <w:rPr>
          <w:rFonts w:ascii="Avenir Next" w:eastAsia="Avenir Next" w:hAnsi="Avenir Next" w:cs="Avenir Next"/>
          <w:sz w:val="16"/>
          <w:szCs w:val="16"/>
        </w:rPr>
      </w:pPr>
      <w:r>
        <w:rPr>
          <w:rFonts w:ascii="Avenir Next"/>
          <w:spacing w:val="-1"/>
          <w:sz w:val="16"/>
        </w:rPr>
        <w:t xml:space="preserve">These </w:t>
      </w:r>
      <w:r>
        <w:rPr>
          <w:rFonts w:ascii="Avenir Next"/>
          <w:sz w:val="16"/>
        </w:rPr>
        <w:t xml:space="preserve">payments </w:t>
      </w:r>
      <w:r>
        <w:rPr>
          <w:rFonts w:ascii="Avenir Next"/>
          <w:spacing w:val="-1"/>
          <w:sz w:val="16"/>
        </w:rPr>
        <w:t>are</w:t>
      </w:r>
      <w:r>
        <w:rPr>
          <w:rFonts w:ascii="Avenir Next"/>
          <w:sz w:val="16"/>
        </w:rPr>
        <w:t xml:space="preserve"> made to </w:t>
      </w:r>
      <w:r>
        <w:rPr>
          <w:rFonts w:ascii="Avenir Next"/>
          <w:spacing w:val="-1"/>
          <w:sz w:val="16"/>
        </w:rPr>
        <w:t xml:space="preserve">reflect </w:t>
      </w:r>
      <w:r>
        <w:rPr>
          <w:rFonts w:ascii="Avenir Next"/>
          <w:sz w:val="16"/>
        </w:rPr>
        <w:t>the cost disadvantage of</w:t>
      </w:r>
      <w:r>
        <w:rPr>
          <w:rFonts w:ascii="Avenir Next"/>
          <w:spacing w:val="3"/>
          <w:sz w:val="16"/>
        </w:rPr>
        <w:t xml:space="preserve"> </w:t>
      </w:r>
      <w:r>
        <w:rPr>
          <w:rFonts w:ascii="Avenir Next"/>
          <w:spacing w:val="-1"/>
          <w:sz w:val="16"/>
        </w:rPr>
        <w:t xml:space="preserve">operating </w:t>
      </w:r>
      <w:r>
        <w:rPr>
          <w:rFonts w:ascii="Avenir Next"/>
          <w:sz w:val="16"/>
        </w:rPr>
        <w:t xml:space="preserve">in an inland </w:t>
      </w:r>
      <w:r>
        <w:rPr>
          <w:rFonts w:ascii="Avenir Next"/>
          <w:spacing w:val="-1"/>
          <w:sz w:val="16"/>
        </w:rPr>
        <w:t>location</w:t>
      </w:r>
      <w:r>
        <w:rPr>
          <w:rFonts w:ascii="Avenir Next"/>
          <w:sz w:val="16"/>
        </w:rPr>
        <w:t xml:space="preserve"> in</w:t>
      </w:r>
      <w:r>
        <w:rPr>
          <w:rFonts w:ascii="Avenir Next"/>
          <w:spacing w:val="-1"/>
          <w:sz w:val="16"/>
        </w:rPr>
        <w:t xml:space="preserve"> </w:t>
      </w:r>
      <w:r>
        <w:rPr>
          <w:rFonts w:ascii="Avenir Next"/>
          <w:sz w:val="16"/>
        </w:rPr>
        <w:t xml:space="preserve">the </w:t>
      </w:r>
      <w:r>
        <w:rPr>
          <w:rFonts w:ascii="Avenir Next"/>
          <w:spacing w:val="-1"/>
          <w:sz w:val="16"/>
        </w:rPr>
        <w:t>provision</w:t>
      </w:r>
      <w:r>
        <w:rPr>
          <w:rFonts w:ascii="Avenir Next"/>
          <w:sz w:val="16"/>
        </w:rPr>
        <w:t xml:space="preserve"> of</w:t>
      </w:r>
      <w:r>
        <w:rPr>
          <w:rFonts w:ascii="Avenir Next"/>
          <w:spacing w:val="3"/>
          <w:sz w:val="16"/>
        </w:rPr>
        <w:t xml:space="preserve"> </w:t>
      </w:r>
      <w:r>
        <w:rPr>
          <w:rFonts w:ascii="Avenir Next"/>
          <w:spacing w:val="-1"/>
          <w:sz w:val="16"/>
        </w:rPr>
        <w:t>water</w:t>
      </w:r>
      <w:r>
        <w:rPr>
          <w:rFonts w:ascii="Avenir Next"/>
          <w:sz w:val="16"/>
        </w:rPr>
        <w:t xml:space="preserve"> and</w:t>
      </w:r>
      <w:r>
        <w:rPr>
          <w:rFonts w:ascii="Avenir Next"/>
          <w:spacing w:val="53"/>
          <w:sz w:val="16"/>
        </w:rPr>
        <w:t xml:space="preserve"> </w:t>
      </w:r>
      <w:r>
        <w:rPr>
          <w:rFonts w:ascii="Avenir Next"/>
          <w:spacing w:val="-1"/>
          <w:sz w:val="16"/>
        </w:rPr>
        <w:t>wastewater</w:t>
      </w:r>
      <w:r>
        <w:rPr>
          <w:rFonts w:ascii="Avenir Next"/>
          <w:sz w:val="16"/>
        </w:rPr>
        <w:t xml:space="preserve"> service for the </w:t>
      </w:r>
      <w:r>
        <w:rPr>
          <w:rFonts w:ascii="Avenir Next"/>
          <w:spacing w:val="-1"/>
          <w:sz w:val="16"/>
        </w:rPr>
        <w:t>national</w:t>
      </w:r>
      <w:r>
        <w:rPr>
          <w:rFonts w:ascii="Avenir Next"/>
          <w:sz w:val="16"/>
        </w:rPr>
        <w:t xml:space="preserve"> capital.</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333"/>
        <w:jc w:val="both"/>
      </w:pPr>
      <w:r>
        <w:rPr>
          <w:spacing w:val="-2"/>
        </w:rPr>
        <w:t>ACTEW</w:t>
      </w:r>
      <w:r>
        <w:rPr>
          <w:spacing w:val="-3"/>
        </w:rPr>
        <w:t xml:space="preserve"> </w:t>
      </w:r>
      <w:r>
        <w:t xml:space="preserve">did not </w:t>
      </w:r>
      <w:r>
        <w:rPr>
          <w:spacing w:val="-1"/>
        </w:rPr>
        <w:t>raise</w:t>
      </w:r>
      <w:r>
        <w:t xml:space="preserve"> any issues about the </w:t>
      </w:r>
      <w:r>
        <w:rPr>
          <w:spacing w:val="-2"/>
        </w:rPr>
        <w:t>ICRC’s</w:t>
      </w:r>
      <w:r>
        <w:t xml:space="preserve"> </w:t>
      </w:r>
      <w:r>
        <w:rPr>
          <w:spacing w:val="-1"/>
        </w:rPr>
        <w:t>estimates</w:t>
      </w:r>
      <w:r>
        <w:t xml:space="preserve"> of</w:t>
      </w:r>
      <w:r>
        <w:rPr>
          <w:spacing w:val="4"/>
        </w:rPr>
        <w:t xml:space="preserve"> </w:t>
      </w:r>
      <w:r>
        <w:t>the value of</w:t>
      </w:r>
      <w:r>
        <w:rPr>
          <w:spacing w:val="4"/>
        </w:rPr>
        <w:t xml:space="preserve"> </w:t>
      </w:r>
      <w:r>
        <w:t xml:space="preserve">these other income </w:t>
      </w:r>
      <w:r>
        <w:rPr>
          <w:spacing w:val="-1"/>
        </w:rPr>
        <w:t>sources.</w:t>
      </w:r>
      <w:r>
        <w:rPr>
          <w:spacing w:val="39"/>
        </w:rPr>
        <w:t xml:space="preserve"> </w:t>
      </w:r>
      <w:r>
        <w:rPr>
          <w:spacing w:val="-2"/>
        </w:rPr>
        <w:t>Therefore,</w:t>
      </w:r>
      <w:r>
        <w:rPr>
          <w:spacing w:val="-6"/>
        </w:rPr>
        <w:t xml:space="preserve"> </w:t>
      </w:r>
      <w:r>
        <w:t>the</w:t>
      </w:r>
      <w:r>
        <w:rPr>
          <w:spacing w:val="1"/>
        </w:rPr>
        <w:t xml:space="preserve"> </w:t>
      </w:r>
      <w:r>
        <w:rPr>
          <w:spacing w:val="-3"/>
        </w:rPr>
        <w:t>Panel</w:t>
      </w:r>
      <w:r>
        <w:t xml:space="preserve"> adopted</w:t>
      </w:r>
      <w:r>
        <w:rPr>
          <w:spacing w:val="1"/>
        </w:rPr>
        <w:t xml:space="preserve"> </w:t>
      </w:r>
      <w:r>
        <w:t xml:space="preserve">these </w:t>
      </w:r>
      <w:r>
        <w:rPr>
          <w:spacing w:val="-1"/>
        </w:rPr>
        <w:t>estimates</w:t>
      </w:r>
      <w:r>
        <w:rPr>
          <w:spacing w:val="1"/>
        </w:rPr>
        <w:t xml:space="preserve"> </w:t>
      </w:r>
      <w:r>
        <w:t>(which</w:t>
      </w:r>
      <w:r>
        <w:rPr>
          <w:spacing w:val="1"/>
        </w:rPr>
        <w:t xml:space="preserve"> </w:t>
      </w:r>
      <w:r>
        <w:rPr>
          <w:spacing w:val="-2"/>
        </w:rPr>
        <w:t>are</w:t>
      </w:r>
      <w:r>
        <w:t xml:space="preserve"> constant</w:t>
      </w:r>
      <w:r>
        <w:rPr>
          <w:spacing w:val="1"/>
        </w:rPr>
        <w:t xml:space="preserve"> </w:t>
      </w:r>
      <w:r>
        <w:t>in</w:t>
      </w:r>
      <w:r>
        <w:rPr>
          <w:spacing w:val="1"/>
        </w:rPr>
        <w:t xml:space="preserve"> </w:t>
      </w:r>
      <w:r>
        <w:rPr>
          <w:spacing w:val="-2"/>
        </w:rPr>
        <w:t>real</w:t>
      </w:r>
      <w:r>
        <w:t xml:space="preserve"> </w:t>
      </w:r>
      <w:r>
        <w:rPr>
          <w:spacing w:val="-1"/>
        </w:rPr>
        <w:t>terms)</w:t>
      </w:r>
      <w:r>
        <w:rPr>
          <w:spacing w:val="-1"/>
          <w:position w:val="7"/>
          <w:sz w:val="11"/>
          <w:szCs w:val="11"/>
        </w:rPr>
        <w:t>228</w:t>
      </w:r>
      <w:r>
        <w:rPr>
          <w:spacing w:val="23"/>
          <w:position w:val="7"/>
          <w:sz w:val="11"/>
          <w:szCs w:val="11"/>
        </w:rPr>
        <w:t xml:space="preserve"> </w:t>
      </w:r>
      <w:r>
        <w:rPr>
          <w:rFonts w:cs="Avenir Next"/>
        </w:rPr>
        <w:t>for</w:t>
      </w:r>
      <w:r>
        <w:rPr>
          <w:rFonts w:cs="Avenir Next"/>
          <w:spacing w:val="1"/>
        </w:rPr>
        <w:t xml:space="preserve"> </w:t>
      </w:r>
      <w:r>
        <w:rPr>
          <w:rFonts w:cs="Avenir Next"/>
        </w:rPr>
        <w:t>the full</w:t>
      </w:r>
      <w:r>
        <w:rPr>
          <w:rFonts w:cs="Avenir Next"/>
          <w:spacing w:val="1"/>
        </w:rPr>
        <w:t xml:space="preserve"> </w:t>
      </w:r>
      <w:r>
        <w:rPr>
          <w:rFonts w:cs="Avenir Next"/>
          <w:spacing w:val="-1"/>
        </w:rPr>
        <w:t>regulatory</w:t>
      </w:r>
      <w:r>
        <w:rPr>
          <w:rFonts w:cs="Avenir Next"/>
          <w:spacing w:val="67"/>
        </w:rPr>
        <w:t xml:space="preserve"> </w:t>
      </w:r>
      <w:r>
        <w:t>period.</w:t>
      </w:r>
    </w:p>
    <w:p w:rsidR="00D96B91" w:rsidRDefault="00C2656B">
      <w:pPr>
        <w:pStyle w:val="BodyText"/>
        <w:spacing w:before="170" w:line="260" w:lineRule="exact"/>
        <w:ind w:right="1548"/>
        <w:rPr>
          <w:rFonts w:cs="Avenir Next"/>
        </w:rPr>
      </w:pPr>
      <w:r>
        <w:rPr>
          <w:spacing w:val="-2"/>
        </w:rPr>
        <w:t>ACTEW</w:t>
      </w:r>
      <w:r>
        <w:rPr>
          <w:spacing w:val="-3"/>
        </w:rPr>
        <w:t xml:space="preserve"> </w:t>
      </w:r>
      <w:r>
        <w:t xml:space="preserve">also </w:t>
      </w:r>
      <w:r>
        <w:rPr>
          <w:spacing w:val="-1"/>
        </w:rPr>
        <w:t>undertakes</w:t>
      </w:r>
      <w:r>
        <w:t xml:space="preserve"> a number of</w:t>
      </w:r>
      <w:r>
        <w:rPr>
          <w:spacing w:val="4"/>
        </w:rPr>
        <w:t xml:space="preserve"> </w:t>
      </w:r>
      <w:r>
        <w:t xml:space="preserve">activities </w:t>
      </w:r>
      <w:r>
        <w:rPr>
          <w:spacing w:val="-1"/>
        </w:rPr>
        <w:t>that</w:t>
      </w:r>
      <w:r>
        <w:t xml:space="preserve"> would be </w:t>
      </w:r>
      <w:r>
        <w:rPr>
          <w:spacing w:val="-1"/>
        </w:rPr>
        <w:t>better</w:t>
      </w:r>
      <w:r>
        <w:t xml:space="preserve"> </w:t>
      </w:r>
      <w:r>
        <w:rPr>
          <w:spacing w:val="-1"/>
        </w:rPr>
        <w:t>characterised</w:t>
      </w:r>
      <w:r>
        <w:t xml:space="preserve"> as </w:t>
      </w:r>
      <w:r>
        <w:rPr>
          <w:spacing w:val="-1"/>
        </w:rPr>
        <w:t>Community</w:t>
      </w:r>
      <w:r>
        <w:rPr>
          <w:spacing w:val="55"/>
        </w:rPr>
        <w:t xml:space="preserve"> </w:t>
      </w:r>
      <w:r>
        <w:t xml:space="preserve">Service </w:t>
      </w:r>
      <w:r>
        <w:rPr>
          <w:spacing w:val="-1"/>
        </w:rPr>
        <w:t>Obligations</w:t>
      </w:r>
      <w:r>
        <w:t xml:space="preserve"> (CSO) than activities </w:t>
      </w:r>
      <w:r>
        <w:rPr>
          <w:spacing w:val="-1"/>
        </w:rPr>
        <w:t>related</w:t>
      </w:r>
      <w:r>
        <w:t xml:space="preserve"> to the </w:t>
      </w:r>
      <w:r>
        <w:rPr>
          <w:spacing w:val="-1"/>
        </w:rPr>
        <w:t>provision</w:t>
      </w:r>
      <w:r>
        <w:t xml:space="preserve"> of</w:t>
      </w:r>
      <w:r>
        <w:rPr>
          <w:spacing w:val="4"/>
        </w:rPr>
        <w:t xml:space="preserve"> </w:t>
      </w:r>
      <w:r>
        <w:rPr>
          <w:spacing w:val="-1"/>
        </w:rPr>
        <w:t>regulated</w:t>
      </w:r>
      <w:r>
        <w:t xml:space="preserve"> </w:t>
      </w:r>
      <w:r>
        <w:rPr>
          <w:spacing w:val="-1"/>
        </w:rPr>
        <w:t>water</w:t>
      </w:r>
      <w:r>
        <w:t xml:space="preserve"> and </w:t>
      </w:r>
      <w:r>
        <w:rPr>
          <w:spacing w:val="-1"/>
        </w:rPr>
        <w:t>sewerage</w:t>
      </w:r>
      <w:r>
        <w:rPr>
          <w:spacing w:val="53"/>
        </w:rPr>
        <w:t xml:space="preserve"> </w:t>
      </w:r>
      <w:r>
        <w:t>services,</w:t>
      </w:r>
      <w:r>
        <w:rPr>
          <w:spacing w:val="-6"/>
        </w:rPr>
        <w:t xml:space="preserve"> </w:t>
      </w:r>
      <w:r>
        <w:t xml:space="preserve">and so should not be </w:t>
      </w:r>
      <w:r>
        <w:rPr>
          <w:spacing w:val="-1"/>
        </w:rPr>
        <w:t>recovered</w:t>
      </w:r>
      <w:r>
        <w:t xml:space="preserve"> </w:t>
      </w:r>
      <w:r>
        <w:rPr>
          <w:spacing w:val="-1"/>
        </w:rPr>
        <w:t>through</w:t>
      </w:r>
      <w:r>
        <w:t xml:space="preserve"> </w:t>
      </w:r>
      <w:r>
        <w:rPr>
          <w:spacing w:val="-1"/>
        </w:rPr>
        <w:t>water</w:t>
      </w:r>
      <w:r>
        <w:t xml:space="preserve"> and </w:t>
      </w:r>
      <w:r>
        <w:rPr>
          <w:spacing w:val="-1"/>
        </w:rPr>
        <w:t>sewerage</w:t>
      </w:r>
      <w:r>
        <w:t xml:space="preserve"> </w:t>
      </w:r>
      <w:r>
        <w:rPr>
          <w:spacing w:val="-1"/>
        </w:rPr>
        <w:t>charges.</w:t>
      </w:r>
      <w:r>
        <w:rPr>
          <w:spacing w:val="-11"/>
        </w:rPr>
        <w:t xml:space="preserve"> </w:t>
      </w:r>
      <w:r>
        <w:rPr>
          <w:spacing w:val="-1"/>
        </w:rPr>
        <w:t>This</w:t>
      </w:r>
      <w:r>
        <w:t xml:space="preserve"> includes</w:t>
      </w:r>
      <w:r>
        <w:rPr>
          <w:spacing w:val="33"/>
        </w:rPr>
        <w:t xml:space="preserve"> </w:t>
      </w:r>
      <w:r>
        <w:rPr>
          <w:spacing w:val="-1"/>
        </w:rPr>
        <w:t>expenditure</w:t>
      </w:r>
      <w:r>
        <w:t xml:space="preserve"> on:</w:t>
      </w:r>
    </w:p>
    <w:p w:rsidR="00D96B91" w:rsidRDefault="00C2656B">
      <w:pPr>
        <w:pStyle w:val="BodyText"/>
        <w:numPr>
          <w:ilvl w:val="0"/>
          <w:numId w:val="131"/>
        </w:numPr>
        <w:tabs>
          <w:tab w:val="left" w:pos="1531"/>
        </w:tabs>
        <w:spacing w:before="178"/>
        <w:ind w:hanging="283"/>
        <w:rPr>
          <w:rFonts w:cs="Avenir Next"/>
        </w:rPr>
      </w:pPr>
      <w:r>
        <w:t xml:space="preserve">the </w:t>
      </w:r>
      <w:r>
        <w:rPr>
          <w:spacing w:val="-1"/>
        </w:rPr>
        <w:t>Cotter</w:t>
      </w:r>
      <w:r>
        <w:t xml:space="preserve"> Dam Discovery</w:t>
      </w:r>
      <w:r>
        <w:rPr>
          <w:spacing w:val="-5"/>
        </w:rPr>
        <w:t xml:space="preserve"> Trail</w:t>
      </w:r>
    </w:p>
    <w:p w:rsidR="00D96B91" w:rsidRDefault="00C2656B">
      <w:pPr>
        <w:pStyle w:val="BodyText"/>
        <w:numPr>
          <w:ilvl w:val="0"/>
          <w:numId w:val="131"/>
        </w:numPr>
        <w:tabs>
          <w:tab w:val="left" w:pos="1531"/>
        </w:tabs>
        <w:spacing w:before="72"/>
        <w:ind w:hanging="283"/>
        <w:rPr>
          <w:rFonts w:cs="Avenir Next"/>
        </w:rPr>
      </w:pPr>
      <w:r>
        <w:t xml:space="preserve">the </w:t>
      </w:r>
      <w:r>
        <w:rPr>
          <w:spacing w:val="-1"/>
        </w:rPr>
        <w:t>greenhouse</w:t>
      </w:r>
      <w:r>
        <w:t xml:space="preserve"> gas </w:t>
      </w:r>
      <w:r>
        <w:rPr>
          <w:spacing w:val="-1"/>
        </w:rPr>
        <w:t>abatement</w:t>
      </w:r>
      <w:r>
        <w:t xml:space="preserve"> activities </w:t>
      </w:r>
      <w:r>
        <w:rPr>
          <w:spacing w:val="-1"/>
        </w:rPr>
        <w:t>associated</w:t>
      </w:r>
      <w:r>
        <w:t xml:space="preserve"> with the </w:t>
      </w:r>
      <w:r>
        <w:rPr>
          <w:spacing w:val="-1"/>
        </w:rPr>
        <w:t>water</w:t>
      </w:r>
      <w:r>
        <w:t xml:space="preserve"> security </w:t>
      </w:r>
      <w:r>
        <w:rPr>
          <w:spacing w:val="-1"/>
        </w:rPr>
        <w:t>projects,</w:t>
      </w:r>
      <w:r>
        <w:rPr>
          <w:spacing w:val="-6"/>
        </w:rPr>
        <w:t xml:space="preserve"> </w:t>
      </w:r>
      <w:r>
        <w:t>and</w:t>
      </w:r>
    </w:p>
    <w:p w:rsidR="00D96B91" w:rsidRDefault="00C2656B">
      <w:pPr>
        <w:pStyle w:val="BodyText"/>
        <w:numPr>
          <w:ilvl w:val="0"/>
          <w:numId w:val="131"/>
        </w:numPr>
        <w:tabs>
          <w:tab w:val="left" w:pos="1531"/>
        </w:tabs>
        <w:spacing w:before="64" w:line="260" w:lineRule="exact"/>
        <w:ind w:right="1308" w:hanging="283"/>
      </w:pPr>
      <w:r>
        <w:t xml:space="preserve">the </w:t>
      </w:r>
      <w:r>
        <w:rPr>
          <w:spacing w:val="-1"/>
        </w:rPr>
        <w:t>Uriarra</w:t>
      </w:r>
      <w:r>
        <w:rPr>
          <w:spacing w:val="-4"/>
        </w:rPr>
        <w:t xml:space="preserve"> </w:t>
      </w:r>
      <w:r>
        <w:rPr>
          <w:spacing w:val="-1"/>
        </w:rPr>
        <w:t>Village</w:t>
      </w:r>
      <w:r>
        <w:t xml:space="preserve"> </w:t>
      </w:r>
      <w:r>
        <w:rPr>
          <w:spacing w:val="-1"/>
        </w:rPr>
        <w:t>sewerage</w:t>
      </w:r>
      <w:r>
        <w:t xml:space="preserve"> services,</w:t>
      </w:r>
      <w:r>
        <w:rPr>
          <w:spacing w:val="-7"/>
        </w:rPr>
        <w:t xml:space="preserve"> </w:t>
      </w:r>
      <w:r>
        <w:t xml:space="preserve">over and above </w:t>
      </w:r>
      <w:r>
        <w:rPr>
          <w:spacing w:val="-1"/>
        </w:rPr>
        <w:t>what</w:t>
      </w:r>
      <w:r>
        <w:t xml:space="preserve"> would be </w:t>
      </w:r>
      <w:r>
        <w:rPr>
          <w:spacing w:val="-1"/>
        </w:rPr>
        <w:t>recovered</w:t>
      </w:r>
      <w:r>
        <w:t xml:space="preserve"> </w:t>
      </w:r>
      <w:r>
        <w:rPr>
          <w:spacing w:val="-1"/>
        </w:rPr>
        <w:t>from</w:t>
      </w:r>
      <w:r>
        <w:t xml:space="preserve"> local </w:t>
      </w:r>
      <w:r>
        <w:rPr>
          <w:spacing w:val="-1"/>
        </w:rPr>
        <w:t>residents</w:t>
      </w:r>
      <w:r>
        <w:rPr>
          <w:spacing w:val="39"/>
        </w:rPr>
        <w:t xml:space="preserve"> </w:t>
      </w:r>
      <w:r>
        <w:rPr>
          <w:spacing w:val="-1"/>
        </w:rPr>
        <w:t>through</w:t>
      </w:r>
      <w:r>
        <w:t xml:space="preserve"> the </w:t>
      </w:r>
      <w:r>
        <w:rPr>
          <w:spacing w:val="-1"/>
        </w:rPr>
        <w:t>standard</w:t>
      </w:r>
      <w:r>
        <w:t xml:space="preserve"> </w:t>
      </w:r>
      <w:r>
        <w:rPr>
          <w:spacing w:val="-1"/>
        </w:rPr>
        <w:t>sewerage</w:t>
      </w:r>
      <w:r>
        <w:t xml:space="preserve"> </w:t>
      </w:r>
      <w:r>
        <w:rPr>
          <w:spacing w:val="-1"/>
        </w:rPr>
        <w:t>charge.</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73"/>
      </w:pPr>
      <w:r>
        <w:rPr>
          <w:rFonts w:cs="Avenir Next"/>
          <w:spacing w:val="-2"/>
        </w:rPr>
        <w:t>The</w:t>
      </w:r>
      <w:r>
        <w:rPr>
          <w:rFonts w:cs="Avenir Next"/>
        </w:rPr>
        <w:t xml:space="preserve"> </w:t>
      </w:r>
      <w:r>
        <w:rPr>
          <w:rFonts w:cs="Avenir Next"/>
          <w:spacing w:val="-3"/>
        </w:rPr>
        <w:t>Panel</w:t>
      </w:r>
      <w:r>
        <w:rPr>
          <w:rFonts w:cs="Avenir Next"/>
        </w:rPr>
        <w:t xml:space="preserve"> decided to </w:t>
      </w:r>
      <w:r>
        <w:rPr>
          <w:rFonts w:cs="Avenir Next"/>
          <w:spacing w:val="-2"/>
        </w:rPr>
        <w:t>treat</w:t>
      </w:r>
      <w:r>
        <w:rPr>
          <w:rFonts w:cs="Avenir Next"/>
        </w:rPr>
        <w:t xml:space="preserve"> these </w:t>
      </w:r>
      <w:r>
        <w:rPr>
          <w:rFonts w:cs="Avenir Next"/>
          <w:spacing w:val="-1"/>
        </w:rPr>
        <w:t>expenditures</w:t>
      </w:r>
      <w:r>
        <w:rPr>
          <w:rFonts w:cs="Avenir Next"/>
        </w:rPr>
        <w:t xml:space="preserve"> in the same manner as the ICRC,</w:t>
      </w:r>
      <w:r>
        <w:rPr>
          <w:rFonts w:cs="Avenir Next"/>
          <w:spacing w:val="-7"/>
        </w:rPr>
        <w:t xml:space="preserve"> </w:t>
      </w:r>
      <w:r>
        <w:rPr>
          <w:rFonts w:cs="Avenir Next"/>
        </w:rPr>
        <w:t xml:space="preserve">which was to </w:t>
      </w:r>
      <w:r>
        <w:rPr>
          <w:rFonts w:cs="Avenir Next"/>
          <w:spacing w:val="-2"/>
        </w:rPr>
        <w:t>treat</w:t>
      </w:r>
      <w:r>
        <w:rPr>
          <w:rFonts w:cs="Avenir Next"/>
          <w:spacing w:val="31"/>
        </w:rPr>
        <w:t xml:space="preserve"> </w:t>
      </w:r>
      <w:r>
        <w:rPr>
          <w:rFonts w:cs="Avenir Next"/>
        </w:rPr>
        <w:t>them as if</w:t>
      </w:r>
      <w:r>
        <w:rPr>
          <w:rFonts w:cs="Avenir Next"/>
          <w:spacing w:val="4"/>
        </w:rPr>
        <w:t xml:space="preserve"> </w:t>
      </w:r>
      <w:r>
        <w:rPr>
          <w:rFonts w:cs="Avenir Next"/>
        </w:rPr>
        <w:t xml:space="preserve">they </w:t>
      </w:r>
      <w:r>
        <w:rPr>
          <w:rFonts w:cs="Avenir Next"/>
          <w:spacing w:val="-1"/>
        </w:rPr>
        <w:t>were</w:t>
      </w:r>
      <w:r>
        <w:rPr>
          <w:rFonts w:cs="Avenir Next"/>
        </w:rPr>
        <w:t xml:space="preserve"> funded by the</w:t>
      </w:r>
      <w:r>
        <w:rPr>
          <w:rFonts w:cs="Avenir Next"/>
          <w:spacing w:val="-4"/>
        </w:rPr>
        <w:t xml:space="preserve"> </w:t>
      </w:r>
      <w:r>
        <w:rPr>
          <w:rFonts w:cs="Avenir Next"/>
          <w:spacing w:val="-2"/>
        </w:rPr>
        <w:t>ACT</w:t>
      </w:r>
      <w:r>
        <w:rPr>
          <w:rFonts w:cs="Avenir Next"/>
          <w:spacing w:val="-5"/>
        </w:rPr>
        <w:t xml:space="preserve"> </w:t>
      </w:r>
      <w:r>
        <w:rPr>
          <w:rFonts w:cs="Avenir Next"/>
        </w:rPr>
        <w:t xml:space="preserve">Government </w:t>
      </w:r>
      <w:r>
        <w:rPr>
          <w:rFonts w:cs="Avenir Next"/>
          <w:spacing w:val="-1"/>
        </w:rPr>
        <w:t>through</w:t>
      </w:r>
      <w:r>
        <w:rPr>
          <w:rFonts w:cs="Avenir Next"/>
        </w:rPr>
        <w:t xml:space="preserve"> a CSO (see section </w:t>
      </w:r>
      <w:hyperlink w:anchor="_bookmark65" w:history="1">
        <w:r>
          <w:t>9.2.3</w:t>
        </w:r>
      </w:hyperlink>
      <w:r>
        <w:t>).</w:t>
      </w:r>
      <w:r>
        <w:rPr>
          <w:spacing w:val="-11"/>
        </w:rPr>
        <w:t xml:space="preserve"> </w:t>
      </w:r>
      <w:r>
        <w:rPr>
          <w:spacing w:val="-2"/>
        </w:rPr>
        <w:t>The</w:t>
      </w:r>
      <w:r>
        <w:t xml:space="preserve"> </w:t>
      </w:r>
      <w:r>
        <w:rPr>
          <w:spacing w:val="-3"/>
        </w:rPr>
        <w:t>Panel</w:t>
      </w:r>
      <w:r>
        <w:t xml:space="preserve"> also</w:t>
      </w:r>
      <w:r>
        <w:rPr>
          <w:spacing w:val="29"/>
        </w:rPr>
        <w:t xml:space="preserve"> </w:t>
      </w:r>
      <w:r>
        <w:rPr>
          <w:rFonts w:cs="Avenir Next"/>
        </w:rPr>
        <w:t xml:space="preserve">adopted the same </w:t>
      </w:r>
      <w:r>
        <w:rPr>
          <w:rFonts w:cs="Avenir Next"/>
          <w:spacing w:val="-1"/>
        </w:rPr>
        <w:t>broad</w:t>
      </w:r>
      <w:r>
        <w:rPr>
          <w:rFonts w:cs="Avenir Next"/>
        </w:rPr>
        <w:t xml:space="preserve"> </w:t>
      </w:r>
      <w:r>
        <w:rPr>
          <w:rFonts w:cs="Avenir Next"/>
          <w:spacing w:val="-1"/>
        </w:rPr>
        <w:t>approach</w:t>
      </w:r>
      <w:r>
        <w:rPr>
          <w:rFonts w:cs="Avenir Next"/>
        </w:rPr>
        <w:t xml:space="preserve"> as the ICRC to </w:t>
      </w:r>
      <w:r>
        <w:rPr>
          <w:rFonts w:cs="Avenir Next"/>
          <w:spacing w:val="-1"/>
        </w:rPr>
        <w:t>calculate</w:t>
      </w:r>
      <w:r>
        <w:rPr>
          <w:rFonts w:cs="Avenir Next"/>
        </w:rPr>
        <w:t xml:space="preserve"> the value of</w:t>
      </w:r>
      <w:r>
        <w:rPr>
          <w:rFonts w:cs="Avenir Next"/>
          <w:spacing w:val="4"/>
        </w:rPr>
        <w:t xml:space="preserve"> </w:t>
      </w:r>
      <w:r>
        <w:rPr>
          <w:rFonts w:cs="Avenir Next"/>
        </w:rPr>
        <w:t xml:space="preserve">these </w:t>
      </w:r>
      <w:r>
        <w:rPr>
          <w:rFonts w:cs="Avenir Next"/>
          <w:spacing w:val="-1"/>
        </w:rPr>
        <w:t>projects,</w:t>
      </w:r>
      <w:r>
        <w:rPr>
          <w:rFonts w:cs="Avenir Next"/>
          <w:spacing w:val="-6"/>
        </w:rPr>
        <w:t xml:space="preserve"> </w:t>
      </w:r>
      <w:r>
        <w:rPr>
          <w:rFonts w:cs="Avenir Next"/>
          <w:spacing w:val="-1"/>
        </w:rPr>
        <w:t>except</w:t>
      </w:r>
      <w:r>
        <w:rPr>
          <w:rFonts w:cs="Avenir Next"/>
        </w:rPr>
        <w:t xml:space="preserve"> </w:t>
      </w:r>
      <w:r>
        <w:rPr>
          <w:rFonts w:cs="Avenir Next"/>
          <w:spacing w:val="-1"/>
        </w:rPr>
        <w:t>that</w:t>
      </w:r>
      <w:r>
        <w:rPr>
          <w:rFonts w:cs="Avenir Next"/>
        </w:rPr>
        <w:t xml:space="preserve"> it</w:t>
      </w:r>
      <w:r>
        <w:rPr>
          <w:rFonts w:cs="Avenir Next"/>
          <w:spacing w:val="39"/>
        </w:rPr>
        <w:t xml:space="preserve"> </w:t>
      </w:r>
      <w:r>
        <w:rPr>
          <w:spacing w:val="-1"/>
        </w:rPr>
        <w:t xml:space="preserve">calculated </w:t>
      </w:r>
      <w:r>
        <w:t xml:space="preserve">the </w:t>
      </w:r>
      <w:r>
        <w:rPr>
          <w:spacing w:val="-1"/>
        </w:rPr>
        <w:t>depreciation</w:t>
      </w:r>
      <w:r>
        <w:t xml:space="preserve"> component using</w:t>
      </w:r>
      <w:r>
        <w:rPr>
          <w:spacing w:val="-1"/>
        </w:rPr>
        <w:t xml:space="preserve"> </w:t>
      </w:r>
      <w:r>
        <w:t xml:space="preserve">asset-specific economic </w:t>
      </w:r>
      <w:r>
        <w:rPr>
          <w:spacing w:val="-1"/>
        </w:rPr>
        <w:t>lives.</w:t>
      </w:r>
      <w:r>
        <w:rPr>
          <w:spacing w:val="-1"/>
          <w:position w:val="7"/>
          <w:sz w:val="11"/>
          <w:szCs w:val="11"/>
        </w:rPr>
        <w:t>229</w:t>
      </w:r>
      <w:r>
        <w:rPr>
          <w:spacing w:val="17"/>
          <w:position w:val="7"/>
          <w:sz w:val="11"/>
          <w:szCs w:val="11"/>
        </w:rPr>
        <w:t xml:space="preserve"> </w:t>
      </w:r>
      <w:r>
        <w:rPr>
          <w:rFonts w:cs="Avenir Next"/>
          <w:spacing w:val="-1"/>
        </w:rPr>
        <w:t>This</w:t>
      </w:r>
      <w:r>
        <w:rPr>
          <w:rFonts w:cs="Avenir Next"/>
        </w:rPr>
        <w:t xml:space="preserve"> </w:t>
      </w:r>
      <w:r>
        <w:rPr>
          <w:rFonts w:cs="Avenir Next"/>
          <w:spacing w:val="-1"/>
        </w:rPr>
        <w:t>resulted</w:t>
      </w:r>
      <w:r>
        <w:rPr>
          <w:rFonts w:cs="Avenir Next"/>
        </w:rPr>
        <w:t xml:space="preserve"> in a</w:t>
      </w:r>
      <w:r>
        <w:rPr>
          <w:rFonts w:cs="Avenir Next"/>
          <w:spacing w:val="-1"/>
        </w:rPr>
        <w:t xml:space="preserve"> </w:t>
      </w:r>
      <w:r>
        <w:rPr>
          <w:rFonts w:cs="Avenir Next"/>
        </w:rPr>
        <w:t>small</w:t>
      </w:r>
      <w:r>
        <w:rPr>
          <w:rFonts w:cs="Avenir Next"/>
          <w:spacing w:val="53"/>
        </w:rPr>
        <w:t xml:space="preserve"> </w:t>
      </w:r>
      <w:r>
        <w:rPr>
          <w:spacing w:val="-1"/>
        </w:rPr>
        <w:t>difference</w:t>
      </w:r>
      <w:r>
        <w:t xml:space="preserve"> between the </w:t>
      </w:r>
      <w:r>
        <w:rPr>
          <w:spacing w:val="-4"/>
        </w:rPr>
        <w:t>Panel’s</w:t>
      </w:r>
      <w:r>
        <w:t xml:space="preserve"> and the </w:t>
      </w:r>
      <w:r>
        <w:rPr>
          <w:spacing w:val="-2"/>
        </w:rPr>
        <w:t>ICRC’s</w:t>
      </w:r>
      <w:r>
        <w:t xml:space="preserve"> </w:t>
      </w:r>
      <w:r>
        <w:rPr>
          <w:spacing w:val="-1"/>
        </w:rPr>
        <w:t>estimates.</w:t>
      </w:r>
    </w:p>
    <w:p w:rsidR="00D96B91" w:rsidRDefault="00D96B91">
      <w:pPr>
        <w:pStyle w:val="BodyText"/>
        <w:spacing w:before="170" w:line="260" w:lineRule="exact"/>
        <w:ind w:right="1256"/>
      </w:pPr>
      <w:hyperlink w:anchor="_bookmark120" w:history="1">
        <w:r w:rsidR="00C2656B">
          <w:rPr>
            <w:spacing w:val="-4"/>
          </w:rPr>
          <w:t>Table</w:t>
        </w:r>
        <w:r w:rsidR="00C2656B">
          <w:t xml:space="preserve"> 13.4</w:t>
        </w:r>
      </w:hyperlink>
      <w:r w:rsidR="00C2656B">
        <w:t xml:space="preserve"> </w:t>
      </w:r>
      <w:r w:rsidR="00C2656B">
        <w:rPr>
          <w:rFonts w:cs="Avenir Next"/>
        </w:rPr>
        <w:t xml:space="preserve">sets out the </w:t>
      </w:r>
      <w:r w:rsidR="00C2656B">
        <w:rPr>
          <w:rFonts w:cs="Avenir Next"/>
          <w:spacing w:val="-4"/>
        </w:rPr>
        <w:t>Panel’s</w:t>
      </w:r>
      <w:r w:rsidR="00C2656B">
        <w:rPr>
          <w:rFonts w:cs="Avenir Next"/>
        </w:rPr>
        <w:t xml:space="preserve"> </w:t>
      </w:r>
      <w:r w:rsidR="00C2656B">
        <w:rPr>
          <w:rFonts w:cs="Avenir Next"/>
          <w:spacing w:val="-2"/>
        </w:rPr>
        <w:t>draft</w:t>
      </w:r>
      <w:r w:rsidR="00C2656B">
        <w:rPr>
          <w:rFonts w:cs="Avenir Next"/>
        </w:rPr>
        <w:t xml:space="preserve"> decision on the deductions to be made </w:t>
      </w:r>
      <w:r w:rsidR="00C2656B">
        <w:rPr>
          <w:rFonts w:cs="Avenir Next"/>
          <w:spacing w:val="-1"/>
        </w:rPr>
        <w:t>from</w:t>
      </w:r>
      <w:r w:rsidR="00C2656B">
        <w:rPr>
          <w:rFonts w:cs="Avenir Next"/>
          <w:spacing w:val="-4"/>
        </w:rPr>
        <w:t xml:space="preserve"> </w:t>
      </w:r>
      <w:r w:rsidR="00C2656B">
        <w:rPr>
          <w:rFonts w:cs="Avenir Next"/>
          <w:spacing w:val="-2"/>
        </w:rPr>
        <w:t>ACTEW’s</w:t>
      </w:r>
      <w:r w:rsidR="00C2656B">
        <w:rPr>
          <w:rFonts w:cs="Avenir Next"/>
        </w:rPr>
        <w:t xml:space="preserve"> total </w:t>
      </w:r>
      <w:r w:rsidR="00C2656B">
        <w:rPr>
          <w:rFonts w:cs="Avenir Next"/>
          <w:spacing w:val="-1"/>
        </w:rPr>
        <w:t>water</w:t>
      </w:r>
      <w:r w:rsidR="00C2656B">
        <w:rPr>
          <w:rFonts w:cs="Avenir Next"/>
          <w:spacing w:val="27"/>
        </w:rPr>
        <w:t xml:space="preserve"> </w:t>
      </w:r>
      <w:r w:rsidR="00C2656B">
        <w:t xml:space="preserve">and </w:t>
      </w:r>
      <w:r w:rsidR="00C2656B">
        <w:rPr>
          <w:spacing w:val="-1"/>
        </w:rPr>
        <w:t>sewerage</w:t>
      </w:r>
      <w:r w:rsidR="00C2656B">
        <w:t xml:space="preserve"> </w:t>
      </w:r>
      <w:r w:rsidR="00C2656B">
        <w:rPr>
          <w:spacing w:val="-1"/>
        </w:rPr>
        <w:t>revenue</w:t>
      </w:r>
      <w:r w:rsidR="00C2656B">
        <w:t xml:space="preserve"> </w:t>
      </w:r>
      <w:r w:rsidR="00C2656B">
        <w:rPr>
          <w:spacing w:val="-1"/>
        </w:rPr>
        <w:t>requirement</w:t>
      </w:r>
      <w:r w:rsidR="00C2656B">
        <w:t xml:space="preserve"> over the </w:t>
      </w:r>
      <w:r w:rsidR="00C2656B">
        <w:rPr>
          <w:spacing w:val="-1"/>
        </w:rPr>
        <w:t>regulatory</w:t>
      </w:r>
      <w:r w:rsidR="00C2656B">
        <w:t xml:space="preserve"> period.</w:t>
      </w:r>
    </w:p>
    <w:p w:rsidR="00D96B91" w:rsidRDefault="00D96B91">
      <w:pPr>
        <w:spacing w:before="158"/>
        <w:ind w:left="1247"/>
        <w:rPr>
          <w:rFonts w:ascii="Avenir Next" w:eastAsia="Avenir Next" w:hAnsi="Avenir Next" w:cs="Avenir Next"/>
          <w:sz w:val="20"/>
          <w:szCs w:val="20"/>
        </w:rPr>
      </w:pPr>
      <w:r w:rsidRPr="00D96B91">
        <w:pict>
          <v:group id="_x0000_s1836" style="position:absolute;left:0;text-align:left;margin-left:253.75pt;margin-top:25.25pt;width:.1pt;height:19.85pt;z-index:-251732480;mso-position-horizontal-relative:page" coordorigin="5075,505" coordsize="2,397">
            <v:shape id="_x0000_s1837" style="position:absolute;left:5075;top:505;width:2;height:397" coordorigin="5075,505" coordsize="0,397" path="m5075,902r,-397e" filled="f" strokecolor="#1a9eda" strokeweight=".5pt">
              <v:path arrowok="t"/>
            </v:shape>
            <w10:wrap anchorx="page"/>
          </v:group>
        </w:pict>
      </w:r>
      <w:r w:rsidRPr="00D96B91">
        <w:pict>
          <v:group id="_x0000_s1834" style="position:absolute;left:0;text-align:left;margin-left:309.55pt;margin-top:25.25pt;width:.1pt;height:19.85pt;z-index:-251731456;mso-position-horizontal-relative:page" coordorigin="6191,505" coordsize="2,397">
            <v:shape id="_x0000_s1835" style="position:absolute;left:6191;top:505;width:2;height:397" coordorigin="6191,505" coordsize="0,397" path="m6191,902r,-397e" filled="f" strokecolor="#1a9eda" strokeweight=".5pt">
              <v:path arrowok="t"/>
            </v:shape>
            <w10:wrap anchorx="page"/>
          </v:group>
        </w:pict>
      </w:r>
      <w:r w:rsidRPr="00D96B91">
        <w:pict>
          <v:group id="_x0000_s1832" style="position:absolute;left:0;text-align:left;margin-left:365.3pt;margin-top:25.25pt;width:.1pt;height:19.85pt;z-index:-251730432;mso-position-horizontal-relative:page" coordorigin="7306,505" coordsize="2,397">
            <v:shape id="_x0000_s1833" style="position:absolute;left:7306;top:505;width:2;height:397" coordorigin="7306,505" coordsize="0,397" path="m7306,902r,-397e" filled="f" strokecolor="#1a9eda" strokeweight=".5pt">
              <v:path arrowok="t"/>
            </v:shape>
            <w10:wrap anchorx="page"/>
          </v:group>
        </w:pict>
      </w:r>
      <w:r w:rsidRPr="00D96B91">
        <w:pict>
          <v:group id="_x0000_s1830" style="position:absolute;left:0;text-align:left;margin-left:421.1pt;margin-top:25.25pt;width:.1pt;height:19.85pt;z-index:-251729408;mso-position-horizontal-relative:page" coordorigin="8422,505" coordsize="2,397">
            <v:shape id="_x0000_s1831" style="position:absolute;left:8422;top:505;width:2;height:397" coordorigin="8422,505" coordsize="0,397" path="m8422,902r,-397e" filled="f" strokecolor="#1a9eda" strokeweight=".5pt">
              <v:path arrowok="t"/>
            </v:shape>
            <w10:wrap anchorx="page"/>
          </v:group>
        </w:pict>
      </w:r>
      <w:r w:rsidRPr="00D96B91">
        <w:pict>
          <v:group id="_x0000_s1828" style="position:absolute;left:0;text-align:left;margin-left:476.9pt;margin-top:25.25pt;width:.1pt;height:19.85pt;z-index:-251728384;mso-position-horizontal-relative:page" coordorigin="9538,505" coordsize="2,397">
            <v:shape id="_x0000_s1829" style="position:absolute;left:9538;top:505;width:2;height:397" coordorigin="9538,505" coordsize="0,397" path="m9538,902r,-397e" filled="f" strokecolor="#1a9eda" strokeweight=".5pt">
              <v:path arrowok="t"/>
            </v:shape>
            <w10:wrap anchorx="page"/>
          </v:group>
        </w:pict>
      </w:r>
      <w:bookmarkStart w:id="186" w:name="_bookmark120"/>
      <w:bookmarkEnd w:id="186"/>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13.4: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 – </w:t>
      </w:r>
      <w:r w:rsidR="00C2656B">
        <w:rPr>
          <w:rFonts w:ascii="Avenir Next" w:eastAsia="Avenir Next" w:hAnsi="Avenir Next" w:cs="Avenir Next"/>
          <w:b/>
          <w:bCs/>
          <w:spacing w:val="-1"/>
          <w:sz w:val="20"/>
          <w:szCs w:val="20"/>
        </w:rPr>
        <w:t>Revenue</w:t>
      </w:r>
      <w:r w:rsidR="00C2656B">
        <w:rPr>
          <w:rFonts w:ascii="Avenir Next" w:eastAsia="Avenir Next" w:hAnsi="Avenir Next" w:cs="Avenir Next"/>
          <w:b/>
          <w:bCs/>
          <w:sz w:val="20"/>
          <w:szCs w:val="20"/>
        </w:rPr>
        <w:t xml:space="preserve"> deductions ($m,</w:t>
      </w:r>
      <w:r w:rsidR="00C2656B">
        <w:rPr>
          <w:rFonts w:ascii="Avenir Next" w:eastAsia="Avenir Next" w:hAnsi="Avenir Next" w:cs="Avenir Next"/>
          <w:b/>
          <w:bCs/>
          <w:spacing w:val="-7"/>
          <w:sz w:val="20"/>
          <w:szCs w:val="20"/>
        </w:rPr>
        <w:t xml:space="preserve"> </w:t>
      </w:r>
      <w:r w:rsidR="00C2656B">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823"/>
        <w:gridCol w:w="1116"/>
        <w:gridCol w:w="1116"/>
        <w:gridCol w:w="1116"/>
        <w:gridCol w:w="1116"/>
        <w:gridCol w:w="1116"/>
      </w:tblGrid>
      <w:tr w:rsidR="00D96B91">
        <w:trPr>
          <w:trHeight w:hRule="exact" w:val="407"/>
        </w:trPr>
        <w:tc>
          <w:tcPr>
            <w:tcW w:w="3823"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116"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116"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116"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116"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116" w:type="dxa"/>
            <w:tcBorders>
              <w:top w:val="single" w:sz="4" w:space="0" w:color="1A9EDA"/>
              <w:left w:val="nil"/>
              <w:bottom w:val="single" w:sz="4" w:space="0" w:color="1A9EDA"/>
              <w:right w:val="single" w:sz="4" w:space="0" w:color="1A9EDA"/>
            </w:tcBorders>
            <w:shd w:val="clear" w:color="auto" w:fill="0778BE"/>
          </w:tcPr>
          <w:p w:rsidR="00D96B91" w:rsidRDefault="00C2656B">
            <w:pPr>
              <w:pStyle w:val="TableParagraph"/>
              <w:spacing w:before="108"/>
              <w:ind w:left="266"/>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38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Income </w:t>
            </w:r>
            <w:r>
              <w:rPr>
                <w:rFonts w:ascii="Avenir Next Condensed"/>
                <w:spacing w:val="-1"/>
                <w:sz w:val="18"/>
              </w:rPr>
              <w:t>from</w:t>
            </w:r>
            <w:r>
              <w:rPr>
                <w:rFonts w:ascii="Avenir Next Condensed"/>
                <w:sz w:val="18"/>
              </w:rPr>
              <w:t xml:space="preserve"> other </w:t>
            </w:r>
            <w:r>
              <w:rPr>
                <w:rFonts w:ascii="Avenir Next Condensed"/>
                <w:spacing w:val="-1"/>
                <w:sz w:val="18"/>
              </w:rPr>
              <w:t>sources</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2"/>
              <w:rPr>
                <w:rFonts w:ascii="Avenir Next Condensed" w:eastAsia="Avenir Next Condensed" w:hAnsi="Avenir Next Condensed" w:cs="Avenir Next Condensed"/>
                <w:sz w:val="18"/>
                <w:szCs w:val="18"/>
              </w:rPr>
            </w:pPr>
            <w:r>
              <w:rPr>
                <w:rFonts w:ascii="Avenir Next Condensed"/>
                <w:sz w:val="18"/>
              </w:rPr>
              <w:t>14.45</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2"/>
              <w:rPr>
                <w:rFonts w:ascii="Avenir Next Condensed" w:eastAsia="Avenir Next Condensed" w:hAnsi="Avenir Next Condensed" w:cs="Avenir Next Condensed"/>
                <w:sz w:val="18"/>
                <w:szCs w:val="18"/>
              </w:rPr>
            </w:pPr>
            <w:r>
              <w:rPr>
                <w:rFonts w:ascii="Avenir Next Condensed"/>
                <w:sz w:val="18"/>
              </w:rPr>
              <w:t>14.82</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15.19</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15.57</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15.96</w:t>
            </w:r>
          </w:p>
        </w:tc>
      </w:tr>
      <w:tr w:rsidR="00D96B91">
        <w:trPr>
          <w:trHeight w:hRule="exact" w:val="417"/>
        </w:trPr>
        <w:tc>
          <w:tcPr>
            <w:tcW w:w="382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if</w:t>
            </w:r>
            <w:r>
              <w:rPr>
                <w:rFonts w:ascii="Avenir Next Condensed"/>
                <w:spacing w:val="4"/>
                <w:sz w:val="18"/>
              </w:rPr>
              <w:t xml:space="preserve"> </w:t>
            </w:r>
            <w:r>
              <w:rPr>
                <w:rFonts w:ascii="Avenir Next Condensed"/>
                <w:sz w:val="18"/>
              </w:rPr>
              <w:t xml:space="preserve">funded </w:t>
            </w:r>
            <w:r>
              <w:rPr>
                <w:rFonts w:ascii="Avenir Next Condensed"/>
                <w:spacing w:val="-1"/>
                <w:sz w:val="18"/>
              </w:rPr>
              <w:t>through</w:t>
            </w:r>
            <w:r>
              <w:rPr>
                <w:rFonts w:ascii="Avenir Next Condensed"/>
                <w:sz w:val="18"/>
              </w:rPr>
              <w:t xml:space="preserve"> CSO*</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7"/>
              <w:rPr>
                <w:rFonts w:ascii="Avenir Next Condensed" w:eastAsia="Avenir Next Condensed" w:hAnsi="Avenir Next Condensed" w:cs="Avenir Next Condensed"/>
                <w:sz w:val="18"/>
                <w:szCs w:val="18"/>
              </w:rPr>
            </w:pPr>
            <w:r>
              <w:rPr>
                <w:rFonts w:ascii="Avenir Next Condensed"/>
                <w:sz w:val="18"/>
              </w:rPr>
              <w:t>1.76</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7"/>
              <w:rPr>
                <w:rFonts w:ascii="Avenir Next Condensed" w:eastAsia="Avenir Next Condensed" w:hAnsi="Avenir Next Condensed" w:cs="Avenir Next Condensed"/>
                <w:sz w:val="18"/>
                <w:szCs w:val="18"/>
              </w:rPr>
            </w:pPr>
            <w:r>
              <w:rPr>
                <w:rFonts w:ascii="Avenir Next Condensed"/>
                <w:sz w:val="18"/>
              </w:rPr>
              <w:t>1.74</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7"/>
              <w:rPr>
                <w:rFonts w:ascii="Avenir Next Condensed" w:eastAsia="Avenir Next Condensed" w:hAnsi="Avenir Next Condensed" w:cs="Avenir Next Condensed"/>
                <w:sz w:val="18"/>
                <w:szCs w:val="18"/>
              </w:rPr>
            </w:pPr>
            <w:r>
              <w:rPr>
                <w:rFonts w:ascii="Avenir Next Condensed"/>
                <w:sz w:val="18"/>
              </w:rPr>
              <w:t>1.71</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7"/>
              <w:rPr>
                <w:rFonts w:ascii="Avenir Next Condensed" w:eastAsia="Avenir Next Condensed" w:hAnsi="Avenir Next Condensed" w:cs="Avenir Next Condensed"/>
                <w:sz w:val="18"/>
                <w:szCs w:val="18"/>
              </w:rPr>
            </w:pPr>
            <w:r>
              <w:rPr>
                <w:rFonts w:ascii="Avenir Next Condensed"/>
                <w:sz w:val="18"/>
              </w:rPr>
              <w:t>1.68</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7"/>
              <w:rPr>
                <w:rFonts w:ascii="Avenir Next Condensed" w:eastAsia="Avenir Next Condensed" w:hAnsi="Avenir Next Condensed" w:cs="Avenir Next Condensed"/>
                <w:sz w:val="18"/>
                <w:szCs w:val="18"/>
              </w:rPr>
            </w:pPr>
            <w:r>
              <w:rPr>
                <w:rFonts w:ascii="Avenir Next Condensed"/>
                <w:sz w:val="18"/>
              </w:rPr>
              <w:t>1.65</w:t>
            </w:r>
          </w:p>
        </w:tc>
      </w:tr>
      <w:tr w:rsidR="00D96B91">
        <w:trPr>
          <w:trHeight w:hRule="exact" w:val="407"/>
        </w:trPr>
        <w:tc>
          <w:tcPr>
            <w:tcW w:w="382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deductions</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6"/>
              <w:rPr>
                <w:rFonts w:ascii="Avenir Next Condensed" w:eastAsia="Avenir Next Condensed" w:hAnsi="Avenir Next Condensed" w:cs="Avenir Next Condensed"/>
                <w:sz w:val="18"/>
                <w:szCs w:val="18"/>
              </w:rPr>
            </w:pPr>
            <w:r>
              <w:rPr>
                <w:rFonts w:ascii="Avenir Next Condensed"/>
                <w:b/>
                <w:sz w:val="18"/>
              </w:rPr>
              <w:t>16.22</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6"/>
              <w:rPr>
                <w:rFonts w:ascii="Avenir Next Condensed" w:eastAsia="Avenir Next Condensed" w:hAnsi="Avenir Next Condensed" w:cs="Avenir Next Condensed"/>
                <w:sz w:val="18"/>
                <w:szCs w:val="18"/>
              </w:rPr>
            </w:pPr>
            <w:r>
              <w:rPr>
                <w:rFonts w:ascii="Avenir Next Condensed"/>
                <w:b/>
                <w:sz w:val="18"/>
              </w:rPr>
              <w:t>16.55</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6"/>
              <w:rPr>
                <w:rFonts w:ascii="Avenir Next Condensed" w:eastAsia="Avenir Next Condensed" w:hAnsi="Avenir Next Condensed" w:cs="Avenir Next Condensed"/>
                <w:sz w:val="18"/>
                <w:szCs w:val="18"/>
              </w:rPr>
            </w:pPr>
            <w:r>
              <w:rPr>
                <w:rFonts w:ascii="Avenir Next Condensed"/>
                <w:b/>
                <w:sz w:val="18"/>
              </w:rPr>
              <w:t>16.90</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6"/>
              <w:rPr>
                <w:rFonts w:ascii="Avenir Next Condensed" w:eastAsia="Avenir Next Condensed" w:hAnsi="Avenir Next Condensed" w:cs="Avenir Next Condensed"/>
                <w:sz w:val="18"/>
                <w:szCs w:val="18"/>
              </w:rPr>
            </w:pPr>
            <w:r>
              <w:rPr>
                <w:rFonts w:ascii="Avenir Next Condensed"/>
                <w:b/>
                <w:sz w:val="18"/>
              </w:rPr>
              <w:t>17.25</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6"/>
              <w:rPr>
                <w:rFonts w:ascii="Avenir Next Condensed" w:eastAsia="Avenir Next Condensed" w:hAnsi="Avenir Next Condensed" w:cs="Avenir Next Condensed"/>
                <w:sz w:val="18"/>
                <w:szCs w:val="18"/>
              </w:rPr>
            </w:pPr>
            <w:r>
              <w:rPr>
                <w:rFonts w:ascii="Avenir Next Condensed"/>
                <w:b/>
                <w:sz w:val="18"/>
              </w:rPr>
              <w:t>17.61</w:t>
            </w:r>
          </w:p>
        </w:tc>
      </w:tr>
      <w:tr w:rsidR="00D96B91">
        <w:trPr>
          <w:trHeight w:hRule="exact" w:val="397"/>
        </w:trPr>
        <w:tc>
          <w:tcPr>
            <w:tcW w:w="9401" w:type="dxa"/>
            <w:gridSpan w:val="6"/>
            <w:tcBorders>
              <w:top w:val="single" w:sz="12"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9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38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Income </w:t>
            </w:r>
            <w:r>
              <w:rPr>
                <w:rFonts w:ascii="Avenir Next Condensed"/>
                <w:spacing w:val="-1"/>
                <w:sz w:val="18"/>
              </w:rPr>
              <w:t>from</w:t>
            </w:r>
            <w:r>
              <w:rPr>
                <w:rFonts w:ascii="Avenir Next Condensed"/>
                <w:sz w:val="18"/>
              </w:rPr>
              <w:t xml:space="preserve"> other </w:t>
            </w:r>
            <w:r>
              <w:rPr>
                <w:rFonts w:ascii="Avenir Next Condensed"/>
                <w:spacing w:val="-1"/>
                <w:sz w:val="18"/>
              </w:rPr>
              <w:t>sources</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10.35</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10.61</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10.88</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11.15</w:t>
            </w:r>
          </w:p>
        </w:tc>
        <w:tc>
          <w:tcPr>
            <w:tcW w:w="111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3"/>
              <w:rPr>
                <w:rFonts w:ascii="Avenir Next Condensed" w:eastAsia="Avenir Next Condensed" w:hAnsi="Avenir Next Condensed" w:cs="Avenir Next Condensed"/>
                <w:sz w:val="18"/>
                <w:szCs w:val="18"/>
              </w:rPr>
            </w:pPr>
            <w:r>
              <w:rPr>
                <w:rFonts w:ascii="Avenir Next Condensed"/>
                <w:sz w:val="18"/>
              </w:rPr>
              <w:t>11.44</w:t>
            </w:r>
          </w:p>
        </w:tc>
      </w:tr>
      <w:tr w:rsidR="00D96B91">
        <w:trPr>
          <w:trHeight w:hRule="exact" w:val="417"/>
        </w:trPr>
        <w:tc>
          <w:tcPr>
            <w:tcW w:w="382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if</w:t>
            </w:r>
            <w:r>
              <w:rPr>
                <w:rFonts w:ascii="Avenir Next Condensed"/>
                <w:spacing w:val="4"/>
                <w:sz w:val="18"/>
              </w:rPr>
              <w:t xml:space="preserve"> </w:t>
            </w:r>
            <w:r>
              <w:rPr>
                <w:rFonts w:ascii="Avenir Next Condensed"/>
                <w:sz w:val="18"/>
              </w:rPr>
              <w:t xml:space="preserve">funded </w:t>
            </w:r>
            <w:r>
              <w:rPr>
                <w:rFonts w:ascii="Avenir Next Condensed"/>
                <w:spacing w:val="-1"/>
                <w:sz w:val="18"/>
              </w:rPr>
              <w:t>through</w:t>
            </w:r>
            <w:r>
              <w:rPr>
                <w:rFonts w:ascii="Avenir Next Condensed"/>
                <w:sz w:val="18"/>
              </w:rPr>
              <w:t xml:space="preserve"> CSO **</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8"/>
              <w:rPr>
                <w:rFonts w:ascii="Avenir Next Condensed" w:eastAsia="Avenir Next Condensed" w:hAnsi="Avenir Next Condensed" w:cs="Avenir Next Condensed"/>
                <w:sz w:val="18"/>
                <w:szCs w:val="18"/>
              </w:rPr>
            </w:pPr>
            <w:r>
              <w:rPr>
                <w:rFonts w:ascii="Avenir Next Condensed"/>
                <w:sz w:val="18"/>
              </w:rPr>
              <w:t>0.59</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8"/>
              <w:rPr>
                <w:rFonts w:ascii="Avenir Next Condensed" w:eastAsia="Avenir Next Condensed" w:hAnsi="Avenir Next Condensed" w:cs="Avenir Next Condensed"/>
                <w:sz w:val="18"/>
                <w:szCs w:val="18"/>
              </w:rPr>
            </w:pPr>
            <w:r>
              <w:rPr>
                <w:rFonts w:ascii="Avenir Next Condensed"/>
                <w:sz w:val="18"/>
              </w:rPr>
              <w:t>0.60</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8"/>
              <w:rPr>
                <w:rFonts w:ascii="Avenir Next Condensed" w:eastAsia="Avenir Next Condensed" w:hAnsi="Avenir Next Condensed" w:cs="Avenir Next Condensed"/>
                <w:sz w:val="18"/>
                <w:szCs w:val="18"/>
              </w:rPr>
            </w:pPr>
            <w:r>
              <w:rPr>
                <w:rFonts w:ascii="Avenir Next Condensed"/>
                <w:sz w:val="18"/>
              </w:rPr>
              <w:t>0.60</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8"/>
              <w:rPr>
                <w:rFonts w:ascii="Avenir Next Condensed" w:eastAsia="Avenir Next Condensed" w:hAnsi="Avenir Next Condensed" w:cs="Avenir Next Condensed"/>
                <w:sz w:val="18"/>
                <w:szCs w:val="18"/>
              </w:rPr>
            </w:pPr>
            <w:r>
              <w:rPr>
                <w:rFonts w:ascii="Avenir Next Condensed"/>
                <w:sz w:val="18"/>
              </w:rPr>
              <w:t>0.61</w:t>
            </w:r>
          </w:p>
        </w:tc>
        <w:tc>
          <w:tcPr>
            <w:tcW w:w="1116"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78"/>
              <w:rPr>
                <w:rFonts w:ascii="Avenir Next Condensed" w:eastAsia="Avenir Next Condensed" w:hAnsi="Avenir Next Condensed" w:cs="Avenir Next Condensed"/>
                <w:sz w:val="18"/>
                <w:szCs w:val="18"/>
              </w:rPr>
            </w:pPr>
            <w:r>
              <w:rPr>
                <w:rFonts w:ascii="Avenir Next Condensed"/>
                <w:sz w:val="18"/>
              </w:rPr>
              <w:t>0.62</w:t>
            </w:r>
          </w:p>
        </w:tc>
      </w:tr>
      <w:tr w:rsidR="00D96B91">
        <w:trPr>
          <w:trHeight w:hRule="exact" w:val="407"/>
        </w:trPr>
        <w:tc>
          <w:tcPr>
            <w:tcW w:w="382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pacing w:val="-2"/>
                <w:sz w:val="18"/>
              </w:rPr>
              <w:t>Total</w:t>
            </w:r>
            <w:r>
              <w:rPr>
                <w:rFonts w:ascii="Avenir Next Condensed"/>
                <w:b/>
                <w:sz w:val="18"/>
              </w:rPr>
              <w:t xml:space="preserve"> deductions</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7"/>
              <w:rPr>
                <w:rFonts w:ascii="Avenir Next Condensed" w:eastAsia="Avenir Next Condensed" w:hAnsi="Avenir Next Condensed" w:cs="Avenir Next Condensed"/>
                <w:sz w:val="18"/>
                <w:szCs w:val="18"/>
              </w:rPr>
            </w:pPr>
            <w:r>
              <w:rPr>
                <w:rFonts w:ascii="Avenir Next Condensed"/>
                <w:b/>
                <w:sz w:val="18"/>
              </w:rPr>
              <w:t>10.94</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7"/>
              <w:rPr>
                <w:rFonts w:ascii="Avenir Next Condensed" w:eastAsia="Avenir Next Condensed" w:hAnsi="Avenir Next Condensed" w:cs="Avenir Next Condensed"/>
                <w:sz w:val="18"/>
                <w:szCs w:val="18"/>
              </w:rPr>
            </w:pPr>
            <w:r>
              <w:rPr>
                <w:rFonts w:ascii="Avenir Next Condensed"/>
                <w:b/>
                <w:sz w:val="18"/>
              </w:rPr>
              <w:t>11.21</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7"/>
              <w:rPr>
                <w:rFonts w:ascii="Avenir Next Condensed" w:eastAsia="Avenir Next Condensed" w:hAnsi="Avenir Next Condensed" w:cs="Avenir Next Condensed"/>
                <w:sz w:val="18"/>
                <w:szCs w:val="18"/>
              </w:rPr>
            </w:pPr>
            <w:r>
              <w:rPr>
                <w:rFonts w:ascii="Avenir Next Condensed"/>
                <w:b/>
                <w:sz w:val="18"/>
              </w:rPr>
              <w:t>11.48</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7"/>
              <w:rPr>
                <w:rFonts w:ascii="Avenir Next Condensed" w:eastAsia="Avenir Next Condensed" w:hAnsi="Avenir Next Condensed" w:cs="Avenir Next Condensed"/>
                <w:sz w:val="18"/>
                <w:szCs w:val="18"/>
              </w:rPr>
            </w:pPr>
            <w:r>
              <w:rPr>
                <w:rFonts w:ascii="Avenir Next Condensed"/>
                <w:b/>
                <w:sz w:val="18"/>
              </w:rPr>
              <w:t>11.76</w:t>
            </w:r>
          </w:p>
        </w:tc>
        <w:tc>
          <w:tcPr>
            <w:tcW w:w="1116"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367"/>
              <w:rPr>
                <w:rFonts w:ascii="Avenir Next Condensed" w:eastAsia="Avenir Next Condensed" w:hAnsi="Avenir Next Condensed" w:cs="Avenir Next Condensed"/>
                <w:sz w:val="18"/>
                <w:szCs w:val="18"/>
              </w:rPr>
            </w:pPr>
            <w:r>
              <w:rPr>
                <w:rFonts w:ascii="Avenir Next Condensed"/>
                <w:b/>
                <w:sz w:val="18"/>
              </w:rPr>
              <w:t>12.05</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ight="1313"/>
        <w:rPr>
          <w:rFonts w:ascii="Avenir Next" w:eastAsia="Avenir Next" w:hAnsi="Avenir Next" w:cs="Avenir Next"/>
          <w:sz w:val="16"/>
          <w:szCs w:val="16"/>
        </w:rPr>
      </w:pPr>
      <w:r>
        <w:rPr>
          <w:rFonts w:ascii="Avenir Next"/>
          <w:sz w:val="16"/>
        </w:rPr>
        <w:t>Notes: *</w:t>
      </w:r>
      <w:r>
        <w:rPr>
          <w:rFonts w:ascii="Avenir Next"/>
          <w:spacing w:val="-4"/>
          <w:sz w:val="16"/>
        </w:rPr>
        <w:t xml:space="preserve"> </w:t>
      </w:r>
      <w:r>
        <w:rPr>
          <w:rFonts w:ascii="Avenir Next"/>
          <w:spacing w:val="-1"/>
          <w:sz w:val="16"/>
        </w:rPr>
        <w:t>This</w:t>
      </w:r>
      <w:r>
        <w:rPr>
          <w:rFonts w:ascii="Avenir Next"/>
          <w:sz w:val="16"/>
        </w:rPr>
        <w:t xml:space="preserve"> value </w:t>
      </w:r>
      <w:r>
        <w:rPr>
          <w:rFonts w:ascii="Avenir Next"/>
          <w:spacing w:val="-1"/>
          <w:sz w:val="16"/>
        </w:rPr>
        <w:t>differs</w:t>
      </w:r>
      <w:r>
        <w:rPr>
          <w:rFonts w:ascii="Avenir Next"/>
          <w:sz w:val="16"/>
        </w:rPr>
        <w:t xml:space="preserve"> </w:t>
      </w:r>
      <w:r>
        <w:rPr>
          <w:rFonts w:ascii="Avenir Next"/>
          <w:spacing w:val="-1"/>
          <w:sz w:val="16"/>
        </w:rPr>
        <w:t>from</w:t>
      </w:r>
      <w:r>
        <w:rPr>
          <w:rFonts w:ascii="Avenir Next"/>
          <w:sz w:val="16"/>
        </w:rPr>
        <w:t xml:space="preserve"> </w:t>
      </w:r>
      <w:r>
        <w:rPr>
          <w:rFonts w:ascii="Avenir Next"/>
          <w:spacing w:val="-1"/>
          <w:sz w:val="16"/>
        </w:rPr>
        <w:t>that</w:t>
      </w:r>
      <w:r>
        <w:rPr>
          <w:rFonts w:ascii="Avenir Next"/>
          <w:sz w:val="16"/>
        </w:rPr>
        <w:t xml:space="preserve"> </w:t>
      </w:r>
      <w:r>
        <w:rPr>
          <w:rFonts w:ascii="Avenir Next"/>
          <w:spacing w:val="-1"/>
          <w:sz w:val="16"/>
        </w:rPr>
        <w:t>calculated</w:t>
      </w:r>
      <w:r>
        <w:rPr>
          <w:rFonts w:ascii="Avenir Next"/>
          <w:sz w:val="16"/>
        </w:rPr>
        <w:t xml:space="preserve"> by the ICRC because the </w:t>
      </w:r>
      <w:r>
        <w:rPr>
          <w:rFonts w:ascii="Avenir Next"/>
          <w:spacing w:val="-2"/>
          <w:sz w:val="16"/>
        </w:rPr>
        <w:t>Panel</w:t>
      </w:r>
      <w:r>
        <w:rPr>
          <w:rFonts w:ascii="Avenir Next"/>
          <w:sz w:val="16"/>
        </w:rPr>
        <w:t xml:space="preserve"> has assumed a </w:t>
      </w:r>
      <w:r>
        <w:rPr>
          <w:rFonts w:ascii="Avenir Next"/>
          <w:spacing w:val="-1"/>
          <w:sz w:val="16"/>
        </w:rPr>
        <w:t>shorter</w:t>
      </w:r>
      <w:r>
        <w:rPr>
          <w:rFonts w:ascii="Avenir Next"/>
          <w:sz w:val="16"/>
        </w:rPr>
        <w:t xml:space="preserve"> economic life for the </w:t>
      </w:r>
      <w:r>
        <w:rPr>
          <w:rFonts w:ascii="Avenir Next"/>
          <w:spacing w:val="-1"/>
          <w:sz w:val="16"/>
        </w:rPr>
        <w:t>Cotter</w:t>
      </w:r>
      <w:r>
        <w:rPr>
          <w:rFonts w:ascii="Avenir Next"/>
          <w:spacing w:val="47"/>
          <w:sz w:val="16"/>
        </w:rPr>
        <w:t xml:space="preserve"> </w:t>
      </w:r>
      <w:r>
        <w:rPr>
          <w:rFonts w:ascii="Avenir Next"/>
          <w:sz w:val="16"/>
        </w:rPr>
        <w:t>Discovery</w:t>
      </w:r>
      <w:r>
        <w:rPr>
          <w:rFonts w:ascii="Avenir Next"/>
          <w:spacing w:val="-4"/>
          <w:sz w:val="16"/>
        </w:rPr>
        <w:t xml:space="preserve"> Trail</w:t>
      </w:r>
      <w:r>
        <w:rPr>
          <w:rFonts w:ascii="Avenir Next"/>
          <w:sz w:val="16"/>
        </w:rPr>
        <w:t xml:space="preserve"> (10 </w:t>
      </w:r>
      <w:r>
        <w:rPr>
          <w:rFonts w:ascii="Avenir Next"/>
          <w:spacing w:val="-1"/>
          <w:sz w:val="16"/>
        </w:rPr>
        <w:t>years</w:t>
      </w:r>
      <w:r>
        <w:rPr>
          <w:rFonts w:ascii="Avenir Next"/>
          <w:sz w:val="16"/>
        </w:rPr>
        <w:t xml:space="preserve"> versus 66 </w:t>
      </w:r>
      <w:r>
        <w:rPr>
          <w:rFonts w:ascii="Avenir Next"/>
          <w:spacing w:val="-1"/>
          <w:sz w:val="16"/>
        </w:rPr>
        <w:t>years)</w:t>
      </w:r>
      <w:r>
        <w:rPr>
          <w:rFonts w:ascii="Avenir Next"/>
          <w:sz w:val="16"/>
        </w:rPr>
        <w:t xml:space="preserve"> and a longer economic life for the </w:t>
      </w:r>
      <w:r>
        <w:rPr>
          <w:rFonts w:ascii="Avenir Next"/>
          <w:spacing w:val="-1"/>
          <w:sz w:val="16"/>
        </w:rPr>
        <w:t>greenhouse</w:t>
      </w:r>
      <w:r>
        <w:rPr>
          <w:rFonts w:ascii="Avenir Next"/>
          <w:sz w:val="16"/>
        </w:rPr>
        <w:t xml:space="preserve"> gas </w:t>
      </w:r>
      <w:r>
        <w:rPr>
          <w:rFonts w:ascii="Avenir Next"/>
          <w:spacing w:val="-1"/>
          <w:sz w:val="16"/>
        </w:rPr>
        <w:t>abatement</w:t>
      </w:r>
      <w:r>
        <w:rPr>
          <w:rFonts w:ascii="Avenir Next"/>
          <w:sz w:val="16"/>
        </w:rPr>
        <w:t xml:space="preserve"> activities (124 </w:t>
      </w:r>
      <w:r>
        <w:rPr>
          <w:rFonts w:ascii="Avenir Next"/>
          <w:spacing w:val="-1"/>
          <w:sz w:val="16"/>
        </w:rPr>
        <w:t>years</w:t>
      </w:r>
      <w:r>
        <w:rPr>
          <w:rFonts w:ascii="Avenir Next"/>
          <w:spacing w:val="61"/>
          <w:sz w:val="16"/>
        </w:rPr>
        <w:t xml:space="preserve"> </w:t>
      </w:r>
      <w:r>
        <w:rPr>
          <w:rFonts w:ascii="Avenir Next"/>
          <w:sz w:val="16"/>
        </w:rPr>
        <w:t xml:space="preserve">versus 66 </w:t>
      </w:r>
      <w:r>
        <w:rPr>
          <w:rFonts w:ascii="Avenir Next"/>
          <w:spacing w:val="-1"/>
          <w:sz w:val="16"/>
        </w:rPr>
        <w:t>years)</w:t>
      </w:r>
      <w:r>
        <w:rPr>
          <w:rFonts w:ascii="Avenir Next"/>
          <w:sz w:val="16"/>
        </w:rPr>
        <w:t xml:space="preserve"> than the ICRC assumed.</w:t>
      </w:r>
    </w:p>
    <w:p w:rsidR="00D96B91" w:rsidRDefault="00C2656B">
      <w:pPr>
        <w:spacing w:before="58"/>
        <w:ind w:left="1247" w:right="1256"/>
        <w:rPr>
          <w:rFonts w:ascii="Avenir Next" w:eastAsia="Avenir Next" w:hAnsi="Avenir Next" w:cs="Avenir Next"/>
          <w:sz w:val="16"/>
          <w:szCs w:val="16"/>
        </w:rPr>
      </w:pPr>
      <w:r>
        <w:rPr>
          <w:rFonts w:ascii="Avenir Next" w:eastAsia="Avenir Next" w:hAnsi="Avenir Next" w:cs="Avenir Next"/>
          <w:sz w:val="16"/>
          <w:szCs w:val="16"/>
        </w:rPr>
        <w: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This</w:t>
      </w:r>
      <w:r>
        <w:rPr>
          <w:rFonts w:ascii="Avenir Next" w:eastAsia="Avenir Next" w:hAnsi="Avenir Next" w:cs="Avenir Next"/>
          <w:sz w:val="16"/>
          <w:szCs w:val="16"/>
        </w:rPr>
        <w:t xml:space="preserve"> value </w:t>
      </w:r>
      <w:r>
        <w:rPr>
          <w:rFonts w:ascii="Avenir Next" w:eastAsia="Avenir Next" w:hAnsi="Avenir Next" w:cs="Avenir Next"/>
          <w:spacing w:val="-1"/>
          <w:sz w:val="16"/>
          <w:szCs w:val="16"/>
        </w:rPr>
        <w:t>differs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calculations</w:t>
      </w:r>
      <w:r>
        <w:rPr>
          <w:rFonts w:ascii="Avenir Next" w:eastAsia="Avenir Next" w:hAnsi="Avenir Next" w:cs="Avenir Next"/>
          <w:sz w:val="16"/>
          <w:szCs w:val="16"/>
        </w:rPr>
        <w:t xml:space="preserve"> because the </w:t>
      </w:r>
      <w:r>
        <w:rPr>
          <w:rFonts w:ascii="Avenir Next" w:eastAsia="Avenir Next" w:hAnsi="Avenir Next" w:cs="Avenir Next"/>
          <w:spacing w:val="-2"/>
          <w:sz w:val="16"/>
          <w:szCs w:val="16"/>
        </w:rPr>
        <w:t>ICRC’s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calculation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excluded</w:t>
      </w:r>
      <w:r>
        <w:rPr>
          <w:rFonts w:ascii="Avenir Next" w:eastAsia="Avenir Next" w:hAnsi="Avenir Next" w:cs="Avenir Next"/>
          <w:sz w:val="16"/>
          <w:szCs w:val="16"/>
        </w:rPr>
        <w:t xml:space="preserve"> the costs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Uriarra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Village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109"/>
          <w:sz w:val="16"/>
          <w:szCs w:val="16"/>
        </w:rPr>
        <w:t xml:space="preserve"> </w:t>
      </w:r>
      <w:r>
        <w:rPr>
          <w:rFonts w:ascii="Avenir Next" w:eastAsia="Avenir Next" w:hAnsi="Avenir Next" w:cs="Avenir Next"/>
          <w:spacing w:val="-1"/>
          <w:sz w:val="16"/>
          <w:szCs w:val="16"/>
        </w:rPr>
        <w:t>rectification work</w:t>
      </w:r>
      <w:hyperlink w:anchor="_bookmark62" w:history="1">
        <w:r>
          <w:rPr>
            <w:rFonts w:ascii="Avenir Next" w:eastAsia="Avenir Next" w:hAnsi="Avenir Next" w:cs="Avenir Next"/>
            <w:spacing w:val="-1"/>
            <w:sz w:val="16"/>
            <w:szCs w:val="16"/>
          </w:rPr>
          <w:t>s</w:t>
        </w:r>
        <w:r>
          <w:rPr>
            <w:rFonts w:ascii="Avenir Next" w:eastAsia="Avenir Next" w:hAnsi="Avenir Next" w:cs="Avenir Next"/>
            <w:sz w:val="16"/>
            <w:szCs w:val="16"/>
          </w:rPr>
          <w:t xml:space="preserve"> (see section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9.2).</w:t>
        </w:r>
      </w:hyperlink>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It also </w:t>
      </w:r>
      <w:r>
        <w:rPr>
          <w:rFonts w:ascii="Avenir Next" w:eastAsia="Avenir Next" w:hAnsi="Avenir Next" w:cs="Avenir Next"/>
          <w:spacing w:val="-1"/>
          <w:sz w:val="16"/>
          <w:szCs w:val="16"/>
        </w:rPr>
        <w:t xml:space="preserve">differs </w:t>
      </w:r>
      <w:r>
        <w:rPr>
          <w:rFonts w:ascii="Avenir Next" w:eastAsia="Avenir Next" w:hAnsi="Avenir Next" w:cs="Avenir Next"/>
          <w:sz w:val="16"/>
          <w:szCs w:val="16"/>
        </w:rPr>
        <w:t xml:space="preserve">because the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has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adopted a </w:t>
      </w:r>
      <w:r>
        <w:rPr>
          <w:rFonts w:ascii="Avenir Next" w:eastAsia="Avenir Next" w:hAnsi="Avenir Next" w:cs="Avenir Next"/>
          <w:spacing w:val="-1"/>
          <w:sz w:val="16"/>
          <w:szCs w:val="16"/>
        </w:rPr>
        <w:t>shorter</w:t>
      </w:r>
      <w:r>
        <w:rPr>
          <w:rFonts w:ascii="Avenir Next" w:eastAsia="Avenir Next" w:hAnsi="Avenir Next" w:cs="Avenir Next"/>
          <w:sz w:val="16"/>
          <w:szCs w:val="16"/>
        </w:rPr>
        <w:t xml:space="preserve"> economic</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life for the </w:t>
      </w:r>
      <w:r>
        <w:rPr>
          <w:rFonts w:ascii="Avenir Next" w:eastAsia="Avenir Next" w:hAnsi="Avenir Next" w:cs="Avenir Next"/>
          <w:spacing w:val="-1"/>
          <w:sz w:val="16"/>
          <w:szCs w:val="16"/>
        </w:rPr>
        <w:t>Uriarra package</w:t>
      </w:r>
      <w:r>
        <w:rPr>
          <w:rFonts w:ascii="Avenir Next" w:eastAsia="Avenir Next" w:hAnsi="Avenir Next" w:cs="Avenir Next"/>
          <w:spacing w:val="65"/>
          <w:sz w:val="16"/>
          <w:szCs w:val="16"/>
        </w:rPr>
        <w:t xml:space="preserve"> </w:t>
      </w:r>
      <w:r>
        <w:rPr>
          <w:rFonts w:ascii="Avenir Next" w:eastAsia="Avenir Next" w:hAnsi="Avenir Next" w:cs="Avenir Next"/>
          <w:sz w:val="16"/>
          <w:szCs w:val="16"/>
        </w:rPr>
        <w:t xml:space="preserve">plant than assumed by the ICRC (30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versus 66 </w:t>
      </w:r>
      <w:r>
        <w:rPr>
          <w:rFonts w:ascii="Avenir Next" w:eastAsia="Avenir Next" w:hAnsi="Avenir Next" w:cs="Avenir Next"/>
          <w:spacing w:val="-1"/>
          <w:sz w:val="16"/>
          <w:szCs w:val="16"/>
        </w:rPr>
        <w:t>years).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
        <w:rPr>
          <w:rFonts w:ascii="Avenir Next" w:eastAsia="Avenir Next" w:hAnsi="Avenir Next" w:cs="Avenir Next"/>
          <w:sz w:val="19"/>
          <w:szCs w:val="1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825" style="width:72.5pt;height:.5pt;mso-position-horizontal-relative:char;mso-position-vertical-relative:line" coordsize="1450,10">
            <v:group id="_x0000_s1826" style="position:absolute;left:5;top:5;width:1440;height:2" coordorigin="5,5" coordsize="1440,2">
              <v:shape id="_x0000_s1827" style="position:absolute;left:5;top:5;width:1440;height:2" coordorigin="5,5" coordsize="1440,0" path="m5,5r1440,e" filled="f" strokeweight=".5pt">
                <v:path arrowok="t"/>
              </v:shape>
            </v:group>
            <w10:wrap type="none"/>
            <w10:anchorlock/>
          </v:group>
        </w:pict>
      </w:r>
    </w:p>
    <w:p w:rsidR="00D96B91" w:rsidRDefault="00C2656B">
      <w:pPr>
        <w:numPr>
          <w:ilvl w:val="0"/>
          <w:numId w:val="35"/>
        </w:numPr>
        <w:tabs>
          <w:tab w:val="left" w:pos="1758"/>
        </w:tabs>
        <w:spacing w:before="45" w:line="192" w:lineRule="exact"/>
        <w:ind w:right="1803" w:hanging="510"/>
        <w:rPr>
          <w:rFonts w:ascii="Avenir Next" w:eastAsia="Avenir Next" w:hAnsi="Avenir Next" w:cs="Avenir Next"/>
          <w:sz w:val="16"/>
          <w:szCs w:val="16"/>
        </w:rPr>
      </w:pPr>
      <w:r>
        <w:rPr>
          <w:rFonts w:ascii="Avenir Next"/>
          <w:sz w:val="16"/>
        </w:rPr>
        <w:t>In $2012-13 dollars the value of</w:t>
      </w:r>
      <w:r>
        <w:rPr>
          <w:rFonts w:ascii="Avenir Next"/>
          <w:spacing w:val="3"/>
          <w:sz w:val="16"/>
        </w:rPr>
        <w:t xml:space="preserve"> </w:t>
      </w:r>
      <w:r>
        <w:rPr>
          <w:rFonts w:ascii="Avenir Next"/>
          <w:sz w:val="16"/>
        </w:rPr>
        <w:t xml:space="preserve">other income for </w:t>
      </w:r>
      <w:r>
        <w:rPr>
          <w:rFonts w:ascii="Avenir Next"/>
          <w:spacing w:val="-1"/>
          <w:sz w:val="16"/>
        </w:rPr>
        <w:t>water</w:t>
      </w:r>
      <w:r>
        <w:rPr>
          <w:rFonts w:ascii="Avenir Next"/>
          <w:sz w:val="16"/>
        </w:rPr>
        <w:t xml:space="preserve"> was assumed by the ICRC to be $14.10 million,</w:t>
      </w:r>
      <w:r>
        <w:rPr>
          <w:rFonts w:ascii="Avenir Next"/>
          <w:spacing w:val="-5"/>
          <w:sz w:val="16"/>
        </w:rPr>
        <w:t xml:space="preserve"> </w:t>
      </w:r>
      <w:r>
        <w:rPr>
          <w:rFonts w:ascii="Avenir Next"/>
          <w:spacing w:val="-1"/>
          <w:sz w:val="16"/>
        </w:rPr>
        <w:t>whereas</w:t>
      </w:r>
      <w:r>
        <w:rPr>
          <w:rFonts w:ascii="Avenir Next"/>
          <w:sz w:val="16"/>
        </w:rPr>
        <w:t xml:space="preserve"> for</w:t>
      </w:r>
      <w:r>
        <w:rPr>
          <w:rFonts w:ascii="Avenir Next"/>
          <w:spacing w:val="27"/>
          <w:sz w:val="16"/>
        </w:rPr>
        <w:t xml:space="preserve"> </w:t>
      </w:r>
      <w:r>
        <w:rPr>
          <w:rFonts w:ascii="Avenir Next"/>
          <w:spacing w:val="-1"/>
          <w:sz w:val="16"/>
        </w:rPr>
        <w:t>sewerage</w:t>
      </w:r>
      <w:r>
        <w:rPr>
          <w:rFonts w:ascii="Avenir Next"/>
          <w:sz w:val="16"/>
        </w:rPr>
        <w:t xml:space="preserve"> it was assumed to be $10.10 million.</w:t>
      </w:r>
    </w:p>
    <w:p w:rsidR="00D96B91" w:rsidRDefault="00C2656B">
      <w:pPr>
        <w:numPr>
          <w:ilvl w:val="0"/>
          <w:numId w:val="35"/>
        </w:numPr>
        <w:tabs>
          <w:tab w:val="left" w:pos="1758"/>
        </w:tabs>
        <w:spacing w:before="141"/>
        <w:ind w:hanging="510"/>
        <w:rPr>
          <w:rFonts w:ascii="Avenir Next" w:eastAsia="Avenir Next" w:hAnsi="Avenir Next" w:cs="Avenir Next"/>
          <w:sz w:val="16"/>
          <w:szCs w:val="16"/>
        </w:rPr>
      </w:pPr>
      <w:r>
        <w:rPr>
          <w:rFonts w:ascii="Avenir Next"/>
          <w:spacing w:val="-1"/>
          <w:sz w:val="16"/>
        </w:rPr>
        <w:t>The</w:t>
      </w:r>
      <w:r>
        <w:rPr>
          <w:rFonts w:ascii="Avenir Next"/>
          <w:sz w:val="16"/>
        </w:rPr>
        <w:t xml:space="preserve"> economic lives for these </w:t>
      </w:r>
      <w:r>
        <w:rPr>
          <w:rFonts w:ascii="Avenir Next"/>
          <w:spacing w:val="-1"/>
          <w:sz w:val="16"/>
        </w:rPr>
        <w:t>three</w:t>
      </w:r>
      <w:r>
        <w:rPr>
          <w:rFonts w:ascii="Avenir Next"/>
          <w:sz w:val="16"/>
        </w:rPr>
        <w:t xml:space="preserve"> </w:t>
      </w:r>
      <w:r>
        <w:rPr>
          <w:rFonts w:ascii="Avenir Next"/>
          <w:spacing w:val="-1"/>
          <w:sz w:val="16"/>
        </w:rPr>
        <w:t>projects</w:t>
      </w:r>
      <w:r>
        <w:rPr>
          <w:rFonts w:ascii="Avenir Next"/>
          <w:sz w:val="16"/>
        </w:rPr>
        <w:t xml:space="preserve"> </w:t>
      </w:r>
      <w:r>
        <w:rPr>
          <w:rFonts w:ascii="Avenir Next"/>
          <w:spacing w:val="-1"/>
          <w:sz w:val="16"/>
        </w:rPr>
        <w:t>were:</w:t>
      </w:r>
    </w:p>
    <w:p w:rsidR="00D96B91" w:rsidRDefault="00C2656B">
      <w:pPr>
        <w:numPr>
          <w:ilvl w:val="1"/>
          <w:numId w:val="35"/>
        </w:numPr>
        <w:tabs>
          <w:tab w:val="left" w:pos="1985"/>
        </w:tabs>
        <w:spacing w:before="36" w:line="192" w:lineRule="exact"/>
        <w:ind w:right="1872"/>
        <w:rPr>
          <w:rFonts w:ascii="Avenir Next" w:eastAsia="Avenir Next" w:hAnsi="Avenir Next" w:cs="Avenir Next"/>
          <w:sz w:val="16"/>
          <w:szCs w:val="16"/>
        </w:rPr>
      </w:pPr>
      <w:r>
        <w:rPr>
          <w:rFonts w:ascii="Avenir Next" w:eastAsia="Avenir Next" w:hAnsi="Avenir Next" w:cs="Avenir Next"/>
          <w:sz w:val="16"/>
          <w:szCs w:val="16"/>
        </w:rPr>
        <w:t xml:space="preserve">10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for the </w:t>
      </w:r>
      <w:r>
        <w:rPr>
          <w:rFonts w:ascii="Avenir Next" w:eastAsia="Avenir Next" w:hAnsi="Avenir Next" w:cs="Avenir Next"/>
          <w:spacing w:val="-1"/>
          <w:sz w:val="16"/>
          <w:szCs w:val="16"/>
        </w:rPr>
        <w:t>Cotter</w:t>
      </w:r>
      <w:r>
        <w:rPr>
          <w:rFonts w:ascii="Avenir Next" w:eastAsia="Avenir Next" w:hAnsi="Avenir Next" w:cs="Avenir Next"/>
          <w:sz w:val="16"/>
          <w:szCs w:val="16"/>
        </w:rPr>
        <w:t xml:space="preserve"> Discovery</w:t>
      </w:r>
      <w:r>
        <w:rPr>
          <w:rFonts w:ascii="Avenir Next" w:eastAsia="Avenir Next" w:hAnsi="Avenir Next" w:cs="Avenir Next"/>
          <w:spacing w:val="-4"/>
          <w:sz w:val="16"/>
          <w:szCs w:val="16"/>
        </w:rPr>
        <w:t xml:space="preserve"> Trail</w:t>
      </w:r>
      <w:r>
        <w:rPr>
          <w:rFonts w:ascii="Avenir Next" w:eastAsia="Avenir Next" w:hAnsi="Avenir Next" w:cs="Avenir Next"/>
          <w:sz w:val="16"/>
          <w:szCs w:val="16"/>
        </w:rPr>
        <w:t xml:space="preserve"> – this assumption was based on </w:t>
      </w:r>
      <w:r>
        <w:rPr>
          <w:rFonts w:ascii="Avenir Next" w:eastAsia="Avenir Next" w:hAnsi="Avenir Next" w:cs="Avenir Next"/>
          <w:spacing w:val="-1"/>
          <w:sz w:val="16"/>
          <w:szCs w:val="16"/>
        </w:rPr>
        <w:t>information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ACTEW</w:t>
      </w:r>
      <w:r>
        <w:rPr>
          <w:rFonts w:ascii="Avenir Next" w:eastAsia="Avenir Next" w:hAnsi="Avenir Next" w:cs="Avenir Next"/>
          <w:spacing w:val="-2"/>
          <w:sz w:val="16"/>
          <w:szCs w:val="16"/>
        </w:rPr>
        <w:t xml:space="preserve"> </w:t>
      </w:r>
      <w:r>
        <w:rPr>
          <w:rFonts w:ascii="Avenir Next" w:eastAsia="Avenir Next" w:hAnsi="Avenir Next" w:cs="Avenir Next"/>
          <w:spacing w:val="-1"/>
          <w:sz w:val="16"/>
          <w:szCs w:val="16"/>
        </w:rPr>
        <w:t>provided</w:t>
      </w:r>
      <w:r>
        <w:rPr>
          <w:rFonts w:ascii="Avenir Next" w:eastAsia="Avenir Next" w:hAnsi="Avenir Next" w:cs="Avenir Next"/>
          <w:sz w:val="16"/>
          <w:szCs w:val="16"/>
        </w:rPr>
        <w:t xml:space="preserve"> on the</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assumed life for outdoor landscaping;</w:t>
      </w:r>
    </w:p>
    <w:p w:rsidR="00D96B91" w:rsidRDefault="00C2656B">
      <w:pPr>
        <w:numPr>
          <w:ilvl w:val="1"/>
          <w:numId w:val="35"/>
        </w:numPr>
        <w:tabs>
          <w:tab w:val="left" w:pos="1985"/>
        </w:tabs>
        <w:spacing w:before="56" w:line="192" w:lineRule="exact"/>
        <w:ind w:right="1462"/>
        <w:rPr>
          <w:rFonts w:ascii="Avenir Next" w:eastAsia="Avenir Next" w:hAnsi="Avenir Next" w:cs="Avenir Next"/>
          <w:sz w:val="16"/>
          <w:szCs w:val="16"/>
        </w:rPr>
      </w:pPr>
      <w:r>
        <w:rPr>
          <w:rFonts w:ascii="Avenir Next" w:eastAsia="Avenir Next" w:hAnsi="Avenir Next" w:cs="Avenir Next"/>
          <w:sz w:val="16"/>
          <w:szCs w:val="16"/>
        </w:rPr>
        <w:t xml:space="preserve">30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for the </w:t>
      </w:r>
      <w:r>
        <w:rPr>
          <w:rFonts w:ascii="Avenir Next" w:eastAsia="Avenir Next" w:hAnsi="Avenir Next" w:cs="Avenir Next"/>
          <w:spacing w:val="-1"/>
          <w:sz w:val="16"/>
          <w:szCs w:val="16"/>
        </w:rPr>
        <w:t>Uriarra</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Package</w:t>
      </w:r>
      <w:r>
        <w:rPr>
          <w:rFonts w:ascii="Avenir Next" w:eastAsia="Avenir Next" w:hAnsi="Avenir Next" w:cs="Avenir Next"/>
          <w:sz w:val="16"/>
          <w:szCs w:val="16"/>
        </w:rPr>
        <w:t xml:space="preserve"> Plant – this assumption was based on advice contained in </w:t>
      </w:r>
      <w:r>
        <w:rPr>
          <w:rFonts w:ascii="Avenir Next" w:eastAsia="Avenir Next" w:hAnsi="Avenir Next" w:cs="Avenir Next"/>
          <w:spacing w:val="-2"/>
          <w:sz w:val="16"/>
          <w:szCs w:val="16"/>
        </w:rPr>
        <w:t>Cardno’s</w:t>
      </w:r>
      <w:r>
        <w:rPr>
          <w:rFonts w:ascii="Avenir Next" w:eastAsia="Avenir Next" w:hAnsi="Avenir Next" w:cs="Avenir Next"/>
          <w:sz w:val="16"/>
          <w:szCs w:val="16"/>
        </w:rPr>
        <w:t xml:space="preserve"> original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to</w:t>
      </w:r>
      <w:r>
        <w:rPr>
          <w:rFonts w:ascii="Avenir Next" w:eastAsia="Avenir Next" w:hAnsi="Avenir Next" w:cs="Avenir Next"/>
          <w:spacing w:val="31"/>
          <w:sz w:val="16"/>
          <w:szCs w:val="16"/>
        </w:rPr>
        <w:t xml:space="preserve"> </w:t>
      </w:r>
      <w:r>
        <w:rPr>
          <w:rFonts w:ascii="Avenir Next" w:eastAsia="Avenir Next" w:hAnsi="Avenir Next" w:cs="Avenir Next"/>
          <w:sz w:val="16"/>
          <w:szCs w:val="16"/>
        </w:rPr>
        <w:t xml:space="preserve">the ICRC on the assumed life for a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plant; and</w:t>
      </w:r>
    </w:p>
    <w:p w:rsidR="00D96B91" w:rsidRDefault="00C2656B">
      <w:pPr>
        <w:numPr>
          <w:ilvl w:val="1"/>
          <w:numId w:val="35"/>
        </w:numPr>
        <w:tabs>
          <w:tab w:val="left" w:pos="1985"/>
        </w:tabs>
        <w:spacing w:before="56" w:line="192" w:lineRule="exact"/>
        <w:ind w:right="1271"/>
        <w:rPr>
          <w:rFonts w:ascii="Avenir Next" w:eastAsia="Avenir Next" w:hAnsi="Avenir Next" w:cs="Avenir Next"/>
          <w:sz w:val="16"/>
          <w:szCs w:val="16"/>
        </w:rPr>
      </w:pPr>
      <w:r>
        <w:rPr>
          <w:rFonts w:ascii="Avenir Next" w:eastAsia="Avenir Next" w:hAnsi="Avenir Next" w:cs="Avenir Next"/>
          <w:sz w:val="16"/>
          <w:szCs w:val="16"/>
        </w:rPr>
        <w:t xml:space="preserve">125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for the </w:t>
      </w:r>
      <w:r>
        <w:rPr>
          <w:rFonts w:ascii="Avenir Next" w:eastAsia="Avenir Next" w:hAnsi="Avenir Next" w:cs="Avenir Next"/>
          <w:spacing w:val="-1"/>
          <w:sz w:val="16"/>
          <w:szCs w:val="16"/>
        </w:rPr>
        <w:t>greenhouse</w:t>
      </w:r>
      <w:r>
        <w:rPr>
          <w:rFonts w:ascii="Avenir Next" w:eastAsia="Avenir Next" w:hAnsi="Avenir Next" w:cs="Avenir Next"/>
          <w:sz w:val="16"/>
          <w:szCs w:val="16"/>
        </w:rPr>
        <w:t xml:space="preserve"> gas </w:t>
      </w:r>
      <w:r>
        <w:rPr>
          <w:rFonts w:ascii="Avenir Next" w:eastAsia="Avenir Next" w:hAnsi="Avenir Next" w:cs="Avenir Next"/>
          <w:spacing w:val="-1"/>
          <w:sz w:val="16"/>
          <w:szCs w:val="16"/>
        </w:rPr>
        <w:t>abatement</w:t>
      </w:r>
      <w:r>
        <w:rPr>
          <w:rFonts w:ascii="Avenir Next" w:eastAsia="Avenir Next" w:hAnsi="Avenir Next" w:cs="Avenir Next"/>
          <w:sz w:val="16"/>
          <w:szCs w:val="16"/>
        </w:rPr>
        <w:t xml:space="preserve"> activities – this assumption was based on the weighted </w:t>
      </w:r>
      <w:r>
        <w:rPr>
          <w:rFonts w:ascii="Avenir Next" w:eastAsia="Avenir Next" w:hAnsi="Avenir Next" w:cs="Avenir Next"/>
          <w:spacing w:val="-1"/>
          <w:sz w:val="16"/>
          <w:szCs w:val="16"/>
        </w:rPr>
        <w:t>average</w:t>
      </w:r>
      <w:r>
        <w:rPr>
          <w:rFonts w:ascii="Avenir Next" w:eastAsia="Avenir Next" w:hAnsi="Avenir Next" w:cs="Avenir Next"/>
          <w:sz w:val="16"/>
          <w:szCs w:val="16"/>
        </w:rPr>
        <w:t xml:space="preserve"> economic</w:t>
      </w:r>
      <w:r>
        <w:rPr>
          <w:rFonts w:ascii="Avenir Next" w:eastAsia="Avenir Next" w:hAnsi="Avenir Next" w:cs="Avenir Next"/>
          <w:spacing w:val="47"/>
          <w:sz w:val="16"/>
          <w:szCs w:val="16"/>
        </w:rPr>
        <w:t xml:space="preserve"> </w:t>
      </w:r>
      <w:r>
        <w:rPr>
          <w:rFonts w:ascii="Avenir Next" w:eastAsia="Avenir Next" w:hAnsi="Avenir Next" w:cs="Avenir Next"/>
          <w:sz w:val="16"/>
          <w:szCs w:val="16"/>
        </w:rPr>
        <w:t>life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ECD and M2G </w:t>
      </w:r>
      <w:r>
        <w:rPr>
          <w:rFonts w:ascii="Avenir Next" w:eastAsia="Avenir Next" w:hAnsi="Avenir Next" w:cs="Avenir Next"/>
          <w:spacing w:val="-1"/>
          <w:sz w:val="16"/>
          <w:szCs w:val="16"/>
        </w:rPr>
        <w:t>projects.</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4"/>
        <w:spacing w:before="9"/>
      </w:pPr>
      <w:bookmarkStart w:id="187" w:name="13._4_Net_revenue_requirement_"/>
      <w:bookmarkStart w:id="188" w:name="_bookmark121"/>
      <w:bookmarkEnd w:id="187"/>
      <w:bookmarkEnd w:id="188"/>
      <w:r>
        <w:rPr>
          <w:color w:val="0778BE"/>
        </w:rPr>
        <w:t>13.</w:t>
      </w:r>
      <w:r>
        <w:rPr>
          <w:color w:val="0778BE"/>
          <w:spacing w:val="-9"/>
        </w:rPr>
        <w:t xml:space="preserve"> </w:t>
      </w:r>
      <w:r>
        <w:rPr>
          <w:color w:val="0778BE"/>
        </w:rPr>
        <w:t>4</w:t>
      </w:r>
      <w:r>
        <w:rPr>
          <w:color w:val="0778BE"/>
          <w:spacing w:val="39"/>
        </w:rPr>
        <w:t xml:space="preserve"> </w:t>
      </w:r>
      <w:r>
        <w:rPr>
          <w:color w:val="0778BE"/>
        </w:rPr>
        <w:t xml:space="preserve">Net </w:t>
      </w:r>
      <w:r>
        <w:rPr>
          <w:color w:val="0778BE"/>
          <w:spacing w:val="-1"/>
        </w:rPr>
        <w:t>revenue</w:t>
      </w:r>
      <w:r>
        <w:rPr>
          <w:color w:val="0778BE"/>
        </w:rPr>
        <w:t xml:space="preserve"> </w:t>
      </w:r>
      <w:r>
        <w:rPr>
          <w:color w:val="0778BE"/>
          <w:spacing w:val="-2"/>
        </w:rPr>
        <w:t>requirement</w:t>
      </w:r>
    </w:p>
    <w:p w:rsidR="00D96B91" w:rsidRDefault="00C2656B">
      <w:pPr>
        <w:pStyle w:val="BodyText"/>
        <w:spacing w:before="55" w:line="260" w:lineRule="exact"/>
        <w:ind w:right="1283"/>
      </w:pPr>
      <w:r>
        <w:rPr>
          <w:spacing w:val="-10"/>
        </w:rPr>
        <w:t>To</w:t>
      </w:r>
      <w:r>
        <w:t xml:space="preserve"> </w:t>
      </w:r>
      <w:r>
        <w:rPr>
          <w:spacing w:val="-1"/>
        </w:rPr>
        <w:t>calculate</w:t>
      </w:r>
      <w:r>
        <w:t xml:space="preserve"> the net </w:t>
      </w:r>
      <w:r>
        <w:rPr>
          <w:spacing w:val="-1"/>
        </w:rPr>
        <w:t>revenue</w:t>
      </w:r>
      <w:r>
        <w:t xml:space="preserve"> </w:t>
      </w:r>
      <w:r>
        <w:rPr>
          <w:spacing w:val="-1"/>
        </w:rPr>
        <w:t>requirement</w:t>
      </w:r>
      <w:r>
        <w:t xml:space="preserve"> for </w:t>
      </w:r>
      <w:r>
        <w:rPr>
          <w:spacing w:val="-1"/>
        </w:rPr>
        <w:t>water</w:t>
      </w:r>
      <w:r>
        <w:t xml:space="preserve"> and </w:t>
      </w:r>
      <w:r>
        <w:rPr>
          <w:spacing w:val="-1"/>
        </w:rPr>
        <w:t>sewerage</w:t>
      </w:r>
      <w:r>
        <w:t xml:space="preserve"> services,</w:t>
      </w:r>
      <w:r>
        <w:rPr>
          <w:spacing w:val="-7"/>
        </w:rPr>
        <w:t xml:space="preserve"> </w:t>
      </w:r>
      <w:r>
        <w:t xml:space="preserve">the </w:t>
      </w:r>
      <w:r>
        <w:rPr>
          <w:spacing w:val="-3"/>
        </w:rPr>
        <w:t>Panel</w:t>
      </w:r>
      <w:r>
        <w:t xml:space="preserve"> deducted the</w:t>
      </w:r>
      <w:r>
        <w:rPr>
          <w:spacing w:val="47"/>
        </w:rPr>
        <w:t xml:space="preserve"> </w:t>
      </w:r>
      <w:r>
        <w:t>amounts set out in</w:t>
      </w:r>
      <w:r>
        <w:rPr>
          <w:spacing w:val="-5"/>
        </w:rPr>
        <w:t xml:space="preserve"> </w:t>
      </w:r>
      <w:hyperlink w:anchor="_bookmark120" w:history="1">
        <w:r>
          <w:rPr>
            <w:spacing w:val="-4"/>
          </w:rPr>
          <w:t>Table</w:t>
        </w:r>
        <w:r>
          <w:t xml:space="preserve"> 13.4</w:t>
        </w:r>
      </w:hyperlink>
      <w:r>
        <w:t xml:space="preserve"> </w:t>
      </w:r>
      <w:r>
        <w:rPr>
          <w:spacing w:val="-1"/>
        </w:rPr>
        <w:t>from</w:t>
      </w:r>
      <w:r>
        <w:t xml:space="preserve"> the total </w:t>
      </w:r>
      <w:r>
        <w:rPr>
          <w:spacing w:val="-1"/>
        </w:rPr>
        <w:t>revenue</w:t>
      </w:r>
      <w:r>
        <w:t xml:space="preserve"> </w:t>
      </w:r>
      <w:r>
        <w:rPr>
          <w:spacing w:val="-1"/>
        </w:rPr>
        <w:t>requirements</w:t>
      </w:r>
      <w:r>
        <w:t xml:space="preserve"> in</w:t>
      </w:r>
      <w:r>
        <w:rPr>
          <w:spacing w:val="-5"/>
        </w:rPr>
        <w:t xml:space="preserve"> </w:t>
      </w:r>
      <w:hyperlink w:anchor="_bookmark114" w:history="1">
        <w:r>
          <w:rPr>
            <w:spacing w:val="-4"/>
          </w:rPr>
          <w:t>Table</w:t>
        </w:r>
        <w:r>
          <w:t xml:space="preserve"> 13.2</w:t>
        </w:r>
      </w:hyperlink>
      <w:r>
        <w:t xml:space="preserve"> and</w:t>
      </w:r>
      <w:r>
        <w:rPr>
          <w:spacing w:val="-5"/>
        </w:rPr>
        <w:t xml:space="preserve"> </w:t>
      </w:r>
      <w:hyperlink w:anchor="_bookmark115" w:history="1">
        <w:r>
          <w:rPr>
            <w:spacing w:val="-4"/>
          </w:rPr>
          <w:t>Table</w:t>
        </w:r>
        <w:r>
          <w:t xml:space="preserve"> 13.3</w:t>
        </w:r>
      </w:hyperlink>
      <w:r>
        <w:t>.</w:t>
      </w:r>
      <w:r>
        <w:rPr>
          <w:spacing w:val="-11"/>
        </w:rPr>
        <w:t xml:space="preserve"> </w:t>
      </w:r>
      <w:r>
        <w:rPr>
          <w:spacing w:val="-1"/>
        </w:rPr>
        <w:t>These</w:t>
      </w:r>
      <w:r>
        <w:rPr>
          <w:spacing w:val="29"/>
        </w:rPr>
        <w:t xml:space="preserve"> </w:t>
      </w:r>
      <w:r>
        <w:rPr>
          <w:spacing w:val="-1"/>
        </w:rPr>
        <w:t>calculations</w:t>
      </w:r>
      <w:r>
        <w:t xml:space="preserve"> </w:t>
      </w:r>
      <w:r>
        <w:rPr>
          <w:spacing w:val="-2"/>
        </w:rPr>
        <w:t>are</w:t>
      </w:r>
      <w:r>
        <w:t xml:space="preserve"> shown in</w:t>
      </w:r>
      <w:r>
        <w:rPr>
          <w:spacing w:val="-5"/>
        </w:rPr>
        <w:t xml:space="preserve"> </w:t>
      </w:r>
      <w:hyperlink w:anchor="_bookmark122" w:history="1">
        <w:r>
          <w:rPr>
            <w:spacing w:val="-4"/>
          </w:rPr>
          <w:t>Table</w:t>
        </w:r>
        <w:r>
          <w:t xml:space="preserve"> 13.5</w:t>
        </w:r>
      </w:hyperlink>
      <w:r>
        <w:t>.</w:t>
      </w:r>
    </w:p>
    <w:p w:rsidR="00D96B91" w:rsidRDefault="00D96B91">
      <w:pPr>
        <w:spacing w:before="158"/>
        <w:ind w:left="1247"/>
        <w:rPr>
          <w:rFonts w:ascii="Avenir Next" w:eastAsia="Avenir Next" w:hAnsi="Avenir Next" w:cs="Avenir Next"/>
          <w:sz w:val="20"/>
          <w:szCs w:val="20"/>
        </w:rPr>
      </w:pPr>
      <w:r w:rsidRPr="00D96B91">
        <w:pict>
          <v:group id="_x0000_s1823" style="position:absolute;left:0;text-align:left;margin-left:266.8pt;margin-top:25.25pt;width:.1pt;height:19.85pt;z-index:-251727360;mso-position-horizontal-relative:page" coordorigin="5336,505" coordsize="2,397">
            <v:shape id="_x0000_s1824" style="position:absolute;left:5336;top:505;width:2;height:397" coordorigin="5336,505" coordsize="0,397" path="m5336,902r,-397e" filled="f" strokecolor="#1a9eda" strokeweight=".5pt">
              <v:path arrowok="t"/>
            </v:shape>
            <w10:wrap anchorx="page"/>
          </v:group>
        </w:pict>
      </w:r>
      <w:r w:rsidRPr="00D96B91">
        <w:pict>
          <v:group id="_x0000_s1821" style="position:absolute;left:0;text-align:left;margin-left:320.15pt;margin-top:25.25pt;width:.1pt;height:19.85pt;z-index:-251726336;mso-position-horizontal-relative:page" coordorigin="6403,505" coordsize="2,397">
            <v:shape id="_x0000_s1822" style="position:absolute;left:6403;top:505;width:2;height:397" coordorigin="6403,505" coordsize="0,397" path="m6403,902r,-397e" filled="f" strokecolor="#1a9eda" strokeweight=".5pt">
              <v:path arrowok="t"/>
            </v:shape>
            <w10:wrap anchorx="page"/>
          </v:group>
        </w:pict>
      </w:r>
      <w:r w:rsidRPr="00D96B91">
        <w:pict>
          <v:group id="_x0000_s1819" style="position:absolute;left:0;text-align:left;margin-left:373.5pt;margin-top:25.25pt;width:.1pt;height:19.85pt;z-index:-251725312;mso-position-horizontal-relative:page" coordorigin="7470,505" coordsize="2,397">
            <v:shape id="_x0000_s1820" style="position:absolute;left:7470;top:505;width:2;height:397" coordorigin="7470,505" coordsize="0,397" path="m7470,902r,-397e" filled="f" strokecolor="#1a9eda" strokeweight=".5pt">
              <v:path arrowok="t"/>
            </v:shape>
            <w10:wrap anchorx="page"/>
          </v:group>
        </w:pict>
      </w:r>
      <w:r w:rsidRPr="00D96B91">
        <w:pict>
          <v:group id="_x0000_s1817" style="position:absolute;left:0;text-align:left;margin-left:426.85pt;margin-top:25.25pt;width:.1pt;height:19.85pt;z-index:-251724288;mso-position-horizontal-relative:page" coordorigin="8537,505" coordsize="2,397">
            <v:shape id="_x0000_s1818" style="position:absolute;left:8537;top:505;width:2;height:397" coordorigin="8537,505" coordsize="0,397" path="m8537,902r,-397e" filled="f" strokecolor="#1a9eda" strokeweight=".5pt">
              <v:path arrowok="t"/>
            </v:shape>
            <w10:wrap anchorx="page"/>
          </v:group>
        </w:pict>
      </w:r>
      <w:r w:rsidRPr="00D96B91">
        <w:pict>
          <v:group id="_x0000_s1815" style="position:absolute;left:0;text-align:left;margin-left:480.2pt;margin-top:25.25pt;width:.1pt;height:19.85pt;z-index:-251723264;mso-position-horizontal-relative:page" coordorigin="9604,505" coordsize="2,397">
            <v:shape id="_x0000_s1816" style="position:absolute;left:9604;top:505;width:2;height:397" coordorigin="9604,505" coordsize="0,397" path="m9604,902r,-397e" filled="f" strokecolor="#1a9eda" strokeweight=".5pt">
              <v:path arrowok="t"/>
            </v:shape>
            <w10:wrap anchorx="page"/>
          </v:group>
        </w:pict>
      </w:r>
      <w:bookmarkStart w:id="189" w:name="_bookmark122"/>
      <w:bookmarkEnd w:id="189"/>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13.5: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 – Net </w:t>
      </w:r>
      <w:r w:rsidR="00C2656B">
        <w:rPr>
          <w:rFonts w:ascii="Avenir Next" w:eastAsia="Avenir Next" w:hAnsi="Avenir Next" w:cs="Avenir Next"/>
          <w:b/>
          <w:bCs/>
          <w:spacing w:val="-1"/>
          <w:sz w:val="20"/>
          <w:szCs w:val="20"/>
        </w:rPr>
        <w:t>revenue</w:t>
      </w:r>
      <w:r w:rsidR="00C2656B">
        <w:rPr>
          <w:rFonts w:ascii="Avenir Next" w:eastAsia="Avenir Next" w:hAnsi="Avenir Next" w:cs="Avenir Next"/>
          <w:b/>
          <w:bCs/>
          <w:sz w:val="20"/>
          <w:szCs w:val="20"/>
        </w:rPr>
        <w:t xml:space="preserve"> </w:t>
      </w:r>
      <w:r w:rsidR="00C2656B">
        <w:rPr>
          <w:rFonts w:ascii="Avenir Next" w:eastAsia="Avenir Next" w:hAnsi="Avenir Next" w:cs="Avenir Next"/>
          <w:b/>
          <w:bCs/>
          <w:spacing w:val="-1"/>
          <w:sz w:val="20"/>
          <w:szCs w:val="20"/>
        </w:rPr>
        <w:t>requirement</w:t>
      </w:r>
      <w:r w:rsidR="00C2656B">
        <w:rPr>
          <w:rFonts w:ascii="Avenir Next" w:eastAsia="Avenir Next" w:hAnsi="Avenir Next" w:cs="Avenir Next"/>
          <w:b/>
          <w:bCs/>
          <w:sz w:val="20"/>
          <w:szCs w:val="20"/>
        </w:rPr>
        <w:t xml:space="preserve"> ($m,</w:t>
      </w:r>
      <w:r w:rsidR="00C2656B">
        <w:rPr>
          <w:rFonts w:ascii="Avenir Next" w:eastAsia="Avenir Next" w:hAnsi="Avenir Next" w:cs="Avenir Next"/>
          <w:b/>
          <w:bCs/>
          <w:spacing w:val="-6"/>
          <w:sz w:val="20"/>
          <w:szCs w:val="20"/>
        </w:rPr>
        <w:t xml:space="preserve"> </w:t>
      </w:r>
      <w:r w:rsidR="00C2656B">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4084"/>
        <w:gridCol w:w="1067"/>
        <w:gridCol w:w="1067"/>
        <w:gridCol w:w="1067"/>
        <w:gridCol w:w="1067"/>
        <w:gridCol w:w="1067"/>
      </w:tblGrid>
      <w:tr w:rsidR="00D96B91">
        <w:trPr>
          <w:trHeight w:hRule="exact" w:val="407"/>
        </w:trPr>
        <w:tc>
          <w:tcPr>
            <w:tcW w:w="4084"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067"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42"/>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67"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42"/>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67"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42"/>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067"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42"/>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067" w:type="dxa"/>
            <w:tcBorders>
              <w:top w:val="single" w:sz="4" w:space="0" w:color="1A9EDA"/>
              <w:left w:val="nil"/>
              <w:bottom w:val="single" w:sz="4" w:space="0" w:color="1A9EDA"/>
              <w:right w:val="single" w:sz="4" w:space="0" w:color="1A9EDA"/>
            </w:tcBorders>
            <w:shd w:val="clear" w:color="auto" w:fill="0778BE"/>
          </w:tcPr>
          <w:p w:rsidR="00D96B91" w:rsidRDefault="00C2656B">
            <w:pPr>
              <w:pStyle w:val="TableParagraph"/>
              <w:spacing w:before="108"/>
              <w:ind w:left="242"/>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9419"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40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Total</w:t>
            </w:r>
            <w:r>
              <w:rPr>
                <w:rFonts w:ascii="Avenir Next Condensed"/>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181.68</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191.96</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196.29</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201.05</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207.56</w:t>
            </w:r>
          </w:p>
        </w:tc>
      </w:tr>
      <w:tr w:rsidR="00D96B91">
        <w:trPr>
          <w:trHeight w:hRule="exact" w:val="417"/>
        </w:trPr>
        <w:tc>
          <w:tcPr>
            <w:tcW w:w="408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i/>
                <w:spacing w:val="-2"/>
                <w:sz w:val="18"/>
              </w:rPr>
              <w:t>Less</w:t>
            </w:r>
            <w:r>
              <w:rPr>
                <w:rFonts w:ascii="Avenir Next Condensed"/>
                <w:i/>
                <w:sz w:val="18"/>
              </w:rPr>
              <w:t xml:space="preserve"> </w:t>
            </w:r>
            <w:r>
              <w:rPr>
                <w:rFonts w:ascii="Avenir Next Condensed"/>
                <w:sz w:val="18"/>
              </w:rPr>
              <w:t xml:space="preserve">other income and </w:t>
            </w: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CSO</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4"/>
              <w:rPr>
                <w:rFonts w:ascii="Avenir Next Condensed" w:eastAsia="Avenir Next Condensed" w:hAnsi="Avenir Next Condensed" w:cs="Avenir Next Condensed"/>
                <w:sz w:val="18"/>
                <w:szCs w:val="18"/>
              </w:rPr>
            </w:pPr>
            <w:r>
              <w:rPr>
                <w:rFonts w:ascii="Avenir Next Condensed"/>
                <w:sz w:val="18"/>
              </w:rPr>
              <w:t>16.22</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4"/>
              <w:rPr>
                <w:rFonts w:ascii="Avenir Next Condensed" w:eastAsia="Avenir Next Condensed" w:hAnsi="Avenir Next Condensed" w:cs="Avenir Next Condensed"/>
                <w:sz w:val="18"/>
                <w:szCs w:val="18"/>
              </w:rPr>
            </w:pPr>
            <w:r>
              <w:rPr>
                <w:rFonts w:ascii="Avenir Next Condensed"/>
                <w:sz w:val="18"/>
              </w:rPr>
              <w:t>16.55</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4"/>
              <w:rPr>
                <w:rFonts w:ascii="Avenir Next Condensed" w:eastAsia="Avenir Next Condensed" w:hAnsi="Avenir Next Condensed" w:cs="Avenir Next Condensed"/>
                <w:sz w:val="18"/>
                <w:szCs w:val="18"/>
              </w:rPr>
            </w:pPr>
            <w:r>
              <w:rPr>
                <w:rFonts w:ascii="Avenir Next Condensed"/>
                <w:sz w:val="18"/>
              </w:rPr>
              <w:t>16.90</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17.25</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17.61</w:t>
            </w:r>
          </w:p>
        </w:tc>
      </w:tr>
      <w:tr w:rsidR="00D96B91">
        <w:trPr>
          <w:trHeight w:hRule="exact" w:val="407"/>
        </w:trPr>
        <w:tc>
          <w:tcPr>
            <w:tcW w:w="408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z w:val="18"/>
              </w:rPr>
              <w:t xml:space="preserve">Net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165.46</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175.41</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179.39</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183.80</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189.95</w:t>
            </w:r>
          </w:p>
        </w:tc>
      </w:tr>
      <w:tr w:rsidR="00D96B91">
        <w:trPr>
          <w:trHeight w:hRule="exact" w:val="397"/>
        </w:trPr>
        <w:tc>
          <w:tcPr>
            <w:tcW w:w="9419" w:type="dxa"/>
            <w:gridSpan w:val="6"/>
            <w:tcBorders>
              <w:top w:val="single" w:sz="12"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98"/>
              <w:ind w:left="1"/>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40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2"/>
                <w:sz w:val="18"/>
              </w:rPr>
              <w:t>Total</w:t>
            </w:r>
            <w:r>
              <w:rPr>
                <w:rFonts w:ascii="Avenir Next Condensed"/>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120.22</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125.14</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131.34</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141.35</w:t>
            </w:r>
          </w:p>
        </w:tc>
        <w:tc>
          <w:tcPr>
            <w:tcW w:w="10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0"/>
              <w:rPr>
                <w:rFonts w:ascii="Avenir Next Condensed" w:eastAsia="Avenir Next Condensed" w:hAnsi="Avenir Next Condensed" w:cs="Avenir Next Condensed"/>
                <w:sz w:val="18"/>
                <w:szCs w:val="18"/>
              </w:rPr>
            </w:pPr>
            <w:r>
              <w:rPr>
                <w:rFonts w:ascii="Avenir Next Condensed"/>
                <w:sz w:val="18"/>
              </w:rPr>
              <w:t>152.18</w:t>
            </w:r>
          </w:p>
        </w:tc>
      </w:tr>
      <w:tr w:rsidR="00D96B91">
        <w:trPr>
          <w:trHeight w:hRule="exact" w:val="417"/>
        </w:trPr>
        <w:tc>
          <w:tcPr>
            <w:tcW w:w="408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i/>
                <w:spacing w:val="-2"/>
                <w:sz w:val="18"/>
              </w:rPr>
              <w:t>Less</w:t>
            </w:r>
            <w:r>
              <w:rPr>
                <w:rFonts w:ascii="Avenir Next Condensed"/>
                <w:i/>
                <w:sz w:val="18"/>
              </w:rPr>
              <w:t xml:space="preserve"> </w:t>
            </w:r>
            <w:r>
              <w:rPr>
                <w:rFonts w:ascii="Avenir Next Condensed"/>
                <w:sz w:val="18"/>
              </w:rPr>
              <w:t xml:space="preserve">other income and </w:t>
            </w:r>
            <w:r>
              <w:rPr>
                <w:rFonts w:ascii="Avenir Next Condensed"/>
                <w:spacing w:val="-1"/>
                <w:sz w:val="18"/>
              </w:rPr>
              <w:t>expenditure</w:t>
            </w:r>
            <w:r>
              <w:rPr>
                <w:rFonts w:ascii="Avenir Next Condensed"/>
                <w:sz w:val="18"/>
              </w:rPr>
              <w:t xml:space="preserve"> </w:t>
            </w:r>
            <w:r>
              <w:rPr>
                <w:rFonts w:ascii="Avenir Next Condensed"/>
                <w:spacing w:val="-1"/>
                <w:sz w:val="18"/>
              </w:rPr>
              <w:t>treated</w:t>
            </w:r>
            <w:r>
              <w:rPr>
                <w:rFonts w:ascii="Avenir Next Condensed"/>
                <w:sz w:val="18"/>
              </w:rPr>
              <w:t xml:space="preserve"> as CSO</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10.94</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11.21</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11.48</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11.76</w:t>
            </w:r>
          </w:p>
        </w:tc>
        <w:tc>
          <w:tcPr>
            <w:tcW w:w="106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5"/>
              <w:rPr>
                <w:rFonts w:ascii="Avenir Next Condensed" w:eastAsia="Avenir Next Condensed" w:hAnsi="Avenir Next Condensed" w:cs="Avenir Next Condensed"/>
                <w:sz w:val="18"/>
                <w:szCs w:val="18"/>
              </w:rPr>
            </w:pPr>
            <w:r>
              <w:rPr>
                <w:rFonts w:ascii="Avenir Next Condensed"/>
                <w:sz w:val="18"/>
              </w:rPr>
              <w:t>12.05</w:t>
            </w:r>
          </w:p>
        </w:tc>
      </w:tr>
      <w:tr w:rsidR="00D96B91">
        <w:trPr>
          <w:trHeight w:hRule="exact" w:val="407"/>
        </w:trPr>
        <w:tc>
          <w:tcPr>
            <w:tcW w:w="408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9"/>
              <w:rPr>
                <w:rFonts w:ascii="Avenir Next Condensed" w:eastAsia="Avenir Next Condensed" w:hAnsi="Avenir Next Condensed" w:cs="Avenir Next Condensed"/>
                <w:sz w:val="18"/>
                <w:szCs w:val="18"/>
              </w:rPr>
            </w:pPr>
            <w:r>
              <w:rPr>
                <w:rFonts w:ascii="Avenir Next Condensed"/>
                <w:b/>
                <w:sz w:val="18"/>
              </w:rPr>
              <w:t xml:space="preserve">Net </w:t>
            </w:r>
            <w:r>
              <w:rPr>
                <w:rFonts w:ascii="Avenir Next Condensed"/>
                <w:b/>
                <w:spacing w:val="-1"/>
                <w:sz w:val="18"/>
              </w:rPr>
              <w:t>revenue</w:t>
            </w:r>
            <w:r>
              <w:rPr>
                <w:rFonts w:ascii="Avenir Next Condensed"/>
                <w:b/>
                <w:sz w:val="18"/>
              </w:rPr>
              <w:t xml:space="preserve"> </w:t>
            </w:r>
            <w:r>
              <w:rPr>
                <w:rFonts w:ascii="Avenir Next Condensed"/>
                <w:b/>
                <w:spacing w:val="-1"/>
                <w:sz w:val="18"/>
              </w:rPr>
              <w:t>requirement</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8"/>
              <w:rPr>
                <w:rFonts w:ascii="Avenir Next Condensed" w:eastAsia="Avenir Next Condensed" w:hAnsi="Avenir Next Condensed" w:cs="Avenir Next Condensed"/>
                <w:sz w:val="18"/>
                <w:szCs w:val="18"/>
              </w:rPr>
            </w:pPr>
            <w:r>
              <w:rPr>
                <w:rFonts w:ascii="Avenir Next Condensed"/>
                <w:b/>
                <w:sz w:val="18"/>
              </w:rPr>
              <w:t>109.27</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9"/>
              <w:rPr>
                <w:rFonts w:ascii="Avenir Next Condensed" w:eastAsia="Avenir Next Condensed" w:hAnsi="Avenir Next Condensed" w:cs="Avenir Next Condensed"/>
                <w:sz w:val="18"/>
                <w:szCs w:val="18"/>
              </w:rPr>
            </w:pPr>
            <w:r>
              <w:rPr>
                <w:rFonts w:ascii="Avenir Next Condensed"/>
                <w:b/>
                <w:sz w:val="18"/>
              </w:rPr>
              <w:t>113.93</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9"/>
              <w:rPr>
                <w:rFonts w:ascii="Avenir Next Condensed" w:eastAsia="Avenir Next Condensed" w:hAnsi="Avenir Next Condensed" w:cs="Avenir Next Condensed"/>
                <w:sz w:val="18"/>
                <w:szCs w:val="18"/>
              </w:rPr>
            </w:pPr>
            <w:r>
              <w:rPr>
                <w:rFonts w:ascii="Avenir Next Condensed"/>
                <w:b/>
                <w:sz w:val="18"/>
              </w:rPr>
              <w:t>119.86</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9"/>
              <w:rPr>
                <w:rFonts w:ascii="Avenir Next Condensed" w:eastAsia="Avenir Next Condensed" w:hAnsi="Avenir Next Condensed" w:cs="Avenir Next Condensed"/>
                <w:sz w:val="18"/>
                <w:szCs w:val="18"/>
              </w:rPr>
            </w:pPr>
            <w:r>
              <w:rPr>
                <w:rFonts w:ascii="Avenir Next Condensed"/>
                <w:b/>
                <w:sz w:val="18"/>
              </w:rPr>
              <w:t>129.58</w:t>
            </w:r>
          </w:p>
        </w:tc>
        <w:tc>
          <w:tcPr>
            <w:tcW w:w="106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29"/>
              <w:rPr>
                <w:rFonts w:ascii="Avenir Next Condensed" w:eastAsia="Avenir Next Condensed" w:hAnsi="Avenir Next Condensed" w:cs="Avenir Next Condensed"/>
                <w:sz w:val="18"/>
                <w:szCs w:val="18"/>
              </w:rPr>
            </w:pPr>
            <w:r>
              <w:rPr>
                <w:rFonts w:ascii="Avenir Next Condensed"/>
                <w:b/>
                <w:sz w:val="18"/>
              </w:rPr>
              <w:t>140.13</w:t>
            </w:r>
          </w:p>
        </w:tc>
      </w:tr>
    </w:tbl>
    <w:p w:rsidR="00D96B91" w:rsidRDefault="00D96B91">
      <w:pPr>
        <w:spacing w:before="13"/>
        <w:rPr>
          <w:rFonts w:ascii="Avenir Next" w:eastAsia="Avenir Next" w:hAnsi="Avenir Next" w:cs="Avenir Next"/>
          <w:b/>
          <w:bCs/>
          <w:sz w:val="18"/>
          <w:szCs w:val="18"/>
        </w:rPr>
      </w:pPr>
    </w:p>
    <w:p w:rsidR="00D96B91" w:rsidRDefault="00C2656B">
      <w:pPr>
        <w:pStyle w:val="BodyText"/>
        <w:spacing w:before="38" w:line="260" w:lineRule="exact"/>
        <w:ind w:right="1548"/>
      </w:pPr>
      <w:r>
        <w:rPr>
          <w:spacing w:val="-2"/>
        </w:rPr>
        <w:t>The</w:t>
      </w:r>
      <w:r>
        <w:rPr>
          <w:spacing w:val="-1"/>
        </w:rPr>
        <w:t xml:space="preserve"> differences</w:t>
      </w:r>
      <w:r>
        <w:t xml:space="preserve"> between the</w:t>
      </w:r>
      <w:r>
        <w:rPr>
          <w:spacing w:val="-1"/>
        </w:rPr>
        <w:t xml:space="preserve"> </w:t>
      </w:r>
      <w:r>
        <w:rPr>
          <w:spacing w:val="-4"/>
        </w:rPr>
        <w:t>Panel’s</w:t>
      </w:r>
      <w:r>
        <w:t xml:space="preserve"> </w:t>
      </w:r>
      <w:r>
        <w:rPr>
          <w:spacing w:val="-2"/>
        </w:rPr>
        <w:t>draft</w:t>
      </w:r>
      <w:r>
        <w:t xml:space="preserve"> decision on</w:t>
      </w:r>
      <w:r>
        <w:rPr>
          <w:spacing w:val="-1"/>
        </w:rPr>
        <w:t xml:space="preserve"> </w:t>
      </w:r>
      <w:r>
        <w:t xml:space="preserve">the net </w:t>
      </w:r>
      <w:r>
        <w:rPr>
          <w:spacing w:val="-1"/>
        </w:rPr>
        <w:t>revenue requirement,</w:t>
      </w:r>
      <w:r>
        <w:rPr>
          <w:spacing w:val="-6"/>
        </w:rPr>
        <w:t xml:space="preserve"> </w:t>
      </w:r>
      <w:r>
        <w:t xml:space="preserve">the </w:t>
      </w:r>
      <w:r>
        <w:rPr>
          <w:spacing w:val="-2"/>
        </w:rPr>
        <w:t>ICRC’s</w:t>
      </w:r>
      <w:r>
        <w:t xml:space="preserve"> final</w:t>
      </w:r>
      <w:r>
        <w:rPr>
          <w:spacing w:val="47"/>
          <w:w w:val="99"/>
        </w:rPr>
        <w:t xml:space="preserve"> </w:t>
      </w:r>
      <w:r>
        <w:t>decision and</w:t>
      </w:r>
      <w:r>
        <w:rPr>
          <w:spacing w:val="-4"/>
        </w:rPr>
        <w:t xml:space="preserve"> </w:t>
      </w:r>
      <w:r>
        <w:rPr>
          <w:spacing w:val="-2"/>
        </w:rPr>
        <w:t>ACTEW’s</w:t>
      </w:r>
      <w:r>
        <w:t xml:space="preserve"> SOFC </w:t>
      </w:r>
      <w:r>
        <w:rPr>
          <w:spacing w:val="-1"/>
        </w:rPr>
        <w:t>proposal</w:t>
      </w:r>
      <w:r>
        <w:t xml:space="preserve"> </w:t>
      </w:r>
      <w:r>
        <w:rPr>
          <w:spacing w:val="-2"/>
        </w:rPr>
        <w:t>are</w:t>
      </w:r>
      <w:r>
        <w:t xml:space="preserve"> shown in</w:t>
      </w:r>
      <w:r>
        <w:rPr>
          <w:spacing w:val="-5"/>
        </w:rPr>
        <w:t xml:space="preserve"> </w:t>
      </w:r>
      <w:hyperlink w:anchor="_bookmark123" w:history="1">
        <w:r>
          <w:rPr>
            <w:spacing w:val="-4"/>
          </w:rPr>
          <w:t>Table</w:t>
        </w:r>
        <w:r>
          <w:t xml:space="preserve"> 13.6</w:t>
        </w:r>
      </w:hyperlink>
      <w:r>
        <w:t>.</w:t>
      </w:r>
    </w:p>
    <w:p w:rsidR="00D96B91" w:rsidRDefault="00D96B91">
      <w:pPr>
        <w:spacing w:before="166" w:line="240" w:lineRule="exact"/>
        <w:ind w:left="1247" w:right="1548"/>
        <w:rPr>
          <w:rFonts w:ascii="Avenir Next" w:eastAsia="Avenir Next" w:hAnsi="Avenir Next" w:cs="Avenir Next"/>
          <w:sz w:val="20"/>
          <w:szCs w:val="20"/>
        </w:rPr>
      </w:pPr>
      <w:r w:rsidRPr="00D96B91">
        <w:pict>
          <v:group id="_x0000_s1813" style="position:absolute;left:0;text-align:left;margin-left:282.05pt;margin-top:37.25pt;width:.1pt;height:19.85pt;z-index:-251722240;mso-position-horizontal-relative:page" coordorigin="5641,745" coordsize="2,397">
            <v:shape id="_x0000_s1814" style="position:absolute;left:5641;top:745;width:2;height:397" coordorigin="5641,745" coordsize="0,397" path="m5641,1142r,-397e" filled="f" strokecolor="#1a9eda" strokeweight=".5pt">
              <v:path arrowok="t"/>
            </v:shape>
            <w10:wrap anchorx="page"/>
          </v:group>
        </w:pict>
      </w:r>
      <w:r w:rsidRPr="00D96B91">
        <w:pict>
          <v:group id="_x0000_s1811" style="position:absolute;left:0;text-align:left;margin-left:332.15pt;margin-top:37.25pt;width:.1pt;height:19.85pt;z-index:-251721216;mso-position-horizontal-relative:page" coordorigin="6643,745" coordsize="2,397">
            <v:shape id="_x0000_s1812" style="position:absolute;left:6643;top:745;width:2;height:397" coordorigin="6643,745" coordsize="0,397" path="m6643,1142r,-397e" filled="f" strokecolor="#1a9eda" strokeweight=".5pt">
              <v:path arrowok="t"/>
            </v:shape>
            <w10:wrap anchorx="page"/>
          </v:group>
        </w:pict>
      </w:r>
      <w:r w:rsidRPr="00D96B91">
        <w:pict>
          <v:group id="_x0000_s1809" style="position:absolute;left:0;text-align:left;margin-left:382.3pt;margin-top:37.25pt;width:.1pt;height:19.85pt;z-index:-251720192;mso-position-horizontal-relative:page" coordorigin="7646,745" coordsize="2,397">
            <v:shape id="_x0000_s1810" style="position:absolute;left:7646;top:745;width:2;height:397" coordorigin="7646,745" coordsize="0,397" path="m7646,1142r,-397e" filled="f" strokecolor="#1a9eda" strokeweight=".5pt">
              <v:path arrowok="t"/>
            </v:shape>
            <w10:wrap anchorx="page"/>
          </v:group>
        </w:pict>
      </w:r>
      <w:r w:rsidRPr="00D96B91">
        <w:pict>
          <v:group id="_x0000_s1807" style="position:absolute;left:0;text-align:left;margin-left:432.4pt;margin-top:37.25pt;width:.1pt;height:19.85pt;z-index:-251719168;mso-position-horizontal-relative:page" coordorigin="8648,745" coordsize="2,397">
            <v:shape id="_x0000_s1808" style="position:absolute;left:8648;top:745;width:2;height:397" coordorigin="8648,745" coordsize="0,397" path="m8648,1142r,-397e" filled="f" strokecolor="#1a9eda" strokeweight=".5pt">
              <v:path arrowok="t"/>
            </v:shape>
            <w10:wrap anchorx="page"/>
          </v:group>
        </w:pict>
      </w:r>
      <w:r w:rsidRPr="00D96B91">
        <w:pict>
          <v:group id="_x0000_s1805" style="position:absolute;left:0;text-align:left;margin-left:482.55pt;margin-top:37.25pt;width:.1pt;height:19.85pt;z-index:-251718144;mso-position-horizontal-relative:page" coordorigin="9651,745" coordsize="2,397">
            <v:shape id="_x0000_s1806" style="position:absolute;left:9651;top:745;width:2;height:397" coordorigin="9651,745" coordsize="0,397" path="m9651,1142r,-397e" filled="f" strokecolor="#1a9eda" strokeweight=".5pt">
              <v:path arrowok="t"/>
            </v:shape>
            <w10:wrap anchorx="page"/>
          </v:group>
        </w:pict>
      </w:r>
      <w:bookmarkStart w:id="190" w:name="_bookmark123"/>
      <w:bookmarkEnd w:id="190"/>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13.6: </w:t>
      </w:r>
      <w:r w:rsidR="00C2656B">
        <w:rPr>
          <w:rFonts w:ascii="Avenir Next" w:eastAsia="Avenir Next" w:hAnsi="Avenir Next" w:cs="Avenir Next"/>
          <w:b/>
          <w:bCs/>
          <w:spacing w:val="-1"/>
          <w:sz w:val="20"/>
          <w:szCs w:val="20"/>
        </w:rPr>
        <w:t>Difference</w:t>
      </w:r>
      <w:r w:rsidR="00C2656B">
        <w:rPr>
          <w:rFonts w:ascii="Avenir Next" w:eastAsia="Avenir Next" w:hAnsi="Avenir Next" w:cs="Avenir Next"/>
          <w:b/>
          <w:bCs/>
          <w:sz w:val="20"/>
          <w:szCs w:val="20"/>
        </w:rPr>
        <w:t xml:space="preserve"> between the </w:t>
      </w:r>
      <w:r w:rsidR="00C2656B">
        <w:rPr>
          <w:rFonts w:ascii="Avenir Next" w:eastAsia="Avenir Next" w:hAnsi="Avenir Next" w:cs="Avenir Next"/>
          <w:b/>
          <w:bCs/>
          <w:spacing w:val="-4"/>
          <w:sz w:val="20"/>
          <w:szCs w:val="20"/>
        </w:rPr>
        <w:t>Panel’s</w:t>
      </w:r>
      <w:r w:rsidR="00C2656B">
        <w:rPr>
          <w:rFonts w:ascii="Avenir Next" w:eastAsia="Avenir Next" w:hAnsi="Avenir Next" w:cs="Avenir Next"/>
          <w:b/>
          <w:bCs/>
          <w:sz w:val="20"/>
          <w:szCs w:val="20"/>
        </w:rPr>
        <w:t xml:space="preserve">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w:t>
      </w:r>
      <w:r w:rsidR="00C2656B">
        <w:rPr>
          <w:rFonts w:ascii="Avenir Next" w:eastAsia="Avenir Next" w:hAnsi="Avenir Next" w:cs="Avenir Next"/>
          <w:b/>
          <w:bCs/>
          <w:spacing w:val="-6"/>
          <w:sz w:val="20"/>
          <w:szCs w:val="20"/>
        </w:rPr>
        <w:t xml:space="preserve"> </w:t>
      </w:r>
      <w:r w:rsidR="00C2656B">
        <w:rPr>
          <w:rFonts w:ascii="Avenir Next" w:eastAsia="Avenir Next" w:hAnsi="Avenir Next" w:cs="Avenir Next"/>
          <w:b/>
          <w:bCs/>
          <w:sz w:val="20"/>
          <w:szCs w:val="20"/>
        </w:rPr>
        <w:t xml:space="preserve">the </w:t>
      </w:r>
      <w:r w:rsidR="00C2656B">
        <w:rPr>
          <w:rFonts w:ascii="Avenir Next" w:eastAsia="Avenir Next" w:hAnsi="Avenir Next" w:cs="Avenir Next"/>
          <w:b/>
          <w:bCs/>
          <w:spacing w:val="-2"/>
          <w:sz w:val="20"/>
          <w:szCs w:val="20"/>
        </w:rPr>
        <w:t>ICRC’s</w:t>
      </w:r>
      <w:r w:rsidR="00C2656B">
        <w:rPr>
          <w:rFonts w:ascii="Avenir Next" w:eastAsia="Avenir Next" w:hAnsi="Avenir Next" w:cs="Avenir Next"/>
          <w:b/>
          <w:bCs/>
          <w:sz w:val="20"/>
          <w:szCs w:val="20"/>
        </w:rPr>
        <w:t xml:space="preserve"> final decision and</w:t>
      </w:r>
      <w:r w:rsidR="00C2656B">
        <w:rPr>
          <w:rFonts w:ascii="Avenir Next" w:eastAsia="Avenir Next" w:hAnsi="Avenir Next" w:cs="Avenir Next"/>
          <w:b/>
          <w:bCs/>
          <w:spacing w:val="-4"/>
          <w:sz w:val="20"/>
          <w:szCs w:val="20"/>
        </w:rPr>
        <w:t xml:space="preserve"> </w:t>
      </w:r>
      <w:r w:rsidR="00C2656B">
        <w:rPr>
          <w:rFonts w:ascii="Avenir Next" w:eastAsia="Avenir Next" w:hAnsi="Avenir Next" w:cs="Avenir Next"/>
          <w:b/>
          <w:bCs/>
          <w:spacing w:val="-2"/>
          <w:sz w:val="20"/>
          <w:szCs w:val="20"/>
        </w:rPr>
        <w:t>ACTEW’s</w:t>
      </w:r>
      <w:r w:rsidR="00C2656B">
        <w:rPr>
          <w:rFonts w:ascii="Avenir Next" w:eastAsia="Avenir Next" w:hAnsi="Avenir Next" w:cs="Avenir Next"/>
          <w:b/>
          <w:bCs/>
          <w:spacing w:val="29"/>
          <w:sz w:val="20"/>
          <w:szCs w:val="20"/>
        </w:rPr>
        <w:t xml:space="preserve"> </w:t>
      </w:r>
      <w:r w:rsidR="00C2656B">
        <w:rPr>
          <w:rFonts w:ascii="Avenir Next" w:eastAsia="Avenir Next" w:hAnsi="Avenir Next" w:cs="Avenir Next"/>
          <w:b/>
          <w:bCs/>
          <w:sz w:val="20"/>
          <w:szCs w:val="20"/>
        </w:rPr>
        <w:t xml:space="preserve">SOFC - Net </w:t>
      </w:r>
      <w:r w:rsidR="00C2656B">
        <w:rPr>
          <w:rFonts w:ascii="Avenir Next" w:eastAsia="Avenir Next" w:hAnsi="Avenir Next" w:cs="Avenir Next"/>
          <w:b/>
          <w:bCs/>
          <w:spacing w:val="-1"/>
          <w:sz w:val="20"/>
          <w:szCs w:val="20"/>
        </w:rPr>
        <w:t>revenue</w:t>
      </w:r>
      <w:r w:rsidR="00C2656B">
        <w:rPr>
          <w:rFonts w:ascii="Avenir Next" w:eastAsia="Avenir Next" w:hAnsi="Avenir Next" w:cs="Avenir Next"/>
          <w:b/>
          <w:bCs/>
          <w:sz w:val="20"/>
          <w:szCs w:val="20"/>
        </w:rPr>
        <w:t xml:space="preserve"> </w:t>
      </w:r>
      <w:r w:rsidR="00C2656B">
        <w:rPr>
          <w:rFonts w:ascii="Avenir Next" w:eastAsia="Avenir Next" w:hAnsi="Avenir Next" w:cs="Avenir Next"/>
          <w:b/>
          <w:bCs/>
          <w:spacing w:val="-1"/>
          <w:sz w:val="20"/>
          <w:szCs w:val="20"/>
        </w:rPr>
        <w:t>requirement</w:t>
      </w:r>
      <w:r w:rsidR="00C2656B">
        <w:rPr>
          <w:rFonts w:ascii="Avenir Next" w:eastAsia="Avenir Next" w:hAnsi="Avenir Next" w:cs="Avenir Next"/>
          <w:b/>
          <w:bCs/>
          <w:sz w:val="20"/>
          <w:szCs w:val="20"/>
        </w:rPr>
        <w:t xml:space="preserve"> ($m,</w:t>
      </w:r>
      <w:r w:rsidR="00C2656B">
        <w:rPr>
          <w:rFonts w:ascii="Avenir Next" w:eastAsia="Avenir Next" w:hAnsi="Avenir Next" w:cs="Avenir Next"/>
          <w:b/>
          <w:bCs/>
          <w:spacing w:val="-7"/>
          <w:sz w:val="20"/>
          <w:szCs w:val="20"/>
        </w:rPr>
        <w:t xml:space="preserve"> </w:t>
      </w:r>
      <w:r w:rsidR="00C2656B">
        <w:rPr>
          <w:rFonts w:ascii="Avenir Next" w:eastAsia="Avenir Next" w:hAnsi="Avenir Next" w:cs="Avenir Next"/>
          <w:b/>
          <w:bCs/>
          <w:sz w:val="20"/>
          <w:szCs w:val="20"/>
        </w:rPr>
        <w:t>nominal)</w:t>
      </w:r>
    </w:p>
    <w:p w:rsidR="00D96B91" w:rsidRDefault="00D96B91">
      <w:pPr>
        <w:spacing w:before="12"/>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4389"/>
        <w:gridCol w:w="1002"/>
        <w:gridCol w:w="1002"/>
        <w:gridCol w:w="1002"/>
        <w:gridCol w:w="1002"/>
        <w:gridCol w:w="1004"/>
      </w:tblGrid>
      <w:tr w:rsidR="00D96B91">
        <w:trPr>
          <w:trHeight w:hRule="exact" w:val="407"/>
        </w:trPr>
        <w:tc>
          <w:tcPr>
            <w:tcW w:w="4389"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002"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09"/>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02"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09"/>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02"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0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002"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ind w:left="209"/>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002" w:type="dxa"/>
            <w:tcBorders>
              <w:top w:val="single" w:sz="4" w:space="0" w:color="1A9EDA"/>
              <w:left w:val="nil"/>
              <w:bottom w:val="single" w:sz="4" w:space="0" w:color="1A9EDA"/>
              <w:right w:val="single" w:sz="4" w:space="0" w:color="1A9EDA"/>
            </w:tcBorders>
            <w:shd w:val="clear" w:color="auto" w:fill="0778BE"/>
          </w:tcPr>
          <w:p w:rsidR="00D96B91" w:rsidRDefault="00C2656B">
            <w:pPr>
              <w:pStyle w:val="TableParagraph"/>
              <w:spacing w:before="108"/>
              <w:ind w:left="209"/>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spacing w:val="-2"/>
                <w:sz w:val="18"/>
                <w:szCs w:val="18"/>
              </w:rPr>
              <w:t>Panel’s</w:t>
            </w:r>
            <w:r>
              <w:rPr>
                <w:rFonts w:ascii="Avenir Next Condensed" w:eastAsia="Avenir Next Condensed" w:hAnsi="Avenir Next Condensed" w:cs="Avenir Next Condensed"/>
                <w:b/>
                <w:bCs/>
                <w:sz w:val="18"/>
                <w:szCs w:val="18"/>
              </w:rPr>
              <w:t xml:space="preserve"> </w:t>
            </w:r>
            <w:r>
              <w:rPr>
                <w:rFonts w:ascii="Avenir Next Condensed" w:eastAsia="Avenir Next Condensed" w:hAnsi="Avenir Next Condensed" w:cs="Avenir Next Condensed"/>
                <w:b/>
                <w:bCs/>
                <w:spacing w:val="-1"/>
                <w:sz w:val="18"/>
                <w:szCs w:val="18"/>
              </w:rPr>
              <w:t>draft</w:t>
            </w:r>
            <w:r>
              <w:rPr>
                <w:rFonts w:ascii="Avenir Next Condensed" w:eastAsia="Avenir Next Condensed" w:hAnsi="Avenir Next Condensed" w:cs="Avenir Next Condensed"/>
                <w:b/>
                <w:bCs/>
                <w:sz w:val="18"/>
                <w:szCs w:val="18"/>
              </w:rPr>
              <w:t xml:space="preserve"> decision</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9"/>
              <w:rPr>
                <w:rFonts w:ascii="Avenir Next Condensed" w:eastAsia="Avenir Next Condensed" w:hAnsi="Avenir Next Condensed" w:cs="Avenir Next Condensed"/>
                <w:sz w:val="18"/>
                <w:szCs w:val="18"/>
              </w:rPr>
            </w:pPr>
            <w:r>
              <w:rPr>
                <w:rFonts w:ascii="Avenir Next Condensed"/>
                <w:b/>
                <w:sz w:val="18"/>
              </w:rPr>
              <w:t>165.46</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9"/>
              <w:rPr>
                <w:rFonts w:ascii="Avenir Next Condensed" w:eastAsia="Avenir Next Condensed" w:hAnsi="Avenir Next Condensed" w:cs="Avenir Next Condensed"/>
                <w:sz w:val="18"/>
                <w:szCs w:val="18"/>
              </w:rPr>
            </w:pPr>
            <w:r>
              <w:rPr>
                <w:rFonts w:ascii="Avenir Next Condensed"/>
                <w:b/>
                <w:sz w:val="18"/>
              </w:rPr>
              <w:t>175.41</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9"/>
              <w:rPr>
                <w:rFonts w:ascii="Avenir Next Condensed" w:eastAsia="Avenir Next Condensed" w:hAnsi="Avenir Next Condensed" w:cs="Avenir Next Condensed"/>
                <w:sz w:val="18"/>
                <w:szCs w:val="18"/>
              </w:rPr>
            </w:pPr>
            <w:r>
              <w:rPr>
                <w:rFonts w:ascii="Avenir Next Condensed"/>
                <w:b/>
                <w:sz w:val="18"/>
              </w:rPr>
              <w:t>179.39</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9"/>
              <w:rPr>
                <w:rFonts w:ascii="Avenir Next Condensed" w:eastAsia="Avenir Next Condensed" w:hAnsi="Avenir Next Condensed" w:cs="Avenir Next Condensed"/>
                <w:sz w:val="18"/>
                <w:szCs w:val="18"/>
              </w:rPr>
            </w:pPr>
            <w:r>
              <w:rPr>
                <w:rFonts w:ascii="Avenir Next Condensed"/>
                <w:b/>
                <w:sz w:val="18"/>
              </w:rPr>
              <w:t>183.80</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9"/>
              <w:rPr>
                <w:rFonts w:ascii="Avenir Next Condensed" w:eastAsia="Avenir Next Condensed" w:hAnsi="Avenir Next Condensed" w:cs="Avenir Next Condensed"/>
                <w:sz w:val="18"/>
                <w:szCs w:val="18"/>
              </w:rPr>
            </w:pPr>
            <w:r>
              <w:rPr>
                <w:rFonts w:ascii="Avenir Next Condensed"/>
                <w:b/>
                <w:sz w:val="18"/>
              </w:rPr>
              <w:t>189.95</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ICRC’s</w:t>
            </w:r>
            <w:r>
              <w:rPr>
                <w:rFonts w:ascii="Avenir Next Condensed" w:eastAsia="Avenir Next Condensed" w:hAnsi="Avenir Next Condensed" w:cs="Avenir Next Condensed"/>
                <w:sz w:val="18"/>
                <w:szCs w:val="18"/>
              </w:rPr>
              <w:t xml:space="preserve"> final decision</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154.91</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159.38</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6"/>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6"/>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5"/>
              <w:rPr>
                <w:rFonts w:ascii="Avenir Next Condensed" w:eastAsia="Avenir Next Condensed" w:hAnsi="Avenir Next Condensed" w:cs="Avenir Next Condensed"/>
                <w:sz w:val="18"/>
                <w:szCs w:val="18"/>
              </w:rPr>
            </w:pPr>
            <w:r>
              <w:rPr>
                <w:rFonts w:ascii="Avenir Next Condensed"/>
                <w:sz w:val="18"/>
              </w:rPr>
              <w:t>na</w:t>
            </w:r>
          </w:p>
        </w:tc>
      </w:tr>
      <w:tr w:rsidR="00D96B91">
        <w:trPr>
          <w:trHeight w:hRule="exact" w:val="627"/>
        </w:trPr>
        <w:tc>
          <w:tcPr>
            <w:tcW w:w="4389"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12" w:line="220" w:lineRule="exact"/>
              <w:ind w:left="107" w:right="2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i/>
                <w:spacing w:val="-1"/>
                <w:sz w:val="18"/>
                <w:szCs w:val="18"/>
              </w:rPr>
              <w:t xml:space="preserve">Difference </w:t>
            </w:r>
            <w:r>
              <w:rPr>
                <w:rFonts w:ascii="Avenir Next Condensed" w:eastAsia="Avenir Next Condensed" w:hAnsi="Avenir Next Condensed" w:cs="Avenir Next Condensed"/>
                <w:b/>
                <w:bCs/>
                <w:i/>
                <w:sz w:val="18"/>
                <w:szCs w:val="18"/>
              </w:rPr>
              <w:t>between the</w:t>
            </w:r>
            <w:r>
              <w:rPr>
                <w:rFonts w:ascii="Avenir Next Condensed" w:eastAsia="Avenir Next Condensed" w:hAnsi="Avenir Next Condensed" w:cs="Avenir Next Condensed"/>
                <w:b/>
                <w:bCs/>
                <w:i/>
                <w:spacing w:val="-1"/>
                <w:sz w:val="18"/>
                <w:szCs w:val="18"/>
              </w:rPr>
              <w:t xml:space="preserve"> </w:t>
            </w:r>
            <w:r>
              <w:rPr>
                <w:rFonts w:ascii="Avenir Next Condensed" w:eastAsia="Avenir Next Condensed" w:hAnsi="Avenir Next Condensed" w:cs="Avenir Next Condensed"/>
                <w:b/>
                <w:bCs/>
                <w:i/>
                <w:spacing w:val="-2"/>
                <w:sz w:val="18"/>
                <w:szCs w:val="18"/>
              </w:rPr>
              <w:t>Panel’s</w:t>
            </w:r>
            <w:r>
              <w:rPr>
                <w:rFonts w:ascii="Avenir Next Condensed" w:eastAsia="Avenir Next Condensed" w:hAnsi="Avenir Next Condensed" w:cs="Avenir Next Condensed"/>
                <w:b/>
                <w:bCs/>
                <w:i/>
                <w:sz w:val="18"/>
                <w:szCs w:val="18"/>
              </w:rPr>
              <w:t xml:space="preserve"> decision and</w:t>
            </w:r>
            <w:r>
              <w:rPr>
                <w:rFonts w:ascii="Avenir Next Condensed" w:eastAsia="Avenir Next Condensed" w:hAnsi="Avenir Next Condensed" w:cs="Avenir Next Condensed"/>
                <w:b/>
                <w:bCs/>
                <w:i/>
                <w:spacing w:val="-1"/>
                <w:sz w:val="18"/>
                <w:szCs w:val="18"/>
              </w:rPr>
              <w:t xml:space="preserve"> </w:t>
            </w:r>
            <w:r>
              <w:rPr>
                <w:rFonts w:ascii="Avenir Next Condensed" w:eastAsia="Avenir Next Condensed" w:hAnsi="Avenir Next Condensed" w:cs="Avenir Next Condensed"/>
                <w:b/>
                <w:bCs/>
                <w:i/>
                <w:sz w:val="18"/>
                <w:szCs w:val="18"/>
              </w:rPr>
              <w:t xml:space="preserve">the </w:t>
            </w:r>
            <w:r>
              <w:rPr>
                <w:rFonts w:ascii="Avenir Next Condensed" w:eastAsia="Avenir Next Condensed" w:hAnsi="Avenir Next Condensed" w:cs="Avenir Next Condensed"/>
                <w:b/>
                <w:bCs/>
                <w:i/>
                <w:spacing w:val="-2"/>
                <w:sz w:val="18"/>
                <w:szCs w:val="18"/>
              </w:rPr>
              <w:t>ICRC’s</w:t>
            </w:r>
            <w:r>
              <w:rPr>
                <w:rFonts w:ascii="Avenir Next Condensed" w:eastAsia="Avenir Next Condensed" w:hAnsi="Avenir Next Condensed" w:cs="Avenir Next Condensed"/>
                <w:b/>
                <w:bCs/>
                <w:i/>
                <w:sz w:val="18"/>
                <w:szCs w:val="18"/>
              </w:rPr>
              <w:t xml:space="preserve"> final</w:t>
            </w:r>
            <w:r>
              <w:rPr>
                <w:rFonts w:ascii="Avenir Next Condensed" w:eastAsia="Avenir Next Condensed" w:hAnsi="Avenir Next Condensed" w:cs="Avenir Next Condensed"/>
                <w:b/>
                <w:bCs/>
                <w:i/>
                <w:spacing w:val="25"/>
                <w:w w:val="99"/>
                <w:sz w:val="18"/>
                <w:szCs w:val="18"/>
              </w:rPr>
              <w:t xml:space="preserve"> </w:t>
            </w:r>
            <w:r>
              <w:rPr>
                <w:rFonts w:ascii="Avenir Next Condensed" w:eastAsia="Avenir Next Condensed" w:hAnsi="Avenir Next Condensed" w:cs="Avenir Next Condensed"/>
                <w:b/>
                <w:bCs/>
                <w:i/>
                <w:sz w:val="18"/>
                <w:szCs w:val="18"/>
              </w:rPr>
              <w:t>decision</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14"/>
              <w:rPr>
                <w:rFonts w:ascii="Avenir Next Condensed" w:eastAsia="Avenir Next Condensed" w:hAnsi="Avenir Next Condensed" w:cs="Avenir Next Condensed"/>
                <w:sz w:val="18"/>
                <w:szCs w:val="18"/>
              </w:rPr>
            </w:pPr>
            <w:r>
              <w:rPr>
                <w:rFonts w:ascii="Avenir Next Condensed"/>
                <w:b/>
                <w:i/>
                <w:sz w:val="18"/>
              </w:rPr>
              <w:t>10.56</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14"/>
              <w:rPr>
                <w:rFonts w:ascii="Avenir Next Condensed" w:eastAsia="Avenir Next Condensed" w:hAnsi="Avenir Next Condensed" w:cs="Avenir Next Condensed"/>
                <w:sz w:val="18"/>
                <w:szCs w:val="18"/>
              </w:rPr>
            </w:pPr>
            <w:r>
              <w:rPr>
                <w:rFonts w:ascii="Avenir Next Condensed"/>
                <w:b/>
                <w:i/>
                <w:sz w:val="18"/>
              </w:rPr>
              <w:t>16.02</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5"/>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5"/>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5"/>
              <w:rPr>
                <w:rFonts w:ascii="Avenir Next Condensed" w:eastAsia="Avenir Next Condensed" w:hAnsi="Avenir Next Condensed" w:cs="Avenir Next Condensed"/>
                <w:sz w:val="18"/>
                <w:szCs w:val="18"/>
              </w:rPr>
            </w:pPr>
            <w:r>
              <w:rPr>
                <w:rFonts w:ascii="Avenir Next Condensed"/>
                <w:sz w:val="18"/>
              </w:rPr>
              <w:t>na</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 </w:t>
            </w:r>
            <w:r>
              <w:rPr>
                <w:rFonts w:ascii="Avenir Next Condensed" w:eastAsia="Avenir Next Condensed" w:hAnsi="Avenir Next Condensed" w:cs="Avenir Next Condensed"/>
                <w:spacing w:val="-1"/>
                <w:sz w:val="18"/>
                <w:szCs w:val="18"/>
              </w:rPr>
              <w:t>proposal*</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194.41</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1"/>
              <w:rPr>
                <w:rFonts w:ascii="Avenir Next Condensed" w:eastAsia="Avenir Next Condensed" w:hAnsi="Avenir Next Condensed" w:cs="Avenir Next Condensed"/>
                <w:sz w:val="18"/>
                <w:szCs w:val="18"/>
              </w:rPr>
            </w:pPr>
            <w:r>
              <w:rPr>
                <w:rFonts w:ascii="Avenir Next Condensed"/>
                <w:sz w:val="18"/>
              </w:rPr>
              <w:t>203.08</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sz w:val="18"/>
              </w:rPr>
              <w:t>211.40</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sz w:val="18"/>
              </w:rPr>
              <w:t>218.27</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sz w:val="18"/>
              </w:rPr>
              <w:t>225.62</w:t>
            </w:r>
          </w:p>
        </w:tc>
      </w:tr>
      <w:tr w:rsidR="00D96B91" w:rsidTr="00404DC2">
        <w:trPr>
          <w:trHeight w:hRule="exact" w:val="567"/>
        </w:trPr>
        <w:tc>
          <w:tcPr>
            <w:tcW w:w="4389"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i/>
                <w:spacing w:val="-1"/>
                <w:sz w:val="18"/>
                <w:szCs w:val="18"/>
              </w:rPr>
              <w:t>Difference</w:t>
            </w:r>
            <w:r>
              <w:rPr>
                <w:rFonts w:ascii="Avenir Next Condensed" w:eastAsia="Avenir Next Condensed" w:hAnsi="Avenir Next Condensed" w:cs="Avenir Next Condensed"/>
                <w:b/>
                <w:bCs/>
                <w:i/>
                <w:sz w:val="18"/>
                <w:szCs w:val="18"/>
              </w:rPr>
              <w:t xml:space="preserve"> between the </w:t>
            </w:r>
            <w:r>
              <w:rPr>
                <w:rFonts w:ascii="Avenir Next Condensed" w:eastAsia="Avenir Next Condensed" w:hAnsi="Avenir Next Condensed" w:cs="Avenir Next Condensed"/>
                <w:b/>
                <w:bCs/>
                <w:i/>
                <w:spacing w:val="-2"/>
                <w:sz w:val="18"/>
                <w:szCs w:val="18"/>
              </w:rPr>
              <w:t>Panel’s</w:t>
            </w:r>
            <w:r>
              <w:rPr>
                <w:rFonts w:ascii="Avenir Next Condensed" w:eastAsia="Avenir Next Condensed" w:hAnsi="Avenir Next Condensed" w:cs="Avenir Next Condensed"/>
                <w:b/>
                <w:bCs/>
                <w:i/>
                <w:sz w:val="18"/>
                <w:szCs w:val="18"/>
              </w:rPr>
              <w:t xml:space="preserve"> decision and</w:t>
            </w:r>
            <w:r>
              <w:rPr>
                <w:rFonts w:ascii="Avenir Next Condensed" w:eastAsia="Avenir Next Condensed" w:hAnsi="Avenir Next Condensed" w:cs="Avenir Next Condensed"/>
                <w:b/>
                <w:bCs/>
                <w:i/>
                <w:spacing w:val="-4"/>
                <w:sz w:val="18"/>
                <w:szCs w:val="18"/>
              </w:rPr>
              <w:t xml:space="preserve"> </w:t>
            </w:r>
            <w:r>
              <w:rPr>
                <w:rFonts w:ascii="Avenir Next Condensed" w:eastAsia="Avenir Next Condensed" w:hAnsi="Avenir Next Condensed" w:cs="Avenir Next Condensed"/>
                <w:b/>
                <w:bCs/>
                <w:i/>
                <w:spacing w:val="-2"/>
                <w:sz w:val="18"/>
                <w:szCs w:val="18"/>
              </w:rPr>
              <w:t>ACTEW’s</w:t>
            </w:r>
            <w:r>
              <w:rPr>
                <w:rFonts w:ascii="Avenir Next Condensed" w:eastAsia="Avenir Next Condensed" w:hAnsi="Avenir Next Condensed" w:cs="Avenir Next Condensed"/>
                <w:b/>
                <w:bCs/>
                <w:i/>
                <w:sz w:val="18"/>
                <w:szCs w:val="18"/>
              </w:rPr>
              <w:t xml:space="preserve"> </w:t>
            </w:r>
            <w:r>
              <w:rPr>
                <w:rFonts w:ascii="Avenir Next Condensed" w:eastAsia="Avenir Next Condensed" w:hAnsi="Avenir Next Condensed" w:cs="Avenir Next Condensed"/>
                <w:b/>
                <w:bCs/>
                <w:i/>
                <w:spacing w:val="-1"/>
                <w:sz w:val="18"/>
                <w:szCs w:val="18"/>
              </w:rPr>
              <w:t>proposal</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3"/>
              <w:rPr>
                <w:rFonts w:ascii="Avenir Next Condensed" w:eastAsia="Avenir Next Condensed" w:hAnsi="Avenir Next Condensed" w:cs="Avenir Next Condensed"/>
                <w:sz w:val="18"/>
                <w:szCs w:val="18"/>
              </w:rPr>
            </w:pPr>
            <w:r>
              <w:rPr>
                <w:rFonts w:ascii="Avenir Next Condensed"/>
                <w:b/>
                <w:i/>
                <w:sz w:val="18"/>
              </w:rPr>
              <w:t>-28.95</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i/>
                <w:sz w:val="18"/>
              </w:rPr>
              <w:t>-27.67</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i/>
                <w:sz w:val="18"/>
              </w:rPr>
              <w:t>-32.02</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i/>
                <w:sz w:val="18"/>
              </w:rPr>
              <w:t>-34.47</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2"/>
              <w:rPr>
                <w:rFonts w:ascii="Avenir Next Condensed" w:eastAsia="Avenir Next Condensed" w:hAnsi="Avenir Next Condensed" w:cs="Avenir Next Condensed"/>
                <w:sz w:val="18"/>
                <w:szCs w:val="18"/>
              </w:rPr>
            </w:pPr>
            <w:r>
              <w:rPr>
                <w:rFonts w:ascii="Avenir Next Condensed"/>
                <w:b/>
                <w:i/>
                <w:sz w:val="18"/>
              </w:rPr>
              <w:t>-35.67</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spacing w:val="-2"/>
                <w:sz w:val="18"/>
                <w:szCs w:val="18"/>
              </w:rPr>
              <w:t>Panel’s</w:t>
            </w:r>
            <w:r>
              <w:rPr>
                <w:rFonts w:ascii="Avenir Next Condensed" w:eastAsia="Avenir Next Condensed" w:hAnsi="Avenir Next Condensed" w:cs="Avenir Next Condensed"/>
                <w:b/>
                <w:bCs/>
                <w:sz w:val="18"/>
                <w:szCs w:val="18"/>
              </w:rPr>
              <w:t xml:space="preserve"> </w:t>
            </w:r>
            <w:r>
              <w:rPr>
                <w:rFonts w:ascii="Avenir Next Condensed" w:eastAsia="Avenir Next Condensed" w:hAnsi="Avenir Next Condensed" w:cs="Avenir Next Condensed"/>
                <w:b/>
                <w:bCs/>
                <w:spacing w:val="-1"/>
                <w:sz w:val="18"/>
                <w:szCs w:val="18"/>
              </w:rPr>
              <w:t>draft</w:t>
            </w:r>
            <w:r>
              <w:rPr>
                <w:rFonts w:ascii="Avenir Next Condensed" w:eastAsia="Avenir Next Condensed" w:hAnsi="Avenir Next Condensed" w:cs="Avenir Next Condensed"/>
                <w:b/>
                <w:bCs/>
                <w:sz w:val="18"/>
                <w:szCs w:val="18"/>
              </w:rPr>
              <w:t xml:space="preserve"> decision</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sz w:val="18"/>
              </w:rPr>
              <w:t>109.27</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sz w:val="18"/>
              </w:rPr>
              <w:t>113.93</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sz w:val="18"/>
              </w:rPr>
              <w:t>119.86</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sz w:val="18"/>
              </w:rPr>
              <w:t>129.58</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8"/>
              <w:rPr>
                <w:rFonts w:ascii="Avenir Next Condensed" w:eastAsia="Avenir Next Condensed" w:hAnsi="Avenir Next Condensed" w:cs="Avenir Next Condensed"/>
                <w:sz w:val="18"/>
                <w:szCs w:val="18"/>
              </w:rPr>
            </w:pPr>
            <w:r>
              <w:rPr>
                <w:rFonts w:ascii="Avenir Next Condensed"/>
                <w:b/>
                <w:sz w:val="18"/>
              </w:rPr>
              <w:t>140.13</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ICRC’s</w:t>
            </w:r>
            <w:r>
              <w:rPr>
                <w:rFonts w:ascii="Avenir Next Condensed" w:eastAsia="Avenir Next Condensed" w:hAnsi="Avenir Next Condensed" w:cs="Avenir Next Condensed"/>
                <w:sz w:val="18"/>
                <w:szCs w:val="18"/>
              </w:rPr>
              <w:t xml:space="preserve"> final decision</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sz w:val="18"/>
              </w:rPr>
              <w:t>105.95</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50"/>
              <w:rPr>
                <w:rFonts w:ascii="Avenir Next Condensed" w:eastAsia="Avenir Next Condensed" w:hAnsi="Avenir Next Condensed" w:cs="Avenir Next Condensed"/>
                <w:sz w:val="18"/>
                <w:szCs w:val="18"/>
              </w:rPr>
            </w:pPr>
            <w:r>
              <w:rPr>
                <w:rFonts w:ascii="Avenir Next Condensed"/>
                <w:sz w:val="18"/>
              </w:rPr>
              <w:t>109.51</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5"/>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na</w:t>
            </w:r>
          </w:p>
        </w:tc>
      </w:tr>
      <w:tr w:rsidR="00D96B91">
        <w:trPr>
          <w:trHeight w:hRule="exact" w:val="627"/>
        </w:trPr>
        <w:tc>
          <w:tcPr>
            <w:tcW w:w="4389"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12" w:line="220" w:lineRule="exact"/>
              <w:ind w:left="106" w:right="29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i/>
                <w:spacing w:val="-1"/>
                <w:sz w:val="18"/>
                <w:szCs w:val="18"/>
              </w:rPr>
              <w:t xml:space="preserve">Difference </w:t>
            </w:r>
            <w:r>
              <w:rPr>
                <w:rFonts w:ascii="Avenir Next Condensed" w:eastAsia="Avenir Next Condensed" w:hAnsi="Avenir Next Condensed" w:cs="Avenir Next Condensed"/>
                <w:b/>
                <w:bCs/>
                <w:i/>
                <w:sz w:val="18"/>
                <w:szCs w:val="18"/>
              </w:rPr>
              <w:t>between the</w:t>
            </w:r>
            <w:r>
              <w:rPr>
                <w:rFonts w:ascii="Avenir Next Condensed" w:eastAsia="Avenir Next Condensed" w:hAnsi="Avenir Next Condensed" w:cs="Avenir Next Condensed"/>
                <w:b/>
                <w:bCs/>
                <w:i/>
                <w:spacing w:val="-1"/>
                <w:sz w:val="18"/>
                <w:szCs w:val="18"/>
              </w:rPr>
              <w:t xml:space="preserve"> </w:t>
            </w:r>
            <w:r>
              <w:rPr>
                <w:rFonts w:ascii="Avenir Next Condensed" w:eastAsia="Avenir Next Condensed" w:hAnsi="Avenir Next Condensed" w:cs="Avenir Next Condensed"/>
                <w:b/>
                <w:bCs/>
                <w:i/>
                <w:spacing w:val="-2"/>
                <w:sz w:val="18"/>
                <w:szCs w:val="18"/>
              </w:rPr>
              <w:t>Panel’s</w:t>
            </w:r>
            <w:r>
              <w:rPr>
                <w:rFonts w:ascii="Avenir Next Condensed" w:eastAsia="Avenir Next Condensed" w:hAnsi="Avenir Next Condensed" w:cs="Avenir Next Condensed"/>
                <w:b/>
                <w:bCs/>
                <w:i/>
                <w:sz w:val="18"/>
                <w:szCs w:val="18"/>
              </w:rPr>
              <w:t xml:space="preserve"> decision and</w:t>
            </w:r>
            <w:r>
              <w:rPr>
                <w:rFonts w:ascii="Avenir Next Condensed" w:eastAsia="Avenir Next Condensed" w:hAnsi="Avenir Next Condensed" w:cs="Avenir Next Condensed"/>
                <w:b/>
                <w:bCs/>
                <w:i/>
                <w:spacing w:val="-1"/>
                <w:sz w:val="18"/>
                <w:szCs w:val="18"/>
              </w:rPr>
              <w:t xml:space="preserve"> </w:t>
            </w:r>
            <w:r>
              <w:rPr>
                <w:rFonts w:ascii="Avenir Next Condensed" w:eastAsia="Avenir Next Condensed" w:hAnsi="Avenir Next Condensed" w:cs="Avenir Next Condensed"/>
                <w:b/>
                <w:bCs/>
                <w:i/>
                <w:sz w:val="18"/>
                <w:szCs w:val="18"/>
              </w:rPr>
              <w:t xml:space="preserve">the </w:t>
            </w:r>
            <w:r>
              <w:rPr>
                <w:rFonts w:ascii="Avenir Next Condensed" w:eastAsia="Avenir Next Condensed" w:hAnsi="Avenir Next Condensed" w:cs="Avenir Next Condensed"/>
                <w:b/>
                <w:bCs/>
                <w:i/>
                <w:spacing w:val="-2"/>
                <w:sz w:val="18"/>
                <w:szCs w:val="18"/>
              </w:rPr>
              <w:t>ICRC’s</w:t>
            </w:r>
            <w:r>
              <w:rPr>
                <w:rFonts w:ascii="Avenir Next Condensed" w:eastAsia="Avenir Next Condensed" w:hAnsi="Avenir Next Condensed" w:cs="Avenir Next Condensed"/>
                <w:b/>
                <w:bCs/>
                <w:i/>
                <w:sz w:val="18"/>
                <w:szCs w:val="18"/>
              </w:rPr>
              <w:t xml:space="preserve"> final</w:t>
            </w:r>
            <w:r>
              <w:rPr>
                <w:rFonts w:ascii="Avenir Next Condensed" w:eastAsia="Avenir Next Condensed" w:hAnsi="Avenir Next Condensed" w:cs="Avenir Next Condensed"/>
                <w:b/>
                <w:bCs/>
                <w:i/>
                <w:spacing w:val="25"/>
                <w:w w:val="99"/>
                <w:sz w:val="18"/>
                <w:szCs w:val="18"/>
              </w:rPr>
              <w:t xml:space="preserve"> </w:t>
            </w:r>
            <w:r>
              <w:rPr>
                <w:rFonts w:ascii="Avenir Next Condensed" w:eastAsia="Avenir Next Condensed" w:hAnsi="Avenir Next Condensed" w:cs="Avenir Next Condensed"/>
                <w:b/>
                <w:bCs/>
                <w:i/>
                <w:sz w:val="18"/>
                <w:szCs w:val="18"/>
              </w:rPr>
              <w:t>decision</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02"/>
              <w:rPr>
                <w:rFonts w:ascii="Avenir Next Condensed" w:eastAsia="Avenir Next Condensed" w:hAnsi="Avenir Next Condensed" w:cs="Avenir Next Condensed"/>
                <w:sz w:val="18"/>
                <w:szCs w:val="18"/>
              </w:rPr>
            </w:pPr>
            <w:r>
              <w:rPr>
                <w:rFonts w:ascii="Avenir Next Condensed"/>
                <w:b/>
                <w:i/>
                <w:sz w:val="18"/>
              </w:rPr>
              <w:t>3.33</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02"/>
              <w:rPr>
                <w:rFonts w:ascii="Avenir Next Condensed" w:eastAsia="Avenir Next Condensed" w:hAnsi="Avenir Next Condensed" w:cs="Avenir Next Condensed"/>
                <w:sz w:val="18"/>
                <w:szCs w:val="18"/>
              </w:rPr>
            </w:pPr>
            <w:r>
              <w:rPr>
                <w:rFonts w:ascii="Avenir Next Condensed"/>
                <w:b/>
                <w:i/>
                <w:sz w:val="18"/>
              </w:rPr>
              <w:t>4.42</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na</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54"/>
              <w:rPr>
                <w:rFonts w:ascii="Avenir Next Condensed" w:eastAsia="Avenir Next Condensed" w:hAnsi="Avenir Next Condensed" w:cs="Avenir Next Condensed"/>
                <w:sz w:val="18"/>
                <w:szCs w:val="18"/>
              </w:rPr>
            </w:pPr>
            <w:r>
              <w:rPr>
                <w:rFonts w:ascii="Avenir Next Condensed"/>
                <w:sz w:val="18"/>
              </w:rPr>
              <w:t>na</w:t>
            </w:r>
          </w:p>
        </w:tc>
      </w:tr>
      <w:tr w:rsidR="00D96B91">
        <w:trPr>
          <w:trHeight w:hRule="exact" w:val="407"/>
        </w:trPr>
        <w:tc>
          <w:tcPr>
            <w:tcW w:w="438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 </w:t>
            </w:r>
            <w:r>
              <w:rPr>
                <w:rFonts w:ascii="Avenir Next Condensed" w:eastAsia="Avenir Next Condensed" w:hAnsi="Avenir Next Condensed" w:cs="Avenir Next Condensed"/>
                <w:spacing w:val="-1"/>
                <w:sz w:val="18"/>
                <w:szCs w:val="18"/>
              </w:rPr>
              <w:t>proposal*</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9"/>
              <w:rPr>
                <w:rFonts w:ascii="Avenir Next Condensed" w:eastAsia="Avenir Next Condensed" w:hAnsi="Avenir Next Condensed" w:cs="Avenir Next Condensed"/>
                <w:sz w:val="18"/>
                <w:szCs w:val="18"/>
              </w:rPr>
            </w:pPr>
            <w:r>
              <w:rPr>
                <w:rFonts w:ascii="Avenir Next Condensed"/>
                <w:sz w:val="18"/>
              </w:rPr>
              <w:t>127.56</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9"/>
              <w:rPr>
                <w:rFonts w:ascii="Avenir Next Condensed" w:eastAsia="Avenir Next Condensed" w:hAnsi="Avenir Next Condensed" w:cs="Avenir Next Condensed"/>
                <w:sz w:val="18"/>
                <w:szCs w:val="18"/>
              </w:rPr>
            </w:pPr>
            <w:r>
              <w:rPr>
                <w:rFonts w:ascii="Avenir Next Condensed"/>
                <w:sz w:val="18"/>
              </w:rPr>
              <w:t>132.96</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9"/>
              <w:rPr>
                <w:rFonts w:ascii="Avenir Next Condensed" w:eastAsia="Avenir Next Condensed" w:hAnsi="Avenir Next Condensed" w:cs="Avenir Next Condensed"/>
                <w:sz w:val="18"/>
                <w:szCs w:val="18"/>
              </w:rPr>
            </w:pPr>
            <w:r>
              <w:rPr>
                <w:rFonts w:ascii="Avenir Next Condensed"/>
                <w:sz w:val="18"/>
              </w:rPr>
              <w:t>141.42</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9"/>
              <w:rPr>
                <w:rFonts w:ascii="Avenir Next Condensed" w:eastAsia="Avenir Next Condensed" w:hAnsi="Avenir Next Condensed" w:cs="Avenir Next Condensed"/>
                <w:sz w:val="18"/>
                <w:szCs w:val="18"/>
              </w:rPr>
            </w:pPr>
            <w:r>
              <w:rPr>
                <w:rFonts w:ascii="Avenir Next Condensed"/>
                <w:sz w:val="18"/>
              </w:rPr>
              <w:t>153.59</w:t>
            </w:r>
          </w:p>
        </w:tc>
        <w:tc>
          <w:tcPr>
            <w:tcW w:w="10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9"/>
              <w:rPr>
                <w:rFonts w:ascii="Avenir Next Condensed" w:eastAsia="Avenir Next Condensed" w:hAnsi="Avenir Next Condensed" w:cs="Avenir Next Condensed"/>
                <w:sz w:val="18"/>
                <w:szCs w:val="18"/>
              </w:rPr>
            </w:pPr>
            <w:r>
              <w:rPr>
                <w:rFonts w:ascii="Avenir Next Condensed"/>
                <w:sz w:val="18"/>
              </w:rPr>
              <w:t>165.39</w:t>
            </w:r>
          </w:p>
        </w:tc>
      </w:tr>
      <w:tr w:rsidR="00D96B91" w:rsidTr="00404DC2">
        <w:trPr>
          <w:trHeight w:hRule="exact" w:val="579"/>
        </w:trPr>
        <w:tc>
          <w:tcPr>
            <w:tcW w:w="4389"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b/>
                <w:bCs/>
                <w:i/>
                <w:spacing w:val="-1"/>
                <w:sz w:val="18"/>
                <w:szCs w:val="18"/>
              </w:rPr>
              <w:t>Difference</w:t>
            </w:r>
            <w:r>
              <w:rPr>
                <w:rFonts w:ascii="Avenir Next Condensed" w:eastAsia="Avenir Next Condensed" w:hAnsi="Avenir Next Condensed" w:cs="Avenir Next Condensed"/>
                <w:b/>
                <w:bCs/>
                <w:i/>
                <w:sz w:val="18"/>
                <w:szCs w:val="18"/>
              </w:rPr>
              <w:t xml:space="preserve"> between the </w:t>
            </w:r>
            <w:r>
              <w:rPr>
                <w:rFonts w:ascii="Avenir Next Condensed" w:eastAsia="Avenir Next Condensed" w:hAnsi="Avenir Next Condensed" w:cs="Avenir Next Condensed"/>
                <w:b/>
                <w:bCs/>
                <w:i/>
                <w:spacing w:val="-2"/>
                <w:sz w:val="18"/>
                <w:szCs w:val="18"/>
              </w:rPr>
              <w:t>Panel’s</w:t>
            </w:r>
            <w:r>
              <w:rPr>
                <w:rFonts w:ascii="Avenir Next Condensed" w:eastAsia="Avenir Next Condensed" w:hAnsi="Avenir Next Condensed" w:cs="Avenir Next Condensed"/>
                <w:b/>
                <w:bCs/>
                <w:i/>
                <w:sz w:val="18"/>
                <w:szCs w:val="18"/>
              </w:rPr>
              <w:t xml:space="preserve"> decision and</w:t>
            </w:r>
            <w:r>
              <w:rPr>
                <w:rFonts w:ascii="Avenir Next Condensed" w:eastAsia="Avenir Next Condensed" w:hAnsi="Avenir Next Condensed" w:cs="Avenir Next Condensed"/>
                <w:b/>
                <w:bCs/>
                <w:i/>
                <w:spacing w:val="-4"/>
                <w:sz w:val="18"/>
                <w:szCs w:val="18"/>
              </w:rPr>
              <w:t xml:space="preserve"> </w:t>
            </w:r>
            <w:r>
              <w:rPr>
                <w:rFonts w:ascii="Avenir Next Condensed" w:eastAsia="Avenir Next Condensed" w:hAnsi="Avenir Next Condensed" w:cs="Avenir Next Condensed"/>
                <w:b/>
                <w:bCs/>
                <w:i/>
                <w:spacing w:val="-2"/>
                <w:sz w:val="18"/>
                <w:szCs w:val="18"/>
              </w:rPr>
              <w:t>ACTEW’s</w:t>
            </w:r>
            <w:r>
              <w:rPr>
                <w:rFonts w:ascii="Avenir Next Condensed" w:eastAsia="Avenir Next Condensed" w:hAnsi="Avenir Next Condensed" w:cs="Avenir Next Condensed"/>
                <w:b/>
                <w:bCs/>
                <w:i/>
                <w:sz w:val="18"/>
                <w:szCs w:val="18"/>
              </w:rPr>
              <w:t xml:space="preserve"> </w:t>
            </w:r>
            <w:r>
              <w:rPr>
                <w:rFonts w:ascii="Avenir Next Condensed" w:eastAsia="Avenir Next Condensed" w:hAnsi="Avenir Next Condensed" w:cs="Avenir Next Condensed"/>
                <w:b/>
                <w:bCs/>
                <w:i/>
                <w:spacing w:val="-1"/>
                <w:sz w:val="18"/>
                <w:szCs w:val="18"/>
              </w:rPr>
              <w:t>proposal</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1"/>
              <w:rPr>
                <w:rFonts w:ascii="Avenir Next Condensed" w:eastAsia="Avenir Next Condensed" w:hAnsi="Avenir Next Condensed" w:cs="Avenir Next Condensed"/>
                <w:sz w:val="18"/>
                <w:szCs w:val="18"/>
              </w:rPr>
            </w:pPr>
            <w:r>
              <w:rPr>
                <w:rFonts w:ascii="Avenir Next Condensed"/>
                <w:b/>
                <w:i/>
                <w:sz w:val="18"/>
              </w:rPr>
              <w:t>-18.29</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1"/>
              <w:rPr>
                <w:rFonts w:ascii="Avenir Next Condensed" w:eastAsia="Avenir Next Condensed" w:hAnsi="Avenir Next Condensed" w:cs="Avenir Next Condensed"/>
                <w:sz w:val="18"/>
                <w:szCs w:val="18"/>
              </w:rPr>
            </w:pPr>
            <w:r>
              <w:rPr>
                <w:rFonts w:ascii="Avenir Next Condensed"/>
                <w:b/>
                <w:i/>
                <w:sz w:val="18"/>
              </w:rPr>
              <w:t>-19.03</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1"/>
              <w:rPr>
                <w:rFonts w:ascii="Avenir Next Condensed" w:eastAsia="Avenir Next Condensed" w:hAnsi="Avenir Next Condensed" w:cs="Avenir Next Condensed"/>
                <w:sz w:val="18"/>
                <w:szCs w:val="18"/>
              </w:rPr>
            </w:pPr>
            <w:r>
              <w:rPr>
                <w:rFonts w:ascii="Avenir Next Condensed"/>
                <w:b/>
                <w:i/>
                <w:sz w:val="18"/>
              </w:rPr>
              <w:t>-21.56</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1"/>
              <w:rPr>
                <w:rFonts w:ascii="Avenir Next Condensed" w:eastAsia="Avenir Next Condensed" w:hAnsi="Avenir Next Condensed" w:cs="Avenir Next Condensed"/>
                <w:sz w:val="18"/>
                <w:szCs w:val="18"/>
              </w:rPr>
            </w:pPr>
            <w:r>
              <w:rPr>
                <w:rFonts w:ascii="Avenir Next Condensed"/>
                <w:b/>
                <w:i/>
                <w:sz w:val="18"/>
              </w:rPr>
              <w:t>-24.01</w:t>
            </w:r>
          </w:p>
        </w:tc>
        <w:tc>
          <w:tcPr>
            <w:tcW w:w="100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71"/>
              <w:rPr>
                <w:rFonts w:ascii="Avenir Next Condensed" w:eastAsia="Avenir Next Condensed" w:hAnsi="Avenir Next Condensed" w:cs="Avenir Next Condensed"/>
                <w:sz w:val="18"/>
                <w:szCs w:val="18"/>
              </w:rPr>
            </w:pPr>
            <w:r>
              <w:rPr>
                <w:rFonts w:ascii="Avenir Next Condensed"/>
                <w:b/>
                <w:i/>
                <w:sz w:val="18"/>
              </w:rPr>
              <w:t>-25.26</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spacing w:val="-1"/>
          <w:sz w:val="16"/>
        </w:rPr>
        <w:t>Source:</w:t>
      </w:r>
      <w:r>
        <w:rPr>
          <w:rFonts w:ascii="Avenir Next"/>
          <w:sz w:val="16"/>
        </w:rPr>
        <w:t xml:space="preserve"> 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z w:val="16"/>
        </w:rPr>
        <w:t>pxxiii and</w:t>
      </w:r>
      <w:r>
        <w:rPr>
          <w:rFonts w:ascii="Avenir Next"/>
          <w:spacing w:val="-3"/>
          <w:sz w:val="16"/>
        </w:rPr>
        <w:t xml:space="preserve"> 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w:t>
      </w:r>
      <w:r>
        <w:rPr>
          <w:rFonts w:ascii="Avenir Next"/>
          <w:spacing w:val="67"/>
          <w:sz w:val="16"/>
        </w:rPr>
        <w:t xml:space="preserve"> </w:t>
      </w:r>
      <w:r>
        <w:rPr>
          <w:rFonts w:ascii="Avenir Next"/>
          <w:spacing w:val="-1"/>
          <w:sz w:val="16"/>
        </w:rPr>
        <w:t>Contentions,</w:t>
      </w:r>
      <w:r>
        <w:rPr>
          <w:rFonts w:ascii="Avenir Next"/>
          <w:spacing w:val="-6"/>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8"/>
          <w:sz w:val="16"/>
        </w:rPr>
        <w:t xml:space="preserve"> </w:t>
      </w:r>
      <w:r>
        <w:rPr>
          <w:rFonts w:ascii="Avenir Next"/>
          <w:spacing w:val="-1"/>
          <w:sz w:val="16"/>
        </w:rPr>
        <w:t>Attachment</w:t>
      </w:r>
      <w:r>
        <w:rPr>
          <w:rFonts w:ascii="Avenir Next"/>
          <w:sz w:val="16"/>
        </w:rPr>
        <w:t xml:space="preserve"> 1</w:t>
      </w:r>
      <w:r>
        <w:rPr>
          <w:rFonts w:ascii="Avenir Next"/>
          <w:spacing w:val="-1"/>
          <w:sz w:val="16"/>
        </w:rPr>
        <w:t xml:space="preserve"> </w:t>
      </w:r>
      <w:r>
        <w:rPr>
          <w:rFonts w:ascii="Avenir Next"/>
          <w:sz w:val="16"/>
        </w:rPr>
        <w:t>and</w:t>
      </w:r>
      <w:r>
        <w:rPr>
          <w:rFonts w:ascii="Avenir Next"/>
          <w:spacing w:val="-3"/>
          <w:sz w:val="16"/>
        </w:rPr>
        <w:t xml:space="preserve"> </w:t>
      </w:r>
      <w:r>
        <w:rPr>
          <w:rFonts w:ascii="Avenir Next"/>
          <w:spacing w:val="-1"/>
          <w:sz w:val="16"/>
        </w:rPr>
        <w:t>Attachment</w:t>
      </w:r>
      <w:r>
        <w:rPr>
          <w:rFonts w:ascii="Avenir Next"/>
          <w:sz w:val="16"/>
        </w:rPr>
        <w:t xml:space="preserve"> 2,</w:t>
      </w:r>
      <w:r>
        <w:rPr>
          <w:rFonts w:ascii="Avenir Next"/>
          <w:spacing w:val="-5"/>
          <w:sz w:val="16"/>
        </w:rPr>
        <w:t xml:space="preserve"> </w:t>
      </w:r>
      <w:r>
        <w:rPr>
          <w:rFonts w:ascii="Avenir Next"/>
          <w:spacing w:val="-1"/>
          <w:sz w:val="16"/>
        </w:rPr>
        <w:t>updated</w:t>
      </w:r>
      <w:r>
        <w:rPr>
          <w:rFonts w:ascii="Avenir Next"/>
          <w:sz w:val="16"/>
        </w:rPr>
        <w:t xml:space="preserve"> to</w:t>
      </w:r>
      <w:r>
        <w:rPr>
          <w:rFonts w:ascii="Avenir Next"/>
          <w:spacing w:val="-1"/>
          <w:sz w:val="16"/>
        </w:rPr>
        <w:t xml:space="preserve"> reflect</w:t>
      </w:r>
      <w:r>
        <w:rPr>
          <w:rFonts w:ascii="Avenir Next"/>
          <w:sz w:val="16"/>
        </w:rPr>
        <w:t xml:space="preserve"> changes to the opening</w:t>
      </w:r>
      <w:r>
        <w:rPr>
          <w:rFonts w:ascii="Avenir Next"/>
          <w:spacing w:val="-1"/>
          <w:sz w:val="16"/>
        </w:rPr>
        <w:t xml:space="preserve"> </w:t>
      </w:r>
      <w:r>
        <w:rPr>
          <w:rFonts w:ascii="Avenir Next"/>
          <w:sz w:val="16"/>
        </w:rPr>
        <w:t>value of</w:t>
      </w:r>
      <w:r>
        <w:rPr>
          <w:rFonts w:ascii="Avenir Next"/>
          <w:spacing w:val="3"/>
          <w:sz w:val="16"/>
        </w:rPr>
        <w:t xml:space="preserve"> </w:t>
      </w:r>
      <w:r>
        <w:rPr>
          <w:rFonts w:ascii="Avenir Next"/>
          <w:spacing w:val="-1"/>
          <w:sz w:val="16"/>
        </w:rPr>
        <w:t>water</w:t>
      </w:r>
      <w:r>
        <w:rPr>
          <w:rFonts w:ascii="Avenir Next"/>
          <w:sz w:val="16"/>
        </w:rPr>
        <w:t xml:space="preserve"> assets as</w:t>
      </w:r>
      <w:r>
        <w:rPr>
          <w:rFonts w:ascii="Avenir Next"/>
          <w:spacing w:val="77"/>
          <w:sz w:val="16"/>
        </w:rPr>
        <w:t xml:space="preserve"> </w:t>
      </w:r>
      <w:r>
        <w:rPr>
          <w:rFonts w:ascii="Avenir Next"/>
          <w:sz w:val="16"/>
        </w:rPr>
        <w:t>advised by</w:t>
      </w:r>
      <w:r>
        <w:rPr>
          <w:rFonts w:ascii="Avenir Next"/>
          <w:spacing w:val="-3"/>
          <w:sz w:val="16"/>
        </w:rPr>
        <w:t xml:space="preserve"> </w:t>
      </w:r>
      <w:r>
        <w:rPr>
          <w:rFonts w:ascii="Avenir Next"/>
          <w:spacing w:val="-1"/>
          <w:sz w:val="16"/>
        </w:rPr>
        <w:t>ACTEW</w:t>
      </w:r>
      <w:r>
        <w:rPr>
          <w:rFonts w:ascii="Avenir Next"/>
          <w:spacing w:val="-2"/>
          <w:sz w:val="16"/>
        </w:rPr>
        <w:t xml:space="preserve"> </w:t>
      </w:r>
      <w:r>
        <w:rPr>
          <w:rFonts w:ascii="Avenir Next"/>
          <w:sz w:val="16"/>
        </w:rPr>
        <w:t>on 1 September 2009.</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Heading4"/>
        <w:numPr>
          <w:ilvl w:val="0"/>
          <w:numId w:val="34"/>
        </w:numPr>
        <w:tabs>
          <w:tab w:val="left" w:pos="1749"/>
        </w:tabs>
        <w:spacing w:before="9"/>
      </w:pPr>
      <w:bookmarkStart w:id="191" w:name="13._5_‘True_up’_adjustment"/>
      <w:bookmarkStart w:id="192" w:name="_bookmark124"/>
      <w:bookmarkEnd w:id="191"/>
      <w:bookmarkEnd w:id="192"/>
      <w:r>
        <w:rPr>
          <w:color w:val="0778BE"/>
        </w:rPr>
        <w:t>5</w:t>
      </w:r>
      <w:r>
        <w:rPr>
          <w:color w:val="0778BE"/>
          <w:spacing w:val="39"/>
        </w:rPr>
        <w:t xml:space="preserve"> </w:t>
      </w:r>
      <w:r>
        <w:rPr>
          <w:color w:val="0778BE"/>
          <w:spacing w:val="5"/>
        </w:rPr>
        <w:t>‘</w:t>
      </w:r>
      <w:r>
        <w:rPr>
          <w:color w:val="0778BE"/>
          <w:spacing w:val="-27"/>
        </w:rPr>
        <w:t>T</w:t>
      </w:r>
      <w:r>
        <w:rPr>
          <w:color w:val="0778BE"/>
        </w:rPr>
        <w:t>rue up’ adjustment</w:t>
      </w:r>
    </w:p>
    <w:p w:rsidR="00D96B91" w:rsidRDefault="00C2656B">
      <w:pPr>
        <w:pStyle w:val="BodyText"/>
        <w:spacing w:before="55" w:line="260" w:lineRule="exact"/>
        <w:ind w:right="1256"/>
      </w:pPr>
      <w:r>
        <w:t>As Chapter 7 discussed,</w:t>
      </w:r>
      <w:r>
        <w:rPr>
          <w:spacing w:val="-7"/>
        </w:rPr>
        <w:t xml:space="preserve"> </w:t>
      </w:r>
      <w:r>
        <w:t xml:space="preserve">the </w:t>
      </w:r>
      <w:r>
        <w:rPr>
          <w:spacing w:val="-3"/>
        </w:rPr>
        <w:t>Panel</w:t>
      </w:r>
      <w:r>
        <w:t xml:space="preserve"> decided </w:t>
      </w:r>
      <w:r>
        <w:rPr>
          <w:spacing w:val="-1"/>
        </w:rPr>
        <w:t>that</w:t>
      </w:r>
      <w:r>
        <w:t xml:space="preserve"> when </w:t>
      </w:r>
      <w:r>
        <w:rPr>
          <w:spacing w:val="-1"/>
        </w:rPr>
        <w:t>calculating</w:t>
      </w:r>
      <w:r>
        <w:t xml:space="preserve"> </w:t>
      </w:r>
      <w:r>
        <w:rPr>
          <w:spacing w:val="-1"/>
        </w:rPr>
        <w:t>water</w:t>
      </w:r>
      <w:r>
        <w:t xml:space="preserve"> and </w:t>
      </w:r>
      <w:r>
        <w:rPr>
          <w:spacing w:val="-1"/>
        </w:rPr>
        <w:t>sewerage</w:t>
      </w:r>
      <w:r>
        <w:t xml:space="preserve"> </w:t>
      </w:r>
      <w:r>
        <w:rPr>
          <w:spacing w:val="-1"/>
        </w:rPr>
        <w:t>charges</w:t>
      </w:r>
      <w:r>
        <w:t xml:space="preserve"> it should</w:t>
      </w:r>
      <w:r>
        <w:rPr>
          <w:spacing w:val="51"/>
        </w:rPr>
        <w:t xml:space="preserve"> </w:t>
      </w:r>
      <w:r>
        <w:rPr>
          <w:spacing w:val="-1"/>
        </w:rPr>
        <w:t xml:space="preserve">take </w:t>
      </w:r>
      <w:r>
        <w:t>into account the value of</w:t>
      </w:r>
      <w:r>
        <w:rPr>
          <w:spacing w:val="3"/>
        </w:rPr>
        <w:t xml:space="preserve"> </w:t>
      </w:r>
      <w:r>
        <w:t xml:space="preserve">any over or under </w:t>
      </w:r>
      <w:r>
        <w:rPr>
          <w:spacing w:val="-1"/>
        </w:rPr>
        <w:t>recovery</w:t>
      </w:r>
      <w:r>
        <w:t xml:space="preserve"> of</w:t>
      </w:r>
      <w:r>
        <w:rPr>
          <w:spacing w:val="3"/>
        </w:rPr>
        <w:t xml:space="preserve"> </w:t>
      </w:r>
      <w:r>
        <w:rPr>
          <w:spacing w:val="-1"/>
        </w:rPr>
        <w:t>revenue</w:t>
      </w:r>
      <w:r>
        <w:t xml:space="preserve"> by</w:t>
      </w:r>
      <w:r>
        <w:rPr>
          <w:spacing w:val="-4"/>
        </w:rPr>
        <w:t xml:space="preserve"> </w:t>
      </w:r>
      <w:r>
        <w:rPr>
          <w:spacing w:val="-2"/>
        </w:rPr>
        <w:t>ACTEW</w:t>
      </w:r>
      <w:r>
        <w:rPr>
          <w:spacing w:val="-3"/>
        </w:rPr>
        <w:t xml:space="preserve"> </w:t>
      </w:r>
      <w:r>
        <w:t>in the first</w:t>
      </w:r>
      <w:r>
        <w:rPr>
          <w:spacing w:val="-1"/>
        </w:rPr>
        <w:t xml:space="preserve"> </w:t>
      </w:r>
      <w:r>
        <w:t xml:space="preserve">two </w:t>
      </w:r>
      <w:r>
        <w:rPr>
          <w:spacing w:val="-1"/>
        </w:rPr>
        <w:t>years</w:t>
      </w:r>
    </w:p>
    <w:p w:rsidR="00D96B91" w:rsidRDefault="00C2656B">
      <w:pPr>
        <w:pStyle w:val="BodyText"/>
        <w:spacing w:line="260" w:lineRule="exact"/>
        <w:ind w:right="1548"/>
        <w:rPr>
          <w:rFonts w:cs="Avenir Next"/>
        </w:rPr>
      </w:pPr>
      <w:r>
        <w:t>of</w:t>
      </w:r>
      <w:r>
        <w:rPr>
          <w:spacing w:val="4"/>
        </w:rPr>
        <w:t xml:space="preserve"> </w:t>
      </w:r>
      <w:r>
        <w:t xml:space="preserve">the </w:t>
      </w:r>
      <w:r>
        <w:rPr>
          <w:spacing w:val="-1"/>
        </w:rPr>
        <w:t>regulatory</w:t>
      </w:r>
      <w:r>
        <w:t xml:space="preserve"> period.</w:t>
      </w:r>
      <w:r>
        <w:rPr>
          <w:spacing w:val="-11"/>
        </w:rPr>
        <w:t xml:space="preserve"> </w:t>
      </w:r>
      <w:r>
        <w:rPr>
          <w:spacing w:val="-2"/>
        </w:rPr>
        <w:t>The</w:t>
      </w:r>
      <w:r>
        <w:t xml:space="preserve"> </w:t>
      </w:r>
      <w:r>
        <w:rPr>
          <w:spacing w:val="-3"/>
        </w:rPr>
        <w:t>Panel</w:t>
      </w:r>
      <w:r>
        <w:t xml:space="preserve"> </w:t>
      </w:r>
      <w:r>
        <w:rPr>
          <w:spacing w:val="-1"/>
        </w:rPr>
        <w:t>calculated</w:t>
      </w:r>
      <w:r>
        <w:t xml:space="preserve"> the value of</w:t>
      </w:r>
      <w:r>
        <w:rPr>
          <w:spacing w:val="4"/>
        </w:rPr>
        <w:t xml:space="preserve"> </w:t>
      </w:r>
      <w:r>
        <w:t xml:space="preserve">the ‘true-up’ adjustment as the </w:t>
      </w:r>
      <w:r>
        <w:rPr>
          <w:spacing w:val="-1"/>
        </w:rPr>
        <w:t>difference</w:t>
      </w:r>
      <w:r>
        <w:rPr>
          <w:spacing w:val="39"/>
        </w:rPr>
        <w:t xml:space="preserve"> </w:t>
      </w:r>
      <w:r>
        <w:rPr>
          <w:rFonts w:cs="Avenir Next"/>
        </w:rPr>
        <w:t>between:</w:t>
      </w:r>
    </w:p>
    <w:p w:rsidR="00D96B91" w:rsidRDefault="00C2656B">
      <w:pPr>
        <w:pStyle w:val="BodyText"/>
        <w:numPr>
          <w:ilvl w:val="0"/>
          <w:numId w:val="131"/>
        </w:numPr>
        <w:tabs>
          <w:tab w:val="left" w:pos="1531"/>
        </w:tabs>
        <w:spacing w:before="170" w:line="260" w:lineRule="exact"/>
        <w:ind w:right="1453" w:hanging="283"/>
      </w:pP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w:t>
      </w:r>
      <w:r>
        <w:rPr>
          <w:rFonts w:cs="Avenir Next"/>
          <w:spacing w:val="-4"/>
        </w:rPr>
        <w:t xml:space="preserve"> </w:t>
      </w:r>
      <w:r>
        <w:rPr>
          <w:rFonts w:cs="Avenir Next"/>
          <w:spacing w:val="-2"/>
        </w:rPr>
        <w:t>ACTEW’s</w:t>
      </w:r>
      <w:r>
        <w:rPr>
          <w:rFonts w:cs="Avenir Next"/>
        </w:rPr>
        <w:t xml:space="preserve"> net </w:t>
      </w:r>
      <w:r>
        <w:rPr>
          <w:rFonts w:cs="Avenir Next"/>
          <w:spacing w:val="-1"/>
        </w:rPr>
        <w:t>revenue</w:t>
      </w:r>
      <w:r>
        <w:rPr>
          <w:rFonts w:cs="Avenir Next"/>
        </w:rPr>
        <w:t xml:space="preserve"> </w:t>
      </w:r>
      <w:r>
        <w:rPr>
          <w:rFonts w:cs="Avenir Next"/>
          <w:spacing w:val="-1"/>
        </w:rPr>
        <w:t>requirement</w:t>
      </w:r>
      <w:r>
        <w:rPr>
          <w:rFonts w:cs="Avenir Next"/>
        </w:rPr>
        <w:t xml:space="preserve"> for </w:t>
      </w:r>
      <w:r>
        <w:rPr>
          <w:rFonts w:cs="Avenir Next"/>
          <w:spacing w:val="-1"/>
        </w:rPr>
        <w:t>water</w:t>
      </w:r>
      <w:r>
        <w:rPr>
          <w:rFonts w:cs="Avenir Next"/>
        </w:rPr>
        <w:t xml:space="preserve"> and </w:t>
      </w:r>
      <w:r>
        <w:rPr>
          <w:rFonts w:cs="Avenir Next"/>
          <w:spacing w:val="-1"/>
        </w:rPr>
        <w:t>sewerage</w:t>
      </w:r>
      <w:r>
        <w:rPr>
          <w:rFonts w:cs="Avenir Next"/>
        </w:rPr>
        <w:t xml:space="preserve"> services in</w:t>
      </w:r>
      <w:r>
        <w:rPr>
          <w:rFonts w:cs="Avenir Next"/>
          <w:spacing w:val="49"/>
        </w:rPr>
        <w:t xml:space="preserve"> </w:t>
      </w:r>
      <w:r>
        <w:t xml:space="preserve">2013-14 and 2014-15 (adjusted to account for the </w:t>
      </w:r>
      <w:r>
        <w:rPr>
          <w:spacing w:val="-1"/>
        </w:rPr>
        <w:t>difference</w:t>
      </w:r>
      <w:r>
        <w:t xml:space="preserve"> in </w:t>
      </w:r>
      <w:r>
        <w:rPr>
          <w:spacing w:val="-1"/>
        </w:rPr>
        <w:t>taxes</w:t>
      </w:r>
      <w:r>
        <w:t xml:space="preserve"> </w:t>
      </w:r>
      <w:r>
        <w:rPr>
          <w:spacing w:val="-1"/>
        </w:rPr>
        <w:t>that</w:t>
      </w:r>
      <w:r>
        <w:t xml:space="preserve"> would be payable if</w:t>
      </w:r>
      <w:r>
        <w:rPr>
          <w:spacing w:val="4"/>
        </w:rPr>
        <w:t xml:space="preserve"> </w:t>
      </w:r>
      <w:r>
        <w:t>the</w:t>
      </w:r>
      <w:r>
        <w:rPr>
          <w:spacing w:val="28"/>
        </w:rPr>
        <w:t xml:space="preserve"> </w:t>
      </w:r>
      <w:r>
        <w:rPr>
          <w:spacing w:val="-2"/>
        </w:rPr>
        <w:t>ICRC’s</w:t>
      </w:r>
      <w:r>
        <w:rPr>
          <w:spacing w:val="-1"/>
        </w:rPr>
        <w:t xml:space="preserve"> </w:t>
      </w:r>
      <w:r>
        <w:t>prices applied</w:t>
      </w:r>
      <w:r>
        <w:rPr>
          <w:spacing w:val="-1"/>
        </w:rPr>
        <w:t xml:space="preserve"> </w:t>
      </w:r>
      <w:r>
        <w:t>in the</w:t>
      </w:r>
      <w:r>
        <w:rPr>
          <w:spacing w:val="-1"/>
        </w:rPr>
        <w:t xml:space="preserve"> </w:t>
      </w:r>
      <w:r>
        <w:t xml:space="preserve">first two </w:t>
      </w:r>
      <w:r>
        <w:rPr>
          <w:spacing w:val="-1"/>
        </w:rPr>
        <w:t>years),</w:t>
      </w:r>
      <w:r>
        <w:rPr>
          <w:spacing w:val="-7"/>
        </w:rPr>
        <w:t xml:space="preserve"> </w:t>
      </w:r>
      <w:r>
        <w:t>and</w:t>
      </w:r>
    </w:p>
    <w:p w:rsidR="00D96B91" w:rsidRDefault="00C2656B">
      <w:pPr>
        <w:pStyle w:val="BodyText"/>
        <w:numPr>
          <w:ilvl w:val="0"/>
          <w:numId w:val="131"/>
        </w:numPr>
        <w:tabs>
          <w:tab w:val="left" w:pos="1531"/>
        </w:tabs>
        <w:spacing w:before="85" w:line="260" w:lineRule="exact"/>
        <w:ind w:right="1408" w:hanging="283"/>
      </w:pPr>
      <w:r>
        <w:t xml:space="preserve">the net </w:t>
      </w:r>
      <w:r>
        <w:rPr>
          <w:spacing w:val="-1"/>
        </w:rPr>
        <w:t>revenue</w:t>
      </w:r>
      <w:r>
        <w:t xml:space="preserve"> </w:t>
      </w:r>
      <w:r>
        <w:rPr>
          <w:spacing w:val="-1"/>
        </w:rPr>
        <w:t>that</w:t>
      </w:r>
      <w:r>
        <w:rPr>
          <w:spacing w:val="-4"/>
        </w:rPr>
        <w:t xml:space="preserve"> </w:t>
      </w:r>
      <w:r>
        <w:rPr>
          <w:spacing w:val="-2"/>
        </w:rPr>
        <w:t>ACTEW</w:t>
      </w:r>
      <w:r>
        <w:rPr>
          <w:spacing w:val="-3"/>
        </w:rPr>
        <w:t xml:space="preserve"> </w:t>
      </w:r>
      <w:r>
        <w:t xml:space="preserve">is </w:t>
      </w:r>
      <w:r>
        <w:rPr>
          <w:spacing w:val="-1"/>
        </w:rPr>
        <w:t>expected</w:t>
      </w:r>
      <w:r>
        <w:t xml:space="preserve"> to </w:t>
      </w:r>
      <w:r>
        <w:rPr>
          <w:spacing w:val="-1"/>
        </w:rPr>
        <w:t>earn</w:t>
      </w:r>
      <w:r>
        <w:t xml:space="preserve"> </w:t>
      </w:r>
      <w:r>
        <w:rPr>
          <w:spacing w:val="-1"/>
        </w:rPr>
        <w:t>from</w:t>
      </w:r>
      <w:r>
        <w:t xml:space="preserve"> the </w:t>
      </w:r>
      <w:r>
        <w:rPr>
          <w:spacing w:val="-1"/>
        </w:rPr>
        <w:t>provision</w:t>
      </w:r>
      <w:r>
        <w:t xml:space="preserve"> of</w:t>
      </w:r>
      <w:r>
        <w:rPr>
          <w:spacing w:val="4"/>
        </w:rPr>
        <w:t xml:space="preserve"> </w:t>
      </w:r>
      <w:r>
        <w:rPr>
          <w:spacing w:val="-1"/>
        </w:rPr>
        <w:t>water</w:t>
      </w:r>
      <w:r>
        <w:t xml:space="preserve"> and </w:t>
      </w:r>
      <w:r>
        <w:rPr>
          <w:spacing w:val="-1"/>
        </w:rPr>
        <w:t>sewerage</w:t>
      </w:r>
      <w:r>
        <w:t xml:space="preserve"> services</w:t>
      </w:r>
      <w:r>
        <w:rPr>
          <w:spacing w:val="61"/>
        </w:rPr>
        <w:t xml:space="preserve"> </w:t>
      </w:r>
      <w:r>
        <w:t>in 2013-14 and 2014-15 given:</w:t>
      </w:r>
    </w:p>
    <w:p w:rsidR="00D96B91" w:rsidRDefault="00C2656B">
      <w:pPr>
        <w:pStyle w:val="BodyText"/>
        <w:numPr>
          <w:ilvl w:val="1"/>
          <w:numId w:val="131"/>
        </w:numPr>
        <w:tabs>
          <w:tab w:val="left" w:pos="1815"/>
        </w:tabs>
        <w:spacing w:before="93"/>
        <w:rPr>
          <w:rFonts w:cs="Avenir Next"/>
        </w:rPr>
      </w:pPr>
      <w:r>
        <w:t xml:space="preserve">the </w:t>
      </w:r>
      <w:r>
        <w:rPr>
          <w:spacing w:val="-1"/>
        </w:rPr>
        <w:t>water</w:t>
      </w:r>
      <w:r>
        <w:t xml:space="preserve"> and </w:t>
      </w:r>
      <w:r>
        <w:rPr>
          <w:spacing w:val="-1"/>
        </w:rPr>
        <w:t>sewerage</w:t>
      </w:r>
      <w:r>
        <w:t xml:space="preserve"> </w:t>
      </w:r>
      <w:r>
        <w:rPr>
          <w:spacing w:val="-1"/>
        </w:rPr>
        <w:t>charges</w:t>
      </w:r>
      <w:r>
        <w:t xml:space="preserve"> adopted by the ICRC in these two </w:t>
      </w:r>
      <w:r>
        <w:rPr>
          <w:spacing w:val="-1"/>
        </w:rPr>
        <w:t>years,</w:t>
      </w:r>
      <w:r>
        <w:rPr>
          <w:spacing w:val="-6"/>
        </w:rPr>
        <w:t xml:space="preserve"> </w:t>
      </w:r>
      <w:r>
        <w:t>and</w:t>
      </w:r>
    </w:p>
    <w:p w:rsidR="00D96B91" w:rsidRDefault="00C2656B">
      <w:pPr>
        <w:pStyle w:val="BodyText"/>
        <w:numPr>
          <w:ilvl w:val="1"/>
          <w:numId w:val="131"/>
        </w:numPr>
        <w:tabs>
          <w:tab w:val="left" w:pos="1815"/>
        </w:tabs>
        <w:spacing w:before="72"/>
      </w:pPr>
      <w:r>
        <w:rPr>
          <w:spacing w:val="-1"/>
        </w:rPr>
        <w:t>outturn</w:t>
      </w:r>
      <w:r>
        <w:t xml:space="preserve"> demand in 2013-14 and </w:t>
      </w:r>
      <w:r>
        <w:rPr>
          <w:spacing w:val="-1"/>
        </w:rPr>
        <w:t>expected</w:t>
      </w:r>
      <w:r>
        <w:t xml:space="preserve"> demand in 2014-15 (see Chapter 12).</w:t>
      </w:r>
    </w:p>
    <w:p w:rsidR="00D96B91" w:rsidRDefault="00D96B91">
      <w:pPr>
        <w:pStyle w:val="BodyText"/>
        <w:spacing w:before="149" w:line="260" w:lineRule="exact"/>
        <w:ind w:right="1881"/>
      </w:pPr>
      <w:hyperlink w:anchor="_bookmark125" w:history="1">
        <w:r w:rsidR="00C2656B">
          <w:rPr>
            <w:spacing w:val="-4"/>
          </w:rPr>
          <w:t>Table</w:t>
        </w:r>
        <w:r w:rsidR="00C2656B">
          <w:t xml:space="preserve"> 13.7</w:t>
        </w:r>
      </w:hyperlink>
      <w:r w:rsidR="00C2656B">
        <w:t xml:space="preserve"> </w:t>
      </w:r>
      <w:r w:rsidR="00C2656B">
        <w:rPr>
          <w:rFonts w:cs="Avenir Next"/>
        </w:rPr>
        <w:t xml:space="preserve">sets out this </w:t>
      </w:r>
      <w:r w:rsidR="00C2656B">
        <w:rPr>
          <w:rFonts w:cs="Avenir Next"/>
          <w:spacing w:val="-1"/>
        </w:rPr>
        <w:t>calculation</w:t>
      </w:r>
      <w:r w:rsidR="00C2656B">
        <w:rPr>
          <w:rFonts w:cs="Avenir Next"/>
        </w:rPr>
        <w:t xml:space="preserve"> and the </w:t>
      </w:r>
      <w:r w:rsidR="00C2656B">
        <w:rPr>
          <w:rFonts w:cs="Avenir Next"/>
          <w:spacing w:val="-4"/>
        </w:rPr>
        <w:t>Panel’s</w:t>
      </w:r>
      <w:r w:rsidR="00C2656B">
        <w:rPr>
          <w:rFonts w:cs="Avenir Next"/>
        </w:rPr>
        <w:t xml:space="preserve"> </w:t>
      </w:r>
      <w:r w:rsidR="00C2656B">
        <w:rPr>
          <w:rFonts w:cs="Avenir Next"/>
          <w:spacing w:val="-2"/>
        </w:rPr>
        <w:t>draft</w:t>
      </w:r>
      <w:r w:rsidR="00C2656B">
        <w:rPr>
          <w:rFonts w:cs="Avenir Next"/>
        </w:rPr>
        <w:t xml:space="preserve"> decision on the value of</w:t>
      </w:r>
      <w:r w:rsidR="00C2656B">
        <w:rPr>
          <w:rFonts w:cs="Avenir Next"/>
          <w:spacing w:val="4"/>
        </w:rPr>
        <w:t xml:space="preserve"> </w:t>
      </w:r>
      <w:r w:rsidR="00C2656B">
        <w:rPr>
          <w:rFonts w:cs="Avenir Next"/>
        </w:rPr>
        <w:t>the ‘true up’ for</w:t>
      </w:r>
      <w:r w:rsidR="00C2656B">
        <w:rPr>
          <w:rFonts w:cs="Avenir Next"/>
          <w:spacing w:val="35"/>
        </w:rPr>
        <w:t xml:space="preserve"> </w:t>
      </w:r>
      <w:r w:rsidR="00C2656B">
        <w:t xml:space="preserve">2013-14 and 2014-15 </w:t>
      </w:r>
      <w:r w:rsidR="00C2656B">
        <w:rPr>
          <w:spacing w:val="-1"/>
        </w:rPr>
        <w:t>that</w:t>
      </w:r>
      <w:r w:rsidR="00C2656B">
        <w:t xml:space="preserve"> needs to be </w:t>
      </w:r>
      <w:r w:rsidR="00C2656B">
        <w:rPr>
          <w:spacing w:val="-1"/>
        </w:rPr>
        <w:t>taken</w:t>
      </w:r>
      <w:r w:rsidR="00C2656B">
        <w:t xml:space="preserve"> into account in the last </w:t>
      </w:r>
      <w:r w:rsidR="00C2656B">
        <w:rPr>
          <w:spacing w:val="-1"/>
        </w:rPr>
        <w:t>three</w:t>
      </w:r>
      <w:r w:rsidR="00C2656B">
        <w:t xml:space="preserve"> </w:t>
      </w:r>
      <w:r w:rsidR="00C2656B">
        <w:rPr>
          <w:spacing w:val="-1"/>
        </w:rPr>
        <w:t>years</w:t>
      </w:r>
      <w:r w:rsidR="00C2656B">
        <w:t xml:space="preserve"> of</w:t>
      </w:r>
      <w:r w:rsidR="00C2656B">
        <w:rPr>
          <w:spacing w:val="4"/>
        </w:rPr>
        <w:t xml:space="preserve"> </w:t>
      </w:r>
      <w:r w:rsidR="00C2656B">
        <w:t xml:space="preserve">the </w:t>
      </w:r>
      <w:r w:rsidR="00C2656B">
        <w:rPr>
          <w:spacing w:val="-1"/>
        </w:rPr>
        <w:t>regulatory</w:t>
      </w:r>
      <w:r w:rsidR="00C2656B">
        <w:rPr>
          <w:spacing w:val="21"/>
        </w:rPr>
        <w:t xml:space="preserve"> </w:t>
      </w:r>
      <w:r w:rsidR="00C2656B">
        <w:t>period.</w:t>
      </w:r>
      <w:r w:rsidR="00C2656B">
        <w:rPr>
          <w:spacing w:val="-11"/>
        </w:rPr>
        <w:t xml:space="preserve"> </w:t>
      </w:r>
      <w:r w:rsidR="00C2656B">
        <w:rPr>
          <w:spacing w:val="-2"/>
        </w:rPr>
        <w:t>The</w:t>
      </w:r>
      <w:r w:rsidR="00C2656B">
        <w:t xml:space="preserve"> </w:t>
      </w:r>
      <w:r w:rsidR="00C2656B">
        <w:rPr>
          <w:spacing w:val="-1"/>
        </w:rPr>
        <w:t>calculations</w:t>
      </w:r>
      <w:r w:rsidR="00C2656B">
        <w:t xml:space="preserve"> underlying the </w:t>
      </w:r>
      <w:r w:rsidR="00C2656B">
        <w:rPr>
          <w:spacing w:val="-4"/>
        </w:rPr>
        <w:t>Panel’s</w:t>
      </w:r>
      <w:r w:rsidR="00C2656B">
        <w:t xml:space="preserve"> </w:t>
      </w:r>
      <w:r w:rsidR="00C2656B">
        <w:rPr>
          <w:spacing w:val="-1"/>
        </w:rPr>
        <w:t>estimate</w:t>
      </w:r>
      <w:r w:rsidR="00C2656B">
        <w:t xml:space="preserve"> of</w:t>
      </w:r>
      <w:r w:rsidR="00C2656B">
        <w:rPr>
          <w:spacing w:val="4"/>
        </w:rPr>
        <w:t xml:space="preserve"> </w:t>
      </w:r>
      <w:r w:rsidR="00C2656B">
        <w:t xml:space="preserve">the net </w:t>
      </w:r>
      <w:r w:rsidR="00C2656B">
        <w:rPr>
          <w:spacing w:val="-1"/>
        </w:rPr>
        <w:t>revenue</w:t>
      </w:r>
      <w:r w:rsidR="00C2656B">
        <w:rPr>
          <w:spacing w:val="-4"/>
        </w:rPr>
        <w:t xml:space="preserve"> </w:t>
      </w:r>
      <w:r w:rsidR="00C2656B">
        <w:rPr>
          <w:spacing w:val="-2"/>
        </w:rPr>
        <w:t>ACTEW</w:t>
      </w:r>
      <w:r w:rsidR="00C2656B">
        <w:rPr>
          <w:spacing w:val="-3"/>
        </w:rPr>
        <w:t xml:space="preserve"> </w:t>
      </w:r>
      <w:r w:rsidR="00C2656B">
        <w:t xml:space="preserve">will </w:t>
      </w:r>
      <w:r w:rsidR="00C2656B">
        <w:rPr>
          <w:spacing w:val="-1"/>
        </w:rPr>
        <w:t>earn</w:t>
      </w:r>
      <w:r w:rsidR="00C2656B">
        <w:t xml:space="preserve"> in</w:t>
      </w:r>
      <w:r w:rsidR="00C2656B">
        <w:rPr>
          <w:spacing w:val="67"/>
        </w:rPr>
        <w:t xml:space="preserve"> </w:t>
      </w:r>
      <w:r w:rsidR="00C2656B">
        <w:t xml:space="preserve">2013-14 and 2014-15 </w:t>
      </w:r>
      <w:r w:rsidR="00C2656B">
        <w:rPr>
          <w:spacing w:val="-2"/>
        </w:rPr>
        <w:t>are</w:t>
      </w:r>
      <w:r w:rsidR="00C2656B">
        <w:t xml:space="preserve"> set out in</w:t>
      </w:r>
      <w:r w:rsidR="00C2656B">
        <w:rPr>
          <w:spacing w:val="-5"/>
        </w:rPr>
        <w:t xml:space="preserve"> </w:t>
      </w:r>
      <w:r w:rsidR="00C2656B">
        <w:rPr>
          <w:spacing w:val="-4"/>
        </w:rPr>
        <w:t>Table</w:t>
      </w:r>
      <w:r w:rsidR="00C2656B">
        <w:t xml:space="preserve"> 13.8.</w:t>
      </w:r>
    </w:p>
    <w:p w:rsidR="00D96B91" w:rsidRDefault="00D96B91">
      <w:pPr>
        <w:spacing w:before="158"/>
        <w:ind w:left="1247"/>
        <w:rPr>
          <w:rFonts w:ascii="Avenir Next" w:eastAsia="Avenir Next" w:hAnsi="Avenir Next" w:cs="Avenir Next"/>
          <w:sz w:val="20"/>
          <w:szCs w:val="20"/>
        </w:rPr>
      </w:pPr>
      <w:r w:rsidRPr="00D96B91">
        <w:pict>
          <v:group id="_x0000_s1803" style="position:absolute;left:0;text-align:left;margin-left:337.15pt;margin-top:25.25pt;width:.1pt;height:19.85pt;z-index:-251717120;mso-position-horizontal-relative:page" coordorigin="6743,505" coordsize="2,397">
            <v:shape id="_x0000_s1804" style="position:absolute;left:6743;top:505;width:2;height:397" coordorigin="6743,505" coordsize="0,397" path="m6743,902r,-397e" filled="f" strokecolor="#1a9eda" strokeweight=".5pt">
              <v:path arrowok="t"/>
            </v:shape>
            <w10:wrap anchorx="page"/>
          </v:group>
        </w:pict>
      </w:r>
      <w:r w:rsidRPr="00D96B91">
        <w:pict>
          <v:group id="_x0000_s1801" style="position:absolute;left:0;text-align:left;margin-left:434.9pt;margin-top:25.25pt;width:.1pt;height:19.85pt;z-index:-251716096;mso-position-horizontal-relative:page" coordorigin="8698,505" coordsize="2,397">
            <v:shape id="_x0000_s1802" style="position:absolute;left:8698;top:505;width:2;height:397" coordorigin="8698,505" coordsize="0,397" path="m8698,902r,-397e" filled="f" strokecolor="#1a9eda" strokeweight=".5pt">
              <v:path arrowok="t"/>
            </v:shape>
            <w10:wrap anchorx="page"/>
          </v:group>
        </w:pict>
      </w:r>
      <w:bookmarkStart w:id="193" w:name="_bookmark125"/>
      <w:bookmarkEnd w:id="193"/>
      <w:r w:rsidR="00C2656B">
        <w:rPr>
          <w:rFonts w:ascii="Avenir Next" w:eastAsia="Avenir Next" w:hAnsi="Avenir Next" w:cs="Avenir Next"/>
          <w:b/>
          <w:bCs/>
          <w:spacing w:val="-4"/>
          <w:sz w:val="20"/>
          <w:szCs w:val="20"/>
        </w:rPr>
        <w:t>Table</w:t>
      </w:r>
      <w:r w:rsidR="00C2656B">
        <w:rPr>
          <w:rFonts w:ascii="Avenir Next" w:eastAsia="Avenir Next" w:hAnsi="Avenir Next" w:cs="Avenir Next"/>
          <w:b/>
          <w:bCs/>
          <w:sz w:val="20"/>
          <w:szCs w:val="20"/>
        </w:rPr>
        <w:t xml:space="preserve"> 13.7: </w:t>
      </w:r>
      <w:r w:rsidR="00C2656B">
        <w:rPr>
          <w:rFonts w:ascii="Avenir Next" w:eastAsia="Avenir Next" w:hAnsi="Avenir Next" w:cs="Avenir Next"/>
          <w:b/>
          <w:bCs/>
          <w:spacing w:val="-2"/>
          <w:sz w:val="20"/>
          <w:szCs w:val="20"/>
        </w:rPr>
        <w:t>Draft</w:t>
      </w:r>
      <w:r w:rsidR="00C2656B">
        <w:rPr>
          <w:rFonts w:ascii="Avenir Next" w:eastAsia="Avenir Next" w:hAnsi="Avenir Next" w:cs="Avenir Next"/>
          <w:b/>
          <w:bCs/>
          <w:sz w:val="20"/>
          <w:szCs w:val="20"/>
        </w:rPr>
        <w:t xml:space="preserve"> decision – </w:t>
      </w:r>
      <w:r w:rsidR="00C2656B">
        <w:rPr>
          <w:rFonts w:ascii="Avenir Next" w:eastAsia="Avenir Next" w:hAnsi="Avenir Next" w:cs="Avenir Next"/>
          <w:b/>
          <w:bCs/>
          <w:spacing w:val="-3"/>
          <w:sz w:val="20"/>
          <w:szCs w:val="20"/>
        </w:rPr>
        <w:t>‘True</w:t>
      </w:r>
      <w:r w:rsidR="00C2656B">
        <w:rPr>
          <w:rFonts w:ascii="Avenir Next" w:eastAsia="Avenir Next" w:hAnsi="Avenir Next" w:cs="Avenir Next"/>
          <w:b/>
          <w:bCs/>
          <w:sz w:val="20"/>
          <w:szCs w:val="20"/>
        </w:rPr>
        <w:t xml:space="preserve"> up’ adjustment 2013-14 and 2014-15 ($m,</w:t>
      </w:r>
      <w:r w:rsidR="00C2656B">
        <w:rPr>
          <w:rFonts w:ascii="Avenir Next" w:eastAsia="Avenir Next" w:hAnsi="Avenir Next" w:cs="Avenir Next"/>
          <w:b/>
          <w:bCs/>
          <w:spacing w:val="-7"/>
          <w:sz w:val="20"/>
          <w:szCs w:val="20"/>
        </w:rPr>
        <w:t xml:space="preserve"> </w:t>
      </w:r>
      <w:r w:rsidR="00C2656B">
        <w:rPr>
          <w:rFonts w:ascii="Avenir Next" w:eastAsia="Avenir Next" w:hAnsi="Avenir Next" w:cs="Avenir Next"/>
          <w:b/>
          <w:bCs/>
          <w:sz w:val="20"/>
          <w:szCs w:val="20"/>
        </w:rPr>
        <w:t>nominal)</w:t>
      </w:r>
    </w:p>
    <w:p w:rsidR="00D96B91" w:rsidRDefault="00D96B91">
      <w:pPr>
        <w:spacing w:before="1"/>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5491"/>
        <w:gridCol w:w="1955"/>
        <w:gridCol w:w="1955"/>
      </w:tblGrid>
      <w:tr w:rsidR="00D96B91">
        <w:trPr>
          <w:trHeight w:hRule="exact" w:val="407"/>
        </w:trPr>
        <w:tc>
          <w:tcPr>
            <w:tcW w:w="5491"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955" w:type="dxa"/>
            <w:tcBorders>
              <w:top w:val="single" w:sz="4" w:space="0" w:color="1A9EDA"/>
              <w:left w:val="nil"/>
              <w:bottom w:val="single" w:sz="4" w:space="0" w:color="1A9EDA"/>
              <w:right w:val="nil"/>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955" w:type="dxa"/>
            <w:tcBorders>
              <w:top w:val="single" w:sz="4" w:space="0" w:color="1A9EDA"/>
              <w:left w:val="nil"/>
              <w:bottom w:val="single" w:sz="4" w:space="0" w:color="1A9EDA"/>
              <w:right w:val="single" w:sz="4" w:space="0" w:color="1A9EDA"/>
            </w:tcBorders>
            <w:shd w:val="clear" w:color="auto" w:fill="0778BE"/>
          </w:tcPr>
          <w:p w:rsidR="00D96B91" w:rsidRDefault="00C2656B">
            <w:pPr>
              <w:pStyle w:val="TableParagraph"/>
              <w:spacing w:before="108"/>
              <w:ind w:left="4"/>
              <w:jc w:val="center"/>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trPr>
          <w:trHeight w:hRule="exact" w:val="407"/>
        </w:trPr>
        <w:tc>
          <w:tcPr>
            <w:tcW w:w="9401" w:type="dxa"/>
            <w:gridSpan w:val="3"/>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(a) Net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8"/>
              <w:jc w:val="center"/>
              <w:rPr>
                <w:rFonts w:ascii="Avenir Next Condensed" w:eastAsia="Avenir Next Condensed" w:hAnsi="Avenir Next Condensed" w:cs="Avenir Next Condensed"/>
                <w:sz w:val="18"/>
                <w:szCs w:val="18"/>
              </w:rPr>
            </w:pPr>
            <w:r>
              <w:rPr>
                <w:rFonts w:ascii="Avenir Next Condensed"/>
                <w:sz w:val="18"/>
              </w:rPr>
              <w:t>165.46</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8"/>
              <w:jc w:val="center"/>
              <w:rPr>
                <w:rFonts w:ascii="Avenir Next Condensed" w:eastAsia="Avenir Next Condensed" w:hAnsi="Avenir Next Condensed" w:cs="Avenir Next Condensed"/>
                <w:sz w:val="18"/>
                <w:szCs w:val="18"/>
              </w:rPr>
            </w:pPr>
            <w:r>
              <w:rPr>
                <w:rFonts w:ascii="Avenir Next Condensed"/>
                <w:sz w:val="18"/>
              </w:rPr>
              <w:t>175.41</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w:t>
            </w:r>
            <w:r>
              <w:rPr>
                <w:rFonts w:ascii="Avenir Next Condensed"/>
                <w:spacing w:val="-4"/>
                <w:sz w:val="18"/>
              </w:rPr>
              <w:t xml:space="preserve"> </w:t>
            </w:r>
            <w:r>
              <w:rPr>
                <w:rFonts w:ascii="Avenir Next Condensed"/>
                <w:sz w:val="18"/>
              </w:rPr>
              <w:t xml:space="preserve">Adjustment to </w:t>
            </w:r>
            <w:r>
              <w:rPr>
                <w:rFonts w:ascii="Avenir Next Condensed"/>
                <w:spacing w:val="-1"/>
                <w:sz w:val="18"/>
              </w:rPr>
              <w:t>reflect</w:t>
            </w:r>
            <w:r>
              <w:rPr>
                <w:rFonts w:ascii="Avenir Next Condensed"/>
                <w:sz w:val="18"/>
              </w:rPr>
              <w:t xml:space="preserve"> modified net tax liabilities</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87"/>
              <w:jc w:val="center"/>
              <w:rPr>
                <w:rFonts w:ascii="Avenir Next Condensed" w:eastAsia="Avenir Next Condensed" w:hAnsi="Avenir Next Condensed" w:cs="Avenir Next Condensed"/>
                <w:sz w:val="18"/>
                <w:szCs w:val="18"/>
              </w:rPr>
            </w:pPr>
            <w:r>
              <w:rPr>
                <w:rFonts w:ascii="Avenir Next Condensed"/>
                <w:sz w:val="18"/>
              </w:rPr>
              <w:t>1.50</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87"/>
              <w:jc w:val="center"/>
              <w:rPr>
                <w:rFonts w:ascii="Avenir Next Condensed" w:eastAsia="Avenir Next Condensed" w:hAnsi="Avenir Next Condensed" w:cs="Avenir Next Condensed"/>
                <w:sz w:val="18"/>
                <w:szCs w:val="18"/>
              </w:rPr>
            </w:pPr>
            <w:r>
              <w:rPr>
                <w:rFonts w:ascii="Avenir Next Condensed"/>
                <w:sz w:val="18"/>
              </w:rPr>
              <w:t>2.80</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(c)</w:t>
            </w:r>
            <w:r>
              <w:rPr>
                <w:rFonts w:ascii="Avenir Next Condensed"/>
                <w:spacing w:val="-4"/>
                <w:sz w:val="18"/>
              </w:rPr>
              <w:t xml:space="preserve"> </w:t>
            </w:r>
            <w:r>
              <w:rPr>
                <w:rFonts w:ascii="Avenir Next Condensed"/>
                <w:sz w:val="18"/>
              </w:rPr>
              <w:t xml:space="preserve">Adjusted net </w:t>
            </w:r>
            <w:r>
              <w:rPr>
                <w:rFonts w:ascii="Avenir Next Condensed"/>
                <w:spacing w:val="-1"/>
                <w:sz w:val="18"/>
              </w:rPr>
              <w:t>revenue</w:t>
            </w:r>
            <w:r>
              <w:rPr>
                <w:rFonts w:ascii="Avenir Next Condensed"/>
                <w:sz w:val="18"/>
              </w:rPr>
              <w:t xml:space="preserve"> </w:t>
            </w:r>
            <w:r>
              <w:rPr>
                <w:rFonts w:ascii="Avenir Next Condensed"/>
                <w:spacing w:val="-1"/>
                <w:sz w:val="18"/>
              </w:rPr>
              <w:t>requirement</w:t>
            </w:r>
            <w:r>
              <w:rPr>
                <w:rFonts w:ascii="Avenir Next Condensed"/>
                <w:sz w:val="18"/>
              </w:rPr>
              <w:t xml:space="preserve"> ((a)+(b))</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
              <w:jc w:val="center"/>
              <w:rPr>
                <w:rFonts w:ascii="Avenir Next Condensed" w:eastAsia="Avenir Next Condensed" w:hAnsi="Avenir Next Condensed" w:cs="Avenir Next Condensed"/>
                <w:sz w:val="18"/>
                <w:szCs w:val="18"/>
              </w:rPr>
            </w:pPr>
            <w:r>
              <w:rPr>
                <w:rFonts w:ascii="Avenir Next Condensed"/>
                <w:sz w:val="18"/>
              </w:rPr>
              <w:t>166.96</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
              <w:jc w:val="center"/>
              <w:rPr>
                <w:rFonts w:ascii="Avenir Next Condensed" w:eastAsia="Avenir Next Condensed" w:hAnsi="Avenir Next Condensed" w:cs="Avenir Next Condensed"/>
                <w:sz w:val="18"/>
                <w:szCs w:val="18"/>
              </w:rPr>
            </w:pPr>
            <w:r>
              <w:rPr>
                <w:rFonts w:ascii="Avenir Next Condensed"/>
                <w:sz w:val="18"/>
              </w:rPr>
              <w:t>178.21</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(d) Net </w:t>
            </w:r>
            <w:r>
              <w:rPr>
                <w:rFonts w:ascii="Avenir Next Condensed"/>
                <w:spacing w:val="-1"/>
                <w:sz w:val="18"/>
              </w:rPr>
              <w:t>revenue</w:t>
            </w:r>
            <w:r>
              <w:rPr>
                <w:rFonts w:ascii="Avenir Next Condensed"/>
                <w:sz w:val="18"/>
              </w:rPr>
              <w:t xml:space="preserve"> </w:t>
            </w:r>
            <w:r>
              <w:rPr>
                <w:rFonts w:ascii="Avenir Next Condensed"/>
                <w:spacing w:val="-1"/>
                <w:sz w:val="18"/>
              </w:rPr>
              <w:t>expected</w:t>
            </w:r>
            <w:r>
              <w:rPr>
                <w:rFonts w:ascii="Avenir Next Condensed"/>
                <w:sz w:val="18"/>
              </w:rPr>
              <w:t xml:space="preserve"> to be </w:t>
            </w:r>
            <w:r>
              <w:rPr>
                <w:rFonts w:ascii="Avenir Next Condensed"/>
                <w:spacing w:val="-1"/>
                <w:sz w:val="18"/>
              </w:rPr>
              <w:t>earned</w:t>
            </w:r>
            <w:r>
              <w:rPr>
                <w:rFonts w:ascii="Avenir Next Condensed"/>
                <w:sz w:val="18"/>
              </w:rPr>
              <w:t xml:space="preserve"> by</w:t>
            </w:r>
            <w:r>
              <w:rPr>
                <w:rFonts w:ascii="Avenir Next Condensed"/>
                <w:spacing w:val="-4"/>
                <w:sz w:val="18"/>
              </w:rPr>
              <w:t xml:space="preserve"> </w:t>
            </w:r>
            <w:r>
              <w:rPr>
                <w:rFonts w:ascii="Avenir Next Condensed"/>
                <w:spacing w:val="-1"/>
                <w:sz w:val="18"/>
              </w:rPr>
              <w:t>ACTEW</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
              <w:jc w:val="center"/>
              <w:rPr>
                <w:rFonts w:ascii="Avenir Next Condensed" w:eastAsia="Avenir Next Condensed" w:hAnsi="Avenir Next Condensed" w:cs="Avenir Next Condensed"/>
                <w:sz w:val="18"/>
                <w:szCs w:val="18"/>
              </w:rPr>
            </w:pPr>
            <w:r>
              <w:rPr>
                <w:rFonts w:ascii="Avenir Next Condensed"/>
                <w:sz w:val="18"/>
              </w:rPr>
              <w:t>169.55</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
              <w:jc w:val="center"/>
              <w:rPr>
                <w:rFonts w:ascii="Avenir Next Condensed" w:eastAsia="Avenir Next Condensed" w:hAnsi="Avenir Next Condensed" w:cs="Avenir Next Condensed"/>
                <w:sz w:val="18"/>
                <w:szCs w:val="18"/>
              </w:rPr>
            </w:pPr>
            <w:r>
              <w:rPr>
                <w:rFonts w:ascii="Avenir Next Condensed"/>
                <w:sz w:val="18"/>
              </w:rPr>
              <w:t>186.30</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b/>
                <w:sz w:val="18"/>
              </w:rPr>
              <w:t>(e)</w:t>
            </w:r>
            <w:r>
              <w:rPr>
                <w:rFonts w:ascii="Avenir Next Condensed"/>
                <w:b/>
                <w:spacing w:val="-5"/>
                <w:sz w:val="18"/>
              </w:rPr>
              <w:t xml:space="preserve"> </w:t>
            </w:r>
            <w:r>
              <w:rPr>
                <w:rFonts w:ascii="Avenir Next Condensed"/>
                <w:b/>
                <w:spacing w:val="-1"/>
                <w:sz w:val="18"/>
              </w:rPr>
              <w:t>True-up</w:t>
            </w:r>
            <w:r>
              <w:rPr>
                <w:rFonts w:ascii="Avenir Next Condensed"/>
                <w:b/>
                <w:sz w:val="18"/>
              </w:rPr>
              <w:t xml:space="preserve"> ((c)-(d)) </w:t>
            </w:r>
            <w:r>
              <w:rPr>
                <w:rFonts w:ascii="Avenir Next Condensed"/>
                <w:sz w:val="18"/>
              </w:rPr>
              <w:t xml:space="preserve">(Negative: over </w:t>
            </w:r>
            <w:r>
              <w:rPr>
                <w:rFonts w:ascii="Avenir Next Condensed"/>
                <w:spacing w:val="-1"/>
                <w:sz w:val="18"/>
              </w:rPr>
              <w:t>recovery,</w:t>
            </w:r>
            <w:r>
              <w:rPr>
                <w:rFonts w:ascii="Avenir Next Condensed"/>
                <w:spacing w:val="-6"/>
                <w:sz w:val="18"/>
              </w:rPr>
              <w:t xml:space="preserve"> </w:t>
            </w:r>
            <w:r>
              <w:rPr>
                <w:rFonts w:ascii="Avenir Next Condensed"/>
                <w:spacing w:val="-1"/>
                <w:sz w:val="18"/>
              </w:rPr>
              <w:t>Positive:</w:t>
            </w:r>
            <w:r>
              <w:rPr>
                <w:rFonts w:ascii="Avenir Next Condensed"/>
                <w:sz w:val="18"/>
              </w:rPr>
              <w:t xml:space="preserve"> under </w:t>
            </w:r>
            <w:r>
              <w:rPr>
                <w:rFonts w:ascii="Avenir Next Condensed"/>
                <w:spacing w:val="-1"/>
                <w:sz w:val="18"/>
              </w:rPr>
              <w:t>recovery)</w:t>
            </w:r>
          </w:p>
        </w:tc>
        <w:tc>
          <w:tcPr>
            <w:tcW w:w="19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22"/>
              <w:jc w:val="center"/>
              <w:rPr>
                <w:rFonts w:ascii="Avenir Next Condensed" w:eastAsia="Avenir Next Condensed" w:hAnsi="Avenir Next Condensed" w:cs="Avenir Next Condensed"/>
                <w:sz w:val="18"/>
                <w:szCs w:val="18"/>
              </w:rPr>
            </w:pPr>
            <w:r>
              <w:rPr>
                <w:rFonts w:ascii="Avenir Next Condensed"/>
                <w:b/>
                <w:sz w:val="18"/>
              </w:rPr>
              <w:t>-2.59</w:t>
            </w:r>
          </w:p>
        </w:tc>
        <w:tc>
          <w:tcPr>
            <w:tcW w:w="19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22"/>
              <w:jc w:val="center"/>
              <w:rPr>
                <w:rFonts w:ascii="Avenir Next Condensed" w:eastAsia="Avenir Next Condensed" w:hAnsi="Avenir Next Condensed" w:cs="Avenir Next Condensed"/>
                <w:sz w:val="18"/>
                <w:szCs w:val="18"/>
              </w:rPr>
            </w:pPr>
            <w:r>
              <w:rPr>
                <w:rFonts w:ascii="Avenir Next Condensed"/>
                <w:b/>
                <w:sz w:val="18"/>
              </w:rPr>
              <w:t>-8.10</w:t>
            </w:r>
          </w:p>
        </w:tc>
      </w:tr>
      <w:tr w:rsidR="00D96B91">
        <w:trPr>
          <w:trHeight w:hRule="exact" w:val="407"/>
        </w:trPr>
        <w:tc>
          <w:tcPr>
            <w:tcW w:w="9401" w:type="dxa"/>
            <w:gridSpan w:val="3"/>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(a) Net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
              <w:jc w:val="center"/>
              <w:rPr>
                <w:rFonts w:ascii="Avenir Next Condensed" w:eastAsia="Avenir Next Condensed" w:hAnsi="Avenir Next Condensed" w:cs="Avenir Next Condensed"/>
                <w:sz w:val="18"/>
                <w:szCs w:val="18"/>
              </w:rPr>
            </w:pPr>
            <w:r>
              <w:rPr>
                <w:rFonts w:ascii="Avenir Next Condensed"/>
                <w:sz w:val="18"/>
              </w:rPr>
              <w:t>109.27</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
              <w:jc w:val="center"/>
              <w:rPr>
                <w:rFonts w:ascii="Avenir Next Condensed" w:eastAsia="Avenir Next Condensed" w:hAnsi="Avenir Next Condensed" w:cs="Avenir Next Condensed"/>
                <w:sz w:val="18"/>
                <w:szCs w:val="18"/>
              </w:rPr>
            </w:pPr>
            <w:r>
              <w:rPr>
                <w:rFonts w:ascii="Avenir Next Condensed"/>
                <w:sz w:val="18"/>
              </w:rPr>
              <w:t>113.93</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(b)</w:t>
            </w:r>
            <w:r>
              <w:rPr>
                <w:rFonts w:ascii="Avenir Next Condensed"/>
                <w:spacing w:val="-4"/>
                <w:sz w:val="18"/>
              </w:rPr>
              <w:t xml:space="preserve"> </w:t>
            </w:r>
            <w:r>
              <w:rPr>
                <w:rFonts w:ascii="Avenir Next Condensed"/>
                <w:sz w:val="18"/>
              </w:rPr>
              <w:t xml:space="preserve">Adjustment to </w:t>
            </w:r>
            <w:r>
              <w:rPr>
                <w:rFonts w:ascii="Avenir Next Condensed"/>
                <w:spacing w:val="-1"/>
                <w:sz w:val="18"/>
              </w:rPr>
              <w:t>reflect</w:t>
            </w:r>
            <w:r>
              <w:rPr>
                <w:rFonts w:ascii="Avenir Next Condensed"/>
                <w:sz w:val="18"/>
              </w:rPr>
              <w:t xml:space="preserve"> modified net tax liabilities</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4"/>
              <w:jc w:val="center"/>
              <w:rPr>
                <w:rFonts w:ascii="Avenir Next Condensed" w:eastAsia="Avenir Next Condensed" w:hAnsi="Avenir Next Condensed" w:cs="Avenir Next Condensed"/>
                <w:sz w:val="18"/>
                <w:szCs w:val="18"/>
              </w:rPr>
            </w:pPr>
            <w:r>
              <w:rPr>
                <w:rFonts w:ascii="Avenir Next Condensed"/>
                <w:sz w:val="18"/>
              </w:rPr>
              <w:t>-0.26</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4"/>
              <w:jc w:val="center"/>
              <w:rPr>
                <w:rFonts w:ascii="Avenir Next Condensed" w:eastAsia="Avenir Next Condensed" w:hAnsi="Avenir Next Condensed" w:cs="Avenir Next Condensed"/>
                <w:sz w:val="18"/>
                <w:szCs w:val="18"/>
              </w:rPr>
            </w:pPr>
            <w:r>
              <w:rPr>
                <w:rFonts w:ascii="Avenir Next Condensed"/>
                <w:sz w:val="18"/>
              </w:rPr>
              <w:t>-0.23</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z w:val="18"/>
              </w:rPr>
              <w:t>(c)</w:t>
            </w:r>
            <w:r>
              <w:rPr>
                <w:rFonts w:ascii="Avenir Next Condensed"/>
                <w:spacing w:val="-4"/>
                <w:sz w:val="18"/>
              </w:rPr>
              <w:t xml:space="preserve"> </w:t>
            </w:r>
            <w:r>
              <w:rPr>
                <w:rFonts w:ascii="Avenir Next Condensed"/>
                <w:sz w:val="18"/>
              </w:rPr>
              <w:t xml:space="preserve">Adjusted net </w:t>
            </w:r>
            <w:r>
              <w:rPr>
                <w:rFonts w:ascii="Avenir Next Condensed"/>
                <w:spacing w:val="-1"/>
                <w:sz w:val="18"/>
              </w:rPr>
              <w:t>revenue</w:t>
            </w:r>
            <w:r>
              <w:rPr>
                <w:rFonts w:ascii="Avenir Next Condensed"/>
                <w:sz w:val="18"/>
              </w:rPr>
              <w:t xml:space="preserve"> </w:t>
            </w:r>
            <w:r>
              <w:rPr>
                <w:rFonts w:ascii="Avenir Next Condensed"/>
                <w:spacing w:val="-1"/>
                <w:sz w:val="18"/>
              </w:rPr>
              <w:t>requirement</w:t>
            </w:r>
            <w:r>
              <w:rPr>
                <w:rFonts w:ascii="Avenir Next Condensed"/>
                <w:sz w:val="18"/>
              </w:rPr>
              <w:t xml:space="preserve"> ((a)+(b))</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
              <w:jc w:val="center"/>
              <w:rPr>
                <w:rFonts w:ascii="Avenir Next Condensed" w:eastAsia="Avenir Next Condensed" w:hAnsi="Avenir Next Condensed" w:cs="Avenir Next Condensed"/>
                <w:sz w:val="18"/>
                <w:szCs w:val="18"/>
              </w:rPr>
            </w:pPr>
            <w:r>
              <w:rPr>
                <w:rFonts w:ascii="Avenir Next Condensed"/>
                <w:sz w:val="18"/>
              </w:rPr>
              <w:t>109.02</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
              <w:jc w:val="center"/>
              <w:rPr>
                <w:rFonts w:ascii="Avenir Next Condensed" w:eastAsia="Avenir Next Condensed" w:hAnsi="Avenir Next Condensed" w:cs="Avenir Next Condensed"/>
                <w:sz w:val="18"/>
                <w:szCs w:val="18"/>
              </w:rPr>
            </w:pPr>
            <w:r>
              <w:rPr>
                <w:rFonts w:ascii="Avenir Next Condensed"/>
                <w:sz w:val="18"/>
              </w:rPr>
              <w:t>113.70</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sz w:val="18"/>
              </w:rPr>
              <w:t xml:space="preserve">(d) Net </w:t>
            </w:r>
            <w:r>
              <w:rPr>
                <w:rFonts w:ascii="Avenir Next Condensed"/>
                <w:spacing w:val="-1"/>
                <w:sz w:val="18"/>
              </w:rPr>
              <w:t>revenue</w:t>
            </w:r>
            <w:r>
              <w:rPr>
                <w:rFonts w:ascii="Avenir Next Condensed"/>
                <w:sz w:val="18"/>
              </w:rPr>
              <w:t xml:space="preserve"> </w:t>
            </w:r>
            <w:r>
              <w:rPr>
                <w:rFonts w:ascii="Avenir Next Condensed"/>
                <w:spacing w:val="-1"/>
                <w:sz w:val="18"/>
              </w:rPr>
              <w:t>expected</w:t>
            </w:r>
            <w:r>
              <w:rPr>
                <w:rFonts w:ascii="Avenir Next Condensed"/>
                <w:sz w:val="18"/>
              </w:rPr>
              <w:t xml:space="preserve"> to be </w:t>
            </w:r>
            <w:r>
              <w:rPr>
                <w:rFonts w:ascii="Avenir Next Condensed"/>
                <w:spacing w:val="-1"/>
                <w:sz w:val="18"/>
              </w:rPr>
              <w:t>earned</w:t>
            </w:r>
            <w:r>
              <w:rPr>
                <w:rFonts w:ascii="Avenir Next Condensed"/>
                <w:sz w:val="18"/>
              </w:rPr>
              <w:t xml:space="preserve"> by</w:t>
            </w:r>
            <w:r>
              <w:rPr>
                <w:rFonts w:ascii="Avenir Next Condensed"/>
                <w:spacing w:val="-4"/>
                <w:sz w:val="18"/>
              </w:rPr>
              <w:t xml:space="preserve"> </w:t>
            </w:r>
            <w:r>
              <w:rPr>
                <w:rFonts w:ascii="Avenir Next Condensed"/>
                <w:spacing w:val="-1"/>
                <w:sz w:val="18"/>
              </w:rPr>
              <w:t>ACTEW</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
              <w:jc w:val="center"/>
              <w:rPr>
                <w:rFonts w:ascii="Avenir Next Condensed" w:eastAsia="Avenir Next Condensed" w:hAnsi="Avenir Next Condensed" w:cs="Avenir Next Condensed"/>
                <w:sz w:val="18"/>
                <w:szCs w:val="18"/>
              </w:rPr>
            </w:pPr>
            <w:r>
              <w:rPr>
                <w:rFonts w:ascii="Avenir Next Condensed"/>
                <w:sz w:val="18"/>
              </w:rPr>
              <w:t>109.01</w:t>
            </w:r>
          </w:p>
        </w:tc>
        <w:tc>
          <w:tcPr>
            <w:tcW w:w="19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
              <w:jc w:val="center"/>
              <w:rPr>
                <w:rFonts w:ascii="Avenir Next Condensed" w:eastAsia="Avenir Next Condensed" w:hAnsi="Avenir Next Condensed" w:cs="Avenir Next Condensed"/>
                <w:sz w:val="18"/>
                <w:szCs w:val="18"/>
              </w:rPr>
            </w:pPr>
            <w:r>
              <w:rPr>
                <w:rFonts w:ascii="Avenir Next Condensed"/>
                <w:sz w:val="18"/>
              </w:rPr>
              <w:t>114.69</w:t>
            </w:r>
          </w:p>
        </w:tc>
      </w:tr>
      <w:tr w:rsidR="00D96B91">
        <w:trPr>
          <w:trHeight w:hRule="exact" w:val="407"/>
        </w:trPr>
        <w:tc>
          <w:tcPr>
            <w:tcW w:w="549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06"/>
              <w:rPr>
                <w:rFonts w:ascii="Avenir Next Condensed" w:eastAsia="Avenir Next Condensed" w:hAnsi="Avenir Next Condensed" w:cs="Avenir Next Condensed"/>
                <w:sz w:val="18"/>
                <w:szCs w:val="18"/>
              </w:rPr>
            </w:pPr>
            <w:r>
              <w:rPr>
                <w:rFonts w:ascii="Avenir Next Condensed"/>
                <w:b/>
                <w:sz w:val="18"/>
              </w:rPr>
              <w:t>(e)</w:t>
            </w:r>
            <w:r>
              <w:rPr>
                <w:rFonts w:ascii="Avenir Next Condensed"/>
                <w:b/>
                <w:spacing w:val="-5"/>
                <w:sz w:val="18"/>
              </w:rPr>
              <w:t xml:space="preserve"> </w:t>
            </w:r>
            <w:r>
              <w:rPr>
                <w:rFonts w:ascii="Avenir Next Condensed"/>
                <w:b/>
                <w:spacing w:val="-1"/>
                <w:sz w:val="18"/>
              </w:rPr>
              <w:t>True-up</w:t>
            </w:r>
            <w:r>
              <w:rPr>
                <w:rFonts w:ascii="Avenir Next Condensed"/>
                <w:b/>
                <w:sz w:val="18"/>
              </w:rPr>
              <w:t xml:space="preserve"> ((c)-(d)) </w:t>
            </w:r>
            <w:r>
              <w:rPr>
                <w:rFonts w:ascii="Avenir Next Condensed"/>
                <w:sz w:val="18"/>
              </w:rPr>
              <w:t xml:space="preserve">(Negative: over </w:t>
            </w:r>
            <w:r>
              <w:rPr>
                <w:rFonts w:ascii="Avenir Next Condensed"/>
                <w:spacing w:val="-1"/>
                <w:sz w:val="18"/>
              </w:rPr>
              <w:t>recovery,</w:t>
            </w:r>
            <w:r>
              <w:rPr>
                <w:rFonts w:ascii="Avenir Next Condensed"/>
                <w:spacing w:val="-6"/>
                <w:sz w:val="18"/>
              </w:rPr>
              <w:t xml:space="preserve"> </w:t>
            </w:r>
            <w:r>
              <w:rPr>
                <w:rFonts w:ascii="Avenir Next Condensed"/>
                <w:spacing w:val="-1"/>
                <w:sz w:val="18"/>
              </w:rPr>
              <w:t>Positive:</w:t>
            </w:r>
            <w:r>
              <w:rPr>
                <w:rFonts w:ascii="Avenir Next Condensed"/>
                <w:sz w:val="18"/>
              </w:rPr>
              <w:t xml:space="preserve"> under </w:t>
            </w:r>
            <w:r>
              <w:rPr>
                <w:rFonts w:ascii="Avenir Next Condensed"/>
                <w:spacing w:val="-1"/>
                <w:sz w:val="18"/>
              </w:rPr>
              <w:t>recovery)</w:t>
            </w:r>
          </w:p>
        </w:tc>
        <w:tc>
          <w:tcPr>
            <w:tcW w:w="19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63"/>
              <w:jc w:val="center"/>
              <w:rPr>
                <w:rFonts w:ascii="Avenir Next Condensed" w:eastAsia="Avenir Next Condensed" w:hAnsi="Avenir Next Condensed" w:cs="Avenir Next Condensed"/>
                <w:sz w:val="18"/>
                <w:szCs w:val="18"/>
              </w:rPr>
            </w:pPr>
            <w:r>
              <w:rPr>
                <w:rFonts w:ascii="Avenir Next Condensed"/>
                <w:b/>
                <w:sz w:val="18"/>
              </w:rPr>
              <w:t>0.26</w:t>
            </w:r>
          </w:p>
        </w:tc>
        <w:tc>
          <w:tcPr>
            <w:tcW w:w="19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20"/>
              <w:jc w:val="center"/>
              <w:rPr>
                <w:rFonts w:ascii="Avenir Next Condensed" w:eastAsia="Avenir Next Condensed" w:hAnsi="Avenir Next Condensed" w:cs="Avenir Next Condensed"/>
                <w:sz w:val="18"/>
                <w:szCs w:val="18"/>
              </w:rPr>
            </w:pPr>
            <w:r>
              <w:rPr>
                <w:rFonts w:ascii="Avenir Next Condensed"/>
                <w:b/>
                <w:sz w:val="18"/>
              </w:rPr>
              <w:t>-0.76</w:t>
            </w:r>
          </w:p>
        </w:tc>
      </w:tr>
    </w:tbl>
    <w:p w:rsidR="00D96B91" w:rsidRDefault="00D96B91">
      <w:pPr>
        <w:jc w:val="center"/>
        <w:rPr>
          <w:rFonts w:ascii="Avenir Next Condensed" w:eastAsia="Avenir Next Condensed" w:hAnsi="Avenir Next Condensed" w:cs="Avenir Next Condensed"/>
          <w:sz w:val="18"/>
          <w:szCs w:val="18"/>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13.8: Net </w:t>
      </w:r>
      <w:r>
        <w:rPr>
          <w:rFonts w:ascii="Avenir Next"/>
          <w:b/>
          <w:spacing w:val="-1"/>
          <w:sz w:val="20"/>
        </w:rPr>
        <w:t>revenue</w:t>
      </w:r>
      <w:r>
        <w:rPr>
          <w:rFonts w:ascii="Avenir Next"/>
          <w:b/>
          <w:sz w:val="20"/>
        </w:rPr>
        <w:t xml:space="preserve"> </w:t>
      </w:r>
      <w:r>
        <w:rPr>
          <w:rFonts w:ascii="Avenir Next"/>
          <w:b/>
          <w:spacing w:val="-1"/>
          <w:sz w:val="20"/>
        </w:rPr>
        <w:t>expected</w:t>
      </w:r>
      <w:r>
        <w:rPr>
          <w:rFonts w:ascii="Avenir Next"/>
          <w:b/>
          <w:sz w:val="20"/>
        </w:rPr>
        <w:t xml:space="preserve"> to be </w:t>
      </w:r>
      <w:r>
        <w:rPr>
          <w:rFonts w:ascii="Avenir Next"/>
          <w:b/>
          <w:spacing w:val="-1"/>
          <w:sz w:val="20"/>
        </w:rPr>
        <w:t>earned</w:t>
      </w:r>
      <w:r>
        <w:rPr>
          <w:rFonts w:ascii="Avenir Next"/>
          <w:b/>
          <w:sz w:val="20"/>
        </w:rPr>
        <w:t xml:space="preserve"> by</w:t>
      </w:r>
      <w:r>
        <w:rPr>
          <w:rFonts w:ascii="Avenir Next"/>
          <w:b/>
          <w:spacing w:val="-4"/>
          <w:sz w:val="20"/>
        </w:rPr>
        <w:t xml:space="preserve"> </w:t>
      </w:r>
      <w:r>
        <w:rPr>
          <w:rFonts w:ascii="Avenir Next"/>
          <w:b/>
          <w:spacing w:val="-2"/>
          <w:sz w:val="20"/>
        </w:rPr>
        <w:t>ACTEW</w:t>
      </w:r>
      <w:r>
        <w:rPr>
          <w:rFonts w:ascii="Avenir Next"/>
          <w:b/>
          <w:spacing w:val="-3"/>
          <w:sz w:val="20"/>
        </w:rPr>
        <w:t xml:space="preserve"> </w:t>
      </w:r>
      <w:r>
        <w:rPr>
          <w:rFonts w:ascii="Avenir Next"/>
          <w:b/>
          <w:sz w:val="20"/>
        </w:rPr>
        <w:t>in 2013-14 and 2014-15</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653"/>
        <w:gridCol w:w="1007"/>
        <w:gridCol w:w="1058"/>
        <w:gridCol w:w="1240"/>
        <w:gridCol w:w="831"/>
        <w:gridCol w:w="1273"/>
        <w:gridCol w:w="1025"/>
        <w:gridCol w:w="1314"/>
      </w:tblGrid>
      <w:tr w:rsidR="00D96B91" w:rsidTr="00D94894">
        <w:trPr>
          <w:trHeight w:hRule="exact" w:val="627"/>
        </w:trPr>
        <w:tc>
          <w:tcPr>
            <w:tcW w:w="1653" w:type="dxa"/>
            <w:tcBorders>
              <w:top w:val="single" w:sz="4" w:space="0" w:color="1A9EDA"/>
              <w:left w:val="single" w:sz="4" w:space="0" w:color="1A9EDA"/>
              <w:bottom w:val="nil"/>
              <w:right w:val="single" w:sz="4" w:space="0" w:color="1A9EDA"/>
            </w:tcBorders>
            <w:shd w:val="clear" w:color="auto" w:fill="0778BE"/>
          </w:tcPr>
          <w:p w:rsidR="00D96B91" w:rsidRDefault="00D96B91"/>
        </w:tc>
        <w:tc>
          <w:tcPr>
            <w:tcW w:w="1007"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058" w:type="dxa"/>
            <w:tcBorders>
              <w:top w:val="single" w:sz="4" w:space="0" w:color="1A9EDA"/>
              <w:left w:val="nil"/>
              <w:bottom w:val="single" w:sz="4" w:space="0" w:color="1A9EDA"/>
              <w:right w:val="nil"/>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28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40" w:type="dxa"/>
            <w:tcBorders>
              <w:top w:val="single" w:sz="4" w:space="0" w:color="1A9EDA"/>
              <w:left w:val="nil"/>
              <w:bottom w:val="single" w:sz="4" w:space="0" w:color="1A9EDA"/>
              <w:right w:val="single" w:sz="4" w:space="0" w:color="1A9EDA"/>
            </w:tcBorders>
            <w:shd w:val="clear" w:color="auto" w:fill="0778BE"/>
          </w:tcPr>
          <w:p w:rsidR="00D96B91" w:rsidRDefault="00D96B91"/>
        </w:tc>
        <w:tc>
          <w:tcPr>
            <w:tcW w:w="831" w:type="dxa"/>
            <w:tcBorders>
              <w:top w:val="single" w:sz="4" w:space="0" w:color="1A9EDA"/>
              <w:left w:val="single" w:sz="4" w:space="0" w:color="1A9EDA"/>
              <w:bottom w:val="single" w:sz="4" w:space="0" w:color="1A9EDA"/>
              <w:right w:val="nil"/>
            </w:tcBorders>
            <w:shd w:val="clear" w:color="auto" w:fill="0778BE"/>
          </w:tcPr>
          <w:p w:rsidR="00D96B91" w:rsidRDefault="00D96B91"/>
        </w:tc>
        <w:tc>
          <w:tcPr>
            <w:tcW w:w="1273" w:type="dxa"/>
            <w:tcBorders>
              <w:top w:val="single" w:sz="4" w:space="0" w:color="1A9EDA"/>
              <w:left w:val="nil"/>
              <w:bottom w:val="single" w:sz="4" w:space="0" w:color="1A9EDA"/>
              <w:right w:val="nil"/>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37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25" w:type="dxa"/>
            <w:tcBorders>
              <w:top w:val="single" w:sz="4" w:space="0" w:color="1A9EDA"/>
              <w:left w:val="nil"/>
              <w:bottom w:val="single" w:sz="4" w:space="0" w:color="1A9EDA"/>
              <w:right w:val="single" w:sz="4" w:space="0" w:color="1A9EDA"/>
            </w:tcBorders>
            <w:shd w:val="clear" w:color="auto" w:fill="0778BE"/>
          </w:tcPr>
          <w:p w:rsidR="00D96B91" w:rsidRDefault="00D96B91"/>
        </w:tc>
        <w:tc>
          <w:tcPr>
            <w:tcW w:w="131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line="233" w:lineRule="exact"/>
              <w:jc w:val="center"/>
              <w:rPr>
                <w:rFonts w:ascii="Avenir Next Condensed" w:eastAsia="Avenir Next Condensed" w:hAnsi="Avenir Next Condensed" w:cs="Avenir Next Condensed"/>
                <w:sz w:val="18"/>
                <w:szCs w:val="18"/>
              </w:rPr>
            </w:pPr>
            <w:r>
              <w:rPr>
                <w:rFonts w:ascii="Avenir Next Condensed"/>
                <w:b/>
                <w:color w:val="FFFFFF"/>
                <w:sz w:val="18"/>
              </w:rPr>
              <w:t>2013-14 and</w:t>
            </w:r>
          </w:p>
          <w:p w:rsidR="00D96B91" w:rsidRDefault="00C2656B">
            <w:pPr>
              <w:pStyle w:val="TableParagraph"/>
              <w:spacing w:line="233" w:lineRule="exact"/>
              <w:jc w:val="center"/>
              <w:rPr>
                <w:rFonts w:ascii="Avenir Next Condensed" w:eastAsia="Avenir Next Condensed" w:hAnsi="Avenir Next Condensed" w:cs="Avenir Next Condensed"/>
                <w:sz w:val="18"/>
                <w:szCs w:val="18"/>
              </w:rPr>
            </w:pPr>
            <w:r>
              <w:rPr>
                <w:rFonts w:ascii="Avenir Next Condensed"/>
                <w:b/>
                <w:color w:val="FFFFFF"/>
                <w:sz w:val="18"/>
              </w:rPr>
              <w:t>2014-15</w:t>
            </w:r>
          </w:p>
        </w:tc>
      </w:tr>
      <w:tr w:rsidR="00D96B91" w:rsidTr="00D94894">
        <w:trPr>
          <w:trHeight w:hRule="exact" w:val="627"/>
        </w:trPr>
        <w:tc>
          <w:tcPr>
            <w:tcW w:w="1653" w:type="dxa"/>
            <w:tcBorders>
              <w:top w:val="nil"/>
              <w:left w:val="single" w:sz="4" w:space="0" w:color="1A9EDA"/>
              <w:bottom w:val="single" w:sz="4" w:space="0" w:color="17A7E0"/>
              <w:right w:val="single" w:sz="4" w:space="0" w:color="1A9EDA"/>
            </w:tcBorders>
            <w:shd w:val="clear" w:color="auto" w:fill="0778BE"/>
          </w:tcPr>
          <w:p w:rsidR="00D96B91" w:rsidRDefault="00D96B91"/>
        </w:tc>
        <w:tc>
          <w:tcPr>
            <w:tcW w:w="1007"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224"/>
              <w:rPr>
                <w:rFonts w:ascii="Avenir Next Condensed" w:eastAsia="Avenir Next Condensed" w:hAnsi="Avenir Next Condensed" w:cs="Avenir Next Condensed"/>
                <w:sz w:val="18"/>
                <w:szCs w:val="18"/>
              </w:rPr>
            </w:pPr>
            <w:r>
              <w:rPr>
                <w:rFonts w:ascii="Avenir Next Condensed"/>
                <w:b/>
                <w:color w:val="FFFFFF"/>
                <w:spacing w:val="-1"/>
                <w:sz w:val="18"/>
              </w:rPr>
              <w:t>Charges</w:t>
            </w:r>
          </w:p>
        </w:tc>
        <w:tc>
          <w:tcPr>
            <w:tcW w:w="1058"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D94894">
            <w:pPr>
              <w:pStyle w:val="TableParagraph"/>
              <w:spacing w:before="112" w:line="220" w:lineRule="exact"/>
              <w:ind w:left="189" w:right="-2" w:firstLine="66"/>
              <w:rPr>
                <w:rFonts w:ascii="Avenir Next Condensed" w:eastAsia="Avenir Next Condensed" w:hAnsi="Avenir Next Condensed" w:cs="Avenir Next Condensed"/>
                <w:sz w:val="18"/>
                <w:szCs w:val="18"/>
              </w:rPr>
            </w:pPr>
            <w:r>
              <w:rPr>
                <w:rFonts w:ascii="Avenir Next Condensed"/>
                <w:b/>
                <w:color w:val="FFFFFF"/>
                <w:spacing w:val="-1"/>
                <w:sz w:val="18"/>
              </w:rPr>
              <w:t>Outturn</w:t>
            </w:r>
            <w:r>
              <w:rPr>
                <w:rFonts w:ascii="Avenir Next Condensed"/>
                <w:b/>
                <w:color w:val="FFFFFF"/>
                <w:spacing w:val="24"/>
                <w:sz w:val="18"/>
              </w:rPr>
              <w:t xml:space="preserve"> </w:t>
            </w:r>
            <w:r>
              <w:rPr>
                <w:rFonts w:ascii="Avenir Next Condensed"/>
                <w:b/>
                <w:color w:val="FFFFFF"/>
                <w:sz w:val="18"/>
              </w:rPr>
              <w:t>Demand1</w:t>
            </w:r>
          </w:p>
        </w:tc>
        <w:tc>
          <w:tcPr>
            <w:tcW w:w="1240"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D94894">
            <w:pPr>
              <w:pStyle w:val="TableParagraph"/>
              <w:spacing w:before="112" w:line="220" w:lineRule="exact"/>
              <w:ind w:left="193" w:right="104" w:firstLine="60"/>
              <w:rPr>
                <w:rFonts w:ascii="Avenir Next Condensed" w:eastAsia="Avenir Next Condensed" w:hAnsi="Avenir Next Condensed" w:cs="Avenir Next Condensed"/>
                <w:sz w:val="18"/>
                <w:szCs w:val="18"/>
              </w:rPr>
            </w:pPr>
            <w:r>
              <w:rPr>
                <w:rFonts w:ascii="Avenir Next Condensed"/>
                <w:b/>
                <w:color w:val="FFFFFF"/>
                <w:spacing w:val="-1"/>
                <w:sz w:val="18"/>
              </w:rPr>
              <w:t>Revenue</w:t>
            </w:r>
            <w:r>
              <w:rPr>
                <w:rFonts w:ascii="Avenir Next Condensed"/>
                <w:b/>
                <w:color w:val="FFFFFF"/>
                <w:spacing w:val="25"/>
                <w:sz w:val="18"/>
              </w:rPr>
              <w:t xml:space="preserve"> </w:t>
            </w:r>
            <w:r>
              <w:rPr>
                <w:rFonts w:ascii="Avenir Next Condensed"/>
                <w:b/>
                <w:color w:val="FFFFFF"/>
                <w:sz w:val="18"/>
              </w:rPr>
              <w:t>($</w:t>
            </w:r>
            <w:r w:rsidR="00D94894">
              <w:rPr>
                <w:rFonts w:ascii="Avenir Next Condensed"/>
                <w:b/>
                <w:color w:val="FFFFFF"/>
                <w:sz w:val="18"/>
              </w:rPr>
              <w:t> </w:t>
            </w:r>
            <w:r>
              <w:rPr>
                <w:rFonts w:ascii="Avenir Next Condensed"/>
                <w:b/>
                <w:color w:val="FFFFFF"/>
                <w:sz w:val="18"/>
              </w:rPr>
              <w:t>million)</w:t>
            </w:r>
          </w:p>
        </w:tc>
        <w:tc>
          <w:tcPr>
            <w:tcW w:w="831"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D96B91" w:rsidP="00D94894">
            <w:pPr>
              <w:pStyle w:val="TableParagraph"/>
              <w:pBdr>
                <w:left w:val="single" w:sz="4" w:space="4" w:color="17A7E0"/>
              </w:pBdr>
              <w:spacing w:before="1"/>
              <w:rPr>
                <w:rFonts w:ascii="Avenir Next" w:eastAsia="Avenir Next" w:hAnsi="Avenir Next" w:cs="Avenir Next"/>
                <w:b/>
                <w:bCs/>
                <w:sz w:val="24"/>
                <w:szCs w:val="24"/>
              </w:rPr>
            </w:pPr>
          </w:p>
          <w:p w:rsidR="00D96B91" w:rsidRDefault="00C2656B" w:rsidP="00D94894">
            <w:pPr>
              <w:pStyle w:val="TableParagraph"/>
              <w:pBdr>
                <w:left w:val="single" w:sz="4" w:space="4" w:color="17A7E0"/>
              </w:pBdr>
              <w:ind w:left="75"/>
              <w:rPr>
                <w:rFonts w:ascii="Avenir Next Condensed" w:eastAsia="Avenir Next Condensed" w:hAnsi="Avenir Next Condensed" w:cs="Avenir Next Condensed"/>
                <w:sz w:val="18"/>
                <w:szCs w:val="18"/>
              </w:rPr>
            </w:pPr>
            <w:r>
              <w:rPr>
                <w:rFonts w:ascii="Avenir Next Condensed"/>
                <w:b/>
                <w:color w:val="FFFFFF"/>
                <w:spacing w:val="-1"/>
                <w:sz w:val="18"/>
              </w:rPr>
              <w:t>Charges</w:t>
            </w:r>
          </w:p>
        </w:tc>
        <w:tc>
          <w:tcPr>
            <w:tcW w:w="1273"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D94894">
            <w:pPr>
              <w:pStyle w:val="TableParagraph"/>
              <w:spacing w:before="112" w:line="220" w:lineRule="exact"/>
              <w:ind w:left="297" w:firstLine="29"/>
              <w:rPr>
                <w:rFonts w:ascii="Avenir Next Condensed" w:eastAsia="Avenir Next Condensed" w:hAnsi="Avenir Next Condensed" w:cs="Avenir Next Condensed"/>
                <w:sz w:val="18"/>
                <w:szCs w:val="18"/>
              </w:rPr>
            </w:pPr>
            <w:r>
              <w:rPr>
                <w:rFonts w:ascii="Avenir Next Condensed"/>
                <w:b/>
                <w:color w:val="FFFFFF"/>
                <w:sz w:val="18"/>
              </w:rPr>
              <w:t>Expected Demand2</w:t>
            </w:r>
          </w:p>
        </w:tc>
        <w:tc>
          <w:tcPr>
            <w:tcW w:w="1025"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D94894">
            <w:pPr>
              <w:pStyle w:val="TableParagraph"/>
              <w:spacing w:before="112" w:line="220" w:lineRule="exact"/>
              <w:ind w:left="151" w:right="-27" w:firstLine="60"/>
              <w:rPr>
                <w:rFonts w:ascii="Avenir Next Condensed" w:eastAsia="Avenir Next Condensed" w:hAnsi="Avenir Next Condensed" w:cs="Avenir Next Condensed"/>
                <w:sz w:val="18"/>
                <w:szCs w:val="18"/>
              </w:rPr>
            </w:pPr>
            <w:r>
              <w:rPr>
                <w:rFonts w:ascii="Avenir Next Condensed"/>
                <w:b/>
                <w:color w:val="FFFFFF"/>
                <w:spacing w:val="-1"/>
                <w:sz w:val="18"/>
              </w:rPr>
              <w:t>Revenue</w:t>
            </w:r>
            <w:r>
              <w:rPr>
                <w:rFonts w:ascii="Avenir Next Condensed"/>
                <w:b/>
                <w:color w:val="FFFFFF"/>
                <w:spacing w:val="25"/>
                <w:sz w:val="18"/>
              </w:rPr>
              <w:t xml:space="preserve"> </w:t>
            </w:r>
            <w:r>
              <w:rPr>
                <w:rFonts w:ascii="Avenir Next Condensed"/>
                <w:b/>
                <w:color w:val="FFFFFF"/>
                <w:sz w:val="18"/>
              </w:rPr>
              <w:t>($ million)</w:t>
            </w:r>
          </w:p>
        </w:tc>
        <w:tc>
          <w:tcPr>
            <w:tcW w:w="1314" w:type="dxa"/>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D94894">
            <w:pPr>
              <w:pStyle w:val="TableParagraph"/>
              <w:spacing w:before="112" w:line="220" w:lineRule="exact"/>
              <w:ind w:left="295" w:right="-130" w:hanging="118"/>
              <w:rPr>
                <w:rFonts w:ascii="Avenir Next Condensed" w:eastAsia="Avenir Next Condensed" w:hAnsi="Avenir Next Condensed" w:cs="Avenir Next Condensed"/>
                <w:sz w:val="18"/>
                <w:szCs w:val="18"/>
              </w:rPr>
            </w:pPr>
            <w:r>
              <w:rPr>
                <w:rFonts w:ascii="Avenir Next Condensed"/>
                <w:b/>
                <w:color w:val="FFFFFF"/>
                <w:spacing w:val="-2"/>
                <w:sz w:val="18"/>
              </w:rPr>
              <w:t>Total</w:t>
            </w:r>
            <w:r>
              <w:rPr>
                <w:rFonts w:ascii="Avenir Next Condensed"/>
                <w:b/>
                <w:color w:val="FFFFFF"/>
                <w:sz w:val="18"/>
              </w:rPr>
              <w:t xml:space="preserve"> </w:t>
            </w:r>
            <w:r>
              <w:rPr>
                <w:rFonts w:ascii="Avenir Next Condensed"/>
                <w:b/>
                <w:color w:val="FFFFFF"/>
                <w:spacing w:val="-1"/>
                <w:sz w:val="18"/>
              </w:rPr>
              <w:t>Revenue</w:t>
            </w:r>
            <w:r>
              <w:rPr>
                <w:rFonts w:ascii="Avenir Next Condensed"/>
                <w:b/>
                <w:color w:val="FFFFFF"/>
                <w:spacing w:val="28"/>
                <w:sz w:val="18"/>
              </w:rPr>
              <w:t xml:space="preserve"> </w:t>
            </w:r>
            <w:r>
              <w:rPr>
                <w:rFonts w:ascii="Avenir Next Condensed"/>
                <w:b/>
                <w:color w:val="FFFFFF"/>
                <w:sz w:val="18"/>
              </w:rPr>
              <w:t>($ million)</w:t>
            </w:r>
          </w:p>
        </w:tc>
      </w:tr>
      <w:tr w:rsidR="00D96B91">
        <w:trPr>
          <w:trHeight w:hRule="exact" w:val="407"/>
        </w:trPr>
        <w:tc>
          <w:tcPr>
            <w:tcW w:w="9401" w:type="dxa"/>
            <w:gridSpan w:val="8"/>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rsidTr="00D94894">
        <w:trPr>
          <w:trHeight w:hRule="exact" w:val="407"/>
        </w:trPr>
        <w:tc>
          <w:tcPr>
            <w:tcW w:w="16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0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9"/>
              <w:rPr>
                <w:rFonts w:ascii="Avenir Next Condensed" w:eastAsia="Avenir Next Condensed" w:hAnsi="Avenir Next Condensed" w:cs="Avenir Next Condensed"/>
                <w:sz w:val="18"/>
                <w:szCs w:val="18"/>
              </w:rPr>
            </w:pPr>
            <w:r>
              <w:rPr>
                <w:rFonts w:ascii="Avenir Next Condensed"/>
                <w:sz w:val="18"/>
              </w:rPr>
              <w:t>$100</w:t>
            </w:r>
          </w:p>
        </w:tc>
        <w:tc>
          <w:tcPr>
            <w:tcW w:w="105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6"/>
              <w:rPr>
                <w:rFonts w:ascii="Avenir Next Condensed" w:eastAsia="Avenir Next Condensed" w:hAnsi="Avenir Next Condensed" w:cs="Avenir Next Condensed"/>
                <w:sz w:val="18"/>
                <w:szCs w:val="18"/>
              </w:rPr>
            </w:pPr>
            <w:r>
              <w:rPr>
                <w:rFonts w:ascii="Avenir Next Condensed"/>
                <w:sz w:val="18"/>
              </w:rPr>
              <w:t>162,951</w:t>
            </w:r>
          </w:p>
        </w:tc>
        <w:tc>
          <w:tcPr>
            <w:tcW w:w="12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D94894">
            <w:pPr>
              <w:pStyle w:val="TableParagraph"/>
              <w:spacing w:before="108"/>
              <w:ind w:left="357"/>
              <w:rPr>
                <w:rFonts w:ascii="Avenir Next Condensed" w:eastAsia="Avenir Next Condensed" w:hAnsi="Avenir Next Condensed" w:cs="Avenir Next Condensed"/>
                <w:sz w:val="18"/>
                <w:szCs w:val="18"/>
              </w:rPr>
            </w:pPr>
            <w:r>
              <w:rPr>
                <w:rFonts w:ascii="Avenir Next Condensed"/>
                <w:b/>
                <w:sz w:val="18"/>
              </w:rPr>
              <w:t>$16.30</w:t>
            </w:r>
          </w:p>
        </w:tc>
        <w:tc>
          <w:tcPr>
            <w:tcW w:w="8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7"/>
              <w:rPr>
                <w:rFonts w:ascii="Avenir Next Condensed" w:eastAsia="Avenir Next Condensed" w:hAnsi="Avenir Next Condensed" w:cs="Avenir Next Condensed"/>
                <w:sz w:val="18"/>
                <w:szCs w:val="18"/>
              </w:rPr>
            </w:pPr>
            <w:r>
              <w:rPr>
                <w:rFonts w:ascii="Avenir Next Condensed"/>
                <w:sz w:val="18"/>
              </w:rPr>
              <w:t>$102.56</w:t>
            </w:r>
          </w:p>
        </w:tc>
        <w:tc>
          <w:tcPr>
            <w:tcW w:w="127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166,992</w:t>
            </w:r>
          </w:p>
        </w:tc>
        <w:tc>
          <w:tcPr>
            <w:tcW w:w="102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sz w:val="18"/>
              </w:rPr>
              <w:t>$17.13</w:t>
            </w:r>
          </w:p>
        </w:tc>
        <w:tc>
          <w:tcPr>
            <w:tcW w:w="1314"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sz w:val="18"/>
              </w:rPr>
              <w:t>$33.42</w:t>
            </w:r>
          </w:p>
        </w:tc>
      </w:tr>
      <w:tr w:rsidR="00D96B91" w:rsidTr="00D94894">
        <w:trPr>
          <w:trHeight w:hRule="exact" w:val="407"/>
        </w:trPr>
        <w:tc>
          <w:tcPr>
            <w:tcW w:w="16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($/kL)</w:t>
            </w:r>
          </w:p>
        </w:tc>
        <w:tc>
          <w:tcPr>
            <w:tcW w:w="10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sz w:val="18"/>
              </w:rPr>
              <w:t>$2.55</w:t>
            </w:r>
          </w:p>
        </w:tc>
        <w:tc>
          <w:tcPr>
            <w:tcW w:w="105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7"/>
              <w:rPr>
                <w:rFonts w:ascii="Avenir Next Condensed" w:eastAsia="Avenir Next Condensed" w:hAnsi="Avenir Next Condensed" w:cs="Avenir Next Condensed"/>
                <w:sz w:val="18"/>
                <w:szCs w:val="18"/>
              </w:rPr>
            </w:pPr>
            <w:r>
              <w:rPr>
                <w:rFonts w:ascii="Avenir Next Condensed"/>
                <w:sz w:val="18"/>
              </w:rPr>
              <w:t>23,760,000</w:t>
            </w:r>
          </w:p>
        </w:tc>
        <w:tc>
          <w:tcPr>
            <w:tcW w:w="12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6"/>
              <w:rPr>
                <w:rFonts w:ascii="Avenir Next Condensed" w:eastAsia="Avenir Next Condensed" w:hAnsi="Avenir Next Condensed" w:cs="Avenir Next Condensed"/>
                <w:sz w:val="18"/>
                <w:szCs w:val="18"/>
              </w:rPr>
            </w:pPr>
            <w:r>
              <w:rPr>
                <w:rFonts w:ascii="Avenir Next Condensed"/>
                <w:b/>
                <w:sz w:val="18"/>
              </w:rPr>
              <w:t>$60.59</w:t>
            </w:r>
          </w:p>
        </w:tc>
        <w:tc>
          <w:tcPr>
            <w:tcW w:w="8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sz w:val="18"/>
              </w:rPr>
              <w:t>$2.64</w:t>
            </w:r>
          </w:p>
        </w:tc>
        <w:tc>
          <w:tcPr>
            <w:tcW w:w="127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1"/>
              <w:rPr>
                <w:rFonts w:ascii="Avenir Next Condensed" w:eastAsia="Avenir Next Condensed" w:hAnsi="Avenir Next Condensed" w:cs="Avenir Next Condensed"/>
                <w:sz w:val="18"/>
                <w:szCs w:val="18"/>
              </w:rPr>
            </w:pPr>
            <w:r>
              <w:rPr>
                <w:rFonts w:ascii="Avenir Next Condensed"/>
                <w:sz w:val="18"/>
              </w:rPr>
              <w:t>24,069,261 kL</w:t>
            </w:r>
          </w:p>
        </w:tc>
        <w:tc>
          <w:tcPr>
            <w:tcW w:w="102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sz w:val="18"/>
              </w:rPr>
              <w:t>$63.54</w:t>
            </w:r>
          </w:p>
        </w:tc>
        <w:tc>
          <w:tcPr>
            <w:tcW w:w="1314"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27"/>
              <w:rPr>
                <w:rFonts w:ascii="Avenir Next Condensed" w:eastAsia="Avenir Next Condensed" w:hAnsi="Avenir Next Condensed" w:cs="Avenir Next Condensed"/>
                <w:sz w:val="18"/>
                <w:szCs w:val="18"/>
              </w:rPr>
            </w:pPr>
            <w:r>
              <w:rPr>
                <w:rFonts w:ascii="Avenir Next Condensed"/>
                <w:b/>
                <w:sz w:val="18"/>
              </w:rPr>
              <w:t>$124.13</w:t>
            </w:r>
          </w:p>
        </w:tc>
      </w:tr>
      <w:tr w:rsidR="00D96B91" w:rsidTr="00D94894">
        <w:trPr>
          <w:trHeight w:hRule="exact" w:val="417"/>
        </w:trPr>
        <w:tc>
          <w:tcPr>
            <w:tcW w:w="16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($/kL)</w:t>
            </w:r>
          </w:p>
        </w:tc>
        <w:tc>
          <w:tcPr>
            <w:tcW w:w="100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40"/>
              <w:rPr>
                <w:rFonts w:ascii="Avenir Next Condensed" w:eastAsia="Avenir Next Condensed" w:hAnsi="Avenir Next Condensed" w:cs="Avenir Next Condensed"/>
                <w:sz w:val="18"/>
                <w:szCs w:val="18"/>
              </w:rPr>
            </w:pPr>
            <w:r>
              <w:rPr>
                <w:rFonts w:ascii="Avenir Next Condensed"/>
                <w:sz w:val="18"/>
              </w:rPr>
              <w:t>$5.10</w:t>
            </w:r>
          </w:p>
        </w:tc>
        <w:tc>
          <w:tcPr>
            <w:tcW w:w="105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27"/>
              <w:rPr>
                <w:rFonts w:ascii="Avenir Next Condensed" w:eastAsia="Avenir Next Condensed" w:hAnsi="Avenir Next Condensed" w:cs="Avenir Next Condensed"/>
                <w:sz w:val="18"/>
                <w:szCs w:val="18"/>
              </w:rPr>
            </w:pPr>
            <w:r>
              <w:rPr>
                <w:rFonts w:ascii="Avenir Next Condensed"/>
                <w:sz w:val="18"/>
              </w:rPr>
              <w:t>18,170,000</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26"/>
              <w:rPr>
                <w:rFonts w:ascii="Avenir Next Condensed" w:eastAsia="Avenir Next Condensed" w:hAnsi="Avenir Next Condensed" w:cs="Avenir Next Condensed"/>
                <w:sz w:val="18"/>
                <w:szCs w:val="18"/>
              </w:rPr>
            </w:pPr>
            <w:r>
              <w:rPr>
                <w:rFonts w:ascii="Avenir Next Condensed"/>
                <w:b/>
                <w:sz w:val="18"/>
              </w:rPr>
              <w:t>$92.67</w:t>
            </w:r>
          </w:p>
        </w:tc>
        <w:tc>
          <w:tcPr>
            <w:tcW w:w="83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26"/>
              <w:rPr>
                <w:rFonts w:ascii="Avenir Next Condensed" w:eastAsia="Avenir Next Condensed" w:hAnsi="Avenir Next Condensed" w:cs="Avenir Next Condensed"/>
                <w:sz w:val="18"/>
                <w:szCs w:val="18"/>
              </w:rPr>
            </w:pPr>
            <w:r>
              <w:rPr>
                <w:rFonts w:ascii="Avenir Next Condensed"/>
                <w:sz w:val="18"/>
              </w:rPr>
              <w:t>$5.29</w:t>
            </w:r>
          </w:p>
        </w:tc>
        <w:tc>
          <w:tcPr>
            <w:tcW w:w="127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71"/>
              <w:rPr>
                <w:rFonts w:ascii="Avenir Next Condensed" w:eastAsia="Avenir Next Condensed" w:hAnsi="Avenir Next Condensed" w:cs="Avenir Next Condensed"/>
                <w:sz w:val="18"/>
                <w:szCs w:val="18"/>
              </w:rPr>
            </w:pPr>
            <w:r>
              <w:rPr>
                <w:rFonts w:ascii="Avenir Next Condensed"/>
                <w:sz w:val="18"/>
              </w:rPr>
              <w:t>19,968,689 kL</w:t>
            </w:r>
          </w:p>
        </w:tc>
        <w:tc>
          <w:tcPr>
            <w:tcW w:w="102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08"/>
              <w:rPr>
                <w:rFonts w:ascii="Avenir Next Condensed" w:eastAsia="Avenir Next Condensed" w:hAnsi="Avenir Next Condensed" w:cs="Avenir Next Condensed"/>
                <w:sz w:val="18"/>
                <w:szCs w:val="18"/>
              </w:rPr>
            </w:pPr>
            <w:r>
              <w:rPr>
                <w:rFonts w:ascii="Avenir Next Condensed"/>
                <w:b/>
                <w:sz w:val="18"/>
              </w:rPr>
              <w:t>$105.63</w:t>
            </w:r>
          </w:p>
        </w:tc>
        <w:tc>
          <w:tcPr>
            <w:tcW w:w="1314" w:type="dxa"/>
            <w:tcBorders>
              <w:top w:val="single" w:sz="4" w:space="0" w:color="17A7E0"/>
              <w:left w:val="single" w:sz="4" w:space="0" w:color="17A7E0"/>
              <w:bottom w:val="single" w:sz="12" w:space="0" w:color="1A9EDA"/>
              <w:right w:val="single" w:sz="4" w:space="0" w:color="17A7E0"/>
            </w:tcBorders>
            <w:shd w:val="clear" w:color="auto" w:fill="DCDDDE"/>
          </w:tcPr>
          <w:p w:rsidR="00D96B91" w:rsidRDefault="00C2656B">
            <w:pPr>
              <w:pStyle w:val="TableParagraph"/>
              <w:spacing w:before="108"/>
              <w:ind w:left="327"/>
              <w:rPr>
                <w:rFonts w:ascii="Avenir Next Condensed" w:eastAsia="Avenir Next Condensed" w:hAnsi="Avenir Next Condensed" w:cs="Avenir Next Condensed"/>
                <w:sz w:val="18"/>
                <w:szCs w:val="18"/>
              </w:rPr>
            </w:pPr>
            <w:r>
              <w:rPr>
                <w:rFonts w:ascii="Avenir Next Condensed"/>
                <w:b/>
                <w:sz w:val="18"/>
              </w:rPr>
              <w:t>$198.30</w:t>
            </w:r>
          </w:p>
        </w:tc>
      </w:tr>
      <w:tr w:rsidR="00D96B91" w:rsidTr="00D94894">
        <w:trPr>
          <w:trHeight w:hRule="exact" w:val="407"/>
        </w:trPr>
        <w:tc>
          <w:tcPr>
            <w:tcW w:w="16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pacing w:val="-2"/>
                <w:sz w:val="18"/>
              </w:rPr>
              <w:t>Total</w:t>
            </w:r>
          </w:p>
        </w:tc>
        <w:tc>
          <w:tcPr>
            <w:tcW w:w="100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60"/>
              <w:rPr>
                <w:rFonts w:ascii="Avenir Next Condensed" w:eastAsia="Avenir Next Condensed" w:hAnsi="Avenir Next Condensed" w:cs="Avenir Next Condensed"/>
                <w:sz w:val="18"/>
                <w:szCs w:val="18"/>
              </w:rPr>
            </w:pPr>
            <w:r>
              <w:rPr>
                <w:rFonts w:ascii="Avenir Next Condensed"/>
                <w:sz w:val="18"/>
              </w:rPr>
              <w:t>na</w:t>
            </w:r>
          </w:p>
        </w:tc>
        <w:tc>
          <w:tcPr>
            <w:tcW w:w="105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right="163"/>
              <w:jc w:val="right"/>
              <w:rPr>
                <w:rFonts w:ascii="Avenir Next Condensed" w:eastAsia="Avenir Next Condensed" w:hAnsi="Avenir Next Condensed" w:cs="Avenir Next Condensed"/>
                <w:sz w:val="18"/>
                <w:szCs w:val="18"/>
              </w:rPr>
            </w:pPr>
            <w:r>
              <w:rPr>
                <w:rFonts w:ascii="Avenir Next Condensed"/>
                <w:w w:val="95"/>
                <w:sz w:val="18"/>
              </w:rPr>
              <w:t>na</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36"/>
              <w:rPr>
                <w:rFonts w:ascii="Avenir Next Condensed" w:eastAsia="Avenir Next Condensed" w:hAnsi="Avenir Next Condensed" w:cs="Avenir Next Condensed"/>
                <w:sz w:val="18"/>
                <w:szCs w:val="18"/>
              </w:rPr>
            </w:pPr>
            <w:r>
              <w:rPr>
                <w:rFonts w:ascii="Avenir Next Condensed"/>
                <w:b/>
                <w:sz w:val="18"/>
              </w:rPr>
              <w:t>$169.55</w:t>
            </w:r>
          </w:p>
        </w:tc>
        <w:tc>
          <w:tcPr>
            <w:tcW w:w="83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46"/>
              <w:rPr>
                <w:rFonts w:ascii="Avenir Next Condensed" w:eastAsia="Avenir Next Condensed" w:hAnsi="Avenir Next Condensed" w:cs="Avenir Next Condensed"/>
                <w:sz w:val="18"/>
                <w:szCs w:val="18"/>
              </w:rPr>
            </w:pPr>
            <w:r>
              <w:rPr>
                <w:rFonts w:ascii="Avenir Next Condensed"/>
                <w:sz w:val="18"/>
              </w:rPr>
              <w:t>na</w:t>
            </w:r>
          </w:p>
        </w:tc>
        <w:tc>
          <w:tcPr>
            <w:tcW w:w="127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jc w:val="center"/>
              <w:rPr>
                <w:rFonts w:ascii="Avenir Next Condensed" w:eastAsia="Avenir Next Condensed" w:hAnsi="Avenir Next Condensed" w:cs="Avenir Next Condensed"/>
                <w:sz w:val="18"/>
                <w:szCs w:val="18"/>
              </w:rPr>
            </w:pPr>
            <w:r>
              <w:rPr>
                <w:rFonts w:ascii="Avenir Next Condensed"/>
                <w:sz w:val="18"/>
              </w:rPr>
              <w:t>na</w:t>
            </w:r>
          </w:p>
        </w:tc>
        <w:tc>
          <w:tcPr>
            <w:tcW w:w="102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08"/>
              <w:rPr>
                <w:rFonts w:ascii="Avenir Next Condensed" w:eastAsia="Avenir Next Condensed" w:hAnsi="Avenir Next Condensed" w:cs="Avenir Next Condensed"/>
                <w:sz w:val="18"/>
                <w:szCs w:val="18"/>
              </w:rPr>
            </w:pPr>
            <w:r>
              <w:rPr>
                <w:rFonts w:ascii="Avenir Next Condensed"/>
                <w:b/>
                <w:sz w:val="18"/>
              </w:rPr>
              <w:t>$186.30</w:t>
            </w:r>
          </w:p>
        </w:tc>
        <w:tc>
          <w:tcPr>
            <w:tcW w:w="1314" w:type="dxa"/>
            <w:tcBorders>
              <w:top w:val="single" w:sz="12" w:space="0" w:color="1A9EDA"/>
              <w:left w:val="single" w:sz="4" w:space="0" w:color="17A7E0"/>
              <w:bottom w:val="single" w:sz="12" w:space="0" w:color="1A9EDA"/>
              <w:right w:val="single" w:sz="4" w:space="0" w:color="17A7E0"/>
            </w:tcBorders>
            <w:shd w:val="clear" w:color="auto" w:fill="DEF3FD"/>
          </w:tcPr>
          <w:p w:rsidR="00D96B91" w:rsidRDefault="00C2656B">
            <w:pPr>
              <w:pStyle w:val="TableParagraph"/>
              <w:spacing w:before="98"/>
              <w:ind w:left="327"/>
              <w:rPr>
                <w:rFonts w:ascii="Avenir Next Condensed" w:eastAsia="Avenir Next Condensed" w:hAnsi="Avenir Next Condensed" w:cs="Avenir Next Condensed"/>
                <w:sz w:val="18"/>
                <w:szCs w:val="18"/>
              </w:rPr>
            </w:pPr>
            <w:r>
              <w:rPr>
                <w:rFonts w:ascii="Avenir Next Condensed"/>
                <w:b/>
                <w:sz w:val="18"/>
              </w:rPr>
              <w:t>$355.85</w:t>
            </w:r>
          </w:p>
        </w:tc>
      </w:tr>
      <w:tr w:rsidR="00D96B91">
        <w:trPr>
          <w:trHeight w:hRule="exact" w:val="397"/>
        </w:trPr>
        <w:tc>
          <w:tcPr>
            <w:tcW w:w="9401" w:type="dxa"/>
            <w:gridSpan w:val="8"/>
            <w:tcBorders>
              <w:top w:val="single" w:sz="12"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9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rsidTr="00D94894">
        <w:trPr>
          <w:trHeight w:hRule="exact" w:val="407"/>
        </w:trPr>
        <w:tc>
          <w:tcPr>
            <w:tcW w:w="16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0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1"/>
              <w:rPr>
                <w:rFonts w:ascii="Avenir Next Condensed" w:eastAsia="Avenir Next Condensed" w:hAnsi="Avenir Next Condensed" w:cs="Avenir Next Condensed"/>
                <w:sz w:val="18"/>
                <w:szCs w:val="18"/>
              </w:rPr>
            </w:pPr>
            <w:r>
              <w:rPr>
                <w:rFonts w:ascii="Avenir Next Condensed"/>
                <w:sz w:val="18"/>
              </w:rPr>
              <w:t>$492.02</w:t>
            </w:r>
          </w:p>
        </w:tc>
        <w:tc>
          <w:tcPr>
            <w:tcW w:w="105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5"/>
              <w:rPr>
                <w:rFonts w:ascii="Avenir Next Condensed" w:eastAsia="Avenir Next Condensed" w:hAnsi="Avenir Next Condensed" w:cs="Avenir Next Condensed"/>
                <w:sz w:val="18"/>
                <w:szCs w:val="18"/>
              </w:rPr>
            </w:pPr>
            <w:r>
              <w:rPr>
                <w:rFonts w:ascii="Avenir Next Condensed"/>
                <w:sz w:val="18"/>
              </w:rPr>
              <w:t>162,609</w:t>
            </w:r>
          </w:p>
        </w:tc>
        <w:tc>
          <w:tcPr>
            <w:tcW w:w="124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5"/>
              <w:rPr>
                <w:rFonts w:ascii="Avenir Next Condensed" w:eastAsia="Avenir Next Condensed" w:hAnsi="Avenir Next Condensed" w:cs="Avenir Next Condensed"/>
                <w:sz w:val="18"/>
                <w:szCs w:val="18"/>
              </w:rPr>
            </w:pPr>
            <w:r>
              <w:rPr>
                <w:rFonts w:ascii="Avenir Next Condensed"/>
                <w:b/>
                <w:sz w:val="18"/>
              </w:rPr>
              <w:t>$80.01</w:t>
            </w:r>
          </w:p>
        </w:tc>
        <w:tc>
          <w:tcPr>
            <w:tcW w:w="8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6"/>
              <w:rPr>
                <w:rFonts w:ascii="Avenir Next Condensed" w:eastAsia="Avenir Next Condensed" w:hAnsi="Avenir Next Condensed" w:cs="Avenir Next Condensed"/>
                <w:sz w:val="18"/>
                <w:szCs w:val="18"/>
              </w:rPr>
            </w:pPr>
            <w:r>
              <w:rPr>
                <w:rFonts w:ascii="Avenir Next Condensed"/>
                <w:sz w:val="18"/>
              </w:rPr>
              <w:t>$505.41</w:t>
            </w:r>
          </w:p>
        </w:tc>
        <w:tc>
          <w:tcPr>
            <w:tcW w:w="127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166,678</w:t>
            </w:r>
          </w:p>
        </w:tc>
        <w:tc>
          <w:tcPr>
            <w:tcW w:w="102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sz w:val="18"/>
              </w:rPr>
              <w:t>$84.24</w:t>
            </w:r>
          </w:p>
        </w:tc>
        <w:tc>
          <w:tcPr>
            <w:tcW w:w="1314"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27"/>
              <w:rPr>
                <w:rFonts w:ascii="Avenir Next Condensed" w:eastAsia="Avenir Next Condensed" w:hAnsi="Avenir Next Condensed" w:cs="Avenir Next Condensed"/>
                <w:sz w:val="18"/>
                <w:szCs w:val="18"/>
              </w:rPr>
            </w:pPr>
            <w:r>
              <w:rPr>
                <w:rFonts w:ascii="Avenir Next Condensed"/>
                <w:b/>
                <w:sz w:val="18"/>
              </w:rPr>
              <w:t>$164.25</w:t>
            </w:r>
          </w:p>
        </w:tc>
      </w:tr>
      <w:tr w:rsidR="00D96B91" w:rsidTr="00D94894">
        <w:trPr>
          <w:trHeight w:hRule="exact" w:val="857"/>
        </w:trPr>
        <w:tc>
          <w:tcPr>
            <w:tcW w:w="165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12" w:line="220" w:lineRule="exact"/>
              <w:ind w:left="107" w:right="163"/>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Fixtures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w:t>
            </w:r>
            <w:r>
              <w:rPr>
                <w:rFonts w:ascii="Avenir Next Condensed" w:eastAsia="Avenir Next Condensed" w:hAnsi="Avenir Next Condensed" w:cs="Avenir Next Condensed"/>
                <w:sz w:val="18"/>
                <w:szCs w:val="18"/>
              </w:rPr>
              <w:t xml:space="preserve"> – non-</w:t>
            </w:r>
            <w:r>
              <w:rPr>
                <w:rFonts w:ascii="Avenir Next Condensed" w:eastAsia="Avenir Next Condensed" w:hAnsi="Avenir Next Condensed" w:cs="Avenir Next Condensed"/>
                <w:spacing w:val="27"/>
                <w:sz w:val="18"/>
                <w:szCs w:val="18"/>
              </w:rPr>
              <w:t xml:space="preserve"> </w:t>
            </w:r>
            <w:r>
              <w:rPr>
                <w:rFonts w:ascii="Avenir Next Condensed" w:eastAsia="Avenir Next Condensed" w:hAnsi="Avenir Next Condensed" w:cs="Avenir Next Condensed"/>
                <w:spacing w:val="-1"/>
                <w:sz w:val="18"/>
                <w:szCs w:val="18"/>
              </w:rPr>
              <w:t>residential</w:t>
            </w:r>
            <w:r>
              <w:rPr>
                <w:rFonts w:ascii="Avenir Next Condensed" w:eastAsia="Avenir Next Condensed" w:hAnsi="Avenir Next Condensed" w:cs="Avenir Next Condensed"/>
                <w:sz w:val="18"/>
                <w:szCs w:val="18"/>
              </w:rPr>
              <w:t xml:space="preserve"> customers</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z w:val="18"/>
                <w:szCs w:val="18"/>
              </w:rPr>
              <w:t>($ pa)</w:t>
            </w:r>
          </w:p>
        </w:tc>
        <w:tc>
          <w:tcPr>
            <w:tcW w:w="1007"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71"/>
              <w:rPr>
                <w:rFonts w:ascii="Avenir Next Condensed" w:eastAsia="Avenir Next Condensed" w:hAnsi="Avenir Next Condensed" w:cs="Avenir Next Condensed"/>
                <w:sz w:val="18"/>
                <w:szCs w:val="18"/>
              </w:rPr>
            </w:pPr>
            <w:r>
              <w:rPr>
                <w:rFonts w:ascii="Avenir Next Condensed"/>
                <w:sz w:val="18"/>
              </w:rPr>
              <w:t>$481.18</w:t>
            </w:r>
          </w:p>
        </w:tc>
        <w:tc>
          <w:tcPr>
            <w:tcW w:w="105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420"/>
              <w:rPr>
                <w:rFonts w:ascii="Avenir Next Condensed" w:eastAsia="Avenir Next Condensed" w:hAnsi="Avenir Next Condensed" w:cs="Avenir Next Condensed"/>
                <w:sz w:val="18"/>
                <w:szCs w:val="18"/>
              </w:rPr>
            </w:pPr>
            <w:r>
              <w:rPr>
                <w:rFonts w:ascii="Avenir Next Condensed"/>
                <w:sz w:val="18"/>
              </w:rPr>
              <w:t>60,274</w:t>
            </w:r>
          </w:p>
        </w:tc>
        <w:tc>
          <w:tcPr>
            <w:tcW w:w="124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25"/>
              <w:rPr>
                <w:rFonts w:ascii="Avenir Next Condensed" w:eastAsia="Avenir Next Condensed" w:hAnsi="Avenir Next Condensed" w:cs="Avenir Next Condensed"/>
                <w:sz w:val="18"/>
                <w:szCs w:val="18"/>
              </w:rPr>
            </w:pPr>
            <w:r>
              <w:rPr>
                <w:rFonts w:ascii="Avenir Next Condensed"/>
                <w:b/>
                <w:sz w:val="18"/>
              </w:rPr>
              <w:t>$29.00</w:t>
            </w:r>
          </w:p>
        </w:tc>
        <w:tc>
          <w:tcPr>
            <w:tcW w:w="83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56"/>
              <w:rPr>
                <w:rFonts w:ascii="Avenir Next Condensed" w:eastAsia="Avenir Next Condensed" w:hAnsi="Avenir Next Condensed" w:cs="Avenir Next Condensed"/>
                <w:sz w:val="18"/>
                <w:szCs w:val="18"/>
              </w:rPr>
            </w:pPr>
            <w:r>
              <w:rPr>
                <w:rFonts w:ascii="Avenir Next Condensed"/>
                <w:sz w:val="18"/>
              </w:rPr>
              <w:t>$494.28</w:t>
            </w:r>
          </w:p>
        </w:tc>
        <w:tc>
          <w:tcPr>
            <w:tcW w:w="1273"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399"/>
              <w:rPr>
                <w:rFonts w:ascii="Avenir Next Condensed" w:eastAsia="Avenir Next Condensed" w:hAnsi="Avenir Next Condensed" w:cs="Avenir Next Condensed"/>
                <w:sz w:val="18"/>
                <w:szCs w:val="18"/>
              </w:rPr>
            </w:pPr>
            <w:r>
              <w:rPr>
                <w:rFonts w:ascii="Avenir Next Condensed"/>
                <w:sz w:val="18"/>
              </w:rPr>
              <w:t>61,597</w:t>
            </w:r>
          </w:p>
        </w:tc>
        <w:tc>
          <w:tcPr>
            <w:tcW w:w="1025"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sz w:val="18"/>
              </w:rPr>
              <w:t>$30.45</w:t>
            </w:r>
          </w:p>
        </w:tc>
        <w:tc>
          <w:tcPr>
            <w:tcW w:w="1314" w:type="dxa"/>
            <w:tcBorders>
              <w:top w:val="single" w:sz="4" w:space="0" w:color="17A7E0"/>
              <w:left w:val="single" w:sz="4" w:space="0" w:color="17A7E0"/>
              <w:bottom w:val="single" w:sz="12" w:space="0" w:color="1A9EDA"/>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sz w:val="18"/>
              </w:rPr>
              <w:t>$59.45</w:t>
            </w:r>
          </w:p>
        </w:tc>
      </w:tr>
      <w:tr w:rsidR="00D96B91" w:rsidTr="00D94894">
        <w:trPr>
          <w:trHeight w:hRule="exact" w:val="407"/>
        </w:trPr>
        <w:tc>
          <w:tcPr>
            <w:tcW w:w="165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7"/>
              <w:rPr>
                <w:rFonts w:ascii="Avenir Next Condensed" w:eastAsia="Avenir Next Condensed" w:hAnsi="Avenir Next Condensed" w:cs="Avenir Next Condensed"/>
                <w:sz w:val="18"/>
                <w:szCs w:val="18"/>
              </w:rPr>
            </w:pPr>
            <w:r>
              <w:rPr>
                <w:rFonts w:ascii="Avenir Next Condensed"/>
                <w:b/>
                <w:spacing w:val="-2"/>
                <w:sz w:val="18"/>
              </w:rPr>
              <w:t>Total</w:t>
            </w:r>
          </w:p>
        </w:tc>
        <w:tc>
          <w:tcPr>
            <w:tcW w:w="1007"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560"/>
              <w:rPr>
                <w:rFonts w:ascii="Avenir Next Condensed" w:eastAsia="Avenir Next Condensed" w:hAnsi="Avenir Next Condensed" w:cs="Avenir Next Condensed"/>
                <w:sz w:val="18"/>
                <w:szCs w:val="18"/>
              </w:rPr>
            </w:pPr>
            <w:r>
              <w:rPr>
                <w:rFonts w:ascii="Avenir Next Condensed"/>
                <w:sz w:val="18"/>
              </w:rPr>
              <w:t>na</w:t>
            </w:r>
          </w:p>
        </w:tc>
        <w:tc>
          <w:tcPr>
            <w:tcW w:w="105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right="163"/>
              <w:jc w:val="right"/>
              <w:rPr>
                <w:rFonts w:ascii="Avenir Next Condensed" w:eastAsia="Avenir Next Condensed" w:hAnsi="Avenir Next Condensed" w:cs="Avenir Next Condensed"/>
                <w:sz w:val="18"/>
                <w:szCs w:val="18"/>
              </w:rPr>
            </w:pPr>
            <w:r>
              <w:rPr>
                <w:rFonts w:ascii="Avenir Next Condensed"/>
                <w:w w:val="95"/>
                <w:sz w:val="18"/>
              </w:rPr>
              <w:t>na</w:t>
            </w:r>
          </w:p>
        </w:tc>
        <w:tc>
          <w:tcPr>
            <w:tcW w:w="124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35"/>
              <w:rPr>
                <w:rFonts w:ascii="Avenir Next Condensed" w:eastAsia="Avenir Next Condensed" w:hAnsi="Avenir Next Condensed" w:cs="Avenir Next Condensed"/>
                <w:sz w:val="18"/>
                <w:szCs w:val="18"/>
              </w:rPr>
            </w:pPr>
            <w:r>
              <w:rPr>
                <w:rFonts w:ascii="Avenir Next Condensed"/>
                <w:b/>
                <w:sz w:val="18"/>
              </w:rPr>
              <w:t>$109.01</w:t>
            </w:r>
          </w:p>
        </w:tc>
        <w:tc>
          <w:tcPr>
            <w:tcW w:w="83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445"/>
              <w:rPr>
                <w:rFonts w:ascii="Avenir Next Condensed" w:eastAsia="Avenir Next Condensed" w:hAnsi="Avenir Next Condensed" w:cs="Avenir Next Condensed"/>
                <w:sz w:val="18"/>
                <w:szCs w:val="18"/>
              </w:rPr>
            </w:pPr>
            <w:r>
              <w:rPr>
                <w:rFonts w:ascii="Avenir Next Condensed"/>
                <w:sz w:val="18"/>
              </w:rPr>
              <w:t>na</w:t>
            </w:r>
          </w:p>
        </w:tc>
        <w:tc>
          <w:tcPr>
            <w:tcW w:w="1273"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right="1"/>
              <w:jc w:val="center"/>
              <w:rPr>
                <w:rFonts w:ascii="Avenir Next Condensed" w:eastAsia="Avenir Next Condensed" w:hAnsi="Avenir Next Condensed" w:cs="Avenir Next Condensed"/>
                <w:sz w:val="18"/>
                <w:szCs w:val="18"/>
              </w:rPr>
            </w:pPr>
            <w:r>
              <w:rPr>
                <w:rFonts w:ascii="Avenir Next Condensed"/>
                <w:sz w:val="18"/>
              </w:rPr>
              <w:t>na</w:t>
            </w:r>
          </w:p>
        </w:tc>
        <w:tc>
          <w:tcPr>
            <w:tcW w:w="1025"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208"/>
              <w:rPr>
                <w:rFonts w:ascii="Avenir Next Condensed" w:eastAsia="Avenir Next Condensed" w:hAnsi="Avenir Next Condensed" w:cs="Avenir Next Condensed"/>
                <w:sz w:val="18"/>
                <w:szCs w:val="18"/>
              </w:rPr>
            </w:pPr>
            <w:r>
              <w:rPr>
                <w:rFonts w:ascii="Avenir Next Condensed"/>
                <w:b/>
                <w:sz w:val="18"/>
              </w:rPr>
              <w:t>$114.69</w:t>
            </w:r>
          </w:p>
        </w:tc>
        <w:tc>
          <w:tcPr>
            <w:tcW w:w="1314" w:type="dxa"/>
            <w:tcBorders>
              <w:top w:val="single" w:sz="12" w:space="0" w:color="1A9EDA"/>
              <w:left w:val="single" w:sz="4" w:space="0" w:color="17A7E0"/>
              <w:bottom w:val="single" w:sz="12" w:space="0" w:color="1A9EDA"/>
              <w:right w:val="single" w:sz="4" w:space="0" w:color="17A7E0"/>
            </w:tcBorders>
            <w:shd w:val="clear" w:color="auto" w:fill="DEF3FD"/>
          </w:tcPr>
          <w:p w:rsidR="00D96B91" w:rsidRDefault="00C2656B">
            <w:pPr>
              <w:pStyle w:val="TableParagraph"/>
              <w:spacing w:before="98"/>
              <w:ind w:left="327"/>
              <w:rPr>
                <w:rFonts w:ascii="Avenir Next Condensed" w:eastAsia="Avenir Next Condensed" w:hAnsi="Avenir Next Condensed" w:cs="Avenir Next Condensed"/>
                <w:sz w:val="18"/>
                <w:szCs w:val="18"/>
              </w:rPr>
            </w:pPr>
            <w:r>
              <w:rPr>
                <w:rFonts w:ascii="Avenir Next Condensed"/>
                <w:b/>
                <w:sz w:val="18"/>
              </w:rPr>
              <w:t>$223.70</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Information</w:t>
      </w:r>
      <w:r>
        <w:rPr>
          <w:rFonts w:ascii="Avenir Next"/>
          <w:sz w:val="16"/>
        </w:rPr>
        <w:t xml:space="preserve"> </w:t>
      </w:r>
      <w:r>
        <w:rPr>
          <w:rFonts w:ascii="Avenir Next"/>
          <w:spacing w:val="-1"/>
          <w:sz w:val="16"/>
        </w:rPr>
        <w:t>return:</w:t>
      </w:r>
      <w:r>
        <w:rPr>
          <w:rFonts w:ascii="Avenir Next"/>
          <w:sz w:val="16"/>
        </w:rPr>
        <w:t xml:space="preserve"> demand </w:t>
      </w:r>
      <w:r>
        <w:rPr>
          <w:rFonts w:ascii="Avenir Next"/>
          <w:spacing w:val="-1"/>
          <w:sz w:val="16"/>
        </w:rPr>
        <w:t>forecasts,</w:t>
      </w:r>
      <w:r>
        <w:rPr>
          <w:rFonts w:ascii="Avenir Next"/>
          <w:spacing w:val="-5"/>
          <w:sz w:val="16"/>
        </w:rPr>
        <w:t xml:space="preserve"> </w:t>
      </w:r>
      <w:r>
        <w:rPr>
          <w:rFonts w:ascii="Avenir Next"/>
          <w:sz w:val="16"/>
        </w:rPr>
        <w:t>15</w:t>
      </w:r>
      <w:r>
        <w:rPr>
          <w:rFonts w:ascii="Avenir Next"/>
          <w:spacing w:val="-3"/>
          <w:sz w:val="16"/>
        </w:rPr>
        <w:t xml:space="preserve"> </w:t>
      </w:r>
      <w:r>
        <w:rPr>
          <w:rFonts w:ascii="Avenir Next"/>
          <w:sz w:val="16"/>
        </w:rPr>
        <w:t>August 2014.</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797"/>
      </w:pPr>
      <w:r>
        <w:t>Based</w:t>
      </w:r>
      <w:r>
        <w:rPr>
          <w:spacing w:val="-1"/>
        </w:rPr>
        <w:t xml:space="preserve"> </w:t>
      </w:r>
      <w:r>
        <w:t xml:space="preserve">on </w:t>
      </w:r>
      <w:r>
        <w:rPr>
          <w:spacing w:val="-1"/>
        </w:rPr>
        <w:t>outturn</w:t>
      </w:r>
      <w:r>
        <w:t xml:space="preserve"> customer</w:t>
      </w:r>
      <w:r>
        <w:rPr>
          <w:spacing w:val="-1"/>
        </w:rPr>
        <w:t xml:space="preserve"> </w:t>
      </w:r>
      <w:r>
        <w:t>numbers,</w:t>
      </w:r>
      <w:r>
        <w:rPr>
          <w:spacing w:val="-7"/>
        </w:rPr>
        <w:t xml:space="preserve"> </w:t>
      </w:r>
      <w:r>
        <w:t xml:space="preserve">billable </w:t>
      </w:r>
      <w:r>
        <w:rPr>
          <w:spacing w:val="-1"/>
        </w:rPr>
        <w:t xml:space="preserve">fixtures </w:t>
      </w:r>
      <w:r>
        <w:t xml:space="preserve">and </w:t>
      </w:r>
      <w:r>
        <w:rPr>
          <w:spacing w:val="-1"/>
        </w:rPr>
        <w:t>water</w:t>
      </w:r>
      <w:r>
        <w:t xml:space="preserve"> sales</w:t>
      </w:r>
      <w:r>
        <w:rPr>
          <w:spacing w:val="-1"/>
        </w:rPr>
        <w:t xml:space="preserve"> </w:t>
      </w:r>
      <w:r>
        <w:t>in 2013-14 and</w:t>
      </w:r>
      <w:r>
        <w:rPr>
          <w:spacing w:val="-1"/>
        </w:rPr>
        <w:t xml:space="preserve"> forecasts</w:t>
      </w:r>
      <w:r>
        <w:t xml:space="preserve"> for</w:t>
      </w:r>
      <w:r>
        <w:rPr>
          <w:spacing w:val="33"/>
        </w:rPr>
        <w:t xml:space="preserve"> </w:t>
      </w:r>
      <w:r>
        <w:t>2014-15 (see</w:t>
      </w:r>
      <w:r>
        <w:rPr>
          <w:spacing w:val="-5"/>
        </w:rPr>
        <w:t xml:space="preserve"> </w:t>
      </w:r>
      <w:hyperlink w:anchor="_bookmark102" w:history="1">
        <w:r>
          <w:rPr>
            <w:spacing w:val="-4"/>
          </w:rPr>
          <w:t>Table</w:t>
        </w:r>
        <w:r>
          <w:t xml:space="preserve"> 12.1).</w:t>
        </w:r>
      </w:hyperlink>
    </w:p>
    <w:p w:rsidR="00D96B91" w:rsidRDefault="00C2656B">
      <w:pPr>
        <w:pStyle w:val="BodyText"/>
        <w:spacing w:before="178"/>
      </w:pPr>
      <w:r>
        <w:t>As</w:t>
      </w:r>
      <w:r>
        <w:rPr>
          <w:spacing w:val="-5"/>
        </w:rPr>
        <w:t xml:space="preserve"> </w:t>
      </w:r>
      <w:r>
        <w:rPr>
          <w:spacing w:val="-4"/>
        </w:rPr>
        <w:t>Table</w:t>
      </w:r>
      <w:r>
        <w:t xml:space="preserve"> 13.17 shows,</w:t>
      </w:r>
      <w:r>
        <w:rPr>
          <w:spacing w:val="-10"/>
        </w:rPr>
        <w:t xml:space="preserve"> </w:t>
      </w:r>
      <w:r>
        <w:rPr>
          <w:spacing w:val="-2"/>
        </w:rPr>
        <w:t>ACTEW</w:t>
      </w:r>
      <w:r>
        <w:rPr>
          <w:spacing w:val="-3"/>
        </w:rPr>
        <w:t xml:space="preserve"> </w:t>
      </w:r>
      <w:r>
        <w:t xml:space="preserve">is </w:t>
      </w:r>
      <w:r>
        <w:rPr>
          <w:spacing w:val="-1"/>
        </w:rPr>
        <w:t>expected</w:t>
      </w:r>
      <w:r>
        <w:t xml:space="preserve"> to </w:t>
      </w:r>
      <w:r>
        <w:rPr>
          <w:spacing w:val="-1"/>
        </w:rPr>
        <w:t>earn</w:t>
      </w:r>
      <w:r>
        <w:t xml:space="preserve"> </w:t>
      </w:r>
      <w:r>
        <w:rPr>
          <w:spacing w:val="-1"/>
        </w:rPr>
        <w:t>approximately:</w:t>
      </w:r>
    </w:p>
    <w:p w:rsidR="00D96B91" w:rsidRDefault="00C2656B">
      <w:pPr>
        <w:pStyle w:val="BodyText"/>
        <w:numPr>
          <w:ilvl w:val="0"/>
          <w:numId w:val="131"/>
        </w:numPr>
        <w:tabs>
          <w:tab w:val="left" w:pos="1531"/>
        </w:tabs>
        <w:spacing w:before="149" w:line="260" w:lineRule="exact"/>
        <w:ind w:right="1402" w:hanging="283"/>
      </w:pPr>
      <w:r>
        <w:t xml:space="preserve">$10.6 million </w:t>
      </w:r>
      <w:r>
        <w:rPr>
          <w:spacing w:val="-1"/>
        </w:rPr>
        <w:t>more</w:t>
      </w:r>
      <w:r>
        <w:t xml:space="preserve"> </w:t>
      </w:r>
      <w:r>
        <w:rPr>
          <w:spacing w:val="-1"/>
        </w:rPr>
        <w:t>revenue</w:t>
      </w:r>
      <w:r>
        <w:t xml:space="preserve"> </w:t>
      </w:r>
      <w:r>
        <w:rPr>
          <w:spacing w:val="-1"/>
        </w:rPr>
        <w:t>from</w:t>
      </w:r>
      <w:r>
        <w:t xml:space="preserve"> the </w:t>
      </w:r>
      <w:r>
        <w:rPr>
          <w:spacing w:val="-1"/>
        </w:rPr>
        <w:t>provision</w:t>
      </w:r>
      <w:r>
        <w:t xml:space="preserve"> of</w:t>
      </w:r>
      <w:r>
        <w:rPr>
          <w:spacing w:val="4"/>
        </w:rPr>
        <w:t xml:space="preserve"> </w:t>
      </w:r>
      <w:r>
        <w:rPr>
          <w:spacing w:val="-1"/>
        </w:rPr>
        <w:t>water</w:t>
      </w:r>
      <w:r>
        <w:t xml:space="preserve"> services in 2013-14 and 2014-15 than the</w:t>
      </w:r>
      <w:r>
        <w:rPr>
          <w:spacing w:val="23"/>
        </w:rPr>
        <w:t xml:space="preserve"> </w:t>
      </w:r>
      <w:r>
        <w:t xml:space="preserve">adjusted net </w:t>
      </w:r>
      <w:r>
        <w:rPr>
          <w:spacing w:val="-1"/>
        </w:rPr>
        <w:t>revenue</w:t>
      </w:r>
      <w:r>
        <w:t xml:space="preserve"> </w:t>
      </w:r>
      <w:r>
        <w:rPr>
          <w:spacing w:val="-1"/>
        </w:rPr>
        <w:t>requirement.</w:t>
      </w:r>
      <w:r>
        <w:rPr>
          <w:spacing w:val="-11"/>
        </w:rPr>
        <w:t xml:space="preserve"> </w:t>
      </w:r>
      <w:r>
        <w:rPr>
          <w:spacing w:val="-1"/>
        </w:rPr>
        <w:t>This</w:t>
      </w:r>
      <w:r>
        <w:t xml:space="preserve"> over </w:t>
      </w:r>
      <w:r>
        <w:rPr>
          <w:spacing w:val="-1"/>
        </w:rPr>
        <w:t>recovery</w:t>
      </w:r>
      <w:r>
        <w:t xml:space="preserve"> stems </w:t>
      </w:r>
      <w:r>
        <w:rPr>
          <w:spacing w:val="-1"/>
        </w:rPr>
        <w:t>from</w:t>
      </w:r>
      <w:r>
        <w:t xml:space="preserve"> the fact </w:t>
      </w:r>
      <w:r>
        <w:rPr>
          <w:spacing w:val="-1"/>
        </w:rPr>
        <w:t>that</w:t>
      </w:r>
      <w:r>
        <w:t xml:space="preserve"> </w:t>
      </w:r>
      <w:r>
        <w:rPr>
          <w:spacing w:val="-1"/>
        </w:rPr>
        <w:t>outturn</w:t>
      </w:r>
      <w:r>
        <w:t xml:space="preserve"> demand was</w:t>
      </w:r>
      <w:r>
        <w:rPr>
          <w:spacing w:val="35"/>
        </w:rPr>
        <w:t xml:space="preserve"> </w:t>
      </w:r>
      <w:r>
        <w:t xml:space="preserve">much higher in 2013-14 than the ICRC </w:t>
      </w:r>
      <w:r>
        <w:rPr>
          <w:spacing w:val="-1"/>
        </w:rPr>
        <w:t>projected</w:t>
      </w:r>
      <w:r>
        <w:t xml:space="preserve"> when </w:t>
      </w:r>
      <w:r>
        <w:rPr>
          <w:spacing w:val="-1"/>
        </w:rPr>
        <w:t>setting</w:t>
      </w:r>
      <w:r>
        <w:t xml:space="preserve"> prices (42 GL</w:t>
      </w:r>
      <w:r>
        <w:rPr>
          <w:spacing w:val="-5"/>
        </w:rPr>
        <w:t xml:space="preserve"> </w:t>
      </w:r>
      <w:r>
        <w:t>versus 38 GL) and is</w:t>
      </w:r>
      <w:r>
        <w:rPr>
          <w:spacing w:val="30"/>
        </w:rPr>
        <w:t xml:space="preserve"> </w:t>
      </w:r>
      <w:r>
        <w:rPr>
          <w:spacing w:val="-1"/>
        </w:rPr>
        <w:t>expected</w:t>
      </w:r>
      <w:r>
        <w:t xml:space="preserve"> by </w:t>
      </w:r>
      <w:r>
        <w:rPr>
          <w:spacing w:val="-2"/>
        </w:rPr>
        <w:t>Cardno</w:t>
      </w:r>
      <w:r>
        <w:t xml:space="preserve"> to be even higher in 2014-15 (44 GL</w:t>
      </w:r>
      <w:r>
        <w:rPr>
          <w:spacing w:val="-5"/>
        </w:rPr>
        <w:t xml:space="preserve"> </w:t>
      </w:r>
      <w:r>
        <w:t>versus 38 GL).</w:t>
      </w:r>
    </w:p>
    <w:p w:rsidR="00D96B91" w:rsidRDefault="00C2656B">
      <w:pPr>
        <w:pStyle w:val="BodyText"/>
        <w:numPr>
          <w:ilvl w:val="0"/>
          <w:numId w:val="131"/>
        </w:numPr>
        <w:tabs>
          <w:tab w:val="left" w:pos="1531"/>
        </w:tabs>
        <w:spacing w:before="85" w:line="260" w:lineRule="exact"/>
        <w:ind w:right="1290" w:hanging="283"/>
      </w:pPr>
      <w:r>
        <w:t xml:space="preserve">$0.5 million </w:t>
      </w:r>
      <w:r>
        <w:rPr>
          <w:spacing w:val="-1"/>
        </w:rPr>
        <w:t>more</w:t>
      </w:r>
      <w:r>
        <w:t xml:space="preserve"> </w:t>
      </w:r>
      <w:r>
        <w:rPr>
          <w:spacing w:val="-1"/>
        </w:rPr>
        <w:t>revenue</w:t>
      </w:r>
      <w:r>
        <w:t xml:space="preserve"> </w:t>
      </w:r>
      <w:r>
        <w:rPr>
          <w:spacing w:val="-1"/>
        </w:rPr>
        <w:t>from</w:t>
      </w:r>
      <w:r>
        <w:t xml:space="preserve"> the </w:t>
      </w:r>
      <w:r>
        <w:rPr>
          <w:spacing w:val="-1"/>
        </w:rPr>
        <w:t>provision</w:t>
      </w:r>
      <w:r>
        <w:t xml:space="preserve"> of</w:t>
      </w:r>
      <w:r>
        <w:rPr>
          <w:spacing w:val="4"/>
        </w:rPr>
        <w:t xml:space="preserve"> </w:t>
      </w:r>
      <w:r>
        <w:rPr>
          <w:spacing w:val="-1"/>
        </w:rPr>
        <w:t>sewerage</w:t>
      </w:r>
      <w:r>
        <w:t xml:space="preserve"> services in 2013-14 and 2014-15 than the</w:t>
      </w:r>
      <w:r>
        <w:rPr>
          <w:spacing w:val="27"/>
        </w:rPr>
        <w:t xml:space="preserve"> </w:t>
      </w:r>
      <w:r>
        <w:t xml:space="preserve">adjusted net </w:t>
      </w:r>
      <w:r>
        <w:rPr>
          <w:spacing w:val="-1"/>
        </w:rPr>
        <w:t>revenue</w:t>
      </w:r>
      <w:r>
        <w:t xml:space="preserve"> </w:t>
      </w:r>
      <w:r>
        <w:rPr>
          <w:spacing w:val="-1"/>
        </w:rPr>
        <w:t>requirement.</w:t>
      </w:r>
      <w:r>
        <w:rPr>
          <w:spacing w:val="-11"/>
        </w:rPr>
        <w:t xml:space="preserve"> </w:t>
      </w:r>
      <w:r>
        <w:rPr>
          <w:spacing w:val="-1"/>
        </w:rPr>
        <w:t>This</w:t>
      </w:r>
      <w:r>
        <w:t xml:space="preserve"> over </w:t>
      </w:r>
      <w:r>
        <w:rPr>
          <w:spacing w:val="-1"/>
        </w:rPr>
        <w:t>recovery</w:t>
      </w:r>
      <w:r>
        <w:t xml:space="preserve"> stems </w:t>
      </w:r>
      <w:r>
        <w:rPr>
          <w:spacing w:val="-1"/>
        </w:rPr>
        <w:t>from</w:t>
      </w:r>
      <w:r>
        <w:t xml:space="preserve"> the fact </w:t>
      </w:r>
      <w:r>
        <w:rPr>
          <w:spacing w:val="-1"/>
        </w:rPr>
        <w:t>that</w:t>
      </w:r>
      <w:r>
        <w:t xml:space="preserve"> </w:t>
      </w:r>
      <w:r>
        <w:rPr>
          <w:spacing w:val="-1"/>
        </w:rPr>
        <w:t>sewerage</w:t>
      </w:r>
      <w:r>
        <w:t xml:space="preserve"> customer</w:t>
      </w:r>
      <w:r>
        <w:rPr>
          <w:spacing w:val="37"/>
        </w:rPr>
        <w:t xml:space="preserve"> </w:t>
      </w:r>
      <w:r>
        <w:t>numbers</w:t>
      </w:r>
      <w:r>
        <w:rPr>
          <w:spacing w:val="-1"/>
        </w:rPr>
        <w:t xml:space="preserve"> </w:t>
      </w:r>
      <w:r>
        <w:t xml:space="preserve">and billable </w:t>
      </w:r>
      <w:r>
        <w:rPr>
          <w:spacing w:val="-1"/>
        </w:rPr>
        <w:t xml:space="preserve">fixture </w:t>
      </w:r>
      <w:r>
        <w:t xml:space="preserve">numbers </w:t>
      </w:r>
      <w:r>
        <w:rPr>
          <w:spacing w:val="-2"/>
        </w:rPr>
        <w:t>are</w:t>
      </w:r>
      <w:r>
        <w:t xml:space="preserve"> </w:t>
      </w:r>
      <w:r>
        <w:rPr>
          <w:spacing w:val="-1"/>
        </w:rPr>
        <w:t xml:space="preserve">expected </w:t>
      </w:r>
      <w:r>
        <w:t>to be higher</w:t>
      </w:r>
      <w:r>
        <w:rPr>
          <w:spacing w:val="-1"/>
        </w:rPr>
        <w:t xml:space="preserve"> </w:t>
      </w:r>
      <w:r>
        <w:t>in 2014-15 than was</w:t>
      </w:r>
      <w:r>
        <w:rPr>
          <w:spacing w:val="-1"/>
        </w:rPr>
        <w:t xml:space="preserve"> </w:t>
      </w:r>
      <w:r>
        <w:t>assumed by</w:t>
      </w:r>
      <w:r>
        <w:rPr>
          <w:spacing w:val="23"/>
        </w:rPr>
        <w:t xml:space="preserve"> </w:t>
      </w:r>
      <w:r>
        <w:t>the ICRC (see</w:t>
      </w:r>
      <w:r>
        <w:rPr>
          <w:spacing w:val="-5"/>
        </w:rPr>
        <w:t xml:space="preserve"> </w:t>
      </w:r>
      <w:hyperlink w:anchor="_bookmark110" w:history="1">
        <w:r>
          <w:rPr>
            <w:spacing w:val="-4"/>
          </w:rPr>
          <w:t>Table</w:t>
        </w:r>
        <w:r>
          <w:t xml:space="preserve"> 12.7</w:t>
        </w:r>
      </w:hyperlink>
      <w:r>
        <w:t>).</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tabs>
          <w:tab w:val="left" w:pos="1927"/>
        </w:tabs>
        <w:spacing w:line="516" w:lineRule="exact"/>
        <w:ind w:left="1247"/>
        <w:rPr>
          <w:rFonts w:ascii="Avenir Next Medium" w:eastAsia="Avenir Next Medium" w:hAnsi="Avenir Next Medium" w:cs="Avenir Next Medium"/>
          <w:sz w:val="40"/>
          <w:szCs w:val="40"/>
        </w:rPr>
      </w:pPr>
      <w:bookmarkStart w:id="194" w:name="14_Prices_for_water_and_sewerage_service"/>
      <w:bookmarkStart w:id="195" w:name="14._1_Overview_of_the_Panel’s_draft_deci"/>
      <w:bookmarkStart w:id="196" w:name="_bookmark126"/>
      <w:bookmarkEnd w:id="194"/>
      <w:bookmarkEnd w:id="195"/>
      <w:bookmarkEnd w:id="196"/>
      <w:r>
        <w:rPr>
          <w:rFonts w:ascii="Avenir Next Medium"/>
          <w:color w:val="0778BE"/>
          <w:w w:val="95"/>
          <w:sz w:val="40"/>
        </w:rPr>
        <w:t>14</w:t>
      </w:r>
      <w:r>
        <w:rPr>
          <w:rFonts w:ascii="Avenir Next Medium"/>
          <w:color w:val="0778BE"/>
          <w:w w:val="95"/>
          <w:sz w:val="40"/>
        </w:rPr>
        <w:tab/>
      </w:r>
      <w:r>
        <w:rPr>
          <w:rFonts w:ascii="Avenir Next Medium"/>
          <w:color w:val="0778BE"/>
          <w:spacing w:val="-4"/>
          <w:sz w:val="40"/>
        </w:rPr>
        <w:t>Prices</w:t>
      </w:r>
      <w:r>
        <w:rPr>
          <w:rFonts w:ascii="Avenir Next Medium"/>
          <w:color w:val="0778BE"/>
          <w:sz w:val="40"/>
        </w:rPr>
        <w:t xml:space="preserve"> for </w:t>
      </w:r>
      <w:r>
        <w:rPr>
          <w:rFonts w:ascii="Avenir Next Medium"/>
          <w:color w:val="0778BE"/>
          <w:spacing w:val="-1"/>
          <w:sz w:val="40"/>
        </w:rPr>
        <w:t>water</w:t>
      </w:r>
      <w:r>
        <w:rPr>
          <w:rFonts w:ascii="Avenir Next Medium"/>
          <w:color w:val="0778BE"/>
          <w:sz w:val="40"/>
        </w:rPr>
        <w:t xml:space="preserve"> and </w:t>
      </w:r>
      <w:r>
        <w:rPr>
          <w:rFonts w:ascii="Avenir Next Medium"/>
          <w:color w:val="0778BE"/>
          <w:spacing w:val="-1"/>
          <w:sz w:val="40"/>
        </w:rPr>
        <w:t>sewerage</w:t>
      </w:r>
      <w:r>
        <w:rPr>
          <w:rFonts w:ascii="Avenir Next Medium"/>
          <w:color w:val="0778BE"/>
          <w:sz w:val="40"/>
        </w:rPr>
        <w:t xml:space="preserve"> services</w:t>
      </w:r>
    </w:p>
    <w:p w:rsidR="00D96B91" w:rsidRDefault="00C2656B">
      <w:pPr>
        <w:pStyle w:val="BodyText"/>
        <w:spacing w:before="359" w:line="260" w:lineRule="exact"/>
        <w:ind w:right="1548"/>
        <w:rPr>
          <w:rFonts w:cs="Avenir Next"/>
        </w:rPr>
      </w:pPr>
      <w:r>
        <w:t xml:space="preserve">In making its </w:t>
      </w:r>
      <w:r>
        <w:rPr>
          <w:spacing w:val="-2"/>
        </w:rPr>
        <w:t>draft</w:t>
      </w:r>
      <w:r>
        <w:t xml:space="preserve"> decision on the maximum </w:t>
      </w:r>
      <w:r>
        <w:rPr>
          <w:spacing w:val="-1"/>
        </w:rPr>
        <w:t>water</w:t>
      </w:r>
      <w:r>
        <w:t xml:space="preserve"> and </w:t>
      </w:r>
      <w:r>
        <w:rPr>
          <w:spacing w:val="-1"/>
        </w:rPr>
        <w:t>sewerage</w:t>
      </w:r>
      <w:r>
        <w:t xml:space="preserve"> </w:t>
      </w:r>
      <w:r>
        <w:rPr>
          <w:spacing w:val="-1"/>
        </w:rPr>
        <w:t>charges</w:t>
      </w:r>
      <w:r>
        <w:t xml:space="preserve"> and price </w:t>
      </w:r>
      <w:r>
        <w:rPr>
          <w:spacing w:val="-1"/>
        </w:rPr>
        <w:t>path</w:t>
      </w:r>
      <w:r>
        <w:t xml:space="preserve"> for this</w:t>
      </w:r>
      <w:r>
        <w:rPr>
          <w:spacing w:val="31"/>
        </w:rPr>
        <w:t xml:space="preserve"> </w:t>
      </w:r>
      <w:r>
        <w:rPr>
          <w:spacing w:val="-1"/>
        </w:rPr>
        <w:t>regulatory</w:t>
      </w:r>
      <w:r>
        <w:t xml:space="preserve"> period,</w:t>
      </w:r>
      <w:r>
        <w:rPr>
          <w:spacing w:val="-6"/>
        </w:rPr>
        <w:t xml:space="preserve"> </w:t>
      </w:r>
      <w:r>
        <w:t xml:space="preserve">the </w:t>
      </w:r>
      <w:r>
        <w:rPr>
          <w:spacing w:val="-3"/>
        </w:rPr>
        <w:t>Panel:</w:t>
      </w:r>
    </w:p>
    <w:p w:rsidR="00D96B91" w:rsidRDefault="00C2656B">
      <w:pPr>
        <w:pStyle w:val="BodyText"/>
        <w:numPr>
          <w:ilvl w:val="0"/>
          <w:numId w:val="131"/>
        </w:numPr>
        <w:tabs>
          <w:tab w:val="left" w:pos="1531"/>
        </w:tabs>
        <w:spacing w:before="170" w:line="260" w:lineRule="exact"/>
        <w:ind w:right="1609" w:hanging="283"/>
        <w:rPr>
          <w:rFonts w:cs="Avenir Next"/>
        </w:rPr>
      </w:pPr>
      <w:r>
        <w:t xml:space="preserve">maintained the </w:t>
      </w:r>
      <w:r>
        <w:rPr>
          <w:spacing w:val="-1"/>
        </w:rPr>
        <w:t>current</w:t>
      </w:r>
      <w:r>
        <w:t xml:space="preserve"> </w:t>
      </w:r>
      <w:r>
        <w:rPr>
          <w:spacing w:val="-1"/>
        </w:rPr>
        <w:t>tariff</w:t>
      </w:r>
      <w:r>
        <w:rPr>
          <w:spacing w:val="4"/>
        </w:rPr>
        <w:t xml:space="preserve"> </w:t>
      </w:r>
      <w:r>
        <w:rPr>
          <w:spacing w:val="-1"/>
        </w:rPr>
        <w:t>structure,</w:t>
      </w:r>
      <w:r>
        <w:rPr>
          <w:spacing w:val="-6"/>
        </w:rPr>
        <w:t xml:space="preserve"> </w:t>
      </w:r>
      <w:r>
        <w:t xml:space="preserve">in line with its decision in Chapter 5 </w:t>
      </w:r>
      <w:r>
        <w:rPr>
          <w:spacing w:val="-1"/>
        </w:rPr>
        <w:t>that</w:t>
      </w:r>
      <w:r>
        <w:t xml:space="preserve"> the </w:t>
      </w:r>
      <w:r>
        <w:rPr>
          <w:spacing w:val="-1"/>
        </w:rPr>
        <w:t>tariff</w:t>
      </w:r>
      <w:r>
        <w:rPr>
          <w:spacing w:val="4"/>
        </w:rPr>
        <w:t xml:space="preserve"> </w:t>
      </w:r>
      <w:r>
        <w:rPr>
          <w:spacing w:val="-1"/>
        </w:rPr>
        <w:t>structure</w:t>
      </w:r>
      <w:r>
        <w:rPr>
          <w:spacing w:val="39"/>
        </w:rPr>
        <w:t xml:space="preserve"> </w:t>
      </w:r>
      <w:r>
        <w:t>was outside the scope of</w:t>
      </w:r>
      <w:r>
        <w:rPr>
          <w:spacing w:val="4"/>
        </w:rPr>
        <w:t xml:space="preserve"> </w:t>
      </w:r>
      <w:r>
        <w:t xml:space="preserve">this </w:t>
      </w:r>
      <w:r>
        <w:rPr>
          <w:spacing w:val="-1"/>
        </w:rPr>
        <w:t>review</w:t>
      </w:r>
      <w:r>
        <w:t xml:space="preserve"> due to time </w:t>
      </w:r>
      <w:r>
        <w:rPr>
          <w:spacing w:val="-1"/>
        </w:rPr>
        <w:t>constraints</w:t>
      </w:r>
    </w:p>
    <w:p w:rsidR="00D96B91" w:rsidRDefault="00C2656B">
      <w:pPr>
        <w:pStyle w:val="BodyText"/>
        <w:numPr>
          <w:ilvl w:val="0"/>
          <w:numId w:val="131"/>
        </w:numPr>
        <w:tabs>
          <w:tab w:val="left" w:pos="1531"/>
        </w:tabs>
        <w:spacing w:before="85" w:line="260" w:lineRule="exact"/>
        <w:ind w:right="1247" w:hanging="283"/>
      </w:pPr>
      <w:r>
        <w:t>adopted</w:t>
      </w:r>
      <w:r>
        <w:rPr>
          <w:spacing w:val="-1"/>
        </w:rPr>
        <w:t xml:space="preserve"> </w:t>
      </w:r>
      <w:r>
        <w:t>the maximum prices determined</w:t>
      </w:r>
      <w:r>
        <w:rPr>
          <w:spacing w:val="-1"/>
        </w:rPr>
        <w:t xml:space="preserve"> </w:t>
      </w:r>
      <w:r>
        <w:t xml:space="preserve">by the </w:t>
      </w:r>
      <w:r>
        <w:rPr>
          <w:spacing w:val="-2"/>
        </w:rPr>
        <w:t>ICRC’s</w:t>
      </w:r>
      <w:r>
        <w:t xml:space="preserve"> original price</w:t>
      </w:r>
      <w:r>
        <w:rPr>
          <w:spacing w:val="-1"/>
        </w:rPr>
        <w:t xml:space="preserve"> direction</w:t>
      </w:r>
      <w:r>
        <w:t xml:space="preserve"> for the first</w:t>
      </w:r>
      <w:r>
        <w:rPr>
          <w:spacing w:val="-1"/>
        </w:rPr>
        <w:t xml:space="preserve"> </w:t>
      </w:r>
      <w:r>
        <w:t xml:space="preserve">two </w:t>
      </w:r>
      <w:r>
        <w:rPr>
          <w:spacing w:val="-1"/>
        </w:rPr>
        <w:t>years</w:t>
      </w:r>
      <w:r>
        <w:rPr>
          <w:spacing w:val="21"/>
        </w:rPr>
        <w:t xml:space="preserve"> </w:t>
      </w:r>
      <w:r>
        <w:t>of</w:t>
      </w:r>
      <w:r>
        <w:rPr>
          <w:spacing w:val="4"/>
        </w:rPr>
        <w:t xml:space="preserve"> </w:t>
      </w:r>
      <w:r>
        <w:t>the period (see Chapter 7)</w:t>
      </w:r>
    </w:p>
    <w:p w:rsidR="00D96B91" w:rsidRDefault="00C2656B">
      <w:pPr>
        <w:pStyle w:val="BodyText"/>
        <w:numPr>
          <w:ilvl w:val="0"/>
          <w:numId w:val="131"/>
        </w:numPr>
        <w:tabs>
          <w:tab w:val="left" w:pos="1531"/>
        </w:tabs>
        <w:spacing w:before="85" w:line="260" w:lineRule="exact"/>
        <w:ind w:right="1377" w:hanging="283"/>
      </w:pPr>
      <w:r>
        <w:rPr>
          <w:rFonts w:cs="Avenir Next"/>
        </w:rPr>
        <w:t xml:space="preserve">set prices for the </w:t>
      </w:r>
      <w:r>
        <w:rPr>
          <w:rFonts w:cs="Avenir Next"/>
          <w:spacing w:val="-1"/>
        </w:rPr>
        <w:t>remaining</w:t>
      </w:r>
      <w:r>
        <w:rPr>
          <w:rFonts w:cs="Avenir Next"/>
        </w:rPr>
        <w:t xml:space="preserve"> </w:t>
      </w:r>
      <w:r>
        <w:rPr>
          <w:rFonts w:cs="Avenir Next"/>
          <w:spacing w:val="-1"/>
        </w:rPr>
        <w:t>three</w:t>
      </w:r>
      <w:r>
        <w:rPr>
          <w:rFonts w:cs="Avenir Next"/>
        </w:rPr>
        <w:t xml:space="preserve"> </w:t>
      </w:r>
      <w:r>
        <w:rPr>
          <w:rFonts w:cs="Avenir Next"/>
          <w:spacing w:val="-1"/>
        </w:rPr>
        <w:t>years</w:t>
      </w:r>
      <w:r>
        <w:rPr>
          <w:rFonts w:cs="Avenir Next"/>
        </w:rPr>
        <w:t xml:space="preserve"> of</w:t>
      </w:r>
      <w:r>
        <w:rPr>
          <w:rFonts w:cs="Avenir Next"/>
          <w:spacing w:val="4"/>
        </w:rPr>
        <w:t xml:space="preserve"> </w:t>
      </w:r>
      <w:r>
        <w:rPr>
          <w:rFonts w:cs="Avenir Next"/>
        </w:rPr>
        <w:t>the period consistent with enabling</w:t>
      </w:r>
      <w:r>
        <w:rPr>
          <w:rFonts w:cs="Avenir Next"/>
          <w:spacing w:val="-4"/>
        </w:rPr>
        <w:t xml:space="preserve"> </w:t>
      </w:r>
      <w:r>
        <w:rPr>
          <w:rFonts w:cs="Avenir Next"/>
          <w:spacing w:val="-2"/>
        </w:rPr>
        <w:t>ACTEW</w:t>
      </w:r>
      <w:r>
        <w:rPr>
          <w:rFonts w:cs="Avenir Next"/>
          <w:spacing w:val="-3"/>
        </w:rPr>
        <w:t xml:space="preserve"> </w:t>
      </w:r>
      <w:r>
        <w:rPr>
          <w:rFonts w:cs="Avenir Next"/>
        </w:rPr>
        <w:t xml:space="preserve">to </w:t>
      </w:r>
      <w:r>
        <w:rPr>
          <w:rFonts w:cs="Avenir Next"/>
          <w:spacing w:val="-1"/>
        </w:rPr>
        <w:t>recover</w:t>
      </w:r>
      <w:r>
        <w:rPr>
          <w:rFonts w:cs="Avenir Next"/>
          <w:spacing w:val="33"/>
        </w:rPr>
        <w:t xml:space="preserve"> </w:t>
      </w:r>
      <w:r>
        <w:t xml:space="preserve">the net </w:t>
      </w:r>
      <w:r>
        <w:rPr>
          <w:spacing w:val="-1"/>
        </w:rPr>
        <w:t>revenue</w:t>
      </w:r>
      <w:r>
        <w:t xml:space="preserve"> </w:t>
      </w:r>
      <w:r>
        <w:rPr>
          <w:spacing w:val="-1"/>
        </w:rPr>
        <w:t>requirement</w:t>
      </w:r>
      <w:r>
        <w:t xml:space="preserve"> set out in Chapter 13 (adjusted for the value of</w:t>
      </w:r>
      <w:r>
        <w:rPr>
          <w:spacing w:val="4"/>
        </w:rPr>
        <w:t xml:space="preserve"> </w:t>
      </w:r>
      <w:r>
        <w:t>the ‘true up’) given the</w:t>
      </w:r>
      <w:r>
        <w:rPr>
          <w:spacing w:val="27"/>
        </w:rPr>
        <w:t xml:space="preserve"> </w:t>
      </w:r>
      <w:r>
        <w:t xml:space="preserve">demand </w:t>
      </w:r>
      <w:r>
        <w:rPr>
          <w:spacing w:val="-1"/>
        </w:rPr>
        <w:t>forecasts</w:t>
      </w:r>
      <w:r>
        <w:t xml:space="preserve"> set out in Chapter 12,</w:t>
      </w:r>
      <w:r>
        <w:rPr>
          <w:spacing w:val="-7"/>
        </w:rPr>
        <w:t xml:space="preserve"> </w:t>
      </w:r>
      <w:r>
        <w:t>and</w:t>
      </w:r>
    </w:p>
    <w:p w:rsidR="00D96B91" w:rsidRDefault="00C2656B">
      <w:pPr>
        <w:pStyle w:val="BodyText"/>
        <w:numPr>
          <w:ilvl w:val="0"/>
          <w:numId w:val="131"/>
        </w:numPr>
        <w:tabs>
          <w:tab w:val="left" w:pos="1531"/>
        </w:tabs>
        <w:spacing w:before="85" w:line="260" w:lineRule="exact"/>
        <w:ind w:right="1591" w:hanging="283"/>
        <w:jc w:val="both"/>
      </w:pPr>
      <w:r>
        <w:t xml:space="preserve">selected a price </w:t>
      </w:r>
      <w:r>
        <w:rPr>
          <w:spacing w:val="-1"/>
        </w:rPr>
        <w:t>path</w:t>
      </w:r>
      <w:r>
        <w:t xml:space="preserve"> for the </w:t>
      </w:r>
      <w:r>
        <w:rPr>
          <w:spacing w:val="-1"/>
        </w:rPr>
        <w:t>remaining</w:t>
      </w:r>
      <w:r>
        <w:t xml:space="preserve"> </w:t>
      </w:r>
      <w:r>
        <w:rPr>
          <w:spacing w:val="-1"/>
        </w:rPr>
        <w:t>three</w:t>
      </w:r>
      <w:r>
        <w:t xml:space="preserve"> </w:t>
      </w:r>
      <w:r>
        <w:rPr>
          <w:spacing w:val="-1"/>
        </w:rPr>
        <w:t>years</w:t>
      </w:r>
      <w:r>
        <w:t xml:space="preserve"> of</w:t>
      </w:r>
      <w:r>
        <w:rPr>
          <w:spacing w:val="4"/>
        </w:rPr>
        <w:t xml:space="preserve"> </w:t>
      </w:r>
      <w:r>
        <w:t xml:space="preserve">the period consistent with </w:t>
      </w:r>
      <w:r>
        <w:rPr>
          <w:spacing w:val="-1"/>
        </w:rPr>
        <w:t>providing</w:t>
      </w:r>
      <w:r>
        <w:t xml:space="preserve"> stable</w:t>
      </w:r>
      <w:r>
        <w:rPr>
          <w:spacing w:val="31"/>
        </w:rPr>
        <w:t xml:space="preserve"> </w:t>
      </w:r>
      <w:r>
        <w:t xml:space="preserve">prices in the </w:t>
      </w:r>
      <w:r>
        <w:rPr>
          <w:spacing w:val="-1"/>
        </w:rPr>
        <w:t>current</w:t>
      </w:r>
      <w:r>
        <w:t xml:space="preserve"> period and into the </w:t>
      </w:r>
      <w:r>
        <w:rPr>
          <w:spacing w:val="-1"/>
        </w:rPr>
        <w:t>next</w:t>
      </w:r>
      <w:r>
        <w:t xml:space="preserve"> </w:t>
      </w:r>
      <w:r>
        <w:rPr>
          <w:spacing w:val="-1"/>
        </w:rPr>
        <w:t>regulatory</w:t>
      </w:r>
      <w:r>
        <w:t xml:space="preserve"> period (consistent with clause 1(e) of</w:t>
      </w:r>
      <w:r>
        <w:rPr>
          <w:spacing w:val="4"/>
        </w:rPr>
        <w:t xml:space="preserve"> </w:t>
      </w:r>
      <w:r>
        <w:t>the</w:t>
      </w:r>
      <w:r>
        <w:rPr>
          <w:spacing w:val="30"/>
        </w:rPr>
        <w:t xml:space="preserve"> </w:t>
      </w:r>
      <w:r>
        <w:t>original terms of</w:t>
      </w:r>
      <w:r>
        <w:rPr>
          <w:spacing w:val="4"/>
        </w:rPr>
        <w:t xml:space="preserve"> </w:t>
      </w:r>
      <w:r>
        <w:rPr>
          <w:spacing w:val="-1"/>
        </w:rPr>
        <w:t>reference).</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48"/>
      </w:pPr>
      <w:r>
        <w:rPr>
          <w:rFonts w:cs="Avenir Next"/>
          <w:spacing w:val="-2"/>
        </w:rPr>
        <w:t>The</w:t>
      </w:r>
      <w:r>
        <w:rPr>
          <w:rFonts w:cs="Avenir Next"/>
        </w:rPr>
        <w:t xml:space="preserve"> section below </w:t>
      </w:r>
      <w:r>
        <w:rPr>
          <w:rFonts w:cs="Avenir Next"/>
          <w:spacing w:val="-1"/>
        </w:rPr>
        <w:t>provides</w:t>
      </w:r>
      <w:r>
        <w:rPr>
          <w:rFonts w:cs="Avenir Next"/>
        </w:rPr>
        <w:t xml:space="preserve"> an overview of</w:t>
      </w:r>
      <w:r>
        <w:rPr>
          <w:rFonts w:cs="Avenir Next"/>
          <w:spacing w:val="4"/>
        </w:rPr>
        <w:t xml:space="preserve"> </w:t>
      </w: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the maximum </w:t>
      </w:r>
      <w:r>
        <w:rPr>
          <w:rFonts w:cs="Avenir Next"/>
          <w:spacing w:val="-1"/>
        </w:rPr>
        <w:t>water</w:t>
      </w:r>
      <w:r>
        <w:rPr>
          <w:rFonts w:cs="Avenir Next"/>
        </w:rPr>
        <w:t xml:space="preserve"> and</w:t>
      </w:r>
      <w:r>
        <w:rPr>
          <w:rFonts w:cs="Avenir Next"/>
          <w:spacing w:val="37"/>
        </w:rPr>
        <w:t xml:space="preserve"> </w:t>
      </w:r>
      <w:r>
        <w:rPr>
          <w:rFonts w:cs="Avenir Next"/>
          <w:spacing w:val="-1"/>
        </w:rPr>
        <w:t>sewerage</w:t>
      </w:r>
      <w:r>
        <w:rPr>
          <w:rFonts w:cs="Avenir Next"/>
        </w:rPr>
        <w:t xml:space="preserve"> </w:t>
      </w:r>
      <w:r>
        <w:rPr>
          <w:rFonts w:cs="Avenir Next"/>
          <w:spacing w:val="-1"/>
        </w:rPr>
        <w:t>charges</w:t>
      </w:r>
      <w:r>
        <w:rPr>
          <w:rFonts w:cs="Avenir Next"/>
        </w:rPr>
        <w:t xml:space="preserve"> and price </w:t>
      </w:r>
      <w:r>
        <w:rPr>
          <w:rFonts w:cs="Avenir Next"/>
          <w:spacing w:val="-1"/>
        </w:rPr>
        <w:t>path</w:t>
      </w:r>
      <w:r>
        <w:rPr>
          <w:rFonts w:cs="Avenir Next"/>
        </w:rPr>
        <w:t xml:space="preserve"> for this </w:t>
      </w:r>
      <w:r>
        <w:rPr>
          <w:rFonts w:cs="Avenir Next"/>
          <w:spacing w:val="-1"/>
        </w:rPr>
        <w:t>regulatory</w:t>
      </w:r>
      <w:r>
        <w:rPr>
          <w:rFonts w:cs="Avenir Next"/>
        </w:rPr>
        <w:t xml:space="preserve"> period,</w:t>
      </w:r>
      <w:r>
        <w:rPr>
          <w:rFonts w:cs="Avenir Next"/>
          <w:spacing w:val="-6"/>
        </w:rPr>
        <w:t xml:space="preserve"> </w:t>
      </w:r>
      <w:r>
        <w:rPr>
          <w:rFonts w:cs="Avenir Next"/>
        </w:rPr>
        <w:t xml:space="preserve">and its </w:t>
      </w:r>
      <w:r>
        <w:rPr>
          <w:rFonts w:cs="Avenir Next"/>
          <w:spacing w:val="-1"/>
        </w:rPr>
        <w:t>estimate</w:t>
      </w:r>
      <w:r>
        <w:rPr>
          <w:rFonts w:cs="Avenir Next"/>
        </w:rPr>
        <w:t xml:space="preserve"> of</w:t>
      </w:r>
      <w:r>
        <w:rPr>
          <w:rFonts w:cs="Avenir Next"/>
          <w:spacing w:val="4"/>
        </w:rPr>
        <w:t xml:space="preserve"> </w:t>
      </w:r>
      <w:r>
        <w:rPr>
          <w:rFonts w:cs="Avenir Next"/>
          <w:spacing w:val="-1"/>
        </w:rPr>
        <w:t>indicative</w:t>
      </w:r>
      <w:r>
        <w:rPr>
          <w:rFonts w:cs="Avenir Next"/>
        </w:rPr>
        <w:t xml:space="preserve"> maximum</w:t>
      </w:r>
      <w:r>
        <w:rPr>
          <w:rFonts w:cs="Avenir Next"/>
          <w:spacing w:val="55"/>
        </w:rPr>
        <w:t xml:space="preserve"> </w:t>
      </w:r>
      <w:r>
        <w:rPr>
          <w:spacing w:val="-1"/>
        </w:rPr>
        <w:t>charges</w:t>
      </w:r>
      <w:r>
        <w:t xml:space="preserve"> under this decision.</w:t>
      </w:r>
      <w:r>
        <w:rPr>
          <w:spacing w:val="-11"/>
        </w:rPr>
        <w:t xml:space="preserve"> </w:t>
      </w:r>
      <w:r>
        <w:rPr>
          <w:spacing w:val="-2"/>
        </w:rPr>
        <w:t>The</w:t>
      </w:r>
      <w:r>
        <w:t xml:space="preserve"> subsequent sections discuss this </w:t>
      </w:r>
      <w:r>
        <w:rPr>
          <w:spacing w:val="-2"/>
        </w:rPr>
        <w:t>draft</w:t>
      </w:r>
      <w:r>
        <w:t xml:space="preserve"> decision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34"/>
        </w:numPr>
        <w:tabs>
          <w:tab w:val="left" w:pos="1749"/>
        </w:tabs>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55" w:line="260" w:lineRule="exact"/>
        <w:ind w:right="1256"/>
      </w:pPr>
      <w:r>
        <w:rPr>
          <w:rFonts w:cs="Avenir Next"/>
          <w:spacing w:val="-2"/>
        </w:rPr>
        <w:t>The</w:t>
      </w:r>
      <w:r>
        <w:rPr>
          <w:rFonts w:cs="Avenir Next"/>
        </w:rPr>
        <w:t xml:space="preserve"> </w:t>
      </w:r>
      <w:r>
        <w:rPr>
          <w:rFonts w:cs="Avenir Next"/>
          <w:spacing w:val="-4"/>
        </w:rPr>
        <w:t>Panel’s</w:t>
      </w:r>
      <w:r>
        <w:rPr>
          <w:rFonts w:cs="Avenir Next"/>
        </w:rPr>
        <w:t xml:space="preserve"> </w:t>
      </w:r>
      <w:r>
        <w:rPr>
          <w:rFonts w:cs="Avenir Next"/>
          <w:spacing w:val="-2"/>
        </w:rPr>
        <w:t>draft</w:t>
      </w:r>
      <w:r>
        <w:rPr>
          <w:rFonts w:cs="Avenir Next"/>
        </w:rPr>
        <w:t xml:space="preserve"> decision is to adopt the maximum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charges</w:t>
      </w:r>
      <w:r>
        <w:rPr>
          <w:rFonts w:cs="Avenir Next"/>
        </w:rPr>
        <w:t xml:space="preserve"> and price </w:t>
      </w:r>
      <w:r>
        <w:rPr>
          <w:rFonts w:cs="Avenir Next"/>
          <w:spacing w:val="-1"/>
        </w:rPr>
        <w:t>path</w:t>
      </w:r>
      <w:r>
        <w:rPr>
          <w:rFonts w:cs="Avenir Next"/>
        </w:rPr>
        <w:t xml:space="preserve"> set out</w:t>
      </w:r>
      <w:r>
        <w:rPr>
          <w:rFonts w:cs="Avenir Next"/>
          <w:spacing w:val="47"/>
        </w:rPr>
        <w:t xml:space="preserve"> </w:t>
      </w:r>
      <w:r>
        <w:rPr>
          <w:rFonts w:cs="Avenir Next"/>
        </w:rPr>
        <w:t>in</w:t>
      </w:r>
      <w:r>
        <w:rPr>
          <w:rFonts w:cs="Avenir Next"/>
          <w:spacing w:val="-5"/>
        </w:rPr>
        <w:t xml:space="preserve"> </w:t>
      </w:r>
      <w:hyperlink w:anchor="_bookmark127" w:history="1">
        <w:r>
          <w:rPr>
            <w:spacing w:val="-4"/>
          </w:rPr>
          <w:t>Table</w:t>
        </w:r>
        <w:r>
          <w:t xml:space="preserve"> 14.1</w:t>
        </w:r>
      </w:hyperlink>
      <w:r>
        <w:t>.</w:t>
      </w:r>
    </w:p>
    <w:p w:rsidR="00D96B91" w:rsidRDefault="00C2656B">
      <w:pPr>
        <w:spacing w:before="158"/>
        <w:ind w:left="1247"/>
        <w:rPr>
          <w:rFonts w:ascii="Avenir Next" w:eastAsia="Avenir Next" w:hAnsi="Avenir Next" w:cs="Avenir Next"/>
          <w:sz w:val="20"/>
          <w:szCs w:val="20"/>
        </w:rPr>
      </w:pPr>
      <w:bookmarkStart w:id="197" w:name="_bookmark127"/>
      <w:bookmarkEnd w:id="197"/>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14.1: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Maximum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and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and price </w:t>
      </w:r>
      <w:r>
        <w:rPr>
          <w:rFonts w:ascii="Avenir Next" w:eastAsia="Avenir Next" w:hAnsi="Avenir Next" w:cs="Avenir Next"/>
          <w:b/>
          <w:bCs/>
          <w:spacing w:val="-1"/>
          <w:sz w:val="20"/>
          <w:szCs w:val="20"/>
        </w:rPr>
        <w:t>path</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213"/>
        <w:gridCol w:w="1056"/>
        <w:gridCol w:w="1055"/>
        <w:gridCol w:w="1502"/>
        <w:gridCol w:w="162"/>
        <w:gridCol w:w="1444"/>
        <w:gridCol w:w="257"/>
        <w:gridCol w:w="1842"/>
      </w:tblGrid>
      <w:tr w:rsidR="00D96B91" w:rsidTr="00D94894">
        <w:trPr>
          <w:trHeight w:hRule="exact" w:val="407"/>
        </w:trPr>
        <w:tc>
          <w:tcPr>
            <w:tcW w:w="2213"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0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5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54"/>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606"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0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2099"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rsidTr="00D94894">
        <w:trPr>
          <w:trHeight w:hRule="exact" w:val="627"/>
        </w:trPr>
        <w:tc>
          <w:tcPr>
            <w:tcW w:w="2213" w:type="dxa"/>
            <w:vMerge/>
            <w:tcBorders>
              <w:left w:val="single" w:sz="4" w:space="0" w:color="1A9EDA"/>
              <w:bottom w:val="single" w:sz="4" w:space="0" w:color="17A7E0"/>
              <w:right w:val="single" w:sz="4" w:space="0" w:color="1A9EDA"/>
            </w:tcBorders>
            <w:shd w:val="clear" w:color="auto" w:fill="0778BE"/>
          </w:tcPr>
          <w:p w:rsidR="00D96B91" w:rsidRDefault="00D96B91"/>
        </w:tc>
        <w:tc>
          <w:tcPr>
            <w:tcW w:w="2111" w:type="dxa"/>
            <w:gridSpan w:val="2"/>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pPr>
              <w:pStyle w:val="TableParagraph"/>
              <w:spacing w:before="112" w:line="220" w:lineRule="exact"/>
              <w:ind w:left="281" w:right="279" w:firstLine="63"/>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payable under</w:t>
            </w:r>
            <w:r>
              <w:rPr>
                <w:rFonts w:ascii="Avenir Next Condensed"/>
                <w:b/>
                <w:color w:val="FFFFFF"/>
                <w:spacing w:val="21"/>
                <w:sz w:val="18"/>
              </w:rPr>
              <w:t xml:space="preserve"> </w:t>
            </w:r>
            <w:r>
              <w:rPr>
                <w:rFonts w:ascii="Avenir Next Condensed"/>
                <w:b/>
                <w:color w:val="FFFFFF"/>
                <w:sz w:val="18"/>
              </w:rPr>
              <w:t xml:space="preserve">original price </w:t>
            </w:r>
            <w:r>
              <w:rPr>
                <w:rFonts w:ascii="Avenir Next Condensed"/>
                <w:b/>
                <w:color w:val="FFFFFF"/>
                <w:spacing w:val="-1"/>
                <w:sz w:val="18"/>
              </w:rPr>
              <w:t>direction</w:t>
            </w:r>
          </w:p>
        </w:tc>
        <w:tc>
          <w:tcPr>
            <w:tcW w:w="5207" w:type="dxa"/>
            <w:gridSpan w:val="5"/>
            <w:tcBorders>
              <w:top w:val="single" w:sz="4" w:space="0" w:color="1A9EDA"/>
              <w:left w:val="single" w:sz="4" w:space="0" w:color="1A9EDA"/>
              <w:bottom w:val="single" w:sz="4" w:space="0" w:color="17A7E0"/>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476"/>
              <w:rPr>
                <w:rFonts w:ascii="Avenir Next Condensed" w:eastAsia="Avenir Next Condensed" w:hAnsi="Avenir Next Condensed" w:cs="Avenir Next Condensed"/>
                <w:sz w:val="18"/>
                <w:szCs w:val="18"/>
              </w:rPr>
            </w:pPr>
            <w:r>
              <w:rPr>
                <w:rFonts w:ascii="Avenir Next Condensed"/>
                <w:b/>
                <w:color w:val="FFFFFF"/>
                <w:spacing w:val="-1"/>
                <w:sz w:val="18"/>
              </w:rPr>
              <w:t>Price</w:t>
            </w:r>
            <w:r>
              <w:rPr>
                <w:rFonts w:ascii="Avenir Next Condensed"/>
                <w:b/>
                <w:color w:val="FFFFFF"/>
                <w:sz w:val="18"/>
              </w:rPr>
              <w:t xml:space="preserve"> path for </w:t>
            </w:r>
            <w:r>
              <w:rPr>
                <w:rFonts w:ascii="Avenir Next Condensed"/>
                <w:b/>
                <w:color w:val="FFFFFF"/>
                <w:spacing w:val="-1"/>
                <w:sz w:val="18"/>
              </w:rPr>
              <w:t>remaining</w:t>
            </w:r>
            <w:r>
              <w:rPr>
                <w:rFonts w:ascii="Avenir Next Condensed"/>
                <w:b/>
                <w:color w:val="FFFFFF"/>
                <w:sz w:val="18"/>
              </w:rPr>
              <w:t xml:space="preserve"> </w:t>
            </w:r>
            <w:r>
              <w:rPr>
                <w:rFonts w:ascii="Avenir Next Condensed"/>
                <w:b/>
                <w:color w:val="FFFFFF"/>
                <w:spacing w:val="-1"/>
                <w:sz w:val="18"/>
              </w:rPr>
              <w:t>years*</w:t>
            </w:r>
          </w:p>
        </w:tc>
      </w:tr>
      <w:tr w:rsidR="00D96B91" w:rsidTr="00D94894">
        <w:trPr>
          <w:trHeight w:hRule="exact" w:val="407"/>
        </w:trPr>
        <w:tc>
          <w:tcPr>
            <w:tcW w:w="9531" w:type="dxa"/>
            <w:gridSpan w:val="8"/>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rsidTr="00D94894">
        <w:trPr>
          <w:trHeight w:hRule="exact" w:val="407"/>
        </w:trPr>
        <w:tc>
          <w:tcPr>
            <w:tcW w:w="22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56"/>
              <w:rPr>
                <w:rFonts w:ascii="Avenir Next Condensed" w:eastAsia="Avenir Next Condensed" w:hAnsi="Avenir Next Condensed" w:cs="Avenir Next Condensed"/>
                <w:sz w:val="18"/>
                <w:szCs w:val="18"/>
              </w:rPr>
            </w:pPr>
            <w:r>
              <w:rPr>
                <w:rFonts w:ascii="Avenir Next Condensed"/>
                <w:sz w:val="18"/>
              </w:rPr>
              <w:t>100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102.56</w:t>
            </w:r>
          </w:p>
        </w:tc>
        <w:tc>
          <w:tcPr>
            <w:tcW w:w="1664"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rsidTr="00D94894">
        <w:trPr>
          <w:trHeight w:hRule="exact" w:val="407"/>
        </w:trPr>
        <w:tc>
          <w:tcPr>
            <w:tcW w:w="22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sz w:val="18"/>
              </w:rPr>
              <w:t>2.55</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2.64</w:t>
            </w:r>
          </w:p>
        </w:tc>
        <w:tc>
          <w:tcPr>
            <w:tcW w:w="1664"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rsidTr="00D94894">
        <w:trPr>
          <w:trHeight w:hRule="exact" w:val="407"/>
        </w:trPr>
        <w:tc>
          <w:tcPr>
            <w:tcW w:w="22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sz w:val="18"/>
              </w:rPr>
              <w:t>5.10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5.29</w:t>
            </w:r>
          </w:p>
        </w:tc>
        <w:tc>
          <w:tcPr>
            <w:tcW w:w="1664"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rsidTr="00D94894">
        <w:trPr>
          <w:trHeight w:hRule="exact" w:val="407"/>
        </w:trPr>
        <w:tc>
          <w:tcPr>
            <w:tcW w:w="9531" w:type="dxa"/>
            <w:gridSpan w:val="8"/>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rsidTr="00D94894">
        <w:trPr>
          <w:trHeight w:hRule="exact" w:val="407"/>
        </w:trPr>
        <w:tc>
          <w:tcPr>
            <w:tcW w:w="22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8"/>
              <w:rPr>
                <w:rFonts w:ascii="Avenir Next Condensed" w:eastAsia="Avenir Next Condensed" w:hAnsi="Avenir Next Condensed" w:cs="Avenir Next Condensed"/>
                <w:sz w:val="18"/>
                <w:szCs w:val="18"/>
              </w:rPr>
            </w:pPr>
            <w:r>
              <w:rPr>
                <w:rFonts w:ascii="Avenir Next Condensed"/>
                <w:sz w:val="18"/>
              </w:rPr>
              <w:t>492.02</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505.41</w:t>
            </w:r>
          </w:p>
        </w:tc>
        <w:tc>
          <w:tcPr>
            <w:tcW w:w="1664"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701"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r>
      <w:tr w:rsidR="00D96B91" w:rsidTr="00D94894">
        <w:trPr>
          <w:trHeight w:hRule="exact" w:val="627"/>
        </w:trPr>
        <w:tc>
          <w:tcPr>
            <w:tcW w:w="22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D94894">
            <w:pPr>
              <w:pStyle w:val="TableParagraph"/>
              <w:spacing w:before="112" w:line="220" w:lineRule="exact"/>
              <w:ind w:left="107" w:right="-8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Fixtures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w:t>
            </w:r>
            <w:r>
              <w:rPr>
                <w:rFonts w:ascii="Avenir Next Condensed" w:eastAsia="Avenir Next Condensed" w:hAnsi="Avenir Next Condensed" w:cs="Avenir Next Condensed"/>
                <w:sz w:val="18"/>
                <w:szCs w:val="18"/>
              </w:rPr>
              <w:t xml:space="preserve"> – non-</w:t>
            </w:r>
            <w:r>
              <w:rPr>
                <w:rFonts w:ascii="Avenir Next Condensed" w:eastAsia="Avenir Next Condensed" w:hAnsi="Avenir Next Condensed" w:cs="Avenir Next Condensed"/>
                <w:spacing w:val="27"/>
                <w:sz w:val="18"/>
                <w:szCs w:val="18"/>
              </w:rPr>
              <w:t xml:space="preserve"> </w:t>
            </w:r>
            <w:r>
              <w:rPr>
                <w:rFonts w:ascii="Avenir Next Condensed" w:eastAsia="Avenir Next Condensed" w:hAnsi="Avenir Next Condensed" w:cs="Avenir Next Condensed"/>
                <w:spacing w:val="-1"/>
                <w:sz w:val="18"/>
                <w:szCs w:val="18"/>
              </w:rPr>
              <w:t>residential</w:t>
            </w:r>
            <w:r>
              <w:rPr>
                <w:rFonts w:ascii="Avenir Next Condensed" w:eastAsia="Avenir Next Condensed" w:hAnsi="Avenir Next Condensed" w:cs="Avenir Next Condensed"/>
                <w:sz w:val="18"/>
                <w:szCs w:val="18"/>
              </w:rPr>
              <w:t xml:space="preserve"> customers ($ pa)</w:t>
            </w:r>
          </w:p>
        </w:tc>
        <w:tc>
          <w:tcPr>
            <w:tcW w:w="105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8"/>
              <w:rPr>
                <w:rFonts w:ascii="Avenir Next Condensed" w:eastAsia="Avenir Next Condensed" w:hAnsi="Avenir Next Condensed" w:cs="Avenir Next Condensed"/>
                <w:sz w:val="18"/>
                <w:szCs w:val="18"/>
              </w:rPr>
            </w:pPr>
            <w:r>
              <w:rPr>
                <w:rFonts w:ascii="Avenir Next Condensed"/>
                <w:sz w:val="18"/>
              </w:rPr>
              <w:t>481.18</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494.28</w:t>
            </w:r>
          </w:p>
        </w:tc>
        <w:tc>
          <w:tcPr>
            <w:tcW w:w="1664"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701" w:type="dxa"/>
            <w:gridSpan w:val="2"/>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1"/>
              <w:jc w:val="center"/>
              <w:rPr>
                <w:rFonts w:ascii="Avenir Next Condensed" w:eastAsia="Avenir Next Condensed" w:hAnsi="Avenir Next Condensed" w:cs="Avenir Next Condensed"/>
                <w:sz w:val="18"/>
                <w:szCs w:val="18"/>
              </w:rPr>
            </w:pPr>
            <w:r>
              <w:rPr>
                <w:rFonts w:ascii="Avenir Next Condensed"/>
                <w:sz w:val="18"/>
              </w:rPr>
              <w:t>(1+CPI)</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w:t>
      </w:r>
      <w:r>
        <w:rPr>
          <w:rFonts w:ascii="Avenir Next"/>
          <w:spacing w:val="-3"/>
          <w:sz w:val="16"/>
        </w:rPr>
        <w:t xml:space="preserve"> </w:t>
      </w:r>
      <w:r>
        <w:rPr>
          <w:rFonts w:ascii="Avenir Next"/>
          <w:sz w:val="16"/>
        </w:rPr>
        <w:t xml:space="preserve">Also subject to </w:t>
      </w:r>
      <w:r>
        <w:rPr>
          <w:rFonts w:ascii="Avenir Next"/>
          <w:spacing w:val="-1"/>
          <w:sz w:val="16"/>
        </w:rPr>
        <w:t>operation</w:t>
      </w:r>
      <w:r>
        <w:rPr>
          <w:rFonts w:ascii="Avenir Next"/>
          <w:sz w:val="16"/>
        </w:rPr>
        <w:t xml:space="preserve"> of</w:t>
      </w:r>
      <w:r>
        <w:rPr>
          <w:rFonts w:ascii="Avenir Next"/>
          <w:spacing w:val="3"/>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56"/>
        <w:rPr>
          <w:rFonts w:cs="Avenir Next"/>
        </w:rPr>
      </w:pPr>
      <w:r>
        <w:t>If</w:t>
      </w:r>
      <w:r>
        <w:rPr>
          <w:spacing w:val="4"/>
        </w:rPr>
        <w:t xml:space="preserve"> </w:t>
      </w:r>
      <w:r>
        <w:t xml:space="preserve">it is assumed </w:t>
      </w:r>
      <w:r>
        <w:rPr>
          <w:spacing w:val="-1"/>
        </w:rPr>
        <w:t>that</w:t>
      </w:r>
      <w:r>
        <w:t xml:space="preserve"> the cost </w:t>
      </w:r>
      <w:r>
        <w:rPr>
          <w:spacing w:val="-1"/>
        </w:rPr>
        <w:t>pass-thr</w:t>
      </w:r>
      <w:hyperlink w:anchor="_bookmark40" w:history="1">
        <w:r>
          <w:rPr>
            <w:spacing w:val="-1"/>
          </w:rPr>
          <w:t>ough</w:t>
        </w:r>
        <w:r>
          <w:t xml:space="preserve"> mechanism described in section 6.5</w:t>
        </w:r>
      </w:hyperlink>
      <w:r>
        <w:t xml:space="preserve"> is not </w:t>
      </w:r>
      <w:r>
        <w:rPr>
          <w:spacing w:val="-1"/>
        </w:rPr>
        <w:t>triggered</w:t>
      </w:r>
      <w:r>
        <w:t xml:space="preserve"> and the</w:t>
      </w:r>
      <w:r>
        <w:rPr>
          <w:spacing w:val="31"/>
        </w:rPr>
        <w:t xml:space="preserve"> </w:t>
      </w:r>
      <w:r>
        <w:rPr>
          <w:spacing w:val="-1"/>
        </w:rPr>
        <w:t xml:space="preserve">inflation </w:t>
      </w:r>
      <w:r>
        <w:rPr>
          <w:spacing w:val="-2"/>
        </w:rPr>
        <w:t>rate</w:t>
      </w:r>
      <w:r>
        <w:t xml:space="preserve"> (CPI) in the last</w:t>
      </w:r>
      <w:r>
        <w:rPr>
          <w:spacing w:val="-1"/>
        </w:rPr>
        <w:t xml:space="preserve"> three</w:t>
      </w:r>
      <w:r>
        <w:t xml:space="preserve"> </w:t>
      </w:r>
      <w:r>
        <w:rPr>
          <w:spacing w:val="-1"/>
        </w:rPr>
        <w:t>years</w:t>
      </w:r>
      <w:r>
        <w:t xml:space="preserve"> of</w:t>
      </w:r>
      <w:r>
        <w:rPr>
          <w:spacing w:val="4"/>
        </w:rPr>
        <w:t xml:space="preserve"> </w:t>
      </w:r>
      <w:r>
        <w:t>the</w:t>
      </w:r>
      <w:r>
        <w:rPr>
          <w:spacing w:val="-1"/>
        </w:rPr>
        <w:t xml:space="preserve"> regulatory</w:t>
      </w:r>
      <w:r>
        <w:t xml:space="preserve"> period is 2.5% pa,</w:t>
      </w:r>
      <w:r>
        <w:rPr>
          <w:spacing w:val="-6"/>
        </w:rPr>
        <w:t xml:space="preserve"> </w:t>
      </w:r>
      <w:r>
        <w:t>then</w:t>
      </w:r>
      <w:r>
        <w:rPr>
          <w:spacing w:val="-1"/>
        </w:rPr>
        <w:t xml:space="preserve"> </w:t>
      </w:r>
      <w:r>
        <w:t xml:space="preserve">this price </w:t>
      </w:r>
      <w:r>
        <w:rPr>
          <w:spacing w:val="-1"/>
        </w:rPr>
        <w:t>path</w:t>
      </w:r>
      <w:r>
        <w:t xml:space="preserve"> will</w:t>
      </w:r>
      <w:r>
        <w:rPr>
          <w:spacing w:val="41"/>
        </w:rPr>
        <w:t xml:space="preserve"> </w:t>
      </w:r>
      <w:r>
        <w:rPr>
          <w:spacing w:val="-1"/>
        </w:rPr>
        <w:t>result</w:t>
      </w:r>
      <w:r>
        <w:t xml:space="preserve"> in:</w:t>
      </w:r>
    </w:p>
    <w:p w:rsidR="00D96B91" w:rsidRDefault="00C2656B">
      <w:pPr>
        <w:pStyle w:val="BodyText"/>
        <w:numPr>
          <w:ilvl w:val="0"/>
          <w:numId w:val="131"/>
        </w:numPr>
        <w:tabs>
          <w:tab w:val="left" w:pos="1531"/>
        </w:tabs>
        <w:spacing w:before="170" w:line="260" w:lineRule="exact"/>
        <w:ind w:right="1255" w:hanging="283"/>
        <w:rPr>
          <w:rFonts w:cs="Avenir Next"/>
        </w:rPr>
      </w:pPr>
      <w:r>
        <w:t xml:space="preserve">a </w:t>
      </w:r>
      <w:r>
        <w:rPr>
          <w:b/>
        </w:rPr>
        <w:t xml:space="preserve">5.2% </w:t>
      </w:r>
      <w:r>
        <w:rPr>
          <w:b/>
          <w:spacing w:val="-1"/>
        </w:rPr>
        <w:t>reduction</w:t>
      </w:r>
      <w:r>
        <w:rPr>
          <w:b/>
        </w:rPr>
        <w:t xml:space="preserve"> </w:t>
      </w:r>
      <w:r>
        <w:t xml:space="preserve">in </w:t>
      </w:r>
      <w:r>
        <w:rPr>
          <w:spacing w:val="-1"/>
        </w:rPr>
        <w:t>water</w:t>
      </w:r>
      <w:r>
        <w:t xml:space="preserve"> </w:t>
      </w:r>
      <w:r>
        <w:rPr>
          <w:spacing w:val="-1"/>
        </w:rPr>
        <w:t>charges</w:t>
      </w:r>
      <w:r>
        <w:t xml:space="preserve"> in 2015-16 with </w:t>
      </w:r>
      <w:r>
        <w:rPr>
          <w:spacing w:val="-1"/>
        </w:rPr>
        <w:t>charges</w:t>
      </w:r>
      <w:r>
        <w:t xml:space="preserve"> to then </w:t>
      </w:r>
      <w:r>
        <w:rPr>
          <w:spacing w:val="-1"/>
        </w:rPr>
        <w:t>remain</w:t>
      </w:r>
      <w:r>
        <w:t xml:space="preserve"> constant in nominal terms</w:t>
      </w:r>
      <w:r>
        <w:rPr>
          <w:spacing w:val="33"/>
        </w:rPr>
        <w:t xml:space="preserve"> </w:t>
      </w:r>
      <w:r>
        <w:t xml:space="preserve">in the </w:t>
      </w:r>
      <w:r>
        <w:rPr>
          <w:spacing w:val="-1"/>
        </w:rPr>
        <w:t>remaining</w:t>
      </w:r>
      <w:r>
        <w:t xml:space="preserve"> two </w:t>
      </w:r>
      <w:r>
        <w:rPr>
          <w:spacing w:val="-1"/>
        </w:rPr>
        <w:t>years,</w:t>
      </w:r>
      <w:r>
        <w:rPr>
          <w:spacing w:val="-7"/>
        </w:rPr>
        <w:t xml:space="preserve"> </w:t>
      </w:r>
      <w:r>
        <w:t>and</w:t>
      </w:r>
    </w:p>
    <w:p w:rsidR="00D96B91" w:rsidRDefault="00C2656B">
      <w:pPr>
        <w:pStyle w:val="BodyText"/>
        <w:numPr>
          <w:ilvl w:val="0"/>
          <w:numId w:val="131"/>
        </w:numPr>
        <w:tabs>
          <w:tab w:val="left" w:pos="1531"/>
        </w:tabs>
        <w:spacing w:before="93"/>
        <w:ind w:hanging="283"/>
      </w:pPr>
      <w:r>
        <w:t>a</w:t>
      </w:r>
      <w:r>
        <w:rPr>
          <w:spacing w:val="-4"/>
        </w:rPr>
        <w:t xml:space="preserve"> </w:t>
      </w:r>
      <w:r>
        <w:rPr>
          <w:b/>
          <w:spacing w:val="-2"/>
        </w:rPr>
        <w:t>4.9%</w:t>
      </w:r>
      <w:r>
        <w:rPr>
          <w:b/>
          <w:spacing w:val="-4"/>
        </w:rPr>
        <w:t xml:space="preserve"> </w:t>
      </w:r>
      <w:r>
        <w:rPr>
          <w:b/>
          <w:spacing w:val="-3"/>
        </w:rPr>
        <w:t>increase</w:t>
      </w:r>
      <w:r>
        <w:rPr>
          <w:b/>
          <w:spacing w:val="-4"/>
        </w:rPr>
        <w:t xml:space="preserve"> </w:t>
      </w:r>
      <w:r>
        <w:rPr>
          <w:spacing w:val="-1"/>
        </w:rPr>
        <w:t>in</w:t>
      </w:r>
      <w:r>
        <w:rPr>
          <w:spacing w:val="-4"/>
        </w:rPr>
        <w:t xml:space="preserve"> </w:t>
      </w:r>
      <w:r>
        <w:rPr>
          <w:spacing w:val="-3"/>
        </w:rPr>
        <w:t>sewerage</w:t>
      </w:r>
      <w:r>
        <w:rPr>
          <w:spacing w:val="-4"/>
        </w:rPr>
        <w:t xml:space="preserve"> </w:t>
      </w:r>
      <w:r>
        <w:rPr>
          <w:spacing w:val="-3"/>
        </w:rPr>
        <w:t>charges</w:t>
      </w:r>
      <w:r>
        <w:rPr>
          <w:spacing w:val="-4"/>
        </w:rPr>
        <w:t xml:space="preserve"> </w:t>
      </w:r>
      <w:r>
        <w:rPr>
          <w:spacing w:val="-1"/>
        </w:rPr>
        <w:t>in</w:t>
      </w:r>
      <w:r>
        <w:rPr>
          <w:spacing w:val="-4"/>
        </w:rPr>
        <w:t xml:space="preserve"> </w:t>
      </w:r>
      <w:r>
        <w:rPr>
          <w:spacing w:val="-2"/>
        </w:rPr>
        <w:t>2015-16</w:t>
      </w:r>
      <w:r>
        <w:rPr>
          <w:spacing w:val="-4"/>
        </w:rPr>
        <w:t xml:space="preserve"> </w:t>
      </w:r>
      <w:r>
        <w:rPr>
          <w:spacing w:val="-2"/>
        </w:rPr>
        <w:t>and</w:t>
      </w:r>
      <w:r>
        <w:rPr>
          <w:spacing w:val="-4"/>
        </w:rPr>
        <w:t xml:space="preserve"> </w:t>
      </w:r>
      <w:r>
        <w:rPr>
          <w:spacing w:val="-3"/>
        </w:rPr>
        <w:t>charges</w:t>
      </w:r>
      <w:r>
        <w:rPr>
          <w:spacing w:val="-4"/>
        </w:rPr>
        <w:t xml:space="preserve"> </w:t>
      </w:r>
      <w:r>
        <w:rPr>
          <w:spacing w:val="-2"/>
        </w:rPr>
        <w:t>rising</w:t>
      </w:r>
      <w:r>
        <w:rPr>
          <w:spacing w:val="-4"/>
        </w:rPr>
        <w:t xml:space="preserve"> </w:t>
      </w:r>
      <w:r>
        <w:rPr>
          <w:spacing w:val="-1"/>
        </w:rPr>
        <w:t>by</w:t>
      </w:r>
      <w:r>
        <w:rPr>
          <w:spacing w:val="-4"/>
        </w:rPr>
        <w:t xml:space="preserve"> </w:t>
      </w:r>
      <w:r>
        <w:rPr>
          <w:spacing w:val="-2"/>
        </w:rPr>
        <w:t>CPI</w:t>
      </w:r>
      <w:r>
        <w:rPr>
          <w:spacing w:val="-4"/>
        </w:rPr>
        <w:t xml:space="preserve"> </w:t>
      </w:r>
      <w:r>
        <w:rPr>
          <w:spacing w:val="-1"/>
        </w:rPr>
        <w:t>in</w:t>
      </w:r>
      <w:r>
        <w:rPr>
          <w:spacing w:val="-4"/>
        </w:rPr>
        <w:t xml:space="preserve"> </w:t>
      </w:r>
      <w:r>
        <w:rPr>
          <w:spacing w:val="-2"/>
        </w:rPr>
        <w:t>the</w:t>
      </w:r>
      <w:r>
        <w:rPr>
          <w:spacing w:val="-4"/>
        </w:rPr>
        <w:t xml:space="preserve"> </w:t>
      </w:r>
      <w:r>
        <w:rPr>
          <w:spacing w:val="-3"/>
        </w:rPr>
        <w:t>remaining</w:t>
      </w:r>
      <w:r>
        <w:rPr>
          <w:spacing w:val="-4"/>
        </w:rPr>
        <w:t xml:space="preserve"> </w:t>
      </w:r>
      <w:r>
        <w:rPr>
          <w:spacing w:val="-2"/>
        </w:rPr>
        <w:t>two</w:t>
      </w:r>
      <w:r>
        <w:rPr>
          <w:spacing w:val="-4"/>
        </w:rPr>
        <w:t xml:space="preserve"> </w:t>
      </w:r>
      <w:r>
        <w:rPr>
          <w:spacing w:val="-1"/>
        </w:rPr>
        <w:t>years.</w:t>
      </w:r>
    </w:p>
    <w:p w:rsidR="00D96B91" w:rsidRDefault="00D96B91">
      <w:pPr>
        <w:sectPr w:rsidR="00D96B91">
          <w:footerReference w:type="even" r:id="rId90"/>
          <w:footerReference w:type="default" r:id="rId91"/>
          <w:pgSz w:w="11910" w:h="16840"/>
          <w:pgMar w:top="1260" w:right="0" w:bottom="1020" w:left="0" w:header="0" w:footer="829" w:gutter="0"/>
          <w:pgNumType w:start="135"/>
          <w:cols w:space="720"/>
        </w:sectPr>
      </w:pPr>
    </w:p>
    <w:p w:rsidR="00D96B91" w:rsidRDefault="00C2656B">
      <w:pPr>
        <w:pStyle w:val="Heading4"/>
        <w:spacing w:before="9"/>
      </w:pPr>
      <w:bookmarkStart w:id="198" w:name="14._2_Water_price_path_and_indicative_ma"/>
      <w:bookmarkStart w:id="199" w:name="_bookmark128"/>
      <w:bookmarkEnd w:id="198"/>
      <w:bookmarkEnd w:id="199"/>
      <w:r>
        <w:rPr>
          <w:color w:val="0778BE"/>
        </w:rPr>
        <w:t>14.</w:t>
      </w:r>
      <w:r>
        <w:rPr>
          <w:color w:val="0778BE"/>
          <w:spacing w:val="-9"/>
        </w:rPr>
        <w:t xml:space="preserve"> </w:t>
      </w:r>
      <w:r>
        <w:rPr>
          <w:color w:val="0778BE"/>
        </w:rPr>
        <w:t>2</w:t>
      </w:r>
      <w:r>
        <w:rPr>
          <w:color w:val="0778BE"/>
          <w:spacing w:val="39"/>
        </w:rPr>
        <w:t xml:space="preserve"> </w:t>
      </w:r>
      <w:r>
        <w:rPr>
          <w:color w:val="0778BE"/>
          <w:spacing w:val="-3"/>
        </w:rPr>
        <w:t>Water</w:t>
      </w:r>
      <w:r>
        <w:rPr>
          <w:color w:val="0778BE"/>
        </w:rPr>
        <w:t xml:space="preserve"> price </w:t>
      </w:r>
      <w:r>
        <w:rPr>
          <w:color w:val="0778BE"/>
          <w:spacing w:val="-1"/>
        </w:rPr>
        <w:t>path</w:t>
      </w:r>
      <w:r>
        <w:rPr>
          <w:color w:val="0778BE"/>
        </w:rPr>
        <w:t xml:space="preserve"> and </w:t>
      </w:r>
      <w:r>
        <w:rPr>
          <w:color w:val="0778BE"/>
          <w:spacing w:val="-1"/>
        </w:rPr>
        <w:t>indicative</w:t>
      </w:r>
      <w:r>
        <w:rPr>
          <w:color w:val="0778BE"/>
        </w:rPr>
        <w:t xml:space="preserve"> maximum </w:t>
      </w:r>
      <w:r>
        <w:rPr>
          <w:color w:val="0778BE"/>
          <w:spacing w:val="-1"/>
        </w:rPr>
        <w:t>charges</w:t>
      </w:r>
    </w:p>
    <w:p w:rsidR="00D96B91" w:rsidRDefault="00C2656B">
      <w:pPr>
        <w:pStyle w:val="BodyText"/>
        <w:spacing w:before="63"/>
        <w:rPr>
          <w:rFonts w:cs="Avenir Next"/>
        </w:rPr>
      </w:pPr>
      <w:r>
        <w:rPr>
          <w:spacing w:val="-2"/>
        </w:rPr>
        <w:t>The</w:t>
      </w:r>
      <w:r>
        <w:t xml:space="preserve"> </w:t>
      </w:r>
      <w:r>
        <w:rPr>
          <w:spacing w:val="-1"/>
        </w:rPr>
        <w:t>tariff</w:t>
      </w:r>
      <w:r>
        <w:rPr>
          <w:spacing w:val="4"/>
        </w:rPr>
        <w:t xml:space="preserve"> </w:t>
      </w:r>
      <w:r>
        <w:rPr>
          <w:spacing w:val="-1"/>
        </w:rPr>
        <w:t>structure</w:t>
      </w:r>
      <w:r>
        <w:t xml:space="preserve"> for </w:t>
      </w:r>
      <w:r>
        <w:rPr>
          <w:spacing w:val="-1"/>
        </w:rPr>
        <w:t>water</w:t>
      </w:r>
      <w:r>
        <w:t xml:space="preserve"> services consists of:</w:t>
      </w:r>
    </w:p>
    <w:p w:rsidR="00D96B91" w:rsidRDefault="00C2656B">
      <w:pPr>
        <w:pStyle w:val="BodyText"/>
        <w:numPr>
          <w:ilvl w:val="0"/>
          <w:numId w:val="131"/>
        </w:numPr>
        <w:tabs>
          <w:tab w:val="left" w:pos="1531"/>
        </w:tabs>
        <w:spacing w:before="157"/>
        <w:ind w:hanging="283"/>
      </w:pPr>
      <w:r>
        <w:t>a</w:t>
      </w:r>
      <w:r>
        <w:rPr>
          <w:spacing w:val="-1"/>
        </w:rPr>
        <w:t xml:space="preserve"> fixed </w:t>
      </w:r>
      <w:r>
        <w:t xml:space="preserve">supply </w:t>
      </w:r>
      <w:r>
        <w:rPr>
          <w:spacing w:val="-1"/>
        </w:rPr>
        <w:t>charge,</w:t>
      </w:r>
      <w:r>
        <w:rPr>
          <w:spacing w:val="-7"/>
        </w:rPr>
        <w:t xml:space="preserve"> </w:t>
      </w:r>
      <w:r>
        <w:t>and</w:t>
      </w:r>
    </w:p>
    <w:p w:rsidR="00D96B91" w:rsidRDefault="00C2656B">
      <w:pPr>
        <w:pStyle w:val="BodyText"/>
        <w:numPr>
          <w:ilvl w:val="0"/>
          <w:numId w:val="131"/>
        </w:numPr>
        <w:tabs>
          <w:tab w:val="left" w:pos="1531"/>
        </w:tabs>
        <w:spacing w:before="64" w:line="260" w:lineRule="exact"/>
        <w:ind w:right="1269" w:hanging="283"/>
      </w:pPr>
      <w:r>
        <w:t>a two-tier inclining block volumetric price,</w:t>
      </w:r>
      <w:r>
        <w:rPr>
          <w:spacing w:val="-7"/>
        </w:rPr>
        <w:t xml:space="preserve"> </w:t>
      </w:r>
      <w:r>
        <w:t>with tier 1 prices applying to consumption between 0 and 584L/day</w:t>
      </w:r>
      <w:r>
        <w:rPr>
          <w:position w:val="7"/>
          <w:sz w:val="11"/>
        </w:rPr>
        <w:t>230</w:t>
      </w:r>
      <w:r>
        <w:rPr>
          <w:spacing w:val="23"/>
          <w:position w:val="7"/>
          <w:sz w:val="11"/>
        </w:rPr>
        <w:t xml:space="preserve"> </w:t>
      </w:r>
      <w:r>
        <w:t>and</w:t>
      </w:r>
      <w:r>
        <w:rPr>
          <w:spacing w:val="1"/>
        </w:rPr>
        <w:t xml:space="preserve"> </w:t>
      </w:r>
      <w:r>
        <w:t>tier</w:t>
      </w:r>
      <w:r>
        <w:rPr>
          <w:spacing w:val="1"/>
        </w:rPr>
        <w:t xml:space="preserve"> </w:t>
      </w:r>
      <w:r>
        <w:t>2</w:t>
      </w:r>
      <w:r>
        <w:rPr>
          <w:spacing w:val="1"/>
        </w:rPr>
        <w:t xml:space="preserve"> </w:t>
      </w:r>
      <w:r>
        <w:t>prices</w:t>
      </w:r>
      <w:r>
        <w:rPr>
          <w:spacing w:val="1"/>
        </w:rPr>
        <w:t xml:space="preserve"> </w:t>
      </w:r>
      <w:r>
        <w:t>applying</w:t>
      </w:r>
      <w:r>
        <w:rPr>
          <w:spacing w:val="1"/>
        </w:rPr>
        <w:t xml:space="preserve"> </w:t>
      </w:r>
      <w:r>
        <w:t>to</w:t>
      </w:r>
      <w:r>
        <w:rPr>
          <w:spacing w:val="1"/>
        </w:rPr>
        <w:t xml:space="preserve"> </w:t>
      </w:r>
      <w:r>
        <w:t>consumption</w:t>
      </w:r>
      <w:r>
        <w:rPr>
          <w:spacing w:val="1"/>
        </w:rPr>
        <w:t xml:space="preserve"> </w:t>
      </w:r>
      <w:r>
        <w:t>in</w:t>
      </w:r>
      <w:r>
        <w:rPr>
          <w:spacing w:val="1"/>
        </w:rPr>
        <w:t xml:space="preserve"> </w:t>
      </w:r>
      <w:r>
        <w:rPr>
          <w:spacing w:val="-1"/>
        </w:rPr>
        <w:t>excess</w:t>
      </w:r>
      <w:r>
        <w:rPr>
          <w:spacing w:val="1"/>
        </w:rPr>
        <w:t xml:space="preserve"> </w:t>
      </w:r>
      <w:r>
        <w:t>of</w:t>
      </w:r>
      <w:r>
        <w:rPr>
          <w:spacing w:val="6"/>
        </w:rPr>
        <w:t xml:space="preserve"> </w:t>
      </w:r>
      <w:r>
        <w:rPr>
          <w:spacing w:val="-1"/>
        </w:rPr>
        <w:t>548L/day.</w:t>
      </w:r>
    </w:p>
    <w:p w:rsidR="00D96B91" w:rsidRDefault="00C2656B">
      <w:pPr>
        <w:pStyle w:val="BodyText"/>
        <w:spacing w:before="85" w:line="260" w:lineRule="exact"/>
        <w:ind w:right="1283"/>
      </w:pPr>
      <w:r>
        <w:rPr>
          <w:rFonts w:cs="Avenir Next"/>
        </w:rPr>
        <w:t xml:space="preserve">As </w:t>
      </w:r>
      <w:r>
        <w:rPr>
          <w:rFonts w:cs="Avenir Next"/>
          <w:spacing w:val="-1"/>
        </w:rPr>
        <w:t>previously</w:t>
      </w:r>
      <w:r>
        <w:rPr>
          <w:rFonts w:cs="Avenir Next"/>
        </w:rPr>
        <w:t xml:space="preserve"> discussed,</w:t>
      </w:r>
      <w:r>
        <w:rPr>
          <w:rFonts w:cs="Avenir Next"/>
          <w:spacing w:val="-7"/>
        </w:rPr>
        <w:t xml:space="preserve"> </w:t>
      </w:r>
      <w:r>
        <w:rPr>
          <w:rFonts w:cs="Avenir Next"/>
        </w:rPr>
        <w:t xml:space="preserve">the </w:t>
      </w:r>
      <w:r>
        <w:rPr>
          <w:rFonts w:cs="Avenir Next"/>
          <w:spacing w:val="-3"/>
        </w:rPr>
        <w:t>Panel</w:t>
      </w:r>
      <w:r>
        <w:rPr>
          <w:rFonts w:cs="Avenir Next"/>
        </w:rPr>
        <w:t xml:space="preserve"> adopted the prices payable under the </w:t>
      </w:r>
      <w:r>
        <w:rPr>
          <w:rFonts w:cs="Avenir Next"/>
          <w:spacing w:val="-2"/>
        </w:rPr>
        <w:t>ICRC’s</w:t>
      </w:r>
      <w:r>
        <w:rPr>
          <w:rFonts w:cs="Avenir Next"/>
        </w:rPr>
        <w:t xml:space="preserve"> original price </w:t>
      </w:r>
      <w:r>
        <w:rPr>
          <w:rFonts w:cs="Avenir Next"/>
          <w:spacing w:val="-1"/>
        </w:rPr>
        <w:t>direction</w:t>
      </w:r>
      <w:r>
        <w:rPr>
          <w:rFonts w:cs="Avenir Next"/>
          <w:spacing w:val="33"/>
        </w:rPr>
        <w:t xml:space="preserve"> </w:t>
      </w:r>
      <w:r>
        <w:t>for 2013-14 and 2014-15,</w:t>
      </w:r>
      <w:r>
        <w:rPr>
          <w:spacing w:val="-7"/>
        </w:rPr>
        <w:t xml:space="preserve"> </w:t>
      </w:r>
      <w:r>
        <w:t xml:space="preserve">and set maximum </w:t>
      </w:r>
      <w:r>
        <w:rPr>
          <w:spacing w:val="-1"/>
        </w:rPr>
        <w:t>water</w:t>
      </w:r>
      <w:r>
        <w:t xml:space="preserve"> </w:t>
      </w:r>
      <w:r>
        <w:rPr>
          <w:spacing w:val="-1"/>
        </w:rPr>
        <w:t>charges</w:t>
      </w:r>
      <w:r>
        <w:t xml:space="preserve"> for the </w:t>
      </w:r>
      <w:r>
        <w:rPr>
          <w:spacing w:val="-1"/>
        </w:rPr>
        <w:t>remaining</w:t>
      </w:r>
      <w:r>
        <w:t xml:space="preserve"> </w:t>
      </w:r>
      <w:r>
        <w:rPr>
          <w:spacing w:val="-1"/>
        </w:rPr>
        <w:t>three</w:t>
      </w:r>
      <w:r>
        <w:t xml:space="preserve"> </w:t>
      </w:r>
      <w:r>
        <w:rPr>
          <w:spacing w:val="-1"/>
        </w:rPr>
        <w:t>years</w:t>
      </w:r>
      <w:r>
        <w:t xml:space="preserve"> using the</w:t>
      </w:r>
      <w:r>
        <w:rPr>
          <w:spacing w:val="31"/>
        </w:rPr>
        <w:t xml:space="preserve"> </w:t>
      </w:r>
      <w:r>
        <w:rPr>
          <w:rFonts w:cs="Avenir Next"/>
        </w:rPr>
        <w:t xml:space="preserve">method set out in Chapter </w:t>
      </w:r>
      <w:hyperlink w:anchor="_bookmark45" w:history="1">
        <w:r>
          <w:t>7</w:t>
        </w:r>
      </w:hyperlink>
      <w:r>
        <w:t>.</w:t>
      </w:r>
      <w:r>
        <w:rPr>
          <w:spacing w:val="-6"/>
        </w:rPr>
        <w:t xml:space="preserve"> </w:t>
      </w:r>
      <w:r>
        <w:t>In simple terms,</w:t>
      </w:r>
      <w:r>
        <w:rPr>
          <w:spacing w:val="-6"/>
        </w:rPr>
        <w:t xml:space="preserve"> </w:t>
      </w:r>
      <w:r>
        <w:t>this method involves dividing:</w:t>
      </w:r>
    </w:p>
    <w:p w:rsidR="00D96B91" w:rsidRDefault="00C2656B">
      <w:pPr>
        <w:pStyle w:val="BodyText"/>
        <w:numPr>
          <w:ilvl w:val="0"/>
          <w:numId w:val="131"/>
        </w:numPr>
        <w:tabs>
          <w:tab w:val="left" w:pos="1531"/>
        </w:tabs>
        <w:spacing w:before="170" w:line="260" w:lineRule="exact"/>
        <w:ind w:right="1772" w:hanging="283"/>
        <w:jc w:val="both"/>
        <w:rPr>
          <w:rFonts w:cs="Avenir Next"/>
        </w:rPr>
      </w:pPr>
      <w:r>
        <w:t xml:space="preserve">the </w:t>
      </w:r>
      <w:r>
        <w:rPr>
          <w:spacing w:val="-1"/>
        </w:rPr>
        <w:t>present</w:t>
      </w:r>
      <w:r>
        <w:t xml:space="preserve"> value of</w:t>
      </w:r>
      <w:r>
        <w:rPr>
          <w:spacing w:val="1"/>
        </w:rPr>
        <w:t xml:space="preserve"> </w:t>
      </w:r>
      <w:r>
        <w:rPr>
          <w:spacing w:val="-2"/>
        </w:rPr>
        <w:t>ACTEW’s</w:t>
      </w:r>
      <w:r>
        <w:t xml:space="preserve"> net </w:t>
      </w:r>
      <w:r>
        <w:rPr>
          <w:spacing w:val="-1"/>
        </w:rPr>
        <w:t>revenue</w:t>
      </w:r>
      <w:r>
        <w:t xml:space="preserve"> </w:t>
      </w:r>
      <w:r>
        <w:rPr>
          <w:spacing w:val="-1"/>
        </w:rPr>
        <w:t>requirement</w:t>
      </w:r>
      <w:r>
        <w:t xml:space="preserve"> for </w:t>
      </w:r>
      <w:r>
        <w:rPr>
          <w:spacing w:val="-1"/>
        </w:rPr>
        <w:t>water</w:t>
      </w:r>
      <w:r>
        <w:t xml:space="preserve"> services between 1</w:t>
      </w:r>
      <w:r>
        <w:rPr>
          <w:spacing w:val="-3"/>
        </w:rPr>
        <w:t xml:space="preserve"> </w:t>
      </w:r>
      <w:r>
        <w:t>July 2015</w:t>
      </w:r>
      <w:r>
        <w:rPr>
          <w:spacing w:val="27"/>
        </w:rPr>
        <w:t xml:space="preserve"> </w:t>
      </w:r>
      <w:r>
        <w:t>and 30</w:t>
      </w:r>
      <w:r>
        <w:rPr>
          <w:spacing w:val="-3"/>
        </w:rPr>
        <w:t xml:space="preserve"> </w:t>
      </w:r>
      <w:r>
        <w:t>June 2018 (see</w:t>
      </w:r>
      <w:r>
        <w:rPr>
          <w:spacing w:val="-5"/>
        </w:rPr>
        <w:t xml:space="preserve"> </w:t>
      </w:r>
      <w:hyperlink w:anchor="_bookmark122" w:history="1">
        <w:r>
          <w:rPr>
            <w:spacing w:val="-4"/>
          </w:rPr>
          <w:t>Table</w:t>
        </w:r>
        <w:r>
          <w:t xml:space="preserve"> 13.5)</w:t>
        </w:r>
      </w:hyperlink>
      <w:r>
        <w:t xml:space="preserve"> </w:t>
      </w:r>
      <w:r>
        <w:rPr>
          <w:rFonts w:cs="Avenir Next"/>
          <w:i/>
        </w:rPr>
        <w:t xml:space="preserve">plus </w:t>
      </w:r>
      <w:r>
        <w:t xml:space="preserve">the </w:t>
      </w:r>
      <w:r>
        <w:rPr>
          <w:spacing w:val="-1"/>
        </w:rPr>
        <w:t>present</w:t>
      </w:r>
      <w:r>
        <w:t xml:space="preserve"> value of</w:t>
      </w:r>
      <w:r>
        <w:rPr>
          <w:spacing w:val="4"/>
        </w:rPr>
        <w:t xml:space="preserve"> </w:t>
      </w:r>
      <w:r>
        <w:t>the ‘true-up’ adjustment (see</w:t>
      </w:r>
      <w:r>
        <w:rPr>
          <w:spacing w:val="-5"/>
        </w:rPr>
        <w:t xml:space="preserve"> </w:t>
      </w:r>
      <w:hyperlink w:anchor="_bookmark125" w:history="1">
        <w:r>
          <w:rPr>
            <w:rFonts w:cs="Avenir Next"/>
            <w:spacing w:val="-4"/>
          </w:rPr>
          <w:t>Table</w:t>
        </w:r>
      </w:hyperlink>
      <w:r>
        <w:rPr>
          <w:rFonts w:cs="Avenir Next"/>
          <w:spacing w:val="23"/>
        </w:rPr>
        <w:t xml:space="preserve"> </w:t>
      </w:r>
      <w:hyperlink w:anchor="_bookmark125" w:history="1">
        <w:r>
          <w:t>13.7</w:t>
        </w:r>
      </w:hyperlink>
      <w:r>
        <w:t>),</w:t>
      </w:r>
      <w:r>
        <w:rPr>
          <w:position w:val="7"/>
          <w:sz w:val="11"/>
          <w:szCs w:val="11"/>
        </w:rPr>
        <w:t>231</w:t>
      </w:r>
      <w:r>
        <w:rPr>
          <w:rFonts w:cs="Avenir Next"/>
          <w:position w:val="7"/>
          <w:sz w:val="11"/>
          <w:szCs w:val="11"/>
        </w:rPr>
        <w:t>,</w:t>
      </w:r>
      <w:r>
        <w:rPr>
          <w:position w:val="7"/>
          <w:sz w:val="11"/>
          <w:szCs w:val="11"/>
        </w:rPr>
        <w:t xml:space="preserve">232 </w:t>
      </w:r>
      <w:r>
        <w:rPr>
          <w:spacing w:val="15"/>
          <w:position w:val="7"/>
          <w:sz w:val="11"/>
          <w:szCs w:val="11"/>
        </w:rPr>
        <w:t xml:space="preserve"> </w:t>
      </w:r>
      <w:r>
        <w:rPr>
          <w:rFonts w:cs="Avenir Next"/>
          <w:i/>
        </w:rPr>
        <w:t>by</w:t>
      </w:r>
    </w:p>
    <w:p w:rsidR="00D96B91" w:rsidRDefault="00C2656B">
      <w:pPr>
        <w:pStyle w:val="BodyText"/>
        <w:numPr>
          <w:ilvl w:val="0"/>
          <w:numId w:val="131"/>
        </w:numPr>
        <w:tabs>
          <w:tab w:val="left" w:pos="1531"/>
        </w:tabs>
        <w:spacing w:before="85" w:line="260" w:lineRule="exact"/>
        <w:ind w:right="1395" w:hanging="283"/>
      </w:pPr>
      <w:r>
        <w:t xml:space="preserve">the </w:t>
      </w:r>
      <w:r>
        <w:rPr>
          <w:spacing w:val="-1"/>
        </w:rPr>
        <w:t>expected</w:t>
      </w:r>
      <w:r>
        <w:t xml:space="preserve"> demand for </w:t>
      </w:r>
      <w:r>
        <w:rPr>
          <w:spacing w:val="-1"/>
        </w:rPr>
        <w:t>water</w:t>
      </w:r>
      <w:r>
        <w:t xml:space="preserve"> services </w:t>
      </w:r>
      <w:r>
        <w:rPr>
          <w:spacing w:val="-1"/>
        </w:rPr>
        <w:t>(water</w:t>
      </w:r>
      <w:r>
        <w:t xml:space="preserve"> customer numbers and tier 1 and tier 2 </w:t>
      </w:r>
      <w:r>
        <w:rPr>
          <w:spacing w:val="-1"/>
        </w:rPr>
        <w:t>water</w:t>
      </w:r>
      <w:r>
        <w:t xml:space="preserve"> sales)</w:t>
      </w:r>
      <w:r>
        <w:rPr>
          <w:spacing w:val="29"/>
        </w:rPr>
        <w:t xml:space="preserve"> </w:t>
      </w:r>
      <w:r>
        <w:t>over the period 1</w:t>
      </w:r>
      <w:r>
        <w:rPr>
          <w:spacing w:val="-3"/>
        </w:rPr>
        <w:t xml:space="preserve"> </w:t>
      </w:r>
      <w:r>
        <w:t>July 2015 – 30</w:t>
      </w:r>
      <w:r>
        <w:rPr>
          <w:spacing w:val="-3"/>
        </w:rPr>
        <w:t xml:space="preserve"> </w:t>
      </w:r>
      <w:r>
        <w:t>June 2018 (see</w:t>
      </w:r>
      <w:r>
        <w:rPr>
          <w:spacing w:val="-5"/>
        </w:rPr>
        <w:t xml:space="preserve"> </w:t>
      </w:r>
      <w:hyperlink w:anchor="_bookmark102" w:history="1">
        <w:r>
          <w:rPr>
            <w:spacing w:val="-4"/>
          </w:rPr>
          <w:t>Table</w:t>
        </w:r>
        <w:r>
          <w:t xml:space="preserve"> 12.1</w:t>
        </w:r>
      </w:hyperlink>
      <w:r>
        <w: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pPr>
      <w:r>
        <w:rPr>
          <w:spacing w:val="-2"/>
        </w:rPr>
        <w:t>The</w:t>
      </w:r>
      <w:r>
        <w:rPr>
          <w:spacing w:val="-1"/>
        </w:rPr>
        <w:t xml:space="preserve"> </w:t>
      </w:r>
      <w:r>
        <w:rPr>
          <w:spacing w:val="-3"/>
        </w:rPr>
        <w:t>Panel</w:t>
      </w:r>
      <w:r>
        <w:rPr>
          <w:spacing w:val="-1"/>
        </w:rPr>
        <w:t xml:space="preserve"> </w:t>
      </w:r>
      <w:r>
        <w:t xml:space="preserve">identified </w:t>
      </w:r>
      <w:r>
        <w:rPr>
          <w:spacing w:val="-1"/>
        </w:rPr>
        <w:t>several different</w:t>
      </w:r>
      <w:r>
        <w:t xml:space="preserve"> price</w:t>
      </w:r>
      <w:r>
        <w:rPr>
          <w:spacing w:val="-1"/>
        </w:rPr>
        <w:t xml:space="preserve"> paths that</w:t>
      </w:r>
      <w:r>
        <w:t xml:space="preserve"> would</w:t>
      </w:r>
      <w:r>
        <w:rPr>
          <w:spacing w:val="-1"/>
        </w:rPr>
        <w:t xml:space="preserve"> </w:t>
      </w:r>
      <w:r>
        <w:t>allow</w:t>
      </w:r>
      <w:r>
        <w:rPr>
          <w:spacing w:val="-4"/>
        </w:rPr>
        <w:t xml:space="preserve"> </w:t>
      </w:r>
      <w:r>
        <w:rPr>
          <w:spacing w:val="-2"/>
        </w:rPr>
        <w:t>ACTEW</w:t>
      </w:r>
      <w:r>
        <w:rPr>
          <w:spacing w:val="-4"/>
        </w:rPr>
        <w:t xml:space="preserve"> </w:t>
      </w:r>
      <w:r>
        <w:t xml:space="preserve">to </w:t>
      </w:r>
      <w:r>
        <w:rPr>
          <w:spacing w:val="-1"/>
        </w:rPr>
        <w:t xml:space="preserve">recover </w:t>
      </w:r>
      <w:r>
        <w:t>the</w:t>
      </w:r>
      <w:r>
        <w:rPr>
          <w:spacing w:val="-1"/>
        </w:rPr>
        <w:t xml:space="preserve"> </w:t>
      </w:r>
      <w:r>
        <w:t xml:space="preserve">net </w:t>
      </w:r>
      <w:r>
        <w:rPr>
          <w:spacing w:val="-1"/>
        </w:rPr>
        <w:t>revenue</w:t>
      </w:r>
      <w:r>
        <w:rPr>
          <w:spacing w:val="51"/>
        </w:rPr>
        <w:t xml:space="preserve"> </w:t>
      </w:r>
      <w:r>
        <w:rPr>
          <w:spacing w:val="-1"/>
        </w:rPr>
        <w:t>requirement</w:t>
      </w:r>
      <w:r>
        <w:t xml:space="preserve"> by</w:t>
      </w:r>
      <w:r>
        <w:rPr>
          <w:spacing w:val="1"/>
        </w:rPr>
        <w:t xml:space="preserve"> </w:t>
      </w:r>
      <w:r>
        <w:t>the</w:t>
      </w:r>
      <w:r>
        <w:rPr>
          <w:spacing w:val="1"/>
        </w:rPr>
        <w:t xml:space="preserve"> </w:t>
      </w:r>
      <w:r>
        <w:t>end</w:t>
      </w:r>
      <w:r>
        <w:rPr>
          <w:spacing w:val="1"/>
        </w:rPr>
        <w:t xml:space="preserve"> </w:t>
      </w:r>
      <w:r>
        <w:t>of</w:t>
      </w:r>
      <w:r>
        <w:rPr>
          <w:spacing w:val="4"/>
        </w:rPr>
        <w:t xml:space="preserve"> </w:t>
      </w:r>
      <w:r>
        <w:t>the</w:t>
      </w:r>
      <w:r>
        <w:rPr>
          <w:spacing w:val="1"/>
        </w:rPr>
        <w:t xml:space="preserve"> </w:t>
      </w:r>
      <w:r>
        <w:rPr>
          <w:spacing w:val="-1"/>
        </w:rPr>
        <w:t>regulatory</w:t>
      </w:r>
      <w:r>
        <w:rPr>
          <w:spacing w:val="1"/>
        </w:rPr>
        <w:t xml:space="preserve"> </w:t>
      </w:r>
      <w:r>
        <w:t>period.</w:t>
      </w:r>
      <w:r>
        <w:rPr>
          <w:position w:val="7"/>
          <w:sz w:val="11"/>
        </w:rPr>
        <w:t>233</w:t>
      </w:r>
      <w:r>
        <w:rPr>
          <w:spacing w:val="23"/>
          <w:position w:val="7"/>
          <w:sz w:val="11"/>
        </w:rPr>
        <w:t xml:space="preserve"> </w:t>
      </w:r>
      <w:r>
        <w:t>It</w:t>
      </w:r>
      <w:r>
        <w:rPr>
          <w:spacing w:val="1"/>
        </w:rPr>
        <w:t xml:space="preserve"> </w:t>
      </w:r>
      <w:r>
        <w:t>decided</w:t>
      </w:r>
      <w:r>
        <w:rPr>
          <w:spacing w:val="1"/>
        </w:rPr>
        <w:t xml:space="preserve"> </w:t>
      </w:r>
      <w:r>
        <w:t>to adopt</w:t>
      </w:r>
      <w:r>
        <w:rPr>
          <w:spacing w:val="1"/>
        </w:rPr>
        <w:t xml:space="preserve"> </w:t>
      </w:r>
      <w:r>
        <w:t>the</w:t>
      </w:r>
      <w:r>
        <w:rPr>
          <w:spacing w:val="1"/>
        </w:rPr>
        <w:t xml:space="preserve"> </w:t>
      </w:r>
      <w:r>
        <w:t>maximum</w:t>
      </w:r>
      <w:r>
        <w:rPr>
          <w:spacing w:val="1"/>
        </w:rPr>
        <w:t xml:space="preserve"> </w:t>
      </w:r>
      <w:r>
        <w:rPr>
          <w:spacing w:val="-1"/>
        </w:rPr>
        <w:t>charges</w:t>
      </w:r>
      <w:r>
        <w:rPr>
          <w:spacing w:val="1"/>
        </w:rPr>
        <w:t xml:space="preserve"> </w:t>
      </w:r>
      <w:r>
        <w:t>and</w:t>
      </w:r>
      <w:r>
        <w:rPr>
          <w:spacing w:val="21"/>
        </w:rPr>
        <w:t xml:space="preserve"> </w:t>
      </w:r>
      <w:r>
        <w:t>price</w:t>
      </w:r>
      <w:r>
        <w:rPr>
          <w:spacing w:val="-1"/>
        </w:rPr>
        <w:t xml:space="preserve"> path</w:t>
      </w:r>
      <w:r>
        <w:t xml:space="preserve"> set</w:t>
      </w:r>
      <w:r>
        <w:rPr>
          <w:spacing w:val="-1"/>
        </w:rPr>
        <w:t xml:space="preserve"> </w:t>
      </w:r>
      <w:r>
        <w:t>out in</w:t>
      </w:r>
      <w:r>
        <w:rPr>
          <w:spacing w:val="-5"/>
        </w:rPr>
        <w:t xml:space="preserve"> </w:t>
      </w:r>
      <w:hyperlink w:anchor="_bookmark129" w:history="1">
        <w:r>
          <w:rPr>
            <w:spacing w:val="-4"/>
          </w:rPr>
          <w:t>Table</w:t>
        </w:r>
        <w:r>
          <w:rPr>
            <w:spacing w:val="-1"/>
          </w:rPr>
          <w:t xml:space="preserve"> </w:t>
        </w:r>
        <w:r>
          <w:t>14.2</w:t>
        </w:r>
      </w:hyperlink>
      <w:r>
        <w:t xml:space="preserve"> to</w:t>
      </w:r>
      <w:r>
        <w:rPr>
          <w:spacing w:val="-1"/>
        </w:rPr>
        <w:t xml:space="preserve"> </w:t>
      </w:r>
      <w:r>
        <w:t xml:space="preserve">minimise price </w:t>
      </w:r>
      <w:r>
        <w:rPr>
          <w:spacing w:val="-1"/>
        </w:rPr>
        <w:t xml:space="preserve">fluctuations </w:t>
      </w:r>
      <w:r>
        <w:t xml:space="preserve">within the </w:t>
      </w:r>
      <w:r>
        <w:rPr>
          <w:spacing w:val="-1"/>
        </w:rPr>
        <w:t xml:space="preserve">remainder </w:t>
      </w:r>
      <w:r>
        <w:t>of</w:t>
      </w:r>
      <w:r>
        <w:rPr>
          <w:spacing w:val="4"/>
        </w:rPr>
        <w:t xml:space="preserve"> </w:t>
      </w:r>
      <w:r>
        <w:t>the</w:t>
      </w:r>
      <w:r>
        <w:rPr>
          <w:spacing w:val="-1"/>
        </w:rPr>
        <w:t xml:space="preserve"> regulatory</w:t>
      </w:r>
      <w:r>
        <w:rPr>
          <w:spacing w:val="43"/>
        </w:rPr>
        <w:t xml:space="preserve"> </w:t>
      </w:r>
      <w:r>
        <w:t>period.</w:t>
      </w:r>
    </w:p>
    <w:p w:rsidR="00D96B91" w:rsidRDefault="00C2656B">
      <w:pPr>
        <w:spacing w:before="158"/>
        <w:ind w:left="1247"/>
        <w:rPr>
          <w:rFonts w:ascii="Avenir Next" w:eastAsia="Avenir Next" w:hAnsi="Avenir Next" w:cs="Avenir Next"/>
          <w:sz w:val="20"/>
          <w:szCs w:val="20"/>
        </w:rPr>
      </w:pPr>
      <w:bookmarkStart w:id="200" w:name="_bookmark129"/>
      <w:bookmarkEnd w:id="200"/>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14.2: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w:t>
      </w:r>
      <w:r>
        <w:rPr>
          <w:rFonts w:ascii="Avenir Next" w:eastAsia="Avenir Next" w:hAnsi="Avenir Next" w:cs="Avenir Next"/>
          <w:b/>
          <w:bCs/>
          <w:spacing w:val="-3"/>
          <w:sz w:val="20"/>
          <w:szCs w:val="20"/>
        </w:rPr>
        <w:t xml:space="preserve"> </w:t>
      </w:r>
      <w:r>
        <w:rPr>
          <w:rFonts w:ascii="Avenir Next" w:eastAsia="Avenir Next" w:hAnsi="Avenir Next" w:cs="Avenir Next"/>
          <w:b/>
          <w:bCs/>
          <w:spacing w:val="-2"/>
          <w:sz w:val="20"/>
          <w:szCs w:val="20"/>
        </w:rPr>
        <w:t>Water</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price </w:t>
      </w:r>
      <w:r>
        <w:rPr>
          <w:rFonts w:ascii="Avenir Next" w:eastAsia="Avenir Next" w:hAnsi="Avenir Next" w:cs="Avenir Next"/>
          <w:b/>
          <w:bCs/>
          <w:spacing w:val="-1"/>
          <w:sz w:val="20"/>
          <w:szCs w:val="20"/>
        </w:rPr>
        <w:t>path</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208"/>
        <w:gridCol w:w="1055"/>
        <w:gridCol w:w="1055"/>
        <w:gridCol w:w="1670"/>
        <w:gridCol w:w="1701"/>
        <w:gridCol w:w="1842"/>
      </w:tblGrid>
      <w:tr w:rsidR="00D96B91" w:rsidTr="00D94894">
        <w:trPr>
          <w:trHeight w:hRule="exact" w:val="407"/>
        </w:trPr>
        <w:tc>
          <w:tcPr>
            <w:tcW w:w="2208"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0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0"/>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0"/>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67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1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7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84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rsidTr="00D94894">
        <w:trPr>
          <w:trHeight w:hRule="exact" w:val="627"/>
        </w:trPr>
        <w:tc>
          <w:tcPr>
            <w:tcW w:w="2208" w:type="dxa"/>
            <w:vMerge/>
            <w:tcBorders>
              <w:left w:val="single" w:sz="4" w:space="0" w:color="1A9EDA"/>
              <w:bottom w:val="single" w:sz="4" w:space="0" w:color="17A7E0"/>
              <w:right w:val="single" w:sz="4" w:space="0" w:color="1A9EDA"/>
            </w:tcBorders>
            <w:shd w:val="clear" w:color="auto" w:fill="0778BE"/>
          </w:tcPr>
          <w:p w:rsidR="00D96B91" w:rsidRDefault="00D96B91"/>
        </w:tc>
        <w:tc>
          <w:tcPr>
            <w:tcW w:w="2110" w:type="dxa"/>
            <w:gridSpan w:val="2"/>
            <w:tcBorders>
              <w:top w:val="single" w:sz="4" w:space="0" w:color="1A9EDA"/>
              <w:left w:val="single" w:sz="4" w:space="0" w:color="1A9EDA"/>
              <w:bottom w:val="single" w:sz="4" w:space="0" w:color="17A7E0"/>
              <w:right w:val="single" w:sz="4" w:space="0" w:color="1A9EDA"/>
            </w:tcBorders>
            <w:shd w:val="clear" w:color="auto" w:fill="0778BE"/>
          </w:tcPr>
          <w:p w:rsidR="00D96B91" w:rsidRDefault="00C2656B" w:rsidP="00C61167">
            <w:pPr>
              <w:pStyle w:val="TableParagraph"/>
              <w:spacing w:before="112" w:line="220" w:lineRule="exact"/>
              <w:ind w:left="280" w:right="31" w:firstLine="63"/>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payable under</w:t>
            </w:r>
            <w:r>
              <w:rPr>
                <w:rFonts w:ascii="Avenir Next Condensed"/>
                <w:b/>
                <w:color w:val="FFFFFF"/>
                <w:spacing w:val="21"/>
                <w:sz w:val="18"/>
              </w:rPr>
              <w:t xml:space="preserve"> </w:t>
            </w:r>
            <w:r>
              <w:rPr>
                <w:rFonts w:ascii="Avenir Next Condensed"/>
                <w:b/>
                <w:color w:val="FFFFFF"/>
                <w:sz w:val="18"/>
              </w:rPr>
              <w:t xml:space="preserve">original price </w:t>
            </w:r>
            <w:r>
              <w:rPr>
                <w:rFonts w:ascii="Avenir Next Condensed"/>
                <w:b/>
                <w:color w:val="FFFFFF"/>
                <w:spacing w:val="-1"/>
                <w:sz w:val="18"/>
              </w:rPr>
              <w:t>direction</w:t>
            </w:r>
          </w:p>
        </w:tc>
        <w:tc>
          <w:tcPr>
            <w:tcW w:w="5213" w:type="dxa"/>
            <w:gridSpan w:val="3"/>
            <w:tcBorders>
              <w:top w:val="single" w:sz="4" w:space="0" w:color="1A9EDA"/>
              <w:left w:val="single" w:sz="4" w:space="0" w:color="1A9EDA"/>
              <w:bottom w:val="single" w:sz="4" w:space="0" w:color="17A7E0"/>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480"/>
              <w:rPr>
                <w:rFonts w:ascii="Avenir Next Condensed" w:eastAsia="Avenir Next Condensed" w:hAnsi="Avenir Next Condensed" w:cs="Avenir Next Condensed"/>
                <w:sz w:val="18"/>
                <w:szCs w:val="18"/>
              </w:rPr>
            </w:pPr>
            <w:r>
              <w:rPr>
                <w:rFonts w:ascii="Avenir Next Condensed"/>
                <w:b/>
                <w:color w:val="FFFFFF"/>
                <w:spacing w:val="-1"/>
                <w:sz w:val="18"/>
              </w:rPr>
              <w:t>Price</w:t>
            </w:r>
            <w:r>
              <w:rPr>
                <w:rFonts w:ascii="Avenir Next Condensed"/>
                <w:b/>
                <w:color w:val="FFFFFF"/>
                <w:sz w:val="18"/>
              </w:rPr>
              <w:t xml:space="preserve"> path for </w:t>
            </w:r>
            <w:r>
              <w:rPr>
                <w:rFonts w:ascii="Avenir Next Condensed"/>
                <w:b/>
                <w:color w:val="FFFFFF"/>
                <w:spacing w:val="-1"/>
                <w:sz w:val="18"/>
              </w:rPr>
              <w:t>remaining</w:t>
            </w:r>
            <w:r>
              <w:rPr>
                <w:rFonts w:ascii="Avenir Next Condensed"/>
                <w:b/>
                <w:color w:val="FFFFFF"/>
                <w:sz w:val="18"/>
              </w:rPr>
              <w:t xml:space="preserve"> </w:t>
            </w:r>
            <w:r>
              <w:rPr>
                <w:rFonts w:ascii="Avenir Next Condensed"/>
                <w:b/>
                <w:color w:val="FFFFFF"/>
                <w:spacing w:val="-1"/>
                <w:sz w:val="18"/>
              </w:rPr>
              <w:t>years*</w:t>
            </w:r>
          </w:p>
        </w:tc>
      </w:tr>
      <w:tr w:rsidR="00D96B91" w:rsidTr="00D94894">
        <w:trPr>
          <w:trHeight w:hRule="exact" w:val="407"/>
        </w:trPr>
        <w:tc>
          <w:tcPr>
            <w:tcW w:w="953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rsidTr="00D94894">
        <w:trPr>
          <w:trHeight w:hRule="exact" w:val="407"/>
        </w:trPr>
        <w:tc>
          <w:tcPr>
            <w:tcW w:w="22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55"/>
              <w:rPr>
                <w:rFonts w:ascii="Avenir Next Condensed" w:eastAsia="Avenir Next Condensed" w:hAnsi="Avenir Next Condensed" w:cs="Avenir Next Condensed"/>
                <w:sz w:val="18"/>
                <w:szCs w:val="18"/>
              </w:rPr>
            </w:pPr>
            <w:r>
              <w:rPr>
                <w:rFonts w:ascii="Avenir Next Condensed"/>
                <w:sz w:val="18"/>
              </w:rPr>
              <w:t>100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247"/>
              <w:rPr>
                <w:rFonts w:ascii="Avenir Next Condensed" w:eastAsia="Avenir Next Condensed" w:hAnsi="Avenir Next Condensed" w:cs="Avenir Next Condensed"/>
                <w:sz w:val="18"/>
                <w:szCs w:val="18"/>
              </w:rPr>
            </w:pPr>
            <w:r>
              <w:rPr>
                <w:rFonts w:ascii="Avenir Next Condensed"/>
                <w:sz w:val="18"/>
              </w:rPr>
              <w:t>102.56</w:t>
            </w:r>
          </w:p>
        </w:tc>
        <w:tc>
          <w:tcPr>
            <w:tcW w:w="16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rsidTr="00D94894">
        <w:trPr>
          <w:trHeight w:hRule="exact" w:val="407"/>
        </w:trPr>
        <w:tc>
          <w:tcPr>
            <w:tcW w:w="22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2.55</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2.64</w:t>
            </w:r>
          </w:p>
        </w:tc>
        <w:tc>
          <w:tcPr>
            <w:tcW w:w="16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r w:rsidR="00D96B91" w:rsidTr="00D94894">
        <w:trPr>
          <w:trHeight w:hRule="exact" w:val="407"/>
        </w:trPr>
        <w:tc>
          <w:tcPr>
            <w:tcW w:w="22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5.10</w:t>
            </w:r>
          </w:p>
        </w:tc>
        <w:tc>
          <w:tcPr>
            <w:tcW w:w="1055"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16"/>
              <w:rPr>
                <w:rFonts w:ascii="Avenir Next Condensed" w:eastAsia="Avenir Next Condensed" w:hAnsi="Avenir Next Condensed" w:cs="Avenir Next Condensed"/>
                <w:sz w:val="18"/>
                <w:szCs w:val="18"/>
              </w:rPr>
            </w:pPr>
            <w:r>
              <w:rPr>
                <w:rFonts w:ascii="Avenir Next Condensed"/>
                <w:sz w:val="18"/>
              </w:rPr>
              <w:t>5.29</w:t>
            </w:r>
          </w:p>
        </w:tc>
        <w:tc>
          <w:tcPr>
            <w:tcW w:w="16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(1+CPI)×(1-7.5%)</w:t>
            </w:r>
          </w:p>
        </w:tc>
        <w:tc>
          <w:tcPr>
            <w:tcW w:w="1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9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84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6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w:t>
      </w:r>
      <w:r>
        <w:rPr>
          <w:rFonts w:ascii="Avenir Next"/>
          <w:spacing w:val="-3"/>
          <w:sz w:val="16"/>
        </w:rPr>
        <w:t xml:space="preserve"> </w:t>
      </w:r>
      <w:r>
        <w:rPr>
          <w:rFonts w:ascii="Avenir Next"/>
          <w:sz w:val="16"/>
        </w:rPr>
        <w:t xml:space="preserve">Also subject to </w:t>
      </w:r>
      <w:r>
        <w:rPr>
          <w:rFonts w:ascii="Avenir Next"/>
          <w:spacing w:val="-1"/>
          <w:sz w:val="16"/>
        </w:rPr>
        <w:t>operation</w:t>
      </w:r>
      <w:r>
        <w:rPr>
          <w:rFonts w:ascii="Avenir Next"/>
          <w:sz w:val="16"/>
        </w:rPr>
        <w:t xml:space="preserve"> of</w:t>
      </w:r>
      <w:r>
        <w:rPr>
          <w:rFonts w:ascii="Avenir Next"/>
          <w:spacing w:val="3"/>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D96B91">
      <w:pPr>
        <w:pStyle w:val="BodyText"/>
        <w:spacing w:before="115" w:line="260" w:lineRule="exact"/>
        <w:ind w:right="1433"/>
      </w:pPr>
      <w:hyperlink w:anchor="_bookmark130" w:history="1">
        <w:r w:rsidR="00C2656B">
          <w:rPr>
            <w:spacing w:val="-4"/>
          </w:rPr>
          <w:t>Table</w:t>
        </w:r>
        <w:r w:rsidR="00C2656B">
          <w:t xml:space="preserve"> 14.3</w:t>
        </w:r>
      </w:hyperlink>
      <w:r w:rsidR="00C2656B">
        <w:t xml:space="preserve"> </w:t>
      </w:r>
      <w:r w:rsidR="00C2656B">
        <w:rPr>
          <w:rFonts w:cs="Avenir Next"/>
        </w:rPr>
        <w:t xml:space="preserve">sets out the </w:t>
      </w:r>
      <w:r w:rsidR="00C2656B">
        <w:rPr>
          <w:rFonts w:cs="Avenir Next"/>
          <w:b/>
          <w:bCs/>
          <w:spacing w:val="-1"/>
        </w:rPr>
        <w:t>indicative</w:t>
      </w:r>
      <w:r w:rsidR="00C2656B">
        <w:rPr>
          <w:rFonts w:cs="Avenir Next"/>
          <w:b/>
          <w:bCs/>
        </w:rPr>
        <w:t xml:space="preserve"> </w:t>
      </w:r>
      <w:r w:rsidR="00C2656B">
        <w:rPr>
          <w:rFonts w:cs="Avenir Next"/>
          <w:spacing w:val="-1"/>
        </w:rPr>
        <w:t>water</w:t>
      </w:r>
      <w:r w:rsidR="00C2656B">
        <w:rPr>
          <w:rFonts w:cs="Avenir Next"/>
        </w:rPr>
        <w:t xml:space="preserve"> </w:t>
      </w:r>
      <w:r w:rsidR="00C2656B">
        <w:rPr>
          <w:rFonts w:cs="Avenir Next"/>
          <w:spacing w:val="-1"/>
        </w:rPr>
        <w:t>charges</w:t>
      </w:r>
      <w:r w:rsidR="00C2656B">
        <w:rPr>
          <w:rFonts w:cs="Avenir Next"/>
        </w:rPr>
        <w:t xml:space="preserve"> payable over the </w:t>
      </w:r>
      <w:r w:rsidR="00C2656B">
        <w:rPr>
          <w:rFonts w:cs="Avenir Next"/>
          <w:spacing w:val="-1"/>
        </w:rPr>
        <w:t>remaining</w:t>
      </w:r>
      <w:r w:rsidR="00C2656B">
        <w:rPr>
          <w:rFonts w:cs="Avenir Next"/>
        </w:rPr>
        <w:t xml:space="preserve"> </w:t>
      </w:r>
      <w:r w:rsidR="00C2656B">
        <w:rPr>
          <w:rFonts w:cs="Avenir Next"/>
          <w:spacing w:val="-1"/>
        </w:rPr>
        <w:t>three</w:t>
      </w:r>
      <w:r w:rsidR="00C2656B">
        <w:rPr>
          <w:rFonts w:cs="Avenir Next"/>
        </w:rPr>
        <w:t xml:space="preserve"> </w:t>
      </w:r>
      <w:r w:rsidR="00C2656B">
        <w:rPr>
          <w:rFonts w:cs="Avenir Next"/>
          <w:spacing w:val="-1"/>
        </w:rPr>
        <w:t>years</w:t>
      </w:r>
      <w:r w:rsidR="00C2656B">
        <w:rPr>
          <w:rFonts w:cs="Avenir Next"/>
        </w:rPr>
        <w:t xml:space="preserve"> of</w:t>
      </w:r>
      <w:r w:rsidR="00C2656B">
        <w:rPr>
          <w:rFonts w:cs="Avenir Next"/>
          <w:spacing w:val="4"/>
        </w:rPr>
        <w:t xml:space="preserve"> </w:t>
      </w:r>
      <w:r w:rsidR="00C2656B">
        <w:rPr>
          <w:rFonts w:cs="Avenir Next"/>
        </w:rPr>
        <w:t>the period,</w:t>
      </w:r>
      <w:r w:rsidR="00C2656B">
        <w:rPr>
          <w:rFonts w:cs="Avenir Next"/>
          <w:spacing w:val="45"/>
        </w:rPr>
        <w:t xml:space="preserve"> </w:t>
      </w:r>
      <w:r w:rsidR="00C2656B">
        <w:t>assuming</w:t>
      </w:r>
      <w:r w:rsidR="00C2656B">
        <w:rPr>
          <w:spacing w:val="-1"/>
        </w:rPr>
        <w:t xml:space="preserve"> </w:t>
      </w:r>
      <w:r w:rsidR="00C2656B">
        <w:t xml:space="preserve">an </w:t>
      </w:r>
      <w:r w:rsidR="00C2656B">
        <w:rPr>
          <w:spacing w:val="-1"/>
        </w:rPr>
        <w:t>inflation</w:t>
      </w:r>
      <w:r w:rsidR="00C2656B">
        <w:t xml:space="preserve"> </w:t>
      </w:r>
      <w:r w:rsidR="00C2656B">
        <w:rPr>
          <w:spacing w:val="-2"/>
        </w:rPr>
        <w:t>rate</w:t>
      </w:r>
      <w:r w:rsidR="00C2656B">
        <w:t xml:space="preserve"> (CPI)</w:t>
      </w:r>
      <w:r w:rsidR="00C2656B">
        <w:rPr>
          <w:spacing w:val="-1"/>
        </w:rPr>
        <w:t xml:space="preserve"> </w:t>
      </w:r>
      <w:r w:rsidR="00C2656B">
        <w:t>of</w:t>
      </w:r>
      <w:r w:rsidR="00C2656B">
        <w:rPr>
          <w:spacing w:val="4"/>
        </w:rPr>
        <w:t xml:space="preserve"> </w:t>
      </w:r>
      <w:r w:rsidR="00C2656B">
        <w:t>2.5% pa and</w:t>
      </w:r>
      <w:r w:rsidR="00C2656B">
        <w:rPr>
          <w:spacing w:val="-1"/>
        </w:rPr>
        <w:t xml:space="preserve"> </w:t>
      </w:r>
      <w:r w:rsidR="00C2656B">
        <w:t xml:space="preserve">no </w:t>
      </w:r>
      <w:r w:rsidR="00C2656B">
        <w:rPr>
          <w:spacing w:val="-1"/>
        </w:rPr>
        <w:t>material</w:t>
      </w:r>
      <w:r w:rsidR="00C2656B">
        <w:t xml:space="preserve"> changes in</w:t>
      </w:r>
      <w:r w:rsidR="00C2656B">
        <w:rPr>
          <w:spacing w:val="-5"/>
        </w:rPr>
        <w:t xml:space="preserve"> </w:t>
      </w:r>
      <w:r w:rsidR="00C2656B">
        <w:rPr>
          <w:spacing w:val="-2"/>
        </w:rPr>
        <w:t>ACTEW’s</w:t>
      </w:r>
      <w:r w:rsidR="00C2656B">
        <w:t xml:space="preserve"> costs or Government</w:t>
      </w:r>
      <w:r w:rsidR="00C2656B">
        <w:rPr>
          <w:spacing w:val="35"/>
        </w:rPr>
        <w:t xml:space="preserve"> </w:t>
      </w:r>
      <w:r w:rsidR="00C2656B">
        <w:rPr>
          <w:spacing w:val="-1"/>
        </w:rPr>
        <w:t>charges</w:t>
      </w:r>
      <w:r w:rsidR="00C2656B">
        <w:t xml:space="preserve"> (eg,</w:t>
      </w:r>
      <w:r w:rsidR="00C2656B">
        <w:rPr>
          <w:spacing w:val="-6"/>
        </w:rPr>
        <w:t xml:space="preserve"> </w:t>
      </w:r>
      <w:r w:rsidR="00C2656B">
        <w:t>the</w:t>
      </w:r>
      <w:r w:rsidR="00C2656B">
        <w:rPr>
          <w:spacing w:val="-3"/>
        </w:rPr>
        <w:t xml:space="preserve"> WAC</w:t>
      </w:r>
      <w:r w:rsidR="00C2656B">
        <w:t xml:space="preserve"> and UNFT) </w:t>
      </w:r>
      <w:r w:rsidR="00C2656B">
        <w:rPr>
          <w:spacing w:val="-1"/>
        </w:rPr>
        <w:t>that</w:t>
      </w:r>
      <w:r w:rsidR="00C2656B">
        <w:t xml:space="preserve"> would trigger the cost </w:t>
      </w:r>
      <w:r w:rsidR="00C2656B">
        <w:rPr>
          <w:spacing w:val="-1"/>
        </w:rPr>
        <w:t>pass-through</w:t>
      </w:r>
      <w:r w:rsidR="00C2656B">
        <w:t xml:space="preserve"> mechanism described in</w:t>
      </w:r>
      <w:r w:rsidR="00C2656B">
        <w:rPr>
          <w:spacing w:val="31"/>
        </w:rPr>
        <w:t xml:space="preserve"> </w:t>
      </w:r>
      <w:r w:rsidR="00C2656B">
        <w:rPr>
          <w:rFonts w:cs="Avenir Next"/>
        </w:rPr>
        <w:t xml:space="preserve">section </w:t>
      </w:r>
      <w:hyperlink w:anchor="_bookmark40" w:history="1">
        <w:r w:rsidR="00C2656B">
          <w:t>6.5</w:t>
        </w:r>
      </w:hyperlink>
      <w:r w:rsidR="00C2656B">
        <w:t>.</w:t>
      </w:r>
      <w:r w:rsidR="00C2656B">
        <w:rPr>
          <w:spacing w:val="-6"/>
        </w:rPr>
        <w:t xml:space="preserve"> </w:t>
      </w:r>
      <w:r w:rsidR="00C2656B">
        <w:t xml:space="preserve">It shows </w:t>
      </w:r>
      <w:r w:rsidR="00C2656B">
        <w:rPr>
          <w:spacing w:val="-1"/>
        </w:rPr>
        <w:t>that</w:t>
      </w:r>
      <w:r w:rsidR="00C2656B">
        <w:t xml:space="preserve"> the </w:t>
      </w:r>
      <w:r w:rsidR="00C2656B">
        <w:rPr>
          <w:spacing w:val="-1"/>
        </w:rPr>
        <w:t>indicative</w:t>
      </w:r>
      <w:r w:rsidR="00C2656B">
        <w:t xml:space="preserve"> </w:t>
      </w:r>
      <w:r w:rsidR="00C2656B">
        <w:rPr>
          <w:spacing w:val="-1"/>
        </w:rPr>
        <w:t>charges</w:t>
      </w:r>
      <w:r w:rsidR="00C2656B">
        <w:t xml:space="preserve"> for 2015-16 </w:t>
      </w:r>
      <w:r w:rsidR="00C2656B">
        <w:rPr>
          <w:spacing w:val="-2"/>
        </w:rPr>
        <w:t>are</w:t>
      </w:r>
      <w:r w:rsidR="00C2656B">
        <w:t xml:space="preserve"> </w:t>
      </w:r>
      <w:r w:rsidR="00C2656B">
        <w:rPr>
          <w:spacing w:val="-1"/>
        </w:rPr>
        <w:t>approximately</w:t>
      </w:r>
      <w:r w:rsidR="00C2656B">
        <w:t xml:space="preserve"> 5.2% lower than the</w:t>
      </w:r>
      <w:r w:rsidR="00C2656B">
        <w:rPr>
          <w:spacing w:val="41"/>
        </w:rPr>
        <w:t xml:space="preserve"> </w:t>
      </w:r>
      <w:r w:rsidR="00C2656B">
        <w:t xml:space="preserve">2014-15 </w:t>
      </w:r>
      <w:r w:rsidR="00C2656B">
        <w:rPr>
          <w:spacing w:val="-1"/>
        </w:rPr>
        <w:t>charges</w:t>
      </w:r>
      <w:r w:rsidR="00C2656B">
        <w:t xml:space="preserve"> payable under the </w:t>
      </w:r>
      <w:r w:rsidR="00C2656B">
        <w:rPr>
          <w:spacing w:val="-2"/>
        </w:rPr>
        <w:t>ICRC’s</w:t>
      </w:r>
      <w:r w:rsidR="00C2656B">
        <w:t xml:space="preserve"> original price </w:t>
      </w:r>
      <w:r w:rsidR="00C2656B">
        <w:rPr>
          <w:spacing w:val="-1"/>
        </w:rPr>
        <w:t>direction.</w:t>
      </w:r>
      <w:r w:rsidR="00C2656B">
        <w:rPr>
          <w:spacing w:val="-11"/>
        </w:rPr>
        <w:t xml:space="preserve"> </w:t>
      </w:r>
      <w:r w:rsidR="00C2656B">
        <w:rPr>
          <w:spacing w:val="-1"/>
        </w:rPr>
        <w:t>This</w:t>
      </w:r>
      <w:r w:rsidR="00C2656B">
        <w:t xml:space="preserve"> is due to two factors:</w:t>
      </w:r>
    </w:p>
    <w:p w:rsidR="00D96B91" w:rsidRDefault="00C2656B">
      <w:pPr>
        <w:pStyle w:val="BodyText"/>
        <w:numPr>
          <w:ilvl w:val="0"/>
          <w:numId w:val="131"/>
        </w:numPr>
        <w:tabs>
          <w:tab w:val="left" w:pos="1531"/>
          <w:tab w:val="left" w:pos="4093"/>
          <w:tab w:val="left" w:pos="5466"/>
        </w:tabs>
        <w:spacing w:before="170" w:line="260" w:lineRule="exact"/>
        <w:ind w:right="1376" w:hanging="283"/>
      </w:pPr>
      <w:r>
        <w:rPr>
          <w:spacing w:val="-3"/>
        </w:rPr>
        <w:t>First</w:t>
      </w:r>
      <w:r>
        <w:rPr>
          <w:spacing w:val="-5"/>
        </w:rPr>
        <w:t xml:space="preserve"> </w:t>
      </w:r>
      <w:r>
        <w:rPr>
          <w:spacing w:val="-2"/>
        </w:rPr>
        <w:t>(and</w:t>
      </w:r>
      <w:r>
        <w:rPr>
          <w:spacing w:val="-4"/>
        </w:rPr>
        <w:t xml:space="preserve"> </w:t>
      </w:r>
      <w:r>
        <w:rPr>
          <w:spacing w:val="-2"/>
        </w:rPr>
        <w:t>most</w:t>
      </w:r>
      <w:r>
        <w:rPr>
          <w:spacing w:val="-5"/>
        </w:rPr>
        <w:t xml:space="preserve"> </w:t>
      </w:r>
      <w:r w:rsidR="00C61167">
        <w:rPr>
          <w:spacing w:val="-2"/>
        </w:rPr>
        <w:t xml:space="preserve">significantly </w:t>
      </w:r>
      <w:r>
        <w:rPr>
          <w:spacing w:val="-2"/>
        </w:rPr>
        <w:t>although</w:t>
      </w:r>
      <w:r>
        <w:rPr>
          <w:spacing w:val="-4"/>
        </w:rPr>
        <w:t xml:space="preserve"> </w:t>
      </w:r>
      <w:r>
        <w:rPr>
          <w:spacing w:val="-2"/>
        </w:rPr>
        <w:t>the</w:t>
      </w:r>
      <w:r>
        <w:rPr>
          <w:spacing w:val="-4"/>
        </w:rPr>
        <w:t xml:space="preserve"> </w:t>
      </w:r>
      <w:r>
        <w:rPr>
          <w:spacing w:val="-5"/>
        </w:rPr>
        <w:t>Panel’s</w:t>
      </w:r>
      <w:r>
        <w:rPr>
          <w:spacing w:val="-4"/>
        </w:rPr>
        <w:t xml:space="preserve"> </w:t>
      </w:r>
      <w:r>
        <w:rPr>
          <w:spacing w:val="-3"/>
        </w:rPr>
        <w:t>draft</w:t>
      </w:r>
      <w:r>
        <w:rPr>
          <w:spacing w:val="-4"/>
        </w:rPr>
        <w:t xml:space="preserve"> </w:t>
      </w:r>
      <w:r>
        <w:rPr>
          <w:spacing w:val="-2"/>
        </w:rPr>
        <w:t>decision</w:t>
      </w:r>
      <w:r>
        <w:rPr>
          <w:spacing w:val="-4"/>
        </w:rPr>
        <w:t xml:space="preserve"> </w:t>
      </w:r>
      <w:r>
        <w:rPr>
          <w:spacing w:val="-1"/>
        </w:rPr>
        <w:t>on</w:t>
      </w:r>
      <w:r>
        <w:rPr>
          <w:spacing w:val="-4"/>
        </w:rPr>
        <w:t xml:space="preserve"> </w:t>
      </w:r>
      <w:r>
        <w:rPr>
          <w:spacing w:val="-2"/>
        </w:rPr>
        <w:t>the</w:t>
      </w:r>
      <w:r>
        <w:rPr>
          <w:spacing w:val="-4"/>
        </w:rPr>
        <w:t xml:space="preserve"> </w:t>
      </w:r>
      <w:r>
        <w:rPr>
          <w:spacing w:val="-2"/>
        </w:rPr>
        <w:t>net</w:t>
      </w:r>
      <w:r>
        <w:rPr>
          <w:spacing w:val="-4"/>
        </w:rPr>
        <w:t xml:space="preserve"> </w:t>
      </w:r>
      <w:r>
        <w:rPr>
          <w:spacing w:val="-3"/>
        </w:rPr>
        <w:t>revenue</w:t>
      </w:r>
      <w:r>
        <w:rPr>
          <w:spacing w:val="-4"/>
        </w:rPr>
        <w:t xml:space="preserve"> </w:t>
      </w:r>
      <w:r>
        <w:rPr>
          <w:spacing w:val="-3"/>
        </w:rPr>
        <w:t>requirement</w:t>
      </w:r>
      <w:r>
        <w:rPr>
          <w:spacing w:val="-4"/>
        </w:rPr>
        <w:t xml:space="preserve"> </w:t>
      </w:r>
      <w:r>
        <w:rPr>
          <w:spacing w:val="-2"/>
        </w:rPr>
        <w:t>for</w:t>
      </w:r>
      <w:r>
        <w:rPr>
          <w:spacing w:val="61"/>
        </w:rPr>
        <w:t xml:space="preserve"> </w:t>
      </w:r>
      <w:r>
        <w:rPr>
          <w:spacing w:val="-2"/>
        </w:rPr>
        <w:t>water</w:t>
      </w:r>
      <w:r>
        <w:rPr>
          <w:spacing w:val="-5"/>
        </w:rPr>
        <w:t xml:space="preserve"> </w:t>
      </w:r>
      <w:r>
        <w:rPr>
          <w:spacing w:val="-2"/>
        </w:rPr>
        <w:t>services</w:t>
      </w:r>
      <w:r>
        <w:rPr>
          <w:spacing w:val="-4"/>
        </w:rPr>
        <w:t xml:space="preserve"> </w:t>
      </w:r>
      <w:r>
        <w:rPr>
          <w:spacing w:val="-1"/>
        </w:rPr>
        <w:t>is</w:t>
      </w:r>
      <w:r>
        <w:rPr>
          <w:spacing w:val="-4"/>
        </w:rPr>
        <w:t xml:space="preserve"> </w:t>
      </w:r>
      <w:r>
        <w:rPr>
          <w:spacing w:val="-2"/>
        </w:rPr>
        <w:t>higher</w:t>
      </w:r>
      <w:r>
        <w:rPr>
          <w:spacing w:val="-4"/>
        </w:rPr>
        <w:t xml:space="preserve"> </w:t>
      </w:r>
      <w:r>
        <w:rPr>
          <w:spacing w:val="-2"/>
        </w:rPr>
        <w:t>than</w:t>
      </w:r>
      <w:r>
        <w:rPr>
          <w:spacing w:val="-4"/>
        </w:rPr>
        <w:t xml:space="preserve"> </w:t>
      </w:r>
      <w:r>
        <w:rPr>
          <w:spacing w:val="-2"/>
        </w:rPr>
        <w:t>the</w:t>
      </w:r>
      <w:r>
        <w:rPr>
          <w:spacing w:val="-4"/>
        </w:rPr>
        <w:t xml:space="preserve"> ICRC’s</w:t>
      </w:r>
      <w:r>
        <w:rPr>
          <w:spacing w:val="-5"/>
        </w:rPr>
        <w:t xml:space="preserve"> </w:t>
      </w:r>
      <w:r>
        <w:rPr>
          <w:spacing w:val="-1"/>
        </w:rPr>
        <w:t>fi</w:t>
      </w:r>
      <w:r w:rsidR="00C61167">
        <w:rPr>
          <w:spacing w:val="-1"/>
        </w:rPr>
        <w:t xml:space="preserve">nal </w:t>
      </w:r>
      <w:r>
        <w:rPr>
          <w:spacing w:val="-2"/>
        </w:rPr>
        <w:t>decision,</w:t>
      </w:r>
      <w:r>
        <w:rPr>
          <w:spacing w:val="-10"/>
        </w:rPr>
        <w:t xml:space="preserve"> </w:t>
      </w:r>
      <w:r>
        <w:rPr>
          <w:spacing w:val="-2"/>
        </w:rPr>
        <w:t>its</w:t>
      </w:r>
      <w:r>
        <w:rPr>
          <w:spacing w:val="-4"/>
        </w:rPr>
        <w:t xml:space="preserve"> </w:t>
      </w:r>
      <w:r>
        <w:rPr>
          <w:spacing w:val="-3"/>
        </w:rPr>
        <w:t>draft</w:t>
      </w:r>
      <w:r>
        <w:rPr>
          <w:spacing w:val="-4"/>
        </w:rPr>
        <w:t xml:space="preserve"> </w:t>
      </w:r>
      <w:r>
        <w:rPr>
          <w:spacing w:val="-2"/>
        </w:rPr>
        <w:t>decision</w:t>
      </w:r>
      <w:r>
        <w:rPr>
          <w:spacing w:val="-4"/>
        </w:rPr>
        <w:t xml:space="preserve"> </w:t>
      </w:r>
      <w:r>
        <w:rPr>
          <w:spacing w:val="-1"/>
        </w:rPr>
        <w:t>on</w:t>
      </w:r>
      <w:r>
        <w:rPr>
          <w:spacing w:val="-4"/>
        </w:rPr>
        <w:t xml:space="preserve"> </w:t>
      </w:r>
      <w:r>
        <w:rPr>
          <w:spacing w:val="-2"/>
        </w:rPr>
        <w:t>water</w:t>
      </w:r>
      <w:r>
        <w:rPr>
          <w:spacing w:val="-4"/>
        </w:rPr>
        <w:t xml:space="preserve"> </w:t>
      </w:r>
      <w:r>
        <w:rPr>
          <w:spacing w:val="-2"/>
        </w:rPr>
        <w:t>sales</w:t>
      </w:r>
      <w:r>
        <w:rPr>
          <w:spacing w:val="-4"/>
        </w:rPr>
        <w:t xml:space="preserve"> </w:t>
      </w:r>
      <w:r>
        <w:rPr>
          <w:spacing w:val="-3"/>
        </w:rPr>
        <w:t>forecasts</w:t>
      </w:r>
      <w:r>
        <w:rPr>
          <w:spacing w:val="-4"/>
        </w:rPr>
        <w:t xml:space="preserve"> </w:t>
      </w:r>
      <w:r>
        <w:rPr>
          <w:spacing w:val="-1"/>
        </w:rPr>
        <w:t>is</w:t>
      </w:r>
      <w:r>
        <w:rPr>
          <w:spacing w:val="-4"/>
        </w:rPr>
        <w:t xml:space="preserve"> </w:t>
      </w:r>
      <w:r>
        <w:t>6</w:t>
      </w:r>
      <w:r>
        <w:rPr>
          <w:spacing w:val="-4"/>
        </w:rPr>
        <w:t xml:space="preserve"> </w:t>
      </w:r>
      <w:r>
        <w:rPr>
          <w:spacing w:val="-2"/>
        </w:rPr>
        <w:t>to</w:t>
      </w:r>
      <w:r>
        <w:rPr>
          <w:spacing w:val="58"/>
        </w:rPr>
        <w:t xml:space="preserve"> </w:t>
      </w:r>
      <w:r>
        <w:t>8</w:t>
      </w:r>
      <w:r>
        <w:rPr>
          <w:spacing w:val="-4"/>
        </w:rPr>
        <w:t xml:space="preserve"> </w:t>
      </w:r>
      <w:r>
        <w:rPr>
          <w:spacing w:val="-1"/>
        </w:rPr>
        <w:t>GL</w:t>
      </w:r>
      <w:r>
        <w:rPr>
          <w:spacing w:val="-9"/>
        </w:rPr>
        <w:t xml:space="preserve"> </w:t>
      </w:r>
      <w:r>
        <w:rPr>
          <w:spacing w:val="-2"/>
        </w:rPr>
        <w:t>(15-20%)</w:t>
      </w:r>
      <w:r>
        <w:rPr>
          <w:spacing w:val="-4"/>
        </w:rPr>
        <w:t xml:space="preserve"> </w:t>
      </w:r>
      <w:r>
        <w:rPr>
          <w:spacing w:val="-2"/>
        </w:rPr>
        <w:t>higher</w:t>
      </w:r>
      <w:r>
        <w:rPr>
          <w:spacing w:val="-4"/>
        </w:rPr>
        <w:t xml:space="preserve"> </w:t>
      </w:r>
      <w:r>
        <w:rPr>
          <w:spacing w:val="-2"/>
        </w:rPr>
        <w:t>than</w:t>
      </w:r>
      <w:r>
        <w:rPr>
          <w:spacing w:val="-4"/>
        </w:rPr>
        <w:t xml:space="preserve"> </w:t>
      </w:r>
      <w:r>
        <w:rPr>
          <w:spacing w:val="-2"/>
        </w:rPr>
        <w:t>the</w:t>
      </w:r>
      <w:r>
        <w:rPr>
          <w:spacing w:val="-4"/>
        </w:rPr>
        <w:t xml:space="preserve"> </w:t>
      </w:r>
      <w:r>
        <w:rPr>
          <w:spacing w:val="-3"/>
        </w:rPr>
        <w:t>forecasts</w:t>
      </w:r>
      <w:r>
        <w:rPr>
          <w:spacing w:val="-4"/>
        </w:rPr>
        <w:t xml:space="preserve"> </w:t>
      </w:r>
      <w:r>
        <w:rPr>
          <w:spacing w:val="-2"/>
        </w:rPr>
        <w:t>used</w:t>
      </w:r>
      <w:r>
        <w:rPr>
          <w:spacing w:val="-4"/>
        </w:rPr>
        <w:t xml:space="preserve"> </w:t>
      </w:r>
      <w:r>
        <w:rPr>
          <w:spacing w:val="-1"/>
        </w:rPr>
        <w:t>by</w:t>
      </w:r>
      <w:r>
        <w:rPr>
          <w:spacing w:val="-4"/>
        </w:rPr>
        <w:t xml:space="preserve"> </w:t>
      </w:r>
      <w:r>
        <w:rPr>
          <w:spacing w:val="-2"/>
        </w:rPr>
        <w:t>the</w:t>
      </w:r>
      <w:r>
        <w:rPr>
          <w:spacing w:val="-4"/>
        </w:rPr>
        <w:t xml:space="preserve"> </w:t>
      </w:r>
      <w:r>
        <w:rPr>
          <w:spacing w:val="-2"/>
        </w:rPr>
        <w:t>ICRC</w:t>
      </w:r>
      <w:r>
        <w:rPr>
          <w:spacing w:val="-4"/>
        </w:rPr>
        <w:t xml:space="preserve"> </w:t>
      </w:r>
      <w:r>
        <w:rPr>
          <w:spacing w:val="-1"/>
        </w:rPr>
        <w:t>to</w:t>
      </w:r>
      <w:r>
        <w:rPr>
          <w:spacing w:val="-4"/>
        </w:rPr>
        <w:t xml:space="preserve"> </w:t>
      </w:r>
      <w:r>
        <w:rPr>
          <w:spacing w:val="-2"/>
        </w:rPr>
        <w:t>calculate</w:t>
      </w:r>
      <w:r>
        <w:rPr>
          <w:spacing w:val="-4"/>
        </w:rPr>
        <w:t xml:space="preserve"> </w:t>
      </w:r>
      <w:r>
        <w:rPr>
          <w:spacing w:val="-2"/>
        </w:rPr>
        <w:t>prices</w:t>
      </w:r>
      <w:r>
        <w:rPr>
          <w:spacing w:val="-4"/>
        </w:rPr>
        <w:t xml:space="preserve"> </w:t>
      </w:r>
      <w:r>
        <w:rPr>
          <w:spacing w:val="-1"/>
        </w:rPr>
        <w:t>in</w:t>
      </w:r>
      <w:r>
        <w:rPr>
          <w:spacing w:val="-4"/>
        </w:rPr>
        <w:t xml:space="preserve"> </w:t>
      </w:r>
      <w:r>
        <w:rPr>
          <w:spacing w:val="-2"/>
        </w:rPr>
        <w:t>2013-14</w:t>
      </w:r>
      <w:r>
        <w:rPr>
          <w:spacing w:val="-4"/>
        </w:rPr>
        <w:t xml:space="preserve"> </w:t>
      </w:r>
      <w:r>
        <w:rPr>
          <w:spacing w:val="-2"/>
        </w:rPr>
        <w:t>and</w:t>
      </w:r>
      <w:r>
        <w:rPr>
          <w:spacing w:val="-4"/>
        </w:rPr>
        <w:t xml:space="preserve"> </w:t>
      </w:r>
      <w:r>
        <w:rPr>
          <w:spacing w:val="-2"/>
        </w:rPr>
        <w:t>2014-15.</w:t>
      </w:r>
    </w:p>
    <w:p w:rsidR="00D96B91" w:rsidRDefault="00D96B91">
      <w:pPr>
        <w:spacing w:before="13"/>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98" style="width:72.5pt;height:.5pt;mso-position-horizontal-relative:char;mso-position-vertical-relative:line" coordsize="1450,10">
            <v:group id="_x0000_s1799" style="position:absolute;left:5;top:5;width:1440;height:2" coordorigin="5,5" coordsize="1440,2">
              <v:shape id="_x0000_s1800" style="position:absolute;left:5;top:5;width:1440;height:2" coordorigin="5,5" coordsize="1440,0" path="m5,5r1440,e" filled="f" strokeweight=".5pt">
                <v:path arrowok="t"/>
              </v:shape>
            </v:group>
            <w10:wrap type="none"/>
            <w10:anchorlock/>
          </v:group>
        </w:pict>
      </w:r>
    </w:p>
    <w:p w:rsidR="00D96B91" w:rsidRDefault="00C2656B">
      <w:pPr>
        <w:numPr>
          <w:ilvl w:val="0"/>
          <w:numId w:val="33"/>
        </w:numPr>
        <w:tabs>
          <w:tab w:val="left" w:pos="1758"/>
        </w:tabs>
        <w:spacing w:before="38"/>
        <w:ind w:hanging="510"/>
        <w:rPr>
          <w:rFonts w:ascii="Avenir Next" w:eastAsia="Avenir Next" w:hAnsi="Avenir Next" w:cs="Avenir Next"/>
          <w:sz w:val="16"/>
          <w:szCs w:val="16"/>
        </w:rPr>
      </w:pPr>
      <w:r>
        <w:rPr>
          <w:rFonts w:ascii="Avenir Next"/>
          <w:sz w:val="16"/>
        </w:rPr>
        <w:t>Equivalent to 50kL</w:t>
      </w:r>
      <w:r>
        <w:rPr>
          <w:rFonts w:ascii="Avenir Next"/>
          <w:spacing w:val="-4"/>
          <w:sz w:val="16"/>
        </w:rPr>
        <w:t xml:space="preserve"> </w:t>
      </w:r>
      <w:r>
        <w:rPr>
          <w:rFonts w:ascii="Avenir Next"/>
          <w:sz w:val="16"/>
        </w:rPr>
        <w:t xml:space="preserve">per </w:t>
      </w:r>
      <w:r>
        <w:rPr>
          <w:rFonts w:ascii="Avenir Next"/>
          <w:spacing w:val="-1"/>
          <w:sz w:val="16"/>
        </w:rPr>
        <w:t>quarter</w:t>
      </w:r>
      <w:r>
        <w:rPr>
          <w:rFonts w:ascii="Avenir Next"/>
          <w:sz w:val="16"/>
        </w:rPr>
        <w:t xml:space="preserve"> or 200kL</w:t>
      </w:r>
      <w:r>
        <w:rPr>
          <w:rFonts w:ascii="Avenir Next"/>
          <w:spacing w:val="-4"/>
          <w:sz w:val="16"/>
        </w:rPr>
        <w:t xml:space="preserve"> </w:t>
      </w:r>
      <w:r>
        <w:rPr>
          <w:rFonts w:ascii="Avenir Next"/>
          <w:sz w:val="16"/>
        </w:rPr>
        <w:t>pa.</w:t>
      </w:r>
    </w:p>
    <w:p w:rsidR="00D96B91" w:rsidRDefault="00C2656B">
      <w:pPr>
        <w:numPr>
          <w:ilvl w:val="0"/>
          <w:numId w:val="33"/>
        </w:numPr>
        <w:tabs>
          <w:tab w:val="left" w:pos="1758"/>
        </w:tabs>
        <w:spacing w:before="128" w:line="192" w:lineRule="exact"/>
        <w:ind w:right="1526"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term ‘true-up’ is used in this </w:t>
      </w:r>
      <w:r>
        <w:rPr>
          <w:rFonts w:ascii="Avenir Next" w:eastAsia="Avenir Next" w:hAnsi="Avenir Next" w:cs="Avenir Next"/>
          <w:spacing w:val="-1"/>
          <w:sz w:val="16"/>
          <w:szCs w:val="16"/>
        </w:rPr>
        <w:t>context</w:t>
      </w:r>
      <w:r>
        <w:rPr>
          <w:rFonts w:ascii="Avenir Next" w:eastAsia="Avenir Next" w:hAnsi="Avenir Next" w:cs="Avenir Next"/>
          <w:sz w:val="16"/>
          <w:szCs w:val="16"/>
        </w:rPr>
        <w:t xml:space="preserve"> to </w:t>
      </w:r>
      <w:r>
        <w:rPr>
          <w:rFonts w:ascii="Avenir Next" w:eastAsia="Avenir Next" w:hAnsi="Avenir Next" w:cs="Avenir Next"/>
          <w:spacing w:val="-1"/>
          <w:sz w:val="16"/>
          <w:szCs w:val="16"/>
        </w:rPr>
        <w:t>refer</w:t>
      </w:r>
      <w:r>
        <w:rPr>
          <w:rFonts w:ascii="Avenir Next" w:eastAsia="Avenir Next" w:hAnsi="Avenir Next" w:cs="Avenir Next"/>
          <w:sz w:val="16"/>
          <w:szCs w:val="16"/>
        </w:rPr>
        <w:t xml:space="preserve"> to the </w:t>
      </w:r>
      <w:r>
        <w:rPr>
          <w:rFonts w:ascii="Avenir Next" w:eastAsia="Avenir Next" w:hAnsi="Avenir Next" w:cs="Avenir Next"/>
          <w:spacing w:val="-1"/>
          <w:sz w:val="16"/>
          <w:szCs w:val="16"/>
        </w:rPr>
        <w:t>difference</w:t>
      </w:r>
      <w:r>
        <w:rPr>
          <w:rFonts w:ascii="Avenir Next" w:eastAsia="Avenir Next" w:hAnsi="Avenir Next" w:cs="Avenir Next"/>
          <w:sz w:val="16"/>
          <w:szCs w:val="16"/>
        </w:rPr>
        <w:t xml:space="preserve"> between</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2013-14 and 2014-15 net </w:t>
      </w:r>
      <w:r>
        <w:rPr>
          <w:rFonts w:ascii="Avenir Next" w:eastAsia="Avenir Next" w:hAnsi="Avenir Next" w:cs="Avenir Next"/>
          <w:spacing w:val="-1"/>
          <w:sz w:val="16"/>
          <w:szCs w:val="16"/>
        </w:rPr>
        <w:t>revenue</w:t>
      </w:r>
      <w:r>
        <w:rPr>
          <w:rFonts w:ascii="Avenir Next" w:eastAsia="Avenir Next" w:hAnsi="Avenir Next" w:cs="Avenir Next"/>
          <w:spacing w:val="41"/>
          <w:sz w:val="16"/>
          <w:szCs w:val="16"/>
        </w:rPr>
        <w:t xml:space="preserve"> </w:t>
      </w:r>
      <w:r>
        <w:rPr>
          <w:rFonts w:ascii="Avenir Next" w:eastAsia="Avenir Next" w:hAnsi="Avenir Next" w:cs="Avenir Next"/>
          <w:spacing w:val="-1"/>
          <w:sz w:val="16"/>
          <w:szCs w:val="16"/>
        </w:rPr>
        <w:t>requirement</w:t>
      </w:r>
      <w:r>
        <w:rPr>
          <w:rFonts w:ascii="Avenir Next" w:eastAsia="Avenir Next" w:hAnsi="Avenir Next" w:cs="Avenir Next"/>
          <w:sz w:val="16"/>
          <w:szCs w:val="16"/>
        </w:rPr>
        <w:t xml:space="preserve"> and the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is </w:t>
      </w:r>
      <w:r>
        <w:rPr>
          <w:rFonts w:ascii="Avenir Next" w:eastAsia="Avenir Next" w:hAnsi="Avenir Next" w:cs="Avenir Next"/>
          <w:spacing w:val="-1"/>
          <w:sz w:val="16"/>
          <w:szCs w:val="16"/>
        </w:rPr>
        <w:t>expected</w:t>
      </w:r>
      <w:r>
        <w:rPr>
          <w:rFonts w:ascii="Avenir Next" w:eastAsia="Avenir Next" w:hAnsi="Avenir Next" w:cs="Avenir Next"/>
          <w:sz w:val="16"/>
          <w:szCs w:val="16"/>
        </w:rPr>
        <w:t xml:space="preserve"> to be </w:t>
      </w:r>
      <w:r>
        <w:rPr>
          <w:rFonts w:ascii="Avenir Next" w:eastAsia="Avenir Next" w:hAnsi="Avenir Next" w:cs="Avenir Next"/>
          <w:spacing w:val="-1"/>
          <w:sz w:val="16"/>
          <w:szCs w:val="16"/>
        </w:rPr>
        <w:t>earned</w:t>
      </w:r>
      <w:r>
        <w:rPr>
          <w:rFonts w:ascii="Avenir Next" w:eastAsia="Avenir Next" w:hAnsi="Avenir Next" w:cs="Avenir Next"/>
          <w:sz w:val="16"/>
          <w:szCs w:val="16"/>
        </w:rPr>
        <w:t xml:space="preserve"> in these two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under prices set by ICRC.</w:t>
      </w:r>
    </w:p>
    <w:p w:rsidR="00D96B91" w:rsidRDefault="00C2656B">
      <w:pPr>
        <w:numPr>
          <w:ilvl w:val="0"/>
          <w:numId w:val="33"/>
        </w:numPr>
        <w:tabs>
          <w:tab w:val="left" w:pos="1758"/>
        </w:tabs>
        <w:spacing w:before="141"/>
        <w:ind w:hanging="510"/>
        <w:rPr>
          <w:rFonts w:ascii="Avenir Next" w:eastAsia="Avenir Next" w:hAnsi="Avenir Next" w:cs="Avenir Next"/>
          <w:sz w:val="16"/>
          <w:szCs w:val="16"/>
        </w:rPr>
      </w:pPr>
      <w:r>
        <w:rPr>
          <w:rFonts w:ascii="Avenir Next"/>
          <w:sz w:val="16"/>
        </w:rPr>
        <w:t>A</w:t>
      </w:r>
      <w:r>
        <w:rPr>
          <w:rFonts w:ascii="Avenir Next"/>
          <w:spacing w:val="-4"/>
          <w:sz w:val="16"/>
        </w:rPr>
        <w:t xml:space="preserve"> </w:t>
      </w:r>
      <w:r>
        <w:rPr>
          <w:rFonts w:ascii="Avenir Next"/>
          <w:spacing w:val="-1"/>
          <w:sz w:val="16"/>
        </w:rPr>
        <w:t>negative</w:t>
      </w:r>
      <w:r>
        <w:rPr>
          <w:rFonts w:ascii="Avenir Next"/>
          <w:sz w:val="16"/>
        </w:rPr>
        <w:t xml:space="preserve"> true-up </w:t>
      </w:r>
      <w:r>
        <w:rPr>
          <w:rFonts w:ascii="Avenir Next"/>
          <w:spacing w:val="-1"/>
          <w:sz w:val="16"/>
        </w:rPr>
        <w:t>means</w:t>
      </w:r>
      <w:r>
        <w:rPr>
          <w:rFonts w:ascii="Avenir Next"/>
          <w:sz w:val="16"/>
        </w:rPr>
        <w:t xml:space="preserve"> </w:t>
      </w:r>
      <w:r>
        <w:rPr>
          <w:rFonts w:ascii="Avenir Next"/>
          <w:spacing w:val="-1"/>
          <w:sz w:val="16"/>
        </w:rPr>
        <w:t>that</w:t>
      </w:r>
      <w:r>
        <w:rPr>
          <w:rFonts w:ascii="Avenir Next"/>
          <w:sz w:val="16"/>
        </w:rPr>
        <w:t xml:space="preserve"> </w:t>
      </w:r>
      <w:r>
        <w:rPr>
          <w:rFonts w:ascii="Avenir Next"/>
          <w:spacing w:val="-1"/>
          <w:sz w:val="16"/>
        </w:rPr>
        <w:t>there</w:t>
      </w:r>
      <w:r>
        <w:rPr>
          <w:rFonts w:ascii="Avenir Next"/>
          <w:sz w:val="16"/>
        </w:rPr>
        <w:t xml:space="preserve"> has been</w:t>
      </w:r>
      <w:r>
        <w:rPr>
          <w:rFonts w:ascii="Avenir Next"/>
          <w:spacing w:val="-1"/>
          <w:sz w:val="16"/>
        </w:rPr>
        <w:t xml:space="preserve"> </w:t>
      </w:r>
      <w:r>
        <w:rPr>
          <w:rFonts w:ascii="Avenir Next"/>
          <w:sz w:val="16"/>
        </w:rPr>
        <w:t xml:space="preserve">an over </w:t>
      </w:r>
      <w:r>
        <w:rPr>
          <w:rFonts w:ascii="Avenir Next"/>
          <w:spacing w:val="-1"/>
          <w:sz w:val="16"/>
        </w:rPr>
        <w:t>recovery</w:t>
      </w:r>
      <w:r>
        <w:rPr>
          <w:rFonts w:ascii="Avenir Next"/>
          <w:sz w:val="16"/>
        </w:rPr>
        <w:t xml:space="preserve"> in the first two</w:t>
      </w:r>
      <w:r>
        <w:rPr>
          <w:rFonts w:ascii="Avenir Next"/>
          <w:spacing w:val="-1"/>
          <w:sz w:val="16"/>
        </w:rPr>
        <w:t xml:space="preserve"> years</w:t>
      </w:r>
      <w:r>
        <w:rPr>
          <w:rFonts w:ascii="Avenir Next"/>
          <w:sz w:val="16"/>
        </w:rPr>
        <w:t xml:space="preserve"> of</w:t>
      </w:r>
      <w:r>
        <w:rPr>
          <w:rFonts w:ascii="Avenir Next"/>
          <w:spacing w:val="3"/>
          <w:sz w:val="16"/>
        </w:rPr>
        <w:t xml:space="preserve"> </w:t>
      </w:r>
      <w:r>
        <w:rPr>
          <w:rFonts w:ascii="Avenir Next"/>
          <w:sz w:val="16"/>
        </w:rPr>
        <w:t xml:space="preserve">the </w:t>
      </w:r>
      <w:r>
        <w:rPr>
          <w:rFonts w:ascii="Avenir Next"/>
          <w:spacing w:val="-1"/>
          <w:sz w:val="16"/>
        </w:rPr>
        <w:t>regulatory</w:t>
      </w:r>
      <w:r>
        <w:rPr>
          <w:rFonts w:ascii="Avenir Next"/>
          <w:sz w:val="16"/>
        </w:rPr>
        <w:t xml:space="preserve"> period.</w:t>
      </w:r>
    </w:p>
    <w:p w:rsidR="00D96B91" w:rsidRDefault="00C2656B">
      <w:pPr>
        <w:numPr>
          <w:ilvl w:val="0"/>
          <w:numId w:val="33"/>
        </w:numPr>
        <w:tabs>
          <w:tab w:val="left" w:pos="1758"/>
        </w:tabs>
        <w:spacing w:before="128" w:line="192" w:lineRule="exact"/>
        <w:ind w:right="1436" w:hanging="510"/>
        <w:rPr>
          <w:rFonts w:ascii="Avenir Next" w:eastAsia="Avenir Next" w:hAnsi="Avenir Next" w:cs="Avenir Next"/>
          <w:sz w:val="16"/>
          <w:szCs w:val="16"/>
        </w:rPr>
      </w:pPr>
      <w:r>
        <w:rPr>
          <w:rFonts w:ascii="Avenir Next"/>
          <w:spacing w:val="-5"/>
          <w:sz w:val="16"/>
        </w:rPr>
        <w:t>For</w:t>
      </w:r>
      <w:r>
        <w:rPr>
          <w:rFonts w:ascii="Avenir Next"/>
          <w:spacing w:val="-7"/>
          <w:sz w:val="16"/>
        </w:rPr>
        <w:t xml:space="preserve"> </w:t>
      </w:r>
      <w:r>
        <w:rPr>
          <w:rFonts w:ascii="Avenir Next"/>
          <w:spacing w:val="-4"/>
          <w:sz w:val="16"/>
        </w:rPr>
        <w:t>example,</w:t>
      </w:r>
      <w:r>
        <w:rPr>
          <w:rFonts w:ascii="Avenir Next"/>
          <w:spacing w:val="-12"/>
          <w:sz w:val="16"/>
        </w:rPr>
        <w:t xml:space="preserve"> </w:t>
      </w:r>
      <w:r>
        <w:rPr>
          <w:rFonts w:ascii="Avenir Next"/>
          <w:spacing w:val="-3"/>
          <w:sz w:val="16"/>
        </w:rPr>
        <w:t>the</w:t>
      </w:r>
      <w:r>
        <w:rPr>
          <w:rFonts w:ascii="Avenir Next"/>
          <w:spacing w:val="-7"/>
          <w:sz w:val="16"/>
        </w:rPr>
        <w:t xml:space="preserve"> </w:t>
      </w:r>
      <w:r>
        <w:rPr>
          <w:rFonts w:ascii="Avenir Next"/>
          <w:spacing w:val="-5"/>
          <w:sz w:val="16"/>
        </w:rPr>
        <w:t>Panel</w:t>
      </w:r>
      <w:r>
        <w:rPr>
          <w:rFonts w:ascii="Avenir Next"/>
          <w:spacing w:val="-7"/>
          <w:sz w:val="16"/>
        </w:rPr>
        <w:t xml:space="preserve"> </w:t>
      </w:r>
      <w:r>
        <w:rPr>
          <w:rFonts w:ascii="Avenir Next"/>
          <w:spacing w:val="-4"/>
          <w:sz w:val="16"/>
        </w:rPr>
        <w:t>could</w:t>
      </w:r>
      <w:r>
        <w:rPr>
          <w:rFonts w:ascii="Avenir Next"/>
          <w:spacing w:val="-7"/>
          <w:sz w:val="16"/>
        </w:rPr>
        <w:t xml:space="preserve"> </w:t>
      </w:r>
      <w:r>
        <w:rPr>
          <w:rFonts w:ascii="Avenir Next"/>
          <w:spacing w:val="-3"/>
          <w:sz w:val="16"/>
        </w:rPr>
        <w:t>set</w:t>
      </w:r>
      <w:r>
        <w:rPr>
          <w:rFonts w:ascii="Avenir Next"/>
          <w:spacing w:val="-7"/>
          <w:sz w:val="16"/>
        </w:rPr>
        <w:t xml:space="preserve"> </w:t>
      </w:r>
      <w:r>
        <w:rPr>
          <w:rFonts w:ascii="Avenir Next"/>
          <w:sz w:val="16"/>
        </w:rPr>
        <w:t>a</w:t>
      </w:r>
      <w:r>
        <w:rPr>
          <w:rFonts w:ascii="Avenir Next"/>
          <w:spacing w:val="-7"/>
          <w:sz w:val="16"/>
        </w:rPr>
        <w:t xml:space="preserve"> </w:t>
      </w:r>
      <w:r>
        <w:rPr>
          <w:rFonts w:ascii="Avenir Next"/>
          <w:spacing w:val="-3"/>
          <w:sz w:val="16"/>
        </w:rPr>
        <w:t>6.5%</w:t>
      </w:r>
      <w:r>
        <w:rPr>
          <w:rFonts w:ascii="Avenir Next"/>
          <w:spacing w:val="-7"/>
          <w:sz w:val="16"/>
        </w:rPr>
        <w:t xml:space="preserve"> </w:t>
      </w:r>
      <w:r>
        <w:rPr>
          <w:rFonts w:ascii="Avenir Next"/>
          <w:spacing w:val="-4"/>
          <w:sz w:val="16"/>
        </w:rPr>
        <w:t>price</w:t>
      </w:r>
      <w:r>
        <w:rPr>
          <w:rFonts w:ascii="Avenir Next"/>
          <w:spacing w:val="-7"/>
          <w:sz w:val="16"/>
        </w:rPr>
        <w:t xml:space="preserve"> </w:t>
      </w:r>
      <w:r>
        <w:rPr>
          <w:rFonts w:ascii="Avenir Next"/>
          <w:spacing w:val="-4"/>
          <w:sz w:val="16"/>
        </w:rPr>
        <w:t>decrease</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2014-15,</w:t>
      </w:r>
      <w:r>
        <w:rPr>
          <w:rFonts w:ascii="Avenir Next"/>
          <w:spacing w:val="-12"/>
          <w:sz w:val="16"/>
        </w:rPr>
        <w:t xml:space="preserve"> </w:t>
      </w:r>
      <w:r>
        <w:rPr>
          <w:rFonts w:ascii="Avenir Next"/>
          <w:spacing w:val="-4"/>
          <w:sz w:val="16"/>
        </w:rPr>
        <w:t>followed</w:t>
      </w:r>
      <w:r>
        <w:rPr>
          <w:rFonts w:ascii="Avenir Next"/>
          <w:spacing w:val="-7"/>
          <w:sz w:val="16"/>
        </w:rPr>
        <w:t xml:space="preserve"> </w:t>
      </w:r>
      <w:r>
        <w:rPr>
          <w:rFonts w:ascii="Avenir Next"/>
          <w:spacing w:val="-2"/>
          <w:sz w:val="16"/>
        </w:rPr>
        <w:t>by</w:t>
      </w:r>
      <w:r>
        <w:rPr>
          <w:rFonts w:ascii="Avenir Next"/>
          <w:spacing w:val="-7"/>
          <w:sz w:val="16"/>
        </w:rPr>
        <w:t xml:space="preserve"> </w:t>
      </w:r>
      <w:r>
        <w:rPr>
          <w:rFonts w:ascii="Avenir Next"/>
          <w:spacing w:val="-3"/>
          <w:sz w:val="16"/>
        </w:rPr>
        <w:t>CPI</w:t>
      </w:r>
      <w:r>
        <w:rPr>
          <w:rFonts w:ascii="Avenir Next"/>
          <w:spacing w:val="-7"/>
          <w:sz w:val="16"/>
        </w:rPr>
        <w:t xml:space="preserve"> </w:t>
      </w:r>
      <w:r>
        <w:rPr>
          <w:rFonts w:ascii="Avenir Next"/>
          <w:spacing w:val="-4"/>
          <w:sz w:val="16"/>
        </w:rPr>
        <w:t>price</w:t>
      </w:r>
      <w:r>
        <w:rPr>
          <w:rFonts w:ascii="Avenir Next"/>
          <w:spacing w:val="-7"/>
          <w:sz w:val="16"/>
        </w:rPr>
        <w:t xml:space="preserve"> </w:t>
      </w:r>
      <w:r>
        <w:rPr>
          <w:rFonts w:ascii="Avenir Next"/>
          <w:spacing w:val="-4"/>
          <w:sz w:val="16"/>
        </w:rPr>
        <w:t>increases</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each</w:t>
      </w:r>
      <w:r>
        <w:rPr>
          <w:rFonts w:ascii="Avenir Next"/>
          <w:spacing w:val="-7"/>
          <w:sz w:val="16"/>
        </w:rPr>
        <w:t xml:space="preserve"> </w:t>
      </w:r>
      <w:r>
        <w:rPr>
          <w:rFonts w:ascii="Avenir Next"/>
          <w:spacing w:val="-2"/>
          <w:sz w:val="16"/>
        </w:rPr>
        <w:t>of</w:t>
      </w:r>
      <w:r>
        <w:rPr>
          <w:rFonts w:ascii="Avenir Next"/>
          <w:spacing w:val="-3"/>
          <w:sz w:val="16"/>
        </w:rPr>
        <w:t xml:space="preserve"> the</w:t>
      </w:r>
      <w:r>
        <w:rPr>
          <w:rFonts w:ascii="Avenir Next"/>
          <w:spacing w:val="-7"/>
          <w:sz w:val="16"/>
        </w:rPr>
        <w:t xml:space="preserve"> </w:t>
      </w:r>
      <w:r>
        <w:rPr>
          <w:rFonts w:ascii="Avenir Next"/>
          <w:spacing w:val="-4"/>
          <w:sz w:val="16"/>
        </w:rPr>
        <w:t>two</w:t>
      </w:r>
      <w:r>
        <w:rPr>
          <w:rFonts w:ascii="Avenir Next"/>
          <w:spacing w:val="59"/>
          <w:sz w:val="16"/>
        </w:rPr>
        <w:t xml:space="preserve"> </w:t>
      </w:r>
      <w:r>
        <w:rPr>
          <w:rFonts w:ascii="Avenir Next"/>
          <w:spacing w:val="-4"/>
          <w:sz w:val="16"/>
        </w:rPr>
        <w:t>subsequent</w:t>
      </w:r>
      <w:r>
        <w:rPr>
          <w:rFonts w:ascii="Avenir Next"/>
          <w:spacing w:val="-7"/>
          <w:sz w:val="16"/>
        </w:rPr>
        <w:t xml:space="preserve"> </w:t>
      </w:r>
      <w:r>
        <w:rPr>
          <w:rFonts w:ascii="Avenir Next"/>
          <w:spacing w:val="-4"/>
          <w:sz w:val="16"/>
        </w:rPr>
        <w:t>years.</w:t>
      </w:r>
      <w:r>
        <w:rPr>
          <w:rFonts w:ascii="Avenir Next"/>
          <w:spacing w:val="-12"/>
          <w:sz w:val="16"/>
        </w:rPr>
        <w:t xml:space="preserve"> </w:t>
      </w:r>
      <w:r>
        <w:rPr>
          <w:rFonts w:ascii="Avenir Next"/>
          <w:spacing w:val="-5"/>
          <w:sz w:val="16"/>
        </w:rPr>
        <w:t>However,</w:t>
      </w:r>
      <w:r>
        <w:rPr>
          <w:rFonts w:ascii="Avenir Next"/>
          <w:spacing w:val="-12"/>
          <w:sz w:val="16"/>
        </w:rPr>
        <w:t xml:space="preserve"> </w:t>
      </w:r>
      <w:r>
        <w:rPr>
          <w:rFonts w:ascii="Avenir Next"/>
          <w:spacing w:val="-3"/>
          <w:sz w:val="16"/>
        </w:rPr>
        <w:t>this</w:t>
      </w:r>
      <w:r>
        <w:rPr>
          <w:rFonts w:ascii="Avenir Next"/>
          <w:spacing w:val="-7"/>
          <w:sz w:val="16"/>
        </w:rPr>
        <w:t xml:space="preserve"> </w:t>
      </w:r>
      <w:r>
        <w:rPr>
          <w:rFonts w:ascii="Avenir Next"/>
          <w:spacing w:val="-4"/>
          <w:sz w:val="16"/>
        </w:rPr>
        <w:t>price</w:t>
      </w:r>
      <w:r>
        <w:rPr>
          <w:rFonts w:ascii="Avenir Next"/>
          <w:spacing w:val="-7"/>
          <w:sz w:val="16"/>
        </w:rPr>
        <w:t xml:space="preserve"> </w:t>
      </w:r>
      <w:r>
        <w:rPr>
          <w:rFonts w:ascii="Avenir Next"/>
          <w:spacing w:val="-4"/>
          <w:sz w:val="16"/>
        </w:rPr>
        <w:t>path</w:t>
      </w:r>
      <w:r>
        <w:rPr>
          <w:rFonts w:ascii="Avenir Next"/>
          <w:spacing w:val="-7"/>
          <w:sz w:val="16"/>
        </w:rPr>
        <w:t xml:space="preserve"> </w:t>
      </w:r>
      <w:r>
        <w:rPr>
          <w:rFonts w:ascii="Avenir Next"/>
          <w:spacing w:val="-4"/>
          <w:sz w:val="16"/>
        </w:rPr>
        <w:t>would</w:t>
      </w:r>
      <w:r>
        <w:rPr>
          <w:rFonts w:ascii="Avenir Next"/>
          <w:spacing w:val="-7"/>
          <w:sz w:val="16"/>
        </w:rPr>
        <w:t xml:space="preserve"> </w:t>
      </w:r>
      <w:r>
        <w:rPr>
          <w:rFonts w:ascii="Avenir Next"/>
          <w:spacing w:val="-4"/>
          <w:sz w:val="16"/>
        </w:rPr>
        <w:t>mean</w:t>
      </w:r>
      <w:r>
        <w:rPr>
          <w:rFonts w:ascii="Avenir Next"/>
          <w:spacing w:val="-7"/>
          <w:sz w:val="16"/>
        </w:rPr>
        <w:t xml:space="preserve"> </w:t>
      </w:r>
      <w:r>
        <w:rPr>
          <w:rFonts w:ascii="Avenir Next"/>
          <w:spacing w:val="-4"/>
          <w:sz w:val="16"/>
        </w:rPr>
        <w:t>that</w:t>
      </w:r>
      <w:r>
        <w:rPr>
          <w:rFonts w:ascii="Avenir Next"/>
          <w:spacing w:val="-7"/>
          <w:sz w:val="16"/>
        </w:rPr>
        <w:t xml:space="preserve"> </w:t>
      </w:r>
      <w:r>
        <w:rPr>
          <w:rFonts w:ascii="Avenir Next"/>
          <w:spacing w:val="-4"/>
          <w:sz w:val="16"/>
        </w:rPr>
        <w:t>prices</w:t>
      </w:r>
      <w:r>
        <w:rPr>
          <w:rFonts w:ascii="Avenir Next"/>
          <w:spacing w:val="-7"/>
          <w:sz w:val="16"/>
        </w:rPr>
        <w:t xml:space="preserve"> </w:t>
      </w:r>
      <w:r>
        <w:rPr>
          <w:rFonts w:ascii="Avenir Next"/>
          <w:spacing w:val="-4"/>
          <w:sz w:val="16"/>
        </w:rPr>
        <w:t>would</w:t>
      </w:r>
      <w:r>
        <w:rPr>
          <w:rFonts w:ascii="Avenir Next"/>
          <w:spacing w:val="-7"/>
          <w:sz w:val="16"/>
        </w:rPr>
        <w:t xml:space="preserve"> </w:t>
      </w:r>
      <w:r>
        <w:rPr>
          <w:rFonts w:ascii="Avenir Next"/>
          <w:spacing w:val="-3"/>
          <w:sz w:val="16"/>
        </w:rPr>
        <w:t>have</w:t>
      </w:r>
      <w:r>
        <w:rPr>
          <w:rFonts w:ascii="Avenir Next"/>
          <w:spacing w:val="-7"/>
          <w:sz w:val="16"/>
        </w:rPr>
        <w:t xml:space="preserve"> </w:t>
      </w:r>
      <w:r>
        <w:rPr>
          <w:rFonts w:ascii="Avenir Next"/>
          <w:spacing w:val="-4"/>
          <w:sz w:val="16"/>
        </w:rPr>
        <w:t>decreased</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2013-14,</w:t>
      </w:r>
      <w:r>
        <w:rPr>
          <w:rFonts w:ascii="Avenir Next"/>
          <w:spacing w:val="-12"/>
          <w:sz w:val="16"/>
        </w:rPr>
        <w:t xml:space="preserve"> </w:t>
      </w:r>
      <w:r>
        <w:rPr>
          <w:rFonts w:ascii="Avenir Next"/>
          <w:spacing w:val="-4"/>
          <w:sz w:val="16"/>
        </w:rPr>
        <w:t>increased</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2014-15,</w:t>
      </w:r>
      <w:r>
        <w:rPr>
          <w:rFonts w:ascii="Avenir Next"/>
          <w:spacing w:val="81"/>
          <w:sz w:val="16"/>
        </w:rPr>
        <w:t xml:space="preserve"> </w:t>
      </w:r>
      <w:r>
        <w:rPr>
          <w:rFonts w:ascii="Avenir Next"/>
          <w:spacing w:val="-4"/>
          <w:sz w:val="16"/>
        </w:rPr>
        <w:t>fallen</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2015-16,</w:t>
      </w:r>
      <w:r>
        <w:rPr>
          <w:rFonts w:ascii="Avenir Next"/>
          <w:spacing w:val="-12"/>
          <w:sz w:val="16"/>
        </w:rPr>
        <w:t xml:space="preserve"> </w:t>
      </w:r>
      <w:r>
        <w:rPr>
          <w:rFonts w:ascii="Avenir Next"/>
          <w:spacing w:val="-3"/>
          <w:sz w:val="16"/>
        </w:rPr>
        <w:t>and</w:t>
      </w:r>
      <w:r>
        <w:rPr>
          <w:rFonts w:ascii="Avenir Next"/>
          <w:spacing w:val="-7"/>
          <w:sz w:val="16"/>
        </w:rPr>
        <w:t xml:space="preserve"> </w:t>
      </w:r>
      <w:r>
        <w:rPr>
          <w:rFonts w:ascii="Avenir Next"/>
          <w:spacing w:val="-4"/>
          <w:sz w:val="16"/>
        </w:rPr>
        <w:t>increased</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2016-17</w:t>
      </w:r>
      <w:r>
        <w:rPr>
          <w:rFonts w:ascii="Avenir Next"/>
          <w:spacing w:val="-7"/>
          <w:sz w:val="16"/>
        </w:rPr>
        <w:t xml:space="preserve"> </w:t>
      </w:r>
      <w:r>
        <w:rPr>
          <w:rFonts w:ascii="Avenir Next"/>
          <w:spacing w:val="-3"/>
          <w:sz w:val="16"/>
        </w:rPr>
        <w:t>and</w:t>
      </w:r>
      <w:r>
        <w:rPr>
          <w:rFonts w:ascii="Avenir Next"/>
          <w:spacing w:val="-7"/>
          <w:sz w:val="16"/>
        </w:rPr>
        <w:t xml:space="preserve"> </w:t>
      </w:r>
      <w:r>
        <w:rPr>
          <w:rFonts w:ascii="Avenir Next"/>
          <w:spacing w:val="-4"/>
          <w:sz w:val="16"/>
        </w:rPr>
        <w:t>2017-18.</w:t>
      </w:r>
      <w:r>
        <w:rPr>
          <w:rFonts w:ascii="Avenir Next"/>
          <w:spacing w:val="-15"/>
          <w:sz w:val="16"/>
        </w:rPr>
        <w:t xml:space="preserve"> </w:t>
      </w:r>
      <w:r>
        <w:rPr>
          <w:rFonts w:ascii="Avenir Next"/>
          <w:spacing w:val="-5"/>
          <w:sz w:val="16"/>
        </w:rPr>
        <w:t>Alternatively,</w:t>
      </w:r>
      <w:r>
        <w:rPr>
          <w:rFonts w:ascii="Avenir Next"/>
          <w:spacing w:val="-12"/>
          <w:sz w:val="16"/>
        </w:rPr>
        <w:t xml:space="preserve"> </w:t>
      </w:r>
      <w:r>
        <w:rPr>
          <w:rFonts w:ascii="Avenir Next"/>
          <w:spacing w:val="-3"/>
          <w:sz w:val="16"/>
        </w:rPr>
        <w:t>the</w:t>
      </w:r>
      <w:r>
        <w:rPr>
          <w:rFonts w:ascii="Avenir Next"/>
          <w:spacing w:val="-7"/>
          <w:sz w:val="16"/>
        </w:rPr>
        <w:t xml:space="preserve"> </w:t>
      </w:r>
      <w:r>
        <w:rPr>
          <w:rFonts w:ascii="Avenir Next"/>
          <w:spacing w:val="-5"/>
          <w:sz w:val="16"/>
        </w:rPr>
        <w:t>Panel</w:t>
      </w:r>
      <w:r>
        <w:rPr>
          <w:rFonts w:ascii="Avenir Next"/>
          <w:spacing w:val="-7"/>
          <w:sz w:val="16"/>
        </w:rPr>
        <w:t xml:space="preserve"> </w:t>
      </w:r>
      <w:r>
        <w:rPr>
          <w:rFonts w:ascii="Avenir Next"/>
          <w:spacing w:val="-4"/>
          <w:sz w:val="16"/>
        </w:rPr>
        <w:t>could</w:t>
      </w:r>
      <w:r>
        <w:rPr>
          <w:rFonts w:ascii="Avenir Next"/>
          <w:spacing w:val="-7"/>
          <w:sz w:val="16"/>
        </w:rPr>
        <w:t xml:space="preserve"> </w:t>
      </w:r>
      <w:r>
        <w:rPr>
          <w:rFonts w:ascii="Avenir Next"/>
          <w:spacing w:val="-4"/>
          <w:sz w:val="16"/>
        </w:rPr>
        <w:t>specify</w:t>
      </w:r>
      <w:r>
        <w:rPr>
          <w:rFonts w:ascii="Avenir Next"/>
          <w:spacing w:val="-7"/>
          <w:sz w:val="16"/>
        </w:rPr>
        <w:t xml:space="preserve"> </w:t>
      </w:r>
      <w:r>
        <w:rPr>
          <w:rFonts w:ascii="Avenir Next"/>
          <w:sz w:val="16"/>
        </w:rPr>
        <w:t>a</w:t>
      </w:r>
      <w:r>
        <w:rPr>
          <w:rFonts w:ascii="Avenir Next"/>
          <w:spacing w:val="-7"/>
          <w:sz w:val="16"/>
        </w:rPr>
        <w:t xml:space="preserve"> </w:t>
      </w:r>
      <w:r>
        <w:rPr>
          <w:rFonts w:ascii="Avenir Next"/>
          <w:spacing w:val="-4"/>
          <w:sz w:val="16"/>
        </w:rPr>
        <w:t>price</w:t>
      </w:r>
      <w:r>
        <w:rPr>
          <w:rFonts w:ascii="Avenir Next"/>
          <w:spacing w:val="-7"/>
          <w:sz w:val="16"/>
        </w:rPr>
        <w:t xml:space="preserve"> </w:t>
      </w:r>
      <w:r>
        <w:rPr>
          <w:rFonts w:ascii="Avenir Next"/>
          <w:spacing w:val="-4"/>
          <w:sz w:val="16"/>
        </w:rPr>
        <w:t>path</w:t>
      </w:r>
      <w:r>
        <w:rPr>
          <w:rFonts w:ascii="Avenir Next"/>
          <w:spacing w:val="-7"/>
          <w:sz w:val="16"/>
        </w:rPr>
        <w:t xml:space="preserve"> </w:t>
      </w:r>
      <w:r>
        <w:rPr>
          <w:rFonts w:ascii="Avenir Next"/>
          <w:spacing w:val="-2"/>
          <w:sz w:val="16"/>
        </w:rPr>
        <w:t>of</w:t>
      </w:r>
      <w:r>
        <w:rPr>
          <w:rFonts w:ascii="Avenir Next"/>
          <w:spacing w:val="-3"/>
          <w:sz w:val="16"/>
        </w:rPr>
        <w:t xml:space="preserve"> </w:t>
      </w:r>
      <w:r>
        <w:rPr>
          <w:rFonts w:ascii="Avenir Next"/>
          <w:spacing w:val="-4"/>
          <w:sz w:val="16"/>
        </w:rPr>
        <w:t>annual</w:t>
      </w:r>
      <w:r>
        <w:rPr>
          <w:rFonts w:ascii="Avenir Next"/>
          <w:spacing w:val="-7"/>
          <w:sz w:val="16"/>
        </w:rPr>
        <w:t xml:space="preserve"> </w:t>
      </w:r>
      <w:r>
        <w:rPr>
          <w:rFonts w:ascii="Avenir Next"/>
          <w:spacing w:val="-2"/>
          <w:sz w:val="16"/>
        </w:rPr>
        <w:t>2%</w:t>
      </w:r>
      <w:r>
        <w:rPr>
          <w:rFonts w:ascii="Avenir Next"/>
          <w:spacing w:val="-7"/>
          <w:sz w:val="16"/>
        </w:rPr>
        <w:t xml:space="preserve"> </w:t>
      </w:r>
      <w:r>
        <w:rPr>
          <w:rFonts w:ascii="Avenir Next"/>
          <w:spacing w:val="-4"/>
          <w:sz w:val="16"/>
        </w:rPr>
        <w:t>price</w:t>
      </w:r>
      <w:r>
        <w:rPr>
          <w:rFonts w:ascii="Avenir Next"/>
          <w:spacing w:val="99"/>
          <w:sz w:val="16"/>
        </w:rPr>
        <w:t xml:space="preserve"> </w:t>
      </w:r>
      <w:r>
        <w:rPr>
          <w:rFonts w:ascii="Avenir Next"/>
          <w:spacing w:val="-4"/>
          <w:sz w:val="16"/>
        </w:rPr>
        <w:t>reductions.</w:t>
      </w:r>
      <w:r>
        <w:rPr>
          <w:rFonts w:ascii="Avenir Next"/>
          <w:spacing w:val="-22"/>
          <w:sz w:val="16"/>
        </w:rPr>
        <w:t xml:space="preserve"> </w:t>
      </w:r>
      <w:r>
        <w:rPr>
          <w:rFonts w:ascii="Avenir Next"/>
          <w:spacing w:val="-5"/>
          <w:sz w:val="16"/>
        </w:rPr>
        <w:t>However,</w:t>
      </w:r>
      <w:r>
        <w:rPr>
          <w:rFonts w:ascii="Avenir Next"/>
          <w:spacing w:val="-12"/>
          <w:sz w:val="16"/>
        </w:rPr>
        <w:t xml:space="preserve"> </w:t>
      </w:r>
      <w:r>
        <w:rPr>
          <w:rFonts w:ascii="Avenir Next"/>
          <w:spacing w:val="-3"/>
          <w:sz w:val="16"/>
        </w:rPr>
        <w:t>this</w:t>
      </w:r>
      <w:r>
        <w:rPr>
          <w:rFonts w:ascii="Avenir Next"/>
          <w:spacing w:val="-7"/>
          <w:sz w:val="16"/>
        </w:rPr>
        <w:t xml:space="preserve"> </w:t>
      </w:r>
      <w:r>
        <w:rPr>
          <w:rFonts w:ascii="Avenir Next"/>
          <w:spacing w:val="-4"/>
          <w:sz w:val="16"/>
        </w:rPr>
        <w:t>price</w:t>
      </w:r>
      <w:r>
        <w:rPr>
          <w:rFonts w:ascii="Avenir Next"/>
          <w:spacing w:val="-7"/>
          <w:sz w:val="16"/>
        </w:rPr>
        <w:t xml:space="preserve"> </w:t>
      </w:r>
      <w:r>
        <w:rPr>
          <w:rFonts w:ascii="Avenir Next"/>
          <w:spacing w:val="-4"/>
          <w:sz w:val="16"/>
        </w:rPr>
        <w:t>path</w:t>
      </w:r>
      <w:r>
        <w:rPr>
          <w:rFonts w:ascii="Avenir Next"/>
          <w:spacing w:val="-7"/>
          <w:sz w:val="16"/>
        </w:rPr>
        <w:t xml:space="preserve"> </w:t>
      </w:r>
      <w:r>
        <w:rPr>
          <w:rFonts w:ascii="Avenir Next"/>
          <w:spacing w:val="-4"/>
          <w:sz w:val="16"/>
        </w:rPr>
        <w:t>would</w:t>
      </w:r>
      <w:r>
        <w:rPr>
          <w:rFonts w:ascii="Avenir Next"/>
          <w:spacing w:val="-7"/>
          <w:sz w:val="16"/>
        </w:rPr>
        <w:t xml:space="preserve"> </w:t>
      </w:r>
      <w:r>
        <w:rPr>
          <w:rFonts w:ascii="Avenir Next"/>
          <w:spacing w:val="-4"/>
          <w:sz w:val="16"/>
        </w:rPr>
        <w:t>result</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prices</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2017-18</w:t>
      </w:r>
      <w:r>
        <w:rPr>
          <w:rFonts w:ascii="Avenir Next"/>
          <w:spacing w:val="-7"/>
          <w:sz w:val="16"/>
        </w:rPr>
        <w:t xml:space="preserve"> </w:t>
      </w:r>
      <w:r>
        <w:rPr>
          <w:rFonts w:ascii="Avenir Next"/>
          <w:spacing w:val="-4"/>
          <w:sz w:val="16"/>
        </w:rPr>
        <w:t>that</w:t>
      </w:r>
      <w:r>
        <w:rPr>
          <w:rFonts w:ascii="Avenir Next"/>
          <w:spacing w:val="-7"/>
          <w:sz w:val="16"/>
        </w:rPr>
        <w:t xml:space="preserve"> </w:t>
      </w:r>
      <w:r>
        <w:rPr>
          <w:rFonts w:ascii="Avenir Next"/>
          <w:spacing w:val="-4"/>
          <w:sz w:val="16"/>
        </w:rPr>
        <w:t>are</w:t>
      </w:r>
      <w:r>
        <w:rPr>
          <w:rFonts w:ascii="Avenir Next"/>
          <w:spacing w:val="-7"/>
          <w:sz w:val="16"/>
        </w:rPr>
        <w:t xml:space="preserve"> </w:t>
      </w:r>
      <w:r>
        <w:rPr>
          <w:rFonts w:ascii="Avenir Next"/>
          <w:spacing w:val="-4"/>
          <w:sz w:val="16"/>
        </w:rPr>
        <w:t>lower</w:t>
      </w:r>
      <w:r>
        <w:rPr>
          <w:rFonts w:ascii="Avenir Next"/>
          <w:spacing w:val="-7"/>
          <w:sz w:val="16"/>
        </w:rPr>
        <w:t xml:space="preserve"> </w:t>
      </w:r>
      <w:r>
        <w:rPr>
          <w:rFonts w:ascii="Avenir Next"/>
          <w:spacing w:val="-4"/>
          <w:sz w:val="16"/>
        </w:rPr>
        <w:t>those</w:t>
      </w:r>
      <w:r>
        <w:rPr>
          <w:rFonts w:ascii="Avenir Next"/>
          <w:spacing w:val="-7"/>
          <w:sz w:val="16"/>
        </w:rPr>
        <w:t xml:space="preserve"> </w:t>
      </w:r>
      <w:r>
        <w:rPr>
          <w:rFonts w:ascii="Avenir Next"/>
          <w:spacing w:val="-5"/>
          <w:sz w:val="16"/>
        </w:rPr>
        <w:t>required</w:t>
      </w:r>
      <w:r>
        <w:rPr>
          <w:rFonts w:ascii="Avenir Next"/>
          <w:spacing w:val="-7"/>
          <w:sz w:val="16"/>
        </w:rPr>
        <w:t xml:space="preserve"> </w:t>
      </w:r>
      <w:r>
        <w:rPr>
          <w:rFonts w:ascii="Avenir Next"/>
          <w:spacing w:val="-2"/>
          <w:sz w:val="16"/>
        </w:rPr>
        <w:t>to</w:t>
      </w:r>
      <w:r>
        <w:rPr>
          <w:rFonts w:ascii="Avenir Next"/>
          <w:spacing w:val="-7"/>
          <w:sz w:val="16"/>
        </w:rPr>
        <w:t xml:space="preserve"> </w:t>
      </w:r>
      <w:r>
        <w:rPr>
          <w:rFonts w:ascii="Avenir Next"/>
          <w:spacing w:val="-4"/>
          <w:sz w:val="16"/>
        </w:rPr>
        <w:t>recover</w:t>
      </w:r>
      <w:r>
        <w:rPr>
          <w:rFonts w:ascii="Avenir Next"/>
          <w:spacing w:val="-7"/>
          <w:sz w:val="16"/>
        </w:rPr>
        <w:t xml:space="preserve"> </w:t>
      </w:r>
      <w:r>
        <w:rPr>
          <w:rFonts w:ascii="Avenir Next"/>
          <w:spacing w:val="-3"/>
          <w:sz w:val="16"/>
        </w:rPr>
        <w:t>the</w:t>
      </w:r>
      <w:r>
        <w:rPr>
          <w:rFonts w:ascii="Avenir Next"/>
          <w:spacing w:val="-7"/>
          <w:sz w:val="16"/>
        </w:rPr>
        <w:t xml:space="preserve"> </w:t>
      </w:r>
      <w:r>
        <w:rPr>
          <w:rFonts w:ascii="Avenir Next"/>
          <w:spacing w:val="-5"/>
          <w:sz w:val="16"/>
        </w:rPr>
        <w:t>revenue</w:t>
      </w:r>
      <w:r>
        <w:rPr>
          <w:rFonts w:ascii="Avenir Next"/>
          <w:spacing w:val="99"/>
          <w:sz w:val="16"/>
        </w:rPr>
        <w:t xml:space="preserve"> </w:t>
      </w:r>
      <w:r>
        <w:rPr>
          <w:rFonts w:ascii="Avenir Next"/>
          <w:spacing w:val="-5"/>
          <w:sz w:val="16"/>
        </w:rPr>
        <w:t>requirement</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4"/>
          <w:sz w:val="16"/>
        </w:rPr>
        <w:t>2017-18,</w:t>
      </w:r>
      <w:r>
        <w:rPr>
          <w:rFonts w:ascii="Avenir Next"/>
          <w:spacing w:val="-12"/>
          <w:sz w:val="16"/>
        </w:rPr>
        <w:t xml:space="preserve"> </w:t>
      </w:r>
      <w:r>
        <w:rPr>
          <w:rFonts w:ascii="Avenir Next"/>
          <w:spacing w:val="-4"/>
          <w:sz w:val="16"/>
        </w:rPr>
        <w:t>meaning</w:t>
      </w:r>
      <w:r>
        <w:rPr>
          <w:rFonts w:ascii="Avenir Next"/>
          <w:spacing w:val="-7"/>
          <w:sz w:val="16"/>
        </w:rPr>
        <w:t xml:space="preserve"> </w:t>
      </w:r>
      <w:r>
        <w:rPr>
          <w:rFonts w:ascii="Avenir Next"/>
          <w:spacing w:val="-4"/>
          <w:sz w:val="16"/>
        </w:rPr>
        <w:t>that</w:t>
      </w:r>
      <w:r>
        <w:rPr>
          <w:rFonts w:ascii="Avenir Next"/>
          <w:spacing w:val="-7"/>
          <w:sz w:val="16"/>
        </w:rPr>
        <w:t xml:space="preserve"> </w:t>
      </w:r>
      <w:r>
        <w:rPr>
          <w:rFonts w:ascii="Avenir Next"/>
          <w:spacing w:val="-4"/>
          <w:sz w:val="16"/>
        </w:rPr>
        <w:t>prices</w:t>
      </w:r>
      <w:r>
        <w:rPr>
          <w:rFonts w:ascii="Avenir Next"/>
          <w:spacing w:val="-7"/>
          <w:sz w:val="16"/>
        </w:rPr>
        <w:t xml:space="preserve"> </w:t>
      </w:r>
      <w:r>
        <w:rPr>
          <w:rFonts w:ascii="Avenir Next"/>
          <w:spacing w:val="-4"/>
          <w:sz w:val="16"/>
        </w:rPr>
        <w:t>would</w:t>
      </w:r>
      <w:r>
        <w:rPr>
          <w:rFonts w:ascii="Avenir Next"/>
          <w:spacing w:val="-7"/>
          <w:sz w:val="16"/>
        </w:rPr>
        <w:t xml:space="preserve"> </w:t>
      </w:r>
      <w:r>
        <w:rPr>
          <w:rFonts w:ascii="Avenir Next"/>
          <w:spacing w:val="-4"/>
          <w:sz w:val="16"/>
        </w:rPr>
        <w:t>likely</w:t>
      </w:r>
      <w:r>
        <w:rPr>
          <w:rFonts w:ascii="Avenir Next"/>
          <w:spacing w:val="-7"/>
          <w:sz w:val="16"/>
        </w:rPr>
        <w:t xml:space="preserve"> </w:t>
      </w:r>
      <w:r>
        <w:rPr>
          <w:rFonts w:ascii="Avenir Next"/>
          <w:spacing w:val="-3"/>
          <w:sz w:val="16"/>
        </w:rPr>
        <w:t>need</w:t>
      </w:r>
      <w:r>
        <w:rPr>
          <w:rFonts w:ascii="Avenir Next"/>
          <w:spacing w:val="-7"/>
          <w:sz w:val="16"/>
        </w:rPr>
        <w:t xml:space="preserve"> </w:t>
      </w:r>
      <w:r>
        <w:rPr>
          <w:rFonts w:ascii="Avenir Next"/>
          <w:spacing w:val="-2"/>
          <w:sz w:val="16"/>
        </w:rPr>
        <w:t>to</w:t>
      </w:r>
      <w:r>
        <w:rPr>
          <w:rFonts w:ascii="Avenir Next"/>
          <w:spacing w:val="-7"/>
          <w:sz w:val="16"/>
        </w:rPr>
        <w:t xml:space="preserve"> </w:t>
      </w:r>
      <w:r>
        <w:rPr>
          <w:rFonts w:ascii="Avenir Next"/>
          <w:spacing w:val="-3"/>
          <w:sz w:val="16"/>
        </w:rPr>
        <w:t>rise</w:t>
      </w:r>
      <w:r>
        <w:rPr>
          <w:rFonts w:ascii="Avenir Next"/>
          <w:spacing w:val="-7"/>
          <w:sz w:val="16"/>
        </w:rPr>
        <w:t xml:space="preserve"> </w:t>
      </w:r>
      <w:r>
        <w:rPr>
          <w:rFonts w:ascii="Avenir Next"/>
          <w:spacing w:val="-2"/>
          <w:sz w:val="16"/>
        </w:rPr>
        <w:t>in</w:t>
      </w:r>
      <w:r>
        <w:rPr>
          <w:rFonts w:ascii="Avenir Next"/>
          <w:spacing w:val="-7"/>
          <w:sz w:val="16"/>
        </w:rPr>
        <w:t xml:space="preserve"> </w:t>
      </w:r>
      <w:r>
        <w:rPr>
          <w:rFonts w:ascii="Avenir Next"/>
          <w:spacing w:val="-3"/>
          <w:sz w:val="16"/>
        </w:rPr>
        <w:t>the</w:t>
      </w:r>
      <w:r>
        <w:rPr>
          <w:rFonts w:ascii="Avenir Next"/>
          <w:spacing w:val="-7"/>
          <w:sz w:val="16"/>
        </w:rPr>
        <w:t xml:space="preserve"> </w:t>
      </w:r>
      <w:r>
        <w:rPr>
          <w:rFonts w:ascii="Avenir Next"/>
          <w:spacing w:val="-4"/>
          <w:sz w:val="16"/>
        </w:rPr>
        <w:t>following</w:t>
      </w:r>
      <w:r>
        <w:rPr>
          <w:rFonts w:ascii="Avenir Next"/>
          <w:spacing w:val="-7"/>
          <w:sz w:val="16"/>
        </w:rPr>
        <w:t xml:space="preserve"> </w:t>
      </w:r>
      <w:r>
        <w:rPr>
          <w:rFonts w:ascii="Avenir Next"/>
          <w:spacing w:val="-4"/>
          <w:sz w:val="16"/>
        </w:rPr>
        <w:t>regulatory</w:t>
      </w:r>
      <w:r>
        <w:rPr>
          <w:rFonts w:ascii="Avenir Next"/>
          <w:spacing w:val="-7"/>
          <w:sz w:val="16"/>
        </w:rPr>
        <w:t xml:space="preserve"> </w:t>
      </w:r>
      <w:r>
        <w:rPr>
          <w:rFonts w:ascii="Avenir Next"/>
          <w:spacing w:val="-4"/>
          <w:sz w:val="16"/>
        </w:rPr>
        <w:t>period.</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256" w:hanging="283"/>
      </w:pPr>
      <w:r>
        <w:t>Second,</w:t>
      </w:r>
      <w:r>
        <w:rPr>
          <w:spacing w:val="-10"/>
        </w:rPr>
        <w:t xml:space="preserve"> </w:t>
      </w:r>
      <w:r>
        <w:rPr>
          <w:spacing w:val="-2"/>
        </w:rPr>
        <w:t>ACTEW</w:t>
      </w:r>
      <w:r>
        <w:rPr>
          <w:spacing w:val="-3"/>
        </w:rPr>
        <w:t xml:space="preserve"> </w:t>
      </w:r>
      <w:r>
        <w:t xml:space="preserve">is </w:t>
      </w:r>
      <w:r>
        <w:rPr>
          <w:spacing w:val="-1"/>
        </w:rPr>
        <w:t>expected</w:t>
      </w:r>
      <w:r>
        <w:t xml:space="preserve"> to </w:t>
      </w:r>
      <w:r>
        <w:rPr>
          <w:spacing w:val="-1"/>
        </w:rPr>
        <w:t>earn</w:t>
      </w:r>
      <w:r>
        <w:t xml:space="preserve"> </w:t>
      </w:r>
      <w:r>
        <w:rPr>
          <w:spacing w:val="-1"/>
        </w:rPr>
        <w:t>approximately</w:t>
      </w:r>
      <w:r>
        <w:t xml:space="preserve"> $10.6 million </w:t>
      </w:r>
      <w:r>
        <w:rPr>
          <w:spacing w:val="-1"/>
        </w:rPr>
        <w:t>more</w:t>
      </w:r>
      <w:r>
        <w:t xml:space="preserve"> </w:t>
      </w:r>
      <w:r>
        <w:rPr>
          <w:spacing w:val="-1"/>
        </w:rPr>
        <w:t>revenue</w:t>
      </w:r>
      <w:r>
        <w:t xml:space="preserve"> than the net </w:t>
      </w:r>
      <w:r>
        <w:rPr>
          <w:spacing w:val="-1"/>
        </w:rPr>
        <w:t>revenue</w:t>
      </w:r>
      <w:r>
        <w:rPr>
          <w:spacing w:val="47"/>
        </w:rPr>
        <w:t xml:space="preserve"> </w:t>
      </w:r>
      <w:r>
        <w:rPr>
          <w:rFonts w:cs="Avenir Next"/>
          <w:spacing w:val="-1"/>
        </w:rPr>
        <w:t>requirement</w:t>
      </w:r>
      <w:r>
        <w:rPr>
          <w:rFonts w:cs="Avenir Next"/>
        </w:rPr>
        <w:t xml:space="preserve"> for these two </w:t>
      </w:r>
      <w:r>
        <w:rPr>
          <w:rFonts w:cs="Avenir Next"/>
          <w:spacing w:val="-1"/>
        </w:rPr>
        <w:t>years</w:t>
      </w:r>
      <w:r>
        <w:rPr>
          <w:rFonts w:cs="Avenir Next"/>
        </w:rPr>
        <w:t xml:space="preserve"> (see</w:t>
      </w:r>
      <w:r>
        <w:rPr>
          <w:rFonts w:cs="Avenir Next"/>
          <w:spacing w:val="-5"/>
        </w:rPr>
        <w:t xml:space="preserve"> </w:t>
      </w:r>
      <w:hyperlink w:anchor="_bookmark125" w:history="1">
        <w:r>
          <w:rPr>
            <w:spacing w:val="-4"/>
          </w:rPr>
          <w:t>Table</w:t>
        </w:r>
        <w:r>
          <w:t xml:space="preserve"> 13.7</w:t>
        </w:r>
      </w:hyperlink>
      <w:r>
        <w:t>).</w:t>
      </w:r>
      <w:r>
        <w:rPr>
          <w:spacing w:val="-11"/>
        </w:rPr>
        <w:t xml:space="preserve"> </w:t>
      </w:r>
      <w:r>
        <w:rPr>
          <w:spacing w:val="-2"/>
        </w:rPr>
        <w:t>The</w:t>
      </w:r>
      <w:r>
        <w:t xml:space="preserve"> ‘true up’ adjustment </w:t>
      </w:r>
      <w:r>
        <w:rPr>
          <w:spacing w:val="-1"/>
        </w:rPr>
        <w:t>takes</w:t>
      </w:r>
      <w:r>
        <w:t xml:space="preserve"> this over </w:t>
      </w:r>
      <w:r>
        <w:rPr>
          <w:spacing w:val="-1"/>
        </w:rPr>
        <w:t>recovery</w:t>
      </w:r>
      <w:r>
        <w:rPr>
          <w:spacing w:val="27"/>
        </w:rPr>
        <w:t xml:space="preserve"> </w:t>
      </w:r>
      <w:r>
        <w:rPr>
          <w:rFonts w:cs="Avenir Next"/>
        </w:rPr>
        <w:t>into account,</w:t>
      </w:r>
      <w:r>
        <w:rPr>
          <w:rFonts w:cs="Avenir Next"/>
          <w:spacing w:val="-7"/>
        </w:rPr>
        <w:t xml:space="preserve"> </w:t>
      </w:r>
      <w:r>
        <w:rPr>
          <w:rFonts w:cs="Avenir Next"/>
          <w:spacing w:val="-1"/>
        </w:rPr>
        <w:t>effectively</w:t>
      </w:r>
      <w:r>
        <w:rPr>
          <w:rFonts w:cs="Avenir Next"/>
        </w:rPr>
        <w:t xml:space="preserve"> </w:t>
      </w:r>
      <w:r>
        <w:rPr>
          <w:rFonts w:cs="Avenir Next"/>
          <w:spacing w:val="-1"/>
        </w:rPr>
        <w:t>reducing</w:t>
      </w:r>
      <w:r>
        <w:rPr>
          <w:rFonts w:cs="Avenir Next"/>
        </w:rPr>
        <w:t xml:space="preserve"> the </w:t>
      </w:r>
      <w:r>
        <w:rPr>
          <w:rFonts w:cs="Avenir Next"/>
          <w:spacing w:val="-1"/>
        </w:rPr>
        <w:t>revenue</w:t>
      </w:r>
      <w:r>
        <w:rPr>
          <w:rFonts w:cs="Avenir Next"/>
        </w:rPr>
        <w:t xml:space="preserve"> </w:t>
      </w:r>
      <w:r>
        <w:rPr>
          <w:rFonts w:cs="Avenir Next"/>
          <w:spacing w:val="-1"/>
        </w:rPr>
        <w:t>that</w:t>
      </w:r>
      <w:r>
        <w:rPr>
          <w:rFonts w:cs="Avenir Next"/>
        </w:rPr>
        <w:t xml:space="preserve"> needs to be </w:t>
      </w:r>
      <w:r>
        <w:rPr>
          <w:rFonts w:cs="Avenir Next"/>
          <w:spacing w:val="-1"/>
        </w:rPr>
        <w:t>recovered</w:t>
      </w:r>
      <w:r>
        <w:rPr>
          <w:rFonts w:cs="Avenir Next"/>
        </w:rPr>
        <w:t xml:space="preserve"> </w:t>
      </w:r>
      <w:r>
        <w:rPr>
          <w:rFonts w:cs="Avenir Next"/>
          <w:spacing w:val="-1"/>
        </w:rPr>
        <w:t>through</w:t>
      </w:r>
      <w:r>
        <w:rPr>
          <w:rFonts w:cs="Avenir Next"/>
        </w:rPr>
        <w:t xml:space="preserve"> prices in the</w:t>
      </w:r>
      <w:r>
        <w:rPr>
          <w:rFonts w:cs="Avenir Next"/>
          <w:spacing w:val="39"/>
        </w:rPr>
        <w:t xml:space="preserve"> </w:t>
      </w:r>
      <w:r>
        <w:t>balance of</w:t>
      </w:r>
      <w:r>
        <w:rPr>
          <w:spacing w:val="4"/>
        </w:rPr>
        <w:t xml:space="preserve"> </w:t>
      </w:r>
      <w:r>
        <w:t xml:space="preserve">the </w:t>
      </w:r>
      <w:r>
        <w:rPr>
          <w:spacing w:val="-1"/>
        </w:rPr>
        <w:t>regulatory</w:t>
      </w:r>
      <w:r>
        <w:t xml:space="preserve"> period.</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bookmarkStart w:id="201" w:name="_bookmark130"/>
      <w:bookmarkEnd w:id="201"/>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14.3: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Indicative</w:t>
      </w:r>
      <w:r>
        <w:rPr>
          <w:rFonts w:ascii="Avenir Next" w:eastAsia="Avenir Next" w:hAnsi="Avenir Next" w:cs="Avenir Next"/>
          <w:b/>
          <w:bCs/>
          <w:sz w:val="20"/>
          <w:szCs w:val="20"/>
        </w:rPr>
        <w:t xml:space="preserve"> maximum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264"/>
        <w:gridCol w:w="1427"/>
        <w:gridCol w:w="1428"/>
        <w:gridCol w:w="1427"/>
        <w:gridCol w:w="1427"/>
        <w:gridCol w:w="1428"/>
      </w:tblGrid>
      <w:tr w:rsidR="00D96B91">
        <w:trPr>
          <w:trHeight w:hRule="exact" w:val="407"/>
        </w:trPr>
        <w:tc>
          <w:tcPr>
            <w:tcW w:w="2264"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4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4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4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4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4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2264" w:type="dxa"/>
            <w:vMerge/>
            <w:tcBorders>
              <w:left w:val="single" w:sz="4" w:space="0" w:color="1A9EDA"/>
              <w:bottom w:val="single" w:sz="4" w:space="0" w:color="1A9EDA"/>
              <w:right w:val="single" w:sz="4" w:space="0" w:color="1A9EDA"/>
            </w:tcBorders>
            <w:shd w:val="clear" w:color="auto" w:fill="0778BE"/>
          </w:tcPr>
          <w:p w:rsidR="00D96B91" w:rsidRDefault="00D96B91"/>
        </w:tc>
        <w:tc>
          <w:tcPr>
            <w:tcW w:w="2855"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61167">
            <w:pPr>
              <w:pStyle w:val="TableParagraph"/>
              <w:spacing w:before="112" w:line="220" w:lineRule="exact"/>
              <w:ind w:left="653" w:right="407" w:firstLine="63"/>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payable under</w:t>
            </w:r>
            <w:r>
              <w:rPr>
                <w:rFonts w:ascii="Avenir Next Condensed"/>
                <w:b/>
                <w:color w:val="FFFFFF"/>
                <w:spacing w:val="21"/>
                <w:sz w:val="18"/>
              </w:rPr>
              <w:t xml:space="preserve"> </w:t>
            </w:r>
            <w:r>
              <w:rPr>
                <w:rFonts w:ascii="Avenir Next Condensed"/>
                <w:b/>
                <w:color w:val="FFFFFF"/>
                <w:sz w:val="18"/>
              </w:rPr>
              <w:t xml:space="preserve">original price </w:t>
            </w:r>
            <w:r>
              <w:rPr>
                <w:rFonts w:ascii="Avenir Next Condensed"/>
                <w:b/>
                <w:color w:val="FFFFFF"/>
                <w:spacing w:val="-1"/>
                <w:sz w:val="18"/>
              </w:rPr>
              <w:t>direction</w:t>
            </w:r>
          </w:p>
        </w:tc>
        <w:tc>
          <w:tcPr>
            <w:tcW w:w="4282"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jc w:val="center"/>
              <w:rPr>
                <w:rFonts w:ascii="Avenir Next Condensed" w:eastAsia="Avenir Next Condensed" w:hAnsi="Avenir Next Condensed" w:cs="Avenir Next Condensed"/>
                <w:sz w:val="18"/>
                <w:szCs w:val="18"/>
              </w:rPr>
            </w:pPr>
            <w:r>
              <w:rPr>
                <w:rFonts w:ascii="Avenir Next Condensed"/>
                <w:b/>
                <w:color w:val="FFFFFF"/>
                <w:sz w:val="18"/>
              </w:rPr>
              <w:t>Indicative estimates</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Water</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100.00</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449"/>
              <w:rPr>
                <w:rFonts w:ascii="Avenir Next Condensed" w:eastAsia="Avenir Next Condensed" w:hAnsi="Avenir Next Condensed" w:cs="Avenir Next Condensed"/>
                <w:sz w:val="18"/>
                <w:szCs w:val="18"/>
              </w:rPr>
            </w:pPr>
            <w:r>
              <w:rPr>
                <w:rFonts w:ascii="Avenir Next Condensed"/>
                <w:sz w:val="18"/>
              </w:rPr>
              <w:t>102.56</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
              <w:jc w:val="center"/>
              <w:rPr>
                <w:rFonts w:ascii="Avenir Next Condensed" w:eastAsia="Avenir Next Condensed" w:hAnsi="Avenir Next Condensed" w:cs="Avenir Next Condensed"/>
                <w:sz w:val="18"/>
                <w:szCs w:val="18"/>
              </w:rPr>
            </w:pPr>
            <w:r>
              <w:rPr>
                <w:rFonts w:ascii="Avenir Next Condensed"/>
                <w:sz w:val="18"/>
              </w:rPr>
              <w:t>97.21</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
              <w:jc w:val="center"/>
              <w:rPr>
                <w:rFonts w:ascii="Avenir Next Condensed" w:eastAsia="Avenir Next Condensed" w:hAnsi="Avenir Next Condensed" w:cs="Avenir Next Condensed"/>
                <w:sz w:val="18"/>
                <w:szCs w:val="18"/>
              </w:rPr>
            </w:pPr>
            <w:r>
              <w:rPr>
                <w:rFonts w:ascii="Avenir Next Condensed"/>
                <w:sz w:val="18"/>
              </w:rPr>
              <w:t>97.21</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
              <w:jc w:val="center"/>
              <w:rPr>
                <w:rFonts w:ascii="Avenir Next Condensed" w:eastAsia="Avenir Next Condensed" w:hAnsi="Avenir Next Condensed" w:cs="Avenir Next Condensed"/>
                <w:sz w:val="18"/>
                <w:szCs w:val="18"/>
              </w:rPr>
            </w:pPr>
            <w:r>
              <w:rPr>
                <w:rFonts w:ascii="Avenir Next Condensed"/>
                <w:sz w:val="18"/>
              </w:rPr>
              <w:t>97.21</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2.55</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2.64</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2.50</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2.50</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2.50</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5.10</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5.29</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5.01</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5.01</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jc w:val="center"/>
              <w:rPr>
                <w:rFonts w:ascii="Avenir Next Condensed" w:eastAsia="Avenir Next Condensed" w:hAnsi="Avenir Next Condensed" w:cs="Avenir Next Condensed"/>
                <w:sz w:val="18"/>
                <w:szCs w:val="18"/>
              </w:rPr>
            </w:pPr>
            <w:r>
              <w:rPr>
                <w:rFonts w:ascii="Avenir Next Condensed"/>
                <w:sz w:val="18"/>
              </w:rPr>
              <w:t>5.01</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z w:val="18"/>
              </w:rPr>
              <w:t xml:space="preserve">% Change on </w:t>
            </w:r>
            <w:r>
              <w:rPr>
                <w:rFonts w:ascii="Avenir Next Condensed"/>
                <w:b/>
                <w:spacing w:val="-1"/>
                <w:sz w:val="18"/>
              </w:rPr>
              <w:t>Previous</w:t>
            </w:r>
            <w:r>
              <w:rPr>
                <w:rFonts w:ascii="Avenir Next Condensed"/>
                <w:b/>
                <w:spacing w:val="-5"/>
                <w:sz w:val="18"/>
              </w:rPr>
              <w:t xml:space="preserve"> </w:t>
            </w:r>
            <w:r>
              <w:rPr>
                <w:rFonts w:ascii="Avenir Next Condensed"/>
                <w:b/>
                <w:spacing w:val="-3"/>
                <w:sz w:val="18"/>
              </w:rPr>
              <w:t>Year</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0.2%</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2.6%</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
              <w:jc w:val="center"/>
              <w:rPr>
                <w:rFonts w:ascii="Avenir Next Condensed" w:eastAsia="Avenir Next Condensed" w:hAnsi="Avenir Next Condensed" w:cs="Avenir Next Condensed"/>
                <w:sz w:val="18"/>
                <w:szCs w:val="18"/>
              </w:rPr>
            </w:pPr>
            <w:r>
              <w:rPr>
                <w:rFonts w:ascii="Avenir Next Condensed"/>
                <w:sz w:val="18"/>
              </w:rPr>
              <w:t>-5.2%</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4.9%</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3.5%</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
              <w:jc w:val="center"/>
              <w:rPr>
                <w:rFonts w:ascii="Avenir Next Condensed" w:eastAsia="Avenir Next Condensed" w:hAnsi="Avenir Next Condensed" w:cs="Avenir Next Condensed"/>
                <w:sz w:val="18"/>
                <w:szCs w:val="18"/>
              </w:rPr>
            </w:pPr>
            <w:r>
              <w:rPr>
                <w:rFonts w:ascii="Avenir Next Condensed"/>
                <w:sz w:val="18"/>
              </w:rPr>
              <w:t>-5.2%</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4.9%</w:t>
            </w:r>
          </w:p>
        </w:tc>
        <w:tc>
          <w:tcPr>
            <w:tcW w:w="142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3.7%</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3"/>
              <w:jc w:val="center"/>
              <w:rPr>
                <w:rFonts w:ascii="Avenir Next Condensed" w:eastAsia="Avenir Next Condensed" w:hAnsi="Avenir Next Condensed" w:cs="Avenir Next Condensed"/>
                <w:sz w:val="18"/>
                <w:szCs w:val="18"/>
              </w:rPr>
            </w:pPr>
            <w:r>
              <w:rPr>
                <w:rFonts w:ascii="Avenir Next Condensed"/>
                <w:sz w:val="18"/>
              </w:rPr>
              <w:t>-5.2%</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c>
          <w:tcPr>
            <w:tcW w:w="14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84"/>
              <w:jc w:val="center"/>
              <w:rPr>
                <w:rFonts w:ascii="Avenir Next Condensed" w:eastAsia="Avenir Next Condensed" w:hAnsi="Avenir Next Condensed" w:cs="Avenir Next Condensed"/>
                <w:sz w:val="18"/>
                <w:szCs w:val="18"/>
              </w:rPr>
            </w:pPr>
            <w:r>
              <w:rPr>
                <w:rFonts w:ascii="Avenir Next Condensed"/>
                <w:sz w:val="18"/>
              </w:rPr>
              <w:t>0.0%</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548"/>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w:t>
      </w:r>
      <w:r>
        <w:rPr>
          <w:rFonts w:ascii="Avenir Next"/>
          <w:spacing w:val="-1"/>
          <w:sz w:val="16"/>
        </w:rPr>
        <w:t>estimates</w:t>
      </w:r>
      <w:r>
        <w:rPr>
          <w:rFonts w:ascii="Avenir Next"/>
          <w:sz w:val="16"/>
        </w:rPr>
        <w:t xml:space="preserve"> assume </w:t>
      </w:r>
      <w:r>
        <w:rPr>
          <w:rFonts w:ascii="Avenir Next"/>
          <w:spacing w:val="-1"/>
          <w:sz w:val="16"/>
        </w:rPr>
        <w:t>inflation</w:t>
      </w:r>
      <w:r>
        <w:rPr>
          <w:rFonts w:ascii="Avenir Next"/>
          <w:sz w:val="16"/>
        </w:rPr>
        <w:t xml:space="preserve"> of</w:t>
      </w:r>
      <w:r>
        <w:rPr>
          <w:rFonts w:ascii="Avenir Next"/>
          <w:spacing w:val="2"/>
          <w:sz w:val="16"/>
        </w:rPr>
        <w:t xml:space="preserve"> </w:t>
      </w:r>
      <w:r>
        <w:rPr>
          <w:rFonts w:ascii="Avenir Next"/>
          <w:sz w:val="16"/>
        </w:rPr>
        <w:t xml:space="preserve">2.5% pa and no </w:t>
      </w:r>
      <w:r>
        <w:rPr>
          <w:rFonts w:ascii="Avenir Next"/>
          <w:spacing w:val="-1"/>
          <w:sz w:val="16"/>
        </w:rPr>
        <w:t>material</w:t>
      </w:r>
      <w:r>
        <w:rPr>
          <w:rFonts w:ascii="Avenir Next"/>
          <w:sz w:val="16"/>
        </w:rPr>
        <w:t xml:space="preserve"> changes</w:t>
      </w:r>
      <w:r>
        <w:rPr>
          <w:rFonts w:ascii="Avenir Next"/>
          <w:spacing w:val="-1"/>
          <w:sz w:val="16"/>
        </w:rPr>
        <w:t xml:space="preserve"> </w:t>
      </w:r>
      <w:r>
        <w:rPr>
          <w:rFonts w:ascii="Avenir Next"/>
          <w:sz w:val="16"/>
        </w:rPr>
        <w:t xml:space="preserve">in costs or Government </w:t>
      </w:r>
      <w:r>
        <w:rPr>
          <w:rFonts w:ascii="Avenir Next"/>
          <w:spacing w:val="-1"/>
          <w:sz w:val="16"/>
        </w:rPr>
        <w:t>charges</w:t>
      </w:r>
      <w:r>
        <w:rPr>
          <w:rFonts w:ascii="Avenir Next"/>
          <w:sz w:val="16"/>
        </w:rPr>
        <w:t xml:space="preserve"> </w:t>
      </w:r>
      <w:r>
        <w:rPr>
          <w:rFonts w:ascii="Avenir Next"/>
          <w:spacing w:val="-1"/>
          <w:sz w:val="16"/>
        </w:rPr>
        <w:t xml:space="preserve">that </w:t>
      </w:r>
      <w:r>
        <w:rPr>
          <w:rFonts w:ascii="Avenir Next"/>
          <w:sz w:val="16"/>
        </w:rPr>
        <w:t>would</w:t>
      </w:r>
      <w:r>
        <w:rPr>
          <w:rFonts w:ascii="Avenir Next"/>
          <w:spacing w:val="69"/>
          <w:sz w:val="16"/>
        </w:rPr>
        <w:t xml:space="preserve"> </w:t>
      </w:r>
      <w:r>
        <w:rPr>
          <w:rFonts w:ascii="Avenir Next"/>
          <w:sz w:val="16"/>
        </w:rPr>
        <w:t xml:space="preserve">trigger the 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56"/>
      </w:pPr>
      <w:r>
        <w:rPr>
          <w:spacing w:val="-2"/>
        </w:rPr>
        <w:t>ACTEW’s</w:t>
      </w:r>
      <w:r>
        <w:t xml:space="preserve"> SOFC did not set out its </w:t>
      </w:r>
      <w:r>
        <w:rPr>
          <w:spacing w:val="-1"/>
        </w:rPr>
        <w:t>proposed</w:t>
      </w:r>
      <w:r>
        <w:t xml:space="preserve"> </w:t>
      </w:r>
      <w:r>
        <w:rPr>
          <w:spacing w:val="-1"/>
        </w:rPr>
        <w:t>water</w:t>
      </w:r>
      <w:r>
        <w:t xml:space="preserve"> or </w:t>
      </w:r>
      <w:r>
        <w:rPr>
          <w:spacing w:val="-1"/>
        </w:rPr>
        <w:t>sewerage</w:t>
      </w:r>
      <w:r>
        <w:t xml:space="preserve"> </w:t>
      </w:r>
      <w:r>
        <w:rPr>
          <w:spacing w:val="-1"/>
        </w:rPr>
        <w:t>charges</w:t>
      </w:r>
      <w:r>
        <w:t xml:space="preserve"> because it </w:t>
      </w:r>
      <w:r>
        <w:rPr>
          <w:spacing w:val="-1"/>
        </w:rPr>
        <w:t>argued</w:t>
      </w:r>
      <w:r>
        <w:t xml:space="preserve"> </w:t>
      </w:r>
      <w:r>
        <w:rPr>
          <w:spacing w:val="-1"/>
        </w:rPr>
        <w:t>that</w:t>
      </w:r>
      <w:r>
        <w:t xml:space="preserve"> these</w:t>
      </w:r>
      <w:r>
        <w:rPr>
          <w:spacing w:val="41"/>
        </w:rPr>
        <w:t xml:space="preserve"> </w:t>
      </w:r>
      <w:r>
        <w:rPr>
          <w:rFonts w:cs="Avenir Next"/>
          <w:spacing w:val="-1"/>
        </w:rPr>
        <w:t>charges</w:t>
      </w:r>
      <w:r>
        <w:rPr>
          <w:rFonts w:cs="Avenir Next"/>
        </w:rPr>
        <w:t xml:space="preserve"> should be </w:t>
      </w:r>
      <w:r>
        <w:rPr>
          <w:rFonts w:cs="Avenir Next"/>
          <w:spacing w:val="-1"/>
        </w:rPr>
        <w:t>calculated</w:t>
      </w:r>
      <w:r>
        <w:rPr>
          <w:rFonts w:cs="Avenir Next"/>
        </w:rPr>
        <w:t xml:space="preserve"> on an annual basis using </w:t>
      </w:r>
      <w:r>
        <w:rPr>
          <w:rFonts w:cs="Avenir Next"/>
          <w:spacing w:val="-1"/>
        </w:rPr>
        <w:t>updated</w:t>
      </w:r>
      <w:r>
        <w:rPr>
          <w:rFonts w:cs="Avenir Next"/>
        </w:rPr>
        <w:t xml:space="preserve"> demand </w:t>
      </w:r>
      <w:r>
        <w:rPr>
          <w:rFonts w:cs="Avenir Next"/>
          <w:spacing w:val="-1"/>
        </w:rPr>
        <w:t>forecasts</w:t>
      </w:r>
      <w:r>
        <w:rPr>
          <w:rFonts w:cs="Avenir Next"/>
        </w:rPr>
        <w:t xml:space="preserve"> (and </w:t>
      </w:r>
      <w:r>
        <w:rPr>
          <w:rFonts w:cs="Avenir Next"/>
          <w:spacing w:val="-1"/>
        </w:rPr>
        <w:t>correcting</w:t>
      </w:r>
      <w:r>
        <w:rPr>
          <w:rFonts w:cs="Avenir Next"/>
        </w:rPr>
        <w:t xml:space="preserve"> for</w:t>
      </w:r>
      <w:r>
        <w:rPr>
          <w:rFonts w:cs="Avenir Next"/>
          <w:spacing w:val="51"/>
        </w:rPr>
        <w:t xml:space="preserve"> </w:t>
      </w:r>
      <w:r>
        <w:t xml:space="preserve">any under or over </w:t>
      </w:r>
      <w:r>
        <w:rPr>
          <w:spacing w:val="-1"/>
        </w:rPr>
        <w:t>recovery</w:t>
      </w:r>
      <w:r>
        <w:t xml:space="preserve"> </w:t>
      </w:r>
      <w:r>
        <w:rPr>
          <w:spacing w:val="-1"/>
        </w:rPr>
        <w:t>from</w:t>
      </w:r>
      <w:r>
        <w:t xml:space="preserve"> the </w:t>
      </w:r>
      <w:r>
        <w:rPr>
          <w:spacing w:val="-1"/>
        </w:rPr>
        <w:t>previous</w:t>
      </w:r>
      <w:r>
        <w:t xml:space="preserve"> </w:t>
      </w:r>
      <w:r>
        <w:rPr>
          <w:spacing w:val="-1"/>
        </w:rPr>
        <w:t>year).</w:t>
      </w:r>
      <w:r>
        <w:rPr>
          <w:spacing w:val="-6"/>
        </w:rPr>
        <w:t xml:space="preserve"> </w:t>
      </w:r>
      <w:r>
        <w:rPr>
          <w:spacing w:val="-2"/>
        </w:rPr>
        <w:t>However,</w:t>
      </w:r>
      <w:r>
        <w:rPr>
          <w:spacing w:val="-6"/>
        </w:rPr>
        <w:t xml:space="preserve"> </w:t>
      </w:r>
      <w:r>
        <w:t xml:space="preserve">the </w:t>
      </w:r>
      <w:r>
        <w:rPr>
          <w:spacing w:val="-3"/>
        </w:rPr>
        <w:t>Panel</w:t>
      </w:r>
      <w:r>
        <w:t xml:space="preserve"> </w:t>
      </w:r>
      <w:r>
        <w:rPr>
          <w:spacing w:val="-1"/>
        </w:rPr>
        <w:t>requested</w:t>
      </w:r>
      <w:r>
        <w:t xml:space="preserve"> </w:t>
      </w:r>
      <w:r>
        <w:rPr>
          <w:spacing w:val="-1"/>
        </w:rPr>
        <w:t>that</w:t>
      </w:r>
      <w:r>
        <w:t xml:space="preserve"> it </w:t>
      </w:r>
      <w:r>
        <w:rPr>
          <w:spacing w:val="-1"/>
        </w:rPr>
        <w:t>provide</w:t>
      </w:r>
      <w:r>
        <w:t xml:space="preserve"> the</w:t>
      </w:r>
      <w:r>
        <w:rPr>
          <w:spacing w:val="63"/>
        </w:rPr>
        <w:t xml:space="preserve"> </w:t>
      </w:r>
      <w:r>
        <w:t xml:space="preserve">prices implied by the </w:t>
      </w:r>
      <w:r>
        <w:rPr>
          <w:spacing w:val="-1"/>
        </w:rPr>
        <w:t>proposed</w:t>
      </w:r>
      <w:r>
        <w:t xml:space="preserve"> </w:t>
      </w:r>
      <w:r>
        <w:rPr>
          <w:spacing w:val="-1"/>
        </w:rPr>
        <w:t>revenue</w:t>
      </w:r>
      <w:r>
        <w:t xml:space="preserve"> </w:t>
      </w:r>
      <w:r>
        <w:rPr>
          <w:spacing w:val="-1"/>
        </w:rPr>
        <w:t>requirement</w:t>
      </w:r>
      <w:r>
        <w:t xml:space="preserve"> in its SOFC and submission on demand </w:t>
      </w:r>
      <w:r>
        <w:rPr>
          <w:spacing w:val="-1"/>
        </w:rPr>
        <w:t>forecasts,</w:t>
      </w:r>
      <w:r>
        <w:rPr>
          <w:spacing w:val="33"/>
        </w:rPr>
        <w:t xml:space="preserve"> </w:t>
      </w:r>
      <w:r>
        <w:t>and</w:t>
      </w:r>
      <w:r>
        <w:rPr>
          <w:spacing w:val="-4"/>
        </w:rPr>
        <w:t xml:space="preserve"> </w:t>
      </w:r>
      <w:r>
        <w:rPr>
          <w:spacing w:val="-2"/>
        </w:rPr>
        <w:t>ACTEW</w:t>
      </w:r>
      <w:r>
        <w:rPr>
          <w:spacing w:val="-3"/>
        </w:rPr>
        <w:t xml:space="preserve"> </w:t>
      </w:r>
      <w:r>
        <w:t xml:space="preserve">eventually </w:t>
      </w:r>
      <w:r>
        <w:rPr>
          <w:spacing w:val="-1"/>
        </w:rPr>
        <w:t>provided</w:t>
      </w:r>
      <w:r>
        <w:t xml:space="preserve"> this </w:t>
      </w:r>
      <w:r>
        <w:rPr>
          <w:spacing w:val="-1"/>
        </w:rPr>
        <w:t>information</w:t>
      </w:r>
      <w:r>
        <w:t xml:space="preserve"> (see</w:t>
      </w:r>
      <w:r>
        <w:rPr>
          <w:spacing w:val="-5"/>
        </w:rPr>
        <w:t xml:space="preserve"> </w:t>
      </w:r>
      <w:r>
        <w:rPr>
          <w:spacing w:val="-4"/>
        </w:rPr>
        <w:t>Table</w:t>
      </w:r>
      <w:r>
        <w:t xml:space="preserve"> 14.4).</w:t>
      </w:r>
    </w:p>
    <w:p w:rsidR="00D96B91" w:rsidRDefault="00C2656B">
      <w:pPr>
        <w:pStyle w:val="BodyText"/>
        <w:spacing w:before="170" w:line="260" w:lineRule="exact"/>
        <w:ind w:right="1283"/>
      </w:pPr>
      <w:r>
        <w:rPr>
          <w:spacing w:val="-2"/>
        </w:rPr>
        <w:t>The</w:t>
      </w:r>
      <w:r>
        <w:t xml:space="preserve"> </w:t>
      </w:r>
      <w:r>
        <w:rPr>
          <w:spacing w:val="-1"/>
        </w:rPr>
        <w:t>indicative</w:t>
      </w:r>
      <w:r>
        <w:t xml:space="preserve"> </w:t>
      </w:r>
      <w:r>
        <w:rPr>
          <w:spacing w:val="-1"/>
        </w:rPr>
        <w:t>water</w:t>
      </w:r>
      <w:r>
        <w:t xml:space="preserve"> </w:t>
      </w:r>
      <w:r>
        <w:rPr>
          <w:spacing w:val="-1"/>
        </w:rPr>
        <w:t>charges</w:t>
      </w:r>
      <w:r>
        <w:t xml:space="preserve"> under the </w:t>
      </w:r>
      <w:r>
        <w:rPr>
          <w:spacing w:val="-4"/>
        </w:rPr>
        <w:t>Panel’s</w:t>
      </w:r>
      <w:r>
        <w:t xml:space="preserve"> </w:t>
      </w:r>
      <w:r>
        <w:rPr>
          <w:spacing w:val="-2"/>
        </w:rPr>
        <w:t>draft</w:t>
      </w:r>
      <w:r>
        <w:t xml:space="preserve"> decision </w:t>
      </w:r>
      <w:r>
        <w:rPr>
          <w:spacing w:val="-2"/>
        </w:rPr>
        <w:t>are</w:t>
      </w:r>
      <w:r>
        <w:t xml:space="preserve"> 20%–28% </w:t>
      </w:r>
      <w:r>
        <w:rPr>
          <w:rFonts w:cs="Avenir Next"/>
          <w:b/>
          <w:bCs/>
        </w:rPr>
        <w:t xml:space="preserve">lower </w:t>
      </w:r>
      <w:r>
        <w:rPr>
          <w:rFonts w:cs="Avenir Next"/>
        </w:rPr>
        <w:t>than those implied by</w:t>
      </w:r>
      <w:r>
        <w:rPr>
          <w:rFonts w:cs="Avenir Next"/>
          <w:spacing w:val="57"/>
        </w:rPr>
        <w:t xml:space="preserve"> </w:t>
      </w:r>
      <w:r>
        <w:rPr>
          <w:spacing w:val="-2"/>
        </w:rPr>
        <w:t>ACTEW’s</w:t>
      </w:r>
      <w:r>
        <w:rPr>
          <w:spacing w:val="-3"/>
        </w:rPr>
        <w:t xml:space="preserve"> </w:t>
      </w:r>
      <w:r>
        <w:t>SOFC.</w:t>
      </w:r>
      <w:r>
        <w:rPr>
          <w:spacing w:val="-13"/>
        </w:rPr>
        <w:t xml:space="preserve"> </w:t>
      </w:r>
      <w:r>
        <w:rPr>
          <w:spacing w:val="-1"/>
        </w:rPr>
        <w:t>This</w:t>
      </w:r>
      <w:r>
        <w:rPr>
          <w:spacing w:val="-2"/>
        </w:rPr>
        <w:t xml:space="preserve"> </w:t>
      </w:r>
      <w:r>
        <w:rPr>
          <w:spacing w:val="-1"/>
        </w:rPr>
        <w:t>reflects:</w:t>
      </w:r>
    </w:p>
    <w:p w:rsidR="00D96B91" w:rsidRDefault="00C2656B">
      <w:pPr>
        <w:pStyle w:val="BodyText"/>
        <w:numPr>
          <w:ilvl w:val="0"/>
          <w:numId w:val="131"/>
        </w:numPr>
        <w:tabs>
          <w:tab w:val="left" w:pos="1531"/>
        </w:tabs>
        <w:spacing w:before="170" w:line="260" w:lineRule="exact"/>
        <w:ind w:right="1509" w:hanging="283"/>
        <w:jc w:val="both"/>
        <w:rPr>
          <w:rFonts w:cs="Avenir Next"/>
        </w:rPr>
      </w:pPr>
      <w:r>
        <w:t xml:space="preserve">the $153 million </w:t>
      </w:r>
      <w:r>
        <w:rPr>
          <w:spacing w:val="-1"/>
        </w:rPr>
        <w:t>difference</w:t>
      </w:r>
      <w:r>
        <w:t xml:space="preserve"> between the </w:t>
      </w:r>
      <w:r>
        <w:rPr>
          <w:spacing w:val="-4"/>
        </w:rPr>
        <w:t>Panel’s</w:t>
      </w:r>
      <w:r>
        <w:t xml:space="preserve"> </w:t>
      </w:r>
      <w:r>
        <w:rPr>
          <w:spacing w:val="-2"/>
        </w:rPr>
        <w:t>draft</w:t>
      </w:r>
      <w:r>
        <w:t xml:space="preserve"> decision on the net </w:t>
      </w:r>
      <w:r>
        <w:rPr>
          <w:spacing w:val="-1"/>
        </w:rPr>
        <w:t>revenue</w:t>
      </w:r>
      <w:r>
        <w:t xml:space="preserve"> </w:t>
      </w:r>
      <w:r>
        <w:rPr>
          <w:spacing w:val="-1"/>
        </w:rPr>
        <w:t>requirement</w:t>
      </w:r>
      <w:r>
        <w:t xml:space="preserve"> for</w:t>
      </w:r>
      <w:r>
        <w:rPr>
          <w:spacing w:val="35"/>
        </w:rPr>
        <w:t xml:space="preserve"> </w:t>
      </w:r>
      <w:r>
        <w:rPr>
          <w:spacing w:val="-1"/>
        </w:rPr>
        <w:t>water</w:t>
      </w:r>
      <w:r>
        <w:t xml:space="preserve"> services and</w:t>
      </w:r>
      <w:r>
        <w:rPr>
          <w:spacing w:val="-4"/>
        </w:rPr>
        <w:t xml:space="preserve"> </w:t>
      </w:r>
      <w:r>
        <w:rPr>
          <w:spacing w:val="-2"/>
        </w:rPr>
        <w:t>ACTEW’s</w:t>
      </w:r>
      <w:r>
        <w:t xml:space="preserve"> SOFC </w:t>
      </w:r>
      <w:r>
        <w:rPr>
          <w:spacing w:val="-1"/>
        </w:rPr>
        <w:t>proposal</w:t>
      </w:r>
      <w:r>
        <w:t xml:space="preserve"> ($900 million versus $1.053 billion – see Chapter 13),</w:t>
      </w:r>
      <w:r>
        <w:rPr>
          <w:spacing w:val="29"/>
        </w:rPr>
        <w:t xml:space="preserve"> </w:t>
      </w:r>
      <w:r>
        <w:rPr>
          <w:rFonts w:cs="Avenir Next"/>
        </w:rPr>
        <w:t>and</w:t>
      </w:r>
    </w:p>
    <w:p w:rsidR="00D96B91" w:rsidRDefault="00C2656B">
      <w:pPr>
        <w:pStyle w:val="BodyText"/>
        <w:numPr>
          <w:ilvl w:val="0"/>
          <w:numId w:val="131"/>
        </w:numPr>
        <w:tabs>
          <w:tab w:val="left" w:pos="1531"/>
        </w:tabs>
        <w:spacing w:before="85" w:line="260" w:lineRule="exact"/>
        <w:ind w:right="1843" w:hanging="283"/>
      </w:pPr>
      <w:r>
        <w:t>the 1.5 GL</w:t>
      </w:r>
      <w:r>
        <w:rPr>
          <w:spacing w:val="-5"/>
        </w:rPr>
        <w:t xml:space="preserve"> </w:t>
      </w:r>
      <w:r>
        <w:t>to 3.2 GL</w:t>
      </w:r>
      <w:r>
        <w:rPr>
          <w:spacing w:val="-5"/>
        </w:rPr>
        <w:t xml:space="preserve"> </w:t>
      </w:r>
      <w:r>
        <w:rPr>
          <w:spacing w:val="-1"/>
        </w:rPr>
        <w:t>difference</w:t>
      </w:r>
      <w:r>
        <w:t xml:space="preserve"> between the </w:t>
      </w:r>
      <w:r>
        <w:rPr>
          <w:spacing w:val="-4"/>
        </w:rPr>
        <w:t>Panel’s</w:t>
      </w:r>
      <w:r>
        <w:t xml:space="preserve"> </w:t>
      </w:r>
      <w:r>
        <w:rPr>
          <w:spacing w:val="-2"/>
        </w:rPr>
        <w:t>draft</w:t>
      </w:r>
      <w:r>
        <w:t xml:space="preserve"> decision on </w:t>
      </w:r>
      <w:r>
        <w:rPr>
          <w:spacing w:val="-1"/>
        </w:rPr>
        <w:t>water</w:t>
      </w:r>
      <w:r>
        <w:t xml:space="preserve"> sales </w:t>
      </w:r>
      <w:r>
        <w:rPr>
          <w:spacing w:val="-1"/>
        </w:rPr>
        <w:t>forecasts</w:t>
      </w:r>
      <w:r>
        <w:t xml:space="preserve"> and</w:t>
      </w:r>
      <w:r>
        <w:rPr>
          <w:spacing w:val="39"/>
        </w:rPr>
        <w:t xml:space="preserve"> </w:t>
      </w:r>
      <w:r>
        <w:rPr>
          <w:rFonts w:cs="Avenir Next"/>
          <w:spacing w:val="-2"/>
        </w:rPr>
        <w:t>ACTEW’s</w:t>
      </w:r>
      <w:r>
        <w:rPr>
          <w:rFonts w:cs="Avenir Next"/>
        </w:rPr>
        <w:t xml:space="preserve"> submission on demand </w:t>
      </w:r>
      <w:r>
        <w:rPr>
          <w:rFonts w:cs="Avenir Next"/>
          <w:spacing w:val="-1"/>
        </w:rPr>
        <w:t>forecasts</w:t>
      </w:r>
      <w:r>
        <w:rPr>
          <w:rFonts w:cs="Avenir Next"/>
        </w:rPr>
        <w:t xml:space="preserve"> (see Chapter </w:t>
      </w:r>
      <w:hyperlink w:anchor="_bookmark101" w:history="1">
        <w:r>
          <w:t>12</w:t>
        </w:r>
      </w:hyperlink>
      <w:r>
        <w:t>).</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14.4:</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 xml:space="preserve">SOFC – Implied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382"/>
        <w:gridCol w:w="1404"/>
        <w:gridCol w:w="1404"/>
        <w:gridCol w:w="1404"/>
        <w:gridCol w:w="1404"/>
        <w:gridCol w:w="1404"/>
      </w:tblGrid>
      <w:tr w:rsidR="00D96B91">
        <w:trPr>
          <w:trHeight w:hRule="exact" w:val="407"/>
        </w:trPr>
        <w:tc>
          <w:tcPr>
            <w:tcW w:w="23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3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122.12</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125.17</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128.30</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131.51</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134.80</w:t>
            </w:r>
          </w:p>
        </w:tc>
      </w:tr>
      <w:tr w:rsidR="00D96B91">
        <w:trPr>
          <w:trHeight w:hRule="exact" w:val="407"/>
        </w:trPr>
        <w:tc>
          <w:tcPr>
            <w:tcW w:w="23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2.97</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3.05</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3.12</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3.20</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3.28</w:t>
            </w:r>
          </w:p>
        </w:tc>
      </w:tr>
      <w:tr w:rsidR="00D96B91">
        <w:trPr>
          <w:trHeight w:hRule="exact" w:val="407"/>
        </w:trPr>
        <w:tc>
          <w:tcPr>
            <w:tcW w:w="23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5.95</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6.09</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6.25</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6.40</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52"/>
              <w:rPr>
                <w:rFonts w:ascii="Avenir Next Condensed" w:eastAsia="Avenir Next Condensed" w:hAnsi="Avenir Next Condensed" w:cs="Avenir Next Condensed"/>
                <w:sz w:val="18"/>
                <w:szCs w:val="18"/>
              </w:rPr>
            </w:pPr>
            <w:r>
              <w:rPr>
                <w:rFonts w:ascii="Avenir Next Condensed"/>
                <w:sz w:val="18"/>
              </w:rPr>
              <w:t>6.56</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eastAsia="Avenir Next" w:hAnsi="Avenir Next" w:cs="Avenir Next"/>
          <w:spacing w:val="-3"/>
          <w:sz w:val="16"/>
          <w:szCs w:val="16"/>
        </w:rPr>
        <w:t>Source:</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3"/>
          <w:sz w:val="16"/>
          <w:szCs w:val="16"/>
        </w:rPr>
        <w:t>spreadsheet</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entitled</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3"/>
          <w:sz w:val="16"/>
          <w:szCs w:val="16"/>
        </w:rPr>
        <w:t>Prices</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Implied</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by</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SOFC</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and</w:t>
      </w:r>
      <w:r>
        <w:rPr>
          <w:rFonts w:ascii="Avenir Next" w:eastAsia="Avenir Next" w:hAnsi="Avenir Next" w:cs="Avenir Next"/>
          <w:spacing w:val="-6"/>
          <w:sz w:val="16"/>
          <w:szCs w:val="16"/>
        </w:rPr>
        <w:t xml:space="preserve"> </w:t>
      </w:r>
      <w:r>
        <w:rPr>
          <w:rFonts w:ascii="Avenir Next" w:eastAsia="Avenir Next" w:hAnsi="Avenir Next" w:cs="Avenir Next"/>
          <w:spacing w:val="-4"/>
          <w:sz w:val="16"/>
          <w:szCs w:val="16"/>
        </w:rPr>
        <w:t xml:space="preserve">Water </w:t>
      </w:r>
      <w:r>
        <w:rPr>
          <w:rFonts w:ascii="Avenir Next" w:eastAsia="Avenir Next" w:hAnsi="Avenir Next" w:cs="Avenir Next"/>
          <w:spacing w:val="-2"/>
          <w:sz w:val="16"/>
          <w:szCs w:val="16"/>
        </w:rPr>
        <w:t>Sales</w:t>
      </w:r>
      <w:r>
        <w:rPr>
          <w:rFonts w:ascii="Avenir Next" w:eastAsia="Avenir Next" w:hAnsi="Avenir Next" w:cs="Avenir Next"/>
          <w:spacing w:val="-4"/>
          <w:sz w:val="16"/>
          <w:szCs w:val="16"/>
        </w:rPr>
        <w:t xml:space="preserve"> </w:t>
      </w:r>
      <w:r>
        <w:rPr>
          <w:rFonts w:ascii="Avenir Next" w:eastAsia="Avenir Next" w:hAnsi="Avenir Next" w:cs="Avenir Next"/>
          <w:spacing w:val="-3"/>
          <w:sz w:val="16"/>
          <w:szCs w:val="16"/>
        </w:rPr>
        <w:t>Forecasts</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2"/>
          <w:sz w:val="16"/>
          <w:szCs w:val="16"/>
        </w:rPr>
        <w:t>updates</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14Oct2014.xlsm.</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4"/>
        <w:numPr>
          <w:ilvl w:val="0"/>
          <w:numId w:val="32"/>
        </w:numPr>
        <w:tabs>
          <w:tab w:val="left" w:pos="1749"/>
        </w:tabs>
        <w:spacing w:before="9"/>
      </w:pPr>
      <w:bookmarkStart w:id="202" w:name="14._3_Sewerage_price_path_and_indicative"/>
      <w:bookmarkStart w:id="203" w:name="_bookmark131"/>
      <w:bookmarkEnd w:id="202"/>
      <w:bookmarkEnd w:id="203"/>
      <w:r>
        <w:rPr>
          <w:color w:val="0778BE"/>
        </w:rPr>
        <w:t>3</w:t>
      </w:r>
      <w:r>
        <w:rPr>
          <w:color w:val="0778BE"/>
          <w:spacing w:val="39"/>
        </w:rPr>
        <w:t xml:space="preserve"> </w:t>
      </w:r>
      <w:r>
        <w:rPr>
          <w:color w:val="0778BE"/>
          <w:spacing w:val="-1"/>
        </w:rPr>
        <w:t>Sewerage</w:t>
      </w:r>
      <w:r>
        <w:rPr>
          <w:color w:val="0778BE"/>
        </w:rPr>
        <w:t xml:space="preserve"> price </w:t>
      </w:r>
      <w:r>
        <w:rPr>
          <w:color w:val="0778BE"/>
          <w:spacing w:val="-1"/>
        </w:rPr>
        <w:t>path</w:t>
      </w:r>
      <w:r>
        <w:rPr>
          <w:color w:val="0778BE"/>
        </w:rPr>
        <w:t xml:space="preserve"> and </w:t>
      </w:r>
      <w:r>
        <w:rPr>
          <w:color w:val="0778BE"/>
          <w:spacing w:val="-1"/>
        </w:rPr>
        <w:t>indicative</w:t>
      </w:r>
      <w:r>
        <w:rPr>
          <w:color w:val="0778BE"/>
        </w:rPr>
        <w:t xml:space="preserve"> </w:t>
      </w:r>
      <w:r>
        <w:rPr>
          <w:color w:val="0778BE"/>
          <w:spacing w:val="-1"/>
        </w:rPr>
        <w:t>charges</w:t>
      </w:r>
    </w:p>
    <w:p w:rsidR="00D96B91" w:rsidRDefault="00C2656B">
      <w:pPr>
        <w:pStyle w:val="BodyText"/>
        <w:spacing w:before="63"/>
        <w:rPr>
          <w:rFonts w:cs="Avenir Next"/>
        </w:rPr>
      </w:pPr>
      <w:r>
        <w:rPr>
          <w:spacing w:val="-2"/>
        </w:rPr>
        <w:t>The</w:t>
      </w:r>
      <w:r>
        <w:t xml:space="preserve"> </w:t>
      </w:r>
      <w:r>
        <w:rPr>
          <w:spacing w:val="-1"/>
        </w:rPr>
        <w:t>tariff</w:t>
      </w:r>
      <w:r>
        <w:rPr>
          <w:spacing w:val="4"/>
        </w:rPr>
        <w:t xml:space="preserve"> </w:t>
      </w:r>
      <w:r>
        <w:rPr>
          <w:spacing w:val="-1"/>
        </w:rPr>
        <w:t>structure</w:t>
      </w:r>
      <w:r>
        <w:t xml:space="preserve"> for </w:t>
      </w:r>
      <w:r>
        <w:rPr>
          <w:spacing w:val="-1"/>
        </w:rPr>
        <w:t>sewerage</w:t>
      </w:r>
      <w:r>
        <w:t xml:space="preserve"> services consists of:</w:t>
      </w:r>
    </w:p>
    <w:p w:rsidR="00D96B91" w:rsidRDefault="00C2656B">
      <w:pPr>
        <w:pStyle w:val="BodyText"/>
        <w:numPr>
          <w:ilvl w:val="0"/>
          <w:numId w:val="131"/>
        </w:numPr>
        <w:tabs>
          <w:tab w:val="left" w:pos="1531"/>
        </w:tabs>
        <w:spacing w:before="157"/>
        <w:ind w:hanging="283"/>
      </w:pPr>
      <w:r>
        <w:t>a</w:t>
      </w:r>
      <w:r>
        <w:rPr>
          <w:spacing w:val="-1"/>
        </w:rPr>
        <w:t xml:space="preserve"> fixed </w:t>
      </w:r>
      <w:r>
        <w:t xml:space="preserve">supply </w:t>
      </w:r>
      <w:r>
        <w:rPr>
          <w:spacing w:val="-1"/>
        </w:rPr>
        <w:t>charge,</w:t>
      </w:r>
      <w:r>
        <w:rPr>
          <w:spacing w:val="-7"/>
        </w:rPr>
        <w:t xml:space="preserve"> </w:t>
      </w:r>
      <w:r>
        <w:t>and</w:t>
      </w:r>
    </w:p>
    <w:p w:rsidR="00D96B91" w:rsidRDefault="00C2656B">
      <w:pPr>
        <w:pStyle w:val="BodyText"/>
        <w:numPr>
          <w:ilvl w:val="0"/>
          <w:numId w:val="131"/>
        </w:numPr>
        <w:tabs>
          <w:tab w:val="left" w:pos="1531"/>
        </w:tabs>
        <w:spacing w:before="64" w:line="260" w:lineRule="exact"/>
        <w:ind w:right="1328" w:hanging="283"/>
      </w:pPr>
      <w:r>
        <w:t>a</w:t>
      </w:r>
      <w:r>
        <w:rPr>
          <w:spacing w:val="-2"/>
        </w:rPr>
        <w:t xml:space="preserve"> </w:t>
      </w:r>
      <w:r>
        <w:rPr>
          <w:spacing w:val="-1"/>
        </w:rPr>
        <w:t xml:space="preserve">fixtures charge </w:t>
      </w:r>
      <w:r>
        <w:t>for</w:t>
      </w:r>
      <w:r>
        <w:rPr>
          <w:spacing w:val="-1"/>
        </w:rPr>
        <w:t xml:space="preserve"> non-residential </w:t>
      </w:r>
      <w:r>
        <w:t>customers,</w:t>
      </w:r>
      <w:r>
        <w:rPr>
          <w:spacing w:val="-7"/>
        </w:rPr>
        <w:t xml:space="preserve"> </w:t>
      </w:r>
      <w:r>
        <w:t>which</w:t>
      </w:r>
      <w:r>
        <w:rPr>
          <w:spacing w:val="-1"/>
        </w:rPr>
        <w:t xml:space="preserve"> </w:t>
      </w:r>
      <w:r>
        <w:t>is</w:t>
      </w:r>
      <w:r>
        <w:rPr>
          <w:spacing w:val="-1"/>
        </w:rPr>
        <w:t xml:space="preserve"> </w:t>
      </w:r>
      <w:r>
        <w:t>payable</w:t>
      </w:r>
      <w:r>
        <w:rPr>
          <w:spacing w:val="-1"/>
        </w:rPr>
        <w:t xml:space="preserve"> </w:t>
      </w:r>
      <w:r>
        <w:t>per</w:t>
      </w:r>
      <w:r>
        <w:rPr>
          <w:spacing w:val="-1"/>
        </w:rPr>
        <w:t xml:space="preserve"> </w:t>
      </w:r>
      <w:r>
        <w:t>flushing</w:t>
      </w:r>
      <w:r>
        <w:rPr>
          <w:spacing w:val="-1"/>
        </w:rPr>
        <w:t xml:space="preserve"> fixture </w:t>
      </w:r>
      <w:r>
        <w:t>in</w:t>
      </w:r>
      <w:r>
        <w:rPr>
          <w:spacing w:val="-2"/>
        </w:rPr>
        <w:t xml:space="preserve"> </w:t>
      </w:r>
      <w:r>
        <w:rPr>
          <w:spacing w:val="-1"/>
        </w:rPr>
        <w:t xml:space="preserve">excess </w:t>
      </w:r>
      <w:r>
        <w:t>of</w:t>
      </w:r>
      <w:r>
        <w:rPr>
          <w:spacing w:val="3"/>
        </w:rPr>
        <w:t xml:space="preserve"> </w:t>
      </w:r>
      <w:r>
        <w:t>two</w:t>
      </w:r>
      <w:r>
        <w:rPr>
          <w:spacing w:val="45"/>
        </w:rPr>
        <w:t xml:space="preserve"> </w:t>
      </w:r>
      <w:r>
        <w:rPr>
          <w:spacing w:val="-1"/>
        </w:rPr>
        <w:t>fixtures.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46"/>
      </w:pPr>
      <w:r>
        <w:rPr>
          <w:rFonts w:cs="Avenir Next"/>
        </w:rPr>
        <w:t xml:space="preserve">As for </w:t>
      </w:r>
      <w:r>
        <w:rPr>
          <w:rFonts w:cs="Avenir Next"/>
          <w:spacing w:val="-1"/>
        </w:rPr>
        <w:t>water</w:t>
      </w:r>
      <w:r>
        <w:rPr>
          <w:rFonts w:cs="Avenir Next"/>
        </w:rPr>
        <w:t xml:space="preserve"> </w:t>
      </w:r>
      <w:r>
        <w:rPr>
          <w:rFonts w:cs="Avenir Next"/>
          <w:spacing w:val="-1"/>
        </w:rPr>
        <w:t>charges,</w:t>
      </w:r>
      <w:r>
        <w:rPr>
          <w:rFonts w:cs="Avenir Next"/>
          <w:spacing w:val="-6"/>
        </w:rPr>
        <w:t xml:space="preserve"> </w:t>
      </w:r>
      <w:r>
        <w:rPr>
          <w:rFonts w:cs="Avenir Next"/>
        </w:rPr>
        <w:t xml:space="preserve">the </w:t>
      </w:r>
      <w:r>
        <w:rPr>
          <w:rFonts w:cs="Avenir Next"/>
          <w:spacing w:val="-3"/>
        </w:rPr>
        <w:t>Panel</w:t>
      </w:r>
      <w:r>
        <w:rPr>
          <w:rFonts w:cs="Avenir Next"/>
        </w:rPr>
        <w:t xml:space="preserve"> adopted the </w:t>
      </w:r>
      <w:r>
        <w:rPr>
          <w:rFonts w:cs="Avenir Next"/>
          <w:spacing w:val="-1"/>
        </w:rPr>
        <w:t>sewerage</w:t>
      </w:r>
      <w:r>
        <w:rPr>
          <w:rFonts w:cs="Avenir Next"/>
        </w:rPr>
        <w:t xml:space="preserve"> prices payable under the </w:t>
      </w:r>
      <w:r>
        <w:rPr>
          <w:rFonts w:cs="Avenir Next"/>
          <w:spacing w:val="-2"/>
        </w:rPr>
        <w:t>ICRC’s</w:t>
      </w:r>
      <w:r>
        <w:rPr>
          <w:rFonts w:cs="Avenir Next"/>
        </w:rPr>
        <w:t xml:space="preserve"> original price</w:t>
      </w:r>
      <w:r>
        <w:rPr>
          <w:rFonts w:cs="Avenir Next"/>
          <w:spacing w:val="31"/>
        </w:rPr>
        <w:t xml:space="preserve"> </w:t>
      </w:r>
      <w:r>
        <w:rPr>
          <w:spacing w:val="-1"/>
        </w:rPr>
        <w:t>direction</w:t>
      </w:r>
      <w:r>
        <w:t xml:space="preserve"> for 2013-14 and 2014-15,</w:t>
      </w:r>
      <w:r>
        <w:rPr>
          <w:spacing w:val="-7"/>
        </w:rPr>
        <w:t xml:space="preserve"> </w:t>
      </w:r>
      <w:r>
        <w:t xml:space="preserve">and set the maximum </w:t>
      </w:r>
      <w:r>
        <w:rPr>
          <w:spacing w:val="-1"/>
        </w:rPr>
        <w:t>sewerage</w:t>
      </w:r>
      <w:r>
        <w:t xml:space="preserve"> </w:t>
      </w:r>
      <w:r>
        <w:rPr>
          <w:spacing w:val="-1"/>
        </w:rPr>
        <w:t>charge</w:t>
      </w:r>
      <w:r>
        <w:t xml:space="preserve"> price </w:t>
      </w:r>
      <w:r>
        <w:rPr>
          <w:spacing w:val="-1"/>
        </w:rPr>
        <w:t>path</w:t>
      </w:r>
      <w:r>
        <w:t xml:space="preserve"> for the </w:t>
      </w:r>
      <w:r>
        <w:rPr>
          <w:spacing w:val="-1"/>
        </w:rPr>
        <w:t>remaining</w:t>
      </w:r>
      <w:r>
        <w:rPr>
          <w:spacing w:val="39"/>
        </w:rPr>
        <w:t xml:space="preserve"> </w:t>
      </w:r>
      <w:r>
        <w:rPr>
          <w:rFonts w:cs="Avenir Next"/>
          <w:spacing w:val="-1"/>
        </w:rPr>
        <w:t>three</w:t>
      </w:r>
      <w:r>
        <w:rPr>
          <w:rFonts w:cs="Avenir Next"/>
        </w:rPr>
        <w:t xml:space="preserve"> </w:t>
      </w:r>
      <w:r>
        <w:rPr>
          <w:rFonts w:cs="Avenir Next"/>
          <w:spacing w:val="-1"/>
        </w:rPr>
        <w:t>years</w:t>
      </w:r>
      <w:r>
        <w:rPr>
          <w:rFonts w:cs="Avenir Next"/>
        </w:rPr>
        <w:t xml:space="preserve"> using the method set out in Chapter </w:t>
      </w:r>
      <w:hyperlink w:anchor="_bookmark45" w:history="1">
        <w:r>
          <w:t>7</w:t>
        </w:r>
      </w:hyperlink>
      <w:r>
        <w:t>.</w:t>
      </w:r>
    </w:p>
    <w:p w:rsidR="00D96B91" w:rsidRDefault="00C2656B">
      <w:pPr>
        <w:pStyle w:val="BodyText"/>
        <w:spacing w:before="170" w:line="260" w:lineRule="exact"/>
        <w:ind w:right="1268"/>
        <w:rPr>
          <w:rFonts w:cs="Avenir Next"/>
        </w:rPr>
      </w:pPr>
      <w:r>
        <w:t>In</w:t>
      </w:r>
      <w:r>
        <w:rPr>
          <w:spacing w:val="-1"/>
        </w:rPr>
        <w:t xml:space="preserve"> </w:t>
      </w:r>
      <w:r>
        <w:t>a</w:t>
      </w:r>
      <w:r>
        <w:rPr>
          <w:spacing w:val="-1"/>
        </w:rPr>
        <w:t xml:space="preserve"> </w:t>
      </w:r>
      <w:r>
        <w:t>similar manner</w:t>
      </w:r>
      <w:r>
        <w:rPr>
          <w:spacing w:val="-1"/>
        </w:rPr>
        <w:t xml:space="preserve"> </w:t>
      </w:r>
      <w:r>
        <w:t xml:space="preserve">to </w:t>
      </w:r>
      <w:r>
        <w:rPr>
          <w:spacing w:val="-2"/>
        </w:rPr>
        <w:t>water,</w:t>
      </w:r>
      <w:r>
        <w:rPr>
          <w:spacing w:val="-7"/>
        </w:rPr>
        <w:t xml:space="preserve"> </w:t>
      </w:r>
      <w:r>
        <w:t xml:space="preserve">the </w:t>
      </w:r>
      <w:r>
        <w:rPr>
          <w:spacing w:val="-3"/>
        </w:rPr>
        <w:t>Panel</w:t>
      </w:r>
      <w:r>
        <w:rPr>
          <w:spacing w:val="-1"/>
        </w:rPr>
        <w:t xml:space="preserve"> </w:t>
      </w:r>
      <w:r>
        <w:t xml:space="preserve">identified </w:t>
      </w:r>
      <w:r>
        <w:rPr>
          <w:spacing w:val="-1"/>
        </w:rPr>
        <w:t>several different</w:t>
      </w:r>
      <w:r>
        <w:t xml:space="preserve"> price</w:t>
      </w:r>
      <w:r>
        <w:rPr>
          <w:spacing w:val="-1"/>
        </w:rPr>
        <w:t xml:space="preserve"> paths that</w:t>
      </w:r>
      <w:r>
        <w:t xml:space="preserve"> would</w:t>
      </w:r>
      <w:r>
        <w:rPr>
          <w:spacing w:val="-1"/>
        </w:rPr>
        <w:t xml:space="preserve"> </w:t>
      </w:r>
      <w:r>
        <w:t>allow</w:t>
      </w:r>
      <w:r>
        <w:rPr>
          <w:spacing w:val="-4"/>
        </w:rPr>
        <w:t xml:space="preserve"> </w:t>
      </w:r>
      <w:r>
        <w:rPr>
          <w:spacing w:val="-2"/>
        </w:rPr>
        <w:t>ACTEW</w:t>
      </w:r>
      <w:r>
        <w:rPr>
          <w:spacing w:val="35"/>
        </w:rPr>
        <w:t xml:space="preserve"> </w:t>
      </w:r>
      <w:r>
        <w:t xml:space="preserve">to </w:t>
      </w:r>
      <w:r>
        <w:rPr>
          <w:spacing w:val="-1"/>
        </w:rPr>
        <w:t>recover</w:t>
      </w:r>
      <w:r>
        <w:t xml:space="preserve"> the net </w:t>
      </w:r>
      <w:r>
        <w:rPr>
          <w:spacing w:val="-1"/>
        </w:rPr>
        <w:t>revenue</w:t>
      </w:r>
      <w:r>
        <w:t xml:space="preserve"> </w:t>
      </w:r>
      <w:r>
        <w:rPr>
          <w:spacing w:val="-1"/>
        </w:rPr>
        <w:t>requirement</w:t>
      </w:r>
      <w:r>
        <w:t xml:space="preserve"> for </w:t>
      </w:r>
      <w:r>
        <w:rPr>
          <w:spacing w:val="-1"/>
        </w:rPr>
        <w:t>sewerage</w:t>
      </w:r>
      <w:r>
        <w:t xml:space="preserve"> services by the end of</w:t>
      </w:r>
      <w:r>
        <w:rPr>
          <w:spacing w:val="4"/>
        </w:rPr>
        <w:t xml:space="preserve"> </w:t>
      </w:r>
      <w:r>
        <w:t>the period (net of</w:t>
      </w:r>
      <w:r>
        <w:rPr>
          <w:spacing w:val="4"/>
        </w:rPr>
        <w:t xml:space="preserve"> </w:t>
      </w:r>
      <w:r>
        <w:t>the value</w:t>
      </w:r>
      <w:r>
        <w:rPr>
          <w:spacing w:val="29"/>
        </w:rPr>
        <w:t xml:space="preserve"> </w:t>
      </w:r>
      <w:r>
        <w:t>of</w:t>
      </w:r>
      <w:r>
        <w:rPr>
          <w:spacing w:val="4"/>
        </w:rPr>
        <w:t xml:space="preserve"> </w:t>
      </w:r>
      <w:r>
        <w:t>the true-up adjustment).</w:t>
      </w:r>
      <w:r>
        <w:rPr>
          <w:spacing w:val="-7"/>
        </w:rPr>
        <w:t xml:space="preserve"> </w:t>
      </w:r>
      <w:r>
        <w:t xml:space="preserve">It decided to adopt the maximum </w:t>
      </w:r>
      <w:r>
        <w:rPr>
          <w:spacing w:val="-1"/>
        </w:rPr>
        <w:t>charges</w:t>
      </w:r>
      <w:r>
        <w:t xml:space="preserve"> and price </w:t>
      </w:r>
      <w:r>
        <w:rPr>
          <w:spacing w:val="-1"/>
        </w:rPr>
        <w:t>path</w:t>
      </w:r>
      <w:r>
        <w:t xml:space="preserve"> set out in</w:t>
      </w:r>
      <w:r>
        <w:rPr>
          <w:spacing w:val="-5"/>
        </w:rPr>
        <w:t xml:space="preserve"> </w:t>
      </w:r>
      <w:hyperlink w:anchor="_bookmark132" w:history="1">
        <w:r>
          <w:rPr>
            <w:spacing w:val="-4"/>
          </w:rPr>
          <w:t>Table</w:t>
        </w:r>
      </w:hyperlink>
    </w:p>
    <w:p w:rsidR="00D96B91" w:rsidRDefault="00D96B91">
      <w:pPr>
        <w:pStyle w:val="BodyText"/>
        <w:spacing w:before="8"/>
        <w:rPr>
          <w:rFonts w:cs="Avenir Next"/>
        </w:rPr>
      </w:pPr>
      <w:hyperlink w:anchor="_bookmark132" w:history="1">
        <w:r w:rsidR="00C2656B">
          <w:t>14.5</w:t>
        </w:r>
      </w:hyperlink>
      <w:r w:rsidR="00C2656B">
        <w:t xml:space="preserve"> having </w:t>
      </w:r>
      <w:r w:rsidR="00C2656B">
        <w:rPr>
          <w:spacing w:val="-2"/>
        </w:rPr>
        <w:t>regard</w:t>
      </w:r>
      <w:r w:rsidR="00C2656B">
        <w:t xml:space="preserve"> to:</w:t>
      </w:r>
    </w:p>
    <w:p w:rsidR="00D96B91" w:rsidRDefault="00C2656B">
      <w:pPr>
        <w:pStyle w:val="BodyText"/>
        <w:numPr>
          <w:ilvl w:val="0"/>
          <w:numId w:val="131"/>
        </w:numPr>
        <w:tabs>
          <w:tab w:val="left" w:pos="1531"/>
        </w:tabs>
        <w:spacing w:before="149" w:line="260" w:lineRule="exact"/>
        <w:ind w:right="1894" w:hanging="283"/>
        <w:rPr>
          <w:rFonts w:cs="Avenir Next"/>
        </w:rPr>
      </w:pPr>
      <w:r>
        <w:t>the stability of</w:t>
      </w:r>
      <w:r>
        <w:rPr>
          <w:spacing w:val="4"/>
        </w:rPr>
        <w:t xml:space="preserve"> </w:t>
      </w:r>
      <w:r>
        <w:t xml:space="preserve">combined </w:t>
      </w:r>
      <w:r>
        <w:rPr>
          <w:spacing w:val="-1"/>
        </w:rPr>
        <w:t>water</w:t>
      </w:r>
      <w:r>
        <w:t xml:space="preserve"> and </w:t>
      </w:r>
      <w:r>
        <w:rPr>
          <w:spacing w:val="-1"/>
        </w:rPr>
        <w:t>sewerage</w:t>
      </w:r>
      <w:r>
        <w:t xml:space="preserve"> bills for the </w:t>
      </w:r>
      <w:r>
        <w:rPr>
          <w:spacing w:val="-1"/>
        </w:rPr>
        <w:t>remainder</w:t>
      </w:r>
      <w:r>
        <w:t xml:space="preserve"> of</w:t>
      </w:r>
      <w:r>
        <w:rPr>
          <w:spacing w:val="4"/>
        </w:rPr>
        <w:t xml:space="preserve"> </w:t>
      </w:r>
      <w:r>
        <w:t xml:space="preserve">the </w:t>
      </w:r>
      <w:r>
        <w:rPr>
          <w:spacing w:val="-1"/>
        </w:rPr>
        <w:t>current</w:t>
      </w:r>
      <w:r>
        <w:t xml:space="preserve"> </w:t>
      </w:r>
      <w:r>
        <w:rPr>
          <w:spacing w:val="-1"/>
        </w:rPr>
        <w:t>regulatory</w:t>
      </w:r>
      <w:r>
        <w:rPr>
          <w:spacing w:val="39"/>
        </w:rPr>
        <w:t xml:space="preserve"> </w:t>
      </w:r>
      <w:r>
        <w:t>period,</w:t>
      </w:r>
      <w:r>
        <w:rPr>
          <w:spacing w:val="-6"/>
        </w:rPr>
        <w:t xml:space="preserve"> </w:t>
      </w:r>
      <w:r>
        <w:t>and</w:t>
      </w:r>
    </w:p>
    <w:p w:rsidR="00D96B91" w:rsidRDefault="00C2656B">
      <w:pPr>
        <w:pStyle w:val="BodyText"/>
        <w:numPr>
          <w:ilvl w:val="0"/>
          <w:numId w:val="131"/>
        </w:numPr>
        <w:tabs>
          <w:tab w:val="left" w:pos="1531"/>
        </w:tabs>
        <w:spacing w:before="93"/>
        <w:ind w:hanging="283"/>
      </w:pPr>
      <w:r>
        <w:t>the</w:t>
      </w:r>
      <w:r>
        <w:rPr>
          <w:spacing w:val="-1"/>
        </w:rPr>
        <w:t xml:space="preserve"> </w:t>
      </w:r>
      <w:r>
        <w:t>potential</w:t>
      </w:r>
      <w:r>
        <w:rPr>
          <w:spacing w:val="-1"/>
        </w:rPr>
        <w:t xml:space="preserve"> </w:t>
      </w:r>
      <w:r>
        <w:t>impact on</w:t>
      </w:r>
      <w:r>
        <w:rPr>
          <w:spacing w:val="-1"/>
        </w:rPr>
        <w:t xml:space="preserve"> </w:t>
      </w:r>
      <w:r>
        <w:t xml:space="preserve">price </w:t>
      </w:r>
      <w:r>
        <w:rPr>
          <w:spacing w:val="-1"/>
        </w:rPr>
        <w:t xml:space="preserve">fluctuations </w:t>
      </w:r>
      <w:r>
        <w:t>changes going</w:t>
      </w:r>
      <w:r>
        <w:rPr>
          <w:spacing w:val="-1"/>
        </w:rPr>
        <w:t xml:space="preserve"> </w:t>
      </w:r>
      <w:r>
        <w:t>into the</w:t>
      </w:r>
      <w:r>
        <w:rPr>
          <w:spacing w:val="-1"/>
        </w:rPr>
        <w:t xml:space="preserve"> next</w:t>
      </w:r>
      <w:r>
        <w:t xml:space="preserve"> </w:t>
      </w:r>
      <w:r>
        <w:rPr>
          <w:spacing w:val="-1"/>
        </w:rPr>
        <w:t xml:space="preserve">regulatory </w:t>
      </w:r>
      <w:r>
        <w:t>period.</w:t>
      </w:r>
    </w:p>
    <w:p w:rsidR="00D96B91" w:rsidRDefault="00D96B91">
      <w:pPr>
        <w:spacing w:before="2"/>
        <w:rPr>
          <w:rFonts w:ascii="Avenir Next" w:eastAsia="Avenir Next" w:hAnsi="Avenir Next" w:cs="Avenir Next"/>
          <w:sz w:val="14"/>
          <w:szCs w:val="14"/>
        </w:rPr>
      </w:pPr>
    </w:p>
    <w:p w:rsidR="00D96B91" w:rsidRDefault="00C2656B">
      <w:pPr>
        <w:ind w:left="1247"/>
        <w:rPr>
          <w:rFonts w:ascii="Avenir Next" w:eastAsia="Avenir Next" w:hAnsi="Avenir Next" w:cs="Avenir Next"/>
          <w:sz w:val="20"/>
          <w:szCs w:val="20"/>
        </w:rPr>
      </w:pPr>
      <w:bookmarkStart w:id="204" w:name="_bookmark132"/>
      <w:bookmarkEnd w:id="204"/>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14.5: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Maximum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and price </w:t>
      </w:r>
      <w:r>
        <w:rPr>
          <w:rFonts w:ascii="Avenir Next" w:eastAsia="Avenir Next" w:hAnsi="Avenir Next" w:cs="Avenir Next"/>
          <w:b/>
          <w:bCs/>
          <w:spacing w:val="-1"/>
          <w:sz w:val="20"/>
          <w:szCs w:val="20"/>
        </w:rPr>
        <w:t>path</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208"/>
        <w:gridCol w:w="1055"/>
        <w:gridCol w:w="1054"/>
        <w:gridCol w:w="1695"/>
        <w:gridCol w:w="1695"/>
        <w:gridCol w:w="1695"/>
      </w:tblGrid>
      <w:tr w:rsidR="00D96B91">
        <w:trPr>
          <w:trHeight w:hRule="exact" w:val="407"/>
        </w:trPr>
        <w:tc>
          <w:tcPr>
            <w:tcW w:w="2208"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0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5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30"/>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6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50"/>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6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50"/>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6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50"/>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2208" w:type="dxa"/>
            <w:vMerge/>
            <w:tcBorders>
              <w:left w:val="single" w:sz="4" w:space="0" w:color="1A9EDA"/>
              <w:bottom w:val="single" w:sz="4" w:space="0" w:color="1A9EDA"/>
              <w:right w:val="single" w:sz="4" w:space="0" w:color="1A9EDA"/>
            </w:tcBorders>
            <w:shd w:val="clear" w:color="auto" w:fill="0778BE"/>
          </w:tcPr>
          <w:p w:rsidR="00D96B91" w:rsidRDefault="00D96B91"/>
        </w:tc>
        <w:tc>
          <w:tcPr>
            <w:tcW w:w="2109"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61167">
            <w:pPr>
              <w:pStyle w:val="TableParagraph"/>
              <w:spacing w:before="112" w:line="220" w:lineRule="exact"/>
              <w:ind w:left="280" w:firstLine="63"/>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payable under</w:t>
            </w:r>
            <w:r>
              <w:rPr>
                <w:rFonts w:ascii="Avenir Next Condensed"/>
                <w:b/>
                <w:color w:val="FFFFFF"/>
                <w:spacing w:val="21"/>
                <w:sz w:val="18"/>
              </w:rPr>
              <w:t xml:space="preserve"> </w:t>
            </w:r>
            <w:r>
              <w:rPr>
                <w:rFonts w:ascii="Avenir Next Condensed"/>
                <w:b/>
                <w:color w:val="FFFFFF"/>
                <w:sz w:val="18"/>
              </w:rPr>
              <w:t xml:space="preserve">original price </w:t>
            </w:r>
            <w:r>
              <w:rPr>
                <w:rFonts w:ascii="Avenir Next Condensed"/>
                <w:b/>
                <w:color w:val="FFFFFF"/>
                <w:spacing w:val="-1"/>
                <w:sz w:val="18"/>
              </w:rPr>
              <w:t>direction</w:t>
            </w:r>
          </w:p>
        </w:tc>
        <w:tc>
          <w:tcPr>
            <w:tcW w:w="5084"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480"/>
              <w:rPr>
                <w:rFonts w:ascii="Avenir Next Condensed" w:eastAsia="Avenir Next Condensed" w:hAnsi="Avenir Next Condensed" w:cs="Avenir Next Condensed"/>
                <w:sz w:val="18"/>
                <w:szCs w:val="18"/>
              </w:rPr>
            </w:pPr>
            <w:r>
              <w:rPr>
                <w:rFonts w:ascii="Avenir Next Condensed"/>
                <w:b/>
                <w:color w:val="FFFFFF"/>
                <w:spacing w:val="-1"/>
                <w:sz w:val="18"/>
              </w:rPr>
              <w:t>Price</w:t>
            </w:r>
            <w:r>
              <w:rPr>
                <w:rFonts w:ascii="Avenir Next Condensed"/>
                <w:b/>
                <w:color w:val="FFFFFF"/>
                <w:sz w:val="18"/>
              </w:rPr>
              <w:t xml:space="preserve"> path for </w:t>
            </w:r>
            <w:r>
              <w:rPr>
                <w:rFonts w:ascii="Avenir Next Condensed"/>
                <w:b/>
                <w:color w:val="FFFFFF"/>
                <w:spacing w:val="-1"/>
                <w:sz w:val="18"/>
              </w:rPr>
              <w:t>remaining</w:t>
            </w:r>
            <w:r>
              <w:rPr>
                <w:rFonts w:ascii="Avenir Next Condensed"/>
                <w:b/>
                <w:color w:val="FFFFFF"/>
                <w:sz w:val="18"/>
              </w:rPr>
              <w:t xml:space="preserve"> </w:t>
            </w:r>
            <w:r>
              <w:rPr>
                <w:rFonts w:ascii="Avenir Next Condensed"/>
                <w:b/>
                <w:color w:val="FFFFFF"/>
                <w:spacing w:val="-1"/>
                <w:sz w:val="18"/>
              </w:rPr>
              <w:t>years*</w:t>
            </w:r>
          </w:p>
        </w:tc>
      </w:tr>
      <w:tr w:rsidR="00D96B91">
        <w:trPr>
          <w:trHeight w:hRule="exact" w:val="407"/>
        </w:trPr>
        <w:tc>
          <w:tcPr>
            <w:tcW w:w="220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05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4"/>
              <w:rPr>
                <w:rFonts w:ascii="Avenir Next Condensed" w:eastAsia="Avenir Next Condensed" w:hAnsi="Avenir Next Condensed" w:cs="Avenir Next Condensed"/>
                <w:sz w:val="18"/>
                <w:szCs w:val="18"/>
              </w:rPr>
            </w:pPr>
            <w:r>
              <w:rPr>
                <w:rFonts w:ascii="Avenir Next Condensed"/>
                <w:sz w:val="18"/>
              </w:rPr>
              <w:t>492.02</w:t>
            </w:r>
          </w:p>
        </w:tc>
        <w:tc>
          <w:tcPr>
            <w:tcW w:w="105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3"/>
              <w:rPr>
                <w:rFonts w:ascii="Avenir Next Condensed" w:eastAsia="Avenir Next Condensed" w:hAnsi="Avenir Next Condensed" w:cs="Avenir Next Condensed"/>
                <w:sz w:val="18"/>
                <w:szCs w:val="18"/>
              </w:rPr>
            </w:pPr>
            <w:r>
              <w:rPr>
                <w:rFonts w:ascii="Avenir Next Condensed"/>
                <w:sz w:val="18"/>
              </w:rPr>
              <w:t>505.41</w:t>
            </w:r>
          </w:p>
        </w:tc>
        <w:tc>
          <w:tcPr>
            <w:tcW w:w="169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9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(1+CPI)</w:t>
            </w:r>
          </w:p>
        </w:tc>
        <w:tc>
          <w:tcPr>
            <w:tcW w:w="169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(1+CPI)</w:t>
            </w:r>
          </w:p>
        </w:tc>
      </w:tr>
      <w:tr w:rsidR="00D96B91">
        <w:trPr>
          <w:trHeight w:hRule="exact" w:val="627"/>
        </w:trPr>
        <w:tc>
          <w:tcPr>
            <w:tcW w:w="220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4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Fixtures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w:t>
            </w:r>
            <w:r>
              <w:rPr>
                <w:rFonts w:ascii="Avenir Next Condensed" w:eastAsia="Avenir Next Condensed" w:hAnsi="Avenir Next Condensed" w:cs="Avenir Next Condensed"/>
                <w:sz w:val="18"/>
                <w:szCs w:val="18"/>
              </w:rPr>
              <w:t xml:space="preserve"> – non-</w:t>
            </w:r>
            <w:r>
              <w:rPr>
                <w:rFonts w:ascii="Avenir Next Condensed" w:eastAsia="Avenir Next Condensed" w:hAnsi="Avenir Next Condensed" w:cs="Avenir Next Condensed"/>
                <w:spacing w:val="27"/>
                <w:sz w:val="18"/>
                <w:szCs w:val="18"/>
              </w:rPr>
              <w:t xml:space="preserve"> </w:t>
            </w:r>
            <w:r>
              <w:rPr>
                <w:rFonts w:ascii="Avenir Next Condensed" w:eastAsia="Avenir Next Condensed" w:hAnsi="Avenir Next Condensed" w:cs="Avenir Next Condensed"/>
                <w:spacing w:val="-1"/>
                <w:sz w:val="18"/>
                <w:szCs w:val="18"/>
              </w:rPr>
              <w:t>residential</w:t>
            </w:r>
            <w:r>
              <w:rPr>
                <w:rFonts w:ascii="Avenir Next Condensed" w:eastAsia="Avenir Next Condensed" w:hAnsi="Avenir Next Condensed" w:cs="Avenir Next Condensed"/>
                <w:sz w:val="18"/>
                <w:szCs w:val="18"/>
              </w:rPr>
              <w:t xml:space="preserve"> customers ($ pa)</w:t>
            </w:r>
          </w:p>
        </w:tc>
        <w:tc>
          <w:tcPr>
            <w:tcW w:w="10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4"/>
              <w:rPr>
                <w:rFonts w:ascii="Avenir Next Condensed" w:eastAsia="Avenir Next Condensed" w:hAnsi="Avenir Next Condensed" w:cs="Avenir Next Condensed"/>
                <w:sz w:val="18"/>
                <w:szCs w:val="18"/>
              </w:rPr>
            </w:pPr>
            <w:r>
              <w:rPr>
                <w:rFonts w:ascii="Avenir Next Condensed"/>
                <w:sz w:val="18"/>
              </w:rPr>
              <w:t>481.18</w:t>
            </w:r>
          </w:p>
        </w:tc>
        <w:tc>
          <w:tcPr>
            <w:tcW w:w="105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3"/>
              <w:rPr>
                <w:rFonts w:ascii="Avenir Next Condensed" w:eastAsia="Avenir Next Condensed" w:hAnsi="Avenir Next Condensed" w:cs="Avenir Next Condensed"/>
                <w:sz w:val="18"/>
                <w:szCs w:val="18"/>
              </w:rPr>
            </w:pPr>
            <w:r>
              <w:rPr>
                <w:rFonts w:ascii="Avenir Next Condensed"/>
                <w:sz w:val="18"/>
              </w:rPr>
              <w:t>494.28</w:t>
            </w:r>
          </w:p>
        </w:tc>
        <w:tc>
          <w:tcPr>
            <w:tcW w:w="16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1"/>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(1+CPI)×(1+2.4%)</w:t>
            </w:r>
          </w:p>
        </w:tc>
        <w:tc>
          <w:tcPr>
            <w:tcW w:w="16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(1+CPI)</w:t>
            </w:r>
          </w:p>
        </w:tc>
        <w:tc>
          <w:tcPr>
            <w:tcW w:w="16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(1+CPI)</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w:t>
      </w:r>
      <w:r>
        <w:rPr>
          <w:rFonts w:ascii="Avenir Next"/>
          <w:spacing w:val="-3"/>
          <w:sz w:val="16"/>
        </w:rPr>
        <w:t xml:space="preserve"> </w:t>
      </w:r>
      <w:r>
        <w:rPr>
          <w:rFonts w:ascii="Avenir Next"/>
          <w:sz w:val="16"/>
        </w:rPr>
        <w:t xml:space="preserve">Also subject to </w:t>
      </w:r>
      <w:r>
        <w:rPr>
          <w:rFonts w:ascii="Avenir Next"/>
          <w:spacing w:val="-1"/>
          <w:sz w:val="16"/>
        </w:rPr>
        <w:t>operation</w:t>
      </w:r>
      <w:r>
        <w:rPr>
          <w:rFonts w:ascii="Avenir Next"/>
          <w:sz w:val="16"/>
        </w:rPr>
        <w:t xml:space="preserve"> of</w:t>
      </w:r>
      <w:r>
        <w:rPr>
          <w:rFonts w:ascii="Avenir Next"/>
          <w:spacing w:val="3"/>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pPr>
    </w:p>
    <w:p w:rsidR="00D96B91" w:rsidRDefault="00D96B91">
      <w:pPr>
        <w:pStyle w:val="BodyText"/>
        <w:spacing w:before="115" w:line="260" w:lineRule="exact"/>
        <w:ind w:right="1389"/>
      </w:pPr>
      <w:hyperlink w:anchor="_bookmark133" w:history="1">
        <w:r w:rsidR="00C2656B">
          <w:rPr>
            <w:spacing w:val="-4"/>
          </w:rPr>
          <w:t>Table</w:t>
        </w:r>
        <w:r w:rsidR="00C2656B">
          <w:t xml:space="preserve"> 14.6</w:t>
        </w:r>
      </w:hyperlink>
      <w:r w:rsidR="00C2656B">
        <w:t xml:space="preserve"> </w:t>
      </w:r>
      <w:r w:rsidR="00C2656B">
        <w:rPr>
          <w:rFonts w:cs="Avenir Next"/>
          <w:spacing w:val="-1"/>
        </w:rPr>
        <w:t>provides</w:t>
      </w:r>
      <w:r w:rsidR="00C2656B">
        <w:rPr>
          <w:rFonts w:cs="Avenir Next"/>
        </w:rPr>
        <w:t xml:space="preserve"> the </w:t>
      </w:r>
      <w:r w:rsidR="00C2656B">
        <w:rPr>
          <w:rFonts w:cs="Avenir Next"/>
          <w:spacing w:val="-4"/>
        </w:rPr>
        <w:t>Panel’s</w:t>
      </w:r>
      <w:r w:rsidR="00C2656B">
        <w:rPr>
          <w:rFonts w:cs="Avenir Next"/>
        </w:rPr>
        <w:t xml:space="preserve"> </w:t>
      </w:r>
      <w:r w:rsidR="00C2656B">
        <w:rPr>
          <w:rFonts w:cs="Avenir Next"/>
          <w:spacing w:val="-1"/>
        </w:rPr>
        <w:t>indicative</w:t>
      </w:r>
      <w:r w:rsidR="00C2656B">
        <w:rPr>
          <w:rFonts w:cs="Avenir Next"/>
        </w:rPr>
        <w:t xml:space="preserve"> </w:t>
      </w:r>
      <w:r w:rsidR="00C2656B">
        <w:rPr>
          <w:rFonts w:cs="Avenir Next"/>
          <w:spacing w:val="-1"/>
        </w:rPr>
        <w:t>estimates</w:t>
      </w:r>
      <w:r w:rsidR="00C2656B">
        <w:rPr>
          <w:rFonts w:cs="Avenir Next"/>
        </w:rPr>
        <w:t xml:space="preserve"> of</w:t>
      </w:r>
      <w:r w:rsidR="00C2656B">
        <w:rPr>
          <w:rFonts w:cs="Avenir Next"/>
          <w:spacing w:val="4"/>
        </w:rPr>
        <w:t xml:space="preserve"> </w:t>
      </w:r>
      <w:r w:rsidR="00C2656B">
        <w:rPr>
          <w:rFonts w:cs="Avenir Next"/>
          <w:spacing w:val="-1"/>
        </w:rPr>
        <w:t>sewerage</w:t>
      </w:r>
      <w:r w:rsidR="00C2656B">
        <w:rPr>
          <w:rFonts w:cs="Avenir Next"/>
        </w:rPr>
        <w:t xml:space="preserve"> </w:t>
      </w:r>
      <w:r w:rsidR="00C2656B">
        <w:rPr>
          <w:rFonts w:cs="Avenir Next"/>
          <w:spacing w:val="-1"/>
        </w:rPr>
        <w:t>charges</w:t>
      </w:r>
      <w:r w:rsidR="00C2656B">
        <w:rPr>
          <w:rFonts w:cs="Avenir Next"/>
        </w:rPr>
        <w:t xml:space="preserve"> in the last </w:t>
      </w:r>
      <w:r w:rsidR="00C2656B">
        <w:rPr>
          <w:rFonts w:cs="Avenir Next"/>
          <w:spacing w:val="-1"/>
        </w:rPr>
        <w:t>three</w:t>
      </w:r>
      <w:r w:rsidR="00C2656B">
        <w:rPr>
          <w:rFonts w:cs="Avenir Next"/>
        </w:rPr>
        <w:t xml:space="preserve"> </w:t>
      </w:r>
      <w:r w:rsidR="00C2656B">
        <w:rPr>
          <w:rFonts w:cs="Avenir Next"/>
          <w:spacing w:val="-1"/>
        </w:rPr>
        <w:t>years</w:t>
      </w:r>
      <w:r w:rsidR="00C2656B">
        <w:rPr>
          <w:rFonts w:cs="Avenir Next"/>
        </w:rPr>
        <w:t xml:space="preserve"> of</w:t>
      </w:r>
      <w:r w:rsidR="00C2656B">
        <w:rPr>
          <w:rFonts w:cs="Avenir Next"/>
          <w:spacing w:val="4"/>
        </w:rPr>
        <w:t xml:space="preserve"> </w:t>
      </w:r>
      <w:r w:rsidR="00C2656B">
        <w:rPr>
          <w:rFonts w:cs="Avenir Next"/>
        </w:rPr>
        <w:t>the</w:t>
      </w:r>
      <w:r w:rsidR="00C2656B">
        <w:rPr>
          <w:rFonts w:cs="Avenir Next"/>
          <w:spacing w:val="73"/>
        </w:rPr>
        <w:t xml:space="preserve"> </w:t>
      </w:r>
      <w:r w:rsidR="00C2656B">
        <w:rPr>
          <w:spacing w:val="-1"/>
        </w:rPr>
        <w:t xml:space="preserve">regulatory </w:t>
      </w:r>
      <w:r w:rsidR="00C2656B">
        <w:t>period,</w:t>
      </w:r>
      <w:r w:rsidR="00C2656B">
        <w:rPr>
          <w:spacing w:val="-6"/>
        </w:rPr>
        <w:t xml:space="preserve"> </w:t>
      </w:r>
      <w:r w:rsidR="00C2656B">
        <w:t>which have been</w:t>
      </w:r>
      <w:r w:rsidR="00C2656B">
        <w:rPr>
          <w:spacing w:val="-1"/>
        </w:rPr>
        <w:t xml:space="preserve"> calculated</w:t>
      </w:r>
      <w:r w:rsidR="00C2656B">
        <w:t xml:space="preserve"> assuming an </w:t>
      </w:r>
      <w:r w:rsidR="00C2656B">
        <w:rPr>
          <w:spacing w:val="-1"/>
        </w:rPr>
        <w:t xml:space="preserve">inflation </w:t>
      </w:r>
      <w:r w:rsidR="00C2656B">
        <w:rPr>
          <w:spacing w:val="-2"/>
        </w:rPr>
        <w:t>rate</w:t>
      </w:r>
      <w:r w:rsidR="00C2656B">
        <w:t xml:space="preserve"> (CPI) of</w:t>
      </w:r>
      <w:r w:rsidR="00C2656B">
        <w:rPr>
          <w:spacing w:val="4"/>
        </w:rPr>
        <w:t xml:space="preserve"> </w:t>
      </w:r>
      <w:r w:rsidR="00C2656B">
        <w:t>2.5%</w:t>
      </w:r>
      <w:r w:rsidR="00C2656B">
        <w:rPr>
          <w:spacing w:val="-1"/>
        </w:rPr>
        <w:t xml:space="preserve"> </w:t>
      </w:r>
      <w:r w:rsidR="00C2656B">
        <w:t>pa and the cost</w:t>
      </w:r>
      <w:r w:rsidR="00C2656B">
        <w:rPr>
          <w:spacing w:val="45"/>
        </w:rPr>
        <w:t xml:space="preserve"> </w:t>
      </w:r>
      <w:r w:rsidR="00C2656B">
        <w:rPr>
          <w:spacing w:val="-1"/>
        </w:rPr>
        <w:t>pass-through</w:t>
      </w:r>
      <w:r w:rsidR="00C2656B">
        <w:t xml:space="preserve"> mechanism described in section </w:t>
      </w:r>
      <w:hyperlink w:anchor="_bookmark40" w:history="1">
        <w:r w:rsidR="00C2656B">
          <w:t>6.5</w:t>
        </w:r>
      </w:hyperlink>
      <w:r w:rsidR="00C2656B">
        <w:t xml:space="preserve"> is not </w:t>
      </w:r>
      <w:r w:rsidR="00C2656B">
        <w:rPr>
          <w:spacing w:val="-1"/>
        </w:rPr>
        <w:t>triggered.</w:t>
      </w:r>
    </w:p>
    <w:p w:rsidR="00D96B91" w:rsidRDefault="00C2656B">
      <w:pPr>
        <w:spacing w:before="158"/>
        <w:ind w:left="1247"/>
        <w:rPr>
          <w:rFonts w:ascii="Avenir Next" w:eastAsia="Avenir Next" w:hAnsi="Avenir Next" w:cs="Avenir Next"/>
          <w:sz w:val="20"/>
          <w:szCs w:val="20"/>
        </w:rPr>
      </w:pPr>
      <w:bookmarkStart w:id="205" w:name="_bookmark133"/>
      <w:bookmarkEnd w:id="20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14.6: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decision – </w:t>
      </w:r>
      <w:r>
        <w:rPr>
          <w:rFonts w:ascii="Avenir Next" w:eastAsia="Avenir Next" w:hAnsi="Avenir Next" w:cs="Avenir Next"/>
          <w:b/>
          <w:bCs/>
          <w:spacing w:val="-1"/>
          <w:sz w:val="20"/>
          <w:szCs w:val="20"/>
        </w:rPr>
        <w:t>Indicative</w:t>
      </w:r>
      <w:r>
        <w:rPr>
          <w:rFonts w:ascii="Avenir Next" w:eastAsia="Avenir Next" w:hAnsi="Avenir Next" w:cs="Avenir Next"/>
          <w:b/>
          <w:bCs/>
          <w:sz w:val="20"/>
          <w:szCs w:val="20"/>
        </w:rPr>
        <w:t xml:space="preserve"> maximum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2264"/>
        <w:gridCol w:w="1176"/>
        <w:gridCol w:w="1176"/>
        <w:gridCol w:w="1595"/>
        <w:gridCol w:w="1595"/>
        <w:gridCol w:w="1596"/>
      </w:tblGrid>
      <w:tr w:rsidR="00D96B91">
        <w:trPr>
          <w:trHeight w:hRule="exact" w:val="407"/>
        </w:trPr>
        <w:tc>
          <w:tcPr>
            <w:tcW w:w="2264"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1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1"/>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1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1"/>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5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01"/>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5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01"/>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5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01"/>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627"/>
        </w:trPr>
        <w:tc>
          <w:tcPr>
            <w:tcW w:w="2264" w:type="dxa"/>
            <w:vMerge/>
            <w:tcBorders>
              <w:left w:val="single" w:sz="4" w:space="0" w:color="1A9EDA"/>
              <w:bottom w:val="single" w:sz="4" w:space="0" w:color="1A9EDA"/>
              <w:right w:val="single" w:sz="4" w:space="0" w:color="1A9EDA"/>
            </w:tcBorders>
            <w:shd w:val="clear" w:color="auto" w:fill="0778BE"/>
          </w:tcPr>
          <w:p w:rsidR="00D96B91" w:rsidRDefault="00D96B91"/>
        </w:tc>
        <w:tc>
          <w:tcPr>
            <w:tcW w:w="2351"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rsidP="00C61167">
            <w:pPr>
              <w:pStyle w:val="TableParagraph"/>
              <w:spacing w:before="112" w:line="220" w:lineRule="exact"/>
              <w:ind w:left="401" w:right="46" w:firstLine="63"/>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payable under</w:t>
            </w:r>
            <w:r>
              <w:rPr>
                <w:rFonts w:ascii="Avenir Next Condensed"/>
                <w:b/>
                <w:color w:val="FFFFFF"/>
                <w:spacing w:val="21"/>
                <w:sz w:val="18"/>
              </w:rPr>
              <w:t xml:space="preserve"> </w:t>
            </w:r>
            <w:r>
              <w:rPr>
                <w:rFonts w:ascii="Avenir Next Condensed"/>
                <w:b/>
                <w:color w:val="FFFFFF"/>
                <w:sz w:val="18"/>
              </w:rPr>
              <w:t xml:space="preserve">original price </w:t>
            </w:r>
            <w:r>
              <w:rPr>
                <w:rFonts w:ascii="Avenir Next Condensed"/>
                <w:b/>
                <w:color w:val="FFFFFF"/>
                <w:spacing w:val="-1"/>
                <w:sz w:val="18"/>
              </w:rPr>
              <w:t>direction</w:t>
            </w:r>
          </w:p>
        </w:tc>
        <w:tc>
          <w:tcPr>
            <w:tcW w:w="4786"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jc w:val="center"/>
              <w:rPr>
                <w:rFonts w:ascii="Avenir Next Condensed" w:eastAsia="Avenir Next Condensed" w:hAnsi="Avenir Next Condensed" w:cs="Avenir Next Condensed"/>
                <w:sz w:val="18"/>
                <w:szCs w:val="18"/>
              </w:rPr>
            </w:pPr>
            <w:r>
              <w:rPr>
                <w:rFonts w:ascii="Avenir Next Condensed"/>
                <w:b/>
                <w:color w:val="FFFFFF"/>
                <w:sz w:val="18"/>
              </w:rPr>
              <w:t>Indicative estimates*</w:t>
            </w:r>
          </w:p>
        </w:tc>
      </w:tr>
      <w:tr w:rsidR="00D96B91">
        <w:trPr>
          <w:trHeight w:hRule="exact" w:val="407"/>
        </w:trPr>
        <w:tc>
          <w:tcPr>
            <w:tcW w:w="9401" w:type="dxa"/>
            <w:gridSpan w:val="6"/>
            <w:tcBorders>
              <w:top w:val="single" w:sz="4" w:space="0" w:color="1A9EDA"/>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pacing w:val="-1"/>
                <w:sz w:val="18"/>
              </w:rPr>
              <w:t>Sewerage</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68"/>
              <w:rPr>
                <w:rFonts w:ascii="Avenir Next Condensed" w:eastAsia="Avenir Next Condensed" w:hAnsi="Avenir Next Condensed" w:cs="Avenir Next Condensed"/>
                <w:sz w:val="18"/>
                <w:szCs w:val="18"/>
              </w:rPr>
            </w:pPr>
            <w:r>
              <w:rPr>
                <w:rFonts w:ascii="Avenir Next Condensed"/>
                <w:sz w:val="18"/>
              </w:rPr>
              <w:t>492.02</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68"/>
              <w:rPr>
                <w:rFonts w:ascii="Avenir Next Condensed" w:eastAsia="Avenir Next Condensed" w:hAnsi="Avenir Next Condensed" w:cs="Avenir Next Condensed"/>
                <w:sz w:val="18"/>
                <w:szCs w:val="18"/>
              </w:rPr>
            </w:pPr>
            <w:r>
              <w:rPr>
                <w:rFonts w:ascii="Avenir Next Condensed"/>
                <w:sz w:val="18"/>
              </w:rPr>
              <w:t>505.41</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530.34</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543.60</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557.18</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z w:val="18"/>
              </w:rPr>
              <w:t xml:space="preserve"> ($ pa)</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68"/>
              <w:rPr>
                <w:rFonts w:ascii="Avenir Next Condensed" w:eastAsia="Avenir Next Condensed" w:hAnsi="Avenir Next Condensed" w:cs="Avenir Next Condensed"/>
                <w:sz w:val="18"/>
                <w:szCs w:val="18"/>
              </w:rPr>
            </w:pPr>
            <w:r>
              <w:rPr>
                <w:rFonts w:ascii="Avenir Next Condensed"/>
                <w:sz w:val="18"/>
              </w:rPr>
              <w:t>481.18</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68"/>
              <w:rPr>
                <w:rFonts w:ascii="Avenir Next Condensed" w:eastAsia="Avenir Next Condensed" w:hAnsi="Avenir Next Condensed" w:cs="Avenir Next Condensed"/>
                <w:sz w:val="18"/>
                <w:szCs w:val="18"/>
              </w:rPr>
            </w:pPr>
            <w:r>
              <w:rPr>
                <w:rFonts w:ascii="Avenir Next Condensed"/>
                <w:sz w:val="18"/>
              </w:rPr>
              <w:t>494.28</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518.66</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531.62</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544.91</w:t>
            </w:r>
          </w:p>
        </w:tc>
      </w:tr>
      <w:tr w:rsidR="00D96B91">
        <w:trPr>
          <w:trHeight w:hRule="exact" w:val="407"/>
        </w:trPr>
        <w:tc>
          <w:tcPr>
            <w:tcW w:w="9401" w:type="dxa"/>
            <w:gridSpan w:val="6"/>
            <w:tcBorders>
              <w:top w:val="single" w:sz="4" w:space="0" w:color="17A7E0"/>
              <w:left w:val="single" w:sz="4" w:space="0" w:color="17A7E0"/>
              <w:bottom w:val="single" w:sz="4" w:space="0" w:color="17A7E0"/>
              <w:right w:val="single" w:sz="4" w:space="0" w:color="17A7E0"/>
            </w:tcBorders>
            <w:shd w:val="clear" w:color="auto" w:fill="9AC6EA"/>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sz w:val="18"/>
              </w:rPr>
              <w:t xml:space="preserve">% Change on </w:t>
            </w:r>
            <w:r>
              <w:rPr>
                <w:rFonts w:ascii="Avenir Next Condensed"/>
                <w:b/>
                <w:spacing w:val="-1"/>
                <w:sz w:val="18"/>
              </w:rPr>
              <w:t>Previous</w:t>
            </w:r>
            <w:r>
              <w:rPr>
                <w:rFonts w:ascii="Avenir Next Condensed"/>
                <w:b/>
                <w:spacing w:val="-5"/>
                <w:sz w:val="18"/>
              </w:rPr>
              <w:t xml:space="preserve"> </w:t>
            </w:r>
            <w:r>
              <w:rPr>
                <w:rFonts w:ascii="Avenir Next Condensed"/>
                <w:b/>
                <w:spacing w:val="-3"/>
                <w:sz w:val="18"/>
              </w:rPr>
              <w:t>Year</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83"/>
              <w:rPr>
                <w:rFonts w:ascii="Avenir Next Condensed" w:eastAsia="Avenir Next Condensed" w:hAnsi="Avenir Next Condensed" w:cs="Avenir Next Condensed"/>
                <w:sz w:val="18"/>
                <w:szCs w:val="18"/>
              </w:rPr>
            </w:pPr>
            <w:r>
              <w:rPr>
                <w:rFonts w:ascii="Avenir Next Condensed"/>
                <w:sz w:val="18"/>
              </w:rPr>
              <w:t>-18.1%</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508"/>
              <w:rPr>
                <w:rFonts w:ascii="Avenir Next Condensed" w:eastAsia="Avenir Next Condensed" w:hAnsi="Avenir Next Condensed" w:cs="Avenir Next Condensed"/>
                <w:sz w:val="18"/>
                <w:szCs w:val="18"/>
              </w:rPr>
            </w:pPr>
            <w:r>
              <w:rPr>
                <w:rFonts w:ascii="Avenir Next Condensed"/>
                <w:sz w:val="18"/>
              </w:rPr>
              <w:t>2.7%</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4.9%</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2.5%</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2.5%</w:t>
            </w:r>
          </w:p>
        </w:tc>
      </w:tr>
      <w:tr w:rsidR="00D96B91">
        <w:trPr>
          <w:trHeight w:hRule="exact" w:val="407"/>
        </w:trPr>
        <w:tc>
          <w:tcPr>
            <w:tcW w:w="22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z w:val="18"/>
              </w:rPr>
              <w:t xml:space="preserve"> ($ pa)</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83"/>
              <w:rPr>
                <w:rFonts w:ascii="Avenir Next Condensed" w:eastAsia="Avenir Next Condensed" w:hAnsi="Avenir Next Condensed" w:cs="Avenir Next Condensed"/>
                <w:sz w:val="18"/>
                <w:szCs w:val="18"/>
              </w:rPr>
            </w:pPr>
            <w:r>
              <w:rPr>
                <w:rFonts w:ascii="Avenir Next Condensed"/>
                <w:sz w:val="18"/>
              </w:rPr>
              <w:t>-18.1%</w:t>
            </w:r>
          </w:p>
        </w:tc>
        <w:tc>
          <w:tcPr>
            <w:tcW w:w="1176"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508"/>
              <w:rPr>
                <w:rFonts w:ascii="Avenir Next Condensed" w:eastAsia="Avenir Next Condensed" w:hAnsi="Avenir Next Condensed" w:cs="Avenir Next Condensed"/>
                <w:sz w:val="18"/>
                <w:szCs w:val="18"/>
              </w:rPr>
            </w:pPr>
            <w:r>
              <w:rPr>
                <w:rFonts w:ascii="Avenir Next Condensed"/>
                <w:sz w:val="18"/>
              </w:rPr>
              <w:t>2.7%</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4.9%</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2.5%</w:t>
            </w:r>
          </w:p>
        </w:tc>
        <w:tc>
          <w:tcPr>
            <w:tcW w:w="15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9"/>
              <w:jc w:val="center"/>
              <w:rPr>
                <w:rFonts w:ascii="Avenir Next Condensed" w:eastAsia="Avenir Next Condensed" w:hAnsi="Avenir Next Condensed" w:cs="Avenir Next Condensed"/>
                <w:sz w:val="18"/>
                <w:szCs w:val="18"/>
              </w:rPr>
            </w:pPr>
            <w:r>
              <w:rPr>
                <w:rFonts w:ascii="Avenir Next Condensed"/>
                <w:sz w:val="18"/>
              </w:rPr>
              <w:t>2.5%</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548"/>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w:t>
      </w:r>
      <w:r>
        <w:rPr>
          <w:rFonts w:ascii="Avenir Next"/>
          <w:spacing w:val="-1"/>
          <w:sz w:val="16"/>
        </w:rPr>
        <w:t>estimates</w:t>
      </w:r>
      <w:r>
        <w:rPr>
          <w:rFonts w:ascii="Avenir Next"/>
          <w:sz w:val="16"/>
        </w:rPr>
        <w:t xml:space="preserve"> assume </w:t>
      </w:r>
      <w:r>
        <w:rPr>
          <w:rFonts w:ascii="Avenir Next"/>
          <w:spacing w:val="-1"/>
          <w:sz w:val="16"/>
        </w:rPr>
        <w:t>inflation</w:t>
      </w:r>
      <w:r>
        <w:rPr>
          <w:rFonts w:ascii="Avenir Next"/>
          <w:sz w:val="16"/>
        </w:rPr>
        <w:t xml:space="preserve"> of</w:t>
      </w:r>
      <w:r>
        <w:rPr>
          <w:rFonts w:ascii="Avenir Next"/>
          <w:spacing w:val="2"/>
          <w:sz w:val="16"/>
        </w:rPr>
        <w:t xml:space="preserve"> </w:t>
      </w:r>
      <w:r>
        <w:rPr>
          <w:rFonts w:ascii="Avenir Next"/>
          <w:sz w:val="16"/>
        </w:rPr>
        <w:t xml:space="preserve">2.5% pa and no </w:t>
      </w:r>
      <w:r>
        <w:rPr>
          <w:rFonts w:ascii="Avenir Next"/>
          <w:spacing w:val="-1"/>
          <w:sz w:val="16"/>
        </w:rPr>
        <w:t>material</w:t>
      </w:r>
      <w:r>
        <w:rPr>
          <w:rFonts w:ascii="Avenir Next"/>
          <w:sz w:val="16"/>
        </w:rPr>
        <w:t xml:space="preserve"> changes</w:t>
      </w:r>
      <w:r>
        <w:rPr>
          <w:rFonts w:ascii="Avenir Next"/>
          <w:spacing w:val="-1"/>
          <w:sz w:val="16"/>
        </w:rPr>
        <w:t xml:space="preserve"> </w:t>
      </w:r>
      <w:r>
        <w:rPr>
          <w:rFonts w:ascii="Avenir Next"/>
          <w:sz w:val="16"/>
        </w:rPr>
        <w:t xml:space="preserve">in costs or Government </w:t>
      </w:r>
      <w:r>
        <w:rPr>
          <w:rFonts w:ascii="Avenir Next"/>
          <w:spacing w:val="-1"/>
          <w:sz w:val="16"/>
        </w:rPr>
        <w:t>charges</w:t>
      </w:r>
      <w:r>
        <w:rPr>
          <w:rFonts w:ascii="Avenir Next"/>
          <w:sz w:val="16"/>
        </w:rPr>
        <w:t xml:space="preserve"> </w:t>
      </w:r>
      <w:r>
        <w:rPr>
          <w:rFonts w:ascii="Avenir Next"/>
          <w:spacing w:val="-1"/>
          <w:sz w:val="16"/>
        </w:rPr>
        <w:t xml:space="preserve">that </w:t>
      </w:r>
      <w:r>
        <w:rPr>
          <w:rFonts w:ascii="Avenir Next"/>
          <w:sz w:val="16"/>
        </w:rPr>
        <w:t>would</w:t>
      </w:r>
      <w:r>
        <w:rPr>
          <w:rFonts w:ascii="Avenir Next"/>
          <w:spacing w:val="69"/>
          <w:sz w:val="16"/>
        </w:rPr>
        <w:t xml:space="preserve"> </w:t>
      </w:r>
      <w:r>
        <w:rPr>
          <w:rFonts w:ascii="Avenir Next"/>
          <w:sz w:val="16"/>
        </w:rPr>
        <w:t xml:space="preserve">trigger the 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283"/>
        <w:rPr>
          <w:rFonts w:cs="Avenir Next"/>
        </w:rPr>
      </w:pPr>
      <w:r>
        <w:t xml:space="preserve">In </w:t>
      </w:r>
      <w:r>
        <w:rPr>
          <w:spacing w:val="-1"/>
        </w:rPr>
        <w:t>contrast</w:t>
      </w:r>
      <w:r>
        <w:t xml:space="preserve"> to </w:t>
      </w:r>
      <w:r>
        <w:rPr>
          <w:spacing w:val="-1"/>
        </w:rPr>
        <w:t>water</w:t>
      </w:r>
      <w:r>
        <w:t xml:space="preserve"> </w:t>
      </w:r>
      <w:r>
        <w:rPr>
          <w:spacing w:val="-1"/>
        </w:rPr>
        <w:t>charges,</w:t>
      </w:r>
      <w:r>
        <w:rPr>
          <w:spacing w:val="-6"/>
        </w:rPr>
        <w:t xml:space="preserve"> </w:t>
      </w:r>
      <w:r>
        <w:t xml:space="preserve">the </w:t>
      </w:r>
      <w:r>
        <w:rPr>
          <w:spacing w:val="-4"/>
        </w:rPr>
        <w:t>Panel’s</w:t>
      </w:r>
      <w:r>
        <w:t xml:space="preserve"> </w:t>
      </w:r>
      <w:r>
        <w:rPr>
          <w:spacing w:val="-1"/>
        </w:rPr>
        <w:t>indicative</w:t>
      </w:r>
      <w:r>
        <w:t xml:space="preserve"> </w:t>
      </w:r>
      <w:r>
        <w:rPr>
          <w:spacing w:val="-1"/>
        </w:rPr>
        <w:t>sewerage</w:t>
      </w:r>
      <w:r>
        <w:t xml:space="preserve"> </w:t>
      </w:r>
      <w:r>
        <w:rPr>
          <w:spacing w:val="-1"/>
        </w:rPr>
        <w:t>charges</w:t>
      </w:r>
      <w:r>
        <w:t xml:space="preserve"> for 2015-16 </w:t>
      </w:r>
      <w:r>
        <w:rPr>
          <w:spacing w:val="-2"/>
        </w:rPr>
        <w:t>are</w:t>
      </w:r>
      <w:r>
        <w:t xml:space="preserve"> </w:t>
      </w:r>
      <w:r>
        <w:rPr>
          <w:spacing w:val="-1"/>
        </w:rPr>
        <w:t>around</w:t>
      </w:r>
      <w:r>
        <w:t xml:space="preserve"> 4.9%</w:t>
      </w:r>
      <w:r>
        <w:rPr>
          <w:spacing w:val="77"/>
        </w:rPr>
        <w:t xml:space="preserve"> </w:t>
      </w:r>
      <w:r>
        <w:t>higher</w:t>
      </w:r>
      <w:r>
        <w:rPr>
          <w:spacing w:val="-1"/>
        </w:rPr>
        <w:t xml:space="preserve"> </w:t>
      </w:r>
      <w:r>
        <w:t>than the</w:t>
      </w:r>
      <w:r>
        <w:rPr>
          <w:spacing w:val="-1"/>
        </w:rPr>
        <w:t xml:space="preserve"> </w:t>
      </w:r>
      <w:r>
        <w:t xml:space="preserve">2014-15 </w:t>
      </w:r>
      <w:r>
        <w:rPr>
          <w:spacing w:val="-1"/>
        </w:rPr>
        <w:t xml:space="preserve">charges </w:t>
      </w:r>
      <w:r>
        <w:t>payable under the</w:t>
      </w:r>
      <w:r>
        <w:rPr>
          <w:spacing w:val="-1"/>
        </w:rPr>
        <w:t xml:space="preserve"> </w:t>
      </w:r>
      <w:r>
        <w:rPr>
          <w:spacing w:val="-2"/>
        </w:rPr>
        <w:t>ICRC’s</w:t>
      </w:r>
      <w:r>
        <w:t xml:space="preserve"> original</w:t>
      </w:r>
      <w:r>
        <w:rPr>
          <w:spacing w:val="-1"/>
        </w:rPr>
        <w:t xml:space="preserve"> </w:t>
      </w:r>
      <w:r>
        <w:t xml:space="preserve">price </w:t>
      </w:r>
      <w:r>
        <w:rPr>
          <w:spacing w:val="-1"/>
        </w:rPr>
        <w:t>direction.</w:t>
      </w:r>
      <w:r>
        <w:rPr>
          <w:spacing w:val="-12"/>
        </w:rPr>
        <w:t xml:space="preserve"> </w:t>
      </w:r>
      <w:r>
        <w:rPr>
          <w:spacing w:val="-1"/>
        </w:rPr>
        <w:t>This</w:t>
      </w:r>
      <w:r>
        <w:t xml:space="preserve"> </w:t>
      </w:r>
      <w:r>
        <w:rPr>
          <w:spacing w:val="-1"/>
        </w:rPr>
        <w:t>reflects</w:t>
      </w:r>
      <w:r>
        <w:t xml:space="preserve"> the</w:t>
      </w:r>
      <w:r>
        <w:rPr>
          <w:spacing w:val="31"/>
        </w:rPr>
        <w:t xml:space="preserve"> </w:t>
      </w:r>
      <w:r>
        <w:rPr>
          <w:rFonts w:cs="Avenir Next"/>
        </w:rPr>
        <w:t>following factors:</w:t>
      </w:r>
    </w:p>
    <w:p w:rsidR="00D96B91" w:rsidRDefault="00C2656B">
      <w:pPr>
        <w:pStyle w:val="BodyText"/>
        <w:numPr>
          <w:ilvl w:val="0"/>
          <w:numId w:val="131"/>
        </w:numPr>
        <w:tabs>
          <w:tab w:val="left" w:pos="1531"/>
        </w:tabs>
        <w:spacing w:before="170" w:line="260" w:lineRule="exact"/>
        <w:ind w:right="1477" w:hanging="283"/>
      </w:pPr>
      <w:r>
        <w:rPr>
          <w:rFonts w:cs="Avenir Next"/>
        </w:rPr>
        <w:t xml:space="preserve">the </w:t>
      </w:r>
      <w:r>
        <w:rPr>
          <w:rFonts w:cs="Avenir Next"/>
          <w:spacing w:val="-4"/>
        </w:rPr>
        <w:t>Panel’s</w:t>
      </w:r>
      <w:r>
        <w:rPr>
          <w:rFonts w:cs="Avenir Next"/>
        </w:rPr>
        <w:t xml:space="preserve"> </w:t>
      </w:r>
      <w:r>
        <w:rPr>
          <w:rFonts w:cs="Avenir Next"/>
          <w:spacing w:val="-2"/>
        </w:rPr>
        <w:t>draft</w:t>
      </w:r>
      <w:r>
        <w:rPr>
          <w:rFonts w:cs="Avenir Next"/>
        </w:rPr>
        <w:t xml:space="preserve"> decision on the net </w:t>
      </w:r>
      <w:r>
        <w:rPr>
          <w:rFonts w:cs="Avenir Next"/>
          <w:spacing w:val="-1"/>
        </w:rPr>
        <w:t>revenue</w:t>
      </w:r>
      <w:r>
        <w:rPr>
          <w:rFonts w:cs="Avenir Next"/>
        </w:rPr>
        <w:t xml:space="preserve"> </w:t>
      </w:r>
      <w:r>
        <w:rPr>
          <w:rFonts w:cs="Avenir Next"/>
          <w:spacing w:val="-1"/>
        </w:rPr>
        <w:t>requirement</w:t>
      </w:r>
      <w:r>
        <w:rPr>
          <w:rFonts w:cs="Avenir Next"/>
        </w:rPr>
        <w:t xml:space="preserve"> for </w:t>
      </w:r>
      <w:r>
        <w:rPr>
          <w:rFonts w:cs="Avenir Next"/>
          <w:spacing w:val="-1"/>
        </w:rPr>
        <w:t>sewerage</w:t>
      </w:r>
      <w:r>
        <w:rPr>
          <w:rFonts w:cs="Avenir Next"/>
        </w:rPr>
        <w:t xml:space="preserve"> services is higher than </w:t>
      </w:r>
      <w:r>
        <w:rPr>
          <w:rFonts w:cs="Avenir Next"/>
          <w:spacing w:val="-1"/>
        </w:rPr>
        <w:t>that</w:t>
      </w:r>
      <w:r>
        <w:rPr>
          <w:rFonts w:cs="Avenir Next"/>
          <w:spacing w:val="45"/>
        </w:rPr>
        <w:t xml:space="preserve"> </w:t>
      </w:r>
      <w:r>
        <w:t>used by the ICRC to set prices in 2013-14 and 2014-15</w:t>
      </w:r>
    </w:p>
    <w:p w:rsidR="00D96B91" w:rsidRDefault="00C2656B">
      <w:pPr>
        <w:pStyle w:val="BodyText"/>
        <w:numPr>
          <w:ilvl w:val="0"/>
          <w:numId w:val="131"/>
        </w:numPr>
        <w:tabs>
          <w:tab w:val="left" w:pos="1531"/>
        </w:tabs>
        <w:spacing w:before="85" w:line="260" w:lineRule="exact"/>
        <w:ind w:right="1311" w:hanging="283"/>
        <w:rPr>
          <w:rFonts w:cs="Avenir Next"/>
        </w:rPr>
      </w:pPr>
      <w:r>
        <w:t>the</w:t>
      </w:r>
      <w:r>
        <w:rPr>
          <w:spacing w:val="-1"/>
        </w:rPr>
        <w:t xml:space="preserve"> revenue</w:t>
      </w:r>
      <w:r>
        <w:t xml:space="preserve"> over </w:t>
      </w:r>
      <w:r>
        <w:rPr>
          <w:spacing w:val="-1"/>
        </w:rPr>
        <w:t>recovery</w:t>
      </w:r>
      <w:r>
        <w:t xml:space="preserve"> for</w:t>
      </w:r>
      <w:r>
        <w:rPr>
          <w:spacing w:val="-1"/>
        </w:rPr>
        <w:t xml:space="preserve"> sewerage</w:t>
      </w:r>
      <w:r>
        <w:t xml:space="preserve"> services (ie,</w:t>
      </w:r>
      <w:r>
        <w:rPr>
          <w:spacing w:val="-6"/>
        </w:rPr>
        <w:t xml:space="preserve"> </w:t>
      </w:r>
      <w:r>
        <w:t>the value</w:t>
      </w:r>
      <w:r>
        <w:rPr>
          <w:spacing w:val="-1"/>
        </w:rPr>
        <w:t xml:space="preserve"> </w:t>
      </w:r>
      <w:r>
        <w:t>of</w:t>
      </w:r>
      <w:r>
        <w:rPr>
          <w:spacing w:val="4"/>
        </w:rPr>
        <w:t xml:space="preserve"> </w:t>
      </w:r>
      <w:r>
        <w:t>the ‘true-up’ adjustment) in</w:t>
      </w:r>
      <w:r>
        <w:rPr>
          <w:spacing w:val="-1"/>
        </w:rPr>
        <w:t xml:space="preserve"> </w:t>
      </w:r>
      <w:r>
        <w:t>the first</w:t>
      </w:r>
      <w:r>
        <w:rPr>
          <w:spacing w:val="25"/>
          <w:w w:val="99"/>
        </w:rPr>
        <w:t xml:space="preserve"> </w:t>
      </w:r>
      <w:r>
        <w:rPr>
          <w:rFonts w:cs="Avenir Next"/>
        </w:rPr>
        <w:t xml:space="preserve">two </w:t>
      </w:r>
      <w:r>
        <w:rPr>
          <w:rFonts w:cs="Avenir Next"/>
          <w:spacing w:val="-1"/>
        </w:rPr>
        <w:t>years</w:t>
      </w:r>
      <w:r>
        <w:rPr>
          <w:rFonts w:cs="Avenir Next"/>
        </w:rPr>
        <w:t xml:space="preserve"> is smaller than </w:t>
      </w:r>
      <w:r>
        <w:rPr>
          <w:rFonts w:cs="Avenir Next"/>
          <w:spacing w:val="-1"/>
        </w:rPr>
        <w:t>that</w:t>
      </w:r>
      <w:r>
        <w:rPr>
          <w:rFonts w:cs="Avenir Next"/>
        </w:rPr>
        <w:t xml:space="preserve"> for </w:t>
      </w:r>
      <w:r>
        <w:rPr>
          <w:rFonts w:cs="Avenir Next"/>
          <w:spacing w:val="-1"/>
        </w:rPr>
        <w:t>water</w:t>
      </w:r>
      <w:r>
        <w:rPr>
          <w:rFonts w:cs="Avenir Next"/>
        </w:rPr>
        <w:t xml:space="preserve"> services,</w:t>
      </w:r>
      <w:r>
        <w:rPr>
          <w:rFonts w:cs="Avenir Next"/>
          <w:spacing w:val="-7"/>
        </w:rPr>
        <w:t xml:space="preserve"> </w:t>
      </w:r>
      <w:r>
        <w:rPr>
          <w:rFonts w:cs="Avenir Next"/>
        </w:rPr>
        <w:t>and</w:t>
      </w:r>
    </w:p>
    <w:p w:rsidR="00D96B91" w:rsidRDefault="00C2656B">
      <w:pPr>
        <w:pStyle w:val="BodyText"/>
        <w:numPr>
          <w:ilvl w:val="0"/>
          <w:numId w:val="131"/>
        </w:numPr>
        <w:tabs>
          <w:tab w:val="left" w:pos="1531"/>
        </w:tabs>
        <w:spacing w:before="85" w:line="260" w:lineRule="exact"/>
        <w:ind w:right="1825" w:hanging="283"/>
      </w:pPr>
      <w:r>
        <w:t>the</w:t>
      </w:r>
      <w:r>
        <w:rPr>
          <w:spacing w:val="-1"/>
        </w:rPr>
        <w:t xml:space="preserve"> difference </w:t>
      </w:r>
      <w:r>
        <w:t>between the</w:t>
      </w:r>
      <w:r>
        <w:rPr>
          <w:spacing w:val="-1"/>
        </w:rPr>
        <w:t xml:space="preserve"> </w:t>
      </w:r>
      <w:r>
        <w:rPr>
          <w:spacing w:val="-4"/>
        </w:rPr>
        <w:t>Panel’s</w:t>
      </w:r>
      <w:r>
        <w:rPr>
          <w:spacing w:val="-1"/>
        </w:rPr>
        <w:t xml:space="preserve"> </w:t>
      </w:r>
      <w:r>
        <w:t xml:space="preserve">and </w:t>
      </w:r>
      <w:r>
        <w:rPr>
          <w:spacing w:val="-2"/>
        </w:rPr>
        <w:t>ICRC’s</w:t>
      </w:r>
      <w:r>
        <w:rPr>
          <w:spacing w:val="-1"/>
        </w:rPr>
        <w:t xml:space="preserve"> </w:t>
      </w:r>
      <w:r>
        <w:t>final</w:t>
      </w:r>
      <w:r>
        <w:rPr>
          <w:spacing w:val="-1"/>
        </w:rPr>
        <w:t xml:space="preserve"> </w:t>
      </w:r>
      <w:r>
        <w:t>decision on</w:t>
      </w:r>
      <w:r>
        <w:rPr>
          <w:spacing w:val="-1"/>
        </w:rPr>
        <w:t xml:space="preserve"> sewerage </w:t>
      </w:r>
      <w:r>
        <w:t>customer and</w:t>
      </w:r>
      <w:r>
        <w:rPr>
          <w:spacing w:val="-1"/>
        </w:rPr>
        <w:t xml:space="preserve"> fixture</w:t>
      </w:r>
      <w:r>
        <w:rPr>
          <w:spacing w:val="35"/>
        </w:rPr>
        <w:t xml:space="preserve"> </w:t>
      </w:r>
      <w:r>
        <w:rPr>
          <w:spacing w:val="-1"/>
        </w:rPr>
        <w:t xml:space="preserve">forecasts </w:t>
      </w:r>
      <w:r>
        <w:t>is</w:t>
      </w:r>
      <w:r>
        <w:rPr>
          <w:spacing w:val="-1"/>
        </w:rPr>
        <w:t xml:space="preserve"> </w:t>
      </w:r>
      <w:r>
        <w:t>not</w:t>
      </w:r>
      <w:r>
        <w:rPr>
          <w:spacing w:val="-1"/>
        </w:rPr>
        <w:t xml:space="preserve"> </w:t>
      </w:r>
      <w:r>
        <w:t>as</w:t>
      </w:r>
      <w:r>
        <w:rPr>
          <w:spacing w:val="-1"/>
        </w:rPr>
        <w:t xml:space="preserve"> </w:t>
      </w:r>
      <w:r>
        <w:t>significant</w:t>
      </w:r>
      <w:r>
        <w:rPr>
          <w:spacing w:val="-1"/>
        </w:rPr>
        <w:t xml:space="preserve"> </w:t>
      </w:r>
      <w:r>
        <w:t>as</w:t>
      </w:r>
      <w:r>
        <w:rPr>
          <w:spacing w:val="-1"/>
        </w:rPr>
        <w:t xml:space="preserve"> </w:t>
      </w:r>
      <w:r>
        <w:t>it</w:t>
      </w:r>
      <w:r>
        <w:rPr>
          <w:spacing w:val="-1"/>
        </w:rPr>
        <w:t xml:space="preserve"> </w:t>
      </w:r>
      <w:r>
        <w:t>is</w:t>
      </w:r>
      <w:r>
        <w:rPr>
          <w:spacing w:val="-1"/>
        </w:rPr>
        <w:t xml:space="preserve"> </w:t>
      </w:r>
      <w:r>
        <w:t>for</w:t>
      </w:r>
      <w:r>
        <w:rPr>
          <w:spacing w:val="-1"/>
        </w:rPr>
        <w:t xml:space="preserve"> water </w:t>
      </w:r>
      <w:r>
        <w:t>sales.</w:t>
      </w:r>
    </w:p>
    <w:p w:rsidR="00D96B91" w:rsidRDefault="00D96B91">
      <w:pPr>
        <w:spacing w:before="8"/>
        <w:rPr>
          <w:rFonts w:ascii="Avenir Next" w:eastAsia="Avenir Next" w:hAnsi="Avenir Next" w:cs="Avenir Next"/>
          <w:sz w:val="16"/>
          <w:szCs w:val="16"/>
        </w:rPr>
      </w:pPr>
    </w:p>
    <w:p w:rsidR="00D96B91" w:rsidRDefault="00D96B91">
      <w:pPr>
        <w:pStyle w:val="BodyText"/>
        <w:spacing w:line="260" w:lineRule="exact"/>
        <w:ind w:right="1270"/>
      </w:pPr>
      <w:hyperlink w:anchor="_bookmark134" w:history="1">
        <w:r w:rsidR="00C2656B">
          <w:rPr>
            <w:spacing w:val="-4"/>
          </w:rPr>
          <w:t>Table</w:t>
        </w:r>
        <w:r w:rsidR="00C2656B">
          <w:t xml:space="preserve"> 14.7</w:t>
        </w:r>
      </w:hyperlink>
      <w:r w:rsidR="00C2656B">
        <w:t xml:space="preserve"> </w:t>
      </w:r>
      <w:r w:rsidR="00C2656B">
        <w:rPr>
          <w:rFonts w:cs="Avenir Next"/>
        </w:rPr>
        <w:t xml:space="preserve">sets out the </w:t>
      </w:r>
      <w:r w:rsidR="00C2656B">
        <w:rPr>
          <w:rFonts w:cs="Avenir Next"/>
          <w:spacing w:val="-1"/>
        </w:rPr>
        <w:t>sewerage</w:t>
      </w:r>
      <w:r w:rsidR="00C2656B">
        <w:rPr>
          <w:rFonts w:cs="Avenir Next"/>
        </w:rPr>
        <w:t xml:space="preserve"> </w:t>
      </w:r>
      <w:r w:rsidR="00C2656B">
        <w:rPr>
          <w:rFonts w:cs="Avenir Next"/>
          <w:spacing w:val="-1"/>
        </w:rPr>
        <w:t>charges</w:t>
      </w:r>
      <w:r w:rsidR="00C2656B">
        <w:rPr>
          <w:rFonts w:cs="Avenir Next"/>
        </w:rPr>
        <w:t xml:space="preserve"> </w:t>
      </w:r>
      <w:r w:rsidR="00C2656B">
        <w:rPr>
          <w:rFonts w:cs="Avenir Next"/>
          <w:spacing w:val="-1"/>
        </w:rPr>
        <w:t>that</w:t>
      </w:r>
      <w:r w:rsidR="00C2656B">
        <w:rPr>
          <w:rFonts w:cs="Avenir Next"/>
          <w:spacing w:val="-4"/>
        </w:rPr>
        <w:t xml:space="preserve"> </w:t>
      </w:r>
      <w:r w:rsidR="00C2656B">
        <w:rPr>
          <w:rFonts w:cs="Avenir Next"/>
          <w:spacing w:val="-2"/>
        </w:rPr>
        <w:t>ACTEW</w:t>
      </w:r>
      <w:r w:rsidR="00C2656B">
        <w:rPr>
          <w:rFonts w:cs="Avenir Next"/>
          <w:spacing w:val="-3"/>
        </w:rPr>
        <w:t xml:space="preserve"> </w:t>
      </w:r>
      <w:r w:rsidR="00C2656B">
        <w:rPr>
          <w:rFonts w:cs="Avenir Next"/>
        </w:rPr>
        <w:t xml:space="preserve">informed the </w:t>
      </w:r>
      <w:r w:rsidR="00C2656B">
        <w:rPr>
          <w:rFonts w:cs="Avenir Next"/>
          <w:spacing w:val="-3"/>
        </w:rPr>
        <w:t>Panel</w:t>
      </w:r>
      <w:r w:rsidR="00C2656B">
        <w:rPr>
          <w:rFonts w:cs="Avenir Next"/>
        </w:rPr>
        <w:t xml:space="preserve"> could be </w:t>
      </w:r>
      <w:r w:rsidR="00C2656B">
        <w:rPr>
          <w:rFonts w:cs="Avenir Next"/>
          <w:spacing w:val="-1"/>
        </w:rPr>
        <w:t>inferred</w:t>
      </w:r>
      <w:r w:rsidR="00C2656B">
        <w:rPr>
          <w:rFonts w:cs="Avenir Next"/>
        </w:rPr>
        <w:t xml:space="preserve"> </w:t>
      </w:r>
      <w:r w:rsidR="00C2656B">
        <w:rPr>
          <w:rFonts w:cs="Avenir Next"/>
          <w:spacing w:val="-1"/>
        </w:rPr>
        <w:t>from</w:t>
      </w:r>
      <w:r w:rsidR="00C2656B">
        <w:rPr>
          <w:rFonts w:cs="Avenir Next"/>
        </w:rPr>
        <w:t xml:space="preserve"> its</w:t>
      </w:r>
      <w:r w:rsidR="00C2656B">
        <w:rPr>
          <w:rFonts w:cs="Avenir Next"/>
          <w:spacing w:val="39"/>
        </w:rPr>
        <w:t xml:space="preserve"> </w:t>
      </w:r>
      <w:r w:rsidR="00C2656B">
        <w:t xml:space="preserve">SOFC </w:t>
      </w:r>
      <w:r w:rsidR="00C2656B">
        <w:rPr>
          <w:spacing w:val="-1"/>
        </w:rPr>
        <w:t>proposal.</w:t>
      </w:r>
      <w:r w:rsidR="00C2656B">
        <w:rPr>
          <w:spacing w:val="-11"/>
        </w:rPr>
        <w:t xml:space="preserve"> </w:t>
      </w:r>
      <w:r w:rsidR="00C2656B">
        <w:rPr>
          <w:spacing w:val="-2"/>
        </w:rPr>
        <w:t>The</w:t>
      </w:r>
      <w:r w:rsidR="00C2656B">
        <w:t xml:space="preserve"> </w:t>
      </w:r>
      <w:r w:rsidR="00C2656B">
        <w:rPr>
          <w:spacing w:val="-4"/>
        </w:rPr>
        <w:t>Panel’s</w:t>
      </w:r>
      <w:r w:rsidR="00C2656B">
        <w:t xml:space="preserve"> </w:t>
      </w:r>
      <w:r w:rsidR="00C2656B">
        <w:rPr>
          <w:spacing w:val="-1"/>
        </w:rPr>
        <w:t>indicative</w:t>
      </w:r>
      <w:r w:rsidR="00C2656B">
        <w:t xml:space="preserve"> </w:t>
      </w:r>
      <w:r w:rsidR="00C2656B">
        <w:rPr>
          <w:spacing w:val="-1"/>
        </w:rPr>
        <w:t>sewerage</w:t>
      </w:r>
      <w:r w:rsidR="00C2656B">
        <w:t xml:space="preserve"> </w:t>
      </w:r>
      <w:r w:rsidR="00C2656B">
        <w:rPr>
          <w:spacing w:val="-1"/>
        </w:rPr>
        <w:t>charges</w:t>
      </w:r>
      <w:r w:rsidR="00C2656B">
        <w:t xml:space="preserve"> </w:t>
      </w:r>
      <w:r w:rsidR="00C2656B">
        <w:rPr>
          <w:spacing w:val="-2"/>
        </w:rPr>
        <w:t>are</w:t>
      </w:r>
      <w:r w:rsidR="00C2656B">
        <w:t xml:space="preserve"> 14% </w:t>
      </w:r>
      <w:r w:rsidR="00C2656B">
        <w:rPr>
          <w:rFonts w:cs="Avenir Next"/>
          <w:b/>
          <w:bCs/>
        </w:rPr>
        <w:t xml:space="preserve">lower </w:t>
      </w:r>
      <w:r w:rsidR="00C2656B">
        <w:rPr>
          <w:rFonts w:cs="Avenir Next"/>
        </w:rPr>
        <w:t>than those implied by</w:t>
      </w:r>
      <w:r w:rsidR="00C2656B">
        <w:rPr>
          <w:rFonts w:cs="Avenir Next"/>
          <w:spacing w:val="-4"/>
        </w:rPr>
        <w:t xml:space="preserve"> </w:t>
      </w:r>
      <w:r w:rsidR="00C2656B">
        <w:rPr>
          <w:rFonts w:cs="Avenir Next"/>
          <w:spacing w:val="-2"/>
        </w:rPr>
        <w:t>ACTEW’s</w:t>
      </w:r>
      <w:r w:rsidR="00C2656B">
        <w:rPr>
          <w:rFonts w:cs="Avenir Next"/>
          <w:spacing w:val="65"/>
        </w:rPr>
        <w:t xml:space="preserve"> </w:t>
      </w:r>
      <w:r w:rsidR="00C2656B">
        <w:t>SOFC.</w:t>
      </w:r>
      <w:r w:rsidR="00C2656B">
        <w:rPr>
          <w:spacing w:val="-12"/>
        </w:rPr>
        <w:t xml:space="preserve"> </w:t>
      </w:r>
      <w:r w:rsidR="00C2656B">
        <w:rPr>
          <w:spacing w:val="-2"/>
        </w:rPr>
        <w:t>The</w:t>
      </w:r>
      <w:r w:rsidR="00C2656B">
        <w:rPr>
          <w:spacing w:val="-1"/>
        </w:rPr>
        <w:t xml:space="preserve"> difference</w:t>
      </w:r>
      <w:r w:rsidR="00C2656B">
        <w:rPr>
          <w:spacing w:val="-2"/>
        </w:rPr>
        <w:t xml:space="preserve"> </w:t>
      </w:r>
      <w:r w:rsidR="00C2656B">
        <w:t>in</w:t>
      </w:r>
      <w:r w:rsidR="00C2656B">
        <w:rPr>
          <w:spacing w:val="-1"/>
        </w:rPr>
        <w:t xml:space="preserve"> </w:t>
      </w:r>
      <w:r w:rsidR="00C2656B">
        <w:t>this</w:t>
      </w:r>
      <w:r w:rsidR="00C2656B">
        <w:rPr>
          <w:spacing w:val="-1"/>
        </w:rPr>
        <w:t xml:space="preserve"> </w:t>
      </w:r>
      <w:r w:rsidR="00C2656B">
        <w:t>case</w:t>
      </w:r>
      <w:r w:rsidR="00C2656B">
        <w:rPr>
          <w:spacing w:val="-1"/>
        </w:rPr>
        <w:t xml:space="preserve"> reflects:</w:t>
      </w:r>
    </w:p>
    <w:p w:rsidR="00D96B91" w:rsidRDefault="00C2656B">
      <w:pPr>
        <w:pStyle w:val="BodyText"/>
        <w:numPr>
          <w:ilvl w:val="0"/>
          <w:numId w:val="131"/>
        </w:numPr>
        <w:tabs>
          <w:tab w:val="left" w:pos="1531"/>
        </w:tabs>
        <w:spacing w:before="170" w:line="260" w:lineRule="exact"/>
        <w:ind w:right="1526" w:hanging="283"/>
      </w:pPr>
      <w:r>
        <w:t xml:space="preserve">the $110 million </w:t>
      </w:r>
      <w:r>
        <w:rPr>
          <w:spacing w:val="-1"/>
        </w:rPr>
        <w:t>difference</w:t>
      </w:r>
      <w:r>
        <w:t xml:space="preserve"> between the </w:t>
      </w:r>
      <w:r>
        <w:rPr>
          <w:spacing w:val="-4"/>
        </w:rPr>
        <w:t>Panel’s</w:t>
      </w:r>
      <w:r>
        <w:t xml:space="preserve"> </w:t>
      </w:r>
      <w:r>
        <w:rPr>
          <w:spacing w:val="-2"/>
        </w:rPr>
        <w:t>draft</w:t>
      </w:r>
      <w:r>
        <w:t xml:space="preserve"> decision on the net </w:t>
      </w:r>
      <w:r>
        <w:rPr>
          <w:spacing w:val="-1"/>
        </w:rPr>
        <w:t>revenue</w:t>
      </w:r>
      <w:r>
        <w:t xml:space="preserve"> </w:t>
      </w:r>
      <w:r>
        <w:rPr>
          <w:spacing w:val="-1"/>
        </w:rPr>
        <w:t>requirement</w:t>
      </w:r>
      <w:r>
        <w:t xml:space="preserve"> for</w:t>
      </w:r>
      <w:r>
        <w:rPr>
          <w:spacing w:val="35"/>
        </w:rPr>
        <w:t xml:space="preserve"> </w:t>
      </w:r>
      <w:r>
        <w:rPr>
          <w:spacing w:val="-1"/>
        </w:rPr>
        <w:t>sewerage</w:t>
      </w:r>
      <w:r>
        <w:t xml:space="preserve"> services over the </w:t>
      </w:r>
      <w:r>
        <w:rPr>
          <w:spacing w:val="-1"/>
        </w:rPr>
        <w:t>regulatory</w:t>
      </w:r>
      <w:r>
        <w:t xml:space="preserve"> period and</w:t>
      </w:r>
      <w:r>
        <w:rPr>
          <w:spacing w:val="-4"/>
        </w:rPr>
        <w:t xml:space="preserve"> </w:t>
      </w:r>
      <w:r>
        <w:rPr>
          <w:spacing w:val="-2"/>
        </w:rPr>
        <w:t>ACTEW’s</w:t>
      </w:r>
      <w:r>
        <w:t xml:space="preserve"> SOFC </w:t>
      </w:r>
      <w:r>
        <w:rPr>
          <w:spacing w:val="-1"/>
        </w:rPr>
        <w:t>proposal</w:t>
      </w:r>
      <w:r>
        <w:t xml:space="preserve"> ($611 million versus</w:t>
      </w:r>
    </w:p>
    <w:p w:rsidR="00D96B91" w:rsidRDefault="00C2656B">
      <w:pPr>
        <w:pStyle w:val="BodyText"/>
        <w:spacing w:before="8"/>
        <w:ind w:left="1530"/>
      </w:pPr>
      <w:r>
        <w:t>$721 million – see Chapter 13),</w:t>
      </w:r>
      <w:r>
        <w:rPr>
          <w:spacing w:val="-7"/>
        </w:rPr>
        <w:t xml:space="preserve"> </w:t>
      </w:r>
      <w:r>
        <w:t>and</w:t>
      </w:r>
    </w:p>
    <w:p w:rsidR="00D96B91" w:rsidRDefault="00C2656B">
      <w:pPr>
        <w:pStyle w:val="BodyText"/>
        <w:numPr>
          <w:ilvl w:val="0"/>
          <w:numId w:val="131"/>
        </w:numPr>
        <w:tabs>
          <w:tab w:val="left" w:pos="1531"/>
        </w:tabs>
        <w:spacing w:before="64" w:line="260" w:lineRule="exact"/>
        <w:ind w:right="1318" w:hanging="283"/>
      </w:pPr>
      <w:r>
        <w:rPr>
          <w:rFonts w:cs="Avenir Next"/>
        </w:rPr>
        <w:t xml:space="preserve">the small </w:t>
      </w:r>
      <w:r>
        <w:rPr>
          <w:rFonts w:cs="Avenir Next"/>
          <w:spacing w:val="-1"/>
        </w:rPr>
        <w:t>difference</w:t>
      </w:r>
      <w:r>
        <w:rPr>
          <w:rFonts w:cs="Avenir Next"/>
        </w:rPr>
        <w:t xml:space="preserve"> between the </w:t>
      </w:r>
      <w:r>
        <w:rPr>
          <w:rFonts w:cs="Avenir Next"/>
          <w:spacing w:val="-4"/>
        </w:rPr>
        <w:t>Panel’s</w:t>
      </w:r>
      <w:r>
        <w:rPr>
          <w:rFonts w:cs="Avenir Next"/>
        </w:rPr>
        <w:t xml:space="preserve"> </w:t>
      </w:r>
      <w:r>
        <w:rPr>
          <w:rFonts w:cs="Avenir Next"/>
          <w:spacing w:val="-2"/>
        </w:rPr>
        <w:t>draft</w:t>
      </w:r>
      <w:r>
        <w:rPr>
          <w:rFonts w:cs="Avenir Next"/>
        </w:rPr>
        <w:t xml:space="preserve"> decision on </w:t>
      </w:r>
      <w:r>
        <w:rPr>
          <w:rFonts w:cs="Avenir Next"/>
          <w:spacing w:val="-1"/>
        </w:rPr>
        <w:t>sewerage</w:t>
      </w:r>
      <w:r>
        <w:rPr>
          <w:rFonts w:cs="Avenir Next"/>
        </w:rPr>
        <w:t xml:space="preserve"> customer numbers and billable</w:t>
      </w:r>
      <w:r>
        <w:rPr>
          <w:rFonts w:cs="Avenir Next"/>
          <w:spacing w:val="33"/>
        </w:rPr>
        <w:t xml:space="preserve"> </w:t>
      </w:r>
      <w:r>
        <w:rPr>
          <w:spacing w:val="-1"/>
        </w:rPr>
        <w:t xml:space="preserve">fixtures </w:t>
      </w:r>
      <w:r>
        <w:t>and</w:t>
      </w:r>
      <w:r>
        <w:rPr>
          <w:spacing w:val="-5"/>
        </w:rPr>
        <w:t xml:space="preserve"> </w:t>
      </w:r>
      <w:r>
        <w:rPr>
          <w:spacing w:val="-2"/>
        </w:rPr>
        <w:t>ACTEW’s</w:t>
      </w:r>
      <w:r>
        <w:t xml:space="preserve"> demand</w:t>
      </w:r>
      <w:r>
        <w:rPr>
          <w:spacing w:val="-1"/>
        </w:rPr>
        <w:t xml:space="preserve"> forecast </w:t>
      </w:r>
      <w:r>
        <w:t>(see Chapter</w:t>
      </w:r>
      <w:r>
        <w:rPr>
          <w:spacing w:val="-1"/>
        </w:rPr>
        <w:t xml:space="preserve"> </w:t>
      </w:r>
      <w:r>
        <w:t>12).</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bookmarkStart w:id="206" w:name="_bookmark134"/>
      <w:bookmarkEnd w:id="206"/>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14.7:</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 xml:space="preserve">SOFC – Implied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charges</w:t>
      </w:r>
      <w:r>
        <w:rPr>
          <w:rFonts w:ascii="Avenir Next" w:eastAsia="Avenir Next" w:hAnsi="Avenir Next" w:cs="Avenir Next"/>
          <w:b/>
          <w:bCs/>
          <w:sz w:val="20"/>
          <w:szCs w:val="20"/>
        </w:rPr>
        <w:t xml:space="preserve"> ($,</w:t>
      </w:r>
      <w:r>
        <w:rPr>
          <w:rFonts w:ascii="Avenir Next" w:eastAsia="Avenir Next" w:hAnsi="Avenir Next" w:cs="Avenir Next"/>
          <w:b/>
          <w:bCs/>
          <w:spacing w:val="-7"/>
          <w:sz w:val="20"/>
          <w:szCs w:val="20"/>
        </w:rPr>
        <w:t xml:space="preserve"> </w:t>
      </w:r>
      <w:r>
        <w:rPr>
          <w:rFonts w:ascii="Avenir Next" w:eastAsia="Avenir Next" w:hAnsi="Avenir Next" w:cs="Avenir Next"/>
          <w:b/>
          <w:bCs/>
          <w:sz w:val="20"/>
          <w:szCs w:val="20"/>
        </w:rPr>
        <w:t>nominal)</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382"/>
        <w:gridCol w:w="1404"/>
        <w:gridCol w:w="1404"/>
        <w:gridCol w:w="1404"/>
        <w:gridCol w:w="1404"/>
        <w:gridCol w:w="1404"/>
      </w:tblGrid>
      <w:tr w:rsidR="00D96B91">
        <w:trPr>
          <w:trHeight w:hRule="exact" w:val="407"/>
        </w:trPr>
        <w:tc>
          <w:tcPr>
            <w:tcW w:w="23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40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05"/>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3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588.03</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602.74</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617.80</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633.25</w:t>
            </w:r>
          </w:p>
        </w:tc>
        <w:tc>
          <w:tcPr>
            <w:tcW w:w="140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649.08</w:t>
            </w:r>
          </w:p>
        </w:tc>
      </w:tr>
      <w:tr w:rsidR="00D96B91">
        <w:trPr>
          <w:trHeight w:hRule="exact" w:val="407"/>
        </w:trPr>
        <w:tc>
          <w:tcPr>
            <w:tcW w:w="23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z w:val="18"/>
              </w:rPr>
              <w:t xml:space="preserve"> ($ pa)</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575.08</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589.46</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604.20</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619.30</w:t>
            </w:r>
          </w:p>
        </w:tc>
        <w:tc>
          <w:tcPr>
            <w:tcW w:w="140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3"/>
              <w:rPr>
                <w:rFonts w:ascii="Avenir Next Condensed" w:eastAsia="Avenir Next Condensed" w:hAnsi="Avenir Next Condensed" w:cs="Avenir Next Condensed"/>
                <w:sz w:val="18"/>
                <w:szCs w:val="18"/>
              </w:rPr>
            </w:pPr>
            <w:r>
              <w:rPr>
                <w:rFonts w:ascii="Avenir Next Condensed"/>
                <w:sz w:val="18"/>
              </w:rPr>
              <w:t>634.78</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eastAsia="Avenir Next" w:hAnsi="Avenir Next" w:cs="Avenir Next"/>
          <w:spacing w:val="-3"/>
          <w:sz w:val="16"/>
          <w:szCs w:val="16"/>
        </w:rPr>
        <w:t>Source:</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3"/>
          <w:sz w:val="16"/>
          <w:szCs w:val="16"/>
        </w:rPr>
        <w:t>spreadsheet</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entitled</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3"/>
          <w:sz w:val="16"/>
          <w:szCs w:val="16"/>
        </w:rPr>
        <w:t>Prices</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Implied</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by</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SOFC</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and</w:t>
      </w:r>
      <w:r>
        <w:rPr>
          <w:rFonts w:ascii="Avenir Next" w:eastAsia="Avenir Next" w:hAnsi="Avenir Next" w:cs="Avenir Next"/>
          <w:spacing w:val="-6"/>
          <w:sz w:val="16"/>
          <w:szCs w:val="16"/>
        </w:rPr>
        <w:t xml:space="preserve"> </w:t>
      </w:r>
      <w:r>
        <w:rPr>
          <w:rFonts w:ascii="Avenir Next" w:eastAsia="Avenir Next" w:hAnsi="Avenir Next" w:cs="Avenir Next"/>
          <w:spacing w:val="-4"/>
          <w:sz w:val="16"/>
          <w:szCs w:val="16"/>
        </w:rPr>
        <w:t xml:space="preserve">Water </w:t>
      </w:r>
      <w:r>
        <w:rPr>
          <w:rFonts w:ascii="Avenir Next" w:eastAsia="Avenir Next" w:hAnsi="Avenir Next" w:cs="Avenir Next"/>
          <w:spacing w:val="-2"/>
          <w:sz w:val="16"/>
          <w:szCs w:val="16"/>
        </w:rPr>
        <w:t>Sales</w:t>
      </w:r>
      <w:r>
        <w:rPr>
          <w:rFonts w:ascii="Avenir Next" w:eastAsia="Avenir Next" w:hAnsi="Avenir Next" w:cs="Avenir Next"/>
          <w:spacing w:val="-4"/>
          <w:sz w:val="16"/>
          <w:szCs w:val="16"/>
        </w:rPr>
        <w:t xml:space="preserve"> </w:t>
      </w:r>
      <w:r>
        <w:rPr>
          <w:rFonts w:ascii="Avenir Next" w:eastAsia="Avenir Next" w:hAnsi="Avenir Next" w:cs="Avenir Next"/>
          <w:spacing w:val="-3"/>
          <w:sz w:val="16"/>
          <w:szCs w:val="16"/>
        </w:rPr>
        <w:t>Forecasts</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w:t>
      </w:r>
      <w:r>
        <w:rPr>
          <w:rFonts w:ascii="Avenir Next" w:eastAsia="Avenir Next" w:hAnsi="Avenir Next" w:cs="Avenir Next"/>
          <w:spacing w:val="-7"/>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6"/>
          <w:sz w:val="16"/>
          <w:szCs w:val="16"/>
        </w:rPr>
        <w:t xml:space="preserve"> </w:t>
      </w:r>
      <w:r>
        <w:rPr>
          <w:rFonts w:ascii="Avenir Next" w:eastAsia="Avenir Next" w:hAnsi="Avenir Next" w:cs="Avenir Next"/>
          <w:spacing w:val="-2"/>
          <w:sz w:val="16"/>
          <w:szCs w:val="16"/>
        </w:rPr>
        <w:t>updates</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14Oct2014.xlsm.</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1793" style="position:absolute;margin-left:0;margin-top:789.45pt;width:595.3pt;height:52.45pt;z-index:251547136;mso-position-horizontal-relative:page;mso-position-vertical-relative:page" coordorigin=",15789" coordsize="11906,1049">
            <v:group id="_x0000_s1794" style="position:absolute;top:15789;width:11906;height:1049" coordorigin=",15789" coordsize="11906,1049">
              <v:shape id="_x0000_s1797" style="position:absolute;top:15789;width:11906;height:1049" coordorigin=",15789" coordsize="11906,1049" path="m,16838r11906,l11906,15789,,15789r,1049xe" fillcolor="#0778be" stroked="f">
                <v:path arrowok="t"/>
              </v:shape>
              <v:shape id="_x0000_s1796" type="#_x0000_t75" style="position:absolute;top:15789;width:11906;height:1049">
                <v:imagedata r:id="rId20" o:title=""/>
              </v:shape>
              <v:shape id="_x0000_s1795" type="#_x0000_t202" style="position:absolute;top:15789;width:11906;height:1049" filled="f" stroked="f">
                <v:textbox style="mso-next-textbox:#_x0000_s1795" inset="0,0,0,0">
                  <w:txbxContent>
                    <w:p w:rsidR="008A79D5" w:rsidRDefault="008A79D5">
                      <w:pPr>
                        <w:spacing w:before="6"/>
                        <w:rPr>
                          <w:rFonts w:ascii="Times New Roman" w:eastAsia="Times New Roman" w:hAnsi="Times New Roman" w:cs="Times New Roman"/>
                          <w:sz w:val="18"/>
                          <w:szCs w:val="18"/>
                        </w:rPr>
                      </w:pPr>
                    </w:p>
                    <w:p w:rsidR="008A79D5" w:rsidRDefault="008A79D5">
                      <w:pPr>
                        <w:ind w:left="692"/>
                        <w:rPr>
                          <w:rFonts w:ascii="Avenir Next" w:eastAsia="Avenir Next" w:hAnsi="Avenir Next" w:cs="Avenir Next"/>
                          <w:sz w:val="20"/>
                          <w:szCs w:val="20"/>
                        </w:rPr>
                      </w:pPr>
                      <w:r>
                        <w:rPr>
                          <w:rFonts w:ascii="Avenir Next" w:eastAsia="Avenir Next" w:hAnsi="Avenir Next" w:cs="Avenir Next"/>
                          <w:color w:val="EEF8FE"/>
                          <w:sz w:val="20"/>
                          <w:szCs w:val="20"/>
                        </w:rPr>
                        <w:t xml:space="preserve">140    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92"/>
          <w:pgSz w:w="11910" w:h="16840"/>
          <w:pgMar w:top="1580" w:right="0" w:bottom="0" w:left="0" w:header="0" w:footer="0" w:gutter="0"/>
          <w:cols w:space="720"/>
        </w:sectPr>
      </w:pPr>
    </w:p>
    <w:p w:rsidR="00D96B91" w:rsidRDefault="00C2656B">
      <w:pPr>
        <w:tabs>
          <w:tab w:val="left" w:pos="1927"/>
        </w:tabs>
        <w:spacing w:before="18" w:line="210" w:lineRule="auto"/>
        <w:ind w:left="1927" w:right="2106" w:hanging="681"/>
        <w:rPr>
          <w:rFonts w:ascii="Avenir Next Medium" w:eastAsia="Avenir Next Medium" w:hAnsi="Avenir Next Medium" w:cs="Avenir Next Medium"/>
          <w:sz w:val="40"/>
          <w:szCs w:val="40"/>
        </w:rPr>
      </w:pPr>
      <w:bookmarkStart w:id="207" w:name="15_Effect_on_customers,_inflation_and_AC"/>
      <w:bookmarkStart w:id="208" w:name="15._1_Overview_of_the_Panel’s_assessment"/>
      <w:bookmarkStart w:id="209" w:name="15._2_Effect_on_residential_customers_"/>
      <w:bookmarkStart w:id="210" w:name="_bookmark135"/>
      <w:bookmarkEnd w:id="207"/>
      <w:bookmarkEnd w:id="208"/>
      <w:bookmarkEnd w:id="209"/>
      <w:bookmarkEnd w:id="210"/>
      <w:r>
        <w:rPr>
          <w:rFonts w:ascii="Avenir Next Medium" w:eastAsia="Avenir Next Medium" w:hAnsi="Avenir Next Medium" w:cs="Avenir Next Medium"/>
          <w:color w:val="0778BE"/>
          <w:w w:val="95"/>
          <w:sz w:val="40"/>
          <w:szCs w:val="40"/>
        </w:rPr>
        <w:t>15</w:t>
      </w:r>
      <w:r>
        <w:rPr>
          <w:rFonts w:ascii="Avenir Next Medium" w:eastAsia="Avenir Next Medium" w:hAnsi="Avenir Next Medium" w:cs="Avenir Next Medium"/>
          <w:color w:val="0778BE"/>
          <w:w w:val="95"/>
          <w:sz w:val="40"/>
          <w:szCs w:val="40"/>
        </w:rPr>
        <w:tab/>
      </w:r>
      <w:r>
        <w:rPr>
          <w:rFonts w:ascii="Avenir Next Medium" w:eastAsia="Avenir Next Medium" w:hAnsi="Avenir Next Medium" w:cs="Avenir Next Medium"/>
          <w:color w:val="0778BE"/>
          <w:spacing w:val="-2"/>
          <w:sz w:val="40"/>
          <w:szCs w:val="40"/>
        </w:rPr>
        <w:t>Effect</w:t>
      </w:r>
      <w:r>
        <w:rPr>
          <w:rFonts w:ascii="Avenir Next Medium" w:eastAsia="Avenir Next Medium" w:hAnsi="Avenir Next Medium" w:cs="Avenir Next Medium"/>
          <w:color w:val="0778BE"/>
          <w:sz w:val="40"/>
          <w:szCs w:val="40"/>
        </w:rPr>
        <w:t xml:space="preserve"> on customers,</w:t>
      </w:r>
      <w:r>
        <w:rPr>
          <w:rFonts w:ascii="Avenir Next Medium" w:eastAsia="Avenir Next Medium" w:hAnsi="Avenir Next Medium" w:cs="Avenir Next Medium"/>
          <w:color w:val="0778BE"/>
          <w:spacing w:val="-13"/>
          <w:sz w:val="40"/>
          <w:szCs w:val="40"/>
        </w:rPr>
        <w:t xml:space="preserve"> </w:t>
      </w:r>
      <w:r>
        <w:rPr>
          <w:rFonts w:ascii="Avenir Next Medium" w:eastAsia="Avenir Next Medium" w:hAnsi="Avenir Next Medium" w:cs="Avenir Next Medium"/>
          <w:color w:val="0778BE"/>
          <w:spacing w:val="-1"/>
          <w:sz w:val="40"/>
          <w:szCs w:val="40"/>
        </w:rPr>
        <w:t>inflation</w:t>
      </w:r>
      <w:r>
        <w:rPr>
          <w:rFonts w:ascii="Avenir Next Medium" w:eastAsia="Avenir Next Medium" w:hAnsi="Avenir Next Medium" w:cs="Avenir Next Medium"/>
          <w:color w:val="0778BE"/>
          <w:sz w:val="40"/>
          <w:szCs w:val="40"/>
        </w:rPr>
        <w:t xml:space="preserve"> and</w:t>
      </w:r>
      <w:r>
        <w:rPr>
          <w:rFonts w:ascii="Avenir Next Medium" w:eastAsia="Avenir Next Medium" w:hAnsi="Avenir Next Medium" w:cs="Avenir Next Medium"/>
          <w:color w:val="0778BE"/>
          <w:spacing w:val="-8"/>
          <w:sz w:val="40"/>
          <w:szCs w:val="40"/>
        </w:rPr>
        <w:t xml:space="preserve"> </w:t>
      </w:r>
      <w:r>
        <w:rPr>
          <w:rFonts w:ascii="Avenir Next Medium" w:eastAsia="Avenir Next Medium" w:hAnsi="Avenir Next Medium" w:cs="Avenir Next Medium"/>
          <w:color w:val="0778BE"/>
          <w:spacing w:val="-4"/>
          <w:sz w:val="40"/>
          <w:szCs w:val="40"/>
        </w:rPr>
        <w:t>ACTEW’s</w:t>
      </w:r>
      <w:r>
        <w:rPr>
          <w:rFonts w:ascii="Avenir Next Medium" w:eastAsia="Avenir Next Medium" w:hAnsi="Avenir Next Medium" w:cs="Avenir Next Medium"/>
          <w:color w:val="0778BE"/>
          <w:spacing w:val="23"/>
          <w:sz w:val="40"/>
          <w:szCs w:val="40"/>
        </w:rPr>
        <w:t xml:space="preserve"> </w:t>
      </w:r>
      <w:r>
        <w:rPr>
          <w:rFonts w:ascii="Avenir Next Medium" w:eastAsia="Avenir Next Medium" w:hAnsi="Avenir Next Medium" w:cs="Avenir Next Medium"/>
          <w:color w:val="0778BE"/>
          <w:sz w:val="40"/>
          <w:szCs w:val="40"/>
        </w:rPr>
        <w:t>financial viability</w:t>
      </w:r>
    </w:p>
    <w:p w:rsidR="00D96B91" w:rsidRDefault="00D96B91">
      <w:pPr>
        <w:spacing w:before="8"/>
        <w:rPr>
          <w:rFonts w:ascii="Avenir Next Medium" w:eastAsia="Avenir Next Medium" w:hAnsi="Avenir Next Medium" w:cs="Avenir Next Medium"/>
          <w:sz w:val="27"/>
          <w:szCs w:val="27"/>
        </w:rPr>
      </w:pPr>
    </w:p>
    <w:p w:rsidR="00D96B91" w:rsidRDefault="00C2656B">
      <w:pPr>
        <w:pStyle w:val="BodyText"/>
        <w:spacing w:line="260" w:lineRule="exact"/>
        <w:ind w:right="1411"/>
        <w:rPr>
          <w:rFonts w:cs="Avenir Next"/>
        </w:rPr>
      </w:pPr>
      <w:r>
        <w:rPr>
          <w:spacing w:val="-1"/>
        </w:rPr>
        <w:t>Before</w:t>
      </w:r>
      <w:r>
        <w:t xml:space="preserve"> making its </w:t>
      </w:r>
      <w:r>
        <w:rPr>
          <w:spacing w:val="-2"/>
        </w:rPr>
        <w:t>draft</w:t>
      </w:r>
      <w:r>
        <w:t xml:space="preserve"> decision on the </w:t>
      </w:r>
      <w:r>
        <w:rPr>
          <w:spacing w:val="-1"/>
        </w:rPr>
        <w:t>water</w:t>
      </w:r>
      <w:r>
        <w:t xml:space="preserve"> and </w:t>
      </w:r>
      <w:r>
        <w:rPr>
          <w:spacing w:val="-1"/>
        </w:rPr>
        <w:t>sewerage</w:t>
      </w:r>
      <w:r>
        <w:t xml:space="preserve"> </w:t>
      </w:r>
      <w:r>
        <w:rPr>
          <w:spacing w:val="-1"/>
        </w:rPr>
        <w:t>charges</w:t>
      </w:r>
      <w:r>
        <w:t xml:space="preserve"> set out in Chapter 14,</w:t>
      </w:r>
      <w:r>
        <w:rPr>
          <w:spacing w:val="-7"/>
        </w:rPr>
        <w:t xml:space="preserve"> </w:t>
      </w:r>
      <w:r>
        <w:t xml:space="preserve">the </w:t>
      </w:r>
      <w:r>
        <w:rPr>
          <w:spacing w:val="-3"/>
        </w:rPr>
        <w:t>Panel</w:t>
      </w:r>
      <w:r>
        <w:rPr>
          <w:spacing w:val="39"/>
        </w:rPr>
        <w:t xml:space="preserve"> </w:t>
      </w:r>
      <w:r>
        <w:t>assessed whether the level of</w:t>
      </w:r>
      <w:r>
        <w:rPr>
          <w:spacing w:val="4"/>
        </w:rPr>
        <w:t xml:space="preserve"> </w:t>
      </w:r>
      <w:r>
        <w:t xml:space="preserve">these prices is </w:t>
      </w:r>
      <w:r>
        <w:rPr>
          <w:spacing w:val="-1"/>
        </w:rPr>
        <w:t>appropriate,</w:t>
      </w:r>
      <w:r>
        <w:rPr>
          <w:spacing w:val="-6"/>
        </w:rPr>
        <w:t xml:space="preserve"> </w:t>
      </w:r>
      <w:r>
        <w:t xml:space="preserve">having </w:t>
      </w:r>
      <w:r>
        <w:rPr>
          <w:spacing w:val="-2"/>
        </w:rPr>
        <w:t>regard</w:t>
      </w:r>
      <w:r>
        <w:t xml:space="preserve"> to the impacts they </w:t>
      </w:r>
      <w:r>
        <w:rPr>
          <w:spacing w:val="-2"/>
        </w:rPr>
        <w:t>are</w:t>
      </w:r>
      <w:r>
        <w:t xml:space="preserve"> </w:t>
      </w:r>
      <w:r>
        <w:rPr>
          <w:spacing w:val="-1"/>
        </w:rPr>
        <w:t>likely</w:t>
      </w:r>
      <w:r>
        <w:rPr>
          <w:spacing w:val="29"/>
        </w:rPr>
        <w:t xml:space="preserve"> </w:t>
      </w:r>
      <w:r>
        <w:t>to have on:</w:t>
      </w:r>
    </w:p>
    <w:p w:rsidR="00D96B91" w:rsidRDefault="00C2656B">
      <w:pPr>
        <w:pStyle w:val="BodyText"/>
        <w:numPr>
          <w:ilvl w:val="0"/>
          <w:numId w:val="131"/>
        </w:numPr>
        <w:tabs>
          <w:tab w:val="left" w:pos="1531"/>
        </w:tabs>
        <w:spacing w:before="178"/>
        <w:ind w:hanging="283"/>
        <w:rPr>
          <w:sz w:val="11"/>
          <w:szCs w:val="11"/>
        </w:rPr>
      </w:pPr>
      <w:r>
        <w:rPr>
          <w:spacing w:val="-1"/>
        </w:rPr>
        <w:t>residential</w:t>
      </w:r>
      <w:r>
        <w:rPr>
          <w:spacing w:val="1"/>
        </w:rPr>
        <w:t xml:space="preserve"> </w:t>
      </w:r>
      <w:r>
        <w:t>and</w:t>
      </w:r>
      <w:r>
        <w:rPr>
          <w:spacing w:val="2"/>
        </w:rPr>
        <w:t xml:space="preserve"> </w:t>
      </w:r>
      <w:r>
        <w:rPr>
          <w:spacing w:val="-1"/>
        </w:rPr>
        <w:t>non-residential</w:t>
      </w:r>
      <w:r>
        <w:rPr>
          <w:spacing w:val="2"/>
        </w:rPr>
        <w:t xml:space="preserve"> </w:t>
      </w:r>
      <w:r>
        <w:t>customers</w:t>
      </w:r>
      <w:r>
        <w:rPr>
          <w:spacing w:val="2"/>
        </w:rPr>
        <w:t xml:space="preserve"> </w:t>
      </w:r>
      <w:r>
        <w:t>(social</w:t>
      </w:r>
      <w:r>
        <w:rPr>
          <w:spacing w:val="2"/>
        </w:rPr>
        <w:t xml:space="preserve"> </w:t>
      </w:r>
      <w:r>
        <w:t>impacts)</w:t>
      </w:r>
      <w:r>
        <w:rPr>
          <w:position w:val="7"/>
          <w:sz w:val="11"/>
        </w:rPr>
        <w:t>234</w:t>
      </w:r>
    </w:p>
    <w:p w:rsidR="00D96B91" w:rsidRDefault="00C2656B">
      <w:pPr>
        <w:pStyle w:val="BodyText"/>
        <w:numPr>
          <w:ilvl w:val="0"/>
          <w:numId w:val="131"/>
        </w:numPr>
        <w:tabs>
          <w:tab w:val="left" w:pos="1531"/>
        </w:tabs>
        <w:spacing w:before="72"/>
        <w:ind w:hanging="283"/>
        <w:rPr>
          <w:rFonts w:cs="Avenir Next"/>
        </w:rPr>
      </w:pPr>
      <w:r>
        <w:rPr>
          <w:spacing w:val="-1"/>
        </w:rPr>
        <w:t>general</w:t>
      </w:r>
      <w:r>
        <w:rPr>
          <w:spacing w:val="2"/>
        </w:rPr>
        <w:t xml:space="preserve"> </w:t>
      </w:r>
      <w:r>
        <w:t>price</w:t>
      </w:r>
      <w:r>
        <w:rPr>
          <w:spacing w:val="3"/>
        </w:rPr>
        <w:t xml:space="preserve"> </w:t>
      </w:r>
      <w:r>
        <w:rPr>
          <w:spacing w:val="-1"/>
        </w:rPr>
        <w:t>inflation,</w:t>
      </w:r>
      <w:r>
        <w:rPr>
          <w:spacing w:val="-1"/>
          <w:position w:val="7"/>
          <w:sz w:val="11"/>
        </w:rPr>
        <w:t>235</w:t>
      </w:r>
      <w:r>
        <w:rPr>
          <w:spacing w:val="25"/>
          <w:position w:val="7"/>
          <w:sz w:val="11"/>
        </w:rPr>
        <w:t xml:space="preserve"> </w:t>
      </w:r>
      <w:r>
        <w:t>and</w:t>
      </w:r>
    </w:p>
    <w:p w:rsidR="00D96B91" w:rsidRDefault="00C2656B">
      <w:pPr>
        <w:pStyle w:val="BodyText"/>
        <w:numPr>
          <w:ilvl w:val="0"/>
          <w:numId w:val="131"/>
        </w:numPr>
        <w:tabs>
          <w:tab w:val="left" w:pos="1531"/>
        </w:tabs>
        <w:spacing w:before="72"/>
        <w:ind w:hanging="283"/>
        <w:rPr>
          <w:sz w:val="11"/>
          <w:szCs w:val="11"/>
        </w:rPr>
      </w:pPr>
      <w:r>
        <w:rPr>
          <w:spacing w:val="-2"/>
        </w:rPr>
        <w:t>ACTEW’s</w:t>
      </w:r>
      <w:r>
        <w:rPr>
          <w:spacing w:val="1"/>
        </w:rPr>
        <w:t xml:space="preserve"> </w:t>
      </w:r>
      <w:r>
        <w:t>financial</w:t>
      </w:r>
      <w:r>
        <w:rPr>
          <w:spacing w:val="2"/>
        </w:rPr>
        <w:t xml:space="preserve"> </w:t>
      </w:r>
      <w:r>
        <w:rPr>
          <w:spacing w:val="-1"/>
        </w:rPr>
        <w:t>viability.</w:t>
      </w:r>
      <w:r>
        <w:rPr>
          <w:spacing w:val="-1"/>
          <w:position w:val="7"/>
          <w:sz w:val="11"/>
          <w:szCs w:val="11"/>
        </w:rPr>
        <w:t>236</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548"/>
      </w:pPr>
      <w:r>
        <w:rPr>
          <w:spacing w:val="-2"/>
        </w:rPr>
        <w:t>The</w:t>
      </w:r>
      <w:r>
        <w:rPr>
          <w:spacing w:val="-1"/>
        </w:rPr>
        <w:t xml:space="preserve"> </w:t>
      </w:r>
      <w:r>
        <w:t>sections below</w:t>
      </w:r>
      <w:r>
        <w:rPr>
          <w:spacing w:val="-1"/>
        </w:rPr>
        <w:t xml:space="preserve"> provide</w:t>
      </w:r>
      <w:r>
        <w:t xml:space="preserve"> an</w:t>
      </w:r>
      <w:r>
        <w:rPr>
          <w:spacing w:val="-1"/>
        </w:rPr>
        <w:t xml:space="preserve"> </w:t>
      </w:r>
      <w:r>
        <w:t>overview of</w:t>
      </w:r>
      <w:r>
        <w:rPr>
          <w:spacing w:val="3"/>
        </w:rPr>
        <w:t xml:space="preserve"> </w:t>
      </w:r>
      <w:r>
        <w:t xml:space="preserve">the </w:t>
      </w:r>
      <w:r>
        <w:rPr>
          <w:spacing w:val="-4"/>
        </w:rPr>
        <w:t>Panel’s</w:t>
      </w:r>
      <w:r>
        <w:rPr>
          <w:spacing w:val="-1"/>
        </w:rPr>
        <w:t xml:space="preserve"> </w:t>
      </w:r>
      <w:r>
        <w:t>assessment,</w:t>
      </w:r>
      <w:r>
        <w:rPr>
          <w:spacing w:val="-6"/>
        </w:rPr>
        <w:t xml:space="preserve"> </w:t>
      </w:r>
      <w:r>
        <w:t>and</w:t>
      </w:r>
      <w:r>
        <w:rPr>
          <w:spacing w:val="-1"/>
        </w:rPr>
        <w:t xml:space="preserve"> </w:t>
      </w:r>
      <w:r>
        <w:t>then discuss</w:t>
      </w:r>
      <w:r>
        <w:rPr>
          <w:spacing w:val="-1"/>
        </w:rPr>
        <w:t xml:space="preserve"> </w:t>
      </w:r>
      <w:r>
        <w:t>its findings</w:t>
      </w:r>
      <w:r>
        <w:rPr>
          <w:spacing w:val="-1"/>
        </w:rPr>
        <w:t xml:space="preserve"> </w:t>
      </w:r>
      <w:r>
        <w:t>on</w:t>
      </w:r>
      <w:r>
        <w:rPr>
          <w:spacing w:val="23"/>
        </w:rPr>
        <w:t xml:space="preserve"> </w:t>
      </w:r>
      <w:r>
        <w:rPr>
          <w:spacing w:val="-1"/>
        </w:rPr>
        <w:t>each</w:t>
      </w:r>
      <w:r>
        <w:t xml:space="preserve"> impact in </w:t>
      </w:r>
      <w:r>
        <w:rPr>
          <w:spacing w:val="-1"/>
        </w:rPr>
        <w:t>more</w:t>
      </w:r>
      <w:r>
        <w:t xml:space="preserve"> in </w:t>
      </w:r>
      <w:r>
        <w:rPr>
          <w:spacing w:val="-1"/>
        </w:rPr>
        <w:t>more</w:t>
      </w:r>
      <w:r>
        <w:t xml:space="preserve"> detail.</w:t>
      </w:r>
    </w:p>
    <w:p w:rsidR="00D96B91" w:rsidRDefault="00D96B91">
      <w:pPr>
        <w:spacing w:before="9"/>
        <w:rPr>
          <w:rFonts w:ascii="Avenir Next" w:eastAsia="Avenir Next" w:hAnsi="Avenir Next" w:cs="Avenir Next"/>
          <w:sz w:val="29"/>
          <w:szCs w:val="29"/>
        </w:rPr>
      </w:pPr>
    </w:p>
    <w:p w:rsidR="00D96B91" w:rsidRDefault="00C2656B">
      <w:pPr>
        <w:pStyle w:val="Heading4"/>
        <w:numPr>
          <w:ilvl w:val="0"/>
          <w:numId w:val="32"/>
        </w:numPr>
        <w:tabs>
          <w:tab w:val="left" w:pos="1749"/>
        </w:tabs>
      </w:pPr>
      <w:r>
        <w:rPr>
          <w:color w:val="0778BE"/>
        </w:rPr>
        <w:t>1</w:t>
      </w:r>
      <w:r>
        <w:rPr>
          <w:color w:val="0778BE"/>
          <w:spacing w:val="39"/>
        </w:rPr>
        <w:t xml:space="preserve"> </w:t>
      </w:r>
      <w:r>
        <w:rPr>
          <w:color w:val="0778BE"/>
        </w:rPr>
        <w:t>Overview of</w:t>
      </w:r>
      <w:r>
        <w:rPr>
          <w:color w:val="0778BE"/>
          <w:spacing w:val="7"/>
        </w:rPr>
        <w:t xml:space="preserve"> </w:t>
      </w:r>
      <w:r>
        <w:rPr>
          <w:color w:val="0778BE"/>
        </w:rPr>
        <w:t xml:space="preserve">the </w:t>
      </w:r>
      <w:r>
        <w:rPr>
          <w:color w:val="0778BE"/>
          <w:spacing w:val="-5"/>
        </w:rPr>
        <w:t>Panel’s</w:t>
      </w:r>
      <w:r>
        <w:rPr>
          <w:color w:val="0778BE"/>
        </w:rPr>
        <w:t xml:space="preserve"> assessment</w:t>
      </w:r>
    </w:p>
    <w:p w:rsidR="00D96B91" w:rsidRDefault="00C2656B">
      <w:pPr>
        <w:pStyle w:val="BodyText"/>
        <w:spacing w:before="55" w:line="260" w:lineRule="exact"/>
        <w:ind w:right="1376"/>
      </w:pPr>
      <w:r>
        <w:rPr>
          <w:rFonts w:cs="Avenir Next"/>
          <w:spacing w:val="-2"/>
        </w:rPr>
        <w:t>The</w:t>
      </w:r>
      <w:r>
        <w:rPr>
          <w:rFonts w:cs="Avenir Next"/>
        </w:rPr>
        <w:t xml:space="preserve"> </w:t>
      </w:r>
      <w:r>
        <w:rPr>
          <w:rFonts w:cs="Avenir Next"/>
          <w:spacing w:val="-4"/>
        </w:rPr>
        <w:t>Panel’s</w:t>
      </w:r>
      <w:r>
        <w:rPr>
          <w:rFonts w:cs="Avenir Next"/>
        </w:rPr>
        <w:t xml:space="preserve"> assessment is </w:t>
      </w:r>
      <w:r>
        <w:rPr>
          <w:rFonts w:cs="Avenir Next"/>
          <w:spacing w:val="-1"/>
        </w:rPr>
        <w:t>that</w:t>
      </w:r>
      <w:r>
        <w:rPr>
          <w:rFonts w:cs="Avenir Next"/>
        </w:rPr>
        <w:t xml:space="preserve"> the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charges</w:t>
      </w:r>
      <w:r>
        <w:rPr>
          <w:rFonts w:cs="Avenir Next"/>
        </w:rPr>
        <w:t xml:space="preserve"> set out in Chapter 14 </w:t>
      </w:r>
      <w:r>
        <w:rPr>
          <w:rFonts w:cs="Avenir Next"/>
          <w:spacing w:val="-2"/>
        </w:rPr>
        <w:t>are</w:t>
      </w:r>
      <w:r>
        <w:rPr>
          <w:rFonts w:cs="Avenir Next"/>
        </w:rPr>
        <w:t xml:space="preserve"> </w:t>
      </w:r>
      <w:r>
        <w:rPr>
          <w:rFonts w:cs="Avenir Next"/>
          <w:spacing w:val="-1"/>
        </w:rPr>
        <w:t>likely</w:t>
      </w:r>
      <w:r>
        <w:rPr>
          <w:rFonts w:cs="Avenir Next"/>
        </w:rPr>
        <w:t xml:space="preserve"> to have</w:t>
      </w:r>
      <w:r>
        <w:rPr>
          <w:rFonts w:cs="Avenir Next"/>
          <w:spacing w:val="47"/>
        </w:rPr>
        <w:t xml:space="preserve"> </w:t>
      </w:r>
      <w:r>
        <w:t>minor</w:t>
      </w:r>
      <w:r>
        <w:rPr>
          <w:spacing w:val="-1"/>
        </w:rPr>
        <w:t xml:space="preserve"> </w:t>
      </w:r>
      <w:r>
        <w:t>impacts on customers if</w:t>
      </w:r>
      <w:r>
        <w:rPr>
          <w:spacing w:val="3"/>
        </w:rPr>
        <w:t xml:space="preserve"> </w:t>
      </w:r>
      <w:r>
        <w:t xml:space="preserve">it assumed </w:t>
      </w:r>
      <w:r>
        <w:rPr>
          <w:spacing w:val="-1"/>
        </w:rPr>
        <w:t>that</w:t>
      </w:r>
      <w:r>
        <w:t xml:space="preserve"> </w:t>
      </w:r>
      <w:r>
        <w:rPr>
          <w:spacing w:val="-1"/>
        </w:rPr>
        <w:t>inflation remains</w:t>
      </w:r>
      <w:r>
        <w:t xml:space="preserve"> </w:t>
      </w:r>
      <w:r>
        <w:rPr>
          <w:spacing w:val="-1"/>
        </w:rPr>
        <w:t>around</w:t>
      </w:r>
      <w:r>
        <w:t xml:space="preserve"> 2.5% and</w:t>
      </w:r>
      <w:r>
        <w:rPr>
          <w:spacing w:val="-1"/>
        </w:rPr>
        <w:t xml:space="preserve"> there</w:t>
      </w:r>
      <w:r>
        <w:t xml:space="preserve"> </w:t>
      </w:r>
      <w:r>
        <w:rPr>
          <w:spacing w:val="-2"/>
        </w:rPr>
        <w:t>are</w:t>
      </w:r>
      <w:r>
        <w:t xml:space="preserve"> no </w:t>
      </w:r>
      <w:r>
        <w:rPr>
          <w:spacing w:val="-1"/>
        </w:rPr>
        <w:t>material</w:t>
      </w:r>
      <w:r>
        <w:rPr>
          <w:spacing w:val="47"/>
        </w:rPr>
        <w:t xml:space="preserve"> </w:t>
      </w:r>
      <w:r>
        <w:t>changes in</w:t>
      </w:r>
      <w:r>
        <w:rPr>
          <w:spacing w:val="-4"/>
        </w:rPr>
        <w:t xml:space="preserve"> </w:t>
      </w:r>
      <w:r>
        <w:rPr>
          <w:spacing w:val="-2"/>
        </w:rPr>
        <w:t>ACTEW’s</w:t>
      </w:r>
      <w:r>
        <w:t xml:space="preserve"> costs or Government </w:t>
      </w:r>
      <w:r>
        <w:rPr>
          <w:spacing w:val="-1"/>
        </w:rPr>
        <w:t>charges</w:t>
      </w:r>
      <w:r>
        <w:t xml:space="preserve"> (eg,</w:t>
      </w:r>
      <w:r>
        <w:rPr>
          <w:spacing w:val="-6"/>
        </w:rPr>
        <w:t xml:space="preserve"> </w:t>
      </w:r>
      <w:r>
        <w:t>the</w:t>
      </w:r>
      <w:r>
        <w:rPr>
          <w:spacing w:val="-3"/>
        </w:rPr>
        <w:t xml:space="preserve"> WAC</w:t>
      </w:r>
      <w:r>
        <w:t xml:space="preserve"> and UNFT) </w:t>
      </w:r>
      <w:r>
        <w:rPr>
          <w:spacing w:val="-1"/>
        </w:rPr>
        <w:t>that</w:t>
      </w:r>
      <w:r>
        <w:t xml:space="preserve"> would trigger a cost</w:t>
      </w:r>
      <w:r>
        <w:rPr>
          <w:spacing w:val="29"/>
        </w:rPr>
        <w:t xml:space="preserve"> </w:t>
      </w:r>
      <w:r>
        <w:rPr>
          <w:spacing w:val="-1"/>
        </w:rPr>
        <w:t>pass-through.</w:t>
      </w:r>
      <w:r>
        <w:rPr>
          <w:spacing w:val="-6"/>
        </w:rPr>
        <w:t xml:space="preserve"> </w:t>
      </w:r>
      <w:r>
        <w:t xml:space="preserve">In </w:t>
      </w:r>
      <w:r>
        <w:rPr>
          <w:spacing w:val="-1"/>
        </w:rPr>
        <w:t>particular:</w:t>
      </w:r>
    </w:p>
    <w:p w:rsidR="00D96B91" w:rsidRDefault="00C2656B">
      <w:pPr>
        <w:pStyle w:val="BodyText"/>
        <w:numPr>
          <w:ilvl w:val="0"/>
          <w:numId w:val="131"/>
        </w:numPr>
        <w:tabs>
          <w:tab w:val="left" w:pos="1531"/>
        </w:tabs>
        <w:spacing w:before="170" w:line="260" w:lineRule="exact"/>
        <w:ind w:right="1664" w:hanging="283"/>
        <w:rPr>
          <w:rFonts w:cs="Avenir Next"/>
        </w:rPr>
      </w:pPr>
      <w:r>
        <w:rPr>
          <w:b/>
          <w:spacing w:val="-4"/>
        </w:rPr>
        <w:t>For</w:t>
      </w:r>
      <w:r>
        <w:rPr>
          <w:b/>
        </w:rPr>
        <w:t xml:space="preserve"> </w:t>
      </w:r>
      <w:r>
        <w:rPr>
          <w:b/>
          <w:spacing w:val="-1"/>
        </w:rPr>
        <w:t>residential</w:t>
      </w:r>
      <w:r>
        <w:rPr>
          <w:b/>
        </w:rPr>
        <w:t xml:space="preserve"> customers</w:t>
      </w:r>
      <w:r>
        <w:t>,</w:t>
      </w:r>
      <w:r>
        <w:rPr>
          <w:spacing w:val="-6"/>
        </w:rPr>
        <w:t xml:space="preserve"> </w:t>
      </w:r>
      <w:r>
        <w:t xml:space="preserve">these prices </w:t>
      </w:r>
      <w:r>
        <w:rPr>
          <w:spacing w:val="-2"/>
        </w:rPr>
        <w:t>are</w:t>
      </w:r>
      <w:r>
        <w:t xml:space="preserve"> </w:t>
      </w:r>
      <w:r>
        <w:rPr>
          <w:spacing w:val="-1"/>
        </w:rPr>
        <w:t>likely</w:t>
      </w:r>
      <w:r>
        <w:t xml:space="preserve"> to </w:t>
      </w:r>
      <w:r>
        <w:rPr>
          <w:spacing w:val="-1"/>
        </w:rPr>
        <w:t>result</w:t>
      </w:r>
      <w:r>
        <w:t xml:space="preserve"> in </w:t>
      </w:r>
      <w:r>
        <w:rPr>
          <w:spacing w:val="-1"/>
        </w:rPr>
        <w:t>relatively</w:t>
      </w:r>
      <w:r>
        <w:t xml:space="preserve"> stable annual bills over the</w:t>
      </w:r>
      <w:r>
        <w:rPr>
          <w:spacing w:val="39"/>
        </w:rPr>
        <w:t xml:space="preserve"> </w:t>
      </w:r>
      <w:r>
        <w:rPr>
          <w:spacing w:val="-1"/>
        </w:rPr>
        <w:t>regulatory</w:t>
      </w:r>
      <w:r>
        <w:t xml:space="preserve"> period,</w:t>
      </w:r>
      <w:r>
        <w:rPr>
          <w:spacing w:val="-6"/>
        </w:rPr>
        <w:t xml:space="preserve"> </w:t>
      </w:r>
      <w:r>
        <w:t xml:space="preserve">and </w:t>
      </w:r>
      <w:r>
        <w:rPr>
          <w:spacing w:val="-2"/>
        </w:rPr>
        <w:t>are</w:t>
      </w:r>
      <w:r>
        <w:t xml:space="preserve"> </w:t>
      </w:r>
      <w:r>
        <w:rPr>
          <w:spacing w:val="-1"/>
        </w:rPr>
        <w:t>unlikely</w:t>
      </w:r>
      <w:r>
        <w:t xml:space="preserve"> to have a </w:t>
      </w:r>
      <w:r>
        <w:rPr>
          <w:spacing w:val="-1"/>
        </w:rPr>
        <w:t>material</w:t>
      </w:r>
      <w:r>
        <w:t xml:space="preserve"> impact on the bills faced by </w:t>
      </w:r>
      <w:r>
        <w:rPr>
          <w:spacing w:val="-1"/>
        </w:rPr>
        <w:t>vulnerable</w:t>
      </w:r>
    </w:p>
    <w:p w:rsidR="00D96B91" w:rsidRDefault="00C2656B">
      <w:pPr>
        <w:pStyle w:val="BodyText"/>
        <w:spacing w:line="260" w:lineRule="exact"/>
        <w:ind w:left="1530" w:right="1571"/>
        <w:rPr>
          <w:rFonts w:cs="Avenir Next"/>
        </w:rPr>
      </w:pPr>
      <w:r>
        <w:t>consumers</w:t>
      </w:r>
      <w:r>
        <w:rPr>
          <w:spacing w:val="-1"/>
        </w:rPr>
        <w:t xml:space="preserve"> </w:t>
      </w:r>
      <w:r>
        <w:t>or</w:t>
      </w:r>
      <w:r>
        <w:rPr>
          <w:spacing w:val="-1"/>
        </w:rPr>
        <w:t xml:space="preserve"> </w:t>
      </w:r>
      <w:r>
        <w:t>the number</w:t>
      </w:r>
      <w:r>
        <w:rPr>
          <w:spacing w:val="-1"/>
        </w:rPr>
        <w:t xml:space="preserve"> </w:t>
      </w:r>
      <w:r>
        <w:t>of</w:t>
      </w:r>
      <w:r>
        <w:rPr>
          <w:spacing w:val="3"/>
        </w:rPr>
        <w:t xml:space="preserve"> </w:t>
      </w:r>
      <w:r>
        <w:t>customers seeking</w:t>
      </w:r>
      <w:r>
        <w:rPr>
          <w:spacing w:val="-1"/>
        </w:rPr>
        <w:t xml:space="preserve"> </w:t>
      </w:r>
      <w:r>
        <w:t>assistance</w:t>
      </w:r>
      <w:r>
        <w:rPr>
          <w:spacing w:val="-1"/>
        </w:rPr>
        <w:t xml:space="preserve"> from</w:t>
      </w:r>
      <w:r>
        <w:t xml:space="preserve"> financial</w:t>
      </w:r>
      <w:r>
        <w:rPr>
          <w:spacing w:val="-1"/>
        </w:rPr>
        <w:t xml:space="preserve"> hardship</w:t>
      </w:r>
      <w:r>
        <w:t xml:space="preserve"> </w:t>
      </w:r>
      <w:r>
        <w:rPr>
          <w:spacing w:val="-1"/>
        </w:rPr>
        <w:t>programs.</w:t>
      </w:r>
      <w:r>
        <w:rPr>
          <w:spacing w:val="-7"/>
        </w:rPr>
        <w:t xml:space="preserve"> </w:t>
      </w:r>
      <w:r>
        <w:rPr>
          <w:spacing w:val="-4"/>
        </w:rPr>
        <w:t>For</w:t>
      </w:r>
      <w:r>
        <w:rPr>
          <w:spacing w:val="29"/>
        </w:rPr>
        <w:t xml:space="preserve"> </w:t>
      </w:r>
      <w:r>
        <w:t xml:space="preserve">a typical </w:t>
      </w:r>
      <w:r>
        <w:rPr>
          <w:spacing w:val="-1"/>
        </w:rPr>
        <w:t>residential</w:t>
      </w:r>
      <w:r>
        <w:t xml:space="preserve"> customer using 200kL</w:t>
      </w:r>
      <w:r>
        <w:rPr>
          <w:spacing w:val="-5"/>
        </w:rPr>
        <w:t xml:space="preserve"> </w:t>
      </w:r>
      <w:r>
        <w:t>of</w:t>
      </w:r>
      <w:r>
        <w:rPr>
          <w:spacing w:val="4"/>
        </w:rPr>
        <w:t xml:space="preserve"> </w:t>
      </w:r>
      <w:r>
        <w:rPr>
          <w:spacing w:val="-1"/>
        </w:rPr>
        <w:t>water</w:t>
      </w:r>
      <w:r>
        <w:t xml:space="preserve"> per annum,</w:t>
      </w:r>
      <w:r>
        <w:rPr>
          <w:spacing w:val="-6"/>
        </w:rPr>
        <w:t xml:space="preserve"> </w:t>
      </w:r>
      <w:r>
        <w:t xml:space="preserve">the annual bill is </w:t>
      </w:r>
      <w:r>
        <w:rPr>
          <w:spacing w:val="-1"/>
        </w:rPr>
        <w:t>expected</w:t>
      </w:r>
      <w:r>
        <w:t xml:space="preserve"> to be</w:t>
      </w:r>
      <w:r>
        <w:rPr>
          <w:spacing w:val="33"/>
        </w:rPr>
        <w:t xml:space="preserve"> </w:t>
      </w:r>
      <w:r>
        <w:rPr>
          <w:spacing w:val="-1"/>
        </w:rPr>
        <w:t>approximately:</w:t>
      </w:r>
    </w:p>
    <w:p w:rsidR="00D96B91" w:rsidRDefault="00C2656B">
      <w:pPr>
        <w:pStyle w:val="BodyText"/>
        <w:numPr>
          <w:ilvl w:val="1"/>
          <w:numId w:val="131"/>
        </w:numPr>
        <w:tabs>
          <w:tab w:val="left" w:pos="1815"/>
        </w:tabs>
        <w:spacing w:before="93"/>
      </w:pPr>
      <w:r>
        <w:t xml:space="preserve">2% </w:t>
      </w:r>
      <w:r>
        <w:rPr>
          <w:b/>
        </w:rPr>
        <w:t xml:space="preserve">higher </w:t>
      </w:r>
      <w:r>
        <w:t xml:space="preserve">in 2018-19 than the equivalent bill </w:t>
      </w:r>
      <w:r>
        <w:rPr>
          <w:spacing w:val="-2"/>
        </w:rPr>
        <w:t>today,</w:t>
      </w:r>
      <w:r>
        <w:rPr>
          <w:spacing w:val="-6"/>
        </w:rPr>
        <w:t xml:space="preserve"> </w:t>
      </w:r>
      <w:r>
        <w:t>and</w:t>
      </w:r>
    </w:p>
    <w:p w:rsidR="00D96B91" w:rsidRDefault="00C2656B">
      <w:pPr>
        <w:pStyle w:val="BodyText"/>
        <w:numPr>
          <w:ilvl w:val="1"/>
          <w:numId w:val="131"/>
        </w:numPr>
        <w:tabs>
          <w:tab w:val="left" w:pos="1815"/>
        </w:tabs>
        <w:spacing w:before="72"/>
      </w:pPr>
      <w:r>
        <w:t xml:space="preserve">3% </w:t>
      </w:r>
      <w:r>
        <w:rPr>
          <w:b/>
        </w:rPr>
        <w:t xml:space="preserve">lower </w:t>
      </w:r>
      <w:r>
        <w:t>in 2018-19 than the equivalent bill in 2012-13.</w:t>
      </w:r>
    </w:p>
    <w:p w:rsidR="00D96B91" w:rsidRDefault="00C2656B">
      <w:pPr>
        <w:pStyle w:val="BodyText"/>
        <w:numPr>
          <w:ilvl w:val="0"/>
          <w:numId w:val="131"/>
        </w:numPr>
        <w:tabs>
          <w:tab w:val="left" w:pos="1531"/>
        </w:tabs>
        <w:spacing w:before="64" w:line="260" w:lineRule="exact"/>
        <w:ind w:right="1690" w:hanging="283"/>
      </w:pPr>
      <w:r>
        <w:rPr>
          <w:b/>
          <w:spacing w:val="-4"/>
        </w:rPr>
        <w:t>For</w:t>
      </w:r>
      <w:r>
        <w:rPr>
          <w:b/>
        </w:rPr>
        <w:t xml:space="preserve"> </w:t>
      </w:r>
      <w:r>
        <w:rPr>
          <w:b/>
          <w:spacing w:val="-1"/>
        </w:rPr>
        <w:t>non-residential</w:t>
      </w:r>
      <w:r>
        <w:rPr>
          <w:b/>
        </w:rPr>
        <w:t xml:space="preserve"> customers</w:t>
      </w:r>
      <w:r>
        <w:t>,</w:t>
      </w:r>
      <w:r>
        <w:rPr>
          <w:spacing w:val="-6"/>
        </w:rPr>
        <w:t xml:space="preserve"> </w:t>
      </w:r>
      <w:r>
        <w:t xml:space="preserve">the prices </w:t>
      </w:r>
      <w:r>
        <w:rPr>
          <w:spacing w:val="-2"/>
        </w:rPr>
        <w:t>are</w:t>
      </w:r>
      <w:r>
        <w:t xml:space="preserve"> </w:t>
      </w:r>
      <w:r>
        <w:rPr>
          <w:spacing w:val="-1"/>
        </w:rPr>
        <w:t>expected</w:t>
      </w:r>
      <w:r>
        <w:t xml:space="preserve"> to </w:t>
      </w:r>
      <w:r>
        <w:rPr>
          <w:spacing w:val="-1"/>
        </w:rPr>
        <w:t>result</w:t>
      </w:r>
      <w:r>
        <w:t xml:space="preserve"> in bill impacts </w:t>
      </w:r>
      <w:r>
        <w:rPr>
          <w:spacing w:val="-1"/>
        </w:rPr>
        <w:t>that</w:t>
      </w:r>
      <w:r>
        <w:t xml:space="preserve"> </w:t>
      </w:r>
      <w:r>
        <w:rPr>
          <w:spacing w:val="-1"/>
        </w:rPr>
        <w:t>range</w:t>
      </w:r>
      <w:r>
        <w:t xml:space="preserve"> </w:t>
      </w:r>
      <w:r>
        <w:rPr>
          <w:spacing w:val="-1"/>
        </w:rPr>
        <w:t>from</w:t>
      </w:r>
      <w:r>
        <w:t xml:space="preserve"> a</w:t>
      </w:r>
      <w:r>
        <w:rPr>
          <w:spacing w:val="53"/>
        </w:rPr>
        <w:t xml:space="preserve"> </w:t>
      </w:r>
      <w:r>
        <w:t>7%</w:t>
      </w:r>
      <w:r>
        <w:rPr>
          <w:spacing w:val="-1"/>
        </w:rPr>
        <w:t xml:space="preserve"> decrease </w:t>
      </w:r>
      <w:r>
        <w:t>to a</w:t>
      </w:r>
      <w:r>
        <w:rPr>
          <w:spacing w:val="-1"/>
        </w:rPr>
        <w:t xml:space="preserve"> </w:t>
      </w:r>
      <w:r>
        <w:t>2%</w:t>
      </w:r>
      <w:r>
        <w:rPr>
          <w:spacing w:val="-1"/>
        </w:rPr>
        <w:t xml:space="preserve"> increase</w:t>
      </w:r>
      <w:r>
        <w:t xml:space="preserve"> over</w:t>
      </w:r>
      <w:r>
        <w:rPr>
          <w:spacing w:val="-1"/>
        </w:rPr>
        <w:t xml:space="preserve"> </w:t>
      </w:r>
      <w:r>
        <w:t>the</w:t>
      </w:r>
      <w:r>
        <w:rPr>
          <w:spacing w:val="-1"/>
        </w:rPr>
        <w:t xml:space="preserve"> five-year</w:t>
      </w:r>
      <w:r>
        <w:t xml:space="preserve"> period.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rFonts w:cs="Avenir Next"/>
        </w:rPr>
        <w:t>In addition,</w:t>
      </w:r>
      <w:r>
        <w:rPr>
          <w:rFonts w:cs="Avenir Next"/>
          <w:spacing w:val="-7"/>
        </w:rPr>
        <w:t xml:space="preserve"> </w:t>
      </w:r>
      <w:r>
        <w:rPr>
          <w:rFonts w:cs="Avenir Next"/>
        </w:rPr>
        <w:t xml:space="preserve">the </w:t>
      </w:r>
      <w:r>
        <w:rPr>
          <w:rFonts w:cs="Avenir Next"/>
          <w:spacing w:val="-4"/>
        </w:rPr>
        <w:t>Panel’s</w:t>
      </w:r>
      <w:r>
        <w:rPr>
          <w:rFonts w:cs="Avenir Next"/>
        </w:rPr>
        <w:t xml:space="preserve"> assessment is the prices </w:t>
      </w:r>
      <w:r>
        <w:rPr>
          <w:rFonts w:cs="Avenir Next"/>
          <w:spacing w:val="-2"/>
        </w:rPr>
        <w:t>are</w:t>
      </w:r>
      <w:r>
        <w:rPr>
          <w:rFonts w:cs="Avenir Next"/>
        </w:rPr>
        <w:t xml:space="preserve"> </w:t>
      </w:r>
      <w:r>
        <w:rPr>
          <w:rFonts w:cs="Avenir Next"/>
          <w:spacing w:val="-1"/>
        </w:rPr>
        <w:t>expected</w:t>
      </w:r>
      <w:r>
        <w:rPr>
          <w:rFonts w:cs="Avenir Next"/>
        </w:rPr>
        <w:t xml:space="preserve"> to have no </w:t>
      </w:r>
      <w:r>
        <w:rPr>
          <w:rFonts w:cs="Avenir Next"/>
          <w:spacing w:val="-1"/>
        </w:rPr>
        <w:t>material</w:t>
      </w:r>
      <w:r>
        <w:rPr>
          <w:rFonts w:cs="Avenir Next"/>
        </w:rPr>
        <w:t xml:space="preserve"> </w:t>
      </w:r>
      <w:r>
        <w:rPr>
          <w:rFonts w:cs="Avenir Next"/>
          <w:spacing w:val="-1"/>
        </w:rPr>
        <w:t>effect</w:t>
      </w:r>
      <w:r>
        <w:rPr>
          <w:rFonts w:cs="Avenir Next"/>
        </w:rPr>
        <w:t xml:space="preserve"> on </w:t>
      </w:r>
      <w:r>
        <w:rPr>
          <w:rFonts w:cs="Avenir Next"/>
          <w:spacing w:val="-1"/>
        </w:rPr>
        <w:t>general</w:t>
      </w:r>
      <w:r>
        <w:rPr>
          <w:rFonts w:cs="Avenir Next"/>
          <w:spacing w:val="51"/>
        </w:rPr>
        <w:t xml:space="preserve"> </w:t>
      </w:r>
      <w:r>
        <w:rPr>
          <w:spacing w:val="-1"/>
        </w:rPr>
        <w:t>inflation,</w:t>
      </w:r>
      <w:r>
        <w:rPr>
          <w:spacing w:val="-7"/>
        </w:rPr>
        <w:t xml:space="preserve"> </w:t>
      </w:r>
      <w:r>
        <w:t>and</w:t>
      </w:r>
      <w:r>
        <w:rPr>
          <w:spacing w:val="-1"/>
        </w:rPr>
        <w:t xml:space="preserve"> </w:t>
      </w:r>
      <w:r>
        <w:rPr>
          <w:spacing w:val="-2"/>
        </w:rPr>
        <w:t>are</w:t>
      </w:r>
      <w:r>
        <w:rPr>
          <w:spacing w:val="-1"/>
        </w:rPr>
        <w:t xml:space="preserve"> </w:t>
      </w:r>
      <w:r>
        <w:t>consistent</w:t>
      </w:r>
      <w:r>
        <w:rPr>
          <w:spacing w:val="-1"/>
        </w:rPr>
        <w:t xml:space="preserve"> </w:t>
      </w:r>
      <w:r>
        <w:t>with</w:t>
      </w:r>
      <w:r>
        <w:rPr>
          <w:spacing w:val="-5"/>
        </w:rPr>
        <w:t xml:space="preserve"> </w:t>
      </w:r>
      <w:r>
        <w:rPr>
          <w:spacing w:val="-2"/>
        </w:rPr>
        <w:t>ACTEW</w:t>
      </w:r>
      <w:r>
        <w:rPr>
          <w:spacing w:val="-4"/>
        </w:rPr>
        <w:t xml:space="preserve"> </w:t>
      </w:r>
      <w:r>
        <w:rPr>
          <w:spacing w:val="-1"/>
        </w:rPr>
        <w:t xml:space="preserve">remaining </w:t>
      </w:r>
      <w:r>
        <w:t>financially</w:t>
      </w:r>
      <w:r>
        <w:rPr>
          <w:spacing w:val="-1"/>
        </w:rPr>
        <w:t xml:space="preserve"> </w:t>
      </w:r>
      <w:r>
        <w:t>viable</w:t>
      </w:r>
      <w:r>
        <w:rPr>
          <w:spacing w:val="-1"/>
        </w:rPr>
        <w:t xml:space="preserve"> </w:t>
      </w:r>
      <w:r>
        <w:t>and</w:t>
      </w:r>
      <w:r>
        <w:rPr>
          <w:spacing w:val="-1"/>
        </w:rPr>
        <w:t xml:space="preserve"> </w:t>
      </w:r>
      <w:r>
        <w:t>able</w:t>
      </w:r>
      <w:r>
        <w:rPr>
          <w:spacing w:val="-1"/>
        </w:rPr>
        <w:t xml:space="preserve"> </w:t>
      </w:r>
      <w:r>
        <w:t>to continue</w:t>
      </w:r>
      <w:r>
        <w:rPr>
          <w:spacing w:val="-1"/>
        </w:rPr>
        <w:t xml:space="preserve"> </w:t>
      </w:r>
      <w:r>
        <w:t>to</w:t>
      </w:r>
      <w:r>
        <w:rPr>
          <w:spacing w:val="-1"/>
        </w:rPr>
        <w:t xml:space="preserve"> operate,</w:t>
      </w:r>
      <w:r>
        <w:rPr>
          <w:spacing w:val="45"/>
        </w:rPr>
        <w:t xml:space="preserve"> </w:t>
      </w:r>
      <w:r>
        <w:t>maintain,</w:t>
      </w:r>
      <w:r>
        <w:rPr>
          <w:spacing w:val="-6"/>
        </w:rPr>
        <w:t xml:space="preserve"> </w:t>
      </w:r>
      <w:r>
        <w:rPr>
          <w:spacing w:val="-1"/>
        </w:rPr>
        <w:t>renew</w:t>
      </w:r>
      <w:r>
        <w:t xml:space="preserve"> and develop the assets </w:t>
      </w:r>
      <w:r>
        <w:rPr>
          <w:spacing w:val="-1"/>
        </w:rPr>
        <w:t>required</w:t>
      </w:r>
      <w:r>
        <w:t xml:space="preserve"> to deliver its </w:t>
      </w:r>
      <w:r>
        <w:rPr>
          <w:spacing w:val="-1"/>
        </w:rPr>
        <w:t>water</w:t>
      </w:r>
      <w:r>
        <w:t xml:space="preserve"> and </w:t>
      </w:r>
      <w:r>
        <w:rPr>
          <w:spacing w:val="-1"/>
        </w:rPr>
        <w:t>sewerage</w:t>
      </w:r>
      <w:r>
        <w:t xml:space="preserve"> services.</w:t>
      </w:r>
    </w:p>
    <w:p w:rsidR="00D96B91" w:rsidRDefault="00C2656B">
      <w:pPr>
        <w:pStyle w:val="BodyText"/>
        <w:spacing w:before="170" w:line="260" w:lineRule="exact"/>
        <w:ind w:right="1283"/>
      </w:pPr>
      <w:r>
        <w:t>Based</w:t>
      </w:r>
      <w:r>
        <w:rPr>
          <w:spacing w:val="-1"/>
        </w:rPr>
        <w:t xml:space="preserve"> </w:t>
      </w:r>
      <w:r>
        <w:t>on this assessment,</w:t>
      </w:r>
      <w:r>
        <w:rPr>
          <w:spacing w:val="-8"/>
        </w:rPr>
        <w:t xml:space="preserve"> </w:t>
      </w:r>
      <w:r>
        <w:t xml:space="preserve">the </w:t>
      </w:r>
      <w:r>
        <w:rPr>
          <w:spacing w:val="-3"/>
        </w:rPr>
        <w:t>Panel</w:t>
      </w:r>
      <w:r>
        <w:t xml:space="preserve"> is</w:t>
      </w:r>
      <w:r>
        <w:rPr>
          <w:spacing w:val="-1"/>
        </w:rPr>
        <w:t xml:space="preserve"> satisfied</w:t>
      </w:r>
      <w:r>
        <w:t xml:space="preserve"> </w:t>
      </w:r>
      <w:r>
        <w:rPr>
          <w:spacing w:val="-1"/>
        </w:rPr>
        <w:t>that</w:t>
      </w:r>
      <w:r>
        <w:t xml:space="preserve"> the</w:t>
      </w:r>
      <w:r>
        <w:rPr>
          <w:spacing w:val="-1"/>
        </w:rPr>
        <w:t xml:space="preserve"> water</w:t>
      </w:r>
      <w:r>
        <w:t xml:space="preserve"> and </w:t>
      </w:r>
      <w:r>
        <w:rPr>
          <w:spacing w:val="-1"/>
        </w:rPr>
        <w:t>sewerage charges</w:t>
      </w:r>
      <w:r>
        <w:t xml:space="preserve"> set out</w:t>
      </w:r>
      <w:r>
        <w:rPr>
          <w:spacing w:val="-1"/>
        </w:rPr>
        <w:t xml:space="preserve"> </w:t>
      </w:r>
      <w:r>
        <w:t>in Chapter</w:t>
      </w:r>
      <w:r>
        <w:rPr>
          <w:spacing w:val="47"/>
        </w:rPr>
        <w:t xml:space="preserve"> </w:t>
      </w:r>
      <w:r>
        <w:t>14</w:t>
      </w:r>
      <w:r>
        <w:rPr>
          <w:spacing w:val="-1"/>
        </w:rPr>
        <w:t xml:space="preserve"> </w:t>
      </w:r>
      <w:r>
        <w:t>do</w:t>
      </w:r>
      <w:r>
        <w:rPr>
          <w:spacing w:val="-1"/>
        </w:rPr>
        <w:t xml:space="preserve"> </w:t>
      </w:r>
      <w:r>
        <w:t>not</w:t>
      </w:r>
      <w:r>
        <w:rPr>
          <w:spacing w:val="-1"/>
        </w:rPr>
        <w:t xml:space="preserve"> </w:t>
      </w:r>
      <w:r>
        <w:t>need</w:t>
      </w:r>
      <w:r>
        <w:rPr>
          <w:spacing w:val="-1"/>
        </w:rPr>
        <w:t xml:space="preserve"> </w:t>
      </w:r>
      <w:r>
        <w:t>to</w:t>
      </w:r>
      <w:r>
        <w:rPr>
          <w:spacing w:val="-1"/>
        </w:rPr>
        <w:t xml:space="preserve"> </w:t>
      </w:r>
      <w:r>
        <w:t>be modified</w:t>
      </w:r>
      <w:r>
        <w:rPr>
          <w:spacing w:val="-1"/>
        </w:rPr>
        <w:t xml:space="preserve"> </w:t>
      </w:r>
      <w:r>
        <w:t>to</w:t>
      </w:r>
      <w:r>
        <w:rPr>
          <w:spacing w:val="-1"/>
        </w:rPr>
        <w:t xml:space="preserve"> ameliorate undesirable </w:t>
      </w:r>
      <w:r>
        <w:t>impacts on</w:t>
      </w:r>
      <w:r>
        <w:rPr>
          <w:spacing w:val="-1"/>
        </w:rPr>
        <w:t xml:space="preserve"> </w:t>
      </w:r>
      <w:r>
        <w:t>customers,</w:t>
      </w:r>
      <w:r>
        <w:rPr>
          <w:spacing w:val="-8"/>
        </w:rPr>
        <w:t xml:space="preserve"> </w:t>
      </w:r>
      <w:r>
        <w:rPr>
          <w:spacing w:val="-1"/>
        </w:rPr>
        <w:t xml:space="preserve">general inflation </w:t>
      </w:r>
      <w:r>
        <w:t>or</w:t>
      </w:r>
      <w:r>
        <w:rPr>
          <w:spacing w:val="49"/>
        </w:rPr>
        <w:t xml:space="preserve"> </w:t>
      </w:r>
      <w:r>
        <w:rPr>
          <w:spacing w:val="-2"/>
        </w:rPr>
        <w:t>ACTEW’s</w:t>
      </w:r>
      <w:r>
        <w:rPr>
          <w:spacing w:val="-4"/>
        </w:rPr>
        <w:t xml:space="preserve"> </w:t>
      </w:r>
      <w:r>
        <w:t>financial</w:t>
      </w:r>
      <w:r>
        <w:rPr>
          <w:spacing w:val="-4"/>
        </w:rPr>
        <w:t xml:space="preserve"> </w:t>
      </w:r>
      <w:r>
        <w:rPr>
          <w:spacing w:val="-1"/>
        </w:rPr>
        <w:t>viability.</w:t>
      </w:r>
    </w:p>
    <w:p w:rsidR="00D96B91" w:rsidRDefault="00D96B91">
      <w:pPr>
        <w:spacing w:before="9"/>
        <w:rPr>
          <w:rFonts w:ascii="Avenir Next" w:eastAsia="Avenir Next" w:hAnsi="Avenir Next" w:cs="Avenir Next"/>
          <w:sz w:val="29"/>
          <w:szCs w:val="29"/>
        </w:rPr>
      </w:pPr>
    </w:p>
    <w:p w:rsidR="00D96B91" w:rsidRDefault="00C2656B">
      <w:pPr>
        <w:pStyle w:val="Heading4"/>
      </w:pPr>
      <w:r>
        <w:rPr>
          <w:color w:val="0778BE"/>
        </w:rPr>
        <w:t>15.</w:t>
      </w:r>
      <w:r>
        <w:rPr>
          <w:color w:val="0778BE"/>
          <w:spacing w:val="-9"/>
        </w:rPr>
        <w:t xml:space="preserve"> </w:t>
      </w:r>
      <w:r>
        <w:rPr>
          <w:color w:val="0778BE"/>
        </w:rPr>
        <w:t>2</w:t>
      </w:r>
      <w:r>
        <w:rPr>
          <w:color w:val="0778BE"/>
          <w:spacing w:val="39"/>
        </w:rPr>
        <w:t xml:space="preserve"> </w:t>
      </w:r>
      <w:r>
        <w:rPr>
          <w:color w:val="0778BE"/>
          <w:spacing w:val="-2"/>
        </w:rPr>
        <w:t>Effect</w:t>
      </w:r>
      <w:r>
        <w:rPr>
          <w:color w:val="0778BE"/>
        </w:rPr>
        <w:t xml:space="preserve"> on </w:t>
      </w:r>
      <w:r>
        <w:rPr>
          <w:color w:val="0778BE"/>
          <w:spacing w:val="-1"/>
        </w:rPr>
        <w:t>residential</w:t>
      </w:r>
      <w:r>
        <w:rPr>
          <w:color w:val="0778BE"/>
        </w:rPr>
        <w:t xml:space="preserve"> customers</w:t>
      </w:r>
    </w:p>
    <w:p w:rsidR="00D96B91" w:rsidRDefault="00C2656B">
      <w:pPr>
        <w:pStyle w:val="BodyText"/>
        <w:spacing w:before="55" w:line="260" w:lineRule="exact"/>
        <w:ind w:right="1256"/>
        <w:rPr>
          <w:rFonts w:cs="Avenir Next"/>
        </w:rPr>
      </w:pPr>
      <w:r>
        <w:rPr>
          <w:spacing w:val="-10"/>
        </w:rPr>
        <w:t>To</w:t>
      </w:r>
      <w:r>
        <w:t xml:space="preserve"> </w:t>
      </w:r>
      <w:r>
        <w:rPr>
          <w:spacing w:val="-1"/>
        </w:rPr>
        <w:t>better</w:t>
      </w:r>
      <w:r>
        <w:t xml:space="preserve"> understand the </w:t>
      </w:r>
      <w:r>
        <w:rPr>
          <w:spacing w:val="-1"/>
        </w:rPr>
        <w:t>effect</w:t>
      </w:r>
      <w:r>
        <w:t xml:space="preserve"> </w:t>
      </w:r>
      <w:r>
        <w:rPr>
          <w:spacing w:val="-1"/>
        </w:rPr>
        <w:t>that</w:t>
      </w:r>
      <w:r>
        <w:t xml:space="preserve"> the </w:t>
      </w:r>
      <w:r>
        <w:rPr>
          <w:spacing w:val="-1"/>
        </w:rPr>
        <w:t>water</w:t>
      </w:r>
      <w:r>
        <w:t xml:space="preserve"> and </w:t>
      </w:r>
      <w:r>
        <w:rPr>
          <w:spacing w:val="-1"/>
        </w:rPr>
        <w:t>sewerage</w:t>
      </w:r>
      <w:r>
        <w:t xml:space="preserve"> </w:t>
      </w:r>
      <w:r>
        <w:rPr>
          <w:spacing w:val="-1"/>
        </w:rPr>
        <w:t>charges</w:t>
      </w:r>
      <w:r>
        <w:t xml:space="preserve"> set out in Chapter 14 </w:t>
      </w:r>
      <w:r>
        <w:rPr>
          <w:spacing w:val="-2"/>
        </w:rPr>
        <w:t>are</w:t>
      </w:r>
      <w:r>
        <w:t xml:space="preserve"> </w:t>
      </w:r>
      <w:r>
        <w:rPr>
          <w:spacing w:val="-1"/>
        </w:rPr>
        <w:t>likely</w:t>
      </w:r>
      <w:r>
        <w:t xml:space="preserve"> to</w:t>
      </w:r>
      <w:r>
        <w:rPr>
          <w:spacing w:val="43"/>
        </w:rPr>
        <w:t xml:space="preserve"> </w:t>
      </w:r>
      <w:r>
        <w:t xml:space="preserve">have on </w:t>
      </w:r>
      <w:r>
        <w:rPr>
          <w:spacing w:val="-1"/>
        </w:rPr>
        <w:t>residential</w:t>
      </w:r>
      <w:r>
        <w:t xml:space="preserve"> customers,</w:t>
      </w:r>
      <w:r>
        <w:rPr>
          <w:spacing w:val="-7"/>
        </w:rPr>
        <w:t xml:space="preserve"> </w:t>
      </w:r>
      <w:r>
        <w:t xml:space="preserve">the </w:t>
      </w:r>
      <w:r>
        <w:rPr>
          <w:spacing w:val="-3"/>
        </w:rPr>
        <w:t>Panel</w:t>
      </w:r>
      <w:r>
        <w:t xml:space="preserve"> has </w:t>
      </w:r>
      <w:r>
        <w:rPr>
          <w:spacing w:val="-1"/>
        </w:rPr>
        <w:t>examined:</w:t>
      </w: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26"/>
          <w:szCs w:val="2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90" style="width:72.5pt;height:.5pt;mso-position-horizontal-relative:char;mso-position-vertical-relative:line" coordsize="1450,10">
            <v:group id="_x0000_s1791" style="position:absolute;left:5;top:5;width:1440;height:2" coordorigin="5,5" coordsize="1440,2">
              <v:shape id="_x0000_s1792" style="position:absolute;left:5;top:5;width:1440;height:2" coordorigin="5,5" coordsize="1440,0" path="m5,5r1440,e" filled="f" strokeweight=".5pt">
                <v:path arrowok="t"/>
              </v:shape>
            </v:group>
            <w10:wrap type="none"/>
            <w10:anchorlock/>
          </v:group>
        </w:pict>
      </w:r>
    </w:p>
    <w:p w:rsidR="00D96B91" w:rsidRDefault="00C2656B">
      <w:pPr>
        <w:numPr>
          <w:ilvl w:val="0"/>
          <w:numId w:val="31"/>
        </w:numPr>
        <w:tabs>
          <w:tab w:val="left" w:pos="1758"/>
        </w:tabs>
        <w:spacing w:before="38"/>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is consistent with section 20(2)(g)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z w:val="16"/>
        </w:rPr>
        <w:t>Act,</w:t>
      </w:r>
      <w:r>
        <w:rPr>
          <w:rFonts w:ascii="Avenir Next"/>
          <w:spacing w:val="-5"/>
          <w:sz w:val="16"/>
        </w:rPr>
        <w:t xml:space="preserve"> </w:t>
      </w:r>
      <w:r>
        <w:rPr>
          <w:rFonts w:ascii="Avenir Next"/>
          <w:sz w:val="16"/>
        </w:rPr>
        <w:t xml:space="preserve">which </w:t>
      </w:r>
      <w:r>
        <w:rPr>
          <w:rFonts w:ascii="Avenir Next"/>
          <w:spacing w:val="-1"/>
          <w:sz w:val="16"/>
        </w:rPr>
        <w:t>requires</w:t>
      </w:r>
      <w:r>
        <w:rPr>
          <w:rFonts w:ascii="Avenir Next"/>
          <w:sz w:val="16"/>
        </w:rPr>
        <w:t xml:space="preserve"> the </w:t>
      </w:r>
      <w:r>
        <w:rPr>
          <w:rFonts w:ascii="Avenir Next"/>
          <w:spacing w:val="-2"/>
          <w:sz w:val="16"/>
        </w:rPr>
        <w:t>Panel</w:t>
      </w:r>
      <w:r>
        <w:rPr>
          <w:rFonts w:ascii="Avenir Next"/>
          <w:sz w:val="16"/>
        </w:rPr>
        <w:t xml:space="preserve"> to consider the social impacts of</w:t>
      </w:r>
      <w:r>
        <w:rPr>
          <w:rFonts w:ascii="Avenir Next"/>
          <w:spacing w:val="3"/>
          <w:sz w:val="16"/>
        </w:rPr>
        <w:t xml:space="preserve"> </w:t>
      </w:r>
      <w:r>
        <w:rPr>
          <w:rFonts w:ascii="Avenir Next"/>
          <w:sz w:val="16"/>
        </w:rPr>
        <w:t>the decision.</w:t>
      </w:r>
    </w:p>
    <w:p w:rsidR="00D96B91" w:rsidRDefault="00C2656B">
      <w:pPr>
        <w:numPr>
          <w:ilvl w:val="0"/>
          <w:numId w:val="31"/>
        </w:numPr>
        <w:tabs>
          <w:tab w:val="left" w:pos="1758"/>
        </w:tabs>
        <w:spacing w:before="128" w:line="192" w:lineRule="exact"/>
        <w:ind w:right="1416" w:hanging="510"/>
        <w:rPr>
          <w:rFonts w:ascii="Avenir Next" w:eastAsia="Avenir Next" w:hAnsi="Avenir Next" w:cs="Avenir Next"/>
          <w:sz w:val="16"/>
          <w:szCs w:val="16"/>
        </w:rPr>
      </w:pPr>
      <w:r>
        <w:rPr>
          <w:rFonts w:ascii="Avenir Next"/>
          <w:spacing w:val="-1"/>
          <w:sz w:val="16"/>
        </w:rPr>
        <w:t xml:space="preserve">This </w:t>
      </w:r>
      <w:r>
        <w:rPr>
          <w:rFonts w:ascii="Avenir Next"/>
          <w:sz w:val="16"/>
        </w:rPr>
        <w:t xml:space="preserve">is consistent with section </w:t>
      </w:r>
      <w:r>
        <w:rPr>
          <w:rFonts w:ascii="Avenir Next"/>
          <w:spacing w:val="1"/>
          <w:sz w:val="16"/>
        </w:rPr>
        <w:t>20(2)(j)</w:t>
      </w:r>
      <w:r>
        <w:rPr>
          <w:rFonts w:ascii="Avenir Next"/>
          <w:sz w:val="16"/>
        </w:rPr>
        <w:t xml:space="preserve"> of</w:t>
      </w:r>
      <w:r>
        <w:rPr>
          <w:rFonts w:ascii="Avenir Next"/>
          <w:spacing w:val="2"/>
          <w:sz w:val="16"/>
        </w:rPr>
        <w:t xml:space="preserve"> </w:t>
      </w:r>
      <w:r>
        <w:rPr>
          <w:rFonts w:ascii="Avenir Next"/>
          <w:sz w:val="16"/>
        </w:rPr>
        <w:t>the</w:t>
      </w:r>
      <w:r>
        <w:rPr>
          <w:rFonts w:ascii="Avenir Next"/>
          <w:spacing w:val="-3"/>
          <w:sz w:val="16"/>
        </w:rPr>
        <w:t xml:space="preserve"> </w:t>
      </w:r>
      <w:r>
        <w:rPr>
          <w:rFonts w:ascii="Avenir Next"/>
          <w:sz w:val="16"/>
        </w:rPr>
        <w:t>Act,</w:t>
      </w:r>
      <w:r>
        <w:rPr>
          <w:rFonts w:ascii="Avenir Next"/>
          <w:spacing w:val="-5"/>
          <w:sz w:val="16"/>
        </w:rPr>
        <w:t xml:space="preserve"> </w:t>
      </w:r>
      <w:r>
        <w:rPr>
          <w:rFonts w:ascii="Avenir Next"/>
          <w:sz w:val="16"/>
        </w:rPr>
        <w:t xml:space="preserve">which </w:t>
      </w:r>
      <w:r>
        <w:rPr>
          <w:rFonts w:ascii="Avenir Next"/>
          <w:spacing w:val="-1"/>
          <w:sz w:val="16"/>
        </w:rPr>
        <w:t>requires</w:t>
      </w:r>
      <w:r>
        <w:rPr>
          <w:rFonts w:ascii="Avenir Next"/>
          <w:sz w:val="16"/>
        </w:rPr>
        <w:t xml:space="preserve"> the </w:t>
      </w:r>
      <w:r>
        <w:rPr>
          <w:rFonts w:ascii="Avenir Next"/>
          <w:spacing w:val="-2"/>
          <w:sz w:val="16"/>
        </w:rPr>
        <w:t>Panel</w:t>
      </w:r>
      <w:r>
        <w:rPr>
          <w:rFonts w:ascii="Avenir Next"/>
          <w:sz w:val="16"/>
        </w:rPr>
        <w:t xml:space="preserve"> to</w:t>
      </w:r>
      <w:r>
        <w:rPr>
          <w:rFonts w:ascii="Avenir Next"/>
          <w:spacing w:val="-1"/>
          <w:sz w:val="16"/>
        </w:rPr>
        <w:t xml:space="preserve"> </w:t>
      </w:r>
      <w:r>
        <w:rPr>
          <w:rFonts w:ascii="Avenir Next"/>
          <w:sz w:val="16"/>
        </w:rPr>
        <w:t xml:space="preserve">consider the </w:t>
      </w:r>
      <w:r>
        <w:rPr>
          <w:rFonts w:ascii="Avenir Next"/>
          <w:spacing w:val="-1"/>
          <w:sz w:val="16"/>
        </w:rPr>
        <w:t>effect</w:t>
      </w:r>
      <w:r>
        <w:rPr>
          <w:rFonts w:ascii="Avenir Next"/>
          <w:sz w:val="16"/>
        </w:rPr>
        <w:t xml:space="preserve"> on </w:t>
      </w:r>
      <w:r>
        <w:rPr>
          <w:rFonts w:ascii="Avenir Next"/>
          <w:spacing w:val="-1"/>
          <w:sz w:val="16"/>
        </w:rPr>
        <w:t>general</w:t>
      </w:r>
      <w:r>
        <w:rPr>
          <w:rFonts w:ascii="Avenir Next"/>
          <w:sz w:val="16"/>
        </w:rPr>
        <w:t xml:space="preserve"> price</w:t>
      </w:r>
      <w:r>
        <w:rPr>
          <w:rFonts w:ascii="Avenir Next"/>
          <w:spacing w:val="-1"/>
          <w:sz w:val="16"/>
        </w:rPr>
        <w:t xml:space="preserve"> inflation</w:t>
      </w:r>
      <w:r>
        <w:rPr>
          <w:rFonts w:ascii="Avenir Next"/>
          <w:spacing w:val="39"/>
          <w:sz w:val="16"/>
        </w:rPr>
        <w:t xml:space="preserve"> </w:t>
      </w:r>
      <w:r>
        <w:rPr>
          <w:rFonts w:ascii="Avenir Next"/>
          <w:sz w:val="16"/>
        </w:rPr>
        <w:t>over the medium term.</w:t>
      </w:r>
    </w:p>
    <w:p w:rsidR="00D96B91" w:rsidRDefault="00D96B91">
      <w:pPr>
        <w:spacing w:before="12"/>
        <w:rPr>
          <w:rFonts w:ascii="Avenir Next" w:eastAsia="Avenir Next" w:hAnsi="Avenir Next" w:cs="Avenir Next"/>
          <w:sz w:val="10"/>
          <w:szCs w:val="10"/>
        </w:rPr>
      </w:pPr>
    </w:p>
    <w:p w:rsidR="00D96B91" w:rsidRDefault="00C2656B">
      <w:pPr>
        <w:numPr>
          <w:ilvl w:val="0"/>
          <w:numId w:val="31"/>
        </w:numPr>
        <w:tabs>
          <w:tab w:val="left" w:pos="1758"/>
        </w:tabs>
        <w:spacing w:line="192" w:lineRule="exact"/>
        <w:ind w:right="1337" w:hanging="510"/>
        <w:rPr>
          <w:rFonts w:ascii="Avenir Next" w:eastAsia="Avenir Next" w:hAnsi="Avenir Next" w:cs="Avenir Next"/>
          <w:sz w:val="16"/>
          <w:szCs w:val="16"/>
        </w:rPr>
      </w:pPr>
      <w:r>
        <w:rPr>
          <w:rFonts w:ascii="Avenir Next"/>
          <w:spacing w:val="-1"/>
          <w:sz w:val="16"/>
        </w:rPr>
        <w:t xml:space="preserve">This </w:t>
      </w:r>
      <w:r>
        <w:rPr>
          <w:rFonts w:ascii="Avenir Next"/>
          <w:sz w:val="16"/>
        </w:rPr>
        <w:t>is consistent with section 20(2)(i) of</w:t>
      </w:r>
      <w:r>
        <w:rPr>
          <w:rFonts w:ascii="Avenir Next"/>
          <w:spacing w:val="2"/>
          <w:sz w:val="16"/>
        </w:rPr>
        <w:t xml:space="preserve"> </w:t>
      </w:r>
      <w:r>
        <w:rPr>
          <w:rFonts w:ascii="Avenir Next"/>
          <w:sz w:val="16"/>
        </w:rPr>
        <w:t>the</w:t>
      </w:r>
      <w:r>
        <w:rPr>
          <w:rFonts w:ascii="Avenir Next"/>
          <w:spacing w:val="-3"/>
          <w:sz w:val="16"/>
        </w:rPr>
        <w:t xml:space="preserve"> </w:t>
      </w:r>
      <w:r>
        <w:rPr>
          <w:rFonts w:ascii="Avenir Next"/>
          <w:sz w:val="16"/>
        </w:rPr>
        <w:t>Act,</w:t>
      </w:r>
      <w:r>
        <w:rPr>
          <w:rFonts w:ascii="Avenir Next"/>
          <w:spacing w:val="-5"/>
          <w:sz w:val="16"/>
        </w:rPr>
        <w:t xml:space="preserve"> </w:t>
      </w:r>
      <w:r>
        <w:rPr>
          <w:rFonts w:ascii="Avenir Next"/>
          <w:sz w:val="16"/>
        </w:rPr>
        <w:t xml:space="preserve">which </w:t>
      </w:r>
      <w:r>
        <w:rPr>
          <w:rFonts w:ascii="Avenir Next"/>
          <w:spacing w:val="-1"/>
          <w:sz w:val="16"/>
        </w:rPr>
        <w:t>requires</w:t>
      </w:r>
      <w:r>
        <w:rPr>
          <w:rFonts w:ascii="Avenir Next"/>
          <w:sz w:val="16"/>
        </w:rPr>
        <w:t xml:space="preserve"> the </w:t>
      </w:r>
      <w:r>
        <w:rPr>
          <w:rFonts w:ascii="Avenir Next"/>
          <w:spacing w:val="-2"/>
          <w:sz w:val="16"/>
        </w:rPr>
        <w:t>Panel</w:t>
      </w:r>
      <w:r>
        <w:rPr>
          <w:rFonts w:ascii="Avenir Next"/>
          <w:sz w:val="16"/>
        </w:rPr>
        <w:t xml:space="preserve"> to</w:t>
      </w:r>
      <w:r>
        <w:rPr>
          <w:rFonts w:ascii="Avenir Next"/>
          <w:spacing w:val="-1"/>
          <w:sz w:val="16"/>
        </w:rPr>
        <w:t xml:space="preserve"> </w:t>
      </w:r>
      <w:r>
        <w:rPr>
          <w:rFonts w:ascii="Avenir Next"/>
          <w:sz w:val="16"/>
        </w:rPr>
        <w:t xml:space="preserve">consider the </w:t>
      </w:r>
      <w:r>
        <w:rPr>
          <w:rFonts w:ascii="Avenir Next"/>
          <w:spacing w:val="-1"/>
          <w:sz w:val="16"/>
        </w:rPr>
        <w:t>borrowing,</w:t>
      </w:r>
      <w:r>
        <w:rPr>
          <w:rFonts w:ascii="Avenir Next"/>
          <w:spacing w:val="-5"/>
          <w:sz w:val="16"/>
        </w:rPr>
        <w:t xml:space="preserve"> </w:t>
      </w:r>
      <w:r>
        <w:rPr>
          <w:rFonts w:ascii="Avenir Next"/>
          <w:sz w:val="16"/>
        </w:rPr>
        <w:t>capital and cash</w:t>
      </w:r>
      <w:r>
        <w:rPr>
          <w:rFonts w:ascii="Avenir Next"/>
          <w:spacing w:val="-1"/>
          <w:sz w:val="16"/>
        </w:rPr>
        <w:t xml:space="preserve"> </w:t>
      </w:r>
      <w:r>
        <w:rPr>
          <w:rFonts w:ascii="Avenir Next"/>
          <w:sz w:val="16"/>
        </w:rPr>
        <w:t>flow</w:t>
      </w:r>
      <w:r>
        <w:rPr>
          <w:rFonts w:ascii="Avenir Next"/>
          <w:spacing w:val="21"/>
          <w:w w:val="99"/>
          <w:sz w:val="16"/>
        </w:rPr>
        <w:t xml:space="preserve"> </w:t>
      </w:r>
      <w:r>
        <w:rPr>
          <w:rFonts w:ascii="Avenir Next"/>
          <w:spacing w:val="-1"/>
          <w:sz w:val="16"/>
        </w:rPr>
        <w:t>requirements</w:t>
      </w:r>
      <w:r>
        <w:rPr>
          <w:rFonts w:ascii="Avenir Next"/>
          <w:sz w:val="16"/>
        </w:rPr>
        <w:t xml:space="preserve"> of</w:t>
      </w:r>
      <w:r>
        <w:rPr>
          <w:rFonts w:ascii="Avenir Next"/>
          <w:spacing w:val="3"/>
          <w:sz w:val="16"/>
        </w:rPr>
        <w:t xml:space="preserve"> </w:t>
      </w:r>
      <w:r>
        <w:rPr>
          <w:rFonts w:ascii="Avenir Next"/>
          <w:sz w:val="16"/>
        </w:rPr>
        <w:t xml:space="preserve">people </w:t>
      </w:r>
      <w:r>
        <w:rPr>
          <w:rFonts w:ascii="Avenir Next"/>
          <w:spacing w:val="-1"/>
          <w:sz w:val="16"/>
        </w:rPr>
        <w:t>providing</w:t>
      </w:r>
      <w:r>
        <w:rPr>
          <w:rFonts w:ascii="Avenir Next"/>
          <w:sz w:val="16"/>
        </w:rPr>
        <w:t xml:space="preserve"> </w:t>
      </w:r>
      <w:r>
        <w:rPr>
          <w:rFonts w:ascii="Avenir Next"/>
          <w:spacing w:val="-1"/>
          <w:sz w:val="16"/>
        </w:rPr>
        <w:t>regulated</w:t>
      </w:r>
      <w:r>
        <w:rPr>
          <w:rFonts w:ascii="Avenir Next"/>
          <w:sz w:val="16"/>
        </w:rPr>
        <w:t xml:space="preserve"> services and the need to </w:t>
      </w:r>
      <w:r>
        <w:rPr>
          <w:rFonts w:ascii="Avenir Next"/>
          <w:spacing w:val="-1"/>
          <w:sz w:val="16"/>
        </w:rPr>
        <w:t>renew</w:t>
      </w:r>
      <w:r>
        <w:rPr>
          <w:rFonts w:ascii="Avenir Next"/>
          <w:sz w:val="16"/>
        </w:rPr>
        <w:t xml:space="preserve"> or </w:t>
      </w:r>
      <w:r>
        <w:rPr>
          <w:rFonts w:ascii="Avenir Next"/>
          <w:spacing w:val="-1"/>
          <w:sz w:val="16"/>
        </w:rPr>
        <w:t>increase</w:t>
      </w:r>
      <w:r>
        <w:rPr>
          <w:rFonts w:ascii="Avenir Next"/>
          <w:sz w:val="16"/>
        </w:rPr>
        <w:t xml:space="preserve"> </w:t>
      </w:r>
      <w:r>
        <w:rPr>
          <w:rFonts w:ascii="Avenir Next"/>
          <w:spacing w:val="-1"/>
          <w:sz w:val="16"/>
        </w:rPr>
        <w:t>relevant</w:t>
      </w:r>
      <w:r>
        <w:rPr>
          <w:rFonts w:ascii="Avenir Next"/>
          <w:sz w:val="16"/>
        </w:rPr>
        <w:t xml:space="preserve"> assets in the </w:t>
      </w:r>
      <w:r>
        <w:rPr>
          <w:rFonts w:ascii="Avenir Next"/>
          <w:spacing w:val="-1"/>
          <w:sz w:val="16"/>
        </w:rPr>
        <w:t>regulated</w:t>
      </w:r>
      <w:r>
        <w:rPr>
          <w:rFonts w:ascii="Avenir Next"/>
          <w:spacing w:val="63"/>
          <w:sz w:val="16"/>
        </w:rPr>
        <w:t xml:space="preserve"> </w:t>
      </w:r>
      <w:r>
        <w:rPr>
          <w:rFonts w:ascii="Avenir Next"/>
          <w:spacing w:val="-1"/>
          <w:sz w:val="16"/>
        </w:rPr>
        <w:t>industry.</w:t>
      </w:r>
    </w:p>
    <w:p w:rsidR="00D96B91" w:rsidRDefault="00D96B91">
      <w:pPr>
        <w:spacing w:line="192" w:lineRule="exact"/>
        <w:rPr>
          <w:rFonts w:ascii="Avenir Next" w:eastAsia="Avenir Next" w:hAnsi="Avenir Next" w:cs="Avenir Next"/>
          <w:sz w:val="16"/>
          <w:szCs w:val="16"/>
        </w:rPr>
        <w:sectPr w:rsidR="00D96B91">
          <w:footerReference w:type="even" r:id="rId93"/>
          <w:footerReference w:type="default" r:id="rId94"/>
          <w:pgSz w:w="11910" w:h="16840"/>
          <w:pgMar w:top="1260" w:right="0" w:bottom="1020" w:left="0" w:header="0" w:footer="829" w:gutter="0"/>
          <w:pgNumType w:start="141"/>
          <w:cols w:space="720"/>
        </w:sectPr>
      </w:pPr>
    </w:p>
    <w:p w:rsidR="00D96B91" w:rsidRDefault="00C2656B">
      <w:pPr>
        <w:pStyle w:val="BodyText"/>
        <w:numPr>
          <w:ilvl w:val="0"/>
          <w:numId w:val="131"/>
        </w:numPr>
        <w:tabs>
          <w:tab w:val="left" w:pos="1531"/>
        </w:tabs>
        <w:spacing w:before="21" w:line="260" w:lineRule="exact"/>
        <w:ind w:right="1817" w:hanging="283"/>
        <w:rPr>
          <w:rFonts w:cs="Avenir Next"/>
        </w:rPr>
      </w:pPr>
      <w:r>
        <w:t xml:space="preserve">the change in annual </w:t>
      </w:r>
      <w:r>
        <w:rPr>
          <w:spacing w:val="-1"/>
        </w:rPr>
        <w:t>water</w:t>
      </w:r>
      <w:r>
        <w:t xml:space="preserve"> and </w:t>
      </w:r>
      <w:r>
        <w:rPr>
          <w:spacing w:val="-1"/>
        </w:rPr>
        <w:t>sewerage</w:t>
      </w:r>
      <w:r>
        <w:t xml:space="preserve"> bills </w:t>
      </w:r>
      <w:r>
        <w:rPr>
          <w:spacing w:val="-1"/>
        </w:rPr>
        <w:t>that</w:t>
      </w:r>
      <w:r>
        <w:t xml:space="preserve"> will occur as a </w:t>
      </w:r>
      <w:r>
        <w:rPr>
          <w:spacing w:val="-1"/>
        </w:rPr>
        <w:t>result</w:t>
      </w:r>
      <w:r>
        <w:t xml:space="preserve"> of</w:t>
      </w:r>
      <w:r>
        <w:rPr>
          <w:spacing w:val="4"/>
        </w:rPr>
        <w:t xml:space="preserve"> </w:t>
      </w:r>
      <w:r>
        <w:t xml:space="preserve">its </w:t>
      </w:r>
      <w:r>
        <w:rPr>
          <w:spacing w:val="-2"/>
        </w:rPr>
        <w:t>draft</w:t>
      </w:r>
      <w:r>
        <w:t xml:space="preserve"> decision for</w:t>
      </w:r>
      <w:r>
        <w:rPr>
          <w:spacing w:val="29"/>
        </w:rPr>
        <w:t xml:space="preserve"> </w:t>
      </w:r>
      <w:r>
        <w:t>varying levels of</w:t>
      </w:r>
      <w:r>
        <w:rPr>
          <w:spacing w:val="4"/>
        </w:rPr>
        <w:t xml:space="preserve"> </w:t>
      </w:r>
      <w:r>
        <w:rPr>
          <w:spacing w:val="-1"/>
        </w:rPr>
        <w:t>water</w:t>
      </w:r>
      <w:r>
        <w:t xml:space="preserve"> consumption</w:t>
      </w:r>
    </w:p>
    <w:p w:rsidR="00D96B91" w:rsidRDefault="00C2656B">
      <w:pPr>
        <w:pStyle w:val="BodyText"/>
        <w:numPr>
          <w:ilvl w:val="0"/>
          <w:numId w:val="131"/>
        </w:numPr>
        <w:tabs>
          <w:tab w:val="left" w:pos="1531"/>
        </w:tabs>
        <w:spacing w:before="93"/>
        <w:ind w:hanging="283"/>
        <w:rPr>
          <w:rFonts w:cs="Avenir Next"/>
        </w:rPr>
      </w:pPr>
      <w:r>
        <w:t xml:space="preserve">the </w:t>
      </w:r>
      <w:r>
        <w:rPr>
          <w:spacing w:val="-1"/>
        </w:rPr>
        <w:t>likely</w:t>
      </w:r>
      <w:r>
        <w:t xml:space="preserve"> impact on </w:t>
      </w:r>
      <w:r>
        <w:rPr>
          <w:spacing w:val="-1"/>
        </w:rPr>
        <w:t>vulnerable</w:t>
      </w:r>
      <w:r>
        <w:t xml:space="preserve"> customers</w:t>
      </w:r>
    </w:p>
    <w:p w:rsidR="00D96B91" w:rsidRDefault="00C2656B">
      <w:pPr>
        <w:pStyle w:val="BodyText"/>
        <w:numPr>
          <w:ilvl w:val="0"/>
          <w:numId w:val="131"/>
        </w:numPr>
        <w:tabs>
          <w:tab w:val="left" w:pos="1531"/>
        </w:tabs>
        <w:spacing w:before="64" w:line="260" w:lineRule="exact"/>
        <w:ind w:right="1442" w:hanging="283"/>
        <w:rPr>
          <w:rFonts w:cs="Avenir Next"/>
        </w:rPr>
      </w:pPr>
      <w:r>
        <w:t xml:space="preserve">the </w:t>
      </w:r>
      <w:r>
        <w:rPr>
          <w:spacing w:val="-1"/>
        </w:rPr>
        <w:t>extent</w:t>
      </w:r>
      <w:r>
        <w:t xml:space="preserve"> to which the annual </w:t>
      </w:r>
      <w:r>
        <w:rPr>
          <w:spacing w:val="-1"/>
        </w:rPr>
        <w:t>water</w:t>
      </w:r>
      <w:r>
        <w:t xml:space="preserve"> and </w:t>
      </w:r>
      <w:r>
        <w:rPr>
          <w:spacing w:val="-1"/>
        </w:rPr>
        <w:t>sewerage</w:t>
      </w:r>
      <w:r>
        <w:t xml:space="preserve"> bill payable by a typical </w:t>
      </w:r>
      <w:r>
        <w:rPr>
          <w:spacing w:val="-1"/>
        </w:rPr>
        <w:t>residential</w:t>
      </w:r>
      <w:r>
        <w:t xml:space="preserve"> customer in</w:t>
      </w:r>
      <w:r>
        <w:rPr>
          <w:spacing w:val="37"/>
        </w:rPr>
        <w:t xml:space="preserve"> </w:t>
      </w:r>
      <w:r>
        <w:t>the</w:t>
      </w:r>
      <w:r>
        <w:rPr>
          <w:spacing w:val="-4"/>
        </w:rPr>
        <w:t xml:space="preserve"> </w:t>
      </w:r>
      <w:r>
        <w:rPr>
          <w:spacing w:val="-2"/>
        </w:rPr>
        <w:t>ACT</w:t>
      </w:r>
      <w:r>
        <w:rPr>
          <w:spacing w:val="-5"/>
        </w:rPr>
        <w:t xml:space="preserve"> </w:t>
      </w:r>
      <w:r>
        <w:rPr>
          <w:spacing w:val="-1"/>
        </w:rPr>
        <w:t>differs</w:t>
      </w:r>
      <w:r>
        <w:t xml:space="preserve"> </w:t>
      </w:r>
      <w:r>
        <w:rPr>
          <w:spacing w:val="-1"/>
        </w:rPr>
        <w:t>from</w:t>
      </w:r>
      <w:r>
        <w:t xml:space="preserve"> </w:t>
      </w:r>
      <w:r>
        <w:rPr>
          <w:spacing w:val="-1"/>
        </w:rPr>
        <w:t>that</w:t>
      </w:r>
      <w:r>
        <w:t xml:space="preserve"> payable in other jurisdictions,</w:t>
      </w:r>
      <w:r>
        <w:rPr>
          <w:spacing w:val="-7"/>
        </w:rPr>
        <w:t xml:space="preserve"> </w:t>
      </w:r>
      <w:r>
        <w:t>and</w:t>
      </w:r>
    </w:p>
    <w:p w:rsidR="00D96B91" w:rsidRDefault="00C2656B">
      <w:pPr>
        <w:pStyle w:val="BodyText"/>
        <w:numPr>
          <w:ilvl w:val="0"/>
          <w:numId w:val="131"/>
        </w:numPr>
        <w:tabs>
          <w:tab w:val="left" w:pos="1531"/>
        </w:tabs>
        <w:spacing w:before="85" w:line="260" w:lineRule="exact"/>
        <w:ind w:right="1373" w:hanging="283"/>
      </w:pPr>
      <w:r>
        <w:t xml:space="preserve">the </w:t>
      </w:r>
      <w:r>
        <w:rPr>
          <w:spacing w:val="-1"/>
        </w:rPr>
        <w:t>relative</w:t>
      </w:r>
      <w:r>
        <w:t xml:space="preserve"> change in </w:t>
      </w:r>
      <w:r>
        <w:rPr>
          <w:spacing w:val="-1"/>
        </w:rPr>
        <w:t>water</w:t>
      </w:r>
      <w:r>
        <w:t xml:space="preserve"> and </w:t>
      </w:r>
      <w:r>
        <w:rPr>
          <w:spacing w:val="-1"/>
        </w:rPr>
        <w:t>sewerage</w:t>
      </w:r>
      <w:r>
        <w:t xml:space="preserve"> </w:t>
      </w:r>
      <w:r>
        <w:rPr>
          <w:spacing w:val="-1"/>
        </w:rPr>
        <w:t>charges</w:t>
      </w:r>
      <w:r>
        <w:t xml:space="preserve"> in the</w:t>
      </w:r>
      <w:r>
        <w:rPr>
          <w:spacing w:val="-4"/>
        </w:rPr>
        <w:t xml:space="preserve"> </w:t>
      </w:r>
      <w:r>
        <w:rPr>
          <w:spacing w:val="-2"/>
        </w:rPr>
        <w:t>ACT</w:t>
      </w:r>
      <w:r>
        <w:rPr>
          <w:spacing w:val="-5"/>
        </w:rPr>
        <w:t xml:space="preserve"> </w:t>
      </w:r>
      <w:r>
        <w:t xml:space="preserve">over the last 10 </w:t>
      </w:r>
      <w:r>
        <w:rPr>
          <w:spacing w:val="-1"/>
        </w:rPr>
        <w:t>years</w:t>
      </w:r>
      <w:r>
        <w:t xml:space="preserve"> </w:t>
      </w:r>
      <w:r>
        <w:rPr>
          <w:spacing w:val="-1"/>
        </w:rPr>
        <w:t>compared</w:t>
      </w:r>
      <w:r>
        <w:t xml:space="preserve"> with</w:t>
      </w:r>
      <w:r>
        <w:rPr>
          <w:spacing w:val="41"/>
        </w:rPr>
        <w:t xml:space="preserve"> </w:t>
      </w:r>
      <w:r>
        <w:rPr>
          <w:spacing w:val="-1"/>
        </w:rPr>
        <w:t>what</w:t>
      </w:r>
      <w:r>
        <w:t xml:space="preserve"> has </w:t>
      </w:r>
      <w:r>
        <w:rPr>
          <w:spacing w:val="-1"/>
        </w:rPr>
        <w:t>occurred</w:t>
      </w:r>
      <w:r>
        <w:t xml:space="preserve"> in other jurisdictions.</w:t>
      </w:r>
    </w:p>
    <w:p w:rsidR="00D96B91" w:rsidRDefault="00D96B91">
      <w:pPr>
        <w:spacing w:before="8"/>
        <w:rPr>
          <w:rFonts w:ascii="Avenir Next" w:eastAsia="Avenir Next" w:hAnsi="Avenir Next" w:cs="Avenir Next"/>
          <w:sz w:val="24"/>
          <w:szCs w:val="24"/>
        </w:rPr>
      </w:pPr>
    </w:p>
    <w:p w:rsidR="00D96B91" w:rsidRDefault="00C2656B">
      <w:pPr>
        <w:pStyle w:val="Heading6"/>
        <w:numPr>
          <w:ilvl w:val="2"/>
          <w:numId w:val="30"/>
        </w:numPr>
        <w:tabs>
          <w:tab w:val="left" w:pos="2098"/>
        </w:tabs>
        <w:ind w:hanging="850"/>
      </w:pPr>
      <w:r>
        <w:rPr>
          <w:color w:val="0778BE"/>
        </w:rPr>
        <w:t xml:space="preserve">Changes in </w:t>
      </w:r>
      <w:r>
        <w:rPr>
          <w:color w:val="0778BE"/>
          <w:spacing w:val="-1"/>
        </w:rPr>
        <w:t>water</w:t>
      </w:r>
      <w:r>
        <w:rPr>
          <w:color w:val="0778BE"/>
        </w:rPr>
        <w:t xml:space="preserve"> and </w:t>
      </w:r>
      <w:r>
        <w:rPr>
          <w:color w:val="0778BE"/>
          <w:spacing w:val="-1"/>
        </w:rPr>
        <w:t>sewerage</w:t>
      </w:r>
      <w:r>
        <w:rPr>
          <w:color w:val="0778BE"/>
        </w:rPr>
        <w:t xml:space="preserve"> bills</w:t>
      </w:r>
    </w:p>
    <w:p w:rsidR="00D96B91" w:rsidRDefault="00D96B91">
      <w:pPr>
        <w:pStyle w:val="BodyText"/>
        <w:numPr>
          <w:ilvl w:val="0"/>
          <w:numId w:val="131"/>
        </w:numPr>
        <w:tabs>
          <w:tab w:val="left" w:pos="1531"/>
        </w:tabs>
        <w:spacing w:before="21" w:line="260" w:lineRule="exact"/>
        <w:ind w:right="1247" w:hanging="283"/>
        <w:jc w:val="both"/>
      </w:pPr>
      <w:hyperlink w:anchor="_bookmark136" w:history="1">
        <w:r w:rsidR="00C2656B">
          <w:rPr>
            <w:spacing w:val="-6"/>
          </w:rPr>
          <w:t>Table</w:t>
        </w:r>
        <w:r w:rsidR="00C2656B">
          <w:rPr>
            <w:spacing w:val="-4"/>
          </w:rPr>
          <w:t xml:space="preserve"> </w:t>
        </w:r>
        <w:r w:rsidR="00C2656B">
          <w:rPr>
            <w:spacing w:val="-2"/>
          </w:rPr>
          <w:t>15.1</w:t>
        </w:r>
      </w:hyperlink>
      <w:r w:rsidR="00C2656B">
        <w:rPr>
          <w:spacing w:val="-4"/>
        </w:rPr>
        <w:t xml:space="preserve"> </w:t>
      </w:r>
      <w:r w:rsidR="00C2656B">
        <w:rPr>
          <w:rFonts w:cs="Avenir Next"/>
          <w:spacing w:val="-2"/>
        </w:rPr>
        <w:t>sets</w:t>
      </w:r>
      <w:r w:rsidR="00C2656B">
        <w:rPr>
          <w:rFonts w:cs="Avenir Next"/>
          <w:spacing w:val="-4"/>
        </w:rPr>
        <w:t xml:space="preserve"> </w:t>
      </w:r>
      <w:r w:rsidR="00C2656B">
        <w:rPr>
          <w:rFonts w:cs="Avenir Next"/>
          <w:spacing w:val="-2"/>
        </w:rPr>
        <w:t>out</w:t>
      </w:r>
      <w:r w:rsidR="00C2656B">
        <w:rPr>
          <w:rFonts w:cs="Avenir Next"/>
          <w:spacing w:val="-4"/>
        </w:rPr>
        <w:t xml:space="preserve"> </w:t>
      </w:r>
      <w:r w:rsidR="00C2656B">
        <w:rPr>
          <w:rFonts w:cs="Avenir Next"/>
          <w:spacing w:val="-2"/>
        </w:rPr>
        <w:t>combined</w:t>
      </w:r>
      <w:r w:rsidR="00C2656B">
        <w:rPr>
          <w:rFonts w:cs="Avenir Next"/>
          <w:spacing w:val="-4"/>
        </w:rPr>
        <w:t xml:space="preserve"> </w:t>
      </w:r>
      <w:r w:rsidR="00C2656B">
        <w:rPr>
          <w:rFonts w:cs="Avenir Next"/>
          <w:spacing w:val="-2"/>
        </w:rPr>
        <w:t>water</w:t>
      </w:r>
      <w:r w:rsidR="00C2656B">
        <w:rPr>
          <w:rFonts w:cs="Avenir Next"/>
          <w:spacing w:val="-4"/>
        </w:rPr>
        <w:t xml:space="preserve"> </w:t>
      </w:r>
      <w:r w:rsidR="00C2656B">
        <w:rPr>
          <w:rFonts w:cs="Avenir Next"/>
          <w:spacing w:val="-2"/>
        </w:rPr>
        <w:t>and</w:t>
      </w:r>
      <w:r w:rsidR="00C2656B">
        <w:rPr>
          <w:rFonts w:cs="Avenir Next"/>
          <w:spacing w:val="-4"/>
        </w:rPr>
        <w:t xml:space="preserve"> </w:t>
      </w:r>
      <w:r w:rsidR="00C2656B">
        <w:rPr>
          <w:rFonts w:cs="Avenir Next"/>
          <w:spacing w:val="-3"/>
        </w:rPr>
        <w:t>sewerage</w:t>
      </w:r>
      <w:r w:rsidR="00C2656B">
        <w:rPr>
          <w:rFonts w:cs="Avenir Next"/>
          <w:spacing w:val="-4"/>
        </w:rPr>
        <w:t xml:space="preserve"> </w:t>
      </w:r>
      <w:r w:rsidR="00C2656B">
        <w:rPr>
          <w:rFonts w:cs="Avenir Next"/>
          <w:spacing w:val="-2"/>
        </w:rPr>
        <w:t>bills</w:t>
      </w:r>
      <w:r w:rsidR="00C2656B">
        <w:rPr>
          <w:rFonts w:cs="Avenir Next"/>
          <w:spacing w:val="-4"/>
        </w:rPr>
        <w:t xml:space="preserve"> </w:t>
      </w:r>
      <w:r w:rsidR="00C2656B">
        <w:rPr>
          <w:rFonts w:cs="Avenir Next"/>
          <w:spacing w:val="-2"/>
        </w:rPr>
        <w:t>for</w:t>
      </w:r>
      <w:r w:rsidR="00C2656B">
        <w:rPr>
          <w:rFonts w:cs="Avenir Next"/>
          <w:spacing w:val="-4"/>
        </w:rPr>
        <w:t xml:space="preserve"> </w:t>
      </w:r>
      <w:r w:rsidR="00C2656B">
        <w:rPr>
          <w:rFonts w:cs="Avenir Next"/>
          <w:spacing w:val="-3"/>
        </w:rPr>
        <w:t>residential</w:t>
      </w:r>
      <w:r w:rsidR="00C2656B">
        <w:rPr>
          <w:rFonts w:cs="Avenir Next"/>
          <w:spacing w:val="-4"/>
        </w:rPr>
        <w:t xml:space="preserve"> </w:t>
      </w:r>
      <w:r w:rsidR="00C2656B">
        <w:rPr>
          <w:rFonts w:cs="Avenir Next"/>
          <w:spacing w:val="-2"/>
        </w:rPr>
        <w:t>customers</w:t>
      </w:r>
      <w:r w:rsidR="00C2656B">
        <w:rPr>
          <w:rFonts w:cs="Avenir Next"/>
          <w:spacing w:val="-4"/>
        </w:rPr>
        <w:t xml:space="preserve"> </w:t>
      </w:r>
      <w:r w:rsidR="00C2656B">
        <w:rPr>
          <w:rFonts w:cs="Avenir Next"/>
          <w:spacing w:val="-2"/>
        </w:rPr>
        <w:t>(with</w:t>
      </w:r>
      <w:r w:rsidR="00C2656B">
        <w:rPr>
          <w:rFonts w:cs="Avenir Next"/>
          <w:spacing w:val="-4"/>
        </w:rPr>
        <w:t xml:space="preserve"> </w:t>
      </w:r>
      <w:r w:rsidR="00C2656B">
        <w:rPr>
          <w:rFonts w:cs="Avenir Next"/>
          <w:spacing w:val="-2"/>
        </w:rPr>
        <w:t>varying</w:t>
      </w:r>
      <w:r w:rsidR="00C2656B">
        <w:rPr>
          <w:rFonts w:cs="Avenir Next"/>
          <w:spacing w:val="-4"/>
        </w:rPr>
        <w:t xml:space="preserve"> </w:t>
      </w:r>
      <w:r w:rsidR="00C2656B">
        <w:rPr>
          <w:rFonts w:cs="Avenir Next"/>
          <w:spacing w:val="-2"/>
        </w:rPr>
        <w:t>levels</w:t>
      </w:r>
      <w:r w:rsidR="00C2656B">
        <w:rPr>
          <w:rFonts w:cs="Avenir Next"/>
          <w:spacing w:val="-4"/>
        </w:rPr>
        <w:t xml:space="preserve"> </w:t>
      </w:r>
      <w:r w:rsidR="00C2656B">
        <w:rPr>
          <w:rFonts w:cs="Avenir Next"/>
          <w:spacing w:val="-2"/>
        </w:rPr>
        <w:t>of</w:t>
      </w:r>
      <w:r w:rsidR="00C2656B">
        <w:rPr>
          <w:rFonts w:cs="Avenir Next"/>
          <w:spacing w:val="80"/>
        </w:rPr>
        <w:t xml:space="preserve"> </w:t>
      </w:r>
      <w:r w:rsidR="00C2656B">
        <w:rPr>
          <w:spacing w:val="-2"/>
        </w:rPr>
        <w:t>water</w:t>
      </w:r>
      <w:r w:rsidR="00C2656B">
        <w:rPr>
          <w:spacing w:val="-5"/>
        </w:rPr>
        <w:t xml:space="preserve"> </w:t>
      </w:r>
      <w:r w:rsidR="00C2656B">
        <w:rPr>
          <w:spacing w:val="-2"/>
        </w:rPr>
        <w:t>consumption)</w:t>
      </w:r>
      <w:r w:rsidR="00C2656B">
        <w:rPr>
          <w:spacing w:val="-4"/>
        </w:rPr>
        <w:t xml:space="preserve"> </w:t>
      </w:r>
      <w:r w:rsidR="00C2656B">
        <w:rPr>
          <w:spacing w:val="-2"/>
        </w:rPr>
        <w:t>over</w:t>
      </w:r>
      <w:r w:rsidR="00C2656B">
        <w:rPr>
          <w:spacing w:val="-4"/>
        </w:rPr>
        <w:t xml:space="preserve"> </w:t>
      </w:r>
      <w:r w:rsidR="00C2656B">
        <w:rPr>
          <w:spacing w:val="-2"/>
        </w:rPr>
        <w:t>the</w:t>
      </w:r>
      <w:r w:rsidR="00C2656B">
        <w:rPr>
          <w:spacing w:val="-4"/>
        </w:rPr>
        <w:t xml:space="preserve"> </w:t>
      </w:r>
      <w:r w:rsidR="00C2656B">
        <w:rPr>
          <w:spacing w:val="-1"/>
        </w:rPr>
        <w:t>fi</w:t>
      </w:r>
      <w:r w:rsidR="00710124">
        <w:rPr>
          <w:spacing w:val="-1"/>
        </w:rPr>
        <w:t>ve-ye</w:t>
      </w:r>
      <w:r w:rsidR="00C2656B">
        <w:rPr>
          <w:spacing w:val="-1"/>
        </w:rPr>
        <w:t>ar</w:t>
      </w:r>
      <w:r w:rsidR="00C2656B">
        <w:rPr>
          <w:spacing w:val="-4"/>
        </w:rPr>
        <w:t xml:space="preserve"> </w:t>
      </w:r>
      <w:r w:rsidR="00C2656B">
        <w:rPr>
          <w:spacing w:val="-3"/>
        </w:rPr>
        <w:t>regulatory</w:t>
      </w:r>
      <w:r w:rsidR="00C2656B">
        <w:rPr>
          <w:spacing w:val="-4"/>
        </w:rPr>
        <w:t xml:space="preserve"> </w:t>
      </w:r>
      <w:r w:rsidR="00C2656B">
        <w:rPr>
          <w:spacing w:val="-2"/>
        </w:rPr>
        <w:t>period.</w:t>
      </w:r>
      <w:r w:rsidR="00C2656B">
        <w:rPr>
          <w:spacing w:val="-15"/>
        </w:rPr>
        <w:t xml:space="preserve"> </w:t>
      </w:r>
      <w:r w:rsidR="00C2656B">
        <w:rPr>
          <w:spacing w:val="-3"/>
        </w:rPr>
        <w:t>The</w:t>
      </w:r>
      <w:r w:rsidR="00C2656B">
        <w:rPr>
          <w:spacing w:val="-4"/>
        </w:rPr>
        <w:t xml:space="preserve"> </w:t>
      </w:r>
      <w:r w:rsidR="00C2656B">
        <w:rPr>
          <w:spacing w:val="-2"/>
        </w:rPr>
        <w:t>indicative</w:t>
      </w:r>
      <w:r w:rsidR="00C2656B">
        <w:rPr>
          <w:spacing w:val="-4"/>
        </w:rPr>
        <w:t xml:space="preserve"> </w:t>
      </w:r>
      <w:r w:rsidR="00C2656B">
        <w:rPr>
          <w:spacing w:val="-2"/>
        </w:rPr>
        <w:t>bills</w:t>
      </w:r>
      <w:r w:rsidR="00C2656B">
        <w:rPr>
          <w:spacing w:val="-4"/>
        </w:rPr>
        <w:t xml:space="preserve"> </w:t>
      </w:r>
      <w:r w:rsidR="00C2656B">
        <w:rPr>
          <w:spacing w:val="-2"/>
        </w:rPr>
        <w:t>for</w:t>
      </w:r>
      <w:r w:rsidR="00C2656B">
        <w:rPr>
          <w:spacing w:val="-4"/>
        </w:rPr>
        <w:t xml:space="preserve"> </w:t>
      </w:r>
      <w:r w:rsidR="00C2656B">
        <w:rPr>
          <w:spacing w:val="-2"/>
        </w:rPr>
        <w:t>2015-16,</w:t>
      </w:r>
      <w:r w:rsidR="00C2656B">
        <w:rPr>
          <w:spacing w:val="-10"/>
        </w:rPr>
        <w:t xml:space="preserve"> </w:t>
      </w:r>
      <w:r w:rsidR="00C2656B">
        <w:rPr>
          <w:spacing w:val="-2"/>
        </w:rPr>
        <w:t>2016-17</w:t>
      </w:r>
      <w:r w:rsidR="00C2656B">
        <w:rPr>
          <w:spacing w:val="-4"/>
        </w:rPr>
        <w:t xml:space="preserve"> </w:t>
      </w:r>
      <w:r w:rsidR="00C2656B">
        <w:rPr>
          <w:spacing w:val="-2"/>
        </w:rPr>
        <w:t>and</w:t>
      </w:r>
      <w:r w:rsidR="00C2656B">
        <w:rPr>
          <w:spacing w:val="48"/>
        </w:rPr>
        <w:t xml:space="preserve"> </w:t>
      </w:r>
      <w:r w:rsidR="00C2656B">
        <w:rPr>
          <w:spacing w:val="-2"/>
        </w:rPr>
        <w:t>2018-19</w:t>
      </w:r>
      <w:r w:rsidR="00C2656B">
        <w:rPr>
          <w:spacing w:val="-5"/>
        </w:rPr>
        <w:t xml:space="preserve"> </w:t>
      </w:r>
      <w:r w:rsidR="00C2656B">
        <w:rPr>
          <w:spacing w:val="-2"/>
        </w:rPr>
        <w:t>assume</w:t>
      </w:r>
      <w:r w:rsidR="00C2656B">
        <w:rPr>
          <w:spacing w:val="-4"/>
        </w:rPr>
        <w:t xml:space="preserve"> </w:t>
      </w:r>
      <w:r w:rsidR="00C2656B">
        <w:rPr>
          <w:spacing w:val="-2"/>
        </w:rPr>
        <w:t>infl</w:t>
      </w:r>
      <w:r w:rsidR="00710124">
        <w:rPr>
          <w:spacing w:val="-2"/>
        </w:rPr>
        <w:t>a</w:t>
      </w:r>
      <w:r w:rsidR="00C2656B">
        <w:rPr>
          <w:spacing w:val="-2"/>
        </w:rPr>
        <w:t>tion</w:t>
      </w:r>
      <w:r w:rsidR="00C2656B">
        <w:rPr>
          <w:spacing w:val="-4"/>
        </w:rPr>
        <w:t xml:space="preserve"> </w:t>
      </w:r>
      <w:r w:rsidR="00C2656B">
        <w:rPr>
          <w:spacing w:val="-1"/>
        </w:rPr>
        <w:t>of</w:t>
      </w:r>
      <w:r w:rsidR="00C2656B">
        <w:t xml:space="preserve"> </w:t>
      </w:r>
      <w:r w:rsidR="00C2656B">
        <w:rPr>
          <w:spacing w:val="-2"/>
        </w:rPr>
        <w:t>2.5%</w:t>
      </w:r>
      <w:r w:rsidR="00C2656B">
        <w:rPr>
          <w:spacing w:val="-4"/>
        </w:rPr>
        <w:t xml:space="preserve"> </w:t>
      </w:r>
      <w:r w:rsidR="00C2656B">
        <w:rPr>
          <w:spacing w:val="-2"/>
        </w:rPr>
        <w:t>per</w:t>
      </w:r>
      <w:r w:rsidR="00C2656B">
        <w:rPr>
          <w:spacing w:val="-4"/>
        </w:rPr>
        <w:t xml:space="preserve"> </w:t>
      </w:r>
      <w:r w:rsidR="00C2656B">
        <w:rPr>
          <w:spacing w:val="-2"/>
        </w:rPr>
        <w:t>annum</w:t>
      </w:r>
      <w:r w:rsidR="00C2656B">
        <w:rPr>
          <w:spacing w:val="-4"/>
        </w:rPr>
        <w:t xml:space="preserve"> </w:t>
      </w:r>
      <w:r w:rsidR="00C2656B">
        <w:rPr>
          <w:spacing w:val="-2"/>
        </w:rPr>
        <w:t>and</w:t>
      </w:r>
      <w:r w:rsidR="00C2656B">
        <w:rPr>
          <w:spacing w:val="-4"/>
        </w:rPr>
        <w:t xml:space="preserve"> </w:t>
      </w:r>
      <w:r w:rsidR="00C2656B">
        <w:rPr>
          <w:spacing w:val="-2"/>
        </w:rPr>
        <w:t>that</w:t>
      </w:r>
      <w:r w:rsidR="00C2656B">
        <w:rPr>
          <w:spacing w:val="-4"/>
        </w:rPr>
        <w:t xml:space="preserve"> </w:t>
      </w:r>
      <w:r w:rsidR="00C2656B">
        <w:rPr>
          <w:spacing w:val="-3"/>
        </w:rPr>
        <w:t>there</w:t>
      </w:r>
      <w:r w:rsidR="00C2656B">
        <w:rPr>
          <w:spacing w:val="-4"/>
        </w:rPr>
        <w:t xml:space="preserve"> </w:t>
      </w:r>
      <w:r w:rsidR="00C2656B">
        <w:rPr>
          <w:spacing w:val="-3"/>
        </w:rPr>
        <w:t>are</w:t>
      </w:r>
      <w:r w:rsidR="00C2656B">
        <w:rPr>
          <w:spacing w:val="-4"/>
        </w:rPr>
        <w:t xml:space="preserve"> </w:t>
      </w:r>
      <w:r w:rsidR="00C2656B">
        <w:rPr>
          <w:spacing w:val="-1"/>
        </w:rPr>
        <w:t>no</w:t>
      </w:r>
      <w:r w:rsidR="00C2656B">
        <w:rPr>
          <w:spacing w:val="-4"/>
        </w:rPr>
        <w:t xml:space="preserve"> </w:t>
      </w:r>
      <w:r w:rsidR="00C2656B">
        <w:rPr>
          <w:spacing w:val="-2"/>
        </w:rPr>
        <w:t>material</w:t>
      </w:r>
      <w:r w:rsidR="00C2656B">
        <w:rPr>
          <w:spacing w:val="-4"/>
        </w:rPr>
        <w:t xml:space="preserve"> </w:t>
      </w:r>
      <w:r w:rsidR="00C2656B">
        <w:rPr>
          <w:spacing w:val="-2"/>
        </w:rPr>
        <w:t>changes</w:t>
      </w:r>
      <w:r w:rsidR="00C2656B">
        <w:rPr>
          <w:spacing w:val="-4"/>
        </w:rPr>
        <w:t xml:space="preserve"> </w:t>
      </w:r>
      <w:r w:rsidR="00C2656B">
        <w:rPr>
          <w:spacing w:val="-1"/>
        </w:rPr>
        <w:t>in</w:t>
      </w:r>
      <w:r w:rsidR="00C2656B">
        <w:rPr>
          <w:spacing w:val="-8"/>
        </w:rPr>
        <w:t xml:space="preserve"> </w:t>
      </w:r>
      <w:r w:rsidR="00C2656B">
        <w:rPr>
          <w:spacing w:val="-4"/>
        </w:rPr>
        <w:t xml:space="preserve">ACTEW’s </w:t>
      </w:r>
      <w:r w:rsidR="00C2656B">
        <w:rPr>
          <w:spacing w:val="-2"/>
        </w:rPr>
        <w:t>costs</w:t>
      </w:r>
      <w:r w:rsidR="00C2656B">
        <w:rPr>
          <w:spacing w:val="51"/>
        </w:rPr>
        <w:t xml:space="preserve"> </w:t>
      </w:r>
      <w:r w:rsidR="00C2656B">
        <w:rPr>
          <w:spacing w:val="-1"/>
        </w:rPr>
        <w:t>or</w:t>
      </w:r>
      <w:r w:rsidR="00C2656B">
        <w:rPr>
          <w:spacing w:val="-4"/>
        </w:rPr>
        <w:t xml:space="preserve"> </w:t>
      </w:r>
      <w:r w:rsidR="00C2656B">
        <w:rPr>
          <w:spacing w:val="-2"/>
        </w:rPr>
        <w:t>Government</w:t>
      </w:r>
      <w:r w:rsidR="00C2656B">
        <w:rPr>
          <w:spacing w:val="-4"/>
        </w:rPr>
        <w:t xml:space="preserve"> </w:t>
      </w:r>
      <w:r w:rsidR="00C2656B">
        <w:rPr>
          <w:spacing w:val="-3"/>
        </w:rPr>
        <w:t>charges</w:t>
      </w:r>
      <w:r w:rsidR="00C2656B">
        <w:rPr>
          <w:spacing w:val="-4"/>
        </w:rPr>
        <w:t xml:space="preserve"> </w:t>
      </w:r>
      <w:r w:rsidR="00C2656B">
        <w:rPr>
          <w:spacing w:val="-2"/>
        </w:rPr>
        <w:t>(eg,</w:t>
      </w:r>
      <w:r w:rsidR="00C2656B">
        <w:rPr>
          <w:spacing w:val="-10"/>
        </w:rPr>
        <w:t xml:space="preserve"> </w:t>
      </w:r>
      <w:r w:rsidR="00C2656B">
        <w:rPr>
          <w:spacing w:val="-2"/>
        </w:rPr>
        <w:t>the</w:t>
      </w:r>
      <w:r w:rsidR="00C2656B">
        <w:rPr>
          <w:spacing w:val="-7"/>
        </w:rPr>
        <w:t xml:space="preserve"> </w:t>
      </w:r>
      <w:r w:rsidR="00C2656B">
        <w:rPr>
          <w:spacing w:val="-4"/>
        </w:rPr>
        <w:t xml:space="preserve">WAC </w:t>
      </w:r>
      <w:r w:rsidR="00C2656B">
        <w:rPr>
          <w:spacing w:val="-2"/>
        </w:rPr>
        <w:t>and</w:t>
      </w:r>
      <w:r w:rsidR="00C2656B">
        <w:rPr>
          <w:spacing w:val="-4"/>
        </w:rPr>
        <w:t xml:space="preserve"> </w:t>
      </w:r>
      <w:r w:rsidR="00C2656B">
        <w:rPr>
          <w:spacing w:val="-2"/>
        </w:rPr>
        <w:t>UNFT)</w:t>
      </w:r>
      <w:r w:rsidR="00C2656B">
        <w:rPr>
          <w:spacing w:val="-4"/>
        </w:rPr>
        <w:t xml:space="preserve"> </w:t>
      </w:r>
      <w:r w:rsidR="00C2656B">
        <w:rPr>
          <w:spacing w:val="-2"/>
        </w:rPr>
        <w:t>that</w:t>
      </w:r>
      <w:r w:rsidR="00C2656B">
        <w:rPr>
          <w:spacing w:val="-4"/>
        </w:rPr>
        <w:t xml:space="preserve"> </w:t>
      </w:r>
      <w:r w:rsidR="00C2656B">
        <w:rPr>
          <w:spacing w:val="-2"/>
        </w:rPr>
        <w:t>would</w:t>
      </w:r>
      <w:r w:rsidR="00C2656B">
        <w:rPr>
          <w:spacing w:val="-4"/>
        </w:rPr>
        <w:t xml:space="preserve"> </w:t>
      </w:r>
      <w:r w:rsidR="00C2656B">
        <w:rPr>
          <w:spacing w:val="-2"/>
        </w:rPr>
        <w:t>trigger</w:t>
      </w:r>
      <w:r w:rsidR="00C2656B">
        <w:rPr>
          <w:spacing w:val="-4"/>
        </w:rPr>
        <w:t xml:space="preserve"> </w:t>
      </w:r>
      <w:r w:rsidR="00C2656B">
        <w:rPr>
          <w:spacing w:val="-2"/>
        </w:rPr>
        <w:t>the</w:t>
      </w:r>
      <w:r w:rsidR="00C2656B">
        <w:rPr>
          <w:spacing w:val="-4"/>
        </w:rPr>
        <w:t xml:space="preserve"> </w:t>
      </w:r>
      <w:r w:rsidR="00C2656B">
        <w:rPr>
          <w:spacing w:val="-2"/>
        </w:rPr>
        <w:t>cost</w:t>
      </w:r>
      <w:r w:rsidR="00C2656B">
        <w:rPr>
          <w:spacing w:val="-4"/>
        </w:rPr>
        <w:t xml:space="preserve"> </w:t>
      </w:r>
      <w:r w:rsidR="00C2656B">
        <w:rPr>
          <w:spacing w:val="-3"/>
        </w:rPr>
        <w:t>pass-through</w:t>
      </w:r>
      <w:r w:rsidR="00C2656B">
        <w:rPr>
          <w:spacing w:val="-4"/>
        </w:rPr>
        <w:t xml:space="preserve"> </w:t>
      </w:r>
      <w:r w:rsidR="00C2656B">
        <w:rPr>
          <w:spacing w:val="-2"/>
        </w:rPr>
        <w:t>mechanism.</w:t>
      </w:r>
    </w:p>
    <w:p w:rsidR="00D96B91" w:rsidRDefault="00C2656B">
      <w:pPr>
        <w:pStyle w:val="BodyText"/>
        <w:numPr>
          <w:ilvl w:val="0"/>
          <w:numId w:val="131"/>
        </w:numPr>
        <w:tabs>
          <w:tab w:val="left" w:pos="1531"/>
        </w:tabs>
        <w:spacing w:before="85" w:line="260" w:lineRule="exact"/>
        <w:ind w:right="1455" w:hanging="283"/>
      </w:pPr>
      <w:r>
        <w:rPr>
          <w:spacing w:val="-1"/>
        </w:rPr>
        <w:t>This</w:t>
      </w:r>
      <w:r>
        <w:t xml:space="preserve"> table shows </w:t>
      </w:r>
      <w:r>
        <w:rPr>
          <w:spacing w:val="-1"/>
        </w:rPr>
        <w:t>that</w:t>
      </w:r>
      <w:r>
        <w:t xml:space="preserve"> in 2017-18,</w:t>
      </w:r>
      <w:r>
        <w:rPr>
          <w:spacing w:val="-6"/>
        </w:rPr>
        <w:t xml:space="preserve"> </w:t>
      </w:r>
      <w:r>
        <w:t xml:space="preserve">the annual bill for a typical </w:t>
      </w:r>
      <w:r>
        <w:rPr>
          <w:spacing w:val="-1"/>
        </w:rPr>
        <w:t>residential</w:t>
      </w:r>
      <w:r>
        <w:t xml:space="preserve"> customer using 200kL</w:t>
      </w:r>
      <w:r>
        <w:rPr>
          <w:spacing w:val="-5"/>
        </w:rPr>
        <w:t xml:space="preserve"> </w:t>
      </w:r>
      <w:r>
        <w:t>of</w:t>
      </w:r>
      <w:r>
        <w:rPr>
          <w:spacing w:val="30"/>
        </w:rPr>
        <w:t xml:space="preserve"> </w:t>
      </w:r>
      <w:r>
        <w:rPr>
          <w:spacing w:val="-1"/>
        </w:rPr>
        <w:t>water</w:t>
      </w:r>
      <w:r>
        <w:t xml:space="preserve"> per annum is </w:t>
      </w:r>
      <w:r>
        <w:rPr>
          <w:spacing w:val="-1"/>
        </w:rPr>
        <w:t>likely</w:t>
      </w:r>
      <w:r>
        <w:t xml:space="preserve"> be </w:t>
      </w:r>
      <w:r>
        <w:rPr>
          <w:spacing w:val="-1"/>
        </w:rPr>
        <w:t>around</w:t>
      </w:r>
      <w:r>
        <w:t xml:space="preserve"> 2% higher than the equivalent bill today and 3% lower than</w:t>
      </w:r>
      <w:r>
        <w:rPr>
          <w:spacing w:val="28"/>
        </w:rPr>
        <w:t xml:space="preserve"> </w:t>
      </w:r>
      <w:r>
        <w:t xml:space="preserve">the equivalent bill in 2012-13 (see </w:t>
      </w:r>
      <w:r>
        <w:rPr>
          <w:spacing w:val="-1"/>
        </w:rPr>
        <w:t>grey</w:t>
      </w:r>
      <w:r>
        <w:t xml:space="preserve"> shaded cells).</w:t>
      </w:r>
      <w:r>
        <w:rPr>
          <w:spacing w:val="-11"/>
        </w:rPr>
        <w:t xml:space="preserve"> </w:t>
      </w:r>
      <w:r>
        <w:rPr>
          <w:spacing w:val="-2"/>
        </w:rPr>
        <w:t>The</w:t>
      </w:r>
      <w:r>
        <w:t xml:space="preserve"> table also shows </w:t>
      </w:r>
      <w:r>
        <w:rPr>
          <w:spacing w:val="-1"/>
        </w:rPr>
        <w:t>that</w:t>
      </w:r>
      <w:r>
        <w:t xml:space="preserve"> annual bills for all</w:t>
      </w:r>
      <w:r>
        <w:rPr>
          <w:spacing w:val="25"/>
        </w:rPr>
        <w:t xml:space="preserve"> </w:t>
      </w:r>
      <w:r>
        <w:rPr>
          <w:spacing w:val="-1"/>
        </w:rPr>
        <w:t>residential</w:t>
      </w:r>
      <w:r>
        <w:t xml:space="preserve"> customers </w:t>
      </w:r>
      <w:r>
        <w:rPr>
          <w:spacing w:val="-1"/>
        </w:rPr>
        <w:t>except</w:t>
      </w:r>
      <w:r>
        <w:t xml:space="preserve"> those consuming in </w:t>
      </w:r>
      <w:r>
        <w:rPr>
          <w:spacing w:val="-1"/>
        </w:rPr>
        <w:t>excess</w:t>
      </w:r>
      <w:r>
        <w:t xml:space="preserve"> of</w:t>
      </w:r>
      <w:r>
        <w:rPr>
          <w:spacing w:val="4"/>
        </w:rPr>
        <w:t xml:space="preserve"> </w:t>
      </w:r>
      <w:r>
        <w:t>500kL</w:t>
      </w:r>
      <w:r>
        <w:rPr>
          <w:spacing w:val="-5"/>
        </w:rPr>
        <w:t xml:space="preserve"> </w:t>
      </w:r>
      <w:r>
        <w:t>of</w:t>
      </w:r>
      <w:r>
        <w:rPr>
          <w:spacing w:val="4"/>
        </w:rPr>
        <w:t xml:space="preserve"> </w:t>
      </w:r>
      <w:r>
        <w:rPr>
          <w:spacing w:val="-1"/>
        </w:rPr>
        <w:t>water</w:t>
      </w:r>
      <w:r>
        <w:t xml:space="preserve"> </w:t>
      </w:r>
      <w:r>
        <w:rPr>
          <w:spacing w:val="-2"/>
        </w:rPr>
        <w:t>are</w:t>
      </w:r>
      <w:r>
        <w:t xml:space="preserve"> </w:t>
      </w:r>
      <w:r>
        <w:rPr>
          <w:spacing w:val="-1"/>
        </w:rPr>
        <w:t>likely</w:t>
      </w:r>
      <w:r>
        <w:t xml:space="preserve"> to fall over the</w:t>
      </w:r>
      <w:r>
        <w:rPr>
          <w:spacing w:val="37"/>
        </w:rPr>
        <w:t xml:space="preserve"> </w:t>
      </w:r>
      <w:r>
        <w:rPr>
          <w:spacing w:val="-1"/>
        </w:rPr>
        <w:t>regulatory</w:t>
      </w:r>
      <w:r>
        <w:t xml:space="preserve"> period.</w:t>
      </w:r>
    </w:p>
    <w:p w:rsidR="00D96B91" w:rsidRDefault="00D96B91">
      <w:pPr>
        <w:spacing w:before="10"/>
        <w:rPr>
          <w:rFonts w:ascii="Avenir Next" w:eastAsia="Avenir Next" w:hAnsi="Avenir Next" w:cs="Avenir Next"/>
          <w:sz w:val="15"/>
          <w:szCs w:val="15"/>
        </w:rPr>
      </w:pPr>
    </w:p>
    <w:p w:rsidR="00D96B91" w:rsidRDefault="00C2656B">
      <w:pPr>
        <w:ind w:left="1247"/>
        <w:rPr>
          <w:rFonts w:ascii="Avenir Next" w:eastAsia="Avenir Next" w:hAnsi="Avenir Next" w:cs="Avenir Next"/>
          <w:sz w:val="20"/>
          <w:szCs w:val="20"/>
        </w:rPr>
      </w:pPr>
      <w:bookmarkStart w:id="211" w:name="_bookmark136"/>
      <w:bookmarkEnd w:id="211"/>
      <w:r>
        <w:rPr>
          <w:rFonts w:ascii="Avenir Next"/>
          <w:b/>
          <w:spacing w:val="-4"/>
          <w:sz w:val="20"/>
        </w:rPr>
        <w:t>Table</w:t>
      </w:r>
      <w:r>
        <w:rPr>
          <w:rFonts w:ascii="Avenir Next"/>
          <w:b/>
          <w:sz w:val="20"/>
        </w:rPr>
        <w:t xml:space="preserve"> 15.1: </w:t>
      </w:r>
      <w:r>
        <w:rPr>
          <w:rFonts w:ascii="Avenir Next"/>
          <w:b/>
          <w:spacing w:val="-1"/>
          <w:sz w:val="20"/>
        </w:rPr>
        <w:t>Indicative</w:t>
      </w:r>
      <w:r>
        <w:rPr>
          <w:rFonts w:ascii="Avenir Next"/>
          <w:b/>
          <w:sz w:val="20"/>
        </w:rPr>
        <w:t xml:space="preserve"> impacts on </w:t>
      </w:r>
      <w:r>
        <w:rPr>
          <w:rFonts w:ascii="Avenir Next"/>
          <w:b/>
          <w:spacing w:val="-1"/>
          <w:sz w:val="20"/>
        </w:rPr>
        <w:t>residential</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bills ($,</w:t>
      </w:r>
      <w:r>
        <w:rPr>
          <w:rFonts w:ascii="Avenir Next"/>
          <w:b/>
          <w:spacing w:val="-7"/>
          <w:sz w:val="20"/>
        </w:rPr>
        <w:t xml:space="preserve"> </w:t>
      </w:r>
      <w:r>
        <w:rPr>
          <w:rFonts w:ascii="Avenir Next"/>
          <w:b/>
          <w:sz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512"/>
        <w:gridCol w:w="907"/>
        <w:gridCol w:w="907"/>
        <w:gridCol w:w="907"/>
        <w:gridCol w:w="907"/>
        <w:gridCol w:w="907"/>
        <w:gridCol w:w="908"/>
        <w:gridCol w:w="1221"/>
        <w:gridCol w:w="1221"/>
      </w:tblGrid>
      <w:tr w:rsidR="00D96B91">
        <w:trPr>
          <w:trHeight w:hRule="exact" w:val="407"/>
        </w:trPr>
        <w:tc>
          <w:tcPr>
            <w:tcW w:w="1512"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9"/>
              <w:rPr>
                <w:rFonts w:ascii="Avenir Next" w:eastAsia="Avenir Next" w:hAnsi="Avenir Next" w:cs="Avenir Next"/>
                <w:b/>
                <w:bCs/>
                <w:sz w:val="17"/>
                <w:szCs w:val="17"/>
              </w:rPr>
            </w:pPr>
          </w:p>
          <w:p w:rsidR="00D96B91" w:rsidRDefault="00C2656B" w:rsidP="00C61167">
            <w:pPr>
              <w:pStyle w:val="TableParagraph"/>
              <w:spacing w:line="220" w:lineRule="exact"/>
              <w:ind w:left="162" w:right="160" w:firstLine="137"/>
              <w:jc w:val="center"/>
              <w:rPr>
                <w:rFonts w:ascii="Avenir Next Condensed" w:eastAsia="Avenir Next Condensed" w:hAnsi="Avenir Next Condensed" w:cs="Avenir Next Condensed"/>
                <w:sz w:val="18"/>
                <w:szCs w:val="18"/>
              </w:rPr>
            </w:pPr>
            <w:r>
              <w:rPr>
                <w:rFonts w:ascii="Avenir Next Condensed"/>
                <w:b/>
                <w:color w:val="FFFFFF"/>
                <w:sz w:val="18"/>
              </w:rPr>
              <w:t>Annual water consumption (kL)</w:t>
            </w:r>
          </w:p>
        </w:tc>
        <w:tc>
          <w:tcPr>
            <w:tcW w:w="5443" w:type="dxa"/>
            <w:gridSpan w:val="6"/>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Annual bill</w:t>
            </w:r>
          </w:p>
        </w:tc>
        <w:tc>
          <w:tcPr>
            <w:tcW w:w="122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6"/>
              <w:rPr>
                <w:rFonts w:ascii="Avenir Next" w:eastAsia="Avenir Next" w:hAnsi="Avenir Next" w:cs="Avenir Next"/>
                <w:b/>
                <w:bCs/>
                <w:sz w:val="21"/>
                <w:szCs w:val="21"/>
              </w:rPr>
            </w:pPr>
          </w:p>
          <w:p w:rsidR="00D96B91" w:rsidRDefault="00C2656B">
            <w:pPr>
              <w:pStyle w:val="TableParagraph"/>
              <w:spacing w:line="220" w:lineRule="exact"/>
              <w:ind w:left="167" w:right="165"/>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w:t>
            </w:r>
            <w:r>
              <w:rPr>
                <w:rFonts w:ascii="Avenir Next Condensed"/>
                <w:b/>
                <w:color w:val="FFFFFF"/>
                <w:spacing w:val="-1"/>
                <w:sz w:val="18"/>
              </w:rPr>
              <w:t>from</w:t>
            </w:r>
            <w:r>
              <w:rPr>
                <w:rFonts w:ascii="Avenir Next Condensed"/>
                <w:b/>
                <w:color w:val="FFFFFF"/>
                <w:spacing w:val="22"/>
                <w:sz w:val="18"/>
              </w:rPr>
              <w:t xml:space="preserve"> </w:t>
            </w:r>
            <w:r>
              <w:rPr>
                <w:rFonts w:ascii="Avenir Next Condensed"/>
                <w:b/>
                <w:color w:val="FFFFFF"/>
                <w:spacing w:val="-1"/>
                <w:sz w:val="18"/>
              </w:rPr>
              <w:t>current</w:t>
            </w:r>
            <w:r>
              <w:rPr>
                <w:rFonts w:ascii="Avenir Next Condensed"/>
                <w:b/>
                <w:color w:val="FFFFFF"/>
                <w:sz w:val="18"/>
              </w:rPr>
              <w:t xml:space="preserve"> bill</w:t>
            </w:r>
            <w:r>
              <w:rPr>
                <w:rFonts w:ascii="Avenir Next Condensed"/>
                <w:b/>
                <w:color w:val="FFFFFF"/>
                <w:spacing w:val="25"/>
                <w:sz w:val="18"/>
              </w:rPr>
              <w:t xml:space="preserve"> </w:t>
            </w:r>
            <w:r>
              <w:rPr>
                <w:rFonts w:ascii="Avenir Next Condensed"/>
                <w:b/>
                <w:color w:val="FFFFFF"/>
                <w:sz w:val="18"/>
              </w:rPr>
              <w:t>(2014-15 to</w:t>
            </w:r>
          </w:p>
          <w:p w:rsidR="00D96B91" w:rsidRDefault="00C2656B">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22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spacing w:before="5"/>
              <w:rPr>
                <w:rFonts w:ascii="Avenir Next" w:eastAsia="Avenir Next" w:hAnsi="Avenir Next" w:cs="Avenir Next"/>
                <w:b/>
                <w:bCs/>
                <w:sz w:val="23"/>
                <w:szCs w:val="23"/>
              </w:rPr>
            </w:pPr>
          </w:p>
          <w:p w:rsidR="00D96B91" w:rsidRDefault="00C2656B">
            <w:pPr>
              <w:pStyle w:val="TableParagraph"/>
              <w:spacing w:line="220" w:lineRule="exact"/>
              <w:ind w:left="180" w:right="178"/>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over </w:t>
            </w:r>
            <w:r>
              <w:rPr>
                <w:rFonts w:ascii="Avenir Next Condensed"/>
                <w:b/>
                <w:color w:val="FFFFFF"/>
                <w:spacing w:val="-1"/>
                <w:sz w:val="18"/>
              </w:rPr>
              <w:t>regulatory</w:t>
            </w:r>
            <w:r>
              <w:rPr>
                <w:rFonts w:ascii="Avenir Next Condensed"/>
                <w:b/>
                <w:color w:val="FFFFFF"/>
                <w:spacing w:val="28"/>
                <w:sz w:val="18"/>
              </w:rPr>
              <w:t xml:space="preserve"> </w:t>
            </w:r>
            <w:r>
              <w:rPr>
                <w:rFonts w:ascii="Avenir Next Condensed"/>
                <w:b/>
                <w:color w:val="FFFFFF"/>
                <w:sz w:val="18"/>
              </w:rPr>
              <w:t>period (2012-13 to</w:t>
            </w:r>
          </w:p>
          <w:p w:rsidR="00D96B91" w:rsidRDefault="00C2656B">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rsidTr="00C61167">
        <w:trPr>
          <w:trHeight w:hRule="exact" w:val="872"/>
        </w:trPr>
        <w:tc>
          <w:tcPr>
            <w:tcW w:w="1512" w:type="dxa"/>
            <w:vMerge/>
            <w:tcBorders>
              <w:left w:val="single" w:sz="4" w:space="0" w:color="1A9EDA"/>
              <w:right w:val="single" w:sz="4" w:space="0" w:color="1A9EDA"/>
            </w:tcBorders>
            <w:shd w:val="clear" w:color="auto" w:fill="0778BE"/>
          </w:tcPr>
          <w:p w:rsidR="00D96B91" w:rsidRDefault="00D96B91"/>
        </w:tc>
        <w:tc>
          <w:tcPr>
            <w:tcW w:w="907"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C61167" w:rsidRDefault="00C61167">
            <w:pPr>
              <w:pStyle w:val="TableParagraph"/>
              <w:ind w:left="156"/>
              <w:rPr>
                <w:rFonts w:ascii="Avenir Next Condensed"/>
                <w:b/>
                <w:color w:val="FFFFFF"/>
                <w:sz w:val="18"/>
              </w:rPr>
            </w:pPr>
          </w:p>
          <w:p w:rsidR="00C61167" w:rsidRDefault="00C61167">
            <w:pPr>
              <w:pStyle w:val="TableParagraph"/>
              <w:ind w:left="156"/>
              <w:rPr>
                <w:rFonts w:ascii="Avenir Next Condensed"/>
                <w:b/>
                <w:color w:val="FFFFFF"/>
                <w:sz w:val="18"/>
              </w:rPr>
            </w:pPr>
          </w:p>
          <w:p w:rsidR="00D96B91" w:rsidRDefault="00C2656B">
            <w:pPr>
              <w:pStyle w:val="TableParagraph"/>
              <w:ind w:left="156"/>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814"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12"/>
                <w:szCs w:val="12"/>
              </w:rPr>
            </w:pPr>
          </w:p>
          <w:p w:rsidR="00D96B91" w:rsidRDefault="00C2656B" w:rsidP="00C61167">
            <w:pPr>
              <w:pStyle w:val="TableParagraph"/>
              <w:spacing w:line="220" w:lineRule="exact"/>
              <w:ind w:left="138" w:right="136" w:firstLine="42"/>
              <w:jc w:val="center"/>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 ICRC</w:t>
            </w:r>
            <w:r>
              <w:rPr>
                <w:rFonts w:ascii="Avenir Next Condensed"/>
                <w:b/>
                <w:color w:val="FFFFFF"/>
                <w:spacing w:val="21"/>
                <w:sz w:val="18"/>
              </w:rPr>
              <w:t xml:space="preserve"> </w:t>
            </w:r>
            <w:r>
              <w:rPr>
                <w:rFonts w:ascii="Avenir Next Condensed"/>
                <w:b/>
                <w:color w:val="FFFFFF"/>
                <w:sz w:val="18"/>
              </w:rPr>
              <w:t>and paid by customers</w:t>
            </w:r>
          </w:p>
        </w:tc>
        <w:tc>
          <w:tcPr>
            <w:tcW w:w="2721"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12"/>
                <w:szCs w:val="12"/>
              </w:rPr>
            </w:pPr>
          </w:p>
          <w:p w:rsidR="00D96B91" w:rsidRDefault="00C2656B" w:rsidP="00C61167">
            <w:pPr>
              <w:pStyle w:val="TableParagraph"/>
              <w:spacing w:line="220" w:lineRule="exact"/>
              <w:ind w:left="986" w:right="325" w:hanging="660"/>
              <w:jc w:val="center"/>
              <w:rPr>
                <w:rFonts w:ascii="Avenir Next Condensed" w:eastAsia="Avenir Next Condensed" w:hAnsi="Avenir Next Condensed" w:cs="Avenir Next Condensed"/>
                <w:sz w:val="18"/>
                <w:szCs w:val="18"/>
              </w:rPr>
            </w:pPr>
            <w:r>
              <w:rPr>
                <w:rFonts w:ascii="Avenir Next Condensed"/>
                <w:b/>
                <w:color w:val="FFFFFF"/>
                <w:spacing w:val="-2"/>
                <w:sz w:val="18"/>
              </w:rPr>
              <w:t>Panel</w:t>
            </w:r>
            <w:r>
              <w:rPr>
                <w:rFonts w:ascii="Avenir Next Condensed"/>
                <w:b/>
                <w:color w:val="FFFFFF"/>
                <w:sz w:val="18"/>
              </w:rPr>
              <w:t xml:space="preserve"> </w:t>
            </w:r>
            <w:r>
              <w:rPr>
                <w:rFonts w:ascii="Avenir Next Condensed"/>
                <w:b/>
                <w:color w:val="FFFFFF"/>
                <w:spacing w:val="-1"/>
                <w:sz w:val="18"/>
              </w:rPr>
              <w:t>Draft</w:t>
            </w:r>
            <w:r>
              <w:rPr>
                <w:rFonts w:ascii="Avenir Next Condensed"/>
                <w:b/>
                <w:color w:val="FFFFFF"/>
                <w:sz w:val="18"/>
              </w:rPr>
              <w:t xml:space="preserve"> Decision indicative</w:t>
            </w:r>
            <w:r>
              <w:rPr>
                <w:rFonts w:ascii="Avenir Next Condensed"/>
                <w:b/>
                <w:color w:val="FFFFFF"/>
                <w:spacing w:val="24"/>
                <w:sz w:val="18"/>
              </w:rPr>
              <w:t xml:space="preserve"> </w:t>
            </w:r>
            <w:r>
              <w:rPr>
                <w:rFonts w:ascii="Avenir Next Condensed"/>
                <w:b/>
                <w:color w:val="FFFFFF"/>
                <w:sz w:val="18"/>
              </w:rPr>
              <w:t>estimates*</w:t>
            </w:r>
          </w:p>
        </w:tc>
        <w:tc>
          <w:tcPr>
            <w:tcW w:w="1221" w:type="dxa"/>
            <w:vMerge/>
            <w:tcBorders>
              <w:left w:val="single" w:sz="4" w:space="0" w:color="1A9EDA"/>
              <w:right w:val="single" w:sz="4" w:space="0" w:color="1A9EDA"/>
            </w:tcBorders>
            <w:shd w:val="clear" w:color="auto" w:fill="0778BE"/>
          </w:tcPr>
          <w:p w:rsidR="00D96B91" w:rsidRDefault="00D96B91"/>
        </w:tc>
        <w:tc>
          <w:tcPr>
            <w:tcW w:w="1221" w:type="dxa"/>
            <w:vMerge/>
            <w:tcBorders>
              <w:left w:val="single" w:sz="4" w:space="0" w:color="1A9EDA"/>
              <w:right w:val="single" w:sz="4" w:space="0" w:color="1A9EDA"/>
            </w:tcBorders>
            <w:shd w:val="clear" w:color="auto" w:fill="0778BE"/>
          </w:tcPr>
          <w:p w:rsidR="00D96B91" w:rsidRDefault="00D96B91"/>
        </w:tc>
      </w:tr>
      <w:tr w:rsidR="00D96B91" w:rsidTr="00C61167">
        <w:trPr>
          <w:trHeight w:hRule="exact" w:val="687"/>
        </w:trPr>
        <w:tc>
          <w:tcPr>
            <w:tcW w:w="1512" w:type="dxa"/>
            <w:vMerge/>
            <w:tcBorders>
              <w:left w:val="single" w:sz="4" w:space="0" w:color="1A9EDA"/>
              <w:bottom w:val="single" w:sz="4" w:space="0" w:color="1A9EDA"/>
              <w:right w:val="single" w:sz="4" w:space="0" w:color="1A9EDA"/>
            </w:tcBorders>
            <w:shd w:val="clear" w:color="auto" w:fill="0778BE"/>
          </w:tcPr>
          <w:p w:rsidR="00D96B91" w:rsidRDefault="00D96B91"/>
        </w:tc>
        <w:tc>
          <w:tcPr>
            <w:tcW w:w="907" w:type="dxa"/>
            <w:vMerge/>
            <w:tcBorders>
              <w:left w:val="single" w:sz="4" w:space="0" w:color="1A9EDA"/>
              <w:bottom w:val="single" w:sz="4" w:space="0" w:color="1A9EDA"/>
              <w:right w:val="single" w:sz="4" w:space="0" w:color="1A9EDA"/>
            </w:tcBorders>
            <w:shd w:val="clear" w:color="auto" w:fill="0778BE"/>
          </w:tcPr>
          <w:p w:rsidR="00D96B91" w:rsidRDefault="00D96B91"/>
        </w:tc>
        <w:tc>
          <w:tcPr>
            <w:tcW w:w="90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56"/>
              <w:rPr>
                <w:rFonts w:ascii="Avenir Next Condensed" w:eastAsia="Avenir Next Condensed" w:hAnsi="Avenir Next Condensed" w:cs="Avenir Next Condensed"/>
                <w:sz w:val="18"/>
                <w:szCs w:val="18"/>
              </w:rPr>
            </w:pPr>
            <w:r>
              <w:rPr>
                <w:rFonts w:ascii="Avenir Next Condensed"/>
                <w:b/>
                <w:color w:val="FFFFFF"/>
                <w:sz w:val="18"/>
              </w:rPr>
              <w:t>2013-14</w:t>
            </w:r>
          </w:p>
        </w:tc>
        <w:tc>
          <w:tcPr>
            <w:tcW w:w="90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5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90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56"/>
              <w:rPr>
                <w:rFonts w:ascii="Avenir Next Condensed" w:eastAsia="Avenir Next Condensed" w:hAnsi="Avenir Next Condensed" w:cs="Avenir Next Condensed"/>
                <w:sz w:val="18"/>
                <w:szCs w:val="18"/>
              </w:rPr>
            </w:pPr>
            <w:r>
              <w:rPr>
                <w:rFonts w:ascii="Avenir Next Condensed"/>
                <w:b/>
                <w:color w:val="FFFFFF"/>
                <w:sz w:val="18"/>
              </w:rPr>
              <w:t>2015-16</w:t>
            </w:r>
          </w:p>
        </w:tc>
        <w:tc>
          <w:tcPr>
            <w:tcW w:w="90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56"/>
              <w:rPr>
                <w:rFonts w:ascii="Avenir Next Condensed" w:eastAsia="Avenir Next Condensed" w:hAnsi="Avenir Next Condensed" w:cs="Avenir Next Condensed"/>
                <w:sz w:val="18"/>
                <w:szCs w:val="18"/>
              </w:rPr>
            </w:pPr>
            <w:r>
              <w:rPr>
                <w:rFonts w:ascii="Avenir Next Condensed"/>
                <w:b/>
                <w:color w:val="FFFFFF"/>
                <w:sz w:val="18"/>
              </w:rPr>
              <w:t>2016-17</w:t>
            </w:r>
          </w:p>
        </w:tc>
        <w:tc>
          <w:tcPr>
            <w:tcW w:w="90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56"/>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221" w:type="dxa"/>
            <w:vMerge/>
            <w:tcBorders>
              <w:left w:val="single" w:sz="4" w:space="0" w:color="1A9EDA"/>
              <w:bottom w:val="single" w:sz="4" w:space="0" w:color="1A9EDA"/>
              <w:right w:val="single" w:sz="4" w:space="0" w:color="1A9EDA"/>
            </w:tcBorders>
            <w:shd w:val="clear" w:color="auto" w:fill="0778BE"/>
          </w:tcPr>
          <w:p w:rsidR="00D96B91" w:rsidRDefault="00D96B91"/>
        </w:tc>
        <w:tc>
          <w:tcPr>
            <w:tcW w:w="1221" w:type="dxa"/>
            <w:vMerge/>
            <w:tcBorders>
              <w:left w:val="single" w:sz="4" w:space="0" w:color="1A9EDA"/>
              <w:bottom w:val="single" w:sz="4" w:space="0" w:color="1A9EDA"/>
              <w:right w:val="single" w:sz="4" w:space="0" w:color="1A9EDA"/>
            </w:tcBorders>
            <w:shd w:val="clear" w:color="auto" w:fill="0778BE"/>
          </w:tcPr>
          <w:p w:rsidR="00D96B91" w:rsidRDefault="00D96B91"/>
        </w:tc>
      </w:tr>
      <w:tr w:rsidR="00D96B91">
        <w:trPr>
          <w:trHeight w:hRule="exact" w:val="350"/>
        </w:trPr>
        <w:tc>
          <w:tcPr>
            <w:tcW w:w="151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
              <w:jc w:val="center"/>
              <w:rPr>
                <w:rFonts w:ascii="Avenir Next Condensed" w:eastAsia="Avenir Next Condensed" w:hAnsi="Avenir Next Condensed" w:cs="Avenir Next Condensed"/>
                <w:sz w:val="18"/>
                <w:szCs w:val="18"/>
              </w:rPr>
            </w:pPr>
            <w:r>
              <w:rPr>
                <w:rFonts w:ascii="Avenir Next Condensed"/>
                <w:b/>
                <w:sz w:val="18"/>
              </w:rPr>
              <w:t>50 kL</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6"/>
              <w:jc w:val="center"/>
              <w:rPr>
                <w:rFonts w:ascii="Avenir Next Condensed" w:eastAsia="Avenir Next Condensed" w:hAnsi="Avenir Next Condensed" w:cs="Avenir Next Condensed"/>
                <w:sz w:val="18"/>
                <w:szCs w:val="18"/>
              </w:rPr>
            </w:pPr>
            <w:r>
              <w:rPr>
                <w:rFonts w:ascii="Avenir Next Condensed"/>
                <w:sz w:val="18"/>
              </w:rPr>
              <w:t>822</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6"/>
              <w:jc w:val="center"/>
              <w:rPr>
                <w:rFonts w:ascii="Avenir Next Condensed" w:eastAsia="Avenir Next Condensed" w:hAnsi="Avenir Next Condensed" w:cs="Avenir Next Condensed"/>
                <w:sz w:val="18"/>
                <w:szCs w:val="18"/>
              </w:rPr>
            </w:pPr>
            <w:r>
              <w:rPr>
                <w:rFonts w:ascii="Avenir Next Condensed"/>
                <w:sz w:val="18"/>
              </w:rPr>
              <w:t>720</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6"/>
              <w:jc w:val="center"/>
              <w:rPr>
                <w:rFonts w:ascii="Avenir Next Condensed" w:eastAsia="Avenir Next Condensed" w:hAnsi="Avenir Next Condensed" w:cs="Avenir Next Condensed"/>
                <w:sz w:val="18"/>
                <w:szCs w:val="18"/>
              </w:rPr>
            </w:pPr>
            <w:r>
              <w:rPr>
                <w:rFonts w:ascii="Avenir Next Condensed"/>
                <w:sz w:val="18"/>
              </w:rPr>
              <w:t>740</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6"/>
              <w:jc w:val="center"/>
              <w:rPr>
                <w:rFonts w:ascii="Avenir Next Condensed" w:eastAsia="Avenir Next Condensed" w:hAnsi="Avenir Next Condensed" w:cs="Avenir Next Condensed"/>
                <w:sz w:val="18"/>
                <w:szCs w:val="18"/>
              </w:rPr>
            </w:pPr>
            <w:r>
              <w:rPr>
                <w:rFonts w:ascii="Avenir Next Condensed"/>
                <w:sz w:val="18"/>
              </w:rPr>
              <w:t>753</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7"/>
              <w:jc w:val="center"/>
              <w:rPr>
                <w:rFonts w:ascii="Avenir Next Condensed" w:eastAsia="Avenir Next Condensed" w:hAnsi="Avenir Next Condensed" w:cs="Avenir Next Condensed"/>
                <w:sz w:val="18"/>
                <w:szCs w:val="18"/>
              </w:rPr>
            </w:pPr>
            <w:r>
              <w:rPr>
                <w:rFonts w:ascii="Avenir Next Condensed"/>
                <w:sz w:val="18"/>
              </w:rPr>
              <w:t>766</w:t>
            </w:r>
          </w:p>
        </w:tc>
        <w:tc>
          <w:tcPr>
            <w:tcW w:w="90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7"/>
              <w:jc w:val="center"/>
              <w:rPr>
                <w:rFonts w:ascii="Avenir Next Condensed" w:eastAsia="Avenir Next Condensed" w:hAnsi="Avenir Next Condensed" w:cs="Avenir Next Condensed"/>
                <w:sz w:val="18"/>
                <w:szCs w:val="18"/>
              </w:rPr>
            </w:pPr>
            <w:r>
              <w:rPr>
                <w:rFonts w:ascii="Avenir Next Condensed"/>
                <w:sz w:val="18"/>
              </w:rPr>
              <w:t>780</w:t>
            </w:r>
          </w:p>
        </w:tc>
        <w:tc>
          <w:tcPr>
            <w:tcW w:w="122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9"/>
              <w:jc w:val="center"/>
              <w:rPr>
                <w:rFonts w:ascii="Avenir Next Condensed" w:eastAsia="Avenir Next Condensed" w:hAnsi="Avenir Next Condensed" w:cs="Avenir Next Condensed"/>
                <w:sz w:val="18"/>
                <w:szCs w:val="18"/>
              </w:rPr>
            </w:pPr>
            <w:r>
              <w:rPr>
                <w:rFonts w:ascii="Avenir Next Condensed"/>
                <w:sz w:val="18"/>
              </w:rPr>
              <w:t>40</w:t>
            </w:r>
          </w:p>
        </w:tc>
        <w:tc>
          <w:tcPr>
            <w:tcW w:w="122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9"/>
              <w:jc w:val="center"/>
              <w:rPr>
                <w:rFonts w:ascii="Avenir Next Condensed" w:eastAsia="Avenir Next Condensed" w:hAnsi="Avenir Next Condensed" w:cs="Avenir Next Condensed"/>
                <w:sz w:val="18"/>
                <w:szCs w:val="18"/>
              </w:rPr>
            </w:pPr>
            <w:r>
              <w:rPr>
                <w:rFonts w:ascii="Avenir Next Condensed"/>
                <w:sz w:val="18"/>
              </w:rPr>
              <w:t>-42</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46"/>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8"/>
              <w:rPr>
                <w:rFonts w:ascii="Avenir Next Condensed" w:eastAsia="Avenir Next Condensed" w:hAnsi="Avenir Next Condensed" w:cs="Avenir Next Condensed"/>
                <w:sz w:val="18"/>
                <w:szCs w:val="18"/>
              </w:rPr>
            </w:pPr>
            <w:r>
              <w:rPr>
                <w:rFonts w:ascii="Avenir Next Condensed"/>
                <w:i/>
                <w:sz w:val="18"/>
              </w:rPr>
              <w:t>-12%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5"/>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5"/>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5"/>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4"/>
              <w:jc w:val="center"/>
              <w:rPr>
                <w:rFonts w:ascii="Avenir Next Condensed" w:eastAsia="Avenir Next Condensed" w:hAnsi="Avenir Next Condensed" w:cs="Avenir Next Condensed"/>
                <w:sz w:val="18"/>
                <w:szCs w:val="18"/>
              </w:rPr>
            </w:pPr>
            <w:r>
              <w:rPr>
                <w:rFonts w:ascii="Avenir Next Condensed"/>
                <w:i/>
                <w:sz w:val="18"/>
              </w:rPr>
              <w:t>2%</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jc w:val="center"/>
              <w:rPr>
                <w:rFonts w:ascii="Avenir Next Condensed" w:eastAsia="Avenir Next Condensed" w:hAnsi="Avenir Next Condensed" w:cs="Avenir Next Condensed"/>
                <w:sz w:val="18"/>
                <w:szCs w:val="18"/>
              </w:rPr>
            </w:pPr>
            <w:r>
              <w:rPr>
                <w:rFonts w:ascii="Avenir Next Condensed"/>
                <w:i/>
                <w:sz w:val="18"/>
              </w:rPr>
              <w:t>5%</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38"/>
              <w:jc w:val="center"/>
              <w:rPr>
                <w:rFonts w:ascii="Avenir Next Condensed" w:eastAsia="Avenir Next Condensed" w:hAnsi="Avenir Next Condensed" w:cs="Avenir Next Condensed"/>
                <w:sz w:val="18"/>
                <w:szCs w:val="18"/>
              </w:rPr>
            </w:pPr>
            <w:r>
              <w:rPr>
                <w:rFonts w:ascii="Avenir Next Condensed"/>
                <w:i/>
                <w:sz w:val="18"/>
              </w:rPr>
              <w:t>-5%</w:t>
            </w:r>
          </w:p>
        </w:tc>
      </w:tr>
      <w:tr w:rsidR="00D96B91">
        <w:trPr>
          <w:trHeight w:hRule="exact" w:val="407"/>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
              <w:jc w:val="center"/>
              <w:rPr>
                <w:rFonts w:ascii="Avenir Next Condensed" w:eastAsia="Avenir Next Condensed" w:hAnsi="Avenir Next Condensed" w:cs="Avenir Next Condensed"/>
                <w:sz w:val="18"/>
                <w:szCs w:val="18"/>
              </w:rPr>
            </w:pPr>
            <w:r>
              <w:rPr>
                <w:rFonts w:ascii="Avenir Next Condensed"/>
                <w:b/>
                <w:sz w:val="18"/>
              </w:rPr>
              <w:t>100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8"/>
              <w:jc w:val="center"/>
              <w:rPr>
                <w:rFonts w:ascii="Avenir Next Condensed" w:eastAsia="Avenir Next Condensed" w:hAnsi="Avenir Next Condensed" w:cs="Avenir Next Condensed"/>
                <w:sz w:val="18"/>
                <w:szCs w:val="18"/>
              </w:rPr>
            </w:pPr>
            <w:r>
              <w:rPr>
                <w:rFonts w:ascii="Avenir Next Condensed"/>
                <w:sz w:val="18"/>
              </w:rPr>
              <w:t>943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8"/>
              <w:jc w:val="center"/>
              <w:rPr>
                <w:rFonts w:ascii="Avenir Next Condensed" w:eastAsia="Avenir Next Condensed" w:hAnsi="Avenir Next Condensed" w:cs="Avenir Next Condensed"/>
                <w:sz w:val="18"/>
                <w:szCs w:val="18"/>
              </w:rPr>
            </w:pPr>
            <w:r>
              <w:rPr>
                <w:rFonts w:ascii="Avenir Next Condensed"/>
                <w:sz w:val="18"/>
              </w:rPr>
              <w:t>847</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8"/>
              <w:jc w:val="center"/>
              <w:rPr>
                <w:rFonts w:ascii="Avenir Next Condensed" w:eastAsia="Avenir Next Condensed" w:hAnsi="Avenir Next Condensed" w:cs="Avenir Next Condensed"/>
                <w:sz w:val="18"/>
                <w:szCs w:val="18"/>
              </w:rPr>
            </w:pPr>
            <w:r>
              <w:rPr>
                <w:rFonts w:ascii="Avenir Next Condensed"/>
                <w:sz w:val="18"/>
              </w:rPr>
              <w:t>872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8"/>
              <w:jc w:val="center"/>
              <w:rPr>
                <w:rFonts w:ascii="Avenir Next Condensed" w:eastAsia="Avenir Next Condensed" w:hAnsi="Avenir Next Condensed" w:cs="Avenir Next Condensed"/>
                <w:sz w:val="18"/>
                <w:szCs w:val="18"/>
              </w:rPr>
            </w:pPr>
            <w:r>
              <w:rPr>
                <w:rFonts w:ascii="Avenir Next Condensed"/>
                <w:sz w:val="18"/>
              </w:rPr>
              <w:t>878</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8"/>
              <w:jc w:val="center"/>
              <w:rPr>
                <w:rFonts w:ascii="Avenir Next Condensed" w:eastAsia="Avenir Next Condensed" w:hAnsi="Avenir Next Condensed" w:cs="Avenir Next Condensed"/>
                <w:sz w:val="18"/>
                <w:szCs w:val="18"/>
              </w:rPr>
            </w:pPr>
            <w:r>
              <w:rPr>
                <w:rFonts w:ascii="Avenir Next Condensed"/>
                <w:sz w:val="18"/>
              </w:rPr>
              <w:t>891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9"/>
              <w:jc w:val="center"/>
              <w:rPr>
                <w:rFonts w:ascii="Avenir Next Condensed" w:eastAsia="Avenir Next Condensed" w:hAnsi="Avenir Next Condensed" w:cs="Avenir Next Condensed"/>
                <w:sz w:val="18"/>
                <w:szCs w:val="18"/>
              </w:rPr>
            </w:pPr>
            <w:r>
              <w:rPr>
                <w:rFonts w:ascii="Avenir Next Condensed"/>
                <w:sz w:val="18"/>
              </w:rPr>
              <w:t>905</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7"/>
              <w:jc w:val="center"/>
              <w:rPr>
                <w:rFonts w:ascii="Avenir Next Condensed" w:eastAsia="Avenir Next Condensed" w:hAnsi="Avenir Next Condensed" w:cs="Avenir Next Condensed"/>
                <w:sz w:val="18"/>
                <w:szCs w:val="18"/>
              </w:rPr>
            </w:pPr>
            <w:r>
              <w:rPr>
                <w:rFonts w:ascii="Avenir Next Condensed"/>
                <w:sz w:val="18"/>
              </w:rPr>
              <w:t>33</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1"/>
              <w:jc w:val="center"/>
              <w:rPr>
                <w:rFonts w:ascii="Avenir Next Condensed" w:eastAsia="Avenir Next Condensed" w:hAnsi="Avenir Next Condensed" w:cs="Avenir Next Condensed"/>
                <w:sz w:val="18"/>
                <w:szCs w:val="18"/>
              </w:rPr>
            </w:pPr>
            <w:r>
              <w:rPr>
                <w:rFonts w:ascii="Avenir Next Condensed"/>
                <w:sz w:val="18"/>
              </w:rPr>
              <w:t>-39</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45"/>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7"/>
              <w:rPr>
                <w:rFonts w:ascii="Avenir Next Condensed" w:eastAsia="Avenir Next Condensed" w:hAnsi="Avenir Next Condensed" w:cs="Avenir Next Condensed"/>
                <w:sz w:val="18"/>
                <w:szCs w:val="18"/>
              </w:rPr>
            </w:pPr>
            <w:r>
              <w:rPr>
                <w:rFonts w:ascii="Avenir Next Condensed"/>
                <w:i/>
                <w:sz w:val="18"/>
              </w:rPr>
              <w:t>-10%</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3"/>
              <w:jc w:val="center"/>
              <w:rPr>
                <w:rFonts w:ascii="Avenir Next Condensed" w:eastAsia="Avenir Next Condensed" w:hAnsi="Avenir Next Condensed" w:cs="Avenir Next Condensed"/>
                <w:sz w:val="18"/>
                <w:szCs w:val="18"/>
              </w:rPr>
            </w:pPr>
            <w:r>
              <w:rPr>
                <w:rFonts w:ascii="Avenir Next Condensed"/>
                <w:i/>
                <w:sz w:val="18"/>
              </w:rPr>
              <w:t>2%</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jc w:val="center"/>
              <w:rPr>
                <w:rFonts w:ascii="Avenir Next Condensed" w:eastAsia="Avenir Next Condensed" w:hAnsi="Avenir Next Condensed" w:cs="Avenir Next Condensed"/>
                <w:sz w:val="18"/>
                <w:szCs w:val="18"/>
              </w:rPr>
            </w:pPr>
            <w:r>
              <w:rPr>
                <w:rFonts w:ascii="Avenir Next Condensed"/>
                <w:i/>
                <w:sz w:val="18"/>
              </w:rPr>
              <w:t>4%</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40"/>
              <w:jc w:val="center"/>
              <w:rPr>
                <w:rFonts w:ascii="Avenir Next Condensed" w:eastAsia="Avenir Next Condensed" w:hAnsi="Avenir Next Condensed" w:cs="Avenir Next Condensed"/>
                <w:sz w:val="18"/>
                <w:szCs w:val="18"/>
              </w:rPr>
            </w:pPr>
            <w:r>
              <w:rPr>
                <w:rFonts w:ascii="Avenir Next Condensed"/>
                <w:i/>
                <w:sz w:val="18"/>
              </w:rPr>
              <w:t>-4%</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jc w:val="center"/>
              <w:rPr>
                <w:rFonts w:ascii="Avenir Next Condensed" w:eastAsia="Avenir Next Condensed" w:hAnsi="Avenir Next Condensed" w:cs="Avenir Next Condensed"/>
                <w:sz w:val="18"/>
                <w:szCs w:val="18"/>
              </w:rPr>
            </w:pPr>
            <w:r>
              <w:rPr>
                <w:rFonts w:ascii="Avenir Next Condensed"/>
                <w:b/>
                <w:sz w:val="18"/>
              </w:rPr>
              <w:t>150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1"/>
              <w:rPr>
                <w:rFonts w:ascii="Avenir Next Condensed" w:eastAsia="Avenir Next Condensed" w:hAnsi="Avenir Next Condensed" w:cs="Avenir Next Condensed"/>
                <w:sz w:val="18"/>
                <w:szCs w:val="18"/>
              </w:rPr>
            </w:pPr>
            <w:r>
              <w:rPr>
                <w:rFonts w:ascii="Avenir Next Condensed"/>
                <w:sz w:val="18"/>
              </w:rPr>
              <w:t>1,065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30"/>
              <w:jc w:val="center"/>
              <w:rPr>
                <w:rFonts w:ascii="Avenir Next Condensed" w:eastAsia="Avenir Next Condensed" w:hAnsi="Avenir Next Condensed" w:cs="Avenir Next Condensed"/>
                <w:sz w:val="18"/>
                <w:szCs w:val="18"/>
              </w:rPr>
            </w:pPr>
            <w:r>
              <w:rPr>
                <w:rFonts w:ascii="Avenir Next Condensed"/>
                <w:sz w:val="18"/>
              </w:rPr>
              <w:t>975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1"/>
              <w:rPr>
                <w:rFonts w:ascii="Avenir Next Condensed" w:eastAsia="Avenir Next Condensed" w:hAnsi="Avenir Next Condensed" w:cs="Avenir Next Condensed"/>
                <w:sz w:val="18"/>
                <w:szCs w:val="18"/>
              </w:rPr>
            </w:pPr>
            <w:r>
              <w:rPr>
                <w:rFonts w:ascii="Avenir Next Condensed"/>
                <w:sz w:val="18"/>
              </w:rPr>
              <w:t>1,004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1"/>
              <w:rPr>
                <w:rFonts w:ascii="Avenir Next Condensed" w:eastAsia="Avenir Next Condensed" w:hAnsi="Avenir Next Condensed" w:cs="Avenir Next Condensed"/>
                <w:sz w:val="18"/>
                <w:szCs w:val="18"/>
              </w:rPr>
            </w:pPr>
            <w:r>
              <w:rPr>
                <w:rFonts w:ascii="Avenir Next Condensed"/>
                <w:sz w:val="18"/>
              </w:rPr>
              <w:t>1,003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1"/>
              <w:rPr>
                <w:rFonts w:ascii="Avenir Next Condensed" w:eastAsia="Avenir Next Condensed" w:hAnsi="Avenir Next Condensed" w:cs="Avenir Next Condensed"/>
                <w:sz w:val="18"/>
                <w:szCs w:val="18"/>
              </w:rPr>
            </w:pPr>
            <w:r>
              <w:rPr>
                <w:rFonts w:ascii="Avenir Next Condensed"/>
                <w:sz w:val="18"/>
              </w:rPr>
              <w:t>1,016</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1"/>
              <w:rPr>
                <w:rFonts w:ascii="Avenir Next Condensed" w:eastAsia="Avenir Next Condensed" w:hAnsi="Avenir Next Condensed" w:cs="Avenir Next Condensed"/>
                <w:sz w:val="18"/>
                <w:szCs w:val="18"/>
              </w:rPr>
            </w:pPr>
            <w:r>
              <w:rPr>
                <w:rFonts w:ascii="Avenir Next Condensed"/>
                <w:sz w:val="18"/>
              </w:rPr>
              <w:t>1,030</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5"/>
              <w:jc w:val="center"/>
              <w:rPr>
                <w:rFonts w:ascii="Avenir Next Condensed" w:eastAsia="Avenir Next Condensed" w:hAnsi="Avenir Next Condensed" w:cs="Avenir Next Condensed"/>
                <w:sz w:val="18"/>
                <w:szCs w:val="18"/>
              </w:rPr>
            </w:pPr>
            <w:r>
              <w:rPr>
                <w:rFonts w:ascii="Avenir Next Condensed"/>
                <w:sz w:val="18"/>
              </w:rPr>
              <w:t>26</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3"/>
              <w:jc w:val="center"/>
              <w:rPr>
                <w:rFonts w:ascii="Avenir Next Condensed" w:eastAsia="Avenir Next Condensed" w:hAnsi="Avenir Next Condensed" w:cs="Avenir Next Condensed"/>
                <w:sz w:val="18"/>
                <w:szCs w:val="18"/>
              </w:rPr>
            </w:pPr>
            <w:r>
              <w:rPr>
                <w:rFonts w:ascii="Avenir Next Condensed"/>
                <w:sz w:val="18"/>
              </w:rPr>
              <w:t>-35</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44"/>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5"/>
              <w:jc w:val="center"/>
              <w:rPr>
                <w:rFonts w:ascii="Avenir Next Condensed" w:eastAsia="Avenir Next Condensed" w:hAnsi="Avenir Next Condensed" w:cs="Avenir Next Condensed"/>
                <w:sz w:val="18"/>
                <w:szCs w:val="18"/>
              </w:rPr>
            </w:pPr>
            <w:r>
              <w:rPr>
                <w:rFonts w:ascii="Avenir Next Condensed"/>
                <w:i/>
                <w:sz w:val="18"/>
              </w:rPr>
              <w:t>-8%</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
              <w:jc w:val="center"/>
              <w:rPr>
                <w:rFonts w:ascii="Avenir Next Condensed" w:eastAsia="Avenir Next Condensed" w:hAnsi="Avenir Next Condensed" w:cs="Avenir Next Condensed"/>
                <w:sz w:val="18"/>
                <w:szCs w:val="18"/>
              </w:rPr>
            </w:pPr>
            <w:r>
              <w:rPr>
                <w:rFonts w:ascii="Avenir Next Condensed"/>
                <w:i/>
                <w:sz w:val="18"/>
              </w:rPr>
              <w:t>0%</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
              <w:jc w:val="center"/>
              <w:rPr>
                <w:rFonts w:ascii="Avenir Next Condensed" w:eastAsia="Avenir Next Condensed" w:hAnsi="Avenir Next Condensed" w:cs="Avenir Next Condensed"/>
                <w:sz w:val="18"/>
                <w:szCs w:val="18"/>
              </w:rPr>
            </w:pPr>
            <w:r>
              <w:rPr>
                <w:rFonts w:ascii="Avenir Next Condensed"/>
                <w:i/>
                <w:sz w:val="18"/>
              </w:rPr>
              <w:t>3%</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42"/>
              <w:jc w:val="center"/>
              <w:rPr>
                <w:rFonts w:ascii="Avenir Next Condensed" w:eastAsia="Avenir Next Condensed" w:hAnsi="Avenir Next Condensed" w:cs="Avenir Next Condensed"/>
                <w:sz w:val="18"/>
                <w:szCs w:val="18"/>
              </w:rPr>
            </w:pPr>
            <w:r>
              <w:rPr>
                <w:rFonts w:ascii="Avenir Next Condensed"/>
                <w:i/>
                <w:sz w:val="18"/>
              </w:rPr>
              <w:t>-3%</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jc w:val="center"/>
              <w:rPr>
                <w:rFonts w:ascii="Avenir Next Condensed" w:eastAsia="Avenir Next Condensed" w:hAnsi="Avenir Next Condensed" w:cs="Avenir Next Condensed"/>
                <w:sz w:val="18"/>
                <w:szCs w:val="18"/>
              </w:rPr>
            </w:pPr>
            <w:r>
              <w:rPr>
                <w:rFonts w:ascii="Avenir Next Condensed"/>
                <w:b/>
                <w:sz w:val="18"/>
              </w:rPr>
              <w:t>200 kL</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1,209</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1,125</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1,160</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1,151</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1,164</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1,178</w:t>
            </w:r>
          </w:p>
        </w:tc>
        <w:tc>
          <w:tcPr>
            <w:tcW w:w="122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23"/>
              <w:jc w:val="center"/>
              <w:rPr>
                <w:rFonts w:ascii="Avenir Next Condensed" w:eastAsia="Avenir Next Condensed" w:hAnsi="Avenir Next Condensed" w:cs="Avenir Next Condensed"/>
                <w:sz w:val="18"/>
                <w:szCs w:val="18"/>
              </w:rPr>
            </w:pPr>
            <w:r>
              <w:rPr>
                <w:rFonts w:ascii="Avenir Next Condensed"/>
                <w:sz w:val="18"/>
              </w:rPr>
              <w:t>18</w:t>
            </w:r>
          </w:p>
        </w:tc>
        <w:tc>
          <w:tcPr>
            <w:tcW w:w="122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right="15"/>
              <w:jc w:val="center"/>
              <w:rPr>
                <w:rFonts w:ascii="Avenir Next Condensed" w:eastAsia="Avenir Next Condensed" w:hAnsi="Avenir Next Condensed" w:cs="Avenir Next Condensed"/>
                <w:sz w:val="18"/>
                <w:szCs w:val="18"/>
              </w:rPr>
            </w:pPr>
            <w:r>
              <w:rPr>
                <w:rFonts w:ascii="Avenir Next Condensed"/>
                <w:sz w:val="18"/>
              </w:rPr>
              <w:t>-31</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444"/>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right="17"/>
              <w:jc w:val="center"/>
              <w:rPr>
                <w:rFonts w:ascii="Avenir Next Condensed" w:eastAsia="Avenir Next Condensed" w:hAnsi="Avenir Next Condensed" w:cs="Avenir Next Condensed"/>
                <w:sz w:val="18"/>
                <w:szCs w:val="18"/>
              </w:rPr>
            </w:pPr>
            <w:r>
              <w:rPr>
                <w:rFonts w:ascii="Avenir Next Condensed"/>
                <w:i/>
                <w:sz w:val="18"/>
              </w:rPr>
              <w:t>-7%</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9"/>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right="17"/>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9"/>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left="19"/>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right="4"/>
              <w:jc w:val="center"/>
              <w:rPr>
                <w:rFonts w:ascii="Avenir Next Condensed" w:eastAsia="Avenir Next Condensed" w:hAnsi="Avenir Next Condensed" w:cs="Avenir Next Condensed"/>
                <w:sz w:val="18"/>
                <w:szCs w:val="18"/>
              </w:rPr>
            </w:pPr>
            <w:r>
              <w:rPr>
                <w:rFonts w:ascii="Avenir Next Condensed"/>
                <w:i/>
                <w:sz w:val="18"/>
              </w:rPr>
              <w:t>2%</w:t>
            </w:r>
          </w:p>
        </w:tc>
        <w:tc>
          <w:tcPr>
            <w:tcW w:w="1221"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79"/>
              <w:ind w:right="44"/>
              <w:jc w:val="center"/>
              <w:rPr>
                <w:rFonts w:ascii="Avenir Next Condensed" w:eastAsia="Avenir Next Condensed" w:hAnsi="Avenir Next Condensed" w:cs="Avenir Next Condensed"/>
                <w:sz w:val="18"/>
                <w:szCs w:val="18"/>
              </w:rPr>
            </w:pPr>
            <w:r>
              <w:rPr>
                <w:rFonts w:ascii="Avenir Next Condensed"/>
                <w:i/>
                <w:sz w:val="18"/>
              </w:rPr>
              <w:t>-3%</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
              <w:jc w:val="center"/>
              <w:rPr>
                <w:rFonts w:ascii="Avenir Next Condensed" w:eastAsia="Avenir Next Condensed" w:hAnsi="Avenir Next Condensed" w:cs="Avenir Next Condensed"/>
                <w:sz w:val="18"/>
                <w:szCs w:val="18"/>
              </w:rPr>
            </w:pPr>
            <w:r>
              <w:rPr>
                <w:rFonts w:ascii="Avenir Next Condensed"/>
                <w:b/>
                <w:sz w:val="18"/>
              </w:rPr>
              <w:t>250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1,429</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0"/>
              <w:rPr>
                <w:rFonts w:ascii="Avenir Next Condensed" w:eastAsia="Avenir Next Condensed" w:hAnsi="Avenir Next Condensed" w:cs="Avenir Next Condensed"/>
                <w:sz w:val="18"/>
                <w:szCs w:val="18"/>
              </w:rPr>
            </w:pPr>
            <w:r>
              <w:rPr>
                <w:rFonts w:ascii="Avenir Next Condensed"/>
                <w:sz w:val="18"/>
              </w:rPr>
              <w:t>1,357</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1,400</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1,379</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1,392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1,406</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06"/>
              <w:jc w:val="center"/>
              <w:rPr>
                <w:rFonts w:ascii="Avenir Next Condensed" w:eastAsia="Avenir Next Condensed" w:hAnsi="Avenir Next Condensed" w:cs="Avenir Next Condensed"/>
                <w:sz w:val="18"/>
                <w:szCs w:val="18"/>
              </w:rPr>
            </w:pPr>
            <w:r>
              <w:rPr>
                <w:rFonts w:ascii="Avenir Next Condensed"/>
                <w:sz w:val="18"/>
              </w:rPr>
              <w:t>5</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6"/>
              <w:jc w:val="center"/>
              <w:rPr>
                <w:rFonts w:ascii="Avenir Next Condensed" w:eastAsia="Avenir Next Condensed" w:hAnsi="Avenir Next Condensed" w:cs="Avenir Next Condensed"/>
                <w:sz w:val="18"/>
                <w:szCs w:val="18"/>
              </w:rPr>
            </w:pPr>
            <w:r>
              <w:rPr>
                <w:rFonts w:ascii="Avenir Next Condensed"/>
                <w:sz w:val="18"/>
              </w:rPr>
              <w:t>-24</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443"/>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9"/>
              <w:jc w:val="center"/>
              <w:rPr>
                <w:rFonts w:ascii="Avenir Next Condensed" w:eastAsia="Avenir Next Condensed" w:hAnsi="Avenir Next Condensed" w:cs="Avenir Next Condensed"/>
                <w:sz w:val="18"/>
                <w:szCs w:val="18"/>
              </w:rPr>
            </w:pPr>
            <w:r>
              <w:rPr>
                <w:rFonts w:ascii="Avenir Next Condensed"/>
                <w:i/>
                <w:sz w:val="18"/>
              </w:rPr>
              <w:t>-5%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8"/>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9"/>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6"/>
              <w:jc w:val="center"/>
              <w:rPr>
                <w:rFonts w:ascii="Avenir Next Condensed" w:eastAsia="Avenir Next Condensed" w:hAnsi="Avenir Next Condensed" w:cs="Avenir Next Condensed"/>
                <w:sz w:val="18"/>
                <w:szCs w:val="18"/>
              </w:rPr>
            </w:pPr>
            <w:r>
              <w:rPr>
                <w:rFonts w:ascii="Avenir Next Condensed"/>
                <w:i/>
                <w:sz w:val="18"/>
              </w:rPr>
              <w:t>0%</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46"/>
              <w:jc w:val="center"/>
              <w:rPr>
                <w:rFonts w:ascii="Avenir Next Condensed" w:eastAsia="Avenir Next Condensed" w:hAnsi="Avenir Next Condensed" w:cs="Avenir Next Condensed"/>
                <w:sz w:val="18"/>
                <w:szCs w:val="18"/>
              </w:rPr>
            </w:pPr>
            <w:r>
              <w:rPr>
                <w:rFonts w:ascii="Avenir Next Condensed"/>
                <w:i/>
                <w:sz w:val="18"/>
              </w:rPr>
              <w:t>-2%</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4"/>
              <w:jc w:val="center"/>
              <w:rPr>
                <w:rFonts w:ascii="Avenir Next Condensed" w:eastAsia="Avenir Next Condensed" w:hAnsi="Avenir Next Condensed" w:cs="Avenir Next Condensed"/>
                <w:sz w:val="18"/>
                <w:szCs w:val="18"/>
              </w:rPr>
            </w:pPr>
            <w:r>
              <w:rPr>
                <w:rFonts w:ascii="Avenir Next Condensed"/>
                <w:b/>
                <w:sz w:val="18"/>
              </w:rPr>
              <w:t>300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1,672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1,612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9"/>
              <w:rPr>
                <w:rFonts w:ascii="Avenir Next Condensed" w:eastAsia="Avenir Next Condensed" w:hAnsi="Avenir Next Condensed" w:cs="Avenir Next Condensed"/>
                <w:sz w:val="18"/>
                <w:szCs w:val="18"/>
              </w:rPr>
            </w:pPr>
            <w:r>
              <w:rPr>
                <w:rFonts w:ascii="Avenir Next Condensed"/>
                <w:sz w:val="18"/>
              </w:rPr>
              <w:t>1,665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8"/>
              <w:rPr>
                <w:rFonts w:ascii="Avenir Next Condensed" w:eastAsia="Avenir Next Condensed" w:hAnsi="Avenir Next Condensed" w:cs="Avenir Next Condensed"/>
                <w:sz w:val="18"/>
                <w:szCs w:val="18"/>
              </w:rPr>
            </w:pPr>
            <w:r>
              <w:rPr>
                <w:rFonts w:ascii="Avenir Next Condensed"/>
                <w:sz w:val="18"/>
              </w:rPr>
              <w:t>1,629</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8"/>
              <w:rPr>
                <w:rFonts w:ascii="Avenir Next Condensed" w:eastAsia="Avenir Next Condensed" w:hAnsi="Avenir Next Condensed" w:cs="Avenir Next Condensed"/>
                <w:sz w:val="18"/>
                <w:szCs w:val="18"/>
              </w:rPr>
            </w:pPr>
            <w:r>
              <w:rPr>
                <w:rFonts w:ascii="Avenir Next Condensed"/>
                <w:sz w:val="18"/>
              </w:rPr>
              <w:t>1,643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78"/>
              <w:rPr>
                <w:rFonts w:ascii="Avenir Next Condensed" w:eastAsia="Avenir Next Condensed" w:hAnsi="Avenir Next Condensed" w:cs="Avenir Next Condensed"/>
                <w:sz w:val="18"/>
                <w:szCs w:val="18"/>
              </w:rPr>
            </w:pPr>
            <w:r>
              <w:rPr>
                <w:rFonts w:ascii="Avenir Next Condensed"/>
                <w:sz w:val="18"/>
              </w:rPr>
              <w:t>1,656</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64"/>
              <w:jc w:val="center"/>
              <w:rPr>
                <w:rFonts w:ascii="Avenir Next Condensed" w:eastAsia="Avenir Next Condensed" w:hAnsi="Avenir Next Condensed" w:cs="Avenir Next Condensed"/>
                <w:sz w:val="18"/>
                <w:szCs w:val="18"/>
              </w:rPr>
            </w:pPr>
            <w:r>
              <w:rPr>
                <w:rFonts w:ascii="Avenir Next Condensed"/>
                <w:sz w:val="18"/>
              </w:rPr>
              <w:t>-9</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18"/>
              <w:jc w:val="center"/>
              <w:rPr>
                <w:rFonts w:ascii="Avenir Next Condensed" w:eastAsia="Avenir Next Condensed" w:hAnsi="Avenir Next Condensed" w:cs="Avenir Next Condensed"/>
                <w:sz w:val="18"/>
                <w:szCs w:val="18"/>
              </w:rPr>
            </w:pPr>
            <w:r>
              <w:rPr>
                <w:rFonts w:ascii="Avenir Next Condensed"/>
                <w:sz w:val="18"/>
              </w:rPr>
              <w:t>-16</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42"/>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1"/>
              <w:jc w:val="center"/>
              <w:rPr>
                <w:rFonts w:ascii="Avenir Next Condensed" w:eastAsia="Avenir Next Condensed" w:hAnsi="Avenir Next Condensed" w:cs="Avenir Next Condensed"/>
                <w:sz w:val="18"/>
                <w:szCs w:val="18"/>
              </w:rPr>
            </w:pPr>
            <w:r>
              <w:rPr>
                <w:rFonts w:ascii="Avenir Next Condensed"/>
                <w:i/>
                <w:sz w:val="18"/>
              </w:rPr>
              <w:t>-4%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6"/>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1"/>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6"/>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5"/>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47"/>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47"/>
              <w:jc w:val="center"/>
              <w:rPr>
                <w:rFonts w:ascii="Avenir Next Condensed" w:eastAsia="Avenir Next Condensed" w:hAnsi="Avenir Next Condensed" w:cs="Avenir Next Condensed"/>
                <w:sz w:val="18"/>
                <w:szCs w:val="18"/>
              </w:rPr>
            </w:pPr>
            <w:r>
              <w:rPr>
                <w:rFonts w:ascii="Avenir Next Condensed"/>
                <w:i/>
                <w:sz w:val="18"/>
              </w:rPr>
              <w:t>-1%</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5"/>
              <w:jc w:val="center"/>
              <w:rPr>
                <w:rFonts w:ascii="Avenir Next Condensed" w:eastAsia="Avenir Next Condensed" w:hAnsi="Avenir Next Condensed" w:cs="Avenir Next Condensed"/>
                <w:sz w:val="18"/>
                <w:szCs w:val="18"/>
              </w:rPr>
            </w:pPr>
            <w:r>
              <w:rPr>
                <w:rFonts w:ascii="Avenir Next Condensed"/>
                <w:b/>
                <w:sz w:val="18"/>
              </w:rPr>
              <w:t>400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78"/>
              <w:rPr>
                <w:rFonts w:ascii="Avenir Next Condensed" w:eastAsia="Avenir Next Condensed" w:hAnsi="Avenir Next Condensed" w:cs="Avenir Next Condensed"/>
                <w:sz w:val="18"/>
                <w:szCs w:val="18"/>
              </w:rPr>
            </w:pPr>
            <w:r>
              <w:rPr>
                <w:rFonts w:ascii="Avenir Next Condensed"/>
                <w:sz w:val="18"/>
              </w:rPr>
              <w:t>2,158</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78"/>
              <w:rPr>
                <w:rFonts w:ascii="Avenir Next Condensed" w:eastAsia="Avenir Next Condensed" w:hAnsi="Avenir Next Condensed" w:cs="Avenir Next Condensed"/>
                <w:sz w:val="18"/>
                <w:szCs w:val="18"/>
              </w:rPr>
            </w:pPr>
            <w:r>
              <w:rPr>
                <w:rFonts w:ascii="Avenir Next Condensed"/>
                <w:sz w:val="18"/>
              </w:rPr>
              <w:t>2,122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78"/>
              <w:rPr>
                <w:rFonts w:ascii="Avenir Next Condensed" w:eastAsia="Avenir Next Condensed" w:hAnsi="Avenir Next Condensed" w:cs="Avenir Next Condensed"/>
                <w:sz w:val="18"/>
                <w:szCs w:val="18"/>
              </w:rPr>
            </w:pPr>
            <w:r>
              <w:rPr>
                <w:rFonts w:ascii="Avenir Next Condensed"/>
                <w:sz w:val="18"/>
              </w:rPr>
              <w:t>2,194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4"/>
              <w:rPr>
                <w:rFonts w:ascii="Avenir Next Condensed" w:eastAsia="Avenir Next Condensed" w:hAnsi="Avenir Next Condensed" w:cs="Avenir Next Condensed"/>
                <w:sz w:val="18"/>
                <w:szCs w:val="18"/>
              </w:rPr>
            </w:pPr>
            <w:r>
              <w:rPr>
                <w:rFonts w:ascii="Avenir Next Condensed"/>
                <w:sz w:val="18"/>
              </w:rPr>
              <w:t>2,131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4"/>
              <w:rPr>
                <w:rFonts w:ascii="Avenir Next Condensed" w:eastAsia="Avenir Next Condensed" w:hAnsi="Avenir Next Condensed" w:cs="Avenir Next Condensed"/>
                <w:sz w:val="18"/>
                <w:szCs w:val="18"/>
              </w:rPr>
            </w:pPr>
            <w:r>
              <w:rPr>
                <w:rFonts w:ascii="Avenir Next Condensed"/>
                <w:sz w:val="18"/>
              </w:rPr>
              <w:t>2,144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4"/>
              <w:rPr>
                <w:rFonts w:ascii="Avenir Next Condensed" w:eastAsia="Avenir Next Condensed" w:hAnsi="Avenir Next Condensed" w:cs="Avenir Next Condensed"/>
                <w:sz w:val="18"/>
                <w:szCs w:val="18"/>
              </w:rPr>
            </w:pPr>
            <w:r>
              <w:rPr>
                <w:rFonts w:ascii="Avenir Next Condensed"/>
                <w:sz w:val="18"/>
              </w:rPr>
              <w:t>2,158</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7"/>
              <w:jc w:val="center"/>
              <w:rPr>
                <w:rFonts w:ascii="Avenir Next Condensed" w:eastAsia="Avenir Next Condensed" w:hAnsi="Avenir Next Condensed" w:cs="Avenir Next Condensed"/>
                <w:sz w:val="18"/>
                <w:szCs w:val="18"/>
              </w:rPr>
            </w:pPr>
            <w:r>
              <w:rPr>
                <w:rFonts w:ascii="Avenir Next Condensed"/>
                <w:sz w:val="18"/>
              </w:rPr>
              <w:t>-36</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74"/>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47"/>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10"/>
              <w:jc w:val="center"/>
              <w:rPr>
                <w:rFonts w:ascii="Avenir Next Condensed" w:eastAsia="Avenir Next Condensed" w:hAnsi="Avenir Next Condensed" w:cs="Avenir Next Condensed"/>
                <w:sz w:val="18"/>
                <w:szCs w:val="18"/>
              </w:rPr>
            </w:pPr>
            <w:r>
              <w:rPr>
                <w:rFonts w:ascii="Avenir Next Condensed"/>
                <w:i/>
                <w:sz w:val="18"/>
              </w:rPr>
              <w:t>-2%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7"/>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10"/>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7"/>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6"/>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36"/>
              <w:jc w:val="center"/>
              <w:rPr>
                <w:rFonts w:ascii="Avenir Next Condensed" w:eastAsia="Avenir Next Condensed" w:hAnsi="Avenir Next Condensed" w:cs="Avenir Next Condensed"/>
                <w:sz w:val="18"/>
                <w:szCs w:val="18"/>
              </w:rPr>
            </w:pPr>
            <w:r>
              <w:rPr>
                <w:rFonts w:ascii="Avenir Next Condensed"/>
                <w:i/>
                <w:sz w:val="18"/>
              </w:rPr>
              <w:t>-2%</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i/>
                <w:sz w:val="18"/>
              </w:rPr>
              <w:t>0%</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3"/>
              <w:jc w:val="center"/>
              <w:rPr>
                <w:rFonts w:ascii="Avenir Next Condensed" w:eastAsia="Avenir Next Condensed" w:hAnsi="Avenir Next Condensed" w:cs="Avenir Next Condensed"/>
                <w:sz w:val="18"/>
                <w:szCs w:val="18"/>
              </w:rPr>
            </w:pPr>
            <w:r>
              <w:rPr>
                <w:rFonts w:ascii="Avenir Next Condensed"/>
                <w:b/>
                <w:sz w:val="18"/>
              </w:rPr>
              <w:t>500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2,644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2,632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2,723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2,632</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2,645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3"/>
              <w:rPr>
                <w:rFonts w:ascii="Avenir Next Condensed" w:eastAsia="Avenir Next Condensed" w:hAnsi="Avenir Next Condensed" w:cs="Avenir Next Condensed"/>
                <w:sz w:val="18"/>
                <w:szCs w:val="18"/>
              </w:rPr>
            </w:pPr>
            <w:r>
              <w:rPr>
                <w:rFonts w:ascii="Avenir Next Condensed"/>
                <w:sz w:val="18"/>
              </w:rPr>
              <w:t>2,659</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9"/>
              <w:jc w:val="center"/>
              <w:rPr>
                <w:rFonts w:ascii="Avenir Next Condensed" w:eastAsia="Avenir Next Condensed" w:hAnsi="Avenir Next Condensed" w:cs="Avenir Next Condensed"/>
                <w:sz w:val="18"/>
                <w:szCs w:val="18"/>
              </w:rPr>
            </w:pPr>
            <w:r>
              <w:rPr>
                <w:rFonts w:ascii="Avenir Next Condensed"/>
                <w:sz w:val="18"/>
              </w:rPr>
              <w:t>-64</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9"/>
              <w:jc w:val="center"/>
              <w:rPr>
                <w:rFonts w:ascii="Avenir Next Condensed" w:eastAsia="Avenir Next Condensed" w:hAnsi="Avenir Next Condensed" w:cs="Avenir Next Condensed"/>
                <w:sz w:val="18"/>
                <w:szCs w:val="18"/>
              </w:rPr>
            </w:pPr>
            <w:r>
              <w:rPr>
                <w:rFonts w:ascii="Avenir Next Condensed"/>
                <w:sz w:val="18"/>
              </w:rPr>
              <w:t>15</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46"/>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5"/>
              <w:jc w:val="center"/>
              <w:rPr>
                <w:rFonts w:ascii="Avenir Next Condensed" w:eastAsia="Avenir Next Condensed" w:hAnsi="Avenir Next Condensed" w:cs="Avenir Next Condensed"/>
                <w:sz w:val="18"/>
                <w:szCs w:val="18"/>
              </w:rPr>
            </w:pPr>
            <w:r>
              <w:rPr>
                <w:rFonts w:ascii="Avenir Next Condensed"/>
                <w:i/>
                <w:sz w:val="18"/>
              </w:rPr>
              <w:t>0%</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5"/>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12"/>
              <w:jc w:val="center"/>
              <w:rPr>
                <w:rFonts w:ascii="Avenir Next Condensed" w:eastAsia="Avenir Next Condensed" w:hAnsi="Avenir Next Condensed" w:cs="Avenir Next Condensed"/>
                <w:sz w:val="18"/>
                <w:szCs w:val="18"/>
              </w:rPr>
            </w:pPr>
            <w:r>
              <w:rPr>
                <w:rFonts w:ascii="Avenir Next Condensed"/>
                <w:i/>
                <w:sz w:val="18"/>
              </w:rPr>
              <w:t>-3%</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5"/>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5"/>
              <w:jc w:val="center"/>
              <w:rPr>
                <w:rFonts w:ascii="Avenir Next Condensed" w:eastAsia="Avenir Next Condensed" w:hAnsi="Avenir Next Condensed" w:cs="Avenir Next Condensed"/>
                <w:sz w:val="18"/>
                <w:szCs w:val="18"/>
              </w:rPr>
            </w:pPr>
            <w:r>
              <w:rPr>
                <w:rFonts w:ascii="Avenir Next Condensed"/>
                <w:i/>
                <w:sz w:val="18"/>
              </w:rPr>
              <w:t>1%</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38"/>
              <w:jc w:val="center"/>
              <w:rPr>
                <w:rFonts w:ascii="Avenir Next Condensed" w:eastAsia="Avenir Next Condensed" w:hAnsi="Avenir Next Condensed" w:cs="Avenir Next Condensed"/>
                <w:sz w:val="18"/>
                <w:szCs w:val="18"/>
              </w:rPr>
            </w:pPr>
            <w:r>
              <w:rPr>
                <w:rFonts w:ascii="Avenir Next Condensed"/>
                <w:i/>
                <w:sz w:val="18"/>
              </w:rPr>
              <w:t>-2%</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i/>
                <w:sz w:val="18"/>
              </w:rPr>
              <w:t>1%</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
              <w:jc w:val="center"/>
              <w:rPr>
                <w:rFonts w:ascii="Avenir Next Condensed" w:eastAsia="Avenir Next Condensed" w:hAnsi="Avenir Next Condensed" w:cs="Avenir Next Condensed"/>
                <w:sz w:val="18"/>
                <w:szCs w:val="18"/>
              </w:rPr>
            </w:pPr>
            <w:r>
              <w:rPr>
                <w:rFonts w:ascii="Avenir Next Condensed"/>
                <w:b/>
                <w:sz w:val="18"/>
              </w:rPr>
              <w:t>750 kL</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3,859</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3,907</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4,045</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3,886</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3,899</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82"/>
              <w:rPr>
                <w:rFonts w:ascii="Avenir Next Condensed" w:eastAsia="Avenir Next Condensed" w:hAnsi="Avenir Next Condensed" w:cs="Avenir Next Condensed"/>
                <w:sz w:val="18"/>
                <w:szCs w:val="18"/>
              </w:rPr>
            </w:pPr>
            <w:r>
              <w:rPr>
                <w:rFonts w:ascii="Avenir Next Condensed"/>
                <w:sz w:val="18"/>
              </w:rPr>
              <w:t>3,913</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95"/>
              <w:jc w:val="center"/>
              <w:rPr>
                <w:rFonts w:ascii="Avenir Next Condensed" w:eastAsia="Avenir Next Condensed" w:hAnsi="Avenir Next Condensed" w:cs="Avenir Next Condensed"/>
                <w:sz w:val="18"/>
                <w:szCs w:val="18"/>
              </w:rPr>
            </w:pPr>
            <w:r>
              <w:rPr>
                <w:rFonts w:ascii="Avenir Next Condensed"/>
                <w:sz w:val="18"/>
              </w:rPr>
              <w:t>-133</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7"/>
              <w:jc w:val="center"/>
              <w:rPr>
                <w:rFonts w:ascii="Avenir Next Condensed" w:eastAsia="Avenir Next Condensed" w:hAnsi="Avenir Next Condensed" w:cs="Avenir Next Condensed"/>
                <w:sz w:val="18"/>
                <w:szCs w:val="18"/>
              </w:rPr>
            </w:pPr>
            <w:r>
              <w:rPr>
                <w:rFonts w:ascii="Avenir Next Condensed"/>
                <w:sz w:val="18"/>
              </w:rPr>
              <w:t>53</w:t>
            </w:r>
          </w:p>
        </w:tc>
      </w:tr>
      <w:tr w:rsidR="00D96B91">
        <w:trPr>
          <w:trHeight w:hRule="exact" w:val="350"/>
        </w:trPr>
        <w:tc>
          <w:tcPr>
            <w:tcW w:w="151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445"/>
              <w:rPr>
                <w:rFonts w:ascii="Avenir Next Condensed" w:eastAsia="Avenir Next Condensed" w:hAnsi="Avenir Next Condensed" w:cs="Avenir Next Condensed"/>
                <w:sz w:val="18"/>
                <w:szCs w:val="18"/>
              </w:rPr>
            </w:pPr>
            <w:r>
              <w:rPr>
                <w:rFonts w:ascii="Avenir Next Condensed"/>
                <w:i/>
                <w:sz w:val="18"/>
              </w:rPr>
              <w:t>% change</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3"/>
              <w:jc w:val="center"/>
              <w:rPr>
                <w:rFonts w:ascii="Avenir Next Condensed" w:eastAsia="Avenir Next Condensed" w:hAnsi="Avenir Next Condensed" w:cs="Avenir Next Condensed"/>
                <w:sz w:val="18"/>
                <w:szCs w:val="18"/>
              </w:rPr>
            </w:pPr>
            <w:r>
              <w:rPr>
                <w:rFonts w:ascii="Avenir Next Condensed"/>
                <w:i/>
                <w:sz w:val="18"/>
              </w:rPr>
              <w:t>1%</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3"/>
              <w:jc w:val="center"/>
              <w:rPr>
                <w:rFonts w:ascii="Avenir Next Condensed" w:eastAsia="Avenir Next Condensed" w:hAnsi="Avenir Next Condensed" w:cs="Avenir Next Condensed"/>
                <w:sz w:val="18"/>
                <w:szCs w:val="18"/>
              </w:rPr>
            </w:pPr>
            <w:r>
              <w:rPr>
                <w:rFonts w:ascii="Avenir Next Condensed"/>
                <w:i/>
                <w:sz w:val="18"/>
              </w:rPr>
              <w:t>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14"/>
              <w:jc w:val="center"/>
              <w:rPr>
                <w:rFonts w:ascii="Avenir Next Condensed" w:eastAsia="Avenir Next Condensed" w:hAnsi="Avenir Next Condensed" w:cs="Avenir Next Condensed"/>
                <w:sz w:val="18"/>
                <w:szCs w:val="18"/>
              </w:rPr>
            </w:pPr>
            <w:r>
              <w:rPr>
                <w:rFonts w:ascii="Avenir Next Condensed"/>
                <w:i/>
                <w:sz w:val="18"/>
              </w:rPr>
              <w:t>-4%</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3"/>
              <w:jc w:val="center"/>
              <w:rPr>
                <w:rFonts w:ascii="Avenir Next Condensed" w:eastAsia="Avenir Next Condensed" w:hAnsi="Avenir Next Condensed" w:cs="Avenir Next Condensed"/>
                <w:sz w:val="18"/>
                <w:szCs w:val="18"/>
              </w:rPr>
            </w:pPr>
            <w:r>
              <w:rPr>
                <w:rFonts w:ascii="Avenir Next Condensed"/>
                <w:i/>
                <w:sz w:val="18"/>
              </w:rPr>
              <w:t>0%</w:t>
            </w:r>
          </w:p>
        </w:tc>
        <w:tc>
          <w:tcPr>
            <w:tcW w:w="90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3"/>
              <w:jc w:val="center"/>
              <w:rPr>
                <w:rFonts w:ascii="Avenir Next Condensed" w:eastAsia="Avenir Next Condensed" w:hAnsi="Avenir Next Condensed" w:cs="Avenir Next Condensed"/>
                <w:sz w:val="18"/>
                <w:szCs w:val="18"/>
              </w:rPr>
            </w:pPr>
            <w:r>
              <w:rPr>
                <w:rFonts w:ascii="Avenir Next Condensed"/>
                <w:i/>
                <w:sz w:val="18"/>
              </w:rPr>
              <w:t>0%</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40"/>
              <w:jc w:val="center"/>
              <w:rPr>
                <w:rFonts w:ascii="Avenir Next Condensed" w:eastAsia="Avenir Next Condensed" w:hAnsi="Avenir Next Condensed" w:cs="Avenir Next Condensed"/>
                <w:sz w:val="18"/>
                <w:szCs w:val="18"/>
              </w:rPr>
            </w:pPr>
            <w:r>
              <w:rPr>
                <w:rFonts w:ascii="Avenir Next Condensed"/>
                <w:i/>
                <w:sz w:val="18"/>
              </w:rPr>
              <w:t>-3%</w:t>
            </w:r>
          </w:p>
        </w:tc>
        <w:tc>
          <w:tcPr>
            <w:tcW w:w="122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i/>
                <w:sz w:val="18"/>
              </w:rPr>
              <w:t>1%</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bills assume </w:t>
      </w:r>
      <w:r>
        <w:rPr>
          <w:rFonts w:ascii="Avenir Next"/>
          <w:spacing w:val="-1"/>
          <w:sz w:val="16"/>
        </w:rPr>
        <w:t>inflation</w:t>
      </w:r>
      <w:r>
        <w:rPr>
          <w:rFonts w:ascii="Avenir Next"/>
          <w:sz w:val="16"/>
        </w:rPr>
        <w:t xml:space="preserve"> of</w:t>
      </w:r>
      <w:r>
        <w:rPr>
          <w:rFonts w:ascii="Avenir Next"/>
          <w:spacing w:val="3"/>
          <w:sz w:val="16"/>
        </w:rPr>
        <w:t xml:space="preserve"> </w:t>
      </w:r>
      <w:r>
        <w:rPr>
          <w:rFonts w:ascii="Avenir Next"/>
          <w:sz w:val="16"/>
        </w:rPr>
        <w:t>2.5%</w:t>
      </w:r>
      <w:r>
        <w:rPr>
          <w:rFonts w:ascii="Avenir Next"/>
          <w:spacing w:val="-1"/>
          <w:sz w:val="16"/>
        </w:rPr>
        <w:t xml:space="preserve"> </w:t>
      </w:r>
      <w:r>
        <w:rPr>
          <w:rFonts w:ascii="Avenir Next"/>
          <w:sz w:val="16"/>
        </w:rPr>
        <w:t xml:space="preserve">pa and no </w:t>
      </w:r>
      <w:r>
        <w:rPr>
          <w:rFonts w:ascii="Avenir Next"/>
          <w:spacing w:val="-1"/>
          <w:sz w:val="16"/>
        </w:rPr>
        <w:t>material</w:t>
      </w:r>
      <w:r>
        <w:rPr>
          <w:rFonts w:ascii="Avenir Next"/>
          <w:sz w:val="16"/>
        </w:rPr>
        <w:t xml:space="preserve"> changes in costs</w:t>
      </w:r>
      <w:r>
        <w:rPr>
          <w:rFonts w:ascii="Avenir Next"/>
          <w:spacing w:val="-1"/>
          <w:sz w:val="16"/>
        </w:rPr>
        <w:t xml:space="preserve"> </w:t>
      </w:r>
      <w:r>
        <w:rPr>
          <w:rFonts w:ascii="Avenir Next"/>
          <w:sz w:val="16"/>
        </w:rPr>
        <w:t xml:space="preserve">or Government </w:t>
      </w:r>
      <w:r>
        <w:rPr>
          <w:rFonts w:ascii="Avenir Next"/>
          <w:spacing w:val="-1"/>
          <w:sz w:val="16"/>
        </w:rPr>
        <w:t>charges</w:t>
      </w:r>
      <w:r>
        <w:rPr>
          <w:rFonts w:ascii="Avenir Next"/>
          <w:sz w:val="16"/>
        </w:rPr>
        <w:t xml:space="preserve"> </w:t>
      </w:r>
      <w:r>
        <w:rPr>
          <w:rFonts w:ascii="Avenir Next"/>
          <w:spacing w:val="-1"/>
          <w:sz w:val="16"/>
        </w:rPr>
        <w:t>that</w:t>
      </w:r>
      <w:r>
        <w:rPr>
          <w:rFonts w:ascii="Avenir Next"/>
          <w:sz w:val="16"/>
        </w:rPr>
        <w:t xml:space="preserve"> would trigger</w:t>
      </w:r>
      <w:r>
        <w:rPr>
          <w:rFonts w:ascii="Avenir Next"/>
          <w:spacing w:val="-1"/>
          <w:sz w:val="16"/>
        </w:rPr>
        <w:t xml:space="preserve"> </w:t>
      </w:r>
      <w:r>
        <w:rPr>
          <w:rFonts w:ascii="Avenir Next"/>
          <w:sz w:val="16"/>
        </w:rPr>
        <w:t>the</w:t>
      </w:r>
      <w:r>
        <w:rPr>
          <w:rFonts w:ascii="Avenir Next"/>
          <w:spacing w:val="55"/>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numPr>
          <w:ilvl w:val="2"/>
          <w:numId w:val="30"/>
        </w:numPr>
        <w:tabs>
          <w:tab w:val="left" w:pos="2098"/>
        </w:tabs>
        <w:spacing w:before="9"/>
        <w:ind w:hanging="850"/>
      </w:pPr>
      <w:r>
        <w:rPr>
          <w:color w:val="0778BE"/>
        </w:rPr>
        <w:t xml:space="preserve">Impacts on </w:t>
      </w:r>
      <w:r>
        <w:rPr>
          <w:color w:val="0778BE"/>
          <w:spacing w:val="-1"/>
        </w:rPr>
        <w:t>vulnerable</w:t>
      </w:r>
      <w:r>
        <w:rPr>
          <w:color w:val="0778BE"/>
        </w:rPr>
        <w:t xml:space="preserve"> customers</w:t>
      </w:r>
    </w:p>
    <w:p w:rsidR="00D96B91" w:rsidRDefault="00C2656B">
      <w:pPr>
        <w:pStyle w:val="BodyText"/>
        <w:spacing w:before="21" w:line="260" w:lineRule="exact"/>
        <w:ind w:right="1283"/>
      </w:pPr>
      <w:r>
        <w:rPr>
          <w:spacing w:val="-2"/>
        </w:rPr>
        <w:t>The</w:t>
      </w:r>
      <w:r>
        <w:rPr>
          <w:spacing w:val="-1"/>
        </w:rPr>
        <w:t xml:space="preserve"> </w:t>
      </w:r>
      <w:r>
        <w:rPr>
          <w:spacing w:val="-3"/>
        </w:rPr>
        <w:t>Panel</w:t>
      </w:r>
      <w:r>
        <w:t xml:space="preserve"> </w:t>
      </w:r>
      <w:r>
        <w:rPr>
          <w:spacing w:val="-1"/>
        </w:rPr>
        <w:t>recognises that</w:t>
      </w:r>
      <w:r>
        <w:t xml:space="preserve"> </w:t>
      </w:r>
      <w:r>
        <w:rPr>
          <w:spacing w:val="-1"/>
        </w:rPr>
        <w:t xml:space="preserve">difficulties </w:t>
      </w:r>
      <w:r>
        <w:t>in paying</w:t>
      </w:r>
      <w:r>
        <w:rPr>
          <w:spacing w:val="-1"/>
        </w:rPr>
        <w:t xml:space="preserve"> water</w:t>
      </w:r>
      <w:r>
        <w:t xml:space="preserve"> and</w:t>
      </w:r>
      <w:r>
        <w:rPr>
          <w:spacing w:val="-1"/>
        </w:rPr>
        <w:t xml:space="preserve"> sewerage</w:t>
      </w:r>
      <w:r>
        <w:t xml:space="preserve"> bills</w:t>
      </w:r>
      <w:r>
        <w:rPr>
          <w:spacing w:val="-1"/>
        </w:rPr>
        <w:t xml:space="preserve"> </w:t>
      </w:r>
      <w:r>
        <w:t>can place</w:t>
      </w:r>
      <w:r>
        <w:rPr>
          <w:spacing w:val="-1"/>
        </w:rPr>
        <w:t xml:space="preserve"> considerable</w:t>
      </w:r>
      <w:r>
        <w:t xml:space="preserve"> </w:t>
      </w:r>
      <w:r>
        <w:rPr>
          <w:spacing w:val="-1"/>
        </w:rPr>
        <w:t>stress</w:t>
      </w:r>
      <w:r>
        <w:rPr>
          <w:spacing w:val="79"/>
        </w:rPr>
        <w:t xml:space="preserve"> </w:t>
      </w:r>
      <w:r>
        <w:t>on some households.</w:t>
      </w:r>
      <w:r>
        <w:rPr>
          <w:spacing w:val="-6"/>
        </w:rPr>
        <w:t xml:space="preserve"> </w:t>
      </w:r>
      <w:r>
        <w:rPr>
          <w:spacing w:val="-2"/>
        </w:rPr>
        <w:t>However,</w:t>
      </w:r>
      <w:r>
        <w:rPr>
          <w:spacing w:val="-6"/>
        </w:rPr>
        <w:t xml:space="preserve"> </w:t>
      </w:r>
      <w:r>
        <w:t>in light of</w:t>
      </w:r>
      <w:r>
        <w:rPr>
          <w:spacing w:val="4"/>
        </w:rPr>
        <w:t xml:space="preserve"> </w:t>
      </w:r>
      <w:r>
        <w:t>the modest bill impacts discussed above,</w:t>
      </w:r>
      <w:r>
        <w:rPr>
          <w:spacing w:val="-7"/>
        </w:rPr>
        <w:t xml:space="preserve"> </w:t>
      </w:r>
      <w:r>
        <w:t xml:space="preserve">the </w:t>
      </w:r>
      <w:r>
        <w:rPr>
          <w:spacing w:val="-3"/>
        </w:rPr>
        <w:t>Panel</w:t>
      </w:r>
      <w:r>
        <w:t xml:space="preserve"> considers</w:t>
      </w:r>
      <w:r>
        <w:rPr>
          <w:spacing w:val="29"/>
        </w:rPr>
        <w:t xml:space="preserve"> </w:t>
      </w:r>
      <w:r>
        <w:t xml:space="preserve">the prices set out in Chapter 14 </w:t>
      </w:r>
      <w:r>
        <w:rPr>
          <w:spacing w:val="-2"/>
        </w:rPr>
        <w:t>are</w:t>
      </w:r>
      <w:r>
        <w:t xml:space="preserve"> </w:t>
      </w:r>
      <w:r>
        <w:rPr>
          <w:spacing w:val="-1"/>
        </w:rPr>
        <w:t>unlikely</w:t>
      </w:r>
      <w:r>
        <w:t xml:space="preserve"> to have a </w:t>
      </w:r>
      <w:r>
        <w:rPr>
          <w:spacing w:val="-1"/>
        </w:rPr>
        <w:t>material</w:t>
      </w:r>
      <w:r>
        <w:t xml:space="preserve"> impact on </w:t>
      </w:r>
      <w:r>
        <w:rPr>
          <w:spacing w:val="-1"/>
        </w:rPr>
        <w:t>vulnerable</w:t>
      </w:r>
      <w:r>
        <w:t xml:space="preserve"> consumers.</w:t>
      </w:r>
    </w:p>
    <w:p w:rsidR="00D96B91" w:rsidRDefault="00C2656B">
      <w:pPr>
        <w:pStyle w:val="BodyText"/>
        <w:spacing w:before="170" w:line="260" w:lineRule="exact"/>
        <w:ind w:right="1548"/>
      </w:pPr>
      <w:r>
        <w:rPr>
          <w:spacing w:val="-2"/>
        </w:rPr>
        <w:t>The</w:t>
      </w:r>
      <w:r>
        <w:rPr>
          <w:spacing w:val="-1"/>
        </w:rPr>
        <w:t xml:space="preserve"> </w:t>
      </w:r>
      <w:r>
        <w:rPr>
          <w:spacing w:val="-3"/>
        </w:rPr>
        <w:t>Panel</w:t>
      </w:r>
      <w:r>
        <w:t xml:space="preserve"> notes</w:t>
      </w:r>
      <w:r>
        <w:rPr>
          <w:spacing w:val="-1"/>
        </w:rPr>
        <w:t xml:space="preserve"> that</w:t>
      </w:r>
      <w:r>
        <w:t xml:space="preserve"> </w:t>
      </w:r>
      <w:r>
        <w:rPr>
          <w:spacing w:val="-1"/>
        </w:rPr>
        <w:t xml:space="preserve">there </w:t>
      </w:r>
      <w:r>
        <w:rPr>
          <w:spacing w:val="-2"/>
        </w:rPr>
        <w:t>are</w:t>
      </w:r>
      <w:r>
        <w:t xml:space="preserve"> </w:t>
      </w:r>
      <w:r>
        <w:rPr>
          <w:spacing w:val="-1"/>
        </w:rPr>
        <w:t xml:space="preserve">programs </w:t>
      </w:r>
      <w:r>
        <w:t>in place</w:t>
      </w:r>
      <w:r>
        <w:rPr>
          <w:spacing w:val="-1"/>
        </w:rPr>
        <w:t xml:space="preserve"> </w:t>
      </w:r>
      <w:r>
        <w:t>to assist</w:t>
      </w:r>
      <w:r>
        <w:rPr>
          <w:spacing w:val="-1"/>
        </w:rPr>
        <w:t xml:space="preserve"> </w:t>
      </w:r>
      <w:r>
        <w:t xml:space="preserve">households facing </w:t>
      </w:r>
      <w:r>
        <w:rPr>
          <w:spacing w:val="-1"/>
        </w:rPr>
        <w:t xml:space="preserve">difficulties </w:t>
      </w:r>
      <w:r>
        <w:t xml:space="preserve">paying </w:t>
      </w:r>
      <w:r>
        <w:rPr>
          <w:spacing w:val="-1"/>
        </w:rPr>
        <w:t>water</w:t>
      </w:r>
      <w:r>
        <w:rPr>
          <w:spacing w:val="45"/>
        </w:rPr>
        <w:t xml:space="preserve"> </w:t>
      </w:r>
      <w:r>
        <w:t xml:space="preserve">and </w:t>
      </w:r>
      <w:r>
        <w:rPr>
          <w:spacing w:val="-1"/>
        </w:rPr>
        <w:t>sewerage</w:t>
      </w:r>
      <w:r>
        <w:t xml:space="preserve"> bills.</w:t>
      </w:r>
      <w:r>
        <w:rPr>
          <w:spacing w:val="-6"/>
        </w:rPr>
        <w:t xml:space="preserve"> </w:t>
      </w:r>
      <w:r>
        <w:rPr>
          <w:spacing w:val="-4"/>
        </w:rPr>
        <w:t>For</w:t>
      </w:r>
      <w:r>
        <w:t xml:space="preserve"> </w:t>
      </w:r>
      <w:r>
        <w:rPr>
          <w:spacing w:val="-1"/>
        </w:rPr>
        <w:t>example:</w:t>
      </w:r>
    </w:p>
    <w:p w:rsidR="00D96B91" w:rsidRDefault="00C2656B">
      <w:pPr>
        <w:pStyle w:val="BodyText"/>
        <w:numPr>
          <w:ilvl w:val="0"/>
          <w:numId w:val="131"/>
        </w:numPr>
        <w:tabs>
          <w:tab w:val="left" w:pos="1531"/>
        </w:tabs>
        <w:spacing w:before="178"/>
        <w:ind w:hanging="283"/>
        <w:rPr>
          <w:sz w:val="11"/>
          <w:szCs w:val="11"/>
        </w:rPr>
      </w:pPr>
      <w:r>
        <w:rPr>
          <w:spacing w:val="-2"/>
        </w:rPr>
        <w:t>The</w:t>
      </w:r>
      <w:r>
        <w:rPr>
          <w:spacing w:val="-4"/>
        </w:rPr>
        <w:t xml:space="preserve"> </w:t>
      </w:r>
      <w:r>
        <w:rPr>
          <w:spacing w:val="-2"/>
        </w:rPr>
        <w:t>ACT</w:t>
      </w:r>
      <w:r>
        <w:rPr>
          <w:spacing w:val="-4"/>
        </w:rPr>
        <w:t xml:space="preserve"> </w:t>
      </w:r>
      <w:r>
        <w:t>Government</w:t>
      </w:r>
      <w:r>
        <w:rPr>
          <w:spacing w:val="2"/>
        </w:rPr>
        <w:t xml:space="preserve"> </w:t>
      </w:r>
      <w:r>
        <w:rPr>
          <w:spacing w:val="-1"/>
        </w:rPr>
        <w:t>provides</w:t>
      </w:r>
      <w:r>
        <w:rPr>
          <w:spacing w:val="1"/>
        </w:rPr>
        <w:t xml:space="preserve"> </w:t>
      </w:r>
      <w:r>
        <w:t>a</w:t>
      </w:r>
      <w:r>
        <w:rPr>
          <w:spacing w:val="1"/>
        </w:rPr>
        <w:t xml:space="preserve"> </w:t>
      </w:r>
      <w:r>
        <w:rPr>
          <w:spacing w:val="-1"/>
        </w:rPr>
        <w:t>rebate</w:t>
      </w:r>
      <w:r>
        <w:rPr>
          <w:spacing w:val="1"/>
        </w:rPr>
        <w:t xml:space="preserve"> </w:t>
      </w:r>
      <w:r>
        <w:t>on</w:t>
      </w:r>
      <w:r>
        <w:rPr>
          <w:spacing w:val="1"/>
        </w:rPr>
        <w:t xml:space="preserve"> </w:t>
      </w:r>
      <w:r>
        <w:rPr>
          <w:spacing w:val="-1"/>
        </w:rPr>
        <w:t>water</w:t>
      </w:r>
      <w:r>
        <w:rPr>
          <w:spacing w:val="1"/>
        </w:rPr>
        <w:t xml:space="preserve"> </w:t>
      </w:r>
      <w:r>
        <w:rPr>
          <w:spacing w:val="-1"/>
        </w:rPr>
        <w:t>charges</w:t>
      </w:r>
      <w:r>
        <w:rPr>
          <w:spacing w:val="1"/>
        </w:rPr>
        <w:t xml:space="preserve"> </w:t>
      </w:r>
      <w:r>
        <w:t>for</w:t>
      </w:r>
      <w:r>
        <w:rPr>
          <w:spacing w:val="1"/>
        </w:rPr>
        <w:t xml:space="preserve"> </w:t>
      </w:r>
      <w:r>
        <w:t>eligible</w:t>
      </w:r>
      <w:r>
        <w:rPr>
          <w:spacing w:val="1"/>
        </w:rPr>
        <w:t xml:space="preserve"> </w:t>
      </w:r>
      <w:r>
        <w:t>applicants.</w:t>
      </w:r>
      <w:r>
        <w:rPr>
          <w:position w:val="7"/>
          <w:sz w:val="11"/>
        </w:rPr>
        <w:t>237</w:t>
      </w:r>
    </w:p>
    <w:p w:rsidR="00D96B91" w:rsidRDefault="00C2656B">
      <w:pPr>
        <w:pStyle w:val="BodyText"/>
        <w:numPr>
          <w:ilvl w:val="0"/>
          <w:numId w:val="131"/>
        </w:numPr>
        <w:tabs>
          <w:tab w:val="left" w:pos="1531"/>
        </w:tabs>
        <w:spacing w:before="64" w:line="260" w:lineRule="exact"/>
        <w:ind w:right="1335" w:hanging="283"/>
      </w:pPr>
      <w:r>
        <w:rPr>
          <w:rFonts w:cs="Avenir Next"/>
          <w:spacing w:val="-2"/>
        </w:rPr>
        <w:t>ACTEW’s</w:t>
      </w:r>
      <w:r>
        <w:rPr>
          <w:rFonts w:cs="Avenir Next"/>
          <w:spacing w:val="-1"/>
        </w:rPr>
        <w:t xml:space="preserve"> </w:t>
      </w:r>
      <w:r>
        <w:rPr>
          <w:rFonts w:cs="Avenir Next"/>
          <w:i/>
          <w:spacing w:val="-1"/>
        </w:rPr>
        <w:t>Staying</w:t>
      </w:r>
      <w:r>
        <w:rPr>
          <w:rFonts w:cs="Avenir Next"/>
          <w:i/>
        </w:rPr>
        <w:t xml:space="preserve"> </w:t>
      </w:r>
      <w:r>
        <w:rPr>
          <w:rFonts w:cs="Avenir Next"/>
          <w:i/>
          <w:spacing w:val="-1"/>
        </w:rPr>
        <w:t>Connected</w:t>
      </w:r>
      <w:r>
        <w:rPr>
          <w:rFonts w:cs="Avenir Next"/>
          <w:i/>
        </w:rPr>
        <w:t xml:space="preserve"> </w:t>
      </w:r>
      <w:r>
        <w:rPr>
          <w:spacing w:val="-1"/>
        </w:rPr>
        <w:t>program</w:t>
      </w:r>
      <w:r>
        <w:t xml:space="preserve"> includes </w:t>
      </w:r>
      <w:r>
        <w:rPr>
          <w:spacing w:val="-1"/>
        </w:rPr>
        <w:t xml:space="preserve">provisions </w:t>
      </w:r>
      <w:r>
        <w:t xml:space="preserve">for </w:t>
      </w:r>
      <w:r>
        <w:rPr>
          <w:spacing w:val="-1"/>
        </w:rPr>
        <w:t>flexible</w:t>
      </w:r>
      <w:r>
        <w:t xml:space="preserve"> and </w:t>
      </w:r>
      <w:r>
        <w:rPr>
          <w:spacing w:val="-1"/>
        </w:rPr>
        <w:t xml:space="preserve">affordable </w:t>
      </w:r>
      <w:r>
        <w:t>payment plans</w:t>
      </w:r>
      <w:r>
        <w:rPr>
          <w:spacing w:val="53"/>
        </w:rPr>
        <w:t xml:space="preserve"> </w:t>
      </w:r>
      <w:r>
        <w:t xml:space="preserve">and stops </w:t>
      </w:r>
      <w:r>
        <w:rPr>
          <w:spacing w:val="-1"/>
        </w:rPr>
        <w:t>recovery</w:t>
      </w:r>
      <w:r>
        <w:t xml:space="preserve"> action while eligible customers </w:t>
      </w:r>
      <w:r>
        <w:rPr>
          <w:spacing w:val="-2"/>
        </w:rPr>
        <w:t>are</w:t>
      </w:r>
      <w:r>
        <w:t xml:space="preserve"> on the </w:t>
      </w:r>
      <w:r>
        <w:rPr>
          <w:spacing w:val="-1"/>
        </w:rPr>
        <w:t>program.</w:t>
      </w:r>
    </w:p>
    <w:p w:rsidR="00D96B91" w:rsidRDefault="00C2656B">
      <w:pPr>
        <w:pStyle w:val="BodyText"/>
        <w:numPr>
          <w:ilvl w:val="0"/>
          <w:numId w:val="131"/>
        </w:numPr>
        <w:tabs>
          <w:tab w:val="left" w:pos="1531"/>
        </w:tabs>
        <w:spacing w:before="85" w:line="260" w:lineRule="exact"/>
        <w:ind w:right="1270" w:hanging="283"/>
      </w:pPr>
      <w:r>
        <w:rPr>
          <w:spacing w:val="-1"/>
        </w:rPr>
        <w:t>Hardship</w:t>
      </w:r>
      <w:r>
        <w:t xml:space="preserve"> assistance is also available </w:t>
      </w:r>
      <w:r>
        <w:rPr>
          <w:spacing w:val="-1"/>
        </w:rPr>
        <w:t>through</w:t>
      </w:r>
      <w:r>
        <w:t xml:space="preserve"> </w:t>
      </w:r>
      <w:r>
        <w:rPr>
          <w:spacing w:val="-1"/>
        </w:rPr>
        <w:t>application</w:t>
      </w:r>
      <w:r>
        <w:t xml:space="preserve"> to the</w:t>
      </w:r>
      <w:r>
        <w:rPr>
          <w:spacing w:val="-4"/>
        </w:rPr>
        <w:t xml:space="preserve"> </w:t>
      </w:r>
      <w:r>
        <w:rPr>
          <w:spacing w:val="-2"/>
        </w:rPr>
        <w:t>ACT</w:t>
      </w:r>
      <w:r>
        <w:rPr>
          <w:spacing w:val="-5"/>
        </w:rPr>
        <w:t xml:space="preserve"> </w:t>
      </w:r>
      <w:r>
        <w:t>Civil and</w:t>
      </w:r>
      <w:r>
        <w:rPr>
          <w:spacing w:val="-4"/>
        </w:rPr>
        <w:t xml:space="preserve"> </w:t>
      </w:r>
      <w:r>
        <w:rPr>
          <w:spacing w:val="-1"/>
        </w:rPr>
        <w:t>Administrative</w:t>
      </w:r>
      <w:r>
        <w:rPr>
          <w:spacing w:val="-5"/>
        </w:rPr>
        <w:t xml:space="preserve"> </w:t>
      </w:r>
      <w:r>
        <w:rPr>
          <w:spacing w:val="-3"/>
        </w:rPr>
        <w:t>Tribunal</w:t>
      </w:r>
      <w:r>
        <w:rPr>
          <w:spacing w:val="63"/>
        </w:rPr>
        <w:t xml:space="preserve"> </w:t>
      </w:r>
      <w:r>
        <w:rPr>
          <w:spacing w:val="-4"/>
        </w:rPr>
        <w:t>(ACAT)</w:t>
      </w:r>
      <w:r>
        <w:t xml:space="preserve"> for those </w:t>
      </w:r>
      <w:r>
        <w:rPr>
          <w:spacing w:val="-1"/>
        </w:rPr>
        <w:t>water</w:t>
      </w:r>
      <w:r>
        <w:t xml:space="preserve"> and </w:t>
      </w:r>
      <w:r>
        <w:rPr>
          <w:spacing w:val="-1"/>
        </w:rPr>
        <w:t>sewerage</w:t>
      </w:r>
      <w:r>
        <w:t xml:space="preserve"> customers who have had their supply disconnected – or been</w:t>
      </w:r>
      <w:r>
        <w:rPr>
          <w:spacing w:val="27"/>
        </w:rPr>
        <w:t xml:space="preserve"> </w:t>
      </w:r>
      <w:r>
        <w:t>given a notice or warning about disconnection – because of</w:t>
      </w:r>
      <w:r>
        <w:rPr>
          <w:spacing w:val="4"/>
        </w:rPr>
        <w:t xml:space="preserve"> </w:t>
      </w:r>
      <w:r>
        <w:t>unpaid accounts.</w:t>
      </w:r>
      <w:r>
        <w:rPr>
          <w:spacing w:val="-6"/>
        </w:rPr>
        <w:t xml:space="preserve"> </w:t>
      </w:r>
      <w:r>
        <w:t>In 2013-14,</w:t>
      </w:r>
      <w:r>
        <w:rPr>
          <w:spacing w:val="-10"/>
        </w:rPr>
        <w:t xml:space="preserve"> </w:t>
      </w:r>
      <w:r>
        <w:rPr>
          <w:spacing w:val="-5"/>
        </w:rPr>
        <w:t>ACAT</w:t>
      </w:r>
      <w:r>
        <w:rPr>
          <w:spacing w:val="22"/>
        </w:rPr>
        <w:t xml:space="preserve"> </w:t>
      </w:r>
      <w:r>
        <w:rPr>
          <w:spacing w:val="-1"/>
        </w:rPr>
        <w:t>received</w:t>
      </w:r>
      <w:r>
        <w:t xml:space="preserve"> 81 </w:t>
      </w:r>
      <w:r>
        <w:rPr>
          <w:spacing w:val="-1"/>
        </w:rPr>
        <w:t>applications</w:t>
      </w:r>
      <w:r>
        <w:t xml:space="preserve"> for this assistance.</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313"/>
      </w:pPr>
      <w:r>
        <w:t xml:space="preserve">Because bill impacts </w:t>
      </w:r>
      <w:r>
        <w:rPr>
          <w:spacing w:val="-2"/>
        </w:rPr>
        <w:t>are</w:t>
      </w:r>
      <w:r>
        <w:t xml:space="preserve"> modest,</w:t>
      </w:r>
      <w:r>
        <w:rPr>
          <w:spacing w:val="-6"/>
        </w:rPr>
        <w:t xml:space="preserve"> </w:t>
      </w:r>
      <w:r>
        <w:t xml:space="preserve">the </w:t>
      </w:r>
      <w:r>
        <w:rPr>
          <w:spacing w:val="-3"/>
        </w:rPr>
        <w:t>Panel</w:t>
      </w:r>
      <w:r>
        <w:t xml:space="preserve"> does not </w:t>
      </w:r>
      <w:r>
        <w:rPr>
          <w:spacing w:val="-1"/>
        </w:rPr>
        <w:t>expect</w:t>
      </w:r>
      <w:r>
        <w:t xml:space="preserve"> its pricing decision to contribute to </w:t>
      </w:r>
      <w:r>
        <w:rPr>
          <w:spacing w:val="-2"/>
        </w:rPr>
        <w:t>greater</w:t>
      </w:r>
      <w:r>
        <w:rPr>
          <w:spacing w:val="31"/>
        </w:rPr>
        <w:t xml:space="preserve"> </w:t>
      </w:r>
      <w:r>
        <w:t>numbers of</w:t>
      </w:r>
      <w:r>
        <w:rPr>
          <w:spacing w:val="4"/>
        </w:rPr>
        <w:t xml:space="preserve"> </w:t>
      </w:r>
      <w:r>
        <w:t xml:space="preserve">customers seeking </w:t>
      </w:r>
      <w:r>
        <w:rPr>
          <w:spacing w:val="-1"/>
        </w:rPr>
        <w:t>hardship</w:t>
      </w:r>
      <w:r>
        <w:t xml:space="preserve"> assistance.</w:t>
      </w:r>
    </w:p>
    <w:p w:rsidR="00D96B91" w:rsidRDefault="00D96B91">
      <w:pPr>
        <w:spacing w:before="6"/>
        <w:rPr>
          <w:rFonts w:ascii="Avenir Next" w:eastAsia="Avenir Next" w:hAnsi="Avenir Next" w:cs="Avenir Next"/>
          <w:sz w:val="20"/>
          <w:szCs w:val="20"/>
        </w:rPr>
      </w:pPr>
    </w:p>
    <w:p w:rsidR="00D96B91" w:rsidRDefault="00C2656B">
      <w:pPr>
        <w:pStyle w:val="Heading6"/>
        <w:numPr>
          <w:ilvl w:val="2"/>
          <w:numId w:val="30"/>
        </w:numPr>
        <w:tabs>
          <w:tab w:val="left" w:pos="2098"/>
        </w:tabs>
        <w:ind w:hanging="850"/>
      </w:pPr>
      <w:r>
        <w:rPr>
          <w:color w:val="0778BE"/>
          <w:spacing w:val="-1"/>
        </w:rPr>
        <w:t>Comparison</w:t>
      </w:r>
      <w:r>
        <w:rPr>
          <w:color w:val="0778BE"/>
        </w:rPr>
        <w:t xml:space="preserve"> with bills payable in other jurisdictions</w:t>
      </w:r>
    </w:p>
    <w:p w:rsidR="00D96B91" w:rsidRDefault="00D96B91">
      <w:pPr>
        <w:pStyle w:val="BodyText"/>
        <w:spacing w:before="21" w:line="260" w:lineRule="exact"/>
        <w:ind w:right="1411"/>
      </w:pPr>
      <w:hyperlink w:anchor="_bookmark137" w:history="1">
        <w:r w:rsidR="00C2656B">
          <w:rPr>
            <w:spacing w:val="-4"/>
          </w:rPr>
          <w:t>Table</w:t>
        </w:r>
        <w:r w:rsidR="00C2656B">
          <w:t xml:space="preserve"> 15.2</w:t>
        </w:r>
      </w:hyperlink>
      <w:r w:rsidR="00C2656B">
        <w:t xml:space="preserve"> </w:t>
      </w:r>
      <w:r w:rsidR="00C2656B">
        <w:rPr>
          <w:spacing w:val="-1"/>
        </w:rPr>
        <w:t>compares</w:t>
      </w:r>
      <w:r w:rsidR="00C2656B">
        <w:t xml:space="preserve"> the annual </w:t>
      </w:r>
      <w:r w:rsidR="00C2656B">
        <w:rPr>
          <w:spacing w:val="-1"/>
        </w:rPr>
        <w:t>water</w:t>
      </w:r>
      <w:r w:rsidR="00C2656B">
        <w:t xml:space="preserve"> and </w:t>
      </w:r>
      <w:r w:rsidR="00C2656B">
        <w:rPr>
          <w:spacing w:val="-1"/>
        </w:rPr>
        <w:t>sewerage</w:t>
      </w:r>
      <w:r w:rsidR="00C2656B">
        <w:t xml:space="preserve"> bill for a </w:t>
      </w:r>
      <w:r w:rsidR="00C2656B">
        <w:rPr>
          <w:spacing w:val="-1"/>
        </w:rPr>
        <w:t>residential</w:t>
      </w:r>
      <w:r w:rsidR="00C2656B">
        <w:t xml:space="preserve"> customer consuming 200kL</w:t>
      </w:r>
      <w:r w:rsidR="00C2656B">
        <w:rPr>
          <w:spacing w:val="39"/>
        </w:rPr>
        <w:t xml:space="preserve"> </w:t>
      </w:r>
      <w:r w:rsidR="00C2656B">
        <w:t>of</w:t>
      </w:r>
      <w:r w:rsidR="00C2656B">
        <w:rPr>
          <w:spacing w:val="4"/>
        </w:rPr>
        <w:t xml:space="preserve"> </w:t>
      </w:r>
      <w:r w:rsidR="00C2656B">
        <w:rPr>
          <w:spacing w:val="-1"/>
        </w:rPr>
        <w:t>water</w:t>
      </w:r>
      <w:r w:rsidR="00C2656B">
        <w:t xml:space="preserve"> payable in the</w:t>
      </w:r>
      <w:r w:rsidR="00C2656B">
        <w:rPr>
          <w:spacing w:val="-4"/>
        </w:rPr>
        <w:t xml:space="preserve"> </w:t>
      </w:r>
      <w:r w:rsidR="00C2656B">
        <w:rPr>
          <w:spacing w:val="-2"/>
        </w:rPr>
        <w:t>ACT</w:t>
      </w:r>
      <w:r w:rsidR="00C2656B">
        <w:rPr>
          <w:spacing w:val="-5"/>
        </w:rPr>
        <w:t xml:space="preserve"> </w:t>
      </w:r>
      <w:r w:rsidR="00C2656B">
        <w:t xml:space="preserve">(under the </w:t>
      </w:r>
      <w:r w:rsidR="00C2656B">
        <w:rPr>
          <w:spacing w:val="-4"/>
        </w:rPr>
        <w:t>Panel’s</w:t>
      </w:r>
      <w:r w:rsidR="00C2656B">
        <w:t xml:space="preserve"> </w:t>
      </w:r>
      <w:r w:rsidR="00C2656B">
        <w:rPr>
          <w:spacing w:val="-2"/>
        </w:rPr>
        <w:t>draft</w:t>
      </w:r>
      <w:r w:rsidR="00C2656B">
        <w:t xml:space="preserve"> decision) and in other jurisdictions (under their</w:t>
      </w:r>
      <w:r w:rsidR="00C2656B">
        <w:rPr>
          <w:spacing w:val="27"/>
        </w:rPr>
        <w:t xml:space="preserve"> </w:t>
      </w:r>
      <w:r w:rsidR="00C2656B">
        <w:rPr>
          <w:spacing w:val="-1"/>
        </w:rPr>
        <w:t>current</w:t>
      </w:r>
      <w:r w:rsidR="00C2656B">
        <w:t xml:space="preserve"> </w:t>
      </w:r>
      <w:r w:rsidR="00C2656B">
        <w:rPr>
          <w:spacing w:val="-1"/>
        </w:rPr>
        <w:t>regulatory</w:t>
      </w:r>
      <w:r w:rsidR="00C2656B">
        <w:rPr>
          <w:spacing w:val="1"/>
        </w:rPr>
        <w:t xml:space="preserve"> </w:t>
      </w:r>
      <w:r w:rsidR="00C2656B">
        <w:t>decision).</w:t>
      </w:r>
      <w:r w:rsidR="00C2656B">
        <w:rPr>
          <w:position w:val="7"/>
          <w:sz w:val="11"/>
          <w:szCs w:val="11"/>
        </w:rPr>
        <w:t>238</w:t>
      </w:r>
      <w:r w:rsidR="00C2656B">
        <w:rPr>
          <w:spacing w:val="18"/>
          <w:position w:val="7"/>
          <w:sz w:val="11"/>
          <w:szCs w:val="11"/>
        </w:rPr>
        <w:t xml:space="preserve"> </w:t>
      </w:r>
      <w:r w:rsidR="00C2656B">
        <w:rPr>
          <w:rFonts w:cs="Avenir Next"/>
          <w:spacing w:val="-2"/>
        </w:rPr>
        <w:t>The</w:t>
      </w:r>
      <w:r w:rsidR="00C2656B">
        <w:rPr>
          <w:rFonts w:cs="Avenir Next"/>
          <w:spacing w:val="1"/>
        </w:rPr>
        <w:t xml:space="preserve"> </w:t>
      </w:r>
      <w:r w:rsidR="00C2656B">
        <w:rPr>
          <w:rFonts w:cs="Avenir Next"/>
          <w:spacing w:val="-3"/>
        </w:rPr>
        <w:t>Panel</w:t>
      </w:r>
      <w:r w:rsidR="00C2656B">
        <w:rPr>
          <w:rFonts w:cs="Avenir Next"/>
          <w:spacing w:val="1"/>
        </w:rPr>
        <w:t xml:space="preserve"> </w:t>
      </w:r>
      <w:r w:rsidR="00C2656B">
        <w:rPr>
          <w:rFonts w:cs="Avenir Next"/>
        </w:rPr>
        <w:t>has</w:t>
      </w:r>
      <w:r w:rsidR="00C2656B">
        <w:rPr>
          <w:rFonts w:cs="Avenir Next"/>
          <w:spacing w:val="1"/>
        </w:rPr>
        <w:t xml:space="preserve"> </w:t>
      </w:r>
      <w:r w:rsidR="00C2656B">
        <w:rPr>
          <w:rFonts w:cs="Avenir Next"/>
          <w:spacing w:val="-1"/>
        </w:rPr>
        <w:t>estimated</w:t>
      </w:r>
      <w:r w:rsidR="00C2656B">
        <w:rPr>
          <w:rFonts w:cs="Avenir Next"/>
          <w:spacing w:val="1"/>
        </w:rPr>
        <w:t xml:space="preserve"> </w:t>
      </w:r>
      <w:r w:rsidR="00C2656B">
        <w:rPr>
          <w:rFonts w:cs="Avenir Next"/>
        </w:rPr>
        <w:t>the</w:t>
      </w:r>
      <w:r w:rsidR="00C2656B">
        <w:rPr>
          <w:rFonts w:cs="Avenir Next"/>
          <w:spacing w:val="1"/>
        </w:rPr>
        <w:t xml:space="preserve"> </w:t>
      </w:r>
      <w:r w:rsidR="00C2656B">
        <w:rPr>
          <w:rFonts w:cs="Avenir Next"/>
        </w:rPr>
        <w:t>bills for</w:t>
      </w:r>
      <w:r w:rsidR="00C2656B">
        <w:rPr>
          <w:rFonts w:cs="Avenir Next"/>
          <w:spacing w:val="1"/>
        </w:rPr>
        <w:t xml:space="preserve"> </w:t>
      </w:r>
      <w:r w:rsidR="00C2656B">
        <w:rPr>
          <w:rFonts w:cs="Avenir Next"/>
          <w:spacing w:val="-1"/>
        </w:rPr>
        <w:t>future</w:t>
      </w:r>
      <w:r w:rsidR="00C2656B">
        <w:rPr>
          <w:rFonts w:cs="Avenir Next"/>
          <w:spacing w:val="1"/>
        </w:rPr>
        <w:t xml:space="preserve"> </w:t>
      </w:r>
      <w:r w:rsidR="00C2656B">
        <w:rPr>
          <w:rFonts w:cs="Avenir Next"/>
          <w:spacing w:val="-1"/>
        </w:rPr>
        <w:t>years</w:t>
      </w:r>
      <w:r w:rsidR="00C2656B">
        <w:rPr>
          <w:rFonts w:cs="Avenir Next"/>
          <w:spacing w:val="1"/>
        </w:rPr>
        <w:t xml:space="preserve"> </w:t>
      </w:r>
      <w:r w:rsidR="00C2656B">
        <w:rPr>
          <w:rFonts w:cs="Avenir Next"/>
          <w:spacing w:val="-1"/>
        </w:rPr>
        <w:t>where</w:t>
      </w:r>
      <w:r w:rsidR="00C2656B">
        <w:rPr>
          <w:rFonts w:cs="Avenir Next"/>
          <w:spacing w:val="1"/>
        </w:rPr>
        <w:t xml:space="preserve"> </w:t>
      </w:r>
      <w:r w:rsidR="00C2656B">
        <w:rPr>
          <w:rFonts w:cs="Avenir Next"/>
        </w:rPr>
        <w:t>the</w:t>
      </w:r>
      <w:r w:rsidR="00C2656B">
        <w:rPr>
          <w:rFonts w:cs="Avenir Next"/>
          <w:spacing w:val="1"/>
        </w:rPr>
        <w:t xml:space="preserve"> </w:t>
      </w:r>
      <w:r w:rsidR="00C2656B">
        <w:rPr>
          <w:rFonts w:cs="Avenir Next"/>
          <w:spacing w:val="-1"/>
        </w:rPr>
        <w:t>regulated</w:t>
      </w:r>
      <w:r w:rsidR="00C2656B">
        <w:rPr>
          <w:rFonts w:cs="Avenir Next"/>
          <w:spacing w:val="57"/>
        </w:rPr>
        <w:t xml:space="preserve"> </w:t>
      </w:r>
      <w:r w:rsidR="00C2656B">
        <w:t xml:space="preserve">price </w:t>
      </w:r>
      <w:r w:rsidR="00C2656B">
        <w:rPr>
          <w:spacing w:val="-1"/>
        </w:rPr>
        <w:t>path</w:t>
      </w:r>
      <w:r w:rsidR="00C2656B">
        <w:t xml:space="preserve"> allows </w:t>
      </w:r>
      <w:r w:rsidR="00C2656B">
        <w:rPr>
          <w:spacing w:val="-1"/>
        </w:rPr>
        <w:t>reasonable</w:t>
      </w:r>
      <w:r w:rsidR="00C2656B">
        <w:t xml:space="preserve"> </w:t>
      </w:r>
      <w:r w:rsidR="00C2656B">
        <w:rPr>
          <w:spacing w:val="-1"/>
        </w:rPr>
        <w:t>estimates</w:t>
      </w:r>
      <w:r w:rsidR="00C2656B">
        <w:t xml:space="preserve"> to be made.</w:t>
      </w:r>
      <w:r w:rsidR="00C2656B">
        <w:rPr>
          <w:spacing w:val="-9"/>
        </w:rPr>
        <w:t xml:space="preserve"> </w:t>
      </w:r>
      <w:r w:rsidR="00C2656B">
        <w:t>While comparisons between jurisdictions should</w:t>
      </w:r>
      <w:r w:rsidR="00C2656B">
        <w:rPr>
          <w:spacing w:val="27"/>
        </w:rPr>
        <w:t xml:space="preserve"> </w:t>
      </w:r>
      <w:r w:rsidR="00C2656B">
        <w:rPr>
          <w:rFonts w:cs="Avenir Next"/>
        </w:rPr>
        <w:t>always be</w:t>
      </w:r>
      <w:r w:rsidR="00C2656B">
        <w:rPr>
          <w:rFonts w:cs="Avenir Next"/>
          <w:spacing w:val="1"/>
        </w:rPr>
        <w:t xml:space="preserve"> </w:t>
      </w:r>
      <w:r w:rsidR="00C2656B">
        <w:rPr>
          <w:rFonts w:cs="Avenir Next"/>
          <w:spacing w:val="-2"/>
        </w:rPr>
        <w:t>treated</w:t>
      </w:r>
      <w:r w:rsidR="00C2656B">
        <w:rPr>
          <w:rFonts w:cs="Avenir Next"/>
          <w:spacing w:val="1"/>
        </w:rPr>
        <w:t xml:space="preserve"> </w:t>
      </w:r>
      <w:r w:rsidR="00C2656B">
        <w:rPr>
          <w:rFonts w:cs="Avenir Next"/>
        </w:rPr>
        <w:t xml:space="preserve">with </w:t>
      </w:r>
      <w:r w:rsidR="00C2656B">
        <w:rPr>
          <w:rFonts w:cs="Avenir Next"/>
          <w:spacing w:val="-1"/>
        </w:rPr>
        <w:t>caution,</w:t>
      </w:r>
      <w:r w:rsidR="00C2656B">
        <w:rPr>
          <w:spacing w:val="-1"/>
          <w:position w:val="7"/>
          <w:sz w:val="11"/>
          <w:szCs w:val="11"/>
        </w:rPr>
        <w:t>239</w:t>
      </w:r>
      <w:r w:rsidR="00C2656B">
        <w:rPr>
          <w:spacing w:val="23"/>
          <w:position w:val="7"/>
          <w:sz w:val="11"/>
          <w:szCs w:val="11"/>
        </w:rPr>
        <w:t xml:space="preserve"> </w:t>
      </w:r>
      <w:r w:rsidR="00C2656B">
        <w:rPr>
          <w:rFonts w:cs="Avenir Next"/>
        </w:rPr>
        <w:t>this</w:t>
      </w:r>
      <w:r w:rsidR="00C2656B">
        <w:rPr>
          <w:rFonts w:cs="Avenir Next"/>
          <w:spacing w:val="1"/>
        </w:rPr>
        <w:t xml:space="preserve"> </w:t>
      </w:r>
      <w:r w:rsidR="00C2656B">
        <w:rPr>
          <w:rFonts w:cs="Avenir Next"/>
        </w:rPr>
        <w:t>table</w:t>
      </w:r>
      <w:r w:rsidR="00C2656B">
        <w:rPr>
          <w:rFonts w:cs="Avenir Next"/>
          <w:spacing w:val="1"/>
        </w:rPr>
        <w:t xml:space="preserve"> </w:t>
      </w:r>
      <w:r w:rsidR="00C2656B">
        <w:rPr>
          <w:rFonts w:cs="Avenir Next"/>
        </w:rPr>
        <w:t xml:space="preserve">suggests </w:t>
      </w:r>
      <w:r w:rsidR="00C2656B">
        <w:rPr>
          <w:rFonts w:cs="Avenir Next"/>
          <w:spacing w:val="-1"/>
        </w:rPr>
        <w:t>that</w:t>
      </w:r>
      <w:r w:rsidR="00C2656B">
        <w:rPr>
          <w:rFonts w:cs="Avenir Next"/>
          <w:spacing w:val="1"/>
        </w:rPr>
        <w:t xml:space="preserve"> </w:t>
      </w:r>
      <w:r w:rsidR="00C2656B">
        <w:rPr>
          <w:rFonts w:cs="Avenir Next"/>
          <w:spacing w:val="-1"/>
        </w:rPr>
        <w:t>water</w:t>
      </w:r>
      <w:r w:rsidR="00C2656B">
        <w:rPr>
          <w:rFonts w:cs="Avenir Next"/>
          <w:spacing w:val="1"/>
        </w:rPr>
        <w:t xml:space="preserve"> </w:t>
      </w:r>
      <w:r w:rsidR="00C2656B">
        <w:rPr>
          <w:rFonts w:cs="Avenir Next"/>
        </w:rPr>
        <w:t>and</w:t>
      </w:r>
      <w:r w:rsidR="00C2656B">
        <w:rPr>
          <w:rFonts w:cs="Avenir Next"/>
          <w:spacing w:val="1"/>
        </w:rPr>
        <w:t xml:space="preserve"> </w:t>
      </w:r>
      <w:r w:rsidR="00C2656B">
        <w:rPr>
          <w:rFonts w:cs="Avenir Next"/>
          <w:spacing w:val="-1"/>
        </w:rPr>
        <w:t>sewerage</w:t>
      </w:r>
      <w:r w:rsidR="00C2656B">
        <w:rPr>
          <w:rFonts w:cs="Avenir Next"/>
        </w:rPr>
        <w:t xml:space="preserve"> bills</w:t>
      </w:r>
      <w:r w:rsidR="00C2656B">
        <w:rPr>
          <w:rFonts w:cs="Avenir Next"/>
          <w:spacing w:val="1"/>
        </w:rPr>
        <w:t xml:space="preserve"> </w:t>
      </w:r>
      <w:r w:rsidR="00C2656B">
        <w:rPr>
          <w:rFonts w:cs="Avenir Next"/>
        </w:rPr>
        <w:t>in</w:t>
      </w:r>
      <w:r w:rsidR="00C2656B">
        <w:rPr>
          <w:rFonts w:cs="Avenir Next"/>
          <w:spacing w:val="1"/>
        </w:rPr>
        <w:t xml:space="preserve"> </w:t>
      </w:r>
      <w:r w:rsidR="00C2656B">
        <w:rPr>
          <w:rFonts w:cs="Avenir Next"/>
        </w:rPr>
        <w:t>the</w:t>
      </w:r>
      <w:r w:rsidR="00C2656B">
        <w:rPr>
          <w:rFonts w:cs="Avenir Next"/>
          <w:spacing w:val="-4"/>
        </w:rPr>
        <w:t xml:space="preserve"> </w:t>
      </w:r>
      <w:r w:rsidR="00C2656B">
        <w:rPr>
          <w:rFonts w:cs="Avenir Next"/>
          <w:spacing w:val="-2"/>
        </w:rPr>
        <w:t>ACT</w:t>
      </w:r>
      <w:r w:rsidR="00C2656B">
        <w:rPr>
          <w:rFonts w:cs="Avenir Next"/>
          <w:spacing w:val="-4"/>
        </w:rPr>
        <w:t xml:space="preserve"> </w:t>
      </w:r>
      <w:r w:rsidR="00C2656B">
        <w:rPr>
          <w:rFonts w:cs="Avenir Next"/>
          <w:spacing w:val="-2"/>
        </w:rPr>
        <w:t>are</w:t>
      </w:r>
      <w:r w:rsidR="00C2656B">
        <w:rPr>
          <w:rFonts w:cs="Avenir Next"/>
          <w:spacing w:val="1"/>
        </w:rPr>
        <w:t xml:space="preserve"> </w:t>
      </w:r>
      <w:r w:rsidR="00C2656B">
        <w:rPr>
          <w:rFonts w:cs="Avenir Next"/>
        </w:rPr>
        <w:t>not</w:t>
      </w:r>
      <w:r w:rsidR="00C2656B">
        <w:rPr>
          <w:rFonts w:cs="Avenir Next"/>
          <w:spacing w:val="55"/>
        </w:rPr>
        <w:t xml:space="preserve"> </w:t>
      </w:r>
      <w:r w:rsidR="00C2656B">
        <w:t>out of</w:t>
      </w:r>
      <w:r w:rsidR="00C2656B">
        <w:rPr>
          <w:spacing w:val="4"/>
        </w:rPr>
        <w:t xml:space="preserve"> </w:t>
      </w:r>
      <w:r w:rsidR="00C2656B">
        <w:t>line with those payable in other jurisdictions.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
        <w:rPr>
          <w:rFonts w:ascii="Avenir Next" w:eastAsia="Avenir Next" w:hAnsi="Avenir Next" w:cs="Avenir Next"/>
          <w:sz w:val="28"/>
          <w:szCs w:val="28"/>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87" style="width:72.5pt;height:.5pt;mso-position-horizontal-relative:char;mso-position-vertical-relative:line" coordsize="1450,10">
            <v:group id="_x0000_s1788" style="position:absolute;left:5;top:5;width:1440;height:2" coordorigin="5,5" coordsize="1440,2">
              <v:shape id="_x0000_s1789" style="position:absolute;left:5;top:5;width:1440;height:2" coordorigin="5,5" coordsize="1440,0" path="m5,5r1440,e" filled="f" strokeweight=".5pt">
                <v:path arrowok="t"/>
              </v:shape>
            </v:group>
            <w10:wrap type="none"/>
            <w10:anchorlock/>
          </v:group>
        </w:pict>
      </w:r>
    </w:p>
    <w:p w:rsidR="00D96B91" w:rsidRDefault="00C2656B">
      <w:pPr>
        <w:numPr>
          <w:ilvl w:val="0"/>
          <w:numId w:val="31"/>
        </w:numPr>
        <w:tabs>
          <w:tab w:val="left" w:pos="1758"/>
        </w:tabs>
        <w:spacing w:before="45" w:line="192" w:lineRule="exact"/>
        <w:ind w:right="1513" w:hanging="510"/>
        <w:rPr>
          <w:rFonts w:ascii="Avenir Next" w:eastAsia="Avenir Next" w:hAnsi="Avenir Next" w:cs="Avenir Next"/>
          <w:sz w:val="16"/>
          <w:szCs w:val="16"/>
        </w:rPr>
      </w:pPr>
      <w:r>
        <w:rPr>
          <w:rFonts w:ascii="Avenir Next" w:eastAsia="Avenir Next" w:hAnsi="Avenir Next" w:cs="Avenir Next"/>
          <w:sz w:val="16"/>
          <w:szCs w:val="16"/>
        </w:rPr>
        <w:t xml:space="preserve">Eligible </w:t>
      </w:r>
      <w:r>
        <w:rPr>
          <w:rFonts w:ascii="Avenir Next" w:eastAsia="Avenir Next" w:hAnsi="Avenir Next" w:cs="Avenir Next"/>
          <w:spacing w:val="-1"/>
          <w:sz w:val="16"/>
          <w:szCs w:val="16"/>
        </w:rPr>
        <w:t>applications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are</w:t>
      </w:r>
      <w:r>
        <w:rPr>
          <w:rFonts w:ascii="Avenir Next" w:eastAsia="Avenir Next" w:hAnsi="Avenir Next" w:cs="Avenir Next"/>
          <w:sz w:val="16"/>
          <w:szCs w:val="16"/>
        </w:rPr>
        <w:t xml:space="preserve"> the primary holder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following concession </w:t>
      </w:r>
      <w:r>
        <w:rPr>
          <w:rFonts w:ascii="Avenir Next" w:eastAsia="Avenir Next" w:hAnsi="Avenir Next" w:cs="Avenir Next"/>
          <w:spacing w:val="-1"/>
          <w:sz w:val="16"/>
          <w:szCs w:val="16"/>
        </w:rPr>
        <w:t>cards: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Centrelink</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Pensioner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Concession</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Card,</w:t>
      </w:r>
      <w:r>
        <w:rPr>
          <w:rFonts w:ascii="Avenir Next" w:eastAsia="Avenir Next" w:hAnsi="Avenir Next" w:cs="Avenir Next"/>
          <w:spacing w:val="73"/>
          <w:sz w:val="16"/>
          <w:szCs w:val="16"/>
        </w:rPr>
        <w:t xml:space="preserve"> </w:t>
      </w:r>
      <w:r>
        <w:rPr>
          <w:rFonts w:ascii="Avenir Next" w:eastAsia="Avenir Next" w:hAnsi="Avenir Next" w:cs="Avenir Next"/>
          <w:spacing w:val="-1"/>
          <w:sz w:val="16"/>
          <w:szCs w:val="16"/>
        </w:rPr>
        <w:t>Centrelink</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Low</w:t>
      </w:r>
      <w:r>
        <w:rPr>
          <w:rFonts w:ascii="Avenir Next" w:eastAsia="Avenir Next" w:hAnsi="Avenir Next" w:cs="Avenir Next"/>
          <w:sz w:val="16"/>
          <w:szCs w:val="16"/>
        </w:rPr>
        <w:t xml:space="preserve"> Income </w:t>
      </w:r>
      <w:r>
        <w:rPr>
          <w:rFonts w:ascii="Avenir Next" w:eastAsia="Avenir Next" w:hAnsi="Avenir Next" w:cs="Avenir Next"/>
          <w:spacing w:val="-1"/>
          <w:sz w:val="16"/>
          <w:szCs w:val="16"/>
        </w:rPr>
        <w:t>Health</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Care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Card,</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Veteran’s</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Affairs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Pensioner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Card,</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 xml:space="preserve">DVA </w:t>
      </w:r>
      <w:r>
        <w:rPr>
          <w:rFonts w:ascii="Avenir Next" w:eastAsia="Avenir Next" w:hAnsi="Avenir Next" w:cs="Avenir Next"/>
          <w:sz w:val="16"/>
          <w:szCs w:val="16"/>
        </w:rPr>
        <w:t xml:space="preserve">Gold </w:t>
      </w:r>
      <w:r>
        <w:rPr>
          <w:rFonts w:ascii="Avenir Next" w:eastAsia="Avenir Next" w:hAnsi="Avenir Next" w:cs="Avenir Next"/>
          <w:spacing w:val="-2"/>
          <w:sz w:val="16"/>
          <w:szCs w:val="16"/>
        </w:rPr>
        <w:t>Card</w:t>
      </w:r>
      <w:r>
        <w:rPr>
          <w:rFonts w:ascii="Avenir Next" w:eastAsia="Avenir Next" w:hAnsi="Avenir Next" w:cs="Avenir Next"/>
          <w:sz w:val="16"/>
          <w:szCs w:val="16"/>
        </w:rPr>
        <w:t xml:space="preserve"> holders and asylum </w:t>
      </w:r>
      <w:r>
        <w:rPr>
          <w:rFonts w:ascii="Avenir Next" w:eastAsia="Avenir Next" w:hAnsi="Avenir Next" w:cs="Avenir Next"/>
          <w:spacing w:val="-1"/>
          <w:sz w:val="16"/>
          <w:szCs w:val="16"/>
        </w:rPr>
        <w:t>seekers.</w:t>
      </w:r>
    </w:p>
    <w:p w:rsidR="00D96B91" w:rsidRDefault="00D96B91">
      <w:pPr>
        <w:spacing w:before="12"/>
        <w:rPr>
          <w:rFonts w:ascii="Avenir Next" w:eastAsia="Avenir Next" w:hAnsi="Avenir Next" w:cs="Avenir Next"/>
          <w:sz w:val="10"/>
          <w:szCs w:val="10"/>
        </w:rPr>
      </w:pPr>
    </w:p>
    <w:p w:rsidR="00D96B91" w:rsidRDefault="00C2656B">
      <w:pPr>
        <w:numPr>
          <w:ilvl w:val="0"/>
          <w:numId w:val="31"/>
        </w:numPr>
        <w:tabs>
          <w:tab w:val="left" w:pos="1758"/>
        </w:tabs>
        <w:spacing w:line="192" w:lineRule="exact"/>
        <w:ind w:right="1246" w:hanging="510"/>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received</w:t>
      </w:r>
      <w:r>
        <w:rPr>
          <w:rFonts w:ascii="Avenir Next" w:eastAsia="Avenir Next" w:hAnsi="Avenir Next" w:cs="Avenir Next"/>
          <w:sz w:val="16"/>
          <w:szCs w:val="16"/>
        </w:rPr>
        <w:t xml:space="preserve"> a submission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Executive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Committee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Units Plan 999 (UP999) owners’ </w:t>
      </w:r>
      <w:r>
        <w:rPr>
          <w:rFonts w:ascii="Avenir Next" w:eastAsia="Avenir Next" w:hAnsi="Avenir Next" w:cs="Avenir Next"/>
          <w:spacing w:val="-1"/>
          <w:sz w:val="16"/>
          <w:szCs w:val="16"/>
        </w:rPr>
        <w:t>corporation,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which</w:t>
      </w:r>
      <w:r>
        <w:rPr>
          <w:rFonts w:ascii="Avenir Next" w:eastAsia="Avenir Next" w:hAnsi="Avenir Next" w:cs="Avenir Next"/>
          <w:spacing w:val="55"/>
          <w:sz w:val="16"/>
          <w:szCs w:val="16"/>
        </w:rPr>
        <w:t xml:space="preserve"> </w:t>
      </w:r>
      <w:r>
        <w:rPr>
          <w:rFonts w:ascii="Avenir Next" w:eastAsia="Avenir Next" w:hAnsi="Avenir Next" w:cs="Avenir Next"/>
          <w:spacing w:val="-1"/>
          <w:sz w:val="16"/>
          <w:szCs w:val="16"/>
        </w:rPr>
        <w:t>raised</w:t>
      </w:r>
      <w:r>
        <w:rPr>
          <w:rFonts w:ascii="Avenir Next" w:eastAsia="Avenir Next" w:hAnsi="Avenir Next" w:cs="Avenir Next"/>
          <w:sz w:val="16"/>
          <w:szCs w:val="16"/>
        </w:rPr>
        <w:t xml:space="preserve"> a number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concerns about the </w:t>
      </w:r>
      <w:r>
        <w:rPr>
          <w:rFonts w:ascii="Avenir Next" w:eastAsia="Avenir Next" w:hAnsi="Avenir Next" w:cs="Avenir Next"/>
          <w:spacing w:val="-1"/>
          <w:sz w:val="16"/>
          <w:szCs w:val="16"/>
        </w:rPr>
        <w:t>affordability</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bills in the</w:t>
      </w:r>
      <w:r>
        <w:rPr>
          <w:rFonts w:ascii="Avenir Next" w:eastAsia="Avenir Next" w:hAnsi="Avenir Next" w:cs="Avenir Next"/>
          <w:spacing w:val="-3"/>
          <w:sz w:val="16"/>
          <w:szCs w:val="16"/>
        </w:rPr>
        <w:t xml:space="preserve"> </w:t>
      </w:r>
      <w:r>
        <w:rPr>
          <w:rFonts w:ascii="Avenir Next" w:eastAsia="Avenir Next" w:hAnsi="Avenir Next" w:cs="Avenir Next"/>
          <w:spacing w:val="-5"/>
          <w:sz w:val="16"/>
          <w:szCs w:val="16"/>
        </w:rPr>
        <w:t>ACT.</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UP999 </w:t>
      </w:r>
      <w:r>
        <w:rPr>
          <w:rFonts w:ascii="Avenir Next" w:eastAsia="Avenir Next" w:hAnsi="Avenir Next" w:cs="Avenir Next"/>
          <w:spacing w:val="-1"/>
          <w:sz w:val="16"/>
          <w:szCs w:val="16"/>
        </w:rPr>
        <w:t>submitted</w:t>
      </w:r>
      <w:r>
        <w:rPr>
          <w:rFonts w:ascii="Avenir Next" w:eastAsia="Avenir Next" w:hAnsi="Avenir Next" w:cs="Avenir Next"/>
          <w:sz w:val="16"/>
          <w:szCs w:val="16"/>
        </w:rPr>
        <w:t xml:space="preserve"> its own</w:t>
      </w:r>
      <w:r>
        <w:rPr>
          <w:rFonts w:ascii="Avenir Next" w:eastAsia="Avenir Next" w:hAnsi="Avenir Next" w:cs="Avenir Next"/>
          <w:spacing w:val="61"/>
          <w:sz w:val="16"/>
          <w:szCs w:val="16"/>
        </w:rPr>
        <w:t xml:space="preserve"> </w:t>
      </w:r>
      <w:r>
        <w:rPr>
          <w:rFonts w:ascii="Avenir Next" w:eastAsia="Avenir Next" w:hAnsi="Avenir Next" w:cs="Avenir Next"/>
          <w:sz w:val="16"/>
          <w:szCs w:val="16"/>
        </w:rPr>
        <w:t xml:space="preserve">bills analysis to </w:t>
      </w:r>
      <w:r>
        <w:rPr>
          <w:rFonts w:ascii="Avenir Next" w:eastAsia="Avenir Next" w:hAnsi="Avenir Next" w:cs="Avenir Next"/>
          <w:spacing w:val="-1"/>
          <w:sz w:val="16"/>
          <w:szCs w:val="16"/>
        </w:rPr>
        <w:t>demonstrate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w:t>
      </w:r>
      <w:r>
        <w:rPr>
          <w:rFonts w:ascii="Avenir Next" w:eastAsia="Avenir Next" w:hAnsi="Avenir Next" w:cs="Avenir Next"/>
          <w:spacing w:val="-4"/>
          <w:sz w:val="16"/>
          <w:szCs w:val="16"/>
        </w:rPr>
        <w:t xml:space="preserve">“ACT </w:t>
      </w:r>
      <w:r>
        <w:rPr>
          <w:rFonts w:ascii="Avenir Next" w:eastAsia="Avenir Next" w:hAnsi="Avenir Next" w:cs="Avenir Next"/>
          <w:sz w:val="16"/>
          <w:szCs w:val="16"/>
        </w:rPr>
        <w:t xml:space="preserve">has the highest </w:t>
      </w:r>
      <w:r>
        <w:rPr>
          <w:rFonts w:ascii="Avenir Next" w:eastAsia="Avenir Next" w:hAnsi="Avenir Next" w:cs="Avenir Next"/>
          <w:spacing w:val="-1"/>
          <w:sz w:val="16"/>
          <w:szCs w:val="16"/>
        </w:rPr>
        <w:t>charges”</w:t>
      </w:r>
      <w:r>
        <w:rPr>
          <w:rFonts w:ascii="Avenir Next" w:eastAsia="Avenir Next" w:hAnsi="Avenir Next" w:cs="Avenir Next"/>
          <w:sz w:val="16"/>
          <w:szCs w:val="16"/>
        </w:rPr>
        <w:t xml:space="preserve"> when </w:t>
      </w:r>
      <w:r>
        <w:rPr>
          <w:rFonts w:ascii="Avenir Next" w:eastAsia="Avenir Next" w:hAnsi="Avenir Next" w:cs="Avenir Next"/>
          <w:spacing w:val="-1"/>
          <w:sz w:val="16"/>
          <w:szCs w:val="16"/>
        </w:rPr>
        <w:t>compared</w:t>
      </w:r>
      <w:r>
        <w:rPr>
          <w:rFonts w:ascii="Avenir Next" w:eastAsia="Avenir Next" w:hAnsi="Avenir Next" w:cs="Avenir Next"/>
          <w:sz w:val="16"/>
          <w:szCs w:val="16"/>
        </w:rPr>
        <w:t xml:space="preserve"> to other major</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Australian</w:t>
      </w:r>
      <w:r>
        <w:rPr>
          <w:rFonts w:ascii="Avenir Next" w:eastAsia="Avenir Next" w:hAnsi="Avenir Next" w:cs="Avenir Next"/>
          <w:sz w:val="16"/>
          <w:szCs w:val="16"/>
        </w:rPr>
        <w:t xml:space="preserve"> utilities.</w:t>
      </w:r>
      <w:r>
        <w:rPr>
          <w:rFonts w:ascii="Avenir Next" w:eastAsia="Avenir Next" w:hAnsi="Avenir Next" w:cs="Avenir Next"/>
          <w:spacing w:val="55"/>
          <w:sz w:val="16"/>
          <w:szCs w:val="16"/>
        </w:rPr>
        <w:t xml:space="preserve"> </w:t>
      </w:r>
      <w:r>
        <w:rPr>
          <w:rFonts w:ascii="Avenir Next" w:eastAsia="Avenir Next" w:hAnsi="Avenir Next" w:cs="Avenir Next"/>
          <w:spacing w:val="-1"/>
          <w:sz w:val="16"/>
          <w:szCs w:val="16"/>
        </w:rPr>
        <w:t>However,</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in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this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analysis,</w:t>
      </w:r>
      <w:r>
        <w:rPr>
          <w:rFonts w:ascii="Avenir Next" w:eastAsia="Avenir Next" w:hAnsi="Avenir Next" w:cs="Avenir Next"/>
          <w:spacing w:val="-6"/>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bills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in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four</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five</w:t>
      </w:r>
      <w:r>
        <w:rPr>
          <w:rFonts w:ascii="Avenir Next" w:eastAsia="Avenir Next" w:hAnsi="Avenir Next" w:cs="Avenir Next"/>
          <w:spacing w:val="-1"/>
          <w:sz w:val="16"/>
          <w:szCs w:val="16"/>
        </w:rPr>
        <w:t xml:space="preserve"> comparative </w:t>
      </w:r>
      <w:r>
        <w:rPr>
          <w:rFonts w:ascii="Avenir Next" w:eastAsia="Avenir Next" w:hAnsi="Avenir Next" w:cs="Avenir Next"/>
          <w:sz w:val="16"/>
          <w:szCs w:val="16"/>
        </w:rPr>
        <w:t>jurisdictions</w:t>
      </w:r>
      <w:r>
        <w:rPr>
          <w:rFonts w:ascii="Avenir Next" w:eastAsia="Avenir Next" w:hAnsi="Avenir Next" w:cs="Avenir Next"/>
          <w:spacing w:val="-1"/>
          <w:sz w:val="16"/>
          <w:szCs w:val="16"/>
        </w:rPr>
        <w:t xml:space="preserve"> were underestimated.</w:t>
      </w:r>
      <w:r>
        <w:rPr>
          <w:rFonts w:ascii="Avenir Next" w:eastAsia="Avenir Next" w:hAnsi="Avenir Next" w:cs="Avenir Next"/>
          <w:spacing w:val="-10"/>
          <w:sz w:val="16"/>
          <w:szCs w:val="16"/>
        </w:rPr>
        <w:t xml:space="preserve"> </w:t>
      </w:r>
      <w:r>
        <w:rPr>
          <w:rFonts w:ascii="Avenir Next" w:eastAsia="Avenir Next" w:hAnsi="Avenir Next" w:cs="Avenir Next"/>
          <w:spacing w:val="-1"/>
          <w:sz w:val="16"/>
          <w:szCs w:val="16"/>
        </w:rPr>
        <w:t xml:space="preserve">The </w:t>
      </w:r>
      <w:r>
        <w:rPr>
          <w:rFonts w:ascii="Avenir Next" w:eastAsia="Avenir Next" w:hAnsi="Avenir Next" w:cs="Avenir Next"/>
          <w:spacing w:val="-2"/>
          <w:sz w:val="16"/>
          <w:szCs w:val="16"/>
        </w:rPr>
        <w:t>Panel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has</w:t>
      </w:r>
      <w:r>
        <w:rPr>
          <w:rFonts w:ascii="Avenir Next" w:eastAsia="Avenir Next" w:hAnsi="Avenir Next" w:cs="Avenir Next"/>
          <w:spacing w:val="-1"/>
          <w:sz w:val="16"/>
          <w:szCs w:val="16"/>
        </w:rPr>
        <w:t xml:space="preserve"> therefore</w:t>
      </w:r>
      <w:r>
        <w:rPr>
          <w:rFonts w:ascii="Avenir Next" w:eastAsia="Avenir Next" w:hAnsi="Avenir Next" w:cs="Avenir Next"/>
          <w:spacing w:val="43"/>
          <w:sz w:val="16"/>
          <w:szCs w:val="16"/>
        </w:rPr>
        <w:t xml:space="preserve"> </w:t>
      </w:r>
      <w:r>
        <w:rPr>
          <w:rFonts w:ascii="Avenir Next" w:eastAsia="Avenir Next" w:hAnsi="Avenir Next" w:cs="Avenir Next"/>
          <w:sz w:val="16"/>
          <w:szCs w:val="16"/>
        </w:rPr>
        <w:t xml:space="preserve">conducted its own </w:t>
      </w:r>
      <w:r>
        <w:rPr>
          <w:rFonts w:ascii="Avenir Next" w:eastAsia="Avenir Next" w:hAnsi="Avenir Next" w:cs="Avenir Next"/>
          <w:spacing w:val="-1"/>
          <w:sz w:val="16"/>
          <w:szCs w:val="16"/>
        </w:rPr>
        <w:t>comparative</w:t>
      </w:r>
      <w:r>
        <w:rPr>
          <w:rFonts w:ascii="Avenir Next" w:eastAsia="Avenir Next" w:hAnsi="Avenir Next" w:cs="Avenir Next"/>
          <w:sz w:val="16"/>
          <w:szCs w:val="16"/>
        </w:rPr>
        <w:t xml:space="preserve"> analysis.</w:t>
      </w:r>
    </w:p>
    <w:p w:rsidR="00D96B91" w:rsidRDefault="00C2656B">
      <w:pPr>
        <w:spacing w:before="56" w:line="192" w:lineRule="exact"/>
        <w:ind w:left="1757" w:right="1640"/>
        <w:rPr>
          <w:rFonts w:ascii="Avenir Next" w:eastAsia="Avenir Next" w:hAnsi="Avenir Next" w:cs="Avenir Next"/>
          <w:sz w:val="16"/>
          <w:szCs w:val="16"/>
        </w:rPr>
      </w:pPr>
      <w:r>
        <w:rPr>
          <w:rFonts w:ascii="Avenir Next"/>
          <w:spacing w:val="-1"/>
          <w:sz w:val="16"/>
        </w:rPr>
        <w:t>Executive</w:t>
      </w:r>
      <w:r>
        <w:rPr>
          <w:rFonts w:ascii="Avenir Next"/>
          <w:sz w:val="16"/>
        </w:rPr>
        <w:t xml:space="preserve"> </w:t>
      </w:r>
      <w:r>
        <w:rPr>
          <w:rFonts w:ascii="Avenir Next"/>
          <w:spacing w:val="-1"/>
          <w:sz w:val="16"/>
        </w:rPr>
        <w:t>Committee</w:t>
      </w:r>
      <w:r>
        <w:rPr>
          <w:rFonts w:ascii="Avenir Next"/>
          <w:sz w:val="16"/>
        </w:rPr>
        <w:t xml:space="preserve"> UP999,</w:t>
      </w:r>
      <w:r>
        <w:rPr>
          <w:rFonts w:ascii="Avenir Next"/>
          <w:spacing w:val="-5"/>
          <w:sz w:val="16"/>
        </w:rPr>
        <w:t xml:space="preserve"> </w:t>
      </w:r>
      <w:r>
        <w:rPr>
          <w:rFonts w:ascii="Avenir Next"/>
          <w:sz w:val="16"/>
        </w:rPr>
        <w:t xml:space="preserve">Submission on the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ICRC </w:t>
      </w:r>
      <w:r>
        <w:rPr>
          <w:rFonts w:ascii="Avenir Next"/>
          <w:spacing w:val="-2"/>
          <w:sz w:val="16"/>
        </w:rPr>
        <w:t>Price</w:t>
      </w:r>
      <w:r>
        <w:rPr>
          <w:rFonts w:ascii="Avenir Next"/>
          <w:sz w:val="16"/>
        </w:rPr>
        <w:t xml:space="preserve"> </w:t>
      </w:r>
      <w:r>
        <w:rPr>
          <w:rFonts w:ascii="Avenir Next"/>
          <w:spacing w:val="-1"/>
          <w:sz w:val="16"/>
        </w:rPr>
        <w:t>Direction</w:t>
      </w:r>
      <w:r>
        <w:rPr>
          <w:rFonts w:ascii="Avenir Next"/>
          <w:sz w:val="16"/>
        </w:rPr>
        <w:t xml:space="preserve"> for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pacing w:val="79"/>
          <w:sz w:val="16"/>
        </w:rPr>
        <w:t xml:space="preserve"> </w:t>
      </w:r>
      <w:r>
        <w:rPr>
          <w:rFonts w:ascii="Avenir Next"/>
          <w:sz w:val="16"/>
        </w:rPr>
        <w:t>15</w:t>
      </w:r>
      <w:r>
        <w:rPr>
          <w:rFonts w:ascii="Avenir Next"/>
          <w:spacing w:val="-3"/>
          <w:sz w:val="16"/>
        </w:rPr>
        <w:t xml:space="preserve"> </w:t>
      </w:r>
      <w:r>
        <w:rPr>
          <w:rFonts w:ascii="Avenir Next"/>
          <w:sz w:val="16"/>
        </w:rPr>
        <w:t>August 2015</w:t>
      </w:r>
    </w:p>
    <w:p w:rsidR="00D96B91" w:rsidRDefault="00D96B91">
      <w:pPr>
        <w:spacing w:before="12"/>
        <w:rPr>
          <w:rFonts w:ascii="Avenir Next" w:eastAsia="Avenir Next" w:hAnsi="Avenir Next" w:cs="Avenir Next"/>
          <w:sz w:val="10"/>
          <w:szCs w:val="10"/>
        </w:rPr>
      </w:pPr>
    </w:p>
    <w:p w:rsidR="00D96B91" w:rsidRDefault="00C2656B">
      <w:pPr>
        <w:numPr>
          <w:ilvl w:val="0"/>
          <w:numId w:val="31"/>
        </w:numPr>
        <w:tabs>
          <w:tab w:val="left" w:pos="1758"/>
        </w:tabs>
        <w:spacing w:line="192" w:lineRule="exact"/>
        <w:ind w:right="1511" w:hanging="510"/>
        <w:rPr>
          <w:rFonts w:ascii="Avenir Next" w:eastAsia="Avenir Next" w:hAnsi="Avenir Next" w:cs="Avenir Next"/>
          <w:sz w:val="16"/>
          <w:szCs w:val="16"/>
        </w:rPr>
      </w:pPr>
      <w:r>
        <w:rPr>
          <w:rFonts w:ascii="Avenir Next"/>
          <w:spacing w:val="-1"/>
          <w:sz w:val="16"/>
        </w:rPr>
        <w:t>This</w:t>
      </w:r>
      <w:r>
        <w:rPr>
          <w:rFonts w:ascii="Avenir Next"/>
          <w:sz w:val="16"/>
        </w:rPr>
        <w:t xml:space="preserve"> is because bill </w:t>
      </w:r>
      <w:r>
        <w:rPr>
          <w:rFonts w:ascii="Avenir Next"/>
          <w:spacing w:val="-1"/>
          <w:sz w:val="16"/>
        </w:rPr>
        <w:t>calculations</w:t>
      </w:r>
      <w:r>
        <w:rPr>
          <w:rFonts w:ascii="Avenir Next"/>
          <w:sz w:val="16"/>
        </w:rPr>
        <w:t xml:space="preserve"> </w:t>
      </w:r>
      <w:r>
        <w:rPr>
          <w:rFonts w:ascii="Avenir Next"/>
          <w:spacing w:val="-1"/>
          <w:sz w:val="16"/>
        </w:rPr>
        <w:t>rely</w:t>
      </w:r>
      <w:r>
        <w:rPr>
          <w:rFonts w:ascii="Avenir Next"/>
          <w:sz w:val="16"/>
        </w:rPr>
        <w:t xml:space="preserve"> on many assumptions about a </w:t>
      </w:r>
      <w:r>
        <w:rPr>
          <w:rFonts w:ascii="Avenir Next"/>
          <w:spacing w:val="-1"/>
          <w:sz w:val="16"/>
        </w:rPr>
        <w:t>range</w:t>
      </w:r>
      <w:r>
        <w:rPr>
          <w:rFonts w:ascii="Avenir Next"/>
          <w:sz w:val="16"/>
        </w:rPr>
        <w:t xml:space="preserve"> of</w:t>
      </w:r>
      <w:r>
        <w:rPr>
          <w:rFonts w:ascii="Avenir Next"/>
          <w:spacing w:val="3"/>
          <w:sz w:val="16"/>
        </w:rPr>
        <w:t xml:space="preserve"> </w:t>
      </w:r>
      <w:r>
        <w:rPr>
          <w:rFonts w:ascii="Avenir Next"/>
          <w:sz w:val="16"/>
        </w:rPr>
        <w:t xml:space="preserve">diverse </w:t>
      </w:r>
      <w:r>
        <w:rPr>
          <w:rFonts w:ascii="Avenir Next"/>
          <w:spacing w:val="-1"/>
          <w:sz w:val="16"/>
        </w:rPr>
        <w:t>parameters,</w:t>
      </w:r>
      <w:r>
        <w:rPr>
          <w:rFonts w:ascii="Avenir Next"/>
          <w:spacing w:val="-5"/>
          <w:sz w:val="16"/>
        </w:rPr>
        <w:t xml:space="preserve"> </w:t>
      </w:r>
      <w:r>
        <w:rPr>
          <w:rFonts w:ascii="Avenir Next"/>
          <w:sz w:val="16"/>
        </w:rPr>
        <w:t>including consumption</w:t>
      </w:r>
      <w:r>
        <w:rPr>
          <w:rFonts w:ascii="Avenir Next"/>
          <w:spacing w:val="49"/>
          <w:sz w:val="16"/>
        </w:rPr>
        <w:t xml:space="preserve"> </w:t>
      </w:r>
      <w:r>
        <w:rPr>
          <w:rFonts w:ascii="Avenir Next"/>
          <w:spacing w:val="-1"/>
          <w:sz w:val="16"/>
        </w:rPr>
        <w:t>profiles,</w:t>
      </w:r>
      <w:r>
        <w:rPr>
          <w:rFonts w:ascii="Avenir Next"/>
          <w:spacing w:val="-6"/>
          <w:sz w:val="16"/>
        </w:rPr>
        <w:t xml:space="preserve"> </w:t>
      </w:r>
      <w:r>
        <w:rPr>
          <w:rFonts w:ascii="Avenir Next"/>
          <w:spacing w:val="-1"/>
          <w:sz w:val="16"/>
        </w:rPr>
        <w:t>property</w:t>
      </w:r>
      <w:r>
        <w:rPr>
          <w:rFonts w:ascii="Avenir Next"/>
          <w:sz w:val="16"/>
        </w:rPr>
        <w:t xml:space="preserve"> values</w:t>
      </w:r>
      <w:r>
        <w:rPr>
          <w:rFonts w:ascii="Avenir Next"/>
          <w:spacing w:val="-1"/>
          <w:sz w:val="16"/>
        </w:rPr>
        <w:t xml:space="preserve"> </w:t>
      </w:r>
      <w:r>
        <w:rPr>
          <w:rFonts w:ascii="Avenir Next"/>
          <w:sz w:val="16"/>
        </w:rPr>
        <w:t>and</w:t>
      </w:r>
      <w:r>
        <w:rPr>
          <w:rFonts w:ascii="Avenir Next"/>
          <w:spacing w:val="-1"/>
          <w:sz w:val="16"/>
        </w:rPr>
        <w:t xml:space="preserve"> </w:t>
      </w:r>
      <w:r>
        <w:rPr>
          <w:rFonts w:ascii="Avenir Next"/>
          <w:sz w:val="16"/>
        </w:rPr>
        <w:t xml:space="preserve">the </w:t>
      </w:r>
      <w:r>
        <w:rPr>
          <w:rFonts w:ascii="Avenir Next"/>
          <w:spacing w:val="-1"/>
          <w:sz w:val="16"/>
        </w:rPr>
        <w:t xml:space="preserve">operation </w:t>
      </w:r>
      <w:r>
        <w:rPr>
          <w:rFonts w:ascii="Avenir Next"/>
          <w:sz w:val="16"/>
        </w:rPr>
        <w:t>of</w:t>
      </w:r>
      <w:r>
        <w:rPr>
          <w:rFonts w:ascii="Avenir Next"/>
          <w:spacing w:val="3"/>
          <w:sz w:val="16"/>
        </w:rPr>
        <w:t xml:space="preserve"> </w:t>
      </w:r>
      <w:r>
        <w:rPr>
          <w:rFonts w:ascii="Avenir Next"/>
          <w:spacing w:val="-1"/>
          <w:sz w:val="16"/>
        </w:rPr>
        <w:t xml:space="preserve">pass-through </w:t>
      </w:r>
      <w:r>
        <w:rPr>
          <w:rFonts w:ascii="Avenir Next"/>
          <w:sz w:val="16"/>
        </w:rPr>
        <w:t>mechanisms.</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212" w:name="_bookmark137"/>
      <w:bookmarkEnd w:id="212"/>
      <w:r>
        <w:rPr>
          <w:rFonts w:ascii="Avenir Next"/>
          <w:b/>
          <w:spacing w:val="-4"/>
          <w:sz w:val="20"/>
        </w:rPr>
        <w:t>Table</w:t>
      </w:r>
      <w:r>
        <w:rPr>
          <w:rFonts w:ascii="Avenir Next"/>
          <w:b/>
          <w:sz w:val="20"/>
        </w:rPr>
        <w:t xml:space="preserve"> 15.2: Major utility annual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bills ($,</w:t>
      </w:r>
      <w:r>
        <w:rPr>
          <w:rFonts w:ascii="Avenir Next"/>
          <w:b/>
          <w:spacing w:val="-7"/>
          <w:sz w:val="20"/>
        </w:rPr>
        <w:t xml:space="preserve"> </w:t>
      </w:r>
      <w:r>
        <w:rPr>
          <w:rFonts w:ascii="Avenir Next"/>
          <w:b/>
          <w:sz w:val="20"/>
        </w:rPr>
        <w:t>nominal)</w:t>
      </w:r>
    </w:p>
    <w:p w:rsidR="00D96B91" w:rsidRDefault="00D96B91">
      <w:pPr>
        <w:spacing w:before="13"/>
        <w:rPr>
          <w:rFonts w:ascii="Avenir Next" w:eastAsia="Avenir Next" w:hAnsi="Avenir Next" w:cs="Avenir Next"/>
          <w:b/>
          <w:bCs/>
          <w:sz w:val="12"/>
          <w:szCs w:val="12"/>
        </w:rPr>
      </w:pPr>
    </w:p>
    <w:tbl>
      <w:tblPr>
        <w:tblW w:w="0" w:type="auto"/>
        <w:tblInd w:w="1247" w:type="dxa"/>
        <w:tblLayout w:type="fixed"/>
        <w:tblCellMar>
          <w:left w:w="0" w:type="dxa"/>
          <w:right w:w="0" w:type="dxa"/>
        </w:tblCellMar>
        <w:tblLook w:val="01E0"/>
      </w:tblPr>
      <w:tblGrid>
        <w:gridCol w:w="2263"/>
        <w:gridCol w:w="1190"/>
        <w:gridCol w:w="1190"/>
        <w:gridCol w:w="1190"/>
        <w:gridCol w:w="1190"/>
        <w:gridCol w:w="1190"/>
        <w:gridCol w:w="1190"/>
      </w:tblGrid>
      <w:tr w:rsidR="00D96B91">
        <w:trPr>
          <w:trHeight w:hRule="exact" w:val="407"/>
        </w:trPr>
        <w:tc>
          <w:tcPr>
            <w:tcW w:w="226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NWC</w:t>
            </w:r>
          </w:p>
        </w:tc>
        <w:tc>
          <w:tcPr>
            <w:tcW w:w="5949" w:type="dxa"/>
            <w:gridSpan w:val="5"/>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2"/>
                <w:sz w:val="18"/>
              </w:rPr>
              <w:t>Panel</w:t>
            </w:r>
            <w:r>
              <w:rPr>
                <w:rFonts w:ascii="Avenir Next Condensed"/>
                <w:b/>
                <w:color w:val="FFFFFF"/>
                <w:sz w:val="18"/>
              </w:rPr>
              <w:t xml:space="preserve"> Estimates</w:t>
            </w:r>
          </w:p>
        </w:tc>
      </w:tr>
      <w:tr w:rsidR="00D96B91">
        <w:trPr>
          <w:trHeight w:hRule="exact" w:val="407"/>
        </w:trPr>
        <w:tc>
          <w:tcPr>
            <w:tcW w:w="226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Utility</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1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98"/>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26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TasWater</w:t>
            </w:r>
          </w:p>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943</w:t>
            </w:r>
          </w:p>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994</w:t>
            </w:r>
          </w:p>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1,047</w:t>
            </w:r>
          </w:p>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City</w:t>
            </w:r>
            <w:r>
              <w:rPr>
                <w:rFonts w:ascii="Avenir Next Condensed"/>
                <w:spacing w:val="-3"/>
                <w:sz w:val="18"/>
              </w:rPr>
              <w:t xml:space="preserve"> </w:t>
            </w:r>
            <w:r>
              <w:rPr>
                <w:rFonts w:ascii="Avenir Next Condensed"/>
                <w:spacing w:val="-1"/>
                <w:sz w:val="18"/>
              </w:rPr>
              <w:t>West</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0"/>
              <w:jc w:val="center"/>
              <w:rPr>
                <w:rFonts w:ascii="Avenir Next Condensed" w:eastAsia="Avenir Next Condensed" w:hAnsi="Avenir Next Condensed" w:cs="Avenir Next Condensed"/>
                <w:sz w:val="18"/>
                <w:szCs w:val="18"/>
              </w:rPr>
            </w:pPr>
            <w:r>
              <w:rPr>
                <w:rFonts w:ascii="Avenir Next Condensed"/>
                <w:sz w:val="18"/>
              </w:rPr>
              <w:t>963</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1,165</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1,067</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1,091</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1,119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4"/>
              <w:rPr>
                <w:rFonts w:ascii="Avenir Next Condensed" w:eastAsia="Avenir Next Condensed" w:hAnsi="Avenir Next Condensed" w:cs="Avenir Next Condensed"/>
                <w:sz w:val="18"/>
                <w:szCs w:val="18"/>
              </w:rPr>
            </w:pPr>
            <w:r>
              <w:rPr>
                <w:rFonts w:ascii="Avenir Next Condensed"/>
                <w:sz w:val="18"/>
              </w:rPr>
              <w:t>1,147</w:t>
            </w:r>
          </w:p>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1,026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1,049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1,079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1,075</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1,075</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Barwon</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1,154</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1,164</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1,129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1,109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1,109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1,110</w:t>
            </w:r>
          </w:p>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5"/>
              <w:rPr>
                <w:rFonts w:ascii="Avenir Next Condensed" w:eastAsia="Avenir Next Condensed" w:hAnsi="Avenir Next Condensed" w:cs="Avenir Next Condensed"/>
                <w:sz w:val="18"/>
                <w:szCs w:val="18"/>
              </w:rPr>
            </w:pPr>
            <w:r>
              <w:rPr>
                <w:rFonts w:ascii="Avenir Next Condensed"/>
                <w:sz w:val="18"/>
              </w:rPr>
              <w:t>1,116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1,130</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1,153</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1,120</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627"/>
        </w:trPr>
        <w:tc>
          <w:tcPr>
            <w:tcW w:w="2263"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12" w:line="220" w:lineRule="exact"/>
              <w:ind w:left="110" w:right="45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(ICRC / </w:t>
            </w:r>
            <w:r>
              <w:rPr>
                <w:rFonts w:ascii="Avenir Next Condensed" w:eastAsia="Avenir Next Condensed" w:hAnsi="Avenir Next Condensed" w:cs="Avenir Next Condensed"/>
                <w:spacing w:val="-2"/>
                <w:sz w:val="18"/>
                <w:szCs w:val="18"/>
              </w:rPr>
              <w:t>Panel’s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draft</w:t>
            </w:r>
            <w:r>
              <w:rPr>
                <w:rFonts w:ascii="Avenir Next Condensed" w:eastAsia="Avenir Next Condensed" w:hAnsi="Avenir Next Condensed" w:cs="Avenir Next Condensed"/>
                <w:spacing w:val="22"/>
                <w:sz w:val="18"/>
                <w:szCs w:val="18"/>
              </w:rPr>
              <w:t xml:space="preserve"> </w:t>
            </w:r>
            <w:r>
              <w:rPr>
                <w:rFonts w:ascii="Avenir Next Condensed" w:eastAsia="Avenir Next Condensed" w:hAnsi="Avenir Next Condensed" w:cs="Avenir Next Condensed"/>
                <w:sz w:val="18"/>
                <w:szCs w:val="18"/>
              </w:rPr>
              <w:t xml:space="preserve">decision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2015-16)</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1,209</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1,125</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1,160</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1,151</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1,164</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1,178</w:t>
            </w:r>
          </w:p>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1"/>
              <w:rPr>
                <w:rFonts w:ascii="Avenir Next Condensed" w:eastAsia="Avenir Next Condensed" w:hAnsi="Avenir Next Condensed" w:cs="Avenir Next Condensed"/>
                <w:sz w:val="18"/>
                <w:szCs w:val="18"/>
              </w:rPr>
            </w:pPr>
            <w:r>
              <w:rPr>
                <w:rFonts w:ascii="Avenir Next Condensed"/>
                <w:sz w:val="18"/>
              </w:rPr>
              <w:t>South East</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1,021</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1,279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1,195</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1,225</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1,256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1,287</w:t>
            </w:r>
          </w:p>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1"/>
              <w:rPr>
                <w:rFonts w:ascii="Avenir Next Condensed" w:eastAsia="Avenir Next Condensed" w:hAnsi="Avenir Next Condensed" w:cs="Avenir Next Condensed"/>
                <w:sz w:val="18"/>
                <w:szCs w:val="18"/>
              </w:rPr>
            </w:pPr>
            <w:r>
              <w:rPr>
                <w:rFonts w:ascii="Avenir Next Condensed"/>
                <w:sz w:val="18"/>
              </w:rPr>
              <w:t xml:space="preserve">WC </w:t>
            </w:r>
            <w:r>
              <w:rPr>
                <w:rFonts w:ascii="Avenir Next Condensed"/>
                <w:spacing w:val="-1"/>
                <w:sz w:val="18"/>
              </w:rPr>
              <w:t>(Perth)</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1,120</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1,249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1,228</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2"/>
              <w:rPr>
                <w:rFonts w:ascii="Avenir Next Condensed" w:eastAsia="Avenir Next Condensed" w:hAnsi="Avenir Next Condensed" w:cs="Avenir Next Condensed"/>
                <w:sz w:val="18"/>
                <w:szCs w:val="18"/>
              </w:rPr>
            </w:pPr>
            <w:r>
              <w:rPr>
                <w:rFonts w:ascii="Avenir Next Condensed"/>
                <w:spacing w:val="-3"/>
                <w:sz w:val="18"/>
              </w:rPr>
              <w:t>Yarra</w:t>
            </w:r>
            <w:r>
              <w:rPr>
                <w:rFonts w:ascii="Avenir Next Condensed"/>
                <w:spacing w:val="-4"/>
                <w:sz w:val="18"/>
              </w:rPr>
              <w:t xml:space="preserve"> </w:t>
            </w:r>
            <w:r>
              <w:rPr>
                <w:rFonts w:ascii="Avenir Next Condensed"/>
                <w:spacing w:val="-1"/>
                <w:sz w:val="18"/>
              </w:rPr>
              <w:t>Valley</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1,106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1,366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1,264</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2"/>
              <w:rPr>
                <w:rFonts w:ascii="Avenir Next Condensed" w:eastAsia="Avenir Next Condensed" w:hAnsi="Avenir Next Condensed" w:cs="Avenir Next Condensed"/>
                <w:sz w:val="18"/>
                <w:szCs w:val="18"/>
              </w:rPr>
            </w:pPr>
            <w:r>
              <w:rPr>
                <w:rFonts w:ascii="Avenir Next Condensed"/>
                <w:sz w:val="18"/>
              </w:rPr>
              <w:t>Queensland Urban Utilities</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1,218</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1,267</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1,353</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112"/>
              <w:rPr>
                <w:rFonts w:ascii="Avenir Next Condensed" w:eastAsia="Avenir Next Condensed" w:hAnsi="Avenir Next Condensed" w:cs="Avenir Next Condensed"/>
                <w:sz w:val="18"/>
                <w:szCs w:val="18"/>
              </w:rPr>
            </w:pPr>
            <w:r>
              <w:rPr>
                <w:rFonts w:ascii="Avenir Next Condensed"/>
                <w:spacing w:val="-1"/>
                <w:sz w:val="18"/>
              </w:rPr>
              <w:t>ACTEW</w:t>
            </w:r>
            <w:r>
              <w:rPr>
                <w:rFonts w:ascii="Avenir Next Condensed"/>
                <w:spacing w:val="-3"/>
                <w:sz w:val="18"/>
              </w:rPr>
              <w:t xml:space="preserve"> </w:t>
            </w:r>
            <w:r>
              <w:rPr>
                <w:rFonts w:ascii="Avenir Next Condensed"/>
                <w:sz w:val="18"/>
              </w:rPr>
              <w:t xml:space="preserve">SOFC </w:t>
            </w:r>
            <w:r>
              <w:rPr>
                <w:rFonts w:ascii="Avenir Next Condensed"/>
                <w:spacing w:val="-1"/>
                <w:sz w:val="18"/>
              </w:rPr>
              <w:t>proposal</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1,332</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1,365</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7"/>
              <w:rPr>
                <w:rFonts w:ascii="Avenir Next Condensed" w:eastAsia="Avenir Next Condensed" w:hAnsi="Avenir Next Condensed" w:cs="Avenir Next Condensed"/>
                <w:sz w:val="18"/>
                <w:szCs w:val="18"/>
              </w:rPr>
            </w:pPr>
            <w:r>
              <w:rPr>
                <w:rFonts w:ascii="Avenir Next Condensed"/>
                <w:sz w:val="18"/>
              </w:rPr>
              <w:t>1,399</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1,434</w:t>
            </w:r>
          </w:p>
        </w:tc>
        <w:tc>
          <w:tcPr>
            <w:tcW w:w="1190" w:type="dxa"/>
            <w:tcBorders>
              <w:top w:val="single" w:sz="4" w:space="0" w:color="17A7E0"/>
              <w:left w:val="single" w:sz="4" w:space="0" w:color="17A7E0"/>
              <w:bottom w:val="single" w:sz="4" w:space="0" w:color="17A7E0"/>
              <w:right w:val="single" w:sz="4" w:space="0" w:color="17A7E0"/>
            </w:tcBorders>
            <w:shd w:val="clear" w:color="auto" w:fill="DCDDD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1,470</w:t>
            </w:r>
          </w:p>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2"/>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r>
              <w:rPr>
                <w:rFonts w:ascii="Avenir Next Condensed"/>
                <w:sz w:val="18"/>
              </w:rPr>
              <w:t xml:space="preserve"> (Adelaide)</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1,387</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1,344</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1,369</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rPr>
                <w:rFonts w:ascii="Avenir Next Condensed" w:eastAsia="Avenir Next Condensed" w:hAnsi="Avenir Next Condensed" w:cs="Avenir Next Condensed"/>
                <w:sz w:val="18"/>
                <w:szCs w:val="18"/>
              </w:rPr>
            </w:pPr>
            <w:r>
              <w:rPr>
                <w:rFonts w:ascii="Avenir Next Condensed"/>
                <w:sz w:val="18"/>
              </w:rPr>
              <w:t>Unitywater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1,407</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1,338</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1,421</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26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3"/>
              <w:rPr>
                <w:rFonts w:ascii="Avenir Next Condensed" w:eastAsia="Avenir Next Condensed" w:hAnsi="Avenir Next Condensed" w:cs="Avenir Next Condensed"/>
                <w:sz w:val="18"/>
                <w:szCs w:val="18"/>
              </w:rPr>
            </w:pPr>
            <w:r>
              <w:rPr>
                <w:rFonts w:ascii="Avenir Next Condensed"/>
                <w:sz w:val="18"/>
              </w:rPr>
              <w:t xml:space="preserve">Gold </w:t>
            </w:r>
            <w:r>
              <w:rPr>
                <w:rFonts w:ascii="Avenir Next Condensed"/>
                <w:spacing w:val="-1"/>
                <w:sz w:val="18"/>
              </w:rPr>
              <w:t>Coast</w:t>
            </w:r>
            <w:r>
              <w:rPr>
                <w:rFonts w:ascii="Avenir Next Condensed"/>
                <w:spacing w:val="-3"/>
                <w:sz w:val="18"/>
              </w:rPr>
              <w:t xml:space="preserve"> </w:t>
            </w:r>
            <w:r>
              <w:rPr>
                <w:rFonts w:ascii="Avenir Next Condensed"/>
                <w:spacing w:val="-1"/>
                <w:sz w:val="18"/>
              </w:rPr>
              <w:t>Water</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1,544</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1,616</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8"/>
              <w:rPr>
                <w:rFonts w:ascii="Avenir Next Condensed" w:eastAsia="Avenir Next Condensed" w:hAnsi="Avenir Next Condensed" w:cs="Avenir Next Condensed"/>
                <w:sz w:val="18"/>
                <w:szCs w:val="18"/>
              </w:rPr>
            </w:pPr>
            <w:r>
              <w:rPr>
                <w:rFonts w:ascii="Avenir Next Condensed"/>
                <w:sz w:val="18"/>
              </w:rPr>
              <w:t>1,697</w:t>
            </w:r>
          </w:p>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c>
          <w:tcPr>
            <w:tcW w:w="11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sz w:val="16"/>
        </w:rPr>
        <w:t xml:space="preserve"> </w:t>
      </w:r>
      <w:r>
        <w:rPr>
          <w:rFonts w:ascii="Avenir Next"/>
          <w:spacing w:val="-1"/>
          <w:sz w:val="16"/>
        </w:rPr>
        <w:t>National</w:t>
      </w:r>
      <w:r>
        <w:rPr>
          <w:rFonts w:ascii="Avenir Next"/>
          <w:spacing w:val="-2"/>
          <w:sz w:val="16"/>
        </w:rPr>
        <w:t xml:space="preserve"> Water</w:t>
      </w:r>
      <w:r>
        <w:rPr>
          <w:rFonts w:ascii="Avenir Next"/>
          <w:sz w:val="16"/>
        </w:rPr>
        <w:t xml:space="preserve"> </w:t>
      </w:r>
      <w:r>
        <w:rPr>
          <w:rFonts w:ascii="Avenir Next"/>
          <w:spacing w:val="-1"/>
          <w:sz w:val="16"/>
        </w:rPr>
        <w:t>Commission,</w:t>
      </w:r>
      <w:r>
        <w:rPr>
          <w:rFonts w:ascii="Avenir Next"/>
          <w:spacing w:val="-5"/>
          <w:sz w:val="16"/>
        </w:rPr>
        <w:t xml:space="preserve"> </w:t>
      </w:r>
      <w:r>
        <w:rPr>
          <w:rFonts w:ascii="Avenir Next"/>
          <w:sz w:val="16"/>
        </w:rPr>
        <w:t>utility websites.</w:t>
      </w:r>
    </w:p>
    <w:p w:rsidR="00D96B91" w:rsidRDefault="00D96B91">
      <w:pPr>
        <w:rPr>
          <w:rFonts w:ascii="Avenir Next" w:eastAsia="Avenir Next" w:hAnsi="Avenir Next" w:cs="Avenir Next"/>
          <w:sz w:val="16"/>
          <w:szCs w:val="16"/>
        </w:rPr>
      </w:pPr>
    </w:p>
    <w:p w:rsidR="00D96B91" w:rsidRDefault="00D96B91">
      <w:pPr>
        <w:spacing w:before="6"/>
        <w:rPr>
          <w:rFonts w:ascii="Avenir Next" w:eastAsia="Avenir Next" w:hAnsi="Avenir Next" w:cs="Avenir Next"/>
          <w:sz w:val="16"/>
          <w:szCs w:val="16"/>
        </w:rPr>
      </w:pPr>
    </w:p>
    <w:p w:rsidR="00D96B91" w:rsidRDefault="00C2656B">
      <w:pPr>
        <w:pStyle w:val="Heading6"/>
        <w:numPr>
          <w:ilvl w:val="2"/>
          <w:numId w:val="30"/>
        </w:numPr>
        <w:tabs>
          <w:tab w:val="left" w:pos="2098"/>
        </w:tabs>
        <w:ind w:hanging="850"/>
      </w:pPr>
      <w:r>
        <w:rPr>
          <w:color w:val="0778BE"/>
          <w:spacing w:val="-1"/>
        </w:rPr>
        <w:t>Relative</w:t>
      </w:r>
      <w:r>
        <w:rPr>
          <w:color w:val="0778BE"/>
        </w:rPr>
        <w:t xml:space="preserve"> change in </w:t>
      </w:r>
      <w:r>
        <w:rPr>
          <w:color w:val="0778BE"/>
          <w:spacing w:val="-1"/>
        </w:rPr>
        <w:t>water</w:t>
      </w:r>
      <w:r>
        <w:rPr>
          <w:color w:val="0778BE"/>
        </w:rPr>
        <w:t xml:space="preserve"> and </w:t>
      </w:r>
      <w:r>
        <w:rPr>
          <w:color w:val="0778BE"/>
          <w:spacing w:val="-1"/>
        </w:rPr>
        <w:t>sewerage</w:t>
      </w:r>
      <w:r>
        <w:rPr>
          <w:color w:val="0778BE"/>
        </w:rPr>
        <w:t xml:space="preserve"> bills over the last 10 </w:t>
      </w:r>
      <w:r>
        <w:rPr>
          <w:color w:val="0778BE"/>
          <w:spacing w:val="-1"/>
        </w:rPr>
        <w:t>years</w:t>
      </w:r>
    </w:p>
    <w:p w:rsidR="00D96B91" w:rsidRDefault="00D96B91">
      <w:pPr>
        <w:pStyle w:val="BodyText"/>
        <w:spacing w:before="21" w:line="260" w:lineRule="exact"/>
        <w:ind w:right="1270"/>
      </w:pPr>
      <w:hyperlink w:anchor="_bookmark139" w:history="1">
        <w:r w:rsidR="00C2656B">
          <w:rPr>
            <w:spacing w:val="-2"/>
          </w:rPr>
          <w:t>Figure</w:t>
        </w:r>
        <w:r w:rsidR="00C2656B">
          <w:t xml:space="preserve"> 15.1</w:t>
        </w:r>
      </w:hyperlink>
      <w:r w:rsidR="00C2656B">
        <w:t xml:space="preserve"> shows the </w:t>
      </w:r>
      <w:r w:rsidR="00C2656B">
        <w:rPr>
          <w:spacing w:val="-1"/>
        </w:rPr>
        <w:t>10-year</w:t>
      </w:r>
      <w:r w:rsidR="00C2656B">
        <w:t xml:space="preserve"> </w:t>
      </w:r>
      <w:r w:rsidR="00C2656B">
        <w:rPr>
          <w:spacing w:val="-1"/>
        </w:rPr>
        <w:t>relative</w:t>
      </w:r>
      <w:r w:rsidR="00C2656B">
        <w:t xml:space="preserve"> change for </w:t>
      </w:r>
      <w:r w:rsidR="00C2656B">
        <w:rPr>
          <w:spacing w:val="-1"/>
        </w:rPr>
        <w:t>water</w:t>
      </w:r>
      <w:r w:rsidR="00C2656B">
        <w:t xml:space="preserve"> and </w:t>
      </w:r>
      <w:r w:rsidR="00C2656B">
        <w:rPr>
          <w:spacing w:val="-1"/>
        </w:rPr>
        <w:t>sewerage</w:t>
      </w:r>
      <w:r w:rsidR="00C2656B">
        <w:t xml:space="preserve"> prices in </w:t>
      </w:r>
      <w:r w:rsidR="00C2656B">
        <w:rPr>
          <w:spacing w:val="-1"/>
        </w:rPr>
        <w:t>each</w:t>
      </w:r>
      <w:r w:rsidR="00C2656B">
        <w:t xml:space="preserve"> of</w:t>
      </w:r>
      <w:r w:rsidR="00C2656B">
        <w:rPr>
          <w:spacing w:val="1"/>
        </w:rPr>
        <w:t xml:space="preserve"> </w:t>
      </w:r>
      <w:r w:rsidR="00C2656B">
        <w:rPr>
          <w:spacing w:val="-2"/>
        </w:rPr>
        <w:t>Australia’s</w:t>
      </w:r>
      <w:r w:rsidR="00C2656B">
        <w:t xml:space="preserve"> eight</w:t>
      </w:r>
      <w:r w:rsidR="00C2656B">
        <w:rPr>
          <w:spacing w:val="51"/>
        </w:rPr>
        <w:t xml:space="preserve"> </w:t>
      </w:r>
      <w:r w:rsidR="00C2656B">
        <w:t>capital cities,</w:t>
      </w:r>
      <w:r w:rsidR="00C2656B">
        <w:rPr>
          <w:spacing w:val="-6"/>
        </w:rPr>
        <w:t xml:space="preserve"> </w:t>
      </w:r>
      <w:r w:rsidR="00C2656B">
        <w:t xml:space="preserve">as </w:t>
      </w:r>
      <w:r w:rsidR="00C2656B">
        <w:rPr>
          <w:spacing w:val="-1"/>
        </w:rPr>
        <w:t>measured</w:t>
      </w:r>
      <w:r w:rsidR="00C2656B">
        <w:t xml:space="preserve"> by the</w:t>
      </w:r>
      <w:r w:rsidR="00C2656B">
        <w:rPr>
          <w:spacing w:val="-4"/>
        </w:rPr>
        <w:t xml:space="preserve"> </w:t>
      </w:r>
      <w:r w:rsidR="00C2656B">
        <w:rPr>
          <w:spacing w:val="-1"/>
        </w:rPr>
        <w:t>Australian</w:t>
      </w:r>
      <w:r w:rsidR="00C2656B">
        <w:t xml:space="preserve"> </w:t>
      </w:r>
      <w:r w:rsidR="00C2656B">
        <w:rPr>
          <w:spacing w:val="-1"/>
        </w:rPr>
        <w:t>Bureau</w:t>
      </w:r>
      <w:r w:rsidR="00C2656B">
        <w:t xml:space="preserve"> of</w:t>
      </w:r>
      <w:r w:rsidR="00C2656B">
        <w:rPr>
          <w:spacing w:val="4"/>
        </w:rPr>
        <w:t xml:space="preserve"> </w:t>
      </w:r>
      <w:r w:rsidR="00C2656B">
        <w:rPr>
          <w:spacing w:val="-1"/>
        </w:rPr>
        <w:t>Statistics’</w:t>
      </w:r>
      <w:r w:rsidR="00C2656B">
        <w:t xml:space="preserve"> </w:t>
      </w:r>
      <w:r w:rsidR="00C2656B">
        <w:rPr>
          <w:spacing w:val="-1"/>
        </w:rPr>
        <w:t>‘water</w:t>
      </w:r>
      <w:r w:rsidR="00C2656B">
        <w:t xml:space="preserve"> and </w:t>
      </w:r>
      <w:r w:rsidR="00C2656B">
        <w:rPr>
          <w:spacing w:val="-1"/>
        </w:rPr>
        <w:t>sewerage’</w:t>
      </w:r>
      <w:r w:rsidR="00C2656B">
        <w:t xml:space="preserve"> CPI </w:t>
      </w:r>
      <w:r w:rsidR="00C2656B">
        <w:rPr>
          <w:spacing w:val="-1"/>
        </w:rPr>
        <w:t>sub-group.</w:t>
      </w:r>
      <w:r w:rsidR="00C2656B">
        <w:rPr>
          <w:spacing w:val="-6"/>
        </w:rPr>
        <w:t xml:space="preserve"> </w:t>
      </w:r>
      <w:r w:rsidR="00C2656B">
        <w:t>It</w:t>
      </w:r>
      <w:r w:rsidR="00C2656B">
        <w:rPr>
          <w:spacing w:val="59"/>
        </w:rPr>
        <w:t xml:space="preserve"> </w:t>
      </w:r>
      <w:r w:rsidR="00C2656B">
        <w:rPr>
          <w:rFonts w:cs="Avenir Next"/>
        </w:rPr>
        <w:t xml:space="preserve">shows </w:t>
      </w:r>
      <w:r w:rsidR="00C2656B">
        <w:rPr>
          <w:rFonts w:cs="Avenir Next"/>
          <w:spacing w:val="-1"/>
        </w:rPr>
        <w:t>that</w:t>
      </w:r>
      <w:r w:rsidR="00C2656B">
        <w:rPr>
          <w:rFonts w:cs="Avenir Next"/>
        </w:rPr>
        <w:t xml:space="preserve"> the price of</w:t>
      </w:r>
      <w:r w:rsidR="00C2656B">
        <w:rPr>
          <w:rFonts w:cs="Avenir Next"/>
          <w:spacing w:val="4"/>
        </w:rPr>
        <w:t xml:space="preserve"> </w:t>
      </w:r>
      <w:r w:rsidR="00C2656B">
        <w:rPr>
          <w:rFonts w:cs="Avenir Next"/>
          <w:spacing w:val="-1"/>
        </w:rPr>
        <w:t>water</w:t>
      </w:r>
      <w:r w:rsidR="00C2656B">
        <w:rPr>
          <w:rFonts w:cs="Avenir Next"/>
        </w:rPr>
        <w:t xml:space="preserve"> and </w:t>
      </w:r>
      <w:r w:rsidR="00C2656B">
        <w:rPr>
          <w:rFonts w:cs="Avenir Next"/>
          <w:spacing w:val="-1"/>
        </w:rPr>
        <w:t>sewerage</w:t>
      </w:r>
      <w:r w:rsidR="00C2656B">
        <w:rPr>
          <w:rFonts w:cs="Avenir Next"/>
        </w:rPr>
        <w:t xml:space="preserve"> services in </w:t>
      </w:r>
      <w:r w:rsidR="00C2656B">
        <w:rPr>
          <w:rFonts w:cs="Avenir Next"/>
          <w:spacing w:val="-1"/>
        </w:rPr>
        <w:t>Canberra</w:t>
      </w:r>
      <w:r w:rsidR="00C2656B">
        <w:rPr>
          <w:rFonts w:cs="Avenir Next"/>
        </w:rPr>
        <w:t xml:space="preserve"> has </w:t>
      </w:r>
      <w:r w:rsidR="00C2656B">
        <w:rPr>
          <w:rFonts w:cs="Avenir Next"/>
          <w:spacing w:val="-1"/>
        </w:rPr>
        <w:t>approximately</w:t>
      </w:r>
      <w:r w:rsidR="00C2656B">
        <w:rPr>
          <w:rFonts w:cs="Avenir Next"/>
        </w:rPr>
        <w:t xml:space="preserve"> doubled over the</w:t>
      </w:r>
      <w:r w:rsidR="00C2656B">
        <w:rPr>
          <w:rFonts w:cs="Avenir Next"/>
          <w:spacing w:val="31"/>
        </w:rPr>
        <w:t xml:space="preserve"> </w:t>
      </w:r>
      <w:r w:rsidR="00C2656B">
        <w:t xml:space="preserve">last decade (~7.6% pa </w:t>
      </w:r>
      <w:r w:rsidR="00C2656B">
        <w:rPr>
          <w:spacing w:val="-1"/>
        </w:rPr>
        <w:t>increase),</w:t>
      </w:r>
      <w:r w:rsidR="00C2656B">
        <w:rPr>
          <w:spacing w:val="-6"/>
        </w:rPr>
        <w:t xml:space="preserve"> </w:t>
      </w:r>
      <w:r w:rsidR="00C2656B">
        <w:t xml:space="preserve">and </w:t>
      </w:r>
      <w:r w:rsidR="00C2656B">
        <w:rPr>
          <w:spacing w:val="-1"/>
        </w:rPr>
        <w:t>that</w:t>
      </w:r>
      <w:r w:rsidR="00C2656B">
        <w:t xml:space="preserve"> this is consistent with the </w:t>
      </w:r>
      <w:r w:rsidR="00C2656B">
        <w:rPr>
          <w:spacing w:val="-1"/>
        </w:rPr>
        <w:t>experience</w:t>
      </w:r>
      <w:r w:rsidR="00C2656B">
        <w:t xml:space="preserve"> </w:t>
      </w:r>
      <w:r w:rsidR="00C2656B">
        <w:rPr>
          <w:spacing w:val="-1"/>
        </w:rPr>
        <w:t>across</w:t>
      </w:r>
      <w:r w:rsidR="00C2656B">
        <w:rPr>
          <w:spacing w:val="-4"/>
        </w:rPr>
        <w:t xml:space="preserve"> </w:t>
      </w:r>
      <w:r w:rsidR="00C2656B">
        <w:rPr>
          <w:spacing w:val="-1"/>
        </w:rPr>
        <w:t>Australia</w:t>
      </w:r>
      <w:r w:rsidR="00C2656B">
        <w:t xml:space="preserve"> over</w:t>
      </w:r>
    </w:p>
    <w:p w:rsidR="00D96B91" w:rsidRDefault="00C2656B">
      <w:pPr>
        <w:pStyle w:val="BodyText"/>
        <w:spacing w:before="8"/>
      </w:pPr>
      <w:r>
        <w:rPr>
          <w:spacing w:val="-1"/>
        </w:rPr>
        <w:t>that</w:t>
      </w:r>
      <w:r>
        <w:t xml:space="preserve"> period.</w:t>
      </w:r>
    </w:p>
    <w:p w:rsidR="00D96B91" w:rsidRDefault="00D96B91">
      <w:p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213" w:name="15._3_Effect_on_non-residential_customer"/>
      <w:bookmarkStart w:id="214" w:name="_bookmark138"/>
      <w:bookmarkStart w:id="215" w:name="_bookmark139"/>
      <w:bookmarkEnd w:id="213"/>
      <w:bookmarkEnd w:id="214"/>
      <w:bookmarkEnd w:id="215"/>
      <w:r>
        <w:rPr>
          <w:rFonts w:ascii="Avenir Next"/>
          <w:b/>
          <w:spacing w:val="-2"/>
          <w:sz w:val="20"/>
        </w:rPr>
        <w:t>Figure</w:t>
      </w:r>
      <w:r>
        <w:rPr>
          <w:rFonts w:ascii="Avenir Next"/>
          <w:b/>
          <w:sz w:val="20"/>
        </w:rPr>
        <w:t xml:space="preserve"> 15.1: </w:t>
      </w:r>
      <w:r>
        <w:rPr>
          <w:rFonts w:ascii="Avenir Next"/>
          <w:b/>
          <w:spacing w:val="-1"/>
          <w:sz w:val="20"/>
        </w:rPr>
        <w:t>10-year</w:t>
      </w:r>
      <w:r>
        <w:rPr>
          <w:rFonts w:ascii="Avenir Next"/>
          <w:b/>
          <w:sz w:val="20"/>
        </w:rPr>
        <w:t xml:space="preserve"> </w:t>
      </w:r>
      <w:r>
        <w:rPr>
          <w:rFonts w:ascii="Avenir Next"/>
          <w:b/>
          <w:spacing w:val="-1"/>
          <w:sz w:val="20"/>
        </w:rPr>
        <w:t>relative</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price change</w:t>
      </w:r>
    </w:p>
    <w:p w:rsidR="00D96B91" w:rsidRDefault="00D96B91">
      <w:pPr>
        <w:spacing w:before="2"/>
        <w:rPr>
          <w:rFonts w:ascii="Avenir Next" w:eastAsia="Avenir Next" w:hAnsi="Avenir Next" w:cs="Avenir Next"/>
          <w:b/>
          <w:bCs/>
          <w:sz w:val="26"/>
          <w:szCs w:val="26"/>
        </w:rPr>
      </w:pPr>
    </w:p>
    <w:p w:rsidR="00D96B91" w:rsidRDefault="00C2656B">
      <w:pPr>
        <w:spacing w:line="200" w:lineRule="atLeast"/>
        <w:ind w:left="124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5070096" cy="3312128"/>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95" cstate="print"/>
                    <a:stretch>
                      <a:fillRect/>
                    </a:stretch>
                  </pic:blipFill>
                  <pic:spPr>
                    <a:xfrm>
                      <a:off x="0" y="0"/>
                      <a:ext cx="5070096" cy="3312128"/>
                    </a:xfrm>
                    <a:prstGeom prst="rect">
                      <a:avLst/>
                    </a:prstGeom>
                  </pic:spPr>
                </pic:pic>
              </a:graphicData>
            </a:graphic>
          </wp:inline>
        </w:drawing>
      </w:r>
    </w:p>
    <w:p w:rsidR="00D96B91" w:rsidRDefault="00C2656B">
      <w:pPr>
        <w:spacing w:before="74"/>
        <w:ind w:left="1247"/>
        <w:rPr>
          <w:rFonts w:ascii="Avenir Next" w:eastAsia="Avenir Next" w:hAnsi="Avenir Next" w:cs="Avenir Next"/>
          <w:sz w:val="16"/>
          <w:szCs w:val="16"/>
        </w:rPr>
      </w:pPr>
      <w:r>
        <w:rPr>
          <w:rFonts w:ascii="Avenir Next"/>
          <w:spacing w:val="-1"/>
          <w:sz w:val="16"/>
        </w:rPr>
        <w:t>Source:</w:t>
      </w:r>
      <w:r>
        <w:rPr>
          <w:rFonts w:ascii="Avenir Next"/>
          <w:spacing w:val="-3"/>
          <w:sz w:val="16"/>
        </w:rPr>
        <w:t xml:space="preserve"> </w:t>
      </w:r>
      <w:r>
        <w:rPr>
          <w:rFonts w:ascii="Avenir Next"/>
          <w:spacing w:val="-1"/>
          <w:sz w:val="16"/>
        </w:rPr>
        <w:t>Australian</w:t>
      </w:r>
      <w:r>
        <w:rPr>
          <w:rFonts w:ascii="Avenir Next"/>
          <w:sz w:val="16"/>
        </w:rPr>
        <w:t xml:space="preserve"> </w:t>
      </w:r>
      <w:r>
        <w:rPr>
          <w:rFonts w:ascii="Avenir Next"/>
          <w:spacing w:val="-1"/>
          <w:sz w:val="16"/>
        </w:rPr>
        <w:t>Bureau</w:t>
      </w:r>
      <w:r>
        <w:rPr>
          <w:rFonts w:ascii="Avenir Next"/>
          <w:sz w:val="16"/>
        </w:rPr>
        <w:t xml:space="preserve"> of</w:t>
      </w:r>
      <w:r>
        <w:rPr>
          <w:rFonts w:ascii="Avenir Next"/>
          <w:spacing w:val="3"/>
          <w:sz w:val="16"/>
        </w:rPr>
        <w:t xml:space="preserve"> </w:t>
      </w:r>
      <w:r>
        <w:rPr>
          <w:rFonts w:ascii="Avenir Next"/>
          <w:spacing w:val="-1"/>
          <w:sz w:val="16"/>
        </w:rPr>
        <w:t>Statistics,</w:t>
      </w:r>
      <w:r>
        <w:rPr>
          <w:rFonts w:ascii="Avenir Next"/>
          <w:spacing w:val="-5"/>
          <w:sz w:val="16"/>
        </w:rPr>
        <w:t xml:space="preserve"> </w:t>
      </w:r>
      <w:r>
        <w:rPr>
          <w:rFonts w:ascii="Avenir Next"/>
          <w:sz w:val="16"/>
        </w:rPr>
        <w:t xml:space="preserve">series 6401.0 </w:t>
      </w:r>
      <w:r>
        <w:rPr>
          <w:rFonts w:ascii="Avenir Next"/>
          <w:spacing w:val="-1"/>
          <w:sz w:val="16"/>
        </w:rPr>
        <w:t>Consumer</w:t>
      </w:r>
      <w:r>
        <w:rPr>
          <w:rFonts w:ascii="Avenir Next"/>
          <w:sz w:val="16"/>
        </w:rPr>
        <w:t xml:space="preserve"> </w:t>
      </w:r>
      <w:r>
        <w:rPr>
          <w:rFonts w:ascii="Avenir Next"/>
          <w:spacing w:val="-2"/>
          <w:sz w:val="16"/>
        </w:rPr>
        <w:t>Price</w:t>
      </w:r>
      <w:r>
        <w:rPr>
          <w:rFonts w:ascii="Avenir Next"/>
          <w:sz w:val="16"/>
        </w:rPr>
        <w:t xml:space="preserve"> </w:t>
      </w:r>
      <w:r>
        <w:rPr>
          <w:rFonts w:ascii="Avenir Next"/>
          <w:spacing w:val="-1"/>
          <w:sz w:val="16"/>
        </w:rPr>
        <w:t>Index.</w:t>
      </w:r>
    </w:p>
    <w:p w:rsidR="00D96B91" w:rsidRDefault="00D96B91">
      <w:pPr>
        <w:rPr>
          <w:rFonts w:ascii="Avenir Next" w:eastAsia="Avenir Next" w:hAnsi="Avenir Next" w:cs="Avenir Next"/>
          <w:sz w:val="16"/>
          <w:szCs w:val="16"/>
        </w:rPr>
      </w:pPr>
    </w:p>
    <w:p w:rsidR="00D96B91" w:rsidRDefault="00D96B91">
      <w:pPr>
        <w:rPr>
          <w:rFonts w:ascii="Avenir Next" w:eastAsia="Avenir Next" w:hAnsi="Avenir Next" w:cs="Avenir Next"/>
          <w:sz w:val="16"/>
          <w:szCs w:val="16"/>
        </w:rPr>
      </w:pPr>
    </w:p>
    <w:p w:rsidR="00D96B91" w:rsidRDefault="00C2656B">
      <w:pPr>
        <w:pStyle w:val="Heading4"/>
        <w:spacing w:before="131"/>
        <w:rPr>
          <w:rFonts w:cs="Avenir Next Medium"/>
        </w:rPr>
      </w:pPr>
      <w:r>
        <w:rPr>
          <w:color w:val="0778BE"/>
        </w:rPr>
        <w:t>15.</w:t>
      </w:r>
      <w:r>
        <w:rPr>
          <w:color w:val="0778BE"/>
          <w:spacing w:val="-9"/>
        </w:rPr>
        <w:t xml:space="preserve"> </w:t>
      </w:r>
      <w:r>
        <w:rPr>
          <w:color w:val="0778BE"/>
        </w:rPr>
        <w:t>3</w:t>
      </w:r>
      <w:r>
        <w:rPr>
          <w:color w:val="0778BE"/>
          <w:spacing w:val="39"/>
        </w:rPr>
        <w:t xml:space="preserve"> </w:t>
      </w:r>
      <w:r>
        <w:rPr>
          <w:color w:val="0778BE"/>
          <w:spacing w:val="-2"/>
        </w:rPr>
        <w:t>Effect</w:t>
      </w:r>
      <w:r>
        <w:rPr>
          <w:color w:val="0778BE"/>
        </w:rPr>
        <w:t xml:space="preserve"> on </w:t>
      </w:r>
      <w:r>
        <w:rPr>
          <w:color w:val="0778BE"/>
          <w:spacing w:val="-1"/>
        </w:rPr>
        <w:t>non-residential</w:t>
      </w:r>
      <w:r>
        <w:rPr>
          <w:color w:val="0778BE"/>
        </w:rPr>
        <w:t xml:space="preserve"> customers</w:t>
      </w:r>
    </w:p>
    <w:p w:rsidR="00D96B91" w:rsidRDefault="00C2656B">
      <w:pPr>
        <w:pStyle w:val="BodyText"/>
        <w:numPr>
          <w:ilvl w:val="0"/>
          <w:numId w:val="131"/>
        </w:numPr>
        <w:tabs>
          <w:tab w:val="left" w:pos="1531"/>
        </w:tabs>
        <w:spacing w:before="55" w:line="260" w:lineRule="exact"/>
        <w:ind w:right="1673" w:hanging="283"/>
      </w:pPr>
      <w:r>
        <w:rPr>
          <w:spacing w:val="-10"/>
        </w:rPr>
        <w:t>To</w:t>
      </w:r>
      <w:r>
        <w:t xml:space="preserve"> assess the </w:t>
      </w:r>
      <w:r>
        <w:rPr>
          <w:spacing w:val="-1"/>
        </w:rPr>
        <w:t>effect</w:t>
      </w:r>
      <w:r>
        <w:t xml:space="preserve"> </w:t>
      </w:r>
      <w:r>
        <w:rPr>
          <w:spacing w:val="-1"/>
        </w:rPr>
        <w:t>that</w:t>
      </w:r>
      <w:r>
        <w:t xml:space="preserve"> the </w:t>
      </w:r>
      <w:r>
        <w:rPr>
          <w:spacing w:val="-1"/>
        </w:rPr>
        <w:t>water</w:t>
      </w:r>
      <w:r>
        <w:t xml:space="preserve"> and </w:t>
      </w:r>
      <w:r>
        <w:rPr>
          <w:spacing w:val="-1"/>
        </w:rPr>
        <w:t>sewerage</w:t>
      </w:r>
      <w:r>
        <w:t xml:space="preserve"> </w:t>
      </w:r>
      <w:r>
        <w:rPr>
          <w:spacing w:val="-1"/>
        </w:rPr>
        <w:t>charges</w:t>
      </w:r>
      <w:r>
        <w:t xml:space="preserve"> set out in Chapter 14 </w:t>
      </w:r>
      <w:r>
        <w:rPr>
          <w:spacing w:val="-2"/>
        </w:rPr>
        <w:t>are</w:t>
      </w:r>
      <w:r>
        <w:t xml:space="preserve"> </w:t>
      </w:r>
      <w:r>
        <w:rPr>
          <w:spacing w:val="-1"/>
        </w:rPr>
        <w:t>likely</w:t>
      </w:r>
      <w:r>
        <w:t xml:space="preserve"> to have</w:t>
      </w:r>
      <w:r>
        <w:rPr>
          <w:spacing w:val="37"/>
        </w:rPr>
        <w:t xml:space="preserve"> </w:t>
      </w:r>
      <w:r>
        <w:t xml:space="preserve">on </w:t>
      </w:r>
      <w:r>
        <w:rPr>
          <w:spacing w:val="-1"/>
        </w:rPr>
        <w:t>non-residential</w:t>
      </w:r>
      <w:r>
        <w:t xml:space="preserve"> customers,</w:t>
      </w:r>
      <w:r>
        <w:rPr>
          <w:spacing w:val="-6"/>
        </w:rPr>
        <w:t xml:space="preserve"> </w:t>
      </w:r>
      <w:r>
        <w:t xml:space="preserve">the </w:t>
      </w:r>
      <w:r>
        <w:rPr>
          <w:spacing w:val="-3"/>
        </w:rPr>
        <w:t>Panel</w:t>
      </w:r>
      <w:r>
        <w:t xml:space="preserve"> has </w:t>
      </w:r>
      <w:r>
        <w:rPr>
          <w:spacing w:val="-1"/>
        </w:rPr>
        <w:t>examined</w:t>
      </w:r>
      <w:r>
        <w:t xml:space="preserve"> the </w:t>
      </w:r>
      <w:r>
        <w:rPr>
          <w:spacing w:val="-1"/>
        </w:rPr>
        <w:t>average</w:t>
      </w:r>
      <w:r>
        <w:t xml:space="preserve"> annual </w:t>
      </w:r>
      <w:r>
        <w:rPr>
          <w:spacing w:val="-1"/>
        </w:rPr>
        <w:t>water</w:t>
      </w:r>
      <w:r>
        <w:t xml:space="preserve"> and </w:t>
      </w:r>
      <w:r>
        <w:rPr>
          <w:spacing w:val="-1"/>
        </w:rPr>
        <w:t>sewerage</w:t>
      </w:r>
      <w:r>
        <w:rPr>
          <w:spacing w:val="65"/>
        </w:rPr>
        <w:t xml:space="preserve"> </w:t>
      </w:r>
      <w:r>
        <w:t xml:space="preserve">bill </w:t>
      </w:r>
      <w:r>
        <w:rPr>
          <w:spacing w:val="-1"/>
        </w:rPr>
        <w:t>that</w:t>
      </w:r>
      <w:r>
        <w:t xml:space="preserve"> will be payable by </w:t>
      </w:r>
      <w:r>
        <w:rPr>
          <w:spacing w:val="-1"/>
        </w:rPr>
        <w:t>non-residential</w:t>
      </w:r>
      <w:r>
        <w:t xml:space="preserve"> customers with varying </w:t>
      </w:r>
      <w:r>
        <w:rPr>
          <w:spacing w:val="-1"/>
        </w:rPr>
        <w:t>water</w:t>
      </w:r>
      <w:r>
        <w:t xml:space="preserve"> consumption levels and</w:t>
      </w:r>
    </w:p>
    <w:p w:rsidR="00D96B91" w:rsidRDefault="00C2656B">
      <w:pPr>
        <w:pStyle w:val="BodyText"/>
        <w:spacing w:line="260" w:lineRule="exact"/>
        <w:ind w:left="1530" w:right="1239"/>
      </w:pPr>
      <w:r>
        <w:t>billable</w:t>
      </w:r>
      <w:r>
        <w:rPr>
          <w:spacing w:val="-2"/>
        </w:rPr>
        <w:t xml:space="preserve"> </w:t>
      </w:r>
      <w:r>
        <w:rPr>
          <w:spacing w:val="-1"/>
        </w:rPr>
        <w:t xml:space="preserve">fixture </w:t>
      </w:r>
      <w:r>
        <w:t>numbers.</w:t>
      </w:r>
      <w:r>
        <w:rPr>
          <w:spacing w:val="-10"/>
        </w:rPr>
        <w:t xml:space="preserve"> </w:t>
      </w:r>
      <w:r>
        <w:t>As</w:t>
      </w:r>
      <w:r>
        <w:rPr>
          <w:spacing w:val="-2"/>
        </w:rPr>
        <w:t xml:space="preserve"> </w:t>
      </w:r>
      <w:r>
        <w:t>with</w:t>
      </w:r>
      <w:r>
        <w:rPr>
          <w:spacing w:val="-1"/>
        </w:rPr>
        <w:t xml:space="preserve"> </w:t>
      </w:r>
      <w:r>
        <w:t>the</w:t>
      </w:r>
      <w:r>
        <w:rPr>
          <w:spacing w:val="-1"/>
        </w:rPr>
        <w:t xml:space="preserve"> residential</w:t>
      </w:r>
      <w:r>
        <w:rPr>
          <w:spacing w:val="-2"/>
        </w:rPr>
        <w:t xml:space="preserve"> </w:t>
      </w:r>
      <w:r>
        <w:t>customer</w:t>
      </w:r>
      <w:r>
        <w:rPr>
          <w:spacing w:val="-1"/>
        </w:rPr>
        <w:t xml:space="preserve"> </w:t>
      </w:r>
      <w:r>
        <w:t>bill</w:t>
      </w:r>
      <w:r>
        <w:rPr>
          <w:spacing w:val="-1"/>
        </w:rPr>
        <w:t xml:space="preserve"> </w:t>
      </w:r>
      <w:r>
        <w:t>analysis,</w:t>
      </w:r>
      <w:r>
        <w:rPr>
          <w:spacing w:val="-8"/>
        </w:rPr>
        <w:t xml:space="preserve"> </w:t>
      </w:r>
      <w:r>
        <w:t>the</w:t>
      </w:r>
      <w:r>
        <w:rPr>
          <w:spacing w:val="-1"/>
        </w:rPr>
        <w:t xml:space="preserve"> indicative </w:t>
      </w:r>
      <w:r>
        <w:t>bills</w:t>
      </w:r>
      <w:r>
        <w:rPr>
          <w:spacing w:val="-2"/>
        </w:rPr>
        <w:t xml:space="preserve"> </w:t>
      </w:r>
      <w:r>
        <w:t>for</w:t>
      </w:r>
      <w:r>
        <w:rPr>
          <w:spacing w:val="-1"/>
        </w:rPr>
        <w:t xml:space="preserve"> </w:t>
      </w:r>
      <w:r>
        <w:t>2015-16,</w:t>
      </w:r>
      <w:r>
        <w:rPr>
          <w:spacing w:val="37"/>
        </w:rPr>
        <w:t xml:space="preserve"> </w:t>
      </w:r>
      <w:r>
        <w:t>2016-17</w:t>
      </w:r>
      <w:r>
        <w:rPr>
          <w:spacing w:val="-1"/>
        </w:rPr>
        <w:t xml:space="preserve"> </w:t>
      </w:r>
      <w:r>
        <w:t xml:space="preserve">and 2018-19 assume </w:t>
      </w:r>
      <w:r>
        <w:rPr>
          <w:spacing w:val="-1"/>
        </w:rPr>
        <w:t xml:space="preserve">inflation </w:t>
      </w:r>
      <w:r>
        <w:t>of</w:t>
      </w:r>
      <w:r>
        <w:rPr>
          <w:spacing w:val="4"/>
        </w:rPr>
        <w:t xml:space="preserve"> </w:t>
      </w:r>
      <w:r>
        <w:t>2.5% per</w:t>
      </w:r>
      <w:r>
        <w:rPr>
          <w:spacing w:val="-1"/>
        </w:rPr>
        <w:t xml:space="preserve"> </w:t>
      </w:r>
      <w:r>
        <w:t xml:space="preserve">annum and </w:t>
      </w:r>
      <w:r>
        <w:rPr>
          <w:spacing w:val="-1"/>
        </w:rPr>
        <w:t>that</w:t>
      </w:r>
      <w:r>
        <w:t xml:space="preserve"> </w:t>
      </w:r>
      <w:r>
        <w:rPr>
          <w:spacing w:val="-1"/>
        </w:rPr>
        <w:t xml:space="preserve">there </w:t>
      </w:r>
      <w:r>
        <w:rPr>
          <w:spacing w:val="-2"/>
        </w:rPr>
        <w:t>are</w:t>
      </w:r>
      <w:r>
        <w:t xml:space="preserve"> no </w:t>
      </w:r>
      <w:r>
        <w:rPr>
          <w:spacing w:val="-1"/>
        </w:rPr>
        <w:t>material</w:t>
      </w:r>
      <w:r>
        <w:t xml:space="preserve"> changes</w:t>
      </w:r>
    </w:p>
    <w:p w:rsidR="00D96B91" w:rsidRDefault="00C2656B">
      <w:pPr>
        <w:pStyle w:val="BodyText"/>
        <w:spacing w:line="260" w:lineRule="exact"/>
        <w:ind w:left="1530" w:right="1283"/>
      </w:pPr>
      <w:r>
        <w:t>in</w:t>
      </w:r>
      <w:r>
        <w:rPr>
          <w:spacing w:val="-4"/>
        </w:rPr>
        <w:t xml:space="preserve"> </w:t>
      </w:r>
      <w:r>
        <w:rPr>
          <w:spacing w:val="-2"/>
        </w:rPr>
        <w:t>ACTEW’s</w:t>
      </w:r>
      <w:r>
        <w:t xml:space="preserve"> costs or Government </w:t>
      </w:r>
      <w:r>
        <w:rPr>
          <w:spacing w:val="-1"/>
        </w:rPr>
        <w:t>charges</w:t>
      </w:r>
      <w:r>
        <w:t xml:space="preserve"> </w:t>
      </w:r>
      <w:r>
        <w:rPr>
          <w:spacing w:val="-1"/>
        </w:rPr>
        <w:t>that</w:t>
      </w:r>
      <w:r>
        <w:t xml:space="preserve"> would trigger the cost </w:t>
      </w:r>
      <w:r>
        <w:rPr>
          <w:spacing w:val="-1"/>
        </w:rPr>
        <w:t>pass-through</w:t>
      </w:r>
      <w:r>
        <w:t xml:space="preserve"> </w:t>
      </w:r>
      <w:r>
        <w:rPr>
          <w:spacing w:val="-2"/>
        </w:rPr>
        <w:t>mechanism.</w:t>
      </w:r>
      <w:r w:rsidR="00C61167">
        <w:rPr>
          <w:spacing w:val="-2"/>
        </w:rPr>
        <w:t xml:space="preserve"> </w:t>
      </w:r>
      <w:r>
        <w:rPr>
          <w:spacing w:val="-2"/>
        </w:rPr>
        <w:t>The</w:t>
      </w:r>
      <w:r>
        <w:rPr>
          <w:spacing w:val="33"/>
        </w:rPr>
        <w:t xml:space="preserve"> </w:t>
      </w:r>
      <w:r>
        <w:rPr>
          <w:rFonts w:cs="Avenir Next"/>
          <w:spacing w:val="-1"/>
        </w:rPr>
        <w:t>results</w:t>
      </w:r>
      <w:r>
        <w:rPr>
          <w:rFonts w:cs="Avenir Next"/>
        </w:rPr>
        <w:t xml:space="preserve"> of</w:t>
      </w:r>
      <w:r>
        <w:rPr>
          <w:rFonts w:cs="Avenir Next"/>
          <w:spacing w:val="4"/>
        </w:rPr>
        <w:t xml:space="preserve"> </w:t>
      </w:r>
      <w:r>
        <w:rPr>
          <w:rFonts w:cs="Avenir Next"/>
        </w:rPr>
        <w:t xml:space="preserve">this analysis </w:t>
      </w:r>
      <w:r>
        <w:rPr>
          <w:rFonts w:cs="Avenir Next"/>
          <w:spacing w:val="-2"/>
        </w:rPr>
        <w:t>are</w:t>
      </w:r>
      <w:r>
        <w:rPr>
          <w:rFonts w:cs="Avenir Next"/>
        </w:rPr>
        <w:t xml:space="preserve"> set out in</w:t>
      </w:r>
      <w:r>
        <w:rPr>
          <w:rFonts w:cs="Avenir Next"/>
          <w:spacing w:val="-5"/>
        </w:rPr>
        <w:t xml:space="preserve"> </w:t>
      </w:r>
      <w:hyperlink w:anchor="_bookmark141" w:history="1">
        <w:r>
          <w:rPr>
            <w:spacing w:val="-4"/>
          </w:rPr>
          <w:t>Table</w:t>
        </w:r>
        <w:r>
          <w:t xml:space="preserve"> 15.3</w:t>
        </w:r>
      </w:hyperlink>
      <w:r>
        <w:t>.</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bookmarkStart w:id="216" w:name="15._4_Effect_on_inflation"/>
      <w:bookmarkStart w:id="217" w:name="_bookmark140"/>
      <w:bookmarkStart w:id="218" w:name="_bookmark141"/>
      <w:bookmarkEnd w:id="216"/>
      <w:bookmarkEnd w:id="217"/>
      <w:bookmarkEnd w:id="218"/>
      <w:r>
        <w:rPr>
          <w:rFonts w:ascii="Avenir Next"/>
          <w:b/>
          <w:spacing w:val="-4"/>
          <w:sz w:val="20"/>
        </w:rPr>
        <w:t>Table</w:t>
      </w:r>
      <w:r>
        <w:rPr>
          <w:rFonts w:ascii="Avenir Next"/>
          <w:b/>
          <w:sz w:val="20"/>
        </w:rPr>
        <w:t xml:space="preserve"> 15.3: </w:t>
      </w:r>
      <w:r>
        <w:rPr>
          <w:rFonts w:ascii="Avenir Next"/>
          <w:b/>
          <w:spacing w:val="-1"/>
          <w:sz w:val="20"/>
        </w:rPr>
        <w:t>Indicative</w:t>
      </w:r>
      <w:r>
        <w:rPr>
          <w:rFonts w:ascii="Avenir Next"/>
          <w:b/>
          <w:sz w:val="20"/>
        </w:rPr>
        <w:t xml:space="preserve"> impacts on </w:t>
      </w:r>
      <w:r>
        <w:rPr>
          <w:rFonts w:ascii="Avenir Next"/>
          <w:b/>
          <w:spacing w:val="-1"/>
          <w:sz w:val="20"/>
        </w:rPr>
        <w:t>non-residential</w:t>
      </w:r>
      <w:r>
        <w:rPr>
          <w:rFonts w:ascii="Avenir Next"/>
          <w:b/>
          <w:sz w:val="20"/>
        </w:rPr>
        <w:t xml:space="preserve"> </w:t>
      </w:r>
      <w:r>
        <w:rPr>
          <w:rFonts w:ascii="Avenir Next"/>
          <w:b/>
          <w:spacing w:val="-1"/>
          <w:sz w:val="20"/>
        </w:rPr>
        <w:t>water</w:t>
      </w:r>
      <w:r>
        <w:rPr>
          <w:rFonts w:ascii="Avenir Next"/>
          <w:b/>
          <w:sz w:val="20"/>
        </w:rPr>
        <w:t xml:space="preserve"> and </w:t>
      </w:r>
      <w:r>
        <w:rPr>
          <w:rFonts w:ascii="Avenir Next"/>
          <w:b/>
          <w:spacing w:val="-1"/>
          <w:sz w:val="20"/>
        </w:rPr>
        <w:t>sewerage</w:t>
      </w:r>
      <w:r>
        <w:rPr>
          <w:rFonts w:ascii="Avenir Next"/>
          <w:b/>
          <w:sz w:val="20"/>
        </w:rPr>
        <w:t xml:space="preserve"> bills ($,</w:t>
      </w:r>
      <w:r>
        <w:rPr>
          <w:rFonts w:ascii="Avenir Next"/>
          <w:b/>
          <w:spacing w:val="-7"/>
          <w:sz w:val="20"/>
        </w:rPr>
        <w:t xml:space="preserve"> </w:t>
      </w:r>
      <w:r>
        <w:rPr>
          <w:rFonts w:ascii="Avenir Next"/>
          <w:b/>
          <w:sz w:val="20"/>
        </w:rPr>
        <w:t>nominal)</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1143"/>
        <w:gridCol w:w="941"/>
        <w:gridCol w:w="853"/>
        <w:gridCol w:w="853"/>
        <w:gridCol w:w="853"/>
        <w:gridCol w:w="853"/>
        <w:gridCol w:w="853"/>
        <w:gridCol w:w="853"/>
        <w:gridCol w:w="1101"/>
        <w:gridCol w:w="1101"/>
      </w:tblGrid>
      <w:tr w:rsidR="00D96B91">
        <w:trPr>
          <w:trHeight w:hRule="exact" w:val="350"/>
        </w:trPr>
        <w:tc>
          <w:tcPr>
            <w:tcW w:w="1143"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6"/>
              <w:rPr>
                <w:rFonts w:ascii="Avenir Next" w:eastAsia="Avenir Next" w:hAnsi="Avenir Next" w:cs="Avenir Next"/>
                <w:b/>
                <w:bCs/>
                <w:sz w:val="21"/>
                <w:szCs w:val="21"/>
              </w:rPr>
            </w:pPr>
          </w:p>
          <w:p w:rsidR="00D96B91" w:rsidRDefault="00C2656B">
            <w:pPr>
              <w:pStyle w:val="TableParagraph"/>
              <w:spacing w:line="220" w:lineRule="exact"/>
              <w:ind w:left="108" w:right="120"/>
              <w:jc w:val="both"/>
              <w:rPr>
                <w:rFonts w:ascii="Avenir Next Condensed" w:eastAsia="Avenir Next Condensed" w:hAnsi="Avenir Next Condensed" w:cs="Avenir Next Condensed"/>
                <w:sz w:val="18"/>
                <w:szCs w:val="18"/>
              </w:rPr>
            </w:pPr>
            <w:r>
              <w:rPr>
                <w:rFonts w:ascii="Avenir Next Condensed"/>
                <w:b/>
                <w:color w:val="FFFFFF"/>
                <w:sz w:val="18"/>
              </w:rPr>
              <w:t>Annual water consumption (kL)</w:t>
            </w:r>
          </w:p>
        </w:tc>
        <w:tc>
          <w:tcPr>
            <w:tcW w:w="94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6"/>
              <w:rPr>
                <w:rFonts w:ascii="Avenir Next" w:eastAsia="Avenir Next" w:hAnsi="Avenir Next" w:cs="Avenir Next"/>
                <w:b/>
                <w:bCs/>
                <w:sz w:val="21"/>
                <w:szCs w:val="21"/>
              </w:rPr>
            </w:pPr>
          </w:p>
          <w:p w:rsidR="00D96B91" w:rsidRDefault="00C2656B">
            <w:pPr>
              <w:pStyle w:val="TableParagraph"/>
              <w:spacing w:line="220" w:lineRule="exact"/>
              <w:ind w:left="120" w:right="118" w:hanging="1"/>
              <w:jc w:val="center"/>
              <w:rPr>
                <w:rFonts w:ascii="Avenir Next Condensed" w:eastAsia="Avenir Next Condensed" w:hAnsi="Avenir Next Condensed" w:cs="Avenir Next Condensed"/>
                <w:sz w:val="18"/>
                <w:szCs w:val="18"/>
              </w:rPr>
            </w:pPr>
            <w:r>
              <w:rPr>
                <w:rFonts w:ascii="Avenir Next Condensed"/>
                <w:b/>
                <w:color w:val="FFFFFF"/>
                <w:sz w:val="18"/>
              </w:rPr>
              <w:t>Number of</w:t>
            </w:r>
            <w:r>
              <w:rPr>
                <w:rFonts w:ascii="Avenir Next Condensed"/>
                <w:b/>
                <w:color w:val="FFFFFF"/>
                <w:spacing w:val="4"/>
                <w:sz w:val="18"/>
              </w:rPr>
              <w:t xml:space="preserve"> </w:t>
            </w:r>
            <w:r>
              <w:rPr>
                <w:rFonts w:ascii="Avenir Next Condensed"/>
                <w:b/>
                <w:color w:val="FFFFFF"/>
                <w:sz w:val="18"/>
              </w:rPr>
              <w:t xml:space="preserve">billable </w:t>
            </w:r>
            <w:r>
              <w:rPr>
                <w:rFonts w:ascii="Avenir Next Condensed"/>
                <w:b/>
                <w:color w:val="FFFFFF"/>
                <w:spacing w:val="-1"/>
                <w:sz w:val="18"/>
              </w:rPr>
              <w:t>fixtures</w:t>
            </w:r>
          </w:p>
        </w:tc>
        <w:tc>
          <w:tcPr>
            <w:tcW w:w="5116" w:type="dxa"/>
            <w:gridSpan w:val="6"/>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jc w:val="center"/>
              <w:rPr>
                <w:rFonts w:ascii="Avenir Next Condensed" w:eastAsia="Avenir Next Condensed" w:hAnsi="Avenir Next Condensed" w:cs="Avenir Next Condensed"/>
                <w:sz w:val="18"/>
                <w:szCs w:val="18"/>
              </w:rPr>
            </w:pPr>
            <w:r>
              <w:rPr>
                <w:rFonts w:ascii="Avenir Next Condensed"/>
                <w:b/>
                <w:color w:val="FFFFFF"/>
                <w:sz w:val="18"/>
              </w:rPr>
              <w:t>Annual bill</w:t>
            </w:r>
          </w:p>
        </w:tc>
        <w:tc>
          <w:tcPr>
            <w:tcW w:w="110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4"/>
              <w:rPr>
                <w:rFonts w:ascii="Avenir Next" w:eastAsia="Avenir Next" w:hAnsi="Avenir Next" w:cs="Avenir Next"/>
                <w:b/>
                <w:bCs/>
                <w:sz w:val="23"/>
                <w:szCs w:val="23"/>
              </w:rPr>
            </w:pPr>
          </w:p>
          <w:p w:rsidR="00D96B91" w:rsidRDefault="00C2656B">
            <w:pPr>
              <w:pStyle w:val="TableParagraph"/>
              <w:spacing w:line="220" w:lineRule="exact"/>
              <w:ind w:left="108" w:right="106"/>
              <w:jc w:val="center"/>
              <w:rPr>
                <w:rFonts w:ascii="Avenir Next Condensed" w:eastAsia="Avenir Next Condensed" w:hAnsi="Avenir Next Condensed" w:cs="Avenir Next Condensed"/>
                <w:sz w:val="18"/>
                <w:szCs w:val="18"/>
              </w:rPr>
            </w:pPr>
            <w:r>
              <w:rPr>
                <w:rFonts w:ascii="Avenir Next Condensed"/>
                <w:b/>
                <w:color w:val="FFFFFF"/>
                <w:sz w:val="18"/>
              </w:rPr>
              <w:t>Change</w:t>
            </w:r>
            <w:r>
              <w:rPr>
                <w:rFonts w:ascii="Avenir Next Condensed"/>
                <w:b/>
                <w:color w:val="FFFFFF"/>
                <w:spacing w:val="-3"/>
                <w:sz w:val="18"/>
              </w:rPr>
              <w:t xml:space="preserve"> </w:t>
            </w:r>
            <w:r>
              <w:rPr>
                <w:rFonts w:ascii="Avenir Next Condensed"/>
                <w:b/>
                <w:color w:val="FFFFFF"/>
                <w:spacing w:val="-1"/>
                <w:sz w:val="18"/>
              </w:rPr>
              <w:t>from</w:t>
            </w:r>
            <w:r>
              <w:rPr>
                <w:rFonts w:ascii="Avenir Next Condensed"/>
                <w:b/>
                <w:color w:val="FFFFFF"/>
                <w:spacing w:val="22"/>
                <w:sz w:val="18"/>
              </w:rPr>
              <w:t xml:space="preserve"> </w:t>
            </w:r>
            <w:r>
              <w:rPr>
                <w:rFonts w:ascii="Avenir Next Condensed"/>
                <w:b/>
                <w:color w:val="FFFFFF"/>
                <w:spacing w:val="-1"/>
                <w:sz w:val="18"/>
              </w:rPr>
              <w:t>current</w:t>
            </w:r>
            <w:r>
              <w:rPr>
                <w:rFonts w:ascii="Avenir Next Condensed"/>
                <w:b/>
                <w:color w:val="FFFFFF"/>
                <w:sz w:val="18"/>
              </w:rPr>
              <w:t xml:space="preserve"> bill</w:t>
            </w:r>
            <w:r>
              <w:rPr>
                <w:rFonts w:ascii="Avenir Next Condensed"/>
                <w:b/>
                <w:color w:val="FFFFFF"/>
                <w:spacing w:val="25"/>
                <w:sz w:val="18"/>
              </w:rPr>
              <w:t xml:space="preserve"> </w:t>
            </w:r>
            <w:r>
              <w:rPr>
                <w:rFonts w:ascii="Avenir Next Condensed"/>
                <w:b/>
                <w:color w:val="FFFFFF"/>
                <w:sz w:val="18"/>
              </w:rPr>
              <w:t>(2014-15 to</w:t>
            </w:r>
          </w:p>
          <w:p w:rsidR="00D96B91" w:rsidRDefault="00C2656B">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10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spacing w:before="3"/>
              <w:rPr>
                <w:rFonts w:ascii="Avenir Next" w:eastAsia="Avenir Next" w:hAnsi="Avenir Next" w:cs="Avenir Next"/>
                <w:b/>
                <w:bCs/>
                <w:sz w:val="25"/>
                <w:szCs w:val="25"/>
              </w:rPr>
            </w:pPr>
          </w:p>
          <w:p w:rsidR="00D96B91" w:rsidRDefault="00C2656B">
            <w:pPr>
              <w:pStyle w:val="TableParagraph"/>
              <w:spacing w:line="220" w:lineRule="exact"/>
              <w:ind w:left="120" w:right="118"/>
              <w:jc w:val="center"/>
              <w:rPr>
                <w:rFonts w:ascii="Avenir Next Condensed" w:eastAsia="Avenir Next Condensed" w:hAnsi="Avenir Next Condensed" w:cs="Avenir Next Condensed"/>
                <w:sz w:val="18"/>
                <w:szCs w:val="18"/>
              </w:rPr>
            </w:pPr>
            <w:r>
              <w:rPr>
                <w:rFonts w:ascii="Avenir Next Condensed"/>
                <w:b/>
                <w:color w:val="FFFFFF"/>
                <w:sz w:val="18"/>
              </w:rPr>
              <w:t xml:space="preserve">Change over </w:t>
            </w:r>
            <w:r>
              <w:rPr>
                <w:rFonts w:ascii="Avenir Next Condensed"/>
                <w:b/>
                <w:color w:val="FFFFFF"/>
                <w:spacing w:val="-1"/>
                <w:sz w:val="18"/>
              </w:rPr>
              <w:t>regulatory</w:t>
            </w:r>
            <w:r>
              <w:rPr>
                <w:rFonts w:ascii="Avenir Next Condensed"/>
                <w:b/>
                <w:color w:val="FFFFFF"/>
                <w:spacing w:val="28"/>
                <w:sz w:val="18"/>
              </w:rPr>
              <w:t xml:space="preserve"> </w:t>
            </w:r>
            <w:r>
              <w:rPr>
                <w:rFonts w:ascii="Avenir Next Condensed"/>
                <w:b/>
                <w:color w:val="FFFFFF"/>
                <w:sz w:val="18"/>
              </w:rPr>
              <w:t>period (2012-13 to</w:t>
            </w:r>
          </w:p>
          <w:p w:rsidR="00D96B91" w:rsidRDefault="00C2656B">
            <w:pPr>
              <w:pStyle w:val="TableParagraph"/>
              <w:spacing w:line="242" w:lineRule="exact"/>
              <w:jc w:val="center"/>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790"/>
        </w:trPr>
        <w:tc>
          <w:tcPr>
            <w:tcW w:w="1143" w:type="dxa"/>
            <w:vMerge/>
            <w:tcBorders>
              <w:left w:val="single" w:sz="4" w:space="0" w:color="1A9EDA"/>
              <w:right w:val="single" w:sz="4" w:space="0" w:color="1A9EDA"/>
            </w:tcBorders>
            <w:shd w:val="clear" w:color="auto" w:fill="0778BE"/>
          </w:tcPr>
          <w:p w:rsidR="00D96B91" w:rsidRDefault="00D96B91"/>
        </w:tc>
        <w:tc>
          <w:tcPr>
            <w:tcW w:w="941" w:type="dxa"/>
            <w:vMerge/>
            <w:tcBorders>
              <w:left w:val="single" w:sz="4" w:space="0" w:color="1A9EDA"/>
              <w:right w:val="single" w:sz="4" w:space="0" w:color="1A9EDA"/>
            </w:tcBorders>
            <w:shd w:val="clear" w:color="auto" w:fill="0778BE"/>
          </w:tcPr>
          <w:p w:rsidR="00D96B91" w:rsidRDefault="00D96B91"/>
        </w:tc>
        <w:tc>
          <w:tcPr>
            <w:tcW w:w="853"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C2656B">
            <w:pPr>
              <w:pStyle w:val="TableParagraph"/>
              <w:spacing w:before="132"/>
              <w:ind w:left="129"/>
              <w:rPr>
                <w:rFonts w:ascii="Avenir Next Condensed" w:eastAsia="Avenir Next Condensed" w:hAnsi="Avenir Next Condensed" w:cs="Avenir Next Condensed"/>
                <w:sz w:val="18"/>
                <w:szCs w:val="18"/>
              </w:rPr>
            </w:pPr>
            <w:r>
              <w:rPr>
                <w:rFonts w:ascii="Avenir Next Condensed"/>
                <w:b/>
                <w:color w:val="FFFFFF"/>
                <w:sz w:val="18"/>
              </w:rPr>
              <w:t>2012-13</w:t>
            </w:r>
          </w:p>
        </w:tc>
        <w:tc>
          <w:tcPr>
            <w:tcW w:w="1705"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4" w:line="220" w:lineRule="exact"/>
              <w:ind w:left="154" w:right="152" w:hanging="1"/>
              <w:jc w:val="center"/>
              <w:rPr>
                <w:rFonts w:ascii="Avenir Next Condensed" w:eastAsia="Avenir Next Condensed" w:hAnsi="Avenir Next Condensed" w:cs="Avenir Next Condensed"/>
                <w:sz w:val="18"/>
                <w:szCs w:val="18"/>
              </w:rPr>
            </w:pPr>
            <w:r>
              <w:rPr>
                <w:rFonts w:ascii="Avenir Next Condensed"/>
                <w:b/>
                <w:color w:val="FFFFFF"/>
                <w:spacing w:val="-1"/>
                <w:sz w:val="18"/>
              </w:rPr>
              <w:t>Prices</w:t>
            </w:r>
            <w:r>
              <w:rPr>
                <w:rFonts w:ascii="Avenir Next Condensed"/>
                <w:b/>
                <w:color w:val="FFFFFF"/>
                <w:sz w:val="18"/>
              </w:rPr>
              <w:t xml:space="preserve"> set by the</w:t>
            </w:r>
            <w:r>
              <w:rPr>
                <w:rFonts w:ascii="Avenir Next Condensed"/>
                <w:b/>
                <w:color w:val="FFFFFF"/>
                <w:spacing w:val="21"/>
                <w:sz w:val="18"/>
              </w:rPr>
              <w:t xml:space="preserve"> </w:t>
            </w:r>
            <w:r>
              <w:rPr>
                <w:rFonts w:ascii="Avenir Next Condensed"/>
                <w:b/>
                <w:color w:val="FFFFFF"/>
                <w:sz w:val="18"/>
              </w:rPr>
              <w:t>ICRC and payable by customers</w:t>
            </w:r>
          </w:p>
        </w:tc>
        <w:tc>
          <w:tcPr>
            <w:tcW w:w="2558"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3"/>
              <w:rPr>
                <w:rFonts w:ascii="Avenir Next" w:eastAsia="Avenir Next" w:hAnsi="Avenir Next" w:cs="Avenir Next"/>
                <w:b/>
                <w:bCs/>
              </w:rPr>
            </w:pPr>
          </w:p>
          <w:p w:rsidR="00D96B91" w:rsidRDefault="00C2656B">
            <w:pPr>
              <w:pStyle w:val="TableParagraph"/>
              <w:spacing w:line="220" w:lineRule="exact"/>
              <w:ind w:left="905" w:right="243" w:hanging="660"/>
              <w:rPr>
                <w:rFonts w:ascii="Avenir Next Condensed" w:eastAsia="Avenir Next Condensed" w:hAnsi="Avenir Next Condensed" w:cs="Avenir Next Condensed"/>
                <w:sz w:val="18"/>
                <w:szCs w:val="18"/>
              </w:rPr>
            </w:pPr>
            <w:r>
              <w:rPr>
                <w:rFonts w:ascii="Avenir Next Condensed"/>
                <w:b/>
                <w:color w:val="FFFFFF"/>
                <w:spacing w:val="-2"/>
                <w:sz w:val="18"/>
              </w:rPr>
              <w:t>Panel</w:t>
            </w:r>
            <w:r>
              <w:rPr>
                <w:rFonts w:ascii="Avenir Next Condensed"/>
                <w:b/>
                <w:color w:val="FFFFFF"/>
                <w:sz w:val="18"/>
              </w:rPr>
              <w:t xml:space="preserve"> </w:t>
            </w:r>
            <w:r>
              <w:rPr>
                <w:rFonts w:ascii="Avenir Next Condensed"/>
                <w:b/>
                <w:color w:val="FFFFFF"/>
                <w:spacing w:val="-1"/>
                <w:sz w:val="18"/>
              </w:rPr>
              <w:t>Draft</w:t>
            </w:r>
            <w:r>
              <w:rPr>
                <w:rFonts w:ascii="Avenir Next Condensed"/>
                <w:b/>
                <w:color w:val="FFFFFF"/>
                <w:sz w:val="18"/>
              </w:rPr>
              <w:t xml:space="preserve"> Decision indicative</w:t>
            </w:r>
            <w:r>
              <w:rPr>
                <w:rFonts w:ascii="Avenir Next Condensed"/>
                <w:b/>
                <w:color w:val="FFFFFF"/>
                <w:spacing w:val="24"/>
                <w:sz w:val="18"/>
              </w:rPr>
              <w:t xml:space="preserve"> </w:t>
            </w:r>
            <w:r>
              <w:rPr>
                <w:rFonts w:ascii="Avenir Next Condensed"/>
                <w:b/>
                <w:color w:val="FFFFFF"/>
                <w:sz w:val="18"/>
              </w:rPr>
              <w:t>estimates*</w:t>
            </w:r>
          </w:p>
        </w:tc>
        <w:tc>
          <w:tcPr>
            <w:tcW w:w="1101" w:type="dxa"/>
            <w:vMerge/>
            <w:tcBorders>
              <w:left w:val="single" w:sz="4" w:space="0" w:color="1A9EDA"/>
              <w:right w:val="single" w:sz="4" w:space="0" w:color="1A9EDA"/>
            </w:tcBorders>
            <w:shd w:val="clear" w:color="auto" w:fill="0778BE"/>
          </w:tcPr>
          <w:p w:rsidR="00D96B91" w:rsidRDefault="00D96B91"/>
        </w:tc>
        <w:tc>
          <w:tcPr>
            <w:tcW w:w="1101" w:type="dxa"/>
            <w:vMerge/>
            <w:tcBorders>
              <w:left w:val="single" w:sz="4" w:space="0" w:color="1A9EDA"/>
              <w:right w:val="single" w:sz="4" w:space="0" w:color="1A9EDA"/>
            </w:tcBorders>
            <w:shd w:val="clear" w:color="auto" w:fill="0778BE"/>
          </w:tcPr>
          <w:p w:rsidR="00D96B91" w:rsidRDefault="00D96B91"/>
        </w:tc>
      </w:tr>
      <w:tr w:rsidR="00D96B91">
        <w:trPr>
          <w:trHeight w:hRule="exact" w:val="350"/>
        </w:trPr>
        <w:tc>
          <w:tcPr>
            <w:tcW w:w="1143" w:type="dxa"/>
            <w:vMerge/>
            <w:tcBorders>
              <w:left w:val="single" w:sz="4" w:space="0" w:color="1A9EDA"/>
              <w:bottom w:val="single" w:sz="4" w:space="0" w:color="1A9EDA"/>
              <w:right w:val="single" w:sz="4" w:space="0" w:color="1A9EDA"/>
            </w:tcBorders>
            <w:shd w:val="clear" w:color="auto" w:fill="0778BE"/>
          </w:tcPr>
          <w:p w:rsidR="00D96B91" w:rsidRDefault="00D96B91"/>
        </w:tc>
        <w:tc>
          <w:tcPr>
            <w:tcW w:w="941" w:type="dxa"/>
            <w:vMerge/>
            <w:tcBorders>
              <w:left w:val="single" w:sz="4" w:space="0" w:color="1A9EDA"/>
              <w:bottom w:val="single" w:sz="4" w:space="0" w:color="1A9EDA"/>
              <w:right w:val="single" w:sz="4" w:space="0" w:color="1A9EDA"/>
            </w:tcBorders>
            <w:shd w:val="clear" w:color="auto" w:fill="0778BE"/>
          </w:tcPr>
          <w:p w:rsidR="00D96B91" w:rsidRDefault="00D96B91"/>
        </w:tc>
        <w:tc>
          <w:tcPr>
            <w:tcW w:w="853" w:type="dxa"/>
            <w:vMerge/>
            <w:tcBorders>
              <w:left w:val="single" w:sz="4" w:space="0" w:color="1A9EDA"/>
              <w:bottom w:val="single" w:sz="4" w:space="0" w:color="1A9EDA"/>
              <w:right w:val="single" w:sz="4" w:space="0" w:color="1A9EDA"/>
            </w:tcBorders>
            <w:shd w:val="clear" w:color="auto" w:fill="0778BE"/>
          </w:tcPr>
          <w:p w:rsidR="00D96B91" w:rsidRDefault="00D96B91"/>
        </w:tc>
        <w:tc>
          <w:tcPr>
            <w:tcW w:w="8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79"/>
              <w:ind w:left="129"/>
              <w:rPr>
                <w:rFonts w:ascii="Avenir Next Condensed" w:eastAsia="Avenir Next Condensed" w:hAnsi="Avenir Next Condensed" w:cs="Avenir Next Condensed"/>
                <w:sz w:val="18"/>
                <w:szCs w:val="18"/>
              </w:rPr>
            </w:pPr>
            <w:r>
              <w:rPr>
                <w:rFonts w:ascii="Avenir Next Condensed"/>
                <w:b/>
                <w:color w:val="FFFFFF"/>
                <w:sz w:val="18"/>
              </w:rPr>
              <w:t>2013-14</w:t>
            </w:r>
          </w:p>
        </w:tc>
        <w:tc>
          <w:tcPr>
            <w:tcW w:w="8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79"/>
              <w:ind w:left="129"/>
              <w:rPr>
                <w:rFonts w:ascii="Avenir Next Condensed" w:eastAsia="Avenir Next Condensed" w:hAnsi="Avenir Next Condensed" w:cs="Avenir Next Condensed"/>
                <w:sz w:val="18"/>
                <w:szCs w:val="18"/>
              </w:rPr>
            </w:pPr>
            <w:r>
              <w:rPr>
                <w:rFonts w:ascii="Avenir Next Condensed"/>
                <w:b/>
                <w:color w:val="FFFFFF"/>
                <w:sz w:val="18"/>
              </w:rPr>
              <w:t>2014-15</w:t>
            </w:r>
          </w:p>
        </w:tc>
        <w:tc>
          <w:tcPr>
            <w:tcW w:w="8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79"/>
              <w:ind w:left="129"/>
              <w:rPr>
                <w:rFonts w:ascii="Avenir Next Condensed" w:eastAsia="Avenir Next Condensed" w:hAnsi="Avenir Next Condensed" w:cs="Avenir Next Condensed"/>
                <w:sz w:val="18"/>
                <w:szCs w:val="18"/>
              </w:rPr>
            </w:pPr>
            <w:r>
              <w:rPr>
                <w:rFonts w:ascii="Avenir Next Condensed"/>
                <w:b/>
                <w:color w:val="FFFFFF"/>
                <w:sz w:val="18"/>
              </w:rPr>
              <w:t>2015-16</w:t>
            </w:r>
          </w:p>
        </w:tc>
        <w:tc>
          <w:tcPr>
            <w:tcW w:w="8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79"/>
              <w:ind w:left="129"/>
              <w:rPr>
                <w:rFonts w:ascii="Avenir Next Condensed" w:eastAsia="Avenir Next Condensed" w:hAnsi="Avenir Next Condensed" w:cs="Avenir Next Condensed"/>
                <w:sz w:val="18"/>
                <w:szCs w:val="18"/>
              </w:rPr>
            </w:pPr>
            <w:r>
              <w:rPr>
                <w:rFonts w:ascii="Avenir Next Condensed"/>
                <w:b/>
                <w:color w:val="FFFFFF"/>
                <w:sz w:val="18"/>
              </w:rPr>
              <w:t>2016-17</w:t>
            </w:r>
          </w:p>
        </w:tc>
        <w:tc>
          <w:tcPr>
            <w:tcW w:w="85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79"/>
              <w:ind w:left="129"/>
              <w:rPr>
                <w:rFonts w:ascii="Avenir Next Condensed" w:eastAsia="Avenir Next Condensed" w:hAnsi="Avenir Next Condensed" w:cs="Avenir Next Condensed"/>
                <w:sz w:val="18"/>
                <w:szCs w:val="18"/>
              </w:rPr>
            </w:pPr>
            <w:r>
              <w:rPr>
                <w:rFonts w:ascii="Avenir Next Condensed"/>
                <w:b/>
                <w:color w:val="FFFFFF"/>
                <w:sz w:val="18"/>
              </w:rPr>
              <w:t>2017-18</w:t>
            </w:r>
          </w:p>
        </w:tc>
        <w:tc>
          <w:tcPr>
            <w:tcW w:w="1101" w:type="dxa"/>
            <w:vMerge/>
            <w:tcBorders>
              <w:left w:val="single" w:sz="4" w:space="0" w:color="1A9EDA"/>
              <w:bottom w:val="single" w:sz="4" w:space="0" w:color="1A9EDA"/>
              <w:right w:val="single" w:sz="4" w:space="0" w:color="1A9EDA"/>
            </w:tcBorders>
            <w:shd w:val="clear" w:color="auto" w:fill="0778BE"/>
          </w:tcPr>
          <w:p w:rsidR="00D96B91" w:rsidRDefault="00D96B91"/>
        </w:tc>
        <w:tc>
          <w:tcPr>
            <w:tcW w:w="1101" w:type="dxa"/>
            <w:vMerge/>
            <w:tcBorders>
              <w:left w:val="single" w:sz="4" w:space="0" w:color="1A9EDA"/>
              <w:bottom w:val="single" w:sz="4" w:space="0" w:color="1A9EDA"/>
              <w:right w:val="single" w:sz="4" w:space="0" w:color="1A9EDA"/>
            </w:tcBorders>
            <w:shd w:val="clear" w:color="auto" w:fill="0778BE"/>
          </w:tcPr>
          <w:p w:rsidR="00D96B91" w:rsidRDefault="00D96B91"/>
        </w:tc>
      </w:tr>
      <w:tr w:rsidR="00D96B91">
        <w:trPr>
          <w:trHeight w:hRule="exact" w:val="350"/>
        </w:trPr>
        <w:tc>
          <w:tcPr>
            <w:tcW w:w="1143"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79"/>
              <w:ind w:left="108"/>
              <w:rPr>
                <w:rFonts w:ascii="Avenir Next Condensed" w:eastAsia="Avenir Next Condensed" w:hAnsi="Avenir Next Condensed" w:cs="Avenir Next Condensed"/>
                <w:sz w:val="18"/>
                <w:szCs w:val="18"/>
              </w:rPr>
            </w:pPr>
            <w:r>
              <w:rPr>
                <w:rFonts w:ascii="Avenir Next Condensed"/>
                <w:b/>
                <w:sz w:val="18"/>
              </w:rPr>
              <w:t>1,000</w:t>
            </w:r>
          </w:p>
        </w:tc>
        <w:tc>
          <w:tcPr>
            <w:tcW w:w="94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right="21"/>
              <w:jc w:val="center"/>
              <w:rPr>
                <w:rFonts w:ascii="Avenir Next Condensed" w:eastAsia="Avenir Next Condensed" w:hAnsi="Avenir Next Condensed" w:cs="Avenir Next Condensed"/>
                <w:sz w:val="18"/>
                <w:szCs w:val="18"/>
              </w:rPr>
            </w:pPr>
            <w:r>
              <w:rPr>
                <w:rFonts w:ascii="Avenir Next Condensed"/>
                <w:sz w:val="18"/>
              </w:rPr>
              <w:t>10</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5"/>
              <w:rPr>
                <w:rFonts w:ascii="Avenir Next Condensed" w:eastAsia="Avenir Next Condensed" w:hAnsi="Avenir Next Condensed" w:cs="Avenir Next Condensed"/>
                <w:sz w:val="18"/>
                <w:szCs w:val="18"/>
              </w:rPr>
            </w:pPr>
            <w:r>
              <w:rPr>
                <w:rFonts w:ascii="Avenir Next Condensed"/>
                <w:sz w:val="18"/>
              </w:rPr>
              <w:t>10,949</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99"/>
              <w:rPr>
                <w:rFonts w:ascii="Avenir Next Condensed" w:eastAsia="Avenir Next Condensed" w:hAnsi="Avenir Next Condensed" w:cs="Avenir Next Condensed"/>
                <w:sz w:val="18"/>
                <w:szCs w:val="18"/>
              </w:rPr>
            </w:pPr>
            <w:r>
              <w:rPr>
                <w:rFonts w:ascii="Avenir Next Condensed"/>
                <w:sz w:val="18"/>
              </w:rPr>
              <w:t>9,994</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5"/>
              <w:rPr>
                <w:rFonts w:ascii="Avenir Next Condensed" w:eastAsia="Avenir Next Condensed" w:hAnsi="Avenir Next Condensed" w:cs="Avenir Next Condensed"/>
                <w:sz w:val="18"/>
                <w:szCs w:val="18"/>
              </w:rPr>
            </w:pPr>
            <w:r>
              <w:rPr>
                <w:rFonts w:ascii="Avenir Next Condensed"/>
                <w:sz w:val="18"/>
              </w:rPr>
              <w:t>10,311</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4"/>
              <w:rPr>
                <w:rFonts w:ascii="Avenir Next Condensed" w:eastAsia="Avenir Next Condensed" w:hAnsi="Avenir Next Condensed" w:cs="Avenir Next Condensed"/>
                <w:sz w:val="18"/>
                <w:szCs w:val="18"/>
              </w:rPr>
            </w:pPr>
            <w:r>
              <w:rPr>
                <w:rFonts w:ascii="Avenir Next Condensed"/>
                <w:sz w:val="18"/>
              </w:rPr>
              <w:t>10,326</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4"/>
              <w:rPr>
                <w:rFonts w:ascii="Avenir Next Condensed" w:eastAsia="Avenir Next Condensed" w:hAnsi="Avenir Next Condensed" w:cs="Avenir Next Condensed"/>
                <w:sz w:val="18"/>
                <w:szCs w:val="18"/>
              </w:rPr>
            </w:pPr>
            <w:r>
              <w:rPr>
                <w:rFonts w:ascii="Avenir Next Condensed"/>
                <w:sz w:val="18"/>
              </w:rPr>
              <w:t>10,469</w:t>
            </w:r>
          </w:p>
        </w:tc>
        <w:tc>
          <w:tcPr>
            <w:tcW w:w="85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14"/>
              <w:rPr>
                <w:rFonts w:ascii="Avenir Next Condensed" w:eastAsia="Avenir Next Condensed" w:hAnsi="Avenir Next Condensed" w:cs="Avenir Next Condensed"/>
                <w:sz w:val="18"/>
                <w:szCs w:val="18"/>
              </w:rPr>
            </w:pPr>
            <w:r>
              <w:rPr>
                <w:rFonts w:ascii="Avenir Next Condensed"/>
                <w:sz w:val="18"/>
              </w:rPr>
              <w:t>10,615</w:t>
            </w:r>
          </w:p>
        </w:tc>
        <w:tc>
          <w:tcPr>
            <w:tcW w:w="11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07"/>
              <w:jc w:val="center"/>
              <w:rPr>
                <w:rFonts w:ascii="Avenir Next Condensed" w:eastAsia="Avenir Next Condensed" w:hAnsi="Avenir Next Condensed" w:cs="Avenir Next Condensed"/>
                <w:sz w:val="18"/>
                <w:szCs w:val="18"/>
              </w:rPr>
            </w:pPr>
            <w:r>
              <w:rPr>
                <w:rFonts w:ascii="Avenir Next Condensed"/>
                <w:sz w:val="18"/>
              </w:rPr>
              <w:t>3%</w:t>
            </w:r>
          </w:p>
        </w:tc>
        <w:tc>
          <w:tcPr>
            <w:tcW w:w="11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66"/>
              <w:jc w:val="center"/>
              <w:rPr>
                <w:rFonts w:ascii="Avenir Next Condensed" w:eastAsia="Avenir Next Condensed" w:hAnsi="Avenir Next Condensed" w:cs="Avenir Next Condensed"/>
                <w:sz w:val="18"/>
                <w:szCs w:val="18"/>
              </w:rPr>
            </w:pPr>
            <w:r>
              <w:rPr>
                <w:rFonts w:ascii="Avenir Next Condensed"/>
                <w:sz w:val="18"/>
              </w:rPr>
              <w:t>-3%</w:t>
            </w:r>
          </w:p>
        </w:tc>
      </w:tr>
      <w:tr w:rsidR="00D96B91">
        <w:trPr>
          <w:trHeight w:hRule="exact" w:val="350"/>
        </w:trPr>
        <w:tc>
          <w:tcPr>
            <w:tcW w:w="1143" w:type="dxa"/>
            <w:vMerge/>
            <w:tcBorders>
              <w:left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1"/>
              <w:jc w:val="center"/>
              <w:rPr>
                <w:rFonts w:ascii="Avenir Next Condensed" w:eastAsia="Avenir Next Condensed" w:hAnsi="Avenir Next Condensed" w:cs="Avenir Next Condensed"/>
                <w:sz w:val="18"/>
                <w:szCs w:val="18"/>
              </w:rPr>
            </w:pPr>
            <w:r>
              <w:rPr>
                <w:rFonts w:ascii="Avenir Next Condensed"/>
                <w:sz w:val="18"/>
              </w:rPr>
              <w:t>50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34,445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29,241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30,082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31,072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31,734</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32,412</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6"/>
              <w:jc w:val="center"/>
              <w:rPr>
                <w:rFonts w:ascii="Avenir Next Condensed" w:eastAsia="Avenir Next Condensed" w:hAnsi="Avenir Next Condensed" w:cs="Avenir Next Condensed"/>
                <w:sz w:val="18"/>
                <w:szCs w:val="18"/>
              </w:rPr>
            </w:pPr>
            <w:r>
              <w:rPr>
                <w:rFonts w:ascii="Avenir Next Condensed"/>
                <w:sz w:val="18"/>
              </w:rPr>
              <w:t>8%</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5"/>
              <w:jc w:val="center"/>
              <w:rPr>
                <w:rFonts w:ascii="Avenir Next Condensed" w:eastAsia="Avenir Next Condensed" w:hAnsi="Avenir Next Condensed" w:cs="Avenir Next Condensed"/>
                <w:sz w:val="18"/>
                <w:szCs w:val="18"/>
              </w:rPr>
            </w:pPr>
            <w:r>
              <w:rPr>
                <w:rFonts w:ascii="Avenir Next Condensed"/>
                <w:sz w:val="18"/>
              </w:rPr>
              <w:t>-6%</w:t>
            </w:r>
          </w:p>
        </w:tc>
      </w:tr>
      <w:tr w:rsidR="00D96B91">
        <w:trPr>
          <w:trHeight w:hRule="exact" w:val="350"/>
        </w:trPr>
        <w:tc>
          <w:tcPr>
            <w:tcW w:w="1143" w:type="dxa"/>
            <w:vMerge/>
            <w:tcBorders>
              <w:left w:val="single" w:sz="4" w:space="0" w:color="17A7E0"/>
              <w:bottom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83"/>
              <w:rPr>
                <w:rFonts w:ascii="Avenir Next Condensed" w:eastAsia="Avenir Next Condensed" w:hAnsi="Avenir Next Condensed" w:cs="Avenir Next Condensed"/>
                <w:sz w:val="18"/>
                <w:szCs w:val="18"/>
              </w:rPr>
            </w:pPr>
            <w:r>
              <w:rPr>
                <w:rFonts w:ascii="Avenir Next Condensed"/>
                <w:sz w:val="18"/>
              </w:rPr>
              <w:t>100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63,816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53,300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54,796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57,005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58,315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59,658</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5"/>
              <w:jc w:val="center"/>
              <w:rPr>
                <w:rFonts w:ascii="Avenir Next Condensed" w:eastAsia="Avenir Next Condensed" w:hAnsi="Avenir Next Condensed" w:cs="Avenir Next Condensed"/>
                <w:sz w:val="18"/>
                <w:szCs w:val="18"/>
              </w:rPr>
            </w:pPr>
            <w:r>
              <w:rPr>
                <w:rFonts w:ascii="Avenir Next Condensed"/>
                <w:sz w:val="18"/>
              </w:rPr>
              <w:t>9%</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4"/>
              <w:jc w:val="center"/>
              <w:rPr>
                <w:rFonts w:ascii="Avenir Next Condensed" w:eastAsia="Avenir Next Condensed" w:hAnsi="Avenir Next Condensed" w:cs="Avenir Next Condensed"/>
                <w:sz w:val="18"/>
                <w:szCs w:val="18"/>
              </w:rPr>
            </w:pPr>
            <w:r>
              <w:rPr>
                <w:rFonts w:ascii="Avenir Next Condensed"/>
                <w:sz w:val="18"/>
              </w:rPr>
              <w:t>-7%</w:t>
            </w:r>
          </w:p>
        </w:tc>
      </w:tr>
      <w:tr w:rsidR="00D96B91">
        <w:trPr>
          <w:trHeight w:hRule="exact" w:val="350"/>
        </w:trPr>
        <w:tc>
          <w:tcPr>
            <w:tcW w:w="1143"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80"/>
              <w:ind w:left="106"/>
              <w:rPr>
                <w:rFonts w:ascii="Avenir Next Condensed" w:eastAsia="Avenir Next Condensed" w:hAnsi="Avenir Next Condensed" w:cs="Avenir Next Condensed"/>
                <w:sz w:val="18"/>
                <w:szCs w:val="18"/>
              </w:rPr>
            </w:pPr>
            <w:r>
              <w:rPr>
                <w:rFonts w:ascii="Avenir Next Condensed"/>
                <w:b/>
                <w:sz w:val="18"/>
              </w:rPr>
              <w:t>2,000</w:t>
            </w:r>
          </w:p>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3"/>
              <w:jc w:val="center"/>
              <w:rPr>
                <w:rFonts w:ascii="Avenir Next Condensed" w:eastAsia="Avenir Next Condensed" w:hAnsi="Avenir Next Condensed" w:cs="Avenir Next Condensed"/>
                <w:sz w:val="18"/>
                <w:szCs w:val="18"/>
              </w:rPr>
            </w:pPr>
            <w:r>
              <w:rPr>
                <w:rFonts w:ascii="Avenir Next Condensed"/>
                <w:sz w:val="18"/>
              </w:rPr>
              <w:t>10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15,809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4"/>
              <w:rPr>
                <w:rFonts w:ascii="Avenir Next Condensed" w:eastAsia="Avenir Next Condensed" w:hAnsi="Avenir Next Condensed" w:cs="Avenir Next Condensed"/>
                <w:sz w:val="18"/>
                <w:szCs w:val="18"/>
              </w:rPr>
            </w:pPr>
            <w:r>
              <w:rPr>
                <w:rFonts w:ascii="Avenir Next Condensed"/>
                <w:sz w:val="18"/>
              </w:rPr>
              <w:t>15,094</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15,601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15,340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15,483</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15,629</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4"/>
              <w:jc w:val="center"/>
              <w:rPr>
                <w:rFonts w:ascii="Avenir Next Condensed" w:eastAsia="Avenir Next Condensed" w:hAnsi="Avenir Next Condensed" w:cs="Avenir Next Condensed"/>
                <w:sz w:val="18"/>
                <w:szCs w:val="18"/>
              </w:rPr>
            </w:pPr>
            <w:r>
              <w:rPr>
                <w:rFonts w:ascii="Avenir Next Condensed"/>
                <w:sz w:val="18"/>
              </w:rPr>
              <w:t>0%</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4"/>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350"/>
        </w:trPr>
        <w:tc>
          <w:tcPr>
            <w:tcW w:w="1143" w:type="dxa"/>
            <w:vMerge/>
            <w:tcBorders>
              <w:left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3"/>
              <w:jc w:val="center"/>
              <w:rPr>
                <w:rFonts w:ascii="Avenir Next Condensed" w:eastAsia="Avenir Next Condensed" w:hAnsi="Avenir Next Condensed" w:cs="Avenir Next Condensed"/>
                <w:sz w:val="18"/>
                <w:szCs w:val="18"/>
              </w:rPr>
            </w:pPr>
            <w:r>
              <w:rPr>
                <w:rFonts w:ascii="Avenir Next Condensed"/>
                <w:sz w:val="18"/>
              </w:rPr>
              <w:t>50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39,305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34,341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35,372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36,086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36,748</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37,426</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4"/>
              <w:jc w:val="center"/>
              <w:rPr>
                <w:rFonts w:ascii="Avenir Next Condensed" w:eastAsia="Avenir Next Condensed" w:hAnsi="Avenir Next Condensed" w:cs="Avenir Next Condensed"/>
                <w:sz w:val="18"/>
                <w:szCs w:val="18"/>
              </w:rPr>
            </w:pPr>
            <w:r>
              <w:rPr>
                <w:rFonts w:ascii="Avenir Next Condensed"/>
                <w:sz w:val="18"/>
              </w:rPr>
              <w:t>6%</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3"/>
              <w:jc w:val="center"/>
              <w:rPr>
                <w:rFonts w:ascii="Avenir Next Condensed" w:eastAsia="Avenir Next Condensed" w:hAnsi="Avenir Next Condensed" w:cs="Avenir Next Condensed"/>
                <w:sz w:val="18"/>
                <w:szCs w:val="18"/>
              </w:rPr>
            </w:pPr>
            <w:r>
              <w:rPr>
                <w:rFonts w:ascii="Avenir Next Condensed"/>
                <w:sz w:val="18"/>
              </w:rPr>
              <w:t>-5%</w:t>
            </w:r>
          </w:p>
        </w:tc>
      </w:tr>
      <w:tr w:rsidR="00D96B91">
        <w:trPr>
          <w:trHeight w:hRule="exact" w:val="350"/>
        </w:trPr>
        <w:tc>
          <w:tcPr>
            <w:tcW w:w="1143" w:type="dxa"/>
            <w:vMerge/>
            <w:tcBorders>
              <w:left w:val="single" w:sz="4" w:space="0" w:color="17A7E0"/>
              <w:bottom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82"/>
              <w:rPr>
                <w:rFonts w:ascii="Avenir Next Condensed" w:eastAsia="Avenir Next Condensed" w:hAnsi="Avenir Next Condensed" w:cs="Avenir Next Condensed"/>
                <w:sz w:val="18"/>
                <w:szCs w:val="18"/>
              </w:rPr>
            </w:pPr>
            <w:r>
              <w:rPr>
                <w:rFonts w:ascii="Avenir Next Condensed"/>
                <w:sz w:val="18"/>
              </w:rPr>
              <w:t>100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68,676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58,400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60,086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62,019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63,329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64,672</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3"/>
              <w:jc w:val="center"/>
              <w:rPr>
                <w:rFonts w:ascii="Avenir Next Condensed" w:eastAsia="Avenir Next Condensed" w:hAnsi="Avenir Next Condensed" w:cs="Avenir Next Condensed"/>
                <w:sz w:val="18"/>
                <w:szCs w:val="18"/>
              </w:rPr>
            </w:pPr>
            <w:r>
              <w:rPr>
                <w:rFonts w:ascii="Avenir Next Condensed"/>
                <w:sz w:val="18"/>
              </w:rPr>
              <w:t>8%</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2"/>
              <w:jc w:val="center"/>
              <w:rPr>
                <w:rFonts w:ascii="Avenir Next Condensed" w:eastAsia="Avenir Next Condensed" w:hAnsi="Avenir Next Condensed" w:cs="Avenir Next Condensed"/>
                <w:sz w:val="18"/>
                <w:szCs w:val="18"/>
              </w:rPr>
            </w:pPr>
            <w:r>
              <w:rPr>
                <w:rFonts w:ascii="Avenir Next Condensed"/>
                <w:sz w:val="18"/>
              </w:rPr>
              <w:t>-6%</w:t>
            </w:r>
          </w:p>
        </w:tc>
      </w:tr>
      <w:tr w:rsidR="00D96B91">
        <w:trPr>
          <w:trHeight w:hRule="exact" w:val="350"/>
        </w:trPr>
        <w:tc>
          <w:tcPr>
            <w:tcW w:w="1143"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80"/>
              <w:ind w:left="105"/>
              <w:rPr>
                <w:rFonts w:ascii="Avenir Next Condensed" w:eastAsia="Avenir Next Condensed" w:hAnsi="Avenir Next Condensed" w:cs="Avenir Next Condensed"/>
                <w:sz w:val="18"/>
                <w:szCs w:val="18"/>
              </w:rPr>
            </w:pPr>
            <w:r>
              <w:rPr>
                <w:rFonts w:ascii="Avenir Next Condensed"/>
                <w:b/>
                <w:sz w:val="18"/>
              </w:rPr>
              <w:t>5,000</w:t>
            </w:r>
          </w:p>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5"/>
              <w:jc w:val="center"/>
              <w:rPr>
                <w:rFonts w:ascii="Avenir Next Condensed" w:eastAsia="Avenir Next Condensed" w:hAnsi="Avenir Next Condensed" w:cs="Avenir Next Condensed"/>
                <w:sz w:val="18"/>
                <w:szCs w:val="18"/>
              </w:rPr>
            </w:pPr>
            <w:r>
              <w:rPr>
                <w:rFonts w:ascii="Avenir Next Condensed"/>
                <w:sz w:val="18"/>
              </w:rPr>
              <w:t>10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3"/>
              <w:rPr>
                <w:rFonts w:ascii="Avenir Next Condensed" w:eastAsia="Avenir Next Condensed" w:hAnsi="Avenir Next Condensed" w:cs="Avenir Next Condensed"/>
                <w:sz w:val="18"/>
                <w:szCs w:val="18"/>
              </w:rPr>
            </w:pPr>
            <w:r>
              <w:rPr>
                <w:rFonts w:ascii="Avenir Next Condensed"/>
                <w:sz w:val="18"/>
              </w:rPr>
              <w:t>30,389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30,394</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31,471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30,383</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30,526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30,672</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2"/>
              <w:jc w:val="center"/>
              <w:rPr>
                <w:rFonts w:ascii="Avenir Next Condensed" w:eastAsia="Avenir Next Condensed" w:hAnsi="Avenir Next Condensed" w:cs="Avenir Next Condensed"/>
                <w:sz w:val="18"/>
                <w:szCs w:val="18"/>
              </w:rPr>
            </w:pPr>
            <w:r>
              <w:rPr>
                <w:rFonts w:ascii="Avenir Next Condensed"/>
                <w:sz w:val="18"/>
              </w:rPr>
              <w:t>-3%</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2"/>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350"/>
        </w:trPr>
        <w:tc>
          <w:tcPr>
            <w:tcW w:w="1143" w:type="dxa"/>
            <w:vMerge/>
            <w:tcBorders>
              <w:left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6"/>
              <w:jc w:val="center"/>
              <w:rPr>
                <w:rFonts w:ascii="Avenir Next Condensed" w:eastAsia="Avenir Next Condensed" w:hAnsi="Avenir Next Condensed" w:cs="Avenir Next Condensed"/>
                <w:sz w:val="18"/>
                <w:szCs w:val="18"/>
              </w:rPr>
            </w:pPr>
            <w:r>
              <w:rPr>
                <w:rFonts w:ascii="Avenir Next Condensed"/>
                <w:sz w:val="18"/>
              </w:rPr>
              <w:t>50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53,885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49,641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51,242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51,129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51,791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52,469</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2"/>
              <w:jc w:val="center"/>
              <w:rPr>
                <w:rFonts w:ascii="Avenir Next Condensed" w:eastAsia="Avenir Next Condensed" w:hAnsi="Avenir Next Condensed" w:cs="Avenir Next Condensed"/>
                <w:sz w:val="18"/>
                <w:szCs w:val="18"/>
              </w:rPr>
            </w:pPr>
            <w:r>
              <w:rPr>
                <w:rFonts w:ascii="Avenir Next Condensed"/>
                <w:sz w:val="18"/>
              </w:rPr>
              <w:t>2%</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1"/>
              <w:jc w:val="center"/>
              <w:rPr>
                <w:rFonts w:ascii="Avenir Next Condensed" w:eastAsia="Avenir Next Condensed" w:hAnsi="Avenir Next Condensed" w:cs="Avenir Next Condensed"/>
                <w:sz w:val="18"/>
                <w:szCs w:val="18"/>
              </w:rPr>
            </w:pPr>
            <w:r>
              <w:rPr>
                <w:rFonts w:ascii="Avenir Next Condensed"/>
                <w:sz w:val="18"/>
              </w:rPr>
              <w:t>-3%</w:t>
            </w:r>
          </w:p>
        </w:tc>
      </w:tr>
      <w:tr w:rsidR="00D96B91">
        <w:trPr>
          <w:trHeight w:hRule="exact" w:val="350"/>
        </w:trPr>
        <w:tc>
          <w:tcPr>
            <w:tcW w:w="1143" w:type="dxa"/>
            <w:vMerge/>
            <w:tcBorders>
              <w:left w:val="single" w:sz="4" w:space="0" w:color="17A7E0"/>
              <w:bottom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81"/>
              <w:rPr>
                <w:rFonts w:ascii="Avenir Next Condensed" w:eastAsia="Avenir Next Condensed" w:hAnsi="Avenir Next Condensed" w:cs="Avenir Next Condensed"/>
                <w:sz w:val="18"/>
                <w:szCs w:val="18"/>
              </w:rPr>
            </w:pPr>
            <w:r>
              <w:rPr>
                <w:rFonts w:ascii="Avenir Next Condensed"/>
                <w:sz w:val="18"/>
              </w:rPr>
              <w:t>100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83,256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73,700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75,956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77,062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2"/>
              <w:rPr>
                <w:rFonts w:ascii="Avenir Next Condensed" w:eastAsia="Avenir Next Condensed" w:hAnsi="Avenir Next Condensed" w:cs="Avenir Next Condensed"/>
                <w:sz w:val="18"/>
                <w:szCs w:val="18"/>
              </w:rPr>
            </w:pPr>
            <w:r>
              <w:rPr>
                <w:rFonts w:ascii="Avenir Next Condensed"/>
                <w:sz w:val="18"/>
              </w:rPr>
              <w:t>78,372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79,714</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1"/>
              <w:jc w:val="center"/>
              <w:rPr>
                <w:rFonts w:ascii="Avenir Next Condensed" w:eastAsia="Avenir Next Condensed" w:hAnsi="Avenir Next Condensed" w:cs="Avenir Next Condensed"/>
                <w:sz w:val="18"/>
                <w:szCs w:val="18"/>
              </w:rPr>
            </w:pPr>
            <w:r>
              <w:rPr>
                <w:rFonts w:ascii="Avenir Next Condensed"/>
                <w:sz w:val="18"/>
              </w:rPr>
              <w:t>5%</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60"/>
              <w:jc w:val="center"/>
              <w:rPr>
                <w:rFonts w:ascii="Avenir Next Condensed" w:eastAsia="Avenir Next Condensed" w:hAnsi="Avenir Next Condensed" w:cs="Avenir Next Condensed"/>
                <w:sz w:val="18"/>
                <w:szCs w:val="18"/>
              </w:rPr>
            </w:pPr>
            <w:r>
              <w:rPr>
                <w:rFonts w:ascii="Avenir Next Condensed"/>
                <w:sz w:val="18"/>
              </w:rPr>
              <w:t>-4%</w:t>
            </w:r>
          </w:p>
        </w:tc>
      </w:tr>
      <w:tr w:rsidR="00D96B91">
        <w:trPr>
          <w:trHeight w:hRule="exact" w:val="350"/>
        </w:trPr>
        <w:tc>
          <w:tcPr>
            <w:tcW w:w="1143"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80"/>
              <w:ind w:left="104"/>
              <w:rPr>
                <w:rFonts w:ascii="Avenir Next Condensed" w:eastAsia="Avenir Next Condensed" w:hAnsi="Avenir Next Condensed" w:cs="Avenir Next Condensed"/>
                <w:sz w:val="18"/>
                <w:szCs w:val="18"/>
              </w:rPr>
            </w:pPr>
            <w:r>
              <w:rPr>
                <w:rFonts w:ascii="Avenir Next Condensed"/>
                <w:b/>
                <w:sz w:val="18"/>
              </w:rPr>
              <w:t>10,000</w:t>
            </w:r>
          </w:p>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7"/>
              <w:jc w:val="center"/>
              <w:rPr>
                <w:rFonts w:ascii="Avenir Next Condensed" w:eastAsia="Avenir Next Condensed" w:hAnsi="Avenir Next Condensed" w:cs="Avenir Next Condensed"/>
                <w:sz w:val="18"/>
                <w:szCs w:val="18"/>
              </w:rPr>
            </w:pPr>
            <w:r>
              <w:rPr>
                <w:rFonts w:ascii="Avenir Next Condensed"/>
                <w:sz w:val="18"/>
              </w:rPr>
              <w:t>10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54,689</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55,894</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57,921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55,454</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55,596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55,743</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9"/>
              <w:jc w:val="center"/>
              <w:rPr>
                <w:rFonts w:ascii="Avenir Next Condensed" w:eastAsia="Avenir Next Condensed" w:hAnsi="Avenir Next Condensed" w:cs="Avenir Next Condensed"/>
                <w:sz w:val="18"/>
                <w:szCs w:val="18"/>
              </w:rPr>
            </w:pPr>
            <w:r>
              <w:rPr>
                <w:rFonts w:ascii="Avenir Next Condensed"/>
                <w:sz w:val="18"/>
              </w:rPr>
              <w:t>-4%</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0"/>
              <w:jc w:val="center"/>
              <w:rPr>
                <w:rFonts w:ascii="Avenir Next Condensed" w:eastAsia="Avenir Next Condensed" w:hAnsi="Avenir Next Condensed" w:cs="Avenir Next Condensed"/>
                <w:sz w:val="18"/>
                <w:szCs w:val="18"/>
              </w:rPr>
            </w:pPr>
            <w:r>
              <w:rPr>
                <w:rFonts w:ascii="Avenir Next Condensed"/>
                <w:sz w:val="18"/>
              </w:rPr>
              <w:t>2%</w:t>
            </w:r>
          </w:p>
        </w:tc>
      </w:tr>
      <w:tr w:rsidR="00D96B91">
        <w:trPr>
          <w:trHeight w:hRule="exact" w:val="350"/>
        </w:trPr>
        <w:tc>
          <w:tcPr>
            <w:tcW w:w="1143" w:type="dxa"/>
            <w:vMerge/>
            <w:tcBorders>
              <w:left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right="28"/>
              <w:jc w:val="center"/>
              <w:rPr>
                <w:rFonts w:ascii="Avenir Next Condensed" w:eastAsia="Avenir Next Condensed" w:hAnsi="Avenir Next Condensed" w:cs="Avenir Next Condensed"/>
                <w:sz w:val="18"/>
                <w:szCs w:val="18"/>
              </w:rPr>
            </w:pPr>
            <w:r>
              <w:rPr>
                <w:rFonts w:ascii="Avenir Next Condensed"/>
                <w:sz w:val="18"/>
              </w:rPr>
              <w:t>50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78,185</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75,141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77,692</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76,200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76,861</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77,540</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99"/>
              <w:jc w:val="center"/>
              <w:rPr>
                <w:rFonts w:ascii="Avenir Next Condensed" w:eastAsia="Avenir Next Condensed" w:hAnsi="Avenir Next Condensed" w:cs="Avenir Next Condensed"/>
                <w:sz w:val="18"/>
                <w:szCs w:val="18"/>
              </w:rPr>
            </w:pPr>
            <w:r>
              <w:rPr>
                <w:rFonts w:ascii="Avenir Next Condensed"/>
                <w:sz w:val="18"/>
              </w:rPr>
              <w:t>0%</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9"/>
              <w:jc w:val="center"/>
              <w:rPr>
                <w:rFonts w:ascii="Avenir Next Condensed" w:eastAsia="Avenir Next Condensed" w:hAnsi="Avenir Next Condensed" w:cs="Avenir Next Condensed"/>
                <w:sz w:val="18"/>
                <w:szCs w:val="18"/>
              </w:rPr>
            </w:pPr>
            <w:r>
              <w:rPr>
                <w:rFonts w:ascii="Avenir Next Condensed"/>
                <w:sz w:val="18"/>
              </w:rPr>
              <w:t>-1%</w:t>
            </w:r>
          </w:p>
        </w:tc>
      </w:tr>
      <w:tr w:rsidR="00D96B91">
        <w:trPr>
          <w:trHeight w:hRule="exact" w:val="350"/>
        </w:trPr>
        <w:tc>
          <w:tcPr>
            <w:tcW w:w="1143" w:type="dxa"/>
            <w:vMerge/>
            <w:tcBorders>
              <w:left w:val="single" w:sz="4" w:space="0" w:color="17A7E0"/>
              <w:bottom w:val="single" w:sz="4" w:space="0" w:color="17A7E0"/>
              <w:right w:val="single" w:sz="4" w:space="0" w:color="17A7E0"/>
            </w:tcBorders>
            <w:shd w:val="clear" w:color="auto" w:fill="F0F9FE"/>
          </w:tcPr>
          <w:p w:rsidR="00D96B91" w:rsidRDefault="00D96B91"/>
        </w:tc>
        <w:tc>
          <w:tcPr>
            <w:tcW w:w="9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80"/>
              <w:rPr>
                <w:rFonts w:ascii="Avenir Next Condensed" w:eastAsia="Avenir Next Condensed" w:hAnsi="Avenir Next Condensed" w:cs="Avenir Next Condensed"/>
                <w:sz w:val="18"/>
                <w:szCs w:val="18"/>
              </w:rPr>
            </w:pPr>
            <w:r>
              <w:rPr>
                <w:rFonts w:ascii="Avenir Next Condensed"/>
                <w:sz w:val="18"/>
              </w:rPr>
              <w:t>100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26"/>
              <w:rPr>
                <w:rFonts w:ascii="Avenir Next Condensed" w:eastAsia="Avenir Next Condensed" w:hAnsi="Avenir Next Condensed" w:cs="Avenir Next Condensed"/>
                <w:sz w:val="18"/>
                <w:szCs w:val="18"/>
              </w:rPr>
            </w:pPr>
            <w:r>
              <w:rPr>
                <w:rFonts w:ascii="Avenir Next Condensed"/>
                <w:sz w:val="18"/>
              </w:rPr>
              <w:t>107,556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211"/>
              <w:rPr>
                <w:rFonts w:ascii="Avenir Next Condensed" w:eastAsia="Avenir Next Condensed" w:hAnsi="Avenir Next Condensed" w:cs="Avenir Next Condensed"/>
                <w:sz w:val="18"/>
                <w:szCs w:val="18"/>
              </w:rPr>
            </w:pPr>
            <w:r>
              <w:rPr>
                <w:rFonts w:ascii="Avenir Next Condensed"/>
                <w:sz w:val="18"/>
              </w:rPr>
              <w:t>99,200</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26"/>
              <w:rPr>
                <w:rFonts w:ascii="Avenir Next Condensed" w:eastAsia="Avenir Next Condensed" w:hAnsi="Avenir Next Condensed" w:cs="Avenir Next Condensed"/>
                <w:sz w:val="18"/>
                <w:szCs w:val="18"/>
              </w:rPr>
            </w:pPr>
            <w:r>
              <w:rPr>
                <w:rFonts w:ascii="Avenir Next Condensed"/>
                <w:sz w:val="18"/>
              </w:rPr>
              <w:t>102,406</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26"/>
              <w:rPr>
                <w:rFonts w:ascii="Avenir Next Condensed" w:eastAsia="Avenir Next Condensed" w:hAnsi="Avenir Next Condensed" w:cs="Avenir Next Condensed"/>
                <w:sz w:val="18"/>
                <w:szCs w:val="18"/>
              </w:rPr>
            </w:pPr>
            <w:r>
              <w:rPr>
                <w:rFonts w:ascii="Avenir Next Condensed"/>
                <w:sz w:val="18"/>
              </w:rPr>
              <w:t>102,133</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26"/>
              <w:rPr>
                <w:rFonts w:ascii="Avenir Next Condensed" w:eastAsia="Avenir Next Condensed" w:hAnsi="Avenir Next Condensed" w:cs="Avenir Next Condensed"/>
                <w:sz w:val="18"/>
                <w:szCs w:val="18"/>
              </w:rPr>
            </w:pPr>
            <w:r>
              <w:rPr>
                <w:rFonts w:ascii="Avenir Next Condensed"/>
                <w:sz w:val="18"/>
              </w:rPr>
              <w:t>103,443</w:t>
            </w:r>
          </w:p>
        </w:tc>
        <w:tc>
          <w:tcPr>
            <w:tcW w:w="85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26"/>
              <w:rPr>
                <w:rFonts w:ascii="Avenir Next Condensed" w:eastAsia="Avenir Next Condensed" w:hAnsi="Avenir Next Condensed" w:cs="Avenir Next Condensed"/>
                <w:sz w:val="18"/>
                <w:szCs w:val="18"/>
              </w:rPr>
            </w:pPr>
            <w:r>
              <w:rPr>
                <w:rFonts w:ascii="Avenir Next Condensed"/>
                <w:sz w:val="18"/>
              </w:rPr>
              <w:t>104,785</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99"/>
              <w:jc w:val="center"/>
              <w:rPr>
                <w:rFonts w:ascii="Avenir Next Condensed" w:eastAsia="Avenir Next Condensed" w:hAnsi="Avenir Next Condensed" w:cs="Avenir Next Condensed"/>
                <w:sz w:val="18"/>
                <w:szCs w:val="18"/>
              </w:rPr>
            </w:pPr>
            <w:r>
              <w:rPr>
                <w:rFonts w:ascii="Avenir Next Condensed"/>
                <w:sz w:val="18"/>
              </w:rPr>
              <w:t>2%</w:t>
            </w:r>
          </w:p>
        </w:tc>
        <w:tc>
          <w:tcPr>
            <w:tcW w:w="11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58"/>
              <w:jc w:val="center"/>
              <w:rPr>
                <w:rFonts w:ascii="Avenir Next Condensed" w:eastAsia="Avenir Next Condensed" w:hAnsi="Avenir Next Condensed" w:cs="Avenir Next Condensed"/>
                <w:sz w:val="18"/>
                <w:szCs w:val="18"/>
              </w:rPr>
            </w:pPr>
            <w:r>
              <w:rPr>
                <w:rFonts w:ascii="Avenir Next Condensed"/>
                <w:sz w:val="18"/>
              </w:rPr>
              <w:t>-3%</w:t>
            </w:r>
          </w:p>
        </w:tc>
      </w:tr>
    </w:tbl>
    <w:p w:rsidR="00D96B91" w:rsidRDefault="00D96B91">
      <w:pPr>
        <w:spacing w:before="11"/>
        <w:rPr>
          <w:rFonts w:ascii="Avenir Next" w:eastAsia="Avenir Next" w:hAnsi="Avenir Next" w:cs="Avenir Next"/>
          <w:b/>
          <w:bCs/>
          <w:sz w:val="6"/>
          <w:szCs w:val="6"/>
        </w:rPr>
      </w:pPr>
    </w:p>
    <w:p w:rsidR="00D96B91" w:rsidRDefault="00C2656B">
      <w:pPr>
        <w:spacing w:before="57"/>
        <w:ind w:left="1247" w:right="1256"/>
        <w:rPr>
          <w:rFonts w:ascii="Avenir Next" w:eastAsia="Avenir Next" w:hAnsi="Avenir Next" w:cs="Avenir Next"/>
          <w:sz w:val="16"/>
          <w:szCs w:val="16"/>
        </w:rPr>
      </w:pPr>
      <w:r>
        <w:rPr>
          <w:rFonts w:ascii="Avenir Next"/>
          <w:sz w:val="16"/>
        </w:rPr>
        <w:t>*Note:</w:t>
      </w:r>
      <w:r>
        <w:rPr>
          <w:rFonts w:ascii="Avenir Next"/>
          <w:spacing w:val="-1"/>
          <w:sz w:val="16"/>
        </w:rPr>
        <w:t xml:space="preserve"> Indicative</w:t>
      </w:r>
      <w:r>
        <w:rPr>
          <w:rFonts w:ascii="Avenir Next"/>
          <w:sz w:val="16"/>
        </w:rPr>
        <w:t xml:space="preserve"> bills assume </w:t>
      </w:r>
      <w:r>
        <w:rPr>
          <w:rFonts w:ascii="Avenir Next"/>
          <w:spacing w:val="-1"/>
          <w:sz w:val="16"/>
        </w:rPr>
        <w:t>inflation</w:t>
      </w:r>
      <w:r>
        <w:rPr>
          <w:rFonts w:ascii="Avenir Next"/>
          <w:sz w:val="16"/>
        </w:rPr>
        <w:t xml:space="preserve"> of</w:t>
      </w:r>
      <w:r>
        <w:rPr>
          <w:rFonts w:ascii="Avenir Next"/>
          <w:spacing w:val="3"/>
          <w:sz w:val="16"/>
        </w:rPr>
        <w:t xml:space="preserve"> </w:t>
      </w:r>
      <w:r>
        <w:rPr>
          <w:rFonts w:ascii="Avenir Next"/>
          <w:sz w:val="16"/>
        </w:rPr>
        <w:t>2.5%</w:t>
      </w:r>
      <w:r>
        <w:rPr>
          <w:rFonts w:ascii="Avenir Next"/>
          <w:spacing w:val="-1"/>
          <w:sz w:val="16"/>
        </w:rPr>
        <w:t xml:space="preserve"> </w:t>
      </w:r>
      <w:r>
        <w:rPr>
          <w:rFonts w:ascii="Avenir Next"/>
          <w:sz w:val="16"/>
        </w:rPr>
        <w:t xml:space="preserve">pa and no </w:t>
      </w:r>
      <w:r>
        <w:rPr>
          <w:rFonts w:ascii="Avenir Next"/>
          <w:spacing w:val="-1"/>
          <w:sz w:val="16"/>
        </w:rPr>
        <w:t>material</w:t>
      </w:r>
      <w:r>
        <w:rPr>
          <w:rFonts w:ascii="Avenir Next"/>
          <w:sz w:val="16"/>
        </w:rPr>
        <w:t xml:space="preserve"> changes in costs</w:t>
      </w:r>
      <w:r>
        <w:rPr>
          <w:rFonts w:ascii="Avenir Next"/>
          <w:spacing w:val="-1"/>
          <w:sz w:val="16"/>
        </w:rPr>
        <w:t xml:space="preserve"> </w:t>
      </w:r>
      <w:r>
        <w:rPr>
          <w:rFonts w:ascii="Avenir Next"/>
          <w:sz w:val="16"/>
        </w:rPr>
        <w:t xml:space="preserve">or Government </w:t>
      </w:r>
      <w:r>
        <w:rPr>
          <w:rFonts w:ascii="Avenir Next"/>
          <w:spacing w:val="-1"/>
          <w:sz w:val="16"/>
        </w:rPr>
        <w:t>charges</w:t>
      </w:r>
      <w:r>
        <w:rPr>
          <w:rFonts w:ascii="Avenir Next"/>
          <w:sz w:val="16"/>
        </w:rPr>
        <w:t xml:space="preserve"> </w:t>
      </w:r>
      <w:r>
        <w:rPr>
          <w:rFonts w:ascii="Avenir Next"/>
          <w:spacing w:val="-1"/>
          <w:sz w:val="16"/>
        </w:rPr>
        <w:t>that</w:t>
      </w:r>
      <w:r>
        <w:rPr>
          <w:rFonts w:ascii="Avenir Next"/>
          <w:sz w:val="16"/>
        </w:rPr>
        <w:t xml:space="preserve"> would trigger</w:t>
      </w:r>
      <w:r>
        <w:rPr>
          <w:rFonts w:ascii="Avenir Next"/>
          <w:spacing w:val="-1"/>
          <w:sz w:val="16"/>
        </w:rPr>
        <w:t xml:space="preserve"> </w:t>
      </w:r>
      <w:r>
        <w:rPr>
          <w:rFonts w:ascii="Avenir Next"/>
          <w:sz w:val="16"/>
        </w:rPr>
        <w:t>the</w:t>
      </w:r>
      <w:r>
        <w:rPr>
          <w:rFonts w:ascii="Avenir Next"/>
          <w:spacing w:val="55"/>
          <w:sz w:val="16"/>
        </w:rPr>
        <w:t xml:space="preserve"> </w:t>
      </w:r>
      <w:r>
        <w:rPr>
          <w:rFonts w:ascii="Avenir Next"/>
          <w:sz w:val="16"/>
        </w:rPr>
        <w:t xml:space="preserve">cost </w:t>
      </w:r>
      <w:r>
        <w:rPr>
          <w:rFonts w:ascii="Avenir Next"/>
          <w:spacing w:val="-1"/>
          <w:sz w:val="16"/>
        </w:rPr>
        <w:t>pass-through</w:t>
      </w:r>
      <w:r>
        <w:rPr>
          <w:rFonts w:ascii="Avenir Next"/>
          <w:sz w:val="16"/>
        </w:rPr>
        <w:t xml:space="preserve"> mechanism.</w:t>
      </w:r>
    </w:p>
    <w:p w:rsidR="00D96B91" w:rsidRDefault="00D96B91">
      <w:pPr>
        <w:spacing w:before="2"/>
        <w:rPr>
          <w:rFonts w:ascii="Avenir Next" w:eastAsia="Avenir Next" w:hAnsi="Avenir Next" w:cs="Avenir Next"/>
          <w:sz w:val="16"/>
          <w:szCs w:val="16"/>
        </w:rPr>
      </w:pPr>
    </w:p>
    <w:p w:rsidR="00D96B91" w:rsidRDefault="00C2656B">
      <w:pPr>
        <w:pStyle w:val="BodyText"/>
        <w:spacing w:line="260" w:lineRule="exact"/>
        <w:ind w:right="1283"/>
      </w:pPr>
      <w:r>
        <w:t>As this table shows,</w:t>
      </w:r>
      <w:r>
        <w:rPr>
          <w:spacing w:val="-7"/>
        </w:rPr>
        <w:t xml:space="preserve"> </w:t>
      </w:r>
      <w:r>
        <w:t xml:space="preserve">prices for </w:t>
      </w:r>
      <w:r>
        <w:rPr>
          <w:spacing w:val="-1"/>
        </w:rPr>
        <w:t>non-residential</w:t>
      </w:r>
      <w:r>
        <w:t xml:space="preserve"> customers </w:t>
      </w:r>
      <w:r>
        <w:rPr>
          <w:spacing w:val="-2"/>
        </w:rPr>
        <w:t>are</w:t>
      </w:r>
      <w:r>
        <w:t xml:space="preserve"> </w:t>
      </w:r>
      <w:r>
        <w:rPr>
          <w:spacing w:val="-1"/>
        </w:rPr>
        <w:t>expected</w:t>
      </w:r>
      <w:r>
        <w:t xml:space="preserve"> to </w:t>
      </w:r>
      <w:r>
        <w:rPr>
          <w:spacing w:val="-1"/>
        </w:rPr>
        <w:t>remain</w:t>
      </w:r>
      <w:r>
        <w:t xml:space="preserve"> </w:t>
      </w:r>
      <w:r>
        <w:rPr>
          <w:spacing w:val="-1"/>
        </w:rPr>
        <w:t>relatively</w:t>
      </w:r>
      <w:r>
        <w:t xml:space="preserve"> stable over</w:t>
      </w:r>
      <w:r>
        <w:rPr>
          <w:spacing w:val="51"/>
        </w:rPr>
        <w:t xml:space="preserve"> </w:t>
      </w:r>
      <w:r>
        <w:t>the</w:t>
      </w:r>
      <w:r>
        <w:rPr>
          <w:spacing w:val="-1"/>
        </w:rPr>
        <w:t xml:space="preserve"> </w:t>
      </w:r>
      <w:r>
        <w:t>five</w:t>
      </w:r>
      <w:r>
        <w:rPr>
          <w:spacing w:val="-1"/>
        </w:rPr>
        <w:t xml:space="preserve"> years</w:t>
      </w:r>
      <w:r>
        <w:t xml:space="preserve"> to</w:t>
      </w:r>
      <w:r>
        <w:rPr>
          <w:spacing w:val="-1"/>
        </w:rPr>
        <w:t xml:space="preserve"> </w:t>
      </w:r>
      <w:r>
        <w:t>30</w:t>
      </w:r>
      <w:r>
        <w:rPr>
          <w:spacing w:val="-3"/>
        </w:rPr>
        <w:t xml:space="preserve"> </w:t>
      </w:r>
      <w:r>
        <w:t>June</w:t>
      </w:r>
      <w:r>
        <w:rPr>
          <w:spacing w:val="-1"/>
        </w:rPr>
        <w:t xml:space="preserve"> </w:t>
      </w:r>
      <w:r>
        <w:t>2018.</w:t>
      </w:r>
    </w:p>
    <w:p w:rsidR="00D96B91" w:rsidRDefault="00C2656B">
      <w:pPr>
        <w:pStyle w:val="BodyText"/>
        <w:spacing w:before="168" w:line="250" w:lineRule="exact"/>
        <w:ind w:right="1313"/>
      </w:pPr>
      <w:r>
        <w:t>Bills</w:t>
      </w:r>
      <w:r>
        <w:rPr>
          <w:spacing w:val="-1"/>
        </w:rPr>
        <w:t xml:space="preserve"> </w:t>
      </w:r>
      <w:r>
        <w:t>for customers with</w:t>
      </w:r>
      <w:r>
        <w:rPr>
          <w:spacing w:val="-1"/>
        </w:rPr>
        <w:t xml:space="preserve"> large</w:t>
      </w:r>
      <w:r>
        <w:t xml:space="preserve"> numbers of</w:t>
      </w:r>
      <w:r>
        <w:rPr>
          <w:spacing w:val="4"/>
        </w:rPr>
        <w:t xml:space="preserve"> </w:t>
      </w:r>
      <w:r>
        <w:t>billable</w:t>
      </w:r>
      <w:r>
        <w:rPr>
          <w:spacing w:val="-1"/>
        </w:rPr>
        <w:t xml:space="preserve"> fixtures</w:t>
      </w:r>
      <w:r>
        <w:t xml:space="preserve"> will rise </w:t>
      </w:r>
      <w:r>
        <w:rPr>
          <w:spacing w:val="-1"/>
        </w:rPr>
        <w:t xml:space="preserve">at </w:t>
      </w:r>
      <w:r>
        <w:t xml:space="preserve">the highest </w:t>
      </w:r>
      <w:r>
        <w:rPr>
          <w:spacing w:val="-2"/>
        </w:rPr>
        <w:t>rate</w:t>
      </w:r>
      <w:r>
        <w:rPr>
          <w:spacing w:val="-1"/>
        </w:rPr>
        <w:t xml:space="preserve"> </w:t>
      </w:r>
      <w:r>
        <w:t xml:space="preserve">over the </w:t>
      </w:r>
      <w:r>
        <w:rPr>
          <w:spacing w:val="-1"/>
        </w:rPr>
        <w:t>remaining</w:t>
      </w:r>
      <w:r>
        <w:rPr>
          <w:spacing w:val="27"/>
        </w:rPr>
        <w:t xml:space="preserve"> </w:t>
      </w:r>
      <w:r>
        <w:rPr>
          <w:spacing w:val="-1"/>
        </w:rPr>
        <w:t>three</w:t>
      </w:r>
      <w:r>
        <w:t xml:space="preserve"> </w:t>
      </w:r>
      <w:r>
        <w:rPr>
          <w:spacing w:val="-1"/>
        </w:rPr>
        <w:t>years</w:t>
      </w:r>
      <w:r>
        <w:t xml:space="preserve"> of</w:t>
      </w:r>
      <w:r>
        <w:rPr>
          <w:spacing w:val="4"/>
        </w:rPr>
        <w:t xml:space="preserve"> </w:t>
      </w:r>
      <w:r>
        <w:t xml:space="preserve">the </w:t>
      </w:r>
      <w:r>
        <w:rPr>
          <w:spacing w:val="-1"/>
        </w:rPr>
        <w:t>regulatory</w:t>
      </w:r>
      <w:r>
        <w:t xml:space="preserve"> period.</w:t>
      </w:r>
      <w:r>
        <w:rPr>
          <w:spacing w:val="-11"/>
        </w:rPr>
        <w:t xml:space="preserve"> </w:t>
      </w:r>
      <w:r>
        <w:rPr>
          <w:spacing w:val="-1"/>
        </w:rPr>
        <w:t>These</w:t>
      </w:r>
      <w:r>
        <w:t xml:space="preserve"> customers </w:t>
      </w:r>
      <w:r>
        <w:rPr>
          <w:spacing w:val="-2"/>
        </w:rPr>
        <w:t>are</w:t>
      </w:r>
      <w:r>
        <w:t xml:space="preserve"> </w:t>
      </w:r>
      <w:r>
        <w:rPr>
          <w:spacing w:val="-1"/>
        </w:rPr>
        <w:t>likely</w:t>
      </w:r>
      <w:r>
        <w:t xml:space="preserve"> to see a maximum bill </w:t>
      </w:r>
      <w:r>
        <w:rPr>
          <w:spacing w:val="-1"/>
        </w:rPr>
        <w:t>increase</w:t>
      </w:r>
      <w:r>
        <w:t xml:space="preserve"> of</w:t>
      </w:r>
      <w:r>
        <w:rPr>
          <w:spacing w:val="31"/>
        </w:rPr>
        <w:t xml:space="preserve"> </w:t>
      </w:r>
      <w:r>
        <w:rPr>
          <w:spacing w:val="-1"/>
        </w:rPr>
        <w:t xml:space="preserve">around </w:t>
      </w:r>
      <w:r>
        <w:t>4% in</w:t>
      </w:r>
      <w:r>
        <w:rPr>
          <w:spacing w:val="-1"/>
        </w:rPr>
        <w:t xml:space="preserve"> </w:t>
      </w:r>
      <w:r>
        <w:t>2015-16,</w:t>
      </w:r>
      <w:r>
        <w:rPr>
          <w:spacing w:val="-7"/>
        </w:rPr>
        <w:t xml:space="preserve"> </w:t>
      </w:r>
      <w:r>
        <w:t>and then</w:t>
      </w:r>
      <w:r>
        <w:rPr>
          <w:spacing w:val="-1"/>
        </w:rPr>
        <w:t xml:space="preserve"> increases</w:t>
      </w:r>
      <w:r>
        <w:t xml:space="preserve"> </w:t>
      </w:r>
      <w:r>
        <w:rPr>
          <w:spacing w:val="-1"/>
        </w:rPr>
        <w:t>at</w:t>
      </w:r>
      <w:r>
        <w:t xml:space="preserve"> the</w:t>
      </w:r>
      <w:r>
        <w:rPr>
          <w:spacing w:val="-1"/>
        </w:rPr>
        <w:t xml:space="preserve"> </w:t>
      </w:r>
      <w:r>
        <w:rPr>
          <w:spacing w:val="-2"/>
        </w:rPr>
        <w:t>rate</w:t>
      </w:r>
      <w:r>
        <w:t xml:space="preserve"> of</w:t>
      </w:r>
      <w:r>
        <w:rPr>
          <w:spacing w:val="4"/>
        </w:rPr>
        <w:t xml:space="preserve"> </w:t>
      </w:r>
      <w:r>
        <w:rPr>
          <w:spacing w:val="-1"/>
        </w:rPr>
        <w:t>inflation.</w:t>
      </w:r>
    </w:p>
    <w:p w:rsidR="00D96B91" w:rsidRDefault="00C2656B">
      <w:pPr>
        <w:pStyle w:val="BodyText"/>
        <w:spacing w:before="162" w:line="260" w:lineRule="exact"/>
        <w:ind w:right="1283"/>
      </w:pPr>
      <w:r>
        <w:rPr>
          <w:spacing w:val="-1"/>
        </w:rPr>
        <w:t>Across</w:t>
      </w:r>
      <w:r>
        <w:t xml:space="preserve"> the various consumption bands,</w:t>
      </w:r>
      <w:r>
        <w:rPr>
          <w:spacing w:val="-7"/>
        </w:rPr>
        <w:t xml:space="preserve"> </w:t>
      </w:r>
      <w:r>
        <w:t xml:space="preserve">the bill impacts </w:t>
      </w:r>
      <w:r>
        <w:rPr>
          <w:spacing w:val="-1"/>
        </w:rPr>
        <w:t>range</w:t>
      </w:r>
      <w:r>
        <w:t xml:space="preserve"> </w:t>
      </w:r>
      <w:r>
        <w:rPr>
          <w:spacing w:val="-1"/>
        </w:rPr>
        <w:t>from</w:t>
      </w:r>
      <w:r>
        <w:t xml:space="preserve"> 7% </w:t>
      </w:r>
      <w:r>
        <w:rPr>
          <w:spacing w:val="-1"/>
        </w:rPr>
        <w:t>decreases</w:t>
      </w:r>
      <w:r>
        <w:t xml:space="preserve"> to 2% </w:t>
      </w:r>
      <w:r>
        <w:rPr>
          <w:spacing w:val="-1"/>
        </w:rPr>
        <w:t>increases</w:t>
      </w:r>
      <w:r>
        <w:t xml:space="preserve"> over</w:t>
      </w:r>
      <w:r>
        <w:rPr>
          <w:spacing w:val="21"/>
        </w:rPr>
        <w:t xml:space="preserve"> </w:t>
      </w:r>
      <w:r>
        <w:t>the</w:t>
      </w:r>
      <w:r>
        <w:rPr>
          <w:spacing w:val="-2"/>
        </w:rPr>
        <w:t xml:space="preserve"> </w:t>
      </w:r>
      <w:r>
        <w:t>five</w:t>
      </w:r>
      <w:r>
        <w:rPr>
          <w:spacing w:val="-2"/>
        </w:rPr>
        <w:t xml:space="preserve"> </w:t>
      </w:r>
      <w:r>
        <w:rPr>
          <w:spacing w:val="-1"/>
        </w:rPr>
        <w:t>years.</w:t>
      </w:r>
    </w:p>
    <w:p w:rsidR="00D96B91" w:rsidRDefault="00D96B91">
      <w:pPr>
        <w:spacing w:before="9"/>
        <w:rPr>
          <w:rFonts w:ascii="Avenir Next" w:eastAsia="Avenir Next" w:hAnsi="Avenir Next" w:cs="Avenir Next"/>
          <w:sz w:val="29"/>
          <w:szCs w:val="29"/>
        </w:rPr>
      </w:pPr>
    </w:p>
    <w:p w:rsidR="00D96B91" w:rsidRDefault="00C2656B">
      <w:pPr>
        <w:pStyle w:val="Heading4"/>
        <w:rPr>
          <w:rFonts w:cs="Avenir Next Medium"/>
        </w:rPr>
      </w:pPr>
      <w:r>
        <w:rPr>
          <w:color w:val="0778BE"/>
        </w:rPr>
        <w:t>15.</w:t>
      </w:r>
      <w:r>
        <w:rPr>
          <w:color w:val="0778BE"/>
          <w:spacing w:val="-9"/>
        </w:rPr>
        <w:t xml:space="preserve"> </w:t>
      </w:r>
      <w:r>
        <w:rPr>
          <w:color w:val="0778BE"/>
        </w:rPr>
        <w:t>4</w:t>
      </w:r>
      <w:r>
        <w:rPr>
          <w:color w:val="0778BE"/>
          <w:spacing w:val="39"/>
        </w:rPr>
        <w:t xml:space="preserve"> </w:t>
      </w:r>
      <w:r>
        <w:rPr>
          <w:color w:val="0778BE"/>
          <w:spacing w:val="-2"/>
        </w:rPr>
        <w:t>Effect</w:t>
      </w:r>
      <w:r>
        <w:rPr>
          <w:color w:val="0778BE"/>
        </w:rPr>
        <w:t xml:space="preserve"> on </w:t>
      </w:r>
      <w:r>
        <w:rPr>
          <w:color w:val="0778BE"/>
          <w:spacing w:val="-1"/>
        </w:rPr>
        <w:t>inflation</w:t>
      </w:r>
    </w:p>
    <w:p w:rsidR="00D96B91" w:rsidRDefault="00C2656B">
      <w:pPr>
        <w:pStyle w:val="BodyText"/>
        <w:spacing w:before="63" w:line="262" w:lineRule="exact"/>
        <w:rPr>
          <w:rFonts w:cs="Avenir Next"/>
        </w:rPr>
      </w:pPr>
      <w:r>
        <w:rPr>
          <w:spacing w:val="-12"/>
        </w:rPr>
        <w:t>To</w:t>
      </w:r>
      <w:r>
        <w:rPr>
          <w:spacing w:val="-8"/>
        </w:rPr>
        <w:t xml:space="preserve"> </w:t>
      </w:r>
      <w:r>
        <w:rPr>
          <w:spacing w:val="-4"/>
        </w:rPr>
        <w:t>assess</w:t>
      </w:r>
      <w:r>
        <w:rPr>
          <w:spacing w:val="-8"/>
        </w:rPr>
        <w:t xml:space="preserve"> </w:t>
      </w:r>
      <w:r>
        <w:rPr>
          <w:spacing w:val="-3"/>
        </w:rPr>
        <w:t>the</w:t>
      </w:r>
      <w:r>
        <w:rPr>
          <w:spacing w:val="-8"/>
        </w:rPr>
        <w:t xml:space="preserve"> </w:t>
      </w:r>
      <w:r>
        <w:rPr>
          <w:spacing w:val="-4"/>
        </w:rPr>
        <w:t>effect</w:t>
      </w:r>
      <w:r>
        <w:rPr>
          <w:spacing w:val="-8"/>
        </w:rPr>
        <w:t xml:space="preserve"> </w:t>
      </w:r>
      <w:r>
        <w:rPr>
          <w:spacing w:val="-3"/>
        </w:rPr>
        <w:t>the</w:t>
      </w:r>
      <w:r>
        <w:rPr>
          <w:spacing w:val="-8"/>
        </w:rPr>
        <w:t xml:space="preserve"> </w:t>
      </w:r>
      <w:r>
        <w:rPr>
          <w:spacing w:val="-4"/>
        </w:rPr>
        <w:t>water</w:t>
      </w:r>
      <w:r>
        <w:rPr>
          <w:spacing w:val="-8"/>
        </w:rPr>
        <w:t xml:space="preserve"> </w:t>
      </w:r>
      <w:r>
        <w:rPr>
          <w:spacing w:val="-3"/>
        </w:rPr>
        <w:t>and</w:t>
      </w:r>
      <w:r>
        <w:rPr>
          <w:spacing w:val="-8"/>
        </w:rPr>
        <w:t xml:space="preserve"> </w:t>
      </w:r>
      <w:r>
        <w:rPr>
          <w:spacing w:val="-4"/>
        </w:rPr>
        <w:t>sewerage</w:t>
      </w:r>
      <w:r>
        <w:rPr>
          <w:spacing w:val="-8"/>
        </w:rPr>
        <w:t xml:space="preserve"> </w:t>
      </w:r>
      <w:r>
        <w:rPr>
          <w:spacing w:val="-4"/>
        </w:rPr>
        <w:t>charges</w:t>
      </w:r>
      <w:r>
        <w:rPr>
          <w:spacing w:val="-8"/>
        </w:rPr>
        <w:t xml:space="preserve"> </w:t>
      </w:r>
      <w:r>
        <w:rPr>
          <w:spacing w:val="-2"/>
        </w:rPr>
        <w:t>in</w:t>
      </w:r>
      <w:r>
        <w:rPr>
          <w:spacing w:val="-8"/>
        </w:rPr>
        <w:t xml:space="preserve"> </w:t>
      </w:r>
      <w:r>
        <w:rPr>
          <w:spacing w:val="-4"/>
        </w:rPr>
        <w:t>Chapter</w:t>
      </w:r>
      <w:r>
        <w:rPr>
          <w:spacing w:val="-8"/>
        </w:rPr>
        <w:t xml:space="preserve"> </w:t>
      </w:r>
      <w:r>
        <w:rPr>
          <w:spacing w:val="-2"/>
        </w:rPr>
        <w:t>14</w:t>
      </w:r>
      <w:r>
        <w:rPr>
          <w:spacing w:val="-8"/>
        </w:rPr>
        <w:t xml:space="preserve"> </w:t>
      </w:r>
      <w:r>
        <w:rPr>
          <w:spacing w:val="-4"/>
        </w:rPr>
        <w:t>are</w:t>
      </w:r>
      <w:r>
        <w:rPr>
          <w:spacing w:val="-8"/>
        </w:rPr>
        <w:t xml:space="preserve"> </w:t>
      </w:r>
      <w:r>
        <w:rPr>
          <w:spacing w:val="-4"/>
        </w:rPr>
        <w:t>likely</w:t>
      </w:r>
      <w:r>
        <w:rPr>
          <w:spacing w:val="-8"/>
        </w:rPr>
        <w:t xml:space="preserve"> </w:t>
      </w:r>
      <w:r>
        <w:rPr>
          <w:spacing w:val="-2"/>
        </w:rPr>
        <w:t>to</w:t>
      </w:r>
      <w:r>
        <w:rPr>
          <w:spacing w:val="-8"/>
        </w:rPr>
        <w:t xml:space="preserve"> </w:t>
      </w:r>
      <w:r>
        <w:rPr>
          <w:spacing w:val="-3"/>
        </w:rPr>
        <w:t>have</w:t>
      </w:r>
      <w:r>
        <w:rPr>
          <w:spacing w:val="-8"/>
        </w:rPr>
        <w:t xml:space="preserve"> </w:t>
      </w:r>
      <w:r>
        <w:rPr>
          <w:spacing w:val="-2"/>
        </w:rPr>
        <w:t>on</w:t>
      </w:r>
      <w:r>
        <w:rPr>
          <w:spacing w:val="-8"/>
        </w:rPr>
        <w:t xml:space="preserve"> </w:t>
      </w:r>
      <w:r>
        <w:rPr>
          <w:spacing w:val="-4"/>
        </w:rPr>
        <w:t>general</w:t>
      </w:r>
      <w:r>
        <w:rPr>
          <w:spacing w:val="-8"/>
        </w:rPr>
        <w:t xml:space="preserve"> </w:t>
      </w:r>
      <w:r>
        <w:rPr>
          <w:spacing w:val="-4"/>
        </w:rPr>
        <w:t>price</w:t>
      </w:r>
    </w:p>
    <w:p w:rsidR="00D96B91" w:rsidRDefault="00C2656B">
      <w:pPr>
        <w:pStyle w:val="BodyText"/>
        <w:spacing w:line="262" w:lineRule="exact"/>
        <w:rPr>
          <w:rFonts w:cs="Avenir Next"/>
        </w:rPr>
      </w:pPr>
      <w:r>
        <w:rPr>
          <w:spacing w:val="-3"/>
        </w:rPr>
        <w:t>infl</w:t>
      </w:r>
      <w:r w:rsidR="00710124">
        <w:rPr>
          <w:spacing w:val="-3"/>
        </w:rPr>
        <w:t>a</w:t>
      </w:r>
      <w:r>
        <w:rPr>
          <w:spacing w:val="-4"/>
        </w:rPr>
        <w:t>tion,</w:t>
      </w:r>
      <w:r>
        <w:rPr>
          <w:spacing w:val="-14"/>
        </w:rPr>
        <w:t xml:space="preserve"> </w:t>
      </w:r>
      <w:r>
        <w:rPr>
          <w:spacing w:val="-3"/>
        </w:rPr>
        <w:t>the</w:t>
      </w:r>
      <w:r>
        <w:rPr>
          <w:spacing w:val="-7"/>
        </w:rPr>
        <w:t xml:space="preserve"> </w:t>
      </w:r>
      <w:r>
        <w:rPr>
          <w:spacing w:val="-6"/>
        </w:rPr>
        <w:t>Panel</w:t>
      </w:r>
      <w:r>
        <w:rPr>
          <w:spacing w:val="-8"/>
        </w:rPr>
        <w:t xml:space="preserve"> </w:t>
      </w:r>
      <w:r>
        <w:rPr>
          <w:spacing w:val="-4"/>
        </w:rPr>
        <w:t>employed</w:t>
      </w:r>
      <w:r>
        <w:rPr>
          <w:spacing w:val="-7"/>
        </w:rPr>
        <w:t xml:space="preserve"> </w:t>
      </w:r>
      <w:r>
        <w:rPr>
          <w:spacing w:val="-3"/>
        </w:rPr>
        <w:t>the</w:t>
      </w:r>
      <w:r>
        <w:rPr>
          <w:spacing w:val="-7"/>
        </w:rPr>
        <w:t xml:space="preserve"> </w:t>
      </w:r>
      <w:r>
        <w:rPr>
          <w:spacing w:val="-4"/>
        </w:rPr>
        <w:t>approach</w:t>
      </w:r>
      <w:r>
        <w:rPr>
          <w:spacing w:val="-8"/>
        </w:rPr>
        <w:t xml:space="preserve"> </w:t>
      </w:r>
      <w:r>
        <w:rPr>
          <w:spacing w:val="-7"/>
        </w:rPr>
        <w:t>IPART</w:t>
      </w:r>
      <w:r>
        <w:rPr>
          <w:spacing w:val="-12"/>
        </w:rPr>
        <w:t xml:space="preserve"> </w:t>
      </w:r>
      <w:r>
        <w:rPr>
          <w:spacing w:val="-3"/>
        </w:rPr>
        <w:t>uses</w:t>
      </w:r>
      <w:r>
        <w:rPr>
          <w:spacing w:val="-8"/>
        </w:rPr>
        <w:t xml:space="preserve"> </w:t>
      </w:r>
      <w:r>
        <w:rPr>
          <w:spacing w:val="-3"/>
        </w:rPr>
        <w:t>for</w:t>
      </w:r>
      <w:r>
        <w:rPr>
          <w:spacing w:val="-7"/>
        </w:rPr>
        <w:t xml:space="preserve"> </w:t>
      </w:r>
      <w:r>
        <w:rPr>
          <w:spacing w:val="-4"/>
        </w:rPr>
        <w:t>similar</w:t>
      </w:r>
      <w:r>
        <w:rPr>
          <w:spacing w:val="-8"/>
        </w:rPr>
        <w:t xml:space="preserve"> </w:t>
      </w:r>
      <w:r>
        <w:rPr>
          <w:spacing w:val="-4"/>
        </w:rPr>
        <w:t>assessments.</w:t>
      </w:r>
      <w:r>
        <w:rPr>
          <w:spacing w:val="-4"/>
          <w:position w:val="7"/>
          <w:sz w:val="11"/>
        </w:rPr>
        <w:t>240</w:t>
      </w:r>
      <w:r>
        <w:rPr>
          <w:spacing w:val="12"/>
          <w:position w:val="7"/>
          <w:sz w:val="11"/>
        </w:rPr>
        <w:t xml:space="preserve"> </w:t>
      </w:r>
      <w:r>
        <w:rPr>
          <w:spacing w:val="-4"/>
        </w:rPr>
        <w:t>This</w:t>
      </w:r>
      <w:r>
        <w:rPr>
          <w:spacing w:val="-8"/>
        </w:rPr>
        <w:t xml:space="preserve"> </w:t>
      </w:r>
      <w:r>
        <w:rPr>
          <w:spacing w:val="-4"/>
        </w:rPr>
        <w:t>involved</w:t>
      </w:r>
      <w:r>
        <w:rPr>
          <w:spacing w:val="-7"/>
        </w:rPr>
        <w:t xml:space="preserve"> </w:t>
      </w:r>
      <w:r>
        <w:rPr>
          <w:spacing w:val="-4"/>
        </w:rPr>
        <w:t>multiplying:</w:t>
      </w:r>
    </w:p>
    <w:p w:rsidR="00D96B91" w:rsidRDefault="00C2656B">
      <w:pPr>
        <w:pStyle w:val="BodyText"/>
        <w:numPr>
          <w:ilvl w:val="0"/>
          <w:numId w:val="131"/>
        </w:numPr>
        <w:tabs>
          <w:tab w:val="left" w:pos="1531"/>
        </w:tabs>
        <w:spacing w:before="147" w:line="250" w:lineRule="exact"/>
        <w:ind w:right="1482" w:hanging="283"/>
      </w:pPr>
      <w:r>
        <w:t xml:space="preserve">the contribution </w:t>
      </w:r>
      <w:r>
        <w:rPr>
          <w:spacing w:val="-1"/>
        </w:rPr>
        <w:t>that</w:t>
      </w:r>
      <w:r>
        <w:t xml:space="preserve"> </w:t>
      </w:r>
      <w:r>
        <w:rPr>
          <w:spacing w:val="-1"/>
        </w:rPr>
        <w:t>water</w:t>
      </w:r>
      <w:r>
        <w:t xml:space="preserve"> and </w:t>
      </w:r>
      <w:r>
        <w:rPr>
          <w:spacing w:val="-1"/>
        </w:rPr>
        <w:t>sewerage</w:t>
      </w:r>
      <w:r>
        <w:t xml:space="preserve"> costs in the</w:t>
      </w:r>
      <w:r>
        <w:rPr>
          <w:spacing w:val="-4"/>
        </w:rPr>
        <w:t xml:space="preserve"> </w:t>
      </w:r>
      <w:r>
        <w:rPr>
          <w:spacing w:val="-2"/>
        </w:rPr>
        <w:t>ACT</w:t>
      </w:r>
      <w:r>
        <w:rPr>
          <w:spacing w:val="-5"/>
        </w:rPr>
        <w:t xml:space="preserve"> </w:t>
      </w:r>
      <w:r>
        <w:rPr>
          <w:spacing w:val="-1"/>
        </w:rPr>
        <w:t>make</w:t>
      </w:r>
      <w:r>
        <w:t xml:space="preserve"> to the consumer price </w:t>
      </w:r>
      <w:r>
        <w:rPr>
          <w:spacing w:val="-1"/>
        </w:rPr>
        <w:t>index</w:t>
      </w:r>
      <w:r>
        <w:t xml:space="preserve"> (CPI)</w:t>
      </w:r>
      <w:r>
        <w:rPr>
          <w:spacing w:val="27"/>
        </w:rPr>
        <w:t xml:space="preserve"> </w:t>
      </w:r>
      <w:r>
        <w:t xml:space="preserve">(all </w:t>
      </w:r>
      <w:r>
        <w:rPr>
          <w:spacing w:val="-1"/>
        </w:rPr>
        <w:t>groups,</w:t>
      </w:r>
      <w:r>
        <w:rPr>
          <w:spacing w:val="-6"/>
        </w:rPr>
        <w:t xml:space="preserve"> </w:t>
      </w:r>
      <w:r>
        <w:t>eight capital cities),</w:t>
      </w:r>
      <w:r>
        <w:rPr>
          <w:spacing w:val="-6"/>
        </w:rPr>
        <w:t xml:space="preserve"> </w:t>
      </w:r>
      <w:r>
        <w:t>by</w:t>
      </w:r>
    </w:p>
    <w:p w:rsidR="00D96B91" w:rsidRDefault="00C2656B">
      <w:pPr>
        <w:pStyle w:val="BodyText"/>
        <w:numPr>
          <w:ilvl w:val="0"/>
          <w:numId w:val="131"/>
        </w:numPr>
        <w:tabs>
          <w:tab w:val="left" w:pos="1531"/>
        </w:tabs>
        <w:spacing w:before="85" w:line="250" w:lineRule="exact"/>
        <w:ind w:right="1685" w:hanging="283"/>
      </w:pPr>
      <w:r>
        <w:t xml:space="preserve">the annual </w:t>
      </w:r>
      <w:r>
        <w:rPr>
          <w:spacing w:val="-1"/>
        </w:rPr>
        <w:t>average</w:t>
      </w:r>
      <w:r>
        <w:t xml:space="preserve"> change in the </w:t>
      </w:r>
      <w:r>
        <w:rPr>
          <w:spacing w:val="-1"/>
        </w:rPr>
        <w:t>water</w:t>
      </w:r>
      <w:r>
        <w:t xml:space="preserve"> and </w:t>
      </w:r>
      <w:r>
        <w:rPr>
          <w:spacing w:val="-1"/>
        </w:rPr>
        <w:t>sewerage</w:t>
      </w:r>
      <w:r>
        <w:t xml:space="preserve"> bill for a customer consuming 200 kL</w:t>
      </w:r>
      <w:r>
        <w:rPr>
          <w:spacing w:val="-5"/>
        </w:rPr>
        <w:t xml:space="preserve"> </w:t>
      </w:r>
      <w:r>
        <w:t>per</w:t>
      </w:r>
      <w:r>
        <w:rPr>
          <w:spacing w:val="25"/>
        </w:rPr>
        <w:t xml:space="preserve"> </w:t>
      </w:r>
      <w:r>
        <w:t>annum,</w:t>
      </w:r>
      <w:r>
        <w:rPr>
          <w:spacing w:val="-6"/>
        </w:rPr>
        <w:t xml:space="preserve"> </w:t>
      </w:r>
      <w:r>
        <w:rPr>
          <w:spacing w:val="-1"/>
        </w:rPr>
        <w:t>measured</w:t>
      </w:r>
      <w:r>
        <w:t xml:space="preserve"> in </w:t>
      </w:r>
      <w:r>
        <w:rPr>
          <w:spacing w:val="-2"/>
        </w:rPr>
        <w:t>real</w:t>
      </w:r>
      <w:r>
        <w:t xml:space="preserve"> terms.</w:t>
      </w:r>
    </w:p>
    <w:p w:rsidR="00D96B91" w:rsidRDefault="00D96B91">
      <w:pPr>
        <w:spacing w:before="9"/>
        <w:rPr>
          <w:rFonts w:ascii="Avenir Next" w:eastAsia="Avenir Next" w:hAnsi="Avenir Next" w:cs="Avenir Next"/>
          <w:sz w:val="17"/>
          <w:szCs w:val="17"/>
        </w:rPr>
      </w:pPr>
    </w:p>
    <w:p w:rsidR="00D96B91" w:rsidRDefault="00C2656B">
      <w:pPr>
        <w:pStyle w:val="BodyText"/>
        <w:spacing w:line="222" w:lineRule="auto"/>
        <w:ind w:right="1270"/>
        <w:rPr>
          <w:sz w:val="11"/>
          <w:szCs w:val="11"/>
        </w:rPr>
      </w:pPr>
      <w:r>
        <w:rPr>
          <w:spacing w:val="-2"/>
        </w:rPr>
        <w:t>Currently,</w:t>
      </w:r>
      <w:r>
        <w:rPr>
          <w:spacing w:val="-6"/>
        </w:rPr>
        <w:t xml:space="preserve"> </w:t>
      </w:r>
      <w:r>
        <w:rPr>
          <w:spacing w:val="-1"/>
        </w:rPr>
        <w:t>water</w:t>
      </w:r>
      <w:r>
        <w:t xml:space="preserve"> and </w:t>
      </w:r>
      <w:r>
        <w:rPr>
          <w:spacing w:val="-1"/>
        </w:rPr>
        <w:t>sewerage</w:t>
      </w:r>
      <w:r>
        <w:t xml:space="preserve"> costs in </w:t>
      </w:r>
      <w:r>
        <w:rPr>
          <w:spacing w:val="-1"/>
        </w:rPr>
        <w:t>Canberra,</w:t>
      </w:r>
      <w:r>
        <w:rPr>
          <w:spacing w:val="-6"/>
        </w:rPr>
        <w:t xml:space="preserve"> </w:t>
      </w:r>
      <w:r>
        <w:t xml:space="preserve">contribute 0.02% </w:t>
      </w:r>
      <w:r>
        <w:rPr>
          <w:spacing w:val="-1"/>
        </w:rPr>
        <w:t>towards</w:t>
      </w:r>
      <w:r>
        <w:t xml:space="preserve"> the consumer price </w:t>
      </w:r>
      <w:r>
        <w:rPr>
          <w:spacing w:val="-1"/>
        </w:rPr>
        <w:t>index</w:t>
      </w:r>
      <w:r>
        <w:rPr>
          <w:spacing w:val="49"/>
        </w:rPr>
        <w:t xml:space="preserve"> </w:t>
      </w:r>
      <w:r>
        <w:t xml:space="preserve">(all </w:t>
      </w:r>
      <w:r>
        <w:rPr>
          <w:spacing w:val="-1"/>
        </w:rPr>
        <w:t>groups,</w:t>
      </w:r>
      <w:r>
        <w:rPr>
          <w:spacing w:val="-5"/>
        </w:rPr>
        <w:t xml:space="preserve"> </w:t>
      </w:r>
      <w:r>
        <w:t>8 capital</w:t>
      </w:r>
      <w:r>
        <w:rPr>
          <w:spacing w:val="1"/>
        </w:rPr>
        <w:t xml:space="preserve"> </w:t>
      </w:r>
      <w:r>
        <w:t>cities).</w:t>
      </w:r>
      <w:r>
        <w:rPr>
          <w:position w:val="7"/>
          <w:sz w:val="11"/>
          <w:szCs w:val="11"/>
        </w:rPr>
        <w:t>241</w:t>
      </w:r>
      <w:r>
        <w:rPr>
          <w:spacing w:val="23"/>
          <w:position w:val="7"/>
          <w:sz w:val="11"/>
          <w:szCs w:val="11"/>
        </w:rPr>
        <w:t xml:space="preserve"> </w:t>
      </w:r>
      <w:r>
        <w:rPr>
          <w:rFonts w:cs="Avenir Next"/>
        </w:rPr>
        <w:t>Under</w:t>
      </w:r>
      <w:r>
        <w:rPr>
          <w:rFonts w:cs="Avenir Next"/>
          <w:spacing w:val="1"/>
        </w:rPr>
        <w:t xml:space="preserve"> </w:t>
      </w:r>
      <w:r>
        <w:rPr>
          <w:rFonts w:cs="Avenir Next"/>
        </w:rPr>
        <w:t xml:space="preserve">the </w:t>
      </w:r>
      <w:r>
        <w:rPr>
          <w:rFonts w:cs="Avenir Next"/>
          <w:spacing w:val="-4"/>
        </w:rPr>
        <w:t>Panel’s</w:t>
      </w:r>
      <w:r>
        <w:rPr>
          <w:rFonts w:cs="Avenir Next"/>
          <w:spacing w:val="1"/>
        </w:rPr>
        <w:t xml:space="preserve"> </w:t>
      </w:r>
      <w:r>
        <w:rPr>
          <w:rFonts w:cs="Avenir Next"/>
          <w:spacing w:val="-2"/>
        </w:rPr>
        <w:t>draft</w:t>
      </w:r>
      <w:r>
        <w:rPr>
          <w:rFonts w:cs="Avenir Next"/>
          <w:spacing w:val="1"/>
        </w:rPr>
        <w:t xml:space="preserve"> </w:t>
      </w:r>
      <w:r>
        <w:rPr>
          <w:rFonts w:cs="Avenir Next"/>
        </w:rPr>
        <w:t>decision,</w:t>
      </w:r>
      <w:r>
        <w:rPr>
          <w:rFonts w:cs="Avenir Next"/>
          <w:spacing w:val="-6"/>
        </w:rPr>
        <w:t xml:space="preserve"> </w:t>
      </w:r>
      <w:r>
        <w:rPr>
          <w:rFonts w:cs="Avenir Next"/>
        </w:rPr>
        <w:t>the</w:t>
      </w:r>
      <w:r>
        <w:rPr>
          <w:rFonts w:cs="Avenir Next"/>
          <w:spacing w:val="1"/>
        </w:rPr>
        <w:t xml:space="preserve"> </w:t>
      </w:r>
      <w:r>
        <w:rPr>
          <w:rFonts w:cs="Avenir Next"/>
          <w:spacing w:val="-1"/>
        </w:rPr>
        <w:t>indicative</w:t>
      </w:r>
      <w:r>
        <w:rPr>
          <w:rFonts w:cs="Avenir Next"/>
          <w:spacing w:val="1"/>
        </w:rPr>
        <w:t xml:space="preserve"> </w:t>
      </w:r>
      <w:r>
        <w:rPr>
          <w:rFonts w:cs="Avenir Next"/>
        </w:rPr>
        <w:t xml:space="preserve">annual </w:t>
      </w:r>
      <w:r>
        <w:rPr>
          <w:rFonts w:cs="Avenir Next"/>
          <w:spacing w:val="-1"/>
        </w:rPr>
        <w:t>average</w:t>
      </w:r>
      <w:r>
        <w:rPr>
          <w:rFonts w:cs="Avenir Next"/>
          <w:spacing w:val="1"/>
        </w:rPr>
        <w:t xml:space="preserve"> </w:t>
      </w:r>
      <w:r>
        <w:rPr>
          <w:rFonts w:cs="Avenir Next"/>
          <w:spacing w:val="-1"/>
        </w:rPr>
        <w:t>increase</w:t>
      </w:r>
      <w:r>
        <w:rPr>
          <w:rFonts w:cs="Avenir Next"/>
          <w:spacing w:val="1"/>
        </w:rPr>
        <w:t xml:space="preserve"> </w:t>
      </w:r>
      <w:r>
        <w:rPr>
          <w:rFonts w:cs="Avenir Next"/>
        </w:rPr>
        <w:t>of</w:t>
      </w:r>
      <w:r>
        <w:rPr>
          <w:rFonts w:cs="Avenir Next"/>
          <w:spacing w:val="53"/>
        </w:rPr>
        <w:t xml:space="preserve"> </w:t>
      </w:r>
      <w:r>
        <w:t xml:space="preserve">a </w:t>
      </w:r>
      <w:r>
        <w:rPr>
          <w:spacing w:val="-1"/>
        </w:rPr>
        <w:t>water</w:t>
      </w:r>
      <w:r>
        <w:t xml:space="preserve"> and </w:t>
      </w:r>
      <w:r>
        <w:rPr>
          <w:spacing w:val="-1"/>
        </w:rPr>
        <w:t>sewerage</w:t>
      </w:r>
      <w:r>
        <w:t xml:space="preserve"> bill for a customer consuming 200 kL</w:t>
      </w:r>
      <w:r>
        <w:rPr>
          <w:spacing w:val="-5"/>
        </w:rPr>
        <w:t xml:space="preserve"> </w:t>
      </w:r>
      <w:r>
        <w:t xml:space="preserve">per annum is -3% (in </w:t>
      </w:r>
      <w:r>
        <w:rPr>
          <w:spacing w:val="-2"/>
        </w:rPr>
        <w:t>real</w:t>
      </w:r>
      <w:r>
        <w:t xml:space="preserve"> terms).</w:t>
      </w:r>
      <w:r>
        <w:rPr>
          <w:spacing w:val="-11"/>
        </w:rPr>
        <w:t xml:space="preserve"> </w:t>
      </w:r>
      <w:r>
        <w:rPr>
          <w:spacing w:val="-2"/>
        </w:rPr>
        <w:t>Therefore,</w:t>
      </w:r>
      <w:r>
        <w:rPr>
          <w:spacing w:val="37"/>
        </w:rPr>
        <w:t xml:space="preserve"> </w:t>
      </w:r>
      <w:r>
        <w:rPr>
          <w:rFonts w:cs="Avenir Next"/>
        </w:rPr>
        <w:t xml:space="preserve">the </w:t>
      </w:r>
      <w:r>
        <w:rPr>
          <w:rFonts w:cs="Avenir Next"/>
          <w:spacing w:val="-1"/>
        </w:rPr>
        <w:t>a</w:t>
      </w:r>
      <w:r>
        <w:rPr>
          <w:spacing w:val="-1"/>
        </w:rPr>
        <w:t>pproximate</w:t>
      </w:r>
      <w:r>
        <w:t xml:space="preserve"> annual impact on </w:t>
      </w:r>
      <w:r>
        <w:rPr>
          <w:spacing w:val="-1"/>
        </w:rPr>
        <w:t>general</w:t>
      </w:r>
      <w:r>
        <w:t xml:space="preserve"> price </w:t>
      </w:r>
      <w:r>
        <w:rPr>
          <w:spacing w:val="-1"/>
        </w:rPr>
        <w:t>inflation</w:t>
      </w:r>
      <w:r>
        <w:rPr>
          <w:spacing w:val="1"/>
        </w:rPr>
        <w:t xml:space="preserve"> </w:t>
      </w:r>
      <w:r>
        <w:t xml:space="preserve">is a </w:t>
      </w:r>
      <w:r>
        <w:rPr>
          <w:spacing w:val="-1"/>
        </w:rPr>
        <w:t>reduction</w:t>
      </w:r>
      <w:r>
        <w:t xml:space="preserve"> in </w:t>
      </w:r>
      <w:r>
        <w:rPr>
          <w:spacing w:val="-1"/>
        </w:rPr>
        <w:t>inflation</w:t>
      </w:r>
      <w:r>
        <w:t xml:space="preserve"> of</w:t>
      </w:r>
      <w:r>
        <w:rPr>
          <w:spacing w:val="4"/>
        </w:rPr>
        <w:t xml:space="preserve"> </w:t>
      </w:r>
      <w:r>
        <w:t xml:space="preserve">0.0007% </w:t>
      </w:r>
      <w:r>
        <w:rPr>
          <w:spacing w:val="-1"/>
        </w:rPr>
        <w:t>points.</w:t>
      </w:r>
      <w:r>
        <w:rPr>
          <w:spacing w:val="-1"/>
          <w:position w:val="7"/>
          <w:sz w:val="11"/>
          <w:szCs w:val="11"/>
        </w:rPr>
        <w:t>242</w:t>
      </w:r>
    </w:p>
    <w:p w:rsidR="00D96B91" w:rsidRDefault="00D96B91">
      <w:pPr>
        <w:spacing w:before="9"/>
        <w:rPr>
          <w:rFonts w:ascii="Avenir Next" w:eastAsia="Avenir Next" w:hAnsi="Avenir Next" w:cs="Avenir Next"/>
          <w:sz w:val="15"/>
          <w:szCs w:val="1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84" style="width:72.5pt;height:.5pt;mso-position-horizontal-relative:char;mso-position-vertical-relative:line" coordsize="1450,10">
            <v:group id="_x0000_s1785" style="position:absolute;left:5;top:5;width:1440;height:2" coordorigin="5,5" coordsize="1440,2">
              <v:shape id="_x0000_s1786" style="position:absolute;left:5;top:5;width:1440;height:2" coordorigin="5,5" coordsize="1440,0" path="m5,5r1440,e" filled="f" strokeweight=".5pt">
                <v:path arrowok="t"/>
              </v:shape>
            </v:group>
            <w10:wrap type="none"/>
            <w10:anchorlock/>
          </v:group>
        </w:pict>
      </w:r>
    </w:p>
    <w:p w:rsidR="00D96B91" w:rsidRDefault="00C2656B">
      <w:pPr>
        <w:numPr>
          <w:ilvl w:val="0"/>
          <w:numId w:val="31"/>
        </w:numPr>
        <w:tabs>
          <w:tab w:val="left" w:pos="1758"/>
        </w:tabs>
        <w:spacing w:before="45" w:line="192" w:lineRule="exact"/>
        <w:ind w:right="1655" w:hanging="510"/>
        <w:rPr>
          <w:rFonts w:ascii="Avenir Next" w:eastAsia="Avenir Next" w:hAnsi="Avenir Next" w:cs="Avenir Next"/>
          <w:sz w:val="16"/>
          <w:szCs w:val="16"/>
        </w:rPr>
      </w:pPr>
      <w:r>
        <w:rPr>
          <w:rFonts w:ascii="Avenir Next" w:eastAsia="Avenir Next" w:hAnsi="Avenir Next" w:cs="Avenir Next"/>
          <w:spacing w:val="-5"/>
          <w:sz w:val="16"/>
          <w:szCs w:val="16"/>
        </w:rPr>
        <w:t xml:space="preserve">IPART,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w:t>
      </w:r>
      <w:r>
        <w:rPr>
          <w:rFonts w:ascii="Avenir Next" w:eastAsia="Avenir Next" w:hAnsi="Avenir Next" w:cs="Avenir Next"/>
          <w:spacing w:val="111"/>
          <w:sz w:val="16"/>
          <w:szCs w:val="16"/>
        </w:rPr>
        <w:t xml:space="preserve"> </w:t>
      </w:r>
      <w:r>
        <w:rPr>
          <w:rFonts w:ascii="Avenir Next" w:eastAsia="Avenir Next" w:hAnsi="Avenir Next" w:cs="Avenir Next"/>
          <w:sz w:val="16"/>
          <w:szCs w:val="16"/>
        </w:rPr>
        <w:t>services,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2012,</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186.</w:t>
      </w:r>
    </w:p>
    <w:p w:rsidR="00D96B91" w:rsidRDefault="00C2656B">
      <w:pPr>
        <w:numPr>
          <w:ilvl w:val="0"/>
          <w:numId w:val="31"/>
        </w:numPr>
        <w:tabs>
          <w:tab w:val="left" w:pos="1758"/>
        </w:tabs>
        <w:spacing w:before="141"/>
        <w:ind w:hanging="510"/>
        <w:rPr>
          <w:rFonts w:ascii="Avenir Next" w:eastAsia="Avenir Next" w:hAnsi="Avenir Next" w:cs="Avenir Next"/>
          <w:sz w:val="16"/>
          <w:szCs w:val="16"/>
        </w:rPr>
      </w:pPr>
      <w:r>
        <w:rPr>
          <w:rFonts w:ascii="Avenir Next"/>
          <w:spacing w:val="-1"/>
          <w:sz w:val="16"/>
        </w:rPr>
        <w:t>Australian</w:t>
      </w:r>
      <w:r>
        <w:rPr>
          <w:rFonts w:ascii="Avenir Next"/>
          <w:sz w:val="16"/>
        </w:rPr>
        <w:t xml:space="preserve"> </w:t>
      </w:r>
      <w:r>
        <w:rPr>
          <w:rFonts w:ascii="Avenir Next"/>
          <w:spacing w:val="-1"/>
          <w:sz w:val="16"/>
        </w:rPr>
        <w:t>Bureau</w:t>
      </w:r>
      <w:r>
        <w:rPr>
          <w:rFonts w:ascii="Avenir Next"/>
          <w:sz w:val="16"/>
        </w:rPr>
        <w:t xml:space="preserve"> of</w:t>
      </w:r>
      <w:r>
        <w:rPr>
          <w:rFonts w:ascii="Avenir Next"/>
          <w:spacing w:val="3"/>
          <w:sz w:val="16"/>
        </w:rPr>
        <w:t xml:space="preserve"> </w:t>
      </w:r>
      <w:r>
        <w:rPr>
          <w:rFonts w:ascii="Avenir Next"/>
          <w:spacing w:val="-1"/>
          <w:sz w:val="16"/>
        </w:rPr>
        <w:t>Statistics,</w:t>
      </w:r>
      <w:r>
        <w:rPr>
          <w:rFonts w:ascii="Avenir Next"/>
          <w:spacing w:val="-5"/>
          <w:sz w:val="16"/>
        </w:rPr>
        <w:t xml:space="preserve"> </w:t>
      </w:r>
      <w:r>
        <w:rPr>
          <w:rFonts w:ascii="Avenir Next"/>
          <w:spacing w:val="-1"/>
          <w:sz w:val="16"/>
        </w:rPr>
        <w:t>Consumer</w:t>
      </w:r>
      <w:r>
        <w:rPr>
          <w:rFonts w:ascii="Avenir Next"/>
          <w:sz w:val="16"/>
        </w:rPr>
        <w:t xml:space="preserve"> </w:t>
      </w:r>
      <w:r>
        <w:rPr>
          <w:rFonts w:ascii="Avenir Next"/>
          <w:spacing w:val="-2"/>
          <w:sz w:val="16"/>
        </w:rPr>
        <w:t>Price</w:t>
      </w:r>
      <w:r>
        <w:rPr>
          <w:rFonts w:ascii="Avenir Next"/>
          <w:sz w:val="16"/>
        </w:rPr>
        <w:t xml:space="preserve"> </w:t>
      </w:r>
      <w:r>
        <w:rPr>
          <w:rFonts w:ascii="Avenir Next"/>
          <w:spacing w:val="-1"/>
          <w:sz w:val="16"/>
        </w:rPr>
        <w:t>Index</w:t>
      </w:r>
      <w:r>
        <w:rPr>
          <w:rFonts w:ascii="Avenir Next"/>
          <w:sz w:val="16"/>
        </w:rPr>
        <w:t xml:space="preserve"> 16th Series</w:t>
      </w:r>
      <w:r>
        <w:rPr>
          <w:rFonts w:ascii="Avenir Next"/>
          <w:spacing w:val="-2"/>
          <w:sz w:val="16"/>
        </w:rPr>
        <w:t xml:space="preserve"> </w:t>
      </w:r>
      <w:r>
        <w:rPr>
          <w:rFonts w:ascii="Avenir Next"/>
          <w:spacing w:val="-1"/>
          <w:sz w:val="16"/>
        </w:rPr>
        <w:t>Weighting</w:t>
      </w:r>
      <w:r>
        <w:rPr>
          <w:rFonts w:ascii="Avenir Next"/>
          <w:sz w:val="16"/>
        </w:rPr>
        <w:t xml:space="preserve"> </w:t>
      </w:r>
      <w:r>
        <w:rPr>
          <w:rFonts w:ascii="Avenir Next"/>
          <w:spacing w:val="-2"/>
          <w:sz w:val="16"/>
        </w:rPr>
        <w:t>Pattern</w:t>
      </w:r>
      <w:r>
        <w:rPr>
          <w:rFonts w:ascii="Avenir Next"/>
          <w:sz w:val="16"/>
        </w:rPr>
        <w:t xml:space="preserve"> </w:t>
      </w:r>
      <w:r>
        <w:rPr>
          <w:rFonts w:ascii="Avenir Next"/>
          <w:spacing w:val="-1"/>
          <w:sz w:val="16"/>
        </w:rPr>
        <w:t>(cat.</w:t>
      </w:r>
      <w:r>
        <w:rPr>
          <w:rFonts w:ascii="Avenir Next"/>
          <w:spacing w:val="-5"/>
          <w:sz w:val="16"/>
        </w:rPr>
        <w:t xml:space="preserve"> </w:t>
      </w:r>
      <w:r>
        <w:rPr>
          <w:rFonts w:ascii="Avenir Next"/>
          <w:spacing w:val="-1"/>
          <w:sz w:val="16"/>
        </w:rPr>
        <w:t>no.</w:t>
      </w:r>
      <w:r>
        <w:rPr>
          <w:rFonts w:ascii="Avenir Next"/>
          <w:spacing w:val="-5"/>
          <w:sz w:val="16"/>
        </w:rPr>
        <w:t xml:space="preserve"> </w:t>
      </w:r>
      <w:r>
        <w:rPr>
          <w:rFonts w:ascii="Avenir Next"/>
          <w:sz w:val="16"/>
        </w:rPr>
        <w:t>6471.0).</w:t>
      </w:r>
    </w:p>
    <w:p w:rsidR="00D96B91" w:rsidRDefault="00C2656B">
      <w:pPr>
        <w:numPr>
          <w:ilvl w:val="0"/>
          <w:numId w:val="31"/>
        </w:numPr>
        <w:tabs>
          <w:tab w:val="left" w:pos="1758"/>
        </w:tabs>
        <w:spacing w:before="121"/>
        <w:ind w:hanging="510"/>
        <w:rPr>
          <w:rFonts w:ascii="Avenir Next" w:eastAsia="Avenir Next" w:hAnsi="Avenir Next" w:cs="Avenir Next"/>
          <w:sz w:val="16"/>
          <w:szCs w:val="16"/>
        </w:rPr>
      </w:pPr>
      <w:r>
        <w:rPr>
          <w:rFonts w:ascii="Avenir Next"/>
          <w:sz w:val="16"/>
        </w:rPr>
        <w:t>0.02%</w:t>
      </w:r>
      <w:r>
        <w:rPr>
          <w:rFonts w:ascii="Avenir Next"/>
          <w:spacing w:val="-1"/>
          <w:sz w:val="16"/>
        </w:rPr>
        <w:t xml:space="preserve"> </w:t>
      </w:r>
      <w:r>
        <w:rPr>
          <w:rFonts w:ascii="Avenir Next"/>
          <w:sz w:val="16"/>
        </w:rPr>
        <w:t>x</w:t>
      </w:r>
      <w:r>
        <w:rPr>
          <w:rFonts w:ascii="Avenir Next"/>
          <w:spacing w:val="-1"/>
          <w:sz w:val="16"/>
        </w:rPr>
        <w:t xml:space="preserve"> </w:t>
      </w:r>
      <w:r>
        <w:rPr>
          <w:rFonts w:ascii="Avenir Next"/>
          <w:sz w:val="16"/>
        </w:rPr>
        <w:t>-3%</w:t>
      </w:r>
      <w:r>
        <w:rPr>
          <w:rFonts w:ascii="Avenir Next"/>
          <w:spacing w:val="-1"/>
          <w:sz w:val="16"/>
        </w:rPr>
        <w:t xml:space="preserve"> </w:t>
      </w:r>
      <w:r>
        <w:rPr>
          <w:rFonts w:ascii="Avenir Next"/>
          <w:sz w:val="16"/>
        </w:rPr>
        <w:t>=</w:t>
      </w:r>
      <w:r>
        <w:rPr>
          <w:rFonts w:ascii="Avenir Next"/>
          <w:spacing w:val="-1"/>
          <w:sz w:val="16"/>
        </w:rPr>
        <w:t xml:space="preserve"> </w:t>
      </w:r>
      <w:r>
        <w:rPr>
          <w:rFonts w:ascii="Avenir Next"/>
          <w:sz w:val="16"/>
        </w:rPr>
        <w:t>-0.0007%</w:t>
      </w:r>
      <w:r>
        <w:rPr>
          <w:rFonts w:ascii="Avenir Next"/>
          <w:spacing w:val="-1"/>
          <w:sz w:val="16"/>
        </w:rPr>
        <w:t xml:space="preserve"> </w:t>
      </w:r>
      <w:r>
        <w:rPr>
          <w:rFonts w:ascii="Avenir Next"/>
          <w:sz w:val="16"/>
        </w:rPr>
        <w:t>(all</w:t>
      </w:r>
      <w:r>
        <w:rPr>
          <w:rFonts w:ascii="Avenir Next"/>
          <w:spacing w:val="-1"/>
          <w:sz w:val="16"/>
        </w:rPr>
        <w:t xml:space="preserve"> </w:t>
      </w:r>
      <w:r>
        <w:rPr>
          <w:rFonts w:ascii="Avenir Next"/>
          <w:sz w:val="16"/>
        </w:rPr>
        <w:t>values</w:t>
      </w:r>
      <w:r>
        <w:rPr>
          <w:rFonts w:ascii="Avenir Next"/>
          <w:spacing w:val="-1"/>
          <w:sz w:val="16"/>
        </w:rPr>
        <w:t xml:space="preserve"> rounded </w:t>
      </w:r>
      <w:r>
        <w:rPr>
          <w:rFonts w:ascii="Avenir Next"/>
          <w:sz w:val="16"/>
        </w:rPr>
        <w:t>to</w:t>
      </w:r>
      <w:r>
        <w:rPr>
          <w:rFonts w:ascii="Avenir Next"/>
          <w:spacing w:val="-1"/>
          <w:sz w:val="16"/>
        </w:rPr>
        <w:t xml:space="preserve"> </w:t>
      </w:r>
      <w:r>
        <w:rPr>
          <w:rFonts w:ascii="Avenir Next"/>
          <w:sz w:val="16"/>
        </w:rPr>
        <w:t>one</w:t>
      </w:r>
      <w:r>
        <w:rPr>
          <w:rFonts w:ascii="Avenir Next"/>
          <w:spacing w:val="-1"/>
          <w:sz w:val="16"/>
        </w:rPr>
        <w:t xml:space="preserve"> </w:t>
      </w:r>
      <w:r>
        <w:rPr>
          <w:rFonts w:ascii="Avenir Next"/>
          <w:sz w:val="16"/>
        </w:rPr>
        <w:t>significant</w:t>
      </w:r>
      <w:r>
        <w:rPr>
          <w:rFonts w:ascii="Avenir Next"/>
          <w:spacing w:val="-1"/>
          <w:sz w:val="16"/>
        </w:rPr>
        <w:t xml:space="preserve"> figure).</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4"/>
        <w:spacing w:before="9"/>
        <w:rPr>
          <w:rFonts w:cs="Avenir Next Medium"/>
        </w:rPr>
      </w:pPr>
      <w:bookmarkStart w:id="219" w:name="15._5_Effect_on_ACTEW’s_financial_viabil"/>
      <w:bookmarkStart w:id="220" w:name="_bookmark142"/>
      <w:bookmarkEnd w:id="219"/>
      <w:bookmarkEnd w:id="220"/>
      <w:r>
        <w:rPr>
          <w:color w:val="0778BE"/>
        </w:rPr>
        <w:t>15.</w:t>
      </w:r>
      <w:r>
        <w:rPr>
          <w:color w:val="0778BE"/>
          <w:spacing w:val="-9"/>
        </w:rPr>
        <w:t xml:space="preserve"> </w:t>
      </w:r>
      <w:r>
        <w:rPr>
          <w:color w:val="0778BE"/>
        </w:rPr>
        <w:t>5</w:t>
      </w:r>
      <w:r>
        <w:rPr>
          <w:color w:val="0778BE"/>
          <w:spacing w:val="39"/>
        </w:rPr>
        <w:t xml:space="preserve"> </w:t>
      </w:r>
      <w:r>
        <w:rPr>
          <w:rFonts w:cs="Avenir Next Medium"/>
          <w:color w:val="0778BE"/>
          <w:spacing w:val="-2"/>
        </w:rPr>
        <w:t>Effect</w:t>
      </w:r>
      <w:r>
        <w:rPr>
          <w:rFonts w:cs="Avenir Next Medium"/>
          <w:color w:val="0778BE"/>
        </w:rPr>
        <w:t xml:space="preserve"> on</w:t>
      </w:r>
      <w:r>
        <w:rPr>
          <w:rFonts w:cs="Avenir Next Medium"/>
          <w:color w:val="0778BE"/>
          <w:spacing w:val="-6"/>
        </w:rPr>
        <w:t xml:space="preserve"> </w:t>
      </w:r>
      <w:r>
        <w:rPr>
          <w:rFonts w:cs="Avenir Next Medium"/>
          <w:color w:val="0778BE"/>
          <w:spacing w:val="-3"/>
        </w:rPr>
        <w:t>ACTEW’s</w:t>
      </w:r>
      <w:r>
        <w:rPr>
          <w:rFonts w:cs="Avenir Next Medium"/>
          <w:color w:val="0778BE"/>
        </w:rPr>
        <w:t xml:space="preserve"> financial viability</w:t>
      </w:r>
    </w:p>
    <w:p w:rsidR="00D96B91" w:rsidRDefault="00C2656B">
      <w:pPr>
        <w:pStyle w:val="BodyText"/>
        <w:spacing w:before="55" w:line="260" w:lineRule="exact"/>
        <w:ind w:right="1313"/>
      </w:pPr>
      <w:r>
        <w:rPr>
          <w:spacing w:val="-2"/>
        </w:rPr>
        <w:t>The</w:t>
      </w:r>
      <w:r>
        <w:rPr>
          <w:spacing w:val="-1"/>
        </w:rPr>
        <w:t xml:space="preserve"> </w:t>
      </w:r>
      <w:r>
        <w:t>building block</w:t>
      </w:r>
      <w:r>
        <w:rPr>
          <w:spacing w:val="-1"/>
        </w:rPr>
        <w:t xml:space="preserve"> </w:t>
      </w:r>
      <w:r>
        <w:t>methodology is designed</w:t>
      </w:r>
      <w:r>
        <w:rPr>
          <w:spacing w:val="-1"/>
        </w:rPr>
        <w:t xml:space="preserve"> </w:t>
      </w:r>
      <w:r>
        <w:t>to enable</w:t>
      </w:r>
      <w:r>
        <w:rPr>
          <w:spacing w:val="-1"/>
        </w:rPr>
        <w:t xml:space="preserve"> </w:t>
      </w:r>
      <w:r>
        <w:t xml:space="preserve">a </w:t>
      </w:r>
      <w:r>
        <w:rPr>
          <w:spacing w:val="-1"/>
        </w:rPr>
        <w:t>regulated</w:t>
      </w:r>
      <w:r>
        <w:t xml:space="preserve"> business</w:t>
      </w:r>
      <w:r>
        <w:rPr>
          <w:spacing w:val="-1"/>
        </w:rPr>
        <w:t xml:space="preserve"> </w:t>
      </w:r>
      <w:r>
        <w:t xml:space="preserve">to </w:t>
      </w:r>
      <w:r>
        <w:rPr>
          <w:spacing w:val="-1"/>
        </w:rPr>
        <w:t xml:space="preserve">recover </w:t>
      </w:r>
      <w:r>
        <w:t xml:space="preserve">its </w:t>
      </w:r>
      <w:r>
        <w:rPr>
          <w:spacing w:val="-1"/>
        </w:rPr>
        <w:t>efficient</w:t>
      </w:r>
      <w:r>
        <w:rPr>
          <w:spacing w:val="27"/>
          <w:w w:val="99"/>
        </w:rPr>
        <w:t xml:space="preserve"> </w:t>
      </w:r>
      <w:r>
        <w:t>costs.</w:t>
      </w:r>
      <w:r>
        <w:rPr>
          <w:spacing w:val="-6"/>
        </w:rPr>
        <w:t xml:space="preserve"> </w:t>
      </w:r>
      <w:r>
        <w:rPr>
          <w:spacing w:val="-1"/>
        </w:rPr>
        <w:t>Nevertheless,</w:t>
      </w:r>
      <w:r>
        <w:rPr>
          <w:spacing w:val="-6"/>
        </w:rPr>
        <w:t xml:space="preserve"> </w:t>
      </w:r>
      <w:r>
        <w:t xml:space="preserve">the </w:t>
      </w:r>
      <w:r>
        <w:rPr>
          <w:spacing w:val="-1"/>
        </w:rPr>
        <w:t>resulting</w:t>
      </w:r>
      <w:r>
        <w:t xml:space="preserve"> prices (in conjunction with other </w:t>
      </w:r>
      <w:r>
        <w:rPr>
          <w:spacing w:val="-1"/>
        </w:rPr>
        <w:t>measures)</w:t>
      </w:r>
      <w:r>
        <w:t xml:space="preserve"> may adversely </w:t>
      </w:r>
      <w:r>
        <w:rPr>
          <w:spacing w:val="-1"/>
        </w:rPr>
        <w:t>affect</w:t>
      </w:r>
      <w:r>
        <w:t xml:space="preserve"> the</w:t>
      </w:r>
      <w:r>
        <w:rPr>
          <w:spacing w:val="41"/>
        </w:rPr>
        <w:t xml:space="preserve"> </w:t>
      </w:r>
      <w:r>
        <w:t>business’</w:t>
      </w:r>
      <w:r>
        <w:rPr>
          <w:spacing w:val="-2"/>
        </w:rPr>
        <w:t xml:space="preserve"> </w:t>
      </w:r>
      <w:r>
        <w:t>financial</w:t>
      </w:r>
      <w:r>
        <w:rPr>
          <w:spacing w:val="-1"/>
        </w:rPr>
        <w:t xml:space="preserve"> </w:t>
      </w:r>
      <w:r>
        <w:t>capacity</w:t>
      </w:r>
      <w:r>
        <w:rPr>
          <w:spacing w:val="-1"/>
        </w:rPr>
        <w:t xml:space="preserve"> </w:t>
      </w:r>
      <w:r>
        <w:t>and</w:t>
      </w:r>
      <w:r>
        <w:rPr>
          <w:spacing w:val="-1"/>
        </w:rPr>
        <w:t xml:space="preserve"> </w:t>
      </w:r>
      <w:r>
        <w:t>viability</w:t>
      </w:r>
      <w:r>
        <w:rPr>
          <w:spacing w:val="-1"/>
        </w:rPr>
        <w:t xml:space="preserve"> </w:t>
      </w:r>
      <w:r>
        <w:t>in</w:t>
      </w:r>
      <w:r>
        <w:rPr>
          <w:spacing w:val="-1"/>
        </w:rPr>
        <w:t xml:space="preserve"> </w:t>
      </w:r>
      <w:r>
        <w:t>the</w:t>
      </w:r>
      <w:r>
        <w:rPr>
          <w:spacing w:val="-1"/>
        </w:rPr>
        <w:t xml:space="preserve"> short-term.</w:t>
      </w:r>
    </w:p>
    <w:p w:rsidR="00D96B91" w:rsidRDefault="00C2656B">
      <w:pPr>
        <w:pStyle w:val="BodyText"/>
        <w:spacing w:before="170" w:line="260" w:lineRule="exact"/>
        <w:ind w:right="1256"/>
      </w:pPr>
      <w:r>
        <w:rPr>
          <w:spacing w:val="-1"/>
        </w:rPr>
        <w:t xml:space="preserve">Robust </w:t>
      </w:r>
      <w:r>
        <w:t xml:space="preserve">financial </w:t>
      </w:r>
      <w:r>
        <w:rPr>
          <w:spacing w:val="-1"/>
        </w:rPr>
        <w:t xml:space="preserve">health </w:t>
      </w:r>
      <w:r>
        <w:t>of</w:t>
      </w:r>
      <w:r>
        <w:rPr>
          <w:spacing w:val="3"/>
        </w:rPr>
        <w:t xml:space="preserve"> </w:t>
      </w:r>
      <w:r>
        <w:t>utility businesses</w:t>
      </w:r>
      <w:r>
        <w:rPr>
          <w:spacing w:val="-1"/>
        </w:rPr>
        <w:t xml:space="preserve"> </w:t>
      </w:r>
      <w:r>
        <w:t xml:space="preserve">is </w:t>
      </w:r>
      <w:r>
        <w:rPr>
          <w:spacing w:val="-1"/>
        </w:rPr>
        <w:t>generally considered</w:t>
      </w:r>
      <w:r>
        <w:t xml:space="preserve"> to</w:t>
      </w:r>
      <w:r>
        <w:rPr>
          <w:spacing w:val="-1"/>
        </w:rPr>
        <w:t xml:space="preserve"> </w:t>
      </w:r>
      <w:r>
        <w:t>be in</w:t>
      </w:r>
      <w:r>
        <w:rPr>
          <w:spacing w:val="-1"/>
        </w:rPr>
        <w:t xml:space="preserve"> </w:t>
      </w:r>
      <w:r>
        <w:t>the best</w:t>
      </w:r>
      <w:r>
        <w:rPr>
          <w:spacing w:val="-1"/>
        </w:rPr>
        <w:t xml:space="preserve"> interests</w:t>
      </w:r>
      <w:r>
        <w:t xml:space="preserve"> of</w:t>
      </w:r>
      <w:r>
        <w:rPr>
          <w:spacing w:val="49"/>
        </w:rPr>
        <w:t xml:space="preserve"> </w:t>
      </w:r>
      <w:r>
        <w:t>customers.</w:t>
      </w:r>
      <w:r>
        <w:rPr>
          <w:spacing w:val="-7"/>
        </w:rPr>
        <w:t xml:space="preserve"> </w:t>
      </w:r>
      <w:r>
        <w:t>If</w:t>
      </w:r>
      <w:r>
        <w:rPr>
          <w:spacing w:val="3"/>
        </w:rPr>
        <w:t xml:space="preserve"> </w:t>
      </w:r>
      <w:r>
        <w:t>a service</w:t>
      </w:r>
      <w:r>
        <w:rPr>
          <w:spacing w:val="-1"/>
        </w:rPr>
        <w:t xml:space="preserve"> provider</w:t>
      </w:r>
      <w:r>
        <w:t xml:space="preserve"> is</w:t>
      </w:r>
      <w:r>
        <w:rPr>
          <w:spacing w:val="-1"/>
        </w:rPr>
        <w:t xml:space="preserve"> </w:t>
      </w:r>
      <w:r>
        <w:t>not financially</w:t>
      </w:r>
      <w:r>
        <w:rPr>
          <w:spacing w:val="-1"/>
        </w:rPr>
        <w:t xml:space="preserve"> </w:t>
      </w:r>
      <w:r>
        <w:t>viable it</w:t>
      </w:r>
      <w:r>
        <w:rPr>
          <w:spacing w:val="-1"/>
        </w:rPr>
        <w:t xml:space="preserve"> </w:t>
      </w:r>
      <w:r>
        <w:t>may not</w:t>
      </w:r>
      <w:r>
        <w:rPr>
          <w:spacing w:val="-1"/>
        </w:rPr>
        <w:t xml:space="preserve"> </w:t>
      </w:r>
      <w:r>
        <w:t>be able</w:t>
      </w:r>
      <w:r>
        <w:rPr>
          <w:spacing w:val="-1"/>
        </w:rPr>
        <w:t xml:space="preserve"> </w:t>
      </w:r>
      <w:r>
        <w:t xml:space="preserve">to </w:t>
      </w:r>
      <w:r>
        <w:rPr>
          <w:spacing w:val="-1"/>
        </w:rPr>
        <w:t xml:space="preserve">guarantee </w:t>
      </w:r>
      <w:r>
        <w:t>services</w:t>
      </w:r>
      <w:r>
        <w:rPr>
          <w:spacing w:val="-1"/>
        </w:rPr>
        <w:t xml:space="preserve"> </w:t>
      </w:r>
      <w:r>
        <w:t>to</w:t>
      </w:r>
      <w:r>
        <w:rPr>
          <w:spacing w:val="21"/>
        </w:rPr>
        <w:t xml:space="preserve"> </w:t>
      </w:r>
      <w:r>
        <w:t>customers.</w:t>
      </w:r>
      <w:r>
        <w:rPr>
          <w:spacing w:val="-7"/>
        </w:rPr>
        <w:t xml:space="preserve"> </w:t>
      </w:r>
      <w:r>
        <w:rPr>
          <w:spacing w:val="-4"/>
        </w:rPr>
        <w:t>Poor</w:t>
      </w:r>
      <w:r>
        <w:rPr>
          <w:spacing w:val="-1"/>
        </w:rPr>
        <w:t xml:space="preserve"> </w:t>
      </w:r>
      <w:r>
        <w:t xml:space="preserve">financial </w:t>
      </w:r>
      <w:r>
        <w:rPr>
          <w:spacing w:val="-1"/>
        </w:rPr>
        <w:t xml:space="preserve">health </w:t>
      </w:r>
      <w:r>
        <w:t>may also</w:t>
      </w:r>
      <w:r>
        <w:rPr>
          <w:spacing w:val="-1"/>
        </w:rPr>
        <w:t xml:space="preserve"> lead </w:t>
      </w:r>
      <w:r>
        <w:t xml:space="preserve">to </w:t>
      </w:r>
      <w:r>
        <w:rPr>
          <w:spacing w:val="-1"/>
        </w:rPr>
        <w:t xml:space="preserve">under-investment </w:t>
      </w:r>
      <w:r>
        <w:t>in assets</w:t>
      </w:r>
      <w:r>
        <w:rPr>
          <w:spacing w:val="-1"/>
        </w:rPr>
        <w:t xml:space="preserve"> </w:t>
      </w:r>
      <w:r>
        <w:t>and/or their</w:t>
      </w:r>
      <w:r>
        <w:rPr>
          <w:spacing w:val="-1"/>
        </w:rPr>
        <w:t xml:space="preserve"> </w:t>
      </w:r>
      <w:r>
        <w:t>maintenance,</w:t>
      </w:r>
      <w:r>
        <w:rPr>
          <w:spacing w:val="37"/>
        </w:rPr>
        <w:t xml:space="preserve"> </w:t>
      </w:r>
      <w:r>
        <w:t xml:space="preserve">which could in turn </w:t>
      </w:r>
      <w:r>
        <w:rPr>
          <w:spacing w:val="-1"/>
        </w:rPr>
        <w:t>lead</w:t>
      </w:r>
      <w:r>
        <w:t xml:space="preserve"> to higher lifetime </w:t>
      </w:r>
      <w:r>
        <w:rPr>
          <w:spacing w:val="-1"/>
        </w:rPr>
        <w:t>expenditure</w:t>
      </w:r>
      <w:r>
        <w:t xml:space="preserve"> on assets (and consequently higher prices) and</w:t>
      </w:r>
      <w:r>
        <w:rPr>
          <w:spacing w:val="28"/>
        </w:rPr>
        <w:t xml:space="preserve"> </w:t>
      </w:r>
      <w:r>
        <w:rPr>
          <w:spacing w:val="-1"/>
        </w:rPr>
        <w:t>poorer</w:t>
      </w:r>
      <w:r>
        <w:t xml:space="preserve"> quality services.</w:t>
      </w:r>
    </w:p>
    <w:p w:rsidR="00D96B91" w:rsidRDefault="00C2656B">
      <w:pPr>
        <w:pStyle w:val="BodyText"/>
        <w:spacing w:before="170" w:line="260" w:lineRule="exact"/>
        <w:ind w:right="1302"/>
      </w:pPr>
      <w:r>
        <w:rPr>
          <w:spacing w:val="-2"/>
        </w:rPr>
        <w:t>Therefore,</w:t>
      </w:r>
      <w:r>
        <w:rPr>
          <w:spacing w:val="-7"/>
        </w:rPr>
        <w:t xml:space="preserve"> </w:t>
      </w:r>
      <w:r>
        <w:t xml:space="preserve">the </w:t>
      </w:r>
      <w:r>
        <w:rPr>
          <w:spacing w:val="-3"/>
        </w:rPr>
        <w:t>Panel</w:t>
      </w:r>
      <w:r>
        <w:rPr>
          <w:spacing w:val="-1"/>
        </w:rPr>
        <w:t xml:space="preserve"> explicitly</w:t>
      </w:r>
      <w:r>
        <w:t xml:space="preserve"> tested</w:t>
      </w:r>
      <w:r>
        <w:rPr>
          <w:spacing w:val="-1"/>
        </w:rPr>
        <w:t xml:space="preserve"> </w:t>
      </w:r>
      <w:r>
        <w:t>how its</w:t>
      </w:r>
      <w:r>
        <w:rPr>
          <w:spacing w:val="-1"/>
        </w:rPr>
        <w:t xml:space="preserve"> </w:t>
      </w:r>
      <w:r>
        <w:rPr>
          <w:spacing w:val="-2"/>
        </w:rPr>
        <w:t>draft</w:t>
      </w:r>
      <w:r>
        <w:rPr>
          <w:spacing w:val="-1"/>
        </w:rPr>
        <w:t xml:space="preserve"> direction</w:t>
      </w:r>
      <w:r>
        <w:t xml:space="preserve"> is</w:t>
      </w:r>
      <w:r>
        <w:rPr>
          <w:spacing w:val="-1"/>
        </w:rPr>
        <w:t xml:space="preserve"> likely</w:t>
      </w:r>
      <w:r>
        <w:t xml:space="preserve"> to</w:t>
      </w:r>
      <w:r>
        <w:rPr>
          <w:spacing w:val="-1"/>
        </w:rPr>
        <w:t xml:space="preserve"> affect</w:t>
      </w:r>
      <w:r>
        <w:rPr>
          <w:spacing w:val="-4"/>
        </w:rPr>
        <w:t xml:space="preserve"> </w:t>
      </w:r>
      <w:r>
        <w:rPr>
          <w:spacing w:val="-2"/>
        </w:rPr>
        <w:t>ACTEW’s</w:t>
      </w:r>
      <w:r>
        <w:rPr>
          <w:spacing w:val="-1"/>
        </w:rPr>
        <w:t xml:space="preserve"> </w:t>
      </w:r>
      <w:r>
        <w:t>financial position.</w:t>
      </w:r>
      <w:r>
        <w:rPr>
          <w:spacing w:val="67"/>
        </w:rPr>
        <w:t xml:space="preserve"> </w:t>
      </w:r>
      <w:r>
        <w:rPr>
          <w:spacing w:val="-10"/>
        </w:rPr>
        <w:t>To</w:t>
      </w:r>
      <w:r>
        <w:rPr>
          <w:spacing w:val="-1"/>
        </w:rPr>
        <w:t xml:space="preserve"> </w:t>
      </w:r>
      <w:r>
        <w:t>do</w:t>
      </w:r>
      <w:r>
        <w:rPr>
          <w:spacing w:val="-1"/>
        </w:rPr>
        <w:t xml:space="preserve"> </w:t>
      </w:r>
      <w:r>
        <w:t>this,</w:t>
      </w:r>
      <w:r>
        <w:rPr>
          <w:spacing w:val="-7"/>
        </w:rPr>
        <w:t xml:space="preserve"> </w:t>
      </w:r>
      <w:r>
        <w:t xml:space="preserve">the </w:t>
      </w:r>
      <w:r>
        <w:rPr>
          <w:spacing w:val="-3"/>
        </w:rPr>
        <w:t>Panel</w:t>
      </w:r>
      <w:r>
        <w:rPr>
          <w:spacing w:val="-1"/>
        </w:rPr>
        <w:t xml:space="preserve"> </w:t>
      </w:r>
      <w:r>
        <w:t>used</w:t>
      </w:r>
      <w:r>
        <w:rPr>
          <w:spacing w:val="-1"/>
        </w:rPr>
        <w:t xml:space="preserve"> projected</w:t>
      </w:r>
      <w:r>
        <w:t xml:space="preserve"> cash</w:t>
      </w:r>
      <w:r>
        <w:rPr>
          <w:spacing w:val="-1"/>
        </w:rPr>
        <w:t xml:space="preserve"> </w:t>
      </w:r>
      <w:r>
        <w:t>flows</w:t>
      </w:r>
      <w:r>
        <w:rPr>
          <w:spacing w:val="-1"/>
        </w:rPr>
        <w:t xml:space="preserve"> </w:t>
      </w:r>
      <w:r>
        <w:t>to</w:t>
      </w:r>
      <w:r>
        <w:rPr>
          <w:spacing w:val="-1"/>
        </w:rPr>
        <w:t xml:space="preserve"> calculate</w:t>
      </w:r>
      <w:r>
        <w:t xml:space="preserve"> a</w:t>
      </w:r>
      <w:r>
        <w:rPr>
          <w:spacing w:val="-1"/>
        </w:rPr>
        <w:t xml:space="preserve"> </w:t>
      </w:r>
      <w:r>
        <w:t>selection</w:t>
      </w:r>
      <w:r>
        <w:rPr>
          <w:spacing w:val="-1"/>
        </w:rPr>
        <w:t xml:space="preserve"> </w:t>
      </w:r>
      <w:r>
        <w:t>of</w:t>
      </w:r>
      <w:r>
        <w:rPr>
          <w:spacing w:val="3"/>
        </w:rPr>
        <w:t xml:space="preserve"> </w:t>
      </w:r>
      <w:r>
        <w:t xml:space="preserve">financial </w:t>
      </w:r>
      <w:r>
        <w:rPr>
          <w:spacing w:val="-1"/>
        </w:rPr>
        <w:t xml:space="preserve">ratios </w:t>
      </w:r>
      <w:r>
        <w:t>over</w:t>
      </w:r>
      <w:r>
        <w:rPr>
          <w:spacing w:val="-1"/>
        </w:rPr>
        <w:t xml:space="preserve"> </w:t>
      </w:r>
      <w:r>
        <w:t>the</w:t>
      </w:r>
      <w:r>
        <w:rPr>
          <w:spacing w:val="33"/>
        </w:rPr>
        <w:t xml:space="preserve"> </w:t>
      </w:r>
      <w:r>
        <w:rPr>
          <w:spacing w:val="-1"/>
        </w:rPr>
        <w:t xml:space="preserve">regulatory </w:t>
      </w:r>
      <w:r>
        <w:t>period,</w:t>
      </w:r>
      <w:r>
        <w:rPr>
          <w:spacing w:val="-7"/>
        </w:rPr>
        <w:t xml:space="preserve"> </w:t>
      </w:r>
      <w:r>
        <w:t xml:space="preserve">and </w:t>
      </w:r>
      <w:r>
        <w:rPr>
          <w:spacing w:val="-1"/>
        </w:rPr>
        <w:t>considered</w:t>
      </w:r>
      <w:r>
        <w:rPr>
          <w:spacing w:val="-5"/>
        </w:rPr>
        <w:t xml:space="preserve"> </w:t>
      </w:r>
      <w:r>
        <w:rPr>
          <w:spacing w:val="-2"/>
        </w:rPr>
        <w:t>ACTEW’s</w:t>
      </w:r>
      <w:r>
        <w:rPr>
          <w:spacing w:val="-1"/>
        </w:rPr>
        <w:t xml:space="preserve"> overall</w:t>
      </w:r>
      <w:r>
        <w:t xml:space="preserve"> debt</w:t>
      </w:r>
      <w:r>
        <w:rPr>
          <w:spacing w:val="-1"/>
        </w:rPr>
        <w:t xml:space="preserve"> capacity.</w:t>
      </w:r>
      <w:r>
        <w:rPr>
          <w:spacing w:val="-11"/>
        </w:rPr>
        <w:t xml:space="preserve"> </w:t>
      </w:r>
      <w:r>
        <w:rPr>
          <w:spacing w:val="-2"/>
        </w:rPr>
        <w:t>The</w:t>
      </w:r>
      <w:r>
        <w:rPr>
          <w:spacing w:val="-1"/>
        </w:rPr>
        <w:t xml:space="preserve"> </w:t>
      </w:r>
      <w:r>
        <w:t>financial</w:t>
      </w:r>
      <w:r>
        <w:rPr>
          <w:spacing w:val="-1"/>
        </w:rPr>
        <w:t xml:space="preserve"> ratios</w:t>
      </w:r>
      <w:r>
        <w:t xml:space="preserve"> the</w:t>
      </w:r>
      <w:r>
        <w:rPr>
          <w:spacing w:val="-1"/>
        </w:rPr>
        <w:t xml:space="preserve"> </w:t>
      </w:r>
      <w:r>
        <w:rPr>
          <w:spacing w:val="-3"/>
        </w:rPr>
        <w:t>Panel</w:t>
      </w:r>
      <w:r>
        <w:rPr>
          <w:spacing w:val="45"/>
        </w:rPr>
        <w:t xml:space="preserve"> </w:t>
      </w:r>
      <w:r>
        <w:t>selected</w:t>
      </w:r>
      <w:r>
        <w:rPr>
          <w:spacing w:val="-1"/>
        </w:rPr>
        <w:t xml:space="preserve"> </w:t>
      </w:r>
      <w:r>
        <w:rPr>
          <w:spacing w:val="-2"/>
        </w:rPr>
        <w:t>are</w:t>
      </w:r>
      <w:r>
        <w:t xml:space="preserve"> similar</w:t>
      </w:r>
      <w:r>
        <w:rPr>
          <w:spacing w:val="-1"/>
        </w:rPr>
        <w:t xml:space="preserve"> </w:t>
      </w:r>
      <w:r>
        <w:t>to those</w:t>
      </w:r>
      <w:r>
        <w:rPr>
          <w:spacing w:val="-1"/>
        </w:rPr>
        <w:t xml:space="preserve"> </w:t>
      </w:r>
      <w:r>
        <w:t>used by</w:t>
      </w:r>
      <w:r>
        <w:rPr>
          <w:spacing w:val="-1"/>
        </w:rPr>
        <w:t xml:space="preserve"> </w:t>
      </w:r>
      <w:r>
        <w:t>the ESC</w:t>
      </w:r>
      <w:r>
        <w:rPr>
          <w:spacing w:val="-1"/>
        </w:rPr>
        <w:t xml:space="preserve"> </w:t>
      </w:r>
      <w:r>
        <w:t xml:space="preserve">and </w:t>
      </w:r>
      <w:r>
        <w:rPr>
          <w:spacing w:val="-4"/>
        </w:rPr>
        <w:t>IPART</w:t>
      </w:r>
      <w:r>
        <w:rPr>
          <w:spacing w:val="-5"/>
        </w:rPr>
        <w:t xml:space="preserve"> </w:t>
      </w:r>
      <w:r>
        <w:t>in</w:t>
      </w:r>
      <w:r>
        <w:rPr>
          <w:spacing w:val="-1"/>
        </w:rPr>
        <w:t xml:space="preserve"> </w:t>
      </w:r>
      <w:r>
        <w:t>considering financial</w:t>
      </w:r>
      <w:r>
        <w:rPr>
          <w:spacing w:val="-1"/>
        </w:rPr>
        <w:t xml:space="preserve"> viability,</w:t>
      </w:r>
      <w:r>
        <w:rPr>
          <w:spacing w:val="-6"/>
        </w:rPr>
        <w:t xml:space="preserve"> </w:t>
      </w:r>
      <w:r>
        <w:t>and</w:t>
      </w:r>
      <w:r>
        <w:rPr>
          <w:spacing w:val="-1"/>
        </w:rPr>
        <w:t xml:space="preserve"> </w:t>
      </w:r>
      <w:r>
        <w:rPr>
          <w:spacing w:val="-2"/>
        </w:rPr>
        <w:t>are</w:t>
      </w:r>
      <w:r>
        <w:t xml:space="preserve"> based</w:t>
      </w:r>
      <w:r>
        <w:rPr>
          <w:spacing w:val="21"/>
        </w:rPr>
        <w:t xml:space="preserve"> </w:t>
      </w:r>
      <w:r>
        <w:t xml:space="preserve">on </w:t>
      </w:r>
      <w:r>
        <w:rPr>
          <w:spacing w:val="-1"/>
        </w:rPr>
        <w:t>measures</w:t>
      </w:r>
      <w:r>
        <w:t xml:space="preserve"> used by </w:t>
      </w:r>
      <w:r>
        <w:rPr>
          <w:spacing w:val="-2"/>
        </w:rPr>
        <w:t>Moody’s</w:t>
      </w:r>
      <w:r>
        <w:t xml:space="preserve"> in assessing the </w:t>
      </w:r>
      <w:r>
        <w:rPr>
          <w:spacing w:val="-1"/>
        </w:rPr>
        <w:t>credit</w:t>
      </w:r>
      <w:r>
        <w:t xml:space="preserve"> </w:t>
      </w:r>
      <w:r>
        <w:rPr>
          <w:spacing w:val="-1"/>
        </w:rPr>
        <w:t>rating</w:t>
      </w:r>
      <w:r>
        <w:t xml:space="preserve"> of</w:t>
      </w:r>
      <w:r>
        <w:rPr>
          <w:spacing w:val="4"/>
        </w:rPr>
        <w:t xml:space="preserve"> </w:t>
      </w:r>
      <w:r>
        <w:rPr>
          <w:spacing w:val="-1"/>
        </w:rPr>
        <w:t>regulated</w:t>
      </w:r>
      <w:r>
        <w:t xml:space="preserve"> utilities.</w:t>
      </w:r>
      <w:r>
        <w:rPr>
          <w:spacing w:val="-11"/>
        </w:rPr>
        <w:t xml:space="preserve"> </w:t>
      </w:r>
      <w:r>
        <w:rPr>
          <w:spacing w:val="-1"/>
        </w:rPr>
        <w:t>They</w:t>
      </w:r>
      <w:r>
        <w:t xml:space="preserve"> </w:t>
      </w:r>
      <w:r>
        <w:rPr>
          <w:spacing w:val="-1"/>
        </w:rPr>
        <w:t>are:</w:t>
      </w:r>
    </w:p>
    <w:p w:rsidR="00D96B91" w:rsidRDefault="00C2656B">
      <w:pPr>
        <w:pStyle w:val="BodyText"/>
        <w:numPr>
          <w:ilvl w:val="0"/>
          <w:numId w:val="131"/>
        </w:numPr>
        <w:tabs>
          <w:tab w:val="left" w:pos="1531"/>
        </w:tabs>
        <w:spacing w:before="170" w:line="260" w:lineRule="exact"/>
        <w:ind w:right="1363" w:hanging="283"/>
      </w:pPr>
      <w:r>
        <w:rPr>
          <w:spacing w:val="-2"/>
        </w:rPr>
        <w:t>Funds</w:t>
      </w:r>
      <w:r>
        <w:t xml:space="preserve"> </w:t>
      </w:r>
      <w:r>
        <w:rPr>
          <w:spacing w:val="-1"/>
        </w:rPr>
        <w:t>from</w:t>
      </w:r>
      <w:r>
        <w:t xml:space="preserve"> </w:t>
      </w:r>
      <w:r>
        <w:rPr>
          <w:spacing w:val="-1"/>
        </w:rPr>
        <w:t>operations</w:t>
      </w:r>
      <w:r>
        <w:t xml:space="preserve"> (FFO) </w:t>
      </w:r>
      <w:r>
        <w:rPr>
          <w:spacing w:val="-1"/>
        </w:rPr>
        <w:t>interest</w:t>
      </w:r>
      <w:r>
        <w:t xml:space="preserve"> cover </w:t>
      </w:r>
      <w:r>
        <w:rPr>
          <w:spacing w:val="-2"/>
        </w:rPr>
        <w:t>ratio,</w:t>
      </w:r>
      <w:r>
        <w:rPr>
          <w:spacing w:val="-6"/>
        </w:rPr>
        <w:t xml:space="preserve"> </w:t>
      </w:r>
      <w:r>
        <w:t xml:space="preserve">which </w:t>
      </w:r>
      <w:r>
        <w:rPr>
          <w:spacing w:val="-1"/>
        </w:rPr>
        <w:t>provides</w:t>
      </w:r>
      <w:r>
        <w:t xml:space="preserve"> an </w:t>
      </w:r>
      <w:r>
        <w:rPr>
          <w:spacing w:val="-1"/>
        </w:rPr>
        <w:t>indication</w:t>
      </w:r>
      <w:r>
        <w:t xml:space="preserve"> of</w:t>
      </w:r>
      <w:r>
        <w:rPr>
          <w:spacing w:val="1"/>
        </w:rPr>
        <w:t xml:space="preserve"> </w:t>
      </w:r>
      <w:r>
        <w:rPr>
          <w:spacing w:val="-2"/>
        </w:rPr>
        <w:t>ACTEW’s</w:t>
      </w:r>
      <w:r>
        <w:t xml:space="preserve"> ability to</w:t>
      </w:r>
      <w:r>
        <w:rPr>
          <w:spacing w:val="55"/>
        </w:rPr>
        <w:t xml:space="preserve"> </w:t>
      </w:r>
      <w:r>
        <w:rPr>
          <w:spacing w:val="-1"/>
        </w:rPr>
        <w:t>make</w:t>
      </w:r>
      <w:r>
        <w:t xml:space="preserve"> </w:t>
      </w:r>
      <w:r>
        <w:rPr>
          <w:spacing w:val="-1"/>
        </w:rPr>
        <w:t>interest</w:t>
      </w:r>
      <w:r>
        <w:t xml:space="preserve"> payments.</w:t>
      </w:r>
    </w:p>
    <w:p w:rsidR="00D96B91" w:rsidRDefault="00C2656B">
      <w:pPr>
        <w:pStyle w:val="BodyText"/>
        <w:numPr>
          <w:ilvl w:val="0"/>
          <w:numId w:val="131"/>
        </w:numPr>
        <w:tabs>
          <w:tab w:val="left" w:pos="1531"/>
        </w:tabs>
        <w:spacing w:before="85" w:line="260" w:lineRule="exact"/>
        <w:ind w:right="1376" w:hanging="283"/>
      </w:pPr>
      <w:r>
        <w:rPr>
          <w:rFonts w:cs="Avenir Next"/>
        </w:rPr>
        <w:t xml:space="preserve">Net debt </w:t>
      </w:r>
      <w:r>
        <w:rPr>
          <w:rFonts w:cs="Avenir Next"/>
          <w:spacing w:val="-1"/>
        </w:rPr>
        <w:t>gearing</w:t>
      </w:r>
      <w:r>
        <w:rPr>
          <w:rFonts w:cs="Avenir Next"/>
        </w:rPr>
        <w:t xml:space="preserve"> </w:t>
      </w:r>
      <w:r>
        <w:rPr>
          <w:rFonts w:cs="Avenir Next"/>
          <w:spacing w:val="-2"/>
        </w:rPr>
        <w:t>ratio,</w:t>
      </w:r>
      <w:r>
        <w:rPr>
          <w:rFonts w:cs="Avenir Next"/>
          <w:spacing w:val="-7"/>
        </w:rPr>
        <w:t xml:space="preserve"> </w:t>
      </w:r>
      <w:r>
        <w:rPr>
          <w:rFonts w:cs="Avenir Next"/>
        </w:rPr>
        <w:t xml:space="preserve">which </w:t>
      </w:r>
      <w:r>
        <w:rPr>
          <w:rFonts w:cs="Avenir Next"/>
          <w:spacing w:val="-1"/>
        </w:rPr>
        <w:t>measures</w:t>
      </w:r>
      <w:r>
        <w:rPr>
          <w:rFonts w:cs="Avenir Next"/>
        </w:rPr>
        <w:t xml:space="preserve"> the </w:t>
      </w:r>
      <w:r>
        <w:rPr>
          <w:rFonts w:cs="Avenir Next"/>
          <w:spacing w:val="-1"/>
        </w:rPr>
        <w:t>proportion</w:t>
      </w:r>
      <w:r>
        <w:rPr>
          <w:rFonts w:cs="Avenir Next"/>
        </w:rPr>
        <w:t xml:space="preserve"> of</w:t>
      </w:r>
      <w:r>
        <w:rPr>
          <w:rFonts w:cs="Avenir Next"/>
          <w:spacing w:val="1"/>
        </w:rPr>
        <w:t xml:space="preserve"> </w:t>
      </w:r>
      <w:r>
        <w:rPr>
          <w:rFonts w:cs="Avenir Next"/>
          <w:spacing w:val="-2"/>
        </w:rPr>
        <w:t>ACTEW’s</w:t>
      </w:r>
      <w:r>
        <w:rPr>
          <w:rFonts w:cs="Avenir Next"/>
        </w:rPr>
        <w:t xml:space="preserve"> </w:t>
      </w:r>
      <w:r>
        <w:rPr>
          <w:rFonts w:cs="Avenir Next"/>
          <w:spacing w:val="-1"/>
        </w:rPr>
        <w:t>overall</w:t>
      </w:r>
      <w:r>
        <w:rPr>
          <w:rFonts w:cs="Avenir Next"/>
        </w:rPr>
        <w:t xml:space="preserve"> </w:t>
      </w:r>
      <w:r>
        <w:rPr>
          <w:rFonts w:cs="Avenir Next"/>
          <w:spacing w:val="-1"/>
        </w:rPr>
        <w:t>regulatory</w:t>
      </w:r>
      <w:r>
        <w:rPr>
          <w:rFonts w:cs="Avenir Next"/>
        </w:rPr>
        <w:t xml:space="preserve"> capital</w:t>
      </w:r>
      <w:r>
        <w:rPr>
          <w:rFonts w:cs="Avenir Next"/>
          <w:spacing w:val="45"/>
        </w:rPr>
        <w:t xml:space="preserve"> </w:t>
      </w:r>
      <w:r>
        <w:rPr>
          <w:rFonts w:cs="Avenir Next"/>
          <w:spacing w:val="-3"/>
        </w:rPr>
        <w:t>structure</w:t>
      </w:r>
      <w:r>
        <w:rPr>
          <w:rFonts w:cs="Avenir Next"/>
          <w:spacing w:val="-4"/>
        </w:rPr>
        <w:t xml:space="preserve"> </w:t>
      </w:r>
      <w:r>
        <w:rPr>
          <w:rFonts w:cs="Avenir Next"/>
          <w:spacing w:val="-2"/>
        </w:rPr>
        <w:t>that</w:t>
      </w:r>
      <w:r>
        <w:rPr>
          <w:rFonts w:cs="Avenir Next"/>
          <w:spacing w:val="-4"/>
        </w:rPr>
        <w:t xml:space="preserve"> </w:t>
      </w:r>
      <w:r>
        <w:rPr>
          <w:rFonts w:cs="Avenir Next"/>
          <w:spacing w:val="-1"/>
        </w:rPr>
        <w:t>is</w:t>
      </w:r>
      <w:r>
        <w:rPr>
          <w:rFonts w:cs="Avenir Next"/>
          <w:spacing w:val="-4"/>
        </w:rPr>
        <w:t xml:space="preserve"> </w:t>
      </w:r>
      <w:r>
        <w:rPr>
          <w:rFonts w:cs="Avenir Next"/>
          <w:spacing w:val="-2"/>
        </w:rPr>
        <w:t>made</w:t>
      </w:r>
      <w:r>
        <w:rPr>
          <w:rFonts w:cs="Avenir Next"/>
          <w:spacing w:val="-4"/>
        </w:rPr>
        <w:t xml:space="preserve"> </w:t>
      </w:r>
      <w:r>
        <w:rPr>
          <w:rFonts w:cs="Avenir Next"/>
          <w:spacing w:val="-1"/>
        </w:rPr>
        <w:t>up</w:t>
      </w:r>
      <w:r>
        <w:rPr>
          <w:rFonts w:cs="Avenir Next"/>
          <w:spacing w:val="-4"/>
        </w:rPr>
        <w:t xml:space="preserve"> </w:t>
      </w:r>
      <w:r>
        <w:rPr>
          <w:rFonts w:cs="Avenir Next"/>
          <w:spacing w:val="-1"/>
        </w:rPr>
        <w:t>by</w:t>
      </w:r>
      <w:r>
        <w:rPr>
          <w:rFonts w:cs="Avenir Next"/>
          <w:spacing w:val="-4"/>
        </w:rPr>
        <w:t xml:space="preserve"> </w:t>
      </w:r>
      <w:r>
        <w:rPr>
          <w:rFonts w:cs="Avenir Next"/>
          <w:spacing w:val="-2"/>
        </w:rPr>
        <w:t>debt</w:t>
      </w:r>
      <w:r>
        <w:rPr>
          <w:rFonts w:cs="Avenir Next"/>
          <w:spacing w:val="-4"/>
        </w:rPr>
        <w:t xml:space="preserve"> </w:t>
      </w:r>
      <w:r>
        <w:rPr>
          <w:rFonts w:cs="Avenir Next"/>
          <w:spacing w:val="-2"/>
        </w:rPr>
        <w:t>and</w:t>
      </w:r>
      <w:r>
        <w:rPr>
          <w:rFonts w:cs="Avenir Next"/>
          <w:spacing w:val="-4"/>
        </w:rPr>
        <w:t xml:space="preserve"> </w:t>
      </w:r>
      <w:r>
        <w:rPr>
          <w:rFonts w:cs="Avenir Next"/>
          <w:spacing w:val="-3"/>
        </w:rPr>
        <w:t>provides</w:t>
      </w:r>
      <w:r>
        <w:rPr>
          <w:rFonts w:cs="Avenir Next"/>
          <w:spacing w:val="-4"/>
        </w:rPr>
        <w:t xml:space="preserve"> </w:t>
      </w:r>
      <w:r>
        <w:rPr>
          <w:rFonts w:cs="Avenir Next"/>
          <w:spacing w:val="-1"/>
        </w:rPr>
        <w:t>an</w:t>
      </w:r>
      <w:r>
        <w:rPr>
          <w:rFonts w:cs="Avenir Next"/>
          <w:spacing w:val="-4"/>
        </w:rPr>
        <w:t xml:space="preserve"> </w:t>
      </w:r>
      <w:r>
        <w:rPr>
          <w:rFonts w:cs="Avenir Next"/>
          <w:spacing w:val="-2"/>
        </w:rPr>
        <w:t>indication</w:t>
      </w:r>
      <w:r>
        <w:rPr>
          <w:rFonts w:cs="Avenir Next"/>
          <w:spacing w:val="-4"/>
        </w:rPr>
        <w:t xml:space="preserve"> </w:t>
      </w:r>
      <w:r>
        <w:rPr>
          <w:rFonts w:cs="Avenir Next"/>
          <w:spacing w:val="-1"/>
        </w:rPr>
        <w:t>of</w:t>
      </w:r>
      <w:r>
        <w:rPr>
          <w:rFonts w:cs="Avenir Next"/>
        </w:rPr>
        <w:t xml:space="preserve"> </w:t>
      </w:r>
      <w:r>
        <w:rPr>
          <w:rFonts w:cs="Avenir Next"/>
          <w:spacing w:val="-2"/>
        </w:rPr>
        <w:t>its</w:t>
      </w:r>
      <w:r>
        <w:rPr>
          <w:rFonts w:cs="Avenir Next"/>
          <w:spacing w:val="-4"/>
        </w:rPr>
        <w:t xml:space="preserve"> </w:t>
      </w:r>
      <w:r>
        <w:rPr>
          <w:rFonts w:cs="Avenir Next"/>
          <w:spacing w:val="-2"/>
        </w:rPr>
        <w:t>ability</w:t>
      </w:r>
      <w:r>
        <w:rPr>
          <w:rFonts w:cs="Avenir Next"/>
          <w:spacing w:val="-4"/>
        </w:rPr>
        <w:t xml:space="preserve"> </w:t>
      </w:r>
      <w:r>
        <w:rPr>
          <w:rFonts w:cs="Avenir Next"/>
          <w:spacing w:val="-1"/>
        </w:rPr>
        <w:t>to</w:t>
      </w:r>
      <w:r>
        <w:rPr>
          <w:rFonts w:cs="Avenir Next"/>
          <w:spacing w:val="-4"/>
        </w:rPr>
        <w:t xml:space="preserve"> </w:t>
      </w:r>
      <w:r>
        <w:rPr>
          <w:rFonts w:cs="Avenir Next"/>
          <w:spacing w:val="-3"/>
        </w:rPr>
        <w:t>repay</w:t>
      </w:r>
      <w:r>
        <w:rPr>
          <w:rFonts w:cs="Avenir Next"/>
          <w:spacing w:val="-4"/>
        </w:rPr>
        <w:t xml:space="preserve"> </w:t>
      </w:r>
      <w:r>
        <w:rPr>
          <w:rFonts w:cs="Avenir Next"/>
          <w:spacing w:val="-2"/>
        </w:rPr>
        <w:t>its</w:t>
      </w:r>
      <w:r>
        <w:rPr>
          <w:rFonts w:cs="Avenir Next"/>
          <w:spacing w:val="-4"/>
        </w:rPr>
        <w:t xml:space="preserve"> </w:t>
      </w:r>
      <w:r>
        <w:rPr>
          <w:rFonts w:cs="Avenir Next"/>
          <w:spacing w:val="-2"/>
        </w:rPr>
        <w:t>debt</w:t>
      </w:r>
      <w:r>
        <w:rPr>
          <w:rFonts w:cs="Avenir Next"/>
          <w:spacing w:val="-4"/>
        </w:rPr>
        <w:t xml:space="preserve"> </w:t>
      </w:r>
      <w:r>
        <w:rPr>
          <w:rFonts w:cs="Avenir Next"/>
          <w:spacing w:val="-2"/>
        </w:rPr>
        <w:t>(or</w:t>
      </w:r>
      <w:r>
        <w:rPr>
          <w:rFonts w:cs="Avenir Next"/>
          <w:spacing w:val="-4"/>
        </w:rPr>
        <w:t xml:space="preserve"> </w:t>
      </w:r>
      <w:r>
        <w:rPr>
          <w:rFonts w:cs="Avenir Next"/>
          <w:spacing w:val="-3"/>
        </w:rPr>
        <w:t>increase</w:t>
      </w:r>
      <w:r>
        <w:rPr>
          <w:rFonts w:cs="Avenir Next"/>
          <w:spacing w:val="68"/>
        </w:rPr>
        <w:t xml:space="preserve"> </w:t>
      </w:r>
      <w:r>
        <w:rPr>
          <w:spacing w:val="-3"/>
        </w:rPr>
        <w:t>borrowings</w:t>
      </w:r>
      <w:r>
        <w:rPr>
          <w:spacing w:val="-4"/>
        </w:rPr>
        <w:t xml:space="preserve"> </w:t>
      </w:r>
      <w:r>
        <w:rPr>
          <w:spacing w:val="-1"/>
        </w:rPr>
        <w:t>in</w:t>
      </w:r>
      <w:r>
        <w:rPr>
          <w:spacing w:val="-4"/>
        </w:rPr>
        <w:t xml:space="preserve"> </w:t>
      </w:r>
      <w:r>
        <w:rPr>
          <w:spacing w:val="-2"/>
        </w:rPr>
        <w:t>the</w:t>
      </w:r>
      <w:r>
        <w:rPr>
          <w:spacing w:val="-4"/>
        </w:rPr>
        <w:t xml:space="preserve"> </w:t>
      </w:r>
      <w:r>
        <w:rPr>
          <w:spacing w:val="-3"/>
        </w:rPr>
        <w:t>short</w:t>
      </w:r>
      <w:r>
        <w:rPr>
          <w:spacing w:val="-4"/>
        </w:rPr>
        <w:t xml:space="preserve"> </w:t>
      </w:r>
      <w:r>
        <w:rPr>
          <w:spacing w:val="-2"/>
        </w:rPr>
        <w:t>term</w:t>
      </w:r>
      <w:r>
        <w:rPr>
          <w:spacing w:val="-4"/>
        </w:rPr>
        <w:t xml:space="preserve"> </w:t>
      </w:r>
      <w:r>
        <w:rPr>
          <w:spacing w:val="-1"/>
        </w:rPr>
        <w:t>if</w:t>
      </w:r>
      <w:r>
        <w:t xml:space="preserve"> </w:t>
      </w:r>
      <w:r>
        <w:rPr>
          <w:spacing w:val="-3"/>
        </w:rPr>
        <w:t>required).</w:t>
      </w:r>
    </w:p>
    <w:p w:rsidR="00D96B91" w:rsidRDefault="00C2656B">
      <w:pPr>
        <w:pStyle w:val="BodyText"/>
        <w:numPr>
          <w:ilvl w:val="0"/>
          <w:numId w:val="131"/>
        </w:numPr>
        <w:tabs>
          <w:tab w:val="left" w:pos="1531"/>
        </w:tabs>
        <w:spacing w:before="85" w:line="260" w:lineRule="exact"/>
        <w:ind w:right="1718" w:hanging="283"/>
      </w:pPr>
      <w:r>
        <w:t xml:space="preserve">FFO to net debt </w:t>
      </w:r>
      <w:r>
        <w:rPr>
          <w:spacing w:val="-2"/>
        </w:rPr>
        <w:t>ratio,</w:t>
      </w:r>
      <w:r>
        <w:rPr>
          <w:spacing w:val="-6"/>
        </w:rPr>
        <w:t xml:space="preserve"> </w:t>
      </w:r>
      <w:r>
        <w:t xml:space="preserve">which </w:t>
      </w:r>
      <w:r>
        <w:rPr>
          <w:spacing w:val="-1"/>
        </w:rPr>
        <w:t>provides</w:t>
      </w:r>
      <w:r>
        <w:t xml:space="preserve"> an </w:t>
      </w:r>
      <w:r>
        <w:rPr>
          <w:spacing w:val="-1"/>
        </w:rPr>
        <w:t>indication</w:t>
      </w:r>
      <w:r>
        <w:t xml:space="preserve"> of</w:t>
      </w:r>
      <w:r>
        <w:rPr>
          <w:spacing w:val="4"/>
        </w:rPr>
        <w:t xml:space="preserve"> </w:t>
      </w:r>
      <w:r>
        <w:t>whether</w:t>
      </w:r>
      <w:r>
        <w:rPr>
          <w:spacing w:val="-4"/>
        </w:rPr>
        <w:t xml:space="preserve"> </w:t>
      </w:r>
      <w:r>
        <w:rPr>
          <w:spacing w:val="-2"/>
        </w:rPr>
        <w:t>ACTEW’s</w:t>
      </w:r>
      <w:r>
        <w:t xml:space="preserve"> debt servicing ability is</w:t>
      </w:r>
      <w:r>
        <w:rPr>
          <w:spacing w:val="35"/>
        </w:rPr>
        <w:t xml:space="preserve"> </w:t>
      </w:r>
      <w:r>
        <w:rPr>
          <w:spacing w:val="-1"/>
        </w:rPr>
        <w:t>improving,</w:t>
      </w:r>
      <w:r>
        <w:rPr>
          <w:spacing w:val="-6"/>
        </w:rPr>
        <w:t xml:space="preserve"> </w:t>
      </w:r>
      <w:r>
        <w:rPr>
          <w:spacing w:val="-1"/>
        </w:rPr>
        <w:t>remaining</w:t>
      </w:r>
      <w:r>
        <w:t xml:space="preserve"> stable or declining.</w:t>
      </w:r>
    </w:p>
    <w:p w:rsidR="00D96B91" w:rsidRDefault="00C2656B">
      <w:pPr>
        <w:pStyle w:val="BodyText"/>
        <w:numPr>
          <w:ilvl w:val="0"/>
          <w:numId w:val="131"/>
        </w:numPr>
        <w:tabs>
          <w:tab w:val="left" w:pos="1531"/>
        </w:tabs>
        <w:spacing w:before="85" w:line="260" w:lineRule="exact"/>
        <w:ind w:right="1533" w:hanging="283"/>
      </w:pPr>
      <w:r>
        <w:rPr>
          <w:spacing w:val="-1"/>
        </w:rPr>
        <w:t xml:space="preserve">Retained </w:t>
      </w:r>
      <w:r>
        <w:t>cash flow to</w:t>
      </w:r>
      <w:r>
        <w:rPr>
          <w:spacing w:val="-1"/>
        </w:rPr>
        <w:t xml:space="preserve"> </w:t>
      </w:r>
      <w:r>
        <w:t xml:space="preserve">capital </w:t>
      </w:r>
      <w:r>
        <w:rPr>
          <w:spacing w:val="-1"/>
        </w:rPr>
        <w:t>expenditure</w:t>
      </w:r>
      <w:r>
        <w:t xml:space="preserve"> </w:t>
      </w:r>
      <w:r>
        <w:rPr>
          <w:spacing w:val="-2"/>
        </w:rPr>
        <w:t>ratio,</w:t>
      </w:r>
      <w:r>
        <w:rPr>
          <w:spacing w:val="-6"/>
        </w:rPr>
        <w:t xml:space="preserve"> </w:t>
      </w:r>
      <w:r>
        <w:t>which</w:t>
      </w:r>
      <w:r>
        <w:rPr>
          <w:spacing w:val="-1"/>
        </w:rPr>
        <w:t xml:space="preserve"> provides</w:t>
      </w:r>
      <w:r>
        <w:t xml:space="preserve"> an </w:t>
      </w:r>
      <w:r>
        <w:rPr>
          <w:spacing w:val="-1"/>
        </w:rPr>
        <w:t>indication</w:t>
      </w:r>
      <w:r>
        <w:t xml:space="preserve"> of </w:t>
      </w:r>
      <w:r>
        <w:rPr>
          <w:spacing w:val="-2"/>
        </w:rPr>
        <w:t>ACTEW’s</w:t>
      </w:r>
      <w:r>
        <w:t xml:space="preserve"> ability to</w:t>
      </w:r>
      <w:r>
        <w:rPr>
          <w:spacing w:val="55"/>
        </w:rPr>
        <w:t xml:space="preserve"> </w:t>
      </w:r>
      <w:r>
        <w:t>finance</w:t>
      </w:r>
      <w:r>
        <w:rPr>
          <w:spacing w:val="-1"/>
        </w:rPr>
        <w:t xml:space="preserve"> </w:t>
      </w:r>
      <w:r>
        <w:t>a</w:t>
      </w:r>
      <w:r>
        <w:rPr>
          <w:spacing w:val="-1"/>
        </w:rPr>
        <w:t xml:space="preserve"> </w:t>
      </w:r>
      <w:r>
        <w:t>prudent</w:t>
      </w:r>
      <w:r>
        <w:rPr>
          <w:spacing w:val="-1"/>
        </w:rPr>
        <w:t xml:space="preserve"> portion </w:t>
      </w:r>
      <w:r>
        <w:t>of</w:t>
      </w:r>
      <w:r>
        <w:rPr>
          <w:spacing w:val="3"/>
        </w:rPr>
        <w:t xml:space="preserve"> </w:t>
      </w:r>
      <w:r>
        <w:rPr>
          <w:spacing w:val="-1"/>
        </w:rPr>
        <w:t>capex</w:t>
      </w:r>
      <w:r>
        <w:t xml:space="preserve"> </w:t>
      </w:r>
      <w:r>
        <w:rPr>
          <w:spacing w:val="-1"/>
        </w:rPr>
        <w:t xml:space="preserve">after </w:t>
      </w:r>
      <w:r>
        <w:t>paying</w:t>
      </w:r>
      <w:r>
        <w:rPr>
          <w:spacing w:val="-1"/>
        </w:rPr>
        <w:t xml:space="preserve"> </w:t>
      </w:r>
      <w:r>
        <w:t>dividends.</w:t>
      </w:r>
    </w:p>
    <w:p w:rsidR="00D96B91" w:rsidRDefault="00D96B91">
      <w:pPr>
        <w:spacing w:before="8"/>
        <w:rPr>
          <w:rFonts w:ascii="Avenir Next" w:eastAsia="Avenir Next" w:hAnsi="Avenir Next" w:cs="Avenir Next"/>
          <w:sz w:val="16"/>
          <w:szCs w:val="16"/>
        </w:rPr>
      </w:pPr>
    </w:p>
    <w:p w:rsidR="00D96B91" w:rsidRDefault="00D96B91">
      <w:pPr>
        <w:pStyle w:val="BodyText"/>
        <w:spacing w:line="260" w:lineRule="exact"/>
        <w:ind w:right="1246"/>
      </w:pPr>
      <w:hyperlink w:anchor="_bookmark143" w:history="1">
        <w:r w:rsidR="00C2656B">
          <w:rPr>
            <w:spacing w:val="-4"/>
          </w:rPr>
          <w:t>Table</w:t>
        </w:r>
        <w:r w:rsidR="00C2656B">
          <w:rPr>
            <w:spacing w:val="-2"/>
          </w:rPr>
          <w:t xml:space="preserve"> </w:t>
        </w:r>
        <w:r w:rsidR="00C2656B">
          <w:t>15.4</w:t>
        </w:r>
      </w:hyperlink>
      <w:r w:rsidR="00C2656B">
        <w:rPr>
          <w:spacing w:val="-1"/>
        </w:rPr>
        <w:t xml:space="preserve"> </w:t>
      </w:r>
      <w:r w:rsidR="00C2656B">
        <w:t>sets</w:t>
      </w:r>
      <w:r w:rsidR="00C2656B">
        <w:rPr>
          <w:spacing w:val="-2"/>
        </w:rPr>
        <w:t xml:space="preserve"> </w:t>
      </w:r>
      <w:r w:rsidR="00C2656B">
        <w:t>out</w:t>
      </w:r>
      <w:r w:rsidR="00C2656B">
        <w:rPr>
          <w:spacing w:val="-1"/>
        </w:rPr>
        <w:t xml:space="preserve"> </w:t>
      </w:r>
      <w:r w:rsidR="00C2656B">
        <w:t>the</w:t>
      </w:r>
      <w:r w:rsidR="00C2656B">
        <w:rPr>
          <w:spacing w:val="-1"/>
        </w:rPr>
        <w:t xml:space="preserve"> target</w:t>
      </w:r>
      <w:r w:rsidR="00C2656B">
        <w:rPr>
          <w:spacing w:val="-2"/>
        </w:rPr>
        <w:t xml:space="preserve"> </w:t>
      </w:r>
      <w:r w:rsidR="00C2656B">
        <w:t>levels</w:t>
      </w:r>
      <w:r w:rsidR="00C2656B">
        <w:rPr>
          <w:spacing w:val="-1"/>
        </w:rPr>
        <w:t xml:space="preserve"> </w:t>
      </w:r>
      <w:r w:rsidR="00C2656B">
        <w:t>of</w:t>
      </w:r>
      <w:r w:rsidR="00C2656B">
        <w:rPr>
          <w:spacing w:val="3"/>
        </w:rPr>
        <w:t xml:space="preserve"> </w:t>
      </w:r>
      <w:r w:rsidR="00C2656B">
        <w:t>the</w:t>
      </w:r>
      <w:r w:rsidR="00C2656B">
        <w:rPr>
          <w:spacing w:val="-1"/>
        </w:rPr>
        <w:t xml:space="preserve"> </w:t>
      </w:r>
      <w:r w:rsidR="00C2656B">
        <w:t>financial</w:t>
      </w:r>
      <w:r w:rsidR="00C2656B">
        <w:rPr>
          <w:spacing w:val="-2"/>
        </w:rPr>
        <w:t xml:space="preserve"> </w:t>
      </w:r>
      <w:r w:rsidR="00C2656B">
        <w:rPr>
          <w:spacing w:val="-1"/>
        </w:rPr>
        <w:t xml:space="preserve">ratios </w:t>
      </w:r>
      <w:r w:rsidR="00C2656B">
        <w:t>used</w:t>
      </w:r>
      <w:r w:rsidR="00C2656B">
        <w:rPr>
          <w:spacing w:val="-1"/>
        </w:rPr>
        <w:t xml:space="preserve"> </w:t>
      </w:r>
      <w:r w:rsidR="00C2656B">
        <w:t>by</w:t>
      </w:r>
      <w:r w:rsidR="00C2656B">
        <w:rPr>
          <w:spacing w:val="-2"/>
        </w:rPr>
        <w:t xml:space="preserve"> </w:t>
      </w:r>
      <w:r w:rsidR="00C2656B">
        <w:t>ESC,</w:t>
      </w:r>
      <w:r w:rsidR="00C2656B">
        <w:rPr>
          <w:spacing w:val="-7"/>
        </w:rPr>
        <w:t xml:space="preserve"> </w:t>
      </w:r>
      <w:r w:rsidR="00C2656B">
        <w:rPr>
          <w:spacing w:val="-3"/>
        </w:rPr>
        <w:t>IPART</w:t>
      </w:r>
      <w:r w:rsidR="00C2656B">
        <w:rPr>
          <w:spacing w:val="-6"/>
        </w:rPr>
        <w:t xml:space="preserve"> </w:t>
      </w:r>
      <w:r w:rsidR="00C2656B">
        <w:t>and</w:t>
      </w:r>
      <w:r w:rsidR="00C2656B">
        <w:rPr>
          <w:spacing w:val="-2"/>
        </w:rPr>
        <w:t xml:space="preserve"> </w:t>
      </w:r>
      <w:r w:rsidR="00C2656B">
        <w:rPr>
          <w:spacing w:val="-3"/>
        </w:rPr>
        <w:t>OFWAT</w:t>
      </w:r>
      <w:r w:rsidR="00C2656B">
        <w:rPr>
          <w:spacing w:val="-6"/>
        </w:rPr>
        <w:t xml:space="preserve"> </w:t>
      </w:r>
      <w:r w:rsidR="00C2656B">
        <w:t>(UK)</w:t>
      </w:r>
      <w:r w:rsidR="00C2656B">
        <w:rPr>
          <w:spacing w:val="-2"/>
        </w:rPr>
        <w:t xml:space="preserve"> </w:t>
      </w:r>
      <w:r w:rsidR="00C2656B">
        <w:t>to</w:t>
      </w:r>
      <w:r w:rsidR="00C2656B">
        <w:rPr>
          <w:spacing w:val="-1"/>
        </w:rPr>
        <w:t xml:space="preserve"> </w:t>
      </w:r>
      <w:r w:rsidR="00C2656B">
        <w:t>assess</w:t>
      </w:r>
      <w:r w:rsidR="00C2656B">
        <w:rPr>
          <w:spacing w:val="24"/>
        </w:rPr>
        <w:t xml:space="preserve"> </w:t>
      </w:r>
      <w:r w:rsidR="00C2656B">
        <w:t>financial</w:t>
      </w:r>
      <w:r w:rsidR="00C2656B">
        <w:rPr>
          <w:spacing w:val="-1"/>
        </w:rPr>
        <w:t xml:space="preserve"> viability,</w:t>
      </w:r>
      <w:r w:rsidR="00C2656B">
        <w:rPr>
          <w:spacing w:val="-6"/>
        </w:rPr>
        <w:t xml:space="preserve"> </w:t>
      </w:r>
      <w:r w:rsidR="00C2656B">
        <w:t>as</w:t>
      </w:r>
      <w:r w:rsidR="00C2656B">
        <w:rPr>
          <w:spacing w:val="-1"/>
        </w:rPr>
        <w:t xml:space="preserve"> </w:t>
      </w:r>
      <w:r w:rsidR="00C2656B">
        <w:t>well as</w:t>
      </w:r>
      <w:r w:rsidR="00C2656B">
        <w:rPr>
          <w:spacing w:val="-1"/>
        </w:rPr>
        <w:t xml:space="preserve"> </w:t>
      </w:r>
      <w:r w:rsidR="00C2656B">
        <w:t xml:space="preserve">those </w:t>
      </w:r>
      <w:r w:rsidR="00C2656B">
        <w:rPr>
          <w:spacing w:val="-1"/>
        </w:rPr>
        <w:t xml:space="preserve">that </w:t>
      </w:r>
      <w:r w:rsidR="00C2656B">
        <w:t>NERA</w:t>
      </w:r>
      <w:r w:rsidR="00C2656B">
        <w:rPr>
          <w:spacing w:val="-4"/>
        </w:rPr>
        <w:t xml:space="preserve"> </w:t>
      </w:r>
      <w:r w:rsidR="00C2656B">
        <w:rPr>
          <w:spacing w:val="-1"/>
        </w:rPr>
        <w:t>recently recommended</w:t>
      </w:r>
      <w:r w:rsidR="00C2656B">
        <w:t xml:space="preserve"> the</w:t>
      </w:r>
      <w:r w:rsidR="00C2656B">
        <w:rPr>
          <w:spacing w:val="-1"/>
        </w:rPr>
        <w:t xml:space="preserve"> </w:t>
      </w:r>
      <w:r w:rsidR="00C2656B">
        <w:t>ESC use</w:t>
      </w:r>
      <w:r w:rsidR="00C2656B">
        <w:rPr>
          <w:spacing w:val="-1"/>
        </w:rPr>
        <w:t xml:space="preserve"> </w:t>
      </w:r>
      <w:r w:rsidR="00C2656B">
        <w:t xml:space="preserve">as </w:t>
      </w:r>
      <w:r w:rsidR="00C2656B">
        <w:rPr>
          <w:spacing w:val="-1"/>
        </w:rPr>
        <w:t xml:space="preserve">target </w:t>
      </w:r>
      <w:r w:rsidR="00C2656B">
        <w:t>levels based</w:t>
      </w:r>
      <w:r w:rsidR="00C2656B">
        <w:rPr>
          <w:spacing w:val="35"/>
        </w:rPr>
        <w:t xml:space="preserve"> </w:t>
      </w:r>
      <w:r w:rsidR="00C2656B">
        <w:t xml:space="preserve">on Ba and Baa </w:t>
      </w:r>
      <w:r w:rsidR="00C2656B">
        <w:rPr>
          <w:spacing w:val="-1"/>
        </w:rPr>
        <w:t>credit</w:t>
      </w:r>
      <w:r w:rsidR="00C2656B">
        <w:t xml:space="preserve"> </w:t>
      </w:r>
      <w:r w:rsidR="00C2656B">
        <w:rPr>
          <w:spacing w:val="-1"/>
        </w:rPr>
        <w:t>ratings.</w:t>
      </w:r>
    </w:p>
    <w:p w:rsidR="00D96B91" w:rsidRDefault="00C2656B">
      <w:pPr>
        <w:spacing w:before="158"/>
        <w:ind w:left="1247"/>
        <w:rPr>
          <w:rFonts w:ascii="Avenir Next" w:eastAsia="Avenir Next" w:hAnsi="Avenir Next" w:cs="Avenir Next"/>
          <w:sz w:val="20"/>
          <w:szCs w:val="20"/>
        </w:rPr>
      </w:pPr>
      <w:bookmarkStart w:id="221" w:name="_bookmark143"/>
      <w:bookmarkEnd w:id="221"/>
      <w:r>
        <w:rPr>
          <w:rFonts w:ascii="Avenir Next"/>
          <w:b/>
          <w:spacing w:val="-4"/>
          <w:sz w:val="20"/>
        </w:rPr>
        <w:t>Table</w:t>
      </w:r>
      <w:r>
        <w:rPr>
          <w:rFonts w:ascii="Avenir Next"/>
          <w:b/>
          <w:sz w:val="20"/>
        </w:rPr>
        <w:t xml:space="preserve"> 15.4:</w:t>
      </w:r>
      <w:r>
        <w:rPr>
          <w:rFonts w:ascii="Avenir Next"/>
          <w:b/>
          <w:spacing w:val="-5"/>
          <w:sz w:val="20"/>
        </w:rPr>
        <w:t xml:space="preserve"> </w:t>
      </w:r>
      <w:r>
        <w:rPr>
          <w:rFonts w:ascii="Avenir Next"/>
          <w:b/>
          <w:spacing w:val="-4"/>
          <w:sz w:val="20"/>
        </w:rPr>
        <w:t>Target</w:t>
      </w:r>
      <w:r>
        <w:rPr>
          <w:rFonts w:ascii="Avenir Next"/>
          <w:b/>
          <w:sz w:val="20"/>
        </w:rPr>
        <w:t xml:space="preserve"> levels of</w:t>
      </w:r>
      <w:r>
        <w:rPr>
          <w:rFonts w:ascii="Avenir Next"/>
          <w:b/>
          <w:spacing w:val="4"/>
          <w:sz w:val="20"/>
        </w:rPr>
        <w:t xml:space="preserve"> </w:t>
      </w:r>
      <w:r>
        <w:rPr>
          <w:rFonts w:ascii="Avenir Next"/>
          <w:b/>
          <w:sz w:val="20"/>
        </w:rPr>
        <w:t xml:space="preserve">financial </w:t>
      </w:r>
      <w:r>
        <w:rPr>
          <w:rFonts w:ascii="Avenir Next"/>
          <w:b/>
          <w:spacing w:val="-1"/>
          <w:sz w:val="20"/>
        </w:rPr>
        <w:t>ratios</w:t>
      </w:r>
    </w:p>
    <w:p w:rsidR="00D96B91" w:rsidRDefault="00D96B91">
      <w:pPr>
        <w:spacing w:before="9"/>
        <w:rPr>
          <w:rFonts w:ascii="Avenir Next" w:eastAsia="Avenir Next" w:hAnsi="Avenir Next" w:cs="Avenir Next"/>
          <w:b/>
          <w:bCs/>
          <w:sz w:val="4"/>
          <w:szCs w:val="4"/>
        </w:rPr>
      </w:pPr>
    </w:p>
    <w:tbl>
      <w:tblPr>
        <w:tblW w:w="0" w:type="auto"/>
        <w:tblInd w:w="1247" w:type="dxa"/>
        <w:tblLayout w:type="fixed"/>
        <w:tblCellMar>
          <w:left w:w="0" w:type="dxa"/>
          <w:right w:w="0" w:type="dxa"/>
        </w:tblCellMar>
        <w:tblLook w:val="01E0"/>
      </w:tblPr>
      <w:tblGrid>
        <w:gridCol w:w="3170"/>
        <w:gridCol w:w="1246"/>
        <w:gridCol w:w="1246"/>
        <w:gridCol w:w="1246"/>
        <w:gridCol w:w="1246"/>
        <w:gridCol w:w="1246"/>
      </w:tblGrid>
      <w:tr w:rsidR="00D96B91">
        <w:trPr>
          <w:trHeight w:hRule="exact" w:val="407"/>
        </w:trPr>
        <w:tc>
          <w:tcPr>
            <w:tcW w:w="317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0"/>
                <w:szCs w:val="10"/>
              </w:rPr>
            </w:pPr>
            <w:r>
              <w:rPr>
                <w:rFonts w:ascii="Avenir Next Condensed"/>
                <w:b/>
                <w:color w:val="FFFFFF"/>
                <w:position w:val="-5"/>
                <w:sz w:val="18"/>
              </w:rPr>
              <w:t>ESC</w:t>
            </w:r>
            <w:r>
              <w:rPr>
                <w:rFonts w:ascii="Avenir Next Condensed"/>
                <w:b/>
                <w:color w:val="FFFFFF"/>
                <w:sz w:val="10"/>
              </w:rPr>
              <w:t>243</w:t>
            </w:r>
          </w:p>
        </w:tc>
        <w:tc>
          <w:tcPr>
            <w:tcW w:w="12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49"/>
              <w:rPr>
                <w:rFonts w:ascii="Avenir Next Condensed" w:eastAsia="Avenir Next Condensed" w:hAnsi="Avenir Next Condensed" w:cs="Avenir Next Condensed"/>
                <w:sz w:val="10"/>
                <w:szCs w:val="10"/>
              </w:rPr>
            </w:pPr>
            <w:r>
              <w:rPr>
                <w:rFonts w:ascii="Avenir Next Condensed"/>
                <w:b/>
                <w:color w:val="FFFFFF"/>
                <w:spacing w:val="-2"/>
                <w:sz w:val="18"/>
              </w:rPr>
              <w:t>IPART</w:t>
            </w:r>
            <w:r>
              <w:rPr>
                <w:rFonts w:ascii="Avenir Next Condensed"/>
                <w:b/>
                <w:color w:val="FFFFFF"/>
                <w:spacing w:val="-2"/>
                <w:position w:val="6"/>
                <w:sz w:val="10"/>
              </w:rPr>
              <w:t>244</w:t>
            </w:r>
          </w:p>
        </w:tc>
        <w:tc>
          <w:tcPr>
            <w:tcW w:w="124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03"/>
              <w:rPr>
                <w:rFonts w:ascii="Avenir Next Condensed" w:eastAsia="Avenir Next Condensed" w:hAnsi="Avenir Next Condensed" w:cs="Avenir Next Condensed"/>
                <w:sz w:val="10"/>
                <w:szCs w:val="10"/>
              </w:rPr>
            </w:pPr>
            <w:r>
              <w:rPr>
                <w:rFonts w:ascii="Avenir Next Condensed"/>
                <w:b/>
                <w:color w:val="FFFFFF"/>
                <w:spacing w:val="-2"/>
                <w:sz w:val="18"/>
              </w:rPr>
              <w:t>OFWAT</w:t>
            </w:r>
            <w:r>
              <w:rPr>
                <w:rFonts w:ascii="Avenir Next Condensed"/>
                <w:b/>
                <w:color w:val="FFFFFF"/>
                <w:spacing w:val="-2"/>
                <w:position w:val="6"/>
                <w:sz w:val="10"/>
              </w:rPr>
              <w:t>245</w:t>
            </w:r>
          </w:p>
        </w:tc>
        <w:tc>
          <w:tcPr>
            <w:tcW w:w="2492"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0"/>
                <w:szCs w:val="10"/>
              </w:rPr>
            </w:pPr>
            <w:r>
              <w:rPr>
                <w:rFonts w:ascii="Avenir Next Condensed"/>
                <w:b/>
                <w:color w:val="FFFFFF"/>
                <w:sz w:val="18"/>
              </w:rPr>
              <w:t>NERA</w:t>
            </w:r>
            <w:r>
              <w:rPr>
                <w:rFonts w:ascii="Avenir Next Condensed"/>
                <w:b/>
                <w:color w:val="FFFFFF"/>
                <w:position w:val="6"/>
                <w:sz w:val="10"/>
              </w:rPr>
              <w:t>246</w:t>
            </w:r>
          </w:p>
        </w:tc>
      </w:tr>
      <w:tr w:rsidR="00D96B91">
        <w:trPr>
          <w:trHeight w:hRule="exact" w:val="407"/>
        </w:trPr>
        <w:tc>
          <w:tcPr>
            <w:tcW w:w="317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Target</w:t>
            </w:r>
            <w:r>
              <w:rPr>
                <w:rFonts w:ascii="Avenir Next Condensed"/>
                <w:sz w:val="18"/>
              </w:rPr>
              <w:t xml:space="preserve"> </w:t>
            </w:r>
            <w:r>
              <w:rPr>
                <w:rFonts w:ascii="Avenir Next Condensed"/>
                <w:spacing w:val="-1"/>
                <w:sz w:val="18"/>
              </w:rPr>
              <w:t>credit</w:t>
            </w:r>
            <w:r>
              <w:rPr>
                <w:rFonts w:ascii="Avenir Next Condensed"/>
                <w:sz w:val="18"/>
              </w:rPr>
              <w:t xml:space="preserve"> </w:t>
            </w:r>
            <w:r>
              <w:rPr>
                <w:rFonts w:ascii="Avenir Next Condensed"/>
                <w:spacing w:val="-1"/>
                <w:sz w:val="18"/>
              </w:rPr>
              <w:t>rating</w:t>
            </w:r>
          </w:p>
        </w:tc>
        <w:tc>
          <w:tcPr>
            <w:tcW w:w="12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8"/>
              <w:rPr>
                <w:rFonts w:ascii="Avenir Next Condensed" w:eastAsia="Avenir Next Condensed" w:hAnsi="Avenir Next Condensed" w:cs="Avenir Next Condensed"/>
                <w:sz w:val="18"/>
                <w:szCs w:val="18"/>
              </w:rPr>
            </w:pPr>
            <w:r>
              <w:rPr>
                <w:rFonts w:ascii="Avenir Next Condensed"/>
                <w:sz w:val="18"/>
              </w:rPr>
              <w:t xml:space="preserve">Not </w:t>
            </w:r>
            <w:r>
              <w:rPr>
                <w:rFonts w:ascii="Avenir Next Condensed"/>
                <w:spacing w:val="-1"/>
                <w:sz w:val="18"/>
              </w:rPr>
              <w:t>Stated</w:t>
            </w:r>
          </w:p>
        </w:tc>
        <w:tc>
          <w:tcPr>
            <w:tcW w:w="12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Baa2</w:t>
            </w:r>
          </w:p>
        </w:tc>
        <w:tc>
          <w:tcPr>
            <w:tcW w:w="12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2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Ba</w:t>
            </w:r>
          </w:p>
        </w:tc>
        <w:tc>
          <w:tcPr>
            <w:tcW w:w="124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Baa</w:t>
            </w:r>
          </w:p>
        </w:tc>
      </w:tr>
      <w:tr w:rsidR="00D96B91">
        <w:trPr>
          <w:trHeight w:hRule="exact" w:val="407"/>
        </w:trPr>
        <w:tc>
          <w:tcPr>
            <w:tcW w:w="31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FFO </w:t>
            </w:r>
            <w:r>
              <w:rPr>
                <w:rFonts w:ascii="Avenir Next Condensed"/>
                <w:spacing w:val="-1"/>
                <w:sz w:val="18"/>
              </w:rPr>
              <w:t>interest</w:t>
            </w:r>
            <w:r>
              <w:rPr>
                <w:rFonts w:ascii="Avenir Next Condensed"/>
                <w:sz w:val="18"/>
              </w:rPr>
              <w:t xml:space="preserve"> cover</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&gt;1.5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1.7 - 2.5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3</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1.8 - 2.5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8"/>
                <w:szCs w:val="18"/>
              </w:rPr>
            </w:pPr>
            <w:r>
              <w:rPr>
                <w:rFonts w:ascii="Avenir Next Condensed"/>
                <w:sz w:val="18"/>
              </w:rPr>
              <w:t>2.5 - 4.0</w:t>
            </w:r>
          </w:p>
        </w:tc>
      </w:tr>
      <w:tr w:rsidR="00D96B91">
        <w:trPr>
          <w:trHeight w:hRule="exact" w:val="407"/>
        </w:trPr>
        <w:tc>
          <w:tcPr>
            <w:tcW w:w="31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Net debt </w:t>
            </w:r>
            <w:r>
              <w:rPr>
                <w:rFonts w:ascii="Avenir Next Condensed"/>
                <w:spacing w:val="-1"/>
                <w:sz w:val="18"/>
              </w:rPr>
              <w:t>gearing</w:t>
            </w:r>
            <w:r>
              <w:rPr>
                <w:rFonts w:ascii="Avenir Next Condensed"/>
                <w:sz w:val="18"/>
              </w:rPr>
              <w:t xml:space="preserve"> </w:t>
            </w:r>
            <w:r>
              <w:rPr>
                <w:rFonts w:ascii="Avenir Next Condensed"/>
                <w:spacing w:val="-1"/>
                <w:sz w:val="18"/>
              </w:rPr>
              <w:t>ratio</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&lt;70%</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0"/>
              <w:rPr>
                <w:rFonts w:ascii="Avenir Next Condensed" w:eastAsia="Avenir Next Condensed" w:hAnsi="Avenir Next Condensed" w:cs="Avenir Next Condensed"/>
                <w:sz w:val="18"/>
                <w:szCs w:val="18"/>
              </w:rPr>
            </w:pPr>
            <w:r>
              <w:rPr>
                <w:rFonts w:ascii="Avenir Next Condensed"/>
                <w:sz w:val="18"/>
              </w:rPr>
              <w:t>60% to 91%</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&lt;65%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0"/>
              <w:rPr>
                <w:rFonts w:ascii="Avenir Next Condensed" w:eastAsia="Avenir Next Condensed" w:hAnsi="Avenir Next Condensed" w:cs="Avenir Next Condensed"/>
                <w:sz w:val="18"/>
                <w:szCs w:val="18"/>
              </w:rPr>
            </w:pPr>
            <w:r>
              <w:rPr>
                <w:rFonts w:ascii="Avenir Next Condensed"/>
                <w:sz w:val="18"/>
              </w:rPr>
              <w:t>70% to 85%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0"/>
              <w:rPr>
                <w:rFonts w:ascii="Avenir Next Condensed" w:eastAsia="Avenir Next Condensed" w:hAnsi="Avenir Next Condensed" w:cs="Avenir Next Condensed"/>
                <w:sz w:val="18"/>
                <w:szCs w:val="18"/>
              </w:rPr>
            </w:pPr>
            <w:r>
              <w:rPr>
                <w:rFonts w:ascii="Avenir Next Condensed"/>
                <w:sz w:val="18"/>
              </w:rPr>
              <w:t>55% to 70%</w:t>
            </w:r>
          </w:p>
        </w:tc>
      </w:tr>
      <w:tr w:rsidR="00D96B91">
        <w:trPr>
          <w:trHeight w:hRule="exact" w:val="407"/>
        </w:trPr>
        <w:tc>
          <w:tcPr>
            <w:tcW w:w="31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FFO to net debt</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&gt;10%</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rPr>
                <w:rFonts w:ascii="Avenir Next Condensed" w:eastAsia="Avenir Next Condensed" w:hAnsi="Avenir Next Condensed" w:cs="Avenir Next Condensed"/>
                <w:sz w:val="18"/>
                <w:szCs w:val="18"/>
              </w:rPr>
            </w:pPr>
            <w:r>
              <w:rPr>
                <w:rFonts w:ascii="Avenir Next Condensed"/>
                <w:sz w:val="18"/>
              </w:rPr>
              <w:t>6% to 10%</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sz w:val="18"/>
              </w:rPr>
              <w:t>0.13</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2"/>
              <w:rPr>
                <w:rFonts w:ascii="Avenir Next Condensed" w:eastAsia="Avenir Next Condensed" w:hAnsi="Avenir Next Condensed" w:cs="Avenir Next Condensed"/>
                <w:sz w:val="18"/>
                <w:szCs w:val="18"/>
              </w:rPr>
            </w:pPr>
            <w:r>
              <w:rPr>
                <w:rFonts w:ascii="Avenir Next Condensed"/>
                <w:sz w:val="18"/>
              </w:rPr>
              <w:t>6% to 10%</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0"/>
              <w:rPr>
                <w:rFonts w:ascii="Avenir Next Condensed" w:eastAsia="Avenir Next Condensed" w:hAnsi="Avenir Next Condensed" w:cs="Avenir Next Condensed"/>
                <w:sz w:val="18"/>
                <w:szCs w:val="18"/>
              </w:rPr>
            </w:pPr>
            <w:r>
              <w:rPr>
                <w:rFonts w:ascii="Avenir Next Condensed"/>
                <w:sz w:val="18"/>
              </w:rPr>
              <w:t>10% to 15%</w:t>
            </w:r>
          </w:p>
        </w:tc>
      </w:tr>
      <w:tr w:rsidR="00D96B91">
        <w:trPr>
          <w:trHeight w:hRule="exact" w:val="407"/>
        </w:trPr>
        <w:tc>
          <w:tcPr>
            <w:tcW w:w="317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Retained</w:t>
            </w:r>
            <w:r>
              <w:rPr>
                <w:rFonts w:ascii="Avenir Next Condensed"/>
                <w:sz w:val="18"/>
              </w:rPr>
              <w:t xml:space="preserve"> cash flow to capital </w:t>
            </w:r>
            <w:r>
              <w:rPr>
                <w:rFonts w:ascii="Avenir Next Condensed"/>
                <w:spacing w:val="-1"/>
                <w:sz w:val="18"/>
              </w:rPr>
              <w:t>expenditure</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1"/>
              <w:rPr>
                <w:rFonts w:ascii="Avenir Next Condensed" w:eastAsia="Avenir Next Condensed" w:hAnsi="Avenir Next Condensed" w:cs="Avenir Next Condensed"/>
                <w:sz w:val="18"/>
                <w:szCs w:val="18"/>
              </w:rPr>
            </w:pPr>
            <w:r>
              <w:rPr>
                <w:rFonts w:ascii="Avenir Next Condensed"/>
                <w:sz w:val="18"/>
              </w:rPr>
              <w:t>&gt;0.35</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89"/>
              <w:rPr>
                <w:rFonts w:ascii="Avenir Next Condensed" w:eastAsia="Avenir Next Condensed" w:hAnsi="Avenir Next Condensed" w:cs="Avenir Next Condensed"/>
                <w:sz w:val="18"/>
                <w:szCs w:val="18"/>
              </w:rPr>
            </w:pPr>
            <w:r>
              <w:rPr>
                <w:rFonts w:ascii="Avenir Next Condensed"/>
                <w:sz w:val="18"/>
              </w:rPr>
              <w:t xml:space="preserve">Not </w:t>
            </w:r>
            <w:r>
              <w:rPr>
                <w:rFonts w:ascii="Avenir Next Condensed"/>
                <w:spacing w:val="-1"/>
                <w:sz w:val="18"/>
              </w:rPr>
              <w:t>Stated</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29"/>
              <w:rPr>
                <w:rFonts w:ascii="Avenir Next Condensed" w:eastAsia="Avenir Next Condensed" w:hAnsi="Avenir Next Condensed" w:cs="Avenir Next Condensed"/>
                <w:sz w:val="18"/>
                <w:szCs w:val="18"/>
              </w:rPr>
            </w:pPr>
            <w:r>
              <w:rPr>
                <w:rFonts w:ascii="Avenir Next Condensed"/>
                <w:sz w:val="18"/>
              </w:rPr>
              <w:t>Not Used</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14"/>
              <w:rPr>
                <w:rFonts w:ascii="Avenir Next Condensed" w:eastAsia="Avenir Next Condensed" w:hAnsi="Avenir Next Condensed" w:cs="Avenir Next Condensed"/>
                <w:sz w:val="18"/>
                <w:szCs w:val="18"/>
              </w:rPr>
            </w:pPr>
            <w:r>
              <w:rPr>
                <w:rFonts w:ascii="Avenir Next Condensed"/>
                <w:sz w:val="18"/>
              </w:rPr>
              <w:t>0.5 to 1.0</w:t>
            </w:r>
          </w:p>
        </w:tc>
        <w:tc>
          <w:tcPr>
            <w:tcW w:w="124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76"/>
              <w:rPr>
                <w:rFonts w:ascii="Avenir Next Condensed" w:eastAsia="Avenir Next Condensed" w:hAnsi="Avenir Next Condensed" w:cs="Avenir Next Condensed"/>
                <w:sz w:val="18"/>
                <w:szCs w:val="18"/>
              </w:rPr>
            </w:pPr>
            <w:r>
              <w:rPr>
                <w:rFonts w:ascii="Avenir Next Condensed"/>
                <w:sz w:val="18"/>
              </w:rPr>
              <w:t>1 to 1.5</w:t>
            </w:r>
          </w:p>
        </w:tc>
      </w:tr>
    </w:tbl>
    <w:p w:rsidR="00D96B91" w:rsidRDefault="00D96B91">
      <w:pPr>
        <w:spacing w:before="2"/>
        <w:rPr>
          <w:rFonts w:ascii="Avenir Next" w:eastAsia="Avenir Next" w:hAnsi="Avenir Next" w:cs="Avenir Next"/>
          <w:b/>
          <w:bCs/>
          <w:sz w:val="7"/>
          <w:szCs w:val="7"/>
        </w:rPr>
      </w:pPr>
    </w:p>
    <w:p w:rsidR="00D96B91" w:rsidRDefault="00C2656B">
      <w:pPr>
        <w:pStyle w:val="BodyText"/>
        <w:spacing w:before="52" w:line="267" w:lineRule="exact"/>
        <w:rPr>
          <w:sz w:val="11"/>
          <w:szCs w:val="11"/>
        </w:rPr>
      </w:pPr>
      <w:r>
        <w:rPr>
          <w:spacing w:val="-2"/>
        </w:rPr>
        <w:t>The</w:t>
      </w:r>
      <w:r>
        <w:t xml:space="preserve"> </w:t>
      </w:r>
      <w:r>
        <w:rPr>
          <w:spacing w:val="-3"/>
        </w:rPr>
        <w:t>Panel</w:t>
      </w:r>
      <w:r>
        <w:rPr>
          <w:spacing w:val="1"/>
        </w:rPr>
        <w:t xml:space="preserve"> </w:t>
      </w:r>
      <w:r>
        <w:t>has</w:t>
      </w:r>
      <w:r>
        <w:rPr>
          <w:spacing w:val="1"/>
        </w:rPr>
        <w:t xml:space="preserve"> </w:t>
      </w:r>
      <w:r>
        <w:t>decided</w:t>
      </w:r>
      <w:r>
        <w:rPr>
          <w:spacing w:val="1"/>
        </w:rPr>
        <w:t xml:space="preserve"> </w:t>
      </w:r>
      <w:r>
        <w:t>to adopt</w:t>
      </w:r>
      <w:r>
        <w:rPr>
          <w:spacing w:val="1"/>
        </w:rPr>
        <w:t xml:space="preserve"> </w:t>
      </w:r>
      <w:r>
        <w:t>the</w:t>
      </w:r>
      <w:r>
        <w:rPr>
          <w:spacing w:val="1"/>
        </w:rPr>
        <w:t xml:space="preserve"> </w:t>
      </w:r>
      <w:r>
        <w:rPr>
          <w:spacing w:val="-1"/>
        </w:rPr>
        <w:t>target</w:t>
      </w:r>
      <w:r>
        <w:rPr>
          <w:spacing w:val="1"/>
        </w:rPr>
        <w:t xml:space="preserve"> </w:t>
      </w:r>
      <w:r>
        <w:t>levels NERA</w:t>
      </w:r>
      <w:r>
        <w:rPr>
          <w:spacing w:val="-3"/>
        </w:rPr>
        <w:t xml:space="preserve"> </w:t>
      </w:r>
      <w:r>
        <w:rPr>
          <w:spacing w:val="-1"/>
        </w:rPr>
        <w:t>recommended</w:t>
      </w:r>
      <w:r>
        <w:rPr>
          <w:spacing w:val="1"/>
        </w:rPr>
        <w:t xml:space="preserve"> </w:t>
      </w:r>
      <w:r>
        <w:t>for</w:t>
      </w:r>
      <w:r>
        <w:rPr>
          <w:spacing w:val="1"/>
        </w:rPr>
        <w:t xml:space="preserve"> </w:t>
      </w:r>
      <w:r>
        <w:t xml:space="preserve">a </w:t>
      </w:r>
      <w:r>
        <w:rPr>
          <w:spacing w:val="-2"/>
        </w:rPr>
        <w:t>“Ba”</w:t>
      </w:r>
      <w:r>
        <w:rPr>
          <w:spacing w:val="1"/>
        </w:rPr>
        <w:t xml:space="preserve"> </w:t>
      </w:r>
      <w:r>
        <w:rPr>
          <w:spacing w:val="-1"/>
        </w:rPr>
        <w:t>rated</w:t>
      </w:r>
      <w:r>
        <w:rPr>
          <w:spacing w:val="1"/>
        </w:rPr>
        <w:t xml:space="preserve"> </w:t>
      </w:r>
      <w:r>
        <w:rPr>
          <w:spacing w:val="-1"/>
        </w:rPr>
        <w:t>business</w:t>
      </w:r>
      <w:r>
        <w:rPr>
          <w:spacing w:val="-1"/>
          <w:position w:val="7"/>
          <w:sz w:val="11"/>
          <w:szCs w:val="11"/>
        </w:rPr>
        <w:t>247</w:t>
      </w:r>
    </w:p>
    <w:p w:rsidR="00D96B91" w:rsidRDefault="00C2656B">
      <w:pPr>
        <w:pStyle w:val="BodyText"/>
        <w:spacing w:line="267" w:lineRule="exact"/>
      </w:pPr>
      <w:r>
        <w:rPr>
          <w:rFonts w:cs="Avenir Next"/>
        </w:rPr>
        <w:t>(see</w:t>
      </w:r>
      <w:r>
        <w:rPr>
          <w:rFonts w:cs="Avenir Next"/>
          <w:spacing w:val="-1"/>
        </w:rPr>
        <w:t xml:space="preserve"> grey</w:t>
      </w:r>
      <w:r>
        <w:rPr>
          <w:rFonts w:cs="Avenir Next"/>
        </w:rPr>
        <w:t xml:space="preserve"> shaded</w:t>
      </w:r>
      <w:r>
        <w:rPr>
          <w:rFonts w:cs="Avenir Next"/>
          <w:spacing w:val="-1"/>
        </w:rPr>
        <w:t xml:space="preserve"> </w:t>
      </w:r>
      <w:r>
        <w:rPr>
          <w:rFonts w:cs="Avenir Next"/>
        </w:rPr>
        <w:t>cells in</w:t>
      </w:r>
      <w:r>
        <w:rPr>
          <w:rFonts w:cs="Avenir Next"/>
          <w:spacing w:val="-6"/>
        </w:rPr>
        <w:t xml:space="preserve"> </w:t>
      </w:r>
      <w:hyperlink w:anchor="_bookmark143" w:history="1">
        <w:r>
          <w:rPr>
            <w:spacing w:val="-4"/>
          </w:rPr>
          <w:t>Table</w:t>
        </w:r>
        <w:r>
          <w:t xml:space="preserve"> 15.4</w:t>
        </w:r>
      </w:hyperlink>
      <w:r>
        <w:t>)</w:t>
      </w:r>
      <w:r>
        <w:rPr>
          <w:spacing w:val="-1"/>
        </w:rPr>
        <w:t xml:space="preserve"> </w:t>
      </w:r>
      <w:r>
        <w:t>as a</w:t>
      </w:r>
      <w:r>
        <w:rPr>
          <w:spacing w:val="-1"/>
        </w:rPr>
        <w:t xml:space="preserve"> reference</w:t>
      </w:r>
      <w:r>
        <w:t xml:space="preserve"> for</w:t>
      </w:r>
      <w:r>
        <w:rPr>
          <w:spacing w:val="-1"/>
        </w:rPr>
        <w:t xml:space="preserve"> </w:t>
      </w:r>
      <w:r>
        <w:t>assessing</w:t>
      </w:r>
      <w:r>
        <w:rPr>
          <w:spacing w:val="-4"/>
        </w:rPr>
        <w:t xml:space="preserve"> </w:t>
      </w:r>
      <w:r>
        <w:rPr>
          <w:spacing w:val="-2"/>
        </w:rPr>
        <w:t>ACTEW’s</w:t>
      </w:r>
      <w:r>
        <w:rPr>
          <w:spacing w:val="-1"/>
        </w:rPr>
        <w:t xml:space="preserve"> </w:t>
      </w:r>
      <w:r>
        <w:t xml:space="preserve">financial </w:t>
      </w:r>
      <w:r>
        <w:rPr>
          <w:spacing w:val="-1"/>
        </w:rPr>
        <w:t>viability,</w:t>
      </w:r>
      <w:r>
        <w:rPr>
          <w:spacing w:val="-7"/>
        </w:rPr>
        <w:t xml:space="preserve"> </w:t>
      </w:r>
      <w:r>
        <w:t xml:space="preserve">noting </w:t>
      </w:r>
      <w:r>
        <w:rPr>
          <w:spacing w:val="-1"/>
        </w:rPr>
        <w:t>that:</w:t>
      </w: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10"/>
          <w:szCs w:val="10"/>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81" style="width:72.5pt;height:.5pt;mso-position-horizontal-relative:char;mso-position-vertical-relative:line" coordsize="1450,10">
            <v:group id="_x0000_s1782" style="position:absolute;left:5;top:5;width:1440;height:2" coordorigin="5,5" coordsize="1440,2">
              <v:shape id="_x0000_s1783" style="position:absolute;left:5;top:5;width:1440;height:2" coordorigin="5,5" coordsize="1440,0" path="m5,5r1440,e" filled="f" strokeweight=".5pt">
                <v:path arrowok="t"/>
              </v:shape>
            </v:group>
            <w10:wrap type="none"/>
            <w10:anchorlock/>
          </v:group>
        </w:pict>
      </w:r>
    </w:p>
    <w:p w:rsidR="00D96B91" w:rsidRDefault="00C2656B">
      <w:pPr>
        <w:numPr>
          <w:ilvl w:val="0"/>
          <w:numId w:val="31"/>
        </w:numPr>
        <w:tabs>
          <w:tab w:val="left" w:pos="1758"/>
        </w:tabs>
        <w:spacing w:before="45" w:line="192" w:lineRule="exact"/>
        <w:ind w:right="1355" w:hanging="510"/>
        <w:rPr>
          <w:rFonts w:ascii="Avenir Next" w:eastAsia="Avenir Next" w:hAnsi="Avenir Next" w:cs="Avenir Next"/>
          <w:sz w:val="16"/>
          <w:szCs w:val="16"/>
        </w:rPr>
      </w:pPr>
      <w:r>
        <w:rPr>
          <w:rFonts w:ascii="Avenir Next"/>
          <w:sz w:val="16"/>
        </w:rPr>
        <w:t>ESC,</w:t>
      </w:r>
      <w:r>
        <w:rPr>
          <w:rFonts w:ascii="Avenir Next"/>
          <w:spacing w:val="-8"/>
          <w:sz w:val="16"/>
        </w:rPr>
        <w:t xml:space="preserve"> </w:t>
      </w:r>
      <w:r>
        <w:rPr>
          <w:rFonts w:ascii="Avenir Next"/>
          <w:sz w:val="16"/>
        </w:rPr>
        <w:t>Assessing</w:t>
      </w:r>
      <w:r>
        <w:rPr>
          <w:rFonts w:ascii="Avenir Next"/>
          <w:spacing w:val="-4"/>
          <w:sz w:val="16"/>
        </w:rPr>
        <w:t xml:space="preserve"> </w:t>
      </w:r>
      <w:r>
        <w:rPr>
          <w:rFonts w:ascii="Avenir Next"/>
          <w:spacing w:val="-1"/>
          <w:sz w:val="16"/>
        </w:rPr>
        <w:t>The</w:t>
      </w:r>
      <w:r>
        <w:rPr>
          <w:rFonts w:ascii="Avenir Next"/>
          <w:sz w:val="16"/>
        </w:rPr>
        <w:t xml:space="preserve"> </w:t>
      </w:r>
      <w:r>
        <w:rPr>
          <w:rFonts w:ascii="Avenir Next"/>
          <w:spacing w:val="-1"/>
          <w:sz w:val="16"/>
        </w:rPr>
        <w:t>Financial</w:t>
      </w:r>
      <w:r>
        <w:rPr>
          <w:rFonts w:ascii="Avenir Next"/>
          <w:spacing w:val="-3"/>
          <w:sz w:val="16"/>
        </w:rPr>
        <w:t xml:space="preserve"> </w:t>
      </w:r>
      <w:r>
        <w:rPr>
          <w:rFonts w:ascii="Avenir Next"/>
          <w:spacing w:val="-1"/>
          <w:sz w:val="16"/>
        </w:rPr>
        <w:t>Viability</w:t>
      </w:r>
      <w:r>
        <w:rPr>
          <w:rFonts w:ascii="Avenir Next"/>
          <w:sz w:val="16"/>
        </w:rPr>
        <w:t xml:space="preserve"> of </w:t>
      </w:r>
      <w:r>
        <w:rPr>
          <w:rFonts w:ascii="Avenir Next"/>
          <w:spacing w:val="-1"/>
          <w:sz w:val="16"/>
        </w:rPr>
        <w:t>Victorian</w:t>
      </w:r>
      <w:r>
        <w:rPr>
          <w:rFonts w:ascii="Avenir Next"/>
          <w:spacing w:val="-2"/>
          <w:sz w:val="16"/>
        </w:rPr>
        <w:t xml:space="preserve"> Water</w:t>
      </w:r>
      <w:r>
        <w:rPr>
          <w:rFonts w:ascii="Avenir Next"/>
          <w:sz w:val="16"/>
        </w:rPr>
        <w:t xml:space="preserve"> Businesses,</w:t>
      </w:r>
      <w:r>
        <w:rPr>
          <w:rFonts w:ascii="Avenir Next"/>
          <w:spacing w:val="-5"/>
          <w:sz w:val="16"/>
        </w:rPr>
        <w:t xml:space="preserve"> </w:t>
      </w:r>
      <w:r>
        <w:rPr>
          <w:rFonts w:ascii="Avenir Next"/>
          <w:sz w:val="16"/>
        </w:rPr>
        <w:t>Summary of</w:t>
      </w:r>
      <w:r>
        <w:rPr>
          <w:rFonts w:ascii="Avenir Next"/>
          <w:spacing w:val="3"/>
          <w:sz w:val="16"/>
        </w:rPr>
        <w:t xml:space="preserve"> </w:t>
      </w:r>
      <w:r>
        <w:rPr>
          <w:rFonts w:ascii="Avenir Next"/>
          <w:sz w:val="16"/>
        </w:rPr>
        <w:t xml:space="preserve">views and </w:t>
      </w:r>
      <w:r>
        <w:rPr>
          <w:rFonts w:ascii="Avenir Next"/>
          <w:spacing w:val="-1"/>
          <w:sz w:val="16"/>
        </w:rPr>
        <w:t>proposed</w:t>
      </w:r>
      <w:r>
        <w:rPr>
          <w:rFonts w:ascii="Avenir Next"/>
          <w:sz w:val="16"/>
        </w:rPr>
        <w:t xml:space="preserve"> new </w:t>
      </w:r>
      <w:r>
        <w:rPr>
          <w:rFonts w:ascii="Avenir Next"/>
          <w:spacing w:val="-1"/>
          <w:sz w:val="16"/>
        </w:rPr>
        <w:t>indicator,</w:t>
      </w:r>
      <w:r>
        <w:rPr>
          <w:rFonts w:ascii="Avenir Next"/>
          <w:spacing w:val="-7"/>
          <w:sz w:val="16"/>
        </w:rPr>
        <w:t xml:space="preserve"> </w:t>
      </w:r>
      <w:r>
        <w:rPr>
          <w:rFonts w:ascii="Avenir Next"/>
          <w:sz w:val="16"/>
        </w:rPr>
        <w:t>June</w:t>
      </w:r>
      <w:r>
        <w:rPr>
          <w:rFonts w:ascii="Avenir Next"/>
          <w:spacing w:val="51"/>
          <w:sz w:val="16"/>
        </w:rPr>
        <w:t xml:space="preserve"> </w:t>
      </w:r>
      <w:r>
        <w:rPr>
          <w:rFonts w:ascii="Avenir Next"/>
          <w:sz w:val="16"/>
        </w:rPr>
        <w:t>2014.</w:t>
      </w:r>
    </w:p>
    <w:p w:rsidR="00D96B91" w:rsidRDefault="00C2656B">
      <w:pPr>
        <w:numPr>
          <w:ilvl w:val="0"/>
          <w:numId w:val="31"/>
        </w:numPr>
        <w:tabs>
          <w:tab w:val="left" w:pos="1758"/>
        </w:tabs>
        <w:spacing w:before="141"/>
        <w:ind w:hanging="510"/>
        <w:rPr>
          <w:rFonts w:ascii="Avenir Next" w:eastAsia="Avenir Next" w:hAnsi="Avenir Next" w:cs="Avenir Next"/>
          <w:sz w:val="16"/>
          <w:szCs w:val="16"/>
        </w:rPr>
      </w:pPr>
      <w:r>
        <w:rPr>
          <w:rFonts w:ascii="Avenir Next"/>
          <w:spacing w:val="-5"/>
          <w:sz w:val="16"/>
        </w:rPr>
        <w:t xml:space="preserve">IPART, </w:t>
      </w:r>
      <w:r>
        <w:rPr>
          <w:rFonts w:ascii="Avenir Next"/>
          <w:spacing w:val="-1"/>
          <w:sz w:val="16"/>
        </w:rPr>
        <w:t>Financeability</w:t>
      </w:r>
      <w:r>
        <w:rPr>
          <w:rFonts w:ascii="Avenir Next"/>
          <w:sz w:val="16"/>
        </w:rPr>
        <w:t xml:space="preserve"> tests in price </w:t>
      </w:r>
      <w:r>
        <w:rPr>
          <w:rFonts w:ascii="Avenir Next"/>
          <w:spacing w:val="-1"/>
          <w:sz w:val="16"/>
        </w:rPr>
        <w:t>regulation,</w:t>
      </w:r>
      <w:r>
        <w:rPr>
          <w:rFonts w:ascii="Avenir Next"/>
          <w:spacing w:val="-5"/>
          <w:sz w:val="16"/>
        </w:rPr>
        <w:t xml:space="preserve"> </w:t>
      </w:r>
      <w:r>
        <w:rPr>
          <w:rFonts w:ascii="Avenir Next"/>
          <w:spacing w:val="-1"/>
          <w:sz w:val="16"/>
        </w:rPr>
        <w:t>Research</w:t>
      </w:r>
      <w:r>
        <w:rPr>
          <w:rFonts w:ascii="Avenir Next"/>
          <w:sz w:val="16"/>
        </w:rPr>
        <w:t xml:space="preserve"> - </w:t>
      </w:r>
      <w:r>
        <w:rPr>
          <w:rFonts w:ascii="Avenir Next"/>
          <w:spacing w:val="-1"/>
          <w:sz w:val="16"/>
        </w:rPr>
        <w:t>Final</w:t>
      </w:r>
      <w:r>
        <w:rPr>
          <w:rFonts w:ascii="Avenir Next"/>
          <w:sz w:val="16"/>
        </w:rPr>
        <w:t xml:space="preserve"> Decision,</w:t>
      </w:r>
      <w:r>
        <w:rPr>
          <w:rFonts w:ascii="Avenir Next"/>
          <w:spacing w:val="-5"/>
          <w:sz w:val="16"/>
        </w:rPr>
        <w:t xml:space="preserve"> </w:t>
      </w:r>
      <w:r>
        <w:rPr>
          <w:rFonts w:ascii="Avenir Next"/>
          <w:sz w:val="16"/>
        </w:rPr>
        <w:t>December 2013.</w:t>
      </w:r>
    </w:p>
    <w:p w:rsidR="00D96B91" w:rsidRDefault="00C2656B">
      <w:pPr>
        <w:numPr>
          <w:ilvl w:val="0"/>
          <w:numId w:val="31"/>
        </w:numPr>
        <w:tabs>
          <w:tab w:val="left" w:pos="1758"/>
        </w:tabs>
        <w:spacing w:before="128" w:line="192" w:lineRule="exact"/>
        <w:ind w:right="1534" w:hanging="510"/>
        <w:rPr>
          <w:rFonts w:ascii="Avenir Next" w:eastAsia="Avenir Next" w:hAnsi="Avenir Next" w:cs="Avenir Next"/>
          <w:sz w:val="16"/>
          <w:szCs w:val="16"/>
        </w:rPr>
      </w:pPr>
      <w:r>
        <w:rPr>
          <w:rFonts w:ascii="Avenir Next"/>
          <w:spacing w:val="-1"/>
          <w:sz w:val="16"/>
        </w:rPr>
        <w:t>Ofwat,</w:t>
      </w:r>
      <w:r>
        <w:rPr>
          <w:rFonts w:ascii="Avenir Next"/>
          <w:spacing w:val="-5"/>
          <w:sz w:val="16"/>
        </w:rPr>
        <w:t xml:space="preserve"> </w:t>
      </w:r>
      <w:r>
        <w:rPr>
          <w:rFonts w:ascii="Avenir Next"/>
          <w:spacing w:val="-1"/>
          <w:sz w:val="16"/>
        </w:rPr>
        <w:t>Financeability</w:t>
      </w:r>
      <w:r>
        <w:rPr>
          <w:rFonts w:ascii="Avenir Next"/>
          <w:sz w:val="16"/>
        </w:rPr>
        <w:t xml:space="preserve"> and </w:t>
      </w:r>
      <w:r>
        <w:rPr>
          <w:rFonts w:ascii="Avenir Next"/>
          <w:spacing w:val="-1"/>
          <w:sz w:val="16"/>
        </w:rPr>
        <w:t>Financing</w:t>
      </w:r>
      <w:r>
        <w:rPr>
          <w:rFonts w:ascii="Avenir Next"/>
          <w:sz w:val="16"/>
        </w:rPr>
        <w:t xml:space="preserve"> the</w:t>
      </w:r>
      <w:r>
        <w:rPr>
          <w:rFonts w:ascii="Avenir Next"/>
          <w:spacing w:val="-3"/>
          <w:sz w:val="16"/>
        </w:rPr>
        <w:t xml:space="preserve"> </w:t>
      </w:r>
      <w:r>
        <w:rPr>
          <w:rFonts w:ascii="Avenir Next"/>
          <w:sz w:val="16"/>
        </w:rPr>
        <w:t>Asset Base:</w:t>
      </w:r>
      <w:r>
        <w:rPr>
          <w:rFonts w:ascii="Avenir Next"/>
          <w:spacing w:val="-3"/>
          <w:sz w:val="16"/>
        </w:rPr>
        <w:t xml:space="preserve"> </w:t>
      </w:r>
      <w:r>
        <w:rPr>
          <w:rFonts w:ascii="Avenir Next"/>
          <w:sz w:val="16"/>
        </w:rPr>
        <w:t>A</w:t>
      </w:r>
      <w:r>
        <w:rPr>
          <w:rFonts w:ascii="Avenir Next"/>
          <w:spacing w:val="-3"/>
          <w:sz w:val="16"/>
        </w:rPr>
        <w:t xml:space="preserve"> </w:t>
      </w:r>
      <w:r>
        <w:rPr>
          <w:rFonts w:ascii="Avenir Next"/>
          <w:sz w:val="16"/>
        </w:rPr>
        <w:t xml:space="preserve">Discussion </w:t>
      </w:r>
      <w:r>
        <w:rPr>
          <w:rFonts w:ascii="Avenir Next"/>
          <w:spacing w:val="-3"/>
          <w:sz w:val="16"/>
        </w:rPr>
        <w:t>Paper,</w:t>
      </w:r>
      <w:r>
        <w:rPr>
          <w:rFonts w:ascii="Avenir Next"/>
          <w:spacing w:val="-5"/>
          <w:sz w:val="16"/>
        </w:rPr>
        <w:t xml:space="preserve"> </w:t>
      </w:r>
      <w:r>
        <w:rPr>
          <w:rFonts w:ascii="Avenir Next"/>
          <w:spacing w:val="-1"/>
          <w:sz w:val="16"/>
        </w:rPr>
        <w:t>March</w:t>
      </w:r>
      <w:r>
        <w:rPr>
          <w:rFonts w:ascii="Avenir Next"/>
          <w:sz w:val="16"/>
        </w:rPr>
        <w:t xml:space="preserve"> 2011.</w:t>
      </w:r>
      <w:r>
        <w:rPr>
          <w:rFonts w:ascii="Avenir Next"/>
          <w:spacing w:val="-9"/>
          <w:sz w:val="16"/>
        </w:rPr>
        <w:t xml:space="preserve"> </w:t>
      </w:r>
      <w:r>
        <w:rPr>
          <w:rFonts w:ascii="Avenir Next"/>
          <w:spacing w:val="-1"/>
          <w:sz w:val="16"/>
        </w:rPr>
        <w:t>The</w:t>
      </w:r>
      <w:r>
        <w:rPr>
          <w:rFonts w:ascii="Avenir Next"/>
          <w:sz w:val="16"/>
        </w:rPr>
        <w:t xml:space="preserve"> metrics for a combined </w:t>
      </w:r>
      <w:r>
        <w:rPr>
          <w:rFonts w:ascii="Avenir Next"/>
          <w:spacing w:val="-1"/>
          <w:sz w:val="16"/>
        </w:rPr>
        <w:t>water</w:t>
      </w:r>
      <w:r>
        <w:rPr>
          <w:rFonts w:ascii="Avenir Next"/>
          <w:spacing w:val="51"/>
          <w:sz w:val="16"/>
        </w:rPr>
        <w:t xml:space="preserve"> </w:t>
      </w:r>
      <w:r>
        <w:rPr>
          <w:rFonts w:ascii="Avenir Next"/>
          <w:sz w:val="16"/>
        </w:rPr>
        <w:t xml:space="preserve">and </w:t>
      </w:r>
      <w:r>
        <w:rPr>
          <w:rFonts w:ascii="Avenir Next"/>
          <w:spacing w:val="-1"/>
          <w:sz w:val="16"/>
        </w:rPr>
        <w:t>wastewater</w:t>
      </w:r>
      <w:r>
        <w:rPr>
          <w:rFonts w:ascii="Avenir Next"/>
          <w:sz w:val="16"/>
        </w:rPr>
        <w:t xml:space="preserve"> business </w:t>
      </w:r>
      <w:r>
        <w:rPr>
          <w:rFonts w:ascii="Avenir Next"/>
          <w:spacing w:val="-1"/>
          <w:sz w:val="16"/>
        </w:rPr>
        <w:t>are</w:t>
      </w:r>
      <w:r>
        <w:rPr>
          <w:rFonts w:ascii="Avenir Next"/>
          <w:sz w:val="16"/>
        </w:rPr>
        <w:t xml:space="preserve"> shown.</w:t>
      </w:r>
    </w:p>
    <w:p w:rsidR="00D96B91" w:rsidRDefault="00D96B91">
      <w:pPr>
        <w:spacing w:before="12"/>
        <w:rPr>
          <w:rFonts w:ascii="Avenir Next" w:eastAsia="Avenir Next" w:hAnsi="Avenir Next" w:cs="Avenir Next"/>
          <w:sz w:val="10"/>
          <w:szCs w:val="10"/>
        </w:rPr>
      </w:pPr>
    </w:p>
    <w:p w:rsidR="00D96B91" w:rsidRDefault="00C2656B">
      <w:pPr>
        <w:numPr>
          <w:ilvl w:val="0"/>
          <w:numId w:val="31"/>
        </w:numPr>
        <w:tabs>
          <w:tab w:val="left" w:pos="1758"/>
        </w:tabs>
        <w:spacing w:line="192" w:lineRule="exact"/>
        <w:ind w:right="1379" w:hanging="510"/>
        <w:rPr>
          <w:rFonts w:ascii="Avenir Next" w:eastAsia="Avenir Next" w:hAnsi="Avenir Next" w:cs="Avenir Next"/>
          <w:sz w:val="16"/>
          <w:szCs w:val="16"/>
        </w:rPr>
      </w:pPr>
      <w:r>
        <w:rPr>
          <w:rFonts w:ascii="Avenir Next"/>
          <w:sz w:val="16"/>
        </w:rPr>
        <w:t>NERA,</w:t>
      </w:r>
      <w:r>
        <w:rPr>
          <w:rFonts w:ascii="Avenir Next"/>
          <w:spacing w:val="-8"/>
          <w:sz w:val="16"/>
        </w:rPr>
        <w:t xml:space="preserve"> </w:t>
      </w:r>
      <w:r>
        <w:rPr>
          <w:rFonts w:ascii="Avenir Next"/>
          <w:sz w:val="16"/>
        </w:rPr>
        <w:t xml:space="preserve">Assessing the </w:t>
      </w:r>
      <w:r>
        <w:rPr>
          <w:rFonts w:ascii="Avenir Next"/>
          <w:spacing w:val="-1"/>
          <w:sz w:val="16"/>
        </w:rPr>
        <w:t>Financeability</w:t>
      </w:r>
      <w:r>
        <w:rPr>
          <w:rFonts w:ascii="Avenir Next"/>
          <w:sz w:val="16"/>
        </w:rPr>
        <w:t xml:space="preserve"> of</w:t>
      </w:r>
      <w:r>
        <w:rPr>
          <w:rFonts w:ascii="Avenir Next"/>
          <w:spacing w:val="3"/>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Service </w:t>
      </w:r>
      <w:r>
        <w:rPr>
          <w:rFonts w:ascii="Avenir Next"/>
          <w:spacing w:val="-2"/>
          <w:sz w:val="16"/>
        </w:rPr>
        <w:t>Providers,</w:t>
      </w:r>
      <w:r>
        <w:rPr>
          <w:rFonts w:ascii="Avenir Next"/>
          <w:spacing w:val="-8"/>
          <w:sz w:val="16"/>
        </w:rPr>
        <w:t xml:space="preserve"> </w:t>
      </w:r>
      <w:r>
        <w:rPr>
          <w:rFonts w:ascii="Avenir Next"/>
          <w:sz w:val="16"/>
        </w:rPr>
        <w:t>A</w:t>
      </w:r>
      <w:r>
        <w:rPr>
          <w:rFonts w:ascii="Avenir Next"/>
          <w:spacing w:val="-3"/>
          <w:sz w:val="16"/>
        </w:rPr>
        <w:t xml:space="preserve"> </w:t>
      </w:r>
      <w:r>
        <w:rPr>
          <w:rFonts w:ascii="Avenir Next"/>
          <w:spacing w:val="-1"/>
          <w:sz w:val="16"/>
        </w:rPr>
        <w:t>report</w:t>
      </w:r>
      <w:r>
        <w:rPr>
          <w:rFonts w:ascii="Avenir Next"/>
          <w:sz w:val="16"/>
        </w:rPr>
        <w:t xml:space="preserve"> for the Essential Services </w:t>
      </w:r>
      <w:r>
        <w:rPr>
          <w:rFonts w:ascii="Avenir Next"/>
          <w:spacing w:val="-1"/>
          <w:sz w:val="16"/>
        </w:rPr>
        <w:t>Commission,</w:t>
      </w:r>
      <w:r>
        <w:rPr>
          <w:rFonts w:ascii="Avenir Next"/>
          <w:spacing w:val="73"/>
          <w:sz w:val="16"/>
        </w:rPr>
        <w:t xml:space="preserve"> </w:t>
      </w:r>
      <w:r>
        <w:rPr>
          <w:rFonts w:ascii="Avenir Next"/>
          <w:sz w:val="16"/>
        </w:rPr>
        <w:t>30 October 2013.</w:t>
      </w:r>
    </w:p>
    <w:p w:rsidR="00D96B91" w:rsidRDefault="00C2656B">
      <w:pPr>
        <w:numPr>
          <w:ilvl w:val="0"/>
          <w:numId w:val="31"/>
        </w:numPr>
        <w:tabs>
          <w:tab w:val="left" w:pos="1758"/>
        </w:tabs>
        <w:spacing w:before="141"/>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numPr>
          <w:ilvl w:val="0"/>
          <w:numId w:val="131"/>
        </w:numPr>
        <w:tabs>
          <w:tab w:val="left" w:pos="1531"/>
        </w:tabs>
        <w:spacing w:before="29"/>
        <w:ind w:hanging="283"/>
        <w:rPr>
          <w:rFonts w:cs="Avenir Next"/>
        </w:rPr>
      </w:pPr>
      <w:r>
        <w:t xml:space="preserve">the </w:t>
      </w:r>
      <w:r>
        <w:rPr>
          <w:spacing w:val="-1"/>
        </w:rPr>
        <w:t>ratios</w:t>
      </w:r>
      <w:r>
        <w:t xml:space="preserve"> </w:t>
      </w:r>
      <w:r>
        <w:rPr>
          <w:spacing w:val="-2"/>
        </w:rPr>
        <w:t>are</w:t>
      </w:r>
      <w:r>
        <w:t xml:space="preserve"> listed in </w:t>
      </w:r>
      <w:r>
        <w:rPr>
          <w:spacing w:val="-1"/>
        </w:rPr>
        <w:t>order</w:t>
      </w:r>
      <w:r>
        <w:t xml:space="preserve"> of</w:t>
      </w:r>
      <w:r>
        <w:rPr>
          <w:spacing w:val="4"/>
        </w:rPr>
        <w:t xml:space="preserve"> </w:t>
      </w:r>
      <w:r>
        <w:rPr>
          <w:spacing w:val="-1"/>
        </w:rPr>
        <w:t>importance,</w:t>
      </w:r>
      <w:r>
        <w:rPr>
          <w:spacing w:val="-7"/>
        </w:rPr>
        <w:t xml:space="preserve"> </w:t>
      </w:r>
      <w:r>
        <w:t>and</w:t>
      </w:r>
    </w:p>
    <w:p w:rsidR="00D96B91" w:rsidRDefault="00C2656B">
      <w:pPr>
        <w:pStyle w:val="BodyText"/>
        <w:numPr>
          <w:ilvl w:val="0"/>
          <w:numId w:val="131"/>
        </w:numPr>
        <w:tabs>
          <w:tab w:val="left" w:pos="1531"/>
        </w:tabs>
        <w:spacing w:before="72"/>
        <w:ind w:hanging="283"/>
      </w:pPr>
      <w:r>
        <w:t>only</w:t>
      </w:r>
      <w:r>
        <w:rPr>
          <w:spacing w:val="-1"/>
        </w:rPr>
        <w:t xml:space="preserve"> </w:t>
      </w:r>
      <w:r>
        <w:t>the</w:t>
      </w:r>
      <w:r>
        <w:rPr>
          <w:spacing w:val="-1"/>
        </w:rPr>
        <w:t xml:space="preserve"> ‘bottom’</w:t>
      </w:r>
      <w:r>
        <w:t xml:space="preserve"> of</w:t>
      </w:r>
      <w:r>
        <w:rPr>
          <w:spacing w:val="3"/>
        </w:rPr>
        <w:t xml:space="preserve"> </w:t>
      </w:r>
      <w:r>
        <w:t xml:space="preserve">the </w:t>
      </w:r>
      <w:r>
        <w:rPr>
          <w:spacing w:val="-1"/>
        </w:rPr>
        <w:t xml:space="preserve">range </w:t>
      </w:r>
      <w:r>
        <w:t xml:space="preserve">for </w:t>
      </w:r>
      <w:r>
        <w:rPr>
          <w:spacing w:val="-1"/>
        </w:rPr>
        <w:t xml:space="preserve">each </w:t>
      </w:r>
      <w:r>
        <w:t>metric is</w:t>
      </w:r>
      <w:r>
        <w:rPr>
          <w:spacing w:val="-1"/>
        </w:rPr>
        <w:t xml:space="preserve"> relevant</w:t>
      </w:r>
      <w:r>
        <w:t xml:space="preserve"> for</w:t>
      </w:r>
      <w:r>
        <w:rPr>
          <w:spacing w:val="-1"/>
        </w:rPr>
        <w:t xml:space="preserve"> </w:t>
      </w:r>
      <w:r>
        <w:t>assessing financial</w:t>
      </w:r>
      <w:r>
        <w:rPr>
          <w:spacing w:val="-1"/>
        </w:rPr>
        <w:t xml:space="preserve"> viability.</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83"/>
      </w:pPr>
      <w:r>
        <w:rPr>
          <w:rFonts w:cs="Avenir Next"/>
          <w:spacing w:val="-2"/>
        </w:rPr>
        <w:t>The</w:t>
      </w:r>
      <w:r>
        <w:rPr>
          <w:rFonts w:cs="Avenir Next"/>
        </w:rPr>
        <w:t xml:space="preserve"> </w:t>
      </w:r>
      <w:r>
        <w:rPr>
          <w:rFonts w:cs="Avenir Next"/>
          <w:spacing w:val="-1"/>
        </w:rPr>
        <w:t>results</w:t>
      </w:r>
      <w:r>
        <w:rPr>
          <w:rFonts w:cs="Avenir Next"/>
        </w:rPr>
        <w:t xml:space="preserve"> of</w:t>
      </w:r>
      <w:r>
        <w:rPr>
          <w:rFonts w:cs="Avenir Next"/>
          <w:spacing w:val="4"/>
        </w:rPr>
        <w:t xml:space="preserve"> </w:t>
      </w:r>
      <w:r>
        <w:rPr>
          <w:rFonts w:cs="Avenir Next"/>
        </w:rPr>
        <w:t xml:space="preserve">the </w:t>
      </w:r>
      <w:r>
        <w:rPr>
          <w:rFonts w:cs="Avenir Next"/>
          <w:spacing w:val="-4"/>
        </w:rPr>
        <w:t>Panel’s</w:t>
      </w:r>
      <w:r>
        <w:rPr>
          <w:rFonts w:cs="Avenir Next"/>
        </w:rPr>
        <w:t xml:space="preserve"> analysis of</w:t>
      </w:r>
      <w:r>
        <w:rPr>
          <w:rFonts w:cs="Avenir Next"/>
          <w:spacing w:val="4"/>
        </w:rPr>
        <w:t xml:space="preserve"> </w:t>
      </w:r>
      <w:r>
        <w:rPr>
          <w:rFonts w:cs="Avenir Next"/>
        </w:rPr>
        <w:t xml:space="preserve">the </w:t>
      </w:r>
      <w:r>
        <w:rPr>
          <w:rFonts w:cs="Avenir Next"/>
          <w:spacing w:val="-1"/>
        </w:rPr>
        <w:t>effect</w:t>
      </w:r>
      <w:r>
        <w:rPr>
          <w:rFonts w:cs="Avenir Next"/>
        </w:rPr>
        <w:t xml:space="preserve"> </w:t>
      </w:r>
      <w:r>
        <w:rPr>
          <w:rFonts w:cs="Avenir Next"/>
          <w:spacing w:val="-1"/>
        </w:rPr>
        <w:t>that</w:t>
      </w:r>
      <w:r>
        <w:rPr>
          <w:rFonts w:cs="Avenir Next"/>
        </w:rPr>
        <w:t xml:space="preserve"> the </w:t>
      </w:r>
      <w:r>
        <w:rPr>
          <w:rFonts w:cs="Avenir Next"/>
          <w:spacing w:val="-1"/>
        </w:rPr>
        <w:t>water</w:t>
      </w:r>
      <w:r>
        <w:rPr>
          <w:rFonts w:cs="Avenir Next"/>
        </w:rPr>
        <w:t xml:space="preserve"> and </w:t>
      </w:r>
      <w:r>
        <w:rPr>
          <w:rFonts w:cs="Avenir Next"/>
          <w:spacing w:val="-1"/>
        </w:rPr>
        <w:t>sewerage</w:t>
      </w:r>
      <w:r>
        <w:rPr>
          <w:rFonts w:cs="Avenir Next"/>
        </w:rPr>
        <w:t xml:space="preserve"> </w:t>
      </w:r>
      <w:r>
        <w:rPr>
          <w:rFonts w:cs="Avenir Next"/>
          <w:spacing w:val="-1"/>
        </w:rPr>
        <w:t>charges</w:t>
      </w:r>
      <w:r>
        <w:rPr>
          <w:rFonts w:cs="Avenir Next"/>
        </w:rPr>
        <w:t xml:space="preserve"> set out in Chapter</w:t>
      </w:r>
      <w:r>
        <w:rPr>
          <w:rFonts w:cs="Avenir Next"/>
          <w:spacing w:val="51"/>
        </w:rPr>
        <w:t xml:space="preserve"> </w:t>
      </w:r>
      <w:r>
        <w:t>14</w:t>
      </w:r>
      <w:r>
        <w:rPr>
          <w:spacing w:val="-1"/>
        </w:rPr>
        <w:t xml:space="preserve"> </w:t>
      </w:r>
      <w:r>
        <w:t>will</w:t>
      </w:r>
      <w:r>
        <w:rPr>
          <w:spacing w:val="-1"/>
        </w:rPr>
        <w:t xml:space="preserve"> </w:t>
      </w:r>
      <w:r>
        <w:t>have on</w:t>
      </w:r>
      <w:r>
        <w:rPr>
          <w:spacing w:val="-5"/>
        </w:rPr>
        <w:t xml:space="preserve"> </w:t>
      </w:r>
      <w:r>
        <w:rPr>
          <w:spacing w:val="-2"/>
        </w:rPr>
        <w:t>ACTEW’s</w:t>
      </w:r>
      <w:r>
        <w:t xml:space="preserve"> modelled</w:t>
      </w:r>
      <w:r>
        <w:rPr>
          <w:spacing w:val="-1"/>
        </w:rPr>
        <w:t xml:space="preserve"> </w:t>
      </w:r>
      <w:r>
        <w:t>financial</w:t>
      </w:r>
      <w:r>
        <w:rPr>
          <w:spacing w:val="-1"/>
        </w:rPr>
        <w:t xml:space="preserve"> ratios</w:t>
      </w:r>
      <w:r>
        <w:t xml:space="preserve"> </w:t>
      </w:r>
      <w:r>
        <w:rPr>
          <w:spacing w:val="-2"/>
        </w:rPr>
        <w:t>are</w:t>
      </w:r>
      <w:r>
        <w:rPr>
          <w:spacing w:val="-1"/>
        </w:rPr>
        <w:t xml:space="preserve"> </w:t>
      </w:r>
      <w:r>
        <w:t>set out</w:t>
      </w:r>
      <w:r>
        <w:rPr>
          <w:spacing w:val="-1"/>
        </w:rPr>
        <w:t xml:space="preserve"> </w:t>
      </w:r>
      <w:r>
        <w:t>in</w:t>
      </w:r>
      <w:r>
        <w:rPr>
          <w:spacing w:val="-5"/>
        </w:rPr>
        <w:t xml:space="preserve"> </w:t>
      </w:r>
      <w:hyperlink w:anchor="_bookmark144" w:history="1">
        <w:r>
          <w:rPr>
            <w:spacing w:val="-4"/>
          </w:rPr>
          <w:t>Table</w:t>
        </w:r>
        <w:r>
          <w:rPr>
            <w:spacing w:val="-1"/>
          </w:rPr>
          <w:t xml:space="preserve"> </w:t>
        </w:r>
        <w:r>
          <w:t>15.5.</w:t>
        </w:r>
      </w:hyperlink>
    </w:p>
    <w:p w:rsidR="00D96B91" w:rsidRDefault="00C2656B">
      <w:pPr>
        <w:spacing w:before="178"/>
        <w:ind w:left="1247"/>
        <w:rPr>
          <w:rFonts w:ascii="Avenir Next" w:eastAsia="Avenir Next" w:hAnsi="Avenir Next" w:cs="Avenir Next"/>
          <w:sz w:val="20"/>
          <w:szCs w:val="20"/>
        </w:rPr>
      </w:pPr>
      <w:bookmarkStart w:id="222" w:name="_bookmark144"/>
      <w:bookmarkEnd w:id="222"/>
      <w:r>
        <w:rPr>
          <w:rFonts w:ascii="Avenir Next"/>
          <w:b/>
          <w:spacing w:val="-4"/>
          <w:sz w:val="20"/>
        </w:rPr>
        <w:t>Table</w:t>
      </w:r>
      <w:r>
        <w:rPr>
          <w:rFonts w:ascii="Avenir Next"/>
          <w:b/>
          <w:sz w:val="20"/>
        </w:rPr>
        <w:t xml:space="preserve"> 15.5:</w:t>
      </w:r>
      <w:r>
        <w:rPr>
          <w:rFonts w:ascii="Avenir Next"/>
          <w:b/>
          <w:spacing w:val="-4"/>
          <w:sz w:val="20"/>
        </w:rPr>
        <w:t xml:space="preserve"> </w:t>
      </w:r>
      <w:r>
        <w:rPr>
          <w:rFonts w:ascii="Avenir Next"/>
          <w:b/>
          <w:spacing w:val="-2"/>
          <w:sz w:val="20"/>
        </w:rPr>
        <w:t>ACTEW</w:t>
      </w:r>
      <w:r>
        <w:rPr>
          <w:rFonts w:ascii="Avenir Next"/>
          <w:b/>
          <w:spacing w:val="-3"/>
          <w:sz w:val="20"/>
        </w:rPr>
        <w:t xml:space="preserve"> </w:t>
      </w:r>
      <w:r>
        <w:rPr>
          <w:rFonts w:ascii="Avenir Next"/>
          <w:b/>
          <w:sz w:val="20"/>
        </w:rPr>
        <w:t xml:space="preserve">modelled financial </w:t>
      </w:r>
      <w:r>
        <w:rPr>
          <w:rFonts w:ascii="Avenir Next"/>
          <w:b/>
          <w:spacing w:val="-1"/>
          <w:sz w:val="20"/>
        </w:rPr>
        <w:t>ratios</w:t>
      </w:r>
    </w:p>
    <w:p w:rsidR="00D96B91" w:rsidRDefault="00D96B91">
      <w:pPr>
        <w:spacing w:before="4"/>
        <w:rPr>
          <w:rFonts w:ascii="Avenir Next" w:eastAsia="Avenir Next" w:hAnsi="Avenir Next" w:cs="Avenir Next"/>
          <w:b/>
          <w:bCs/>
          <w:sz w:val="13"/>
          <w:szCs w:val="13"/>
        </w:rPr>
      </w:pPr>
    </w:p>
    <w:tbl>
      <w:tblPr>
        <w:tblW w:w="0" w:type="auto"/>
        <w:tblInd w:w="1247" w:type="dxa"/>
        <w:tblLayout w:type="fixed"/>
        <w:tblCellMar>
          <w:left w:w="0" w:type="dxa"/>
          <w:right w:w="0" w:type="dxa"/>
        </w:tblCellMar>
        <w:tblLook w:val="01E0"/>
      </w:tblPr>
      <w:tblGrid>
        <w:gridCol w:w="2918"/>
        <w:gridCol w:w="1081"/>
        <w:gridCol w:w="1081"/>
        <w:gridCol w:w="1081"/>
        <w:gridCol w:w="1081"/>
        <w:gridCol w:w="1081"/>
        <w:gridCol w:w="1081"/>
      </w:tblGrid>
      <w:tr w:rsidR="00D96B91">
        <w:trPr>
          <w:trHeight w:hRule="exact" w:val="407"/>
        </w:trPr>
        <w:tc>
          <w:tcPr>
            <w:tcW w:w="29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27"/>
              <w:rPr>
                <w:rFonts w:ascii="Avenir Next Condensed" w:eastAsia="Avenir Next Condensed" w:hAnsi="Avenir Next Condensed" w:cs="Avenir Next Condensed"/>
                <w:sz w:val="18"/>
                <w:szCs w:val="18"/>
              </w:rPr>
            </w:pPr>
            <w:r>
              <w:rPr>
                <w:rFonts w:ascii="Avenir Next Condensed"/>
                <w:b/>
                <w:color w:val="FFFFFF"/>
                <w:spacing w:val="-2"/>
                <w:sz w:val="18"/>
              </w:rPr>
              <w:t>Target</w:t>
            </w:r>
          </w:p>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b/>
                <w:color w:val="FFFFFF"/>
                <w:sz w:val="18"/>
              </w:rPr>
              <w:t>2014-15</w:t>
            </w:r>
          </w:p>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b/>
                <w:color w:val="FFFFFF"/>
                <w:sz w:val="18"/>
              </w:rPr>
              <w:t>2015-16</w:t>
            </w:r>
          </w:p>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b/>
                <w:color w:val="FFFFFF"/>
                <w:sz w:val="18"/>
              </w:rPr>
              <w:t>2016-17</w:t>
            </w:r>
          </w:p>
        </w:tc>
        <w:tc>
          <w:tcPr>
            <w:tcW w:w="10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43"/>
              <w:rPr>
                <w:rFonts w:ascii="Avenir Next Condensed" w:eastAsia="Avenir Next Condensed" w:hAnsi="Avenir Next Condensed" w:cs="Avenir Next Condensed"/>
                <w:sz w:val="18"/>
                <w:szCs w:val="18"/>
              </w:rPr>
            </w:pPr>
            <w:r>
              <w:rPr>
                <w:rFonts w:ascii="Avenir Next Condensed"/>
                <w:b/>
                <w:color w:val="FFFFFF"/>
                <w:sz w:val="18"/>
              </w:rPr>
              <w:t>2017-18</w:t>
            </w:r>
          </w:p>
        </w:tc>
      </w:tr>
      <w:tr w:rsidR="00D96B91">
        <w:trPr>
          <w:trHeight w:hRule="exact" w:val="407"/>
        </w:trPr>
        <w:tc>
          <w:tcPr>
            <w:tcW w:w="29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FFO </w:t>
            </w:r>
            <w:r>
              <w:rPr>
                <w:rFonts w:ascii="Avenir Next Condensed"/>
                <w:spacing w:val="-1"/>
                <w:sz w:val="18"/>
              </w:rPr>
              <w:t>interest</w:t>
            </w:r>
            <w:r>
              <w:rPr>
                <w:rFonts w:ascii="Avenir Next Condensed"/>
                <w:sz w:val="18"/>
              </w:rPr>
              <w:t xml:space="preserve"> cover</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7"/>
              <w:rPr>
                <w:rFonts w:ascii="Avenir Next Condensed" w:eastAsia="Avenir Next Condensed" w:hAnsi="Avenir Next Condensed" w:cs="Avenir Next Condensed"/>
                <w:sz w:val="18"/>
                <w:szCs w:val="18"/>
              </w:rPr>
            </w:pPr>
            <w:r>
              <w:rPr>
                <w:rFonts w:ascii="Avenir Next Condensed"/>
                <w:sz w:val="18"/>
              </w:rPr>
              <w:t>&gt;1.8</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2"/>
              <w:rPr>
                <w:rFonts w:ascii="Avenir Next Condensed" w:eastAsia="Avenir Next Condensed" w:hAnsi="Avenir Next Condensed" w:cs="Avenir Next Condensed"/>
                <w:sz w:val="18"/>
                <w:szCs w:val="18"/>
              </w:rPr>
            </w:pPr>
            <w:r>
              <w:rPr>
                <w:rFonts w:ascii="Avenir Next Condensed"/>
                <w:sz w:val="18"/>
              </w:rPr>
              <w:t>2.14</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2"/>
              <w:rPr>
                <w:rFonts w:ascii="Avenir Next Condensed" w:eastAsia="Avenir Next Condensed" w:hAnsi="Avenir Next Condensed" w:cs="Avenir Next Condensed"/>
                <w:sz w:val="18"/>
                <w:szCs w:val="18"/>
              </w:rPr>
            </w:pPr>
            <w:r>
              <w:rPr>
                <w:rFonts w:ascii="Avenir Next Condensed"/>
                <w:sz w:val="18"/>
              </w:rPr>
              <w:t>2.29</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2"/>
              <w:rPr>
                <w:rFonts w:ascii="Avenir Next Condensed" w:eastAsia="Avenir Next Condensed" w:hAnsi="Avenir Next Condensed" w:cs="Avenir Next Condensed"/>
                <w:sz w:val="18"/>
                <w:szCs w:val="18"/>
              </w:rPr>
            </w:pPr>
            <w:r>
              <w:rPr>
                <w:rFonts w:ascii="Avenir Next Condensed"/>
                <w:sz w:val="18"/>
              </w:rPr>
              <w:t>2.15</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2"/>
              <w:rPr>
                <w:rFonts w:ascii="Avenir Next Condensed" w:eastAsia="Avenir Next Condensed" w:hAnsi="Avenir Next Condensed" w:cs="Avenir Next Condensed"/>
                <w:sz w:val="18"/>
                <w:szCs w:val="18"/>
              </w:rPr>
            </w:pPr>
            <w:r>
              <w:rPr>
                <w:rFonts w:ascii="Avenir Next Condensed"/>
                <w:sz w:val="18"/>
              </w:rPr>
              <w:t>2.12</w:t>
            </w:r>
          </w:p>
        </w:tc>
        <w:tc>
          <w:tcPr>
            <w:tcW w:w="10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42"/>
              <w:rPr>
                <w:rFonts w:ascii="Avenir Next Condensed" w:eastAsia="Avenir Next Condensed" w:hAnsi="Avenir Next Condensed" w:cs="Avenir Next Condensed"/>
                <w:sz w:val="18"/>
                <w:szCs w:val="18"/>
              </w:rPr>
            </w:pPr>
            <w:r>
              <w:rPr>
                <w:rFonts w:ascii="Avenir Next Condensed"/>
                <w:sz w:val="18"/>
              </w:rPr>
              <w:t>2.10</w:t>
            </w:r>
          </w:p>
        </w:tc>
      </w:tr>
      <w:tr w:rsidR="00D96B91">
        <w:trPr>
          <w:trHeight w:hRule="exact" w:val="407"/>
        </w:trPr>
        <w:tc>
          <w:tcPr>
            <w:tcW w:w="2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Net debt </w:t>
            </w:r>
            <w:r>
              <w:rPr>
                <w:rFonts w:ascii="Avenir Next Condensed"/>
                <w:spacing w:val="-1"/>
                <w:sz w:val="18"/>
              </w:rPr>
              <w:t>gearing</w:t>
            </w:r>
            <w:r>
              <w:rPr>
                <w:rFonts w:ascii="Avenir Next Condensed"/>
                <w:sz w:val="18"/>
              </w:rPr>
              <w:t xml:space="preserve"> </w:t>
            </w:r>
            <w:r>
              <w:rPr>
                <w:rFonts w:ascii="Avenir Next Condensed"/>
                <w:spacing w:val="-1"/>
                <w:sz w:val="18"/>
              </w:rPr>
              <w:t>ratio</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2"/>
              <w:rPr>
                <w:rFonts w:ascii="Avenir Next Condensed" w:eastAsia="Avenir Next Condensed" w:hAnsi="Avenir Next Condensed" w:cs="Avenir Next Condensed"/>
                <w:sz w:val="18"/>
                <w:szCs w:val="18"/>
              </w:rPr>
            </w:pPr>
            <w:r>
              <w:rPr>
                <w:rFonts w:ascii="Avenir Next Condensed"/>
                <w:sz w:val="18"/>
              </w:rPr>
              <w:t>&lt;85%</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56%</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57%</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58%</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62%</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2"/>
              <w:rPr>
                <w:rFonts w:ascii="Avenir Next Condensed" w:eastAsia="Avenir Next Condensed" w:hAnsi="Avenir Next Condensed" w:cs="Avenir Next Condensed"/>
                <w:sz w:val="18"/>
                <w:szCs w:val="18"/>
              </w:rPr>
            </w:pPr>
            <w:r>
              <w:rPr>
                <w:rFonts w:ascii="Avenir Next Condensed"/>
                <w:sz w:val="18"/>
              </w:rPr>
              <w:t>58%</w:t>
            </w:r>
          </w:p>
        </w:tc>
      </w:tr>
      <w:tr w:rsidR="00D96B91">
        <w:trPr>
          <w:trHeight w:hRule="exact" w:val="407"/>
        </w:trPr>
        <w:tc>
          <w:tcPr>
            <w:tcW w:w="2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FFO to net debt</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7"/>
              <w:rPr>
                <w:rFonts w:ascii="Avenir Next Condensed" w:eastAsia="Avenir Next Condensed" w:hAnsi="Avenir Next Condensed" w:cs="Avenir Next Condensed"/>
                <w:sz w:val="18"/>
                <w:szCs w:val="18"/>
              </w:rPr>
            </w:pPr>
            <w:r>
              <w:rPr>
                <w:rFonts w:ascii="Avenir Next Condensed"/>
                <w:sz w:val="18"/>
              </w:rPr>
              <w:t>&gt;6%</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6.3%</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6.9%</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6.3%</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3"/>
              <w:rPr>
                <w:rFonts w:ascii="Avenir Next Condensed" w:eastAsia="Avenir Next Condensed" w:hAnsi="Avenir Next Condensed" w:cs="Avenir Next Condensed"/>
                <w:sz w:val="18"/>
                <w:szCs w:val="18"/>
              </w:rPr>
            </w:pPr>
            <w:r>
              <w:rPr>
                <w:rFonts w:ascii="Avenir Next Condensed"/>
                <w:sz w:val="18"/>
              </w:rPr>
              <w:t>5.6%</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14"/>
              <w:rPr>
                <w:rFonts w:ascii="Avenir Next Condensed" w:eastAsia="Avenir Next Condensed" w:hAnsi="Avenir Next Condensed" w:cs="Avenir Next Condensed"/>
                <w:sz w:val="18"/>
                <w:szCs w:val="18"/>
              </w:rPr>
            </w:pPr>
            <w:r>
              <w:rPr>
                <w:rFonts w:ascii="Avenir Next Condensed"/>
                <w:sz w:val="18"/>
              </w:rPr>
              <w:t>5.6%</w:t>
            </w:r>
          </w:p>
        </w:tc>
      </w:tr>
      <w:tr w:rsidR="00D96B91">
        <w:trPr>
          <w:trHeight w:hRule="exact" w:val="407"/>
        </w:trPr>
        <w:tc>
          <w:tcPr>
            <w:tcW w:w="29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Retained</w:t>
            </w:r>
            <w:r>
              <w:rPr>
                <w:rFonts w:ascii="Avenir Next Condensed"/>
                <w:sz w:val="18"/>
              </w:rPr>
              <w:t xml:space="preserve"> cash flow to </w:t>
            </w:r>
            <w:r>
              <w:rPr>
                <w:rFonts w:ascii="Avenir Next Condensed"/>
                <w:spacing w:val="-1"/>
                <w:sz w:val="18"/>
              </w:rPr>
              <w:t>capex</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07"/>
              <w:rPr>
                <w:rFonts w:ascii="Avenir Next Condensed" w:eastAsia="Avenir Next Condensed" w:hAnsi="Avenir Next Condensed" w:cs="Avenir Next Condensed"/>
                <w:sz w:val="18"/>
                <w:szCs w:val="18"/>
              </w:rPr>
            </w:pPr>
            <w:r>
              <w:rPr>
                <w:rFonts w:ascii="Avenir Next Condensed"/>
                <w:sz w:val="18"/>
              </w:rPr>
              <w:t>&gt;0.5</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7"/>
              <w:rPr>
                <w:rFonts w:ascii="Avenir Next Condensed" w:eastAsia="Avenir Next Condensed" w:hAnsi="Avenir Next Condensed" w:cs="Avenir Next Condensed"/>
                <w:sz w:val="18"/>
                <w:szCs w:val="18"/>
              </w:rPr>
            </w:pPr>
            <w:r>
              <w:rPr>
                <w:rFonts w:ascii="Avenir Next Condensed"/>
                <w:sz w:val="18"/>
              </w:rPr>
              <w:t>1.0</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7"/>
              <w:rPr>
                <w:rFonts w:ascii="Avenir Next Condensed" w:eastAsia="Avenir Next Condensed" w:hAnsi="Avenir Next Condensed" w:cs="Avenir Next Condensed"/>
                <w:sz w:val="18"/>
                <w:szCs w:val="18"/>
              </w:rPr>
            </w:pPr>
            <w:r>
              <w:rPr>
                <w:rFonts w:ascii="Avenir Next Condensed"/>
                <w:sz w:val="18"/>
              </w:rPr>
              <w:t>0.8</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7"/>
              <w:rPr>
                <w:rFonts w:ascii="Avenir Next Condensed" w:eastAsia="Avenir Next Condensed" w:hAnsi="Avenir Next Condensed" w:cs="Avenir Next Condensed"/>
                <w:sz w:val="18"/>
                <w:szCs w:val="18"/>
              </w:rPr>
            </w:pPr>
            <w:r>
              <w:rPr>
                <w:rFonts w:ascii="Avenir Next Condensed"/>
                <w:sz w:val="18"/>
              </w:rPr>
              <w:t>0.5</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7"/>
              <w:rPr>
                <w:rFonts w:ascii="Avenir Next Condensed" w:eastAsia="Avenir Next Condensed" w:hAnsi="Avenir Next Condensed" w:cs="Avenir Next Condensed"/>
                <w:sz w:val="18"/>
                <w:szCs w:val="18"/>
              </w:rPr>
            </w:pPr>
            <w:r>
              <w:rPr>
                <w:rFonts w:ascii="Avenir Next Condensed"/>
                <w:sz w:val="18"/>
              </w:rPr>
              <w:t>0.3</w:t>
            </w:r>
          </w:p>
        </w:tc>
        <w:tc>
          <w:tcPr>
            <w:tcW w:w="10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27"/>
              <w:rPr>
                <w:rFonts w:ascii="Avenir Next Condensed" w:eastAsia="Avenir Next Condensed" w:hAnsi="Avenir Next Condensed" w:cs="Avenir Next Condensed"/>
                <w:sz w:val="18"/>
                <w:szCs w:val="18"/>
              </w:rPr>
            </w:pPr>
            <w:r>
              <w:rPr>
                <w:rFonts w:ascii="Avenir Next Condensed"/>
                <w:sz w:val="18"/>
              </w:rPr>
              <w:t>0.4</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416"/>
        <w:jc w:val="both"/>
      </w:pPr>
      <w:r>
        <w:t>As</w:t>
      </w:r>
      <w:r>
        <w:rPr>
          <w:spacing w:val="-1"/>
        </w:rPr>
        <w:t xml:space="preserve"> </w:t>
      </w:r>
      <w:r>
        <w:t>this table shows,</w:t>
      </w:r>
      <w:r>
        <w:rPr>
          <w:spacing w:val="-11"/>
        </w:rPr>
        <w:t xml:space="preserve"> </w:t>
      </w:r>
      <w:r>
        <w:rPr>
          <w:spacing w:val="-2"/>
        </w:rPr>
        <w:t>ACTEW</w:t>
      </w:r>
      <w:r>
        <w:rPr>
          <w:spacing w:val="-3"/>
        </w:rPr>
        <w:t xml:space="preserve"> </w:t>
      </w:r>
      <w:r>
        <w:rPr>
          <w:spacing w:val="-1"/>
        </w:rPr>
        <w:t>satisfies</w:t>
      </w:r>
      <w:r>
        <w:t xml:space="preserve"> the ‘FFO</w:t>
      </w:r>
      <w:r>
        <w:rPr>
          <w:spacing w:val="-1"/>
        </w:rPr>
        <w:t xml:space="preserve"> interest</w:t>
      </w:r>
      <w:r>
        <w:t xml:space="preserve"> cover’ and ‘net</w:t>
      </w:r>
      <w:r>
        <w:rPr>
          <w:spacing w:val="-1"/>
        </w:rPr>
        <w:t xml:space="preserve"> </w:t>
      </w:r>
      <w:r>
        <w:t xml:space="preserve">debt to RAB’ </w:t>
      </w:r>
      <w:r>
        <w:rPr>
          <w:spacing w:val="-1"/>
        </w:rPr>
        <w:t xml:space="preserve">ratios </w:t>
      </w:r>
      <w:r>
        <w:t xml:space="preserve">for the </w:t>
      </w:r>
      <w:r>
        <w:rPr>
          <w:spacing w:val="-1"/>
        </w:rPr>
        <w:t>entire</w:t>
      </w:r>
      <w:r>
        <w:rPr>
          <w:spacing w:val="45"/>
        </w:rPr>
        <w:t xml:space="preserve"> </w:t>
      </w:r>
      <w:r>
        <w:rPr>
          <w:spacing w:val="-1"/>
        </w:rPr>
        <w:t>regulatory</w:t>
      </w:r>
      <w:r>
        <w:t xml:space="preserve"> period.</w:t>
      </w:r>
      <w:r>
        <w:rPr>
          <w:spacing w:val="-6"/>
        </w:rPr>
        <w:t xml:space="preserve"> </w:t>
      </w:r>
      <w:r>
        <w:rPr>
          <w:spacing w:val="-2"/>
        </w:rPr>
        <w:t>However,</w:t>
      </w:r>
      <w:r>
        <w:rPr>
          <w:spacing w:val="-10"/>
        </w:rPr>
        <w:t xml:space="preserve"> </w:t>
      </w:r>
      <w:r>
        <w:rPr>
          <w:spacing w:val="-2"/>
        </w:rPr>
        <w:t>ACTEW</w:t>
      </w:r>
      <w:r>
        <w:rPr>
          <w:spacing w:val="-3"/>
        </w:rPr>
        <w:t xml:space="preserve"> </w:t>
      </w:r>
      <w:r>
        <w:t xml:space="preserve">fails to </w:t>
      </w:r>
      <w:r>
        <w:rPr>
          <w:spacing w:val="-1"/>
        </w:rPr>
        <w:t>satisfy</w:t>
      </w:r>
      <w:r>
        <w:t xml:space="preserve"> the </w:t>
      </w:r>
      <w:r>
        <w:rPr>
          <w:spacing w:val="-1"/>
        </w:rPr>
        <w:t>target</w:t>
      </w:r>
      <w:r>
        <w:t xml:space="preserve"> minimum </w:t>
      </w:r>
      <w:r>
        <w:rPr>
          <w:spacing w:val="-1"/>
        </w:rPr>
        <w:t>ratios</w:t>
      </w:r>
      <w:r>
        <w:t xml:space="preserve"> for ‘FFO to net debt’ and</w:t>
      </w:r>
      <w:r>
        <w:rPr>
          <w:spacing w:val="53"/>
        </w:rPr>
        <w:t xml:space="preserve"> </w:t>
      </w:r>
      <w:r>
        <w:rPr>
          <w:spacing w:val="-1"/>
        </w:rPr>
        <w:t xml:space="preserve">‘retained </w:t>
      </w:r>
      <w:r>
        <w:t>cash flow to</w:t>
      </w:r>
      <w:r>
        <w:rPr>
          <w:spacing w:val="-1"/>
        </w:rPr>
        <w:t xml:space="preserve"> capex’</w:t>
      </w:r>
      <w:r>
        <w:t xml:space="preserve"> in the</w:t>
      </w:r>
      <w:r>
        <w:rPr>
          <w:spacing w:val="-1"/>
        </w:rPr>
        <w:t xml:space="preserve"> </w:t>
      </w:r>
      <w:r>
        <w:t xml:space="preserve">last two </w:t>
      </w:r>
      <w:r>
        <w:rPr>
          <w:spacing w:val="-1"/>
        </w:rPr>
        <w:t>years</w:t>
      </w:r>
      <w:r>
        <w:t xml:space="preserve"> of</w:t>
      </w:r>
      <w:r>
        <w:rPr>
          <w:spacing w:val="3"/>
        </w:rPr>
        <w:t xml:space="preserve"> </w:t>
      </w:r>
      <w:r>
        <w:t xml:space="preserve">the </w:t>
      </w:r>
      <w:r>
        <w:rPr>
          <w:spacing w:val="-1"/>
        </w:rPr>
        <w:t>regulatory</w:t>
      </w:r>
      <w:r>
        <w:t xml:space="preserve"> period.</w:t>
      </w:r>
    </w:p>
    <w:p w:rsidR="00D96B91" w:rsidRDefault="00C2656B">
      <w:pPr>
        <w:pStyle w:val="BodyText"/>
        <w:spacing w:before="170" w:line="260" w:lineRule="exact"/>
        <w:ind w:right="1259"/>
        <w:jc w:val="both"/>
      </w:pPr>
      <w:r>
        <w:rPr>
          <w:spacing w:val="-1"/>
        </w:rPr>
        <w:t xml:space="preserve">This </w:t>
      </w:r>
      <w:r>
        <w:t>outcome</w:t>
      </w:r>
      <w:r>
        <w:rPr>
          <w:spacing w:val="-1"/>
        </w:rPr>
        <w:t xml:space="preserve"> </w:t>
      </w:r>
      <w:r>
        <w:t>is not</w:t>
      </w:r>
      <w:r>
        <w:rPr>
          <w:spacing w:val="-1"/>
        </w:rPr>
        <w:t xml:space="preserve"> </w:t>
      </w:r>
      <w:r>
        <w:t>uncommon.</w:t>
      </w:r>
      <w:r>
        <w:rPr>
          <w:spacing w:val="-11"/>
        </w:rPr>
        <w:t xml:space="preserve"> </w:t>
      </w:r>
      <w:r>
        <w:rPr>
          <w:spacing w:val="-2"/>
        </w:rPr>
        <w:t>The</w:t>
      </w:r>
      <w:r>
        <w:rPr>
          <w:spacing w:val="-1"/>
        </w:rPr>
        <w:t xml:space="preserve"> </w:t>
      </w:r>
      <w:r>
        <w:t>ESC specifically</w:t>
      </w:r>
      <w:r>
        <w:rPr>
          <w:spacing w:val="-1"/>
        </w:rPr>
        <w:t xml:space="preserve"> states</w:t>
      </w:r>
      <w:r>
        <w:t xml:space="preserve"> </w:t>
      </w:r>
      <w:r>
        <w:rPr>
          <w:spacing w:val="-1"/>
        </w:rPr>
        <w:t xml:space="preserve">that </w:t>
      </w:r>
      <w:r>
        <w:t>it does</w:t>
      </w:r>
      <w:r>
        <w:rPr>
          <w:spacing w:val="-1"/>
        </w:rPr>
        <w:t xml:space="preserve"> </w:t>
      </w:r>
      <w:r>
        <w:t xml:space="preserve">not </w:t>
      </w:r>
      <w:r>
        <w:rPr>
          <w:spacing w:val="-1"/>
        </w:rPr>
        <w:t xml:space="preserve">expect </w:t>
      </w:r>
      <w:r>
        <w:t>a utility</w:t>
      </w:r>
      <w:r>
        <w:rPr>
          <w:spacing w:val="-1"/>
        </w:rPr>
        <w:t xml:space="preserve"> </w:t>
      </w:r>
      <w:r>
        <w:t>to achieve</w:t>
      </w:r>
      <w:r>
        <w:rPr>
          <w:spacing w:val="-1"/>
        </w:rPr>
        <w:t xml:space="preserve"> </w:t>
      </w:r>
      <w:r>
        <w:t>all</w:t>
      </w:r>
      <w:r>
        <w:rPr>
          <w:spacing w:val="23"/>
        </w:rPr>
        <w:t xml:space="preserve"> </w:t>
      </w:r>
      <w:r>
        <w:t>the</w:t>
      </w:r>
      <w:r>
        <w:rPr>
          <w:spacing w:val="-1"/>
        </w:rPr>
        <w:t xml:space="preserve"> </w:t>
      </w:r>
      <w:r>
        <w:t>financial</w:t>
      </w:r>
      <w:r>
        <w:rPr>
          <w:spacing w:val="-1"/>
        </w:rPr>
        <w:t xml:space="preserve"> ratio benchmarks </w:t>
      </w:r>
      <w:r>
        <w:t>in</w:t>
      </w:r>
      <w:r>
        <w:rPr>
          <w:spacing w:val="-1"/>
        </w:rPr>
        <w:t xml:space="preserve"> </w:t>
      </w:r>
      <w:r>
        <w:t>every</w:t>
      </w:r>
      <w:r>
        <w:rPr>
          <w:spacing w:val="-1"/>
        </w:rPr>
        <w:t xml:space="preserve"> </w:t>
      </w:r>
      <w:r>
        <w:rPr>
          <w:spacing w:val="-3"/>
        </w:rPr>
        <w:t>year.</w:t>
      </w:r>
      <w:r>
        <w:rPr>
          <w:spacing w:val="-7"/>
        </w:rPr>
        <w:t xml:space="preserve"> </w:t>
      </w:r>
      <w:r>
        <w:rPr>
          <w:spacing w:val="-2"/>
        </w:rPr>
        <w:t>Moreover,</w:t>
      </w:r>
      <w:r>
        <w:rPr>
          <w:spacing w:val="-7"/>
        </w:rPr>
        <w:t xml:space="preserve"> </w:t>
      </w:r>
      <w:r>
        <w:t>the financial</w:t>
      </w:r>
      <w:r>
        <w:rPr>
          <w:spacing w:val="-1"/>
        </w:rPr>
        <w:t xml:space="preserve"> ratios </w:t>
      </w:r>
      <w:r>
        <w:rPr>
          <w:spacing w:val="-2"/>
        </w:rPr>
        <w:t>are</w:t>
      </w:r>
      <w:r>
        <w:rPr>
          <w:spacing w:val="-1"/>
        </w:rPr>
        <w:t xml:space="preserve"> </w:t>
      </w:r>
      <w:r>
        <w:t>not</w:t>
      </w:r>
      <w:r>
        <w:rPr>
          <w:spacing w:val="-1"/>
        </w:rPr>
        <w:t xml:space="preserve"> </w:t>
      </w:r>
      <w:r>
        <w:t>given</w:t>
      </w:r>
      <w:r>
        <w:rPr>
          <w:spacing w:val="-1"/>
        </w:rPr>
        <w:t xml:space="preserve"> </w:t>
      </w:r>
      <w:r>
        <w:t>equal</w:t>
      </w:r>
      <w:r>
        <w:rPr>
          <w:spacing w:val="-1"/>
        </w:rPr>
        <w:t xml:space="preserve"> </w:t>
      </w:r>
      <w:r>
        <w:t>weight</w:t>
      </w:r>
      <w:r>
        <w:rPr>
          <w:spacing w:val="-1"/>
        </w:rPr>
        <w:t xml:space="preserve"> </w:t>
      </w:r>
      <w:r>
        <w:t>by</w:t>
      </w:r>
      <w:r>
        <w:rPr>
          <w:spacing w:val="37"/>
        </w:rPr>
        <w:t xml:space="preserve"> </w:t>
      </w:r>
      <w:r>
        <w:rPr>
          <w:spacing w:val="-2"/>
        </w:rPr>
        <w:t>Moody’s</w:t>
      </w:r>
      <w:r>
        <w:t xml:space="preserve"> or utility </w:t>
      </w:r>
      <w:r>
        <w:rPr>
          <w:spacing w:val="-1"/>
        </w:rPr>
        <w:t>regulators.</w:t>
      </w:r>
      <w:r>
        <w:rPr>
          <w:spacing w:val="-6"/>
        </w:rPr>
        <w:t xml:space="preserve"> </w:t>
      </w:r>
      <w:r>
        <w:rPr>
          <w:spacing w:val="-4"/>
        </w:rPr>
        <w:t>For</w:t>
      </w:r>
      <w:r>
        <w:t xml:space="preserve"> </w:t>
      </w:r>
      <w:r>
        <w:rPr>
          <w:spacing w:val="-1"/>
        </w:rPr>
        <w:t>example:</w:t>
      </w:r>
    </w:p>
    <w:p w:rsidR="00D96B91" w:rsidRDefault="00C2656B">
      <w:pPr>
        <w:pStyle w:val="BodyText"/>
        <w:numPr>
          <w:ilvl w:val="0"/>
          <w:numId w:val="131"/>
        </w:numPr>
        <w:tabs>
          <w:tab w:val="left" w:pos="1531"/>
        </w:tabs>
        <w:spacing w:before="170" w:line="260" w:lineRule="exact"/>
        <w:ind w:right="1414" w:hanging="283"/>
        <w:rPr>
          <w:sz w:val="11"/>
          <w:szCs w:val="11"/>
        </w:rPr>
      </w:pPr>
      <w:r>
        <w:rPr>
          <w:spacing w:val="-2"/>
        </w:rPr>
        <w:t>Moody’s</w:t>
      </w:r>
      <w:r>
        <w:rPr>
          <w:spacing w:val="-1"/>
        </w:rPr>
        <w:t xml:space="preserve"> </w:t>
      </w:r>
      <w:r>
        <w:t>weights</w:t>
      </w:r>
      <w:r>
        <w:rPr>
          <w:spacing w:val="-1"/>
        </w:rPr>
        <w:t xml:space="preserve"> </w:t>
      </w:r>
      <w:r>
        <w:t xml:space="preserve">‘FFO </w:t>
      </w:r>
      <w:r>
        <w:rPr>
          <w:spacing w:val="-1"/>
        </w:rPr>
        <w:t xml:space="preserve">interest </w:t>
      </w:r>
      <w:r>
        <w:t>cover’ and</w:t>
      </w:r>
      <w:r>
        <w:rPr>
          <w:spacing w:val="-1"/>
        </w:rPr>
        <w:t xml:space="preserve"> </w:t>
      </w:r>
      <w:r>
        <w:t>‘net</w:t>
      </w:r>
      <w:r>
        <w:rPr>
          <w:spacing w:val="-1"/>
        </w:rPr>
        <w:t xml:space="preserve"> </w:t>
      </w:r>
      <w:r>
        <w:t>debt to</w:t>
      </w:r>
      <w:r>
        <w:rPr>
          <w:spacing w:val="-1"/>
        </w:rPr>
        <w:t xml:space="preserve"> </w:t>
      </w:r>
      <w:r>
        <w:t>RAB’ as</w:t>
      </w:r>
      <w:r>
        <w:rPr>
          <w:spacing w:val="-1"/>
        </w:rPr>
        <w:t xml:space="preserve"> three</w:t>
      </w:r>
      <w:r>
        <w:t xml:space="preserve"> times</w:t>
      </w:r>
      <w:r>
        <w:rPr>
          <w:spacing w:val="-1"/>
        </w:rPr>
        <w:t xml:space="preserve"> more </w:t>
      </w:r>
      <w:r>
        <w:t>significant than</w:t>
      </w:r>
      <w:r>
        <w:rPr>
          <w:spacing w:val="-1"/>
        </w:rPr>
        <w:t xml:space="preserve"> </w:t>
      </w:r>
      <w:r>
        <w:t>the</w:t>
      </w:r>
      <w:r>
        <w:rPr>
          <w:spacing w:val="27"/>
        </w:rPr>
        <w:t xml:space="preserve"> </w:t>
      </w:r>
      <w:r>
        <w:t>other</w:t>
      </w:r>
      <w:r>
        <w:rPr>
          <w:spacing w:val="9"/>
        </w:rPr>
        <w:t xml:space="preserve"> </w:t>
      </w:r>
      <w:r>
        <w:rPr>
          <w:spacing w:val="-1"/>
        </w:rPr>
        <w:t>ratios.</w:t>
      </w:r>
      <w:r>
        <w:rPr>
          <w:spacing w:val="-1"/>
          <w:position w:val="7"/>
          <w:sz w:val="11"/>
          <w:szCs w:val="11"/>
        </w:rPr>
        <w:t>248</w:t>
      </w:r>
    </w:p>
    <w:p w:rsidR="00D96B91" w:rsidRDefault="00C2656B">
      <w:pPr>
        <w:pStyle w:val="BodyText"/>
        <w:numPr>
          <w:ilvl w:val="0"/>
          <w:numId w:val="131"/>
        </w:numPr>
        <w:tabs>
          <w:tab w:val="left" w:pos="1531"/>
        </w:tabs>
        <w:spacing w:before="93"/>
        <w:ind w:hanging="283"/>
        <w:jc w:val="both"/>
        <w:rPr>
          <w:sz w:val="11"/>
          <w:szCs w:val="11"/>
        </w:rPr>
      </w:pPr>
      <w:r>
        <w:rPr>
          <w:spacing w:val="-3"/>
        </w:rPr>
        <w:t>IPART</w:t>
      </w:r>
      <w:r>
        <w:rPr>
          <w:spacing w:val="-5"/>
        </w:rPr>
        <w:t xml:space="preserve"> </w:t>
      </w:r>
      <w:r>
        <w:t xml:space="preserve">weights ‘FFO </w:t>
      </w:r>
      <w:r>
        <w:rPr>
          <w:spacing w:val="-1"/>
        </w:rPr>
        <w:t>interest</w:t>
      </w:r>
      <w:r>
        <w:t xml:space="preserve"> cover’ and ‘net debt</w:t>
      </w:r>
      <w:r>
        <w:rPr>
          <w:spacing w:val="1"/>
        </w:rPr>
        <w:t xml:space="preserve"> </w:t>
      </w:r>
      <w:r>
        <w:t xml:space="preserve">to RAB’ as </w:t>
      </w:r>
      <w:r>
        <w:rPr>
          <w:spacing w:val="-1"/>
        </w:rPr>
        <w:t>more</w:t>
      </w:r>
      <w:r>
        <w:t xml:space="preserve"> significant than the</w:t>
      </w:r>
      <w:r>
        <w:rPr>
          <w:spacing w:val="1"/>
        </w:rPr>
        <w:t xml:space="preserve"> </w:t>
      </w:r>
      <w:r>
        <w:t xml:space="preserve">other </w:t>
      </w:r>
      <w:r>
        <w:rPr>
          <w:spacing w:val="-1"/>
        </w:rPr>
        <w:t>ratios.</w:t>
      </w:r>
      <w:r>
        <w:rPr>
          <w:spacing w:val="-1"/>
          <w:position w:val="7"/>
          <w:sz w:val="11"/>
          <w:szCs w:val="11"/>
        </w:rPr>
        <w:t>249</w:t>
      </w:r>
    </w:p>
    <w:p w:rsidR="00D96B91" w:rsidRDefault="00C2656B">
      <w:pPr>
        <w:pStyle w:val="BodyText"/>
        <w:numPr>
          <w:ilvl w:val="0"/>
          <w:numId w:val="131"/>
        </w:numPr>
        <w:tabs>
          <w:tab w:val="left" w:pos="1531"/>
        </w:tabs>
        <w:spacing w:before="72"/>
        <w:ind w:hanging="283"/>
        <w:jc w:val="both"/>
      </w:pPr>
      <w:r>
        <w:rPr>
          <w:spacing w:val="-2"/>
        </w:rPr>
        <w:t>The</w:t>
      </w:r>
      <w:r>
        <w:rPr>
          <w:spacing w:val="-1"/>
        </w:rPr>
        <w:t xml:space="preserve"> </w:t>
      </w:r>
      <w:r>
        <w:t>ESC considers</w:t>
      </w:r>
      <w:r>
        <w:rPr>
          <w:spacing w:val="-1"/>
        </w:rPr>
        <w:t xml:space="preserve"> </w:t>
      </w:r>
      <w:r>
        <w:t>the ‘FFO</w:t>
      </w:r>
      <w:r>
        <w:rPr>
          <w:spacing w:val="-1"/>
        </w:rPr>
        <w:t xml:space="preserve"> interest</w:t>
      </w:r>
      <w:r>
        <w:t xml:space="preserve"> cover’</w:t>
      </w:r>
      <w:r>
        <w:rPr>
          <w:spacing w:val="-1"/>
        </w:rPr>
        <w:t xml:space="preserve"> ratio</w:t>
      </w:r>
      <w:r>
        <w:t xml:space="preserve"> to</w:t>
      </w:r>
      <w:r>
        <w:rPr>
          <w:spacing w:val="-1"/>
        </w:rPr>
        <w:t xml:space="preserve"> </w:t>
      </w:r>
      <w:r>
        <w:t>be the</w:t>
      </w:r>
      <w:r>
        <w:rPr>
          <w:spacing w:val="-1"/>
        </w:rPr>
        <w:t xml:space="preserve"> </w:t>
      </w:r>
      <w:r>
        <w:t xml:space="preserve">primary </w:t>
      </w:r>
      <w:r>
        <w:rPr>
          <w:spacing w:val="-1"/>
        </w:rPr>
        <w:t xml:space="preserve">indicator </w:t>
      </w:r>
      <w:r>
        <w:t>of</w:t>
      </w:r>
      <w:r>
        <w:rPr>
          <w:spacing w:val="3"/>
        </w:rPr>
        <w:t xml:space="preserve"> </w:t>
      </w:r>
      <w:r>
        <w:t xml:space="preserve">financial </w:t>
      </w:r>
      <w:r>
        <w:rPr>
          <w:spacing w:val="-1"/>
        </w:rPr>
        <w:t>viability.</w:t>
      </w:r>
    </w:p>
    <w:p w:rsidR="00D96B91" w:rsidRDefault="00C2656B">
      <w:pPr>
        <w:pStyle w:val="BodyText"/>
        <w:numPr>
          <w:ilvl w:val="0"/>
          <w:numId w:val="131"/>
        </w:numPr>
        <w:tabs>
          <w:tab w:val="left" w:pos="1531"/>
        </w:tabs>
        <w:spacing w:before="64" w:line="260" w:lineRule="exact"/>
        <w:ind w:right="1492" w:hanging="283"/>
      </w:pPr>
      <w:r>
        <w:rPr>
          <w:spacing w:val="-3"/>
        </w:rPr>
        <w:t>OFWAT</w:t>
      </w:r>
      <w:r>
        <w:rPr>
          <w:spacing w:val="-6"/>
        </w:rPr>
        <w:t xml:space="preserve"> </w:t>
      </w:r>
      <w:r>
        <w:t xml:space="preserve">does not use </w:t>
      </w:r>
      <w:r>
        <w:rPr>
          <w:spacing w:val="-1"/>
        </w:rPr>
        <w:t xml:space="preserve">‘retained </w:t>
      </w:r>
      <w:r>
        <w:t xml:space="preserve">cash flow to </w:t>
      </w:r>
      <w:r>
        <w:rPr>
          <w:spacing w:val="-1"/>
        </w:rPr>
        <w:t xml:space="preserve">capex’ </w:t>
      </w:r>
      <w:r>
        <w:t xml:space="preserve">as an </w:t>
      </w:r>
      <w:r>
        <w:rPr>
          <w:spacing w:val="-2"/>
        </w:rPr>
        <w:t>indicator.</w:t>
      </w:r>
      <w:r>
        <w:rPr>
          <w:spacing w:val="-11"/>
        </w:rPr>
        <w:t xml:space="preserve"> </w:t>
      </w:r>
      <w:r>
        <w:rPr>
          <w:spacing w:val="-2"/>
        </w:rPr>
        <w:t>The</w:t>
      </w:r>
      <w:r>
        <w:t xml:space="preserve"> </w:t>
      </w:r>
      <w:r>
        <w:rPr>
          <w:spacing w:val="-1"/>
        </w:rPr>
        <w:t xml:space="preserve">target </w:t>
      </w:r>
      <w:r>
        <w:t>level adopted by the</w:t>
      </w:r>
      <w:r>
        <w:rPr>
          <w:spacing w:val="43"/>
        </w:rPr>
        <w:t xml:space="preserve"> </w:t>
      </w:r>
      <w:r>
        <w:t xml:space="preserve">ESC for this </w:t>
      </w:r>
      <w:r>
        <w:rPr>
          <w:spacing w:val="-1"/>
        </w:rPr>
        <w:t>indicator</w:t>
      </w:r>
      <w:r>
        <w:t xml:space="preserve"> is much lower than the level </w:t>
      </w:r>
      <w:r>
        <w:rPr>
          <w:spacing w:val="-1"/>
        </w:rPr>
        <w:t>expected</w:t>
      </w:r>
      <w:r>
        <w:t xml:space="preserve"> for an investment </w:t>
      </w:r>
      <w:r>
        <w:rPr>
          <w:spacing w:val="-1"/>
        </w:rPr>
        <w:t>grade</w:t>
      </w:r>
      <w:r>
        <w:t xml:space="preserve"> </w:t>
      </w:r>
      <w:r>
        <w:rPr>
          <w:spacing w:val="-1"/>
        </w:rPr>
        <w:t>credit</w:t>
      </w:r>
      <w:r>
        <w:t xml:space="preserve"> </w:t>
      </w:r>
      <w:r>
        <w:rPr>
          <w:spacing w:val="-1"/>
        </w:rPr>
        <w:t>rating.</w:t>
      </w:r>
    </w:p>
    <w:p w:rsidR="00D96B91" w:rsidRDefault="00C2656B">
      <w:pPr>
        <w:pStyle w:val="BodyText"/>
        <w:spacing w:before="85" w:line="260" w:lineRule="exact"/>
        <w:ind w:right="1256"/>
      </w:pPr>
      <w:r>
        <w:t>Having</w:t>
      </w:r>
      <w:r>
        <w:rPr>
          <w:spacing w:val="-1"/>
        </w:rPr>
        <w:t xml:space="preserve"> </w:t>
      </w:r>
      <w:r>
        <w:rPr>
          <w:spacing w:val="-2"/>
        </w:rPr>
        <w:t>regard</w:t>
      </w:r>
      <w:r>
        <w:rPr>
          <w:spacing w:val="-1"/>
        </w:rPr>
        <w:t xml:space="preserve"> </w:t>
      </w:r>
      <w:r>
        <w:t>to</w:t>
      </w:r>
      <w:r>
        <w:rPr>
          <w:spacing w:val="-4"/>
        </w:rPr>
        <w:t xml:space="preserve"> </w:t>
      </w:r>
      <w:r>
        <w:rPr>
          <w:spacing w:val="-2"/>
        </w:rPr>
        <w:t>ACTEW’s</w:t>
      </w:r>
      <w:r>
        <w:rPr>
          <w:spacing w:val="-1"/>
        </w:rPr>
        <w:t xml:space="preserve"> overall</w:t>
      </w:r>
      <w:r>
        <w:t xml:space="preserve"> financial</w:t>
      </w:r>
      <w:r>
        <w:rPr>
          <w:spacing w:val="-1"/>
        </w:rPr>
        <w:t xml:space="preserve"> </w:t>
      </w:r>
      <w:r>
        <w:t>performance,</w:t>
      </w:r>
      <w:r>
        <w:rPr>
          <w:spacing w:val="-6"/>
        </w:rPr>
        <w:t xml:space="preserve"> </w:t>
      </w:r>
      <w:r>
        <w:t>the</w:t>
      </w:r>
      <w:r>
        <w:rPr>
          <w:spacing w:val="-1"/>
        </w:rPr>
        <w:t xml:space="preserve"> relative</w:t>
      </w:r>
      <w:r>
        <w:t xml:space="preserve"> weight</w:t>
      </w:r>
      <w:r>
        <w:rPr>
          <w:spacing w:val="-1"/>
        </w:rPr>
        <w:t xml:space="preserve"> </w:t>
      </w:r>
      <w:r>
        <w:t>put on</w:t>
      </w:r>
      <w:r>
        <w:rPr>
          <w:spacing w:val="-1"/>
        </w:rPr>
        <w:t xml:space="preserve"> </w:t>
      </w:r>
      <w:r>
        <w:t xml:space="preserve">the </w:t>
      </w:r>
      <w:r>
        <w:rPr>
          <w:spacing w:val="-1"/>
        </w:rPr>
        <w:t xml:space="preserve">measures </w:t>
      </w:r>
      <w:r>
        <w:t>by</w:t>
      </w:r>
      <w:r>
        <w:rPr>
          <w:spacing w:val="27"/>
        </w:rPr>
        <w:t xml:space="preserve"> </w:t>
      </w:r>
      <w:r>
        <w:t>other</w:t>
      </w:r>
      <w:r>
        <w:rPr>
          <w:spacing w:val="-1"/>
        </w:rPr>
        <w:t xml:space="preserve"> regulators </w:t>
      </w:r>
      <w:r>
        <w:t>and</w:t>
      </w:r>
      <w:r>
        <w:rPr>
          <w:spacing w:val="-1"/>
        </w:rPr>
        <w:t xml:space="preserve"> </w:t>
      </w:r>
      <w:r>
        <w:t>financial</w:t>
      </w:r>
      <w:r>
        <w:rPr>
          <w:spacing w:val="-1"/>
        </w:rPr>
        <w:t xml:space="preserve"> </w:t>
      </w:r>
      <w:r>
        <w:t>institutions,</w:t>
      </w:r>
      <w:r>
        <w:rPr>
          <w:spacing w:val="-8"/>
        </w:rPr>
        <w:t xml:space="preserve"> </w:t>
      </w:r>
      <w:r>
        <w:t>and</w:t>
      </w:r>
      <w:r>
        <w:rPr>
          <w:spacing w:val="-5"/>
        </w:rPr>
        <w:t xml:space="preserve"> </w:t>
      </w:r>
      <w:r>
        <w:rPr>
          <w:spacing w:val="-2"/>
        </w:rPr>
        <w:t>ACTEW’s</w:t>
      </w:r>
      <w:r>
        <w:rPr>
          <w:spacing w:val="-1"/>
        </w:rPr>
        <w:t xml:space="preserve"> </w:t>
      </w:r>
      <w:r>
        <w:t>debt</w:t>
      </w:r>
      <w:r>
        <w:rPr>
          <w:spacing w:val="-1"/>
        </w:rPr>
        <w:t xml:space="preserve"> headroom,</w:t>
      </w:r>
      <w:r>
        <w:rPr>
          <w:spacing w:val="-7"/>
        </w:rPr>
        <w:t xml:space="preserve"> </w:t>
      </w:r>
      <w:r>
        <w:t>the</w:t>
      </w:r>
      <w:r>
        <w:rPr>
          <w:spacing w:val="-1"/>
        </w:rPr>
        <w:t xml:space="preserve"> </w:t>
      </w:r>
      <w:r>
        <w:rPr>
          <w:spacing w:val="-3"/>
        </w:rPr>
        <w:t>Panel</w:t>
      </w:r>
      <w:r>
        <w:rPr>
          <w:spacing w:val="-1"/>
        </w:rPr>
        <w:t xml:space="preserve"> </w:t>
      </w:r>
      <w:r>
        <w:t>is</w:t>
      </w:r>
      <w:r>
        <w:rPr>
          <w:spacing w:val="-1"/>
        </w:rPr>
        <w:t xml:space="preserve"> satisfied that </w:t>
      </w:r>
      <w:r>
        <w:t>the</w:t>
      </w:r>
      <w:r>
        <w:rPr>
          <w:spacing w:val="41"/>
        </w:rPr>
        <w:t xml:space="preserve"> </w:t>
      </w:r>
      <w:r>
        <w:rPr>
          <w:spacing w:val="-1"/>
        </w:rPr>
        <w:t xml:space="preserve">charges </w:t>
      </w:r>
      <w:r>
        <w:t>set</w:t>
      </w:r>
      <w:r>
        <w:rPr>
          <w:spacing w:val="-1"/>
        </w:rPr>
        <w:t xml:space="preserve"> </w:t>
      </w:r>
      <w:r>
        <w:t>out in</w:t>
      </w:r>
      <w:r>
        <w:rPr>
          <w:spacing w:val="-1"/>
        </w:rPr>
        <w:t xml:space="preserve"> </w:t>
      </w:r>
      <w:r>
        <w:t>Chapter 14</w:t>
      </w:r>
      <w:r>
        <w:rPr>
          <w:spacing w:val="-1"/>
        </w:rPr>
        <w:t xml:space="preserve"> </w:t>
      </w:r>
      <w:r>
        <w:rPr>
          <w:spacing w:val="-2"/>
        </w:rPr>
        <w:t>are</w:t>
      </w:r>
      <w:r>
        <w:t xml:space="preserve"> consistent</w:t>
      </w:r>
      <w:r>
        <w:rPr>
          <w:spacing w:val="-1"/>
        </w:rPr>
        <w:t xml:space="preserve"> </w:t>
      </w:r>
      <w:r>
        <w:t>with</w:t>
      </w:r>
      <w:r>
        <w:rPr>
          <w:spacing w:val="-5"/>
        </w:rPr>
        <w:t xml:space="preserve"> </w:t>
      </w:r>
      <w:r>
        <w:rPr>
          <w:spacing w:val="-2"/>
        </w:rPr>
        <w:t>ACTEW</w:t>
      </w:r>
      <w:r>
        <w:rPr>
          <w:spacing w:val="-3"/>
        </w:rPr>
        <w:t xml:space="preserve"> </w:t>
      </w:r>
      <w:r>
        <w:rPr>
          <w:spacing w:val="-1"/>
        </w:rPr>
        <w:t xml:space="preserve">remaining </w:t>
      </w:r>
      <w:r>
        <w:t>financially viable</w:t>
      </w:r>
      <w:r>
        <w:rPr>
          <w:spacing w:val="-1"/>
        </w:rPr>
        <w:t xml:space="preserve"> </w:t>
      </w:r>
      <w:r>
        <w:t>and being</w:t>
      </w:r>
      <w:r>
        <w:rPr>
          <w:spacing w:val="-1"/>
        </w:rPr>
        <w:t xml:space="preserve"> </w:t>
      </w:r>
      <w:r>
        <w:t>able</w:t>
      </w:r>
      <w:r>
        <w:rPr>
          <w:spacing w:val="-1"/>
        </w:rPr>
        <w:t xml:space="preserve"> </w:t>
      </w:r>
      <w:r>
        <w:t>to</w:t>
      </w:r>
      <w:r>
        <w:rPr>
          <w:spacing w:val="29"/>
        </w:rPr>
        <w:t xml:space="preserve"> </w:t>
      </w:r>
      <w:r>
        <w:t xml:space="preserve">continue to </w:t>
      </w:r>
      <w:r>
        <w:rPr>
          <w:spacing w:val="-1"/>
        </w:rPr>
        <w:t>operate,</w:t>
      </w:r>
      <w:r>
        <w:rPr>
          <w:spacing w:val="-6"/>
        </w:rPr>
        <w:t xml:space="preserve"> </w:t>
      </w:r>
      <w:r>
        <w:t>maintain,</w:t>
      </w:r>
      <w:r>
        <w:rPr>
          <w:spacing w:val="-6"/>
        </w:rPr>
        <w:t xml:space="preserve"> </w:t>
      </w:r>
      <w:r>
        <w:rPr>
          <w:spacing w:val="-1"/>
        </w:rPr>
        <w:t>renew</w:t>
      </w:r>
      <w:r>
        <w:t xml:space="preserve"> and develop the assets </w:t>
      </w:r>
      <w:r>
        <w:rPr>
          <w:spacing w:val="-1"/>
        </w:rPr>
        <w:t>required</w:t>
      </w:r>
      <w:r>
        <w:t xml:space="preserve"> to deliver services.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3"/>
        <w:rPr>
          <w:rFonts w:ascii="Avenir Next" w:eastAsia="Avenir Next" w:hAnsi="Avenir Next" w:cs="Avenir Next"/>
          <w:sz w:val="16"/>
          <w:szCs w:val="1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778" style="width:72.5pt;height:.5pt;mso-position-horizontal-relative:char;mso-position-vertical-relative:line" coordsize="1450,10">
            <v:group id="_x0000_s1779" style="position:absolute;left:5;top:5;width:1440;height:2" coordorigin="5,5" coordsize="1440,2">
              <v:shape id="_x0000_s1780" style="position:absolute;left:5;top:5;width:1440;height:2" coordorigin="5,5" coordsize="1440,0" path="m5,5r1440,e" filled="f" strokeweight=".5pt">
                <v:path arrowok="t"/>
              </v:shape>
            </v:group>
            <w10:wrap type="none"/>
            <w10:anchorlock/>
          </v:group>
        </w:pict>
      </w:r>
    </w:p>
    <w:p w:rsidR="00D96B91" w:rsidRDefault="00C2656B">
      <w:pPr>
        <w:numPr>
          <w:ilvl w:val="0"/>
          <w:numId w:val="31"/>
        </w:numPr>
        <w:tabs>
          <w:tab w:val="left" w:pos="1758"/>
        </w:tabs>
        <w:spacing w:before="38"/>
        <w:ind w:hanging="510"/>
        <w:jc w:val="both"/>
        <w:rPr>
          <w:rFonts w:ascii="Avenir Next" w:eastAsia="Avenir Next" w:hAnsi="Avenir Next" w:cs="Avenir Next"/>
          <w:sz w:val="16"/>
          <w:szCs w:val="16"/>
        </w:rPr>
      </w:pPr>
      <w:r>
        <w:rPr>
          <w:rFonts w:ascii="Avenir Next"/>
          <w:sz w:val="16"/>
        </w:rPr>
        <w:t>ibid,</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12.</w:t>
      </w:r>
    </w:p>
    <w:p w:rsidR="00D96B91" w:rsidRDefault="00C2656B">
      <w:pPr>
        <w:numPr>
          <w:ilvl w:val="0"/>
          <w:numId w:val="31"/>
        </w:numPr>
        <w:tabs>
          <w:tab w:val="left" w:pos="1758"/>
        </w:tabs>
        <w:spacing w:before="121"/>
        <w:ind w:hanging="510"/>
        <w:jc w:val="both"/>
        <w:rPr>
          <w:rFonts w:ascii="Avenir Next" w:eastAsia="Avenir Next" w:hAnsi="Avenir Next" w:cs="Avenir Next"/>
          <w:sz w:val="16"/>
          <w:szCs w:val="16"/>
        </w:rPr>
      </w:pPr>
      <w:r>
        <w:rPr>
          <w:rFonts w:ascii="Avenir Next"/>
          <w:spacing w:val="-5"/>
          <w:sz w:val="16"/>
        </w:rPr>
        <w:t xml:space="preserve">IPART, </w:t>
      </w:r>
      <w:r>
        <w:rPr>
          <w:rFonts w:ascii="Avenir Next"/>
          <w:spacing w:val="-1"/>
          <w:sz w:val="16"/>
        </w:rPr>
        <w:t>Financeability</w:t>
      </w:r>
      <w:r>
        <w:rPr>
          <w:rFonts w:ascii="Avenir Next"/>
          <w:sz w:val="16"/>
        </w:rPr>
        <w:t xml:space="preserve"> tests in price </w:t>
      </w:r>
      <w:r>
        <w:rPr>
          <w:rFonts w:ascii="Avenir Next"/>
          <w:spacing w:val="-1"/>
          <w:sz w:val="16"/>
        </w:rPr>
        <w:t>regulation,</w:t>
      </w:r>
      <w:r>
        <w:rPr>
          <w:rFonts w:ascii="Avenir Next"/>
          <w:spacing w:val="-5"/>
          <w:sz w:val="16"/>
        </w:rPr>
        <w:t xml:space="preserve"> </w:t>
      </w:r>
      <w:r>
        <w:rPr>
          <w:rFonts w:ascii="Avenir Next"/>
          <w:spacing w:val="-1"/>
          <w:sz w:val="16"/>
        </w:rPr>
        <w:t>Research</w:t>
      </w:r>
      <w:r>
        <w:rPr>
          <w:rFonts w:ascii="Avenir Next"/>
          <w:sz w:val="16"/>
        </w:rPr>
        <w:t xml:space="preserve"> - </w:t>
      </w:r>
      <w:r>
        <w:rPr>
          <w:rFonts w:ascii="Avenir Next"/>
          <w:spacing w:val="-1"/>
          <w:sz w:val="16"/>
        </w:rPr>
        <w:t>Final</w:t>
      </w:r>
      <w:r>
        <w:rPr>
          <w:rFonts w:ascii="Avenir Next"/>
          <w:sz w:val="16"/>
        </w:rPr>
        <w:t xml:space="preserve"> Decision,</w:t>
      </w:r>
      <w:r>
        <w:rPr>
          <w:rFonts w:ascii="Avenir Next"/>
          <w:spacing w:val="-5"/>
          <w:sz w:val="16"/>
        </w:rPr>
        <w:t xml:space="preserve"> </w:t>
      </w:r>
      <w:r>
        <w:rPr>
          <w:rFonts w:ascii="Avenir Next"/>
          <w:sz w:val="16"/>
        </w:rPr>
        <w:t>December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11.</w:t>
      </w:r>
    </w:p>
    <w:p w:rsidR="00D96B91" w:rsidRDefault="00D96B91">
      <w:pPr>
        <w:jc w:val="both"/>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tabs>
          <w:tab w:val="left" w:pos="3628"/>
        </w:tabs>
        <w:spacing w:before="18" w:line="210" w:lineRule="auto"/>
        <w:ind w:left="3628" w:right="1896" w:hanging="2382"/>
        <w:rPr>
          <w:rFonts w:ascii="Avenir Next Medium" w:eastAsia="Avenir Next Medium" w:hAnsi="Avenir Next Medium" w:cs="Avenir Next Medium"/>
          <w:sz w:val="40"/>
          <w:szCs w:val="40"/>
        </w:rPr>
      </w:pPr>
      <w:bookmarkStart w:id="223" w:name="Appendix_1_Compliance_with_section_20(2)"/>
      <w:bookmarkStart w:id="224" w:name="_bookmark145"/>
      <w:bookmarkEnd w:id="223"/>
      <w:bookmarkEnd w:id="224"/>
      <w:r>
        <w:rPr>
          <w:rFonts w:ascii="Avenir Next Medium"/>
          <w:color w:val="0778BE"/>
          <w:sz w:val="40"/>
        </w:rPr>
        <w:t>Appendix 1</w:t>
      </w:r>
      <w:r>
        <w:rPr>
          <w:rFonts w:ascii="Avenir Next Medium"/>
          <w:color w:val="0778BE"/>
          <w:sz w:val="40"/>
        </w:rPr>
        <w:tab/>
      </w:r>
      <w:r>
        <w:rPr>
          <w:rFonts w:ascii="Avenir Next Medium"/>
          <w:color w:val="0778BE"/>
          <w:spacing w:val="-1"/>
          <w:sz w:val="40"/>
        </w:rPr>
        <w:t>Compliance</w:t>
      </w:r>
      <w:r>
        <w:rPr>
          <w:rFonts w:ascii="Avenir Next Medium"/>
          <w:color w:val="0778BE"/>
          <w:sz w:val="40"/>
        </w:rPr>
        <w:t xml:space="preserve"> with section 20(2) and</w:t>
      </w:r>
      <w:r>
        <w:rPr>
          <w:rFonts w:ascii="Avenir Next Medium"/>
          <w:color w:val="0778BE"/>
          <w:spacing w:val="25"/>
          <w:sz w:val="40"/>
        </w:rPr>
        <w:t xml:space="preserve"> </w:t>
      </w:r>
      <w:r>
        <w:rPr>
          <w:rFonts w:ascii="Avenir Next Medium"/>
          <w:color w:val="0778BE"/>
          <w:sz w:val="40"/>
        </w:rPr>
        <w:t>the terms of</w:t>
      </w:r>
      <w:r>
        <w:rPr>
          <w:rFonts w:ascii="Avenir Next Medium"/>
          <w:color w:val="0778BE"/>
          <w:spacing w:val="9"/>
          <w:sz w:val="40"/>
        </w:rPr>
        <w:t xml:space="preserve"> </w:t>
      </w:r>
      <w:r>
        <w:rPr>
          <w:rFonts w:ascii="Avenir Next Medium"/>
          <w:color w:val="0778BE"/>
          <w:spacing w:val="-2"/>
          <w:sz w:val="40"/>
        </w:rPr>
        <w:t>reference</w:t>
      </w:r>
    </w:p>
    <w:p w:rsidR="00D96B91" w:rsidRDefault="00D96B91">
      <w:pPr>
        <w:spacing w:before="8"/>
        <w:rPr>
          <w:rFonts w:ascii="Avenir Next Medium" w:eastAsia="Avenir Next Medium" w:hAnsi="Avenir Next Medium" w:cs="Avenir Next Medium"/>
          <w:sz w:val="27"/>
          <w:szCs w:val="27"/>
        </w:rPr>
      </w:pPr>
    </w:p>
    <w:p w:rsidR="00D96B91" w:rsidRDefault="00C2656B">
      <w:pPr>
        <w:pStyle w:val="BodyText"/>
        <w:spacing w:line="260" w:lineRule="exact"/>
        <w:ind w:right="1548"/>
      </w:pPr>
      <w:r>
        <w:rPr>
          <w:spacing w:val="-2"/>
        </w:rPr>
        <w:t>The</w:t>
      </w:r>
      <w:r>
        <w:t xml:space="preserve"> table below </w:t>
      </w:r>
      <w:r>
        <w:rPr>
          <w:spacing w:val="-1"/>
        </w:rPr>
        <w:t>provides</w:t>
      </w:r>
      <w:r>
        <w:t xml:space="preserve"> an overview of</w:t>
      </w:r>
      <w:r>
        <w:rPr>
          <w:spacing w:val="4"/>
        </w:rPr>
        <w:t xml:space="preserve"> </w:t>
      </w:r>
      <w:r>
        <w:rPr>
          <w:spacing w:val="-1"/>
        </w:rPr>
        <w:t>where</w:t>
      </w:r>
      <w:r>
        <w:t xml:space="preserve"> in the </w:t>
      </w:r>
      <w:r>
        <w:rPr>
          <w:spacing w:val="-2"/>
        </w:rPr>
        <w:t>draft</w:t>
      </w:r>
      <w:r>
        <w:t xml:space="preserve"> </w:t>
      </w:r>
      <w:r>
        <w:rPr>
          <w:spacing w:val="-1"/>
        </w:rPr>
        <w:t>report,</w:t>
      </w:r>
      <w:r>
        <w:rPr>
          <w:spacing w:val="-6"/>
        </w:rPr>
        <w:t xml:space="preserve"> </w:t>
      </w:r>
      <w:r>
        <w:t xml:space="preserve">and </w:t>
      </w:r>
      <w:r>
        <w:rPr>
          <w:spacing w:val="-2"/>
        </w:rPr>
        <w:t>how,</w:t>
      </w:r>
      <w:r>
        <w:rPr>
          <w:spacing w:val="-6"/>
        </w:rPr>
        <w:t xml:space="preserve"> </w:t>
      </w:r>
      <w:r>
        <w:t xml:space="preserve">the </w:t>
      </w:r>
      <w:r>
        <w:rPr>
          <w:spacing w:val="-3"/>
        </w:rPr>
        <w:t>Panel</w:t>
      </w:r>
      <w:r>
        <w:t xml:space="preserve"> has </w:t>
      </w:r>
      <w:r>
        <w:rPr>
          <w:spacing w:val="-1"/>
        </w:rPr>
        <w:t>taken</w:t>
      </w:r>
      <w:r>
        <w:t xml:space="preserve"> into</w:t>
      </w:r>
      <w:r>
        <w:rPr>
          <w:spacing w:val="31"/>
        </w:rPr>
        <w:t xml:space="preserve"> </w:t>
      </w:r>
      <w:r>
        <w:t xml:space="preserve">account the </w:t>
      </w:r>
      <w:r>
        <w:rPr>
          <w:spacing w:val="-1"/>
        </w:rPr>
        <w:t>matters</w:t>
      </w:r>
      <w:r>
        <w:t xml:space="preserve"> set out in Section 20(2) and the terms of</w:t>
      </w:r>
      <w:r>
        <w:rPr>
          <w:spacing w:val="4"/>
        </w:rPr>
        <w:t xml:space="preserve"> </w:t>
      </w:r>
      <w:r>
        <w:rPr>
          <w:spacing w:val="-1"/>
        </w:rPr>
        <w:t>reference.</w:t>
      </w:r>
    </w:p>
    <w:p w:rsidR="00D96B91" w:rsidRDefault="00C2656B">
      <w:pPr>
        <w:spacing w:before="158"/>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A1.1: </w:t>
      </w:r>
      <w:r>
        <w:rPr>
          <w:rFonts w:ascii="Avenir Next"/>
          <w:b/>
          <w:spacing w:val="-1"/>
          <w:sz w:val="20"/>
        </w:rPr>
        <w:t>Compliance</w:t>
      </w:r>
      <w:r>
        <w:rPr>
          <w:rFonts w:ascii="Avenir Next"/>
          <w:b/>
          <w:sz w:val="20"/>
        </w:rPr>
        <w:t xml:space="preserve"> with Section 20(2) and the terms of</w:t>
      </w:r>
      <w:r>
        <w:rPr>
          <w:rFonts w:ascii="Avenir Next"/>
          <w:b/>
          <w:spacing w:val="4"/>
          <w:sz w:val="20"/>
        </w:rPr>
        <w:t xml:space="preserve"> </w:t>
      </w:r>
      <w:r>
        <w:rPr>
          <w:rFonts w:ascii="Avenir Next"/>
          <w:b/>
          <w:spacing w:val="-1"/>
          <w:sz w:val="20"/>
        </w:rPr>
        <w:t>reference</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518"/>
        <w:gridCol w:w="1023"/>
        <w:gridCol w:w="5860"/>
      </w:tblGrid>
      <w:tr w:rsidR="00D96B91">
        <w:trPr>
          <w:trHeight w:hRule="exact" w:val="627"/>
        </w:trPr>
        <w:tc>
          <w:tcPr>
            <w:tcW w:w="25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z w:val="18"/>
              </w:rPr>
              <w:t>Section 20(2)</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86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1067"/>
        </w:trPr>
        <w:tc>
          <w:tcPr>
            <w:tcW w:w="2518"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2" w:line="220" w:lineRule="exact"/>
              <w:ind w:left="391" w:right="220" w:hanging="284"/>
              <w:rPr>
                <w:rFonts w:ascii="Avenir Next Condensed" w:eastAsia="Avenir Next Condensed" w:hAnsi="Avenir Next Condensed" w:cs="Avenir Next Condensed"/>
                <w:sz w:val="18"/>
                <w:szCs w:val="18"/>
              </w:rPr>
            </w:pPr>
            <w:r>
              <w:rPr>
                <w:rFonts w:ascii="Avenir Next Condensed"/>
                <w:b/>
                <w:sz w:val="18"/>
              </w:rPr>
              <w:t xml:space="preserve">(g) </w:t>
            </w:r>
            <w:r>
              <w:rPr>
                <w:rFonts w:ascii="Avenir Next Condensed"/>
                <w:b/>
                <w:spacing w:val="27"/>
                <w:sz w:val="18"/>
              </w:rPr>
              <w:t xml:space="preserve"> </w:t>
            </w:r>
            <w:r>
              <w:rPr>
                <w:rFonts w:ascii="Avenir Next Condensed"/>
                <w:b/>
                <w:sz w:val="18"/>
              </w:rPr>
              <w:t xml:space="preserve">the </w:t>
            </w:r>
            <w:r>
              <w:rPr>
                <w:rFonts w:ascii="Avenir Next Condensed"/>
                <w:b/>
                <w:spacing w:val="-1"/>
                <w:sz w:val="18"/>
              </w:rPr>
              <w:t>protection</w:t>
            </w:r>
            <w:r>
              <w:rPr>
                <w:rFonts w:ascii="Avenir Next Condensed"/>
                <w:b/>
                <w:sz w:val="18"/>
              </w:rPr>
              <w:t xml:space="preserve"> of</w:t>
            </w:r>
            <w:r>
              <w:rPr>
                <w:rFonts w:ascii="Avenir Next Condensed"/>
                <w:b/>
                <w:spacing w:val="4"/>
                <w:sz w:val="18"/>
              </w:rPr>
              <w:t xml:space="preserve"> </w:t>
            </w:r>
            <w:r>
              <w:rPr>
                <w:rFonts w:ascii="Avenir Next Condensed"/>
                <w:b/>
                <w:sz w:val="18"/>
              </w:rPr>
              <w:t>consumers</w:t>
            </w:r>
            <w:r>
              <w:rPr>
                <w:rFonts w:ascii="Avenir Next Condensed"/>
                <w:b/>
                <w:spacing w:val="28"/>
                <w:sz w:val="18"/>
              </w:rPr>
              <w:t xml:space="preserve"> </w:t>
            </w:r>
            <w:r>
              <w:rPr>
                <w:rFonts w:ascii="Avenir Next Condensed"/>
                <w:b/>
                <w:spacing w:val="-1"/>
                <w:sz w:val="18"/>
              </w:rPr>
              <w:t>from</w:t>
            </w:r>
            <w:r>
              <w:rPr>
                <w:rFonts w:ascii="Avenir Next Condensed"/>
                <w:b/>
                <w:sz w:val="18"/>
              </w:rPr>
              <w:t xml:space="preserve"> abuses of</w:t>
            </w:r>
            <w:r>
              <w:rPr>
                <w:rFonts w:ascii="Avenir Next Condensed"/>
                <w:b/>
                <w:spacing w:val="4"/>
                <w:sz w:val="18"/>
              </w:rPr>
              <w:t xml:space="preserve"> </w:t>
            </w:r>
            <w:r>
              <w:rPr>
                <w:rFonts w:ascii="Avenir Next Condensed"/>
                <w:b/>
                <w:sz w:val="18"/>
              </w:rPr>
              <w:t>monopoly</w:t>
            </w:r>
            <w:r>
              <w:rPr>
                <w:rFonts w:ascii="Avenir Next Condensed"/>
                <w:b/>
                <w:spacing w:val="22"/>
                <w:sz w:val="18"/>
              </w:rPr>
              <w:t xml:space="preserve"> </w:t>
            </w:r>
            <w:r>
              <w:rPr>
                <w:rFonts w:ascii="Avenir Next Condensed"/>
                <w:b/>
                <w:sz w:val="18"/>
              </w:rPr>
              <w:t>power in terms of</w:t>
            </w:r>
            <w:r>
              <w:rPr>
                <w:rFonts w:ascii="Avenir Next Condensed"/>
                <w:b/>
                <w:spacing w:val="4"/>
                <w:sz w:val="18"/>
              </w:rPr>
              <w:t xml:space="preserve"> </w:t>
            </w:r>
            <w:r>
              <w:rPr>
                <w:rFonts w:ascii="Avenir Next Condensed"/>
                <w:b/>
                <w:sz w:val="18"/>
              </w:rPr>
              <w:t xml:space="preserve">prices, pricing policies (including policies </w:t>
            </w:r>
            <w:r>
              <w:rPr>
                <w:rFonts w:ascii="Avenir Next Condensed"/>
                <w:b/>
                <w:spacing w:val="-1"/>
                <w:sz w:val="18"/>
              </w:rPr>
              <w:t>relating</w:t>
            </w:r>
            <w:r>
              <w:rPr>
                <w:rFonts w:ascii="Avenir Next Condensed"/>
                <w:b/>
                <w:sz w:val="18"/>
              </w:rPr>
              <w:t xml:space="preserve"> to the level</w:t>
            </w:r>
            <w:r>
              <w:rPr>
                <w:rFonts w:ascii="Avenir Next Condensed"/>
                <w:b/>
                <w:spacing w:val="26"/>
                <w:sz w:val="18"/>
              </w:rPr>
              <w:t xml:space="preserve"> </w:t>
            </w:r>
            <w:r>
              <w:rPr>
                <w:rFonts w:ascii="Avenir Next Condensed"/>
                <w:b/>
                <w:sz w:val="18"/>
              </w:rPr>
              <w:t xml:space="preserve">or </w:t>
            </w:r>
            <w:r>
              <w:rPr>
                <w:rFonts w:ascii="Avenir Next Condensed"/>
                <w:b/>
                <w:spacing w:val="-1"/>
                <w:sz w:val="18"/>
              </w:rPr>
              <w:t>structure</w:t>
            </w:r>
            <w:r>
              <w:rPr>
                <w:rFonts w:ascii="Avenir Next Condensed"/>
                <w:b/>
                <w:sz w:val="18"/>
              </w:rPr>
              <w:t xml:space="preserve"> of</w:t>
            </w:r>
            <w:r>
              <w:rPr>
                <w:rFonts w:ascii="Avenir Next Condensed"/>
                <w:b/>
                <w:spacing w:val="4"/>
                <w:sz w:val="18"/>
              </w:rPr>
              <w:t xml:space="preserve"> </w:t>
            </w:r>
            <w:r>
              <w:rPr>
                <w:rFonts w:ascii="Avenir Next Condensed"/>
                <w:b/>
                <w:sz w:val="18"/>
              </w:rPr>
              <w:t>prices for</w:t>
            </w:r>
            <w:r>
              <w:rPr>
                <w:rFonts w:ascii="Avenir Next Condensed"/>
                <w:b/>
                <w:spacing w:val="27"/>
                <w:sz w:val="18"/>
              </w:rPr>
              <w:t xml:space="preserve"> </w:t>
            </w:r>
            <w:r>
              <w:rPr>
                <w:rFonts w:ascii="Avenir Next Condensed"/>
                <w:b/>
                <w:sz w:val="18"/>
              </w:rPr>
              <w:t xml:space="preserve">services) and </w:t>
            </w:r>
            <w:r>
              <w:rPr>
                <w:rFonts w:ascii="Avenir Next Condensed"/>
                <w:b/>
                <w:spacing w:val="-1"/>
                <w:sz w:val="18"/>
              </w:rPr>
              <w:t>standard</w:t>
            </w:r>
            <w:r>
              <w:rPr>
                <w:rFonts w:ascii="Avenir Next Condensed"/>
                <w:b/>
                <w:sz w:val="18"/>
              </w:rPr>
              <w:t xml:space="preserve"> of</w:t>
            </w:r>
            <w:r>
              <w:rPr>
                <w:rFonts w:ascii="Avenir Next Condensed"/>
                <w:b/>
                <w:spacing w:val="26"/>
                <w:sz w:val="18"/>
              </w:rPr>
              <w:t xml:space="preserve"> </w:t>
            </w:r>
            <w:r>
              <w:rPr>
                <w:rFonts w:ascii="Avenir Next Condensed"/>
                <w:b/>
                <w:spacing w:val="-1"/>
                <w:sz w:val="18"/>
              </w:rPr>
              <w:t>regulated</w:t>
            </w:r>
            <w:r>
              <w:rPr>
                <w:rFonts w:ascii="Avenir Next Condensed"/>
                <w:b/>
                <w:sz w:val="18"/>
              </w:rPr>
              <w:t xml:space="preserve"> services</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7</w:t>
            </w:r>
          </w:p>
        </w:tc>
        <w:tc>
          <w:tcPr>
            <w:tcW w:w="58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6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method to be used to determine prices,</w:t>
            </w:r>
            <w:r>
              <w:rPr>
                <w:rFonts w:ascii="Avenir Next Condensed"/>
                <w:spacing w:val="-6"/>
                <w:sz w:val="18"/>
              </w:rPr>
              <w:t xml:space="preserve"> </w:t>
            </w:r>
            <w:r>
              <w:rPr>
                <w:rFonts w:ascii="Avenir Next Condensed"/>
                <w:sz w:val="18"/>
              </w:rPr>
              <w:t>use of</w:t>
            </w:r>
            <w:r>
              <w:rPr>
                <w:rFonts w:ascii="Avenir Next Condensed"/>
                <w:spacing w:val="4"/>
                <w:sz w:val="18"/>
              </w:rPr>
              <w:t xml:space="preserve"> </w:t>
            </w:r>
            <w:r>
              <w:rPr>
                <w:rFonts w:ascii="Avenir Next Condensed"/>
                <w:sz w:val="18"/>
              </w:rPr>
              <w:t>the</w:t>
            </w:r>
            <w:r>
              <w:rPr>
                <w:rFonts w:ascii="Avenir Next Condensed"/>
                <w:spacing w:val="35"/>
                <w:sz w:val="18"/>
              </w:rPr>
              <w:t xml:space="preserve"> </w:t>
            </w:r>
            <w:r>
              <w:rPr>
                <w:rFonts w:ascii="Avenir Next Condensed"/>
                <w:sz w:val="18"/>
              </w:rPr>
              <w:t xml:space="preserve">building block methodology and similar principles to other </w:t>
            </w:r>
            <w:r>
              <w:rPr>
                <w:rFonts w:ascii="Avenir Next Condensed"/>
                <w:spacing w:val="-1"/>
                <w:sz w:val="18"/>
              </w:rPr>
              <w:t>regulators,</w:t>
            </w:r>
            <w:r>
              <w:rPr>
                <w:rFonts w:ascii="Avenir Next Condensed"/>
                <w:spacing w:val="-6"/>
                <w:sz w:val="18"/>
              </w:rPr>
              <w:t xml:space="preserve"> </w:t>
            </w:r>
            <w:r>
              <w:rPr>
                <w:rFonts w:ascii="Avenir Next Condensed"/>
                <w:sz w:val="18"/>
              </w:rPr>
              <w:t xml:space="preserve">which in </w:t>
            </w:r>
            <w:r>
              <w:rPr>
                <w:rFonts w:ascii="Avenir Next Condensed"/>
                <w:spacing w:val="-1"/>
                <w:sz w:val="18"/>
              </w:rPr>
              <w:t>broad</w:t>
            </w:r>
            <w:r>
              <w:rPr>
                <w:rFonts w:ascii="Avenir Next Condensed"/>
                <w:spacing w:val="25"/>
                <w:sz w:val="18"/>
              </w:rPr>
              <w:t xml:space="preserve"> </w:t>
            </w:r>
            <w:r>
              <w:rPr>
                <w:rFonts w:ascii="Avenir Next Condensed"/>
                <w:sz w:val="18"/>
              </w:rPr>
              <w:t xml:space="preserve">terms </w:t>
            </w:r>
            <w:r>
              <w:rPr>
                <w:rFonts w:ascii="Avenir Next Condensed"/>
                <w:spacing w:val="-1"/>
                <w:sz w:val="18"/>
              </w:rPr>
              <w:t>are</w:t>
            </w:r>
            <w:r>
              <w:rPr>
                <w:rFonts w:ascii="Avenir Next Condensed"/>
                <w:sz w:val="18"/>
              </w:rPr>
              <w:t xml:space="preserve"> designed to mimic the price and service outcomes </w:t>
            </w:r>
            <w:r>
              <w:rPr>
                <w:rFonts w:ascii="Avenir Next Condensed"/>
                <w:spacing w:val="-1"/>
                <w:sz w:val="18"/>
              </w:rPr>
              <w:t>expected</w:t>
            </w:r>
            <w:r>
              <w:rPr>
                <w:rFonts w:ascii="Avenir Next Condensed"/>
                <w:sz w:val="18"/>
              </w:rPr>
              <w:t xml:space="preserve"> in a </w:t>
            </w:r>
            <w:r>
              <w:rPr>
                <w:rFonts w:ascii="Avenir Next Condensed"/>
                <w:spacing w:val="-1"/>
                <w:sz w:val="18"/>
              </w:rPr>
              <w:t>workably</w:t>
            </w:r>
            <w:r>
              <w:rPr>
                <w:rFonts w:ascii="Avenir Next Condensed"/>
                <w:spacing w:val="27"/>
                <w:sz w:val="18"/>
              </w:rPr>
              <w:t xml:space="preserve"> </w:t>
            </w:r>
            <w:r>
              <w:rPr>
                <w:rFonts w:ascii="Avenir Next Condensed"/>
                <w:sz w:val="18"/>
              </w:rPr>
              <w:t xml:space="preserve">competitive </w:t>
            </w:r>
            <w:r>
              <w:rPr>
                <w:rFonts w:ascii="Avenir Next Condensed"/>
                <w:spacing w:val="-1"/>
                <w:sz w:val="18"/>
              </w:rPr>
              <w:t>market.</w:t>
            </w:r>
          </w:p>
        </w:tc>
      </w:tr>
      <w:tr w:rsidR="00D96B91">
        <w:trPr>
          <w:trHeight w:hRule="exact" w:val="2180"/>
        </w:trPr>
        <w:tc>
          <w:tcPr>
            <w:tcW w:w="2518" w:type="dxa"/>
            <w:vMerge/>
            <w:tcBorders>
              <w:left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 and 10</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efficient</w:t>
            </w:r>
            <w:r>
              <w:rPr>
                <w:rFonts w:ascii="Avenir Next Condensed"/>
                <w:sz w:val="18"/>
              </w:rPr>
              <w:t xml:space="preserve"> costs of</w:t>
            </w:r>
            <w:r>
              <w:rPr>
                <w:rFonts w:ascii="Avenir Next Condensed"/>
                <w:spacing w:val="4"/>
                <w:sz w:val="18"/>
              </w:rPr>
              <w:t xml:space="preserve"> </w:t>
            </w:r>
            <w:r>
              <w:rPr>
                <w:rFonts w:ascii="Avenir Next Condensed"/>
                <w:sz w:val="18"/>
              </w:rPr>
              <w:t xml:space="preserve">service </w:t>
            </w:r>
            <w:r>
              <w:rPr>
                <w:rFonts w:ascii="Avenir Next Condensed"/>
                <w:spacing w:val="-1"/>
                <w:sz w:val="18"/>
              </w:rPr>
              <w:t>provision,</w:t>
            </w:r>
            <w:r>
              <w:rPr>
                <w:rFonts w:ascii="Avenir Next Condensed"/>
                <w:spacing w:val="-6"/>
                <w:sz w:val="18"/>
              </w:rPr>
              <w:t xml:space="preserve"> </w:t>
            </w:r>
            <w:r>
              <w:rPr>
                <w:rFonts w:ascii="Avenir Next Condensed"/>
                <w:sz w:val="18"/>
              </w:rPr>
              <w:t xml:space="preserve">including </w:t>
            </w:r>
            <w:r>
              <w:rPr>
                <w:rFonts w:ascii="Avenir Next Condensed"/>
                <w:spacing w:val="-1"/>
                <w:sz w:val="18"/>
              </w:rPr>
              <w:t>assessment</w:t>
            </w:r>
            <w:r>
              <w:rPr>
                <w:rFonts w:ascii="Avenir Next Condensed"/>
                <w:sz w:val="18"/>
              </w:rPr>
              <w:t xml:space="preserve"> of:</w:t>
            </w:r>
          </w:p>
          <w:p w:rsidR="00D96B91" w:rsidRDefault="00C2656B">
            <w:pPr>
              <w:pStyle w:val="ListParagraph"/>
              <w:numPr>
                <w:ilvl w:val="0"/>
                <w:numId w:val="29"/>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in the </w:t>
            </w:r>
            <w:r>
              <w:rPr>
                <w:rFonts w:ascii="Avenir Next Condensed"/>
                <w:spacing w:val="-1"/>
                <w:sz w:val="18"/>
              </w:rPr>
              <w:t>previous</w:t>
            </w:r>
            <w:r>
              <w:rPr>
                <w:rFonts w:ascii="Avenir Next Condensed"/>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29"/>
              </w:numPr>
              <w:tabs>
                <w:tab w:val="left" w:pos="336"/>
              </w:tabs>
              <w:spacing w:before="91" w:line="220" w:lineRule="exact"/>
              <w:ind w:right="740"/>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reasonableness</w:t>
            </w:r>
            <w:r>
              <w:rPr>
                <w:rFonts w:ascii="Avenir Next Condensed"/>
                <w:sz w:val="18"/>
              </w:rPr>
              <w:t xml:space="preserve"> and </w:t>
            </w:r>
            <w:r>
              <w:rPr>
                <w:rFonts w:ascii="Avenir Next Condensed"/>
                <w:spacing w:val="-1"/>
                <w:sz w:val="18"/>
              </w:rPr>
              <w:t>sufficiency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governance in this</w:t>
            </w:r>
            <w:r>
              <w:rPr>
                <w:rFonts w:ascii="Avenir Next Condensed"/>
                <w:spacing w:val="47"/>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29"/>
              </w:numPr>
              <w:tabs>
                <w:tab w:val="left" w:pos="336"/>
              </w:tabs>
              <w:spacing w:before="113" w:line="220" w:lineRule="exact"/>
              <w:ind w:right="514"/>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in this</w:t>
            </w:r>
            <w:r>
              <w:rPr>
                <w:rFonts w:ascii="Avenir Next Condensed"/>
                <w:spacing w:val="55"/>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trPr>
          <w:trHeight w:hRule="exact" w:val="407"/>
        </w:trPr>
        <w:tc>
          <w:tcPr>
            <w:tcW w:w="2518" w:type="dxa"/>
            <w:vMerge/>
            <w:tcBorders>
              <w:left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w:t>
            </w:r>
            <w:r>
              <w:rPr>
                <w:rFonts w:ascii="Avenir Next Condensed"/>
                <w:spacing w:val="-1"/>
                <w:sz w:val="18"/>
              </w:rPr>
              <w:t>approach</w:t>
            </w:r>
            <w:r>
              <w:rPr>
                <w:rFonts w:ascii="Avenir Next Condensed"/>
                <w:sz w:val="18"/>
              </w:rPr>
              <w:t xml:space="preserve"> for </w:t>
            </w:r>
            <w:r>
              <w:rPr>
                <w:rFonts w:ascii="Avenir Next Condensed"/>
                <w:spacing w:val="-1"/>
                <w:sz w:val="18"/>
              </w:rPr>
              <w:t>setting</w:t>
            </w:r>
            <w:r>
              <w:rPr>
                <w:rFonts w:ascii="Avenir Next Condensed"/>
                <w:sz w:val="18"/>
              </w:rPr>
              <w:t xml:space="preserve"> the </w:t>
            </w:r>
            <w:r>
              <w:rPr>
                <w:rFonts w:ascii="Avenir Next Condensed"/>
                <w:spacing w:val="-1"/>
                <w:sz w:val="18"/>
              </w:rPr>
              <w:t>rate</w:t>
            </w:r>
            <w:r>
              <w:rPr>
                <w:rFonts w:ascii="Avenir Next Condensed"/>
                <w:sz w:val="18"/>
              </w:rPr>
              <w:t xml:space="preserve"> of</w:t>
            </w:r>
            <w:r>
              <w:rPr>
                <w:rFonts w:ascii="Avenir Next Condensed"/>
                <w:spacing w:val="4"/>
                <w:sz w:val="18"/>
              </w:rPr>
              <w:t xml:space="preserve"> </w:t>
            </w:r>
            <w:r>
              <w:rPr>
                <w:rFonts w:ascii="Avenir Next Condensed"/>
                <w:spacing w:val="-1"/>
                <w:sz w:val="18"/>
              </w:rPr>
              <w:t>return</w:t>
            </w:r>
            <w:r>
              <w:rPr>
                <w:rFonts w:ascii="Avenir Next Condensed"/>
                <w:sz w:val="18"/>
              </w:rPr>
              <w:t xml:space="preserve"> on capital.</w:t>
            </w:r>
          </w:p>
        </w:tc>
      </w:tr>
      <w:tr w:rsidR="00D96B91" w:rsidTr="00C61167">
        <w:trPr>
          <w:trHeight w:hRule="exact" w:val="1262"/>
        </w:trPr>
        <w:tc>
          <w:tcPr>
            <w:tcW w:w="2518" w:type="dxa"/>
            <w:vMerge/>
            <w:tcBorders>
              <w:left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13</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7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Consideration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extent</w:t>
            </w:r>
            <w:r>
              <w:rPr>
                <w:rFonts w:ascii="Avenir Next Condensed" w:eastAsia="Avenir Next Condensed" w:hAnsi="Avenir Next Condensed" w:cs="Avenir Next Condensed"/>
                <w:sz w:val="18"/>
                <w:szCs w:val="18"/>
              </w:rPr>
              <w:t xml:space="preserve"> to which </w:t>
            </w:r>
            <w:r>
              <w:rPr>
                <w:rFonts w:ascii="Avenir Next Condensed" w:eastAsia="Avenir Next Condensed" w:hAnsi="Avenir Next Condensed" w:cs="Avenir Next Condensed"/>
                <w:spacing w:val="-1"/>
                <w:sz w:val="18"/>
                <w:szCs w:val="18"/>
              </w:rPr>
              <w:t>there</w:t>
            </w:r>
            <w:r>
              <w:rPr>
                <w:rFonts w:ascii="Avenir Next Condensed" w:eastAsia="Avenir Next Condensed" w:hAnsi="Avenir Next Condensed" w:cs="Avenir Next Condensed"/>
                <w:sz w:val="18"/>
                <w:szCs w:val="18"/>
              </w:rPr>
              <w:t xml:space="preserve"> has been an over or under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pacing w:val="53"/>
                <w:sz w:val="18"/>
                <w:szCs w:val="18"/>
              </w:rPr>
              <w:t xml:space="preserve"> </w:t>
            </w:r>
            <w:r>
              <w:rPr>
                <w:rFonts w:ascii="Avenir Next Condensed" w:eastAsia="Avenir Next Condensed" w:hAnsi="Avenir Next Condensed" w:cs="Avenir Next Condensed"/>
                <w:sz w:val="18"/>
                <w:szCs w:val="18"/>
              </w:rPr>
              <w:t xml:space="preserve">in the first two </w:t>
            </w:r>
            <w:r>
              <w:rPr>
                <w:rFonts w:ascii="Avenir Next Condensed" w:eastAsia="Avenir Next Condensed" w:hAnsi="Avenir Next Condensed" w:cs="Avenir Next Condensed"/>
                <w:spacing w:val="-1"/>
                <w:sz w:val="18"/>
                <w:szCs w:val="18"/>
              </w:rPr>
              <w:t>years</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(the ‘true-up’ adjustment) and the </w:t>
            </w:r>
            <w:r>
              <w:rPr>
                <w:rFonts w:ascii="Avenir Next Condensed" w:eastAsia="Avenir Next Condensed" w:hAnsi="Avenir Next Condensed" w:cs="Avenir Next Condensed"/>
                <w:spacing w:val="-1"/>
                <w:sz w:val="18"/>
                <w:szCs w:val="18"/>
              </w:rPr>
              <w:t>removal</w:t>
            </w:r>
            <w:r>
              <w:rPr>
                <w:rFonts w:ascii="Avenir Next Condensed" w:eastAsia="Avenir Next Condensed" w:hAnsi="Avenir Next Condensed" w:cs="Avenir Next Condensed"/>
                <w:spacing w:val="33"/>
                <w:sz w:val="18"/>
                <w:szCs w:val="18"/>
              </w:rPr>
              <w:t xml:space="preserve">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income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other </w:t>
            </w:r>
            <w:r>
              <w:rPr>
                <w:rFonts w:ascii="Avenir Next Condensed" w:eastAsia="Avenir Next Condensed" w:hAnsi="Avenir Next Condensed" w:cs="Avenir Next Condensed"/>
                <w:spacing w:val="-1"/>
                <w:sz w:val="18"/>
                <w:szCs w:val="18"/>
              </w:rPr>
              <w:t>sources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the total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to calculate the net</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to be </w:t>
            </w:r>
            <w:r>
              <w:rPr>
                <w:rFonts w:ascii="Avenir Next Condensed" w:eastAsia="Avenir Next Condensed" w:hAnsi="Avenir Next Condensed" w:cs="Avenir Next Condensed"/>
                <w:spacing w:val="-1"/>
                <w:sz w:val="18"/>
                <w:szCs w:val="18"/>
              </w:rPr>
              <w:t>recovered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charges.</w:t>
            </w:r>
          </w:p>
        </w:tc>
      </w:tr>
      <w:tr w:rsidR="00D96B91">
        <w:trPr>
          <w:trHeight w:hRule="exact" w:val="407"/>
        </w:trPr>
        <w:tc>
          <w:tcPr>
            <w:tcW w:w="2518" w:type="dxa"/>
            <w:vMerge/>
            <w:tcBorders>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15</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customer bill impact analysis.</w:t>
            </w:r>
          </w:p>
        </w:tc>
      </w:tr>
      <w:tr w:rsidR="00D96B91">
        <w:trPr>
          <w:trHeight w:hRule="exact" w:val="84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298" w:hanging="284"/>
              <w:rPr>
                <w:rFonts w:ascii="Avenir Next Condensed" w:eastAsia="Avenir Next Condensed" w:hAnsi="Avenir Next Condensed" w:cs="Avenir Next Condensed"/>
                <w:sz w:val="18"/>
                <w:szCs w:val="18"/>
              </w:rPr>
            </w:pPr>
            <w:r>
              <w:rPr>
                <w:rFonts w:ascii="Avenir Next Condensed"/>
                <w:b/>
                <w:sz w:val="18"/>
              </w:rPr>
              <w:t xml:space="preserve">(h) </w:t>
            </w:r>
            <w:r>
              <w:rPr>
                <w:rFonts w:ascii="Avenir Next Condensed"/>
                <w:b/>
                <w:spacing w:val="26"/>
                <w:sz w:val="18"/>
              </w:rPr>
              <w:t xml:space="preserve"> </w:t>
            </w:r>
            <w:r>
              <w:rPr>
                <w:rFonts w:ascii="Avenir Next Condensed"/>
                <w:b/>
                <w:spacing w:val="-1"/>
                <w:sz w:val="18"/>
              </w:rPr>
              <w:t>standards</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quality,</w:t>
            </w:r>
            <w:r>
              <w:rPr>
                <w:rFonts w:ascii="Avenir Next Condensed"/>
                <w:b/>
                <w:spacing w:val="28"/>
                <w:sz w:val="18"/>
              </w:rPr>
              <w:t xml:space="preserve"> </w:t>
            </w:r>
            <w:r>
              <w:rPr>
                <w:rFonts w:ascii="Avenir Next Condensed"/>
                <w:b/>
                <w:spacing w:val="-1"/>
                <w:sz w:val="18"/>
              </w:rPr>
              <w:t>reliability</w:t>
            </w:r>
            <w:r>
              <w:rPr>
                <w:rFonts w:ascii="Avenir Next Condensed"/>
                <w:b/>
                <w:sz w:val="18"/>
              </w:rPr>
              <w:t xml:space="preserve"> and safety of</w:t>
            </w:r>
            <w:r>
              <w:rPr>
                <w:rFonts w:ascii="Avenir Next Condensed"/>
                <w:b/>
                <w:spacing w:val="4"/>
                <w:sz w:val="18"/>
              </w:rPr>
              <w:t xml:space="preserve"> </w:t>
            </w:r>
            <w:r>
              <w:rPr>
                <w:rFonts w:ascii="Avenir Next Condensed"/>
                <w:b/>
                <w:sz w:val="18"/>
              </w:rPr>
              <w:t>the</w:t>
            </w:r>
            <w:r>
              <w:rPr>
                <w:rFonts w:ascii="Avenir Next Condensed"/>
                <w:b/>
                <w:spacing w:val="29"/>
                <w:sz w:val="18"/>
              </w:rPr>
              <w:t xml:space="preserve"> </w:t>
            </w:r>
            <w:r>
              <w:rPr>
                <w:rFonts w:ascii="Avenir Next Condensed"/>
                <w:b/>
                <w:spacing w:val="-1"/>
                <w:sz w:val="18"/>
              </w:rPr>
              <w:t>regulated</w:t>
            </w:r>
            <w:r>
              <w:rPr>
                <w:rFonts w:ascii="Avenir Next Condensed"/>
                <w:b/>
                <w:sz w:val="18"/>
              </w:rPr>
              <w:t xml:space="preserve"> services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9 and 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32"/>
              <w:rPr>
                <w:rFonts w:ascii="Avenir Next Condensed" w:eastAsia="Avenir Next Condensed" w:hAnsi="Avenir Next Condensed" w:cs="Avenir Next Condensed"/>
                <w:sz w:val="18"/>
                <w:szCs w:val="18"/>
              </w:rPr>
            </w:pPr>
            <w:r>
              <w:rPr>
                <w:rFonts w:ascii="Avenir Next Condensed"/>
                <w:spacing w:val="-1"/>
                <w:sz w:val="18"/>
              </w:rPr>
              <w:t>Assessment</w:t>
            </w:r>
            <w:r>
              <w:rPr>
                <w:rFonts w:ascii="Avenir Next Condensed"/>
                <w:sz w:val="18"/>
              </w:rPr>
              <w:t xml:space="preserve"> of</w:t>
            </w:r>
            <w:r>
              <w:rPr>
                <w:rFonts w:ascii="Avenir Next Condensed"/>
                <w:spacing w:val="4"/>
                <w:sz w:val="18"/>
              </w:rPr>
              <w:t xml:space="preserve"> </w:t>
            </w: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pacing w:val="67"/>
                <w:sz w:val="18"/>
              </w:rPr>
              <w:t xml:space="preserve"> </w:t>
            </w:r>
            <w:r>
              <w:rPr>
                <w:rFonts w:ascii="Avenir Next Condensed"/>
                <w:sz w:val="18"/>
              </w:rPr>
              <w:t xml:space="preserve">in this </w:t>
            </w:r>
            <w:r>
              <w:rPr>
                <w:rFonts w:ascii="Avenir Next Condensed"/>
                <w:spacing w:val="-1"/>
                <w:sz w:val="18"/>
              </w:rPr>
              <w:t>regulatory</w:t>
            </w:r>
            <w:r>
              <w:rPr>
                <w:rFonts w:ascii="Avenir Next Condensed"/>
                <w:sz w:val="18"/>
              </w:rPr>
              <w:t xml:space="preserve"> period,</w:t>
            </w:r>
            <w:r>
              <w:rPr>
                <w:rFonts w:ascii="Avenir Next Condensed"/>
                <w:spacing w:val="-6"/>
                <w:sz w:val="18"/>
              </w:rPr>
              <w:t xml:space="preserve"> </w:t>
            </w:r>
            <w:r>
              <w:rPr>
                <w:rFonts w:ascii="Avenir Next Condensed"/>
                <w:sz w:val="18"/>
              </w:rPr>
              <w:t xml:space="preserve">given </w:t>
            </w:r>
            <w:r>
              <w:rPr>
                <w:rFonts w:ascii="Avenir Next Condensed"/>
                <w:spacing w:val="-1"/>
                <w:sz w:val="18"/>
              </w:rPr>
              <w:t>current</w:t>
            </w:r>
            <w:r>
              <w:rPr>
                <w:rFonts w:ascii="Avenir Next Condensed"/>
                <w:sz w:val="18"/>
              </w:rPr>
              <w:t xml:space="preserve"> service obligations.</w:t>
            </w:r>
            <w:r>
              <w:rPr>
                <w:rFonts w:ascii="Avenir Next Condensed"/>
                <w:spacing w:val="-6"/>
                <w:sz w:val="18"/>
              </w:rPr>
              <w:t xml:space="preserve"> </w:t>
            </w:r>
            <w:r>
              <w:rPr>
                <w:rFonts w:ascii="Avenir Next Condensed"/>
                <w:sz w:val="18"/>
              </w:rPr>
              <w:t>Informed by independent</w:t>
            </w:r>
            <w:r>
              <w:rPr>
                <w:rFonts w:ascii="Avenir Next Condensed"/>
                <w:spacing w:val="27"/>
                <w:sz w:val="18"/>
              </w:rPr>
              <w:t xml:space="preserve"> </w:t>
            </w:r>
            <w:r>
              <w:rPr>
                <w:rFonts w:ascii="Avenir Next Condensed"/>
                <w:spacing w:val="-1"/>
                <w:sz w:val="18"/>
              </w:rPr>
              <w:t>expert</w:t>
            </w:r>
            <w:r>
              <w:rPr>
                <w:rFonts w:ascii="Avenir Next Condensed"/>
                <w:sz w:val="18"/>
              </w:rPr>
              <w:t xml:space="preserve"> advice.</w:t>
            </w:r>
          </w:p>
        </w:tc>
      </w:tr>
      <w:tr w:rsidR="00D96B91">
        <w:trPr>
          <w:trHeight w:hRule="exact" w:val="1620"/>
        </w:trPr>
        <w:tc>
          <w:tcPr>
            <w:tcW w:w="2518"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11" w:line="220" w:lineRule="exact"/>
              <w:ind w:left="391" w:right="207" w:hanging="284"/>
              <w:rPr>
                <w:rFonts w:ascii="Avenir Next Condensed" w:eastAsia="Avenir Next Condensed" w:hAnsi="Avenir Next Condensed" w:cs="Avenir Next Condensed"/>
                <w:sz w:val="18"/>
                <w:szCs w:val="18"/>
              </w:rPr>
            </w:pPr>
            <w:r>
              <w:rPr>
                <w:rFonts w:ascii="Avenir Next Condensed"/>
                <w:b/>
                <w:sz w:val="18"/>
              </w:rPr>
              <w:t xml:space="preserve">(i)   </w:t>
            </w:r>
            <w:r>
              <w:rPr>
                <w:rFonts w:ascii="Avenir Next Condensed"/>
                <w:b/>
                <w:spacing w:val="1"/>
                <w:sz w:val="18"/>
              </w:rPr>
              <w:t xml:space="preserve"> </w:t>
            </w:r>
            <w:r>
              <w:rPr>
                <w:rFonts w:ascii="Avenir Next Condensed"/>
                <w:b/>
                <w:sz w:val="18"/>
              </w:rPr>
              <w:t xml:space="preserve">the need for </w:t>
            </w:r>
            <w:r>
              <w:rPr>
                <w:rFonts w:ascii="Avenir Next Condensed"/>
                <w:b/>
                <w:spacing w:val="-1"/>
                <w:sz w:val="18"/>
              </w:rPr>
              <w:t>greater</w:t>
            </w:r>
            <w:r>
              <w:rPr>
                <w:rFonts w:ascii="Avenir Next Condensed"/>
                <w:b/>
                <w:spacing w:val="23"/>
                <w:sz w:val="18"/>
              </w:rPr>
              <w:t xml:space="preserve"> </w:t>
            </w:r>
            <w:r>
              <w:rPr>
                <w:rFonts w:ascii="Avenir Next Condensed"/>
                <w:b/>
                <w:spacing w:val="-1"/>
                <w:sz w:val="18"/>
              </w:rPr>
              <w:t>efficiency</w:t>
            </w:r>
            <w:r>
              <w:rPr>
                <w:rFonts w:ascii="Avenir Next Condensed"/>
                <w:b/>
                <w:sz w:val="18"/>
              </w:rPr>
              <w:t xml:space="preserve"> in the </w:t>
            </w:r>
            <w:r>
              <w:rPr>
                <w:rFonts w:ascii="Avenir Next Condensed"/>
                <w:b/>
                <w:spacing w:val="-1"/>
                <w:sz w:val="18"/>
              </w:rPr>
              <w:t>provision</w:t>
            </w:r>
            <w:r>
              <w:rPr>
                <w:rFonts w:ascii="Avenir Next Condensed"/>
                <w:b/>
                <w:sz w:val="18"/>
              </w:rPr>
              <w:t xml:space="preserve"> of</w:t>
            </w:r>
            <w:r>
              <w:rPr>
                <w:rFonts w:ascii="Avenir Next Condensed"/>
                <w:b/>
                <w:spacing w:val="29"/>
                <w:sz w:val="18"/>
              </w:rPr>
              <w:t xml:space="preserve"> </w:t>
            </w:r>
            <w:r>
              <w:rPr>
                <w:rFonts w:ascii="Avenir Next Condensed"/>
                <w:b/>
                <w:spacing w:val="-1"/>
                <w:sz w:val="18"/>
              </w:rPr>
              <w:t>regulated</w:t>
            </w:r>
            <w:r>
              <w:rPr>
                <w:rFonts w:ascii="Avenir Next Condensed"/>
                <w:b/>
                <w:sz w:val="18"/>
              </w:rPr>
              <w:t xml:space="preserve"> services to </w:t>
            </w:r>
            <w:r>
              <w:rPr>
                <w:rFonts w:ascii="Avenir Next Condensed"/>
                <w:b/>
                <w:spacing w:val="-1"/>
                <w:sz w:val="18"/>
              </w:rPr>
              <w:t>reduce</w:t>
            </w:r>
            <w:r>
              <w:rPr>
                <w:rFonts w:ascii="Avenir Next Condensed"/>
                <w:b/>
                <w:spacing w:val="23"/>
                <w:sz w:val="18"/>
              </w:rPr>
              <w:t xml:space="preserve"> </w:t>
            </w:r>
            <w:r>
              <w:rPr>
                <w:rFonts w:ascii="Avenir Next Condensed"/>
                <w:b/>
                <w:sz w:val="18"/>
              </w:rPr>
              <w:t>costs to consumers and taxpayers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6 and 7</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435"/>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method to be used to determine prices,</w:t>
            </w:r>
            <w:r>
              <w:rPr>
                <w:rFonts w:ascii="Avenir Next Condensed"/>
                <w:spacing w:val="-6"/>
                <w:sz w:val="18"/>
              </w:rPr>
              <w:t xml:space="preserve"> </w:t>
            </w:r>
            <w:r>
              <w:rPr>
                <w:rFonts w:ascii="Avenir Next Condensed"/>
                <w:sz w:val="18"/>
              </w:rPr>
              <w:t>including</w:t>
            </w:r>
            <w:r>
              <w:rPr>
                <w:rFonts w:ascii="Avenir Next Condensed"/>
                <w:spacing w:val="35"/>
                <w:sz w:val="18"/>
              </w:rPr>
              <w:t xml:space="preserve"> </w:t>
            </w:r>
            <w:r>
              <w:rPr>
                <w:rFonts w:ascii="Avenir Next Condensed"/>
                <w:sz w:val="18"/>
              </w:rPr>
              <w:t xml:space="preserve">the potential for incentive schemes to be used in conjunction with the building </w:t>
            </w:r>
            <w:r>
              <w:rPr>
                <w:rFonts w:ascii="Avenir Next Condensed"/>
                <w:spacing w:val="-1"/>
                <w:sz w:val="18"/>
              </w:rPr>
              <w:t>block</w:t>
            </w:r>
            <w:r>
              <w:rPr>
                <w:rFonts w:ascii="Avenir Next Condensed"/>
                <w:spacing w:val="24"/>
                <w:sz w:val="18"/>
              </w:rPr>
              <w:t xml:space="preserve"> </w:t>
            </w:r>
            <w:r>
              <w:rPr>
                <w:rFonts w:ascii="Avenir Next Condensed"/>
                <w:sz w:val="18"/>
              </w:rPr>
              <w:t xml:space="preserve">methodology in the </w:t>
            </w:r>
            <w:r>
              <w:rPr>
                <w:rFonts w:ascii="Avenir Next Condensed"/>
                <w:spacing w:val="-1"/>
                <w:sz w:val="18"/>
              </w:rPr>
              <w:t>future.</w:t>
            </w:r>
          </w:p>
          <w:p w:rsidR="00D96B91" w:rsidRDefault="00C2656B">
            <w:pPr>
              <w:pStyle w:val="TableParagraph"/>
              <w:spacing w:before="113" w:line="220" w:lineRule="exact"/>
              <w:ind w:left="108" w:right="316"/>
              <w:jc w:val="both"/>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form of</w:t>
            </w:r>
            <w:r>
              <w:rPr>
                <w:rFonts w:ascii="Avenir Next Condensed"/>
                <w:spacing w:val="4"/>
                <w:sz w:val="18"/>
              </w:rPr>
              <w:t xml:space="preserve"> </w:t>
            </w:r>
            <w:r>
              <w:rPr>
                <w:rFonts w:ascii="Avenir Next Condensed"/>
                <w:sz w:val="18"/>
              </w:rPr>
              <w:t xml:space="preserve">price </w:t>
            </w:r>
            <w:r>
              <w:rPr>
                <w:rFonts w:ascii="Avenir Next Condensed"/>
                <w:spacing w:val="-1"/>
                <w:sz w:val="18"/>
              </w:rPr>
              <w:t>control,</w:t>
            </w:r>
            <w:r>
              <w:rPr>
                <w:rFonts w:ascii="Avenir Next Condensed"/>
                <w:spacing w:val="-6"/>
                <w:sz w:val="18"/>
              </w:rPr>
              <w:t xml:space="preserve"> </w:t>
            </w:r>
            <w:r>
              <w:rPr>
                <w:rFonts w:ascii="Avenir Next Condensed"/>
                <w:sz w:val="18"/>
              </w:rPr>
              <w:t>length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period and</w:t>
            </w:r>
            <w:r>
              <w:rPr>
                <w:rFonts w:ascii="Avenir Next Condensed"/>
                <w:spacing w:val="63"/>
                <w:sz w:val="18"/>
              </w:rPr>
              <w:t xml:space="preserve"> </w:t>
            </w:r>
            <w:r>
              <w:rPr>
                <w:rFonts w:ascii="Avenir Next Condensed"/>
                <w:sz w:val="18"/>
              </w:rPr>
              <w:t xml:space="preserve">other risk allocation </w:t>
            </w:r>
            <w:r>
              <w:rPr>
                <w:rFonts w:ascii="Avenir Next Condensed"/>
                <w:spacing w:val="-1"/>
                <w:sz w:val="18"/>
              </w:rPr>
              <w:t>measures</w:t>
            </w:r>
            <w:r>
              <w:rPr>
                <w:rFonts w:ascii="Avenir Next Condensed"/>
                <w:sz w:val="18"/>
              </w:rPr>
              <w:t xml:space="preserve"> </w:t>
            </w:r>
            <w:r>
              <w:rPr>
                <w:rFonts w:ascii="Avenir Next Condensed"/>
                <w:spacing w:val="-1"/>
                <w:sz w:val="18"/>
              </w:rPr>
              <w:t>from</w:t>
            </w:r>
            <w:r>
              <w:rPr>
                <w:rFonts w:ascii="Avenir Next Condensed"/>
                <w:sz w:val="18"/>
              </w:rPr>
              <w:t xml:space="preserve"> the perspective of</w:t>
            </w:r>
            <w:r>
              <w:rPr>
                <w:rFonts w:ascii="Avenir Next Condensed"/>
                <w:spacing w:val="4"/>
                <w:sz w:val="18"/>
              </w:rPr>
              <w:t xml:space="preserve"> </w:t>
            </w:r>
            <w:r>
              <w:rPr>
                <w:rFonts w:ascii="Avenir Next Condensed"/>
                <w:spacing w:val="-1"/>
                <w:sz w:val="18"/>
              </w:rPr>
              <w:t>according</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an incentive to</w:t>
            </w:r>
            <w:r>
              <w:rPr>
                <w:rFonts w:ascii="Avenir Next Condensed"/>
                <w:spacing w:val="29"/>
                <w:sz w:val="18"/>
              </w:rPr>
              <w:t xml:space="preserve"> </w:t>
            </w:r>
            <w:r>
              <w:rPr>
                <w:rFonts w:ascii="Avenir Next Condensed"/>
                <w:sz w:val="18"/>
              </w:rPr>
              <w:t xml:space="preserve">seek out </w:t>
            </w:r>
            <w:r>
              <w:rPr>
                <w:rFonts w:ascii="Avenir Next Condensed"/>
                <w:spacing w:val="-1"/>
                <w:sz w:val="18"/>
              </w:rPr>
              <w:t>efficiencies.</w:t>
            </w:r>
          </w:p>
        </w:tc>
      </w:tr>
      <w:tr w:rsidR="00D96B91">
        <w:trPr>
          <w:trHeight w:hRule="exact" w:val="1960"/>
        </w:trPr>
        <w:tc>
          <w:tcPr>
            <w:tcW w:w="2518" w:type="dxa"/>
            <w:vMerge/>
            <w:tcBorders>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9 and 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efficient</w:t>
            </w:r>
            <w:r>
              <w:rPr>
                <w:rFonts w:ascii="Avenir Next Condensed"/>
                <w:sz w:val="18"/>
              </w:rPr>
              <w:t xml:space="preserve"> costs of</w:t>
            </w:r>
            <w:r>
              <w:rPr>
                <w:rFonts w:ascii="Avenir Next Condensed"/>
                <w:spacing w:val="4"/>
                <w:sz w:val="18"/>
              </w:rPr>
              <w:t xml:space="preserve"> </w:t>
            </w:r>
            <w:r>
              <w:rPr>
                <w:rFonts w:ascii="Avenir Next Condensed"/>
                <w:sz w:val="18"/>
              </w:rPr>
              <w:t xml:space="preserve">service </w:t>
            </w:r>
            <w:r>
              <w:rPr>
                <w:rFonts w:ascii="Avenir Next Condensed"/>
                <w:spacing w:val="-1"/>
                <w:sz w:val="18"/>
              </w:rPr>
              <w:t>provision,</w:t>
            </w:r>
            <w:r>
              <w:rPr>
                <w:rFonts w:ascii="Avenir Next Condensed"/>
                <w:spacing w:val="-6"/>
                <w:sz w:val="18"/>
              </w:rPr>
              <w:t xml:space="preserve"> </w:t>
            </w:r>
            <w:r>
              <w:rPr>
                <w:rFonts w:ascii="Avenir Next Condensed"/>
                <w:sz w:val="18"/>
              </w:rPr>
              <w:t xml:space="preserve">including </w:t>
            </w:r>
            <w:r>
              <w:rPr>
                <w:rFonts w:ascii="Avenir Next Condensed"/>
                <w:spacing w:val="-1"/>
                <w:sz w:val="18"/>
              </w:rPr>
              <w:t>assessment</w:t>
            </w:r>
            <w:r>
              <w:rPr>
                <w:rFonts w:ascii="Avenir Next Condensed"/>
                <w:sz w:val="18"/>
              </w:rPr>
              <w:t xml:space="preserve"> of:</w:t>
            </w:r>
          </w:p>
          <w:p w:rsidR="00D96B91" w:rsidRDefault="00C2656B">
            <w:pPr>
              <w:pStyle w:val="ListParagraph"/>
              <w:numPr>
                <w:ilvl w:val="0"/>
                <w:numId w:val="28"/>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in the </w:t>
            </w:r>
            <w:r>
              <w:rPr>
                <w:rFonts w:ascii="Avenir Next Condensed"/>
                <w:spacing w:val="-1"/>
                <w:sz w:val="18"/>
              </w:rPr>
              <w:t>previous</w:t>
            </w:r>
            <w:r>
              <w:rPr>
                <w:rFonts w:ascii="Avenir Next Condensed"/>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28"/>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reasonableness</w:t>
            </w:r>
            <w:r>
              <w:rPr>
                <w:rFonts w:ascii="Avenir Next Condensed"/>
                <w:sz w:val="18"/>
              </w:rPr>
              <w:t xml:space="preserve"> and </w:t>
            </w:r>
            <w:r>
              <w:rPr>
                <w:rFonts w:ascii="Avenir Next Condensed"/>
                <w:spacing w:val="-1"/>
                <w:sz w:val="18"/>
              </w:rPr>
              <w:t>sufficiency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governance</w:t>
            </w:r>
          </w:p>
          <w:p w:rsidR="00D96B91" w:rsidRDefault="00C2656B">
            <w:pPr>
              <w:pStyle w:val="ListParagraph"/>
              <w:numPr>
                <w:ilvl w:val="0"/>
                <w:numId w:val="28"/>
              </w:numPr>
              <w:tabs>
                <w:tab w:val="left" w:pos="336"/>
              </w:tabs>
              <w:spacing w:before="91" w:line="220" w:lineRule="exact"/>
              <w:ind w:right="514"/>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in this</w:t>
            </w:r>
            <w:r>
              <w:rPr>
                <w:rFonts w:ascii="Avenir Next Condensed"/>
                <w:spacing w:val="55"/>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rsidTr="00C61167">
        <w:trPr>
          <w:trHeight w:hRule="exact" w:val="1559"/>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185" w:hanging="284"/>
              <w:rPr>
                <w:rFonts w:ascii="Avenir Next Condensed" w:eastAsia="Avenir Next Condensed" w:hAnsi="Avenir Next Condensed" w:cs="Avenir Next Condensed"/>
                <w:sz w:val="18"/>
                <w:szCs w:val="18"/>
              </w:rPr>
            </w:pPr>
            <w:r>
              <w:rPr>
                <w:rFonts w:ascii="Avenir Next Condensed"/>
                <w:b/>
                <w:spacing w:val="3"/>
                <w:sz w:val="18"/>
              </w:rPr>
              <w:t>(j)</w:t>
            </w:r>
            <w:r>
              <w:rPr>
                <w:rFonts w:ascii="Avenir Next Condensed"/>
                <w:b/>
                <w:sz w:val="18"/>
              </w:rPr>
              <w:t xml:space="preserve">  </w:t>
            </w:r>
            <w:r>
              <w:rPr>
                <w:rFonts w:ascii="Avenir Next Condensed"/>
                <w:b/>
                <w:spacing w:val="26"/>
                <w:sz w:val="18"/>
              </w:rPr>
              <w:t xml:space="preserve"> </w:t>
            </w:r>
            <w:r>
              <w:rPr>
                <w:rFonts w:ascii="Avenir Next Condensed"/>
                <w:b/>
                <w:sz w:val="18"/>
              </w:rPr>
              <w:t xml:space="preserve">an </w:t>
            </w:r>
            <w:r>
              <w:rPr>
                <w:rFonts w:ascii="Avenir Next Condensed"/>
                <w:b/>
                <w:spacing w:val="-1"/>
                <w:sz w:val="18"/>
              </w:rPr>
              <w:t>appropriate</w:t>
            </w:r>
            <w:r>
              <w:rPr>
                <w:rFonts w:ascii="Avenir Next Condensed"/>
                <w:b/>
                <w:sz w:val="18"/>
              </w:rPr>
              <w:t xml:space="preserve"> </w:t>
            </w:r>
            <w:r>
              <w:rPr>
                <w:rFonts w:ascii="Avenir Next Condensed"/>
                <w:b/>
                <w:spacing w:val="-1"/>
                <w:sz w:val="18"/>
              </w:rPr>
              <w:t>rate</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return</w:t>
            </w:r>
            <w:r>
              <w:rPr>
                <w:rFonts w:ascii="Avenir Next Condensed"/>
                <w:b/>
                <w:spacing w:val="33"/>
                <w:sz w:val="18"/>
              </w:rPr>
              <w:t xml:space="preserve"> </w:t>
            </w:r>
            <w:r>
              <w:rPr>
                <w:rFonts w:ascii="Avenir Next Condensed"/>
                <w:b/>
                <w:sz w:val="18"/>
              </w:rPr>
              <w:t xml:space="preserve">on any investment in the </w:t>
            </w:r>
            <w:r>
              <w:rPr>
                <w:rFonts w:ascii="Avenir Next Condensed"/>
                <w:b/>
                <w:spacing w:val="-1"/>
                <w:sz w:val="18"/>
              </w:rPr>
              <w:t>regulated</w:t>
            </w:r>
            <w:r>
              <w:rPr>
                <w:rFonts w:ascii="Avenir Next Condensed"/>
                <w:b/>
                <w:sz w:val="18"/>
              </w:rPr>
              <w:t xml:space="preserve"> industry</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10</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5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w:t>
            </w:r>
            <w:r>
              <w:rPr>
                <w:rFonts w:ascii="Avenir Next Condensed"/>
                <w:spacing w:val="-1"/>
                <w:sz w:val="18"/>
              </w:rPr>
              <w:t>approach</w:t>
            </w:r>
            <w:r>
              <w:rPr>
                <w:rFonts w:ascii="Avenir Next Condensed"/>
                <w:sz w:val="18"/>
              </w:rPr>
              <w:t xml:space="preserve"> for </w:t>
            </w:r>
            <w:r>
              <w:rPr>
                <w:rFonts w:ascii="Avenir Next Condensed"/>
                <w:spacing w:val="-1"/>
                <w:sz w:val="18"/>
              </w:rPr>
              <w:t>setting</w:t>
            </w:r>
            <w:r>
              <w:rPr>
                <w:rFonts w:ascii="Avenir Next Condensed"/>
                <w:sz w:val="18"/>
              </w:rPr>
              <w:t xml:space="preserve"> the </w:t>
            </w:r>
            <w:r>
              <w:rPr>
                <w:rFonts w:ascii="Avenir Next Condensed"/>
                <w:spacing w:val="-1"/>
                <w:sz w:val="18"/>
              </w:rPr>
              <w:t>return</w:t>
            </w:r>
            <w:r>
              <w:rPr>
                <w:rFonts w:ascii="Avenir Next Condensed"/>
                <w:sz w:val="18"/>
              </w:rPr>
              <w:t xml:space="preserve"> on capital,</w:t>
            </w:r>
            <w:r>
              <w:rPr>
                <w:rFonts w:ascii="Avenir Next Condensed"/>
                <w:spacing w:val="-6"/>
                <w:sz w:val="18"/>
              </w:rPr>
              <w:t xml:space="preserve"> </w:t>
            </w:r>
            <w:r>
              <w:rPr>
                <w:rFonts w:ascii="Avenir Next Condensed"/>
                <w:sz w:val="18"/>
              </w:rPr>
              <w:t>taking into</w:t>
            </w:r>
            <w:r>
              <w:rPr>
                <w:rFonts w:ascii="Avenir Next Condensed"/>
                <w:spacing w:val="63"/>
                <w:sz w:val="18"/>
              </w:rPr>
              <w:t xml:space="preserve"> </w:t>
            </w:r>
            <w:r>
              <w:rPr>
                <w:rFonts w:ascii="Avenir Next Condensed"/>
                <w:sz w:val="18"/>
              </w:rPr>
              <w:t xml:space="preserve">account the </w:t>
            </w:r>
            <w:r>
              <w:rPr>
                <w:rFonts w:ascii="Avenir Next Condensed"/>
                <w:spacing w:val="-1"/>
                <w:sz w:val="18"/>
              </w:rPr>
              <w:t>requirements</w:t>
            </w:r>
            <w:r>
              <w:rPr>
                <w:rFonts w:ascii="Avenir Next Condensed"/>
                <w:sz w:val="18"/>
              </w:rPr>
              <w:t xml:space="preserve"> of</w:t>
            </w:r>
            <w:r>
              <w:rPr>
                <w:rFonts w:ascii="Avenir Next Condensed"/>
                <w:spacing w:val="4"/>
                <w:sz w:val="18"/>
              </w:rPr>
              <w:t xml:space="preserve"> </w:t>
            </w:r>
            <w:r>
              <w:rPr>
                <w:rFonts w:ascii="Avenir Next Condensed"/>
                <w:sz w:val="18"/>
              </w:rPr>
              <w:t>the</w:t>
            </w:r>
            <w:r>
              <w:rPr>
                <w:rFonts w:ascii="Avenir Next Condensed"/>
                <w:spacing w:val="-4"/>
                <w:sz w:val="18"/>
              </w:rPr>
              <w:t xml:space="preserve"> </w:t>
            </w:r>
            <w:r>
              <w:rPr>
                <w:rFonts w:ascii="Avenir Next Condensed"/>
                <w:sz w:val="18"/>
              </w:rPr>
              <w:t>Act,</w:t>
            </w:r>
            <w:r>
              <w:rPr>
                <w:rFonts w:ascii="Avenir Next Condensed"/>
                <w:spacing w:val="-6"/>
                <w:sz w:val="18"/>
              </w:rPr>
              <w:t xml:space="preserve"> </w:t>
            </w:r>
            <w:r>
              <w:rPr>
                <w:rFonts w:ascii="Avenir Next Condensed"/>
                <w:sz w:val="18"/>
              </w:rPr>
              <w:t xml:space="preserve">the </w:t>
            </w:r>
            <w:r>
              <w:rPr>
                <w:rFonts w:ascii="Avenir Next Condensed"/>
                <w:spacing w:val="-1"/>
                <w:sz w:val="18"/>
              </w:rPr>
              <w:t>approach</w:t>
            </w:r>
            <w:r>
              <w:rPr>
                <w:rFonts w:ascii="Avenir Next Condensed"/>
                <w:sz w:val="18"/>
              </w:rPr>
              <w:t xml:space="preserve"> most commonly used by</w:t>
            </w:r>
            <w:r>
              <w:rPr>
                <w:rFonts w:ascii="Avenir Next Condensed"/>
                <w:spacing w:val="-4"/>
                <w:sz w:val="18"/>
              </w:rPr>
              <w:t xml:space="preserve"> </w:t>
            </w:r>
            <w:r>
              <w:rPr>
                <w:rFonts w:ascii="Avenir Next Condensed"/>
                <w:spacing w:val="-1"/>
                <w:sz w:val="18"/>
              </w:rPr>
              <w:t>Australian</w:t>
            </w:r>
            <w:r>
              <w:rPr>
                <w:rFonts w:ascii="Avenir Next Condensed"/>
                <w:spacing w:val="45"/>
                <w:sz w:val="18"/>
              </w:rPr>
              <w:t xml:space="preserve"> </w:t>
            </w:r>
            <w:r>
              <w:rPr>
                <w:rFonts w:ascii="Avenir Next Condensed"/>
                <w:spacing w:val="-1"/>
                <w:sz w:val="18"/>
              </w:rPr>
              <w:t>regulators</w:t>
            </w:r>
            <w:r>
              <w:rPr>
                <w:rFonts w:ascii="Avenir Next Condensed"/>
                <w:sz w:val="18"/>
              </w:rPr>
              <w:t xml:space="preserve"> in applying the building block method (ie the benchmark entity </w:t>
            </w:r>
            <w:r>
              <w:rPr>
                <w:rFonts w:ascii="Avenir Next Condensed"/>
                <w:spacing w:val="-1"/>
                <w:sz w:val="18"/>
              </w:rPr>
              <w:t>approach),</w:t>
            </w:r>
            <w:r>
              <w:rPr>
                <w:rFonts w:ascii="Avenir Next Condensed"/>
                <w:spacing w:val="33"/>
                <w:sz w:val="18"/>
              </w:rPr>
              <w:t xml:space="preserve"> </w:t>
            </w:r>
            <w:r>
              <w:rPr>
                <w:rFonts w:ascii="Avenir Next Condensed"/>
                <w:sz w:val="18"/>
              </w:rPr>
              <w:t xml:space="preserve">the </w:t>
            </w:r>
            <w:r>
              <w:rPr>
                <w:rFonts w:ascii="Avenir Next Condensed"/>
                <w:spacing w:val="-1"/>
                <w:sz w:val="18"/>
              </w:rPr>
              <w:t>requirement</w:t>
            </w:r>
            <w:r>
              <w:rPr>
                <w:rFonts w:ascii="Avenir Next Condensed"/>
                <w:sz w:val="18"/>
              </w:rPr>
              <w:t xml:space="preserve"> to comply with competitive </w:t>
            </w:r>
            <w:r>
              <w:rPr>
                <w:rFonts w:ascii="Avenir Next Condensed"/>
                <w:spacing w:val="-1"/>
                <w:sz w:val="18"/>
              </w:rPr>
              <w:t>neutrality</w:t>
            </w:r>
            <w:r>
              <w:rPr>
                <w:rFonts w:ascii="Avenir Next Condensed"/>
                <w:sz w:val="18"/>
              </w:rPr>
              <w:t xml:space="preserve"> principles and the conditions</w:t>
            </w:r>
            <w:r>
              <w:rPr>
                <w:rFonts w:ascii="Avenir Next Condensed"/>
                <w:spacing w:val="31"/>
                <w:sz w:val="18"/>
              </w:rPr>
              <w:t xml:space="preserve"> </w:t>
            </w:r>
            <w:r>
              <w:rPr>
                <w:rFonts w:ascii="Avenir Next Condensed"/>
                <w:spacing w:val="-1"/>
                <w:sz w:val="18"/>
              </w:rPr>
              <w:t>prevailing</w:t>
            </w:r>
            <w:r>
              <w:rPr>
                <w:rFonts w:ascii="Avenir Next Condensed"/>
                <w:sz w:val="18"/>
              </w:rPr>
              <w:t xml:space="preserve"> in financial </w:t>
            </w:r>
            <w:r>
              <w:rPr>
                <w:rFonts w:ascii="Avenir Next Condensed"/>
                <w:spacing w:val="-1"/>
                <w:sz w:val="18"/>
              </w:rPr>
              <w:t>markets</w:t>
            </w:r>
            <w:r>
              <w:rPr>
                <w:rFonts w:ascii="Avenir Next Condensed"/>
                <w:sz w:val="18"/>
              </w:rPr>
              <w:t xml:space="preserve"> at the time of</w:t>
            </w:r>
            <w:r>
              <w:rPr>
                <w:rFonts w:ascii="Avenir Next Condensed"/>
                <w:spacing w:val="4"/>
                <w:sz w:val="18"/>
              </w:rPr>
              <w:t xml:space="preserve"> </w:t>
            </w:r>
            <w:r>
              <w:rPr>
                <w:rFonts w:ascii="Avenir Next Condensed"/>
                <w:sz w:val="18"/>
              </w:rPr>
              <w:t>the original price determination.</w:t>
            </w:r>
          </w:p>
        </w:tc>
      </w:tr>
    </w:tbl>
    <w:p w:rsidR="00D96B91" w:rsidRDefault="00D96B91">
      <w:pPr>
        <w:spacing w:line="220" w:lineRule="exact"/>
        <w:rPr>
          <w:rFonts w:ascii="Avenir Next Condensed" w:eastAsia="Avenir Next Condensed" w:hAnsi="Avenir Next Condensed" w:cs="Avenir Next Condensed"/>
          <w:sz w:val="18"/>
          <w:szCs w:val="18"/>
        </w:rPr>
        <w:sectPr w:rsidR="00D96B91">
          <w:pgSz w:w="11910" w:h="16840"/>
          <w:pgMar w:top="1260" w:right="0" w:bottom="1020" w:left="0" w:header="0" w:footer="829" w:gutter="0"/>
          <w:cols w:space="720"/>
        </w:sectPr>
      </w:pPr>
    </w:p>
    <w:p w:rsidR="00D96B91" w:rsidRDefault="00D96B91">
      <w:pPr>
        <w:spacing w:before="5"/>
        <w:rPr>
          <w:rFonts w:ascii="Times New Roman" w:eastAsia="Times New Roman" w:hAnsi="Times New Roman" w:cs="Times New Roman"/>
          <w:sz w:val="6"/>
          <w:szCs w:val="6"/>
        </w:rPr>
      </w:pPr>
      <w:r w:rsidRPr="00D96B91">
        <w:pict>
          <v:group id="_x0000_s1773" style="position:absolute;margin-left:0;margin-top:789.45pt;width:595.3pt;height:52.45pt;z-index:251548160;mso-position-horizontal-relative:page;mso-position-vertical-relative:page" coordorigin=",15789" coordsize="11906,1049">
            <v:group id="_x0000_s1774" style="position:absolute;top:15789;width:11906;height:1049" coordorigin=",15789" coordsize="11906,1049">
              <v:shape id="_x0000_s1777" style="position:absolute;top:15789;width:11906;height:1049" coordorigin=",15789" coordsize="11906,1049" path="m,16838r11906,l11906,15789,,15789r,1049xe" fillcolor="#0778be" stroked="f">
                <v:path arrowok="t"/>
              </v:shape>
              <v:shape id="_x0000_s1776" type="#_x0000_t75" style="position:absolute;top:15789;width:11906;height:1049">
                <v:imagedata r:id="rId20" o:title=""/>
              </v:shape>
              <v:shape id="_x0000_s1775" type="#_x0000_t202" style="position:absolute;top:15789;width:11906;height:1049" filled="f" stroked="f">
                <v:textbox style="mso-next-textbox:#_x0000_s1775" inset="0,0,0,0">
                  <w:txbxContent>
                    <w:p w:rsidR="008A79D5" w:rsidRDefault="008A79D5">
                      <w:pPr>
                        <w:spacing w:before="6"/>
                        <w:rPr>
                          <w:rFonts w:ascii="Times New Roman" w:eastAsia="Times New Roman" w:hAnsi="Times New Roman" w:cs="Times New Roman"/>
                          <w:sz w:val="18"/>
                          <w:szCs w:val="18"/>
                        </w:rPr>
                      </w:pPr>
                    </w:p>
                    <w:p w:rsidR="008A79D5" w:rsidRDefault="008A79D5">
                      <w:pPr>
                        <w:ind w:left="692"/>
                        <w:rPr>
                          <w:rFonts w:ascii="Avenir Next" w:eastAsia="Avenir Next" w:hAnsi="Avenir Next" w:cs="Avenir Next"/>
                          <w:sz w:val="20"/>
                          <w:szCs w:val="20"/>
                        </w:rPr>
                      </w:pPr>
                      <w:r>
                        <w:rPr>
                          <w:rFonts w:ascii="Avenir Next" w:eastAsia="Avenir Next" w:hAnsi="Avenir Next" w:cs="Avenir Next"/>
                          <w:color w:val="EEF8FE"/>
                          <w:sz w:val="20"/>
                          <w:szCs w:val="20"/>
                        </w:rPr>
                        <w:t xml:space="preserve">150    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tbl>
      <w:tblPr>
        <w:tblW w:w="0" w:type="auto"/>
        <w:tblInd w:w="1247" w:type="dxa"/>
        <w:tblLayout w:type="fixed"/>
        <w:tblCellMar>
          <w:left w:w="0" w:type="dxa"/>
          <w:right w:w="0" w:type="dxa"/>
        </w:tblCellMar>
        <w:tblLook w:val="01E0"/>
      </w:tblPr>
      <w:tblGrid>
        <w:gridCol w:w="2518"/>
        <w:gridCol w:w="1023"/>
        <w:gridCol w:w="5860"/>
      </w:tblGrid>
      <w:tr w:rsidR="00D96B91">
        <w:trPr>
          <w:trHeight w:hRule="exact" w:val="627"/>
        </w:trPr>
        <w:tc>
          <w:tcPr>
            <w:tcW w:w="25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z w:val="18"/>
              </w:rPr>
              <w:t>Section 20(2)</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86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627"/>
        </w:trPr>
        <w:tc>
          <w:tcPr>
            <w:tcW w:w="25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464" w:hanging="284"/>
              <w:rPr>
                <w:rFonts w:ascii="Avenir Next Condensed" w:eastAsia="Avenir Next Condensed" w:hAnsi="Avenir Next Condensed" w:cs="Avenir Next Condensed"/>
                <w:sz w:val="18"/>
                <w:szCs w:val="18"/>
              </w:rPr>
            </w:pPr>
            <w:r>
              <w:rPr>
                <w:rFonts w:ascii="Avenir Next Condensed"/>
                <w:b/>
                <w:sz w:val="18"/>
              </w:rPr>
              <w:t xml:space="preserve">(k) </w:t>
            </w:r>
            <w:r>
              <w:rPr>
                <w:rFonts w:ascii="Avenir Next Condensed"/>
                <w:b/>
                <w:spacing w:val="35"/>
                <w:sz w:val="18"/>
              </w:rPr>
              <w:t xml:space="preserve"> </w:t>
            </w:r>
            <w:r>
              <w:rPr>
                <w:rFonts w:ascii="Avenir Next Condensed"/>
                <w:b/>
                <w:sz w:val="18"/>
              </w:rPr>
              <w:t>the cost of</w:t>
            </w:r>
            <w:r>
              <w:rPr>
                <w:rFonts w:ascii="Avenir Next Condensed"/>
                <w:b/>
                <w:spacing w:val="4"/>
                <w:sz w:val="18"/>
              </w:rPr>
              <w:t xml:space="preserve"> </w:t>
            </w:r>
            <w:r>
              <w:rPr>
                <w:rFonts w:ascii="Avenir Next Condensed"/>
                <w:b/>
                <w:spacing w:val="-1"/>
                <w:sz w:val="18"/>
              </w:rPr>
              <w:t>providing</w:t>
            </w:r>
            <w:r>
              <w:rPr>
                <w:rFonts w:ascii="Avenir Next Condensed"/>
                <w:b/>
                <w:sz w:val="18"/>
              </w:rPr>
              <w:t xml:space="preserve"> the</w:t>
            </w:r>
            <w:r>
              <w:rPr>
                <w:rFonts w:ascii="Avenir Next Condensed"/>
                <w:b/>
                <w:spacing w:val="27"/>
                <w:sz w:val="18"/>
              </w:rPr>
              <w:t xml:space="preserve"> </w:t>
            </w:r>
            <w:r>
              <w:rPr>
                <w:rFonts w:ascii="Avenir Next Condensed"/>
                <w:b/>
                <w:spacing w:val="-1"/>
                <w:sz w:val="18"/>
              </w:rPr>
              <w:t>regulated</w:t>
            </w:r>
            <w:r>
              <w:rPr>
                <w:rFonts w:ascii="Avenir Next Condensed"/>
                <w:b/>
                <w:sz w:val="18"/>
              </w:rPr>
              <w:t xml:space="preserve"> services</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w:t>
            </w:r>
            <w:r>
              <w:rPr>
                <w:rFonts w:ascii="Avenir Next Condensed"/>
                <w:spacing w:val="-6"/>
                <w:sz w:val="18"/>
              </w:rPr>
              <w:t xml:space="preserve"> </w:t>
            </w:r>
            <w:r>
              <w:rPr>
                <w:rFonts w:ascii="Avenir Next Condensed"/>
                <w:sz w:val="18"/>
              </w:rPr>
              <w:t>10</w:t>
            </w:r>
            <w:r>
              <w:rPr>
                <w:rFonts w:ascii="Avenir Next Condensed"/>
                <w:spacing w:val="-1"/>
                <w:sz w:val="18"/>
              </w:rPr>
              <w:t xml:space="preserve"> </w:t>
            </w:r>
            <w:r>
              <w:rPr>
                <w:rFonts w:ascii="Avenir Next Condensed"/>
                <w:sz w:val="18"/>
              </w:rPr>
              <w:t>and</w:t>
            </w:r>
            <w:r>
              <w:rPr>
                <w:rFonts w:ascii="Avenir Next Condensed"/>
                <w:spacing w:val="-1"/>
                <w:sz w:val="18"/>
              </w:rPr>
              <w:t xml:space="preserve"> </w:t>
            </w:r>
            <w:r>
              <w:rPr>
                <w:rFonts w:ascii="Avenir Next Condensed"/>
                <w:sz w:val="18"/>
              </w:rPr>
              <w:t>11</w:t>
            </w:r>
          </w:p>
        </w:tc>
        <w:tc>
          <w:tcPr>
            <w:tcW w:w="58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51"/>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best </w:t>
            </w:r>
            <w:r>
              <w:rPr>
                <w:rFonts w:ascii="Avenir Next Condensed"/>
                <w:spacing w:val="-1"/>
                <w:sz w:val="18"/>
              </w:rPr>
              <w:t>practice</w:t>
            </w:r>
            <w:r>
              <w:rPr>
                <w:rFonts w:ascii="Avenir Next Condensed"/>
                <w:sz w:val="18"/>
              </w:rPr>
              <w:t xml:space="preserve"> with </w:t>
            </w:r>
            <w:r>
              <w:rPr>
                <w:rFonts w:ascii="Avenir Next Condensed"/>
                <w:spacing w:val="-1"/>
                <w:sz w:val="18"/>
              </w:rPr>
              <w:t>respect</w:t>
            </w:r>
            <w:r>
              <w:rPr>
                <w:rFonts w:ascii="Avenir Next Condensed"/>
                <w:sz w:val="18"/>
              </w:rPr>
              <w:t xml:space="preserve"> to determining the building block</w:t>
            </w:r>
            <w:r>
              <w:rPr>
                <w:rFonts w:ascii="Avenir Next Condensed"/>
                <w:spacing w:val="55"/>
                <w:sz w:val="18"/>
              </w:rPr>
              <w:t xml:space="preserve"> </w:t>
            </w:r>
            <w:r>
              <w:rPr>
                <w:rFonts w:ascii="Avenir Next Condensed"/>
                <w:sz w:val="18"/>
              </w:rPr>
              <w:t>methodology inputs.</w:t>
            </w:r>
          </w:p>
        </w:tc>
      </w:tr>
      <w:tr w:rsidR="00D96B91" w:rsidTr="00C61167">
        <w:trPr>
          <w:trHeight w:hRule="exact" w:val="1220"/>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180" w:hanging="284"/>
              <w:rPr>
                <w:rFonts w:ascii="Avenir Next Condensed" w:eastAsia="Avenir Next Condensed" w:hAnsi="Avenir Next Condensed" w:cs="Avenir Next Condensed"/>
                <w:sz w:val="18"/>
                <w:szCs w:val="18"/>
              </w:rPr>
            </w:pPr>
            <w:r>
              <w:rPr>
                <w:rFonts w:ascii="Avenir Next Condensed"/>
                <w:b/>
                <w:sz w:val="18"/>
              </w:rPr>
              <w:t xml:space="preserve">(l)   </w:t>
            </w:r>
            <w:r>
              <w:rPr>
                <w:rFonts w:ascii="Avenir Next Condensed"/>
                <w:b/>
                <w:spacing w:val="1"/>
                <w:sz w:val="18"/>
              </w:rPr>
              <w:t xml:space="preserve"> </w:t>
            </w:r>
            <w:r>
              <w:rPr>
                <w:rFonts w:ascii="Avenir Next Condensed"/>
                <w:b/>
                <w:sz w:val="18"/>
              </w:rPr>
              <w:t>the principles of</w:t>
            </w:r>
            <w:r>
              <w:rPr>
                <w:rFonts w:ascii="Avenir Next Condensed"/>
                <w:b/>
                <w:spacing w:val="4"/>
                <w:sz w:val="18"/>
              </w:rPr>
              <w:t xml:space="preserve"> </w:t>
            </w:r>
            <w:r>
              <w:rPr>
                <w:rFonts w:ascii="Avenir Next Condensed"/>
                <w:b/>
                <w:sz w:val="18"/>
              </w:rPr>
              <w:t>ecologically sustainable development mentioned in subsection (5) of</w:t>
            </w:r>
            <w:r>
              <w:rPr>
                <w:rFonts w:ascii="Avenir Next Condensed"/>
                <w:b/>
                <w:spacing w:val="4"/>
                <w:sz w:val="18"/>
              </w:rPr>
              <w:t xml:space="preserve"> </w:t>
            </w:r>
            <w:r>
              <w:rPr>
                <w:rFonts w:ascii="Avenir Next Condensed"/>
                <w:b/>
                <w:sz w:val="18"/>
              </w:rPr>
              <w:t>the</w:t>
            </w:r>
            <w:r>
              <w:rPr>
                <w:rFonts w:ascii="Avenir Next Condensed"/>
                <w:b/>
                <w:spacing w:val="-4"/>
                <w:sz w:val="18"/>
              </w:rPr>
              <w:t xml:space="preserve"> </w:t>
            </w:r>
            <w:r>
              <w:rPr>
                <w:rFonts w:ascii="Avenir Next Condensed"/>
                <w:b/>
                <w:sz w:val="18"/>
              </w:rPr>
              <w:t>Act</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 and 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505"/>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environmental</w:t>
            </w:r>
            <w:r>
              <w:rPr>
                <w:rFonts w:ascii="Avenir Next Condensed"/>
                <w:sz w:val="18"/>
              </w:rPr>
              <w:t xml:space="preserve"> costs in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building</w:t>
            </w:r>
            <w:r>
              <w:rPr>
                <w:rFonts w:ascii="Avenir Next Condensed"/>
                <w:spacing w:val="67"/>
                <w:sz w:val="18"/>
              </w:rPr>
              <w:t xml:space="preserve"> </w:t>
            </w:r>
            <w:r>
              <w:rPr>
                <w:rFonts w:ascii="Avenir Next Condensed"/>
                <w:spacing w:val="-1"/>
                <w:sz w:val="18"/>
              </w:rPr>
              <w:t>blocks.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rsidTr="00C61167">
        <w:trPr>
          <w:trHeight w:hRule="exact" w:val="571"/>
        </w:trPr>
        <w:tc>
          <w:tcPr>
            <w:tcW w:w="2518" w:type="dxa"/>
            <w:vMerge w:val="restart"/>
            <w:tcBorders>
              <w:top w:val="single" w:sz="4" w:space="0" w:color="17A7E0"/>
              <w:left w:val="single" w:sz="4" w:space="0" w:color="17A7E0"/>
              <w:right w:val="single" w:sz="4" w:space="0" w:color="17A7E0"/>
            </w:tcBorders>
            <w:shd w:val="clear" w:color="auto" w:fill="F0F9FE"/>
          </w:tcPr>
          <w:p w:rsidR="00D96B91" w:rsidRDefault="00C2656B">
            <w:pPr>
              <w:pStyle w:val="TableParagraph"/>
              <w:spacing w:before="112" w:line="220" w:lineRule="exact"/>
              <w:ind w:left="391" w:right="480" w:hanging="284"/>
              <w:rPr>
                <w:rFonts w:ascii="Avenir Next Condensed" w:eastAsia="Avenir Next Condensed" w:hAnsi="Avenir Next Condensed" w:cs="Avenir Next Condensed"/>
                <w:sz w:val="18"/>
                <w:szCs w:val="18"/>
              </w:rPr>
            </w:pPr>
            <w:r>
              <w:rPr>
                <w:rFonts w:ascii="Avenir Next Condensed"/>
                <w:b/>
                <w:sz w:val="18"/>
              </w:rPr>
              <w:t>(m)</w:t>
            </w:r>
            <w:r>
              <w:rPr>
                <w:rFonts w:ascii="Avenir Next Condensed"/>
                <w:b/>
                <w:spacing w:val="15"/>
                <w:sz w:val="18"/>
              </w:rPr>
              <w:t xml:space="preserve"> </w:t>
            </w:r>
            <w:r>
              <w:rPr>
                <w:rFonts w:ascii="Avenir Next Condensed"/>
                <w:b/>
                <w:sz w:val="18"/>
              </w:rPr>
              <w:t>the social impacts of</w:t>
            </w:r>
            <w:r>
              <w:rPr>
                <w:rFonts w:ascii="Avenir Next Condensed"/>
                <w:b/>
                <w:spacing w:val="4"/>
                <w:sz w:val="18"/>
              </w:rPr>
              <w:t xml:space="preserve"> </w:t>
            </w:r>
            <w:r>
              <w:rPr>
                <w:rFonts w:ascii="Avenir Next Condensed"/>
                <w:b/>
                <w:sz w:val="18"/>
              </w:rPr>
              <w:t>the decision</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8</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intergenerational</w:t>
            </w:r>
            <w:r>
              <w:rPr>
                <w:rFonts w:ascii="Avenir Next Condensed"/>
                <w:sz w:val="18"/>
              </w:rPr>
              <w:t xml:space="preserve"> equity </w:t>
            </w:r>
            <w:r>
              <w:rPr>
                <w:rFonts w:ascii="Avenir Next Condensed"/>
                <w:spacing w:val="-1"/>
                <w:sz w:val="18"/>
              </w:rPr>
              <w:t>issues</w:t>
            </w:r>
            <w:r>
              <w:rPr>
                <w:rFonts w:ascii="Avenir Next Condensed"/>
                <w:sz w:val="18"/>
              </w:rPr>
              <w:t xml:space="preserve"> posed by the water security </w:t>
            </w:r>
            <w:r>
              <w:rPr>
                <w:rFonts w:ascii="Avenir Next Condensed"/>
                <w:spacing w:val="-1"/>
                <w:sz w:val="18"/>
              </w:rPr>
              <w:t>projects.</w:t>
            </w:r>
          </w:p>
        </w:tc>
      </w:tr>
      <w:tr w:rsidR="00D96B91">
        <w:trPr>
          <w:trHeight w:hRule="exact" w:val="407"/>
        </w:trPr>
        <w:tc>
          <w:tcPr>
            <w:tcW w:w="2518" w:type="dxa"/>
            <w:vMerge/>
            <w:tcBorders>
              <w:left w:val="single" w:sz="4" w:space="0" w:color="17A7E0"/>
              <w:bottom w:val="nil"/>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 and 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w:t>
            </w:r>
            <w:r>
              <w:rPr>
                <w:rFonts w:ascii="Avenir Next Condensed"/>
                <w:spacing w:val="-1"/>
                <w:sz w:val="18"/>
              </w:rPr>
              <w:t>treatment</w:t>
            </w:r>
            <w:r>
              <w:rPr>
                <w:rFonts w:ascii="Avenir Next Condensed"/>
                <w:sz w:val="18"/>
              </w:rPr>
              <w:t xml:space="preserve"> of</w:t>
            </w:r>
            <w:r>
              <w:rPr>
                <w:rFonts w:ascii="Avenir Next Condensed"/>
                <w:spacing w:val="4"/>
                <w:sz w:val="18"/>
              </w:rPr>
              <w:t xml:space="preserve"> </w:t>
            </w:r>
            <w:r>
              <w:rPr>
                <w:rFonts w:ascii="Avenir Next Condensed"/>
                <w:sz w:val="18"/>
              </w:rPr>
              <w:t>CSOs identified by the ICRC</w:t>
            </w:r>
          </w:p>
        </w:tc>
      </w:tr>
      <w:tr w:rsidR="00D96B91">
        <w:trPr>
          <w:trHeight w:hRule="exact" w:val="521"/>
        </w:trPr>
        <w:tc>
          <w:tcPr>
            <w:tcW w:w="2518" w:type="dxa"/>
            <w:tcBorders>
              <w:top w:val="nil"/>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15</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customer bill impact analysis.</w:t>
            </w:r>
          </w:p>
        </w:tc>
      </w:tr>
      <w:tr w:rsidR="00D96B91">
        <w:trPr>
          <w:trHeight w:hRule="exact" w:val="84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252" w:hanging="284"/>
              <w:rPr>
                <w:rFonts w:ascii="Avenir Next Condensed" w:eastAsia="Avenir Next Condensed" w:hAnsi="Avenir Next Condensed" w:cs="Avenir Next Condensed"/>
                <w:sz w:val="18"/>
                <w:szCs w:val="18"/>
              </w:rPr>
            </w:pPr>
            <w:r>
              <w:rPr>
                <w:rFonts w:ascii="Avenir Next Condensed"/>
                <w:b/>
                <w:sz w:val="18"/>
              </w:rPr>
              <w:t xml:space="preserve">(n) </w:t>
            </w:r>
            <w:r>
              <w:rPr>
                <w:rFonts w:ascii="Avenir Next Condensed"/>
                <w:b/>
                <w:spacing w:val="25"/>
                <w:sz w:val="18"/>
              </w:rPr>
              <w:t xml:space="preserve"> </w:t>
            </w:r>
            <w:r>
              <w:rPr>
                <w:rFonts w:ascii="Avenir Next Condensed"/>
                <w:b/>
                <w:spacing w:val="-1"/>
                <w:sz w:val="18"/>
              </w:rPr>
              <w:t>considerations</w:t>
            </w:r>
            <w:r>
              <w:rPr>
                <w:rFonts w:ascii="Avenir Next Condensed"/>
                <w:b/>
                <w:sz w:val="18"/>
              </w:rPr>
              <w:t xml:space="preserve"> of</w:t>
            </w:r>
            <w:r>
              <w:rPr>
                <w:rFonts w:ascii="Avenir Next Condensed"/>
                <w:b/>
                <w:spacing w:val="4"/>
                <w:sz w:val="18"/>
              </w:rPr>
              <w:t xml:space="preserve"> </w:t>
            </w:r>
            <w:r>
              <w:rPr>
                <w:rFonts w:ascii="Avenir Next Condensed"/>
                <w:b/>
                <w:sz w:val="18"/>
              </w:rPr>
              <w:t>demand</w:t>
            </w:r>
            <w:r>
              <w:rPr>
                <w:rFonts w:ascii="Avenir Next Condensed"/>
                <w:b/>
                <w:spacing w:val="24"/>
                <w:sz w:val="18"/>
              </w:rPr>
              <w:t xml:space="preserve"> </w:t>
            </w:r>
            <w:r>
              <w:rPr>
                <w:rFonts w:ascii="Avenir Next Condensed"/>
                <w:b/>
                <w:sz w:val="18"/>
              </w:rPr>
              <w:t xml:space="preserve">management and </w:t>
            </w:r>
            <w:r>
              <w:rPr>
                <w:rFonts w:ascii="Avenir Next Condensed"/>
                <w:b/>
                <w:spacing w:val="-1"/>
                <w:sz w:val="18"/>
              </w:rPr>
              <w:t>least</w:t>
            </w:r>
            <w:r>
              <w:rPr>
                <w:rFonts w:ascii="Avenir Next Condensed"/>
                <w:b/>
                <w:sz w:val="18"/>
              </w:rPr>
              <w:t xml:space="preserve"> cost</w:t>
            </w:r>
            <w:r>
              <w:rPr>
                <w:rFonts w:ascii="Avenir Next Condensed"/>
                <w:b/>
                <w:spacing w:val="23"/>
                <w:sz w:val="18"/>
              </w:rPr>
              <w:t xml:space="preserve"> </w:t>
            </w:r>
            <w:r>
              <w:rPr>
                <w:rFonts w:ascii="Avenir Next Condensed"/>
                <w:b/>
                <w:sz w:val="18"/>
              </w:rPr>
              <w:t>planning</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43"/>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water demand over the </w:t>
            </w:r>
            <w:r>
              <w:rPr>
                <w:rFonts w:ascii="Avenir Next Condensed"/>
                <w:spacing w:val="-1"/>
                <w:sz w:val="18"/>
              </w:rPr>
              <w:t>regulatory</w:t>
            </w:r>
            <w:r>
              <w:rPr>
                <w:rFonts w:ascii="Avenir Next Condensed"/>
                <w:sz w:val="18"/>
              </w:rPr>
              <w:t xml:space="preserve"> period and capital planning</w:t>
            </w:r>
            <w:r>
              <w:rPr>
                <w:rFonts w:ascii="Avenir Next Condensed"/>
                <w:spacing w:val="45"/>
                <w:sz w:val="18"/>
              </w:rPr>
              <w:t xml:space="preserve"> </w:t>
            </w:r>
            <w:r>
              <w:rPr>
                <w:rFonts w:ascii="Avenir Next Condensed"/>
                <w:spacing w:val="-1"/>
                <w:sz w:val="18"/>
              </w:rPr>
              <w:t>processes.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rsidTr="00C61167">
        <w:trPr>
          <w:trHeight w:hRule="exact" w:val="1933"/>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253" w:hanging="284"/>
              <w:rPr>
                <w:rFonts w:ascii="Avenir Next Condensed" w:eastAsia="Avenir Next Condensed" w:hAnsi="Avenir Next Condensed" w:cs="Avenir Next Condensed"/>
                <w:sz w:val="18"/>
                <w:szCs w:val="18"/>
              </w:rPr>
            </w:pPr>
            <w:r>
              <w:rPr>
                <w:rFonts w:ascii="Avenir Next Condensed"/>
                <w:b/>
                <w:sz w:val="18"/>
              </w:rPr>
              <w:t xml:space="preserve">(o) </w:t>
            </w:r>
            <w:r>
              <w:rPr>
                <w:rFonts w:ascii="Avenir Next Condensed"/>
                <w:b/>
                <w:spacing w:val="32"/>
                <w:sz w:val="18"/>
              </w:rPr>
              <w:t xml:space="preserve"> </w:t>
            </w:r>
            <w:r>
              <w:rPr>
                <w:rFonts w:ascii="Avenir Next Condensed"/>
                <w:b/>
                <w:sz w:val="18"/>
              </w:rPr>
              <w:t xml:space="preserve">the </w:t>
            </w:r>
            <w:r>
              <w:rPr>
                <w:rFonts w:ascii="Avenir Next Condensed"/>
                <w:b/>
                <w:spacing w:val="-1"/>
                <w:sz w:val="18"/>
              </w:rPr>
              <w:t>borrowing,</w:t>
            </w:r>
            <w:r>
              <w:rPr>
                <w:rFonts w:ascii="Avenir Next Condensed"/>
                <w:b/>
                <w:spacing w:val="-6"/>
                <w:sz w:val="18"/>
              </w:rPr>
              <w:t xml:space="preserve"> </w:t>
            </w:r>
            <w:r>
              <w:rPr>
                <w:rFonts w:ascii="Avenir Next Condensed"/>
                <w:b/>
                <w:sz w:val="18"/>
              </w:rPr>
              <w:t>capital and</w:t>
            </w:r>
            <w:r>
              <w:rPr>
                <w:rFonts w:ascii="Avenir Next Condensed"/>
                <w:b/>
                <w:spacing w:val="28"/>
                <w:sz w:val="18"/>
              </w:rPr>
              <w:t xml:space="preserve"> </w:t>
            </w:r>
            <w:r>
              <w:rPr>
                <w:rFonts w:ascii="Avenir Next Condensed"/>
                <w:b/>
                <w:sz w:val="18"/>
              </w:rPr>
              <w:t xml:space="preserve">cash flow </w:t>
            </w:r>
            <w:r>
              <w:rPr>
                <w:rFonts w:ascii="Avenir Next Condensed"/>
                <w:b/>
                <w:spacing w:val="-1"/>
                <w:sz w:val="18"/>
              </w:rPr>
              <w:t>requirements</w:t>
            </w:r>
            <w:r>
              <w:rPr>
                <w:rFonts w:ascii="Avenir Next Condensed"/>
                <w:b/>
                <w:sz w:val="18"/>
              </w:rPr>
              <w:t xml:space="preserve"> of</w:t>
            </w:r>
            <w:r>
              <w:rPr>
                <w:rFonts w:ascii="Avenir Next Condensed"/>
                <w:b/>
                <w:spacing w:val="28"/>
                <w:sz w:val="18"/>
              </w:rPr>
              <w:t xml:space="preserve"> </w:t>
            </w:r>
            <w:r>
              <w:rPr>
                <w:rFonts w:ascii="Avenir Next Condensed"/>
                <w:b/>
                <w:sz w:val="18"/>
              </w:rPr>
              <w:t xml:space="preserve">people </w:t>
            </w:r>
            <w:r>
              <w:rPr>
                <w:rFonts w:ascii="Avenir Next Condensed"/>
                <w:b/>
                <w:spacing w:val="-1"/>
                <w:sz w:val="18"/>
              </w:rPr>
              <w:t>providing</w:t>
            </w:r>
            <w:r>
              <w:rPr>
                <w:rFonts w:ascii="Avenir Next Condensed"/>
                <w:b/>
                <w:sz w:val="18"/>
              </w:rPr>
              <w:t xml:space="preserve"> </w:t>
            </w:r>
            <w:r>
              <w:rPr>
                <w:rFonts w:ascii="Avenir Next Condensed"/>
                <w:b/>
                <w:spacing w:val="-1"/>
                <w:sz w:val="18"/>
              </w:rPr>
              <w:t>regulated</w:t>
            </w:r>
            <w:r>
              <w:rPr>
                <w:rFonts w:ascii="Avenir Next Condensed"/>
                <w:b/>
                <w:spacing w:val="29"/>
                <w:sz w:val="18"/>
              </w:rPr>
              <w:t xml:space="preserve"> </w:t>
            </w:r>
            <w:r>
              <w:rPr>
                <w:rFonts w:ascii="Avenir Next Condensed"/>
                <w:b/>
                <w:sz w:val="18"/>
              </w:rPr>
              <w:t xml:space="preserve">services and the need to </w:t>
            </w:r>
            <w:r>
              <w:rPr>
                <w:rFonts w:ascii="Avenir Next Condensed"/>
                <w:b/>
                <w:spacing w:val="-1"/>
                <w:sz w:val="18"/>
              </w:rPr>
              <w:t>renew</w:t>
            </w:r>
            <w:r>
              <w:rPr>
                <w:rFonts w:ascii="Avenir Next Condensed"/>
                <w:b/>
                <w:sz w:val="18"/>
              </w:rPr>
              <w:t xml:space="preserve"> or </w:t>
            </w:r>
            <w:r>
              <w:rPr>
                <w:rFonts w:ascii="Avenir Next Condensed"/>
                <w:b/>
                <w:spacing w:val="-1"/>
                <w:sz w:val="18"/>
              </w:rPr>
              <w:t>increase</w:t>
            </w:r>
            <w:r>
              <w:rPr>
                <w:rFonts w:ascii="Avenir Next Condensed"/>
                <w:b/>
                <w:sz w:val="18"/>
              </w:rPr>
              <w:t xml:space="preserve"> </w:t>
            </w:r>
            <w:r>
              <w:rPr>
                <w:rFonts w:ascii="Avenir Next Condensed"/>
                <w:b/>
                <w:spacing w:val="-1"/>
                <w:sz w:val="18"/>
              </w:rPr>
              <w:t>relevant</w:t>
            </w:r>
            <w:r>
              <w:rPr>
                <w:rFonts w:ascii="Avenir Next Condensed"/>
                <w:b/>
                <w:spacing w:val="27"/>
                <w:sz w:val="18"/>
              </w:rPr>
              <w:t xml:space="preserve"> </w:t>
            </w:r>
            <w:r>
              <w:rPr>
                <w:rFonts w:ascii="Avenir Next Condensed"/>
                <w:b/>
                <w:spacing w:val="-1"/>
                <w:sz w:val="18"/>
              </w:rPr>
              <w:t>assets</w:t>
            </w:r>
            <w:r>
              <w:rPr>
                <w:rFonts w:ascii="Avenir Next Condensed"/>
                <w:b/>
                <w:sz w:val="18"/>
              </w:rPr>
              <w:t xml:space="preserve"> in the </w:t>
            </w:r>
            <w:r>
              <w:rPr>
                <w:rFonts w:ascii="Avenir Next Condensed"/>
                <w:b/>
                <w:spacing w:val="-1"/>
                <w:sz w:val="18"/>
              </w:rPr>
              <w:t>regulated</w:t>
            </w:r>
            <w:r>
              <w:rPr>
                <w:rFonts w:ascii="Avenir Next Condensed"/>
                <w:b/>
                <w:spacing w:val="23"/>
                <w:sz w:val="18"/>
              </w:rPr>
              <w:t xml:space="preserve"> </w:t>
            </w:r>
            <w:r>
              <w:rPr>
                <w:rFonts w:ascii="Avenir Next Condensed"/>
                <w:b/>
                <w:sz w:val="18"/>
              </w:rPr>
              <w:t>industry</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w:t>
            </w:r>
            <w:r>
              <w:rPr>
                <w:rFonts w:ascii="Avenir Next Condensed"/>
                <w:spacing w:val="-6"/>
                <w:sz w:val="18"/>
              </w:rPr>
              <w:t xml:space="preserve"> </w:t>
            </w:r>
            <w:r>
              <w:rPr>
                <w:rFonts w:ascii="Avenir Next Condensed"/>
                <w:sz w:val="18"/>
              </w:rPr>
              <w:t>8 and 15</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09"/>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Consideration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 impact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short-term financial </w:t>
            </w:r>
            <w:r>
              <w:rPr>
                <w:rFonts w:ascii="Avenir Next Condensed" w:eastAsia="Avenir Next Condensed" w:hAnsi="Avenir Next Condensed" w:cs="Avenir Next Condensed"/>
                <w:spacing w:val="-1"/>
                <w:sz w:val="18"/>
                <w:szCs w:val="18"/>
              </w:rPr>
              <w:t>viability,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ie </w:t>
            </w:r>
            <w:r>
              <w:rPr>
                <w:rFonts w:ascii="Avenir Next Condensed" w:eastAsia="Avenir Next Condensed" w:hAnsi="Avenir Next Condensed" w:cs="Avenir Next Condensed"/>
                <w:spacing w:val="-1"/>
                <w:sz w:val="18"/>
                <w:szCs w:val="18"/>
              </w:rPr>
              <w:t>assessment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7"/>
                <w:sz w:val="18"/>
                <w:szCs w:val="18"/>
              </w:rPr>
              <w:t xml:space="preserve"> </w:t>
            </w:r>
            <w:r>
              <w:rPr>
                <w:rFonts w:ascii="Avenir Next Condensed" w:eastAsia="Avenir Next Condensed" w:hAnsi="Avenir Next Condensed" w:cs="Avenir Next Condensed"/>
                <w:sz w:val="18"/>
                <w:szCs w:val="18"/>
              </w:rPr>
              <w:t>whether</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will be able to maintain an investment </w:t>
            </w:r>
            <w:r>
              <w:rPr>
                <w:rFonts w:ascii="Avenir Next Condensed" w:eastAsia="Avenir Next Condensed" w:hAnsi="Avenir Next Condensed" w:cs="Avenir Next Condensed"/>
                <w:spacing w:val="-1"/>
                <w:sz w:val="18"/>
                <w:szCs w:val="18"/>
              </w:rPr>
              <w:t>grade</w:t>
            </w:r>
            <w:r>
              <w:rPr>
                <w:rFonts w:ascii="Avenir Next Condensed" w:eastAsia="Avenir Next Condensed" w:hAnsi="Avenir Next Condensed" w:cs="Avenir Next Condensed"/>
                <w:sz w:val="18"/>
                <w:szCs w:val="18"/>
              </w:rPr>
              <w:t xml:space="preserve"> BBB </w:t>
            </w:r>
            <w:r>
              <w:rPr>
                <w:rFonts w:ascii="Avenir Next Condensed" w:eastAsia="Avenir Next Condensed" w:hAnsi="Avenir Next Condensed" w:cs="Avenir Next Condensed"/>
                <w:spacing w:val="-1"/>
                <w:sz w:val="18"/>
                <w:szCs w:val="18"/>
              </w:rPr>
              <w:t>rating,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during the</w:t>
            </w:r>
            <w:r>
              <w:rPr>
                <w:rFonts w:ascii="Avenir Next Condensed" w:eastAsia="Avenir Next Condensed" w:hAnsi="Avenir Next Condensed" w:cs="Avenir Next Condensed"/>
                <w:spacing w:val="30"/>
                <w:sz w:val="18"/>
                <w:szCs w:val="18"/>
              </w:rPr>
              <w:t xml:space="preserv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in the </w:t>
            </w:r>
            <w:r>
              <w:rPr>
                <w:rFonts w:ascii="Avenir Next Condensed" w:eastAsia="Avenir Next Condensed" w:hAnsi="Avenir Next Condensed" w:cs="Avenir Next Condensed"/>
                <w:spacing w:val="-1"/>
                <w:sz w:val="18"/>
                <w:szCs w:val="18"/>
              </w:rPr>
              <w:t>context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determining the level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deadband,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treatment</w:t>
            </w:r>
            <w:r>
              <w:rPr>
                <w:rFonts w:ascii="Avenir Next Condensed" w:eastAsia="Avenir Next Condensed" w:hAnsi="Avenir Next Condensed" w:cs="Avenir Next Condensed"/>
                <w:spacing w:val="51"/>
                <w:sz w:val="18"/>
                <w:szCs w:val="18"/>
              </w:rPr>
              <w:t xml:space="preserve">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and the impact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charges.</w:t>
            </w:r>
          </w:p>
        </w:tc>
      </w:tr>
      <w:tr w:rsidR="00D96B91">
        <w:trPr>
          <w:trHeight w:hRule="exact" w:val="84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333" w:hanging="284"/>
              <w:jc w:val="both"/>
              <w:rPr>
                <w:rFonts w:ascii="Avenir Next Condensed" w:eastAsia="Avenir Next Condensed" w:hAnsi="Avenir Next Condensed" w:cs="Avenir Next Condensed"/>
                <w:sz w:val="18"/>
                <w:szCs w:val="18"/>
              </w:rPr>
            </w:pPr>
            <w:r>
              <w:rPr>
                <w:rFonts w:ascii="Avenir Next Condensed"/>
                <w:b/>
                <w:sz w:val="18"/>
              </w:rPr>
              <w:t>(p)</w:t>
            </w:r>
            <w:r>
              <w:rPr>
                <w:rFonts w:ascii="Avenir Next Condensed"/>
                <w:b/>
                <w:spacing w:val="27"/>
                <w:sz w:val="18"/>
              </w:rPr>
              <w:t xml:space="preserve"> </w:t>
            </w:r>
            <w:r>
              <w:rPr>
                <w:rFonts w:ascii="Avenir Next Condensed"/>
                <w:b/>
                <w:sz w:val="18"/>
              </w:rPr>
              <w:t xml:space="preserve">the </w:t>
            </w:r>
            <w:r>
              <w:rPr>
                <w:rFonts w:ascii="Avenir Next Condensed"/>
                <w:b/>
                <w:spacing w:val="-1"/>
                <w:sz w:val="18"/>
              </w:rPr>
              <w:t>effect</w:t>
            </w:r>
            <w:r>
              <w:rPr>
                <w:rFonts w:ascii="Avenir Next Condensed"/>
                <w:b/>
                <w:sz w:val="18"/>
              </w:rPr>
              <w:t xml:space="preserve"> on </w:t>
            </w:r>
            <w:r>
              <w:rPr>
                <w:rFonts w:ascii="Avenir Next Condensed"/>
                <w:b/>
                <w:spacing w:val="-1"/>
                <w:sz w:val="18"/>
              </w:rPr>
              <w:t>general</w:t>
            </w:r>
            <w:r>
              <w:rPr>
                <w:rFonts w:ascii="Avenir Next Condensed"/>
                <w:b/>
                <w:sz w:val="18"/>
              </w:rPr>
              <w:t xml:space="preserve"> price</w:t>
            </w:r>
            <w:r>
              <w:rPr>
                <w:rFonts w:ascii="Avenir Next Condensed"/>
                <w:b/>
                <w:spacing w:val="28"/>
                <w:sz w:val="18"/>
              </w:rPr>
              <w:t xml:space="preserve"> </w:t>
            </w:r>
            <w:r>
              <w:rPr>
                <w:rFonts w:ascii="Avenir Next Condensed"/>
                <w:b/>
                <w:sz w:val="18"/>
              </w:rPr>
              <w:t>inflation over the medium term</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15</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 estimated impact of</w:t>
            </w:r>
            <w:r>
              <w:rPr>
                <w:rFonts w:ascii="Avenir Next Condensed"/>
                <w:spacing w:val="4"/>
                <w:sz w:val="18"/>
              </w:rPr>
              <w:t xml:space="preserve"> </w:t>
            </w:r>
            <w:r>
              <w:rPr>
                <w:rFonts w:ascii="Avenir Next Condensed"/>
                <w:sz w:val="18"/>
              </w:rPr>
              <w:t xml:space="preserve">water and </w:t>
            </w:r>
            <w:r>
              <w:rPr>
                <w:rFonts w:ascii="Avenir Next Condensed"/>
                <w:spacing w:val="-1"/>
                <w:sz w:val="18"/>
              </w:rPr>
              <w:t>sewerage</w:t>
            </w:r>
            <w:r>
              <w:rPr>
                <w:rFonts w:ascii="Avenir Next Condensed"/>
                <w:sz w:val="18"/>
              </w:rPr>
              <w:t xml:space="preserve"> prices on </w:t>
            </w:r>
            <w:r>
              <w:rPr>
                <w:rFonts w:ascii="Avenir Next Condensed"/>
                <w:spacing w:val="-1"/>
                <w:sz w:val="18"/>
              </w:rPr>
              <w:t>general</w:t>
            </w:r>
            <w:r>
              <w:rPr>
                <w:rFonts w:ascii="Avenir Next Condensed"/>
                <w:sz w:val="18"/>
              </w:rPr>
              <w:t xml:space="preserve"> inflation.</w:t>
            </w:r>
          </w:p>
        </w:tc>
      </w:tr>
      <w:tr w:rsidR="00D96B91" w:rsidTr="00C61167">
        <w:trPr>
          <w:trHeight w:hRule="exact" w:val="1473"/>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217" w:hanging="284"/>
              <w:rPr>
                <w:rFonts w:ascii="Avenir Next Condensed" w:eastAsia="Avenir Next Condensed" w:hAnsi="Avenir Next Condensed" w:cs="Avenir Next Condensed"/>
                <w:sz w:val="18"/>
                <w:szCs w:val="18"/>
              </w:rPr>
            </w:pPr>
            <w:r>
              <w:rPr>
                <w:rFonts w:ascii="Avenir Next Condensed"/>
                <w:b/>
                <w:sz w:val="18"/>
              </w:rPr>
              <w:t xml:space="preserve">(q) </w:t>
            </w:r>
            <w:r>
              <w:rPr>
                <w:rFonts w:ascii="Avenir Next Condensed"/>
                <w:b/>
                <w:spacing w:val="27"/>
                <w:sz w:val="18"/>
              </w:rPr>
              <w:t xml:space="preserve"> </w:t>
            </w:r>
            <w:r>
              <w:rPr>
                <w:rFonts w:ascii="Avenir Next Condensed"/>
                <w:b/>
                <w:sz w:val="18"/>
              </w:rPr>
              <w:t xml:space="preserve">any </w:t>
            </w:r>
            <w:r>
              <w:rPr>
                <w:rFonts w:ascii="Avenir Next Condensed"/>
                <w:b/>
                <w:spacing w:val="-1"/>
                <w:sz w:val="18"/>
              </w:rPr>
              <w:t>arrangements</w:t>
            </w:r>
            <w:r>
              <w:rPr>
                <w:rFonts w:ascii="Avenir Next Condensed"/>
                <w:b/>
                <w:sz w:val="18"/>
              </w:rPr>
              <w:t xml:space="preserve"> that a</w:t>
            </w:r>
            <w:r>
              <w:rPr>
                <w:rFonts w:ascii="Avenir Next Condensed"/>
                <w:b/>
                <w:spacing w:val="20"/>
                <w:sz w:val="18"/>
              </w:rPr>
              <w:t xml:space="preserve"> </w:t>
            </w:r>
            <w:r>
              <w:rPr>
                <w:rFonts w:ascii="Avenir Next Condensed"/>
                <w:b/>
                <w:sz w:val="18"/>
              </w:rPr>
              <w:t xml:space="preserve">person </w:t>
            </w:r>
            <w:r>
              <w:rPr>
                <w:rFonts w:ascii="Avenir Next Condensed"/>
                <w:b/>
                <w:spacing w:val="-1"/>
                <w:sz w:val="18"/>
              </w:rPr>
              <w:t>providing</w:t>
            </w:r>
            <w:r>
              <w:rPr>
                <w:rFonts w:ascii="Avenir Next Condensed"/>
                <w:b/>
                <w:sz w:val="18"/>
              </w:rPr>
              <w:t xml:space="preserve"> </w:t>
            </w:r>
            <w:r>
              <w:rPr>
                <w:rFonts w:ascii="Avenir Next Condensed"/>
                <w:b/>
                <w:spacing w:val="-1"/>
                <w:sz w:val="18"/>
              </w:rPr>
              <w:t>regulated</w:t>
            </w:r>
            <w:r>
              <w:rPr>
                <w:rFonts w:ascii="Avenir Next Condensed"/>
                <w:b/>
                <w:spacing w:val="29"/>
                <w:sz w:val="18"/>
              </w:rPr>
              <w:t xml:space="preserve"> </w:t>
            </w:r>
            <w:r>
              <w:rPr>
                <w:rFonts w:ascii="Avenir Next Condensed"/>
                <w:b/>
                <w:sz w:val="18"/>
              </w:rPr>
              <w:t xml:space="preserve">services has </w:t>
            </w:r>
            <w:r>
              <w:rPr>
                <w:rFonts w:ascii="Avenir Next Condensed"/>
                <w:b/>
                <w:spacing w:val="-1"/>
                <w:sz w:val="18"/>
              </w:rPr>
              <w:t>entered</w:t>
            </w:r>
            <w:r>
              <w:rPr>
                <w:rFonts w:ascii="Avenir Next Condensed"/>
                <w:b/>
                <w:sz w:val="18"/>
              </w:rPr>
              <w:t xml:space="preserve"> into for</w:t>
            </w:r>
            <w:r>
              <w:rPr>
                <w:rFonts w:ascii="Avenir Next Condensed"/>
                <w:b/>
                <w:spacing w:val="25"/>
                <w:sz w:val="18"/>
              </w:rPr>
              <w:t xml:space="preserve"> </w:t>
            </w:r>
            <w:r>
              <w:rPr>
                <w:rFonts w:ascii="Avenir Next Condensed"/>
                <w:b/>
                <w:sz w:val="18"/>
              </w:rPr>
              <w:t xml:space="preserve">the </w:t>
            </w:r>
            <w:r>
              <w:rPr>
                <w:rFonts w:ascii="Avenir Next Condensed"/>
                <w:b/>
                <w:spacing w:val="-1"/>
                <w:sz w:val="18"/>
              </w:rPr>
              <w:t>exercise</w:t>
            </w:r>
            <w:r>
              <w:rPr>
                <w:rFonts w:ascii="Avenir Next Condensed"/>
                <w:b/>
                <w:sz w:val="18"/>
              </w:rPr>
              <w:t xml:space="preserve"> of</w:t>
            </w:r>
            <w:r>
              <w:rPr>
                <w:rFonts w:ascii="Avenir Next Condensed"/>
                <w:b/>
                <w:spacing w:val="4"/>
                <w:sz w:val="18"/>
              </w:rPr>
              <w:t xml:space="preserve"> </w:t>
            </w:r>
            <w:r>
              <w:rPr>
                <w:rFonts w:ascii="Avenir Next Condensed"/>
                <w:b/>
                <w:sz w:val="18"/>
              </w:rPr>
              <w:t>its functions</w:t>
            </w:r>
            <w:r>
              <w:rPr>
                <w:rFonts w:ascii="Avenir Next Condensed"/>
                <w:b/>
                <w:spacing w:val="23"/>
                <w:sz w:val="18"/>
              </w:rPr>
              <w:t xml:space="preserve"> </w:t>
            </w:r>
            <w:r>
              <w:rPr>
                <w:rFonts w:ascii="Avenir Next Condensed"/>
                <w:b/>
                <w:sz w:val="18"/>
              </w:rPr>
              <w:t>by some other person</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20"/>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cessation</w:t>
            </w:r>
            <w:r>
              <w:rPr>
                <w:rFonts w:ascii="Avenir Next Condensed"/>
                <w:sz w:val="18"/>
              </w:rPr>
              <w:t xml:space="preserve"> of</w:t>
            </w:r>
            <w:r>
              <w:rPr>
                <w:rFonts w:ascii="Avenir Next Condensed"/>
                <w:spacing w:val="4"/>
                <w:sz w:val="18"/>
              </w:rPr>
              <w:t xml:space="preserve"> </w:t>
            </w:r>
            <w:r>
              <w:rPr>
                <w:rFonts w:ascii="Avenir Next Condensed"/>
                <w:sz w:val="18"/>
              </w:rPr>
              <w:t>the Utilities Management</w:t>
            </w:r>
            <w:r>
              <w:rPr>
                <w:rFonts w:ascii="Avenir Next Condensed"/>
                <w:spacing w:val="-4"/>
                <w:sz w:val="18"/>
              </w:rPr>
              <w:t xml:space="preserve"> </w:t>
            </w:r>
            <w:r>
              <w:rPr>
                <w:rFonts w:ascii="Avenir Next Condensed"/>
                <w:spacing w:val="-1"/>
                <w:sz w:val="18"/>
              </w:rPr>
              <w:t>Agreement</w:t>
            </w:r>
            <w:r>
              <w:rPr>
                <w:rFonts w:ascii="Avenir Next Condensed"/>
                <w:sz w:val="18"/>
              </w:rPr>
              <w:t xml:space="preserve"> and the</w:t>
            </w:r>
            <w:r>
              <w:rPr>
                <w:rFonts w:ascii="Avenir Next Condensed"/>
                <w:spacing w:val="45"/>
                <w:sz w:val="18"/>
              </w:rPr>
              <w:t xml:space="preserve"> </w:t>
            </w:r>
            <w:r>
              <w:rPr>
                <w:rFonts w:ascii="Avenir Next Condensed"/>
                <w:sz w:val="18"/>
              </w:rPr>
              <w:t xml:space="preserve">subsequent impact on </w:t>
            </w:r>
            <w:r>
              <w:rPr>
                <w:rFonts w:ascii="Avenir Next Condensed"/>
                <w:spacing w:val="-1"/>
                <w:sz w:val="18"/>
              </w:rPr>
              <w:t>efficient</w:t>
            </w:r>
            <w:r>
              <w:rPr>
                <w:rFonts w:ascii="Avenir Next Condensed"/>
                <w:sz w:val="18"/>
              </w:rPr>
              <w:t xml:space="preserve"> </w:t>
            </w:r>
            <w:r>
              <w:rPr>
                <w:rFonts w:ascii="Avenir Next Condensed"/>
                <w:spacing w:val="-1"/>
                <w:sz w:val="18"/>
              </w:rPr>
              <w:t>operating</w:t>
            </w:r>
            <w:r>
              <w:rPr>
                <w:rFonts w:ascii="Avenir Next Condensed"/>
                <w:sz w:val="18"/>
              </w:rPr>
              <w:t xml:space="preserve"> costs.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bl>
    <w:p w:rsidR="00D96B91" w:rsidRDefault="00D96B91">
      <w:pPr>
        <w:spacing w:before="9"/>
        <w:rPr>
          <w:rFonts w:ascii="Times New Roman" w:eastAsia="Times New Roman" w:hAnsi="Times New Roman" w:cs="Times New Roman"/>
          <w:sz w:val="21"/>
          <w:szCs w:val="21"/>
        </w:rPr>
      </w:pPr>
    </w:p>
    <w:tbl>
      <w:tblPr>
        <w:tblW w:w="0" w:type="auto"/>
        <w:tblInd w:w="1247" w:type="dxa"/>
        <w:tblLayout w:type="fixed"/>
        <w:tblCellMar>
          <w:left w:w="0" w:type="dxa"/>
          <w:right w:w="0" w:type="dxa"/>
        </w:tblCellMar>
        <w:tblLook w:val="01E0"/>
      </w:tblPr>
      <w:tblGrid>
        <w:gridCol w:w="2518"/>
        <w:gridCol w:w="1023"/>
        <w:gridCol w:w="5860"/>
      </w:tblGrid>
      <w:tr w:rsidR="00D96B91">
        <w:trPr>
          <w:trHeight w:hRule="exact" w:val="627"/>
        </w:trPr>
        <w:tc>
          <w:tcPr>
            <w:tcW w:w="25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0"/>
              <w:ind w:left="108"/>
              <w:rPr>
                <w:rFonts w:ascii="Avenir Next Condensed" w:eastAsia="Avenir Next Condensed" w:hAnsi="Avenir Next Condensed" w:cs="Avenir Next Condensed"/>
                <w:sz w:val="18"/>
                <w:szCs w:val="18"/>
              </w:rPr>
            </w:pPr>
            <w:r>
              <w:rPr>
                <w:rFonts w:ascii="Avenir Next Condensed"/>
                <w:b/>
                <w:color w:val="FFFFFF"/>
                <w:spacing w:val="-2"/>
                <w:sz w:val="18"/>
              </w:rPr>
              <w:t>Terms</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reference</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1"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86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0"/>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407"/>
        </w:trPr>
        <w:tc>
          <w:tcPr>
            <w:tcW w:w="2518"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1" w:line="220" w:lineRule="exact"/>
              <w:ind w:left="391" w:right="176" w:hanging="284"/>
              <w:rPr>
                <w:rFonts w:ascii="Avenir Next Condensed" w:eastAsia="Avenir Next Condensed" w:hAnsi="Avenir Next Condensed" w:cs="Avenir Next Condensed"/>
                <w:sz w:val="18"/>
                <w:szCs w:val="18"/>
              </w:rPr>
            </w:pPr>
            <w:r>
              <w:rPr>
                <w:rFonts w:ascii="Avenir Next Condensed"/>
                <w:b/>
                <w:sz w:val="18"/>
              </w:rPr>
              <w:t xml:space="preserve">(a)  </w:t>
            </w:r>
            <w:r>
              <w:rPr>
                <w:rFonts w:ascii="Avenir Next Condensed"/>
                <w:b/>
                <w:spacing w:val="3"/>
                <w:sz w:val="18"/>
              </w:rPr>
              <w:t xml:space="preserve"> </w:t>
            </w:r>
            <w:r>
              <w:rPr>
                <w:rFonts w:ascii="Avenir Next Condensed"/>
                <w:b/>
                <w:sz w:val="18"/>
              </w:rPr>
              <w:t>policies of</w:t>
            </w:r>
            <w:r>
              <w:rPr>
                <w:rFonts w:ascii="Avenir Next Condensed"/>
                <w:b/>
                <w:spacing w:val="4"/>
                <w:sz w:val="18"/>
              </w:rPr>
              <w:t xml:space="preserve"> </w:t>
            </w:r>
            <w:r>
              <w:rPr>
                <w:rFonts w:ascii="Avenir Next Condensed"/>
                <w:b/>
                <w:sz w:val="18"/>
              </w:rPr>
              <w:t>the</w:t>
            </w:r>
            <w:r>
              <w:rPr>
                <w:rFonts w:ascii="Avenir Next Condensed"/>
                <w:b/>
                <w:spacing w:val="-4"/>
                <w:sz w:val="18"/>
              </w:rPr>
              <w:t xml:space="preserve"> </w:t>
            </w:r>
            <w:r>
              <w:rPr>
                <w:rFonts w:ascii="Avenir Next Condensed"/>
                <w:b/>
                <w:spacing w:val="-2"/>
                <w:sz w:val="18"/>
              </w:rPr>
              <w:t>ACT</w:t>
            </w:r>
            <w:r>
              <w:rPr>
                <w:rFonts w:ascii="Avenir Next Condensed"/>
                <w:b/>
                <w:spacing w:val="22"/>
                <w:sz w:val="18"/>
              </w:rPr>
              <w:t xml:space="preserve"> </w:t>
            </w:r>
            <w:r>
              <w:rPr>
                <w:rFonts w:ascii="Avenir Next Condensed"/>
                <w:b/>
                <w:sz w:val="18"/>
              </w:rPr>
              <w:t xml:space="preserve">Government as they </w:t>
            </w:r>
            <w:r>
              <w:rPr>
                <w:rFonts w:ascii="Avenir Next Condensed"/>
                <w:b/>
                <w:spacing w:val="-1"/>
                <w:sz w:val="18"/>
              </w:rPr>
              <w:t>relate</w:t>
            </w:r>
            <w:r>
              <w:rPr>
                <w:rFonts w:ascii="Avenir Next Condensed"/>
                <w:b/>
                <w:spacing w:val="24"/>
                <w:sz w:val="18"/>
              </w:rPr>
              <w:t xml:space="preserve"> </w:t>
            </w:r>
            <w:r>
              <w:rPr>
                <w:rFonts w:ascii="Avenir Next Condensed"/>
                <w:b/>
                <w:sz w:val="18"/>
              </w:rPr>
              <w:t>to water security and the use of</w:t>
            </w:r>
            <w:r>
              <w:rPr>
                <w:rFonts w:ascii="Avenir Next Condensed"/>
                <w:b/>
                <w:spacing w:val="4"/>
                <w:sz w:val="18"/>
              </w:rPr>
              <w:t xml:space="preserve"> </w:t>
            </w:r>
            <w:r>
              <w:rPr>
                <w:rFonts w:ascii="Avenir Next Condensed"/>
                <w:b/>
                <w:sz w:val="18"/>
              </w:rPr>
              <w:t>water</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4</w:t>
            </w:r>
          </w:p>
        </w:tc>
        <w:tc>
          <w:tcPr>
            <w:tcW w:w="58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w:t>
            </w:r>
            <w:r>
              <w:rPr>
                <w:rFonts w:ascii="Avenir Next Condensed"/>
                <w:spacing w:val="-4"/>
                <w:sz w:val="18"/>
              </w:rPr>
              <w:t xml:space="preserve"> </w:t>
            </w:r>
            <w:r>
              <w:rPr>
                <w:rFonts w:ascii="Avenir Next Condensed"/>
                <w:spacing w:val="-2"/>
                <w:sz w:val="18"/>
              </w:rPr>
              <w:t>ACT</w:t>
            </w:r>
            <w:r>
              <w:rPr>
                <w:rFonts w:ascii="Avenir Next Condensed"/>
                <w:spacing w:val="-7"/>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Strategy</w:t>
            </w:r>
            <w:r>
              <w:rPr>
                <w:rFonts w:ascii="Avenir Next Condensed"/>
                <w:sz w:val="18"/>
              </w:rPr>
              <w:t xml:space="preserve"> </w:t>
            </w:r>
            <w:r>
              <w:rPr>
                <w:rFonts w:ascii="Avenir Next Condensed"/>
                <w:spacing w:val="-1"/>
                <w:sz w:val="18"/>
              </w:rPr>
              <w:t>(Released</w:t>
            </w:r>
            <w:r>
              <w:rPr>
                <w:rFonts w:ascii="Avenir Next Condensed"/>
                <w:spacing w:val="-4"/>
                <w:sz w:val="18"/>
              </w:rPr>
              <w:t xml:space="preserve"> </w:t>
            </w:r>
            <w:r>
              <w:rPr>
                <w:rFonts w:ascii="Avenir Next Condensed"/>
                <w:sz w:val="18"/>
              </w:rPr>
              <w:t>August 2014).</w:t>
            </w:r>
          </w:p>
        </w:tc>
      </w:tr>
      <w:tr w:rsidR="00D96B91">
        <w:trPr>
          <w:trHeight w:hRule="exact" w:val="847"/>
        </w:trPr>
        <w:tc>
          <w:tcPr>
            <w:tcW w:w="2518" w:type="dxa"/>
            <w:vMerge/>
            <w:tcBorders>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8</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73"/>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 costs of</w:t>
            </w:r>
            <w:r>
              <w:rPr>
                <w:rFonts w:ascii="Avenir Next Condensed"/>
                <w:spacing w:val="4"/>
                <w:sz w:val="18"/>
              </w:rPr>
              <w:t xml:space="preserve"> </w:t>
            </w:r>
            <w:r>
              <w:rPr>
                <w:rFonts w:ascii="Avenir Next Condensed"/>
                <w:sz w:val="18"/>
              </w:rPr>
              <w:t>achieving the mandated level of</w:t>
            </w:r>
            <w:r>
              <w:rPr>
                <w:rFonts w:ascii="Avenir Next Condensed"/>
                <w:spacing w:val="4"/>
                <w:sz w:val="18"/>
              </w:rPr>
              <w:t xml:space="preserve"> </w:t>
            </w:r>
            <w:r>
              <w:rPr>
                <w:rFonts w:ascii="Avenir Next Condensed"/>
                <w:sz w:val="18"/>
              </w:rPr>
              <w:t>water security in this</w:t>
            </w:r>
            <w:r>
              <w:rPr>
                <w:rFonts w:ascii="Avenir Next Condensed"/>
                <w:spacing w:val="28"/>
                <w:sz w:val="18"/>
              </w:rPr>
              <w:t xml:space="preserve"> </w:t>
            </w:r>
            <w:r>
              <w:rPr>
                <w:rFonts w:ascii="Avenir Next Condensed"/>
                <w:spacing w:val="-1"/>
                <w:sz w:val="18"/>
              </w:rPr>
              <w:t>regulatory</w:t>
            </w:r>
            <w:r>
              <w:rPr>
                <w:rFonts w:ascii="Avenir Next Condensed"/>
                <w:sz w:val="18"/>
              </w:rPr>
              <w:t xml:space="preserve"> period when </w:t>
            </w:r>
            <w:r>
              <w:rPr>
                <w:rFonts w:ascii="Avenir Next Condensed"/>
                <w:spacing w:val="-1"/>
                <w:sz w:val="18"/>
              </w:rPr>
              <w:t>assessing</w:t>
            </w:r>
            <w:r>
              <w:rPr>
                <w:rFonts w:ascii="Avenir Next Condensed"/>
                <w:sz w:val="18"/>
              </w:rPr>
              <w:t xml:space="preserve"> how the costs of</w:t>
            </w:r>
            <w:r>
              <w:rPr>
                <w:rFonts w:ascii="Avenir Next Condensed"/>
                <w:spacing w:val="4"/>
                <w:sz w:val="18"/>
              </w:rPr>
              <w:t xml:space="preserve"> </w:t>
            </w:r>
            <w:r>
              <w:rPr>
                <w:rFonts w:ascii="Avenir Next Condensed"/>
                <w:sz w:val="18"/>
              </w:rPr>
              <w:t xml:space="preserve">the water security </w:t>
            </w:r>
            <w:r>
              <w:rPr>
                <w:rFonts w:ascii="Avenir Next Condensed"/>
                <w:spacing w:val="-1"/>
                <w:sz w:val="18"/>
              </w:rPr>
              <w:t>projects</w:t>
            </w:r>
            <w:r>
              <w:rPr>
                <w:rFonts w:ascii="Avenir Next Condensed"/>
                <w:sz w:val="18"/>
              </w:rPr>
              <w:t xml:space="preserve"> should be</w:t>
            </w:r>
            <w:r>
              <w:rPr>
                <w:rFonts w:ascii="Avenir Next Condensed"/>
                <w:spacing w:val="39"/>
                <w:sz w:val="18"/>
              </w:rPr>
              <w:t xml:space="preserve"> </w:t>
            </w:r>
            <w:r>
              <w:rPr>
                <w:rFonts w:ascii="Avenir Next Condensed"/>
                <w:spacing w:val="-1"/>
                <w:sz w:val="18"/>
              </w:rPr>
              <w:t>recovered.</w:t>
            </w:r>
          </w:p>
        </w:tc>
      </w:tr>
      <w:tr w:rsidR="00D96B91" w:rsidTr="00C61167">
        <w:trPr>
          <w:trHeight w:hRule="exact" w:val="1050"/>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382" w:hanging="284"/>
              <w:rPr>
                <w:rFonts w:ascii="Avenir Next Condensed" w:eastAsia="Avenir Next Condensed" w:hAnsi="Avenir Next Condensed" w:cs="Avenir Next Condensed"/>
                <w:sz w:val="18"/>
                <w:szCs w:val="18"/>
              </w:rPr>
            </w:pPr>
            <w:r>
              <w:rPr>
                <w:rFonts w:ascii="Avenir Next Condensed"/>
                <w:b/>
                <w:sz w:val="18"/>
              </w:rPr>
              <w:t xml:space="preserve">(b) </w:t>
            </w:r>
            <w:r>
              <w:rPr>
                <w:rFonts w:ascii="Avenir Next Condensed"/>
                <w:b/>
                <w:spacing w:val="26"/>
                <w:sz w:val="18"/>
              </w:rPr>
              <w:t xml:space="preserve"> </w:t>
            </w:r>
            <w:r>
              <w:rPr>
                <w:rFonts w:ascii="Avenir Next Condensed"/>
                <w:b/>
                <w:sz w:val="18"/>
              </w:rPr>
              <w:t xml:space="preserve">national water initiatives, policies and </w:t>
            </w:r>
            <w:r>
              <w:rPr>
                <w:rFonts w:ascii="Avenir Next Condensed"/>
                <w:b/>
                <w:spacing w:val="-1"/>
                <w:sz w:val="18"/>
              </w:rPr>
              <w:t>agreements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4</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5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 2010 NWI pricing principles,</w:t>
            </w:r>
            <w:r>
              <w:rPr>
                <w:rFonts w:ascii="Avenir Next Condensed"/>
                <w:spacing w:val="-6"/>
                <w:sz w:val="18"/>
              </w:rPr>
              <w:t xml:space="preserve"> </w:t>
            </w:r>
            <w:r>
              <w:rPr>
                <w:rFonts w:ascii="Avenir Next Condensed"/>
                <w:sz w:val="18"/>
              </w:rPr>
              <w:t xml:space="preserve">which aim to </w:t>
            </w:r>
            <w:r>
              <w:rPr>
                <w:rFonts w:ascii="Avenir Next Condensed"/>
                <w:spacing w:val="-1"/>
                <w:sz w:val="18"/>
              </w:rPr>
              <w:t>ensure</w:t>
            </w:r>
            <w:r>
              <w:rPr>
                <w:rFonts w:ascii="Avenir Next Condensed"/>
                <w:sz w:val="18"/>
              </w:rPr>
              <w:t xml:space="preserve"> that pricing is</w:t>
            </w:r>
            <w:r>
              <w:rPr>
                <w:rFonts w:ascii="Avenir Next Condensed"/>
                <w:spacing w:val="25"/>
                <w:sz w:val="18"/>
              </w:rPr>
              <w:t xml:space="preserve"> </w:t>
            </w:r>
            <w:r>
              <w:rPr>
                <w:rFonts w:ascii="Avenir Next Condensed"/>
                <w:sz w:val="18"/>
              </w:rPr>
              <w:t xml:space="preserve">used primarily to achieve economically </w:t>
            </w:r>
            <w:r>
              <w:rPr>
                <w:rFonts w:ascii="Avenir Next Condensed"/>
                <w:spacing w:val="-1"/>
                <w:sz w:val="18"/>
              </w:rPr>
              <w:t>efficient</w:t>
            </w:r>
            <w:r>
              <w:rPr>
                <w:rFonts w:ascii="Avenir Next Condensed"/>
                <w:sz w:val="18"/>
              </w:rPr>
              <w:t xml:space="preserve"> water use and water service </w:t>
            </w:r>
            <w:r>
              <w:rPr>
                <w:rFonts w:ascii="Avenir Next Condensed"/>
                <w:spacing w:val="-1"/>
                <w:sz w:val="18"/>
              </w:rPr>
              <w:t>provision,</w:t>
            </w:r>
            <w:r>
              <w:rPr>
                <w:rFonts w:ascii="Avenir Next Condensed"/>
                <w:spacing w:val="29"/>
                <w:sz w:val="18"/>
              </w:rPr>
              <w:t xml:space="preserve"> </w:t>
            </w:r>
            <w:r>
              <w:rPr>
                <w:rFonts w:ascii="Avenir Next Condensed"/>
                <w:sz w:val="18"/>
              </w:rPr>
              <w:t xml:space="preserve">and to </w:t>
            </w:r>
            <w:r>
              <w:rPr>
                <w:rFonts w:ascii="Avenir Next Condensed"/>
                <w:spacing w:val="-1"/>
                <w:sz w:val="18"/>
              </w:rPr>
              <w:t>ensure</w:t>
            </w:r>
            <w:r>
              <w:rPr>
                <w:rFonts w:ascii="Avenir Next Condensed"/>
                <w:sz w:val="18"/>
              </w:rPr>
              <w:t xml:space="preserve"> the financial viability of</w:t>
            </w:r>
            <w:r>
              <w:rPr>
                <w:rFonts w:ascii="Avenir Next Condensed"/>
                <w:spacing w:val="4"/>
                <w:sz w:val="18"/>
              </w:rPr>
              <w:t xml:space="preserve"> </w:t>
            </w:r>
            <w:r>
              <w:rPr>
                <w:rFonts w:ascii="Avenir Next Condensed"/>
                <w:sz w:val="18"/>
              </w:rPr>
              <w:t xml:space="preserve">water service </w:t>
            </w:r>
            <w:r>
              <w:rPr>
                <w:rFonts w:ascii="Avenir Next Condensed"/>
                <w:spacing w:val="-1"/>
                <w:sz w:val="18"/>
              </w:rPr>
              <w:t>providers.</w:t>
            </w:r>
          </w:p>
        </w:tc>
      </w:tr>
      <w:tr w:rsidR="00D96B91">
        <w:trPr>
          <w:trHeight w:hRule="exact" w:val="106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191" w:hanging="284"/>
              <w:rPr>
                <w:rFonts w:ascii="Avenir Next Condensed" w:eastAsia="Avenir Next Condensed" w:hAnsi="Avenir Next Condensed" w:cs="Avenir Next Condensed"/>
                <w:sz w:val="18"/>
                <w:szCs w:val="18"/>
              </w:rPr>
            </w:pPr>
            <w:r>
              <w:rPr>
                <w:rFonts w:ascii="Avenir Next Condensed"/>
                <w:b/>
                <w:sz w:val="18"/>
              </w:rPr>
              <w:t xml:space="preserve">(c)  </w:t>
            </w:r>
            <w:r>
              <w:rPr>
                <w:rFonts w:ascii="Avenir Next Condensed"/>
                <w:b/>
                <w:spacing w:val="18"/>
                <w:sz w:val="18"/>
              </w:rPr>
              <w:t xml:space="preserve"> </w:t>
            </w:r>
            <w:r>
              <w:rPr>
                <w:rFonts w:ascii="Avenir Next Condensed"/>
                <w:b/>
                <w:sz w:val="18"/>
              </w:rPr>
              <w:t>the impact of</w:t>
            </w:r>
            <w:r>
              <w:rPr>
                <w:rFonts w:ascii="Avenir Next Condensed"/>
                <w:b/>
                <w:spacing w:val="4"/>
                <w:sz w:val="18"/>
              </w:rPr>
              <w:t xml:space="preserve"> </w:t>
            </w:r>
            <w:r>
              <w:rPr>
                <w:rFonts w:ascii="Avenir Next Condensed"/>
                <w:b/>
                <w:sz w:val="18"/>
              </w:rPr>
              <w:t xml:space="preserve">a price on carbon on the </w:t>
            </w:r>
            <w:r>
              <w:rPr>
                <w:rFonts w:ascii="Avenir Next Condensed"/>
                <w:b/>
                <w:spacing w:val="-1"/>
                <w:sz w:val="18"/>
              </w:rPr>
              <w:t>provision</w:t>
            </w:r>
            <w:r>
              <w:rPr>
                <w:rFonts w:ascii="Avenir Next Condensed"/>
                <w:b/>
                <w:sz w:val="18"/>
              </w:rPr>
              <w:t xml:space="preserve"> of</w:t>
            </w:r>
            <w:r>
              <w:rPr>
                <w:rFonts w:ascii="Avenir Next Condensed"/>
                <w:b/>
                <w:spacing w:val="27"/>
                <w:sz w:val="18"/>
              </w:rPr>
              <w:t xml:space="preserve"> </w:t>
            </w:r>
            <w:r>
              <w:rPr>
                <w:rFonts w:ascii="Avenir Next Condensed"/>
                <w:b/>
                <w:sz w:val="18"/>
              </w:rPr>
              <w:t xml:space="preserve">water and </w:t>
            </w:r>
            <w:r>
              <w:rPr>
                <w:rFonts w:ascii="Avenir Next Condensed"/>
                <w:b/>
                <w:spacing w:val="-1"/>
                <w:sz w:val="18"/>
              </w:rPr>
              <w:t>sewerage</w:t>
            </w:r>
            <w:r>
              <w:rPr>
                <w:rFonts w:ascii="Avenir Next Condensed"/>
                <w:b/>
                <w:sz w:val="18"/>
              </w:rPr>
              <w:t xml:space="preserve"> services</w:t>
            </w:r>
            <w:r>
              <w:rPr>
                <w:rFonts w:ascii="Avenir Next Condensed"/>
                <w:b/>
                <w:spacing w:val="26"/>
                <w:sz w:val="18"/>
              </w:rPr>
              <w:t xml:space="preserve"> </w:t>
            </w:r>
            <w:r>
              <w:rPr>
                <w:rFonts w:ascii="Avenir Next Condensed"/>
                <w:b/>
                <w:sz w:val="18"/>
              </w:rPr>
              <w:t>in the</w:t>
            </w:r>
            <w:r>
              <w:rPr>
                <w:rFonts w:ascii="Avenir Next Condensed"/>
                <w:b/>
                <w:spacing w:val="-4"/>
                <w:sz w:val="18"/>
              </w:rPr>
              <w:t xml:space="preserve"> </w:t>
            </w:r>
            <w:r>
              <w:rPr>
                <w:rFonts w:ascii="Avenir Next Condensed"/>
                <w:b/>
                <w:spacing w:val="-2"/>
                <w:sz w:val="18"/>
              </w:rPr>
              <w:t>ACT</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11</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37"/>
              <w:jc w:val="both"/>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Consideration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how carbon costs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currently</w:t>
            </w:r>
            <w:r>
              <w:rPr>
                <w:rFonts w:ascii="Avenir Next Condensed" w:eastAsia="Avenir Next Condensed" w:hAnsi="Avenir Next Condensed" w:cs="Avenir Next Condensed"/>
                <w:sz w:val="18"/>
                <w:szCs w:val="18"/>
              </w:rPr>
              <w:t xml:space="preserve"> accounted for in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expenditure</w:t>
            </w:r>
            <w:r>
              <w:rPr>
                <w:rFonts w:ascii="Avenir Next Condensed" w:eastAsia="Avenir Next Condensed" w:hAnsi="Avenir Next Condensed" w:cs="Avenir Next Condensed"/>
                <w:spacing w:val="59"/>
                <w:sz w:val="18"/>
                <w:szCs w:val="18"/>
              </w:rPr>
              <w:t xml:space="preserve"> </w:t>
            </w:r>
            <w:r>
              <w:rPr>
                <w:rFonts w:ascii="Avenir Next Condensed" w:eastAsia="Avenir Next Condensed" w:hAnsi="Avenir Next Condensed" w:cs="Avenir Next Condensed"/>
                <w:spacing w:val="-1"/>
                <w:sz w:val="18"/>
                <w:szCs w:val="18"/>
              </w:rPr>
              <w:t>forecasts</w:t>
            </w:r>
            <w:r>
              <w:rPr>
                <w:rFonts w:ascii="Avenir Next Condensed" w:eastAsia="Avenir Next Condensed" w:hAnsi="Avenir Next Condensed" w:cs="Avenir Next Condensed"/>
                <w:sz w:val="18"/>
                <w:szCs w:val="18"/>
              </w:rPr>
              <w:t xml:space="preserve"> and whether any </w:t>
            </w:r>
            <w:r>
              <w:rPr>
                <w:rFonts w:ascii="Avenir Next Condensed" w:eastAsia="Avenir Next Condensed" w:hAnsi="Avenir Next Condensed" w:cs="Avenir Next Condensed"/>
                <w:spacing w:val="-1"/>
                <w:sz w:val="18"/>
                <w:szCs w:val="18"/>
              </w:rPr>
              <w:t>downward</w:t>
            </w:r>
            <w:r>
              <w:rPr>
                <w:rFonts w:ascii="Avenir Next Condensed" w:eastAsia="Avenir Next Condensed" w:hAnsi="Avenir Next Condensed" w:cs="Avenir Next Condensed"/>
                <w:sz w:val="18"/>
                <w:szCs w:val="18"/>
              </w:rPr>
              <w:t xml:space="preserve"> adjustment is </w:t>
            </w:r>
            <w:r>
              <w:rPr>
                <w:rFonts w:ascii="Avenir Next Condensed" w:eastAsia="Avenir Next Condensed" w:hAnsi="Avenir Next Condensed" w:cs="Avenir Next Condensed"/>
                <w:spacing w:val="-1"/>
                <w:sz w:val="18"/>
                <w:szCs w:val="18"/>
              </w:rPr>
              <w:t>required</w:t>
            </w:r>
            <w:r>
              <w:rPr>
                <w:rFonts w:ascii="Avenir Next Condensed" w:eastAsia="Avenir Next Condensed" w:hAnsi="Avenir Next Condensed" w:cs="Avenir Next Condensed"/>
                <w:sz w:val="18"/>
                <w:szCs w:val="18"/>
              </w:rPr>
              <w:t xml:space="preserve"> following the abolition of</w:t>
            </w:r>
            <w:r>
              <w:rPr>
                <w:rFonts w:ascii="Avenir Next Condensed" w:eastAsia="Avenir Next Condensed" w:hAnsi="Avenir Next Condensed" w:cs="Avenir Next Condensed"/>
                <w:spacing w:val="35"/>
                <w:sz w:val="18"/>
                <w:szCs w:val="18"/>
              </w:rPr>
              <w:t xml:space="preserve"> </w:t>
            </w:r>
            <w:r>
              <w:rPr>
                <w:rFonts w:ascii="Avenir Next Condensed" w:eastAsia="Avenir Next Condensed" w:hAnsi="Avenir Next Condensed" w:cs="Avenir Next Condensed"/>
                <w:sz w:val="18"/>
                <w:szCs w:val="18"/>
              </w:rPr>
              <w:t>the carbon price.</w:t>
            </w:r>
          </w:p>
        </w:tc>
      </w:tr>
      <w:tr w:rsidR="00D96B91">
        <w:trPr>
          <w:trHeight w:hRule="exact" w:val="150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159" w:hanging="284"/>
              <w:rPr>
                <w:rFonts w:ascii="Avenir Next Condensed" w:eastAsia="Avenir Next Condensed" w:hAnsi="Avenir Next Condensed" w:cs="Avenir Next Condensed"/>
                <w:sz w:val="18"/>
                <w:szCs w:val="18"/>
              </w:rPr>
            </w:pPr>
            <w:r>
              <w:rPr>
                <w:rFonts w:ascii="Avenir Next Condensed"/>
                <w:b/>
                <w:sz w:val="18"/>
              </w:rPr>
              <w:t xml:space="preserve">(d) </w:t>
            </w:r>
            <w:r>
              <w:rPr>
                <w:rFonts w:ascii="Avenir Next Condensed"/>
                <w:b/>
                <w:spacing w:val="27"/>
                <w:sz w:val="18"/>
              </w:rPr>
              <w:t xml:space="preserve"> </w:t>
            </w:r>
            <w:r>
              <w:rPr>
                <w:rFonts w:ascii="Avenir Next Condensed"/>
                <w:b/>
                <w:sz w:val="18"/>
              </w:rPr>
              <w:t>the ability of</w:t>
            </w:r>
            <w:r>
              <w:rPr>
                <w:rFonts w:ascii="Avenir Next Condensed"/>
                <w:b/>
                <w:spacing w:val="4"/>
                <w:sz w:val="18"/>
              </w:rPr>
              <w:t xml:space="preserve"> </w:t>
            </w:r>
            <w:r>
              <w:rPr>
                <w:rFonts w:ascii="Avenir Next Condensed"/>
                <w:b/>
                <w:sz w:val="18"/>
              </w:rPr>
              <w:t xml:space="preserve">the pricing path to match </w:t>
            </w:r>
            <w:r>
              <w:rPr>
                <w:rFonts w:ascii="Avenir Next Condensed"/>
                <w:b/>
                <w:spacing w:val="-1"/>
                <w:sz w:val="18"/>
              </w:rPr>
              <w:t>revenue</w:t>
            </w:r>
            <w:r>
              <w:rPr>
                <w:rFonts w:ascii="Avenir Next Condensed"/>
                <w:b/>
                <w:spacing w:val="25"/>
                <w:sz w:val="18"/>
              </w:rPr>
              <w:t xml:space="preserve"> </w:t>
            </w:r>
            <w:r>
              <w:rPr>
                <w:rFonts w:ascii="Avenir Next Condensed"/>
                <w:b/>
                <w:spacing w:val="-1"/>
                <w:sz w:val="18"/>
              </w:rPr>
              <w:t>recovery</w:t>
            </w:r>
            <w:r>
              <w:rPr>
                <w:rFonts w:ascii="Avenir Next Condensed"/>
                <w:b/>
                <w:sz w:val="18"/>
              </w:rPr>
              <w:t xml:space="preserve"> </w:t>
            </w:r>
            <w:r>
              <w:rPr>
                <w:rFonts w:ascii="Avenir Next Condensed"/>
                <w:b/>
                <w:spacing w:val="-1"/>
                <w:sz w:val="18"/>
              </w:rPr>
              <w:t>requirements</w:t>
            </w:r>
            <w:r>
              <w:rPr>
                <w:rFonts w:ascii="Avenir Next Condensed"/>
                <w:b/>
                <w:sz w:val="18"/>
              </w:rPr>
              <w:t xml:space="preserve"> to the</w:t>
            </w:r>
            <w:r>
              <w:rPr>
                <w:rFonts w:ascii="Avenir Next Condensed"/>
                <w:b/>
                <w:spacing w:val="29"/>
                <w:sz w:val="18"/>
              </w:rPr>
              <w:t xml:space="preserve"> </w:t>
            </w:r>
            <w:r>
              <w:rPr>
                <w:rFonts w:ascii="Avenir Next Condensed"/>
                <w:b/>
                <w:sz w:val="18"/>
              </w:rPr>
              <w:t xml:space="preserve">consumer benefits accrued </w:t>
            </w:r>
            <w:r>
              <w:rPr>
                <w:rFonts w:ascii="Avenir Next Condensed"/>
                <w:b/>
                <w:spacing w:val="-1"/>
                <w:sz w:val="18"/>
              </w:rPr>
              <w:t>from</w:t>
            </w:r>
            <w:r>
              <w:rPr>
                <w:rFonts w:ascii="Avenir Next Condensed"/>
                <w:b/>
                <w:sz w:val="18"/>
              </w:rPr>
              <w:t xml:space="preserve"> the water security</w:t>
            </w:r>
            <w:r>
              <w:rPr>
                <w:rFonts w:ascii="Avenir Next Condensed"/>
                <w:b/>
                <w:spacing w:val="22"/>
                <w:sz w:val="18"/>
              </w:rPr>
              <w:t xml:space="preserve"> </w:t>
            </w:r>
            <w:r>
              <w:rPr>
                <w:rFonts w:ascii="Avenir Next Condensed"/>
                <w:b/>
                <w:spacing w:val="-1"/>
                <w:sz w:val="18"/>
              </w:rPr>
              <w:t>program</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8</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12"/>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 manner in which the costs of</w:t>
            </w:r>
            <w:r>
              <w:rPr>
                <w:rFonts w:ascii="Avenir Next Condensed"/>
                <w:spacing w:val="4"/>
                <w:sz w:val="18"/>
              </w:rPr>
              <w:t xml:space="preserve"> </w:t>
            </w:r>
            <w:r>
              <w:rPr>
                <w:rFonts w:ascii="Avenir Next Condensed"/>
                <w:sz w:val="18"/>
              </w:rPr>
              <w:t xml:space="preserve">the water security </w:t>
            </w:r>
            <w:r>
              <w:rPr>
                <w:rFonts w:ascii="Avenir Next Condensed"/>
                <w:spacing w:val="-1"/>
                <w:sz w:val="18"/>
              </w:rPr>
              <w:t>projects</w:t>
            </w:r>
            <w:r>
              <w:rPr>
                <w:rFonts w:ascii="Avenir Next Condensed"/>
                <w:sz w:val="18"/>
              </w:rPr>
              <w:t xml:space="preserve"> should be</w:t>
            </w:r>
            <w:r>
              <w:rPr>
                <w:rFonts w:ascii="Avenir Next Condensed"/>
                <w:spacing w:val="29"/>
                <w:sz w:val="18"/>
              </w:rPr>
              <w:t xml:space="preserve"> </w:t>
            </w:r>
            <w:r>
              <w:rPr>
                <w:rFonts w:ascii="Avenir Next Condensed"/>
                <w:spacing w:val="-1"/>
                <w:sz w:val="18"/>
              </w:rPr>
              <w:t>recovered.</w:t>
            </w:r>
          </w:p>
        </w:tc>
      </w:tr>
    </w:tbl>
    <w:p w:rsidR="00D96B91" w:rsidRDefault="00D96B91">
      <w:pPr>
        <w:spacing w:line="220" w:lineRule="exact"/>
        <w:rPr>
          <w:rFonts w:ascii="Avenir Next Condensed" w:eastAsia="Avenir Next Condensed" w:hAnsi="Avenir Next Condensed" w:cs="Avenir Next Condensed"/>
          <w:sz w:val="18"/>
          <w:szCs w:val="18"/>
        </w:rPr>
        <w:sectPr w:rsidR="00D96B91">
          <w:footerReference w:type="even" r:id="rId96"/>
          <w:pgSz w:w="11910" w:h="16840"/>
          <w:pgMar w:top="1160" w:right="0" w:bottom="0" w:left="0" w:header="0" w:footer="0" w:gutter="0"/>
          <w:cols w:space="720"/>
        </w:sectPr>
      </w:pPr>
    </w:p>
    <w:p w:rsidR="00D96B91" w:rsidRDefault="00D96B91">
      <w:pPr>
        <w:spacing w:before="5"/>
        <w:rPr>
          <w:rFonts w:ascii="Times New Roman" w:eastAsia="Times New Roman" w:hAnsi="Times New Roman" w:cs="Times New Roman"/>
          <w:sz w:val="6"/>
          <w:szCs w:val="6"/>
        </w:rPr>
      </w:pPr>
      <w:r w:rsidRPr="00D96B91">
        <w:pict>
          <v:group id="_x0000_s1768" style="position:absolute;margin-left:.15pt;margin-top:789.45pt;width:595.15pt;height:52.45pt;z-index:251549184;mso-position-horizontal-relative:page;mso-position-vertical-relative:page" coordorigin="3,15789" coordsize="11903,1049">
            <v:group id="_x0000_s1769" style="position:absolute;left:3;top:15789;width:11903;height:1049" coordorigin="3,15789" coordsize="11903,1049">
              <v:shape id="_x0000_s1772" style="position:absolute;left:3;top:15789;width:11903;height:1049" coordorigin="3,15789" coordsize="11903,1049" path="m11906,15789l3,15789r,1049l11906,16838r,-1049xe" fillcolor="#0778be" stroked="f">
                <v:path arrowok="t"/>
              </v:shape>
              <v:shape id="_x0000_s1771" type="#_x0000_t75" style="position:absolute;left:3;top:15789;width:11903;height:1049">
                <v:imagedata r:id="rId97" o:title=""/>
              </v:shape>
              <v:shape id="_x0000_s1770" type="#_x0000_t202" style="position:absolute;left:3;top:15789;width:11903;height:1049" filled="f" stroked="f">
                <v:textbox style="mso-next-textbox:#_x0000_s1770" inset="0,0,0,0">
                  <w:txbxContent>
                    <w:p w:rsidR="008A79D5" w:rsidRDefault="008A79D5">
                      <w:pPr>
                        <w:spacing w:before="6"/>
                        <w:rPr>
                          <w:rFonts w:ascii="Times New Roman" w:eastAsia="Times New Roman" w:hAnsi="Times New Roman" w:cs="Times New Roman"/>
                          <w:sz w:val="18"/>
                          <w:szCs w:val="18"/>
                        </w:rPr>
                      </w:pPr>
                    </w:p>
                    <w:p w:rsidR="008A79D5" w:rsidRDefault="008A79D5">
                      <w:pPr>
                        <w:ind w:left="5414"/>
                        <w:rPr>
                          <w:rFonts w:ascii="Avenir Next" w:eastAsia="Avenir Next" w:hAnsi="Avenir Next" w:cs="Avenir Next"/>
                          <w:sz w:val="20"/>
                          <w:szCs w:val="20"/>
                        </w:rPr>
                      </w:pPr>
                      <w:r>
                        <w:rPr>
                          <w:rFonts w:ascii="Avenir Next"/>
                          <w:color w:val="EEF8FE"/>
                          <w:spacing w:val="-1"/>
                          <w:sz w:val="20"/>
                        </w:rPr>
                        <w:t>Compliance</w:t>
                      </w:r>
                      <w:r>
                        <w:rPr>
                          <w:rFonts w:ascii="Avenir Next"/>
                          <w:color w:val="EEF8FE"/>
                          <w:sz w:val="20"/>
                        </w:rPr>
                        <w:t xml:space="preserve"> with section 20(2) and the terms of</w:t>
                      </w:r>
                      <w:r>
                        <w:rPr>
                          <w:rFonts w:ascii="Avenir Next"/>
                          <w:color w:val="EEF8FE"/>
                          <w:spacing w:val="4"/>
                          <w:sz w:val="20"/>
                        </w:rPr>
                        <w:t xml:space="preserve"> </w:t>
                      </w:r>
                      <w:r>
                        <w:rPr>
                          <w:rFonts w:ascii="Avenir Next"/>
                          <w:color w:val="EEF8FE"/>
                          <w:spacing w:val="-1"/>
                          <w:sz w:val="20"/>
                        </w:rPr>
                        <w:t>reference</w:t>
                      </w:r>
                      <w:r>
                        <w:rPr>
                          <w:rFonts w:ascii="Avenir Next"/>
                          <w:color w:val="EEF8FE"/>
                          <w:sz w:val="20"/>
                        </w:rPr>
                        <w:t xml:space="preserve">  </w:t>
                      </w:r>
                      <w:r>
                        <w:rPr>
                          <w:rFonts w:ascii="Avenir Next"/>
                          <w:color w:val="EEF8FE"/>
                          <w:spacing w:val="50"/>
                          <w:sz w:val="20"/>
                        </w:rPr>
                        <w:t xml:space="preserve"> </w:t>
                      </w:r>
                      <w:r>
                        <w:rPr>
                          <w:rFonts w:ascii="Avenir Next"/>
                          <w:color w:val="EEF8FE"/>
                          <w:sz w:val="20"/>
                        </w:rPr>
                        <w:t>151</w:t>
                      </w:r>
                    </w:p>
                  </w:txbxContent>
                </v:textbox>
              </v:shape>
            </v:group>
            <w10:wrap anchorx="page" anchory="page"/>
          </v:group>
        </w:pict>
      </w:r>
    </w:p>
    <w:tbl>
      <w:tblPr>
        <w:tblW w:w="0" w:type="auto"/>
        <w:tblInd w:w="1247" w:type="dxa"/>
        <w:tblLayout w:type="fixed"/>
        <w:tblCellMar>
          <w:left w:w="0" w:type="dxa"/>
          <w:right w:w="0" w:type="dxa"/>
        </w:tblCellMar>
        <w:tblLook w:val="01E0"/>
      </w:tblPr>
      <w:tblGrid>
        <w:gridCol w:w="2518"/>
        <w:gridCol w:w="1023"/>
        <w:gridCol w:w="5860"/>
      </w:tblGrid>
      <w:tr w:rsidR="00D96B91">
        <w:trPr>
          <w:trHeight w:hRule="exact" w:val="627"/>
        </w:trPr>
        <w:tc>
          <w:tcPr>
            <w:tcW w:w="25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pacing w:val="-2"/>
                <w:sz w:val="18"/>
              </w:rPr>
              <w:t>Terms</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reference</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86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1002"/>
        </w:trPr>
        <w:tc>
          <w:tcPr>
            <w:tcW w:w="2518"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2" w:line="220" w:lineRule="exact"/>
              <w:ind w:left="391" w:right="192" w:hanging="284"/>
              <w:rPr>
                <w:rFonts w:ascii="Avenir Next Condensed" w:eastAsia="Avenir Next Condensed" w:hAnsi="Avenir Next Condensed" w:cs="Avenir Next Condensed"/>
                <w:sz w:val="18"/>
                <w:szCs w:val="18"/>
              </w:rPr>
            </w:pPr>
            <w:r>
              <w:rPr>
                <w:rFonts w:ascii="Avenir Next Condensed"/>
                <w:b/>
                <w:sz w:val="18"/>
              </w:rPr>
              <w:t xml:space="preserve">(e)  </w:t>
            </w:r>
            <w:r>
              <w:rPr>
                <w:rFonts w:ascii="Avenir Next Condensed"/>
                <w:b/>
                <w:spacing w:val="1"/>
                <w:sz w:val="18"/>
              </w:rPr>
              <w:t xml:space="preserve"> </w:t>
            </w:r>
            <w:r>
              <w:rPr>
                <w:rFonts w:ascii="Avenir Next Condensed"/>
                <w:b/>
                <w:sz w:val="18"/>
              </w:rPr>
              <w:t xml:space="preserve">all potential </w:t>
            </w:r>
            <w:r>
              <w:rPr>
                <w:rFonts w:ascii="Avenir Next Condensed"/>
                <w:b/>
                <w:spacing w:val="-1"/>
                <w:sz w:val="18"/>
              </w:rPr>
              <w:t>regulatory</w:t>
            </w:r>
            <w:r>
              <w:rPr>
                <w:rFonts w:ascii="Avenir Next Condensed"/>
                <w:b/>
                <w:spacing w:val="28"/>
                <w:sz w:val="18"/>
              </w:rPr>
              <w:t xml:space="preserve"> </w:t>
            </w:r>
            <w:r>
              <w:rPr>
                <w:rFonts w:ascii="Avenir Next Condensed"/>
                <w:b/>
                <w:sz w:val="18"/>
              </w:rPr>
              <w:t>models,</w:t>
            </w:r>
            <w:r>
              <w:rPr>
                <w:rFonts w:ascii="Avenir Next Condensed"/>
                <w:b/>
                <w:spacing w:val="-6"/>
                <w:sz w:val="18"/>
              </w:rPr>
              <w:t xml:space="preserve"> </w:t>
            </w:r>
            <w:r>
              <w:rPr>
                <w:rFonts w:ascii="Avenir Next Condensed"/>
                <w:b/>
                <w:sz w:val="18"/>
              </w:rPr>
              <w:t xml:space="preserve">including </w:t>
            </w:r>
            <w:r>
              <w:rPr>
                <w:rFonts w:ascii="Avenir Next Condensed"/>
                <w:b/>
                <w:spacing w:val="-1"/>
                <w:sz w:val="18"/>
              </w:rPr>
              <w:t>consideration</w:t>
            </w:r>
            <w:r>
              <w:rPr>
                <w:rFonts w:ascii="Avenir Next Condensed"/>
                <w:b/>
                <w:sz w:val="18"/>
              </w:rPr>
              <w:t xml:space="preserve"> of</w:t>
            </w:r>
            <w:r>
              <w:rPr>
                <w:rFonts w:ascii="Avenir Next Condensed"/>
                <w:b/>
                <w:spacing w:val="4"/>
                <w:sz w:val="18"/>
              </w:rPr>
              <w:t xml:space="preserve"> </w:t>
            </w:r>
            <w:r>
              <w:rPr>
                <w:rFonts w:ascii="Avenir Next Condensed"/>
                <w:b/>
                <w:sz w:val="18"/>
              </w:rPr>
              <w:t>the</w:t>
            </w:r>
            <w:r>
              <w:rPr>
                <w:rFonts w:ascii="Avenir Next Condensed"/>
                <w:b/>
                <w:spacing w:val="22"/>
                <w:sz w:val="18"/>
              </w:rPr>
              <w:t xml:space="preserve"> </w:t>
            </w:r>
            <w:r>
              <w:rPr>
                <w:rFonts w:ascii="Avenir Next Condensed"/>
                <w:b/>
                <w:spacing w:val="-1"/>
                <w:sz w:val="18"/>
              </w:rPr>
              <w:t>provision</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sufficient</w:t>
            </w:r>
            <w:r>
              <w:rPr>
                <w:rFonts w:ascii="Avenir Next Condensed"/>
                <w:b/>
                <w:spacing w:val="29"/>
                <w:sz w:val="18"/>
              </w:rPr>
              <w:t xml:space="preserve"> </w:t>
            </w:r>
            <w:r>
              <w:rPr>
                <w:rFonts w:ascii="Avenir Next Condensed"/>
                <w:b/>
                <w:spacing w:val="-1"/>
                <w:sz w:val="18"/>
              </w:rPr>
              <w:t>flexibility</w:t>
            </w:r>
            <w:r>
              <w:rPr>
                <w:rFonts w:ascii="Avenir Next Condensed"/>
                <w:b/>
                <w:sz w:val="18"/>
              </w:rPr>
              <w:t xml:space="preserve"> in price </w:t>
            </w:r>
            <w:r>
              <w:rPr>
                <w:rFonts w:ascii="Avenir Next Condensed"/>
                <w:b/>
                <w:spacing w:val="-1"/>
                <w:sz w:val="18"/>
              </w:rPr>
              <w:t>setting</w:t>
            </w:r>
            <w:r>
              <w:rPr>
                <w:rFonts w:ascii="Avenir Next Condensed"/>
                <w:b/>
                <w:spacing w:val="27"/>
                <w:sz w:val="18"/>
              </w:rPr>
              <w:t xml:space="preserve"> </w:t>
            </w:r>
            <w:r>
              <w:rPr>
                <w:rFonts w:ascii="Avenir Next Condensed"/>
                <w:b/>
                <w:spacing w:val="-1"/>
                <w:sz w:val="18"/>
              </w:rPr>
              <w:t>across</w:t>
            </w:r>
            <w:r>
              <w:rPr>
                <w:rFonts w:ascii="Avenir Next Condensed"/>
                <w:b/>
                <w:sz w:val="18"/>
              </w:rPr>
              <w:t xml:space="preserve"> the </w:t>
            </w:r>
            <w:r>
              <w:rPr>
                <w:rFonts w:ascii="Avenir Next Condensed"/>
                <w:b/>
                <w:spacing w:val="-1"/>
                <w:sz w:val="18"/>
              </w:rPr>
              <w:t>regulatory</w:t>
            </w:r>
            <w:r>
              <w:rPr>
                <w:rFonts w:ascii="Avenir Next Condensed"/>
                <w:b/>
                <w:sz w:val="18"/>
              </w:rPr>
              <w:t xml:space="preserve"> period</w:t>
            </w:r>
            <w:r>
              <w:rPr>
                <w:rFonts w:ascii="Avenir Next Condensed"/>
                <w:b/>
                <w:spacing w:val="21"/>
                <w:sz w:val="18"/>
              </w:rPr>
              <w:t xml:space="preserve"> </w:t>
            </w:r>
            <w:r>
              <w:rPr>
                <w:rFonts w:ascii="Avenir Next Condensed"/>
                <w:b/>
                <w:sz w:val="18"/>
              </w:rPr>
              <w:t>to minimise the impact of significant price fluctuations</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 and 7</w:t>
            </w:r>
          </w:p>
        </w:tc>
        <w:tc>
          <w:tcPr>
            <w:tcW w:w="58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501"/>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form of</w:t>
            </w:r>
            <w:r>
              <w:rPr>
                <w:rFonts w:ascii="Avenir Next Condensed"/>
                <w:spacing w:val="4"/>
                <w:sz w:val="18"/>
              </w:rPr>
              <w:t xml:space="preserve"> </w:t>
            </w:r>
            <w:r>
              <w:rPr>
                <w:rFonts w:ascii="Avenir Next Condensed"/>
                <w:spacing w:val="-1"/>
                <w:sz w:val="18"/>
              </w:rPr>
              <w:t>regulation</w:t>
            </w:r>
            <w:r>
              <w:rPr>
                <w:rFonts w:ascii="Avenir Next Condensed"/>
                <w:sz w:val="18"/>
              </w:rPr>
              <w:t xml:space="preserve"> </w:t>
            </w:r>
            <w:r>
              <w:rPr>
                <w:rFonts w:ascii="Avenir Next Condensed"/>
                <w:spacing w:val="-1"/>
                <w:sz w:val="18"/>
              </w:rPr>
              <w:t>issues,</w:t>
            </w:r>
            <w:r>
              <w:rPr>
                <w:rFonts w:ascii="Avenir Next Condensed"/>
                <w:spacing w:val="-6"/>
                <w:sz w:val="18"/>
              </w:rPr>
              <w:t xml:space="preserve"> </w:t>
            </w:r>
            <w:r>
              <w:rPr>
                <w:rFonts w:ascii="Avenir Next Condensed"/>
                <w:sz w:val="18"/>
              </w:rPr>
              <w:t xml:space="preserve">including </w:t>
            </w:r>
            <w:r>
              <w:rPr>
                <w:rFonts w:ascii="Avenir Next Condensed"/>
                <w:spacing w:val="-1"/>
                <w:sz w:val="18"/>
              </w:rPr>
              <w:t>measures</w:t>
            </w:r>
            <w:r>
              <w:rPr>
                <w:rFonts w:ascii="Avenir Next Condensed"/>
                <w:sz w:val="18"/>
              </w:rPr>
              <w:t xml:space="preserve"> to </w:t>
            </w:r>
            <w:r>
              <w:rPr>
                <w:rFonts w:ascii="Avenir Next Condensed"/>
                <w:spacing w:val="-1"/>
                <w:sz w:val="18"/>
              </w:rPr>
              <w:t>deal</w:t>
            </w:r>
            <w:r>
              <w:rPr>
                <w:rFonts w:ascii="Avenir Next Condensed"/>
                <w:sz w:val="18"/>
              </w:rPr>
              <w:t xml:space="preserve"> with risk and</w:t>
            </w:r>
            <w:r>
              <w:rPr>
                <w:rFonts w:ascii="Avenir Next Condensed"/>
                <w:spacing w:val="55"/>
                <w:sz w:val="18"/>
              </w:rPr>
              <w:t xml:space="preserve"> </w:t>
            </w:r>
            <w:r>
              <w:rPr>
                <w:rFonts w:ascii="Avenir Next Condensed"/>
                <w:sz w:val="18"/>
              </w:rPr>
              <w:t xml:space="preserve">uncertainty over the </w:t>
            </w:r>
            <w:r>
              <w:rPr>
                <w:rFonts w:ascii="Avenir Next Condensed"/>
                <w:spacing w:val="-1"/>
                <w:sz w:val="18"/>
              </w:rPr>
              <w:t>regulatory</w:t>
            </w:r>
            <w:r>
              <w:rPr>
                <w:rFonts w:ascii="Avenir Next Condensed"/>
                <w:sz w:val="18"/>
              </w:rPr>
              <w:t xml:space="preserve"> period,</w:t>
            </w:r>
            <w:r>
              <w:rPr>
                <w:rFonts w:ascii="Avenir Next Condensed"/>
                <w:spacing w:val="-6"/>
                <w:sz w:val="18"/>
              </w:rPr>
              <w:t xml:space="preserve"> </w:t>
            </w:r>
            <w:r>
              <w:rPr>
                <w:rFonts w:ascii="Avenir Next Condensed"/>
                <w:sz w:val="18"/>
              </w:rPr>
              <w:t xml:space="preserve">and the </w:t>
            </w:r>
            <w:r>
              <w:rPr>
                <w:rFonts w:ascii="Avenir Next Condensed"/>
                <w:spacing w:val="-1"/>
                <w:sz w:val="18"/>
              </w:rPr>
              <w:t>appropriate</w:t>
            </w:r>
            <w:r>
              <w:rPr>
                <w:rFonts w:ascii="Avenir Next Condensed"/>
                <w:sz w:val="18"/>
              </w:rPr>
              <w:t xml:space="preserve"> method to be used to</w:t>
            </w:r>
            <w:r>
              <w:rPr>
                <w:rFonts w:ascii="Avenir Next Condensed"/>
                <w:spacing w:val="35"/>
                <w:sz w:val="18"/>
              </w:rPr>
              <w:t xml:space="preserve"> </w:t>
            </w:r>
            <w:r>
              <w:rPr>
                <w:rFonts w:ascii="Avenir Next Condensed"/>
                <w:sz w:val="18"/>
              </w:rPr>
              <w:t>determine prices.</w:t>
            </w:r>
          </w:p>
        </w:tc>
      </w:tr>
      <w:tr w:rsidR="00D96B91" w:rsidTr="00C61167">
        <w:trPr>
          <w:trHeight w:hRule="exact" w:val="1281"/>
        </w:trPr>
        <w:tc>
          <w:tcPr>
            <w:tcW w:w="2518" w:type="dxa"/>
            <w:vMerge/>
            <w:tcBorders>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14</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44"/>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need to minimise price fluctuations within and between </w:t>
            </w:r>
            <w:r>
              <w:rPr>
                <w:rFonts w:ascii="Avenir Next Condensed"/>
                <w:spacing w:val="-1"/>
                <w:sz w:val="18"/>
              </w:rPr>
              <w:t>regulatory</w:t>
            </w:r>
            <w:r>
              <w:rPr>
                <w:rFonts w:ascii="Avenir Next Condensed"/>
                <w:spacing w:val="33"/>
                <w:sz w:val="18"/>
              </w:rPr>
              <w:t xml:space="preserve"> </w:t>
            </w:r>
            <w:r>
              <w:rPr>
                <w:rFonts w:ascii="Avenir Next Condensed"/>
                <w:sz w:val="18"/>
              </w:rPr>
              <w:t xml:space="preserve">periods when </w:t>
            </w:r>
            <w:r>
              <w:rPr>
                <w:rFonts w:ascii="Avenir Next Condensed"/>
                <w:spacing w:val="-1"/>
                <w:sz w:val="18"/>
              </w:rPr>
              <w:t>setting</w:t>
            </w:r>
            <w:r>
              <w:rPr>
                <w:rFonts w:ascii="Avenir Next Condensed"/>
                <w:sz w:val="18"/>
              </w:rPr>
              <w:t xml:space="preserve"> water and </w:t>
            </w:r>
            <w:r>
              <w:rPr>
                <w:rFonts w:ascii="Avenir Next Condensed"/>
                <w:spacing w:val="-1"/>
                <w:sz w:val="18"/>
              </w:rPr>
              <w:t>sewerage</w:t>
            </w:r>
            <w:r>
              <w:rPr>
                <w:rFonts w:ascii="Avenir Next Condensed"/>
                <w:sz w:val="18"/>
              </w:rPr>
              <w:t xml:space="preserve"> </w:t>
            </w:r>
            <w:r>
              <w:rPr>
                <w:rFonts w:ascii="Avenir Next Condensed"/>
                <w:spacing w:val="-1"/>
                <w:sz w:val="18"/>
              </w:rPr>
              <w:t>charges.</w:t>
            </w:r>
          </w:p>
        </w:tc>
      </w:tr>
      <w:tr w:rsidR="00D96B91" w:rsidTr="00C61167">
        <w:trPr>
          <w:trHeight w:hRule="exact" w:val="1130"/>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199" w:hanging="284"/>
              <w:rPr>
                <w:rFonts w:ascii="Avenir Next Condensed" w:eastAsia="Avenir Next Condensed" w:hAnsi="Avenir Next Condensed" w:cs="Avenir Next Condensed"/>
                <w:sz w:val="18"/>
                <w:szCs w:val="18"/>
              </w:rPr>
            </w:pPr>
            <w:r>
              <w:rPr>
                <w:rFonts w:ascii="Avenir Next Condensed"/>
                <w:b/>
                <w:spacing w:val="2"/>
                <w:sz w:val="18"/>
              </w:rPr>
              <w:t>(f)</w:t>
            </w:r>
            <w:r>
              <w:rPr>
                <w:rFonts w:ascii="Avenir Next Condensed"/>
                <w:b/>
                <w:sz w:val="18"/>
              </w:rPr>
              <w:t xml:space="preserve">  </w:t>
            </w:r>
            <w:r>
              <w:rPr>
                <w:rFonts w:ascii="Avenir Next Condensed"/>
                <w:b/>
                <w:spacing w:val="24"/>
                <w:sz w:val="18"/>
              </w:rPr>
              <w:t xml:space="preserve"> </w:t>
            </w:r>
            <w:r>
              <w:rPr>
                <w:rFonts w:ascii="Avenir Next Condensed"/>
                <w:b/>
                <w:sz w:val="18"/>
              </w:rPr>
              <w:t xml:space="preserve">the legislative </w:t>
            </w:r>
            <w:r>
              <w:rPr>
                <w:rFonts w:ascii="Avenir Next Condensed"/>
                <w:b/>
                <w:spacing w:val="-1"/>
                <w:sz w:val="18"/>
              </w:rPr>
              <w:t>requirements</w:t>
            </w:r>
            <w:r>
              <w:rPr>
                <w:rFonts w:ascii="Avenir Next Condensed"/>
                <w:b/>
                <w:spacing w:val="20"/>
                <w:sz w:val="18"/>
              </w:rPr>
              <w:t xml:space="preserve"> </w:t>
            </w:r>
            <w:r>
              <w:rPr>
                <w:rFonts w:ascii="Avenir Next Condensed"/>
                <w:b/>
                <w:sz w:val="18"/>
              </w:rPr>
              <w:t>outlined in section 20 of</w:t>
            </w:r>
          </w:p>
          <w:p w:rsidR="00D96B91" w:rsidRDefault="00C2656B">
            <w:pPr>
              <w:pStyle w:val="TableParagraph"/>
              <w:spacing w:line="242" w:lineRule="exact"/>
              <w:ind w:left="391"/>
              <w:rPr>
                <w:rFonts w:ascii="Avenir Next Condensed" w:eastAsia="Avenir Next Condensed" w:hAnsi="Avenir Next Condensed" w:cs="Avenir Next Condensed"/>
                <w:sz w:val="18"/>
                <w:szCs w:val="18"/>
              </w:rPr>
            </w:pPr>
            <w:r>
              <w:rPr>
                <w:rFonts w:ascii="Avenir Next Condensed"/>
                <w:b/>
                <w:sz w:val="18"/>
              </w:rPr>
              <w:t>the</w:t>
            </w:r>
            <w:r>
              <w:rPr>
                <w:rFonts w:ascii="Avenir Next Condensed"/>
                <w:b/>
                <w:spacing w:val="-4"/>
                <w:sz w:val="18"/>
              </w:rPr>
              <w:t xml:space="preserve"> </w:t>
            </w:r>
            <w:r>
              <w:rPr>
                <w:rFonts w:ascii="Avenir Next Condensed"/>
                <w:b/>
                <w:sz w:val="18"/>
              </w:rPr>
              <w:t>Act</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21"/>
              <w:rPr>
                <w:rFonts w:ascii="Avenir Next Condensed" w:eastAsia="Avenir Next Condensed" w:hAnsi="Avenir Next Condensed" w:cs="Avenir Next Condensed"/>
                <w:sz w:val="18"/>
                <w:szCs w:val="18"/>
              </w:rPr>
            </w:pPr>
            <w:r>
              <w:rPr>
                <w:rFonts w:ascii="Avenir Next Condensed"/>
                <w:sz w:val="18"/>
              </w:rPr>
              <w:t>See table above</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627"/>
        </w:trPr>
        <w:tc>
          <w:tcPr>
            <w:tcW w:w="25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139" w:hanging="284"/>
              <w:rPr>
                <w:rFonts w:ascii="Avenir Next Condensed" w:eastAsia="Avenir Next Condensed" w:hAnsi="Avenir Next Condensed" w:cs="Avenir Next Condensed"/>
                <w:sz w:val="18"/>
                <w:szCs w:val="18"/>
              </w:rPr>
            </w:pPr>
            <w:r>
              <w:rPr>
                <w:rFonts w:ascii="Avenir Next Condensed"/>
                <w:b/>
                <w:sz w:val="18"/>
              </w:rPr>
              <w:t xml:space="preserve">(g) </w:t>
            </w:r>
            <w:r>
              <w:rPr>
                <w:rFonts w:ascii="Avenir Next Condensed"/>
                <w:b/>
                <w:spacing w:val="27"/>
                <w:sz w:val="18"/>
              </w:rPr>
              <w:t xml:space="preserve"> </w:t>
            </w:r>
            <w:r>
              <w:rPr>
                <w:rFonts w:ascii="Avenir Next Condensed"/>
                <w:b/>
                <w:sz w:val="18"/>
              </w:rPr>
              <w:t xml:space="preserve">any other </w:t>
            </w:r>
            <w:r>
              <w:rPr>
                <w:rFonts w:ascii="Avenir Next Condensed"/>
                <w:b/>
                <w:spacing w:val="-1"/>
                <w:sz w:val="18"/>
              </w:rPr>
              <w:t>matters</w:t>
            </w:r>
            <w:r>
              <w:rPr>
                <w:rFonts w:ascii="Avenir Next Condensed"/>
                <w:b/>
                <w:sz w:val="18"/>
              </w:rPr>
              <w:t xml:space="preserve"> </w:t>
            </w:r>
            <w:r>
              <w:rPr>
                <w:rFonts w:ascii="Avenir Next Condensed"/>
                <w:b/>
                <w:spacing w:val="-1"/>
                <w:sz w:val="18"/>
              </w:rPr>
              <w:t>considered</w:t>
            </w:r>
            <w:r>
              <w:rPr>
                <w:rFonts w:ascii="Avenir Next Condensed"/>
                <w:b/>
                <w:spacing w:val="25"/>
                <w:sz w:val="18"/>
              </w:rPr>
              <w:t xml:space="preserve"> </w:t>
            </w:r>
            <w:r>
              <w:rPr>
                <w:rFonts w:ascii="Avenir Next Condensed"/>
                <w:b/>
                <w:spacing w:val="-1"/>
                <w:sz w:val="18"/>
              </w:rPr>
              <w:t>relevant</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91"/>
              <w:rPr>
                <w:rFonts w:ascii="Avenir Next Condensed" w:eastAsia="Avenir Next Condensed" w:hAnsi="Avenir Next Condensed" w:cs="Avenir Next Condensed"/>
                <w:sz w:val="18"/>
                <w:szCs w:val="18"/>
              </w:rPr>
            </w:pPr>
            <w:r>
              <w:rPr>
                <w:rFonts w:ascii="Avenir Next Condensed"/>
                <w:sz w:val="18"/>
              </w:rPr>
              <w:t>None identified</w:t>
            </w:r>
          </w:p>
        </w:tc>
        <w:tc>
          <w:tcPr>
            <w:tcW w:w="5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bl>
    <w:p w:rsidR="00D96B91" w:rsidRDefault="00D96B91">
      <w:pPr>
        <w:sectPr w:rsidR="00D96B91">
          <w:footerReference w:type="default" r:id="rId98"/>
          <w:pgSz w:w="11910" w:h="16840"/>
          <w:pgMar w:top="1160" w:right="0" w:bottom="0" w:left="0" w:header="0" w:footer="0" w:gutter="0"/>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25" w:name="Appendix_2_Panel’s_charter"/>
      <w:bookmarkStart w:id="226" w:name="_bookmark146"/>
      <w:bookmarkEnd w:id="225"/>
      <w:bookmarkEnd w:id="226"/>
      <w:r>
        <w:rPr>
          <w:rFonts w:ascii="Avenir Next Medium" w:eastAsia="Avenir Next Medium" w:hAnsi="Avenir Next Medium" w:cs="Avenir Next Medium"/>
          <w:color w:val="0778BE"/>
          <w:sz w:val="40"/>
          <w:szCs w:val="40"/>
        </w:rPr>
        <w:t>Appendix 2</w:t>
      </w:r>
      <w:r>
        <w:rPr>
          <w:rFonts w:ascii="Avenir Next Medium" w:eastAsia="Avenir Next Medium" w:hAnsi="Avenir Next Medium" w:cs="Avenir Next Medium"/>
          <w:color w:val="0778BE"/>
          <w:sz w:val="40"/>
          <w:szCs w:val="40"/>
        </w:rPr>
        <w:tab/>
      </w:r>
      <w:r>
        <w:rPr>
          <w:rFonts w:ascii="Avenir Next Medium" w:eastAsia="Avenir Next Medium" w:hAnsi="Avenir Next Medium" w:cs="Avenir Next Medium"/>
          <w:color w:val="0778BE"/>
          <w:spacing w:val="-7"/>
          <w:sz w:val="40"/>
          <w:szCs w:val="40"/>
        </w:rPr>
        <w:t>Panel’s</w:t>
      </w:r>
      <w:r>
        <w:rPr>
          <w:rFonts w:ascii="Avenir Next Medium" w:eastAsia="Avenir Next Medium" w:hAnsi="Avenir Next Medium" w:cs="Avenir Next Medium"/>
          <w:color w:val="0778BE"/>
          <w:sz w:val="40"/>
          <w:szCs w:val="40"/>
        </w:rPr>
        <w:t xml:space="preserve"> </w:t>
      </w:r>
      <w:r>
        <w:rPr>
          <w:rFonts w:ascii="Avenir Next Medium" w:eastAsia="Avenir Next Medium" w:hAnsi="Avenir Next Medium" w:cs="Avenir Next Medium"/>
          <w:color w:val="0778BE"/>
          <w:spacing w:val="-1"/>
          <w:sz w:val="40"/>
          <w:szCs w:val="40"/>
        </w:rPr>
        <w:t>charter</w:t>
      </w:r>
    </w:p>
    <w:p w:rsidR="00D96B91" w:rsidRDefault="00C2656B">
      <w:pPr>
        <w:pStyle w:val="BodyText"/>
        <w:spacing w:before="359" w:line="260" w:lineRule="exact"/>
        <w:ind w:right="1283"/>
      </w:pPr>
      <w:r>
        <w:t xml:space="preserve">As </w:t>
      </w:r>
      <w:r>
        <w:rPr>
          <w:spacing w:val="-1"/>
        </w:rPr>
        <w:t>part</w:t>
      </w:r>
      <w:r>
        <w:t xml:space="preserve"> of</w:t>
      </w:r>
      <w:r>
        <w:rPr>
          <w:spacing w:val="4"/>
        </w:rPr>
        <w:t xml:space="preserve"> </w:t>
      </w:r>
      <w:r>
        <w:t xml:space="preserve">its </w:t>
      </w:r>
      <w:r>
        <w:rPr>
          <w:spacing w:val="-1"/>
        </w:rPr>
        <w:t>process,</w:t>
      </w:r>
      <w:r>
        <w:rPr>
          <w:spacing w:val="-6"/>
        </w:rPr>
        <w:t xml:space="preserve"> </w:t>
      </w:r>
      <w:r>
        <w:t xml:space="preserve">the </w:t>
      </w:r>
      <w:r>
        <w:rPr>
          <w:spacing w:val="-3"/>
        </w:rPr>
        <w:t>Panel</w:t>
      </w:r>
      <w:r>
        <w:t xml:space="preserve"> has developed and signed a </w:t>
      </w:r>
      <w:r>
        <w:rPr>
          <w:spacing w:val="-1"/>
        </w:rPr>
        <w:t>charter</w:t>
      </w:r>
      <w:r>
        <w:t xml:space="preserve"> </w:t>
      </w:r>
      <w:r>
        <w:rPr>
          <w:spacing w:val="-1"/>
        </w:rPr>
        <w:t>that</w:t>
      </w:r>
      <w:r>
        <w:t xml:space="preserve"> </w:t>
      </w:r>
      <w:r>
        <w:rPr>
          <w:spacing w:val="-1"/>
        </w:rPr>
        <w:t>articulates</w:t>
      </w:r>
      <w:r>
        <w:t xml:space="preserve"> how it intends to</w:t>
      </w:r>
      <w:r>
        <w:rPr>
          <w:spacing w:val="39"/>
        </w:rPr>
        <w:t xml:space="preserve"> </w:t>
      </w:r>
      <w:r>
        <w:t>conduct itself</w:t>
      </w:r>
      <w:r>
        <w:rPr>
          <w:spacing w:val="4"/>
        </w:rPr>
        <w:t xml:space="preserve"> </w:t>
      </w:r>
      <w:r>
        <w:t>during the course of</w:t>
      </w:r>
      <w:r>
        <w:rPr>
          <w:spacing w:val="4"/>
        </w:rPr>
        <w:t xml:space="preserve"> </w:t>
      </w:r>
      <w:r>
        <w:t xml:space="preserve">the </w:t>
      </w:r>
      <w:r>
        <w:rPr>
          <w:spacing w:val="-2"/>
        </w:rPr>
        <w:t>review.</w:t>
      </w:r>
      <w:r>
        <w:rPr>
          <w:spacing w:val="-11"/>
        </w:rPr>
        <w:t xml:space="preserve"> </w:t>
      </w:r>
      <w:r>
        <w:rPr>
          <w:spacing w:val="-1"/>
        </w:rPr>
        <w:t>This</w:t>
      </w:r>
      <w:r>
        <w:t xml:space="preserve"> </w:t>
      </w:r>
      <w:r>
        <w:rPr>
          <w:spacing w:val="-1"/>
        </w:rPr>
        <w:t>charter</w:t>
      </w:r>
      <w:r>
        <w:t xml:space="preserve"> covers </w:t>
      </w:r>
      <w:r>
        <w:rPr>
          <w:spacing w:val="-2"/>
        </w:rPr>
        <w:t>areas</w:t>
      </w:r>
      <w:r>
        <w:t xml:space="preserve"> such independence,</w:t>
      </w:r>
      <w:r>
        <w:rPr>
          <w:spacing w:val="-7"/>
        </w:rPr>
        <w:t xml:space="preserve"> </w:t>
      </w:r>
      <w:r>
        <w:t>openness,</w:t>
      </w:r>
      <w:r>
        <w:rPr>
          <w:spacing w:val="21"/>
        </w:rPr>
        <w:t xml:space="preserve"> </w:t>
      </w:r>
      <w:r>
        <w:rPr>
          <w:spacing w:val="-1"/>
        </w:rPr>
        <w:t>accessibility,</w:t>
      </w:r>
      <w:r>
        <w:rPr>
          <w:spacing w:val="-8"/>
        </w:rPr>
        <w:t xml:space="preserve"> </w:t>
      </w:r>
      <w:r>
        <w:rPr>
          <w:spacing w:val="-1"/>
        </w:rPr>
        <w:t>pragmatism,</w:t>
      </w:r>
      <w:r>
        <w:rPr>
          <w:spacing w:val="-7"/>
        </w:rPr>
        <w:t xml:space="preserve"> </w:t>
      </w:r>
      <w:r>
        <w:rPr>
          <w:spacing w:val="-2"/>
        </w:rPr>
        <w:t>efficiency,</w:t>
      </w:r>
      <w:r>
        <w:rPr>
          <w:spacing w:val="-7"/>
        </w:rPr>
        <w:t xml:space="preserve"> </w:t>
      </w:r>
      <w:r>
        <w:t>timeliness</w:t>
      </w:r>
      <w:r>
        <w:rPr>
          <w:spacing w:val="-2"/>
        </w:rPr>
        <w:t xml:space="preserve"> </w:t>
      </w:r>
      <w:r>
        <w:t>and</w:t>
      </w:r>
      <w:r>
        <w:rPr>
          <w:spacing w:val="-1"/>
        </w:rPr>
        <w:t xml:space="preserve"> respectfulness.</w:t>
      </w:r>
    </w:p>
    <w:p w:rsidR="00D96B91" w:rsidRDefault="00C2656B">
      <w:pPr>
        <w:spacing w:before="158"/>
        <w:ind w:left="1247"/>
        <w:rPr>
          <w:rFonts w:ascii="Avenir Next" w:eastAsia="Avenir Next" w:hAnsi="Avenir Next" w:cs="Avenir Next"/>
          <w:sz w:val="20"/>
          <w:szCs w:val="20"/>
        </w:rPr>
      </w:pPr>
      <w:r>
        <w:rPr>
          <w:rFonts w:ascii="Avenir Next"/>
          <w:b/>
          <w:spacing w:val="-1"/>
          <w:sz w:val="20"/>
        </w:rPr>
        <w:t>Box</w:t>
      </w:r>
      <w:r>
        <w:rPr>
          <w:rFonts w:ascii="Avenir Next"/>
          <w:b/>
          <w:spacing w:val="-4"/>
          <w:sz w:val="20"/>
        </w:rPr>
        <w:t xml:space="preserve"> </w:t>
      </w:r>
      <w:r>
        <w:rPr>
          <w:rFonts w:ascii="Avenir Next"/>
          <w:b/>
          <w:sz w:val="20"/>
        </w:rPr>
        <w:t xml:space="preserve">A2.1: Industry </w:t>
      </w:r>
      <w:r>
        <w:rPr>
          <w:rFonts w:ascii="Avenir Next"/>
          <w:b/>
          <w:spacing w:val="-3"/>
          <w:sz w:val="20"/>
        </w:rPr>
        <w:t>Panel</w:t>
      </w:r>
      <w:r>
        <w:rPr>
          <w:rFonts w:ascii="Avenir Next"/>
          <w:b/>
          <w:sz w:val="20"/>
        </w:rPr>
        <w:t xml:space="preserve"> </w:t>
      </w:r>
      <w:r>
        <w:rPr>
          <w:rFonts w:ascii="Avenir Next"/>
          <w:b/>
          <w:spacing w:val="-1"/>
          <w:sz w:val="20"/>
        </w:rPr>
        <w:t>Charter</w:t>
      </w:r>
    </w:p>
    <w:p w:rsidR="00D96B91" w:rsidRDefault="00D96B91">
      <w:pPr>
        <w:spacing w:before="5"/>
        <w:rPr>
          <w:rFonts w:ascii="Avenir Next" w:eastAsia="Avenir Next" w:hAnsi="Avenir Next" w:cs="Avenir Next"/>
          <w:b/>
          <w:bCs/>
          <w:sz w:val="16"/>
          <w:szCs w:val="16"/>
        </w:rPr>
      </w:pP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group id="_x0000_s1523" style="width:468.05pt;height:451.45pt;mso-position-horizontal-relative:char;mso-position-vertical-relative:line" coordsize="9361,9029">
            <v:shape id="_x0000_s1767" type="#_x0000_t75" style="position:absolute;left:240;top:288;width:8932;height:424">
              <v:imagedata r:id="rId99" o:title=""/>
            </v:shape>
            <v:group id="_x0000_s1762" style="position:absolute;left:2167;top:303;width:42;height:141" coordorigin="2167,303" coordsize="42,141">
              <v:shape id="_x0000_s1766" style="position:absolute;left:2167;top:303;width:42;height:141" coordorigin="2167,303" coordsize="42,141" path="m2192,352r-14,l2178,422r15,21l2201,443r4,l2209,442r-2,-15l2197,427r-2,-1l2193,422r-1,-4l2192,352xe" fillcolor="black" stroked="f">
                <v:path arrowok="t"/>
              </v:shape>
              <v:shape id="_x0000_s1765" style="position:absolute;left:2167;top:303;width:42;height:141" coordorigin="2167,303" coordsize="42,141" path="m2207,426r-3,1l2202,427r5,l2207,426xe" fillcolor="black" stroked="f">
                <v:path arrowok="t"/>
              </v:shape>
              <v:shape id="_x0000_s1764" style="position:absolute;left:2167;top:303;width:42;height:141" coordorigin="2167,303" coordsize="42,141" path="m2207,339r-40,l2167,352r40,l2207,339xe" fillcolor="black" stroked="f">
                <v:path arrowok="t"/>
              </v:shape>
              <v:shape id="_x0000_s1763" style="position:absolute;left:2167;top:303;width:42;height:141" coordorigin="2167,303" coordsize="42,141" path="m2192,303r-14,10l2178,339r14,l2192,303xe" fillcolor="black" stroked="f">
                <v:path arrowok="t"/>
              </v:shape>
            </v:group>
            <v:group id="_x0000_s1759" style="position:absolute;left:2215;top:336;width:80;height:108" coordorigin="2215,336" coordsize="80,108">
              <v:shape id="_x0000_s1761" style="position:absolute;left:2215;top:336;width:80;height:108" coordorigin="2215,336" coordsize="80,108" path="m2266,336r-23,l2234,341r-9,10l2217,368r-2,22l2215,393r3,22l2226,431r8,9l2243,444r23,l2276,440r8,-10l2248,430r-6,-3l2232,414r-2,-10l2230,377r2,-10l2242,354r5,-3l2283,351r,-1l2275,341r-9,-5xe" fillcolor="black" stroked="f">
                <v:path arrowok="t"/>
              </v:shape>
              <v:shape id="_x0000_s1760" style="position:absolute;left:2215;top:336;width:80;height:108" coordorigin="2215,336" coordsize="80,108" path="m2283,351r-22,l2267,354r10,13l2280,377r,27l2277,413r-9,14l2262,430r22,l2285,428r7,-17l2294,388r-3,-22l2283,351xe" fillcolor="black" stroked="f">
                <v:path arrowok="t"/>
              </v:shape>
            </v:group>
            <v:group id="_x0000_s1754" style="position:absolute;left:2417;top:297;width:50;height:146" coordorigin="2417,297" coordsize="50,146">
              <v:shape id="_x0000_s1758" style="position:absolute;left:2417;top:297;width:50;height:146" coordorigin="2417,297" coordsize="50,146" path="m2445,352r-15,l2430,442r15,l2445,352xe" fillcolor="black" stroked="f">
                <v:path arrowok="t"/>
              </v:shape>
              <v:shape id="_x0000_s1757" style="position:absolute;left:2417;top:297;width:50;height:146" coordorigin="2417,297" coordsize="50,146" path="m2461,339r-44,l2417,352r44,l2461,339xe" fillcolor="black" stroked="f">
                <v:path arrowok="t"/>
              </v:shape>
              <v:shape id="_x0000_s1756" style="position:absolute;left:2417;top:297;width:50;height:146" coordorigin="2417,297" coordsize="50,146" path="m2458,297r-10,l2444,298r-14,41l2445,339r,-16l2445,319r4,-5l2452,313r13,l2467,299r-5,-1l2458,297xe" fillcolor="black" stroked="f">
                <v:path arrowok="t"/>
              </v:shape>
              <v:shape id="_x0000_s1755" style="position:absolute;left:2417;top:297;width:50;height:146" coordorigin="2417,297" coordsize="50,146" path="m2465,313r-6,l2462,313r3,1l2465,313xe" fillcolor="black" stroked="f">
                <v:path arrowok="t"/>
              </v:shape>
            </v:group>
            <v:group id="_x0000_s1751" style="position:absolute;left:2466;top:336;width:80;height:108" coordorigin="2466,336" coordsize="80,108">
              <v:shape id="_x0000_s1753" style="position:absolute;left:2466;top:336;width:80;height:108" coordorigin="2466,336" coordsize="80,108" path="m2517,336r-23,l2485,341r-9,10l2469,368r-3,22l2466,393r3,22l2478,431r7,9l2495,444r22,l2527,440r8,-10l2499,430r-6,-3l2483,414r-2,-10l2481,377r2,-10l2493,354r6,-3l2535,351r-1,-1l2527,341r-10,-5xe" fillcolor="black" stroked="f">
                <v:path arrowok="t"/>
              </v:shape>
              <v:shape id="_x0000_s1752" style="position:absolute;left:2466;top:336;width:80;height:108" coordorigin="2466,336" coordsize="80,108" path="m2535,351r-22,l2519,354r9,13l2531,377r,27l2529,413r-10,14l2513,430r22,l2536,428r7,-17l2546,388r-3,-22l2535,351xe" fillcolor="black" stroked="f">
                <v:path arrowok="t"/>
              </v:shape>
            </v:group>
            <v:group id="_x0000_s1747" style="position:absolute;left:2563;top:336;width:46;height:106" coordorigin="2563,336" coordsize="46,106">
              <v:shape id="_x0000_s1750" style="position:absolute;left:2563;top:336;width:46;height:106" coordorigin="2563,336" coordsize="46,106" path="m2575,339r-12,l2563,442r14,l2577,380r1,-7l2581,363r1,-3l2587,356r3,-2l2605,354r-30,l2575,339xe" fillcolor="black" stroked="f">
                <v:path arrowok="t"/>
              </v:shape>
              <v:shape id="_x0000_s1749" style="position:absolute;left:2563;top:336;width:46;height:106" coordorigin="2563,336" coordsize="46,106" path="m2605,354r-8,l2600,356r4,2l2605,354xe" fillcolor="black" stroked="f">
                <v:path arrowok="t"/>
              </v:shape>
              <v:shape id="_x0000_s1748" style="position:absolute;left:2563;top:336;width:46;height:106" coordorigin="2563,336" coordsize="46,106" path="m2599,336r-9,l2587,338r-2,2l2582,342r-3,5l2575,354r30,l2609,342r-5,-4l2599,336xe" fillcolor="black" stroked="f">
                <v:path arrowok="t"/>
              </v:shape>
            </v:group>
            <v:group id="_x0000_s1741" style="position:absolute;left:2618;top:336;width:115;height:106" coordorigin="2618,336" coordsize="115,106">
              <v:shape id="_x0000_s1746" style="position:absolute;left:2618;top:336;width:115;height:106" coordorigin="2618,336" coordsize="115,106" path="m2631,339r-13,l2618,442r15,l2633,374r1,-9l2642,354r2,-1l2631,353r,-14xe" fillcolor="black" stroked="f">
                <v:path arrowok="t"/>
              </v:shape>
              <v:shape id="_x0000_s1745" style="position:absolute;left:2618;top:336;width:115;height:106" coordorigin="2618,336" coordsize="115,106" path="m2680,351r-22,l2662,353r3,4l2667,360r2,6l2669,442r14,l2683,371r2,-7l2692,354r-11,l2680,351xe" fillcolor="black" stroked="f">
                <v:path arrowok="t"/>
              </v:shape>
              <v:shape id="_x0000_s1744" style="position:absolute;left:2618;top:336;width:115;height:106" coordorigin="2618,336" coordsize="115,106" path="m2731,351r-24,l2710,352r4,4l2716,358r2,6l2719,369r,73l2733,442r,-83l2731,351xe" fillcolor="black" stroked="f">
                <v:path arrowok="t"/>
              </v:shape>
              <v:shape id="_x0000_s1743" style="position:absolute;left:2618;top:336;width:115;height:106" coordorigin="2618,336" coordsize="115,106" path="m2715,336r-13,l2697,338r-9,6l2684,348r-3,6l2692,354r1,l2698,351r33,l2731,350r-10,-11l2715,336xe" fillcolor="black" stroked="f">
                <v:path arrowok="t"/>
              </v:shape>
              <v:shape id="_x0000_s1742" style="position:absolute;left:2618;top:336;width:115;height:106" coordorigin="2618,336" coordsize="115,106" path="m2663,336r-12,l2647,338r-9,6l2634,348r-3,5l2644,353r3,-2l2680,351r-1,-3l2676,344r-8,-6l2663,336xe" fillcolor="black" stroked="f">
                <v:path arrowok="t"/>
              </v:shape>
            </v:group>
            <v:group id="_x0000_s1736" style="position:absolute;left:2862;top:336;width:78;height:109" coordorigin="2862,336" coordsize="78,109">
              <v:shape id="_x0000_s1740" style="position:absolute;left:2862;top:336;width:78;height:109" coordorigin="2862,336" coordsize="78,109" path="m2933,351r-25,l2914,353r3,4l2920,360r1,5l2921,376r-5,3l2907,381r-20,3l2880,386r-18,38l2865,431r10,11l2882,444r15,l2902,443r11,-5l2918,434r3,-3l2889,431r-4,-2l2879,423r-2,-4l2877,411r31,-16l2916,393r5,-3l2936,390r-1,-25l2935,359r-2,-8xe" fillcolor="black" stroked="f">
                <v:path arrowok="t"/>
              </v:shape>
              <v:shape id="_x0000_s1739" style="position:absolute;left:2862;top:336;width:78;height:109" coordorigin="2862,336" coordsize="78,109" path="m2936,429r-14,l2923,434r1,4l2925,442r15,l2938,438r-1,-4l2936,429xe" fillcolor="black" stroked="f">
                <v:path arrowok="t"/>
              </v:shape>
              <v:shape id="_x0000_s1738" style="position:absolute;left:2862;top:336;width:78;height:109" coordorigin="2862,336" coordsize="78,109" path="m2936,390r-15,l2921,405r-1,7l2916,420r-3,4l2904,429r-4,2l2921,431r1,-2l2936,429r,-4l2936,419r,-29xe" fillcolor="black" stroked="f">
                <v:path arrowok="t"/>
              </v:shape>
              <v:shape id="_x0000_s1737" style="position:absolute;left:2862;top:336;width:78;height:109" coordorigin="2862,336" coordsize="78,109" path="m2912,336r-20,l2883,339r-12,10l2867,357r-1,2l2865,368r14,2l2880,363r3,-5l2889,352r5,-1l2933,351r-1,-2l2929,345r-10,-7l2912,336xe" fillcolor="black" stroked="f">
                <v:path arrowok="t"/>
              </v:shape>
            </v:group>
            <v:group id="_x0000_s1732" style="position:absolute;left:2958;top:336;width:69;height:106" coordorigin="2958,336" coordsize="69,106">
              <v:shape id="_x0000_s1735" style="position:absolute;left:2958;top:336;width:69;height:106" coordorigin="2958,336" coordsize="69,106" path="m2971,339r-13,l2958,442r14,l2972,373r2,-9l2979,359r4,-5l2984,353r-13,l2971,339xe" fillcolor="black" stroked="f">
                <v:path arrowok="t"/>
              </v:shape>
              <v:shape id="_x0000_s1734" style="position:absolute;left:2958;top:336;width:69;height:106" coordorigin="2958,336" coordsize="69,106" path="m3023,351r-24,l3002,352r5,4l3009,359r3,7l3012,371r,71l3027,442r,-73l3026,362r-2,-9l3023,351xe" fillcolor="black" stroked="f">
                <v:path arrowok="t"/>
              </v:shape>
              <v:shape id="_x0000_s1733" style="position:absolute;left:2958;top:336;width:69;height:106" coordorigin="2958,336" coordsize="69,106" path="m3002,336r-10,l2987,338r-9,5l2974,348r-3,5l2984,353r4,-2l3023,351r-1,-2l3017,343r-3,-2l3007,337r-5,-1xe" fillcolor="black" stroked="f">
                <v:path arrowok="t"/>
              </v:shape>
            </v:group>
            <v:group id="_x0000_s1730" style="position:absolute;left:5837;top:316;width:2;height:126" coordorigin="5837,316" coordsize="2,126">
              <v:shape id="_x0000_s1731" style="position:absolute;left:5837;top:316;width:2;height:126" coordorigin="5837,316" coordsize="0,126" path="m5837,316r,126e" filled="f" strokeweight=".30797mm">
                <v:path arrowok="t"/>
              </v:shape>
            </v:group>
            <v:group id="_x0000_s1728" style="position:absolute;left:5791;top:308;width:93;height:2" coordorigin="5791,308" coordsize="93,2">
              <v:shape id="_x0000_s1729" style="position:absolute;left:5791;top:308;width:93;height:2" coordorigin="5791,308" coordsize="93,0" path="m5791,308r92,e" filled="f" strokeweight=".33231mm">
                <v:path arrowok="t"/>
              </v:shape>
            </v:group>
            <v:group id="_x0000_s1725" style="position:absolute;left:257;top:877;width:44;height:144" coordorigin="257,877" coordsize="44,144">
              <v:shape id="_x0000_s1727" style="position:absolute;left:257;top:877;width:44;height:144" coordorigin="257,877" coordsize="44,144" path="m300,909r-15,l285,1021r15,l300,909xe" fillcolor="black" stroked="f">
                <v:path arrowok="t"/>
              </v:shape>
              <v:shape id="_x0000_s1726" style="position:absolute;left:257;top:877;width:44;height:144" coordorigin="257,877" coordsize="44,144" path="m300,877r-10,l288,884r-4,6l272,903r-7,6l257,913r,17l285,909r15,l300,877xe" fillcolor="black" stroked="f">
                <v:path arrowok="t"/>
              </v:shape>
            </v:group>
            <v:group id="_x0000_s1722" style="position:absolute;left:345;top:1001;width:17;height:20" coordorigin="345,1001" coordsize="17,20">
              <v:shape id="_x0000_s1724" style="position:absolute;left:345;top:1001;width:17;height:20" coordorigin="345,1001" coordsize="17,20" path="m345,1011r17,e" filled="f" strokeweight=".387mm">
                <v:path arrowok="t"/>
              </v:shape>
              <v:shape id="_x0000_s1723" type="#_x0000_t75" style="position:absolute;left:596;top:867;width:8521;height:6396">
                <v:imagedata r:id="rId100" o:title=""/>
              </v:shape>
            </v:group>
            <v:group id="_x0000_s1720" style="position:absolute;left:3565;top:878;width:2;height:143" coordorigin="3565,878" coordsize="2,143">
              <v:shape id="_x0000_s1721" style="position:absolute;left:3565;top:878;width:2;height:143" coordorigin="3565,878" coordsize="0,143" path="m3565,878r,143e" filled="f" strokeweight=".2875mm">
                <v:path arrowok="t"/>
              </v:shape>
            </v:group>
            <v:group id="_x0000_s1718" style="position:absolute;left:8381;top:1001;width:17;height:20" coordorigin="8381,1001" coordsize="17,20">
              <v:shape id="_x0000_s1719" style="position:absolute;left:8381;top:1001;width:17;height:20" coordorigin="8381,1001" coordsize="17,20" path="m8381,1011r16,e" filled="f" strokeweight=".387mm">
                <v:path arrowok="t"/>
              </v:shape>
            </v:group>
            <v:group id="_x0000_s1716" style="position:absolute;left:1251;top:1561;width:2;height:150" coordorigin="1251,1561" coordsize="2,150">
              <v:shape id="_x0000_s1717" style="position:absolute;left:1251;top:1561;width:2;height:150" coordorigin="1251,1561" coordsize="0,150" path="m1251,1561r,149e" filled="f" strokeweight=".2875mm">
                <v:path arrowok="t"/>
              </v:shape>
            </v:group>
            <v:group id="_x0000_s1714" style="position:absolute;left:1284;top:1690;width:17;height:20" coordorigin="1284,1690" coordsize="17,20">
              <v:shape id="_x0000_s1715" style="position:absolute;left:1284;top:1690;width:17;height:20" coordorigin="1284,1690" coordsize="17,20" path="m1284,1700r17,e" filled="f" strokeweight=".38736mm">
                <v:path arrowok="t"/>
              </v:shape>
            </v:group>
            <v:group id="_x0000_s1712" style="position:absolute;left:1215;top:2066;width:2;height:104" coordorigin="1215,2066" coordsize="2,104">
              <v:shape id="_x0000_s1713" style="position:absolute;left:1215;top:2066;width:2;height:104" coordorigin="1215,2066" coordsize="0,104" path="m1215,2066r,103e" filled="f" strokeweight=".2875mm">
                <v:path arrowok="t"/>
              </v:shape>
            </v:group>
            <v:group id="_x0000_s1710" style="position:absolute;left:1208;top:2036;width:51;height:2" coordorigin="1208,2036" coordsize="51,2">
              <v:shape id="_x0000_s1711" style="position:absolute;left:1208;top:2036;width:51;height:2" coordorigin="1208,2036" coordsize="51,0" path="m1208,2036r50,e" filled="f" strokeweight=".39053mm">
                <v:path arrowok="t"/>
              </v:shape>
            </v:group>
            <v:group id="_x0000_s1708" style="position:absolute;left:1251;top:2066;width:2;height:104" coordorigin="1251,2066" coordsize="2,104">
              <v:shape id="_x0000_s1709" style="position:absolute;left:1251;top:2066;width:2;height:104" coordorigin="1251,2066" coordsize="0,104" path="m1251,2066r,103e" filled="f" strokeweight=".2875mm">
                <v:path arrowok="t"/>
              </v:shape>
            </v:group>
            <v:group id="_x0000_s1706" style="position:absolute;left:1284;top:2149;width:17;height:20" coordorigin="1284,2149" coordsize="17,20">
              <v:shape id="_x0000_s1707" style="position:absolute;left:1284;top:2149;width:17;height:20" coordorigin="1284,2149" coordsize="17,20" path="m1284,2159r17,e" filled="f" strokeweight=".387mm">
                <v:path arrowok="t"/>
              </v:shape>
            </v:group>
            <v:group id="_x0000_s1704" style="position:absolute;left:1174;top:2296;width:2;height:104" coordorigin="1174,2296" coordsize="2,104">
              <v:shape id="_x0000_s1705" style="position:absolute;left:1174;top:2296;width:2;height:104" coordorigin="1174,2296" coordsize="0,104" path="m1174,2296r,104e" filled="f" strokeweight=".2875mm">
                <v:path arrowok="t"/>
              </v:shape>
            </v:group>
            <v:group id="_x0000_s1702" style="position:absolute;left:1167;top:2267;width:87;height:2" coordorigin="1167,2267" coordsize="87,2">
              <v:shape id="_x0000_s1703" style="position:absolute;left:1167;top:2267;width:87;height:2" coordorigin="1167,2267" coordsize="87,0" path="m1167,2267r86,e" filled="f" strokeweight=".39017mm">
                <v:path arrowok="t"/>
              </v:shape>
            </v:group>
            <v:group id="_x0000_s1700" style="position:absolute;left:1210;top:2296;width:2;height:104" coordorigin="1210,2296" coordsize="2,104">
              <v:shape id="_x0000_s1701" style="position:absolute;left:1210;top:2296;width:2;height:104" coordorigin="1210,2296" coordsize="0,104" path="m1210,2296r,104e" filled="f" strokeweight=".2875mm">
                <v:path arrowok="t"/>
              </v:shape>
            </v:group>
            <v:group id="_x0000_s1698" style="position:absolute;left:1246;top:2296;width:2;height:104" coordorigin="1246,2296" coordsize="2,104">
              <v:shape id="_x0000_s1699" style="position:absolute;left:1246;top:2296;width:2;height:104" coordorigin="1246,2296" coordsize="0,104" path="m1246,2296r,104e" filled="f" strokeweight=".2875mm">
                <v:path arrowok="t"/>
              </v:shape>
            </v:group>
            <v:group id="_x0000_s1696" style="position:absolute;left:1280;top:2380;width:17;height:20" coordorigin="1280,2380" coordsize="17,20">
              <v:shape id="_x0000_s1697" style="position:absolute;left:1280;top:2380;width:17;height:20" coordorigin="1280,2380" coordsize="17,20" path="m1280,2390r16,e" filled="f" strokeweight=".387mm">
                <v:path arrowok="t"/>
              </v:shape>
            </v:group>
            <v:group id="_x0000_s1694" style="position:absolute;left:1248;top:2939;width:2;height:150" coordorigin="1248,2939" coordsize="2,150">
              <v:shape id="_x0000_s1695" style="position:absolute;left:1248;top:2939;width:2;height:150" coordorigin="1248,2939" coordsize="0,150" path="m1248,2939r,150e" filled="f" strokeweight=".2875mm">
                <v:path arrowok="t"/>
              </v:shape>
            </v:group>
            <v:group id="_x0000_s1692" style="position:absolute;left:1282;top:3069;width:17;height:20" coordorigin="1282,3069" coordsize="17,20">
              <v:shape id="_x0000_s1693" style="position:absolute;left:1282;top:3069;width:17;height:20" coordorigin="1282,3069" coordsize="17,20" path="m1282,3079r16,e" filled="f" strokeweight=".387mm">
                <v:path arrowok="t"/>
              </v:shape>
            </v:group>
            <v:group id="_x0000_s1690" style="position:absolute;left:1212;top:3213;width:2;height:104" coordorigin="1212,3213" coordsize="2,104">
              <v:shape id="_x0000_s1691" style="position:absolute;left:1212;top:3213;width:2;height:104" coordorigin="1212,3213" coordsize="0,104" path="m1212,3213r,104e" filled="f" strokeweight=".2875mm">
                <v:path arrowok="t"/>
              </v:shape>
            </v:group>
            <v:group id="_x0000_s1688" style="position:absolute;left:1205;top:3184;width:51;height:2" coordorigin="1205,3184" coordsize="51,2">
              <v:shape id="_x0000_s1689" style="position:absolute;left:1205;top:3184;width:51;height:2" coordorigin="1205,3184" coordsize="51,0" path="m1205,3184r51,e" filled="f" strokeweight=".39053mm">
                <v:path arrowok="t"/>
              </v:shape>
            </v:group>
            <v:group id="_x0000_s1686" style="position:absolute;left:1249;top:3213;width:2;height:104" coordorigin="1249,3213" coordsize="2,104">
              <v:shape id="_x0000_s1687" style="position:absolute;left:1249;top:3213;width:2;height:104" coordorigin="1249,3213" coordsize="0,104" path="m1249,3213r,104e" filled="f" strokeweight=".2875mm">
                <v:path arrowok="t"/>
              </v:shape>
            </v:group>
            <v:group id="_x0000_s1684" style="position:absolute;left:1282;top:3297;width:17;height:20" coordorigin="1282,3297" coordsize="17,20">
              <v:shape id="_x0000_s1685" style="position:absolute;left:1282;top:3297;width:17;height:20" coordorigin="1282,3297" coordsize="17,20" path="m1282,3307r16,e" filled="f" strokeweight=".387mm">
                <v:path arrowok="t"/>
              </v:shape>
            </v:group>
            <v:group id="_x0000_s1682" style="position:absolute;left:1174;top:3444;width:2;height:104" coordorigin="1174,3444" coordsize="2,104">
              <v:shape id="_x0000_s1683" style="position:absolute;left:1174;top:3444;width:2;height:104" coordorigin="1174,3444" coordsize="0,104" path="m1174,3444r,103e" filled="f" strokeweight=".2875mm">
                <v:path arrowok="t"/>
              </v:shape>
            </v:group>
            <v:group id="_x0000_s1680" style="position:absolute;left:1167;top:3415;width:87;height:2" coordorigin="1167,3415" coordsize="87,2">
              <v:shape id="_x0000_s1681" style="position:absolute;left:1167;top:3415;width:87;height:2" coordorigin="1167,3415" coordsize="87,0" path="m1167,3415r86,e" filled="f" strokeweight=".39017mm">
                <v:path arrowok="t"/>
              </v:shape>
            </v:group>
            <v:group id="_x0000_s1678" style="position:absolute;left:1210;top:3444;width:2;height:104" coordorigin="1210,3444" coordsize="2,104">
              <v:shape id="_x0000_s1679" style="position:absolute;left:1210;top:3444;width:2;height:104" coordorigin="1210,3444" coordsize="0,104" path="m1210,3444r,103e" filled="f" strokeweight=".2875mm">
                <v:path arrowok="t"/>
              </v:shape>
            </v:group>
            <v:group id="_x0000_s1676" style="position:absolute;left:1246;top:3444;width:2;height:104" coordorigin="1246,3444" coordsize="2,104">
              <v:shape id="_x0000_s1677" style="position:absolute;left:1246;top:3444;width:2;height:104" coordorigin="1246,3444" coordsize="0,104" path="m1246,3444r,103e" filled="f" strokeweight=".2875mm">
                <v:path arrowok="t"/>
              </v:shape>
            </v:group>
            <v:group id="_x0000_s1674" style="position:absolute;left:1280;top:3527;width:17;height:20" coordorigin="1280,3527" coordsize="17,20">
              <v:shape id="_x0000_s1675" style="position:absolute;left:1280;top:3527;width:17;height:20" coordorigin="1280,3527" coordsize="17,20" path="m1280,3537r16,e" filled="f" strokeweight=".387mm">
                <v:path arrowok="t"/>
              </v:shape>
            </v:group>
            <v:group id="_x0000_s1672" style="position:absolute;left:1246;top:4087;width:2;height:150" coordorigin="1246,4087" coordsize="2,150">
              <v:shape id="_x0000_s1673" style="position:absolute;left:1246;top:4087;width:2;height:150" coordorigin="1246,4087" coordsize="0,150" path="m1246,4087r,149e" filled="f" strokeweight=".2875mm">
                <v:path arrowok="t"/>
              </v:shape>
            </v:group>
            <v:group id="_x0000_s1670" style="position:absolute;left:1279;top:4216;width:17;height:20" coordorigin="1279,4216" coordsize="17,20">
              <v:shape id="_x0000_s1671" style="position:absolute;left:1279;top:4216;width:17;height:20" coordorigin="1279,4216" coordsize="17,20" path="m1279,4226r17,e" filled="f" strokeweight=".387mm">
                <v:path arrowok="t"/>
              </v:shape>
            </v:group>
            <v:group id="_x0000_s1668" style="position:absolute;left:1248;top:4776;width:2;height:150" coordorigin="1248,4776" coordsize="2,150">
              <v:shape id="_x0000_s1669" style="position:absolute;left:1248;top:4776;width:2;height:150" coordorigin="1248,4776" coordsize="0,150" path="m1248,4776r,150e" filled="f" strokeweight=".2875mm">
                <v:path arrowok="t"/>
              </v:shape>
            </v:group>
            <v:group id="_x0000_s1666" style="position:absolute;left:1282;top:4906;width:17;height:20" coordorigin="1282,4906" coordsize="17,20">
              <v:shape id="_x0000_s1667" style="position:absolute;left:1282;top:4906;width:17;height:20" coordorigin="1282,4906" coordsize="17,20" path="m1282,4916r16,e" filled="f" strokeweight=".387mm">
                <v:path arrowok="t"/>
              </v:shape>
            </v:group>
            <v:group id="_x0000_s1664" style="position:absolute;left:1205;top:5021;width:51;height:2" coordorigin="1205,5021" coordsize="51,2">
              <v:shape id="_x0000_s1665" style="position:absolute;left:1205;top:5021;width:51;height:2" coordorigin="1205,5021" coordsize="51,0" path="m1205,5021r51,e" filled="f" strokeweight=".39089mm">
                <v:path arrowok="t"/>
              </v:shape>
            </v:group>
            <v:group id="_x0000_s1662" style="position:absolute;left:1282;top:5134;width:17;height:20" coordorigin="1282,5134" coordsize="17,20">
              <v:shape id="_x0000_s1663" style="position:absolute;left:1282;top:5134;width:17;height:20" coordorigin="1282,5134" coordsize="17,20" path="m1282,5144r16,e" filled="f" strokeweight=".387mm">
                <v:path arrowok="t"/>
              </v:shape>
            </v:group>
            <v:group id="_x0000_s1660" style="position:absolute;left:1248;top:5463;width:2;height:150" coordorigin="1248,5463" coordsize="2,150">
              <v:shape id="_x0000_s1661" style="position:absolute;left:1248;top:5463;width:2;height:150" coordorigin="1248,5463" coordsize="0,150" path="m1248,5463r,150e" filled="f" strokeweight=".2875mm">
                <v:path arrowok="t"/>
              </v:shape>
            </v:group>
            <v:group id="_x0000_s1658" style="position:absolute;left:1282;top:5593;width:17;height:20" coordorigin="1282,5593" coordsize="17,20">
              <v:shape id="_x0000_s1659" style="position:absolute;left:1282;top:5593;width:17;height:20" coordorigin="1282,5593" coordsize="17,20" path="m1282,5603r16,e" filled="f" strokeweight=".387mm">
                <v:path arrowok="t"/>
              </v:shape>
            </v:group>
            <v:group id="_x0000_s1656" style="position:absolute;left:1212;top:5740;width:2;height:104" coordorigin="1212,5740" coordsize="2,104">
              <v:shape id="_x0000_s1657" style="position:absolute;left:1212;top:5740;width:2;height:104" coordorigin="1212,5740" coordsize="0,104" path="m1212,5740r,103e" filled="f" strokeweight=".2875mm">
                <v:path arrowok="t"/>
              </v:shape>
            </v:group>
            <v:group id="_x0000_s1654" style="position:absolute;left:1205;top:5711;width:51;height:2" coordorigin="1205,5711" coordsize="51,2">
              <v:shape id="_x0000_s1655" style="position:absolute;left:1205;top:5711;width:51;height:2" coordorigin="1205,5711" coordsize="51,0" path="m1205,5711r51,e" filled="f" strokeweight=".39053mm">
                <v:path arrowok="t"/>
              </v:shape>
            </v:group>
            <v:group id="_x0000_s1652" style="position:absolute;left:1249;top:5740;width:2;height:104" coordorigin="1249,5740" coordsize="2,104">
              <v:shape id="_x0000_s1653" style="position:absolute;left:1249;top:5740;width:2;height:104" coordorigin="1249,5740" coordsize="0,104" path="m1249,5740r,103e" filled="f" strokeweight=".2875mm">
                <v:path arrowok="t"/>
              </v:shape>
            </v:group>
            <v:group id="_x0000_s1650" style="position:absolute;left:1282;top:5823;width:17;height:20" coordorigin="1282,5823" coordsize="17,20">
              <v:shape id="_x0000_s1651" style="position:absolute;left:1282;top:5823;width:17;height:20" coordorigin="1282,5823" coordsize="17,20" path="m1282,5833r16,e" filled="f" strokeweight=".387mm">
                <v:path arrowok="t"/>
              </v:shape>
            </v:group>
            <v:group id="_x0000_s1648" style="position:absolute;left:1174;top:5970;width:2;height:104" coordorigin="1174,5970" coordsize="2,104">
              <v:shape id="_x0000_s1649" style="position:absolute;left:1174;top:5970;width:2;height:104" coordorigin="1174,5970" coordsize="0,104" path="m1174,5970r,104e" filled="f" strokeweight=".2875mm">
                <v:path arrowok="t"/>
              </v:shape>
            </v:group>
            <v:group id="_x0000_s1646" style="position:absolute;left:1167;top:5941;width:87;height:2" coordorigin="1167,5941" coordsize="87,2">
              <v:shape id="_x0000_s1647" style="position:absolute;left:1167;top:5941;width:87;height:2" coordorigin="1167,5941" coordsize="87,0" path="m1167,5941r86,e" filled="f" strokeweight=".39053mm">
                <v:path arrowok="t"/>
              </v:shape>
            </v:group>
            <v:group id="_x0000_s1644" style="position:absolute;left:1210;top:5970;width:2;height:104" coordorigin="1210,5970" coordsize="2,104">
              <v:shape id="_x0000_s1645" style="position:absolute;left:1210;top:5970;width:2;height:104" coordorigin="1210,5970" coordsize="0,104" path="m1210,5970r,104e" filled="f" strokeweight=".2875mm">
                <v:path arrowok="t"/>
              </v:shape>
            </v:group>
            <v:group id="_x0000_s1642" style="position:absolute;left:1246;top:5970;width:2;height:104" coordorigin="1246,5970" coordsize="2,104">
              <v:shape id="_x0000_s1643" style="position:absolute;left:1246;top:5970;width:2;height:104" coordorigin="1246,5970" coordsize="0,104" path="m1246,5970r,104e" filled="f" strokeweight=".2875mm">
                <v:path arrowok="t"/>
              </v:shape>
            </v:group>
            <v:group id="_x0000_s1640" style="position:absolute;left:1280;top:6054;width:17;height:20" coordorigin="1280,6054" coordsize="17,20">
              <v:shape id="_x0000_s1641" style="position:absolute;left:1280;top:6054;width:17;height:20" coordorigin="1280,6054" coordsize="17,20" path="m1280,6064r16,e" filled="f" strokeweight=".387mm">
                <v:path arrowok="t"/>
              </v:shape>
            </v:group>
            <v:group id="_x0000_s1638" style="position:absolute;left:1251;top:6382;width:2;height:150" coordorigin="1251,6382" coordsize="2,150">
              <v:shape id="_x0000_s1639" style="position:absolute;left:1251;top:6382;width:2;height:150" coordorigin="1251,6382" coordsize="0,150" path="m1251,6382r,150e" filled="f" strokeweight=".2875mm">
                <v:path arrowok="t"/>
              </v:shape>
            </v:group>
            <v:group id="_x0000_s1636" style="position:absolute;left:1284;top:6512;width:17;height:20" coordorigin="1284,6512" coordsize="17,20">
              <v:shape id="_x0000_s1637" style="position:absolute;left:1284;top:6512;width:17;height:20" coordorigin="1284,6512" coordsize="17,20" path="m1284,6522r17,e" filled="f" strokeweight=".387mm">
                <v:path arrowok="t"/>
              </v:shape>
            </v:group>
            <v:group id="_x0000_s1634" style="position:absolute;left:1215;top:6888;width:2;height:104" coordorigin="1215,6888" coordsize="2,104">
              <v:shape id="_x0000_s1635" style="position:absolute;left:1215;top:6888;width:2;height:104" coordorigin="1215,6888" coordsize="0,104" path="m1215,6888r,103e" filled="f" strokeweight=".2875mm">
                <v:path arrowok="t"/>
              </v:shape>
            </v:group>
            <v:group id="_x0000_s1632" style="position:absolute;left:1208;top:6858;width:51;height:2" coordorigin="1208,6858" coordsize="51,2">
              <v:shape id="_x0000_s1633" style="position:absolute;left:1208;top:6858;width:51;height:2" coordorigin="1208,6858" coordsize="51,0" path="m1208,6858r50,e" filled="f" strokeweight=".39053mm">
                <v:path arrowok="t"/>
              </v:shape>
            </v:group>
            <v:group id="_x0000_s1630" style="position:absolute;left:1251;top:6888;width:2;height:104" coordorigin="1251,6888" coordsize="2,104">
              <v:shape id="_x0000_s1631" style="position:absolute;left:1251;top:6888;width:2;height:104" coordorigin="1251,6888" coordsize="0,104" path="m1251,6888r,103e" filled="f" strokeweight=".2875mm">
                <v:path arrowok="t"/>
              </v:shape>
            </v:group>
            <v:group id="_x0000_s1628" style="position:absolute;left:1284;top:6971;width:17;height:20" coordorigin="1284,6971" coordsize="17,20">
              <v:shape id="_x0000_s1629" style="position:absolute;left:1284;top:6971;width:17;height:20" coordorigin="1284,6971" coordsize="17,20" path="m1284,6981r17,e" filled="f" strokeweight=".387mm">
                <v:path arrowok="t"/>
              </v:shape>
            </v:group>
            <v:group id="_x0000_s1625" style="position:absolute;left:244;top:1108;width:78;height:144" coordorigin="244,1108" coordsize="78,144">
              <v:shape id="_x0000_s1627" style="position:absolute;left:244;top:1108;width:78;height:144" coordorigin="244,1108" coordsize="78,144" path="m314,1122r-23,l296,1125r8,9l306,1140r,13l262,1210r-8,10l246,1237r-2,7l244,1251r77,l321,1234r-57,l265,1231r3,-3l273,1222r5,-6l289,1204r15,-17l314,1174r5,-9l321,1157r,-20l318,1128r-4,-6xe" fillcolor="black" stroked="f">
                <v:path arrowok="t"/>
              </v:shape>
              <v:shape id="_x0000_s1626" style="position:absolute;left:244;top:1108;width:78;height:144" coordorigin="244,1108" coordsize="78,144" path="m297,1108r-23,l265,1111r-13,14l248,1136r-1,13l262,1151r,-9l264,1135r8,-10l278,1122r36,l306,1112r-9,-4xe" fillcolor="black" stroked="f">
                <v:path arrowok="t"/>
              </v:shape>
            </v:group>
            <v:group id="_x0000_s1622" style="position:absolute;left:345;top:1231;width:17;height:20" coordorigin="345,1231" coordsize="17,20">
              <v:shape id="_x0000_s1624" style="position:absolute;left:345;top:1231;width:17;height:20" coordorigin="345,1231" coordsize="17,20" path="m345,1241r17,e" filled="f" strokeweight=".38736mm">
                <v:path arrowok="t"/>
              </v:shape>
              <v:shape id="_x0000_s1623" type="#_x0000_t75" style="position:absolute;left:949;top:8508;width:1423;height:197">
                <v:imagedata r:id="rId101" o:title=""/>
              </v:shape>
            </v:group>
            <v:group id="_x0000_s1618" style="position:absolute;left:3866;top:8518;width:96;height:148" coordorigin="3866,8518" coordsize="96,148">
              <v:shape id="_x0000_s1621" style="position:absolute;left:3866;top:8518;width:96;height:148" coordorigin="3866,8518" coordsize="96,148" path="m3890,8613r-24,3l3868,8628r9,20l3892,8661r22,4l3931,8665r12,-4l3958,8644r1,-3l3901,8641r-9,-9l3890,8613xe" fillcolor="#515252" stroked="f">
                <v:path arrowok="t"/>
              </v:shape>
              <v:shape id="_x0000_s1620" style="position:absolute;left:3866;top:8518;width:96;height:148" coordorigin="3866,8518" coordsize="96,148" path="m3928,8518r-23,l3897,8519r-26,45l3872,8570r47,34l3926,8606r3,1l3932,8609r2,2l3937,8615r1,3l3938,8627r-2,4l3928,8639r-6,2l3959,8641r3,-7l3962,8613r-54,-42l3901,8568r-6,-6l3893,8559r,-8l3895,8548r7,-5l3907,8541r49,l3954,8536r-16,-15l3928,8518xe" fillcolor="#515252" stroked="f">
                <v:path arrowok="t"/>
              </v:shape>
              <v:shape id="_x0000_s1619" style="position:absolute;left:3866;top:8518;width:96;height:148" coordorigin="3866,8518" coordsize="96,148" path="m3956,8541r-36,l3924,8543r7,6l3934,8554r1,8l3958,8561r,-14l3956,8541xe" fillcolor="#515252" stroked="f">
                <v:path arrowok="t"/>
              </v:shape>
            </v:group>
            <v:group id="_x0000_s1613" style="position:absolute;left:3975;top:8557;width:80;height:109" coordorigin="3975,8557" coordsize="80,109">
              <v:shape id="_x0000_s1617" style="position:absolute;left:3975;top:8557;width:80;height:109" coordorigin="3975,8557" coordsize="80,109" path="m4048,8578r-32,l4019,8578r3,2l4024,8581r1,1l4027,8586r,3l4027,8595r-4,2l4016,8600r-19,4l3991,8606r-8,5l3980,8615r-4,9l3975,8628r,16l3977,8651r11,11l3994,8665r14,l4012,8664r9,-5l4025,8656r4,-5l4051,8651r-1,-5l4006,8646r-3,-2l3998,8639r-1,-3l3997,8628r1,-3l4002,8621r5,-2l4020,8616r4,-2l4027,8613r22,l4049,8585r-1,-7xe" fillcolor="#515252" stroked="f">
                <v:path arrowok="t"/>
              </v:shape>
              <v:shape id="_x0000_s1616" style="position:absolute;left:3975;top:8557;width:80;height:109" coordorigin="3975,8557" coordsize="80,109" path="m4051,8651r-22,l4032,8663r22,l4052,8658r-1,-5l4051,8651xe" fillcolor="#515252" stroked="f">
                <v:path arrowok="t"/>
              </v:shape>
              <v:shape id="_x0000_s1615" style="position:absolute;left:3975;top:8557;width:80;height:109" coordorigin="3975,8557" coordsize="80,109" path="m4049,8613r-22,l4027,8626r,6l4024,8638r-2,2l4016,8645r-3,1l4050,8646r-1,-1l4049,8644r,-4l4049,8613xe" fillcolor="#515252" stroked="f">
                <v:path arrowok="t"/>
              </v:shape>
              <v:shape id="_x0000_s1614" style="position:absolute;left:3975;top:8557;width:80;height:109" coordorigin="3975,8557" coordsize="80,109" path="m4023,8557r-20,l3995,8559r-12,9l3979,8576r-2,10l3997,8591r2,-5l4001,8582r4,-3l4008,8578r40,l4048,8576r-4,-9l4040,8564r-10,-6l4023,8557xe" fillcolor="#515252" stroked="f">
                <v:path arrowok="t"/>
              </v:shape>
            </v:group>
            <v:group id="_x0000_s1611" style="position:absolute;left:4083;top:8520;width:2;height:143" coordorigin="4083,8520" coordsize="2,143">
              <v:shape id="_x0000_s1612" style="position:absolute;left:4083;top:8520;width:2;height:143" coordorigin="4083,8520" coordsize="0,143" path="m4083,8520r,143e" filled="f" strokecolor="#515252" strokeweight=".43181mm">
                <v:path arrowok="t"/>
              </v:shape>
            </v:group>
            <v:group id="_x0000_s1609" style="position:absolute;left:4128;top:8520;width:2;height:143" coordorigin="4128,8520" coordsize="2,143">
              <v:shape id="_x0000_s1610" style="position:absolute;left:4128;top:8520;width:2;height:143" coordorigin="4128,8520" coordsize="0,143" path="m4128,8520r,143e" filled="f" strokecolor="#515252" strokeweight=".43217mm">
                <v:path arrowok="t"/>
              </v:shape>
            </v:group>
            <v:group id="_x0000_s1605" style="position:absolute;left:4152;top:8559;width:88;height:146" coordorigin="4152,8559" coordsize="88,146">
              <v:shape id="_x0000_s1608" style="position:absolute;left:4152;top:8559;width:88;height:146" coordorigin="4152,8559" coordsize="88,146" path="m4157,8682r2,21l4164,8704r4,1l4178,8705r24,-22l4164,8683r-3,-1l4157,8682xe" fillcolor="#515252" stroked="f">
                <v:path arrowok="t"/>
              </v:shape>
              <v:shape id="_x0000_s1607" style="position:absolute;left:4152;top:8559;width:88;height:146" coordorigin="4152,8559" coordsize="88,146" path="m4176,8559r-24,l4184,8663r-2,8l4180,8676r-5,5l4171,8683r31,l4204,8678r5,-19l4217,8633r-21,l4176,8559xe" fillcolor="#515252" stroked="f">
                <v:path arrowok="t"/>
              </v:shape>
              <v:shape id="_x0000_s1606" style="position:absolute;left:4152;top:8559;width:88;height:146" coordorigin="4152,8559" coordsize="88,146" path="m4239,8559r-23,l4196,8633r21,l4239,8559xe" fillcolor="#515252" stroked="f">
                <v:path arrowok="t"/>
              </v:shape>
            </v:group>
            <v:group id="_x0000_s1603" style="position:absolute;left:4299;top:8520;width:81;height:143" coordorigin="4299,8520" coordsize="81,143">
              <v:shape id="_x0000_s1604" style="position:absolute;left:4299;top:8520;width:81;height:143" coordorigin="4299,8520" coordsize="81,143" path="m4380,8520r-81,l4299,8663r24,l4323,8602r49,l4372,8578r-49,l4323,8544r57,l4380,8520xe" fillcolor="#515252" stroked="f">
                <v:path arrowok="t"/>
              </v:shape>
            </v:group>
            <v:group id="_x0000_s1598" style="position:absolute;left:4394;top:8557;width:80;height:109" coordorigin="4394,8557" coordsize="80,109">
              <v:shape id="_x0000_s1602" style="position:absolute;left:4394;top:8557;width:80;height:109" coordorigin="4394,8557" coordsize="80,109" path="m4468,8578r-32,l4439,8578r2,2l4443,8581r2,1l4447,8586r,3l4447,8595r-4,2l4436,8600r-19,4l4410,8606r-7,5l4400,8615r-5,9l4394,8628r,16l4397,8651r10,11l4414,8665r13,l4432,8664r9,-5l4445,8656r4,-5l4470,8651r-1,-5l4426,8646r-3,-2l4418,8639r-1,-3l4417,8628r1,-3l4422,8621r5,-2l4440,8616r4,-2l4447,8613r22,l4469,8585r-1,-7xe" fillcolor="#515252" stroked="f">
                <v:path arrowok="t"/>
              </v:shape>
              <v:shape id="_x0000_s1601" style="position:absolute;left:4394;top:8557;width:80;height:109" coordorigin="4394,8557" coordsize="80,109" path="m4470,8651r-21,l4452,8663r22,l4472,8658r-1,-5l4470,8651xe" fillcolor="#515252" stroked="f">
                <v:path arrowok="t"/>
              </v:shape>
              <v:shape id="_x0000_s1600" style="position:absolute;left:4394;top:8557;width:80;height:109" coordorigin="4394,8557" coordsize="80,109" path="m4469,8613r-22,l4447,8626r-1,6l4444,8638r-2,2l4436,8645r-4,1l4469,8646r,-1l4469,8644r,-4l4469,8613xe" fillcolor="#515252" stroked="f">
                <v:path arrowok="t"/>
              </v:shape>
              <v:shape id="_x0000_s1599" style="position:absolute;left:4394;top:8557;width:80;height:109" coordorigin="4394,8557" coordsize="80,109" path="m4443,8557r-20,l4415,8559r-12,9l4399,8576r-2,10l4417,8591r1,-5l4420,8582r5,-3l4428,8578r40,l4468,8576r-4,-9l4460,8564r-10,-6l4443,8557xe" fillcolor="#515252" stroked="f">
                <v:path arrowok="t"/>
              </v:shape>
            </v:group>
            <v:group id="_x0000_s1594" style="position:absolute;left:4490;top:8557;width:55;height:106" coordorigin="4490,8557" coordsize="55,106">
              <v:shape id="_x0000_s1597" style="position:absolute;left:4490;top:8557;width:55;height:106" coordorigin="4490,8557" coordsize="55,106" path="m4511,8559r-21,l4490,8663r23,l4513,8615r,-12l4515,8591r2,-4l4522,8583r2,-2l4539,8581r3,-7l4511,8574r,-15xe" fillcolor="#515252" stroked="f">
                <v:path arrowok="t"/>
              </v:shape>
              <v:shape id="_x0000_s1596" style="position:absolute;left:4490;top:8557;width:55;height:106" coordorigin="4490,8557" coordsize="55,106" path="m4539,8581r-8,l4534,8583r4,3l4539,8581xe" fillcolor="#515252" stroked="f">
                <v:path arrowok="t"/>
              </v:shape>
              <v:shape id="_x0000_s1595" style="position:absolute;left:4490;top:8557;width:55;height:106" coordorigin="4490,8557" coordsize="55,106" path="m4535,8557r-8,l4523,8558r-5,5l4515,8567r-4,7l4542,8574r3,-12l4540,8559r-5,-2xe" fillcolor="#515252" stroked="f">
                <v:path arrowok="t"/>
              </v:shape>
            </v:group>
            <v:group id="_x0000_s1590" style="position:absolute;left:4555;top:8557;width:55;height:106" coordorigin="4555,8557" coordsize="55,106">
              <v:shape id="_x0000_s1593" style="position:absolute;left:4555;top:8557;width:55;height:106" coordorigin="4555,8557" coordsize="55,106" path="m4576,8559r-21,l4555,8663r23,l4578,8615r,-12l4580,8591r2,-4l4587,8583r2,-2l4604,8581r2,-7l4576,8574r,-15xe" fillcolor="#515252" stroked="f">
                <v:path arrowok="t"/>
              </v:shape>
              <v:shape id="_x0000_s1592" style="position:absolute;left:4555;top:8557;width:55;height:106" coordorigin="4555,8557" coordsize="55,106" path="m4604,8581r-8,l4599,8583r4,3l4604,8581xe" fillcolor="#515252" stroked="f">
                <v:path arrowok="t"/>
              </v:shape>
              <v:shape id="_x0000_s1591" style="position:absolute;left:4555;top:8557;width:55;height:106" coordorigin="4555,8557" coordsize="55,106" path="m4600,8557r-8,l4588,8558r-5,5l4580,8567r-4,7l4606,8574r4,-12l4605,8559r-5,-2xe" fillcolor="#515252" stroked="f">
                <v:path arrowok="t"/>
              </v:shape>
            </v:group>
            <v:group id="_x0000_s1588" style="position:absolute;left:4630;top:8509;width:2;height:154" coordorigin="4630,8509" coordsize="2,154">
              <v:shape id="_x0000_s1589" style="position:absolute;left:4630;top:8509;width:2;height:154" coordorigin="4630,8509" coordsize="0,154" path="m4630,8509r,154e" filled="f" strokecolor="#515252" strokeweight=".43217mm">
                <v:path arrowok="t"/>
              </v:shape>
            </v:group>
            <v:group id="_x0000_s1584" style="position:absolute;left:4658;top:8557;width:80;height:109" coordorigin="4658,8557" coordsize="80,109">
              <v:shape id="_x0000_s1587" style="position:absolute;left:4658;top:8557;width:80;height:109" coordorigin="4658,8557" coordsize="80,109" path="m4709,8557r-24,l4677,8561r-10,14l4660,8592r-2,23l4661,8636r9,17l4676,8661r10,4l4708,8665r7,-2l4728,8653r5,-8l4694,8645r-4,-3l4682,8633r-1,-6l4681,8619r56,l4737,8607r-1,-5l4681,8602r,-8l4682,8588r7,-8l4693,8578r36,l4725,8570r-7,-9l4709,8557xe" fillcolor="#515252" stroked="f">
                <v:path arrowok="t"/>
              </v:shape>
              <v:shape id="_x0000_s1586" style="position:absolute;left:4658;top:8557;width:80;height:109" coordorigin="4658,8557" coordsize="80,109" path="m4713,8630r-2,10l4706,8645r27,l4736,8634r-23,-4xe" fillcolor="#515252" stroked="f">
                <v:path arrowok="t"/>
              </v:shape>
              <v:shape id="_x0000_s1585" style="position:absolute;left:4658;top:8557;width:80;height:109" coordorigin="4658,8557" coordsize="80,109" path="m4729,8578r-27,l4706,8580r7,8l4714,8594r,8l4736,8602r-3,-16l4729,8578xe" fillcolor="#515252" stroked="f">
                <v:path arrowok="t"/>
              </v:shape>
            </v:group>
            <v:group id="_x0000_s1579" style="position:absolute;left:4754;top:8557;width:55;height:106" coordorigin="4754,8557" coordsize="55,106">
              <v:shape id="_x0000_s1583" style="position:absolute;left:4754;top:8557;width:55;height:106" coordorigin="4754,8557" coordsize="55,106" path="m4775,8559r-21,l4754,8663r22,l4776,8615r1,-12l4779,8591r2,-4l4785,8583r3,-2l4803,8581r2,-7l4775,8574r,-15xe" fillcolor="#515252" stroked="f">
                <v:path arrowok="t"/>
              </v:shape>
              <v:shape id="_x0000_s1582" style="position:absolute;left:4754;top:8557;width:55;height:106" coordorigin="4754,8557" coordsize="55,106" path="m4803,8581r-8,l4798,8583r4,3l4803,8581xe" fillcolor="#515252" stroked="f">
                <v:path arrowok="t"/>
              </v:shape>
              <v:shape id="_x0000_s1581" style="position:absolute;left:4754;top:8557;width:55;height:106" coordorigin="4754,8557" coordsize="55,106" path="m4799,8557r-9,l4787,8558r-5,5l4778,8567r-3,7l4805,8574r4,-12l4804,8559r-5,-2xe" fillcolor="#515252" stroked="f">
                <v:path arrowok="t"/>
              </v:shape>
              <v:shape id="_x0000_s1580" type="#_x0000_t75" style="position:absolute;left:3416;top:7507;width:1838;height:951">
                <v:imagedata r:id="rId102" o:title=""/>
              </v:shape>
            </v:group>
            <v:group id="_x0000_s1575" style="position:absolute;left:6211;top:8519;width:101;height:147" coordorigin="6211,8519" coordsize="101,147">
              <v:shape id="_x0000_s1578" style="position:absolute;left:6211;top:8519;width:101;height:147" coordorigin="6211,8519" coordsize="101,147" path="m6253,8519r-41,65l6211,8613r6,19l6227,8648r16,13l6263,8665r12,l6286,8661r16,-14l6305,8641r-51,l6247,8637r-10,-15l6234,8609r,-36l6237,8561r5,-8l6248,8546r7,-4l6306,8542r-2,-5l6293,8527r-15,-7l6253,8519xe" fillcolor="#515252" stroked="f">
                <v:path arrowok="t"/>
              </v:shape>
              <v:shape id="_x0000_s1577" style="position:absolute;left:6211;top:8519;width:101;height:147" coordorigin="6211,8519" coordsize="101,147" path="m6289,8610r-2,11l6284,8628r-10,10l6269,8641r36,l6308,8635r4,-16l6289,8610xe" fillcolor="#515252" stroked="f">
                <v:path arrowok="t"/>
              </v:shape>
              <v:shape id="_x0000_s1576" style="position:absolute;left:6211;top:8519;width:101;height:147" coordorigin="6211,8519" coordsize="101,147" path="m6306,8542r-36,l6275,8544r9,9l6287,8558r1,8l6312,8559r-3,-12l6306,8542xe" fillcolor="#515252" stroked="f">
                <v:path arrowok="t"/>
              </v:shape>
            </v:group>
            <v:group id="_x0000_s1573" style="position:absolute;left:6343;top:8520;width:2;height:143" coordorigin="6343,8520" coordsize="2,143">
              <v:shape id="_x0000_s1574" style="position:absolute;left:6343;top:8520;width:2;height:143" coordorigin="6343,8520" coordsize="0,143" path="m6343,8520r,143e" filled="f" strokecolor="#515252" strokeweight=".43181mm">
                <v:path arrowok="t"/>
              </v:shape>
            </v:group>
            <v:group id="_x0000_s1568" style="position:absolute;left:6371;top:8557;width:80;height:109" coordorigin="6371,8557" coordsize="80,109">
              <v:shape id="_x0000_s1572" style="position:absolute;left:6371;top:8557;width:80;height:109" coordorigin="6371,8557" coordsize="80,109" path="m6445,8578r-32,l6416,8578r4,3l6422,8582r1,4l6424,8589r,6l6420,8597r-7,3l6394,8604r-7,2l6380,8611r-3,4l6372,8624r-1,4l6371,8644r3,7l6384,8662r7,3l6404,8665r5,-1l6418,8659r4,-3l6426,8651r21,l6446,8646r-43,l6400,8644r-5,-5l6394,8636r,-8l6395,8625r2,-2l6399,8621r5,-2l6417,8616r4,-2l6424,8613r22,l6446,8585r-1,-7xe" fillcolor="#515252" stroked="f">
                <v:path arrowok="t"/>
              </v:shape>
              <v:shape id="_x0000_s1571" style="position:absolute;left:6371;top:8557;width:80;height:109" coordorigin="6371,8557" coordsize="80,109" path="m6447,8651r-21,l6429,8663r22,l6449,8658r-2,-5l6447,8651xe" fillcolor="#515252" stroked="f">
                <v:path arrowok="t"/>
              </v:shape>
              <v:shape id="_x0000_s1570" style="position:absolute;left:6371;top:8557;width:80;height:109" coordorigin="6371,8557" coordsize="80,109" path="m6446,8613r-22,l6424,8626r-1,6l6421,8638r-2,2l6413,8645r-4,1l6446,8646r,-1l6446,8644r,-4l6446,8613xe" fillcolor="#515252" stroked="f">
                <v:path arrowok="t"/>
              </v:shape>
              <v:shape id="_x0000_s1569" style="position:absolute;left:6371;top:8557;width:80;height:109" coordorigin="6371,8557" coordsize="80,109" path="m6420,8557r-20,l6391,8559r-11,9l6376,8576r-2,10l6394,8591r1,-5l6397,8582r5,-3l6405,8578r40,l6445,8576r-4,-9l6437,8564r-10,-6l6420,8557xe" fillcolor="#515252" stroked="f">
                <v:path arrowok="t"/>
              </v:shape>
            </v:group>
            <v:group id="_x0000_s1566" style="position:absolute;left:6479;top:8509;width:2;height:154" coordorigin="6479,8509" coordsize="2,154">
              <v:shape id="_x0000_s1567" style="position:absolute;left:6479;top:8509;width:2;height:154" coordorigin="6479,8509" coordsize="0,154" path="m6479,8509r,154e" filled="f" strokecolor="#515252" strokeweight=".43181mm">
                <v:path arrowok="t"/>
              </v:shape>
            </v:group>
            <v:group id="_x0000_s1562" style="position:absolute;left:6513;top:8557;width:55;height:106" coordorigin="6513,8557" coordsize="55,106">
              <v:shape id="_x0000_s1565" style="position:absolute;left:6513;top:8557;width:55;height:106" coordorigin="6513,8557" coordsize="55,106" path="m6533,8559r-20,l6513,8663r22,l6535,8615r1,-12l6538,8591r1,-4l6544,8583r3,-2l6562,8581r2,-7l6533,8574r,-15xe" fillcolor="#515252" stroked="f">
                <v:path arrowok="t"/>
              </v:shape>
              <v:shape id="_x0000_s1564" style="position:absolute;left:6513;top:8557;width:55;height:106" coordorigin="6513,8557" coordsize="55,106" path="m6562,8581r-9,l6557,8583r3,3l6562,8581xe" fillcolor="#515252" stroked="f">
                <v:path arrowok="t"/>
              </v:shape>
              <v:shape id="_x0000_s1563" style="position:absolute;left:6513;top:8557;width:55;height:106" coordorigin="6513,8557" coordsize="55,106" path="m6558,8557r-9,l6546,8558r-6,5l6537,8567r-4,7l6564,8574r3,-12l6563,8559r-5,-2xe" fillcolor="#515252" stroked="f">
                <v:path arrowok="t"/>
              </v:shape>
            </v:group>
            <v:group id="_x0000_s1558" style="position:absolute;left:6570;top:8557;width:80;height:109" coordorigin="6570,8557" coordsize="80,109">
              <v:shape id="_x0000_s1561" style="position:absolute;left:6570;top:8557;width:80;height:109" coordorigin="6570,8557" coordsize="80,109" path="m6621,8557r-23,l6589,8561r-10,14l6572,8592r-2,23l6573,8636r9,17l6589,8661r10,4l6620,8665r8,-2l6640,8653r5,-8l6606,8645r-4,-3l6595,8633r-2,-6l6593,8619r56,l6649,8607r-1,-5l6593,8602r,-8l6595,8588r6,-8l6605,8578r36,l6637,8570r-7,-9l6621,8557xe" fillcolor="#515252" stroked="f">
                <v:path arrowok="t"/>
              </v:shape>
              <v:shape id="_x0000_s1560" style="position:absolute;left:6570;top:8557;width:80;height:109" coordorigin="6570,8557" coordsize="80,109" path="m6626,8630r-3,10l6619,8645r26,l6648,8634r-22,-4xe" fillcolor="#515252" stroked="f">
                <v:path arrowok="t"/>
              </v:shape>
              <v:shape id="_x0000_s1559" style="position:absolute;left:6570;top:8557;width:80;height:109" coordorigin="6570,8557" coordsize="80,109" path="m6641,8578r-26,l6618,8580r7,8l6627,8594r,8l6648,8602r-3,-16l6641,8578xe" fillcolor="#515252" stroked="f">
                <v:path arrowok="t"/>
              </v:shape>
            </v:group>
            <v:group id="_x0000_s1556" style="position:absolute;left:6751;top:8544;width:2;height:119" coordorigin="6751,8544" coordsize="2,119">
              <v:shape id="_x0000_s1557" style="position:absolute;left:6751;top:8544;width:2;height:119" coordorigin="6751,8544" coordsize="0,119" path="m6751,8544r,119e" filled="f" strokecolor="#515252" strokeweight=".4505mm">
                <v:path arrowok="t"/>
              </v:shape>
            </v:group>
            <v:group id="_x0000_s1554" style="position:absolute;left:6705;top:8532;width:93;height:2" coordorigin="6705,8532" coordsize="93,2">
              <v:shape id="_x0000_s1555" style="position:absolute;left:6705;top:8532;width:93;height:2" coordorigin="6705,8532" coordsize="93,0" path="m6705,8532r93,e" filled="f" strokecolor="#515252" strokeweight=".46072mm">
                <v:path arrowok="t"/>
              </v:shape>
            </v:group>
            <v:group id="_x0000_s1550" style="position:absolute;left:6814;top:8520;width:78;height:143" coordorigin="6814,8520" coordsize="78,143">
              <v:shape id="_x0000_s1553" style="position:absolute;left:6814;top:8520;width:78;height:143" coordorigin="6814,8520" coordsize="78,143" path="m6836,8520r-22,l6814,8663r22,l6836,8598r2,-9l6844,8580r5,-2l6889,8578r-2,-6l6836,8572r,-52xe" fillcolor="#515252" stroked="f">
                <v:path arrowok="t"/>
              </v:shape>
              <v:shape id="_x0000_s1552" style="position:absolute;left:6814;top:8520;width:78;height:143" coordorigin="6814,8520" coordsize="78,143" path="m6889,8578r-29,l6864,8580r4,7l6868,8595r,68l6891,8663r,-74l6890,8582r-1,-4xe" fillcolor="#515252" stroked="f">
                <v:path arrowok="t"/>
              </v:shape>
              <v:shape id="_x0000_s1551" style="position:absolute;left:6814;top:8520;width:78;height:143" coordorigin="6814,8520" coordsize="78,143" path="m6869,8557r-12,l6852,8558r-8,5l6840,8567r-4,5l6887,8572r,-1l6884,8566r-9,-7l6869,8557xe" fillcolor="#515252" stroked="f">
                <v:path arrowok="t"/>
              </v:shape>
            </v:group>
            <v:group id="_x0000_s1547" style="position:absolute;left:6909;top:8557;width:88;height:109" coordorigin="6909,8557" coordsize="88,109">
              <v:shape id="_x0000_s1549" style="position:absolute;left:6909;top:8557;width:88;height:109" coordorigin="6909,8557" coordsize="88,109" path="m6967,8557r-22,l6938,8559r-13,8l6919,8574r-8,16l6909,8599r,14l6913,8635r9,16l6930,8660r10,5l6961,8665r7,-2l6981,8654r6,-6l6989,8643r-42,l6942,8640r-4,-5l6934,8629r-2,-8l6932,8601r2,-8l6942,8582r5,-3l6990,8579r-13,-17l6967,8557xe" fillcolor="#515252" stroked="f">
                <v:path arrowok="t"/>
              </v:shape>
              <v:shape id="_x0000_s1548" style="position:absolute;left:6909;top:8557;width:88;height:109" coordorigin="6909,8557" coordsize="88,109" path="m6990,8579r-31,l6964,8582r8,11l6974,8601r,20l6972,8629r-8,11l6959,8643r30,l6995,8631r2,-10l6997,8596r-4,-12l6990,8579xe" fillcolor="#515252" stroked="f">
                <v:path arrowok="t"/>
              </v:shape>
            </v:group>
            <v:group id="_x0000_s1541" style="position:absolute;left:7013;top:8557;width:125;height:106" coordorigin="7013,8557" coordsize="125,106">
              <v:shape id="_x0000_s1546" style="position:absolute;left:7013;top:8557;width:125;height:106" coordorigin="7013,8557" coordsize="125,106" path="m7034,8559r-21,l7013,8663r23,l7036,8602r1,-7l7039,8587r2,-4l7047,8579r3,-1l7137,8578r-2,-5l7034,8573r,-14xe" fillcolor="#515252" stroked="f">
                <v:path arrowok="t"/>
              </v:shape>
              <v:shape id="_x0000_s1545" style="position:absolute;left:7013;top:8557;width:125;height:106" coordorigin="7013,8557" coordsize="125,106" path="m7099,8578r-41,l7061,8580r3,8l7064,8593r1,70l7087,8663r,-64l7089,8590r6,-10l7099,8578xe" fillcolor="#515252" stroked="f">
                <v:path arrowok="t"/>
              </v:shape>
              <v:shape id="_x0000_s1544" style="position:absolute;left:7013;top:8557;width:125;height:106" coordorigin="7013,8557" coordsize="125,106" path="m7137,8578r-29,l7111,8580r4,6l7116,8593r,70l7138,8663r,-77l7137,8578r,xe" fillcolor="#515252" stroked="f">
                <v:path arrowok="t"/>
              </v:shape>
              <v:shape id="_x0000_s1543" style="position:absolute;left:7013;top:8557;width:125;height:106" coordorigin="7013,8557" coordsize="125,106" path="m7066,8557r-11,l7051,8558r-9,6l7038,8568r-4,5l7135,8573r-51,l7082,8568r-3,-4l7071,8558r-5,-1xe" fillcolor="#515252" stroked="f">
                <v:path arrowok="t"/>
              </v:shape>
              <v:shape id="_x0000_s1542" style="position:absolute;left:7013;top:8557;width:125;height:106" coordorigin="7013,8557" coordsize="125,106" path="m7116,8557r-11,l7101,8558r-9,6l7088,8568r-4,5l7135,8573r-2,-5l7129,8564r-8,-6l7116,8557xe" fillcolor="#515252" stroked="f">
                <v:path arrowok="t"/>
              </v:shape>
            </v:group>
            <v:group id="_x0000_s1536" style="position:absolute;left:7156;top:8557;width:80;height:109" coordorigin="7156,8557" coordsize="80,109">
              <v:shape id="_x0000_s1540" style="position:absolute;left:7156;top:8557;width:80;height:109" coordorigin="7156,8557" coordsize="80,109" path="m7229,8578r-32,l7200,8578r2,2l7205,8581r1,1l7208,8586r,3l7208,8595r-4,2l7197,8600r-19,4l7172,8606r-8,5l7161,8615r-4,9l7156,8628r,16l7158,8651r11,11l7175,8665r14,l7193,8664r9,-5l7206,8656r4,-5l7231,8651r,-5l7187,8646r-3,-2l7179,8639r-1,-3l7178,8628r1,-3l7183,8621r5,-2l7201,8616r4,-2l7208,8613r22,l7230,8585r-1,-7xe" fillcolor="#515252" stroked="f">
                <v:path arrowok="t"/>
              </v:shape>
              <v:shape id="_x0000_s1539" style="position:absolute;left:7156;top:8557;width:80;height:109" coordorigin="7156,8557" coordsize="80,109" path="m7231,8651r-21,l7213,8663r22,l7233,8658r-1,-5l7231,8651xe" fillcolor="#515252" stroked="f">
                <v:path arrowok="t"/>
              </v:shape>
              <v:shape id="_x0000_s1538" style="position:absolute;left:7156;top:8557;width:80;height:109" coordorigin="7156,8557" coordsize="80,109" path="m7230,8613r-22,l7208,8626r,6l7205,8638r-2,2l7197,8645r-3,1l7231,8646r-1,-1l7230,8644r,-4l7230,8613xe" fillcolor="#515252" stroked="f">
                <v:path arrowok="t"/>
              </v:shape>
              <v:shape id="_x0000_s1537" style="position:absolute;left:7156;top:8557;width:80;height:109" coordorigin="7156,8557" coordsize="80,109" path="m7204,8557r-20,l7176,8559r-12,9l7160,8576r-2,10l7178,8591r2,-5l7181,8582r5,-3l7189,8578r40,l7229,8576r-2,-4l7225,8567r-4,-3l7211,8558r-7,-1xe" fillcolor="#515252" stroked="f">
                <v:path arrowok="t"/>
              </v:shape>
            </v:group>
            <v:group id="_x0000_s1532" style="position:absolute;left:7244;top:8557;width:80;height:109" coordorigin="7244,8557" coordsize="80,109">
              <v:shape id="_x0000_s1535" style="position:absolute;left:7244;top:8557;width:80;height:109" coordorigin="7244,8557" coordsize="80,109" path="m7267,8629r-23,4l7247,8644r4,8l7265,8662r9,3l7297,8665r10,-3l7320,8649r2,-4l7275,8645r-6,-5l7267,8629xe" fillcolor="#515252" stroked="f">
                <v:path arrowok="t"/>
              </v:shape>
              <v:shape id="_x0000_s1534" style="position:absolute;left:7244;top:8557;width:80;height:109" coordorigin="7244,8557" coordsize="80,109" path="m7294,8557r-22,l7263,8560r-12,11l7248,8579r,19l7251,8606r11,10l7274,8621r22,5l7298,8628r1,1l7300,8630r1,2l7301,8637r-1,3l7294,8644r-4,1l7322,8645r2,-4l7324,8622r-44,-27l7274,8592r-2,-1l7269,8589r-1,-2l7268,8583r2,-2l7274,8577r4,l7319,8577r-1,-2l7314,8568r-11,-9l7294,8557xe" fillcolor="#515252" stroked="f">
                <v:path arrowok="t"/>
              </v:shape>
              <v:shape id="_x0000_s1533" style="position:absolute;left:7244;top:8557;width:80;height:109" coordorigin="7244,8557" coordsize="80,109" path="m7319,8577r-27,l7298,8581r2,8l7321,8584r-2,-7xe" fillcolor="#515252" stroked="f">
                <v:path arrowok="t"/>
              </v:shape>
            </v:group>
            <v:group id="_x0000_s1530" style="position:absolute;left:9305;top:8790;width:10;height:2" coordorigin="9305,8790" coordsize="10,2">
              <v:shape id="_x0000_s1531" style="position:absolute;left:9305;top:8790;width:10;height:2" coordorigin="9305,8790" coordsize="10,0" path="m9305,8790r9,e" filled="f" strokecolor="#1e4a7d" strokeweight=".58pt">
                <v:path arrowok="t"/>
              </v:shape>
            </v:group>
            <v:group id="_x0000_s1526" style="position:absolute;left:428;top:7507;width:2448;height:749" coordorigin="428,7507" coordsize="2448,749">
              <v:shape id="_x0000_s1529" style="position:absolute;left:428;top:7507;width:2448;height:749" coordorigin="428,7507" coordsize="2448,749" path="m428,8255r2447,l2875,7507r-2447,l428,8255xe" fillcolor="#b8dee8" stroked="f">
                <v:path arrowok="t"/>
              </v:shape>
              <v:shape id="_x0000_s1528" type="#_x0000_t75" style="position:absolute;left:428;top:7507;width:2447;height:748">
                <v:imagedata r:id="rId103" o:title=""/>
              </v:shape>
              <v:shape id="_x0000_s1527" type="#_x0000_t75" style="position:absolute;left:5981;top:7507;width:1570;height:729">
                <v:imagedata r:id="rId104" o:title=""/>
              </v:shape>
            </v:group>
            <v:group id="_x0000_s1524" style="position:absolute;left:10;top:10;width:9341;height:9009" coordorigin="10,10" coordsize="9341,9009">
              <v:shape id="_x0000_s1525" style="position:absolute;left:10;top:10;width:9341;height:9009" coordorigin="10,10" coordsize="9341,9009" path="m10,9019r9340,l9350,10,10,10r,9009xe" filled="f" strokeweight="1pt">
                <v:path arrowok="t"/>
              </v:shape>
            </v:group>
            <w10:wrap type="none"/>
            <w10:anchorlock/>
          </v:group>
        </w:pict>
      </w:r>
    </w:p>
    <w:p w:rsidR="00D96B91" w:rsidRDefault="00D96B91">
      <w:pPr>
        <w:spacing w:line="200" w:lineRule="atLeast"/>
        <w:rPr>
          <w:rFonts w:ascii="Avenir Next" w:eastAsia="Avenir Next" w:hAnsi="Avenir Next" w:cs="Avenir Next"/>
          <w:sz w:val="20"/>
          <w:szCs w:val="20"/>
        </w:rPr>
        <w:sectPr w:rsidR="00D96B91">
          <w:footerReference w:type="even" r:id="rId105"/>
          <w:footerReference w:type="default" r:id="rId106"/>
          <w:pgSz w:w="11910" w:h="16840"/>
          <w:pgMar w:top="1260" w:right="0" w:bottom="1020" w:left="0" w:header="0" w:footer="829" w:gutter="0"/>
          <w:pgNumType w:start="152"/>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27" w:name="Appendix_3_List_of_submissions"/>
      <w:bookmarkStart w:id="228" w:name="_bookmark147"/>
      <w:bookmarkEnd w:id="227"/>
      <w:bookmarkEnd w:id="228"/>
      <w:r>
        <w:rPr>
          <w:rFonts w:ascii="Avenir Next Medium"/>
          <w:color w:val="0778BE"/>
          <w:sz w:val="40"/>
        </w:rPr>
        <w:t>Appendix 3</w:t>
      </w:r>
      <w:r>
        <w:rPr>
          <w:rFonts w:ascii="Avenir Next Medium"/>
          <w:color w:val="0778BE"/>
          <w:sz w:val="40"/>
        </w:rPr>
        <w:tab/>
        <w:t>List of</w:t>
      </w:r>
      <w:r>
        <w:rPr>
          <w:rFonts w:ascii="Avenir Next Medium"/>
          <w:color w:val="0778BE"/>
          <w:spacing w:val="9"/>
          <w:sz w:val="40"/>
        </w:rPr>
        <w:t xml:space="preserve"> </w:t>
      </w:r>
      <w:r>
        <w:rPr>
          <w:rFonts w:ascii="Avenir Next Medium"/>
          <w:color w:val="0778BE"/>
          <w:sz w:val="40"/>
        </w:rPr>
        <w:t>submissions</w:t>
      </w:r>
    </w:p>
    <w:p w:rsidR="00D96B91" w:rsidRDefault="00C2656B">
      <w:pPr>
        <w:pStyle w:val="BodyText"/>
        <w:spacing w:before="359" w:line="260" w:lineRule="exact"/>
        <w:ind w:right="1283"/>
        <w:rPr>
          <w:rFonts w:cs="Avenir Next"/>
        </w:rPr>
      </w:pPr>
      <w:r>
        <w:rPr>
          <w:spacing w:val="-1"/>
        </w:rPr>
        <w:t>This</w:t>
      </w:r>
      <w:r>
        <w:t xml:space="preserve"> appendix lists the submissions </w:t>
      </w:r>
      <w:r>
        <w:rPr>
          <w:spacing w:val="-1"/>
        </w:rPr>
        <w:t>that</w:t>
      </w:r>
      <w:r>
        <w:t xml:space="preserve"> have been </w:t>
      </w:r>
      <w:r>
        <w:rPr>
          <w:spacing w:val="-1"/>
        </w:rPr>
        <w:t>received</w:t>
      </w:r>
      <w:r>
        <w:t xml:space="preserve"> by the </w:t>
      </w:r>
      <w:r>
        <w:rPr>
          <w:spacing w:val="-3"/>
        </w:rPr>
        <w:t>Panel</w:t>
      </w:r>
      <w:r>
        <w:t xml:space="preserve"> to </w:t>
      </w:r>
      <w:r>
        <w:rPr>
          <w:spacing w:val="-1"/>
        </w:rPr>
        <w:t>date.</w:t>
      </w:r>
      <w:r>
        <w:rPr>
          <w:spacing w:val="-6"/>
        </w:rPr>
        <w:t xml:space="preserve"> </w:t>
      </w:r>
      <w:r>
        <w:rPr>
          <w:spacing w:val="-1"/>
        </w:rPr>
        <w:t>Copies</w:t>
      </w:r>
      <w:r>
        <w:t xml:space="preserve"> of</w:t>
      </w:r>
      <w:r>
        <w:rPr>
          <w:spacing w:val="4"/>
        </w:rPr>
        <w:t xml:space="preserve"> </w:t>
      </w:r>
      <w:r>
        <w:t>all</w:t>
      </w:r>
      <w:r>
        <w:rPr>
          <w:spacing w:val="29"/>
        </w:rPr>
        <w:t xml:space="preserve"> </w:t>
      </w:r>
      <w:r>
        <w:rPr>
          <w:rFonts w:cs="Avenir Next"/>
        </w:rPr>
        <w:t xml:space="preserve">submissions </w:t>
      </w:r>
      <w:r>
        <w:rPr>
          <w:rFonts w:cs="Avenir Next"/>
          <w:spacing w:val="-2"/>
        </w:rPr>
        <w:t>are</w:t>
      </w:r>
      <w:r>
        <w:rPr>
          <w:rFonts w:cs="Avenir Next"/>
        </w:rPr>
        <w:t xml:space="preserve"> available </w:t>
      </w:r>
      <w:r>
        <w:rPr>
          <w:rFonts w:cs="Avenir Next"/>
          <w:spacing w:val="-1"/>
        </w:rPr>
        <w:t>from</w:t>
      </w:r>
      <w:r>
        <w:rPr>
          <w:rFonts w:cs="Avenir Next"/>
        </w:rPr>
        <w:t xml:space="preserve"> the </w:t>
      </w:r>
      <w:r>
        <w:rPr>
          <w:rFonts w:cs="Avenir Next"/>
          <w:spacing w:val="-4"/>
        </w:rPr>
        <w:t>Panel’s</w:t>
      </w:r>
      <w:r>
        <w:rPr>
          <w:rFonts w:cs="Avenir Next"/>
        </w:rPr>
        <w:t xml:space="preserve"> website:</w:t>
      </w:r>
    </w:p>
    <w:p w:rsidR="00D96B91" w:rsidRDefault="00D96B91">
      <w:pPr>
        <w:pStyle w:val="BodyText"/>
        <w:spacing w:before="178"/>
        <w:ind w:firstLine="2654"/>
      </w:pPr>
      <w:hyperlink r:id="rId107">
        <w:r w:rsidR="00C2656B">
          <w:rPr>
            <w:color w:val="0778BE"/>
            <w:spacing w:val="-1"/>
          </w:rPr>
          <w:t>http://apps.treasury.act.gov.au/industrypanel</w:t>
        </w:r>
      </w:hyperlink>
    </w:p>
    <w:p w:rsidR="00D96B91" w:rsidRDefault="00D96B91">
      <w:pPr>
        <w:spacing w:before="8"/>
        <w:rPr>
          <w:rFonts w:ascii="Avenir Next" w:eastAsia="Avenir Next" w:hAnsi="Avenir Next" w:cs="Avenir Next"/>
          <w:sz w:val="19"/>
          <w:szCs w:val="19"/>
        </w:rPr>
      </w:pPr>
    </w:p>
    <w:p w:rsidR="00D96B91" w:rsidRDefault="00C2656B">
      <w:pPr>
        <w:pStyle w:val="Heading5"/>
        <w:spacing w:line="288" w:lineRule="exact"/>
        <w:ind w:right="3559"/>
        <w:rPr>
          <w:b w:val="0"/>
          <w:bCs w:val="0"/>
        </w:rPr>
      </w:pPr>
      <w:r>
        <w:rPr>
          <w:color w:val="0778BE"/>
        </w:rPr>
        <w:t xml:space="preserve">Submissions made in </w:t>
      </w:r>
      <w:r>
        <w:rPr>
          <w:color w:val="0778BE"/>
          <w:spacing w:val="-1"/>
        </w:rPr>
        <w:t>response</w:t>
      </w:r>
      <w:r>
        <w:rPr>
          <w:color w:val="0778BE"/>
        </w:rPr>
        <w:t xml:space="preserve"> to the </w:t>
      </w:r>
      <w:r>
        <w:rPr>
          <w:color w:val="0778BE"/>
          <w:spacing w:val="-4"/>
        </w:rPr>
        <w:t>Panel’s</w:t>
      </w:r>
      <w:r>
        <w:rPr>
          <w:color w:val="0778BE"/>
          <w:spacing w:val="-5"/>
        </w:rPr>
        <w:t xml:space="preserve"> </w:t>
      </w:r>
      <w:r>
        <w:rPr>
          <w:color w:val="0778BE"/>
          <w:spacing w:val="-1"/>
        </w:rPr>
        <w:t>Approach</w:t>
      </w:r>
      <w:r>
        <w:rPr>
          <w:color w:val="0778BE"/>
        </w:rPr>
        <w:t xml:space="preserve"> </w:t>
      </w:r>
      <w:r>
        <w:rPr>
          <w:color w:val="0778BE"/>
          <w:spacing w:val="-3"/>
        </w:rPr>
        <w:t>Paper</w:t>
      </w:r>
      <w:r>
        <w:rPr>
          <w:color w:val="0778BE"/>
          <w:spacing w:val="30"/>
        </w:rPr>
        <w:t xml:space="preserve"> </w:t>
      </w:r>
      <w:r>
        <w:rPr>
          <w:color w:val="0778BE"/>
          <w:spacing w:val="-1"/>
        </w:rPr>
        <w:t>(released</w:t>
      </w:r>
      <w:r>
        <w:rPr>
          <w:color w:val="0778BE"/>
        </w:rPr>
        <w:t xml:space="preserve"> on 30</w:t>
      </w:r>
      <w:r>
        <w:rPr>
          <w:color w:val="0778BE"/>
          <w:spacing w:val="-3"/>
        </w:rPr>
        <w:t xml:space="preserve"> </w:t>
      </w:r>
      <w:r>
        <w:rPr>
          <w:color w:val="0778BE"/>
        </w:rPr>
        <w:t>June 2014)</w:t>
      </w:r>
    </w:p>
    <w:p w:rsidR="00D96B91" w:rsidRDefault="00C2656B">
      <w:pPr>
        <w:pStyle w:val="BodyText"/>
        <w:numPr>
          <w:ilvl w:val="0"/>
          <w:numId w:val="131"/>
        </w:numPr>
        <w:tabs>
          <w:tab w:val="left" w:pos="1531"/>
        </w:tabs>
        <w:spacing w:before="59"/>
        <w:ind w:hanging="283"/>
        <w:rPr>
          <w:rFonts w:cs="Avenir Next"/>
        </w:rPr>
      </w:pPr>
      <w:r>
        <w:rPr>
          <w:spacing w:val="-2"/>
        </w:rPr>
        <w:t>ACT</w:t>
      </w:r>
      <w:r>
        <w:rPr>
          <w:spacing w:val="-5"/>
        </w:rPr>
        <w:t xml:space="preserve"> </w:t>
      </w:r>
      <w:r>
        <w:t>Civil and</w:t>
      </w:r>
      <w:r>
        <w:rPr>
          <w:spacing w:val="-4"/>
        </w:rPr>
        <w:t xml:space="preserve"> </w:t>
      </w:r>
      <w:r>
        <w:rPr>
          <w:spacing w:val="-1"/>
        </w:rPr>
        <w:t>Administrative</w:t>
      </w:r>
      <w:r>
        <w:rPr>
          <w:spacing w:val="-5"/>
        </w:rPr>
        <w:t xml:space="preserve"> </w:t>
      </w:r>
      <w:r>
        <w:rPr>
          <w:spacing w:val="-3"/>
        </w:rPr>
        <w:t>Tribunal</w:t>
      </w:r>
    </w:p>
    <w:p w:rsidR="00D96B91" w:rsidRDefault="00C2656B">
      <w:pPr>
        <w:pStyle w:val="BodyText"/>
        <w:numPr>
          <w:ilvl w:val="0"/>
          <w:numId w:val="131"/>
        </w:numPr>
        <w:tabs>
          <w:tab w:val="left" w:pos="1531"/>
        </w:tabs>
        <w:spacing w:before="72"/>
        <w:ind w:hanging="283"/>
        <w:rPr>
          <w:rFonts w:cs="Avenir Next"/>
        </w:rPr>
      </w:pPr>
      <w:r>
        <w:rPr>
          <w:spacing w:val="-2"/>
        </w:rPr>
        <w:t>ACTEW</w:t>
      </w:r>
      <w:r>
        <w:rPr>
          <w:spacing w:val="-3"/>
        </w:rPr>
        <w:t xml:space="preserve"> </w:t>
      </w:r>
      <w:r>
        <w:rPr>
          <w:spacing w:val="-1"/>
        </w:rPr>
        <w:t>Corporation</w:t>
      </w:r>
    </w:p>
    <w:p w:rsidR="00D96B91" w:rsidRDefault="00C2656B">
      <w:pPr>
        <w:pStyle w:val="BodyText"/>
        <w:numPr>
          <w:ilvl w:val="0"/>
          <w:numId w:val="131"/>
        </w:numPr>
        <w:tabs>
          <w:tab w:val="left" w:pos="1531"/>
        </w:tabs>
        <w:spacing w:before="72"/>
        <w:ind w:hanging="283"/>
      </w:pPr>
      <w:r>
        <w:rPr>
          <w:spacing w:val="-1"/>
        </w:rPr>
        <w:t>Executive</w:t>
      </w:r>
      <w:r>
        <w:t xml:space="preserve"> </w:t>
      </w:r>
      <w:r>
        <w:rPr>
          <w:spacing w:val="-1"/>
        </w:rPr>
        <w:t>Committee</w:t>
      </w:r>
      <w:r>
        <w:t xml:space="preserve"> UP999</w:t>
      </w:r>
    </w:p>
    <w:p w:rsidR="00D96B91" w:rsidRDefault="00C2656B">
      <w:pPr>
        <w:pStyle w:val="BodyText"/>
        <w:numPr>
          <w:ilvl w:val="0"/>
          <w:numId w:val="131"/>
        </w:numPr>
        <w:tabs>
          <w:tab w:val="left" w:pos="1531"/>
        </w:tabs>
        <w:spacing w:before="72"/>
        <w:ind w:hanging="283"/>
        <w:rPr>
          <w:rFonts w:cs="Avenir Next"/>
        </w:rPr>
      </w:pPr>
      <w:r>
        <w:t xml:space="preserve">Mr S </w:t>
      </w:r>
      <w:r>
        <w:rPr>
          <w:spacing w:val="-1"/>
        </w:rPr>
        <w:t>Crawford</w:t>
      </w:r>
    </w:p>
    <w:p w:rsidR="00D96B91" w:rsidRDefault="00C2656B">
      <w:pPr>
        <w:pStyle w:val="BodyText"/>
        <w:numPr>
          <w:ilvl w:val="0"/>
          <w:numId w:val="131"/>
        </w:numPr>
        <w:tabs>
          <w:tab w:val="left" w:pos="1531"/>
        </w:tabs>
        <w:spacing w:before="72"/>
        <w:ind w:hanging="283"/>
      </w:pPr>
      <w:r>
        <w:rPr>
          <w:spacing w:val="-1"/>
        </w:rPr>
        <w:t>Ratepayers’</w:t>
      </w:r>
      <w:r>
        <w:rPr>
          <w:spacing w:val="-4"/>
        </w:rPr>
        <w:t xml:space="preserve"> </w:t>
      </w:r>
      <w:r>
        <w:rPr>
          <w:spacing w:val="-1"/>
        </w:rPr>
        <w:t>Association</w:t>
      </w:r>
      <w:r>
        <w:t xml:space="preserve"> of</w:t>
      </w:r>
      <w:r>
        <w:rPr>
          <w:spacing w:val="4"/>
        </w:rPr>
        <w:t xml:space="preserve"> </w:t>
      </w:r>
      <w:r>
        <w:t>the</w:t>
      </w:r>
      <w:r>
        <w:rPr>
          <w:spacing w:val="-4"/>
        </w:rPr>
        <w:t xml:space="preserve"> </w:t>
      </w:r>
      <w:r>
        <w:rPr>
          <w:spacing w:val="-2"/>
        </w:rPr>
        <w:t>ACT</w:t>
      </w:r>
      <w:r>
        <w:rPr>
          <w:spacing w:val="-5"/>
        </w:rPr>
        <w:t xml:space="preserve"> </w:t>
      </w:r>
      <w:r>
        <w:t>Inc.</w:t>
      </w:r>
    </w:p>
    <w:p w:rsidR="00D96B91" w:rsidRDefault="00D96B91">
      <w:pPr>
        <w:spacing w:before="11"/>
        <w:rPr>
          <w:rFonts w:ascii="Avenir Next" w:eastAsia="Avenir Next" w:hAnsi="Avenir Next" w:cs="Avenir Next"/>
          <w:sz w:val="23"/>
          <w:szCs w:val="23"/>
        </w:rPr>
      </w:pPr>
    </w:p>
    <w:p w:rsidR="00D96B91" w:rsidRDefault="00C2656B">
      <w:pPr>
        <w:pStyle w:val="Heading5"/>
        <w:spacing w:line="288" w:lineRule="exact"/>
        <w:ind w:right="3696"/>
        <w:rPr>
          <w:b w:val="0"/>
          <w:bCs w:val="0"/>
        </w:rPr>
      </w:pPr>
      <w:r>
        <w:rPr>
          <w:color w:val="0778BE"/>
        </w:rPr>
        <w:t xml:space="preserve">Submissions made following the </w:t>
      </w:r>
      <w:r>
        <w:rPr>
          <w:color w:val="0778BE"/>
          <w:spacing w:val="-4"/>
        </w:rPr>
        <w:t>Panel’s</w:t>
      </w:r>
      <w:r>
        <w:rPr>
          <w:color w:val="0778BE"/>
        </w:rPr>
        <w:t xml:space="preserve"> </w:t>
      </w:r>
      <w:r>
        <w:rPr>
          <w:color w:val="0778BE"/>
          <w:spacing w:val="-1"/>
        </w:rPr>
        <w:t>Directions</w:t>
      </w:r>
      <w:r>
        <w:rPr>
          <w:color w:val="0778BE"/>
        </w:rPr>
        <w:t xml:space="preserve"> </w:t>
      </w:r>
      <w:r>
        <w:rPr>
          <w:color w:val="0778BE"/>
          <w:spacing w:val="-1"/>
        </w:rPr>
        <w:t>Hearing</w:t>
      </w:r>
      <w:r>
        <w:rPr>
          <w:color w:val="0778BE"/>
          <w:spacing w:val="25"/>
        </w:rPr>
        <w:t xml:space="preserve"> </w:t>
      </w:r>
      <w:r>
        <w:rPr>
          <w:color w:val="0778BE"/>
        </w:rPr>
        <w:t>(held on 25</w:t>
      </w:r>
      <w:r>
        <w:rPr>
          <w:color w:val="0778BE"/>
          <w:spacing w:val="-3"/>
        </w:rPr>
        <w:t xml:space="preserve"> </w:t>
      </w:r>
      <w:r>
        <w:rPr>
          <w:color w:val="0778BE"/>
        </w:rPr>
        <w:t>July 2014)</w:t>
      </w:r>
    </w:p>
    <w:p w:rsidR="00D96B91" w:rsidRDefault="00C2656B">
      <w:pPr>
        <w:pStyle w:val="BodyText"/>
        <w:numPr>
          <w:ilvl w:val="0"/>
          <w:numId w:val="131"/>
        </w:numPr>
        <w:tabs>
          <w:tab w:val="left" w:pos="1531"/>
        </w:tabs>
        <w:spacing w:before="59"/>
        <w:ind w:hanging="283"/>
      </w:pPr>
      <w:r>
        <w:rPr>
          <w:spacing w:val="-2"/>
        </w:rPr>
        <w:t>ACTEW</w:t>
      </w:r>
      <w:r>
        <w:rPr>
          <w:spacing w:val="-3"/>
        </w:rPr>
        <w:t xml:space="preserve"> </w:t>
      </w:r>
      <w:r>
        <w:rPr>
          <w:spacing w:val="-1"/>
        </w:rPr>
        <w:t>Corporation</w:t>
      </w:r>
      <w:r>
        <w:t xml:space="preserve"> – </w:t>
      </w:r>
      <w:r>
        <w:rPr>
          <w:spacing w:val="-1"/>
        </w:rPr>
        <w:t>Statement</w:t>
      </w:r>
      <w:r>
        <w:t xml:space="preserve"> of</w:t>
      </w:r>
      <w:r>
        <w:rPr>
          <w:spacing w:val="4"/>
        </w:rPr>
        <w:t xml:space="preserve"> </w:t>
      </w:r>
      <w:r>
        <w:rPr>
          <w:spacing w:val="-2"/>
        </w:rPr>
        <w:t>Facts</w:t>
      </w:r>
      <w:r>
        <w:t xml:space="preserve"> and </w:t>
      </w:r>
      <w:r>
        <w:rPr>
          <w:spacing w:val="-1"/>
        </w:rPr>
        <w:t>Contentions</w:t>
      </w:r>
    </w:p>
    <w:p w:rsidR="00D96B91" w:rsidRDefault="00C2656B">
      <w:pPr>
        <w:pStyle w:val="BodyText"/>
        <w:numPr>
          <w:ilvl w:val="0"/>
          <w:numId w:val="131"/>
        </w:numPr>
        <w:tabs>
          <w:tab w:val="left" w:pos="1531"/>
        </w:tabs>
        <w:spacing w:before="72"/>
        <w:ind w:hanging="283"/>
      </w:pPr>
      <w:r>
        <w:t>Mr K</w:t>
      </w:r>
      <w:r>
        <w:rPr>
          <w:spacing w:val="-3"/>
        </w:rPr>
        <w:t xml:space="preserve"> </w:t>
      </w:r>
      <w:r>
        <w:rPr>
          <w:spacing w:val="-2"/>
        </w:rPr>
        <w:t>Cox</w:t>
      </w:r>
    </w:p>
    <w:p w:rsidR="00D96B91" w:rsidRDefault="00C2656B">
      <w:pPr>
        <w:pStyle w:val="BodyText"/>
        <w:numPr>
          <w:ilvl w:val="0"/>
          <w:numId w:val="131"/>
        </w:numPr>
        <w:tabs>
          <w:tab w:val="left" w:pos="1531"/>
        </w:tabs>
        <w:spacing w:before="72"/>
        <w:ind w:hanging="283"/>
        <w:rPr>
          <w:rFonts w:cs="Avenir Next"/>
        </w:rPr>
      </w:pPr>
      <w:r>
        <w:t xml:space="preserve">Mr S </w:t>
      </w:r>
      <w:r>
        <w:rPr>
          <w:spacing w:val="-1"/>
        </w:rPr>
        <w:t>Crawford</w:t>
      </w:r>
    </w:p>
    <w:p w:rsidR="00D96B91" w:rsidRDefault="00C2656B">
      <w:pPr>
        <w:pStyle w:val="BodyText"/>
        <w:numPr>
          <w:ilvl w:val="0"/>
          <w:numId w:val="131"/>
        </w:numPr>
        <w:tabs>
          <w:tab w:val="left" w:pos="1531"/>
        </w:tabs>
        <w:spacing w:before="72"/>
        <w:ind w:hanging="283"/>
      </w:pPr>
      <w:r>
        <w:rPr>
          <w:spacing w:val="-1"/>
        </w:rPr>
        <w:t>Executive</w:t>
      </w:r>
      <w:r>
        <w:t xml:space="preserve"> </w:t>
      </w:r>
      <w:r>
        <w:rPr>
          <w:spacing w:val="-1"/>
        </w:rPr>
        <w:t>Committee</w:t>
      </w:r>
      <w:r>
        <w:t xml:space="preserve"> UP999</w:t>
      </w:r>
    </w:p>
    <w:p w:rsidR="00D96B91" w:rsidRDefault="00C2656B">
      <w:pPr>
        <w:pStyle w:val="BodyText"/>
        <w:numPr>
          <w:ilvl w:val="0"/>
          <w:numId w:val="131"/>
        </w:numPr>
        <w:tabs>
          <w:tab w:val="left" w:pos="1531"/>
        </w:tabs>
        <w:spacing w:before="72"/>
        <w:ind w:hanging="283"/>
        <w:rPr>
          <w:rFonts w:cs="Avenir Next"/>
        </w:rPr>
      </w:pPr>
      <w:r>
        <w:t>Dr</w:t>
      </w:r>
      <w:r>
        <w:rPr>
          <w:spacing w:val="-5"/>
        </w:rPr>
        <w:t xml:space="preserve"> </w:t>
      </w:r>
      <w:r>
        <w:t>T</w:t>
      </w:r>
      <w:r>
        <w:rPr>
          <w:spacing w:val="-5"/>
        </w:rPr>
        <w:t xml:space="preserve"> </w:t>
      </w:r>
      <w:r>
        <w:t>Dwyer</w:t>
      </w:r>
    </w:p>
    <w:p w:rsidR="00D96B91" w:rsidRDefault="00C2656B">
      <w:pPr>
        <w:pStyle w:val="BodyText"/>
        <w:numPr>
          <w:ilvl w:val="0"/>
          <w:numId w:val="131"/>
        </w:numPr>
        <w:tabs>
          <w:tab w:val="left" w:pos="1531"/>
        </w:tabs>
        <w:spacing w:before="72"/>
        <w:ind w:hanging="283"/>
      </w:pPr>
      <w:r>
        <w:t>Ms</w:t>
      </w:r>
      <w:r>
        <w:rPr>
          <w:spacing w:val="-3"/>
        </w:rPr>
        <w:t xml:space="preserve"> </w:t>
      </w:r>
      <w:r>
        <w:t xml:space="preserve">J </w:t>
      </w:r>
      <w:r>
        <w:rPr>
          <w:spacing w:val="-2"/>
        </w:rPr>
        <w:t>Forestier</w:t>
      </w:r>
    </w:p>
    <w:p w:rsidR="00D96B91" w:rsidRDefault="00D96B91">
      <w:pPr>
        <w:sectPr w:rsidR="00D96B91">
          <w:pgSz w:w="11910" w:h="16840"/>
          <w:pgMar w:top="1260" w:right="0" w:bottom="1020" w:left="0" w:header="0" w:footer="829" w:gutter="0"/>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29" w:name="Appendix_4_Incentive_schemes_"/>
      <w:bookmarkStart w:id="230" w:name="_bookmark148"/>
      <w:bookmarkEnd w:id="229"/>
      <w:bookmarkEnd w:id="230"/>
      <w:r>
        <w:rPr>
          <w:rFonts w:ascii="Avenir Next Medium"/>
          <w:color w:val="0778BE"/>
          <w:sz w:val="40"/>
        </w:rPr>
        <w:t>Appendix 4</w:t>
      </w:r>
      <w:r>
        <w:rPr>
          <w:rFonts w:ascii="Avenir Next Medium"/>
          <w:color w:val="0778BE"/>
          <w:sz w:val="40"/>
        </w:rPr>
        <w:tab/>
        <w:t>Incentive schemes</w:t>
      </w:r>
    </w:p>
    <w:p w:rsidR="00D96B91" w:rsidRDefault="00C2656B">
      <w:pPr>
        <w:pStyle w:val="BodyText"/>
        <w:spacing w:before="359" w:line="260" w:lineRule="exact"/>
        <w:ind w:right="1811"/>
        <w:jc w:val="both"/>
      </w:pPr>
      <w:r>
        <w:rPr>
          <w:spacing w:val="-2"/>
        </w:rPr>
        <w:t>The</w:t>
      </w:r>
      <w:r>
        <w:t xml:space="preserve"> </w:t>
      </w:r>
      <w:r>
        <w:rPr>
          <w:spacing w:val="-3"/>
        </w:rPr>
        <w:t>Panel</w:t>
      </w:r>
      <w:r>
        <w:t xml:space="preserve"> is </w:t>
      </w:r>
      <w:r>
        <w:rPr>
          <w:spacing w:val="-1"/>
        </w:rPr>
        <w:t>aware</w:t>
      </w:r>
      <w:r>
        <w:t xml:space="preserve"> </w:t>
      </w:r>
      <w:r>
        <w:rPr>
          <w:spacing w:val="-1"/>
        </w:rPr>
        <w:t>that</w:t>
      </w:r>
      <w:r>
        <w:t xml:space="preserve"> </w:t>
      </w:r>
      <w:r>
        <w:rPr>
          <w:spacing w:val="-1"/>
        </w:rPr>
        <w:t>regulators</w:t>
      </w:r>
      <w:r>
        <w:t xml:space="preserve"> sometimes use the building block methodology in conjunction</w:t>
      </w:r>
      <w:r>
        <w:rPr>
          <w:spacing w:val="23"/>
        </w:rPr>
        <w:t xml:space="preserve"> </w:t>
      </w:r>
      <w:r>
        <w:t>with</w:t>
      </w:r>
      <w:r>
        <w:rPr>
          <w:spacing w:val="-1"/>
        </w:rPr>
        <w:t xml:space="preserve"> </w:t>
      </w:r>
      <w:r>
        <w:t>other</w:t>
      </w:r>
      <w:r>
        <w:rPr>
          <w:spacing w:val="-1"/>
        </w:rPr>
        <w:t xml:space="preserve"> </w:t>
      </w:r>
      <w:r>
        <w:t>incentive</w:t>
      </w:r>
      <w:r>
        <w:rPr>
          <w:spacing w:val="-1"/>
        </w:rPr>
        <w:t xml:space="preserve"> </w:t>
      </w:r>
      <w:r>
        <w:t>schemes</w:t>
      </w:r>
      <w:r>
        <w:rPr>
          <w:spacing w:val="-1"/>
        </w:rPr>
        <w:t xml:space="preserve"> </w:t>
      </w:r>
      <w:r>
        <w:t>to</w:t>
      </w:r>
      <w:r>
        <w:rPr>
          <w:spacing w:val="-1"/>
        </w:rPr>
        <w:t xml:space="preserve"> overcome</w:t>
      </w:r>
      <w:r>
        <w:t xml:space="preserve"> some</w:t>
      </w:r>
      <w:r>
        <w:rPr>
          <w:spacing w:val="-1"/>
        </w:rPr>
        <w:t xml:space="preserve"> </w:t>
      </w:r>
      <w:r>
        <w:t>of</w:t>
      </w:r>
      <w:r>
        <w:rPr>
          <w:spacing w:val="3"/>
        </w:rPr>
        <w:t xml:space="preserve"> </w:t>
      </w:r>
      <w:r>
        <w:t>its</w:t>
      </w:r>
      <w:r>
        <w:rPr>
          <w:spacing w:val="-1"/>
        </w:rPr>
        <w:t xml:space="preserve"> perceived </w:t>
      </w:r>
      <w:r>
        <w:t>deficiencies,</w:t>
      </w:r>
      <w:r>
        <w:rPr>
          <w:spacing w:val="-7"/>
        </w:rPr>
        <w:t xml:space="preserve"> </w:t>
      </w:r>
      <w:r>
        <w:t>such as</w:t>
      </w:r>
      <w:r>
        <w:rPr>
          <w:spacing w:val="-1"/>
        </w:rPr>
        <w:t xml:space="preserve"> information</w:t>
      </w:r>
      <w:r>
        <w:rPr>
          <w:spacing w:val="37"/>
        </w:rPr>
        <w:t xml:space="preserve"> </w:t>
      </w:r>
      <w:r>
        <w:rPr>
          <w:spacing w:val="-1"/>
        </w:rPr>
        <w:t>asymmetry,</w:t>
      </w:r>
      <w:r>
        <w:rPr>
          <w:spacing w:val="-6"/>
        </w:rPr>
        <w:t xml:space="preserve"> </w:t>
      </w:r>
      <w:r>
        <w:rPr>
          <w:spacing w:val="-1"/>
        </w:rPr>
        <w:t>regulatory</w:t>
      </w:r>
      <w:r>
        <w:t xml:space="preserve"> costs and </w:t>
      </w:r>
      <w:r>
        <w:rPr>
          <w:spacing w:val="-1"/>
        </w:rPr>
        <w:t>different</w:t>
      </w:r>
      <w:r>
        <w:t xml:space="preserve"> incentives over the period.</w:t>
      </w:r>
    </w:p>
    <w:p w:rsidR="00D96B91" w:rsidRDefault="00C2656B">
      <w:pPr>
        <w:pStyle w:val="BodyText"/>
        <w:spacing w:before="170" w:line="260" w:lineRule="exact"/>
        <w:ind w:right="1283"/>
      </w:pPr>
      <w:r>
        <w:t>An overview of</w:t>
      </w:r>
      <w:r>
        <w:rPr>
          <w:spacing w:val="4"/>
        </w:rPr>
        <w:t xml:space="preserve"> </w:t>
      </w:r>
      <w:r>
        <w:t>some of</w:t>
      </w:r>
      <w:r>
        <w:rPr>
          <w:spacing w:val="4"/>
        </w:rPr>
        <w:t xml:space="preserve"> </w:t>
      </w:r>
      <w:r>
        <w:t xml:space="preserve">the schemes </w:t>
      </w:r>
      <w:r>
        <w:rPr>
          <w:spacing w:val="-1"/>
        </w:rPr>
        <w:t>that</w:t>
      </w:r>
      <w:r>
        <w:t xml:space="preserve"> </w:t>
      </w:r>
      <w:r>
        <w:rPr>
          <w:spacing w:val="-1"/>
        </w:rPr>
        <w:t>regulators</w:t>
      </w:r>
      <w:r>
        <w:t xml:space="preserve"> in</w:t>
      </w:r>
      <w:r>
        <w:rPr>
          <w:spacing w:val="-4"/>
        </w:rPr>
        <w:t xml:space="preserve"> </w:t>
      </w:r>
      <w:r>
        <w:rPr>
          <w:spacing w:val="-1"/>
        </w:rPr>
        <w:t>Australia</w:t>
      </w:r>
      <w:r>
        <w:t xml:space="preserve"> and the UK</w:t>
      </w:r>
      <w:r>
        <w:rPr>
          <w:spacing w:val="-3"/>
        </w:rPr>
        <w:t xml:space="preserve"> </w:t>
      </w:r>
      <w:r>
        <w:t xml:space="preserve">have used to </w:t>
      </w:r>
      <w:r>
        <w:rPr>
          <w:spacing w:val="-1"/>
        </w:rPr>
        <w:t>overcome</w:t>
      </w:r>
      <w:r>
        <w:rPr>
          <w:spacing w:val="33"/>
        </w:rPr>
        <w:t xml:space="preserve"> </w:t>
      </w:r>
      <w:r>
        <w:t>some</w:t>
      </w:r>
      <w:r>
        <w:rPr>
          <w:spacing w:val="-1"/>
        </w:rPr>
        <w:t xml:space="preserve"> </w:t>
      </w:r>
      <w:r>
        <w:t>of</w:t>
      </w:r>
      <w:r>
        <w:rPr>
          <w:spacing w:val="3"/>
        </w:rPr>
        <w:t xml:space="preserve"> </w:t>
      </w:r>
      <w:r>
        <w:t>the</w:t>
      </w:r>
      <w:r>
        <w:rPr>
          <w:spacing w:val="-1"/>
        </w:rPr>
        <w:t xml:space="preserve"> perceived </w:t>
      </w:r>
      <w:r>
        <w:t>deficiencies</w:t>
      </w:r>
      <w:r>
        <w:rPr>
          <w:spacing w:val="-1"/>
        </w:rPr>
        <w:t xml:space="preserve"> </w:t>
      </w:r>
      <w:r>
        <w:t>of</w:t>
      </w:r>
      <w:r>
        <w:rPr>
          <w:spacing w:val="3"/>
        </w:rPr>
        <w:t xml:space="preserve"> </w:t>
      </w:r>
      <w:r>
        <w:t>the</w:t>
      </w:r>
      <w:r>
        <w:rPr>
          <w:spacing w:val="-1"/>
        </w:rPr>
        <w:t xml:space="preserve"> </w:t>
      </w:r>
      <w:r>
        <w:t>building</w:t>
      </w:r>
      <w:r>
        <w:rPr>
          <w:spacing w:val="-1"/>
        </w:rPr>
        <w:t xml:space="preserve"> </w:t>
      </w:r>
      <w:r>
        <w:t>block</w:t>
      </w:r>
      <w:r>
        <w:rPr>
          <w:spacing w:val="-1"/>
        </w:rPr>
        <w:t xml:space="preserve"> </w:t>
      </w:r>
      <w:r>
        <w:t>methodology</w:t>
      </w:r>
      <w:r>
        <w:rPr>
          <w:spacing w:val="-1"/>
        </w:rPr>
        <w:t xml:space="preserve"> </w:t>
      </w:r>
      <w:r>
        <w:t xml:space="preserve">is </w:t>
      </w:r>
      <w:r>
        <w:rPr>
          <w:spacing w:val="-1"/>
        </w:rPr>
        <w:t xml:space="preserve">provided </w:t>
      </w:r>
      <w:r>
        <w:rPr>
          <w:spacing w:val="-2"/>
        </w:rPr>
        <w:t>below.</w:t>
      </w:r>
    </w:p>
    <w:p w:rsidR="00D96B91" w:rsidRDefault="00D96B91">
      <w:pPr>
        <w:rPr>
          <w:rFonts w:ascii="Avenir Next" w:eastAsia="Avenir Next" w:hAnsi="Avenir Next" w:cs="Avenir Next"/>
          <w:sz w:val="20"/>
          <w:szCs w:val="20"/>
        </w:rPr>
      </w:pPr>
    </w:p>
    <w:p w:rsidR="00D96B91" w:rsidRDefault="00C2656B">
      <w:pPr>
        <w:pStyle w:val="Heading4"/>
        <w:tabs>
          <w:tab w:val="left" w:pos="2267"/>
        </w:tabs>
        <w:spacing w:before="143" w:line="360" w:lineRule="exact"/>
        <w:ind w:left="2267" w:right="2237" w:hanging="1021"/>
      </w:pPr>
      <w:r>
        <w:rPr>
          <w:color w:val="0778BE"/>
        </w:rPr>
        <w:t>A4.</w:t>
      </w:r>
      <w:r>
        <w:rPr>
          <w:color w:val="0778BE"/>
          <w:spacing w:val="-9"/>
        </w:rPr>
        <w:t xml:space="preserve"> </w:t>
      </w:r>
      <w:r>
        <w:rPr>
          <w:color w:val="0778BE"/>
        </w:rPr>
        <w:t>1</w:t>
      </w:r>
      <w:r>
        <w:rPr>
          <w:color w:val="0778BE"/>
        </w:rPr>
        <w:tab/>
      </w:r>
      <w:r>
        <w:rPr>
          <w:color w:val="0778BE"/>
          <w:spacing w:val="-1"/>
        </w:rPr>
        <w:t>Expenditure</w:t>
      </w:r>
      <w:r>
        <w:rPr>
          <w:color w:val="0778BE"/>
        </w:rPr>
        <w:t xml:space="preserve"> incentive schemes </w:t>
      </w:r>
      <w:r>
        <w:rPr>
          <w:color w:val="0778BE"/>
          <w:spacing w:val="-1"/>
        </w:rPr>
        <w:t>(operating</w:t>
      </w:r>
      <w:r>
        <w:rPr>
          <w:color w:val="0778BE"/>
        </w:rPr>
        <w:t xml:space="preserve"> and capital</w:t>
      </w:r>
      <w:r>
        <w:rPr>
          <w:color w:val="0778BE"/>
          <w:spacing w:val="29"/>
        </w:rPr>
        <w:t xml:space="preserve"> </w:t>
      </w:r>
      <w:r>
        <w:rPr>
          <w:color w:val="0778BE"/>
          <w:spacing w:val="-1"/>
        </w:rPr>
        <w:t>expenditure)</w:t>
      </w:r>
    </w:p>
    <w:p w:rsidR="00D96B91" w:rsidRDefault="00C2656B">
      <w:pPr>
        <w:pStyle w:val="BodyText"/>
        <w:spacing w:before="91" w:line="250" w:lineRule="exact"/>
        <w:ind w:right="1258"/>
      </w:pPr>
      <w:r>
        <w:t xml:space="preserve">Under the </w:t>
      </w:r>
      <w:r>
        <w:rPr>
          <w:spacing w:val="-1"/>
        </w:rPr>
        <w:t>standard</w:t>
      </w:r>
      <w:r>
        <w:t xml:space="preserve"> building block model,</w:t>
      </w:r>
      <w:r>
        <w:rPr>
          <w:spacing w:val="-6"/>
        </w:rPr>
        <w:t xml:space="preserve"> </w:t>
      </w:r>
      <w:r>
        <w:t xml:space="preserve">the </w:t>
      </w:r>
      <w:r>
        <w:rPr>
          <w:spacing w:val="-1"/>
        </w:rPr>
        <w:t>regulated</w:t>
      </w:r>
      <w:r>
        <w:t xml:space="preserve"> service </w:t>
      </w:r>
      <w:r>
        <w:rPr>
          <w:spacing w:val="-1"/>
        </w:rPr>
        <w:t>provider</w:t>
      </w:r>
      <w:r>
        <w:t xml:space="preserve"> has an incentive to </w:t>
      </w:r>
      <w:r>
        <w:rPr>
          <w:spacing w:val="-1"/>
        </w:rPr>
        <w:t>provide</w:t>
      </w:r>
      <w:r>
        <w:rPr>
          <w:spacing w:val="29"/>
        </w:rPr>
        <w:t xml:space="preserve"> </w:t>
      </w:r>
      <w:r>
        <w:t xml:space="preserve">the </w:t>
      </w:r>
      <w:r>
        <w:rPr>
          <w:spacing w:val="-1"/>
        </w:rPr>
        <w:t>regulated</w:t>
      </w:r>
      <w:r>
        <w:t xml:space="preserve"> services for less than the </w:t>
      </w:r>
      <w:r>
        <w:rPr>
          <w:spacing w:val="-1"/>
        </w:rPr>
        <w:t>forecasts</w:t>
      </w:r>
      <w:r>
        <w:t xml:space="preserve"> adopted by the </w:t>
      </w:r>
      <w:r>
        <w:rPr>
          <w:spacing w:val="-1"/>
        </w:rPr>
        <w:t>regulator</w:t>
      </w:r>
      <w:r>
        <w:t xml:space="preserve"> because it will </w:t>
      </w:r>
      <w:r>
        <w:rPr>
          <w:spacing w:val="-1"/>
        </w:rPr>
        <w:t>retain</w:t>
      </w:r>
      <w:r>
        <w:t xml:space="preserve"> the</w:t>
      </w:r>
      <w:r>
        <w:rPr>
          <w:spacing w:val="25"/>
        </w:rPr>
        <w:t xml:space="preserve"> </w:t>
      </w:r>
      <w:r>
        <w:t>benefits</w:t>
      </w:r>
      <w:r>
        <w:rPr>
          <w:spacing w:val="-1"/>
        </w:rPr>
        <w:t xml:space="preserve"> </w:t>
      </w:r>
      <w:r>
        <w:t>of</w:t>
      </w:r>
      <w:r>
        <w:rPr>
          <w:spacing w:val="4"/>
        </w:rPr>
        <w:t xml:space="preserve"> </w:t>
      </w:r>
      <w:r>
        <w:t>any</w:t>
      </w:r>
      <w:r>
        <w:rPr>
          <w:spacing w:val="-1"/>
        </w:rPr>
        <w:t xml:space="preserve"> </w:t>
      </w:r>
      <w:r>
        <w:t>underspend and</w:t>
      </w:r>
      <w:r>
        <w:rPr>
          <w:spacing w:val="-1"/>
        </w:rPr>
        <w:t xml:space="preserve"> </w:t>
      </w:r>
      <w:r>
        <w:t>incur the</w:t>
      </w:r>
      <w:r>
        <w:rPr>
          <w:spacing w:val="-1"/>
        </w:rPr>
        <w:t xml:space="preserve"> </w:t>
      </w:r>
      <w:r>
        <w:t>costs of</w:t>
      </w:r>
      <w:r>
        <w:rPr>
          <w:spacing w:val="3"/>
        </w:rPr>
        <w:t xml:space="preserve"> </w:t>
      </w:r>
      <w:r>
        <w:t>any overspend</w:t>
      </w:r>
      <w:r>
        <w:rPr>
          <w:spacing w:val="-1"/>
        </w:rPr>
        <w:t xml:space="preserve"> </w:t>
      </w:r>
      <w:r>
        <w:t>within the</w:t>
      </w:r>
      <w:r>
        <w:rPr>
          <w:spacing w:val="-1"/>
        </w:rPr>
        <w:t xml:space="preserve"> regulatory</w:t>
      </w:r>
      <w:r>
        <w:t xml:space="preserve"> period.</w:t>
      </w:r>
      <w:r>
        <w:rPr>
          <w:spacing w:val="-7"/>
        </w:rPr>
        <w:t xml:space="preserve"> </w:t>
      </w:r>
      <w:r>
        <w:t>Because</w:t>
      </w:r>
      <w:r>
        <w:rPr>
          <w:spacing w:val="25"/>
        </w:rPr>
        <w:t xml:space="preserve"> </w:t>
      </w:r>
      <w:r>
        <w:t>any</w:t>
      </w:r>
      <w:r>
        <w:rPr>
          <w:spacing w:val="-1"/>
        </w:rPr>
        <w:t xml:space="preserve"> efficiency </w:t>
      </w:r>
      <w:r>
        <w:t>benefits</w:t>
      </w:r>
      <w:r>
        <w:rPr>
          <w:spacing w:val="-2"/>
        </w:rPr>
        <w:t xml:space="preserve"> </w:t>
      </w:r>
      <w:r>
        <w:t>must</w:t>
      </w:r>
      <w:r>
        <w:rPr>
          <w:spacing w:val="-1"/>
        </w:rPr>
        <w:t xml:space="preserve"> </w:t>
      </w:r>
      <w:r>
        <w:t>be</w:t>
      </w:r>
      <w:r>
        <w:rPr>
          <w:spacing w:val="-1"/>
        </w:rPr>
        <w:t xml:space="preserve"> </w:t>
      </w:r>
      <w:r>
        <w:t>passed</w:t>
      </w:r>
      <w:r>
        <w:rPr>
          <w:spacing w:val="-1"/>
        </w:rPr>
        <w:t xml:space="preserve"> </w:t>
      </w:r>
      <w:r>
        <w:t>onto</w:t>
      </w:r>
      <w:r>
        <w:rPr>
          <w:spacing w:val="-1"/>
        </w:rPr>
        <w:t xml:space="preserve"> </w:t>
      </w:r>
      <w:r>
        <w:t>customers</w:t>
      </w:r>
      <w:r>
        <w:rPr>
          <w:spacing w:val="-1"/>
        </w:rPr>
        <w:t xml:space="preserve"> </w:t>
      </w:r>
      <w:r>
        <w:rPr>
          <w:spacing w:val="-2"/>
        </w:rPr>
        <w:t>at</w:t>
      </w:r>
      <w:r>
        <w:rPr>
          <w:spacing w:val="-1"/>
        </w:rPr>
        <w:t xml:space="preserve"> </w:t>
      </w:r>
      <w:r>
        <w:t>the</w:t>
      </w:r>
      <w:r>
        <w:rPr>
          <w:spacing w:val="-1"/>
        </w:rPr>
        <w:t xml:space="preserve"> </w:t>
      </w:r>
      <w:r>
        <w:t>commencement</w:t>
      </w:r>
      <w:r>
        <w:rPr>
          <w:spacing w:val="-1"/>
        </w:rPr>
        <w:t xml:space="preserve"> </w:t>
      </w:r>
      <w:r>
        <w:t>of</w:t>
      </w:r>
      <w:r>
        <w:rPr>
          <w:spacing w:val="3"/>
        </w:rPr>
        <w:t xml:space="preserve"> </w:t>
      </w:r>
      <w:r>
        <w:t>the</w:t>
      </w:r>
      <w:r>
        <w:rPr>
          <w:spacing w:val="-1"/>
        </w:rPr>
        <w:t xml:space="preserve"> next regulatory</w:t>
      </w:r>
      <w:r>
        <w:rPr>
          <w:spacing w:val="27"/>
        </w:rPr>
        <w:t xml:space="preserve"> </w:t>
      </w:r>
      <w:r>
        <w:t>period,</w:t>
      </w:r>
      <w:r>
        <w:rPr>
          <w:spacing w:val="-7"/>
        </w:rPr>
        <w:t xml:space="preserve"> </w:t>
      </w:r>
      <w:r>
        <w:t xml:space="preserve">a </w:t>
      </w:r>
      <w:r>
        <w:rPr>
          <w:spacing w:val="-1"/>
        </w:rPr>
        <w:t xml:space="preserve">regulated </w:t>
      </w:r>
      <w:r>
        <w:t>service</w:t>
      </w:r>
      <w:r>
        <w:rPr>
          <w:spacing w:val="-1"/>
        </w:rPr>
        <w:t xml:space="preserve"> provider</w:t>
      </w:r>
      <w:r>
        <w:t xml:space="preserve"> will</w:t>
      </w:r>
      <w:r>
        <w:rPr>
          <w:spacing w:val="-1"/>
        </w:rPr>
        <w:t xml:space="preserve"> </w:t>
      </w:r>
      <w:r>
        <w:t>have a</w:t>
      </w:r>
      <w:r>
        <w:rPr>
          <w:spacing w:val="-1"/>
        </w:rPr>
        <w:t xml:space="preserve"> </w:t>
      </w:r>
      <w:r>
        <w:rPr>
          <w:spacing w:val="-2"/>
        </w:rPr>
        <w:t>greater</w:t>
      </w:r>
      <w:r>
        <w:t xml:space="preserve"> incentive</w:t>
      </w:r>
      <w:r>
        <w:rPr>
          <w:spacing w:val="-1"/>
        </w:rPr>
        <w:t xml:space="preserve"> </w:t>
      </w:r>
      <w:r>
        <w:t>to pursue</w:t>
      </w:r>
      <w:r>
        <w:rPr>
          <w:spacing w:val="-1"/>
        </w:rPr>
        <w:t xml:space="preserve"> efficiencies</w:t>
      </w:r>
      <w:r>
        <w:t xml:space="preserve"> in</w:t>
      </w:r>
      <w:r>
        <w:rPr>
          <w:spacing w:val="-1"/>
        </w:rPr>
        <w:t xml:space="preserve"> </w:t>
      </w:r>
      <w:r>
        <w:t xml:space="preserve">the </w:t>
      </w:r>
      <w:r>
        <w:rPr>
          <w:spacing w:val="-1"/>
        </w:rPr>
        <w:t>early years</w:t>
      </w:r>
      <w:r>
        <w:rPr>
          <w:spacing w:val="55"/>
        </w:rPr>
        <w:t xml:space="preserve"> </w:t>
      </w:r>
      <w:r>
        <w:t>of</w:t>
      </w:r>
      <w:r>
        <w:rPr>
          <w:spacing w:val="4"/>
        </w:rPr>
        <w:t xml:space="preserve"> </w:t>
      </w:r>
      <w:r>
        <w:t xml:space="preserve">the </w:t>
      </w:r>
      <w:r>
        <w:rPr>
          <w:spacing w:val="-1"/>
        </w:rPr>
        <w:t>regulatory</w:t>
      </w:r>
      <w:r>
        <w:t xml:space="preserve"> period and a lower incentive in the </w:t>
      </w:r>
      <w:r>
        <w:rPr>
          <w:spacing w:val="-1"/>
        </w:rPr>
        <w:t>later</w:t>
      </w:r>
      <w:r>
        <w:t xml:space="preserve"> </w:t>
      </w:r>
      <w:r>
        <w:rPr>
          <w:spacing w:val="-1"/>
        </w:rPr>
        <w:t>years</w:t>
      </w:r>
      <w:r>
        <w:t xml:space="preserve"> of</w:t>
      </w:r>
      <w:r>
        <w:rPr>
          <w:spacing w:val="4"/>
        </w:rPr>
        <w:t xml:space="preserve"> </w:t>
      </w:r>
      <w:r>
        <w:t xml:space="preserve">the </w:t>
      </w:r>
      <w:r>
        <w:rPr>
          <w:spacing w:val="-1"/>
        </w:rPr>
        <w:t>regulatory</w:t>
      </w:r>
      <w:r>
        <w:t xml:space="preserve"> period.</w:t>
      </w:r>
    </w:p>
    <w:p w:rsidR="00D96B91" w:rsidRDefault="00C2656B">
      <w:pPr>
        <w:pStyle w:val="BodyText"/>
        <w:spacing w:before="170"/>
        <w:rPr>
          <w:rFonts w:cs="Avenir Next"/>
        </w:rPr>
      </w:pPr>
      <w:r>
        <w:rPr>
          <w:spacing w:val="-10"/>
        </w:rPr>
        <w:t>To</w:t>
      </w:r>
      <w:r>
        <w:t xml:space="preserve"> </w:t>
      </w:r>
      <w:r>
        <w:rPr>
          <w:spacing w:val="-1"/>
        </w:rPr>
        <w:t>address</w:t>
      </w:r>
      <w:r>
        <w:t xml:space="preserve"> this issue,</w:t>
      </w:r>
      <w:r>
        <w:rPr>
          <w:spacing w:val="-7"/>
        </w:rPr>
        <w:t xml:space="preserve"> </w:t>
      </w:r>
      <w:r>
        <w:rPr>
          <w:spacing w:val="-1"/>
        </w:rPr>
        <w:t>regulators</w:t>
      </w:r>
      <w:r>
        <w:t xml:space="preserve"> in some industries,</w:t>
      </w:r>
      <w:r>
        <w:rPr>
          <w:spacing w:val="-7"/>
        </w:rPr>
        <w:t xml:space="preserve"> </w:t>
      </w:r>
      <w:r>
        <w:t>have implemented:</w:t>
      </w:r>
    </w:p>
    <w:p w:rsidR="00D96B91" w:rsidRDefault="00C2656B">
      <w:pPr>
        <w:pStyle w:val="BodyText"/>
        <w:numPr>
          <w:ilvl w:val="0"/>
          <w:numId w:val="131"/>
        </w:numPr>
        <w:tabs>
          <w:tab w:val="left" w:pos="1531"/>
        </w:tabs>
        <w:spacing w:before="147"/>
        <w:ind w:hanging="283"/>
        <w:rPr>
          <w:rFonts w:cs="Avenir Next"/>
        </w:rPr>
      </w:pPr>
      <w:r>
        <w:t xml:space="preserve">an </w:t>
      </w:r>
      <w:r>
        <w:rPr>
          <w:spacing w:val="-1"/>
        </w:rPr>
        <w:t>operating</w:t>
      </w:r>
      <w:r>
        <w:t xml:space="preserve"> </w:t>
      </w:r>
      <w:r>
        <w:rPr>
          <w:spacing w:val="-1"/>
        </w:rPr>
        <w:t>expenditure</w:t>
      </w:r>
      <w:r>
        <w:t xml:space="preserve"> incentive scheme,</w:t>
      </w:r>
      <w:r>
        <w:rPr>
          <w:spacing w:val="-7"/>
        </w:rPr>
        <w:t xml:space="preserve"> </w:t>
      </w:r>
      <w:r>
        <w:t>and/or</w:t>
      </w:r>
    </w:p>
    <w:p w:rsidR="00D96B91" w:rsidRDefault="00C2656B">
      <w:pPr>
        <w:pStyle w:val="BodyText"/>
        <w:numPr>
          <w:ilvl w:val="0"/>
          <w:numId w:val="131"/>
        </w:numPr>
        <w:tabs>
          <w:tab w:val="left" w:pos="1531"/>
        </w:tabs>
        <w:spacing w:before="62"/>
        <w:ind w:hanging="283"/>
      </w:pPr>
      <w:r>
        <w:t xml:space="preserve">a capital </w:t>
      </w:r>
      <w:r>
        <w:rPr>
          <w:spacing w:val="-1"/>
        </w:rPr>
        <w:t>expenditure</w:t>
      </w:r>
      <w:r>
        <w:t xml:space="preserve"> incentive scheme.</w:t>
      </w:r>
    </w:p>
    <w:p w:rsidR="00D96B91" w:rsidRDefault="00D96B91">
      <w:pPr>
        <w:spacing w:before="12"/>
        <w:rPr>
          <w:rFonts w:ascii="Avenir Next" w:eastAsia="Avenir Next" w:hAnsi="Avenir Next" w:cs="Avenir Next"/>
          <w:sz w:val="14"/>
          <w:szCs w:val="14"/>
        </w:rPr>
      </w:pPr>
    </w:p>
    <w:p w:rsidR="00D96B91" w:rsidRDefault="00C2656B">
      <w:pPr>
        <w:pStyle w:val="BodyText"/>
        <w:spacing w:line="250" w:lineRule="exact"/>
        <w:ind w:right="1283"/>
      </w:pPr>
      <w:r>
        <w:rPr>
          <w:spacing w:val="-4"/>
        </w:rPr>
        <w:t>For</w:t>
      </w:r>
      <w:r>
        <w:rPr>
          <w:spacing w:val="-1"/>
        </w:rPr>
        <w:t xml:space="preserve"> example,</w:t>
      </w:r>
      <w:r>
        <w:rPr>
          <w:spacing w:val="-6"/>
        </w:rPr>
        <w:t xml:space="preserve"> </w:t>
      </w:r>
      <w:r>
        <w:t>the</w:t>
      </w:r>
      <w:r>
        <w:rPr>
          <w:spacing w:val="-5"/>
        </w:rPr>
        <w:t xml:space="preserve"> </w:t>
      </w:r>
      <w:r>
        <w:t>AER</w:t>
      </w:r>
      <w:r>
        <w:rPr>
          <w:spacing w:val="-1"/>
        </w:rPr>
        <w:t xml:space="preserve"> </w:t>
      </w:r>
      <w:r>
        <w:t>has implemented</w:t>
      </w:r>
      <w:r>
        <w:rPr>
          <w:spacing w:val="-1"/>
        </w:rPr>
        <w:t xml:space="preserve"> </w:t>
      </w:r>
      <w:r>
        <w:t xml:space="preserve">an </w:t>
      </w:r>
      <w:r>
        <w:rPr>
          <w:spacing w:val="-1"/>
        </w:rPr>
        <w:t>operating expenditure</w:t>
      </w:r>
      <w:r>
        <w:t xml:space="preserve"> </w:t>
      </w:r>
      <w:r>
        <w:rPr>
          <w:spacing w:val="-1"/>
        </w:rPr>
        <w:t xml:space="preserve">efficiency </w:t>
      </w:r>
      <w:r>
        <w:t>sharing scheme</w:t>
      </w:r>
      <w:r>
        <w:rPr>
          <w:spacing w:val="-1"/>
        </w:rPr>
        <w:t xml:space="preserve"> that</w:t>
      </w:r>
      <w:r>
        <w:t xml:space="preserve"> allows</w:t>
      </w:r>
      <w:r>
        <w:rPr>
          <w:spacing w:val="49"/>
        </w:rPr>
        <w:t xml:space="preserve"> </w:t>
      </w:r>
      <w:r>
        <w:t xml:space="preserve">a network business to </w:t>
      </w:r>
      <w:r>
        <w:rPr>
          <w:spacing w:val="-1"/>
        </w:rPr>
        <w:t>retain</w:t>
      </w:r>
      <w:r>
        <w:t xml:space="preserve"> any underspend for six </w:t>
      </w:r>
      <w:r>
        <w:rPr>
          <w:spacing w:val="-1"/>
        </w:rPr>
        <w:t>years,</w:t>
      </w:r>
      <w:r>
        <w:rPr>
          <w:spacing w:val="-6"/>
        </w:rPr>
        <w:t xml:space="preserve"> </w:t>
      </w:r>
      <w:r>
        <w:rPr>
          <w:spacing w:val="-1"/>
        </w:rPr>
        <w:t>regardless</w:t>
      </w:r>
      <w:r>
        <w:t xml:space="preserve"> of</w:t>
      </w:r>
      <w:r>
        <w:rPr>
          <w:spacing w:val="4"/>
        </w:rPr>
        <w:t xml:space="preserve"> </w:t>
      </w:r>
      <w:r>
        <w:t xml:space="preserve">the </w:t>
      </w:r>
      <w:r>
        <w:rPr>
          <w:spacing w:val="-1"/>
        </w:rPr>
        <w:t>year</w:t>
      </w:r>
      <w:r>
        <w:t xml:space="preserve"> it </w:t>
      </w:r>
      <w:r>
        <w:rPr>
          <w:spacing w:val="-1"/>
        </w:rPr>
        <w:t>occurred.</w:t>
      </w:r>
      <w:r>
        <w:rPr>
          <w:spacing w:val="-10"/>
        </w:rPr>
        <w:t xml:space="preserve"> </w:t>
      </w:r>
      <w:r>
        <w:rPr>
          <w:spacing w:val="-1"/>
        </w:rPr>
        <w:t>After</w:t>
      </w:r>
      <w:r>
        <w:t xml:space="preserve"> six</w:t>
      </w:r>
      <w:r>
        <w:rPr>
          <w:spacing w:val="35"/>
        </w:rPr>
        <w:t xml:space="preserve"> </w:t>
      </w:r>
      <w:r>
        <w:rPr>
          <w:spacing w:val="-1"/>
        </w:rPr>
        <w:t xml:space="preserve">years </w:t>
      </w:r>
      <w:r>
        <w:t>the benefit</w:t>
      </w:r>
      <w:r>
        <w:rPr>
          <w:spacing w:val="-1"/>
        </w:rPr>
        <w:t xml:space="preserve"> </w:t>
      </w:r>
      <w:r>
        <w:t xml:space="preserve">is </w:t>
      </w:r>
      <w:r>
        <w:rPr>
          <w:spacing w:val="-1"/>
        </w:rPr>
        <w:t xml:space="preserve">returned </w:t>
      </w:r>
      <w:r>
        <w:t>to consumers</w:t>
      </w:r>
      <w:r>
        <w:rPr>
          <w:spacing w:val="-1"/>
        </w:rPr>
        <w:t xml:space="preserve"> through</w:t>
      </w:r>
      <w:r>
        <w:t xml:space="preserve"> lower</w:t>
      </w:r>
      <w:r>
        <w:rPr>
          <w:spacing w:val="-1"/>
        </w:rPr>
        <w:t xml:space="preserve"> operating</w:t>
      </w:r>
      <w:r>
        <w:t xml:space="preserve"> </w:t>
      </w:r>
      <w:r>
        <w:rPr>
          <w:spacing w:val="-1"/>
        </w:rPr>
        <w:t xml:space="preserve">expenditure </w:t>
      </w:r>
      <w:r>
        <w:t>and prices.</w:t>
      </w:r>
      <w:r>
        <w:rPr>
          <w:spacing w:val="-6"/>
        </w:rPr>
        <w:t xml:space="preserve"> </w:t>
      </w:r>
      <w:r>
        <w:t>Under</w:t>
      </w:r>
      <w:r>
        <w:rPr>
          <w:spacing w:val="-1"/>
        </w:rPr>
        <w:t xml:space="preserve"> </w:t>
      </w:r>
      <w:r>
        <w:t>this</w:t>
      </w:r>
      <w:r>
        <w:rPr>
          <w:spacing w:val="39"/>
        </w:rPr>
        <w:t xml:space="preserve"> </w:t>
      </w:r>
      <w:r>
        <w:t>scheme,</w:t>
      </w:r>
      <w:r>
        <w:rPr>
          <w:spacing w:val="-7"/>
        </w:rPr>
        <w:t xml:space="preserve"> </w:t>
      </w:r>
      <w:r>
        <w:t>the sharing</w:t>
      </w:r>
      <w:r>
        <w:rPr>
          <w:spacing w:val="-1"/>
        </w:rPr>
        <w:t xml:space="preserve"> ratio</w:t>
      </w:r>
      <w:r>
        <w:t xml:space="preserve"> for</w:t>
      </w:r>
      <w:r>
        <w:rPr>
          <w:spacing w:val="-1"/>
        </w:rPr>
        <w:t xml:space="preserve"> efficiency</w:t>
      </w:r>
      <w:r>
        <w:t xml:space="preserve"> savings</w:t>
      </w:r>
      <w:r>
        <w:rPr>
          <w:spacing w:val="-1"/>
        </w:rPr>
        <w:t xml:space="preserve"> </w:t>
      </w:r>
      <w:r>
        <w:t>or losses</w:t>
      </w:r>
      <w:r>
        <w:rPr>
          <w:spacing w:val="-1"/>
        </w:rPr>
        <w:t xml:space="preserve"> </w:t>
      </w:r>
      <w:r>
        <w:t xml:space="preserve">is </w:t>
      </w:r>
      <w:r>
        <w:rPr>
          <w:spacing w:val="-1"/>
        </w:rPr>
        <w:t xml:space="preserve">approximately </w:t>
      </w:r>
      <w:r>
        <w:t>30:70 between</w:t>
      </w:r>
      <w:r>
        <w:rPr>
          <w:spacing w:val="-1"/>
        </w:rPr>
        <w:t xml:space="preserve"> </w:t>
      </w:r>
      <w:r>
        <w:t>the network</w:t>
      </w:r>
      <w:r>
        <w:rPr>
          <w:spacing w:val="23"/>
        </w:rPr>
        <w:t xml:space="preserve"> </w:t>
      </w:r>
      <w:r>
        <w:t>businesses and consumers.</w:t>
      </w:r>
      <w:r>
        <w:rPr>
          <w:spacing w:val="-7"/>
        </w:rPr>
        <w:t xml:space="preserve"> </w:t>
      </w:r>
      <w:r>
        <w:t>So if</w:t>
      </w:r>
      <w:r>
        <w:rPr>
          <w:spacing w:val="4"/>
        </w:rPr>
        <w:t xml:space="preserve"> </w:t>
      </w:r>
      <w:r>
        <w:t xml:space="preserve">a network business is able to achieve a $100 saving it can </w:t>
      </w:r>
      <w:r>
        <w:rPr>
          <w:spacing w:val="-1"/>
        </w:rPr>
        <w:t>keep</w:t>
      </w:r>
      <w:r>
        <w:t xml:space="preserve"> $30 of</w:t>
      </w:r>
      <w:r>
        <w:rPr>
          <w:spacing w:val="20"/>
        </w:rPr>
        <w:t xml:space="preserve"> </w:t>
      </w:r>
      <w:r>
        <w:t>the</w:t>
      </w:r>
      <w:r>
        <w:rPr>
          <w:spacing w:val="-1"/>
        </w:rPr>
        <w:t xml:space="preserve"> </w:t>
      </w:r>
      <w:r>
        <w:t>benefit</w:t>
      </w:r>
      <w:r>
        <w:rPr>
          <w:spacing w:val="-1"/>
        </w:rPr>
        <w:t xml:space="preserve"> </w:t>
      </w:r>
      <w:r>
        <w:t>while</w:t>
      </w:r>
      <w:r>
        <w:rPr>
          <w:spacing w:val="-1"/>
        </w:rPr>
        <w:t xml:space="preserve"> </w:t>
      </w:r>
      <w:r>
        <w:t>consumers</w:t>
      </w:r>
      <w:r>
        <w:rPr>
          <w:spacing w:val="-1"/>
        </w:rPr>
        <w:t xml:space="preserve"> </w:t>
      </w:r>
      <w:r>
        <w:t>get</w:t>
      </w:r>
      <w:r>
        <w:rPr>
          <w:spacing w:val="-1"/>
        </w:rPr>
        <w:t xml:space="preserve"> </w:t>
      </w:r>
      <w:r>
        <w:t>the</w:t>
      </w:r>
      <w:r>
        <w:rPr>
          <w:spacing w:val="-1"/>
        </w:rPr>
        <w:t xml:space="preserve"> remaining </w:t>
      </w:r>
      <w:r>
        <w:t>$70.</w:t>
      </w:r>
    </w:p>
    <w:p w:rsidR="00D96B91" w:rsidRDefault="00C2656B">
      <w:pPr>
        <w:pStyle w:val="BodyText"/>
        <w:spacing w:before="170" w:line="262" w:lineRule="exact"/>
      </w:pPr>
      <w:r>
        <w:rPr>
          <w:spacing w:val="-2"/>
        </w:rPr>
        <w:t>The</w:t>
      </w:r>
      <w:r>
        <w:rPr>
          <w:spacing w:val="-4"/>
        </w:rPr>
        <w:t xml:space="preserve"> </w:t>
      </w:r>
      <w:r>
        <w:rPr>
          <w:spacing w:val="-2"/>
        </w:rPr>
        <w:t>AER’s</w:t>
      </w:r>
      <w:r>
        <w:t xml:space="preserve"> capital </w:t>
      </w:r>
      <w:r>
        <w:rPr>
          <w:spacing w:val="-1"/>
        </w:rPr>
        <w:t>expenditure</w:t>
      </w:r>
      <w:r>
        <w:t xml:space="preserve"> incentive scheme </w:t>
      </w:r>
      <w:r>
        <w:rPr>
          <w:spacing w:val="-1"/>
        </w:rPr>
        <w:t>operates</w:t>
      </w:r>
      <w:r>
        <w:t xml:space="preserve"> in a similar </w:t>
      </w:r>
      <w:r>
        <w:rPr>
          <w:spacing w:val="-2"/>
        </w:rPr>
        <w:t>way.</w:t>
      </w:r>
      <w:r>
        <w:rPr>
          <w:spacing w:val="-9"/>
        </w:rPr>
        <w:t xml:space="preserve"> </w:t>
      </w:r>
      <w:r>
        <w:t>When coupled with an</w:t>
      </w:r>
    </w:p>
    <w:p w:rsidR="00D96B91" w:rsidRDefault="00C2656B">
      <w:pPr>
        <w:pStyle w:val="BodyText"/>
        <w:spacing w:before="5" w:line="219" w:lineRule="auto"/>
        <w:ind w:right="1283"/>
      </w:pPr>
      <w:r>
        <w:rPr>
          <w:i/>
          <w:spacing w:val="-1"/>
        </w:rPr>
        <w:t xml:space="preserve">ex </w:t>
      </w:r>
      <w:r>
        <w:rPr>
          <w:i/>
        </w:rPr>
        <w:t xml:space="preserve">post </w:t>
      </w:r>
      <w:r>
        <w:rPr>
          <w:spacing w:val="-1"/>
        </w:rPr>
        <w:t xml:space="preserve">capex </w:t>
      </w:r>
      <w:r>
        <w:rPr>
          <w:spacing w:val="-2"/>
        </w:rPr>
        <w:t>review,</w:t>
      </w:r>
      <w:r>
        <w:rPr>
          <w:spacing w:val="-6"/>
        </w:rPr>
        <w:t xml:space="preserve"> </w:t>
      </w:r>
      <w:r>
        <w:t xml:space="preserve">the </w:t>
      </w:r>
      <w:r>
        <w:rPr>
          <w:spacing w:val="-1"/>
        </w:rPr>
        <w:t xml:space="preserve">operation </w:t>
      </w:r>
      <w:r>
        <w:t>of</w:t>
      </w:r>
      <w:r>
        <w:rPr>
          <w:spacing w:val="4"/>
        </w:rPr>
        <w:t xml:space="preserve"> </w:t>
      </w:r>
      <w:r>
        <w:t>this scheme</w:t>
      </w:r>
      <w:r>
        <w:rPr>
          <w:spacing w:val="-1"/>
        </w:rPr>
        <w:t xml:space="preserve"> means</w:t>
      </w:r>
      <w:r>
        <w:t xml:space="preserve"> consumers only</w:t>
      </w:r>
      <w:r>
        <w:rPr>
          <w:spacing w:val="-1"/>
        </w:rPr>
        <w:t xml:space="preserve"> </w:t>
      </w:r>
      <w:r>
        <w:t xml:space="preserve">pay a </w:t>
      </w:r>
      <w:r>
        <w:rPr>
          <w:spacing w:val="-1"/>
        </w:rPr>
        <w:t xml:space="preserve">portion </w:t>
      </w:r>
      <w:r>
        <w:t>of</w:t>
      </w:r>
      <w:r>
        <w:rPr>
          <w:spacing w:val="4"/>
        </w:rPr>
        <w:t xml:space="preserve"> </w:t>
      </w:r>
      <w:r>
        <w:rPr>
          <w:spacing w:val="-1"/>
        </w:rPr>
        <w:t>efficient</w:t>
      </w:r>
      <w:r>
        <w:rPr>
          <w:spacing w:val="43"/>
          <w:w w:val="99"/>
        </w:rPr>
        <w:t xml:space="preserve"> </w:t>
      </w:r>
      <w:r>
        <w:t>overspends,</w:t>
      </w:r>
      <w:r>
        <w:rPr>
          <w:spacing w:val="-7"/>
        </w:rPr>
        <w:t xml:space="preserve"> </w:t>
      </w:r>
      <w:r>
        <w:t>pay</w:t>
      </w:r>
      <w:r>
        <w:rPr>
          <w:spacing w:val="-1"/>
        </w:rPr>
        <w:t xml:space="preserve"> </w:t>
      </w:r>
      <w:r>
        <w:t>nothing</w:t>
      </w:r>
      <w:r>
        <w:rPr>
          <w:spacing w:val="-1"/>
        </w:rPr>
        <w:t xml:space="preserve"> </w:t>
      </w:r>
      <w:r>
        <w:t>for</w:t>
      </w:r>
      <w:r>
        <w:rPr>
          <w:spacing w:val="-1"/>
        </w:rPr>
        <w:t xml:space="preserve"> inefficient </w:t>
      </w:r>
      <w:r>
        <w:t>overspends,</w:t>
      </w:r>
      <w:r>
        <w:rPr>
          <w:spacing w:val="-7"/>
        </w:rPr>
        <w:t xml:space="preserve"> </w:t>
      </w:r>
      <w:r>
        <w:t>and</w:t>
      </w:r>
      <w:r>
        <w:rPr>
          <w:spacing w:val="-1"/>
        </w:rPr>
        <w:t xml:space="preserve"> share </w:t>
      </w:r>
      <w:r>
        <w:t>in</w:t>
      </w:r>
      <w:r>
        <w:rPr>
          <w:spacing w:val="-1"/>
        </w:rPr>
        <w:t xml:space="preserve"> </w:t>
      </w:r>
      <w:r>
        <w:t>the</w:t>
      </w:r>
      <w:r>
        <w:rPr>
          <w:spacing w:val="-1"/>
        </w:rPr>
        <w:t xml:space="preserve"> </w:t>
      </w:r>
      <w:r>
        <w:t>benefits</w:t>
      </w:r>
      <w:r>
        <w:rPr>
          <w:spacing w:val="-1"/>
        </w:rPr>
        <w:t xml:space="preserve"> </w:t>
      </w:r>
      <w:r>
        <w:t>of</w:t>
      </w:r>
      <w:r>
        <w:rPr>
          <w:spacing w:val="3"/>
        </w:rPr>
        <w:t xml:space="preserve"> </w:t>
      </w:r>
      <w:r>
        <w:t>any</w:t>
      </w:r>
      <w:r>
        <w:rPr>
          <w:spacing w:val="-1"/>
        </w:rPr>
        <w:t xml:space="preserve"> </w:t>
      </w:r>
      <w:r>
        <w:t>underspend.</w:t>
      </w:r>
    </w:p>
    <w:p w:rsidR="00D96B91" w:rsidRDefault="00C2656B">
      <w:pPr>
        <w:pStyle w:val="BodyText"/>
        <w:spacing w:before="153" w:line="250" w:lineRule="exact"/>
        <w:ind w:right="1318"/>
      </w:pPr>
      <w:r>
        <w:rPr>
          <w:rFonts w:cs="Avenir Next"/>
        </w:rPr>
        <w:t xml:space="preserve">Another </w:t>
      </w:r>
      <w:r>
        <w:rPr>
          <w:rFonts w:cs="Avenir Next"/>
          <w:spacing w:val="-1"/>
        </w:rPr>
        <w:t>measure</w:t>
      </w:r>
      <w:r>
        <w:rPr>
          <w:rFonts w:cs="Avenir Next"/>
        </w:rPr>
        <w:t xml:space="preserve"> </w:t>
      </w:r>
      <w:r>
        <w:rPr>
          <w:rFonts w:cs="Avenir Next"/>
          <w:spacing w:val="-1"/>
        </w:rPr>
        <w:t>that</w:t>
      </w:r>
      <w:r>
        <w:rPr>
          <w:rFonts w:cs="Avenir Next"/>
        </w:rPr>
        <w:t xml:space="preserve"> </w:t>
      </w:r>
      <w:r>
        <w:rPr>
          <w:rFonts w:cs="Avenir Next"/>
          <w:spacing w:val="-1"/>
        </w:rPr>
        <w:t>Ofwat</w:t>
      </w:r>
      <w:r>
        <w:rPr>
          <w:rFonts w:cs="Avenir Next"/>
        </w:rPr>
        <w:t xml:space="preserve"> has implemented to </w:t>
      </w:r>
      <w:r>
        <w:rPr>
          <w:rFonts w:cs="Avenir Next"/>
          <w:spacing w:val="-1"/>
        </w:rPr>
        <w:t>address</w:t>
      </w:r>
      <w:r>
        <w:rPr>
          <w:rFonts w:cs="Avenir Next"/>
        </w:rPr>
        <w:t xml:space="preserve"> the bias </w:t>
      </w:r>
      <w:r>
        <w:rPr>
          <w:rFonts w:cs="Avenir Next"/>
          <w:spacing w:val="-1"/>
        </w:rPr>
        <w:t>that</w:t>
      </w:r>
      <w:r>
        <w:rPr>
          <w:rFonts w:cs="Avenir Next"/>
        </w:rPr>
        <w:t xml:space="preserve"> </w:t>
      </w:r>
      <w:r>
        <w:rPr>
          <w:rFonts w:cs="Avenir Next"/>
          <w:spacing w:val="-1"/>
        </w:rPr>
        <w:t>regulated</w:t>
      </w:r>
      <w:r>
        <w:rPr>
          <w:rFonts w:cs="Avenir Next"/>
        </w:rPr>
        <w:t xml:space="preserve"> service </w:t>
      </w:r>
      <w:r>
        <w:rPr>
          <w:rFonts w:cs="Avenir Next"/>
          <w:spacing w:val="-1"/>
        </w:rPr>
        <w:t>providers</w:t>
      </w:r>
      <w:r>
        <w:rPr>
          <w:rFonts w:cs="Avenir Next"/>
          <w:spacing w:val="35"/>
        </w:rPr>
        <w:t xml:space="preserve"> </w:t>
      </w:r>
      <w:r>
        <w:t>may</w:t>
      </w:r>
      <w:r>
        <w:rPr>
          <w:spacing w:val="-1"/>
        </w:rPr>
        <w:t xml:space="preserve"> </w:t>
      </w:r>
      <w:r>
        <w:t>otherwise have</w:t>
      </w:r>
      <w:r>
        <w:rPr>
          <w:spacing w:val="-1"/>
        </w:rPr>
        <w:t xml:space="preserve"> towards</w:t>
      </w:r>
      <w:r>
        <w:t xml:space="preserve"> capital</w:t>
      </w:r>
      <w:r>
        <w:rPr>
          <w:spacing w:val="-1"/>
        </w:rPr>
        <w:t xml:space="preserve"> expenditure</w:t>
      </w:r>
      <w:r>
        <w:t xml:space="preserve"> is</w:t>
      </w:r>
      <w:r>
        <w:rPr>
          <w:spacing w:val="-1"/>
        </w:rPr>
        <w:t xml:space="preserve"> </w:t>
      </w:r>
      <w:r>
        <w:t>to assess</w:t>
      </w:r>
      <w:r>
        <w:rPr>
          <w:spacing w:val="-1"/>
        </w:rPr>
        <w:t xml:space="preserve"> </w:t>
      </w:r>
      <w:r>
        <w:t xml:space="preserve">the </w:t>
      </w:r>
      <w:r>
        <w:rPr>
          <w:spacing w:val="-1"/>
        </w:rPr>
        <w:t xml:space="preserve">efficiency </w:t>
      </w:r>
      <w:r>
        <w:t>of</w:t>
      </w:r>
      <w:r>
        <w:rPr>
          <w:spacing w:val="4"/>
        </w:rPr>
        <w:t xml:space="preserve"> </w:t>
      </w:r>
      <w:r>
        <w:t>total</w:t>
      </w:r>
      <w:r>
        <w:rPr>
          <w:spacing w:val="-1"/>
        </w:rPr>
        <w:t xml:space="preserve"> expenditure</w:t>
      </w:r>
      <w:r>
        <w:t xml:space="preserve"> </w:t>
      </w:r>
      <w:r>
        <w:rPr>
          <w:spacing w:val="-1"/>
        </w:rPr>
        <w:t>(‘totex’),</w:t>
      </w:r>
      <w:r>
        <w:rPr>
          <w:spacing w:val="55"/>
        </w:rPr>
        <w:t xml:space="preserve"> </w:t>
      </w:r>
      <w:r>
        <w:rPr>
          <w:spacing w:val="-1"/>
        </w:rPr>
        <w:t>rather</w:t>
      </w:r>
      <w:r>
        <w:t xml:space="preserve"> than capital and </w:t>
      </w:r>
      <w:r>
        <w:rPr>
          <w:spacing w:val="-1"/>
        </w:rPr>
        <w:t>operating</w:t>
      </w:r>
      <w:r>
        <w:t xml:space="preserve"> </w:t>
      </w:r>
      <w:r>
        <w:rPr>
          <w:spacing w:val="-1"/>
        </w:rPr>
        <w:t>expenditure</w:t>
      </w:r>
      <w:r>
        <w:t xml:space="preserve"> </w:t>
      </w:r>
      <w:r>
        <w:rPr>
          <w:spacing w:val="-2"/>
        </w:rPr>
        <w:t>separately.</w:t>
      </w:r>
      <w:r>
        <w:rPr>
          <w:spacing w:val="-10"/>
        </w:rPr>
        <w:t xml:space="preserve"> </w:t>
      </w:r>
      <w:r>
        <w:t xml:space="preserve">As </w:t>
      </w:r>
      <w:r>
        <w:rPr>
          <w:spacing w:val="-1"/>
        </w:rPr>
        <w:t>part</w:t>
      </w:r>
      <w:r>
        <w:t xml:space="preserve"> of</w:t>
      </w:r>
      <w:r>
        <w:rPr>
          <w:spacing w:val="4"/>
        </w:rPr>
        <w:t xml:space="preserve"> </w:t>
      </w:r>
      <w:r>
        <w:t xml:space="preserve">the </w:t>
      </w:r>
      <w:r>
        <w:rPr>
          <w:spacing w:val="-1"/>
        </w:rPr>
        <w:t>totex</w:t>
      </w:r>
      <w:r>
        <w:t xml:space="preserve"> </w:t>
      </w:r>
      <w:r>
        <w:rPr>
          <w:spacing w:val="-1"/>
        </w:rPr>
        <w:t>approach,</w:t>
      </w:r>
      <w:r>
        <w:rPr>
          <w:spacing w:val="-6"/>
        </w:rPr>
        <w:t xml:space="preserve"> </w:t>
      </w:r>
      <w:r>
        <w:rPr>
          <w:spacing w:val="-1"/>
        </w:rPr>
        <w:t>Ofwat</w:t>
      </w:r>
      <w:r>
        <w:t xml:space="preserve"> includes</w:t>
      </w:r>
      <w:r>
        <w:rPr>
          <w:spacing w:val="63"/>
        </w:rPr>
        <w:t xml:space="preserve"> </w:t>
      </w:r>
      <w:r>
        <w:t>a</w:t>
      </w:r>
      <w:r>
        <w:rPr>
          <w:spacing w:val="-1"/>
        </w:rPr>
        <w:t xml:space="preserve"> </w:t>
      </w:r>
      <w:r>
        <w:t>significant</w:t>
      </w:r>
      <w:r>
        <w:rPr>
          <w:spacing w:val="-1"/>
        </w:rPr>
        <w:t xml:space="preserve"> proportion</w:t>
      </w:r>
      <w:r>
        <w:t xml:space="preserve"> of</w:t>
      </w:r>
      <w:r>
        <w:rPr>
          <w:spacing w:val="3"/>
        </w:rPr>
        <w:t xml:space="preserve"> </w:t>
      </w:r>
      <w:r>
        <w:rPr>
          <w:spacing w:val="-1"/>
        </w:rPr>
        <w:t xml:space="preserve">totex </w:t>
      </w:r>
      <w:r>
        <w:t>in the</w:t>
      </w:r>
      <w:r>
        <w:rPr>
          <w:spacing w:val="-1"/>
        </w:rPr>
        <w:t xml:space="preserve"> </w:t>
      </w:r>
      <w:r>
        <w:t>RAB and</w:t>
      </w:r>
      <w:r>
        <w:rPr>
          <w:spacing w:val="-1"/>
        </w:rPr>
        <w:t xml:space="preserve"> </w:t>
      </w:r>
      <w:r>
        <w:t>allows</w:t>
      </w:r>
      <w:r>
        <w:rPr>
          <w:spacing w:val="-1"/>
        </w:rPr>
        <w:t xml:space="preserve"> </w:t>
      </w:r>
      <w:r>
        <w:t xml:space="preserve">the </w:t>
      </w:r>
      <w:r>
        <w:rPr>
          <w:spacing w:val="-1"/>
        </w:rPr>
        <w:t xml:space="preserve">remainder </w:t>
      </w:r>
      <w:r>
        <w:t>to</w:t>
      </w:r>
      <w:r>
        <w:rPr>
          <w:spacing w:val="-1"/>
        </w:rPr>
        <w:t xml:space="preserve"> </w:t>
      </w:r>
      <w:r>
        <w:t xml:space="preserve">be </w:t>
      </w:r>
      <w:r>
        <w:rPr>
          <w:spacing w:val="-1"/>
        </w:rPr>
        <w:t>recovered annually.</w:t>
      </w:r>
    </w:p>
    <w:p w:rsidR="00D96B91" w:rsidRDefault="00D96B91">
      <w:pPr>
        <w:spacing w:before="11"/>
        <w:rPr>
          <w:rFonts w:ascii="Avenir Next" w:eastAsia="Avenir Next" w:hAnsi="Avenir Next" w:cs="Avenir Next"/>
          <w:sz w:val="29"/>
          <w:szCs w:val="29"/>
        </w:rPr>
      </w:pPr>
    </w:p>
    <w:p w:rsidR="00D96B91" w:rsidRDefault="00C2656B">
      <w:pPr>
        <w:pStyle w:val="Heading4"/>
        <w:tabs>
          <w:tab w:val="left" w:pos="2267"/>
        </w:tabs>
      </w:pPr>
      <w:r>
        <w:rPr>
          <w:color w:val="0778BE"/>
        </w:rPr>
        <w:t>A4.</w:t>
      </w:r>
      <w:r>
        <w:rPr>
          <w:color w:val="0778BE"/>
          <w:spacing w:val="-9"/>
        </w:rPr>
        <w:t xml:space="preserve"> </w:t>
      </w:r>
      <w:r>
        <w:rPr>
          <w:color w:val="0778BE"/>
        </w:rPr>
        <w:t>2</w:t>
      </w:r>
      <w:r>
        <w:rPr>
          <w:color w:val="0778BE"/>
        </w:rPr>
        <w:tab/>
        <w:t xml:space="preserve">Menu </w:t>
      </w:r>
      <w:r>
        <w:rPr>
          <w:color w:val="0778BE"/>
          <w:spacing w:val="-1"/>
        </w:rPr>
        <w:t>regulation</w:t>
      </w:r>
    </w:p>
    <w:p w:rsidR="00D96B91" w:rsidRDefault="00C2656B">
      <w:pPr>
        <w:pStyle w:val="BodyText"/>
        <w:spacing w:before="55" w:line="260" w:lineRule="exact"/>
        <w:ind w:right="1548"/>
        <w:rPr>
          <w:rFonts w:cs="Avenir Next"/>
        </w:rPr>
      </w:pPr>
      <w:r>
        <w:rPr>
          <w:spacing w:val="-2"/>
        </w:rPr>
        <w:t>The</w:t>
      </w:r>
      <w:r>
        <w:t xml:space="preserve"> </w:t>
      </w:r>
      <w:r>
        <w:rPr>
          <w:spacing w:val="-3"/>
        </w:rPr>
        <w:t>UK’s</w:t>
      </w:r>
      <w:r>
        <w:t xml:space="preserve"> </w:t>
      </w:r>
      <w:r>
        <w:rPr>
          <w:spacing w:val="-1"/>
        </w:rPr>
        <w:t>energy</w:t>
      </w:r>
      <w:r>
        <w:t xml:space="preserve"> </w:t>
      </w:r>
      <w:r>
        <w:rPr>
          <w:spacing w:val="-2"/>
        </w:rPr>
        <w:t>regulator,</w:t>
      </w:r>
      <w:r>
        <w:rPr>
          <w:spacing w:val="-6"/>
        </w:rPr>
        <w:t xml:space="preserve"> </w:t>
      </w:r>
      <w:r>
        <w:rPr>
          <w:spacing w:val="-1"/>
        </w:rPr>
        <w:t>Ofwat,</w:t>
      </w:r>
      <w:r>
        <w:rPr>
          <w:spacing w:val="-6"/>
        </w:rPr>
        <w:t xml:space="preserve"> </w:t>
      </w:r>
      <w:r>
        <w:t xml:space="preserve">has sought to </w:t>
      </w:r>
      <w:r>
        <w:rPr>
          <w:spacing w:val="-1"/>
        </w:rPr>
        <w:t>address</w:t>
      </w:r>
      <w:r>
        <w:t xml:space="preserve"> </w:t>
      </w:r>
      <w:r>
        <w:rPr>
          <w:spacing w:val="-1"/>
        </w:rPr>
        <w:t>information</w:t>
      </w:r>
      <w:r>
        <w:t xml:space="preserve"> asymmetry and gaming issues</w:t>
      </w:r>
      <w:r>
        <w:rPr>
          <w:spacing w:val="53"/>
        </w:rPr>
        <w:t xml:space="preserve"> </w:t>
      </w:r>
      <w:r>
        <w:rPr>
          <w:rFonts w:cs="Avenir Next"/>
        </w:rPr>
        <w:t xml:space="preserve">by </w:t>
      </w:r>
      <w:r>
        <w:rPr>
          <w:rFonts w:cs="Avenir Next"/>
          <w:spacing w:val="-1"/>
        </w:rPr>
        <w:t>providing</w:t>
      </w:r>
      <w:r>
        <w:rPr>
          <w:rFonts w:cs="Avenir Next"/>
        </w:rPr>
        <w:t xml:space="preserve"> </w:t>
      </w:r>
      <w:r>
        <w:rPr>
          <w:rFonts w:cs="Avenir Next"/>
          <w:spacing w:val="-1"/>
        </w:rPr>
        <w:t>regulated</w:t>
      </w:r>
      <w:r>
        <w:rPr>
          <w:rFonts w:cs="Avenir Next"/>
        </w:rPr>
        <w:t xml:space="preserve"> </w:t>
      </w:r>
      <w:r>
        <w:rPr>
          <w:rFonts w:cs="Avenir Next"/>
          <w:spacing w:val="-1"/>
        </w:rPr>
        <w:t>water</w:t>
      </w:r>
      <w:r>
        <w:rPr>
          <w:rFonts w:cs="Avenir Next"/>
        </w:rPr>
        <w:t xml:space="preserve"> businesses with incentives to both </w:t>
      </w:r>
      <w:r>
        <w:rPr>
          <w:rFonts w:cs="Avenir Next"/>
          <w:spacing w:val="-1"/>
        </w:rPr>
        <w:t>forecast</w:t>
      </w:r>
      <w:r>
        <w:rPr>
          <w:rFonts w:cs="Avenir Next"/>
        </w:rPr>
        <w:t xml:space="preserve"> costs </w:t>
      </w:r>
      <w:r>
        <w:rPr>
          <w:rFonts w:cs="Avenir Next"/>
          <w:spacing w:val="-1"/>
        </w:rPr>
        <w:t>accurately</w:t>
      </w:r>
      <w:r>
        <w:rPr>
          <w:rFonts w:cs="Avenir Next"/>
        </w:rPr>
        <w:t xml:space="preserve"> and </w:t>
      </w:r>
      <w:r>
        <w:rPr>
          <w:rFonts w:cs="Avenir Next"/>
          <w:spacing w:val="-1"/>
        </w:rPr>
        <w:t>reveal</w:t>
      </w:r>
    </w:p>
    <w:p w:rsidR="00D96B91" w:rsidRDefault="00C2656B">
      <w:pPr>
        <w:pStyle w:val="BodyText"/>
        <w:spacing w:line="260" w:lineRule="exact"/>
        <w:ind w:right="1283"/>
        <w:rPr>
          <w:rFonts w:cs="Avenir Next"/>
        </w:rPr>
      </w:pPr>
      <w:r>
        <w:t>their</w:t>
      </w:r>
      <w:r>
        <w:rPr>
          <w:spacing w:val="-1"/>
        </w:rPr>
        <w:t xml:space="preserve"> efficient</w:t>
      </w:r>
      <w:r>
        <w:t xml:space="preserve"> costs.</w:t>
      </w:r>
      <w:r>
        <w:rPr>
          <w:spacing w:val="-7"/>
        </w:rPr>
        <w:t xml:space="preserve"> </w:t>
      </w:r>
      <w:r>
        <w:t xml:space="preserve">Under </w:t>
      </w:r>
      <w:r>
        <w:rPr>
          <w:spacing w:val="-2"/>
        </w:rPr>
        <w:t>Ofwat’s</w:t>
      </w:r>
      <w:r>
        <w:t xml:space="preserve"> scheme,</w:t>
      </w:r>
      <w:r>
        <w:rPr>
          <w:spacing w:val="-7"/>
        </w:rPr>
        <w:t xml:space="preserve"> </w:t>
      </w:r>
      <w:r>
        <w:rPr>
          <w:spacing w:val="-1"/>
        </w:rPr>
        <w:t>regulated</w:t>
      </w:r>
      <w:r>
        <w:t xml:space="preserve"> service</w:t>
      </w:r>
      <w:r>
        <w:rPr>
          <w:spacing w:val="-1"/>
        </w:rPr>
        <w:t xml:space="preserve"> providers</w:t>
      </w:r>
      <w:r>
        <w:t xml:space="preserve"> </w:t>
      </w:r>
      <w:r>
        <w:rPr>
          <w:spacing w:val="-2"/>
        </w:rPr>
        <w:t>are</w:t>
      </w:r>
      <w:r>
        <w:t xml:space="preserve"> </w:t>
      </w:r>
      <w:r>
        <w:rPr>
          <w:spacing w:val="-2"/>
        </w:rPr>
        <w:t>offered</w:t>
      </w:r>
      <w:r>
        <w:rPr>
          <w:spacing w:val="-1"/>
        </w:rPr>
        <w:t xml:space="preserve"> </w:t>
      </w:r>
      <w:r>
        <w:t>a menu</w:t>
      </w:r>
      <w:r>
        <w:rPr>
          <w:spacing w:val="-1"/>
        </w:rPr>
        <w:t xml:space="preserve"> </w:t>
      </w:r>
      <w:r>
        <w:t>of</w:t>
      </w:r>
      <w:r>
        <w:rPr>
          <w:spacing w:val="4"/>
        </w:rPr>
        <w:t xml:space="preserve"> </w:t>
      </w:r>
      <w:r>
        <w:rPr>
          <w:spacing w:val="-1"/>
        </w:rPr>
        <w:t>rewards/</w:t>
      </w:r>
      <w:r>
        <w:rPr>
          <w:spacing w:val="55"/>
        </w:rPr>
        <w:t xml:space="preserve"> </w:t>
      </w:r>
      <w:r>
        <w:rPr>
          <w:rFonts w:cs="Avenir Next"/>
        </w:rPr>
        <w:t>penalties,</w:t>
      </w:r>
      <w:r>
        <w:rPr>
          <w:rFonts w:cs="Avenir Next"/>
          <w:spacing w:val="-6"/>
        </w:rPr>
        <w:t xml:space="preserve"> </w:t>
      </w:r>
      <w:r>
        <w:rPr>
          <w:rFonts w:cs="Avenir Next"/>
        </w:rPr>
        <w:t xml:space="preserve">which </w:t>
      </w:r>
      <w:r>
        <w:rPr>
          <w:rFonts w:cs="Avenir Next"/>
          <w:spacing w:val="-1"/>
        </w:rPr>
        <w:t>differ</w:t>
      </w:r>
      <w:r>
        <w:rPr>
          <w:rFonts w:cs="Avenir Next"/>
        </w:rPr>
        <w:t xml:space="preserve"> depending on:</w:t>
      </w:r>
    </w:p>
    <w:p w:rsidR="00D96B91" w:rsidRDefault="00C2656B">
      <w:pPr>
        <w:pStyle w:val="BodyText"/>
        <w:numPr>
          <w:ilvl w:val="0"/>
          <w:numId w:val="131"/>
        </w:numPr>
        <w:tabs>
          <w:tab w:val="left" w:pos="1531"/>
        </w:tabs>
        <w:spacing w:before="170" w:line="260" w:lineRule="exact"/>
        <w:ind w:right="1860" w:hanging="283"/>
        <w:rPr>
          <w:rFonts w:cs="Avenir Next"/>
        </w:rPr>
      </w:pPr>
      <w:r>
        <w:rPr>
          <w:rFonts w:cs="Avenir Next"/>
        </w:rPr>
        <w:t xml:space="preserve">the </w:t>
      </w:r>
      <w:r>
        <w:rPr>
          <w:rFonts w:cs="Avenir Next"/>
          <w:spacing w:val="-1"/>
        </w:rPr>
        <w:t>extent</w:t>
      </w:r>
      <w:r>
        <w:rPr>
          <w:rFonts w:cs="Avenir Next"/>
        </w:rPr>
        <w:t xml:space="preserve"> to which the </w:t>
      </w:r>
      <w:r>
        <w:rPr>
          <w:rFonts w:cs="Avenir Next"/>
          <w:spacing w:val="-1"/>
        </w:rPr>
        <w:t>regulated</w:t>
      </w:r>
      <w:r>
        <w:rPr>
          <w:rFonts w:cs="Avenir Next"/>
        </w:rPr>
        <w:t xml:space="preserve"> service </w:t>
      </w:r>
      <w:r>
        <w:rPr>
          <w:rFonts w:cs="Avenir Next"/>
          <w:spacing w:val="-1"/>
        </w:rPr>
        <w:t>provider</w:t>
      </w:r>
      <w:r>
        <w:rPr>
          <w:rFonts w:cs="Avenir Next"/>
        </w:rPr>
        <w:t xml:space="preserve"> </w:t>
      </w:r>
      <w:r>
        <w:rPr>
          <w:rFonts w:cs="Avenir Next"/>
          <w:spacing w:val="-1"/>
        </w:rPr>
        <w:t>expects</w:t>
      </w:r>
      <w:r>
        <w:rPr>
          <w:rFonts w:cs="Avenir Next"/>
        </w:rPr>
        <w:t xml:space="preserve"> to lower its costs </w:t>
      </w:r>
      <w:r>
        <w:rPr>
          <w:rFonts w:cs="Avenir Next"/>
          <w:spacing w:val="-1"/>
        </w:rPr>
        <w:t>relative</w:t>
      </w:r>
      <w:r>
        <w:rPr>
          <w:rFonts w:cs="Avenir Next"/>
        </w:rPr>
        <w:t xml:space="preserve"> to </w:t>
      </w:r>
      <w:r>
        <w:rPr>
          <w:rFonts w:cs="Avenir Next"/>
          <w:spacing w:val="-2"/>
        </w:rPr>
        <w:t>Ofwat’s</w:t>
      </w:r>
      <w:r>
        <w:rPr>
          <w:rFonts w:cs="Avenir Next"/>
          <w:spacing w:val="47"/>
        </w:rPr>
        <w:t xml:space="preserve"> </w:t>
      </w:r>
      <w:r>
        <w:rPr>
          <w:rFonts w:cs="Avenir Next"/>
        </w:rPr>
        <w:t xml:space="preserve">baseline </w:t>
      </w:r>
      <w:r>
        <w:rPr>
          <w:rFonts w:cs="Avenir Next"/>
          <w:spacing w:val="-1"/>
        </w:rPr>
        <w:t>forecast,</w:t>
      </w:r>
      <w:r>
        <w:rPr>
          <w:rFonts w:cs="Avenir Next"/>
          <w:spacing w:val="-6"/>
        </w:rPr>
        <w:t xml:space="preserve"> </w:t>
      </w:r>
      <w:r>
        <w:rPr>
          <w:rFonts w:cs="Avenir Next"/>
        </w:rPr>
        <w:t>and</w:t>
      </w:r>
    </w:p>
    <w:p w:rsidR="00D96B91" w:rsidRDefault="00C2656B">
      <w:pPr>
        <w:pStyle w:val="BodyText"/>
        <w:numPr>
          <w:ilvl w:val="0"/>
          <w:numId w:val="131"/>
        </w:numPr>
        <w:tabs>
          <w:tab w:val="left" w:pos="1531"/>
        </w:tabs>
        <w:spacing w:before="93"/>
        <w:ind w:hanging="283"/>
      </w:pPr>
      <w:r>
        <w:t xml:space="preserve">how the </w:t>
      </w:r>
      <w:r>
        <w:rPr>
          <w:spacing w:val="-1"/>
        </w:rPr>
        <w:t>regulated</w:t>
      </w:r>
      <w:r>
        <w:t xml:space="preserve"> service </w:t>
      </w:r>
      <w:r>
        <w:rPr>
          <w:spacing w:val="-1"/>
        </w:rPr>
        <w:t>provider</w:t>
      </w:r>
      <w:r>
        <w:t xml:space="preserve"> performs </w:t>
      </w:r>
      <w:r>
        <w:rPr>
          <w:spacing w:val="-1"/>
        </w:rPr>
        <w:t>relative</w:t>
      </w:r>
      <w:r>
        <w:t xml:space="preserve"> to its </w:t>
      </w:r>
      <w:r>
        <w:rPr>
          <w:spacing w:val="-1"/>
        </w:rPr>
        <w:t>forecast.</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83"/>
      </w:pPr>
      <w:r>
        <w:rPr>
          <w:spacing w:val="-2"/>
        </w:rPr>
        <w:t>The</w:t>
      </w:r>
      <w:r>
        <w:t xml:space="preserve"> </w:t>
      </w:r>
      <w:r>
        <w:rPr>
          <w:spacing w:val="-1"/>
        </w:rPr>
        <w:t>structure</w:t>
      </w:r>
      <w:r>
        <w:t xml:space="preserve"> of</w:t>
      </w:r>
      <w:r>
        <w:rPr>
          <w:spacing w:val="4"/>
        </w:rPr>
        <w:t xml:space="preserve"> </w:t>
      </w:r>
      <w:r>
        <w:t xml:space="preserve">the </w:t>
      </w:r>
      <w:r>
        <w:rPr>
          <w:spacing w:val="-2"/>
        </w:rPr>
        <w:t>rewards</w:t>
      </w:r>
      <w:r>
        <w:t xml:space="preserve"> and penalties under this scheme is designed to give </w:t>
      </w:r>
      <w:r>
        <w:rPr>
          <w:spacing w:val="-1"/>
        </w:rPr>
        <w:t>regulated</w:t>
      </w:r>
      <w:r>
        <w:t xml:space="preserve"> businesses</w:t>
      </w:r>
      <w:r>
        <w:rPr>
          <w:spacing w:val="31"/>
        </w:rPr>
        <w:t xml:space="preserve"> </w:t>
      </w:r>
      <w:r>
        <w:t>a</w:t>
      </w:r>
      <w:r>
        <w:rPr>
          <w:spacing w:val="-1"/>
        </w:rPr>
        <w:t xml:space="preserve"> strong </w:t>
      </w:r>
      <w:r>
        <w:t>incentive</w:t>
      </w:r>
      <w:r>
        <w:rPr>
          <w:spacing w:val="-1"/>
        </w:rPr>
        <w:t xml:space="preserve"> </w:t>
      </w:r>
      <w:r>
        <w:t xml:space="preserve">to </w:t>
      </w:r>
      <w:r>
        <w:rPr>
          <w:spacing w:val="-1"/>
        </w:rPr>
        <w:t xml:space="preserve">forecast </w:t>
      </w:r>
      <w:r>
        <w:t>and</w:t>
      </w:r>
      <w:r>
        <w:rPr>
          <w:spacing w:val="-1"/>
        </w:rPr>
        <w:t xml:space="preserve"> </w:t>
      </w:r>
      <w:r>
        <w:t xml:space="preserve">achieve </w:t>
      </w:r>
      <w:r>
        <w:rPr>
          <w:spacing w:val="-1"/>
        </w:rPr>
        <w:t>efficiencies.</w:t>
      </w:r>
      <w:r>
        <w:rPr>
          <w:spacing w:val="-12"/>
        </w:rPr>
        <w:t xml:space="preserve"> </w:t>
      </w:r>
      <w:r>
        <w:rPr>
          <w:spacing w:val="-2"/>
        </w:rPr>
        <w:t>The</w:t>
      </w:r>
      <w:r>
        <w:rPr>
          <w:spacing w:val="-1"/>
        </w:rPr>
        <w:t xml:space="preserve"> framework</w:t>
      </w:r>
      <w:r>
        <w:t xml:space="preserve"> also</w:t>
      </w:r>
      <w:r>
        <w:rPr>
          <w:spacing w:val="-1"/>
        </w:rPr>
        <w:t xml:space="preserve"> provides </w:t>
      </w:r>
      <w:r>
        <w:t>incentives to</w:t>
      </w:r>
      <w:r>
        <w:rPr>
          <w:spacing w:val="55"/>
        </w:rPr>
        <w:t xml:space="preserve"> </w:t>
      </w:r>
      <w:r>
        <w:rPr>
          <w:spacing w:val="-1"/>
        </w:rPr>
        <w:t>forecast</w:t>
      </w:r>
      <w:r>
        <w:t xml:space="preserve"> costs </w:t>
      </w:r>
      <w:r>
        <w:rPr>
          <w:spacing w:val="-2"/>
        </w:rPr>
        <w:t>accurately,</w:t>
      </w:r>
      <w:r>
        <w:rPr>
          <w:spacing w:val="-6"/>
        </w:rPr>
        <w:t xml:space="preserve"> </w:t>
      </w:r>
      <w:r>
        <w:rPr>
          <w:spacing w:val="-1"/>
        </w:rPr>
        <w:t>reducing</w:t>
      </w:r>
      <w:r>
        <w:t xml:space="preserve"> the need for </w:t>
      </w:r>
      <w:r>
        <w:rPr>
          <w:spacing w:val="-1"/>
        </w:rPr>
        <w:t>Ofwat</w:t>
      </w:r>
      <w:r>
        <w:t xml:space="preserve"> to carry out detailed </w:t>
      </w:r>
      <w:r>
        <w:rPr>
          <w:spacing w:val="-1"/>
        </w:rPr>
        <w:t>expenditure</w:t>
      </w:r>
      <w:r>
        <w:t xml:space="preserve"> </w:t>
      </w:r>
      <w:r>
        <w:rPr>
          <w:spacing w:val="-1"/>
        </w:rPr>
        <w:t>reviews.</w:t>
      </w:r>
    </w:p>
    <w:p w:rsidR="00D96B91" w:rsidRDefault="00D96B91">
      <w:pPr>
        <w:spacing w:line="260" w:lineRule="exact"/>
        <w:sectPr w:rsidR="00D96B91">
          <w:pgSz w:w="11910" w:h="16840"/>
          <w:pgMar w:top="1260" w:right="0" w:bottom="1020" w:left="0" w:header="0" w:footer="829" w:gutter="0"/>
          <w:cols w:space="720"/>
        </w:sectPr>
      </w:pPr>
    </w:p>
    <w:p w:rsidR="00D96B91" w:rsidRDefault="00C2656B">
      <w:pPr>
        <w:pStyle w:val="Heading4"/>
        <w:tabs>
          <w:tab w:val="left" w:pos="2267"/>
        </w:tabs>
        <w:spacing w:before="9"/>
      </w:pPr>
      <w:r>
        <w:rPr>
          <w:color w:val="0778BE"/>
        </w:rPr>
        <w:t>A4.</w:t>
      </w:r>
      <w:r>
        <w:rPr>
          <w:color w:val="0778BE"/>
          <w:spacing w:val="-9"/>
        </w:rPr>
        <w:t xml:space="preserve"> </w:t>
      </w:r>
      <w:r>
        <w:rPr>
          <w:color w:val="0778BE"/>
        </w:rPr>
        <w:t>3</w:t>
      </w:r>
      <w:r>
        <w:rPr>
          <w:color w:val="0778BE"/>
        </w:rPr>
        <w:tab/>
        <w:t>Service incentive schemes</w:t>
      </w:r>
    </w:p>
    <w:p w:rsidR="00D96B91" w:rsidRDefault="00C2656B">
      <w:pPr>
        <w:pStyle w:val="BodyText"/>
        <w:spacing w:before="55" w:line="260" w:lineRule="exact"/>
        <w:ind w:right="1256"/>
      </w:pPr>
      <w:r>
        <w:rPr>
          <w:spacing w:val="-10"/>
        </w:rPr>
        <w:t>To</w:t>
      </w:r>
      <w:r>
        <w:rPr>
          <w:spacing w:val="-1"/>
        </w:rPr>
        <w:t xml:space="preserve"> </w:t>
      </w:r>
      <w:r>
        <w:t>try</w:t>
      </w:r>
      <w:r>
        <w:rPr>
          <w:spacing w:val="-1"/>
        </w:rPr>
        <w:t xml:space="preserve"> </w:t>
      </w:r>
      <w:r>
        <w:t>and counter</w:t>
      </w:r>
      <w:r>
        <w:rPr>
          <w:spacing w:val="-1"/>
        </w:rPr>
        <w:t xml:space="preserve"> </w:t>
      </w:r>
      <w:r>
        <w:t>the incentive</w:t>
      </w:r>
      <w:r>
        <w:rPr>
          <w:spacing w:val="-1"/>
        </w:rPr>
        <w:t xml:space="preserve"> that</w:t>
      </w:r>
      <w:r>
        <w:t xml:space="preserve"> </w:t>
      </w:r>
      <w:r>
        <w:rPr>
          <w:spacing w:val="-1"/>
        </w:rPr>
        <w:t xml:space="preserve">regulated </w:t>
      </w:r>
      <w:r>
        <w:t>businesses may</w:t>
      </w:r>
      <w:r>
        <w:rPr>
          <w:spacing w:val="-1"/>
        </w:rPr>
        <w:t xml:space="preserve"> </w:t>
      </w:r>
      <w:r>
        <w:t>have to</w:t>
      </w:r>
      <w:r>
        <w:rPr>
          <w:spacing w:val="-1"/>
        </w:rPr>
        <w:t xml:space="preserve"> </w:t>
      </w:r>
      <w:r>
        <w:t>pursue cost</w:t>
      </w:r>
      <w:r>
        <w:rPr>
          <w:spacing w:val="-1"/>
        </w:rPr>
        <w:t xml:space="preserve"> efficiencies</w:t>
      </w:r>
      <w:r>
        <w:t xml:space="preserve"> </w:t>
      </w:r>
      <w:r>
        <w:rPr>
          <w:spacing w:val="-1"/>
        </w:rPr>
        <w:t xml:space="preserve">at </w:t>
      </w:r>
      <w:r>
        <w:t>the</w:t>
      </w:r>
      <w:r>
        <w:rPr>
          <w:spacing w:val="25"/>
        </w:rPr>
        <w:t xml:space="preserve"> </w:t>
      </w:r>
      <w:r>
        <w:rPr>
          <w:spacing w:val="-1"/>
        </w:rPr>
        <w:t>expense</w:t>
      </w:r>
      <w:r>
        <w:t xml:space="preserve"> of</w:t>
      </w:r>
      <w:r>
        <w:rPr>
          <w:spacing w:val="4"/>
        </w:rPr>
        <w:t xml:space="preserve"> </w:t>
      </w:r>
      <w:r>
        <w:t xml:space="preserve">service </w:t>
      </w:r>
      <w:r>
        <w:rPr>
          <w:spacing w:val="-1"/>
        </w:rPr>
        <w:t>quality,</w:t>
      </w:r>
      <w:r>
        <w:rPr>
          <w:spacing w:val="-6"/>
        </w:rPr>
        <w:t xml:space="preserve"> </w:t>
      </w:r>
      <w:r>
        <w:rPr>
          <w:spacing w:val="-1"/>
        </w:rPr>
        <w:t>regulators</w:t>
      </w:r>
      <w:r>
        <w:t xml:space="preserve"> in some industries have implemented service-based incentive</w:t>
      </w:r>
      <w:r>
        <w:rPr>
          <w:spacing w:val="30"/>
        </w:rPr>
        <w:t xml:space="preserve"> </w:t>
      </w:r>
      <w:r>
        <w:t>schemes.</w:t>
      </w:r>
      <w:r>
        <w:rPr>
          <w:spacing w:val="-9"/>
        </w:rPr>
        <w:t xml:space="preserve"> </w:t>
      </w:r>
      <w:r>
        <w:t>While the form of</w:t>
      </w:r>
      <w:r>
        <w:rPr>
          <w:spacing w:val="4"/>
        </w:rPr>
        <w:t xml:space="preserve"> </w:t>
      </w:r>
      <w:r>
        <w:t xml:space="preserve">these schemes can </w:t>
      </w:r>
      <w:r>
        <w:rPr>
          <w:spacing w:val="-2"/>
        </w:rPr>
        <w:t>differ,</w:t>
      </w:r>
      <w:r>
        <w:rPr>
          <w:spacing w:val="-6"/>
        </w:rPr>
        <w:t xml:space="preserve"> </w:t>
      </w:r>
      <w:r>
        <w:t xml:space="preserve">they </w:t>
      </w:r>
      <w:r>
        <w:rPr>
          <w:spacing w:val="-2"/>
        </w:rPr>
        <w:t>are</w:t>
      </w:r>
      <w:r>
        <w:t xml:space="preserve"> typically designed to </w:t>
      </w:r>
      <w:r>
        <w:rPr>
          <w:spacing w:val="-1"/>
        </w:rPr>
        <w:t>encourage</w:t>
      </w:r>
      <w:r>
        <w:rPr>
          <w:spacing w:val="29"/>
        </w:rPr>
        <w:t xml:space="preserve"> </w:t>
      </w:r>
      <w:r>
        <w:rPr>
          <w:rFonts w:cs="Avenir Next"/>
          <w:spacing w:val="-1"/>
        </w:rPr>
        <w:t>regulated</w:t>
      </w:r>
      <w:r>
        <w:rPr>
          <w:rFonts w:cs="Avenir Next"/>
        </w:rPr>
        <w:t xml:space="preserve"> service </w:t>
      </w:r>
      <w:r>
        <w:rPr>
          <w:rFonts w:cs="Avenir Next"/>
          <w:spacing w:val="-1"/>
        </w:rPr>
        <w:t>providers</w:t>
      </w:r>
      <w:r>
        <w:rPr>
          <w:rFonts w:cs="Avenir Next"/>
        </w:rPr>
        <w:t xml:space="preserve"> to either </w:t>
      </w:r>
      <w:r>
        <w:rPr>
          <w:rFonts w:cs="Avenir Next"/>
          <w:spacing w:val="-1"/>
        </w:rPr>
        <w:t>improve</w:t>
      </w:r>
      <w:r>
        <w:rPr>
          <w:rFonts w:cs="Avenir Next"/>
        </w:rPr>
        <w:t xml:space="preserve"> service performance </w:t>
      </w:r>
      <w:r>
        <w:rPr>
          <w:rFonts w:cs="Avenir Next"/>
          <w:spacing w:val="-1"/>
        </w:rPr>
        <w:t>where</w:t>
      </w:r>
      <w:r>
        <w:rPr>
          <w:rFonts w:cs="Avenir Next"/>
        </w:rPr>
        <w:t xml:space="preserve"> customers </w:t>
      </w:r>
      <w:r>
        <w:rPr>
          <w:rFonts w:cs="Avenir Next"/>
          <w:spacing w:val="-2"/>
        </w:rPr>
        <w:t>are</w:t>
      </w:r>
      <w:r>
        <w:rPr>
          <w:rFonts w:cs="Avenir Next"/>
        </w:rPr>
        <w:t xml:space="preserve"> willing to pay</w:t>
      </w:r>
      <w:r>
        <w:rPr>
          <w:rFonts w:cs="Avenir Next"/>
          <w:spacing w:val="29"/>
        </w:rPr>
        <w:t xml:space="preserve"> </w:t>
      </w:r>
      <w:r>
        <w:t>for</w:t>
      </w:r>
      <w:r>
        <w:rPr>
          <w:spacing w:val="-1"/>
        </w:rPr>
        <w:t xml:space="preserve"> </w:t>
      </w:r>
      <w:r>
        <w:t>those</w:t>
      </w:r>
      <w:r>
        <w:rPr>
          <w:spacing w:val="-1"/>
        </w:rPr>
        <w:t xml:space="preserve"> improvements,</w:t>
      </w:r>
      <w:r>
        <w:rPr>
          <w:spacing w:val="-6"/>
        </w:rPr>
        <w:t xml:space="preserve"> </w:t>
      </w:r>
      <w:r>
        <w:t xml:space="preserve">or </w:t>
      </w:r>
      <w:r>
        <w:rPr>
          <w:spacing w:val="-1"/>
        </w:rPr>
        <w:t>ensure that</w:t>
      </w:r>
      <w:r>
        <w:t xml:space="preserve"> service</w:t>
      </w:r>
      <w:r>
        <w:rPr>
          <w:spacing w:val="-1"/>
        </w:rPr>
        <w:t xml:space="preserve"> standards </w:t>
      </w:r>
      <w:r>
        <w:t>don’t fall</w:t>
      </w:r>
      <w:r>
        <w:rPr>
          <w:spacing w:val="-1"/>
        </w:rPr>
        <w:t xml:space="preserve"> </w:t>
      </w:r>
      <w:r>
        <w:t>below a</w:t>
      </w:r>
      <w:r>
        <w:rPr>
          <w:spacing w:val="-1"/>
        </w:rPr>
        <w:t xml:space="preserve"> </w:t>
      </w:r>
      <w:r>
        <w:t>defined service</w:t>
      </w:r>
      <w:r>
        <w:rPr>
          <w:spacing w:val="-1"/>
        </w:rPr>
        <w:t xml:space="preserve"> </w:t>
      </w:r>
      <w:r>
        <w:t>level.</w:t>
      </w:r>
    </w:p>
    <w:p w:rsidR="00D96B91" w:rsidRDefault="00D96B91">
      <w:pPr>
        <w:spacing w:line="260" w:lineRule="exact"/>
        <w:sectPr w:rsidR="00D96B91">
          <w:footerReference w:type="default" r:id="rId108"/>
          <w:pgSz w:w="11910" w:h="16840"/>
          <w:pgMar w:top="1220" w:right="0" w:bottom="1020" w:left="0" w:header="0" w:footer="829" w:gutter="0"/>
          <w:cols w:space="720"/>
        </w:sectPr>
      </w:pPr>
    </w:p>
    <w:p w:rsidR="00D96B91" w:rsidRDefault="00D96B91">
      <w:pPr>
        <w:rPr>
          <w:rFonts w:ascii="Avenir Next" w:eastAsia="Avenir Next" w:hAnsi="Avenir Next" w:cs="Avenir Next"/>
          <w:sz w:val="20"/>
          <w:szCs w:val="20"/>
        </w:rPr>
      </w:pPr>
      <w:r w:rsidRPr="00D96B91">
        <w:pict>
          <v:group id="_x0000_s1519" style="position:absolute;margin-left:0;margin-top:0;width:52.45pt;height:595.3pt;z-index:251550208;mso-position-horizontal-relative:page;mso-position-vertical-relative:page" coordsize="1049,11906">
            <v:group id="_x0000_s1520" style="position:absolute;width:1049;height:11906" coordsize="1049,11906">
              <v:shape id="_x0000_s1522" style="position:absolute;width:1049;height:11906" coordsize="1049,11906" path="m,11906r1049,l1049,,,,,11906e" fillcolor="#0778be" stroked="f">
                <v:path arrowok="t"/>
              </v:shape>
              <v:shape id="_x0000_s1521" type="#_x0000_t75" style="position:absolute;width:1049;height:11906">
                <v:imagedata r:id="rId109" o:title=""/>
              </v:shape>
            </v:group>
            <w10:wrap anchorx="page" anchory="page"/>
          </v:group>
        </w:pic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21"/>
          <w:szCs w:val="21"/>
        </w:rPr>
      </w:pPr>
    </w:p>
    <w:p w:rsidR="00D96B91" w:rsidRDefault="00D96B91">
      <w:pPr>
        <w:tabs>
          <w:tab w:val="left" w:pos="3798"/>
        </w:tabs>
        <w:spacing w:line="539" w:lineRule="exact"/>
        <w:ind w:left="1417"/>
        <w:rPr>
          <w:rFonts w:ascii="Avenir Next Medium" w:eastAsia="Avenir Next Medium" w:hAnsi="Avenir Next Medium" w:cs="Avenir Next Medium"/>
          <w:sz w:val="40"/>
          <w:szCs w:val="40"/>
        </w:rPr>
      </w:pPr>
      <w:r w:rsidRPr="00D96B91">
        <w:pict>
          <v:shape id="_x0000_s1518" type="#_x0000_t202" style="position:absolute;left:0;text-align:left;margin-left:28.15pt;margin-top:-22.1pt;width:12pt;height:344.25pt;z-index:251551232;mso-position-horizontal-relative:page" filled="f" stroked="f">
            <v:textbox style="layout-flow:vertical;mso-next-textbox:#_x0000_s1518" inset="0,0,0,0">
              <w:txbxContent>
                <w:p w:rsidR="008A79D5" w:rsidRDefault="008A79D5">
                  <w:pPr>
                    <w:pStyle w:val="BodyText"/>
                    <w:spacing w:line="240" w:lineRule="exact"/>
                    <w:ind w:left="20"/>
                    <w:rPr>
                      <w:rFonts w:cs="Avenir Next"/>
                    </w:rPr>
                  </w:pPr>
                  <w:r>
                    <w:rPr>
                      <w:color w:val="EEF8FE"/>
                    </w:rPr>
                    <w:t xml:space="preserve">156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v:shape>
        </w:pict>
      </w:r>
      <w:bookmarkStart w:id="231" w:name="_bookmark149"/>
      <w:bookmarkStart w:id="232" w:name="Appendix_5_Risk_allocation_tools_used_in"/>
      <w:bookmarkEnd w:id="231"/>
      <w:bookmarkEnd w:id="232"/>
      <w:r w:rsidR="00C2656B">
        <w:rPr>
          <w:rFonts w:ascii="Avenir Next Medium"/>
          <w:color w:val="0778BE"/>
          <w:sz w:val="40"/>
        </w:rPr>
        <w:t>Appendix 5</w:t>
      </w:r>
      <w:r w:rsidR="00C2656B">
        <w:rPr>
          <w:rFonts w:ascii="Avenir Next Medium"/>
          <w:color w:val="0778BE"/>
          <w:sz w:val="40"/>
        </w:rPr>
        <w:tab/>
        <w:t xml:space="preserve">Risk </w:t>
      </w:r>
      <w:r w:rsidR="00C2656B">
        <w:rPr>
          <w:rFonts w:ascii="Avenir Next Medium"/>
          <w:color w:val="0778BE"/>
          <w:spacing w:val="-1"/>
          <w:sz w:val="40"/>
        </w:rPr>
        <w:t>allocation</w:t>
      </w:r>
      <w:r w:rsidR="00C2656B">
        <w:rPr>
          <w:rFonts w:ascii="Avenir Next Medium"/>
          <w:color w:val="0778BE"/>
          <w:sz w:val="40"/>
        </w:rPr>
        <w:t xml:space="preserve"> tools used in </w:t>
      </w:r>
      <w:r w:rsidR="00C2656B">
        <w:rPr>
          <w:rFonts w:ascii="Avenir Next Medium"/>
          <w:color w:val="0778BE"/>
          <w:spacing w:val="-2"/>
          <w:sz w:val="40"/>
        </w:rPr>
        <w:t>recent</w:t>
      </w:r>
      <w:r w:rsidR="00C2656B">
        <w:rPr>
          <w:rFonts w:ascii="Avenir Next Medium"/>
          <w:color w:val="0778BE"/>
          <w:sz w:val="40"/>
        </w:rPr>
        <w:t xml:space="preserve"> </w:t>
      </w:r>
      <w:r w:rsidR="00C2656B">
        <w:rPr>
          <w:rFonts w:ascii="Avenir Next Medium"/>
          <w:color w:val="0778BE"/>
          <w:spacing w:val="-2"/>
          <w:sz w:val="40"/>
        </w:rPr>
        <w:t>regulatory</w:t>
      </w:r>
      <w:r w:rsidR="00C2656B">
        <w:rPr>
          <w:rFonts w:ascii="Avenir Next Medium"/>
          <w:color w:val="0778BE"/>
          <w:sz w:val="40"/>
        </w:rPr>
        <w:t xml:space="preserve"> decisions</w:t>
      </w:r>
    </w:p>
    <w:p w:rsidR="00D96B91" w:rsidRDefault="00C2656B">
      <w:pPr>
        <w:pStyle w:val="BodyText"/>
        <w:spacing w:before="189" w:line="260" w:lineRule="exact"/>
        <w:ind w:left="1417" w:right="116"/>
      </w:pPr>
      <w:r>
        <w:rPr>
          <w:spacing w:val="-2"/>
        </w:rPr>
        <w:t>The</w:t>
      </w:r>
      <w:r>
        <w:t xml:space="preserve"> table below </w:t>
      </w:r>
      <w:r>
        <w:rPr>
          <w:spacing w:val="-1"/>
        </w:rPr>
        <w:t>provides</w:t>
      </w:r>
      <w:r>
        <w:t xml:space="preserve"> an overview of</w:t>
      </w:r>
      <w:r>
        <w:rPr>
          <w:spacing w:val="4"/>
        </w:rPr>
        <w:t xml:space="preserve"> </w:t>
      </w:r>
      <w:r>
        <w:t>the length of</w:t>
      </w:r>
      <w:r>
        <w:rPr>
          <w:spacing w:val="4"/>
        </w:rPr>
        <w:t xml:space="preserve"> </w:t>
      </w:r>
      <w:r>
        <w:t xml:space="preserve">the </w:t>
      </w:r>
      <w:r>
        <w:rPr>
          <w:spacing w:val="-1"/>
        </w:rPr>
        <w:t>regulatory</w:t>
      </w:r>
      <w:r>
        <w:t xml:space="preserve"> period,</w:t>
      </w:r>
      <w:r>
        <w:rPr>
          <w:spacing w:val="-6"/>
        </w:rPr>
        <w:t xml:space="preserve"> </w:t>
      </w:r>
      <w:r>
        <w:t>form of</w:t>
      </w:r>
      <w:r>
        <w:rPr>
          <w:spacing w:val="4"/>
        </w:rPr>
        <w:t xml:space="preserve"> </w:t>
      </w:r>
      <w:r>
        <w:rPr>
          <w:spacing w:val="-1"/>
        </w:rPr>
        <w:t>control</w:t>
      </w:r>
      <w:r>
        <w:t xml:space="preserve"> and other risk </w:t>
      </w:r>
      <w:r>
        <w:rPr>
          <w:spacing w:val="-1"/>
        </w:rPr>
        <w:t>allocation</w:t>
      </w:r>
      <w:r>
        <w:t xml:space="preserve"> tools </w:t>
      </w:r>
      <w:r>
        <w:rPr>
          <w:spacing w:val="-1"/>
        </w:rPr>
        <w:t>that</w:t>
      </w:r>
      <w:r>
        <w:rPr>
          <w:spacing w:val="-4"/>
        </w:rPr>
        <w:t xml:space="preserve"> </w:t>
      </w:r>
      <w:r>
        <w:rPr>
          <w:spacing w:val="-1"/>
        </w:rPr>
        <w:t>Australian</w:t>
      </w:r>
      <w:r>
        <w:t xml:space="preserve"> </w:t>
      </w:r>
      <w:r>
        <w:rPr>
          <w:spacing w:val="-1"/>
        </w:rPr>
        <w:t>regulators</w:t>
      </w:r>
      <w:r>
        <w:t xml:space="preserve"> have used</w:t>
      </w:r>
      <w:r>
        <w:rPr>
          <w:spacing w:val="67"/>
        </w:rPr>
        <w:t xml:space="preserve"> </w:t>
      </w:r>
      <w:r>
        <w:t xml:space="preserve">in </w:t>
      </w:r>
      <w:r>
        <w:rPr>
          <w:spacing w:val="-1"/>
        </w:rPr>
        <w:t>recent</w:t>
      </w:r>
      <w:r>
        <w:t xml:space="preserve"> </w:t>
      </w:r>
      <w:r>
        <w:rPr>
          <w:spacing w:val="-1"/>
        </w:rPr>
        <w:t>water</w:t>
      </w:r>
      <w:r>
        <w:t xml:space="preserve"> and </w:t>
      </w:r>
      <w:r>
        <w:rPr>
          <w:spacing w:val="-1"/>
        </w:rPr>
        <w:t>sewerage</w:t>
      </w:r>
      <w:r>
        <w:t xml:space="preserve"> decisions.</w:t>
      </w:r>
    </w:p>
    <w:p w:rsidR="00D96B91" w:rsidRDefault="00C2656B">
      <w:pPr>
        <w:spacing w:before="158"/>
        <w:ind w:left="1417"/>
        <w:rPr>
          <w:rFonts w:ascii="Avenir Next" w:eastAsia="Avenir Next" w:hAnsi="Avenir Next" w:cs="Avenir Next"/>
          <w:sz w:val="20"/>
          <w:szCs w:val="20"/>
        </w:rPr>
      </w:pPr>
      <w:r>
        <w:rPr>
          <w:rFonts w:ascii="Avenir Next"/>
          <w:b/>
          <w:spacing w:val="-4"/>
          <w:sz w:val="20"/>
        </w:rPr>
        <w:t xml:space="preserve">Table </w:t>
      </w:r>
      <w:r>
        <w:rPr>
          <w:rFonts w:ascii="Avenir Next"/>
          <w:b/>
          <w:sz w:val="20"/>
        </w:rPr>
        <w:t>A5.1: Summary of</w:t>
      </w:r>
      <w:r>
        <w:rPr>
          <w:rFonts w:ascii="Avenir Next"/>
          <w:b/>
          <w:spacing w:val="4"/>
          <w:sz w:val="20"/>
        </w:rPr>
        <w:t xml:space="preserve"> </w:t>
      </w:r>
      <w:r>
        <w:rPr>
          <w:rFonts w:ascii="Avenir Next"/>
          <w:b/>
          <w:sz w:val="20"/>
        </w:rPr>
        <w:t xml:space="preserve">tools used in </w:t>
      </w:r>
      <w:r>
        <w:rPr>
          <w:rFonts w:ascii="Avenir Next"/>
          <w:b/>
          <w:spacing w:val="-1"/>
          <w:sz w:val="20"/>
        </w:rPr>
        <w:t>recent</w:t>
      </w:r>
      <w:r>
        <w:rPr>
          <w:rFonts w:ascii="Avenir Next"/>
          <w:b/>
          <w:sz w:val="20"/>
        </w:rPr>
        <w:t xml:space="preserve"> </w:t>
      </w:r>
      <w:r>
        <w:rPr>
          <w:rFonts w:ascii="Avenir Next"/>
          <w:b/>
          <w:spacing w:val="-1"/>
          <w:sz w:val="20"/>
        </w:rPr>
        <w:t>regulatory</w:t>
      </w:r>
      <w:r>
        <w:rPr>
          <w:rFonts w:ascii="Avenir Next"/>
          <w:b/>
          <w:sz w:val="20"/>
        </w:rPr>
        <w:t xml:space="preserve"> decisions</w:t>
      </w:r>
    </w:p>
    <w:p w:rsidR="00D96B91" w:rsidRDefault="00D96B91">
      <w:pPr>
        <w:spacing w:before="9"/>
        <w:rPr>
          <w:rFonts w:ascii="Avenir Next" w:eastAsia="Avenir Next" w:hAnsi="Avenir Next" w:cs="Avenir Next"/>
          <w:b/>
          <w:bCs/>
          <w:sz w:val="4"/>
          <w:szCs w:val="4"/>
        </w:rPr>
      </w:pPr>
    </w:p>
    <w:tbl>
      <w:tblPr>
        <w:tblW w:w="0" w:type="auto"/>
        <w:tblInd w:w="1417" w:type="dxa"/>
        <w:tblLayout w:type="fixed"/>
        <w:tblCellMar>
          <w:left w:w="0" w:type="dxa"/>
          <w:right w:w="0" w:type="dxa"/>
        </w:tblCellMar>
        <w:tblLook w:val="01E0"/>
      </w:tblPr>
      <w:tblGrid>
        <w:gridCol w:w="1483"/>
        <w:gridCol w:w="1488"/>
        <w:gridCol w:w="2013"/>
        <w:gridCol w:w="3501"/>
        <w:gridCol w:w="1644"/>
        <w:gridCol w:w="935"/>
        <w:gridCol w:w="1998"/>
        <w:gridCol w:w="1286"/>
      </w:tblGrid>
      <w:tr w:rsidR="00D96B91">
        <w:trPr>
          <w:trHeight w:hRule="exact" w:val="407"/>
        </w:trPr>
        <w:tc>
          <w:tcPr>
            <w:tcW w:w="1483"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488"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2"/>
              <w:rPr>
                <w:rFonts w:ascii="Avenir Next" w:eastAsia="Avenir Next" w:hAnsi="Avenir Next" w:cs="Avenir Next"/>
                <w:b/>
                <w:bCs/>
                <w:sz w:val="18"/>
                <w:szCs w:val="18"/>
              </w:rPr>
            </w:pPr>
          </w:p>
          <w:p w:rsidR="00D96B91" w:rsidRDefault="00C2656B" w:rsidP="00C2656B">
            <w:pPr>
              <w:pStyle w:val="TableParagraph"/>
              <w:spacing w:line="220" w:lineRule="exact"/>
              <w:ind w:left="108" w:right="-153"/>
              <w:rPr>
                <w:rFonts w:ascii="Avenir Next Condensed" w:eastAsia="Avenir Next Condensed" w:hAnsi="Avenir Next Condensed" w:cs="Avenir Next Condensed"/>
                <w:sz w:val="18"/>
                <w:szCs w:val="18"/>
              </w:rPr>
            </w:pPr>
            <w:r>
              <w:rPr>
                <w:rFonts w:ascii="Avenir Next Condensed"/>
                <w:b/>
                <w:color w:val="FFFFFF"/>
                <w:spacing w:val="-1"/>
                <w:sz w:val="18"/>
              </w:rPr>
              <w:t>Length</w:t>
            </w:r>
            <w:r>
              <w:rPr>
                <w:rFonts w:ascii="Avenir Next Condensed"/>
                <w:b/>
                <w:color w:val="FFFFFF"/>
                <w:sz w:val="18"/>
              </w:rPr>
              <w:t xml:space="preserve"> of</w:t>
            </w:r>
            <w:r>
              <w:rPr>
                <w:rFonts w:ascii="Avenir Next Condensed"/>
                <w:b/>
                <w:color w:val="FFFFFF"/>
                <w:spacing w:val="23"/>
                <w:sz w:val="18"/>
              </w:rPr>
              <w:t xml:space="preserve"> </w:t>
            </w:r>
            <w:r>
              <w:rPr>
                <w:rFonts w:ascii="Avenir Next Condensed"/>
                <w:b/>
                <w:color w:val="FFFFFF"/>
                <w:spacing w:val="-1"/>
                <w:sz w:val="18"/>
              </w:rPr>
              <w:t>regulatory</w:t>
            </w:r>
            <w:r>
              <w:rPr>
                <w:rFonts w:ascii="Avenir Next Condensed"/>
                <w:b/>
                <w:color w:val="FFFFFF"/>
                <w:sz w:val="18"/>
              </w:rPr>
              <w:t xml:space="preserve"> period</w:t>
            </w:r>
          </w:p>
        </w:tc>
        <w:tc>
          <w:tcPr>
            <w:tcW w:w="2013"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2"/>
              <w:rPr>
                <w:rFonts w:ascii="Avenir Next" w:eastAsia="Avenir Next" w:hAnsi="Avenir Next" w:cs="Avenir Next"/>
                <w:b/>
                <w:bCs/>
                <w:sz w:val="18"/>
                <w:szCs w:val="18"/>
              </w:rPr>
            </w:pPr>
          </w:p>
          <w:p w:rsidR="00D96B91" w:rsidRDefault="00C2656B">
            <w:pPr>
              <w:pStyle w:val="TableParagraph"/>
              <w:spacing w:line="220" w:lineRule="exact"/>
              <w:ind w:left="108" w:right="232"/>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unforeseen</w:t>
            </w:r>
            <w:r>
              <w:rPr>
                <w:rFonts w:ascii="Avenir Next Condensed"/>
                <w:b/>
                <w:color w:val="FFFFFF"/>
                <w:spacing w:val="31"/>
                <w:sz w:val="18"/>
              </w:rPr>
              <w:t xml:space="preserve"> </w:t>
            </w:r>
            <w:r>
              <w:rPr>
                <w:rFonts w:ascii="Avenir Next Condensed"/>
                <w:b/>
                <w:color w:val="FFFFFF"/>
                <w:sz w:val="18"/>
              </w:rPr>
              <w:t>events</w:t>
            </w:r>
          </w:p>
        </w:tc>
        <w:tc>
          <w:tcPr>
            <w:tcW w:w="5145"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408"/>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z w:val="18"/>
              </w:rPr>
              <w:t xml:space="preserve">demand </w:t>
            </w:r>
            <w:r>
              <w:rPr>
                <w:rFonts w:ascii="Avenir Next Condensed"/>
                <w:b/>
                <w:color w:val="FFFFFF"/>
                <w:spacing w:val="-1"/>
                <w:sz w:val="18"/>
              </w:rPr>
              <w:t>related</w:t>
            </w:r>
            <w:r>
              <w:rPr>
                <w:rFonts w:ascii="Avenir Next Condensed"/>
                <w:b/>
                <w:color w:val="FFFFFF"/>
                <w:sz w:val="18"/>
              </w:rPr>
              <w:t xml:space="preserve"> </w:t>
            </w:r>
            <w:r>
              <w:rPr>
                <w:rFonts w:ascii="Avenir Next Condensed"/>
                <w:b/>
                <w:color w:val="FFFFFF"/>
                <w:spacing w:val="-1"/>
                <w:sz w:val="18"/>
              </w:rPr>
              <w:t>risks</w:t>
            </w:r>
          </w:p>
        </w:tc>
        <w:tc>
          <w:tcPr>
            <w:tcW w:w="4219"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846"/>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expenditure</w:t>
            </w:r>
            <w:r>
              <w:rPr>
                <w:rFonts w:ascii="Avenir Next Condensed"/>
                <w:b/>
                <w:color w:val="FFFFFF"/>
                <w:sz w:val="18"/>
              </w:rPr>
              <w:t xml:space="preserve"> </w:t>
            </w:r>
            <w:r>
              <w:rPr>
                <w:rFonts w:ascii="Avenir Next Condensed"/>
                <w:b/>
                <w:color w:val="FFFFFF"/>
                <w:spacing w:val="-1"/>
                <w:sz w:val="18"/>
              </w:rPr>
              <w:t>related</w:t>
            </w:r>
            <w:r>
              <w:rPr>
                <w:rFonts w:ascii="Avenir Next Condensed"/>
                <w:b/>
                <w:color w:val="FFFFFF"/>
                <w:sz w:val="18"/>
              </w:rPr>
              <w:t xml:space="preserve"> risk</w:t>
            </w:r>
          </w:p>
        </w:tc>
      </w:tr>
      <w:tr w:rsidR="00D96B91">
        <w:trPr>
          <w:trHeight w:hRule="exact" w:val="847"/>
        </w:trPr>
        <w:tc>
          <w:tcPr>
            <w:tcW w:w="1483" w:type="dxa"/>
            <w:vMerge/>
            <w:tcBorders>
              <w:left w:val="single" w:sz="4" w:space="0" w:color="1A9EDA"/>
              <w:bottom w:val="single" w:sz="4" w:space="0" w:color="1A9EDA"/>
              <w:right w:val="single" w:sz="4" w:space="0" w:color="1A9EDA"/>
            </w:tcBorders>
            <w:shd w:val="clear" w:color="auto" w:fill="0778BE"/>
          </w:tcPr>
          <w:p w:rsidR="00D96B91" w:rsidRDefault="00D96B91"/>
        </w:tc>
        <w:tc>
          <w:tcPr>
            <w:tcW w:w="1488" w:type="dxa"/>
            <w:vMerge/>
            <w:tcBorders>
              <w:left w:val="single" w:sz="4" w:space="0" w:color="1A9EDA"/>
              <w:bottom w:val="single" w:sz="4" w:space="0" w:color="1A9EDA"/>
              <w:right w:val="single" w:sz="4" w:space="0" w:color="1A9EDA"/>
            </w:tcBorders>
            <w:shd w:val="clear" w:color="auto" w:fill="0778BE"/>
          </w:tcPr>
          <w:p w:rsidR="00D96B91" w:rsidRDefault="00D96B91"/>
        </w:tc>
        <w:tc>
          <w:tcPr>
            <w:tcW w:w="2013" w:type="dxa"/>
            <w:vMerge/>
            <w:tcBorders>
              <w:left w:val="single" w:sz="4" w:space="0" w:color="1A9EDA"/>
              <w:bottom w:val="single" w:sz="4" w:space="0" w:color="1A9EDA"/>
              <w:right w:val="single" w:sz="4" w:space="0" w:color="1A9EDA"/>
            </w:tcBorders>
            <w:shd w:val="clear" w:color="auto" w:fill="0778BE"/>
          </w:tcPr>
          <w:p w:rsidR="00D96B91" w:rsidRDefault="00D96B91"/>
        </w:tc>
        <w:tc>
          <w:tcPr>
            <w:tcW w:w="35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2"/>
              <w:rPr>
                <w:rFonts w:ascii="Avenir Next" w:eastAsia="Avenir Next" w:hAnsi="Avenir Next" w:cs="Avenir Next"/>
                <w:b/>
                <w:bCs/>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2"/>
                <w:sz w:val="18"/>
              </w:rPr>
              <w:t>Form</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Control</w:t>
            </w:r>
          </w:p>
        </w:tc>
        <w:tc>
          <w:tcPr>
            <w:tcW w:w="164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Avenir Next" w:eastAsia="Avenir Next" w:hAnsi="Avenir Next" w:cs="Avenir Next"/>
                <w:b/>
                <w:bCs/>
                <w:sz w:val="18"/>
                <w:szCs w:val="18"/>
              </w:rPr>
            </w:pPr>
          </w:p>
          <w:p w:rsidR="00D96B91" w:rsidRDefault="00D96B91">
            <w:pPr>
              <w:pStyle w:val="TableParagraph"/>
              <w:spacing w:before="2"/>
              <w:rPr>
                <w:rFonts w:ascii="Avenir Next" w:eastAsia="Avenir Next" w:hAnsi="Avenir Next" w:cs="Avenir Next"/>
                <w:b/>
                <w:bCs/>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z w:val="18"/>
              </w:rPr>
              <w:t>Other</w:t>
            </w:r>
            <w:r>
              <w:rPr>
                <w:rFonts w:ascii="Avenir Next Condensed"/>
                <w:b/>
                <w:color w:val="FFFFFF"/>
                <w:spacing w:val="-5"/>
                <w:sz w:val="18"/>
              </w:rPr>
              <w:t xml:space="preserve"> </w:t>
            </w:r>
            <w:r>
              <w:rPr>
                <w:rFonts w:ascii="Avenir Next Condensed"/>
                <w:b/>
                <w:color w:val="FFFFFF"/>
                <w:spacing w:val="-2"/>
                <w:sz w:val="18"/>
              </w:rPr>
              <w:t>Tools</w:t>
            </w:r>
          </w:p>
        </w:tc>
        <w:tc>
          <w:tcPr>
            <w:tcW w:w="93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b/>
                <w:color w:val="FFFFFF"/>
                <w:sz w:val="18"/>
              </w:rPr>
              <w:t>CPI</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b/>
                <w:color w:val="FFFFFF"/>
                <w:sz w:val="18"/>
              </w:rPr>
              <w:t>escalation</w:t>
            </w:r>
          </w:p>
        </w:tc>
        <w:tc>
          <w:tcPr>
            <w:tcW w:w="19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5"/>
              <w:rPr>
                <w:rFonts w:ascii="Avenir Next" w:eastAsia="Avenir Next" w:hAnsi="Avenir Next" w:cs="Avenir Next"/>
                <w:b/>
                <w:bCs/>
                <w:sz w:val="24"/>
                <w:szCs w:val="24"/>
              </w:rPr>
            </w:pPr>
          </w:p>
          <w:p w:rsidR="00D96B91" w:rsidRDefault="00C2656B" w:rsidP="00C2656B">
            <w:pPr>
              <w:pStyle w:val="TableParagraph"/>
              <w:spacing w:line="220" w:lineRule="exact"/>
              <w:ind w:left="108" w:right="-127"/>
              <w:rPr>
                <w:rFonts w:ascii="Avenir Next Condensed" w:eastAsia="Avenir Next Condensed" w:hAnsi="Avenir Next Condensed" w:cs="Avenir Next Condensed"/>
                <w:sz w:val="18"/>
                <w:szCs w:val="18"/>
              </w:rPr>
            </w:pPr>
            <w:r>
              <w:rPr>
                <w:rFonts w:ascii="Avenir Next Condensed"/>
                <w:b/>
                <w:color w:val="FFFFFF"/>
                <w:spacing w:val="-1"/>
                <w:sz w:val="18"/>
              </w:rPr>
              <w:t>Cost</w:t>
            </w:r>
            <w:r>
              <w:rPr>
                <w:rFonts w:ascii="Avenir Next Condensed"/>
                <w:b/>
                <w:color w:val="FFFFFF"/>
                <w:sz w:val="18"/>
              </w:rPr>
              <w:t xml:space="preserve"> </w:t>
            </w:r>
            <w:r>
              <w:rPr>
                <w:rFonts w:ascii="Avenir Next Condensed"/>
                <w:b/>
                <w:color w:val="FFFFFF"/>
                <w:spacing w:val="-1"/>
                <w:sz w:val="18"/>
              </w:rPr>
              <w:t>pass-through</w:t>
            </w:r>
            <w:r>
              <w:rPr>
                <w:rFonts w:ascii="Avenir Next Condensed"/>
                <w:b/>
                <w:color w:val="FFFFFF"/>
                <w:spacing w:val="30"/>
                <w:sz w:val="18"/>
              </w:rPr>
              <w:t xml:space="preserve"> </w:t>
            </w:r>
            <w:r>
              <w:rPr>
                <w:rFonts w:ascii="Avenir Next Condensed"/>
                <w:b/>
                <w:color w:val="FFFFFF"/>
                <w:sz w:val="18"/>
              </w:rPr>
              <w:t>mechanism</w:t>
            </w:r>
          </w:p>
        </w:tc>
        <w:tc>
          <w:tcPr>
            <w:tcW w:w="12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b/>
                <w:color w:val="FFFFFF"/>
                <w:spacing w:val="-2"/>
                <w:sz w:val="18"/>
              </w:rPr>
              <w:t>Capex</w:t>
            </w:r>
          </w:p>
          <w:p w:rsidR="00D96B91" w:rsidRDefault="00C2656B" w:rsidP="00C2656B">
            <w:pPr>
              <w:pStyle w:val="TableParagraph"/>
              <w:spacing w:before="6" w:line="214" w:lineRule="auto"/>
              <w:ind w:left="108"/>
              <w:rPr>
                <w:rFonts w:ascii="Avenir Next Condensed" w:eastAsia="Avenir Next Condensed" w:hAnsi="Avenir Next Condensed" w:cs="Avenir Next Condensed"/>
                <w:sz w:val="18"/>
                <w:szCs w:val="18"/>
              </w:rPr>
            </w:pPr>
            <w:r>
              <w:rPr>
                <w:rFonts w:ascii="Avenir Next Condensed"/>
                <w:b/>
                <w:color w:val="FFFFFF"/>
                <w:spacing w:val="-1"/>
                <w:sz w:val="18"/>
              </w:rPr>
              <w:t>re-opener</w:t>
            </w:r>
            <w:r>
              <w:rPr>
                <w:rFonts w:ascii="Avenir Next Condensed"/>
                <w:b/>
                <w:color w:val="FFFFFF"/>
                <w:spacing w:val="27"/>
                <w:sz w:val="18"/>
              </w:rPr>
              <w:t xml:space="preserve"> </w:t>
            </w:r>
            <w:r>
              <w:rPr>
                <w:rFonts w:ascii="Avenir Next Condensed"/>
                <w:b/>
                <w:color w:val="FFFFFF"/>
                <w:spacing w:val="-1"/>
                <w:sz w:val="18"/>
              </w:rPr>
              <w:t>provision</w:t>
            </w:r>
          </w:p>
        </w:tc>
      </w:tr>
      <w:tr w:rsidR="00D96B91" w:rsidTr="00C2656B">
        <w:trPr>
          <w:trHeight w:hRule="exact" w:val="2787"/>
        </w:trPr>
        <w:tc>
          <w:tcPr>
            <w:tcW w:w="148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sz w:val="18"/>
              </w:rPr>
              <w:t>ESC</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sz w:val="18"/>
              </w:rPr>
              <w:t>2013</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Review</w:t>
            </w:r>
          </w:p>
          <w:p w:rsidR="00D96B91" w:rsidRDefault="00C2656B">
            <w:pPr>
              <w:pStyle w:val="TableParagraph"/>
              <w:spacing w:before="91" w:line="220" w:lineRule="exact"/>
              <w:ind w:left="108" w:right="220"/>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27"/>
                <w:sz w:val="18"/>
              </w:rPr>
              <w:t xml:space="preserve"> </w:t>
            </w:r>
            <w:r>
              <w:rPr>
                <w:rFonts w:ascii="Avenir Next Condensed"/>
                <w:sz w:val="18"/>
              </w:rPr>
              <w:t xml:space="preserve">and </w:t>
            </w:r>
            <w:r>
              <w:rPr>
                <w:rFonts w:ascii="Avenir Next Condensed"/>
                <w:spacing w:val="-1"/>
                <w:sz w:val="18"/>
              </w:rPr>
              <w:t>Metropolitan</w:t>
            </w:r>
            <w:r>
              <w:rPr>
                <w:rFonts w:ascii="Avenir Next Condensed"/>
                <w:spacing w:val="20"/>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48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44"/>
              <w:rPr>
                <w:rFonts w:ascii="Avenir Next Condensed" w:eastAsia="Avenir Next Condensed" w:hAnsi="Avenir Next Condensed" w:cs="Avenir Next Condensed"/>
                <w:sz w:val="18"/>
                <w:szCs w:val="18"/>
              </w:rPr>
            </w:pPr>
            <w:r>
              <w:rPr>
                <w:rFonts w:ascii="Avenir Next Condensed"/>
                <w:spacing w:val="-1"/>
                <w:sz w:val="18"/>
              </w:rPr>
              <w:t>Metropolitan:</w:t>
            </w:r>
            <w:r>
              <w:rPr>
                <w:rFonts w:ascii="Avenir Next Condensed"/>
                <w:sz w:val="18"/>
              </w:rPr>
              <w:t xml:space="preserve"> 3</w:t>
            </w:r>
            <w:r>
              <w:rPr>
                <w:rFonts w:ascii="Avenir Next Condensed"/>
                <w:spacing w:val="22"/>
                <w:sz w:val="18"/>
              </w:rPr>
              <w:t xml:space="preserve"> </w:t>
            </w:r>
            <w:r>
              <w:rPr>
                <w:rFonts w:ascii="Avenir Next Condensed"/>
                <w:spacing w:val="-1"/>
                <w:sz w:val="18"/>
              </w:rPr>
              <w:t>years</w:t>
            </w:r>
            <w:r>
              <w:rPr>
                <w:rFonts w:ascii="Avenir Next Condensed"/>
                <w:sz w:val="18"/>
              </w:rPr>
              <w:t xml:space="preserve"> Melbourne</w:t>
            </w:r>
            <w:r>
              <w:rPr>
                <w:rFonts w:ascii="Avenir Next Condensed"/>
                <w:spacing w:val="23"/>
                <w:sz w:val="18"/>
              </w:rPr>
              <w:t xml:space="preserve"> </w:t>
            </w:r>
            <w:r>
              <w:rPr>
                <w:rFonts w:ascii="Avenir Next Condensed"/>
                <w:spacing w:val="-1"/>
                <w:sz w:val="18"/>
              </w:rPr>
              <w:t>Water</w:t>
            </w:r>
            <w:r>
              <w:rPr>
                <w:rFonts w:ascii="Avenir Next Condensed"/>
                <w:sz w:val="18"/>
              </w:rPr>
              <w:t xml:space="preserve"> and 5 </w:t>
            </w:r>
            <w:r>
              <w:rPr>
                <w:rFonts w:ascii="Avenir Next Condensed"/>
                <w:spacing w:val="-1"/>
                <w:sz w:val="18"/>
              </w:rPr>
              <w:t>years</w:t>
            </w:r>
            <w:r>
              <w:rPr>
                <w:rFonts w:ascii="Avenir Next Condensed"/>
                <w:spacing w:val="25"/>
                <w:sz w:val="18"/>
              </w:rPr>
              <w:t xml:space="preserve"> </w:t>
            </w:r>
            <w:r>
              <w:rPr>
                <w:rFonts w:ascii="Avenir Next Condensed"/>
                <w:sz w:val="18"/>
              </w:rPr>
              <w:t>for others</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5 </w:t>
            </w:r>
            <w:r>
              <w:rPr>
                <w:rFonts w:ascii="Avenir Next Condensed"/>
                <w:spacing w:val="-1"/>
                <w:sz w:val="18"/>
              </w:rPr>
              <w:t>years</w:t>
            </w:r>
          </w:p>
        </w:tc>
        <w:tc>
          <w:tcPr>
            <w:tcW w:w="201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59"/>
              <w:rPr>
                <w:rFonts w:ascii="Avenir Next Condensed" w:eastAsia="Avenir Next Condensed" w:hAnsi="Avenir Next Condensed" w:cs="Avenir Next Condensed"/>
                <w:sz w:val="18"/>
                <w:szCs w:val="18"/>
              </w:rPr>
            </w:pPr>
            <w:r>
              <w:rPr>
                <w:rFonts w:ascii="Avenir Next Condensed"/>
                <w:sz w:val="18"/>
              </w:rPr>
              <w:t xml:space="preserve">Uncertain and </w:t>
            </w:r>
            <w:r>
              <w:rPr>
                <w:rFonts w:ascii="Avenir Next Condensed"/>
                <w:spacing w:val="-1"/>
                <w:sz w:val="18"/>
              </w:rPr>
              <w:t>unforeseen</w:t>
            </w:r>
            <w:r>
              <w:rPr>
                <w:rFonts w:ascii="Avenir Next Condensed"/>
                <w:spacing w:val="28"/>
                <w:sz w:val="18"/>
              </w:rPr>
              <w:t xml:space="preserve"> </w:t>
            </w:r>
            <w:r>
              <w:rPr>
                <w:rFonts w:ascii="Avenir Next Condensed"/>
                <w:sz w:val="18"/>
              </w:rPr>
              <w:t>events mechanism.</w:t>
            </w:r>
          </w:p>
          <w:p w:rsidR="00D96B91" w:rsidRDefault="00C2656B">
            <w:pPr>
              <w:pStyle w:val="TableParagraph"/>
              <w:spacing w:before="113" w:line="220" w:lineRule="exact"/>
              <w:ind w:left="108" w:right="426"/>
              <w:jc w:val="both"/>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mechanism allows</w:t>
            </w:r>
            <w:r>
              <w:rPr>
                <w:rFonts w:ascii="Avenir Next Condensed"/>
                <w:spacing w:val="22"/>
                <w:sz w:val="18"/>
              </w:rPr>
              <w:t xml:space="preserve"> </w:t>
            </w:r>
            <w:r>
              <w:rPr>
                <w:rFonts w:ascii="Avenir Next Condensed"/>
                <w:sz w:val="18"/>
              </w:rPr>
              <w:t xml:space="preserve">the ESC to </w:t>
            </w:r>
            <w:r>
              <w:rPr>
                <w:rFonts w:ascii="Avenir Next Condensed"/>
                <w:spacing w:val="-1"/>
                <w:sz w:val="18"/>
              </w:rPr>
              <w:t>re-open</w:t>
            </w:r>
            <w:r>
              <w:rPr>
                <w:rFonts w:ascii="Avenir Next Condensed"/>
                <w:sz w:val="18"/>
              </w:rPr>
              <w:t xml:space="preserve"> the</w:t>
            </w:r>
            <w:r>
              <w:rPr>
                <w:rFonts w:ascii="Avenir Next Condensed"/>
                <w:spacing w:val="25"/>
                <w:sz w:val="18"/>
              </w:rPr>
              <w:t xml:space="preserve"> </w:t>
            </w:r>
            <w:r>
              <w:rPr>
                <w:rFonts w:ascii="Avenir Next Condensed"/>
                <w:sz w:val="18"/>
              </w:rPr>
              <w:t>price determinations to</w:t>
            </w:r>
          </w:p>
          <w:p w:rsidR="00D96B91" w:rsidRDefault="00C2656B">
            <w:pPr>
              <w:pStyle w:val="TableParagraph"/>
              <w:spacing w:line="220" w:lineRule="exact"/>
              <w:ind w:left="108" w:right="139"/>
              <w:rPr>
                <w:rFonts w:ascii="Avenir Next Condensed" w:eastAsia="Avenir Next Condensed" w:hAnsi="Avenir Next Condensed" w:cs="Avenir Next Condensed"/>
                <w:sz w:val="18"/>
                <w:szCs w:val="18"/>
              </w:rPr>
            </w:pPr>
            <w:r>
              <w:rPr>
                <w:rFonts w:ascii="Avenir Next Condensed"/>
                <w:sz w:val="18"/>
              </w:rPr>
              <w:t xml:space="preserve">account for events that </w:t>
            </w:r>
            <w:r>
              <w:rPr>
                <w:rFonts w:ascii="Avenir Next Condensed"/>
                <w:spacing w:val="-1"/>
                <w:sz w:val="18"/>
              </w:rPr>
              <w:t>were</w:t>
            </w:r>
            <w:r>
              <w:rPr>
                <w:rFonts w:ascii="Avenir Next Condensed"/>
                <w:spacing w:val="22"/>
                <w:sz w:val="18"/>
              </w:rPr>
              <w:t xml:space="preserve"> </w:t>
            </w:r>
            <w:r>
              <w:rPr>
                <w:rFonts w:ascii="Avenir Next Condensed"/>
                <w:sz w:val="18"/>
              </w:rPr>
              <w:t xml:space="preserve">uncertain or </w:t>
            </w:r>
            <w:r>
              <w:rPr>
                <w:rFonts w:ascii="Avenir Next Condensed"/>
                <w:spacing w:val="-1"/>
                <w:sz w:val="18"/>
              </w:rPr>
              <w:t>unforeseen</w:t>
            </w:r>
            <w:r>
              <w:rPr>
                <w:rFonts w:ascii="Avenir Next Condensed"/>
                <w:sz w:val="18"/>
              </w:rPr>
              <w:t xml:space="preserve"> at</w:t>
            </w:r>
            <w:r>
              <w:rPr>
                <w:rFonts w:ascii="Avenir Next Condensed"/>
                <w:spacing w:val="28"/>
                <w:sz w:val="18"/>
              </w:rPr>
              <w:t xml:space="preserve"> </w:t>
            </w:r>
            <w:r>
              <w:rPr>
                <w:rFonts w:ascii="Avenir Next Condensed"/>
                <w:sz w:val="18"/>
              </w:rPr>
              <w:t>the time of</w:t>
            </w:r>
            <w:r>
              <w:rPr>
                <w:rFonts w:ascii="Avenir Next Condensed"/>
                <w:spacing w:val="4"/>
                <w:sz w:val="18"/>
              </w:rPr>
              <w:t xml:space="preserve"> </w:t>
            </w:r>
            <w:r>
              <w:rPr>
                <w:rFonts w:ascii="Avenir Next Condensed"/>
                <w:sz w:val="18"/>
              </w:rPr>
              <w:t xml:space="preserve">the price </w:t>
            </w:r>
            <w:r>
              <w:rPr>
                <w:rFonts w:ascii="Avenir Next Condensed"/>
                <w:spacing w:val="-2"/>
                <w:sz w:val="18"/>
              </w:rPr>
              <w:t>review.</w:t>
            </w:r>
          </w:p>
        </w:tc>
        <w:tc>
          <w:tcPr>
            <w:tcW w:w="35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96"/>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Industry </w:t>
            </w:r>
            <w:r>
              <w:rPr>
                <w:rFonts w:ascii="Avenir Next Condensed"/>
                <w:spacing w:val="-1"/>
                <w:sz w:val="18"/>
              </w:rPr>
              <w:t>Regulatory</w:t>
            </w:r>
            <w:r>
              <w:rPr>
                <w:rFonts w:ascii="Avenir Next Condensed"/>
                <w:sz w:val="18"/>
              </w:rPr>
              <w:t xml:space="preserve"> </w:t>
            </w:r>
            <w:r>
              <w:rPr>
                <w:rFonts w:ascii="Avenir Next Condensed"/>
                <w:spacing w:val="-1"/>
                <w:sz w:val="18"/>
              </w:rPr>
              <w:t>Order</w:t>
            </w:r>
            <w:r>
              <w:rPr>
                <w:rFonts w:ascii="Avenir Next Condensed"/>
                <w:sz w:val="18"/>
              </w:rPr>
              <w:t xml:space="preserve"> allows </w:t>
            </w:r>
            <w:r>
              <w:rPr>
                <w:rFonts w:ascii="Avenir Next Condensed"/>
                <w:spacing w:val="-1"/>
                <w:sz w:val="18"/>
              </w:rPr>
              <w:t>businesses</w:t>
            </w:r>
            <w:r>
              <w:rPr>
                <w:rFonts w:ascii="Avenir Next Condensed"/>
                <w:spacing w:val="43"/>
                <w:sz w:val="18"/>
              </w:rPr>
              <w:t xml:space="preserve"> </w:t>
            </w:r>
            <w:r>
              <w:rPr>
                <w:rFonts w:ascii="Avenir Next Condensed"/>
                <w:sz w:val="18"/>
              </w:rPr>
              <w:t xml:space="preserve">to </w:t>
            </w:r>
            <w:r>
              <w:rPr>
                <w:rFonts w:ascii="Avenir Next Condensed"/>
                <w:spacing w:val="-1"/>
                <w:sz w:val="18"/>
              </w:rPr>
              <w:t>propose</w:t>
            </w:r>
            <w:r>
              <w:rPr>
                <w:rFonts w:ascii="Avenir Next Condensed"/>
                <w:sz w:val="18"/>
              </w:rPr>
              <w:t xml:space="preserve"> the form of</w:t>
            </w:r>
            <w:r>
              <w:rPr>
                <w:rFonts w:ascii="Avenir Next Condensed"/>
                <w:spacing w:val="4"/>
                <w:sz w:val="18"/>
              </w:rPr>
              <w:t xml:space="preserve"> </w:t>
            </w:r>
            <w:r>
              <w:rPr>
                <w:rFonts w:ascii="Avenir Next Condensed"/>
                <w:spacing w:val="-1"/>
                <w:sz w:val="18"/>
              </w:rPr>
              <w:t>control.</w:t>
            </w:r>
          </w:p>
          <w:p w:rsidR="00D96B91" w:rsidRDefault="00C2656B">
            <w:pPr>
              <w:pStyle w:val="TableParagraph"/>
              <w:spacing w:before="113" w:line="220" w:lineRule="exact"/>
              <w:ind w:left="108" w:right="345"/>
              <w:jc w:val="both"/>
              <w:rPr>
                <w:rFonts w:ascii="Avenir Next Condensed" w:eastAsia="Avenir Next Condensed" w:hAnsi="Avenir Next Condensed" w:cs="Avenir Next Condensed"/>
                <w:sz w:val="18"/>
                <w:szCs w:val="18"/>
              </w:rPr>
            </w:pPr>
            <w:r>
              <w:rPr>
                <w:rFonts w:ascii="Avenir Next Condensed"/>
                <w:spacing w:val="-1"/>
                <w:sz w:val="18"/>
              </w:rPr>
              <w:t>Metropolitan</w:t>
            </w:r>
            <w:r>
              <w:rPr>
                <w:rFonts w:ascii="Avenir Next Condensed"/>
                <w:sz w:val="18"/>
              </w:rPr>
              <w:t xml:space="preserve"> </w:t>
            </w:r>
            <w:r>
              <w:rPr>
                <w:rFonts w:ascii="Avenir Next Condensed"/>
                <w:spacing w:val="-1"/>
                <w:sz w:val="18"/>
              </w:rPr>
              <w:t>businesses:</w:t>
            </w:r>
            <w:r>
              <w:rPr>
                <w:rFonts w:ascii="Avenir Next Condensed"/>
                <w:sz w:val="18"/>
              </w:rPr>
              <w:t xml:space="preserve"> mix of</w:t>
            </w:r>
            <w:r>
              <w:rPr>
                <w:rFonts w:ascii="Avenir Next Condensed"/>
                <w:spacing w:val="4"/>
                <w:sz w:val="18"/>
              </w:rPr>
              <w:t xml:space="preserve"> </w:t>
            </w:r>
            <w:r>
              <w:rPr>
                <w:rFonts w:ascii="Avenir Next Condensed"/>
                <w:sz w:val="18"/>
              </w:rPr>
              <w:t>price (weighted</w:t>
            </w:r>
            <w:r>
              <w:rPr>
                <w:rFonts w:ascii="Avenir Next Condensed"/>
                <w:spacing w:val="39"/>
                <w:sz w:val="18"/>
              </w:rPr>
              <w:t xml:space="preserve"> </w:t>
            </w:r>
            <w:r>
              <w:rPr>
                <w:rFonts w:ascii="Avenir Next Condensed"/>
                <w:spacing w:val="-1"/>
                <w:sz w:val="18"/>
              </w:rPr>
              <w:t>average</w:t>
            </w:r>
            <w:r>
              <w:rPr>
                <w:rFonts w:ascii="Avenir Next Condensed"/>
                <w:sz w:val="18"/>
              </w:rPr>
              <w:t xml:space="preserve"> price cap and individual price caps) and</w:t>
            </w:r>
            <w:r>
              <w:rPr>
                <w:rFonts w:ascii="Avenir Next Condensed"/>
                <w:spacing w:val="25"/>
                <w:sz w:val="18"/>
              </w:rPr>
              <w:t xml:space="preserve"> </w:t>
            </w:r>
            <w:r>
              <w:rPr>
                <w:rFonts w:ascii="Avenir Next Condensed"/>
                <w:spacing w:val="-1"/>
                <w:sz w:val="18"/>
              </w:rPr>
              <w:t>revenue</w:t>
            </w:r>
            <w:r>
              <w:rPr>
                <w:rFonts w:ascii="Avenir Next Condensed"/>
                <w:sz w:val="18"/>
              </w:rPr>
              <w:t xml:space="preserve"> caps adopted.</w:t>
            </w:r>
            <w:r>
              <w:rPr>
                <w:rFonts w:ascii="Avenir Next Condensed"/>
                <w:spacing w:val="-6"/>
                <w:sz w:val="18"/>
              </w:rPr>
              <w:t xml:space="preserve"> </w:t>
            </w:r>
            <w:r>
              <w:rPr>
                <w:rFonts w:ascii="Avenir Next Condensed"/>
                <w:sz w:val="18"/>
              </w:rPr>
              <w:t xml:space="preserve">In some cases </w:t>
            </w:r>
            <w:r>
              <w:rPr>
                <w:rFonts w:ascii="Avenir Next Condensed"/>
                <w:spacing w:val="-1"/>
                <w:sz w:val="18"/>
              </w:rPr>
              <w:t>constraints</w:t>
            </w:r>
            <w:r>
              <w:rPr>
                <w:rFonts w:ascii="Avenir Next Condensed"/>
                <w:spacing w:val="29"/>
                <w:sz w:val="18"/>
              </w:rPr>
              <w:t xml:space="preserve"> </w:t>
            </w:r>
            <w:r>
              <w:rPr>
                <w:rFonts w:ascii="Avenir Next Condensed"/>
                <w:sz w:val="18"/>
              </w:rPr>
              <w:t>have been imposed on the level of</w:t>
            </w:r>
            <w:r>
              <w:rPr>
                <w:rFonts w:ascii="Avenir Next Condensed"/>
                <w:spacing w:val="4"/>
                <w:sz w:val="18"/>
              </w:rPr>
              <w:t xml:space="preserve"> </w:t>
            </w:r>
            <w:r>
              <w:rPr>
                <w:rFonts w:ascii="Avenir Next Condensed"/>
                <w:sz w:val="18"/>
              </w:rPr>
              <w:t xml:space="preserve">price change that can </w:t>
            </w:r>
            <w:r>
              <w:rPr>
                <w:rFonts w:ascii="Avenir Next Condensed"/>
                <w:spacing w:val="-1"/>
                <w:sz w:val="18"/>
              </w:rPr>
              <w:t>occur.</w:t>
            </w:r>
          </w:p>
          <w:p w:rsidR="00D96B91" w:rsidRDefault="00C2656B">
            <w:pPr>
              <w:pStyle w:val="TableParagraph"/>
              <w:spacing w:before="113" w:line="220" w:lineRule="exact"/>
              <w:ind w:left="108" w:right="204"/>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w:t>
            </w:r>
            <w:r>
              <w:rPr>
                <w:rFonts w:ascii="Avenir Next Condensed"/>
                <w:spacing w:val="-1"/>
                <w:sz w:val="18"/>
              </w:rPr>
              <w:t>businesses:</w:t>
            </w:r>
            <w:r>
              <w:rPr>
                <w:rFonts w:ascii="Avenir Next Condensed"/>
                <w:sz w:val="18"/>
              </w:rPr>
              <w:t xml:space="preserve"> mix of</w:t>
            </w:r>
            <w:r>
              <w:rPr>
                <w:rFonts w:ascii="Avenir Next Condensed"/>
                <w:spacing w:val="4"/>
                <w:sz w:val="18"/>
              </w:rPr>
              <w:t xml:space="preserve"> </w:t>
            </w:r>
            <w:r>
              <w:rPr>
                <w:rFonts w:ascii="Avenir Next Condensed"/>
                <w:sz w:val="18"/>
              </w:rPr>
              <w:t xml:space="preserve">price and </w:t>
            </w:r>
            <w:r>
              <w:rPr>
                <w:rFonts w:ascii="Avenir Next Condensed"/>
                <w:spacing w:val="-1"/>
                <w:sz w:val="18"/>
              </w:rPr>
              <w:t>revenue</w:t>
            </w:r>
            <w:r>
              <w:rPr>
                <w:rFonts w:ascii="Avenir Next Condensed"/>
                <w:spacing w:val="41"/>
                <w:sz w:val="18"/>
              </w:rPr>
              <w:t xml:space="preserve"> </w:t>
            </w:r>
            <w:r>
              <w:rPr>
                <w:rFonts w:ascii="Avenir Next Condensed"/>
                <w:sz w:val="18"/>
              </w:rPr>
              <w:t>caps adopted.</w:t>
            </w:r>
            <w:r>
              <w:rPr>
                <w:rFonts w:ascii="Avenir Next Condensed"/>
                <w:spacing w:val="-6"/>
                <w:sz w:val="18"/>
              </w:rPr>
              <w:t xml:space="preserve"> </w:t>
            </w:r>
            <w:r>
              <w:rPr>
                <w:rFonts w:ascii="Avenir Next Condensed"/>
                <w:sz w:val="18"/>
              </w:rPr>
              <w:t xml:space="preserve">In some cases </w:t>
            </w:r>
            <w:r>
              <w:rPr>
                <w:rFonts w:ascii="Avenir Next Condensed"/>
                <w:spacing w:val="-1"/>
                <w:sz w:val="18"/>
              </w:rPr>
              <w:t>constraints</w:t>
            </w:r>
            <w:r>
              <w:rPr>
                <w:rFonts w:ascii="Avenir Next Condensed"/>
                <w:sz w:val="18"/>
              </w:rPr>
              <w:t xml:space="preserve"> have been</w:t>
            </w:r>
          </w:p>
          <w:p w:rsidR="00D96B91" w:rsidRDefault="00C2656B">
            <w:pPr>
              <w:pStyle w:val="TableParagraph"/>
              <w:spacing w:line="242" w:lineRule="exact"/>
              <w:ind w:left="108"/>
              <w:jc w:val="both"/>
              <w:rPr>
                <w:rFonts w:ascii="Avenir Next Condensed" w:eastAsia="Avenir Next Condensed" w:hAnsi="Avenir Next Condensed" w:cs="Avenir Next Condensed"/>
                <w:sz w:val="18"/>
                <w:szCs w:val="18"/>
              </w:rPr>
            </w:pPr>
            <w:r>
              <w:rPr>
                <w:rFonts w:ascii="Avenir Next Condensed"/>
                <w:sz w:val="18"/>
              </w:rPr>
              <w:t>imposed on the level of</w:t>
            </w:r>
            <w:r>
              <w:rPr>
                <w:rFonts w:ascii="Avenir Next Condensed"/>
                <w:spacing w:val="4"/>
                <w:sz w:val="18"/>
              </w:rPr>
              <w:t xml:space="preserve"> </w:t>
            </w:r>
            <w:r>
              <w:rPr>
                <w:rFonts w:ascii="Avenir Next Condensed"/>
                <w:sz w:val="18"/>
              </w:rPr>
              <w:t xml:space="preserve">price change that can </w:t>
            </w:r>
            <w:r>
              <w:rPr>
                <w:rFonts w:ascii="Avenir Next Condensed"/>
                <w:spacing w:val="-1"/>
                <w:sz w:val="18"/>
              </w:rPr>
              <w:t>occur.</w:t>
            </w:r>
          </w:p>
        </w:tc>
        <w:tc>
          <w:tcPr>
            <w:tcW w:w="164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15"/>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uncertain and</w:t>
            </w:r>
            <w:r>
              <w:rPr>
                <w:rFonts w:ascii="Avenir Next Condensed"/>
                <w:spacing w:val="21"/>
                <w:sz w:val="18"/>
              </w:rPr>
              <w:t xml:space="preserve"> </w:t>
            </w:r>
            <w:r>
              <w:rPr>
                <w:rFonts w:ascii="Avenir Next Condensed"/>
                <w:spacing w:val="-1"/>
                <w:sz w:val="18"/>
              </w:rPr>
              <w:t>unforeseen</w:t>
            </w:r>
            <w:r>
              <w:rPr>
                <w:rFonts w:ascii="Avenir Next Condensed"/>
                <w:sz w:val="18"/>
              </w:rPr>
              <w:t xml:space="preserve"> events</w:t>
            </w:r>
            <w:r>
              <w:rPr>
                <w:rFonts w:ascii="Avenir Next Condensed"/>
                <w:spacing w:val="28"/>
                <w:sz w:val="18"/>
              </w:rPr>
              <w:t xml:space="preserve"> </w:t>
            </w:r>
            <w:r>
              <w:rPr>
                <w:rFonts w:ascii="Avenir Next Condensed"/>
                <w:sz w:val="18"/>
              </w:rPr>
              <w:t xml:space="preserve">mechanism </w:t>
            </w:r>
            <w:r>
              <w:rPr>
                <w:rFonts w:ascii="Avenir Next Condensed"/>
                <w:spacing w:val="-1"/>
                <w:sz w:val="18"/>
              </w:rPr>
              <w:t>provides</w:t>
            </w:r>
            <w:r>
              <w:rPr>
                <w:rFonts w:ascii="Avenir Next Condensed"/>
                <w:spacing w:val="26"/>
                <w:sz w:val="18"/>
              </w:rPr>
              <w:t xml:space="preserve"> </w:t>
            </w:r>
            <w:r>
              <w:rPr>
                <w:rFonts w:ascii="Avenir Next Condensed"/>
                <w:sz w:val="18"/>
              </w:rPr>
              <w:t xml:space="preserve">for </w:t>
            </w:r>
            <w:r>
              <w:rPr>
                <w:rFonts w:ascii="Avenir Next Condensed"/>
                <w:spacing w:val="-1"/>
                <w:sz w:val="18"/>
              </w:rPr>
              <w:t>re-opening</w:t>
            </w:r>
            <w:r>
              <w:rPr>
                <w:rFonts w:ascii="Avenir Next Condensed"/>
                <w:sz w:val="18"/>
              </w:rPr>
              <w:t xml:space="preserve"> if</w:t>
            </w:r>
            <w:r>
              <w:rPr>
                <w:rFonts w:ascii="Avenir Next Condensed"/>
                <w:spacing w:val="28"/>
                <w:sz w:val="18"/>
              </w:rPr>
              <w:t xml:space="preserve"> </w:t>
            </w:r>
            <w:r>
              <w:rPr>
                <w:rFonts w:ascii="Avenir Next Condensed"/>
                <w:spacing w:val="-1"/>
                <w:sz w:val="18"/>
              </w:rPr>
              <w:t>there</w:t>
            </w:r>
            <w:r>
              <w:rPr>
                <w:rFonts w:ascii="Avenir Next Condensed"/>
                <w:sz w:val="18"/>
              </w:rPr>
              <w:t xml:space="preserve"> is a material</w:t>
            </w:r>
            <w:r>
              <w:rPr>
                <w:rFonts w:ascii="Avenir Next Condensed"/>
                <w:spacing w:val="23"/>
                <w:sz w:val="18"/>
              </w:rPr>
              <w:t xml:space="preserve"> </w:t>
            </w:r>
            <w:r>
              <w:rPr>
                <w:rFonts w:ascii="Avenir Next Condensed"/>
                <w:spacing w:val="-1"/>
                <w:sz w:val="18"/>
              </w:rPr>
              <w:t>difference</w:t>
            </w:r>
            <w:r>
              <w:rPr>
                <w:rFonts w:ascii="Avenir Next Condensed"/>
                <w:sz w:val="18"/>
              </w:rPr>
              <w:t xml:space="preserve"> between</w:t>
            </w:r>
            <w:r>
              <w:rPr>
                <w:rFonts w:ascii="Avenir Next Condensed"/>
                <w:spacing w:val="25"/>
                <w:sz w:val="18"/>
              </w:rPr>
              <w:t xml:space="preserve"> </w:t>
            </w:r>
            <w:r>
              <w:rPr>
                <w:rFonts w:ascii="Avenir Next Condensed"/>
                <w:sz w:val="18"/>
              </w:rPr>
              <w:t xml:space="preserve">actual and </w:t>
            </w:r>
            <w:r>
              <w:rPr>
                <w:rFonts w:ascii="Avenir Next Condensed"/>
                <w:spacing w:val="-1"/>
                <w:sz w:val="18"/>
              </w:rPr>
              <w:t>forecast</w:t>
            </w:r>
            <w:r>
              <w:rPr>
                <w:rFonts w:ascii="Avenir Next Condensed"/>
                <w:spacing w:val="26"/>
                <w:sz w:val="18"/>
              </w:rPr>
              <w:t xml:space="preserve"> </w:t>
            </w:r>
            <w:r>
              <w:rPr>
                <w:rFonts w:ascii="Avenir Next Condensed"/>
                <w:sz w:val="18"/>
              </w:rPr>
              <w:t xml:space="preserve">demand in one or </w:t>
            </w:r>
            <w:r>
              <w:rPr>
                <w:rFonts w:ascii="Avenir Next Condensed"/>
                <w:spacing w:val="-1"/>
                <w:sz w:val="18"/>
              </w:rPr>
              <w:t>more</w:t>
            </w:r>
            <w:r>
              <w:rPr>
                <w:rFonts w:ascii="Avenir Next Condensed"/>
                <w:sz w:val="18"/>
              </w:rPr>
              <w:t xml:space="preserve"> </w:t>
            </w:r>
            <w:r>
              <w:rPr>
                <w:rFonts w:ascii="Avenir Next Condensed"/>
                <w:spacing w:val="-1"/>
                <w:sz w:val="18"/>
              </w:rPr>
              <w:t>years.</w:t>
            </w:r>
          </w:p>
        </w:tc>
        <w:tc>
          <w:tcPr>
            <w:tcW w:w="93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238"/>
              <w:jc w:val="both"/>
              <w:rPr>
                <w:rFonts w:ascii="Avenir Next Condensed" w:eastAsia="Avenir Next Condensed" w:hAnsi="Avenir Next Condensed" w:cs="Avenir Next Condensed"/>
                <w:sz w:val="18"/>
                <w:szCs w:val="18"/>
              </w:rPr>
            </w:pPr>
            <w:r>
              <w:rPr>
                <w:rFonts w:ascii="Avenir Next Condensed"/>
                <w:spacing w:val="-4"/>
                <w:sz w:val="18"/>
              </w:rPr>
              <w:t>Yes</w:t>
            </w:r>
            <w:r>
              <w:rPr>
                <w:rFonts w:ascii="Avenir Next Condensed"/>
                <w:sz w:val="18"/>
              </w:rPr>
              <w:t xml:space="preserve"> </w:t>
            </w:r>
            <w:r>
              <w:rPr>
                <w:rFonts w:ascii="Avenir Next Condensed"/>
                <w:spacing w:val="-1"/>
                <w:sz w:val="18"/>
              </w:rPr>
              <w:t>dealt</w:t>
            </w:r>
            <w:r>
              <w:rPr>
                <w:rFonts w:ascii="Avenir Next Condensed"/>
                <w:sz w:val="18"/>
              </w:rPr>
              <w:t xml:space="preserve"> with </w:t>
            </w:r>
            <w:r>
              <w:rPr>
                <w:rFonts w:ascii="Avenir Next Condensed"/>
                <w:spacing w:val="-1"/>
                <w:sz w:val="18"/>
              </w:rPr>
              <w:t>through</w:t>
            </w:r>
            <w:r>
              <w:rPr>
                <w:rFonts w:ascii="Avenir Next Condensed"/>
                <w:sz w:val="18"/>
              </w:rPr>
              <w:t xml:space="preserve"> the</w:t>
            </w:r>
            <w:r>
              <w:rPr>
                <w:rFonts w:ascii="Avenir Next Condensed"/>
                <w:spacing w:val="21"/>
                <w:sz w:val="18"/>
              </w:rPr>
              <w:t xml:space="preserve"> </w:t>
            </w:r>
            <w:r>
              <w:rPr>
                <w:rFonts w:ascii="Avenir Next Condensed"/>
                <w:sz w:val="18"/>
              </w:rPr>
              <w:t xml:space="preserve">uncertain and </w:t>
            </w:r>
            <w:r>
              <w:rPr>
                <w:rFonts w:ascii="Avenir Next Condensed"/>
                <w:spacing w:val="-1"/>
                <w:sz w:val="18"/>
              </w:rPr>
              <w:t>unforeseen</w:t>
            </w:r>
            <w:r>
              <w:rPr>
                <w:rFonts w:ascii="Avenir Next Condensed"/>
                <w:spacing w:val="28"/>
                <w:sz w:val="18"/>
              </w:rPr>
              <w:t xml:space="preserve"> </w:t>
            </w:r>
            <w:r>
              <w:rPr>
                <w:rFonts w:ascii="Avenir Next Condensed"/>
                <w:sz w:val="18"/>
              </w:rPr>
              <w:t>events mechanism.</w:t>
            </w:r>
          </w:p>
        </w:tc>
        <w:tc>
          <w:tcPr>
            <w:tcW w:w="12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149"/>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uncertain</w:t>
            </w:r>
            <w:r>
              <w:rPr>
                <w:rFonts w:ascii="Avenir Next Condensed"/>
                <w:spacing w:val="21"/>
                <w:sz w:val="18"/>
              </w:rPr>
              <w:t xml:space="preserve"> </w:t>
            </w:r>
            <w:r>
              <w:rPr>
                <w:rFonts w:ascii="Avenir Next Condensed"/>
                <w:sz w:val="18"/>
              </w:rPr>
              <w:t xml:space="preserve">and </w:t>
            </w:r>
            <w:r>
              <w:rPr>
                <w:rFonts w:ascii="Avenir Next Condensed"/>
                <w:spacing w:val="-1"/>
                <w:sz w:val="18"/>
              </w:rPr>
              <w:t>unforeseen</w:t>
            </w:r>
            <w:r>
              <w:rPr>
                <w:rFonts w:ascii="Avenir Next Condensed"/>
                <w:spacing w:val="28"/>
                <w:sz w:val="18"/>
              </w:rPr>
              <w:t xml:space="preserve"> </w:t>
            </w:r>
            <w:r>
              <w:rPr>
                <w:rFonts w:ascii="Avenir Next Condensed"/>
                <w:sz w:val="18"/>
              </w:rPr>
              <w:t xml:space="preserve">events mechanism </w:t>
            </w:r>
            <w:r>
              <w:rPr>
                <w:rFonts w:ascii="Avenir Next Condensed"/>
                <w:spacing w:val="-1"/>
                <w:sz w:val="18"/>
              </w:rPr>
              <w:t>provides</w:t>
            </w:r>
            <w:r>
              <w:rPr>
                <w:rFonts w:ascii="Avenir Next Condensed"/>
                <w:sz w:val="18"/>
              </w:rPr>
              <w:t xml:space="preserve"> for </w:t>
            </w:r>
            <w:r>
              <w:rPr>
                <w:rFonts w:ascii="Avenir Next Condensed"/>
                <w:spacing w:val="-1"/>
                <w:sz w:val="18"/>
              </w:rPr>
              <w:t>re-</w:t>
            </w:r>
            <w:r>
              <w:rPr>
                <w:rFonts w:ascii="Avenir Next Condensed"/>
                <w:spacing w:val="27"/>
                <w:sz w:val="18"/>
              </w:rPr>
              <w:t xml:space="preserve"> </w:t>
            </w:r>
            <w:r>
              <w:rPr>
                <w:rFonts w:ascii="Avenir Next Condensed"/>
                <w:sz w:val="18"/>
              </w:rPr>
              <w:t>opening if</w:t>
            </w:r>
            <w:r>
              <w:rPr>
                <w:rFonts w:ascii="Avenir Next Condensed"/>
                <w:spacing w:val="4"/>
                <w:sz w:val="18"/>
              </w:rPr>
              <w:t xml:space="preserve"> </w:t>
            </w:r>
            <w:r>
              <w:rPr>
                <w:rFonts w:ascii="Avenir Next Condensed"/>
                <w:spacing w:val="-1"/>
                <w:sz w:val="18"/>
              </w:rPr>
              <w:t>there</w:t>
            </w:r>
            <w:r>
              <w:rPr>
                <w:rFonts w:ascii="Avenir Next Condensed"/>
                <w:spacing w:val="23"/>
                <w:sz w:val="18"/>
              </w:rPr>
              <w:t xml:space="preserve"> </w:t>
            </w:r>
            <w:r>
              <w:rPr>
                <w:rFonts w:ascii="Avenir Next Condensed"/>
                <w:spacing w:val="-1"/>
                <w:sz w:val="18"/>
              </w:rPr>
              <w:t>are</w:t>
            </w:r>
            <w:r>
              <w:rPr>
                <w:rFonts w:ascii="Avenir Next Condensed"/>
                <w:sz w:val="18"/>
              </w:rPr>
              <w:t xml:space="preserve"> changes</w:t>
            </w:r>
          </w:p>
          <w:p w:rsidR="00D96B91" w:rsidRDefault="00C2656B">
            <w:pPr>
              <w:pStyle w:val="TableParagraph"/>
              <w:spacing w:line="220" w:lineRule="exact"/>
              <w:ind w:left="108" w:right="201"/>
              <w:rPr>
                <w:rFonts w:ascii="Avenir Next Condensed" w:eastAsia="Avenir Next Condensed" w:hAnsi="Avenir Next Condensed" w:cs="Avenir Next Condensed"/>
                <w:sz w:val="18"/>
                <w:szCs w:val="18"/>
              </w:rPr>
            </w:pPr>
            <w:r>
              <w:rPr>
                <w:rFonts w:ascii="Avenir Next Condensed"/>
                <w:sz w:val="18"/>
              </w:rPr>
              <w:t xml:space="preserve">in the timing or scope of </w:t>
            </w:r>
            <w:r>
              <w:rPr>
                <w:rFonts w:ascii="Avenir Next Condensed"/>
                <w:spacing w:val="-1"/>
                <w:sz w:val="18"/>
              </w:rPr>
              <w:t>expenditure</w:t>
            </w:r>
            <w:r>
              <w:rPr>
                <w:rFonts w:ascii="Avenir Next Condensed"/>
                <w:sz w:val="18"/>
              </w:rPr>
              <w:t xml:space="preserve"> on</w:t>
            </w:r>
            <w:r>
              <w:rPr>
                <w:rFonts w:ascii="Avenir Next Condensed"/>
                <w:spacing w:val="27"/>
                <w:sz w:val="18"/>
              </w:rPr>
              <w:t xml:space="preserve"> </w:t>
            </w:r>
            <w:r>
              <w:rPr>
                <w:rFonts w:ascii="Avenir Next Condensed"/>
                <w:sz w:val="18"/>
              </w:rPr>
              <w:t xml:space="preserve">major </w:t>
            </w:r>
            <w:r>
              <w:rPr>
                <w:rFonts w:ascii="Avenir Next Condensed"/>
                <w:spacing w:val="-1"/>
                <w:sz w:val="18"/>
              </w:rPr>
              <w:t>projects.</w:t>
            </w:r>
          </w:p>
        </w:tc>
      </w:tr>
      <w:tr w:rsidR="00D96B91" w:rsidTr="00C2656B">
        <w:trPr>
          <w:trHeight w:hRule="exact" w:val="2416"/>
        </w:trPr>
        <w:tc>
          <w:tcPr>
            <w:tcW w:w="148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line="233" w:lineRule="exact"/>
              <w:ind w:left="108"/>
              <w:rPr>
                <w:rFonts w:ascii="Avenir Next Condensed" w:eastAsia="Avenir Next Condensed" w:hAnsi="Avenir Next Condensed" w:cs="Avenir Next Condensed"/>
                <w:sz w:val="18"/>
                <w:szCs w:val="18"/>
              </w:rPr>
            </w:pPr>
            <w:r>
              <w:rPr>
                <w:rFonts w:ascii="Avenir Next Condensed"/>
                <w:spacing w:val="-1"/>
                <w:sz w:val="18"/>
              </w:rPr>
              <w:t>ESCOSA</w:t>
            </w:r>
          </w:p>
          <w:p w:rsidR="00D96B91" w:rsidRDefault="00C2656B">
            <w:pPr>
              <w:pStyle w:val="TableParagraph"/>
              <w:spacing w:before="6" w:line="214" w:lineRule="auto"/>
              <w:ind w:left="108" w:right="154"/>
              <w:rPr>
                <w:rFonts w:ascii="Avenir Next Condensed" w:eastAsia="Avenir Next Condensed" w:hAnsi="Avenir Next Condensed" w:cs="Avenir Next Condensed"/>
                <w:sz w:val="18"/>
                <w:szCs w:val="18"/>
              </w:rPr>
            </w:pPr>
            <w:r>
              <w:rPr>
                <w:rFonts w:ascii="Avenir Next Condensed"/>
                <w:sz w:val="18"/>
              </w:rPr>
              <w:t>2013 SA</w:t>
            </w:r>
            <w:r>
              <w:rPr>
                <w:rFonts w:ascii="Avenir Next Condensed"/>
                <w:spacing w:val="-6"/>
                <w:sz w:val="18"/>
              </w:rPr>
              <w:t xml:space="preserve"> </w:t>
            </w:r>
            <w:r>
              <w:rPr>
                <w:rFonts w:ascii="Avenir Next Condensed"/>
                <w:spacing w:val="-1"/>
                <w:sz w:val="18"/>
              </w:rPr>
              <w:t>Water</w:t>
            </w:r>
            <w:r>
              <w:rPr>
                <w:rFonts w:ascii="Avenir Next Condensed"/>
                <w:sz w:val="18"/>
              </w:rPr>
              <w:t xml:space="preserve"> and</w:t>
            </w:r>
            <w:r>
              <w:rPr>
                <w:rFonts w:ascii="Avenir Next Condensed"/>
                <w:spacing w:val="22"/>
                <w:sz w:val="18"/>
              </w:rPr>
              <w:t xml:space="preserve"> </w:t>
            </w:r>
            <w:r>
              <w:rPr>
                <w:rFonts w:ascii="Avenir Next Condensed"/>
                <w:spacing w:val="-1"/>
                <w:sz w:val="18"/>
              </w:rPr>
              <w:t>Sewerage</w:t>
            </w:r>
          </w:p>
        </w:tc>
        <w:tc>
          <w:tcPr>
            <w:tcW w:w="148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z w:val="18"/>
              </w:rPr>
              <w:t xml:space="preserve">3 </w:t>
            </w:r>
            <w:r>
              <w:rPr>
                <w:rFonts w:ascii="Avenir Next Condensed"/>
                <w:spacing w:val="-1"/>
                <w:sz w:val="18"/>
              </w:rPr>
              <w:t>years</w:t>
            </w:r>
          </w:p>
        </w:tc>
        <w:tc>
          <w:tcPr>
            <w:tcW w:w="20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252"/>
              <w:rPr>
                <w:rFonts w:ascii="Avenir Next Condensed" w:eastAsia="Avenir Next Condensed" w:hAnsi="Avenir Next Condensed" w:cs="Avenir Next Condensed"/>
                <w:sz w:val="18"/>
                <w:szCs w:val="18"/>
              </w:rPr>
            </w:pPr>
            <w:r>
              <w:rPr>
                <w:rFonts w:ascii="Avenir Next Condensed"/>
                <w:spacing w:val="-1"/>
                <w:sz w:val="18"/>
              </w:rPr>
              <w:t>Re-opening</w:t>
            </w:r>
            <w:r>
              <w:rPr>
                <w:rFonts w:ascii="Avenir Next Condensed"/>
                <w:sz w:val="18"/>
              </w:rPr>
              <w:t xml:space="preserve"> allowed in</w:t>
            </w:r>
            <w:r>
              <w:rPr>
                <w:rFonts w:ascii="Avenir Next Condensed"/>
                <w:spacing w:val="28"/>
                <w:sz w:val="18"/>
              </w:rPr>
              <w:t xml:space="preserve"> </w:t>
            </w:r>
            <w:r>
              <w:rPr>
                <w:rFonts w:ascii="Avenir Next Condensed"/>
                <w:spacing w:val="-1"/>
                <w:sz w:val="18"/>
              </w:rPr>
              <w:t>exceptional</w:t>
            </w:r>
            <w:r>
              <w:rPr>
                <w:rFonts w:ascii="Avenir Next Condensed"/>
                <w:sz w:val="18"/>
              </w:rPr>
              <w:t xml:space="preserve"> </w:t>
            </w:r>
            <w:r>
              <w:rPr>
                <w:rFonts w:ascii="Avenir Next Condensed"/>
                <w:spacing w:val="-1"/>
                <w:sz w:val="18"/>
              </w:rPr>
              <w:t>circumstances</w:t>
            </w:r>
            <w:r>
              <w:rPr>
                <w:rFonts w:ascii="Avenir Next Condensed"/>
                <w:spacing w:val="37"/>
                <w:sz w:val="18"/>
              </w:rPr>
              <w:t xml:space="preserve"> </w:t>
            </w:r>
            <w:r>
              <w:rPr>
                <w:rFonts w:ascii="Avenir Next Condensed"/>
                <w:sz w:val="18"/>
              </w:rPr>
              <w:t>(ie,</w:t>
            </w:r>
            <w:r>
              <w:rPr>
                <w:rFonts w:ascii="Avenir Next Condensed"/>
                <w:spacing w:val="-6"/>
                <w:sz w:val="18"/>
              </w:rPr>
              <w:t xml:space="preserve"> </w:t>
            </w:r>
            <w:r>
              <w:rPr>
                <w:rFonts w:ascii="Avenir Next Condensed"/>
                <w:sz w:val="18"/>
              </w:rPr>
              <w:t xml:space="preserve">to </w:t>
            </w:r>
            <w:r>
              <w:rPr>
                <w:rFonts w:ascii="Avenir Next Condensed"/>
                <w:spacing w:val="-1"/>
                <w:sz w:val="18"/>
              </w:rPr>
              <w:t>prevent</w:t>
            </w:r>
            <w:r>
              <w:rPr>
                <w:rFonts w:ascii="Avenir Next Condensed"/>
                <w:sz w:val="18"/>
              </w:rPr>
              <w:t xml:space="preserve"> SA</w:t>
            </w:r>
            <w:r>
              <w:rPr>
                <w:rFonts w:ascii="Avenir Next Condensed"/>
                <w:spacing w:val="-6"/>
                <w:sz w:val="18"/>
              </w:rPr>
              <w:t xml:space="preserve"> </w:t>
            </w:r>
            <w:r>
              <w:rPr>
                <w:rFonts w:ascii="Avenir Next Condensed"/>
                <w:spacing w:val="-1"/>
                <w:sz w:val="18"/>
              </w:rPr>
              <w:t>Water</w:t>
            </w:r>
            <w:r>
              <w:rPr>
                <w:rFonts w:ascii="Avenir Next Condensed"/>
                <w:spacing w:val="27"/>
                <w:sz w:val="18"/>
              </w:rPr>
              <w:t xml:space="preserve"> </w:t>
            </w:r>
            <w:r>
              <w:rPr>
                <w:rFonts w:ascii="Avenir Next Condensed"/>
                <w:spacing w:val="-1"/>
                <w:sz w:val="18"/>
              </w:rPr>
              <w:t>experiencing</w:t>
            </w:r>
            <w:r>
              <w:rPr>
                <w:rFonts w:ascii="Avenir Next Condensed"/>
                <w:sz w:val="18"/>
              </w:rPr>
              <w:t xml:space="preserve"> financial</w:t>
            </w:r>
            <w:r>
              <w:rPr>
                <w:rFonts w:ascii="Avenir Next Condensed"/>
                <w:spacing w:val="20"/>
                <w:sz w:val="18"/>
              </w:rPr>
              <w:t xml:space="preserve"> </w:t>
            </w:r>
            <w:r>
              <w:rPr>
                <w:rFonts w:ascii="Avenir Next Condensed"/>
                <w:spacing w:val="-1"/>
                <w:sz w:val="18"/>
              </w:rPr>
              <w:t>distress</w:t>
            </w:r>
            <w:r>
              <w:rPr>
                <w:rFonts w:ascii="Avenir Next Condensed"/>
                <w:sz w:val="18"/>
              </w:rPr>
              <w:t xml:space="preserve"> or to </w:t>
            </w:r>
            <w:r>
              <w:rPr>
                <w:rFonts w:ascii="Avenir Next Condensed"/>
                <w:spacing w:val="-1"/>
                <w:sz w:val="18"/>
              </w:rPr>
              <w:t>ensure</w:t>
            </w:r>
            <w:r>
              <w:rPr>
                <w:rFonts w:ascii="Avenir Next Condensed"/>
                <w:spacing w:val="29"/>
                <w:sz w:val="18"/>
              </w:rPr>
              <w:t xml:space="preserve"> </w:t>
            </w:r>
            <w:r>
              <w:rPr>
                <w:rFonts w:ascii="Avenir Next Condensed"/>
                <w:sz w:val="18"/>
              </w:rPr>
              <w:t xml:space="preserve">customers </w:t>
            </w:r>
            <w:r>
              <w:rPr>
                <w:rFonts w:ascii="Avenir Next Condensed"/>
                <w:spacing w:val="-1"/>
                <w:sz w:val="18"/>
              </w:rPr>
              <w:t>are</w:t>
            </w:r>
            <w:r>
              <w:rPr>
                <w:rFonts w:ascii="Avenir Next Condensed"/>
                <w:sz w:val="18"/>
              </w:rPr>
              <w:t xml:space="preserve"> not paying</w:t>
            </w:r>
            <w:r>
              <w:rPr>
                <w:rFonts w:ascii="Avenir Next Condensed"/>
                <w:spacing w:val="21"/>
                <w:sz w:val="18"/>
              </w:rPr>
              <w:t xml:space="preserve"> </w:t>
            </w:r>
            <w:r>
              <w:rPr>
                <w:rFonts w:ascii="Avenir Next Condensed"/>
                <w:sz w:val="18"/>
              </w:rPr>
              <w:t xml:space="preserve">prices that </w:t>
            </w:r>
            <w:r>
              <w:rPr>
                <w:rFonts w:ascii="Avenir Next Condensed"/>
                <w:spacing w:val="-1"/>
                <w:sz w:val="18"/>
              </w:rPr>
              <w:t>are</w:t>
            </w:r>
            <w:r>
              <w:rPr>
                <w:rFonts w:ascii="Avenir Next Condensed"/>
                <w:sz w:val="18"/>
              </w:rPr>
              <w:t xml:space="preserve"> </w:t>
            </w:r>
            <w:r>
              <w:rPr>
                <w:rFonts w:ascii="Avenir Next Condensed"/>
                <w:spacing w:val="-1"/>
                <w:sz w:val="18"/>
              </w:rPr>
              <w:t>excessively</w:t>
            </w:r>
            <w:r>
              <w:rPr>
                <w:rFonts w:ascii="Avenir Next Condensed"/>
                <w:spacing w:val="27"/>
                <w:sz w:val="18"/>
              </w:rPr>
              <w:t xml:space="preserve"> </w:t>
            </w:r>
            <w:r>
              <w:rPr>
                <w:rFonts w:ascii="Avenir Next Condensed"/>
                <w:sz w:val="18"/>
              </w:rPr>
              <w:t>above cost)</w:t>
            </w:r>
          </w:p>
        </w:tc>
        <w:tc>
          <w:tcPr>
            <w:tcW w:w="35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433"/>
              <w:rPr>
                <w:rFonts w:ascii="Avenir Next Condensed" w:eastAsia="Avenir Next Condensed" w:hAnsi="Avenir Next Condensed" w:cs="Avenir Next Condensed"/>
                <w:sz w:val="18"/>
                <w:szCs w:val="18"/>
              </w:rPr>
            </w:pPr>
            <w:r>
              <w:rPr>
                <w:rFonts w:ascii="Avenir Next Condensed"/>
                <w:spacing w:val="-1"/>
                <w:sz w:val="18"/>
              </w:rPr>
              <w:t>Average</w:t>
            </w:r>
            <w:r>
              <w:rPr>
                <w:rFonts w:ascii="Avenir Next Condensed"/>
                <w:sz w:val="18"/>
              </w:rPr>
              <w:t xml:space="preserve"> </w:t>
            </w:r>
            <w:r>
              <w:rPr>
                <w:rFonts w:ascii="Avenir Next Condensed"/>
                <w:spacing w:val="-1"/>
                <w:sz w:val="18"/>
              </w:rPr>
              <w:t>revenue</w:t>
            </w:r>
            <w:r>
              <w:rPr>
                <w:rFonts w:ascii="Avenir Next Condensed"/>
                <w:sz w:val="18"/>
              </w:rPr>
              <w:t xml:space="preserve"> cap with </w:t>
            </w:r>
            <w:r>
              <w:rPr>
                <w:rFonts w:ascii="Avenir Next Condensed"/>
                <w:spacing w:val="-1"/>
                <w:sz w:val="18"/>
              </w:rPr>
              <w:t>intra</w:t>
            </w:r>
            <w:r>
              <w:rPr>
                <w:rFonts w:ascii="Avenir Next Condensed"/>
                <w:sz w:val="18"/>
              </w:rPr>
              <w:t xml:space="preserve"> period </w:t>
            </w:r>
            <w:r>
              <w:rPr>
                <w:rFonts w:ascii="Avenir Next Condensed"/>
                <w:spacing w:val="-1"/>
                <w:sz w:val="18"/>
              </w:rPr>
              <w:t>revenue</w:t>
            </w:r>
            <w:r>
              <w:rPr>
                <w:rFonts w:ascii="Avenir Next Condensed"/>
                <w:spacing w:val="37"/>
                <w:sz w:val="18"/>
              </w:rPr>
              <w:t xml:space="preserve"> </w:t>
            </w:r>
            <w:r>
              <w:rPr>
                <w:rFonts w:ascii="Avenir Next Condensed"/>
                <w:sz w:val="18"/>
              </w:rPr>
              <w:t xml:space="preserve">adjustment to </w:t>
            </w:r>
            <w:r>
              <w:rPr>
                <w:rFonts w:ascii="Avenir Next Condensed"/>
                <w:spacing w:val="-1"/>
                <w:sz w:val="18"/>
              </w:rPr>
              <w:t>correct</w:t>
            </w:r>
            <w:r>
              <w:rPr>
                <w:rFonts w:ascii="Avenir Next Condensed"/>
                <w:sz w:val="18"/>
              </w:rPr>
              <w:t xml:space="preserve"> for material demand</w:t>
            </w:r>
            <w:r>
              <w:rPr>
                <w:rFonts w:ascii="Avenir Next Condensed"/>
                <w:spacing w:val="25"/>
                <w:sz w:val="18"/>
              </w:rPr>
              <w:t xml:space="preserve"> </w:t>
            </w:r>
            <w:r>
              <w:rPr>
                <w:rFonts w:ascii="Avenir Next Condensed"/>
                <w:sz w:val="18"/>
              </w:rPr>
              <w:t xml:space="preserve">variations during the period </w:t>
            </w:r>
            <w:r>
              <w:rPr>
                <w:rFonts w:ascii="Avenir Next Condensed"/>
                <w:spacing w:val="-1"/>
                <w:sz w:val="18"/>
              </w:rPr>
              <w:t>required</w:t>
            </w:r>
            <w:r>
              <w:rPr>
                <w:rFonts w:ascii="Avenir Next Condensed"/>
                <w:sz w:val="18"/>
              </w:rPr>
              <w:t xml:space="preserve"> by SA</w:t>
            </w:r>
            <w:r>
              <w:rPr>
                <w:rFonts w:ascii="Avenir Next Condensed"/>
                <w:spacing w:val="-4"/>
                <w:sz w:val="18"/>
              </w:rPr>
              <w:t xml:space="preserve"> </w:t>
            </w:r>
            <w:r>
              <w:rPr>
                <w:rFonts w:ascii="Avenir Next Condensed"/>
                <w:sz w:val="18"/>
              </w:rPr>
              <w:t>Gvt</w:t>
            </w:r>
            <w:r>
              <w:rPr>
                <w:rFonts w:ascii="Avenir Next Condensed"/>
                <w:spacing w:val="24"/>
                <w:sz w:val="18"/>
              </w:rPr>
              <w:t xml:space="preserve"> </w:t>
            </w:r>
            <w:r>
              <w:rPr>
                <w:rFonts w:ascii="Avenir Next Condensed"/>
                <w:sz w:val="18"/>
              </w:rPr>
              <w:t xml:space="preserve">pricing </w:t>
            </w:r>
            <w:r>
              <w:rPr>
                <w:rFonts w:ascii="Avenir Next Condensed"/>
                <w:spacing w:val="-2"/>
                <w:sz w:val="18"/>
              </w:rPr>
              <w:t>order.</w:t>
            </w:r>
          </w:p>
          <w:p w:rsidR="00D96B91" w:rsidRDefault="00C2656B">
            <w:pPr>
              <w:pStyle w:val="TableParagraph"/>
              <w:spacing w:before="113" w:line="220" w:lineRule="exact"/>
              <w:ind w:left="108" w:right="211"/>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revenue</w:t>
            </w:r>
            <w:r>
              <w:rPr>
                <w:rFonts w:ascii="Avenir Next Condensed"/>
                <w:sz w:val="18"/>
              </w:rPr>
              <w:t xml:space="preserve"> adjustment mechanism only allowed</w:t>
            </w:r>
            <w:r>
              <w:rPr>
                <w:rFonts w:ascii="Avenir Next Condensed"/>
                <w:spacing w:val="26"/>
                <w:sz w:val="18"/>
              </w:rPr>
              <w:t xml:space="preserve"> </w:t>
            </w:r>
            <w:r>
              <w:rPr>
                <w:rFonts w:ascii="Avenir Next Condensed"/>
                <w:sz w:val="18"/>
              </w:rPr>
              <w:t>30% of</w:t>
            </w:r>
            <w:r>
              <w:rPr>
                <w:rFonts w:ascii="Avenir Next Condensed"/>
                <w:spacing w:val="4"/>
                <w:sz w:val="18"/>
              </w:rPr>
              <w:t xml:space="preserve"> </w:t>
            </w:r>
            <w:r>
              <w:rPr>
                <w:rFonts w:ascii="Avenir Next Condensed"/>
                <w:sz w:val="18"/>
              </w:rPr>
              <w:t xml:space="preserve">the </w:t>
            </w:r>
            <w:r>
              <w:rPr>
                <w:rFonts w:ascii="Avenir Next Condensed"/>
                <w:spacing w:val="-1"/>
                <w:sz w:val="18"/>
              </w:rPr>
              <w:t>difference</w:t>
            </w:r>
            <w:r>
              <w:rPr>
                <w:rFonts w:ascii="Avenir Next Condensed"/>
                <w:sz w:val="18"/>
              </w:rPr>
              <w:t xml:space="preserve"> between actual and </w:t>
            </w:r>
            <w:r>
              <w:rPr>
                <w:rFonts w:ascii="Avenir Next Condensed"/>
                <w:spacing w:val="-1"/>
                <w:sz w:val="18"/>
              </w:rPr>
              <w:t>forecast</w:t>
            </w:r>
            <w:r>
              <w:rPr>
                <w:rFonts w:ascii="Avenir Next Condensed"/>
                <w:spacing w:val="23"/>
                <w:sz w:val="18"/>
              </w:rPr>
              <w:t xml:space="preserve"> </w:t>
            </w:r>
            <w:r>
              <w:rPr>
                <w:rFonts w:ascii="Avenir Next Condensed"/>
                <w:spacing w:val="-1"/>
                <w:sz w:val="18"/>
              </w:rPr>
              <w:t>revenue</w:t>
            </w:r>
            <w:r>
              <w:rPr>
                <w:rFonts w:ascii="Avenir Next Condensed"/>
                <w:sz w:val="18"/>
              </w:rPr>
              <w:t xml:space="preserve"> to be </w:t>
            </w:r>
            <w:r>
              <w:rPr>
                <w:rFonts w:ascii="Avenir Next Condensed"/>
                <w:spacing w:val="-1"/>
                <w:sz w:val="18"/>
              </w:rPr>
              <w:t>recovered</w:t>
            </w:r>
            <w:r>
              <w:rPr>
                <w:rFonts w:ascii="Avenir Next Condensed"/>
                <w:sz w:val="18"/>
              </w:rPr>
              <w:t xml:space="preserve"> in the subsequent period.</w:t>
            </w:r>
            <w:r>
              <w:rPr>
                <w:rFonts w:ascii="Avenir Next Condensed"/>
                <w:spacing w:val="21"/>
                <w:sz w:val="18"/>
              </w:rPr>
              <w:t xml:space="preserve"> </w:t>
            </w:r>
            <w:r>
              <w:rPr>
                <w:rFonts w:ascii="Avenir Next Condensed"/>
                <w:spacing w:val="-1"/>
                <w:sz w:val="18"/>
              </w:rPr>
              <w:t>Average</w:t>
            </w:r>
            <w:r>
              <w:rPr>
                <w:rFonts w:ascii="Avenir Next Condensed"/>
                <w:sz w:val="18"/>
              </w:rPr>
              <w:t xml:space="preserve"> </w:t>
            </w:r>
            <w:r>
              <w:rPr>
                <w:rFonts w:ascii="Avenir Next Condensed"/>
                <w:spacing w:val="-1"/>
                <w:sz w:val="18"/>
              </w:rPr>
              <w:t>revenue</w:t>
            </w:r>
            <w:r>
              <w:rPr>
                <w:rFonts w:ascii="Avenir Next Condensed"/>
                <w:sz w:val="18"/>
              </w:rPr>
              <w:t xml:space="preserve"> cap used because </w:t>
            </w:r>
            <w:r>
              <w:rPr>
                <w:rFonts w:ascii="Avenir Next Condensed"/>
                <w:spacing w:val="-1"/>
                <w:sz w:val="18"/>
              </w:rPr>
              <w:t>ESCOSA</w:t>
            </w:r>
            <w:r>
              <w:rPr>
                <w:rFonts w:ascii="Avenir Next Condensed"/>
                <w:spacing w:val="27"/>
                <w:sz w:val="18"/>
              </w:rPr>
              <w:t xml:space="preserve"> </w:t>
            </w:r>
            <w:r>
              <w:rPr>
                <w:rFonts w:ascii="Avenir Next Condensed"/>
                <w:sz w:val="18"/>
              </w:rPr>
              <w:t>concluded SA</w:t>
            </w:r>
            <w:r>
              <w:rPr>
                <w:rFonts w:ascii="Avenir Next Condensed"/>
                <w:spacing w:val="-6"/>
                <w:sz w:val="18"/>
              </w:rPr>
              <w:t xml:space="preserve"> </w:t>
            </w:r>
            <w:r>
              <w:rPr>
                <w:rFonts w:ascii="Avenir Next Condensed"/>
                <w:spacing w:val="-1"/>
                <w:sz w:val="18"/>
              </w:rPr>
              <w:t>Water</w:t>
            </w:r>
            <w:r>
              <w:rPr>
                <w:rFonts w:ascii="Avenir Next Condensed"/>
                <w:sz w:val="18"/>
              </w:rPr>
              <w:t xml:space="preserve"> should </w:t>
            </w:r>
            <w:r>
              <w:rPr>
                <w:rFonts w:ascii="Avenir Next Condensed"/>
                <w:spacing w:val="-1"/>
                <w:sz w:val="18"/>
              </w:rPr>
              <w:t>bear</w:t>
            </w:r>
            <w:r>
              <w:rPr>
                <w:rFonts w:ascii="Avenir Next Condensed"/>
                <w:sz w:val="18"/>
              </w:rPr>
              <w:t xml:space="preserve"> volume risk.</w:t>
            </w:r>
          </w:p>
        </w:tc>
        <w:tc>
          <w:tcPr>
            <w:tcW w:w="1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z w:val="18"/>
              </w:rPr>
              <w:t>na</w:t>
            </w:r>
          </w:p>
        </w:tc>
        <w:tc>
          <w:tcPr>
            <w:tcW w:w="93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610"/>
              <w:rPr>
                <w:rFonts w:ascii="Avenir Next Condensed" w:eastAsia="Avenir Next Condensed" w:hAnsi="Avenir Next Condensed" w:cs="Avenir Next Condensed"/>
                <w:sz w:val="18"/>
                <w:szCs w:val="18"/>
              </w:rPr>
            </w:pPr>
            <w:r>
              <w:rPr>
                <w:rFonts w:ascii="Avenir Next Condensed"/>
                <w:spacing w:val="-4"/>
                <w:sz w:val="18"/>
              </w:rPr>
              <w:t>Yes</w:t>
            </w:r>
            <w:r>
              <w:rPr>
                <w:rFonts w:ascii="Avenir Next Condensed"/>
                <w:sz w:val="18"/>
              </w:rPr>
              <w:t xml:space="preserve"> for changes in</w:t>
            </w:r>
            <w:r>
              <w:rPr>
                <w:rFonts w:ascii="Avenir Next Condensed"/>
                <w:spacing w:val="22"/>
                <w:sz w:val="18"/>
              </w:rPr>
              <w:t xml:space="preserve"> </w:t>
            </w:r>
            <w:r>
              <w:rPr>
                <w:rFonts w:ascii="Avenir Next Condensed"/>
                <w:sz w:val="18"/>
              </w:rPr>
              <w:t>legal obligation and</w:t>
            </w:r>
          </w:p>
          <w:p w:rsidR="00D96B91" w:rsidRDefault="00C2656B">
            <w:pPr>
              <w:pStyle w:val="TableParagraph"/>
              <w:spacing w:line="220" w:lineRule="exact"/>
              <w:ind w:left="108" w:right="136"/>
              <w:rPr>
                <w:rFonts w:ascii="Avenir Next Condensed" w:eastAsia="Avenir Next Condensed" w:hAnsi="Avenir Next Condensed" w:cs="Avenir Next Condensed"/>
                <w:sz w:val="18"/>
                <w:szCs w:val="18"/>
              </w:rPr>
            </w:pPr>
            <w:r>
              <w:rPr>
                <w:rFonts w:ascii="Avenir Next Condensed"/>
                <w:spacing w:val="-1"/>
                <w:sz w:val="18"/>
              </w:rPr>
              <w:t>extraordinary</w:t>
            </w:r>
            <w:r>
              <w:rPr>
                <w:rFonts w:ascii="Avenir Next Condensed"/>
                <w:sz w:val="18"/>
              </w:rPr>
              <w:t xml:space="preserve"> events.</w:t>
            </w:r>
            <w:r>
              <w:rPr>
                <w:rFonts w:ascii="Avenir Next Condensed"/>
                <w:spacing w:val="-6"/>
                <w:sz w:val="18"/>
              </w:rPr>
              <w:t xml:space="preserve"> </w:t>
            </w:r>
            <w:r>
              <w:rPr>
                <w:rFonts w:ascii="Avenir Next Condensed"/>
                <w:sz w:val="18"/>
              </w:rPr>
              <w:t>Must</w:t>
            </w:r>
            <w:r>
              <w:rPr>
                <w:rFonts w:ascii="Avenir Next Condensed"/>
                <w:spacing w:val="28"/>
                <w:sz w:val="18"/>
              </w:rPr>
              <w:t xml:space="preserve"> </w:t>
            </w:r>
            <w:r>
              <w:rPr>
                <w:rFonts w:ascii="Avenir Next Condensed"/>
                <w:sz w:val="18"/>
              </w:rPr>
              <w:t xml:space="preserve">be material and beyond the </w:t>
            </w:r>
            <w:r>
              <w:rPr>
                <w:rFonts w:ascii="Avenir Next Condensed"/>
                <w:spacing w:val="-1"/>
                <w:sz w:val="18"/>
              </w:rPr>
              <w:t>control</w:t>
            </w:r>
            <w:r>
              <w:rPr>
                <w:rFonts w:ascii="Avenir Next Condensed"/>
                <w:sz w:val="18"/>
              </w:rPr>
              <w:t xml:space="preserve"> of</w:t>
            </w:r>
            <w:r>
              <w:rPr>
                <w:rFonts w:ascii="Avenir Next Condensed"/>
                <w:spacing w:val="4"/>
                <w:sz w:val="18"/>
              </w:rPr>
              <w:t xml:space="preserve"> </w:t>
            </w:r>
            <w:r>
              <w:rPr>
                <w:rFonts w:ascii="Avenir Next Condensed"/>
                <w:sz w:val="18"/>
              </w:rPr>
              <w:t>SA</w:t>
            </w:r>
            <w:r>
              <w:rPr>
                <w:rFonts w:ascii="Avenir Next Condensed"/>
                <w:spacing w:val="-4"/>
                <w:sz w:val="18"/>
              </w:rPr>
              <w:t xml:space="preserve"> </w:t>
            </w:r>
            <w:r>
              <w:rPr>
                <w:rFonts w:ascii="Avenir Next Condensed"/>
                <w:spacing w:val="-1"/>
                <w:sz w:val="18"/>
              </w:rPr>
              <w:t>water.</w:t>
            </w:r>
            <w:r>
              <w:rPr>
                <w:rFonts w:ascii="Avenir Next Condensed"/>
                <w:spacing w:val="-6"/>
                <w:sz w:val="18"/>
              </w:rPr>
              <w:t xml:space="preserve"> </w:t>
            </w:r>
            <w:r>
              <w:rPr>
                <w:rFonts w:ascii="Avenir Next Condensed"/>
                <w:spacing w:val="-1"/>
                <w:sz w:val="18"/>
              </w:rPr>
              <w:t>Costs</w:t>
            </w:r>
            <w:r>
              <w:rPr>
                <w:rFonts w:ascii="Avenir Next Condensed"/>
                <w:sz w:val="18"/>
              </w:rPr>
              <w:t xml:space="preserve"> to</w:t>
            </w:r>
            <w:r>
              <w:rPr>
                <w:rFonts w:ascii="Avenir Next Condensed"/>
                <w:spacing w:val="28"/>
                <w:sz w:val="18"/>
              </w:rPr>
              <w:t xml:space="preserve"> </w:t>
            </w:r>
            <w:r>
              <w:rPr>
                <w:rFonts w:ascii="Avenir Next Condensed"/>
                <w:sz w:val="18"/>
              </w:rPr>
              <w:t xml:space="preserve">be </w:t>
            </w:r>
            <w:r>
              <w:rPr>
                <w:rFonts w:ascii="Avenir Next Condensed"/>
                <w:spacing w:val="-1"/>
                <w:sz w:val="18"/>
              </w:rPr>
              <w:t>recovered</w:t>
            </w:r>
            <w:r>
              <w:rPr>
                <w:rFonts w:ascii="Avenir Next Condensed"/>
                <w:sz w:val="18"/>
              </w:rPr>
              <w:t xml:space="preserve"> in subsequent</w:t>
            </w:r>
            <w:r>
              <w:rPr>
                <w:rFonts w:ascii="Avenir Next Condensed"/>
                <w:spacing w:val="25"/>
                <w:sz w:val="18"/>
              </w:rPr>
              <w:t xml:space="preserve"> </w:t>
            </w:r>
            <w:r>
              <w:rPr>
                <w:rFonts w:ascii="Avenir Next Condensed"/>
                <w:sz w:val="18"/>
              </w:rPr>
              <w:t>period.</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No</w:t>
            </w:r>
          </w:p>
        </w:tc>
      </w:tr>
      <w:tr w:rsidR="00D96B91" w:rsidTr="00C2656B">
        <w:trPr>
          <w:trHeight w:hRule="exact" w:val="2139"/>
        </w:trPr>
        <w:tc>
          <w:tcPr>
            <w:tcW w:w="148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pacing w:val="-2"/>
                <w:sz w:val="18"/>
              </w:rPr>
              <w:t>IPART</w:t>
            </w:r>
          </w:p>
          <w:p w:rsidR="00D96B91" w:rsidRDefault="00C2656B">
            <w:pPr>
              <w:pStyle w:val="TableParagraph"/>
              <w:spacing w:before="87"/>
              <w:ind w:left="108"/>
              <w:rPr>
                <w:rFonts w:ascii="Avenir Next Condensed" w:eastAsia="Avenir Next Condensed" w:hAnsi="Avenir Next Condensed" w:cs="Avenir Next Condensed"/>
                <w:sz w:val="18"/>
                <w:szCs w:val="18"/>
              </w:rPr>
            </w:pPr>
            <w:r>
              <w:rPr>
                <w:rFonts w:ascii="Avenir Next Condensed"/>
                <w:sz w:val="18"/>
              </w:rPr>
              <w:t xml:space="preserve">2012 </w:t>
            </w: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p>
          <w:p w:rsidR="00D96B91" w:rsidRDefault="00C2656B">
            <w:pPr>
              <w:pStyle w:val="TableParagraph"/>
              <w:spacing w:before="91" w:line="220" w:lineRule="exact"/>
              <w:ind w:left="108" w:right="159"/>
              <w:rPr>
                <w:rFonts w:ascii="Avenir Next Condensed" w:eastAsia="Avenir Next Condensed" w:hAnsi="Avenir Next Condensed" w:cs="Avenir Next Condensed"/>
                <w:sz w:val="18"/>
                <w:szCs w:val="18"/>
              </w:rPr>
            </w:pPr>
            <w:r>
              <w:rPr>
                <w:rFonts w:ascii="Avenir Next Condensed"/>
                <w:spacing w:val="-2"/>
                <w:sz w:val="18"/>
              </w:rPr>
              <w:t>Water,</w:t>
            </w:r>
            <w:r>
              <w:rPr>
                <w:rFonts w:ascii="Avenir Next Condensed"/>
                <w:spacing w:val="-6"/>
                <w:sz w:val="18"/>
              </w:rPr>
              <w:t xml:space="preserve"> </w:t>
            </w:r>
            <w:r>
              <w:rPr>
                <w:rFonts w:ascii="Avenir Next Condensed"/>
                <w:spacing w:val="-1"/>
                <w:sz w:val="18"/>
              </w:rPr>
              <w:t>sewerage,</w:t>
            </w:r>
            <w:r>
              <w:rPr>
                <w:rFonts w:ascii="Avenir Next Condensed"/>
                <w:spacing w:val="23"/>
                <w:sz w:val="18"/>
              </w:rPr>
              <w:t xml:space="preserve"> </w:t>
            </w:r>
            <w:r>
              <w:rPr>
                <w:rFonts w:ascii="Avenir Next Condensed"/>
                <w:spacing w:val="-1"/>
                <w:sz w:val="18"/>
              </w:rPr>
              <w:t>drainage</w:t>
            </w:r>
            <w:r>
              <w:rPr>
                <w:rFonts w:ascii="Avenir Next Condensed"/>
                <w:sz w:val="18"/>
              </w:rPr>
              <w:t xml:space="preserve"> and other</w:t>
            </w:r>
            <w:r>
              <w:rPr>
                <w:rFonts w:ascii="Avenir Next Condensed"/>
                <w:spacing w:val="26"/>
                <w:sz w:val="18"/>
              </w:rPr>
              <w:t xml:space="preserve"> </w:t>
            </w:r>
            <w:r>
              <w:rPr>
                <w:rFonts w:ascii="Avenir Next Condensed"/>
                <w:sz w:val="18"/>
              </w:rPr>
              <w:t>services</w:t>
            </w:r>
          </w:p>
        </w:tc>
        <w:tc>
          <w:tcPr>
            <w:tcW w:w="148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 xml:space="preserve">4 </w:t>
            </w:r>
            <w:r>
              <w:rPr>
                <w:rFonts w:ascii="Avenir Next Condensed"/>
                <w:spacing w:val="-1"/>
                <w:sz w:val="18"/>
              </w:rPr>
              <w:t>years</w:t>
            </w:r>
          </w:p>
        </w:tc>
        <w:tc>
          <w:tcPr>
            <w:tcW w:w="201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rsidP="00710124">
            <w:pPr>
              <w:pStyle w:val="TableParagraph"/>
              <w:spacing w:before="109" w:line="220" w:lineRule="exact"/>
              <w:ind w:left="108" w:right="159"/>
              <w:rPr>
                <w:rFonts w:ascii="Avenir Next Condensed" w:eastAsia="Avenir Next Condensed" w:hAnsi="Avenir Next Condensed" w:cs="Avenir Next Condensed"/>
                <w:sz w:val="18"/>
                <w:szCs w:val="18"/>
              </w:rPr>
            </w:pPr>
            <w:r>
              <w:rPr>
                <w:rFonts w:ascii="Avenir Next Condensed"/>
                <w:sz w:val="18"/>
              </w:rPr>
              <w:t xml:space="preserve">Not specifically </w:t>
            </w:r>
            <w:r>
              <w:rPr>
                <w:rFonts w:ascii="Avenir Next Condensed"/>
                <w:spacing w:val="-1"/>
                <w:sz w:val="18"/>
              </w:rPr>
              <w:t>referred</w:t>
            </w:r>
            <w:r>
              <w:rPr>
                <w:rFonts w:ascii="Avenir Next Condensed"/>
                <w:spacing w:val="24"/>
                <w:sz w:val="18"/>
              </w:rPr>
              <w:t xml:space="preserve"> </w:t>
            </w:r>
            <w:r>
              <w:rPr>
                <w:rFonts w:ascii="Avenir Next Condensed"/>
                <w:sz w:val="18"/>
              </w:rPr>
              <w:t xml:space="preserve">to but </w:t>
            </w:r>
            <w:r>
              <w:rPr>
                <w:rFonts w:ascii="Avenir Next Condensed"/>
                <w:spacing w:val="-2"/>
                <w:sz w:val="18"/>
              </w:rPr>
              <w:t>IPART</w:t>
            </w:r>
            <w:r>
              <w:rPr>
                <w:rFonts w:ascii="Avenir Next Condensed"/>
                <w:spacing w:val="-5"/>
                <w:sz w:val="18"/>
              </w:rPr>
              <w:t xml:space="preserve"> </w:t>
            </w:r>
            <w:r>
              <w:rPr>
                <w:rFonts w:ascii="Avenir Next Condensed"/>
                <w:spacing w:val="-1"/>
                <w:sz w:val="18"/>
              </w:rPr>
              <w:t>reportedly</w:t>
            </w:r>
            <w:r>
              <w:rPr>
                <w:rFonts w:ascii="Avenir Next Condensed"/>
                <w:spacing w:val="29"/>
                <w:sz w:val="18"/>
              </w:rPr>
              <w:t xml:space="preserve"> </w:t>
            </w:r>
            <w:r>
              <w:rPr>
                <w:rFonts w:ascii="Avenir Next Condensed"/>
                <w:sz w:val="18"/>
              </w:rPr>
              <w:t xml:space="preserve">has the power to </w:t>
            </w:r>
            <w:r>
              <w:rPr>
                <w:rFonts w:ascii="Avenir Next Condensed"/>
                <w:spacing w:val="-1"/>
                <w:sz w:val="18"/>
              </w:rPr>
              <w:t>make</w:t>
            </w:r>
            <w:r>
              <w:rPr>
                <w:rFonts w:ascii="Avenir Next Condensed"/>
                <w:spacing w:val="21"/>
                <w:sz w:val="18"/>
              </w:rPr>
              <w:t xml:space="preserve"> </w:t>
            </w:r>
            <w:r>
              <w:rPr>
                <w:rFonts w:ascii="Avenir Next Condensed"/>
                <w:sz w:val="18"/>
              </w:rPr>
              <w:t>a new determination</w:t>
            </w:r>
          </w:p>
          <w:p w:rsidR="00D96B91" w:rsidRDefault="00C2656B" w:rsidP="00710124">
            <w:pPr>
              <w:pStyle w:val="TableParagraph"/>
              <w:spacing w:line="220" w:lineRule="exact"/>
              <w:ind w:left="108" w:right="159"/>
              <w:rPr>
                <w:rFonts w:ascii="Avenir Next Condensed" w:eastAsia="Avenir Next Condensed" w:hAnsi="Avenir Next Condensed" w:cs="Avenir Next Condensed"/>
                <w:sz w:val="18"/>
                <w:szCs w:val="18"/>
              </w:rPr>
            </w:pPr>
            <w:r>
              <w:rPr>
                <w:rFonts w:ascii="Avenir Next Condensed"/>
                <w:sz w:val="18"/>
              </w:rPr>
              <w:t xml:space="preserve">when </w:t>
            </w:r>
            <w:r>
              <w:rPr>
                <w:rFonts w:ascii="Avenir Next Condensed"/>
                <w:spacing w:val="-1"/>
                <w:sz w:val="18"/>
              </w:rPr>
              <w:t>circumstances</w:t>
            </w:r>
            <w:r>
              <w:rPr>
                <w:rFonts w:ascii="Avenir Next Condensed"/>
                <w:sz w:val="18"/>
              </w:rPr>
              <w:t xml:space="preserve"> have</w:t>
            </w:r>
            <w:r>
              <w:rPr>
                <w:rFonts w:ascii="Avenir Next Condensed"/>
                <w:spacing w:val="22"/>
                <w:sz w:val="18"/>
              </w:rPr>
              <w:t xml:space="preserve"> </w:t>
            </w:r>
            <w:r>
              <w:rPr>
                <w:rFonts w:ascii="Avenir Next Condensed"/>
                <w:sz w:val="18"/>
              </w:rPr>
              <w:t xml:space="preserve">changed so as to </w:t>
            </w:r>
            <w:r>
              <w:rPr>
                <w:rFonts w:ascii="Avenir Next Condensed"/>
                <w:spacing w:val="-1"/>
                <w:sz w:val="18"/>
              </w:rPr>
              <w:t>render</w:t>
            </w:r>
            <w:r>
              <w:rPr>
                <w:rFonts w:ascii="Avenir Next Condensed"/>
                <w:sz w:val="18"/>
              </w:rPr>
              <w:t xml:space="preserve"> a</w:t>
            </w:r>
            <w:r>
              <w:rPr>
                <w:rFonts w:ascii="Avenir Next Condensed"/>
                <w:spacing w:val="24"/>
                <w:sz w:val="18"/>
              </w:rPr>
              <w:t xml:space="preserve"> </w:t>
            </w:r>
            <w:r w:rsidR="00710124">
              <w:rPr>
                <w:rFonts w:ascii="Avenir Next Condensed"/>
                <w:spacing w:val="24"/>
                <w:sz w:val="18"/>
              </w:rPr>
              <w:t>d</w:t>
            </w:r>
            <w:r>
              <w:rPr>
                <w:rFonts w:ascii="Avenir Next Condensed"/>
                <w:sz w:val="18"/>
              </w:rPr>
              <w:t xml:space="preserve">etermination no longer </w:t>
            </w:r>
            <w:r>
              <w:rPr>
                <w:rFonts w:ascii="Avenir Next Condensed"/>
                <w:spacing w:val="-1"/>
                <w:sz w:val="18"/>
              </w:rPr>
              <w:t>appropriate.</w:t>
            </w:r>
          </w:p>
        </w:tc>
        <w:tc>
          <w:tcPr>
            <w:tcW w:w="35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 xml:space="preserve">Hybrid price and </w:t>
            </w:r>
            <w:r>
              <w:rPr>
                <w:rFonts w:ascii="Avenir Next Condensed"/>
                <w:spacing w:val="-1"/>
                <w:sz w:val="18"/>
              </w:rPr>
              <w:t>revenue</w:t>
            </w:r>
            <w:r>
              <w:rPr>
                <w:rFonts w:ascii="Avenir Next Condensed"/>
                <w:sz w:val="18"/>
              </w:rPr>
              <w:t xml:space="preserve"> cap</w:t>
            </w:r>
          </w:p>
          <w:p w:rsidR="00D96B91" w:rsidRDefault="00C2656B">
            <w:pPr>
              <w:pStyle w:val="TableParagraph"/>
              <w:spacing w:before="91" w:line="220" w:lineRule="exact"/>
              <w:ind w:left="108" w:right="309"/>
              <w:rPr>
                <w:rFonts w:ascii="Avenir Next Condensed" w:eastAsia="Avenir Next Condensed" w:hAnsi="Avenir Next Condensed" w:cs="Avenir Next Condensed"/>
                <w:sz w:val="18"/>
                <w:szCs w:val="18"/>
              </w:rPr>
            </w:pPr>
            <w:r>
              <w:rPr>
                <w:rFonts w:ascii="Avenir Next Condensed"/>
                <w:sz w:val="18"/>
              </w:rPr>
              <w:t xml:space="preserve">Individual price caps set for </w:t>
            </w:r>
            <w:r>
              <w:rPr>
                <w:rFonts w:ascii="Avenir Next Condensed"/>
                <w:spacing w:val="-1"/>
                <w:sz w:val="18"/>
              </w:rPr>
              <w:t>each</w:t>
            </w:r>
            <w:r>
              <w:rPr>
                <w:rFonts w:ascii="Avenir Next Condensed"/>
                <w:sz w:val="18"/>
              </w:rPr>
              <w:t xml:space="preserve"> </w:t>
            </w:r>
            <w:r>
              <w:rPr>
                <w:rFonts w:ascii="Avenir Next Condensed"/>
                <w:spacing w:val="-1"/>
                <w:sz w:val="18"/>
              </w:rPr>
              <w:t>year</w:t>
            </w:r>
            <w:r>
              <w:rPr>
                <w:rFonts w:ascii="Avenir Next Condensed"/>
                <w:sz w:val="18"/>
              </w:rPr>
              <w:t xml:space="preserve"> but if</w:t>
            </w:r>
            <w:r>
              <w:rPr>
                <w:rFonts w:ascii="Avenir Next Condensed"/>
                <w:spacing w:val="4"/>
                <w:sz w:val="18"/>
              </w:rPr>
              <w:t xml:space="preserve"> </w:t>
            </w:r>
            <w:r>
              <w:rPr>
                <w:rFonts w:ascii="Avenir Next Condensed"/>
                <w:spacing w:val="-1"/>
                <w:sz w:val="18"/>
              </w:rPr>
              <w:t>there</w:t>
            </w:r>
            <w:r>
              <w:rPr>
                <w:rFonts w:ascii="Avenir Next Condensed"/>
                <w:spacing w:val="28"/>
                <w:sz w:val="18"/>
              </w:rPr>
              <w:t xml:space="preserve"> </w:t>
            </w:r>
            <w:r>
              <w:rPr>
                <w:rFonts w:ascii="Avenir Next Condensed"/>
                <w:sz w:val="18"/>
              </w:rPr>
              <w:t>is a material deviation in demand (+/-10%) the demand volatility adjustment mechanism will be</w:t>
            </w:r>
          </w:p>
          <w:p w:rsidR="00D96B91" w:rsidRDefault="00C2656B">
            <w:pPr>
              <w:pStyle w:val="TableParagraph"/>
              <w:spacing w:line="220" w:lineRule="exact"/>
              <w:ind w:left="108" w:right="109"/>
              <w:rPr>
                <w:rFonts w:ascii="Avenir Next Condensed" w:eastAsia="Avenir Next Condensed" w:hAnsi="Avenir Next Condensed" w:cs="Avenir Next Condensed"/>
                <w:sz w:val="18"/>
                <w:szCs w:val="18"/>
              </w:rPr>
            </w:pPr>
            <w:r>
              <w:rPr>
                <w:rFonts w:ascii="Avenir Next Condensed"/>
                <w:spacing w:val="-1"/>
                <w:sz w:val="18"/>
              </w:rPr>
              <w:t>triggered</w:t>
            </w:r>
            <w:r>
              <w:rPr>
                <w:rFonts w:ascii="Avenir Next Condensed"/>
                <w:sz w:val="18"/>
              </w:rPr>
              <w:t xml:space="preserve"> and under or over </w:t>
            </w:r>
            <w:r>
              <w:rPr>
                <w:rFonts w:ascii="Avenir Next Condensed"/>
                <w:spacing w:val="-1"/>
                <w:sz w:val="18"/>
              </w:rPr>
              <w:t>recoveries</w:t>
            </w:r>
            <w:r>
              <w:rPr>
                <w:rFonts w:ascii="Avenir Next Condensed"/>
                <w:sz w:val="18"/>
              </w:rPr>
              <w:t xml:space="preserve"> of</w:t>
            </w:r>
            <w:r>
              <w:rPr>
                <w:rFonts w:ascii="Avenir Next Condensed"/>
                <w:spacing w:val="4"/>
                <w:sz w:val="18"/>
              </w:rPr>
              <w:t xml:space="preserve"> </w:t>
            </w:r>
            <w:r>
              <w:rPr>
                <w:rFonts w:ascii="Avenir Next Condensed"/>
                <w:spacing w:val="-1"/>
                <w:sz w:val="18"/>
              </w:rPr>
              <w:t>revenue</w:t>
            </w:r>
            <w:r>
              <w:rPr>
                <w:rFonts w:ascii="Avenir Next Condensed"/>
                <w:sz w:val="18"/>
              </w:rPr>
              <w:t xml:space="preserve"> in</w:t>
            </w:r>
            <w:r>
              <w:rPr>
                <w:rFonts w:ascii="Avenir Next Condensed"/>
                <w:spacing w:val="41"/>
                <w:sz w:val="18"/>
              </w:rPr>
              <w:t xml:space="preserve"> </w:t>
            </w:r>
            <w:r>
              <w:rPr>
                <w:rFonts w:ascii="Avenir Next Condensed"/>
                <w:spacing w:val="-1"/>
                <w:sz w:val="18"/>
              </w:rPr>
              <w:t>excess</w:t>
            </w:r>
            <w:r>
              <w:rPr>
                <w:rFonts w:ascii="Avenir Next Condensed"/>
                <w:sz w:val="18"/>
              </w:rPr>
              <w:t xml:space="preserve"> of</w:t>
            </w:r>
            <w:r>
              <w:rPr>
                <w:rFonts w:ascii="Avenir Next Condensed"/>
                <w:spacing w:val="4"/>
                <w:sz w:val="18"/>
              </w:rPr>
              <w:t xml:space="preserve"> </w:t>
            </w:r>
            <w:r>
              <w:rPr>
                <w:rFonts w:ascii="Avenir Next Condensed"/>
                <w:sz w:val="18"/>
              </w:rPr>
              <w:t xml:space="preserve">a 10% </w:t>
            </w:r>
            <w:r>
              <w:rPr>
                <w:rFonts w:ascii="Avenir Next Condensed"/>
                <w:spacing w:val="-1"/>
                <w:sz w:val="18"/>
              </w:rPr>
              <w:t>deadband</w:t>
            </w:r>
            <w:r>
              <w:rPr>
                <w:rFonts w:ascii="Avenir Next Condensed"/>
                <w:sz w:val="18"/>
              </w:rPr>
              <w:t xml:space="preserve"> will be accounted for in</w:t>
            </w:r>
            <w:r>
              <w:rPr>
                <w:rFonts w:ascii="Avenir Next Condensed"/>
                <w:spacing w:val="27"/>
                <w:sz w:val="18"/>
              </w:rPr>
              <w:t xml:space="preserve"> </w:t>
            </w:r>
            <w:r>
              <w:rPr>
                <w:rFonts w:ascii="Avenir Next Condensed"/>
                <w:sz w:val="18"/>
              </w:rPr>
              <w:t xml:space="preserve">the </w:t>
            </w:r>
            <w:r>
              <w:rPr>
                <w:rFonts w:ascii="Avenir Next Condensed"/>
                <w:spacing w:val="-1"/>
                <w:sz w:val="18"/>
              </w:rPr>
              <w:t>next</w:t>
            </w:r>
            <w:r>
              <w:rPr>
                <w:rFonts w:ascii="Avenir Next Condensed"/>
                <w:sz w:val="18"/>
              </w:rPr>
              <w:t xml:space="preserve"> period.</w:t>
            </w:r>
          </w:p>
        </w:tc>
        <w:tc>
          <w:tcPr>
            <w:tcW w:w="1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8" w:right="411"/>
              <w:jc w:val="both"/>
              <w:rPr>
                <w:rFonts w:ascii="Avenir Next Condensed" w:eastAsia="Avenir Next Condensed" w:hAnsi="Avenir Next Condensed" w:cs="Avenir Next Condensed"/>
                <w:sz w:val="18"/>
                <w:szCs w:val="18"/>
              </w:rPr>
            </w:pPr>
            <w:r>
              <w:rPr>
                <w:rFonts w:ascii="Avenir Next Condensed"/>
                <w:sz w:val="18"/>
              </w:rPr>
              <w:t xml:space="preserve">Demand volatility adjustment used to </w:t>
            </w:r>
            <w:r>
              <w:rPr>
                <w:rFonts w:ascii="Avenir Next Condensed"/>
                <w:spacing w:val="-1"/>
                <w:sz w:val="18"/>
              </w:rPr>
              <w:t>address</w:t>
            </w:r>
            <w:r>
              <w:rPr>
                <w:rFonts w:ascii="Avenir Next Condensed"/>
                <w:sz w:val="18"/>
              </w:rPr>
              <w:t xml:space="preserve"> risk of</w:t>
            </w:r>
          </w:p>
          <w:p w:rsidR="00D96B91" w:rsidRDefault="00C2656B">
            <w:pPr>
              <w:pStyle w:val="TableParagraph"/>
              <w:spacing w:line="220" w:lineRule="exact"/>
              <w:ind w:left="108" w:right="128"/>
              <w:rPr>
                <w:rFonts w:ascii="Avenir Next Condensed" w:eastAsia="Avenir Next Condensed" w:hAnsi="Avenir Next Condensed" w:cs="Avenir Next Condensed"/>
                <w:sz w:val="18"/>
                <w:szCs w:val="18"/>
              </w:rPr>
            </w:pPr>
            <w:r>
              <w:rPr>
                <w:rFonts w:ascii="Avenir Next Condensed"/>
                <w:sz w:val="18"/>
              </w:rPr>
              <w:t>significant variation in water sales</w:t>
            </w:r>
          </w:p>
        </w:tc>
        <w:tc>
          <w:tcPr>
            <w:tcW w:w="93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8" w:right="261"/>
              <w:rPr>
                <w:rFonts w:ascii="Avenir Next Condensed" w:eastAsia="Avenir Next Condensed" w:hAnsi="Avenir Next Condensed" w:cs="Avenir Next Condensed"/>
                <w:sz w:val="18"/>
                <w:szCs w:val="18"/>
              </w:rPr>
            </w:pPr>
            <w:r>
              <w:rPr>
                <w:rFonts w:ascii="Avenir Next Condensed"/>
                <w:sz w:val="18"/>
              </w:rPr>
              <w:t xml:space="preserve">Only for costs </w:t>
            </w:r>
            <w:r>
              <w:rPr>
                <w:rFonts w:ascii="Avenir Next Condensed"/>
                <w:spacing w:val="-1"/>
                <w:sz w:val="18"/>
              </w:rPr>
              <w:t>associated</w:t>
            </w:r>
            <w:r>
              <w:rPr>
                <w:rFonts w:ascii="Avenir Next Condensed"/>
                <w:spacing w:val="28"/>
                <w:sz w:val="18"/>
              </w:rPr>
              <w:t xml:space="preserve"> </w:t>
            </w:r>
            <w:r>
              <w:rPr>
                <w:rFonts w:ascii="Avenir Next Condensed"/>
                <w:sz w:val="18"/>
              </w:rPr>
              <w:t xml:space="preserve">with the </w:t>
            </w:r>
            <w:r>
              <w:rPr>
                <w:rFonts w:ascii="Avenir Next Condensed"/>
                <w:spacing w:val="-1"/>
                <w:sz w:val="18"/>
              </w:rPr>
              <w:t>operation</w:t>
            </w:r>
            <w:r>
              <w:rPr>
                <w:rFonts w:ascii="Avenir Next Condensed"/>
                <w:sz w:val="18"/>
              </w:rPr>
              <w:t xml:space="preserve"> of</w:t>
            </w:r>
            <w:r>
              <w:rPr>
                <w:rFonts w:ascii="Avenir Next Condensed"/>
                <w:spacing w:val="4"/>
                <w:sz w:val="18"/>
              </w:rPr>
              <w:t xml:space="preserve"> </w:t>
            </w:r>
            <w:r>
              <w:rPr>
                <w:rFonts w:ascii="Avenir Next Condensed"/>
                <w:sz w:val="18"/>
              </w:rPr>
              <w:t>the</w:t>
            </w:r>
            <w:r>
              <w:rPr>
                <w:rFonts w:ascii="Avenir Next Condensed"/>
                <w:spacing w:val="27"/>
                <w:sz w:val="18"/>
              </w:rPr>
              <w:t xml:space="preserve"> </w:t>
            </w:r>
            <w:r>
              <w:rPr>
                <w:rFonts w:ascii="Avenir Next Condensed"/>
                <w:sz w:val="18"/>
              </w:rPr>
              <w:t>desalination plant if</w:t>
            </w:r>
            <w:r>
              <w:rPr>
                <w:rFonts w:ascii="Avenir Next Condensed"/>
                <w:spacing w:val="4"/>
                <w:sz w:val="18"/>
              </w:rPr>
              <w:t xml:space="preserve"> </w:t>
            </w:r>
            <w:r>
              <w:rPr>
                <w:rFonts w:ascii="Avenir Next Condensed"/>
                <w:sz w:val="18"/>
              </w:rPr>
              <w:t xml:space="preserve">it is </w:t>
            </w:r>
            <w:r>
              <w:rPr>
                <w:rFonts w:ascii="Avenir Next Condensed"/>
                <w:spacing w:val="-1"/>
                <w:sz w:val="18"/>
              </w:rPr>
              <w:t>required</w:t>
            </w:r>
            <w:r>
              <w:rPr>
                <w:rFonts w:ascii="Avenir Next Condensed"/>
                <w:sz w:val="18"/>
              </w:rPr>
              <w:t xml:space="preserve"> in the </w:t>
            </w:r>
            <w:r>
              <w:rPr>
                <w:rFonts w:ascii="Avenir Next Condensed"/>
                <w:spacing w:val="-1"/>
                <w:sz w:val="18"/>
              </w:rPr>
              <w:t>regulatory</w:t>
            </w:r>
            <w:r>
              <w:rPr>
                <w:rFonts w:ascii="Avenir Next Condensed"/>
                <w:spacing w:val="25"/>
                <w:sz w:val="18"/>
              </w:rPr>
              <w:t xml:space="preserve"> </w:t>
            </w:r>
            <w:r>
              <w:rPr>
                <w:rFonts w:ascii="Avenir Next Condensed"/>
                <w:sz w:val="18"/>
              </w:rPr>
              <w:t>period.</w:t>
            </w:r>
          </w:p>
        </w:tc>
        <w:tc>
          <w:tcPr>
            <w:tcW w:w="12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4"/>
              <w:ind w:left="108"/>
              <w:rPr>
                <w:rFonts w:ascii="Avenir Next Condensed" w:eastAsia="Avenir Next Condensed" w:hAnsi="Avenir Next Condensed" w:cs="Avenir Next Condensed"/>
                <w:sz w:val="18"/>
                <w:szCs w:val="18"/>
              </w:rPr>
            </w:pPr>
            <w:r>
              <w:rPr>
                <w:rFonts w:ascii="Avenir Next Condensed"/>
                <w:sz w:val="18"/>
              </w:rPr>
              <w:t>No</w:t>
            </w:r>
          </w:p>
        </w:tc>
      </w:tr>
    </w:tbl>
    <w:p w:rsidR="00D96B91" w:rsidRDefault="00D96B91">
      <w:pPr>
        <w:rPr>
          <w:rFonts w:ascii="Avenir Next Condensed" w:eastAsia="Avenir Next Condensed" w:hAnsi="Avenir Next Condensed" w:cs="Avenir Next Condensed"/>
          <w:sz w:val="18"/>
          <w:szCs w:val="18"/>
        </w:rPr>
        <w:sectPr w:rsidR="00D96B91">
          <w:footerReference w:type="even" r:id="rId110"/>
          <w:pgSz w:w="16840" w:h="11910" w:orient="landscape"/>
          <w:pgMar w:top="0" w:right="900" w:bottom="0" w:left="0" w:header="0" w:footer="0" w:gutter="0"/>
          <w:cols w:space="720"/>
        </w:sectPr>
      </w:pPr>
    </w:p>
    <w:p w:rsidR="00D96B91" w:rsidRDefault="00D96B91">
      <w:pPr>
        <w:rPr>
          <w:rFonts w:ascii="Times New Roman" w:eastAsia="Times New Roman" w:hAnsi="Times New Roman" w:cs="Times New Roman"/>
          <w:sz w:val="20"/>
          <w:szCs w:val="20"/>
        </w:rPr>
      </w:pPr>
      <w:r w:rsidRPr="00D96B91">
        <w:pict>
          <v:group id="_x0000_s1514" style="position:absolute;margin-left:0;margin-top:.15pt;width:52.45pt;height:595.15pt;z-index:251552256;mso-position-horizontal-relative:page;mso-position-vertical-relative:page" coordorigin=",3" coordsize="1049,11903">
            <v:group id="_x0000_s1515" style="position:absolute;top:3;width:1049;height:11903" coordorigin=",3" coordsize="1049,11903">
              <v:shape id="_x0000_s1517" style="position:absolute;top:3;width:1049;height:11903" coordorigin=",3" coordsize="1049,11903" path="m,11906r1049,l1049,3,,3,,11906e" fillcolor="#0778be" stroked="f">
                <v:path arrowok="t"/>
              </v:shape>
              <v:shape id="_x0000_s1516" type="#_x0000_t75" style="position:absolute;top:3;width:1049;height:11903">
                <v:imagedata r:id="rId111" o:title=""/>
              </v:shape>
            </v:group>
            <w10:wrap anchorx="page" anchory="page"/>
          </v:group>
        </w:pict>
      </w:r>
      <w:r w:rsidRPr="00D96B91">
        <w:pict>
          <v:shape id="_x0000_s1513" type="#_x0000_t202" style="position:absolute;margin-left:28.15pt;margin-top:279.65pt;width:12pt;height:280.8pt;z-index:251553280;mso-position-horizontal-relative:page;mso-position-vertical-relative:page" filled="f" stroked="f">
            <v:textbox style="layout-flow:vertical;mso-next-textbox:#_x0000_s1513" inset="0,0,0,0">
              <w:txbxContent>
                <w:p w:rsidR="008A79D5" w:rsidRDefault="008A79D5">
                  <w:pPr>
                    <w:pStyle w:val="BodyText"/>
                    <w:spacing w:line="240" w:lineRule="exact"/>
                    <w:ind w:left="20"/>
                  </w:pPr>
                  <w:r>
                    <w:rPr>
                      <w:color w:val="EEF8FE"/>
                    </w:rPr>
                    <w:t xml:space="preserve">Risk </w:t>
                  </w:r>
                  <w:r>
                    <w:rPr>
                      <w:color w:val="EEF8FE"/>
                      <w:spacing w:val="-1"/>
                    </w:rPr>
                    <w:t>allocation</w:t>
                  </w:r>
                  <w:r>
                    <w:rPr>
                      <w:color w:val="EEF8FE"/>
                    </w:rPr>
                    <w:t xml:space="preserve"> tools used in </w:t>
                  </w:r>
                  <w:r>
                    <w:rPr>
                      <w:color w:val="EEF8FE"/>
                      <w:spacing w:val="-1"/>
                    </w:rPr>
                    <w:t>recent</w:t>
                  </w:r>
                  <w:r>
                    <w:rPr>
                      <w:color w:val="EEF8FE"/>
                    </w:rPr>
                    <w:t xml:space="preserve"> </w:t>
                  </w:r>
                  <w:r>
                    <w:rPr>
                      <w:color w:val="EEF8FE"/>
                      <w:spacing w:val="-1"/>
                    </w:rPr>
                    <w:t>regulatory</w:t>
                  </w:r>
                  <w:r>
                    <w:rPr>
                      <w:color w:val="EEF8FE"/>
                    </w:rPr>
                    <w:t xml:space="preserve"> decisions    157</w:t>
                  </w:r>
                </w:p>
              </w:txbxContent>
            </v:textbox>
            <w10:wrap anchorx="page" anchory="page"/>
          </v:shape>
        </w:pict>
      </w: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spacing w:before="11"/>
        <w:rPr>
          <w:rFonts w:ascii="Times New Roman" w:eastAsia="Times New Roman" w:hAnsi="Times New Roman" w:cs="Times New Roman"/>
          <w:sz w:val="27"/>
          <w:szCs w:val="27"/>
        </w:rPr>
      </w:pPr>
    </w:p>
    <w:tbl>
      <w:tblPr>
        <w:tblW w:w="0" w:type="auto"/>
        <w:tblInd w:w="1417" w:type="dxa"/>
        <w:tblLayout w:type="fixed"/>
        <w:tblCellMar>
          <w:left w:w="0" w:type="dxa"/>
          <w:right w:w="0" w:type="dxa"/>
        </w:tblCellMar>
        <w:tblLook w:val="01E0"/>
      </w:tblPr>
      <w:tblGrid>
        <w:gridCol w:w="1423"/>
        <w:gridCol w:w="1701"/>
        <w:gridCol w:w="1860"/>
        <w:gridCol w:w="3501"/>
        <w:gridCol w:w="1644"/>
        <w:gridCol w:w="935"/>
        <w:gridCol w:w="1998"/>
        <w:gridCol w:w="1286"/>
      </w:tblGrid>
      <w:tr w:rsidR="00D96B91" w:rsidTr="00C2656B">
        <w:trPr>
          <w:trHeight w:hRule="exact" w:val="407"/>
        </w:trPr>
        <w:tc>
          <w:tcPr>
            <w:tcW w:w="1423" w:type="dxa"/>
            <w:vMerge w:val="restart"/>
            <w:tcBorders>
              <w:top w:val="single" w:sz="4" w:space="0" w:color="1A9EDA"/>
              <w:left w:val="single" w:sz="4" w:space="0" w:color="1A9EDA"/>
              <w:right w:val="single" w:sz="4" w:space="0" w:color="1A9EDA"/>
            </w:tcBorders>
            <w:shd w:val="clear" w:color="auto" w:fill="0778BE"/>
          </w:tcPr>
          <w:p w:rsidR="00D96B91" w:rsidRDefault="00D96B91"/>
        </w:tc>
        <w:tc>
          <w:tcPr>
            <w:tcW w:w="1701"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18" w:line="220" w:lineRule="exact"/>
              <w:ind w:left="108" w:right="184"/>
              <w:rPr>
                <w:rFonts w:ascii="Avenir Next Condensed" w:eastAsia="Avenir Next Condensed" w:hAnsi="Avenir Next Condensed" w:cs="Avenir Next Condensed"/>
                <w:sz w:val="18"/>
                <w:szCs w:val="18"/>
              </w:rPr>
            </w:pPr>
            <w:r>
              <w:rPr>
                <w:rFonts w:ascii="Avenir Next Condensed"/>
                <w:b/>
                <w:color w:val="FFFFFF"/>
                <w:spacing w:val="-1"/>
                <w:sz w:val="18"/>
              </w:rPr>
              <w:t>Length</w:t>
            </w:r>
            <w:r>
              <w:rPr>
                <w:rFonts w:ascii="Avenir Next Condensed"/>
                <w:b/>
                <w:color w:val="FFFFFF"/>
                <w:sz w:val="18"/>
              </w:rPr>
              <w:t xml:space="preserve"> of</w:t>
            </w:r>
            <w:r>
              <w:rPr>
                <w:rFonts w:ascii="Avenir Next Condensed"/>
                <w:b/>
                <w:color w:val="FFFFFF"/>
                <w:spacing w:val="23"/>
                <w:sz w:val="18"/>
              </w:rPr>
              <w:t xml:space="preserve"> </w:t>
            </w:r>
            <w:r>
              <w:rPr>
                <w:rFonts w:ascii="Avenir Next Condensed"/>
                <w:b/>
                <w:color w:val="FFFFFF"/>
                <w:spacing w:val="-1"/>
                <w:sz w:val="18"/>
              </w:rPr>
              <w:t>regulatory</w:t>
            </w:r>
            <w:r>
              <w:rPr>
                <w:rFonts w:ascii="Avenir Next Condensed"/>
                <w:b/>
                <w:color w:val="FFFFFF"/>
                <w:sz w:val="18"/>
              </w:rPr>
              <w:t xml:space="preserve"> period</w:t>
            </w:r>
          </w:p>
        </w:tc>
        <w:tc>
          <w:tcPr>
            <w:tcW w:w="1860" w:type="dxa"/>
            <w:vMerge w:val="restart"/>
            <w:tcBorders>
              <w:top w:val="single" w:sz="4" w:space="0" w:color="1A9EDA"/>
              <w:left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18" w:line="220" w:lineRule="exact"/>
              <w:ind w:left="108" w:right="232"/>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unforeseen</w:t>
            </w:r>
            <w:r>
              <w:rPr>
                <w:rFonts w:ascii="Avenir Next Condensed"/>
                <w:b/>
                <w:color w:val="FFFFFF"/>
                <w:spacing w:val="31"/>
                <w:sz w:val="18"/>
              </w:rPr>
              <w:t xml:space="preserve"> </w:t>
            </w:r>
            <w:r>
              <w:rPr>
                <w:rFonts w:ascii="Avenir Next Condensed"/>
                <w:b/>
                <w:color w:val="FFFFFF"/>
                <w:sz w:val="18"/>
              </w:rPr>
              <w:t>events</w:t>
            </w:r>
          </w:p>
        </w:tc>
        <w:tc>
          <w:tcPr>
            <w:tcW w:w="5145" w:type="dxa"/>
            <w:gridSpan w:val="2"/>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408"/>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z w:val="18"/>
              </w:rPr>
              <w:t xml:space="preserve">demand </w:t>
            </w:r>
            <w:r>
              <w:rPr>
                <w:rFonts w:ascii="Avenir Next Condensed"/>
                <w:b/>
                <w:color w:val="FFFFFF"/>
                <w:spacing w:val="-1"/>
                <w:sz w:val="18"/>
              </w:rPr>
              <w:t>related</w:t>
            </w:r>
            <w:r>
              <w:rPr>
                <w:rFonts w:ascii="Avenir Next Condensed"/>
                <w:b/>
                <w:color w:val="FFFFFF"/>
                <w:sz w:val="18"/>
              </w:rPr>
              <w:t xml:space="preserve"> </w:t>
            </w:r>
            <w:r>
              <w:rPr>
                <w:rFonts w:ascii="Avenir Next Condensed"/>
                <w:b/>
                <w:color w:val="FFFFFF"/>
                <w:spacing w:val="-1"/>
                <w:sz w:val="18"/>
              </w:rPr>
              <w:t>risks</w:t>
            </w:r>
          </w:p>
        </w:tc>
        <w:tc>
          <w:tcPr>
            <w:tcW w:w="4219" w:type="dxa"/>
            <w:gridSpan w:val="3"/>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846"/>
              <w:rPr>
                <w:rFonts w:ascii="Avenir Next Condensed" w:eastAsia="Avenir Next Condensed" w:hAnsi="Avenir Next Condensed" w:cs="Avenir Next Condensed"/>
                <w:sz w:val="18"/>
                <w:szCs w:val="18"/>
              </w:rPr>
            </w:pPr>
            <w:r>
              <w:rPr>
                <w:rFonts w:ascii="Avenir Next Condensed"/>
                <w:b/>
                <w:color w:val="FFFFFF"/>
                <w:spacing w:val="-2"/>
                <w:sz w:val="18"/>
              </w:rPr>
              <w:t>Treatment</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expenditure</w:t>
            </w:r>
            <w:r>
              <w:rPr>
                <w:rFonts w:ascii="Avenir Next Condensed"/>
                <w:b/>
                <w:color w:val="FFFFFF"/>
                <w:sz w:val="18"/>
              </w:rPr>
              <w:t xml:space="preserve"> </w:t>
            </w:r>
            <w:r>
              <w:rPr>
                <w:rFonts w:ascii="Avenir Next Condensed"/>
                <w:b/>
                <w:color w:val="FFFFFF"/>
                <w:spacing w:val="-1"/>
                <w:sz w:val="18"/>
              </w:rPr>
              <w:t>related</w:t>
            </w:r>
            <w:r>
              <w:rPr>
                <w:rFonts w:ascii="Avenir Next Condensed"/>
                <w:b/>
                <w:color w:val="FFFFFF"/>
                <w:sz w:val="18"/>
              </w:rPr>
              <w:t xml:space="preserve"> risk</w:t>
            </w:r>
          </w:p>
        </w:tc>
      </w:tr>
      <w:tr w:rsidR="00D96B91" w:rsidTr="00C2656B">
        <w:trPr>
          <w:trHeight w:hRule="exact" w:val="847"/>
        </w:trPr>
        <w:tc>
          <w:tcPr>
            <w:tcW w:w="1423" w:type="dxa"/>
            <w:vMerge/>
            <w:tcBorders>
              <w:left w:val="single" w:sz="4" w:space="0" w:color="1A9EDA"/>
              <w:bottom w:val="single" w:sz="4" w:space="0" w:color="1A9EDA"/>
              <w:right w:val="single" w:sz="4" w:space="0" w:color="1A9EDA"/>
            </w:tcBorders>
            <w:shd w:val="clear" w:color="auto" w:fill="0778BE"/>
          </w:tcPr>
          <w:p w:rsidR="00D96B91" w:rsidRDefault="00D96B91"/>
        </w:tc>
        <w:tc>
          <w:tcPr>
            <w:tcW w:w="1701" w:type="dxa"/>
            <w:vMerge/>
            <w:tcBorders>
              <w:left w:val="single" w:sz="4" w:space="0" w:color="1A9EDA"/>
              <w:bottom w:val="single" w:sz="4" w:space="0" w:color="1A9EDA"/>
              <w:right w:val="single" w:sz="4" w:space="0" w:color="1A9EDA"/>
            </w:tcBorders>
            <w:shd w:val="clear" w:color="auto" w:fill="0778BE"/>
          </w:tcPr>
          <w:p w:rsidR="00D96B91" w:rsidRDefault="00D96B91"/>
        </w:tc>
        <w:tc>
          <w:tcPr>
            <w:tcW w:w="1860" w:type="dxa"/>
            <w:vMerge/>
            <w:tcBorders>
              <w:left w:val="single" w:sz="4" w:space="0" w:color="1A9EDA"/>
              <w:bottom w:val="single" w:sz="4" w:space="0" w:color="1A9EDA"/>
              <w:right w:val="single" w:sz="4" w:space="0" w:color="1A9EDA"/>
            </w:tcBorders>
            <w:shd w:val="clear" w:color="auto" w:fill="0778BE"/>
          </w:tcPr>
          <w:p w:rsidR="00D96B91" w:rsidRDefault="00D96B91"/>
        </w:tc>
        <w:tc>
          <w:tcPr>
            <w:tcW w:w="35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34"/>
              <w:ind w:left="108"/>
              <w:rPr>
                <w:rFonts w:ascii="Avenir Next Condensed" w:eastAsia="Avenir Next Condensed" w:hAnsi="Avenir Next Condensed" w:cs="Avenir Next Condensed"/>
                <w:sz w:val="18"/>
                <w:szCs w:val="18"/>
              </w:rPr>
            </w:pPr>
            <w:r>
              <w:rPr>
                <w:rFonts w:ascii="Avenir Next Condensed"/>
                <w:b/>
                <w:color w:val="FFFFFF"/>
                <w:spacing w:val="-2"/>
                <w:sz w:val="18"/>
              </w:rPr>
              <w:t>Form</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pacing w:val="-1"/>
                <w:sz w:val="18"/>
              </w:rPr>
              <w:t>Control</w:t>
            </w:r>
          </w:p>
        </w:tc>
        <w:tc>
          <w:tcPr>
            <w:tcW w:w="164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34"/>
              <w:ind w:left="108"/>
              <w:rPr>
                <w:rFonts w:ascii="Avenir Next Condensed" w:eastAsia="Avenir Next Condensed" w:hAnsi="Avenir Next Condensed" w:cs="Avenir Next Condensed"/>
                <w:sz w:val="18"/>
                <w:szCs w:val="18"/>
              </w:rPr>
            </w:pPr>
            <w:r>
              <w:rPr>
                <w:rFonts w:ascii="Avenir Next Condensed"/>
                <w:b/>
                <w:color w:val="FFFFFF"/>
                <w:sz w:val="18"/>
              </w:rPr>
              <w:t>Other</w:t>
            </w:r>
            <w:r>
              <w:rPr>
                <w:rFonts w:ascii="Avenir Next Condensed"/>
                <w:b/>
                <w:color w:val="FFFFFF"/>
                <w:spacing w:val="-5"/>
                <w:sz w:val="18"/>
              </w:rPr>
              <w:t xml:space="preserve"> </w:t>
            </w:r>
            <w:r>
              <w:rPr>
                <w:rFonts w:ascii="Avenir Next Condensed"/>
                <w:b/>
                <w:color w:val="FFFFFF"/>
                <w:spacing w:val="-2"/>
                <w:sz w:val="18"/>
              </w:rPr>
              <w:t>Tools</w:t>
            </w:r>
          </w:p>
        </w:tc>
        <w:tc>
          <w:tcPr>
            <w:tcW w:w="93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line="233" w:lineRule="exact"/>
              <w:ind w:left="108"/>
              <w:rPr>
                <w:rFonts w:ascii="Avenir Next Condensed" w:eastAsia="Avenir Next Condensed" w:hAnsi="Avenir Next Condensed" w:cs="Avenir Next Condensed"/>
                <w:sz w:val="18"/>
                <w:szCs w:val="18"/>
              </w:rPr>
            </w:pPr>
            <w:r>
              <w:rPr>
                <w:rFonts w:ascii="Avenir Next Condensed"/>
                <w:b/>
                <w:color w:val="FFFFFF"/>
                <w:sz w:val="18"/>
              </w:rPr>
              <w:t>CPI</w:t>
            </w:r>
          </w:p>
          <w:p w:rsidR="00D96B91" w:rsidRDefault="00C2656B">
            <w:pPr>
              <w:pStyle w:val="TableParagraph"/>
              <w:spacing w:line="233" w:lineRule="exact"/>
              <w:ind w:left="108"/>
              <w:rPr>
                <w:rFonts w:ascii="Avenir Next Condensed" w:eastAsia="Avenir Next Condensed" w:hAnsi="Avenir Next Condensed" w:cs="Avenir Next Condensed"/>
                <w:sz w:val="18"/>
                <w:szCs w:val="18"/>
              </w:rPr>
            </w:pPr>
            <w:r>
              <w:rPr>
                <w:rFonts w:ascii="Avenir Next Condensed"/>
                <w:b/>
                <w:color w:val="FFFFFF"/>
                <w:sz w:val="18"/>
              </w:rPr>
              <w:t>escalation</w:t>
            </w:r>
          </w:p>
        </w:tc>
        <w:tc>
          <w:tcPr>
            <w:tcW w:w="199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rsidP="00C2656B">
            <w:pPr>
              <w:pStyle w:val="TableParagraph"/>
              <w:spacing w:before="125" w:line="220" w:lineRule="exact"/>
              <w:ind w:left="108"/>
              <w:rPr>
                <w:rFonts w:ascii="Avenir Next Condensed" w:eastAsia="Avenir Next Condensed" w:hAnsi="Avenir Next Condensed" w:cs="Avenir Next Condensed"/>
                <w:sz w:val="18"/>
                <w:szCs w:val="18"/>
              </w:rPr>
            </w:pPr>
            <w:r>
              <w:rPr>
                <w:rFonts w:ascii="Avenir Next Condensed"/>
                <w:b/>
                <w:color w:val="FFFFFF"/>
                <w:spacing w:val="-1"/>
                <w:sz w:val="18"/>
              </w:rPr>
              <w:t>Cost</w:t>
            </w:r>
            <w:r>
              <w:rPr>
                <w:rFonts w:ascii="Avenir Next Condensed"/>
                <w:b/>
                <w:color w:val="FFFFFF"/>
                <w:sz w:val="18"/>
              </w:rPr>
              <w:t xml:space="preserve"> </w:t>
            </w:r>
            <w:r>
              <w:rPr>
                <w:rFonts w:ascii="Avenir Next Condensed"/>
                <w:b/>
                <w:color w:val="FFFFFF"/>
                <w:spacing w:val="-1"/>
                <w:sz w:val="18"/>
              </w:rPr>
              <w:t>pass-through</w:t>
            </w:r>
            <w:r>
              <w:rPr>
                <w:rFonts w:ascii="Avenir Next Condensed"/>
                <w:b/>
                <w:color w:val="FFFFFF"/>
                <w:spacing w:val="30"/>
                <w:sz w:val="18"/>
              </w:rPr>
              <w:t xml:space="preserve"> </w:t>
            </w:r>
            <w:r>
              <w:rPr>
                <w:rFonts w:ascii="Avenir Next Condensed"/>
                <w:b/>
                <w:color w:val="FFFFFF"/>
                <w:sz w:val="18"/>
              </w:rPr>
              <w:t>mechanism</w:t>
            </w:r>
          </w:p>
        </w:tc>
        <w:tc>
          <w:tcPr>
            <w:tcW w:w="128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b/>
                <w:color w:val="FFFFFF"/>
                <w:spacing w:val="-2"/>
                <w:sz w:val="18"/>
              </w:rPr>
              <w:t>Capex</w:t>
            </w:r>
          </w:p>
          <w:p w:rsidR="00D96B91" w:rsidRDefault="00C2656B" w:rsidP="00C2656B">
            <w:pPr>
              <w:pStyle w:val="TableParagraph"/>
              <w:spacing w:before="6" w:line="214" w:lineRule="auto"/>
              <w:ind w:left="108" w:right="25"/>
              <w:rPr>
                <w:rFonts w:ascii="Avenir Next Condensed" w:eastAsia="Avenir Next Condensed" w:hAnsi="Avenir Next Condensed" w:cs="Avenir Next Condensed"/>
                <w:sz w:val="18"/>
                <w:szCs w:val="18"/>
              </w:rPr>
            </w:pPr>
            <w:r>
              <w:rPr>
                <w:rFonts w:ascii="Avenir Next Condensed"/>
                <w:b/>
                <w:color w:val="FFFFFF"/>
                <w:spacing w:val="-1"/>
                <w:sz w:val="18"/>
              </w:rPr>
              <w:t>re-opener</w:t>
            </w:r>
            <w:r>
              <w:rPr>
                <w:rFonts w:ascii="Avenir Next Condensed"/>
                <w:b/>
                <w:color w:val="FFFFFF"/>
                <w:spacing w:val="27"/>
                <w:sz w:val="18"/>
              </w:rPr>
              <w:t xml:space="preserve"> </w:t>
            </w:r>
            <w:r>
              <w:rPr>
                <w:rFonts w:ascii="Avenir Next Condensed"/>
                <w:b/>
                <w:color w:val="FFFFFF"/>
                <w:spacing w:val="-1"/>
                <w:sz w:val="18"/>
              </w:rPr>
              <w:t>provision</w:t>
            </w:r>
          </w:p>
        </w:tc>
      </w:tr>
      <w:tr w:rsidR="00D96B91" w:rsidTr="00C2656B">
        <w:trPr>
          <w:trHeight w:hRule="exact" w:val="3179"/>
        </w:trPr>
        <w:tc>
          <w:tcPr>
            <w:tcW w:w="14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line="233" w:lineRule="exact"/>
              <w:ind w:left="108"/>
              <w:rPr>
                <w:rFonts w:ascii="Avenir Next Condensed" w:eastAsia="Avenir Next Condensed" w:hAnsi="Avenir Next Condensed" w:cs="Avenir Next Condensed"/>
                <w:sz w:val="18"/>
                <w:szCs w:val="18"/>
              </w:rPr>
            </w:pPr>
            <w:r>
              <w:rPr>
                <w:rFonts w:ascii="Avenir Next Condensed"/>
                <w:spacing w:val="-1"/>
                <w:sz w:val="18"/>
              </w:rPr>
              <w:t>QCA</w:t>
            </w:r>
          </w:p>
          <w:p w:rsidR="00D96B91" w:rsidRDefault="00C2656B">
            <w:pPr>
              <w:pStyle w:val="TableParagraph"/>
              <w:spacing w:before="6" w:line="214" w:lineRule="auto"/>
              <w:ind w:left="108" w:right="340"/>
              <w:rPr>
                <w:rFonts w:ascii="Avenir Next Condensed" w:eastAsia="Avenir Next Condensed" w:hAnsi="Avenir Next Condensed" w:cs="Avenir Next Condensed"/>
                <w:sz w:val="18"/>
                <w:szCs w:val="18"/>
              </w:rPr>
            </w:pPr>
            <w:r>
              <w:rPr>
                <w:rFonts w:ascii="Avenir Next Condensed"/>
                <w:sz w:val="18"/>
              </w:rPr>
              <w:t>2013 Sun</w:t>
            </w:r>
            <w:r>
              <w:rPr>
                <w:rFonts w:ascii="Avenir Next Condensed"/>
                <w:spacing w:val="-3"/>
                <w:sz w:val="18"/>
              </w:rPr>
              <w:t xml:space="preserve"> </w:t>
            </w:r>
            <w:r>
              <w:rPr>
                <w:rFonts w:ascii="Avenir Next Condensed"/>
                <w:spacing w:val="-1"/>
                <w:sz w:val="18"/>
              </w:rPr>
              <w:t>Water</w:t>
            </w:r>
            <w:r>
              <w:rPr>
                <w:rFonts w:ascii="Avenir Next Condensed"/>
                <w:spacing w:val="22"/>
                <w:sz w:val="18"/>
              </w:rPr>
              <w:t xml:space="preserve"> </w:t>
            </w:r>
            <w:r>
              <w:rPr>
                <w:rFonts w:ascii="Avenir Next Condensed"/>
                <w:sz w:val="18"/>
              </w:rPr>
              <w:t xml:space="preserve">and 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7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c>
          <w:tcPr>
            <w:tcW w:w="186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4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Price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review</w:t>
            </w:r>
            <w:r>
              <w:rPr>
                <w:rFonts w:ascii="Avenir Next Condensed" w:eastAsia="Avenir Next Condensed" w:hAnsi="Avenir Next Condensed" w:cs="Avenir Next Condensed"/>
                <w:sz w:val="18"/>
                <w:szCs w:val="18"/>
              </w:rPr>
              <w:t xml:space="preserve"> trigger – allows</w:t>
            </w:r>
            <w:r>
              <w:rPr>
                <w:rFonts w:ascii="Avenir Next Condensed" w:eastAsia="Avenir Next Condensed" w:hAnsi="Avenir Next Condensed" w:cs="Avenir Next Condensed"/>
                <w:spacing w:val="24"/>
                <w:sz w:val="18"/>
                <w:szCs w:val="18"/>
              </w:rPr>
              <w:t xml:space="preserve"> </w:t>
            </w:r>
            <w:r>
              <w:rPr>
                <w:rFonts w:ascii="Avenir Next Condensed" w:eastAsia="Avenir Next Condensed" w:hAnsi="Avenir Next Condensed" w:cs="Avenir Next Condensed"/>
                <w:sz w:val="18"/>
                <w:szCs w:val="18"/>
              </w:rPr>
              <w:t xml:space="preserve">prices to be </w:t>
            </w:r>
            <w:r>
              <w:rPr>
                <w:rFonts w:ascii="Avenir Next Condensed" w:eastAsia="Avenir Next Condensed" w:hAnsi="Avenir Next Condensed" w:cs="Avenir Next Condensed"/>
                <w:spacing w:val="-1"/>
                <w:sz w:val="18"/>
                <w:szCs w:val="18"/>
              </w:rPr>
              <w:t>reviewed</w:t>
            </w:r>
            <w:r>
              <w:rPr>
                <w:rFonts w:ascii="Avenir Next Condensed" w:eastAsia="Avenir Next Condensed" w:hAnsi="Avenir Next Condensed" w:cs="Avenir Next Condensed"/>
                <w:sz w:val="18"/>
                <w:szCs w:val="18"/>
              </w:rPr>
              <w:t xml:space="preserve"> in</w:t>
            </w:r>
            <w:r>
              <w:rPr>
                <w:rFonts w:ascii="Avenir Next Condensed" w:eastAsia="Avenir Next Condensed" w:hAnsi="Avenir Next Condensed" w:cs="Avenir Next Condensed"/>
                <w:spacing w:val="26"/>
                <w:sz w:val="18"/>
                <w:szCs w:val="18"/>
              </w:rPr>
              <w:t xml:space="preserv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if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there</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material </w:t>
            </w:r>
            <w:r>
              <w:rPr>
                <w:rFonts w:ascii="Avenir Next Condensed" w:eastAsia="Avenir Next Condensed" w:hAnsi="Avenir Next Condensed" w:cs="Avenir Next Condensed"/>
                <w:spacing w:val="-1"/>
                <w:sz w:val="18"/>
                <w:szCs w:val="18"/>
              </w:rPr>
              <w:t>differences</w:t>
            </w:r>
            <w:r>
              <w:rPr>
                <w:rFonts w:ascii="Avenir Next Condensed" w:eastAsia="Avenir Next Condensed" w:hAnsi="Avenir Next Condensed" w:cs="Avenir Next Condensed"/>
                <w:spacing w:val="28"/>
                <w:sz w:val="18"/>
                <w:szCs w:val="18"/>
              </w:rPr>
              <w:t xml:space="preserve"> </w:t>
            </w:r>
            <w:r>
              <w:rPr>
                <w:rFonts w:ascii="Avenir Next Condensed" w:eastAsia="Avenir Next Condensed" w:hAnsi="Avenir Next Condensed" w:cs="Avenir Next Condensed"/>
                <w:sz w:val="18"/>
                <w:szCs w:val="18"/>
              </w:rPr>
              <w:t xml:space="preserve">between </w:t>
            </w:r>
            <w:r>
              <w:rPr>
                <w:rFonts w:ascii="Avenir Next Condensed" w:eastAsia="Avenir Next Condensed" w:hAnsi="Avenir Next Condensed" w:cs="Avenir Next Condensed"/>
                <w:spacing w:val="-1"/>
                <w:sz w:val="18"/>
                <w:szCs w:val="18"/>
              </w:rPr>
              <w:t>forecast</w:t>
            </w:r>
            <w:r>
              <w:rPr>
                <w:rFonts w:ascii="Avenir Next Condensed" w:eastAsia="Avenir Next Condensed" w:hAnsi="Avenir Next Condensed" w:cs="Avenir Next Condensed"/>
                <w:sz w:val="18"/>
                <w:szCs w:val="18"/>
              </w:rPr>
              <w:t xml:space="preserve"> and actual</w:t>
            </w:r>
            <w:r>
              <w:rPr>
                <w:rFonts w:ascii="Avenir Next Condensed" w:eastAsia="Avenir Next Condensed" w:hAnsi="Avenir Next Condensed" w:cs="Avenir Next Condensed"/>
                <w:spacing w:val="26"/>
                <w:sz w:val="18"/>
                <w:szCs w:val="18"/>
              </w:rPr>
              <w:t xml:space="preserve"> </w:t>
            </w:r>
            <w:r>
              <w:rPr>
                <w:rFonts w:ascii="Avenir Next Condensed" w:eastAsia="Avenir Next Condensed" w:hAnsi="Avenir Next Condensed" w:cs="Avenir Next Condensed"/>
                <w:sz w:val="18"/>
                <w:szCs w:val="18"/>
              </w:rPr>
              <w:t xml:space="preserve">costs that can’t be managed and could not have been </w:t>
            </w:r>
            <w:r>
              <w:rPr>
                <w:rFonts w:ascii="Avenir Next Condensed" w:eastAsia="Avenir Next Condensed" w:hAnsi="Avenir Next Condensed" w:cs="Avenir Next Condensed"/>
                <w:spacing w:val="-1"/>
                <w:sz w:val="18"/>
                <w:szCs w:val="18"/>
              </w:rPr>
              <w:t>reasonably</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forecast.</w:t>
            </w:r>
          </w:p>
        </w:tc>
        <w:tc>
          <w:tcPr>
            <w:tcW w:w="350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Hybrid price and </w:t>
            </w:r>
            <w:r>
              <w:rPr>
                <w:rFonts w:ascii="Avenir Next Condensed"/>
                <w:spacing w:val="-1"/>
                <w:sz w:val="18"/>
              </w:rPr>
              <w:t>revenue</w:t>
            </w:r>
            <w:r>
              <w:rPr>
                <w:rFonts w:ascii="Avenir Next Condensed"/>
                <w:sz w:val="18"/>
              </w:rPr>
              <w:t xml:space="preserve"> cap</w:t>
            </w:r>
          </w:p>
          <w:p w:rsidR="00D96B91" w:rsidRDefault="00C2656B">
            <w:pPr>
              <w:pStyle w:val="TableParagraph"/>
              <w:spacing w:before="91" w:line="220" w:lineRule="exact"/>
              <w:ind w:left="108" w:right="173"/>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cap with end of</w:t>
            </w:r>
            <w:r>
              <w:rPr>
                <w:rFonts w:ascii="Avenir Next Condensed"/>
                <w:spacing w:val="4"/>
                <w:sz w:val="18"/>
              </w:rPr>
              <w:t xml:space="preserve"> </w:t>
            </w:r>
            <w:r>
              <w:rPr>
                <w:rFonts w:ascii="Avenir Next Condensed"/>
                <w:sz w:val="18"/>
              </w:rPr>
              <w:t xml:space="preserve">period adjustment that allows for </w:t>
            </w:r>
            <w:r>
              <w:rPr>
                <w:rFonts w:ascii="Avenir Next Condensed"/>
                <w:spacing w:val="-1"/>
                <w:sz w:val="18"/>
              </w:rPr>
              <w:t>recoupment</w:t>
            </w:r>
            <w:r>
              <w:rPr>
                <w:rFonts w:ascii="Avenir Next Condensed"/>
                <w:sz w:val="18"/>
              </w:rPr>
              <w:t xml:space="preserve"> of</w:t>
            </w:r>
            <w:r>
              <w:rPr>
                <w:rFonts w:ascii="Avenir Next Condensed"/>
                <w:spacing w:val="4"/>
                <w:sz w:val="18"/>
              </w:rPr>
              <w:t xml:space="preserve"> </w:t>
            </w:r>
            <w:r>
              <w:rPr>
                <w:rFonts w:ascii="Avenir Next Condensed"/>
                <w:spacing w:val="-1"/>
                <w:sz w:val="18"/>
              </w:rPr>
              <w:t>unrecovered</w:t>
            </w:r>
            <w:r>
              <w:rPr>
                <w:rFonts w:ascii="Avenir Next Condensed"/>
                <w:sz w:val="18"/>
              </w:rPr>
              <w:t xml:space="preserve"> </w:t>
            </w:r>
            <w:r>
              <w:rPr>
                <w:rFonts w:ascii="Avenir Next Condensed"/>
                <w:spacing w:val="-1"/>
                <w:sz w:val="18"/>
              </w:rPr>
              <w:t>efficient</w:t>
            </w:r>
            <w:r>
              <w:rPr>
                <w:rFonts w:ascii="Avenir Next Condensed"/>
                <w:sz w:val="18"/>
              </w:rPr>
              <w:t xml:space="preserve"> costs in</w:t>
            </w:r>
            <w:r>
              <w:rPr>
                <w:rFonts w:ascii="Avenir Next Condensed"/>
                <w:spacing w:val="43"/>
                <w:sz w:val="18"/>
              </w:rPr>
              <w:t xml:space="preserve"> </w:t>
            </w:r>
            <w:r>
              <w:rPr>
                <w:rFonts w:ascii="Avenir Next Condensed"/>
                <w:sz w:val="18"/>
              </w:rPr>
              <w:t xml:space="preserve">limited </w:t>
            </w:r>
            <w:r>
              <w:rPr>
                <w:rFonts w:ascii="Avenir Next Condensed"/>
                <w:spacing w:val="-1"/>
                <w:sz w:val="18"/>
              </w:rPr>
              <w:t>circumstances.</w:t>
            </w:r>
          </w:p>
          <w:p w:rsidR="00D96B91" w:rsidRDefault="00C2656B">
            <w:pPr>
              <w:pStyle w:val="TableParagraph"/>
              <w:spacing w:before="113" w:line="220" w:lineRule="exact"/>
              <w:ind w:left="108" w:right="28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QCA</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noted that Sun</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Seqwater cannot</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z w:val="18"/>
                <w:szCs w:val="18"/>
              </w:rPr>
              <w:t xml:space="preserve">manage short term volume risk so the risk should be allocated to customers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cost </w:t>
            </w:r>
            <w:r>
              <w:rPr>
                <w:rFonts w:ascii="Avenir Next Condensed" w:eastAsia="Avenir Next Condensed" w:hAnsi="Avenir Next Condensed" w:cs="Avenir Next Condensed"/>
                <w:spacing w:val="-1"/>
                <w:sz w:val="18"/>
                <w:szCs w:val="18"/>
              </w:rPr>
              <w:t>reflective</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pacing w:val="-3"/>
                <w:sz w:val="18"/>
                <w:szCs w:val="18"/>
              </w:rPr>
              <w:t>tariffs’.</w:t>
            </w:r>
          </w:p>
        </w:tc>
        <w:tc>
          <w:tcPr>
            <w:tcW w:w="164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line="233" w:lineRule="exact"/>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w:t>
            </w:r>
            <w:r>
              <w:rPr>
                <w:rFonts w:ascii="Avenir Next Condensed"/>
                <w:spacing w:val="-1"/>
                <w:sz w:val="18"/>
              </w:rPr>
              <w:t>reflective</w:t>
            </w:r>
            <w:r>
              <w:rPr>
                <w:rFonts w:ascii="Avenir Next Condensed"/>
                <w:sz w:val="18"/>
              </w:rPr>
              <w:t xml:space="preserve"> </w:t>
            </w:r>
            <w:r>
              <w:rPr>
                <w:rFonts w:ascii="Avenir Next Condensed"/>
                <w:spacing w:val="-1"/>
                <w:sz w:val="18"/>
              </w:rPr>
              <w:t>tariffs</w:t>
            </w:r>
          </w:p>
          <w:p w:rsidR="00D96B91" w:rsidRDefault="00C2656B">
            <w:pPr>
              <w:pStyle w:val="TableParagraph"/>
              <w:spacing w:before="6" w:line="214" w:lineRule="auto"/>
              <w:ind w:left="108" w:right="22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 two part </w:t>
            </w:r>
            <w:r>
              <w:rPr>
                <w:rFonts w:ascii="Avenir Next Condensed" w:eastAsia="Avenir Next Condensed" w:hAnsi="Avenir Next Condensed" w:cs="Avenir Next Condensed"/>
                <w:spacing w:val="-1"/>
                <w:sz w:val="18"/>
                <w:szCs w:val="18"/>
              </w:rPr>
              <w:t>tariff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with</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pacing w:val="-1"/>
                <w:sz w:val="18"/>
                <w:szCs w:val="18"/>
              </w:rPr>
              <w:t>fixed</w:t>
            </w:r>
            <w:r>
              <w:rPr>
                <w:rFonts w:ascii="Avenir Next Condensed" w:eastAsia="Avenir Next Condensed" w:hAnsi="Avenir Next Condensed" w:cs="Avenir Next Condensed"/>
                <w:sz w:val="18"/>
                <w:szCs w:val="18"/>
              </w:rPr>
              <w:t xml:space="preserve"> costs </w:t>
            </w:r>
            <w:r>
              <w:rPr>
                <w:rFonts w:ascii="Avenir Next Condensed" w:eastAsia="Avenir Next Condensed" w:hAnsi="Avenir Next Condensed" w:cs="Avenir Next Condensed"/>
                <w:spacing w:val="-1"/>
                <w:sz w:val="18"/>
                <w:szCs w:val="18"/>
              </w:rPr>
              <w:t>recovered</w:t>
            </w:r>
            <w:r>
              <w:rPr>
                <w:rFonts w:ascii="Avenir Next Condensed" w:eastAsia="Avenir Next Condensed" w:hAnsi="Avenir Next Condensed" w:cs="Avenir Next Condensed"/>
                <w:spacing w:val="29"/>
                <w:sz w:val="18"/>
                <w:szCs w:val="18"/>
              </w:rPr>
              <w:t xml:space="preserve">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fixed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tariff</w:t>
            </w:r>
            <w:r>
              <w:rPr>
                <w:rFonts w:ascii="Avenir Next Condensed" w:eastAsia="Avenir Next Condensed" w:hAnsi="Avenir Next Condensed" w:cs="Avenir Next Condensed"/>
                <w:spacing w:val="23"/>
                <w:sz w:val="18"/>
                <w:szCs w:val="18"/>
              </w:rPr>
              <w:t xml:space="preserve"> </w:t>
            </w:r>
            <w:r>
              <w:rPr>
                <w:rFonts w:ascii="Avenir Next Condensed" w:eastAsia="Avenir Next Condensed" w:hAnsi="Avenir Next Condensed" w:cs="Avenir Next Condensed"/>
                <w:sz w:val="18"/>
                <w:szCs w:val="18"/>
              </w:rPr>
              <w:t xml:space="preserve">and variable costs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volumetric</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pacing w:val="-1"/>
                <w:sz w:val="18"/>
                <w:szCs w:val="18"/>
              </w:rPr>
              <w:t>tariff.</w:t>
            </w:r>
          </w:p>
        </w:tc>
        <w:tc>
          <w:tcPr>
            <w:tcW w:w="93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20"/>
              <w:rPr>
                <w:rFonts w:ascii="Avenir Next Condensed" w:eastAsia="Avenir Next Condensed" w:hAnsi="Avenir Next Condensed" w:cs="Avenir Next Condensed"/>
                <w:sz w:val="18"/>
                <w:szCs w:val="18"/>
              </w:rPr>
            </w:pPr>
            <w:r>
              <w:rPr>
                <w:rFonts w:ascii="Avenir Next Condensed"/>
                <w:spacing w:val="-4"/>
                <w:sz w:val="18"/>
              </w:rPr>
              <w:t>Yes</w:t>
            </w:r>
            <w:r>
              <w:rPr>
                <w:rFonts w:ascii="Avenir Next Condensed"/>
                <w:sz w:val="18"/>
              </w:rPr>
              <w:t xml:space="preserve"> - variations in</w:t>
            </w:r>
            <w:r>
              <w:rPr>
                <w:rFonts w:ascii="Avenir Next Condensed"/>
                <w:spacing w:val="22"/>
                <w:sz w:val="18"/>
              </w:rPr>
              <w:t xml:space="preserve"> </w:t>
            </w:r>
            <w:r>
              <w:rPr>
                <w:rFonts w:ascii="Avenir Next Condensed"/>
                <w:sz w:val="18"/>
              </w:rPr>
              <w:t xml:space="preserve">government imposts can be immediately </w:t>
            </w:r>
            <w:r>
              <w:rPr>
                <w:rFonts w:ascii="Avenir Next Condensed"/>
                <w:spacing w:val="-1"/>
                <w:sz w:val="18"/>
              </w:rPr>
              <w:t>passed</w:t>
            </w:r>
            <w:r>
              <w:rPr>
                <w:rFonts w:ascii="Avenir Next Condensed"/>
                <w:spacing w:val="24"/>
                <w:sz w:val="18"/>
              </w:rPr>
              <w:t xml:space="preserve"> </w:t>
            </w:r>
            <w:r>
              <w:rPr>
                <w:rFonts w:ascii="Avenir Next Condensed"/>
                <w:spacing w:val="-1"/>
                <w:sz w:val="18"/>
              </w:rPr>
              <w:t>through</w:t>
            </w:r>
            <w:r>
              <w:rPr>
                <w:rFonts w:ascii="Avenir Next Condensed"/>
                <w:sz w:val="18"/>
              </w:rPr>
              <w:t xml:space="preserve"> (depending on</w:t>
            </w:r>
            <w:r>
              <w:rPr>
                <w:rFonts w:ascii="Avenir Next Condensed"/>
                <w:spacing w:val="25"/>
                <w:sz w:val="18"/>
              </w:rPr>
              <w:t xml:space="preserve"> </w:t>
            </w:r>
            <w:r>
              <w:rPr>
                <w:rFonts w:ascii="Avenir Next Condensed"/>
                <w:sz w:val="18"/>
              </w:rPr>
              <w:t>materiality).</w:t>
            </w:r>
          </w:p>
          <w:p w:rsidR="00D96B91" w:rsidRDefault="00C2656B">
            <w:pPr>
              <w:pStyle w:val="TableParagraph"/>
              <w:spacing w:before="113" w:line="220" w:lineRule="exact"/>
              <w:ind w:left="108" w:right="139"/>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w:t>
            </w:r>
            <w:r>
              <w:rPr>
                <w:rFonts w:ascii="Avenir Next Condensed"/>
                <w:spacing w:val="-1"/>
                <w:sz w:val="18"/>
              </w:rPr>
              <w:t>review</w:t>
            </w:r>
            <w:r>
              <w:rPr>
                <w:rFonts w:ascii="Avenir Next Condensed"/>
                <w:sz w:val="18"/>
              </w:rPr>
              <w:t xml:space="preserve"> trigger may</w:t>
            </w:r>
            <w:r>
              <w:rPr>
                <w:rFonts w:ascii="Avenir Next Condensed"/>
                <w:spacing w:val="24"/>
                <w:sz w:val="18"/>
              </w:rPr>
              <w:t xml:space="preserve"> </w:t>
            </w:r>
            <w:r>
              <w:rPr>
                <w:rFonts w:ascii="Avenir Next Condensed"/>
                <w:sz w:val="18"/>
              </w:rPr>
              <w:t xml:space="preserve">also allow other costs to be </w:t>
            </w:r>
            <w:r>
              <w:rPr>
                <w:rFonts w:ascii="Avenir Next Condensed"/>
                <w:spacing w:val="-1"/>
                <w:sz w:val="18"/>
              </w:rPr>
              <w:t>passed</w:t>
            </w:r>
            <w:r>
              <w:rPr>
                <w:rFonts w:ascii="Avenir Next Condensed"/>
                <w:sz w:val="18"/>
              </w:rPr>
              <w:t xml:space="preserve"> </w:t>
            </w:r>
            <w:r>
              <w:rPr>
                <w:rFonts w:ascii="Avenir Next Condensed"/>
                <w:spacing w:val="-1"/>
                <w:sz w:val="18"/>
              </w:rPr>
              <w:t>through</w:t>
            </w:r>
            <w:r>
              <w:rPr>
                <w:rFonts w:ascii="Avenir Next Condensed"/>
                <w:sz w:val="18"/>
              </w:rPr>
              <w:t xml:space="preserve"> but it must</w:t>
            </w:r>
            <w:r>
              <w:rPr>
                <w:rFonts w:ascii="Avenir Next Condensed"/>
                <w:spacing w:val="29"/>
                <w:sz w:val="18"/>
              </w:rPr>
              <w:t xml:space="preserve"> </w:t>
            </w:r>
            <w:r>
              <w:rPr>
                <w:rFonts w:ascii="Avenir Next Condensed"/>
                <w:sz w:val="18"/>
              </w:rPr>
              <w:t xml:space="preserve">be material and beyond the </w:t>
            </w:r>
            <w:r>
              <w:rPr>
                <w:rFonts w:ascii="Avenir Next Condensed"/>
                <w:spacing w:val="-1"/>
                <w:sz w:val="18"/>
              </w:rPr>
              <w:t>control</w:t>
            </w:r>
            <w:r>
              <w:rPr>
                <w:rFonts w:ascii="Avenir Next Condensed"/>
                <w:sz w:val="18"/>
              </w:rPr>
              <w:t xml:space="preserve"> of</w:t>
            </w:r>
            <w:r>
              <w:rPr>
                <w:rFonts w:ascii="Avenir Next Condensed"/>
                <w:spacing w:val="4"/>
                <w:sz w:val="18"/>
              </w:rPr>
              <w:t xml:space="preserve"> </w:t>
            </w:r>
            <w:r>
              <w:rPr>
                <w:rFonts w:ascii="Avenir Next Condensed"/>
                <w:sz w:val="18"/>
              </w:rPr>
              <w:t xml:space="preserve">service </w:t>
            </w:r>
            <w:r>
              <w:rPr>
                <w:rFonts w:ascii="Avenir Next Condensed"/>
                <w:spacing w:val="-1"/>
                <w:sz w:val="18"/>
              </w:rPr>
              <w:t>provider.</w:t>
            </w:r>
          </w:p>
        </w:tc>
        <w:tc>
          <w:tcPr>
            <w:tcW w:w="128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327"/>
              <w:rPr>
                <w:rFonts w:ascii="Avenir Next Condensed" w:eastAsia="Avenir Next Condensed" w:hAnsi="Avenir Next Condensed" w:cs="Avenir Next Condensed"/>
                <w:sz w:val="18"/>
                <w:szCs w:val="18"/>
              </w:rPr>
            </w:pPr>
            <w:r>
              <w:rPr>
                <w:rFonts w:ascii="Avenir Next Condensed"/>
                <w:sz w:val="18"/>
              </w:rPr>
              <w:t xml:space="preserve">Only </w:t>
            </w:r>
            <w:r>
              <w:rPr>
                <w:rFonts w:ascii="Avenir Next Condensed"/>
                <w:spacing w:val="-1"/>
                <w:sz w:val="18"/>
              </w:rPr>
              <w:t>through</w:t>
            </w:r>
            <w:r>
              <w:rPr>
                <w:rFonts w:ascii="Avenir Next Condensed"/>
                <w:spacing w:val="25"/>
                <w:sz w:val="18"/>
              </w:rPr>
              <w:t xml:space="preserve"> </w:t>
            </w:r>
            <w:r>
              <w:rPr>
                <w:rFonts w:ascii="Avenir Next Condensed"/>
                <w:sz w:val="18"/>
              </w:rPr>
              <w:t xml:space="preserve">price </w:t>
            </w:r>
            <w:r>
              <w:rPr>
                <w:rFonts w:ascii="Avenir Next Condensed"/>
                <w:spacing w:val="-1"/>
                <w:sz w:val="18"/>
              </w:rPr>
              <w:t>review</w:t>
            </w:r>
            <w:r>
              <w:rPr>
                <w:rFonts w:ascii="Avenir Next Condensed"/>
                <w:spacing w:val="24"/>
                <w:sz w:val="18"/>
              </w:rPr>
              <w:t xml:space="preserve"> </w:t>
            </w:r>
            <w:r>
              <w:rPr>
                <w:rFonts w:ascii="Avenir Next Condensed"/>
                <w:spacing w:val="-1"/>
                <w:sz w:val="18"/>
              </w:rPr>
              <w:t>trigger.</w:t>
            </w:r>
          </w:p>
        </w:tc>
      </w:tr>
      <w:tr w:rsidR="00D96B91" w:rsidTr="00C2656B">
        <w:trPr>
          <w:trHeight w:hRule="exact" w:val="3100"/>
        </w:trPr>
        <w:tc>
          <w:tcPr>
            <w:tcW w:w="14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2"/>
                <w:sz w:val="18"/>
              </w:rPr>
              <w:t>QCA</w:t>
            </w:r>
          </w:p>
          <w:p w:rsidR="00D96B91" w:rsidRDefault="00C2656B">
            <w:pPr>
              <w:pStyle w:val="TableParagraph"/>
              <w:spacing w:before="91" w:line="220" w:lineRule="exact"/>
              <w:ind w:left="108" w:right="182"/>
              <w:rPr>
                <w:rFonts w:ascii="Avenir Next Condensed" w:eastAsia="Avenir Next Condensed" w:hAnsi="Avenir Next Condensed" w:cs="Avenir Next Condensed"/>
                <w:sz w:val="18"/>
                <w:szCs w:val="18"/>
              </w:rPr>
            </w:pPr>
            <w:r>
              <w:rPr>
                <w:rFonts w:ascii="Avenir Next Condensed"/>
                <w:sz w:val="18"/>
              </w:rPr>
              <w:t xml:space="preserve">2010 Gladstone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r>
              <w:rPr>
                <w:rFonts w:ascii="Avenir Next Condensed"/>
                <w:spacing w:val="26"/>
                <w:sz w:val="18"/>
              </w:rPr>
              <w:t xml:space="preserve"> </w:t>
            </w:r>
            <w:r>
              <w:rPr>
                <w:rFonts w:ascii="Avenir Next Condensed"/>
                <w:sz w:val="18"/>
              </w:rPr>
              <w:t xml:space="preserve">(GAWB) (bulk </w:t>
            </w:r>
            <w:r>
              <w:rPr>
                <w:rFonts w:ascii="Avenir Next Condensed"/>
                <w:spacing w:val="-1"/>
                <w:sz w:val="18"/>
              </w:rPr>
              <w:t>raw</w:t>
            </w:r>
            <w:r>
              <w:rPr>
                <w:rFonts w:ascii="Avenir Next Condensed"/>
                <w:spacing w:val="21"/>
                <w:sz w:val="18"/>
              </w:rPr>
              <w:t xml:space="preserve"> </w:t>
            </w:r>
            <w:r>
              <w:rPr>
                <w:rFonts w:ascii="Avenir Next Condensed"/>
                <w:sz w:val="18"/>
              </w:rPr>
              <w:t>and potable water)</w:t>
            </w:r>
          </w:p>
        </w:tc>
        <w:tc>
          <w:tcPr>
            <w:tcW w:w="1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c>
          <w:tcPr>
            <w:tcW w:w="1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241"/>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w:t>
            </w:r>
            <w:r>
              <w:rPr>
                <w:rFonts w:ascii="Avenir Next Condensed"/>
                <w:spacing w:val="-1"/>
                <w:sz w:val="18"/>
              </w:rPr>
              <w:t>review</w:t>
            </w:r>
            <w:r>
              <w:rPr>
                <w:rFonts w:ascii="Avenir Next Condensed"/>
                <w:sz w:val="18"/>
              </w:rPr>
              <w:t xml:space="preserve"> trigger - if</w:t>
            </w:r>
            <w:r>
              <w:rPr>
                <w:rFonts w:ascii="Avenir Next Condensed"/>
                <w:spacing w:val="24"/>
                <w:sz w:val="18"/>
              </w:rPr>
              <w:t xml:space="preserve"> </w:t>
            </w:r>
            <w:r>
              <w:rPr>
                <w:rFonts w:ascii="Avenir Next Condensed"/>
                <w:spacing w:val="-1"/>
                <w:sz w:val="18"/>
              </w:rPr>
              <w:t>there</w:t>
            </w:r>
            <w:r>
              <w:rPr>
                <w:rFonts w:ascii="Avenir Next Condensed"/>
                <w:sz w:val="18"/>
              </w:rPr>
              <w:t xml:space="preserve"> is,</w:t>
            </w:r>
            <w:r>
              <w:rPr>
                <w:rFonts w:ascii="Avenir Next Condensed"/>
                <w:spacing w:val="-6"/>
                <w:sz w:val="18"/>
              </w:rPr>
              <w:t xml:space="preserve"> </w:t>
            </w:r>
            <w:r>
              <w:rPr>
                <w:rFonts w:ascii="Avenir Next Condensed"/>
                <w:sz w:val="18"/>
              </w:rPr>
              <w:t xml:space="preserve">or </w:t>
            </w:r>
            <w:r>
              <w:rPr>
                <w:rFonts w:ascii="Avenir Next Condensed"/>
                <w:spacing w:val="-1"/>
                <w:sz w:val="18"/>
              </w:rPr>
              <w:t>expected</w:t>
            </w:r>
            <w:r>
              <w:rPr>
                <w:rFonts w:ascii="Avenir Next Condensed"/>
                <w:sz w:val="18"/>
              </w:rPr>
              <w:t xml:space="preserve"> to be,</w:t>
            </w:r>
            <w:r>
              <w:rPr>
                <w:rFonts w:ascii="Avenir Next Condensed"/>
                <w:spacing w:val="29"/>
                <w:sz w:val="18"/>
              </w:rPr>
              <w:t xml:space="preserve"> </w:t>
            </w:r>
            <w:r>
              <w:rPr>
                <w:rFonts w:ascii="Avenir Next Condensed"/>
                <w:sz w:val="18"/>
              </w:rPr>
              <w:t xml:space="preserve">a sustained variation in </w:t>
            </w:r>
            <w:r>
              <w:rPr>
                <w:rFonts w:ascii="Avenir Next Condensed"/>
                <w:spacing w:val="-1"/>
                <w:sz w:val="18"/>
              </w:rPr>
              <w:t>aggregate</w:t>
            </w:r>
            <w:r>
              <w:rPr>
                <w:rFonts w:ascii="Avenir Next Condensed"/>
                <w:sz w:val="18"/>
              </w:rPr>
              <w:t xml:space="preserve"> </w:t>
            </w:r>
            <w:r>
              <w:rPr>
                <w:rFonts w:ascii="Avenir Next Condensed"/>
                <w:spacing w:val="-1"/>
                <w:sz w:val="18"/>
              </w:rPr>
              <w:t>revenues</w:t>
            </w:r>
            <w:r>
              <w:rPr>
                <w:rFonts w:ascii="Avenir Next Condensed"/>
                <w:sz w:val="18"/>
              </w:rPr>
              <w:t xml:space="preserve"> of</w:t>
            </w:r>
            <w:r>
              <w:rPr>
                <w:rFonts w:ascii="Avenir Next Condensed"/>
                <w:spacing w:val="4"/>
                <w:sz w:val="18"/>
              </w:rPr>
              <w:t xml:space="preserve"> </w:t>
            </w:r>
            <w:r>
              <w:rPr>
                <w:rFonts w:ascii="Avenir Next Condensed"/>
                <w:sz w:val="18"/>
              </w:rPr>
              <w:t>at</w:t>
            </w:r>
            <w:r>
              <w:rPr>
                <w:rFonts w:ascii="Avenir Next Condensed"/>
                <w:spacing w:val="27"/>
                <w:sz w:val="18"/>
              </w:rPr>
              <w:t xml:space="preserve"> </w:t>
            </w:r>
            <w:r>
              <w:rPr>
                <w:rFonts w:ascii="Avenir Next Condensed"/>
                <w:spacing w:val="-1"/>
                <w:sz w:val="18"/>
              </w:rPr>
              <w:t>least</w:t>
            </w:r>
            <w:r>
              <w:rPr>
                <w:rFonts w:ascii="Avenir Next Condensed"/>
                <w:sz w:val="18"/>
              </w:rPr>
              <w:t xml:space="preserve"> 15%.</w:t>
            </w:r>
          </w:p>
          <w:p w:rsidR="00D96B91" w:rsidRDefault="00C2656B">
            <w:pPr>
              <w:pStyle w:val="TableParagraph"/>
              <w:spacing w:before="113" w:line="220" w:lineRule="exact"/>
              <w:ind w:left="108" w:right="347"/>
              <w:rPr>
                <w:rFonts w:ascii="Avenir Next Condensed" w:eastAsia="Avenir Next Condensed" w:hAnsi="Avenir Next Condensed" w:cs="Avenir Next Condensed"/>
                <w:sz w:val="18"/>
                <w:szCs w:val="18"/>
              </w:rPr>
            </w:pPr>
            <w:r>
              <w:rPr>
                <w:rFonts w:ascii="Avenir Next Condensed"/>
                <w:sz w:val="18"/>
              </w:rPr>
              <w:t xml:space="preserve">Ability to </w:t>
            </w:r>
            <w:r>
              <w:rPr>
                <w:rFonts w:ascii="Avenir Next Condensed"/>
                <w:spacing w:val="-1"/>
                <w:sz w:val="18"/>
              </w:rPr>
              <w:t>re-price</w:t>
            </w:r>
            <w:r>
              <w:rPr>
                <w:rFonts w:ascii="Avenir Next Condensed"/>
                <w:sz w:val="18"/>
              </w:rPr>
              <w:t xml:space="preserve"> and</w:t>
            </w:r>
            <w:r>
              <w:rPr>
                <w:rFonts w:ascii="Avenir Next Condensed"/>
                <w:spacing w:val="26"/>
                <w:sz w:val="18"/>
              </w:rPr>
              <w:t xml:space="preserve"> </w:t>
            </w:r>
            <w:r>
              <w:rPr>
                <w:rFonts w:ascii="Avenir Next Condensed"/>
                <w:spacing w:val="-1"/>
                <w:sz w:val="18"/>
              </w:rPr>
              <w:t>recover</w:t>
            </w:r>
            <w:r>
              <w:rPr>
                <w:rFonts w:ascii="Avenir Next Condensed"/>
                <w:sz w:val="18"/>
              </w:rPr>
              <w:t xml:space="preserve"> </w:t>
            </w:r>
            <w:r>
              <w:rPr>
                <w:rFonts w:ascii="Avenir Next Condensed"/>
                <w:spacing w:val="-1"/>
                <w:sz w:val="18"/>
              </w:rPr>
              <w:t>efficient</w:t>
            </w:r>
            <w:r>
              <w:rPr>
                <w:rFonts w:ascii="Avenir Next Condensed"/>
                <w:sz w:val="18"/>
              </w:rPr>
              <w:t xml:space="preserve"> </w:t>
            </w:r>
            <w:r>
              <w:rPr>
                <w:rFonts w:ascii="Avenir Next Condensed"/>
                <w:spacing w:val="-1"/>
                <w:sz w:val="18"/>
              </w:rPr>
              <w:t>drought</w:t>
            </w:r>
            <w:r>
              <w:rPr>
                <w:rFonts w:ascii="Avenir Next Condensed"/>
                <w:spacing w:val="33"/>
                <w:sz w:val="18"/>
              </w:rPr>
              <w:t xml:space="preserve"> </w:t>
            </w:r>
            <w:r>
              <w:rPr>
                <w:rFonts w:ascii="Avenir Next Condensed"/>
                <w:sz w:val="18"/>
              </w:rPr>
              <w:t xml:space="preserve">mitigation costs when </w:t>
            </w:r>
            <w:r>
              <w:rPr>
                <w:rFonts w:ascii="Avenir Next Condensed"/>
                <w:spacing w:val="-1"/>
                <w:sz w:val="18"/>
              </w:rPr>
              <w:t>restrictions</w:t>
            </w:r>
            <w:r>
              <w:rPr>
                <w:rFonts w:ascii="Avenir Next Condensed"/>
                <w:sz w:val="18"/>
              </w:rPr>
              <w:t xml:space="preserve"> </w:t>
            </w:r>
            <w:r>
              <w:rPr>
                <w:rFonts w:ascii="Avenir Next Condensed"/>
                <w:spacing w:val="-1"/>
                <w:sz w:val="18"/>
              </w:rPr>
              <w:t>are</w:t>
            </w:r>
            <w:r>
              <w:rPr>
                <w:rFonts w:ascii="Avenir Next Condensed"/>
                <w:sz w:val="18"/>
              </w:rPr>
              <w:t xml:space="preserve"> imposed.</w:t>
            </w:r>
          </w:p>
        </w:tc>
        <w:tc>
          <w:tcPr>
            <w:tcW w:w="35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cap</w:t>
            </w:r>
          </w:p>
        </w:tc>
        <w:tc>
          <w:tcPr>
            <w:tcW w:w="1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278"/>
              <w:rPr>
                <w:rFonts w:ascii="Avenir Next Condensed" w:eastAsia="Avenir Next Condensed" w:hAnsi="Avenir Next Condensed" w:cs="Avenir Next Condensed"/>
                <w:sz w:val="18"/>
                <w:szCs w:val="18"/>
              </w:rPr>
            </w:pPr>
            <w:r>
              <w:rPr>
                <w:rFonts w:ascii="Avenir Next Condensed"/>
                <w:spacing w:val="-1"/>
                <w:sz w:val="18"/>
              </w:rPr>
              <w:t>Two-part</w:t>
            </w:r>
            <w:r>
              <w:rPr>
                <w:rFonts w:ascii="Avenir Next Condensed"/>
                <w:sz w:val="18"/>
              </w:rPr>
              <w:t xml:space="preserve"> </w:t>
            </w:r>
            <w:r>
              <w:rPr>
                <w:rFonts w:ascii="Avenir Next Condensed"/>
                <w:spacing w:val="-1"/>
                <w:sz w:val="18"/>
              </w:rPr>
              <w:t>tariffs</w:t>
            </w:r>
            <w:r>
              <w:rPr>
                <w:rFonts w:ascii="Avenir Next Condensed"/>
                <w:sz w:val="18"/>
              </w:rPr>
              <w:t xml:space="preserve"> with</w:t>
            </w:r>
            <w:r>
              <w:rPr>
                <w:rFonts w:ascii="Avenir Next Condensed"/>
                <w:spacing w:val="25"/>
                <w:sz w:val="18"/>
              </w:rPr>
              <w:t xml:space="preserve"> </w:t>
            </w:r>
            <w:r>
              <w:rPr>
                <w:rFonts w:ascii="Avenir Next Condensed"/>
                <w:spacing w:val="-1"/>
                <w:sz w:val="18"/>
              </w:rPr>
              <w:t>large</w:t>
            </w:r>
            <w:r>
              <w:rPr>
                <w:rFonts w:ascii="Avenir Next Condensed"/>
                <w:sz w:val="18"/>
              </w:rPr>
              <w:t xml:space="preserve"> component</w:t>
            </w:r>
            <w:r>
              <w:rPr>
                <w:rFonts w:ascii="Avenir Next Condensed"/>
                <w:spacing w:val="23"/>
                <w:sz w:val="18"/>
              </w:rPr>
              <w:t xml:space="preserve"> </w:t>
            </w:r>
            <w:r>
              <w:rPr>
                <w:rFonts w:ascii="Avenir Next Condensed"/>
                <w:spacing w:val="-1"/>
                <w:sz w:val="18"/>
              </w:rPr>
              <w:t>effectively</w:t>
            </w:r>
            <w:r>
              <w:rPr>
                <w:rFonts w:ascii="Avenir Next Condensed"/>
                <w:sz w:val="18"/>
              </w:rPr>
              <w:t xml:space="preserve"> </w:t>
            </w:r>
            <w:r>
              <w:rPr>
                <w:rFonts w:ascii="Avenir Next Condensed"/>
                <w:spacing w:val="-1"/>
                <w:sz w:val="18"/>
              </w:rPr>
              <w:t>fixed</w:t>
            </w:r>
            <w:r>
              <w:rPr>
                <w:rFonts w:ascii="Avenir Next Condensed"/>
                <w:spacing w:val="23"/>
                <w:sz w:val="18"/>
              </w:rPr>
              <w:t xml:space="preserve"> </w:t>
            </w:r>
            <w:r>
              <w:rPr>
                <w:rFonts w:ascii="Avenir Next Condensed"/>
                <w:sz w:val="18"/>
              </w:rPr>
              <w:t xml:space="preserve">(being based on </w:t>
            </w:r>
            <w:r>
              <w:rPr>
                <w:rFonts w:ascii="Avenir Next Condensed"/>
                <w:spacing w:val="-1"/>
                <w:sz w:val="18"/>
              </w:rPr>
              <w:t>contract</w:t>
            </w:r>
            <w:r>
              <w:rPr>
                <w:rFonts w:ascii="Avenir Next Condensed"/>
                <w:sz w:val="18"/>
              </w:rPr>
              <w:t xml:space="preserve"> quantities).</w:t>
            </w:r>
          </w:p>
          <w:p w:rsidR="00D96B91" w:rsidRDefault="00C2656B">
            <w:pPr>
              <w:pStyle w:val="TableParagraph"/>
              <w:spacing w:line="220" w:lineRule="exact"/>
              <w:ind w:left="108" w:right="109"/>
              <w:rPr>
                <w:rFonts w:ascii="Avenir Next Condensed" w:eastAsia="Avenir Next Condensed" w:hAnsi="Avenir Next Condensed" w:cs="Avenir Next Condensed"/>
                <w:sz w:val="18"/>
                <w:szCs w:val="18"/>
              </w:rPr>
            </w:pPr>
            <w:r>
              <w:rPr>
                <w:rFonts w:ascii="Avenir Next Condensed"/>
                <w:spacing w:val="-1"/>
                <w:sz w:val="18"/>
              </w:rPr>
              <w:t>Long-term</w:t>
            </w:r>
            <w:r>
              <w:rPr>
                <w:rFonts w:ascii="Avenir Next Condensed"/>
                <w:sz w:val="18"/>
              </w:rPr>
              <w:t xml:space="preserve"> </w:t>
            </w:r>
            <w:r>
              <w:rPr>
                <w:rFonts w:ascii="Avenir Next Condensed"/>
                <w:spacing w:val="-1"/>
                <w:sz w:val="18"/>
              </w:rPr>
              <w:t>contracts</w:t>
            </w:r>
            <w:r>
              <w:rPr>
                <w:rFonts w:ascii="Avenir Next Condensed"/>
                <w:spacing w:val="29"/>
                <w:sz w:val="18"/>
              </w:rPr>
              <w:t xml:space="preserve"> </w:t>
            </w:r>
            <w:r>
              <w:rPr>
                <w:rFonts w:ascii="Avenir Next Condensed"/>
                <w:sz w:val="18"/>
              </w:rPr>
              <w:t xml:space="preserve">with customers </w:t>
            </w:r>
            <w:r>
              <w:rPr>
                <w:rFonts w:ascii="Avenir Next Condensed"/>
                <w:spacing w:val="-1"/>
                <w:sz w:val="18"/>
              </w:rPr>
              <w:t>reduce</w:t>
            </w:r>
            <w:r>
              <w:rPr>
                <w:rFonts w:ascii="Avenir Next Condensed"/>
                <w:spacing w:val="24"/>
                <w:sz w:val="18"/>
              </w:rPr>
              <w:t xml:space="preserve"> </w:t>
            </w:r>
            <w:r>
              <w:rPr>
                <w:rFonts w:ascii="Avenir Next Condensed"/>
                <w:sz w:val="18"/>
              </w:rPr>
              <w:t>downside risk for GAWB.</w:t>
            </w:r>
          </w:p>
        </w:tc>
        <w:tc>
          <w:tcPr>
            <w:tcW w:w="93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6"/>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0" w:line="220" w:lineRule="exact"/>
              <w:ind w:left="108" w:right="136"/>
              <w:rPr>
                <w:rFonts w:ascii="Avenir Next Condensed" w:eastAsia="Avenir Next Condensed" w:hAnsi="Avenir Next Condensed" w:cs="Avenir Next Condensed"/>
                <w:sz w:val="18"/>
                <w:szCs w:val="18"/>
              </w:rPr>
            </w:pPr>
            <w:r>
              <w:rPr>
                <w:rFonts w:ascii="Avenir Next Condensed"/>
                <w:spacing w:val="-4"/>
                <w:sz w:val="18"/>
              </w:rPr>
              <w:t>Yes</w:t>
            </w:r>
            <w:r>
              <w:rPr>
                <w:rFonts w:ascii="Avenir Next Condensed"/>
                <w:sz w:val="18"/>
              </w:rPr>
              <w:t xml:space="preserve"> - change in taxation</w:t>
            </w:r>
            <w:r>
              <w:rPr>
                <w:rFonts w:ascii="Avenir Next Condensed"/>
                <w:spacing w:val="22"/>
                <w:sz w:val="18"/>
              </w:rPr>
              <w:t xml:space="preserve"> </w:t>
            </w:r>
            <w:r>
              <w:rPr>
                <w:rFonts w:ascii="Avenir Next Condensed"/>
                <w:sz w:val="18"/>
              </w:rPr>
              <w:t xml:space="preserve">and government </w:t>
            </w:r>
            <w:r>
              <w:rPr>
                <w:rFonts w:ascii="Avenir Next Condensed"/>
                <w:spacing w:val="-1"/>
                <w:sz w:val="18"/>
              </w:rPr>
              <w:t>charges</w:t>
            </w:r>
            <w:r>
              <w:rPr>
                <w:rFonts w:ascii="Avenir Next Condensed"/>
                <w:spacing w:val="25"/>
                <w:sz w:val="18"/>
              </w:rPr>
              <w:t xml:space="preserve"> </w:t>
            </w:r>
            <w:r>
              <w:rPr>
                <w:rFonts w:ascii="Avenir Next Condensed"/>
                <w:spacing w:val="-1"/>
                <w:sz w:val="18"/>
              </w:rPr>
              <w:t>passed</w:t>
            </w:r>
            <w:r>
              <w:rPr>
                <w:rFonts w:ascii="Avenir Next Condensed"/>
                <w:sz w:val="18"/>
              </w:rPr>
              <w:t xml:space="preserve"> </w:t>
            </w:r>
            <w:r>
              <w:rPr>
                <w:rFonts w:ascii="Avenir Next Condensed"/>
                <w:spacing w:val="-1"/>
                <w:sz w:val="18"/>
              </w:rPr>
              <w:t>through</w:t>
            </w:r>
            <w:r>
              <w:rPr>
                <w:rFonts w:ascii="Avenir Next Condensed"/>
                <w:sz w:val="18"/>
              </w:rPr>
              <w:t xml:space="preserve"> without</w:t>
            </w:r>
            <w:r>
              <w:rPr>
                <w:rFonts w:ascii="Avenir Next Condensed"/>
                <w:spacing w:val="29"/>
                <w:sz w:val="18"/>
              </w:rPr>
              <w:t xml:space="preserve"> </w:t>
            </w:r>
            <w:r>
              <w:rPr>
                <w:rFonts w:ascii="Avenir Next Condensed"/>
                <w:spacing w:val="-1"/>
                <w:sz w:val="18"/>
              </w:rPr>
              <w:t>reference</w:t>
            </w:r>
            <w:r>
              <w:rPr>
                <w:rFonts w:ascii="Avenir Next Condensed"/>
                <w:sz w:val="18"/>
              </w:rPr>
              <w:t xml:space="preserve"> to </w:t>
            </w:r>
            <w:r>
              <w:rPr>
                <w:rFonts w:ascii="Avenir Next Condensed"/>
                <w:spacing w:val="-1"/>
                <w:sz w:val="18"/>
              </w:rPr>
              <w:t>materiality.</w:t>
            </w:r>
            <w:r>
              <w:rPr>
                <w:rFonts w:ascii="Avenir Next Condensed"/>
                <w:spacing w:val="21"/>
                <w:sz w:val="18"/>
              </w:rPr>
              <w:t xml:space="preserve"> </w:t>
            </w:r>
            <w:r>
              <w:rPr>
                <w:rFonts w:ascii="Avenir Next Condensed"/>
                <w:spacing w:val="-1"/>
                <w:sz w:val="18"/>
              </w:rPr>
              <w:t>Costs</w:t>
            </w:r>
            <w:r>
              <w:rPr>
                <w:rFonts w:ascii="Avenir Next Condensed"/>
                <w:sz w:val="18"/>
              </w:rPr>
              <w:t xml:space="preserve"> </w:t>
            </w:r>
            <w:r>
              <w:rPr>
                <w:rFonts w:ascii="Avenir Next Condensed"/>
                <w:spacing w:val="-1"/>
                <w:sz w:val="18"/>
              </w:rPr>
              <w:t>associated</w:t>
            </w:r>
            <w:r>
              <w:rPr>
                <w:rFonts w:ascii="Avenir Next Condensed"/>
                <w:sz w:val="18"/>
              </w:rPr>
              <w:t xml:space="preserve"> with</w:t>
            </w:r>
            <w:r>
              <w:rPr>
                <w:rFonts w:ascii="Avenir Next Condensed"/>
                <w:spacing w:val="21"/>
                <w:sz w:val="18"/>
              </w:rPr>
              <w:t xml:space="preserve"> </w:t>
            </w:r>
            <w:r>
              <w:rPr>
                <w:rFonts w:ascii="Avenir Next Condensed"/>
                <w:sz w:val="18"/>
              </w:rPr>
              <w:t xml:space="preserve">changes in compliance </w:t>
            </w:r>
            <w:r>
              <w:rPr>
                <w:rFonts w:ascii="Avenir Next Condensed"/>
                <w:spacing w:val="-1"/>
                <w:sz w:val="18"/>
              </w:rPr>
              <w:t>requirements</w:t>
            </w:r>
            <w:r>
              <w:rPr>
                <w:rFonts w:ascii="Avenir Next Condensed"/>
                <w:sz w:val="18"/>
              </w:rPr>
              <w:t xml:space="preserve"> or changes in</w:t>
            </w:r>
            <w:r>
              <w:rPr>
                <w:rFonts w:ascii="Avenir Next Condensed"/>
                <w:spacing w:val="28"/>
                <w:sz w:val="18"/>
              </w:rPr>
              <w:t xml:space="preserve"> </w:t>
            </w:r>
            <w:r>
              <w:rPr>
                <w:rFonts w:ascii="Avenir Next Condensed"/>
                <w:sz w:val="18"/>
              </w:rPr>
              <w:t xml:space="preserve">law </w:t>
            </w:r>
            <w:r>
              <w:rPr>
                <w:rFonts w:ascii="Avenir Next Condensed"/>
                <w:spacing w:val="-1"/>
                <w:sz w:val="18"/>
              </w:rPr>
              <w:t>passed</w:t>
            </w:r>
            <w:r>
              <w:rPr>
                <w:rFonts w:ascii="Avenir Next Condensed"/>
                <w:sz w:val="18"/>
              </w:rPr>
              <w:t xml:space="preserve"> </w:t>
            </w:r>
            <w:r>
              <w:rPr>
                <w:rFonts w:ascii="Avenir Next Condensed"/>
                <w:spacing w:val="-1"/>
                <w:sz w:val="18"/>
              </w:rPr>
              <w:t>through</w:t>
            </w:r>
            <w:r>
              <w:rPr>
                <w:rFonts w:ascii="Avenir Next Condensed"/>
                <w:sz w:val="18"/>
              </w:rPr>
              <w:t xml:space="preserve"> subject</w:t>
            </w:r>
            <w:r>
              <w:rPr>
                <w:rFonts w:ascii="Avenir Next Condensed"/>
                <w:spacing w:val="29"/>
                <w:sz w:val="18"/>
              </w:rPr>
              <w:t xml:space="preserve"> </w:t>
            </w:r>
            <w:r>
              <w:rPr>
                <w:rFonts w:ascii="Avenir Next Condensed"/>
                <w:sz w:val="18"/>
              </w:rPr>
              <w:t>to materiality (1% of</w:t>
            </w:r>
            <w:r>
              <w:rPr>
                <w:rFonts w:ascii="Avenir Next Condensed"/>
                <w:spacing w:val="4"/>
                <w:sz w:val="18"/>
              </w:rPr>
              <w:t xml:space="preserve"> </w:t>
            </w:r>
            <w:r>
              <w:rPr>
                <w:rFonts w:ascii="Avenir Next Condensed"/>
                <w:sz w:val="18"/>
              </w:rPr>
              <w:t xml:space="preserve">annual </w:t>
            </w:r>
            <w:r>
              <w:rPr>
                <w:rFonts w:ascii="Avenir Next Condensed"/>
                <w:spacing w:val="-1"/>
                <w:sz w:val="18"/>
              </w:rPr>
              <w:t>revenue</w:t>
            </w:r>
            <w:r>
              <w:rPr>
                <w:rFonts w:ascii="Avenir Next Condensed"/>
                <w:sz w:val="18"/>
              </w:rPr>
              <w:t xml:space="preserve"> </w:t>
            </w:r>
            <w:r>
              <w:rPr>
                <w:rFonts w:ascii="Avenir Next Condensed"/>
                <w:spacing w:val="-1"/>
                <w:sz w:val="18"/>
              </w:rPr>
              <w:t>requirement).</w:t>
            </w:r>
          </w:p>
        </w:tc>
        <w:tc>
          <w:tcPr>
            <w:tcW w:w="128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No</w:t>
            </w:r>
          </w:p>
        </w:tc>
      </w:tr>
      <w:tr w:rsidR="00D96B91" w:rsidTr="00C2656B">
        <w:trPr>
          <w:trHeight w:hRule="exact" w:val="2696"/>
        </w:trPr>
        <w:tc>
          <w:tcPr>
            <w:tcW w:w="14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line="233" w:lineRule="exact"/>
              <w:ind w:left="108"/>
              <w:rPr>
                <w:rFonts w:ascii="Avenir Next Condensed" w:eastAsia="Avenir Next Condensed" w:hAnsi="Avenir Next Condensed" w:cs="Avenir Next Condensed"/>
                <w:sz w:val="18"/>
                <w:szCs w:val="18"/>
              </w:rPr>
            </w:pPr>
            <w:r>
              <w:rPr>
                <w:rFonts w:ascii="Avenir Next Condensed"/>
                <w:spacing w:val="-3"/>
                <w:sz w:val="18"/>
              </w:rPr>
              <w:t>ACCC</w:t>
            </w:r>
          </w:p>
          <w:p w:rsidR="00D96B91" w:rsidRDefault="00C2656B">
            <w:pPr>
              <w:pStyle w:val="TableParagraph"/>
              <w:spacing w:before="6" w:line="214" w:lineRule="auto"/>
              <w:ind w:left="108" w:right="108"/>
              <w:rPr>
                <w:rFonts w:ascii="Avenir Next Condensed" w:eastAsia="Avenir Next Condensed" w:hAnsi="Avenir Next Condensed" w:cs="Avenir Next Condensed"/>
                <w:sz w:val="18"/>
                <w:szCs w:val="18"/>
              </w:rPr>
            </w:pPr>
            <w:r>
              <w:rPr>
                <w:rFonts w:ascii="Avenir Next Condensed"/>
                <w:sz w:val="18"/>
              </w:rPr>
              <w:t xml:space="preserve">2014 </w:t>
            </w: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pacing w:val="25"/>
                <w:sz w:val="18"/>
              </w:rPr>
              <w:t xml:space="preserve"> </w:t>
            </w:r>
            <w:r>
              <w:rPr>
                <w:rFonts w:ascii="Avenir Next Condensed"/>
                <w:sz w:val="18"/>
              </w:rPr>
              <w:t>(bulk water in MDB)</w:t>
            </w:r>
          </w:p>
        </w:tc>
        <w:tc>
          <w:tcPr>
            <w:tcW w:w="17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 xml:space="preserve">3 </w:t>
            </w:r>
            <w:r>
              <w:rPr>
                <w:rFonts w:ascii="Avenir Next Condensed"/>
                <w:spacing w:val="-1"/>
                <w:sz w:val="18"/>
              </w:rPr>
              <w:t>years</w:t>
            </w:r>
          </w:p>
          <w:p w:rsidR="00D96B91" w:rsidRDefault="00C2656B">
            <w:pPr>
              <w:pStyle w:val="TableParagraph"/>
              <w:spacing w:before="91" w:line="220" w:lineRule="exact"/>
              <w:ind w:left="108" w:right="354"/>
              <w:rPr>
                <w:rFonts w:ascii="Avenir Next Condensed" w:eastAsia="Avenir Next Condensed" w:hAnsi="Avenir Next Condensed" w:cs="Avenir Next Condensed"/>
                <w:sz w:val="18"/>
                <w:szCs w:val="18"/>
              </w:rPr>
            </w:pPr>
            <w:r>
              <w:rPr>
                <w:rFonts w:ascii="Avenir Next Condensed"/>
                <w:spacing w:val="-2"/>
                <w:sz w:val="18"/>
              </w:rPr>
              <w:t>Term</w:t>
            </w:r>
            <w:r>
              <w:rPr>
                <w:rFonts w:ascii="Avenir Next Condensed"/>
                <w:sz w:val="18"/>
              </w:rPr>
              <w:t xml:space="preserve"> imposed</w:t>
            </w:r>
            <w:r>
              <w:rPr>
                <w:rFonts w:ascii="Avenir Next Condensed"/>
                <w:spacing w:val="21"/>
                <w:sz w:val="18"/>
              </w:rPr>
              <w:t xml:space="preserve"> </w:t>
            </w:r>
            <w:r>
              <w:rPr>
                <w:rFonts w:ascii="Avenir Next Condensed"/>
                <w:sz w:val="18"/>
              </w:rPr>
              <w:t>by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charge</w:t>
            </w:r>
            <w:r>
              <w:rPr>
                <w:rFonts w:ascii="Avenir Next Condensed"/>
                <w:spacing w:val="26"/>
                <w:sz w:val="18"/>
              </w:rPr>
              <w:t xml:space="preserve"> </w:t>
            </w:r>
            <w:r>
              <w:rPr>
                <w:rFonts w:ascii="Avenir Next Condensed"/>
                <w:spacing w:val="-1"/>
                <w:sz w:val="18"/>
              </w:rPr>
              <w:t>(Infrastructure)</w:t>
            </w:r>
            <w:r>
              <w:rPr>
                <w:rFonts w:ascii="Avenir Next Condensed"/>
                <w:spacing w:val="25"/>
                <w:sz w:val="18"/>
              </w:rPr>
              <w:t xml:space="preserve"> </w:t>
            </w:r>
            <w:r>
              <w:rPr>
                <w:rFonts w:ascii="Avenir Next Condensed"/>
                <w:spacing w:val="-1"/>
                <w:sz w:val="18"/>
              </w:rPr>
              <w:t>Rules</w:t>
            </w:r>
            <w:r>
              <w:rPr>
                <w:rFonts w:ascii="Avenir Next Condensed"/>
                <w:sz w:val="18"/>
              </w:rPr>
              <w:t xml:space="preserve"> for first</w:t>
            </w:r>
            <w:r>
              <w:rPr>
                <w:rFonts w:ascii="Avenir Next Condensed"/>
                <w:spacing w:val="23"/>
                <w:sz w:val="18"/>
              </w:rPr>
              <w:t xml:space="preserve"> </w:t>
            </w:r>
            <w:r>
              <w:rPr>
                <w:rFonts w:ascii="Avenir Next Condensed"/>
                <w:spacing w:val="-1"/>
                <w:sz w:val="18"/>
              </w:rPr>
              <w:t>review</w:t>
            </w:r>
            <w:r>
              <w:rPr>
                <w:rFonts w:ascii="Avenir Next Condensed"/>
                <w:sz w:val="18"/>
              </w:rPr>
              <w:t xml:space="preserve"> (4 </w:t>
            </w:r>
            <w:r>
              <w:rPr>
                <w:rFonts w:ascii="Avenir Next Condensed"/>
                <w:spacing w:val="-1"/>
                <w:sz w:val="18"/>
              </w:rPr>
              <w:t>years</w:t>
            </w:r>
            <w:r>
              <w:rPr>
                <w:rFonts w:ascii="Avenir Next Condensed"/>
                <w:spacing w:val="27"/>
                <w:sz w:val="18"/>
              </w:rPr>
              <w:t xml:space="preserve"> </w:t>
            </w:r>
            <w:r>
              <w:rPr>
                <w:rFonts w:ascii="Avenir Next Condensed"/>
                <w:sz w:val="18"/>
              </w:rPr>
              <w:t xml:space="preserve">in subsequent </w:t>
            </w:r>
            <w:r>
              <w:rPr>
                <w:rFonts w:ascii="Avenir Next Condensed"/>
                <w:spacing w:val="-1"/>
                <w:sz w:val="18"/>
              </w:rPr>
              <w:t>reviews)</w:t>
            </w:r>
          </w:p>
        </w:tc>
        <w:tc>
          <w:tcPr>
            <w:tcW w:w="186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8" w:right="324"/>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pacing w:val="-3"/>
                <w:sz w:val="18"/>
              </w:rPr>
              <w:t xml:space="preserve"> </w:t>
            </w:r>
            <w:r>
              <w:rPr>
                <w:rFonts w:ascii="Avenir Next Condensed"/>
                <w:sz w:val="18"/>
              </w:rPr>
              <w:t xml:space="preserve">WCI </w:t>
            </w:r>
            <w:r>
              <w:rPr>
                <w:rFonts w:ascii="Avenir Next Condensed"/>
                <w:spacing w:val="-1"/>
                <w:sz w:val="18"/>
              </w:rPr>
              <w:t>Rules</w:t>
            </w:r>
            <w:r>
              <w:rPr>
                <w:rFonts w:ascii="Avenir Next Condensed"/>
                <w:sz w:val="18"/>
              </w:rPr>
              <w:t xml:space="preserve"> allow</w:t>
            </w:r>
            <w:r>
              <w:rPr>
                <w:rFonts w:ascii="Avenir Next Condensed"/>
                <w:spacing w:val="24"/>
                <w:sz w:val="18"/>
              </w:rPr>
              <w:t xml:space="preserve"> </w:t>
            </w: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to apply for a</w:t>
            </w:r>
          </w:p>
          <w:p w:rsidR="00D96B91" w:rsidRDefault="00C2656B">
            <w:pPr>
              <w:pStyle w:val="TableParagraph"/>
              <w:spacing w:line="220" w:lineRule="exact"/>
              <w:ind w:left="108" w:right="138"/>
              <w:rPr>
                <w:rFonts w:ascii="Avenir Next Condensed" w:eastAsia="Avenir Next Condensed" w:hAnsi="Avenir Next Condensed" w:cs="Avenir Next Condensed"/>
                <w:sz w:val="18"/>
                <w:szCs w:val="18"/>
              </w:rPr>
            </w:pPr>
            <w:r>
              <w:rPr>
                <w:rFonts w:ascii="Avenir Next Condensed"/>
                <w:sz w:val="18"/>
              </w:rPr>
              <w:t>variation of</w:t>
            </w:r>
            <w:r>
              <w:rPr>
                <w:rFonts w:ascii="Avenir Next Condensed"/>
                <w:spacing w:val="4"/>
                <w:sz w:val="18"/>
              </w:rPr>
              <w:t xml:space="preserve"> </w:t>
            </w:r>
            <w:r>
              <w:rPr>
                <w:rFonts w:ascii="Avenir Next Condensed"/>
                <w:sz w:val="18"/>
              </w:rPr>
              <w:t>a determination if</w:t>
            </w:r>
            <w:r>
              <w:rPr>
                <w:rFonts w:ascii="Avenir Next Condensed"/>
                <w:spacing w:val="4"/>
                <w:sz w:val="18"/>
              </w:rPr>
              <w:t xml:space="preserve"> </w:t>
            </w:r>
            <w:r>
              <w:rPr>
                <w:rFonts w:ascii="Avenir Next Condensed"/>
                <w:sz w:val="18"/>
              </w:rPr>
              <w:t xml:space="preserve">an </w:t>
            </w:r>
            <w:r>
              <w:rPr>
                <w:rFonts w:ascii="Avenir Next Condensed"/>
                <w:spacing w:val="-1"/>
                <w:sz w:val="18"/>
              </w:rPr>
              <w:t>unforeseen</w:t>
            </w:r>
            <w:r>
              <w:rPr>
                <w:rFonts w:ascii="Avenir Next Condensed"/>
                <w:sz w:val="18"/>
              </w:rPr>
              <w:t xml:space="preserve"> event</w:t>
            </w:r>
            <w:r>
              <w:rPr>
                <w:rFonts w:ascii="Avenir Next Condensed"/>
                <w:spacing w:val="28"/>
                <w:sz w:val="18"/>
              </w:rPr>
              <w:t xml:space="preserve"> </w:t>
            </w:r>
            <w:r>
              <w:rPr>
                <w:rFonts w:ascii="Avenir Next Condensed"/>
                <w:sz w:val="18"/>
              </w:rPr>
              <w:t>occurs that materially</w:t>
            </w:r>
          </w:p>
          <w:p w:rsidR="00D96B91" w:rsidRDefault="00C2656B">
            <w:pPr>
              <w:pStyle w:val="TableParagraph"/>
              <w:spacing w:line="220" w:lineRule="exact"/>
              <w:ind w:left="108" w:right="303"/>
              <w:rPr>
                <w:rFonts w:ascii="Avenir Next Condensed" w:eastAsia="Avenir Next Condensed" w:hAnsi="Avenir Next Condensed" w:cs="Avenir Next Condensed"/>
                <w:sz w:val="18"/>
                <w:szCs w:val="18"/>
              </w:rPr>
            </w:pPr>
            <w:r>
              <w:rPr>
                <w:rFonts w:ascii="Avenir Next Condensed"/>
                <w:sz w:val="18"/>
              </w:rPr>
              <w:t xml:space="preserve">and adversely </w:t>
            </w:r>
            <w:r>
              <w:rPr>
                <w:rFonts w:ascii="Avenir Next Condensed"/>
                <w:spacing w:val="-1"/>
                <w:sz w:val="18"/>
              </w:rPr>
              <w:t>affects</w:t>
            </w:r>
            <w:r>
              <w:rPr>
                <w:rFonts w:ascii="Avenir Next Condensed"/>
                <w:sz w:val="18"/>
              </w:rPr>
              <w:t xml:space="preserve"> its</w:t>
            </w:r>
            <w:r>
              <w:rPr>
                <w:rFonts w:ascii="Avenir Next Condensed"/>
                <w:spacing w:val="24"/>
                <w:sz w:val="18"/>
              </w:rPr>
              <w:t xml:space="preserve"> </w:t>
            </w:r>
            <w:r>
              <w:rPr>
                <w:rFonts w:ascii="Avenir Next Condensed"/>
                <w:spacing w:val="-1"/>
                <w:sz w:val="18"/>
              </w:rPr>
              <w:t>infrastructure</w:t>
            </w:r>
            <w:r>
              <w:rPr>
                <w:rFonts w:ascii="Avenir Next Condensed"/>
                <w:sz w:val="18"/>
              </w:rPr>
              <w:t xml:space="preserve"> or </w:t>
            </w:r>
            <w:r>
              <w:rPr>
                <w:rFonts w:ascii="Avenir Next Condensed"/>
                <w:spacing w:val="-1"/>
                <w:sz w:val="18"/>
              </w:rPr>
              <w:t>business</w:t>
            </w:r>
          </w:p>
        </w:tc>
        <w:tc>
          <w:tcPr>
            <w:tcW w:w="35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 xml:space="preserve">Hybrid price and </w:t>
            </w:r>
            <w:r>
              <w:rPr>
                <w:rFonts w:ascii="Avenir Next Condensed"/>
                <w:spacing w:val="-1"/>
                <w:sz w:val="18"/>
              </w:rPr>
              <w:t>revenue</w:t>
            </w:r>
            <w:r>
              <w:rPr>
                <w:rFonts w:ascii="Avenir Next Condensed"/>
                <w:sz w:val="18"/>
              </w:rPr>
              <w:t xml:space="preserve"> cap</w:t>
            </w:r>
          </w:p>
          <w:p w:rsidR="00D96B91" w:rsidRDefault="00C2656B">
            <w:pPr>
              <w:pStyle w:val="TableParagraph"/>
              <w:spacing w:before="91" w:line="220" w:lineRule="exact"/>
              <w:ind w:left="108" w:right="199"/>
              <w:rPr>
                <w:rFonts w:ascii="Avenir Next Condensed" w:eastAsia="Avenir Next Condensed" w:hAnsi="Avenir Next Condensed" w:cs="Avenir Next Condensed"/>
                <w:sz w:val="18"/>
                <w:szCs w:val="18"/>
              </w:rPr>
            </w:pPr>
            <w:r>
              <w:rPr>
                <w:rFonts w:ascii="Avenir Next Condensed"/>
                <w:spacing w:val="-1"/>
                <w:sz w:val="18"/>
              </w:rPr>
              <w:t>Price</w:t>
            </w:r>
            <w:r>
              <w:rPr>
                <w:rFonts w:ascii="Avenir Next Condensed"/>
                <w:sz w:val="18"/>
              </w:rPr>
              <w:t xml:space="preserve"> cap that can be partially adjusted for under or over collections of</w:t>
            </w:r>
            <w:r>
              <w:rPr>
                <w:rFonts w:ascii="Avenir Next Condensed"/>
                <w:spacing w:val="4"/>
                <w:sz w:val="18"/>
              </w:rPr>
              <w:t xml:space="preserve"> </w:t>
            </w:r>
            <w:r>
              <w:rPr>
                <w:rFonts w:ascii="Avenir Next Condensed"/>
                <w:spacing w:val="-1"/>
                <w:sz w:val="18"/>
              </w:rPr>
              <w:t>revenue.</w:t>
            </w:r>
            <w:r>
              <w:rPr>
                <w:rFonts w:ascii="Avenir Next Condensed"/>
                <w:spacing w:val="-10"/>
                <w:sz w:val="18"/>
              </w:rPr>
              <w:t xml:space="preserve"> </w:t>
            </w:r>
            <w:r>
              <w:rPr>
                <w:rFonts w:ascii="Avenir Next Condensed"/>
                <w:spacing w:val="-1"/>
                <w:sz w:val="18"/>
              </w:rPr>
              <w:t>The</w:t>
            </w:r>
            <w:r>
              <w:rPr>
                <w:rFonts w:ascii="Avenir Next Condensed"/>
                <w:sz w:val="18"/>
              </w:rPr>
              <w:t xml:space="preserve"> partial adjustment</w:t>
            </w:r>
            <w:r>
              <w:rPr>
                <w:rFonts w:ascii="Avenir Next Condensed"/>
                <w:spacing w:val="27"/>
                <w:sz w:val="18"/>
              </w:rPr>
              <w:t xml:space="preserve"> </w:t>
            </w:r>
            <w:r>
              <w:rPr>
                <w:rFonts w:ascii="Avenir Next Condensed"/>
                <w:sz w:val="18"/>
              </w:rPr>
              <w:t xml:space="preserve">is equal to the </w:t>
            </w:r>
            <w:r>
              <w:rPr>
                <w:rFonts w:ascii="Avenir Next Condensed"/>
                <w:spacing w:val="-1"/>
                <w:sz w:val="18"/>
              </w:rPr>
              <w:t>difference</w:t>
            </w:r>
            <w:r>
              <w:rPr>
                <w:rFonts w:ascii="Avenir Next Condensed"/>
                <w:sz w:val="18"/>
              </w:rPr>
              <w:t xml:space="preserve"> between actual and</w:t>
            </w:r>
            <w:r>
              <w:rPr>
                <w:rFonts w:ascii="Avenir Next Condensed"/>
                <w:spacing w:val="25"/>
                <w:sz w:val="18"/>
              </w:rPr>
              <w:t xml:space="preserve"> </w:t>
            </w:r>
            <w:r>
              <w:rPr>
                <w:rFonts w:ascii="Avenir Next Condensed"/>
                <w:spacing w:val="-1"/>
                <w:sz w:val="18"/>
              </w:rPr>
              <w:t>forecast</w:t>
            </w:r>
            <w:r>
              <w:rPr>
                <w:rFonts w:ascii="Avenir Next Condensed"/>
                <w:sz w:val="18"/>
              </w:rPr>
              <w:t xml:space="preserve"> </w:t>
            </w:r>
            <w:r>
              <w:rPr>
                <w:rFonts w:ascii="Avenir Next Condensed"/>
                <w:spacing w:val="-1"/>
                <w:sz w:val="18"/>
              </w:rPr>
              <w:t>revenue</w:t>
            </w:r>
            <w:r>
              <w:rPr>
                <w:rFonts w:ascii="Avenir Next Condensed"/>
                <w:sz w:val="18"/>
              </w:rPr>
              <w:t xml:space="preserve"> multiplied by the</w:t>
            </w:r>
            <w:r>
              <w:rPr>
                <w:rFonts w:ascii="Avenir Next Condensed"/>
                <w:spacing w:val="-3"/>
                <w:sz w:val="18"/>
              </w:rPr>
              <w:t xml:space="preserve"> WACC</w:t>
            </w:r>
            <w:r>
              <w:rPr>
                <w:rFonts w:ascii="Avenir Next Condensed"/>
                <w:sz w:val="18"/>
              </w:rPr>
              <w:t xml:space="preserve"> (ie,</w:t>
            </w:r>
          </w:p>
          <w:p w:rsidR="00D96B91" w:rsidRDefault="00C2656B">
            <w:pPr>
              <w:pStyle w:val="TableParagraph"/>
              <w:spacing w:line="220" w:lineRule="exact"/>
              <w:ind w:left="108" w:right="263"/>
              <w:rPr>
                <w:rFonts w:ascii="Avenir Next Condensed" w:eastAsia="Avenir Next Condensed" w:hAnsi="Avenir Next Condensed" w:cs="Avenir Next Condensed"/>
                <w:sz w:val="18"/>
                <w:szCs w:val="18"/>
              </w:rPr>
            </w:pPr>
            <w:r>
              <w:rPr>
                <w:rFonts w:ascii="Avenir Next Condensed"/>
                <w:sz w:val="18"/>
              </w:rPr>
              <w:t xml:space="preserve">a </w:t>
            </w:r>
            <w:r>
              <w:rPr>
                <w:rFonts w:ascii="Avenir Next Condensed"/>
                <w:spacing w:val="-1"/>
                <w:sz w:val="18"/>
              </w:rPr>
              <w:t>return</w:t>
            </w:r>
            <w:r>
              <w:rPr>
                <w:rFonts w:ascii="Avenir Next Condensed"/>
                <w:sz w:val="18"/>
              </w:rPr>
              <w:t xml:space="preserve"> on the unders and overs balance).</w:t>
            </w:r>
            <w:r>
              <w:rPr>
                <w:rFonts w:ascii="Avenir Next Condensed"/>
                <w:spacing w:val="-10"/>
                <w:sz w:val="18"/>
              </w:rPr>
              <w:t xml:space="preserve"> </w:t>
            </w:r>
            <w:r>
              <w:rPr>
                <w:rFonts w:ascii="Avenir Next Condensed"/>
                <w:spacing w:val="-4"/>
                <w:sz w:val="18"/>
              </w:rPr>
              <w:t>To</w:t>
            </w:r>
            <w:r>
              <w:rPr>
                <w:rFonts w:ascii="Avenir Next Condensed"/>
                <w:spacing w:val="25"/>
                <w:sz w:val="18"/>
              </w:rPr>
              <w:t xml:space="preserve"> </w:t>
            </w:r>
            <w:r>
              <w:rPr>
                <w:rFonts w:ascii="Avenir Next Condensed"/>
                <w:sz w:val="18"/>
              </w:rPr>
              <w:t>minimise price variations,</w:t>
            </w:r>
            <w:r>
              <w:rPr>
                <w:rFonts w:ascii="Avenir Next Condensed"/>
                <w:spacing w:val="-6"/>
                <w:sz w:val="18"/>
              </w:rPr>
              <w:t xml:space="preserve"> </w:t>
            </w:r>
            <w:r>
              <w:rPr>
                <w:rFonts w:ascii="Avenir Next Condensed"/>
                <w:spacing w:val="-1"/>
                <w:sz w:val="18"/>
              </w:rPr>
              <w:t>constraints</w:t>
            </w:r>
            <w:r>
              <w:rPr>
                <w:rFonts w:ascii="Avenir Next Condensed"/>
                <w:sz w:val="18"/>
              </w:rPr>
              <w:t xml:space="preserve"> imposed on</w:t>
            </w:r>
            <w:r>
              <w:rPr>
                <w:rFonts w:ascii="Avenir Next Condensed"/>
                <w:spacing w:val="29"/>
                <w:sz w:val="18"/>
              </w:rPr>
              <w:t xml:space="preserve"> </w:t>
            </w:r>
            <w:r>
              <w:rPr>
                <w:rFonts w:ascii="Avenir Next Condensed"/>
                <w:sz w:val="18"/>
              </w:rPr>
              <w:t xml:space="preserve">some price </w:t>
            </w:r>
            <w:r>
              <w:rPr>
                <w:rFonts w:ascii="Avenir Next Condensed"/>
                <w:spacing w:val="-1"/>
                <w:sz w:val="18"/>
              </w:rPr>
              <w:t>increases.</w:t>
            </w:r>
          </w:p>
        </w:tc>
        <w:tc>
          <w:tcPr>
            <w:tcW w:w="164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8" w:right="143"/>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pacing w:val="-3"/>
                <w:sz w:val="18"/>
              </w:rPr>
              <w:t xml:space="preserve"> </w:t>
            </w:r>
            <w:r>
              <w:rPr>
                <w:rFonts w:ascii="Avenir Next Condensed"/>
                <w:sz w:val="18"/>
              </w:rPr>
              <w:t xml:space="preserve">WCI </w:t>
            </w:r>
            <w:r>
              <w:rPr>
                <w:rFonts w:ascii="Avenir Next Condensed"/>
                <w:spacing w:val="-1"/>
                <w:sz w:val="18"/>
              </w:rPr>
              <w:t>Rules</w:t>
            </w:r>
            <w:r>
              <w:rPr>
                <w:rFonts w:ascii="Avenir Next Condensed"/>
                <w:sz w:val="18"/>
              </w:rPr>
              <w:t xml:space="preserve"> </w:t>
            </w:r>
            <w:r>
              <w:rPr>
                <w:rFonts w:ascii="Avenir Next Condensed"/>
                <w:spacing w:val="-1"/>
                <w:sz w:val="18"/>
              </w:rPr>
              <w:t>require</w:t>
            </w:r>
            <w:r>
              <w:rPr>
                <w:rFonts w:ascii="Avenir Next Condensed"/>
                <w:spacing w:val="28"/>
                <w:sz w:val="18"/>
              </w:rPr>
              <w:t xml:space="preserve"> </w:t>
            </w:r>
            <w:r>
              <w:rPr>
                <w:rFonts w:ascii="Avenir Next Condensed"/>
                <w:sz w:val="18"/>
              </w:rPr>
              <w:t>the</w:t>
            </w:r>
            <w:r>
              <w:rPr>
                <w:rFonts w:ascii="Avenir Next Condensed"/>
                <w:spacing w:val="-4"/>
                <w:sz w:val="18"/>
              </w:rPr>
              <w:t xml:space="preserve"> </w:t>
            </w:r>
            <w:r>
              <w:rPr>
                <w:rFonts w:ascii="Avenir Next Condensed"/>
                <w:spacing w:val="-2"/>
                <w:sz w:val="18"/>
              </w:rPr>
              <w:t>ACCC</w:t>
            </w:r>
            <w:r>
              <w:rPr>
                <w:rFonts w:ascii="Avenir Next Condensed"/>
                <w:sz w:val="18"/>
              </w:rPr>
              <w:t xml:space="preserve"> to </w:t>
            </w:r>
            <w:r>
              <w:rPr>
                <w:rFonts w:ascii="Avenir Next Condensed"/>
                <w:spacing w:val="-1"/>
                <w:sz w:val="18"/>
              </w:rPr>
              <w:t>take</w:t>
            </w:r>
            <w:r>
              <w:rPr>
                <w:rFonts w:ascii="Avenir Next Condensed"/>
                <w:sz w:val="18"/>
              </w:rPr>
              <w:t xml:space="preserve"> into</w:t>
            </w:r>
            <w:r>
              <w:rPr>
                <w:rFonts w:ascii="Avenir Next Condensed"/>
                <w:spacing w:val="22"/>
                <w:sz w:val="18"/>
              </w:rPr>
              <w:t xml:space="preserve"> </w:t>
            </w:r>
            <w:r>
              <w:rPr>
                <w:rFonts w:ascii="Avenir Next Condensed"/>
                <w:sz w:val="18"/>
              </w:rPr>
              <w:t xml:space="preserve">account changes in </w:t>
            </w:r>
            <w:r>
              <w:rPr>
                <w:rFonts w:ascii="Avenir Next Condensed"/>
                <w:spacing w:val="-1"/>
                <w:sz w:val="18"/>
              </w:rPr>
              <w:t>forecast</w:t>
            </w:r>
            <w:r>
              <w:rPr>
                <w:rFonts w:ascii="Avenir Next Condensed"/>
                <w:sz w:val="18"/>
              </w:rPr>
              <w:t xml:space="preserve"> demand</w:t>
            </w:r>
          </w:p>
          <w:p w:rsidR="00D96B91" w:rsidRDefault="00C2656B">
            <w:pPr>
              <w:pStyle w:val="TableParagraph"/>
              <w:spacing w:line="220" w:lineRule="exact"/>
              <w:ind w:left="108" w:right="143"/>
              <w:rPr>
                <w:rFonts w:ascii="Avenir Next Condensed" w:eastAsia="Avenir Next Condensed" w:hAnsi="Avenir Next Condensed" w:cs="Avenir Next Condensed"/>
                <w:sz w:val="18"/>
                <w:szCs w:val="18"/>
              </w:rPr>
            </w:pPr>
            <w:r>
              <w:rPr>
                <w:rFonts w:ascii="Avenir Next Condensed"/>
                <w:sz w:val="18"/>
              </w:rPr>
              <w:t xml:space="preserve">at the annual price </w:t>
            </w:r>
            <w:r>
              <w:rPr>
                <w:rFonts w:ascii="Avenir Next Condensed"/>
                <w:spacing w:val="-1"/>
                <w:sz w:val="18"/>
              </w:rPr>
              <w:t>review</w:t>
            </w:r>
            <w:r>
              <w:rPr>
                <w:rFonts w:ascii="Avenir Next Condensed"/>
                <w:sz w:val="18"/>
              </w:rPr>
              <w:t xml:space="preserve"> as well as price</w:t>
            </w:r>
            <w:r>
              <w:rPr>
                <w:rFonts w:ascii="Avenir Next Condensed"/>
                <w:spacing w:val="24"/>
                <w:sz w:val="18"/>
              </w:rPr>
              <w:t xml:space="preserve"> </w:t>
            </w:r>
            <w:r>
              <w:rPr>
                <w:rFonts w:ascii="Avenir Next Condensed"/>
                <w:spacing w:val="-1"/>
                <w:sz w:val="18"/>
              </w:rPr>
              <w:t>stability.</w:t>
            </w:r>
          </w:p>
        </w:tc>
        <w:tc>
          <w:tcPr>
            <w:tcW w:w="93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pacing w:val="-4"/>
                <w:sz w:val="18"/>
              </w:rPr>
              <w:t>Yes</w:t>
            </w:r>
          </w:p>
        </w:tc>
        <w:tc>
          <w:tcPr>
            <w:tcW w:w="199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line="220" w:lineRule="exact"/>
              <w:ind w:left="108" w:right="223"/>
              <w:jc w:val="both"/>
              <w:rPr>
                <w:rFonts w:ascii="Avenir Next Condensed" w:eastAsia="Avenir Next Condensed" w:hAnsi="Avenir Next Condensed" w:cs="Avenir Next Condensed"/>
                <w:sz w:val="18"/>
                <w:szCs w:val="18"/>
              </w:rPr>
            </w:pPr>
            <w:r>
              <w:rPr>
                <w:rFonts w:ascii="Avenir Next Condensed"/>
                <w:spacing w:val="-4"/>
                <w:sz w:val="18"/>
              </w:rPr>
              <w:t>Yes</w:t>
            </w:r>
            <w:r>
              <w:rPr>
                <w:rFonts w:ascii="Avenir Next Condensed"/>
                <w:sz w:val="18"/>
              </w:rPr>
              <w:t xml:space="preserve"> for MDB</w:t>
            </w:r>
            <w:r>
              <w:rPr>
                <w:rFonts w:ascii="Avenir Next Condensed"/>
                <w:spacing w:val="-4"/>
                <w:sz w:val="18"/>
              </w:rPr>
              <w:t xml:space="preserve"> </w:t>
            </w:r>
            <w:r>
              <w:rPr>
                <w:rFonts w:ascii="Avenir Next Condensed"/>
                <w:sz w:val="18"/>
              </w:rPr>
              <w:t>Authority and</w:t>
            </w:r>
            <w:r>
              <w:rPr>
                <w:rFonts w:ascii="Avenir Next Condensed"/>
                <w:spacing w:val="22"/>
                <w:sz w:val="18"/>
              </w:rPr>
              <w:t xml:space="preserve"> </w:t>
            </w:r>
            <w:r>
              <w:rPr>
                <w:rFonts w:ascii="Avenir Next Condensed"/>
                <w:spacing w:val="-1"/>
                <w:sz w:val="18"/>
              </w:rPr>
              <w:t>Border</w:t>
            </w:r>
            <w:r>
              <w:rPr>
                <w:rFonts w:ascii="Avenir Next Condensed"/>
                <w:sz w:val="18"/>
              </w:rPr>
              <w:t xml:space="preserve"> Rivers </w:t>
            </w:r>
            <w:r>
              <w:rPr>
                <w:rFonts w:ascii="Avenir Next Condensed"/>
                <w:spacing w:val="-1"/>
                <w:sz w:val="18"/>
              </w:rPr>
              <w:t>Commission</w:t>
            </w:r>
            <w:r>
              <w:rPr>
                <w:rFonts w:ascii="Avenir Next Condensed"/>
                <w:spacing w:val="30"/>
                <w:sz w:val="18"/>
              </w:rPr>
              <w:t xml:space="preserve"> </w:t>
            </w:r>
            <w:r>
              <w:rPr>
                <w:rFonts w:ascii="Avenir Next Condensed"/>
                <w:sz w:val="18"/>
              </w:rPr>
              <w:t xml:space="preserve">costs </w:t>
            </w:r>
            <w:r>
              <w:rPr>
                <w:rFonts w:ascii="Avenir Next Condensed"/>
                <w:spacing w:val="-2"/>
                <w:sz w:val="18"/>
              </w:rPr>
              <w:t>only.</w:t>
            </w:r>
          </w:p>
        </w:tc>
        <w:tc>
          <w:tcPr>
            <w:tcW w:w="128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5"/>
              <w:ind w:left="108"/>
              <w:rPr>
                <w:rFonts w:ascii="Avenir Next Condensed" w:eastAsia="Avenir Next Condensed" w:hAnsi="Avenir Next Condensed" w:cs="Avenir Next Condensed"/>
                <w:sz w:val="18"/>
                <w:szCs w:val="18"/>
              </w:rPr>
            </w:pPr>
            <w:r>
              <w:rPr>
                <w:rFonts w:ascii="Avenir Next Condensed"/>
                <w:sz w:val="18"/>
              </w:rPr>
              <w:t>No</w:t>
            </w:r>
          </w:p>
        </w:tc>
      </w:tr>
    </w:tbl>
    <w:p w:rsidR="00D96B91" w:rsidRDefault="00D96B91">
      <w:pPr>
        <w:rPr>
          <w:rFonts w:ascii="Avenir Next Condensed" w:eastAsia="Avenir Next Condensed" w:hAnsi="Avenir Next Condensed" w:cs="Avenir Next Condensed"/>
          <w:sz w:val="18"/>
          <w:szCs w:val="18"/>
        </w:rPr>
        <w:sectPr w:rsidR="00D96B91">
          <w:footerReference w:type="default" r:id="rId112"/>
          <w:pgSz w:w="16840" w:h="11910" w:orient="landscape"/>
          <w:pgMar w:top="0" w:right="960" w:bottom="0" w:left="0" w:header="0" w:footer="0" w:gutter="0"/>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33" w:name="Appendix_6_Building_blocks"/>
      <w:bookmarkStart w:id="234" w:name="_bookmark150"/>
      <w:bookmarkEnd w:id="233"/>
      <w:bookmarkEnd w:id="234"/>
      <w:r>
        <w:rPr>
          <w:rFonts w:ascii="Avenir Next Medium"/>
          <w:color w:val="0778BE"/>
          <w:sz w:val="40"/>
        </w:rPr>
        <w:t>Appendix 6</w:t>
      </w:r>
      <w:r>
        <w:rPr>
          <w:rFonts w:ascii="Avenir Next Medium"/>
          <w:color w:val="0778BE"/>
          <w:sz w:val="40"/>
        </w:rPr>
        <w:tab/>
        <w:t xml:space="preserve">Building </w:t>
      </w:r>
      <w:r>
        <w:rPr>
          <w:rFonts w:ascii="Avenir Next Medium"/>
          <w:color w:val="0778BE"/>
          <w:spacing w:val="-1"/>
          <w:sz w:val="40"/>
        </w:rPr>
        <w:t>blocks</w:t>
      </w:r>
    </w:p>
    <w:p w:rsidR="00D96B91" w:rsidRDefault="00D96B91">
      <w:pPr>
        <w:spacing w:before="12"/>
        <w:rPr>
          <w:rFonts w:ascii="Avenir Next Medium" w:eastAsia="Avenir Next Medium" w:hAnsi="Avenir Next Medium" w:cs="Avenir Next Medium"/>
          <w:sz w:val="26"/>
          <w:szCs w:val="26"/>
        </w:rPr>
      </w:pPr>
    </w:p>
    <w:p w:rsidR="00D96B91" w:rsidRDefault="00C2656B">
      <w:pPr>
        <w:pStyle w:val="BodyText"/>
      </w:pPr>
      <w:r>
        <w:rPr>
          <w:spacing w:val="-4"/>
        </w:rPr>
        <w:t xml:space="preserve">Table </w:t>
      </w:r>
      <w:r>
        <w:t xml:space="preserve">A6.1 sets out the </w:t>
      </w:r>
      <w:r>
        <w:rPr>
          <w:spacing w:val="-1"/>
        </w:rPr>
        <w:t>approach</w:t>
      </w:r>
      <w:r>
        <w:t xml:space="preserve"> </w:t>
      </w:r>
      <w:r>
        <w:rPr>
          <w:spacing w:val="-1"/>
        </w:rPr>
        <w:t>regulators</w:t>
      </w:r>
      <w:r>
        <w:t xml:space="preserve"> typically use to determine the value of</w:t>
      </w:r>
      <w:r>
        <w:rPr>
          <w:spacing w:val="4"/>
        </w:rPr>
        <w:t xml:space="preserve"> </w:t>
      </w:r>
      <w:r>
        <w:rPr>
          <w:spacing w:val="-1"/>
        </w:rPr>
        <w:t>each</w:t>
      </w:r>
      <w:r>
        <w:t xml:space="preserve"> building block.</w:t>
      </w:r>
    </w:p>
    <w:p w:rsidR="00D96B91" w:rsidRDefault="00C2656B">
      <w:pPr>
        <w:spacing w:before="157"/>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A6.1: How </w:t>
      </w:r>
      <w:r>
        <w:rPr>
          <w:rFonts w:ascii="Avenir Next"/>
          <w:b/>
          <w:spacing w:val="-1"/>
          <w:sz w:val="20"/>
        </w:rPr>
        <w:t>regulators</w:t>
      </w:r>
      <w:r>
        <w:rPr>
          <w:rFonts w:ascii="Avenir Next"/>
          <w:b/>
          <w:sz w:val="20"/>
        </w:rPr>
        <w:t xml:space="preserve"> typically determine the value of</w:t>
      </w:r>
      <w:r>
        <w:rPr>
          <w:rFonts w:ascii="Avenir Next"/>
          <w:b/>
          <w:spacing w:val="4"/>
          <w:sz w:val="20"/>
        </w:rPr>
        <w:t xml:space="preserve"> </w:t>
      </w:r>
      <w:r>
        <w:rPr>
          <w:rFonts w:ascii="Avenir Next"/>
          <w:b/>
          <w:spacing w:val="-1"/>
          <w:sz w:val="20"/>
        </w:rPr>
        <w:t>each</w:t>
      </w:r>
      <w:r>
        <w:rPr>
          <w:rFonts w:ascii="Avenir Next"/>
          <w:b/>
          <w:sz w:val="20"/>
        </w:rPr>
        <w:t xml:space="preserve"> building block</w:t>
      </w:r>
    </w:p>
    <w:p w:rsidR="00D96B91" w:rsidRDefault="00D96B91">
      <w:pPr>
        <w:spacing w:before="4"/>
        <w:rPr>
          <w:rFonts w:ascii="Avenir Next" w:eastAsia="Avenir Next" w:hAnsi="Avenir Next" w:cs="Avenir Next"/>
          <w:b/>
          <w:bCs/>
          <w:sz w:val="13"/>
          <w:szCs w:val="13"/>
        </w:rPr>
      </w:pPr>
    </w:p>
    <w:tbl>
      <w:tblPr>
        <w:tblW w:w="0" w:type="auto"/>
        <w:tblInd w:w="1247" w:type="dxa"/>
        <w:tblLayout w:type="fixed"/>
        <w:tblCellMar>
          <w:left w:w="0" w:type="dxa"/>
          <w:right w:w="0" w:type="dxa"/>
        </w:tblCellMar>
        <w:tblLook w:val="01E0"/>
      </w:tblPr>
      <w:tblGrid>
        <w:gridCol w:w="1200"/>
        <w:gridCol w:w="8201"/>
      </w:tblGrid>
      <w:tr w:rsidR="00D96B91">
        <w:trPr>
          <w:trHeight w:hRule="exact" w:val="407"/>
        </w:trPr>
        <w:tc>
          <w:tcPr>
            <w:tcW w:w="120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820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p>
        </w:tc>
      </w:tr>
      <w:tr w:rsidR="00D96B91">
        <w:trPr>
          <w:trHeight w:hRule="exact" w:val="357"/>
        </w:trPr>
        <w:tc>
          <w:tcPr>
            <w:tcW w:w="1200"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Value</w:t>
            </w:r>
            <w:r>
              <w:rPr>
                <w:rFonts w:ascii="Avenir Next Condensed"/>
                <w:b/>
                <w:sz w:val="18"/>
              </w:rPr>
              <w:t xml:space="preserve"> of</w:t>
            </w:r>
            <w:r>
              <w:rPr>
                <w:rFonts w:ascii="Avenir Next Condensed"/>
                <w:b/>
                <w:spacing w:val="4"/>
                <w:sz w:val="18"/>
              </w:rPr>
              <w:t xml:space="preserve"> </w:t>
            </w:r>
            <w:r>
              <w:rPr>
                <w:rFonts w:ascii="Avenir Next Condensed"/>
                <w:b/>
                <w:sz w:val="18"/>
              </w:rPr>
              <w:t>the</w:t>
            </w:r>
          </w:p>
        </w:tc>
        <w:tc>
          <w:tcPr>
            <w:tcW w:w="8201" w:type="dxa"/>
            <w:tcBorders>
              <w:top w:val="single" w:sz="4" w:space="0" w:color="1A9EDA"/>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value of</w:t>
            </w:r>
            <w:r>
              <w:rPr>
                <w:rFonts w:ascii="Avenir Next Condensed"/>
                <w:spacing w:val="4"/>
                <w:sz w:val="18"/>
              </w:rPr>
              <w:t xml:space="preserve"> </w:t>
            </w:r>
            <w:r>
              <w:rPr>
                <w:rFonts w:ascii="Avenir Next Condensed"/>
                <w:sz w:val="18"/>
              </w:rPr>
              <w:t xml:space="preserve">the RAB is used to calculate both the </w:t>
            </w:r>
            <w:r>
              <w:rPr>
                <w:rFonts w:ascii="Avenir Next Condensed"/>
                <w:spacing w:val="-1"/>
                <w:sz w:val="18"/>
              </w:rPr>
              <w:t>return</w:t>
            </w:r>
            <w:r>
              <w:rPr>
                <w:rFonts w:ascii="Avenir Next Condensed"/>
                <w:sz w:val="18"/>
              </w:rPr>
              <w:t xml:space="preserve"> on capital and the </w:t>
            </w:r>
            <w:r>
              <w:rPr>
                <w:rFonts w:ascii="Avenir Next Condensed"/>
                <w:spacing w:val="-1"/>
                <w:sz w:val="18"/>
              </w:rPr>
              <w:t>depreciation</w:t>
            </w:r>
            <w:r>
              <w:rPr>
                <w:rFonts w:ascii="Avenir Next Condensed"/>
                <w:sz w:val="18"/>
              </w:rPr>
              <w:t xml:space="preserve"> building </w:t>
            </w:r>
            <w:r>
              <w:rPr>
                <w:rFonts w:ascii="Avenir Next Condensed"/>
                <w:spacing w:val="-1"/>
                <w:sz w:val="18"/>
              </w:rPr>
              <w:t>blocks,</w:t>
            </w:r>
            <w:r>
              <w:rPr>
                <w:rFonts w:ascii="Avenir Next Condensed"/>
                <w:spacing w:val="-6"/>
                <w:sz w:val="18"/>
              </w:rPr>
              <w:t xml:space="preserve"> </w:t>
            </w:r>
            <w:r>
              <w:rPr>
                <w:rFonts w:ascii="Avenir Next Condensed"/>
                <w:sz w:val="18"/>
              </w:rPr>
              <w:t xml:space="preserve">and should </w:t>
            </w:r>
            <w:r>
              <w:rPr>
                <w:rFonts w:ascii="Avenir Next Condensed"/>
                <w:spacing w:val="-1"/>
                <w:sz w:val="18"/>
              </w:rPr>
              <w:t>reflect</w:t>
            </w:r>
            <w:r>
              <w:rPr>
                <w:rFonts w:ascii="Avenir Next Condensed"/>
                <w:sz w:val="18"/>
              </w:rPr>
              <w:t xml:space="preserve"> the</w:t>
            </w:r>
          </w:p>
        </w:tc>
      </w:tr>
      <w:tr w:rsidR="00D96B91">
        <w:trPr>
          <w:trHeight w:hRule="exact" w:val="3819"/>
        </w:trPr>
        <w:tc>
          <w:tcPr>
            <w:tcW w:w="120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RAB</w:t>
            </w:r>
          </w:p>
        </w:tc>
        <w:tc>
          <w:tcPr>
            <w:tcW w:w="820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348"/>
              <w:rPr>
                <w:rFonts w:ascii="Avenir Next Condensed" w:eastAsia="Avenir Next Condensed" w:hAnsi="Avenir Next Condensed" w:cs="Avenir Next Condensed"/>
                <w:sz w:val="18"/>
                <w:szCs w:val="18"/>
              </w:rPr>
            </w:pPr>
            <w:r>
              <w:rPr>
                <w:rFonts w:ascii="Avenir Next Condensed"/>
                <w:sz w:val="18"/>
              </w:rPr>
              <w:t>set of</w:t>
            </w:r>
            <w:r>
              <w:rPr>
                <w:rFonts w:ascii="Avenir Next Condensed"/>
                <w:spacing w:val="4"/>
                <w:sz w:val="18"/>
              </w:rPr>
              <w:t xml:space="preserve"> </w:t>
            </w:r>
            <w:r>
              <w:rPr>
                <w:rFonts w:ascii="Avenir Next Condensed"/>
                <w:spacing w:val="-1"/>
                <w:sz w:val="18"/>
              </w:rPr>
              <w:t>assets</w:t>
            </w:r>
            <w:r>
              <w:rPr>
                <w:rFonts w:ascii="Avenir Next Condensed"/>
                <w:sz w:val="18"/>
              </w:rPr>
              <w:t xml:space="preserve"> that </w:t>
            </w:r>
            <w:r>
              <w:rPr>
                <w:rFonts w:ascii="Avenir Next Condensed"/>
                <w:spacing w:val="-1"/>
                <w:sz w:val="18"/>
              </w:rPr>
              <w:t>are</w:t>
            </w:r>
            <w:r>
              <w:rPr>
                <w:rFonts w:ascii="Avenir Next Condensed"/>
                <w:sz w:val="18"/>
              </w:rPr>
              <w:t xml:space="preserve"> </w:t>
            </w:r>
            <w:r>
              <w:rPr>
                <w:rFonts w:ascii="Avenir Next Condensed"/>
                <w:spacing w:val="-1"/>
                <w:sz w:val="18"/>
              </w:rPr>
              <w:t>required</w:t>
            </w:r>
            <w:r>
              <w:rPr>
                <w:rFonts w:ascii="Avenir Next Condensed"/>
                <w:sz w:val="18"/>
              </w:rPr>
              <w:t xml:space="preserve"> for the prudent and </w:t>
            </w:r>
            <w:r>
              <w:rPr>
                <w:rFonts w:ascii="Avenir Next Condensed"/>
                <w:spacing w:val="-1"/>
                <w:sz w:val="18"/>
              </w:rPr>
              <w:t>efficient</w:t>
            </w:r>
            <w:r>
              <w:rPr>
                <w:rFonts w:ascii="Avenir Next Condensed"/>
                <w:sz w:val="18"/>
              </w:rPr>
              <w:t xml:space="preserve"> delivery of</w:t>
            </w:r>
            <w:r>
              <w:rPr>
                <w:rFonts w:ascii="Avenir Next Condensed"/>
                <w:spacing w:val="4"/>
                <w:sz w:val="18"/>
              </w:rPr>
              <w:t xml:space="preserve"> </w:t>
            </w:r>
            <w:r>
              <w:rPr>
                <w:rFonts w:ascii="Avenir Next Condensed"/>
                <w:sz w:val="18"/>
              </w:rPr>
              <w:t>services.</w:t>
            </w:r>
            <w:r>
              <w:rPr>
                <w:rFonts w:ascii="Avenir Next Condensed"/>
                <w:spacing w:val="-10"/>
                <w:sz w:val="18"/>
              </w:rPr>
              <w:t xml:space="preserve"> </w:t>
            </w:r>
            <w:r>
              <w:rPr>
                <w:rFonts w:ascii="Avenir Next Condensed"/>
                <w:spacing w:val="-1"/>
                <w:sz w:val="18"/>
              </w:rPr>
              <w:t>The</w:t>
            </w:r>
            <w:r>
              <w:rPr>
                <w:rFonts w:ascii="Avenir Next Condensed"/>
                <w:sz w:val="18"/>
              </w:rPr>
              <w:t xml:space="preserve"> value of</w:t>
            </w:r>
            <w:r>
              <w:rPr>
                <w:rFonts w:ascii="Avenir Next Condensed"/>
                <w:spacing w:val="4"/>
                <w:sz w:val="18"/>
              </w:rPr>
              <w:t xml:space="preserve"> </w:t>
            </w:r>
            <w:r>
              <w:rPr>
                <w:rFonts w:ascii="Avenir Next Condensed"/>
                <w:sz w:val="18"/>
              </w:rPr>
              <w:t xml:space="preserve">the RAB will change </w:t>
            </w:r>
            <w:r>
              <w:rPr>
                <w:rFonts w:ascii="Avenir Next Condensed"/>
                <w:spacing w:val="-1"/>
                <w:sz w:val="18"/>
              </w:rPr>
              <w:t>from</w:t>
            </w:r>
            <w:r>
              <w:rPr>
                <w:rFonts w:ascii="Avenir Next Condensed"/>
                <w:sz w:val="18"/>
              </w:rPr>
              <w:t xml:space="preserve"> </w:t>
            </w:r>
            <w:r>
              <w:rPr>
                <w:rFonts w:ascii="Avenir Next Condensed"/>
                <w:spacing w:val="-1"/>
                <w:sz w:val="18"/>
              </w:rPr>
              <w:t>year</w:t>
            </w:r>
            <w:r>
              <w:rPr>
                <w:rFonts w:ascii="Avenir Next Condensed"/>
                <w:sz w:val="18"/>
              </w:rPr>
              <w:t xml:space="preserve"> to</w:t>
            </w:r>
            <w:r>
              <w:rPr>
                <w:rFonts w:ascii="Avenir Next Condensed"/>
                <w:spacing w:val="41"/>
                <w:sz w:val="18"/>
              </w:rPr>
              <w:t xml:space="preserve"> </w:t>
            </w:r>
            <w:r>
              <w:rPr>
                <w:rFonts w:ascii="Avenir Next Condensed"/>
                <w:spacing w:val="-1"/>
                <w:sz w:val="18"/>
              </w:rPr>
              <w:t>year</w:t>
            </w:r>
            <w:r>
              <w:rPr>
                <w:rFonts w:ascii="Avenir Next Condensed"/>
                <w:sz w:val="18"/>
              </w:rPr>
              <w:t xml:space="preserve"> to </w:t>
            </w:r>
            <w:r>
              <w:rPr>
                <w:rFonts w:ascii="Avenir Next Condensed"/>
                <w:spacing w:val="-1"/>
                <w:sz w:val="18"/>
              </w:rPr>
              <w:t>reflect:</w:t>
            </w:r>
          </w:p>
          <w:p w:rsidR="00D96B91" w:rsidRDefault="00C2656B">
            <w:pPr>
              <w:pStyle w:val="ListParagraph"/>
              <w:numPr>
                <w:ilvl w:val="0"/>
                <w:numId w:val="27"/>
              </w:numPr>
              <w:tabs>
                <w:tab w:val="left" w:pos="336"/>
              </w:tabs>
              <w:spacing w:before="98" w:line="220" w:lineRule="exact"/>
              <w:ind w:right="217"/>
              <w:rPr>
                <w:rFonts w:ascii="Avenir Next Condensed" w:eastAsia="Avenir Next Condensed" w:hAnsi="Avenir Next Condensed" w:cs="Avenir Next Condensed"/>
                <w:sz w:val="18"/>
                <w:szCs w:val="18"/>
              </w:rPr>
            </w:pPr>
            <w:r>
              <w:rPr>
                <w:rFonts w:ascii="Avenir Next Condensed"/>
                <w:sz w:val="18"/>
              </w:rPr>
              <w:t>the value of</w:t>
            </w:r>
            <w:r>
              <w:rPr>
                <w:rFonts w:ascii="Avenir Next Condensed"/>
                <w:spacing w:val="4"/>
                <w:sz w:val="18"/>
              </w:rPr>
              <w:t xml:space="preserve"> </w:t>
            </w:r>
            <w:r>
              <w:rPr>
                <w:rFonts w:ascii="Avenir Next Condensed"/>
                <w:sz w:val="18"/>
              </w:rPr>
              <w:t xml:space="preserve">any prudent and </w:t>
            </w:r>
            <w:r>
              <w:rPr>
                <w:rFonts w:ascii="Avenir Next Condensed"/>
                <w:spacing w:val="-1"/>
                <w:sz w:val="18"/>
              </w:rPr>
              <w:t>efficient</w:t>
            </w:r>
            <w:r>
              <w:rPr>
                <w:rFonts w:ascii="Avenir Next Condensed"/>
                <w:sz w:val="18"/>
              </w:rPr>
              <w:t xml:space="preserve"> capital </w:t>
            </w:r>
            <w:r>
              <w:rPr>
                <w:rFonts w:ascii="Avenir Next Condensed"/>
                <w:spacing w:val="-1"/>
                <w:sz w:val="18"/>
              </w:rPr>
              <w:t>expenditure</w:t>
            </w:r>
            <w:r>
              <w:rPr>
                <w:rFonts w:ascii="Avenir Next Condensed"/>
                <w:sz w:val="18"/>
              </w:rPr>
              <w:t xml:space="preserve"> </w:t>
            </w:r>
            <w:r>
              <w:rPr>
                <w:rFonts w:ascii="Avenir Next Condensed"/>
                <w:spacing w:val="-1"/>
                <w:sz w:val="18"/>
              </w:rPr>
              <w:t>incurred</w:t>
            </w:r>
            <w:r>
              <w:rPr>
                <w:rFonts w:ascii="Avenir Next Condensed"/>
                <w:sz w:val="18"/>
              </w:rPr>
              <w:t xml:space="preserve"> in the </w:t>
            </w:r>
            <w:r>
              <w:rPr>
                <w:rFonts w:ascii="Avenir Next Condensed"/>
                <w:spacing w:val="-1"/>
                <w:sz w:val="18"/>
              </w:rPr>
              <w:t>year</w:t>
            </w:r>
            <w:r>
              <w:rPr>
                <w:rFonts w:ascii="Avenir Next Condensed"/>
                <w:sz w:val="18"/>
              </w:rPr>
              <w:t xml:space="preserve"> (net of</w:t>
            </w:r>
            <w:r>
              <w:rPr>
                <w:rFonts w:ascii="Avenir Next Condensed"/>
                <w:spacing w:val="4"/>
                <w:sz w:val="18"/>
              </w:rPr>
              <w:t xml:space="preserve"> </w:t>
            </w:r>
            <w:r>
              <w:rPr>
                <w:rFonts w:ascii="Avenir Next Condensed"/>
                <w:sz w:val="18"/>
              </w:rPr>
              <w:t>the value of</w:t>
            </w:r>
            <w:r>
              <w:rPr>
                <w:rFonts w:ascii="Avenir Next Condensed"/>
                <w:spacing w:val="4"/>
                <w:sz w:val="18"/>
              </w:rPr>
              <w:t xml:space="preserve"> </w:t>
            </w:r>
            <w:r>
              <w:rPr>
                <w:rFonts w:ascii="Avenir Next Condensed"/>
                <w:sz w:val="18"/>
              </w:rPr>
              <w:t>customer contributions),</w:t>
            </w:r>
            <w:r>
              <w:rPr>
                <w:rFonts w:ascii="Avenir Next Condensed"/>
                <w:spacing w:val="43"/>
                <w:sz w:val="18"/>
              </w:rPr>
              <w:t xml:space="preserve"> </w:t>
            </w:r>
            <w:r>
              <w:rPr>
                <w:rFonts w:ascii="Avenir Next Condensed"/>
                <w:sz w:val="18"/>
              </w:rPr>
              <w:t>which must be added to the RAB</w:t>
            </w:r>
          </w:p>
          <w:p w:rsidR="00D96B91" w:rsidRDefault="00C2656B">
            <w:pPr>
              <w:pStyle w:val="ListParagraph"/>
              <w:numPr>
                <w:ilvl w:val="0"/>
                <w:numId w:val="27"/>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the sale or disposal of</w:t>
            </w:r>
            <w:r>
              <w:rPr>
                <w:rFonts w:ascii="Avenir Next Condensed"/>
                <w:spacing w:val="4"/>
                <w:sz w:val="18"/>
              </w:rPr>
              <w:t xml:space="preserve"> </w:t>
            </w:r>
            <w:r>
              <w:rPr>
                <w:rFonts w:ascii="Avenir Next Condensed"/>
                <w:sz w:val="18"/>
              </w:rPr>
              <w:t xml:space="preserve">any </w:t>
            </w:r>
            <w:r>
              <w:rPr>
                <w:rFonts w:ascii="Avenir Next Condensed"/>
                <w:spacing w:val="-1"/>
                <w:sz w:val="18"/>
              </w:rPr>
              <w:t>assets</w:t>
            </w:r>
            <w:r>
              <w:rPr>
                <w:rFonts w:ascii="Avenir Next Condensed"/>
                <w:sz w:val="18"/>
              </w:rPr>
              <w:t xml:space="preserve"> in the </w:t>
            </w:r>
            <w:r>
              <w:rPr>
                <w:rFonts w:ascii="Avenir Next Condensed"/>
                <w:spacing w:val="-2"/>
                <w:sz w:val="18"/>
              </w:rPr>
              <w:t>year,</w:t>
            </w:r>
            <w:r>
              <w:rPr>
                <w:rFonts w:ascii="Avenir Next Condensed"/>
                <w:spacing w:val="-6"/>
                <w:sz w:val="18"/>
              </w:rPr>
              <w:t xml:space="preserve"> </w:t>
            </w:r>
            <w:r>
              <w:rPr>
                <w:rFonts w:ascii="Avenir Next Condensed"/>
                <w:sz w:val="18"/>
              </w:rPr>
              <w:t xml:space="preserve">which must be deducted </w:t>
            </w:r>
            <w:r>
              <w:rPr>
                <w:rFonts w:ascii="Avenir Next Condensed"/>
                <w:spacing w:val="-1"/>
                <w:sz w:val="18"/>
              </w:rPr>
              <w:t>from</w:t>
            </w:r>
            <w:r>
              <w:rPr>
                <w:rFonts w:ascii="Avenir Next Condensed"/>
                <w:sz w:val="18"/>
              </w:rPr>
              <w:t xml:space="preserve"> the RAB,</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27"/>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the value of</w:t>
            </w:r>
            <w:r>
              <w:rPr>
                <w:rFonts w:ascii="Avenir Next Condensed"/>
                <w:spacing w:val="4"/>
                <w:sz w:val="18"/>
              </w:rPr>
              <w:t xml:space="preserve"> </w:t>
            </w:r>
            <w:r>
              <w:rPr>
                <w:rFonts w:ascii="Avenir Next Condensed"/>
                <w:sz w:val="18"/>
              </w:rPr>
              <w:t xml:space="preserve">any capital </w:t>
            </w:r>
            <w:r>
              <w:rPr>
                <w:rFonts w:ascii="Avenir Next Condensed"/>
                <w:spacing w:val="-1"/>
                <w:sz w:val="18"/>
              </w:rPr>
              <w:t>recovered</w:t>
            </w:r>
            <w:r>
              <w:rPr>
                <w:rFonts w:ascii="Avenir Next Condensed"/>
                <w:sz w:val="18"/>
              </w:rPr>
              <w:t xml:space="preserve"> </w:t>
            </w:r>
            <w:r>
              <w:rPr>
                <w:rFonts w:ascii="Avenir Next Condensed"/>
                <w:spacing w:val="-1"/>
                <w:sz w:val="18"/>
              </w:rPr>
              <w:t>through</w:t>
            </w:r>
            <w:r>
              <w:rPr>
                <w:rFonts w:ascii="Avenir Next Condensed"/>
                <w:sz w:val="18"/>
              </w:rPr>
              <w:t xml:space="preserve"> </w:t>
            </w:r>
            <w:r>
              <w:rPr>
                <w:rFonts w:ascii="Avenir Next Condensed"/>
                <w:spacing w:val="-1"/>
                <w:sz w:val="18"/>
              </w:rPr>
              <w:t>depreciation,</w:t>
            </w:r>
            <w:r>
              <w:rPr>
                <w:rFonts w:ascii="Avenir Next Condensed"/>
                <w:spacing w:val="-6"/>
                <w:sz w:val="18"/>
              </w:rPr>
              <w:t xml:space="preserve"> </w:t>
            </w:r>
            <w:r>
              <w:rPr>
                <w:rFonts w:ascii="Avenir Next Condensed"/>
                <w:sz w:val="18"/>
              </w:rPr>
              <w:t xml:space="preserve">which must be deducted </w:t>
            </w:r>
            <w:r>
              <w:rPr>
                <w:rFonts w:ascii="Avenir Next Condensed"/>
                <w:spacing w:val="-1"/>
                <w:sz w:val="18"/>
              </w:rPr>
              <w:t>from</w:t>
            </w:r>
            <w:r>
              <w:rPr>
                <w:rFonts w:ascii="Avenir Next Condensed"/>
                <w:sz w:val="18"/>
              </w:rPr>
              <w:t xml:space="preserve"> the RAB.</w:t>
            </w:r>
          </w:p>
          <w:p w:rsidR="00D96B91" w:rsidRDefault="00C2656B">
            <w:pPr>
              <w:pStyle w:val="TableParagraph"/>
              <w:spacing w:before="91" w:line="220" w:lineRule="exact"/>
              <w:ind w:left="108" w:right="106"/>
              <w:rPr>
                <w:rFonts w:ascii="Avenir Next Condensed" w:eastAsia="Avenir Next Condensed" w:hAnsi="Avenir Next Condensed" w:cs="Avenir Next Condensed"/>
                <w:sz w:val="18"/>
                <w:szCs w:val="18"/>
              </w:rPr>
            </w:pPr>
            <w:r>
              <w:rPr>
                <w:rFonts w:ascii="Avenir Next Condensed"/>
                <w:spacing w:val="-4"/>
                <w:sz w:val="18"/>
              </w:rPr>
              <w:t>To</w:t>
            </w:r>
            <w:r>
              <w:rPr>
                <w:rFonts w:ascii="Avenir Next Condensed"/>
                <w:spacing w:val="-1"/>
                <w:sz w:val="18"/>
              </w:rPr>
              <w:t xml:space="preserve"> </w:t>
            </w:r>
            <w:r>
              <w:rPr>
                <w:rFonts w:ascii="Avenir Next Condensed"/>
                <w:sz w:val="18"/>
              </w:rPr>
              <w:t>counter</w:t>
            </w:r>
            <w:r>
              <w:rPr>
                <w:rFonts w:ascii="Avenir Next Condensed"/>
                <w:spacing w:val="-1"/>
                <w:sz w:val="18"/>
              </w:rPr>
              <w:t xml:space="preserve"> </w:t>
            </w:r>
            <w:r>
              <w:rPr>
                <w:rFonts w:ascii="Avenir Next Condensed"/>
                <w:sz w:val="18"/>
              </w:rPr>
              <w:t>the</w:t>
            </w:r>
            <w:r>
              <w:rPr>
                <w:rFonts w:ascii="Avenir Next Condensed"/>
                <w:spacing w:val="-1"/>
                <w:sz w:val="18"/>
              </w:rPr>
              <w:t xml:space="preserve"> </w:t>
            </w:r>
            <w:r>
              <w:rPr>
                <w:rFonts w:ascii="Avenir Next Condensed"/>
                <w:sz w:val="18"/>
              </w:rPr>
              <w:t>limited</w:t>
            </w:r>
            <w:r>
              <w:rPr>
                <w:rFonts w:ascii="Avenir Next Condensed"/>
                <w:spacing w:val="-1"/>
                <w:sz w:val="18"/>
              </w:rPr>
              <w:t xml:space="preserve"> </w:t>
            </w:r>
            <w:r>
              <w:rPr>
                <w:rFonts w:ascii="Avenir Next Condensed"/>
                <w:sz w:val="18"/>
              </w:rPr>
              <w:t>incentive</w:t>
            </w:r>
            <w:r>
              <w:rPr>
                <w:rFonts w:ascii="Avenir Next Condensed"/>
                <w:spacing w:val="-1"/>
                <w:sz w:val="18"/>
              </w:rPr>
              <w:t xml:space="preserve"> </w:t>
            </w:r>
            <w:r>
              <w:rPr>
                <w:rFonts w:ascii="Avenir Next Condensed"/>
                <w:sz w:val="18"/>
              </w:rPr>
              <w:t>a</w:t>
            </w:r>
            <w:r>
              <w:rPr>
                <w:rFonts w:ascii="Avenir Next Condensed"/>
                <w:spacing w:val="-1"/>
                <w:sz w:val="18"/>
              </w:rPr>
              <w:t xml:space="preserve"> </w:t>
            </w:r>
            <w:r>
              <w:rPr>
                <w:rFonts w:ascii="Avenir Next Condensed"/>
                <w:sz w:val="18"/>
              </w:rPr>
              <w:t>service</w:t>
            </w:r>
            <w:r>
              <w:rPr>
                <w:rFonts w:ascii="Avenir Next Condensed"/>
                <w:spacing w:val="-1"/>
                <w:sz w:val="18"/>
              </w:rPr>
              <w:t xml:space="preserve"> provider </w:t>
            </w:r>
            <w:r>
              <w:rPr>
                <w:rFonts w:ascii="Avenir Next Condensed"/>
                <w:sz w:val="18"/>
              </w:rPr>
              <w:t>may</w:t>
            </w:r>
            <w:r>
              <w:rPr>
                <w:rFonts w:ascii="Avenir Next Condensed"/>
                <w:spacing w:val="-1"/>
                <w:sz w:val="18"/>
              </w:rPr>
              <w:t xml:space="preserve"> </w:t>
            </w:r>
            <w:r>
              <w:rPr>
                <w:rFonts w:ascii="Avenir Next Condensed"/>
                <w:sz w:val="18"/>
              </w:rPr>
              <w:t>have</w:t>
            </w:r>
            <w:r>
              <w:rPr>
                <w:rFonts w:ascii="Avenir Next Condensed"/>
                <w:spacing w:val="-1"/>
                <w:sz w:val="18"/>
              </w:rPr>
              <w:t xml:space="preserve"> </w:t>
            </w:r>
            <w:r>
              <w:rPr>
                <w:rFonts w:ascii="Avenir Next Condensed"/>
                <w:sz w:val="18"/>
              </w:rPr>
              <w:t>to</w:t>
            </w:r>
            <w:r>
              <w:rPr>
                <w:rFonts w:ascii="Avenir Next Condensed"/>
                <w:spacing w:val="-1"/>
                <w:sz w:val="18"/>
              </w:rPr>
              <w:t xml:space="preserve"> </w:t>
            </w:r>
            <w:r>
              <w:rPr>
                <w:rFonts w:ascii="Avenir Next Condensed"/>
                <w:sz w:val="18"/>
              </w:rPr>
              <w:t>minimise</w:t>
            </w:r>
            <w:r>
              <w:rPr>
                <w:rFonts w:ascii="Avenir Next Condensed"/>
                <w:spacing w:val="-1"/>
                <w:sz w:val="18"/>
              </w:rPr>
              <w:t xml:space="preserve"> </w:t>
            </w:r>
            <w:r>
              <w:rPr>
                <w:rFonts w:ascii="Avenir Next Condensed"/>
                <w:sz w:val="18"/>
              </w:rPr>
              <w:t>costs,</w:t>
            </w:r>
            <w:r>
              <w:rPr>
                <w:rFonts w:ascii="Avenir Next Condensed"/>
                <w:spacing w:val="-6"/>
                <w:sz w:val="18"/>
              </w:rPr>
              <w:t xml:space="preserve"> </w:t>
            </w:r>
            <w:r>
              <w:rPr>
                <w:rFonts w:ascii="Avenir Next Condensed"/>
                <w:spacing w:val="-1"/>
                <w:sz w:val="18"/>
              </w:rPr>
              <w:t xml:space="preserve">regulators </w:t>
            </w:r>
            <w:r>
              <w:rPr>
                <w:rFonts w:ascii="Avenir Next Condensed"/>
                <w:sz w:val="18"/>
              </w:rPr>
              <w:t>usually</w:t>
            </w:r>
            <w:r>
              <w:rPr>
                <w:rFonts w:ascii="Avenir Next Condensed"/>
                <w:spacing w:val="-1"/>
                <w:sz w:val="18"/>
              </w:rPr>
              <w:t xml:space="preserve"> </w:t>
            </w:r>
            <w:r>
              <w:rPr>
                <w:rFonts w:ascii="Avenir Next Condensed"/>
                <w:sz w:val="18"/>
              </w:rPr>
              <w:t>only</w:t>
            </w:r>
            <w:r>
              <w:rPr>
                <w:rFonts w:ascii="Avenir Next Condensed"/>
                <w:spacing w:val="-1"/>
                <w:sz w:val="18"/>
              </w:rPr>
              <w:t xml:space="preserve"> </w:t>
            </w:r>
            <w:r>
              <w:rPr>
                <w:rFonts w:ascii="Avenir Next Condensed"/>
                <w:sz w:val="18"/>
              </w:rPr>
              <w:t>allow</w:t>
            </w:r>
            <w:r>
              <w:rPr>
                <w:rFonts w:ascii="Avenir Next Condensed"/>
                <w:spacing w:val="-1"/>
                <w:sz w:val="18"/>
              </w:rPr>
              <w:t xml:space="preserve"> </w:t>
            </w:r>
            <w:r>
              <w:rPr>
                <w:rFonts w:ascii="Avenir Next Condensed"/>
                <w:sz w:val="18"/>
              </w:rPr>
              <w:t>capital</w:t>
            </w:r>
            <w:r>
              <w:rPr>
                <w:rFonts w:ascii="Avenir Next Condensed"/>
                <w:spacing w:val="-1"/>
                <w:sz w:val="18"/>
              </w:rPr>
              <w:t xml:space="preserve"> expenditure</w:t>
            </w:r>
            <w:r>
              <w:rPr>
                <w:rFonts w:ascii="Avenir Next Condensed"/>
                <w:spacing w:val="45"/>
                <w:sz w:val="18"/>
              </w:rPr>
              <w:t xml:space="preserve"> </w:t>
            </w:r>
            <w:r>
              <w:rPr>
                <w:rFonts w:ascii="Avenir Next Condensed"/>
                <w:sz w:val="18"/>
              </w:rPr>
              <w:t xml:space="preserve">to be </w:t>
            </w:r>
            <w:r>
              <w:rPr>
                <w:rFonts w:ascii="Avenir Next Condensed"/>
                <w:spacing w:val="-1"/>
                <w:sz w:val="18"/>
              </w:rPr>
              <w:t>incorporated</w:t>
            </w:r>
            <w:r>
              <w:rPr>
                <w:rFonts w:ascii="Avenir Next Condensed"/>
                <w:sz w:val="18"/>
              </w:rPr>
              <w:t xml:space="preserve"> into the RAB if</w:t>
            </w:r>
            <w:r>
              <w:rPr>
                <w:rFonts w:ascii="Avenir Next Condensed"/>
                <w:spacing w:val="4"/>
                <w:sz w:val="18"/>
              </w:rPr>
              <w:t xml:space="preserve"> </w:t>
            </w:r>
            <w:r>
              <w:rPr>
                <w:rFonts w:ascii="Avenir Next Condensed"/>
                <w:sz w:val="18"/>
              </w:rPr>
              <w:t xml:space="preserve">it satisfies a prudent and </w:t>
            </w:r>
            <w:r>
              <w:rPr>
                <w:rFonts w:ascii="Avenir Next Condensed"/>
                <w:spacing w:val="-1"/>
                <w:sz w:val="18"/>
              </w:rPr>
              <w:t>efficient</w:t>
            </w:r>
            <w:r>
              <w:rPr>
                <w:rFonts w:ascii="Avenir Next Condensed"/>
                <w:sz w:val="18"/>
              </w:rPr>
              <w:t xml:space="preserve"> service </w:t>
            </w:r>
            <w:r>
              <w:rPr>
                <w:rFonts w:ascii="Avenir Next Condensed"/>
                <w:spacing w:val="-1"/>
                <w:sz w:val="18"/>
              </w:rPr>
              <w:t>provider</w:t>
            </w:r>
            <w:r>
              <w:rPr>
                <w:rFonts w:ascii="Avenir Next Condensed"/>
                <w:sz w:val="18"/>
              </w:rPr>
              <w:t xml:space="preserve"> test.</w:t>
            </w:r>
            <w:r>
              <w:rPr>
                <w:rFonts w:ascii="Avenir Next Condensed"/>
                <w:spacing w:val="-9"/>
                <w:sz w:val="18"/>
              </w:rPr>
              <w:t xml:space="preserve"> </w:t>
            </w:r>
            <w:r>
              <w:rPr>
                <w:rFonts w:ascii="Avenir Next Condensed"/>
                <w:sz w:val="18"/>
              </w:rPr>
              <w:t xml:space="preserve">An </w:t>
            </w:r>
            <w:r>
              <w:rPr>
                <w:rFonts w:ascii="Avenir Next Condensed"/>
                <w:spacing w:val="-1"/>
                <w:sz w:val="18"/>
              </w:rPr>
              <w:t>example</w:t>
            </w:r>
            <w:r>
              <w:rPr>
                <w:rFonts w:ascii="Avenir Next Condensed"/>
                <w:sz w:val="18"/>
              </w:rPr>
              <w:t xml:space="preserve"> of</w:t>
            </w:r>
            <w:r>
              <w:rPr>
                <w:rFonts w:ascii="Avenir Next Condensed"/>
                <w:spacing w:val="4"/>
                <w:sz w:val="18"/>
              </w:rPr>
              <w:t xml:space="preserve"> </w:t>
            </w:r>
            <w:r>
              <w:rPr>
                <w:rFonts w:ascii="Avenir Next Condensed"/>
                <w:sz w:val="18"/>
              </w:rPr>
              <w:t>the form this test can</w:t>
            </w:r>
            <w:r>
              <w:rPr>
                <w:rFonts w:ascii="Avenir Next Condensed"/>
                <w:spacing w:val="55"/>
                <w:sz w:val="18"/>
              </w:rPr>
              <w:t xml:space="preserve"> </w:t>
            </w:r>
            <w:r>
              <w:rPr>
                <w:rFonts w:ascii="Avenir Next Condensed"/>
                <w:spacing w:val="-1"/>
                <w:sz w:val="18"/>
              </w:rPr>
              <w:t>take</w:t>
            </w:r>
            <w:r>
              <w:rPr>
                <w:rFonts w:ascii="Avenir Next Condensed"/>
                <w:sz w:val="18"/>
              </w:rPr>
              <w:t xml:space="preserve"> can be found in the National Gas </w:t>
            </w:r>
            <w:r>
              <w:rPr>
                <w:rFonts w:ascii="Avenir Next Condensed"/>
                <w:spacing w:val="-1"/>
                <w:sz w:val="18"/>
              </w:rPr>
              <w:t>Rules</w:t>
            </w:r>
            <w:r>
              <w:rPr>
                <w:rFonts w:ascii="Avenir Next Condensed"/>
                <w:sz w:val="18"/>
              </w:rPr>
              <w:t xml:space="preserve"> (NGR):</w:t>
            </w:r>
          </w:p>
          <w:p w:rsidR="00D96B91" w:rsidRDefault="00C2656B">
            <w:pPr>
              <w:pStyle w:val="TableParagraph"/>
              <w:spacing w:before="113" w:line="220" w:lineRule="exact"/>
              <w:ind w:left="391" w:right="43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i/>
                <w:spacing w:val="-2"/>
                <w:sz w:val="18"/>
                <w:szCs w:val="18"/>
              </w:rPr>
              <w:t>‘…capital</w:t>
            </w:r>
            <w:r>
              <w:rPr>
                <w:rFonts w:ascii="Avenir Next Condensed" w:eastAsia="Avenir Next Condensed" w:hAnsi="Avenir Next Condensed" w:cs="Avenir Next Condensed"/>
                <w:i/>
                <w:spacing w:val="-1"/>
                <w:sz w:val="18"/>
                <w:szCs w:val="18"/>
              </w:rPr>
              <w:t xml:space="preserve"> expenditure</w:t>
            </w:r>
            <w:r>
              <w:rPr>
                <w:rFonts w:ascii="Avenir Next Condensed" w:eastAsia="Avenir Next Condensed" w:hAnsi="Avenir Next Condensed" w:cs="Avenir Next Condensed"/>
                <w:i/>
                <w:sz w:val="18"/>
                <w:szCs w:val="18"/>
              </w:rPr>
              <w:t xml:space="preserve"> must be</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such as would</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 xml:space="preserve">be </w:t>
            </w:r>
            <w:r>
              <w:rPr>
                <w:rFonts w:ascii="Avenir Next Condensed" w:eastAsia="Avenir Next Condensed" w:hAnsi="Avenir Next Condensed" w:cs="Avenir Next Condensed"/>
                <w:i/>
                <w:spacing w:val="-1"/>
                <w:sz w:val="18"/>
                <w:szCs w:val="18"/>
              </w:rPr>
              <w:t>incurred</w:t>
            </w:r>
            <w:r>
              <w:rPr>
                <w:rFonts w:ascii="Avenir Next Condensed" w:eastAsia="Avenir Next Condensed" w:hAnsi="Avenir Next Condensed" w:cs="Avenir Next Condensed"/>
                <w:i/>
                <w:sz w:val="18"/>
                <w:szCs w:val="18"/>
              </w:rPr>
              <w:t xml:space="preserve"> by a</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 xml:space="preserve">prudent service </w:t>
            </w:r>
            <w:r>
              <w:rPr>
                <w:rFonts w:ascii="Avenir Next Condensed" w:eastAsia="Avenir Next Condensed" w:hAnsi="Avenir Next Condensed" w:cs="Avenir Next Condensed"/>
                <w:i/>
                <w:spacing w:val="-1"/>
                <w:sz w:val="18"/>
                <w:szCs w:val="18"/>
              </w:rPr>
              <w:t xml:space="preserve">provider </w:t>
            </w:r>
            <w:r>
              <w:rPr>
                <w:rFonts w:ascii="Avenir Next Condensed" w:eastAsia="Avenir Next Condensed" w:hAnsi="Avenir Next Condensed" w:cs="Avenir Next Condensed"/>
                <w:i/>
                <w:sz w:val="18"/>
                <w:szCs w:val="18"/>
              </w:rPr>
              <w:t xml:space="preserve">acting </w:t>
            </w:r>
            <w:r>
              <w:rPr>
                <w:rFonts w:ascii="Avenir Next Condensed" w:eastAsia="Avenir Next Condensed" w:hAnsi="Avenir Next Condensed" w:cs="Avenir Next Condensed"/>
                <w:i/>
                <w:spacing w:val="-1"/>
                <w:sz w:val="18"/>
                <w:szCs w:val="18"/>
              </w:rPr>
              <w:t>efficiently,</w:t>
            </w:r>
            <w:r>
              <w:rPr>
                <w:rFonts w:ascii="Avenir Next Condensed" w:eastAsia="Avenir Next Condensed" w:hAnsi="Avenir Next Condensed" w:cs="Avenir Next Condensed"/>
                <w:i/>
                <w:spacing w:val="-6"/>
                <w:sz w:val="18"/>
                <w:szCs w:val="18"/>
              </w:rPr>
              <w:t xml:space="preserve"> </w:t>
            </w:r>
            <w:r>
              <w:rPr>
                <w:rFonts w:ascii="Avenir Next Condensed" w:eastAsia="Avenir Next Condensed" w:hAnsi="Avenir Next Condensed" w:cs="Avenir Next Condensed"/>
                <w:i/>
                <w:sz w:val="18"/>
                <w:szCs w:val="18"/>
              </w:rPr>
              <w:t xml:space="preserve">in </w:t>
            </w:r>
            <w:r>
              <w:rPr>
                <w:rFonts w:ascii="Avenir Next Condensed" w:eastAsia="Avenir Next Condensed" w:hAnsi="Avenir Next Condensed" w:cs="Avenir Next Condensed"/>
                <w:i/>
                <w:spacing w:val="-1"/>
                <w:sz w:val="18"/>
                <w:szCs w:val="18"/>
              </w:rPr>
              <w:t>accordance</w:t>
            </w:r>
            <w:r>
              <w:rPr>
                <w:rFonts w:ascii="Avenir Next Condensed" w:eastAsia="Avenir Next Condensed" w:hAnsi="Avenir Next Condensed" w:cs="Avenir Next Condensed"/>
                <w:i/>
                <w:spacing w:val="65"/>
                <w:sz w:val="18"/>
                <w:szCs w:val="18"/>
              </w:rPr>
              <w:t xml:space="preserve"> </w:t>
            </w:r>
            <w:r>
              <w:rPr>
                <w:rFonts w:ascii="Avenir Next Condensed" w:eastAsia="Avenir Next Condensed" w:hAnsi="Avenir Next Condensed" w:cs="Avenir Next Condensed"/>
                <w:i/>
                <w:sz w:val="18"/>
                <w:szCs w:val="18"/>
              </w:rPr>
              <w:t xml:space="preserve">with accepted good industry </w:t>
            </w:r>
            <w:r>
              <w:rPr>
                <w:rFonts w:ascii="Avenir Next Condensed" w:eastAsia="Avenir Next Condensed" w:hAnsi="Avenir Next Condensed" w:cs="Avenir Next Condensed"/>
                <w:i/>
                <w:spacing w:val="-1"/>
                <w:sz w:val="18"/>
                <w:szCs w:val="18"/>
              </w:rPr>
              <w:t>practice,</w:t>
            </w:r>
            <w:r>
              <w:rPr>
                <w:rFonts w:ascii="Avenir Next Condensed" w:eastAsia="Avenir Next Condensed" w:hAnsi="Avenir Next Condensed" w:cs="Avenir Next Condensed"/>
                <w:i/>
                <w:spacing w:val="-6"/>
                <w:sz w:val="18"/>
                <w:szCs w:val="18"/>
              </w:rPr>
              <w:t xml:space="preserve"> </w:t>
            </w:r>
            <w:r>
              <w:rPr>
                <w:rFonts w:ascii="Avenir Next Condensed" w:eastAsia="Avenir Next Condensed" w:hAnsi="Avenir Next Condensed" w:cs="Avenir Next Condensed"/>
                <w:i/>
                <w:sz w:val="18"/>
                <w:szCs w:val="18"/>
              </w:rPr>
              <w:t>to achieve the lowest sustainable cost of</w:t>
            </w:r>
            <w:r>
              <w:rPr>
                <w:rFonts w:ascii="Avenir Next Condensed" w:eastAsia="Avenir Next Condensed" w:hAnsi="Avenir Next Condensed" w:cs="Avenir Next Condensed"/>
                <w:i/>
                <w:spacing w:val="4"/>
                <w:sz w:val="18"/>
                <w:szCs w:val="18"/>
              </w:rPr>
              <w:t xml:space="preserve"> </w:t>
            </w:r>
            <w:r>
              <w:rPr>
                <w:rFonts w:ascii="Avenir Next Condensed" w:eastAsia="Avenir Next Condensed" w:hAnsi="Avenir Next Condensed" w:cs="Avenir Next Condensed"/>
                <w:i/>
                <w:spacing w:val="-1"/>
                <w:sz w:val="18"/>
                <w:szCs w:val="18"/>
              </w:rPr>
              <w:t>providing</w:t>
            </w:r>
            <w:r>
              <w:rPr>
                <w:rFonts w:ascii="Avenir Next Condensed" w:eastAsia="Avenir Next Condensed" w:hAnsi="Avenir Next Condensed" w:cs="Avenir Next Condensed"/>
                <w:i/>
                <w:sz w:val="18"/>
                <w:szCs w:val="18"/>
              </w:rPr>
              <w:t xml:space="preserve"> the services’</w:t>
            </w:r>
          </w:p>
          <w:p w:rsidR="00D96B91" w:rsidRDefault="00C2656B">
            <w:pPr>
              <w:pStyle w:val="TableParagraph"/>
              <w:spacing w:before="113" w:line="220" w:lineRule="exact"/>
              <w:ind w:left="108" w:right="290"/>
              <w:rPr>
                <w:rFonts w:ascii="Avenir Next Condensed" w:eastAsia="Avenir Next Condensed" w:hAnsi="Avenir Next Condensed" w:cs="Avenir Next Condensed"/>
                <w:sz w:val="18"/>
                <w:szCs w:val="18"/>
              </w:rPr>
            </w:pPr>
            <w:r>
              <w:rPr>
                <w:rFonts w:ascii="Avenir Next Condensed"/>
                <w:sz w:val="18"/>
              </w:rPr>
              <w:t xml:space="preserve">In some </w:t>
            </w:r>
            <w:r>
              <w:rPr>
                <w:rFonts w:ascii="Avenir Next Condensed"/>
                <w:spacing w:val="-1"/>
                <w:sz w:val="18"/>
              </w:rPr>
              <w:t>regimes,</w:t>
            </w:r>
            <w:r>
              <w:rPr>
                <w:rFonts w:ascii="Avenir Next Condensed"/>
                <w:spacing w:val="-6"/>
                <w:sz w:val="18"/>
              </w:rPr>
              <w:t xml:space="preserve"> </w:t>
            </w:r>
            <w:r>
              <w:rPr>
                <w:rFonts w:ascii="Avenir Next Condensed"/>
                <w:sz w:val="18"/>
              </w:rPr>
              <w:t xml:space="preserve">service </w:t>
            </w:r>
            <w:r>
              <w:rPr>
                <w:rFonts w:ascii="Avenir Next Condensed"/>
                <w:spacing w:val="-1"/>
                <w:sz w:val="18"/>
              </w:rPr>
              <w:t>providers</w:t>
            </w:r>
            <w:r>
              <w:rPr>
                <w:rFonts w:ascii="Avenir Next Condensed"/>
                <w:sz w:val="18"/>
              </w:rPr>
              <w:t xml:space="preserve"> must also </w:t>
            </w:r>
            <w:r>
              <w:rPr>
                <w:rFonts w:ascii="Avenir Next Condensed"/>
                <w:spacing w:val="-1"/>
                <w:sz w:val="18"/>
              </w:rPr>
              <w:t>demonstrate:</w:t>
            </w:r>
            <w:r>
              <w:rPr>
                <w:rFonts w:ascii="Avenir Next Condensed"/>
                <w:sz w:val="18"/>
              </w:rPr>
              <w:t xml:space="preserve"> the </w:t>
            </w:r>
            <w:r>
              <w:rPr>
                <w:rFonts w:ascii="Avenir Next Condensed"/>
                <w:spacing w:val="-1"/>
                <w:sz w:val="18"/>
              </w:rPr>
              <w:t>overall</w:t>
            </w:r>
            <w:r>
              <w:rPr>
                <w:rFonts w:ascii="Avenir Next Condensed"/>
                <w:sz w:val="18"/>
              </w:rPr>
              <w:t xml:space="preserve"> economic value of</w:t>
            </w:r>
            <w:r>
              <w:rPr>
                <w:rFonts w:ascii="Avenir Next Condensed"/>
                <w:spacing w:val="4"/>
                <w:sz w:val="18"/>
              </w:rPr>
              <w:t xml:space="preserve"> </w:t>
            </w:r>
            <w:r>
              <w:rPr>
                <w:rFonts w:ascii="Avenir Next Condensed"/>
                <w:sz w:val="18"/>
              </w:rPr>
              <w:t xml:space="preserve">the </w:t>
            </w:r>
            <w:r>
              <w:rPr>
                <w:rFonts w:ascii="Avenir Next Condensed"/>
                <w:spacing w:val="-1"/>
                <w:sz w:val="18"/>
              </w:rPr>
              <w:t>capex</w:t>
            </w:r>
            <w:r>
              <w:rPr>
                <w:rFonts w:ascii="Avenir Next Condensed"/>
                <w:sz w:val="18"/>
              </w:rPr>
              <w:t xml:space="preserve"> is positive; the </w:t>
            </w:r>
            <w:r>
              <w:rPr>
                <w:rFonts w:ascii="Avenir Next Condensed"/>
                <w:spacing w:val="-1"/>
                <w:sz w:val="18"/>
              </w:rPr>
              <w:t>present</w:t>
            </w:r>
            <w:r>
              <w:rPr>
                <w:rFonts w:ascii="Avenir Next Condensed"/>
                <w:spacing w:val="73"/>
                <w:sz w:val="18"/>
              </w:rPr>
              <w:t xml:space="preserve"> </w:t>
            </w:r>
            <w:r>
              <w:rPr>
                <w:rFonts w:ascii="Avenir Next Condensed"/>
                <w:sz w:val="18"/>
              </w:rPr>
              <w:t>value of</w:t>
            </w:r>
            <w:r>
              <w:rPr>
                <w:rFonts w:ascii="Avenir Next Condensed"/>
                <w:spacing w:val="4"/>
                <w:sz w:val="18"/>
              </w:rPr>
              <w:t xml:space="preserve"> </w:t>
            </w:r>
            <w:r>
              <w:rPr>
                <w:rFonts w:ascii="Avenir Next Condensed"/>
                <w:sz w:val="18"/>
              </w:rPr>
              <w:t xml:space="preserve">the </w:t>
            </w:r>
            <w:r>
              <w:rPr>
                <w:rFonts w:ascii="Avenir Next Condensed"/>
                <w:spacing w:val="-1"/>
                <w:sz w:val="18"/>
              </w:rPr>
              <w:t>incremental</w:t>
            </w:r>
            <w:r>
              <w:rPr>
                <w:rFonts w:ascii="Avenir Next Condensed"/>
                <w:sz w:val="18"/>
              </w:rPr>
              <w:t xml:space="preserve"> </w:t>
            </w:r>
            <w:r>
              <w:rPr>
                <w:rFonts w:ascii="Avenir Next Condensed"/>
                <w:spacing w:val="-1"/>
                <w:sz w:val="18"/>
              </w:rPr>
              <w:t>revenue</w:t>
            </w:r>
            <w:r>
              <w:rPr>
                <w:rFonts w:ascii="Avenir Next Condensed"/>
                <w:sz w:val="18"/>
              </w:rPr>
              <w:t xml:space="preserve"> </w:t>
            </w:r>
            <w:r>
              <w:rPr>
                <w:rFonts w:ascii="Avenir Next Condensed"/>
                <w:spacing w:val="-1"/>
                <w:sz w:val="18"/>
              </w:rPr>
              <w:t>generated</w:t>
            </w:r>
            <w:r>
              <w:rPr>
                <w:rFonts w:ascii="Avenir Next Condensed"/>
                <w:sz w:val="18"/>
              </w:rPr>
              <w:t xml:space="preserve"> by the </w:t>
            </w:r>
            <w:r>
              <w:rPr>
                <w:rFonts w:ascii="Avenir Next Condensed"/>
                <w:spacing w:val="-1"/>
                <w:sz w:val="18"/>
              </w:rPr>
              <w:t>capex</w:t>
            </w:r>
            <w:r>
              <w:rPr>
                <w:rFonts w:ascii="Avenir Next Condensed"/>
                <w:sz w:val="18"/>
              </w:rPr>
              <w:t xml:space="preserve"> </w:t>
            </w:r>
            <w:r>
              <w:rPr>
                <w:rFonts w:ascii="Avenir Next Condensed"/>
                <w:spacing w:val="-1"/>
                <w:sz w:val="18"/>
              </w:rPr>
              <w:t>exceeds</w:t>
            </w:r>
            <w:r>
              <w:rPr>
                <w:rFonts w:ascii="Avenir Next Condensed"/>
                <w:sz w:val="18"/>
              </w:rPr>
              <w:t xml:space="preserve"> the </w:t>
            </w:r>
            <w:r>
              <w:rPr>
                <w:rFonts w:ascii="Avenir Next Condensed"/>
                <w:spacing w:val="-1"/>
                <w:sz w:val="18"/>
              </w:rPr>
              <w:t>present</w:t>
            </w:r>
            <w:r>
              <w:rPr>
                <w:rFonts w:ascii="Avenir Next Condensed"/>
                <w:sz w:val="18"/>
              </w:rPr>
              <w:t xml:space="preserve"> value of</w:t>
            </w:r>
            <w:r>
              <w:rPr>
                <w:rFonts w:ascii="Avenir Next Condensed"/>
                <w:spacing w:val="4"/>
                <w:sz w:val="18"/>
              </w:rPr>
              <w:t xml:space="preserve"> </w:t>
            </w:r>
            <w:r>
              <w:rPr>
                <w:rFonts w:ascii="Avenir Next Condensed"/>
                <w:sz w:val="18"/>
              </w:rPr>
              <w:t xml:space="preserve">the </w:t>
            </w:r>
            <w:r>
              <w:rPr>
                <w:rFonts w:ascii="Avenir Next Condensed"/>
                <w:spacing w:val="-1"/>
                <w:sz w:val="18"/>
              </w:rPr>
              <w:t>capex;</w:t>
            </w:r>
            <w:r>
              <w:rPr>
                <w:rFonts w:ascii="Avenir Next Condensed"/>
                <w:sz w:val="18"/>
              </w:rPr>
              <w:t xml:space="preserve"> or the </w:t>
            </w:r>
            <w:r>
              <w:rPr>
                <w:rFonts w:ascii="Avenir Next Condensed"/>
                <w:spacing w:val="-1"/>
                <w:sz w:val="18"/>
              </w:rPr>
              <w:t>capex</w:t>
            </w:r>
            <w:r>
              <w:rPr>
                <w:rFonts w:ascii="Avenir Next Condensed"/>
                <w:sz w:val="18"/>
              </w:rPr>
              <w:t xml:space="preserve"> is </w:t>
            </w:r>
            <w:r>
              <w:rPr>
                <w:rFonts w:ascii="Avenir Next Condensed"/>
                <w:spacing w:val="-1"/>
                <w:sz w:val="18"/>
              </w:rPr>
              <w:t>necessary</w:t>
            </w:r>
            <w:r>
              <w:rPr>
                <w:rFonts w:ascii="Avenir Next Condensed"/>
                <w:sz w:val="18"/>
              </w:rPr>
              <w:t xml:space="preserve"> to</w:t>
            </w:r>
            <w:r>
              <w:rPr>
                <w:rFonts w:ascii="Avenir Next Condensed"/>
                <w:spacing w:val="93"/>
                <w:sz w:val="18"/>
              </w:rPr>
              <w:t xml:space="preserve"> </w:t>
            </w:r>
            <w:r>
              <w:rPr>
                <w:rFonts w:ascii="Avenir Next Condensed"/>
                <w:spacing w:val="-1"/>
                <w:sz w:val="18"/>
              </w:rPr>
              <w:t>maintain/improve</w:t>
            </w:r>
            <w:r>
              <w:rPr>
                <w:rFonts w:ascii="Avenir Next Condensed"/>
                <w:sz w:val="18"/>
              </w:rPr>
              <w:t xml:space="preserve"> the </w:t>
            </w:r>
            <w:r>
              <w:rPr>
                <w:rFonts w:ascii="Avenir Next Condensed"/>
                <w:spacing w:val="-1"/>
                <w:sz w:val="18"/>
              </w:rPr>
              <w:t>safety,</w:t>
            </w:r>
            <w:r>
              <w:rPr>
                <w:rFonts w:ascii="Avenir Next Condensed"/>
                <w:spacing w:val="-6"/>
                <w:sz w:val="18"/>
              </w:rPr>
              <w:t xml:space="preserve"> </w:t>
            </w:r>
            <w:r>
              <w:rPr>
                <w:rFonts w:ascii="Avenir Next Condensed"/>
                <w:sz w:val="18"/>
              </w:rPr>
              <w:t>quality or integrity of</w:t>
            </w:r>
            <w:r>
              <w:rPr>
                <w:rFonts w:ascii="Avenir Next Condensed"/>
                <w:spacing w:val="4"/>
                <w:sz w:val="18"/>
              </w:rPr>
              <w:t xml:space="preserve"> </w:t>
            </w:r>
            <w:r>
              <w:rPr>
                <w:rFonts w:ascii="Avenir Next Condensed"/>
                <w:sz w:val="18"/>
              </w:rPr>
              <w:t xml:space="preserve">services or comply with </w:t>
            </w:r>
            <w:r>
              <w:rPr>
                <w:rFonts w:ascii="Avenir Next Condensed"/>
                <w:spacing w:val="-1"/>
                <w:sz w:val="18"/>
              </w:rPr>
              <w:t>regulatory</w:t>
            </w:r>
            <w:r>
              <w:rPr>
                <w:rFonts w:ascii="Avenir Next Condensed"/>
                <w:sz w:val="18"/>
              </w:rPr>
              <w:t xml:space="preserve"> obligations.</w:t>
            </w:r>
          </w:p>
        </w:tc>
      </w:tr>
      <w:tr w:rsidR="00D96B91">
        <w:trPr>
          <w:trHeight w:hRule="exact" w:val="356"/>
        </w:trPr>
        <w:tc>
          <w:tcPr>
            <w:tcW w:w="1200"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Depreciation</w:t>
            </w:r>
          </w:p>
        </w:tc>
        <w:tc>
          <w:tcPr>
            <w:tcW w:w="8201"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depreciation</w:t>
            </w:r>
            <w:r>
              <w:rPr>
                <w:rFonts w:ascii="Avenir Next Condensed"/>
                <w:sz w:val="18"/>
              </w:rPr>
              <w:t xml:space="preserve"> building block enables the service </w:t>
            </w:r>
            <w:r>
              <w:rPr>
                <w:rFonts w:ascii="Avenir Next Condensed"/>
                <w:spacing w:val="-1"/>
                <w:sz w:val="18"/>
              </w:rPr>
              <w:t>provider</w:t>
            </w:r>
            <w:r>
              <w:rPr>
                <w:rFonts w:ascii="Avenir Next Condensed"/>
                <w:sz w:val="18"/>
              </w:rPr>
              <w:t xml:space="preserve"> to </w:t>
            </w:r>
            <w:r>
              <w:rPr>
                <w:rFonts w:ascii="Avenir Next Condensed"/>
                <w:spacing w:val="-1"/>
                <w:sz w:val="18"/>
              </w:rPr>
              <w:t>recover</w:t>
            </w:r>
            <w:r>
              <w:rPr>
                <w:rFonts w:ascii="Avenir Next Condensed"/>
                <w:sz w:val="18"/>
              </w:rPr>
              <w:t xml:space="preserve"> its investment in the </w:t>
            </w:r>
            <w:r>
              <w:rPr>
                <w:rFonts w:ascii="Avenir Next Condensed"/>
                <w:spacing w:val="-1"/>
                <w:sz w:val="18"/>
              </w:rPr>
              <w:t>asset</w:t>
            </w:r>
            <w:r>
              <w:rPr>
                <w:rFonts w:ascii="Avenir Next Condensed"/>
                <w:sz w:val="18"/>
              </w:rPr>
              <w:t xml:space="preserve"> over the economic life of</w:t>
            </w:r>
            <w:r>
              <w:rPr>
                <w:rFonts w:ascii="Avenir Next Condensed"/>
                <w:spacing w:val="4"/>
                <w:sz w:val="18"/>
              </w:rPr>
              <w:t xml:space="preserve"> </w:t>
            </w:r>
            <w:r>
              <w:rPr>
                <w:rFonts w:ascii="Avenir Next Condensed"/>
                <w:sz w:val="18"/>
              </w:rPr>
              <w:t>the</w:t>
            </w:r>
          </w:p>
        </w:tc>
      </w:tr>
      <w:tr w:rsidR="00D96B91">
        <w:trPr>
          <w:trHeight w:hRule="exact" w:val="220"/>
        </w:trPr>
        <w:tc>
          <w:tcPr>
            <w:tcW w:w="1200"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pacing w:val="-1"/>
                <w:sz w:val="18"/>
              </w:rPr>
              <w:t>(return</w:t>
            </w:r>
            <w:r>
              <w:rPr>
                <w:rFonts w:ascii="Avenir Next Condensed"/>
                <w:b/>
                <w:sz w:val="18"/>
              </w:rPr>
              <w:t xml:space="preserve"> of</w:t>
            </w:r>
          </w:p>
        </w:tc>
        <w:tc>
          <w:tcPr>
            <w:tcW w:w="8201" w:type="dxa"/>
            <w:tcBorders>
              <w:top w:val="nil"/>
              <w:left w:val="single" w:sz="4" w:space="0" w:color="17A7E0"/>
              <w:bottom w:val="nil"/>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spacing w:val="-1"/>
                <w:sz w:val="18"/>
              </w:rPr>
              <w:t>asset</w:t>
            </w:r>
            <w:r>
              <w:rPr>
                <w:rFonts w:ascii="Avenir Next Condensed"/>
                <w:sz w:val="18"/>
              </w:rPr>
              <w:t xml:space="preserve"> and is calculated having </w:t>
            </w:r>
            <w:r>
              <w:rPr>
                <w:rFonts w:ascii="Avenir Next Condensed"/>
                <w:spacing w:val="-1"/>
                <w:sz w:val="18"/>
              </w:rPr>
              <w:t>regard</w:t>
            </w:r>
            <w:r>
              <w:rPr>
                <w:rFonts w:ascii="Avenir Next Condensed"/>
                <w:sz w:val="18"/>
              </w:rPr>
              <w:t xml:space="preserve"> to:</w:t>
            </w:r>
          </w:p>
        </w:tc>
      </w:tr>
      <w:tr w:rsidR="00D96B91">
        <w:trPr>
          <w:trHeight w:hRule="exact" w:val="1051"/>
        </w:trPr>
        <w:tc>
          <w:tcPr>
            <w:tcW w:w="120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z w:val="18"/>
              </w:rPr>
              <w:t>capital)</w:t>
            </w:r>
          </w:p>
        </w:tc>
        <w:tc>
          <w:tcPr>
            <w:tcW w:w="8201" w:type="dxa"/>
            <w:tcBorders>
              <w:top w:val="nil"/>
              <w:left w:val="single" w:sz="4" w:space="0" w:color="17A7E0"/>
              <w:bottom w:val="single" w:sz="4" w:space="0" w:color="17A7E0"/>
              <w:right w:val="single" w:sz="4" w:space="0" w:color="17A7E0"/>
            </w:tcBorders>
            <w:shd w:val="clear" w:color="auto" w:fill="F0F9FE"/>
          </w:tcPr>
          <w:p w:rsidR="00D96B91" w:rsidRDefault="00C2656B">
            <w:pPr>
              <w:pStyle w:val="ListParagraph"/>
              <w:numPr>
                <w:ilvl w:val="0"/>
                <w:numId w:val="26"/>
              </w:numPr>
              <w:tabs>
                <w:tab w:val="left" w:pos="336"/>
              </w:tabs>
              <w:spacing w:before="85"/>
              <w:rPr>
                <w:rFonts w:ascii="Avenir Next Condensed" w:eastAsia="Avenir Next Condensed" w:hAnsi="Avenir Next Condensed" w:cs="Avenir Next Condensed"/>
                <w:sz w:val="18"/>
                <w:szCs w:val="18"/>
              </w:rPr>
            </w:pPr>
            <w:r>
              <w:rPr>
                <w:rFonts w:ascii="Avenir Next Condensed"/>
                <w:sz w:val="18"/>
              </w:rPr>
              <w:t>the value of</w:t>
            </w:r>
            <w:r>
              <w:rPr>
                <w:rFonts w:ascii="Avenir Next Condensed"/>
                <w:spacing w:val="4"/>
                <w:sz w:val="18"/>
              </w:rPr>
              <w:t xml:space="preserve"> </w:t>
            </w:r>
            <w:r>
              <w:rPr>
                <w:rFonts w:ascii="Avenir Next Condensed"/>
                <w:sz w:val="18"/>
              </w:rPr>
              <w:t xml:space="preserve">the various </w:t>
            </w:r>
            <w:r>
              <w:rPr>
                <w:rFonts w:ascii="Avenir Next Condensed"/>
                <w:spacing w:val="-1"/>
                <w:sz w:val="18"/>
              </w:rPr>
              <w:t>asset</w:t>
            </w:r>
            <w:r>
              <w:rPr>
                <w:rFonts w:ascii="Avenir Next Condensed"/>
                <w:sz w:val="18"/>
              </w:rPr>
              <w:t xml:space="preserve"> </w:t>
            </w:r>
            <w:r>
              <w:rPr>
                <w:rFonts w:ascii="Avenir Next Condensed"/>
                <w:spacing w:val="-1"/>
                <w:sz w:val="18"/>
              </w:rPr>
              <w:t>classes</w:t>
            </w:r>
            <w:r>
              <w:rPr>
                <w:rFonts w:ascii="Avenir Next Condensed"/>
                <w:sz w:val="18"/>
              </w:rPr>
              <w:t xml:space="preserve"> that comprise the RAB</w:t>
            </w:r>
          </w:p>
          <w:p w:rsidR="00D96B91" w:rsidRDefault="00C2656B">
            <w:pPr>
              <w:pStyle w:val="ListParagraph"/>
              <w:numPr>
                <w:ilvl w:val="0"/>
                <w:numId w:val="26"/>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the economic life of</w:t>
            </w:r>
            <w:r>
              <w:rPr>
                <w:rFonts w:ascii="Avenir Next Condensed"/>
                <w:spacing w:val="4"/>
                <w:sz w:val="18"/>
              </w:rPr>
              <w:t xml:space="preserve"> </w:t>
            </w:r>
            <w:r>
              <w:rPr>
                <w:rFonts w:ascii="Avenir Next Condensed"/>
                <w:spacing w:val="-1"/>
                <w:sz w:val="18"/>
              </w:rPr>
              <w:t>each</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assets</w:t>
            </w:r>
            <w:r>
              <w:rPr>
                <w:rFonts w:ascii="Avenir Next Condensed"/>
                <w:sz w:val="18"/>
              </w:rPr>
              <w:t xml:space="preserve"> used in the </w:t>
            </w:r>
            <w:r>
              <w:rPr>
                <w:rFonts w:ascii="Avenir Next Condensed"/>
                <w:spacing w:val="-1"/>
                <w:sz w:val="18"/>
              </w:rPr>
              <w:t>provision</w:t>
            </w:r>
            <w:r>
              <w:rPr>
                <w:rFonts w:ascii="Avenir Next Condensed"/>
                <w:sz w:val="18"/>
              </w:rPr>
              <w:t xml:space="preserve"> of</w:t>
            </w:r>
            <w:r>
              <w:rPr>
                <w:rFonts w:ascii="Avenir Next Condensed"/>
                <w:spacing w:val="4"/>
                <w:sz w:val="18"/>
              </w:rPr>
              <w:t xml:space="preserve"> </w:t>
            </w:r>
            <w:r>
              <w:rPr>
                <w:rFonts w:ascii="Avenir Next Condensed"/>
                <w:sz w:val="18"/>
              </w:rPr>
              <w:t>the services,</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26"/>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depreciation</w:t>
            </w:r>
            <w:r>
              <w:rPr>
                <w:rFonts w:ascii="Avenir Next Condensed"/>
                <w:sz w:val="18"/>
              </w:rPr>
              <w:t xml:space="preserve"> </w:t>
            </w:r>
            <w:r>
              <w:rPr>
                <w:rFonts w:ascii="Avenir Next Condensed"/>
                <w:spacing w:val="-1"/>
                <w:sz w:val="18"/>
              </w:rPr>
              <w:t>profile</w:t>
            </w:r>
            <w:r>
              <w:rPr>
                <w:rFonts w:ascii="Avenir Next Condensed"/>
                <w:sz w:val="18"/>
              </w:rPr>
              <w:t xml:space="preserve"> </w:t>
            </w:r>
            <w:r>
              <w:rPr>
                <w:rFonts w:ascii="Avenir Next Condensed"/>
                <w:spacing w:val="-1"/>
                <w:sz w:val="18"/>
              </w:rPr>
              <w:t>assumed</w:t>
            </w:r>
            <w:r>
              <w:rPr>
                <w:rFonts w:ascii="Avenir Next Condensed"/>
                <w:sz w:val="18"/>
              </w:rPr>
              <w:t xml:space="preserve"> for the </w:t>
            </w:r>
            <w:r>
              <w:rPr>
                <w:rFonts w:ascii="Avenir Next Condensed"/>
                <w:spacing w:val="-1"/>
                <w:sz w:val="18"/>
              </w:rPr>
              <w:t>recovery</w:t>
            </w:r>
            <w:r>
              <w:rPr>
                <w:rFonts w:ascii="Avenir Next Condensed"/>
                <w:sz w:val="18"/>
              </w:rPr>
              <w:t xml:space="preserve"> of</w:t>
            </w:r>
            <w:r>
              <w:rPr>
                <w:rFonts w:ascii="Avenir Next Condensed"/>
                <w:spacing w:val="4"/>
                <w:sz w:val="18"/>
              </w:rPr>
              <w:t xml:space="preserve"> </w:t>
            </w:r>
            <w:r>
              <w:rPr>
                <w:rFonts w:ascii="Avenir Next Condensed"/>
                <w:sz w:val="18"/>
              </w:rPr>
              <w:t>capital.</w:t>
            </w:r>
          </w:p>
        </w:tc>
      </w:tr>
      <w:tr w:rsidR="00D96B91">
        <w:trPr>
          <w:trHeight w:hRule="exact" w:val="2734"/>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spacing w:val="-1"/>
                <w:sz w:val="18"/>
              </w:rPr>
              <w:t>Rate</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return</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60"/>
              <w:rPr>
                <w:rFonts w:ascii="Avenir Next Condensed" w:eastAsia="Avenir Next Condensed" w:hAnsi="Avenir Next Condensed" w:cs="Avenir Next Condensed"/>
                <w:sz w:val="18"/>
                <w:szCs w:val="18"/>
              </w:rPr>
            </w:pPr>
            <w:r>
              <w:rPr>
                <w:rFonts w:ascii="Avenir Next Condensed"/>
                <w:spacing w:val="-1"/>
                <w:sz w:val="18"/>
              </w:rPr>
              <w:t>The</w:t>
            </w:r>
            <w:r>
              <w:rPr>
                <w:rFonts w:ascii="Avenir Next Condensed"/>
                <w:sz w:val="18"/>
              </w:rPr>
              <w:t xml:space="preserve"> </w:t>
            </w:r>
            <w:r>
              <w:rPr>
                <w:rFonts w:ascii="Avenir Next Condensed"/>
                <w:spacing w:val="-1"/>
                <w:sz w:val="18"/>
              </w:rPr>
              <w:t>rate</w:t>
            </w:r>
            <w:r>
              <w:rPr>
                <w:rFonts w:ascii="Avenir Next Condensed"/>
                <w:sz w:val="18"/>
              </w:rPr>
              <w:t xml:space="preserve"> of</w:t>
            </w:r>
            <w:r>
              <w:rPr>
                <w:rFonts w:ascii="Avenir Next Condensed"/>
                <w:spacing w:val="4"/>
                <w:sz w:val="18"/>
              </w:rPr>
              <w:t xml:space="preserve"> </w:t>
            </w:r>
            <w:r>
              <w:rPr>
                <w:rFonts w:ascii="Avenir Next Condensed"/>
                <w:spacing w:val="-1"/>
                <w:sz w:val="18"/>
              </w:rPr>
              <w:t>return</w:t>
            </w:r>
            <w:r>
              <w:rPr>
                <w:rFonts w:ascii="Avenir Next Condensed"/>
                <w:sz w:val="18"/>
              </w:rPr>
              <w:t xml:space="preserve"> used in the </w:t>
            </w:r>
            <w:r>
              <w:rPr>
                <w:rFonts w:ascii="Avenir Next Condensed"/>
                <w:spacing w:val="-1"/>
                <w:sz w:val="18"/>
              </w:rPr>
              <w:t>return</w:t>
            </w:r>
            <w:r>
              <w:rPr>
                <w:rFonts w:ascii="Avenir Next Condensed"/>
                <w:sz w:val="18"/>
              </w:rPr>
              <w:t xml:space="preserve"> on capital building block is typically based on </w:t>
            </w:r>
            <w:r>
              <w:rPr>
                <w:rFonts w:ascii="Avenir Next Condensed"/>
                <w:spacing w:val="-1"/>
                <w:sz w:val="18"/>
              </w:rPr>
              <w:t>the</w:t>
            </w:r>
            <w:r>
              <w:rPr>
                <w:rFonts w:ascii="Avenir Next Condensed"/>
                <w:sz w:val="18"/>
              </w:rPr>
              <w:t xml:space="preserve"> post-tax weighted </w:t>
            </w:r>
            <w:r>
              <w:rPr>
                <w:rFonts w:ascii="Avenir Next Condensed"/>
                <w:spacing w:val="-1"/>
                <w:sz w:val="18"/>
              </w:rPr>
              <w:t>average</w:t>
            </w:r>
            <w:r>
              <w:rPr>
                <w:rFonts w:ascii="Avenir Next Condensed"/>
                <w:sz w:val="18"/>
              </w:rPr>
              <w:t xml:space="preserve"> cost of</w:t>
            </w:r>
            <w:r>
              <w:rPr>
                <w:rFonts w:ascii="Avenir Next Condensed"/>
                <w:spacing w:val="4"/>
                <w:sz w:val="18"/>
              </w:rPr>
              <w:t xml:space="preserve"> </w:t>
            </w:r>
            <w:r>
              <w:rPr>
                <w:rFonts w:ascii="Avenir Next Condensed"/>
                <w:sz w:val="18"/>
              </w:rPr>
              <w:t>capital</w:t>
            </w:r>
            <w:r>
              <w:rPr>
                <w:rFonts w:ascii="Avenir Next Condensed"/>
                <w:spacing w:val="37"/>
                <w:sz w:val="18"/>
              </w:rPr>
              <w:t xml:space="preserve"> </w:t>
            </w:r>
            <w:r>
              <w:rPr>
                <w:rFonts w:ascii="Avenir Next Condensed"/>
                <w:spacing w:val="-2"/>
                <w:sz w:val="18"/>
              </w:rPr>
              <w:t>(WACC)</w:t>
            </w:r>
            <w:r>
              <w:rPr>
                <w:rFonts w:ascii="Avenir Next Condensed"/>
                <w:sz w:val="18"/>
              </w:rPr>
              <w:t xml:space="preserve"> formulation,</w:t>
            </w:r>
            <w:r>
              <w:rPr>
                <w:rFonts w:ascii="Avenir Next Condensed"/>
                <w:spacing w:val="-6"/>
                <w:sz w:val="18"/>
              </w:rPr>
              <w:t xml:space="preserve"> </w:t>
            </w:r>
            <w:r>
              <w:rPr>
                <w:rFonts w:ascii="Avenir Next Condensed"/>
                <w:sz w:val="18"/>
              </w:rPr>
              <w:t xml:space="preserve">with the </w:t>
            </w:r>
            <w:r>
              <w:rPr>
                <w:rFonts w:ascii="Avenir Next Condensed"/>
                <w:spacing w:val="-1"/>
                <w:sz w:val="18"/>
              </w:rPr>
              <w:t>parameters</w:t>
            </w:r>
            <w:r>
              <w:rPr>
                <w:rFonts w:ascii="Avenir Next Condensed"/>
                <w:sz w:val="18"/>
              </w:rPr>
              <w:t xml:space="preserve"> estimated having </w:t>
            </w:r>
            <w:r>
              <w:rPr>
                <w:rFonts w:ascii="Avenir Next Condensed"/>
                <w:spacing w:val="-1"/>
                <w:sz w:val="18"/>
              </w:rPr>
              <w:t>regard</w:t>
            </w:r>
            <w:r>
              <w:rPr>
                <w:rFonts w:ascii="Avenir Next Condensed"/>
                <w:sz w:val="18"/>
              </w:rPr>
              <w:t xml:space="preserve"> to:</w:t>
            </w:r>
          </w:p>
          <w:p w:rsidR="00D96B91" w:rsidRDefault="00C2656B">
            <w:pPr>
              <w:pStyle w:val="ListParagraph"/>
              <w:numPr>
                <w:ilvl w:val="0"/>
                <w:numId w:val="25"/>
              </w:numPr>
              <w:tabs>
                <w:tab w:val="left" w:pos="336"/>
              </w:tabs>
              <w:spacing w:before="109"/>
              <w:rPr>
                <w:rFonts w:ascii="Avenir Next Condensed" w:eastAsia="Avenir Next Condensed" w:hAnsi="Avenir Next Condensed" w:cs="Avenir Next Condensed"/>
                <w:sz w:val="18"/>
                <w:szCs w:val="18"/>
              </w:rPr>
            </w:pPr>
            <w:r>
              <w:rPr>
                <w:rFonts w:ascii="Avenir Next Condensed"/>
                <w:sz w:val="18"/>
              </w:rPr>
              <w:t xml:space="preserve">the benchmark </w:t>
            </w:r>
            <w:r>
              <w:rPr>
                <w:rFonts w:ascii="Avenir Next Condensed"/>
                <w:spacing w:val="-1"/>
                <w:sz w:val="18"/>
              </w:rPr>
              <w:t>efficient</w:t>
            </w:r>
            <w:r>
              <w:rPr>
                <w:rFonts w:ascii="Avenir Next Condensed"/>
                <w:sz w:val="18"/>
              </w:rPr>
              <w:t xml:space="preserve"> entity </w:t>
            </w:r>
            <w:r>
              <w:rPr>
                <w:rFonts w:ascii="Avenir Next Condensed"/>
                <w:spacing w:val="-1"/>
                <w:sz w:val="18"/>
              </w:rPr>
              <w:t>standard,</w:t>
            </w:r>
          </w:p>
          <w:p w:rsidR="00D96B91" w:rsidRDefault="00C2656B">
            <w:pPr>
              <w:pStyle w:val="ListParagraph"/>
              <w:numPr>
                <w:ilvl w:val="0"/>
                <w:numId w:val="25"/>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conditions </w:t>
            </w:r>
            <w:r>
              <w:rPr>
                <w:rFonts w:ascii="Avenir Next Condensed"/>
                <w:spacing w:val="-1"/>
                <w:sz w:val="18"/>
              </w:rPr>
              <w:t>prevailing</w:t>
            </w:r>
            <w:r>
              <w:rPr>
                <w:rFonts w:ascii="Avenir Next Condensed"/>
                <w:sz w:val="18"/>
              </w:rPr>
              <w:t xml:space="preserve"> in financial </w:t>
            </w:r>
            <w:r>
              <w:rPr>
                <w:rFonts w:ascii="Avenir Next Condensed"/>
                <w:spacing w:val="-1"/>
                <w:sz w:val="18"/>
              </w:rPr>
              <w:t>markets</w:t>
            </w:r>
            <w:r>
              <w:rPr>
                <w:rFonts w:ascii="Avenir Next Condensed"/>
                <w:sz w:val="18"/>
              </w:rPr>
              <w:t xml:space="preserve"> at the time the determination is made,</w:t>
            </w:r>
            <w:r>
              <w:rPr>
                <w:rFonts w:ascii="Avenir Next Condensed"/>
                <w:spacing w:val="-6"/>
                <w:sz w:val="18"/>
              </w:rPr>
              <w:t xml:space="preserve"> </w:t>
            </w:r>
            <w:r>
              <w:rPr>
                <w:rFonts w:ascii="Avenir Next Condensed"/>
                <w:sz w:val="18"/>
              </w:rPr>
              <w:t>and</w:t>
            </w:r>
          </w:p>
          <w:p w:rsidR="00D96B91" w:rsidRDefault="00C2656B">
            <w:pPr>
              <w:pStyle w:val="ListParagraph"/>
              <w:numPr>
                <w:ilvl w:val="0"/>
                <w:numId w:val="25"/>
              </w:numPr>
              <w:tabs>
                <w:tab w:val="left" w:pos="336"/>
              </w:tabs>
              <w:spacing w:before="87"/>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risks</w:t>
            </w:r>
            <w:r>
              <w:rPr>
                <w:rFonts w:ascii="Avenir Next Condensed"/>
                <w:sz w:val="18"/>
              </w:rPr>
              <w:t xml:space="preserve"> involved in delivering the service.</w:t>
            </w:r>
          </w:p>
          <w:p w:rsidR="00D96B91" w:rsidRDefault="00C2656B">
            <w:pPr>
              <w:pStyle w:val="TableParagraph"/>
              <w:spacing w:before="87"/>
              <w:ind w:left="108"/>
              <w:rPr>
                <w:rFonts w:ascii="Avenir Next Condensed" w:eastAsia="Avenir Next Condensed" w:hAnsi="Avenir Next Condensed" w:cs="Avenir Next Condensed"/>
                <w:sz w:val="18"/>
                <w:szCs w:val="18"/>
              </w:rPr>
            </w:pPr>
            <w:r>
              <w:rPr>
                <w:rFonts w:ascii="Avenir Next Condensed"/>
                <w:sz w:val="18"/>
              </w:rPr>
              <w:t xml:space="preserve">An </w:t>
            </w:r>
            <w:r>
              <w:rPr>
                <w:rFonts w:ascii="Avenir Next Condensed"/>
                <w:spacing w:val="-1"/>
                <w:sz w:val="18"/>
              </w:rPr>
              <w:t>example</w:t>
            </w:r>
            <w:r>
              <w:rPr>
                <w:rFonts w:ascii="Avenir Next Condensed"/>
                <w:sz w:val="18"/>
              </w:rPr>
              <w:t xml:space="preserve"> of</w:t>
            </w:r>
            <w:r>
              <w:rPr>
                <w:rFonts w:ascii="Avenir Next Condensed"/>
                <w:spacing w:val="4"/>
                <w:sz w:val="18"/>
              </w:rPr>
              <w:t xml:space="preserve"> </w:t>
            </w:r>
            <w:r>
              <w:rPr>
                <w:rFonts w:ascii="Avenir Next Condensed"/>
                <w:sz w:val="18"/>
              </w:rPr>
              <w:t xml:space="preserve">the form this test can </w:t>
            </w:r>
            <w:r>
              <w:rPr>
                <w:rFonts w:ascii="Avenir Next Condensed"/>
                <w:spacing w:val="-1"/>
                <w:sz w:val="18"/>
              </w:rPr>
              <w:t>take</w:t>
            </w:r>
            <w:r>
              <w:rPr>
                <w:rFonts w:ascii="Avenir Next Condensed"/>
                <w:sz w:val="18"/>
              </w:rPr>
              <w:t xml:space="preserve"> can be found in the </w:t>
            </w:r>
            <w:r>
              <w:rPr>
                <w:rFonts w:ascii="Avenir Next Condensed"/>
                <w:spacing w:val="-1"/>
                <w:sz w:val="18"/>
              </w:rPr>
              <w:t>recently</w:t>
            </w:r>
            <w:r>
              <w:rPr>
                <w:rFonts w:ascii="Avenir Next Condensed"/>
                <w:sz w:val="18"/>
              </w:rPr>
              <w:t xml:space="preserve"> amended </w:t>
            </w:r>
            <w:r>
              <w:rPr>
                <w:rFonts w:ascii="Avenir Next Condensed"/>
                <w:spacing w:val="-1"/>
                <w:sz w:val="18"/>
              </w:rPr>
              <w:t>provisions</w:t>
            </w:r>
            <w:r>
              <w:rPr>
                <w:rFonts w:ascii="Avenir Next Condensed"/>
                <w:sz w:val="18"/>
              </w:rPr>
              <w:t xml:space="preserve"> in the NGR:</w:t>
            </w:r>
          </w:p>
          <w:p w:rsidR="00D96B91" w:rsidRDefault="00C2656B">
            <w:pPr>
              <w:pStyle w:val="TableParagraph"/>
              <w:spacing w:before="91" w:line="220" w:lineRule="exact"/>
              <w:ind w:left="392" w:right="39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i/>
                <w:sz w:val="18"/>
                <w:szCs w:val="18"/>
              </w:rPr>
              <w:t>‘the</w:t>
            </w:r>
            <w:r>
              <w:rPr>
                <w:rFonts w:ascii="Avenir Next Condensed" w:eastAsia="Avenir Next Condensed" w:hAnsi="Avenir Next Condensed" w:cs="Avenir Next Condensed"/>
                <w:i/>
                <w:spacing w:val="-1"/>
                <w:sz w:val="18"/>
                <w:szCs w:val="18"/>
              </w:rPr>
              <w:t xml:space="preserve"> rate </w:t>
            </w:r>
            <w:r>
              <w:rPr>
                <w:rFonts w:ascii="Avenir Next Condensed" w:eastAsia="Avenir Next Condensed" w:hAnsi="Avenir Next Condensed" w:cs="Avenir Next Condensed"/>
                <w:i/>
                <w:sz w:val="18"/>
                <w:szCs w:val="18"/>
              </w:rPr>
              <w:t>of</w:t>
            </w:r>
            <w:r>
              <w:rPr>
                <w:rFonts w:ascii="Avenir Next Condensed" w:eastAsia="Avenir Next Condensed" w:hAnsi="Avenir Next Condensed" w:cs="Avenir Next Condensed"/>
                <w:i/>
                <w:spacing w:val="3"/>
                <w:sz w:val="18"/>
                <w:szCs w:val="18"/>
              </w:rPr>
              <w:t xml:space="preserve"> </w:t>
            </w:r>
            <w:r>
              <w:rPr>
                <w:rFonts w:ascii="Avenir Next Condensed" w:eastAsia="Avenir Next Condensed" w:hAnsi="Avenir Next Condensed" w:cs="Avenir Next Condensed"/>
                <w:i/>
                <w:spacing w:val="-1"/>
                <w:sz w:val="18"/>
                <w:szCs w:val="18"/>
              </w:rPr>
              <w:t>return</w:t>
            </w:r>
            <w:r>
              <w:rPr>
                <w:rFonts w:ascii="Avenir Next Condensed" w:eastAsia="Avenir Next Condensed" w:hAnsi="Avenir Next Condensed" w:cs="Avenir Next Condensed"/>
                <w:i/>
                <w:sz w:val="18"/>
                <w:szCs w:val="18"/>
              </w:rPr>
              <w:t xml:space="preserve"> for</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a</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 xml:space="preserve">service </w:t>
            </w:r>
            <w:r>
              <w:rPr>
                <w:rFonts w:ascii="Avenir Next Condensed" w:eastAsia="Avenir Next Condensed" w:hAnsi="Avenir Next Condensed" w:cs="Avenir Next Condensed"/>
                <w:i/>
                <w:spacing w:val="-1"/>
                <w:sz w:val="18"/>
                <w:szCs w:val="18"/>
              </w:rPr>
              <w:t xml:space="preserve">provider </w:t>
            </w:r>
            <w:r>
              <w:rPr>
                <w:rFonts w:ascii="Avenir Next Condensed" w:eastAsia="Avenir Next Condensed" w:hAnsi="Avenir Next Condensed" w:cs="Avenir Next Condensed"/>
                <w:i/>
                <w:sz w:val="18"/>
                <w:szCs w:val="18"/>
              </w:rPr>
              <w:t>is</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to be</w:t>
            </w:r>
            <w:r>
              <w:rPr>
                <w:rFonts w:ascii="Avenir Next Condensed" w:eastAsia="Avenir Next Condensed" w:hAnsi="Avenir Next Condensed" w:cs="Avenir Next Condensed"/>
                <w:i/>
                <w:spacing w:val="-1"/>
                <w:sz w:val="18"/>
                <w:szCs w:val="18"/>
              </w:rPr>
              <w:t xml:space="preserve"> commensurate </w:t>
            </w:r>
            <w:r>
              <w:rPr>
                <w:rFonts w:ascii="Avenir Next Condensed" w:eastAsia="Avenir Next Condensed" w:hAnsi="Avenir Next Condensed" w:cs="Avenir Next Condensed"/>
                <w:i/>
                <w:sz w:val="18"/>
                <w:szCs w:val="18"/>
              </w:rPr>
              <w:t>with the</w:t>
            </w:r>
            <w:r>
              <w:rPr>
                <w:rFonts w:ascii="Avenir Next Condensed" w:eastAsia="Avenir Next Condensed" w:hAnsi="Avenir Next Condensed" w:cs="Avenir Next Condensed"/>
                <w:i/>
                <w:spacing w:val="-1"/>
                <w:sz w:val="18"/>
                <w:szCs w:val="18"/>
              </w:rPr>
              <w:t xml:space="preserve"> efficient </w:t>
            </w:r>
            <w:r>
              <w:rPr>
                <w:rFonts w:ascii="Avenir Next Condensed" w:eastAsia="Avenir Next Condensed" w:hAnsi="Avenir Next Condensed" w:cs="Avenir Next Condensed"/>
                <w:i/>
                <w:sz w:val="18"/>
                <w:szCs w:val="18"/>
              </w:rPr>
              <w:t>financing costs</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of</w:t>
            </w:r>
            <w:r>
              <w:rPr>
                <w:rFonts w:ascii="Avenir Next Condensed" w:eastAsia="Avenir Next Condensed" w:hAnsi="Avenir Next Condensed" w:cs="Avenir Next Condensed"/>
                <w:i/>
                <w:spacing w:val="3"/>
                <w:sz w:val="18"/>
                <w:szCs w:val="18"/>
              </w:rPr>
              <w:t xml:space="preserve"> </w:t>
            </w:r>
            <w:r>
              <w:rPr>
                <w:rFonts w:ascii="Avenir Next Condensed" w:eastAsia="Avenir Next Condensed" w:hAnsi="Avenir Next Condensed" w:cs="Avenir Next Condensed"/>
                <w:i/>
                <w:sz w:val="18"/>
                <w:szCs w:val="18"/>
              </w:rPr>
              <w:t>a benchmark</w:t>
            </w:r>
            <w:r>
              <w:rPr>
                <w:rFonts w:ascii="Avenir Next Condensed" w:eastAsia="Avenir Next Condensed" w:hAnsi="Avenir Next Condensed" w:cs="Avenir Next Condensed"/>
                <w:i/>
                <w:spacing w:val="-1"/>
                <w:sz w:val="18"/>
                <w:szCs w:val="18"/>
              </w:rPr>
              <w:t xml:space="preserve"> efficient</w:t>
            </w:r>
            <w:r>
              <w:rPr>
                <w:rFonts w:ascii="Avenir Next Condensed" w:eastAsia="Avenir Next Condensed" w:hAnsi="Avenir Next Condensed" w:cs="Avenir Next Condensed"/>
                <w:i/>
                <w:spacing w:val="61"/>
                <w:w w:val="99"/>
                <w:sz w:val="18"/>
                <w:szCs w:val="18"/>
              </w:rPr>
              <w:t xml:space="preserve"> </w:t>
            </w:r>
            <w:r>
              <w:rPr>
                <w:rFonts w:ascii="Avenir Next Condensed" w:eastAsia="Avenir Next Condensed" w:hAnsi="Avenir Next Condensed" w:cs="Avenir Next Condensed"/>
                <w:i/>
                <w:sz w:val="18"/>
                <w:szCs w:val="18"/>
              </w:rPr>
              <w:t xml:space="preserve">entity with a similar </w:t>
            </w:r>
            <w:r>
              <w:rPr>
                <w:rFonts w:ascii="Avenir Next Condensed" w:eastAsia="Avenir Next Condensed" w:hAnsi="Avenir Next Condensed" w:cs="Avenir Next Condensed"/>
                <w:i/>
                <w:spacing w:val="-1"/>
                <w:sz w:val="18"/>
                <w:szCs w:val="18"/>
              </w:rPr>
              <w:t>degree</w:t>
            </w:r>
            <w:r>
              <w:rPr>
                <w:rFonts w:ascii="Avenir Next Condensed" w:eastAsia="Avenir Next Condensed" w:hAnsi="Avenir Next Condensed" w:cs="Avenir Next Condensed"/>
                <w:i/>
                <w:sz w:val="18"/>
                <w:szCs w:val="18"/>
              </w:rPr>
              <w:t xml:space="preserve"> of</w:t>
            </w:r>
            <w:r>
              <w:rPr>
                <w:rFonts w:ascii="Avenir Next Condensed" w:eastAsia="Avenir Next Condensed" w:hAnsi="Avenir Next Condensed" w:cs="Avenir Next Condensed"/>
                <w:i/>
                <w:spacing w:val="4"/>
                <w:sz w:val="18"/>
                <w:szCs w:val="18"/>
              </w:rPr>
              <w:t xml:space="preserve"> </w:t>
            </w:r>
            <w:r>
              <w:rPr>
                <w:rFonts w:ascii="Avenir Next Condensed" w:eastAsia="Avenir Next Condensed" w:hAnsi="Avenir Next Condensed" w:cs="Avenir Next Condensed"/>
                <w:i/>
                <w:sz w:val="18"/>
                <w:szCs w:val="18"/>
              </w:rPr>
              <w:t xml:space="preserve">risk as </w:t>
            </w:r>
            <w:r>
              <w:rPr>
                <w:rFonts w:ascii="Avenir Next Condensed" w:eastAsia="Avenir Next Condensed" w:hAnsi="Avenir Next Condensed" w:cs="Avenir Next Condensed"/>
                <w:i/>
                <w:spacing w:val="-1"/>
                <w:sz w:val="18"/>
                <w:szCs w:val="18"/>
              </w:rPr>
              <w:t>that</w:t>
            </w:r>
            <w:r>
              <w:rPr>
                <w:rFonts w:ascii="Avenir Next Condensed" w:eastAsia="Avenir Next Condensed" w:hAnsi="Avenir Next Condensed" w:cs="Avenir Next Condensed"/>
                <w:i/>
                <w:sz w:val="18"/>
                <w:szCs w:val="18"/>
              </w:rPr>
              <w:t xml:space="preserve"> which applies to the service </w:t>
            </w:r>
            <w:r>
              <w:rPr>
                <w:rFonts w:ascii="Avenir Next Condensed" w:eastAsia="Avenir Next Condensed" w:hAnsi="Avenir Next Condensed" w:cs="Avenir Next Condensed"/>
                <w:i/>
                <w:spacing w:val="-1"/>
                <w:sz w:val="18"/>
                <w:szCs w:val="18"/>
              </w:rPr>
              <w:t>provider</w:t>
            </w:r>
            <w:r>
              <w:rPr>
                <w:rFonts w:ascii="Avenir Next Condensed" w:eastAsia="Avenir Next Condensed" w:hAnsi="Avenir Next Condensed" w:cs="Avenir Next Condensed"/>
                <w:i/>
                <w:sz w:val="18"/>
                <w:szCs w:val="18"/>
              </w:rPr>
              <w:t xml:space="preserve"> in </w:t>
            </w:r>
            <w:r>
              <w:rPr>
                <w:rFonts w:ascii="Avenir Next Condensed" w:eastAsia="Avenir Next Condensed" w:hAnsi="Avenir Next Condensed" w:cs="Avenir Next Condensed"/>
                <w:i/>
                <w:spacing w:val="-1"/>
                <w:sz w:val="18"/>
                <w:szCs w:val="18"/>
              </w:rPr>
              <w:t>respect</w:t>
            </w:r>
            <w:r>
              <w:rPr>
                <w:rFonts w:ascii="Avenir Next Condensed" w:eastAsia="Avenir Next Condensed" w:hAnsi="Avenir Next Condensed" w:cs="Avenir Next Condensed"/>
                <w:i/>
                <w:sz w:val="18"/>
                <w:szCs w:val="18"/>
              </w:rPr>
              <w:t xml:space="preserve"> of</w:t>
            </w:r>
            <w:r>
              <w:rPr>
                <w:rFonts w:ascii="Avenir Next Condensed" w:eastAsia="Avenir Next Condensed" w:hAnsi="Avenir Next Condensed" w:cs="Avenir Next Condensed"/>
                <w:i/>
                <w:spacing w:val="4"/>
                <w:sz w:val="18"/>
                <w:szCs w:val="18"/>
              </w:rPr>
              <w:t xml:space="preserve"> </w:t>
            </w:r>
            <w:r>
              <w:rPr>
                <w:rFonts w:ascii="Avenir Next Condensed" w:eastAsia="Avenir Next Condensed" w:hAnsi="Avenir Next Condensed" w:cs="Avenir Next Condensed"/>
                <w:i/>
                <w:sz w:val="18"/>
                <w:szCs w:val="18"/>
              </w:rPr>
              <w:t xml:space="preserve">the </w:t>
            </w:r>
            <w:r>
              <w:rPr>
                <w:rFonts w:ascii="Avenir Next Condensed" w:eastAsia="Avenir Next Condensed" w:hAnsi="Avenir Next Condensed" w:cs="Avenir Next Condensed"/>
                <w:i/>
                <w:spacing w:val="-1"/>
                <w:sz w:val="18"/>
                <w:szCs w:val="18"/>
              </w:rPr>
              <w:t>provision</w:t>
            </w:r>
            <w:r>
              <w:rPr>
                <w:rFonts w:ascii="Avenir Next Condensed" w:eastAsia="Avenir Next Condensed" w:hAnsi="Avenir Next Condensed" w:cs="Avenir Next Condensed"/>
                <w:i/>
                <w:sz w:val="18"/>
                <w:szCs w:val="18"/>
              </w:rPr>
              <w:t xml:space="preserve"> of</w:t>
            </w:r>
            <w:r>
              <w:rPr>
                <w:rFonts w:ascii="Avenir Next Condensed" w:eastAsia="Avenir Next Condensed" w:hAnsi="Avenir Next Condensed" w:cs="Avenir Next Condensed"/>
                <w:i/>
                <w:spacing w:val="4"/>
                <w:sz w:val="18"/>
                <w:szCs w:val="18"/>
              </w:rPr>
              <w:t xml:space="preserve"> </w:t>
            </w:r>
            <w:r>
              <w:rPr>
                <w:rFonts w:ascii="Avenir Next Condensed" w:eastAsia="Avenir Next Condensed" w:hAnsi="Avenir Next Condensed" w:cs="Avenir Next Condensed"/>
                <w:i/>
                <w:spacing w:val="-1"/>
                <w:sz w:val="18"/>
                <w:szCs w:val="18"/>
              </w:rPr>
              <w:t>reference</w:t>
            </w:r>
            <w:r>
              <w:rPr>
                <w:rFonts w:ascii="Avenir Next Condensed" w:eastAsia="Avenir Next Condensed" w:hAnsi="Avenir Next Condensed" w:cs="Avenir Next Condensed"/>
                <w:i/>
                <w:spacing w:val="59"/>
                <w:sz w:val="18"/>
                <w:szCs w:val="18"/>
              </w:rPr>
              <w:t xml:space="preserve"> </w:t>
            </w:r>
            <w:r>
              <w:rPr>
                <w:rFonts w:ascii="Avenir Next Condensed" w:eastAsia="Avenir Next Condensed" w:hAnsi="Avenir Next Condensed" w:cs="Avenir Next Condensed"/>
                <w:i/>
                <w:spacing w:val="-2"/>
                <w:sz w:val="18"/>
                <w:szCs w:val="18"/>
              </w:rPr>
              <w:t>services’.</w:t>
            </w:r>
          </w:p>
        </w:tc>
      </w:tr>
      <w:tr w:rsidR="00D96B91">
        <w:trPr>
          <w:trHeight w:hRule="exact" w:val="356"/>
        </w:trPr>
        <w:tc>
          <w:tcPr>
            <w:tcW w:w="1200"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b/>
                <w:spacing w:val="-1"/>
                <w:sz w:val="18"/>
              </w:rPr>
              <w:t>Operating</w:t>
            </w:r>
          </w:p>
        </w:tc>
        <w:tc>
          <w:tcPr>
            <w:tcW w:w="8201"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1"/>
                <w:sz w:val="18"/>
              </w:rPr>
              <w:t>This</w:t>
            </w:r>
            <w:r>
              <w:rPr>
                <w:rFonts w:ascii="Avenir Next Condensed"/>
                <w:sz w:val="18"/>
              </w:rPr>
              <w:t xml:space="preserve"> building block enables the service </w:t>
            </w:r>
            <w:r>
              <w:rPr>
                <w:rFonts w:ascii="Avenir Next Condensed"/>
                <w:spacing w:val="-1"/>
                <w:sz w:val="18"/>
              </w:rPr>
              <w:t>provider</w:t>
            </w:r>
            <w:r>
              <w:rPr>
                <w:rFonts w:ascii="Avenir Next Condensed"/>
                <w:sz w:val="18"/>
              </w:rPr>
              <w:t xml:space="preserve"> to </w:t>
            </w:r>
            <w:r>
              <w:rPr>
                <w:rFonts w:ascii="Avenir Next Condensed"/>
                <w:spacing w:val="-1"/>
                <w:sz w:val="18"/>
              </w:rPr>
              <w:t>recover</w:t>
            </w:r>
            <w:r>
              <w:rPr>
                <w:rFonts w:ascii="Avenir Next Condensed"/>
                <w:sz w:val="18"/>
              </w:rPr>
              <w:t xml:space="preserve"> the costs of</w:t>
            </w:r>
            <w:r>
              <w:rPr>
                <w:rFonts w:ascii="Avenir Next Condensed"/>
                <w:spacing w:val="4"/>
                <w:sz w:val="18"/>
              </w:rPr>
              <w:t xml:space="preserve"> </w:t>
            </w:r>
            <w:r>
              <w:rPr>
                <w:rFonts w:ascii="Avenir Next Condensed"/>
                <w:spacing w:val="-1"/>
                <w:sz w:val="18"/>
              </w:rPr>
              <w:t>operating</w:t>
            </w:r>
            <w:r>
              <w:rPr>
                <w:rFonts w:ascii="Avenir Next Condensed"/>
                <w:sz w:val="18"/>
              </w:rPr>
              <w:t xml:space="preserve"> and maintaining the </w:t>
            </w:r>
            <w:r>
              <w:rPr>
                <w:rFonts w:ascii="Avenir Next Condensed"/>
                <w:spacing w:val="-1"/>
                <w:sz w:val="18"/>
              </w:rPr>
              <w:t>assets,</w:t>
            </w:r>
            <w:r>
              <w:rPr>
                <w:rFonts w:ascii="Avenir Next Condensed"/>
                <w:spacing w:val="-6"/>
                <w:sz w:val="18"/>
              </w:rPr>
              <w:t xml:space="preserve"> </w:t>
            </w:r>
            <w:r>
              <w:rPr>
                <w:rFonts w:ascii="Avenir Next Condensed"/>
                <w:sz w:val="18"/>
              </w:rPr>
              <w:t>usually in the</w:t>
            </w:r>
          </w:p>
        </w:tc>
      </w:tr>
      <w:tr w:rsidR="00D96B91">
        <w:trPr>
          <w:trHeight w:hRule="exact" w:val="1264"/>
        </w:trPr>
        <w:tc>
          <w:tcPr>
            <w:tcW w:w="1200"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8" w:lineRule="exact"/>
              <w:ind w:left="108"/>
              <w:rPr>
                <w:rFonts w:ascii="Avenir Next Condensed" w:eastAsia="Avenir Next Condensed" w:hAnsi="Avenir Next Condensed" w:cs="Avenir Next Condensed"/>
                <w:sz w:val="18"/>
                <w:szCs w:val="18"/>
              </w:rPr>
            </w:pPr>
            <w:r>
              <w:rPr>
                <w:rFonts w:ascii="Avenir Next Condensed"/>
                <w:b/>
                <w:spacing w:val="-1"/>
                <w:sz w:val="18"/>
              </w:rPr>
              <w:t>expenditure</w:t>
            </w:r>
          </w:p>
        </w:tc>
        <w:tc>
          <w:tcPr>
            <w:tcW w:w="8201" w:type="dxa"/>
            <w:tcBorders>
              <w:top w:val="nil"/>
              <w:left w:val="single" w:sz="4" w:space="0" w:color="17A7E0"/>
              <w:bottom w:val="single" w:sz="4" w:space="0" w:color="17A7E0"/>
              <w:right w:val="single" w:sz="4" w:space="0" w:color="17A7E0"/>
            </w:tcBorders>
            <w:shd w:val="clear" w:color="auto" w:fill="F0F9FE"/>
          </w:tcPr>
          <w:p w:rsidR="00D96B91" w:rsidRDefault="00C2656B">
            <w:pPr>
              <w:pStyle w:val="TableParagraph"/>
              <w:spacing w:line="214" w:lineRule="auto"/>
              <w:ind w:left="108" w:right="269"/>
              <w:jc w:val="both"/>
              <w:rPr>
                <w:rFonts w:ascii="Avenir Next Condensed" w:eastAsia="Avenir Next Condensed" w:hAnsi="Avenir Next Condensed" w:cs="Avenir Next Condensed"/>
                <w:sz w:val="18"/>
                <w:szCs w:val="18"/>
              </w:rPr>
            </w:pPr>
            <w:r>
              <w:rPr>
                <w:rFonts w:ascii="Avenir Next Condensed"/>
                <w:spacing w:val="-1"/>
                <w:sz w:val="18"/>
              </w:rPr>
              <w:t>year</w:t>
            </w:r>
            <w:r>
              <w:rPr>
                <w:rFonts w:ascii="Avenir Next Condensed"/>
                <w:sz w:val="18"/>
              </w:rPr>
              <w:t xml:space="preserve"> the costs </w:t>
            </w:r>
            <w:r>
              <w:rPr>
                <w:rFonts w:ascii="Avenir Next Condensed"/>
                <w:spacing w:val="-1"/>
                <w:sz w:val="18"/>
              </w:rPr>
              <w:t>are</w:t>
            </w:r>
            <w:r>
              <w:rPr>
                <w:rFonts w:ascii="Avenir Next Condensed"/>
                <w:sz w:val="18"/>
              </w:rPr>
              <w:t xml:space="preserve"> </w:t>
            </w:r>
            <w:r>
              <w:rPr>
                <w:rFonts w:ascii="Avenir Next Condensed"/>
                <w:spacing w:val="-1"/>
                <w:sz w:val="18"/>
              </w:rPr>
              <w:t>incurred.</w:t>
            </w:r>
            <w:r>
              <w:rPr>
                <w:rFonts w:ascii="Avenir Next Condensed"/>
                <w:spacing w:val="-6"/>
                <w:sz w:val="18"/>
              </w:rPr>
              <w:t xml:space="preserve"> </w:t>
            </w:r>
            <w:r>
              <w:rPr>
                <w:rFonts w:ascii="Avenir Next Condensed"/>
                <w:spacing w:val="-1"/>
                <w:sz w:val="18"/>
              </w:rPr>
              <w:t>Like</w:t>
            </w:r>
            <w:r>
              <w:rPr>
                <w:rFonts w:ascii="Avenir Next Condensed"/>
                <w:sz w:val="18"/>
              </w:rPr>
              <w:t xml:space="preserve"> </w:t>
            </w:r>
            <w:r>
              <w:rPr>
                <w:rFonts w:ascii="Avenir Next Condensed"/>
                <w:spacing w:val="-1"/>
                <w:sz w:val="18"/>
              </w:rPr>
              <w:t>capex,</w:t>
            </w:r>
            <w:r>
              <w:rPr>
                <w:rFonts w:ascii="Avenir Next Condensed"/>
                <w:spacing w:val="-6"/>
                <w:sz w:val="18"/>
              </w:rPr>
              <w:t xml:space="preserve"> </w:t>
            </w:r>
            <w:r>
              <w:rPr>
                <w:rFonts w:ascii="Avenir Next Condensed"/>
                <w:spacing w:val="-1"/>
                <w:sz w:val="18"/>
              </w:rPr>
              <w:t>regulators</w:t>
            </w:r>
            <w:r>
              <w:rPr>
                <w:rFonts w:ascii="Avenir Next Condensed"/>
                <w:sz w:val="18"/>
              </w:rPr>
              <w:t xml:space="preserve"> usually try to counter the limited incentive a service </w:t>
            </w:r>
            <w:r>
              <w:rPr>
                <w:rFonts w:ascii="Avenir Next Condensed"/>
                <w:spacing w:val="-1"/>
                <w:sz w:val="18"/>
              </w:rPr>
              <w:t>provider</w:t>
            </w:r>
            <w:r>
              <w:rPr>
                <w:rFonts w:ascii="Avenir Next Condensed"/>
                <w:sz w:val="18"/>
              </w:rPr>
              <w:t xml:space="preserve"> may otherwise</w:t>
            </w:r>
            <w:r>
              <w:rPr>
                <w:rFonts w:ascii="Avenir Next Condensed"/>
                <w:spacing w:val="59"/>
                <w:sz w:val="18"/>
              </w:rPr>
              <w:t xml:space="preserve"> </w:t>
            </w:r>
            <w:r>
              <w:rPr>
                <w:rFonts w:ascii="Avenir Next Condensed"/>
                <w:sz w:val="18"/>
              </w:rPr>
              <w:t xml:space="preserve">have to minimise the costs </w:t>
            </w:r>
            <w:r>
              <w:rPr>
                <w:rFonts w:ascii="Avenir Next Condensed"/>
                <w:spacing w:val="-1"/>
                <w:sz w:val="18"/>
              </w:rPr>
              <w:t>incurred</w:t>
            </w:r>
            <w:r>
              <w:rPr>
                <w:rFonts w:ascii="Avenir Next Condensed"/>
                <w:sz w:val="18"/>
              </w:rPr>
              <w:t xml:space="preserve"> in </w:t>
            </w:r>
            <w:r>
              <w:rPr>
                <w:rFonts w:ascii="Avenir Next Condensed"/>
                <w:spacing w:val="-1"/>
                <w:sz w:val="18"/>
              </w:rPr>
              <w:t>operating</w:t>
            </w:r>
            <w:r>
              <w:rPr>
                <w:rFonts w:ascii="Avenir Next Condensed"/>
                <w:sz w:val="18"/>
              </w:rPr>
              <w:t xml:space="preserve"> the </w:t>
            </w:r>
            <w:r>
              <w:rPr>
                <w:rFonts w:ascii="Avenir Next Condensed"/>
                <w:spacing w:val="-1"/>
                <w:sz w:val="18"/>
              </w:rPr>
              <w:t>assets</w:t>
            </w:r>
            <w:r>
              <w:rPr>
                <w:rFonts w:ascii="Avenir Next Condensed"/>
                <w:sz w:val="18"/>
              </w:rPr>
              <w:t xml:space="preserve"> by only allowing </w:t>
            </w:r>
            <w:r>
              <w:rPr>
                <w:rFonts w:ascii="Avenir Next Condensed"/>
                <w:spacing w:val="-1"/>
                <w:sz w:val="18"/>
              </w:rPr>
              <w:t>opex</w:t>
            </w:r>
            <w:r>
              <w:rPr>
                <w:rFonts w:ascii="Avenir Next Condensed"/>
                <w:sz w:val="18"/>
              </w:rPr>
              <w:t xml:space="preserve"> to be </w:t>
            </w:r>
            <w:r>
              <w:rPr>
                <w:rFonts w:ascii="Avenir Next Condensed"/>
                <w:spacing w:val="-1"/>
                <w:sz w:val="18"/>
              </w:rPr>
              <w:t>recovered</w:t>
            </w:r>
            <w:r>
              <w:rPr>
                <w:rFonts w:ascii="Avenir Next Condensed"/>
                <w:sz w:val="18"/>
              </w:rPr>
              <w:t xml:space="preserve"> </w:t>
            </w:r>
            <w:r>
              <w:rPr>
                <w:rFonts w:ascii="Avenir Next Condensed"/>
                <w:spacing w:val="-1"/>
                <w:sz w:val="18"/>
              </w:rPr>
              <w:t>from</w:t>
            </w:r>
            <w:r>
              <w:rPr>
                <w:rFonts w:ascii="Avenir Next Condensed"/>
                <w:sz w:val="18"/>
              </w:rPr>
              <w:t xml:space="preserve"> users if</w:t>
            </w:r>
            <w:r>
              <w:rPr>
                <w:rFonts w:ascii="Avenir Next Condensed"/>
                <w:spacing w:val="4"/>
                <w:sz w:val="18"/>
              </w:rPr>
              <w:t xml:space="preserve"> </w:t>
            </w:r>
            <w:r>
              <w:rPr>
                <w:rFonts w:ascii="Avenir Next Condensed"/>
                <w:sz w:val="18"/>
              </w:rPr>
              <w:t>it satisfies the</w:t>
            </w:r>
            <w:r>
              <w:rPr>
                <w:rFonts w:ascii="Avenir Next Condensed"/>
                <w:spacing w:val="53"/>
                <w:sz w:val="18"/>
              </w:rPr>
              <w:t xml:space="preserve"> </w:t>
            </w:r>
            <w:r>
              <w:rPr>
                <w:rFonts w:ascii="Avenir Next Condensed"/>
                <w:sz w:val="18"/>
              </w:rPr>
              <w:t xml:space="preserve">prudent and </w:t>
            </w:r>
            <w:r>
              <w:rPr>
                <w:rFonts w:ascii="Avenir Next Condensed"/>
                <w:spacing w:val="-1"/>
                <w:sz w:val="18"/>
              </w:rPr>
              <w:t>efficient</w:t>
            </w:r>
            <w:r>
              <w:rPr>
                <w:rFonts w:ascii="Avenir Next Condensed"/>
                <w:sz w:val="18"/>
              </w:rPr>
              <w:t xml:space="preserve"> service </w:t>
            </w:r>
            <w:r>
              <w:rPr>
                <w:rFonts w:ascii="Avenir Next Condensed"/>
                <w:spacing w:val="-1"/>
                <w:sz w:val="18"/>
              </w:rPr>
              <w:t>provider</w:t>
            </w:r>
            <w:r>
              <w:rPr>
                <w:rFonts w:ascii="Avenir Next Condensed"/>
                <w:sz w:val="18"/>
              </w:rPr>
              <w:t xml:space="preserve"> test.</w:t>
            </w:r>
            <w:r>
              <w:rPr>
                <w:rFonts w:ascii="Avenir Next Condensed"/>
                <w:spacing w:val="-9"/>
                <w:sz w:val="18"/>
              </w:rPr>
              <w:t xml:space="preserve"> </w:t>
            </w:r>
            <w:r>
              <w:rPr>
                <w:rFonts w:ascii="Avenir Next Condensed"/>
                <w:sz w:val="18"/>
              </w:rPr>
              <w:t xml:space="preserve">An </w:t>
            </w:r>
            <w:r>
              <w:rPr>
                <w:rFonts w:ascii="Avenir Next Condensed"/>
                <w:spacing w:val="-1"/>
                <w:sz w:val="18"/>
              </w:rPr>
              <w:t>example</w:t>
            </w:r>
            <w:r>
              <w:rPr>
                <w:rFonts w:ascii="Avenir Next Condensed"/>
                <w:sz w:val="18"/>
              </w:rPr>
              <w:t xml:space="preserve"> of</w:t>
            </w:r>
            <w:r>
              <w:rPr>
                <w:rFonts w:ascii="Avenir Next Condensed"/>
                <w:spacing w:val="4"/>
                <w:sz w:val="18"/>
              </w:rPr>
              <w:t xml:space="preserve"> </w:t>
            </w:r>
            <w:r>
              <w:rPr>
                <w:rFonts w:ascii="Avenir Next Condensed"/>
                <w:sz w:val="18"/>
              </w:rPr>
              <w:t xml:space="preserve">the form this test can </w:t>
            </w:r>
            <w:r>
              <w:rPr>
                <w:rFonts w:ascii="Avenir Next Condensed"/>
                <w:spacing w:val="-1"/>
                <w:sz w:val="18"/>
              </w:rPr>
              <w:t>take</w:t>
            </w:r>
            <w:r>
              <w:rPr>
                <w:rFonts w:ascii="Avenir Next Condensed"/>
                <w:sz w:val="18"/>
              </w:rPr>
              <w:t xml:space="preserve"> can be found in the NGR:</w:t>
            </w:r>
          </w:p>
          <w:p w:rsidR="00D96B91" w:rsidRDefault="00C2656B">
            <w:pPr>
              <w:pStyle w:val="TableParagraph"/>
              <w:spacing w:before="98" w:line="220" w:lineRule="exact"/>
              <w:ind w:left="392" w:right="47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i/>
                <w:spacing w:val="-1"/>
                <w:sz w:val="18"/>
                <w:szCs w:val="18"/>
              </w:rPr>
              <w:t>‘Operating expenditure</w:t>
            </w:r>
            <w:r>
              <w:rPr>
                <w:rFonts w:ascii="Avenir Next Condensed" w:eastAsia="Avenir Next Condensed" w:hAnsi="Avenir Next Condensed" w:cs="Avenir Next Condensed"/>
                <w:i/>
                <w:sz w:val="18"/>
                <w:szCs w:val="18"/>
              </w:rPr>
              <w:t xml:space="preserve"> must be</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such as would</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 xml:space="preserve">be </w:t>
            </w:r>
            <w:r>
              <w:rPr>
                <w:rFonts w:ascii="Avenir Next Condensed" w:eastAsia="Avenir Next Condensed" w:hAnsi="Avenir Next Condensed" w:cs="Avenir Next Condensed"/>
                <w:i/>
                <w:spacing w:val="-1"/>
                <w:sz w:val="18"/>
                <w:szCs w:val="18"/>
              </w:rPr>
              <w:t>incurred</w:t>
            </w:r>
            <w:r>
              <w:rPr>
                <w:rFonts w:ascii="Avenir Next Condensed" w:eastAsia="Avenir Next Condensed" w:hAnsi="Avenir Next Condensed" w:cs="Avenir Next Condensed"/>
                <w:i/>
                <w:sz w:val="18"/>
                <w:szCs w:val="18"/>
              </w:rPr>
              <w:t xml:space="preserve"> by</w:t>
            </w:r>
            <w:r>
              <w:rPr>
                <w:rFonts w:ascii="Avenir Next Condensed" w:eastAsia="Avenir Next Condensed" w:hAnsi="Avenir Next Condensed" w:cs="Avenir Next Condensed"/>
                <w:i/>
                <w:spacing w:val="-1"/>
                <w:sz w:val="18"/>
                <w:szCs w:val="18"/>
              </w:rPr>
              <w:t xml:space="preserve"> </w:t>
            </w:r>
            <w:r>
              <w:rPr>
                <w:rFonts w:ascii="Avenir Next Condensed" w:eastAsia="Avenir Next Condensed" w:hAnsi="Avenir Next Condensed" w:cs="Avenir Next Condensed"/>
                <w:i/>
                <w:sz w:val="18"/>
                <w:szCs w:val="18"/>
              </w:rPr>
              <w:t xml:space="preserve">a prudent service </w:t>
            </w:r>
            <w:r>
              <w:rPr>
                <w:rFonts w:ascii="Avenir Next Condensed" w:eastAsia="Avenir Next Condensed" w:hAnsi="Avenir Next Condensed" w:cs="Avenir Next Condensed"/>
                <w:i/>
                <w:spacing w:val="-1"/>
                <w:sz w:val="18"/>
                <w:szCs w:val="18"/>
              </w:rPr>
              <w:t xml:space="preserve">provider </w:t>
            </w:r>
            <w:r>
              <w:rPr>
                <w:rFonts w:ascii="Avenir Next Condensed" w:eastAsia="Avenir Next Condensed" w:hAnsi="Avenir Next Condensed" w:cs="Avenir Next Condensed"/>
                <w:i/>
                <w:sz w:val="18"/>
                <w:szCs w:val="18"/>
              </w:rPr>
              <w:t xml:space="preserve">acting </w:t>
            </w:r>
            <w:r>
              <w:rPr>
                <w:rFonts w:ascii="Avenir Next Condensed" w:eastAsia="Avenir Next Condensed" w:hAnsi="Avenir Next Condensed" w:cs="Avenir Next Condensed"/>
                <w:i/>
                <w:spacing w:val="-1"/>
                <w:sz w:val="18"/>
                <w:szCs w:val="18"/>
              </w:rPr>
              <w:t>efficiently,</w:t>
            </w:r>
            <w:r>
              <w:rPr>
                <w:rFonts w:ascii="Avenir Next Condensed" w:eastAsia="Avenir Next Condensed" w:hAnsi="Avenir Next Condensed" w:cs="Avenir Next Condensed"/>
                <w:i/>
                <w:spacing w:val="-6"/>
                <w:sz w:val="18"/>
                <w:szCs w:val="18"/>
              </w:rPr>
              <w:t xml:space="preserve"> </w:t>
            </w:r>
            <w:r>
              <w:rPr>
                <w:rFonts w:ascii="Avenir Next Condensed" w:eastAsia="Avenir Next Condensed" w:hAnsi="Avenir Next Condensed" w:cs="Avenir Next Condensed"/>
                <w:i/>
                <w:sz w:val="18"/>
                <w:szCs w:val="18"/>
              </w:rPr>
              <w:t>in</w:t>
            </w:r>
            <w:r>
              <w:rPr>
                <w:rFonts w:ascii="Avenir Next Condensed" w:eastAsia="Avenir Next Condensed" w:hAnsi="Avenir Next Condensed" w:cs="Avenir Next Condensed"/>
                <w:i/>
                <w:spacing w:val="59"/>
                <w:sz w:val="18"/>
                <w:szCs w:val="18"/>
              </w:rPr>
              <w:t xml:space="preserve"> </w:t>
            </w:r>
            <w:r>
              <w:rPr>
                <w:rFonts w:ascii="Avenir Next Condensed" w:eastAsia="Avenir Next Condensed" w:hAnsi="Avenir Next Condensed" w:cs="Avenir Next Condensed"/>
                <w:i/>
                <w:spacing w:val="-1"/>
                <w:sz w:val="18"/>
                <w:szCs w:val="18"/>
              </w:rPr>
              <w:t>accordance</w:t>
            </w:r>
            <w:r>
              <w:rPr>
                <w:rFonts w:ascii="Avenir Next Condensed" w:eastAsia="Avenir Next Condensed" w:hAnsi="Avenir Next Condensed" w:cs="Avenir Next Condensed"/>
                <w:i/>
                <w:sz w:val="18"/>
                <w:szCs w:val="18"/>
              </w:rPr>
              <w:t xml:space="preserve"> with accepted good industry </w:t>
            </w:r>
            <w:r>
              <w:rPr>
                <w:rFonts w:ascii="Avenir Next Condensed" w:eastAsia="Avenir Next Condensed" w:hAnsi="Avenir Next Condensed" w:cs="Avenir Next Condensed"/>
                <w:i/>
                <w:spacing w:val="-1"/>
                <w:sz w:val="18"/>
                <w:szCs w:val="18"/>
              </w:rPr>
              <w:t>practice,</w:t>
            </w:r>
            <w:r>
              <w:rPr>
                <w:rFonts w:ascii="Avenir Next Condensed" w:eastAsia="Avenir Next Condensed" w:hAnsi="Avenir Next Condensed" w:cs="Avenir Next Condensed"/>
                <w:i/>
                <w:spacing w:val="-6"/>
                <w:sz w:val="18"/>
                <w:szCs w:val="18"/>
              </w:rPr>
              <w:t xml:space="preserve"> </w:t>
            </w:r>
            <w:r>
              <w:rPr>
                <w:rFonts w:ascii="Avenir Next Condensed" w:eastAsia="Avenir Next Condensed" w:hAnsi="Avenir Next Condensed" w:cs="Avenir Next Condensed"/>
                <w:i/>
                <w:sz w:val="18"/>
                <w:szCs w:val="18"/>
              </w:rPr>
              <w:t>to achieve the lowest sustainable cost of</w:t>
            </w:r>
            <w:r>
              <w:rPr>
                <w:rFonts w:ascii="Avenir Next Condensed" w:eastAsia="Avenir Next Condensed" w:hAnsi="Avenir Next Condensed" w:cs="Avenir Next Condensed"/>
                <w:i/>
                <w:spacing w:val="4"/>
                <w:sz w:val="18"/>
                <w:szCs w:val="18"/>
              </w:rPr>
              <w:t xml:space="preserve"> </w:t>
            </w:r>
            <w:r>
              <w:rPr>
                <w:rFonts w:ascii="Avenir Next Condensed" w:eastAsia="Avenir Next Condensed" w:hAnsi="Avenir Next Condensed" w:cs="Avenir Next Condensed"/>
                <w:i/>
                <w:sz w:val="18"/>
                <w:szCs w:val="18"/>
              </w:rPr>
              <w:t xml:space="preserve">delivering pipeline </w:t>
            </w:r>
            <w:r>
              <w:rPr>
                <w:rFonts w:ascii="Avenir Next Condensed" w:eastAsia="Avenir Next Condensed" w:hAnsi="Avenir Next Condensed" w:cs="Avenir Next Condensed"/>
                <w:i/>
                <w:spacing w:val="-2"/>
                <w:sz w:val="18"/>
                <w:szCs w:val="18"/>
              </w:rPr>
              <w:t>services’.</w:t>
            </w:r>
          </w:p>
        </w:tc>
      </w:tr>
      <w:tr w:rsidR="00D96B91">
        <w:trPr>
          <w:trHeight w:hRule="exact" w:val="1067"/>
        </w:trPr>
        <w:tc>
          <w:tcPr>
            <w:tcW w:w="120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443"/>
              <w:rPr>
                <w:rFonts w:ascii="Avenir Next Condensed" w:eastAsia="Avenir Next Condensed" w:hAnsi="Avenir Next Condensed" w:cs="Avenir Next Condensed"/>
                <w:sz w:val="18"/>
                <w:szCs w:val="18"/>
              </w:rPr>
            </w:pPr>
            <w:r>
              <w:rPr>
                <w:rFonts w:ascii="Avenir Next Condensed"/>
                <w:b/>
                <w:sz w:val="18"/>
              </w:rPr>
              <w:t>Net tax liabilities</w:t>
            </w:r>
          </w:p>
        </w:tc>
        <w:tc>
          <w:tcPr>
            <w:tcW w:w="820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8" w:right="15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net tax liabilities building block allows the service </w:t>
            </w:r>
            <w:r>
              <w:rPr>
                <w:rFonts w:ascii="Avenir Next Condensed" w:eastAsia="Avenir Next Condensed" w:hAnsi="Avenir Next Condensed" w:cs="Avenir Next Condensed"/>
                <w:spacing w:val="-1"/>
                <w:sz w:val="18"/>
                <w:szCs w:val="18"/>
              </w:rPr>
              <w:t>provider</w:t>
            </w:r>
            <w:r>
              <w:rPr>
                <w:rFonts w:ascii="Avenir Next Condensed" w:eastAsia="Avenir Next Condensed" w:hAnsi="Avenir Next Condensed" w:cs="Avenir Next Condensed"/>
                <w:sz w:val="18"/>
                <w:szCs w:val="18"/>
              </w:rPr>
              <w:t xml:space="preserve"> to </w:t>
            </w:r>
            <w:r>
              <w:rPr>
                <w:rFonts w:ascii="Avenir Next Condensed" w:eastAsia="Avenir Next Condensed" w:hAnsi="Avenir Next Condensed" w:cs="Avenir Next Condensed"/>
                <w:spacing w:val="-1"/>
                <w:sz w:val="18"/>
                <w:szCs w:val="18"/>
              </w:rPr>
              <w:t>recover</w:t>
            </w:r>
            <w:r>
              <w:rPr>
                <w:rFonts w:ascii="Avenir Next Condensed" w:eastAsia="Avenir Next Condensed" w:hAnsi="Avenir Next Condensed" w:cs="Avenir Next Condensed"/>
                <w:sz w:val="18"/>
                <w:szCs w:val="18"/>
              </w:rPr>
              <w:t xml:space="preserve"> the tax payable on its </w:t>
            </w:r>
            <w:r>
              <w:rPr>
                <w:rFonts w:ascii="Avenir Next Condensed" w:eastAsia="Avenir Next Condensed" w:hAnsi="Avenir Next Condensed" w:cs="Avenir Next Condensed"/>
                <w:spacing w:val="-1"/>
                <w:sz w:val="18"/>
                <w:szCs w:val="18"/>
              </w:rPr>
              <w:t>regulated</w:t>
            </w:r>
            <w:r>
              <w:rPr>
                <w:rFonts w:ascii="Avenir Next Condensed" w:eastAsia="Avenir Next Condensed" w:hAnsi="Avenir Next Condensed" w:cs="Avenir Next Condensed"/>
                <w:sz w:val="18"/>
                <w:szCs w:val="18"/>
              </w:rPr>
              <w:t xml:space="preserve"> taxable income net</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 value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imputation </w:t>
            </w:r>
            <w:r>
              <w:rPr>
                <w:rFonts w:ascii="Avenir Next Condensed" w:eastAsia="Avenir Next Condensed" w:hAnsi="Avenir Next Condensed" w:cs="Avenir Next Condensed"/>
                <w:spacing w:val="-1"/>
                <w:sz w:val="18"/>
                <w:szCs w:val="18"/>
              </w:rPr>
              <w:t>credits.</w:t>
            </w:r>
            <w:r>
              <w:rPr>
                <w:rFonts w:ascii="Avenir Next Condensed" w:eastAsia="Avenir Next Condensed" w:hAnsi="Avenir Next Condensed" w:cs="Avenir Next Condensed"/>
                <w:spacing w:val="-10"/>
                <w:sz w:val="18"/>
                <w:szCs w:val="18"/>
              </w:rPr>
              <w:t xml:space="preserve"> </w:t>
            </w:r>
            <w:r>
              <w:rPr>
                <w:rFonts w:ascii="Avenir Next Condensed" w:eastAsia="Avenir Next Condensed" w:hAnsi="Avenir Next Condensed" w:cs="Avenir Next Condensed"/>
                <w:spacing w:val="-1"/>
                <w:sz w:val="18"/>
                <w:szCs w:val="18"/>
              </w:rPr>
              <w:t>The</w:t>
            </w:r>
            <w:r>
              <w:rPr>
                <w:rFonts w:ascii="Avenir Next Condensed" w:eastAsia="Avenir Next Condensed" w:hAnsi="Avenir Next Condensed" w:cs="Avenir Next Condensed"/>
                <w:sz w:val="18"/>
                <w:szCs w:val="18"/>
              </w:rPr>
              <w:t xml:space="preserve"> allowance will depend on: the service </w:t>
            </w:r>
            <w:r>
              <w:rPr>
                <w:rFonts w:ascii="Avenir Next Condensed" w:eastAsia="Avenir Next Condensed" w:hAnsi="Avenir Next Condensed" w:cs="Avenir Next Condensed"/>
                <w:spacing w:val="-1"/>
                <w:sz w:val="18"/>
                <w:szCs w:val="18"/>
              </w:rPr>
              <w:t>provider’s</w:t>
            </w:r>
            <w:r>
              <w:rPr>
                <w:rFonts w:ascii="Avenir Next Condensed" w:eastAsia="Avenir Next Condensed" w:hAnsi="Avenir Next Condensed" w:cs="Avenir Next Condensed"/>
                <w:sz w:val="18"/>
                <w:szCs w:val="18"/>
              </w:rPr>
              <w:t xml:space="preserve"> initial tax position; the taxable income</w:t>
            </w:r>
            <w:r>
              <w:rPr>
                <w:rFonts w:ascii="Avenir Next Condensed" w:eastAsia="Avenir Next Condensed" w:hAnsi="Avenir Next Condensed" w:cs="Avenir Next Condensed"/>
                <w:spacing w:val="25"/>
                <w:sz w:val="18"/>
                <w:szCs w:val="18"/>
              </w:rPr>
              <w:t xml:space="preserve"> </w:t>
            </w:r>
            <w:r>
              <w:rPr>
                <w:rFonts w:ascii="Avenir Next Condensed" w:eastAsia="Avenir Next Condensed" w:hAnsi="Avenir Next Condensed" w:cs="Avenir Next Condensed"/>
                <w:spacing w:val="-1"/>
                <w:sz w:val="18"/>
                <w:szCs w:val="18"/>
              </w:rPr>
              <w:t>expected</w:t>
            </w:r>
            <w:r>
              <w:rPr>
                <w:rFonts w:ascii="Avenir Next Condensed" w:eastAsia="Avenir Next Condensed" w:hAnsi="Avenir Next Condensed" w:cs="Avenir Next Condensed"/>
                <w:sz w:val="18"/>
                <w:szCs w:val="18"/>
              </w:rPr>
              <w:t xml:space="preserve"> to be </w:t>
            </w:r>
            <w:r>
              <w:rPr>
                <w:rFonts w:ascii="Avenir Next Condensed" w:eastAsia="Avenir Next Condensed" w:hAnsi="Avenir Next Condensed" w:cs="Avenir Next Condensed"/>
                <w:spacing w:val="-1"/>
                <w:sz w:val="18"/>
                <w:szCs w:val="18"/>
              </w:rPr>
              <w:t>generated</w:t>
            </w:r>
            <w:r>
              <w:rPr>
                <w:rFonts w:ascii="Avenir Next Condensed" w:eastAsia="Avenir Next Condensed" w:hAnsi="Avenir Next Condensed" w:cs="Avenir Next Condensed"/>
                <w:sz w:val="18"/>
                <w:szCs w:val="18"/>
              </w:rPr>
              <w:t xml:space="preserve"> by the service </w:t>
            </w:r>
            <w:r>
              <w:rPr>
                <w:rFonts w:ascii="Avenir Next Condensed" w:eastAsia="Avenir Next Condensed" w:hAnsi="Avenir Next Condensed" w:cs="Avenir Next Condensed"/>
                <w:spacing w:val="-1"/>
                <w:sz w:val="18"/>
                <w:szCs w:val="18"/>
              </w:rPr>
              <w:t>provider;</w:t>
            </w:r>
            <w:r>
              <w:rPr>
                <w:rFonts w:ascii="Avenir Next Condensed" w:eastAsia="Avenir Next Condensed" w:hAnsi="Avenir Next Condensed" w:cs="Avenir Next Condensed"/>
                <w:sz w:val="18"/>
                <w:szCs w:val="18"/>
              </w:rPr>
              <w:t xml:space="preserve"> the company tax </w:t>
            </w:r>
            <w:r>
              <w:rPr>
                <w:rFonts w:ascii="Avenir Next Condensed" w:eastAsia="Avenir Next Condensed" w:hAnsi="Avenir Next Condensed" w:cs="Avenir Next Condensed"/>
                <w:spacing w:val="-1"/>
                <w:sz w:val="18"/>
                <w:szCs w:val="18"/>
              </w:rPr>
              <w:t>rate;</w:t>
            </w:r>
            <w:r>
              <w:rPr>
                <w:rFonts w:ascii="Avenir Next Condensed" w:eastAsia="Avenir Next Condensed" w:hAnsi="Avenir Next Condensed" w:cs="Avenir Next Condensed"/>
                <w:sz w:val="18"/>
                <w:szCs w:val="18"/>
              </w:rPr>
              <w:t xml:space="preserve"> and the value </w:t>
            </w:r>
            <w:r>
              <w:rPr>
                <w:rFonts w:ascii="Avenir Next Condensed" w:eastAsia="Avenir Next Condensed" w:hAnsi="Avenir Next Condensed" w:cs="Avenir Next Condensed"/>
                <w:spacing w:val="-1"/>
                <w:sz w:val="18"/>
                <w:szCs w:val="18"/>
              </w:rPr>
              <w:t>attributed</w:t>
            </w:r>
            <w:r>
              <w:rPr>
                <w:rFonts w:ascii="Avenir Next Condensed" w:eastAsia="Avenir Next Condensed" w:hAnsi="Avenir Next Condensed" w:cs="Avenir Next Condensed"/>
                <w:sz w:val="18"/>
                <w:szCs w:val="18"/>
              </w:rPr>
              <w:t xml:space="preserve"> to imputation </w:t>
            </w:r>
            <w:r>
              <w:rPr>
                <w:rFonts w:ascii="Avenir Next Condensed" w:eastAsia="Avenir Next Condensed" w:hAnsi="Avenir Next Condensed" w:cs="Avenir Next Condensed"/>
                <w:spacing w:val="-1"/>
                <w:sz w:val="18"/>
                <w:szCs w:val="18"/>
              </w:rPr>
              <w:t>credits.</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pacing w:val="-1"/>
                <w:sz w:val="18"/>
                <w:szCs w:val="18"/>
              </w:rPr>
              <w:t>Like</w:t>
            </w:r>
            <w:r>
              <w:rPr>
                <w:rFonts w:ascii="Avenir Next Condensed" w:eastAsia="Avenir Next Condensed" w:hAnsi="Avenir Next Condensed" w:cs="Avenir Next Condensed"/>
                <w:sz w:val="18"/>
                <w:szCs w:val="18"/>
              </w:rPr>
              <w:t xml:space="preserve"> the</w:t>
            </w:r>
            <w:r>
              <w:rPr>
                <w:rFonts w:ascii="Avenir Next Condensed" w:eastAsia="Avenir Next Condensed" w:hAnsi="Avenir Next Condensed" w:cs="Avenir Next Condensed"/>
                <w:spacing w:val="75"/>
                <w:sz w:val="18"/>
                <w:szCs w:val="18"/>
              </w:rPr>
              <w:t xml:space="preserve"> </w:t>
            </w:r>
            <w:r>
              <w:rPr>
                <w:rFonts w:ascii="Avenir Next Condensed" w:eastAsia="Avenir Next Condensed" w:hAnsi="Avenir Next Condensed" w:cs="Avenir Next Condensed"/>
                <w:spacing w:val="-1"/>
                <w:sz w:val="18"/>
                <w:szCs w:val="18"/>
              </w:rPr>
              <w:t>rate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return,</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net tax liabilities </w:t>
            </w:r>
            <w:r>
              <w:rPr>
                <w:rFonts w:ascii="Avenir Next Condensed" w:eastAsia="Avenir Next Condensed" w:hAnsi="Avenir Next Condensed" w:cs="Avenir Next Condensed"/>
                <w:spacing w:val="-1"/>
                <w:sz w:val="18"/>
                <w:szCs w:val="18"/>
              </w:rPr>
              <w:t>are</w:t>
            </w:r>
            <w:r>
              <w:rPr>
                <w:rFonts w:ascii="Avenir Next Condensed" w:eastAsia="Avenir Next Condensed" w:hAnsi="Avenir Next Condensed" w:cs="Avenir Next Condensed"/>
                <w:sz w:val="18"/>
                <w:szCs w:val="18"/>
              </w:rPr>
              <w:t xml:space="preserve"> usually determined using the benchmark </w:t>
            </w:r>
            <w:r>
              <w:rPr>
                <w:rFonts w:ascii="Avenir Next Condensed" w:eastAsia="Avenir Next Condensed" w:hAnsi="Avenir Next Condensed" w:cs="Avenir Next Condensed"/>
                <w:spacing w:val="-1"/>
                <w:sz w:val="18"/>
                <w:szCs w:val="18"/>
              </w:rPr>
              <w:t>efficient</w:t>
            </w:r>
            <w:r>
              <w:rPr>
                <w:rFonts w:ascii="Avenir Next Condensed" w:eastAsia="Avenir Next Condensed" w:hAnsi="Avenir Next Condensed" w:cs="Avenir Next Condensed"/>
                <w:sz w:val="18"/>
                <w:szCs w:val="18"/>
              </w:rPr>
              <w:t xml:space="preserve"> entity </w:t>
            </w:r>
            <w:r>
              <w:rPr>
                <w:rFonts w:ascii="Avenir Next Condensed" w:eastAsia="Avenir Next Condensed" w:hAnsi="Avenir Next Condensed" w:cs="Avenir Next Condensed"/>
                <w:spacing w:val="-1"/>
                <w:sz w:val="18"/>
                <w:szCs w:val="18"/>
              </w:rPr>
              <w:t>standard.</w:t>
            </w:r>
          </w:p>
        </w:tc>
      </w:tr>
    </w:tbl>
    <w:p w:rsidR="00D96B91" w:rsidRDefault="00D96B91">
      <w:pPr>
        <w:spacing w:line="220" w:lineRule="exact"/>
        <w:rPr>
          <w:rFonts w:ascii="Avenir Next Condensed" w:eastAsia="Avenir Next Condensed" w:hAnsi="Avenir Next Condensed" w:cs="Avenir Next Condensed"/>
          <w:sz w:val="18"/>
          <w:szCs w:val="18"/>
        </w:rPr>
        <w:sectPr w:rsidR="00D96B91">
          <w:footerReference w:type="even" r:id="rId113"/>
          <w:footerReference w:type="default" r:id="rId114"/>
          <w:pgSz w:w="11910" w:h="16840"/>
          <w:pgMar w:top="1260" w:right="0" w:bottom="1020" w:left="0" w:header="0" w:footer="829" w:gutter="0"/>
          <w:pgNumType w:start="158"/>
          <w:cols w:space="720"/>
        </w:sectPr>
      </w:pPr>
    </w:p>
    <w:p w:rsidR="00D96B91" w:rsidRDefault="00C2656B">
      <w:pPr>
        <w:tabs>
          <w:tab w:val="left" w:pos="3628"/>
        </w:tabs>
        <w:spacing w:line="483" w:lineRule="exact"/>
        <w:ind w:left="1247"/>
        <w:rPr>
          <w:rFonts w:ascii="Avenir Next Medium" w:eastAsia="Avenir Next Medium" w:hAnsi="Avenir Next Medium" w:cs="Avenir Next Medium"/>
          <w:sz w:val="40"/>
          <w:szCs w:val="40"/>
        </w:rPr>
      </w:pPr>
      <w:bookmarkStart w:id="235" w:name="Appendix_7_Techniques_to_deal_with_inter"/>
      <w:bookmarkStart w:id="236" w:name="_bookmark151"/>
      <w:bookmarkEnd w:id="235"/>
      <w:bookmarkEnd w:id="236"/>
      <w:r>
        <w:rPr>
          <w:rFonts w:ascii="Avenir Next Medium"/>
          <w:color w:val="0778BE"/>
          <w:sz w:val="40"/>
        </w:rPr>
        <w:t>Appendix 7</w:t>
      </w:r>
      <w:r>
        <w:rPr>
          <w:rFonts w:ascii="Avenir Next Medium"/>
          <w:color w:val="0778BE"/>
          <w:sz w:val="40"/>
        </w:rPr>
        <w:tab/>
      </w:r>
      <w:r>
        <w:rPr>
          <w:rFonts w:ascii="Avenir Next Medium"/>
          <w:color w:val="0778BE"/>
          <w:spacing w:val="-39"/>
          <w:sz w:val="40"/>
        </w:rPr>
        <w:t>T</w:t>
      </w:r>
      <w:r>
        <w:rPr>
          <w:rFonts w:ascii="Avenir Next Medium"/>
          <w:color w:val="0778BE"/>
          <w:sz w:val="40"/>
        </w:rPr>
        <w:t>echniques to d</w:t>
      </w:r>
      <w:r>
        <w:rPr>
          <w:rFonts w:ascii="Avenir Next Medium"/>
          <w:color w:val="0778BE"/>
          <w:spacing w:val="-3"/>
          <w:sz w:val="40"/>
        </w:rPr>
        <w:t>e</w:t>
      </w:r>
      <w:r>
        <w:rPr>
          <w:rFonts w:ascii="Avenir Next Medium"/>
          <w:color w:val="0778BE"/>
          <w:sz w:val="40"/>
        </w:rPr>
        <w:t>al with</w:t>
      </w:r>
    </w:p>
    <w:p w:rsidR="00D96B91" w:rsidRDefault="00C2656B">
      <w:pPr>
        <w:spacing w:line="513" w:lineRule="exact"/>
        <w:ind w:left="3628"/>
        <w:rPr>
          <w:rFonts w:ascii="Avenir Next Medium" w:eastAsia="Avenir Next Medium" w:hAnsi="Avenir Next Medium" w:cs="Avenir Next Medium"/>
          <w:sz w:val="40"/>
          <w:szCs w:val="40"/>
        </w:rPr>
      </w:pPr>
      <w:r>
        <w:rPr>
          <w:rFonts w:ascii="Avenir Next Medium"/>
          <w:color w:val="0778BE"/>
          <w:spacing w:val="-2"/>
          <w:sz w:val="40"/>
        </w:rPr>
        <w:t>intergenerational</w:t>
      </w:r>
      <w:r>
        <w:rPr>
          <w:rFonts w:ascii="Avenir Next Medium"/>
          <w:color w:val="0778BE"/>
          <w:sz w:val="40"/>
        </w:rPr>
        <w:t xml:space="preserve"> equity issues</w:t>
      </w:r>
    </w:p>
    <w:p w:rsidR="00D96B91" w:rsidRDefault="00C2656B">
      <w:pPr>
        <w:pStyle w:val="BodyText"/>
        <w:spacing w:before="357" w:line="250" w:lineRule="exact"/>
        <w:ind w:right="1507"/>
      </w:pPr>
      <w:r>
        <w:rPr>
          <w:spacing w:val="-1"/>
        </w:rPr>
        <w:t>Regulators</w:t>
      </w:r>
      <w:r>
        <w:t xml:space="preserve"> have developed a </w:t>
      </w:r>
      <w:r>
        <w:rPr>
          <w:spacing w:val="-1"/>
        </w:rPr>
        <w:t>range</w:t>
      </w:r>
      <w:r>
        <w:t xml:space="preserve"> of</w:t>
      </w:r>
      <w:r>
        <w:rPr>
          <w:spacing w:val="4"/>
        </w:rPr>
        <w:t xml:space="preserve"> </w:t>
      </w:r>
      <w:r>
        <w:t xml:space="preserve">techniques to </w:t>
      </w:r>
      <w:r>
        <w:rPr>
          <w:spacing w:val="-1"/>
        </w:rPr>
        <w:t>deal</w:t>
      </w:r>
      <w:r>
        <w:t xml:space="preserve"> with the </w:t>
      </w:r>
      <w:r>
        <w:rPr>
          <w:spacing w:val="-1"/>
        </w:rPr>
        <w:t>intergenerational</w:t>
      </w:r>
      <w:r>
        <w:t xml:space="preserve"> equity issues</w:t>
      </w:r>
      <w:r>
        <w:rPr>
          <w:spacing w:val="35"/>
        </w:rPr>
        <w:t xml:space="preserve"> </w:t>
      </w:r>
      <w:r>
        <w:rPr>
          <w:spacing w:val="-1"/>
        </w:rPr>
        <w:t xml:space="preserve">that </w:t>
      </w:r>
      <w:r>
        <w:t>may</w:t>
      </w:r>
      <w:r>
        <w:rPr>
          <w:spacing w:val="-1"/>
        </w:rPr>
        <w:t xml:space="preserve"> </w:t>
      </w:r>
      <w:r>
        <w:t xml:space="preserve">be </w:t>
      </w:r>
      <w:r>
        <w:rPr>
          <w:spacing w:val="-1"/>
        </w:rPr>
        <w:t xml:space="preserve">associated </w:t>
      </w:r>
      <w:r>
        <w:t xml:space="preserve">with </w:t>
      </w:r>
      <w:r>
        <w:rPr>
          <w:spacing w:val="-1"/>
        </w:rPr>
        <w:t>large one-off</w:t>
      </w:r>
      <w:r>
        <w:rPr>
          <w:spacing w:val="4"/>
        </w:rPr>
        <w:t xml:space="preserve"> </w:t>
      </w:r>
      <w:r>
        <w:rPr>
          <w:spacing w:val="-1"/>
        </w:rPr>
        <w:t xml:space="preserve">infrastructure </w:t>
      </w:r>
      <w:r>
        <w:t>investments</w:t>
      </w:r>
      <w:r>
        <w:rPr>
          <w:spacing w:val="-1"/>
        </w:rPr>
        <w:t xml:space="preserve"> where</w:t>
      </w:r>
      <w:r>
        <w:t xml:space="preserve"> the</w:t>
      </w:r>
      <w:r>
        <w:rPr>
          <w:spacing w:val="-1"/>
        </w:rPr>
        <w:t xml:space="preserve"> </w:t>
      </w:r>
      <w:r>
        <w:t>benefits accrue</w:t>
      </w:r>
      <w:r>
        <w:rPr>
          <w:spacing w:val="-1"/>
        </w:rPr>
        <w:t xml:space="preserve"> across</w:t>
      </w:r>
      <w:r>
        <w:rPr>
          <w:spacing w:val="49"/>
        </w:rPr>
        <w:t xml:space="preserve"> </w:t>
      </w:r>
      <w:r>
        <w:t xml:space="preserve">multiple </w:t>
      </w:r>
      <w:r>
        <w:rPr>
          <w:spacing w:val="-1"/>
        </w:rPr>
        <w:t>generations</w:t>
      </w:r>
      <w:r>
        <w:t xml:space="preserve"> of</w:t>
      </w:r>
      <w:r>
        <w:rPr>
          <w:spacing w:val="4"/>
        </w:rPr>
        <w:t xml:space="preserve"> </w:t>
      </w:r>
      <w:r>
        <w:t>customers.</w:t>
      </w:r>
      <w:r>
        <w:rPr>
          <w:spacing w:val="-11"/>
        </w:rPr>
        <w:t xml:space="preserve"> </w:t>
      </w:r>
      <w:r>
        <w:rPr>
          <w:spacing w:val="-1"/>
        </w:rPr>
        <w:t>These</w:t>
      </w:r>
      <w:r>
        <w:t xml:space="preserve"> techniques include:</w:t>
      </w:r>
    </w:p>
    <w:p w:rsidR="00D96B91" w:rsidRDefault="00C2656B">
      <w:pPr>
        <w:pStyle w:val="BodyText"/>
        <w:numPr>
          <w:ilvl w:val="0"/>
          <w:numId w:val="131"/>
        </w:numPr>
        <w:tabs>
          <w:tab w:val="left" w:pos="1531"/>
        </w:tabs>
        <w:spacing w:before="170" w:line="250" w:lineRule="exact"/>
        <w:ind w:right="1394" w:hanging="283"/>
      </w:pPr>
      <w:r>
        <w:t xml:space="preserve">Adopting a long-term price </w:t>
      </w:r>
      <w:r>
        <w:rPr>
          <w:spacing w:val="-1"/>
        </w:rPr>
        <w:t>path</w:t>
      </w:r>
      <w:r>
        <w:t xml:space="preserve"> to smooth the </w:t>
      </w:r>
      <w:r>
        <w:rPr>
          <w:spacing w:val="-1"/>
        </w:rPr>
        <w:t>recovery</w:t>
      </w:r>
      <w:r>
        <w:t xml:space="preserve"> of</w:t>
      </w:r>
      <w:r>
        <w:rPr>
          <w:spacing w:val="4"/>
        </w:rPr>
        <w:t xml:space="preserve"> </w:t>
      </w:r>
      <w:r>
        <w:t xml:space="preserve">capital costs </w:t>
      </w:r>
      <w:r>
        <w:rPr>
          <w:spacing w:val="-1"/>
        </w:rPr>
        <w:t>(depreciation</w:t>
      </w:r>
      <w:r>
        <w:t xml:space="preserve"> plus a </w:t>
      </w:r>
      <w:r>
        <w:rPr>
          <w:spacing w:val="-1"/>
        </w:rPr>
        <w:t>return</w:t>
      </w:r>
      <w:r>
        <w:rPr>
          <w:spacing w:val="29"/>
        </w:rPr>
        <w:t xml:space="preserve"> </w:t>
      </w:r>
      <w:r>
        <w:t xml:space="preserve">on capital) and other costs </w:t>
      </w:r>
      <w:r>
        <w:rPr>
          <w:spacing w:val="-1"/>
        </w:rPr>
        <w:t>across</w:t>
      </w:r>
      <w:r>
        <w:t xml:space="preserve"> multiple </w:t>
      </w:r>
      <w:r>
        <w:rPr>
          <w:spacing w:val="-1"/>
        </w:rPr>
        <w:t>generations.</w:t>
      </w:r>
    </w:p>
    <w:p w:rsidR="00D96B91" w:rsidRDefault="00C2656B">
      <w:pPr>
        <w:pStyle w:val="BodyText"/>
        <w:numPr>
          <w:ilvl w:val="0"/>
          <w:numId w:val="131"/>
        </w:numPr>
        <w:tabs>
          <w:tab w:val="left" w:pos="1531"/>
        </w:tabs>
        <w:spacing w:before="85" w:line="250" w:lineRule="exact"/>
        <w:ind w:right="1949" w:hanging="283"/>
      </w:pPr>
      <w:r>
        <w:t>Deferring</w:t>
      </w:r>
      <w:r>
        <w:rPr>
          <w:spacing w:val="-1"/>
        </w:rPr>
        <w:t xml:space="preserve"> </w:t>
      </w:r>
      <w:r>
        <w:t xml:space="preserve">the </w:t>
      </w:r>
      <w:r>
        <w:rPr>
          <w:spacing w:val="-1"/>
        </w:rPr>
        <w:t xml:space="preserve">recovery </w:t>
      </w:r>
      <w:r>
        <w:t>of</w:t>
      </w:r>
      <w:r>
        <w:rPr>
          <w:spacing w:val="4"/>
        </w:rPr>
        <w:t xml:space="preserve"> </w:t>
      </w:r>
      <w:r>
        <w:t>a</w:t>
      </w:r>
      <w:r>
        <w:rPr>
          <w:spacing w:val="-1"/>
        </w:rPr>
        <w:t xml:space="preserve"> </w:t>
      </w:r>
      <w:r>
        <w:t xml:space="preserve">defined </w:t>
      </w:r>
      <w:r>
        <w:rPr>
          <w:spacing w:val="-1"/>
        </w:rPr>
        <w:t xml:space="preserve">portion </w:t>
      </w:r>
      <w:r>
        <w:t>of</w:t>
      </w:r>
      <w:r>
        <w:rPr>
          <w:spacing w:val="4"/>
        </w:rPr>
        <w:t xml:space="preserve"> </w:t>
      </w:r>
      <w:r>
        <w:t>the</w:t>
      </w:r>
      <w:r>
        <w:rPr>
          <w:spacing w:val="-1"/>
        </w:rPr>
        <w:t xml:space="preserve"> </w:t>
      </w:r>
      <w:r>
        <w:t>capital costs</w:t>
      </w:r>
      <w:r>
        <w:rPr>
          <w:spacing w:val="-1"/>
        </w:rPr>
        <w:t xml:space="preserve"> (depreciation</w:t>
      </w:r>
      <w:r>
        <w:t xml:space="preserve"> plus</w:t>
      </w:r>
      <w:r>
        <w:rPr>
          <w:spacing w:val="-1"/>
        </w:rPr>
        <w:t xml:space="preserve"> </w:t>
      </w:r>
      <w:r>
        <w:t xml:space="preserve">a </w:t>
      </w:r>
      <w:r>
        <w:rPr>
          <w:spacing w:val="-1"/>
        </w:rPr>
        <w:t xml:space="preserve">return </w:t>
      </w:r>
      <w:r>
        <w:t>on</w:t>
      </w:r>
      <w:r>
        <w:rPr>
          <w:spacing w:val="35"/>
        </w:rPr>
        <w:t xml:space="preserve"> </w:t>
      </w:r>
      <w:r>
        <w:t>capital)</w:t>
      </w:r>
      <w:r>
        <w:rPr>
          <w:spacing w:val="-1"/>
        </w:rPr>
        <w:t xml:space="preserve"> </w:t>
      </w:r>
      <w:r>
        <w:t>if</w:t>
      </w:r>
      <w:r>
        <w:rPr>
          <w:spacing w:val="4"/>
        </w:rPr>
        <w:t xml:space="preserve"> </w:t>
      </w:r>
      <w:r>
        <w:rPr>
          <w:spacing w:val="-1"/>
        </w:rPr>
        <w:t xml:space="preserve">existing </w:t>
      </w:r>
      <w:r>
        <w:t xml:space="preserve">users </w:t>
      </w:r>
      <w:r>
        <w:rPr>
          <w:spacing w:val="-2"/>
        </w:rPr>
        <w:t>are</w:t>
      </w:r>
      <w:r>
        <w:rPr>
          <w:spacing w:val="-1"/>
        </w:rPr>
        <w:t xml:space="preserve"> </w:t>
      </w:r>
      <w:r>
        <w:t xml:space="preserve">not </w:t>
      </w:r>
      <w:r>
        <w:rPr>
          <w:spacing w:val="-1"/>
        </w:rPr>
        <w:t xml:space="preserve">expected </w:t>
      </w:r>
      <w:r>
        <w:t>to fully</w:t>
      </w:r>
      <w:r>
        <w:rPr>
          <w:spacing w:val="-1"/>
        </w:rPr>
        <w:t xml:space="preserve"> </w:t>
      </w:r>
      <w:r>
        <w:t>utilise or</w:t>
      </w:r>
      <w:r>
        <w:rPr>
          <w:spacing w:val="-1"/>
        </w:rPr>
        <w:t xml:space="preserve"> </w:t>
      </w:r>
      <w:r>
        <w:t xml:space="preserve">benefit </w:t>
      </w:r>
      <w:r>
        <w:rPr>
          <w:spacing w:val="-1"/>
        </w:rPr>
        <w:t>from</w:t>
      </w:r>
      <w:r>
        <w:t xml:space="preserve"> the</w:t>
      </w:r>
      <w:r>
        <w:rPr>
          <w:spacing w:val="-1"/>
        </w:rPr>
        <w:t xml:space="preserve"> </w:t>
      </w:r>
      <w:r>
        <w:t>investment.</w:t>
      </w:r>
    </w:p>
    <w:p w:rsidR="00D96B91" w:rsidRDefault="00C2656B">
      <w:pPr>
        <w:pStyle w:val="BodyText"/>
        <w:numPr>
          <w:ilvl w:val="0"/>
          <w:numId w:val="131"/>
        </w:numPr>
        <w:tabs>
          <w:tab w:val="left" w:pos="1531"/>
        </w:tabs>
        <w:spacing w:before="85" w:line="250" w:lineRule="exact"/>
        <w:ind w:right="1353" w:hanging="283"/>
        <w:jc w:val="both"/>
      </w:pPr>
      <w:r>
        <w:t>Aligning</w:t>
      </w:r>
      <w:r>
        <w:rPr>
          <w:spacing w:val="-1"/>
        </w:rPr>
        <w:t xml:space="preserve"> </w:t>
      </w:r>
      <w:r>
        <w:t xml:space="preserve">the </w:t>
      </w:r>
      <w:r>
        <w:rPr>
          <w:spacing w:val="-1"/>
        </w:rPr>
        <w:t xml:space="preserve">profile </w:t>
      </w:r>
      <w:r>
        <w:t>of</w:t>
      </w:r>
      <w:r>
        <w:rPr>
          <w:spacing w:val="4"/>
        </w:rPr>
        <w:t xml:space="preserve"> </w:t>
      </w:r>
      <w:r>
        <w:t>capital</w:t>
      </w:r>
      <w:r>
        <w:rPr>
          <w:spacing w:val="-1"/>
        </w:rPr>
        <w:t xml:space="preserve"> </w:t>
      </w:r>
      <w:r>
        <w:t xml:space="preserve">cost </w:t>
      </w:r>
      <w:r>
        <w:rPr>
          <w:spacing w:val="-1"/>
        </w:rPr>
        <w:t xml:space="preserve">(depreciation </w:t>
      </w:r>
      <w:r>
        <w:t>plus a</w:t>
      </w:r>
      <w:r>
        <w:rPr>
          <w:spacing w:val="-1"/>
        </w:rPr>
        <w:t xml:space="preserve"> return</w:t>
      </w:r>
      <w:r>
        <w:t xml:space="preserve"> on</w:t>
      </w:r>
      <w:r>
        <w:rPr>
          <w:spacing w:val="-1"/>
        </w:rPr>
        <w:t xml:space="preserve"> </w:t>
      </w:r>
      <w:r>
        <w:t xml:space="preserve">capital) </w:t>
      </w:r>
      <w:r>
        <w:rPr>
          <w:spacing w:val="-1"/>
        </w:rPr>
        <w:t xml:space="preserve">recovery </w:t>
      </w:r>
      <w:r>
        <w:t>with the</w:t>
      </w:r>
      <w:r>
        <w:rPr>
          <w:spacing w:val="-1"/>
        </w:rPr>
        <w:t xml:space="preserve"> profile</w:t>
      </w:r>
      <w:r>
        <w:t xml:space="preserve"> of</w:t>
      </w:r>
      <w:r>
        <w:rPr>
          <w:spacing w:val="39"/>
        </w:rPr>
        <w:t xml:space="preserve"> </w:t>
      </w:r>
      <w:r>
        <w:t>the</w:t>
      </w:r>
      <w:r>
        <w:rPr>
          <w:spacing w:val="-1"/>
        </w:rPr>
        <w:t xml:space="preserve"> </w:t>
      </w:r>
      <w:r>
        <w:t>benefits</w:t>
      </w:r>
      <w:r>
        <w:rPr>
          <w:spacing w:val="-1"/>
        </w:rPr>
        <w:t xml:space="preserve"> </w:t>
      </w:r>
      <w:r>
        <w:t xml:space="preserve">customers </w:t>
      </w:r>
      <w:r>
        <w:rPr>
          <w:spacing w:val="-2"/>
        </w:rPr>
        <w:t>are</w:t>
      </w:r>
      <w:r>
        <w:rPr>
          <w:spacing w:val="-1"/>
        </w:rPr>
        <w:t xml:space="preserve"> expected</w:t>
      </w:r>
      <w:r>
        <w:t xml:space="preserve"> to</w:t>
      </w:r>
      <w:r>
        <w:rPr>
          <w:spacing w:val="-1"/>
        </w:rPr>
        <w:t xml:space="preserve"> </w:t>
      </w:r>
      <w:r>
        <w:t>derive over</w:t>
      </w:r>
      <w:r>
        <w:rPr>
          <w:spacing w:val="-1"/>
        </w:rPr>
        <w:t xml:space="preserve"> </w:t>
      </w:r>
      <w:r>
        <w:t>the economic</w:t>
      </w:r>
      <w:r>
        <w:rPr>
          <w:spacing w:val="-1"/>
        </w:rPr>
        <w:t xml:space="preserve"> </w:t>
      </w:r>
      <w:r>
        <w:t>life of</w:t>
      </w:r>
      <w:r>
        <w:rPr>
          <w:spacing w:val="3"/>
        </w:rPr>
        <w:t xml:space="preserve"> </w:t>
      </w:r>
      <w:r>
        <w:t>the asset</w:t>
      </w:r>
      <w:r>
        <w:rPr>
          <w:spacing w:val="-1"/>
        </w:rPr>
        <w:t xml:space="preserve"> </w:t>
      </w:r>
      <w:r>
        <w:t>(eg,</w:t>
      </w:r>
      <w:r>
        <w:rPr>
          <w:spacing w:val="-7"/>
        </w:rPr>
        <w:t xml:space="preserve"> </w:t>
      </w:r>
      <w:r>
        <w:rPr>
          <w:spacing w:val="-1"/>
        </w:rPr>
        <w:t>through</w:t>
      </w:r>
      <w:r>
        <w:t xml:space="preserve"> a</w:t>
      </w:r>
      <w:r>
        <w:rPr>
          <w:spacing w:val="-1"/>
        </w:rPr>
        <w:t xml:space="preserve"> flat</w:t>
      </w:r>
      <w:r>
        <w:rPr>
          <w:spacing w:val="27"/>
        </w:rPr>
        <w:t xml:space="preserve"> </w:t>
      </w:r>
      <w:r>
        <w:t>(annuity),</w:t>
      </w:r>
      <w:r>
        <w:rPr>
          <w:spacing w:val="-7"/>
        </w:rPr>
        <w:t xml:space="preserve"> </w:t>
      </w:r>
      <w:r>
        <w:t>inclining</w:t>
      </w:r>
      <w:r>
        <w:rPr>
          <w:spacing w:val="-1"/>
        </w:rPr>
        <w:t xml:space="preserve"> </w:t>
      </w:r>
      <w:r>
        <w:t>or</w:t>
      </w:r>
      <w:r>
        <w:rPr>
          <w:spacing w:val="-1"/>
        </w:rPr>
        <w:t xml:space="preserve"> </w:t>
      </w:r>
      <w:r>
        <w:t>declining capital</w:t>
      </w:r>
      <w:r>
        <w:rPr>
          <w:spacing w:val="-1"/>
        </w:rPr>
        <w:t xml:space="preserve"> </w:t>
      </w:r>
      <w:r>
        <w:t>cost</w:t>
      </w:r>
      <w:r>
        <w:rPr>
          <w:spacing w:val="-1"/>
        </w:rPr>
        <w:t xml:space="preserve"> recovery profile).</w:t>
      </w:r>
    </w:p>
    <w:p w:rsidR="00D96B91" w:rsidRDefault="00C2656B">
      <w:pPr>
        <w:pStyle w:val="BodyText"/>
        <w:numPr>
          <w:ilvl w:val="0"/>
          <w:numId w:val="131"/>
        </w:numPr>
        <w:tabs>
          <w:tab w:val="left" w:pos="1531"/>
        </w:tabs>
        <w:spacing w:before="85" w:line="250" w:lineRule="exact"/>
        <w:ind w:right="1312" w:hanging="283"/>
      </w:pPr>
      <w:r>
        <w:t>Aligning</w:t>
      </w:r>
      <w:r>
        <w:rPr>
          <w:spacing w:val="-2"/>
        </w:rPr>
        <w:t xml:space="preserve"> </w:t>
      </w:r>
      <w:r>
        <w:t>the</w:t>
      </w:r>
      <w:r>
        <w:rPr>
          <w:spacing w:val="-1"/>
        </w:rPr>
        <w:t xml:space="preserve"> depreciation profile </w:t>
      </w:r>
      <w:r>
        <w:t>with</w:t>
      </w:r>
      <w:r>
        <w:rPr>
          <w:spacing w:val="-1"/>
        </w:rPr>
        <w:t xml:space="preserve"> </w:t>
      </w:r>
      <w:r>
        <w:t>the</w:t>
      </w:r>
      <w:r>
        <w:rPr>
          <w:spacing w:val="-1"/>
        </w:rPr>
        <w:t xml:space="preserve"> profile </w:t>
      </w:r>
      <w:r>
        <w:t>of</w:t>
      </w:r>
      <w:r>
        <w:rPr>
          <w:spacing w:val="3"/>
        </w:rPr>
        <w:t xml:space="preserve"> </w:t>
      </w:r>
      <w:r>
        <w:t>the</w:t>
      </w:r>
      <w:r>
        <w:rPr>
          <w:spacing w:val="-1"/>
        </w:rPr>
        <w:t xml:space="preserve"> </w:t>
      </w:r>
      <w:r>
        <w:t>benefits</w:t>
      </w:r>
      <w:r>
        <w:rPr>
          <w:spacing w:val="-1"/>
        </w:rPr>
        <w:t xml:space="preserve"> </w:t>
      </w:r>
      <w:r>
        <w:t>customers</w:t>
      </w:r>
      <w:r>
        <w:rPr>
          <w:spacing w:val="-1"/>
        </w:rPr>
        <w:t xml:space="preserve"> </w:t>
      </w:r>
      <w:r>
        <w:rPr>
          <w:spacing w:val="-2"/>
        </w:rPr>
        <w:t xml:space="preserve">are </w:t>
      </w:r>
      <w:r>
        <w:rPr>
          <w:spacing w:val="-1"/>
        </w:rPr>
        <w:t xml:space="preserve">expected </w:t>
      </w:r>
      <w:r>
        <w:t>to</w:t>
      </w:r>
      <w:r>
        <w:rPr>
          <w:spacing w:val="-1"/>
        </w:rPr>
        <w:t xml:space="preserve"> </w:t>
      </w:r>
      <w:r>
        <w:t>derive</w:t>
      </w:r>
      <w:r>
        <w:rPr>
          <w:spacing w:val="41"/>
        </w:rPr>
        <w:t xml:space="preserve"> </w:t>
      </w:r>
      <w:r>
        <w:t>over the economic life of</w:t>
      </w:r>
      <w:r>
        <w:rPr>
          <w:spacing w:val="4"/>
        </w:rPr>
        <w:t xml:space="preserve"> </w:t>
      </w:r>
      <w:r>
        <w:t>the asset (eg,</w:t>
      </w:r>
      <w:r>
        <w:rPr>
          <w:spacing w:val="-7"/>
        </w:rPr>
        <w:t xml:space="preserve"> </w:t>
      </w:r>
      <w:r>
        <w:rPr>
          <w:spacing w:val="-1"/>
        </w:rPr>
        <w:t>through</w:t>
      </w:r>
      <w:r>
        <w:t xml:space="preserve"> a </w:t>
      </w:r>
      <w:r>
        <w:rPr>
          <w:spacing w:val="-1"/>
        </w:rPr>
        <w:t>straight</w:t>
      </w:r>
      <w:r>
        <w:t xml:space="preserve"> line,</w:t>
      </w:r>
      <w:r>
        <w:rPr>
          <w:spacing w:val="-6"/>
        </w:rPr>
        <w:t xml:space="preserve"> </w:t>
      </w:r>
      <w:r>
        <w:rPr>
          <w:spacing w:val="-1"/>
        </w:rPr>
        <w:t>back-end</w:t>
      </w:r>
      <w:r>
        <w:t xml:space="preserve"> loaded or </w:t>
      </w:r>
      <w:r>
        <w:rPr>
          <w:spacing w:val="-1"/>
        </w:rPr>
        <w:t>front-end</w:t>
      </w:r>
      <w:r>
        <w:t xml:space="preserve"> loaded</w:t>
      </w:r>
      <w:r>
        <w:rPr>
          <w:spacing w:val="33"/>
        </w:rPr>
        <w:t xml:space="preserve"> </w:t>
      </w:r>
      <w:r>
        <w:rPr>
          <w:spacing w:val="-1"/>
        </w:rPr>
        <w:t>depreciation</w:t>
      </w:r>
      <w:r>
        <w:rPr>
          <w:spacing w:val="-6"/>
        </w:rPr>
        <w:t xml:space="preserve"> </w:t>
      </w:r>
      <w:r>
        <w:rPr>
          <w:spacing w:val="-1"/>
        </w:rPr>
        <w:t>profile).</w:t>
      </w:r>
    </w:p>
    <w:p w:rsidR="00D96B91" w:rsidRDefault="00D96B91">
      <w:pPr>
        <w:rPr>
          <w:rFonts w:ascii="Avenir Next" w:eastAsia="Avenir Next" w:hAnsi="Avenir Next" w:cs="Avenir Next"/>
          <w:sz w:val="16"/>
          <w:szCs w:val="16"/>
        </w:rPr>
      </w:pPr>
    </w:p>
    <w:p w:rsidR="00D96B91" w:rsidRDefault="00C2656B">
      <w:pPr>
        <w:pStyle w:val="BodyText"/>
        <w:spacing w:line="260" w:lineRule="exact"/>
        <w:ind w:right="1256"/>
      </w:pPr>
      <w:r>
        <w:rPr>
          <w:spacing w:val="-2"/>
        </w:rPr>
        <w:t>The</w:t>
      </w:r>
      <w:r>
        <w:t xml:space="preserve"> </w:t>
      </w:r>
      <w:r>
        <w:rPr>
          <w:spacing w:val="-1"/>
        </w:rPr>
        <w:t>remainder</w:t>
      </w:r>
      <w:r>
        <w:t xml:space="preserve"> of</w:t>
      </w:r>
      <w:r>
        <w:rPr>
          <w:spacing w:val="4"/>
        </w:rPr>
        <w:t xml:space="preserve"> </w:t>
      </w:r>
      <w:r>
        <w:t xml:space="preserve">this appendix </w:t>
      </w:r>
      <w:r>
        <w:rPr>
          <w:spacing w:val="-1"/>
        </w:rPr>
        <w:t>provides</w:t>
      </w:r>
      <w:r>
        <w:t xml:space="preserve"> some </w:t>
      </w:r>
      <w:r>
        <w:rPr>
          <w:spacing w:val="-1"/>
        </w:rPr>
        <w:t>examples</w:t>
      </w:r>
      <w:r>
        <w:t xml:space="preserve"> of</w:t>
      </w:r>
      <w:r>
        <w:rPr>
          <w:spacing w:val="4"/>
        </w:rPr>
        <w:t xml:space="preserve"> </w:t>
      </w:r>
      <w:r>
        <w:rPr>
          <w:spacing w:val="-1"/>
        </w:rPr>
        <w:t>regulatory</w:t>
      </w:r>
      <w:r>
        <w:t xml:space="preserve"> and policy decisions </w:t>
      </w:r>
      <w:r>
        <w:rPr>
          <w:spacing w:val="-1"/>
        </w:rPr>
        <w:t>that</w:t>
      </w:r>
      <w:r>
        <w:t xml:space="preserve"> have</w:t>
      </w:r>
      <w:r>
        <w:rPr>
          <w:spacing w:val="45"/>
        </w:rPr>
        <w:t xml:space="preserve"> </w:t>
      </w:r>
      <w:r>
        <w:t>used these techniques.</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rPr>
          <w:rFonts w:cs="Avenir Next Medium"/>
        </w:rPr>
      </w:pPr>
      <w:r>
        <w:rPr>
          <w:color w:val="0778BE"/>
        </w:rPr>
        <w:t>A7.</w:t>
      </w:r>
      <w:r>
        <w:rPr>
          <w:color w:val="0778BE"/>
          <w:spacing w:val="-9"/>
        </w:rPr>
        <w:t xml:space="preserve"> </w:t>
      </w:r>
      <w:r>
        <w:rPr>
          <w:color w:val="0778BE"/>
        </w:rPr>
        <w:t>1</w:t>
      </w:r>
      <w:r>
        <w:rPr>
          <w:color w:val="0778BE"/>
        </w:rPr>
        <w:tab/>
      </w:r>
      <w:r>
        <w:rPr>
          <w:color w:val="0778BE"/>
          <w:spacing w:val="-1"/>
        </w:rPr>
        <w:t>Long-term</w:t>
      </w:r>
      <w:r>
        <w:rPr>
          <w:color w:val="0778BE"/>
        </w:rPr>
        <w:t xml:space="preserve"> smooth price </w:t>
      </w:r>
      <w:r>
        <w:rPr>
          <w:color w:val="0778BE"/>
          <w:spacing w:val="-1"/>
        </w:rPr>
        <w:t>path</w:t>
      </w:r>
    </w:p>
    <w:p w:rsidR="00D96B91" w:rsidRDefault="00C2656B">
      <w:pPr>
        <w:pStyle w:val="BodyText"/>
        <w:spacing w:before="55" w:line="260" w:lineRule="exact"/>
        <w:ind w:right="1356"/>
      </w:pPr>
      <w:r>
        <w:rPr>
          <w:spacing w:val="-1"/>
        </w:rPr>
        <w:t>This</w:t>
      </w:r>
      <w:r>
        <w:t xml:space="preserve"> technique has been used in a number of</w:t>
      </w:r>
      <w:r>
        <w:rPr>
          <w:spacing w:val="4"/>
        </w:rPr>
        <w:t xml:space="preserve"> </w:t>
      </w:r>
      <w:r>
        <w:rPr>
          <w:spacing w:val="-1"/>
        </w:rPr>
        <w:t>regulated</w:t>
      </w:r>
      <w:r>
        <w:t xml:space="preserve"> and </w:t>
      </w:r>
      <w:r>
        <w:rPr>
          <w:spacing w:val="-1"/>
        </w:rPr>
        <w:t>unregulated</w:t>
      </w:r>
      <w:r>
        <w:t xml:space="preserve"> industries to </w:t>
      </w:r>
      <w:r>
        <w:rPr>
          <w:spacing w:val="-1"/>
        </w:rPr>
        <w:t>ensure</w:t>
      </w:r>
      <w:r>
        <w:t xml:space="preserve"> </w:t>
      </w:r>
      <w:r>
        <w:rPr>
          <w:spacing w:val="-1"/>
        </w:rPr>
        <w:t>that</w:t>
      </w:r>
      <w:r>
        <w:rPr>
          <w:spacing w:val="23"/>
        </w:rPr>
        <w:t xml:space="preserve"> </w:t>
      </w:r>
      <w:r>
        <w:rPr>
          <w:spacing w:val="-1"/>
        </w:rPr>
        <w:t>existing</w:t>
      </w:r>
      <w:r>
        <w:t xml:space="preserve"> customers (or initial customers of</w:t>
      </w:r>
      <w:r>
        <w:rPr>
          <w:spacing w:val="4"/>
        </w:rPr>
        <w:t xml:space="preserve"> </w:t>
      </w:r>
      <w:r>
        <w:t xml:space="preserve">a new asset) do not </w:t>
      </w:r>
      <w:r>
        <w:rPr>
          <w:spacing w:val="-1"/>
        </w:rPr>
        <w:t>bear</w:t>
      </w:r>
      <w:r>
        <w:t xml:space="preserve"> a </w:t>
      </w:r>
      <w:r>
        <w:rPr>
          <w:spacing w:val="-1"/>
        </w:rPr>
        <w:t>disproportionate</w:t>
      </w:r>
      <w:r>
        <w:t xml:space="preserve"> </w:t>
      </w:r>
      <w:r>
        <w:rPr>
          <w:spacing w:val="-1"/>
        </w:rPr>
        <w:t>share</w:t>
      </w:r>
      <w:r>
        <w:t xml:space="preserve"> of</w:t>
      </w:r>
      <w:r>
        <w:rPr>
          <w:spacing w:val="4"/>
        </w:rPr>
        <w:t xml:space="preserve"> </w:t>
      </w:r>
      <w:r>
        <w:t>the</w:t>
      </w:r>
      <w:r>
        <w:rPr>
          <w:spacing w:val="33"/>
        </w:rPr>
        <w:t xml:space="preserve"> </w:t>
      </w:r>
      <w:r>
        <w:t xml:space="preserve">costs </w:t>
      </w:r>
      <w:r>
        <w:rPr>
          <w:spacing w:val="-1"/>
        </w:rPr>
        <w:t>associated</w:t>
      </w:r>
      <w:r>
        <w:t xml:space="preserve"> with the investment by smoothing the </w:t>
      </w:r>
      <w:r>
        <w:rPr>
          <w:spacing w:val="-1"/>
        </w:rPr>
        <w:t>recovery</w:t>
      </w:r>
      <w:r>
        <w:t xml:space="preserve"> of</w:t>
      </w:r>
      <w:r>
        <w:rPr>
          <w:spacing w:val="4"/>
        </w:rPr>
        <w:t xml:space="preserve"> </w:t>
      </w:r>
      <w:r>
        <w:t>capital and other costs over a long</w:t>
      </w:r>
      <w:r>
        <w:rPr>
          <w:spacing w:val="23"/>
        </w:rPr>
        <w:t xml:space="preserve"> </w:t>
      </w:r>
      <w:r>
        <w:t>period.</w:t>
      </w:r>
      <w:r>
        <w:rPr>
          <w:spacing w:val="-6"/>
        </w:rPr>
        <w:t xml:space="preserve"> </w:t>
      </w:r>
      <w:r>
        <w:t xml:space="preserve">Some </w:t>
      </w:r>
      <w:r>
        <w:rPr>
          <w:spacing w:val="-1"/>
        </w:rPr>
        <w:t>recent</w:t>
      </w:r>
      <w:r>
        <w:t xml:space="preserve"> </w:t>
      </w:r>
      <w:r>
        <w:rPr>
          <w:spacing w:val="-1"/>
        </w:rPr>
        <w:t>examples</w:t>
      </w:r>
      <w:r>
        <w:t xml:space="preserve"> </w:t>
      </w:r>
      <w:r>
        <w:rPr>
          <w:spacing w:val="-2"/>
        </w:rPr>
        <w:t>are</w:t>
      </w:r>
      <w:r>
        <w:t xml:space="preserve"> set out </w:t>
      </w:r>
      <w:r>
        <w:rPr>
          <w:spacing w:val="-2"/>
        </w:rPr>
        <w:t>below.</w:t>
      </w:r>
    </w:p>
    <w:p w:rsidR="00D96B91" w:rsidRDefault="00D96B91">
      <w:pPr>
        <w:spacing w:before="6"/>
        <w:rPr>
          <w:rFonts w:ascii="Avenir Next" w:eastAsia="Avenir Next" w:hAnsi="Avenir Next" w:cs="Avenir Next"/>
          <w:sz w:val="20"/>
          <w:szCs w:val="20"/>
        </w:rPr>
      </w:pPr>
    </w:p>
    <w:p w:rsidR="00D96B91" w:rsidRDefault="00C2656B">
      <w:pPr>
        <w:pStyle w:val="Heading5"/>
        <w:rPr>
          <w:b w:val="0"/>
          <w:bCs w:val="0"/>
        </w:rPr>
      </w:pPr>
      <w:r>
        <w:rPr>
          <w:color w:val="0778BE"/>
        </w:rPr>
        <w:t xml:space="preserve">20 </w:t>
      </w:r>
      <w:r>
        <w:rPr>
          <w:color w:val="0778BE"/>
          <w:spacing w:val="-1"/>
        </w:rPr>
        <w:t>year</w:t>
      </w:r>
      <w:r>
        <w:rPr>
          <w:color w:val="0778BE"/>
        </w:rPr>
        <w:t xml:space="preserve"> price </w:t>
      </w:r>
      <w:r>
        <w:rPr>
          <w:color w:val="0778BE"/>
          <w:spacing w:val="-1"/>
        </w:rPr>
        <w:t>path</w:t>
      </w:r>
      <w:r>
        <w:rPr>
          <w:color w:val="0778BE"/>
        </w:rPr>
        <w:t xml:space="preserve"> for SE Queensland bulk </w:t>
      </w:r>
      <w:r>
        <w:rPr>
          <w:color w:val="0778BE"/>
          <w:spacing w:val="-1"/>
        </w:rPr>
        <w:t>water</w:t>
      </w:r>
      <w:r>
        <w:rPr>
          <w:color w:val="0778BE"/>
        </w:rPr>
        <w:t xml:space="preserve"> supply system</w:t>
      </w:r>
    </w:p>
    <w:p w:rsidR="00D96B91" w:rsidRDefault="00C2656B">
      <w:pPr>
        <w:pStyle w:val="BodyText"/>
        <w:spacing w:before="21" w:line="260" w:lineRule="exact"/>
        <w:ind w:right="1245"/>
      </w:pPr>
      <w:r>
        <w:t xml:space="preserve">Between 2007 and 2012 the Queensland Government invested </w:t>
      </w:r>
      <w:r>
        <w:rPr>
          <w:spacing w:val="-1"/>
        </w:rPr>
        <w:t>approximately</w:t>
      </w:r>
      <w:r>
        <w:t xml:space="preserve"> $6 billion in the</w:t>
      </w:r>
      <w:r>
        <w:rPr>
          <w:spacing w:val="26"/>
        </w:rPr>
        <w:t xml:space="preserve"> </w:t>
      </w:r>
      <w:r>
        <w:t>development</w:t>
      </w:r>
      <w:r>
        <w:rPr>
          <w:spacing w:val="-1"/>
        </w:rPr>
        <w:t xml:space="preserve"> </w:t>
      </w:r>
      <w:r>
        <w:t>of</w:t>
      </w:r>
      <w:r>
        <w:rPr>
          <w:spacing w:val="4"/>
        </w:rPr>
        <w:t xml:space="preserve"> </w:t>
      </w:r>
      <w:r>
        <w:t>the</w:t>
      </w:r>
      <w:r>
        <w:rPr>
          <w:spacing w:val="-1"/>
        </w:rPr>
        <w:t xml:space="preserve"> </w:t>
      </w:r>
      <w:r>
        <w:t>South</w:t>
      </w:r>
      <w:r>
        <w:rPr>
          <w:spacing w:val="-1"/>
        </w:rPr>
        <w:t xml:space="preserve"> </w:t>
      </w:r>
      <w:r>
        <w:t>East</w:t>
      </w:r>
      <w:r>
        <w:rPr>
          <w:spacing w:val="-1"/>
        </w:rPr>
        <w:t xml:space="preserve"> </w:t>
      </w:r>
      <w:r>
        <w:t>Queensland</w:t>
      </w:r>
      <w:r>
        <w:rPr>
          <w:spacing w:val="-1"/>
        </w:rPr>
        <w:t xml:space="preserve"> </w:t>
      </w:r>
      <w:r>
        <w:t>bulk</w:t>
      </w:r>
      <w:r>
        <w:rPr>
          <w:spacing w:val="-1"/>
        </w:rPr>
        <w:t xml:space="preserve"> water </w:t>
      </w:r>
      <w:r>
        <w:t>supply</w:t>
      </w:r>
      <w:r>
        <w:rPr>
          <w:spacing w:val="-1"/>
        </w:rPr>
        <w:t xml:space="preserve"> </w:t>
      </w:r>
      <w:r>
        <w:t>system,</w:t>
      </w:r>
      <w:r>
        <w:rPr>
          <w:spacing w:val="-7"/>
        </w:rPr>
        <w:t xml:space="preserve"> </w:t>
      </w:r>
      <w:r>
        <w:t>which</w:t>
      </w:r>
      <w:r>
        <w:rPr>
          <w:spacing w:val="-1"/>
        </w:rPr>
        <w:t xml:space="preserve"> </w:t>
      </w:r>
      <w:r>
        <w:t>included</w:t>
      </w:r>
      <w:r>
        <w:rPr>
          <w:spacing w:val="-1"/>
        </w:rPr>
        <w:t xml:space="preserve"> </w:t>
      </w:r>
      <w:r>
        <w:t>the</w:t>
      </w:r>
      <w:r>
        <w:rPr>
          <w:spacing w:val="-1"/>
        </w:rPr>
        <w:t xml:space="preserve"> </w:t>
      </w:r>
      <w:r>
        <w:t>development</w:t>
      </w:r>
      <w:r>
        <w:rPr>
          <w:spacing w:val="23"/>
        </w:rPr>
        <w:t xml:space="preserve"> </w:t>
      </w:r>
      <w:r>
        <w:t>of</w:t>
      </w:r>
      <w:r>
        <w:rPr>
          <w:spacing w:val="4"/>
        </w:rPr>
        <w:t xml:space="preserve"> </w:t>
      </w:r>
      <w:r>
        <w:t xml:space="preserve">a </w:t>
      </w:r>
      <w:r>
        <w:rPr>
          <w:spacing w:val="-1"/>
        </w:rPr>
        <w:t>desalination</w:t>
      </w:r>
      <w:r>
        <w:t xml:space="preserve"> plant,</w:t>
      </w:r>
      <w:r>
        <w:rPr>
          <w:spacing w:val="-6"/>
        </w:rPr>
        <w:t xml:space="preserve"> </w:t>
      </w:r>
      <w:r>
        <w:t xml:space="preserve">the </w:t>
      </w:r>
      <w:r>
        <w:rPr>
          <w:spacing w:val="-1"/>
        </w:rPr>
        <w:t>Recycled</w:t>
      </w:r>
      <w:r>
        <w:rPr>
          <w:spacing w:val="-3"/>
        </w:rPr>
        <w:t xml:space="preserve"> </w:t>
      </w:r>
      <w:r>
        <w:rPr>
          <w:spacing w:val="-2"/>
        </w:rPr>
        <w:t>Water</w:t>
      </w:r>
      <w:r>
        <w:t xml:space="preserve"> Scheme and a number of</w:t>
      </w:r>
      <w:r>
        <w:rPr>
          <w:spacing w:val="4"/>
        </w:rPr>
        <w:t xml:space="preserve"> </w:t>
      </w:r>
      <w:r>
        <w:t>pipelines.</w:t>
      </w:r>
    </w:p>
    <w:p w:rsidR="00D96B91" w:rsidRDefault="00C2656B">
      <w:pPr>
        <w:pStyle w:val="BodyText"/>
        <w:spacing w:before="170" w:line="260" w:lineRule="exact"/>
        <w:ind w:right="1390"/>
        <w:rPr>
          <w:rFonts w:cs="Avenir Next"/>
        </w:rPr>
      </w:pPr>
      <w:r>
        <w:rPr>
          <w:spacing w:val="-10"/>
        </w:rPr>
        <w:t>To</w:t>
      </w:r>
      <w:r>
        <w:t xml:space="preserve"> </w:t>
      </w:r>
      <w:r>
        <w:rPr>
          <w:spacing w:val="-1"/>
        </w:rPr>
        <w:t>ensure</w:t>
      </w:r>
      <w:r>
        <w:t xml:space="preserve"> the costs of</w:t>
      </w:r>
      <w:r>
        <w:rPr>
          <w:spacing w:val="4"/>
        </w:rPr>
        <w:t xml:space="preserve"> </w:t>
      </w:r>
      <w:r>
        <w:t xml:space="preserve">this once in a </w:t>
      </w:r>
      <w:r>
        <w:rPr>
          <w:spacing w:val="-1"/>
        </w:rPr>
        <w:t>generation</w:t>
      </w:r>
      <w:r>
        <w:t xml:space="preserve"> investment </w:t>
      </w:r>
      <w:r>
        <w:rPr>
          <w:spacing w:val="-1"/>
        </w:rPr>
        <w:t>were</w:t>
      </w:r>
      <w:r>
        <w:t xml:space="preserve"> not unduly borne by </w:t>
      </w:r>
      <w:r>
        <w:rPr>
          <w:spacing w:val="-1"/>
        </w:rPr>
        <w:t>current</w:t>
      </w:r>
      <w:r>
        <w:rPr>
          <w:spacing w:val="21"/>
        </w:rPr>
        <w:t xml:space="preserve"> </w:t>
      </w:r>
      <w:r>
        <w:t>customers,</w:t>
      </w:r>
      <w:r>
        <w:rPr>
          <w:spacing w:val="-6"/>
        </w:rPr>
        <w:t xml:space="preserve"> </w:t>
      </w:r>
      <w:r>
        <w:t xml:space="preserve">the Queensland Government decided in 2008 to implement a 20 </w:t>
      </w:r>
      <w:r>
        <w:rPr>
          <w:spacing w:val="-1"/>
        </w:rPr>
        <w:t>year</w:t>
      </w:r>
      <w:r>
        <w:t xml:space="preserve"> bulk </w:t>
      </w:r>
      <w:r>
        <w:rPr>
          <w:spacing w:val="-1"/>
        </w:rPr>
        <w:t>water</w:t>
      </w:r>
      <w:r>
        <w:t xml:space="preserve"> price</w:t>
      </w:r>
      <w:r>
        <w:rPr>
          <w:spacing w:val="25"/>
        </w:rPr>
        <w:t xml:space="preserve"> </w:t>
      </w:r>
      <w:r>
        <w:rPr>
          <w:spacing w:val="-1"/>
        </w:rPr>
        <w:t>path</w:t>
      </w:r>
      <w:r>
        <w:t xml:space="preserve"> commencing in 2008-09.</w:t>
      </w:r>
      <w:r>
        <w:rPr>
          <w:spacing w:val="-11"/>
        </w:rPr>
        <w:t xml:space="preserve"> </w:t>
      </w:r>
      <w:r>
        <w:rPr>
          <w:spacing w:val="-1"/>
        </w:rPr>
        <w:t>This</w:t>
      </w:r>
      <w:r>
        <w:t xml:space="preserve"> price </w:t>
      </w:r>
      <w:r>
        <w:rPr>
          <w:spacing w:val="-1"/>
        </w:rPr>
        <w:t>path</w:t>
      </w:r>
      <w:r>
        <w:t xml:space="preserve"> </w:t>
      </w:r>
      <w:r>
        <w:rPr>
          <w:spacing w:val="-1"/>
        </w:rPr>
        <w:t>provides</w:t>
      </w:r>
      <w:r>
        <w:t xml:space="preserve"> for bulk </w:t>
      </w:r>
      <w:r>
        <w:rPr>
          <w:spacing w:val="-1"/>
        </w:rPr>
        <w:t>water</w:t>
      </w:r>
      <w:r>
        <w:t xml:space="preserve"> prices to rise in </w:t>
      </w:r>
      <w:r>
        <w:rPr>
          <w:spacing w:val="-2"/>
        </w:rPr>
        <w:t>real</w:t>
      </w:r>
      <w:r>
        <w:t xml:space="preserve"> terms over</w:t>
      </w:r>
      <w:r>
        <w:rPr>
          <w:spacing w:val="27"/>
        </w:rPr>
        <w:t xml:space="preserve"> </w:t>
      </w:r>
      <w:r>
        <w:t>the</w:t>
      </w:r>
      <w:r>
        <w:rPr>
          <w:spacing w:val="-1"/>
        </w:rPr>
        <w:t xml:space="preserve"> </w:t>
      </w:r>
      <w:r>
        <w:t>first ten</w:t>
      </w:r>
      <w:r>
        <w:rPr>
          <w:spacing w:val="-1"/>
        </w:rPr>
        <w:t xml:space="preserve"> years</w:t>
      </w:r>
      <w:r>
        <w:t xml:space="preserve"> and to</w:t>
      </w:r>
      <w:r>
        <w:rPr>
          <w:spacing w:val="-1"/>
        </w:rPr>
        <w:t xml:space="preserve"> remain</w:t>
      </w:r>
      <w:r>
        <w:t xml:space="preserve"> constant in</w:t>
      </w:r>
      <w:r>
        <w:rPr>
          <w:spacing w:val="-1"/>
        </w:rPr>
        <w:t xml:space="preserve"> </w:t>
      </w:r>
      <w:r>
        <w:rPr>
          <w:spacing w:val="-2"/>
        </w:rPr>
        <w:t>real</w:t>
      </w:r>
      <w:r>
        <w:t xml:space="preserve"> terms </w:t>
      </w:r>
      <w:r>
        <w:rPr>
          <w:spacing w:val="-2"/>
        </w:rPr>
        <w:t>thereafter.</w:t>
      </w:r>
      <w:r>
        <w:rPr>
          <w:spacing w:val="-12"/>
        </w:rPr>
        <w:t xml:space="preserve"> </w:t>
      </w:r>
      <w:r>
        <w:rPr>
          <w:spacing w:val="-2"/>
        </w:rPr>
        <w:t>The</w:t>
      </w:r>
      <w:r>
        <w:t xml:space="preserve"> prices to</w:t>
      </w:r>
      <w:r>
        <w:rPr>
          <w:spacing w:val="-1"/>
        </w:rPr>
        <w:t xml:space="preserve"> </w:t>
      </w:r>
      <w:r>
        <w:t>apply over the</w:t>
      </w:r>
      <w:r>
        <w:rPr>
          <w:spacing w:val="-1"/>
        </w:rPr>
        <w:t xml:space="preserve"> </w:t>
      </w:r>
      <w:r>
        <w:t>first 10</w:t>
      </w:r>
      <w:r>
        <w:rPr>
          <w:spacing w:val="25"/>
        </w:rPr>
        <w:t xml:space="preserve"> </w:t>
      </w:r>
      <w:r>
        <w:rPr>
          <w:spacing w:val="-1"/>
        </w:rPr>
        <w:t>years</w:t>
      </w:r>
      <w:r>
        <w:t xml:space="preserve"> of</w:t>
      </w:r>
      <w:r>
        <w:rPr>
          <w:spacing w:val="4"/>
        </w:rPr>
        <w:t xml:space="preserve"> </w:t>
      </w:r>
      <w:r>
        <w:t xml:space="preserve">this price </w:t>
      </w:r>
      <w:r>
        <w:rPr>
          <w:spacing w:val="-1"/>
        </w:rPr>
        <w:t>path</w:t>
      </w:r>
      <w:r>
        <w:t xml:space="preserve"> </w:t>
      </w:r>
      <w:r>
        <w:rPr>
          <w:spacing w:val="-1"/>
        </w:rPr>
        <w:t>were</w:t>
      </w:r>
      <w:r>
        <w:t xml:space="preserve"> not </w:t>
      </w:r>
      <w:r>
        <w:rPr>
          <w:spacing w:val="-1"/>
        </w:rPr>
        <w:t>expected</w:t>
      </w:r>
      <w:r>
        <w:t xml:space="preserve"> to </w:t>
      </w:r>
      <w:r>
        <w:rPr>
          <w:spacing w:val="-1"/>
        </w:rPr>
        <w:t>recover</w:t>
      </w:r>
      <w:r>
        <w:t xml:space="preserve"> the cost of</w:t>
      </w:r>
      <w:r>
        <w:rPr>
          <w:spacing w:val="4"/>
        </w:rPr>
        <w:t xml:space="preserve"> </w:t>
      </w:r>
      <w:r>
        <w:rPr>
          <w:spacing w:val="-2"/>
        </w:rPr>
        <w:t>supply,</w:t>
      </w:r>
      <w:r>
        <w:rPr>
          <w:spacing w:val="-6"/>
        </w:rPr>
        <w:t xml:space="preserve"> </w:t>
      </w:r>
      <w:r>
        <w:t xml:space="preserve">so </w:t>
      </w:r>
      <w:r>
        <w:rPr>
          <w:spacing w:val="-1"/>
        </w:rPr>
        <w:t>provision</w:t>
      </w:r>
      <w:r>
        <w:t xml:space="preserve"> was made for the</w:t>
      </w:r>
    </w:p>
    <w:p w:rsidR="00D96B91" w:rsidRDefault="00C2656B">
      <w:pPr>
        <w:pStyle w:val="BodyText"/>
        <w:spacing w:line="260" w:lineRule="exact"/>
        <w:ind w:right="1249"/>
      </w:pPr>
      <w:r>
        <w:rPr>
          <w:spacing w:val="-1"/>
        </w:rPr>
        <w:t>difference</w:t>
      </w:r>
      <w:r>
        <w:t xml:space="preserve"> between bulk </w:t>
      </w:r>
      <w:r>
        <w:rPr>
          <w:spacing w:val="-1"/>
        </w:rPr>
        <w:t>water</w:t>
      </w:r>
      <w:r>
        <w:t xml:space="preserve"> </w:t>
      </w:r>
      <w:r>
        <w:rPr>
          <w:spacing w:val="-1"/>
        </w:rPr>
        <w:t>revenue</w:t>
      </w:r>
      <w:r>
        <w:t xml:space="preserve"> and the cost of</w:t>
      </w:r>
      <w:r>
        <w:rPr>
          <w:spacing w:val="4"/>
        </w:rPr>
        <w:t xml:space="preserve"> </w:t>
      </w:r>
      <w:r>
        <w:t xml:space="preserve">supply to be funded by debt and </w:t>
      </w:r>
      <w:r>
        <w:rPr>
          <w:spacing w:val="-1"/>
        </w:rPr>
        <w:t>repaid</w:t>
      </w:r>
      <w:r>
        <w:t xml:space="preserve"> in </w:t>
      </w:r>
      <w:r>
        <w:rPr>
          <w:spacing w:val="-1"/>
        </w:rPr>
        <w:t>years</w:t>
      </w:r>
      <w:r>
        <w:rPr>
          <w:spacing w:val="25"/>
        </w:rPr>
        <w:t xml:space="preserve"> </w:t>
      </w:r>
      <w:r>
        <w:t xml:space="preserve">11-20 when demand is </w:t>
      </w:r>
      <w:r>
        <w:rPr>
          <w:spacing w:val="-1"/>
        </w:rPr>
        <w:t>expected</w:t>
      </w:r>
      <w:r>
        <w:t xml:space="preserve"> to </w:t>
      </w:r>
      <w:r>
        <w:rPr>
          <w:spacing w:val="-1"/>
        </w:rPr>
        <w:t>increase.</w:t>
      </w:r>
    </w:p>
    <w:p w:rsidR="00D96B91" w:rsidRDefault="00D96B91">
      <w:pPr>
        <w:spacing w:before="6"/>
        <w:rPr>
          <w:rFonts w:ascii="Avenir Next" w:eastAsia="Avenir Next" w:hAnsi="Avenir Next" w:cs="Avenir Next"/>
          <w:sz w:val="20"/>
          <w:szCs w:val="20"/>
        </w:rPr>
      </w:pPr>
    </w:p>
    <w:p w:rsidR="00D96B91" w:rsidRDefault="00C2656B">
      <w:pPr>
        <w:pStyle w:val="Heading5"/>
        <w:rPr>
          <w:b w:val="0"/>
          <w:bCs w:val="0"/>
        </w:rPr>
      </w:pPr>
      <w:r>
        <w:rPr>
          <w:color w:val="0778BE"/>
        </w:rPr>
        <w:t xml:space="preserve">NBN </w:t>
      </w:r>
      <w:r>
        <w:rPr>
          <w:color w:val="0778BE"/>
          <w:spacing w:val="-4"/>
        </w:rPr>
        <w:t>Co’s</w:t>
      </w:r>
      <w:r>
        <w:rPr>
          <w:color w:val="0778BE"/>
        </w:rPr>
        <w:t xml:space="preserve"> 30 </w:t>
      </w:r>
      <w:r>
        <w:rPr>
          <w:color w:val="0778BE"/>
          <w:spacing w:val="-1"/>
        </w:rPr>
        <w:t>year</w:t>
      </w:r>
      <w:r>
        <w:rPr>
          <w:color w:val="0778BE"/>
        </w:rPr>
        <w:t xml:space="preserve"> Special</w:t>
      </w:r>
      <w:r>
        <w:rPr>
          <w:color w:val="0778BE"/>
          <w:spacing w:val="-5"/>
        </w:rPr>
        <w:t xml:space="preserve"> </w:t>
      </w:r>
      <w:r>
        <w:rPr>
          <w:color w:val="0778BE"/>
        </w:rPr>
        <w:t xml:space="preserve">Access </w:t>
      </w:r>
      <w:r>
        <w:rPr>
          <w:color w:val="0778BE"/>
          <w:spacing w:val="-1"/>
        </w:rPr>
        <w:t>Undertaking</w:t>
      </w:r>
      <w:r>
        <w:rPr>
          <w:color w:val="0778BE"/>
        </w:rPr>
        <w:t xml:space="preserve"> </w:t>
      </w:r>
      <w:r>
        <w:rPr>
          <w:color w:val="0778BE"/>
          <w:spacing w:val="-1"/>
        </w:rPr>
        <w:t>(SAU)</w:t>
      </w:r>
    </w:p>
    <w:p w:rsidR="00D96B91" w:rsidRDefault="00C2656B">
      <w:pPr>
        <w:pStyle w:val="BodyText"/>
        <w:spacing w:before="19" w:line="250" w:lineRule="exact"/>
        <w:ind w:right="1256"/>
      </w:pPr>
      <w:r>
        <w:rPr>
          <w:spacing w:val="-2"/>
        </w:rPr>
        <w:t>The</w:t>
      </w:r>
      <w:r>
        <w:rPr>
          <w:spacing w:val="-1"/>
        </w:rPr>
        <w:t xml:space="preserve"> </w:t>
      </w:r>
      <w:r>
        <w:t xml:space="preserve">NBN </w:t>
      </w:r>
      <w:r>
        <w:rPr>
          <w:spacing w:val="-1"/>
        </w:rPr>
        <w:t>SAU</w:t>
      </w:r>
      <w:r>
        <w:t xml:space="preserve"> sets out the </w:t>
      </w:r>
      <w:r>
        <w:rPr>
          <w:spacing w:val="-1"/>
        </w:rPr>
        <w:t>regulatory regime</w:t>
      </w:r>
      <w:r>
        <w:t xml:space="preserve"> </w:t>
      </w:r>
      <w:r>
        <w:rPr>
          <w:spacing w:val="-1"/>
        </w:rPr>
        <w:t>that</w:t>
      </w:r>
      <w:r>
        <w:t xml:space="preserve"> will apply to NBN</w:t>
      </w:r>
      <w:r>
        <w:rPr>
          <w:spacing w:val="-1"/>
        </w:rPr>
        <w:t xml:space="preserve"> </w:t>
      </w:r>
      <w:r>
        <w:rPr>
          <w:spacing w:val="-2"/>
        </w:rPr>
        <w:t>Co.</w:t>
      </w:r>
      <w:r>
        <w:rPr>
          <w:spacing w:val="-6"/>
        </w:rPr>
        <w:t xml:space="preserve"> </w:t>
      </w:r>
      <w:r>
        <w:t xml:space="preserve">for the first 30 </w:t>
      </w:r>
      <w:r>
        <w:rPr>
          <w:spacing w:val="-1"/>
        </w:rPr>
        <w:t xml:space="preserve">years </w:t>
      </w:r>
      <w:r>
        <w:t>of</w:t>
      </w:r>
      <w:r>
        <w:rPr>
          <w:spacing w:val="4"/>
        </w:rPr>
        <w:t xml:space="preserve"> </w:t>
      </w:r>
      <w:r>
        <w:t>its</w:t>
      </w:r>
      <w:r>
        <w:rPr>
          <w:spacing w:val="27"/>
        </w:rPr>
        <w:t xml:space="preserve"> </w:t>
      </w:r>
      <w:r>
        <w:rPr>
          <w:spacing w:val="-1"/>
        </w:rPr>
        <w:t>operation.</w:t>
      </w:r>
      <w:r>
        <w:rPr>
          <w:spacing w:val="-6"/>
        </w:rPr>
        <w:t xml:space="preserve"> </w:t>
      </w:r>
      <w:r>
        <w:t xml:space="preserve">In the initial </w:t>
      </w:r>
      <w:r>
        <w:rPr>
          <w:spacing w:val="-1"/>
        </w:rPr>
        <w:t>years</w:t>
      </w:r>
      <w:r>
        <w:t xml:space="preserve"> of</w:t>
      </w:r>
      <w:r>
        <w:rPr>
          <w:spacing w:val="4"/>
        </w:rPr>
        <w:t xml:space="preserve"> </w:t>
      </w:r>
      <w:r>
        <w:t xml:space="preserve">the </w:t>
      </w:r>
      <w:r>
        <w:rPr>
          <w:spacing w:val="-1"/>
        </w:rPr>
        <w:t>operation</w:t>
      </w:r>
      <w:r>
        <w:t xml:space="preserve"> of</w:t>
      </w:r>
      <w:r>
        <w:rPr>
          <w:spacing w:val="4"/>
        </w:rPr>
        <w:t xml:space="preserve"> </w:t>
      </w:r>
      <w:r>
        <w:t xml:space="preserve">the </w:t>
      </w:r>
      <w:r>
        <w:rPr>
          <w:spacing w:val="-1"/>
        </w:rPr>
        <w:t>national</w:t>
      </w:r>
      <w:r>
        <w:t xml:space="preserve"> </w:t>
      </w:r>
      <w:r>
        <w:rPr>
          <w:spacing w:val="-1"/>
        </w:rPr>
        <w:t>broadband</w:t>
      </w:r>
      <w:r>
        <w:t xml:space="preserve"> network,</w:t>
      </w:r>
      <w:r>
        <w:rPr>
          <w:spacing w:val="-6"/>
        </w:rPr>
        <w:t xml:space="preserve"> </w:t>
      </w:r>
      <w:r>
        <w:t xml:space="preserve">demand is </w:t>
      </w:r>
      <w:r>
        <w:rPr>
          <w:spacing w:val="-1"/>
        </w:rPr>
        <w:t>expected</w:t>
      </w:r>
      <w:r>
        <w:rPr>
          <w:spacing w:val="59"/>
        </w:rPr>
        <w:t xml:space="preserve"> </w:t>
      </w:r>
      <w:r>
        <w:t xml:space="preserve">to be low but it is </w:t>
      </w:r>
      <w:r>
        <w:rPr>
          <w:spacing w:val="-1"/>
        </w:rPr>
        <w:t>expected</w:t>
      </w:r>
      <w:r>
        <w:t xml:space="preserve"> to </w:t>
      </w:r>
      <w:r>
        <w:rPr>
          <w:spacing w:val="-1"/>
        </w:rPr>
        <w:t>increase</w:t>
      </w:r>
      <w:r>
        <w:t xml:space="preserve"> over time as the </w:t>
      </w:r>
      <w:r>
        <w:rPr>
          <w:spacing w:val="-1"/>
        </w:rPr>
        <w:t>rollout</w:t>
      </w:r>
      <w:r>
        <w:t xml:space="preserve"> continues.</w:t>
      </w:r>
    </w:p>
    <w:p w:rsidR="00D96B91" w:rsidRDefault="00D96B91">
      <w:pPr>
        <w:spacing w:before="8"/>
        <w:rPr>
          <w:rFonts w:ascii="Avenir Next" w:eastAsia="Avenir Next" w:hAnsi="Avenir Next" w:cs="Avenir Next"/>
          <w:sz w:val="13"/>
          <w:szCs w:val="13"/>
        </w:rPr>
      </w:pPr>
    </w:p>
    <w:p w:rsidR="00D96B91" w:rsidRDefault="00C2656B">
      <w:pPr>
        <w:pStyle w:val="BodyText"/>
        <w:spacing w:line="221" w:lineRule="auto"/>
        <w:ind w:right="1288"/>
      </w:pPr>
      <w:r>
        <w:rPr>
          <w:spacing w:val="-2"/>
        </w:rPr>
        <w:t>Faced</w:t>
      </w:r>
      <w:r>
        <w:rPr>
          <w:spacing w:val="-1"/>
        </w:rPr>
        <w:t xml:space="preserve"> </w:t>
      </w:r>
      <w:r>
        <w:t>with the</w:t>
      </w:r>
      <w:r>
        <w:rPr>
          <w:spacing w:val="-1"/>
        </w:rPr>
        <w:t xml:space="preserve"> </w:t>
      </w:r>
      <w:r>
        <w:t>option of</w:t>
      </w:r>
      <w:r>
        <w:rPr>
          <w:spacing w:val="3"/>
        </w:rPr>
        <w:t xml:space="preserve"> </w:t>
      </w:r>
      <w:r>
        <w:t>either adopting</w:t>
      </w:r>
      <w:r>
        <w:rPr>
          <w:spacing w:val="-1"/>
        </w:rPr>
        <w:t xml:space="preserve"> relatively</w:t>
      </w:r>
      <w:r>
        <w:t xml:space="preserve"> high</w:t>
      </w:r>
      <w:r>
        <w:rPr>
          <w:spacing w:val="-1"/>
        </w:rPr>
        <w:t xml:space="preserve"> cost-reflective</w:t>
      </w:r>
      <w:r>
        <w:t xml:space="preserve"> prices</w:t>
      </w:r>
      <w:r>
        <w:rPr>
          <w:spacing w:val="-1"/>
        </w:rPr>
        <w:t xml:space="preserve"> </w:t>
      </w:r>
      <w:r>
        <w:t>in the</w:t>
      </w:r>
      <w:r>
        <w:rPr>
          <w:spacing w:val="-1"/>
        </w:rPr>
        <w:t xml:space="preserve"> </w:t>
      </w:r>
      <w:r>
        <w:t xml:space="preserve">initial </w:t>
      </w:r>
      <w:r>
        <w:rPr>
          <w:spacing w:val="-1"/>
        </w:rPr>
        <w:t xml:space="preserve">years </w:t>
      </w:r>
      <w:r>
        <w:t>of</w:t>
      </w:r>
      <w:r>
        <w:rPr>
          <w:spacing w:val="4"/>
        </w:rPr>
        <w:t xml:space="preserve"> </w:t>
      </w:r>
      <w:r>
        <w:t>the</w:t>
      </w:r>
      <w:r>
        <w:rPr>
          <w:spacing w:val="37"/>
        </w:rPr>
        <w:t xml:space="preserve"> </w:t>
      </w:r>
      <w:r>
        <w:rPr>
          <w:spacing w:val="-1"/>
        </w:rPr>
        <w:t>roll</w:t>
      </w:r>
      <w:r>
        <w:t xml:space="preserve"> out,</w:t>
      </w:r>
      <w:r>
        <w:rPr>
          <w:spacing w:val="-6"/>
        </w:rPr>
        <w:t xml:space="preserve"> </w:t>
      </w:r>
      <w:r>
        <w:t xml:space="preserve">or lower prices to </w:t>
      </w:r>
      <w:r>
        <w:rPr>
          <w:spacing w:val="-1"/>
        </w:rPr>
        <w:t>encourage</w:t>
      </w:r>
      <w:r>
        <w:t xml:space="preserve"> </w:t>
      </w:r>
      <w:r>
        <w:rPr>
          <w:spacing w:val="-2"/>
        </w:rPr>
        <w:t>greater</w:t>
      </w:r>
      <w:r>
        <w:t xml:space="preserve"> </w:t>
      </w:r>
      <w:r>
        <w:rPr>
          <w:spacing w:val="-1"/>
        </w:rPr>
        <w:t>take</w:t>
      </w:r>
      <w:r>
        <w:t xml:space="preserve"> up of</w:t>
      </w:r>
      <w:r>
        <w:rPr>
          <w:spacing w:val="4"/>
        </w:rPr>
        <w:t xml:space="preserve"> </w:t>
      </w:r>
      <w:r>
        <w:t>NBN services,</w:t>
      </w:r>
      <w:r>
        <w:rPr>
          <w:spacing w:val="-6"/>
        </w:rPr>
        <w:t xml:space="preserve"> </w:t>
      </w:r>
      <w:r>
        <w:t xml:space="preserve">NBN </w:t>
      </w:r>
      <w:r>
        <w:rPr>
          <w:spacing w:val="-2"/>
        </w:rPr>
        <w:t>Co.</w:t>
      </w:r>
      <w:r>
        <w:rPr>
          <w:spacing w:val="-6"/>
        </w:rPr>
        <w:t xml:space="preserve"> </w:t>
      </w:r>
      <w:r>
        <w:t>decided to implement</w:t>
      </w:r>
      <w:r>
        <w:rPr>
          <w:spacing w:val="25"/>
        </w:rPr>
        <w:t xml:space="preserve"> </w:t>
      </w:r>
      <w:r>
        <w:rPr>
          <w:rFonts w:cs="Avenir Next"/>
        </w:rPr>
        <w:t xml:space="preserve">the </w:t>
      </w:r>
      <w:r>
        <w:rPr>
          <w:rFonts w:cs="Avenir Next"/>
          <w:spacing w:val="-1"/>
        </w:rPr>
        <w:t>latter</w:t>
      </w:r>
      <w:r>
        <w:rPr>
          <w:rFonts w:cs="Avenir Next"/>
        </w:rPr>
        <w:t xml:space="preserve"> option and include a mechanism in the </w:t>
      </w:r>
      <w:r>
        <w:rPr>
          <w:rFonts w:cs="Avenir Next"/>
          <w:spacing w:val="-1"/>
        </w:rPr>
        <w:t>SAU</w:t>
      </w:r>
      <w:r>
        <w:rPr>
          <w:rFonts w:cs="Avenir Next"/>
        </w:rPr>
        <w:t xml:space="preserve"> </w:t>
      </w:r>
      <w:r>
        <w:rPr>
          <w:rFonts w:cs="Avenir Next"/>
          <w:spacing w:val="-1"/>
        </w:rPr>
        <w:t>that</w:t>
      </w:r>
      <w:r>
        <w:rPr>
          <w:rFonts w:cs="Avenir Next"/>
        </w:rPr>
        <w:t xml:space="preserve"> would enable it to </w:t>
      </w:r>
      <w:r>
        <w:rPr>
          <w:rFonts w:cs="Avenir Next"/>
          <w:spacing w:val="-1"/>
        </w:rPr>
        <w:t>recoup</w:t>
      </w:r>
      <w:r>
        <w:rPr>
          <w:rFonts w:cs="Avenir Next"/>
        </w:rPr>
        <w:t xml:space="preserve"> </w:t>
      </w:r>
      <w:r>
        <w:rPr>
          <w:rFonts w:cs="Avenir Next"/>
          <w:spacing w:val="-1"/>
        </w:rPr>
        <w:t>unrecovered</w:t>
      </w:r>
      <w:r>
        <w:rPr>
          <w:rFonts w:cs="Avenir Next"/>
        </w:rPr>
        <w:t xml:space="preserve"> costs</w:t>
      </w:r>
      <w:r>
        <w:rPr>
          <w:rFonts w:cs="Avenir Next"/>
          <w:spacing w:val="29"/>
        </w:rPr>
        <w:t xml:space="preserve"> </w:t>
      </w:r>
      <w:r>
        <w:rPr>
          <w:spacing w:val="-1"/>
        </w:rPr>
        <w:t>at</w:t>
      </w:r>
      <w:r>
        <w:t xml:space="preserve"> a </w:t>
      </w:r>
      <w:r>
        <w:rPr>
          <w:spacing w:val="-1"/>
        </w:rPr>
        <w:t>later</w:t>
      </w:r>
      <w:r>
        <w:t xml:space="preserve"> point in time.</w:t>
      </w:r>
      <w:r>
        <w:rPr>
          <w:spacing w:val="-11"/>
        </w:rPr>
        <w:t xml:space="preserve"> </w:t>
      </w:r>
      <w:r>
        <w:rPr>
          <w:spacing w:val="-1"/>
        </w:rPr>
        <w:t>This</w:t>
      </w:r>
      <w:r>
        <w:t xml:space="preserve"> mechanism </w:t>
      </w:r>
      <w:r>
        <w:rPr>
          <w:spacing w:val="-1"/>
        </w:rPr>
        <w:t>provides</w:t>
      </w:r>
      <w:r>
        <w:t xml:space="preserve"> for </w:t>
      </w:r>
      <w:r>
        <w:rPr>
          <w:spacing w:val="-1"/>
        </w:rPr>
        <w:t>unrecovered</w:t>
      </w:r>
      <w:r>
        <w:t xml:space="preserve"> </w:t>
      </w:r>
      <w:r>
        <w:rPr>
          <w:spacing w:val="-1"/>
        </w:rPr>
        <w:t>revenue</w:t>
      </w:r>
      <w:r>
        <w:t xml:space="preserve"> in the initial </w:t>
      </w:r>
      <w:r>
        <w:rPr>
          <w:spacing w:val="-1"/>
        </w:rPr>
        <w:t>recovery</w:t>
      </w:r>
      <w:r>
        <w:t xml:space="preserve"> period</w:t>
      </w:r>
      <w:r>
        <w:rPr>
          <w:spacing w:val="35"/>
        </w:rPr>
        <w:t xml:space="preserve"> </w:t>
      </w:r>
      <w:r>
        <w:t xml:space="preserve">to be included in an ‘Initial </w:t>
      </w:r>
      <w:r>
        <w:rPr>
          <w:spacing w:val="-1"/>
        </w:rPr>
        <w:t>Cost</w:t>
      </w:r>
      <w:r>
        <w:t xml:space="preserve"> </w:t>
      </w:r>
      <w:r>
        <w:rPr>
          <w:spacing w:val="-1"/>
        </w:rPr>
        <w:t>Recovery</w:t>
      </w:r>
      <w:r>
        <w:rPr>
          <w:spacing w:val="-4"/>
        </w:rPr>
        <w:t xml:space="preserve"> </w:t>
      </w:r>
      <w:r>
        <w:t xml:space="preserve">Account’ (which </w:t>
      </w:r>
      <w:r>
        <w:rPr>
          <w:spacing w:val="-1"/>
        </w:rPr>
        <w:t>increases</w:t>
      </w:r>
      <w:r>
        <w:t xml:space="preserve"> </w:t>
      </w:r>
      <w:r>
        <w:rPr>
          <w:spacing w:val="-1"/>
        </w:rPr>
        <w:t>at</w:t>
      </w:r>
      <w:r>
        <w:t xml:space="preserve"> </w:t>
      </w:r>
      <w:r>
        <w:rPr>
          <w:spacing w:val="-1"/>
        </w:rPr>
        <w:t>regulated</w:t>
      </w:r>
      <w:r>
        <w:t xml:space="preserve"> </w:t>
      </w:r>
      <w:r>
        <w:rPr>
          <w:spacing w:val="-2"/>
        </w:rPr>
        <w:t>rate</w:t>
      </w:r>
      <w:r>
        <w:t xml:space="preserve"> of</w:t>
      </w:r>
      <w:r>
        <w:rPr>
          <w:spacing w:val="4"/>
        </w:rPr>
        <w:t xml:space="preserve"> </w:t>
      </w:r>
      <w:r>
        <w:rPr>
          <w:spacing w:val="-1"/>
        </w:rPr>
        <w:t>return)</w:t>
      </w:r>
      <w:r>
        <w:t xml:space="preserve"> and</w:t>
      </w:r>
      <w:r>
        <w:rPr>
          <w:spacing w:val="45"/>
        </w:rPr>
        <w:t xml:space="preserve"> </w:t>
      </w:r>
      <w:r>
        <w:rPr>
          <w:spacing w:val="-1"/>
        </w:rPr>
        <w:t>recovered</w:t>
      </w:r>
      <w:r>
        <w:t xml:space="preserve"> when demand </w:t>
      </w:r>
      <w:r>
        <w:rPr>
          <w:spacing w:val="-1"/>
        </w:rPr>
        <w:t>increases.</w:t>
      </w:r>
    </w:p>
    <w:p w:rsidR="00D96B91" w:rsidRDefault="00D96B91">
      <w:pPr>
        <w:spacing w:line="221" w:lineRule="auto"/>
        <w:sectPr w:rsidR="00D96B91">
          <w:pgSz w:w="11910" w:h="16840"/>
          <w:pgMar w:top="1260" w:right="0" w:bottom="1020" w:left="0" w:header="0" w:footer="829" w:gutter="0"/>
          <w:cols w:space="720"/>
        </w:sectPr>
      </w:pPr>
    </w:p>
    <w:p w:rsidR="00D96B91" w:rsidRDefault="00C2656B">
      <w:pPr>
        <w:pStyle w:val="Heading4"/>
        <w:tabs>
          <w:tab w:val="left" w:pos="2267"/>
          <w:tab w:val="left" w:pos="7086"/>
        </w:tabs>
        <w:spacing w:before="9"/>
        <w:rPr>
          <w:rFonts w:cs="Avenir Next Medium"/>
        </w:rPr>
      </w:pPr>
      <w:r>
        <w:rPr>
          <w:color w:val="0778BE"/>
          <w:spacing w:val="-2"/>
        </w:rPr>
        <w:t>A7.</w:t>
      </w:r>
      <w:r>
        <w:rPr>
          <w:color w:val="0778BE"/>
          <w:spacing w:val="-15"/>
        </w:rPr>
        <w:t xml:space="preserve"> </w:t>
      </w:r>
      <w:r>
        <w:rPr>
          <w:color w:val="0778BE"/>
        </w:rPr>
        <w:t>2</w:t>
      </w:r>
      <w:r>
        <w:rPr>
          <w:color w:val="0778BE"/>
        </w:rPr>
        <w:tab/>
      </w:r>
      <w:r>
        <w:rPr>
          <w:color w:val="0778BE"/>
          <w:spacing w:val="-3"/>
        </w:rPr>
        <w:t>Deferring</w:t>
      </w:r>
      <w:r>
        <w:rPr>
          <w:color w:val="0778BE"/>
          <w:spacing w:val="-7"/>
        </w:rPr>
        <w:t xml:space="preserve"> </w:t>
      </w:r>
      <w:r>
        <w:rPr>
          <w:color w:val="0778BE"/>
          <w:spacing w:val="-2"/>
        </w:rPr>
        <w:t>the</w:t>
      </w:r>
      <w:r>
        <w:rPr>
          <w:color w:val="0778BE"/>
          <w:spacing w:val="-7"/>
        </w:rPr>
        <w:t xml:space="preserve"> </w:t>
      </w:r>
      <w:r>
        <w:rPr>
          <w:color w:val="0778BE"/>
          <w:spacing w:val="-4"/>
        </w:rPr>
        <w:t>recovery</w:t>
      </w:r>
      <w:r>
        <w:rPr>
          <w:color w:val="0778BE"/>
          <w:spacing w:val="-7"/>
        </w:rPr>
        <w:t xml:space="preserve"> </w:t>
      </w:r>
      <w:r>
        <w:rPr>
          <w:color w:val="0778BE"/>
          <w:spacing w:val="-2"/>
        </w:rPr>
        <w:t>of</w:t>
      </w:r>
      <w:r>
        <w:rPr>
          <w:color w:val="0778BE"/>
        </w:rPr>
        <w:t xml:space="preserve"> a</w:t>
      </w:r>
      <w:r>
        <w:rPr>
          <w:color w:val="0778BE"/>
          <w:spacing w:val="-7"/>
        </w:rPr>
        <w:t xml:space="preserve"> </w:t>
      </w:r>
      <w:r w:rsidR="006B6D8F">
        <w:rPr>
          <w:color w:val="0778BE"/>
          <w:spacing w:val="-2"/>
        </w:rPr>
        <w:t xml:space="preserve">defined </w:t>
      </w:r>
      <w:r>
        <w:rPr>
          <w:color w:val="0778BE"/>
          <w:spacing w:val="-4"/>
        </w:rPr>
        <w:t>portion</w:t>
      </w:r>
      <w:r>
        <w:rPr>
          <w:color w:val="0778BE"/>
          <w:spacing w:val="-7"/>
        </w:rPr>
        <w:t xml:space="preserve"> </w:t>
      </w:r>
      <w:r>
        <w:rPr>
          <w:color w:val="0778BE"/>
          <w:spacing w:val="-2"/>
        </w:rPr>
        <w:t>of</w:t>
      </w:r>
      <w:r>
        <w:rPr>
          <w:color w:val="0778BE"/>
        </w:rPr>
        <w:t xml:space="preserve"> </w:t>
      </w:r>
      <w:r>
        <w:rPr>
          <w:color w:val="0778BE"/>
          <w:spacing w:val="-2"/>
        </w:rPr>
        <w:t>the</w:t>
      </w:r>
      <w:r>
        <w:rPr>
          <w:color w:val="0778BE"/>
          <w:spacing w:val="-7"/>
        </w:rPr>
        <w:t xml:space="preserve"> </w:t>
      </w:r>
      <w:r>
        <w:rPr>
          <w:color w:val="0778BE"/>
          <w:spacing w:val="-3"/>
        </w:rPr>
        <w:t>capital</w:t>
      </w:r>
      <w:r>
        <w:rPr>
          <w:color w:val="0778BE"/>
          <w:spacing w:val="-7"/>
        </w:rPr>
        <w:t xml:space="preserve"> </w:t>
      </w:r>
      <w:r>
        <w:rPr>
          <w:color w:val="0778BE"/>
          <w:spacing w:val="-3"/>
        </w:rPr>
        <w:t>costs</w:t>
      </w:r>
    </w:p>
    <w:p w:rsidR="00D96B91" w:rsidRDefault="00C2656B">
      <w:pPr>
        <w:pStyle w:val="BodyText"/>
        <w:spacing w:before="55" w:line="260" w:lineRule="exact"/>
        <w:ind w:right="1313"/>
      </w:pPr>
      <w:r>
        <w:rPr>
          <w:spacing w:val="-1"/>
        </w:rPr>
        <w:t xml:space="preserve">This </w:t>
      </w:r>
      <w:r>
        <w:t>technique involves</w:t>
      </w:r>
      <w:r>
        <w:rPr>
          <w:spacing w:val="-1"/>
        </w:rPr>
        <w:t xml:space="preserve"> </w:t>
      </w:r>
      <w:r>
        <w:t>the full</w:t>
      </w:r>
      <w:r>
        <w:rPr>
          <w:spacing w:val="-1"/>
        </w:rPr>
        <w:t xml:space="preserve"> </w:t>
      </w:r>
      <w:r>
        <w:t xml:space="preserve">or </w:t>
      </w:r>
      <w:r>
        <w:rPr>
          <w:spacing w:val="-1"/>
        </w:rPr>
        <w:t>partial</w:t>
      </w:r>
      <w:r>
        <w:t xml:space="preserve"> </w:t>
      </w:r>
      <w:r>
        <w:rPr>
          <w:spacing w:val="-1"/>
        </w:rPr>
        <w:t xml:space="preserve">deferral </w:t>
      </w:r>
      <w:r>
        <w:t>of</w:t>
      </w:r>
      <w:r>
        <w:rPr>
          <w:spacing w:val="4"/>
        </w:rPr>
        <w:t xml:space="preserve"> </w:t>
      </w:r>
      <w:r>
        <w:t>the</w:t>
      </w:r>
      <w:r>
        <w:rPr>
          <w:spacing w:val="-1"/>
        </w:rPr>
        <w:t xml:space="preserve"> recovery</w:t>
      </w:r>
      <w:r>
        <w:t xml:space="preserve"> of</w:t>
      </w:r>
      <w:r>
        <w:rPr>
          <w:spacing w:val="4"/>
        </w:rPr>
        <w:t xml:space="preserve"> </w:t>
      </w:r>
      <w:r>
        <w:t>a</w:t>
      </w:r>
      <w:r>
        <w:rPr>
          <w:spacing w:val="-1"/>
        </w:rPr>
        <w:t xml:space="preserve"> </w:t>
      </w:r>
      <w:r>
        <w:t xml:space="preserve">defined </w:t>
      </w:r>
      <w:r>
        <w:rPr>
          <w:spacing w:val="-1"/>
        </w:rPr>
        <w:t xml:space="preserve">portion </w:t>
      </w:r>
      <w:r>
        <w:t>of</w:t>
      </w:r>
      <w:r>
        <w:rPr>
          <w:spacing w:val="4"/>
        </w:rPr>
        <w:t xml:space="preserve"> </w:t>
      </w:r>
      <w:r>
        <w:t>the</w:t>
      </w:r>
      <w:r>
        <w:rPr>
          <w:spacing w:val="-1"/>
        </w:rPr>
        <w:t xml:space="preserve"> </w:t>
      </w:r>
      <w:r>
        <w:t>capital</w:t>
      </w:r>
      <w:r>
        <w:rPr>
          <w:spacing w:val="35"/>
        </w:rPr>
        <w:t xml:space="preserve"> </w:t>
      </w:r>
      <w:r>
        <w:t xml:space="preserve">costs </w:t>
      </w:r>
      <w:r>
        <w:rPr>
          <w:spacing w:val="-1"/>
        </w:rPr>
        <w:t>(depreciation</w:t>
      </w:r>
      <w:r>
        <w:t xml:space="preserve"> plus </w:t>
      </w:r>
      <w:r>
        <w:rPr>
          <w:spacing w:val="-1"/>
        </w:rPr>
        <w:t>return</w:t>
      </w:r>
      <w:r>
        <w:t xml:space="preserve"> on capital) when </w:t>
      </w:r>
      <w:r>
        <w:rPr>
          <w:spacing w:val="-1"/>
        </w:rPr>
        <w:t>existing</w:t>
      </w:r>
      <w:r>
        <w:t xml:space="preserve"> customers </w:t>
      </w:r>
      <w:r>
        <w:rPr>
          <w:spacing w:val="-2"/>
        </w:rPr>
        <w:t>are</w:t>
      </w:r>
      <w:r>
        <w:t xml:space="preserve"> not </w:t>
      </w:r>
      <w:r>
        <w:rPr>
          <w:spacing w:val="-1"/>
        </w:rPr>
        <w:t>expected</w:t>
      </w:r>
      <w:r>
        <w:t xml:space="preserve"> to fully utilise,</w:t>
      </w:r>
      <w:r>
        <w:rPr>
          <w:spacing w:val="-6"/>
        </w:rPr>
        <w:t xml:space="preserve"> </w:t>
      </w:r>
      <w:r>
        <w:t>or</w:t>
      </w:r>
      <w:r>
        <w:rPr>
          <w:spacing w:val="47"/>
        </w:rPr>
        <w:t xml:space="preserve"> </w:t>
      </w:r>
      <w:r>
        <w:t>otherwise</w:t>
      </w:r>
      <w:r>
        <w:rPr>
          <w:spacing w:val="-1"/>
        </w:rPr>
        <w:t xml:space="preserve"> </w:t>
      </w:r>
      <w:r>
        <w:t xml:space="preserve">benefit </w:t>
      </w:r>
      <w:r>
        <w:rPr>
          <w:spacing w:val="-1"/>
        </w:rPr>
        <w:t>from,</w:t>
      </w:r>
      <w:r>
        <w:rPr>
          <w:spacing w:val="-7"/>
        </w:rPr>
        <w:t xml:space="preserve"> </w:t>
      </w:r>
      <w:r>
        <w:t>the investment for</w:t>
      </w:r>
      <w:r>
        <w:rPr>
          <w:spacing w:val="-1"/>
        </w:rPr>
        <w:t xml:space="preserve"> </w:t>
      </w:r>
      <w:r>
        <w:t>a period</w:t>
      </w:r>
      <w:r>
        <w:rPr>
          <w:spacing w:val="-1"/>
        </w:rPr>
        <w:t xml:space="preserve"> </w:t>
      </w:r>
      <w:r>
        <w:t>of</w:t>
      </w:r>
      <w:r>
        <w:rPr>
          <w:spacing w:val="4"/>
        </w:rPr>
        <w:t xml:space="preserve"> </w:t>
      </w:r>
      <w:r>
        <w:t>time.</w:t>
      </w:r>
      <w:r>
        <w:rPr>
          <w:spacing w:val="-6"/>
        </w:rPr>
        <w:t xml:space="preserve"> </w:t>
      </w:r>
      <w:r>
        <w:t>Some</w:t>
      </w:r>
      <w:r>
        <w:rPr>
          <w:spacing w:val="-1"/>
        </w:rPr>
        <w:t xml:space="preserve"> examples</w:t>
      </w:r>
      <w:r>
        <w:t xml:space="preserve"> of</w:t>
      </w:r>
      <w:r>
        <w:rPr>
          <w:spacing w:val="3"/>
        </w:rPr>
        <w:t xml:space="preserve"> </w:t>
      </w:r>
      <w:r>
        <w:t>this technique</w:t>
      </w:r>
      <w:r>
        <w:rPr>
          <w:spacing w:val="-1"/>
        </w:rPr>
        <w:t xml:space="preserve"> </w:t>
      </w:r>
      <w:r>
        <w:rPr>
          <w:spacing w:val="-2"/>
        </w:rPr>
        <w:t>are</w:t>
      </w:r>
      <w:r>
        <w:t xml:space="preserve"> set</w:t>
      </w:r>
      <w:r>
        <w:rPr>
          <w:spacing w:val="30"/>
        </w:rPr>
        <w:t xml:space="preserve"> </w:t>
      </w:r>
      <w:r>
        <w:t xml:space="preserve">out </w:t>
      </w:r>
      <w:r>
        <w:rPr>
          <w:spacing w:val="-2"/>
        </w:rPr>
        <w:t>below.</w:t>
      </w:r>
    </w:p>
    <w:p w:rsidR="00D96B91" w:rsidRDefault="00D96B91">
      <w:pPr>
        <w:spacing w:before="6"/>
        <w:rPr>
          <w:rFonts w:ascii="Avenir Next" w:eastAsia="Avenir Next" w:hAnsi="Avenir Next" w:cs="Avenir Next"/>
          <w:sz w:val="20"/>
          <w:szCs w:val="20"/>
        </w:rPr>
      </w:pPr>
    </w:p>
    <w:p w:rsidR="00D96B91" w:rsidRDefault="00C2656B">
      <w:pPr>
        <w:pStyle w:val="Heading5"/>
        <w:rPr>
          <w:b w:val="0"/>
          <w:bCs w:val="0"/>
        </w:rPr>
      </w:pPr>
      <w:r>
        <w:rPr>
          <w:color w:val="0778BE"/>
          <w:spacing w:val="-5"/>
        </w:rPr>
        <w:t>IPART’s</w:t>
      </w:r>
      <w:r>
        <w:rPr>
          <w:color w:val="0778BE"/>
        </w:rPr>
        <w:t xml:space="preserve"> 2009 assessment of</w:t>
      </w:r>
      <w:r>
        <w:rPr>
          <w:color w:val="0778BE"/>
          <w:spacing w:val="5"/>
        </w:rPr>
        <w:t xml:space="preserve"> </w:t>
      </w:r>
      <w:r>
        <w:rPr>
          <w:color w:val="0778BE"/>
        </w:rPr>
        <w:t xml:space="preserve">the </w:t>
      </w:r>
      <w:r>
        <w:rPr>
          <w:color w:val="0778BE"/>
          <w:spacing w:val="-1"/>
        </w:rPr>
        <w:t>proposed</w:t>
      </w:r>
      <w:r>
        <w:rPr>
          <w:color w:val="0778BE"/>
          <w:spacing w:val="-6"/>
        </w:rPr>
        <w:t xml:space="preserve"> </w:t>
      </w:r>
      <w:r>
        <w:rPr>
          <w:color w:val="0778BE"/>
          <w:spacing w:val="-1"/>
        </w:rPr>
        <w:t>Tillegra</w:t>
      </w:r>
      <w:r>
        <w:rPr>
          <w:color w:val="0778BE"/>
        </w:rPr>
        <w:t xml:space="preserve"> Dam</w:t>
      </w:r>
    </w:p>
    <w:p w:rsidR="00D96B91" w:rsidRDefault="00C2656B">
      <w:pPr>
        <w:pStyle w:val="BodyText"/>
        <w:spacing w:before="21" w:line="260" w:lineRule="exact"/>
        <w:ind w:right="1256"/>
        <w:rPr>
          <w:rFonts w:cs="Avenir Next"/>
        </w:rPr>
      </w:pPr>
      <w:r>
        <w:t xml:space="preserve">As </w:t>
      </w:r>
      <w:r>
        <w:rPr>
          <w:spacing w:val="-1"/>
        </w:rPr>
        <w:t>part</w:t>
      </w:r>
      <w:r>
        <w:t xml:space="preserve"> of</w:t>
      </w:r>
      <w:r>
        <w:rPr>
          <w:spacing w:val="4"/>
        </w:rPr>
        <w:t xml:space="preserve"> </w:t>
      </w:r>
      <w:r>
        <w:t xml:space="preserve">its 2009 </w:t>
      </w:r>
      <w:r>
        <w:rPr>
          <w:spacing w:val="-1"/>
        </w:rPr>
        <w:t>review</w:t>
      </w:r>
      <w:r>
        <w:t xml:space="preserve"> of</w:t>
      </w:r>
      <w:r>
        <w:rPr>
          <w:spacing w:val="4"/>
        </w:rPr>
        <w:t xml:space="preserve"> </w:t>
      </w:r>
      <w:r>
        <w:t>Hunter</w:t>
      </w:r>
      <w:r>
        <w:rPr>
          <w:spacing w:val="-3"/>
        </w:rPr>
        <w:t xml:space="preserve"> Water’s</w:t>
      </w:r>
      <w:r>
        <w:t xml:space="preserve"> </w:t>
      </w:r>
      <w:r>
        <w:rPr>
          <w:spacing w:val="-2"/>
        </w:rPr>
        <w:t>water,</w:t>
      </w:r>
      <w:r>
        <w:rPr>
          <w:spacing w:val="-6"/>
        </w:rPr>
        <w:t xml:space="preserve"> </w:t>
      </w:r>
      <w:r>
        <w:rPr>
          <w:spacing w:val="-1"/>
        </w:rPr>
        <w:t>sewerage,</w:t>
      </w:r>
      <w:r>
        <w:rPr>
          <w:spacing w:val="-6"/>
        </w:rPr>
        <w:t xml:space="preserve"> </w:t>
      </w:r>
      <w:r>
        <w:rPr>
          <w:spacing w:val="-1"/>
        </w:rPr>
        <w:t>stormwater</w:t>
      </w:r>
      <w:r>
        <w:t xml:space="preserve"> and other services,</w:t>
      </w:r>
      <w:r>
        <w:rPr>
          <w:spacing w:val="-7"/>
        </w:rPr>
        <w:t xml:space="preserve"> </w:t>
      </w:r>
      <w:r>
        <w:rPr>
          <w:spacing w:val="-3"/>
        </w:rPr>
        <w:t>IPART</w:t>
      </w:r>
      <w:r>
        <w:rPr>
          <w:spacing w:val="45"/>
        </w:rPr>
        <w:t xml:space="preserve"> </w:t>
      </w:r>
      <w:r>
        <w:rPr>
          <w:rFonts w:cs="Avenir Next"/>
          <w:spacing w:val="-1"/>
        </w:rPr>
        <w:t>considered</w:t>
      </w:r>
      <w:r>
        <w:rPr>
          <w:rFonts w:cs="Avenir Next"/>
        </w:rPr>
        <w:t xml:space="preserve"> how the costs of</w:t>
      </w:r>
      <w:r>
        <w:rPr>
          <w:rFonts w:cs="Avenir Next"/>
          <w:spacing w:val="4"/>
        </w:rPr>
        <w:t xml:space="preserve"> </w:t>
      </w:r>
      <w:r>
        <w:rPr>
          <w:rFonts w:cs="Avenir Next"/>
        </w:rPr>
        <w:t xml:space="preserve">the </w:t>
      </w:r>
      <w:r>
        <w:rPr>
          <w:rFonts w:cs="Avenir Next"/>
          <w:spacing w:val="-1"/>
        </w:rPr>
        <w:t>proposed</w:t>
      </w:r>
      <w:r>
        <w:rPr>
          <w:rFonts w:cs="Avenir Next"/>
          <w:spacing w:val="-5"/>
        </w:rPr>
        <w:t xml:space="preserve"> </w:t>
      </w:r>
      <w:r>
        <w:rPr>
          <w:rFonts w:cs="Avenir Next"/>
          <w:spacing w:val="-1"/>
        </w:rPr>
        <w:t>Tillegra</w:t>
      </w:r>
      <w:r>
        <w:rPr>
          <w:rFonts w:cs="Avenir Next"/>
        </w:rPr>
        <w:t xml:space="preserve"> Dam should be </w:t>
      </w:r>
      <w:r>
        <w:rPr>
          <w:rFonts w:cs="Avenir Next"/>
          <w:spacing w:val="-1"/>
        </w:rPr>
        <w:t>recovered</w:t>
      </w:r>
      <w:r>
        <w:rPr>
          <w:rFonts w:cs="Avenir Next"/>
        </w:rPr>
        <w:t xml:space="preserve"> </w:t>
      </w:r>
      <w:r>
        <w:rPr>
          <w:rFonts w:cs="Avenir Next"/>
          <w:spacing w:val="-1"/>
        </w:rPr>
        <w:t>from</w:t>
      </w:r>
      <w:r>
        <w:rPr>
          <w:rFonts w:cs="Avenir Next"/>
        </w:rPr>
        <w:t xml:space="preserve"> </w:t>
      </w:r>
      <w:r>
        <w:rPr>
          <w:rFonts w:cs="Avenir Next"/>
          <w:spacing w:val="-1"/>
        </w:rPr>
        <w:t>current</w:t>
      </w:r>
      <w:r>
        <w:rPr>
          <w:rFonts w:cs="Avenir Next"/>
        </w:rPr>
        <w:t xml:space="preserve"> and </w:t>
      </w:r>
      <w:r>
        <w:rPr>
          <w:rFonts w:cs="Avenir Next"/>
          <w:spacing w:val="-1"/>
        </w:rPr>
        <w:t>future</w:t>
      </w:r>
      <w:r>
        <w:rPr>
          <w:rFonts w:cs="Avenir Next"/>
          <w:spacing w:val="37"/>
        </w:rPr>
        <w:t xml:space="preserve"> </w:t>
      </w:r>
      <w:r>
        <w:rPr>
          <w:rFonts w:cs="Avenir Next"/>
        </w:rPr>
        <w:t xml:space="preserve">users given </w:t>
      </w:r>
      <w:r>
        <w:rPr>
          <w:rFonts w:cs="Avenir Next"/>
          <w:spacing w:val="-1"/>
        </w:rPr>
        <w:t>that:</w:t>
      </w:r>
    </w:p>
    <w:p w:rsidR="00D96B91" w:rsidRDefault="00C2656B">
      <w:pPr>
        <w:pStyle w:val="BodyText"/>
        <w:numPr>
          <w:ilvl w:val="0"/>
          <w:numId w:val="131"/>
        </w:numPr>
        <w:tabs>
          <w:tab w:val="left" w:pos="1531"/>
        </w:tabs>
        <w:spacing w:before="178"/>
        <w:ind w:hanging="283"/>
      </w:pPr>
      <w:r>
        <w:t xml:space="preserve">the dam was not </w:t>
      </w:r>
      <w:r>
        <w:rPr>
          <w:spacing w:val="-1"/>
        </w:rPr>
        <w:t>expected</w:t>
      </w:r>
      <w:r>
        <w:t xml:space="preserve"> to be fully utilised until 2058</w:t>
      </w:r>
    </w:p>
    <w:p w:rsidR="00D96B91" w:rsidRDefault="00C2656B">
      <w:pPr>
        <w:pStyle w:val="BodyText"/>
        <w:numPr>
          <w:ilvl w:val="0"/>
          <w:numId w:val="131"/>
        </w:numPr>
        <w:tabs>
          <w:tab w:val="left" w:pos="1531"/>
        </w:tabs>
        <w:spacing w:before="64" w:line="260" w:lineRule="exact"/>
        <w:ind w:right="1260" w:hanging="283"/>
      </w:pPr>
      <w:r>
        <w:t>the</w:t>
      </w:r>
      <w:r>
        <w:rPr>
          <w:spacing w:val="-2"/>
        </w:rPr>
        <w:t xml:space="preserve"> key</w:t>
      </w:r>
      <w:r>
        <w:rPr>
          <w:spacing w:val="-1"/>
        </w:rPr>
        <w:t xml:space="preserve"> </w:t>
      </w:r>
      <w:r>
        <w:t>benefit</w:t>
      </w:r>
      <w:r>
        <w:rPr>
          <w:spacing w:val="-1"/>
        </w:rPr>
        <w:t xml:space="preserve"> </w:t>
      </w:r>
      <w:r>
        <w:t>for</w:t>
      </w:r>
      <w:r>
        <w:rPr>
          <w:spacing w:val="-1"/>
        </w:rPr>
        <w:t xml:space="preserve"> current </w:t>
      </w:r>
      <w:r>
        <w:t>customers</w:t>
      </w:r>
      <w:r>
        <w:rPr>
          <w:spacing w:val="-1"/>
        </w:rPr>
        <w:t xml:space="preserve"> </w:t>
      </w:r>
      <w:r>
        <w:t>was</w:t>
      </w:r>
      <w:r>
        <w:rPr>
          <w:spacing w:val="-1"/>
        </w:rPr>
        <w:t xml:space="preserve"> </w:t>
      </w:r>
      <w:r>
        <w:t>the</w:t>
      </w:r>
      <w:r>
        <w:rPr>
          <w:spacing w:val="-2"/>
        </w:rPr>
        <w:t xml:space="preserve"> </w:t>
      </w:r>
      <w:r>
        <w:t>significant</w:t>
      </w:r>
      <w:r>
        <w:rPr>
          <w:spacing w:val="-1"/>
        </w:rPr>
        <w:t xml:space="preserve"> improvement </w:t>
      </w:r>
      <w:r>
        <w:t>in</w:t>
      </w:r>
      <w:r>
        <w:rPr>
          <w:spacing w:val="-1"/>
        </w:rPr>
        <w:t xml:space="preserve"> drought security,</w:t>
      </w:r>
      <w:r>
        <w:rPr>
          <w:spacing w:val="-7"/>
        </w:rPr>
        <w:t xml:space="preserve"> </w:t>
      </w:r>
      <w:r>
        <w:t>which</w:t>
      </w:r>
      <w:r>
        <w:rPr>
          <w:spacing w:val="-1"/>
        </w:rPr>
        <w:t xml:space="preserve"> </w:t>
      </w:r>
      <w:r>
        <w:t>was</w:t>
      </w:r>
      <w:r>
        <w:rPr>
          <w:spacing w:val="33"/>
        </w:rPr>
        <w:t xml:space="preserve"> </w:t>
      </w:r>
      <w:r>
        <w:t>valued</w:t>
      </w:r>
      <w:r>
        <w:rPr>
          <w:spacing w:val="-1"/>
        </w:rPr>
        <w:t xml:space="preserve"> </w:t>
      </w:r>
      <w:r>
        <w:t>by Hunter</w:t>
      </w:r>
      <w:r>
        <w:rPr>
          <w:spacing w:val="-3"/>
        </w:rPr>
        <w:t xml:space="preserve"> </w:t>
      </w:r>
      <w:r>
        <w:rPr>
          <w:spacing w:val="-2"/>
        </w:rPr>
        <w:t>Water</w:t>
      </w:r>
      <w:r>
        <w:rPr>
          <w:spacing w:val="-1"/>
        </w:rPr>
        <w:t xml:space="preserve"> </w:t>
      </w:r>
      <w:r>
        <w:t>as 40% of</w:t>
      </w:r>
      <w:r>
        <w:rPr>
          <w:spacing w:val="3"/>
        </w:rPr>
        <w:t xml:space="preserve"> </w:t>
      </w:r>
      <w:r>
        <w:t>the cost of</w:t>
      </w:r>
      <w:r>
        <w:rPr>
          <w:spacing w:val="4"/>
        </w:rPr>
        <w:t xml:space="preserve"> </w:t>
      </w:r>
      <w:r>
        <w:t>the</w:t>
      </w:r>
      <w:r>
        <w:rPr>
          <w:spacing w:val="-1"/>
        </w:rPr>
        <w:t xml:space="preserve"> </w:t>
      </w:r>
      <w:r>
        <w:t>dam.</w:t>
      </w:r>
      <w:r>
        <w:rPr>
          <w:spacing w:val="-11"/>
        </w:rPr>
        <w:t xml:space="preserve"> </w:t>
      </w:r>
      <w:r>
        <w:rPr>
          <w:spacing w:val="-1"/>
        </w:rPr>
        <w:t>This</w:t>
      </w:r>
      <w:r>
        <w:t xml:space="preserve"> </w:t>
      </w:r>
      <w:r>
        <w:rPr>
          <w:spacing w:val="-1"/>
        </w:rPr>
        <w:t xml:space="preserve">valuation </w:t>
      </w:r>
      <w:r>
        <w:t>was based on the</w:t>
      </w:r>
      <w:r>
        <w:rPr>
          <w:spacing w:val="-1"/>
        </w:rPr>
        <w:t xml:space="preserve"> efficient</w:t>
      </w:r>
      <w:r>
        <w:t xml:space="preserve"> cost</w:t>
      </w:r>
      <w:r>
        <w:rPr>
          <w:spacing w:val="25"/>
        </w:rPr>
        <w:t xml:space="preserve"> </w:t>
      </w:r>
      <w:r>
        <w:t>of</w:t>
      </w:r>
      <w:r>
        <w:rPr>
          <w:spacing w:val="4"/>
        </w:rPr>
        <w:t xml:space="preserve"> </w:t>
      </w:r>
      <w:r>
        <w:rPr>
          <w:spacing w:val="-1"/>
        </w:rPr>
        <w:t>providing</w:t>
      </w:r>
      <w:r>
        <w:t xml:space="preserve"> the same level of</w:t>
      </w:r>
      <w:r>
        <w:rPr>
          <w:spacing w:val="4"/>
        </w:rPr>
        <w:t xml:space="preserve"> </w:t>
      </w:r>
      <w:r>
        <w:rPr>
          <w:spacing w:val="-1"/>
        </w:rPr>
        <w:t>water</w:t>
      </w:r>
      <w:r>
        <w:t xml:space="preserve"> security to </w:t>
      </w:r>
      <w:r>
        <w:rPr>
          <w:spacing w:val="-1"/>
        </w:rPr>
        <w:t>existing</w:t>
      </w:r>
      <w:r>
        <w:t xml:space="preserve"> customers </w:t>
      </w:r>
      <w:r>
        <w:rPr>
          <w:spacing w:val="-1"/>
        </w:rPr>
        <w:t>through</w:t>
      </w:r>
      <w:r>
        <w:t xml:space="preserve"> </w:t>
      </w:r>
      <w:r>
        <w:rPr>
          <w:spacing w:val="-1"/>
        </w:rPr>
        <w:t>alternative</w:t>
      </w:r>
      <w:r>
        <w:t xml:space="preserve"> </w:t>
      </w:r>
      <w:r>
        <w:rPr>
          <w:spacing w:val="-1"/>
        </w:rPr>
        <w:t>works</w:t>
      </w:r>
      <w:r>
        <w:t xml:space="preserve"> (eg,</w:t>
      </w:r>
      <w:r>
        <w:rPr>
          <w:spacing w:val="57"/>
        </w:rPr>
        <w:t xml:space="preserve"> </w:t>
      </w:r>
      <w:r>
        <w:t xml:space="preserve">constructing a </w:t>
      </w:r>
      <w:r>
        <w:rPr>
          <w:spacing w:val="-1"/>
        </w:rPr>
        <w:t>desalination</w:t>
      </w:r>
      <w:r>
        <w:t xml:space="preserve"> plant),</w:t>
      </w:r>
      <w:r>
        <w:rPr>
          <w:spacing w:val="-6"/>
        </w:rPr>
        <w:t xml:space="preserve"> </w:t>
      </w:r>
      <w:r>
        <w:t>and</w:t>
      </w:r>
    </w:p>
    <w:p w:rsidR="00D96B91" w:rsidRDefault="00C2656B">
      <w:pPr>
        <w:pStyle w:val="BodyText"/>
        <w:numPr>
          <w:ilvl w:val="0"/>
          <w:numId w:val="131"/>
        </w:numPr>
        <w:tabs>
          <w:tab w:val="left" w:pos="1531"/>
        </w:tabs>
        <w:spacing w:before="85" w:line="260" w:lineRule="exact"/>
        <w:ind w:right="1727" w:hanging="283"/>
      </w:pPr>
      <w:r>
        <w:t>the</w:t>
      </w:r>
      <w:r>
        <w:rPr>
          <w:spacing w:val="-1"/>
        </w:rPr>
        <w:t xml:space="preserve"> drought</w:t>
      </w:r>
      <w:r>
        <w:t xml:space="preserve"> security</w:t>
      </w:r>
      <w:r>
        <w:rPr>
          <w:spacing w:val="-1"/>
        </w:rPr>
        <w:t xml:space="preserve"> </w:t>
      </w:r>
      <w:r>
        <w:t xml:space="preserve">benefits </w:t>
      </w:r>
      <w:r>
        <w:rPr>
          <w:spacing w:val="-1"/>
        </w:rPr>
        <w:t>were expected</w:t>
      </w:r>
      <w:r>
        <w:t xml:space="preserve"> to</w:t>
      </w:r>
      <w:r>
        <w:rPr>
          <w:spacing w:val="-1"/>
        </w:rPr>
        <w:t xml:space="preserve"> grow</w:t>
      </w:r>
      <w:r>
        <w:t xml:space="preserve"> as</w:t>
      </w:r>
      <w:r>
        <w:rPr>
          <w:spacing w:val="-1"/>
        </w:rPr>
        <w:t xml:space="preserve"> water</w:t>
      </w:r>
      <w:r>
        <w:t xml:space="preserve"> became</w:t>
      </w:r>
      <w:r>
        <w:rPr>
          <w:spacing w:val="-1"/>
        </w:rPr>
        <w:t xml:space="preserve"> scarcer</w:t>
      </w:r>
      <w:r>
        <w:t xml:space="preserve"> (eg,</w:t>
      </w:r>
      <w:r>
        <w:rPr>
          <w:spacing w:val="-6"/>
        </w:rPr>
        <w:t xml:space="preserve"> </w:t>
      </w:r>
      <w:r>
        <w:t>as</w:t>
      </w:r>
      <w:r>
        <w:rPr>
          <w:spacing w:val="-1"/>
        </w:rPr>
        <w:t xml:space="preserve"> </w:t>
      </w:r>
      <w:r>
        <w:t xml:space="preserve">a </w:t>
      </w:r>
      <w:r>
        <w:rPr>
          <w:spacing w:val="-1"/>
        </w:rPr>
        <w:t xml:space="preserve">result </w:t>
      </w:r>
      <w:r>
        <w:t>of</w:t>
      </w:r>
      <w:r>
        <w:rPr>
          <w:spacing w:val="35"/>
        </w:rPr>
        <w:t xml:space="preserve"> </w:t>
      </w:r>
      <w:r>
        <w:rPr>
          <w:spacing w:val="-1"/>
        </w:rPr>
        <w:t>population</w:t>
      </w:r>
      <w:r>
        <w:t xml:space="preserve"> </w:t>
      </w:r>
      <w:r>
        <w:rPr>
          <w:spacing w:val="-1"/>
        </w:rPr>
        <w:t>growth</w:t>
      </w:r>
      <w:r>
        <w:t xml:space="preserve"> or changes in </w:t>
      </w:r>
      <w:r>
        <w:rPr>
          <w:spacing w:val="-1"/>
        </w:rPr>
        <w:t>climatic</w:t>
      </w:r>
      <w:r>
        <w:t xml:space="preserve"> conditions).</w:t>
      </w:r>
    </w:p>
    <w:p w:rsidR="00D96B91" w:rsidRDefault="00D96B91">
      <w:pPr>
        <w:spacing w:before="3"/>
        <w:rPr>
          <w:rFonts w:ascii="Avenir Next" w:eastAsia="Avenir Next" w:hAnsi="Avenir Next" w:cs="Avenir Next"/>
          <w:sz w:val="17"/>
          <w:szCs w:val="17"/>
        </w:rPr>
      </w:pPr>
    </w:p>
    <w:p w:rsidR="00D96B91" w:rsidRDefault="00C2656B">
      <w:pPr>
        <w:pStyle w:val="BodyText"/>
        <w:spacing w:line="267" w:lineRule="exact"/>
      </w:pPr>
      <w:r>
        <w:t>While the NSW</w:t>
      </w:r>
      <w:r>
        <w:rPr>
          <w:spacing w:val="-3"/>
        </w:rPr>
        <w:t xml:space="preserve"> </w:t>
      </w:r>
      <w:r>
        <w:t xml:space="preserve">Government decided in </w:t>
      </w:r>
      <w:r>
        <w:rPr>
          <w:spacing w:val="-1"/>
        </w:rPr>
        <w:t>late</w:t>
      </w:r>
      <w:r>
        <w:t xml:space="preserve"> 2010 not to </w:t>
      </w:r>
      <w:r>
        <w:rPr>
          <w:spacing w:val="-1"/>
        </w:rPr>
        <w:t>proceed</w:t>
      </w:r>
      <w:r>
        <w:t xml:space="preserve"> with the construction of</w:t>
      </w:r>
      <w:r>
        <w:rPr>
          <w:spacing w:val="4"/>
        </w:rPr>
        <w:t xml:space="preserve"> </w:t>
      </w:r>
      <w:r>
        <w:t>this dam,</w:t>
      </w:r>
    </w:p>
    <w:p w:rsidR="00D96B91" w:rsidRDefault="00C2656B">
      <w:pPr>
        <w:pStyle w:val="BodyText"/>
        <w:spacing w:before="3" w:line="228" w:lineRule="auto"/>
        <w:ind w:right="1377"/>
      </w:pPr>
      <w:r>
        <w:t xml:space="preserve">the </w:t>
      </w:r>
      <w:r>
        <w:rPr>
          <w:spacing w:val="-1"/>
        </w:rPr>
        <w:t>approach</w:t>
      </w:r>
      <w:r>
        <w:t xml:space="preserve"> </w:t>
      </w:r>
      <w:r>
        <w:rPr>
          <w:spacing w:val="-3"/>
        </w:rPr>
        <w:t>IPART</w:t>
      </w:r>
      <w:r>
        <w:rPr>
          <w:spacing w:val="-5"/>
        </w:rPr>
        <w:t xml:space="preserve"> </w:t>
      </w:r>
      <w:r>
        <w:t xml:space="preserve">decided to implement in 2009 </w:t>
      </w:r>
      <w:r>
        <w:rPr>
          <w:spacing w:val="-1"/>
        </w:rPr>
        <w:t>provides</w:t>
      </w:r>
      <w:r>
        <w:t xml:space="preserve"> some useful insights into how the costs of</w:t>
      </w:r>
      <w:r>
        <w:rPr>
          <w:spacing w:val="29"/>
        </w:rPr>
        <w:t xml:space="preserve"> </w:t>
      </w:r>
      <w:r>
        <w:rPr>
          <w:spacing w:val="-1"/>
        </w:rPr>
        <w:t xml:space="preserve">large-scale infrastructure </w:t>
      </w:r>
      <w:r>
        <w:t>can be</w:t>
      </w:r>
      <w:r>
        <w:rPr>
          <w:spacing w:val="-1"/>
        </w:rPr>
        <w:t xml:space="preserve"> recovered </w:t>
      </w:r>
      <w:r>
        <w:t>when the</w:t>
      </w:r>
      <w:r>
        <w:rPr>
          <w:spacing w:val="-1"/>
        </w:rPr>
        <w:t xml:space="preserve"> </w:t>
      </w:r>
      <w:r>
        <w:t xml:space="preserve">benefits </w:t>
      </w:r>
      <w:r>
        <w:rPr>
          <w:spacing w:val="-1"/>
        </w:rPr>
        <w:t xml:space="preserve">associated </w:t>
      </w:r>
      <w:r>
        <w:t>with</w:t>
      </w:r>
      <w:r>
        <w:rPr>
          <w:spacing w:val="-1"/>
        </w:rPr>
        <w:t xml:space="preserve"> </w:t>
      </w:r>
      <w:r>
        <w:t xml:space="preserve">the </w:t>
      </w:r>
      <w:r>
        <w:rPr>
          <w:spacing w:val="-1"/>
        </w:rPr>
        <w:t>infrastructure differ</w:t>
      </w:r>
      <w:r>
        <w:rPr>
          <w:spacing w:val="63"/>
        </w:rPr>
        <w:t xml:space="preserve"> </w:t>
      </w:r>
      <w:r>
        <w:rPr>
          <w:spacing w:val="-1"/>
        </w:rPr>
        <w:t>across</w:t>
      </w:r>
      <w:r>
        <w:t xml:space="preserve"> </w:t>
      </w:r>
      <w:r>
        <w:rPr>
          <w:spacing w:val="-1"/>
        </w:rPr>
        <w:t>generations.</w:t>
      </w:r>
    </w:p>
    <w:p w:rsidR="00D96B91" w:rsidRDefault="00C2656B">
      <w:pPr>
        <w:pStyle w:val="BodyText"/>
        <w:spacing w:before="152" w:line="260" w:lineRule="exact"/>
        <w:ind w:right="1515"/>
      </w:pPr>
      <w:r>
        <w:rPr>
          <w:spacing w:val="-3"/>
        </w:rPr>
        <w:t>IPART</w:t>
      </w:r>
      <w:r>
        <w:rPr>
          <w:spacing w:val="-5"/>
        </w:rPr>
        <w:t xml:space="preserve"> </w:t>
      </w:r>
      <w:r>
        <w:t xml:space="preserve">decided not to use the </w:t>
      </w:r>
      <w:r>
        <w:rPr>
          <w:spacing w:val="-1"/>
        </w:rPr>
        <w:t>traditional</w:t>
      </w:r>
      <w:r>
        <w:t xml:space="preserve"> </w:t>
      </w:r>
      <w:r>
        <w:rPr>
          <w:spacing w:val="-1"/>
        </w:rPr>
        <w:t>straight</w:t>
      </w:r>
      <w:r>
        <w:t xml:space="preserve"> line </w:t>
      </w:r>
      <w:r>
        <w:rPr>
          <w:spacing w:val="-1"/>
        </w:rPr>
        <w:t>approach</w:t>
      </w:r>
      <w:r>
        <w:t xml:space="preserve"> in this case because it was </w:t>
      </w:r>
      <w:r>
        <w:rPr>
          <w:spacing w:val="-1"/>
        </w:rPr>
        <w:t>expected</w:t>
      </w:r>
      <w:r>
        <w:rPr>
          <w:spacing w:val="47"/>
        </w:rPr>
        <w:t xml:space="preserve"> </w:t>
      </w:r>
      <w:r>
        <w:t>to</w:t>
      </w:r>
      <w:r>
        <w:rPr>
          <w:spacing w:val="-1"/>
        </w:rPr>
        <w:t xml:space="preserve"> result</w:t>
      </w:r>
      <w:r>
        <w:t xml:space="preserve"> in</w:t>
      </w:r>
      <w:r>
        <w:rPr>
          <w:spacing w:val="-1"/>
        </w:rPr>
        <w:t xml:space="preserve"> </w:t>
      </w:r>
      <w:r>
        <w:t xml:space="preserve">price </w:t>
      </w:r>
      <w:r>
        <w:rPr>
          <w:spacing w:val="-1"/>
        </w:rPr>
        <w:t xml:space="preserve">increases </w:t>
      </w:r>
      <w:r>
        <w:t xml:space="preserve">for </w:t>
      </w:r>
      <w:r>
        <w:rPr>
          <w:spacing w:val="-1"/>
        </w:rPr>
        <w:t>current</w:t>
      </w:r>
      <w:r>
        <w:t xml:space="preserve"> customers</w:t>
      </w:r>
      <w:r>
        <w:rPr>
          <w:spacing w:val="-1"/>
        </w:rPr>
        <w:t xml:space="preserve"> that</w:t>
      </w:r>
      <w:r>
        <w:t xml:space="preserve"> </w:t>
      </w:r>
      <w:r>
        <w:rPr>
          <w:spacing w:val="-1"/>
        </w:rPr>
        <w:t>were disproportionate</w:t>
      </w:r>
      <w:r>
        <w:t xml:space="preserve"> to</w:t>
      </w:r>
      <w:r>
        <w:rPr>
          <w:spacing w:val="-1"/>
        </w:rPr>
        <w:t xml:space="preserve"> </w:t>
      </w:r>
      <w:r>
        <w:t>the benefit they</w:t>
      </w:r>
      <w:r>
        <w:rPr>
          <w:spacing w:val="-1"/>
        </w:rPr>
        <w:t xml:space="preserve"> were</w:t>
      </w:r>
      <w:r>
        <w:rPr>
          <w:spacing w:val="35"/>
        </w:rPr>
        <w:t xml:space="preserve"> </w:t>
      </w:r>
      <w:r>
        <w:rPr>
          <w:spacing w:val="-1"/>
        </w:rPr>
        <w:t>expected</w:t>
      </w:r>
      <w:r>
        <w:t xml:space="preserve"> to derive </w:t>
      </w:r>
      <w:r>
        <w:rPr>
          <w:spacing w:val="-1"/>
        </w:rPr>
        <w:t>from</w:t>
      </w:r>
      <w:r>
        <w:t xml:space="preserve"> </w:t>
      </w:r>
      <w:r>
        <w:rPr>
          <w:spacing w:val="-1"/>
        </w:rPr>
        <w:t>improvements</w:t>
      </w:r>
      <w:r>
        <w:t xml:space="preserve"> in </w:t>
      </w:r>
      <w:r>
        <w:rPr>
          <w:spacing w:val="-1"/>
        </w:rPr>
        <w:t>water</w:t>
      </w:r>
      <w:r>
        <w:t xml:space="preserve"> </w:t>
      </w:r>
      <w:r>
        <w:rPr>
          <w:spacing w:val="-1"/>
        </w:rPr>
        <w:t>security.</w:t>
      </w:r>
      <w:r>
        <w:rPr>
          <w:spacing w:val="-6"/>
        </w:rPr>
        <w:t xml:space="preserve"> </w:t>
      </w:r>
      <w:r>
        <w:rPr>
          <w:spacing w:val="-1"/>
        </w:rPr>
        <w:t>Instead,</w:t>
      </w:r>
      <w:r>
        <w:rPr>
          <w:spacing w:val="-6"/>
        </w:rPr>
        <w:t xml:space="preserve"> </w:t>
      </w:r>
      <w:r>
        <w:rPr>
          <w:spacing w:val="-3"/>
        </w:rPr>
        <w:t>IPART</w:t>
      </w:r>
      <w:r>
        <w:rPr>
          <w:spacing w:val="-5"/>
        </w:rPr>
        <w:t xml:space="preserve"> </w:t>
      </w:r>
      <w:r>
        <w:t>decided to only allow 40% of</w:t>
      </w:r>
    </w:p>
    <w:p w:rsidR="00D96B91" w:rsidRDefault="00C2656B">
      <w:pPr>
        <w:pStyle w:val="BodyText"/>
        <w:spacing w:line="260" w:lineRule="exact"/>
        <w:ind w:right="1283"/>
      </w:pPr>
      <w:r>
        <w:t xml:space="preserve">the </w:t>
      </w:r>
      <w:r>
        <w:rPr>
          <w:spacing w:val="-1"/>
        </w:rPr>
        <w:t>forecast</w:t>
      </w:r>
      <w:r>
        <w:t xml:space="preserve"> capital </w:t>
      </w:r>
      <w:r>
        <w:rPr>
          <w:spacing w:val="-1"/>
        </w:rPr>
        <w:t>expenditure</w:t>
      </w:r>
      <w:r>
        <w:t xml:space="preserve"> of</w:t>
      </w:r>
      <w:r>
        <w:rPr>
          <w:spacing w:val="4"/>
        </w:rPr>
        <w:t xml:space="preserve"> </w:t>
      </w:r>
      <w:r>
        <w:t xml:space="preserve">the dam to be included in the </w:t>
      </w:r>
      <w:r>
        <w:rPr>
          <w:spacing w:val="-1"/>
        </w:rPr>
        <w:t>calculation</w:t>
      </w:r>
      <w:r>
        <w:t xml:space="preserve"> of</w:t>
      </w:r>
      <w:r>
        <w:rPr>
          <w:spacing w:val="4"/>
        </w:rPr>
        <w:t xml:space="preserve"> </w:t>
      </w:r>
      <w:r>
        <w:t>Hunter</w:t>
      </w:r>
      <w:r>
        <w:rPr>
          <w:spacing w:val="-3"/>
        </w:rPr>
        <w:t xml:space="preserve"> Water’s</w:t>
      </w:r>
      <w:r>
        <w:t xml:space="preserve"> </w:t>
      </w:r>
      <w:r>
        <w:rPr>
          <w:spacing w:val="-1"/>
        </w:rPr>
        <w:t>revenue</w:t>
      </w:r>
      <w:r>
        <w:rPr>
          <w:spacing w:val="51"/>
        </w:rPr>
        <w:t xml:space="preserve"> </w:t>
      </w:r>
      <w:r>
        <w:rPr>
          <w:spacing w:val="-1"/>
        </w:rPr>
        <w:t>requirement</w:t>
      </w:r>
      <w:r>
        <w:t xml:space="preserve"> in the 2009 </w:t>
      </w:r>
      <w:r>
        <w:rPr>
          <w:spacing w:val="-1"/>
        </w:rPr>
        <w:t>regulatory</w:t>
      </w:r>
      <w:r>
        <w:t xml:space="preserve"> </w:t>
      </w:r>
      <w:r>
        <w:rPr>
          <w:spacing w:val="-1"/>
        </w:rPr>
        <w:t>determination</w:t>
      </w:r>
      <w:r>
        <w:t xml:space="preserve"> and to defer the </w:t>
      </w:r>
      <w:r>
        <w:rPr>
          <w:spacing w:val="-1"/>
        </w:rPr>
        <w:t>recovery</w:t>
      </w:r>
      <w:r>
        <w:t xml:space="preserve"> of</w:t>
      </w:r>
      <w:r>
        <w:rPr>
          <w:spacing w:val="4"/>
        </w:rPr>
        <w:t xml:space="preserve"> </w:t>
      </w:r>
      <w:r>
        <w:t xml:space="preserve">the </w:t>
      </w:r>
      <w:r>
        <w:rPr>
          <w:spacing w:val="-1"/>
        </w:rPr>
        <w:t>remaining</w:t>
      </w:r>
      <w:r>
        <w:t xml:space="preserve"> 60% to</w:t>
      </w:r>
      <w:r>
        <w:rPr>
          <w:spacing w:val="55"/>
        </w:rPr>
        <w:t xml:space="preserve"> </w:t>
      </w:r>
      <w:r>
        <w:rPr>
          <w:spacing w:val="-1"/>
        </w:rPr>
        <w:t>future</w:t>
      </w:r>
      <w:r>
        <w:t xml:space="preserve"> </w:t>
      </w:r>
      <w:r>
        <w:rPr>
          <w:spacing w:val="-1"/>
        </w:rPr>
        <w:t>regulatory</w:t>
      </w:r>
      <w:r>
        <w:t xml:space="preserve"> periods.</w:t>
      </w:r>
      <w:r>
        <w:rPr>
          <w:spacing w:val="-6"/>
        </w:rPr>
        <w:t xml:space="preserve"> </w:t>
      </w:r>
      <w:r>
        <w:t xml:space="preserve">In </w:t>
      </w:r>
      <w:r>
        <w:rPr>
          <w:spacing w:val="-1"/>
        </w:rPr>
        <w:t>effect,</w:t>
      </w:r>
      <w:r>
        <w:rPr>
          <w:spacing w:val="-6"/>
        </w:rPr>
        <w:t xml:space="preserve"> </w:t>
      </w:r>
      <w:r>
        <w:t xml:space="preserve">this </w:t>
      </w:r>
      <w:r>
        <w:rPr>
          <w:spacing w:val="-1"/>
        </w:rPr>
        <w:t>approach</w:t>
      </w:r>
      <w:r>
        <w:t xml:space="preserve"> </w:t>
      </w:r>
      <w:r>
        <w:rPr>
          <w:spacing w:val="-1"/>
        </w:rPr>
        <w:t>meant</w:t>
      </w:r>
      <w:r>
        <w:t xml:space="preserve"> </w:t>
      </w:r>
      <w:r>
        <w:rPr>
          <w:spacing w:val="-1"/>
        </w:rPr>
        <w:t>that</w:t>
      </w:r>
      <w:r>
        <w:t xml:space="preserve"> </w:t>
      </w:r>
      <w:r>
        <w:rPr>
          <w:spacing w:val="-1"/>
        </w:rPr>
        <w:t>current</w:t>
      </w:r>
      <w:r>
        <w:t xml:space="preserve"> users only paid for </w:t>
      </w:r>
      <w:r>
        <w:rPr>
          <w:spacing w:val="-1"/>
        </w:rPr>
        <w:t>that</w:t>
      </w:r>
      <w:r>
        <w:t xml:space="preserve"> </w:t>
      </w:r>
      <w:r>
        <w:rPr>
          <w:spacing w:val="-1"/>
        </w:rPr>
        <w:t>portion</w:t>
      </w:r>
      <w:r>
        <w:t xml:space="preserve"> of</w:t>
      </w:r>
      <w:r>
        <w:rPr>
          <w:spacing w:val="53"/>
        </w:rPr>
        <w:t xml:space="preserve"> </w:t>
      </w:r>
      <w:r>
        <w:t xml:space="preserve">the investment </w:t>
      </w:r>
      <w:r>
        <w:rPr>
          <w:spacing w:val="-1"/>
        </w:rPr>
        <w:t>that</w:t>
      </w:r>
      <w:r>
        <w:t xml:space="preserve"> was </w:t>
      </w:r>
      <w:r>
        <w:rPr>
          <w:spacing w:val="-1"/>
        </w:rPr>
        <w:t>required</w:t>
      </w:r>
      <w:r>
        <w:t xml:space="preserve"> to </w:t>
      </w:r>
      <w:r>
        <w:rPr>
          <w:spacing w:val="-1"/>
        </w:rPr>
        <w:t>improve</w:t>
      </w:r>
      <w:r>
        <w:t xml:space="preserve"> the level of</w:t>
      </w:r>
      <w:r>
        <w:rPr>
          <w:spacing w:val="4"/>
        </w:rPr>
        <w:t xml:space="preserve"> </w:t>
      </w:r>
      <w:r>
        <w:rPr>
          <w:spacing w:val="-1"/>
        </w:rPr>
        <w:t>water</w:t>
      </w:r>
      <w:r>
        <w:t xml:space="preserve"> security </w:t>
      </w:r>
      <w:r>
        <w:rPr>
          <w:spacing w:val="-1"/>
        </w:rPr>
        <w:t>required</w:t>
      </w:r>
      <w:r>
        <w:t xml:space="preserve"> by </w:t>
      </w:r>
      <w:r>
        <w:rPr>
          <w:spacing w:val="-1"/>
        </w:rPr>
        <w:t>current</w:t>
      </w:r>
      <w:r>
        <w:t xml:space="preserve"> users.</w:t>
      </w:r>
    </w:p>
    <w:p w:rsidR="00D96B91" w:rsidRDefault="00C2656B">
      <w:pPr>
        <w:pStyle w:val="BodyText"/>
        <w:spacing w:before="170" w:line="260" w:lineRule="exact"/>
        <w:ind w:right="1390"/>
      </w:pPr>
      <w:r>
        <w:rPr>
          <w:spacing w:val="-10"/>
        </w:rPr>
        <w:t>To</w:t>
      </w:r>
      <w:r>
        <w:t xml:space="preserve"> give </w:t>
      </w:r>
      <w:r>
        <w:rPr>
          <w:spacing w:val="-1"/>
        </w:rPr>
        <w:t>effect</w:t>
      </w:r>
      <w:r>
        <w:t xml:space="preserve"> to the </w:t>
      </w:r>
      <w:r>
        <w:rPr>
          <w:spacing w:val="-1"/>
        </w:rPr>
        <w:t>deferral,</w:t>
      </w:r>
      <w:r>
        <w:rPr>
          <w:spacing w:val="-6"/>
        </w:rPr>
        <w:t xml:space="preserve"> </w:t>
      </w:r>
      <w:r>
        <w:rPr>
          <w:spacing w:val="-3"/>
        </w:rPr>
        <w:t>IPART</w:t>
      </w:r>
      <w:r>
        <w:rPr>
          <w:spacing w:val="-5"/>
        </w:rPr>
        <w:t xml:space="preserve"> </w:t>
      </w:r>
      <w:r>
        <w:t>established a new account in Hunter</w:t>
      </w:r>
      <w:r>
        <w:rPr>
          <w:spacing w:val="-3"/>
        </w:rPr>
        <w:t xml:space="preserve"> Water’s</w:t>
      </w:r>
      <w:r>
        <w:t xml:space="preserve"> RAB </w:t>
      </w:r>
      <w:r>
        <w:rPr>
          <w:spacing w:val="-1"/>
        </w:rPr>
        <w:t>(referred</w:t>
      </w:r>
      <w:r>
        <w:t xml:space="preserve"> to as</w:t>
      </w:r>
      <w:r>
        <w:rPr>
          <w:spacing w:val="29"/>
        </w:rPr>
        <w:t xml:space="preserve"> </w:t>
      </w:r>
      <w:r>
        <w:t xml:space="preserve">the </w:t>
      </w:r>
      <w:r>
        <w:rPr>
          <w:spacing w:val="-1"/>
        </w:rPr>
        <w:t>‘Deferred</w:t>
      </w:r>
      <w:r>
        <w:rPr>
          <w:spacing w:val="-5"/>
        </w:rPr>
        <w:t xml:space="preserve"> </w:t>
      </w:r>
      <w:r>
        <w:rPr>
          <w:spacing w:val="-1"/>
        </w:rPr>
        <w:t>Tillegra</w:t>
      </w:r>
      <w:r>
        <w:t xml:space="preserve"> Dam </w:t>
      </w:r>
      <w:r>
        <w:rPr>
          <w:spacing w:val="-1"/>
        </w:rPr>
        <w:t>Revenue</w:t>
      </w:r>
      <w:r>
        <w:rPr>
          <w:spacing w:val="-4"/>
        </w:rPr>
        <w:t xml:space="preserve"> </w:t>
      </w:r>
      <w:r>
        <w:t xml:space="preserve">Asset’) and included the outstanding </w:t>
      </w:r>
      <w:r>
        <w:rPr>
          <w:spacing w:val="-1"/>
        </w:rPr>
        <w:t>expenditure</w:t>
      </w:r>
      <w:r>
        <w:t xml:space="preserve"> in this account.</w:t>
      </w:r>
      <w:r>
        <w:rPr>
          <w:spacing w:val="41"/>
        </w:rPr>
        <w:t xml:space="preserve"> </w:t>
      </w:r>
      <w:r>
        <w:rPr>
          <w:spacing w:val="-3"/>
        </w:rPr>
        <w:t>IPART</w:t>
      </w:r>
      <w:r>
        <w:rPr>
          <w:spacing w:val="-5"/>
        </w:rPr>
        <w:t xml:space="preserve"> </w:t>
      </w:r>
      <w:r>
        <w:t xml:space="preserve">also allowed this account to </w:t>
      </w:r>
      <w:r>
        <w:rPr>
          <w:spacing w:val="-2"/>
        </w:rPr>
        <w:t>attract</w:t>
      </w:r>
      <w:r>
        <w:t xml:space="preserve"> a </w:t>
      </w:r>
      <w:r>
        <w:rPr>
          <w:spacing w:val="-1"/>
        </w:rPr>
        <w:t>return</w:t>
      </w:r>
      <w:r>
        <w:t xml:space="preserve"> on assets to </w:t>
      </w:r>
      <w:r>
        <w:rPr>
          <w:spacing w:val="-1"/>
        </w:rPr>
        <w:t>ensure</w:t>
      </w:r>
      <w:r>
        <w:t xml:space="preserve"> </w:t>
      </w:r>
      <w:r>
        <w:rPr>
          <w:spacing w:val="-1"/>
        </w:rPr>
        <w:t>that</w:t>
      </w:r>
      <w:r>
        <w:t xml:space="preserve"> in net </w:t>
      </w:r>
      <w:r>
        <w:rPr>
          <w:spacing w:val="-1"/>
        </w:rPr>
        <w:t>present</w:t>
      </w:r>
      <w:r>
        <w:t xml:space="preserve"> value (NPV)</w:t>
      </w:r>
      <w:r>
        <w:rPr>
          <w:spacing w:val="29"/>
        </w:rPr>
        <w:t xml:space="preserve"> </w:t>
      </w:r>
      <w:r>
        <w:t>terms,</w:t>
      </w:r>
      <w:r>
        <w:rPr>
          <w:spacing w:val="-7"/>
        </w:rPr>
        <w:t xml:space="preserve"> </w:t>
      </w:r>
      <w:r>
        <w:t>Hunter</w:t>
      </w:r>
      <w:r>
        <w:rPr>
          <w:spacing w:val="-3"/>
        </w:rPr>
        <w:t xml:space="preserve"> </w:t>
      </w:r>
      <w:r>
        <w:rPr>
          <w:spacing w:val="-2"/>
        </w:rPr>
        <w:t>Water</w:t>
      </w:r>
      <w:r>
        <w:rPr>
          <w:spacing w:val="-1"/>
        </w:rPr>
        <w:t xml:space="preserve"> </w:t>
      </w:r>
      <w:r>
        <w:t>was no</w:t>
      </w:r>
      <w:r>
        <w:rPr>
          <w:spacing w:val="-1"/>
        </w:rPr>
        <w:t xml:space="preserve"> </w:t>
      </w:r>
      <w:r>
        <w:t xml:space="preserve">worse </w:t>
      </w:r>
      <w:r>
        <w:rPr>
          <w:spacing w:val="-2"/>
        </w:rPr>
        <w:t>off</w:t>
      </w:r>
      <w:r>
        <w:rPr>
          <w:spacing w:val="4"/>
        </w:rPr>
        <w:t xml:space="preserve"> </w:t>
      </w:r>
      <w:r>
        <w:t>as</w:t>
      </w:r>
      <w:r>
        <w:rPr>
          <w:spacing w:val="-1"/>
        </w:rPr>
        <w:t xml:space="preserve"> </w:t>
      </w:r>
      <w:r>
        <w:t xml:space="preserve">a </w:t>
      </w:r>
      <w:r>
        <w:rPr>
          <w:spacing w:val="-1"/>
        </w:rPr>
        <w:t xml:space="preserve">result </w:t>
      </w:r>
      <w:r>
        <w:t>of</w:t>
      </w:r>
      <w:r>
        <w:rPr>
          <w:spacing w:val="4"/>
        </w:rPr>
        <w:t xml:space="preserve"> </w:t>
      </w:r>
      <w:r>
        <w:t>the</w:t>
      </w:r>
      <w:r>
        <w:rPr>
          <w:spacing w:val="-1"/>
        </w:rPr>
        <w:t xml:space="preserve"> deferral</w:t>
      </w:r>
      <w:r>
        <w:t xml:space="preserve"> and </w:t>
      </w:r>
      <w:r>
        <w:rPr>
          <w:spacing w:val="-1"/>
        </w:rPr>
        <w:t xml:space="preserve">that </w:t>
      </w:r>
      <w:r>
        <w:t>its long-term</w:t>
      </w:r>
      <w:r>
        <w:rPr>
          <w:spacing w:val="-1"/>
        </w:rPr>
        <w:t xml:space="preserve"> </w:t>
      </w:r>
      <w:r>
        <w:t>financial viability</w:t>
      </w:r>
      <w:r>
        <w:rPr>
          <w:spacing w:val="23"/>
        </w:rPr>
        <w:t xml:space="preserve"> </w:t>
      </w:r>
      <w:r>
        <w:t xml:space="preserve">was not </w:t>
      </w:r>
      <w:r>
        <w:rPr>
          <w:spacing w:val="-1"/>
        </w:rPr>
        <w:t>affected.</w:t>
      </w:r>
    </w:p>
    <w:p w:rsidR="00D96B91" w:rsidRDefault="00C2656B">
      <w:pPr>
        <w:pStyle w:val="BodyText"/>
        <w:spacing w:before="178"/>
        <w:rPr>
          <w:sz w:val="11"/>
          <w:szCs w:val="11"/>
        </w:rPr>
      </w:pPr>
      <w:r>
        <w:rPr>
          <w:rFonts w:cs="Avenir Next"/>
          <w:spacing w:val="-4"/>
        </w:rPr>
        <w:t>IPART’s</w:t>
      </w:r>
      <w:r>
        <w:rPr>
          <w:rFonts w:cs="Avenir Next"/>
          <w:spacing w:val="1"/>
        </w:rPr>
        <w:t xml:space="preserve"> </w:t>
      </w:r>
      <w:r>
        <w:rPr>
          <w:rFonts w:cs="Avenir Next"/>
          <w:spacing w:val="-1"/>
        </w:rPr>
        <w:t>rationale</w:t>
      </w:r>
      <w:r>
        <w:rPr>
          <w:rFonts w:cs="Avenir Next"/>
          <w:spacing w:val="1"/>
        </w:rPr>
        <w:t xml:space="preserve"> </w:t>
      </w:r>
      <w:r>
        <w:rPr>
          <w:rFonts w:cs="Avenir Next"/>
        </w:rPr>
        <w:t>for</w:t>
      </w:r>
      <w:r>
        <w:rPr>
          <w:rFonts w:cs="Avenir Next"/>
          <w:spacing w:val="1"/>
        </w:rPr>
        <w:t xml:space="preserve"> </w:t>
      </w:r>
      <w:r>
        <w:rPr>
          <w:rFonts w:cs="Avenir Next"/>
        </w:rPr>
        <w:t>adopting</w:t>
      </w:r>
      <w:r>
        <w:rPr>
          <w:rFonts w:cs="Avenir Next"/>
          <w:spacing w:val="1"/>
        </w:rPr>
        <w:t xml:space="preserve"> </w:t>
      </w:r>
      <w:r>
        <w:rPr>
          <w:rFonts w:cs="Avenir Next"/>
        </w:rPr>
        <w:t>this</w:t>
      </w:r>
      <w:r>
        <w:rPr>
          <w:rFonts w:cs="Avenir Next"/>
          <w:spacing w:val="1"/>
        </w:rPr>
        <w:t xml:space="preserve"> </w:t>
      </w:r>
      <w:r>
        <w:rPr>
          <w:rFonts w:cs="Avenir Next"/>
          <w:spacing w:val="-1"/>
        </w:rPr>
        <w:t>approach</w:t>
      </w:r>
      <w:r>
        <w:rPr>
          <w:rFonts w:cs="Avenir Next"/>
          <w:spacing w:val="1"/>
        </w:rPr>
        <w:t xml:space="preserve"> </w:t>
      </w:r>
      <w:r>
        <w:rPr>
          <w:rFonts w:cs="Avenir Next"/>
        </w:rPr>
        <w:t>is</w:t>
      </w:r>
      <w:r>
        <w:rPr>
          <w:rFonts w:cs="Avenir Next"/>
          <w:spacing w:val="1"/>
        </w:rPr>
        <w:t xml:space="preserve"> </w:t>
      </w:r>
      <w:r>
        <w:rPr>
          <w:rFonts w:cs="Avenir Next"/>
          <w:spacing w:val="-1"/>
        </w:rPr>
        <w:t>captured</w:t>
      </w:r>
      <w:r>
        <w:rPr>
          <w:rFonts w:cs="Avenir Next"/>
          <w:spacing w:val="1"/>
        </w:rPr>
        <w:t xml:space="preserve"> </w:t>
      </w:r>
      <w:r>
        <w:rPr>
          <w:rFonts w:cs="Avenir Next"/>
        </w:rPr>
        <w:t>in</w:t>
      </w:r>
      <w:r>
        <w:rPr>
          <w:rFonts w:cs="Avenir Next"/>
          <w:spacing w:val="1"/>
        </w:rPr>
        <w:t xml:space="preserve"> </w:t>
      </w:r>
      <w:r>
        <w:rPr>
          <w:rFonts w:cs="Avenir Next"/>
        </w:rPr>
        <w:t>the</w:t>
      </w:r>
      <w:r>
        <w:rPr>
          <w:rFonts w:cs="Avenir Next"/>
          <w:spacing w:val="1"/>
        </w:rPr>
        <w:t xml:space="preserve"> </w:t>
      </w:r>
      <w:r>
        <w:rPr>
          <w:rFonts w:cs="Avenir Next"/>
        </w:rPr>
        <w:t>following</w:t>
      </w:r>
      <w:r>
        <w:rPr>
          <w:rFonts w:cs="Avenir Next"/>
          <w:spacing w:val="1"/>
        </w:rPr>
        <w:t xml:space="preserve"> </w:t>
      </w:r>
      <w:r>
        <w:rPr>
          <w:rFonts w:cs="Avenir Next"/>
          <w:spacing w:val="-1"/>
        </w:rPr>
        <w:t>statement:</w:t>
      </w:r>
      <w:r>
        <w:rPr>
          <w:spacing w:val="-1"/>
          <w:position w:val="7"/>
          <w:sz w:val="11"/>
          <w:szCs w:val="11"/>
        </w:rPr>
        <w:t>250</w:t>
      </w:r>
    </w:p>
    <w:p w:rsidR="00D96B91" w:rsidRDefault="00C2656B">
      <w:pPr>
        <w:pStyle w:val="BodyText"/>
        <w:spacing w:before="149" w:line="260" w:lineRule="exact"/>
        <w:ind w:left="1644" w:right="1548"/>
      </w:pPr>
      <w:r>
        <w:rPr>
          <w:spacing w:val="-1"/>
        </w:rPr>
        <w:t>“This approach</w:t>
      </w:r>
      <w:r>
        <w:t xml:space="preserve"> aligns the</w:t>
      </w:r>
      <w:r>
        <w:rPr>
          <w:spacing w:val="-1"/>
        </w:rPr>
        <w:t xml:space="preserve"> profile</w:t>
      </w:r>
      <w:r>
        <w:t xml:space="preserve"> for </w:t>
      </w:r>
      <w:r>
        <w:rPr>
          <w:spacing w:val="-1"/>
        </w:rPr>
        <w:t>recovery</w:t>
      </w:r>
      <w:r>
        <w:t xml:space="preserve"> of</w:t>
      </w:r>
      <w:r>
        <w:rPr>
          <w:spacing w:val="3"/>
        </w:rPr>
        <w:t xml:space="preserve"> </w:t>
      </w:r>
      <w:r>
        <w:t>Hunter</w:t>
      </w:r>
      <w:r>
        <w:rPr>
          <w:spacing w:val="-3"/>
        </w:rPr>
        <w:t xml:space="preserve"> Water’s</w:t>
      </w:r>
      <w:r>
        <w:t xml:space="preserve"> costs for</w:t>
      </w:r>
      <w:r>
        <w:rPr>
          <w:spacing w:val="-6"/>
        </w:rPr>
        <w:t xml:space="preserve"> </w:t>
      </w:r>
      <w:r>
        <w:rPr>
          <w:spacing w:val="-1"/>
        </w:rPr>
        <w:t>Tillegra</w:t>
      </w:r>
      <w:r>
        <w:t xml:space="preserve"> Dam with the</w:t>
      </w:r>
      <w:r>
        <w:rPr>
          <w:spacing w:val="45"/>
        </w:rPr>
        <w:t xml:space="preserve"> </w:t>
      </w:r>
      <w:r>
        <w:rPr>
          <w:spacing w:val="-1"/>
        </w:rPr>
        <w:t xml:space="preserve">respective </w:t>
      </w:r>
      <w:r>
        <w:t>benefits</w:t>
      </w:r>
      <w:r>
        <w:rPr>
          <w:spacing w:val="-1"/>
        </w:rPr>
        <w:t xml:space="preserve"> that</w:t>
      </w:r>
      <w:r>
        <w:t xml:space="preserve"> the</w:t>
      </w:r>
      <w:r>
        <w:rPr>
          <w:spacing w:val="-1"/>
        </w:rPr>
        <w:t xml:space="preserve"> </w:t>
      </w:r>
      <w:r>
        <w:t xml:space="preserve">dam </w:t>
      </w:r>
      <w:r>
        <w:rPr>
          <w:spacing w:val="-1"/>
        </w:rPr>
        <w:t xml:space="preserve">provides </w:t>
      </w:r>
      <w:r>
        <w:t>to the</w:t>
      </w:r>
      <w:r>
        <w:rPr>
          <w:spacing w:val="-1"/>
        </w:rPr>
        <w:t xml:space="preserve"> current </w:t>
      </w:r>
      <w:r>
        <w:t xml:space="preserve">and </w:t>
      </w:r>
      <w:r>
        <w:rPr>
          <w:spacing w:val="-1"/>
        </w:rPr>
        <w:t>future population.</w:t>
      </w:r>
      <w:r>
        <w:rPr>
          <w:spacing w:val="-11"/>
        </w:rPr>
        <w:t xml:space="preserve"> </w:t>
      </w:r>
      <w:r>
        <w:rPr>
          <w:spacing w:val="-2"/>
        </w:rPr>
        <w:t>The</w:t>
      </w:r>
      <w:r>
        <w:rPr>
          <w:spacing w:val="-1"/>
        </w:rPr>
        <w:t xml:space="preserve"> approach</w:t>
      </w:r>
      <w:r>
        <w:rPr>
          <w:spacing w:val="63"/>
        </w:rPr>
        <w:t xml:space="preserve"> </w:t>
      </w:r>
      <w:r>
        <w:rPr>
          <w:rFonts w:cs="Avenir Next"/>
        </w:rPr>
        <w:t xml:space="preserve">also </w:t>
      </w:r>
      <w:r>
        <w:rPr>
          <w:rFonts w:cs="Avenir Next"/>
          <w:spacing w:val="-1"/>
        </w:rPr>
        <w:t>alleviates</w:t>
      </w:r>
      <w:r>
        <w:rPr>
          <w:rFonts w:cs="Avenir Next"/>
        </w:rPr>
        <w:t xml:space="preserve"> the cost </w:t>
      </w:r>
      <w:r>
        <w:rPr>
          <w:rFonts w:cs="Avenir Next"/>
          <w:spacing w:val="-1"/>
        </w:rPr>
        <w:t>burden</w:t>
      </w:r>
      <w:r>
        <w:rPr>
          <w:rFonts w:cs="Avenir Next"/>
        </w:rPr>
        <w:t xml:space="preserve"> on the </w:t>
      </w:r>
      <w:r>
        <w:rPr>
          <w:rFonts w:cs="Avenir Next"/>
          <w:spacing w:val="-1"/>
        </w:rPr>
        <w:t>relatively</w:t>
      </w:r>
      <w:r>
        <w:rPr>
          <w:rFonts w:cs="Avenir Next"/>
        </w:rPr>
        <w:t xml:space="preserve"> small base of</w:t>
      </w:r>
      <w:r>
        <w:rPr>
          <w:rFonts w:cs="Avenir Next"/>
          <w:spacing w:val="4"/>
        </w:rPr>
        <w:t xml:space="preserve"> </w:t>
      </w:r>
      <w:r>
        <w:rPr>
          <w:rFonts w:cs="Avenir Next"/>
          <w:spacing w:val="-1"/>
        </w:rPr>
        <w:t>current</w:t>
      </w:r>
      <w:r>
        <w:rPr>
          <w:rFonts w:cs="Avenir Next"/>
        </w:rPr>
        <w:t xml:space="preserve"> customers and </w:t>
      </w:r>
      <w:r>
        <w:rPr>
          <w:rFonts w:cs="Avenir Next"/>
          <w:spacing w:val="-1"/>
        </w:rPr>
        <w:t>thereby</w:t>
      </w:r>
      <w:r>
        <w:rPr>
          <w:rFonts w:cs="Avenir Next"/>
          <w:spacing w:val="41"/>
        </w:rPr>
        <w:t xml:space="preserve"> </w:t>
      </w:r>
      <w:r>
        <w:rPr>
          <w:spacing w:val="-1"/>
        </w:rPr>
        <w:t>addresses</w:t>
      </w:r>
      <w:r>
        <w:t xml:space="preserve"> </w:t>
      </w:r>
      <w:r>
        <w:rPr>
          <w:spacing w:val="-1"/>
        </w:rPr>
        <w:t>intergenerational</w:t>
      </w:r>
      <w:r>
        <w:t xml:space="preserve"> equity concerns.</w:t>
      </w:r>
      <w:r>
        <w:rPr>
          <w:spacing w:val="-6"/>
        </w:rPr>
        <w:t xml:space="preserve"> </w:t>
      </w:r>
      <w:r>
        <w:rPr>
          <w:spacing w:val="-2"/>
        </w:rPr>
        <w:t>Furthermore,</w:t>
      </w:r>
      <w:r>
        <w:rPr>
          <w:spacing w:val="-6"/>
        </w:rPr>
        <w:t xml:space="preserve"> </w:t>
      </w:r>
      <w:r>
        <w:t>because Hunter</w:t>
      </w:r>
      <w:r>
        <w:rPr>
          <w:spacing w:val="-3"/>
        </w:rPr>
        <w:t xml:space="preserve"> </w:t>
      </w:r>
      <w:r>
        <w:rPr>
          <w:spacing w:val="-2"/>
        </w:rPr>
        <w:t>Water</w:t>
      </w:r>
      <w:r>
        <w:t xml:space="preserve"> will fully</w:t>
      </w:r>
      <w:r>
        <w:rPr>
          <w:spacing w:val="43"/>
        </w:rPr>
        <w:t xml:space="preserve"> </w:t>
      </w:r>
      <w:r>
        <w:rPr>
          <w:spacing w:val="-1"/>
        </w:rPr>
        <w:t xml:space="preserve">recover </w:t>
      </w:r>
      <w:r>
        <w:t>the costs</w:t>
      </w:r>
      <w:r>
        <w:rPr>
          <w:spacing w:val="-1"/>
        </w:rPr>
        <w:t xml:space="preserve"> </w:t>
      </w:r>
      <w:r>
        <w:t>of</w:t>
      </w:r>
      <w:r>
        <w:rPr>
          <w:spacing w:val="-1"/>
        </w:rPr>
        <w:t xml:space="preserve"> Tillegra</w:t>
      </w:r>
      <w:r>
        <w:t xml:space="preserve"> Dam</w:t>
      </w:r>
      <w:r>
        <w:rPr>
          <w:spacing w:val="-1"/>
        </w:rPr>
        <w:t xml:space="preserve"> </w:t>
      </w:r>
      <w:r>
        <w:t>over time,</w:t>
      </w:r>
      <w:r>
        <w:rPr>
          <w:spacing w:val="-6"/>
        </w:rPr>
        <w:t xml:space="preserve"> </w:t>
      </w:r>
      <w:r>
        <w:t>the</w:t>
      </w:r>
      <w:r>
        <w:rPr>
          <w:spacing w:val="-1"/>
        </w:rPr>
        <w:t xml:space="preserve"> </w:t>
      </w:r>
      <w:r>
        <w:t>long-term financial</w:t>
      </w:r>
      <w:r>
        <w:rPr>
          <w:spacing w:val="-1"/>
        </w:rPr>
        <w:t xml:space="preserve"> </w:t>
      </w:r>
      <w:r>
        <w:t>viability</w:t>
      </w:r>
      <w:r>
        <w:rPr>
          <w:spacing w:val="-1"/>
        </w:rPr>
        <w:t xml:space="preserve"> </w:t>
      </w:r>
      <w:r>
        <w:t>of</w:t>
      </w:r>
      <w:r>
        <w:rPr>
          <w:spacing w:val="4"/>
        </w:rPr>
        <w:t xml:space="preserve"> </w:t>
      </w:r>
      <w:r>
        <w:t>Hunter</w:t>
      </w:r>
      <w:r>
        <w:rPr>
          <w:spacing w:val="-4"/>
        </w:rPr>
        <w:t xml:space="preserve"> </w:t>
      </w:r>
      <w:r>
        <w:rPr>
          <w:spacing w:val="-2"/>
        </w:rPr>
        <w:t>Water</w:t>
      </w:r>
      <w:r>
        <w:t xml:space="preserve"> is</w:t>
      </w:r>
      <w:r>
        <w:rPr>
          <w:spacing w:val="26"/>
        </w:rPr>
        <w:t xml:space="preserve"> </w:t>
      </w:r>
      <w:r>
        <w:t xml:space="preserve">not </w:t>
      </w:r>
      <w:r>
        <w:rPr>
          <w:spacing w:val="-1"/>
        </w:rPr>
        <w:t>affected.</w:t>
      </w:r>
      <w:r>
        <w:rPr>
          <w:spacing w:val="-6"/>
        </w:rPr>
        <w:t xml:space="preserve"> </w:t>
      </w:r>
      <w:r>
        <w:rPr>
          <w:spacing w:val="-2"/>
        </w:rPr>
        <w:t>Following</w:t>
      </w:r>
      <w:r>
        <w:t xml:space="preserve"> the </w:t>
      </w:r>
      <w:r>
        <w:rPr>
          <w:spacing w:val="-1"/>
        </w:rPr>
        <w:t>release</w:t>
      </w:r>
      <w:r>
        <w:t xml:space="preserve"> of</w:t>
      </w:r>
      <w:r>
        <w:rPr>
          <w:spacing w:val="4"/>
        </w:rPr>
        <w:t xml:space="preserve"> </w:t>
      </w:r>
      <w:r>
        <w:t xml:space="preserve">its </w:t>
      </w:r>
      <w:r>
        <w:rPr>
          <w:spacing w:val="-2"/>
        </w:rPr>
        <w:t>draft</w:t>
      </w:r>
      <w:r>
        <w:t xml:space="preserve"> </w:t>
      </w:r>
      <w:r>
        <w:rPr>
          <w:spacing w:val="-1"/>
        </w:rPr>
        <w:t>determination</w:t>
      </w:r>
      <w:r>
        <w:t xml:space="preserve"> and </w:t>
      </w:r>
      <w:r>
        <w:rPr>
          <w:spacing w:val="-1"/>
        </w:rPr>
        <w:t>report,</w:t>
      </w:r>
      <w:r>
        <w:rPr>
          <w:spacing w:val="-6"/>
        </w:rPr>
        <w:t xml:space="preserve"> </w:t>
      </w:r>
      <w:r>
        <w:rPr>
          <w:spacing w:val="-3"/>
        </w:rPr>
        <w:t>IPART</w:t>
      </w:r>
      <w:r>
        <w:rPr>
          <w:spacing w:val="-5"/>
        </w:rPr>
        <w:t xml:space="preserve"> </w:t>
      </w:r>
      <w:r>
        <w:rPr>
          <w:spacing w:val="-1"/>
        </w:rPr>
        <w:t>received</w:t>
      </w:r>
      <w:r>
        <w:t xml:space="preserve"> advice</w:t>
      </w:r>
      <w:r>
        <w:rPr>
          <w:spacing w:val="67"/>
        </w:rPr>
        <w:t xml:space="preserve"> </w:t>
      </w:r>
      <w:r>
        <w:rPr>
          <w:rFonts w:cs="Avenir Next"/>
          <w:spacing w:val="-1"/>
        </w:rPr>
        <w:t>that</w:t>
      </w:r>
      <w:r>
        <w:rPr>
          <w:rFonts w:cs="Avenir Next"/>
        </w:rPr>
        <w:t xml:space="preserve"> this </w:t>
      </w:r>
      <w:r>
        <w:rPr>
          <w:rFonts w:cs="Avenir Next"/>
          <w:spacing w:val="-1"/>
        </w:rPr>
        <w:t>treatment</w:t>
      </w:r>
      <w:r>
        <w:rPr>
          <w:rFonts w:cs="Avenir Next"/>
        </w:rPr>
        <w:t xml:space="preserve"> of </w:t>
      </w:r>
      <w:r>
        <w:rPr>
          <w:rFonts w:cs="Avenir Next"/>
          <w:spacing w:val="-1"/>
        </w:rPr>
        <w:t>Tillegra</w:t>
      </w:r>
      <w:r>
        <w:rPr>
          <w:rFonts w:cs="Avenir Next"/>
        </w:rPr>
        <w:t xml:space="preserve"> Dam costs will not </w:t>
      </w:r>
      <w:r>
        <w:rPr>
          <w:rFonts w:cs="Avenir Next"/>
          <w:spacing w:val="-1"/>
        </w:rPr>
        <w:t>result</w:t>
      </w:r>
      <w:r>
        <w:rPr>
          <w:rFonts w:cs="Avenir Next"/>
        </w:rPr>
        <w:t xml:space="preserve"> in any adverse accounting or </w:t>
      </w:r>
      <w:r>
        <w:rPr>
          <w:rFonts w:cs="Avenir Next"/>
          <w:spacing w:val="-1"/>
        </w:rPr>
        <w:t>taxation</w:t>
      </w:r>
      <w:r>
        <w:rPr>
          <w:rFonts w:cs="Avenir Next"/>
          <w:spacing w:val="25"/>
        </w:rPr>
        <w:t xml:space="preserve"> </w:t>
      </w:r>
      <w:r>
        <w:t>outcomes for Hunter</w:t>
      </w:r>
      <w:r>
        <w:rPr>
          <w:spacing w:val="-3"/>
        </w:rPr>
        <w:t xml:space="preserve"> </w:t>
      </w:r>
      <w:r>
        <w:rPr>
          <w:spacing w:val="-5"/>
        </w:rPr>
        <w:t>Water.”</w:t>
      </w:r>
    </w:p>
    <w:p w:rsidR="00D96B91" w:rsidRDefault="00D96B91">
      <w:pPr>
        <w:spacing w:before="6"/>
        <w:rPr>
          <w:rFonts w:ascii="Avenir Next" w:eastAsia="Avenir Next" w:hAnsi="Avenir Next" w:cs="Avenir Next"/>
          <w:sz w:val="20"/>
          <w:szCs w:val="20"/>
        </w:rPr>
      </w:pPr>
    </w:p>
    <w:p w:rsidR="00D96B91" w:rsidRDefault="00C2656B">
      <w:pPr>
        <w:pStyle w:val="Heading5"/>
        <w:rPr>
          <w:b w:val="0"/>
          <w:bCs w:val="0"/>
        </w:rPr>
      </w:pPr>
      <w:r>
        <w:rPr>
          <w:color w:val="0778BE"/>
          <w:spacing w:val="-1"/>
        </w:rPr>
        <w:t>Speculative</w:t>
      </w:r>
      <w:r>
        <w:rPr>
          <w:color w:val="0778BE"/>
        </w:rPr>
        <w:t xml:space="preserve"> </w:t>
      </w:r>
      <w:r>
        <w:rPr>
          <w:color w:val="0778BE"/>
          <w:spacing w:val="-1"/>
        </w:rPr>
        <w:t>capex</w:t>
      </w:r>
      <w:r>
        <w:rPr>
          <w:color w:val="0778BE"/>
        </w:rPr>
        <w:t xml:space="preserve"> account </w:t>
      </w:r>
      <w:r>
        <w:rPr>
          <w:color w:val="0778BE"/>
          <w:spacing w:val="-1"/>
        </w:rPr>
        <w:t>provisions</w:t>
      </w:r>
      <w:r>
        <w:rPr>
          <w:color w:val="0778BE"/>
        </w:rPr>
        <w:t xml:space="preserve"> in the </w:t>
      </w:r>
      <w:r>
        <w:rPr>
          <w:color w:val="0778BE"/>
          <w:spacing w:val="-1"/>
        </w:rPr>
        <w:t>National</w:t>
      </w:r>
      <w:r>
        <w:rPr>
          <w:color w:val="0778BE"/>
        </w:rPr>
        <w:t xml:space="preserve"> Gas </w:t>
      </w:r>
      <w:r>
        <w:rPr>
          <w:color w:val="0778BE"/>
          <w:spacing w:val="-1"/>
        </w:rPr>
        <w:t>Rules</w:t>
      </w:r>
      <w:r>
        <w:rPr>
          <w:color w:val="0778BE"/>
        </w:rPr>
        <w:t xml:space="preserve"> (NGR)</w:t>
      </w:r>
    </w:p>
    <w:p w:rsidR="00D96B91" w:rsidRDefault="00C2656B">
      <w:pPr>
        <w:pStyle w:val="BodyText"/>
        <w:spacing w:before="21" w:line="260" w:lineRule="exact"/>
        <w:ind w:right="1313"/>
        <w:rPr>
          <w:rFonts w:cs="Avenir Next"/>
        </w:rPr>
      </w:pPr>
      <w:r>
        <w:rPr>
          <w:spacing w:val="-1"/>
        </w:rPr>
        <w:t>Rule</w:t>
      </w:r>
      <w:r>
        <w:t xml:space="preserve"> 8.19 of</w:t>
      </w:r>
      <w:r>
        <w:rPr>
          <w:spacing w:val="4"/>
        </w:rPr>
        <w:t xml:space="preserve"> </w:t>
      </w:r>
      <w:r>
        <w:t xml:space="preserve">the NGR allows an investment </w:t>
      </w:r>
      <w:r>
        <w:rPr>
          <w:spacing w:val="-1"/>
        </w:rPr>
        <w:t>(part</w:t>
      </w:r>
      <w:r>
        <w:t xml:space="preserve"> or all) </w:t>
      </w:r>
      <w:r>
        <w:rPr>
          <w:spacing w:val="-1"/>
        </w:rPr>
        <w:t>that</w:t>
      </w:r>
      <w:r>
        <w:t xml:space="preserve"> does not initially comply with the </w:t>
      </w:r>
      <w:r>
        <w:rPr>
          <w:spacing w:val="-1"/>
        </w:rPr>
        <w:t>capex</w:t>
      </w:r>
      <w:r>
        <w:rPr>
          <w:spacing w:val="29"/>
        </w:rPr>
        <w:t xml:space="preserve"> </w:t>
      </w:r>
      <w:r>
        <w:t xml:space="preserve">criteria but which may </w:t>
      </w:r>
      <w:r>
        <w:rPr>
          <w:spacing w:val="-1"/>
        </w:rPr>
        <w:t>later</w:t>
      </w:r>
      <w:r>
        <w:t xml:space="preserve"> comply with the criteria (eg,</w:t>
      </w:r>
      <w:r>
        <w:rPr>
          <w:spacing w:val="-7"/>
        </w:rPr>
        <w:t xml:space="preserve"> </w:t>
      </w:r>
      <w:r>
        <w:t xml:space="preserve">because the asset was built with </w:t>
      </w:r>
      <w:r>
        <w:rPr>
          <w:spacing w:val="-1"/>
        </w:rPr>
        <w:t>excess</w:t>
      </w:r>
    </w:p>
    <w:p w:rsidR="00D96B91" w:rsidRDefault="00D96B91">
      <w:pPr>
        <w:spacing w:before="12"/>
        <w:rPr>
          <w:rFonts w:ascii="Avenir Next" w:eastAsia="Avenir Next" w:hAnsi="Avenir Next" w:cs="Avenir Next"/>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510" style="width:72.5pt;height:.5pt;mso-position-horizontal-relative:char;mso-position-vertical-relative:line" coordsize="1450,10">
            <v:group id="_x0000_s1511" style="position:absolute;left:5;top:5;width:1440;height:2" coordorigin="5,5" coordsize="1440,2">
              <v:shape id="_x0000_s1512"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pacing w:val="-5"/>
          <w:sz w:val="16"/>
        </w:rPr>
        <w:t xml:space="preserve">IPART,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 xml:space="preserve">prices for </w:t>
      </w:r>
      <w:r>
        <w:rPr>
          <w:rFonts w:ascii="Avenir Next"/>
          <w:spacing w:val="-2"/>
          <w:sz w:val="16"/>
        </w:rPr>
        <w:t>water,</w:t>
      </w:r>
      <w:r>
        <w:rPr>
          <w:rFonts w:ascii="Avenir Next"/>
          <w:spacing w:val="-5"/>
          <w:sz w:val="16"/>
        </w:rPr>
        <w:t xml:space="preserve"> </w:t>
      </w:r>
      <w:r>
        <w:rPr>
          <w:rFonts w:ascii="Avenir Next"/>
          <w:spacing w:val="-1"/>
          <w:sz w:val="16"/>
        </w:rPr>
        <w:t>sewerage,</w:t>
      </w:r>
      <w:r>
        <w:rPr>
          <w:rFonts w:ascii="Avenir Next"/>
          <w:spacing w:val="-5"/>
          <w:sz w:val="16"/>
        </w:rPr>
        <w:t xml:space="preserve"> </w:t>
      </w:r>
      <w:r>
        <w:rPr>
          <w:rFonts w:ascii="Avenir Next"/>
          <w:spacing w:val="-1"/>
          <w:sz w:val="16"/>
        </w:rPr>
        <w:t>stormwater</w:t>
      </w:r>
      <w:r>
        <w:rPr>
          <w:rFonts w:ascii="Avenir Next"/>
          <w:sz w:val="16"/>
        </w:rPr>
        <w:t xml:space="preserve"> and other services for Hunter</w:t>
      </w:r>
      <w:r>
        <w:rPr>
          <w:rFonts w:ascii="Avenir Next"/>
          <w:spacing w:val="-2"/>
          <w:sz w:val="16"/>
        </w:rPr>
        <w:t xml:space="preserve"> Water</w:t>
      </w:r>
      <w:r>
        <w:rPr>
          <w:rFonts w:ascii="Avenir Next"/>
          <w:sz w:val="16"/>
        </w:rPr>
        <w:t xml:space="preserve"> </w:t>
      </w:r>
      <w:r>
        <w:rPr>
          <w:rFonts w:ascii="Avenir Next"/>
          <w:spacing w:val="-1"/>
          <w:sz w:val="16"/>
        </w:rPr>
        <w:t>Corporation,</w:t>
      </w:r>
      <w:r>
        <w:rPr>
          <w:rFonts w:ascii="Avenir Next"/>
          <w:spacing w:val="-5"/>
          <w:sz w:val="16"/>
        </w:rPr>
        <w:t xml:space="preserve"> </w:t>
      </w:r>
      <w:r>
        <w:rPr>
          <w:rFonts w:ascii="Avenir Next"/>
          <w:sz w:val="16"/>
        </w:rPr>
        <w:t>2009,</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37.</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270"/>
        <w:rPr>
          <w:sz w:val="11"/>
          <w:szCs w:val="11"/>
        </w:rPr>
      </w:pPr>
      <w:r>
        <w:t>capacity) to be added to a notional fund,</w:t>
      </w:r>
      <w:r>
        <w:rPr>
          <w:spacing w:val="-7"/>
        </w:rPr>
        <w:t xml:space="preserve"> </w:t>
      </w:r>
      <w:r>
        <w:t xml:space="preserve">which is </w:t>
      </w:r>
      <w:r>
        <w:rPr>
          <w:spacing w:val="-1"/>
        </w:rPr>
        <w:t>referred</w:t>
      </w:r>
      <w:r>
        <w:t xml:space="preserve"> to as the </w:t>
      </w:r>
      <w:r>
        <w:rPr>
          <w:spacing w:val="-1"/>
        </w:rPr>
        <w:t>speculative</w:t>
      </w:r>
      <w:r>
        <w:t xml:space="preserve"> </w:t>
      </w:r>
      <w:r>
        <w:rPr>
          <w:spacing w:val="-1"/>
        </w:rPr>
        <w:t>capex</w:t>
      </w:r>
      <w:r>
        <w:t xml:space="preserve"> account.</w:t>
      </w:r>
      <w:r>
        <w:rPr>
          <w:spacing w:val="-11"/>
        </w:rPr>
        <w:t xml:space="preserve"> </w:t>
      </w:r>
      <w:r>
        <w:rPr>
          <w:spacing w:val="-2"/>
        </w:rPr>
        <w:t>The</w:t>
      </w:r>
      <w:r>
        <w:rPr>
          <w:spacing w:val="29"/>
        </w:rPr>
        <w:t xml:space="preserve"> </w:t>
      </w:r>
      <w:r>
        <w:t>balance of</w:t>
      </w:r>
      <w:r>
        <w:rPr>
          <w:spacing w:val="4"/>
        </w:rPr>
        <w:t xml:space="preserve"> </w:t>
      </w:r>
      <w:r>
        <w:t xml:space="preserve">this account </w:t>
      </w:r>
      <w:r>
        <w:rPr>
          <w:spacing w:val="-1"/>
        </w:rPr>
        <w:t>increases</w:t>
      </w:r>
      <w:r>
        <w:t xml:space="preserve"> annually </w:t>
      </w:r>
      <w:r>
        <w:rPr>
          <w:spacing w:val="-2"/>
        </w:rPr>
        <w:t>at</w:t>
      </w:r>
      <w:r>
        <w:t xml:space="preserve"> a </w:t>
      </w:r>
      <w:r>
        <w:rPr>
          <w:spacing w:val="-2"/>
        </w:rPr>
        <w:t>rate</w:t>
      </w:r>
      <w:r>
        <w:t xml:space="preserve"> of</w:t>
      </w:r>
      <w:r>
        <w:rPr>
          <w:spacing w:val="4"/>
        </w:rPr>
        <w:t xml:space="preserve"> </w:t>
      </w:r>
      <w:r>
        <w:rPr>
          <w:spacing w:val="-1"/>
        </w:rPr>
        <w:t>return</w:t>
      </w:r>
      <w:r>
        <w:t xml:space="preserve"> determined by the</w:t>
      </w:r>
      <w:r>
        <w:rPr>
          <w:spacing w:val="-4"/>
        </w:rPr>
        <w:t xml:space="preserve"> </w:t>
      </w:r>
      <w:r>
        <w:t>AER (which may but</w:t>
      </w:r>
      <w:r>
        <w:rPr>
          <w:spacing w:val="30"/>
        </w:rPr>
        <w:t xml:space="preserve"> </w:t>
      </w:r>
      <w:r>
        <w:t xml:space="preserve">need not be the </w:t>
      </w:r>
      <w:r>
        <w:rPr>
          <w:spacing w:val="-1"/>
        </w:rPr>
        <w:t>regulated</w:t>
      </w:r>
      <w:r>
        <w:rPr>
          <w:spacing w:val="-3"/>
        </w:rPr>
        <w:t xml:space="preserve"> </w:t>
      </w:r>
      <w:r>
        <w:rPr>
          <w:spacing w:val="-2"/>
        </w:rPr>
        <w:t>WACC).</w:t>
      </w:r>
      <w:r>
        <w:rPr>
          <w:spacing w:val="-6"/>
        </w:rPr>
        <w:t xml:space="preserve"> </w:t>
      </w:r>
      <w:r>
        <w:t>If</w:t>
      </w:r>
      <w:r>
        <w:rPr>
          <w:spacing w:val="4"/>
        </w:rPr>
        <w:t xml:space="preserve"> </w:t>
      </w:r>
      <w:r>
        <w:rPr>
          <w:spacing w:val="-1"/>
        </w:rPr>
        <w:t>at</w:t>
      </w:r>
      <w:r>
        <w:t xml:space="preserve"> any time the type or volume of</w:t>
      </w:r>
      <w:r>
        <w:rPr>
          <w:spacing w:val="4"/>
        </w:rPr>
        <w:t xml:space="preserve"> </w:t>
      </w:r>
      <w:r>
        <w:t xml:space="preserve">services changes so </w:t>
      </w:r>
      <w:r>
        <w:rPr>
          <w:spacing w:val="-1"/>
        </w:rPr>
        <w:t>that</w:t>
      </w:r>
      <w:r>
        <w:t xml:space="preserve"> the</w:t>
      </w:r>
      <w:r>
        <w:rPr>
          <w:spacing w:val="27"/>
        </w:rPr>
        <w:t xml:space="preserve"> </w:t>
      </w:r>
      <w:r>
        <w:t xml:space="preserve">investment complies with the </w:t>
      </w:r>
      <w:r>
        <w:rPr>
          <w:spacing w:val="-1"/>
        </w:rPr>
        <w:t>capex</w:t>
      </w:r>
      <w:r>
        <w:t xml:space="preserve"> criteria the </w:t>
      </w:r>
      <w:r>
        <w:rPr>
          <w:spacing w:val="-1"/>
        </w:rPr>
        <w:t>expenditure</w:t>
      </w:r>
      <w:r>
        <w:t xml:space="preserve"> and the </w:t>
      </w:r>
      <w:r>
        <w:rPr>
          <w:spacing w:val="-1"/>
        </w:rPr>
        <w:t>return</w:t>
      </w:r>
      <w:r>
        <w:t xml:space="preserve"> on capital </w:t>
      </w:r>
      <w:r>
        <w:rPr>
          <w:spacing w:val="-1"/>
        </w:rPr>
        <w:t>earned</w:t>
      </w:r>
      <w:r>
        <w:t xml:space="preserve"> while in</w:t>
      </w:r>
      <w:r>
        <w:rPr>
          <w:spacing w:val="29"/>
        </w:rPr>
        <w:t xml:space="preserve"> </w:t>
      </w:r>
      <w:r>
        <w:t>the fund,</w:t>
      </w:r>
      <w:r>
        <w:rPr>
          <w:spacing w:val="-7"/>
        </w:rPr>
        <w:t xml:space="preserve"> </w:t>
      </w:r>
      <w:r>
        <w:t xml:space="preserve">can be </w:t>
      </w:r>
      <w:r>
        <w:rPr>
          <w:spacing w:val="-1"/>
        </w:rPr>
        <w:t>rolled</w:t>
      </w:r>
      <w:r>
        <w:t xml:space="preserve"> into the RAB </w:t>
      </w:r>
      <w:r>
        <w:rPr>
          <w:spacing w:val="-2"/>
        </w:rPr>
        <w:t>at</w:t>
      </w:r>
      <w:r>
        <w:t xml:space="preserve"> the commencement of</w:t>
      </w:r>
      <w:r>
        <w:rPr>
          <w:spacing w:val="4"/>
        </w:rPr>
        <w:t xml:space="preserve"> </w:t>
      </w:r>
      <w:r>
        <w:t xml:space="preserve">the </w:t>
      </w:r>
      <w:r>
        <w:rPr>
          <w:spacing w:val="-1"/>
        </w:rPr>
        <w:t>next</w:t>
      </w:r>
      <w:r>
        <w:t xml:space="preserve"> period and </w:t>
      </w:r>
      <w:r>
        <w:rPr>
          <w:spacing w:val="-1"/>
        </w:rPr>
        <w:t>start</w:t>
      </w:r>
      <w:r>
        <w:t xml:space="preserve"> to be </w:t>
      </w:r>
      <w:r>
        <w:rPr>
          <w:spacing w:val="-1"/>
        </w:rPr>
        <w:t>recovered</w:t>
      </w:r>
      <w:r>
        <w:rPr>
          <w:spacing w:val="29"/>
        </w:rPr>
        <w:t xml:space="preserve"> </w:t>
      </w:r>
      <w:r>
        <w:rPr>
          <w:spacing w:val="-1"/>
        </w:rPr>
        <w:t>from</w:t>
      </w:r>
      <w:r>
        <w:rPr>
          <w:spacing w:val="9"/>
        </w:rPr>
        <w:t xml:space="preserve"> </w:t>
      </w:r>
      <w:r>
        <w:t>users.</w:t>
      </w:r>
      <w:r>
        <w:rPr>
          <w:position w:val="7"/>
          <w:sz w:val="11"/>
        </w:rPr>
        <w:t>251</w:t>
      </w:r>
    </w:p>
    <w:p w:rsidR="00D96B91" w:rsidRDefault="00C2656B">
      <w:pPr>
        <w:pStyle w:val="BodyText"/>
        <w:spacing w:before="170" w:line="260" w:lineRule="exact"/>
        <w:ind w:right="1548"/>
      </w:pPr>
      <w:r>
        <w:rPr>
          <w:spacing w:val="-2"/>
        </w:rPr>
        <w:t>The</w:t>
      </w:r>
      <w:r>
        <w:t xml:space="preserve"> </w:t>
      </w:r>
      <w:r>
        <w:rPr>
          <w:spacing w:val="-2"/>
        </w:rPr>
        <w:t>key</w:t>
      </w:r>
      <w:r>
        <w:t xml:space="preserve"> </w:t>
      </w:r>
      <w:r>
        <w:rPr>
          <w:spacing w:val="-1"/>
        </w:rPr>
        <w:t>differences</w:t>
      </w:r>
      <w:r>
        <w:t xml:space="preserve"> between this </w:t>
      </w:r>
      <w:r>
        <w:rPr>
          <w:spacing w:val="-1"/>
        </w:rPr>
        <w:t>provision</w:t>
      </w:r>
      <w:r>
        <w:t xml:space="preserve"> and the </w:t>
      </w:r>
      <w:r>
        <w:rPr>
          <w:spacing w:val="-1"/>
        </w:rPr>
        <w:t>approach</w:t>
      </w:r>
      <w:r>
        <w:t xml:space="preserve"> employed by </w:t>
      </w:r>
      <w:r>
        <w:rPr>
          <w:spacing w:val="-4"/>
        </w:rPr>
        <w:t>IPART</w:t>
      </w:r>
      <w:r>
        <w:rPr>
          <w:spacing w:val="-5"/>
        </w:rPr>
        <w:t xml:space="preserve"> </w:t>
      </w:r>
      <w:r>
        <w:rPr>
          <w:spacing w:val="-2"/>
        </w:rPr>
        <w:t>are</w:t>
      </w:r>
      <w:r>
        <w:t xml:space="preserve"> </w:t>
      </w:r>
      <w:r>
        <w:rPr>
          <w:spacing w:val="-1"/>
        </w:rPr>
        <w:t>that</w:t>
      </w:r>
      <w:r>
        <w:t xml:space="preserve"> the</w:t>
      </w:r>
      <w:r>
        <w:rPr>
          <w:spacing w:val="49"/>
        </w:rPr>
        <w:t xml:space="preserve"> </w:t>
      </w:r>
      <w:r>
        <w:rPr>
          <w:spacing w:val="-1"/>
        </w:rPr>
        <w:t>speculative</w:t>
      </w:r>
      <w:r>
        <w:t xml:space="preserve"> </w:t>
      </w:r>
      <w:r>
        <w:rPr>
          <w:spacing w:val="-1"/>
        </w:rPr>
        <w:t>capex</w:t>
      </w:r>
      <w:r>
        <w:t xml:space="preserve"> account does not form </w:t>
      </w:r>
      <w:r>
        <w:rPr>
          <w:spacing w:val="-1"/>
        </w:rPr>
        <w:t>part</w:t>
      </w:r>
      <w:r>
        <w:t xml:space="preserve"> of</w:t>
      </w:r>
      <w:r>
        <w:rPr>
          <w:spacing w:val="4"/>
        </w:rPr>
        <w:t xml:space="preserve"> </w:t>
      </w:r>
      <w:r>
        <w:t xml:space="preserve">the RAB and </w:t>
      </w:r>
      <w:r>
        <w:rPr>
          <w:spacing w:val="-1"/>
        </w:rPr>
        <w:t>there</w:t>
      </w:r>
      <w:r>
        <w:t xml:space="preserve"> is no </w:t>
      </w:r>
      <w:r>
        <w:rPr>
          <w:spacing w:val="-1"/>
        </w:rPr>
        <w:t>pre-commitment</w:t>
      </w:r>
      <w:r>
        <w:t xml:space="preserve"> by the</w:t>
      </w:r>
      <w:r>
        <w:rPr>
          <w:spacing w:val="49"/>
        </w:rPr>
        <w:t xml:space="preserve"> </w:t>
      </w:r>
      <w:r>
        <w:rPr>
          <w:spacing w:val="-1"/>
        </w:rPr>
        <w:t>regulator</w:t>
      </w:r>
      <w:r>
        <w:t xml:space="preserve"> </w:t>
      </w:r>
      <w:r>
        <w:rPr>
          <w:spacing w:val="-1"/>
        </w:rPr>
        <w:t>that</w:t>
      </w:r>
      <w:r>
        <w:t xml:space="preserve"> the investment will be </w:t>
      </w:r>
      <w:r>
        <w:rPr>
          <w:spacing w:val="-1"/>
        </w:rPr>
        <w:t>recovered</w:t>
      </w:r>
      <w:r>
        <w:t xml:space="preserve"> in </w:t>
      </w:r>
      <w:r>
        <w:rPr>
          <w:spacing w:val="-1"/>
        </w:rPr>
        <w:t>regulated</w:t>
      </w:r>
      <w:r>
        <w:t xml:space="preserve"> </w:t>
      </w:r>
      <w:r>
        <w:rPr>
          <w:spacing w:val="-1"/>
        </w:rPr>
        <w:t>charges.</w:t>
      </w:r>
    </w:p>
    <w:p w:rsidR="00D96B91" w:rsidRDefault="00D96B91">
      <w:pPr>
        <w:rPr>
          <w:rFonts w:ascii="Avenir Next" w:eastAsia="Avenir Next" w:hAnsi="Avenir Next" w:cs="Avenir Next"/>
          <w:sz w:val="20"/>
          <w:szCs w:val="20"/>
        </w:rPr>
      </w:pPr>
    </w:p>
    <w:p w:rsidR="00D96B91" w:rsidRDefault="00C2656B">
      <w:pPr>
        <w:pStyle w:val="Heading4"/>
        <w:tabs>
          <w:tab w:val="left" w:pos="2267"/>
        </w:tabs>
        <w:spacing w:before="143" w:line="360" w:lineRule="exact"/>
        <w:ind w:left="2267" w:right="1937" w:hanging="1021"/>
        <w:rPr>
          <w:rFonts w:cs="Avenir Next Medium"/>
        </w:rPr>
      </w:pPr>
      <w:r>
        <w:rPr>
          <w:color w:val="0778BE"/>
        </w:rPr>
        <w:t>A7.</w:t>
      </w:r>
      <w:r>
        <w:rPr>
          <w:color w:val="0778BE"/>
          <w:spacing w:val="-9"/>
        </w:rPr>
        <w:t xml:space="preserve"> </w:t>
      </w:r>
      <w:r>
        <w:rPr>
          <w:color w:val="0778BE"/>
        </w:rPr>
        <w:t>3</w:t>
      </w:r>
      <w:r>
        <w:rPr>
          <w:color w:val="0778BE"/>
        </w:rPr>
        <w:tab/>
        <w:t>Alignment of</w:t>
      </w:r>
      <w:r>
        <w:rPr>
          <w:color w:val="0778BE"/>
          <w:spacing w:val="7"/>
        </w:rPr>
        <w:t xml:space="preserve"> </w:t>
      </w:r>
      <w:r>
        <w:rPr>
          <w:color w:val="0778BE"/>
        </w:rPr>
        <w:t xml:space="preserve">capital cost </w:t>
      </w:r>
      <w:r>
        <w:rPr>
          <w:color w:val="0778BE"/>
          <w:spacing w:val="-1"/>
        </w:rPr>
        <w:t>recovery</w:t>
      </w:r>
      <w:r>
        <w:rPr>
          <w:color w:val="0778BE"/>
        </w:rPr>
        <w:t xml:space="preserve"> </w:t>
      </w:r>
      <w:r>
        <w:rPr>
          <w:color w:val="0778BE"/>
          <w:spacing w:val="-1"/>
        </w:rPr>
        <w:t>profile</w:t>
      </w:r>
      <w:r>
        <w:rPr>
          <w:color w:val="0778BE"/>
        </w:rPr>
        <w:t xml:space="preserve"> with </w:t>
      </w:r>
      <w:r>
        <w:rPr>
          <w:color w:val="0778BE"/>
          <w:spacing w:val="-1"/>
        </w:rPr>
        <w:t>expected</w:t>
      </w:r>
      <w:r>
        <w:rPr>
          <w:color w:val="0778BE"/>
          <w:spacing w:val="28"/>
        </w:rPr>
        <w:t xml:space="preserve"> </w:t>
      </w:r>
      <w:r>
        <w:rPr>
          <w:color w:val="0778BE"/>
        </w:rPr>
        <w:t>benefits</w:t>
      </w:r>
    </w:p>
    <w:p w:rsidR="00D96B91" w:rsidRDefault="00C2656B">
      <w:pPr>
        <w:pStyle w:val="BodyText"/>
        <w:spacing w:before="93" w:line="260" w:lineRule="exact"/>
        <w:ind w:right="1256"/>
      </w:pPr>
      <w:r>
        <w:rPr>
          <w:rFonts w:cs="Avenir Next"/>
          <w:spacing w:val="-1"/>
        </w:rPr>
        <w:t>This</w:t>
      </w:r>
      <w:r>
        <w:rPr>
          <w:rFonts w:cs="Avenir Next"/>
        </w:rPr>
        <w:t xml:space="preserve"> technique,</w:t>
      </w:r>
      <w:r>
        <w:rPr>
          <w:rFonts w:cs="Avenir Next"/>
          <w:spacing w:val="-7"/>
        </w:rPr>
        <w:t xml:space="preserve"> </w:t>
      </w:r>
      <w:r>
        <w:rPr>
          <w:rFonts w:cs="Avenir Next"/>
        </w:rPr>
        <w:t xml:space="preserve">which is a variant on the </w:t>
      </w:r>
      <w:r>
        <w:rPr>
          <w:rFonts w:cs="Avenir Next"/>
          <w:spacing w:val="-1"/>
        </w:rPr>
        <w:t>deferred</w:t>
      </w:r>
      <w:r>
        <w:rPr>
          <w:rFonts w:cs="Avenir Next"/>
        </w:rPr>
        <w:t xml:space="preserve"> </w:t>
      </w:r>
      <w:r>
        <w:rPr>
          <w:rFonts w:cs="Avenir Next"/>
          <w:spacing w:val="-1"/>
        </w:rPr>
        <w:t>recovery</w:t>
      </w:r>
      <w:r>
        <w:rPr>
          <w:rFonts w:cs="Avenir Next"/>
        </w:rPr>
        <w:t xml:space="preserve"> of</w:t>
      </w:r>
      <w:r>
        <w:rPr>
          <w:rFonts w:cs="Avenir Next"/>
          <w:spacing w:val="4"/>
        </w:rPr>
        <w:t xml:space="preserve"> </w:t>
      </w:r>
      <w:r>
        <w:rPr>
          <w:rFonts w:cs="Avenir Next"/>
        </w:rPr>
        <w:t>capital cost technique,</w:t>
      </w:r>
      <w:r>
        <w:rPr>
          <w:rFonts w:cs="Avenir Next"/>
          <w:spacing w:val="-7"/>
        </w:rPr>
        <w:t xml:space="preserve"> </w:t>
      </w:r>
      <w:r>
        <w:rPr>
          <w:rFonts w:cs="Avenir Next"/>
        </w:rPr>
        <w:t xml:space="preserve">aligns the </w:t>
      </w:r>
      <w:r>
        <w:rPr>
          <w:rFonts w:cs="Avenir Next"/>
          <w:spacing w:val="-1"/>
        </w:rPr>
        <w:t>recovery</w:t>
      </w:r>
      <w:r>
        <w:rPr>
          <w:rFonts w:cs="Avenir Next"/>
          <w:spacing w:val="25"/>
        </w:rPr>
        <w:t xml:space="preserve"> </w:t>
      </w:r>
      <w:r>
        <w:rPr>
          <w:spacing w:val="-1"/>
        </w:rPr>
        <w:t xml:space="preserve">profile </w:t>
      </w:r>
      <w:r>
        <w:t>for</w:t>
      </w:r>
      <w:r>
        <w:rPr>
          <w:spacing w:val="-1"/>
        </w:rPr>
        <w:t xml:space="preserve"> </w:t>
      </w:r>
      <w:r>
        <w:t>capital costs</w:t>
      </w:r>
      <w:r>
        <w:rPr>
          <w:spacing w:val="-1"/>
        </w:rPr>
        <w:t xml:space="preserve"> </w:t>
      </w:r>
      <w:r>
        <w:t>with</w:t>
      </w:r>
      <w:r>
        <w:rPr>
          <w:spacing w:val="-1"/>
        </w:rPr>
        <w:t xml:space="preserve"> </w:t>
      </w:r>
      <w:r>
        <w:t>the benefits</w:t>
      </w:r>
      <w:r>
        <w:rPr>
          <w:spacing w:val="-1"/>
        </w:rPr>
        <w:t xml:space="preserve"> </w:t>
      </w:r>
      <w:r>
        <w:t>customers</w:t>
      </w:r>
      <w:r>
        <w:rPr>
          <w:spacing w:val="-1"/>
        </w:rPr>
        <w:t xml:space="preserve"> </w:t>
      </w:r>
      <w:r>
        <w:rPr>
          <w:spacing w:val="-2"/>
        </w:rPr>
        <w:t>are</w:t>
      </w:r>
      <w:r>
        <w:t xml:space="preserve"> </w:t>
      </w:r>
      <w:r>
        <w:rPr>
          <w:spacing w:val="-1"/>
        </w:rPr>
        <w:t xml:space="preserve">expected </w:t>
      </w:r>
      <w:r>
        <w:t>to</w:t>
      </w:r>
      <w:r>
        <w:rPr>
          <w:spacing w:val="-1"/>
        </w:rPr>
        <w:t xml:space="preserve"> </w:t>
      </w:r>
      <w:r>
        <w:t>derive over</w:t>
      </w:r>
      <w:r>
        <w:rPr>
          <w:spacing w:val="-1"/>
        </w:rPr>
        <w:t xml:space="preserve"> </w:t>
      </w:r>
      <w:r>
        <w:t>the</w:t>
      </w:r>
      <w:r>
        <w:rPr>
          <w:spacing w:val="-1"/>
        </w:rPr>
        <w:t xml:space="preserve"> </w:t>
      </w:r>
      <w:r>
        <w:t>economic life</w:t>
      </w:r>
      <w:r>
        <w:rPr>
          <w:spacing w:val="-1"/>
        </w:rPr>
        <w:t xml:space="preserve"> </w:t>
      </w:r>
      <w:r>
        <w:t>of</w:t>
      </w:r>
      <w:r>
        <w:rPr>
          <w:spacing w:val="3"/>
        </w:rPr>
        <w:t xml:space="preserve"> </w:t>
      </w:r>
      <w:r>
        <w:t>the</w:t>
      </w:r>
      <w:r>
        <w:rPr>
          <w:spacing w:val="23"/>
        </w:rPr>
        <w:t xml:space="preserve"> </w:t>
      </w:r>
      <w:r>
        <w:t>asset.</w:t>
      </w:r>
      <w:r>
        <w:rPr>
          <w:spacing w:val="-11"/>
        </w:rPr>
        <w:t xml:space="preserve"> </w:t>
      </w:r>
      <w:r>
        <w:rPr>
          <w:spacing w:val="-1"/>
        </w:rPr>
        <w:t>This</w:t>
      </w:r>
      <w:r>
        <w:t xml:space="preserve"> technique was </w:t>
      </w:r>
      <w:r>
        <w:rPr>
          <w:spacing w:val="-1"/>
        </w:rPr>
        <w:t>contemplated</w:t>
      </w:r>
      <w:r>
        <w:t xml:space="preserve"> by the ESC along with a number of</w:t>
      </w:r>
      <w:r>
        <w:rPr>
          <w:spacing w:val="4"/>
        </w:rPr>
        <w:t xml:space="preserve"> </w:t>
      </w:r>
      <w:r>
        <w:t>other techniques in its most</w:t>
      </w:r>
      <w:r>
        <w:rPr>
          <w:spacing w:val="30"/>
        </w:rPr>
        <w:t xml:space="preserve"> </w:t>
      </w:r>
      <w:r>
        <w:rPr>
          <w:rFonts w:cs="Avenir Next"/>
          <w:spacing w:val="-1"/>
        </w:rPr>
        <w:t>recent</w:t>
      </w:r>
      <w:r>
        <w:rPr>
          <w:rFonts w:cs="Avenir Next"/>
        </w:rPr>
        <w:t xml:space="preserve"> </w:t>
      </w:r>
      <w:r>
        <w:rPr>
          <w:rFonts w:cs="Avenir Next"/>
          <w:spacing w:val="-1"/>
        </w:rPr>
        <w:t>water</w:t>
      </w:r>
      <w:r>
        <w:rPr>
          <w:rFonts w:cs="Avenir Next"/>
        </w:rPr>
        <w:t xml:space="preserve"> price </w:t>
      </w:r>
      <w:r>
        <w:rPr>
          <w:rFonts w:cs="Avenir Next"/>
          <w:spacing w:val="-1"/>
        </w:rPr>
        <w:t>review</w:t>
      </w:r>
      <w:r>
        <w:rPr>
          <w:rFonts w:cs="Avenir Next"/>
        </w:rPr>
        <w:t xml:space="preserve"> when assessing Melbourne</w:t>
      </w:r>
      <w:r>
        <w:rPr>
          <w:rFonts w:cs="Avenir Next"/>
          <w:spacing w:val="-3"/>
        </w:rPr>
        <w:t xml:space="preserve"> Water’s</w:t>
      </w:r>
      <w:r>
        <w:rPr>
          <w:rFonts w:cs="Avenir Next"/>
        </w:rPr>
        <w:t xml:space="preserve"> </w:t>
      </w:r>
      <w:r>
        <w:rPr>
          <w:rFonts w:cs="Avenir Next"/>
          <w:spacing w:val="-1"/>
        </w:rPr>
        <w:t>proposed</w:t>
      </w:r>
      <w:r>
        <w:rPr>
          <w:rFonts w:cs="Avenir Next"/>
        </w:rPr>
        <w:t xml:space="preserve"> </w:t>
      </w:r>
      <w:r>
        <w:rPr>
          <w:rFonts w:cs="Avenir Next"/>
          <w:spacing w:val="-1"/>
        </w:rPr>
        <w:t>recovery</w:t>
      </w:r>
      <w:r>
        <w:rPr>
          <w:rFonts w:cs="Avenir Next"/>
        </w:rPr>
        <w:t xml:space="preserve"> of</w:t>
      </w:r>
      <w:r>
        <w:rPr>
          <w:rFonts w:cs="Avenir Next"/>
          <w:spacing w:val="4"/>
        </w:rPr>
        <w:t xml:space="preserve"> </w:t>
      </w:r>
      <w:r>
        <w:rPr>
          <w:rFonts w:cs="Avenir Next"/>
        </w:rPr>
        <w:t xml:space="preserve">the </w:t>
      </w:r>
      <w:r>
        <w:rPr>
          <w:rFonts w:cs="Avenir Next"/>
          <w:spacing w:val="-1"/>
        </w:rPr>
        <w:t>desalination</w:t>
      </w:r>
      <w:r>
        <w:rPr>
          <w:rFonts w:cs="Avenir Next"/>
          <w:spacing w:val="61"/>
        </w:rPr>
        <w:t xml:space="preserve"> </w:t>
      </w:r>
      <w:r>
        <w:t>plant security payments.</w:t>
      </w:r>
    </w:p>
    <w:p w:rsidR="00D96B91" w:rsidRDefault="00D96B91">
      <w:pPr>
        <w:spacing w:before="6"/>
        <w:rPr>
          <w:rFonts w:ascii="Avenir Next" w:eastAsia="Avenir Next" w:hAnsi="Avenir Next" w:cs="Avenir Next"/>
          <w:sz w:val="20"/>
          <w:szCs w:val="20"/>
        </w:rPr>
      </w:pPr>
    </w:p>
    <w:p w:rsidR="00D96B91" w:rsidRDefault="00C2656B">
      <w:pPr>
        <w:pStyle w:val="Heading5"/>
        <w:rPr>
          <w:b w:val="0"/>
          <w:bCs w:val="0"/>
        </w:rPr>
      </w:pPr>
      <w:r>
        <w:rPr>
          <w:color w:val="0778BE"/>
          <w:spacing w:val="-3"/>
        </w:rPr>
        <w:t>ESC’s</w:t>
      </w:r>
      <w:r>
        <w:rPr>
          <w:color w:val="0778BE"/>
        </w:rPr>
        <w:t xml:space="preserve"> assessment of</w:t>
      </w:r>
      <w:r>
        <w:rPr>
          <w:color w:val="0778BE"/>
          <w:spacing w:val="5"/>
        </w:rPr>
        <w:t xml:space="preserve"> </w:t>
      </w:r>
      <w:r>
        <w:rPr>
          <w:color w:val="0778BE"/>
        </w:rPr>
        <w:t xml:space="preserve">the </w:t>
      </w:r>
      <w:r>
        <w:rPr>
          <w:color w:val="0778BE"/>
          <w:spacing w:val="-1"/>
        </w:rPr>
        <w:t>recovery</w:t>
      </w:r>
      <w:r>
        <w:rPr>
          <w:color w:val="0778BE"/>
        </w:rPr>
        <w:t xml:space="preserve"> of</w:t>
      </w:r>
      <w:r>
        <w:rPr>
          <w:color w:val="0778BE"/>
          <w:spacing w:val="5"/>
        </w:rPr>
        <w:t xml:space="preserve"> </w:t>
      </w:r>
      <w:r>
        <w:rPr>
          <w:color w:val="0778BE"/>
        </w:rPr>
        <w:t xml:space="preserve">the </w:t>
      </w:r>
      <w:r>
        <w:rPr>
          <w:color w:val="0778BE"/>
          <w:spacing w:val="-1"/>
        </w:rPr>
        <w:t>desalination</w:t>
      </w:r>
      <w:r>
        <w:rPr>
          <w:color w:val="0778BE"/>
        </w:rPr>
        <w:t xml:space="preserve"> plant security payments</w:t>
      </w:r>
    </w:p>
    <w:p w:rsidR="00D96B91" w:rsidRDefault="00C2656B">
      <w:pPr>
        <w:pStyle w:val="BodyText"/>
        <w:spacing w:before="21" w:line="260" w:lineRule="exact"/>
        <w:ind w:right="1280"/>
      </w:pPr>
      <w:r>
        <w:rPr>
          <w:rFonts w:cs="Avenir Next"/>
        </w:rPr>
        <w:t xml:space="preserve">In its most </w:t>
      </w:r>
      <w:r>
        <w:rPr>
          <w:rFonts w:cs="Avenir Next"/>
          <w:spacing w:val="-1"/>
        </w:rPr>
        <w:t>recent</w:t>
      </w:r>
      <w:r>
        <w:rPr>
          <w:rFonts w:cs="Avenir Next"/>
        </w:rPr>
        <w:t xml:space="preserve"> </w:t>
      </w:r>
      <w:r>
        <w:rPr>
          <w:rFonts w:cs="Avenir Next"/>
          <w:spacing w:val="-1"/>
        </w:rPr>
        <w:t>water</w:t>
      </w:r>
      <w:r>
        <w:rPr>
          <w:rFonts w:cs="Avenir Next"/>
        </w:rPr>
        <w:t xml:space="preserve"> price </w:t>
      </w:r>
      <w:r>
        <w:rPr>
          <w:rFonts w:cs="Avenir Next"/>
          <w:spacing w:val="-2"/>
        </w:rPr>
        <w:t>review,</w:t>
      </w:r>
      <w:r>
        <w:rPr>
          <w:rFonts w:cs="Avenir Next"/>
          <w:spacing w:val="-7"/>
        </w:rPr>
        <w:t xml:space="preserve"> </w:t>
      </w:r>
      <w:r>
        <w:rPr>
          <w:rFonts w:cs="Avenir Next"/>
        </w:rPr>
        <w:t>the ESC had to assess Melbourne</w:t>
      </w:r>
      <w:r>
        <w:rPr>
          <w:rFonts w:cs="Avenir Next"/>
          <w:spacing w:val="-3"/>
        </w:rPr>
        <w:t xml:space="preserve"> Water’s</w:t>
      </w:r>
      <w:r>
        <w:rPr>
          <w:rFonts w:cs="Avenir Next"/>
        </w:rPr>
        <w:t xml:space="preserve"> </w:t>
      </w:r>
      <w:r>
        <w:rPr>
          <w:rFonts w:cs="Avenir Next"/>
          <w:spacing w:val="-1"/>
        </w:rPr>
        <w:t>proposal</w:t>
      </w:r>
      <w:r>
        <w:rPr>
          <w:rFonts w:cs="Avenir Next"/>
        </w:rPr>
        <w:t xml:space="preserve"> to </w:t>
      </w:r>
      <w:r>
        <w:rPr>
          <w:rFonts w:cs="Avenir Next"/>
          <w:spacing w:val="-1"/>
        </w:rPr>
        <w:t>recover</w:t>
      </w:r>
      <w:r>
        <w:rPr>
          <w:rFonts w:cs="Avenir Next"/>
        </w:rPr>
        <w:t xml:space="preserve"> the</w:t>
      </w:r>
      <w:r>
        <w:rPr>
          <w:rFonts w:cs="Avenir Next"/>
          <w:spacing w:val="39"/>
        </w:rPr>
        <w:t xml:space="preserve"> </w:t>
      </w:r>
      <w:r>
        <w:t>costs of</w:t>
      </w:r>
      <w:r>
        <w:rPr>
          <w:spacing w:val="4"/>
        </w:rPr>
        <w:t xml:space="preserve"> </w:t>
      </w:r>
      <w:r>
        <w:t>the</w:t>
      </w:r>
      <w:r>
        <w:rPr>
          <w:spacing w:val="-3"/>
        </w:rPr>
        <w:t xml:space="preserve"> </w:t>
      </w:r>
      <w:r>
        <w:rPr>
          <w:spacing w:val="-1"/>
        </w:rPr>
        <w:t>Wonthaggi</w:t>
      </w:r>
      <w:r>
        <w:t xml:space="preserve"> </w:t>
      </w:r>
      <w:r>
        <w:rPr>
          <w:spacing w:val="-1"/>
        </w:rPr>
        <w:t>desalination</w:t>
      </w:r>
      <w:r>
        <w:t xml:space="preserve"> plant </w:t>
      </w:r>
      <w:r>
        <w:rPr>
          <w:spacing w:val="-1"/>
        </w:rPr>
        <w:t>from</w:t>
      </w:r>
      <w:r>
        <w:t xml:space="preserve"> </w:t>
      </w:r>
      <w:r>
        <w:rPr>
          <w:spacing w:val="-1"/>
        </w:rPr>
        <w:t>water</w:t>
      </w:r>
      <w:r>
        <w:t xml:space="preserve"> users.</w:t>
      </w:r>
      <w:r>
        <w:rPr>
          <w:spacing w:val="-11"/>
        </w:rPr>
        <w:t xml:space="preserve"> </w:t>
      </w:r>
      <w:r>
        <w:rPr>
          <w:spacing w:val="-2"/>
        </w:rPr>
        <w:t>The</w:t>
      </w:r>
      <w:r>
        <w:t xml:space="preserve"> </w:t>
      </w:r>
      <w:r>
        <w:rPr>
          <w:spacing w:val="-1"/>
        </w:rPr>
        <w:t>desalination</w:t>
      </w:r>
      <w:r>
        <w:t xml:space="preserve"> plant has been developed</w:t>
      </w:r>
      <w:r>
        <w:rPr>
          <w:spacing w:val="53"/>
        </w:rPr>
        <w:t xml:space="preserve"> </w:t>
      </w:r>
      <w:r>
        <w:rPr>
          <w:spacing w:val="-1"/>
        </w:rPr>
        <w:t>through</w:t>
      </w:r>
      <w:r>
        <w:t xml:space="preserve"> a public </w:t>
      </w:r>
      <w:r>
        <w:rPr>
          <w:spacing w:val="-1"/>
        </w:rPr>
        <w:t>private</w:t>
      </w:r>
      <w:r>
        <w:t xml:space="preserve"> </w:t>
      </w:r>
      <w:r>
        <w:rPr>
          <w:spacing w:val="-1"/>
        </w:rPr>
        <w:t>partnership</w:t>
      </w:r>
      <w:r>
        <w:t xml:space="preserve"> between the</w:t>
      </w:r>
      <w:r>
        <w:rPr>
          <w:spacing w:val="-4"/>
        </w:rPr>
        <w:t xml:space="preserve"> </w:t>
      </w:r>
      <w:r>
        <w:rPr>
          <w:spacing w:val="-1"/>
        </w:rPr>
        <w:t>Victorian</w:t>
      </w:r>
      <w:r>
        <w:t xml:space="preserve"> Government and</w:t>
      </w:r>
      <w:r>
        <w:rPr>
          <w:spacing w:val="-4"/>
        </w:rPr>
        <w:t xml:space="preserve"> </w:t>
      </w:r>
      <w:r>
        <w:rPr>
          <w:spacing w:val="-1"/>
        </w:rPr>
        <w:t>AquaSure.</w:t>
      </w:r>
      <w:r>
        <w:rPr>
          <w:spacing w:val="-6"/>
        </w:rPr>
        <w:t xml:space="preserve"> </w:t>
      </w:r>
      <w:r>
        <w:t>Under the</w:t>
      </w:r>
      <w:r>
        <w:rPr>
          <w:spacing w:val="53"/>
        </w:rPr>
        <w:t xml:space="preserve"> </w:t>
      </w:r>
      <w:r>
        <w:t>terms of</w:t>
      </w:r>
      <w:r>
        <w:rPr>
          <w:spacing w:val="4"/>
        </w:rPr>
        <w:t xml:space="preserve"> </w:t>
      </w:r>
      <w:r>
        <w:t xml:space="preserve">this </w:t>
      </w:r>
      <w:r>
        <w:rPr>
          <w:spacing w:val="-1"/>
        </w:rPr>
        <w:t>arrangement</w:t>
      </w:r>
      <w:r>
        <w:t xml:space="preserve"> and other </w:t>
      </w:r>
      <w:r>
        <w:rPr>
          <w:spacing w:val="-1"/>
        </w:rPr>
        <w:t>back-to-back</w:t>
      </w:r>
      <w:r>
        <w:t xml:space="preserve"> deeds </w:t>
      </w:r>
      <w:r>
        <w:rPr>
          <w:spacing w:val="-1"/>
        </w:rPr>
        <w:t>entered</w:t>
      </w:r>
      <w:r>
        <w:t xml:space="preserve"> into with Melbourne</w:t>
      </w:r>
      <w:r>
        <w:rPr>
          <w:spacing w:val="-3"/>
        </w:rPr>
        <w:t xml:space="preserve"> </w:t>
      </w:r>
      <w:r>
        <w:rPr>
          <w:spacing w:val="-4"/>
        </w:rPr>
        <w:t>Water,</w:t>
      </w:r>
      <w:r>
        <w:rPr>
          <w:spacing w:val="-6"/>
        </w:rPr>
        <w:t xml:space="preserve"> </w:t>
      </w:r>
      <w:r>
        <w:t>the costs</w:t>
      </w:r>
      <w:r>
        <w:rPr>
          <w:spacing w:val="45"/>
        </w:rPr>
        <w:t xml:space="preserve"> </w:t>
      </w:r>
      <w:r>
        <w:t>of</w:t>
      </w:r>
      <w:r>
        <w:rPr>
          <w:spacing w:val="4"/>
        </w:rPr>
        <w:t xml:space="preserve"> </w:t>
      </w:r>
      <w:r>
        <w:t xml:space="preserve">constructing the </w:t>
      </w:r>
      <w:r>
        <w:rPr>
          <w:spacing w:val="-1"/>
        </w:rPr>
        <w:t>desalination</w:t>
      </w:r>
      <w:r>
        <w:t xml:space="preserve"> plant </w:t>
      </w:r>
      <w:r>
        <w:rPr>
          <w:spacing w:val="-2"/>
        </w:rPr>
        <w:t>are</w:t>
      </w:r>
      <w:r>
        <w:t xml:space="preserve"> to be </w:t>
      </w:r>
      <w:r>
        <w:rPr>
          <w:spacing w:val="-1"/>
        </w:rPr>
        <w:t>recovered</w:t>
      </w:r>
      <w:r>
        <w:t xml:space="preserve"> </w:t>
      </w:r>
      <w:r>
        <w:rPr>
          <w:spacing w:val="-1"/>
        </w:rPr>
        <w:t>from</w:t>
      </w:r>
      <w:r>
        <w:t xml:space="preserve"> Melbourne</w:t>
      </w:r>
      <w:r>
        <w:rPr>
          <w:spacing w:val="-3"/>
        </w:rPr>
        <w:t xml:space="preserve"> </w:t>
      </w:r>
      <w:r>
        <w:rPr>
          <w:spacing w:val="-2"/>
        </w:rPr>
        <w:t>Water</w:t>
      </w:r>
      <w:r>
        <w:t xml:space="preserve"> over a 27 </w:t>
      </w:r>
      <w:r>
        <w:rPr>
          <w:spacing w:val="-1"/>
        </w:rPr>
        <w:t>year</w:t>
      </w:r>
      <w:r>
        <w:t xml:space="preserve"> period</w:t>
      </w:r>
      <w:r>
        <w:rPr>
          <w:spacing w:val="29"/>
        </w:rPr>
        <w:t xml:space="preserve"> </w:t>
      </w:r>
      <w:r>
        <w:rPr>
          <w:rFonts w:cs="Avenir Next"/>
          <w:spacing w:val="-1"/>
        </w:rPr>
        <w:t>through</w:t>
      </w:r>
      <w:r>
        <w:rPr>
          <w:rFonts w:cs="Avenir Next"/>
        </w:rPr>
        <w:t xml:space="preserve"> a </w:t>
      </w:r>
      <w:r>
        <w:rPr>
          <w:rFonts w:cs="Avenir Next"/>
          <w:spacing w:val="-1"/>
        </w:rPr>
        <w:t>desalination</w:t>
      </w:r>
      <w:r>
        <w:rPr>
          <w:rFonts w:cs="Avenir Next"/>
        </w:rPr>
        <w:t xml:space="preserve"> security payment,</w:t>
      </w:r>
      <w:r>
        <w:rPr>
          <w:rFonts w:cs="Avenir Next"/>
          <w:spacing w:val="-7"/>
        </w:rPr>
        <w:t xml:space="preserve"> </w:t>
      </w:r>
      <w:r>
        <w:rPr>
          <w:rFonts w:cs="Avenir Next"/>
          <w:spacing w:val="-1"/>
        </w:rPr>
        <w:t>after</w:t>
      </w:r>
      <w:r>
        <w:rPr>
          <w:rFonts w:cs="Avenir Next"/>
        </w:rPr>
        <w:t xml:space="preserve"> which ownership of</w:t>
      </w:r>
      <w:r>
        <w:rPr>
          <w:rFonts w:cs="Avenir Next"/>
          <w:spacing w:val="4"/>
        </w:rPr>
        <w:t xml:space="preserve"> </w:t>
      </w:r>
      <w:r>
        <w:rPr>
          <w:rFonts w:cs="Avenir Next"/>
        </w:rPr>
        <w:t xml:space="preserve">the plant will </w:t>
      </w:r>
      <w:r>
        <w:rPr>
          <w:rFonts w:cs="Avenir Next"/>
          <w:spacing w:val="-1"/>
        </w:rPr>
        <w:t>transfer</w:t>
      </w:r>
      <w:r>
        <w:rPr>
          <w:rFonts w:cs="Avenir Next"/>
        </w:rPr>
        <w:t xml:space="preserve"> to Melbourne</w:t>
      </w:r>
      <w:r>
        <w:rPr>
          <w:rFonts w:cs="Avenir Next"/>
          <w:spacing w:val="41"/>
        </w:rPr>
        <w:t xml:space="preserve"> </w:t>
      </w:r>
      <w:r>
        <w:rPr>
          <w:spacing w:val="-4"/>
        </w:rPr>
        <w:t>Water.</w:t>
      </w:r>
      <w:r>
        <w:rPr>
          <w:spacing w:val="-11"/>
        </w:rPr>
        <w:t xml:space="preserve"> </w:t>
      </w:r>
      <w:r>
        <w:rPr>
          <w:spacing w:val="-2"/>
        </w:rPr>
        <w:t>The</w:t>
      </w:r>
      <w:r>
        <w:t xml:space="preserve"> </w:t>
      </w:r>
      <w:r>
        <w:rPr>
          <w:spacing w:val="-1"/>
        </w:rPr>
        <w:t>expected</w:t>
      </w:r>
      <w:r>
        <w:t xml:space="preserve"> life of</w:t>
      </w:r>
      <w:r>
        <w:rPr>
          <w:spacing w:val="4"/>
        </w:rPr>
        <w:t xml:space="preserve"> </w:t>
      </w:r>
      <w:r>
        <w:t xml:space="preserve">the </w:t>
      </w:r>
      <w:r>
        <w:rPr>
          <w:spacing w:val="-1"/>
        </w:rPr>
        <w:t>desalination</w:t>
      </w:r>
      <w:r>
        <w:t xml:space="preserve"> plant is 50 </w:t>
      </w:r>
      <w:r>
        <w:rPr>
          <w:spacing w:val="-1"/>
        </w:rPr>
        <w:t>years.</w:t>
      </w:r>
    </w:p>
    <w:p w:rsidR="00D96B91" w:rsidRDefault="00C2656B">
      <w:pPr>
        <w:pStyle w:val="BodyText"/>
        <w:spacing w:before="170" w:line="260" w:lineRule="exact"/>
        <w:ind w:right="1256"/>
      </w:pPr>
      <w:r>
        <w:rPr>
          <w:rFonts w:cs="Avenir Next"/>
        </w:rPr>
        <w:t>Melbourne</w:t>
      </w:r>
      <w:r>
        <w:rPr>
          <w:rFonts w:cs="Avenir Next"/>
          <w:spacing w:val="-3"/>
        </w:rPr>
        <w:t xml:space="preserve"> Water’s</w:t>
      </w:r>
      <w:r>
        <w:rPr>
          <w:rFonts w:cs="Avenir Next"/>
        </w:rPr>
        <w:t xml:space="preserve"> original pricing </w:t>
      </w:r>
      <w:r>
        <w:rPr>
          <w:rFonts w:cs="Avenir Next"/>
          <w:spacing w:val="-1"/>
        </w:rPr>
        <w:t>proposal</w:t>
      </w:r>
      <w:r>
        <w:rPr>
          <w:rFonts w:cs="Avenir Next"/>
        </w:rPr>
        <w:t xml:space="preserve"> suggested the annual </w:t>
      </w:r>
      <w:r>
        <w:rPr>
          <w:rFonts w:cs="Avenir Next"/>
          <w:spacing w:val="-1"/>
        </w:rPr>
        <w:t>desalination</w:t>
      </w:r>
      <w:r>
        <w:rPr>
          <w:rFonts w:cs="Avenir Next"/>
        </w:rPr>
        <w:t xml:space="preserve"> security payments be</w:t>
      </w:r>
      <w:r>
        <w:rPr>
          <w:rFonts w:cs="Avenir Next"/>
          <w:spacing w:val="37"/>
        </w:rPr>
        <w:t xml:space="preserve"> </w:t>
      </w:r>
      <w:r>
        <w:rPr>
          <w:spacing w:val="-1"/>
        </w:rPr>
        <w:t>recovered</w:t>
      </w:r>
      <w:r>
        <w:t xml:space="preserve"> over the 27 </w:t>
      </w:r>
      <w:r>
        <w:rPr>
          <w:spacing w:val="-1"/>
        </w:rPr>
        <w:t>year</w:t>
      </w:r>
      <w:r>
        <w:t xml:space="preserve"> term of</w:t>
      </w:r>
      <w:r>
        <w:rPr>
          <w:spacing w:val="4"/>
        </w:rPr>
        <w:t xml:space="preserve"> </w:t>
      </w:r>
      <w:r>
        <w:t xml:space="preserve">the </w:t>
      </w:r>
      <w:r>
        <w:rPr>
          <w:spacing w:val="-1"/>
        </w:rPr>
        <w:t>contract.</w:t>
      </w:r>
      <w:r>
        <w:rPr>
          <w:spacing w:val="-11"/>
        </w:rPr>
        <w:t xml:space="preserve"> </w:t>
      </w:r>
      <w:r>
        <w:rPr>
          <w:spacing w:val="-2"/>
        </w:rPr>
        <w:t>The</w:t>
      </w:r>
      <w:r>
        <w:t xml:space="preserve"> primary concern the ESC had with this </w:t>
      </w:r>
      <w:r>
        <w:rPr>
          <w:spacing w:val="-1"/>
        </w:rPr>
        <w:t>proposal</w:t>
      </w:r>
      <w:r>
        <w:rPr>
          <w:spacing w:val="31"/>
        </w:rPr>
        <w:t xml:space="preserve"> </w:t>
      </w:r>
      <w:r>
        <w:t>was</w:t>
      </w:r>
      <w:r>
        <w:rPr>
          <w:spacing w:val="-1"/>
        </w:rPr>
        <w:t xml:space="preserve"> that</w:t>
      </w:r>
      <w:r>
        <w:t xml:space="preserve"> while</w:t>
      </w:r>
      <w:r>
        <w:rPr>
          <w:spacing w:val="-1"/>
        </w:rPr>
        <w:t xml:space="preserve"> </w:t>
      </w:r>
      <w:r>
        <w:t>the benefits</w:t>
      </w:r>
      <w:r>
        <w:rPr>
          <w:spacing w:val="-1"/>
        </w:rPr>
        <w:t xml:space="preserve"> </w:t>
      </w:r>
      <w:r>
        <w:t>of</w:t>
      </w:r>
      <w:r>
        <w:rPr>
          <w:spacing w:val="4"/>
        </w:rPr>
        <w:t xml:space="preserve"> </w:t>
      </w:r>
      <w:r>
        <w:rPr>
          <w:spacing w:val="-1"/>
        </w:rPr>
        <w:t xml:space="preserve">water </w:t>
      </w:r>
      <w:r>
        <w:t xml:space="preserve">security </w:t>
      </w:r>
      <w:r>
        <w:rPr>
          <w:spacing w:val="-1"/>
        </w:rPr>
        <w:t xml:space="preserve">provided </w:t>
      </w:r>
      <w:r>
        <w:t>by the</w:t>
      </w:r>
      <w:r>
        <w:rPr>
          <w:spacing w:val="-1"/>
        </w:rPr>
        <w:t xml:space="preserve"> desalination</w:t>
      </w:r>
      <w:r>
        <w:t xml:space="preserve"> plant</w:t>
      </w:r>
      <w:r>
        <w:rPr>
          <w:spacing w:val="-1"/>
        </w:rPr>
        <w:t xml:space="preserve"> were</w:t>
      </w:r>
      <w:r>
        <w:t xml:space="preserve"> </w:t>
      </w:r>
      <w:r>
        <w:rPr>
          <w:spacing w:val="-1"/>
        </w:rPr>
        <w:t xml:space="preserve">expected </w:t>
      </w:r>
      <w:r>
        <w:t>to</w:t>
      </w:r>
    </w:p>
    <w:p w:rsidR="00D96B91" w:rsidRDefault="00C2656B">
      <w:pPr>
        <w:pStyle w:val="BodyText"/>
        <w:spacing w:line="260" w:lineRule="exact"/>
        <w:ind w:right="1981"/>
        <w:jc w:val="both"/>
        <w:rPr>
          <w:sz w:val="11"/>
          <w:szCs w:val="11"/>
        </w:rPr>
      </w:pPr>
      <w:r>
        <w:t xml:space="preserve">be </w:t>
      </w:r>
      <w:r>
        <w:rPr>
          <w:spacing w:val="-1"/>
        </w:rPr>
        <w:t>experienced</w:t>
      </w:r>
      <w:r>
        <w:t xml:space="preserve"> evenly over the 50 </w:t>
      </w:r>
      <w:r>
        <w:rPr>
          <w:spacing w:val="-1"/>
        </w:rPr>
        <w:t>year</w:t>
      </w:r>
      <w:r>
        <w:t xml:space="preserve"> life of</w:t>
      </w:r>
      <w:r>
        <w:rPr>
          <w:spacing w:val="4"/>
        </w:rPr>
        <w:t xml:space="preserve"> </w:t>
      </w:r>
      <w:r>
        <w:t>the plant,</w:t>
      </w:r>
      <w:r>
        <w:rPr>
          <w:spacing w:val="-6"/>
        </w:rPr>
        <w:t xml:space="preserve"> </w:t>
      </w:r>
      <w:r>
        <w:rPr>
          <w:spacing w:val="-1"/>
        </w:rPr>
        <w:t>current</w:t>
      </w:r>
      <w:r>
        <w:t xml:space="preserve"> consumers would pay a </w:t>
      </w:r>
      <w:r>
        <w:rPr>
          <w:spacing w:val="-2"/>
        </w:rPr>
        <w:t>greater</w:t>
      </w:r>
      <w:r>
        <w:rPr>
          <w:spacing w:val="41"/>
        </w:rPr>
        <w:t xml:space="preserve"> </w:t>
      </w:r>
      <w:r>
        <w:rPr>
          <w:spacing w:val="-1"/>
        </w:rPr>
        <w:t>proportion</w:t>
      </w:r>
      <w:r>
        <w:t xml:space="preserve"> of</w:t>
      </w:r>
      <w:r>
        <w:rPr>
          <w:spacing w:val="4"/>
        </w:rPr>
        <w:t xml:space="preserve"> </w:t>
      </w:r>
      <w:r>
        <w:t>the costs of</w:t>
      </w:r>
      <w:r>
        <w:rPr>
          <w:spacing w:val="4"/>
        </w:rPr>
        <w:t xml:space="preserve"> </w:t>
      </w:r>
      <w:r>
        <w:t xml:space="preserve">the plant because the </w:t>
      </w:r>
      <w:r>
        <w:rPr>
          <w:spacing w:val="-1"/>
        </w:rPr>
        <w:t>proposed</w:t>
      </w:r>
      <w:r>
        <w:t xml:space="preserve"> </w:t>
      </w:r>
      <w:r>
        <w:rPr>
          <w:spacing w:val="-1"/>
        </w:rPr>
        <w:t>recovery</w:t>
      </w:r>
      <w:r>
        <w:t xml:space="preserve"> period was </w:t>
      </w:r>
      <w:r>
        <w:rPr>
          <w:spacing w:val="-1"/>
        </w:rPr>
        <w:t>shorter</w:t>
      </w:r>
      <w:r>
        <w:t xml:space="preserve"> than the</w:t>
      </w:r>
      <w:r>
        <w:rPr>
          <w:spacing w:val="31"/>
        </w:rPr>
        <w:t xml:space="preserve"> </w:t>
      </w:r>
      <w:r>
        <w:t>economic</w:t>
      </w:r>
      <w:r>
        <w:rPr>
          <w:spacing w:val="2"/>
        </w:rPr>
        <w:t xml:space="preserve"> </w:t>
      </w:r>
      <w:r>
        <w:t>life</w:t>
      </w:r>
      <w:r>
        <w:rPr>
          <w:spacing w:val="3"/>
        </w:rPr>
        <w:t xml:space="preserve"> </w:t>
      </w:r>
      <w:r>
        <w:t>of</w:t>
      </w:r>
      <w:r>
        <w:rPr>
          <w:spacing w:val="7"/>
        </w:rPr>
        <w:t xml:space="preserve"> </w:t>
      </w:r>
      <w:r>
        <w:t>the</w:t>
      </w:r>
      <w:r>
        <w:rPr>
          <w:spacing w:val="3"/>
        </w:rPr>
        <w:t xml:space="preserve"> </w:t>
      </w:r>
      <w:r>
        <w:t>plant:</w:t>
      </w:r>
      <w:r>
        <w:rPr>
          <w:position w:val="7"/>
          <w:sz w:val="11"/>
        </w:rPr>
        <w:t>252</w:t>
      </w:r>
    </w:p>
    <w:p w:rsidR="00D96B91" w:rsidRDefault="00C2656B">
      <w:pPr>
        <w:pStyle w:val="BodyText"/>
        <w:spacing w:before="170" w:line="260" w:lineRule="exact"/>
        <w:ind w:right="1436"/>
      </w:pPr>
      <w:r>
        <w:rPr>
          <w:spacing w:val="-1"/>
        </w:rPr>
        <w:t>“The</w:t>
      </w:r>
      <w:r>
        <w:t xml:space="preserve"> consequence of</w:t>
      </w:r>
      <w:r>
        <w:rPr>
          <w:spacing w:val="4"/>
        </w:rPr>
        <w:t xml:space="preserve"> </w:t>
      </w:r>
      <w:r>
        <w:t>Melbourne</w:t>
      </w:r>
      <w:r>
        <w:rPr>
          <w:spacing w:val="-3"/>
        </w:rPr>
        <w:t xml:space="preserve"> Water’s</w:t>
      </w:r>
      <w:r>
        <w:t xml:space="preserve"> </w:t>
      </w:r>
      <w:r>
        <w:rPr>
          <w:spacing w:val="-1"/>
        </w:rPr>
        <w:t>current</w:t>
      </w:r>
      <w:r>
        <w:t xml:space="preserve"> </w:t>
      </w:r>
      <w:r>
        <w:rPr>
          <w:spacing w:val="-1"/>
        </w:rPr>
        <w:t>proposal</w:t>
      </w:r>
      <w:r>
        <w:t xml:space="preserve"> would </w:t>
      </w:r>
      <w:r>
        <w:rPr>
          <w:spacing w:val="-1"/>
        </w:rPr>
        <w:t>result,</w:t>
      </w:r>
      <w:r>
        <w:rPr>
          <w:spacing w:val="-6"/>
        </w:rPr>
        <w:t xml:space="preserve"> </w:t>
      </w:r>
      <w:r>
        <w:t>all other things being equal,</w:t>
      </w:r>
      <w:r>
        <w:rPr>
          <w:spacing w:val="37"/>
        </w:rPr>
        <w:t xml:space="preserve"> </w:t>
      </w:r>
      <w:r>
        <w:t xml:space="preserve">in </w:t>
      </w:r>
      <w:r>
        <w:rPr>
          <w:spacing w:val="-1"/>
        </w:rPr>
        <w:t>future</w:t>
      </w:r>
      <w:r>
        <w:t xml:space="preserve"> consumers (in </w:t>
      </w:r>
      <w:r>
        <w:rPr>
          <w:spacing w:val="-1"/>
        </w:rPr>
        <w:t>years</w:t>
      </w:r>
      <w:r>
        <w:t xml:space="preserve"> 27 to 50) facing substantially lower prices for </w:t>
      </w:r>
      <w:r>
        <w:rPr>
          <w:spacing w:val="-1"/>
        </w:rPr>
        <w:t>water</w:t>
      </w:r>
      <w:r>
        <w:t xml:space="preserve"> than customers over</w:t>
      </w:r>
      <w:r>
        <w:rPr>
          <w:spacing w:val="28"/>
        </w:rPr>
        <w:t xml:space="preserve"> </w:t>
      </w:r>
      <w:r>
        <w:t>the</w:t>
      </w:r>
      <w:r>
        <w:rPr>
          <w:spacing w:val="-1"/>
        </w:rPr>
        <w:t xml:space="preserve"> next</w:t>
      </w:r>
      <w:r>
        <w:t xml:space="preserve"> 27</w:t>
      </w:r>
      <w:r>
        <w:rPr>
          <w:spacing w:val="-1"/>
        </w:rPr>
        <w:t xml:space="preserve"> years.</w:t>
      </w:r>
      <w:r>
        <w:rPr>
          <w:spacing w:val="-11"/>
        </w:rPr>
        <w:t xml:space="preserve"> </w:t>
      </w:r>
      <w:r>
        <w:rPr>
          <w:spacing w:val="-1"/>
        </w:rPr>
        <w:t xml:space="preserve">This </w:t>
      </w:r>
      <w:r>
        <w:t>is despite those</w:t>
      </w:r>
      <w:r>
        <w:rPr>
          <w:spacing w:val="-1"/>
        </w:rPr>
        <w:t xml:space="preserve"> future</w:t>
      </w:r>
      <w:r>
        <w:t xml:space="preserve"> consumers</w:t>
      </w:r>
      <w:r>
        <w:rPr>
          <w:spacing w:val="-1"/>
        </w:rPr>
        <w:t xml:space="preserve"> benefitting</w:t>
      </w:r>
      <w:r>
        <w:t xml:space="preserve"> </w:t>
      </w:r>
      <w:r>
        <w:rPr>
          <w:spacing w:val="-1"/>
        </w:rPr>
        <w:t xml:space="preserve">from </w:t>
      </w:r>
      <w:r>
        <w:t>the same security</w:t>
      </w:r>
      <w:r>
        <w:rPr>
          <w:spacing w:val="-1"/>
        </w:rPr>
        <w:t xml:space="preserve"> provided</w:t>
      </w:r>
      <w:r>
        <w:rPr>
          <w:spacing w:val="41"/>
        </w:rPr>
        <w:t xml:space="preserve"> </w:t>
      </w:r>
      <w:r>
        <w:t xml:space="preserve">by the </w:t>
      </w:r>
      <w:r>
        <w:rPr>
          <w:spacing w:val="-1"/>
        </w:rPr>
        <w:t>desalination</w:t>
      </w:r>
      <w:r>
        <w:t xml:space="preserve"> plant.</w:t>
      </w:r>
      <w:r>
        <w:rPr>
          <w:spacing w:val="-11"/>
        </w:rPr>
        <w:t xml:space="preserve"> </w:t>
      </w:r>
      <w:r>
        <w:rPr>
          <w:spacing w:val="-10"/>
        </w:rPr>
        <w:t>To</w:t>
      </w:r>
      <w:r>
        <w:t xml:space="preserve"> the </w:t>
      </w:r>
      <w:r>
        <w:rPr>
          <w:spacing w:val="-1"/>
        </w:rPr>
        <w:t>extent</w:t>
      </w:r>
      <w:r>
        <w:t xml:space="preserve"> </w:t>
      </w:r>
      <w:r>
        <w:rPr>
          <w:spacing w:val="-1"/>
        </w:rPr>
        <w:t>that</w:t>
      </w:r>
      <w:r>
        <w:t xml:space="preserve"> this </w:t>
      </w:r>
      <w:r>
        <w:rPr>
          <w:spacing w:val="-1"/>
        </w:rPr>
        <w:t>distorts</w:t>
      </w:r>
      <w:r>
        <w:t xml:space="preserve"> </w:t>
      </w:r>
      <w:r>
        <w:rPr>
          <w:spacing w:val="-1"/>
        </w:rPr>
        <w:t>relative</w:t>
      </w:r>
      <w:r>
        <w:t xml:space="preserve"> price signals to </w:t>
      </w:r>
      <w:r>
        <w:rPr>
          <w:spacing w:val="-1"/>
        </w:rPr>
        <w:t>present</w:t>
      </w:r>
      <w:r>
        <w:t xml:space="preserve"> and </w:t>
      </w:r>
      <w:r>
        <w:rPr>
          <w:spacing w:val="-1"/>
        </w:rPr>
        <w:t>future</w:t>
      </w:r>
      <w:r>
        <w:rPr>
          <w:spacing w:val="57"/>
        </w:rPr>
        <w:t xml:space="preserve"> </w:t>
      </w:r>
      <w:r>
        <w:t>customers</w:t>
      </w:r>
      <w:r>
        <w:rPr>
          <w:spacing w:val="-1"/>
        </w:rPr>
        <w:t xml:space="preserve"> </w:t>
      </w:r>
      <w:r>
        <w:t>about the true</w:t>
      </w:r>
      <w:r>
        <w:rPr>
          <w:spacing w:val="-1"/>
        </w:rPr>
        <w:t xml:space="preserve"> </w:t>
      </w:r>
      <w:r>
        <w:t>costs of</w:t>
      </w:r>
      <w:r>
        <w:rPr>
          <w:spacing w:val="4"/>
        </w:rPr>
        <w:t xml:space="preserve"> </w:t>
      </w:r>
      <w:r>
        <w:rPr>
          <w:spacing w:val="-1"/>
        </w:rPr>
        <w:t xml:space="preserve">water </w:t>
      </w:r>
      <w:r>
        <w:t>(and its security),</w:t>
      </w:r>
      <w:r>
        <w:rPr>
          <w:spacing w:val="-8"/>
        </w:rPr>
        <w:t xml:space="preserve"> </w:t>
      </w:r>
      <w:r>
        <w:t xml:space="preserve">it may </w:t>
      </w:r>
      <w:r>
        <w:rPr>
          <w:spacing w:val="-1"/>
        </w:rPr>
        <w:t xml:space="preserve">lead </w:t>
      </w:r>
      <w:r>
        <w:t xml:space="preserve">to </w:t>
      </w:r>
      <w:r>
        <w:rPr>
          <w:spacing w:val="-1"/>
        </w:rPr>
        <w:t>inefficient</w:t>
      </w:r>
      <w:r>
        <w:t xml:space="preserve"> </w:t>
      </w:r>
      <w:r>
        <w:rPr>
          <w:spacing w:val="-1"/>
        </w:rPr>
        <w:t xml:space="preserve">water </w:t>
      </w:r>
      <w:r>
        <w:t>use and</w:t>
      </w:r>
      <w:r>
        <w:rPr>
          <w:spacing w:val="31"/>
        </w:rPr>
        <w:t xml:space="preserve"> </w:t>
      </w:r>
      <w:r>
        <w:rPr>
          <w:spacing w:val="-1"/>
        </w:rPr>
        <w:t>inefficient</w:t>
      </w:r>
      <w:r>
        <w:rPr>
          <w:spacing w:val="-2"/>
        </w:rPr>
        <w:t xml:space="preserve"> </w:t>
      </w:r>
      <w:r>
        <w:t>investment</w:t>
      </w:r>
      <w:r>
        <w:rPr>
          <w:spacing w:val="-1"/>
        </w:rPr>
        <w:t xml:space="preserve"> </w:t>
      </w:r>
      <w:r>
        <w:t>decisions</w:t>
      </w:r>
      <w:r>
        <w:rPr>
          <w:spacing w:val="-2"/>
        </w:rPr>
        <w:t xml:space="preserve"> </w:t>
      </w:r>
      <w:r>
        <w:t>by</w:t>
      </w:r>
      <w:r>
        <w:rPr>
          <w:spacing w:val="-1"/>
        </w:rPr>
        <w:t xml:space="preserve"> </w:t>
      </w:r>
      <w:r>
        <w:rPr>
          <w:spacing w:val="-2"/>
        </w:rPr>
        <w:t>end-users.”</w:t>
      </w:r>
    </w:p>
    <w:p w:rsidR="00D96B91" w:rsidRDefault="00C2656B">
      <w:pPr>
        <w:pStyle w:val="BodyText"/>
        <w:spacing w:before="170" w:line="260" w:lineRule="exact"/>
        <w:ind w:right="1602"/>
      </w:pPr>
      <w:r>
        <w:t>Given these concerns,</w:t>
      </w:r>
      <w:r>
        <w:rPr>
          <w:spacing w:val="-7"/>
        </w:rPr>
        <w:t xml:space="preserve"> </w:t>
      </w:r>
      <w:r>
        <w:t xml:space="preserve">the ESC </w:t>
      </w:r>
      <w:r>
        <w:rPr>
          <w:spacing w:val="-1"/>
        </w:rPr>
        <w:t>considered</w:t>
      </w:r>
      <w:r>
        <w:t xml:space="preserve"> whether </w:t>
      </w:r>
      <w:r>
        <w:rPr>
          <w:spacing w:val="-1"/>
        </w:rPr>
        <w:t>there</w:t>
      </w:r>
      <w:r>
        <w:t xml:space="preserve"> </w:t>
      </w:r>
      <w:r>
        <w:rPr>
          <w:spacing w:val="-1"/>
        </w:rPr>
        <w:t>were</w:t>
      </w:r>
      <w:r>
        <w:t xml:space="preserve"> any other options </w:t>
      </w:r>
      <w:r>
        <w:rPr>
          <w:spacing w:val="-1"/>
        </w:rPr>
        <w:t>that</w:t>
      </w:r>
      <w:r>
        <w:t xml:space="preserve"> would </w:t>
      </w:r>
      <w:r>
        <w:rPr>
          <w:spacing w:val="-1"/>
        </w:rPr>
        <w:t>result</w:t>
      </w:r>
      <w:r>
        <w:rPr>
          <w:spacing w:val="21"/>
        </w:rPr>
        <w:t xml:space="preserve"> </w:t>
      </w:r>
      <w:r>
        <w:t xml:space="preserve">in a </w:t>
      </w:r>
      <w:r>
        <w:rPr>
          <w:spacing w:val="-1"/>
        </w:rPr>
        <w:t>better</w:t>
      </w:r>
      <w:r>
        <w:t xml:space="preserve"> alignment between the </w:t>
      </w:r>
      <w:r>
        <w:rPr>
          <w:spacing w:val="-1"/>
        </w:rPr>
        <w:t>recovery</w:t>
      </w:r>
      <w:r>
        <w:t xml:space="preserve"> of</w:t>
      </w:r>
      <w:r>
        <w:rPr>
          <w:spacing w:val="4"/>
        </w:rPr>
        <w:t xml:space="preserve"> </w:t>
      </w:r>
      <w:r>
        <w:t xml:space="preserve">the </w:t>
      </w:r>
      <w:r>
        <w:rPr>
          <w:spacing w:val="-1"/>
        </w:rPr>
        <w:t>desalination</w:t>
      </w:r>
      <w:r>
        <w:t xml:space="preserve"> plant capital costs and </w:t>
      </w:r>
      <w:r>
        <w:rPr>
          <w:spacing w:val="-1"/>
        </w:rPr>
        <w:t>water</w:t>
      </w:r>
      <w:r>
        <w:t xml:space="preserve"> security</w:t>
      </w:r>
      <w:r>
        <w:rPr>
          <w:spacing w:val="39"/>
        </w:rPr>
        <w:t xml:space="preserve"> </w:t>
      </w:r>
      <w:r>
        <w:t>benefits</w:t>
      </w:r>
      <w:r>
        <w:rPr>
          <w:spacing w:val="-1"/>
        </w:rPr>
        <w:t xml:space="preserve"> </w:t>
      </w:r>
      <w:r>
        <w:t>derived</w:t>
      </w:r>
      <w:r>
        <w:rPr>
          <w:spacing w:val="-1"/>
        </w:rPr>
        <w:t xml:space="preserve"> </w:t>
      </w:r>
      <w:r>
        <w:t>by</w:t>
      </w:r>
      <w:r>
        <w:rPr>
          <w:spacing w:val="-1"/>
        </w:rPr>
        <w:t xml:space="preserve"> </w:t>
      </w:r>
      <w:r>
        <w:t>customers.</w:t>
      </w:r>
      <w:r>
        <w:rPr>
          <w:spacing w:val="-11"/>
        </w:rPr>
        <w:t xml:space="preserve"> </w:t>
      </w:r>
      <w:r>
        <w:rPr>
          <w:spacing w:val="-2"/>
        </w:rPr>
        <w:t>The</w:t>
      </w:r>
      <w:r>
        <w:rPr>
          <w:spacing w:val="-1"/>
        </w:rPr>
        <w:t xml:space="preserve"> </w:t>
      </w:r>
      <w:r>
        <w:t>options</w:t>
      </w:r>
      <w:r>
        <w:rPr>
          <w:spacing w:val="-1"/>
        </w:rPr>
        <w:t xml:space="preserve"> considered </w:t>
      </w:r>
      <w:r>
        <w:t>by the</w:t>
      </w:r>
      <w:r>
        <w:rPr>
          <w:spacing w:val="-1"/>
        </w:rPr>
        <w:t xml:space="preserve"> </w:t>
      </w:r>
      <w:r>
        <w:t>ESC</w:t>
      </w:r>
      <w:r>
        <w:rPr>
          <w:spacing w:val="-1"/>
        </w:rPr>
        <w:t xml:space="preserve"> </w:t>
      </w:r>
      <w:r>
        <w:t>included:</w:t>
      </w:r>
    </w:p>
    <w:p w:rsidR="00D96B91" w:rsidRDefault="00C2656B">
      <w:pPr>
        <w:pStyle w:val="BodyText"/>
        <w:numPr>
          <w:ilvl w:val="0"/>
          <w:numId w:val="23"/>
        </w:numPr>
        <w:tabs>
          <w:tab w:val="left" w:pos="1588"/>
        </w:tabs>
        <w:spacing w:before="178"/>
        <w:ind w:hanging="340"/>
      </w:pPr>
      <w:r>
        <w:rPr>
          <w:spacing w:val="-1"/>
        </w:rPr>
        <w:t>Recovering</w:t>
      </w:r>
      <w:r>
        <w:t xml:space="preserve"> the capital costs over the 50 </w:t>
      </w:r>
      <w:r>
        <w:rPr>
          <w:spacing w:val="-1"/>
        </w:rPr>
        <w:t>year</w:t>
      </w:r>
      <w:r>
        <w:t xml:space="preserve"> life of</w:t>
      </w:r>
      <w:r>
        <w:rPr>
          <w:spacing w:val="4"/>
        </w:rPr>
        <w:t xml:space="preserve"> </w:t>
      </w:r>
      <w:r>
        <w:t xml:space="preserve">the plant </w:t>
      </w:r>
      <w:r>
        <w:rPr>
          <w:spacing w:val="-1"/>
        </w:rPr>
        <w:t>through:</w:t>
      </w:r>
    </w:p>
    <w:p w:rsidR="00D96B91" w:rsidRDefault="00C2656B">
      <w:pPr>
        <w:pStyle w:val="BodyText"/>
        <w:numPr>
          <w:ilvl w:val="1"/>
          <w:numId w:val="23"/>
        </w:numPr>
        <w:tabs>
          <w:tab w:val="left" w:pos="1872"/>
        </w:tabs>
        <w:spacing w:before="72"/>
        <w:ind w:hanging="340"/>
      </w:pPr>
      <w:r>
        <w:rPr>
          <w:spacing w:val="-2"/>
        </w:rPr>
        <w:t>The</w:t>
      </w:r>
      <w:r>
        <w:t xml:space="preserve"> </w:t>
      </w:r>
      <w:r>
        <w:rPr>
          <w:spacing w:val="-1"/>
        </w:rPr>
        <w:t>traditional</w:t>
      </w:r>
      <w:r>
        <w:t xml:space="preserve"> </w:t>
      </w:r>
      <w:r>
        <w:rPr>
          <w:spacing w:val="-1"/>
        </w:rPr>
        <w:t>straight</w:t>
      </w:r>
      <w:r>
        <w:t xml:space="preserve"> line </w:t>
      </w:r>
      <w:r>
        <w:rPr>
          <w:spacing w:val="-1"/>
        </w:rPr>
        <w:t>depreciation</w:t>
      </w:r>
      <w:r>
        <w:t xml:space="preserve"> </w:t>
      </w:r>
      <w:r>
        <w:rPr>
          <w:spacing w:val="-1"/>
        </w:rPr>
        <w:t>approach.</w:t>
      </w:r>
    </w:p>
    <w:p w:rsidR="00D96B91" w:rsidRDefault="00C2656B">
      <w:pPr>
        <w:pStyle w:val="BodyText"/>
        <w:numPr>
          <w:ilvl w:val="1"/>
          <w:numId w:val="23"/>
        </w:numPr>
        <w:tabs>
          <w:tab w:val="left" w:pos="1872"/>
        </w:tabs>
        <w:spacing w:before="72"/>
        <w:ind w:left="1871"/>
      </w:pPr>
      <w:r>
        <w:t>An</w:t>
      </w:r>
      <w:r>
        <w:rPr>
          <w:spacing w:val="-1"/>
        </w:rPr>
        <w:t xml:space="preserve"> </w:t>
      </w:r>
      <w:r>
        <w:t>annuity</w:t>
      </w:r>
      <w:r>
        <w:rPr>
          <w:spacing w:val="-1"/>
        </w:rPr>
        <w:t xml:space="preserve"> </w:t>
      </w:r>
      <w:r>
        <w:t>style payment</w:t>
      </w:r>
      <w:r>
        <w:rPr>
          <w:spacing w:val="-1"/>
        </w:rPr>
        <w:t xml:space="preserve"> </w:t>
      </w:r>
      <w:r>
        <w:t>(akin</w:t>
      </w:r>
      <w:r>
        <w:rPr>
          <w:spacing w:val="-1"/>
        </w:rPr>
        <w:t xml:space="preserve"> </w:t>
      </w:r>
      <w:r>
        <w:t>to the</w:t>
      </w:r>
      <w:r>
        <w:rPr>
          <w:spacing w:val="-1"/>
        </w:rPr>
        <w:t xml:space="preserve"> flat </w:t>
      </w:r>
      <w:r>
        <w:t>capital cost</w:t>
      </w:r>
      <w:r>
        <w:rPr>
          <w:spacing w:val="-1"/>
        </w:rPr>
        <w:t xml:space="preserve"> recovery profile).</w:t>
      </w:r>
    </w:p>
    <w:p w:rsidR="00D96B91" w:rsidRDefault="00D96B91">
      <w:pPr>
        <w:spacing w:before="9"/>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507" style="width:72.5pt;height:.5pt;mso-position-horizontal-relative:char;mso-position-vertical-relative:line" coordsize="1450,10">
            <v:group id="_x0000_s1508" style="position:absolute;left:5;top:5;width:1440;height:2" coordorigin="5,5" coordsize="1440,2">
              <v:shape id="_x0000_s1509"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278" w:hanging="510"/>
        <w:rPr>
          <w:rFonts w:ascii="Avenir Next" w:eastAsia="Avenir Next" w:hAnsi="Avenir Next" w:cs="Avenir Next"/>
          <w:sz w:val="16"/>
          <w:szCs w:val="16"/>
        </w:rPr>
      </w:pPr>
      <w:r>
        <w:rPr>
          <w:rFonts w:ascii="Avenir Next"/>
          <w:sz w:val="16"/>
        </w:rPr>
        <w:t xml:space="preserve">While </w:t>
      </w:r>
      <w:r>
        <w:rPr>
          <w:rFonts w:ascii="Avenir Next"/>
          <w:spacing w:val="-1"/>
          <w:sz w:val="16"/>
        </w:rPr>
        <w:t>provision</w:t>
      </w:r>
      <w:r>
        <w:rPr>
          <w:rFonts w:ascii="Avenir Next"/>
          <w:sz w:val="16"/>
        </w:rPr>
        <w:t xml:space="preserve"> has been made in the NGR for this type of</w:t>
      </w:r>
      <w:r>
        <w:rPr>
          <w:rFonts w:ascii="Avenir Next"/>
          <w:spacing w:val="3"/>
          <w:sz w:val="16"/>
        </w:rPr>
        <w:t xml:space="preserve"> </w:t>
      </w:r>
      <w:r>
        <w:rPr>
          <w:rFonts w:ascii="Avenir Next"/>
          <w:sz w:val="16"/>
        </w:rPr>
        <w:t>mechanism to be used,</w:t>
      </w:r>
      <w:r>
        <w:rPr>
          <w:rFonts w:ascii="Avenir Next"/>
          <w:spacing w:val="-5"/>
          <w:sz w:val="16"/>
        </w:rPr>
        <w:t xml:space="preserve"> </w:t>
      </w:r>
      <w:r>
        <w:rPr>
          <w:rFonts w:ascii="Avenir Next"/>
          <w:sz w:val="16"/>
        </w:rPr>
        <w:t xml:space="preserve">we </w:t>
      </w:r>
      <w:r>
        <w:rPr>
          <w:rFonts w:ascii="Avenir Next"/>
          <w:spacing w:val="-1"/>
          <w:sz w:val="16"/>
        </w:rPr>
        <w:t>are</w:t>
      </w:r>
      <w:r>
        <w:rPr>
          <w:rFonts w:ascii="Avenir Next"/>
          <w:sz w:val="16"/>
        </w:rPr>
        <w:t xml:space="preserve"> </w:t>
      </w:r>
      <w:r>
        <w:rPr>
          <w:rFonts w:ascii="Avenir Next"/>
          <w:spacing w:val="-1"/>
          <w:sz w:val="16"/>
        </w:rPr>
        <w:t>unaware</w:t>
      </w:r>
      <w:r>
        <w:rPr>
          <w:rFonts w:ascii="Avenir Next"/>
          <w:sz w:val="16"/>
        </w:rPr>
        <w:t xml:space="preserve"> of</w:t>
      </w:r>
      <w:r>
        <w:rPr>
          <w:rFonts w:ascii="Avenir Next"/>
          <w:spacing w:val="3"/>
          <w:sz w:val="16"/>
        </w:rPr>
        <w:t xml:space="preserve"> </w:t>
      </w:r>
      <w:r>
        <w:rPr>
          <w:rFonts w:ascii="Avenir Next"/>
          <w:sz w:val="16"/>
        </w:rPr>
        <w:t xml:space="preserve">any </w:t>
      </w:r>
      <w:r>
        <w:rPr>
          <w:rFonts w:ascii="Avenir Next"/>
          <w:spacing w:val="-1"/>
          <w:sz w:val="16"/>
        </w:rPr>
        <w:t>circumstances</w:t>
      </w:r>
      <w:r>
        <w:rPr>
          <w:rFonts w:ascii="Avenir Next"/>
          <w:sz w:val="16"/>
        </w:rPr>
        <w:t xml:space="preserve"> in</w:t>
      </w:r>
      <w:r>
        <w:rPr>
          <w:rFonts w:ascii="Avenir Next"/>
          <w:spacing w:val="41"/>
          <w:sz w:val="16"/>
        </w:rPr>
        <w:t xml:space="preserve"> </w:t>
      </w:r>
      <w:r>
        <w:rPr>
          <w:rFonts w:ascii="Avenir Next"/>
          <w:sz w:val="16"/>
        </w:rPr>
        <w:t>which it has actually been used.</w:t>
      </w:r>
    </w:p>
    <w:p w:rsidR="00D96B91" w:rsidRDefault="00C2656B">
      <w:pPr>
        <w:numPr>
          <w:ilvl w:val="0"/>
          <w:numId w:val="24"/>
        </w:numPr>
        <w:tabs>
          <w:tab w:val="left" w:pos="1758"/>
        </w:tabs>
        <w:spacing w:before="141"/>
        <w:ind w:hanging="510"/>
        <w:rPr>
          <w:rFonts w:ascii="Avenir Next" w:eastAsia="Avenir Next" w:hAnsi="Avenir Next" w:cs="Avenir Next"/>
          <w:sz w:val="16"/>
          <w:szCs w:val="16"/>
        </w:rPr>
      </w:pPr>
      <w:r>
        <w:rPr>
          <w:rFonts w:ascii="Avenir Next"/>
          <w:sz w:val="16"/>
        </w:rPr>
        <w:t>ESC,</w:t>
      </w:r>
      <w:r>
        <w:rPr>
          <w:rFonts w:ascii="Avenir Next"/>
          <w:spacing w:val="-5"/>
          <w:sz w:val="16"/>
        </w:rPr>
        <w:t xml:space="preserve"> </w:t>
      </w:r>
      <w:r>
        <w:rPr>
          <w:rFonts w:ascii="Avenir Next"/>
          <w:spacing w:val="-1"/>
          <w:sz w:val="16"/>
        </w:rPr>
        <w:t>Draft</w:t>
      </w:r>
      <w:r>
        <w:rPr>
          <w:rFonts w:ascii="Avenir Next"/>
          <w:sz w:val="16"/>
        </w:rPr>
        <w:t xml:space="preserve"> Decision,</w:t>
      </w:r>
      <w:r>
        <w:rPr>
          <w:rFonts w:ascii="Avenir Next"/>
          <w:spacing w:val="-5"/>
          <w:sz w:val="16"/>
        </w:rPr>
        <w:t xml:space="preserve"> </w:t>
      </w:r>
      <w:r>
        <w:rPr>
          <w:rFonts w:ascii="Avenir Next"/>
          <w:spacing w:val="-2"/>
          <w:sz w:val="16"/>
        </w:rPr>
        <w:t>Price</w:t>
      </w:r>
      <w:r>
        <w:rPr>
          <w:rFonts w:ascii="Avenir Next"/>
          <w:sz w:val="16"/>
        </w:rPr>
        <w:t xml:space="preserve"> </w:t>
      </w:r>
      <w:r>
        <w:rPr>
          <w:rFonts w:ascii="Avenir Next"/>
          <w:spacing w:val="-1"/>
          <w:sz w:val="16"/>
        </w:rPr>
        <w:t>Review</w:t>
      </w:r>
      <w:r>
        <w:rPr>
          <w:rFonts w:ascii="Avenir Next"/>
          <w:sz w:val="16"/>
        </w:rPr>
        <w:t xml:space="preserve"> 2013: </w:t>
      </w:r>
      <w:r>
        <w:rPr>
          <w:rFonts w:ascii="Avenir Next"/>
          <w:spacing w:val="-1"/>
          <w:sz w:val="16"/>
        </w:rPr>
        <w:t>Greater</w:t>
      </w:r>
      <w:r>
        <w:rPr>
          <w:rFonts w:ascii="Avenir Next"/>
          <w:sz w:val="16"/>
        </w:rPr>
        <w:t xml:space="preserve"> </w:t>
      </w:r>
      <w:r>
        <w:rPr>
          <w:rFonts w:ascii="Avenir Next"/>
          <w:spacing w:val="-1"/>
          <w:sz w:val="16"/>
        </w:rPr>
        <w:t>Metropolitan</w:t>
      </w:r>
      <w:r>
        <w:rPr>
          <w:rFonts w:ascii="Avenir Next"/>
          <w:spacing w:val="-2"/>
          <w:sz w:val="16"/>
        </w:rPr>
        <w:t xml:space="preserve"> Water</w:t>
      </w:r>
      <w:r>
        <w:rPr>
          <w:rFonts w:ascii="Avenir Next"/>
          <w:sz w:val="16"/>
        </w:rPr>
        <w:t xml:space="preserve"> Businesses,</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275.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numPr>
          <w:ilvl w:val="1"/>
          <w:numId w:val="23"/>
        </w:numPr>
        <w:tabs>
          <w:tab w:val="left" w:pos="1871"/>
        </w:tabs>
        <w:spacing w:before="21" w:line="260" w:lineRule="exact"/>
        <w:ind w:right="1699" w:hanging="340"/>
      </w:pPr>
      <w:r>
        <w:t xml:space="preserve">An allowance </w:t>
      </w:r>
      <w:r>
        <w:rPr>
          <w:spacing w:val="-1"/>
        </w:rPr>
        <w:t>that</w:t>
      </w:r>
      <w:r>
        <w:t xml:space="preserve"> </w:t>
      </w:r>
      <w:r>
        <w:rPr>
          <w:spacing w:val="-1"/>
        </w:rPr>
        <w:t>increases</w:t>
      </w:r>
      <w:r>
        <w:t xml:space="preserve"> over the life of</w:t>
      </w:r>
      <w:r>
        <w:rPr>
          <w:spacing w:val="4"/>
        </w:rPr>
        <w:t xml:space="preserve"> </w:t>
      </w:r>
      <w:r>
        <w:t xml:space="preserve">the plant in line with either </w:t>
      </w:r>
      <w:r>
        <w:rPr>
          <w:spacing w:val="-1"/>
        </w:rPr>
        <w:t>population</w:t>
      </w:r>
      <w:r>
        <w:t xml:space="preserve"> </w:t>
      </w:r>
      <w:r>
        <w:rPr>
          <w:spacing w:val="-1"/>
        </w:rPr>
        <w:t>growth</w:t>
      </w:r>
      <w:r>
        <w:t xml:space="preserve"> or</w:t>
      </w:r>
      <w:r>
        <w:rPr>
          <w:spacing w:val="27"/>
        </w:rPr>
        <w:t xml:space="preserve"> </w:t>
      </w:r>
      <w:r>
        <w:rPr>
          <w:spacing w:val="-1"/>
        </w:rPr>
        <w:t xml:space="preserve">water </w:t>
      </w:r>
      <w:r>
        <w:t>demand</w:t>
      </w:r>
      <w:r>
        <w:rPr>
          <w:spacing w:val="-1"/>
        </w:rPr>
        <w:t xml:space="preserve"> </w:t>
      </w:r>
      <w:r>
        <w:t>(akin to</w:t>
      </w:r>
      <w:r>
        <w:rPr>
          <w:spacing w:val="-1"/>
        </w:rPr>
        <w:t xml:space="preserve"> </w:t>
      </w:r>
      <w:r>
        <w:t>the inclining</w:t>
      </w:r>
      <w:r>
        <w:rPr>
          <w:spacing w:val="-1"/>
        </w:rPr>
        <w:t xml:space="preserve"> </w:t>
      </w:r>
      <w:r>
        <w:t>capital cost</w:t>
      </w:r>
      <w:r>
        <w:rPr>
          <w:spacing w:val="-1"/>
        </w:rPr>
        <w:t xml:space="preserve"> recovery profile).</w:t>
      </w:r>
    </w:p>
    <w:p w:rsidR="00D96B91" w:rsidRDefault="00C2656B">
      <w:pPr>
        <w:pStyle w:val="BodyText"/>
        <w:numPr>
          <w:ilvl w:val="1"/>
          <w:numId w:val="23"/>
        </w:numPr>
        <w:tabs>
          <w:tab w:val="left" w:pos="1871"/>
        </w:tabs>
        <w:spacing w:before="85" w:line="260" w:lineRule="exact"/>
        <w:ind w:right="1947" w:hanging="340"/>
      </w:pPr>
      <w:r>
        <w:t>Aligning</w:t>
      </w:r>
      <w:r>
        <w:rPr>
          <w:spacing w:val="-1"/>
        </w:rPr>
        <w:t xml:space="preserve"> </w:t>
      </w:r>
      <w:r>
        <w:t>the capital cost</w:t>
      </w:r>
      <w:r>
        <w:rPr>
          <w:spacing w:val="-1"/>
        </w:rPr>
        <w:t xml:space="preserve"> recovery</w:t>
      </w:r>
      <w:r>
        <w:t xml:space="preserve"> </w:t>
      </w:r>
      <w:r>
        <w:rPr>
          <w:spacing w:val="-1"/>
        </w:rPr>
        <w:t>profile</w:t>
      </w:r>
      <w:r>
        <w:t xml:space="preserve"> with</w:t>
      </w:r>
      <w:r>
        <w:rPr>
          <w:spacing w:val="-1"/>
        </w:rPr>
        <w:t xml:space="preserve"> </w:t>
      </w:r>
      <w:r>
        <w:t>the value customers</w:t>
      </w:r>
      <w:r>
        <w:rPr>
          <w:spacing w:val="-1"/>
        </w:rPr>
        <w:t xml:space="preserve"> </w:t>
      </w:r>
      <w:r>
        <w:rPr>
          <w:spacing w:val="-2"/>
        </w:rPr>
        <w:t>are</w:t>
      </w:r>
      <w:r>
        <w:t xml:space="preserve"> </w:t>
      </w:r>
      <w:r>
        <w:rPr>
          <w:spacing w:val="-1"/>
        </w:rPr>
        <w:t>expected</w:t>
      </w:r>
      <w:r>
        <w:t xml:space="preserve"> to derive</w:t>
      </w:r>
      <w:r>
        <w:rPr>
          <w:spacing w:val="31"/>
        </w:rPr>
        <w:t xml:space="preserve"> </w:t>
      </w:r>
      <w:r>
        <w:t xml:space="preserve">(security plus actual </w:t>
      </w:r>
      <w:r>
        <w:rPr>
          <w:spacing w:val="-1"/>
        </w:rPr>
        <w:t>water</w:t>
      </w:r>
      <w:r>
        <w:t xml:space="preserve"> delivery) over the economic life of</w:t>
      </w:r>
      <w:r>
        <w:rPr>
          <w:spacing w:val="4"/>
        </w:rPr>
        <w:t xml:space="preserve"> </w:t>
      </w:r>
      <w:r>
        <w:t>the plant.</w:t>
      </w:r>
    </w:p>
    <w:p w:rsidR="00D96B91" w:rsidRDefault="00C2656B">
      <w:pPr>
        <w:pStyle w:val="BodyText"/>
        <w:numPr>
          <w:ilvl w:val="0"/>
          <w:numId w:val="23"/>
        </w:numPr>
        <w:tabs>
          <w:tab w:val="left" w:pos="1588"/>
        </w:tabs>
        <w:spacing w:before="85" w:line="260" w:lineRule="exact"/>
        <w:ind w:right="1251" w:hanging="340"/>
      </w:pPr>
      <w:r>
        <w:rPr>
          <w:spacing w:val="-1"/>
        </w:rPr>
        <w:t>Capitalising</w:t>
      </w:r>
      <w:r>
        <w:t xml:space="preserve"> 15% of</w:t>
      </w:r>
      <w:r>
        <w:rPr>
          <w:spacing w:val="4"/>
        </w:rPr>
        <w:t xml:space="preserve"> </w:t>
      </w:r>
      <w:r>
        <w:t xml:space="preserve">the payments in </w:t>
      </w:r>
      <w:r>
        <w:rPr>
          <w:spacing w:val="-1"/>
        </w:rPr>
        <w:t>each</w:t>
      </w:r>
      <w:r>
        <w:t xml:space="preserve"> </w:t>
      </w:r>
      <w:r>
        <w:rPr>
          <w:spacing w:val="-1"/>
        </w:rPr>
        <w:t>year</w:t>
      </w:r>
      <w:r>
        <w:t xml:space="preserve"> and </w:t>
      </w:r>
      <w:r>
        <w:rPr>
          <w:spacing w:val="-1"/>
        </w:rPr>
        <w:t>recouping</w:t>
      </w:r>
      <w:r>
        <w:t xml:space="preserve"> these costs </w:t>
      </w:r>
      <w:r>
        <w:rPr>
          <w:spacing w:val="-1"/>
        </w:rPr>
        <w:t>at</w:t>
      </w:r>
      <w:r>
        <w:t xml:space="preserve"> a </w:t>
      </w:r>
      <w:r>
        <w:rPr>
          <w:spacing w:val="-1"/>
        </w:rPr>
        <w:t>later</w:t>
      </w:r>
      <w:r>
        <w:t xml:space="preserve"> point (akin to the</w:t>
      </w:r>
      <w:r>
        <w:rPr>
          <w:spacing w:val="41"/>
        </w:rPr>
        <w:t xml:space="preserve"> </w:t>
      </w:r>
      <w:r>
        <w:rPr>
          <w:spacing w:val="-1"/>
        </w:rPr>
        <w:t>deferred</w:t>
      </w:r>
      <w:r>
        <w:t xml:space="preserve"> </w:t>
      </w:r>
      <w:r>
        <w:rPr>
          <w:spacing w:val="-1"/>
        </w:rPr>
        <w:t>recovery</w:t>
      </w:r>
      <w:r>
        <w:t xml:space="preserve"> of</w:t>
      </w:r>
      <w:r>
        <w:rPr>
          <w:spacing w:val="4"/>
        </w:rPr>
        <w:t xml:space="preserve"> </w:t>
      </w:r>
      <w:r>
        <w:t>capital cost technique).</w:t>
      </w:r>
    </w:p>
    <w:p w:rsidR="00D96B91" w:rsidRDefault="00C2656B">
      <w:pPr>
        <w:pStyle w:val="BodyText"/>
        <w:spacing w:before="85" w:line="260" w:lineRule="exact"/>
        <w:ind w:right="1376"/>
      </w:pPr>
      <w:r>
        <w:rPr>
          <w:rFonts w:cs="Avenir Next"/>
        </w:rPr>
        <w:t xml:space="preserve">While in net </w:t>
      </w:r>
      <w:r>
        <w:rPr>
          <w:rFonts w:cs="Avenir Next"/>
          <w:spacing w:val="-1"/>
        </w:rPr>
        <w:t>present</w:t>
      </w:r>
      <w:r>
        <w:rPr>
          <w:rFonts w:cs="Avenir Next"/>
        </w:rPr>
        <w:t xml:space="preserve"> value terms Melbourne</w:t>
      </w:r>
      <w:r>
        <w:rPr>
          <w:rFonts w:cs="Avenir Next"/>
          <w:spacing w:val="-3"/>
        </w:rPr>
        <w:t xml:space="preserve"> </w:t>
      </w:r>
      <w:r>
        <w:rPr>
          <w:rFonts w:cs="Avenir Next"/>
          <w:spacing w:val="-2"/>
        </w:rPr>
        <w:t>Water</w:t>
      </w:r>
      <w:r>
        <w:rPr>
          <w:rFonts w:cs="Avenir Next"/>
        </w:rPr>
        <w:t xml:space="preserve"> would </w:t>
      </w:r>
      <w:r>
        <w:rPr>
          <w:rFonts w:cs="Avenir Next"/>
          <w:spacing w:val="-1"/>
        </w:rPr>
        <w:t>receive</w:t>
      </w:r>
      <w:r>
        <w:rPr>
          <w:rFonts w:cs="Avenir Next"/>
        </w:rPr>
        <w:t xml:space="preserve"> the same amount under </w:t>
      </w:r>
      <w:r>
        <w:rPr>
          <w:rFonts w:cs="Avenir Next"/>
          <w:spacing w:val="-1"/>
        </w:rPr>
        <w:t>each</w:t>
      </w:r>
      <w:r>
        <w:rPr>
          <w:rFonts w:cs="Avenir Next"/>
        </w:rPr>
        <w:t xml:space="preserve"> of</w:t>
      </w:r>
      <w:r>
        <w:rPr>
          <w:rFonts w:cs="Avenir Next"/>
          <w:spacing w:val="29"/>
        </w:rPr>
        <w:t xml:space="preserve"> </w:t>
      </w:r>
      <w:r>
        <w:t>these options,</w:t>
      </w:r>
      <w:r>
        <w:rPr>
          <w:spacing w:val="-6"/>
        </w:rPr>
        <w:t xml:space="preserve"> </w:t>
      </w:r>
      <w:r>
        <w:t xml:space="preserve">the ESC </w:t>
      </w:r>
      <w:r>
        <w:rPr>
          <w:spacing w:val="-1"/>
        </w:rPr>
        <w:t>expressed</w:t>
      </w:r>
      <w:r>
        <w:t xml:space="preserve"> some concerns about the $2 billion-$4 billion </w:t>
      </w:r>
      <w:r>
        <w:rPr>
          <w:spacing w:val="-1"/>
        </w:rPr>
        <w:t>revenue</w:t>
      </w:r>
      <w:r>
        <w:t xml:space="preserve"> </w:t>
      </w:r>
      <w:r>
        <w:rPr>
          <w:spacing w:val="-1"/>
        </w:rPr>
        <w:t>shortfall</w:t>
      </w:r>
      <w:r>
        <w:t xml:space="preserve"> </w:t>
      </w:r>
      <w:r>
        <w:rPr>
          <w:spacing w:val="-1"/>
        </w:rPr>
        <w:t>that</w:t>
      </w:r>
      <w:r>
        <w:rPr>
          <w:spacing w:val="29"/>
        </w:rPr>
        <w:t xml:space="preserve"> </w:t>
      </w:r>
      <w:r>
        <w:t xml:space="preserve">could be </w:t>
      </w:r>
      <w:r>
        <w:rPr>
          <w:spacing w:val="-1"/>
        </w:rPr>
        <w:t>experienced</w:t>
      </w:r>
      <w:r>
        <w:t xml:space="preserve"> under options (a)(i)-(iii) in the initial </w:t>
      </w:r>
      <w:r>
        <w:rPr>
          <w:spacing w:val="-1"/>
        </w:rPr>
        <w:t>years</w:t>
      </w:r>
      <w:r>
        <w:t xml:space="preserve"> of</w:t>
      </w:r>
      <w:r>
        <w:rPr>
          <w:spacing w:val="4"/>
        </w:rPr>
        <w:t xml:space="preserve"> </w:t>
      </w:r>
      <w:r>
        <w:t xml:space="preserve">the </w:t>
      </w:r>
      <w:r>
        <w:rPr>
          <w:spacing w:val="-1"/>
        </w:rPr>
        <w:t>plant’s</w:t>
      </w:r>
      <w:r>
        <w:t xml:space="preserve"> life and the </w:t>
      </w:r>
      <w:r>
        <w:rPr>
          <w:spacing w:val="-1"/>
        </w:rPr>
        <w:t>implications</w:t>
      </w:r>
      <w:r>
        <w:rPr>
          <w:spacing w:val="46"/>
        </w:rPr>
        <w:t xml:space="preserve"> </w:t>
      </w:r>
      <w:r>
        <w:t>this</w:t>
      </w:r>
      <w:r>
        <w:rPr>
          <w:spacing w:val="-1"/>
        </w:rPr>
        <w:t xml:space="preserve"> </w:t>
      </w:r>
      <w:r>
        <w:t>may have</w:t>
      </w:r>
      <w:r>
        <w:rPr>
          <w:spacing w:val="-1"/>
        </w:rPr>
        <w:t xml:space="preserve"> </w:t>
      </w:r>
      <w:r>
        <w:t>for</w:t>
      </w:r>
      <w:r>
        <w:rPr>
          <w:spacing w:val="-1"/>
        </w:rPr>
        <w:t xml:space="preserve"> </w:t>
      </w:r>
      <w:r>
        <w:t>Melbourne</w:t>
      </w:r>
      <w:r>
        <w:rPr>
          <w:spacing w:val="-3"/>
        </w:rPr>
        <w:t xml:space="preserve"> Water’s</w:t>
      </w:r>
      <w:r>
        <w:t xml:space="preserve"> financial</w:t>
      </w:r>
      <w:r>
        <w:rPr>
          <w:spacing w:val="-1"/>
        </w:rPr>
        <w:t xml:space="preserve"> viability.</w:t>
      </w:r>
      <w:r>
        <w:rPr>
          <w:spacing w:val="-6"/>
        </w:rPr>
        <w:t xml:space="preserve"> </w:t>
      </w:r>
      <w:r>
        <w:t>It</w:t>
      </w:r>
      <w:r>
        <w:rPr>
          <w:spacing w:val="-1"/>
        </w:rPr>
        <w:t xml:space="preserve"> therefore</w:t>
      </w:r>
      <w:r>
        <w:t xml:space="preserve"> </w:t>
      </w:r>
      <w:r>
        <w:rPr>
          <w:spacing w:val="-1"/>
        </w:rPr>
        <w:t xml:space="preserve">favoured </w:t>
      </w:r>
      <w:r>
        <w:t>the use</w:t>
      </w:r>
      <w:r>
        <w:rPr>
          <w:spacing w:val="-1"/>
        </w:rPr>
        <w:t xml:space="preserve"> </w:t>
      </w:r>
      <w:r>
        <w:t>of</w:t>
      </w:r>
      <w:r>
        <w:rPr>
          <w:spacing w:val="3"/>
        </w:rPr>
        <w:t xml:space="preserve"> </w:t>
      </w:r>
      <w:r>
        <w:t>the 15%</w:t>
      </w:r>
      <w:r>
        <w:rPr>
          <w:spacing w:val="25"/>
        </w:rPr>
        <w:t xml:space="preserve"> </w:t>
      </w:r>
      <w:r>
        <w:rPr>
          <w:spacing w:val="-1"/>
        </w:rPr>
        <w:t>capitalisation</w:t>
      </w:r>
      <w:r>
        <w:t xml:space="preserve"> option in the </w:t>
      </w:r>
      <w:r>
        <w:rPr>
          <w:spacing w:val="-2"/>
        </w:rPr>
        <w:t>draft</w:t>
      </w:r>
      <w:r>
        <w:t xml:space="preserve"> decision.</w:t>
      </w:r>
    </w:p>
    <w:p w:rsidR="00D96B91" w:rsidRDefault="00C2656B">
      <w:pPr>
        <w:pStyle w:val="BodyText"/>
        <w:spacing w:before="170" w:line="260" w:lineRule="exact"/>
        <w:ind w:right="1283"/>
        <w:rPr>
          <w:sz w:val="11"/>
          <w:szCs w:val="11"/>
        </w:rPr>
      </w:pPr>
      <w:r>
        <w:t>In</w:t>
      </w:r>
      <w:r>
        <w:rPr>
          <w:spacing w:val="-1"/>
        </w:rPr>
        <w:t xml:space="preserve"> </w:t>
      </w:r>
      <w:r>
        <w:t>its final decision,</w:t>
      </w:r>
      <w:r>
        <w:rPr>
          <w:spacing w:val="-6"/>
        </w:rPr>
        <w:t xml:space="preserve"> </w:t>
      </w:r>
      <w:r>
        <w:t>the</w:t>
      </w:r>
      <w:r>
        <w:rPr>
          <w:spacing w:val="-1"/>
        </w:rPr>
        <w:t xml:space="preserve"> </w:t>
      </w:r>
      <w:r>
        <w:t xml:space="preserve">ESC maintained its view </w:t>
      </w:r>
      <w:r>
        <w:rPr>
          <w:spacing w:val="-1"/>
        </w:rPr>
        <w:t xml:space="preserve">that </w:t>
      </w:r>
      <w:r>
        <w:t xml:space="preserve">a </w:t>
      </w:r>
      <w:r>
        <w:rPr>
          <w:spacing w:val="-1"/>
        </w:rPr>
        <w:t>portion</w:t>
      </w:r>
      <w:r>
        <w:t xml:space="preserve"> of</w:t>
      </w:r>
      <w:r>
        <w:rPr>
          <w:spacing w:val="4"/>
        </w:rPr>
        <w:t xml:space="preserve"> </w:t>
      </w:r>
      <w:r>
        <w:t>the</w:t>
      </w:r>
      <w:r>
        <w:rPr>
          <w:spacing w:val="-1"/>
        </w:rPr>
        <w:t xml:space="preserve"> desalination</w:t>
      </w:r>
      <w:r>
        <w:t xml:space="preserve"> costs should be</w:t>
      </w:r>
      <w:r>
        <w:rPr>
          <w:spacing w:val="31"/>
        </w:rPr>
        <w:t xml:space="preserve"> </w:t>
      </w:r>
      <w:r>
        <w:t>capitalised</w:t>
      </w:r>
      <w:r>
        <w:rPr>
          <w:spacing w:val="-1"/>
        </w:rPr>
        <w:t xml:space="preserve"> </w:t>
      </w:r>
      <w:r>
        <w:t>but noted</w:t>
      </w:r>
      <w:r>
        <w:rPr>
          <w:spacing w:val="-1"/>
        </w:rPr>
        <w:t xml:space="preserve"> that</w:t>
      </w:r>
      <w:r>
        <w:t xml:space="preserve"> Melbourne</w:t>
      </w:r>
      <w:r>
        <w:rPr>
          <w:spacing w:val="-4"/>
        </w:rPr>
        <w:t xml:space="preserve"> </w:t>
      </w:r>
      <w:r>
        <w:rPr>
          <w:spacing w:val="-2"/>
        </w:rPr>
        <w:t>Water</w:t>
      </w:r>
      <w:r>
        <w:t xml:space="preserve"> had </w:t>
      </w:r>
      <w:r>
        <w:rPr>
          <w:spacing w:val="-1"/>
        </w:rPr>
        <w:t xml:space="preserve">provided </w:t>
      </w:r>
      <w:r>
        <w:t>it with</w:t>
      </w:r>
      <w:r>
        <w:rPr>
          <w:spacing w:val="-1"/>
        </w:rPr>
        <w:t xml:space="preserve"> insufficient</w:t>
      </w:r>
      <w:r>
        <w:t xml:space="preserve"> </w:t>
      </w:r>
      <w:r>
        <w:rPr>
          <w:spacing w:val="-1"/>
        </w:rPr>
        <w:t xml:space="preserve">information </w:t>
      </w:r>
      <w:r>
        <w:t>to determine</w:t>
      </w:r>
      <w:r>
        <w:rPr>
          <w:spacing w:val="47"/>
        </w:rPr>
        <w:t xml:space="preserve"> </w:t>
      </w:r>
      <w:r>
        <w:rPr>
          <w:spacing w:val="-1"/>
        </w:rPr>
        <w:t>what</w:t>
      </w:r>
      <w:r>
        <w:t xml:space="preserve"> </w:t>
      </w:r>
      <w:r>
        <w:rPr>
          <w:spacing w:val="-1"/>
        </w:rPr>
        <w:t>proportion</w:t>
      </w:r>
      <w:r>
        <w:t xml:space="preserve"> of</w:t>
      </w:r>
      <w:r>
        <w:rPr>
          <w:spacing w:val="4"/>
        </w:rPr>
        <w:t xml:space="preserve"> </w:t>
      </w:r>
      <w:r>
        <w:t>the costs should be capitalised.</w:t>
      </w:r>
      <w:r>
        <w:rPr>
          <w:spacing w:val="-11"/>
        </w:rPr>
        <w:t xml:space="preserve"> </w:t>
      </w:r>
      <w:r>
        <w:rPr>
          <w:spacing w:val="-2"/>
        </w:rPr>
        <w:t>The</w:t>
      </w:r>
      <w:r>
        <w:t xml:space="preserve"> ESC decided </w:t>
      </w:r>
      <w:r>
        <w:rPr>
          <w:spacing w:val="-1"/>
        </w:rPr>
        <w:t>therefore</w:t>
      </w:r>
      <w:r>
        <w:t xml:space="preserve"> to </w:t>
      </w:r>
      <w:r>
        <w:rPr>
          <w:spacing w:val="-1"/>
        </w:rPr>
        <w:t>reduce</w:t>
      </w:r>
      <w:r>
        <w:t xml:space="preserve"> Melbourne</w:t>
      </w:r>
      <w:r>
        <w:rPr>
          <w:spacing w:val="21"/>
        </w:rPr>
        <w:t xml:space="preserve"> </w:t>
      </w:r>
      <w:r>
        <w:rPr>
          <w:spacing w:val="-3"/>
        </w:rPr>
        <w:t>Water’s</w:t>
      </w:r>
      <w:r>
        <w:t xml:space="preserve"> </w:t>
      </w:r>
      <w:r>
        <w:rPr>
          <w:spacing w:val="-1"/>
        </w:rPr>
        <w:t>regulatory</w:t>
      </w:r>
      <w:r>
        <w:t xml:space="preserve"> period to </w:t>
      </w:r>
      <w:r>
        <w:rPr>
          <w:spacing w:val="-1"/>
        </w:rPr>
        <w:t>three</w:t>
      </w:r>
      <w:r>
        <w:t xml:space="preserve"> </w:t>
      </w:r>
      <w:r>
        <w:rPr>
          <w:spacing w:val="-1"/>
        </w:rPr>
        <w:t>years,</w:t>
      </w:r>
      <w:r>
        <w:rPr>
          <w:spacing w:val="-6"/>
        </w:rPr>
        <w:t xml:space="preserve"> </w:t>
      </w:r>
      <w:r>
        <w:t xml:space="preserve">so </w:t>
      </w:r>
      <w:r>
        <w:rPr>
          <w:spacing w:val="-1"/>
        </w:rPr>
        <w:t>that</w:t>
      </w:r>
      <w:r>
        <w:t xml:space="preserve"> the </w:t>
      </w:r>
      <w:r>
        <w:rPr>
          <w:spacing w:val="-1"/>
        </w:rPr>
        <w:t>matter</w:t>
      </w:r>
      <w:r>
        <w:t xml:space="preserve"> could be </w:t>
      </w:r>
      <w:r>
        <w:rPr>
          <w:spacing w:val="-1"/>
        </w:rPr>
        <w:t>‘properly</w:t>
      </w:r>
      <w:r>
        <w:t xml:space="preserve"> </w:t>
      </w:r>
      <w:r>
        <w:rPr>
          <w:spacing w:val="-1"/>
        </w:rPr>
        <w:t>examined’</w:t>
      </w:r>
      <w:r>
        <w:t xml:space="preserve"> prior to 2016-</w:t>
      </w:r>
      <w:r>
        <w:rPr>
          <w:spacing w:val="59"/>
        </w:rPr>
        <w:t xml:space="preserve"> </w:t>
      </w:r>
      <w:r>
        <w:t>17,</w:t>
      </w:r>
      <w:r>
        <w:rPr>
          <w:spacing w:val="-7"/>
        </w:rPr>
        <w:t xml:space="preserve"> </w:t>
      </w:r>
      <w:r>
        <w:t>which is</w:t>
      </w:r>
      <w:r>
        <w:rPr>
          <w:spacing w:val="-1"/>
        </w:rPr>
        <w:t xml:space="preserve"> </w:t>
      </w:r>
      <w:r>
        <w:t>when Melbourne</w:t>
      </w:r>
      <w:r>
        <w:rPr>
          <w:spacing w:val="-4"/>
        </w:rPr>
        <w:t xml:space="preserve"> </w:t>
      </w:r>
      <w:r>
        <w:rPr>
          <w:spacing w:val="-2"/>
        </w:rPr>
        <w:t>Water</w:t>
      </w:r>
      <w:r>
        <w:t xml:space="preserve"> is</w:t>
      </w:r>
      <w:r>
        <w:rPr>
          <w:spacing w:val="-1"/>
        </w:rPr>
        <w:t xml:space="preserve"> expected</w:t>
      </w:r>
      <w:r>
        <w:t xml:space="preserve"> to be</w:t>
      </w:r>
      <w:r>
        <w:rPr>
          <w:spacing w:val="-1"/>
        </w:rPr>
        <w:t xml:space="preserve"> </w:t>
      </w:r>
      <w:r>
        <w:t>in a</w:t>
      </w:r>
      <w:r>
        <w:rPr>
          <w:spacing w:val="-1"/>
        </w:rPr>
        <w:t xml:space="preserve"> better</w:t>
      </w:r>
      <w:r>
        <w:t xml:space="preserve"> financial</w:t>
      </w:r>
      <w:r>
        <w:rPr>
          <w:spacing w:val="-1"/>
        </w:rPr>
        <w:t xml:space="preserve"> </w:t>
      </w:r>
      <w:r>
        <w:t>position to</w:t>
      </w:r>
      <w:r>
        <w:rPr>
          <w:spacing w:val="-1"/>
        </w:rPr>
        <w:t xml:space="preserve"> start</w:t>
      </w:r>
      <w:r>
        <w:t xml:space="preserve"> capitalising</w:t>
      </w:r>
      <w:r>
        <w:rPr>
          <w:spacing w:val="23"/>
        </w:rPr>
        <w:t xml:space="preserve"> </w:t>
      </w:r>
      <w:r>
        <w:t>the</w:t>
      </w:r>
      <w:r>
        <w:rPr>
          <w:spacing w:val="11"/>
        </w:rPr>
        <w:t xml:space="preserve"> </w:t>
      </w:r>
      <w:r>
        <w:rPr>
          <w:spacing w:val="-1"/>
        </w:rPr>
        <w:t>costs.</w:t>
      </w:r>
      <w:r>
        <w:rPr>
          <w:spacing w:val="-1"/>
          <w:position w:val="7"/>
          <w:sz w:val="11"/>
          <w:szCs w:val="11"/>
        </w:rPr>
        <w:t>253</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rPr>
          <w:rFonts w:cs="Avenir Next Medium"/>
        </w:rPr>
      </w:pPr>
      <w:r>
        <w:rPr>
          <w:color w:val="0778BE"/>
        </w:rPr>
        <w:t>A7.</w:t>
      </w:r>
      <w:r>
        <w:rPr>
          <w:color w:val="0778BE"/>
          <w:spacing w:val="-9"/>
        </w:rPr>
        <w:t xml:space="preserve"> </w:t>
      </w:r>
      <w:r>
        <w:rPr>
          <w:color w:val="0778BE"/>
        </w:rPr>
        <w:t>4</w:t>
      </w:r>
      <w:r>
        <w:rPr>
          <w:color w:val="0778BE"/>
        </w:rPr>
        <w:tab/>
        <w:t>Alignment of</w:t>
      </w:r>
      <w:r>
        <w:rPr>
          <w:color w:val="0778BE"/>
          <w:spacing w:val="7"/>
        </w:rPr>
        <w:t xml:space="preserve"> </w:t>
      </w:r>
      <w:r>
        <w:rPr>
          <w:color w:val="0778BE"/>
          <w:spacing w:val="-1"/>
        </w:rPr>
        <w:t>depreciation</w:t>
      </w:r>
      <w:r>
        <w:rPr>
          <w:color w:val="0778BE"/>
        </w:rPr>
        <w:t xml:space="preserve"> </w:t>
      </w:r>
      <w:r>
        <w:rPr>
          <w:color w:val="0778BE"/>
          <w:spacing w:val="-1"/>
        </w:rPr>
        <w:t>profile</w:t>
      </w:r>
      <w:r>
        <w:rPr>
          <w:color w:val="0778BE"/>
        </w:rPr>
        <w:t xml:space="preserve"> with </w:t>
      </w:r>
      <w:r>
        <w:rPr>
          <w:color w:val="0778BE"/>
          <w:spacing w:val="-1"/>
        </w:rPr>
        <w:t>expected</w:t>
      </w:r>
      <w:r>
        <w:rPr>
          <w:color w:val="0778BE"/>
        </w:rPr>
        <w:t xml:space="preserve"> benefits</w:t>
      </w:r>
    </w:p>
    <w:p w:rsidR="00D96B91" w:rsidRDefault="00C2656B">
      <w:pPr>
        <w:pStyle w:val="BodyText"/>
        <w:spacing w:before="55" w:line="260" w:lineRule="exact"/>
        <w:ind w:right="1548"/>
      </w:pPr>
      <w:r>
        <w:rPr>
          <w:spacing w:val="-1"/>
        </w:rPr>
        <w:t xml:space="preserve">This </w:t>
      </w:r>
      <w:r>
        <w:t>technique</w:t>
      </w:r>
      <w:r>
        <w:rPr>
          <w:spacing w:val="-1"/>
        </w:rPr>
        <w:t xml:space="preserve"> </w:t>
      </w:r>
      <w:r>
        <w:t>is</w:t>
      </w:r>
      <w:r>
        <w:rPr>
          <w:spacing w:val="-1"/>
        </w:rPr>
        <w:t xml:space="preserve"> </w:t>
      </w:r>
      <w:r>
        <w:t>designed</w:t>
      </w:r>
      <w:r>
        <w:rPr>
          <w:spacing w:val="-1"/>
        </w:rPr>
        <w:t xml:space="preserve"> </w:t>
      </w:r>
      <w:r>
        <w:t>to</w:t>
      </w:r>
      <w:r>
        <w:rPr>
          <w:spacing w:val="-1"/>
        </w:rPr>
        <w:t xml:space="preserve"> </w:t>
      </w:r>
      <w:r>
        <w:t>align the</w:t>
      </w:r>
      <w:r>
        <w:rPr>
          <w:spacing w:val="-1"/>
        </w:rPr>
        <w:t xml:space="preserve"> depreciation profile </w:t>
      </w:r>
      <w:r>
        <w:t>with</w:t>
      </w:r>
      <w:r>
        <w:rPr>
          <w:spacing w:val="-1"/>
        </w:rPr>
        <w:t xml:space="preserve"> </w:t>
      </w:r>
      <w:r>
        <w:t>the benefits</w:t>
      </w:r>
      <w:r>
        <w:rPr>
          <w:spacing w:val="-1"/>
        </w:rPr>
        <w:t xml:space="preserve"> that </w:t>
      </w:r>
      <w:r>
        <w:t>customers</w:t>
      </w:r>
      <w:r>
        <w:rPr>
          <w:spacing w:val="-1"/>
        </w:rPr>
        <w:t xml:space="preserve"> </w:t>
      </w:r>
      <w:r>
        <w:rPr>
          <w:spacing w:val="-2"/>
        </w:rPr>
        <w:t>are</w:t>
      </w:r>
      <w:r>
        <w:rPr>
          <w:spacing w:val="25"/>
        </w:rPr>
        <w:t xml:space="preserve"> </w:t>
      </w:r>
      <w:r>
        <w:rPr>
          <w:spacing w:val="-1"/>
        </w:rPr>
        <w:t xml:space="preserve">expected </w:t>
      </w:r>
      <w:r>
        <w:t>to derive over</w:t>
      </w:r>
      <w:r>
        <w:rPr>
          <w:spacing w:val="-1"/>
        </w:rPr>
        <w:t xml:space="preserve"> </w:t>
      </w:r>
      <w:r>
        <w:t>the economic life of</w:t>
      </w:r>
      <w:r>
        <w:rPr>
          <w:spacing w:val="3"/>
        </w:rPr>
        <w:t xml:space="preserve"> </w:t>
      </w:r>
      <w:r>
        <w:t>the asset.</w:t>
      </w:r>
      <w:r>
        <w:rPr>
          <w:spacing w:val="-11"/>
        </w:rPr>
        <w:t xml:space="preserve"> </w:t>
      </w:r>
      <w:r>
        <w:rPr>
          <w:spacing w:val="-2"/>
        </w:rPr>
        <w:t>The</w:t>
      </w:r>
      <w:r>
        <w:t xml:space="preserve"> </w:t>
      </w:r>
      <w:r>
        <w:rPr>
          <w:spacing w:val="-1"/>
        </w:rPr>
        <w:t>depreciation profile</w:t>
      </w:r>
      <w:r>
        <w:t xml:space="preserve"> may </w:t>
      </w:r>
      <w:r>
        <w:rPr>
          <w:spacing w:val="-1"/>
        </w:rPr>
        <w:t>therefore</w:t>
      </w:r>
      <w:r>
        <w:t xml:space="preserve"> be:</w:t>
      </w:r>
    </w:p>
    <w:p w:rsidR="00D96B91" w:rsidRDefault="00C2656B">
      <w:pPr>
        <w:pStyle w:val="BodyText"/>
        <w:numPr>
          <w:ilvl w:val="0"/>
          <w:numId w:val="131"/>
        </w:numPr>
        <w:tabs>
          <w:tab w:val="left" w:pos="1531"/>
        </w:tabs>
        <w:spacing w:before="170" w:line="260" w:lineRule="exact"/>
        <w:ind w:right="1453" w:hanging="283"/>
        <w:rPr>
          <w:rFonts w:cs="Avenir Next"/>
        </w:rPr>
      </w:pPr>
      <w:r>
        <w:rPr>
          <w:spacing w:val="-2"/>
        </w:rPr>
        <w:t>Front-end</w:t>
      </w:r>
      <w:r>
        <w:rPr>
          <w:spacing w:val="-1"/>
        </w:rPr>
        <w:t xml:space="preserve"> </w:t>
      </w:r>
      <w:r>
        <w:t>loaded if</w:t>
      </w:r>
      <w:r>
        <w:rPr>
          <w:spacing w:val="3"/>
        </w:rPr>
        <w:t xml:space="preserve"> </w:t>
      </w:r>
      <w:r>
        <w:rPr>
          <w:spacing w:val="-1"/>
        </w:rPr>
        <w:t>current</w:t>
      </w:r>
      <w:r>
        <w:t xml:space="preserve"> customers</w:t>
      </w:r>
      <w:r>
        <w:rPr>
          <w:spacing w:val="-1"/>
        </w:rPr>
        <w:t xml:space="preserve"> </w:t>
      </w:r>
      <w:r>
        <w:rPr>
          <w:spacing w:val="-2"/>
        </w:rPr>
        <w:t>are</w:t>
      </w:r>
      <w:r>
        <w:t xml:space="preserve"> </w:t>
      </w:r>
      <w:r>
        <w:rPr>
          <w:spacing w:val="-1"/>
        </w:rPr>
        <w:t xml:space="preserve">expected </w:t>
      </w:r>
      <w:r>
        <w:t>to derive a</w:t>
      </w:r>
      <w:r>
        <w:rPr>
          <w:spacing w:val="-1"/>
        </w:rPr>
        <w:t xml:space="preserve"> </w:t>
      </w:r>
      <w:r>
        <w:rPr>
          <w:b/>
          <w:spacing w:val="-2"/>
        </w:rPr>
        <w:t>greater</w:t>
      </w:r>
      <w:r>
        <w:rPr>
          <w:b/>
        </w:rPr>
        <w:t xml:space="preserve"> </w:t>
      </w:r>
      <w:r>
        <w:t>benefit</w:t>
      </w:r>
      <w:r>
        <w:rPr>
          <w:spacing w:val="-1"/>
        </w:rPr>
        <w:t xml:space="preserve"> from</w:t>
      </w:r>
      <w:r>
        <w:t xml:space="preserve"> the</w:t>
      </w:r>
      <w:r>
        <w:rPr>
          <w:spacing w:val="-1"/>
        </w:rPr>
        <w:t xml:space="preserve"> </w:t>
      </w:r>
      <w:r>
        <w:t>asset than</w:t>
      </w:r>
      <w:r>
        <w:rPr>
          <w:spacing w:val="45"/>
        </w:rPr>
        <w:t xml:space="preserve"> </w:t>
      </w:r>
      <w:r>
        <w:rPr>
          <w:spacing w:val="-1"/>
        </w:rPr>
        <w:t>future</w:t>
      </w:r>
      <w:r>
        <w:t xml:space="preserve"> customers</w:t>
      </w:r>
    </w:p>
    <w:p w:rsidR="00D96B91" w:rsidRDefault="00C2656B">
      <w:pPr>
        <w:pStyle w:val="BodyText"/>
        <w:numPr>
          <w:ilvl w:val="0"/>
          <w:numId w:val="131"/>
        </w:numPr>
        <w:tabs>
          <w:tab w:val="left" w:pos="1531"/>
        </w:tabs>
        <w:spacing w:before="85" w:line="260" w:lineRule="exact"/>
        <w:ind w:right="1645" w:hanging="283"/>
        <w:rPr>
          <w:rFonts w:cs="Avenir Next"/>
        </w:rPr>
      </w:pPr>
      <w:r>
        <w:rPr>
          <w:spacing w:val="-1"/>
        </w:rPr>
        <w:t xml:space="preserve">Back-end </w:t>
      </w:r>
      <w:r>
        <w:t>loaded if</w:t>
      </w:r>
      <w:r>
        <w:rPr>
          <w:spacing w:val="3"/>
        </w:rPr>
        <w:t xml:space="preserve"> </w:t>
      </w:r>
      <w:r>
        <w:rPr>
          <w:spacing w:val="-1"/>
        </w:rPr>
        <w:t>current</w:t>
      </w:r>
      <w:r>
        <w:t xml:space="preserve"> customers</w:t>
      </w:r>
      <w:r>
        <w:rPr>
          <w:spacing w:val="-1"/>
        </w:rPr>
        <w:t xml:space="preserve"> </w:t>
      </w:r>
      <w:r>
        <w:rPr>
          <w:spacing w:val="-2"/>
        </w:rPr>
        <w:t>are</w:t>
      </w:r>
      <w:r>
        <w:t xml:space="preserve"> </w:t>
      </w:r>
      <w:r>
        <w:rPr>
          <w:spacing w:val="-1"/>
        </w:rPr>
        <w:t xml:space="preserve">expected </w:t>
      </w:r>
      <w:r>
        <w:t>to derive a</w:t>
      </w:r>
      <w:r>
        <w:rPr>
          <w:spacing w:val="-1"/>
        </w:rPr>
        <w:t xml:space="preserve"> </w:t>
      </w:r>
      <w:r>
        <w:rPr>
          <w:b/>
        </w:rPr>
        <w:t xml:space="preserve">lower </w:t>
      </w:r>
      <w:r>
        <w:t>benefit</w:t>
      </w:r>
      <w:r>
        <w:rPr>
          <w:spacing w:val="-1"/>
        </w:rPr>
        <w:t xml:space="preserve"> from</w:t>
      </w:r>
      <w:r>
        <w:t xml:space="preserve"> the</w:t>
      </w:r>
      <w:r>
        <w:rPr>
          <w:spacing w:val="-1"/>
        </w:rPr>
        <w:t xml:space="preserve"> </w:t>
      </w:r>
      <w:r>
        <w:t>asset than</w:t>
      </w:r>
      <w:r>
        <w:rPr>
          <w:spacing w:val="29"/>
        </w:rPr>
        <w:t xml:space="preserve"> </w:t>
      </w:r>
      <w:r>
        <w:rPr>
          <w:spacing w:val="-1"/>
        </w:rPr>
        <w:t>future</w:t>
      </w:r>
      <w:r>
        <w:t xml:space="preserve"> customers,</w:t>
      </w:r>
      <w:r>
        <w:rPr>
          <w:spacing w:val="-7"/>
        </w:rPr>
        <w:t xml:space="preserve"> </w:t>
      </w:r>
      <w:r>
        <w:t>and</w:t>
      </w:r>
    </w:p>
    <w:p w:rsidR="00D96B91" w:rsidRDefault="00C2656B">
      <w:pPr>
        <w:pStyle w:val="BodyText"/>
        <w:numPr>
          <w:ilvl w:val="0"/>
          <w:numId w:val="131"/>
        </w:numPr>
        <w:tabs>
          <w:tab w:val="left" w:pos="1531"/>
        </w:tabs>
        <w:spacing w:before="85" w:line="260" w:lineRule="exact"/>
        <w:ind w:right="1578" w:hanging="283"/>
      </w:pPr>
      <w:r>
        <w:rPr>
          <w:spacing w:val="-1"/>
        </w:rPr>
        <w:t xml:space="preserve">Straight </w:t>
      </w:r>
      <w:r>
        <w:t>line if</w:t>
      </w:r>
      <w:r>
        <w:rPr>
          <w:spacing w:val="3"/>
        </w:rPr>
        <w:t xml:space="preserve"> </w:t>
      </w:r>
      <w:r>
        <w:rPr>
          <w:spacing w:val="-1"/>
        </w:rPr>
        <w:t>current</w:t>
      </w:r>
      <w:r>
        <w:t xml:space="preserve"> customers</w:t>
      </w:r>
      <w:r>
        <w:rPr>
          <w:spacing w:val="-1"/>
        </w:rPr>
        <w:t xml:space="preserve"> </w:t>
      </w:r>
      <w:r>
        <w:rPr>
          <w:spacing w:val="-2"/>
        </w:rPr>
        <w:t>are</w:t>
      </w:r>
      <w:r>
        <w:t xml:space="preserve"> </w:t>
      </w:r>
      <w:r>
        <w:rPr>
          <w:spacing w:val="-1"/>
        </w:rPr>
        <w:t>expected</w:t>
      </w:r>
      <w:r>
        <w:t xml:space="preserve"> to</w:t>
      </w:r>
      <w:r>
        <w:rPr>
          <w:spacing w:val="-1"/>
        </w:rPr>
        <w:t xml:space="preserve"> </w:t>
      </w:r>
      <w:r>
        <w:t>derive the</w:t>
      </w:r>
      <w:r>
        <w:rPr>
          <w:spacing w:val="-1"/>
        </w:rPr>
        <w:t xml:space="preserve"> </w:t>
      </w:r>
      <w:r>
        <w:t xml:space="preserve">same benefit </w:t>
      </w:r>
      <w:r>
        <w:rPr>
          <w:spacing w:val="-1"/>
        </w:rPr>
        <w:t xml:space="preserve">from </w:t>
      </w:r>
      <w:r>
        <w:t>the asset</w:t>
      </w:r>
      <w:r>
        <w:rPr>
          <w:spacing w:val="-1"/>
        </w:rPr>
        <w:t xml:space="preserve"> </w:t>
      </w:r>
      <w:r>
        <w:t xml:space="preserve">as </w:t>
      </w:r>
      <w:r>
        <w:rPr>
          <w:spacing w:val="-1"/>
        </w:rPr>
        <w:t>future</w:t>
      </w:r>
      <w:r>
        <w:rPr>
          <w:spacing w:val="33"/>
        </w:rPr>
        <w:t xml:space="preserve"> </w:t>
      </w:r>
      <w:r>
        <w:t>customers.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56"/>
      </w:pPr>
      <w:r>
        <w:rPr>
          <w:spacing w:val="-2"/>
        </w:rPr>
        <w:t>The</w:t>
      </w:r>
      <w:r>
        <w:t xml:space="preserve"> only </w:t>
      </w:r>
      <w:r>
        <w:rPr>
          <w:spacing w:val="-1"/>
        </w:rPr>
        <w:t>difference</w:t>
      </w:r>
      <w:r>
        <w:t xml:space="preserve"> between this technique and the capital cost </w:t>
      </w:r>
      <w:r>
        <w:rPr>
          <w:spacing w:val="-1"/>
        </w:rPr>
        <w:t>recovery</w:t>
      </w:r>
      <w:r>
        <w:t xml:space="preserve"> technique is </w:t>
      </w:r>
      <w:r>
        <w:rPr>
          <w:spacing w:val="-1"/>
        </w:rPr>
        <w:t>that</w:t>
      </w:r>
      <w:r>
        <w:t xml:space="preserve"> it focuses on</w:t>
      </w:r>
      <w:r>
        <w:rPr>
          <w:spacing w:val="30"/>
        </w:rPr>
        <w:t xml:space="preserve"> </w:t>
      </w:r>
      <w:r>
        <w:t>just one component of</w:t>
      </w:r>
      <w:r>
        <w:rPr>
          <w:spacing w:val="4"/>
        </w:rPr>
        <w:t xml:space="preserve"> </w:t>
      </w:r>
      <w:r>
        <w:t>the capital costs,</w:t>
      </w:r>
      <w:r>
        <w:rPr>
          <w:spacing w:val="-6"/>
        </w:rPr>
        <w:t xml:space="preserve"> </w:t>
      </w:r>
      <w:r>
        <w:t>ie,</w:t>
      </w:r>
      <w:r>
        <w:rPr>
          <w:spacing w:val="-6"/>
        </w:rPr>
        <w:t xml:space="preserve"> </w:t>
      </w:r>
      <w:r>
        <w:rPr>
          <w:spacing w:val="-1"/>
        </w:rPr>
        <w:t>depreciation.</w:t>
      </w:r>
    </w:p>
    <w:p w:rsidR="00D96B91" w:rsidRDefault="00C2656B">
      <w:pPr>
        <w:pStyle w:val="BodyText"/>
        <w:spacing w:before="170" w:line="260" w:lineRule="exact"/>
        <w:ind w:right="1655"/>
        <w:jc w:val="both"/>
      </w:pPr>
      <w:r>
        <w:t>Modifying</w:t>
      </w:r>
      <w:r>
        <w:rPr>
          <w:spacing w:val="-1"/>
        </w:rPr>
        <w:t xml:space="preserve"> </w:t>
      </w:r>
      <w:r>
        <w:t xml:space="preserve">the </w:t>
      </w:r>
      <w:r>
        <w:rPr>
          <w:spacing w:val="-1"/>
        </w:rPr>
        <w:t>depreciation profile</w:t>
      </w:r>
      <w:r>
        <w:t xml:space="preserve"> to</w:t>
      </w:r>
      <w:r>
        <w:rPr>
          <w:spacing w:val="-1"/>
        </w:rPr>
        <w:t xml:space="preserve"> reflect</w:t>
      </w:r>
      <w:r>
        <w:t xml:space="preserve"> the</w:t>
      </w:r>
      <w:r>
        <w:rPr>
          <w:spacing w:val="-1"/>
        </w:rPr>
        <w:t xml:space="preserve"> expected</w:t>
      </w:r>
      <w:r>
        <w:t xml:space="preserve"> use</w:t>
      </w:r>
      <w:r>
        <w:rPr>
          <w:spacing w:val="-1"/>
        </w:rPr>
        <w:t xml:space="preserve"> </w:t>
      </w:r>
      <w:r>
        <w:t>of</w:t>
      </w:r>
      <w:r>
        <w:rPr>
          <w:spacing w:val="4"/>
        </w:rPr>
        <w:t xml:space="preserve"> </w:t>
      </w:r>
      <w:r>
        <w:t>an</w:t>
      </w:r>
      <w:r>
        <w:rPr>
          <w:spacing w:val="-1"/>
        </w:rPr>
        <w:t xml:space="preserve"> </w:t>
      </w:r>
      <w:r>
        <w:t>asset over</w:t>
      </w:r>
      <w:r>
        <w:rPr>
          <w:spacing w:val="-1"/>
        </w:rPr>
        <w:t xml:space="preserve"> </w:t>
      </w:r>
      <w:r>
        <w:t>its economic</w:t>
      </w:r>
      <w:r>
        <w:rPr>
          <w:spacing w:val="-1"/>
        </w:rPr>
        <w:t xml:space="preserve"> </w:t>
      </w:r>
      <w:r>
        <w:t>life is</w:t>
      </w:r>
      <w:r>
        <w:rPr>
          <w:spacing w:val="-1"/>
        </w:rPr>
        <w:t xml:space="preserve"> </w:t>
      </w:r>
      <w:r>
        <w:t>a</w:t>
      </w:r>
      <w:r>
        <w:rPr>
          <w:spacing w:val="37"/>
        </w:rPr>
        <w:t xml:space="preserve"> </w:t>
      </w:r>
      <w:r>
        <w:rPr>
          <w:spacing w:val="-1"/>
        </w:rPr>
        <w:t>standard</w:t>
      </w:r>
      <w:r>
        <w:t xml:space="preserve"> </w:t>
      </w:r>
      <w:r>
        <w:rPr>
          <w:spacing w:val="-1"/>
        </w:rPr>
        <w:t>regulatory</w:t>
      </w:r>
      <w:r>
        <w:t xml:space="preserve"> technique </w:t>
      </w:r>
      <w:r>
        <w:rPr>
          <w:spacing w:val="-1"/>
        </w:rPr>
        <w:t>that</w:t>
      </w:r>
      <w:r>
        <w:t xml:space="preserve"> is used by a number of</w:t>
      </w:r>
      <w:r>
        <w:rPr>
          <w:spacing w:val="4"/>
        </w:rPr>
        <w:t xml:space="preserve"> </w:t>
      </w:r>
      <w:r>
        <w:rPr>
          <w:spacing w:val="-1"/>
        </w:rPr>
        <w:t>regulators.</w:t>
      </w:r>
      <w:r>
        <w:rPr>
          <w:spacing w:val="-6"/>
        </w:rPr>
        <w:t xml:space="preserve"> </w:t>
      </w:r>
      <w:r>
        <w:t>It has also been embodied in</w:t>
      </w:r>
      <w:r>
        <w:rPr>
          <w:spacing w:val="31"/>
        </w:rPr>
        <w:t xml:space="preserve"> </w:t>
      </w:r>
      <w:r>
        <w:t xml:space="preserve">both the NGR and the </w:t>
      </w:r>
      <w:r>
        <w:rPr>
          <w:spacing w:val="-1"/>
        </w:rPr>
        <w:t>National</w:t>
      </w:r>
      <w:r>
        <w:t xml:space="preserve"> Electricity </w:t>
      </w:r>
      <w:r>
        <w:rPr>
          <w:spacing w:val="-1"/>
        </w:rPr>
        <w:t>Rules</w:t>
      </w:r>
      <w:r>
        <w:t xml:space="preserve"> (NER).</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6"/>
        <w:rPr>
          <w:rFonts w:ascii="Avenir Next" w:eastAsia="Avenir Next" w:hAnsi="Avenir Next" w:cs="Avenir Next"/>
          <w:sz w:val="21"/>
          <w:szCs w:val="2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504" style="width:72.5pt;height:.5pt;mso-position-horizontal-relative:char;mso-position-vertical-relative:line" coordsize="1450,10">
            <v:group id="_x0000_s1505" style="position:absolute;left:5;top:5;width:1440;height:2" coordorigin="5,5" coordsize="1440,2">
              <v:shape id="_x0000_s1506"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z w:val="16"/>
        </w:rPr>
        <w:t>ESC,</w:t>
      </w:r>
      <w:r>
        <w:rPr>
          <w:rFonts w:ascii="Avenir Next"/>
          <w:spacing w:val="-5"/>
          <w:sz w:val="16"/>
        </w:rPr>
        <w:t xml:space="preserve"> </w:t>
      </w:r>
      <w:r>
        <w:rPr>
          <w:rFonts w:ascii="Avenir Next"/>
          <w:spacing w:val="-1"/>
          <w:sz w:val="16"/>
        </w:rPr>
        <w:t>Final</w:t>
      </w:r>
      <w:r>
        <w:rPr>
          <w:rFonts w:ascii="Avenir Next"/>
          <w:sz w:val="16"/>
        </w:rPr>
        <w:t xml:space="preserve"> Decision,</w:t>
      </w:r>
      <w:r>
        <w:rPr>
          <w:rFonts w:ascii="Avenir Next"/>
          <w:spacing w:val="-5"/>
          <w:sz w:val="16"/>
        </w:rPr>
        <w:t xml:space="preserve"> </w:t>
      </w:r>
      <w:r>
        <w:rPr>
          <w:rFonts w:ascii="Avenir Next"/>
          <w:spacing w:val="-2"/>
          <w:sz w:val="16"/>
        </w:rPr>
        <w:t>Price</w:t>
      </w:r>
      <w:r>
        <w:rPr>
          <w:rFonts w:ascii="Avenir Next"/>
          <w:sz w:val="16"/>
        </w:rPr>
        <w:t xml:space="preserve"> </w:t>
      </w:r>
      <w:r>
        <w:rPr>
          <w:rFonts w:ascii="Avenir Next"/>
          <w:spacing w:val="-1"/>
          <w:sz w:val="16"/>
        </w:rPr>
        <w:t>Review</w:t>
      </w:r>
      <w:r>
        <w:rPr>
          <w:rFonts w:ascii="Avenir Next"/>
          <w:sz w:val="16"/>
        </w:rPr>
        <w:t xml:space="preserve"> 2013: </w:t>
      </w:r>
      <w:r>
        <w:rPr>
          <w:rFonts w:ascii="Avenir Next"/>
          <w:spacing w:val="-1"/>
          <w:sz w:val="16"/>
        </w:rPr>
        <w:t>Greater</w:t>
      </w:r>
      <w:r>
        <w:rPr>
          <w:rFonts w:ascii="Avenir Next"/>
          <w:sz w:val="16"/>
        </w:rPr>
        <w:t xml:space="preserve"> </w:t>
      </w:r>
      <w:r>
        <w:rPr>
          <w:rFonts w:ascii="Avenir Next"/>
          <w:spacing w:val="-1"/>
          <w:sz w:val="16"/>
        </w:rPr>
        <w:t>Metropolitan</w:t>
      </w:r>
      <w:r>
        <w:rPr>
          <w:rFonts w:ascii="Avenir Next"/>
          <w:spacing w:val="-2"/>
          <w:sz w:val="16"/>
        </w:rPr>
        <w:t xml:space="preserve"> Water</w:t>
      </w:r>
      <w:r>
        <w:rPr>
          <w:rFonts w:ascii="Avenir Next"/>
          <w:sz w:val="16"/>
        </w:rPr>
        <w:t xml:space="preserve"> Businesses,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xviii.</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37" w:name="Appendix_8_Estimation_of_WACC_"/>
      <w:bookmarkStart w:id="238" w:name="_bookmark152"/>
      <w:bookmarkEnd w:id="237"/>
      <w:bookmarkEnd w:id="238"/>
      <w:r>
        <w:rPr>
          <w:rFonts w:ascii="Avenir Next Medium"/>
          <w:color w:val="0778BE"/>
          <w:sz w:val="40"/>
        </w:rPr>
        <w:t>Appendix 8</w:t>
      </w:r>
      <w:r>
        <w:rPr>
          <w:rFonts w:ascii="Avenir Next Medium"/>
          <w:color w:val="0778BE"/>
          <w:sz w:val="40"/>
        </w:rPr>
        <w:tab/>
      </w:r>
      <w:r>
        <w:rPr>
          <w:rFonts w:ascii="Avenir Next Medium"/>
          <w:color w:val="0778BE"/>
          <w:spacing w:val="-1"/>
          <w:sz w:val="40"/>
        </w:rPr>
        <w:t xml:space="preserve">Estimation </w:t>
      </w:r>
      <w:r>
        <w:rPr>
          <w:rFonts w:ascii="Avenir Next Medium"/>
          <w:color w:val="0778BE"/>
          <w:sz w:val="40"/>
        </w:rPr>
        <w:t>of</w:t>
      </w:r>
      <w:r>
        <w:rPr>
          <w:rFonts w:ascii="Avenir Next Medium"/>
          <w:color w:val="0778BE"/>
          <w:spacing w:val="4"/>
          <w:sz w:val="40"/>
        </w:rPr>
        <w:t xml:space="preserve"> </w:t>
      </w:r>
      <w:r>
        <w:rPr>
          <w:rFonts w:ascii="Avenir Next Medium"/>
          <w:color w:val="0778BE"/>
          <w:spacing w:val="-5"/>
          <w:sz w:val="40"/>
        </w:rPr>
        <w:t>WACC</w:t>
      </w:r>
    </w:p>
    <w:p w:rsidR="00D96B91" w:rsidRDefault="00C2656B">
      <w:pPr>
        <w:pStyle w:val="BodyText"/>
        <w:spacing w:before="359" w:line="260" w:lineRule="exact"/>
        <w:ind w:right="1548"/>
        <w:rPr>
          <w:rFonts w:cs="Avenir Next"/>
        </w:rPr>
      </w:pPr>
      <w:r>
        <w:t xml:space="preserve">As set out in Chapter </w:t>
      </w:r>
      <w:hyperlink w:anchor="_bookmark84" w:history="1">
        <w:r>
          <w:t>10</w:t>
        </w:r>
      </w:hyperlink>
      <w:r>
        <w:t>,</w:t>
      </w:r>
      <w:r>
        <w:rPr>
          <w:spacing w:val="-6"/>
        </w:rPr>
        <w:t xml:space="preserve"> </w:t>
      </w:r>
      <w:r>
        <w:t>the</w:t>
      </w:r>
      <w:r>
        <w:rPr>
          <w:spacing w:val="-3"/>
        </w:rPr>
        <w:t xml:space="preserve"> WACC</w:t>
      </w:r>
      <w:r>
        <w:t xml:space="preserve"> is typically </w:t>
      </w:r>
      <w:r>
        <w:rPr>
          <w:spacing w:val="-1"/>
        </w:rPr>
        <w:t>measured</w:t>
      </w:r>
      <w:r>
        <w:t xml:space="preserve"> by </w:t>
      </w:r>
      <w:r>
        <w:rPr>
          <w:spacing w:val="-1"/>
        </w:rPr>
        <w:t>regulators</w:t>
      </w:r>
      <w:r>
        <w:t xml:space="preserve"> using the following post-tax</w:t>
      </w:r>
      <w:r>
        <w:rPr>
          <w:spacing w:val="29"/>
        </w:rPr>
        <w:t xml:space="preserve"> </w:t>
      </w:r>
      <w:r>
        <w:rPr>
          <w:spacing w:val="-1"/>
        </w:rPr>
        <w:t>formulation:</w:t>
      </w:r>
    </w:p>
    <w:p w:rsidR="00D96B91" w:rsidRDefault="00D96B91">
      <w:pPr>
        <w:spacing w:line="260" w:lineRule="exact"/>
        <w:rPr>
          <w:rFonts w:ascii="Avenir Next" w:eastAsia="Avenir Next" w:hAnsi="Avenir Next" w:cs="Avenir Next"/>
        </w:rPr>
        <w:sectPr w:rsidR="00D96B91">
          <w:footerReference w:type="even" r:id="rId115"/>
          <w:footerReference w:type="default" r:id="rId116"/>
          <w:pgSz w:w="11910" w:h="16840"/>
          <w:pgMar w:top="1260" w:right="0" w:bottom="1020" w:left="0" w:header="0" w:footer="829" w:gutter="0"/>
          <w:pgNumType w:start="163"/>
          <w:cols w:space="720"/>
        </w:sectPr>
      </w:pPr>
    </w:p>
    <w:p w:rsidR="00D96B91" w:rsidRDefault="00D96B91">
      <w:pPr>
        <w:pStyle w:val="Heading6"/>
        <w:spacing w:before="143" w:line="206" w:lineRule="exact"/>
        <w:ind w:left="0" w:firstLine="0"/>
        <w:jc w:val="right"/>
        <w:rPr>
          <w:rFonts w:ascii="Cambria" w:eastAsia="Cambria" w:hAnsi="Cambria" w:cs="Cambria"/>
        </w:rPr>
      </w:pPr>
      <w:r w:rsidRPr="00D96B91">
        <w:pict>
          <v:group id="_x0000_s1502" style="position:absolute;left:0;text-align:left;margin-left:307.4pt;margin-top:24.25pt;width:8.7pt;height:.1pt;z-index:-251715072;mso-position-horizontal-relative:page" coordorigin="6148,485" coordsize="174,2">
            <v:shape id="_x0000_s1503" style="position:absolute;left:6148;top:485;width:174;height:2" coordorigin="6148,485" coordsize="174,0" path="m6148,485r173,e" filled="f" strokeweight=".33197mm">
              <v:path arrowok="t"/>
            </v:shape>
            <w10:wrap anchorx="page"/>
          </v:group>
        </w:pict>
      </w:r>
      <w:r w:rsidRPr="00D96B91">
        <w:pict>
          <v:group id="_x0000_s1500" style="position:absolute;left:0;text-align:left;margin-left:374.95pt;margin-top:24.25pt;width:7.95pt;height:.1pt;z-index:-251714048;mso-position-horizontal-relative:page" coordorigin="7499,485" coordsize="159,2">
            <v:shape id="_x0000_s1501" style="position:absolute;left:7499;top:485;width:159;height:2" coordorigin="7499,485" coordsize="159,0" path="m7499,485r159,e" filled="f" strokeweight=".33197mm">
              <v:path arrowok="t"/>
            </v:shape>
            <w10:wrap anchorx="page"/>
          </v:group>
        </w:pict>
      </w:r>
      <w:r w:rsidR="00C2656B">
        <w:rPr>
          <w:rFonts w:ascii="Cambria" w:eastAsia="Cambria" w:hAnsi="Cambria" w:cs="Cambria"/>
          <w:w w:val="50"/>
        </w:rPr>
        <w:t>𝐷𝐷</w:t>
      </w:r>
    </w:p>
    <w:p w:rsidR="00D96B91" w:rsidRDefault="00C2656B">
      <w:pPr>
        <w:pStyle w:val="Heading6"/>
        <w:spacing w:before="143" w:line="206" w:lineRule="exact"/>
        <w:ind w:left="1145" w:firstLine="0"/>
        <w:rPr>
          <w:rFonts w:ascii="Cambria" w:eastAsia="Cambria" w:hAnsi="Cambria" w:cs="Cambria"/>
        </w:rPr>
      </w:pPr>
      <w:r>
        <w:rPr>
          <w:w w:val="55"/>
        </w:rPr>
        <w:br w:type="column"/>
      </w:r>
      <w:r>
        <w:rPr>
          <w:rFonts w:ascii="Cambria" w:eastAsia="Cambria" w:hAnsi="Cambria" w:cs="Cambria"/>
          <w:w w:val="55"/>
        </w:rPr>
        <w:t>𝐸𝐸</w:t>
      </w:r>
    </w:p>
    <w:p w:rsidR="00D96B91" w:rsidRDefault="00D96B91">
      <w:pPr>
        <w:spacing w:line="206" w:lineRule="exact"/>
        <w:rPr>
          <w:rFonts w:ascii="Cambria" w:eastAsia="Cambria" w:hAnsi="Cambria" w:cs="Cambria"/>
        </w:rPr>
        <w:sectPr w:rsidR="00D96B91">
          <w:type w:val="continuous"/>
          <w:pgSz w:w="11910" w:h="16840"/>
          <w:pgMar w:top="0" w:right="0" w:bottom="0" w:left="0" w:header="720" w:footer="720" w:gutter="0"/>
          <w:cols w:num="2" w:space="720" w:equalWidth="0">
            <w:col w:w="6314" w:space="40"/>
            <w:col w:w="5556"/>
          </w:cols>
        </w:sectPr>
      </w:pPr>
    </w:p>
    <w:p w:rsidR="00D96B91" w:rsidRDefault="00D96B91">
      <w:pPr>
        <w:rPr>
          <w:rFonts w:ascii="Cambria" w:eastAsia="Cambria" w:hAnsi="Cambria" w:cs="Cambria"/>
          <w:sz w:val="20"/>
          <w:szCs w:val="20"/>
        </w:rPr>
      </w:pPr>
    </w:p>
    <w:p w:rsidR="00D96B91" w:rsidRDefault="00D96B91">
      <w:pPr>
        <w:spacing w:before="3"/>
        <w:rPr>
          <w:rFonts w:ascii="Cambria" w:eastAsia="Cambria" w:hAnsi="Cambria" w:cs="Cambria"/>
          <w:sz w:val="26"/>
          <w:szCs w:val="26"/>
        </w:rPr>
      </w:pPr>
    </w:p>
    <w:p w:rsidR="00D96B91" w:rsidRDefault="00C2656B">
      <w:pPr>
        <w:pStyle w:val="BodyText"/>
        <w:rPr>
          <w:rFonts w:cs="Avenir Next"/>
        </w:rPr>
      </w:pPr>
      <w:r>
        <w:rPr>
          <w:spacing w:val="-1"/>
        </w:rPr>
        <w:t>Where:</w:t>
      </w:r>
    </w:p>
    <w:p w:rsidR="00D96B91" w:rsidRDefault="00C2656B">
      <w:pPr>
        <w:pStyle w:val="Heading6"/>
        <w:spacing w:line="417" w:lineRule="exact"/>
        <w:ind w:left="1247" w:firstLine="0"/>
        <w:rPr>
          <w:rFonts w:ascii="Cambria" w:eastAsia="Cambria" w:hAnsi="Cambria" w:cs="Cambria"/>
        </w:rPr>
      </w:pPr>
      <w:r>
        <w:rPr>
          <w:w w:val="60"/>
        </w:rPr>
        <w:br w:type="column"/>
      </w:r>
      <w:r>
        <w:rPr>
          <w:rFonts w:ascii="Cambria" w:eastAsia="Cambria" w:hAnsi="Cambria" w:cs="Cambria"/>
          <w:spacing w:val="-1"/>
          <w:w w:val="60"/>
        </w:rPr>
        <w:t>WACC</w:t>
      </w:r>
      <w:r>
        <w:rPr>
          <w:rFonts w:ascii="Cambria" w:eastAsia="Cambria" w:hAnsi="Cambria" w:cs="Cambria"/>
          <w:spacing w:val="61"/>
          <w:w w:val="60"/>
        </w:rPr>
        <w:t xml:space="preserve"> </w:t>
      </w:r>
      <w:r>
        <w:rPr>
          <w:rFonts w:ascii="Cambria" w:eastAsia="Cambria" w:hAnsi="Cambria" w:cs="Cambria"/>
          <w:w w:val="60"/>
        </w:rPr>
        <w:t>=</w:t>
      </w:r>
      <w:r>
        <w:rPr>
          <w:rFonts w:ascii="Cambria" w:eastAsia="Cambria" w:hAnsi="Cambria" w:cs="Cambria"/>
          <w:spacing w:val="21"/>
          <w:w w:val="60"/>
        </w:rPr>
        <w:t xml:space="preserve"> </w:t>
      </w:r>
      <w:r>
        <w:rPr>
          <w:rFonts w:ascii="Cambria" w:eastAsia="Cambria" w:hAnsi="Cambria" w:cs="Cambria"/>
          <w:spacing w:val="2"/>
          <w:w w:val="60"/>
        </w:rPr>
        <w:t>𝐸𝐸</w:t>
      </w:r>
      <w:r>
        <w:rPr>
          <w:rFonts w:ascii="Cambria" w:eastAsia="Cambria" w:hAnsi="Cambria" w:cs="Cambria"/>
          <w:spacing w:val="1"/>
          <w:w w:val="60"/>
          <w:position w:val="1"/>
        </w:rPr>
        <w:t>(</w:t>
      </w:r>
      <w:r>
        <w:rPr>
          <w:rFonts w:ascii="Cambria" w:eastAsia="Cambria" w:hAnsi="Cambria" w:cs="Cambria"/>
          <w:spacing w:val="2"/>
          <w:w w:val="60"/>
        </w:rPr>
        <w:t>𝑅𝑅</w:t>
      </w:r>
      <w:r>
        <w:rPr>
          <w:rFonts w:ascii="Cambria" w:eastAsia="Cambria" w:hAnsi="Cambria" w:cs="Cambria"/>
          <w:spacing w:val="2"/>
          <w:w w:val="60"/>
          <w:position w:val="-4"/>
          <w:sz w:val="17"/>
          <w:szCs w:val="17"/>
        </w:rPr>
        <w:t>𝑑𝑑</w:t>
      </w:r>
      <w:r>
        <w:rPr>
          <w:rFonts w:ascii="Cambria" w:eastAsia="Cambria" w:hAnsi="Cambria" w:cs="Cambria"/>
          <w:spacing w:val="1"/>
          <w:w w:val="60"/>
          <w:position w:val="1"/>
        </w:rPr>
        <w:t>)</w:t>
      </w:r>
      <w:r>
        <w:rPr>
          <w:rFonts w:ascii="Cambria" w:eastAsia="Cambria" w:hAnsi="Cambria" w:cs="Cambria"/>
          <w:spacing w:val="52"/>
          <w:w w:val="60"/>
          <w:position w:val="1"/>
        </w:rPr>
        <w:t xml:space="preserve"> </w:t>
      </w:r>
      <w:r>
        <w:rPr>
          <w:rFonts w:ascii="Cambria" w:eastAsia="Cambria" w:hAnsi="Cambria" w:cs="Cambria"/>
          <w:w w:val="60"/>
        </w:rPr>
        <w:t>×</w:t>
      </w:r>
      <w:r>
        <w:rPr>
          <w:rFonts w:ascii="Cambria" w:eastAsia="Cambria" w:hAnsi="Cambria" w:cs="Cambria"/>
          <w:spacing w:val="16"/>
          <w:w w:val="60"/>
        </w:rPr>
        <w:t xml:space="preserve"> </w:t>
      </w:r>
      <w:r>
        <w:rPr>
          <w:rFonts w:ascii="Cambria" w:eastAsia="Cambria" w:hAnsi="Cambria" w:cs="Cambria"/>
          <w:w w:val="60"/>
          <w:position w:val="-15"/>
        </w:rPr>
        <w:t>𝑉𝑉</w:t>
      </w:r>
      <w:r>
        <w:rPr>
          <w:rFonts w:ascii="Cambria" w:eastAsia="Cambria" w:hAnsi="Cambria" w:cs="Cambria"/>
          <w:spacing w:val="22"/>
          <w:w w:val="60"/>
          <w:position w:val="-15"/>
        </w:rPr>
        <w:t xml:space="preserve"> </w:t>
      </w:r>
      <w:r>
        <w:rPr>
          <w:rFonts w:ascii="Cambria" w:eastAsia="Cambria" w:hAnsi="Cambria" w:cs="Cambria"/>
          <w:w w:val="60"/>
        </w:rPr>
        <w:t>+</w:t>
      </w:r>
      <w:r>
        <w:rPr>
          <w:rFonts w:ascii="Cambria" w:eastAsia="Cambria" w:hAnsi="Cambria" w:cs="Cambria"/>
          <w:spacing w:val="9"/>
          <w:w w:val="60"/>
        </w:rPr>
        <w:t xml:space="preserve"> </w:t>
      </w:r>
      <w:r>
        <w:rPr>
          <w:rFonts w:ascii="Cambria" w:eastAsia="Cambria" w:hAnsi="Cambria" w:cs="Cambria"/>
          <w:spacing w:val="2"/>
          <w:w w:val="60"/>
        </w:rPr>
        <w:t>𝐸𝐸</w:t>
      </w:r>
      <w:r>
        <w:rPr>
          <w:rFonts w:ascii="Cambria" w:eastAsia="Cambria" w:hAnsi="Cambria" w:cs="Cambria"/>
          <w:spacing w:val="1"/>
          <w:w w:val="60"/>
        </w:rPr>
        <w:t>(</w:t>
      </w:r>
      <w:r>
        <w:rPr>
          <w:rFonts w:ascii="Cambria" w:eastAsia="Cambria" w:hAnsi="Cambria" w:cs="Cambria"/>
          <w:spacing w:val="2"/>
          <w:w w:val="60"/>
        </w:rPr>
        <w:t>𝑅𝑅</w:t>
      </w:r>
      <w:r>
        <w:rPr>
          <w:rFonts w:ascii="Cambria" w:eastAsia="Cambria" w:hAnsi="Cambria" w:cs="Cambria"/>
          <w:spacing w:val="2"/>
          <w:w w:val="60"/>
          <w:position w:val="-4"/>
          <w:sz w:val="17"/>
          <w:szCs w:val="17"/>
        </w:rPr>
        <w:t>𝑒𝑒</w:t>
      </w:r>
      <w:r>
        <w:rPr>
          <w:rFonts w:ascii="Cambria" w:eastAsia="Cambria" w:hAnsi="Cambria" w:cs="Cambria"/>
          <w:spacing w:val="1"/>
          <w:w w:val="60"/>
        </w:rPr>
        <w:t>)</w:t>
      </w:r>
      <w:r>
        <w:rPr>
          <w:rFonts w:ascii="Cambria" w:eastAsia="Cambria" w:hAnsi="Cambria" w:cs="Cambria"/>
          <w:spacing w:val="11"/>
          <w:w w:val="60"/>
        </w:rPr>
        <w:t xml:space="preserve"> </w:t>
      </w:r>
      <w:r>
        <w:rPr>
          <w:rFonts w:ascii="Cambria" w:eastAsia="Cambria" w:hAnsi="Cambria" w:cs="Cambria"/>
          <w:w w:val="60"/>
        </w:rPr>
        <w:t>×</w:t>
      </w:r>
      <w:r>
        <w:rPr>
          <w:rFonts w:ascii="Cambria" w:eastAsia="Cambria" w:hAnsi="Cambria" w:cs="Cambria"/>
          <w:spacing w:val="9"/>
          <w:w w:val="60"/>
        </w:rPr>
        <w:t xml:space="preserve"> </w:t>
      </w:r>
      <w:r>
        <w:rPr>
          <w:rFonts w:ascii="Cambria" w:eastAsia="Cambria" w:hAnsi="Cambria" w:cs="Cambria"/>
          <w:w w:val="60"/>
          <w:position w:val="-15"/>
        </w:rPr>
        <w:t>𝑉𝑉</w:t>
      </w:r>
    </w:p>
    <w:p w:rsidR="00D96B91" w:rsidRDefault="00D96B91">
      <w:pPr>
        <w:spacing w:line="417" w:lineRule="exact"/>
        <w:rPr>
          <w:rFonts w:ascii="Cambria" w:eastAsia="Cambria" w:hAnsi="Cambria" w:cs="Cambria"/>
        </w:rPr>
        <w:sectPr w:rsidR="00D96B91">
          <w:type w:val="continuous"/>
          <w:pgSz w:w="11910" w:h="16840"/>
          <w:pgMar w:top="0" w:right="0" w:bottom="0" w:left="0" w:header="720" w:footer="720" w:gutter="0"/>
          <w:cols w:num="2" w:space="720" w:equalWidth="0">
            <w:col w:w="1916" w:space="1017"/>
            <w:col w:w="8977"/>
          </w:cols>
        </w:sectPr>
      </w:pPr>
    </w:p>
    <w:p w:rsidR="00D96B91" w:rsidRDefault="00C2656B">
      <w:pPr>
        <w:spacing w:before="99"/>
        <w:ind w:left="1282" w:right="1313"/>
        <w:rPr>
          <w:rFonts w:ascii="Avenir Next" w:eastAsia="Avenir Next" w:hAnsi="Avenir Next" w:cs="Avenir Next"/>
          <w:sz w:val="20"/>
          <w:szCs w:val="20"/>
        </w:rPr>
      </w:pPr>
      <w:r>
        <w:rPr>
          <w:rFonts w:ascii="Cambria" w:eastAsia="Cambria" w:hAnsi="Cambria" w:cs="Cambria"/>
          <w:spacing w:val="3"/>
          <w:w w:val="75"/>
          <w:position w:val="2"/>
          <w:sz w:val="24"/>
          <w:szCs w:val="24"/>
        </w:rPr>
        <w:t>𝐸𝐸</w:t>
      </w:r>
      <w:r>
        <w:rPr>
          <w:rFonts w:ascii="Cambria" w:eastAsia="Cambria" w:hAnsi="Cambria" w:cs="Cambria"/>
          <w:spacing w:val="1"/>
          <w:w w:val="75"/>
          <w:position w:val="3"/>
          <w:sz w:val="24"/>
          <w:szCs w:val="24"/>
        </w:rPr>
        <w:t>(</w:t>
      </w:r>
      <w:r>
        <w:rPr>
          <w:rFonts w:ascii="Cambria" w:eastAsia="Cambria" w:hAnsi="Cambria" w:cs="Cambria"/>
          <w:spacing w:val="3"/>
          <w:w w:val="75"/>
          <w:position w:val="2"/>
          <w:sz w:val="24"/>
          <w:szCs w:val="24"/>
        </w:rPr>
        <w:t>𝑅𝑅</w:t>
      </w:r>
      <w:r>
        <w:rPr>
          <w:rFonts w:ascii="Cambria" w:eastAsia="Cambria" w:hAnsi="Cambria" w:cs="Cambria"/>
          <w:spacing w:val="3"/>
          <w:w w:val="75"/>
          <w:position w:val="-2"/>
          <w:sz w:val="17"/>
          <w:szCs w:val="17"/>
        </w:rPr>
        <w:t>𝑑𝑑</w:t>
      </w:r>
      <w:r>
        <w:rPr>
          <w:rFonts w:ascii="Cambria" w:eastAsia="Cambria" w:hAnsi="Cambria" w:cs="Cambria"/>
          <w:spacing w:val="1"/>
          <w:w w:val="75"/>
          <w:position w:val="3"/>
          <w:sz w:val="24"/>
          <w:szCs w:val="24"/>
        </w:rPr>
        <w:t>)</w:t>
      </w:r>
      <w:r>
        <w:rPr>
          <w:rFonts w:ascii="Cambria" w:eastAsia="Cambria" w:hAnsi="Cambria" w:cs="Cambria"/>
          <w:spacing w:val="24"/>
          <w:w w:val="75"/>
          <w:position w:val="3"/>
          <w:sz w:val="24"/>
          <w:szCs w:val="24"/>
        </w:rPr>
        <w:t xml:space="preserve"> </w:t>
      </w:r>
      <w:r>
        <w:rPr>
          <w:rFonts w:ascii="Avenir Next" w:eastAsia="Avenir Next" w:hAnsi="Avenir Next" w:cs="Avenir Next"/>
          <w:w w:val="75"/>
          <w:sz w:val="20"/>
          <w:szCs w:val="20"/>
        </w:rPr>
        <w:t>is</w:t>
      </w:r>
      <w:r>
        <w:rPr>
          <w:rFonts w:ascii="Avenir Next" w:eastAsia="Avenir Next" w:hAnsi="Avenir Next" w:cs="Avenir Next"/>
          <w:spacing w:val="1"/>
          <w:w w:val="75"/>
          <w:sz w:val="20"/>
          <w:szCs w:val="20"/>
        </w:rPr>
        <w:t xml:space="preserve"> </w:t>
      </w:r>
      <w:r>
        <w:rPr>
          <w:rFonts w:ascii="Avenir Next" w:eastAsia="Avenir Next" w:hAnsi="Avenir Next" w:cs="Avenir Next"/>
          <w:w w:val="75"/>
          <w:sz w:val="20"/>
          <w:szCs w:val="20"/>
        </w:rPr>
        <w:t>the</w:t>
      </w:r>
      <w:r>
        <w:rPr>
          <w:rFonts w:ascii="Avenir Next" w:eastAsia="Avenir Next" w:hAnsi="Avenir Next" w:cs="Avenir Next"/>
          <w:spacing w:val="1"/>
          <w:w w:val="75"/>
          <w:sz w:val="20"/>
          <w:szCs w:val="20"/>
        </w:rPr>
        <w:t xml:space="preserve"> </w:t>
      </w:r>
      <w:r>
        <w:rPr>
          <w:rFonts w:ascii="Avenir Next" w:eastAsia="Avenir Next" w:hAnsi="Avenir Next" w:cs="Avenir Next"/>
          <w:spacing w:val="-1"/>
          <w:w w:val="75"/>
          <w:sz w:val="20"/>
          <w:szCs w:val="20"/>
        </w:rPr>
        <w:t>expected</w:t>
      </w:r>
      <w:r>
        <w:rPr>
          <w:rFonts w:ascii="Avenir Next" w:eastAsia="Avenir Next" w:hAnsi="Avenir Next" w:cs="Avenir Next"/>
          <w:spacing w:val="1"/>
          <w:w w:val="75"/>
          <w:sz w:val="20"/>
          <w:szCs w:val="20"/>
        </w:rPr>
        <w:t xml:space="preserve"> </w:t>
      </w:r>
      <w:r>
        <w:rPr>
          <w:rFonts w:ascii="Avenir Next" w:eastAsia="Avenir Next" w:hAnsi="Avenir Next" w:cs="Avenir Next"/>
          <w:w w:val="75"/>
          <w:sz w:val="20"/>
          <w:szCs w:val="20"/>
        </w:rPr>
        <w:t>cost</w:t>
      </w:r>
      <w:r>
        <w:rPr>
          <w:rFonts w:ascii="Avenir Next" w:eastAsia="Avenir Next" w:hAnsi="Avenir Next" w:cs="Avenir Next"/>
          <w:spacing w:val="1"/>
          <w:w w:val="75"/>
          <w:sz w:val="20"/>
          <w:szCs w:val="20"/>
        </w:rPr>
        <w:t xml:space="preserve"> </w:t>
      </w:r>
      <w:r>
        <w:rPr>
          <w:rFonts w:ascii="Avenir Next" w:eastAsia="Avenir Next" w:hAnsi="Avenir Next" w:cs="Avenir Next"/>
          <w:w w:val="75"/>
          <w:sz w:val="20"/>
          <w:szCs w:val="20"/>
        </w:rPr>
        <w:t>of</w:t>
      </w:r>
      <w:r>
        <w:rPr>
          <w:rFonts w:ascii="Avenir Next" w:eastAsia="Avenir Next" w:hAnsi="Avenir Next" w:cs="Avenir Next"/>
          <w:spacing w:val="4"/>
          <w:w w:val="75"/>
          <w:sz w:val="20"/>
          <w:szCs w:val="20"/>
        </w:rPr>
        <w:t xml:space="preserve"> </w:t>
      </w:r>
      <w:r>
        <w:rPr>
          <w:rFonts w:ascii="Avenir Next" w:eastAsia="Avenir Next" w:hAnsi="Avenir Next" w:cs="Avenir Next"/>
          <w:w w:val="75"/>
          <w:sz w:val="20"/>
          <w:szCs w:val="20"/>
        </w:rPr>
        <w:t>debt,</w:t>
      </w:r>
    </w:p>
    <w:p w:rsidR="00D96B91" w:rsidRDefault="00C2656B">
      <w:pPr>
        <w:spacing w:before="109"/>
        <w:ind w:left="1247"/>
        <w:rPr>
          <w:rFonts w:ascii="Avenir Next" w:eastAsia="Avenir Next" w:hAnsi="Avenir Next" w:cs="Avenir Next"/>
          <w:sz w:val="20"/>
          <w:szCs w:val="20"/>
        </w:rPr>
      </w:pPr>
      <w:r>
        <w:rPr>
          <w:rFonts w:ascii="Cambria" w:eastAsia="Cambria" w:hAnsi="Cambria" w:cs="Cambria"/>
          <w:spacing w:val="3"/>
          <w:w w:val="75"/>
          <w:position w:val="2"/>
          <w:sz w:val="24"/>
          <w:szCs w:val="24"/>
        </w:rPr>
        <w:t>𝐸𝐸</w:t>
      </w:r>
      <w:r>
        <w:rPr>
          <w:rFonts w:ascii="Cambria" w:eastAsia="Cambria" w:hAnsi="Cambria" w:cs="Cambria"/>
          <w:spacing w:val="1"/>
          <w:w w:val="75"/>
          <w:position w:val="2"/>
          <w:sz w:val="24"/>
          <w:szCs w:val="24"/>
        </w:rPr>
        <w:t>(</w:t>
      </w:r>
      <w:r>
        <w:rPr>
          <w:rFonts w:ascii="Cambria" w:eastAsia="Cambria" w:hAnsi="Cambria" w:cs="Cambria"/>
          <w:spacing w:val="3"/>
          <w:w w:val="75"/>
          <w:position w:val="2"/>
          <w:sz w:val="24"/>
          <w:szCs w:val="24"/>
        </w:rPr>
        <w:t>𝑅𝑅</w:t>
      </w:r>
      <w:r>
        <w:rPr>
          <w:rFonts w:ascii="Cambria" w:eastAsia="Cambria" w:hAnsi="Cambria" w:cs="Cambria"/>
          <w:spacing w:val="3"/>
          <w:w w:val="75"/>
          <w:position w:val="-2"/>
          <w:sz w:val="17"/>
          <w:szCs w:val="17"/>
        </w:rPr>
        <w:t>𝑒𝑒</w:t>
      </w:r>
      <w:r>
        <w:rPr>
          <w:rFonts w:ascii="Cambria" w:eastAsia="Cambria" w:hAnsi="Cambria" w:cs="Cambria"/>
          <w:spacing w:val="1"/>
          <w:w w:val="75"/>
          <w:position w:val="2"/>
          <w:sz w:val="24"/>
          <w:szCs w:val="24"/>
        </w:rPr>
        <w:t>)</w:t>
      </w:r>
      <w:r>
        <w:rPr>
          <w:rFonts w:ascii="Cambria" w:eastAsia="Cambria" w:hAnsi="Cambria" w:cs="Cambria"/>
          <w:spacing w:val="35"/>
          <w:w w:val="75"/>
          <w:position w:val="2"/>
          <w:sz w:val="24"/>
          <w:szCs w:val="24"/>
        </w:rPr>
        <w:t xml:space="preserve"> </w:t>
      </w:r>
      <w:r>
        <w:rPr>
          <w:rFonts w:ascii="Avenir Next" w:eastAsia="Avenir Next" w:hAnsi="Avenir Next" w:cs="Avenir Next"/>
          <w:w w:val="75"/>
          <w:sz w:val="20"/>
          <w:szCs w:val="20"/>
        </w:rPr>
        <w:t>is</w:t>
      </w:r>
      <w:r>
        <w:rPr>
          <w:rFonts w:ascii="Avenir Next" w:eastAsia="Avenir Next" w:hAnsi="Avenir Next" w:cs="Avenir Next"/>
          <w:spacing w:val="12"/>
          <w:w w:val="75"/>
          <w:sz w:val="20"/>
          <w:szCs w:val="20"/>
        </w:rPr>
        <w:t xml:space="preserve"> </w:t>
      </w:r>
      <w:r>
        <w:rPr>
          <w:rFonts w:ascii="Avenir Next" w:eastAsia="Avenir Next" w:hAnsi="Avenir Next" w:cs="Avenir Next"/>
          <w:w w:val="75"/>
          <w:sz w:val="20"/>
          <w:szCs w:val="20"/>
        </w:rPr>
        <w:t>the</w:t>
      </w:r>
      <w:r>
        <w:rPr>
          <w:rFonts w:ascii="Avenir Next" w:eastAsia="Avenir Next" w:hAnsi="Avenir Next" w:cs="Avenir Next"/>
          <w:spacing w:val="12"/>
          <w:w w:val="75"/>
          <w:sz w:val="20"/>
          <w:szCs w:val="20"/>
        </w:rPr>
        <w:t xml:space="preserve"> </w:t>
      </w:r>
      <w:r>
        <w:rPr>
          <w:rFonts w:ascii="Avenir Next" w:eastAsia="Avenir Next" w:hAnsi="Avenir Next" w:cs="Avenir Next"/>
          <w:spacing w:val="-1"/>
          <w:w w:val="75"/>
          <w:sz w:val="20"/>
          <w:szCs w:val="20"/>
        </w:rPr>
        <w:t>expected</w:t>
      </w:r>
      <w:r>
        <w:rPr>
          <w:rFonts w:ascii="Avenir Next" w:eastAsia="Avenir Next" w:hAnsi="Avenir Next" w:cs="Avenir Next"/>
          <w:spacing w:val="12"/>
          <w:w w:val="75"/>
          <w:sz w:val="20"/>
          <w:szCs w:val="20"/>
        </w:rPr>
        <w:t xml:space="preserve"> </w:t>
      </w:r>
      <w:r>
        <w:rPr>
          <w:rFonts w:ascii="Avenir Next" w:eastAsia="Avenir Next" w:hAnsi="Avenir Next" w:cs="Avenir Next"/>
          <w:w w:val="75"/>
          <w:sz w:val="20"/>
          <w:szCs w:val="20"/>
        </w:rPr>
        <w:t>cost</w:t>
      </w:r>
      <w:r>
        <w:rPr>
          <w:rFonts w:ascii="Avenir Next" w:eastAsia="Avenir Next" w:hAnsi="Avenir Next" w:cs="Avenir Next"/>
          <w:spacing w:val="12"/>
          <w:w w:val="75"/>
          <w:sz w:val="20"/>
          <w:szCs w:val="20"/>
        </w:rPr>
        <w:t xml:space="preserve"> </w:t>
      </w:r>
      <w:r>
        <w:rPr>
          <w:rFonts w:ascii="Avenir Next" w:eastAsia="Avenir Next" w:hAnsi="Avenir Next" w:cs="Avenir Next"/>
          <w:w w:val="75"/>
          <w:sz w:val="20"/>
          <w:szCs w:val="20"/>
        </w:rPr>
        <w:t>of</w:t>
      </w:r>
      <w:r>
        <w:rPr>
          <w:rFonts w:ascii="Avenir Next" w:eastAsia="Avenir Next" w:hAnsi="Avenir Next" w:cs="Avenir Next"/>
          <w:spacing w:val="15"/>
          <w:w w:val="75"/>
          <w:sz w:val="20"/>
          <w:szCs w:val="20"/>
        </w:rPr>
        <w:t xml:space="preserve"> </w:t>
      </w:r>
      <w:r>
        <w:rPr>
          <w:rFonts w:ascii="Avenir Next" w:eastAsia="Avenir Next" w:hAnsi="Avenir Next" w:cs="Avenir Next"/>
          <w:spacing w:val="-2"/>
          <w:w w:val="75"/>
          <w:sz w:val="20"/>
          <w:szCs w:val="20"/>
        </w:rPr>
        <w:t>equity,</w:t>
      </w:r>
      <w:r>
        <w:rPr>
          <w:rFonts w:ascii="Avenir Next" w:eastAsia="Avenir Next" w:hAnsi="Avenir Next" w:cs="Avenir Next"/>
          <w:spacing w:val="6"/>
          <w:w w:val="75"/>
          <w:sz w:val="20"/>
          <w:szCs w:val="20"/>
        </w:rPr>
        <w:t xml:space="preserve"> </w:t>
      </w:r>
      <w:r>
        <w:rPr>
          <w:rFonts w:ascii="Avenir Next" w:eastAsia="Avenir Next" w:hAnsi="Avenir Next" w:cs="Avenir Next"/>
          <w:w w:val="75"/>
          <w:sz w:val="20"/>
          <w:szCs w:val="20"/>
        </w:rPr>
        <w:t>and</w:t>
      </w:r>
    </w:p>
    <w:p w:rsidR="00D96B91" w:rsidRDefault="00D96B91">
      <w:pPr>
        <w:rPr>
          <w:rFonts w:ascii="Avenir Next" w:eastAsia="Avenir Next" w:hAnsi="Avenir Next" w:cs="Avenir Next"/>
          <w:sz w:val="20"/>
          <w:szCs w:val="20"/>
        </w:rPr>
        <w:sectPr w:rsidR="00D96B91">
          <w:type w:val="continuous"/>
          <w:pgSz w:w="11910" w:h="16840"/>
          <w:pgMar w:top="0" w:right="0" w:bottom="0" w:left="0" w:header="720" w:footer="720" w:gutter="0"/>
          <w:cols w:space="720"/>
        </w:sectPr>
      </w:pPr>
    </w:p>
    <w:p w:rsidR="00D96B91" w:rsidRDefault="00C2656B">
      <w:pPr>
        <w:pStyle w:val="BodyText"/>
        <w:spacing w:before="91"/>
        <w:ind w:left="0"/>
        <w:jc w:val="right"/>
        <w:rPr>
          <w:rFonts w:ascii="Cambria" w:eastAsia="Cambria" w:hAnsi="Cambria" w:cs="Cambria"/>
        </w:rPr>
      </w:pPr>
      <w:r>
        <w:rPr>
          <w:rFonts w:ascii="Cambria" w:eastAsia="Cambria" w:hAnsi="Cambria" w:cs="Cambria"/>
          <w:w w:val="50"/>
        </w:rPr>
        <w:t>𝐷𝐷</w:t>
      </w:r>
    </w:p>
    <w:p w:rsidR="00D96B91" w:rsidRDefault="00D96B91">
      <w:pPr>
        <w:spacing w:before="8"/>
        <w:rPr>
          <w:rFonts w:ascii="Cambria" w:eastAsia="Cambria" w:hAnsi="Cambria" w:cs="Cambria"/>
          <w:sz w:val="3"/>
          <w:szCs w:val="3"/>
        </w:rPr>
      </w:pPr>
    </w:p>
    <w:p w:rsidR="00D96B91" w:rsidRDefault="00D96B91">
      <w:pPr>
        <w:spacing w:line="20" w:lineRule="atLeast"/>
        <w:ind w:left="1277"/>
        <w:rPr>
          <w:rFonts w:ascii="Cambria" w:eastAsia="Cambria" w:hAnsi="Cambria" w:cs="Cambria"/>
          <w:sz w:val="2"/>
          <w:szCs w:val="2"/>
        </w:rPr>
      </w:pPr>
      <w:r w:rsidRPr="00D96B91">
        <w:rPr>
          <w:rFonts w:ascii="Cambria" w:eastAsia="Cambria" w:hAnsi="Cambria" w:cs="Cambria"/>
          <w:sz w:val="2"/>
          <w:szCs w:val="2"/>
        </w:rPr>
      </w:r>
      <w:r>
        <w:rPr>
          <w:rFonts w:ascii="Cambria" w:eastAsia="Cambria" w:hAnsi="Cambria" w:cs="Cambria"/>
          <w:sz w:val="2"/>
          <w:szCs w:val="2"/>
        </w:rPr>
        <w:pict>
          <v:group id="_x0000_s1497" style="width:8.05pt;height:.8pt;mso-position-horizontal-relative:char;mso-position-vertical-relative:line" coordsize="161,16">
            <v:group id="_x0000_s1498" style="position:absolute;left:8;top:8;width:145;height:2" coordorigin="8,8" coordsize="145,2">
              <v:shape id="_x0000_s1499" style="position:absolute;left:8;top:8;width:145;height:2" coordorigin="8,8" coordsize="145,0" path="m8,8r145,e" filled="f" strokeweight=".28258mm">
                <v:path arrowok="t"/>
              </v:shape>
            </v:group>
            <w10:wrap type="none"/>
            <w10:anchorlock/>
          </v:group>
        </w:pict>
      </w:r>
    </w:p>
    <w:p w:rsidR="00D96B91" w:rsidRDefault="00C2656B">
      <w:pPr>
        <w:pStyle w:val="BodyText"/>
        <w:ind w:left="0" w:right="5"/>
        <w:jc w:val="right"/>
        <w:rPr>
          <w:rFonts w:ascii="Cambria" w:eastAsia="Cambria" w:hAnsi="Cambria" w:cs="Cambria"/>
        </w:rPr>
      </w:pPr>
      <w:r>
        <w:rPr>
          <w:rFonts w:ascii="Cambria" w:eastAsia="Cambria" w:hAnsi="Cambria" w:cs="Cambria"/>
          <w:w w:val="45"/>
        </w:rPr>
        <w:t>𝑉𝑉</w:t>
      </w:r>
    </w:p>
    <w:p w:rsidR="00D96B91" w:rsidRDefault="00C2656B">
      <w:pPr>
        <w:spacing w:before="3"/>
        <w:rPr>
          <w:rFonts w:ascii="Cambria" w:eastAsia="Cambria" w:hAnsi="Cambria" w:cs="Cambria"/>
          <w:sz w:val="18"/>
          <w:szCs w:val="18"/>
        </w:rPr>
      </w:pPr>
      <w:r>
        <w:br w:type="column"/>
      </w:r>
    </w:p>
    <w:p w:rsidR="00D96B91" w:rsidRDefault="00C2656B">
      <w:pPr>
        <w:pStyle w:val="BodyText"/>
        <w:ind w:left="32"/>
        <w:rPr>
          <w:rFonts w:cs="Avenir Next"/>
        </w:rPr>
      </w:pPr>
      <w:r>
        <w:t>and</w:t>
      </w:r>
    </w:p>
    <w:p w:rsidR="00D96B91" w:rsidRDefault="00C2656B">
      <w:pPr>
        <w:pStyle w:val="BodyText"/>
        <w:spacing w:before="91"/>
        <w:ind w:left="43"/>
        <w:rPr>
          <w:rFonts w:ascii="Cambria" w:eastAsia="Cambria" w:hAnsi="Cambria" w:cs="Cambria"/>
        </w:rPr>
      </w:pPr>
      <w:r>
        <w:br w:type="column"/>
      </w:r>
      <w:r>
        <w:rPr>
          <w:rFonts w:ascii="Cambria" w:eastAsia="Cambria" w:hAnsi="Cambria" w:cs="Cambria"/>
          <w:w w:val="47"/>
        </w:rPr>
        <w:t>𝐸𝐸</w:t>
      </w:r>
    </w:p>
    <w:p w:rsidR="00D96B91" w:rsidRDefault="00D96B91">
      <w:pPr>
        <w:spacing w:before="7"/>
        <w:rPr>
          <w:rFonts w:ascii="Cambria" w:eastAsia="Cambria" w:hAnsi="Cambria" w:cs="Cambria"/>
          <w:sz w:val="3"/>
          <w:szCs w:val="3"/>
        </w:rPr>
      </w:pPr>
    </w:p>
    <w:p w:rsidR="00D96B91" w:rsidRDefault="00D96B91">
      <w:pPr>
        <w:spacing w:line="20" w:lineRule="atLeast"/>
        <w:ind w:left="35"/>
        <w:rPr>
          <w:rFonts w:ascii="Cambria" w:eastAsia="Cambria" w:hAnsi="Cambria" w:cs="Cambria"/>
          <w:sz w:val="2"/>
          <w:szCs w:val="2"/>
        </w:rPr>
      </w:pPr>
      <w:r w:rsidRPr="00D96B91">
        <w:rPr>
          <w:rFonts w:ascii="Cambria" w:eastAsia="Cambria" w:hAnsi="Cambria" w:cs="Cambria"/>
          <w:sz w:val="2"/>
          <w:szCs w:val="2"/>
        </w:rPr>
      </w:r>
      <w:r>
        <w:rPr>
          <w:rFonts w:ascii="Cambria" w:eastAsia="Cambria" w:hAnsi="Cambria" w:cs="Cambria"/>
          <w:sz w:val="2"/>
          <w:szCs w:val="2"/>
        </w:rPr>
        <w:pict>
          <v:group id="_x0000_s1494" style="width:7.4pt;height:.8pt;mso-position-horizontal-relative:char;mso-position-vertical-relative:line" coordsize="148,16">
            <v:group id="_x0000_s1495" style="position:absolute;left:8;top:8;width:132;height:2" coordorigin="8,8" coordsize="132,2">
              <v:shape id="_x0000_s1496" style="position:absolute;left:8;top:8;width:132;height:2" coordorigin="8,8" coordsize="132,0" path="m8,8r132,e" filled="f" strokeweight=".28186mm">
                <v:path arrowok="t"/>
              </v:shape>
            </v:group>
            <w10:wrap type="none"/>
            <w10:anchorlock/>
          </v:group>
        </w:pict>
      </w:r>
    </w:p>
    <w:p w:rsidR="00D96B91" w:rsidRDefault="00C2656B">
      <w:pPr>
        <w:pStyle w:val="BodyText"/>
        <w:ind w:left="43"/>
        <w:rPr>
          <w:rFonts w:ascii="Cambria" w:eastAsia="Cambria" w:hAnsi="Cambria" w:cs="Cambria"/>
        </w:rPr>
      </w:pPr>
      <w:r>
        <w:rPr>
          <w:rFonts w:ascii="Cambria" w:eastAsia="Cambria" w:hAnsi="Cambria" w:cs="Cambria"/>
          <w:w w:val="47"/>
        </w:rPr>
        <w:t>𝑉𝑉</w:t>
      </w:r>
    </w:p>
    <w:p w:rsidR="00D96B91" w:rsidRDefault="00C2656B">
      <w:pPr>
        <w:spacing w:before="3"/>
        <w:rPr>
          <w:rFonts w:ascii="Cambria" w:eastAsia="Cambria" w:hAnsi="Cambria" w:cs="Cambria"/>
          <w:sz w:val="18"/>
          <w:szCs w:val="18"/>
        </w:rPr>
      </w:pPr>
      <w:r>
        <w:br w:type="column"/>
      </w:r>
    </w:p>
    <w:p w:rsidR="00D96B91" w:rsidRDefault="00C2656B">
      <w:pPr>
        <w:pStyle w:val="BodyText"/>
        <w:ind w:left="49"/>
      </w:pPr>
      <w:r>
        <w:rPr>
          <w:spacing w:val="-2"/>
        </w:rPr>
        <w:t>are</w:t>
      </w:r>
      <w:r>
        <w:t xml:space="preserve"> the </w:t>
      </w:r>
      <w:r>
        <w:rPr>
          <w:spacing w:val="-1"/>
        </w:rPr>
        <w:t>proportions</w:t>
      </w:r>
      <w:r>
        <w:t xml:space="preserve"> of</w:t>
      </w:r>
      <w:r>
        <w:rPr>
          <w:spacing w:val="4"/>
        </w:rPr>
        <w:t xml:space="preserve"> </w:t>
      </w:r>
      <w:r>
        <w:t xml:space="preserve">debt and equity in the </w:t>
      </w:r>
      <w:r>
        <w:rPr>
          <w:spacing w:val="-2"/>
        </w:rPr>
        <w:t>entity’s</w:t>
      </w:r>
      <w:r>
        <w:t xml:space="preserve"> capital </w:t>
      </w:r>
      <w:r>
        <w:rPr>
          <w:spacing w:val="-1"/>
        </w:rPr>
        <w:t>structure,</w:t>
      </w:r>
      <w:r>
        <w:rPr>
          <w:spacing w:val="-6"/>
        </w:rPr>
        <w:t xml:space="preserve"> </w:t>
      </w:r>
      <w:r>
        <w:rPr>
          <w:spacing w:val="-1"/>
        </w:rPr>
        <w:t>respectively.</w:t>
      </w:r>
    </w:p>
    <w:p w:rsidR="00D96B91" w:rsidRDefault="00D96B91">
      <w:pPr>
        <w:sectPr w:rsidR="00D96B91">
          <w:type w:val="continuous"/>
          <w:pgSz w:w="11910" w:h="16840"/>
          <w:pgMar w:top="0" w:right="0" w:bottom="0" w:left="0" w:header="720" w:footer="720" w:gutter="0"/>
          <w:cols w:num="4" w:space="720" w:equalWidth="0">
            <w:col w:w="1424" w:space="40"/>
            <w:col w:w="383" w:space="40"/>
            <w:col w:w="169" w:space="40"/>
            <w:col w:w="9814"/>
          </w:cols>
        </w:sectPr>
      </w:pPr>
    </w:p>
    <w:p w:rsidR="00D96B91" w:rsidRDefault="00D96B91">
      <w:pPr>
        <w:spacing w:before="5"/>
        <w:rPr>
          <w:rFonts w:ascii="Avenir Next" w:eastAsia="Avenir Next" w:hAnsi="Avenir Next" w:cs="Avenir Next"/>
          <w:sz w:val="11"/>
          <w:szCs w:val="11"/>
        </w:rPr>
      </w:pPr>
    </w:p>
    <w:p w:rsidR="00D96B91" w:rsidRDefault="00C2656B">
      <w:pPr>
        <w:pStyle w:val="BodyText"/>
        <w:spacing w:before="46"/>
      </w:pPr>
      <w:r>
        <w:rPr>
          <w:spacing w:val="-4"/>
        </w:rPr>
        <w:t>Table</w:t>
      </w:r>
      <w:r>
        <w:rPr>
          <w:spacing w:val="-5"/>
        </w:rPr>
        <w:t xml:space="preserve"> </w:t>
      </w:r>
      <w:r>
        <w:t>A8.1 sets out the</w:t>
      </w:r>
      <w:r>
        <w:rPr>
          <w:spacing w:val="-1"/>
        </w:rPr>
        <w:t xml:space="preserve"> </w:t>
      </w:r>
      <w:r>
        <w:t>nominal post-tax</w:t>
      </w:r>
      <w:r>
        <w:rPr>
          <w:spacing w:val="-3"/>
        </w:rPr>
        <w:t xml:space="preserve"> WACC</w:t>
      </w:r>
      <w:r>
        <w:rPr>
          <w:spacing w:val="-1"/>
        </w:rPr>
        <w:t xml:space="preserve"> </w:t>
      </w:r>
      <w:r>
        <w:t>adopted by the ICRC</w:t>
      </w:r>
      <w:r>
        <w:rPr>
          <w:spacing w:val="-1"/>
        </w:rPr>
        <w:t xml:space="preserve"> </w:t>
      </w:r>
      <w:r>
        <w:t>in its final decision.</w:t>
      </w:r>
    </w:p>
    <w:p w:rsidR="00D96B91" w:rsidRDefault="00C2656B">
      <w:pPr>
        <w:spacing w:before="137"/>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A8.1: ICRC final decision (2013-14 to 2014-15)</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7569"/>
        <w:gridCol w:w="1851"/>
      </w:tblGrid>
      <w:tr w:rsidR="00D96B91">
        <w:trPr>
          <w:trHeight w:hRule="exact" w:val="407"/>
        </w:trPr>
        <w:tc>
          <w:tcPr>
            <w:tcW w:w="756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18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Value</w:t>
            </w:r>
          </w:p>
        </w:tc>
      </w:tr>
      <w:tr w:rsidR="00D96B91">
        <w:trPr>
          <w:trHeight w:hRule="exact" w:val="407"/>
        </w:trPr>
        <w:tc>
          <w:tcPr>
            <w:tcW w:w="756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Gearing</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(proportion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debt in </w:t>
            </w:r>
            <w:r>
              <w:rPr>
                <w:rFonts w:ascii="Avenir Next Condensed" w:eastAsia="Avenir Next Condensed" w:hAnsi="Avenir Next Condensed" w:cs="Avenir Next Condensed"/>
                <w:spacing w:val="-2"/>
                <w:sz w:val="18"/>
                <w:szCs w:val="18"/>
              </w:rPr>
              <w:t>firm’s</w:t>
            </w:r>
            <w:r>
              <w:rPr>
                <w:rFonts w:ascii="Avenir Next Condensed" w:eastAsia="Avenir Next Condensed" w:hAnsi="Avenir Next Condensed" w:cs="Avenir Next Condensed"/>
                <w:sz w:val="18"/>
                <w:szCs w:val="18"/>
              </w:rPr>
              <w:t xml:space="preserve"> capital </w:t>
            </w:r>
            <w:r>
              <w:rPr>
                <w:rFonts w:ascii="Avenir Next Condensed" w:eastAsia="Avenir Next Condensed" w:hAnsi="Avenir Next Condensed" w:cs="Avenir Next Condensed"/>
                <w:spacing w:val="-1"/>
                <w:sz w:val="18"/>
                <w:szCs w:val="18"/>
              </w:rPr>
              <w:t>structure)</w:t>
            </w:r>
          </w:p>
        </w:tc>
        <w:tc>
          <w:tcPr>
            <w:tcW w:w="18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94"/>
              <w:jc w:val="center"/>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756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debt</w:t>
            </w:r>
          </w:p>
        </w:tc>
        <w:tc>
          <w:tcPr>
            <w:tcW w:w="1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27"/>
              <w:jc w:val="center"/>
              <w:rPr>
                <w:rFonts w:ascii="Avenir Next Condensed" w:eastAsia="Avenir Next Condensed" w:hAnsi="Avenir Next Condensed" w:cs="Avenir Next Condensed"/>
                <w:sz w:val="18"/>
                <w:szCs w:val="18"/>
              </w:rPr>
            </w:pPr>
            <w:r>
              <w:rPr>
                <w:rFonts w:ascii="Avenir Next Condensed"/>
                <w:sz w:val="18"/>
              </w:rPr>
              <w:t>5.50%</w:t>
            </w:r>
          </w:p>
        </w:tc>
      </w:tr>
      <w:tr w:rsidR="00D96B91">
        <w:trPr>
          <w:trHeight w:hRule="exact" w:val="417"/>
        </w:trPr>
        <w:tc>
          <w:tcPr>
            <w:tcW w:w="7569"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equity</w:t>
            </w:r>
          </w:p>
        </w:tc>
        <w:tc>
          <w:tcPr>
            <w:tcW w:w="1851"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8"/>
              <w:ind w:right="27"/>
              <w:jc w:val="center"/>
              <w:rPr>
                <w:rFonts w:ascii="Avenir Next Condensed" w:eastAsia="Avenir Next Condensed" w:hAnsi="Avenir Next Condensed" w:cs="Avenir Next Condensed"/>
                <w:sz w:val="18"/>
                <w:szCs w:val="18"/>
              </w:rPr>
            </w:pPr>
            <w:r>
              <w:rPr>
                <w:rFonts w:ascii="Avenir Next Condensed"/>
                <w:sz w:val="18"/>
              </w:rPr>
              <w:t>2.80%</w:t>
            </w:r>
          </w:p>
        </w:tc>
      </w:tr>
      <w:tr w:rsidR="00D96B91">
        <w:trPr>
          <w:trHeight w:hRule="exact" w:val="407"/>
        </w:trPr>
        <w:tc>
          <w:tcPr>
            <w:tcW w:w="7569"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left="108"/>
              <w:rPr>
                <w:rFonts w:ascii="Avenir Next Condensed" w:eastAsia="Avenir Next Condensed" w:hAnsi="Avenir Next Condensed" w:cs="Avenir Next Condensed"/>
                <w:sz w:val="18"/>
                <w:szCs w:val="18"/>
              </w:rPr>
            </w:pPr>
            <w:r>
              <w:rPr>
                <w:rFonts w:ascii="Avenir Next Condensed"/>
                <w:b/>
                <w:sz w:val="18"/>
              </w:rPr>
              <w:t>Nominal post-tax</w:t>
            </w:r>
            <w:r>
              <w:rPr>
                <w:rFonts w:ascii="Avenir Next Condensed"/>
                <w:b/>
                <w:spacing w:val="-3"/>
                <w:sz w:val="18"/>
              </w:rPr>
              <w:t xml:space="preserve"> WACC</w:t>
            </w:r>
          </w:p>
        </w:tc>
        <w:tc>
          <w:tcPr>
            <w:tcW w:w="1851"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8"/>
              <w:ind w:right="55"/>
              <w:jc w:val="center"/>
              <w:rPr>
                <w:rFonts w:ascii="Avenir Next Condensed" w:eastAsia="Avenir Next Condensed" w:hAnsi="Avenir Next Condensed" w:cs="Avenir Next Condensed"/>
                <w:sz w:val="18"/>
                <w:szCs w:val="18"/>
              </w:rPr>
            </w:pPr>
            <w:r>
              <w:rPr>
                <w:rFonts w:ascii="Avenir Next Condensed"/>
                <w:b/>
                <w:sz w:val="18"/>
              </w:rPr>
              <w:t>4.42%</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w:t>
      </w:r>
      <w:r>
        <w:rPr>
          <w:rFonts w:ascii="Avenir Next"/>
          <w:b/>
          <w:spacing w:val="-1"/>
          <w:sz w:val="16"/>
        </w:rPr>
        <w:t>:</w:t>
      </w:r>
      <w:r>
        <w:rPr>
          <w:rFonts w:ascii="Avenir Next"/>
          <w:b/>
          <w:sz w:val="16"/>
        </w:rPr>
        <w:t xml:space="preserve"> </w:t>
      </w:r>
      <w:r>
        <w:rPr>
          <w:rFonts w:ascii="Avenir Next"/>
          <w:sz w:val="16"/>
        </w:rPr>
        <w:t>ICRC,</w:t>
      </w:r>
      <w:r>
        <w:rPr>
          <w:rFonts w:ascii="Avenir Next"/>
          <w:spacing w:val="-5"/>
          <w:sz w:val="16"/>
        </w:rPr>
        <w:t xml:space="preserve"> </w:t>
      </w:r>
      <w:r>
        <w:rPr>
          <w:rFonts w:ascii="Avenir Next"/>
          <w:spacing w:val="-1"/>
          <w:sz w:val="16"/>
        </w:rPr>
        <w:t>Final</w:t>
      </w:r>
      <w:r>
        <w:rPr>
          <w:rFonts w:ascii="Avenir Next"/>
          <w:sz w:val="16"/>
        </w:rPr>
        <w:t xml:space="preserve"> </w:t>
      </w:r>
      <w:r>
        <w:rPr>
          <w:rFonts w:ascii="Avenir Next"/>
          <w:spacing w:val="-1"/>
          <w:sz w:val="16"/>
        </w:rPr>
        <w:t>Report,</w:t>
      </w:r>
      <w:r>
        <w:rPr>
          <w:rFonts w:ascii="Avenir Next"/>
          <w:spacing w:val="-5"/>
          <w:sz w:val="16"/>
        </w:rPr>
        <w:t xml:space="preserve"> </w:t>
      </w:r>
      <w:r>
        <w:rPr>
          <w:rFonts w:ascii="Avenir Next"/>
          <w:spacing w:val="-1"/>
          <w:sz w:val="16"/>
        </w:rPr>
        <w:t>Regulated</w:t>
      </w:r>
      <w:r>
        <w:rPr>
          <w:rFonts w:ascii="Avenir Next"/>
          <w:spacing w:val="-2"/>
          <w:sz w:val="16"/>
        </w:rPr>
        <w:t xml:space="preserve"> Water</w:t>
      </w:r>
      <w:r>
        <w:rPr>
          <w:rFonts w:ascii="Avenir Next"/>
          <w:sz w:val="16"/>
        </w:rPr>
        <w:t xml:space="preserve"> and </w:t>
      </w:r>
      <w:r>
        <w:rPr>
          <w:rFonts w:ascii="Avenir Next"/>
          <w:spacing w:val="-1"/>
          <w:sz w:val="16"/>
        </w:rPr>
        <w:t>Sewerage</w:t>
      </w:r>
      <w:r>
        <w:rPr>
          <w:rFonts w:ascii="Avenir Next"/>
          <w:sz w:val="16"/>
        </w:rPr>
        <w:t xml:space="preserve"> Services,</w:t>
      </w:r>
      <w:r>
        <w:rPr>
          <w:rFonts w:ascii="Avenir Next"/>
          <w:spacing w:val="-7"/>
          <w:sz w:val="16"/>
        </w:rPr>
        <w:t xml:space="preserve"> </w:t>
      </w:r>
      <w:r>
        <w:rPr>
          <w:rFonts w:ascii="Avenir Next"/>
          <w:sz w:val="16"/>
        </w:rPr>
        <w:t>June 2013,</w:t>
      </w:r>
      <w:r>
        <w:rPr>
          <w:rFonts w:ascii="Avenir Next"/>
          <w:spacing w:val="-5"/>
          <w:sz w:val="16"/>
        </w:rPr>
        <w:t xml:space="preserve"> </w:t>
      </w:r>
      <w:r>
        <w:rPr>
          <w:rFonts w:ascii="Avenir Next"/>
          <w:sz w:val="16"/>
        </w:rPr>
        <w:t>p 67.</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56"/>
        <w:rPr>
          <w:sz w:val="11"/>
          <w:szCs w:val="11"/>
        </w:rPr>
      </w:pPr>
      <w:r>
        <w:rPr>
          <w:spacing w:val="-7"/>
        </w:rPr>
        <w:t>Two</w:t>
      </w:r>
      <w:r>
        <w:t xml:space="preserve"> aspects of</w:t>
      </w:r>
      <w:r>
        <w:rPr>
          <w:spacing w:val="4"/>
        </w:rPr>
        <w:t xml:space="preserve"> </w:t>
      </w:r>
      <w:r>
        <w:t xml:space="preserve">this decision </w:t>
      </w:r>
      <w:r>
        <w:rPr>
          <w:spacing w:val="-1"/>
        </w:rPr>
        <w:t>that</w:t>
      </w:r>
      <w:r>
        <w:rPr>
          <w:spacing w:val="-4"/>
        </w:rPr>
        <w:t xml:space="preserve"> </w:t>
      </w:r>
      <w:r>
        <w:rPr>
          <w:spacing w:val="-2"/>
        </w:rPr>
        <w:t>ACTEW</w:t>
      </w:r>
      <w:r>
        <w:rPr>
          <w:spacing w:val="-3"/>
        </w:rPr>
        <w:t xml:space="preserve"> </w:t>
      </w:r>
      <w:r>
        <w:t xml:space="preserve">has contended should be </w:t>
      </w:r>
      <w:r>
        <w:rPr>
          <w:spacing w:val="-1"/>
        </w:rPr>
        <w:t>reviewed</w:t>
      </w:r>
      <w:r>
        <w:t xml:space="preserve"> by the Industry </w:t>
      </w:r>
      <w:r>
        <w:rPr>
          <w:spacing w:val="-3"/>
        </w:rPr>
        <w:t>Panel</w:t>
      </w:r>
      <w:r>
        <w:t xml:space="preserve"> </w:t>
      </w:r>
      <w:r>
        <w:rPr>
          <w:spacing w:val="-2"/>
        </w:rPr>
        <w:t>are</w:t>
      </w:r>
      <w:r>
        <w:rPr>
          <w:spacing w:val="29"/>
        </w:rPr>
        <w:t xml:space="preserve"> </w:t>
      </w:r>
      <w:r>
        <w:t>the</w:t>
      </w:r>
      <w:r>
        <w:rPr>
          <w:spacing w:val="1"/>
        </w:rPr>
        <w:t xml:space="preserve"> </w:t>
      </w:r>
      <w:r>
        <w:t>methods</w:t>
      </w:r>
      <w:r>
        <w:rPr>
          <w:spacing w:val="2"/>
        </w:rPr>
        <w:t xml:space="preserve"> </w:t>
      </w:r>
      <w:r>
        <w:t>used</w:t>
      </w:r>
      <w:r>
        <w:rPr>
          <w:spacing w:val="2"/>
        </w:rPr>
        <w:t xml:space="preserve"> </w:t>
      </w:r>
      <w:r>
        <w:t>to</w:t>
      </w:r>
      <w:r>
        <w:rPr>
          <w:spacing w:val="2"/>
        </w:rPr>
        <w:t xml:space="preserve"> </w:t>
      </w:r>
      <w:r>
        <w:rPr>
          <w:spacing w:val="-1"/>
        </w:rPr>
        <w:t>calculate:</w:t>
      </w:r>
      <w:r>
        <w:rPr>
          <w:spacing w:val="2"/>
        </w:rPr>
        <w:t xml:space="preserve"> </w:t>
      </w:r>
      <w:r>
        <w:rPr>
          <w:position w:val="7"/>
          <w:sz w:val="11"/>
        </w:rPr>
        <w:t>254</w:t>
      </w:r>
    </w:p>
    <w:p w:rsidR="00D96B91" w:rsidRDefault="00C2656B">
      <w:pPr>
        <w:pStyle w:val="BodyText"/>
        <w:numPr>
          <w:ilvl w:val="0"/>
          <w:numId w:val="131"/>
        </w:numPr>
        <w:tabs>
          <w:tab w:val="left" w:pos="1531"/>
        </w:tabs>
        <w:spacing w:before="178"/>
        <w:ind w:hanging="283"/>
      </w:pPr>
      <w:r>
        <w:t>the cost of</w:t>
      </w:r>
      <w:r>
        <w:rPr>
          <w:spacing w:val="4"/>
        </w:rPr>
        <w:t xml:space="preserve"> </w:t>
      </w:r>
      <w:r>
        <w:t>debt; and</w:t>
      </w:r>
    </w:p>
    <w:p w:rsidR="00D96B91" w:rsidRDefault="00C2656B">
      <w:pPr>
        <w:pStyle w:val="BodyText"/>
        <w:numPr>
          <w:ilvl w:val="0"/>
          <w:numId w:val="131"/>
        </w:numPr>
        <w:tabs>
          <w:tab w:val="left" w:pos="1531"/>
        </w:tabs>
        <w:spacing w:before="72"/>
        <w:ind w:hanging="283"/>
      </w:pPr>
      <w:r>
        <w:t>the cost of</w:t>
      </w:r>
      <w:r>
        <w:rPr>
          <w:spacing w:val="4"/>
        </w:rPr>
        <w:t xml:space="preserve"> </w:t>
      </w:r>
      <w:r>
        <w:rPr>
          <w:spacing w:val="-2"/>
        </w:rPr>
        <w:t>equity.</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pPr>
      <w:r>
        <w:rPr>
          <w:spacing w:val="-4"/>
        </w:rPr>
        <w:t xml:space="preserve">Table </w:t>
      </w:r>
      <w:r>
        <w:t>A8.2 sets out the nominal post-tax</w:t>
      </w:r>
      <w:r>
        <w:rPr>
          <w:spacing w:val="-3"/>
        </w:rPr>
        <w:t xml:space="preserve"> WACC</w:t>
      </w:r>
      <w:r>
        <w:t xml:space="preserve"> </w:t>
      </w:r>
      <w:r>
        <w:rPr>
          <w:spacing w:val="-1"/>
        </w:rPr>
        <w:t>that</w:t>
      </w:r>
      <w:r>
        <w:rPr>
          <w:spacing w:val="-4"/>
        </w:rPr>
        <w:t xml:space="preserve"> </w:t>
      </w:r>
      <w:r>
        <w:rPr>
          <w:spacing w:val="-2"/>
        </w:rPr>
        <w:t>ACTEW</w:t>
      </w:r>
      <w:r>
        <w:rPr>
          <w:spacing w:val="-3"/>
        </w:rPr>
        <w:t xml:space="preserve"> </w:t>
      </w:r>
      <w:r>
        <w:t>has contended should be used in place of</w:t>
      </w:r>
      <w:r>
        <w:rPr>
          <w:spacing w:val="29"/>
        </w:rPr>
        <w:t xml:space="preserve"> </w:t>
      </w:r>
      <w:r>
        <w:t>the</w:t>
      </w:r>
      <w:r>
        <w:rPr>
          <w:spacing w:val="-1"/>
        </w:rPr>
        <w:t xml:space="preserve"> </w:t>
      </w:r>
      <w:r>
        <w:rPr>
          <w:spacing w:val="-2"/>
        </w:rPr>
        <w:t>ICRC’s</w:t>
      </w:r>
      <w:r>
        <w:t xml:space="preserve"> final decision,</w:t>
      </w:r>
      <w:r>
        <w:rPr>
          <w:spacing w:val="-6"/>
        </w:rPr>
        <w:t xml:space="preserve"> </w:t>
      </w:r>
      <w:r>
        <w:t>along</w:t>
      </w:r>
      <w:r>
        <w:rPr>
          <w:spacing w:val="-1"/>
        </w:rPr>
        <w:t xml:space="preserve"> </w:t>
      </w:r>
      <w:r>
        <w:t>with a summary of</w:t>
      </w:r>
      <w:r>
        <w:rPr>
          <w:spacing w:val="4"/>
        </w:rPr>
        <w:t xml:space="preserve"> </w:t>
      </w:r>
      <w:r>
        <w:t>how</w:t>
      </w:r>
      <w:r>
        <w:rPr>
          <w:spacing w:val="-5"/>
        </w:rPr>
        <w:t xml:space="preserve"> </w:t>
      </w:r>
      <w:r>
        <w:rPr>
          <w:spacing w:val="-2"/>
        </w:rPr>
        <w:t>ACTEW</w:t>
      </w:r>
      <w:r>
        <w:rPr>
          <w:spacing w:val="-3"/>
        </w:rPr>
        <w:t xml:space="preserve"> </w:t>
      </w:r>
      <w:r>
        <w:t xml:space="preserve">has </w:t>
      </w:r>
      <w:r>
        <w:rPr>
          <w:spacing w:val="-1"/>
        </w:rPr>
        <w:t>estimated</w:t>
      </w:r>
      <w:r>
        <w:t xml:space="preserve"> the value</w:t>
      </w:r>
      <w:r>
        <w:rPr>
          <w:spacing w:val="-1"/>
        </w:rPr>
        <w:t xml:space="preserve"> </w:t>
      </w:r>
      <w:r>
        <w:t>of</w:t>
      </w:r>
      <w:r>
        <w:rPr>
          <w:spacing w:val="4"/>
        </w:rPr>
        <w:t xml:space="preserve"> </w:t>
      </w:r>
      <w:r>
        <w:rPr>
          <w:spacing w:val="-1"/>
        </w:rPr>
        <w:t>each</w:t>
      </w:r>
      <w:r>
        <w:t xml:space="preserve"> of</w:t>
      </w:r>
      <w:r>
        <w:rPr>
          <w:spacing w:val="4"/>
        </w:rPr>
        <w:t xml:space="preserve"> </w:t>
      </w:r>
      <w:r>
        <w:t>the</w:t>
      </w:r>
      <w:r>
        <w:rPr>
          <w:spacing w:val="31"/>
        </w:rPr>
        <w:t xml:space="preserve"> </w:t>
      </w:r>
      <w:r>
        <w:t xml:space="preserve">underlying </w:t>
      </w:r>
      <w:r>
        <w:rPr>
          <w:spacing w:val="-1"/>
        </w:rPr>
        <w:t>parameters.</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7"/>
        <w:rPr>
          <w:rFonts w:ascii="Avenir Next" w:eastAsia="Avenir Next" w:hAnsi="Avenir Next" w:cs="Avenir Next"/>
          <w:sz w:val="23"/>
          <w:szCs w:val="2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491" style="width:72.5pt;height:.5pt;mso-position-horizontal-relative:char;mso-position-vertical-relative:line" coordsize="1450,10">
            <v:group id="_x0000_s1492" style="position:absolute;left:5;top:5;width:1440;height:2" coordorigin="5,5" coordsize="1440,2">
              <v:shape id="_x0000_s1493"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z w:val="16"/>
        </w:rPr>
        <w:t>sections 2.1.2 and 4.1.</w:t>
      </w:r>
    </w:p>
    <w:p w:rsidR="00D96B91" w:rsidRDefault="00D96B91">
      <w:pPr>
        <w:rPr>
          <w:rFonts w:ascii="Avenir Next" w:eastAsia="Avenir Next" w:hAnsi="Avenir Next" w:cs="Avenir Next"/>
          <w:sz w:val="16"/>
          <w:szCs w:val="16"/>
        </w:rPr>
        <w:sectPr w:rsidR="00D96B91">
          <w:type w:val="continuous"/>
          <w:pgSz w:w="11910" w:h="16840"/>
          <w:pgMar w:top="0" w:right="0" w:bottom="0" w:left="0" w:header="720" w:footer="720" w:gutter="0"/>
          <w:cols w:space="720"/>
        </w:sectPr>
      </w:pPr>
    </w:p>
    <w:p w:rsidR="00D96B91" w:rsidRDefault="00C2656B">
      <w:pPr>
        <w:spacing w:before="29"/>
        <w:ind w:left="1247"/>
        <w:rPr>
          <w:rFonts w:ascii="Avenir Next" w:eastAsia="Avenir Next" w:hAnsi="Avenir Next" w:cs="Avenir Next"/>
          <w:sz w:val="20"/>
          <w:szCs w:val="20"/>
        </w:rPr>
      </w:pPr>
      <w:r>
        <w:rPr>
          <w:rFonts w:ascii="Avenir Next" w:eastAsia="Avenir Next" w:hAnsi="Avenir Next" w:cs="Avenir Next"/>
          <w:b/>
          <w:bCs/>
          <w:spacing w:val="-4"/>
          <w:sz w:val="20"/>
          <w:szCs w:val="20"/>
        </w:rPr>
        <w:t xml:space="preserve">Table </w:t>
      </w:r>
      <w:r>
        <w:rPr>
          <w:rFonts w:ascii="Avenir Next" w:eastAsia="Avenir Next" w:hAnsi="Avenir Next" w:cs="Avenir Next"/>
          <w:b/>
          <w:bCs/>
          <w:sz w:val="20"/>
          <w:szCs w:val="20"/>
        </w:rPr>
        <w:t>A8.2:</w:t>
      </w:r>
      <w:r>
        <w:rPr>
          <w:rFonts w:ascii="Avenir Next" w:eastAsia="Avenir Next" w:hAnsi="Avenir Next" w:cs="Avenir Next"/>
          <w:b/>
          <w:bCs/>
          <w:spacing w:val="-4"/>
          <w:sz w:val="20"/>
          <w:szCs w:val="20"/>
        </w:rPr>
        <w:t xml:space="preserve"> </w:t>
      </w:r>
      <w:r>
        <w:rPr>
          <w:rFonts w:ascii="Avenir Next" w:eastAsia="Avenir Next" w:hAnsi="Avenir Next" w:cs="Avenir Next"/>
          <w:b/>
          <w:bCs/>
          <w:spacing w:val="-2"/>
          <w:sz w:val="20"/>
          <w:szCs w:val="20"/>
        </w:rPr>
        <w:t>ACTEW</w:t>
      </w:r>
      <w:r>
        <w:rPr>
          <w:rFonts w:ascii="Avenir Next" w:eastAsia="Avenir Next" w:hAnsi="Avenir Next" w:cs="Avenir Next"/>
          <w:b/>
          <w:bCs/>
          <w:spacing w:val="-3"/>
          <w:sz w:val="20"/>
          <w:szCs w:val="20"/>
        </w:rPr>
        <w:t xml:space="preserve"> </w:t>
      </w:r>
      <w:r>
        <w:rPr>
          <w:rFonts w:ascii="Avenir Next" w:eastAsia="Avenir Next" w:hAnsi="Avenir Next" w:cs="Avenir Next"/>
          <w:b/>
          <w:bCs/>
          <w:sz w:val="20"/>
          <w:szCs w:val="20"/>
        </w:rPr>
        <w:t>SOFC –</w:t>
      </w:r>
      <w:r>
        <w:rPr>
          <w:rFonts w:ascii="Avenir Next" w:eastAsia="Avenir Next" w:hAnsi="Avenir Next" w:cs="Avenir Next"/>
          <w:b/>
          <w:bCs/>
          <w:spacing w:val="-3"/>
          <w:sz w:val="20"/>
          <w:szCs w:val="20"/>
        </w:rPr>
        <w:t xml:space="preserve"> WACC</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667"/>
        <w:gridCol w:w="2268"/>
        <w:gridCol w:w="4466"/>
      </w:tblGrid>
      <w:tr w:rsidR="00D96B91">
        <w:trPr>
          <w:trHeight w:hRule="exact" w:val="627"/>
        </w:trPr>
        <w:tc>
          <w:tcPr>
            <w:tcW w:w="266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22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286" w:right="283" w:firstLine="301"/>
              <w:rPr>
                <w:rFonts w:ascii="Avenir Next Condensed" w:eastAsia="Avenir Next Condensed" w:hAnsi="Avenir Next Condensed" w:cs="Avenir Next Condensed"/>
                <w:sz w:val="18"/>
                <w:szCs w:val="18"/>
              </w:rPr>
            </w:pPr>
            <w:r>
              <w:rPr>
                <w:rFonts w:ascii="Avenir Next Condensed"/>
                <w:b/>
                <w:color w:val="FFFFFF"/>
                <w:spacing w:val="-1"/>
                <w:sz w:val="18"/>
              </w:rPr>
              <w:t>ACTEW</w:t>
            </w:r>
            <w:r>
              <w:rPr>
                <w:rFonts w:ascii="Avenir Next Condensed"/>
                <w:b/>
                <w:color w:val="FFFFFF"/>
                <w:spacing w:val="-3"/>
                <w:sz w:val="18"/>
              </w:rPr>
              <w:t xml:space="preserve"> </w:t>
            </w:r>
            <w:r>
              <w:rPr>
                <w:rFonts w:ascii="Avenir Next Condensed"/>
                <w:b/>
                <w:color w:val="FFFFFF"/>
                <w:spacing w:val="-1"/>
                <w:sz w:val="18"/>
              </w:rPr>
              <w:t>Proposal</w:t>
            </w:r>
            <w:r>
              <w:rPr>
                <w:rFonts w:ascii="Avenir Next Condensed"/>
                <w:b/>
                <w:color w:val="FFFFFF"/>
                <w:spacing w:val="23"/>
                <w:sz w:val="18"/>
              </w:rPr>
              <w:t xml:space="preserve"> </w:t>
            </w:r>
            <w:r>
              <w:rPr>
                <w:rFonts w:ascii="Avenir Next Condensed"/>
                <w:b/>
                <w:color w:val="FFFFFF"/>
                <w:sz w:val="18"/>
              </w:rPr>
              <w:t>(Data as at 31 May 2013)</w:t>
            </w:r>
          </w:p>
        </w:tc>
        <w:tc>
          <w:tcPr>
            <w:tcW w:w="446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r>
              <w:rPr>
                <w:rFonts w:ascii="Avenir Next Condensed"/>
                <w:b/>
                <w:color w:val="FFFFFF"/>
                <w:sz w:val="18"/>
              </w:rPr>
              <w:t xml:space="preserve"> to </w:t>
            </w:r>
            <w:r>
              <w:rPr>
                <w:rFonts w:ascii="Avenir Next Condensed"/>
                <w:b/>
                <w:color w:val="FFFFFF"/>
                <w:spacing w:val="-1"/>
                <w:sz w:val="18"/>
              </w:rPr>
              <w:t>parameter</w:t>
            </w:r>
            <w:r>
              <w:rPr>
                <w:rFonts w:ascii="Avenir Next Condensed"/>
                <w:b/>
                <w:color w:val="FFFFFF"/>
                <w:sz w:val="18"/>
              </w:rPr>
              <w:t xml:space="preserve"> estimation</w:t>
            </w:r>
          </w:p>
        </w:tc>
      </w:tr>
      <w:tr w:rsidR="00D96B91">
        <w:trPr>
          <w:trHeight w:hRule="exact" w:val="627"/>
        </w:trPr>
        <w:tc>
          <w:tcPr>
            <w:tcW w:w="266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Risk-free</w:t>
            </w:r>
            <w:r>
              <w:rPr>
                <w:rFonts w:ascii="Avenir Next Condensed"/>
                <w:sz w:val="18"/>
              </w:rPr>
              <w:t xml:space="preserve"> </w:t>
            </w:r>
            <w:r>
              <w:rPr>
                <w:rFonts w:ascii="Avenir Next Condensed"/>
                <w:spacing w:val="-1"/>
                <w:sz w:val="18"/>
              </w:rPr>
              <w:t>rate</w:t>
            </w:r>
          </w:p>
        </w:tc>
        <w:tc>
          <w:tcPr>
            <w:tcW w:w="22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7"/>
              <w:jc w:val="center"/>
              <w:rPr>
                <w:rFonts w:ascii="Avenir Next Condensed" w:eastAsia="Avenir Next Condensed" w:hAnsi="Avenir Next Condensed" w:cs="Avenir Next Condensed"/>
                <w:sz w:val="18"/>
                <w:szCs w:val="18"/>
              </w:rPr>
            </w:pPr>
            <w:r>
              <w:rPr>
                <w:rFonts w:ascii="Avenir Next Condensed"/>
                <w:sz w:val="18"/>
              </w:rPr>
              <w:t>5.24%</w:t>
            </w:r>
          </w:p>
        </w:tc>
        <w:tc>
          <w:tcPr>
            <w:tcW w:w="446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523"/>
              <w:rPr>
                <w:rFonts w:ascii="Avenir Next Condensed" w:eastAsia="Avenir Next Condensed" w:hAnsi="Avenir Next Condensed" w:cs="Avenir Next Condensed"/>
                <w:sz w:val="18"/>
                <w:szCs w:val="18"/>
              </w:rPr>
            </w:pPr>
            <w:r>
              <w:rPr>
                <w:rFonts w:ascii="Avenir Next Condensed"/>
                <w:spacing w:val="-1"/>
                <w:sz w:val="18"/>
              </w:rPr>
              <w:t>10-year</w:t>
            </w:r>
            <w:r>
              <w:rPr>
                <w:rFonts w:ascii="Avenir Next Condensed"/>
                <w:sz w:val="18"/>
              </w:rPr>
              <w:t xml:space="preserve"> </w:t>
            </w:r>
            <w:r>
              <w:rPr>
                <w:rFonts w:ascii="Avenir Next Condensed"/>
                <w:spacing w:val="-1"/>
                <w:sz w:val="18"/>
              </w:rPr>
              <w:t>average</w:t>
            </w:r>
            <w:r>
              <w:rPr>
                <w:rFonts w:ascii="Avenir Next Condensed"/>
                <w:sz w:val="18"/>
              </w:rPr>
              <w:t xml:space="preserve"> of</w:t>
            </w:r>
            <w:r>
              <w:rPr>
                <w:rFonts w:ascii="Avenir Next Condensed"/>
                <w:spacing w:val="4"/>
                <w:sz w:val="18"/>
              </w:rPr>
              <w:t xml:space="preserve"> </w:t>
            </w:r>
            <w:r>
              <w:rPr>
                <w:rFonts w:ascii="Avenir Next Condensed"/>
                <w:sz w:val="18"/>
              </w:rPr>
              <w:t xml:space="preserve">the nominal </w:t>
            </w:r>
            <w:r>
              <w:rPr>
                <w:rFonts w:ascii="Avenir Next Condensed"/>
                <w:spacing w:val="-1"/>
                <w:sz w:val="18"/>
              </w:rPr>
              <w:t>Commonwealth</w:t>
            </w:r>
            <w:r>
              <w:rPr>
                <w:rFonts w:ascii="Avenir Next Condensed"/>
                <w:sz w:val="18"/>
              </w:rPr>
              <w:t xml:space="preserve"> Government</w:t>
            </w:r>
            <w:r>
              <w:rPr>
                <w:rFonts w:ascii="Avenir Next Condensed"/>
                <w:spacing w:val="35"/>
                <w:sz w:val="18"/>
              </w:rPr>
              <w:t xml:space="preserve"> </w:t>
            </w:r>
            <w:r>
              <w:rPr>
                <w:rFonts w:ascii="Avenir Next Condensed"/>
                <w:sz w:val="18"/>
              </w:rPr>
              <w:t xml:space="preserve">Security yields interpolated to 10 </w:t>
            </w:r>
            <w:r>
              <w:rPr>
                <w:rFonts w:ascii="Avenir Next Condensed"/>
                <w:spacing w:val="-1"/>
                <w:sz w:val="18"/>
              </w:rPr>
              <w:t>years</w:t>
            </w:r>
          </w:p>
        </w:tc>
      </w:tr>
      <w:tr w:rsidR="00D96B91">
        <w:trPr>
          <w:trHeight w:hRule="exact" w:val="62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margin</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6"/>
              <w:jc w:val="center"/>
              <w:rPr>
                <w:rFonts w:ascii="Avenir Next Condensed" w:eastAsia="Avenir Next Condensed" w:hAnsi="Avenir Next Condensed" w:cs="Avenir Next Condensed"/>
                <w:sz w:val="18"/>
                <w:szCs w:val="18"/>
              </w:rPr>
            </w:pPr>
            <w:r>
              <w:rPr>
                <w:rFonts w:ascii="Avenir Next Condensed"/>
                <w:sz w:val="18"/>
              </w:rPr>
              <w:t>2.46%</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13"/>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10-year</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average</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yields on </w:t>
            </w:r>
            <w:r>
              <w:rPr>
                <w:rFonts w:ascii="Avenir Next Condensed" w:eastAsia="Avenir Next Condensed" w:hAnsi="Avenir Next Condensed" w:cs="Avenir Next Condensed"/>
                <w:spacing w:val="-1"/>
                <w:sz w:val="18"/>
                <w:szCs w:val="18"/>
              </w:rPr>
              <w:t>Bloomberg’s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7-year</w:t>
            </w:r>
            <w:r>
              <w:rPr>
                <w:rFonts w:ascii="Avenir Next Condensed" w:eastAsia="Avenir Next Condensed" w:hAnsi="Avenir Next Condensed" w:cs="Avenir Next Condensed"/>
                <w:sz w:val="18"/>
                <w:szCs w:val="18"/>
              </w:rPr>
              <w:t xml:space="preserve"> BBB </w:t>
            </w:r>
            <w:r>
              <w:rPr>
                <w:rFonts w:ascii="Avenir Next Condensed" w:eastAsia="Avenir Next Condensed" w:hAnsi="Avenir Next Condensed" w:cs="Avenir Next Condensed"/>
                <w:spacing w:val="-1"/>
                <w:sz w:val="18"/>
                <w:szCs w:val="18"/>
              </w:rPr>
              <w:t>index</w:t>
            </w:r>
            <w:r>
              <w:rPr>
                <w:rFonts w:ascii="Avenir Next Condensed" w:eastAsia="Avenir Next Condensed" w:hAnsi="Avenir Next Condensed" w:cs="Avenir Next Condensed"/>
                <w:spacing w:val="39"/>
                <w:sz w:val="18"/>
                <w:szCs w:val="18"/>
              </w:rPr>
              <w:t xml:space="preserve"> </w:t>
            </w:r>
            <w:r>
              <w:rPr>
                <w:rFonts w:ascii="Avenir Next Condensed" w:eastAsia="Avenir Next Condensed" w:hAnsi="Avenir Next Condensed" w:cs="Avenir Next Condensed"/>
                <w:spacing w:val="-1"/>
                <w:sz w:val="18"/>
                <w:szCs w:val="18"/>
              </w:rPr>
              <w:t>extrapolated</w:t>
            </w:r>
            <w:r>
              <w:rPr>
                <w:rFonts w:ascii="Avenir Next Condensed" w:eastAsia="Avenir Next Condensed" w:hAnsi="Avenir Next Condensed" w:cs="Avenir Next Condensed"/>
                <w:sz w:val="18"/>
                <w:szCs w:val="18"/>
              </w:rPr>
              <w:t xml:space="preserve"> to 10 </w:t>
            </w:r>
            <w:r>
              <w:rPr>
                <w:rFonts w:ascii="Avenir Next Condensed" w:eastAsia="Avenir Next Condensed" w:hAnsi="Avenir Next Condensed" w:cs="Avenir Next Condensed"/>
                <w:spacing w:val="-1"/>
                <w:sz w:val="18"/>
                <w:szCs w:val="18"/>
              </w:rPr>
              <w:t>years</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Debt </w:t>
            </w:r>
            <w:r>
              <w:rPr>
                <w:rFonts w:ascii="Avenir Next Condensed"/>
                <w:spacing w:val="-1"/>
                <w:sz w:val="18"/>
              </w:rPr>
              <w:t>raising</w:t>
            </w:r>
            <w:r>
              <w:rPr>
                <w:rFonts w:ascii="Avenir Next Condensed"/>
                <w:sz w:val="18"/>
              </w:rPr>
              <w:t xml:space="preserve"> cost</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6"/>
              <w:jc w:val="center"/>
              <w:rPr>
                <w:rFonts w:ascii="Avenir Next Condensed" w:eastAsia="Avenir Next Condensed" w:hAnsi="Avenir Next Condensed" w:cs="Avenir Next Condensed"/>
                <w:sz w:val="18"/>
                <w:szCs w:val="18"/>
              </w:rPr>
            </w:pPr>
            <w:r>
              <w:rPr>
                <w:rFonts w:ascii="Avenir Next Condensed"/>
                <w:sz w:val="18"/>
              </w:rPr>
              <w:t>0.125%</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Consistent</w:t>
            </w:r>
            <w:r>
              <w:rPr>
                <w:rFonts w:ascii="Avenir Next Condensed" w:eastAsia="Avenir Next Condensed" w:hAnsi="Avenir Next Condensed" w:cs="Avenir Next Condensed"/>
                <w:sz w:val="18"/>
                <w:szCs w:val="18"/>
              </w:rPr>
              <w:t xml:space="preserve"> with the </w:t>
            </w:r>
            <w:r>
              <w:rPr>
                <w:rFonts w:ascii="Avenir Next Condensed" w:eastAsia="Avenir Next Condensed" w:hAnsi="Avenir Next Condensed" w:cs="Avenir Next Condensed"/>
                <w:spacing w:val="-2"/>
                <w:sz w:val="18"/>
                <w:szCs w:val="18"/>
              </w:rPr>
              <w:t>ICRC’s</w:t>
            </w:r>
            <w:r>
              <w:rPr>
                <w:rFonts w:ascii="Avenir Next Condensed" w:eastAsia="Avenir Next Condensed" w:hAnsi="Avenir Next Condensed" w:cs="Avenir Next Condensed"/>
                <w:sz w:val="18"/>
                <w:szCs w:val="18"/>
              </w:rPr>
              <w:t xml:space="preserve"> 2008 final decision.</w:t>
            </w:r>
          </w:p>
        </w:tc>
      </w:tr>
      <w:tr w:rsidR="00D96B91">
        <w:trPr>
          <w:trHeight w:hRule="exact" w:val="62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Equity beta</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59"/>
              <w:jc w:val="center"/>
              <w:rPr>
                <w:rFonts w:ascii="Avenir Next Condensed" w:eastAsia="Avenir Next Condensed" w:hAnsi="Avenir Next Condensed" w:cs="Avenir Next Condensed"/>
                <w:sz w:val="18"/>
                <w:szCs w:val="18"/>
              </w:rPr>
            </w:pPr>
            <w:r>
              <w:rPr>
                <w:rFonts w:ascii="Avenir Next Condensed"/>
                <w:sz w:val="18"/>
              </w:rPr>
              <w:t>0.90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112"/>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Outlined in </w:t>
            </w:r>
            <w:r>
              <w:rPr>
                <w:rFonts w:ascii="Avenir Next Condensed" w:eastAsia="Avenir Next Condensed" w:hAnsi="Avenir Next Condensed" w:cs="Avenir Next Condensed"/>
                <w:spacing w:val="-2"/>
                <w:sz w:val="18"/>
                <w:szCs w:val="18"/>
              </w:rPr>
              <w:t>SFG’s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expert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report</w:t>
            </w:r>
            <w:r>
              <w:rPr>
                <w:rFonts w:ascii="Avenir Next Condensed" w:eastAsia="Avenir Next Condensed" w:hAnsi="Avenir Next Condensed" w:cs="Avenir Next Condensed"/>
                <w:sz w:val="18"/>
                <w:szCs w:val="18"/>
              </w:rPr>
              <w:t xml:space="preserve"> in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Attachment</w:t>
            </w:r>
            <w:r>
              <w:rPr>
                <w:rFonts w:ascii="Avenir Next Condensed" w:eastAsia="Avenir Next Condensed" w:hAnsi="Avenir Next Condensed" w:cs="Avenir Next Condensed"/>
                <w:sz w:val="18"/>
                <w:szCs w:val="18"/>
              </w:rPr>
              <w:t xml:space="preserve"> 15 to the </w:t>
            </w:r>
            <w:r>
              <w:rPr>
                <w:rFonts w:ascii="Avenir Next Condensed" w:eastAsia="Avenir Next Condensed" w:hAnsi="Avenir Next Condensed" w:cs="Avenir Next Condensed"/>
                <w:spacing w:val="-1"/>
                <w:sz w:val="18"/>
                <w:szCs w:val="18"/>
              </w:rPr>
              <w:t>Response</w:t>
            </w:r>
            <w:r>
              <w:rPr>
                <w:rFonts w:ascii="Avenir Next Condensed" w:eastAsia="Avenir Next Condensed" w:hAnsi="Avenir Next Condensed" w:cs="Avenir Next Condensed"/>
                <w:sz w:val="18"/>
                <w:szCs w:val="18"/>
              </w:rPr>
              <w:t xml:space="preserve"> to</w:t>
            </w:r>
            <w:r>
              <w:rPr>
                <w:rFonts w:ascii="Avenir Next Condensed" w:eastAsia="Avenir Next Condensed" w:hAnsi="Avenir Next Condensed" w:cs="Avenir Next Condensed"/>
                <w:spacing w:val="49"/>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Draft</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Report</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Market</w:t>
            </w:r>
            <w:r>
              <w:rPr>
                <w:rFonts w:ascii="Avenir Next Condensed"/>
                <w:sz w:val="18"/>
              </w:rPr>
              <w:t xml:space="preserve"> risk </w:t>
            </w:r>
            <w:r>
              <w:rPr>
                <w:rFonts w:ascii="Avenir Next Condensed"/>
                <w:spacing w:val="-1"/>
                <w:sz w:val="18"/>
              </w:rPr>
              <w:t>premium</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
              <w:jc w:val="center"/>
              <w:rPr>
                <w:rFonts w:ascii="Avenir Next Condensed" w:eastAsia="Avenir Next Condensed" w:hAnsi="Avenir Next Condensed" w:cs="Avenir Next Condensed"/>
                <w:sz w:val="18"/>
                <w:szCs w:val="18"/>
              </w:rPr>
            </w:pPr>
            <w:r>
              <w:rPr>
                <w:rFonts w:ascii="Avenir Next Condensed"/>
                <w:sz w:val="18"/>
              </w:rPr>
              <w:t>6.00%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Historical </w:t>
            </w:r>
            <w:r>
              <w:rPr>
                <w:rFonts w:ascii="Avenir Next Condensed"/>
                <w:spacing w:val="-1"/>
                <w:sz w:val="18"/>
              </w:rPr>
              <w:t>market</w:t>
            </w:r>
            <w:r>
              <w:rPr>
                <w:rFonts w:ascii="Avenir Next Condensed"/>
                <w:sz w:val="18"/>
              </w:rPr>
              <w:t xml:space="preserve"> risk </w:t>
            </w:r>
            <w:r>
              <w:rPr>
                <w:rFonts w:ascii="Avenir Next Condensed"/>
                <w:spacing w:val="-1"/>
                <w:sz w:val="18"/>
              </w:rPr>
              <w:t>premium</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Gearing</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9"/>
              <w:jc w:val="center"/>
              <w:rPr>
                <w:rFonts w:ascii="Avenir Next Condensed" w:eastAsia="Avenir Next Condensed" w:hAnsi="Avenir Next Condensed" w:cs="Avenir Next Condensed"/>
                <w:sz w:val="18"/>
                <w:szCs w:val="18"/>
              </w:rPr>
            </w:pPr>
            <w:r>
              <w:rPr>
                <w:rFonts w:ascii="Avenir Next Condensed"/>
                <w:sz w:val="18"/>
              </w:rPr>
              <w:t>60%</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 xml:space="preserve">Benchmark firm </w:t>
            </w:r>
            <w:r>
              <w:rPr>
                <w:rFonts w:ascii="Avenir Next Condensed"/>
                <w:spacing w:val="-1"/>
                <w:sz w:val="18"/>
              </w:rPr>
              <w:t>gearing</w:t>
            </w:r>
            <w:r>
              <w:rPr>
                <w:rFonts w:ascii="Avenir Next Condensed"/>
                <w:sz w:val="18"/>
              </w:rPr>
              <w:t xml:space="preserve"> </w:t>
            </w:r>
            <w:r>
              <w:rPr>
                <w:rFonts w:ascii="Avenir Next Condensed"/>
                <w:spacing w:val="-1"/>
                <w:sz w:val="18"/>
              </w:rPr>
              <w:t>ratio</w:t>
            </w:r>
          </w:p>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debt</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5"/>
              <w:jc w:val="center"/>
              <w:rPr>
                <w:rFonts w:ascii="Avenir Next Condensed" w:eastAsia="Avenir Next Condensed" w:hAnsi="Avenir Next Condensed" w:cs="Avenir Next Condensed"/>
                <w:sz w:val="18"/>
                <w:szCs w:val="18"/>
              </w:rPr>
            </w:pPr>
            <w:r>
              <w:rPr>
                <w:rFonts w:ascii="Avenir Next Condensed"/>
                <w:sz w:val="18"/>
              </w:rPr>
              <w:t>7.83%</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Cost</w:t>
            </w:r>
            <w:r>
              <w:rPr>
                <w:rFonts w:ascii="Avenir Next Condensed"/>
                <w:sz w:val="18"/>
              </w:rPr>
              <w:t xml:space="preserve"> of</w:t>
            </w:r>
            <w:r>
              <w:rPr>
                <w:rFonts w:ascii="Avenir Next Condensed"/>
                <w:spacing w:val="4"/>
                <w:sz w:val="18"/>
              </w:rPr>
              <w:t xml:space="preserve"> </w:t>
            </w:r>
            <w:r>
              <w:rPr>
                <w:rFonts w:ascii="Avenir Next Condensed"/>
                <w:sz w:val="18"/>
              </w:rPr>
              <w:t>equity</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37"/>
              <w:jc w:val="center"/>
              <w:rPr>
                <w:rFonts w:ascii="Avenir Next Condensed" w:eastAsia="Avenir Next Condensed" w:hAnsi="Avenir Next Condensed" w:cs="Avenir Next Condensed"/>
                <w:sz w:val="18"/>
                <w:szCs w:val="18"/>
              </w:rPr>
            </w:pPr>
            <w:r>
              <w:rPr>
                <w:rFonts w:ascii="Avenir Next Condensed"/>
                <w:sz w:val="18"/>
              </w:rPr>
              <w:t>10.64%</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r w:rsidR="00D96B91">
        <w:trPr>
          <w:trHeight w:hRule="exact" w:val="407"/>
        </w:trPr>
        <w:tc>
          <w:tcPr>
            <w:tcW w:w="26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b/>
                <w:sz w:val="18"/>
              </w:rPr>
              <w:t>Nominal post-tax</w:t>
            </w:r>
            <w:r>
              <w:rPr>
                <w:rFonts w:ascii="Avenir Next Condensed"/>
                <w:b/>
                <w:spacing w:val="-3"/>
                <w:sz w:val="18"/>
              </w:rPr>
              <w:t xml:space="preserve"> WACC</w:t>
            </w:r>
          </w:p>
        </w:tc>
        <w:tc>
          <w:tcPr>
            <w:tcW w:w="22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7"/>
              <w:jc w:val="center"/>
              <w:rPr>
                <w:rFonts w:ascii="Avenir Next Condensed" w:eastAsia="Avenir Next Condensed" w:hAnsi="Avenir Next Condensed" w:cs="Avenir Next Condensed"/>
                <w:sz w:val="18"/>
                <w:szCs w:val="18"/>
              </w:rPr>
            </w:pPr>
            <w:r>
              <w:rPr>
                <w:rFonts w:ascii="Avenir Next Condensed"/>
                <w:b/>
                <w:sz w:val="18"/>
              </w:rPr>
              <w:t>8.95%</w:t>
            </w:r>
          </w:p>
        </w:tc>
        <w:tc>
          <w:tcPr>
            <w:tcW w:w="446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D96B91"/>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w:t>
      </w:r>
      <w:r>
        <w:rPr>
          <w:rFonts w:ascii="Avenir Next"/>
          <w:b/>
          <w:sz w:val="16"/>
        </w:rPr>
        <w:t xml:space="preserve"> </w:t>
      </w: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z w:val="16"/>
        </w:rPr>
        <w:t>p 27.</w:t>
      </w:r>
    </w:p>
    <w:p w:rsidR="00D96B91" w:rsidRDefault="00C2656B">
      <w:pPr>
        <w:spacing w:before="58"/>
        <w:ind w:left="1247" w:right="1283"/>
        <w:rPr>
          <w:rFonts w:ascii="Avenir Next" w:eastAsia="Avenir Next" w:hAnsi="Avenir Next" w:cs="Avenir Next"/>
          <w:sz w:val="16"/>
          <w:szCs w:val="16"/>
        </w:rPr>
      </w:pPr>
      <w:r>
        <w:rPr>
          <w:rFonts w:ascii="Avenir Next" w:eastAsia="Avenir Next" w:hAnsi="Avenir Next" w:cs="Avenir Next"/>
          <w:b/>
          <w:bCs/>
          <w:sz w:val="16"/>
          <w:szCs w:val="16"/>
        </w:rPr>
        <w:t>Note</w:t>
      </w:r>
      <w:r>
        <w:rPr>
          <w:rFonts w:ascii="Avenir Next" w:eastAsia="Avenir Next" w:hAnsi="Avenir Next" w:cs="Avenir Next"/>
          <w:sz w:val="16"/>
          <w:szCs w:val="16"/>
        </w:rPr>
        <w: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pacing w:val="-2"/>
          <w:sz w:val="16"/>
          <w:szCs w:val="16"/>
        </w:rPr>
        <w:t xml:space="preserve"> WACC</w:t>
      </w:r>
      <w:r>
        <w:rPr>
          <w:rFonts w:ascii="Avenir Next" w:eastAsia="Avenir Next" w:hAnsi="Avenir Next" w:cs="Avenir Next"/>
          <w:sz w:val="16"/>
          <w:szCs w:val="16"/>
        </w:rPr>
        <w:t xml:space="preserve"> set out in</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ACTEW’s</w:t>
      </w:r>
      <w:r>
        <w:rPr>
          <w:rFonts w:ascii="Avenir Next" w:eastAsia="Avenir Next" w:hAnsi="Avenir Next" w:cs="Avenir Next"/>
          <w:sz w:val="16"/>
          <w:szCs w:val="16"/>
        </w:rPr>
        <w:t xml:space="preserve"> SOFC is 0.04% lower than the</w:t>
      </w:r>
      <w:r>
        <w:rPr>
          <w:rFonts w:ascii="Avenir Next" w:eastAsia="Avenir Next" w:hAnsi="Avenir Next" w:cs="Avenir Next"/>
          <w:spacing w:val="-2"/>
          <w:sz w:val="16"/>
          <w:szCs w:val="16"/>
        </w:rPr>
        <w:t xml:space="preserve"> WACC</w:t>
      </w:r>
      <w:r>
        <w:rPr>
          <w:rFonts w:ascii="Avenir Next" w:eastAsia="Avenir Next" w:hAnsi="Avenir Next" w:cs="Avenir Next"/>
          <w:sz w:val="16"/>
          <w:szCs w:val="16"/>
        </w:rPr>
        <w:t xml:space="preserve"> it </w:t>
      </w:r>
      <w:r>
        <w:rPr>
          <w:rFonts w:ascii="Avenir Next" w:eastAsia="Avenir Next" w:hAnsi="Avenir Next" w:cs="Avenir Next"/>
          <w:spacing w:val="-1"/>
          <w:sz w:val="16"/>
          <w:szCs w:val="16"/>
        </w:rPr>
        <w:t>proposed</w:t>
      </w:r>
      <w:r>
        <w:rPr>
          <w:rFonts w:ascii="Avenir Next" w:eastAsia="Avenir Next" w:hAnsi="Avenir Next" w:cs="Avenir Next"/>
          <w:spacing w:val="-2"/>
          <w:sz w:val="16"/>
          <w:szCs w:val="16"/>
        </w:rPr>
        <w:t xml:space="preserve"> WACC</w:t>
      </w:r>
      <w:r>
        <w:rPr>
          <w:rFonts w:ascii="Avenir Next" w:eastAsia="Avenir Next" w:hAnsi="Avenir Next" w:cs="Avenir Next"/>
          <w:sz w:val="16"/>
          <w:szCs w:val="16"/>
        </w:rPr>
        <w:t xml:space="preserve"> in its</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April 2013 submission,</w:t>
      </w:r>
      <w:r>
        <w:rPr>
          <w:rFonts w:ascii="Avenir Next" w:eastAsia="Avenir Next" w:hAnsi="Avenir Next" w:cs="Avenir Next"/>
          <w:spacing w:val="25"/>
          <w:sz w:val="16"/>
          <w:szCs w:val="16"/>
        </w:rPr>
        <w:t xml:space="preserve"> </w:t>
      </w:r>
      <w:r>
        <w:rPr>
          <w:rFonts w:ascii="Avenir Next" w:eastAsia="Avenir Next" w:hAnsi="Avenir Next" w:cs="Avenir Next"/>
          <w:sz w:val="16"/>
          <w:szCs w:val="16"/>
        </w:rPr>
        <w:t>because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it has </w:t>
      </w:r>
      <w:r>
        <w:rPr>
          <w:rFonts w:ascii="Avenir Next" w:eastAsia="Avenir Next" w:hAnsi="Avenir Next" w:cs="Avenir Next"/>
          <w:spacing w:val="-1"/>
          <w:sz w:val="16"/>
          <w:szCs w:val="16"/>
        </w:rPr>
        <w:t>updated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market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data </w:t>
      </w:r>
      <w:r>
        <w:rPr>
          <w:rFonts w:ascii="Avenir Next" w:eastAsia="Avenir Next" w:hAnsi="Avenir Next" w:cs="Avenir Next"/>
          <w:sz w:val="16"/>
          <w:szCs w:val="16"/>
        </w:rPr>
        <w:t xml:space="preserve">to 31 May 2013 to </w:t>
      </w:r>
      <w:r>
        <w:rPr>
          <w:rFonts w:ascii="Avenir Next" w:eastAsia="Avenir Next" w:hAnsi="Avenir Next" w:cs="Avenir Next"/>
          <w:spacing w:val="-1"/>
          <w:sz w:val="16"/>
          <w:szCs w:val="16"/>
        </w:rPr>
        <w:t xml:space="preserve">reflect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information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would have been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available to the ICRC </w:t>
      </w:r>
      <w:r>
        <w:rPr>
          <w:rFonts w:ascii="Avenir Next" w:eastAsia="Avenir Next" w:hAnsi="Avenir Next" w:cs="Avenir Next"/>
          <w:spacing w:val="-1"/>
          <w:sz w:val="16"/>
          <w:szCs w:val="16"/>
        </w:rPr>
        <w:t>at</w:t>
      </w:r>
      <w:r>
        <w:rPr>
          <w:rFonts w:ascii="Avenir Next" w:eastAsia="Avenir Next" w:hAnsi="Avenir Next" w:cs="Avenir Next"/>
          <w:sz w:val="16"/>
          <w:szCs w:val="16"/>
        </w:rPr>
        <w:t xml:space="preserve"> the</w:t>
      </w:r>
      <w:r>
        <w:rPr>
          <w:rFonts w:ascii="Avenir Next" w:eastAsia="Avenir Next" w:hAnsi="Avenir Next" w:cs="Avenir Next"/>
          <w:spacing w:val="51"/>
          <w:sz w:val="16"/>
          <w:szCs w:val="16"/>
        </w:rPr>
        <w:t xml:space="preserve"> </w:t>
      </w:r>
      <w:r>
        <w:rPr>
          <w:rFonts w:ascii="Avenir Next" w:eastAsia="Avenir Next" w:hAnsi="Avenir Next" w:cs="Avenir Next"/>
          <w:sz w:val="16"/>
          <w:szCs w:val="16"/>
        </w:rPr>
        <w:t>time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the Original </w:t>
      </w:r>
      <w:r>
        <w:rPr>
          <w:rFonts w:ascii="Avenir Next" w:eastAsia="Avenir Next" w:hAnsi="Avenir Next" w:cs="Avenir Next"/>
          <w:spacing w:val="-1"/>
          <w:sz w:val="16"/>
          <w:szCs w:val="16"/>
        </w:rPr>
        <w:t>Direction.</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83"/>
      </w:pPr>
      <w:r>
        <w:rPr>
          <w:rFonts w:cs="Avenir Next"/>
          <w:spacing w:val="-2"/>
        </w:rPr>
        <w:t>The</w:t>
      </w:r>
      <w:r>
        <w:rPr>
          <w:rFonts w:cs="Avenir Next"/>
        </w:rPr>
        <w:t xml:space="preserve"> sections below set out the </w:t>
      </w:r>
      <w:r>
        <w:rPr>
          <w:rFonts w:cs="Avenir Next"/>
          <w:spacing w:val="-4"/>
        </w:rPr>
        <w:t>Panel’s</w:t>
      </w:r>
      <w:r>
        <w:rPr>
          <w:rFonts w:cs="Avenir Next"/>
        </w:rPr>
        <w:t xml:space="preserve"> </w:t>
      </w:r>
      <w:r>
        <w:rPr>
          <w:rFonts w:cs="Avenir Next"/>
          <w:spacing w:val="-2"/>
        </w:rPr>
        <w:t>draft</w:t>
      </w:r>
      <w:r>
        <w:rPr>
          <w:rFonts w:cs="Avenir Next"/>
        </w:rPr>
        <w:t xml:space="preserve"> decision on how the cost of</w:t>
      </w:r>
      <w:r>
        <w:rPr>
          <w:rFonts w:cs="Avenir Next"/>
          <w:spacing w:val="4"/>
        </w:rPr>
        <w:t xml:space="preserve"> </w:t>
      </w:r>
      <w:r>
        <w:rPr>
          <w:rFonts w:cs="Avenir Next"/>
        </w:rPr>
        <w:t>debt,</w:t>
      </w:r>
      <w:r>
        <w:rPr>
          <w:rFonts w:cs="Avenir Next"/>
          <w:spacing w:val="-6"/>
        </w:rPr>
        <w:t xml:space="preserve"> </w:t>
      </w:r>
      <w:r>
        <w:rPr>
          <w:rFonts w:cs="Avenir Next"/>
        </w:rPr>
        <w:t>the cost of</w:t>
      </w:r>
      <w:r>
        <w:rPr>
          <w:rFonts w:cs="Avenir Next"/>
          <w:spacing w:val="4"/>
        </w:rPr>
        <w:t xml:space="preserve"> </w:t>
      </w:r>
      <w:r>
        <w:rPr>
          <w:rFonts w:cs="Avenir Next"/>
          <w:spacing w:val="-2"/>
        </w:rPr>
        <w:t>equity,</w:t>
      </w:r>
      <w:r>
        <w:rPr>
          <w:rFonts w:cs="Avenir Next"/>
          <w:spacing w:val="-6"/>
        </w:rPr>
        <w:t xml:space="preserve"> </w:t>
      </w:r>
      <w:r>
        <w:rPr>
          <w:rFonts w:cs="Avenir Next"/>
        </w:rPr>
        <w:t>the</w:t>
      </w:r>
      <w:r>
        <w:rPr>
          <w:rFonts w:cs="Avenir Next"/>
          <w:spacing w:val="35"/>
        </w:rPr>
        <w:t xml:space="preserve"> </w:t>
      </w:r>
      <w:r>
        <w:rPr>
          <w:spacing w:val="-1"/>
        </w:rPr>
        <w:t>gearing</w:t>
      </w:r>
      <w:r>
        <w:t xml:space="preserve"> </w:t>
      </w:r>
      <w:r>
        <w:rPr>
          <w:spacing w:val="-1"/>
        </w:rPr>
        <w:t>ratio</w:t>
      </w:r>
      <w:r>
        <w:t xml:space="preserve"> and the </w:t>
      </w:r>
      <w:r>
        <w:rPr>
          <w:spacing w:val="-1"/>
        </w:rPr>
        <w:t>overall</w:t>
      </w:r>
      <w:r>
        <w:rPr>
          <w:spacing w:val="-3"/>
        </w:rPr>
        <w:t xml:space="preserve"> WACC</w:t>
      </w:r>
      <w:r>
        <w:t xml:space="preserve"> should be </w:t>
      </w:r>
      <w:r>
        <w:rPr>
          <w:spacing w:val="-1"/>
        </w:rPr>
        <w:t>calculated.</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pPr>
      <w:r>
        <w:rPr>
          <w:color w:val="0778BE"/>
        </w:rPr>
        <w:t>A8.</w:t>
      </w:r>
      <w:r>
        <w:rPr>
          <w:color w:val="0778BE"/>
          <w:spacing w:val="-9"/>
        </w:rPr>
        <w:t xml:space="preserve"> </w:t>
      </w:r>
      <w:r>
        <w:rPr>
          <w:color w:val="0778BE"/>
        </w:rPr>
        <w:t>1</w:t>
      </w:r>
      <w:r>
        <w:rPr>
          <w:color w:val="0778BE"/>
        </w:rPr>
        <w:tab/>
      </w:r>
      <w:r>
        <w:rPr>
          <w:color w:val="0778BE"/>
          <w:spacing w:val="-1"/>
        </w:rPr>
        <w:t>Cost</w:t>
      </w:r>
      <w:r>
        <w:rPr>
          <w:color w:val="0778BE"/>
        </w:rPr>
        <w:t xml:space="preserve"> of</w:t>
      </w:r>
      <w:r>
        <w:rPr>
          <w:color w:val="0778BE"/>
          <w:spacing w:val="7"/>
        </w:rPr>
        <w:t xml:space="preserve"> </w:t>
      </w:r>
      <w:r>
        <w:rPr>
          <w:color w:val="0778BE"/>
        </w:rPr>
        <w:t>debt</w:t>
      </w:r>
    </w:p>
    <w:p w:rsidR="00D96B91" w:rsidRDefault="00C2656B">
      <w:pPr>
        <w:pStyle w:val="BodyText"/>
        <w:spacing w:before="55" w:line="260" w:lineRule="exact"/>
        <w:ind w:right="1256"/>
      </w:pPr>
      <w:r>
        <w:rPr>
          <w:spacing w:val="-2"/>
        </w:rPr>
        <w:t>The</w:t>
      </w:r>
      <w:r>
        <w:rPr>
          <w:spacing w:val="-1"/>
        </w:rPr>
        <w:t xml:space="preserve"> </w:t>
      </w:r>
      <w:r>
        <w:t>cost of</w:t>
      </w:r>
      <w:r>
        <w:rPr>
          <w:spacing w:val="4"/>
        </w:rPr>
        <w:t xml:space="preserve"> </w:t>
      </w:r>
      <w:r>
        <w:t xml:space="preserve">debt is the </w:t>
      </w:r>
      <w:r>
        <w:rPr>
          <w:spacing w:val="-2"/>
        </w:rPr>
        <w:t>rate</w:t>
      </w:r>
      <w:r>
        <w:rPr>
          <w:spacing w:val="-1"/>
        </w:rPr>
        <w:t xml:space="preserve"> that</w:t>
      </w:r>
      <w:r>
        <w:t xml:space="preserve"> a firm is </w:t>
      </w:r>
      <w:r>
        <w:rPr>
          <w:spacing w:val="-1"/>
        </w:rPr>
        <w:t>expected</w:t>
      </w:r>
      <w:r>
        <w:t xml:space="preserve"> to</w:t>
      </w:r>
      <w:r>
        <w:rPr>
          <w:spacing w:val="-1"/>
        </w:rPr>
        <w:t xml:space="preserve"> </w:t>
      </w:r>
      <w:r>
        <w:t>pay to debt holders to fund</w:t>
      </w:r>
      <w:r>
        <w:rPr>
          <w:spacing w:val="-1"/>
        </w:rPr>
        <w:t xml:space="preserve"> </w:t>
      </w:r>
      <w:r>
        <w:t xml:space="preserve">its assets </w:t>
      </w:r>
      <w:r>
        <w:rPr>
          <w:spacing w:val="-1"/>
        </w:rPr>
        <w:t>through</w:t>
      </w:r>
      <w:r>
        <w:t xml:space="preserve"> debt</w:t>
      </w:r>
      <w:r>
        <w:rPr>
          <w:spacing w:val="33"/>
        </w:rPr>
        <w:t xml:space="preserve"> </w:t>
      </w:r>
      <w:r>
        <w:t>financing,</w:t>
      </w:r>
      <w:r>
        <w:rPr>
          <w:spacing w:val="-8"/>
        </w:rPr>
        <w:t xml:space="preserve"> </w:t>
      </w:r>
      <w:r>
        <w:t>and</w:t>
      </w:r>
      <w:r>
        <w:rPr>
          <w:spacing w:val="-1"/>
        </w:rPr>
        <w:t xml:space="preserve"> </w:t>
      </w:r>
      <w:r>
        <w:t>is</w:t>
      </w:r>
      <w:r>
        <w:rPr>
          <w:spacing w:val="-2"/>
        </w:rPr>
        <w:t xml:space="preserve"> </w:t>
      </w:r>
      <w:r>
        <w:rPr>
          <w:spacing w:val="-1"/>
        </w:rPr>
        <w:t>generally calculated</w:t>
      </w:r>
      <w:r>
        <w:rPr>
          <w:spacing w:val="-2"/>
        </w:rPr>
        <w:t xml:space="preserve"> </w:t>
      </w:r>
      <w:r>
        <w:t>as</w:t>
      </w:r>
      <w:r>
        <w:rPr>
          <w:spacing w:val="-1"/>
        </w:rPr>
        <w:t xml:space="preserve"> </w:t>
      </w:r>
      <w:r>
        <w:t>follows:</w:t>
      </w:r>
    </w:p>
    <w:p w:rsidR="00D96B91" w:rsidRDefault="00D96B91">
      <w:pPr>
        <w:spacing w:before="4"/>
        <w:rPr>
          <w:rFonts w:ascii="Avenir Next" w:eastAsia="Avenir Next" w:hAnsi="Avenir Next" w:cs="Avenir Next"/>
          <w:sz w:val="17"/>
          <w:szCs w:val="17"/>
        </w:rPr>
      </w:pPr>
    </w:p>
    <w:p w:rsidR="00D96B91" w:rsidRDefault="00C2656B">
      <w:pPr>
        <w:ind w:left="1480" w:right="1476"/>
        <w:jc w:val="center"/>
        <w:rPr>
          <w:rFonts w:ascii="Cambria" w:eastAsia="Cambria" w:hAnsi="Cambria" w:cs="Cambria"/>
          <w:sz w:val="24"/>
          <w:szCs w:val="24"/>
        </w:rPr>
      </w:pPr>
      <w:r>
        <w:rPr>
          <w:rFonts w:ascii="Cambria"/>
          <w:spacing w:val="-1"/>
          <w:sz w:val="24"/>
        </w:rPr>
        <w:t>R</w:t>
      </w:r>
      <w:r>
        <w:rPr>
          <w:rFonts w:ascii="Cambria"/>
          <w:spacing w:val="-1"/>
          <w:sz w:val="16"/>
        </w:rPr>
        <w:t>d</w:t>
      </w:r>
      <w:r>
        <w:rPr>
          <w:rFonts w:ascii="Cambria"/>
          <w:spacing w:val="-2"/>
          <w:sz w:val="16"/>
        </w:rPr>
        <w:t xml:space="preserve"> </w:t>
      </w:r>
      <w:r>
        <w:rPr>
          <w:rFonts w:ascii="Cambria"/>
          <w:spacing w:val="-1"/>
          <w:sz w:val="24"/>
        </w:rPr>
        <w:t>=R</w:t>
      </w:r>
      <w:r>
        <w:rPr>
          <w:rFonts w:ascii="Cambria"/>
          <w:spacing w:val="-1"/>
          <w:sz w:val="16"/>
        </w:rPr>
        <w:t>f</w:t>
      </w:r>
      <w:r>
        <w:rPr>
          <w:rFonts w:ascii="Cambria"/>
          <w:spacing w:val="-2"/>
          <w:sz w:val="16"/>
        </w:rPr>
        <w:t xml:space="preserve"> </w:t>
      </w:r>
      <w:r>
        <w:rPr>
          <w:rFonts w:ascii="Cambria"/>
          <w:sz w:val="24"/>
        </w:rPr>
        <w:t>+</w:t>
      </w:r>
      <w:r>
        <w:rPr>
          <w:rFonts w:ascii="Cambria"/>
          <w:spacing w:val="-3"/>
          <w:sz w:val="24"/>
        </w:rPr>
        <w:t xml:space="preserve"> </w:t>
      </w:r>
      <w:r>
        <w:rPr>
          <w:rFonts w:ascii="Cambria"/>
          <w:sz w:val="24"/>
        </w:rPr>
        <w:t>DM</w:t>
      </w:r>
    </w:p>
    <w:p w:rsidR="00D96B91" w:rsidRDefault="00C2656B">
      <w:pPr>
        <w:pStyle w:val="BodyText"/>
        <w:spacing w:before="204"/>
        <w:rPr>
          <w:rFonts w:cs="Avenir Next"/>
        </w:rPr>
      </w:pPr>
      <w:r>
        <w:rPr>
          <w:spacing w:val="-1"/>
        </w:rPr>
        <w:t>Where:</w:t>
      </w:r>
    </w:p>
    <w:p w:rsidR="00D96B91" w:rsidRDefault="00C2656B">
      <w:pPr>
        <w:pStyle w:val="BodyText"/>
        <w:spacing w:before="149" w:line="260" w:lineRule="exact"/>
        <w:ind w:right="1294" w:firstLine="3"/>
      </w:pPr>
      <w:r>
        <w:rPr>
          <w:rFonts w:ascii="Cambria"/>
          <w:spacing w:val="-1"/>
          <w:position w:val="2"/>
          <w:sz w:val="24"/>
        </w:rPr>
        <w:t>R</w:t>
      </w:r>
      <w:r>
        <w:rPr>
          <w:rFonts w:ascii="Cambria"/>
          <w:spacing w:val="-1"/>
          <w:position w:val="2"/>
          <w:sz w:val="16"/>
        </w:rPr>
        <w:t>f</w:t>
      </w:r>
      <w:r>
        <w:rPr>
          <w:rFonts w:ascii="Cambria"/>
          <w:position w:val="2"/>
          <w:sz w:val="16"/>
        </w:rPr>
        <w:t xml:space="preserve"> </w:t>
      </w:r>
      <w:r>
        <w:rPr>
          <w:rFonts w:ascii="Cambria"/>
          <w:spacing w:val="34"/>
          <w:position w:val="2"/>
          <w:sz w:val="16"/>
        </w:rPr>
        <w:t xml:space="preserve"> </w:t>
      </w:r>
      <w:r>
        <w:t xml:space="preserve">is the </w:t>
      </w:r>
      <w:r>
        <w:rPr>
          <w:spacing w:val="-1"/>
        </w:rPr>
        <w:t>risk-free</w:t>
      </w:r>
      <w:r>
        <w:t xml:space="preserve"> </w:t>
      </w:r>
      <w:r>
        <w:rPr>
          <w:spacing w:val="-1"/>
        </w:rPr>
        <w:t>rate.</w:t>
      </w:r>
      <w:r>
        <w:rPr>
          <w:spacing w:val="-11"/>
        </w:rPr>
        <w:t xml:space="preserve"> </w:t>
      </w:r>
      <w:r>
        <w:rPr>
          <w:spacing w:val="-2"/>
        </w:rPr>
        <w:t>The</w:t>
      </w:r>
      <w:r>
        <w:t xml:space="preserve"> </w:t>
      </w:r>
      <w:r>
        <w:rPr>
          <w:spacing w:val="-1"/>
        </w:rPr>
        <w:t>risk-free</w:t>
      </w:r>
      <w:r>
        <w:t xml:space="preserve"> </w:t>
      </w:r>
      <w:r>
        <w:rPr>
          <w:spacing w:val="-2"/>
        </w:rPr>
        <w:t>rate</w:t>
      </w:r>
      <w:r>
        <w:t xml:space="preserve"> </w:t>
      </w:r>
      <w:r>
        <w:rPr>
          <w:spacing w:val="-1"/>
        </w:rPr>
        <w:t>measures</w:t>
      </w:r>
      <w:r>
        <w:t xml:space="preserve"> the </w:t>
      </w:r>
      <w:r>
        <w:rPr>
          <w:spacing w:val="-1"/>
        </w:rPr>
        <w:t>return</w:t>
      </w:r>
      <w:r>
        <w:t xml:space="preserve"> an investor would derive </w:t>
      </w:r>
      <w:r>
        <w:rPr>
          <w:spacing w:val="-1"/>
        </w:rPr>
        <w:t>from</w:t>
      </w:r>
      <w:r>
        <w:t xml:space="preserve"> an asset</w:t>
      </w:r>
      <w:r>
        <w:rPr>
          <w:spacing w:val="21"/>
        </w:rPr>
        <w:t xml:space="preserve"> </w:t>
      </w:r>
      <w:r>
        <w:t xml:space="preserve">with </w:t>
      </w:r>
      <w:r>
        <w:rPr>
          <w:spacing w:val="-1"/>
        </w:rPr>
        <w:t>certainty</w:t>
      </w:r>
      <w:r>
        <w:t xml:space="preserve"> of</w:t>
      </w:r>
      <w:r>
        <w:rPr>
          <w:spacing w:val="4"/>
        </w:rPr>
        <w:t xml:space="preserve"> </w:t>
      </w:r>
      <w:r>
        <w:rPr>
          <w:spacing w:val="-1"/>
        </w:rPr>
        <w:t>return</w:t>
      </w:r>
      <w:r>
        <w:t xml:space="preserve"> being achieved.</w:t>
      </w:r>
      <w:r>
        <w:rPr>
          <w:spacing w:val="-11"/>
        </w:rPr>
        <w:t xml:space="preserve"> </w:t>
      </w:r>
      <w:r>
        <w:rPr>
          <w:spacing w:val="-1"/>
        </w:rPr>
        <w:t>This</w:t>
      </w:r>
      <w:r>
        <w:t xml:space="preserve"> </w:t>
      </w:r>
      <w:r>
        <w:rPr>
          <w:spacing w:val="-2"/>
        </w:rPr>
        <w:t>rate</w:t>
      </w:r>
      <w:r>
        <w:t xml:space="preserve"> cannot be observed </w:t>
      </w:r>
      <w:r>
        <w:rPr>
          <w:spacing w:val="-2"/>
        </w:rPr>
        <w:t>directly,</w:t>
      </w:r>
      <w:r>
        <w:rPr>
          <w:spacing w:val="-6"/>
        </w:rPr>
        <w:t xml:space="preserve"> </w:t>
      </w:r>
      <w:r>
        <w:t xml:space="preserve">but can be </w:t>
      </w:r>
      <w:r>
        <w:rPr>
          <w:spacing w:val="-1"/>
        </w:rPr>
        <w:t>approximated</w:t>
      </w:r>
      <w:r>
        <w:rPr>
          <w:spacing w:val="43"/>
        </w:rPr>
        <w:t xml:space="preserve"> </w:t>
      </w:r>
      <w:r>
        <w:t xml:space="preserve">by the yield to </w:t>
      </w:r>
      <w:r>
        <w:rPr>
          <w:spacing w:val="-1"/>
        </w:rPr>
        <w:t>maturity</w:t>
      </w:r>
      <w:r>
        <w:t xml:space="preserve"> on government bonds.</w:t>
      </w:r>
    </w:p>
    <w:p w:rsidR="00D96B91" w:rsidRDefault="00C2656B">
      <w:pPr>
        <w:pStyle w:val="BodyText"/>
        <w:spacing w:before="174" w:line="258" w:lineRule="exact"/>
        <w:ind w:right="1256" w:firstLine="23"/>
      </w:pPr>
      <w:r>
        <w:rPr>
          <w:rFonts w:ascii="Cambria"/>
          <w:sz w:val="24"/>
        </w:rPr>
        <w:t>DM</w:t>
      </w:r>
      <w:r>
        <w:rPr>
          <w:rFonts w:ascii="Cambria"/>
          <w:spacing w:val="14"/>
          <w:sz w:val="24"/>
        </w:rPr>
        <w:t xml:space="preserve"> </w:t>
      </w:r>
      <w:r>
        <w:t xml:space="preserve">is the debt </w:t>
      </w:r>
      <w:r>
        <w:rPr>
          <w:spacing w:val="-1"/>
        </w:rPr>
        <w:t>margin.</w:t>
      </w:r>
      <w:r>
        <w:rPr>
          <w:spacing w:val="-11"/>
        </w:rPr>
        <w:t xml:space="preserve"> </w:t>
      </w:r>
      <w:r>
        <w:rPr>
          <w:spacing w:val="-2"/>
        </w:rPr>
        <w:t>The</w:t>
      </w:r>
      <w:r>
        <w:t xml:space="preserve"> debt </w:t>
      </w:r>
      <w:r>
        <w:rPr>
          <w:spacing w:val="-1"/>
        </w:rPr>
        <w:t>margin</w:t>
      </w:r>
      <w:r>
        <w:t xml:space="preserve"> </w:t>
      </w:r>
      <w:r>
        <w:rPr>
          <w:spacing w:val="-1"/>
        </w:rPr>
        <w:t>represents</w:t>
      </w:r>
      <w:r>
        <w:t xml:space="preserve"> the</w:t>
      </w:r>
      <w:r>
        <w:rPr>
          <w:spacing w:val="-1"/>
        </w:rPr>
        <w:t xml:space="preserve"> compensation</w:t>
      </w:r>
      <w:r>
        <w:t xml:space="preserve"> above the </w:t>
      </w:r>
      <w:r>
        <w:rPr>
          <w:spacing w:val="-1"/>
        </w:rPr>
        <w:t>risk-free</w:t>
      </w:r>
      <w:r>
        <w:t xml:space="preserve"> </w:t>
      </w:r>
      <w:r>
        <w:rPr>
          <w:spacing w:val="-2"/>
        </w:rPr>
        <w:t>rate</w:t>
      </w:r>
      <w:r>
        <w:t xml:space="preserve"> </w:t>
      </w:r>
      <w:r>
        <w:rPr>
          <w:spacing w:val="-1"/>
        </w:rPr>
        <w:t>required</w:t>
      </w:r>
      <w:r>
        <w:rPr>
          <w:spacing w:val="45"/>
        </w:rPr>
        <w:t xml:space="preserve"> </w:t>
      </w:r>
      <w:r>
        <w:t xml:space="preserve">by debt holders for </w:t>
      </w:r>
      <w:r>
        <w:rPr>
          <w:spacing w:val="-1"/>
        </w:rPr>
        <w:t>credit,</w:t>
      </w:r>
      <w:r>
        <w:rPr>
          <w:spacing w:val="-6"/>
        </w:rPr>
        <w:t xml:space="preserve"> </w:t>
      </w:r>
      <w:r>
        <w:t xml:space="preserve">liquidity and </w:t>
      </w:r>
      <w:r>
        <w:rPr>
          <w:spacing w:val="-1"/>
        </w:rPr>
        <w:t>maturity</w:t>
      </w:r>
      <w:r>
        <w:t xml:space="preserve"> </w:t>
      </w:r>
      <w:r>
        <w:rPr>
          <w:spacing w:val="-1"/>
        </w:rPr>
        <w:t>risks.</w:t>
      </w:r>
    </w:p>
    <w:p w:rsidR="00D96B91" w:rsidRDefault="00C2656B">
      <w:pPr>
        <w:pStyle w:val="BodyText"/>
        <w:spacing w:before="170" w:line="260" w:lineRule="exact"/>
        <w:ind w:right="1283"/>
      </w:pPr>
      <w:r>
        <w:t>In some jurisdictions,</w:t>
      </w:r>
      <w:r>
        <w:rPr>
          <w:spacing w:val="-7"/>
        </w:rPr>
        <w:t xml:space="preserve"> </w:t>
      </w:r>
      <w:r>
        <w:t>the cost of</w:t>
      </w:r>
      <w:r>
        <w:rPr>
          <w:spacing w:val="4"/>
        </w:rPr>
        <w:t xml:space="preserve"> </w:t>
      </w:r>
      <w:r>
        <w:t xml:space="preserve">debt may also include an allowance for debt </w:t>
      </w:r>
      <w:r>
        <w:rPr>
          <w:spacing w:val="-1"/>
        </w:rPr>
        <w:t>raising</w:t>
      </w:r>
      <w:r>
        <w:t xml:space="preserve"> costs,</w:t>
      </w:r>
      <w:r>
        <w:rPr>
          <w:spacing w:val="-7"/>
        </w:rPr>
        <w:t xml:space="preserve"> </w:t>
      </w:r>
      <w:r>
        <w:t>while in</w:t>
      </w:r>
      <w:r>
        <w:rPr>
          <w:spacing w:val="24"/>
        </w:rPr>
        <w:t xml:space="preserve"> </w:t>
      </w:r>
      <w:r>
        <w:t xml:space="preserve">other jurisdictions this allowance may be included in the </w:t>
      </w:r>
      <w:r>
        <w:rPr>
          <w:spacing w:val="-1"/>
        </w:rPr>
        <w:t>forecast</w:t>
      </w:r>
      <w:r>
        <w:t xml:space="preserve"> </w:t>
      </w:r>
      <w:r>
        <w:rPr>
          <w:spacing w:val="-1"/>
        </w:rPr>
        <w:t>operating</w:t>
      </w:r>
      <w:r>
        <w:t xml:space="preserve"> </w:t>
      </w:r>
      <w:r>
        <w:rPr>
          <w:spacing w:val="-1"/>
        </w:rPr>
        <w:t>expenditure</w:t>
      </w:r>
      <w:r>
        <w:t xml:space="preserve"> allowance.</w:t>
      </w:r>
    </w:p>
    <w:p w:rsidR="00D96B91" w:rsidRDefault="00C2656B">
      <w:pPr>
        <w:pStyle w:val="BodyText"/>
        <w:spacing w:before="178"/>
        <w:rPr>
          <w:rFonts w:cs="Avenir Next"/>
        </w:rPr>
      </w:pPr>
      <w:r>
        <w:rPr>
          <w:spacing w:val="-10"/>
        </w:rPr>
        <w:t>To</w:t>
      </w:r>
      <w:r>
        <w:t xml:space="preserve"> </w:t>
      </w:r>
      <w:r>
        <w:rPr>
          <w:spacing w:val="-1"/>
        </w:rPr>
        <w:t>estimate</w:t>
      </w:r>
      <w:r>
        <w:t xml:space="preserve"> the cost of</w:t>
      </w:r>
      <w:r>
        <w:rPr>
          <w:spacing w:val="4"/>
        </w:rPr>
        <w:t xml:space="preserve"> </w:t>
      </w:r>
      <w:r>
        <w:t>debt a number of</w:t>
      </w:r>
      <w:r>
        <w:rPr>
          <w:spacing w:val="4"/>
        </w:rPr>
        <w:t xml:space="preserve"> </w:t>
      </w:r>
      <w:r>
        <w:t>decisions need to be made about:</w:t>
      </w:r>
    </w:p>
    <w:p w:rsidR="00D96B91" w:rsidRDefault="00C2656B">
      <w:pPr>
        <w:pStyle w:val="BodyText"/>
        <w:numPr>
          <w:ilvl w:val="0"/>
          <w:numId w:val="131"/>
        </w:numPr>
        <w:tabs>
          <w:tab w:val="left" w:pos="1531"/>
        </w:tabs>
        <w:spacing w:before="157"/>
        <w:ind w:hanging="283"/>
      </w:pPr>
      <w:r>
        <w:t xml:space="preserve">the </w:t>
      </w:r>
      <w:r>
        <w:rPr>
          <w:spacing w:val="-1"/>
        </w:rPr>
        <w:t>term-to-maturity</w:t>
      </w:r>
      <w:r>
        <w:t xml:space="preserve"> </w:t>
      </w:r>
      <w:r>
        <w:rPr>
          <w:spacing w:val="-1"/>
        </w:rPr>
        <w:t>that</w:t>
      </w:r>
      <w:r>
        <w:t xml:space="preserve"> will be used to </w:t>
      </w:r>
      <w:r>
        <w:rPr>
          <w:spacing w:val="-1"/>
        </w:rPr>
        <w:t>estimate</w:t>
      </w:r>
      <w:r>
        <w:t xml:space="preserve"> the </w:t>
      </w:r>
      <w:r>
        <w:rPr>
          <w:spacing w:val="-1"/>
        </w:rPr>
        <w:t>risk-free</w:t>
      </w:r>
      <w:r>
        <w:t xml:space="preserve"> </w:t>
      </w:r>
      <w:r>
        <w:rPr>
          <w:spacing w:val="-2"/>
        </w:rPr>
        <w:t>rate</w:t>
      </w:r>
      <w:r>
        <w:t xml:space="preserve"> and debt </w:t>
      </w:r>
      <w:r>
        <w:rPr>
          <w:spacing w:val="-1"/>
        </w:rPr>
        <w:t>margin;</w:t>
      </w:r>
    </w:p>
    <w:p w:rsidR="00D96B91" w:rsidRDefault="00C2656B">
      <w:pPr>
        <w:pStyle w:val="BodyText"/>
        <w:numPr>
          <w:ilvl w:val="0"/>
          <w:numId w:val="131"/>
        </w:numPr>
        <w:tabs>
          <w:tab w:val="left" w:pos="1531"/>
        </w:tabs>
        <w:spacing w:before="72"/>
        <w:ind w:hanging="283"/>
      </w:pPr>
      <w:r>
        <w:t xml:space="preserve">the </w:t>
      </w:r>
      <w:r>
        <w:rPr>
          <w:spacing w:val="-1"/>
        </w:rPr>
        <w:t>averaging</w:t>
      </w:r>
      <w:r>
        <w:t xml:space="preserve"> period </w:t>
      </w:r>
      <w:r>
        <w:rPr>
          <w:spacing w:val="-1"/>
        </w:rPr>
        <w:t>that</w:t>
      </w:r>
      <w:r>
        <w:t xml:space="preserve"> will be used to </w:t>
      </w:r>
      <w:r>
        <w:rPr>
          <w:spacing w:val="-1"/>
        </w:rPr>
        <w:t>measure</w:t>
      </w:r>
      <w:r>
        <w:t xml:space="preserve"> the </w:t>
      </w:r>
      <w:r>
        <w:rPr>
          <w:spacing w:val="-1"/>
        </w:rPr>
        <w:t>risk-free</w:t>
      </w:r>
      <w:r>
        <w:t xml:space="preserve"> </w:t>
      </w:r>
      <w:r>
        <w:rPr>
          <w:spacing w:val="-2"/>
        </w:rPr>
        <w:t>rate</w:t>
      </w:r>
      <w:r>
        <w:t xml:space="preserve"> and debt </w:t>
      </w:r>
      <w:r>
        <w:rPr>
          <w:spacing w:val="-1"/>
        </w:rPr>
        <w:t>margin;</w:t>
      </w:r>
      <w:r>
        <w:t xml:space="preserve"> and</w:t>
      </w:r>
    </w:p>
    <w:p w:rsidR="00D96B91" w:rsidRDefault="00C2656B">
      <w:pPr>
        <w:pStyle w:val="BodyText"/>
        <w:numPr>
          <w:ilvl w:val="0"/>
          <w:numId w:val="131"/>
        </w:numPr>
        <w:tabs>
          <w:tab w:val="left" w:pos="1531"/>
        </w:tabs>
        <w:spacing w:before="72"/>
        <w:ind w:hanging="283"/>
      </w:pPr>
      <w:r>
        <w:t xml:space="preserve">the </w:t>
      </w:r>
      <w:r>
        <w:rPr>
          <w:spacing w:val="-1"/>
        </w:rPr>
        <w:t>credit</w:t>
      </w:r>
      <w:r>
        <w:t xml:space="preserve"> </w:t>
      </w:r>
      <w:r>
        <w:rPr>
          <w:spacing w:val="-1"/>
        </w:rPr>
        <w:t>rating</w:t>
      </w:r>
      <w:r>
        <w:t xml:space="preserve"> to be used to </w:t>
      </w:r>
      <w:r>
        <w:rPr>
          <w:spacing w:val="-1"/>
        </w:rPr>
        <w:t>estimate</w:t>
      </w:r>
      <w:r>
        <w:t xml:space="preserve"> the debt </w:t>
      </w:r>
      <w:r>
        <w:rPr>
          <w:spacing w:val="-1"/>
        </w:rPr>
        <w:t>margin.</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256"/>
      </w:pPr>
      <w:r>
        <w:rPr>
          <w:spacing w:val="-2"/>
        </w:rPr>
        <w:t>The</w:t>
      </w:r>
      <w:r>
        <w:t xml:space="preserve"> </w:t>
      </w:r>
      <w:r>
        <w:rPr>
          <w:spacing w:val="-4"/>
        </w:rPr>
        <w:t>Panel’s</w:t>
      </w:r>
      <w:r>
        <w:t xml:space="preserve"> </w:t>
      </w:r>
      <w:r>
        <w:rPr>
          <w:spacing w:val="-1"/>
        </w:rPr>
        <w:t>considerations</w:t>
      </w:r>
      <w:r>
        <w:t xml:space="preserve"> on </w:t>
      </w:r>
      <w:r>
        <w:rPr>
          <w:spacing w:val="-1"/>
        </w:rPr>
        <w:t>each</w:t>
      </w:r>
      <w:r>
        <w:t xml:space="preserve"> of</w:t>
      </w:r>
      <w:r>
        <w:rPr>
          <w:spacing w:val="4"/>
        </w:rPr>
        <w:t xml:space="preserve"> </w:t>
      </w:r>
      <w:r>
        <w:t xml:space="preserve">these </w:t>
      </w:r>
      <w:r>
        <w:rPr>
          <w:spacing w:val="-1"/>
        </w:rPr>
        <w:t>matters</w:t>
      </w:r>
      <w:r>
        <w:t xml:space="preserve"> </w:t>
      </w:r>
      <w:r>
        <w:rPr>
          <w:spacing w:val="-2"/>
        </w:rPr>
        <w:t>are</w:t>
      </w:r>
      <w:r>
        <w:t xml:space="preserve"> set out </w:t>
      </w:r>
      <w:r>
        <w:rPr>
          <w:spacing w:val="-2"/>
        </w:rPr>
        <w:t>below,</w:t>
      </w:r>
      <w:r>
        <w:rPr>
          <w:spacing w:val="-6"/>
        </w:rPr>
        <w:t xml:space="preserve"> </w:t>
      </w:r>
      <w:r>
        <w:t>as well as the value of</w:t>
      </w:r>
      <w:r>
        <w:rPr>
          <w:spacing w:val="4"/>
        </w:rPr>
        <w:t xml:space="preserve"> </w:t>
      </w:r>
      <w:r>
        <w:t xml:space="preserve">the </w:t>
      </w:r>
      <w:r>
        <w:rPr>
          <w:spacing w:val="-1"/>
        </w:rPr>
        <w:t>risk-</w:t>
      </w:r>
      <w:r>
        <w:rPr>
          <w:spacing w:val="55"/>
        </w:rPr>
        <w:t xml:space="preserve"> </w:t>
      </w:r>
      <w:r>
        <w:rPr>
          <w:spacing w:val="-1"/>
        </w:rPr>
        <w:t>free</w:t>
      </w:r>
      <w:r>
        <w:t xml:space="preserve"> </w:t>
      </w:r>
      <w:r>
        <w:rPr>
          <w:spacing w:val="-1"/>
        </w:rPr>
        <w:t>rate,</w:t>
      </w:r>
      <w:r>
        <w:rPr>
          <w:spacing w:val="-6"/>
        </w:rPr>
        <w:t xml:space="preserve"> </w:t>
      </w:r>
      <w:r>
        <w:t xml:space="preserve">the debt </w:t>
      </w:r>
      <w:r>
        <w:rPr>
          <w:spacing w:val="-1"/>
        </w:rPr>
        <w:t>margin,</w:t>
      </w:r>
      <w:r>
        <w:rPr>
          <w:spacing w:val="-6"/>
        </w:rPr>
        <w:t xml:space="preserve"> </w:t>
      </w:r>
      <w:r>
        <w:t xml:space="preserve">debt </w:t>
      </w:r>
      <w:r>
        <w:rPr>
          <w:spacing w:val="-1"/>
        </w:rPr>
        <w:t>raising</w:t>
      </w:r>
      <w:r>
        <w:t xml:space="preserve"> costs and the </w:t>
      </w:r>
      <w:r>
        <w:rPr>
          <w:spacing w:val="-1"/>
        </w:rPr>
        <w:t>overall</w:t>
      </w:r>
      <w:r>
        <w:t xml:space="preserve"> cost of</w:t>
      </w:r>
      <w:r>
        <w:rPr>
          <w:spacing w:val="4"/>
        </w:rPr>
        <w:t xml:space="preserve"> </w:t>
      </w:r>
      <w:r>
        <w:t xml:space="preserve">debt </w:t>
      </w:r>
      <w:r>
        <w:rPr>
          <w:spacing w:val="-1"/>
        </w:rPr>
        <w:t>that</w:t>
      </w:r>
      <w:r>
        <w:t xml:space="preserve"> the </w:t>
      </w:r>
      <w:r>
        <w:rPr>
          <w:spacing w:val="-3"/>
        </w:rPr>
        <w:t>Panel</w:t>
      </w:r>
      <w:r>
        <w:t xml:space="preserve"> has adopted.</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Heading6"/>
        <w:spacing w:before="9"/>
        <w:ind w:left="1247" w:firstLine="0"/>
      </w:pPr>
      <w:r>
        <w:rPr>
          <w:color w:val="0778BE"/>
        </w:rPr>
        <w:t xml:space="preserve">A8.1.1 </w:t>
      </w:r>
      <w:r>
        <w:rPr>
          <w:color w:val="0778BE"/>
          <w:spacing w:val="6"/>
        </w:rPr>
        <w:t xml:space="preserve"> </w:t>
      </w:r>
      <w:r>
        <w:rPr>
          <w:color w:val="0778BE"/>
          <w:spacing w:val="-24"/>
        </w:rPr>
        <w:t>T</w:t>
      </w:r>
      <w:r>
        <w:rPr>
          <w:color w:val="0778BE"/>
        </w:rPr>
        <w:t>erm-to-m</w:t>
      </w:r>
      <w:r>
        <w:rPr>
          <w:color w:val="0778BE"/>
          <w:spacing w:val="-3"/>
        </w:rPr>
        <w:t>a</w:t>
      </w:r>
      <w:r>
        <w:rPr>
          <w:color w:val="0778BE"/>
        </w:rPr>
        <w:t>tur</w:t>
      </w:r>
      <w:r>
        <w:rPr>
          <w:rFonts w:ascii="Avenir Next"/>
          <w:b/>
          <w:color w:val="0778BE"/>
        </w:rPr>
        <w:t>i</w:t>
      </w:r>
      <w:r>
        <w:rPr>
          <w:color w:val="0778BE"/>
        </w:rPr>
        <w:t>ty</w:t>
      </w:r>
    </w:p>
    <w:p w:rsidR="00D96B91" w:rsidRDefault="00C2656B">
      <w:pPr>
        <w:pStyle w:val="BodyText"/>
        <w:spacing w:before="21" w:line="260" w:lineRule="exact"/>
        <w:ind w:right="1752"/>
      </w:pPr>
      <w:r>
        <w:rPr>
          <w:spacing w:val="-10"/>
        </w:rPr>
        <w:t>To</w:t>
      </w:r>
      <w:r>
        <w:rPr>
          <w:spacing w:val="-1"/>
        </w:rPr>
        <w:t xml:space="preserve"> estimate</w:t>
      </w:r>
      <w:r>
        <w:t xml:space="preserve"> the debt </w:t>
      </w:r>
      <w:r>
        <w:rPr>
          <w:spacing w:val="-1"/>
        </w:rPr>
        <w:t xml:space="preserve">margin </w:t>
      </w:r>
      <w:r>
        <w:t xml:space="preserve">and </w:t>
      </w:r>
      <w:r>
        <w:rPr>
          <w:spacing w:val="-1"/>
        </w:rPr>
        <w:t>risk-free</w:t>
      </w:r>
      <w:r>
        <w:t xml:space="preserve"> </w:t>
      </w:r>
      <w:r>
        <w:rPr>
          <w:spacing w:val="-1"/>
        </w:rPr>
        <w:t>rate,</w:t>
      </w:r>
      <w:r>
        <w:rPr>
          <w:spacing w:val="-6"/>
        </w:rPr>
        <w:t xml:space="preserve"> </w:t>
      </w:r>
      <w:r>
        <w:t>a decision</w:t>
      </w:r>
      <w:r>
        <w:rPr>
          <w:spacing w:val="-1"/>
        </w:rPr>
        <w:t xml:space="preserve"> </w:t>
      </w:r>
      <w:r>
        <w:t>must first be made about</w:t>
      </w:r>
      <w:r>
        <w:rPr>
          <w:spacing w:val="-1"/>
        </w:rPr>
        <w:t xml:space="preserve"> </w:t>
      </w:r>
      <w:r>
        <w:t xml:space="preserve">an </w:t>
      </w:r>
      <w:r>
        <w:rPr>
          <w:spacing w:val="-1"/>
        </w:rPr>
        <w:t>appropriate</w:t>
      </w:r>
      <w:r>
        <w:rPr>
          <w:spacing w:val="27"/>
        </w:rPr>
        <w:t xml:space="preserve"> </w:t>
      </w:r>
      <w:r>
        <w:rPr>
          <w:spacing w:val="-1"/>
        </w:rPr>
        <w:t>term-to-maturity,</w:t>
      </w:r>
      <w:r>
        <w:rPr>
          <w:spacing w:val="-6"/>
        </w:rPr>
        <w:t xml:space="preserve"> </w:t>
      </w:r>
      <w:r>
        <w:t xml:space="preserve">having </w:t>
      </w:r>
      <w:r>
        <w:rPr>
          <w:spacing w:val="-2"/>
        </w:rPr>
        <w:t>regard</w:t>
      </w:r>
      <w:r>
        <w:t xml:space="preserve"> to the </w:t>
      </w:r>
      <w:r>
        <w:rPr>
          <w:spacing w:val="-1"/>
        </w:rPr>
        <w:t>nature</w:t>
      </w:r>
      <w:r>
        <w:t xml:space="preserve"> of</w:t>
      </w:r>
      <w:r>
        <w:rPr>
          <w:spacing w:val="4"/>
        </w:rPr>
        <w:t xml:space="preserve"> </w:t>
      </w:r>
      <w:r>
        <w:t xml:space="preserve">the assets being </w:t>
      </w:r>
      <w:r>
        <w:rPr>
          <w:spacing w:val="-1"/>
        </w:rPr>
        <w:t>regulated.</w:t>
      </w:r>
    </w:p>
    <w:p w:rsidR="00D96B91" w:rsidRDefault="00C2656B">
      <w:pPr>
        <w:pStyle w:val="BodyText"/>
        <w:spacing w:before="170" w:line="260" w:lineRule="exact"/>
        <w:ind w:right="1283"/>
      </w:pPr>
      <w:r>
        <w:rPr>
          <w:spacing w:val="-2"/>
        </w:rPr>
        <w:t>The</w:t>
      </w:r>
      <w:r>
        <w:t xml:space="preserve"> </w:t>
      </w:r>
      <w:r>
        <w:rPr>
          <w:spacing w:val="-3"/>
        </w:rPr>
        <w:t>Panel</w:t>
      </w:r>
      <w:r>
        <w:t xml:space="preserve"> understands </w:t>
      </w:r>
      <w:r>
        <w:rPr>
          <w:spacing w:val="-1"/>
        </w:rPr>
        <w:t>that</w:t>
      </w:r>
      <w:r>
        <w:t xml:space="preserve"> </w:t>
      </w:r>
      <w:r>
        <w:rPr>
          <w:spacing w:val="-1"/>
        </w:rPr>
        <w:t>regulators</w:t>
      </w:r>
      <w:r>
        <w:t xml:space="preserve"> usually employ one of</w:t>
      </w:r>
      <w:r>
        <w:rPr>
          <w:spacing w:val="4"/>
        </w:rPr>
        <w:t xml:space="preserve"> </w:t>
      </w:r>
      <w:r>
        <w:t xml:space="preserve">the following </w:t>
      </w:r>
      <w:r>
        <w:rPr>
          <w:spacing w:val="-1"/>
        </w:rPr>
        <w:t>approaches</w:t>
      </w:r>
      <w:r>
        <w:t xml:space="preserve"> when deciding</w:t>
      </w:r>
      <w:r>
        <w:rPr>
          <w:spacing w:val="33"/>
        </w:rPr>
        <w:t xml:space="preserve"> </w:t>
      </w:r>
      <w:r>
        <w:rPr>
          <w:spacing w:val="-1"/>
        </w:rPr>
        <w:t>what</w:t>
      </w:r>
      <w:r>
        <w:t xml:space="preserve"> </w:t>
      </w:r>
      <w:r>
        <w:rPr>
          <w:spacing w:val="-1"/>
        </w:rPr>
        <w:t>term-to-maturity</w:t>
      </w:r>
      <w:r>
        <w:t xml:space="preserve"> to adopt:</w:t>
      </w:r>
    </w:p>
    <w:p w:rsidR="00D96B91" w:rsidRDefault="00C2656B">
      <w:pPr>
        <w:pStyle w:val="BodyText"/>
        <w:numPr>
          <w:ilvl w:val="0"/>
          <w:numId w:val="131"/>
        </w:numPr>
        <w:tabs>
          <w:tab w:val="left" w:pos="1531"/>
        </w:tabs>
        <w:spacing w:before="170" w:line="260" w:lineRule="exact"/>
        <w:ind w:right="1585" w:hanging="283"/>
      </w:pPr>
      <w:r>
        <w:t xml:space="preserve">Adopt a </w:t>
      </w:r>
      <w:r>
        <w:rPr>
          <w:spacing w:val="-1"/>
        </w:rPr>
        <w:t>maturity</w:t>
      </w:r>
      <w:r>
        <w:t xml:space="preserve"> assumption </w:t>
      </w:r>
      <w:r>
        <w:rPr>
          <w:spacing w:val="-1"/>
        </w:rPr>
        <w:t>that</w:t>
      </w:r>
      <w:r>
        <w:t xml:space="preserve"> </w:t>
      </w:r>
      <w:r>
        <w:rPr>
          <w:spacing w:val="-1"/>
        </w:rPr>
        <w:t>matches</w:t>
      </w:r>
      <w:r>
        <w:t xml:space="preserve"> the length of</w:t>
      </w:r>
      <w:r>
        <w:rPr>
          <w:spacing w:val="4"/>
        </w:rPr>
        <w:t xml:space="preserve"> </w:t>
      </w:r>
      <w:r>
        <w:t xml:space="preserve">the </w:t>
      </w:r>
      <w:r>
        <w:rPr>
          <w:spacing w:val="-1"/>
        </w:rPr>
        <w:t>regulatory</w:t>
      </w:r>
      <w:r>
        <w:t xml:space="preserve"> period.</w:t>
      </w:r>
      <w:r>
        <w:rPr>
          <w:spacing w:val="-11"/>
        </w:rPr>
        <w:t xml:space="preserve"> </w:t>
      </w:r>
      <w:r>
        <w:rPr>
          <w:spacing w:val="-2"/>
        </w:rPr>
        <w:t>The</w:t>
      </w:r>
      <w:r>
        <w:t xml:space="preserve"> underlying</w:t>
      </w:r>
      <w:r>
        <w:rPr>
          <w:spacing w:val="37"/>
        </w:rPr>
        <w:t xml:space="preserve"> </w:t>
      </w:r>
      <w:r>
        <w:rPr>
          <w:rFonts w:cs="Avenir Next"/>
          <w:spacing w:val="-1"/>
        </w:rPr>
        <w:t>rationale</w:t>
      </w:r>
      <w:r>
        <w:rPr>
          <w:rFonts w:cs="Avenir Next"/>
        </w:rPr>
        <w:t xml:space="preserve"> for this </w:t>
      </w:r>
      <w:r>
        <w:rPr>
          <w:rFonts w:cs="Avenir Next"/>
          <w:spacing w:val="-1"/>
        </w:rPr>
        <w:t>approach</w:t>
      </w:r>
      <w:r>
        <w:rPr>
          <w:rFonts w:cs="Avenir Next"/>
        </w:rPr>
        <w:t xml:space="preserve"> is </w:t>
      </w:r>
      <w:r>
        <w:rPr>
          <w:rFonts w:cs="Avenir Next"/>
          <w:spacing w:val="-1"/>
        </w:rPr>
        <w:t>that</w:t>
      </w:r>
      <w:r>
        <w:rPr>
          <w:rFonts w:cs="Avenir Next"/>
        </w:rPr>
        <w:t xml:space="preserve"> the </w:t>
      </w:r>
      <w:r>
        <w:rPr>
          <w:rFonts w:cs="Avenir Next"/>
          <w:spacing w:val="-1"/>
        </w:rPr>
        <w:t>regulatory</w:t>
      </w:r>
      <w:r>
        <w:rPr>
          <w:rFonts w:cs="Avenir Next"/>
        </w:rPr>
        <w:t xml:space="preserv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should be set such </w:t>
      </w:r>
      <w:r>
        <w:rPr>
          <w:rFonts w:cs="Avenir Next"/>
          <w:spacing w:val="-1"/>
        </w:rPr>
        <w:t>that</w:t>
      </w:r>
      <w:r>
        <w:rPr>
          <w:rFonts w:cs="Avenir Next"/>
        </w:rPr>
        <w:t xml:space="preserve"> the </w:t>
      </w:r>
      <w:r>
        <w:rPr>
          <w:rFonts w:cs="Avenir Next"/>
          <w:spacing w:val="-1"/>
        </w:rPr>
        <w:t>present</w:t>
      </w:r>
      <w:r>
        <w:rPr>
          <w:rFonts w:cs="Avenir Next"/>
          <w:spacing w:val="43"/>
        </w:rPr>
        <w:t xml:space="preserve"> </w:t>
      </w:r>
      <w:r>
        <w:t>value</w:t>
      </w:r>
      <w:r>
        <w:rPr>
          <w:spacing w:val="-1"/>
        </w:rPr>
        <w:t xml:space="preserve"> </w:t>
      </w:r>
      <w:r>
        <w:t>of</w:t>
      </w:r>
      <w:r>
        <w:rPr>
          <w:spacing w:val="4"/>
        </w:rPr>
        <w:t xml:space="preserve"> </w:t>
      </w:r>
      <w:r>
        <w:t xml:space="preserve">a </w:t>
      </w:r>
      <w:r>
        <w:rPr>
          <w:spacing w:val="-1"/>
        </w:rPr>
        <w:t xml:space="preserve">regulated </w:t>
      </w:r>
      <w:r>
        <w:rPr>
          <w:spacing w:val="-2"/>
        </w:rPr>
        <w:t>firm’s</w:t>
      </w:r>
      <w:r>
        <w:t xml:space="preserve"> </w:t>
      </w:r>
      <w:r>
        <w:rPr>
          <w:spacing w:val="-1"/>
        </w:rPr>
        <w:t>revenues</w:t>
      </w:r>
      <w:r>
        <w:t xml:space="preserve"> and</w:t>
      </w:r>
      <w:r>
        <w:rPr>
          <w:spacing w:val="-1"/>
        </w:rPr>
        <w:t xml:space="preserve"> </w:t>
      </w:r>
      <w:r>
        <w:t xml:space="preserve">costs </w:t>
      </w:r>
      <w:r>
        <w:rPr>
          <w:spacing w:val="-2"/>
        </w:rPr>
        <w:t>are</w:t>
      </w:r>
      <w:r>
        <w:t xml:space="preserve"> the same</w:t>
      </w:r>
      <w:r>
        <w:rPr>
          <w:spacing w:val="-1"/>
        </w:rPr>
        <w:t xml:space="preserve"> </w:t>
      </w:r>
      <w:r>
        <w:t xml:space="preserve">for the </w:t>
      </w:r>
      <w:r>
        <w:rPr>
          <w:spacing w:val="-1"/>
        </w:rPr>
        <w:t>regulatory</w:t>
      </w:r>
      <w:r>
        <w:t xml:space="preserve"> period.</w:t>
      </w:r>
    </w:p>
    <w:p w:rsidR="00D96B91" w:rsidRDefault="00C2656B">
      <w:pPr>
        <w:pStyle w:val="BodyText"/>
        <w:numPr>
          <w:ilvl w:val="0"/>
          <w:numId w:val="131"/>
        </w:numPr>
        <w:tabs>
          <w:tab w:val="left" w:pos="1531"/>
        </w:tabs>
        <w:spacing w:before="85" w:line="260" w:lineRule="exact"/>
        <w:ind w:right="1256" w:hanging="283"/>
      </w:pPr>
      <w:r>
        <w:t xml:space="preserve">Adopt a long </w:t>
      </w:r>
      <w:r>
        <w:rPr>
          <w:spacing w:val="-1"/>
        </w:rPr>
        <w:t>term-to-maturity</w:t>
      </w:r>
      <w:r>
        <w:t xml:space="preserve"> such as 10 </w:t>
      </w:r>
      <w:r>
        <w:rPr>
          <w:spacing w:val="-1"/>
        </w:rPr>
        <w:t>years.</w:t>
      </w:r>
      <w:r>
        <w:rPr>
          <w:spacing w:val="-11"/>
        </w:rPr>
        <w:t xml:space="preserve"> </w:t>
      </w:r>
      <w:r>
        <w:rPr>
          <w:spacing w:val="-1"/>
        </w:rPr>
        <w:t>Those</w:t>
      </w:r>
      <w:r>
        <w:t xml:space="preserve"> in favour of</w:t>
      </w:r>
      <w:r>
        <w:rPr>
          <w:spacing w:val="4"/>
        </w:rPr>
        <w:t xml:space="preserve"> </w:t>
      </w:r>
      <w:r>
        <w:t xml:space="preserve">this </w:t>
      </w:r>
      <w:r>
        <w:rPr>
          <w:spacing w:val="-1"/>
        </w:rPr>
        <w:t>approach,</w:t>
      </w:r>
      <w:r>
        <w:rPr>
          <w:spacing w:val="-6"/>
        </w:rPr>
        <w:t xml:space="preserve"> </w:t>
      </w:r>
      <w:r>
        <w:rPr>
          <w:spacing w:val="-1"/>
        </w:rPr>
        <w:t>argue</w:t>
      </w:r>
      <w:r>
        <w:t xml:space="preserve"> </w:t>
      </w:r>
      <w:r>
        <w:rPr>
          <w:spacing w:val="-1"/>
        </w:rPr>
        <w:t>that</w:t>
      </w:r>
      <w:r>
        <w:t xml:space="preserve"> since</w:t>
      </w:r>
      <w:r>
        <w:rPr>
          <w:spacing w:val="53"/>
        </w:rPr>
        <w:t xml:space="preserve"> </w:t>
      </w:r>
      <w:r>
        <w:t>long-lived</w:t>
      </w:r>
      <w:r>
        <w:rPr>
          <w:spacing w:val="-1"/>
        </w:rPr>
        <w:t xml:space="preserve"> </w:t>
      </w:r>
      <w:r>
        <w:t>assets</w:t>
      </w:r>
      <w:r>
        <w:rPr>
          <w:spacing w:val="-1"/>
        </w:rPr>
        <w:t xml:space="preserve"> </w:t>
      </w:r>
      <w:r>
        <w:rPr>
          <w:spacing w:val="-2"/>
        </w:rPr>
        <w:t>are</w:t>
      </w:r>
      <w:r>
        <w:t xml:space="preserve"> usually</w:t>
      </w:r>
      <w:r>
        <w:rPr>
          <w:spacing w:val="-1"/>
        </w:rPr>
        <w:t xml:space="preserve"> </w:t>
      </w:r>
      <w:r>
        <w:t>financed</w:t>
      </w:r>
      <w:r>
        <w:rPr>
          <w:spacing w:val="-1"/>
        </w:rPr>
        <w:t xml:space="preserve"> </w:t>
      </w:r>
      <w:r>
        <w:t>using long-term</w:t>
      </w:r>
      <w:r>
        <w:rPr>
          <w:spacing w:val="-1"/>
        </w:rPr>
        <w:t xml:space="preserve"> </w:t>
      </w:r>
      <w:r>
        <w:t>debt,</w:t>
      </w:r>
      <w:r>
        <w:rPr>
          <w:spacing w:val="-8"/>
        </w:rPr>
        <w:t xml:space="preserve"> </w:t>
      </w:r>
      <w:r>
        <w:rPr>
          <w:spacing w:val="-1"/>
        </w:rPr>
        <w:t>regulators</w:t>
      </w:r>
      <w:r>
        <w:t xml:space="preserve"> should</w:t>
      </w:r>
      <w:r>
        <w:rPr>
          <w:spacing w:val="-1"/>
        </w:rPr>
        <w:t xml:space="preserve"> </w:t>
      </w:r>
      <w:r>
        <w:t>use</w:t>
      </w:r>
      <w:r>
        <w:rPr>
          <w:spacing w:val="-1"/>
        </w:rPr>
        <w:t xml:space="preserve"> </w:t>
      </w:r>
      <w:r>
        <w:t xml:space="preserve">a </w:t>
      </w:r>
      <w:r>
        <w:rPr>
          <w:spacing w:val="-1"/>
        </w:rPr>
        <w:t>term-to-maturity</w:t>
      </w:r>
      <w:r>
        <w:rPr>
          <w:spacing w:val="39"/>
        </w:rPr>
        <w:t xml:space="preserve"> </w:t>
      </w:r>
      <w:r>
        <w:rPr>
          <w:spacing w:val="-1"/>
        </w:rPr>
        <w:t>that</w:t>
      </w:r>
      <w:r>
        <w:rPr>
          <w:spacing w:val="-2"/>
        </w:rPr>
        <w:t xml:space="preserve"> </w:t>
      </w:r>
      <w:r>
        <w:rPr>
          <w:spacing w:val="-1"/>
        </w:rPr>
        <w:t xml:space="preserve">approximates </w:t>
      </w:r>
      <w:r>
        <w:t>the</w:t>
      </w:r>
      <w:r>
        <w:rPr>
          <w:spacing w:val="-1"/>
        </w:rPr>
        <w:t xml:space="preserve"> </w:t>
      </w:r>
      <w:r>
        <w:t>life</w:t>
      </w:r>
      <w:r>
        <w:rPr>
          <w:spacing w:val="-1"/>
        </w:rPr>
        <w:t xml:space="preserve"> </w:t>
      </w:r>
      <w:r>
        <w:t>of</w:t>
      </w:r>
      <w:r>
        <w:rPr>
          <w:spacing w:val="3"/>
        </w:rPr>
        <w:t xml:space="preserve"> </w:t>
      </w:r>
      <w:r>
        <w:t>the</w:t>
      </w:r>
      <w:r>
        <w:rPr>
          <w:spacing w:val="-1"/>
        </w:rPr>
        <w:t xml:space="preserve"> </w:t>
      </w:r>
      <w:r>
        <w:t>assets</w:t>
      </w:r>
      <w:r>
        <w:rPr>
          <w:spacing w:val="-1"/>
        </w:rPr>
        <w:t xml:space="preserve"> </w:t>
      </w:r>
      <w:r>
        <w:t>being</w:t>
      </w:r>
      <w:r>
        <w:rPr>
          <w:spacing w:val="-1"/>
        </w:rPr>
        <w:t xml:space="preserve"> </w:t>
      </w:r>
      <w:r>
        <w:t>financed.</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46"/>
      </w:pPr>
      <w:r>
        <w:t xml:space="preserve">Having </w:t>
      </w:r>
      <w:r>
        <w:rPr>
          <w:spacing w:val="-1"/>
        </w:rPr>
        <w:t>taken</w:t>
      </w:r>
      <w:r>
        <w:t xml:space="preserve"> into account the </w:t>
      </w:r>
      <w:r>
        <w:rPr>
          <w:spacing w:val="-1"/>
        </w:rPr>
        <w:t>arguments</w:t>
      </w:r>
      <w:r>
        <w:t xml:space="preserve"> for and against both of</w:t>
      </w:r>
      <w:r>
        <w:rPr>
          <w:spacing w:val="4"/>
        </w:rPr>
        <w:t xml:space="preserve"> </w:t>
      </w:r>
      <w:r>
        <w:t xml:space="preserve">these </w:t>
      </w:r>
      <w:r>
        <w:rPr>
          <w:spacing w:val="-1"/>
        </w:rPr>
        <w:t>approaches,</w:t>
      </w:r>
      <w:r>
        <w:rPr>
          <w:spacing w:val="-6"/>
        </w:rPr>
        <w:t xml:space="preserve"> </w:t>
      </w:r>
      <w:r>
        <w:t xml:space="preserve">the </w:t>
      </w:r>
      <w:r>
        <w:rPr>
          <w:spacing w:val="-3"/>
        </w:rPr>
        <w:t>Panel</w:t>
      </w:r>
      <w:r>
        <w:t xml:space="preserve"> considers</w:t>
      </w:r>
      <w:r>
        <w:rPr>
          <w:spacing w:val="33"/>
        </w:rPr>
        <w:t xml:space="preserve"> </w:t>
      </w:r>
      <w:r>
        <w:rPr>
          <w:spacing w:val="-1"/>
        </w:rPr>
        <w:t xml:space="preserve">that </w:t>
      </w:r>
      <w:r>
        <w:t xml:space="preserve">the </w:t>
      </w:r>
      <w:r>
        <w:rPr>
          <w:spacing w:val="-1"/>
        </w:rPr>
        <w:t xml:space="preserve">term-to-maturity </w:t>
      </w:r>
      <w:r>
        <w:t xml:space="preserve">should </w:t>
      </w:r>
      <w:r>
        <w:rPr>
          <w:spacing w:val="-1"/>
        </w:rPr>
        <w:t xml:space="preserve">approximate </w:t>
      </w:r>
      <w:r>
        <w:t>the life</w:t>
      </w:r>
      <w:r>
        <w:rPr>
          <w:spacing w:val="-1"/>
        </w:rPr>
        <w:t xml:space="preserve"> </w:t>
      </w:r>
      <w:r>
        <w:t>of</w:t>
      </w:r>
      <w:r>
        <w:rPr>
          <w:spacing w:val="4"/>
        </w:rPr>
        <w:t xml:space="preserve"> </w:t>
      </w:r>
      <w:r>
        <w:t>the</w:t>
      </w:r>
      <w:r>
        <w:rPr>
          <w:spacing w:val="-1"/>
        </w:rPr>
        <w:t xml:space="preserve"> </w:t>
      </w:r>
      <w:r>
        <w:t>assets being</w:t>
      </w:r>
      <w:r>
        <w:rPr>
          <w:spacing w:val="-1"/>
        </w:rPr>
        <w:t xml:space="preserve"> </w:t>
      </w:r>
      <w:r>
        <w:t>financed (ie,</w:t>
      </w:r>
      <w:r>
        <w:rPr>
          <w:spacing w:val="-8"/>
        </w:rPr>
        <w:t xml:space="preserve"> </w:t>
      </w:r>
      <w:r>
        <w:t>a 10</w:t>
      </w:r>
      <w:r>
        <w:rPr>
          <w:spacing w:val="-1"/>
        </w:rPr>
        <w:t xml:space="preserve"> year</w:t>
      </w:r>
      <w:r>
        <w:t xml:space="preserve"> term-to</w:t>
      </w:r>
      <w:r>
        <w:rPr>
          <w:spacing w:val="43"/>
        </w:rPr>
        <w:t xml:space="preserve"> </w:t>
      </w:r>
      <w:r>
        <w:rPr>
          <w:spacing w:val="-1"/>
        </w:rPr>
        <w:t>maturity</w:t>
      </w:r>
      <w:r>
        <w:t xml:space="preserve"> should be adopted).</w:t>
      </w:r>
      <w:r>
        <w:rPr>
          <w:spacing w:val="-11"/>
        </w:rPr>
        <w:t xml:space="preserve"> </w:t>
      </w:r>
      <w:r>
        <w:rPr>
          <w:spacing w:val="-2"/>
        </w:rPr>
        <w:t>The</w:t>
      </w:r>
      <w:r>
        <w:t xml:space="preserve"> </w:t>
      </w:r>
      <w:r>
        <w:rPr>
          <w:spacing w:val="-1"/>
        </w:rPr>
        <w:t>reasons</w:t>
      </w:r>
      <w:r>
        <w:t xml:space="preserve"> for this </w:t>
      </w:r>
      <w:r>
        <w:rPr>
          <w:spacing w:val="-2"/>
        </w:rPr>
        <w:t>are</w:t>
      </w:r>
      <w:r>
        <w:t xml:space="preserve"> </w:t>
      </w:r>
      <w:r>
        <w:rPr>
          <w:spacing w:val="-1"/>
        </w:rPr>
        <w:t>three-fold.</w:t>
      </w:r>
    </w:p>
    <w:p w:rsidR="00D96B91" w:rsidRDefault="00C2656B">
      <w:pPr>
        <w:pStyle w:val="BodyText"/>
        <w:spacing w:before="170" w:line="260" w:lineRule="exact"/>
        <w:ind w:right="1255"/>
      </w:pPr>
      <w:r>
        <w:rPr>
          <w:spacing w:val="-1"/>
        </w:rPr>
        <w:t>First,</w:t>
      </w:r>
      <w:r>
        <w:rPr>
          <w:spacing w:val="-7"/>
        </w:rPr>
        <w:t xml:space="preserve"> </w:t>
      </w:r>
      <w:r>
        <w:rPr>
          <w:spacing w:val="-1"/>
        </w:rPr>
        <w:t xml:space="preserve">efficient </w:t>
      </w:r>
      <w:r>
        <w:t>debt</w:t>
      </w:r>
      <w:r>
        <w:rPr>
          <w:spacing w:val="-1"/>
        </w:rPr>
        <w:t xml:space="preserve"> </w:t>
      </w:r>
      <w:r>
        <w:t>management</w:t>
      </w:r>
      <w:r>
        <w:rPr>
          <w:spacing w:val="-1"/>
        </w:rPr>
        <w:t xml:space="preserve"> practice </w:t>
      </w:r>
      <w:r>
        <w:t>is</w:t>
      </w:r>
      <w:r>
        <w:rPr>
          <w:spacing w:val="-1"/>
        </w:rPr>
        <w:t xml:space="preserve"> </w:t>
      </w:r>
      <w:r>
        <w:t>to</w:t>
      </w:r>
      <w:r>
        <w:rPr>
          <w:spacing w:val="-1"/>
        </w:rPr>
        <w:t xml:space="preserve"> </w:t>
      </w:r>
      <w:r>
        <w:t>finance</w:t>
      </w:r>
      <w:r>
        <w:rPr>
          <w:spacing w:val="-1"/>
        </w:rPr>
        <w:t xml:space="preserve"> </w:t>
      </w:r>
      <w:r>
        <w:t>long-term</w:t>
      </w:r>
      <w:r>
        <w:rPr>
          <w:spacing w:val="-1"/>
        </w:rPr>
        <w:t xml:space="preserve"> </w:t>
      </w:r>
      <w:r>
        <w:t>assets</w:t>
      </w:r>
      <w:r>
        <w:rPr>
          <w:spacing w:val="-1"/>
        </w:rPr>
        <w:t xml:space="preserve"> </w:t>
      </w:r>
      <w:r>
        <w:t>using</w:t>
      </w:r>
      <w:r>
        <w:rPr>
          <w:spacing w:val="-1"/>
        </w:rPr>
        <w:t xml:space="preserve"> </w:t>
      </w:r>
      <w:r>
        <w:t>long-term</w:t>
      </w:r>
      <w:r>
        <w:rPr>
          <w:spacing w:val="-1"/>
        </w:rPr>
        <w:t xml:space="preserve"> </w:t>
      </w:r>
      <w:r>
        <w:t>debt.</w:t>
      </w:r>
      <w:r>
        <w:rPr>
          <w:spacing w:val="-8"/>
        </w:rPr>
        <w:t xml:space="preserve"> </w:t>
      </w:r>
      <w:r>
        <w:t>Since</w:t>
      </w:r>
      <w:r>
        <w:rPr>
          <w:spacing w:val="25"/>
        </w:rPr>
        <w:t xml:space="preserve"> </w:t>
      </w:r>
      <w:r>
        <w:rPr>
          <w:spacing w:val="-1"/>
        </w:rPr>
        <w:t xml:space="preserve">water </w:t>
      </w:r>
      <w:r>
        <w:t>utilities</w:t>
      </w:r>
      <w:r>
        <w:rPr>
          <w:spacing w:val="-1"/>
        </w:rPr>
        <w:t xml:space="preserve"> largely</w:t>
      </w:r>
      <w:r>
        <w:t xml:space="preserve"> have</w:t>
      </w:r>
      <w:r>
        <w:rPr>
          <w:spacing w:val="-1"/>
        </w:rPr>
        <w:t xml:space="preserve"> </w:t>
      </w:r>
      <w:r>
        <w:t>long-lived assets,</w:t>
      </w:r>
      <w:r>
        <w:rPr>
          <w:spacing w:val="-8"/>
        </w:rPr>
        <w:t xml:space="preserve"> </w:t>
      </w:r>
      <w:r>
        <w:t xml:space="preserve">an </w:t>
      </w:r>
      <w:r>
        <w:rPr>
          <w:spacing w:val="-1"/>
        </w:rPr>
        <w:t xml:space="preserve">efficient </w:t>
      </w:r>
      <w:r>
        <w:t>firm would</w:t>
      </w:r>
      <w:r>
        <w:rPr>
          <w:spacing w:val="-1"/>
        </w:rPr>
        <w:t xml:space="preserve"> </w:t>
      </w:r>
      <w:r>
        <w:t>seek to</w:t>
      </w:r>
      <w:r>
        <w:rPr>
          <w:spacing w:val="-1"/>
        </w:rPr>
        <w:t xml:space="preserve"> borrow</w:t>
      </w:r>
      <w:r>
        <w:t xml:space="preserve"> funds</w:t>
      </w:r>
      <w:r>
        <w:rPr>
          <w:spacing w:val="-1"/>
        </w:rPr>
        <w:t xml:space="preserve"> </w:t>
      </w:r>
      <w:r>
        <w:t>with</w:t>
      </w:r>
      <w:r>
        <w:rPr>
          <w:spacing w:val="-1"/>
        </w:rPr>
        <w:t xml:space="preserve"> </w:t>
      </w:r>
      <w:r>
        <w:t>as long</w:t>
      </w:r>
      <w:r>
        <w:rPr>
          <w:spacing w:val="-1"/>
        </w:rPr>
        <w:t xml:space="preserve"> </w:t>
      </w:r>
      <w:r>
        <w:t>a</w:t>
      </w:r>
      <w:r>
        <w:rPr>
          <w:spacing w:val="27"/>
        </w:rPr>
        <w:t xml:space="preserve"> </w:t>
      </w:r>
      <w:r>
        <w:rPr>
          <w:spacing w:val="-1"/>
        </w:rPr>
        <w:t>term-to-maturity</w:t>
      </w:r>
      <w:r>
        <w:rPr>
          <w:spacing w:val="-2"/>
        </w:rPr>
        <w:t xml:space="preserve"> </w:t>
      </w:r>
      <w:r>
        <w:t>as</w:t>
      </w:r>
      <w:r>
        <w:rPr>
          <w:spacing w:val="-1"/>
        </w:rPr>
        <w:t xml:space="preserve"> </w:t>
      </w:r>
      <w:r>
        <w:t>possible</w:t>
      </w:r>
      <w:r>
        <w:rPr>
          <w:spacing w:val="-1"/>
        </w:rPr>
        <w:t xml:space="preserve"> </w:t>
      </w:r>
      <w:r>
        <w:t>to</w:t>
      </w:r>
      <w:r>
        <w:rPr>
          <w:spacing w:val="-1"/>
        </w:rPr>
        <w:t xml:space="preserve"> </w:t>
      </w:r>
      <w:r>
        <w:t>minimise</w:t>
      </w:r>
      <w:r>
        <w:rPr>
          <w:spacing w:val="-1"/>
        </w:rPr>
        <w:t xml:space="preserve"> refinancing </w:t>
      </w:r>
      <w:r>
        <w:t>risk.</w:t>
      </w:r>
      <w:r>
        <w:rPr>
          <w:spacing w:val="-7"/>
        </w:rPr>
        <w:t xml:space="preserve"> </w:t>
      </w:r>
      <w:r>
        <w:t>If</w:t>
      </w:r>
      <w:r>
        <w:rPr>
          <w:spacing w:val="3"/>
        </w:rPr>
        <w:t xml:space="preserve"> </w:t>
      </w:r>
      <w:r>
        <w:rPr>
          <w:spacing w:val="-1"/>
        </w:rPr>
        <w:t xml:space="preserve">shorter </w:t>
      </w:r>
      <w:r>
        <w:t>term</w:t>
      </w:r>
      <w:r>
        <w:rPr>
          <w:spacing w:val="-1"/>
        </w:rPr>
        <w:t xml:space="preserve"> </w:t>
      </w:r>
      <w:r>
        <w:t>debt</w:t>
      </w:r>
      <w:r>
        <w:rPr>
          <w:spacing w:val="-1"/>
        </w:rPr>
        <w:t xml:space="preserve"> </w:t>
      </w:r>
      <w:r>
        <w:t>was</w:t>
      </w:r>
      <w:r>
        <w:rPr>
          <w:spacing w:val="-1"/>
        </w:rPr>
        <w:t xml:space="preserve"> </w:t>
      </w:r>
      <w:r>
        <w:t>used</w:t>
      </w:r>
      <w:r>
        <w:rPr>
          <w:spacing w:val="-1"/>
        </w:rPr>
        <w:t xml:space="preserve"> </w:t>
      </w:r>
      <w:r>
        <w:t>to</w:t>
      </w:r>
      <w:r>
        <w:rPr>
          <w:spacing w:val="-2"/>
        </w:rPr>
        <w:t xml:space="preserve"> </w:t>
      </w:r>
      <w:r>
        <w:t>finance</w:t>
      </w:r>
      <w:r>
        <w:rPr>
          <w:spacing w:val="-1"/>
        </w:rPr>
        <w:t xml:space="preserve"> </w:t>
      </w:r>
      <w:r>
        <w:t>long-</w:t>
      </w:r>
      <w:r>
        <w:rPr>
          <w:spacing w:val="51"/>
        </w:rPr>
        <w:t xml:space="preserve"> </w:t>
      </w:r>
      <w:r>
        <w:t>lived</w:t>
      </w:r>
      <w:r>
        <w:rPr>
          <w:spacing w:val="-1"/>
        </w:rPr>
        <w:t xml:space="preserve"> </w:t>
      </w:r>
      <w:r>
        <w:t>assets,</w:t>
      </w:r>
      <w:r>
        <w:rPr>
          <w:spacing w:val="-6"/>
        </w:rPr>
        <w:t xml:space="preserve"> </w:t>
      </w:r>
      <w:r>
        <w:rPr>
          <w:spacing w:val="-1"/>
        </w:rPr>
        <w:t>there</w:t>
      </w:r>
      <w:r>
        <w:t xml:space="preserve"> would</w:t>
      </w:r>
      <w:r>
        <w:rPr>
          <w:spacing w:val="-1"/>
        </w:rPr>
        <w:t xml:space="preserve"> </w:t>
      </w:r>
      <w:r>
        <w:t xml:space="preserve">be a </w:t>
      </w:r>
      <w:r>
        <w:rPr>
          <w:spacing w:val="-1"/>
        </w:rPr>
        <w:t>mismatching</w:t>
      </w:r>
      <w:r>
        <w:t xml:space="preserve"> of</w:t>
      </w:r>
      <w:r>
        <w:rPr>
          <w:spacing w:val="3"/>
        </w:rPr>
        <w:t xml:space="preserve"> </w:t>
      </w:r>
      <w:r>
        <w:t xml:space="preserve">cash flows </w:t>
      </w:r>
      <w:r>
        <w:rPr>
          <w:spacing w:val="-1"/>
        </w:rPr>
        <w:t xml:space="preserve">from </w:t>
      </w:r>
      <w:r>
        <w:t>assets and liabilities,</w:t>
      </w:r>
      <w:r>
        <w:rPr>
          <w:spacing w:val="-6"/>
        </w:rPr>
        <w:t xml:space="preserve"> </w:t>
      </w:r>
      <w:r>
        <w:t>and</w:t>
      </w:r>
      <w:r>
        <w:rPr>
          <w:spacing w:val="-1"/>
        </w:rPr>
        <w:t xml:space="preserve"> </w:t>
      </w:r>
      <w:r>
        <w:t xml:space="preserve">this may </w:t>
      </w:r>
      <w:r>
        <w:rPr>
          <w:spacing w:val="-1"/>
        </w:rPr>
        <w:t>expose</w:t>
      </w:r>
      <w:r>
        <w:rPr>
          <w:spacing w:val="29"/>
        </w:rPr>
        <w:t xml:space="preserve"> </w:t>
      </w:r>
      <w:r>
        <w:rPr>
          <w:spacing w:val="-1"/>
        </w:rPr>
        <w:t>regulated</w:t>
      </w:r>
      <w:r>
        <w:rPr>
          <w:spacing w:val="-2"/>
        </w:rPr>
        <w:t xml:space="preserve"> </w:t>
      </w:r>
      <w:r>
        <w:rPr>
          <w:spacing w:val="-1"/>
        </w:rPr>
        <w:t>water</w:t>
      </w:r>
      <w:r>
        <w:rPr>
          <w:spacing w:val="-2"/>
        </w:rPr>
        <w:t xml:space="preserve"> </w:t>
      </w:r>
      <w:r>
        <w:t>utilities</w:t>
      </w:r>
      <w:r>
        <w:rPr>
          <w:spacing w:val="-1"/>
        </w:rPr>
        <w:t xml:space="preserve"> </w:t>
      </w:r>
      <w:r>
        <w:t>to</w:t>
      </w:r>
      <w:r>
        <w:rPr>
          <w:spacing w:val="-2"/>
        </w:rPr>
        <w:t xml:space="preserve"> </w:t>
      </w:r>
      <w:r>
        <w:t>significant</w:t>
      </w:r>
      <w:r>
        <w:rPr>
          <w:spacing w:val="-1"/>
        </w:rPr>
        <w:t xml:space="preserve"> refinancing</w:t>
      </w:r>
      <w:r>
        <w:rPr>
          <w:spacing w:val="-2"/>
        </w:rPr>
        <w:t xml:space="preserve"> </w:t>
      </w:r>
      <w:r>
        <w:t>and</w:t>
      </w:r>
      <w:r>
        <w:rPr>
          <w:spacing w:val="-2"/>
        </w:rPr>
        <w:t xml:space="preserve"> </w:t>
      </w:r>
      <w:r>
        <w:rPr>
          <w:spacing w:val="-1"/>
        </w:rPr>
        <w:t xml:space="preserve">interest </w:t>
      </w:r>
      <w:r>
        <w:rPr>
          <w:spacing w:val="-2"/>
        </w:rPr>
        <w:t xml:space="preserve">rate </w:t>
      </w:r>
      <w:r>
        <w:rPr>
          <w:spacing w:val="-1"/>
        </w:rPr>
        <w:t>risks.</w:t>
      </w:r>
      <w:r>
        <w:rPr>
          <w:spacing w:val="-7"/>
        </w:rPr>
        <w:t xml:space="preserve"> </w:t>
      </w:r>
      <w:r>
        <w:t>Under</w:t>
      </w:r>
      <w:r>
        <w:rPr>
          <w:spacing w:val="-2"/>
        </w:rPr>
        <w:t xml:space="preserve"> </w:t>
      </w:r>
      <w:r>
        <w:t>normal</w:t>
      </w:r>
      <w:r>
        <w:rPr>
          <w:spacing w:val="-1"/>
        </w:rPr>
        <w:t xml:space="preserve"> circumstances</w:t>
      </w:r>
      <w:r>
        <w:rPr>
          <w:spacing w:val="67"/>
        </w:rPr>
        <w:t xml:space="preserve"> </w:t>
      </w:r>
      <w:r>
        <w:t xml:space="preserve">long-term debt would be </w:t>
      </w:r>
      <w:r>
        <w:rPr>
          <w:spacing w:val="-1"/>
        </w:rPr>
        <w:t>more</w:t>
      </w:r>
      <w:r>
        <w:t xml:space="preserve"> </w:t>
      </w:r>
      <w:r>
        <w:rPr>
          <w:spacing w:val="-1"/>
        </w:rPr>
        <w:t>expensive</w:t>
      </w:r>
      <w:r>
        <w:t xml:space="preserve"> than </w:t>
      </w:r>
      <w:r>
        <w:rPr>
          <w:spacing w:val="-1"/>
        </w:rPr>
        <w:t>short-term</w:t>
      </w:r>
      <w:r>
        <w:t xml:space="preserve"> debt due to an </w:t>
      </w:r>
      <w:r>
        <w:rPr>
          <w:spacing w:val="-1"/>
        </w:rPr>
        <w:t>upward</w:t>
      </w:r>
      <w:r>
        <w:t xml:space="preserve"> sloping yield curve,</w:t>
      </w:r>
      <w:r>
        <w:rPr>
          <w:spacing w:val="33"/>
        </w:rPr>
        <w:t xml:space="preserve"> </w:t>
      </w:r>
      <w:r>
        <w:t>and</w:t>
      </w:r>
      <w:r>
        <w:rPr>
          <w:spacing w:val="-2"/>
        </w:rPr>
        <w:t xml:space="preserve"> </w:t>
      </w:r>
      <w:r>
        <w:rPr>
          <w:spacing w:val="-1"/>
        </w:rPr>
        <w:t>therefore,</w:t>
      </w:r>
      <w:r>
        <w:rPr>
          <w:spacing w:val="-6"/>
        </w:rPr>
        <w:t xml:space="preserve"> </w:t>
      </w:r>
      <w:r>
        <w:t>an</w:t>
      </w:r>
      <w:r>
        <w:rPr>
          <w:spacing w:val="-1"/>
        </w:rPr>
        <w:t xml:space="preserve"> efficient </w:t>
      </w:r>
      <w:r>
        <w:t>firm</w:t>
      </w:r>
      <w:r>
        <w:rPr>
          <w:spacing w:val="-2"/>
        </w:rPr>
        <w:t xml:space="preserve"> </w:t>
      </w:r>
      <w:r>
        <w:t>would</w:t>
      </w:r>
      <w:r>
        <w:rPr>
          <w:spacing w:val="-1"/>
        </w:rPr>
        <w:t xml:space="preserve"> </w:t>
      </w:r>
      <w:r>
        <w:t>seek</w:t>
      </w:r>
      <w:r>
        <w:rPr>
          <w:spacing w:val="-1"/>
        </w:rPr>
        <w:t xml:space="preserve"> </w:t>
      </w:r>
      <w:r>
        <w:t>to</w:t>
      </w:r>
      <w:r>
        <w:rPr>
          <w:spacing w:val="-1"/>
        </w:rPr>
        <w:t xml:space="preserve"> </w:t>
      </w:r>
      <w:r>
        <w:t>balance</w:t>
      </w:r>
      <w:r>
        <w:rPr>
          <w:spacing w:val="-1"/>
        </w:rPr>
        <w:t xml:space="preserve"> </w:t>
      </w:r>
      <w:r>
        <w:t>the</w:t>
      </w:r>
      <w:r>
        <w:rPr>
          <w:spacing w:val="-1"/>
        </w:rPr>
        <w:t xml:space="preserve"> </w:t>
      </w:r>
      <w:r>
        <w:t>costs</w:t>
      </w:r>
      <w:r>
        <w:rPr>
          <w:spacing w:val="-1"/>
        </w:rPr>
        <w:t xml:space="preserve"> </w:t>
      </w:r>
      <w:r>
        <w:t>and</w:t>
      </w:r>
      <w:r>
        <w:rPr>
          <w:spacing w:val="-1"/>
        </w:rPr>
        <w:t xml:space="preserve"> </w:t>
      </w:r>
      <w:r>
        <w:t>benefits</w:t>
      </w:r>
      <w:r>
        <w:rPr>
          <w:spacing w:val="-1"/>
        </w:rPr>
        <w:t xml:space="preserve"> </w:t>
      </w:r>
      <w:r>
        <w:t>of</w:t>
      </w:r>
      <w:r>
        <w:rPr>
          <w:spacing w:val="3"/>
        </w:rPr>
        <w:t xml:space="preserve"> </w:t>
      </w:r>
      <w:r>
        <w:t>using</w:t>
      </w:r>
      <w:r>
        <w:rPr>
          <w:spacing w:val="-1"/>
        </w:rPr>
        <w:t xml:space="preserve"> </w:t>
      </w:r>
      <w:r>
        <w:t>long-term</w:t>
      </w:r>
      <w:r>
        <w:rPr>
          <w:spacing w:val="-1"/>
        </w:rPr>
        <w:t xml:space="preserve"> </w:t>
      </w:r>
      <w:r>
        <w:t>debt.</w:t>
      </w:r>
    </w:p>
    <w:p w:rsidR="00D96B91" w:rsidRDefault="00C2656B">
      <w:pPr>
        <w:pStyle w:val="BodyText"/>
        <w:spacing w:before="170" w:line="260" w:lineRule="exact"/>
        <w:ind w:right="1464"/>
      </w:pPr>
      <w:r>
        <w:t>Second,</w:t>
      </w:r>
      <w:r>
        <w:rPr>
          <w:spacing w:val="-7"/>
        </w:rPr>
        <w:t xml:space="preserve"> </w:t>
      </w:r>
      <w:r>
        <w:t>the</w:t>
      </w:r>
      <w:r>
        <w:rPr>
          <w:spacing w:val="-1"/>
        </w:rPr>
        <w:t xml:space="preserve"> expected</w:t>
      </w:r>
      <w:r>
        <w:t xml:space="preserve"> </w:t>
      </w:r>
      <w:r>
        <w:rPr>
          <w:spacing w:val="-1"/>
        </w:rPr>
        <w:t xml:space="preserve">returns </w:t>
      </w:r>
      <w:r>
        <w:t>on long-lived</w:t>
      </w:r>
      <w:r>
        <w:rPr>
          <w:spacing w:val="-1"/>
        </w:rPr>
        <w:t xml:space="preserve"> </w:t>
      </w:r>
      <w:r>
        <w:t xml:space="preserve">investments </w:t>
      </w:r>
      <w:r>
        <w:rPr>
          <w:spacing w:val="-2"/>
        </w:rPr>
        <w:t>are</w:t>
      </w:r>
      <w:r>
        <w:rPr>
          <w:spacing w:val="-1"/>
        </w:rPr>
        <w:t xml:space="preserve"> more </w:t>
      </w:r>
      <w:r>
        <w:t xml:space="preserve">closely </w:t>
      </w:r>
      <w:r>
        <w:rPr>
          <w:spacing w:val="-1"/>
        </w:rPr>
        <w:t xml:space="preserve">reflected </w:t>
      </w:r>
      <w:r>
        <w:t>in long-term</w:t>
      </w:r>
      <w:r>
        <w:rPr>
          <w:spacing w:val="-1"/>
        </w:rPr>
        <w:t xml:space="preserve"> </w:t>
      </w:r>
      <w:r>
        <w:t>bond</w:t>
      </w:r>
      <w:r>
        <w:rPr>
          <w:spacing w:val="33"/>
        </w:rPr>
        <w:t xml:space="preserve"> </w:t>
      </w:r>
      <w:r>
        <w:t>yields.</w:t>
      </w:r>
      <w:r>
        <w:rPr>
          <w:spacing w:val="-6"/>
        </w:rPr>
        <w:t xml:space="preserve"> </w:t>
      </w:r>
      <w:r>
        <w:rPr>
          <w:spacing w:val="-1"/>
        </w:rPr>
        <w:t>Long-term</w:t>
      </w:r>
      <w:r>
        <w:t xml:space="preserve"> bonds </w:t>
      </w:r>
      <w:r>
        <w:rPr>
          <w:spacing w:val="-2"/>
        </w:rPr>
        <w:t>are</w:t>
      </w:r>
      <w:r>
        <w:t xml:space="preserve"> </w:t>
      </w:r>
      <w:r>
        <w:rPr>
          <w:spacing w:val="-1"/>
        </w:rPr>
        <w:t>therefore</w:t>
      </w:r>
      <w:r>
        <w:t xml:space="preserve"> </w:t>
      </w:r>
      <w:r>
        <w:rPr>
          <w:spacing w:val="-1"/>
        </w:rPr>
        <w:t>more</w:t>
      </w:r>
      <w:r>
        <w:t xml:space="preserve"> consistent with the long-term </w:t>
      </w:r>
      <w:r>
        <w:rPr>
          <w:spacing w:val="-2"/>
        </w:rPr>
        <w:t>nature</w:t>
      </w:r>
      <w:r>
        <w:t xml:space="preserve"> of</w:t>
      </w:r>
      <w:r>
        <w:rPr>
          <w:spacing w:val="4"/>
        </w:rPr>
        <w:t xml:space="preserve"> </w:t>
      </w:r>
      <w:r>
        <w:t>investment made</w:t>
      </w:r>
      <w:r>
        <w:rPr>
          <w:spacing w:val="27"/>
        </w:rPr>
        <w:t xml:space="preserve"> </w:t>
      </w:r>
      <w:r>
        <w:t>by</w:t>
      </w:r>
      <w:r>
        <w:rPr>
          <w:spacing w:val="-1"/>
        </w:rPr>
        <w:t xml:space="preserve"> </w:t>
      </w:r>
      <w:r>
        <w:t>asset-intensive</w:t>
      </w:r>
      <w:r>
        <w:rPr>
          <w:spacing w:val="-1"/>
        </w:rPr>
        <w:t xml:space="preserve"> </w:t>
      </w:r>
      <w:r>
        <w:t>firms.</w:t>
      </w:r>
      <w:r>
        <w:rPr>
          <w:spacing w:val="-8"/>
        </w:rPr>
        <w:t xml:space="preserve"> </w:t>
      </w:r>
      <w:r>
        <w:rPr>
          <w:spacing w:val="-1"/>
        </w:rPr>
        <w:t xml:space="preserve">Evidence </w:t>
      </w:r>
      <w:r>
        <w:t xml:space="preserve">shows </w:t>
      </w:r>
      <w:r>
        <w:rPr>
          <w:spacing w:val="-1"/>
        </w:rPr>
        <w:t xml:space="preserve">that </w:t>
      </w:r>
      <w:r>
        <w:t>asset-intensive</w:t>
      </w:r>
      <w:r>
        <w:rPr>
          <w:spacing w:val="-1"/>
        </w:rPr>
        <w:t xml:space="preserve"> </w:t>
      </w:r>
      <w:r>
        <w:t>firms</w:t>
      </w:r>
      <w:r>
        <w:rPr>
          <w:spacing w:val="-1"/>
        </w:rPr>
        <w:t xml:space="preserve"> </w:t>
      </w:r>
      <w:r>
        <w:t>with</w:t>
      </w:r>
      <w:r>
        <w:rPr>
          <w:spacing w:val="-1"/>
        </w:rPr>
        <w:t xml:space="preserve"> </w:t>
      </w:r>
      <w:r>
        <w:t>long-lived assets</w:t>
      </w:r>
      <w:r>
        <w:rPr>
          <w:spacing w:val="-1"/>
        </w:rPr>
        <w:t xml:space="preserve"> operating </w:t>
      </w:r>
      <w:r>
        <w:t>in</w:t>
      </w:r>
      <w:r>
        <w:rPr>
          <w:spacing w:val="23"/>
        </w:rPr>
        <w:t xml:space="preserve"> </w:t>
      </w:r>
      <w:r>
        <w:t xml:space="preserve">a competitive </w:t>
      </w:r>
      <w:r>
        <w:rPr>
          <w:spacing w:val="-1"/>
        </w:rPr>
        <w:t>market</w:t>
      </w:r>
      <w:r>
        <w:t xml:space="preserve"> tend to </w:t>
      </w:r>
      <w:r>
        <w:rPr>
          <w:spacing w:val="-1"/>
        </w:rPr>
        <w:t>raise</w:t>
      </w:r>
      <w:r>
        <w:t xml:space="preserve"> debt with a </w:t>
      </w:r>
      <w:r>
        <w:rPr>
          <w:spacing w:val="-1"/>
        </w:rPr>
        <w:t>maturity</w:t>
      </w:r>
      <w:r>
        <w:t xml:space="preserve"> of</w:t>
      </w:r>
      <w:r>
        <w:rPr>
          <w:spacing w:val="4"/>
        </w:rPr>
        <w:t xml:space="preserve"> </w:t>
      </w:r>
      <w:r>
        <w:t xml:space="preserve">10 </w:t>
      </w:r>
      <w:r>
        <w:rPr>
          <w:spacing w:val="-1"/>
        </w:rPr>
        <w:t>years</w:t>
      </w:r>
      <w:r>
        <w:t xml:space="preserve"> or </w:t>
      </w:r>
      <w:r>
        <w:rPr>
          <w:spacing w:val="-2"/>
        </w:rPr>
        <w:t>longer,</w:t>
      </w:r>
      <w:r>
        <w:rPr>
          <w:spacing w:val="-6"/>
        </w:rPr>
        <w:t xml:space="preserve"> </w:t>
      </w:r>
      <w:r>
        <w:t xml:space="preserve">with a </w:t>
      </w:r>
      <w:r>
        <w:rPr>
          <w:spacing w:val="-1"/>
        </w:rPr>
        <w:t>10-year</w:t>
      </w:r>
      <w:r>
        <w:t xml:space="preserve"> term-to-</w:t>
      </w:r>
      <w:r>
        <w:rPr>
          <w:spacing w:val="45"/>
        </w:rPr>
        <w:t xml:space="preserve"> </w:t>
      </w:r>
      <w:r>
        <w:rPr>
          <w:spacing w:val="-1"/>
        </w:rPr>
        <w:t xml:space="preserve">maturity </w:t>
      </w:r>
      <w:r>
        <w:t xml:space="preserve">being most </w:t>
      </w:r>
      <w:r>
        <w:rPr>
          <w:spacing w:val="-1"/>
        </w:rPr>
        <w:t>preferred.</w:t>
      </w:r>
      <w:r>
        <w:rPr>
          <w:spacing w:val="-11"/>
        </w:rPr>
        <w:t xml:space="preserve"> </w:t>
      </w:r>
      <w:r>
        <w:t>A</w:t>
      </w:r>
      <w:r>
        <w:rPr>
          <w:spacing w:val="-4"/>
        </w:rPr>
        <w:t xml:space="preserve"> </w:t>
      </w:r>
      <w:r>
        <w:rPr>
          <w:spacing w:val="-1"/>
        </w:rPr>
        <w:t>recent</w:t>
      </w:r>
      <w:r>
        <w:t xml:space="preserve"> survey</w:t>
      </w:r>
      <w:r>
        <w:rPr>
          <w:spacing w:val="-1"/>
        </w:rPr>
        <w:t xml:space="preserve"> </w:t>
      </w:r>
      <w:r>
        <w:t xml:space="preserve">by </w:t>
      </w:r>
      <w:r>
        <w:rPr>
          <w:spacing w:val="-1"/>
        </w:rPr>
        <w:t>Brotherson</w:t>
      </w:r>
      <w:r>
        <w:t xml:space="preserve"> </w:t>
      </w:r>
      <w:r>
        <w:rPr>
          <w:rFonts w:cs="Avenir Next"/>
          <w:i/>
        </w:rPr>
        <w:t>et</w:t>
      </w:r>
      <w:r>
        <w:rPr>
          <w:rFonts w:cs="Avenir Next"/>
          <w:i/>
          <w:spacing w:val="-1"/>
        </w:rPr>
        <w:t xml:space="preserve"> </w:t>
      </w:r>
      <w:r>
        <w:rPr>
          <w:rFonts w:cs="Avenir Next"/>
          <w:i/>
        </w:rPr>
        <w:t xml:space="preserve">al. </w:t>
      </w:r>
      <w:r>
        <w:t>on firms’</w:t>
      </w:r>
      <w:r>
        <w:rPr>
          <w:spacing w:val="-1"/>
        </w:rPr>
        <w:t xml:space="preserve"> practice</w:t>
      </w:r>
      <w:r>
        <w:t xml:space="preserve"> in </w:t>
      </w:r>
      <w:r>
        <w:rPr>
          <w:spacing w:val="-1"/>
        </w:rPr>
        <w:t>estimating</w:t>
      </w:r>
    </w:p>
    <w:p w:rsidR="00D96B91" w:rsidRDefault="00C2656B">
      <w:pPr>
        <w:pStyle w:val="BodyText"/>
        <w:spacing w:before="17" w:line="228" w:lineRule="auto"/>
        <w:ind w:right="1283"/>
      </w:pPr>
      <w:r>
        <w:t>the</w:t>
      </w:r>
      <w:r>
        <w:rPr>
          <w:spacing w:val="-1"/>
        </w:rPr>
        <w:t xml:space="preserve"> </w:t>
      </w:r>
      <w:r>
        <w:t>cost</w:t>
      </w:r>
      <w:r>
        <w:rPr>
          <w:spacing w:val="-1"/>
        </w:rPr>
        <w:t xml:space="preserve"> </w:t>
      </w:r>
      <w:r>
        <w:t>of</w:t>
      </w:r>
      <w:r>
        <w:rPr>
          <w:spacing w:val="3"/>
        </w:rPr>
        <w:t xml:space="preserve"> </w:t>
      </w:r>
      <w:r>
        <w:t>capital</w:t>
      </w:r>
      <w:r>
        <w:rPr>
          <w:spacing w:val="-1"/>
        </w:rPr>
        <w:t xml:space="preserve"> </w:t>
      </w:r>
      <w:r>
        <w:t>shows</w:t>
      </w:r>
      <w:r>
        <w:rPr>
          <w:spacing w:val="-1"/>
        </w:rPr>
        <w:t xml:space="preserve"> that</w:t>
      </w:r>
      <w:r>
        <w:t xml:space="preserve"> firms</w:t>
      </w:r>
      <w:r>
        <w:rPr>
          <w:spacing w:val="-1"/>
        </w:rPr>
        <w:t xml:space="preserve"> </w:t>
      </w:r>
      <w:r>
        <w:t>and</w:t>
      </w:r>
      <w:r>
        <w:rPr>
          <w:spacing w:val="-1"/>
        </w:rPr>
        <w:t xml:space="preserve"> </w:t>
      </w:r>
      <w:r>
        <w:t>financial</w:t>
      </w:r>
      <w:r>
        <w:rPr>
          <w:spacing w:val="-1"/>
        </w:rPr>
        <w:t xml:space="preserve"> </w:t>
      </w:r>
      <w:r>
        <w:t>advisors</w:t>
      </w:r>
      <w:r>
        <w:rPr>
          <w:spacing w:val="-1"/>
        </w:rPr>
        <w:t xml:space="preserve"> </w:t>
      </w:r>
      <w:r>
        <w:t xml:space="preserve">unanimously </w:t>
      </w:r>
      <w:r>
        <w:rPr>
          <w:spacing w:val="-1"/>
        </w:rPr>
        <w:t xml:space="preserve">responded that </w:t>
      </w:r>
      <w:r>
        <w:t>they</w:t>
      </w:r>
      <w:r>
        <w:rPr>
          <w:spacing w:val="-1"/>
        </w:rPr>
        <w:t xml:space="preserve"> </w:t>
      </w:r>
      <w:r>
        <w:t>use bond</w:t>
      </w:r>
      <w:r>
        <w:rPr>
          <w:spacing w:val="30"/>
        </w:rPr>
        <w:t xml:space="preserve"> </w:t>
      </w:r>
      <w:r>
        <w:rPr>
          <w:spacing w:val="-1"/>
        </w:rPr>
        <w:t>maturities</w:t>
      </w:r>
      <w:r>
        <w:t xml:space="preserve"> of</w:t>
      </w:r>
      <w:r>
        <w:rPr>
          <w:spacing w:val="5"/>
        </w:rPr>
        <w:t xml:space="preserve"> </w:t>
      </w:r>
      <w:r>
        <w:t>10</w:t>
      </w:r>
      <w:r>
        <w:rPr>
          <w:spacing w:val="1"/>
        </w:rPr>
        <w:t xml:space="preserve"> </w:t>
      </w:r>
      <w:r>
        <w:rPr>
          <w:spacing w:val="-1"/>
        </w:rPr>
        <w:t>years</w:t>
      </w:r>
      <w:r>
        <w:rPr>
          <w:spacing w:val="1"/>
        </w:rPr>
        <w:t xml:space="preserve"> </w:t>
      </w:r>
      <w:r>
        <w:t>or</w:t>
      </w:r>
      <w:r>
        <w:rPr>
          <w:spacing w:val="1"/>
        </w:rPr>
        <w:t xml:space="preserve"> </w:t>
      </w:r>
      <w:r>
        <w:rPr>
          <w:spacing w:val="-1"/>
        </w:rPr>
        <w:t>longer.</w:t>
      </w:r>
      <w:r>
        <w:rPr>
          <w:spacing w:val="-1"/>
          <w:position w:val="7"/>
          <w:sz w:val="11"/>
          <w:szCs w:val="11"/>
        </w:rPr>
        <w:t>255</w:t>
      </w:r>
      <w:r>
        <w:rPr>
          <w:spacing w:val="23"/>
          <w:position w:val="7"/>
          <w:sz w:val="11"/>
          <w:szCs w:val="11"/>
        </w:rPr>
        <w:t xml:space="preserve"> </w:t>
      </w:r>
      <w:r>
        <w:rPr>
          <w:spacing w:val="-4"/>
        </w:rPr>
        <w:t>From</w:t>
      </w:r>
      <w:r>
        <w:rPr>
          <w:spacing w:val="1"/>
        </w:rPr>
        <w:t xml:space="preserve"> </w:t>
      </w:r>
      <w:r>
        <w:t>investors’</w:t>
      </w:r>
      <w:r>
        <w:rPr>
          <w:spacing w:val="1"/>
        </w:rPr>
        <w:t xml:space="preserve"> </w:t>
      </w:r>
      <w:r>
        <w:t>perspectives,</w:t>
      </w:r>
      <w:r>
        <w:rPr>
          <w:spacing w:val="-7"/>
        </w:rPr>
        <w:t xml:space="preserve"> </w:t>
      </w:r>
      <w:r>
        <w:t>those</w:t>
      </w:r>
      <w:r>
        <w:rPr>
          <w:spacing w:val="1"/>
        </w:rPr>
        <w:t xml:space="preserve"> </w:t>
      </w:r>
      <w:r>
        <w:t>seeking</w:t>
      </w:r>
      <w:r>
        <w:rPr>
          <w:spacing w:val="1"/>
        </w:rPr>
        <w:t xml:space="preserve"> </w:t>
      </w:r>
      <w:r>
        <w:t>to</w:t>
      </w:r>
      <w:r>
        <w:rPr>
          <w:spacing w:val="1"/>
        </w:rPr>
        <w:t xml:space="preserve"> </w:t>
      </w:r>
      <w:r>
        <w:t>invest</w:t>
      </w:r>
      <w:r>
        <w:rPr>
          <w:spacing w:val="1"/>
        </w:rPr>
        <w:t xml:space="preserve"> </w:t>
      </w:r>
      <w:r>
        <w:t>in</w:t>
      </w:r>
      <w:r>
        <w:rPr>
          <w:spacing w:val="1"/>
        </w:rPr>
        <w:t xml:space="preserve"> </w:t>
      </w:r>
      <w:r>
        <w:t>asset-</w:t>
      </w:r>
      <w:r>
        <w:rPr>
          <w:spacing w:val="29"/>
        </w:rPr>
        <w:t xml:space="preserve"> </w:t>
      </w:r>
      <w:r>
        <w:t>intensive</w:t>
      </w:r>
      <w:r>
        <w:rPr>
          <w:spacing w:val="-2"/>
        </w:rPr>
        <w:t xml:space="preserve"> </w:t>
      </w:r>
      <w:r>
        <w:t>firms</w:t>
      </w:r>
      <w:r>
        <w:rPr>
          <w:spacing w:val="-1"/>
        </w:rPr>
        <w:t xml:space="preserve"> </w:t>
      </w:r>
      <w:r>
        <w:t>usually</w:t>
      </w:r>
      <w:r>
        <w:rPr>
          <w:spacing w:val="-1"/>
        </w:rPr>
        <w:t xml:space="preserve"> </w:t>
      </w:r>
      <w:r>
        <w:t>have</w:t>
      </w:r>
      <w:r>
        <w:rPr>
          <w:spacing w:val="-1"/>
        </w:rPr>
        <w:t xml:space="preserve"> </w:t>
      </w:r>
      <w:r>
        <w:t>investment</w:t>
      </w:r>
      <w:r>
        <w:rPr>
          <w:spacing w:val="-1"/>
        </w:rPr>
        <w:t xml:space="preserve"> </w:t>
      </w:r>
      <w:r>
        <w:t>and</w:t>
      </w:r>
      <w:r>
        <w:rPr>
          <w:spacing w:val="-1"/>
        </w:rPr>
        <w:t xml:space="preserve"> </w:t>
      </w:r>
      <w:r>
        <w:t>financing</w:t>
      </w:r>
      <w:r>
        <w:rPr>
          <w:spacing w:val="-2"/>
        </w:rPr>
        <w:t xml:space="preserve"> </w:t>
      </w:r>
      <w:r>
        <w:t>horizons</w:t>
      </w:r>
      <w:r>
        <w:rPr>
          <w:spacing w:val="-1"/>
        </w:rPr>
        <w:t xml:space="preserve"> </w:t>
      </w:r>
      <w:r>
        <w:t>much</w:t>
      </w:r>
      <w:r>
        <w:rPr>
          <w:spacing w:val="-1"/>
        </w:rPr>
        <w:t xml:space="preserve"> </w:t>
      </w:r>
      <w:r>
        <w:t>longer</w:t>
      </w:r>
      <w:r>
        <w:rPr>
          <w:spacing w:val="-1"/>
        </w:rPr>
        <w:t xml:space="preserve"> </w:t>
      </w:r>
      <w:r>
        <w:t>than</w:t>
      </w:r>
      <w:r>
        <w:rPr>
          <w:spacing w:val="-1"/>
        </w:rPr>
        <w:t xml:space="preserve"> </w:t>
      </w:r>
      <w:r>
        <w:t>the</w:t>
      </w:r>
      <w:r>
        <w:rPr>
          <w:spacing w:val="-1"/>
        </w:rPr>
        <w:t xml:space="preserve"> standard </w:t>
      </w:r>
      <w:r>
        <w:t>five</w:t>
      </w:r>
      <w:r>
        <w:rPr>
          <w:spacing w:val="-2"/>
        </w:rPr>
        <w:t xml:space="preserve"> </w:t>
      </w:r>
      <w:r>
        <w:rPr>
          <w:spacing w:val="-1"/>
        </w:rPr>
        <w:t>year</w:t>
      </w:r>
      <w:r>
        <w:rPr>
          <w:spacing w:val="27"/>
        </w:rPr>
        <w:t xml:space="preserve"> </w:t>
      </w:r>
      <w:r>
        <w:rPr>
          <w:spacing w:val="-1"/>
        </w:rPr>
        <w:t>regulatory</w:t>
      </w:r>
      <w:r>
        <w:t xml:space="preserve"> period.</w:t>
      </w:r>
    </w:p>
    <w:p w:rsidR="00D96B91" w:rsidRDefault="00C2656B">
      <w:pPr>
        <w:pStyle w:val="BodyText"/>
        <w:spacing w:before="152" w:line="260" w:lineRule="exact"/>
        <w:ind w:right="1283"/>
      </w:pPr>
      <w:r>
        <w:rPr>
          <w:spacing w:val="-2"/>
        </w:rPr>
        <w:t>Third,</w:t>
      </w:r>
      <w:r>
        <w:rPr>
          <w:spacing w:val="-6"/>
        </w:rPr>
        <w:t xml:space="preserve"> </w:t>
      </w:r>
      <w:r>
        <w:t xml:space="preserve">the </w:t>
      </w:r>
      <w:r>
        <w:rPr>
          <w:spacing w:val="-1"/>
        </w:rPr>
        <w:t>term-to-maturity</w:t>
      </w:r>
      <w:r>
        <w:t xml:space="preserve"> of</w:t>
      </w:r>
      <w:r>
        <w:rPr>
          <w:spacing w:val="4"/>
        </w:rPr>
        <w:t xml:space="preserve"> </w:t>
      </w:r>
      <w:r>
        <w:t xml:space="preserve">the </w:t>
      </w:r>
      <w:r>
        <w:rPr>
          <w:spacing w:val="-1"/>
        </w:rPr>
        <w:t>risk-free</w:t>
      </w:r>
      <w:r>
        <w:t xml:space="preserve"> </w:t>
      </w:r>
      <w:r>
        <w:rPr>
          <w:spacing w:val="-2"/>
        </w:rPr>
        <w:t>rate</w:t>
      </w:r>
      <w:r>
        <w:t xml:space="preserve"> used in the </w:t>
      </w:r>
      <w:r>
        <w:rPr>
          <w:spacing w:val="-1"/>
        </w:rPr>
        <w:t>calculation</w:t>
      </w:r>
      <w:r>
        <w:t xml:space="preserve"> of</w:t>
      </w:r>
      <w:r>
        <w:rPr>
          <w:spacing w:val="4"/>
        </w:rPr>
        <w:t xml:space="preserve"> </w:t>
      </w:r>
      <w:r>
        <w:t>the cost of</w:t>
      </w:r>
      <w:r>
        <w:rPr>
          <w:spacing w:val="4"/>
        </w:rPr>
        <w:t xml:space="preserve"> </w:t>
      </w:r>
      <w:r>
        <w:t>debt should be</w:t>
      </w:r>
      <w:r>
        <w:rPr>
          <w:spacing w:val="61"/>
        </w:rPr>
        <w:t xml:space="preserve"> </w:t>
      </w:r>
      <w:r>
        <w:t xml:space="preserve">consistent with the assumption used when </w:t>
      </w:r>
      <w:r>
        <w:rPr>
          <w:spacing w:val="-1"/>
        </w:rPr>
        <w:t>calculating</w:t>
      </w:r>
      <w:r>
        <w:t xml:space="preserve"> the cost of</w:t>
      </w:r>
      <w:r>
        <w:rPr>
          <w:spacing w:val="4"/>
        </w:rPr>
        <w:t xml:space="preserve"> </w:t>
      </w:r>
      <w:r>
        <w:rPr>
          <w:spacing w:val="-2"/>
        </w:rPr>
        <w:t>equity.</w:t>
      </w:r>
      <w:r>
        <w:rPr>
          <w:spacing w:val="-9"/>
        </w:rPr>
        <w:t xml:space="preserve"> </w:t>
      </w:r>
      <w:r>
        <w:t xml:space="preserve">When </w:t>
      </w:r>
      <w:r>
        <w:rPr>
          <w:spacing w:val="-1"/>
        </w:rPr>
        <w:t>calculating</w:t>
      </w:r>
      <w:r>
        <w:t xml:space="preserve"> the cost of</w:t>
      </w:r>
      <w:r>
        <w:rPr>
          <w:spacing w:val="47"/>
        </w:rPr>
        <w:t xml:space="preserve"> </w:t>
      </w:r>
      <w:r>
        <w:rPr>
          <w:spacing w:val="-2"/>
        </w:rPr>
        <w:t>equity,</w:t>
      </w:r>
      <w:r>
        <w:rPr>
          <w:spacing w:val="-7"/>
        </w:rPr>
        <w:t xml:space="preserve"> </w:t>
      </w:r>
      <w:r>
        <w:t>companies</w:t>
      </w:r>
      <w:r>
        <w:rPr>
          <w:spacing w:val="-1"/>
        </w:rPr>
        <w:t xml:space="preserve"> </w:t>
      </w:r>
      <w:r>
        <w:t>and financial</w:t>
      </w:r>
      <w:r>
        <w:rPr>
          <w:spacing w:val="-1"/>
        </w:rPr>
        <w:t xml:space="preserve"> </w:t>
      </w:r>
      <w:r>
        <w:t>analysts usually</w:t>
      </w:r>
      <w:r>
        <w:rPr>
          <w:spacing w:val="-1"/>
        </w:rPr>
        <w:t xml:space="preserve"> </w:t>
      </w:r>
      <w:r>
        <w:t>adopt a</w:t>
      </w:r>
      <w:r>
        <w:rPr>
          <w:spacing w:val="-1"/>
        </w:rPr>
        <w:t xml:space="preserve"> 10-year</w:t>
      </w:r>
      <w:r>
        <w:t xml:space="preserve"> government</w:t>
      </w:r>
      <w:r>
        <w:rPr>
          <w:spacing w:val="-1"/>
        </w:rPr>
        <w:t xml:space="preserve"> </w:t>
      </w:r>
      <w:r>
        <w:t>bond yield</w:t>
      </w:r>
      <w:r>
        <w:rPr>
          <w:spacing w:val="-1"/>
        </w:rPr>
        <w:t xml:space="preserve"> </w:t>
      </w:r>
      <w:r>
        <w:t>as the</w:t>
      </w:r>
      <w:r>
        <w:rPr>
          <w:spacing w:val="-1"/>
        </w:rPr>
        <w:t xml:space="preserve"> risk-free</w:t>
      </w:r>
      <w:r>
        <w:rPr>
          <w:spacing w:val="23"/>
        </w:rPr>
        <w:t xml:space="preserve"> </w:t>
      </w:r>
      <w:r>
        <w:rPr>
          <w:spacing w:val="-2"/>
        </w:rPr>
        <w:t>rate</w:t>
      </w:r>
      <w:r>
        <w:t xml:space="preserve"> and </w:t>
      </w:r>
      <w:r>
        <w:rPr>
          <w:spacing w:val="-1"/>
        </w:rPr>
        <w:t>that</w:t>
      </w:r>
      <w:r>
        <w:t xml:space="preserve"> the </w:t>
      </w:r>
      <w:r>
        <w:rPr>
          <w:spacing w:val="-1"/>
        </w:rPr>
        <w:t>calculation</w:t>
      </w:r>
      <w:r>
        <w:t xml:space="preserve"> of</w:t>
      </w:r>
      <w:r>
        <w:rPr>
          <w:spacing w:val="4"/>
        </w:rPr>
        <w:t xml:space="preserve"> </w:t>
      </w:r>
      <w:r>
        <w:t xml:space="preserve">the MRP is also usually </w:t>
      </w:r>
      <w:r>
        <w:rPr>
          <w:spacing w:val="-1"/>
        </w:rPr>
        <w:t>estimated</w:t>
      </w:r>
      <w:r>
        <w:t xml:space="preserve"> by </w:t>
      </w:r>
      <w:r>
        <w:rPr>
          <w:spacing w:val="-1"/>
        </w:rPr>
        <w:t>reference</w:t>
      </w:r>
      <w:r>
        <w:t xml:space="preserve"> to a </w:t>
      </w:r>
      <w:r>
        <w:rPr>
          <w:spacing w:val="-1"/>
        </w:rPr>
        <w:t>10-year</w:t>
      </w:r>
      <w:r>
        <w:t xml:space="preserve"> government</w:t>
      </w:r>
      <w:r>
        <w:rPr>
          <w:spacing w:val="55"/>
        </w:rPr>
        <w:t xml:space="preserve"> </w:t>
      </w:r>
      <w:r>
        <w:t>bond yield.</w:t>
      </w:r>
      <w:r>
        <w:rPr>
          <w:spacing w:val="-10"/>
        </w:rPr>
        <w:t xml:space="preserve"> </w:t>
      </w:r>
      <w:r>
        <w:t xml:space="preserve">Adopting a </w:t>
      </w:r>
      <w:r>
        <w:rPr>
          <w:spacing w:val="-1"/>
        </w:rPr>
        <w:t>10-year</w:t>
      </w:r>
      <w:r>
        <w:t xml:space="preserve"> </w:t>
      </w:r>
      <w:r>
        <w:rPr>
          <w:spacing w:val="-1"/>
        </w:rPr>
        <w:t>term-to-maturity</w:t>
      </w:r>
      <w:r>
        <w:t xml:space="preserve"> for the </w:t>
      </w:r>
      <w:r>
        <w:rPr>
          <w:spacing w:val="-1"/>
        </w:rPr>
        <w:t>calculation</w:t>
      </w:r>
      <w:r>
        <w:t xml:space="preserve"> of</w:t>
      </w:r>
      <w:r>
        <w:rPr>
          <w:spacing w:val="4"/>
        </w:rPr>
        <w:t xml:space="preserve"> </w:t>
      </w:r>
      <w:r>
        <w:t>the cost of</w:t>
      </w:r>
      <w:r>
        <w:rPr>
          <w:spacing w:val="4"/>
        </w:rPr>
        <w:t xml:space="preserve"> </w:t>
      </w:r>
      <w:r>
        <w:t xml:space="preserve">debt will </w:t>
      </w:r>
      <w:r>
        <w:rPr>
          <w:spacing w:val="-1"/>
        </w:rPr>
        <w:t>therefore</w:t>
      </w:r>
      <w:r>
        <w:t xml:space="preserve"> be</w:t>
      </w:r>
      <w:r>
        <w:rPr>
          <w:spacing w:val="57"/>
        </w:rPr>
        <w:t xml:space="preserve"> </w:t>
      </w:r>
      <w:r>
        <w:t xml:space="preserve">internally consistent with the method used to </w:t>
      </w:r>
      <w:r>
        <w:rPr>
          <w:spacing w:val="-1"/>
        </w:rPr>
        <w:t>calculate</w:t>
      </w:r>
      <w:r>
        <w:t xml:space="preserve"> the cost of</w:t>
      </w:r>
      <w:r>
        <w:rPr>
          <w:spacing w:val="4"/>
        </w:rPr>
        <w:t xml:space="preserve"> </w:t>
      </w:r>
      <w:r>
        <w:rPr>
          <w:spacing w:val="-2"/>
        </w:rPr>
        <w:t>equity.</w:t>
      </w:r>
    </w:p>
    <w:p w:rsidR="00D96B91" w:rsidRDefault="00C2656B">
      <w:pPr>
        <w:pStyle w:val="BodyText"/>
        <w:tabs>
          <w:tab w:val="left" w:pos="9127"/>
        </w:tabs>
        <w:spacing w:before="170" w:line="260" w:lineRule="exact"/>
        <w:ind w:right="1328"/>
      </w:pPr>
      <w:r>
        <w:rPr>
          <w:spacing w:val="-2"/>
        </w:rPr>
        <w:t>As</w:t>
      </w:r>
      <w:r>
        <w:rPr>
          <w:spacing w:val="-11"/>
        </w:rPr>
        <w:t xml:space="preserve"> </w:t>
      </w:r>
      <w:r>
        <w:rPr>
          <w:spacing w:val="-7"/>
        </w:rPr>
        <w:t>Table</w:t>
      </w:r>
      <w:r>
        <w:rPr>
          <w:spacing w:val="-10"/>
        </w:rPr>
        <w:t xml:space="preserve"> </w:t>
      </w:r>
      <w:r>
        <w:rPr>
          <w:spacing w:val="-3"/>
        </w:rPr>
        <w:t>A8.3</w:t>
      </w:r>
      <w:r>
        <w:rPr>
          <w:spacing w:val="-6"/>
        </w:rPr>
        <w:t xml:space="preserve"> </w:t>
      </w:r>
      <w:r>
        <w:rPr>
          <w:spacing w:val="-3"/>
        </w:rPr>
        <w:t>highlights,</w:t>
      </w:r>
      <w:r>
        <w:rPr>
          <w:spacing w:val="-12"/>
        </w:rPr>
        <w:t xml:space="preserve"> </w:t>
      </w:r>
      <w:r>
        <w:rPr>
          <w:spacing w:val="-2"/>
        </w:rPr>
        <w:t>the</w:t>
      </w:r>
      <w:r>
        <w:rPr>
          <w:spacing w:val="-6"/>
        </w:rPr>
        <w:t xml:space="preserve"> Panel’s </w:t>
      </w:r>
      <w:r>
        <w:rPr>
          <w:spacing w:val="-3"/>
        </w:rPr>
        <w:t>adoption</w:t>
      </w:r>
      <w:r>
        <w:rPr>
          <w:spacing w:val="-6"/>
        </w:rPr>
        <w:t xml:space="preserve"> </w:t>
      </w:r>
      <w:r>
        <w:rPr>
          <w:spacing w:val="-2"/>
        </w:rPr>
        <w:t xml:space="preserve">of </w:t>
      </w:r>
      <w:r>
        <w:t>a</w:t>
      </w:r>
      <w:r>
        <w:rPr>
          <w:spacing w:val="-6"/>
        </w:rPr>
        <w:t xml:space="preserve"> </w:t>
      </w:r>
      <w:r>
        <w:rPr>
          <w:spacing w:val="-3"/>
        </w:rPr>
        <w:t>10-year</w:t>
      </w:r>
      <w:r>
        <w:rPr>
          <w:spacing w:val="-6"/>
        </w:rPr>
        <w:t xml:space="preserve"> </w:t>
      </w:r>
      <w:r>
        <w:rPr>
          <w:spacing w:val="-3"/>
        </w:rPr>
        <w:t>term-to-maturity</w:t>
      </w:r>
      <w:r>
        <w:rPr>
          <w:spacing w:val="-6"/>
        </w:rPr>
        <w:t xml:space="preserve"> </w:t>
      </w:r>
      <w:r>
        <w:rPr>
          <w:spacing w:val="-2"/>
        </w:rPr>
        <w:t>is</w:t>
      </w:r>
      <w:r>
        <w:rPr>
          <w:spacing w:val="-6"/>
        </w:rPr>
        <w:t xml:space="preserve"> </w:t>
      </w:r>
      <w:r>
        <w:rPr>
          <w:spacing w:val="-3"/>
        </w:rPr>
        <w:t>consistent</w:t>
      </w:r>
      <w:r>
        <w:rPr>
          <w:spacing w:val="-6"/>
        </w:rPr>
        <w:t xml:space="preserve"> </w:t>
      </w:r>
      <w:r>
        <w:rPr>
          <w:spacing w:val="-3"/>
        </w:rPr>
        <w:t>with</w:t>
      </w:r>
      <w:r>
        <w:rPr>
          <w:spacing w:val="-6"/>
        </w:rPr>
        <w:t xml:space="preserve"> </w:t>
      </w:r>
      <w:r>
        <w:rPr>
          <w:spacing w:val="-2"/>
        </w:rPr>
        <w:t>the</w:t>
      </w:r>
      <w:r>
        <w:rPr>
          <w:spacing w:val="-6"/>
        </w:rPr>
        <w:t xml:space="preserve"> </w:t>
      </w:r>
      <w:r>
        <w:rPr>
          <w:spacing w:val="-4"/>
        </w:rPr>
        <w:t>approach</w:t>
      </w:r>
      <w:r>
        <w:rPr>
          <w:spacing w:val="57"/>
        </w:rPr>
        <w:t xml:space="preserve"> </w:t>
      </w:r>
      <w:r>
        <w:rPr>
          <w:rFonts w:cs="Avenir Next"/>
          <w:spacing w:val="-4"/>
        </w:rPr>
        <w:t>taken</w:t>
      </w:r>
      <w:r>
        <w:rPr>
          <w:rFonts w:cs="Avenir Next"/>
          <w:spacing w:val="-6"/>
        </w:rPr>
        <w:t xml:space="preserve"> </w:t>
      </w:r>
      <w:r>
        <w:rPr>
          <w:rFonts w:cs="Avenir Next"/>
          <w:spacing w:val="-2"/>
        </w:rPr>
        <w:t>by</w:t>
      </w:r>
      <w:r>
        <w:rPr>
          <w:rFonts w:cs="Avenir Next"/>
          <w:spacing w:val="-5"/>
        </w:rPr>
        <w:t xml:space="preserve"> </w:t>
      </w:r>
      <w:r>
        <w:rPr>
          <w:rFonts w:cs="Avenir Next"/>
          <w:spacing w:val="-2"/>
        </w:rPr>
        <w:t>the</w:t>
      </w:r>
      <w:r>
        <w:rPr>
          <w:rFonts w:cs="Avenir Next"/>
          <w:spacing w:val="-9"/>
        </w:rPr>
        <w:t xml:space="preserve"> </w:t>
      </w:r>
      <w:r>
        <w:rPr>
          <w:rFonts w:cs="Avenir Next"/>
          <w:spacing w:val="-5"/>
        </w:rPr>
        <w:t>ACCC,</w:t>
      </w:r>
      <w:r>
        <w:rPr>
          <w:rFonts w:cs="Avenir Next"/>
          <w:spacing w:val="-12"/>
        </w:rPr>
        <w:t xml:space="preserve"> </w:t>
      </w:r>
      <w:r>
        <w:rPr>
          <w:rFonts w:cs="Avenir Next"/>
          <w:spacing w:val="-2"/>
        </w:rPr>
        <w:t>the</w:t>
      </w:r>
      <w:r>
        <w:rPr>
          <w:rFonts w:cs="Avenir Next"/>
          <w:spacing w:val="-5"/>
        </w:rPr>
        <w:t xml:space="preserve"> </w:t>
      </w:r>
      <w:r>
        <w:rPr>
          <w:rFonts w:cs="Avenir Next"/>
          <w:spacing w:val="-3"/>
        </w:rPr>
        <w:t>ESC,</w:t>
      </w:r>
      <w:r>
        <w:rPr>
          <w:rFonts w:cs="Avenir Next"/>
          <w:spacing w:val="-12"/>
        </w:rPr>
        <w:t xml:space="preserve"> </w:t>
      </w:r>
      <w:r>
        <w:rPr>
          <w:rFonts w:cs="Avenir Next"/>
          <w:spacing w:val="-3"/>
        </w:rPr>
        <w:t>ESCOSA</w:t>
      </w:r>
      <w:r>
        <w:rPr>
          <w:rFonts w:cs="Avenir Next"/>
          <w:spacing w:val="-9"/>
        </w:rPr>
        <w:t xml:space="preserve"> </w:t>
      </w:r>
      <w:r>
        <w:rPr>
          <w:rFonts w:cs="Avenir Next"/>
          <w:spacing w:val="-2"/>
        </w:rPr>
        <w:t>and</w:t>
      </w:r>
      <w:r>
        <w:rPr>
          <w:rFonts w:cs="Avenir Next"/>
          <w:spacing w:val="-5"/>
        </w:rPr>
        <w:t xml:space="preserve"> IPART</w:t>
      </w:r>
      <w:r>
        <w:rPr>
          <w:spacing w:val="-5"/>
          <w:position w:val="7"/>
          <w:sz w:val="11"/>
          <w:szCs w:val="11"/>
        </w:rPr>
        <w:t>256</w:t>
      </w:r>
      <w:r>
        <w:rPr>
          <w:spacing w:val="18"/>
          <w:position w:val="7"/>
          <w:sz w:val="11"/>
          <w:szCs w:val="11"/>
        </w:rPr>
        <w:t xml:space="preserve"> </w:t>
      </w:r>
      <w:r>
        <w:rPr>
          <w:rFonts w:cs="Avenir Next"/>
          <w:spacing w:val="-2"/>
        </w:rPr>
        <w:t>in</w:t>
      </w:r>
      <w:r>
        <w:rPr>
          <w:rFonts w:cs="Avenir Next"/>
          <w:spacing w:val="-5"/>
        </w:rPr>
        <w:t xml:space="preserve"> </w:t>
      </w:r>
      <w:r>
        <w:rPr>
          <w:rFonts w:cs="Avenir Next"/>
          <w:spacing w:val="-2"/>
        </w:rPr>
        <w:t>the</w:t>
      </w:r>
      <w:r>
        <w:rPr>
          <w:rFonts w:cs="Avenir Next"/>
          <w:spacing w:val="-6"/>
        </w:rPr>
        <w:t xml:space="preserve"> </w:t>
      </w:r>
      <w:r>
        <w:rPr>
          <w:rFonts w:cs="Avenir Next"/>
          <w:spacing w:val="-3"/>
        </w:rPr>
        <w:t>most</w:t>
      </w:r>
      <w:r>
        <w:rPr>
          <w:rFonts w:cs="Avenir Next"/>
          <w:spacing w:val="-5"/>
        </w:rPr>
        <w:t xml:space="preserve"> </w:t>
      </w:r>
      <w:r>
        <w:rPr>
          <w:rFonts w:cs="Avenir Next"/>
          <w:spacing w:val="-4"/>
        </w:rPr>
        <w:t>recent</w:t>
      </w:r>
      <w:r>
        <w:rPr>
          <w:rFonts w:cs="Avenir Next"/>
          <w:spacing w:val="-5"/>
        </w:rPr>
        <w:t xml:space="preserve"> </w:t>
      </w:r>
      <w:r>
        <w:rPr>
          <w:rFonts w:cs="Avenir Next"/>
          <w:spacing w:val="-4"/>
        </w:rPr>
        <w:t>round</w:t>
      </w:r>
      <w:r>
        <w:rPr>
          <w:rFonts w:cs="Avenir Next"/>
          <w:spacing w:val="-6"/>
        </w:rPr>
        <w:t xml:space="preserve"> </w:t>
      </w:r>
      <w:r>
        <w:rPr>
          <w:rFonts w:cs="Avenir Next"/>
          <w:spacing w:val="-2"/>
        </w:rPr>
        <w:t>of</w:t>
      </w:r>
      <w:r>
        <w:rPr>
          <w:rFonts w:cs="Avenir Next"/>
          <w:spacing w:val="-1"/>
        </w:rPr>
        <w:t xml:space="preserve"> </w:t>
      </w:r>
      <w:r>
        <w:rPr>
          <w:rFonts w:cs="Avenir Next"/>
          <w:spacing w:val="-3"/>
        </w:rPr>
        <w:t>water</w:t>
      </w:r>
      <w:r>
        <w:rPr>
          <w:rFonts w:cs="Avenir Next"/>
          <w:spacing w:val="-5"/>
        </w:rPr>
        <w:t xml:space="preserve"> </w:t>
      </w:r>
      <w:r>
        <w:rPr>
          <w:rFonts w:cs="Avenir Next"/>
          <w:spacing w:val="-3"/>
        </w:rPr>
        <w:t>utility</w:t>
      </w:r>
      <w:r>
        <w:rPr>
          <w:rFonts w:cs="Avenir Next"/>
          <w:spacing w:val="-5"/>
        </w:rPr>
        <w:t xml:space="preserve"> </w:t>
      </w:r>
      <w:r>
        <w:rPr>
          <w:rFonts w:cs="Avenir Next"/>
          <w:spacing w:val="-4"/>
        </w:rPr>
        <w:t>regulatory</w:t>
      </w:r>
      <w:r>
        <w:rPr>
          <w:rFonts w:cs="Avenir Next"/>
          <w:spacing w:val="75"/>
        </w:rPr>
        <w:t xml:space="preserve"> </w:t>
      </w:r>
      <w:r>
        <w:rPr>
          <w:spacing w:val="-3"/>
        </w:rPr>
        <w:t>decisions</w:t>
      </w:r>
      <w:r>
        <w:rPr>
          <w:spacing w:val="-7"/>
        </w:rPr>
        <w:t xml:space="preserve"> </w:t>
      </w:r>
      <w:r>
        <w:rPr>
          <w:spacing w:val="-2"/>
        </w:rPr>
        <w:t>and</w:t>
      </w:r>
      <w:r>
        <w:rPr>
          <w:spacing w:val="-6"/>
        </w:rPr>
        <w:t xml:space="preserve"> </w:t>
      </w:r>
      <w:r>
        <w:rPr>
          <w:spacing w:val="-2"/>
        </w:rPr>
        <w:t>is</w:t>
      </w:r>
      <w:r>
        <w:rPr>
          <w:spacing w:val="-6"/>
        </w:rPr>
        <w:t xml:space="preserve"> </w:t>
      </w:r>
      <w:r>
        <w:rPr>
          <w:spacing w:val="-3"/>
        </w:rPr>
        <w:t>also</w:t>
      </w:r>
      <w:r>
        <w:rPr>
          <w:spacing w:val="-6"/>
        </w:rPr>
        <w:t xml:space="preserve"> </w:t>
      </w:r>
      <w:r>
        <w:rPr>
          <w:spacing w:val="-3"/>
        </w:rPr>
        <w:t>consistent</w:t>
      </w:r>
      <w:r>
        <w:rPr>
          <w:spacing w:val="-6"/>
        </w:rPr>
        <w:t xml:space="preserve"> </w:t>
      </w:r>
      <w:r>
        <w:rPr>
          <w:spacing w:val="-3"/>
        </w:rPr>
        <w:t>with</w:t>
      </w:r>
      <w:r>
        <w:rPr>
          <w:spacing w:val="-6"/>
        </w:rPr>
        <w:t xml:space="preserve"> </w:t>
      </w:r>
      <w:r>
        <w:rPr>
          <w:spacing w:val="-2"/>
        </w:rPr>
        <w:t>the</w:t>
      </w:r>
      <w:r>
        <w:rPr>
          <w:spacing w:val="-6"/>
        </w:rPr>
        <w:t xml:space="preserve"> </w:t>
      </w:r>
      <w:r>
        <w:rPr>
          <w:spacing w:val="-3"/>
        </w:rPr>
        <w:t>assumption</w:t>
      </w:r>
      <w:r>
        <w:rPr>
          <w:spacing w:val="-6"/>
        </w:rPr>
        <w:t xml:space="preserve"> </w:t>
      </w:r>
      <w:r>
        <w:rPr>
          <w:spacing w:val="-3"/>
        </w:rPr>
        <w:t>adopted</w:t>
      </w:r>
      <w:r>
        <w:rPr>
          <w:spacing w:val="-6"/>
        </w:rPr>
        <w:t xml:space="preserve"> </w:t>
      </w:r>
      <w:r>
        <w:rPr>
          <w:spacing w:val="-2"/>
        </w:rPr>
        <w:t>by</w:t>
      </w:r>
      <w:r>
        <w:rPr>
          <w:spacing w:val="-6"/>
        </w:rPr>
        <w:t xml:space="preserve"> </w:t>
      </w:r>
      <w:r>
        <w:rPr>
          <w:spacing w:val="-2"/>
        </w:rPr>
        <w:t>the</w:t>
      </w:r>
      <w:r>
        <w:rPr>
          <w:spacing w:val="-6"/>
        </w:rPr>
        <w:t xml:space="preserve"> </w:t>
      </w:r>
      <w:r>
        <w:rPr>
          <w:spacing w:val="-3"/>
        </w:rPr>
        <w:t>ICRC</w:t>
      </w:r>
      <w:r>
        <w:rPr>
          <w:spacing w:val="-6"/>
        </w:rPr>
        <w:t xml:space="preserve"> </w:t>
      </w:r>
      <w:r>
        <w:rPr>
          <w:spacing w:val="-2"/>
        </w:rPr>
        <w:t>in</w:t>
      </w:r>
      <w:r>
        <w:rPr>
          <w:spacing w:val="-6"/>
        </w:rPr>
        <w:t xml:space="preserve"> </w:t>
      </w:r>
      <w:r>
        <w:rPr>
          <w:spacing w:val="-2"/>
        </w:rPr>
        <w:t>its</w:t>
      </w:r>
      <w:r>
        <w:rPr>
          <w:spacing w:val="-6"/>
        </w:rPr>
        <w:t xml:space="preserve"> </w:t>
      </w:r>
      <w:r>
        <w:rPr>
          <w:spacing w:val="-3"/>
        </w:rPr>
        <w:t>2008</w:t>
      </w:r>
      <w:r>
        <w:rPr>
          <w:spacing w:val="-7"/>
        </w:rPr>
        <w:t xml:space="preserve"> </w:t>
      </w:r>
      <w:r>
        <w:rPr>
          <w:spacing w:val="-1"/>
        </w:rPr>
        <w:t>fi</w:t>
      </w:r>
      <w:r w:rsidR="00710124">
        <w:rPr>
          <w:spacing w:val="-1"/>
        </w:rPr>
        <w:t xml:space="preserve">nal </w:t>
      </w:r>
      <w:r>
        <w:rPr>
          <w:spacing w:val="-3"/>
        </w:rPr>
        <w:t>decision</w:t>
      </w:r>
      <w:r>
        <w:rPr>
          <w:spacing w:val="-6"/>
        </w:rPr>
        <w:t xml:space="preserve"> </w:t>
      </w:r>
      <w:r>
        <w:rPr>
          <w:spacing w:val="-3"/>
        </w:rPr>
        <w:t>and</w:t>
      </w:r>
      <w:r>
        <w:rPr>
          <w:spacing w:val="59"/>
        </w:rPr>
        <w:t xml:space="preserve"> </w:t>
      </w:r>
      <w:r>
        <w:rPr>
          <w:spacing w:val="-5"/>
        </w:rPr>
        <w:t>ACTEW’s</w:t>
      </w:r>
      <w:r>
        <w:rPr>
          <w:spacing w:val="-6"/>
        </w:rPr>
        <w:t xml:space="preserve"> </w:t>
      </w:r>
      <w:r>
        <w:rPr>
          <w:spacing w:val="-3"/>
        </w:rPr>
        <w:t>SOFC</w:t>
      </w:r>
      <w:r>
        <w:rPr>
          <w:spacing w:val="-6"/>
        </w:rPr>
        <w:t xml:space="preserve"> </w:t>
      </w:r>
      <w:r>
        <w:rPr>
          <w:spacing w:val="-4"/>
        </w:rPr>
        <w:t>proposal.</w:t>
      </w:r>
      <w:r>
        <w:rPr>
          <w:spacing w:val="-17"/>
        </w:rPr>
        <w:t xml:space="preserve"> </w:t>
      </w:r>
      <w:r>
        <w:rPr>
          <w:spacing w:val="-4"/>
        </w:rPr>
        <w:t>The</w:t>
      </w:r>
      <w:r>
        <w:rPr>
          <w:spacing w:val="-6"/>
        </w:rPr>
        <w:t xml:space="preserve"> </w:t>
      </w:r>
      <w:r>
        <w:rPr>
          <w:spacing w:val="-5"/>
        </w:rPr>
        <w:t>Panel</w:t>
      </w:r>
      <w:r>
        <w:rPr>
          <w:spacing w:val="-6"/>
        </w:rPr>
        <w:t xml:space="preserve"> </w:t>
      </w:r>
      <w:r>
        <w:rPr>
          <w:spacing w:val="-2"/>
        </w:rPr>
        <w:t>is</w:t>
      </w:r>
      <w:r>
        <w:rPr>
          <w:spacing w:val="-6"/>
        </w:rPr>
        <w:t xml:space="preserve"> </w:t>
      </w:r>
      <w:r>
        <w:rPr>
          <w:spacing w:val="-3"/>
        </w:rPr>
        <w:t>also</w:t>
      </w:r>
      <w:r>
        <w:rPr>
          <w:spacing w:val="-6"/>
        </w:rPr>
        <w:t xml:space="preserve"> </w:t>
      </w:r>
      <w:r>
        <w:rPr>
          <w:spacing w:val="-4"/>
        </w:rPr>
        <w:t>aware</w:t>
      </w:r>
      <w:r>
        <w:rPr>
          <w:spacing w:val="-6"/>
        </w:rPr>
        <w:t xml:space="preserve"> </w:t>
      </w:r>
      <w:r>
        <w:rPr>
          <w:spacing w:val="-3"/>
        </w:rPr>
        <w:t>that</w:t>
      </w:r>
      <w:r>
        <w:rPr>
          <w:spacing w:val="-6"/>
        </w:rPr>
        <w:t xml:space="preserve"> </w:t>
      </w:r>
      <w:r>
        <w:rPr>
          <w:spacing w:val="-2"/>
        </w:rPr>
        <w:t>the</w:t>
      </w:r>
      <w:r>
        <w:rPr>
          <w:spacing w:val="-10"/>
        </w:rPr>
        <w:t xml:space="preserve"> </w:t>
      </w:r>
      <w:r>
        <w:rPr>
          <w:spacing w:val="-2"/>
        </w:rPr>
        <w:t>AER</w:t>
      </w:r>
      <w:r>
        <w:rPr>
          <w:spacing w:val="-6"/>
        </w:rPr>
        <w:t xml:space="preserve"> </w:t>
      </w:r>
      <w:r>
        <w:rPr>
          <w:spacing w:val="-3"/>
        </w:rPr>
        <w:t>uses</w:t>
      </w:r>
      <w:r>
        <w:rPr>
          <w:spacing w:val="-6"/>
        </w:rPr>
        <w:t xml:space="preserve"> </w:t>
      </w:r>
      <w:r>
        <w:t>a</w:t>
      </w:r>
      <w:r>
        <w:rPr>
          <w:spacing w:val="-6"/>
        </w:rPr>
        <w:t xml:space="preserve"> </w:t>
      </w:r>
      <w:r>
        <w:rPr>
          <w:spacing w:val="-3"/>
        </w:rPr>
        <w:t>10-year</w:t>
      </w:r>
      <w:r>
        <w:rPr>
          <w:spacing w:val="-6"/>
        </w:rPr>
        <w:t xml:space="preserve"> </w:t>
      </w:r>
      <w:r>
        <w:rPr>
          <w:spacing w:val="-3"/>
        </w:rPr>
        <w:t>term-to-maturity</w:t>
      </w:r>
      <w:r>
        <w:rPr>
          <w:spacing w:val="-6"/>
        </w:rPr>
        <w:t xml:space="preserve"> </w:t>
      </w:r>
      <w:r>
        <w:rPr>
          <w:spacing w:val="-2"/>
        </w:rPr>
        <w:t>in</w:t>
      </w:r>
      <w:r>
        <w:rPr>
          <w:spacing w:val="-6"/>
        </w:rPr>
        <w:t xml:space="preserve"> </w:t>
      </w:r>
      <w:r>
        <w:rPr>
          <w:spacing w:val="-3"/>
        </w:rPr>
        <w:t>the</w:t>
      </w:r>
      <w:r>
        <w:rPr>
          <w:spacing w:val="65"/>
        </w:rPr>
        <w:t xml:space="preserve"> </w:t>
      </w:r>
      <w:r>
        <w:rPr>
          <w:spacing w:val="-4"/>
        </w:rPr>
        <w:t>energy</w:t>
      </w:r>
      <w:r>
        <w:rPr>
          <w:spacing w:val="-6"/>
        </w:rPr>
        <w:t xml:space="preserve"> </w:t>
      </w:r>
      <w:r>
        <w:rPr>
          <w:spacing w:val="-4"/>
        </w:rPr>
        <w:t>sector.</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29"/>
          <w:szCs w:val="2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488" style="width:72.5pt;height:.5pt;mso-position-horizontal-relative:char;mso-position-vertical-relative:line" coordsize="1450,10">
            <v:group id="_x0000_s1489" style="position:absolute;left:5;top:5;width:1440;height:2" coordorigin="5,5" coordsize="1440,2">
              <v:shape id="_x0000_s1490"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749" w:hanging="510"/>
        <w:rPr>
          <w:rFonts w:ascii="Avenir Next" w:eastAsia="Avenir Next" w:hAnsi="Avenir Next" w:cs="Avenir Next"/>
          <w:sz w:val="16"/>
          <w:szCs w:val="16"/>
        </w:rPr>
      </w:pPr>
      <w:r>
        <w:rPr>
          <w:rFonts w:ascii="Avenir Next" w:eastAsia="Avenir Next" w:hAnsi="Avenir Next" w:cs="Avenir Next"/>
          <w:spacing w:val="-1"/>
          <w:sz w:val="16"/>
          <w:szCs w:val="16"/>
        </w:rPr>
        <w:t>Brotherson,</w:t>
      </w:r>
      <w:r>
        <w:rPr>
          <w:rFonts w:ascii="Avenir Next" w:eastAsia="Avenir Next" w:hAnsi="Avenir Next" w:cs="Avenir Next"/>
          <w:spacing w:val="-7"/>
          <w:sz w:val="16"/>
          <w:szCs w:val="16"/>
        </w:rPr>
        <w:t xml:space="preserve"> </w:t>
      </w:r>
      <w:r>
        <w:rPr>
          <w:rFonts w:ascii="Avenir Next" w:eastAsia="Avenir Next" w:hAnsi="Avenir Next" w:cs="Avenir Next"/>
          <w:spacing w:val="-10"/>
          <w:sz w:val="16"/>
          <w:szCs w:val="16"/>
        </w:rPr>
        <w:t>W.T,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Eades,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K.M.,</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Harris,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R.S.,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and Higgins,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R.C.,</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2013,</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‘Best </w:t>
      </w:r>
      <w:r>
        <w:rPr>
          <w:rFonts w:ascii="Avenir Next" w:eastAsia="Avenir Next" w:hAnsi="Avenir Next" w:cs="Avenir Next"/>
          <w:spacing w:val="-1"/>
          <w:sz w:val="16"/>
          <w:szCs w:val="16"/>
        </w:rPr>
        <w:t>Practices’</w:t>
      </w:r>
      <w:r>
        <w:rPr>
          <w:rFonts w:ascii="Avenir Next" w:eastAsia="Avenir Next" w:hAnsi="Avenir Next" w:cs="Avenir Next"/>
          <w:sz w:val="16"/>
          <w:szCs w:val="16"/>
        </w:rPr>
        <w:t xml:space="preserve"> in </w:t>
      </w:r>
      <w:r>
        <w:rPr>
          <w:rFonts w:ascii="Avenir Next" w:eastAsia="Avenir Next" w:hAnsi="Avenir Next" w:cs="Avenir Next"/>
          <w:spacing w:val="-1"/>
          <w:sz w:val="16"/>
          <w:szCs w:val="16"/>
        </w:rPr>
        <w:t>estimating</w:t>
      </w:r>
      <w:r>
        <w:rPr>
          <w:rFonts w:ascii="Avenir Next" w:eastAsia="Avenir Next" w:hAnsi="Avenir Next" w:cs="Avenir Next"/>
          <w:sz w:val="16"/>
          <w:szCs w:val="16"/>
        </w:rPr>
        <w:t xml:space="preserve"> the cost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capital: an</w:t>
      </w:r>
      <w:r>
        <w:rPr>
          <w:rFonts w:ascii="Avenir Next" w:eastAsia="Avenir Next" w:hAnsi="Avenir Next" w:cs="Avenir Next"/>
          <w:spacing w:val="33"/>
          <w:sz w:val="16"/>
          <w:szCs w:val="16"/>
        </w:rPr>
        <w:t xml:space="preserve"> </w:t>
      </w:r>
      <w:r>
        <w:rPr>
          <w:rFonts w:ascii="Avenir Next" w:eastAsia="Avenir Next" w:hAnsi="Avenir Next" w:cs="Avenir Next"/>
          <w:spacing w:val="-1"/>
          <w:sz w:val="16"/>
          <w:szCs w:val="16"/>
        </w:rPr>
        <w:t>update,</w:t>
      </w:r>
      <w:r>
        <w:rPr>
          <w:rFonts w:ascii="Avenir Next" w:eastAsia="Avenir Next" w:hAnsi="Avenir Next" w:cs="Avenir Next"/>
          <w:spacing w:val="-5"/>
          <w:sz w:val="16"/>
          <w:szCs w:val="16"/>
        </w:rPr>
        <w:t xml:space="preserve"> </w:t>
      </w:r>
      <w:r>
        <w:rPr>
          <w:rFonts w:ascii="Avenir Next" w:eastAsia="Avenir Next" w:hAnsi="Avenir Next" w:cs="Avenir Next"/>
          <w:i/>
          <w:sz w:val="16"/>
          <w:szCs w:val="16"/>
        </w:rPr>
        <w:t xml:space="preserve">Journal of Applied </w:t>
      </w:r>
      <w:r>
        <w:rPr>
          <w:rFonts w:ascii="Avenir Next" w:eastAsia="Avenir Next" w:hAnsi="Avenir Next" w:cs="Avenir Next"/>
          <w:i/>
          <w:spacing w:val="-1"/>
          <w:sz w:val="16"/>
          <w:szCs w:val="16"/>
        </w:rPr>
        <w:t>Finance</w:t>
      </w:r>
      <w:r>
        <w:rPr>
          <w:rFonts w:ascii="Avenir Next" w:eastAsia="Avenir Next" w:hAnsi="Avenir Next" w:cs="Avenir Next"/>
          <w:i/>
          <w:sz w:val="16"/>
          <w:szCs w:val="16"/>
        </w:rPr>
        <w:t xml:space="preserve"> </w:t>
      </w:r>
      <w:r>
        <w:rPr>
          <w:rFonts w:ascii="Avenir Next" w:eastAsia="Avenir Next" w:hAnsi="Avenir Next" w:cs="Avenir Next"/>
          <w:sz w:val="16"/>
          <w:szCs w:val="16"/>
        </w:rPr>
        <w:t>23,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15-33.</w:t>
      </w:r>
    </w:p>
    <w:p w:rsidR="00D96B91" w:rsidRDefault="00D96B91">
      <w:pPr>
        <w:spacing w:before="12"/>
        <w:rPr>
          <w:rFonts w:ascii="Avenir Next" w:eastAsia="Avenir Next" w:hAnsi="Avenir Next" w:cs="Avenir Next"/>
          <w:sz w:val="10"/>
          <w:szCs w:val="10"/>
        </w:rPr>
      </w:pPr>
    </w:p>
    <w:p w:rsidR="00D96B91" w:rsidRDefault="00C2656B">
      <w:pPr>
        <w:numPr>
          <w:ilvl w:val="0"/>
          <w:numId w:val="24"/>
        </w:numPr>
        <w:tabs>
          <w:tab w:val="left" w:pos="1758"/>
        </w:tabs>
        <w:spacing w:line="192" w:lineRule="exact"/>
        <w:ind w:right="1408" w:hanging="510"/>
        <w:rPr>
          <w:rFonts w:ascii="Avenir Next" w:eastAsia="Avenir Next" w:hAnsi="Avenir Next" w:cs="Avenir Next"/>
          <w:sz w:val="16"/>
          <w:szCs w:val="16"/>
        </w:rPr>
      </w:pPr>
      <w:r>
        <w:rPr>
          <w:rFonts w:ascii="Avenir Next" w:eastAsia="Avenir Next" w:hAnsi="Avenir Next" w:cs="Avenir Next"/>
          <w:spacing w:val="-3"/>
          <w:sz w:val="16"/>
          <w:szCs w:val="16"/>
        </w:rPr>
        <w:t>IPART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previously</w:t>
      </w:r>
      <w:r>
        <w:rPr>
          <w:rFonts w:ascii="Avenir Next" w:eastAsia="Avenir Next" w:hAnsi="Avenir Next" w:cs="Avenir Next"/>
          <w:sz w:val="16"/>
          <w:szCs w:val="16"/>
        </w:rPr>
        <w:t xml:space="preserve"> used a </w:t>
      </w:r>
      <w:r>
        <w:rPr>
          <w:rFonts w:ascii="Avenir Next" w:eastAsia="Avenir Next" w:hAnsi="Avenir Next" w:cs="Avenir Next"/>
          <w:spacing w:val="-1"/>
          <w:sz w:val="16"/>
          <w:szCs w:val="16"/>
        </w:rPr>
        <w:t>5-year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term-to-maturity</w:t>
      </w:r>
      <w:r>
        <w:rPr>
          <w:rFonts w:ascii="Avenir Next" w:eastAsia="Avenir Next" w:hAnsi="Avenir Next" w:cs="Avenir Next"/>
          <w:sz w:val="16"/>
          <w:szCs w:val="16"/>
        </w:rPr>
        <w:t xml:space="preserve"> based on the NPV</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neutrality</w:t>
      </w:r>
      <w:r>
        <w:rPr>
          <w:rFonts w:ascii="Avenir Next" w:eastAsia="Avenir Next" w:hAnsi="Avenir Next" w:cs="Avenir Next"/>
          <w:sz w:val="16"/>
          <w:szCs w:val="16"/>
        </w:rPr>
        <w:t xml:space="preserve"> principle.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However,</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it </w:t>
      </w:r>
      <w:r>
        <w:rPr>
          <w:rFonts w:ascii="Avenir Next" w:eastAsia="Avenir Next" w:hAnsi="Avenir Next" w:cs="Avenir Next"/>
          <w:spacing w:val="-1"/>
          <w:sz w:val="16"/>
          <w:szCs w:val="16"/>
        </w:rPr>
        <w:t>increased</w:t>
      </w:r>
      <w:r>
        <w:rPr>
          <w:rFonts w:ascii="Avenir Next" w:eastAsia="Avenir Next" w:hAnsi="Avenir Next" w:cs="Avenir Next"/>
          <w:sz w:val="16"/>
          <w:szCs w:val="16"/>
        </w:rPr>
        <w:t xml:space="preserve"> the term-to-</w:t>
      </w:r>
      <w:r>
        <w:rPr>
          <w:rFonts w:ascii="Avenir Next" w:eastAsia="Avenir Next" w:hAnsi="Avenir Next" w:cs="Avenir Next"/>
          <w:spacing w:val="85"/>
          <w:sz w:val="16"/>
          <w:szCs w:val="16"/>
        </w:rPr>
        <w:t xml:space="preserve"> </w:t>
      </w:r>
      <w:r>
        <w:rPr>
          <w:rFonts w:ascii="Avenir Next" w:eastAsia="Avenir Next" w:hAnsi="Avenir Next" w:cs="Avenir Next"/>
          <w:spacing w:val="-1"/>
          <w:sz w:val="16"/>
          <w:szCs w:val="16"/>
        </w:rPr>
        <w:t>maturity</w:t>
      </w:r>
      <w:r>
        <w:rPr>
          <w:rFonts w:ascii="Avenir Next" w:eastAsia="Avenir Next" w:hAnsi="Avenir Next" w:cs="Avenir Next"/>
          <w:sz w:val="16"/>
          <w:szCs w:val="16"/>
        </w:rPr>
        <w:t xml:space="preserve"> in December 2013 as </w:t>
      </w:r>
      <w:r>
        <w:rPr>
          <w:rFonts w:ascii="Avenir Next" w:eastAsia="Avenir Next" w:hAnsi="Avenir Next" w:cs="Avenir Next"/>
          <w:spacing w:val="-1"/>
          <w:sz w:val="16"/>
          <w:szCs w:val="16"/>
        </w:rPr>
        <w:t>part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its new</w:t>
      </w:r>
      <w:r>
        <w:rPr>
          <w:rFonts w:ascii="Avenir Next" w:eastAsia="Avenir Next" w:hAnsi="Avenir Next" w:cs="Avenir Next"/>
          <w:spacing w:val="-2"/>
          <w:sz w:val="16"/>
          <w:szCs w:val="16"/>
        </w:rPr>
        <w:t xml:space="preserve"> WACC</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methodology.</w:t>
      </w:r>
      <w:r>
        <w:rPr>
          <w:rFonts w:ascii="Avenir Next" w:eastAsia="Avenir Next" w:hAnsi="Avenir Next" w:cs="Avenir Next"/>
          <w:spacing w:val="-5"/>
          <w:sz w:val="16"/>
          <w:szCs w:val="16"/>
        </w:rPr>
        <w:t xml:space="preserve"> IPART,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1"/>
          <w:sz w:val="16"/>
          <w:szCs w:val="16"/>
        </w:rPr>
        <w:t xml:space="preserve"> </w:t>
      </w:r>
      <w:r>
        <w:rPr>
          <w:rFonts w:ascii="Avenir Next" w:eastAsia="Avenir Next" w:hAnsi="Avenir Next" w:cs="Avenir Next"/>
          <w:spacing w:val="-2"/>
          <w:sz w:val="16"/>
          <w:szCs w:val="16"/>
        </w:rPr>
        <w:t>WACC</w:t>
      </w:r>
      <w:r>
        <w:rPr>
          <w:rFonts w:ascii="Avenir Next" w:eastAsia="Avenir Next" w:hAnsi="Avenir Next" w:cs="Avenir Next"/>
          <w:sz w:val="16"/>
          <w:szCs w:val="16"/>
        </w:rPr>
        <w:t xml:space="preserve"> methodology –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pacing w:val="59"/>
          <w:sz w:val="16"/>
          <w:szCs w:val="16"/>
        </w:rPr>
        <w:t xml:space="preserve"> </w:t>
      </w:r>
      <w:r>
        <w:rPr>
          <w:rFonts w:ascii="Avenir Next" w:eastAsia="Avenir Next" w:hAnsi="Avenir Next" w:cs="Avenir Next"/>
          <w:sz w:val="16"/>
          <w:szCs w:val="16"/>
        </w:rPr>
        <w:t>December 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12-13.</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A8.3: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w:t>
      </w:r>
      <w:r>
        <w:rPr>
          <w:rFonts w:ascii="Avenir Next"/>
          <w:b/>
          <w:spacing w:val="-1"/>
          <w:sz w:val="20"/>
        </w:rPr>
        <w:t>term-to-maturity</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582"/>
        <w:gridCol w:w="4224"/>
        <w:gridCol w:w="1985"/>
        <w:gridCol w:w="1610"/>
      </w:tblGrid>
      <w:tr w:rsidR="00D96B91">
        <w:trPr>
          <w:trHeight w:hRule="exact" w:val="407"/>
        </w:trPr>
        <w:tc>
          <w:tcPr>
            <w:tcW w:w="158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22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161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Term-to-maturity</w:t>
            </w:r>
          </w:p>
        </w:tc>
      </w:tr>
      <w:tr w:rsidR="00D96B91">
        <w:trPr>
          <w:trHeight w:hRule="exact" w:val="407"/>
        </w:trPr>
        <w:tc>
          <w:tcPr>
            <w:tcW w:w="158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22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9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61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ESC (VIC)</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June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ESC (VIC)</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June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ESC (VIC)</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June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June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May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May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April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4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June 2012</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May 2012</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10"/>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June 2010</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 xml:space="preserve">5 </w:t>
            </w:r>
            <w:r>
              <w:rPr>
                <w:rFonts w:ascii="Avenir Next Condensed"/>
                <w:spacing w:val="-1"/>
                <w:sz w:val="18"/>
              </w:rPr>
              <w:t>years</w:t>
            </w:r>
          </w:p>
        </w:tc>
      </w:tr>
      <w:tr w:rsidR="00D96B91">
        <w:trPr>
          <w:trHeight w:hRule="exact" w:val="407"/>
        </w:trPr>
        <w:tc>
          <w:tcPr>
            <w:tcW w:w="158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22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pacing w:val="-1"/>
                <w:sz w:val="18"/>
              </w:rPr>
              <w:t>ACTEW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April 2008</w:t>
            </w:r>
          </w:p>
        </w:tc>
        <w:tc>
          <w:tcPr>
            <w:tcW w:w="161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11"/>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ight="1288"/>
        <w:rPr>
          <w:rFonts w:ascii="Avenir Next" w:eastAsia="Avenir Next" w:hAnsi="Avenir Next" w:cs="Avenir Next"/>
          <w:sz w:val="16"/>
          <w:szCs w:val="16"/>
        </w:rPr>
      </w:pPr>
      <w:r>
        <w:rPr>
          <w:rFonts w:ascii="Avenir Next" w:eastAsia="Avenir Next" w:hAnsi="Avenir Next" w:cs="Avenir Next"/>
          <w:b/>
          <w:bCs/>
          <w:spacing w:val="-1"/>
          <w:sz w:val="16"/>
          <w:szCs w:val="16"/>
        </w:rPr>
        <w:t>Sources:</w:t>
      </w:r>
      <w:r>
        <w:rPr>
          <w:rFonts w:ascii="Avenir Next" w:eastAsia="Avenir Next" w:hAnsi="Avenir Next" w:cs="Avenir Next"/>
          <w:b/>
          <w:bCs/>
          <w:spacing w:val="-3"/>
          <w:sz w:val="16"/>
          <w:szCs w:val="16"/>
        </w:rPr>
        <w:t xml:space="preserve"> </w:t>
      </w:r>
      <w:r>
        <w:rPr>
          <w:rFonts w:ascii="Avenir Next" w:eastAsia="Avenir Next" w:hAnsi="Avenir Next" w:cs="Avenir Next"/>
          <w:spacing w:val="-3"/>
          <w:sz w:val="16"/>
          <w:szCs w:val="16"/>
        </w:rPr>
        <w:t>ACTEW,</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facts and contentions,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31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July 2014; </w:t>
      </w:r>
      <w:r>
        <w:rPr>
          <w:rFonts w:ascii="Avenir Next" w:eastAsia="Avenir Next" w:hAnsi="Avenir Next" w:cs="Avenir Next"/>
          <w:spacing w:val="-5"/>
          <w:sz w:val="16"/>
          <w:szCs w:val="16"/>
        </w:rPr>
        <w:t xml:space="preserve">IPART, </w:t>
      </w:r>
      <w:r>
        <w:rPr>
          <w:rFonts w:ascii="Avenir Next" w:eastAsia="Avenir Next" w:hAnsi="Avenir Next" w:cs="Avenir Next"/>
          <w:sz w:val="16"/>
          <w:szCs w:val="16"/>
        </w:rPr>
        <w:t xml:space="preserve">Essential </w:t>
      </w:r>
      <w:r>
        <w:rPr>
          <w:rFonts w:ascii="Avenir Next" w:eastAsia="Avenir Next" w:hAnsi="Avenir Next" w:cs="Avenir Next"/>
          <w:spacing w:val="-2"/>
          <w:sz w:val="16"/>
          <w:szCs w:val="16"/>
        </w:rPr>
        <w:t>Energy’s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services in</w:t>
      </w:r>
      <w:r>
        <w:rPr>
          <w:rFonts w:ascii="Avenir Next" w:eastAsia="Avenir Next" w:hAnsi="Avenir Next" w:cs="Avenir Next"/>
          <w:spacing w:val="67"/>
          <w:sz w:val="16"/>
          <w:szCs w:val="16"/>
        </w:rPr>
        <w:t xml:space="preserve"> </w:t>
      </w:r>
      <w:r>
        <w:rPr>
          <w:rFonts w:ascii="Avenir Next" w:eastAsia="Avenir Next" w:hAnsi="Avenir Next" w:cs="Avenir Next"/>
          <w:spacing w:val="-1"/>
          <w:sz w:val="16"/>
          <w:szCs w:val="16"/>
        </w:rPr>
        <w:t>Broken</w:t>
      </w:r>
      <w:r>
        <w:rPr>
          <w:rFonts w:ascii="Avenir Next" w:eastAsia="Avenir Next" w:hAnsi="Avenir Next" w:cs="Avenir Next"/>
          <w:sz w:val="16"/>
          <w:szCs w:val="16"/>
        </w:rPr>
        <w:t xml:space="preserve"> Hill: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2014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June 2018,</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2014;</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pacing w:val="-8"/>
          <w:sz w:val="16"/>
          <w:szCs w:val="16"/>
        </w:rPr>
        <w:t xml:space="preserve"> </w:t>
      </w:r>
      <w:r>
        <w:rPr>
          <w:rFonts w:ascii="Avenir Next" w:eastAsia="Avenir Next" w:hAnsi="Avenir Next" w:cs="Avenir Next"/>
          <w:spacing w:val="-2"/>
          <w:sz w:val="16"/>
          <w:szCs w:val="16"/>
        </w:rPr>
        <w:t>ACCC</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 on </w:t>
      </w:r>
      <w:r>
        <w:rPr>
          <w:rFonts w:ascii="Avenir Next" w:eastAsia="Avenir Next" w:hAnsi="Avenir Next" w:cs="Avenir Next"/>
          <w:spacing w:val="-1"/>
          <w:sz w:val="16"/>
          <w:szCs w:val="16"/>
        </w:rPr>
        <w:t>State</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pricing</w:t>
      </w:r>
      <w:r>
        <w:rPr>
          <w:rFonts w:ascii="Avenir Next" w:eastAsia="Avenir Next" w:hAnsi="Avenir Next" w:cs="Avenir Next"/>
          <w:spacing w:val="31"/>
          <w:sz w:val="16"/>
          <w:szCs w:val="16"/>
        </w:rPr>
        <w:t xml:space="preserve"> </w:t>
      </w:r>
      <w:r>
        <w:rPr>
          <w:rFonts w:ascii="Avenir Next" w:eastAsia="Avenir Next" w:hAnsi="Avenir Next" w:cs="Avenir Next"/>
          <w:spacing w:val="-1"/>
          <w:sz w:val="16"/>
          <w:szCs w:val="16"/>
        </w:rPr>
        <w:t xml:space="preserve">application: </w:t>
      </w:r>
      <w:r>
        <w:rPr>
          <w:rFonts w:ascii="Avenir Next" w:eastAsia="Avenir Next" w:hAnsi="Avenir Next" w:cs="Avenir Next"/>
          <w:sz w:val="16"/>
          <w:szCs w:val="16"/>
        </w:rPr>
        <w:t>2014-15 – 2016-17,</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2014;</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ESC,</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2013: </w:t>
      </w:r>
      <w:r>
        <w:rPr>
          <w:rFonts w:ascii="Avenir Next" w:eastAsia="Avenir Next" w:hAnsi="Avenir Next" w:cs="Avenir Next"/>
          <w:spacing w:val="-1"/>
          <w:sz w:val="16"/>
          <w:szCs w:val="16"/>
        </w:rPr>
        <w:t>Greater metropolitan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business final decision,</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June</w:t>
      </w:r>
      <w:r>
        <w:rPr>
          <w:rFonts w:ascii="Avenir Next" w:eastAsia="Avenir Next" w:hAnsi="Avenir Next" w:cs="Avenir Next"/>
          <w:spacing w:val="57"/>
          <w:sz w:val="16"/>
          <w:szCs w:val="16"/>
        </w:rPr>
        <w:t xml:space="preserve"> </w:t>
      </w:r>
      <w:r>
        <w:rPr>
          <w:rFonts w:ascii="Avenir Next" w:eastAsia="Avenir Next" w:hAnsi="Avenir Next" w:cs="Avenir Next"/>
          <w:sz w:val="16"/>
          <w:szCs w:val="16"/>
        </w:rPr>
        <w:t>2013;</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ESC;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Regional</w:t>
      </w:r>
      <w:r>
        <w:rPr>
          <w:rFonts w:ascii="Avenir Next" w:eastAsia="Avenir Next" w:hAnsi="Avenir Next" w:cs="Avenir Next"/>
          <w:sz w:val="16"/>
          <w:szCs w:val="16"/>
        </w:rPr>
        <w:t xml:space="preserve"> urban</w:t>
      </w:r>
      <w:r>
        <w:rPr>
          <w:rFonts w:ascii="Avenir Next" w:eastAsia="Avenir Next" w:hAnsi="Avenir Next" w:cs="Avenir Next"/>
          <w:spacing w:val="-1"/>
          <w:sz w:val="16"/>
          <w:szCs w:val="16"/>
        </w:rPr>
        <w:t xml:space="preserve"> water</w:t>
      </w:r>
      <w:r>
        <w:rPr>
          <w:rFonts w:ascii="Avenir Next" w:eastAsia="Avenir Next" w:hAnsi="Avenir Next" w:cs="Avenir Next"/>
          <w:sz w:val="16"/>
          <w:szCs w:val="16"/>
        </w:rPr>
        <w:t xml:space="preserve"> business final decision,</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ESC,</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2013; </w:t>
      </w:r>
      <w:r>
        <w:rPr>
          <w:rFonts w:ascii="Avenir Next" w:eastAsia="Avenir Next" w:hAnsi="Avenir Next" w:cs="Avenir Next"/>
          <w:spacing w:val="-1"/>
          <w:sz w:val="16"/>
          <w:szCs w:val="16"/>
        </w:rPr>
        <w:t>Rural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 xml:space="preserve">water </w:t>
      </w:r>
      <w:r>
        <w:rPr>
          <w:rFonts w:ascii="Avenir Next" w:eastAsia="Avenir Next" w:hAnsi="Avenir Next" w:cs="Avenir Next"/>
          <w:sz w:val="16"/>
          <w:szCs w:val="16"/>
        </w:rPr>
        <w:t>businesses</w:t>
      </w:r>
      <w:r>
        <w:rPr>
          <w:rFonts w:ascii="Avenir Next" w:eastAsia="Avenir Next" w:hAnsi="Avenir Next" w:cs="Avenir Next"/>
          <w:spacing w:val="49"/>
          <w:sz w:val="16"/>
          <w:szCs w:val="16"/>
        </w:rPr>
        <w:t xml:space="preserve"> </w:t>
      </w:r>
      <w:r>
        <w:rPr>
          <w:rFonts w:ascii="Avenir Next" w:eastAsia="Avenir Next" w:hAnsi="Avenir Next" w:cs="Avenir Next"/>
          <w:sz w:val="16"/>
          <w:szCs w:val="16"/>
        </w:rPr>
        <w:t>final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decision,</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 xml:space="preserve">June 2013; </w:t>
      </w:r>
      <w:r>
        <w:rPr>
          <w:rFonts w:ascii="Avenir Next" w:eastAsia="Avenir Next" w:hAnsi="Avenir Next" w:cs="Avenir Next"/>
          <w:spacing w:val="-5"/>
          <w:sz w:val="16"/>
          <w:szCs w:val="16"/>
        </w:rPr>
        <w:t xml:space="preserve">IPART, </w:t>
      </w:r>
      <w:r>
        <w:rPr>
          <w:rFonts w:ascii="Avenir Next" w:eastAsia="Avenir Next" w:hAnsi="Avenir Next" w:cs="Avenir Next"/>
          <w:sz w:val="16"/>
          <w:szCs w:val="16"/>
        </w:rPr>
        <w:t>Hunter</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 drainage</w:t>
      </w:r>
      <w:r>
        <w:rPr>
          <w:rFonts w:ascii="Avenir Next" w:eastAsia="Avenir Next" w:hAnsi="Avenir Next" w:cs="Avenir Next"/>
          <w:sz w:val="16"/>
          <w:szCs w:val="16"/>
        </w:rPr>
        <w:t xml:space="preserve"> and other services:</w:t>
      </w:r>
      <w:r>
        <w:rPr>
          <w:rFonts w:ascii="Avenir Next" w:eastAsia="Avenir Next" w:hAnsi="Avenir Next" w:cs="Avenir Next"/>
          <w:spacing w:val="-1"/>
          <w:sz w:val="16"/>
          <w:szCs w:val="16"/>
        </w:rPr>
        <w:t xml:space="preserve"> Review</w:t>
      </w:r>
    </w:p>
    <w:p w:rsidR="00D96B91" w:rsidRDefault="00C2656B">
      <w:pPr>
        <w:spacing w:before="1"/>
        <w:ind w:left="1247" w:right="1356"/>
        <w:rPr>
          <w:rFonts w:ascii="Avenir Next" w:eastAsia="Avenir Next" w:hAnsi="Avenir Next" w:cs="Avenir Next"/>
          <w:sz w:val="16"/>
          <w:szCs w:val="16"/>
        </w:rPr>
      </w:pPr>
      <w:r>
        <w:rPr>
          <w:rFonts w:ascii="Avenir Next" w:eastAsia="Avenir Next" w:hAnsi="Avenir Next" w:cs="Avenir Next"/>
          <w:sz w:val="16"/>
          <w:szCs w:val="16"/>
        </w:rPr>
        <w:t>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prices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2013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June 2017,</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5"/>
          <w:sz w:val="16"/>
          <w:szCs w:val="16"/>
        </w:rPr>
        <w:t xml:space="preserve"> IPART, </w:t>
      </w:r>
      <w:r>
        <w:rPr>
          <w:rFonts w:ascii="Avenir Next" w:eastAsia="Avenir Next" w:hAnsi="Avenir Next" w:cs="Avenir Next"/>
          <w:spacing w:val="-1"/>
          <w:sz w:val="16"/>
          <w:szCs w:val="16"/>
        </w:rPr>
        <w:t>Gosford</w:t>
      </w:r>
      <w:r>
        <w:rPr>
          <w:rFonts w:ascii="Avenir Next" w:eastAsia="Avenir Next" w:hAnsi="Avenir Next" w:cs="Avenir Next"/>
          <w:sz w:val="16"/>
          <w:szCs w:val="16"/>
        </w:rPr>
        <w:t xml:space="preserve"> City </w:t>
      </w:r>
      <w:r>
        <w:rPr>
          <w:rFonts w:ascii="Avenir Next" w:eastAsia="Avenir Next" w:hAnsi="Avenir Next" w:cs="Avenir Next"/>
          <w:spacing w:val="-1"/>
          <w:sz w:val="16"/>
          <w:szCs w:val="16"/>
        </w:rPr>
        <w:t>Council</w:t>
      </w:r>
      <w:r>
        <w:rPr>
          <w:rFonts w:ascii="Avenir Next" w:eastAsia="Avenir Next" w:hAnsi="Avenir Next" w:cs="Avenir Next"/>
          <w:sz w:val="16"/>
          <w:szCs w:val="16"/>
        </w:rPr>
        <w:t xml:space="preserve"> and</w:t>
      </w:r>
      <w:r>
        <w:rPr>
          <w:rFonts w:ascii="Avenir Next" w:eastAsia="Avenir Next" w:hAnsi="Avenir Next" w:cs="Avenir Next"/>
          <w:spacing w:val="-2"/>
          <w:sz w:val="16"/>
          <w:szCs w:val="16"/>
        </w:rPr>
        <w:t xml:space="preserve"> </w:t>
      </w:r>
      <w:r>
        <w:rPr>
          <w:rFonts w:ascii="Avenir Next" w:eastAsia="Avenir Next" w:hAnsi="Avenir Next" w:cs="Avenir Next"/>
          <w:spacing w:val="-1"/>
          <w:sz w:val="16"/>
          <w:szCs w:val="16"/>
        </w:rPr>
        <w:t>Wyong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Shire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Council:</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Prices</w:t>
      </w:r>
      <w:r>
        <w:rPr>
          <w:rFonts w:ascii="Avenir Next" w:eastAsia="Avenir Next" w:hAnsi="Avenir Next" w:cs="Avenir Next"/>
          <w:sz w:val="16"/>
          <w:szCs w:val="16"/>
        </w:rPr>
        <w:t xml:space="preserve"> for </w:t>
      </w:r>
      <w:r>
        <w:rPr>
          <w:rFonts w:ascii="Avenir Next" w:eastAsia="Avenir Next" w:hAnsi="Avenir Next" w:cs="Avenir Next"/>
          <w:spacing w:val="-2"/>
          <w:sz w:val="16"/>
          <w:szCs w:val="16"/>
        </w:rPr>
        <w:t>water,</w:t>
      </w:r>
      <w:r>
        <w:rPr>
          <w:rFonts w:ascii="Avenir Next" w:eastAsia="Avenir Next" w:hAnsi="Avenir Next" w:cs="Avenir Next"/>
          <w:spacing w:val="61"/>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services </w:t>
      </w:r>
      <w:r>
        <w:rPr>
          <w:rFonts w:ascii="Avenir Next" w:eastAsia="Avenir Next" w:hAnsi="Avenir Next" w:cs="Avenir Next"/>
          <w:spacing w:val="-1"/>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2013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June 2017; </w:t>
      </w:r>
      <w:r>
        <w:rPr>
          <w:rFonts w:ascii="Avenir Next" w:eastAsia="Avenir Next" w:hAnsi="Avenir Next" w:cs="Avenir Next"/>
          <w:spacing w:val="-1"/>
          <w:sz w:val="16"/>
          <w:szCs w:val="16"/>
        </w:rPr>
        <w:t>ESCOSA,</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SA</w:t>
      </w:r>
      <w:r>
        <w:rPr>
          <w:rFonts w:ascii="Avenir Next" w:eastAsia="Avenir Next" w:hAnsi="Avenir Next" w:cs="Avenir Next"/>
          <w:spacing w:val="-5"/>
          <w:sz w:val="16"/>
          <w:szCs w:val="16"/>
        </w:rPr>
        <w:t xml:space="preserve"> </w:t>
      </w:r>
      <w:r>
        <w:rPr>
          <w:rFonts w:ascii="Avenir Next" w:eastAsia="Avenir Next" w:hAnsi="Avenir Next" w:cs="Avenir Next"/>
          <w:spacing w:val="-2"/>
          <w:sz w:val="16"/>
          <w:szCs w:val="16"/>
        </w:rPr>
        <w:t>Water’s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pacing w:val="73"/>
          <w:sz w:val="16"/>
          <w:szCs w:val="16"/>
        </w:rPr>
        <w:t xml:space="preserve"> </w:t>
      </w:r>
      <w:r>
        <w:rPr>
          <w:rFonts w:ascii="Avenir Next" w:eastAsia="Avenir Next" w:hAnsi="Avenir Next" w:cs="Avenir Next"/>
          <w:spacing w:val="-1"/>
          <w:sz w:val="16"/>
          <w:szCs w:val="16"/>
        </w:rPr>
        <w:t>revenues</w:t>
      </w:r>
      <w:r>
        <w:rPr>
          <w:rFonts w:ascii="Avenir Next" w:eastAsia="Avenir Next" w:hAnsi="Avenir Next" w:cs="Avenir Next"/>
          <w:sz w:val="16"/>
          <w:szCs w:val="16"/>
        </w:rPr>
        <w:t xml:space="preserve"> 2013-14 – 2015-16: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Determination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Reasons,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May 2013; </w:t>
      </w:r>
      <w:r>
        <w:rPr>
          <w:rFonts w:ascii="Avenir Next" w:eastAsia="Avenir Next" w:hAnsi="Avenir Next" w:cs="Avenir Next"/>
          <w:spacing w:val="-1"/>
          <w:sz w:val="16"/>
          <w:szCs w:val="16"/>
        </w:rPr>
        <w:t>QCA,</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Seqwater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irrigation</w:t>
      </w:r>
      <w:r>
        <w:rPr>
          <w:rFonts w:ascii="Avenir Next" w:eastAsia="Avenir Next" w:hAnsi="Avenir Next" w:cs="Avenir Next"/>
          <w:sz w:val="16"/>
          <w:szCs w:val="16"/>
        </w:rPr>
        <w:t xml:space="preserve"> price</w:t>
      </w:r>
      <w:r>
        <w:rPr>
          <w:rFonts w:ascii="Avenir Next" w:eastAsia="Avenir Next" w:hAnsi="Avenir Next" w:cs="Avenir Next"/>
          <w:spacing w:val="97"/>
          <w:sz w:val="16"/>
          <w:szCs w:val="16"/>
        </w:rPr>
        <w:t xml:space="preserve"> </w:t>
      </w:r>
      <w:r>
        <w:rPr>
          <w:rFonts w:ascii="Avenir Next" w:eastAsia="Avenir Next" w:hAnsi="Avenir Next" w:cs="Avenir Next"/>
          <w:spacing w:val="-1"/>
          <w:sz w:val="16"/>
          <w:szCs w:val="16"/>
        </w:rPr>
        <w:t xml:space="preserve">review </w:t>
      </w:r>
      <w:r>
        <w:rPr>
          <w:rFonts w:ascii="Avenir Next" w:eastAsia="Avenir Next" w:hAnsi="Avenir Next" w:cs="Avenir Next"/>
          <w:sz w:val="16"/>
          <w:szCs w:val="16"/>
        </w:rPr>
        <w:t>2013-17</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Volume</w:t>
      </w:r>
      <w:r>
        <w:rPr>
          <w:rFonts w:ascii="Avenir Next" w:eastAsia="Avenir Next" w:hAnsi="Avenir Next" w:cs="Avenir Next"/>
          <w:sz w:val="16"/>
          <w:szCs w:val="16"/>
        </w:rPr>
        <w:t xml:space="preserve"> 1,</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April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2013; ERA,</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Inquiry into</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the </w:t>
      </w:r>
      <w:r>
        <w:rPr>
          <w:rFonts w:ascii="Avenir Next" w:eastAsia="Avenir Next" w:hAnsi="Avenir Next" w:cs="Avenir Next"/>
          <w:spacing w:val="-1"/>
          <w:sz w:val="16"/>
          <w:szCs w:val="16"/>
        </w:rPr>
        <w:t>efficient</w:t>
      </w:r>
      <w:r>
        <w:rPr>
          <w:rFonts w:ascii="Avenir Next" w:eastAsia="Avenir Next" w:hAnsi="Avenir Next" w:cs="Avenir Next"/>
          <w:sz w:val="16"/>
          <w:szCs w:val="16"/>
        </w:rPr>
        <w:t xml:space="preserve"> costs and</w:t>
      </w:r>
      <w:r>
        <w:rPr>
          <w:rFonts w:ascii="Avenir Next" w:eastAsia="Avenir Next" w:hAnsi="Avenir Next" w:cs="Avenir Next"/>
          <w:spacing w:val="-1"/>
          <w:sz w:val="16"/>
          <w:szCs w:val="16"/>
        </w:rPr>
        <w:t xml:space="preserve"> tariffs</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Corporation,</w:t>
      </w:r>
      <w:r>
        <w:rPr>
          <w:rFonts w:ascii="Avenir Next" w:eastAsia="Avenir Next" w:hAnsi="Avenir Next" w:cs="Avenir Next"/>
          <w:spacing w:val="-9"/>
          <w:sz w:val="16"/>
          <w:szCs w:val="16"/>
        </w:rPr>
        <w:t xml:space="preserve"> </w:t>
      </w:r>
      <w:r>
        <w:rPr>
          <w:rFonts w:ascii="Avenir Next" w:eastAsia="Avenir Next" w:hAnsi="Avenir Next" w:cs="Avenir Next"/>
          <w:sz w:val="16"/>
          <w:szCs w:val="16"/>
        </w:rPr>
        <w:t>Aqwest and</w:t>
      </w:r>
    </w:p>
    <w:p w:rsidR="00D96B91" w:rsidRDefault="00C2656B">
      <w:pPr>
        <w:spacing w:before="1"/>
        <w:ind w:left="1247" w:right="1548"/>
        <w:rPr>
          <w:rFonts w:ascii="Avenir Next" w:eastAsia="Avenir Next" w:hAnsi="Avenir Next" w:cs="Avenir Next"/>
          <w:sz w:val="16"/>
          <w:szCs w:val="16"/>
        </w:rPr>
      </w:pPr>
      <w:r>
        <w:rPr>
          <w:rFonts w:ascii="Avenir Next" w:eastAsia="Avenir Next" w:hAnsi="Avenir Next" w:cs="Avenir Next"/>
          <w:sz w:val="16"/>
          <w:szCs w:val="16"/>
        </w:rPr>
        <w:t>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Busselton</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Board: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Revised</w:t>
      </w:r>
      <w:r>
        <w:rPr>
          <w:rFonts w:ascii="Avenir Next" w:eastAsia="Avenir Next" w:hAnsi="Avenir Next" w:cs="Avenir Next"/>
          <w:sz w:val="16"/>
          <w:szCs w:val="16"/>
        </w:rPr>
        <w:t xml:space="preserve"> final</w:t>
      </w:r>
      <w:r>
        <w:rPr>
          <w:rFonts w:ascii="Avenir Next" w:eastAsia="Avenir Next" w:hAnsi="Avenir Next" w:cs="Avenir Next"/>
          <w:spacing w:val="-1"/>
          <w:sz w:val="16"/>
          <w:szCs w:val="16"/>
        </w:rPr>
        <w:t xml:space="preserve"> report,</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March</w:t>
      </w:r>
      <w:r>
        <w:rPr>
          <w:rFonts w:ascii="Avenir Next" w:eastAsia="Avenir Next" w:hAnsi="Avenir Next" w:cs="Avenir Next"/>
          <w:sz w:val="16"/>
          <w:szCs w:val="16"/>
        </w:rPr>
        <w:t xml:space="preserve"> 2013; </w:t>
      </w:r>
      <w:r>
        <w:rPr>
          <w:rFonts w:ascii="Avenir Next" w:eastAsia="Avenir Next" w:hAnsi="Avenir Next" w:cs="Avenir Next"/>
          <w:spacing w:val="-5"/>
          <w:sz w:val="16"/>
          <w:szCs w:val="16"/>
        </w:rPr>
        <w:t xml:space="preserve">IPART,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of</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prices for </w:t>
      </w:r>
      <w:r>
        <w:rPr>
          <w:rFonts w:ascii="Avenir Next" w:eastAsia="Avenir Next" w:hAnsi="Avenir Next" w:cs="Avenir Next"/>
          <w:spacing w:val="-1"/>
          <w:sz w:val="16"/>
          <w:szCs w:val="16"/>
        </w:rPr>
        <w:t>Sydney</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Corporation’s</w:t>
      </w:r>
      <w:r>
        <w:rPr>
          <w:rFonts w:ascii="Avenir Next" w:eastAsia="Avenir Next" w:hAnsi="Avenir Next" w:cs="Avenir Next"/>
          <w:spacing w:val="-1"/>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pacing w:val="87"/>
          <w:sz w:val="16"/>
          <w:szCs w:val="16"/>
        </w:rPr>
        <w:t xml:space="preserve"> </w:t>
      </w:r>
      <w:r>
        <w:rPr>
          <w:rFonts w:ascii="Avenir Next" w:eastAsia="Avenir Next" w:hAnsi="Avenir Next" w:cs="Avenir Next"/>
          <w:spacing w:val="-1"/>
          <w:sz w:val="16"/>
          <w:szCs w:val="16"/>
        </w:rPr>
        <w:t>sewerage,</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stormwater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drainage</w:t>
      </w:r>
      <w:r>
        <w:rPr>
          <w:rFonts w:ascii="Avenir Next" w:eastAsia="Avenir Next" w:hAnsi="Avenir Next" w:cs="Avenir Next"/>
          <w:sz w:val="16"/>
          <w:szCs w:val="16"/>
        </w:rPr>
        <w:t xml:space="preserve"> and other services: </w:t>
      </w:r>
      <w:r>
        <w:rPr>
          <w:rFonts w:ascii="Avenir Next" w:eastAsia="Avenir Next" w:hAnsi="Avenir Next" w:cs="Avenir Next"/>
          <w:spacing w:val="-3"/>
          <w:sz w:val="16"/>
          <w:szCs w:val="16"/>
        </w:rPr>
        <w:t>From</w:t>
      </w:r>
      <w:r>
        <w:rPr>
          <w:rFonts w:ascii="Avenir Next" w:eastAsia="Avenir Next" w:hAnsi="Avenir Next" w:cs="Avenir Next"/>
          <w:sz w:val="16"/>
          <w:szCs w:val="16"/>
        </w:rPr>
        <w:t xml:space="preserve"> 1</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July 2012 to 30</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June 2016,</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 xml:space="preserve">June 2012; </w:t>
      </w:r>
      <w:r>
        <w:rPr>
          <w:rFonts w:ascii="Avenir Next" w:eastAsia="Avenir Next" w:hAnsi="Avenir Next" w:cs="Avenir Next"/>
          <w:spacing w:val="-1"/>
          <w:sz w:val="16"/>
          <w:szCs w:val="16"/>
        </w:rPr>
        <w:t>QCA,</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SunWater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irrigation</w:t>
      </w:r>
      <w:r>
        <w:rPr>
          <w:rFonts w:ascii="Avenir Next" w:eastAsia="Avenir Next" w:hAnsi="Avenir Next" w:cs="Avenir Next"/>
          <w:spacing w:val="67"/>
          <w:sz w:val="16"/>
          <w:szCs w:val="16"/>
        </w:rPr>
        <w:t xml:space="preserve"> </w:t>
      </w:r>
      <w:r>
        <w:rPr>
          <w:rFonts w:ascii="Avenir Next" w:eastAsia="Avenir Next" w:hAnsi="Avenir Next" w:cs="Avenir Next"/>
          <w:sz w:val="16"/>
          <w:szCs w:val="16"/>
        </w:rPr>
        <w:t xml:space="preserve">price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2012-17</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Volume</w:t>
      </w:r>
      <w:r>
        <w:rPr>
          <w:rFonts w:ascii="Avenir Next" w:eastAsia="Avenir Next" w:hAnsi="Avenir Next" w:cs="Avenir Next"/>
          <w:sz w:val="16"/>
          <w:szCs w:val="16"/>
        </w:rPr>
        <w:t xml:space="preserve"> 1,</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May 2012; </w:t>
      </w:r>
      <w:r>
        <w:rPr>
          <w:rFonts w:ascii="Avenir Next" w:eastAsia="Avenir Next" w:hAnsi="Avenir Next" w:cs="Avenir Next"/>
          <w:spacing w:val="-1"/>
          <w:sz w:val="16"/>
          <w:szCs w:val="16"/>
        </w:rPr>
        <w:t>QCA,</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Gladstone</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Area</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Board: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Investigation</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pricing </w:t>
      </w:r>
      <w:r>
        <w:rPr>
          <w:rFonts w:ascii="Avenir Next" w:eastAsia="Avenir Next" w:hAnsi="Avenir Next" w:cs="Avenir Next"/>
          <w:spacing w:val="-1"/>
          <w:sz w:val="16"/>
          <w:szCs w:val="16"/>
        </w:rPr>
        <w:t>practices,</w:t>
      </w:r>
      <w:r>
        <w:rPr>
          <w:rFonts w:ascii="Avenir Next" w:eastAsia="Avenir Next" w:hAnsi="Avenir Next" w:cs="Avenir Next"/>
          <w:spacing w:val="-7"/>
          <w:sz w:val="16"/>
          <w:szCs w:val="16"/>
        </w:rPr>
        <w:t xml:space="preserve"> </w:t>
      </w:r>
      <w:r>
        <w:rPr>
          <w:rFonts w:ascii="Avenir Next" w:eastAsia="Avenir Next" w:hAnsi="Avenir Next" w:cs="Avenir Next"/>
          <w:sz w:val="16"/>
          <w:szCs w:val="16"/>
        </w:rPr>
        <w:t>June 2010;</w:t>
      </w:r>
      <w:r>
        <w:rPr>
          <w:rFonts w:ascii="Avenir Next" w:eastAsia="Avenir Next" w:hAnsi="Avenir Next" w:cs="Avenir Next"/>
          <w:spacing w:val="71"/>
          <w:sz w:val="16"/>
          <w:szCs w:val="16"/>
        </w:rPr>
        <w:t xml:space="preserve"> </w:t>
      </w:r>
      <w:r>
        <w:rPr>
          <w:rFonts w:ascii="Avenir Next" w:eastAsia="Avenir Next" w:hAnsi="Avenir Next" w:cs="Avenir Next"/>
          <w:sz w:val="16"/>
          <w:szCs w:val="16"/>
        </w:rPr>
        <w:t>ICRC,</w:t>
      </w:r>
      <w:r>
        <w:rPr>
          <w:rFonts w:ascii="Avenir Next" w:eastAsia="Avenir Next" w:hAnsi="Avenir Next" w:cs="Avenir Next"/>
          <w:spacing w:val="-7"/>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wastewater</w:t>
      </w:r>
      <w:r>
        <w:rPr>
          <w:rFonts w:ascii="Avenir Next" w:eastAsia="Avenir Next" w:hAnsi="Avenir Next" w:cs="Avenir Next"/>
          <w:sz w:val="16"/>
          <w:szCs w:val="16"/>
        </w:rPr>
        <w:t xml:space="preserve"> price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and price </w:t>
      </w:r>
      <w:r>
        <w:rPr>
          <w:rFonts w:ascii="Avenir Next" w:eastAsia="Avenir Next" w:hAnsi="Avenir Next" w:cs="Avenir Next"/>
          <w:spacing w:val="-1"/>
          <w:sz w:val="16"/>
          <w:szCs w:val="16"/>
        </w:rPr>
        <w:t>determination,</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1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2008,</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April 2008.</w:t>
      </w:r>
    </w:p>
    <w:p w:rsidR="00D96B91" w:rsidRDefault="00D96B91">
      <w:pPr>
        <w:rPr>
          <w:rFonts w:ascii="Avenir Next" w:eastAsia="Avenir Next" w:hAnsi="Avenir Next" w:cs="Avenir Next"/>
          <w:sz w:val="16"/>
          <w:szCs w:val="16"/>
        </w:rPr>
      </w:pPr>
    </w:p>
    <w:p w:rsidR="00D96B91" w:rsidRDefault="00D96B91">
      <w:pPr>
        <w:spacing w:before="6"/>
        <w:rPr>
          <w:rFonts w:ascii="Avenir Next" w:eastAsia="Avenir Next" w:hAnsi="Avenir Next" w:cs="Avenir Next"/>
          <w:sz w:val="16"/>
          <w:szCs w:val="16"/>
        </w:rPr>
      </w:pPr>
    </w:p>
    <w:p w:rsidR="00D96B91" w:rsidRDefault="00C2656B">
      <w:pPr>
        <w:pStyle w:val="Heading6"/>
        <w:ind w:left="1247" w:firstLine="0"/>
      </w:pPr>
      <w:r>
        <w:rPr>
          <w:color w:val="0778BE"/>
        </w:rPr>
        <w:t xml:space="preserve">A8.1.2 </w:t>
      </w:r>
      <w:r>
        <w:rPr>
          <w:color w:val="0778BE"/>
          <w:spacing w:val="6"/>
        </w:rPr>
        <w:t xml:space="preserve"> </w:t>
      </w:r>
      <w:r>
        <w:rPr>
          <w:color w:val="0778BE"/>
          <w:spacing w:val="-1"/>
        </w:rPr>
        <w:t>Averaging</w:t>
      </w:r>
      <w:r>
        <w:rPr>
          <w:color w:val="0778BE"/>
        </w:rPr>
        <w:t xml:space="preserve"> period</w:t>
      </w:r>
    </w:p>
    <w:p w:rsidR="00D96B91" w:rsidRDefault="00C2656B">
      <w:pPr>
        <w:pStyle w:val="BodyText"/>
        <w:spacing w:before="21" w:line="260" w:lineRule="exact"/>
        <w:ind w:right="1283"/>
      </w:pPr>
      <w:r>
        <w:rPr>
          <w:spacing w:val="-10"/>
        </w:rPr>
        <w:t>To</w:t>
      </w:r>
      <w:r>
        <w:t xml:space="preserve"> </w:t>
      </w:r>
      <w:r>
        <w:rPr>
          <w:spacing w:val="-1"/>
        </w:rPr>
        <w:t>estimate</w:t>
      </w:r>
      <w:r>
        <w:t xml:space="preserve"> the debt </w:t>
      </w:r>
      <w:r>
        <w:rPr>
          <w:spacing w:val="-1"/>
        </w:rPr>
        <w:t>margin</w:t>
      </w:r>
      <w:r>
        <w:t xml:space="preserve"> and </w:t>
      </w:r>
      <w:r>
        <w:rPr>
          <w:spacing w:val="-1"/>
        </w:rPr>
        <w:t>risk-free</w:t>
      </w:r>
      <w:r>
        <w:t xml:space="preserve"> </w:t>
      </w:r>
      <w:r>
        <w:rPr>
          <w:spacing w:val="-1"/>
        </w:rPr>
        <w:t>rate,</w:t>
      </w:r>
      <w:r>
        <w:rPr>
          <w:spacing w:val="-6"/>
        </w:rPr>
        <w:t xml:space="preserve"> </w:t>
      </w:r>
      <w:r>
        <w:t xml:space="preserve">a decision must be made about the </w:t>
      </w:r>
      <w:r>
        <w:rPr>
          <w:spacing w:val="-1"/>
        </w:rPr>
        <w:t>appropriate</w:t>
      </w:r>
      <w:r>
        <w:rPr>
          <w:spacing w:val="27"/>
        </w:rPr>
        <w:t xml:space="preserve"> </w:t>
      </w:r>
      <w:r>
        <w:rPr>
          <w:spacing w:val="-1"/>
        </w:rPr>
        <w:t>averaging</w:t>
      </w:r>
      <w:r>
        <w:t xml:space="preserve"> period.</w:t>
      </w:r>
      <w:r>
        <w:rPr>
          <w:spacing w:val="-11"/>
        </w:rPr>
        <w:t xml:space="preserve"> </w:t>
      </w:r>
      <w:r>
        <w:rPr>
          <w:spacing w:val="-2"/>
        </w:rPr>
        <w:t>There</w:t>
      </w:r>
      <w:r>
        <w:t xml:space="preserve"> </w:t>
      </w:r>
      <w:r>
        <w:rPr>
          <w:spacing w:val="-2"/>
        </w:rPr>
        <w:t>are</w:t>
      </w:r>
      <w:r>
        <w:t xml:space="preserve"> </w:t>
      </w:r>
      <w:r>
        <w:rPr>
          <w:spacing w:val="-1"/>
        </w:rPr>
        <w:t>broadly</w:t>
      </w:r>
      <w:r>
        <w:t xml:space="preserve"> </w:t>
      </w:r>
      <w:r>
        <w:rPr>
          <w:spacing w:val="-1"/>
        </w:rPr>
        <w:t>three</w:t>
      </w:r>
      <w:r>
        <w:t xml:space="preserve"> </w:t>
      </w:r>
      <w:r>
        <w:rPr>
          <w:spacing w:val="-1"/>
        </w:rPr>
        <w:t>approaches:</w:t>
      </w:r>
    </w:p>
    <w:p w:rsidR="00D96B91" w:rsidRDefault="00C2656B">
      <w:pPr>
        <w:pStyle w:val="BodyText"/>
        <w:numPr>
          <w:ilvl w:val="0"/>
          <w:numId w:val="22"/>
        </w:numPr>
        <w:tabs>
          <w:tab w:val="left" w:pos="1588"/>
        </w:tabs>
        <w:spacing w:before="170" w:line="260" w:lineRule="exact"/>
        <w:ind w:right="1485" w:hanging="340"/>
      </w:pPr>
      <w:r>
        <w:t xml:space="preserve">Adopt a </w:t>
      </w:r>
      <w:r>
        <w:rPr>
          <w:spacing w:val="-1"/>
        </w:rPr>
        <w:t>short</w:t>
      </w:r>
      <w:r>
        <w:t xml:space="preserve"> </w:t>
      </w:r>
      <w:r>
        <w:rPr>
          <w:spacing w:val="-1"/>
        </w:rPr>
        <w:t>averaging</w:t>
      </w:r>
      <w:r>
        <w:t xml:space="preserve"> period,</w:t>
      </w:r>
      <w:r>
        <w:rPr>
          <w:spacing w:val="-6"/>
        </w:rPr>
        <w:t xml:space="preserve"> </w:t>
      </w:r>
      <w:r>
        <w:t>such as 20 or 40 days.</w:t>
      </w:r>
      <w:r>
        <w:rPr>
          <w:spacing w:val="-11"/>
        </w:rPr>
        <w:t xml:space="preserve"> </w:t>
      </w:r>
      <w:r>
        <w:rPr>
          <w:spacing w:val="-2"/>
        </w:rPr>
        <w:t>The</w:t>
      </w:r>
      <w:r>
        <w:t xml:space="preserve"> underlying </w:t>
      </w:r>
      <w:r>
        <w:rPr>
          <w:spacing w:val="-1"/>
        </w:rPr>
        <w:t>rationale</w:t>
      </w:r>
      <w:r>
        <w:t xml:space="preserve"> for this </w:t>
      </w:r>
      <w:r>
        <w:rPr>
          <w:spacing w:val="-1"/>
        </w:rPr>
        <w:t>approach</w:t>
      </w:r>
      <w:r>
        <w:rPr>
          <w:spacing w:val="37"/>
        </w:rPr>
        <w:t xml:space="preserve"> </w:t>
      </w:r>
      <w:r>
        <w:t>is</w:t>
      </w:r>
      <w:r>
        <w:rPr>
          <w:spacing w:val="-1"/>
        </w:rPr>
        <w:t xml:space="preserve"> that </w:t>
      </w:r>
      <w:r>
        <w:t>the most</w:t>
      </w:r>
      <w:r>
        <w:rPr>
          <w:spacing w:val="-1"/>
        </w:rPr>
        <w:t xml:space="preserve"> efficient </w:t>
      </w:r>
      <w:r>
        <w:t>cost of</w:t>
      </w:r>
      <w:r>
        <w:rPr>
          <w:spacing w:val="3"/>
        </w:rPr>
        <w:t xml:space="preserve"> </w:t>
      </w:r>
      <w:r>
        <w:t>debt will</w:t>
      </w:r>
      <w:r>
        <w:rPr>
          <w:spacing w:val="-1"/>
        </w:rPr>
        <w:t xml:space="preserve"> </w:t>
      </w:r>
      <w:r>
        <w:t>be</w:t>
      </w:r>
      <w:r>
        <w:rPr>
          <w:spacing w:val="-1"/>
        </w:rPr>
        <w:t xml:space="preserve"> represented</w:t>
      </w:r>
      <w:r>
        <w:t xml:space="preserve"> by</w:t>
      </w:r>
      <w:r>
        <w:rPr>
          <w:spacing w:val="-1"/>
        </w:rPr>
        <w:t xml:space="preserve"> prevailing rates</w:t>
      </w:r>
      <w:r>
        <w:t xml:space="preserve"> as</w:t>
      </w:r>
      <w:r>
        <w:rPr>
          <w:spacing w:val="-1"/>
        </w:rPr>
        <w:t xml:space="preserve"> </w:t>
      </w:r>
      <w:r>
        <w:t xml:space="preserve">they </w:t>
      </w:r>
      <w:r>
        <w:rPr>
          <w:spacing w:val="-1"/>
        </w:rPr>
        <w:t xml:space="preserve">reflect </w:t>
      </w:r>
      <w:r>
        <w:t>most</w:t>
      </w:r>
      <w:r>
        <w:rPr>
          <w:spacing w:val="39"/>
        </w:rPr>
        <w:t xml:space="preserve"> </w:t>
      </w:r>
      <w:r>
        <w:rPr>
          <w:spacing w:val="-1"/>
        </w:rPr>
        <w:t>accurately</w:t>
      </w:r>
      <w:r>
        <w:t xml:space="preserve"> </w:t>
      </w:r>
      <w:r>
        <w:rPr>
          <w:spacing w:val="-2"/>
        </w:rPr>
        <w:t>market’s</w:t>
      </w:r>
      <w:r>
        <w:t xml:space="preserve"> </w:t>
      </w:r>
      <w:r>
        <w:rPr>
          <w:spacing w:val="-1"/>
        </w:rPr>
        <w:t>expectation</w:t>
      </w:r>
      <w:r>
        <w:t xml:space="preserve"> on the </w:t>
      </w:r>
      <w:r>
        <w:rPr>
          <w:spacing w:val="-1"/>
        </w:rPr>
        <w:t>future</w:t>
      </w:r>
      <w:r>
        <w:t xml:space="preserve"> cost of</w:t>
      </w:r>
      <w:r>
        <w:rPr>
          <w:spacing w:val="4"/>
        </w:rPr>
        <w:t xml:space="preserve"> </w:t>
      </w:r>
      <w:r>
        <w:t xml:space="preserve">debt over the </w:t>
      </w:r>
      <w:r>
        <w:rPr>
          <w:spacing w:val="-1"/>
        </w:rPr>
        <w:t>borrowing</w:t>
      </w:r>
      <w:r>
        <w:t xml:space="preserve"> period.</w:t>
      </w:r>
    </w:p>
    <w:p w:rsidR="00D96B91" w:rsidRDefault="00C2656B">
      <w:pPr>
        <w:pStyle w:val="BodyText"/>
        <w:numPr>
          <w:ilvl w:val="0"/>
          <w:numId w:val="22"/>
        </w:numPr>
        <w:tabs>
          <w:tab w:val="left" w:pos="1588"/>
        </w:tabs>
        <w:spacing w:before="85" w:line="260" w:lineRule="exact"/>
        <w:ind w:right="1455" w:hanging="340"/>
      </w:pPr>
      <w:r>
        <w:t xml:space="preserve">Adopt a long </w:t>
      </w:r>
      <w:r>
        <w:rPr>
          <w:spacing w:val="-1"/>
        </w:rPr>
        <w:t>averaging</w:t>
      </w:r>
      <w:r>
        <w:t xml:space="preserve"> period,</w:t>
      </w:r>
      <w:r>
        <w:rPr>
          <w:spacing w:val="-6"/>
        </w:rPr>
        <w:t xml:space="preserve"> </w:t>
      </w:r>
      <w:r>
        <w:t xml:space="preserve">such as 10 </w:t>
      </w:r>
      <w:r>
        <w:rPr>
          <w:spacing w:val="-1"/>
        </w:rPr>
        <w:t>years.</w:t>
      </w:r>
      <w:r>
        <w:rPr>
          <w:spacing w:val="-6"/>
        </w:rPr>
        <w:t xml:space="preserve"> </w:t>
      </w:r>
      <w:r>
        <w:t xml:space="preserve">Utilities </w:t>
      </w:r>
      <w:r>
        <w:rPr>
          <w:spacing w:val="-1"/>
        </w:rPr>
        <w:t>generally</w:t>
      </w:r>
      <w:r>
        <w:t xml:space="preserve"> </w:t>
      </w:r>
      <w:r>
        <w:rPr>
          <w:spacing w:val="-1"/>
        </w:rPr>
        <w:t>support</w:t>
      </w:r>
      <w:r>
        <w:t xml:space="preserve"> this </w:t>
      </w:r>
      <w:r>
        <w:rPr>
          <w:spacing w:val="-1"/>
        </w:rPr>
        <w:t>approach</w:t>
      </w:r>
      <w:r>
        <w:t xml:space="preserve"> and</w:t>
      </w:r>
      <w:r>
        <w:rPr>
          <w:spacing w:val="49"/>
        </w:rPr>
        <w:t xml:space="preserve"> </w:t>
      </w:r>
      <w:r>
        <w:rPr>
          <w:spacing w:val="-1"/>
        </w:rPr>
        <w:t xml:space="preserve">argue that </w:t>
      </w:r>
      <w:r>
        <w:t>their assets</w:t>
      </w:r>
      <w:r>
        <w:rPr>
          <w:spacing w:val="-1"/>
        </w:rPr>
        <w:t xml:space="preserve"> </w:t>
      </w:r>
      <w:r>
        <w:rPr>
          <w:spacing w:val="-2"/>
        </w:rPr>
        <w:t>are</w:t>
      </w:r>
      <w:r>
        <w:rPr>
          <w:spacing w:val="-1"/>
        </w:rPr>
        <w:t xml:space="preserve"> </w:t>
      </w:r>
      <w:r>
        <w:t>financed using</w:t>
      </w:r>
      <w:r>
        <w:rPr>
          <w:spacing w:val="-1"/>
        </w:rPr>
        <w:t xml:space="preserve"> </w:t>
      </w:r>
      <w:r>
        <w:t>long-term debt</w:t>
      </w:r>
      <w:r>
        <w:rPr>
          <w:spacing w:val="-1"/>
        </w:rPr>
        <w:t xml:space="preserve"> </w:t>
      </w:r>
      <w:r>
        <w:t>with</w:t>
      </w:r>
      <w:r>
        <w:rPr>
          <w:spacing w:val="-1"/>
        </w:rPr>
        <w:t xml:space="preserve"> staggered</w:t>
      </w:r>
      <w:r>
        <w:t xml:space="preserve"> </w:t>
      </w:r>
      <w:r>
        <w:rPr>
          <w:spacing w:val="-1"/>
        </w:rPr>
        <w:t>maturities,</w:t>
      </w:r>
      <w:r>
        <w:rPr>
          <w:spacing w:val="-7"/>
        </w:rPr>
        <w:t xml:space="preserve"> </w:t>
      </w:r>
      <w:r>
        <w:t>which implies</w:t>
      </w:r>
      <w:r>
        <w:rPr>
          <w:spacing w:val="39"/>
        </w:rPr>
        <w:t xml:space="preserve"> </w:t>
      </w:r>
      <w:r>
        <w:rPr>
          <w:spacing w:val="-1"/>
        </w:rPr>
        <w:t xml:space="preserve">that </w:t>
      </w:r>
      <w:r>
        <w:t>only</w:t>
      </w:r>
      <w:r>
        <w:rPr>
          <w:spacing w:val="-1"/>
        </w:rPr>
        <w:t xml:space="preserve"> </w:t>
      </w:r>
      <w:r>
        <w:t xml:space="preserve">a </w:t>
      </w:r>
      <w:r>
        <w:rPr>
          <w:spacing w:val="-1"/>
        </w:rPr>
        <w:t xml:space="preserve">portion </w:t>
      </w:r>
      <w:r>
        <w:t>of</w:t>
      </w:r>
      <w:r>
        <w:rPr>
          <w:spacing w:val="4"/>
        </w:rPr>
        <w:t xml:space="preserve"> </w:t>
      </w:r>
      <w:r>
        <w:t>total</w:t>
      </w:r>
      <w:r>
        <w:rPr>
          <w:spacing w:val="-1"/>
        </w:rPr>
        <w:t xml:space="preserve"> </w:t>
      </w:r>
      <w:r>
        <w:t>debt</w:t>
      </w:r>
      <w:r>
        <w:rPr>
          <w:spacing w:val="-1"/>
        </w:rPr>
        <w:t xml:space="preserve"> </w:t>
      </w:r>
      <w:r>
        <w:t xml:space="preserve">is </w:t>
      </w:r>
      <w:r>
        <w:rPr>
          <w:spacing w:val="-1"/>
        </w:rPr>
        <w:t>refinanced each</w:t>
      </w:r>
      <w:r>
        <w:t xml:space="preserve"> time.</w:t>
      </w:r>
      <w:r>
        <w:rPr>
          <w:spacing w:val="-12"/>
        </w:rPr>
        <w:t xml:space="preserve"> </w:t>
      </w:r>
      <w:r>
        <w:rPr>
          <w:spacing w:val="-1"/>
        </w:rPr>
        <w:t>This</w:t>
      </w:r>
      <w:r>
        <w:t xml:space="preserve"> </w:t>
      </w:r>
      <w:r>
        <w:rPr>
          <w:spacing w:val="-1"/>
        </w:rPr>
        <w:t xml:space="preserve">approach </w:t>
      </w:r>
      <w:r>
        <w:t>would also</w:t>
      </w:r>
      <w:r>
        <w:rPr>
          <w:spacing w:val="-1"/>
        </w:rPr>
        <w:t xml:space="preserve"> ensure </w:t>
      </w:r>
      <w:r>
        <w:t>internal</w:t>
      </w:r>
      <w:r>
        <w:rPr>
          <w:spacing w:val="41"/>
        </w:rPr>
        <w:t xml:space="preserve"> </w:t>
      </w:r>
      <w:r>
        <w:t>consistency within the</w:t>
      </w:r>
      <w:r>
        <w:rPr>
          <w:spacing w:val="-3"/>
        </w:rPr>
        <w:t xml:space="preserve"> WACC</w:t>
      </w:r>
      <w:r>
        <w:t xml:space="preserve"> </w:t>
      </w:r>
      <w:r>
        <w:rPr>
          <w:spacing w:val="-1"/>
        </w:rPr>
        <w:t>calculation,</w:t>
      </w:r>
      <w:r>
        <w:rPr>
          <w:spacing w:val="-6"/>
        </w:rPr>
        <w:t xml:space="preserve"> </w:t>
      </w:r>
      <w:r>
        <w:t>if</w:t>
      </w:r>
      <w:r>
        <w:rPr>
          <w:spacing w:val="4"/>
        </w:rPr>
        <w:t xml:space="preserve"> </w:t>
      </w:r>
      <w:r>
        <w:t xml:space="preserve">the historical MRP was used to </w:t>
      </w:r>
      <w:r>
        <w:rPr>
          <w:spacing w:val="-1"/>
        </w:rPr>
        <w:t>estimate</w:t>
      </w:r>
      <w:r>
        <w:t xml:space="preserve"> the cost of</w:t>
      </w:r>
      <w:r>
        <w:rPr>
          <w:spacing w:val="35"/>
        </w:rPr>
        <w:t xml:space="preserve"> </w:t>
      </w:r>
      <w:r>
        <w:rPr>
          <w:spacing w:val="-2"/>
        </w:rPr>
        <w:t>equity.</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BodyText"/>
        <w:numPr>
          <w:ilvl w:val="0"/>
          <w:numId w:val="22"/>
        </w:numPr>
        <w:tabs>
          <w:tab w:val="left" w:pos="1588"/>
        </w:tabs>
        <w:spacing w:before="21" w:line="260" w:lineRule="exact"/>
        <w:ind w:right="1321" w:hanging="340"/>
      </w:pPr>
      <w:r>
        <w:t>Use a mix of</w:t>
      </w:r>
      <w:r>
        <w:rPr>
          <w:spacing w:val="4"/>
        </w:rPr>
        <w:t xml:space="preserve"> </w:t>
      </w:r>
      <w:r>
        <w:rPr>
          <w:spacing w:val="-1"/>
        </w:rPr>
        <w:t>short-term</w:t>
      </w:r>
      <w:r>
        <w:t xml:space="preserve"> and long-term </w:t>
      </w:r>
      <w:r>
        <w:rPr>
          <w:spacing w:val="-1"/>
        </w:rPr>
        <w:t>averages.</w:t>
      </w:r>
      <w:r>
        <w:rPr>
          <w:spacing w:val="-11"/>
        </w:rPr>
        <w:t xml:space="preserve"> </w:t>
      </w:r>
      <w:r>
        <w:rPr>
          <w:spacing w:val="-1"/>
        </w:rPr>
        <w:t>This</w:t>
      </w:r>
      <w:r>
        <w:t xml:space="preserve"> is a new </w:t>
      </w:r>
      <w:r>
        <w:rPr>
          <w:spacing w:val="-1"/>
        </w:rPr>
        <w:t>approach</w:t>
      </w:r>
      <w:r>
        <w:t xml:space="preserve"> </w:t>
      </w:r>
      <w:r>
        <w:rPr>
          <w:spacing w:val="-1"/>
        </w:rPr>
        <w:t>that</w:t>
      </w:r>
      <w:r>
        <w:t xml:space="preserve"> has only </w:t>
      </w:r>
      <w:r>
        <w:rPr>
          <w:spacing w:val="-1"/>
        </w:rPr>
        <w:t>recently</w:t>
      </w:r>
      <w:r>
        <w:t xml:space="preserve"> been</w:t>
      </w:r>
      <w:r>
        <w:rPr>
          <w:spacing w:val="47"/>
        </w:rPr>
        <w:t xml:space="preserve"> </w:t>
      </w:r>
      <w:r>
        <w:t xml:space="preserve">used by </w:t>
      </w:r>
      <w:r>
        <w:rPr>
          <w:spacing w:val="-6"/>
        </w:rPr>
        <w:t xml:space="preserve">IPART. </w:t>
      </w:r>
      <w:r>
        <w:t xml:space="preserve">In adopting this </w:t>
      </w:r>
      <w:r>
        <w:rPr>
          <w:spacing w:val="-1"/>
        </w:rPr>
        <w:t>approach,</w:t>
      </w:r>
      <w:r>
        <w:rPr>
          <w:spacing w:val="-6"/>
        </w:rPr>
        <w:t xml:space="preserve"> </w:t>
      </w:r>
      <w:r>
        <w:rPr>
          <w:spacing w:val="-3"/>
        </w:rPr>
        <w:t>IPART</w:t>
      </w:r>
      <w:r>
        <w:rPr>
          <w:spacing w:val="-5"/>
        </w:rPr>
        <w:t xml:space="preserve"> </w:t>
      </w:r>
      <w:r>
        <w:t xml:space="preserve">has claimed </w:t>
      </w:r>
      <w:r>
        <w:rPr>
          <w:spacing w:val="-1"/>
        </w:rPr>
        <w:t>that</w:t>
      </w:r>
      <w:r>
        <w:t xml:space="preserve"> although new debt is </w:t>
      </w:r>
      <w:r>
        <w:rPr>
          <w:spacing w:val="-1"/>
        </w:rPr>
        <w:t>raised</w:t>
      </w:r>
      <w:r>
        <w:t xml:space="preserve"> </w:t>
      </w:r>
      <w:r>
        <w:rPr>
          <w:spacing w:val="-1"/>
        </w:rPr>
        <w:t>at</w:t>
      </w:r>
      <w:r>
        <w:t xml:space="preserve"> a</w:t>
      </w:r>
      <w:r>
        <w:rPr>
          <w:spacing w:val="31"/>
        </w:rPr>
        <w:t xml:space="preserve"> </w:t>
      </w:r>
      <w:r>
        <w:rPr>
          <w:spacing w:val="-1"/>
        </w:rPr>
        <w:t>prevailing rate,</w:t>
      </w:r>
      <w:r>
        <w:rPr>
          <w:spacing w:val="-7"/>
        </w:rPr>
        <w:t xml:space="preserve"> </w:t>
      </w:r>
      <w:r>
        <w:t>an</w:t>
      </w:r>
      <w:r>
        <w:rPr>
          <w:spacing w:val="-1"/>
        </w:rPr>
        <w:t xml:space="preserve"> efficient</w:t>
      </w:r>
      <w:r>
        <w:t xml:space="preserve"> firm</w:t>
      </w:r>
      <w:r>
        <w:rPr>
          <w:spacing w:val="-1"/>
        </w:rPr>
        <w:t xml:space="preserve"> operating </w:t>
      </w:r>
      <w:r>
        <w:t>in a</w:t>
      </w:r>
      <w:r>
        <w:rPr>
          <w:spacing w:val="-1"/>
        </w:rPr>
        <w:t xml:space="preserve"> </w:t>
      </w:r>
      <w:r>
        <w:t>competitive</w:t>
      </w:r>
      <w:r>
        <w:rPr>
          <w:spacing w:val="-1"/>
        </w:rPr>
        <w:t xml:space="preserve"> market</w:t>
      </w:r>
      <w:r>
        <w:t xml:space="preserve"> would</w:t>
      </w:r>
      <w:r>
        <w:rPr>
          <w:spacing w:val="-1"/>
        </w:rPr>
        <w:t xml:space="preserve"> </w:t>
      </w:r>
      <w:r>
        <w:t>consider</w:t>
      </w:r>
      <w:r>
        <w:rPr>
          <w:spacing w:val="-1"/>
        </w:rPr>
        <w:t xml:space="preserve"> </w:t>
      </w:r>
      <w:r>
        <w:t>both</w:t>
      </w:r>
      <w:r>
        <w:rPr>
          <w:spacing w:val="-1"/>
        </w:rPr>
        <w:t xml:space="preserve"> </w:t>
      </w:r>
      <w:r>
        <w:t>historical</w:t>
      </w:r>
      <w:r>
        <w:rPr>
          <w:spacing w:val="35"/>
        </w:rPr>
        <w:t xml:space="preserve"> </w:t>
      </w:r>
      <w:r>
        <w:rPr>
          <w:spacing w:val="-1"/>
        </w:rPr>
        <w:t>rates</w:t>
      </w:r>
      <w:r>
        <w:rPr>
          <w:spacing w:val="-2"/>
        </w:rPr>
        <w:t xml:space="preserve"> </w:t>
      </w:r>
      <w:r>
        <w:t>and</w:t>
      </w:r>
      <w:r>
        <w:rPr>
          <w:spacing w:val="-1"/>
        </w:rPr>
        <w:t xml:space="preserve"> prevailing rates </w:t>
      </w:r>
      <w:r>
        <w:t>when</w:t>
      </w:r>
      <w:r>
        <w:rPr>
          <w:spacing w:val="-1"/>
        </w:rPr>
        <w:t xml:space="preserve"> </w:t>
      </w:r>
      <w:r>
        <w:t>making</w:t>
      </w:r>
      <w:r>
        <w:rPr>
          <w:spacing w:val="-2"/>
        </w:rPr>
        <w:t xml:space="preserve"> </w:t>
      </w:r>
      <w:r>
        <w:t>financing</w:t>
      </w:r>
      <w:r>
        <w:rPr>
          <w:spacing w:val="-1"/>
        </w:rPr>
        <w:t xml:space="preserve"> </w:t>
      </w:r>
      <w:r>
        <w:t>decisions.</w:t>
      </w:r>
    </w:p>
    <w:p w:rsidR="00D96B91" w:rsidRDefault="00C2656B">
      <w:pPr>
        <w:pStyle w:val="BodyText"/>
        <w:spacing w:before="85" w:line="260" w:lineRule="exact"/>
        <w:ind w:right="1355"/>
      </w:pPr>
      <w:r>
        <w:rPr>
          <w:rFonts w:cs="Avenir Next"/>
          <w:spacing w:val="-2"/>
        </w:rPr>
        <w:t>The</w:t>
      </w:r>
      <w:r>
        <w:rPr>
          <w:rFonts w:cs="Avenir Next"/>
        </w:rPr>
        <w:t xml:space="preserve"> </w:t>
      </w:r>
      <w:r>
        <w:rPr>
          <w:rFonts w:cs="Avenir Next"/>
          <w:spacing w:val="-3"/>
        </w:rPr>
        <w:t>Panel</w:t>
      </w:r>
      <w:r>
        <w:rPr>
          <w:rFonts w:cs="Avenir Next"/>
        </w:rPr>
        <w:t xml:space="preserve"> considers </w:t>
      </w:r>
      <w:r>
        <w:rPr>
          <w:rFonts w:cs="Avenir Next"/>
          <w:spacing w:val="-1"/>
        </w:rPr>
        <w:t>that</w:t>
      </w:r>
      <w:r>
        <w:rPr>
          <w:rFonts w:cs="Avenir Next"/>
        </w:rPr>
        <w:t xml:space="preserve"> </w:t>
      </w:r>
      <w:r>
        <w:rPr>
          <w:rFonts w:cs="Avenir Next"/>
          <w:spacing w:val="-1"/>
        </w:rPr>
        <w:t>current</w:t>
      </w:r>
      <w:r>
        <w:rPr>
          <w:rFonts w:cs="Avenir Next"/>
        </w:rPr>
        <w:t xml:space="preserve"> </w:t>
      </w:r>
      <w:r>
        <w:rPr>
          <w:rFonts w:cs="Avenir Next"/>
          <w:spacing w:val="-1"/>
        </w:rPr>
        <w:t>market</w:t>
      </w:r>
      <w:r>
        <w:rPr>
          <w:rFonts w:cs="Avenir Next"/>
        </w:rPr>
        <w:t xml:space="preserve"> </w:t>
      </w:r>
      <w:r>
        <w:rPr>
          <w:rFonts w:cs="Avenir Next"/>
          <w:spacing w:val="-1"/>
        </w:rPr>
        <w:t>rates</w:t>
      </w:r>
      <w:r>
        <w:rPr>
          <w:rFonts w:cs="Avenir Next"/>
        </w:rPr>
        <w:t xml:space="preserve"> </w:t>
      </w:r>
      <w:r>
        <w:rPr>
          <w:rFonts w:cs="Avenir Next"/>
          <w:spacing w:val="-2"/>
        </w:rPr>
        <w:t>are</w:t>
      </w:r>
      <w:r>
        <w:rPr>
          <w:rFonts w:cs="Avenir Next"/>
        </w:rPr>
        <w:t xml:space="preserve"> the best </w:t>
      </w:r>
      <w:r>
        <w:rPr>
          <w:rFonts w:cs="Avenir Next"/>
          <w:spacing w:val="-1"/>
        </w:rPr>
        <w:t>predictor</w:t>
      </w:r>
      <w:r>
        <w:rPr>
          <w:rFonts w:cs="Avenir Next"/>
        </w:rPr>
        <w:t xml:space="preserve"> of</w:t>
      </w:r>
      <w:r>
        <w:rPr>
          <w:rFonts w:cs="Avenir Next"/>
          <w:spacing w:val="4"/>
        </w:rPr>
        <w:t xml:space="preserve"> </w:t>
      </w:r>
      <w:r>
        <w:rPr>
          <w:rFonts w:cs="Avenir Next"/>
        </w:rPr>
        <w:t xml:space="preserve">the </w:t>
      </w:r>
      <w:r>
        <w:rPr>
          <w:rFonts w:cs="Avenir Next"/>
          <w:spacing w:val="-1"/>
        </w:rPr>
        <w:t>future</w:t>
      </w:r>
      <w:r>
        <w:rPr>
          <w:rFonts w:cs="Avenir Next"/>
        </w:rPr>
        <w:t xml:space="preserve"> </w:t>
      </w:r>
      <w:r>
        <w:rPr>
          <w:rFonts w:cs="Avenir Next"/>
          <w:spacing w:val="-1"/>
        </w:rPr>
        <w:t>expected</w:t>
      </w:r>
      <w:r>
        <w:rPr>
          <w:rFonts w:cs="Avenir Next"/>
        </w:rPr>
        <w:t xml:space="preserve"> </w:t>
      </w:r>
      <w:r>
        <w:rPr>
          <w:rFonts w:cs="Avenir Next"/>
          <w:spacing w:val="-1"/>
        </w:rPr>
        <w:t>rates,</w:t>
      </w:r>
      <w:r>
        <w:rPr>
          <w:rFonts w:cs="Avenir Next"/>
          <w:spacing w:val="-6"/>
        </w:rPr>
        <w:t xml:space="preserve"> </w:t>
      </w:r>
      <w:r>
        <w:rPr>
          <w:rFonts w:cs="Avenir Next"/>
        </w:rPr>
        <w:t>which</w:t>
      </w:r>
      <w:r>
        <w:rPr>
          <w:rFonts w:cs="Avenir Next"/>
          <w:spacing w:val="55"/>
        </w:rPr>
        <w:t xml:space="preserve"> </w:t>
      </w:r>
      <w:r>
        <w:t>implies</w:t>
      </w:r>
      <w:r>
        <w:rPr>
          <w:spacing w:val="-1"/>
        </w:rPr>
        <w:t xml:space="preserve"> that</w:t>
      </w:r>
      <w:r>
        <w:t xml:space="preserve"> a</w:t>
      </w:r>
      <w:r>
        <w:rPr>
          <w:spacing w:val="-1"/>
        </w:rPr>
        <w:t xml:space="preserve"> short</w:t>
      </w:r>
      <w:r>
        <w:t xml:space="preserve"> </w:t>
      </w:r>
      <w:r>
        <w:rPr>
          <w:spacing w:val="-1"/>
        </w:rPr>
        <w:t>averaging</w:t>
      </w:r>
      <w:r>
        <w:t xml:space="preserve"> period</w:t>
      </w:r>
      <w:r>
        <w:rPr>
          <w:spacing w:val="-1"/>
        </w:rPr>
        <w:t xml:space="preserve"> </w:t>
      </w:r>
      <w:r>
        <w:t>should be adopted.</w:t>
      </w:r>
      <w:r>
        <w:rPr>
          <w:spacing w:val="-12"/>
        </w:rPr>
        <w:t xml:space="preserve"> </w:t>
      </w:r>
      <w:r>
        <w:rPr>
          <w:spacing w:val="-1"/>
        </w:rPr>
        <w:t>This</w:t>
      </w:r>
      <w:r>
        <w:t xml:space="preserve"> view</w:t>
      </w:r>
      <w:r>
        <w:rPr>
          <w:spacing w:val="-1"/>
        </w:rPr>
        <w:t xml:space="preserve"> </w:t>
      </w:r>
      <w:r>
        <w:t>is consistent with</w:t>
      </w:r>
      <w:r>
        <w:rPr>
          <w:spacing w:val="-1"/>
        </w:rPr>
        <w:t xml:space="preserve"> </w:t>
      </w:r>
      <w:r>
        <w:t xml:space="preserve">the </w:t>
      </w:r>
      <w:r>
        <w:rPr>
          <w:spacing w:val="-1"/>
        </w:rPr>
        <w:t>efficient</w:t>
      </w:r>
      <w:r>
        <w:rPr>
          <w:spacing w:val="31"/>
          <w:w w:val="99"/>
        </w:rPr>
        <w:t xml:space="preserve"> </w:t>
      </w:r>
      <w:r>
        <w:rPr>
          <w:rFonts w:cs="Avenir Next"/>
          <w:spacing w:val="-1"/>
        </w:rPr>
        <w:t>market</w:t>
      </w:r>
      <w:r>
        <w:rPr>
          <w:rFonts w:cs="Avenir Next"/>
        </w:rPr>
        <w:t xml:space="preserve"> </w:t>
      </w:r>
      <w:r>
        <w:rPr>
          <w:rFonts w:cs="Avenir Next"/>
          <w:spacing w:val="-2"/>
        </w:rPr>
        <w:t>theory,</w:t>
      </w:r>
      <w:r>
        <w:rPr>
          <w:rFonts w:cs="Avenir Next"/>
          <w:spacing w:val="-6"/>
        </w:rPr>
        <w:t xml:space="preserve"> </w:t>
      </w:r>
      <w:r>
        <w:rPr>
          <w:rFonts w:cs="Avenir Next"/>
        </w:rPr>
        <w:t xml:space="preserve">which suggests </w:t>
      </w:r>
      <w:r>
        <w:rPr>
          <w:rFonts w:cs="Avenir Next"/>
          <w:spacing w:val="-1"/>
        </w:rPr>
        <w:t>that</w:t>
      </w:r>
      <w:r>
        <w:rPr>
          <w:rFonts w:cs="Avenir Next"/>
        </w:rPr>
        <w:t xml:space="preserve"> </w:t>
      </w:r>
      <w:r>
        <w:rPr>
          <w:rFonts w:cs="Avenir Next"/>
          <w:spacing w:val="-1"/>
        </w:rPr>
        <w:t>current</w:t>
      </w:r>
      <w:r>
        <w:rPr>
          <w:rFonts w:cs="Avenir Next"/>
        </w:rPr>
        <w:t xml:space="preserve"> </w:t>
      </w:r>
      <w:r>
        <w:rPr>
          <w:rFonts w:cs="Avenir Next"/>
          <w:spacing w:val="-1"/>
        </w:rPr>
        <w:t>market</w:t>
      </w:r>
      <w:r>
        <w:rPr>
          <w:rFonts w:cs="Avenir Next"/>
        </w:rPr>
        <w:t xml:space="preserve"> prices </w:t>
      </w:r>
      <w:r>
        <w:rPr>
          <w:rFonts w:cs="Avenir Next"/>
          <w:spacing w:val="-1"/>
        </w:rPr>
        <w:t>incorporate</w:t>
      </w:r>
      <w:r>
        <w:rPr>
          <w:rFonts w:cs="Avenir Next"/>
        </w:rPr>
        <w:t xml:space="preserve"> all available </w:t>
      </w:r>
      <w:r>
        <w:rPr>
          <w:rFonts w:cs="Avenir Next"/>
          <w:spacing w:val="-1"/>
        </w:rPr>
        <w:t>information</w:t>
      </w:r>
      <w:r>
        <w:rPr>
          <w:rFonts w:cs="Avenir Next"/>
        </w:rPr>
        <w:t xml:space="preserve"> </w:t>
      </w:r>
      <w:r>
        <w:rPr>
          <w:rFonts w:cs="Avenir Next"/>
          <w:spacing w:val="-1"/>
        </w:rPr>
        <w:t>relevant</w:t>
      </w:r>
      <w:r>
        <w:rPr>
          <w:rFonts w:cs="Avenir Next"/>
          <w:spacing w:val="65"/>
        </w:rPr>
        <w:t xml:space="preserve"> </w:t>
      </w:r>
      <w:r>
        <w:t>to</w:t>
      </w:r>
      <w:r>
        <w:rPr>
          <w:spacing w:val="-1"/>
        </w:rPr>
        <w:t xml:space="preserve"> future </w:t>
      </w:r>
      <w:r>
        <w:t>prices.</w:t>
      </w:r>
      <w:r>
        <w:rPr>
          <w:spacing w:val="-11"/>
        </w:rPr>
        <w:t xml:space="preserve"> </w:t>
      </w:r>
      <w:r>
        <w:rPr>
          <w:spacing w:val="-2"/>
        </w:rPr>
        <w:t>The</w:t>
      </w:r>
      <w:r>
        <w:rPr>
          <w:spacing w:val="-1"/>
        </w:rPr>
        <w:t xml:space="preserve"> </w:t>
      </w:r>
      <w:r>
        <w:t xml:space="preserve">most </w:t>
      </w:r>
      <w:r>
        <w:rPr>
          <w:spacing w:val="-1"/>
        </w:rPr>
        <w:t xml:space="preserve">efficient </w:t>
      </w:r>
      <w:r>
        <w:t>cost</w:t>
      </w:r>
      <w:r>
        <w:rPr>
          <w:spacing w:val="-1"/>
        </w:rPr>
        <w:t xml:space="preserve"> </w:t>
      </w:r>
      <w:r>
        <w:t>of</w:t>
      </w:r>
      <w:r>
        <w:rPr>
          <w:spacing w:val="4"/>
        </w:rPr>
        <w:t xml:space="preserve"> </w:t>
      </w:r>
      <w:r>
        <w:t>capital</w:t>
      </w:r>
      <w:r>
        <w:rPr>
          <w:spacing w:val="-1"/>
        </w:rPr>
        <w:t xml:space="preserve"> </w:t>
      </w:r>
      <w:r>
        <w:t>will</w:t>
      </w:r>
      <w:r>
        <w:rPr>
          <w:spacing w:val="-1"/>
        </w:rPr>
        <w:t xml:space="preserve"> </w:t>
      </w:r>
      <w:r>
        <w:t xml:space="preserve">be </w:t>
      </w:r>
      <w:r>
        <w:rPr>
          <w:spacing w:val="-1"/>
        </w:rPr>
        <w:t xml:space="preserve">represented </w:t>
      </w:r>
      <w:r>
        <w:t>by</w:t>
      </w:r>
      <w:r>
        <w:rPr>
          <w:spacing w:val="-1"/>
        </w:rPr>
        <w:t xml:space="preserve"> prevailing</w:t>
      </w:r>
      <w:r>
        <w:t xml:space="preserve"> </w:t>
      </w:r>
      <w:r>
        <w:rPr>
          <w:spacing w:val="-1"/>
        </w:rPr>
        <w:t xml:space="preserve">rates </w:t>
      </w:r>
      <w:r>
        <w:t>as they</w:t>
      </w:r>
      <w:r>
        <w:rPr>
          <w:spacing w:val="-1"/>
        </w:rPr>
        <w:t xml:space="preserve"> reflect</w:t>
      </w:r>
      <w:r>
        <w:rPr>
          <w:spacing w:val="43"/>
          <w:w w:val="99"/>
        </w:rPr>
        <w:t xml:space="preserve"> </w:t>
      </w:r>
      <w:r>
        <w:t xml:space="preserve">most </w:t>
      </w:r>
      <w:r>
        <w:rPr>
          <w:spacing w:val="-1"/>
        </w:rPr>
        <w:t>accurately</w:t>
      </w:r>
      <w:r>
        <w:t xml:space="preserve"> </w:t>
      </w:r>
      <w:r>
        <w:rPr>
          <w:spacing w:val="-2"/>
        </w:rPr>
        <w:t>market’s</w:t>
      </w:r>
      <w:r>
        <w:t xml:space="preserve"> </w:t>
      </w:r>
      <w:r>
        <w:rPr>
          <w:spacing w:val="-1"/>
        </w:rPr>
        <w:t>expectation</w:t>
      </w:r>
      <w:r>
        <w:t xml:space="preserve"> on the cost of</w:t>
      </w:r>
      <w:r>
        <w:rPr>
          <w:spacing w:val="4"/>
        </w:rPr>
        <w:t xml:space="preserve"> </w:t>
      </w:r>
      <w:r>
        <w:t xml:space="preserve">capital over the </w:t>
      </w:r>
      <w:r>
        <w:rPr>
          <w:spacing w:val="-1"/>
        </w:rPr>
        <w:t>borrowing</w:t>
      </w:r>
      <w:r>
        <w:t xml:space="preserve"> period.</w:t>
      </w:r>
    </w:p>
    <w:p w:rsidR="00D96B91" w:rsidRDefault="00C2656B">
      <w:pPr>
        <w:pStyle w:val="BodyText"/>
        <w:spacing w:before="170" w:line="260" w:lineRule="exact"/>
        <w:ind w:right="1548"/>
      </w:pPr>
      <w:r>
        <w:rPr>
          <w:spacing w:val="-2"/>
        </w:rPr>
        <w:t>Theoretically,</w:t>
      </w:r>
      <w:r>
        <w:rPr>
          <w:spacing w:val="-7"/>
        </w:rPr>
        <w:t xml:space="preserve"> </w:t>
      </w:r>
      <w:r>
        <w:t>the</w:t>
      </w:r>
      <w:r>
        <w:rPr>
          <w:spacing w:val="-1"/>
        </w:rPr>
        <w:t xml:space="preserve"> </w:t>
      </w:r>
      <w:r>
        <w:t>cost</w:t>
      </w:r>
      <w:r>
        <w:rPr>
          <w:spacing w:val="-1"/>
        </w:rPr>
        <w:t xml:space="preserve"> </w:t>
      </w:r>
      <w:r>
        <w:t>of</w:t>
      </w:r>
      <w:r>
        <w:rPr>
          <w:spacing w:val="3"/>
        </w:rPr>
        <w:t xml:space="preserve"> </w:t>
      </w:r>
      <w:r>
        <w:t>debt should</w:t>
      </w:r>
      <w:r>
        <w:rPr>
          <w:spacing w:val="-1"/>
        </w:rPr>
        <w:t xml:space="preserve"> reflect </w:t>
      </w:r>
      <w:r>
        <w:t>the</w:t>
      </w:r>
      <w:r>
        <w:rPr>
          <w:spacing w:val="-1"/>
        </w:rPr>
        <w:t xml:space="preserve"> current</w:t>
      </w:r>
      <w:r>
        <w:t xml:space="preserve"> costs</w:t>
      </w:r>
      <w:r>
        <w:rPr>
          <w:spacing w:val="-1"/>
        </w:rPr>
        <w:t xml:space="preserve"> </w:t>
      </w:r>
      <w:r>
        <w:t>of</w:t>
      </w:r>
      <w:r>
        <w:rPr>
          <w:spacing w:val="3"/>
        </w:rPr>
        <w:t xml:space="preserve"> </w:t>
      </w:r>
      <w:r>
        <w:rPr>
          <w:spacing w:val="-1"/>
        </w:rPr>
        <w:t xml:space="preserve">borrowing </w:t>
      </w:r>
      <w:r>
        <w:t>because</w:t>
      </w:r>
      <w:r>
        <w:rPr>
          <w:spacing w:val="-1"/>
        </w:rPr>
        <w:t xml:space="preserve"> </w:t>
      </w:r>
      <w:r>
        <w:t xml:space="preserve">it </w:t>
      </w:r>
      <w:r>
        <w:rPr>
          <w:spacing w:val="-1"/>
        </w:rPr>
        <w:t>reflects</w:t>
      </w:r>
      <w:r>
        <w:rPr>
          <w:spacing w:val="55"/>
          <w:w w:val="99"/>
        </w:rPr>
        <w:t xml:space="preserve"> </w:t>
      </w:r>
      <w:r>
        <w:rPr>
          <w:spacing w:val="-1"/>
        </w:rPr>
        <w:t xml:space="preserve">prevailing </w:t>
      </w:r>
      <w:r>
        <w:t>financial</w:t>
      </w:r>
      <w:r>
        <w:rPr>
          <w:spacing w:val="-1"/>
        </w:rPr>
        <w:t xml:space="preserve"> market</w:t>
      </w:r>
      <w:r>
        <w:t xml:space="preserve"> conditions</w:t>
      </w:r>
      <w:r>
        <w:rPr>
          <w:spacing w:val="-1"/>
        </w:rPr>
        <w:t xml:space="preserve"> </w:t>
      </w:r>
      <w:r>
        <w:t>and not</w:t>
      </w:r>
      <w:r>
        <w:rPr>
          <w:spacing w:val="-1"/>
        </w:rPr>
        <w:t xml:space="preserve"> </w:t>
      </w:r>
      <w:r>
        <w:t>historical,</w:t>
      </w:r>
      <w:r>
        <w:rPr>
          <w:spacing w:val="-7"/>
        </w:rPr>
        <w:t xml:space="preserve"> </w:t>
      </w:r>
      <w:r>
        <w:t>sunk</w:t>
      </w:r>
      <w:r>
        <w:rPr>
          <w:spacing w:val="-1"/>
        </w:rPr>
        <w:t xml:space="preserve"> </w:t>
      </w:r>
      <w:r>
        <w:t>costs.</w:t>
      </w:r>
      <w:r>
        <w:rPr>
          <w:spacing w:val="-11"/>
        </w:rPr>
        <w:t xml:space="preserve"> </w:t>
      </w:r>
      <w:r>
        <w:rPr>
          <w:spacing w:val="-2"/>
        </w:rPr>
        <w:t>The</w:t>
      </w:r>
      <w:r>
        <w:rPr>
          <w:spacing w:val="-1"/>
        </w:rPr>
        <w:t xml:space="preserve"> </w:t>
      </w:r>
      <w:r>
        <w:t>cost of</w:t>
      </w:r>
      <w:r>
        <w:rPr>
          <w:spacing w:val="3"/>
        </w:rPr>
        <w:t xml:space="preserve"> </w:t>
      </w:r>
      <w:r>
        <w:t>capital should</w:t>
      </w:r>
      <w:r>
        <w:rPr>
          <w:spacing w:val="-1"/>
        </w:rPr>
        <w:t xml:space="preserve"> mirror</w:t>
      </w:r>
    </w:p>
    <w:p w:rsidR="00D96B91" w:rsidRDefault="00C2656B">
      <w:pPr>
        <w:pStyle w:val="BodyText"/>
        <w:spacing w:line="260" w:lineRule="exact"/>
        <w:ind w:right="1246"/>
      </w:pPr>
      <w:r>
        <w:t>investors’</w:t>
      </w:r>
      <w:r>
        <w:rPr>
          <w:spacing w:val="-1"/>
        </w:rPr>
        <w:t xml:space="preserve"> expectation</w:t>
      </w:r>
      <w:r>
        <w:t xml:space="preserve"> about the</w:t>
      </w:r>
      <w:r>
        <w:rPr>
          <w:spacing w:val="-1"/>
        </w:rPr>
        <w:t xml:space="preserve"> </w:t>
      </w:r>
      <w:r>
        <w:t xml:space="preserve">internal </w:t>
      </w:r>
      <w:r>
        <w:rPr>
          <w:spacing w:val="-2"/>
        </w:rPr>
        <w:t>rate</w:t>
      </w:r>
      <w:r>
        <w:t xml:space="preserve"> of</w:t>
      </w:r>
      <w:r>
        <w:rPr>
          <w:spacing w:val="3"/>
        </w:rPr>
        <w:t xml:space="preserve"> </w:t>
      </w:r>
      <w:r>
        <w:rPr>
          <w:spacing w:val="-1"/>
        </w:rPr>
        <w:t>return</w:t>
      </w:r>
      <w:r>
        <w:t xml:space="preserve"> given</w:t>
      </w:r>
      <w:r>
        <w:rPr>
          <w:spacing w:val="-1"/>
        </w:rPr>
        <w:t xml:space="preserve"> future</w:t>
      </w:r>
      <w:r>
        <w:t xml:space="preserve"> </w:t>
      </w:r>
      <w:r>
        <w:rPr>
          <w:spacing w:val="-1"/>
        </w:rPr>
        <w:t>estimated</w:t>
      </w:r>
      <w:r>
        <w:t xml:space="preserve"> cash</w:t>
      </w:r>
      <w:r>
        <w:rPr>
          <w:spacing w:val="-1"/>
        </w:rPr>
        <w:t xml:space="preserve"> </w:t>
      </w:r>
      <w:r>
        <w:t xml:space="preserve">flows </w:t>
      </w:r>
      <w:r>
        <w:rPr>
          <w:spacing w:val="-1"/>
        </w:rPr>
        <w:t>associated</w:t>
      </w:r>
      <w:r>
        <w:t xml:space="preserve"> with</w:t>
      </w:r>
      <w:r>
        <w:rPr>
          <w:spacing w:val="57"/>
        </w:rPr>
        <w:t xml:space="preserve"> </w:t>
      </w:r>
      <w:r>
        <w:t>an</w:t>
      </w:r>
      <w:r>
        <w:rPr>
          <w:spacing w:val="-1"/>
        </w:rPr>
        <w:t xml:space="preserve"> </w:t>
      </w:r>
      <w:r>
        <w:t>investment.</w:t>
      </w:r>
      <w:r>
        <w:rPr>
          <w:spacing w:val="-10"/>
        </w:rPr>
        <w:t xml:space="preserve"> </w:t>
      </w:r>
      <w:r>
        <w:t>When</w:t>
      </w:r>
      <w:r>
        <w:rPr>
          <w:spacing w:val="-1"/>
        </w:rPr>
        <w:t xml:space="preserve"> existing</w:t>
      </w:r>
      <w:r>
        <w:t xml:space="preserve"> firms</w:t>
      </w:r>
      <w:r>
        <w:rPr>
          <w:spacing w:val="-1"/>
        </w:rPr>
        <w:t xml:space="preserve"> raise </w:t>
      </w:r>
      <w:r>
        <w:t>additional</w:t>
      </w:r>
      <w:r>
        <w:rPr>
          <w:spacing w:val="-1"/>
        </w:rPr>
        <w:t xml:space="preserve"> </w:t>
      </w:r>
      <w:r>
        <w:t>capital to</w:t>
      </w:r>
      <w:r>
        <w:rPr>
          <w:spacing w:val="-1"/>
        </w:rPr>
        <w:t xml:space="preserve"> </w:t>
      </w:r>
      <w:r>
        <w:t>finance</w:t>
      </w:r>
      <w:r>
        <w:rPr>
          <w:spacing w:val="-1"/>
        </w:rPr>
        <w:t xml:space="preserve"> </w:t>
      </w:r>
      <w:r>
        <w:t>new</w:t>
      </w:r>
      <w:r>
        <w:rPr>
          <w:spacing w:val="-1"/>
        </w:rPr>
        <w:t xml:space="preserve"> </w:t>
      </w:r>
      <w:r>
        <w:t>investments or</w:t>
      </w:r>
      <w:r>
        <w:rPr>
          <w:spacing w:val="-1"/>
        </w:rPr>
        <w:t xml:space="preserve"> </w:t>
      </w:r>
      <w:r>
        <w:t>a</w:t>
      </w:r>
      <w:r>
        <w:rPr>
          <w:spacing w:val="-1"/>
        </w:rPr>
        <w:t xml:space="preserve"> </w:t>
      </w:r>
      <w:r>
        <w:t>new</w:t>
      </w:r>
      <w:r>
        <w:rPr>
          <w:spacing w:val="-1"/>
        </w:rPr>
        <w:t xml:space="preserve"> entrant</w:t>
      </w:r>
      <w:r>
        <w:rPr>
          <w:spacing w:val="25"/>
        </w:rPr>
        <w:t xml:space="preserve"> </w:t>
      </w:r>
      <w:r>
        <w:t>firm</w:t>
      </w:r>
      <w:r>
        <w:rPr>
          <w:spacing w:val="-1"/>
        </w:rPr>
        <w:t xml:space="preserve"> </w:t>
      </w:r>
      <w:r>
        <w:t>enters</w:t>
      </w:r>
      <w:r>
        <w:rPr>
          <w:spacing w:val="-1"/>
        </w:rPr>
        <w:t xml:space="preserve"> </w:t>
      </w:r>
      <w:r>
        <w:t>into</w:t>
      </w:r>
      <w:r>
        <w:rPr>
          <w:spacing w:val="-1"/>
        </w:rPr>
        <w:t xml:space="preserve"> </w:t>
      </w:r>
      <w:r>
        <w:t>a</w:t>
      </w:r>
      <w:r>
        <w:rPr>
          <w:spacing w:val="-1"/>
        </w:rPr>
        <w:t xml:space="preserve"> market,</w:t>
      </w:r>
      <w:r>
        <w:rPr>
          <w:spacing w:val="-7"/>
        </w:rPr>
        <w:t xml:space="preserve"> </w:t>
      </w:r>
      <w:r>
        <w:t>they</w:t>
      </w:r>
      <w:r>
        <w:rPr>
          <w:spacing w:val="-1"/>
        </w:rPr>
        <w:t xml:space="preserve"> </w:t>
      </w:r>
      <w:r>
        <w:t>will</w:t>
      </w:r>
      <w:r>
        <w:rPr>
          <w:spacing w:val="-1"/>
        </w:rPr>
        <w:t xml:space="preserve"> </w:t>
      </w:r>
      <w:r>
        <w:t>be</w:t>
      </w:r>
      <w:r>
        <w:rPr>
          <w:spacing w:val="-1"/>
        </w:rPr>
        <w:t xml:space="preserve"> </w:t>
      </w:r>
      <w:r>
        <w:t>financed</w:t>
      </w:r>
      <w:r>
        <w:rPr>
          <w:spacing w:val="-1"/>
        </w:rPr>
        <w:t xml:space="preserve"> at </w:t>
      </w:r>
      <w:r>
        <w:t>the</w:t>
      </w:r>
      <w:r>
        <w:rPr>
          <w:spacing w:val="-1"/>
        </w:rPr>
        <w:t xml:space="preserve"> prevailing rates.</w:t>
      </w:r>
      <w:r>
        <w:rPr>
          <w:spacing w:val="-10"/>
        </w:rPr>
        <w:t xml:space="preserve"> </w:t>
      </w:r>
      <w:r>
        <w:t>A</w:t>
      </w:r>
      <w:r>
        <w:rPr>
          <w:spacing w:val="-5"/>
        </w:rPr>
        <w:t xml:space="preserve"> </w:t>
      </w:r>
      <w:r>
        <w:rPr>
          <w:spacing w:val="-2"/>
        </w:rPr>
        <w:t>firm’s</w:t>
      </w:r>
      <w:r>
        <w:rPr>
          <w:spacing w:val="-1"/>
        </w:rPr>
        <w:t xml:space="preserve"> </w:t>
      </w:r>
      <w:r>
        <w:t>decision</w:t>
      </w:r>
      <w:r>
        <w:rPr>
          <w:spacing w:val="-1"/>
        </w:rPr>
        <w:t xml:space="preserve"> regarding </w:t>
      </w:r>
      <w:r>
        <w:t>when</w:t>
      </w:r>
      <w:r>
        <w:rPr>
          <w:spacing w:val="27"/>
        </w:rPr>
        <w:t xml:space="preserve"> </w:t>
      </w:r>
      <w:r>
        <w:t>to</w:t>
      </w:r>
      <w:r>
        <w:rPr>
          <w:spacing w:val="-1"/>
        </w:rPr>
        <w:t xml:space="preserve"> raise </w:t>
      </w:r>
      <w:r>
        <w:t>capital or</w:t>
      </w:r>
      <w:r>
        <w:rPr>
          <w:spacing w:val="-1"/>
        </w:rPr>
        <w:t xml:space="preserve"> </w:t>
      </w:r>
      <w:r>
        <w:t>when to</w:t>
      </w:r>
      <w:r>
        <w:rPr>
          <w:spacing w:val="-1"/>
        </w:rPr>
        <w:t xml:space="preserve"> </w:t>
      </w:r>
      <w:r>
        <w:t>enter</w:t>
      </w:r>
      <w:r>
        <w:rPr>
          <w:spacing w:val="-1"/>
        </w:rPr>
        <w:t xml:space="preserve"> </w:t>
      </w:r>
      <w:r>
        <w:t>into a</w:t>
      </w:r>
      <w:r>
        <w:rPr>
          <w:spacing w:val="-1"/>
        </w:rPr>
        <w:t xml:space="preserve"> market</w:t>
      </w:r>
      <w:r>
        <w:t xml:space="preserve"> may</w:t>
      </w:r>
      <w:r>
        <w:rPr>
          <w:spacing w:val="-1"/>
        </w:rPr>
        <w:t xml:space="preserve"> </w:t>
      </w:r>
      <w:r>
        <w:t>be influenced</w:t>
      </w:r>
      <w:r>
        <w:rPr>
          <w:spacing w:val="-1"/>
        </w:rPr>
        <w:t xml:space="preserve"> </w:t>
      </w:r>
      <w:r>
        <w:t>by</w:t>
      </w:r>
      <w:r>
        <w:rPr>
          <w:spacing w:val="-1"/>
        </w:rPr>
        <w:t xml:space="preserve"> </w:t>
      </w:r>
      <w:r>
        <w:t xml:space="preserve">historical </w:t>
      </w:r>
      <w:r>
        <w:rPr>
          <w:spacing w:val="-1"/>
        </w:rPr>
        <w:t>rates.</w:t>
      </w:r>
      <w:r>
        <w:rPr>
          <w:spacing w:val="-7"/>
        </w:rPr>
        <w:t xml:space="preserve"> </w:t>
      </w:r>
      <w:r>
        <w:rPr>
          <w:spacing w:val="-2"/>
        </w:rPr>
        <w:t>However,</w:t>
      </w:r>
      <w:r>
        <w:rPr>
          <w:spacing w:val="-6"/>
        </w:rPr>
        <w:t xml:space="preserve"> </w:t>
      </w:r>
      <w:r>
        <w:rPr>
          <w:spacing w:val="-1"/>
        </w:rPr>
        <w:t>ultimately</w:t>
      </w:r>
      <w:r>
        <w:rPr>
          <w:spacing w:val="39"/>
        </w:rPr>
        <w:t xml:space="preserve"> </w:t>
      </w:r>
      <w:r>
        <w:t xml:space="preserve">debt and equity capital </w:t>
      </w:r>
      <w:r>
        <w:rPr>
          <w:spacing w:val="-1"/>
        </w:rPr>
        <w:t>transactions</w:t>
      </w:r>
      <w:r>
        <w:t xml:space="preserve"> will be carried out </w:t>
      </w:r>
      <w:r>
        <w:rPr>
          <w:spacing w:val="-2"/>
        </w:rPr>
        <w:t>at</w:t>
      </w:r>
      <w:r>
        <w:t xml:space="preserve"> the </w:t>
      </w:r>
      <w:r>
        <w:rPr>
          <w:spacing w:val="-1"/>
        </w:rPr>
        <w:t>prevailing</w:t>
      </w:r>
      <w:r>
        <w:t xml:space="preserve"> </w:t>
      </w:r>
      <w:r>
        <w:rPr>
          <w:spacing w:val="-1"/>
        </w:rPr>
        <w:t>rates.</w:t>
      </w:r>
    </w:p>
    <w:p w:rsidR="00D96B91" w:rsidRDefault="00C2656B">
      <w:pPr>
        <w:pStyle w:val="BodyText"/>
        <w:spacing w:before="170" w:line="260" w:lineRule="exact"/>
        <w:ind w:right="1256"/>
        <w:rPr>
          <w:rFonts w:cs="Avenir Next"/>
        </w:rPr>
      </w:pPr>
      <w:r>
        <w:rPr>
          <w:spacing w:val="-2"/>
        </w:rPr>
        <w:t>The</w:t>
      </w:r>
      <w:r>
        <w:t xml:space="preserve"> </w:t>
      </w:r>
      <w:r>
        <w:rPr>
          <w:spacing w:val="-3"/>
        </w:rPr>
        <w:t>Panel</w:t>
      </w:r>
      <w:r>
        <w:t xml:space="preserve"> has also </w:t>
      </w:r>
      <w:r>
        <w:rPr>
          <w:spacing w:val="-1"/>
        </w:rPr>
        <w:t>considered</w:t>
      </w:r>
      <w:r>
        <w:t xml:space="preserve"> adopting a mix of</w:t>
      </w:r>
      <w:r>
        <w:rPr>
          <w:spacing w:val="4"/>
        </w:rPr>
        <w:t xml:space="preserve"> </w:t>
      </w:r>
      <w:r>
        <w:t xml:space="preserve">both </w:t>
      </w:r>
      <w:r>
        <w:rPr>
          <w:spacing w:val="-1"/>
        </w:rPr>
        <w:t>short-term</w:t>
      </w:r>
      <w:r>
        <w:t xml:space="preserve"> and long-term </w:t>
      </w:r>
      <w:r>
        <w:rPr>
          <w:spacing w:val="-1"/>
        </w:rPr>
        <w:t>averages.</w:t>
      </w:r>
      <w:r>
        <w:rPr>
          <w:spacing w:val="-9"/>
        </w:rPr>
        <w:t xml:space="preserve"> </w:t>
      </w:r>
      <w:r>
        <w:t>While the</w:t>
      </w:r>
      <w:r>
        <w:rPr>
          <w:spacing w:val="49"/>
        </w:rPr>
        <w:t xml:space="preserve"> </w:t>
      </w:r>
      <w:r>
        <w:rPr>
          <w:spacing w:val="-3"/>
        </w:rPr>
        <w:t>Panel</w:t>
      </w:r>
      <w:r>
        <w:t xml:space="preserve"> understands </w:t>
      </w:r>
      <w:r>
        <w:rPr>
          <w:spacing w:val="-1"/>
        </w:rPr>
        <w:t>that</w:t>
      </w:r>
      <w:r>
        <w:t xml:space="preserve"> this </w:t>
      </w:r>
      <w:r>
        <w:rPr>
          <w:spacing w:val="-1"/>
        </w:rPr>
        <w:t>approach</w:t>
      </w:r>
      <w:r>
        <w:t xml:space="preserve"> may </w:t>
      </w:r>
      <w:r>
        <w:rPr>
          <w:spacing w:val="-1"/>
        </w:rPr>
        <w:t>provide</w:t>
      </w:r>
      <w:r>
        <w:t xml:space="preserve"> a good balance between ensuring </w:t>
      </w:r>
      <w:r>
        <w:rPr>
          <w:spacing w:val="-1"/>
        </w:rPr>
        <w:t>that</w:t>
      </w:r>
      <w:r>
        <w:t xml:space="preserve"> the</w:t>
      </w:r>
      <w:r>
        <w:rPr>
          <w:spacing w:val="-3"/>
        </w:rPr>
        <w:t xml:space="preserve"> WACC</w:t>
      </w:r>
      <w:r>
        <w:rPr>
          <w:spacing w:val="29"/>
        </w:rPr>
        <w:t xml:space="preserve"> </w:t>
      </w:r>
      <w:r>
        <w:rPr>
          <w:spacing w:val="-1"/>
        </w:rPr>
        <w:t>reflects current</w:t>
      </w:r>
      <w:r>
        <w:t xml:space="preserve"> </w:t>
      </w:r>
      <w:r>
        <w:rPr>
          <w:spacing w:val="-1"/>
        </w:rPr>
        <w:t xml:space="preserve">market </w:t>
      </w:r>
      <w:r>
        <w:t xml:space="preserve">condition and </w:t>
      </w:r>
      <w:r>
        <w:rPr>
          <w:spacing w:val="-1"/>
        </w:rPr>
        <w:t xml:space="preserve">provides </w:t>
      </w:r>
      <w:r>
        <w:t>stable</w:t>
      </w:r>
      <w:r>
        <w:rPr>
          <w:spacing w:val="-3"/>
        </w:rPr>
        <w:t xml:space="preserve"> WACC</w:t>
      </w:r>
      <w:r>
        <w:t xml:space="preserve"> outcomes</w:t>
      </w:r>
      <w:r>
        <w:rPr>
          <w:spacing w:val="-1"/>
        </w:rPr>
        <w:t xml:space="preserve"> </w:t>
      </w:r>
      <w:r>
        <w:t>over time,</w:t>
      </w:r>
      <w:r>
        <w:rPr>
          <w:spacing w:val="-7"/>
        </w:rPr>
        <w:t xml:space="preserve"> </w:t>
      </w:r>
      <w:r>
        <w:t>it</w:t>
      </w:r>
      <w:r>
        <w:rPr>
          <w:spacing w:val="-1"/>
        </w:rPr>
        <w:t xml:space="preserve"> </w:t>
      </w:r>
      <w:r>
        <w:t>is also</w:t>
      </w:r>
      <w:r>
        <w:rPr>
          <w:spacing w:val="-1"/>
        </w:rPr>
        <w:t xml:space="preserve"> aware</w:t>
      </w:r>
      <w:r>
        <w:t xml:space="preserve"> of</w:t>
      </w:r>
      <w:r>
        <w:rPr>
          <w:spacing w:val="4"/>
        </w:rPr>
        <w:t xml:space="preserve"> </w:t>
      </w:r>
      <w:r>
        <w:t>the</w:t>
      </w:r>
      <w:r>
        <w:rPr>
          <w:spacing w:val="33"/>
        </w:rPr>
        <w:t xml:space="preserve"> </w:t>
      </w:r>
      <w:r>
        <w:t>following:</w:t>
      </w:r>
    </w:p>
    <w:p w:rsidR="00D96B91" w:rsidRDefault="00C2656B">
      <w:pPr>
        <w:pStyle w:val="BodyText"/>
        <w:numPr>
          <w:ilvl w:val="0"/>
          <w:numId w:val="131"/>
        </w:numPr>
        <w:tabs>
          <w:tab w:val="left" w:pos="1531"/>
        </w:tabs>
        <w:spacing w:before="178"/>
        <w:ind w:hanging="283"/>
      </w:pPr>
      <w:r>
        <w:t xml:space="preserve">With the </w:t>
      </w:r>
      <w:r>
        <w:rPr>
          <w:spacing w:val="-1"/>
        </w:rPr>
        <w:t>exception</w:t>
      </w:r>
      <w:r>
        <w:t xml:space="preserve"> of</w:t>
      </w:r>
      <w:r>
        <w:rPr>
          <w:spacing w:val="4"/>
        </w:rPr>
        <w:t xml:space="preserve"> </w:t>
      </w:r>
      <w:r>
        <w:rPr>
          <w:spacing w:val="-6"/>
        </w:rPr>
        <w:t xml:space="preserve">IPART, </w:t>
      </w:r>
      <w:r>
        <w:t xml:space="preserve">this </w:t>
      </w:r>
      <w:r>
        <w:rPr>
          <w:spacing w:val="-1"/>
        </w:rPr>
        <w:t>approach</w:t>
      </w:r>
      <w:r>
        <w:t xml:space="preserve"> has not been adopted by any other </w:t>
      </w:r>
      <w:r>
        <w:rPr>
          <w:spacing w:val="-1"/>
        </w:rPr>
        <w:t>regulators.</w:t>
      </w:r>
    </w:p>
    <w:p w:rsidR="00D96B91" w:rsidRDefault="00C2656B">
      <w:pPr>
        <w:pStyle w:val="BodyText"/>
        <w:numPr>
          <w:ilvl w:val="0"/>
          <w:numId w:val="131"/>
        </w:numPr>
        <w:tabs>
          <w:tab w:val="left" w:pos="1531"/>
        </w:tabs>
        <w:spacing w:before="64" w:line="260" w:lineRule="exact"/>
        <w:ind w:right="1637" w:hanging="283"/>
      </w:pPr>
      <w:r>
        <w:t>Implementing</w:t>
      </w:r>
      <w:r>
        <w:rPr>
          <w:spacing w:val="-1"/>
        </w:rPr>
        <w:t xml:space="preserve"> </w:t>
      </w:r>
      <w:r>
        <w:t>this</w:t>
      </w:r>
      <w:r>
        <w:rPr>
          <w:spacing w:val="-1"/>
        </w:rPr>
        <w:t xml:space="preserve"> approach </w:t>
      </w:r>
      <w:r>
        <w:t>would</w:t>
      </w:r>
      <w:r>
        <w:rPr>
          <w:spacing w:val="-1"/>
        </w:rPr>
        <w:t xml:space="preserve"> </w:t>
      </w:r>
      <w:r>
        <w:t>constitute a</w:t>
      </w:r>
      <w:r>
        <w:rPr>
          <w:spacing w:val="-1"/>
        </w:rPr>
        <w:t xml:space="preserve"> </w:t>
      </w:r>
      <w:r>
        <w:t>significant</w:t>
      </w:r>
      <w:r>
        <w:rPr>
          <w:spacing w:val="-1"/>
        </w:rPr>
        <w:t xml:space="preserve"> departure from</w:t>
      </w:r>
      <w:r>
        <w:t xml:space="preserve"> the</w:t>
      </w:r>
      <w:r>
        <w:rPr>
          <w:spacing w:val="-1"/>
        </w:rPr>
        <w:t xml:space="preserve"> approach that </w:t>
      </w:r>
      <w:r>
        <w:t>has</w:t>
      </w:r>
      <w:r>
        <w:rPr>
          <w:spacing w:val="25"/>
        </w:rPr>
        <w:t xml:space="preserve"> </w:t>
      </w:r>
      <w:r>
        <w:rPr>
          <w:spacing w:val="-1"/>
        </w:rPr>
        <w:t>previously</w:t>
      </w:r>
      <w:r>
        <w:t xml:space="preserve"> been employed by most </w:t>
      </w:r>
      <w:r>
        <w:rPr>
          <w:spacing w:val="-1"/>
        </w:rPr>
        <w:t>regulators</w:t>
      </w:r>
      <w:r>
        <w:t xml:space="preserve"> and should </w:t>
      </w:r>
      <w:r>
        <w:rPr>
          <w:spacing w:val="-1"/>
        </w:rPr>
        <w:t>therefore</w:t>
      </w:r>
      <w:r>
        <w:t xml:space="preserve"> be subject to </w:t>
      </w:r>
      <w:r>
        <w:rPr>
          <w:spacing w:val="-1"/>
        </w:rPr>
        <w:t>consultation.</w:t>
      </w:r>
    </w:p>
    <w:p w:rsidR="00D96B91" w:rsidRDefault="00C2656B">
      <w:pPr>
        <w:pStyle w:val="BodyText"/>
        <w:numPr>
          <w:ilvl w:val="0"/>
          <w:numId w:val="131"/>
        </w:numPr>
        <w:tabs>
          <w:tab w:val="left" w:pos="1531"/>
        </w:tabs>
        <w:spacing w:before="85" w:line="260" w:lineRule="exact"/>
        <w:ind w:right="1288" w:hanging="283"/>
      </w:pPr>
      <w:r>
        <w:t xml:space="preserve">Adopting this </w:t>
      </w:r>
      <w:r>
        <w:rPr>
          <w:spacing w:val="-1"/>
        </w:rPr>
        <w:t>approach</w:t>
      </w:r>
      <w:r>
        <w:t xml:space="preserve"> would </w:t>
      </w:r>
      <w:r>
        <w:rPr>
          <w:spacing w:val="-1"/>
        </w:rPr>
        <w:t>necessitate</w:t>
      </w:r>
      <w:r>
        <w:t xml:space="preserve"> using long-term </w:t>
      </w:r>
      <w:r>
        <w:rPr>
          <w:spacing w:val="-1"/>
        </w:rPr>
        <w:t>averages,</w:t>
      </w:r>
      <w:r>
        <w:rPr>
          <w:spacing w:val="-6"/>
        </w:rPr>
        <w:t xml:space="preserve"> </w:t>
      </w:r>
      <w:r>
        <w:t xml:space="preserve">which in the </w:t>
      </w:r>
      <w:r>
        <w:rPr>
          <w:spacing w:val="-4"/>
        </w:rPr>
        <w:t>Panel’s</w:t>
      </w:r>
      <w:r>
        <w:t xml:space="preserve"> view is not</w:t>
      </w:r>
      <w:r>
        <w:rPr>
          <w:spacing w:val="51"/>
        </w:rPr>
        <w:t xml:space="preserve"> </w:t>
      </w:r>
      <w:r>
        <w:t xml:space="preserve">the most </w:t>
      </w:r>
      <w:r>
        <w:rPr>
          <w:spacing w:val="-1"/>
        </w:rPr>
        <w:t>theoretically</w:t>
      </w:r>
      <w:r>
        <w:t xml:space="preserve"> sound </w:t>
      </w:r>
      <w:r>
        <w:rPr>
          <w:spacing w:val="-1"/>
        </w:rPr>
        <w:t>approach</w:t>
      </w:r>
      <w:r>
        <w:t xml:space="preserve"> to </w:t>
      </w:r>
      <w:r>
        <w:rPr>
          <w:spacing w:val="-1"/>
        </w:rPr>
        <w:t>estimating</w:t>
      </w:r>
      <w:r>
        <w:t xml:space="preserve"> the</w:t>
      </w:r>
      <w:r>
        <w:rPr>
          <w:spacing w:val="-3"/>
        </w:rPr>
        <w:t xml:space="preserve"> </w:t>
      </w:r>
      <w:r>
        <w:rPr>
          <w:spacing w:val="-2"/>
        </w:rPr>
        <w:t>WACC.</w:t>
      </w:r>
    </w:p>
    <w:p w:rsidR="00D96B91" w:rsidRDefault="00C2656B">
      <w:pPr>
        <w:pStyle w:val="BodyText"/>
        <w:numPr>
          <w:ilvl w:val="0"/>
          <w:numId w:val="131"/>
        </w:numPr>
        <w:tabs>
          <w:tab w:val="left" w:pos="1531"/>
        </w:tabs>
        <w:spacing w:before="85" w:line="260" w:lineRule="exact"/>
        <w:ind w:right="1266" w:hanging="283"/>
        <w:jc w:val="both"/>
      </w:pPr>
      <w:r>
        <w:t>As will be discussed in section</w:t>
      </w:r>
      <w:r>
        <w:rPr>
          <w:spacing w:val="-4"/>
        </w:rPr>
        <w:t xml:space="preserve"> </w:t>
      </w:r>
      <w:r>
        <w:t>A8.3,</w:t>
      </w:r>
      <w:r>
        <w:rPr>
          <w:spacing w:val="-6"/>
        </w:rPr>
        <w:t xml:space="preserve"> </w:t>
      </w:r>
      <w:r>
        <w:t xml:space="preserve">using this </w:t>
      </w:r>
      <w:r>
        <w:rPr>
          <w:spacing w:val="-1"/>
        </w:rPr>
        <w:t>approach</w:t>
      </w:r>
      <w:r>
        <w:t xml:space="preserve"> would </w:t>
      </w:r>
      <w:r>
        <w:rPr>
          <w:spacing w:val="-1"/>
        </w:rPr>
        <w:t>result</w:t>
      </w:r>
      <w:r>
        <w:t xml:space="preserve"> in a</w:t>
      </w:r>
      <w:r>
        <w:rPr>
          <w:spacing w:val="-3"/>
        </w:rPr>
        <w:t xml:space="preserve"> WACC</w:t>
      </w:r>
      <w:r>
        <w:t xml:space="preserve"> which is well above</w:t>
      </w:r>
      <w:r>
        <w:rPr>
          <w:spacing w:val="29"/>
        </w:rPr>
        <w:t xml:space="preserve"> </w:t>
      </w:r>
      <w:r>
        <w:t>the</w:t>
      </w:r>
      <w:r>
        <w:rPr>
          <w:spacing w:val="-3"/>
        </w:rPr>
        <w:t xml:space="preserve"> WACC</w:t>
      </w:r>
      <w:r>
        <w:t xml:space="preserve"> decisions made by other </w:t>
      </w:r>
      <w:r>
        <w:rPr>
          <w:spacing w:val="-1"/>
        </w:rPr>
        <w:t>regulators</w:t>
      </w:r>
      <w:r>
        <w:t xml:space="preserve"> </w:t>
      </w:r>
      <w:r>
        <w:rPr>
          <w:spacing w:val="-1"/>
        </w:rPr>
        <w:t>around</w:t>
      </w:r>
      <w:r>
        <w:t xml:space="preserve"> the time when the ICRC would have made its</w:t>
      </w:r>
      <w:r>
        <w:rPr>
          <w:spacing w:val="29"/>
        </w:rPr>
        <w:t xml:space="preserve"> </w:t>
      </w:r>
      <w:r>
        <w:t>final</w:t>
      </w:r>
      <w:r>
        <w:rPr>
          <w:spacing w:val="-1"/>
        </w:rPr>
        <w:t xml:space="preserve"> </w:t>
      </w:r>
      <w:r>
        <w:t>decision</w:t>
      </w:r>
      <w:r>
        <w:rPr>
          <w:spacing w:val="-1"/>
        </w:rPr>
        <w:t xml:space="preserve"> </w:t>
      </w:r>
      <w:r>
        <w:t>on the</w:t>
      </w:r>
      <w:r>
        <w:rPr>
          <w:spacing w:val="-1"/>
        </w:rPr>
        <w:t xml:space="preserve"> </w:t>
      </w:r>
      <w:r>
        <w:rPr>
          <w:spacing w:val="-2"/>
        </w:rPr>
        <w:t>rate</w:t>
      </w:r>
      <w:r>
        <w:rPr>
          <w:spacing w:val="-1"/>
        </w:rPr>
        <w:t xml:space="preserve"> </w:t>
      </w:r>
      <w:r>
        <w:t>of</w:t>
      </w:r>
      <w:r>
        <w:rPr>
          <w:spacing w:val="4"/>
        </w:rPr>
        <w:t xml:space="preserve"> </w:t>
      </w:r>
      <w:r>
        <w:rPr>
          <w:spacing w:val="-1"/>
        </w:rPr>
        <w:t>return.</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689"/>
      </w:pPr>
      <w:r>
        <w:rPr>
          <w:spacing w:val="-2"/>
        </w:rPr>
        <w:t>The</w:t>
      </w:r>
      <w:r>
        <w:t xml:space="preserve"> </w:t>
      </w:r>
      <w:r>
        <w:rPr>
          <w:spacing w:val="-3"/>
        </w:rPr>
        <w:t>Panel</w:t>
      </w:r>
      <w:r>
        <w:t xml:space="preserve"> has </w:t>
      </w:r>
      <w:r>
        <w:rPr>
          <w:spacing w:val="-1"/>
        </w:rPr>
        <w:t>therefore</w:t>
      </w:r>
      <w:r>
        <w:t xml:space="preserve"> not adopted a mix of</w:t>
      </w:r>
      <w:r>
        <w:rPr>
          <w:spacing w:val="4"/>
        </w:rPr>
        <w:t xml:space="preserve"> </w:t>
      </w:r>
      <w:r>
        <w:rPr>
          <w:spacing w:val="-1"/>
        </w:rPr>
        <w:t>short</w:t>
      </w:r>
      <w:r>
        <w:t xml:space="preserve"> and long-term </w:t>
      </w:r>
      <w:r>
        <w:rPr>
          <w:spacing w:val="-1"/>
        </w:rPr>
        <w:t>averages</w:t>
      </w:r>
      <w:r>
        <w:t xml:space="preserve"> and </w:t>
      </w:r>
      <w:r>
        <w:rPr>
          <w:spacing w:val="-1"/>
        </w:rPr>
        <w:t>instead</w:t>
      </w:r>
      <w:r>
        <w:t xml:space="preserve"> has used a</w:t>
      </w:r>
      <w:r>
        <w:rPr>
          <w:spacing w:val="37"/>
        </w:rPr>
        <w:t xml:space="preserve"> </w:t>
      </w:r>
      <w:r>
        <w:rPr>
          <w:spacing w:val="-1"/>
        </w:rPr>
        <w:t>short-term</w:t>
      </w:r>
      <w:r>
        <w:t xml:space="preserve"> </w:t>
      </w:r>
      <w:r>
        <w:rPr>
          <w:spacing w:val="-1"/>
        </w:rPr>
        <w:t>averaging</w:t>
      </w:r>
      <w:r>
        <w:t xml:space="preserve"> period.</w:t>
      </w:r>
    </w:p>
    <w:p w:rsidR="00D96B91" w:rsidRDefault="00C2656B">
      <w:pPr>
        <w:pStyle w:val="BodyText"/>
        <w:spacing w:before="170" w:line="260" w:lineRule="exact"/>
        <w:ind w:right="1349"/>
        <w:rPr>
          <w:sz w:val="11"/>
          <w:szCs w:val="11"/>
        </w:rPr>
      </w:pPr>
      <w:r>
        <w:t>In terms of</w:t>
      </w:r>
      <w:r>
        <w:rPr>
          <w:spacing w:val="4"/>
        </w:rPr>
        <w:t xml:space="preserve"> </w:t>
      </w:r>
      <w:r>
        <w:t xml:space="preserve">the period </w:t>
      </w:r>
      <w:r>
        <w:rPr>
          <w:spacing w:val="-1"/>
        </w:rPr>
        <w:t>that</w:t>
      </w:r>
      <w:r>
        <w:t xml:space="preserve"> should be used to </w:t>
      </w:r>
      <w:r>
        <w:rPr>
          <w:spacing w:val="-1"/>
        </w:rPr>
        <w:t>measure</w:t>
      </w:r>
      <w:r>
        <w:t xml:space="preserve"> </w:t>
      </w:r>
      <w:r>
        <w:rPr>
          <w:spacing w:val="-1"/>
        </w:rPr>
        <w:t>prevailing</w:t>
      </w:r>
      <w:r>
        <w:t xml:space="preserve"> </w:t>
      </w:r>
      <w:r>
        <w:rPr>
          <w:spacing w:val="-1"/>
        </w:rPr>
        <w:t>rates,</w:t>
      </w:r>
      <w:r>
        <w:rPr>
          <w:spacing w:val="-6"/>
        </w:rPr>
        <w:t xml:space="preserve"> </w:t>
      </w:r>
      <w:r>
        <w:t xml:space="preserve">the </w:t>
      </w:r>
      <w:r>
        <w:rPr>
          <w:spacing w:val="-3"/>
        </w:rPr>
        <w:t>Panel</w:t>
      </w:r>
      <w:r>
        <w:t xml:space="preserve"> has adopted a 40 day</w:t>
      </w:r>
      <w:r>
        <w:rPr>
          <w:spacing w:val="27"/>
        </w:rPr>
        <w:t xml:space="preserve"> </w:t>
      </w:r>
      <w:r>
        <w:rPr>
          <w:spacing w:val="-1"/>
        </w:rPr>
        <w:t>averaging</w:t>
      </w:r>
      <w:r>
        <w:t xml:space="preserve"> period,</w:t>
      </w:r>
      <w:r>
        <w:rPr>
          <w:spacing w:val="-6"/>
        </w:rPr>
        <w:t xml:space="preserve"> </w:t>
      </w:r>
      <w:r>
        <w:t xml:space="preserve">because it </w:t>
      </w:r>
      <w:r>
        <w:rPr>
          <w:spacing w:val="-1"/>
        </w:rPr>
        <w:t>provides</w:t>
      </w:r>
      <w:r>
        <w:t xml:space="preserve"> a </w:t>
      </w:r>
      <w:r>
        <w:rPr>
          <w:spacing w:val="-1"/>
        </w:rPr>
        <w:t>reasonable</w:t>
      </w:r>
      <w:r>
        <w:t xml:space="preserve"> </w:t>
      </w:r>
      <w:r>
        <w:rPr>
          <w:spacing w:val="-1"/>
        </w:rPr>
        <w:t>estimate</w:t>
      </w:r>
      <w:r>
        <w:t xml:space="preserve"> of</w:t>
      </w:r>
      <w:r>
        <w:rPr>
          <w:spacing w:val="4"/>
        </w:rPr>
        <w:t xml:space="preserve"> </w:t>
      </w:r>
      <w:r>
        <w:t xml:space="preserve">the </w:t>
      </w:r>
      <w:r>
        <w:rPr>
          <w:spacing w:val="-1"/>
        </w:rPr>
        <w:t>marked-to-market</w:t>
      </w:r>
      <w:r>
        <w:t xml:space="preserve"> cost of</w:t>
      </w:r>
      <w:r>
        <w:rPr>
          <w:spacing w:val="4"/>
        </w:rPr>
        <w:t xml:space="preserve"> </w:t>
      </w:r>
      <w:r>
        <w:t>capital,</w:t>
      </w:r>
      <w:r>
        <w:rPr>
          <w:spacing w:val="57"/>
        </w:rPr>
        <w:t xml:space="preserve"> </w:t>
      </w:r>
      <w:r>
        <w:t xml:space="preserve">while not </w:t>
      </w:r>
      <w:r>
        <w:rPr>
          <w:spacing w:val="-1"/>
        </w:rPr>
        <w:t>exposing</w:t>
      </w:r>
      <w:r>
        <w:t xml:space="preserve"> </w:t>
      </w:r>
      <w:r>
        <w:rPr>
          <w:spacing w:val="-1"/>
        </w:rPr>
        <w:t>regulated</w:t>
      </w:r>
      <w:r>
        <w:t xml:space="preserve"> businesses to unnecessary day-to-day </w:t>
      </w:r>
      <w:r>
        <w:rPr>
          <w:spacing w:val="-1"/>
        </w:rPr>
        <w:t>volatilities.</w:t>
      </w:r>
      <w:r>
        <w:rPr>
          <w:spacing w:val="-10"/>
        </w:rPr>
        <w:t xml:space="preserve"> </w:t>
      </w:r>
      <w:r>
        <w:t xml:space="preserve">Another </w:t>
      </w:r>
      <w:r>
        <w:rPr>
          <w:spacing w:val="-1"/>
        </w:rPr>
        <w:t>reason</w:t>
      </w:r>
      <w:r>
        <w:t xml:space="preserve"> to use</w:t>
      </w:r>
      <w:r>
        <w:rPr>
          <w:spacing w:val="39"/>
        </w:rPr>
        <w:t xml:space="preserve"> </w:t>
      </w:r>
      <w:r>
        <w:t>a</w:t>
      </w:r>
      <w:r>
        <w:rPr>
          <w:spacing w:val="-1"/>
        </w:rPr>
        <w:t xml:space="preserve"> short-term</w:t>
      </w:r>
      <w:r>
        <w:t xml:space="preserve"> </w:t>
      </w:r>
      <w:r>
        <w:rPr>
          <w:spacing w:val="-1"/>
        </w:rPr>
        <w:t xml:space="preserve">averaging </w:t>
      </w:r>
      <w:r>
        <w:t>period is to</w:t>
      </w:r>
      <w:r>
        <w:rPr>
          <w:spacing w:val="-1"/>
        </w:rPr>
        <w:t xml:space="preserve"> </w:t>
      </w:r>
      <w:r>
        <w:t xml:space="preserve">allow </w:t>
      </w:r>
      <w:r>
        <w:rPr>
          <w:spacing w:val="-1"/>
        </w:rPr>
        <w:t>regulated</w:t>
      </w:r>
      <w:r>
        <w:t xml:space="preserve"> businesses</w:t>
      </w:r>
      <w:r>
        <w:rPr>
          <w:spacing w:val="-1"/>
        </w:rPr>
        <w:t xml:space="preserve"> sufficient</w:t>
      </w:r>
      <w:r>
        <w:t xml:space="preserve"> time</w:t>
      </w:r>
      <w:r>
        <w:rPr>
          <w:spacing w:val="-1"/>
        </w:rPr>
        <w:t xml:space="preserve"> </w:t>
      </w:r>
      <w:r>
        <w:t>to access the</w:t>
      </w:r>
      <w:r>
        <w:rPr>
          <w:spacing w:val="-1"/>
        </w:rPr>
        <w:t xml:space="preserve"> market</w:t>
      </w:r>
      <w:r>
        <w:t xml:space="preserve"> and</w:t>
      </w:r>
      <w:r>
        <w:rPr>
          <w:spacing w:val="49"/>
        </w:rPr>
        <w:t xml:space="preserve"> </w:t>
      </w:r>
      <w:r>
        <w:t>complete</w:t>
      </w:r>
      <w:r>
        <w:rPr>
          <w:spacing w:val="11"/>
        </w:rPr>
        <w:t xml:space="preserve"> </w:t>
      </w:r>
      <w:r>
        <w:rPr>
          <w:spacing w:val="-1"/>
        </w:rPr>
        <w:t>transactions.</w:t>
      </w:r>
      <w:r>
        <w:rPr>
          <w:spacing w:val="-1"/>
          <w:position w:val="7"/>
          <w:sz w:val="11"/>
        </w:rPr>
        <w:t>257</w:t>
      </w:r>
    </w:p>
    <w:p w:rsidR="00D96B91" w:rsidRDefault="00C2656B">
      <w:pPr>
        <w:pStyle w:val="BodyText"/>
        <w:spacing w:before="170" w:line="260" w:lineRule="exact"/>
        <w:ind w:right="1725"/>
      </w:pPr>
      <w:r>
        <w:t>As highlighted in</w:t>
      </w:r>
      <w:r>
        <w:rPr>
          <w:spacing w:val="-5"/>
        </w:rPr>
        <w:t xml:space="preserve"> </w:t>
      </w:r>
      <w:r>
        <w:rPr>
          <w:spacing w:val="-4"/>
        </w:rPr>
        <w:t xml:space="preserve">Table </w:t>
      </w:r>
      <w:r>
        <w:t>A8.4,</w:t>
      </w:r>
      <w:r>
        <w:rPr>
          <w:spacing w:val="-6"/>
        </w:rPr>
        <w:t xml:space="preserve"> </w:t>
      </w:r>
      <w:r>
        <w:t xml:space="preserve">the </w:t>
      </w:r>
      <w:r>
        <w:rPr>
          <w:spacing w:val="-4"/>
        </w:rPr>
        <w:t>Panel’s</w:t>
      </w:r>
      <w:r>
        <w:t xml:space="preserve"> use of</w:t>
      </w:r>
      <w:r>
        <w:rPr>
          <w:spacing w:val="4"/>
        </w:rPr>
        <w:t xml:space="preserve"> </w:t>
      </w:r>
      <w:r>
        <w:rPr>
          <w:spacing w:val="-1"/>
        </w:rPr>
        <w:t>prevailing</w:t>
      </w:r>
      <w:r>
        <w:t xml:space="preserve"> </w:t>
      </w:r>
      <w:r>
        <w:rPr>
          <w:spacing w:val="-1"/>
        </w:rPr>
        <w:t>rates</w:t>
      </w:r>
      <w:r>
        <w:t xml:space="preserve"> and a </w:t>
      </w:r>
      <w:r>
        <w:rPr>
          <w:spacing w:val="-1"/>
        </w:rPr>
        <w:t>short-term</w:t>
      </w:r>
      <w:r>
        <w:t xml:space="preserve"> </w:t>
      </w:r>
      <w:r>
        <w:rPr>
          <w:spacing w:val="-1"/>
        </w:rPr>
        <w:t>averaging</w:t>
      </w:r>
      <w:r>
        <w:t xml:space="preserve"> period</w:t>
      </w:r>
      <w:r>
        <w:rPr>
          <w:spacing w:val="51"/>
        </w:rPr>
        <w:t xml:space="preserve"> </w:t>
      </w:r>
      <w:r>
        <w:rPr>
          <w:rFonts w:cs="Avenir Next"/>
        </w:rPr>
        <w:t xml:space="preserve">is </w:t>
      </w:r>
      <w:r>
        <w:rPr>
          <w:rFonts w:cs="Avenir Next"/>
          <w:spacing w:val="-1"/>
        </w:rPr>
        <w:t>broadly</w:t>
      </w:r>
      <w:r>
        <w:rPr>
          <w:rFonts w:cs="Avenir Next"/>
        </w:rPr>
        <w:t xml:space="preserve"> consistent with the </w:t>
      </w:r>
      <w:r>
        <w:rPr>
          <w:rFonts w:cs="Avenir Next"/>
          <w:spacing w:val="-1"/>
        </w:rPr>
        <w:t>approach</w:t>
      </w:r>
      <w:r>
        <w:rPr>
          <w:rFonts w:cs="Avenir Next"/>
        </w:rPr>
        <w:t xml:space="preserve"> employed by </w:t>
      </w:r>
      <w:r>
        <w:rPr>
          <w:rFonts w:cs="Avenir Next"/>
          <w:spacing w:val="-1"/>
        </w:rPr>
        <w:t>regulators</w:t>
      </w:r>
      <w:r>
        <w:rPr>
          <w:rFonts w:cs="Avenir Next"/>
        </w:rPr>
        <w:t xml:space="preserve"> in other jurisdictions and is also</w:t>
      </w:r>
      <w:r>
        <w:rPr>
          <w:rFonts w:cs="Avenir Next"/>
          <w:spacing w:val="23"/>
        </w:rPr>
        <w:t xml:space="preserve"> </w:t>
      </w:r>
      <w:r>
        <w:t>consistent</w:t>
      </w:r>
      <w:r>
        <w:rPr>
          <w:spacing w:val="-1"/>
        </w:rPr>
        <w:t xml:space="preserve"> </w:t>
      </w:r>
      <w:r>
        <w:t xml:space="preserve">with the </w:t>
      </w:r>
      <w:r>
        <w:rPr>
          <w:spacing w:val="-1"/>
        </w:rPr>
        <w:t xml:space="preserve">approach </w:t>
      </w:r>
      <w:r>
        <w:t>employed by the</w:t>
      </w:r>
      <w:r>
        <w:rPr>
          <w:spacing w:val="-1"/>
        </w:rPr>
        <w:t xml:space="preserve"> </w:t>
      </w:r>
      <w:r>
        <w:t>ICRC in its</w:t>
      </w:r>
      <w:r>
        <w:rPr>
          <w:spacing w:val="-1"/>
        </w:rPr>
        <w:t xml:space="preserve"> </w:t>
      </w:r>
      <w:r>
        <w:t>2008 final decision.</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11"/>
        <w:rPr>
          <w:rFonts w:ascii="Avenir Next" w:eastAsia="Avenir Next" w:hAnsi="Avenir Next" w:cs="Avenir Next"/>
          <w:sz w:val="13"/>
          <w:szCs w:val="1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485" style="width:72.5pt;height:.5pt;mso-position-horizontal-relative:char;mso-position-vertical-relative:line" coordsize="1450,10">
            <v:group id="_x0000_s1486" style="position:absolute;left:5;top:5;width:1440;height:2" coordorigin="5,5" coordsize="1440,2">
              <v:shape id="_x0000_s1487"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252" w:hanging="510"/>
        <w:rPr>
          <w:rFonts w:ascii="Avenir Next" w:eastAsia="Avenir Next" w:hAnsi="Avenir Next" w:cs="Avenir Next"/>
          <w:sz w:val="16"/>
          <w:szCs w:val="16"/>
        </w:rPr>
      </w:pPr>
      <w:r>
        <w:rPr>
          <w:rFonts w:ascii="Avenir Next" w:eastAsia="Avenir Next" w:hAnsi="Avenir Next" w:cs="Avenir Next"/>
          <w:spacing w:val="-1"/>
          <w:sz w:val="16"/>
          <w:szCs w:val="16"/>
        </w:rPr>
        <w:t>Every</w:t>
      </w:r>
      <w:r>
        <w:rPr>
          <w:rFonts w:ascii="Avenir Next" w:eastAsia="Avenir Next" w:hAnsi="Avenir Next" w:cs="Avenir Next"/>
          <w:sz w:val="16"/>
          <w:szCs w:val="16"/>
        </w:rPr>
        <w:t xml:space="preserve"> time a </w:t>
      </w:r>
      <w:r>
        <w:rPr>
          <w:rFonts w:ascii="Avenir Next" w:eastAsia="Avenir Next" w:hAnsi="Avenir Next" w:cs="Avenir Next"/>
          <w:spacing w:val="-1"/>
          <w:sz w:val="16"/>
          <w:szCs w:val="16"/>
        </w:rPr>
        <w:t>regulated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entity’s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regulatory</w:t>
      </w:r>
      <w:r>
        <w:rPr>
          <w:rFonts w:ascii="Avenir Next" w:eastAsia="Avenir Next" w:hAnsi="Avenir Next" w:cs="Avenir Next"/>
          <w:sz w:val="16"/>
          <w:szCs w:val="16"/>
        </w:rPr>
        <w:t xml:space="preserve"> cost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debt is </w:t>
      </w:r>
      <w:r>
        <w:rPr>
          <w:rFonts w:ascii="Avenir Next" w:eastAsia="Avenir Next" w:hAnsi="Avenir Next" w:cs="Avenir Next"/>
          <w:spacing w:val="-1"/>
          <w:sz w:val="16"/>
          <w:szCs w:val="16"/>
        </w:rPr>
        <w:t>reset</w:t>
      </w:r>
      <w:r>
        <w:rPr>
          <w:rFonts w:ascii="Avenir Next" w:eastAsia="Avenir Next" w:hAnsi="Avenir Next" w:cs="Avenir Next"/>
          <w:sz w:val="16"/>
          <w:szCs w:val="16"/>
        </w:rPr>
        <w:t xml:space="preserve"> by a </w:t>
      </w:r>
      <w:r>
        <w:rPr>
          <w:rFonts w:ascii="Avenir Next" w:eastAsia="Avenir Next" w:hAnsi="Avenir Next" w:cs="Avenir Next"/>
          <w:spacing w:val="-2"/>
          <w:sz w:val="16"/>
          <w:szCs w:val="16"/>
        </w:rPr>
        <w:t>regulator,</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it may want to access the </w:t>
      </w:r>
      <w:r>
        <w:rPr>
          <w:rFonts w:ascii="Avenir Next" w:eastAsia="Avenir Next" w:hAnsi="Avenir Next" w:cs="Avenir Next"/>
          <w:spacing w:val="-1"/>
          <w:sz w:val="16"/>
          <w:szCs w:val="16"/>
        </w:rPr>
        <w:t>market</w:t>
      </w:r>
      <w:r>
        <w:rPr>
          <w:rFonts w:ascii="Avenir Next" w:eastAsia="Avenir Next" w:hAnsi="Avenir Next" w:cs="Avenir Next"/>
          <w:sz w:val="16"/>
          <w:szCs w:val="16"/>
        </w:rPr>
        <w:t xml:space="preserve"> to </w:t>
      </w:r>
      <w:r>
        <w:rPr>
          <w:rFonts w:ascii="Avenir Next" w:eastAsia="Avenir Next" w:hAnsi="Avenir Next" w:cs="Avenir Next"/>
          <w:spacing w:val="-1"/>
          <w:sz w:val="16"/>
          <w:szCs w:val="16"/>
        </w:rPr>
        <w:t>lock-in</w:t>
      </w:r>
      <w:r>
        <w:rPr>
          <w:rFonts w:ascii="Avenir Next" w:eastAsia="Avenir Next" w:hAnsi="Avenir Next" w:cs="Avenir Next"/>
          <w:sz w:val="16"/>
          <w:szCs w:val="16"/>
        </w:rPr>
        <w:t xml:space="preserve"> the</w:t>
      </w:r>
      <w:r>
        <w:rPr>
          <w:rFonts w:ascii="Avenir Next" w:eastAsia="Avenir Next" w:hAnsi="Avenir Next" w:cs="Avenir Next"/>
          <w:spacing w:val="55"/>
          <w:sz w:val="16"/>
          <w:szCs w:val="16"/>
        </w:rPr>
        <w:t xml:space="preserve"> </w:t>
      </w:r>
      <w:r>
        <w:rPr>
          <w:rFonts w:ascii="Avenir Next" w:eastAsia="Avenir Next" w:hAnsi="Avenir Next" w:cs="Avenir Next"/>
          <w:spacing w:val="-1"/>
          <w:sz w:val="16"/>
          <w:szCs w:val="16"/>
        </w:rPr>
        <w:t xml:space="preserve">risk-free </w:t>
      </w:r>
      <w:r>
        <w:rPr>
          <w:rFonts w:ascii="Avenir Next" w:eastAsia="Avenir Next" w:hAnsi="Avenir Next" w:cs="Avenir Next"/>
          <w:sz w:val="16"/>
          <w:szCs w:val="16"/>
        </w:rPr>
        <w:t>component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 cost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debt</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over the </w:t>
      </w:r>
      <w:r>
        <w:rPr>
          <w:rFonts w:ascii="Avenir Next" w:eastAsia="Avenir Next" w:hAnsi="Avenir Next" w:cs="Avenir Next"/>
          <w:spacing w:val="-1"/>
          <w:sz w:val="16"/>
          <w:szCs w:val="16"/>
        </w:rPr>
        <w:t>regulatory</w:t>
      </w:r>
      <w:r>
        <w:rPr>
          <w:rFonts w:ascii="Avenir Next" w:eastAsia="Avenir Next" w:hAnsi="Avenir Next" w:cs="Avenir Next"/>
          <w:sz w:val="16"/>
          <w:szCs w:val="16"/>
        </w:rPr>
        <w:t xml:space="preserve"> period.</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Panel</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is </w:t>
      </w:r>
      <w:r>
        <w:rPr>
          <w:rFonts w:ascii="Avenir Next" w:eastAsia="Avenir Next" w:hAnsi="Avenir Next" w:cs="Avenir Next"/>
          <w:spacing w:val="-1"/>
          <w:sz w:val="16"/>
          <w:szCs w:val="16"/>
        </w:rPr>
        <w:t>aware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it may be</w:t>
      </w:r>
      <w:r>
        <w:rPr>
          <w:rFonts w:ascii="Avenir Next" w:eastAsia="Avenir Next" w:hAnsi="Avenir Next" w:cs="Avenir Next"/>
          <w:spacing w:val="-1"/>
          <w:sz w:val="16"/>
          <w:szCs w:val="16"/>
        </w:rPr>
        <w:t xml:space="preserve"> difficult</w:t>
      </w:r>
      <w:r>
        <w:rPr>
          <w:rFonts w:ascii="Avenir Next" w:eastAsia="Avenir Next" w:hAnsi="Avenir Next" w:cs="Avenir Next"/>
          <w:sz w:val="16"/>
          <w:szCs w:val="16"/>
        </w:rPr>
        <w:t xml:space="preserve"> for utilities to</w:t>
      </w:r>
      <w:r>
        <w:rPr>
          <w:rFonts w:ascii="Avenir Next" w:eastAsia="Avenir Next" w:hAnsi="Avenir Next" w:cs="Avenir Next"/>
          <w:spacing w:val="35"/>
          <w:sz w:val="16"/>
          <w:szCs w:val="16"/>
        </w:rPr>
        <w:t xml:space="preserve"> </w:t>
      </w:r>
      <w:r>
        <w:rPr>
          <w:rFonts w:ascii="Avenir Next" w:eastAsia="Avenir Next" w:hAnsi="Avenir Next" w:cs="Avenir Next"/>
          <w:sz w:val="16"/>
          <w:szCs w:val="16"/>
        </w:rPr>
        <w:t xml:space="preserve">access the swap </w:t>
      </w:r>
      <w:r>
        <w:rPr>
          <w:rFonts w:ascii="Avenir Next" w:eastAsia="Avenir Next" w:hAnsi="Avenir Next" w:cs="Avenir Next"/>
          <w:spacing w:val="-1"/>
          <w:sz w:val="16"/>
          <w:szCs w:val="16"/>
        </w:rPr>
        <w:t>market</w:t>
      </w:r>
      <w:r>
        <w:rPr>
          <w:rFonts w:ascii="Avenir Next" w:eastAsia="Avenir Next" w:hAnsi="Avenir Next" w:cs="Avenir Next"/>
          <w:sz w:val="16"/>
          <w:szCs w:val="16"/>
        </w:rPr>
        <w:t xml:space="preserve"> without </w:t>
      </w:r>
      <w:r>
        <w:rPr>
          <w:rFonts w:ascii="Avenir Next" w:eastAsia="Avenir Next" w:hAnsi="Avenir Next" w:cs="Avenir Next"/>
          <w:spacing w:val="-1"/>
          <w:sz w:val="16"/>
          <w:szCs w:val="16"/>
        </w:rPr>
        <w:t>shifting</w:t>
      </w:r>
      <w:r>
        <w:rPr>
          <w:rFonts w:ascii="Avenir Next" w:eastAsia="Avenir Next" w:hAnsi="Avenir Next" w:cs="Avenir Next"/>
          <w:sz w:val="16"/>
          <w:szCs w:val="16"/>
        </w:rPr>
        <w:t xml:space="preserve"> the </w:t>
      </w:r>
      <w:r>
        <w:rPr>
          <w:rFonts w:ascii="Avenir Next" w:eastAsia="Avenir Next" w:hAnsi="Avenir Next" w:cs="Avenir Next"/>
          <w:spacing w:val="-1"/>
          <w:sz w:val="16"/>
          <w:szCs w:val="16"/>
        </w:rPr>
        <w:t>market</w:t>
      </w:r>
      <w:r>
        <w:rPr>
          <w:rFonts w:ascii="Avenir Next" w:eastAsia="Avenir Next" w:hAnsi="Avenir Next" w:cs="Avenir Next"/>
          <w:sz w:val="16"/>
          <w:szCs w:val="16"/>
        </w:rPr>
        <w:t xml:space="preserve"> within a </w:t>
      </w:r>
      <w:r>
        <w:rPr>
          <w:rFonts w:ascii="Avenir Next" w:eastAsia="Avenir Next" w:hAnsi="Avenir Next" w:cs="Avenir Next"/>
          <w:spacing w:val="-1"/>
          <w:sz w:val="16"/>
          <w:szCs w:val="16"/>
        </w:rPr>
        <w:t>short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averaging</w:t>
      </w:r>
      <w:r>
        <w:rPr>
          <w:rFonts w:ascii="Avenir Next" w:eastAsia="Avenir Next" w:hAnsi="Avenir Next" w:cs="Avenir Next"/>
          <w:sz w:val="16"/>
          <w:szCs w:val="16"/>
        </w:rPr>
        <w:t xml:space="preserve"> period such as 20 days,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and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increasing</w:t>
      </w:r>
      <w:r>
        <w:rPr>
          <w:rFonts w:ascii="Avenir Next" w:eastAsia="Avenir Next" w:hAnsi="Avenir Next" w:cs="Avenir Next"/>
          <w:sz w:val="16"/>
          <w:szCs w:val="16"/>
        </w:rPr>
        <w:t xml:space="preserve"> a</w:t>
      </w:r>
      <w:r>
        <w:rPr>
          <w:rFonts w:ascii="Avenir Next" w:eastAsia="Avenir Next" w:hAnsi="Avenir Next" w:cs="Avenir Next"/>
          <w:spacing w:val="61"/>
          <w:sz w:val="16"/>
          <w:szCs w:val="16"/>
        </w:rPr>
        <w:t xml:space="preserve"> </w:t>
      </w:r>
      <w:r>
        <w:rPr>
          <w:rFonts w:ascii="Avenir Next" w:eastAsia="Avenir Next" w:hAnsi="Avenir Next" w:cs="Avenir Next"/>
          <w:spacing w:val="-1"/>
          <w:sz w:val="16"/>
          <w:szCs w:val="16"/>
        </w:rPr>
        <w:t>short-term</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regulatory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averaging</w:t>
      </w:r>
      <w:r>
        <w:rPr>
          <w:rFonts w:ascii="Avenir Next" w:eastAsia="Avenir Next" w:hAnsi="Avenir Next" w:cs="Avenir Next"/>
          <w:sz w:val="16"/>
          <w:szCs w:val="16"/>
        </w:rPr>
        <w:t xml:space="preserve"> period to 40 days may in </w:t>
      </w:r>
      <w:r>
        <w:rPr>
          <w:rFonts w:ascii="Avenir Next" w:eastAsia="Avenir Next" w:hAnsi="Avenir Next" w:cs="Avenir Next"/>
          <w:spacing w:val="-1"/>
          <w:sz w:val="16"/>
          <w:szCs w:val="16"/>
        </w:rPr>
        <w:t>part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addresses</w:t>
      </w:r>
      <w:r>
        <w:rPr>
          <w:rFonts w:ascii="Avenir Next" w:eastAsia="Avenir Next" w:hAnsi="Avenir Next" w:cs="Avenir Next"/>
          <w:sz w:val="16"/>
          <w:szCs w:val="16"/>
        </w:rPr>
        <w:t xml:space="preserve"> these concerns.</w:t>
      </w:r>
    </w:p>
    <w:p w:rsidR="00D96B91" w:rsidRDefault="00C2656B">
      <w:pPr>
        <w:spacing w:before="50"/>
        <w:ind w:left="1757"/>
        <w:rPr>
          <w:rFonts w:ascii="Avenir Next" w:eastAsia="Avenir Next" w:hAnsi="Avenir Next" w:cs="Avenir Next"/>
          <w:sz w:val="16"/>
          <w:szCs w:val="16"/>
        </w:rPr>
      </w:pPr>
      <w:r>
        <w:rPr>
          <w:rFonts w:ascii="Avenir Next"/>
          <w:sz w:val="16"/>
        </w:rPr>
        <w:t xml:space="preserve">See </w:t>
      </w:r>
      <w:r>
        <w:rPr>
          <w:rFonts w:ascii="Avenir Next"/>
          <w:spacing w:val="-5"/>
          <w:sz w:val="16"/>
        </w:rPr>
        <w:t xml:space="preserve">IPART, </w:t>
      </w:r>
      <w:r>
        <w:rPr>
          <w:rFonts w:ascii="Avenir Next"/>
          <w:spacing w:val="-1"/>
          <w:sz w:val="16"/>
        </w:rPr>
        <w:t>Review</w:t>
      </w:r>
      <w:r>
        <w:rPr>
          <w:rFonts w:ascii="Avenir Next"/>
          <w:sz w:val="16"/>
        </w:rPr>
        <w:t xml:space="preserve"> of</w:t>
      </w:r>
      <w:r>
        <w:rPr>
          <w:rFonts w:ascii="Avenir Next"/>
          <w:spacing w:val="3"/>
          <w:sz w:val="16"/>
        </w:rPr>
        <w:t xml:space="preserve"> </w:t>
      </w:r>
      <w:r>
        <w:rPr>
          <w:rFonts w:ascii="Avenir Next"/>
          <w:sz w:val="16"/>
        </w:rPr>
        <w:t>method for determining the</w:t>
      </w:r>
      <w:r>
        <w:rPr>
          <w:rFonts w:ascii="Avenir Next"/>
          <w:spacing w:val="-2"/>
          <w:sz w:val="16"/>
        </w:rPr>
        <w:t xml:space="preserve"> WACC,</w:t>
      </w:r>
      <w:r>
        <w:rPr>
          <w:rFonts w:ascii="Avenir Next"/>
          <w:spacing w:val="-5"/>
          <w:sz w:val="16"/>
        </w:rPr>
        <w:t xml:space="preserve"> </w:t>
      </w:r>
      <w:r>
        <w:rPr>
          <w:rFonts w:ascii="Avenir Next"/>
          <w:sz w:val="16"/>
        </w:rPr>
        <w:t>December 2012,</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25.</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A8.4: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w:t>
      </w:r>
      <w:r>
        <w:rPr>
          <w:rFonts w:ascii="Avenir Next"/>
          <w:b/>
          <w:spacing w:val="-1"/>
          <w:sz w:val="20"/>
        </w:rPr>
        <w:t>averaging</w:t>
      </w:r>
      <w:r>
        <w:rPr>
          <w:rFonts w:ascii="Avenir Next"/>
          <w:b/>
          <w:sz w:val="20"/>
        </w:rPr>
        <w:t xml:space="preserve"> period</w:t>
      </w:r>
    </w:p>
    <w:p w:rsidR="00D96B91" w:rsidRDefault="00D96B91">
      <w:pPr>
        <w:spacing w:before="4"/>
        <w:rPr>
          <w:rFonts w:ascii="Avenir Next" w:eastAsia="Avenir Next" w:hAnsi="Avenir Next" w:cs="Avenir Next"/>
          <w:b/>
          <w:bCs/>
          <w:sz w:val="13"/>
          <w:szCs w:val="13"/>
        </w:rPr>
      </w:pPr>
    </w:p>
    <w:tbl>
      <w:tblPr>
        <w:tblW w:w="0" w:type="auto"/>
        <w:tblInd w:w="1247" w:type="dxa"/>
        <w:tblLayout w:type="fixed"/>
        <w:tblCellMar>
          <w:left w:w="0" w:type="dxa"/>
          <w:right w:w="0" w:type="dxa"/>
        </w:tblCellMar>
        <w:tblLook w:val="01E0"/>
      </w:tblPr>
      <w:tblGrid>
        <w:gridCol w:w="1611"/>
        <w:gridCol w:w="4209"/>
        <w:gridCol w:w="1795"/>
        <w:gridCol w:w="1795"/>
      </w:tblGrid>
      <w:tr w:rsidR="00D96B91">
        <w:trPr>
          <w:trHeight w:hRule="exact" w:val="407"/>
        </w:trPr>
        <w:tc>
          <w:tcPr>
            <w:tcW w:w="161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20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7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179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Averaging</w:t>
            </w:r>
            <w:r>
              <w:rPr>
                <w:rFonts w:ascii="Avenir Next Condensed"/>
                <w:b/>
                <w:color w:val="FFFFFF"/>
                <w:sz w:val="18"/>
              </w:rPr>
              <w:t xml:space="preserve"> period</w:t>
            </w:r>
          </w:p>
        </w:tc>
      </w:tr>
      <w:tr w:rsidR="00D96B91">
        <w:trPr>
          <w:trHeight w:hRule="exact" w:val="407"/>
        </w:trPr>
        <w:tc>
          <w:tcPr>
            <w:tcW w:w="161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20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79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79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10 </w:t>
            </w:r>
            <w:r>
              <w:rPr>
                <w:rFonts w:ascii="Avenir Next Condensed"/>
                <w:spacing w:val="-1"/>
                <w:sz w:val="18"/>
              </w:rPr>
              <w:t>years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r>
              <w:rPr>
                <w:rFonts w:ascii="Avenir Next Condensed"/>
                <w:spacing w:val="-6"/>
                <w:sz w:val="18"/>
              </w:rPr>
              <w:t xml:space="preserve"> </w:t>
            </w:r>
            <w:r>
              <w:rPr>
                <w:rFonts w:ascii="Avenir Next Condensed"/>
                <w:sz w:val="18"/>
              </w:rPr>
              <w:t xml:space="preserve">10 </w:t>
            </w:r>
            <w:r>
              <w:rPr>
                <w:rFonts w:ascii="Avenir Next Condensed"/>
                <w:spacing w:val="-1"/>
                <w:sz w:val="18"/>
              </w:rPr>
              <w:t>years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r>
              <w:rPr>
                <w:rFonts w:ascii="Avenir Next Condensed"/>
                <w:spacing w:val="-6"/>
                <w:sz w:val="18"/>
              </w:rPr>
              <w:t xml:space="preserve"> </w:t>
            </w:r>
            <w:r>
              <w:rPr>
                <w:rFonts w:ascii="Avenir Next Condensed"/>
                <w:sz w:val="18"/>
              </w:rPr>
              <w:t xml:space="preserve">10 </w:t>
            </w:r>
            <w:r>
              <w:rPr>
                <w:rFonts w:ascii="Avenir Next Condensed"/>
                <w:spacing w:val="-1"/>
                <w:sz w:val="18"/>
              </w:rPr>
              <w:t>years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40 days,</w:t>
            </w:r>
            <w:r>
              <w:rPr>
                <w:rFonts w:ascii="Avenir Next Condensed"/>
                <w:spacing w:val="-6"/>
                <w:sz w:val="18"/>
              </w:rPr>
              <w:t xml:space="preserve"> </w:t>
            </w:r>
            <w:r>
              <w:rPr>
                <w:rFonts w:ascii="Avenir Next Condensed"/>
                <w:sz w:val="18"/>
              </w:rPr>
              <w:t xml:space="preserve">10 </w:t>
            </w:r>
            <w:r>
              <w:rPr>
                <w:rFonts w:ascii="Avenir Next Condensed"/>
                <w:spacing w:val="-1"/>
                <w:sz w:val="18"/>
              </w:rPr>
              <w:t>years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June 2010</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20 days</w:t>
            </w:r>
          </w:p>
        </w:tc>
      </w:tr>
      <w:tr w:rsidR="00D96B91">
        <w:trPr>
          <w:trHeight w:hRule="exact" w:val="407"/>
        </w:trPr>
        <w:tc>
          <w:tcPr>
            <w:tcW w:w="161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20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April 2008</w:t>
            </w:r>
          </w:p>
        </w:tc>
        <w:tc>
          <w:tcPr>
            <w:tcW w:w="179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20 days</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Sources:</w:t>
      </w:r>
      <w:r>
        <w:rPr>
          <w:rFonts w:ascii="Avenir Next"/>
          <w:sz w:val="16"/>
        </w:rPr>
        <w:t xml:space="preserve"> 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492"/>
      </w:pPr>
      <w:r>
        <w:rPr>
          <w:spacing w:val="-2"/>
        </w:rPr>
        <w:t>The</w:t>
      </w:r>
      <w:r>
        <w:t xml:space="preserve"> </w:t>
      </w:r>
      <w:r>
        <w:rPr>
          <w:spacing w:val="-4"/>
        </w:rPr>
        <w:t>Panel’s</w:t>
      </w:r>
      <w:r>
        <w:t xml:space="preserve"> decision </w:t>
      </w:r>
      <w:r>
        <w:rPr>
          <w:spacing w:val="-1"/>
        </w:rPr>
        <w:t>differs,</w:t>
      </w:r>
      <w:r>
        <w:rPr>
          <w:spacing w:val="-6"/>
        </w:rPr>
        <w:t xml:space="preserve"> </w:t>
      </w:r>
      <w:r>
        <w:rPr>
          <w:spacing w:val="-2"/>
        </w:rPr>
        <w:t>however,</w:t>
      </w:r>
      <w:r>
        <w:rPr>
          <w:spacing w:val="-6"/>
        </w:rPr>
        <w:t xml:space="preserve"> </w:t>
      </w:r>
      <w:r>
        <w:rPr>
          <w:spacing w:val="-1"/>
        </w:rPr>
        <w:t>from</w:t>
      </w:r>
      <w:r>
        <w:rPr>
          <w:spacing w:val="-4"/>
        </w:rPr>
        <w:t xml:space="preserve"> </w:t>
      </w:r>
      <w:r>
        <w:rPr>
          <w:spacing w:val="-2"/>
        </w:rPr>
        <w:t>ACTEW’s</w:t>
      </w:r>
      <w:r>
        <w:t xml:space="preserve"> </w:t>
      </w:r>
      <w:r>
        <w:rPr>
          <w:spacing w:val="-1"/>
        </w:rPr>
        <w:t>proposal</w:t>
      </w:r>
      <w:r>
        <w:t xml:space="preserve"> to use a long-term </w:t>
      </w:r>
      <w:r>
        <w:rPr>
          <w:spacing w:val="-1"/>
        </w:rPr>
        <w:t>averaging</w:t>
      </w:r>
      <w:r>
        <w:t xml:space="preserve"> period</w:t>
      </w:r>
      <w:r>
        <w:rPr>
          <w:spacing w:val="59"/>
        </w:rPr>
        <w:t xml:space="preserve"> </w:t>
      </w:r>
      <w:r>
        <w:t>(ie,</w:t>
      </w:r>
      <w:r>
        <w:rPr>
          <w:spacing w:val="-7"/>
        </w:rPr>
        <w:t xml:space="preserve"> </w:t>
      </w:r>
      <w:r>
        <w:t xml:space="preserve">10 </w:t>
      </w:r>
      <w:r>
        <w:rPr>
          <w:spacing w:val="-1"/>
        </w:rPr>
        <w:t>years</w:t>
      </w:r>
      <w:r>
        <w:rPr>
          <w:spacing w:val="-1"/>
          <w:position w:val="7"/>
          <w:sz w:val="11"/>
          <w:szCs w:val="11"/>
        </w:rPr>
        <w:t>).258</w:t>
      </w:r>
      <w:r>
        <w:rPr>
          <w:spacing w:val="23"/>
          <w:position w:val="7"/>
          <w:sz w:val="11"/>
          <w:szCs w:val="11"/>
        </w:rPr>
        <w:t xml:space="preserve"> </w:t>
      </w:r>
      <w:r>
        <w:t>In</w:t>
      </w:r>
      <w:r>
        <w:rPr>
          <w:spacing w:val="-4"/>
        </w:rPr>
        <w:t xml:space="preserve"> </w:t>
      </w:r>
      <w:r>
        <w:rPr>
          <w:spacing w:val="-2"/>
        </w:rPr>
        <w:t>ACTEW’s</w:t>
      </w:r>
      <w:r>
        <w:rPr>
          <w:spacing w:val="-1"/>
        </w:rPr>
        <w:t xml:space="preserve"> </w:t>
      </w:r>
      <w:r>
        <w:rPr>
          <w:spacing w:val="-2"/>
        </w:rPr>
        <w:t>view,</w:t>
      </w:r>
      <w:r>
        <w:rPr>
          <w:spacing w:val="-6"/>
        </w:rPr>
        <w:t xml:space="preserve"> </w:t>
      </w:r>
      <w:r>
        <w:rPr>
          <w:spacing w:val="-1"/>
        </w:rPr>
        <w:t>efficient</w:t>
      </w:r>
      <w:r>
        <w:t xml:space="preserve"> debt management </w:t>
      </w:r>
      <w:r>
        <w:rPr>
          <w:spacing w:val="-1"/>
        </w:rPr>
        <w:t>practice</w:t>
      </w:r>
      <w:r>
        <w:t xml:space="preserve"> involves financing long-lived</w:t>
      </w:r>
      <w:r>
        <w:rPr>
          <w:spacing w:val="43"/>
        </w:rPr>
        <w:t xml:space="preserve"> </w:t>
      </w:r>
      <w:r>
        <w:t>assets</w:t>
      </w:r>
      <w:r>
        <w:rPr>
          <w:spacing w:val="-1"/>
        </w:rPr>
        <w:t xml:space="preserve"> </w:t>
      </w:r>
      <w:r>
        <w:t>using</w:t>
      </w:r>
      <w:r>
        <w:rPr>
          <w:spacing w:val="-1"/>
        </w:rPr>
        <w:t xml:space="preserve"> </w:t>
      </w:r>
      <w:r>
        <w:t>long-term debt</w:t>
      </w:r>
      <w:r>
        <w:rPr>
          <w:spacing w:val="-1"/>
        </w:rPr>
        <w:t xml:space="preserve"> </w:t>
      </w:r>
      <w:r>
        <w:t>with a</w:t>
      </w:r>
      <w:r>
        <w:rPr>
          <w:spacing w:val="-1"/>
        </w:rPr>
        <w:t xml:space="preserve"> portion </w:t>
      </w:r>
      <w:r>
        <w:t>of</w:t>
      </w:r>
      <w:r>
        <w:rPr>
          <w:spacing w:val="4"/>
        </w:rPr>
        <w:t xml:space="preserve"> </w:t>
      </w:r>
      <w:r>
        <w:t>total</w:t>
      </w:r>
      <w:r>
        <w:rPr>
          <w:spacing w:val="-1"/>
        </w:rPr>
        <w:t xml:space="preserve"> </w:t>
      </w:r>
      <w:r>
        <w:t>debt</w:t>
      </w:r>
      <w:r>
        <w:rPr>
          <w:spacing w:val="-1"/>
        </w:rPr>
        <w:t xml:space="preserve"> </w:t>
      </w:r>
      <w:r>
        <w:t xml:space="preserve">being </w:t>
      </w:r>
      <w:r>
        <w:rPr>
          <w:spacing w:val="-1"/>
        </w:rPr>
        <w:t xml:space="preserve">refinanced </w:t>
      </w:r>
      <w:r>
        <w:t>periodically in</w:t>
      </w:r>
      <w:r>
        <w:rPr>
          <w:spacing w:val="-1"/>
        </w:rPr>
        <w:t xml:space="preserve"> order </w:t>
      </w:r>
      <w:r>
        <w:t>to</w:t>
      </w:r>
      <w:r>
        <w:rPr>
          <w:spacing w:val="23"/>
        </w:rPr>
        <w:t xml:space="preserve"> </w:t>
      </w:r>
      <w:r>
        <w:rPr>
          <w:spacing w:val="-1"/>
        </w:rPr>
        <w:t>mitigate</w:t>
      </w:r>
      <w:r>
        <w:rPr>
          <w:spacing w:val="-2"/>
        </w:rPr>
        <w:t xml:space="preserve"> </w:t>
      </w:r>
      <w:r>
        <w:rPr>
          <w:spacing w:val="-1"/>
        </w:rPr>
        <w:t xml:space="preserve">refinancing </w:t>
      </w:r>
      <w:r>
        <w:t>risk</w:t>
      </w:r>
      <w:r>
        <w:rPr>
          <w:spacing w:val="-1"/>
        </w:rPr>
        <w:t xml:space="preserve"> </w:t>
      </w:r>
      <w:r>
        <w:t>or</w:t>
      </w:r>
      <w:r>
        <w:rPr>
          <w:spacing w:val="-1"/>
        </w:rPr>
        <w:t xml:space="preserve"> </w:t>
      </w:r>
      <w:r>
        <w:t>default</w:t>
      </w:r>
      <w:r>
        <w:rPr>
          <w:spacing w:val="-1"/>
        </w:rPr>
        <w:t xml:space="preserve"> </w:t>
      </w:r>
      <w:r>
        <w:t>risk.</w:t>
      </w:r>
      <w:r>
        <w:rPr>
          <w:spacing w:val="-12"/>
        </w:rPr>
        <w:t xml:space="preserve"> </w:t>
      </w:r>
      <w:r>
        <w:rPr>
          <w:spacing w:val="-2"/>
        </w:rPr>
        <w:t>The</w:t>
      </w:r>
      <w:r>
        <w:rPr>
          <w:spacing w:val="-1"/>
        </w:rPr>
        <w:t xml:space="preserve"> </w:t>
      </w:r>
      <w:r>
        <w:rPr>
          <w:spacing w:val="-3"/>
        </w:rPr>
        <w:t>Panel</w:t>
      </w:r>
      <w:r>
        <w:rPr>
          <w:spacing w:val="-1"/>
        </w:rPr>
        <w:t xml:space="preserve"> </w:t>
      </w:r>
      <w:r>
        <w:t>notes</w:t>
      </w:r>
      <w:r>
        <w:rPr>
          <w:spacing w:val="-1"/>
        </w:rPr>
        <w:t xml:space="preserve"> that </w:t>
      </w:r>
      <w:r>
        <w:t>an</w:t>
      </w:r>
      <w:r>
        <w:rPr>
          <w:spacing w:val="-1"/>
        </w:rPr>
        <w:t xml:space="preserve"> efficient </w:t>
      </w:r>
      <w:r>
        <w:t>debt</w:t>
      </w:r>
      <w:r>
        <w:rPr>
          <w:spacing w:val="-1"/>
        </w:rPr>
        <w:t xml:space="preserve"> </w:t>
      </w:r>
      <w:r>
        <w:t>management</w:t>
      </w:r>
      <w:r>
        <w:rPr>
          <w:spacing w:val="-2"/>
        </w:rPr>
        <w:t xml:space="preserve"> </w:t>
      </w:r>
      <w:r>
        <w:rPr>
          <w:spacing w:val="-1"/>
        </w:rPr>
        <w:t>strategy</w:t>
      </w:r>
      <w:r>
        <w:rPr>
          <w:spacing w:val="57"/>
        </w:rPr>
        <w:t xml:space="preserve"> </w:t>
      </w:r>
      <w:r>
        <w:t>implies</w:t>
      </w:r>
      <w:r>
        <w:rPr>
          <w:spacing w:val="-1"/>
        </w:rPr>
        <w:t xml:space="preserve"> that</w:t>
      </w:r>
      <w:r>
        <w:t xml:space="preserve"> a firm would</w:t>
      </w:r>
      <w:r>
        <w:rPr>
          <w:spacing w:val="-1"/>
        </w:rPr>
        <w:t xml:space="preserve"> </w:t>
      </w:r>
      <w:r>
        <w:t xml:space="preserve">have a debt </w:t>
      </w:r>
      <w:r>
        <w:rPr>
          <w:spacing w:val="-1"/>
        </w:rPr>
        <w:t xml:space="preserve">portfolio </w:t>
      </w:r>
      <w:r>
        <w:t xml:space="preserve">with staggering </w:t>
      </w:r>
      <w:r>
        <w:rPr>
          <w:spacing w:val="-1"/>
        </w:rPr>
        <w:t>maturities,</w:t>
      </w:r>
      <w:r>
        <w:rPr>
          <w:spacing w:val="-6"/>
        </w:rPr>
        <w:t xml:space="preserve"> </w:t>
      </w:r>
      <w:r>
        <w:t>and</w:t>
      </w:r>
      <w:r>
        <w:rPr>
          <w:spacing w:val="-1"/>
        </w:rPr>
        <w:t xml:space="preserve"> consequently,</w:t>
      </w:r>
      <w:r>
        <w:rPr>
          <w:spacing w:val="-6"/>
        </w:rPr>
        <w:t xml:space="preserve"> </w:t>
      </w:r>
      <w:r>
        <w:rPr>
          <w:spacing w:val="-1"/>
        </w:rPr>
        <w:t>at</w:t>
      </w:r>
      <w:r>
        <w:t xml:space="preserve"> any</w:t>
      </w:r>
      <w:r>
        <w:rPr>
          <w:spacing w:val="43"/>
        </w:rPr>
        <w:t xml:space="preserve"> </w:t>
      </w:r>
      <w:r>
        <w:t>point</w:t>
      </w:r>
      <w:r>
        <w:rPr>
          <w:spacing w:val="-1"/>
        </w:rPr>
        <w:t xml:space="preserve"> </w:t>
      </w:r>
      <w:r>
        <w:t>in time,</w:t>
      </w:r>
      <w:r>
        <w:rPr>
          <w:spacing w:val="-6"/>
        </w:rPr>
        <w:t xml:space="preserve"> </w:t>
      </w:r>
      <w:r>
        <w:t>its</w:t>
      </w:r>
      <w:r>
        <w:rPr>
          <w:spacing w:val="-1"/>
        </w:rPr>
        <w:t xml:space="preserve"> overall</w:t>
      </w:r>
      <w:r>
        <w:t xml:space="preserve"> cost of</w:t>
      </w:r>
      <w:r>
        <w:rPr>
          <w:spacing w:val="3"/>
        </w:rPr>
        <w:t xml:space="preserve"> </w:t>
      </w:r>
      <w:r>
        <w:t xml:space="preserve">debt would </w:t>
      </w:r>
      <w:r>
        <w:rPr>
          <w:spacing w:val="-1"/>
        </w:rPr>
        <w:t>largely</w:t>
      </w:r>
      <w:r>
        <w:t xml:space="preserve"> </w:t>
      </w:r>
      <w:r>
        <w:rPr>
          <w:spacing w:val="-1"/>
        </w:rPr>
        <w:t xml:space="preserve">reflect </w:t>
      </w:r>
      <w:r>
        <w:t>historical costs of</w:t>
      </w:r>
      <w:r>
        <w:rPr>
          <w:spacing w:val="3"/>
        </w:rPr>
        <w:t xml:space="preserve"> </w:t>
      </w:r>
      <w:r>
        <w:t>debt.</w:t>
      </w:r>
      <w:r>
        <w:rPr>
          <w:spacing w:val="-6"/>
        </w:rPr>
        <w:t xml:space="preserve"> </w:t>
      </w:r>
      <w:r>
        <w:rPr>
          <w:spacing w:val="-2"/>
        </w:rPr>
        <w:t>However,</w:t>
      </w:r>
      <w:r>
        <w:rPr>
          <w:spacing w:val="-6"/>
        </w:rPr>
        <w:t xml:space="preserve"> </w:t>
      </w:r>
      <w:r>
        <w:t xml:space="preserve">the </w:t>
      </w:r>
      <w:r>
        <w:rPr>
          <w:spacing w:val="-3"/>
        </w:rPr>
        <w:t>Panel</w:t>
      </w:r>
      <w:r>
        <w:rPr>
          <w:spacing w:val="39"/>
        </w:rPr>
        <w:t xml:space="preserve"> </w:t>
      </w:r>
      <w:r>
        <w:rPr>
          <w:rFonts w:cs="Avenir Next"/>
        </w:rPr>
        <w:t xml:space="preserve">considers </w:t>
      </w:r>
      <w:r>
        <w:rPr>
          <w:rFonts w:cs="Avenir Next"/>
          <w:spacing w:val="-1"/>
        </w:rPr>
        <w:t>that</w:t>
      </w:r>
      <w:r>
        <w:rPr>
          <w:rFonts w:cs="Avenir Next"/>
        </w:rPr>
        <w:t xml:space="preserve"> when </w:t>
      </w:r>
      <w:r>
        <w:rPr>
          <w:rFonts w:cs="Avenir Next"/>
          <w:spacing w:val="-1"/>
        </w:rPr>
        <w:t>setting</w:t>
      </w:r>
      <w:r>
        <w:rPr>
          <w:rFonts w:cs="Avenir Next"/>
        </w:rPr>
        <w:t xml:space="preserve"> a </w:t>
      </w:r>
      <w:r>
        <w:rPr>
          <w:rFonts w:cs="Avenir Next"/>
          <w:spacing w:val="-1"/>
        </w:rPr>
        <w:t>regulatory</w:t>
      </w:r>
      <w:r>
        <w:rPr>
          <w:rFonts w:cs="Avenir Next"/>
        </w:rPr>
        <w:t xml:space="preserve"> cost of</w:t>
      </w:r>
      <w:r>
        <w:rPr>
          <w:rFonts w:cs="Avenir Next"/>
          <w:spacing w:val="4"/>
        </w:rPr>
        <w:t xml:space="preserve"> </w:t>
      </w:r>
      <w:r>
        <w:rPr>
          <w:rFonts w:cs="Avenir Next"/>
        </w:rPr>
        <w:t>capital,</w:t>
      </w:r>
      <w:r>
        <w:rPr>
          <w:rFonts w:cs="Avenir Next"/>
          <w:spacing w:val="-6"/>
        </w:rPr>
        <w:t xml:space="preserve"> </w:t>
      </w:r>
      <w:r>
        <w:rPr>
          <w:rFonts w:cs="Avenir Next"/>
        </w:rPr>
        <w:t xml:space="preserve">the </w:t>
      </w:r>
      <w:r>
        <w:rPr>
          <w:rFonts w:cs="Avenir Next"/>
          <w:spacing w:val="-2"/>
        </w:rPr>
        <w:t>regulator’s</w:t>
      </w:r>
      <w:r>
        <w:rPr>
          <w:rFonts w:cs="Avenir Next"/>
        </w:rPr>
        <w:t xml:space="preserve"> task is </w:t>
      </w:r>
      <w:r>
        <w:rPr>
          <w:rFonts w:cs="Avenir Next"/>
          <w:i/>
        </w:rPr>
        <w:t xml:space="preserve">not </w:t>
      </w:r>
      <w:r>
        <w:rPr>
          <w:rFonts w:cs="Avenir Next"/>
        </w:rPr>
        <w:t xml:space="preserve">to </w:t>
      </w:r>
      <w:r>
        <w:rPr>
          <w:rFonts w:cs="Avenir Next"/>
          <w:spacing w:val="-1"/>
        </w:rPr>
        <w:t>replicate</w:t>
      </w:r>
      <w:r>
        <w:rPr>
          <w:rFonts w:cs="Avenir Next"/>
        </w:rPr>
        <w:t xml:space="preserve"> an</w:t>
      </w:r>
      <w:r>
        <w:rPr>
          <w:rFonts w:cs="Avenir Next"/>
          <w:spacing w:val="45"/>
        </w:rPr>
        <w:t xml:space="preserve"> </w:t>
      </w:r>
      <w:r>
        <w:rPr>
          <w:spacing w:val="-1"/>
        </w:rPr>
        <w:t xml:space="preserve">efficient </w:t>
      </w:r>
      <w:r>
        <w:rPr>
          <w:spacing w:val="-2"/>
        </w:rPr>
        <w:t>firm’s</w:t>
      </w:r>
      <w:r>
        <w:t xml:space="preserve"> </w:t>
      </w:r>
      <w:r>
        <w:rPr>
          <w:spacing w:val="-1"/>
        </w:rPr>
        <w:t xml:space="preserve">existing </w:t>
      </w:r>
      <w:r>
        <w:t>cost of</w:t>
      </w:r>
      <w:r>
        <w:rPr>
          <w:spacing w:val="3"/>
        </w:rPr>
        <w:t xml:space="preserve"> </w:t>
      </w:r>
      <w:r>
        <w:t>capital.</w:t>
      </w:r>
      <w:r>
        <w:rPr>
          <w:spacing w:val="-6"/>
        </w:rPr>
        <w:t xml:space="preserve"> </w:t>
      </w:r>
      <w:r>
        <w:rPr>
          <w:spacing w:val="-3"/>
        </w:rPr>
        <w:t>Rather,</w:t>
      </w:r>
      <w:r>
        <w:rPr>
          <w:spacing w:val="-7"/>
        </w:rPr>
        <w:t xml:space="preserve"> </w:t>
      </w:r>
      <w:r>
        <w:t>the task</w:t>
      </w:r>
      <w:r>
        <w:rPr>
          <w:spacing w:val="-1"/>
        </w:rPr>
        <w:t xml:space="preserve"> </w:t>
      </w:r>
      <w:r>
        <w:t>is to</w:t>
      </w:r>
      <w:r>
        <w:rPr>
          <w:spacing w:val="-1"/>
        </w:rPr>
        <w:t xml:space="preserve"> </w:t>
      </w:r>
      <w:r>
        <w:t>set the</w:t>
      </w:r>
      <w:r>
        <w:rPr>
          <w:spacing w:val="-1"/>
        </w:rPr>
        <w:t xml:space="preserve"> </w:t>
      </w:r>
      <w:r>
        <w:t>cost of</w:t>
      </w:r>
      <w:r>
        <w:rPr>
          <w:spacing w:val="3"/>
        </w:rPr>
        <w:t xml:space="preserve"> </w:t>
      </w:r>
      <w:r>
        <w:t>capital in</w:t>
      </w:r>
      <w:r>
        <w:rPr>
          <w:spacing w:val="-1"/>
        </w:rPr>
        <w:t xml:space="preserve"> </w:t>
      </w:r>
      <w:r>
        <w:t>a manner</w:t>
      </w:r>
      <w:r>
        <w:rPr>
          <w:spacing w:val="-1"/>
        </w:rPr>
        <w:t xml:space="preserve"> that</w:t>
      </w:r>
      <w:r>
        <w:t xml:space="preserve"> best</w:t>
      </w:r>
      <w:r>
        <w:rPr>
          <w:spacing w:val="43"/>
        </w:rPr>
        <w:t xml:space="preserve"> </w:t>
      </w:r>
      <w:r>
        <w:rPr>
          <w:spacing w:val="-1"/>
        </w:rPr>
        <w:t>reflects</w:t>
      </w:r>
      <w:r>
        <w:rPr>
          <w:spacing w:val="-3"/>
        </w:rPr>
        <w:t xml:space="preserve"> </w:t>
      </w:r>
      <w:r>
        <w:t>the</w:t>
      </w:r>
      <w:r>
        <w:rPr>
          <w:spacing w:val="-2"/>
        </w:rPr>
        <w:t xml:space="preserve"> </w:t>
      </w:r>
      <w:r>
        <w:rPr>
          <w:spacing w:val="-1"/>
        </w:rPr>
        <w:t>efficient</w:t>
      </w:r>
      <w:r>
        <w:rPr>
          <w:spacing w:val="-3"/>
        </w:rPr>
        <w:t xml:space="preserve"> </w:t>
      </w:r>
      <w:r>
        <w:t>financing</w:t>
      </w:r>
      <w:r>
        <w:rPr>
          <w:spacing w:val="-2"/>
        </w:rPr>
        <w:t xml:space="preserve"> </w:t>
      </w:r>
      <w:r>
        <w:t>costs</w:t>
      </w:r>
      <w:r>
        <w:rPr>
          <w:spacing w:val="-3"/>
        </w:rPr>
        <w:t xml:space="preserve"> </w:t>
      </w:r>
      <w:r>
        <w:t>of</w:t>
      </w:r>
      <w:r>
        <w:rPr>
          <w:spacing w:val="2"/>
        </w:rPr>
        <w:t xml:space="preserve"> </w:t>
      </w:r>
      <w:r>
        <w:t>a</w:t>
      </w:r>
      <w:r>
        <w:rPr>
          <w:spacing w:val="-3"/>
        </w:rPr>
        <w:t xml:space="preserve"> </w:t>
      </w:r>
      <w:r>
        <w:rPr>
          <w:rFonts w:cs="Avenir Next"/>
          <w:i/>
        </w:rPr>
        <w:t>new</w:t>
      </w:r>
      <w:r>
        <w:rPr>
          <w:rFonts w:cs="Avenir Next"/>
          <w:i/>
          <w:spacing w:val="-2"/>
        </w:rPr>
        <w:t xml:space="preserve"> </w:t>
      </w:r>
      <w:r>
        <w:t>investment.</w:t>
      </w:r>
    </w:p>
    <w:p w:rsidR="00D96B91" w:rsidRDefault="00C2656B">
      <w:pPr>
        <w:pStyle w:val="BodyText"/>
        <w:spacing w:before="170" w:line="260" w:lineRule="exact"/>
        <w:ind w:right="1283"/>
      </w:pPr>
      <w:r>
        <w:rPr>
          <w:spacing w:val="-2"/>
        </w:rPr>
        <w:t>The</w:t>
      </w:r>
      <w:r>
        <w:t xml:space="preserve"> other line of</w:t>
      </w:r>
      <w:r>
        <w:rPr>
          <w:spacing w:val="4"/>
        </w:rPr>
        <w:t xml:space="preserve"> </w:t>
      </w:r>
      <w:r>
        <w:rPr>
          <w:spacing w:val="-1"/>
        </w:rPr>
        <w:t>argument</w:t>
      </w:r>
      <w:r>
        <w:t xml:space="preserve"> </w:t>
      </w:r>
      <w:r>
        <w:rPr>
          <w:spacing w:val="-1"/>
        </w:rPr>
        <w:t>that</w:t>
      </w:r>
      <w:r>
        <w:rPr>
          <w:spacing w:val="-4"/>
        </w:rPr>
        <w:t xml:space="preserve"> </w:t>
      </w:r>
      <w:r>
        <w:rPr>
          <w:spacing w:val="-2"/>
        </w:rPr>
        <w:t>ACTEW</w:t>
      </w:r>
      <w:r>
        <w:rPr>
          <w:spacing w:val="-3"/>
        </w:rPr>
        <w:t xml:space="preserve"> </w:t>
      </w:r>
      <w:r>
        <w:t xml:space="preserve">made in </w:t>
      </w:r>
      <w:r>
        <w:rPr>
          <w:spacing w:val="-1"/>
        </w:rPr>
        <w:t>support</w:t>
      </w:r>
      <w:r>
        <w:t xml:space="preserve"> of</w:t>
      </w:r>
      <w:r>
        <w:rPr>
          <w:spacing w:val="4"/>
        </w:rPr>
        <w:t xml:space="preserve"> </w:t>
      </w:r>
      <w:r>
        <w:t>its use of</w:t>
      </w:r>
      <w:r>
        <w:rPr>
          <w:spacing w:val="4"/>
        </w:rPr>
        <w:t xml:space="preserve"> </w:t>
      </w:r>
      <w:r>
        <w:t xml:space="preserve">a long-term </w:t>
      </w:r>
      <w:r>
        <w:rPr>
          <w:spacing w:val="-1"/>
        </w:rPr>
        <w:t>average,</w:t>
      </w:r>
      <w:r>
        <w:rPr>
          <w:spacing w:val="-6"/>
        </w:rPr>
        <w:t xml:space="preserve"> </w:t>
      </w:r>
      <w:r>
        <w:t xml:space="preserve">is </w:t>
      </w:r>
      <w:r>
        <w:rPr>
          <w:spacing w:val="-1"/>
        </w:rPr>
        <w:t>that</w:t>
      </w:r>
      <w:r>
        <w:t xml:space="preserve"> </w:t>
      </w:r>
      <w:r>
        <w:rPr>
          <w:spacing w:val="-1"/>
        </w:rPr>
        <w:t>there</w:t>
      </w:r>
      <w:r>
        <w:rPr>
          <w:spacing w:val="49"/>
        </w:rPr>
        <w:t xml:space="preserve"> </w:t>
      </w:r>
      <w:r>
        <w:t xml:space="preserve">is an inverse </w:t>
      </w:r>
      <w:r>
        <w:rPr>
          <w:spacing w:val="-1"/>
        </w:rPr>
        <w:t>relationship</w:t>
      </w:r>
      <w:r>
        <w:t xml:space="preserve"> between the </w:t>
      </w:r>
      <w:r>
        <w:rPr>
          <w:spacing w:val="-1"/>
        </w:rPr>
        <w:t>risk-free</w:t>
      </w:r>
      <w:r>
        <w:t xml:space="preserve"> </w:t>
      </w:r>
      <w:r>
        <w:rPr>
          <w:spacing w:val="-2"/>
        </w:rPr>
        <w:t>rate</w:t>
      </w:r>
      <w:r>
        <w:t xml:space="preserve"> and the MRP (ie,</w:t>
      </w:r>
      <w:r>
        <w:rPr>
          <w:spacing w:val="-6"/>
        </w:rPr>
        <w:t xml:space="preserve"> </w:t>
      </w:r>
      <w:r>
        <w:t xml:space="preserve">a </w:t>
      </w:r>
      <w:r>
        <w:rPr>
          <w:spacing w:val="-1"/>
        </w:rPr>
        <w:t>decrease</w:t>
      </w:r>
      <w:r>
        <w:t xml:space="preserve"> in the </w:t>
      </w:r>
      <w:r>
        <w:rPr>
          <w:spacing w:val="-1"/>
        </w:rPr>
        <w:t>risk-free</w:t>
      </w:r>
      <w:r>
        <w:t xml:space="preserve"> </w:t>
      </w:r>
      <w:r>
        <w:rPr>
          <w:spacing w:val="-2"/>
        </w:rPr>
        <w:t>rate</w:t>
      </w:r>
      <w:r>
        <w:rPr>
          <w:spacing w:val="29"/>
        </w:rPr>
        <w:t xml:space="preserve"> </w:t>
      </w:r>
      <w:r>
        <w:t xml:space="preserve">tends to be </w:t>
      </w:r>
      <w:r>
        <w:rPr>
          <w:spacing w:val="-1"/>
        </w:rPr>
        <w:t>associated</w:t>
      </w:r>
      <w:r>
        <w:t xml:space="preserve"> with an </w:t>
      </w:r>
      <w:r>
        <w:rPr>
          <w:spacing w:val="-1"/>
        </w:rPr>
        <w:t>increase</w:t>
      </w:r>
      <w:r>
        <w:t xml:space="preserve"> in the MRP).</w:t>
      </w:r>
      <w:r>
        <w:rPr>
          <w:spacing w:val="-6"/>
        </w:rPr>
        <w:t xml:space="preserve"> </w:t>
      </w:r>
      <w:r>
        <w:t xml:space="preserve">Given </w:t>
      </w:r>
      <w:r>
        <w:rPr>
          <w:spacing w:val="-1"/>
        </w:rPr>
        <w:t>that</w:t>
      </w:r>
      <w:r>
        <w:t xml:space="preserve"> </w:t>
      </w:r>
      <w:r>
        <w:rPr>
          <w:spacing w:val="-1"/>
        </w:rPr>
        <w:t>current</w:t>
      </w:r>
      <w:r>
        <w:t xml:space="preserve"> </w:t>
      </w:r>
      <w:r>
        <w:rPr>
          <w:spacing w:val="-1"/>
        </w:rPr>
        <w:t>risk-free</w:t>
      </w:r>
      <w:r>
        <w:t xml:space="preserve"> </w:t>
      </w:r>
      <w:r>
        <w:rPr>
          <w:spacing w:val="-1"/>
        </w:rPr>
        <w:t>rates</w:t>
      </w:r>
      <w:r>
        <w:t xml:space="preserve"> </w:t>
      </w:r>
      <w:r>
        <w:rPr>
          <w:spacing w:val="-2"/>
        </w:rPr>
        <w:t>are</w:t>
      </w:r>
      <w:r>
        <w:t xml:space="preserve"> </w:t>
      </w:r>
      <w:r>
        <w:rPr>
          <w:spacing w:val="-1"/>
        </w:rPr>
        <w:t>at</w:t>
      </w:r>
      <w:r>
        <w:t xml:space="preserve"> historic</w:t>
      </w:r>
    </w:p>
    <w:p w:rsidR="00D96B91" w:rsidRDefault="00C2656B">
      <w:pPr>
        <w:pStyle w:val="BodyText"/>
        <w:spacing w:line="260" w:lineRule="exact"/>
        <w:ind w:right="1246"/>
      </w:pPr>
      <w:r>
        <w:t>lows,</w:t>
      </w:r>
      <w:r>
        <w:rPr>
          <w:spacing w:val="-6"/>
        </w:rPr>
        <w:t xml:space="preserve"> </w:t>
      </w:r>
      <w:r>
        <w:rPr>
          <w:spacing w:val="-1"/>
        </w:rPr>
        <w:t>estimating</w:t>
      </w:r>
      <w:r>
        <w:t xml:space="preserve"> the cost of</w:t>
      </w:r>
      <w:r>
        <w:rPr>
          <w:spacing w:val="4"/>
        </w:rPr>
        <w:t xml:space="preserve"> </w:t>
      </w:r>
      <w:r>
        <w:t xml:space="preserve">equity using the </w:t>
      </w:r>
      <w:r>
        <w:rPr>
          <w:spacing w:val="-1"/>
        </w:rPr>
        <w:t>prevailing</w:t>
      </w:r>
      <w:r>
        <w:t xml:space="preserve"> </w:t>
      </w:r>
      <w:r>
        <w:rPr>
          <w:spacing w:val="-1"/>
        </w:rPr>
        <w:t>risk-free</w:t>
      </w:r>
      <w:r>
        <w:t xml:space="preserve"> </w:t>
      </w:r>
      <w:r>
        <w:rPr>
          <w:spacing w:val="-1"/>
        </w:rPr>
        <w:t>rates</w:t>
      </w:r>
      <w:r>
        <w:t xml:space="preserve"> and an MRP of</w:t>
      </w:r>
      <w:r>
        <w:rPr>
          <w:spacing w:val="4"/>
        </w:rPr>
        <w:t xml:space="preserve"> </w:t>
      </w:r>
      <w:r>
        <w:t>6% (which does not</w:t>
      </w:r>
      <w:r>
        <w:rPr>
          <w:spacing w:val="29"/>
        </w:rPr>
        <w:t xml:space="preserve"> </w:t>
      </w:r>
      <w:r>
        <w:rPr>
          <w:spacing w:val="-1"/>
        </w:rPr>
        <w:t>reflect current</w:t>
      </w:r>
      <w:r>
        <w:t xml:space="preserve"> </w:t>
      </w:r>
      <w:r>
        <w:rPr>
          <w:spacing w:val="-1"/>
        </w:rPr>
        <w:t xml:space="preserve">market </w:t>
      </w:r>
      <w:r>
        <w:t>conditions being</w:t>
      </w:r>
      <w:r>
        <w:rPr>
          <w:spacing w:val="-1"/>
        </w:rPr>
        <w:t xml:space="preserve"> fixed</w:t>
      </w:r>
      <w:r>
        <w:t xml:space="preserve"> </w:t>
      </w:r>
      <w:r>
        <w:rPr>
          <w:spacing w:val="-1"/>
        </w:rPr>
        <w:t>at</w:t>
      </w:r>
      <w:r>
        <w:t xml:space="preserve"> 6%)</w:t>
      </w:r>
      <w:r>
        <w:rPr>
          <w:spacing w:val="-1"/>
        </w:rPr>
        <w:t xml:space="preserve"> </w:t>
      </w:r>
      <w:r>
        <w:t xml:space="preserve">is </w:t>
      </w:r>
      <w:r>
        <w:rPr>
          <w:spacing w:val="-1"/>
        </w:rPr>
        <w:t xml:space="preserve">likely </w:t>
      </w:r>
      <w:r>
        <w:t xml:space="preserve">to </w:t>
      </w:r>
      <w:r>
        <w:rPr>
          <w:spacing w:val="-1"/>
        </w:rPr>
        <w:t>underestimate</w:t>
      </w:r>
      <w:r>
        <w:t xml:space="preserve"> the</w:t>
      </w:r>
      <w:r>
        <w:rPr>
          <w:spacing w:val="-1"/>
        </w:rPr>
        <w:t xml:space="preserve"> </w:t>
      </w:r>
      <w:r>
        <w:t>cost of</w:t>
      </w:r>
      <w:r>
        <w:rPr>
          <w:spacing w:val="3"/>
        </w:rPr>
        <w:t xml:space="preserve"> </w:t>
      </w:r>
      <w:r>
        <w:rPr>
          <w:spacing w:val="-2"/>
        </w:rPr>
        <w:t>equity.</w:t>
      </w:r>
      <w:r>
        <w:rPr>
          <w:spacing w:val="-6"/>
        </w:rPr>
        <w:t xml:space="preserve"> </w:t>
      </w:r>
      <w:r>
        <w:rPr>
          <w:spacing w:val="-4"/>
        </w:rPr>
        <w:t>For</w:t>
      </w:r>
      <w:r>
        <w:rPr>
          <w:spacing w:val="-1"/>
        </w:rPr>
        <w:t xml:space="preserve"> </w:t>
      </w:r>
      <w:r>
        <w:t>this</w:t>
      </w:r>
      <w:r>
        <w:rPr>
          <w:spacing w:val="57"/>
        </w:rPr>
        <w:t xml:space="preserve"> </w:t>
      </w:r>
      <w:r>
        <w:rPr>
          <w:spacing w:val="-1"/>
        </w:rPr>
        <w:t>reason,</w:t>
      </w:r>
      <w:r>
        <w:rPr>
          <w:spacing w:val="-10"/>
        </w:rPr>
        <w:t xml:space="preserve"> </w:t>
      </w:r>
      <w:r>
        <w:rPr>
          <w:spacing w:val="-2"/>
        </w:rPr>
        <w:t>ACTEW</w:t>
      </w:r>
      <w:r>
        <w:rPr>
          <w:spacing w:val="-3"/>
        </w:rPr>
        <w:t xml:space="preserve"> </w:t>
      </w:r>
      <w:r>
        <w:t xml:space="preserve">considers </w:t>
      </w:r>
      <w:r>
        <w:rPr>
          <w:spacing w:val="-1"/>
        </w:rPr>
        <w:t>that</w:t>
      </w:r>
      <w:r>
        <w:t xml:space="preserve"> the cost of</w:t>
      </w:r>
      <w:r>
        <w:rPr>
          <w:spacing w:val="4"/>
        </w:rPr>
        <w:t xml:space="preserve"> </w:t>
      </w:r>
      <w:r>
        <w:t xml:space="preserve">capital should be best </w:t>
      </w:r>
      <w:r>
        <w:rPr>
          <w:spacing w:val="-1"/>
        </w:rPr>
        <w:t>estimated</w:t>
      </w:r>
      <w:r>
        <w:t xml:space="preserve"> using long-term </w:t>
      </w:r>
      <w:r>
        <w:rPr>
          <w:spacing w:val="-1"/>
        </w:rPr>
        <w:t>average</w:t>
      </w:r>
    </w:p>
    <w:p w:rsidR="00D96B91" w:rsidRDefault="00C2656B">
      <w:pPr>
        <w:pStyle w:val="BodyText"/>
        <w:spacing w:before="8"/>
      </w:pPr>
      <w:r>
        <w:rPr>
          <w:spacing w:val="-1"/>
        </w:rPr>
        <w:t>risk-free</w:t>
      </w:r>
      <w:r>
        <w:t xml:space="preserve"> </w:t>
      </w:r>
      <w:r>
        <w:rPr>
          <w:spacing w:val="-1"/>
        </w:rPr>
        <w:t>rates,</w:t>
      </w:r>
      <w:r>
        <w:rPr>
          <w:spacing w:val="-6"/>
        </w:rPr>
        <w:t xml:space="preserve"> </w:t>
      </w:r>
      <w:r>
        <w:t xml:space="preserve">but </w:t>
      </w:r>
      <w:r>
        <w:rPr>
          <w:spacing w:val="-1"/>
        </w:rPr>
        <w:t>states</w:t>
      </w:r>
      <w:r>
        <w:t xml:space="preserve"> </w:t>
      </w:r>
      <w:r>
        <w:rPr>
          <w:spacing w:val="-1"/>
        </w:rPr>
        <w:t>that:</w:t>
      </w:r>
    </w:p>
    <w:p w:rsidR="00D96B91" w:rsidRDefault="00C2656B">
      <w:pPr>
        <w:pStyle w:val="BodyText"/>
        <w:spacing w:before="149" w:line="260" w:lineRule="exact"/>
        <w:ind w:left="1643" w:right="1399"/>
        <w:rPr>
          <w:sz w:val="11"/>
          <w:szCs w:val="11"/>
        </w:rPr>
      </w:pPr>
      <w:r>
        <w:rPr>
          <w:spacing w:val="-8"/>
        </w:rPr>
        <w:t>“A</w:t>
      </w:r>
      <w:r>
        <w:rPr>
          <w:spacing w:val="-4"/>
        </w:rPr>
        <w:t xml:space="preserve"> </w:t>
      </w:r>
      <w:r>
        <w:rPr>
          <w:spacing w:val="-1"/>
        </w:rPr>
        <w:t>short</w:t>
      </w:r>
      <w:r>
        <w:t xml:space="preserve"> term </w:t>
      </w:r>
      <w:r>
        <w:rPr>
          <w:spacing w:val="-1"/>
        </w:rPr>
        <w:t>average</w:t>
      </w:r>
      <w:r>
        <w:t xml:space="preserve"> (eg</w:t>
      </w:r>
      <w:r w:rsidR="00710124">
        <w:t>,</w:t>
      </w:r>
      <w:r>
        <w:rPr>
          <w:spacing w:val="-6"/>
        </w:rPr>
        <w:t xml:space="preserve"> </w:t>
      </w:r>
      <w:r>
        <w:t xml:space="preserve">20 day) would only </w:t>
      </w:r>
      <w:r>
        <w:rPr>
          <w:spacing w:val="-1"/>
        </w:rPr>
        <w:t>generate</w:t>
      </w:r>
      <w:r>
        <w:t xml:space="preserve"> a </w:t>
      </w:r>
      <w:r>
        <w:rPr>
          <w:spacing w:val="-1"/>
        </w:rPr>
        <w:t>reasonable</w:t>
      </w:r>
      <w:r>
        <w:t xml:space="preserve"> </w:t>
      </w:r>
      <w:r>
        <w:rPr>
          <w:spacing w:val="-1"/>
        </w:rPr>
        <w:t>estimate</w:t>
      </w:r>
      <w:r>
        <w:t xml:space="preserve"> of</w:t>
      </w:r>
      <w:r>
        <w:rPr>
          <w:spacing w:val="4"/>
        </w:rPr>
        <w:t xml:space="preserve"> </w:t>
      </w:r>
      <w:r>
        <w:t>the cost of</w:t>
      </w:r>
      <w:r>
        <w:rPr>
          <w:spacing w:val="41"/>
        </w:rPr>
        <w:t xml:space="preserve"> </w:t>
      </w:r>
      <w:r>
        <w:t>equity</w:t>
      </w:r>
      <w:r>
        <w:rPr>
          <w:spacing w:val="-1"/>
        </w:rPr>
        <w:t xml:space="preserve"> </w:t>
      </w:r>
      <w:r>
        <w:t>if</w:t>
      </w:r>
      <w:r>
        <w:rPr>
          <w:spacing w:val="4"/>
        </w:rPr>
        <w:t xml:space="preserve"> </w:t>
      </w:r>
      <w:r>
        <w:t>it was</w:t>
      </w:r>
      <w:r>
        <w:rPr>
          <w:spacing w:val="-1"/>
        </w:rPr>
        <w:t xml:space="preserve"> </w:t>
      </w:r>
      <w:r>
        <w:t>used in conjunction</w:t>
      </w:r>
      <w:r>
        <w:rPr>
          <w:spacing w:val="-1"/>
        </w:rPr>
        <w:t xml:space="preserve"> </w:t>
      </w:r>
      <w:r>
        <w:t>with a conditional MRP</w:t>
      </w:r>
      <w:r>
        <w:rPr>
          <w:spacing w:val="-1"/>
        </w:rPr>
        <w:t xml:space="preserve"> </w:t>
      </w:r>
      <w:r>
        <w:t xml:space="preserve">to </w:t>
      </w:r>
      <w:r>
        <w:rPr>
          <w:spacing w:val="-1"/>
        </w:rPr>
        <w:t>reflect</w:t>
      </w:r>
      <w:r>
        <w:t xml:space="preserve"> the</w:t>
      </w:r>
      <w:r>
        <w:rPr>
          <w:spacing w:val="-1"/>
        </w:rPr>
        <w:t xml:space="preserve"> increased</w:t>
      </w:r>
      <w:r>
        <w:t xml:space="preserve"> price of</w:t>
      </w:r>
      <w:r>
        <w:rPr>
          <w:spacing w:val="4"/>
        </w:rPr>
        <w:t xml:space="preserve"> </w:t>
      </w:r>
      <w:r>
        <w:t>risk</w:t>
      </w:r>
      <w:r>
        <w:rPr>
          <w:spacing w:val="27"/>
        </w:rPr>
        <w:t xml:space="preserve"> </w:t>
      </w:r>
      <w:r>
        <w:t>investors</w:t>
      </w:r>
      <w:r>
        <w:rPr>
          <w:spacing w:val="4"/>
        </w:rPr>
        <w:t xml:space="preserve"> </w:t>
      </w:r>
      <w:r>
        <w:rPr>
          <w:spacing w:val="-2"/>
        </w:rPr>
        <w:t>demand.”</w:t>
      </w:r>
      <w:r>
        <w:rPr>
          <w:spacing w:val="5"/>
        </w:rPr>
        <w:t xml:space="preserve"> </w:t>
      </w:r>
      <w:r>
        <w:rPr>
          <w:position w:val="7"/>
          <w:sz w:val="11"/>
          <w:szCs w:val="11"/>
        </w:rPr>
        <w:t>259</w:t>
      </w:r>
    </w:p>
    <w:p w:rsidR="00D96B91" w:rsidRDefault="00D96B91">
      <w:pPr>
        <w:spacing w:before="12"/>
        <w:rPr>
          <w:rFonts w:ascii="Avenir Next" w:eastAsia="Avenir Next" w:hAnsi="Avenir Next" w:cs="Avenir Next"/>
          <w:sz w:val="17"/>
          <w:szCs w:val="1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482" style="width:72.5pt;height:.5pt;mso-position-horizontal-relative:char;mso-position-vertical-relative:line" coordsize="1450,10">
            <v:group id="_x0000_s1483" style="position:absolute;left:5;top:5;width:1440;height:2" coordorigin="5,5" coordsize="1440,2">
              <v:shape id="_x0000_s1484"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27.</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z w:val="16"/>
        </w:rPr>
        <w:t>ibid.</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9" w:line="267" w:lineRule="exact"/>
      </w:pPr>
      <w:r>
        <w:rPr>
          <w:spacing w:val="-2"/>
        </w:rPr>
        <w:t>The</w:t>
      </w:r>
      <w:r>
        <w:t xml:space="preserve"> </w:t>
      </w:r>
      <w:r>
        <w:rPr>
          <w:spacing w:val="-3"/>
        </w:rPr>
        <w:t>Panel</w:t>
      </w:r>
      <w:r>
        <w:t xml:space="preserve"> </w:t>
      </w:r>
      <w:r>
        <w:rPr>
          <w:spacing w:val="-1"/>
        </w:rPr>
        <w:t>agrees</w:t>
      </w:r>
      <w:r>
        <w:t xml:space="preserve"> with</w:t>
      </w:r>
      <w:r>
        <w:rPr>
          <w:spacing w:val="-4"/>
        </w:rPr>
        <w:t xml:space="preserve"> </w:t>
      </w:r>
      <w:r>
        <w:rPr>
          <w:spacing w:val="-2"/>
        </w:rPr>
        <w:t>ACTEW’s</w:t>
      </w:r>
      <w:r>
        <w:t xml:space="preserve"> submission on this issue.</w:t>
      </w:r>
      <w:r>
        <w:rPr>
          <w:spacing w:val="-10"/>
        </w:rPr>
        <w:t xml:space="preserve"> </w:t>
      </w:r>
      <w:r>
        <w:t xml:space="preserve">As discussed </w:t>
      </w:r>
      <w:r>
        <w:rPr>
          <w:spacing w:val="-2"/>
        </w:rPr>
        <w:t>later,</w:t>
      </w:r>
      <w:r>
        <w:rPr>
          <w:spacing w:val="-6"/>
        </w:rPr>
        <w:t xml:space="preserve"> </w:t>
      </w:r>
      <w:r>
        <w:t xml:space="preserve">the </w:t>
      </w:r>
      <w:r>
        <w:rPr>
          <w:spacing w:val="-3"/>
        </w:rPr>
        <w:t>Panel</w:t>
      </w:r>
      <w:r>
        <w:t xml:space="preserve"> considers </w:t>
      </w:r>
      <w:r>
        <w:rPr>
          <w:spacing w:val="-1"/>
        </w:rPr>
        <w:t>that</w:t>
      </w:r>
    </w:p>
    <w:p w:rsidR="00D96B91" w:rsidRDefault="00C2656B">
      <w:pPr>
        <w:pStyle w:val="BodyText"/>
        <w:spacing w:before="3" w:line="228" w:lineRule="auto"/>
        <w:ind w:right="1246"/>
      </w:pPr>
      <w:r>
        <w:t>the</w:t>
      </w:r>
      <w:r>
        <w:rPr>
          <w:spacing w:val="-1"/>
        </w:rPr>
        <w:t xml:space="preserve"> </w:t>
      </w:r>
      <w:r>
        <w:t xml:space="preserve">best </w:t>
      </w:r>
      <w:r>
        <w:rPr>
          <w:spacing w:val="-1"/>
        </w:rPr>
        <w:t>estimate</w:t>
      </w:r>
      <w:r>
        <w:t xml:space="preserve"> of</w:t>
      </w:r>
      <w:r>
        <w:rPr>
          <w:spacing w:val="4"/>
        </w:rPr>
        <w:t xml:space="preserve"> </w:t>
      </w:r>
      <w:r>
        <w:t>the</w:t>
      </w:r>
      <w:r>
        <w:rPr>
          <w:spacing w:val="-1"/>
        </w:rPr>
        <w:t xml:space="preserve"> expected</w:t>
      </w:r>
      <w:r>
        <w:t xml:space="preserve"> cost</w:t>
      </w:r>
      <w:r>
        <w:rPr>
          <w:spacing w:val="-1"/>
        </w:rPr>
        <w:t xml:space="preserve"> </w:t>
      </w:r>
      <w:r>
        <w:t>of</w:t>
      </w:r>
      <w:r>
        <w:rPr>
          <w:spacing w:val="4"/>
        </w:rPr>
        <w:t xml:space="preserve"> </w:t>
      </w:r>
      <w:r>
        <w:t>equity is</w:t>
      </w:r>
      <w:r>
        <w:rPr>
          <w:spacing w:val="-1"/>
        </w:rPr>
        <w:t xml:space="preserve"> likely</w:t>
      </w:r>
      <w:r>
        <w:t xml:space="preserve"> to be derived</w:t>
      </w:r>
      <w:r>
        <w:rPr>
          <w:spacing w:val="-1"/>
        </w:rPr>
        <w:t xml:space="preserve"> from </w:t>
      </w:r>
      <w:r>
        <w:t xml:space="preserve">the </w:t>
      </w:r>
      <w:r>
        <w:rPr>
          <w:spacing w:val="-1"/>
        </w:rPr>
        <w:t>current</w:t>
      </w:r>
      <w:r>
        <w:t xml:space="preserve"> </w:t>
      </w:r>
      <w:r>
        <w:rPr>
          <w:spacing w:val="-1"/>
        </w:rPr>
        <w:t xml:space="preserve">risk-free </w:t>
      </w:r>
      <w:r>
        <w:rPr>
          <w:spacing w:val="-2"/>
        </w:rPr>
        <w:t>rate</w:t>
      </w:r>
      <w:r>
        <w:rPr>
          <w:spacing w:val="-1"/>
        </w:rPr>
        <w:t xml:space="preserve"> </w:t>
      </w:r>
      <w:r>
        <w:t>and</w:t>
      </w:r>
      <w:r>
        <w:rPr>
          <w:spacing w:val="41"/>
        </w:rPr>
        <w:t xml:space="preserve"> </w:t>
      </w:r>
      <w:r>
        <w:t xml:space="preserve">an MRP </w:t>
      </w:r>
      <w:r>
        <w:rPr>
          <w:spacing w:val="-1"/>
        </w:rPr>
        <w:t>estimated</w:t>
      </w:r>
      <w:r>
        <w:t xml:space="preserve"> using </w:t>
      </w:r>
      <w:r>
        <w:rPr>
          <w:spacing w:val="-1"/>
        </w:rPr>
        <w:t>current</w:t>
      </w:r>
      <w:r>
        <w:t xml:space="preserve"> </w:t>
      </w:r>
      <w:r>
        <w:rPr>
          <w:spacing w:val="-1"/>
        </w:rPr>
        <w:t>market</w:t>
      </w:r>
      <w:r>
        <w:t xml:space="preserve"> </w:t>
      </w:r>
      <w:r>
        <w:rPr>
          <w:spacing w:val="-1"/>
        </w:rPr>
        <w:t>data,</w:t>
      </w:r>
      <w:r>
        <w:rPr>
          <w:spacing w:val="-6"/>
        </w:rPr>
        <w:t xml:space="preserve"> </w:t>
      </w:r>
      <w:r>
        <w:rPr>
          <w:spacing w:val="-1"/>
        </w:rPr>
        <w:t>rather</w:t>
      </w:r>
      <w:r>
        <w:t xml:space="preserve"> than historical </w:t>
      </w:r>
      <w:r>
        <w:rPr>
          <w:spacing w:val="-1"/>
        </w:rPr>
        <w:t>averages.</w:t>
      </w:r>
      <w:r>
        <w:rPr>
          <w:spacing w:val="-6"/>
        </w:rPr>
        <w:t xml:space="preserve"> </w:t>
      </w:r>
      <w:r>
        <w:t xml:space="preserve">It has </w:t>
      </w:r>
      <w:r>
        <w:rPr>
          <w:spacing w:val="-1"/>
        </w:rPr>
        <w:t>therefore</w:t>
      </w:r>
      <w:r>
        <w:t xml:space="preserve"> </w:t>
      </w:r>
      <w:r>
        <w:rPr>
          <w:spacing w:val="-1"/>
        </w:rPr>
        <w:t>estimated</w:t>
      </w:r>
      <w:r>
        <w:rPr>
          <w:spacing w:val="61"/>
        </w:rPr>
        <w:t xml:space="preserve"> </w:t>
      </w:r>
      <w:r>
        <w:t>the</w:t>
      </w:r>
      <w:r>
        <w:rPr>
          <w:spacing w:val="-1"/>
        </w:rPr>
        <w:t xml:space="preserve"> </w:t>
      </w:r>
      <w:r>
        <w:t>cost of</w:t>
      </w:r>
      <w:r>
        <w:rPr>
          <w:spacing w:val="3"/>
        </w:rPr>
        <w:t xml:space="preserve"> </w:t>
      </w:r>
      <w:r>
        <w:t>equity using</w:t>
      </w:r>
      <w:r>
        <w:rPr>
          <w:spacing w:val="-1"/>
        </w:rPr>
        <w:t xml:space="preserve"> </w:t>
      </w:r>
      <w:r>
        <w:t>a 40-day</w:t>
      </w:r>
      <w:r>
        <w:rPr>
          <w:spacing w:val="-1"/>
        </w:rPr>
        <w:t xml:space="preserve"> average</w:t>
      </w:r>
      <w:r>
        <w:t xml:space="preserve"> </w:t>
      </w:r>
      <w:r>
        <w:rPr>
          <w:spacing w:val="-1"/>
        </w:rPr>
        <w:t xml:space="preserve">risk-free </w:t>
      </w:r>
      <w:r>
        <w:rPr>
          <w:spacing w:val="-2"/>
        </w:rPr>
        <w:t>rate</w:t>
      </w:r>
      <w:r>
        <w:t xml:space="preserve"> and</w:t>
      </w:r>
      <w:r>
        <w:rPr>
          <w:spacing w:val="-1"/>
        </w:rPr>
        <w:t xml:space="preserve"> </w:t>
      </w:r>
      <w:r>
        <w:t>an implied</w:t>
      </w:r>
      <w:r>
        <w:rPr>
          <w:spacing w:val="-1"/>
        </w:rPr>
        <w:t xml:space="preserve"> </w:t>
      </w:r>
      <w:r>
        <w:t xml:space="preserve">MRP </w:t>
      </w:r>
      <w:r>
        <w:rPr>
          <w:spacing w:val="-1"/>
        </w:rPr>
        <w:t>estimate reflecting</w:t>
      </w:r>
      <w:r>
        <w:t xml:space="preserve"> </w:t>
      </w:r>
      <w:r>
        <w:rPr>
          <w:spacing w:val="-1"/>
        </w:rPr>
        <w:t>current</w:t>
      </w:r>
      <w:r>
        <w:rPr>
          <w:spacing w:val="43"/>
        </w:rPr>
        <w:t xml:space="preserve"> </w:t>
      </w:r>
      <w:r>
        <w:rPr>
          <w:spacing w:val="-1"/>
        </w:rPr>
        <w:t>market</w:t>
      </w:r>
      <w:r>
        <w:t xml:space="preserve"> conditions and changes in investors’ risk aversion.</w:t>
      </w:r>
    </w:p>
    <w:p w:rsidR="00D96B91" w:rsidRDefault="00D96B91">
      <w:pPr>
        <w:spacing w:before="2"/>
        <w:rPr>
          <w:rFonts w:ascii="Avenir Next" w:eastAsia="Avenir Next" w:hAnsi="Avenir Next" w:cs="Avenir Next"/>
          <w:sz w:val="19"/>
          <w:szCs w:val="19"/>
        </w:rPr>
      </w:pPr>
    </w:p>
    <w:p w:rsidR="00D96B91" w:rsidRDefault="00C2656B">
      <w:pPr>
        <w:pStyle w:val="Heading6"/>
        <w:ind w:left="1247" w:firstLine="0"/>
      </w:pPr>
      <w:r>
        <w:rPr>
          <w:color w:val="0778BE"/>
        </w:rPr>
        <w:t xml:space="preserve">A8.1.3 </w:t>
      </w:r>
      <w:r>
        <w:rPr>
          <w:color w:val="0778BE"/>
          <w:spacing w:val="6"/>
        </w:rPr>
        <w:t xml:space="preserve"> </w:t>
      </w:r>
      <w:r>
        <w:rPr>
          <w:color w:val="0778BE"/>
          <w:spacing w:val="-1"/>
        </w:rPr>
        <w:t>Credit</w:t>
      </w:r>
      <w:r>
        <w:rPr>
          <w:color w:val="0778BE"/>
        </w:rPr>
        <w:t xml:space="preserve"> </w:t>
      </w:r>
      <w:r>
        <w:rPr>
          <w:color w:val="0778BE"/>
          <w:spacing w:val="-2"/>
        </w:rPr>
        <w:t>rating</w:t>
      </w:r>
    </w:p>
    <w:p w:rsidR="00D96B91" w:rsidRDefault="00C2656B">
      <w:pPr>
        <w:pStyle w:val="BodyText"/>
        <w:spacing w:before="21" w:line="260" w:lineRule="exact"/>
        <w:ind w:right="1411"/>
      </w:pPr>
      <w:r>
        <w:rPr>
          <w:rFonts w:cs="Avenir Next"/>
          <w:spacing w:val="-10"/>
        </w:rPr>
        <w:t>To</w:t>
      </w:r>
      <w:r>
        <w:rPr>
          <w:rFonts w:cs="Avenir Next"/>
        </w:rPr>
        <w:t xml:space="preserve"> </w:t>
      </w:r>
      <w:r>
        <w:rPr>
          <w:rFonts w:cs="Avenir Next"/>
          <w:spacing w:val="-1"/>
        </w:rPr>
        <w:t>estimate</w:t>
      </w:r>
      <w:r>
        <w:rPr>
          <w:rFonts w:cs="Avenir Next"/>
        </w:rPr>
        <w:t xml:space="preserve"> a debt </w:t>
      </w:r>
      <w:r>
        <w:rPr>
          <w:rFonts w:cs="Avenir Next"/>
          <w:spacing w:val="-1"/>
        </w:rPr>
        <w:t>margin,</w:t>
      </w:r>
      <w:r>
        <w:rPr>
          <w:rFonts w:cs="Avenir Next"/>
          <w:spacing w:val="-6"/>
        </w:rPr>
        <w:t xml:space="preserve"> </w:t>
      </w:r>
      <w:r>
        <w:rPr>
          <w:rFonts w:cs="Avenir Next"/>
          <w:spacing w:val="-1"/>
        </w:rPr>
        <w:t>regulators</w:t>
      </w:r>
      <w:r>
        <w:rPr>
          <w:rFonts w:cs="Avenir Next"/>
        </w:rPr>
        <w:t xml:space="preserve"> must </w:t>
      </w:r>
      <w:r>
        <w:rPr>
          <w:rFonts w:cs="Avenir Next"/>
          <w:spacing w:val="-1"/>
        </w:rPr>
        <w:t>make</w:t>
      </w:r>
      <w:r>
        <w:rPr>
          <w:rFonts w:cs="Avenir Next"/>
        </w:rPr>
        <w:t xml:space="preserve"> a decision on the </w:t>
      </w:r>
      <w:r>
        <w:rPr>
          <w:rFonts w:cs="Avenir Next"/>
          <w:spacing w:val="-1"/>
        </w:rPr>
        <w:t>appropriate</w:t>
      </w:r>
      <w:r>
        <w:rPr>
          <w:rFonts w:cs="Avenir Next"/>
        </w:rPr>
        <w:t xml:space="preserve"> </w:t>
      </w:r>
      <w:r>
        <w:rPr>
          <w:rFonts w:cs="Avenir Next"/>
          <w:spacing w:val="-1"/>
        </w:rPr>
        <w:t>credit</w:t>
      </w:r>
      <w:r>
        <w:rPr>
          <w:rFonts w:cs="Avenir Next"/>
        </w:rPr>
        <w:t xml:space="preserve"> </w:t>
      </w:r>
      <w:r>
        <w:rPr>
          <w:rFonts w:cs="Avenir Next"/>
          <w:spacing w:val="-1"/>
        </w:rPr>
        <w:t>rating</w:t>
      </w:r>
      <w:r>
        <w:rPr>
          <w:rFonts w:cs="Avenir Next"/>
          <w:spacing w:val="41"/>
        </w:rPr>
        <w:t xml:space="preserve"> </w:t>
      </w:r>
      <w:r>
        <w:t>assumption.</w:t>
      </w:r>
      <w:r>
        <w:rPr>
          <w:spacing w:val="-11"/>
        </w:rPr>
        <w:t xml:space="preserve"> </w:t>
      </w:r>
      <w:r>
        <w:t>A</w:t>
      </w:r>
      <w:r>
        <w:rPr>
          <w:spacing w:val="-4"/>
        </w:rPr>
        <w:t xml:space="preserve"> </w:t>
      </w:r>
      <w:r>
        <w:rPr>
          <w:spacing w:val="-1"/>
        </w:rPr>
        <w:t>credit</w:t>
      </w:r>
      <w:r>
        <w:t xml:space="preserve"> </w:t>
      </w:r>
      <w:r>
        <w:rPr>
          <w:spacing w:val="-1"/>
        </w:rPr>
        <w:t>rating</w:t>
      </w:r>
      <w:r>
        <w:t xml:space="preserve"> is an</w:t>
      </w:r>
      <w:r>
        <w:rPr>
          <w:spacing w:val="-1"/>
        </w:rPr>
        <w:t xml:space="preserve"> evaluation</w:t>
      </w:r>
      <w:r>
        <w:t xml:space="preserve"> of</w:t>
      </w:r>
      <w:r>
        <w:rPr>
          <w:spacing w:val="4"/>
        </w:rPr>
        <w:t xml:space="preserve"> </w:t>
      </w:r>
      <w:r>
        <w:t xml:space="preserve">the </w:t>
      </w:r>
      <w:r>
        <w:rPr>
          <w:spacing w:val="-1"/>
        </w:rPr>
        <w:t>credit</w:t>
      </w:r>
      <w:r>
        <w:t xml:space="preserve"> </w:t>
      </w:r>
      <w:r>
        <w:rPr>
          <w:spacing w:val="-1"/>
        </w:rPr>
        <w:t xml:space="preserve">worthiness </w:t>
      </w:r>
      <w:r>
        <w:t>of</w:t>
      </w:r>
      <w:r>
        <w:rPr>
          <w:spacing w:val="4"/>
        </w:rPr>
        <w:t xml:space="preserve"> </w:t>
      </w:r>
      <w:r>
        <w:t>a debtor (ie,</w:t>
      </w:r>
      <w:r>
        <w:rPr>
          <w:spacing w:val="-6"/>
        </w:rPr>
        <w:t xml:space="preserve"> </w:t>
      </w:r>
      <w:r>
        <w:t>a</w:t>
      </w:r>
      <w:r>
        <w:rPr>
          <w:spacing w:val="-1"/>
        </w:rPr>
        <w:t xml:space="preserve"> </w:t>
      </w:r>
      <w:r>
        <w:t>firm or a</w:t>
      </w:r>
      <w:r>
        <w:rPr>
          <w:spacing w:val="41"/>
        </w:rPr>
        <w:t xml:space="preserve"> </w:t>
      </w:r>
      <w:r>
        <w:t>government).</w:t>
      </w:r>
      <w:r>
        <w:rPr>
          <w:spacing w:val="-6"/>
        </w:rPr>
        <w:t xml:space="preserve"> </w:t>
      </w:r>
      <w:r>
        <w:rPr>
          <w:spacing w:val="-1"/>
        </w:rPr>
        <w:t>Credit</w:t>
      </w:r>
      <w:r>
        <w:t xml:space="preserve"> </w:t>
      </w:r>
      <w:r>
        <w:rPr>
          <w:spacing w:val="-1"/>
        </w:rPr>
        <w:t>rating</w:t>
      </w:r>
      <w:r>
        <w:t xml:space="preserve"> agencies determine </w:t>
      </w:r>
      <w:r>
        <w:rPr>
          <w:spacing w:val="-1"/>
        </w:rPr>
        <w:t>credit</w:t>
      </w:r>
      <w:r>
        <w:t xml:space="preserve"> </w:t>
      </w:r>
      <w:r>
        <w:rPr>
          <w:spacing w:val="-1"/>
        </w:rPr>
        <w:t>ratings,</w:t>
      </w:r>
      <w:r>
        <w:rPr>
          <w:spacing w:val="-6"/>
        </w:rPr>
        <w:t xml:space="preserve"> </w:t>
      </w:r>
      <w:r>
        <w:t xml:space="preserve">taking into account the </w:t>
      </w:r>
      <w:r>
        <w:rPr>
          <w:spacing w:val="-1"/>
        </w:rPr>
        <w:t>debtor’s</w:t>
      </w:r>
      <w:r>
        <w:t xml:space="preserve"> ability</w:t>
      </w:r>
      <w:r>
        <w:rPr>
          <w:spacing w:val="21"/>
        </w:rPr>
        <w:t xml:space="preserve"> </w:t>
      </w:r>
      <w:r>
        <w:t xml:space="preserve">to pay back the debt and the </w:t>
      </w:r>
      <w:r>
        <w:rPr>
          <w:spacing w:val="-1"/>
        </w:rPr>
        <w:t>likelihood</w:t>
      </w:r>
      <w:r>
        <w:t xml:space="preserve"> of</w:t>
      </w:r>
      <w:r>
        <w:rPr>
          <w:spacing w:val="4"/>
        </w:rPr>
        <w:t xml:space="preserve"> </w:t>
      </w:r>
      <w:r>
        <w:t>default.</w:t>
      </w:r>
      <w:r>
        <w:rPr>
          <w:spacing w:val="-6"/>
        </w:rPr>
        <w:t xml:space="preserve"> </w:t>
      </w:r>
      <w:r>
        <w:t xml:space="preserve">Since a poor </w:t>
      </w:r>
      <w:r>
        <w:rPr>
          <w:spacing w:val="-1"/>
        </w:rPr>
        <w:t>credit</w:t>
      </w:r>
      <w:r>
        <w:t xml:space="preserve"> </w:t>
      </w:r>
      <w:r>
        <w:rPr>
          <w:spacing w:val="-1"/>
        </w:rPr>
        <w:t>rating</w:t>
      </w:r>
      <w:r>
        <w:t xml:space="preserve"> </w:t>
      </w:r>
      <w:r>
        <w:rPr>
          <w:spacing w:val="-1"/>
        </w:rPr>
        <w:t>indicates</w:t>
      </w:r>
      <w:r>
        <w:t xml:space="preserve"> a </w:t>
      </w:r>
      <w:r>
        <w:rPr>
          <w:spacing w:val="-1"/>
        </w:rPr>
        <w:t>credit</w:t>
      </w:r>
      <w:r>
        <w:t xml:space="preserve"> </w:t>
      </w:r>
      <w:r>
        <w:rPr>
          <w:spacing w:val="-1"/>
        </w:rPr>
        <w:t>rating</w:t>
      </w:r>
      <w:r>
        <w:rPr>
          <w:spacing w:val="39"/>
        </w:rPr>
        <w:t xml:space="preserve"> </w:t>
      </w:r>
      <w:r>
        <w:rPr>
          <w:rFonts w:cs="Avenir Next"/>
          <w:spacing w:val="-2"/>
        </w:rPr>
        <w:t>agency’s</w:t>
      </w:r>
      <w:r>
        <w:rPr>
          <w:rFonts w:cs="Avenir Next"/>
        </w:rPr>
        <w:t xml:space="preserve"> opinion </w:t>
      </w:r>
      <w:r>
        <w:rPr>
          <w:rFonts w:cs="Avenir Next"/>
          <w:spacing w:val="-1"/>
        </w:rPr>
        <w:t>that</w:t>
      </w:r>
      <w:r>
        <w:rPr>
          <w:rFonts w:cs="Avenir Next"/>
        </w:rPr>
        <w:t xml:space="preserve"> the company or government has a high risk of</w:t>
      </w:r>
      <w:r>
        <w:rPr>
          <w:rFonts w:cs="Avenir Next"/>
          <w:spacing w:val="4"/>
        </w:rPr>
        <w:t xml:space="preserve"> </w:t>
      </w:r>
      <w:r>
        <w:rPr>
          <w:rFonts w:cs="Avenir Next"/>
        </w:rPr>
        <w:t>default,</w:t>
      </w:r>
      <w:r>
        <w:rPr>
          <w:rFonts w:cs="Avenir Next"/>
          <w:spacing w:val="-6"/>
        </w:rPr>
        <w:t xml:space="preserve"> </w:t>
      </w:r>
      <w:r>
        <w:rPr>
          <w:rFonts w:cs="Avenir Next"/>
        </w:rPr>
        <w:t xml:space="preserve">a lower </w:t>
      </w:r>
      <w:r>
        <w:rPr>
          <w:rFonts w:cs="Avenir Next"/>
          <w:spacing w:val="-1"/>
        </w:rPr>
        <w:t>credit</w:t>
      </w:r>
      <w:r>
        <w:rPr>
          <w:rFonts w:cs="Avenir Next"/>
        </w:rPr>
        <w:t xml:space="preserve"> </w:t>
      </w:r>
      <w:r>
        <w:rPr>
          <w:rFonts w:cs="Avenir Next"/>
          <w:spacing w:val="-1"/>
        </w:rPr>
        <w:t>rating</w:t>
      </w:r>
      <w:r>
        <w:rPr>
          <w:rFonts w:cs="Avenir Next"/>
        </w:rPr>
        <w:t xml:space="preserve"> is</w:t>
      </w:r>
      <w:r>
        <w:rPr>
          <w:rFonts w:cs="Avenir Next"/>
          <w:spacing w:val="21"/>
        </w:rPr>
        <w:t xml:space="preserve"> </w:t>
      </w:r>
      <w:r>
        <w:rPr>
          <w:spacing w:val="-1"/>
        </w:rPr>
        <w:t>generally</w:t>
      </w:r>
      <w:r>
        <w:t xml:space="preserve"> </w:t>
      </w:r>
      <w:r>
        <w:rPr>
          <w:spacing w:val="-1"/>
        </w:rPr>
        <w:t>associated</w:t>
      </w:r>
      <w:r>
        <w:t xml:space="preserve"> with higher bond yields.</w:t>
      </w:r>
    </w:p>
    <w:p w:rsidR="00D96B91" w:rsidRDefault="00C2656B">
      <w:pPr>
        <w:pStyle w:val="BodyText"/>
        <w:spacing w:before="170" w:line="260" w:lineRule="exact"/>
        <w:ind w:right="1256"/>
      </w:pPr>
      <w:r>
        <w:t>Under the benchmark cost of</w:t>
      </w:r>
      <w:r>
        <w:rPr>
          <w:spacing w:val="4"/>
        </w:rPr>
        <w:t xml:space="preserve"> </w:t>
      </w:r>
      <w:r>
        <w:t xml:space="preserve">capital </w:t>
      </w:r>
      <w:r>
        <w:rPr>
          <w:spacing w:val="-1"/>
        </w:rPr>
        <w:t>approach,</w:t>
      </w:r>
      <w:r>
        <w:rPr>
          <w:spacing w:val="-6"/>
        </w:rPr>
        <w:t xml:space="preserve"> </w:t>
      </w:r>
      <w:r>
        <w:rPr>
          <w:spacing w:val="-1"/>
        </w:rPr>
        <w:t>regulators</w:t>
      </w:r>
      <w:r>
        <w:t xml:space="preserve"> usually determine the </w:t>
      </w:r>
      <w:r>
        <w:rPr>
          <w:spacing w:val="-1"/>
        </w:rPr>
        <w:t>credit</w:t>
      </w:r>
      <w:r>
        <w:t xml:space="preserve"> </w:t>
      </w:r>
      <w:r>
        <w:rPr>
          <w:spacing w:val="-1"/>
        </w:rPr>
        <w:t>rating</w:t>
      </w:r>
      <w:r>
        <w:t xml:space="preserve"> of</w:t>
      </w:r>
      <w:r>
        <w:rPr>
          <w:spacing w:val="4"/>
        </w:rPr>
        <w:t xml:space="preserve"> </w:t>
      </w:r>
      <w:r>
        <w:t>a</w:t>
      </w:r>
      <w:r>
        <w:rPr>
          <w:spacing w:val="25"/>
        </w:rPr>
        <w:t xml:space="preserve"> </w:t>
      </w:r>
      <w:r>
        <w:rPr>
          <w:spacing w:val="-1"/>
        </w:rPr>
        <w:t xml:space="preserve">regulated </w:t>
      </w:r>
      <w:r>
        <w:t>service</w:t>
      </w:r>
      <w:r>
        <w:rPr>
          <w:spacing w:val="-1"/>
        </w:rPr>
        <w:t xml:space="preserve"> provider</w:t>
      </w:r>
      <w:r>
        <w:t xml:space="preserve"> with</w:t>
      </w:r>
      <w:r>
        <w:rPr>
          <w:spacing w:val="-1"/>
        </w:rPr>
        <w:t xml:space="preserve"> reference</w:t>
      </w:r>
      <w:r>
        <w:t xml:space="preserve"> to</w:t>
      </w:r>
      <w:r>
        <w:rPr>
          <w:spacing w:val="-1"/>
        </w:rPr>
        <w:t xml:space="preserve"> </w:t>
      </w:r>
      <w:r>
        <w:t>benchmark</w:t>
      </w:r>
      <w:r>
        <w:rPr>
          <w:spacing w:val="-1"/>
        </w:rPr>
        <w:t xml:space="preserve"> comparable</w:t>
      </w:r>
      <w:r>
        <w:t xml:space="preserve"> firms</w:t>
      </w:r>
      <w:r>
        <w:rPr>
          <w:spacing w:val="-1"/>
        </w:rPr>
        <w:t xml:space="preserve"> </w:t>
      </w:r>
      <w:r>
        <w:t>given the</w:t>
      </w:r>
      <w:r>
        <w:rPr>
          <w:spacing w:val="-1"/>
        </w:rPr>
        <w:t xml:space="preserve"> </w:t>
      </w:r>
      <w:r>
        <w:t>risk</w:t>
      </w:r>
      <w:r>
        <w:rPr>
          <w:spacing w:val="-1"/>
        </w:rPr>
        <w:t xml:space="preserve"> profile</w:t>
      </w:r>
      <w:r>
        <w:t xml:space="preserve"> of</w:t>
      </w:r>
      <w:r>
        <w:rPr>
          <w:spacing w:val="3"/>
        </w:rPr>
        <w:t xml:space="preserve"> </w:t>
      </w:r>
      <w:r>
        <w:t>the</w:t>
      </w:r>
      <w:r>
        <w:rPr>
          <w:spacing w:val="37"/>
        </w:rPr>
        <w:t xml:space="preserve"> </w:t>
      </w:r>
      <w:r>
        <w:rPr>
          <w:spacing w:val="-1"/>
        </w:rPr>
        <w:t>regulated</w:t>
      </w:r>
      <w:r>
        <w:t xml:space="preserve"> service </w:t>
      </w:r>
      <w:r>
        <w:rPr>
          <w:spacing w:val="-2"/>
        </w:rPr>
        <w:t>provider.</w:t>
      </w:r>
      <w:r>
        <w:rPr>
          <w:spacing w:val="-11"/>
        </w:rPr>
        <w:t xml:space="preserve"> </w:t>
      </w:r>
      <w:r>
        <w:rPr>
          <w:spacing w:val="-2"/>
        </w:rPr>
        <w:t>The</w:t>
      </w:r>
      <w:r>
        <w:t xml:space="preserve"> debt </w:t>
      </w:r>
      <w:r>
        <w:rPr>
          <w:spacing w:val="-1"/>
        </w:rPr>
        <w:t>margin</w:t>
      </w:r>
      <w:r>
        <w:t xml:space="preserve"> can then be </w:t>
      </w:r>
      <w:r>
        <w:rPr>
          <w:spacing w:val="-1"/>
        </w:rPr>
        <w:t>calculated</w:t>
      </w:r>
      <w:r>
        <w:t xml:space="preserve"> using the </w:t>
      </w:r>
      <w:r>
        <w:rPr>
          <w:spacing w:val="-1"/>
        </w:rPr>
        <w:t>credit</w:t>
      </w:r>
      <w:r>
        <w:t xml:space="preserve"> </w:t>
      </w:r>
      <w:r>
        <w:rPr>
          <w:spacing w:val="-1"/>
        </w:rPr>
        <w:t>spreads</w:t>
      </w:r>
      <w:r>
        <w:t xml:space="preserve"> for bonds</w:t>
      </w:r>
      <w:r>
        <w:rPr>
          <w:spacing w:val="45"/>
        </w:rPr>
        <w:t xml:space="preserve"> </w:t>
      </w:r>
      <w:r>
        <w:t>issued</w:t>
      </w:r>
      <w:r>
        <w:rPr>
          <w:spacing w:val="-1"/>
        </w:rPr>
        <w:t xml:space="preserve"> </w:t>
      </w:r>
      <w:r>
        <w:t>by</w:t>
      </w:r>
      <w:r>
        <w:rPr>
          <w:spacing w:val="-1"/>
        </w:rPr>
        <w:t xml:space="preserve"> </w:t>
      </w:r>
      <w:r>
        <w:t>firms with</w:t>
      </w:r>
      <w:r>
        <w:rPr>
          <w:spacing w:val="-1"/>
        </w:rPr>
        <w:t xml:space="preserve"> </w:t>
      </w:r>
      <w:r>
        <w:t>the assumed</w:t>
      </w:r>
      <w:r>
        <w:rPr>
          <w:spacing w:val="-1"/>
        </w:rPr>
        <w:t xml:space="preserve"> </w:t>
      </w:r>
      <w:r>
        <w:t xml:space="preserve">benchmark </w:t>
      </w:r>
      <w:r>
        <w:rPr>
          <w:spacing w:val="-1"/>
        </w:rPr>
        <w:t>credit rating.</w:t>
      </w:r>
    </w:p>
    <w:p w:rsidR="00D96B91" w:rsidRDefault="00C2656B">
      <w:pPr>
        <w:pStyle w:val="BodyText"/>
        <w:spacing w:before="170" w:line="260" w:lineRule="exact"/>
        <w:ind w:right="959"/>
      </w:pPr>
      <w:r>
        <w:t>In its SOFC,</w:t>
      </w:r>
      <w:r>
        <w:rPr>
          <w:spacing w:val="-10"/>
        </w:rPr>
        <w:t xml:space="preserve"> </w:t>
      </w:r>
      <w:r>
        <w:rPr>
          <w:spacing w:val="-2"/>
        </w:rPr>
        <w:t>ACTEW</w:t>
      </w:r>
      <w:r>
        <w:rPr>
          <w:spacing w:val="-3"/>
        </w:rPr>
        <w:t xml:space="preserve"> </w:t>
      </w:r>
      <w:r>
        <w:rPr>
          <w:spacing w:val="-1"/>
        </w:rPr>
        <w:t>proposed</w:t>
      </w:r>
      <w:r>
        <w:t xml:space="preserve"> a benchmark </w:t>
      </w:r>
      <w:r>
        <w:rPr>
          <w:spacing w:val="-1"/>
        </w:rPr>
        <w:t>credit</w:t>
      </w:r>
      <w:r>
        <w:t xml:space="preserve"> </w:t>
      </w:r>
      <w:r>
        <w:rPr>
          <w:spacing w:val="-1"/>
        </w:rPr>
        <w:t>rating</w:t>
      </w:r>
      <w:r>
        <w:t xml:space="preserve"> of</w:t>
      </w:r>
      <w:r>
        <w:rPr>
          <w:spacing w:val="4"/>
        </w:rPr>
        <w:t xml:space="preserve"> </w:t>
      </w:r>
      <w:r>
        <w:t>BBB.</w:t>
      </w:r>
      <w:r>
        <w:rPr>
          <w:spacing w:val="-10"/>
        </w:rPr>
        <w:t xml:space="preserve"> </w:t>
      </w:r>
      <w:r>
        <w:t>As</w:t>
      </w:r>
      <w:r>
        <w:rPr>
          <w:spacing w:val="-5"/>
        </w:rPr>
        <w:t xml:space="preserve"> </w:t>
      </w:r>
      <w:r>
        <w:rPr>
          <w:spacing w:val="-4"/>
        </w:rPr>
        <w:t xml:space="preserve">Table </w:t>
      </w:r>
      <w:r>
        <w:t xml:space="preserve">A8.5 </w:t>
      </w:r>
      <w:r>
        <w:rPr>
          <w:spacing w:val="-1"/>
        </w:rPr>
        <w:t>indicates,</w:t>
      </w:r>
      <w:r>
        <w:rPr>
          <w:spacing w:val="-6"/>
        </w:rPr>
        <w:t xml:space="preserve"> </w:t>
      </w:r>
      <w:r>
        <w:t xml:space="preserve">a BBB </w:t>
      </w:r>
      <w:r>
        <w:rPr>
          <w:spacing w:val="-1"/>
        </w:rPr>
        <w:t>credit</w:t>
      </w:r>
      <w:r>
        <w:rPr>
          <w:spacing w:val="43"/>
        </w:rPr>
        <w:t xml:space="preserve"> </w:t>
      </w:r>
      <w:r>
        <w:rPr>
          <w:spacing w:val="-1"/>
        </w:rPr>
        <w:t>rating</w:t>
      </w:r>
      <w:r>
        <w:t xml:space="preserve"> is </w:t>
      </w:r>
      <w:r>
        <w:rPr>
          <w:spacing w:val="-1"/>
        </w:rPr>
        <w:t>broadly</w:t>
      </w:r>
      <w:r>
        <w:t xml:space="preserve"> consistent with the </w:t>
      </w:r>
      <w:r>
        <w:rPr>
          <w:spacing w:val="-1"/>
        </w:rPr>
        <w:t>credit</w:t>
      </w:r>
      <w:r>
        <w:t xml:space="preserve"> </w:t>
      </w:r>
      <w:r>
        <w:rPr>
          <w:spacing w:val="-1"/>
        </w:rPr>
        <w:t>ratings</w:t>
      </w:r>
      <w:r>
        <w:t xml:space="preserve"> adopted by other jurisdictional </w:t>
      </w:r>
      <w:r>
        <w:rPr>
          <w:spacing w:val="-1"/>
        </w:rPr>
        <w:t>regulators</w:t>
      </w:r>
      <w:r>
        <w:t xml:space="preserve"> in </w:t>
      </w:r>
      <w:r>
        <w:rPr>
          <w:spacing w:val="-1"/>
        </w:rPr>
        <w:t>recent</w:t>
      </w:r>
      <w:r>
        <w:rPr>
          <w:spacing w:val="27"/>
        </w:rPr>
        <w:t xml:space="preserve"> </w:t>
      </w:r>
      <w:r>
        <w:rPr>
          <w:spacing w:val="-1"/>
        </w:rPr>
        <w:t>regulatory</w:t>
      </w:r>
      <w:r>
        <w:t xml:space="preserve"> decisions for </w:t>
      </w:r>
      <w:r>
        <w:rPr>
          <w:spacing w:val="-1"/>
        </w:rPr>
        <w:t>water</w:t>
      </w:r>
      <w:r>
        <w:t xml:space="preserve"> utilities (the </w:t>
      </w:r>
      <w:r>
        <w:rPr>
          <w:spacing w:val="-1"/>
        </w:rPr>
        <w:t>credit</w:t>
      </w:r>
      <w:r>
        <w:t xml:space="preserve"> </w:t>
      </w:r>
      <w:r>
        <w:rPr>
          <w:spacing w:val="-1"/>
        </w:rPr>
        <w:t>ratings</w:t>
      </w:r>
      <w:r>
        <w:t xml:space="preserve"> have </w:t>
      </w:r>
      <w:r>
        <w:rPr>
          <w:spacing w:val="-1"/>
        </w:rPr>
        <w:t>ranged</w:t>
      </w:r>
      <w:r>
        <w:t xml:space="preserve"> </w:t>
      </w:r>
      <w:r>
        <w:rPr>
          <w:spacing w:val="-1"/>
        </w:rPr>
        <w:t>from</w:t>
      </w:r>
      <w:r>
        <w:t xml:space="preserve"> BBB- to BBB+).</w:t>
      </w:r>
      <w:r>
        <w:rPr>
          <w:spacing w:val="-11"/>
        </w:rPr>
        <w:t xml:space="preserve"> </w:t>
      </w:r>
      <w:r>
        <w:rPr>
          <w:spacing w:val="-2"/>
        </w:rPr>
        <w:t>The</w:t>
      </w:r>
      <w:r>
        <w:t xml:space="preserve"> </w:t>
      </w:r>
      <w:r>
        <w:rPr>
          <w:spacing w:val="-3"/>
        </w:rPr>
        <w:t>Panel</w:t>
      </w:r>
      <w:r>
        <w:t xml:space="preserve"> has</w:t>
      </w:r>
      <w:r>
        <w:rPr>
          <w:spacing w:val="37"/>
        </w:rPr>
        <w:t xml:space="preserve"> </w:t>
      </w:r>
      <w:r>
        <w:rPr>
          <w:spacing w:val="-1"/>
        </w:rPr>
        <w:t>therefore</w:t>
      </w:r>
      <w:r>
        <w:t xml:space="preserve"> adopted a BBB </w:t>
      </w:r>
      <w:r>
        <w:rPr>
          <w:spacing w:val="-1"/>
        </w:rPr>
        <w:t>credit</w:t>
      </w:r>
      <w:r>
        <w:t xml:space="preserve"> </w:t>
      </w:r>
      <w:r>
        <w:rPr>
          <w:spacing w:val="-1"/>
        </w:rPr>
        <w:t>rating</w:t>
      </w:r>
      <w:r>
        <w:t xml:space="preserve"> to </w:t>
      </w:r>
      <w:r>
        <w:rPr>
          <w:spacing w:val="-1"/>
        </w:rPr>
        <w:t>estimate</w:t>
      </w:r>
      <w:r>
        <w:t xml:space="preserve"> the benchmark cost of</w:t>
      </w:r>
      <w:r>
        <w:rPr>
          <w:spacing w:val="4"/>
        </w:rPr>
        <w:t xml:space="preserve"> </w:t>
      </w:r>
      <w:r>
        <w:t>debt.</w:t>
      </w:r>
    </w:p>
    <w:p w:rsidR="00D96B91" w:rsidRDefault="00C2656B">
      <w:pPr>
        <w:spacing w:before="158"/>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A8.5: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w:t>
      </w:r>
      <w:r>
        <w:rPr>
          <w:rFonts w:ascii="Avenir Next"/>
          <w:b/>
          <w:spacing w:val="-1"/>
          <w:sz w:val="20"/>
        </w:rPr>
        <w:t>credit</w:t>
      </w:r>
      <w:r>
        <w:rPr>
          <w:rFonts w:ascii="Avenir Next"/>
          <w:b/>
          <w:sz w:val="20"/>
        </w:rPr>
        <w:t xml:space="preserve"> </w:t>
      </w:r>
      <w:r>
        <w:rPr>
          <w:rFonts w:ascii="Avenir Next"/>
          <w:b/>
          <w:spacing w:val="-1"/>
          <w:sz w:val="20"/>
        </w:rPr>
        <w:t>ratings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441"/>
        <w:gridCol w:w="4181"/>
        <w:gridCol w:w="1148"/>
        <w:gridCol w:w="2631"/>
      </w:tblGrid>
      <w:tr w:rsidR="00D96B91">
        <w:trPr>
          <w:trHeight w:hRule="exact" w:val="407"/>
        </w:trPr>
        <w:tc>
          <w:tcPr>
            <w:tcW w:w="144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1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14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263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Credit</w:t>
            </w:r>
            <w:r>
              <w:rPr>
                <w:rFonts w:ascii="Avenir Next Condensed"/>
                <w:b/>
                <w:color w:val="FFFFFF"/>
                <w:sz w:val="18"/>
              </w:rPr>
              <w:t xml:space="preserve"> </w:t>
            </w:r>
            <w:r>
              <w:rPr>
                <w:rFonts w:ascii="Avenir Next Condensed"/>
                <w:b/>
                <w:color w:val="FFFFFF"/>
                <w:spacing w:val="-1"/>
                <w:sz w:val="18"/>
              </w:rPr>
              <w:t>rating</w:t>
            </w:r>
          </w:p>
        </w:tc>
      </w:tr>
      <w:tr w:rsidR="00D96B91">
        <w:trPr>
          <w:trHeight w:hRule="exact" w:val="407"/>
        </w:trPr>
        <w:tc>
          <w:tcPr>
            <w:tcW w:w="144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1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14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63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rsidTr="00710124">
        <w:trPr>
          <w:trHeight w:hRule="exact" w:val="561"/>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 to 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 to BBB+</w:t>
            </w:r>
          </w:p>
        </w:tc>
      </w:tr>
      <w:tr w:rsidR="00D96B91" w:rsidTr="00710124">
        <w:trPr>
          <w:trHeight w:hRule="exact" w:val="1066"/>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08"/>
              <w:jc w:val="both"/>
              <w:rPr>
                <w:rFonts w:ascii="Avenir Next Condensed" w:eastAsia="Avenir Next Condensed" w:hAnsi="Avenir Next Condensed" w:cs="Avenir Next Condensed"/>
                <w:sz w:val="18"/>
                <w:szCs w:val="18"/>
              </w:rPr>
            </w:pPr>
            <w:r>
              <w:rPr>
                <w:rFonts w:ascii="Avenir Next Condensed"/>
                <w:sz w:val="18"/>
              </w:rPr>
              <w:t xml:space="preserve">BBB- to BBB+ for Southern </w:t>
            </w:r>
            <w:r>
              <w:rPr>
                <w:rFonts w:ascii="Avenir Next Condensed"/>
                <w:spacing w:val="-1"/>
                <w:sz w:val="18"/>
              </w:rPr>
              <w:t>rural</w:t>
            </w:r>
            <w:r>
              <w:rPr>
                <w:rFonts w:ascii="Avenir Next Condensed"/>
                <w:sz w:val="18"/>
              </w:rPr>
              <w:t xml:space="preserve"> water</w:t>
            </w:r>
            <w:r>
              <w:rPr>
                <w:rFonts w:ascii="Avenir Next Condensed"/>
                <w:spacing w:val="23"/>
                <w:sz w:val="18"/>
              </w:rPr>
              <w:t xml:space="preserve"> </w:t>
            </w:r>
            <w:r>
              <w:rPr>
                <w:rFonts w:ascii="Avenir Next Condensed"/>
                <w:sz w:val="18"/>
              </w:rPr>
              <w:t xml:space="preserve">BBB+ for </w:t>
            </w:r>
            <w:r>
              <w:rPr>
                <w:rFonts w:ascii="Avenir Next Condensed"/>
                <w:spacing w:val="-1"/>
                <w:sz w:val="18"/>
              </w:rPr>
              <w:t>Goulburn-Murray</w:t>
            </w:r>
            <w:r>
              <w:rPr>
                <w:rFonts w:ascii="Avenir Next Condensed"/>
                <w:spacing w:val="-3"/>
                <w:sz w:val="18"/>
              </w:rPr>
              <w:t xml:space="preserve"> </w:t>
            </w:r>
            <w:r>
              <w:rPr>
                <w:rFonts w:ascii="Avenir Next Condensed"/>
                <w:spacing w:val="-1"/>
                <w:sz w:val="18"/>
              </w:rPr>
              <w:t>Water</w:t>
            </w:r>
            <w:r>
              <w:rPr>
                <w:rFonts w:ascii="Avenir Next Condensed"/>
                <w:sz w:val="18"/>
              </w:rPr>
              <w:t xml:space="preserve"> and</w:t>
            </w:r>
            <w:r>
              <w:rPr>
                <w:rFonts w:ascii="Avenir Next Condensed"/>
                <w:spacing w:val="31"/>
                <w:sz w:val="18"/>
              </w:rPr>
              <w:t xml:space="preserve"> </w:t>
            </w:r>
            <w:r>
              <w:rPr>
                <w:rFonts w:ascii="Avenir Next Condensed"/>
                <w:spacing w:val="-1"/>
                <w:sz w:val="18"/>
              </w:rPr>
              <w:t>Lower</w:t>
            </w:r>
            <w:r>
              <w:rPr>
                <w:rFonts w:ascii="Avenir Next Condensed"/>
                <w:sz w:val="18"/>
              </w:rPr>
              <w:t xml:space="preserve"> </w:t>
            </w:r>
            <w:r>
              <w:rPr>
                <w:rFonts w:ascii="Avenir Next Condensed"/>
                <w:spacing w:val="-1"/>
                <w:sz w:val="18"/>
              </w:rPr>
              <w:t>Murray</w:t>
            </w:r>
            <w:r>
              <w:rPr>
                <w:rFonts w:ascii="Avenir Next Condensed"/>
                <w:spacing w:val="-3"/>
                <w:sz w:val="18"/>
              </w:rPr>
              <w:t xml:space="preserve"> </w:t>
            </w:r>
            <w:r>
              <w:rPr>
                <w:rFonts w:ascii="Avenir Next Condensed"/>
                <w:spacing w:val="-1"/>
                <w:sz w:val="18"/>
              </w:rPr>
              <w:t>Water</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2010</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r w:rsidR="00D96B91">
        <w:trPr>
          <w:trHeight w:hRule="exact" w:val="407"/>
        </w:trPr>
        <w:tc>
          <w:tcPr>
            <w:tcW w:w="144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1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14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2008</w:t>
            </w:r>
          </w:p>
        </w:tc>
        <w:tc>
          <w:tcPr>
            <w:tcW w:w="263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BBB</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Sources:</w:t>
      </w:r>
      <w:r>
        <w:rPr>
          <w:rFonts w:ascii="Avenir Next"/>
          <w:b/>
          <w:sz w:val="16"/>
        </w:rPr>
        <w:t xml:space="preserve"> </w:t>
      </w:r>
      <w:r>
        <w:rPr>
          <w:rFonts w:ascii="Avenir Next"/>
          <w:sz w:val="16"/>
        </w:rPr>
        <w:t>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spacing w:before="9"/>
        <w:ind w:left="1247" w:firstLine="0"/>
        <w:rPr>
          <w:rFonts w:cs="Avenir Next Medium"/>
        </w:rPr>
      </w:pPr>
      <w:r>
        <w:rPr>
          <w:color w:val="0778BE"/>
        </w:rPr>
        <w:t xml:space="preserve">A8.1.4 </w:t>
      </w:r>
      <w:r>
        <w:rPr>
          <w:color w:val="0778BE"/>
          <w:spacing w:val="6"/>
        </w:rPr>
        <w:t xml:space="preserve"> </w:t>
      </w:r>
      <w:r>
        <w:rPr>
          <w:color w:val="0778BE"/>
          <w:spacing w:val="-2"/>
        </w:rPr>
        <w:t>Risk-free</w:t>
      </w:r>
      <w:r>
        <w:rPr>
          <w:color w:val="0778BE"/>
        </w:rPr>
        <w:t xml:space="preserve"> </w:t>
      </w:r>
      <w:r>
        <w:rPr>
          <w:color w:val="0778BE"/>
          <w:spacing w:val="-2"/>
        </w:rPr>
        <w:t>rate</w:t>
      </w:r>
    </w:p>
    <w:p w:rsidR="00D96B91" w:rsidRDefault="00C2656B">
      <w:pPr>
        <w:pStyle w:val="BodyText"/>
        <w:spacing w:before="21" w:line="260" w:lineRule="exact"/>
        <w:ind w:right="1513"/>
      </w:pPr>
      <w:r>
        <w:rPr>
          <w:spacing w:val="-2"/>
        </w:rPr>
        <w:t>The</w:t>
      </w:r>
      <w:r>
        <w:t xml:space="preserve"> </w:t>
      </w:r>
      <w:r>
        <w:rPr>
          <w:spacing w:val="-1"/>
        </w:rPr>
        <w:t>risk-free</w:t>
      </w:r>
      <w:r>
        <w:t xml:space="preserve"> </w:t>
      </w:r>
      <w:r>
        <w:rPr>
          <w:spacing w:val="-2"/>
        </w:rPr>
        <w:t>rate</w:t>
      </w:r>
      <w:r>
        <w:t xml:space="preserve"> is used in both the </w:t>
      </w:r>
      <w:r>
        <w:rPr>
          <w:spacing w:val="-1"/>
        </w:rPr>
        <w:t>calculation</w:t>
      </w:r>
      <w:r>
        <w:t xml:space="preserve"> of</w:t>
      </w:r>
      <w:r>
        <w:rPr>
          <w:spacing w:val="4"/>
        </w:rPr>
        <w:t xml:space="preserve"> </w:t>
      </w:r>
      <w:r>
        <w:t>the cost of</w:t>
      </w:r>
      <w:r>
        <w:rPr>
          <w:spacing w:val="4"/>
        </w:rPr>
        <w:t xml:space="preserve"> </w:t>
      </w:r>
      <w:r>
        <w:t>debt and the cost of</w:t>
      </w:r>
      <w:r>
        <w:rPr>
          <w:spacing w:val="4"/>
        </w:rPr>
        <w:t xml:space="preserve"> </w:t>
      </w:r>
      <w:r>
        <w:t>equity and acts as</w:t>
      </w:r>
      <w:r>
        <w:rPr>
          <w:spacing w:val="29"/>
        </w:rPr>
        <w:t xml:space="preserve"> </w:t>
      </w:r>
      <w:r>
        <w:t xml:space="preserve">the base to which a debt </w:t>
      </w:r>
      <w:r>
        <w:rPr>
          <w:spacing w:val="-1"/>
        </w:rPr>
        <w:t>margin</w:t>
      </w:r>
      <w:r>
        <w:t xml:space="preserve"> and equity risk </w:t>
      </w:r>
      <w:r>
        <w:rPr>
          <w:spacing w:val="-1"/>
        </w:rPr>
        <w:t>premium</w:t>
      </w:r>
      <w:r>
        <w:t xml:space="preserve"> is added.</w:t>
      </w:r>
    </w:p>
    <w:p w:rsidR="00D96B91" w:rsidRDefault="00C2656B">
      <w:pPr>
        <w:pStyle w:val="BodyText"/>
        <w:spacing w:before="170" w:line="260" w:lineRule="exact"/>
        <w:ind w:right="1256"/>
      </w:pPr>
      <w:r>
        <w:rPr>
          <w:spacing w:val="-1"/>
        </w:rPr>
        <w:t>In</w:t>
      </w:r>
      <w:r>
        <w:rPr>
          <w:spacing w:val="-4"/>
        </w:rPr>
        <w:t xml:space="preserve"> </w:t>
      </w:r>
      <w:r>
        <w:rPr>
          <w:spacing w:val="-3"/>
        </w:rPr>
        <w:t>keeping</w:t>
      </w:r>
      <w:r>
        <w:rPr>
          <w:spacing w:val="-4"/>
        </w:rPr>
        <w:t xml:space="preserve"> </w:t>
      </w:r>
      <w:r>
        <w:rPr>
          <w:spacing w:val="-2"/>
        </w:rPr>
        <w:t>with</w:t>
      </w:r>
      <w:r>
        <w:rPr>
          <w:spacing w:val="-4"/>
        </w:rPr>
        <w:t xml:space="preserve"> </w:t>
      </w:r>
      <w:r>
        <w:rPr>
          <w:spacing w:val="-2"/>
        </w:rPr>
        <w:t>the</w:t>
      </w:r>
      <w:r>
        <w:rPr>
          <w:spacing w:val="-4"/>
        </w:rPr>
        <w:t xml:space="preserve"> </w:t>
      </w:r>
      <w:r>
        <w:rPr>
          <w:spacing w:val="-2"/>
        </w:rPr>
        <w:t>positions</w:t>
      </w:r>
      <w:r>
        <w:rPr>
          <w:spacing w:val="-4"/>
        </w:rPr>
        <w:t xml:space="preserve"> </w:t>
      </w:r>
      <w:r>
        <w:rPr>
          <w:spacing w:val="-2"/>
        </w:rPr>
        <w:t>outlined</w:t>
      </w:r>
      <w:r>
        <w:rPr>
          <w:spacing w:val="-4"/>
        </w:rPr>
        <w:t xml:space="preserve"> </w:t>
      </w:r>
      <w:r>
        <w:rPr>
          <w:spacing w:val="-2"/>
        </w:rPr>
        <w:t>above,</w:t>
      </w:r>
      <w:r>
        <w:rPr>
          <w:spacing w:val="-10"/>
        </w:rPr>
        <w:t xml:space="preserve"> </w:t>
      </w:r>
      <w:r>
        <w:rPr>
          <w:spacing w:val="-2"/>
        </w:rPr>
        <w:t>the</w:t>
      </w:r>
      <w:r>
        <w:rPr>
          <w:spacing w:val="-4"/>
        </w:rPr>
        <w:t xml:space="preserve"> Panel </w:t>
      </w:r>
      <w:r>
        <w:rPr>
          <w:spacing w:val="-2"/>
        </w:rPr>
        <w:t>has</w:t>
      </w:r>
      <w:r>
        <w:rPr>
          <w:spacing w:val="-4"/>
        </w:rPr>
        <w:t xml:space="preserve"> </w:t>
      </w:r>
      <w:r>
        <w:rPr>
          <w:spacing w:val="-2"/>
        </w:rPr>
        <w:t>calculated</w:t>
      </w:r>
      <w:r>
        <w:rPr>
          <w:spacing w:val="-4"/>
        </w:rPr>
        <w:t xml:space="preserve"> </w:t>
      </w:r>
      <w:r>
        <w:rPr>
          <w:spacing w:val="-2"/>
        </w:rPr>
        <w:t>the</w:t>
      </w:r>
      <w:r>
        <w:rPr>
          <w:spacing w:val="-4"/>
        </w:rPr>
        <w:t xml:space="preserve"> </w:t>
      </w:r>
      <w:r>
        <w:rPr>
          <w:spacing w:val="-3"/>
        </w:rPr>
        <w:t>risk-free</w:t>
      </w:r>
      <w:r>
        <w:rPr>
          <w:spacing w:val="-4"/>
        </w:rPr>
        <w:t xml:space="preserve"> </w:t>
      </w:r>
      <w:r>
        <w:rPr>
          <w:spacing w:val="-3"/>
        </w:rPr>
        <w:t>rate</w:t>
      </w:r>
      <w:r>
        <w:rPr>
          <w:spacing w:val="-4"/>
        </w:rPr>
        <w:t xml:space="preserve"> </w:t>
      </w:r>
      <w:r>
        <w:rPr>
          <w:spacing w:val="-2"/>
        </w:rPr>
        <w:t>using</w:t>
      </w:r>
      <w:r>
        <w:rPr>
          <w:spacing w:val="-4"/>
        </w:rPr>
        <w:t xml:space="preserve"> </w:t>
      </w:r>
      <w:r>
        <w:rPr>
          <w:spacing w:val="-2"/>
        </w:rPr>
        <w:t>the</w:t>
      </w:r>
      <w:r>
        <w:rPr>
          <w:spacing w:val="-4"/>
        </w:rPr>
        <w:t xml:space="preserve"> </w:t>
      </w:r>
      <w:r>
        <w:rPr>
          <w:spacing w:val="-2"/>
        </w:rPr>
        <w:t>40-day</w:t>
      </w:r>
      <w:r>
        <w:rPr>
          <w:spacing w:val="56"/>
        </w:rPr>
        <w:t xml:space="preserve"> </w:t>
      </w:r>
      <w:r>
        <w:rPr>
          <w:spacing w:val="-3"/>
        </w:rPr>
        <w:t>average</w:t>
      </w:r>
      <w:r>
        <w:rPr>
          <w:spacing w:val="-4"/>
        </w:rPr>
        <w:t xml:space="preserve"> </w:t>
      </w:r>
      <w:r>
        <w:rPr>
          <w:spacing w:val="-2"/>
        </w:rPr>
        <w:t>yield</w:t>
      </w:r>
      <w:r>
        <w:rPr>
          <w:spacing w:val="-4"/>
        </w:rPr>
        <w:t xml:space="preserve"> </w:t>
      </w:r>
      <w:r>
        <w:rPr>
          <w:spacing w:val="-1"/>
        </w:rPr>
        <w:t>on</w:t>
      </w:r>
      <w:r>
        <w:rPr>
          <w:spacing w:val="-4"/>
        </w:rPr>
        <w:t xml:space="preserve"> </w:t>
      </w:r>
      <w:r>
        <w:rPr>
          <w:spacing w:val="-2"/>
        </w:rPr>
        <w:t>nominal</w:t>
      </w:r>
      <w:r>
        <w:rPr>
          <w:spacing w:val="-4"/>
        </w:rPr>
        <w:t xml:space="preserve"> </w:t>
      </w:r>
      <w:r>
        <w:rPr>
          <w:spacing w:val="-3"/>
        </w:rPr>
        <w:t>Commonwealth</w:t>
      </w:r>
      <w:r>
        <w:rPr>
          <w:spacing w:val="-4"/>
        </w:rPr>
        <w:t xml:space="preserve"> </w:t>
      </w:r>
      <w:r>
        <w:rPr>
          <w:spacing w:val="-2"/>
        </w:rPr>
        <w:t>Government</w:t>
      </w:r>
      <w:r>
        <w:rPr>
          <w:spacing w:val="-4"/>
        </w:rPr>
        <w:t xml:space="preserve"> </w:t>
      </w:r>
      <w:r>
        <w:rPr>
          <w:spacing w:val="-2"/>
        </w:rPr>
        <w:t>bonds</w:t>
      </w:r>
      <w:r>
        <w:rPr>
          <w:spacing w:val="-4"/>
        </w:rPr>
        <w:t xml:space="preserve"> </w:t>
      </w:r>
      <w:r>
        <w:rPr>
          <w:spacing w:val="-2"/>
        </w:rPr>
        <w:t>with</w:t>
      </w:r>
      <w:r>
        <w:rPr>
          <w:spacing w:val="-4"/>
        </w:rPr>
        <w:t xml:space="preserve"> </w:t>
      </w:r>
      <w:r>
        <w:t>a</w:t>
      </w:r>
      <w:r>
        <w:rPr>
          <w:spacing w:val="-4"/>
        </w:rPr>
        <w:t xml:space="preserve"> </w:t>
      </w:r>
      <w:r>
        <w:rPr>
          <w:spacing w:val="-2"/>
        </w:rPr>
        <w:t>10-year</w:t>
      </w:r>
      <w:r>
        <w:rPr>
          <w:spacing w:val="-4"/>
        </w:rPr>
        <w:t xml:space="preserve"> </w:t>
      </w:r>
      <w:r>
        <w:rPr>
          <w:spacing w:val="-3"/>
        </w:rPr>
        <w:t>term-to-maturity.</w:t>
      </w:r>
      <w:r>
        <w:rPr>
          <w:spacing w:val="-14"/>
        </w:rPr>
        <w:t xml:space="preserve"> </w:t>
      </w:r>
      <w:r>
        <w:rPr>
          <w:spacing w:val="-1"/>
        </w:rPr>
        <w:t>As</w:t>
      </w:r>
      <w:r>
        <w:rPr>
          <w:spacing w:val="-4"/>
        </w:rPr>
        <w:t xml:space="preserve"> </w:t>
      </w:r>
      <w:r>
        <w:rPr>
          <w:spacing w:val="-2"/>
        </w:rPr>
        <w:t>at</w:t>
      </w:r>
    </w:p>
    <w:p w:rsidR="00D96B91" w:rsidRDefault="00C2656B">
      <w:pPr>
        <w:pStyle w:val="BodyText"/>
        <w:spacing w:before="8"/>
      </w:pPr>
      <w:r>
        <w:rPr>
          <w:spacing w:val="-1"/>
        </w:rPr>
        <w:t>31</w:t>
      </w:r>
      <w:r>
        <w:rPr>
          <w:spacing w:val="-4"/>
        </w:rPr>
        <w:t xml:space="preserve"> </w:t>
      </w:r>
      <w:r>
        <w:rPr>
          <w:spacing w:val="-2"/>
        </w:rPr>
        <w:t>May</w:t>
      </w:r>
      <w:r>
        <w:rPr>
          <w:spacing w:val="-4"/>
        </w:rPr>
        <w:t xml:space="preserve"> </w:t>
      </w:r>
      <w:r>
        <w:rPr>
          <w:spacing w:val="-2"/>
        </w:rPr>
        <w:t>2013,</w:t>
      </w:r>
      <w:r>
        <w:rPr>
          <w:spacing w:val="-10"/>
        </w:rPr>
        <w:t xml:space="preserve"> </w:t>
      </w:r>
      <w:r>
        <w:rPr>
          <w:spacing w:val="-2"/>
        </w:rPr>
        <w:t>this</w:t>
      </w:r>
      <w:r>
        <w:rPr>
          <w:spacing w:val="-4"/>
        </w:rPr>
        <w:t xml:space="preserve"> </w:t>
      </w:r>
      <w:r>
        <w:rPr>
          <w:spacing w:val="-2"/>
        </w:rPr>
        <w:t>was</w:t>
      </w:r>
      <w:r>
        <w:rPr>
          <w:spacing w:val="-4"/>
        </w:rPr>
        <w:t xml:space="preserve"> </w:t>
      </w:r>
      <w:r>
        <w:rPr>
          <w:spacing w:val="-2"/>
        </w:rPr>
        <w:t>3.22%.</w:t>
      </w:r>
    </w:p>
    <w:p w:rsidR="00D96B91" w:rsidRDefault="00D96B91">
      <w:pPr>
        <w:spacing w:before="12"/>
        <w:rPr>
          <w:rFonts w:ascii="Avenir Next" w:eastAsia="Avenir Next" w:hAnsi="Avenir Next" w:cs="Avenir Next"/>
          <w:sz w:val="18"/>
          <w:szCs w:val="18"/>
        </w:rPr>
      </w:pPr>
    </w:p>
    <w:p w:rsidR="00D96B91" w:rsidRDefault="00C2656B">
      <w:pPr>
        <w:pStyle w:val="Heading6"/>
        <w:ind w:left="1247" w:firstLine="0"/>
      </w:pPr>
      <w:r>
        <w:rPr>
          <w:color w:val="0778BE"/>
        </w:rPr>
        <w:t xml:space="preserve">A8.1.5 </w:t>
      </w:r>
      <w:r>
        <w:rPr>
          <w:color w:val="0778BE"/>
          <w:spacing w:val="6"/>
        </w:rPr>
        <w:t xml:space="preserve"> </w:t>
      </w:r>
      <w:r>
        <w:rPr>
          <w:color w:val="0778BE"/>
        </w:rPr>
        <w:t>D</w:t>
      </w:r>
      <w:r>
        <w:rPr>
          <w:rFonts w:ascii="Avenir Next"/>
          <w:b/>
          <w:color w:val="0778BE"/>
        </w:rPr>
        <w:t>e</w:t>
      </w:r>
      <w:r>
        <w:rPr>
          <w:color w:val="0778BE"/>
        </w:rPr>
        <w:t xml:space="preserve">bt </w:t>
      </w:r>
      <w:r>
        <w:rPr>
          <w:color w:val="0778BE"/>
          <w:spacing w:val="-1"/>
        </w:rPr>
        <w:t>margin</w:t>
      </w:r>
    </w:p>
    <w:p w:rsidR="00D96B91" w:rsidRDefault="00C2656B">
      <w:pPr>
        <w:pStyle w:val="BodyText"/>
        <w:spacing w:before="19" w:line="250" w:lineRule="exact"/>
        <w:ind w:right="1548"/>
      </w:pPr>
      <w:r>
        <w:rPr>
          <w:spacing w:val="-2"/>
        </w:rPr>
        <w:t>The</w:t>
      </w:r>
      <w:r>
        <w:t xml:space="preserve"> debt </w:t>
      </w:r>
      <w:r>
        <w:rPr>
          <w:spacing w:val="-1"/>
        </w:rPr>
        <w:t>margin</w:t>
      </w:r>
      <w:r>
        <w:t xml:space="preserve"> </w:t>
      </w:r>
      <w:r>
        <w:rPr>
          <w:spacing w:val="-1"/>
        </w:rPr>
        <w:t>represents</w:t>
      </w:r>
      <w:r>
        <w:t xml:space="preserve"> the </w:t>
      </w:r>
      <w:r>
        <w:rPr>
          <w:spacing w:val="-1"/>
        </w:rPr>
        <w:t>compensation</w:t>
      </w:r>
      <w:r>
        <w:t xml:space="preserve"> above the </w:t>
      </w:r>
      <w:r>
        <w:rPr>
          <w:spacing w:val="-1"/>
        </w:rPr>
        <w:t>risk-free</w:t>
      </w:r>
      <w:r>
        <w:t xml:space="preserve"> </w:t>
      </w:r>
      <w:r>
        <w:rPr>
          <w:spacing w:val="-2"/>
        </w:rPr>
        <w:t>rate</w:t>
      </w:r>
      <w:r>
        <w:t xml:space="preserve"> </w:t>
      </w:r>
      <w:r>
        <w:rPr>
          <w:spacing w:val="-1"/>
        </w:rPr>
        <w:t>required</w:t>
      </w:r>
      <w:r>
        <w:t xml:space="preserve"> by debt holders for</w:t>
      </w:r>
      <w:r>
        <w:rPr>
          <w:spacing w:val="39"/>
        </w:rPr>
        <w:t xml:space="preserve"> </w:t>
      </w:r>
      <w:r>
        <w:rPr>
          <w:spacing w:val="-1"/>
        </w:rPr>
        <w:t>credit,</w:t>
      </w:r>
      <w:r>
        <w:rPr>
          <w:spacing w:val="-6"/>
        </w:rPr>
        <w:t xml:space="preserve"> </w:t>
      </w:r>
      <w:r>
        <w:t xml:space="preserve">liquidity and </w:t>
      </w:r>
      <w:r>
        <w:rPr>
          <w:spacing w:val="-1"/>
        </w:rPr>
        <w:t>maturity</w:t>
      </w:r>
      <w:r>
        <w:t xml:space="preserve"> </w:t>
      </w:r>
      <w:r>
        <w:rPr>
          <w:spacing w:val="-1"/>
        </w:rPr>
        <w:t>risks.</w:t>
      </w:r>
    </w:p>
    <w:p w:rsidR="00D96B91" w:rsidRDefault="00C2656B">
      <w:pPr>
        <w:pStyle w:val="BodyText"/>
        <w:spacing w:before="170" w:line="250" w:lineRule="exact"/>
        <w:ind w:right="1256"/>
      </w:pPr>
      <w:r>
        <w:t xml:space="preserve">In </w:t>
      </w:r>
      <w:r>
        <w:rPr>
          <w:spacing w:val="-1"/>
        </w:rPr>
        <w:t>keeping</w:t>
      </w:r>
      <w:r>
        <w:t xml:space="preserve"> with the positions outlined above,</w:t>
      </w:r>
      <w:r>
        <w:rPr>
          <w:spacing w:val="-7"/>
        </w:rPr>
        <w:t xml:space="preserve"> </w:t>
      </w:r>
      <w:r>
        <w:t xml:space="preserve">the </w:t>
      </w:r>
      <w:r>
        <w:rPr>
          <w:spacing w:val="-3"/>
        </w:rPr>
        <w:t>Panel</w:t>
      </w:r>
      <w:r>
        <w:t xml:space="preserve"> has </w:t>
      </w:r>
      <w:r>
        <w:rPr>
          <w:spacing w:val="-1"/>
        </w:rPr>
        <w:t>calculated</w:t>
      </w:r>
      <w:r>
        <w:t xml:space="preserve"> the debt </w:t>
      </w:r>
      <w:r>
        <w:rPr>
          <w:spacing w:val="-1"/>
        </w:rPr>
        <w:t>margin</w:t>
      </w:r>
      <w:r>
        <w:t xml:space="preserve"> using </w:t>
      </w:r>
      <w:r>
        <w:rPr>
          <w:spacing w:val="-1"/>
        </w:rPr>
        <w:t>10-year</w:t>
      </w:r>
      <w:r>
        <w:rPr>
          <w:spacing w:val="43"/>
        </w:rPr>
        <w:t xml:space="preserve"> </w:t>
      </w:r>
      <w:r>
        <w:t xml:space="preserve">BBB </w:t>
      </w:r>
      <w:r>
        <w:rPr>
          <w:spacing w:val="-1"/>
        </w:rPr>
        <w:t>corporate</w:t>
      </w:r>
      <w:r>
        <w:t xml:space="preserve"> bonds as the benchmark.</w:t>
      </w:r>
      <w:r>
        <w:rPr>
          <w:spacing w:val="-11"/>
        </w:rPr>
        <w:t xml:space="preserve"> </w:t>
      </w:r>
      <w:r>
        <w:rPr>
          <w:spacing w:val="-2"/>
        </w:rPr>
        <w:t>The</w:t>
      </w:r>
      <w:r>
        <w:t xml:space="preserve"> </w:t>
      </w:r>
      <w:r>
        <w:rPr>
          <w:spacing w:val="-3"/>
        </w:rPr>
        <w:t>Panel</w:t>
      </w:r>
      <w:r>
        <w:t xml:space="preserve"> is </w:t>
      </w:r>
      <w:r>
        <w:rPr>
          <w:spacing w:val="-1"/>
        </w:rPr>
        <w:t>aware</w:t>
      </w:r>
      <w:r>
        <w:t xml:space="preserve"> </w:t>
      </w:r>
      <w:r>
        <w:rPr>
          <w:spacing w:val="-1"/>
        </w:rPr>
        <w:t>that</w:t>
      </w:r>
      <w:r>
        <w:t xml:space="preserve"> </w:t>
      </w:r>
      <w:r>
        <w:rPr>
          <w:spacing w:val="-1"/>
        </w:rPr>
        <w:t>there</w:t>
      </w:r>
      <w:r>
        <w:t xml:space="preserve"> </w:t>
      </w:r>
      <w:r>
        <w:rPr>
          <w:spacing w:val="-2"/>
        </w:rPr>
        <w:t>are</w:t>
      </w:r>
      <w:r>
        <w:t xml:space="preserve"> </w:t>
      </w:r>
      <w:r>
        <w:rPr>
          <w:spacing w:val="-1"/>
        </w:rPr>
        <w:t>currently</w:t>
      </w:r>
      <w:r>
        <w:t xml:space="preserve"> two </w:t>
      </w:r>
      <w:r>
        <w:rPr>
          <w:spacing w:val="-1"/>
        </w:rPr>
        <w:t>data</w:t>
      </w:r>
      <w:r>
        <w:t xml:space="preserve"> series</w:t>
      </w:r>
    </w:p>
    <w:p w:rsidR="00D96B91" w:rsidRDefault="00C2656B">
      <w:pPr>
        <w:pStyle w:val="BodyText"/>
        <w:spacing w:line="250" w:lineRule="exact"/>
        <w:ind w:right="1283"/>
      </w:pPr>
      <w:r>
        <w:rPr>
          <w:spacing w:val="-1"/>
        </w:rPr>
        <w:t>that</w:t>
      </w:r>
      <w:r>
        <w:t xml:space="preserve"> can be</w:t>
      </w:r>
      <w:r>
        <w:rPr>
          <w:spacing w:val="1"/>
        </w:rPr>
        <w:t xml:space="preserve"> </w:t>
      </w:r>
      <w:r>
        <w:t>used to</w:t>
      </w:r>
      <w:r>
        <w:rPr>
          <w:spacing w:val="1"/>
        </w:rPr>
        <w:t xml:space="preserve"> </w:t>
      </w:r>
      <w:r>
        <w:rPr>
          <w:spacing w:val="-1"/>
        </w:rPr>
        <w:t>calculate</w:t>
      </w:r>
      <w:r>
        <w:t xml:space="preserve"> the</w:t>
      </w:r>
      <w:r>
        <w:rPr>
          <w:spacing w:val="1"/>
        </w:rPr>
        <w:t xml:space="preserve"> </w:t>
      </w:r>
      <w:r>
        <w:rPr>
          <w:spacing w:val="-1"/>
        </w:rPr>
        <w:t>10-year</w:t>
      </w:r>
      <w:r>
        <w:t xml:space="preserve"> BBB</w:t>
      </w:r>
      <w:r>
        <w:rPr>
          <w:spacing w:val="1"/>
        </w:rPr>
        <w:t xml:space="preserve"> </w:t>
      </w:r>
      <w:r>
        <w:rPr>
          <w:spacing w:val="-1"/>
        </w:rPr>
        <w:t>corporate</w:t>
      </w:r>
      <w:r>
        <w:t xml:space="preserve"> bond</w:t>
      </w:r>
      <w:r>
        <w:rPr>
          <w:spacing w:val="1"/>
        </w:rPr>
        <w:t xml:space="preserve"> </w:t>
      </w:r>
      <w:r>
        <w:rPr>
          <w:spacing w:val="-1"/>
        </w:rPr>
        <w:t>rate.</w:t>
      </w:r>
      <w:r>
        <w:rPr>
          <w:spacing w:val="-11"/>
        </w:rPr>
        <w:t xml:space="preserve"> </w:t>
      </w:r>
      <w:r>
        <w:rPr>
          <w:spacing w:val="-2"/>
        </w:rPr>
        <w:t>The</w:t>
      </w:r>
      <w:r>
        <w:t xml:space="preserve"> first</w:t>
      </w:r>
      <w:r>
        <w:rPr>
          <w:spacing w:val="1"/>
        </w:rPr>
        <w:t xml:space="preserve"> </w:t>
      </w:r>
      <w:r>
        <w:t xml:space="preserve">is </w:t>
      </w:r>
      <w:r>
        <w:rPr>
          <w:spacing w:val="-1"/>
        </w:rPr>
        <w:t>produced</w:t>
      </w:r>
      <w:r>
        <w:rPr>
          <w:spacing w:val="1"/>
        </w:rPr>
        <w:t xml:space="preserve"> </w:t>
      </w:r>
      <w:r>
        <w:t>by the</w:t>
      </w:r>
      <w:r>
        <w:rPr>
          <w:spacing w:val="1"/>
        </w:rPr>
        <w:t xml:space="preserve"> </w:t>
      </w:r>
      <w:r>
        <w:rPr>
          <w:spacing w:val="-1"/>
        </w:rPr>
        <w:t>RBA,</w:t>
      </w:r>
      <w:r>
        <w:rPr>
          <w:spacing w:val="-1"/>
          <w:position w:val="7"/>
          <w:sz w:val="11"/>
        </w:rPr>
        <w:t>260</w:t>
      </w:r>
      <w:r>
        <w:rPr>
          <w:spacing w:val="61"/>
          <w:w w:val="106"/>
          <w:position w:val="7"/>
          <w:sz w:val="11"/>
        </w:rPr>
        <w:t xml:space="preserve"> </w:t>
      </w:r>
      <w:r>
        <w:t xml:space="preserve">and the second is </w:t>
      </w:r>
      <w:r>
        <w:rPr>
          <w:spacing w:val="-1"/>
        </w:rPr>
        <w:t>produced</w:t>
      </w:r>
      <w:r>
        <w:t xml:space="preserve"> by </w:t>
      </w:r>
      <w:r>
        <w:rPr>
          <w:spacing w:val="-1"/>
        </w:rPr>
        <w:t>Bloomberg.</w:t>
      </w:r>
      <w:r>
        <w:rPr>
          <w:spacing w:val="-6"/>
        </w:rPr>
        <w:t xml:space="preserve"> </w:t>
      </w:r>
      <w:r>
        <w:t xml:space="preserve">One </w:t>
      </w:r>
      <w:r>
        <w:rPr>
          <w:spacing w:val="-1"/>
        </w:rPr>
        <w:t>limitation</w:t>
      </w:r>
      <w:r>
        <w:t xml:space="preserve"> with the </w:t>
      </w:r>
      <w:r>
        <w:rPr>
          <w:spacing w:val="-1"/>
        </w:rPr>
        <w:t>Bloomberg</w:t>
      </w:r>
      <w:r>
        <w:t xml:space="preserve"> </w:t>
      </w:r>
      <w:r>
        <w:rPr>
          <w:spacing w:val="-1"/>
        </w:rPr>
        <w:t>data</w:t>
      </w:r>
      <w:r>
        <w:t xml:space="preserve"> series is </w:t>
      </w:r>
      <w:r>
        <w:rPr>
          <w:spacing w:val="-1"/>
        </w:rPr>
        <w:t>that</w:t>
      </w:r>
      <w:r>
        <w:t xml:space="preserve"> the</w:t>
      </w:r>
      <w:r>
        <w:rPr>
          <w:spacing w:val="53"/>
        </w:rPr>
        <w:t xml:space="preserve"> </w:t>
      </w:r>
      <w:r>
        <w:t>longest term of</w:t>
      </w:r>
      <w:r>
        <w:rPr>
          <w:spacing w:val="4"/>
        </w:rPr>
        <w:t xml:space="preserve"> </w:t>
      </w:r>
      <w:r>
        <w:t xml:space="preserve">its BBB </w:t>
      </w:r>
      <w:r>
        <w:rPr>
          <w:spacing w:val="-1"/>
        </w:rPr>
        <w:t>corporate</w:t>
      </w:r>
      <w:r>
        <w:t xml:space="preserve"> bond series is seven </w:t>
      </w:r>
      <w:r>
        <w:rPr>
          <w:spacing w:val="-1"/>
        </w:rPr>
        <w:t>years,</w:t>
      </w:r>
      <w:r>
        <w:rPr>
          <w:spacing w:val="-6"/>
        </w:rPr>
        <w:t xml:space="preserve"> </w:t>
      </w:r>
      <w:r>
        <w:t xml:space="preserve">which </w:t>
      </w:r>
      <w:r>
        <w:rPr>
          <w:spacing w:val="-1"/>
        </w:rPr>
        <w:t>means</w:t>
      </w:r>
      <w:r>
        <w:t xml:space="preserve"> </w:t>
      </w:r>
      <w:r>
        <w:rPr>
          <w:spacing w:val="-1"/>
        </w:rPr>
        <w:t>that</w:t>
      </w:r>
      <w:r>
        <w:t xml:space="preserve"> a </w:t>
      </w:r>
      <w:r>
        <w:rPr>
          <w:spacing w:val="-1"/>
        </w:rPr>
        <w:t>ten-year</w:t>
      </w:r>
      <w:r>
        <w:t xml:space="preserve"> </w:t>
      </w:r>
      <w:r>
        <w:rPr>
          <w:spacing w:val="-2"/>
        </w:rPr>
        <w:t>rate</w:t>
      </w:r>
      <w:r>
        <w:t xml:space="preserve"> must be</w:t>
      </w:r>
      <w:r>
        <w:rPr>
          <w:spacing w:val="45"/>
        </w:rPr>
        <w:t xml:space="preserve"> </w:t>
      </w:r>
      <w:r>
        <w:rPr>
          <w:spacing w:val="-1"/>
        </w:rPr>
        <w:t>estimated</w:t>
      </w:r>
      <w:r>
        <w:t xml:space="preserve"> using</w:t>
      </w:r>
      <w:r>
        <w:rPr>
          <w:spacing w:val="1"/>
        </w:rPr>
        <w:t xml:space="preserve"> </w:t>
      </w:r>
      <w:r>
        <w:t>some</w:t>
      </w:r>
      <w:r>
        <w:rPr>
          <w:spacing w:val="1"/>
        </w:rPr>
        <w:t xml:space="preserve"> </w:t>
      </w:r>
      <w:r>
        <w:t>form of</w:t>
      </w:r>
      <w:r>
        <w:rPr>
          <w:spacing w:val="5"/>
        </w:rPr>
        <w:t xml:space="preserve"> </w:t>
      </w:r>
      <w:r>
        <w:rPr>
          <w:spacing w:val="-1"/>
        </w:rPr>
        <w:t>extrapolation.</w:t>
      </w:r>
      <w:r>
        <w:rPr>
          <w:spacing w:val="-1"/>
          <w:position w:val="7"/>
          <w:sz w:val="11"/>
        </w:rPr>
        <w:t>261</w:t>
      </w:r>
      <w:r>
        <w:rPr>
          <w:spacing w:val="18"/>
          <w:position w:val="7"/>
          <w:sz w:val="11"/>
        </w:rPr>
        <w:t xml:space="preserve"> </w:t>
      </w:r>
      <w:r>
        <w:rPr>
          <w:spacing w:val="-2"/>
        </w:rPr>
        <w:t>The</w:t>
      </w:r>
      <w:r>
        <w:rPr>
          <w:spacing w:val="1"/>
        </w:rPr>
        <w:t xml:space="preserve"> </w:t>
      </w:r>
      <w:r>
        <w:t>RBA</w:t>
      </w:r>
      <w:r>
        <w:rPr>
          <w:spacing w:val="-4"/>
        </w:rPr>
        <w:t xml:space="preserve"> </w:t>
      </w:r>
      <w:r>
        <w:t>series,</w:t>
      </w:r>
      <w:r>
        <w:rPr>
          <w:spacing w:val="-6"/>
        </w:rPr>
        <w:t xml:space="preserve"> </w:t>
      </w:r>
      <w:r>
        <w:t>on</w:t>
      </w:r>
      <w:r>
        <w:rPr>
          <w:spacing w:val="1"/>
        </w:rPr>
        <w:t xml:space="preserve"> </w:t>
      </w:r>
      <w:r>
        <w:t>the other</w:t>
      </w:r>
      <w:r>
        <w:rPr>
          <w:spacing w:val="1"/>
        </w:rPr>
        <w:t xml:space="preserve"> </w:t>
      </w:r>
      <w:r>
        <w:t>hand,</w:t>
      </w:r>
      <w:r>
        <w:rPr>
          <w:spacing w:val="-5"/>
        </w:rPr>
        <w:t xml:space="preserve"> </w:t>
      </w:r>
      <w:r>
        <w:t>has a</w:t>
      </w:r>
      <w:r>
        <w:rPr>
          <w:spacing w:val="1"/>
        </w:rPr>
        <w:t xml:space="preserve"> </w:t>
      </w:r>
      <w:r>
        <w:t>ten</w:t>
      </w:r>
      <w:r>
        <w:rPr>
          <w:spacing w:val="1"/>
        </w:rPr>
        <w:t xml:space="preserve"> </w:t>
      </w:r>
      <w:r>
        <w:rPr>
          <w:spacing w:val="-1"/>
        </w:rPr>
        <w:t>year</w:t>
      </w:r>
      <w:r>
        <w:rPr>
          <w:spacing w:val="1"/>
        </w:rPr>
        <w:t xml:space="preserve"> </w:t>
      </w:r>
      <w:r>
        <w:t>BBB</w:t>
      </w:r>
      <w:r>
        <w:rPr>
          <w:spacing w:val="43"/>
        </w:rPr>
        <w:t xml:space="preserve"> </w:t>
      </w:r>
      <w:r>
        <w:rPr>
          <w:spacing w:val="-1"/>
        </w:rPr>
        <w:t>corporate</w:t>
      </w:r>
      <w:r>
        <w:t xml:space="preserve"> bond series.</w:t>
      </w:r>
    </w:p>
    <w:p w:rsidR="00D96B91" w:rsidRDefault="00C2656B">
      <w:pPr>
        <w:pStyle w:val="BodyText"/>
        <w:spacing w:before="170" w:line="250" w:lineRule="exact"/>
        <w:ind w:right="1349"/>
        <w:rPr>
          <w:sz w:val="11"/>
          <w:szCs w:val="11"/>
        </w:rPr>
      </w:pPr>
      <w:r>
        <w:t>In its SOFC,</w:t>
      </w:r>
      <w:r>
        <w:rPr>
          <w:spacing w:val="-10"/>
        </w:rPr>
        <w:t xml:space="preserve"> </w:t>
      </w:r>
      <w:r>
        <w:rPr>
          <w:spacing w:val="-2"/>
        </w:rPr>
        <w:t>ACTEW</w:t>
      </w:r>
      <w:r>
        <w:rPr>
          <w:spacing w:val="-3"/>
        </w:rPr>
        <w:t xml:space="preserve"> </w:t>
      </w:r>
      <w:r>
        <w:rPr>
          <w:spacing w:val="-1"/>
        </w:rPr>
        <w:t>proposed</w:t>
      </w:r>
      <w:r>
        <w:t xml:space="preserve"> </w:t>
      </w:r>
      <w:r>
        <w:rPr>
          <w:spacing w:val="-1"/>
        </w:rPr>
        <w:t>that</w:t>
      </w:r>
      <w:r>
        <w:t xml:space="preserve"> the </w:t>
      </w:r>
      <w:r>
        <w:rPr>
          <w:spacing w:val="-1"/>
        </w:rPr>
        <w:t>10-year</w:t>
      </w:r>
      <w:r>
        <w:t xml:space="preserve"> debt </w:t>
      </w:r>
      <w:r>
        <w:rPr>
          <w:spacing w:val="-1"/>
        </w:rPr>
        <w:t>margin</w:t>
      </w:r>
      <w:r>
        <w:t xml:space="preserve"> be </w:t>
      </w:r>
      <w:r>
        <w:rPr>
          <w:spacing w:val="-1"/>
        </w:rPr>
        <w:t>calculated</w:t>
      </w:r>
      <w:r>
        <w:t xml:space="preserve"> using the </w:t>
      </w:r>
      <w:r>
        <w:rPr>
          <w:spacing w:val="-1"/>
        </w:rPr>
        <w:t>Bloomberg</w:t>
      </w:r>
      <w:r>
        <w:t xml:space="preserve"> </w:t>
      </w:r>
      <w:r>
        <w:rPr>
          <w:spacing w:val="-1"/>
        </w:rPr>
        <w:t>data</w:t>
      </w:r>
      <w:r>
        <w:rPr>
          <w:spacing w:val="65"/>
        </w:rPr>
        <w:t xml:space="preserve"> </w:t>
      </w:r>
      <w:r>
        <w:t>series.</w:t>
      </w:r>
      <w:r>
        <w:rPr>
          <w:spacing w:val="-7"/>
        </w:rPr>
        <w:t xml:space="preserve"> </w:t>
      </w:r>
      <w:r>
        <w:rPr>
          <w:spacing w:val="-1"/>
        </w:rPr>
        <w:t>Specifically,</w:t>
      </w:r>
      <w:r>
        <w:rPr>
          <w:spacing w:val="-11"/>
        </w:rPr>
        <w:t xml:space="preserve"> </w:t>
      </w:r>
      <w:r>
        <w:rPr>
          <w:spacing w:val="-2"/>
        </w:rPr>
        <w:t>ACTEW</w:t>
      </w:r>
      <w:r>
        <w:rPr>
          <w:spacing w:val="-3"/>
        </w:rPr>
        <w:t xml:space="preserve"> </w:t>
      </w:r>
      <w:r>
        <w:rPr>
          <w:spacing w:val="-1"/>
        </w:rPr>
        <w:t xml:space="preserve">proposed that </w:t>
      </w:r>
      <w:r>
        <w:rPr>
          <w:spacing w:val="-2"/>
        </w:rPr>
        <w:t>Bloomberg’s</w:t>
      </w:r>
      <w:r>
        <w:rPr>
          <w:spacing w:val="-1"/>
        </w:rPr>
        <w:t xml:space="preserve"> </w:t>
      </w:r>
      <w:r>
        <w:t xml:space="preserve">7 </w:t>
      </w:r>
      <w:r>
        <w:rPr>
          <w:spacing w:val="-1"/>
        </w:rPr>
        <w:t xml:space="preserve">year </w:t>
      </w:r>
      <w:r>
        <w:t>fair</w:t>
      </w:r>
      <w:r>
        <w:rPr>
          <w:spacing w:val="-1"/>
        </w:rPr>
        <w:t xml:space="preserve"> </w:t>
      </w:r>
      <w:r>
        <w:t>value</w:t>
      </w:r>
      <w:r>
        <w:rPr>
          <w:spacing w:val="-1"/>
        </w:rPr>
        <w:t xml:space="preserve"> </w:t>
      </w:r>
      <w:r>
        <w:t>curve be</w:t>
      </w:r>
      <w:r>
        <w:rPr>
          <w:spacing w:val="-1"/>
        </w:rPr>
        <w:t xml:space="preserve"> extrapolated </w:t>
      </w:r>
      <w:r>
        <w:t>out</w:t>
      </w:r>
      <w:r>
        <w:rPr>
          <w:spacing w:val="-1"/>
        </w:rPr>
        <w:t xml:space="preserve"> </w:t>
      </w:r>
      <w:r>
        <w:t>to</w:t>
      </w:r>
      <w:r>
        <w:rPr>
          <w:spacing w:val="61"/>
        </w:rPr>
        <w:t xml:space="preserve"> </w:t>
      </w:r>
      <w:r>
        <w:t xml:space="preserve">10 </w:t>
      </w:r>
      <w:r>
        <w:rPr>
          <w:spacing w:val="-1"/>
        </w:rPr>
        <w:t>years</w:t>
      </w:r>
      <w:r>
        <w:t xml:space="preserve"> by adding the </w:t>
      </w:r>
      <w:r>
        <w:rPr>
          <w:spacing w:val="-1"/>
        </w:rPr>
        <w:t>difference</w:t>
      </w:r>
      <w:r>
        <w:t xml:space="preserve"> between </w:t>
      </w:r>
      <w:r>
        <w:rPr>
          <w:spacing w:val="-1"/>
        </w:rPr>
        <w:t>7-year</w:t>
      </w:r>
      <w:r>
        <w:t xml:space="preserve"> and 10- </w:t>
      </w:r>
      <w:r>
        <w:rPr>
          <w:spacing w:val="-1"/>
        </w:rPr>
        <w:t>year</w:t>
      </w:r>
      <w:r>
        <w:t xml:space="preserve"> </w:t>
      </w:r>
      <w:r>
        <w:rPr>
          <w:spacing w:val="-1"/>
        </w:rPr>
        <w:t>Commonwealth</w:t>
      </w:r>
      <w:r>
        <w:t xml:space="preserve"> Government yields to</w:t>
      </w:r>
      <w:r>
        <w:rPr>
          <w:spacing w:val="37"/>
        </w:rPr>
        <w:t xml:space="preserve"> </w:t>
      </w:r>
      <w:r>
        <w:t xml:space="preserve">the </w:t>
      </w:r>
      <w:r>
        <w:rPr>
          <w:spacing w:val="-1"/>
        </w:rPr>
        <w:t>7-year</w:t>
      </w:r>
      <w:r>
        <w:t xml:space="preserve"> fair value </w:t>
      </w:r>
      <w:r>
        <w:rPr>
          <w:spacing w:val="-1"/>
        </w:rPr>
        <w:t>rate.</w:t>
      </w:r>
      <w:r>
        <w:rPr>
          <w:spacing w:val="-6"/>
        </w:rPr>
        <w:t xml:space="preserve"> </w:t>
      </w:r>
      <w:r>
        <w:t xml:space="preserve">In the </w:t>
      </w:r>
      <w:r>
        <w:rPr>
          <w:spacing w:val="-4"/>
        </w:rPr>
        <w:t>Panel’s</w:t>
      </w:r>
      <w:r>
        <w:t xml:space="preserve"> </w:t>
      </w:r>
      <w:r>
        <w:rPr>
          <w:spacing w:val="-2"/>
        </w:rPr>
        <w:t>view,</w:t>
      </w:r>
      <w:r>
        <w:rPr>
          <w:spacing w:val="-6"/>
        </w:rPr>
        <w:t xml:space="preserve"> </w:t>
      </w:r>
      <w:r>
        <w:rPr>
          <w:spacing w:val="-1"/>
        </w:rPr>
        <w:t>there</w:t>
      </w:r>
      <w:r>
        <w:t xml:space="preserve"> </w:t>
      </w:r>
      <w:r>
        <w:rPr>
          <w:spacing w:val="-2"/>
        </w:rPr>
        <w:t>are</w:t>
      </w:r>
      <w:r>
        <w:t xml:space="preserve"> </w:t>
      </w:r>
      <w:r>
        <w:rPr>
          <w:spacing w:val="-1"/>
        </w:rPr>
        <w:t>several</w:t>
      </w:r>
      <w:r>
        <w:t xml:space="preserve"> issues with</w:t>
      </w:r>
      <w:r>
        <w:rPr>
          <w:spacing w:val="-4"/>
        </w:rPr>
        <w:t xml:space="preserve"> </w:t>
      </w:r>
      <w:r>
        <w:rPr>
          <w:spacing w:val="-2"/>
        </w:rPr>
        <w:t>ACTEW’s</w:t>
      </w:r>
      <w:r>
        <w:t xml:space="preserve"> </w:t>
      </w:r>
      <w:r>
        <w:rPr>
          <w:spacing w:val="-1"/>
        </w:rPr>
        <w:t>proposal,</w:t>
      </w:r>
      <w:r>
        <w:rPr>
          <w:spacing w:val="-6"/>
        </w:rPr>
        <w:t xml:space="preserve"> </w:t>
      </w:r>
      <w:r>
        <w:t>one of</w:t>
      </w:r>
      <w:r>
        <w:rPr>
          <w:spacing w:val="4"/>
        </w:rPr>
        <w:t xml:space="preserve"> </w:t>
      </w:r>
      <w:r>
        <w:t>the</w:t>
      </w:r>
      <w:r>
        <w:rPr>
          <w:spacing w:val="51"/>
        </w:rPr>
        <w:t xml:space="preserve"> </w:t>
      </w:r>
      <w:r>
        <w:rPr>
          <w:spacing w:val="-1"/>
        </w:rPr>
        <w:t xml:space="preserve">more </w:t>
      </w:r>
      <w:r>
        <w:t>significant</w:t>
      </w:r>
      <w:r>
        <w:rPr>
          <w:spacing w:val="-1"/>
        </w:rPr>
        <w:t xml:space="preserve"> </w:t>
      </w:r>
      <w:r>
        <w:t>of</w:t>
      </w:r>
      <w:r>
        <w:rPr>
          <w:spacing w:val="4"/>
        </w:rPr>
        <w:t xml:space="preserve"> </w:t>
      </w:r>
      <w:r>
        <w:t>which</w:t>
      </w:r>
      <w:r>
        <w:rPr>
          <w:spacing w:val="-1"/>
        </w:rPr>
        <w:t xml:space="preserve"> </w:t>
      </w:r>
      <w:r>
        <w:t>is</w:t>
      </w:r>
      <w:r>
        <w:rPr>
          <w:spacing w:val="-1"/>
        </w:rPr>
        <w:t xml:space="preserve"> that</w:t>
      </w:r>
      <w:r>
        <w:t xml:space="preserve"> debt</w:t>
      </w:r>
      <w:r>
        <w:rPr>
          <w:spacing w:val="-1"/>
        </w:rPr>
        <w:t xml:space="preserve"> margin estimates</w:t>
      </w:r>
      <w:r>
        <w:t xml:space="preserve"> may</w:t>
      </w:r>
      <w:r>
        <w:rPr>
          <w:spacing w:val="-1"/>
        </w:rPr>
        <w:t xml:space="preserve"> </w:t>
      </w:r>
      <w:r>
        <w:t>be subject</w:t>
      </w:r>
      <w:r>
        <w:rPr>
          <w:spacing w:val="-1"/>
        </w:rPr>
        <w:t xml:space="preserve"> </w:t>
      </w:r>
      <w:r>
        <w:t>to</w:t>
      </w:r>
      <w:r>
        <w:rPr>
          <w:spacing w:val="-1"/>
        </w:rPr>
        <w:t xml:space="preserve"> estimation</w:t>
      </w:r>
      <w:r>
        <w:t xml:space="preserve"> </w:t>
      </w:r>
      <w:r>
        <w:rPr>
          <w:spacing w:val="-1"/>
        </w:rPr>
        <w:t>errors.</w:t>
      </w:r>
      <w:r>
        <w:rPr>
          <w:spacing w:val="-11"/>
        </w:rPr>
        <w:t xml:space="preserve"> </w:t>
      </w:r>
      <w:r>
        <w:t>Another</w:t>
      </w:r>
      <w:r>
        <w:rPr>
          <w:spacing w:val="43"/>
        </w:rPr>
        <w:t xml:space="preserve"> </w:t>
      </w:r>
      <w:r>
        <w:rPr>
          <w:rFonts w:cs="Avenir Next"/>
          <w:spacing w:val="-1"/>
        </w:rPr>
        <w:t>drawback</w:t>
      </w:r>
      <w:r>
        <w:rPr>
          <w:rFonts w:cs="Avenir Next"/>
        </w:rPr>
        <w:t xml:space="preserve"> of</w:t>
      </w:r>
      <w:r>
        <w:rPr>
          <w:rFonts w:cs="Avenir Next"/>
          <w:spacing w:val="4"/>
        </w:rPr>
        <w:t xml:space="preserve"> </w:t>
      </w:r>
      <w:r>
        <w:rPr>
          <w:rFonts w:cs="Avenir Next"/>
        </w:rPr>
        <w:t xml:space="preserve">this </w:t>
      </w:r>
      <w:r>
        <w:rPr>
          <w:rFonts w:cs="Avenir Next"/>
          <w:spacing w:val="-1"/>
        </w:rPr>
        <w:t>approach</w:t>
      </w:r>
      <w:r>
        <w:rPr>
          <w:rFonts w:cs="Avenir Next"/>
        </w:rPr>
        <w:t xml:space="preserve"> is </w:t>
      </w:r>
      <w:r>
        <w:rPr>
          <w:rFonts w:cs="Avenir Next"/>
          <w:spacing w:val="-1"/>
        </w:rPr>
        <w:t>that</w:t>
      </w:r>
      <w:r>
        <w:rPr>
          <w:rFonts w:cs="Avenir Next"/>
        </w:rPr>
        <w:t xml:space="preserve"> the debt </w:t>
      </w:r>
      <w:r>
        <w:rPr>
          <w:rFonts w:cs="Avenir Next"/>
          <w:spacing w:val="-1"/>
        </w:rPr>
        <w:t>margin</w:t>
      </w:r>
      <w:r>
        <w:rPr>
          <w:rFonts w:cs="Avenir Next"/>
        </w:rPr>
        <w:t xml:space="preserve"> </w:t>
      </w:r>
      <w:r>
        <w:rPr>
          <w:rFonts w:cs="Avenir Next"/>
          <w:spacing w:val="-1"/>
        </w:rPr>
        <w:t>estimate</w:t>
      </w:r>
      <w:r>
        <w:rPr>
          <w:rFonts w:cs="Avenir Next"/>
        </w:rPr>
        <w:t xml:space="preserve"> can </w:t>
      </w:r>
      <w:r>
        <w:rPr>
          <w:rFonts w:cs="Avenir Next"/>
          <w:spacing w:val="-1"/>
        </w:rPr>
        <w:t>differ</w:t>
      </w:r>
      <w:r>
        <w:rPr>
          <w:rFonts w:cs="Avenir Next"/>
        </w:rPr>
        <w:t xml:space="preserve"> depending on the </w:t>
      </w:r>
      <w:r>
        <w:rPr>
          <w:rFonts w:cs="Avenir Next"/>
          <w:spacing w:val="-1"/>
        </w:rPr>
        <w:t>extrapolation</w:t>
      </w:r>
      <w:r>
        <w:rPr>
          <w:rFonts w:cs="Avenir Next"/>
          <w:spacing w:val="53"/>
        </w:rPr>
        <w:t xml:space="preserve"> </w:t>
      </w:r>
      <w:r>
        <w:t>technique</w:t>
      </w:r>
      <w:r>
        <w:rPr>
          <w:spacing w:val="9"/>
        </w:rPr>
        <w:t xml:space="preserve"> </w:t>
      </w:r>
      <w:r>
        <w:rPr>
          <w:spacing w:val="-1"/>
        </w:rPr>
        <w:t>used.</w:t>
      </w:r>
      <w:r>
        <w:rPr>
          <w:spacing w:val="-1"/>
          <w:position w:val="7"/>
          <w:sz w:val="11"/>
          <w:szCs w:val="11"/>
        </w:rPr>
        <w:t>262</w:t>
      </w:r>
    </w:p>
    <w:p w:rsidR="00D96B91" w:rsidRDefault="00C2656B">
      <w:pPr>
        <w:pStyle w:val="BodyText"/>
        <w:spacing w:before="170" w:line="250" w:lineRule="exact"/>
        <w:ind w:right="1256"/>
        <w:rPr>
          <w:rFonts w:cs="Avenir Next"/>
        </w:rPr>
      </w:pPr>
      <w:r>
        <w:t xml:space="preserve">Given these </w:t>
      </w:r>
      <w:r>
        <w:rPr>
          <w:spacing w:val="-1"/>
        </w:rPr>
        <w:t>limitations,</w:t>
      </w:r>
      <w:r>
        <w:rPr>
          <w:spacing w:val="-6"/>
        </w:rPr>
        <w:t xml:space="preserve"> </w:t>
      </w:r>
      <w:r>
        <w:t xml:space="preserve">the </w:t>
      </w:r>
      <w:r>
        <w:rPr>
          <w:spacing w:val="-3"/>
        </w:rPr>
        <w:t>Panel</w:t>
      </w:r>
      <w:r>
        <w:t xml:space="preserve"> has used the RBA</w:t>
      </w:r>
      <w:r>
        <w:rPr>
          <w:spacing w:val="-4"/>
        </w:rPr>
        <w:t xml:space="preserve"> </w:t>
      </w:r>
      <w:r>
        <w:t>series.</w:t>
      </w:r>
      <w:r>
        <w:rPr>
          <w:spacing w:val="-11"/>
        </w:rPr>
        <w:t xml:space="preserve"> </w:t>
      </w:r>
      <w:r>
        <w:rPr>
          <w:spacing w:val="-2"/>
        </w:rPr>
        <w:t>The</w:t>
      </w:r>
      <w:r>
        <w:t xml:space="preserve"> advantages </w:t>
      </w:r>
      <w:r>
        <w:rPr>
          <w:spacing w:val="-1"/>
        </w:rPr>
        <w:t>that</w:t>
      </w:r>
      <w:r>
        <w:t xml:space="preserve"> the RBA</w:t>
      </w:r>
      <w:r>
        <w:rPr>
          <w:spacing w:val="-4"/>
        </w:rPr>
        <w:t xml:space="preserve"> </w:t>
      </w:r>
      <w:r>
        <w:t>series has over</w:t>
      </w:r>
      <w:r>
        <w:rPr>
          <w:spacing w:val="35"/>
        </w:rPr>
        <w:t xml:space="preserve"> </w:t>
      </w:r>
      <w:r>
        <w:t xml:space="preserve">the </w:t>
      </w:r>
      <w:r>
        <w:rPr>
          <w:spacing w:val="-1"/>
        </w:rPr>
        <w:t>Bloomberg</w:t>
      </w:r>
      <w:r>
        <w:t xml:space="preserve"> </w:t>
      </w:r>
      <w:r>
        <w:rPr>
          <w:spacing w:val="-1"/>
        </w:rPr>
        <w:t>extrapolation</w:t>
      </w:r>
      <w:r>
        <w:t xml:space="preserve"> </w:t>
      </w:r>
      <w:r>
        <w:rPr>
          <w:spacing w:val="-1"/>
        </w:rPr>
        <w:t>approach</w:t>
      </w:r>
      <w:r>
        <w:t xml:space="preserve"> </w:t>
      </w:r>
      <w:r>
        <w:rPr>
          <w:spacing w:val="-1"/>
        </w:rPr>
        <w:t>proposed</w:t>
      </w:r>
      <w:r>
        <w:t xml:space="preserve"> by</w:t>
      </w:r>
      <w:r>
        <w:rPr>
          <w:spacing w:val="-4"/>
        </w:rPr>
        <w:t xml:space="preserve"> </w:t>
      </w:r>
      <w:r>
        <w:rPr>
          <w:spacing w:val="-2"/>
        </w:rPr>
        <w:t>ACTEW</w:t>
      </w:r>
      <w:r>
        <w:rPr>
          <w:spacing w:val="-3"/>
        </w:rPr>
        <w:t xml:space="preserve"> </w:t>
      </w:r>
      <w:r>
        <w:rPr>
          <w:spacing w:val="-2"/>
        </w:rPr>
        <w:t>are</w:t>
      </w:r>
      <w:r>
        <w:t xml:space="preserve"> </w:t>
      </w:r>
      <w:r>
        <w:rPr>
          <w:spacing w:val="-1"/>
        </w:rPr>
        <w:t>that:</w:t>
      </w:r>
    </w:p>
    <w:p w:rsidR="00D96B91" w:rsidRDefault="00C2656B">
      <w:pPr>
        <w:pStyle w:val="BodyText"/>
        <w:numPr>
          <w:ilvl w:val="0"/>
          <w:numId w:val="131"/>
        </w:numPr>
        <w:tabs>
          <w:tab w:val="left" w:pos="1531"/>
        </w:tabs>
        <w:spacing w:before="170" w:line="250" w:lineRule="exact"/>
        <w:ind w:right="2158" w:hanging="283"/>
      </w:pPr>
      <w:r>
        <w:rPr>
          <w:rFonts w:cs="Avenir Next"/>
          <w:spacing w:val="-2"/>
        </w:rPr>
        <w:t>The</w:t>
      </w:r>
      <w:r>
        <w:rPr>
          <w:rFonts w:cs="Avenir Next"/>
        </w:rPr>
        <w:t xml:space="preserve"> </w:t>
      </w:r>
      <w:r>
        <w:rPr>
          <w:rFonts w:cs="Avenir Next"/>
          <w:spacing w:val="-5"/>
        </w:rPr>
        <w:t>RBA’s</w:t>
      </w:r>
      <w:r>
        <w:rPr>
          <w:rFonts w:cs="Avenir Next"/>
        </w:rPr>
        <w:t xml:space="preserve"> </w:t>
      </w:r>
      <w:r>
        <w:rPr>
          <w:rFonts w:cs="Avenir Next"/>
          <w:spacing w:val="-1"/>
        </w:rPr>
        <w:t>estimates</w:t>
      </w:r>
      <w:r>
        <w:rPr>
          <w:rFonts w:cs="Avenir Next"/>
        </w:rPr>
        <w:t xml:space="preserve"> </w:t>
      </w:r>
      <w:r>
        <w:rPr>
          <w:rFonts w:cs="Avenir Next"/>
          <w:spacing w:val="-2"/>
        </w:rPr>
        <w:t>are</w:t>
      </w:r>
      <w:r>
        <w:rPr>
          <w:rFonts w:cs="Avenir Next"/>
        </w:rPr>
        <w:t xml:space="preserve"> based on a </w:t>
      </w:r>
      <w:r>
        <w:rPr>
          <w:rFonts w:cs="Avenir Next"/>
          <w:spacing w:val="-1"/>
        </w:rPr>
        <w:t>transparent</w:t>
      </w:r>
      <w:r>
        <w:rPr>
          <w:rFonts w:cs="Avenir Next"/>
        </w:rPr>
        <w:t xml:space="preserve"> and </w:t>
      </w:r>
      <w:r>
        <w:rPr>
          <w:rFonts w:cs="Avenir Next"/>
          <w:spacing w:val="-1"/>
        </w:rPr>
        <w:t>robust</w:t>
      </w:r>
      <w:r>
        <w:rPr>
          <w:rFonts w:cs="Avenir Next"/>
        </w:rPr>
        <w:t xml:space="preserve"> methodology developed by an</w:t>
      </w:r>
      <w:r>
        <w:rPr>
          <w:rFonts w:cs="Avenir Next"/>
          <w:spacing w:val="41"/>
        </w:rPr>
        <w:t xml:space="preserve"> </w:t>
      </w:r>
      <w:r>
        <w:t xml:space="preserve">independent and </w:t>
      </w:r>
      <w:r>
        <w:rPr>
          <w:spacing w:val="-1"/>
        </w:rPr>
        <w:t>reputable</w:t>
      </w:r>
      <w:r>
        <w:t xml:space="preserve"> </w:t>
      </w:r>
      <w:r>
        <w:rPr>
          <w:spacing w:val="-1"/>
        </w:rPr>
        <w:t>third</w:t>
      </w:r>
      <w:r>
        <w:t xml:space="preserve"> </w:t>
      </w:r>
      <w:r>
        <w:rPr>
          <w:spacing w:val="-2"/>
        </w:rPr>
        <w:t>party.</w:t>
      </w:r>
    </w:p>
    <w:p w:rsidR="00D96B91" w:rsidRDefault="00C2656B">
      <w:pPr>
        <w:pStyle w:val="BodyText"/>
        <w:numPr>
          <w:ilvl w:val="0"/>
          <w:numId w:val="131"/>
        </w:numPr>
        <w:tabs>
          <w:tab w:val="left" w:pos="1531"/>
        </w:tabs>
        <w:spacing w:before="85" w:line="250" w:lineRule="exact"/>
        <w:ind w:right="2138" w:hanging="283"/>
      </w:pPr>
      <w:r>
        <w:rPr>
          <w:rFonts w:cs="Avenir Next"/>
          <w:spacing w:val="-2"/>
        </w:rPr>
        <w:t>The</w:t>
      </w:r>
      <w:r>
        <w:rPr>
          <w:rFonts w:cs="Avenir Next"/>
        </w:rPr>
        <w:t xml:space="preserve"> </w:t>
      </w:r>
      <w:r>
        <w:rPr>
          <w:rFonts w:cs="Avenir Next"/>
          <w:spacing w:val="-5"/>
        </w:rPr>
        <w:t>RBA’s</w:t>
      </w:r>
      <w:r>
        <w:rPr>
          <w:rFonts w:cs="Avenir Next"/>
        </w:rPr>
        <w:t xml:space="preserve"> </w:t>
      </w:r>
      <w:r>
        <w:rPr>
          <w:rFonts w:cs="Avenir Next"/>
          <w:spacing w:val="-1"/>
        </w:rPr>
        <w:t>estimates</w:t>
      </w:r>
      <w:r>
        <w:rPr>
          <w:rFonts w:cs="Avenir Next"/>
        </w:rPr>
        <w:t xml:space="preserve"> </w:t>
      </w:r>
      <w:r>
        <w:rPr>
          <w:rFonts w:cs="Avenir Next"/>
          <w:spacing w:val="-2"/>
        </w:rPr>
        <w:t>are</w:t>
      </w:r>
      <w:r>
        <w:rPr>
          <w:rFonts w:cs="Avenir Next"/>
        </w:rPr>
        <w:t xml:space="preserve"> based on a </w:t>
      </w:r>
      <w:r>
        <w:rPr>
          <w:rFonts w:cs="Avenir Next"/>
          <w:spacing w:val="-1"/>
        </w:rPr>
        <w:t>broad</w:t>
      </w:r>
      <w:r>
        <w:rPr>
          <w:rFonts w:cs="Avenir Next"/>
        </w:rPr>
        <w:t xml:space="preserve"> sample,</w:t>
      </w:r>
      <w:r>
        <w:rPr>
          <w:rFonts w:cs="Avenir Next"/>
          <w:spacing w:val="-7"/>
        </w:rPr>
        <w:t xml:space="preserve"> </w:t>
      </w:r>
      <w:r>
        <w:rPr>
          <w:rFonts w:cs="Avenir Next"/>
        </w:rPr>
        <w:t>including bullet bonds and bonds with</w:t>
      </w:r>
      <w:r>
        <w:rPr>
          <w:rFonts w:cs="Avenir Next"/>
          <w:spacing w:val="31"/>
        </w:rPr>
        <w:t xml:space="preserve"> </w:t>
      </w:r>
      <w:r>
        <w:t>embedded</w:t>
      </w:r>
      <w:r>
        <w:rPr>
          <w:spacing w:val="-2"/>
        </w:rPr>
        <w:t xml:space="preserve"> </w:t>
      </w:r>
      <w:r>
        <w:t>options</w:t>
      </w:r>
      <w:r>
        <w:rPr>
          <w:spacing w:val="-1"/>
        </w:rPr>
        <w:t xml:space="preserve"> </w:t>
      </w:r>
      <w:r>
        <w:t>issued</w:t>
      </w:r>
      <w:r>
        <w:rPr>
          <w:spacing w:val="-1"/>
        </w:rPr>
        <w:t xml:space="preserve"> </w:t>
      </w:r>
      <w:r>
        <w:t>by</w:t>
      </w:r>
      <w:r>
        <w:rPr>
          <w:spacing w:val="-5"/>
        </w:rPr>
        <w:t xml:space="preserve"> </w:t>
      </w:r>
      <w:r>
        <w:rPr>
          <w:spacing w:val="-1"/>
        </w:rPr>
        <w:t xml:space="preserve">Australian </w:t>
      </w:r>
      <w:r>
        <w:t>non-finance</w:t>
      </w:r>
      <w:r>
        <w:rPr>
          <w:spacing w:val="-2"/>
        </w:rPr>
        <w:t xml:space="preserve"> </w:t>
      </w:r>
      <w:r>
        <w:rPr>
          <w:spacing w:val="-1"/>
        </w:rPr>
        <w:t xml:space="preserve">corporations </w:t>
      </w:r>
      <w:r>
        <w:t>(NFCs)</w:t>
      </w:r>
      <w:r>
        <w:rPr>
          <w:spacing w:val="-1"/>
        </w:rPr>
        <w:t xml:space="preserve"> </w:t>
      </w:r>
      <w:r>
        <w:t>domestically</w:t>
      </w:r>
      <w:r>
        <w:rPr>
          <w:spacing w:val="-1"/>
        </w:rPr>
        <w:t xml:space="preserve"> </w:t>
      </w:r>
      <w:r>
        <w:t>and</w:t>
      </w:r>
      <w:r>
        <w:rPr>
          <w:spacing w:val="29"/>
        </w:rPr>
        <w:t xml:space="preserve"> </w:t>
      </w:r>
      <w:r>
        <w:rPr>
          <w:spacing w:val="-1"/>
        </w:rPr>
        <w:t>internationally.</w:t>
      </w:r>
    </w:p>
    <w:p w:rsidR="00D96B91" w:rsidRDefault="00C2656B">
      <w:pPr>
        <w:pStyle w:val="BodyText"/>
        <w:numPr>
          <w:ilvl w:val="0"/>
          <w:numId w:val="131"/>
        </w:numPr>
        <w:tabs>
          <w:tab w:val="left" w:pos="1531"/>
        </w:tabs>
        <w:spacing w:before="85" w:line="250" w:lineRule="exact"/>
        <w:ind w:right="1480" w:hanging="283"/>
      </w:pPr>
      <w:r>
        <w:rPr>
          <w:spacing w:val="-2"/>
        </w:rPr>
        <w:t>The</w:t>
      </w:r>
      <w:r>
        <w:t xml:space="preserve"> RBA</w:t>
      </w:r>
      <w:r>
        <w:rPr>
          <w:spacing w:val="-4"/>
        </w:rPr>
        <w:t xml:space="preserve"> </w:t>
      </w:r>
      <w:r>
        <w:t xml:space="preserve">assigns weights to every </w:t>
      </w:r>
      <w:r>
        <w:rPr>
          <w:spacing w:val="-1"/>
        </w:rPr>
        <w:t>observation</w:t>
      </w:r>
      <w:r>
        <w:t xml:space="preserve"> in the </w:t>
      </w:r>
      <w:r>
        <w:rPr>
          <w:spacing w:val="-1"/>
        </w:rPr>
        <w:t>cross-section</w:t>
      </w:r>
      <w:r>
        <w:t xml:space="preserve"> depending on the distance of</w:t>
      </w:r>
      <w:r>
        <w:rPr>
          <w:spacing w:val="39"/>
        </w:rPr>
        <w:t xml:space="preserve"> </w:t>
      </w:r>
      <w:r>
        <w:t xml:space="preserve">the </w:t>
      </w:r>
      <w:r>
        <w:rPr>
          <w:spacing w:val="-1"/>
        </w:rPr>
        <w:t>observation’s</w:t>
      </w:r>
      <w:r>
        <w:t xml:space="preserve"> </w:t>
      </w:r>
      <w:r>
        <w:rPr>
          <w:spacing w:val="-1"/>
        </w:rPr>
        <w:t>residual</w:t>
      </w:r>
      <w:r>
        <w:t xml:space="preserve"> </w:t>
      </w:r>
      <w:r>
        <w:rPr>
          <w:spacing w:val="-1"/>
        </w:rPr>
        <w:t>maturity</w:t>
      </w:r>
      <w:r>
        <w:t xml:space="preserve"> and the </w:t>
      </w:r>
      <w:r>
        <w:rPr>
          <w:spacing w:val="-1"/>
        </w:rPr>
        <w:t>target</w:t>
      </w:r>
      <w:r>
        <w:t xml:space="preserve"> tenor (eg,</w:t>
      </w:r>
      <w:r>
        <w:rPr>
          <w:spacing w:val="-6"/>
        </w:rPr>
        <w:t xml:space="preserve"> </w:t>
      </w:r>
      <w:r>
        <w:t xml:space="preserve">10 </w:t>
      </w:r>
      <w:r>
        <w:rPr>
          <w:spacing w:val="-1"/>
        </w:rPr>
        <w:t>years).</w:t>
      </w:r>
      <w:r>
        <w:rPr>
          <w:spacing w:val="-6"/>
        </w:rPr>
        <w:t xml:space="preserve"> </w:t>
      </w:r>
      <w:r>
        <w:t xml:space="preserve">In other </w:t>
      </w:r>
      <w:r>
        <w:rPr>
          <w:spacing w:val="-1"/>
        </w:rPr>
        <w:t>words,</w:t>
      </w:r>
      <w:r>
        <w:rPr>
          <w:spacing w:val="-6"/>
        </w:rPr>
        <w:t xml:space="preserve"> </w:t>
      </w:r>
      <w:r>
        <w:t>the closer</w:t>
      </w:r>
      <w:r>
        <w:rPr>
          <w:spacing w:val="41"/>
        </w:rPr>
        <w:t xml:space="preserve"> </w:t>
      </w:r>
      <w:r>
        <w:t xml:space="preserve">the </w:t>
      </w:r>
      <w:r>
        <w:rPr>
          <w:spacing w:val="-1"/>
        </w:rPr>
        <w:t>remaining</w:t>
      </w:r>
      <w:r>
        <w:t xml:space="preserve"> </w:t>
      </w:r>
      <w:r>
        <w:rPr>
          <w:spacing w:val="-1"/>
        </w:rPr>
        <w:t>term-to-maturity</w:t>
      </w:r>
      <w:r>
        <w:t xml:space="preserve"> of</w:t>
      </w:r>
      <w:r>
        <w:rPr>
          <w:spacing w:val="4"/>
        </w:rPr>
        <w:t xml:space="preserve"> </w:t>
      </w:r>
      <w:r>
        <w:t>a bond,</w:t>
      </w:r>
      <w:r>
        <w:rPr>
          <w:spacing w:val="-6"/>
        </w:rPr>
        <w:t xml:space="preserve"> </w:t>
      </w:r>
      <w:r>
        <w:t xml:space="preserve">the </w:t>
      </w:r>
      <w:r>
        <w:rPr>
          <w:spacing w:val="-1"/>
        </w:rPr>
        <w:t>more</w:t>
      </w:r>
      <w:r>
        <w:t xml:space="preserve"> weight is assigned to the bond.</w:t>
      </w:r>
      <w:r>
        <w:rPr>
          <w:spacing w:val="-11"/>
        </w:rPr>
        <w:t xml:space="preserve"> </w:t>
      </w:r>
      <w:r>
        <w:rPr>
          <w:spacing w:val="-1"/>
        </w:rPr>
        <w:t>This</w:t>
      </w:r>
      <w:r>
        <w:t xml:space="preserve"> </w:t>
      </w:r>
      <w:r>
        <w:rPr>
          <w:spacing w:val="-1"/>
        </w:rPr>
        <w:t>takes</w:t>
      </w:r>
      <w:r>
        <w:t xml:space="preserve"> into</w:t>
      </w:r>
    </w:p>
    <w:p w:rsidR="00D96B91" w:rsidRDefault="00C2656B">
      <w:pPr>
        <w:pStyle w:val="BodyText"/>
        <w:spacing w:before="9" w:line="228" w:lineRule="auto"/>
        <w:ind w:left="1530" w:right="1248"/>
      </w:pPr>
      <w:r>
        <w:t xml:space="preserve">account the fact </w:t>
      </w:r>
      <w:r>
        <w:rPr>
          <w:spacing w:val="-1"/>
        </w:rPr>
        <w:t>that</w:t>
      </w:r>
      <w:r>
        <w:t xml:space="preserve"> </w:t>
      </w:r>
      <w:r>
        <w:rPr>
          <w:spacing w:val="-1"/>
        </w:rPr>
        <w:t>there</w:t>
      </w:r>
      <w:r>
        <w:t xml:space="preserve"> </w:t>
      </w:r>
      <w:r>
        <w:rPr>
          <w:spacing w:val="-2"/>
        </w:rPr>
        <w:t>are</w:t>
      </w:r>
      <w:r>
        <w:t xml:space="preserve"> </w:t>
      </w:r>
      <w:r>
        <w:rPr>
          <w:spacing w:val="-1"/>
        </w:rPr>
        <w:t>generally</w:t>
      </w:r>
      <w:r>
        <w:t xml:space="preserve"> fewer long term bonds than </w:t>
      </w:r>
      <w:r>
        <w:rPr>
          <w:spacing w:val="-1"/>
        </w:rPr>
        <w:t>short</w:t>
      </w:r>
      <w:r>
        <w:t xml:space="preserve"> term bonds,</w:t>
      </w:r>
      <w:r>
        <w:rPr>
          <w:spacing w:val="-6"/>
        </w:rPr>
        <w:t xml:space="preserve"> </w:t>
      </w:r>
      <w:r>
        <w:t xml:space="preserve">and </w:t>
      </w:r>
      <w:r>
        <w:rPr>
          <w:spacing w:val="-1"/>
        </w:rPr>
        <w:t>results</w:t>
      </w:r>
      <w:r>
        <w:t xml:space="preserve"> in</w:t>
      </w:r>
      <w:r>
        <w:rPr>
          <w:spacing w:val="31"/>
        </w:rPr>
        <w:t xml:space="preserve"> </w:t>
      </w:r>
      <w:r>
        <w:t xml:space="preserve">the </w:t>
      </w:r>
      <w:r>
        <w:rPr>
          <w:spacing w:val="-1"/>
        </w:rPr>
        <w:t>effective</w:t>
      </w:r>
      <w:r>
        <w:t xml:space="preserve"> tenor of</w:t>
      </w:r>
      <w:r>
        <w:rPr>
          <w:spacing w:val="4"/>
        </w:rPr>
        <w:t xml:space="preserve"> </w:t>
      </w:r>
      <w:r>
        <w:t xml:space="preserve">the </w:t>
      </w:r>
      <w:r>
        <w:rPr>
          <w:spacing w:val="-1"/>
        </w:rPr>
        <w:t>10-year</w:t>
      </w:r>
      <w:r>
        <w:t xml:space="preserve"> benchmark bond being very close to 10 </w:t>
      </w:r>
      <w:r>
        <w:rPr>
          <w:spacing w:val="-1"/>
        </w:rPr>
        <w:t>years.</w:t>
      </w:r>
    </w:p>
    <w:p w:rsidR="00D96B91" w:rsidRDefault="00D96B91">
      <w:pPr>
        <w:rPr>
          <w:rFonts w:ascii="Avenir Next" w:eastAsia="Avenir Next" w:hAnsi="Avenir Next" w:cs="Avenir Next"/>
          <w:sz w:val="20"/>
          <w:szCs w:val="20"/>
        </w:rPr>
      </w:pPr>
    </w:p>
    <w:p w:rsidR="00D96B91" w:rsidRDefault="00D96B91">
      <w:pPr>
        <w:spacing w:before="11"/>
        <w:rPr>
          <w:rFonts w:ascii="Avenir Next" w:eastAsia="Avenir Next" w:hAnsi="Avenir Next" w:cs="Avenir Next"/>
          <w:sz w:val="13"/>
          <w:szCs w:val="13"/>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479" style="width:72.5pt;height:.5pt;mso-position-horizontal-relative:char;mso-position-vertical-relative:line" coordsize="1450,10">
            <v:group id="_x0000_s1480" style="position:absolute;left:5;top:5;width:1440;height:2" coordorigin="5,5" coordsize="1440,2">
              <v:shape id="_x0000_s1481"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571" w:hanging="510"/>
        <w:rPr>
          <w:rFonts w:ascii="Avenir Next" w:eastAsia="Avenir Next" w:hAnsi="Avenir Next" w:cs="Avenir Next"/>
          <w:sz w:val="16"/>
          <w:szCs w:val="16"/>
        </w:rPr>
      </w:pPr>
      <w:r>
        <w:rPr>
          <w:rFonts w:ascii="Avenir Next"/>
          <w:sz w:val="16"/>
        </w:rPr>
        <w:t>In</w:t>
      </w:r>
      <w:r>
        <w:rPr>
          <w:rFonts w:ascii="Avenir Next"/>
          <w:spacing w:val="-1"/>
          <w:sz w:val="16"/>
        </w:rPr>
        <w:t xml:space="preserve"> </w:t>
      </w:r>
      <w:r>
        <w:rPr>
          <w:rFonts w:ascii="Avenir Next"/>
          <w:sz w:val="16"/>
        </w:rPr>
        <w:t>December</w:t>
      </w:r>
      <w:r>
        <w:rPr>
          <w:rFonts w:ascii="Avenir Next"/>
          <w:spacing w:val="-1"/>
          <w:sz w:val="16"/>
        </w:rPr>
        <w:t xml:space="preserve"> </w:t>
      </w:r>
      <w:r>
        <w:rPr>
          <w:rFonts w:ascii="Avenir Next"/>
          <w:sz w:val="16"/>
        </w:rPr>
        <w:t>2013,</w:t>
      </w:r>
      <w:r>
        <w:rPr>
          <w:rFonts w:ascii="Avenir Next"/>
          <w:spacing w:val="-5"/>
          <w:sz w:val="16"/>
        </w:rPr>
        <w:t xml:space="preserve"> </w:t>
      </w:r>
      <w:r>
        <w:rPr>
          <w:rFonts w:ascii="Avenir Next"/>
          <w:sz w:val="16"/>
        </w:rPr>
        <w:t>the</w:t>
      </w:r>
      <w:r>
        <w:rPr>
          <w:rFonts w:ascii="Avenir Next"/>
          <w:spacing w:val="-1"/>
          <w:sz w:val="16"/>
        </w:rPr>
        <w:t xml:space="preserve"> </w:t>
      </w:r>
      <w:r>
        <w:rPr>
          <w:rFonts w:ascii="Avenir Next"/>
          <w:sz w:val="16"/>
        </w:rPr>
        <w:t>RBA</w:t>
      </w:r>
      <w:r>
        <w:rPr>
          <w:rFonts w:ascii="Avenir Next"/>
          <w:spacing w:val="-4"/>
          <w:sz w:val="16"/>
        </w:rPr>
        <w:t xml:space="preserve"> </w:t>
      </w:r>
      <w:r>
        <w:rPr>
          <w:rFonts w:ascii="Avenir Next"/>
          <w:spacing w:val="-1"/>
          <w:sz w:val="16"/>
        </w:rPr>
        <w:t>started</w:t>
      </w:r>
      <w:r>
        <w:rPr>
          <w:rFonts w:ascii="Avenir Next"/>
          <w:sz w:val="16"/>
        </w:rPr>
        <w:t xml:space="preserve"> publishing</w:t>
      </w:r>
      <w:r>
        <w:rPr>
          <w:rFonts w:ascii="Avenir Next"/>
          <w:spacing w:val="-1"/>
          <w:sz w:val="16"/>
        </w:rPr>
        <w:t xml:space="preserve"> </w:t>
      </w:r>
      <w:r>
        <w:rPr>
          <w:rFonts w:ascii="Avenir Next"/>
          <w:sz w:val="16"/>
        </w:rPr>
        <w:t xml:space="preserve">monthly </w:t>
      </w:r>
      <w:r>
        <w:rPr>
          <w:rFonts w:ascii="Avenir Next"/>
          <w:spacing w:val="-1"/>
          <w:sz w:val="16"/>
        </w:rPr>
        <w:t xml:space="preserve">credit spreads </w:t>
      </w:r>
      <w:r>
        <w:rPr>
          <w:rFonts w:ascii="Avenir Next"/>
          <w:sz w:val="16"/>
        </w:rPr>
        <w:t>of</w:t>
      </w:r>
      <w:r>
        <w:rPr>
          <w:rFonts w:ascii="Avenir Next"/>
          <w:spacing w:val="3"/>
          <w:sz w:val="16"/>
        </w:rPr>
        <w:t xml:space="preserve"> </w:t>
      </w:r>
      <w:r>
        <w:rPr>
          <w:rFonts w:ascii="Avenir Next"/>
          <w:sz w:val="16"/>
        </w:rPr>
        <w:t>bonds</w:t>
      </w:r>
      <w:r>
        <w:rPr>
          <w:rFonts w:ascii="Avenir Next"/>
          <w:spacing w:val="-1"/>
          <w:sz w:val="16"/>
        </w:rPr>
        <w:t xml:space="preserve"> </w:t>
      </w:r>
      <w:r>
        <w:rPr>
          <w:rFonts w:ascii="Avenir Next"/>
          <w:sz w:val="16"/>
        </w:rPr>
        <w:t>issued</w:t>
      </w:r>
      <w:r>
        <w:rPr>
          <w:rFonts w:ascii="Avenir Next"/>
          <w:spacing w:val="-1"/>
          <w:sz w:val="16"/>
        </w:rPr>
        <w:t xml:space="preserve"> </w:t>
      </w:r>
      <w:r>
        <w:rPr>
          <w:rFonts w:ascii="Avenir Next"/>
          <w:sz w:val="16"/>
        </w:rPr>
        <w:t>by</w:t>
      </w:r>
      <w:r>
        <w:rPr>
          <w:rFonts w:ascii="Avenir Next"/>
          <w:spacing w:val="-3"/>
          <w:sz w:val="16"/>
        </w:rPr>
        <w:t xml:space="preserve"> </w:t>
      </w:r>
      <w:r>
        <w:rPr>
          <w:rFonts w:ascii="Avenir Next"/>
          <w:spacing w:val="-1"/>
          <w:sz w:val="16"/>
        </w:rPr>
        <w:t xml:space="preserve">Australian </w:t>
      </w:r>
      <w:r>
        <w:rPr>
          <w:rFonts w:ascii="Avenir Next"/>
          <w:sz w:val="16"/>
        </w:rPr>
        <w:t>non-financial</w:t>
      </w:r>
      <w:r>
        <w:rPr>
          <w:rFonts w:ascii="Avenir Next"/>
          <w:spacing w:val="39"/>
          <w:w w:val="99"/>
          <w:sz w:val="16"/>
        </w:rPr>
        <w:t xml:space="preserve"> </w:t>
      </w:r>
      <w:r>
        <w:rPr>
          <w:rFonts w:ascii="Avenir Next"/>
          <w:spacing w:val="-1"/>
          <w:sz w:val="16"/>
        </w:rPr>
        <w:t>corporations</w:t>
      </w:r>
      <w:r>
        <w:rPr>
          <w:rFonts w:ascii="Avenir Next"/>
          <w:sz w:val="16"/>
        </w:rPr>
        <w:t xml:space="preserve"> (NFC) with </w:t>
      </w:r>
      <w:r>
        <w:rPr>
          <w:rFonts w:ascii="Avenir Next"/>
          <w:spacing w:val="-1"/>
          <w:sz w:val="16"/>
        </w:rPr>
        <w:t>maturities</w:t>
      </w:r>
      <w:r>
        <w:rPr>
          <w:rFonts w:ascii="Avenir Next"/>
          <w:sz w:val="16"/>
        </w:rPr>
        <w:t xml:space="preserve"> </w:t>
      </w:r>
      <w:r>
        <w:rPr>
          <w:rFonts w:ascii="Avenir Next"/>
          <w:spacing w:val="-1"/>
          <w:sz w:val="16"/>
        </w:rPr>
        <w:t>ranging</w:t>
      </w:r>
      <w:r>
        <w:rPr>
          <w:rFonts w:ascii="Avenir Next"/>
          <w:sz w:val="16"/>
        </w:rPr>
        <w:t xml:space="preserve"> </w:t>
      </w:r>
      <w:r>
        <w:rPr>
          <w:rFonts w:ascii="Avenir Next"/>
          <w:spacing w:val="-1"/>
          <w:sz w:val="16"/>
        </w:rPr>
        <w:t>from</w:t>
      </w:r>
      <w:r>
        <w:rPr>
          <w:rFonts w:ascii="Avenir Next"/>
          <w:sz w:val="16"/>
        </w:rPr>
        <w:t xml:space="preserve"> 1 to 10 </w:t>
      </w:r>
      <w:r>
        <w:rPr>
          <w:rFonts w:ascii="Avenir Next"/>
          <w:spacing w:val="-1"/>
          <w:sz w:val="16"/>
        </w:rPr>
        <w:t>years</w:t>
      </w:r>
      <w:r>
        <w:rPr>
          <w:rFonts w:ascii="Avenir Next"/>
          <w:sz w:val="16"/>
        </w:rPr>
        <w:t xml:space="preserve"> and </w:t>
      </w:r>
      <w:r>
        <w:rPr>
          <w:rFonts w:ascii="Avenir Next"/>
          <w:spacing w:val="-1"/>
          <w:sz w:val="16"/>
        </w:rPr>
        <w:t>different</w:t>
      </w:r>
      <w:r>
        <w:rPr>
          <w:rFonts w:ascii="Avenir Next"/>
          <w:sz w:val="16"/>
        </w:rPr>
        <w:t xml:space="preserve"> </w:t>
      </w:r>
      <w:r>
        <w:rPr>
          <w:rFonts w:ascii="Avenir Next"/>
          <w:spacing w:val="-1"/>
          <w:sz w:val="16"/>
        </w:rPr>
        <w:t>credit</w:t>
      </w:r>
      <w:r>
        <w:rPr>
          <w:rFonts w:ascii="Avenir Next"/>
          <w:sz w:val="16"/>
        </w:rPr>
        <w:t xml:space="preserve"> </w:t>
      </w:r>
      <w:r>
        <w:rPr>
          <w:rFonts w:ascii="Avenir Next"/>
          <w:spacing w:val="-1"/>
          <w:sz w:val="16"/>
        </w:rPr>
        <w:t>ratings.</w:t>
      </w:r>
      <w:r>
        <w:rPr>
          <w:rFonts w:ascii="Avenir Next"/>
          <w:spacing w:val="-5"/>
          <w:sz w:val="16"/>
        </w:rPr>
        <w:t xml:space="preserve"> </w:t>
      </w:r>
      <w:r>
        <w:rPr>
          <w:rFonts w:ascii="Avenir Next"/>
          <w:sz w:val="16"/>
        </w:rPr>
        <w:t>See</w:t>
      </w:r>
      <w:r>
        <w:rPr>
          <w:rFonts w:ascii="Avenir Next"/>
          <w:spacing w:val="-3"/>
          <w:sz w:val="16"/>
        </w:rPr>
        <w:t xml:space="preserve"> </w:t>
      </w:r>
      <w:r>
        <w:rPr>
          <w:rFonts w:ascii="Avenir Next"/>
          <w:spacing w:val="-2"/>
          <w:sz w:val="16"/>
        </w:rPr>
        <w:t>Arsov,</w:t>
      </w:r>
      <w:r>
        <w:rPr>
          <w:rFonts w:ascii="Avenir Next"/>
          <w:spacing w:val="-5"/>
          <w:sz w:val="16"/>
        </w:rPr>
        <w:t xml:space="preserve"> </w:t>
      </w:r>
      <w:r>
        <w:rPr>
          <w:rFonts w:ascii="Avenir Next"/>
          <w:sz w:val="16"/>
        </w:rPr>
        <w:t>I.,</w:t>
      </w:r>
      <w:r>
        <w:rPr>
          <w:rFonts w:ascii="Avenir Next"/>
          <w:spacing w:val="-5"/>
          <w:sz w:val="16"/>
        </w:rPr>
        <w:t xml:space="preserve"> </w:t>
      </w:r>
      <w:r>
        <w:rPr>
          <w:rFonts w:ascii="Avenir Next"/>
          <w:spacing w:val="-1"/>
          <w:sz w:val="16"/>
        </w:rPr>
        <w:t>Brooks,</w:t>
      </w:r>
      <w:r>
        <w:rPr>
          <w:rFonts w:ascii="Avenir Next"/>
          <w:spacing w:val="-5"/>
          <w:sz w:val="16"/>
        </w:rPr>
        <w:t xml:space="preserve"> </w:t>
      </w:r>
      <w:r>
        <w:rPr>
          <w:rFonts w:ascii="Avenir Next"/>
          <w:sz w:val="16"/>
        </w:rPr>
        <w:t>M.,</w:t>
      </w:r>
      <w:r>
        <w:rPr>
          <w:rFonts w:ascii="Avenir Next"/>
          <w:spacing w:val="-5"/>
          <w:sz w:val="16"/>
        </w:rPr>
        <w:t xml:space="preserve"> </w:t>
      </w:r>
      <w:r>
        <w:rPr>
          <w:rFonts w:ascii="Avenir Next"/>
          <w:sz w:val="16"/>
        </w:rPr>
        <w:t>and</w:t>
      </w:r>
    </w:p>
    <w:p w:rsidR="00D96B91" w:rsidRDefault="00C2656B">
      <w:pPr>
        <w:spacing w:line="212" w:lineRule="exact"/>
        <w:ind w:left="1757"/>
        <w:rPr>
          <w:rFonts w:ascii="Avenir Next" w:eastAsia="Avenir Next" w:hAnsi="Avenir Next" w:cs="Avenir Next"/>
          <w:sz w:val="16"/>
          <w:szCs w:val="16"/>
        </w:rPr>
      </w:pPr>
      <w:r>
        <w:rPr>
          <w:rFonts w:ascii="Avenir Next"/>
          <w:sz w:val="16"/>
        </w:rPr>
        <w:t>M.</w:t>
      </w:r>
      <w:r>
        <w:rPr>
          <w:rFonts w:ascii="Avenir Next"/>
          <w:spacing w:val="-5"/>
          <w:sz w:val="16"/>
        </w:rPr>
        <w:t xml:space="preserve"> </w:t>
      </w:r>
      <w:r>
        <w:rPr>
          <w:rFonts w:ascii="Avenir Next"/>
          <w:spacing w:val="-3"/>
          <w:sz w:val="16"/>
        </w:rPr>
        <w:t>Kosev,</w:t>
      </w:r>
      <w:r>
        <w:rPr>
          <w:rFonts w:ascii="Avenir Next"/>
          <w:spacing w:val="-5"/>
          <w:sz w:val="16"/>
        </w:rPr>
        <w:t xml:space="preserve"> </w:t>
      </w:r>
      <w:r>
        <w:rPr>
          <w:rFonts w:ascii="Avenir Next"/>
          <w:sz w:val="16"/>
        </w:rPr>
        <w:t xml:space="preserve">New </w:t>
      </w:r>
      <w:r>
        <w:rPr>
          <w:rFonts w:ascii="Avenir Next"/>
          <w:spacing w:val="-1"/>
          <w:sz w:val="16"/>
        </w:rPr>
        <w:t>measures</w:t>
      </w:r>
      <w:r>
        <w:rPr>
          <w:rFonts w:ascii="Avenir Next"/>
          <w:sz w:val="16"/>
        </w:rPr>
        <w:t xml:space="preserve"> of </w:t>
      </w:r>
      <w:r>
        <w:rPr>
          <w:rFonts w:ascii="Avenir Next"/>
          <w:spacing w:val="-1"/>
          <w:sz w:val="16"/>
        </w:rPr>
        <w:t>Australian</w:t>
      </w:r>
      <w:r>
        <w:rPr>
          <w:rFonts w:ascii="Avenir Next"/>
          <w:sz w:val="16"/>
        </w:rPr>
        <w:t xml:space="preserve"> </w:t>
      </w:r>
      <w:r>
        <w:rPr>
          <w:rFonts w:ascii="Avenir Next"/>
          <w:spacing w:val="-1"/>
          <w:sz w:val="16"/>
        </w:rPr>
        <w:t>corporate</w:t>
      </w:r>
      <w:r>
        <w:rPr>
          <w:rFonts w:ascii="Avenir Next"/>
          <w:sz w:val="16"/>
        </w:rPr>
        <w:t xml:space="preserve"> </w:t>
      </w:r>
      <w:r>
        <w:rPr>
          <w:rFonts w:ascii="Avenir Next"/>
          <w:spacing w:val="-1"/>
          <w:sz w:val="16"/>
        </w:rPr>
        <w:t>credit</w:t>
      </w:r>
      <w:r>
        <w:rPr>
          <w:rFonts w:ascii="Avenir Next"/>
          <w:sz w:val="16"/>
        </w:rPr>
        <w:t xml:space="preserve"> </w:t>
      </w:r>
      <w:r>
        <w:rPr>
          <w:rFonts w:ascii="Avenir Next"/>
          <w:spacing w:val="-1"/>
          <w:sz w:val="16"/>
        </w:rPr>
        <w:t>spreads,</w:t>
      </w:r>
      <w:r>
        <w:rPr>
          <w:rFonts w:ascii="Avenir Next"/>
          <w:spacing w:val="-5"/>
          <w:sz w:val="16"/>
        </w:rPr>
        <w:t xml:space="preserve"> </w:t>
      </w:r>
      <w:r>
        <w:rPr>
          <w:rFonts w:ascii="Avenir Next"/>
          <w:spacing w:val="-1"/>
          <w:sz w:val="16"/>
        </w:rPr>
        <w:t>Reserve</w:t>
      </w:r>
      <w:r>
        <w:rPr>
          <w:rFonts w:ascii="Avenir Next"/>
          <w:sz w:val="16"/>
        </w:rPr>
        <w:t xml:space="preserve"> Bank of </w:t>
      </w:r>
      <w:r>
        <w:rPr>
          <w:rFonts w:ascii="Avenir Next"/>
          <w:spacing w:val="-1"/>
          <w:sz w:val="16"/>
        </w:rPr>
        <w:t>Australia,</w:t>
      </w:r>
      <w:r>
        <w:rPr>
          <w:rFonts w:ascii="Avenir Next"/>
          <w:spacing w:val="-5"/>
          <w:sz w:val="16"/>
        </w:rPr>
        <w:t xml:space="preserve"> </w:t>
      </w:r>
      <w:r>
        <w:rPr>
          <w:rFonts w:ascii="Avenir Next"/>
          <w:sz w:val="16"/>
        </w:rPr>
        <w:t>December 2013.</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pacing w:val="-3"/>
          <w:sz w:val="16"/>
        </w:rPr>
        <w:t>For</w:t>
      </w:r>
      <w:r>
        <w:rPr>
          <w:rFonts w:ascii="Avenir Next"/>
          <w:sz w:val="16"/>
        </w:rPr>
        <w:t xml:space="preserve"> </w:t>
      </w:r>
      <w:r>
        <w:rPr>
          <w:rFonts w:ascii="Avenir Next"/>
          <w:spacing w:val="-1"/>
          <w:sz w:val="16"/>
        </w:rPr>
        <w:t>example:</w:t>
      </w:r>
    </w:p>
    <w:p w:rsidR="00D96B91" w:rsidRDefault="00C2656B">
      <w:pPr>
        <w:numPr>
          <w:ilvl w:val="1"/>
          <w:numId w:val="24"/>
        </w:numPr>
        <w:tabs>
          <w:tab w:val="left" w:pos="1985"/>
        </w:tabs>
        <w:spacing w:before="36" w:line="192" w:lineRule="exact"/>
        <w:ind w:right="1328"/>
        <w:rPr>
          <w:rFonts w:ascii="Avenir Next" w:eastAsia="Avenir Next" w:hAnsi="Avenir Next" w:cs="Avenir Next"/>
          <w:sz w:val="16"/>
          <w:szCs w:val="16"/>
        </w:rPr>
      </w:pP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ESC </w:t>
      </w:r>
      <w:r>
        <w:rPr>
          <w:rFonts w:ascii="Avenir Next" w:eastAsia="Avenir Next" w:hAnsi="Avenir Next" w:cs="Avenir Next"/>
          <w:spacing w:val="-1"/>
          <w:sz w:val="16"/>
          <w:szCs w:val="16"/>
        </w:rPr>
        <w:t>extrapolated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Bloomberg’s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7-year</w:t>
      </w:r>
      <w:r>
        <w:rPr>
          <w:rFonts w:ascii="Avenir Next" w:eastAsia="Avenir Next" w:hAnsi="Avenir Next" w:cs="Avenir Next"/>
          <w:sz w:val="16"/>
          <w:szCs w:val="16"/>
        </w:rPr>
        <w:t xml:space="preserve"> BBB fair value curve </w:t>
      </w:r>
      <w:r>
        <w:rPr>
          <w:rFonts w:ascii="Avenir Next" w:eastAsia="Avenir Next" w:hAnsi="Avenir Next" w:cs="Avenir Next"/>
          <w:spacing w:val="-1"/>
          <w:sz w:val="16"/>
          <w:szCs w:val="16"/>
        </w:rPr>
        <w:t>(FVC)</w:t>
      </w:r>
      <w:r>
        <w:rPr>
          <w:rFonts w:ascii="Avenir Next" w:eastAsia="Avenir Next" w:hAnsi="Avenir Next" w:cs="Avenir Next"/>
          <w:sz w:val="16"/>
          <w:szCs w:val="16"/>
        </w:rPr>
        <w:t xml:space="preserve"> yield to 10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based on the annual </w:t>
      </w:r>
      <w:r>
        <w:rPr>
          <w:rFonts w:ascii="Avenir Next" w:eastAsia="Avenir Next" w:hAnsi="Avenir Next" w:cs="Avenir Next"/>
          <w:spacing w:val="-1"/>
          <w:sz w:val="16"/>
          <w:szCs w:val="16"/>
        </w:rPr>
        <w:t>average</w:t>
      </w:r>
      <w:r>
        <w:rPr>
          <w:rFonts w:ascii="Avenir Next" w:eastAsia="Avenir Next" w:hAnsi="Avenir Next" w:cs="Avenir Next"/>
          <w:spacing w:val="49"/>
          <w:sz w:val="16"/>
          <w:szCs w:val="16"/>
        </w:rPr>
        <w:t xml:space="preserve"> </w:t>
      </w:r>
      <w:r>
        <w:rPr>
          <w:rFonts w:ascii="Avenir Next" w:eastAsia="Avenir Next" w:hAnsi="Avenir Next" w:cs="Avenir Next"/>
          <w:spacing w:val="-1"/>
          <w:sz w:val="16"/>
          <w:szCs w:val="16"/>
        </w:rPr>
        <w:t>increment</w:t>
      </w:r>
      <w:r>
        <w:rPr>
          <w:rFonts w:ascii="Avenir Next" w:eastAsia="Avenir Next" w:hAnsi="Avenir Next" w:cs="Avenir Next"/>
          <w:sz w:val="16"/>
          <w:szCs w:val="16"/>
        </w:rPr>
        <w:t xml:space="preserve"> in the debt risk </w:t>
      </w:r>
      <w:r>
        <w:rPr>
          <w:rFonts w:ascii="Avenir Next" w:eastAsia="Avenir Next" w:hAnsi="Avenir Next" w:cs="Avenir Next"/>
          <w:spacing w:val="-1"/>
          <w:sz w:val="16"/>
          <w:szCs w:val="16"/>
        </w:rPr>
        <w:t>premiums</w:t>
      </w:r>
      <w:r>
        <w:rPr>
          <w:rFonts w:ascii="Avenir Next" w:eastAsia="Avenir Next" w:hAnsi="Avenir Next" w:cs="Avenir Next"/>
          <w:sz w:val="16"/>
          <w:szCs w:val="16"/>
        </w:rPr>
        <w:t xml:space="preserve"> for </w:t>
      </w:r>
      <w:r>
        <w:rPr>
          <w:rFonts w:ascii="Avenir Next" w:eastAsia="Avenir Next" w:hAnsi="Avenir Next" w:cs="Avenir Next"/>
          <w:spacing w:val="-1"/>
          <w:sz w:val="16"/>
          <w:szCs w:val="16"/>
        </w:rPr>
        <w:t>three</w:t>
      </w:r>
      <w:r>
        <w:rPr>
          <w:rFonts w:ascii="Avenir Next" w:eastAsia="Avenir Next" w:hAnsi="Avenir Next" w:cs="Avenir Next"/>
          <w:sz w:val="16"/>
          <w:szCs w:val="16"/>
        </w:rPr>
        <w:t xml:space="preserve"> sets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bonds (issued by </w:t>
      </w:r>
      <w:r>
        <w:rPr>
          <w:rFonts w:ascii="Avenir Next" w:eastAsia="Avenir Next" w:hAnsi="Avenir Next" w:cs="Avenir Next"/>
          <w:spacing w:val="-1"/>
          <w:sz w:val="16"/>
          <w:szCs w:val="16"/>
        </w:rPr>
        <w:t>Stockland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(rated</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Sydney</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Airport</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(rated</w:t>
      </w:r>
      <w:r>
        <w:rPr>
          <w:rFonts w:ascii="Avenir Next" w:eastAsia="Avenir Next" w:hAnsi="Avenir Next" w:cs="Avenir Next"/>
          <w:sz w:val="16"/>
          <w:szCs w:val="16"/>
        </w:rPr>
        <w:t xml:space="preserve"> BBB)</w:t>
      </w:r>
      <w:r>
        <w:rPr>
          <w:rFonts w:ascii="Avenir Next" w:eastAsia="Avenir Next" w:hAnsi="Avenir Next" w:cs="Avenir Next"/>
          <w:spacing w:val="69"/>
          <w:sz w:val="16"/>
          <w:szCs w:val="16"/>
        </w:rPr>
        <w:t xml:space="preserve"> </w:t>
      </w:r>
      <w:r>
        <w:rPr>
          <w:rFonts w:ascii="Avenir Next" w:eastAsia="Avenir Next" w:hAnsi="Avenir Next" w:cs="Avenir Next"/>
          <w:sz w:val="16"/>
          <w:szCs w:val="16"/>
        </w:rPr>
        <w:t xml:space="preserve">and </w:t>
      </w:r>
      <w:r>
        <w:rPr>
          <w:rFonts w:ascii="Avenir Next" w:eastAsia="Avenir Next" w:hAnsi="Avenir Next" w:cs="Avenir Next"/>
          <w:spacing w:val="-1"/>
          <w:sz w:val="16"/>
          <w:szCs w:val="16"/>
        </w:rPr>
        <w:t>GPT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(rated</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A-)).</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See ESC,</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 </w:t>
      </w:r>
      <w:r>
        <w:rPr>
          <w:rFonts w:ascii="Avenir Next" w:eastAsia="Avenir Next" w:hAnsi="Avenir Next" w:cs="Avenir Next"/>
          <w:spacing w:val="-2"/>
          <w:sz w:val="16"/>
          <w:szCs w:val="16"/>
        </w:rPr>
        <w:t>Price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w:t>
      </w:r>
      <w:r>
        <w:rPr>
          <w:rFonts w:ascii="Avenir Next" w:eastAsia="Avenir Next" w:hAnsi="Avenir Next" w:cs="Avenir Next"/>
          <w:sz w:val="16"/>
          <w:szCs w:val="16"/>
        </w:rPr>
        <w:t xml:space="preserve"> 2013: </w:t>
      </w:r>
      <w:r>
        <w:rPr>
          <w:rFonts w:ascii="Avenir Next" w:eastAsia="Avenir Next" w:hAnsi="Avenir Next" w:cs="Avenir Next"/>
          <w:spacing w:val="-1"/>
          <w:sz w:val="16"/>
          <w:szCs w:val="16"/>
        </w:rPr>
        <w:t>Greater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metropolitan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businesses,</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decision,</w:t>
      </w:r>
      <w:r>
        <w:rPr>
          <w:rFonts w:ascii="Avenir Next" w:eastAsia="Avenir Next" w:hAnsi="Avenir Next" w:cs="Avenir Next"/>
          <w:spacing w:val="53"/>
          <w:sz w:val="16"/>
          <w:szCs w:val="16"/>
        </w:rPr>
        <w:t xml:space="preserve"> </w:t>
      </w:r>
      <w:r>
        <w:rPr>
          <w:rFonts w:ascii="Avenir Next" w:eastAsia="Avenir Next" w:hAnsi="Avenir Next" w:cs="Avenir Next"/>
          <w:sz w:val="16"/>
          <w:szCs w:val="16"/>
        </w:rPr>
        <w:t>June 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108.</w:t>
      </w:r>
    </w:p>
    <w:p w:rsidR="00D96B91" w:rsidRDefault="00C2656B">
      <w:pPr>
        <w:numPr>
          <w:ilvl w:val="1"/>
          <w:numId w:val="24"/>
        </w:numPr>
        <w:tabs>
          <w:tab w:val="left" w:pos="1985"/>
        </w:tabs>
        <w:spacing w:before="56" w:line="192" w:lineRule="exact"/>
        <w:ind w:right="1355"/>
        <w:rPr>
          <w:rFonts w:ascii="Avenir Next" w:eastAsia="Avenir Next" w:hAnsi="Avenir Next" w:cs="Avenir Next"/>
          <w:sz w:val="16"/>
          <w:szCs w:val="16"/>
        </w:rPr>
      </w:pPr>
      <w:r>
        <w:rPr>
          <w:rFonts w:ascii="Avenir Next" w:eastAsia="Avenir Next" w:hAnsi="Avenir Next" w:cs="Avenir Next"/>
          <w:spacing w:val="-1"/>
          <w:sz w:val="16"/>
          <w:szCs w:val="16"/>
        </w:rPr>
        <w:t>ESCOSA</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extrapolated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Bloomberg’s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7-year</w:t>
      </w:r>
      <w:r>
        <w:rPr>
          <w:rFonts w:ascii="Avenir Next" w:eastAsia="Avenir Next" w:hAnsi="Avenir Next" w:cs="Avenir Next"/>
          <w:sz w:val="16"/>
          <w:szCs w:val="16"/>
        </w:rPr>
        <w:t xml:space="preserve"> BBB </w:t>
      </w:r>
      <w:r>
        <w:rPr>
          <w:rFonts w:ascii="Avenir Next" w:eastAsia="Avenir Next" w:hAnsi="Avenir Next" w:cs="Avenir Next"/>
          <w:spacing w:val="-1"/>
          <w:sz w:val="16"/>
          <w:szCs w:val="16"/>
        </w:rPr>
        <w:t>FVC</w:t>
      </w:r>
      <w:r>
        <w:rPr>
          <w:rFonts w:ascii="Avenir Next" w:eastAsia="Avenir Next" w:hAnsi="Avenir Next" w:cs="Avenir Next"/>
          <w:sz w:val="16"/>
          <w:szCs w:val="16"/>
        </w:rPr>
        <w:t xml:space="preserve"> yields to 10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by adding a </w:t>
      </w:r>
      <w:r>
        <w:rPr>
          <w:rFonts w:ascii="Avenir Next" w:eastAsia="Avenir Next" w:hAnsi="Avenir Next" w:cs="Avenir Next"/>
          <w:spacing w:val="-1"/>
          <w:sz w:val="16"/>
          <w:szCs w:val="16"/>
        </w:rPr>
        <w:t>premium</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20 basis points.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See</w:t>
      </w:r>
      <w:r>
        <w:rPr>
          <w:rFonts w:ascii="Avenir Next" w:eastAsia="Avenir Next" w:hAnsi="Avenir Next" w:cs="Avenir Next"/>
          <w:spacing w:val="51"/>
          <w:sz w:val="16"/>
          <w:szCs w:val="16"/>
        </w:rPr>
        <w:t xml:space="preserve"> </w:t>
      </w:r>
      <w:r>
        <w:rPr>
          <w:rFonts w:ascii="Avenir Next" w:eastAsia="Avenir Next" w:hAnsi="Avenir Next" w:cs="Avenir Next"/>
          <w:spacing w:val="-1"/>
          <w:sz w:val="16"/>
          <w:szCs w:val="16"/>
        </w:rPr>
        <w:t>ESCOSA,</w:t>
      </w:r>
      <w:r>
        <w:rPr>
          <w:rFonts w:ascii="Avenir Next" w:eastAsia="Avenir Next" w:hAnsi="Avenir Next" w:cs="Avenir Next"/>
          <w:spacing w:val="-5"/>
          <w:sz w:val="16"/>
          <w:szCs w:val="16"/>
        </w:rPr>
        <w:t xml:space="preserve"> </w:t>
      </w:r>
      <w:r>
        <w:rPr>
          <w:rFonts w:ascii="Avenir Next" w:eastAsia="Avenir Next" w:hAnsi="Avenir Next" w:cs="Avenir Next"/>
          <w:i/>
          <w:sz w:val="16"/>
          <w:szCs w:val="16"/>
        </w:rPr>
        <w:t>SA</w:t>
      </w:r>
      <w:r>
        <w:rPr>
          <w:rFonts w:ascii="Avenir Next" w:eastAsia="Avenir Next" w:hAnsi="Avenir Next" w:cs="Avenir Next"/>
          <w:i/>
          <w:spacing w:val="-5"/>
          <w:sz w:val="16"/>
          <w:szCs w:val="16"/>
        </w:rPr>
        <w:t xml:space="preserve"> </w:t>
      </w:r>
      <w:r>
        <w:rPr>
          <w:rFonts w:ascii="Avenir Next" w:eastAsia="Avenir Next" w:hAnsi="Avenir Next" w:cs="Avenir Next"/>
          <w:i/>
          <w:spacing w:val="-2"/>
          <w:sz w:val="16"/>
          <w:szCs w:val="16"/>
        </w:rPr>
        <w:t>Water’s</w:t>
      </w:r>
      <w:r>
        <w:rPr>
          <w:rFonts w:ascii="Avenir Next" w:eastAsia="Avenir Next" w:hAnsi="Avenir Next" w:cs="Avenir Next"/>
          <w:i/>
          <w:sz w:val="16"/>
          <w:szCs w:val="16"/>
        </w:rPr>
        <w:t xml:space="preserve"> </w:t>
      </w:r>
      <w:r>
        <w:rPr>
          <w:rFonts w:ascii="Avenir Next" w:eastAsia="Avenir Next" w:hAnsi="Avenir Next" w:cs="Avenir Next"/>
          <w:i/>
          <w:spacing w:val="-1"/>
          <w:sz w:val="16"/>
          <w:szCs w:val="16"/>
        </w:rPr>
        <w:t>water</w:t>
      </w:r>
      <w:r>
        <w:rPr>
          <w:rFonts w:ascii="Avenir Next" w:eastAsia="Avenir Next" w:hAnsi="Avenir Next" w:cs="Avenir Next"/>
          <w:i/>
          <w:sz w:val="16"/>
          <w:szCs w:val="16"/>
        </w:rPr>
        <w:t xml:space="preserve"> and </w:t>
      </w:r>
      <w:r>
        <w:rPr>
          <w:rFonts w:ascii="Avenir Next" w:eastAsia="Avenir Next" w:hAnsi="Avenir Next" w:cs="Avenir Next"/>
          <w:spacing w:val="-1"/>
          <w:sz w:val="16"/>
          <w:szCs w:val="16"/>
        </w:rPr>
        <w:t>sewerage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revenues</w:t>
      </w:r>
      <w:r>
        <w:rPr>
          <w:rFonts w:ascii="Avenir Next" w:eastAsia="Avenir Next" w:hAnsi="Avenir Next" w:cs="Avenir Next"/>
          <w:sz w:val="16"/>
          <w:szCs w:val="16"/>
        </w:rPr>
        <w:t xml:space="preserve"> 2013-14 – 2015-16,</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determination,</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reasons,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May</w:t>
      </w:r>
      <w:r>
        <w:rPr>
          <w:rFonts w:ascii="Avenir Next" w:eastAsia="Avenir Next" w:hAnsi="Avenir Next" w:cs="Avenir Next"/>
          <w:spacing w:val="95"/>
          <w:sz w:val="16"/>
          <w:szCs w:val="16"/>
        </w:rPr>
        <w:t xml:space="preserve"> </w:t>
      </w:r>
      <w:r>
        <w:rPr>
          <w:rFonts w:ascii="Avenir Next" w:eastAsia="Avenir Next" w:hAnsi="Avenir Next" w:cs="Avenir Next"/>
          <w:sz w:val="16"/>
          <w:szCs w:val="16"/>
        </w:rPr>
        <w:t>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140.</w:t>
      </w:r>
    </w:p>
    <w:p w:rsidR="00D96B91" w:rsidRDefault="00C2656B">
      <w:pPr>
        <w:numPr>
          <w:ilvl w:val="1"/>
          <w:numId w:val="24"/>
        </w:numPr>
        <w:tabs>
          <w:tab w:val="left" w:pos="1985"/>
        </w:tabs>
        <w:spacing w:before="56" w:line="192" w:lineRule="exact"/>
        <w:ind w:right="1889"/>
        <w:rPr>
          <w:rFonts w:ascii="Avenir Next" w:eastAsia="Avenir Next" w:hAnsi="Avenir Next" w:cs="Avenir Next"/>
          <w:sz w:val="16"/>
          <w:szCs w:val="16"/>
        </w:rPr>
      </w:pPr>
      <w:r>
        <w:rPr>
          <w:rFonts w:ascii="Avenir Next" w:eastAsia="Avenir Next" w:hAnsi="Avenir Next" w:cs="Avenir Next"/>
          <w:sz w:val="16"/>
          <w:szCs w:val="16"/>
        </w:rPr>
        <w:t>In its 2008 decision,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the ICRC </w:t>
      </w:r>
      <w:r>
        <w:rPr>
          <w:rFonts w:ascii="Avenir Next" w:eastAsia="Avenir Next" w:hAnsi="Avenir Next" w:cs="Avenir Next"/>
          <w:spacing w:val="-1"/>
          <w:sz w:val="16"/>
          <w:szCs w:val="16"/>
        </w:rPr>
        <w:t>extrapolated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Bloomberg’s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8-year</w:t>
      </w:r>
      <w:r>
        <w:rPr>
          <w:rFonts w:ascii="Avenir Next" w:eastAsia="Avenir Next" w:hAnsi="Avenir Next" w:cs="Avenir Next"/>
          <w:sz w:val="16"/>
          <w:szCs w:val="16"/>
        </w:rPr>
        <w:t xml:space="preserve"> BBB </w:t>
      </w:r>
      <w:r>
        <w:rPr>
          <w:rFonts w:ascii="Avenir Next" w:eastAsia="Avenir Next" w:hAnsi="Avenir Next" w:cs="Avenir Next"/>
          <w:spacing w:val="-1"/>
          <w:sz w:val="16"/>
          <w:szCs w:val="16"/>
        </w:rPr>
        <w:t>FVC</w:t>
      </w:r>
      <w:r>
        <w:rPr>
          <w:rFonts w:ascii="Avenir Next" w:eastAsia="Avenir Next" w:hAnsi="Avenir Next" w:cs="Avenir Next"/>
          <w:sz w:val="16"/>
          <w:szCs w:val="16"/>
        </w:rPr>
        <w:t xml:space="preserve"> yields to 10 </w:t>
      </w:r>
      <w:r>
        <w:rPr>
          <w:rFonts w:ascii="Avenir Next" w:eastAsia="Avenir Next" w:hAnsi="Avenir Next" w:cs="Avenir Next"/>
          <w:spacing w:val="-1"/>
          <w:sz w:val="16"/>
          <w:szCs w:val="16"/>
        </w:rPr>
        <w:t>years</w:t>
      </w:r>
      <w:r>
        <w:rPr>
          <w:rFonts w:ascii="Avenir Next" w:eastAsia="Avenir Next" w:hAnsi="Avenir Next" w:cs="Avenir Next"/>
          <w:sz w:val="16"/>
          <w:szCs w:val="16"/>
        </w:rPr>
        <w:t xml:space="preserve"> using the </w:t>
      </w:r>
      <w:r>
        <w:rPr>
          <w:rFonts w:ascii="Avenir Next" w:eastAsia="Avenir Next" w:hAnsi="Avenir Next" w:cs="Avenir Next"/>
          <w:spacing w:val="-1"/>
          <w:sz w:val="16"/>
          <w:szCs w:val="16"/>
        </w:rPr>
        <w:t>difference</w:t>
      </w:r>
      <w:r>
        <w:rPr>
          <w:rFonts w:ascii="Avenir Next" w:eastAsia="Avenir Next" w:hAnsi="Avenir Next" w:cs="Avenir Next"/>
          <w:spacing w:val="43"/>
          <w:sz w:val="16"/>
          <w:szCs w:val="16"/>
        </w:rPr>
        <w:t xml:space="preserve"> </w:t>
      </w:r>
      <w:r>
        <w:rPr>
          <w:rFonts w:ascii="Avenir Next" w:eastAsia="Avenir Next" w:hAnsi="Avenir Next" w:cs="Avenir Next"/>
          <w:sz w:val="16"/>
          <w:szCs w:val="16"/>
        </w:rPr>
        <w:t xml:space="preserve">between </w:t>
      </w:r>
      <w:r>
        <w:rPr>
          <w:rFonts w:ascii="Avenir Next" w:eastAsia="Avenir Next" w:hAnsi="Avenir Next" w:cs="Avenir Next"/>
          <w:spacing w:val="-1"/>
          <w:sz w:val="16"/>
          <w:szCs w:val="16"/>
        </w:rPr>
        <w:t>8-year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10-year</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A-rated</w:t>
      </w:r>
      <w:r>
        <w:rPr>
          <w:rFonts w:ascii="Avenir Next" w:eastAsia="Avenir Next" w:hAnsi="Avenir Next" w:cs="Avenir Next"/>
          <w:sz w:val="16"/>
          <w:szCs w:val="16"/>
        </w:rPr>
        <w:t xml:space="preserve"> bonds.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ICRC,</w:t>
      </w:r>
      <w:r>
        <w:rPr>
          <w:rFonts w:ascii="Avenir Next" w:eastAsia="Avenir Next" w:hAnsi="Avenir Next" w:cs="Avenir Next"/>
          <w:spacing w:val="-7"/>
          <w:sz w:val="16"/>
          <w:szCs w:val="16"/>
        </w:rPr>
        <w:t xml:space="preserve"> </w:t>
      </w:r>
      <w:r>
        <w:rPr>
          <w:rFonts w:ascii="Avenir Next" w:eastAsia="Avenir Next" w:hAnsi="Avenir Next" w:cs="Avenir Next"/>
          <w:spacing w:val="-2"/>
          <w:sz w:val="16"/>
          <w:szCs w:val="16"/>
        </w:rPr>
        <w:t>Water</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wastewater</w:t>
      </w:r>
      <w:r>
        <w:rPr>
          <w:rFonts w:ascii="Avenir Next" w:eastAsia="Avenir Next" w:hAnsi="Avenir Next" w:cs="Avenir Next"/>
          <w:sz w:val="16"/>
          <w:szCs w:val="16"/>
        </w:rPr>
        <w:t xml:space="preserve"> price </w:t>
      </w:r>
      <w:r>
        <w:rPr>
          <w:rFonts w:ascii="Avenir Next" w:eastAsia="Avenir Next" w:hAnsi="Avenir Next" w:cs="Avenir Next"/>
          <w:spacing w:val="-2"/>
          <w:sz w:val="16"/>
          <w:szCs w:val="16"/>
        </w:rPr>
        <w:t>review,</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Final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and price</w:t>
      </w:r>
      <w:r>
        <w:rPr>
          <w:rFonts w:ascii="Avenir Next" w:eastAsia="Avenir Next" w:hAnsi="Avenir Next" w:cs="Avenir Next"/>
          <w:spacing w:val="65"/>
          <w:sz w:val="16"/>
          <w:szCs w:val="16"/>
        </w:rPr>
        <w:t xml:space="preserve"> </w:t>
      </w:r>
      <w:r>
        <w:rPr>
          <w:rFonts w:ascii="Avenir Next" w:eastAsia="Avenir Next" w:hAnsi="Avenir Next" w:cs="Avenir Next"/>
          <w:spacing w:val="-1"/>
          <w:sz w:val="16"/>
          <w:szCs w:val="16"/>
        </w:rPr>
        <w:t>determination,</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Report</w:t>
      </w:r>
      <w:r>
        <w:rPr>
          <w:rFonts w:ascii="Avenir Next" w:eastAsia="Avenir Next" w:hAnsi="Avenir Next" w:cs="Avenir Next"/>
          <w:sz w:val="16"/>
          <w:szCs w:val="16"/>
        </w:rPr>
        <w:t xml:space="preserve"> 1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2008,</w:t>
      </w:r>
      <w:r>
        <w:rPr>
          <w:rFonts w:ascii="Avenir Next" w:eastAsia="Avenir Next" w:hAnsi="Avenir Next" w:cs="Avenir Next"/>
          <w:spacing w:val="-8"/>
          <w:sz w:val="16"/>
          <w:szCs w:val="16"/>
        </w:rPr>
        <w:t xml:space="preserve"> </w:t>
      </w:r>
      <w:r>
        <w:rPr>
          <w:rFonts w:ascii="Avenir Next" w:eastAsia="Avenir Next" w:hAnsi="Avenir Next" w:cs="Avenir Next"/>
          <w:sz w:val="16"/>
          <w:szCs w:val="16"/>
        </w:rPr>
        <w:t>April 2008,</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102-103.</w:t>
      </w:r>
    </w:p>
    <w:p w:rsidR="00D96B91" w:rsidRDefault="00C2656B">
      <w:pPr>
        <w:numPr>
          <w:ilvl w:val="0"/>
          <w:numId w:val="24"/>
        </w:numPr>
        <w:tabs>
          <w:tab w:val="left" w:pos="1758"/>
        </w:tabs>
        <w:spacing w:before="141"/>
        <w:ind w:hanging="510"/>
        <w:rPr>
          <w:rFonts w:ascii="Avenir Next" w:eastAsia="Avenir Next" w:hAnsi="Avenir Next" w:cs="Avenir Next"/>
          <w:sz w:val="16"/>
          <w:szCs w:val="16"/>
        </w:rPr>
      </w:pPr>
      <w:r>
        <w:rPr>
          <w:rFonts w:ascii="Avenir Next"/>
          <w:spacing w:val="-1"/>
          <w:sz w:val="16"/>
        </w:rPr>
        <w:t>The</w:t>
      </w:r>
      <w:r>
        <w:rPr>
          <w:rFonts w:ascii="Avenir Next"/>
          <w:sz w:val="16"/>
        </w:rPr>
        <w:t xml:space="preserve"> </w:t>
      </w:r>
      <w:r>
        <w:rPr>
          <w:rFonts w:ascii="Avenir Next"/>
          <w:spacing w:val="-2"/>
          <w:sz w:val="16"/>
        </w:rPr>
        <w:t>Panel</w:t>
      </w:r>
      <w:r>
        <w:rPr>
          <w:rFonts w:ascii="Avenir Next"/>
          <w:sz w:val="16"/>
        </w:rPr>
        <w:t xml:space="preserve"> is </w:t>
      </w:r>
      <w:r>
        <w:rPr>
          <w:rFonts w:ascii="Avenir Next"/>
          <w:spacing w:val="-1"/>
          <w:sz w:val="16"/>
        </w:rPr>
        <w:t>aware</w:t>
      </w:r>
      <w:r>
        <w:rPr>
          <w:rFonts w:ascii="Avenir Next"/>
          <w:sz w:val="16"/>
        </w:rPr>
        <w:t xml:space="preserve"> </w:t>
      </w:r>
      <w:r>
        <w:rPr>
          <w:rFonts w:ascii="Avenir Next"/>
          <w:spacing w:val="-1"/>
          <w:sz w:val="16"/>
        </w:rPr>
        <w:t>that</w:t>
      </w:r>
      <w:r>
        <w:rPr>
          <w:rFonts w:ascii="Avenir Next"/>
          <w:sz w:val="16"/>
        </w:rPr>
        <w:t xml:space="preserve"> </w:t>
      </w:r>
      <w:r>
        <w:rPr>
          <w:rFonts w:ascii="Avenir Next"/>
          <w:spacing w:val="-1"/>
          <w:sz w:val="16"/>
        </w:rPr>
        <w:t>there</w:t>
      </w:r>
      <w:r>
        <w:rPr>
          <w:rFonts w:ascii="Avenir Next"/>
          <w:sz w:val="16"/>
        </w:rPr>
        <w:t xml:space="preserve"> is no </w:t>
      </w:r>
      <w:r>
        <w:rPr>
          <w:rFonts w:ascii="Avenir Next"/>
          <w:spacing w:val="-1"/>
          <w:sz w:val="16"/>
        </w:rPr>
        <w:t>standard</w:t>
      </w:r>
      <w:r>
        <w:rPr>
          <w:rFonts w:ascii="Avenir Next"/>
          <w:sz w:val="16"/>
        </w:rPr>
        <w:t xml:space="preserve"> methodology </w:t>
      </w:r>
      <w:r>
        <w:rPr>
          <w:rFonts w:ascii="Avenir Next"/>
          <w:spacing w:val="-1"/>
          <w:sz w:val="16"/>
        </w:rPr>
        <w:t>that</w:t>
      </w:r>
      <w:r>
        <w:rPr>
          <w:rFonts w:ascii="Avenir Next"/>
          <w:sz w:val="16"/>
        </w:rPr>
        <w:t xml:space="preserve"> </w:t>
      </w:r>
      <w:r>
        <w:rPr>
          <w:rFonts w:ascii="Avenir Next"/>
          <w:spacing w:val="-1"/>
          <w:sz w:val="16"/>
        </w:rPr>
        <w:t>regulators</w:t>
      </w:r>
      <w:r>
        <w:rPr>
          <w:rFonts w:ascii="Avenir Next"/>
          <w:sz w:val="16"/>
        </w:rPr>
        <w:t xml:space="preserve"> use to carry out this </w:t>
      </w:r>
      <w:r>
        <w:rPr>
          <w:rFonts w:ascii="Avenir Next"/>
          <w:spacing w:val="-1"/>
          <w:sz w:val="16"/>
        </w:rPr>
        <w:t>extrapolation.</w:t>
      </w:r>
    </w:p>
    <w:p w:rsidR="00D96B91" w:rsidRDefault="00D96B91">
      <w:pPr>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548"/>
        <w:jc w:val="both"/>
        <w:rPr>
          <w:rFonts w:cs="Avenir Next"/>
        </w:rPr>
      </w:pPr>
      <w:r>
        <w:rPr>
          <w:spacing w:val="-2"/>
        </w:rPr>
        <w:t>The</w:t>
      </w:r>
      <w:r>
        <w:t xml:space="preserve"> </w:t>
      </w:r>
      <w:r>
        <w:rPr>
          <w:spacing w:val="-3"/>
        </w:rPr>
        <w:t>Panel</w:t>
      </w:r>
      <w:r>
        <w:t xml:space="preserve"> is </w:t>
      </w:r>
      <w:r>
        <w:rPr>
          <w:spacing w:val="-1"/>
        </w:rPr>
        <w:t>aware</w:t>
      </w:r>
      <w:r>
        <w:t xml:space="preserve"> </w:t>
      </w:r>
      <w:r>
        <w:rPr>
          <w:spacing w:val="-1"/>
        </w:rPr>
        <w:t>that</w:t>
      </w:r>
      <w:r>
        <w:t xml:space="preserve"> the following </w:t>
      </w:r>
      <w:r>
        <w:rPr>
          <w:spacing w:val="-1"/>
        </w:rPr>
        <w:t>features</w:t>
      </w:r>
      <w:r>
        <w:t xml:space="preserve"> of</w:t>
      </w:r>
      <w:r>
        <w:rPr>
          <w:spacing w:val="4"/>
        </w:rPr>
        <w:t xml:space="preserve"> </w:t>
      </w:r>
      <w:r>
        <w:t>the RBA</w:t>
      </w:r>
      <w:r>
        <w:rPr>
          <w:spacing w:val="-4"/>
        </w:rPr>
        <w:t xml:space="preserve"> </w:t>
      </w:r>
      <w:r>
        <w:t xml:space="preserve">series may be viewed as </w:t>
      </w:r>
      <w:r>
        <w:rPr>
          <w:spacing w:val="-1"/>
        </w:rPr>
        <w:t>limitations</w:t>
      </w:r>
      <w:r>
        <w:t xml:space="preserve"> with the</w:t>
      </w:r>
      <w:r>
        <w:rPr>
          <w:spacing w:val="33"/>
        </w:rPr>
        <w:t xml:space="preserve"> </w:t>
      </w:r>
      <w:r>
        <w:t>series,</w:t>
      </w:r>
      <w:r>
        <w:rPr>
          <w:spacing w:val="-7"/>
        </w:rPr>
        <w:t xml:space="preserve"> </w:t>
      </w:r>
      <w:r>
        <w:t>but in</w:t>
      </w:r>
      <w:r>
        <w:rPr>
          <w:spacing w:val="-1"/>
        </w:rPr>
        <w:t xml:space="preserve"> </w:t>
      </w:r>
      <w:r>
        <w:t>its</w:t>
      </w:r>
      <w:r>
        <w:rPr>
          <w:spacing w:val="-1"/>
        </w:rPr>
        <w:t xml:space="preserve"> </w:t>
      </w:r>
      <w:r>
        <w:t>view the</w:t>
      </w:r>
      <w:r>
        <w:rPr>
          <w:spacing w:val="-1"/>
        </w:rPr>
        <w:t xml:space="preserve"> limitations</w:t>
      </w:r>
      <w:r>
        <w:t xml:space="preserve"> can</w:t>
      </w:r>
      <w:r>
        <w:rPr>
          <w:spacing w:val="-1"/>
        </w:rPr>
        <w:t xml:space="preserve"> </w:t>
      </w:r>
      <w:r>
        <w:t>either be</w:t>
      </w:r>
      <w:r>
        <w:rPr>
          <w:spacing w:val="-1"/>
        </w:rPr>
        <w:t xml:space="preserve"> overcome,</w:t>
      </w:r>
      <w:r>
        <w:rPr>
          <w:spacing w:val="-6"/>
        </w:rPr>
        <w:t xml:space="preserve"> </w:t>
      </w:r>
      <w:r>
        <w:t>or</w:t>
      </w:r>
      <w:r>
        <w:rPr>
          <w:spacing w:val="-1"/>
        </w:rPr>
        <w:t xml:space="preserve"> </w:t>
      </w:r>
      <w:r>
        <w:rPr>
          <w:spacing w:val="-2"/>
        </w:rPr>
        <w:t>are</w:t>
      </w:r>
      <w:r>
        <w:t xml:space="preserve"> not</w:t>
      </w:r>
      <w:r>
        <w:rPr>
          <w:spacing w:val="-1"/>
        </w:rPr>
        <w:t xml:space="preserve"> </w:t>
      </w:r>
      <w:r>
        <w:t>significant enough</w:t>
      </w:r>
      <w:r>
        <w:rPr>
          <w:spacing w:val="-1"/>
        </w:rPr>
        <w:t xml:space="preserve"> </w:t>
      </w:r>
      <w:r>
        <w:t xml:space="preserve">to </w:t>
      </w:r>
      <w:r>
        <w:rPr>
          <w:spacing w:val="-1"/>
        </w:rPr>
        <w:t>warrant</w:t>
      </w:r>
      <w:r>
        <w:rPr>
          <w:spacing w:val="41"/>
        </w:rPr>
        <w:t xml:space="preserve"> </w:t>
      </w:r>
      <w:r>
        <w:t>the use of</w:t>
      </w:r>
      <w:r>
        <w:rPr>
          <w:spacing w:val="4"/>
        </w:rPr>
        <w:t xml:space="preserve"> </w:t>
      </w:r>
      <w:r>
        <w:t xml:space="preserve">an </w:t>
      </w:r>
      <w:r>
        <w:rPr>
          <w:spacing w:val="-1"/>
        </w:rPr>
        <w:t>alternative</w:t>
      </w:r>
      <w:r>
        <w:t xml:space="preserve"> </w:t>
      </w:r>
      <w:r>
        <w:rPr>
          <w:spacing w:val="-1"/>
        </w:rPr>
        <w:t>approach:</w:t>
      </w:r>
    </w:p>
    <w:p w:rsidR="00D96B91" w:rsidRDefault="00C2656B">
      <w:pPr>
        <w:pStyle w:val="BodyText"/>
        <w:numPr>
          <w:ilvl w:val="0"/>
          <w:numId w:val="131"/>
        </w:numPr>
        <w:tabs>
          <w:tab w:val="left" w:pos="1531"/>
        </w:tabs>
        <w:spacing w:before="170" w:line="260" w:lineRule="exact"/>
        <w:ind w:right="1470" w:hanging="283"/>
      </w:pPr>
      <w:r>
        <w:rPr>
          <w:rFonts w:cs="Avenir Next"/>
          <w:spacing w:val="-2"/>
        </w:rPr>
        <w:t>The</w:t>
      </w:r>
      <w:r>
        <w:rPr>
          <w:rFonts w:cs="Avenir Next"/>
        </w:rPr>
        <w:t xml:space="preserve"> </w:t>
      </w:r>
      <w:r>
        <w:rPr>
          <w:rFonts w:cs="Avenir Next"/>
          <w:spacing w:val="-5"/>
        </w:rPr>
        <w:t>RBA’s</w:t>
      </w:r>
      <w:r>
        <w:rPr>
          <w:rFonts w:cs="Avenir Next"/>
        </w:rPr>
        <w:t xml:space="preserve"> </w:t>
      </w:r>
      <w:r>
        <w:rPr>
          <w:rFonts w:cs="Avenir Next"/>
          <w:spacing w:val="-1"/>
        </w:rPr>
        <w:t>estimates</w:t>
      </w:r>
      <w:r>
        <w:rPr>
          <w:rFonts w:cs="Avenir Next"/>
        </w:rPr>
        <w:t xml:space="preserve"> </w:t>
      </w:r>
      <w:r>
        <w:rPr>
          <w:rFonts w:cs="Avenir Next"/>
          <w:spacing w:val="-2"/>
        </w:rPr>
        <w:t>are</w:t>
      </w:r>
      <w:r>
        <w:rPr>
          <w:rFonts w:cs="Avenir Next"/>
        </w:rPr>
        <w:t xml:space="preserve"> only available on a monthly basis,</w:t>
      </w:r>
      <w:r>
        <w:rPr>
          <w:rFonts w:cs="Avenir Next"/>
          <w:spacing w:val="-7"/>
        </w:rPr>
        <w:t xml:space="preserve"> </w:t>
      </w:r>
      <w:r>
        <w:rPr>
          <w:rFonts w:cs="Avenir Next"/>
        </w:rPr>
        <w:t xml:space="preserve">so it is not strictly possible to </w:t>
      </w:r>
      <w:r>
        <w:rPr>
          <w:rFonts w:cs="Avenir Next"/>
          <w:spacing w:val="-1"/>
        </w:rPr>
        <w:t>calculate</w:t>
      </w:r>
      <w:r>
        <w:rPr>
          <w:rFonts w:cs="Avenir Next"/>
          <w:spacing w:val="41"/>
        </w:rPr>
        <w:t xml:space="preserve"> </w:t>
      </w:r>
      <w:r>
        <w:t xml:space="preserve">40-day </w:t>
      </w:r>
      <w:r>
        <w:rPr>
          <w:spacing w:val="-1"/>
        </w:rPr>
        <w:t>averages.</w:t>
      </w:r>
      <w:r>
        <w:rPr>
          <w:spacing w:val="-10"/>
        </w:rPr>
        <w:t xml:space="preserve"> </w:t>
      </w:r>
      <w:r>
        <w:t>A</w:t>
      </w:r>
      <w:r>
        <w:rPr>
          <w:spacing w:val="-4"/>
        </w:rPr>
        <w:t xml:space="preserve"> </w:t>
      </w:r>
      <w:r>
        <w:t xml:space="preserve">40-day </w:t>
      </w:r>
      <w:r>
        <w:rPr>
          <w:spacing w:val="-1"/>
        </w:rPr>
        <w:t>average</w:t>
      </w:r>
      <w:r>
        <w:t xml:space="preserve"> can,</w:t>
      </w:r>
      <w:r>
        <w:rPr>
          <w:spacing w:val="-6"/>
        </w:rPr>
        <w:t xml:space="preserve"> </w:t>
      </w:r>
      <w:r>
        <w:rPr>
          <w:spacing w:val="-2"/>
        </w:rPr>
        <w:t>however,</w:t>
      </w:r>
      <w:r>
        <w:rPr>
          <w:spacing w:val="-6"/>
        </w:rPr>
        <w:t xml:space="preserve"> </w:t>
      </w:r>
      <w:r>
        <w:t xml:space="preserve">be </w:t>
      </w:r>
      <w:r>
        <w:rPr>
          <w:spacing w:val="-1"/>
        </w:rPr>
        <w:t>approximated</w:t>
      </w:r>
      <w:r>
        <w:t xml:space="preserve"> by taking an </w:t>
      </w:r>
      <w:r>
        <w:rPr>
          <w:spacing w:val="-1"/>
        </w:rPr>
        <w:t>average</w:t>
      </w:r>
      <w:r>
        <w:t xml:space="preserve"> over two</w:t>
      </w:r>
      <w:r>
        <w:rPr>
          <w:spacing w:val="49"/>
        </w:rPr>
        <w:t xml:space="preserve"> </w:t>
      </w:r>
      <w:r>
        <w:t>months,</w:t>
      </w:r>
      <w:r>
        <w:rPr>
          <w:spacing w:val="-6"/>
        </w:rPr>
        <w:t xml:space="preserve"> </w:t>
      </w:r>
      <w:r>
        <w:t xml:space="preserve">which </w:t>
      </w:r>
      <w:r>
        <w:rPr>
          <w:spacing w:val="-1"/>
        </w:rPr>
        <w:t>approximately</w:t>
      </w:r>
      <w:r>
        <w:t xml:space="preserve"> </w:t>
      </w:r>
      <w:r>
        <w:rPr>
          <w:spacing w:val="-1"/>
        </w:rPr>
        <w:t>correspond</w:t>
      </w:r>
      <w:r>
        <w:t xml:space="preserve"> to 40 business days.</w:t>
      </w:r>
    </w:p>
    <w:p w:rsidR="00D96B91" w:rsidRDefault="00C2656B">
      <w:pPr>
        <w:pStyle w:val="BodyText"/>
        <w:numPr>
          <w:ilvl w:val="0"/>
          <w:numId w:val="131"/>
        </w:numPr>
        <w:tabs>
          <w:tab w:val="left" w:pos="1531"/>
        </w:tabs>
        <w:spacing w:before="85" w:line="260" w:lineRule="exact"/>
        <w:ind w:right="1414" w:hanging="283"/>
      </w:pPr>
      <w:r>
        <w:rPr>
          <w:spacing w:val="-2"/>
        </w:rPr>
        <w:t>The</w:t>
      </w:r>
      <w:r>
        <w:t xml:space="preserve"> RBA</w:t>
      </w:r>
      <w:r>
        <w:rPr>
          <w:spacing w:val="-4"/>
        </w:rPr>
        <w:t xml:space="preserve"> </w:t>
      </w:r>
      <w:r>
        <w:rPr>
          <w:spacing w:val="-1"/>
        </w:rPr>
        <w:t>aggregates</w:t>
      </w:r>
      <w:r>
        <w:t xml:space="preserve"> bonds with BBB+,</w:t>
      </w:r>
      <w:r>
        <w:rPr>
          <w:spacing w:val="-6"/>
        </w:rPr>
        <w:t xml:space="preserve"> </w:t>
      </w:r>
      <w:r>
        <w:t xml:space="preserve">BBB and BBB- </w:t>
      </w:r>
      <w:r>
        <w:rPr>
          <w:spacing w:val="-1"/>
        </w:rPr>
        <w:t>ratings</w:t>
      </w:r>
      <w:r>
        <w:t xml:space="preserve"> to the BBB </w:t>
      </w:r>
      <w:r>
        <w:rPr>
          <w:spacing w:val="-2"/>
        </w:rPr>
        <w:t>category.</w:t>
      </w:r>
      <w:r>
        <w:rPr>
          <w:spacing w:val="-11"/>
        </w:rPr>
        <w:t xml:space="preserve"> </w:t>
      </w:r>
      <w:r>
        <w:rPr>
          <w:spacing w:val="-1"/>
        </w:rPr>
        <w:t>This</w:t>
      </w:r>
      <w:r>
        <w:t xml:space="preserve"> is,</w:t>
      </w:r>
      <w:r>
        <w:rPr>
          <w:spacing w:val="-6"/>
        </w:rPr>
        <w:t xml:space="preserve"> </w:t>
      </w:r>
      <w:r>
        <w:rPr>
          <w:spacing w:val="-2"/>
        </w:rPr>
        <w:t>however,</w:t>
      </w:r>
      <w:r>
        <w:rPr>
          <w:spacing w:val="45"/>
        </w:rPr>
        <w:t xml:space="preserve"> </w:t>
      </w:r>
      <w:r>
        <w:rPr>
          <w:spacing w:val="-1"/>
        </w:rPr>
        <w:t xml:space="preserve">unlikely </w:t>
      </w:r>
      <w:r>
        <w:t>to</w:t>
      </w:r>
      <w:r>
        <w:rPr>
          <w:spacing w:val="-1"/>
        </w:rPr>
        <w:t xml:space="preserve"> </w:t>
      </w:r>
      <w:r>
        <w:t>be a</w:t>
      </w:r>
      <w:r>
        <w:rPr>
          <w:spacing w:val="-1"/>
        </w:rPr>
        <w:t xml:space="preserve"> </w:t>
      </w:r>
      <w:r>
        <w:t>significant issue</w:t>
      </w:r>
      <w:r>
        <w:rPr>
          <w:spacing w:val="-1"/>
        </w:rPr>
        <w:t xml:space="preserve"> </w:t>
      </w:r>
      <w:r>
        <w:t>because</w:t>
      </w:r>
      <w:r>
        <w:rPr>
          <w:spacing w:val="-1"/>
        </w:rPr>
        <w:t xml:space="preserve"> </w:t>
      </w:r>
      <w:r>
        <w:t>the higher</w:t>
      </w:r>
      <w:r>
        <w:rPr>
          <w:spacing w:val="-1"/>
        </w:rPr>
        <w:t xml:space="preserve"> credit</w:t>
      </w:r>
      <w:r>
        <w:t xml:space="preserve"> </w:t>
      </w:r>
      <w:r>
        <w:rPr>
          <w:spacing w:val="-1"/>
        </w:rPr>
        <w:t xml:space="preserve">spreads </w:t>
      </w:r>
      <w:r>
        <w:t>on the</w:t>
      </w:r>
      <w:r>
        <w:rPr>
          <w:spacing w:val="-1"/>
        </w:rPr>
        <w:t xml:space="preserve"> </w:t>
      </w:r>
      <w:r>
        <w:t>BBB</w:t>
      </w:r>
      <w:r>
        <w:rPr>
          <w:b/>
        </w:rPr>
        <w:t>-</w:t>
      </w:r>
      <w:r>
        <w:rPr>
          <w:b/>
          <w:spacing w:val="-1"/>
        </w:rPr>
        <w:t xml:space="preserve"> </w:t>
      </w:r>
      <w:r>
        <w:rPr>
          <w:spacing w:val="-1"/>
        </w:rPr>
        <w:t>rated</w:t>
      </w:r>
      <w:r>
        <w:t xml:space="preserve"> bonds</w:t>
      </w:r>
      <w:r>
        <w:rPr>
          <w:spacing w:val="-1"/>
        </w:rPr>
        <w:t xml:space="preserve"> </w:t>
      </w:r>
      <w:r>
        <w:rPr>
          <w:spacing w:val="-2"/>
        </w:rPr>
        <w:t>are</w:t>
      </w:r>
      <w:r>
        <w:rPr>
          <w:spacing w:val="30"/>
        </w:rPr>
        <w:t xml:space="preserve"> </w:t>
      </w:r>
      <w:r>
        <w:t xml:space="preserve">most </w:t>
      </w:r>
      <w:r>
        <w:rPr>
          <w:spacing w:val="-1"/>
        </w:rPr>
        <w:t>likely</w:t>
      </w:r>
      <w:r>
        <w:t xml:space="preserve"> to be </w:t>
      </w:r>
      <w:r>
        <w:rPr>
          <w:spacing w:val="-1"/>
        </w:rPr>
        <w:t>offset</w:t>
      </w:r>
      <w:r>
        <w:t xml:space="preserve"> by lower </w:t>
      </w:r>
      <w:r>
        <w:rPr>
          <w:spacing w:val="-1"/>
        </w:rPr>
        <w:t>credit</w:t>
      </w:r>
      <w:r>
        <w:t xml:space="preserve"> </w:t>
      </w:r>
      <w:r>
        <w:rPr>
          <w:spacing w:val="-1"/>
        </w:rPr>
        <w:t>spreads</w:t>
      </w:r>
      <w:r>
        <w:t xml:space="preserve"> on the BBB+ </w:t>
      </w:r>
      <w:r>
        <w:rPr>
          <w:spacing w:val="-1"/>
        </w:rPr>
        <w:t>rated</w:t>
      </w:r>
      <w:r>
        <w:t xml:space="preserve"> bonds.</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t xml:space="preserve">As </w:t>
      </w:r>
      <w:r>
        <w:rPr>
          <w:spacing w:val="-1"/>
        </w:rPr>
        <w:t>at</w:t>
      </w:r>
      <w:r>
        <w:t xml:space="preserve"> 31 May 2013,</w:t>
      </w:r>
      <w:r>
        <w:rPr>
          <w:spacing w:val="-6"/>
        </w:rPr>
        <w:t xml:space="preserve"> </w:t>
      </w:r>
      <w:r>
        <w:t xml:space="preserve">the 40-day </w:t>
      </w:r>
      <w:r>
        <w:rPr>
          <w:spacing w:val="-1"/>
        </w:rPr>
        <w:t>average</w:t>
      </w:r>
      <w:r>
        <w:t xml:space="preserve"> debt </w:t>
      </w:r>
      <w:r>
        <w:rPr>
          <w:spacing w:val="-1"/>
        </w:rPr>
        <w:t>margin</w:t>
      </w:r>
      <w:r>
        <w:t xml:space="preserve"> </w:t>
      </w:r>
      <w:r>
        <w:rPr>
          <w:spacing w:val="-1"/>
        </w:rPr>
        <w:t>calculated</w:t>
      </w:r>
      <w:r>
        <w:t xml:space="preserve"> using the </w:t>
      </w:r>
      <w:r>
        <w:rPr>
          <w:spacing w:val="-5"/>
        </w:rPr>
        <w:t>RBA’s</w:t>
      </w:r>
      <w:r>
        <w:t xml:space="preserve"> </w:t>
      </w:r>
      <w:r>
        <w:rPr>
          <w:spacing w:val="-1"/>
        </w:rPr>
        <w:t>10-year</w:t>
      </w:r>
      <w:r>
        <w:t xml:space="preserve"> BBB </w:t>
      </w:r>
      <w:r>
        <w:rPr>
          <w:spacing w:val="-1"/>
        </w:rPr>
        <w:t>rated</w:t>
      </w:r>
      <w:r>
        <w:rPr>
          <w:spacing w:val="43"/>
        </w:rPr>
        <w:t xml:space="preserve"> </w:t>
      </w:r>
      <w:r>
        <w:rPr>
          <w:spacing w:val="-1"/>
        </w:rPr>
        <w:t>corporate</w:t>
      </w:r>
      <w:r>
        <w:t xml:space="preserve"> bond yields was 3.13%.</w:t>
      </w:r>
    </w:p>
    <w:p w:rsidR="00D96B91" w:rsidRDefault="00D96B91">
      <w:pPr>
        <w:spacing w:before="6"/>
        <w:rPr>
          <w:rFonts w:ascii="Avenir Next" w:eastAsia="Avenir Next" w:hAnsi="Avenir Next" w:cs="Avenir Next"/>
          <w:sz w:val="20"/>
          <w:szCs w:val="20"/>
        </w:rPr>
      </w:pPr>
    </w:p>
    <w:p w:rsidR="00D96B91" w:rsidRDefault="00C2656B">
      <w:pPr>
        <w:pStyle w:val="Heading6"/>
        <w:ind w:left="1247" w:firstLine="0"/>
      </w:pPr>
      <w:r>
        <w:rPr>
          <w:color w:val="0778BE"/>
        </w:rPr>
        <w:t xml:space="preserve">A8.1.6 </w:t>
      </w:r>
      <w:r>
        <w:rPr>
          <w:color w:val="0778BE"/>
          <w:spacing w:val="6"/>
        </w:rPr>
        <w:t xml:space="preserve"> </w:t>
      </w:r>
      <w:r>
        <w:rPr>
          <w:color w:val="0778BE"/>
        </w:rPr>
        <w:t xml:space="preserve">Debt </w:t>
      </w:r>
      <w:r>
        <w:rPr>
          <w:color w:val="0778BE"/>
          <w:spacing w:val="-1"/>
        </w:rPr>
        <w:t>rai</w:t>
      </w:r>
      <w:r>
        <w:rPr>
          <w:rFonts w:ascii="Avenir Next"/>
          <w:b/>
          <w:color w:val="0778BE"/>
          <w:spacing w:val="-1"/>
        </w:rPr>
        <w:t>s</w:t>
      </w:r>
      <w:r>
        <w:rPr>
          <w:color w:val="0778BE"/>
          <w:spacing w:val="-1"/>
        </w:rPr>
        <w:t>ing</w:t>
      </w:r>
      <w:r>
        <w:rPr>
          <w:color w:val="0778BE"/>
        </w:rPr>
        <w:t xml:space="preserve"> cost</w:t>
      </w:r>
    </w:p>
    <w:p w:rsidR="00D96B91" w:rsidRDefault="00C2656B">
      <w:pPr>
        <w:pStyle w:val="BodyText"/>
        <w:spacing w:before="21" w:line="260" w:lineRule="exact"/>
        <w:ind w:right="1332"/>
      </w:pPr>
      <w:r>
        <w:t xml:space="preserve">Debt </w:t>
      </w:r>
      <w:r>
        <w:rPr>
          <w:spacing w:val="-1"/>
        </w:rPr>
        <w:t>raising</w:t>
      </w:r>
      <w:r>
        <w:t xml:space="preserve"> costs include underwriting fees,</w:t>
      </w:r>
      <w:r>
        <w:rPr>
          <w:spacing w:val="-7"/>
        </w:rPr>
        <w:t xml:space="preserve"> </w:t>
      </w:r>
      <w:r>
        <w:t>legal fees,</w:t>
      </w:r>
      <w:r>
        <w:rPr>
          <w:spacing w:val="-7"/>
        </w:rPr>
        <w:t xml:space="preserve"> </w:t>
      </w:r>
      <w:r>
        <w:t xml:space="preserve">company </w:t>
      </w:r>
      <w:r>
        <w:rPr>
          <w:spacing w:val="-1"/>
        </w:rPr>
        <w:t>credit</w:t>
      </w:r>
      <w:r>
        <w:t xml:space="preserve"> </w:t>
      </w:r>
      <w:r>
        <w:rPr>
          <w:spacing w:val="-1"/>
        </w:rPr>
        <w:t>rating</w:t>
      </w:r>
      <w:r>
        <w:t xml:space="preserve"> fees and other costs</w:t>
      </w:r>
      <w:r>
        <w:rPr>
          <w:spacing w:val="28"/>
        </w:rPr>
        <w:t xml:space="preserve"> </w:t>
      </w:r>
      <w:r>
        <w:rPr>
          <w:spacing w:val="-1"/>
        </w:rPr>
        <w:t xml:space="preserve">incurred </w:t>
      </w:r>
      <w:r>
        <w:t>in</w:t>
      </w:r>
      <w:r>
        <w:rPr>
          <w:spacing w:val="-1"/>
        </w:rPr>
        <w:t xml:space="preserve"> raising</w:t>
      </w:r>
      <w:r>
        <w:t xml:space="preserve"> debt</w:t>
      </w:r>
      <w:r>
        <w:rPr>
          <w:spacing w:val="-1"/>
        </w:rPr>
        <w:t xml:space="preserve"> </w:t>
      </w:r>
      <w:r>
        <w:t>finance.</w:t>
      </w:r>
      <w:r>
        <w:rPr>
          <w:spacing w:val="-6"/>
        </w:rPr>
        <w:t xml:space="preserve"> </w:t>
      </w:r>
      <w:r>
        <w:rPr>
          <w:spacing w:val="-1"/>
        </w:rPr>
        <w:t>Regulators across</w:t>
      </w:r>
      <w:r>
        <w:rPr>
          <w:spacing w:val="-4"/>
        </w:rPr>
        <w:t xml:space="preserve"> </w:t>
      </w:r>
      <w:r>
        <w:rPr>
          <w:spacing w:val="-1"/>
        </w:rPr>
        <w:t>Australia</w:t>
      </w:r>
      <w:r>
        <w:t xml:space="preserve"> typically</w:t>
      </w:r>
      <w:r>
        <w:rPr>
          <w:spacing w:val="-1"/>
        </w:rPr>
        <w:t xml:space="preserve"> </w:t>
      </w:r>
      <w:r>
        <w:t>include</w:t>
      </w:r>
      <w:r>
        <w:rPr>
          <w:spacing w:val="-1"/>
        </w:rPr>
        <w:t xml:space="preserve"> </w:t>
      </w:r>
      <w:r>
        <w:t>an allowance</w:t>
      </w:r>
      <w:r>
        <w:rPr>
          <w:spacing w:val="-1"/>
        </w:rPr>
        <w:t xml:space="preserve"> </w:t>
      </w:r>
      <w:r>
        <w:t>of</w:t>
      </w:r>
      <w:r>
        <w:rPr>
          <w:spacing w:val="4"/>
        </w:rPr>
        <w:t xml:space="preserve"> </w:t>
      </w:r>
      <w:r>
        <w:t>12.5</w:t>
      </w:r>
      <w:r>
        <w:rPr>
          <w:spacing w:val="-1"/>
        </w:rPr>
        <w:t xml:space="preserve"> </w:t>
      </w:r>
      <w:r>
        <w:t>basis</w:t>
      </w:r>
      <w:r>
        <w:rPr>
          <w:spacing w:val="43"/>
        </w:rPr>
        <w:t xml:space="preserve"> </w:t>
      </w:r>
      <w:r>
        <w:t>points (bps) for debt issuance costs if</w:t>
      </w:r>
      <w:r>
        <w:rPr>
          <w:spacing w:val="4"/>
        </w:rPr>
        <w:t xml:space="preserve"> </w:t>
      </w:r>
      <w:r>
        <w:t xml:space="preserve">the </w:t>
      </w:r>
      <w:r>
        <w:rPr>
          <w:spacing w:val="-1"/>
        </w:rPr>
        <w:t>10-year</w:t>
      </w:r>
      <w:r>
        <w:t xml:space="preserve"> </w:t>
      </w:r>
      <w:r>
        <w:rPr>
          <w:spacing w:val="-1"/>
        </w:rPr>
        <w:t>term-to-maturity</w:t>
      </w:r>
      <w:r>
        <w:t xml:space="preserve"> is used to </w:t>
      </w:r>
      <w:r>
        <w:rPr>
          <w:spacing w:val="-1"/>
        </w:rPr>
        <w:t>estimate</w:t>
      </w:r>
      <w:r>
        <w:t xml:space="preserve"> the cost of</w:t>
      </w:r>
      <w:r>
        <w:rPr>
          <w:spacing w:val="4"/>
        </w:rPr>
        <w:t xml:space="preserve"> </w:t>
      </w:r>
      <w:r>
        <w:t>debt.</w:t>
      </w:r>
      <w:r>
        <w:rPr>
          <w:spacing w:val="51"/>
        </w:rPr>
        <w:t xml:space="preserve"> </w:t>
      </w:r>
      <w:r>
        <w:t>If</w:t>
      </w:r>
      <w:r>
        <w:rPr>
          <w:spacing w:val="3"/>
        </w:rPr>
        <w:t xml:space="preserve"> </w:t>
      </w:r>
      <w:r>
        <w:t xml:space="preserve">a </w:t>
      </w:r>
      <w:r>
        <w:rPr>
          <w:spacing w:val="-1"/>
        </w:rPr>
        <w:t>five-year term-to-maturity</w:t>
      </w:r>
      <w:r>
        <w:t xml:space="preserve"> is used,</w:t>
      </w:r>
      <w:r>
        <w:rPr>
          <w:spacing w:val="-6"/>
        </w:rPr>
        <w:t xml:space="preserve"> </w:t>
      </w:r>
      <w:r>
        <w:t>an</w:t>
      </w:r>
      <w:r>
        <w:rPr>
          <w:spacing w:val="-1"/>
        </w:rPr>
        <w:t xml:space="preserve"> </w:t>
      </w:r>
      <w:r>
        <w:t>allowance of</w:t>
      </w:r>
      <w:r>
        <w:rPr>
          <w:spacing w:val="3"/>
        </w:rPr>
        <w:t xml:space="preserve"> </w:t>
      </w:r>
      <w:r>
        <w:t>20 bps is</w:t>
      </w:r>
      <w:r>
        <w:rPr>
          <w:spacing w:val="-1"/>
        </w:rPr>
        <w:t xml:space="preserve"> </w:t>
      </w:r>
      <w:r>
        <w:t>typically used.</w:t>
      </w:r>
      <w:r>
        <w:rPr>
          <w:spacing w:val="-10"/>
        </w:rPr>
        <w:t xml:space="preserve"> </w:t>
      </w:r>
      <w:r>
        <w:t>A</w:t>
      </w:r>
      <w:r>
        <w:rPr>
          <w:spacing w:val="-4"/>
        </w:rPr>
        <w:t xml:space="preserve"> </w:t>
      </w:r>
      <w:r>
        <w:rPr>
          <w:spacing w:val="-1"/>
        </w:rPr>
        <w:t xml:space="preserve">reduction </w:t>
      </w:r>
      <w:r>
        <w:t>in the term-</w:t>
      </w:r>
      <w:r>
        <w:rPr>
          <w:spacing w:val="53"/>
        </w:rPr>
        <w:t xml:space="preserve"> </w:t>
      </w:r>
      <w:r>
        <w:rPr>
          <w:spacing w:val="-1"/>
        </w:rPr>
        <w:t>to-maturity</w:t>
      </w:r>
      <w:r>
        <w:t xml:space="preserve"> </w:t>
      </w:r>
      <w:r>
        <w:rPr>
          <w:spacing w:val="-1"/>
        </w:rPr>
        <w:t>increases</w:t>
      </w:r>
      <w:r>
        <w:t xml:space="preserve"> debt </w:t>
      </w:r>
      <w:r>
        <w:rPr>
          <w:spacing w:val="-1"/>
        </w:rPr>
        <w:t>raising</w:t>
      </w:r>
      <w:r>
        <w:t xml:space="preserve"> costs,</w:t>
      </w:r>
      <w:r>
        <w:rPr>
          <w:spacing w:val="-6"/>
        </w:rPr>
        <w:t xml:space="preserve"> </w:t>
      </w:r>
      <w:r>
        <w:t xml:space="preserve">because the </w:t>
      </w:r>
      <w:r>
        <w:rPr>
          <w:spacing w:val="-1"/>
        </w:rPr>
        <w:t>shorter</w:t>
      </w:r>
      <w:r>
        <w:t xml:space="preserve"> the assumed </w:t>
      </w:r>
      <w:r>
        <w:rPr>
          <w:spacing w:val="-1"/>
        </w:rPr>
        <w:t>term-to-maturity,</w:t>
      </w:r>
      <w:r>
        <w:rPr>
          <w:spacing w:val="-6"/>
        </w:rPr>
        <w:t xml:space="preserve"> </w:t>
      </w:r>
      <w:r>
        <w:t xml:space="preserve">the </w:t>
      </w:r>
      <w:r>
        <w:rPr>
          <w:spacing w:val="-1"/>
        </w:rPr>
        <w:t>more</w:t>
      </w:r>
      <w:r>
        <w:rPr>
          <w:spacing w:val="53"/>
        </w:rPr>
        <w:t xml:space="preserve"> </w:t>
      </w:r>
      <w:r>
        <w:rPr>
          <w:spacing w:val="-1"/>
        </w:rPr>
        <w:t>frequently</w:t>
      </w:r>
      <w:r>
        <w:rPr>
          <w:spacing w:val="-2"/>
        </w:rPr>
        <w:t xml:space="preserve"> </w:t>
      </w:r>
      <w:r>
        <w:t>the</w:t>
      </w:r>
      <w:r>
        <w:rPr>
          <w:spacing w:val="-2"/>
        </w:rPr>
        <w:t xml:space="preserve"> </w:t>
      </w:r>
      <w:r>
        <w:t>debt</w:t>
      </w:r>
      <w:r>
        <w:rPr>
          <w:spacing w:val="-2"/>
        </w:rPr>
        <w:t xml:space="preserve"> </w:t>
      </w:r>
      <w:r>
        <w:t>should</w:t>
      </w:r>
      <w:r>
        <w:rPr>
          <w:spacing w:val="-2"/>
        </w:rPr>
        <w:t xml:space="preserve"> </w:t>
      </w:r>
      <w:r>
        <w:t>be</w:t>
      </w:r>
      <w:r>
        <w:rPr>
          <w:spacing w:val="-2"/>
        </w:rPr>
        <w:t xml:space="preserve"> </w:t>
      </w:r>
      <w:r>
        <w:rPr>
          <w:spacing w:val="-1"/>
        </w:rPr>
        <w:t xml:space="preserve">raised </w:t>
      </w:r>
      <w:r>
        <w:t>(or</w:t>
      </w:r>
      <w:r>
        <w:rPr>
          <w:spacing w:val="-2"/>
        </w:rPr>
        <w:t xml:space="preserve"> </w:t>
      </w:r>
      <w:r>
        <w:rPr>
          <w:spacing w:val="-1"/>
        </w:rPr>
        <w:t>refinanced),</w:t>
      </w:r>
      <w:r>
        <w:rPr>
          <w:spacing w:val="-8"/>
        </w:rPr>
        <w:t xml:space="preserve"> </w:t>
      </w:r>
      <w:r>
        <w:t>incurring</w:t>
      </w:r>
      <w:r>
        <w:rPr>
          <w:spacing w:val="-2"/>
        </w:rPr>
        <w:t xml:space="preserve"> greater</w:t>
      </w:r>
      <w:r>
        <w:rPr>
          <w:spacing w:val="-1"/>
        </w:rPr>
        <w:t xml:space="preserve"> refinancing</w:t>
      </w:r>
      <w:r>
        <w:rPr>
          <w:spacing w:val="-2"/>
        </w:rPr>
        <w:t xml:space="preserve"> </w:t>
      </w:r>
      <w:r>
        <w:t>costs.</w:t>
      </w:r>
    </w:p>
    <w:p w:rsidR="00D96B91" w:rsidRDefault="00C2656B">
      <w:pPr>
        <w:pStyle w:val="BodyText"/>
        <w:spacing w:before="170" w:line="260" w:lineRule="exact"/>
        <w:ind w:right="1283"/>
      </w:pPr>
      <w:r>
        <w:t>In its SOFC,</w:t>
      </w:r>
      <w:r>
        <w:rPr>
          <w:spacing w:val="-10"/>
        </w:rPr>
        <w:t xml:space="preserve"> </w:t>
      </w:r>
      <w:r>
        <w:rPr>
          <w:spacing w:val="-2"/>
        </w:rPr>
        <w:t>ACTEW</w:t>
      </w:r>
      <w:r>
        <w:rPr>
          <w:spacing w:val="-3"/>
        </w:rPr>
        <w:t xml:space="preserve"> </w:t>
      </w:r>
      <w:r>
        <w:rPr>
          <w:spacing w:val="-1"/>
        </w:rPr>
        <w:t>proposed</w:t>
      </w:r>
      <w:r>
        <w:t xml:space="preserve"> the use of</w:t>
      </w:r>
      <w:r>
        <w:rPr>
          <w:spacing w:val="4"/>
        </w:rPr>
        <w:t xml:space="preserve"> </w:t>
      </w:r>
      <w:r>
        <w:t xml:space="preserve">a 12.5 bps allowance for debt </w:t>
      </w:r>
      <w:r>
        <w:rPr>
          <w:spacing w:val="-1"/>
        </w:rPr>
        <w:t>raising</w:t>
      </w:r>
      <w:r>
        <w:t xml:space="preserve"> costs.</w:t>
      </w:r>
      <w:r>
        <w:rPr>
          <w:spacing w:val="-6"/>
        </w:rPr>
        <w:t xml:space="preserve"> </w:t>
      </w:r>
      <w:r>
        <w:t>Given the</w:t>
      </w:r>
      <w:r>
        <w:rPr>
          <w:spacing w:val="25"/>
        </w:rPr>
        <w:t xml:space="preserve"> </w:t>
      </w:r>
      <w:r>
        <w:t>consistency of</w:t>
      </w:r>
      <w:r>
        <w:rPr>
          <w:spacing w:val="4"/>
        </w:rPr>
        <w:t xml:space="preserve"> </w:t>
      </w:r>
      <w:r>
        <w:t xml:space="preserve">this </w:t>
      </w:r>
      <w:r>
        <w:rPr>
          <w:spacing w:val="-1"/>
        </w:rPr>
        <w:t>proposal</w:t>
      </w:r>
      <w:r>
        <w:t xml:space="preserve"> with the allowance usually </w:t>
      </w:r>
      <w:r>
        <w:rPr>
          <w:spacing w:val="-1"/>
        </w:rPr>
        <w:t>approved</w:t>
      </w:r>
      <w:r>
        <w:t xml:space="preserve"> by </w:t>
      </w:r>
      <w:r>
        <w:rPr>
          <w:spacing w:val="-1"/>
        </w:rPr>
        <w:t>regulators</w:t>
      </w:r>
      <w:r>
        <w:t xml:space="preserve"> for a </w:t>
      </w:r>
      <w:r>
        <w:rPr>
          <w:spacing w:val="-1"/>
        </w:rPr>
        <w:t>10-year</w:t>
      </w:r>
      <w:r>
        <w:t xml:space="preserve"> term-to-</w:t>
      </w:r>
      <w:r>
        <w:rPr>
          <w:spacing w:val="35"/>
        </w:rPr>
        <w:t xml:space="preserve"> </w:t>
      </w:r>
      <w:r>
        <w:rPr>
          <w:spacing w:val="-2"/>
        </w:rPr>
        <w:t>maturity,</w:t>
      </w:r>
      <w:r>
        <w:rPr>
          <w:spacing w:val="-6"/>
        </w:rPr>
        <w:t xml:space="preserve"> </w:t>
      </w:r>
      <w:r>
        <w:t xml:space="preserve">the </w:t>
      </w:r>
      <w:r>
        <w:rPr>
          <w:spacing w:val="-3"/>
        </w:rPr>
        <w:t>Panel</w:t>
      </w:r>
      <w:r>
        <w:t xml:space="preserve"> has included a 12.5 bps allowance in the cost of</w:t>
      </w:r>
      <w:r>
        <w:rPr>
          <w:spacing w:val="4"/>
        </w:rPr>
        <w:t xml:space="preserve"> </w:t>
      </w:r>
      <w:r>
        <w:t xml:space="preserve">debt for debt </w:t>
      </w:r>
      <w:r>
        <w:rPr>
          <w:spacing w:val="-1"/>
        </w:rPr>
        <w:t>raising</w:t>
      </w:r>
      <w:r>
        <w:t xml:space="preserve"> costs.</w:t>
      </w:r>
    </w:p>
    <w:p w:rsidR="00D96B91" w:rsidRDefault="00D96B91">
      <w:pPr>
        <w:spacing w:before="6"/>
        <w:rPr>
          <w:rFonts w:ascii="Avenir Next" w:eastAsia="Avenir Next" w:hAnsi="Avenir Next" w:cs="Avenir Next"/>
          <w:sz w:val="20"/>
          <w:szCs w:val="20"/>
        </w:rPr>
      </w:pPr>
    </w:p>
    <w:p w:rsidR="00D96B91" w:rsidRDefault="00C2656B">
      <w:pPr>
        <w:pStyle w:val="Heading6"/>
        <w:ind w:left="1247" w:firstLine="0"/>
      </w:pPr>
      <w:r>
        <w:rPr>
          <w:color w:val="0778BE"/>
        </w:rPr>
        <w:t xml:space="preserve">A8.1.7 </w:t>
      </w:r>
      <w:r>
        <w:rPr>
          <w:color w:val="0778BE"/>
          <w:spacing w:val="6"/>
        </w:rPr>
        <w:t xml:space="preserve"> </w:t>
      </w:r>
      <w:r>
        <w:rPr>
          <w:color w:val="0778BE"/>
          <w:spacing w:val="-1"/>
        </w:rPr>
        <w:t>Overall</w:t>
      </w:r>
      <w:r>
        <w:rPr>
          <w:color w:val="0778BE"/>
        </w:rPr>
        <w:t xml:space="preserve"> cost of</w:t>
      </w:r>
      <w:r>
        <w:rPr>
          <w:color w:val="0778BE"/>
          <w:spacing w:val="5"/>
        </w:rPr>
        <w:t xml:space="preserve"> </w:t>
      </w:r>
      <w:r>
        <w:rPr>
          <w:color w:val="0778BE"/>
        </w:rPr>
        <w:t>debt</w:t>
      </w:r>
    </w:p>
    <w:p w:rsidR="00D96B91" w:rsidRDefault="00C2656B">
      <w:pPr>
        <w:pStyle w:val="BodyText"/>
        <w:spacing w:before="21" w:line="260" w:lineRule="exact"/>
        <w:ind w:right="1256"/>
      </w:pPr>
      <w:r>
        <w:rPr>
          <w:spacing w:val="-4"/>
        </w:rPr>
        <w:t>For</w:t>
      </w:r>
      <w:r>
        <w:t xml:space="preserve"> the </w:t>
      </w:r>
      <w:r>
        <w:rPr>
          <w:spacing w:val="-1"/>
        </w:rPr>
        <w:t>reasons</w:t>
      </w:r>
      <w:r>
        <w:t xml:space="preserve"> set out above,</w:t>
      </w:r>
      <w:r>
        <w:rPr>
          <w:spacing w:val="-6"/>
        </w:rPr>
        <w:t xml:space="preserve"> </w:t>
      </w:r>
      <w:r>
        <w:t xml:space="preserve">the </w:t>
      </w:r>
      <w:r>
        <w:rPr>
          <w:spacing w:val="-3"/>
        </w:rPr>
        <w:t>Panel</w:t>
      </w:r>
      <w:r>
        <w:t xml:space="preserve"> has made a </w:t>
      </w:r>
      <w:r>
        <w:rPr>
          <w:spacing w:val="-2"/>
        </w:rPr>
        <w:t>draft</w:t>
      </w:r>
      <w:r>
        <w:t xml:space="preserve"> decision to adopt a cost of</w:t>
      </w:r>
      <w:r>
        <w:rPr>
          <w:spacing w:val="4"/>
        </w:rPr>
        <w:t xml:space="preserve"> </w:t>
      </w:r>
      <w:r>
        <w:t>debt of</w:t>
      </w:r>
      <w:r>
        <w:rPr>
          <w:spacing w:val="4"/>
        </w:rPr>
        <w:t xml:space="preserve"> </w:t>
      </w:r>
      <w:r>
        <w:t>6.48%</w:t>
      </w:r>
      <w:r>
        <w:rPr>
          <w:spacing w:val="21"/>
        </w:rPr>
        <w:t xml:space="preserve"> </w:t>
      </w:r>
      <w:r>
        <w:rPr>
          <w:rFonts w:cs="Avenir Next"/>
        </w:rPr>
        <w:t>(R</w:t>
      </w:r>
      <w:r>
        <w:rPr>
          <w:rFonts w:cs="Avenir Next"/>
          <w:position w:val="-6"/>
          <w:sz w:val="11"/>
          <w:szCs w:val="11"/>
        </w:rPr>
        <w:t>f</w:t>
      </w:r>
      <w:r>
        <w:t>=3.22%,</w:t>
      </w:r>
      <w:r>
        <w:rPr>
          <w:spacing w:val="-6"/>
        </w:rPr>
        <w:t xml:space="preserve"> </w:t>
      </w:r>
      <w:r>
        <w:t xml:space="preserve">DM=3.13% and debt </w:t>
      </w:r>
      <w:r>
        <w:rPr>
          <w:spacing w:val="-1"/>
        </w:rPr>
        <w:t>raising</w:t>
      </w:r>
      <w:r>
        <w:t xml:space="preserve"> costs=0.125%).</w:t>
      </w:r>
      <w:r>
        <w:rPr>
          <w:spacing w:val="-11"/>
        </w:rPr>
        <w:t xml:space="preserve"> </w:t>
      </w:r>
      <w:r>
        <w:rPr>
          <w:spacing w:val="-1"/>
        </w:rPr>
        <w:t>This</w:t>
      </w:r>
      <w:r>
        <w:rPr>
          <w:spacing w:val="1"/>
        </w:rPr>
        <w:t xml:space="preserve"> </w:t>
      </w:r>
      <w:r>
        <w:t xml:space="preserve">is </w:t>
      </w:r>
      <w:r>
        <w:rPr>
          <w:spacing w:val="-1"/>
        </w:rPr>
        <w:t>approximately</w:t>
      </w:r>
      <w:r>
        <w:t xml:space="preserve"> 1% higher than the </w:t>
      </w:r>
      <w:r>
        <w:rPr>
          <w:spacing w:val="-2"/>
        </w:rPr>
        <w:t>ICRC’s</w:t>
      </w:r>
      <w:r>
        <w:rPr>
          <w:spacing w:val="23"/>
        </w:rPr>
        <w:t xml:space="preserve"> </w:t>
      </w:r>
      <w:r>
        <w:t>final</w:t>
      </w:r>
      <w:r>
        <w:rPr>
          <w:spacing w:val="-1"/>
        </w:rPr>
        <w:t xml:space="preserve"> </w:t>
      </w:r>
      <w:r>
        <w:t>decision</w:t>
      </w:r>
      <w:r>
        <w:rPr>
          <w:spacing w:val="-1"/>
        </w:rPr>
        <w:t xml:space="preserve"> </w:t>
      </w:r>
      <w:r>
        <w:t>and 1.35%</w:t>
      </w:r>
      <w:r>
        <w:rPr>
          <w:spacing w:val="-1"/>
        </w:rPr>
        <w:t xml:space="preserve"> </w:t>
      </w:r>
      <w:r>
        <w:t>lower than</w:t>
      </w:r>
      <w:r>
        <w:rPr>
          <w:spacing w:val="-5"/>
        </w:rPr>
        <w:t xml:space="preserve"> </w:t>
      </w:r>
      <w:r>
        <w:rPr>
          <w:spacing w:val="-2"/>
        </w:rPr>
        <w:t>ACTEW’s</w:t>
      </w:r>
      <w:r>
        <w:t xml:space="preserve"> </w:t>
      </w:r>
      <w:r>
        <w:rPr>
          <w:spacing w:val="-1"/>
        </w:rPr>
        <w:t>proposal.</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pPr>
      <w:r>
        <w:rPr>
          <w:color w:val="0778BE"/>
        </w:rPr>
        <w:t>A8.</w:t>
      </w:r>
      <w:r>
        <w:rPr>
          <w:color w:val="0778BE"/>
          <w:spacing w:val="-9"/>
        </w:rPr>
        <w:t xml:space="preserve"> </w:t>
      </w:r>
      <w:r>
        <w:rPr>
          <w:color w:val="0778BE"/>
        </w:rPr>
        <w:t>2</w:t>
      </w:r>
      <w:r>
        <w:rPr>
          <w:color w:val="0778BE"/>
        </w:rPr>
        <w:tab/>
      </w:r>
      <w:r>
        <w:rPr>
          <w:color w:val="0778BE"/>
          <w:spacing w:val="-1"/>
        </w:rPr>
        <w:t>Cost</w:t>
      </w:r>
      <w:r>
        <w:rPr>
          <w:color w:val="0778BE"/>
        </w:rPr>
        <w:t xml:space="preserve"> of</w:t>
      </w:r>
      <w:r>
        <w:rPr>
          <w:color w:val="0778BE"/>
          <w:spacing w:val="7"/>
        </w:rPr>
        <w:t xml:space="preserve"> </w:t>
      </w:r>
      <w:r>
        <w:rPr>
          <w:color w:val="0778BE"/>
        </w:rPr>
        <w:t>equity</w:t>
      </w:r>
    </w:p>
    <w:p w:rsidR="00D96B91" w:rsidRDefault="00C2656B">
      <w:pPr>
        <w:pStyle w:val="BodyText"/>
        <w:spacing w:before="55" w:line="260" w:lineRule="exact"/>
        <w:ind w:right="1417"/>
        <w:jc w:val="both"/>
      </w:pPr>
      <w:r>
        <w:rPr>
          <w:spacing w:val="-2"/>
        </w:rPr>
        <w:t>The</w:t>
      </w:r>
      <w:r>
        <w:rPr>
          <w:spacing w:val="-1"/>
        </w:rPr>
        <w:t xml:space="preserve"> </w:t>
      </w:r>
      <w:r>
        <w:t>cost of</w:t>
      </w:r>
      <w:r>
        <w:rPr>
          <w:spacing w:val="4"/>
        </w:rPr>
        <w:t xml:space="preserve"> </w:t>
      </w:r>
      <w:r>
        <w:t>equity is the</w:t>
      </w:r>
      <w:r>
        <w:rPr>
          <w:spacing w:val="-1"/>
        </w:rPr>
        <w:t xml:space="preserve"> return</w:t>
      </w:r>
      <w:r>
        <w:t xml:space="preserve"> </w:t>
      </w:r>
      <w:r>
        <w:rPr>
          <w:spacing w:val="-1"/>
        </w:rPr>
        <w:t>that</w:t>
      </w:r>
      <w:r>
        <w:t xml:space="preserve"> a firm is </w:t>
      </w:r>
      <w:r>
        <w:rPr>
          <w:spacing w:val="-1"/>
        </w:rPr>
        <w:t xml:space="preserve">expected </w:t>
      </w:r>
      <w:r>
        <w:t xml:space="preserve">to pay to </w:t>
      </w:r>
      <w:r>
        <w:rPr>
          <w:spacing w:val="-1"/>
        </w:rPr>
        <w:t>shareholders</w:t>
      </w:r>
      <w:r>
        <w:t xml:space="preserve"> to fund</w:t>
      </w:r>
      <w:r>
        <w:rPr>
          <w:spacing w:val="-1"/>
        </w:rPr>
        <w:t xml:space="preserve"> </w:t>
      </w:r>
      <w:r>
        <w:t xml:space="preserve">its assets </w:t>
      </w:r>
      <w:r>
        <w:rPr>
          <w:spacing w:val="-1"/>
        </w:rPr>
        <w:t>through</w:t>
      </w:r>
      <w:r>
        <w:rPr>
          <w:spacing w:val="47"/>
        </w:rPr>
        <w:t xml:space="preserve"> </w:t>
      </w:r>
      <w:r>
        <w:t>equity</w:t>
      </w:r>
      <w:r>
        <w:rPr>
          <w:spacing w:val="-1"/>
        </w:rPr>
        <w:t xml:space="preserve"> </w:t>
      </w:r>
      <w:r>
        <w:t>financing.</w:t>
      </w:r>
      <w:r>
        <w:rPr>
          <w:spacing w:val="-7"/>
        </w:rPr>
        <w:t xml:space="preserve"> </w:t>
      </w:r>
      <w:r>
        <w:rPr>
          <w:spacing w:val="-1"/>
        </w:rPr>
        <w:t>Regulators</w:t>
      </w:r>
      <w:r>
        <w:t xml:space="preserve"> usually</w:t>
      </w:r>
      <w:r>
        <w:rPr>
          <w:spacing w:val="-1"/>
        </w:rPr>
        <w:t xml:space="preserve"> estimate</w:t>
      </w:r>
      <w:r>
        <w:t xml:space="preserve"> the</w:t>
      </w:r>
      <w:r>
        <w:rPr>
          <w:spacing w:val="-1"/>
        </w:rPr>
        <w:t xml:space="preserve"> </w:t>
      </w:r>
      <w:r>
        <w:t>cost</w:t>
      </w:r>
      <w:r>
        <w:rPr>
          <w:spacing w:val="-1"/>
        </w:rPr>
        <w:t xml:space="preserve"> </w:t>
      </w:r>
      <w:r>
        <w:t>of</w:t>
      </w:r>
      <w:r>
        <w:rPr>
          <w:spacing w:val="4"/>
        </w:rPr>
        <w:t xml:space="preserve"> </w:t>
      </w:r>
      <w:r>
        <w:t>equity</w:t>
      </w:r>
      <w:r>
        <w:rPr>
          <w:spacing w:val="-1"/>
        </w:rPr>
        <w:t xml:space="preserve"> </w:t>
      </w:r>
      <w:r>
        <w:t>using</w:t>
      </w:r>
      <w:r>
        <w:rPr>
          <w:spacing w:val="-1"/>
        </w:rPr>
        <w:t xml:space="preserve"> </w:t>
      </w:r>
      <w:r>
        <w:t>the Sharpe-Lintner</w:t>
      </w:r>
      <w:r>
        <w:rPr>
          <w:spacing w:val="-1"/>
        </w:rPr>
        <w:t xml:space="preserve"> Capital</w:t>
      </w:r>
      <w:r>
        <w:rPr>
          <w:spacing w:val="-4"/>
        </w:rPr>
        <w:t xml:space="preserve"> </w:t>
      </w:r>
      <w:r>
        <w:t>Asset</w:t>
      </w:r>
      <w:r>
        <w:rPr>
          <w:spacing w:val="29"/>
        </w:rPr>
        <w:t xml:space="preserve"> </w:t>
      </w:r>
      <w:r>
        <w:rPr>
          <w:spacing w:val="-2"/>
        </w:rPr>
        <w:t>Pricing</w:t>
      </w:r>
      <w:r>
        <w:t xml:space="preserve"> Model (S-L</w:t>
      </w:r>
      <w:r>
        <w:rPr>
          <w:spacing w:val="-5"/>
        </w:rPr>
        <w:t xml:space="preserve"> </w:t>
      </w:r>
      <w:r>
        <w:rPr>
          <w:spacing w:val="-1"/>
        </w:rPr>
        <w:t>CAPM),</w:t>
      </w:r>
      <w:r>
        <w:rPr>
          <w:spacing w:val="-6"/>
        </w:rPr>
        <w:t xml:space="preserve"> </w:t>
      </w:r>
      <w:r>
        <w:t>which is set out below:</w:t>
      </w:r>
    </w:p>
    <w:p w:rsidR="00D96B91" w:rsidRDefault="00D96B91">
      <w:pPr>
        <w:spacing w:before="7"/>
        <w:rPr>
          <w:rFonts w:ascii="Avenir Next" w:eastAsia="Avenir Next" w:hAnsi="Avenir Next" w:cs="Avenir Next"/>
          <w:sz w:val="24"/>
          <w:szCs w:val="24"/>
        </w:rPr>
      </w:pPr>
    </w:p>
    <w:p w:rsidR="00D96B91" w:rsidRDefault="00D96B91">
      <w:pPr>
        <w:spacing w:line="60" w:lineRule="atLeast"/>
        <w:ind w:left="4139"/>
        <w:rPr>
          <w:rFonts w:ascii="Avenir Next" w:eastAsia="Avenir Next" w:hAnsi="Avenir Next" w:cs="Avenir Next"/>
          <w:sz w:val="11"/>
          <w:szCs w:val="11"/>
        </w:rPr>
      </w:pPr>
      <w:r w:rsidRPr="00D96B91">
        <w:rPr>
          <w:rFonts w:ascii="Avenir Next"/>
          <w:position w:val="3"/>
          <w:sz w:val="20"/>
        </w:rPr>
      </w:r>
      <w:r w:rsidRPr="00D96B91">
        <w:rPr>
          <w:rFonts w:ascii="Avenir Next"/>
          <w:position w:val="3"/>
          <w:sz w:val="20"/>
        </w:rPr>
        <w:pict>
          <v:group id="_x0000_s1460" style="width:29.4pt;height:11.15pt;mso-position-horizontal-relative:char;mso-position-vertical-relative:line" coordsize="588,223">
            <v:group id="_x0000_s1473" style="position:absolute;top:9;width:139;height:160" coordorigin=",9" coordsize="139,160">
              <v:shape id="_x0000_s1478" style="position:absolute;top:9;width:139;height:160" coordorigin=",9" coordsize="139,160" path="m139,9l31,9r-2,6l33,15r3,1l40,19r1,3l41,30r-1,6l17,142,1,164,,169r104,l107,159r-73,l49,91r50,l102,81r-51,l65,20r71,l139,9xe" fillcolor="black" stroked="f">
                <v:path arrowok="t"/>
              </v:shape>
              <v:shape id="_x0000_s1477" style="position:absolute;top:9;width:139;height:160" coordorigin=",9" coordsize="139,160" path="m114,129r-11,l100,135r-3,5l73,159r34,l114,129xe" fillcolor="black" stroked="f">
                <v:path arrowok="t"/>
              </v:shape>
              <v:shape id="_x0000_s1476" style="position:absolute;top:9;width:139;height:160" coordorigin=",9" coordsize="139,160" path="m99,91r-23,l79,92r3,1l83,94r2,5l85,103r,6l95,109,99,91xe" fillcolor="black" stroked="f">
                <v:path arrowok="t"/>
              </v:shape>
              <v:shape id="_x0000_s1475" style="position:absolute;top:9;width:139;height:160" coordorigin=",9" coordsize="139,160" path="m106,64r-11,l92,70r-3,5l83,80r-4,1l102,81r4,-17xe" fillcolor="black" stroked="f">
                <v:path arrowok="t"/>
              </v:shape>
              <v:shape id="_x0000_s1474" style="position:absolute;top:9;width:139;height:160" coordorigin=",9" coordsize="139,160" path="m136,20r-30,l108,20r4,1l119,45r11,l136,20xe" fillcolor="black" stroked="f">
                <v:path arrowok="t"/>
              </v:shape>
            </v:group>
            <v:group id="_x0000_s1471" style="position:absolute;left:174;top:5;width:73;height:218" coordorigin="174,5" coordsize="73,218">
              <v:shape id="_x0000_s1472" style="position:absolute;left:174;top:5;width:73;height:218" coordorigin="174,5" coordsize="73,218" path="m230,5l186,49r-12,84l178,151r30,52l244,222r2,-9l229,205,215,191,203,171r-5,-18l194,133r-1,-23l193,109,214,32,247,9,230,5xe" fillcolor="black" stroked="f">
                <v:path arrowok="t"/>
              </v:shape>
            </v:group>
            <v:group id="_x0000_s1467" style="position:absolute;left:259;top:9;width:134;height:160" coordorigin="259,9" coordsize="134,160">
              <v:shape id="_x0000_s1470" style="position:absolute;left:259;top:9;width:134;height:160" coordorigin="259,9" coordsize="134,160" path="m350,9r-60,l289,15r4,l296,16r3,3l300,21r,9l299,36,276,142r-15,22l259,169r48,l309,164r-4,-1l302,163r-3,-1l298,161r-2,-3l296,156r,-6l298,135r9,-37l351,98r-2,-1l349,96r14,-5l369,88r-60,l324,20r4,l342,20r41,l379,17r-7,-4l368,12,357,10,350,9xe" fillcolor="black" stroked="f">
                <v:path arrowok="t"/>
              </v:shape>
              <v:shape id="_x0000_s1469" style="position:absolute;left:259;top:9;width:134;height:160" coordorigin="259,9" coordsize="134,160" path="m351,98r-28,l326,98r4,1l341,120r6,25l348,154r3,8l353,169r33,l387,164r-4,-1l380,162,364,123r-2,-7l360,111r-4,-8l353,100r-2,-2xe" fillcolor="black" stroked="f">
                <v:path arrowok="t"/>
              </v:shape>
              <v:shape id="_x0000_s1468" style="position:absolute;left:259;top:9;width:134;height:160" coordorigin="259,9" coordsize="134,160" path="m383,20r-41,l346,20r7,1l371,54r-2,7l361,75r-5,5l343,86r-9,2l369,88r5,-3l389,68r4,-10l393,41r-1,-4l389,29r-1,-3l383,20xe" fillcolor="black" stroked="f">
                <v:path arrowok="t"/>
              </v:shape>
            </v:group>
            <v:group id="_x0000_s1463" style="position:absolute;left:412;top:132;width:74;height:87" coordorigin="412,132" coordsize="74,87">
              <v:shape id="_x0000_s1466" style="position:absolute;left:412;top:132;width:74;height:87" coordorigin="412,132" coordsize="74,87" path="m471,132r-15,l449,134r-13,7l430,145r-4,6l423,154r-11,42l413,198r22,21l446,219r7,-2l466,211r4,-3l438,208r-4,-1l429,201r-1,-4l428,187r,-4l429,182r8,-2l464,176r6,-4l431,172r1,-4l458,141r26,l484,140r-7,-6l471,132xe" fillcolor="black" stroked="f">
                <v:path arrowok="t"/>
              </v:shape>
              <v:shape id="_x0000_s1465" style="position:absolute;left:412;top:132;width:74;height:87" coordorigin="412,132" coordsize="74,87" path="m473,193r-27,15l470,208r3,-2l479,200r-6,-7xe" fillcolor="black" stroked="f">
                <v:path arrowok="t"/>
              </v:shape>
              <v:shape id="_x0000_s1464" style="position:absolute;left:412;top:132;width:74;height:87" coordorigin="412,132" coordsize="74,87" path="m484,141r-20,l466,142r4,3l471,148r-1,7l470,157r-39,15l470,172r10,-6l486,151r,-7l484,141xe" fillcolor="black" stroked="f">
                <v:path arrowok="t"/>
              </v:shape>
            </v:group>
            <v:group id="_x0000_s1461" style="position:absolute;left:514;width:74;height:217" coordorigin="514" coordsize="74,217">
              <v:shape id="_x0000_s1462" style="position:absolute;left:514;width:74;height:217" coordorigin="514" coordsize="74,217" path="m517,r13,17l545,30r12,20l563,68r3,20l568,110r,3l547,190r-33,23l532,217r44,-46l588,110,587,91,566,34,536,7,517,xe" fillcolor="black" stroked="f">
                <v:path arrowok="t"/>
              </v:shape>
            </v:group>
            <w10:wrap type="none"/>
            <w10:anchorlock/>
          </v:group>
        </w:pict>
      </w:r>
      <w:r w:rsidR="00C2656B">
        <w:rPr>
          <w:rFonts w:ascii="Times New Roman"/>
          <w:spacing w:val="80"/>
          <w:position w:val="3"/>
          <w:sz w:val="6"/>
        </w:rPr>
        <w:t xml:space="preserve"> </w:t>
      </w:r>
      <w:r w:rsidRPr="00D96B91">
        <w:rPr>
          <w:rFonts w:ascii="Avenir Next"/>
          <w:spacing w:val="80"/>
          <w:position w:val="12"/>
          <w:sz w:val="6"/>
        </w:rPr>
      </w:r>
      <w:r w:rsidRPr="00D96B91">
        <w:rPr>
          <w:rFonts w:ascii="Avenir Next"/>
          <w:spacing w:val="80"/>
          <w:position w:val="12"/>
          <w:sz w:val="6"/>
        </w:rPr>
        <w:pict>
          <v:group id="_x0000_s1455" style="width:8.1pt;height:3.35pt;mso-position-horizontal-relative:char;mso-position-vertical-relative:line" coordsize="162,67">
            <v:group id="_x0000_s1458" style="position:absolute;left:9;top:57;width:145;height:2" coordorigin="9,57" coordsize="145,2">
              <v:shape id="_x0000_s1459" style="position:absolute;left:9;top:57;width:145;height:2" coordorigin="9,57" coordsize="145,0" path="m9,57r144,e" filled="f" strokeweight=".31008mm">
                <v:path arrowok="t"/>
              </v:shape>
            </v:group>
            <v:group id="_x0000_s1456" style="position:absolute;left:9;top:9;width:145;height:2" coordorigin="9,9" coordsize="145,2">
              <v:shape id="_x0000_s1457" style="position:absolute;left:9;top:9;width:145;height:2" coordorigin="9,9" coordsize="145,0" path="m9,9r144,e" filled="f" strokeweight=".31008mm">
                <v:path arrowok="t"/>
              </v:shape>
            </v:group>
            <w10:wrap type="none"/>
            <w10:anchorlock/>
          </v:group>
        </w:pict>
      </w:r>
      <w:r w:rsidR="00C2656B">
        <w:rPr>
          <w:rFonts w:ascii="Times New Roman"/>
          <w:spacing w:val="65"/>
          <w:position w:val="12"/>
          <w:sz w:val="6"/>
        </w:rPr>
        <w:t xml:space="preserve"> </w:t>
      </w:r>
      <w:r w:rsidRPr="00D96B91">
        <w:rPr>
          <w:rFonts w:ascii="Avenir Next"/>
          <w:spacing w:val="65"/>
          <w:sz w:val="20"/>
        </w:rPr>
      </w:r>
      <w:r w:rsidRPr="00D96B91">
        <w:rPr>
          <w:rFonts w:ascii="Avenir Next"/>
          <w:spacing w:val="65"/>
          <w:sz w:val="20"/>
        </w:rPr>
        <w:pict>
          <v:group id="_x0000_s1446" style="width:11.35pt;height:12.1pt;mso-position-horizontal-relative:char;mso-position-vertical-relative:line" coordsize="227,242">
            <v:group id="_x0000_s1451" style="position:absolute;width:134;height:160" coordsize="134,160">
              <v:shape id="_x0000_s1454" style="position:absolute;width:134;height:160" coordsize="134,160" path="m91,l31,,29,6r4,l36,7r4,3l41,12r,9l40,27,17,133,1,154,,160r48,l49,154r-3,l43,153r-3,-1l39,151r-2,-3l37,147r,-6l39,126,47,89r45,l90,87r,-1l104,82r5,-3l50,79,65,11r4,-1l83,10r40,l120,8,113,4,108,2,98,1,91,xe" fillcolor="black" stroked="f">
                <v:path arrowok="t"/>
              </v:shape>
              <v:shape id="_x0000_s1453" style="position:absolute;width:134;height:160" coordsize="134,160" path="m92,89r-28,l67,89r4,1l82,110r5,26l89,145r2,8l94,160r32,l128,154r-4,l121,153,105,114r-2,-7l101,101,97,94,94,90,92,89xe" fillcolor="black" stroked="f">
                <v:path arrowok="t"/>
              </v:shape>
              <v:shape id="_x0000_s1452" style="position:absolute;width:134;height:160" coordsize="134,160" path="m123,10r-40,l87,11r6,l112,45r-2,7l102,66r-5,5l84,77r-9,2l109,79r6,-4l130,58r3,-10l133,32r,-4l130,20r-2,-3l123,10xe" fillcolor="black" stroked="f">
                <v:path arrowok="t"/>
              </v:shape>
            </v:group>
            <v:group id="_x0000_s1447" style="position:absolute;left:129;top:92;width:98;height:150" coordorigin="129,92" coordsize="98,150">
              <v:shape id="_x0000_s1450" style="position:absolute;left:129;top:92;width:98;height:150" coordorigin="129,92" coordsize="98,150" path="m186,134r-16,l152,213r-1,4l137,232r-6,l130,233r,2l129,238r,3l130,241r14,l152,238r6,-6l137,232r-6,l158,232r6,-6l168,217r2,-12l186,134xe" fillcolor="black" stroked="f">
                <v:path arrowok="t"/>
              </v:shape>
              <v:shape id="_x0000_s1449" style="position:absolute;left:129;top:92;width:98;height:150" coordorigin="129,92" coordsize="98,150" path="m201,92r-8,2l180,104r-5,8l172,122r-1,2l157,128r-1,6l209,134r2,-9l187,125r1,-3l203,100r22,l226,93r-2,l222,92r-5,l201,92xe" fillcolor="black" stroked="f">
                <v:path arrowok="t"/>
              </v:shape>
              <v:shape id="_x0000_s1448" style="position:absolute;left:129;top:92;width:98;height:150" coordorigin="129,92" coordsize="98,150" path="m225,100r-17,l210,100r3,3l214,106r1,3l223,109r2,-9xe" fillcolor="black" stroked="f">
                <v:path arrowok="t"/>
              </v:shape>
            </v:group>
            <w10:wrap type="none"/>
            <w10:anchorlock/>
          </v:group>
        </w:pict>
      </w:r>
      <w:r w:rsidR="00C2656B">
        <w:rPr>
          <w:rFonts w:ascii="Times New Roman"/>
          <w:spacing w:val="65"/>
          <w:sz w:val="6"/>
        </w:rPr>
        <w:t xml:space="preserve"> </w:t>
      </w:r>
      <w:r w:rsidR="00C2656B">
        <w:rPr>
          <w:rFonts w:ascii="Avenir Next"/>
          <w:noProof/>
          <w:spacing w:val="65"/>
          <w:position w:val="3"/>
          <w:sz w:val="20"/>
          <w:lang w:val="en-AU" w:eastAsia="en-AU"/>
        </w:rPr>
        <w:drawing>
          <wp:inline distT="0" distB="0" distL="0" distR="0">
            <wp:extent cx="942642" cy="145732"/>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117" cstate="print"/>
                    <a:stretch>
                      <a:fillRect/>
                    </a:stretch>
                  </pic:blipFill>
                  <pic:spPr>
                    <a:xfrm>
                      <a:off x="0" y="0"/>
                      <a:ext cx="942642" cy="145732"/>
                    </a:xfrm>
                    <a:prstGeom prst="rect">
                      <a:avLst/>
                    </a:prstGeom>
                  </pic:spPr>
                </pic:pic>
              </a:graphicData>
            </a:graphic>
          </wp:inline>
        </w:drawing>
      </w:r>
      <w:r w:rsidR="00C2656B">
        <w:rPr>
          <w:rFonts w:ascii="Times New Roman"/>
          <w:spacing w:val="82"/>
          <w:position w:val="3"/>
          <w:sz w:val="6"/>
        </w:rPr>
        <w:t xml:space="preserve"> </w:t>
      </w:r>
      <w:r w:rsidRPr="00D96B91">
        <w:rPr>
          <w:rFonts w:ascii="Avenir Next"/>
          <w:spacing w:val="82"/>
          <w:sz w:val="20"/>
        </w:rPr>
      </w:r>
      <w:r w:rsidRPr="00D96B91">
        <w:rPr>
          <w:rFonts w:ascii="Avenir Next"/>
          <w:spacing w:val="82"/>
          <w:sz w:val="20"/>
        </w:rPr>
        <w:pict>
          <v:group id="_x0000_s1433" style="width:27.75pt;height:12.55pt;mso-position-horizontal-relative:char;mso-position-vertical-relative:line" coordsize="555,251">
            <v:group id="_x0000_s1444" style="position:absolute;left:9;top:101;width:145;height:2" coordorigin="9,101" coordsize="145,2">
              <v:shape id="_x0000_s1445" style="position:absolute;left:9;top:101;width:145;height:2" coordorigin="9,101" coordsize="145,0" path="m9,101r144,e" filled="f" strokeweight=".31008mm">
                <v:path arrowok="t"/>
              </v:shape>
            </v:group>
            <v:group id="_x0000_s1440" style="position:absolute;left:231;top:9;width:134;height:160" coordorigin="231,9" coordsize="134,160">
              <v:shape id="_x0000_s1443" style="position:absolute;left:231;top:9;width:134;height:160" coordorigin="231,9" coordsize="134,160" path="m322,9r-60,l260,15r4,l267,16r4,3l272,21r,9l271,36,247,142r-15,22l231,169r48,l280,164r-4,-1l274,163r-3,-1l269,161r-1,-3l267,156r1,-6l270,135r8,-37l322,98r-1,-1l321,96r14,-5l340,88r-60,l295,20r5,l314,20r40,l351,17r-7,-4l339,12,329,10,322,9xe" fillcolor="black" stroked="f">
                <v:path arrowok="t"/>
              </v:shape>
              <v:shape id="_x0000_s1442" style="position:absolute;left:231;top:9;width:134;height:160" coordorigin="231,9" coordsize="134,160" path="m322,98r-27,l297,98r5,1l313,120r5,25l320,154r2,8l325,169r32,l358,164r-3,-1l352,162,335,123r-1,-7l332,111r-5,-8l324,100r-2,-2xe" fillcolor="black" stroked="f">
                <v:path arrowok="t"/>
              </v:shape>
              <v:shape id="_x0000_s1441" style="position:absolute;left:231;top:9;width:134;height:160" coordorigin="231,9" coordsize="134,160" path="m354,20r-40,l318,20r6,1l342,54r-2,7l333,75r-5,5l314,86r-8,2l340,88r6,-3l360,68r4,-10l364,41r,-4l361,29r-2,-3l354,20xe" fillcolor="black" stroked="f">
                <v:path arrowok="t"/>
              </v:shape>
            </v:group>
            <v:group id="_x0000_s1436" style="position:absolute;left:360;top:101;width:98;height:150" coordorigin="360,101" coordsize="98,150">
              <v:shape id="_x0000_s1439" style="position:absolute;left:360;top:101;width:98;height:150" coordorigin="360,101" coordsize="98,150" path="m416,143r-15,l383,222r-1,4l368,242r-7,l361,243r,1l360,249r,1l361,250r14,l383,248r6,-6l368,242r-6,-1l389,241r5,-5l399,227r2,-12l416,143xe" fillcolor="black" stroked="f">
                <v:path arrowok="t"/>
              </v:shape>
              <v:shape id="_x0000_s1438" style="position:absolute;left:360;top:101;width:98;height:150" coordorigin="360,101" coordsize="98,150" path="m432,101r-8,3l411,113r-5,8l402,132r,1l388,137r-2,6l439,143r2,-9l418,134r1,-2l434,109r22,l457,103r-2,-1l453,102r-5,-1l432,101xe" fillcolor="black" stroked="f">
                <v:path arrowok="t"/>
              </v:shape>
              <v:shape id="_x0000_s1437" style="position:absolute;left:360;top:101;width:98;height:150" coordorigin="360,101" coordsize="98,150" path="m456,109r-17,l441,110r3,3l445,115r,3l454,118r2,-9xe" fillcolor="black" stroked="f">
                <v:path arrowok="t"/>
              </v:shape>
            </v:group>
            <v:group id="_x0000_s1434" style="position:absolute;left:481;width:74;height:217" coordorigin="481" coordsize="74,217">
              <v:shape id="_x0000_s1435" style="position:absolute;left:481;width:74;height:217" coordorigin="481" coordsize="74,217" path="m484,r13,17l512,30r12,20l530,68r3,20l534,110r,3l514,190r-33,23l499,217r44,-46l555,110,553,91,533,34,503,7,484,xe" fillcolor="black" stroked="f">
                <v:path arrowok="t"/>
              </v:shape>
            </v:group>
            <w10:wrap type="none"/>
            <w10:anchorlock/>
          </v:group>
        </w:pict>
      </w:r>
      <w:r w:rsidR="00C2656B">
        <w:rPr>
          <w:rFonts w:ascii="Times New Roman"/>
          <w:spacing w:val="73"/>
          <w:sz w:val="6"/>
        </w:rPr>
        <w:t xml:space="preserve"> </w:t>
      </w:r>
      <w:r w:rsidRPr="00D96B91">
        <w:rPr>
          <w:rFonts w:ascii="Avenir Next"/>
          <w:spacing w:val="73"/>
          <w:position w:val="8"/>
          <w:sz w:val="11"/>
        </w:rPr>
      </w:r>
      <w:r w:rsidRPr="00D96B91">
        <w:rPr>
          <w:rFonts w:ascii="Avenir Next"/>
          <w:spacing w:val="73"/>
          <w:position w:val="8"/>
          <w:sz w:val="11"/>
        </w:rPr>
        <w:pict>
          <v:group id="_x0000_s1423" style="width:9.7pt;height:5.7pt;mso-position-horizontal-relative:char;mso-position-vertical-relative:line" coordsize="194,114">
            <v:group id="_x0000_s1430" style="position:absolute;width:104;height:114" coordsize="104,114">
              <v:shape id="_x0000_s1432" style="position:absolute;width:104;height:114" coordsize="104,114" path="m52,l43,,35,2,19,12r-7,7l2,38,,48,,60,4,78,14,97r16,13l51,114r10,l70,111r9,-6l45,105r-8,-5l30,87,24,69,22,48r,-10l44,8r33,l72,4,52,xe" fillcolor="black" stroked="f">
                <v:path arrowok="t"/>
              </v:shape>
              <v:shape id="_x0000_s1431" style="position:absolute;width:104;height:114" coordsize="104,114" path="m77,8l57,8r7,3l73,24r7,18l82,64r,15l79,90,69,102r-6,3l79,105r7,-4l92,94r9,-20l104,64r,-11l100,34,89,16,77,8xe" fillcolor="black" stroked="f">
                <v:path arrowok="t"/>
              </v:shape>
            </v:group>
            <v:group id="_x0000_s1424" style="position:absolute;left:113;width:80;height:111" coordorigin="113" coordsize="80,111">
              <v:shape id="_x0000_s1429" style="position:absolute;left:113;width:80;height:111" coordorigin="113" coordsize="80,111" path="m170,106r-55,l115,111r55,l170,106xe" fillcolor="black" stroked="f">
                <v:path arrowok="t"/>
              </v:shape>
              <v:shape id="_x0000_s1428" style="position:absolute;left:113;width:80;height:111" coordorigin="113" coordsize="80,111" path="m151,16r-26,l127,16r2,2l130,20r1,5l131,96r,l130,100r-1,2l124,105r-4,1l165,106,151,91r,-57l155,27r1,-3l151,24r,-8xe" fillcolor="black" stroked="f">
                <v:path arrowok="t"/>
              </v:shape>
              <v:shape id="_x0000_s1427" style="position:absolute;left:113;width:80;height:111" coordorigin="113" coordsize="80,111" path="m183,l169,r-9,8l151,24r5,l158,21r4,-3l163,17r2,-1l193,16r,-6l192,7,186,1,183,xe" fillcolor="black" stroked="f">
                <v:path arrowok="t"/>
              </v:shape>
              <v:shape id="_x0000_s1426" style="position:absolute;left:113;width:80;height:111" coordorigin="113" coordsize="80,111" path="m193,16r-25,l170,17r7,6l180,24r6,l188,23r4,-4l193,16r,xe" fillcolor="black" stroked="f">
                <v:path arrowok="t"/>
              </v:shape>
              <v:shape id="_x0000_s1425" style="position:absolute;left:113;width:80;height:111" coordorigin="113" coordsize="80,111" path="m151,r-5,l113,13r2,4l118,16r2,l151,16,151,xe" fillcolor="black" stroked="f">
                <v:path arrowok="t"/>
              </v:shape>
            </v:group>
            <w10:wrap type="none"/>
            <w10:anchorlock/>
          </v:group>
        </w:pict>
      </w:r>
    </w:p>
    <w:p w:rsidR="00D96B91" w:rsidRDefault="00D96B91">
      <w:pPr>
        <w:spacing w:before="13"/>
        <w:rPr>
          <w:rFonts w:ascii="Avenir Next" w:eastAsia="Avenir Next" w:hAnsi="Avenir Next" w:cs="Avenir Next"/>
          <w:sz w:val="21"/>
          <w:szCs w:val="21"/>
        </w:rPr>
      </w:pPr>
    </w:p>
    <w:p w:rsidR="00D96B91" w:rsidRDefault="00D96B91">
      <w:pPr>
        <w:spacing w:line="60" w:lineRule="atLeast"/>
        <w:ind w:left="4146"/>
        <w:rPr>
          <w:rFonts w:ascii="Avenir Next" w:eastAsia="Avenir Next" w:hAnsi="Avenir Next" w:cs="Avenir Next"/>
          <w:sz w:val="20"/>
          <w:szCs w:val="20"/>
        </w:rPr>
      </w:pPr>
      <w:r w:rsidRPr="00D96B91">
        <w:rPr>
          <w:rFonts w:ascii="Avenir Next"/>
          <w:position w:val="3"/>
          <w:sz w:val="20"/>
        </w:rPr>
      </w:r>
      <w:r w:rsidRPr="00D96B91">
        <w:rPr>
          <w:rFonts w:ascii="Avenir Next"/>
          <w:position w:val="3"/>
          <w:sz w:val="20"/>
        </w:rPr>
        <w:pict>
          <v:group id="_x0000_s1404" style="width:29.55pt;height:11.15pt;mso-position-horizontal-relative:char;mso-position-vertical-relative:line" coordsize="591,223">
            <v:group id="_x0000_s1417" style="position:absolute;top:9;width:139;height:160" coordorigin=",9" coordsize="139,160">
              <v:shape id="_x0000_s1422" style="position:absolute;top:9;width:139;height:160" coordorigin=",9" coordsize="139,160" path="m139,9l31,9r-2,6l33,15r3,1l40,19r1,3l41,30r-1,6l17,142,1,164,,169r104,l107,159r-73,l49,91r50,l102,81r-51,l65,20r71,l139,9xe" fillcolor="black" stroked="f">
                <v:path arrowok="t"/>
              </v:shape>
              <v:shape id="_x0000_s1421" style="position:absolute;top:9;width:139;height:160" coordorigin=",9" coordsize="139,160" path="m114,129r-11,l100,135r-3,5l73,159r34,l114,129xe" fillcolor="black" stroked="f">
                <v:path arrowok="t"/>
              </v:shape>
              <v:shape id="_x0000_s1420" style="position:absolute;top:9;width:139;height:160" coordorigin=",9" coordsize="139,160" path="m99,91r-23,l79,92r3,1l83,94r2,5l85,103r,6l95,109,99,91xe" fillcolor="black" stroked="f">
                <v:path arrowok="t"/>
              </v:shape>
              <v:shape id="_x0000_s1419" style="position:absolute;top:9;width:139;height:160" coordorigin=",9" coordsize="139,160" path="m106,64r-11,l92,70r-3,5l83,80r-4,1l102,81r4,-17xe" fillcolor="black" stroked="f">
                <v:path arrowok="t"/>
              </v:shape>
              <v:shape id="_x0000_s1418" style="position:absolute;top:9;width:139;height:160" coordorigin=",9" coordsize="139,160" path="m136,20r-30,l108,20r4,1l119,45r11,l136,20xe" fillcolor="black" stroked="f">
                <v:path arrowok="t"/>
              </v:shape>
            </v:group>
            <v:group id="_x0000_s1415" style="position:absolute;left:177;top:5;width:73;height:218" coordorigin="177,5" coordsize="73,218">
              <v:shape id="_x0000_s1416" style="position:absolute;left:177;top:5;width:73;height:218" coordorigin="177,5" coordsize="73,218" path="m233,5l188,49r-11,84l180,151r30,52l246,222r2,-9l232,205,218,191,205,171r-5,-18l197,133r-2,-23l195,109,216,32,249,9,233,5xe" fillcolor="black" stroked="f">
                <v:path arrowok="t"/>
              </v:shape>
            </v:group>
            <v:group id="_x0000_s1411" style="position:absolute;left:262;top:9;width:134;height:160" coordorigin="262,9" coordsize="134,160">
              <v:shape id="_x0000_s1414" style="position:absolute;left:262;top:9;width:134;height:160" coordorigin="262,9" coordsize="134,160" path="m353,9r-61,l291,15r4,l298,16r4,3l302,21r,9l302,36,278,142r-15,22l262,169r48,l311,164r-4,-1l305,163r-4,-1l300,161r-1,-3l298,156r,-6l301,135r8,-37l353,98r-2,-1l351,96r15,-5l371,88r-60,l326,20r5,l345,20r40,l382,17r-8,-4l370,12,359,10,353,9xe" fillcolor="black" stroked="f">
                <v:path arrowok="t"/>
              </v:shape>
              <v:shape id="_x0000_s1413" style="position:absolute;left:262;top:9;width:134;height:160" coordorigin="262,9" coordsize="134,160" path="m353,98r-28,l328,98r5,1l344,120r5,25l351,154r2,8l356,169r32,l389,164r-3,-1l383,162,366,123r-1,-7l363,111r-5,-8l355,100r-2,-2xe" fillcolor="black" stroked="f">
                <v:path arrowok="t"/>
              </v:shape>
              <v:shape id="_x0000_s1412" style="position:absolute;left:262;top:9;width:134;height:160" coordorigin="262,9" coordsize="134,160" path="m385,20r-40,l349,20r6,1l373,54r-2,7l364,75r-6,5l345,86r-9,2l371,88r6,-3l391,68r4,-10l395,41r-1,-4l392,29r-2,-3l385,20xe" fillcolor="black" stroked="f">
                <v:path arrowok="t"/>
              </v:shape>
            </v:group>
            <v:group id="_x0000_s1407" style="position:absolute;left:415;top:132;width:74;height:87" coordorigin="415,132" coordsize="74,87">
              <v:shape id="_x0000_s1410" style="position:absolute;left:415;top:132;width:74;height:87" coordorigin="415,132" coordsize="74,87" path="m474,132r-15,l452,134r-14,7l433,145r-5,6l426,154r-11,42l415,198r22,21l449,219r7,-2l468,211r4,-3l440,208r-3,-1l432,201r-2,-4l430,187r1,-4l431,182r8,-2l466,176r6,-4l433,172r1,-4l460,141r27,l486,140r-7,-6l474,132xe" fillcolor="black" stroked="f">
                <v:path arrowok="t"/>
              </v:shape>
              <v:shape id="_x0000_s1409" style="position:absolute;left:415;top:132;width:74;height:87" coordorigin="415,132" coordsize="74,87" path="m475,193r-27,15l472,208r3,-2l481,200r-6,-7xe" fillcolor="black" stroked="f">
                <v:path arrowok="t"/>
              </v:shape>
              <v:shape id="_x0000_s1408" style="position:absolute;left:415;top:132;width:74;height:87" coordorigin="415,132" coordsize="74,87" path="m487,141r-21,l469,142r3,3l473,148r,7l472,157r-39,15l472,172r11,-6l488,151r,-7l487,141xe" fillcolor="black" stroked="f">
                <v:path arrowok="t"/>
              </v:shape>
            </v:group>
            <v:group id="_x0000_s1405" style="position:absolute;left:517;width:74;height:217" coordorigin="517" coordsize="74,217">
              <v:shape id="_x0000_s1406" style="position:absolute;left:517;width:74;height:217" coordorigin="517" coordsize="74,217" path="m519,r14,17l547,30r12,20l565,68r4,20l570,110r,3l549,190r-32,23l534,217r44,-46l590,110,589,91,569,34,539,7,519,xe" fillcolor="black" stroked="f">
                <v:path arrowok="t"/>
              </v:shape>
            </v:group>
            <w10:wrap type="none"/>
            <w10:anchorlock/>
          </v:group>
        </w:pict>
      </w:r>
      <w:r w:rsidR="00C2656B">
        <w:rPr>
          <w:rFonts w:ascii="Times New Roman"/>
          <w:spacing w:val="78"/>
          <w:position w:val="3"/>
          <w:sz w:val="6"/>
        </w:rPr>
        <w:t xml:space="preserve"> </w:t>
      </w:r>
      <w:r w:rsidRPr="00D96B91">
        <w:rPr>
          <w:rFonts w:ascii="Avenir Next"/>
          <w:spacing w:val="78"/>
          <w:position w:val="12"/>
          <w:sz w:val="6"/>
        </w:rPr>
      </w:r>
      <w:r w:rsidRPr="00D96B91">
        <w:rPr>
          <w:rFonts w:ascii="Avenir Next"/>
          <w:spacing w:val="78"/>
          <w:position w:val="12"/>
          <w:sz w:val="6"/>
        </w:rPr>
        <w:pict>
          <v:group id="_x0000_s1399" style="width:8.1pt;height:3.35pt;mso-position-horizontal-relative:char;mso-position-vertical-relative:line" coordsize="162,67">
            <v:group id="_x0000_s1402" style="position:absolute;left:9;top:57;width:145;height:2" coordorigin="9,57" coordsize="145,2">
              <v:shape id="_x0000_s1403" style="position:absolute;left:9;top:57;width:145;height:2" coordorigin="9,57" coordsize="145,0" path="m9,57r144,e" filled="f" strokeweight=".31008mm">
                <v:path arrowok="t"/>
              </v:shape>
            </v:group>
            <v:group id="_x0000_s1400" style="position:absolute;left:9;top:9;width:145;height:2" coordorigin="9,9" coordsize="145,2">
              <v:shape id="_x0000_s1401" style="position:absolute;left:9;top:9;width:145;height:2" coordorigin="9,9" coordsize="145,0" path="m9,9r144,e" filled="f" strokeweight=".31008mm">
                <v:path arrowok="t"/>
              </v:shape>
            </v:group>
            <w10:wrap type="none"/>
            <w10:anchorlock/>
          </v:group>
        </w:pict>
      </w:r>
      <w:r w:rsidR="00C2656B">
        <w:rPr>
          <w:rFonts w:ascii="Times New Roman"/>
          <w:spacing w:val="68"/>
          <w:position w:val="12"/>
          <w:sz w:val="6"/>
        </w:rPr>
        <w:t xml:space="preserve"> </w:t>
      </w:r>
      <w:r w:rsidRPr="00D96B91">
        <w:rPr>
          <w:rFonts w:ascii="Avenir Next"/>
          <w:spacing w:val="68"/>
          <w:sz w:val="20"/>
        </w:rPr>
      </w:r>
      <w:r w:rsidRPr="00D96B91">
        <w:rPr>
          <w:rFonts w:ascii="Avenir Next"/>
          <w:spacing w:val="68"/>
          <w:sz w:val="20"/>
        </w:rPr>
        <w:pict>
          <v:group id="_x0000_s1390" style="width:11.35pt;height:12.1pt;mso-position-horizontal-relative:char;mso-position-vertical-relative:line" coordsize="227,242">
            <v:group id="_x0000_s1395" style="position:absolute;width:134;height:160" coordsize="134,160">
              <v:shape id="_x0000_s1398" style="position:absolute;width:134;height:160" coordsize="134,160" path="m91,l31,,29,6r4,l36,7r4,3l41,12r,9l40,27,17,133,1,154,,160r48,l49,154r-3,l43,153r-3,-1l39,151r-2,-3l37,147r,-6l39,126,47,89r45,l90,87r,-1l104,82r5,-3l50,79,65,11r4,-1l83,10r40,l120,8,113,4,108,2,98,,91,xe" fillcolor="black" stroked="f">
                <v:path arrowok="t"/>
              </v:shape>
              <v:shape id="_x0000_s1397" style="position:absolute;width:134;height:160" coordsize="134,160" path="m92,89r-28,l67,89r4,1l82,110r5,26l89,145r2,8l94,160r32,l128,154r-4,l121,153,105,114r-2,-7l101,101,97,94,94,90,92,89xe" fillcolor="black" stroked="f">
                <v:path arrowok="t"/>
              </v:shape>
              <v:shape id="_x0000_s1396" style="position:absolute;width:134;height:160" coordsize="134,160" path="m123,10r-40,l87,11r6,l112,45r-2,7l102,66r-5,5l84,77r-9,2l109,79r6,-4l130,58r3,-10l133,32r,-4l130,20r-2,-3l123,10xe" fillcolor="black" stroked="f">
                <v:path arrowok="t"/>
              </v:shape>
            </v:group>
            <v:group id="_x0000_s1391" style="position:absolute;left:129;top:92;width:98;height:150" coordorigin="129,92" coordsize="98,150">
              <v:shape id="_x0000_s1394" style="position:absolute;left:129;top:92;width:98;height:150" coordorigin="129,92" coordsize="98,150" path="m186,134r-16,l152,213r-1,4l137,232r-6,l130,233r,2l129,238r,3l130,241r14,l152,238r6,-6l137,232r-6,l158,232r6,-6l168,217r2,-12l186,134xe" fillcolor="black" stroked="f">
                <v:path arrowok="t"/>
              </v:shape>
              <v:shape id="_x0000_s1393" style="position:absolute;left:129;top:92;width:98;height:150" coordorigin="129,92" coordsize="98,150" path="m201,92r-8,2l180,104r-5,8l172,122r-1,2l157,128r-1,6l209,134r2,-9l187,125r1,-3l203,100r22,l226,93r-2,l222,92r-5,l201,92xe" fillcolor="black" stroked="f">
                <v:path arrowok="t"/>
              </v:shape>
              <v:shape id="_x0000_s1392" style="position:absolute;left:129;top:92;width:98;height:150" coordorigin="129,92" coordsize="98,150" path="m225,100r-17,l210,100r3,3l214,106r1,3l223,109r2,-9xe" fillcolor="black" stroked="f">
                <v:path arrowok="t"/>
              </v:shape>
            </v:group>
            <w10:wrap type="none"/>
            <w10:anchorlock/>
          </v:group>
        </w:pict>
      </w:r>
      <w:r w:rsidR="00C2656B">
        <w:rPr>
          <w:rFonts w:ascii="Times New Roman"/>
          <w:spacing w:val="65"/>
          <w:sz w:val="6"/>
        </w:rPr>
        <w:t xml:space="preserve"> </w:t>
      </w:r>
      <w:r w:rsidR="00C2656B">
        <w:rPr>
          <w:rFonts w:ascii="Avenir Next"/>
          <w:noProof/>
          <w:spacing w:val="65"/>
          <w:position w:val="3"/>
          <w:sz w:val="20"/>
          <w:lang w:val="en-AU" w:eastAsia="en-AU"/>
        </w:rPr>
        <w:drawing>
          <wp:inline distT="0" distB="0" distL="0" distR="0">
            <wp:extent cx="910599" cy="147637"/>
            <wp:effectExtent l="0" t="0" r="0" b="0"/>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118" cstate="print"/>
                    <a:stretch>
                      <a:fillRect/>
                    </a:stretch>
                  </pic:blipFill>
                  <pic:spPr>
                    <a:xfrm>
                      <a:off x="0" y="0"/>
                      <a:ext cx="910599" cy="147637"/>
                    </a:xfrm>
                    <a:prstGeom prst="rect">
                      <a:avLst/>
                    </a:prstGeom>
                  </pic:spPr>
                </pic:pic>
              </a:graphicData>
            </a:graphic>
          </wp:inline>
        </w:drawing>
      </w:r>
    </w:p>
    <w:p w:rsidR="00D96B91" w:rsidRDefault="00D96B91">
      <w:pPr>
        <w:rPr>
          <w:rFonts w:ascii="Avenir Next" w:eastAsia="Avenir Next" w:hAnsi="Avenir Next" w:cs="Avenir Next"/>
          <w:sz w:val="16"/>
          <w:szCs w:val="16"/>
        </w:rPr>
      </w:pPr>
    </w:p>
    <w:p w:rsidR="00D96B91" w:rsidRDefault="00C2656B">
      <w:pPr>
        <w:pStyle w:val="BodyText"/>
        <w:rPr>
          <w:rFonts w:cs="Avenir Next"/>
        </w:rPr>
      </w:pPr>
      <w:r>
        <w:rPr>
          <w:spacing w:val="-1"/>
        </w:rPr>
        <w:t>Where:</w:t>
      </w:r>
    </w:p>
    <w:p w:rsidR="00D96B91" w:rsidRDefault="00D96B91">
      <w:pPr>
        <w:pStyle w:val="BodyText"/>
        <w:spacing w:before="157"/>
        <w:ind w:left="1938"/>
        <w:rPr>
          <w:rFonts w:cs="Avenir Next"/>
        </w:rPr>
      </w:pPr>
      <w:r w:rsidRPr="00D96B91">
        <w:pict>
          <v:group id="_x0000_s1386" style="position:absolute;left:0;text-align:left;margin-left:250.35pt;margin-top:13.1pt;width:4.8pt;height:5.35pt;z-index:251554304;mso-position-horizontal-relative:page" coordorigin="5007,262" coordsize="96,107">
            <v:shape id="_x0000_s1389" style="position:absolute;left:5007;top:262;width:96;height:107" coordorigin="5007,262" coordsize="96,107" path="m5087,262r-20,l5056,265r-22,13l5025,288r-14,24l5007,324r,20l5010,352r8,10l5031,368r27,-1l5076,358r-30,l5040,356r-10,-10l5027,340r,-9l5028,327r,-4l5044,322r12,-3l5060,318r-31,l5030,315r8,-20l5049,280r9,-8l5066,267r32,l5093,263r-6,-1xe" fillcolor="black" stroked="f">
              <v:path arrowok="t"/>
            </v:shape>
            <v:shape id="_x0000_s1388" style="position:absolute;left:5007;top:262;width:96;height:107" coordorigin="5007,262" coordsize="96,107" path="m5092,339r-10,8l5074,352r-10,5l5058,358r18,l5095,343r-3,-4xe" fillcolor="black" stroked="f">
              <v:path arrowok="t"/>
            </v:shape>
            <v:shape id="_x0000_s1387" style="position:absolute;left:5007;top:262;width:96;height:107" coordorigin="5007,262" coordsize="96,107" path="m5098,267r-20,l5081,268r4,4l5086,275r,9l5029,318r31,l5103,285r,-11l5101,270r-3,-3xe" fillcolor="black" stroked="f">
              <v:path arrowok="t"/>
            </v:shape>
            <w10:wrap anchorx="page"/>
          </v:group>
        </w:pict>
      </w:r>
      <w:r w:rsidRPr="00D96B91">
        <w:pict>
          <v:group id="_x0000_s1367" style="position:absolute;left:0;text-align:left;margin-left:64pt;margin-top:9.05pt;width:29.55pt;height:11.15pt;z-index:251555328;mso-position-horizontal-relative:page" coordorigin="1280,181" coordsize="591,223">
            <v:group id="_x0000_s1380" style="position:absolute;left:1280;top:191;width:139;height:160" coordorigin="1280,191" coordsize="139,160">
              <v:shape id="_x0000_s1385" style="position:absolute;left:1280;top:191;width:139;height:160" coordorigin="1280,191" coordsize="139,160" path="m1418,191r-107,l1309,196r4,1l1316,198r4,2l1321,203r,8l1320,218r-23,106l1281,345r-1,6l1384,351r3,-11l1314,340r15,-67l1379,273r3,-11l1331,262r14,-61l1416,201r2,-10xe" fillcolor="black" stroked="f">
                <v:path arrowok="t"/>
              </v:shape>
              <v:shape id="_x0000_s1384" style="position:absolute;left:1280;top:191;width:139;height:160" coordorigin="1280,191" coordsize="139,160" path="m1394,310r-11,l1380,317r-3,5l1353,340r34,l1394,310xe" fillcolor="black" stroked="f">
                <v:path arrowok="t"/>
              </v:shape>
              <v:shape id="_x0000_s1383" style="position:absolute;left:1280;top:191;width:139;height:160" coordorigin="1280,191" coordsize="139,160" path="m1379,273r-23,l1359,273r3,1l1363,276r2,4l1365,284r,7l1375,291r4,-18xe" fillcolor="black" stroked="f">
                <v:path arrowok="t"/>
              </v:shape>
              <v:shape id="_x0000_s1382" style="position:absolute;left:1280;top:191;width:139;height:160" coordorigin="1280,191" coordsize="139,160" path="m1386,246r-11,l1372,252r-3,4l1363,261r-4,1l1382,262r4,-16xe" fillcolor="black" stroked="f">
                <v:path arrowok="t"/>
              </v:shape>
              <v:shape id="_x0000_s1381" style="position:absolute;left:1280;top:191;width:139;height:160" coordorigin="1280,191" coordsize="139,160" path="m1416,201r-30,l1388,201r4,1l1399,227r11,l1416,201xe" fillcolor="black" stroked="f">
                <v:path arrowok="t"/>
              </v:shape>
            </v:group>
            <v:group id="_x0000_s1378" style="position:absolute;left:1457;top:186;width:73;height:218" coordorigin="1457,186" coordsize="73,218">
              <v:shape id="_x0000_s1379" style="position:absolute;left:1457;top:186;width:73;height:218" coordorigin="1457,186" coordsize="73,218" path="m1513,186r-45,44l1457,314r3,18l1490,385r36,19l1528,394r-16,-8l1498,372r-13,-20l1480,334r-3,-20l1475,291r,l1496,213r33,-23l1513,186xe" fillcolor="black" stroked="f">
                <v:path arrowok="t"/>
              </v:shape>
            </v:group>
            <v:group id="_x0000_s1374" style="position:absolute;left:1542;top:191;width:134;height:160" coordorigin="1542,191" coordsize="134,160">
              <v:shape id="_x0000_s1377" style="position:absolute;left:1542;top:191;width:134;height:160" coordorigin="1542,191" coordsize="134,160" path="m1633,191r-61,l1571,196r4,1l1578,198r4,3l1582,203r,9l1582,218r-24,106l1543,345r-1,6l1590,351r1,-6l1587,345r-3,-1l1581,343r-1,-1l1579,339r-1,-2l1578,332r3,-15l1589,279r44,l1631,278r,-1l1646,273r5,-4l1591,269r15,-67l1611,201r14,l1665,201r-3,-2l1654,195r-4,-2l1639,191r-6,xe" fillcolor="black" stroked="f">
                <v:path arrowok="t"/>
              </v:shape>
              <v:shape id="_x0000_s1376" style="position:absolute;left:1542;top:191;width:134;height:160" coordorigin="1542,191" coordsize="134,160" path="m1633,279r-28,l1608,280r5,1l1624,301r5,25l1631,335r2,9l1636,351r32,l1669,345r-4,-1l1663,344r-17,-39l1645,298r-2,-6l1638,284r-3,-3l1633,279xe" fillcolor="black" stroked="f">
                <v:path arrowok="t"/>
              </v:shape>
              <v:shape id="_x0000_s1375" style="position:absolute;left:1542;top:191;width:134;height:160" coordorigin="1542,191" coordsize="134,160" path="m1665,201r-40,l1629,201r6,1l1653,235r-2,8l1644,257r-6,5l1625,268r-9,1l1651,269r6,-3l1671,249r4,-10l1675,223r-1,-5l1672,211r-2,-4l1665,201xe" fillcolor="black" stroked="f">
                <v:path arrowok="t"/>
              </v:shape>
            </v:group>
            <v:group id="_x0000_s1370" style="position:absolute;left:1694;top:314;width:74;height:87" coordorigin="1694,314" coordsize="74,87">
              <v:shape id="_x0000_s1373" style="position:absolute;left:1694;top:314;width:74;height:87" coordorigin="1694,314" coordsize="74,87" path="m1754,314r-15,l1731,315r-13,7l1713,326r-5,6l1706,335r-12,42l1695,380r22,20l1729,400r7,-1l1748,392r4,-3l1720,389r-4,-1l1711,382r-1,-4l1710,368r1,-3l1711,363r8,-1l1746,357r6,-3l1713,354r1,-5l1740,322r26,l1766,322r-7,-7l1754,314xe" fillcolor="black" stroked="f">
                <v:path arrowok="t"/>
              </v:shape>
              <v:shape id="_x0000_s1372" style="position:absolute;left:1694;top:314;width:74;height:87" coordorigin="1694,314" coordsize="74,87" path="m1755,374r-27,15l1752,389r3,-2l1761,381r-6,-7xe" fillcolor="black" stroked="f">
                <v:path arrowok="t"/>
              </v:shape>
              <v:shape id="_x0000_s1371" style="position:absolute;left:1694;top:314;width:74;height:87" coordorigin="1694,314" coordsize="74,87" path="m1766,322r-20,l1749,323r3,4l1753,330r,7l1752,339r-39,15l1752,354r11,-7l1768,332r,-6l1766,322xe" fillcolor="black" stroked="f">
                <v:path arrowok="t"/>
              </v:shape>
            </v:group>
            <v:group id="_x0000_s1368" style="position:absolute;left:1796;top:181;width:74;height:217" coordorigin="1796,181" coordsize="74,217">
              <v:shape id="_x0000_s1369" style="position:absolute;left:1796;top:181;width:74;height:217" coordorigin="1796,181" coordsize="74,217" path="m1799,181r14,17l1827,212r12,19l1845,249r4,20l1850,291r,3l1829,371r-33,24l1814,398r44,-45l1870,291r-1,-19l1849,216r-30,-27l1799,181xe" fillcolor="black" stroked="f">
                <v:path arrowok="t"/>
              </v:shape>
            </v:group>
            <w10:wrap anchorx="page"/>
          </v:group>
        </w:pict>
      </w:r>
      <w:r w:rsidR="00C2656B">
        <w:t xml:space="preserve">is the </w:t>
      </w:r>
      <w:r w:rsidR="00C2656B">
        <w:rPr>
          <w:spacing w:val="-1"/>
        </w:rPr>
        <w:t>expected</w:t>
      </w:r>
      <w:r w:rsidR="00C2656B">
        <w:t xml:space="preserve"> </w:t>
      </w:r>
      <w:r w:rsidR="00C2656B">
        <w:rPr>
          <w:spacing w:val="-1"/>
        </w:rPr>
        <w:t>return</w:t>
      </w:r>
      <w:r w:rsidR="00C2656B">
        <w:t xml:space="preserve"> on a stock</w:t>
      </w:r>
    </w:p>
    <w:p w:rsidR="00D96B91" w:rsidRDefault="00D96B91">
      <w:pPr>
        <w:spacing w:before="1"/>
        <w:rPr>
          <w:rFonts w:ascii="Avenir Next" w:eastAsia="Avenir Next" w:hAnsi="Avenir Next" w:cs="Avenir Next"/>
          <w:sz w:val="8"/>
          <w:szCs w:val="8"/>
        </w:rPr>
      </w:pPr>
    </w:p>
    <w:p w:rsidR="00D96B91" w:rsidRDefault="00D96B91">
      <w:pPr>
        <w:pStyle w:val="BodyText"/>
        <w:spacing w:before="46"/>
        <w:ind w:left="1617"/>
      </w:pPr>
      <w:r w:rsidRPr="00D96B91">
        <w:pict>
          <v:group id="_x0000_s1358" style="position:absolute;left:0;text-align:left;margin-left:64pt;margin-top:3.1pt;width:11.35pt;height:12.1pt;z-index:251556352;mso-position-horizontal-relative:page" coordorigin="1280,62" coordsize="227,242">
            <v:group id="_x0000_s1363" style="position:absolute;left:1280;top:62;width:134;height:160" coordorigin="1280,62" coordsize="134,160">
              <v:shape id="_x0000_s1366" style="position:absolute;left:1280;top:62;width:134;height:160" coordorigin="1280,62" coordsize="134,160" path="m1371,62r-60,l1309,68r4,l1316,69r4,3l1321,74r,9l1320,89r-23,106l1281,216r-1,6l1328,222r1,-6l1326,216r-3,-1l1320,214r-1,-1l1317,210r,-2l1317,203r2,-15l1327,151r45,l1370,149r,-1l1384,144r5,-4l1330,140r15,-67l1349,72r14,l1403,72r-3,-2l1393,66r-5,-2l1378,62r-7,xe" fillcolor="black" stroked="f">
                <v:path arrowok="t"/>
              </v:shape>
              <v:shape id="_x0000_s1365" style="position:absolute;left:1280;top:62;width:134;height:160" coordorigin="1280,62" coordsize="134,160" path="m1372,151r-28,l1347,151r4,1l1362,172r5,25l1369,207r2,8l1374,222r32,l1408,216r-4,-1l1401,215r-17,-39l1383,169r-2,-6l1377,155r-3,-3l1372,151xe" fillcolor="black" stroked="f">
                <v:path arrowok="t"/>
              </v:shape>
              <v:shape id="_x0000_s1364" style="position:absolute;left:1280;top:62;width:134;height:160" coordorigin="1280,62" coordsize="134,160" path="m1403,72r-40,l1367,72r6,1l1392,106r-2,8l1382,128r-5,5l1364,139r-9,1l1389,140r6,-3l1410,120r3,-10l1413,94r,-4l1410,82r-2,-4l1403,72xe" fillcolor="black" stroked="f">
                <v:path arrowok="t"/>
              </v:shape>
            </v:group>
            <v:group id="_x0000_s1359" style="position:absolute;left:1409;top:153;width:98;height:150" coordorigin="1409,153" coordsize="98,150">
              <v:shape id="_x0000_s1362" style="position:absolute;left:1409;top:153;width:98;height:150" coordorigin="1409,153" coordsize="98,150" path="m1465,196r-15,l1432,275r-1,4l1417,294r-6,l1410,295r,2l1409,300r,2l1410,303r14,l1432,300r6,-6l1417,294r-6,l1438,294r6,-6l1448,279r2,-12l1465,196xe" fillcolor="black" stroked="f">
                <v:path arrowok="t"/>
              </v:shape>
              <v:shape id="_x0000_s1361" style="position:absolute;left:1409;top:153;width:98;height:150" coordorigin="1409,153" coordsize="98,150" path="m1481,153r-8,3l1460,166r-5,7l1452,184r-1,1l1437,189r-1,7l1489,196r1,-9l1467,187r1,-3l1483,161r22,l1506,155r-2,l1502,154r-5,l1481,153xe" fillcolor="black" stroked="f">
                <v:path arrowok="t"/>
              </v:shape>
              <v:shape id="_x0000_s1360" style="position:absolute;left:1409;top:153;width:98;height:150" coordorigin="1409,153" coordsize="98,150" path="m1505,161r-17,l1490,162r3,3l1494,167r1,4l1503,171r2,-10xe" fillcolor="black" stroked="f">
                <v:path arrowok="t"/>
              </v:shape>
            </v:group>
            <w10:wrap anchorx="page"/>
          </v:group>
        </w:pict>
      </w:r>
      <w:r w:rsidR="00C2656B">
        <w:t xml:space="preserve">is the </w:t>
      </w:r>
      <w:r w:rsidR="00C2656B">
        <w:rPr>
          <w:spacing w:val="-1"/>
        </w:rPr>
        <w:t>risk-free</w:t>
      </w:r>
      <w:r w:rsidR="00C2656B">
        <w:t xml:space="preserve"> </w:t>
      </w:r>
      <w:r w:rsidR="00C2656B">
        <w:rPr>
          <w:spacing w:val="-2"/>
        </w:rPr>
        <w:t>rate</w:t>
      </w:r>
    </w:p>
    <w:p w:rsidR="00D96B91" w:rsidRDefault="00D96B91">
      <w:pPr>
        <w:pStyle w:val="BodyText"/>
        <w:spacing w:before="157"/>
        <w:ind w:left="1579"/>
        <w:rPr>
          <w:rFonts w:cs="Avenir Next"/>
        </w:rPr>
      </w:pPr>
      <w:r w:rsidRPr="00D96B91">
        <w:pict>
          <v:group id="_x0000_s1349" style="position:absolute;left:0;text-align:left;margin-left:63.75pt;margin-top:9.5pt;width:10.75pt;height:10.95pt;z-index:251557376;mso-position-horizontal-relative:page" coordorigin="1275,190" coordsize="215,219">
            <v:group id="_x0000_s1354" style="position:absolute;left:1275;top:190;width:134;height:219" coordorigin="1275,190" coordsize="134,219">
              <v:shape id="_x0000_s1357" style="position:absolute;left:1275;top:190;width:134;height:219" coordorigin="1275,190" coordsize="134,219" path="m1382,190r-22,l1350,192r-75,216l1294,408r13,-56l1367,352r4,-2l1332,350r-4,l1312,337r,-5l1330,249r29,-50l1400,199r-8,-7l1382,190xe" fillcolor="black" stroked="f">
                <v:path arrowok="t"/>
              </v:shape>
              <v:shape id="_x0000_s1356" style="position:absolute;left:1275;top:190;width:134;height:219" coordorigin="1275,190" coordsize="134,219" path="m1367,352r-60,l1312,355r5,2l1327,359r6,l1350,359r9,-2l1367,352xe" fillcolor="black" stroked="f">
                <v:path arrowok="t"/>
              </v:shape>
              <v:shape id="_x0000_s1355" style="position:absolute;left:1275;top:190;width:134;height:219" coordorigin="1275,190" coordsize="134,219" path="m1400,199r-24,l1380,201r7,7l1389,213r-1,14l1387,235r-43,30l1342,274r9,l1358,277r10,10l1371,294r,18l1343,350r28,l1375,347r6,-6l1389,325r2,-9l1391,300r-9,-18l1363,270r1,l1408,225r,-14l1405,203r-5,-4xe" fillcolor="black" stroked="f">
                <v:path arrowok="t"/>
              </v:shape>
            </v:group>
            <v:group id="_x0000_s1350" style="position:absolute;left:1416;top:320;width:74;height:87" coordorigin="1416,320" coordsize="74,87">
              <v:shape id="_x0000_s1353" style="position:absolute;left:1416;top:320;width:74;height:87" coordorigin="1416,320" coordsize="74,87" path="m1475,320r-15,l1453,322r-13,7l1434,333r-4,6l1427,342r-11,42l1417,387r22,20l1450,407r7,-2l1470,399r4,-3l1442,396r-4,-1l1433,389r-1,-4l1432,375r,-4l1433,370r7,-2l1468,364r6,-4l1434,360r2,-4l1461,329r27,l1488,328r-7,-6l1475,320xe" fillcolor="black" stroked="f">
                <v:path arrowok="t"/>
              </v:shape>
              <v:shape id="_x0000_s1352" style="position:absolute;left:1416;top:320;width:74;height:87" coordorigin="1416,320" coordsize="74,87" path="m1477,381r-27,15l1474,396r2,-2l1483,388r-6,-7xe" fillcolor="black" stroked="f">
                <v:path arrowok="t"/>
              </v:shape>
              <v:shape id="_x0000_s1351" style="position:absolute;left:1416;top:320;width:74;height:87" coordorigin="1416,320" coordsize="74,87" path="m1488,329r-20,l1470,330r4,4l1475,336r-1,7l1474,345r-40,15l1474,360r10,-6l1490,339r,-7l1488,329xe" fillcolor="black" stroked="f">
                <v:path arrowok="t"/>
              </v:shape>
            </v:group>
            <w10:wrap anchorx="page"/>
          </v:group>
        </w:pict>
      </w:r>
      <w:r w:rsidRPr="00D96B91">
        <w:pict>
          <v:group id="_x0000_s1345" style="position:absolute;left:0;text-align:left;margin-left:177.2pt;margin-top:12pt;width:4.8pt;height:5.35pt;z-index:251558400;mso-position-horizontal-relative:page" coordorigin="3544,240" coordsize="96,107">
            <v:shape id="_x0000_s1348" style="position:absolute;left:3544;top:240;width:96;height:107" coordorigin="3544,240" coordsize="96,107" path="m3623,240r-20,l3592,243r-21,14l3561,266r-14,25l3544,303r,20l3546,331r8,9l3567,346r28,l3613,337r-31,l3576,334r-10,-10l3564,318r,-9l3564,306r1,-4l3580,300r13,-3l3597,296r-32,l3566,293r8,-20l3585,258r9,-8l3603,246r31,l3629,242r-6,-2xe" fillcolor="black" stroked="f">
              <v:path arrowok="t"/>
            </v:shape>
            <v:shape id="_x0000_s1347" style="position:absolute;left:3544;top:240;width:96;height:107" coordorigin="3544,240" coordsize="96,107" path="m3628,318r-10,8l3611,331r-11,4l3595,337r18,l3631,321r-3,-3xe" fillcolor="black" stroked="f">
              <v:path arrowok="t"/>
            </v:shape>
            <v:shape id="_x0000_s1346" style="position:absolute;left:3544;top:240;width:96;height:107" coordorigin="3544,240" coordsize="96,107" path="m3634,246r-20,l3617,247r4,4l3623,253r,9l3565,296r32,l3639,263r,-11l3637,248r-3,-2xe" fillcolor="black" stroked="f">
              <v:path arrowok="t"/>
            </v:shape>
            <w10:wrap anchorx="page"/>
          </v:group>
        </w:pict>
      </w:r>
      <w:r w:rsidR="00C2656B">
        <w:t>is the beta of</w:t>
      </w:r>
      <w:r w:rsidR="00C2656B">
        <w:rPr>
          <w:spacing w:val="4"/>
        </w:rPr>
        <w:t xml:space="preserve"> </w:t>
      </w:r>
      <w:r w:rsidR="00C2656B">
        <w:t>a stock</w:t>
      </w:r>
    </w:p>
    <w:p w:rsidR="00D96B91" w:rsidRDefault="00C2656B">
      <w:pPr>
        <w:pStyle w:val="BodyText"/>
        <w:spacing w:before="157"/>
        <w:ind w:left="1265"/>
      </w:pPr>
      <w:r>
        <w:rPr>
          <w:noProof/>
          <w:position w:val="-8"/>
          <w:lang w:val="en-AU" w:eastAsia="en-AU"/>
        </w:rPr>
        <w:drawing>
          <wp:inline distT="0" distB="0" distL="0" distR="0">
            <wp:extent cx="1229753" cy="165130"/>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119" cstate="print"/>
                    <a:stretch>
                      <a:fillRect/>
                    </a:stretch>
                  </pic:blipFill>
                  <pic:spPr>
                    <a:xfrm>
                      <a:off x="0" y="0"/>
                      <a:ext cx="1229753" cy="165130"/>
                    </a:xfrm>
                    <a:prstGeom prst="rect">
                      <a:avLst/>
                    </a:prstGeom>
                  </pic:spPr>
                </pic:pic>
              </a:graphicData>
            </a:graphic>
          </wp:inline>
        </w:drawing>
      </w:r>
      <w:r>
        <w:rPr>
          <w:rFonts w:ascii="Times New Roman"/>
        </w:rPr>
        <w:t xml:space="preserve">  </w:t>
      </w:r>
      <w:r>
        <w:t xml:space="preserve">is the </w:t>
      </w:r>
      <w:r>
        <w:rPr>
          <w:spacing w:val="-1"/>
        </w:rPr>
        <w:t>market</w:t>
      </w:r>
      <w:r>
        <w:t xml:space="preserve"> risk </w:t>
      </w:r>
      <w:r>
        <w:rPr>
          <w:spacing w:val="-1"/>
        </w:rPr>
        <w:t>premium.</w:t>
      </w:r>
    </w:p>
    <w:p w:rsidR="00D96B91" w:rsidRDefault="00C2656B">
      <w:pPr>
        <w:pStyle w:val="BodyText"/>
        <w:spacing w:before="130" w:line="260" w:lineRule="exact"/>
        <w:ind w:right="1548"/>
      </w:pPr>
      <w:r>
        <w:rPr>
          <w:rFonts w:cs="Avenir Next"/>
        </w:rPr>
        <w:t xml:space="preserve">In </w:t>
      </w:r>
      <w:r>
        <w:rPr>
          <w:rFonts w:cs="Avenir Next"/>
          <w:spacing w:val="-1"/>
        </w:rPr>
        <w:t>keeping</w:t>
      </w:r>
      <w:r>
        <w:rPr>
          <w:rFonts w:cs="Avenir Next"/>
        </w:rPr>
        <w:t xml:space="preserve"> with the </w:t>
      </w:r>
      <w:r>
        <w:rPr>
          <w:rFonts w:cs="Avenir Next"/>
          <w:spacing w:val="-1"/>
        </w:rPr>
        <w:t>approach</w:t>
      </w:r>
      <w:r>
        <w:rPr>
          <w:rFonts w:cs="Avenir Next"/>
        </w:rPr>
        <w:t xml:space="preserve"> </w:t>
      </w:r>
      <w:r>
        <w:rPr>
          <w:rFonts w:cs="Avenir Next"/>
          <w:spacing w:val="-1"/>
        </w:rPr>
        <w:t>that</w:t>
      </w:r>
      <w:r>
        <w:rPr>
          <w:rFonts w:cs="Avenir Next"/>
        </w:rPr>
        <w:t xml:space="preserve"> has been widely used by</w:t>
      </w:r>
      <w:r>
        <w:rPr>
          <w:rFonts w:cs="Avenir Next"/>
          <w:spacing w:val="-4"/>
        </w:rPr>
        <w:t xml:space="preserve"> </w:t>
      </w:r>
      <w:r>
        <w:rPr>
          <w:rFonts w:cs="Avenir Next"/>
          <w:spacing w:val="-1"/>
        </w:rPr>
        <w:t>Australian</w:t>
      </w:r>
      <w:r>
        <w:rPr>
          <w:rFonts w:cs="Avenir Next"/>
        </w:rPr>
        <w:t xml:space="preserve"> </w:t>
      </w:r>
      <w:r>
        <w:rPr>
          <w:rFonts w:cs="Avenir Next"/>
          <w:spacing w:val="-1"/>
        </w:rPr>
        <w:t>regulators,</w:t>
      </w:r>
      <w:r>
        <w:rPr>
          <w:rFonts w:cs="Avenir Next"/>
          <w:spacing w:val="-7"/>
        </w:rPr>
        <w:t xml:space="preserve"> </w:t>
      </w:r>
      <w:r>
        <w:rPr>
          <w:rFonts w:cs="Avenir Next"/>
        </w:rPr>
        <w:t xml:space="preserve">the </w:t>
      </w:r>
      <w:r>
        <w:rPr>
          <w:rFonts w:cs="Avenir Next"/>
          <w:spacing w:val="-3"/>
        </w:rPr>
        <w:t>Panel</w:t>
      </w:r>
      <w:r>
        <w:rPr>
          <w:rFonts w:cs="Avenir Next"/>
        </w:rPr>
        <w:t xml:space="preserve"> has</w:t>
      </w:r>
      <w:r>
        <w:rPr>
          <w:rFonts w:cs="Avenir Next"/>
          <w:spacing w:val="47"/>
        </w:rPr>
        <w:t xml:space="preserve"> </w:t>
      </w:r>
      <w:r>
        <w:rPr>
          <w:spacing w:val="-1"/>
        </w:rPr>
        <w:t>calculated</w:t>
      </w:r>
      <w:r>
        <w:t xml:space="preserve"> the cost of</w:t>
      </w:r>
      <w:r>
        <w:rPr>
          <w:spacing w:val="4"/>
        </w:rPr>
        <w:t xml:space="preserve"> </w:t>
      </w:r>
      <w:r>
        <w:t>equity using the S-L</w:t>
      </w:r>
      <w:r>
        <w:rPr>
          <w:spacing w:val="-5"/>
        </w:rPr>
        <w:t xml:space="preserve"> </w:t>
      </w:r>
      <w:r>
        <w:rPr>
          <w:spacing w:val="-1"/>
        </w:rPr>
        <w:t>CAPM.</w:t>
      </w:r>
      <w:r>
        <w:rPr>
          <w:spacing w:val="-11"/>
        </w:rPr>
        <w:t xml:space="preserve"> </w:t>
      </w:r>
      <w:r>
        <w:rPr>
          <w:spacing w:val="-2"/>
        </w:rPr>
        <w:t>The</w:t>
      </w:r>
      <w:r>
        <w:t xml:space="preserve"> </w:t>
      </w:r>
      <w:r>
        <w:rPr>
          <w:spacing w:val="-1"/>
        </w:rPr>
        <w:t>remainder</w:t>
      </w:r>
      <w:r>
        <w:t xml:space="preserve"> of</w:t>
      </w:r>
      <w:r>
        <w:rPr>
          <w:spacing w:val="4"/>
        </w:rPr>
        <w:t xml:space="preserve"> </w:t>
      </w:r>
      <w:r>
        <w:t xml:space="preserve">this section sets out the </w:t>
      </w:r>
      <w:r>
        <w:rPr>
          <w:spacing w:val="-4"/>
        </w:rPr>
        <w:t>Panel’s</w:t>
      </w:r>
      <w:r>
        <w:rPr>
          <w:spacing w:val="45"/>
        </w:rPr>
        <w:t xml:space="preserve"> </w:t>
      </w:r>
      <w:r>
        <w:rPr>
          <w:spacing w:val="-1"/>
        </w:rPr>
        <w:t>considerations</w:t>
      </w:r>
      <w:r>
        <w:t xml:space="preserve"> and positions on the values to be </w:t>
      </w:r>
      <w:r>
        <w:rPr>
          <w:spacing w:val="-1"/>
        </w:rPr>
        <w:t>attributed</w:t>
      </w:r>
      <w:r>
        <w:t xml:space="preserve"> to the MRP and equity beta.</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Heading6"/>
        <w:spacing w:before="9"/>
        <w:ind w:left="1247" w:firstLine="0"/>
      </w:pPr>
      <w:r>
        <w:rPr>
          <w:color w:val="0778BE"/>
        </w:rPr>
        <w:t xml:space="preserve">A8.2.1 </w:t>
      </w:r>
      <w:r>
        <w:rPr>
          <w:color w:val="0778BE"/>
          <w:spacing w:val="6"/>
        </w:rPr>
        <w:t xml:space="preserve"> </w:t>
      </w:r>
      <w:r>
        <w:rPr>
          <w:color w:val="0778BE"/>
          <w:spacing w:val="-1"/>
        </w:rPr>
        <w:t>Market</w:t>
      </w:r>
      <w:r>
        <w:rPr>
          <w:color w:val="0778BE"/>
        </w:rPr>
        <w:t xml:space="preserve"> risk </w:t>
      </w:r>
      <w:r>
        <w:rPr>
          <w:color w:val="0778BE"/>
          <w:spacing w:val="-1"/>
        </w:rPr>
        <w:t>premium</w:t>
      </w:r>
    </w:p>
    <w:p w:rsidR="00D96B91" w:rsidRDefault="00C2656B">
      <w:pPr>
        <w:pStyle w:val="BodyText"/>
        <w:spacing w:before="21" w:line="260" w:lineRule="exact"/>
        <w:ind w:right="1283"/>
      </w:pPr>
      <w:r>
        <w:rPr>
          <w:spacing w:val="-2"/>
        </w:rPr>
        <w:t>The</w:t>
      </w:r>
      <w:r>
        <w:t xml:space="preserve"> MRP is the </w:t>
      </w:r>
      <w:r>
        <w:rPr>
          <w:spacing w:val="-1"/>
        </w:rPr>
        <w:t>return</w:t>
      </w:r>
      <w:r>
        <w:t xml:space="preserve"> in </w:t>
      </w:r>
      <w:r>
        <w:rPr>
          <w:spacing w:val="-1"/>
        </w:rPr>
        <w:t>excess</w:t>
      </w:r>
      <w:r>
        <w:t xml:space="preserve"> of</w:t>
      </w:r>
      <w:r>
        <w:rPr>
          <w:spacing w:val="4"/>
        </w:rPr>
        <w:t xml:space="preserve"> </w:t>
      </w:r>
      <w:r>
        <w:t xml:space="preserve">the </w:t>
      </w:r>
      <w:r>
        <w:rPr>
          <w:spacing w:val="-1"/>
        </w:rPr>
        <w:t>risk-free</w:t>
      </w:r>
      <w:r>
        <w:t xml:space="preserve"> </w:t>
      </w:r>
      <w:r>
        <w:rPr>
          <w:spacing w:val="-2"/>
        </w:rPr>
        <w:t>rate</w:t>
      </w:r>
      <w:r>
        <w:t xml:space="preserve"> </w:t>
      </w:r>
      <w:r>
        <w:rPr>
          <w:spacing w:val="-1"/>
        </w:rPr>
        <w:t>that</w:t>
      </w:r>
      <w:r>
        <w:t xml:space="preserve"> an investor </w:t>
      </w:r>
      <w:r>
        <w:rPr>
          <w:spacing w:val="-1"/>
        </w:rPr>
        <w:t>requires</w:t>
      </w:r>
      <w:r>
        <w:t xml:space="preserve"> for the risk of</w:t>
      </w:r>
      <w:r>
        <w:rPr>
          <w:spacing w:val="4"/>
        </w:rPr>
        <w:t xml:space="preserve"> </w:t>
      </w:r>
      <w:r>
        <w:t>investing in</w:t>
      </w:r>
      <w:r>
        <w:rPr>
          <w:spacing w:val="23"/>
        </w:rPr>
        <w:t xml:space="preserve"> </w:t>
      </w:r>
      <w:r>
        <w:t xml:space="preserve">the </w:t>
      </w:r>
      <w:r>
        <w:rPr>
          <w:spacing w:val="-1"/>
        </w:rPr>
        <w:t>market</w:t>
      </w:r>
      <w:r>
        <w:t xml:space="preserve"> </w:t>
      </w:r>
      <w:r>
        <w:rPr>
          <w:spacing w:val="-1"/>
        </w:rPr>
        <w:t>portfolio</w:t>
      </w:r>
      <w:r>
        <w:t xml:space="preserve"> of</w:t>
      </w:r>
      <w:r>
        <w:rPr>
          <w:spacing w:val="4"/>
        </w:rPr>
        <w:t xml:space="preserve"> </w:t>
      </w:r>
      <w:r>
        <w:rPr>
          <w:spacing w:val="-1"/>
        </w:rPr>
        <w:t>risky</w:t>
      </w:r>
      <w:r>
        <w:t xml:space="preserve"> assets.</w:t>
      </w:r>
      <w:r>
        <w:rPr>
          <w:spacing w:val="-6"/>
        </w:rPr>
        <w:t xml:space="preserve"> </w:t>
      </w:r>
      <w:r>
        <w:rPr>
          <w:spacing w:val="-2"/>
        </w:rPr>
        <w:t>Formulaically,</w:t>
      </w:r>
      <w:r>
        <w:rPr>
          <w:spacing w:val="-6"/>
        </w:rPr>
        <w:t xml:space="preserve"> </w:t>
      </w:r>
      <w:r>
        <w:t xml:space="preserve">this can be </w:t>
      </w:r>
      <w:r>
        <w:rPr>
          <w:spacing w:val="-1"/>
        </w:rPr>
        <w:t>expressed</w:t>
      </w:r>
      <w:r>
        <w:t xml:space="preserve"> as</w:t>
      </w:r>
    </w:p>
    <w:p w:rsidR="00D96B91" w:rsidRDefault="00D96B91">
      <w:pPr>
        <w:spacing w:before="13"/>
        <w:rPr>
          <w:rFonts w:ascii="Avenir Next" w:eastAsia="Avenir Next" w:hAnsi="Avenir Next" w:cs="Avenir Next"/>
          <w:sz w:val="25"/>
          <w:szCs w:val="25"/>
        </w:rPr>
      </w:pPr>
    </w:p>
    <w:p w:rsidR="00D96B91" w:rsidRDefault="00C2656B">
      <w:pPr>
        <w:spacing w:line="200" w:lineRule="atLeast"/>
        <w:ind w:left="535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754670" cy="158686"/>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120" cstate="print"/>
                    <a:stretch>
                      <a:fillRect/>
                    </a:stretch>
                  </pic:blipFill>
                  <pic:spPr>
                    <a:xfrm>
                      <a:off x="0" y="0"/>
                      <a:ext cx="754670" cy="158686"/>
                    </a:xfrm>
                    <a:prstGeom prst="rect">
                      <a:avLst/>
                    </a:prstGeom>
                  </pic:spPr>
                </pic:pic>
              </a:graphicData>
            </a:graphic>
          </wp:inline>
        </w:drawing>
      </w:r>
    </w:p>
    <w:p w:rsidR="00D96B91" w:rsidRDefault="00D96B91">
      <w:pPr>
        <w:spacing w:before="12"/>
        <w:rPr>
          <w:rFonts w:ascii="Avenir Next" w:eastAsia="Avenir Next" w:hAnsi="Avenir Next" w:cs="Avenir Next"/>
          <w:sz w:val="18"/>
          <w:szCs w:val="18"/>
        </w:rPr>
      </w:pPr>
    </w:p>
    <w:p w:rsidR="00D96B91" w:rsidRDefault="00C2656B">
      <w:pPr>
        <w:pStyle w:val="BodyText"/>
        <w:rPr>
          <w:rFonts w:cs="Avenir Next"/>
        </w:rPr>
      </w:pPr>
      <w:r>
        <w:rPr>
          <w:spacing w:val="-1"/>
        </w:rPr>
        <w:t>Where:</w:t>
      </w:r>
    </w:p>
    <w:p w:rsidR="00D96B91" w:rsidRDefault="00D96B91">
      <w:pPr>
        <w:spacing w:before="1"/>
        <w:rPr>
          <w:rFonts w:ascii="Avenir Next" w:eastAsia="Avenir Next" w:hAnsi="Avenir Next" w:cs="Avenir Next"/>
          <w:sz w:val="8"/>
          <w:szCs w:val="8"/>
        </w:rPr>
      </w:pPr>
    </w:p>
    <w:p w:rsidR="00D96B91" w:rsidRDefault="00D96B91">
      <w:pPr>
        <w:pStyle w:val="BodyText"/>
        <w:spacing w:before="46"/>
        <w:ind w:left="2034"/>
        <w:rPr>
          <w:rFonts w:cs="Avenir Next"/>
        </w:rPr>
      </w:pPr>
      <w:r w:rsidRPr="00D96B91">
        <w:pict>
          <v:group id="_x0000_s1322" style="position:absolute;left:0;text-align:left;margin-left:62.35pt;margin-top:3.8pt;width:32.55pt;height:11.15pt;z-index:251559424;mso-position-horizontal-relative:page" coordorigin="1247,76" coordsize="651,223">
            <v:group id="_x0000_s1339" style="position:absolute;left:1247;top:85;width:139;height:160" coordorigin="1247,85" coordsize="139,160">
              <v:shape id="_x0000_s1344" style="position:absolute;left:1247;top:85;width:139;height:160" coordorigin="1247,85" coordsize="139,160" path="m1386,85r-108,l1277,91r4,l1284,92r3,3l1288,97r,9l1287,112r-23,106l1249,239r-2,6l1351,245r3,-10l1281,235r15,-68l1347,167r2,-10l1298,157r14,-62l1383,95r3,-10xe" fillcolor="black" stroked="f">
                <v:path arrowok="t"/>
              </v:shape>
              <v:shape id="_x0000_s1343" style="position:absolute;left:1247;top:85;width:139;height:160" coordorigin="1247,85" coordsize="139,160" path="m1361,204r-11,l1347,211r-3,5l1321,235r33,l1361,204xe" fillcolor="black" stroked="f">
                <v:path arrowok="t"/>
              </v:shape>
              <v:shape id="_x0000_s1342" style="position:absolute;left:1247;top:85;width:139;height:160" coordorigin="1247,85" coordsize="139,160" path="m1347,167r-23,l1326,167r3,1l1331,170r1,4l1333,179r,6l1343,185r4,-18xe" fillcolor="black" stroked="f">
                <v:path arrowok="t"/>
              </v:shape>
              <v:shape id="_x0000_s1341" style="position:absolute;left:1247;top:85;width:139;height:160" coordorigin="1247,85" coordsize="139,160" path="m1353,140r-11,l1339,146r-3,4l1331,155r-5,2l1349,157r4,-17xe" fillcolor="black" stroked="f">
                <v:path arrowok="t"/>
              </v:shape>
              <v:shape id="_x0000_s1340" style="position:absolute;left:1247;top:85;width:139;height:160" coordorigin="1247,85" coordsize="139,160" path="m1383,95r-30,l1356,95r3,1l1366,121r12,l1383,95xe" fillcolor="black" stroked="f">
                <v:path arrowok="t"/>
              </v:shape>
            </v:group>
            <v:group id="_x0000_s1337" style="position:absolute;left:1421;top:80;width:73;height:218" coordorigin="1421,80" coordsize="73,218">
              <v:shape id="_x0000_s1338" style="position:absolute;left:1421;top:80;width:73;height:218" coordorigin="1421,80" coordsize="73,218" path="m1477,80r-44,44l1421,208r4,19l1455,279r36,19l1493,289r-16,-9l1463,267r-13,-21l1445,228r-4,-20l1440,186r,-1l1461,108r33,-23l1477,80xe" fillcolor="black" stroked="f">
                <v:path arrowok="t"/>
              </v:shape>
            </v:group>
            <v:group id="_x0000_s1333" style="position:absolute;left:1506;top:85;width:134;height:160" coordorigin="1506,85" coordsize="134,160">
              <v:shape id="_x0000_s1336" style="position:absolute;left:1506;top:85;width:134;height:160" coordorigin="1506,85" coordsize="134,160" path="m1598,85r-61,l1536,91r4,l1543,92r3,3l1547,97r,9l1546,112r-23,106l1508,239r-2,6l1555,245r1,-6l1552,239r-3,-1l1546,237r-1,-1l1544,233r-1,-2l1543,226r3,-15l1554,174r44,l1596,172r,-1l1611,167r5,-3l1556,164r15,-68l1576,95r13,l1630,95r-3,-2l1619,89r-4,-2l1604,85r-6,xe" fillcolor="black" stroked="f">
                <v:path arrowok="t"/>
              </v:shape>
              <v:shape id="_x0000_s1335" style="position:absolute;left:1506;top:85;width:134;height:160" coordorigin="1506,85" coordsize="134,160" path="m1598,174r-28,l1573,174r5,1l1589,195r5,25l1596,230r2,8l1600,245r33,l1634,239r-4,l1628,238r-17,-39l1610,192r-2,-6l1603,179r-3,-4l1598,174xe" fillcolor="black" stroked="f">
                <v:path arrowok="t"/>
              </v:shape>
              <v:shape id="_x0000_s1334" style="position:absolute;left:1506;top:85;width:134;height:160" coordorigin="1506,85" coordsize="134,160" path="m1630,95r-41,l1594,95r6,1l1618,130r-2,7l1608,151r-5,5l1590,162r-9,2l1616,164r5,-4l1636,143r4,-10l1640,117r-1,-4l1637,105r-2,-4l1630,95xe" fillcolor="black" stroked="f">
                <v:path arrowok="t"/>
              </v:shape>
            </v:group>
            <v:group id="_x0000_s1325" style="position:absolute;left:1652;top:208;width:153;height:87" coordorigin="1652,208" coordsize="153,87">
              <v:shape id="_x0000_s1332" style="position:absolute;left:1652;top:208;width:153;height:87" coordorigin="1652,208" coordsize="153,87" path="m1790,219r-21,l1771,220r2,3l1774,226r,4l1774,233r-7,29l1765,269r-1,5l1764,282r,1l1776,294r4,l1800,283r-17,l1782,283r-2,-2l1780,280r,-6l1781,271r1,-7l1787,245r1,-6l1789,236r1,-6l1790,228r,-9l1790,219xe" fillcolor="black" stroked="f">
                <v:path arrowok="t"/>
              </v:shape>
              <v:shape id="_x0000_s1331" style="position:absolute;left:1652;top:208;width:153;height:87" coordorigin="1652,208" coordsize="153,87" path="m1692,219r-17,l1677,221r,8l1676,233r,3l1663,293r16,l1697,233r2,-3l1692,230r-1,l1691,228r,l1691,227r1,-4l1692,219xe" fillcolor="black" stroked="f">
                <v:path arrowok="t"/>
              </v:shape>
              <v:shape id="_x0000_s1330" style="position:absolute;left:1652;top:208;width:153;height:87" coordorigin="1652,208" coordsize="153,87" path="m1741,219r-21,l1722,220r2,3l1725,224r,2l1725,232r-12,54l1712,293r16,l1736,253r1,-3l1750,229r-9,l1741,219xe" fillcolor="black" stroked="f">
                <v:path arrowok="t"/>
              </v:shape>
              <v:shape id="_x0000_s1329" style="position:absolute;left:1652;top:208;width:153;height:87" coordorigin="1652,208" coordsize="153,87" path="m1799,273r-16,10l1800,283r2,-2l1805,278r-6,-5xe" fillcolor="black" stroked="f">
                <v:path arrowok="t"/>
              </v:shape>
              <v:shape id="_x0000_s1328" style="position:absolute;left:1652;top:208;width:153;height:87" coordorigin="1652,208" coordsize="153,87" path="m1729,208r-11,l1713,210r-11,7l1697,223r-5,7l1699,230r3,-3l1705,224r6,-4l1714,219r27,l1740,215r-6,-6l1729,208xe" fillcolor="black" stroked="f">
                <v:path arrowok="t"/>
              </v:shape>
              <v:shape id="_x0000_s1327" style="position:absolute;left:1652;top:208;width:153;height:87" coordorigin="1652,208" coordsize="153,87" path="m1683,208r-6,l1675,208r-23,16l1658,229r3,-3l1664,224r7,-5l1692,219r,-1l1691,215r-5,-6l1683,208xe" fillcolor="black" stroked="f">
                <v:path arrowok="t"/>
              </v:shape>
              <v:shape id="_x0000_s1326" style="position:absolute;left:1652;top:208;width:153;height:87" coordorigin="1652,208" coordsize="153,87" path="m1779,208r-12,l1762,210r-10,6l1747,222r-6,7l1750,229r1,-1l1753,226r3,-3l1758,221r4,-1l1764,219r26,l1789,216r-6,-6l1779,208xe" fillcolor="black" stroked="f">
                <v:path arrowok="t"/>
              </v:shape>
            </v:group>
            <v:group id="_x0000_s1323" style="position:absolute;left:1824;top:76;width:74;height:217" coordorigin="1824,76" coordsize="74,217">
              <v:shape id="_x0000_s1324" style="position:absolute;left:1824;top:76;width:74;height:217" coordorigin="1824,76" coordsize="74,217" path="m1827,76r13,17l1854,106r13,19l1873,143r3,20l1877,186r,2l1856,266r-32,23l1842,292r44,-45l1897,186r-1,-20l1876,110,1846,83r-19,-7xe" fillcolor="black" stroked="f">
                <v:path arrowok="t"/>
              </v:shape>
            </v:group>
            <w10:wrap anchorx="page"/>
          </v:group>
        </w:pict>
      </w:r>
      <w:r w:rsidR="00C2656B">
        <w:t xml:space="preserve">is the </w:t>
      </w:r>
      <w:r w:rsidR="00C2656B">
        <w:rPr>
          <w:spacing w:val="-1"/>
        </w:rPr>
        <w:t>expected</w:t>
      </w:r>
      <w:r w:rsidR="00C2656B">
        <w:t xml:space="preserve"> </w:t>
      </w:r>
      <w:r w:rsidR="00C2656B">
        <w:rPr>
          <w:spacing w:val="-1"/>
        </w:rPr>
        <w:t>return</w:t>
      </w:r>
      <w:r w:rsidR="00C2656B">
        <w:t xml:space="preserve"> on the </w:t>
      </w:r>
      <w:r w:rsidR="00C2656B">
        <w:rPr>
          <w:spacing w:val="-1"/>
        </w:rPr>
        <w:t>market</w:t>
      </w:r>
      <w:r w:rsidR="00C2656B">
        <w:t xml:space="preserve"> </w:t>
      </w:r>
      <w:r w:rsidR="00C2656B">
        <w:rPr>
          <w:spacing w:val="-1"/>
        </w:rPr>
        <w:t>portfolio</w:t>
      </w:r>
    </w:p>
    <w:p w:rsidR="00D96B91" w:rsidRDefault="00D96B91">
      <w:pPr>
        <w:spacing w:before="1"/>
        <w:rPr>
          <w:rFonts w:ascii="Avenir Next" w:eastAsia="Avenir Next" w:hAnsi="Avenir Next" w:cs="Avenir Next"/>
          <w:sz w:val="8"/>
          <w:szCs w:val="8"/>
        </w:rPr>
      </w:pPr>
    </w:p>
    <w:p w:rsidR="00D96B91" w:rsidRDefault="00D96B91">
      <w:pPr>
        <w:pStyle w:val="BodyText"/>
        <w:spacing w:before="46"/>
        <w:ind w:left="1552"/>
      </w:pPr>
      <w:r w:rsidRPr="00D96B91">
        <w:pict>
          <v:group id="_x0000_s1313" style="position:absolute;left:0;text-align:left;margin-left:63.85pt;margin-top:3.25pt;width:11.35pt;height:12.1pt;z-index:251560448;mso-position-horizontal-relative:page" coordorigin="1277,65" coordsize="227,242">
            <v:group id="_x0000_s1318" style="position:absolute;left:1277;top:65;width:134;height:160" coordorigin="1277,65" coordsize="134,160">
              <v:shape id="_x0000_s1321" style="position:absolute;left:1277;top:65;width:134;height:160" coordorigin="1277,65" coordsize="134,160" path="m1368,65r-61,l1306,71r4,l1313,72r4,3l1317,77r1,9l1317,92r-24,106l1278,219r-1,6l1325,225r1,-6l1322,219r-2,-1l1316,217r-1,-1l1314,213r-1,-2l1313,206r3,-15l1324,154r44,l1366,152r,-1l1381,147r5,-3l1326,144r15,-68l1346,75r14,l1400,75r-3,-2l1389,69r-4,-2l1375,65r-7,xe" fillcolor="black" stroked="f">
                <v:path arrowok="t"/>
              </v:shape>
              <v:shape id="_x0000_s1320" style="position:absolute;left:1277;top:65;width:134;height:160" coordorigin="1277,65" coordsize="134,160" path="m1368,154r-27,l1343,154r5,1l1359,175r5,25l1366,210r2,8l1371,225r32,l1404,219r-3,l1398,218r-17,-39l1380,172r-2,-6l1373,159r-3,-4l1368,154xe" fillcolor="black" stroked="f">
                <v:path arrowok="t"/>
              </v:shape>
              <v:shape id="_x0000_s1319" style="position:absolute;left:1277;top:65;width:134;height:160" coordorigin="1277,65" coordsize="134,160" path="m1400,75r-40,l1364,75r6,1l1388,110r-2,7l1379,131r-6,5l1360,142r-9,2l1386,144r6,-4l1406,123r4,-10l1410,97r-1,-4l1407,85r-2,-4l1400,75xe" fillcolor="black" stroked="f">
                <v:path arrowok="t"/>
              </v:shape>
            </v:group>
            <v:group id="_x0000_s1314" style="position:absolute;left:1405;top:157;width:98;height:150" coordorigin="1405,157" coordsize="98,150">
              <v:shape id="_x0000_s1317" style="position:absolute;left:1405;top:157;width:98;height:150" coordorigin="1405,157" coordsize="98,150" path="m1462,199r-15,l1429,278r-1,4l1413,297r-6,l1407,298r,2l1406,303r-1,3l1407,306r14,l1429,303r6,-6l1413,297r-6,l1435,297r5,-6l1444,282r3,-12l1462,199xe" fillcolor="black" stroked="f">
                <v:path arrowok="t"/>
              </v:shape>
              <v:shape id="_x0000_s1316" style="position:absolute;left:1405;top:157;width:98;height:150" coordorigin="1405,157" coordsize="98,150" path="m1478,157r-9,2l1456,169r-4,8l1448,187r,1l1434,193r-2,6l1485,199r2,-9l1464,190r,-3l1480,164r22,l1503,158r-2,l1499,157r-5,l1478,157xe" fillcolor="black" stroked="f">
                <v:path arrowok="t"/>
              </v:shape>
              <v:shape id="_x0000_s1315" style="position:absolute;left:1405;top:157;width:98;height:150" coordorigin="1405,157" coordsize="98,150" path="m1502,164r-17,l1487,165r3,3l1491,170r,4l1500,174r2,-10xe" fillcolor="black" stroked="f">
                <v:path arrowok="t"/>
              </v:shape>
            </v:group>
            <w10:wrap anchorx="page"/>
          </v:group>
        </w:pict>
      </w:r>
      <w:r w:rsidR="00C2656B">
        <w:t xml:space="preserve">is the </w:t>
      </w:r>
      <w:r w:rsidR="00C2656B">
        <w:rPr>
          <w:spacing w:val="-1"/>
        </w:rPr>
        <w:t>risk-free</w:t>
      </w:r>
      <w:r w:rsidR="00C2656B">
        <w:t xml:space="preserve"> </w:t>
      </w:r>
      <w:r w:rsidR="00C2656B">
        <w:rPr>
          <w:spacing w:val="-2"/>
        </w:rPr>
        <w:t>rate</w:t>
      </w:r>
      <w:r w:rsidR="00C2656B">
        <w:t xml:space="preserve"> (see section</w:t>
      </w:r>
      <w:r w:rsidR="00C2656B">
        <w:rPr>
          <w:spacing w:val="-4"/>
        </w:rPr>
        <w:t xml:space="preserve"> </w:t>
      </w:r>
      <w:r w:rsidR="00C2656B">
        <w:t>A8.1.4)</w:t>
      </w:r>
    </w:p>
    <w:p w:rsidR="00D96B91" w:rsidRDefault="00C2656B">
      <w:pPr>
        <w:pStyle w:val="BodyText"/>
        <w:spacing w:before="149" w:line="260" w:lineRule="exact"/>
        <w:ind w:right="1548"/>
        <w:rPr>
          <w:rFonts w:cs="Avenir Next"/>
        </w:rPr>
      </w:pPr>
      <w:r>
        <w:rPr>
          <w:spacing w:val="-2"/>
        </w:rPr>
        <w:t>The</w:t>
      </w:r>
      <w:r>
        <w:t xml:space="preserve"> </w:t>
      </w:r>
      <w:r>
        <w:rPr>
          <w:spacing w:val="-1"/>
        </w:rPr>
        <w:t>expected</w:t>
      </w:r>
      <w:r>
        <w:t xml:space="preserve"> MRP is not observable </w:t>
      </w:r>
      <w:r>
        <w:rPr>
          <w:spacing w:val="-1"/>
        </w:rPr>
        <w:t>from</w:t>
      </w:r>
      <w:r>
        <w:t xml:space="preserve"> </w:t>
      </w:r>
      <w:r>
        <w:rPr>
          <w:spacing w:val="-1"/>
        </w:rPr>
        <w:t>market</w:t>
      </w:r>
      <w:r>
        <w:t xml:space="preserve"> </w:t>
      </w:r>
      <w:r>
        <w:rPr>
          <w:spacing w:val="-1"/>
        </w:rPr>
        <w:t>data</w:t>
      </w:r>
      <w:r>
        <w:t xml:space="preserve"> and hence needs to be </w:t>
      </w:r>
      <w:r>
        <w:rPr>
          <w:spacing w:val="-1"/>
        </w:rPr>
        <w:t>estimated,</w:t>
      </w:r>
      <w:r>
        <w:rPr>
          <w:spacing w:val="-6"/>
        </w:rPr>
        <w:t xml:space="preserve"> </w:t>
      </w:r>
      <w:r>
        <w:t>so the</w:t>
      </w:r>
      <w:r>
        <w:rPr>
          <w:spacing w:val="39"/>
        </w:rPr>
        <w:t xml:space="preserve"> </w:t>
      </w:r>
      <w:r>
        <w:t xml:space="preserve">following </w:t>
      </w:r>
      <w:r>
        <w:rPr>
          <w:spacing w:val="-1"/>
        </w:rPr>
        <w:t>alternative</w:t>
      </w:r>
      <w:r>
        <w:t xml:space="preserve"> methodologies to </w:t>
      </w:r>
      <w:r>
        <w:rPr>
          <w:spacing w:val="-1"/>
        </w:rPr>
        <w:t>estimate</w:t>
      </w:r>
      <w:r>
        <w:t xml:space="preserve"> the MRP </w:t>
      </w:r>
      <w:r>
        <w:rPr>
          <w:spacing w:val="-1"/>
        </w:rPr>
        <w:t>were</w:t>
      </w:r>
      <w:r>
        <w:t xml:space="preserve"> </w:t>
      </w:r>
      <w:r>
        <w:rPr>
          <w:spacing w:val="-1"/>
        </w:rPr>
        <w:t>considered:</w:t>
      </w:r>
    </w:p>
    <w:p w:rsidR="00D96B91" w:rsidRDefault="00C2656B">
      <w:pPr>
        <w:pStyle w:val="BodyText"/>
        <w:numPr>
          <w:ilvl w:val="0"/>
          <w:numId w:val="131"/>
        </w:numPr>
        <w:tabs>
          <w:tab w:val="left" w:pos="1531"/>
        </w:tabs>
        <w:spacing w:before="170" w:line="260" w:lineRule="exact"/>
        <w:ind w:right="1264" w:hanging="283"/>
        <w:rPr>
          <w:sz w:val="11"/>
          <w:szCs w:val="11"/>
        </w:rPr>
      </w:pPr>
      <w:r>
        <w:rPr>
          <w:rFonts w:cs="Avenir Next"/>
          <w:b/>
          <w:bCs/>
        </w:rPr>
        <w:t xml:space="preserve">Survey-based MRP – </w:t>
      </w:r>
      <w:r>
        <w:rPr>
          <w:rFonts w:cs="Avenir Next"/>
        </w:rPr>
        <w:t xml:space="preserve">In this </w:t>
      </w:r>
      <w:r>
        <w:rPr>
          <w:rFonts w:cs="Avenir Next"/>
          <w:spacing w:val="-1"/>
        </w:rPr>
        <w:t>approach,</w:t>
      </w:r>
      <w:r>
        <w:rPr>
          <w:rFonts w:cs="Avenir Next"/>
          <w:spacing w:val="-6"/>
        </w:rPr>
        <w:t xml:space="preserve"> </w:t>
      </w:r>
      <w:r>
        <w:rPr>
          <w:rFonts w:cs="Avenir Next"/>
        </w:rPr>
        <w:t>investors,</w:t>
      </w:r>
      <w:r>
        <w:rPr>
          <w:rFonts w:cs="Avenir Next"/>
          <w:spacing w:val="-7"/>
        </w:rPr>
        <w:t xml:space="preserve"> </w:t>
      </w:r>
      <w:r>
        <w:rPr>
          <w:rFonts w:cs="Avenir Next"/>
        </w:rPr>
        <w:t>analysts,</w:t>
      </w:r>
      <w:r>
        <w:rPr>
          <w:rFonts w:cs="Avenir Next"/>
          <w:spacing w:val="-6"/>
        </w:rPr>
        <w:t xml:space="preserve"> </w:t>
      </w:r>
      <w:r>
        <w:rPr>
          <w:rFonts w:cs="Avenir Next"/>
        </w:rPr>
        <w:t xml:space="preserve">and academics </w:t>
      </w:r>
      <w:r>
        <w:rPr>
          <w:rFonts w:cs="Avenir Next"/>
          <w:spacing w:val="-2"/>
        </w:rPr>
        <w:t>are</w:t>
      </w:r>
      <w:r>
        <w:rPr>
          <w:rFonts w:cs="Avenir Next"/>
        </w:rPr>
        <w:t xml:space="preserve"> </w:t>
      </w:r>
      <w:r>
        <w:rPr>
          <w:rFonts w:cs="Avenir Next"/>
          <w:spacing w:val="-1"/>
        </w:rPr>
        <w:t>asked</w:t>
      </w:r>
      <w:r>
        <w:rPr>
          <w:rFonts w:cs="Avenir Next"/>
        </w:rPr>
        <w:t xml:space="preserve"> for their opinions</w:t>
      </w:r>
      <w:r>
        <w:rPr>
          <w:rFonts w:cs="Avenir Next"/>
          <w:spacing w:val="29"/>
        </w:rPr>
        <w:t xml:space="preserve"> </w:t>
      </w:r>
      <w:r>
        <w:t xml:space="preserve">on the </w:t>
      </w:r>
      <w:r>
        <w:rPr>
          <w:spacing w:val="-2"/>
        </w:rPr>
        <w:t>e</w:t>
      </w:r>
      <w:r>
        <w:t>xpected level of</w:t>
      </w:r>
      <w:r>
        <w:rPr>
          <w:spacing w:val="4"/>
        </w:rPr>
        <w:t xml:space="preserve"> </w:t>
      </w:r>
      <w:r>
        <w:t>the MR</w:t>
      </w:r>
      <w:r>
        <w:rPr>
          <w:spacing w:val="-29"/>
        </w:rPr>
        <w:t>P</w:t>
      </w:r>
      <w:r>
        <w:t>.</w:t>
      </w:r>
      <w:r>
        <w:rPr>
          <w:spacing w:val="-6"/>
        </w:rPr>
        <w:t xml:space="preserve"> </w:t>
      </w:r>
      <w:r>
        <w:rPr>
          <w:spacing w:val="-10"/>
        </w:rPr>
        <w:t>F</w:t>
      </w:r>
      <w:r>
        <w:t xml:space="preserve">or </w:t>
      </w:r>
      <w:r>
        <w:rPr>
          <w:spacing w:val="-2"/>
        </w:rPr>
        <w:t>e</w:t>
      </w:r>
      <w:r>
        <w:t>xample,</w:t>
      </w:r>
      <w:r>
        <w:rPr>
          <w:spacing w:val="-6"/>
        </w:rPr>
        <w:t xml:space="preserve"> </w:t>
      </w:r>
      <w:r>
        <w:rPr>
          <w:spacing w:val="-10"/>
        </w:rPr>
        <w:t>F</w:t>
      </w:r>
      <w:r>
        <w:t xml:space="preserve">ernandez </w:t>
      </w:r>
      <w:r>
        <w:rPr>
          <w:rFonts w:cs="Avenir Next"/>
          <w:i/>
        </w:rPr>
        <w:t xml:space="preserve">et al. </w:t>
      </w:r>
      <w:r>
        <w:t>(2012) conducted a survey on the MRP</w:t>
      </w:r>
      <w:r>
        <w:rPr>
          <w:spacing w:val="-1"/>
        </w:rPr>
        <w:t xml:space="preserve"> </w:t>
      </w:r>
      <w:r>
        <w:t>used</w:t>
      </w:r>
      <w:r>
        <w:rPr>
          <w:spacing w:val="-1"/>
        </w:rPr>
        <w:t xml:space="preserve"> </w:t>
      </w:r>
      <w:r>
        <w:t>by academics,</w:t>
      </w:r>
      <w:r>
        <w:rPr>
          <w:spacing w:val="-7"/>
        </w:rPr>
        <w:t xml:space="preserve"> </w:t>
      </w:r>
      <w:r>
        <w:t>analysts,</w:t>
      </w:r>
      <w:r>
        <w:rPr>
          <w:spacing w:val="-7"/>
        </w:rPr>
        <w:t xml:space="preserve"> </w:t>
      </w:r>
      <w:r>
        <w:t>financial institutions,</w:t>
      </w:r>
      <w:r>
        <w:rPr>
          <w:spacing w:val="-7"/>
        </w:rPr>
        <w:t xml:space="preserve"> </w:t>
      </w:r>
      <w:r>
        <w:t>and company</w:t>
      </w:r>
      <w:r>
        <w:rPr>
          <w:spacing w:val="-1"/>
        </w:rPr>
        <w:t xml:space="preserve"> </w:t>
      </w:r>
      <w:r>
        <w:t>managers</w:t>
      </w:r>
      <w:r>
        <w:rPr>
          <w:spacing w:val="-1"/>
        </w:rPr>
        <w:t xml:space="preserve"> </w:t>
      </w:r>
      <w:r>
        <w:t>in 82</w:t>
      </w:r>
      <w:r>
        <w:rPr>
          <w:spacing w:val="-1"/>
        </w:rPr>
        <w:t xml:space="preserve"> </w:t>
      </w:r>
      <w:r>
        <w:t>countries including</w:t>
      </w:r>
      <w:r>
        <w:rPr>
          <w:spacing w:val="5"/>
        </w:rPr>
        <w:t xml:space="preserve"> </w:t>
      </w:r>
      <w:r>
        <w:rPr>
          <w:spacing w:val="-1"/>
        </w:rPr>
        <w:t>Australia.</w:t>
      </w:r>
      <w:r>
        <w:rPr>
          <w:spacing w:val="-1"/>
          <w:position w:val="7"/>
          <w:sz w:val="11"/>
          <w:szCs w:val="11"/>
        </w:rPr>
        <w:t>263</w:t>
      </w:r>
    </w:p>
    <w:p w:rsidR="00D96B91" w:rsidRDefault="00C2656B">
      <w:pPr>
        <w:pStyle w:val="BodyText"/>
        <w:numPr>
          <w:ilvl w:val="0"/>
          <w:numId w:val="131"/>
        </w:numPr>
        <w:tabs>
          <w:tab w:val="left" w:pos="1531"/>
        </w:tabs>
        <w:spacing w:before="85" w:line="260" w:lineRule="exact"/>
        <w:ind w:right="1294" w:hanging="283"/>
      </w:pPr>
      <w:r>
        <w:rPr>
          <w:rFonts w:cs="Avenir Next"/>
          <w:b/>
          <w:bCs/>
        </w:rPr>
        <w:t>Historical MRP</w:t>
      </w:r>
      <w:r>
        <w:rPr>
          <w:rFonts w:cs="Avenir Next"/>
          <w:b/>
          <w:bCs/>
          <w:spacing w:val="1"/>
        </w:rPr>
        <w:t xml:space="preserve"> </w:t>
      </w:r>
      <w:r>
        <w:t>–</w:t>
      </w:r>
      <w:r>
        <w:rPr>
          <w:spacing w:val="-5"/>
        </w:rPr>
        <w:t xml:space="preserve"> </w:t>
      </w:r>
      <w:r>
        <w:rPr>
          <w:spacing w:val="-4"/>
        </w:rPr>
        <w:t>T</w:t>
      </w:r>
      <w:r>
        <w:t>he</w:t>
      </w:r>
      <w:r>
        <w:rPr>
          <w:spacing w:val="1"/>
        </w:rPr>
        <w:t xml:space="preserve"> </w:t>
      </w:r>
      <w:r>
        <w:t>historical MRP</w:t>
      </w:r>
      <w:r>
        <w:rPr>
          <w:spacing w:val="1"/>
        </w:rPr>
        <w:t xml:space="preserve"> </w:t>
      </w:r>
      <w:r>
        <w:t>is</w:t>
      </w:r>
      <w:r>
        <w:rPr>
          <w:spacing w:val="1"/>
        </w:rPr>
        <w:t xml:space="preserve"> </w:t>
      </w:r>
      <w:r>
        <w:t>the most</w:t>
      </w:r>
      <w:r>
        <w:rPr>
          <w:spacing w:val="1"/>
        </w:rPr>
        <w:t xml:space="preserve"> </w:t>
      </w:r>
      <w:r>
        <w:t>common way</w:t>
      </w:r>
      <w:r>
        <w:rPr>
          <w:spacing w:val="1"/>
        </w:rPr>
        <w:t xml:space="preserve"> </w:t>
      </w:r>
      <w:r>
        <w:t>of</w:t>
      </w:r>
      <w:r>
        <w:rPr>
          <w:spacing w:val="5"/>
        </w:rPr>
        <w:t xml:space="preserve"> </w:t>
      </w:r>
      <w:r>
        <w:t>estim</w:t>
      </w:r>
      <w:r>
        <w:rPr>
          <w:spacing w:val="-2"/>
        </w:rPr>
        <w:t>a</w:t>
      </w:r>
      <w:r>
        <w:t>ting the</w:t>
      </w:r>
      <w:r>
        <w:rPr>
          <w:spacing w:val="1"/>
        </w:rPr>
        <w:t xml:space="preserve"> </w:t>
      </w:r>
      <w:r>
        <w:rPr>
          <w:spacing w:val="-2"/>
        </w:rPr>
        <w:t>e</w:t>
      </w:r>
      <w:r>
        <w:t>xpected</w:t>
      </w:r>
      <w:r>
        <w:rPr>
          <w:spacing w:val="1"/>
        </w:rPr>
        <w:t xml:space="preserve"> </w:t>
      </w:r>
      <w:r>
        <w:t>MR</w:t>
      </w:r>
      <w:r>
        <w:rPr>
          <w:spacing w:val="-29"/>
        </w:rPr>
        <w:t>P</w:t>
      </w:r>
      <w:r>
        <w:t>.</w:t>
      </w:r>
      <w:r>
        <w:rPr>
          <w:position w:val="7"/>
          <w:sz w:val="11"/>
          <w:szCs w:val="11"/>
        </w:rPr>
        <w:t>264</w:t>
      </w:r>
      <w:r>
        <w:rPr>
          <w:spacing w:val="18"/>
          <w:position w:val="7"/>
          <w:sz w:val="11"/>
          <w:szCs w:val="11"/>
        </w:rPr>
        <w:t xml:space="preserve"> </w:t>
      </w:r>
      <w:r>
        <w:rPr>
          <w:rFonts w:cs="Avenir Next"/>
          <w:spacing w:val="-4"/>
        </w:rPr>
        <w:t>T</w:t>
      </w:r>
      <w:r>
        <w:rPr>
          <w:rFonts w:cs="Avenir Next"/>
        </w:rPr>
        <w:t xml:space="preserve">he </w:t>
      </w:r>
      <w:r>
        <w:rPr>
          <w:rFonts w:cs="Avenir Next"/>
          <w:spacing w:val="-1"/>
        </w:rPr>
        <w:t>premium</w:t>
      </w:r>
      <w:r>
        <w:rPr>
          <w:rFonts w:cs="Avenir Next"/>
        </w:rPr>
        <w:t xml:space="preserve"> is computed as the </w:t>
      </w:r>
      <w:r>
        <w:rPr>
          <w:rFonts w:cs="Avenir Next"/>
          <w:spacing w:val="-1"/>
        </w:rPr>
        <w:t>difference</w:t>
      </w:r>
      <w:r>
        <w:rPr>
          <w:rFonts w:cs="Avenir Next"/>
        </w:rPr>
        <w:t xml:space="preserve"> between the </w:t>
      </w:r>
      <w:r>
        <w:rPr>
          <w:rFonts w:cs="Avenir Next"/>
          <w:spacing w:val="-1"/>
        </w:rPr>
        <w:t>average</w:t>
      </w:r>
      <w:r>
        <w:rPr>
          <w:rFonts w:cs="Avenir Next"/>
        </w:rPr>
        <w:t xml:space="preserve"> </w:t>
      </w:r>
      <w:r>
        <w:rPr>
          <w:rFonts w:cs="Avenir Next"/>
          <w:spacing w:val="-1"/>
        </w:rPr>
        <w:t>return</w:t>
      </w:r>
      <w:r>
        <w:rPr>
          <w:rFonts w:cs="Avenir Next"/>
        </w:rPr>
        <w:t xml:space="preserve"> on the </w:t>
      </w:r>
      <w:r>
        <w:rPr>
          <w:rFonts w:cs="Avenir Next"/>
          <w:spacing w:val="-1"/>
        </w:rPr>
        <w:t>market</w:t>
      </w:r>
      <w:r>
        <w:rPr>
          <w:rFonts w:cs="Avenir Next"/>
        </w:rPr>
        <w:t xml:space="preserve"> </w:t>
      </w:r>
      <w:r>
        <w:rPr>
          <w:rFonts w:cs="Avenir Next"/>
          <w:spacing w:val="-1"/>
        </w:rPr>
        <w:t>portfolio</w:t>
      </w:r>
      <w:r>
        <w:rPr>
          <w:rFonts w:cs="Avenir Next"/>
        </w:rPr>
        <w:t xml:space="preserve"> and the</w:t>
      </w:r>
      <w:r>
        <w:rPr>
          <w:rFonts w:cs="Avenir Next"/>
          <w:spacing w:val="39"/>
        </w:rPr>
        <w:t xml:space="preserve"> </w:t>
      </w:r>
      <w:r>
        <w:rPr>
          <w:spacing w:val="-1"/>
        </w:rPr>
        <w:t>average</w:t>
      </w:r>
      <w:r>
        <w:t xml:space="preserve"> </w:t>
      </w:r>
      <w:r>
        <w:rPr>
          <w:spacing w:val="-1"/>
        </w:rPr>
        <w:t>return</w:t>
      </w:r>
      <w:r>
        <w:t xml:space="preserve"> on a </w:t>
      </w:r>
      <w:r>
        <w:rPr>
          <w:spacing w:val="-1"/>
        </w:rPr>
        <w:t>risk-free</w:t>
      </w:r>
      <w:r>
        <w:t xml:space="preserve"> asset based on historical </w:t>
      </w:r>
      <w:r>
        <w:rPr>
          <w:spacing w:val="-1"/>
        </w:rPr>
        <w:t>data.</w:t>
      </w:r>
      <w:r>
        <w:rPr>
          <w:spacing w:val="-11"/>
        </w:rPr>
        <w:t xml:space="preserve"> </w:t>
      </w:r>
      <w:r>
        <w:rPr>
          <w:spacing w:val="-1"/>
        </w:rPr>
        <w:t>This</w:t>
      </w:r>
      <w:r>
        <w:t xml:space="preserve"> </w:t>
      </w:r>
      <w:r>
        <w:rPr>
          <w:spacing w:val="-1"/>
        </w:rPr>
        <w:t>approach</w:t>
      </w:r>
      <w:r>
        <w:t xml:space="preserve"> assumes </w:t>
      </w:r>
      <w:r>
        <w:rPr>
          <w:spacing w:val="-1"/>
        </w:rPr>
        <w:t>that</w:t>
      </w:r>
      <w:r>
        <w:t xml:space="preserve"> the MRP has</w:t>
      </w:r>
      <w:r>
        <w:rPr>
          <w:spacing w:val="29"/>
        </w:rPr>
        <w:t xml:space="preserve"> </w:t>
      </w:r>
      <w:r>
        <w:t xml:space="preserve">not changed in any </w:t>
      </w:r>
      <w:r>
        <w:rPr>
          <w:spacing w:val="-1"/>
        </w:rPr>
        <w:t>material</w:t>
      </w:r>
      <w:r>
        <w:t xml:space="preserve"> fashion over a long-time period and </w:t>
      </w:r>
      <w:r>
        <w:rPr>
          <w:spacing w:val="-1"/>
        </w:rPr>
        <w:t>that</w:t>
      </w:r>
      <w:r>
        <w:t xml:space="preserve"> it will </w:t>
      </w:r>
      <w:r>
        <w:rPr>
          <w:spacing w:val="-1"/>
        </w:rPr>
        <w:t>mean-revert.</w:t>
      </w:r>
      <w:r>
        <w:rPr>
          <w:spacing w:val="-6"/>
        </w:rPr>
        <w:t xml:space="preserve"> </w:t>
      </w:r>
      <w:r>
        <w:rPr>
          <w:spacing w:val="-2"/>
        </w:rPr>
        <w:t>However,</w:t>
      </w:r>
      <w:r>
        <w:rPr>
          <w:spacing w:val="33"/>
        </w:rPr>
        <w:t xml:space="preserve"> </w:t>
      </w:r>
      <w:r>
        <w:rPr>
          <w:rFonts w:cs="Avenir Next"/>
        </w:rPr>
        <w:t>the</w:t>
      </w:r>
      <w:r>
        <w:rPr>
          <w:rFonts w:cs="Avenir Next"/>
          <w:spacing w:val="-4"/>
        </w:rPr>
        <w:t>r</w:t>
      </w:r>
      <w:r>
        <w:rPr>
          <w:rFonts w:cs="Avenir Next"/>
        </w:rPr>
        <w:t>e a</w:t>
      </w:r>
      <w:r>
        <w:rPr>
          <w:rFonts w:cs="Avenir Next"/>
          <w:spacing w:val="-4"/>
        </w:rPr>
        <w:t>r</w:t>
      </w:r>
      <w:r>
        <w:rPr>
          <w:rFonts w:cs="Avenir Next"/>
        </w:rPr>
        <w:t>e a number of</w:t>
      </w:r>
      <w:r>
        <w:rPr>
          <w:rFonts w:cs="Avenir Next"/>
          <w:spacing w:val="4"/>
        </w:rPr>
        <w:t xml:space="preserve"> </w:t>
      </w:r>
      <w:r>
        <w:rPr>
          <w:rFonts w:cs="Avenir Next"/>
        </w:rPr>
        <w:t>critical assumptions th</w:t>
      </w:r>
      <w:r>
        <w:rPr>
          <w:rFonts w:cs="Avenir Next"/>
          <w:spacing w:val="-3"/>
        </w:rPr>
        <w:t>a</w:t>
      </w:r>
      <w:r>
        <w:rPr>
          <w:rFonts w:cs="Avenir Next"/>
        </w:rPr>
        <w:t>t must be made when estim</w:t>
      </w:r>
      <w:r>
        <w:rPr>
          <w:rFonts w:cs="Avenir Next"/>
          <w:spacing w:val="-3"/>
        </w:rPr>
        <w:t>a</w:t>
      </w:r>
      <w:r>
        <w:rPr>
          <w:rFonts w:cs="Avenir Next"/>
        </w:rPr>
        <w:t>ting the historical MR</w:t>
      </w:r>
      <w:r>
        <w:rPr>
          <w:rFonts w:cs="Avenir Next"/>
          <w:spacing w:val="-29"/>
        </w:rPr>
        <w:t>P</w:t>
      </w:r>
      <w:r>
        <w:rPr>
          <w:rFonts w:cs="Avenir Next"/>
        </w:rPr>
        <w:t xml:space="preserve">, </w:t>
      </w:r>
      <w:r>
        <w:t xml:space="preserve">which can </w:t>
      </w:r>
      <w:r>
        <w:rPr>
          <w:spacing w:val="-1"/>
        </w:rPr>
        <w:t>lead</w:t>
      </w:r>
      <w:r>
        <w:t xml:space="preserve"> to </w:t>
      </w:r>
      <w:r>
        <w:rPr>
          <w:spacing w:val="-1"/>
        </w:rPr>
        <w:t>different</w:t>
      </w:r>
      <w:r>
        <w:t xml:space="preserve"> historical MRP values.</w:t>
      </w:r>
      <w:r>
        <w:rPr>
          <w:spacing w:val="-11"/>
        </w:rPr>
        <w:t xml:space="preserve"> </w:t>
      </w:r>
      <w:r>
        <w:rPr>
          <w:spacing w:val="-1"/>
        </w:rPr>
        <w:t>These</w:t>
      </w:r>
      <w:r>
        <w:t xml:space="preserve"> assumptions </w:t>
      </w:r>
      <w:r>
        <w:rPr>
          <w:spacing w:val="-2"/>
        </w:rPr>
        <w:t>require</w:t>
      </w:r>
      <w:r>
        <w:t xml:space="preserve"> decisions to be made</w:t>
      </w:r>
      <w:r>
        <w:rPr>
          <w:spacing w:val="21"/>
        </w:rPr>
        <w:t xml:space="preserve"> </w:t>
      </w:r>
      <w:r>
        <w:rPr>
          <w:rFonts w:cs="Avenir Next"/>
        </w:rPr>
        <w:t>about the length of</w:t>
      </w:r>
      <w:r>
        <w:rPr>
          <w:rFonts w:cs="Avenir Next"/>
          <w:spacing w:val="4"/>
        </w:rPr>
        <w:t xml:space="preserve"> </w:t>
      </w:r>
      <w:r>
        <w:rPr>
          <w:rFonts w:cs="Avenir Next"/>
        </w:rPr>
        <w:t>the period to be used to m</w:t>
      </w:r>
      <w:r>
        <w:rPr>
          <w:rFonts w:cs="Avenir Next"/>
          <w:spacing w:val="-2"/>
        </w:rPr>
        <w:t>e</w:t>
      </w:r>
      <w:r>
        <w:rPr>
          <w:rFonts w:cs="Avenir Next"/>
        </w:rPr>
        <w:t>asu</w:t>
      </w:r>
      <w:r>
        <w:rPr>
          <w:rFonts w:cs="Avenir Next"/>
          <w:spacing w:val="-4"/>
        </w:rPr>
        <w:t>r</w:t>
      </w:r>
      <w:r>
        <w:rPr>
          <w:rFonts w:cs="Avenir Next"/>
        </w:rPr>
        <w:t>e the MR</w:t>
      </w:r>
      <w:r>
        <w:rPr>
          <w:rFonts w:cs="Avenir Next"/>
          <w:spacing w:val="-29"/>
        </w:rPr>
        <w:t>P</w:t>
      </w:r>
      <w:r>
        <w:rPr>
          <w:rFonts w:cs="Avenir Next"/>
        </w:rPr>
        <w:t>,</w:t>
      </w:r>
      <w:r>
        <w:rPr>
          <w:rFonts w:cs="Avenir Next"/>
          <w:spacing w:val="-6"/>
        </w:rPr>
        <w:t xml:space="preserve"> </w:t>
      </w:r>
      <w:r>
        <w:rPr>
          <w:rFonts w:cs="Avenir Next"/>
        </w:rPr>
        <w:t>the p</w:t>
      </w:r>
      <w:r>
        <w:rPr>
          <w:rFonts w:cs="Avenir Next"/>
          <w:spacing w:val="-4"/>
        </w:rPr>
        <w:t>r</w:t>
      </w:r>
      <w:r>
        <w:rPr>
          <w:rFonts w:cs="Avenir Next"/>
          <w:spacing w:val="-2"/>
        </w:rPr>
        <w:t>o</w:t>
      </w:r>
      <w:r>
        <w:rPr>
          <w:rFonts w:cs="Avenir Next"/>
        </w:rPr>
        <w:t>xy to be used to m</w:t>
      </w:r>
      <w:r>
        <w:rPr>
          <w:rFonts w:cs="Avenir Next"/>
          <w:spacing w:val="-2"/>
        </w:rPr>
        <w:t>e</w:t>
      </w:r>
      <w:r>
        <w:rPr>
          <w:rFonts w:cs="Avenir Next"/>
        </w:rPr>
        <w:t>asu</w:t>
      </w:r>
      <w:r>
        <w:rPr>
          <w:rFonts w:cs="Avenir Next"/>
          <w:spacing w:val="-4"/>
        </w:rPr>
        <w:t>r</w:t>
      </w:r>
      <w:r>
        <w:rPr>
          <w:rFonts w:cs="Avenir Next"/>
        </w:rPr>
        <w:t xml:space="preserve">e the </w:t>
      </w:r>
      <w:r>
        <w:rPr>
          <w:spacing w:val="-1"/>
        </w:rPr>
        <w:t>risk-free</w:t>
      </w:r>
      <w:r>
        <w:t xml:space="preserve"> </w:t>
      </w:r>
      <w:r>
        <w:rPr>
          <w:spacing w:val="-2"/>
        </w:rPr>
        <w:t>rate</w:t>
      </w:r>
      <w:r>
        <w:t xml:space="preserve"> (eg,</w:t>
      </w:r>
      <w:r>
        <w:rPr>
          <w:spacing w:val="-6"/>
        </w:rPr>
        <w:t xml:space="preserve"> </w:t>
      </w:r>
      <w:r>
        <w:t>3-month bill,</w:t>
      </w:r>
      <w:r>
        <w:rPr>
          <w:spacing w:val="-6"/>
        </w:rPr>
        <w:t xml:space="preserve"> </w:t>
      </w:r>
      <w:r>
        <w:rPr>
          <w:spacing w:val="-1"/>
        </w:rPr>
        <w:t>5-year</w:t>
      </w:r>
      <w:r>
        <w:t xml:space="preserve"> bond or </w:t>
      </w:r>
      <w:r>
        <w:rPr>
          <w:spacing w:val="-1"/>
        </w:rPr>
        <w:t>10-year</w:t>
      </w:r>
      <w:r>
        <w:t xml:space="preserve"> bond) and the </w:t>
      </w:r>
      <w:r>
        <w:rPr>
          <w:spacing w:val="-1"/>
        </w:rPr>
        <w:t>averaging</w:t>
      </w:r>
      <w:r>
        <w:t xml:space="preserve"> method to be used</w:t>
      </w:r>
      <w:r>
        <w:rPr>
          <w:spacing w:val="37"/>
        </w:rPr>
        <w:t xml:space="preserve"> </w:t>
      </w:r>
      <w:r>
        <w:t>(ie,</w:t>
      </w:r>
      <w:r>
        <w:rPr>
          <w:spacing w:val="-6"/>
        </w:rPr>
        <w:t xml:space="preserve"> </w:t>
      </w:r>
      <w:r>
        <w:t xml:space="preserve">arithmetic or geometric </w:t>
      </w:r>
      <w:r>
        <w:rPr>
          <w:spacing w:val="-1"/>
        </w:rPr>
        <w:t>average).</w:t>
      </w:r>
    </w:p>
    <w:p w:rsidR="00D96B91" w:rsidRDefault="00C2656B">
      <w:pPr>
        <w:pStyle w:val="BodyText"/>
        <w:numPr>
          <w:ilvl w:val="0"/>
          <w:numId w:val="131"/>
        </w:numPr>
        <w:tabs>
          <w:tab w:val="left" w:pos="1531"/>
        </w:tabs>
        <w:spacing w:before="85" w:line="260" w:lineRule="exact"/>
        <w:ind w:right="1246" w:hanging="283"/>
      </w:pPr>
      <w:r>
        <w:rPr>
          <w:rFonts w:cs="Avenir Next"/>
          <w:b/>
          <w:bCs/>
        </w:rPr>
        <w:t>Implied</w:t>
      </w:r>
      <w:r>
        <w:rPr>
          <w:rFonts w:cs="Avenir Next"/>
          <w:b/>
          <w:bCs/>
          <w:spacing w:val="-1"/>
        </w:rPr>
        <w:t xml:space="preserve"> </w:t>
      </w:r>
      <w:r>
        <w:rPr>
          <w:rFonts w:cs="Avenir Next"/>
          <w:b/>
          <w:bCs/>
        </w:rPr>
        <w:t>MRP</w:t>
      </w:r>
      <w:r>
        <w:rPr>
          <w:rFonts w:cs="Avenir Next"/>
          <w:b/>
          <w:bCs/>
          <w:spacing w:val="-1"/>
        </w:rPr>
        <w:t xml:space="preserve"> </w:t>
      </w:r>
      <w:r>
        <w:rPr>
          <w:rFonts w:cs="Avenir Next"/>
          <w:b/>
          <w:bCs/>
        </w:rPr>
        <w:t>–</w:t>
      </w:r>
      <w:r>
        <w:rPr>
          <w:rFonts w:cs="Avenir Next"/>
          <w:b/>
          <w:bCs/>
          <w:spacing w:val="-5"/>
        </w:rPr>
        <w:t xml:space="preserve"> </w:t>
      </w:r>
      <w:r>
        <w:rPr>
          <w:rFonts w:cs="Avenir Next"/>
          <w:spacing w:val="-2"/>
        </w:rPr>
        <w:t>The</w:t>
      </w:r>
      <w:r>
        <w:rPr>
          <w:rFonts w:cs="Avenir Next"/>
          <w:spacing w:val="-1"/>
        </w:rPr>
        <w:t xml:space="preserve"> </w:t>
      </w:r>
      <w:r>
        <w:rPr>
          <w:rFonts w:cs="Avenir Next"/>
        </w:rPr>
        <w:t>implied</w:t>
      </w:r>
      <w:r>
        <w:rPr>
          <w:rFonts w:cs="Avenir Next"/>
          <w:spacing w:val="-1"/>
        </w:rPr>
        <w:t xml:space="preserve"> </w:t>
      </w:r>
      <w:r>
        <w:rPr>
          <w:rFonts w:cs="Avenir Next"/>
        </w:rPr>
        <w:t>MRP</w:t>
      </w:r>
      <w:r>
        <w:rPr>
          <w:rFonts w:cs="Avenir Next"/>
          <w:spacing w:val="-1"/>
        </w:rPr>
        <w:t xml:space="preserve"> approach </w:t>
      </w:r>
      <w:r>
        <w:rPr>
          <w:rFonts w:cs="Avenir Next"/>
        </w:rPr>
        <w:t>assumes</w:t>
      </w:r>
      <w:r>
        <w:rPr>
          <w:rFonts w:cs="Avenir Next"/>
          <w:spacing w:val="-1"/>
        </w:rPr>
        <w:t xml:space="preserve"> that </w:t>
      </w:r>
      <w:r>
        <w:rPr>
          <w:rFonts w:cs="Avenir Next"/>
        </w:rPr>
        <w:t>the</w:t>
      </w:r>
      <w:r>
        <w:rPr>
          <w:rFonts w:cs="Avenir Next"/>
          <w:spacing w:val="-1"/>
        </w:rPr>
        <w:t xml:space="preserve"> current </w:t>
      </w:r>
      <w:r>
        <w:rPr>
          <w:rFonts w:cs="Avenir Next"/>
        </w:rPr>
        <w:t>equity</w:t>
      </w:r>
      <w:r>
        <w:rPr>
          <w:rFonts w:cs="Avenir Next"/>
          <w:spacing w:val="-1"/>
        </w:rPr>
        <w:t xml:space="preserve"> market </w:t>
      </w:r>
      <w:r>
        <w:rPr>
          <w:rFonts w:cs="Avenir Next"/>
        </w:rPr>
        <w:t>is</w:t>
      </w:r>
      <w:r>
        <w:rPr>
          <w:rFonts w:cs="Avenir Next"/>
          <w:spacing w:val="-1"/>
        </w:rPr>
        <w:t xml:space="preserve"> correctly </w:t>
      </w:r>
      <w:r>
        <w:rPr>
          <w:rFonts w:cs="Avenir Next"/>
        </w:rPr>
        <w:t>priced,</w:t>
      </w:r>
      <w:r>
        <w:rPr>
          <w:rFonts w:cs="Avenir Next"/>
          <w:spacing w:val="37"/>
        </w:rPr>
        <w:t xml:space="preserve"> </w:t>
      </w:r>
      <w:r>
        <w:t>and</w:t>
      </w:r>
      <w:r>
        <w:rPr>
          <w:spacing w:val="-1"/>
        </w:rPr>
        <w:t xml:space="preserve"> reflects</w:t>
      </w:r>
      <w:r>
        <w:t xml:space="preserve"> all</w:t>
      </w:r>
      <w:r>
        <w:rPr>
          <w:spacing w:val="-1"/>
        </w:rPr>
        <w:t xml:space="preserve"> </w:t>
      </w:r>
      <w:r>
        <w:t xml:space="preserve">available </w:t>
      </w:r>
      <w:r>
        <w:rPr>
          <w:spacing w:val="-1"/>
        </w:rPr>
        <w:t>relevant</w:t>
      </w:r>
      <w:r>
        <w:t xml:space="preserve"> </w:t>
      </w:r>
      <w:r>
        <w:rPr>
          <w:spacing w:val="-1"/>
        </w:rPr>
        <w:t>information.</w:t>
      </w:r>
      <w:r>
        <w:rPr>
          <w:spacing w:val="-7"/>
        </w:rPr>
        <w:t xml:space="preserve"> </w:t>
      </w:r>
      <w:r>
        <w:t xml:space="preserve">It is </w:t>
      </w:r>
      <w:r>
        <w:rPr>
          <w:spacing w:val="-1"/>
        </w:rPr>
        <w:t xml:space="preserve">calculated </w:t>
      </w:r>
      <w:r>
        <w:t>by solving</w:t>
      </w:r>
      <w:r>
        <w:rPr>
          <w:spacing w:val="-1"/>
        </w:rPr>
        <w:t xml:space="preserve"> </w:t>
      </w:r>
      <w:r>
        <w:t xml:space="preserve">for a </w:t>
      </w:r>
      <w:r>
        <w:rPr>
          <w:spacing w:val="-1"/>
        </w:rPr>
        <w:t xml:space="preserve">required </w:t>
      </w:r>
      <w:r>
        <w:rPr>
          <w:spacing w:val="-2"/>
        </w:rPr>
        <w:t>rate</w:t>
      </w:r>
      <w:r>
        <w:t xml:space="preserve"> of</w:t>
      </w:r>
      <w:r>
        <w:rPr>
          <w:spacing w:val="4"/>
        </w:rPr>
        <w:t xml:space="preserve"> </w:t>
      </w:r>
      <w:r>
        <w:rPr>
          <w:spacing w:val="-1"/>
        </w:rPr>
        <w:t>return</w:t>
      </w:r>
      <w:r>
        <w:rPr>
          <w:spacing w:val="63"/>
        </w:rPr>
        <w:t xml:space="preserve"> </w:t>
      </w:r>
      <w:r>
        <w:t xml:space="preserve">given the </w:t>
      </w:r>
      <w:r>
        <w:rPr>
          <w:spacing w:val="-1"/>
        </w:rPr>
        <w:t>present</w:t>
      </w:r>
      <w:r>
        <w:t xml:space="preserve"> value of</w:t>
      </w:r>
      <w:r>
        <w:rPr>
          <w:spacing w:val="4"/>
        </w:rPr>
        <w:t xml:space="preserve"> </w:t>
      </w:r>
      <w:r>
        <w:t xml:space="preserve">the </w:t>
      </w:r>
      <w:r>
        <w:rPr>
          <w:spacing w:val="-1"/>
        </w:rPr>
        <w:t>expected</w:t>
      </w:r>
      <w:r>
        <w:t xml:space="preserve"> dividends and the </w:t>
      </w:r>
      <w:r>
        <w:rPr>
          <w:spacing w:val="-1"/>
        </w:rPr>
        <w:t>current</w:t>
      </w:r>
      <w:r>
        <w:t xml:space="preserve"> price of</w:t>
      </w:r>
      <w:r>
        <w:rPr>
          <w:spacing w:val="4"/>
        </w:rPr>
        <w:t xml:space="preserve"> </w:t>
      </w:r>
      <w:r>
        <w:t xml:space="preserve">the </w:t>
      </w:r>
      <w:r>
        <w:rPr>
          <w:spacing w:val="-1"/>
        </w:rPr>
        <w:t>market</w:t>
      </w:r>
      <w:r>
        <w:t xml:space="preserve"> </w:t>
      </w:r>
      <w:r>
        <w:rPr>
          <w:spacing w:val="-1"/>
        </w:rPr>
        <w:t>portfolio.</w:t>
      </w:r>
    </w:p>
    <w:p w:rsidR="00D96B91" w:rsidRDefault="00C2656B">
      <w:pPr>
        <w:pStyle w:val="BodyText"/>
        <w:spacing w:line="260" w:lineRule="exact"/>
        <w:ind w:left="1530" w:right="1256"/>
      </w:pPr>
      <w:r>
        <w:rPr>
          <w:spacing w:val="-2"/>
        </w:rPr>
        <w:t>The</w:t>
      </w:r>
      <w:r>
        <w:t xml:space="preserve"> advantage of</w:t>
      </w:r>
      <w:r>
        <w:rPr>
          <w:spacing w:val="4"/>
        </w:rPr>
        <w:t xml:space="preserve"> </w:t>
      </w:r>
      <w:r>
        <w:t xml:space="preserve">this option is </w:t>
      </w:r>
      <w:r>
        <w:rPr>
          <w:spacing w:val="-1"/>
        </w:rPr>
        <w:t>that</w:t>
      </w:r>
      <w:r>
        <w:t xml:space="preserve"> it is </w:t>
      </w:r>
      <w:r>
        <w:rPr>
          <w:spacing w:val="-1"/>
        </w:rPr>
        <w:t>market-driven,</w:t>
      </w:r>
      <w:r>
        <w:rPr>
          <w:spacing w:val="-6"/>
        </w:rPr>
        <w:t xml:space="preserve"> </w:t>
      </w:r>
      <w:r>
        <w:rPr>
          <w:spacing w:val="-1"/>
        </w:rPr>
        <w:t>current,</w:t>
      </w:r>
      <w:r>
        <w:rPr>
          <w:spacing w:val="-6"/>
        </w:rPr>
        <w:t xml:space="preserve"> </w:t>
      </w:r>
      <w:r>
        <w:t xml:space="preserve">and does not </w:t>
      </w:r>
      <w:r>
        <w:rPr>
          <w:spacing w:val="-2"/>
        </w:rPr>
        <w:t>require</w:t>
      </w:r>
      <w:r>
        <w:t xml:space="preserve"> historical </w:t>
      </w:r>
      <w:r>
        <w:rPr>
          <w:spacing w:val="-1"/>
        </w:rPr>
        <w:t>data.</w:t>
      </w:r>
      <w:r>
        <w:rPr>
          <w:spacing w:val="55"/>
        </w:rPr>
        <w:t xml:space="preserve"> </w:t>
      </w:r>
      <w:r>
        <w:rPr>
          <w:spacing w:val="-1"/>
        </w:rPr>
        <w:t>Also,</w:t>
      </w:r>
      <w:r>
        <w:rPr>
          <w:spacing w:val="-6"/>
        </w:rPr>
        <w:t xml:space="preserve"> </w:t>
      </w:r>
      <w:r>
        <w:t xml:space="preserve">the MRP values </w:t>
      </w:r>
      <w:r>
        <w:rPr>
          <w:spacing w:val="-2"/>
        </w:rPr>
        <w:t>are</w:t>
      </w:r>
      <w:r>
        <w:t xml:space="preserve"> </w:t>
      </w:r>
      <w:r>
        <w:rPr>
          <w:spacing w:val="-1"/>
        </w:rPr>
        <w:t>readily</w:t>
      </w:r>
      <w:r>
        <w:t xml:space="preserve"> available </w:t>
      </w:r>
      <w:r>
        <w:rPr>
          <w:spacing w:val="-1"/>
        </w:rPr>
        <w:t>from</w:t>
      </w:r>
      <w:r>
        <w:t xml:space="preserve"> </w:t>
      </w:r>
      <w:r>
        <w:rPr>
          <w:spacing w:val="-1"/>
        </w:rPr>
        <w:t>Bloomberg,</w:t>
      </w:r>
      <w:r>
        <w:rPr>
          <w:spacing w:val="-6"/>
        </w:rPr>
        <w:t xml:space="preserve"> </w:t>
      </w:r>
      <w:r>
        <w:t xml:space="preserve">and can be </w:t>
      </w:r>
      <w:r>
        <w:rPr>
          <w:spacing w:val="-1"/>
        </w:rPr>
        <w:t>estimated</w:t>
      </w:r>
      <w:r>
        <w:t xml:space="preserve"> based on </w:t>
      </w:r>
      <w:r>
        <w:rPr>
          <w:spacing w:val="-1"/>
        </w:rPr>
        <w:t>different</w:t>
      </w:r>
      <w:r>
        <w:rPr>
          <w:spacing w:val="39"/>
        </w:rPr>
        <w:t xml:space="preserve"> </w:t>
      </w:r>
      <w:r>
        <w:rPr>
          <w:spacing w:val="-1"/>
        </w:rPr>
        <w:t>valuation</w:t>
      </w:r>
      <w:r>
        <w:t xml:space="preserve"> models.</w:t>
      </w:r>
    </w:p>
    <w:p w:rsidR="00D96B91" w:rsidRDefault="00D96B91">
      <w:pPr>
        <w:spacing w:before="3"/>
        <w:rPr>
          <w:rFonts w:ascii="Avenir Next" w:eastAsia="Avenir Next" w:hAnsi="Avenir Next" w:cs="Avenir Next"/>
          <w:sz w:val="17"/>
          <w:szCs w:val="17"/>
        </w:rPr>
      </w:pPr>
    </w:p>
    <w:p w:rsidR="00D96B91" w:rsidRDefault="00C2656B">
      <w:pPr>
        <w:pStyle w:val="BodyText"/>
        <w:spacing w:line="267" w:lineRule="exact"/>
      </w:pPr>
      <w:r>
        <w:rPr>
          <w:spacing w:val="-4"/>
        </w:rPr>
        <w:t xml:space="preserve">Table </w:t>
      </w:r>
      <w:r>
        <w:t xml:space="preserve">A8.6 sets out the MRP </w:t>
      </w:r>
      <w:r>
        <w:rPr>
          <w:spacing w:val="-1"/>
        </w:rPr>
        <w:t>estimates</w:t>
      </w:r>
      <w:r>
        <w:t xml:space="preserve"> based on these </w:t>
      </w:r>
      <w:r>
        <w:rPr>
          <w:spacing w:val="-1"/>
        </w:rPr>
        <w:t>three</w:t>
      </w:r>
      <w:r>
        <w:t xml:space="preserve"> </w:t>
      </w:r>
      <w:r>
        <w:rPr>
          <w:spacing w:val="-1"/>
        </w:rPr>
        <w:t>different</w:t>
      </w:r>
      <w:r>
        <w:t xml:space="preserve"> </w:t>
      </w:r>
      <w:r>
        <w:rPr>
          <w:spacing w:val="-1"/>
        </w:rPr>
        <w:t>approaches.</w:t>
      </w:r>
      <w:r>
        <w:rPr>
          <w:spacing w:val="-11"/>
        </w:rPr>
        <w:t xml:space="preserve"> </w:t>
      </w:r>
      <w:r>
        <w:rPr>
          <w:spacing w:val="-2"/>
        </w:rPr>
        <w:t>The</w:t>
      </w:r>
      <w:r>
        <w:t xml:space="preserve"> survey MRP</w:t>
      </w:r>
    </w:p>
    <w:p w:rsidR="00D96B91" w:rsidRDefault="00C2656B">
      <w:pPr>
        <w:pStyle w:val="BodyText"/>
        <w:spacing w:before="3" w:line="228" w:lineRule="auto"/>
        <w:ind w:right="1376"/>
      </w:pPr>
      <w:r>
        <w:t>is</w:t>
      </w:r>
      <w:r>
        <w:rPr>
          <w:spacing w:val="-1"/>
        </w:rPr>
        <w:t xml:space="preserve"> </w:t>
      </w:r>
      <w:r>
        <w:t>based on</w:t>
      </w:r>
      <w:r>
        <w:rPr>
          <w:spacing w:val="-1"/>
        </w:rPr>
        <w:t xml:space="preserve"> </w:t>
      </w:r>
      <w:r>
        <w:rPr>
          <w:spacing w:val="-2"/>
        </w:rPr>
        <w:t>Fernandez</w:t>
      </w:r>
      <w:r>
        <w:t xml:space="preserve"> </w:t>
      </w:r>
      <w:r>
        <w:rPr>
          <w:i/>
        </w:rPr>
        <w:t>et</w:t>
      </w:r>
      <w:r>
        <w:rPr>
          <w:i/>
          <w:spacing w:val="-1"/>
        </w:rPr>
        <w:t xml:space="preserve"> </w:t>
      </w:r>
      <w:r>
        <w:rPr>
          <w:i/>
        </w:rPr>
        <w:t xml:space="preserve">al. </w:t>
      </w:r>
      <w:r>
        <w:t>(2012),</w:t>
      </w:r>
      <w:r>
        <w:rPr>
          <w:spacing w:val="-7"/>
        </w:rPr>
        <w:t xml:space="preserve"> </w:t>
      </w:r>
      <w:r>
        <w:t>which surveyed</w:t>
      </w:r>
      <w:r>
        <w:rPr>
          <w:spacing w:val="-1"/>
        </w:rPr>
        <w:t xml:space="preserve"> </w:t>
      </w:r>
      <w:r>
        <w:t>finance and</w:t>
      </w:r>
      <w:r>
        <w:rPr>
          <w:spacing w:val="-1"/>
        </w:rPr>
        <w:t xml:space="preserve"> </w:t>
      </w:r>
      <w:r>
        <w:t xml:space="preserve">economics </w:t>
      </w:r>
      <w:r>
        <w:rPr>
          <w:spacing w:val="-1"/>
        </w:rPr>
        <w:t>professors,</w:t>
      </w:r>
      <w:r>
        <w:rPr>
          <w:spacing w:val="-7"/>
        </w:rPr>
        <w:t xml:space="preserve"> </w:t>
      </w:r>
      <w:r>
        <w:t>analysts and</w:t>
      </w:r>
      <w:r>
        <w:rPr>
          <w:spacing w:val="31"/>
        </w:rPr>
        <w:t xml:space="preserve"> </w:t>
      </w:r>
      <w:r>
        <w:t>managers of</w:t>
      </w:r>
      <w:r>
        <w:rPr>
          <w:spacing w:val="4"/>
        </w:rPr>
        <w:t xml:space="preserve"> </w:t>
      </w:r>
      <w:r>
        <w:t>companies in</w:t>
      </w:r>
      <w:r>
        <w:rPr>
          <w:spacing w:val="-4"/>
        </w:rPr>
        <w:t xml:space="preserve"> </w:t>
      </w:r>
      <w:r>
        <w:rPr>
          <w:spacing w:val="-1"/>
        </w:rPr>
        <w:t>Australia.</w:t>
      </w:r>
      <w:r>
        <w:rPr>
          <w:spacing w:val="-11"/>
        </w:rPr>
        <w:t xml:space="preserve"> </w:t>
      </w:r>
      <w:r>
        <w:rPr>
          <w:spacing w:val="-2"/>
        </w:rPr>
        <w:t>The</w:t>
      </w:r>
      <w:r>
        <w:t xml:space="preserve"> historical </w:t>
      </w:r>
      <w:r>
        <w:rPr>
          <w:spacing w:val="-3"/>
        </w:rPr>
        <w:t>MRPs</w:t>
      </w:r>
      <w:r>
        <w:t xml:space="preserve"> </w:t>
      </w:r>
      <w:r>
        <w:rPr>
          <w:spacing w:val="-2"/>
        </w:rPr>
        <w:t>are</w:t>
      </w:r>
      <w:r>
        <w:t xml:space="preserve"> based on </w:t>
      </w:r>
      <w:r>
        <w:rPr>
          <w:spacing w:val="-1"/>
        </w:rPr>
        <w:t>Brailsford</w:t>
      </w:r>
      <w:r>
        <w:t xml:space="preserve"> </w:t>
      </w:r>
      <w:r>
        <w:rPr>
          <w:i/>
        </w:rPr>
        <w:t xml:space="preserve">et al. </w:t>
      </w:r>
      <w:r>
        <w:t>(2012),</w:t>
      </w:r>
      <w:r>
        <w:rPr>
          <w:spacing w:val="-6"/>
        </w:rPr>
        <w:t xml:space="preserve"> </w:t>
      </w:r>
      <w:r>
        <w:t>which</w:t>
      </w:r>
      <w:r>
        <w:rPr>
          <w:spacing w:val="33"/>
        </w:rPr>
        <w:t xml:space="preserve"> </w:t>
      </w:r>
      <w:r>
        <w:rPr>
          <w:spacing w:val="-1"/>
        </w:rPr>
        <w:t>estimated</w:t>
      </w:r>
      <w:r>
        <w:t xml:space="preserve"> the arithmetic </w:t>
      </w:r>
      <w:r>
        <w:rPr>
          <w:spacing w:val="-1"/>
        </w:rPr>
        <w:t>average</w:t>
      </w:r>
      <w:r>
        <w:t xml:space="preserve"> historical MRP to be 6.1% and the geometric </w:t>
      </w:r>
      <w:r>
        <w:rPr>
          <w:spacing w:val="-1"/>
        </w:rPr>
        <w:t>average</w:t>
      </w:r>
      <w:r>
        <w:t xml:space="preserve"> historical MRP</w:t>
      </w:r>
      <w:r>
        <w:rPr>
          <w:spacing w:val="31"/>
        </w:rPr>
        <w:t xml:space="preserve"> </w:t>
      </w:r>
      <w:r>
        <w:t>to be</w:t>
      </w:r>
      <w:r>
        <w:rPr>
          <w:spacing w:val="1"/>
        </w:rPr>
        <w:t xml:space="preserve"> </w:t>
      </w:r>
      <w:r>
        <w:rPr>
          <w:spacing w:val="-1"/>
        </w:rPr>
        <w:t>4.7%.</w:t>
      </w:r>
      <w:r>
        <w:rPr>
          <w:spacing w:val="-1"/>
          <w:position w:val="7"/>
          <w:sz w:val="11"/>
        </w:rPr>
        <w:t>265</w:t>
      </w:r>
      <w:r>
        <w:rPr>
          <w:spacing w:val="18"/>
          <w:position w:val="7"/>
          <w:sz w:val="11"/>
        </w:rPr>
        <w:t xml:space="preserve"> </w:t>
      </w:r>
      <w:r>
        <w:rPr>
          <w:spacing w:val="-2"/>
        </w:rPr>
        <w:t>The</w:t>
      </w:r>
      <w:r>
        <w:t xml:space="preserve"> implied</w:t>
      </w:r>
      <w:r>
        <w:rPr>
          <w:spacing w:val="1"/>
        </w:rPr>
        <w:t xml:space="preserve"> </w:t>
      </w:r>
      <w:r>
        <w:t xml:space="preserve">MRP </w:t>
      </w:r>
      <w:r>
        <w:rPr>
          <w:spacing w:val="-1"/>
        </w:rPr>
        <w:t>estimate</w:t>
      </w:r>
      <w:r>
        <w:rPr>
          <w:spacing w:val="1"/>
        </w:rPr>
        <w:t xml:space="preserve"> </w:t>
      </w:r>
      <w:r>
        <w:t>has been</w:t>
      </w:r>
      <w:r>
        <w:rPr>
          <w:spacing w:val="1"/>
        </w:rPr>
        <w:t xml:space="preserve"> </w:t>
      </w:r>
      <w:r>
        <w:rPr>
          <w:spacing w:val="-1"/>
        </w:rPr>
        <w:t>calculated</w:t>
      </w:r>
      <w:r>
        <w:rPr>
          <w:spacing w:val="1"/>
        </w:rPr>
        <w:t xml:space="preserve"> </w:t>
      </w:r>
      <w:r>
        <w:t>by taking</w:t>
      </w:r>
      <w:r>
        <w:rPr>
          <w:spacing w:val="1"/>
        </w:rPr>
        <w:t xml:space="preserve"> </w:t>
      </w:r>
      <w:r>
        <w:t>the 40-day</w:t>
      </w:r>
      <w:r>
        <w:rPr>
          <w:spacing w:val="1"/>
        </w:rPr>
        <w:t xml:space="preserve"> </w:t>
      </w:r>
      <w:r>
        <w:rPr>
          <w:spacing w:val="-1"/>
        </w:rPr>
        <w:t>average</w:t>
      </w:r>
      <w:r>
        <w:t xml:space="preserve"> of</w:t>
      </w:r>
      <w:r>
        <w:rPr>
          <w:spacing w:val="5"/>
        </w:rPr>
        <w:t xml:space="preserve"> </w:t>
      </w:r>
      <w:r>
        <w:t>the</w:t>
      </w:r>
      <w:r>
        <w:rPr>
          <w:spacing w:val="1"/>
        </w:rPr>
        <w:t xml:space="preserve"> </w:t>
      </w:r>
      <w:r>
        <w:t>daily</w:t>
      </w:r>
      <w:r>
        <w:rPr>
          <w:spacing w:val="55"/>
        </w:rPr>
        <w:t xml:space="preserve"> </w:t>
      </w:r>
      <w:r>
        <w:t xml:space="preserve">implied MRP published by </w:t>
      </w:r>
      <w:r>
        <w:rPr>
          <w:spacing w:val="-1"/>
        </w:rPr>
        <w:t>Bloomberg</w:t>
      </w:r>
      <w:r>
        <w:t xml:space="preserve"> as </w:t>
      </w:r>
      <w:r>
        <w:rPr>
          <w:spacing w:val="-1"/>
        </w:rPr>
        <w:t>at</w:t>
      </w:r>
      <w:r>
        <w:t xml:space="preserve"> 31 May 2013.</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29"/>
          <w:szCs w:val="29"/>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310" style="width:72.5pt;height:.5pt;mso-position-horizontal-relative:char;mso-position-vertical-relative:line" coordsize="1450,10">
            <v:group id="_x0000_s1311" style="position:absolute;left:5;top:5;width:1440;height:2" coordorigin="5,5" coordsize="1440,2">
              <v:shape id="_x0000_s1312"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564" w:hanging="510"/>
        <w:rPr>
          <w:rFonts w:ascii="Avenir Next" w:eastAsia="Avenir Next" w:hAnsi="Avenir Next" w:cs="Avenir Next"/>
          <w:sz w:val="16"/>
          <w:szCs w:val="16"/>
        </w:rPr>
      </w:pPr>
      <w:r>
        <w:rPr>
          <w:rFonts w:ascii="Avenir Next"/>
          <w:spacing w:val="-1"/>
          <w:sz w:val="16"/>
        </w:rPr>
        <w:t>Fernandez,</w:t>
      </w:r>
      <w:r>
        <w:rPr>
          <w:rFonts w:ascii="Avenir Next"/>
          <w:spacing w:val="-5"/>
          <w:sz w:val="16"/>
        </w:rPr>
        <w:t xml:space="preserve"> </w:t>
      </w:r>
      <w:r>
        <w:rPr>
          <w:rFonts w:ascii="Avenir Next"/>
          <w:spacing w:val="-8"/>
          <w:sz w:val="16"/>
        </w:rPr>
        <w:t xml:space="preserve">P., </w:t>
      </w:r>
      <w:r>
        <w:rPr>
          <w:rFonts w:ascii="Avenir Next"/>
          <w:spacing w:val="-1"/>
          <w:sz w:val="16"/>
        </w:rPr>
        <w:t>Aguirreamalloa,</w:t>
      </w:r>
      <w:r>
        <w:rPr>
          <w:rFonts w:ascii="Avenir Next"/>
          <w:spacing w:val="-7"/>
          <w:sz w:val="16"/>
        </w:rPr>
        <w:t xml:space="preserve"> </w:t>
      </w:r>
      <w:r>
        <w:rPr>
          <w:rFonts w:ascii="Avenir Next"/>
          <w:sz w:val="16"/>
        </w:rPr>
        <w:t>J.,</w:t>
      </w:r>
      <w:r>
        <w:rPr>
          <w:rFonts w:ascii="Avenir Next"/>
          <w:spacing w:val="-5"/>
          <w:sz w:val="16"/>
        </w:rPr>
        <w:t xml:space="preserve"> </w:t>
      </w:r>
      <w:r>
        <w:rPr>
          <w:rFonts w:ascii="Avenir Next"/>
          <w:sz w:val="16"/>
        </w:rPr>
        <w:t xml:space="preserve">and </w:t>
      </w:r>
      <w:r>
        <w:rPr>
          <w:rFonts w:ascii="Avenir Next"/>
          <w:spacing w:val="-1"/>
          <w:sz w:val="16"/>
        </w:rPr>
        <w:t>Corres,</w:t>
      </w:r>
      <w:r>
        <w:rPr>
          <w:rFonts w:ascii="Avenir Next"/>
          <w:spacing w:val="-5"/>
          <w:sz w:val="16"/>
        </w:rPr>
        <w:t xml:space="preserve"> </w:t>
      </w:r>
      <w:r>
        <w:rPr>
          <w:rFonts w:ascii="Avenir Next"/>
          <w:sz w:val="16"/>
        </w:rPr>
        <w:t>L.,</w:t>
      </w:r>
      <w:r>
        <w:rPr>
          <w:rFonts w:ascii="Avenir Next"/>
          <w:spacing w:val="-5"/>
          <w:sz w:val="16"/>
        </w:rPr>
        <w:t xml:space="preserve"> </w:t>
      </w:r>
      <w:r>
        <w:rPr>
          <w:rFonts w:ascii="Avenir Next"/>
          <w:spacing w:val="-1"/>
          <w:sz w:val="16"/>
        </w:rPr>
        <w:t>Market</w:t>
      </w:r>
      <w:r>
        <w:rPr>
          <w:rFonts w:ascii="Avenir Next"/>
          <w:sz w:val="16"/>
        </w:rPr>
        <w:t xml:space="preserve"> risk </w:t>
      </w:r>
      <w:r>
        <w:rPr>
          <w:rFonts w:ascii="Avenir Next"/>
          <w:spacing w:val="-1"/>
          <w:sz w:val="16"/>
        </w:rPr>
        <w:t>premium</w:t>
      </w:r>
      <w:r>
        <w:rPr>
          <w:rFonts w:ascii="Avenir Next"/>
          <w:sz w:val="16"/>
        </w:rPr>
        <w:t xml:space="preserve"> used in 82 countries in 2012: a survey with 7,192</w:t>
      </w:r>
      <w:r>
        <w:rPr>
          <w:rFonts w:ascii="Avenir Next"/>
          <w:spacing w:val="45"/>
          <w:sz w:val="16"/>
        </w:rPr>
        <w:t xml:space="preserve"> </w:t>
      </w:r>
      <w:r>
        <w:rPr>
          <w:rFonts w:ascii="Avenir Next"/>
          <w:sz w:val="16"/>
        </w:rPr>
        <w:t>answers,</w:t>
      </w:r>
      <w:r>
        <w:rPr>
          <w:rFonts w:ascii="Avenir Next"/>
          <w:spacing w:val="-5"/>
          <w:sz w:val="16"/>
        </w:rPr>
        <w:t xml:space="preserve"> </w:t>
      </w:r>
      <w:r>
        <w:rPr>
          <w:rFonts w:ascii="Avenir Next"/>
          <w:sz w:val="16"/>
        </w:rPr>
        <w:t>IESE Business School,</w:t>
      </w:r>
      <w:r>
        <w:rPr>
          <w:rFonts w:ascii="Avenir Next"/>
          <w:spacing w:val="-5"/>
          <w:sz w:val="16"/>
        </w:rPr>
        <w:t xml:space="preserve"> </w:t>
      </w:r>
      <w:r>
        <w:rPr>
          <w:rFonts w:ascii="Avenir Next"/>
          <w:sz w:val="16"/>
        </w:rPr>
        <w:t>2012.</w:t>
      </w:r>
    </w:p>
    <w:p w:rsidR="00D96B91" w:rsidRDefault="00C2656B">
      <w:pPr>
        <w:numPr>
          <w:ilvl w:val="0"/>
          <w:numId w:val="24"/>
        </w:numPr>
        <w:tabs>
          <w:tab w:val="left" w:pos="1758"/>
        </w:tabs>
        <w:spacing w:before="141" w:line="205" w:lineRule="exact"/>
        <w:ind w:hanging="510"/>
        <w:rPr>
          <w:rFonts w:ascii="Avenir Next" w:eastAsia="Avenir Next" w:hAnsi="Avenir Next" w:cs="Avenir Next"/>
          <w:sz w:val="16"/>
          <w:szCs w:val="16"/>
        </w:rPr>
      </w:pPr>
      <w:r>
        <w:rPr>
          <w:rFonts w:ascii="Avenir Next"/>
          <w:spacing w:val="-1"/>
          <w:sz w:val="16"/>
        </w:rPr>
        <w:t>Welch,</w:t>
      </w:r>
      <w:r>
        <w:rPr>
          <w:rFonts w:ascii="Avenir Next"/>
          <w:spacing w:val="-6"/>
          <w:sz w:val="16"/>
        </w:rPr>
        <w:t xml:space="preserve"> </w:t>
      </w:r>
      <w:r>
        <w:rPr>
          <w:rFonts w:ascii="Avenir Next"/>
          <w:sz w:val="16"/>
        </w:rPr>
        <w:t>I.,</w:t>
      </w:r>
      <w:r>
        <w:rPr>
          <w:rFonts w:ascii="Avenir Next"/>
          <w:spacing w:val="-5"/>
          <w:sz w:val="16"/>
        </w:rPr>
        <w:t xml:space="preserve"> </w:t>
      </w:r>
      <w:r>
        <w:rPr>
          <w:rFonts w:ascii="Avenir Next"/>
          <w:sz w:val="16"/>
        </w:rPr>
        <w:t>2000,</w:t>
      </w:r>
      <w:r>
        <w:rPr>
          <w:rFonts w:ascii="Avenir Next"/>
          <w:spacing w:val="-8"/>
          <w:sz w:val="16"/>
        </w:rPr>
        <w:t xml:space="preserve"> </w:t>
      </w:r>
      <w:r>
        <w:rPr>
          <w:rFonts w:ascii="Avenir Next"/>
          <w:spacing w:val="-1"/>
          <w:sz w:val="16"/>
        </w:rPr>
        <w:t xml:space="preserve">View </w:t>
      </w:r>
      <w:r>
        <w:rPr>
          <w:rFonts w:ascii="Avenir Next"/>
          <w:sz w:val="16"/>
        </w:rPr>
        <w:t>of</w:t>
      </w:r>
      <w:r>
        <w:rPr>
          <w:rFonts w:ascii="Avenir Next"/>
          <w:spacing w:val="3"/>
          <w:sz w:val="16"/>
        </w:rPr>
        <w:t xml:space="preserve"> </w:t>
      </w:r>
      <w:r>
        <w:rPr>
          <w:rFonts w:ascii="Avenir Next"/>
          <w:sz w:val="16"/>
        </w:rPr>
        <w:t>financial</w:t>
      </w:r>
      <w:r>
        <w:rPr>
          <w:rFonts w:ascii="Avenir Next"/>
          <w:spacing w:val="-1"/>
          <w:sz w:val="16"/>
        </w:rPr>
        <w:t xml:space="preserve"> </w:t>
      </w:r>
      <w:r>
        <w:rPr>
          <w:rFonts w:ascii="Avenir Next"/>
          <w:sz w:val="16"/>
        </w:rPr>
        <w:t>economists on the</w:t>
      </w:r>
      <w:r>
        <w:rPr>
          <w:rFonts w:ascii="Avenir Next"/>
          <w:spacing w:val="-1"/>
          <w:sz w:val="16"/>
        </w:rPr>
        <w:t xml:space="preserve"> </w:t>
      </w:r>
      <w:r>
        <w:rPr>
          <w:rFonts w:ascii="Avenir Next"/>
          <w:sz w:val="16"/>
        </w:rPr>
        <w:t xml:space="preserve">equity </w:t>
      </w:r>
      <w:r>
        <w:rPr>
          <w:rFonts w:ascii="Avenir Next"/>
          <w:spacing w:val="-1"/>
          <w:sz w:val="16"/>
        </w:rPr>
        <w:t>premium</w:t>
      </w:r>
      <w:r>
        <w:rPr>
          <w:rFonts w:ascii="Avenir Next"/>
          <w:sz w:val="16"/>
        </w:rPr>
        <w:t xml:space="preserve"> and</w:t>
      </w:r>
      <w:r>
        <w:rPr>
          <w:rFonts w:ascii="Avenir Next"/>
          <w:spacing w:val="-1"/>
          <w:sz w:val="16"/>
        </w:rPr>
        <w:t xml:space="preserve"> </w:t>
      </w:r>
      <w:r>
        <w:rPr>
          <w:rFonts w:ascii="Avenir Next"/>
          <w:sz w:val="16"/>
        </w:rPr>
        <w:t xml:space="preserve">on </w:t>
      </w:r>
      <w:r>
        <w:rPr>
          <w:rFonts w:ascii="Avenir Next"/>
          <w:spacing w:val="-1"/>
          <w:sz w:val="16"/>
        </w:rPr>
        <w:t>professional</w:t>
      </w:r>
      <w:r>
        <w:rPr>
          <w:rFonts w:ascii="Avenir Next"/>
          <w:sz w:val="16"/>
        </w:rPr>
        <w:t xml:space="preserve"> </w:t>
      </w:r>
      <w:r>
        <w:rPr>
          <w:rFonts w:ascii="Avenir Next"/>
          <w:spacing w:val="-1"/>
          <w:sz w:val="16"/>
        </w:rPr>
        <w:t>controversies,</w:t>
      </w:r>
      <w:r>
        <w:rPr>
          <w:rFonts w:ascii="Avenir Next"/>
          <w:spacing w:val="-6"/>
          <w:sz w:val="16"/>
        </w:rPr>
        <w:t xml:space="preserve"> </w:t>
      </w:r>
      <w:r>
        <w:rPr>
          <w:rFonts w:ascii="Avenir Next"/>
          <w:i/>
          <w:sz w:val="16"/>
        </w:rPr>
        <w:t>Journal of</w:t>
      </w:r>
      <w:r>
        <w:rPr>
          <w:rFonts w:ascii="Avenir Next"/>
          <w:i/>
          <w:spacing w:val="2"/>
          <w:sz w:val="16"/>
        </w:rPr>
        <w:t xml:space="preserve"> </w:t>
      </w:r>
      <w:r>
        <w:rPr>
          <w:rFonts w:ascii="Avenir Next"/>
          <w:i/>
          <w:sz w:val="16"/>
        </w:rPr>
        <w:t>Business</w:t>
      </w:r>
    </w:p>
    <w:p w:rsidR="00D96B91" w:rsidRDefault="00C2656B">
      <w:pPr>
        <w:spacing w:line="205" w:lineRule="exact"/>
        <w:ind w:left="1757"/>
        <w:rPr>
          <w:rFonts w:ascii="Avenir Next" w:eastAsia="Avenir Next" w:hAnsi="Avenir Next" w:cs="Avenir Next"/>
          <w:sz w:val="16"/>
          <w:szCs w:val="16"/>
        </w:rPr>
      </w:pPr>
      <w:r>
        <w:rPr>
          <w:rFonts w:ascii="Avenir Next"/>
          <w:sz w:val="16"/>
        </w:rPr>
        <w:t>73 (4),</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501-537.</w:t>
      </w:r>
    </w:p>
    <w:p w:rsidR="00D96B91" w:rsidRDefault="00C2656B">
      <w:pPr>
        <w:numPr>
          <w:ilvl w:val="0"/>
          <w:numId w:val="24"/>
        </w:numPr>
        <w:tabs>
          <w:tab w:val="left" w:pos="1758"/>
        </w:tabs>
        <w:spacing w:before="128" w:line="192" w:lineRule="exact"/>
        <w:ind w:right="1447" w:hanging="510"/>
        <w:rPr>
          <w:rFonts w:ascii="Avenir Next" w:eastAsia="Avenir Next" w:hAnsi="Avenir Next" w:cs="Avenir Next"/>
          <w:sz w:val="16"/>
          <w:szCs w:val="16"/>
        </w:rPr>
      </w:pPr>
      <w:r>
        <w:rPr>
          <w:rFonts w:ascii="Avenir Next"/>
          <w:spacing w:val="-1"/>
          <w:sz w:val="16"/>
        </w:rPr>
        <w:t>Brailsford,</w:t>
      </w:r>
      <w:r>
        <w:rPr>
          <w:rFonts w:ascii="Avenir Next"/>
          <w:spacing w:val="-9"/>
          <w:sz w:val="16"/>
        </w:rPr>
        <w:t xml:space="preserve"> </w:t>
      </w:r>
      <w:r>
        <w:rPr>
          <w:rFonts w:ascii="Avenir Next"/>
          <w:spacing w:val="-5"/>
          <w:sz w:val="16"/>
        </w:rPr>
        <w:t xml:space="preserve">T., </w:t>
      </w:r>
      <w:r>
        <w:rPr>
          <w:rFonts w:ascii="Avenir Next"/>
          <w:spacing w:val="-1"/>
          <w:sz w:val="16"/>
        </w:rPr>
        <w:t>Handley,</w:t>
      </w:r>
      <w:r>
        <w:rPr>
          <w:rFonts w:ascii="Avenir Next"/>
          <w:spacing w:val="-7"/>
          <w:sz w:val="16"/>
        </w:rPr>
        <w:t xml:space="preserve"> </w:t>
      </w:r>
      <w:r>
        <w:rPr>
          <w:rFonts w:ascii="Avenir Next"/>
          <w:sz w:val="16"/>
        </w:rPr>
        <w:t>J.C.,</w:t>
      </w:r>
      <w:r>
        <w:rPr>
          <w:rFonts w:ascii="Avenir Next"/>
          <w:spacing w:val="-5"/>
          <w:sz w:val="16"/>
        </w:rPr>
        <w:t xml:space="preserve"> </w:t>
      </w:r>
      <w:r>
        <w:rPr>
          <w:rFonts w:ascii="Avenir Next"/>
          <w:sz w:val="16"/>
        </w:rPr>
        <w:t xml:space="preserve">and </w:t>
      </w:r>
      <w:r>
        <w:rPr>
          <w:rFonts w:ascii="Avenir Next"/>
          <w:spacing w:val="-1"/>
          <w:sz w:val="16"/>
        </w:rPr>
        <w:t>Maheswaran,</w:t>
      </w:r>
      <w:r>
        <w:rPr>
          <w:rFonts w:ascii="Avenir Next"/>
          <w:spacing w:val="-5"/>
          <w:sz w:val="16"/>
        </w:rPr>
        <w:t xml:space="preserve"> </w:t>
      </w:r>
      <w:r>
        <w:rPr>
          <w:rFonts w:ascii="Avenir Next"/>
          <w:sz w:val="16"/>
        </w:rPr>
        <w:t>K.,</w:t>
      </w:r>
      <w:r>
        <w:rPr>
          <w:rFonts w:ascii="Avenir Next"/>
          <w:spacing w:val="-5"/>
          <w:sz w:val="16"/>
        </w:rPr>
        <w:t xml:space="preserve"> </w:t>
      </w:r>
      <w:r>
        <w:rPr>
          <w:rFonts w:ascii="Avenir Next"/>
          <w:sz w:val="16"/>
        </w:rPr>
        <w:t>2012,</w:t>
      </w:r>
      <w:r>
        <w:rPr>
          <w:rFonts w:ascii="Avenir Next"/>
          <w:spacing w:val="-9"/>
          <w:sz w:val="16"/>
        </w:rPr>
        <w:t xml:space="preserve"> </w:t>
      </w:r>
      <w:r>
        <w:rPr>
          <w:rFonts w:ascii="Avenir Next"/>
          <w:spacing w:val="-1"/>
          <w:sz w:val="16"/>
        </w:rPr>
        <w:t>The</w:t>
      </w:r>
      <w:r>
        <w:rPr>
          <w:rFonts w:ascii="Avenir Next"/>
          <w:sz w:val="16"/>
        </w:rPr>
        <w:t xml:space="preserve"> historical equity risk </w:t>
      </w:r>
      <w:r>
        <w:rPr>
          <w:rFonts w:ascii="Avenir Next"/>
          <w:spacing w:val="-1"/>
          <w:sz w:val="16"/>
        </w:rPr>
        <w:t>premium</w:t>
      </w:r>
      <w:r>
        <w:rPr>
          <w:rFonts w:ascii="Avenir Next"/>
          <w:sz w:val="16"/>
        </w:rPr>
        <w:t xml:space="preserve"> in</w:t>
      </w:r>
      <w:r>
        <w:rPr>
          <w:rFonts w:ascii="Avenir Next"/>
          <w:spacing w:val="-3"/>
          <w:sz w:val="16"/>
        </w:rPr>
        <w:t xml:space="preserve"> </w:t>
      </w:r>
      <w:r>
        <w:rPr>
          <w:rFonts w:ascii="Avenir Next"/>
          <w:spacing w:val="-1"/>
          <w:sz w:val="16"/>
        </w:rPr>
        <w:t>Australia:</w:t>
      </w:r>
      <w:r>
        <w:rPr>
          <w:rFonts w:ascii="Avenir Next"/>
          <w:sz w:val="16"/>
        </w:rPr>
        <w:t xml:space="preserve"> post-GFC and 128</w:t>
      </w:r>
      <w:r>
        <w:rPr>
          <w:rFonts w:ascii="Avenir Next"/>
          <w:spacing w:val="63"/>
          <w:sz w:val="16"/>
        </w:rPr>
        <w:t xml:space="preserve"> </w:t>
      </w:r>
      <w:r>
        <w:rPr>
          <w:rFonts w:ascii="Avenir Next"/>
          <w:spacing w:val="-1"/>
          <w:sz w:val="16"/>
        </w:rPr>
        <w:t>years</w:t>
      </w:r>
      <w:r>
        <w:rPr>
          <w:rFonts w:ascii="Avenir Next"/>
          <w:sz w:val="16"/>
        </w:rPr>
        <w:t xml:space="preserve"> of</w:t>
      </w:r>
      <w:r>
        <w:rPr>
          <w:rFonts w:ascii="Avenir Next"/>
          <w:spacing w:val="3"/>
          <w:sz w:val="16"/>
        </w:rPr>
        <w:t xml:space="preserve"> </w:t>
      </w:r>
      <w:r>
        <w:rPr>
          <w:rFonts w:ascii="Avenir Next"/>
          <w:spacing w:val="-1"/>
          <w:sz w:val="16"/>
        </w:rPr>
        <w:t>data,</w:t>
      </w:r>
      <w:r>
        <w:rPr>
          <w:rFonts w:ascii="Avenir Next"/>
          <w:spacing w:val="-8"/>
          <w:sz w:val="16"/>
        </w:rPr>
        <w:t xml:space="preserve"> </w:t>
      </w:r>
      <w:r>
        <w:rPr>
          <w:rFonts w:ascii="Avenir Next"/>
          <w:sz w:val="16"/>
        </w:rPr>
        <w:t xml:space="preserve">Accounting and </w:t>
      </w:r>
      <w:r>
        <w:rPr>
          <w:rFonts w:ascii="Avenir Next"/>
          <w:spacing w:val="-1"/>
          <w:sz w:val="16"/>
        </w:rPr>
        <w:t>Finance</w:t>
      </w:r>
      <w:r>
        <w:rPr>
          <w:rFonts w:ascii="Avenir Next"/>
          <w:sz w:val="16"/>
        </w:rPr>
        <w:t xml:space="preserve"> 52,</w:t>
      </w:r>
      <w:r>
        <w:rPr>
          <w:rFonts w:ascii="Avenir Next"/>
          <w:spacing w:val="-5"/>
          <w:sz w:val="16"/>
        </w:rPr>
        <w:t xml:space="preserve"> </w:t>
      </w:r>
      <w:r>
        <w:rPr>
          <w:rFonts w:ascii="Avenir Next"/>
          <w:spacing w:val="-1"/>
          <w:sz w:val="16"/>
        </w:rPr>
        <w:t>pp.</w:t>
      </w:r>
      <w:r>
        <w:rPr>
          <w:rFonts w:ascii="Avenir Next"/>
          <w:spacing w:val="-5"/>
          <w:sz w:val="16"/>
        </w:rPr>
        <w:t xml:space="preserve"> </w:t>
      </w:r>
      <w:r>
        <w:rPr>
          <w:rFonts w:ascii="Avenir Next"/>
          <w:sz w:val="16"/>
        </w:rPr>
        <w:t>237-247.</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A8.6:</w:t>
      </w:r>
      <w:r>
        <w:rPr>
          <w:rFonts w:ascii="Avenir Next"/>
          <w:b/>
          <w:spacing w:val="-4"/>
          <w:sz w:val="20"/>
        </w:rPr>
        <w:t xml:space="preserve"> </w:t>
      </w:r>
      <w:r>
        <w:rPr>
          <w:rFonts w:ascii="Avenir Next"/>
          <w:b/>
          <w:spacing w:val="-1"/>
          <w:sz w:val="20"/>
        </w:rPr>
        <w:t>Alternative</w:t>
      </w:r>
      <w:r>
        <w:rPr>
          <w:rFonts w:ascii="Avenir Next"/>
          <w:b/>
          <w:sz w:val="20"/>
        </w:rPr>
        <w:t xml:space="preserve"> </w:t>
      </w:r>
      <w:r>
        <w:rPr>
          <w:rFonts w:ascii="Avenir Next"/>
          <w:b/>
          <w:spacing w:val="-1"/>
          <w:sz w:val="20"/>
        </w:rPr>
        <w:t>measures</w:t>
      </w:r>
      <w:r>
        <w:rPr>
          <w:rFonts w:ascii="Avenir Next"/>
          <w:b/>
          <w:sz w:val="20"/>
        </w:rPr>
        <w:t xml:space="preserve"> of</w:t>
      </w:r>
      <w:r>
        <w:rPr>
          <w:rFonts w:ascii="Avenir Next"/>
          <w:b/>
          <w:spacing w:val="4"/>
          <w:sz w:val="20"/>
        </w:rPr>
        <w:t xml:space="preserve"> </w:t>
      </w:r>
      <w:r>
        <w:rPr>
          <w:rFonts w:ascii="Avenir Next"/>
          <w:b/>
          <w:sz w:val="20"/>
        </w:rPr>
        <w:t xml:space="preserve">the MRP as </w:t>
      </w:r>
      <w:r>
        <w:rPr>
          <w:rFonts w:ascii="Avenir Next"/>
          <w:b/>
          <w:spacing w:val="-1"/>
          <w:sz w:val="20"/>
        </w:rPr>
        <w:t>at</w:t>
      </w:r>
      <w:r>
        <w:rPr>
          <w:rFonts w:ascii="Avenir Next"/>
          <w:b/>
          <w:sz w:val="20"/>
        </w:rPr>
        <w:t xml:space="preserve"> 31 May 2013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4227"/>
        <w:gridCol w:w="2693"/>
        <w:gridCol w:w="2481"/>
      </w:tblGrid>
      <w:tr w:rsidR="00D96B91">
        <w:trPr>
          <w:trHeight w:hRule="exact" w:val="407"/>
        </w:trPr>
        <w:tc>
          <w:tcPr>
            <w:tcW w:w="422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Approach</w:t>
            </w:r>
          </w:p>
        </w:tc>
        <w:tc>
          <w:tcPr>
            <w:tcW w:w="269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871"/>
              <w:rPr>
                <w:rFonts w:ascii="Avenir Next Condensed" w:eastAsia="Avenir Next Condensed" w:hAnsi="Avenir Next Condensed" w:cs="Avenir Next Condensed"/>
                <w:sz w:val="18"/>
                <w:szCs w:val="18"/>
              </w:rPr>
            </w:pPr>
            <w:r>
              <w:rPr>
                <w:rFonts w:ascii="Avenir Next Condensed"/>
                <w:b/>
                <w:color w:val="FFFFFF"/>
                <w:sz w:val="18"/>
              </w:rPr>
              <w:t>MRP estimate</w:t>
            </w:r>
          </w:p>
        </w:tc>
        <w:tc>
          <w:tcPr>
            <w:tcW w:w="248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Source</w:t>
            </w:r>
          </w:p>
        </w:tc>
      </w:tr>
      <w:tr w:rsidR="00D96B91">
        <w:trPr>
          <w:trHeight w:hRule="exact" w:val="407"/>
        </w:trPr>
        <w:tc>
          <w:tcPr>
            <w:tcW w:w="422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Survey MRP</w:t>
            </w:r>
          </w:p>
        </w:tc>
        <w:tc>
          <w:tcPr>
            <w:tcW w:w="269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jc w:val="center"/>
              <w:rPr>
                <w:rFonts w:ascii="Avenir Next Condensed" w:eastAsia="Avenir Next Condensed" w:hAnsi="Avenir Next Condensed" w:cs="Avenir Next Condensed"/>
                <w:sz w:val="18"/>
                <w:szCs w:val="18"/>
              </w:rPr>
            </w:pPr>
            <w:r>
              <w:rPr>
                <w:rFonts w:ascii="Avenir Next Condensed"/>
                <w:sz w:val="18"/>
              </w:rPr>
              <w:t>6.0%</w:t>
            </w:r>
          </w:p>
        </w:tc>
        <w:tc>
          <w:tcPr>
            <w:tcW w:w="248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Fernandez</w:t>
            </w:r>
            <w:r>
              <w:rPr>
                <w:rFonts w:ascii="Avenir Next Condensed"/>
                <w:sz w:val="18"/>
              </w:rPr>
              <w:t xml:space="preserve"> </w:t>
            </w:r>
            <w:r>
              <w:rPr>
                <w:rFonts w:ascii="Avenir Next Condensed"/>
                <w:i/>
                <w:sz w:val="18"/>
              </w:rPr>
              <w:t xml:space="preserve">et al. </w:t>
            </w:r>
            <w:r>
              <w:rPr>
                <w:rFonts w:ascii="Avenir Next Condensed"/>
                <w:sz w:val="18"/>
              </w:rPr>
              <w:t>(2012)</w:t>
            </w:r>
          </w:p>
        </w:tc>
      </w:tr>
      <w:tr w:rsidR="00D96B91">
        <w:trPr>
          <w:trHeight w:hRule="exact" w:val="407"/>
        </w:trPr>
        <w:tc>
          <w:tcPr>
            <w:tcW w:w="42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Historical MRP –</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Arithmetic </w:t>
            </w:r>
            <w:r>
              <w:rPr>
                <w:rFonts w:ascii="Avenir Next Condensed" w:eastAsia="Avenir Next Condensed" w:hAnsi="Avenir Next Condensed" w:cs="Avenir Next Condensed"/>
                <w:spacing w:val="-1"/>
                <w:sz w:val="18"/>
                <w:szCs w:val="18"/>
              </w:rPr>
              <w:t>average</w:t>
            </w:r>
          </w:p>
        </w:tc>
        <w:tc>
          <w:tcPr>
            <w:tcW w:w="26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jc w:val="center"/>
              <w:rPr>
                <w:rFonts w:ascii="Avenir Next Condensed" w:eastAsia="Avenir Next Condensed" w:hAnsi="Avenir Next Condensed" w:cs="Avenir Next Condensed"/>
                <w:sz w:val="18"/>
                <w:szCs w:val="18"/>
              </w:rPr>
            </w:pPr>
            <w:r>
              <w:rPr>
                <w:rFonts w:ascii="Avenir Next Condensed"/>
                <w:sz w:val="18"/>
              </w:rPr>
              <w:t>6.1%</w:t>
            </w:r>
          </w:p>
        </w:tc>
        <w:tc>
          <w:tcPr>
            <w:tcW w:w="24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Brailsford</w:t>
            </w:r>
            <w:r>
              <w:rPr>
                <w:rFonts w:ascii="Avenir Next Condensed"/>
                <w:sz w:val="18"/>
              </w:rPr>
              <w:t xml:space="preserve"> </w:t>
            </w:r>
            <w:r>
              <w:rPr>
                <w:rFonts w:ascii="Avenir Next Condensed"/>
                <w:i/>
                <w:sz w:val="18"/>
              </w:rPr>
              <w:t xml:space="preserve">et al. </w:t>
            </w:r>
            <w:r>
              <w:rPr>
                <w:rFonts w:ascii="Avenir Next Condensed"/>
                <w:sz w:val="18"/>
              </w:rPr>
              <w:t>(2012)</w:t>
            </w:r>
          </w:p>
        </w:tc>
      </w:tr>
      <w:tr w:rsidR="00D96B91">
        <w:trPr>
          <w:trHeight w:hRule="exact" w:val="407"/>
        </w:trPr>
        <w:tc>
          <w:tcPr>
            <w:tcW w:w="42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 xml:space="preserve">Historical MRP – Geometric </w:t>
            </w:r>
            <w:r>
              <w:rPr>
                <w:rFonts w:ascii="Avenir Next Condensed" w:eastAsia="Avenir Next Condensed" w:hAnsi="Avenir Next Condensed" w:cs="Avenir Next Condensed"/>
                <w:spacing w:val="-1"/>
                <w:sz w:val="18"/>
                <w:szCs w:val="18"/>
              </w:rPr>
              <w:t>average</w:t>
            </w:r>
          </w:p>
        </w:tc>
        <w:tc>
          <w:tcPr>
            <w:tcW w:w="26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jc w:val="center"/>
              <w:rPr>
                <w:rFonts w:ascii="Avenir Next Condensed" w:eastAsia="Avenir Next Condensed" w:hAnsi="Avenir Next Condensed" w:cs="Avenir Next Condensed"/>
                <w:sz w:val="18"/>
                <w:szCs w:val="18"/>
              </w:rPr>
            </w:pPr>
            <w:r>
              <w:rPr>
                <w:rFonts w:ascii="Avenir Next Condensed"/>
                <w:sz w:val="18"/>
              </w:rPr>
              <w:t>4.7%</w:t>
            </w:r>
          </w:p>
        </w:tc>
        <w:tc>
          <w:tcPr>
            <w:tcW w:w="24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Brailsford</w:t>
            </w:r>
            <w:r>
              <w:rPr>
                <w:rFonts w:ascii="Avenir Next Condensed"/>
                <w:sz w:val="18"/>
              </w:rPr>
              <w:t xml:space="preserve"> </w:t>
            </w:r>
            <w:r>
              <w:rPr>
                <w:rFonts w:ascii="Avenir Next Condensed"/>
                <w:i/>
                <w:sz w:val="18"/>
              </w:rPr>
              <w:t xml:space="preserve">et al. </w:t>
            </w:r>
            <w:r>
              <w:rPr>
                <w:rFonts w:ascii="Avenir Next Condensed"/>
                <w:sz w:val="18"/>
              </w:rPr>
              <w:t>(2012)</w:t>
            </w:r>
          </w:p>
        </w:tc>
      </w:tr>
      <w:tr w:rsidR="00D96B91">
        <w:trPr>
          <w:trHeight w:hRule="exact" w:val="407"/>
        </w:trPr>
        <w:tc>
          <w:tcPr>
            <w:tcW w:w="422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Implied MRP</w:t>
            </w:r>
          </w:p>
        </w:tc>
        <w:tc>
          <w:tcPr>
            <w:tcW w:w="269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16"/>
              <w:jc w:val="center"/>
              <w:rPr>
                <w:rFonts w:ascii="Avenir Next Condensed" w:eastAsia="Avenir Next Condensed" w:hAnsi="Avenir Next Condensed" w:cs="Avenir Next Condensed"/>
                <w:sz w:val="18"/>
                <w:szCs w:val="18"/>
              </w:rPr>
            </w:pPr>
            <w:r>
              <w:rPr>
                <w:rFonts w:ascii="Avenir Next Condensed"/>
                <w:sz w:val="18"/>
              </w:rPr>
              <w:t>7.2%</w:t>
            </w:r>
          </w:p>
        </w:tc>
        <w:tc>
          <w:tcPr>
            <w:tcW w:w="248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Bloomberg</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pacing w:val="-1"/>
          <w:sz w:val="16"/>
        </w:rPr>
        <w:t>Data</w:t>
      </w:r>
      <w:r>
        <w:rPr>
          <w:rFonts w:ascii="Avenir Next"/>
          <w:sz w:val="16"/>
        </w:rPr>
        <w:t xml:space="preserve"> </w:t>
      </w:r>
      <w:r>
        <w:rPr>
          <w:rFonts w:ascii="Avenir Next"/>
          <w:spacing w:val="-1"/>
          <w:sz w:val="16"/>
        </w:rPr>
        <w:t>source:</w:t>
      </w:r>
      <w:r>
        <w:rPr>
          <w:rFonts w:ascii="Avenir Next"/>
          <w:sz w:val="16"/>
        </w:rPr>
        <w:t xml:space="preserve"> </w:t>
      </w:r>
      <w:r>
        <w:rPr>
          <w:rFonts w:ascii="Avenir Next"/>
          <w:spacing w:val="-1"/>
          <w:sz w:val="16"/>
        </w:rPr>
        <w:t>Bloomberg,</w:t>
      </w:r>
      <w:r>
        <w:rPr>
          <w:rFonts w:ascii="Avenir Next"/>
          <w:spacing w:val="-5"/>
          <w:sz w:val="16"/>
        </w:rPr>
        <w:t xml:space="preserve"> </w:t>
      </w:r>
      <w:r>
        <w:rPr>
          <w:rFonts w:ascii="Avenir Next"/>
          <w:spacing w:val="-1"/>
          <w:sz w:val="16"/>
        </w:rPr>
        <w:t>Brailsford</w:t>
      </w:r>
      <w:r>
        <w:rPr>
          <w:rFonts w:ascii="Avenir Next"/>
          <w:sz w:val="16"/>
        </w:rPr>
        <w:t xml:space="preserve"> </w:t>
      </w:r>
      <w:r>
        <w:rPr>
          <w:rFonts w:ascii="Avenir Next"/>
          <w:i/>
          <w:sz w:val="16"/>
        </w:rPr>
        <w:t xml:space="preserve">et al. </w:t>
      </w:r>
      <w:r>
        <w:rPr>
          <w:rFonts w:ascii="Avenir Next"/>
          <w:sz w:val="16"/>
        </w:rPr>
        <w:t xml:space="preserve">(2012) and </w:t>
      </w:r>
      <w:r>
        <w:rPr>
          <w:rFonts w:ascii="Avenir Next"/>
          <w:spacing w:val="-1"/>
          <w:sz w:val="16"/>
        </w:rPr>
        <w:t>Fernandez</w:t>
      </w:r>
      <w:r>
        <w:rPr>
          <w:rFonts w:ascii="Avenir Next"/>
          <w:sz w:val="16"/>
        </w:rPr>
        <w:t xml:space="preserve"> </w:t>
      </w:r>
      <w:r>
        <w:rPr>
          <w:rFonts w:ascii="Avenir Next"/>
          <w:i/>
          <w:sz w:val="16"/>
        </w:rPr>
        <w:t xml:space="preserve">et al. </w:t>
      </w:r>
      <w:r>
        <w:rPr>
          <w:rFonts w:ascii="Avenir Next"/>
          <w:sz w:val="16"/>
        </w:rPr>
        <w:t>(2012).</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356"/>
      </w:pPr>
      <w:r>
        <w:rPr>
          <w:spacing w:val="-2"/>
        </w:rPr>
        <w:t>Figure</w:t>
      </w:r>
      <w:r>
        <w:rPr>
          <w:spacing w:val="-4"/>
        </w:rPr>
        <w:t xml:space="preserve"> </w:t>
      </w:r>
      <w:r>
        <w:t xml:space="preserve">A8.1 shows the </w:t>
      </w:r>
      <w:r>
        <w:rPr>
          <w:spacing w:val="-1"/>
        </w:rPr>
        <w:t>trends</w:t>
      </w:r>
      <w:r>
        <w:t xml:space="preserve"> in the MRP </w:t>
      </w:r>
      <w:r>
        <w:rPr>
          <w:spacing w:val="-1"/>
        </w:rPr>
        <w:t>estimates</w:t>
      </w:r>
      <w:r>
        <w:t xml:space="preserve"> under the </w:t>
      </w:r>
      <w:r>
        <w:rPr>
          <w:spacing w:val="-1"/>
        </w:rPr>
        <w:t>three</w:t>
      </w:r>
      <w:r>
        <w:t xml:space="preserve"> </w:t>
      </w:r>
      <w:r>
        <w:rPr>
          <w:spacing w:val="-1"/>
        </w:rPr>
        <w:t>different</w:t>
      </w:r>
      <w:r>
        <w:t xml:space="preserve"> </w:t>
      </w:r>
      <w:r>
        <w:rPr>
          <w:spacing w:val="-1"/>
        </w:rPr>
        <w:t>approaches.</w:t>
      </w:r>
      <w:r>
        <w:rPr>
          <w:spacing w:val="-6"/>
        </w:rPr>
        <w:t xml:space="preserve"> </w:t>
      </w:r>
      <w:r>
        <w:rPr>
          <w:spacing w:val="-2"/>
        </w:rPr>
        <w:t>Bloomberg’s</w:t>
      </w:r>
      <w:r>
        <w:rPr>
          <w:spacing w:val="61"/>
        </w:rPr>
        <w:t xml:space="preserve"> </w:t>
      </w:r>
      <w:r>
        <w:rPr>
          <w:spacing w:val="-1"/>
        </w:rPr>
        <w:t>estimates</w:t>
      </w:r>
      <w:r>
        <w:t xml:space="preserve"> </w:t>
      </w:r>
      <w:r>
        <w:rPr>
          <w:spacing w:val="-2"/>
        </w:rPr>
        <w:t>are</w:t>
      </w:r>
      <w:r>
        <w:t xml:space="preserve"> available </w:t>
      </w:r>
      <w:r>
        <w:rPr>
          <w:spacing w:val="-1"/>
        </w:rPr>
        <w:t>from</w:t>
      </w:r>
      <w:r>
        <w:rPr>
          <w:spacing w:val="-3"/>
        </w:rPr>
        <w:t xml:space="preserve"> </w:t>
      </w:r>
      <w:r>
        <w:t>July 2008.</w:t>
      </w:r>
      <w:r>
        <w:rPr>
          <w:spacing w:val="-6"/>
        </w:rPr>
        <w:t xml:space="preserve"> </w:t>
      </w:r>
      <w:r>
        <w:t xml:space="preserve">Survey </w:t>
      </w:r>
      <w:r>
        <w:rPr>
          <w:spacing w:val="-3"/>
        </w:rPr>
        <w:t>MRPs</w:t>
      </w:r>
      <w:r>
        <w:t xml:space="preserve"> (median values) </w:t>
      </w:r>
      <w:r>
        <w:rPr>
          <w:spacing w:val="-2"/>
        </w:rPr>
        <w:t>are</w:t>
      </w:r>
      <w:r>
        <w:t xml:space="preserve"> available annually </w:t>
      </w:r>
      <w:r>
        <w:rPr>
          <w:spacing w:val="-1"/>
        </w:rPr>
        <w:t>from</w:t>
      </w:r>
      <w:r>
        <w:t xml:space="preserve"> 2011.</w:t>
      </w:r>
      <w:r>
        <w:rPr>
          <w:spacing w:val="27"/>
        </w:rPr>
        <w:t xml:space="preserve"> </w:t>
      </w:r>
      <w:r>
        <w:rPr>
          <w:spacing w:val="-2"/>
        </w:rPr>
        <w:t>The</w:t>
      </w:r>
      <w:r>
        <w:rPr>
          <w:spacing w:val="-1"/>
        </w:rPr>
        <w:t xml:space="preserve"> </w:t>
      </w:r>
      <w:r>
        <w:t xml:space="preserve">historical </w:t>
      </w:r>
      <w:r>
        <w:rPr>
          <w:spacing w:val="-3"/>
        </w:rPr>
        <w:t>MRPs</w:t>
      </w:r>
      <w:r>
        <w:t xml:space="preserve"> based</w:t>
      </w:r>
      <w:r>
        <w:rPr>
          <w:spacing w:val="-1"/>
        </w:rPr>
        <w:t xml:space="preserve"> </w:t>
      </w:r>
      <w:r>
        <w:t>on geometric and arithmetic</w:t>
      </w:r>
      <w:r>
        <w:rPr>
          <w:spacing w:val="-1"/>
        </w:rPr>
        <w:t xml:space="preserve"> averages</w:t>
      </w:r>
      <w:r>
        <w:t xml:space="preserve"> </w:t>
      </w:r>
      <w:r>
        <w:rPr>
          <w:spacing w:val="-2"/>
        </w:rPr>
        <w:t>are</w:t>
      </w:r>
      <w:r>
        <w:t xml:space="preserve"> constant</w:t>
      </w:r>
      <w:r>
        <w:rPr>
          <w:spacing w:val="-1"/>
        </w:rPr>
        <w:t xml:space="preserve"> </w:t>
      </w:r>
      <w:r>
        <w:t>over time.</w:t>
      </w:r>
      <w:r>
        <w:rPr>
          <w:spacing w:val="-10"/>
        </w:rPr>
        <w:t xml:space="preserve"> </w:t>
      </w:r>
      <w:r>
        <w:t>As this</w:t>
      </w:r>
      <w:r>
        <w:rPr>
          <w:spacing w:val="-1"/>
        </w:rPr>
        <w:t xml:space="preserve"> figure</w:t>
      </w:r>
      <w:r>
        <w:rPr>
          <w:spacing w:val="27"/>
        </w:rPr>
        <w:t xml:space="preserve"> </w:t>
      </w:r>
      <w:r>
        <w:t>highlights,</w:t>
      </w:r>
      <w:r>
        <w:rPr>
          <w:spacing w:val="-6"/>
        </w:rPr>
        <w:t xml:space="preserve"> </w:t>
      </w:r>
      <w:r>
        <w:t xml:space="preserve">the implied MRP in the post-Global </w:t>
      </w:r>
      <w:r>
        <w:rPr>
          <w:spacing w:val="-1"/>
        </w:rPr>
        <w:t>Financial</w:t>
      </w:r>
      <w:r>
        <w:t xml:space="preserve"> Crisis (GFC) period (ie,</w:t>
      </w:r>
      <w:r>
        <w:rPr>
          <w:spacing w:val="-7"/>
        </w:rPr>
        <w:t xml:space="preserve"> </w:t>
      </w:r>
      <w:r>
        <w:rPr>
          <w:spacing w:val="-1"/>
        </w:rPr>
        <w:t>after</w:t>
      </w:r>
      <w:r>
        <w:rPr>
          <w:spacing w:val="-3"/>
        </w:rPr>
        <w:t xml:space="preserve"> </w:t>
      </w:r>
      <w:r>
        <w:t xml:space="preserve">July 2008) </w:t>
      </w:r>
      <w:r>
        <w:rPr>
          <w:spacing w:val="-2"/>
        </w:rPr>
        <w:t>are</w:t>
      </w:r>
      <w:r>
        <w:rPr>
          <w:spacing w:val="30"/>
        </w:rPr>
        <w:t xml:space="preserve"> </w:t>
      </w:r>
      <w:r>
        <w:t xml:space="preserve">higher than those in the </w:t>
      </w:r>
      <w:r>
        <w:rPr>
          <w:spacing w:val="-1"/>
        </w:rPr>
        <w:t>pre-crisis</w:t>
      </w:r>
      <w:r>
        <w:t xml:space="preserve"> period (ie,</w:t>
      </w:r>
      <w:r>
        <w:rPr>
          <w:spacing w:val="-6"/>
        </w:rPr>
        <w:t xml:space="preserve"> </w:t>
      </w:r>
      <w:r>
        <w:rPr>
          <w:spacing w:val="-1"/>
        </w:rPr>
        <w:t>before</w:t>
      </w:r>
      <w:r>
        <w:rPr>
          <w:spacing w:val="-3"/>
        </w:rPr>
        <w:t xml:space="preserve"> </w:t>
      </w:r>
      <w:r>
        <w:t>July 2008).</w:t>
      </w:r>
      <w:r>
        <w:rPr>
          <w:spacing w:val="-11"/>
        </w:rPr>
        <w:t xml:space="preserve"> </w:t>
      </w:r>
      <w:r>
        <w:rPr>
          <w:spacing w:val="-2"/>
        </w:rPr>
        <w:t>The</w:t>
      </w:r>
      <w:r>
        <w:t xml:space="preserve"> </w:t>
      </w:r>
      <w:r>
        <w:rPr>
          <w:spacing w:val="-1"/>
        </w:rPr>
        <w:t>average</w:t>
      </w:r>
      <w:r>
        <w:t xml:space="preserve"> </w:t>
      </w:r>
      <w:r>
        <w:rPr>
          <w:spacing w:val="-1"/>
        </w:rPr>
        <w:t>difference</w:t>
      </w:r>
      <w:r>
        <w:t xml:space="preserve"> between the</w:t>
      </w:r>
      <w:r>
        <w:rPr>
          <w:spacing w:val="33"/>
        </w:rPr>
        <w:t xml:space="preserve"> </w:t>
      </w:r>
      <w:r>
        <w:t>two</w:t>
      </w:r>
      <w:r>
        <w:rPr>
          <w:spacing w:val="-1"/>
        </w:rPr>
        <w:t xml:space="preserve"> </w:t>
      </w:r>
      <w:r>
        <w:t xml:space="preserve">periods is </w:t>
      </w:r>
      <w:r>
        <w:rPr>
          <w:spacing w:val="-1"/>
        </w:rPr>
        <w:t>around</w:t>
      </w:r>
      <w:r>
        <w:t xml:space="preserve"> 2%.</w:t>
      </w:r>
      <w:r>
        <w:rPr>
          <w:spacing w:val="-11"/>
        </w:rPr>
        <w:t xml:space="preserve"> </w:t>
      </w:r>
      <w:r>
        <w:t xml:space="preserve">Another </w:t>
      </w:r>
      <w:r>
        <w:rPr>
          <w:spacing w:val="-1"/>
        </w:rPr>
        <w:t>interesting</w:t>
      </w:r>
      <w:r>
        <w:t xml:space="preserve"> point to</w:t>
      </w:r>
      <w:r>
        <w:rPr>
          <w:spacing w:val="-1"/>
        </w:rPr>
        <w:t xml:space="preserve"> </w:t>
      </w:r>
      <w:r>
        <w:t xml:space="preserve">note </w:t>
      </w:r>
      <w:r>
        <w:rPr>
          <w:spacing w:val="-1"/>
        </w:rPr>
        <w:t>from</w:t>
      </w:r>
      <w:r>
        <w:t xml:space="preserve"> the </w:t>
      </w:r>
      <w:r>
        <w:rPr>
          <w:spacing w:val="-1"/>
        </w:rPr>
        <w:t xml:space="preserve">figure </w:t>
      </w:r>
      <w:r>
        <w:t xml:space="preserve">is </w:t>
      </w:r>
      <w:r>
        <w:rPr>
          <w:spacing w:val="-1"/>
        </w:rPr>
        <w:t>that</w:t>
      </w:r>
      <w:r>
        <w:t xml:space="preserve"> in the</w:t>
      </w:r>
      <w:r>
        <w:rPr>
          <w:spacing w:val="-1"/>
        </w:rPr>
        <w:t xml:space="preserve"> pre-GFC</w:t>
      </w:r>
      <w:r>
        <w:rPr>
          <w:spacing w:val="33"/>
        </w:rPr>
        <w:t xml:space="preserve"> </w:t>
      </w:r>
      <w:r>
        <w:t>period,</w:t>
      </w:r>
      <w:r>
        <w:rPr>
          <w:spacing w:val="-6"/>
        </w:rPr>
        <w:t xml:space="preserve"> </w:t>
      </w:r>
      <w:r>
        <w:t>the implied MRP is below the widely accepted MRP of</w:t>
      </w:r>
      <w:r>
        <w:rPr>
          <w:spacing w:val="4"/>
        </w:rPr>
        <w:t xml:space="preserve"> </w:t>
      </w:r>
      <w:r>
        <w:t xml:space="preserve">6% based on historical arithmetic </w:t>
      </w:r>
      <w:r>
        <w:rPr>
          <w:spacing w:val="-1"/>
        </w:rPr>
        <w:t>averages</w:t>
      </w:r>
      <w:r>
        <w:t xml:space="preserve"> in</w:t>
      </w:r>
      <w:r>
        <w:rPr>
          <w:spacing w:val="-4"/>
        </w:rPr>
        <w:t xml:space="preserve"> </w:t>
      </w:r>
      <w:r>
        <w:rPr>
          <w:spacing w:val="-1"/>
        </w:rPr>
        <w:t>Australia,</w:t>
      </w:r>
      <w:r>
        <w:rPr>
          <w:spacing w:val="-6"/>
        </w:rPr>
        <w:t xml:space="preserve"> </w:t>
      </w:r>
      <w:r>
        <w:t xml:space="preserve">while in the post-crisis period it is above the historical MRP </w:t>
      </w:r>
      <w:r>
        <w:rPr>
          <w:spacing w:val="-1"/>
        </w:rPr>
        <w:t>estimate</w:t>
      </w:r>
      <w:r>
        <w:t xml:space="preserve"> of</w:t>
      </w:r>
      <w:r>
        <w:rPr>
          <w:spacing w:val="4"/>
        </w:rPr>
        <w:t xml:space="preserve"> </w:t>
      </w:r>
      <w:r>
        <w:t>6%.</w:t>
      </w:r>
      <w:r>
        <w:rPr>
          <w:spacing w:val="-11"/>
        </w:rPr>
        <w:t xml:space="preserve"> </w:t>
      </w:r>
      <w:r>
        <w:rPr>
          <w:spacing w:val="-1"/>
        </w:rPr>
        <w:t>This</w:t>
      </w:r>
      <w:r>
        <w:rPr>
          <w:spacing w:val="35"/>
        </w:rPr>
        <w:t xml:space="preserve"> </w:t>
      </w:r>
      <w:r>
        <w:t>change</w:t>
      </w:r>
      <w:r>
        <w:rPr>
          <w:spacing w:val="-1"/>
        </w:rPr>
        <w:t xml:space="preserve"> </w:t>
      </w:r>
      <w:r>
        <w:t>over time</w:t>
      </w:r>
      <w:r>
        <w:rPr>
          <w:spacing w:val="-1"/>
        </w:rPr>
        <w:t xml:space="preserve"> </w:t>
      </w:r>
      <w:r>
        <w:t xml:space="preserve">seems to </w:t>
      </w:r>
      <w:r>
        <w:rPr>
          <w:spacing w:val="-1"/>
        </w:rPr>
        <w:t xml:space="preserve">reflect </w:t>
      </w:r>
      <w:r>
        <w:t>changes in investors’</w:t>
      </w:r>
      <w:r>
        <w:rPr>
          <w:spacing w:val="-1"/>
        </w:rPr>
        <w:t xml:space="preserve"> </w:t>
      </w:r>
      <w:r>
        <w:t>risk aversion over</w:t>
      </w:r>
      <w:r>
        <w:rPr>
          <w:spacing w:val="-1"/>
        </w:rPr>
        <w:t xml:space="preserve"> </w:t>
      </w:r>
      <w:r>
        <w:t>these two periods.</w:t>
      </w:r>
    </w:p>
    <w:p w:rsidR="00D96B91" w:rsidRDefault="00C2656B">
      <w:pPr>
        <w:spacing w:before="158"/>
        <w:ind w:left="1247"/>
        <w:rPr>
          <w:rFonts w:ascii="Avenir Next" w:eastAsia="Avenir Next" w:hAnsi="Avenir Next" w:cs="Avenir Next"/>
          <w:sz w:val="20"/>
          <w:szCs w:val="20"/>
        </w:rPr>
      </w:pPr>
      <w:r>
        <w:rPr>
          <w:rFonts w:ascii="Avenir Next"/>
          <w:b/>
          <w:spacing w:val="-2"/>
          <w:sz w:val="20"/>
        </w:rPr>
        <w:t>Figure</w:t>
      </w:r>
      <w:r>
        <w:rPr>
          <w:rFonts w:ascii="Avenir Next"/>
          <w:b/>
          <w:spacing w:val="-4"/>
          <w:sz w:val="20"/>
        </w:rPr>
        <w:t xml:space="preserve"> </w:t>
      </w:r>
      <w:r>
        <w:rPr>
          <w:rFonts w:ascii="Avenir Next"/>
          <w:b/>
          <w:sz w:val="20"/>
        </w:rPr>
        <w:t xml:space="preserve">A8.1: MRP </w:t>
      </w:r>
      <w:r>
        <w:rPr>
          <w:rFonts w:ascii="Avenir Next"/>
          <w:b/>
          <w:spacing w:val="-1"/>
          <w:sz w:val="20"/>
        </w:rPr>
        <w:t>estimates</w:t>
      </w:r>
      <w:r>
        <w:rPr>
          <w:rFonts w:ascii="Avenir Next"/>
          <w:b/>
          <w:sz w:val="20"/>
        </w:rPr>
        <w:t xml:space="preserve"> under </w:t>
      </w:r>
      <w:r>
        <w:rPr>
          <w:rFonts w:ascii="Avenir Next"/>
          <w:b/>
          <w:spacing w:val="-1"/>
          <w:sz w:val="20"/>
        </w:rPr>
        <w:t>different</w:t>
      </w:r>
      <w:r>
        <w:rPr>
          <w:rFonts w:ascii="Avenir Next"/>
          <w:b/>
          <w:sz w:val="20"/>
        </w:rPr>
        <w:t xml:space="preserve"> options</w:t>
      </w:r>
    </w:p>
    <w:p w:rsidR="00D96B91" w:rsidRDefault="00D96B91">
      <w:pPr>
        <w:spacing w:before="7"/>
        <w:rPr>
          <w:rFonts w:ascii="Avenir Next" w:eastAsia="Avenir Next" w:hAnsi="Avenir Next" w:cs="Avenir Next"/>
          <w:b/>
          <w:bCs/>
          <w:sz w:val="10"/>
          <w:szCs w:val="10"/>
        </w:rPr>
      </w:pPr>
    </w:p>
    <w:p w:rsidR="00D96B91" w:rsidRDefault="00C2656B">
      <w:pPr>
        <w:spacing w:line="200" w:lineRule="atLeast"/>
        <w:ind w:left="1327"/>
        <w:rPr>
          <w:rFonts w:ascii="Avenir Next" w:eastAsia="Avenir Next" w:hAnsi="Avenir Next" w:cs="Avenir Next"/>
          <w:sz w:val="20"/>
          <w:szCs w:val="20"/>
        </w:rPr>
      </w:pPr>
      <w:r>
        <w:rPr>
          <w:rFonts w:ascii="Avenir Next" w:eastAsia="Avenir Next" w:hAnsi="Avenir Next" w:cs="Avenir Next"/>
          <w:noProof/>
          <w:sz w:val="20"/>
          <w:szCs w:val="20"/>
          <w:lang w:val="en-AU" w:eastAsia="en-AU"/>
        </w:rPr>
        <w:drawing>
          <wp:inline distT="0" distB="0" distL="0" distR="0">
            <wp:extent cx="5529053" cy="2399538"/>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121" cstate="print"/>
                    <a:stretch>
                      <a:fillRect/>
                    </a:stretch>
                  </pic:blipFill>
                  <pic:spPr>
                    <a:xfrm>
                      <a:off x="0" y="0"/>
                      <a:ext cx="5529053" cy="2399538"/>
                    </a:xfrm>
                    <a:prstGeom prst="rect">
                      <a:avLst/>
                    </a:prstGeom>
                  </pic:spPr>
                </pic:pic>
              </a:graphicData>
            </a:graphic>
          </wp:inline>
        </w:drawing>
      </w:r>
    </w:p>
    <w:p w:rsidR="00D96B91" w:rsidRDefault="00D96B91">
      <w:pPr>
        <w:rPr>
          <w:rFonts w:ascii="Avenir Next" w:eastAsia="Avenir Next" w:hAnsi="Avenir Next" w:cs="Avenir Next"/>
          <w:b/>
          <w:bCs/>
          <w:sz w:val="15"/>
          <w:szCs w:val="15"/>
        </w:rPr>
      </w:pPr>
    </w:p>
    <w:p w:rsidR="00D96B91" w:rsidRDefault="00C2656B">
      <w:pPr>
        <w:ind w:left="1247"/>
        <w:rPr>
          <w:rFonts w:ascii="Avenir Next" w:eastAsia="Avenir Next" w:hAnsi="Avenir Next" w:cs="Avenir Next"/>
          <w:sz w:val="16"/>
          <w:szCs w:val="16"/>
        </w:rPr>
      </w:pPr>
      <w:r>
        <w:rPr>
          <w:rFonts w:ascii="Avenir Next"/>
          <w:sz w:val="16"/>
        </w:rPr>
        <w:t xml:space="preserve">Note: </w:t>
      </w:r>
      <w:r>
        <w:rPr>
          <w:rFonts w:ascii="Avenir Next"/>
          <w:spacing w:val="-1"/>
          <w:sz w:val="16"/>
        </w:rPr>
        <w:t>Market</w:t>
      </w:r>
      <w:r>
        <w:rPr>
          <w:rFonts w:ascii="Avenir Next"/>
          <w:sz w:val="16"/>
        </w:rPr>
        <w:t xml:space="preserve"> </w:t>
      </w:r>
      <w:r>
        <w:rPr>
          <w:rFonts w:ascii="Avenir Next"/>
          <w:spacing w:val="-1"/>
          <w:sz w:val="16"/>
        </w:rPr>
        <w:t>data</w:t>
      </w:r>
      <w:r>
        <w:rPr>
          <w:rFonts w:ascii="Avenir Next"/>
          <w:sz w:val="16"/>
        </w:rPr>
        <w:t xml:space="preserve"> as </w:t>
      </w:r>
      <w:r>
        <w:rPr>
          <w:rFonts w:ascii="Avenir Next"/>
          <w:spacing w:val="-1"/>
          <w:sz w:val="16"/>
        </w:rPr>
        <w:t>at</w:t>
      </w:r>
      <w:r>
        <w:rPr>
          <w:rFonts w:ascii="Avenir Next"/>
          <w:sz w:val="16"/>
        </w:rPr>
        <w:t xml:space="preserve"> 31 May 2013.</w:t>
      </w:r>
    </w:p>
    <w:p w:rsidR="00D96B91" w:rsidRDefault="00C2656B">
      <w:pPr>
        <w:spacing w:before="58"/>
        <w:ind w:left="1247"/>
        <w:rPr>
          <w:rFonts w:ascii="Avenir Next" w:eastAsia="Avenir Next" w:hAnsi="Avenir Next" w:cs="Avenir Next"/>
          <w:sz w:val="16"/>
          <w:szCs w:val="16"/>
        </w:rPr>
      </w:pPr>
      <w:r>
        <w:rPr>
          <w:rFonts w:ascii="Avenir Next"/>
          <w:spacing w:val="-1"/>
          <w:sz w:val="16"/>
        </w:rPr>
        <w:t>Data</w:t>
      </w:r>
      <w:r>
        <w:rPr>
          <w:rFonts w:ascii="Avenir Next"/>
          <w:sz w:val="16"/>
        </w:rPr>
        <w:t xml:space="preserve"> </w:t>
      </w:r>
      <w:r>
        <w:rPr>
          <w:rFonts w:ascii="Avenir Next"/>
          <w:spacing w:val="-1"/>
          <w:sz w:val="16"/>
        </w:rPr>
        <w:t>source:</w:t>
      </w:r>
      <w:r>
        <w:rPr>
          <w:rFonts w:ascii="Avenir Next"/>
          <w:sz w:val="16"/>
        </w:rPr>
        <w:t xml:space="preserve"> </w:t>
      </w:r>
      <w:r>
        <w:rPr>
          <w:rFonts w:ascii="Avenir Next"/>
          <w:spacing w:val="-1"/>
          <w:sz w:val="16"/>
        </w:rPr>
        <w:t>Bloomberg,</w:t>
      </w:r>
      <w:r>
        <w:rPr>
          <w:rFonts w:ascii="Avenir Next"/>
          <w:spacing w:val="-5"/>
          <w:sz w:val="16"/>
        </w:rPr>
        <w:t xml:space="preserve"> </w:t>
      </w:r>
      <w:r>
        <w:rPr>
          <w:rFonts w:ascii="Avenir Next"/>
          <w:spacing w:val="-1"/>
          <w:sz w:val="16"/>
        </w:rPr>
        <w:t>Brailsford</w:t>
      </w:r>
      <w:r>
        <w:rPr>
          <w:rFonts w:ascii="Avenir Next"/>
          <w:sz w:val="16"/>
        </w:rPr>
        <w:t xml:space="preserve"> </w:t>
      </w:r>
      <w:r>
        <w:rPr>
          <w:rFonts w:ascii="Avenir Next"/>
          <w:i/>
          <w:sz w:val="16"/>
        </w:rPr>
        <w:t xml:space="preserve">et al. </w:t>
      </w:r>
      <w:r>
        <w:rPr>
          <w:rFonts w:ascii="Avenir Next"/>
          <w:sz w:val="16"/>
        </w:rPr>
        <w:t xml:space="preserve">(2012) and </w:t>
      </w:r>
      <w:r>
        <w:rPr>
          <w:rFonts w:ascii="Avenir Next"/>
          <w:spacing w:val="-1"/>
          <w:sz w:val="16"/>
        </w:rPr>
        <w:t>Fernandez</w:t>
      </w:r>
      <w:r>
        <w:rPr>
          <w:rFonts w:ascii="Avenir Next"/>
          <w:sz w:val="16"/>
        </w:rPr>
        <w:t xml:space="preserve"> </w:t>
      </w:r>
      <w:r>
        <w:rPr>
          <w:rFonts w:ascii="Avenir Next"/>
          <w:i/>
          <w:sz w:val="16"/>
        </w:rPr>
        <w:t xml:space="preserve">et al. </w:t>
      </w:r>
      <w:r>
        <w:rPr>
          <w:rFonts w:ascii="Avenir Next"/>
          <w:sz w:val="16"/>
        </w:rPr>
        <w:t>(2012).</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308"/>
        <w:jc w:val="both"/>
      </w:pPr>
      <w:r>
        <w:t>As shown in</w:t>
      </w:r>
      <w:r>
        <w:rPr>
          <w:spacing w:val="-5"/>
        </w:rPr>
        <w:t xml:space="preserve"> </w:t>
      </w:r>
      <w:r>
        <w:rPr>
          <w:spacing w:val="-4"/>
        </w:rPr>
        <w:t xml:space="preserve">Table </w:t>
      </w:r>
      <w:r>
        <w:t xml:space="preserve">A8.7 most </w:t>
      </w:r>
      <w:r>
        <w:rPr>
          <w:spacing w:val="-1"/>
        </w:rPr>
        <w:t>regulators</w:t>
      </w:r>
      <w:r>
        <w:t xml:space="preserve"> in</w:t>
      </w:r>
      <w:r>
        <w:rPr>
          <w:spacing w:val="-4"/>
        </w:rPr>
        <w:t xml:space="preserve"> </w:t>
      </w:r>
      <w:r>
        <w:rPr>
          <w:spacing w:val="-1"/>
        </w:rPr>
        <w:t>Australia</w:t>
      </w:r>
      <w:r>
        <w:t xml:space="preserve"> have applied an MRP of</w:t>
      </w:r>
      <w:r>
        <w:rPr>
          <w:spacing w:val="4"/>
        </w:rPr>
        <w:t xml:space="preserve"> </w:t>
      </w:r>
      <w:r>
        <w:t>6% based on the historical</w:t>
      </w:r>
      <w:r>
        <w:rPr>
          <w:spacing w:val="21"/>
        </w:rPr>
        <w:t xml:space="preserve"> </w:t>
      </w:r>
      <w:r>
        <w:t xml:space="preserve">arithmetic </w:t>
      </w:r>
      <w:r>
        <w:rPr>
          <w:spacing w:val="-1"/>
        </w:rPr>
        <w:t>averages</w:t>
      </w:r>
      <w:r>
        <w:t xml:space="preserve"> in their </w:t>
      </w:r>
      <w:r>
        <w:rPr>
          <w:spacing w:val="-1"/>
        </w:rPr>
        <w:t>water</w:t>
      </w:r>
      <w:r>
        <w:t xml:space="preserve"> price </w:t>
      </w:r>
      <w:r>
        <w:rPr>
          <w:spacing w:val="-1"/>
        </w:rPr>
        <w:t>reviews.</w:t>
      </w:r>
      <w:r>
        <w:rPr>
          <w:spacing w:val="-11"/>
        </w:rPr>
        <w:t xml:space="preserve"> </w:t>
      </w:r>
      <w:r>
        <w:rPr>
          <w:spacing w:val="-2"/>
        </w:rPr>
        <w:t>The</w:t>
      </w:r>
      <w:r>
        <w:t xml:space="preserve"> one </w:t>
      </w:r>
      <w:r>
        <w:rPr>
          <w:spacing w:val="-1"/>
        </w:rPr>
        <w:t>exception</w:t>
      </w:r>
      <w:r>
        <w:t xml:space="preserve"> to this is </w:t>
      </w:r>
      <w:r>
        <w:rPr>
          <w:spacing w:val="-6"/>
        </w:rPr>
        <w:t xml:space="preserve">IPART, </w:t>
      </w:r>
      <w:r>
        <w:t xml:space="preserve">which </w:t>
      </w:r>
      <w:r>
        <w:rPr>
          <w:spacing w:val="-1"/>
        </w:rPr>
        <w:t>currently</w:t>
      </w:r>
      <w:r>
        <w:t xml:space="preserve"> uses</w:t>
      </w:r>
      <w:r>
        <w:rPr>
          <w:spacing w:val="59"/>
        </w:rPr>
        <w:t xml:space="preserve"> </w:t>
      </w:r>
      <w:r>
        <w:t>both implied MRP and historical MR</w:t>
      </w:r>
      <w:r>
        <w:rPr>
          <w:spacing w:val="-29"/>
        </w:rPr>
        <w:t>P</w:t>
      </w:r>
      <w:r>
        <w:t>.</w:t>
      </w:r>
      <w:r>
        <w:rPr>
          <w:spacing w:val="-6"/>
        </w:rPr>
        <w:t xml:space="preserve"> </w:t>
      </w:r>
      <w:r>
        <w:t>In its SOFC,</w:t>
      </w:r>
      <w:r>
        <w:rPr>
          <w:spacing w:val="-10"/>
        </w:rPr>
        <w:t xml:space="preserve"> </w:t>
      </w:r>
      <w:r>
        <w:rPr>
          <w:spacing w:val="-4"/>
        </w:rPr>
        <w:t>A</w:t>
      </w:r>
      <w:r>
        <w:rPr>
          <w:spacing w:val="-2"/>
        </w:rPr>
        <w:t>C</w:t>
      </w:r>
      <w:r>
        <w:t>TEW</w:t>
      </w:r>
      <w:r>
        <w:rPr>
          <w:spacing w:val="-3"/>
        </w:rPr>
        <w:t xml:space="preserve"> </w:t>
      </w:r>
      <w:r>
        <w:t>p</w:t>
      </w:r>
      <w:r>
        <w:rPr>
          <w:spacing w:val="-4"/>
        </w:rPr>
        <w:t>r</w:t>
      </w:r>
      <w:r>
        <w:t>oposed the use of</w:t>
      </w:r>
      <w:r>
        <w:rPr>
          <w:spacing w:val="4"/>
        </w:rPr>
        <w:t xml:space="preserve"> </w:t>
      </w:r>
      <w:r>
        <w:t>a 6% MR</w:t>
      </w:r>
      <w:r>
        <w:rPr>
          <w:spacing w:val="-29"/>
        </w:rPr>
        <w:t>P</w:t>
      </w:r>
      <w:r>
        <w:t>.</w:t>
      </w:r>
    </w:p>
    <w:p w:rsidR="00D96B91" w:rsidRDefault="00D96B91">
      <w:pPr>
        <w:spacing w:line="260" w:lineRule="exact"/>
        <w:jc w:val="both"/>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A8.7: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MRP</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426"/>
        <w:gridCol w:w="4351"/>
        <w:gridCol w:w="1156"/>
        <w:gridCol w:w="2467"/>
      </w:tblGrid>
      <w:tr w:rsidR="00D96B91">
        <w:trPr>
          <w:trHeight w:hRule="exact" w:val="407"/>
        </w:trPr>
        <w:tc>
          <w:tcPr>
            <w:tcW w:w="142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3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15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2467"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MRP</w:t>
            </w:r>
            <w:r>
              <w:rPr>
                <w:rFonts w:ascii="Avenir Next Condensed"/>
                <w:b/>
                <w:color w:val="FFFFFF"/>
                <w:spacing w:val="-4"/>
                <w:sz w:val="18"/>
              </w:rPr>
              <w:t xml:space="preserve"> </w:t>
            </w:r>
            <w:r>
              <w:rPr>
                <w:rFonts w:ascii="Avenir Next Condensed"/>
                <w:b/>
                <w:color w:val="FFFFFF"/>
                <w:spacing w:val="-1"/>
                <w:sz w:val="18"/>
              </w:rPr>
              <w:t>Approach</w:t>
            </w:r>
          </w:p>
        </w:tc>
      </w:tr>
      <w:tr w:rsidR="00D96B91">
        <w:trPr>
          <w:trHeight w:hRule="exact" w:val="407"/>
        </w:trPr>
        <w:tc>
          <w:tcPr>
            <w:tcW w:w="142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3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15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467"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arithmetic MRP (6%)</w:t>
            </w:r>
          </w:p>
        </w:tc>
      </w:tr>
      <w:tr w:rsidR="00D96B91">
        <w:trPr>
          <w:trHeight w:hRule="exact" w:val="62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14"/>
              <w:rPr>
                <w:rFonts w:ascii="Avenir Next Condensed" w:eastAsia="Avenir Next Condensed" w:hAnsi="Avenir Next Condensed" w:cs="Avenir Next Condensed"/>
                <w:sz w:val="18"/>
                <w:szCs w:val="18"/>
              </w:rPr>
            </w:pPr>
            <w:r>
              <w:rPr>
                <w:rFonts w:ascii="Avenir Next Condensed"/>
                <w:sz w:val="18"/>
              </w:rPr>
              <w:t xml:space="preserve">Implied MRP and historical MRP </w:t>
            </w:r>
            <w:r>
              <w:rPr>
                <w:rFonts w:ascii="Avenir Next Condensed"/>
                <w:spacing w:val="-1"/>
                <w:sz w:val="18"/>
              </w:rPr>
              <w:t>range</w:t>
            </w:r>
            <w:r>
              <w:rPr>
                <w:rFonts w:ascii="Avenir Next Condensed"/>
                <w:sz w:val="18"/>
              </w:rPr>
              <w:t xml:space="preserve"> (5.5% - 6.5%)</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62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14"/>
              <w:rPr>
                <w:rFonts w:ascii="Avenir Next Condensed" w:eastAsia="Avenir Next Condensed" w:hAnsi="Avenir Next Condensed" w:cs="Avenir Next Condensed"/>
                <w:sz w:val="18"/>
                <w:szCs w:val="18"/>
              </w:rPr>
            </w:pPr>
            <w:r>
              <w:rPr>
                <w:rFonts w:ascii="Avenir Next Condensed"/>
                <w:sz w:val="18"/>
              </w:rPr>
              <w:t xml:space="preserve">Implied MRP and historical MRP </w:t>
            </w:r>
            <w:r>
              <w:rPr>
                <w:rFonts w:ascii="Avenir Next Condensed"/>
                <w:spacing w:val="-1"/>
                <w:sz w:val="18"/>
              </w:rPr>
              <w:t>range</w:t>
            </w:r>
          </w:p>
        </w:tc>
      </w:tr>
      <w:tr w:rsidR="00D96B91">
        <w:trPr>
          <w:trHeight w:hRule="exact" w:val="62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314"/>
              <w:rPr>
                <w:rFonts w:ascii="Avenir Next Condensed" w:eastAsia="Avenir Next Condensed" w:hAnsi="Avenir Next Condensed" w:cs="Avenir Next Condensed"/>
                <w:sz w:val="18"/>
                <w:szCs w:val="18"/>
              </w:rPr>
            </w:pPr>
            <w:r>
              <w:rPr>
                <w:rFonts w:ascii="Avenir Next Condensed"/>
                <w:sz w:val="18"/>
              </w:rPr>
              <w:t xml:space="preserve">Implied MRP and historical MRP </w:t>
            </w:r>
            <w:r>
              <w:rPr>
                <w:rFonts w:ascii="Avenir Next Condensed"/>
                <w:spacing w:val="-1"/>
                <w:sz w:val="18"/>
              </w:rPr>
              <w:t>range</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Historical MRP </w:t>
            </w:r>
            <w:r>
              <w:rPr>
                <w:rFonts w:ascii="Avenir Next Condensed"/>
                <w:spacing w:val="-1"/>
                <w:sz w:val="18"/>
              </w:rPr>
              <w:t>range</w:t>
            </w:r>
            <w:r>
              <w:rPr>
                <w:rFonts w:ascii="Avenir Next Condensed"/>
                <w:sz w:val="18"/>
              </w:rPr>
              <w:t xml:space="preserve"> (5.5% - 6.5%)</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2010</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r w:rsidR="00D96B91">
        <w:trPr>
          <w:trHeight w:hRule="exact" w:val="407"/>
        </w:trPr>
        <w:tc>
          <w:tcPr>
            <w:tcW w:w="142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3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15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2008</w:t>
            </w:r>
          </w:p>
        </w:tc>
        <w:tc>
          <w:tcPr>
            <w:tcW w:w="2467"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Historical MRP (6%)</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Sources:</w:t>
      </w:r>
      <w:r>
        <w:rPr>
          <w:rFonts w:ascii="Avenir Next"/>
          <w:b/>
          <w:sz w:val="16"/>
        </w:rPr>
        <w:t xml:space="preserve"> </w:t>
      </w:r>
      <w:r>
        <w:rPr>
          <w:rFonts w:ascii="Avenir Next"/>
          <w:sz w:val="16"/>
        </w:rPr>
        <w:t>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D96B91">
      <w:pPr>
        <w:rPr>
          <w:rFonts w:ascii="Avenir Next" w:eastAsia="Avenir Next" w:hAnsi="Avenir Next" w:cs="Avenir Next"/>
          <w:sz w:val="16"/>
          <w:szCs w:val="16"/>
        </w:rPr>
      </w:pPr>
    </w:p>
    <w:p w:rsidR="00D96B91" w:rsidRDefault="00C2656B">
      <w:pPr>
        <w:pStyle w:val="BodyText"/>
        <w:spacing w:before="115" w:line="260" w:lineRule="exact"/>
        <w:ind w:right="1246"/>
      </w:pPr>
      <w:r>
        <w:rPr>
          <w:rFonts w:cs="Avenir Next"/>
        </w:rPr>
        <w:t>In</w:t>
      </w:r>
      <w:r>
        <w:rPr>
          <w:rFonts w:cs="Avenir Next"/>
          <w:spacing w:val="-1"/>
        </w:rPr>
        <w:t xml:space="preserve"> </w:t>
      </w:r>
      <w:r>
        <w:rPr>
          <w:rFonts w:cs="Avenir Next"/>
        </w:rPr>
        <w:t>the</w:t>
      </w:r>
      <w:r>
        <w:rPr>
          <w:rFonts w:cs="Avenir Next"/>
          <w:spacing w:val="-1"/>
        </w:rPr>
        <w:t xml:space="preserve"> </w:t>
      </w:r>
      <w:r>
        <w:rPr>
          <w:rFonts w:cs="Avenir Next"/>
          <w:spacing w:val="-4"/>
        </w:rPr>
        <w:t>Panel’s</w:t>
      </w:r>
      <w:r>
        <w:rPr>
          <w:rFonts w:cs="Avenir Next"/>
          <w:spacing w:val="-1"/>
        </w:rPr>
        <w:t xml:space="preserve"> </w:t>
      </w:r>
      <w:r>
        <w:rPr>
          <w:rFonts w:cs="Avenir Next"/>
          <w:spacing w:val="-2"/>
        </w:rPr>
        <w:t>view,</w:t>
      </w:r>
      <w:r>
        <w:rPr>
          <w:rFonts w:cs="Avenir Next"/>
          <w:spacing w:val="-7"/>
        </w:rPr>
        <w:t xml:space="preserve"> </w:t>
      </w:r>
      <w:r>
        <w:rPr>
          <w:rFonts w:cs="Avenir Next"/>
        </w:rPr>
        <w:t>the</w:t>
      </w:r>
      <w:r>
        <w:rPr>
          <w:rFonts w:cs="Avenir Next"/>
          <w:spacing w:val="-1"/>
        </w:rPr>
        <w:t xml:space="preserve"> </w:t>
      </w:r>
      <w:r>
        <w:rPr>
          <w:rFonts w:cs="Avenir Next"/>
        </w:rPr>
        <w:t>implied</w:t>
      </w:r>
      <w:r>
        <w:rPr>
          <w:rFonts w:cs="Avenir Next"/>
          <w:spacing w:val="-1"/>
        </w:rPr>
        <w:t xml:space="preserve"> </w:t>
      </w:r>
      <w:r>
        <w:rPr>
          <w:rFonts w:cs="Avenir Next"/>
        </w:rPr>
        <w:t>MRP</w:t>
      </w:r>
      <w:r>
        <w:rPr>
          <w:rFonts w:cs="Avenir Next"/>
          <w:spacing w:val="-1"/>
        </w:rPr>
        <w:t xml:space="preserve"> </w:t>
      </w:r>
      <w:r>
        <w:rPr>
          <w:rFonts w:cs="Avenir Next"/>
        </w:rPr>
        <w:t>methodology</w:t>
      </w:r>
      <w:r>
        <w:rPr>
          <w:rFonts w:cs="Avenir Next"/>
          <w:spacing w:val="-1"/>
        </w:rPr>
        <w:t xml:space="preserve"> provides </w:t>
      </w:r>
      <w:r>
        <w:rPr>
          <w:rFonts w:cs="Avenir Next"/>
        </w:rPr>
        <w:t>the</w:t>
      </w:r>
      <w:r>
        <w:rPr>
          <w:rFonts w:cs="Avenir Next"/>
          <w:spacing w:val="-1"/>
        </w:rPr>
        <w:t xml:space="preserve"> </w:t>
      </w:r>
      <w:r>
        <w:rPr>
          <w:rFonts w:cs="Avenir Next"/>
        </w:rPr>
        <w:t>most</w:t>
      </w:r>
      <w:r>
        <w:rPr>
          <w:rFonts w:cs="Avenir Next"/>
          <w:spacing w:val="-1"/>
        </w:rPr>
        <w:t xml:space="preserve"> accurate estimate </w:t>
      </w:r>
      <w:r>
        <w:rPr>
          <w:rFonts w:cs="Avenir Next"/>
        </w:rPr>
        <w:t>of</w:t>
      </w:r>
      <w:r>
        <w:rPr>
          <w:rFonts w:cs="Avenir Next"/>
          <w:spacing w:val="4"/>
        </w:rPr>
        <w:t xml:space="preserve"> </w:t>
      </w:r>
      <w:r>
        <w:rPr>
          <w:rFonts w:cs="Avenir Next"/>
        </w:rPr>
        <w:t>the</w:t>
      </w:r>
      <w:r>
        <w:rPr>
          <w:rFonts w:cs="Avenir Next"/>
          <w:spacing w:val="-1"/>
        </w:rPr>
        <w:t xml:space="preserve"> </w:t>
      </w:r>
      <w:r>
        <w:rPr>
          <w:rFonts w:cs="Avenir Next"/>
        </w:rPr>
        <w:t>additional</w:t>
      </w:r>
      <w:r>
        <w:rPr>
          <w:rFonts w:cs="Avenir Next"/>
          <w:spacing w:val="43"/>
        </w:rPr>
        <w:t xml:space="preserve"> </w:t>
      </w:r>
      <w:r>
        <w:rPr>
          <w:spacing w:val="-1"/>
        </w:rPr>
        <w:t>return</w:t>
      </w:r>
      <w:r>
        <w:t xml:space="preserve"> in </w:t>
      </w:r>
      <w:r>
        <w:rPr>
          <w:spacing w:val="-1"/>
        </w:rPr>
        <w:t>excess</w:t>
      </w:r>
      <w:r>
        <w:t xml:space="preserve"> of</w:t>
      </w:r>
      <w:r>
        <w:rPr>
          <w:spacing w:val="4"/>
        </w:rPr>
        <w:t xml:space="preserve"> </w:t>
      </w:r>
      <w:r>
        <w:t xml:space="preserve">the </w:t>
      </w:r>
      <w:r>
        <w:rPr>
          <w:spacing w:val="-1"/>
        </w:rPr>
        <w:t>risk-free</w:t>
      </w:r>
      <w:r>
        <w:t xml:space="preserve"> </w:t>
      </w:r>
      <w:r>
        <w:rPr>
          <w:spacing w:val="-2"/>
        </w:rPr>
        <w:t>rate</w:t>
      </w:r>
      <w:r>
        <w:t xml:space="preserve"> </w:t>
      </w:r>
      <w:r>
        <w:rPr>
          <w:spacing w:val="-1"/>
        </w:rPr>
        <w:t>that</w:t>
      </w:r>
      <w:r>
        <w:t xml:space="preserve"> an investor </w:t>
      </w:r>
      <w:r>
        <w:rPr>
          <w:spacing w:val="-1"/>
        </w:rPr>
        <w:t>requires</w:t>
      </w:r>
      <w:r>
        <w:t xml:space="preserve"> for the risk of</w:t>
      </w:r>
      <w:r>
        <w:rPr>
          <w:spacing w:val="4"/>
        </w:rPr>
        <w:t xml:space="preserve"> </w:t>
      </w:r>
      <w:r>
        <w:t xml:space="preserve">investing in the </w:t>
      </w:r>
      <w:r>
        <w:rPr>
          <w:spacing w:val="-1"/>
        </w:rPr>
        <w:t>market</w:t>
      </w:r>
      <w:r>
        <w:rPr>
          <w:spacing w:val="23"/>
        </w:rPr>
        <w:t xml:space="preserve"> </w:t>
      </w:r>
      <w:r>
        <w:rPr>
          <w:spacing w:val="-1"/>
        </w:rPr>
        <w:t>portfolio</w:t>
      </w:r>
      <w:r>
        <w:t xml:space="preserve"> of</w:t>
      </w:r>
      <w:r>
        <w:rPr>
          <w:spacing w:val="4"/>
        </w:rPr>
        <w:t xml:space="preserve"> </w:t>
      </w:r>
      <w:r>
        <w:rPr>
          <w:spacing w:val="-1"/>
        </w:rPr>
        <w:t>risky</w:t>
      </w:r>
      <w:r>
        <w:t xml:space="preserve"> assets.</w:t>
      </w:r>
    </w:p>
    <w:p w:rsidR="00D96B91" w:rsidRDefault="00C2656B">
      <w:pPr>
        <w:pStyle w:val="BodyText"/>
        <w:spacing w:before="170" w:line="260" w:lineRule="exact"/>
        <w:ind w:right="1561"/>
        <w:rPr>
          <w:sz w:val="11"/>
          <w:szCs w:val="11"/>
        </w:rPr>
      </w:pPr>
      <w:r>
        <w:rPr>
          <w:rFonts w:cs="Avenir Next"/>
          <w:spacing w:val="-1"/>
        </w:rPr>
        <w:t>Contrary</w:t>
      </w:r>
      <w:r>
        <w:rPr>
          <w:rFonts w:cs="Avenir Next"/>
        </w:rPr>
        <w:t xml:space="preserve"> to historical </w:t>
      </w:r>
      <w:r>
        <w:rPr>
          <w:rFonts w:cs="Avenir Next"/>
          <w:spacing w:val="-2"/>
        </w:rPr>
        <w:t>MRPs,</w:t>
      </w:r>
      <w:r>
        <w:rPr>
          <w:rFonts w:cs="Avenir Next"/>
          <w:spacing w:val="-6"/>
        </w:rPr>
        <w:t xml:space="preserve"> </w:t>
      </w:r>
      <w:r>
        <w:rPr>
          <w:rFonts w:cs="Avenir Next"/>
        </w:rPr>
        <w:t xml:space="preserve">implied </w:t>
      </w:r>
      <w:r>
        <w:rPr>
          <w:rFonts w:cs="Avenir Next"/>
          <w:spacing w:val="-3"/>
        </w:rPr>
        <w:t>MRPs</w:t>
      </w:r>
      <w:r>
        <w:rPr>
          <w:rFonts w:cs="Avenir Next"/>
        </w:rPr>
        <w:t xml:space="preserve"> </w:t>
      </w:r>
      <w:r>
        <w:rPr>
          <w:rFonts w:cs="Avenir Next"/>
          <w:spacing w:val="-1"/>
        </w:rPr>
        <w:t>recognise</w:t>
      </w:r>
      <w:r>
        <w:rPr>
          <w:rFonts w:cs="Avenir Next"/>
        </w:rPr>
        <w:t xml:space="preserve"> </w:t>
      </w:r>
      <w:r>
        <w:rPr>
          <w:rFonts w:cs="Avenir Next"/>
          <w:spacing w:val="-1"/>
        </w:rPr>
        <w:t>that</w:t>
      </w:r>
      <w:r>
        <w:rPr>
          <w:rFonts w:cs="Avenir Next"/>
        </w:rPr>
        <w:t xml:space="preserve"> the MRP can change over time as investors’</w:t>
      </w:r>
      <w:r>
        <w:rPr>
          <w:rFonts w:cs="Avenir Next"/>
          <w:spacing w:val="21"/>
        </w:rPr>
        <w:t xml:space="preserve"> </w:t>
      </w:r>
      <w:r>
        <w:rPr>
          <w:spacing w:val="-1"/>
        </w:rPr>
        <w:t>risk-aversion</w:t>
      </w:r>
      <w:r>
        <w:t xml:space="preserve"> changes in </w:t>
      </w:r>
      <w:r>
        <w:rPr>
          <w:spacing w:val="-1"/>
        </w:rPr>
        <w:t>response</w:t>
      </w:r>
      <w:r>
        <w:t xml:space="preserve"> to changing </w:t>
      </w:r>
      <w:r>
        <w:rPr>
          <w:spacing w:val="-1"/>
        </w:rPr>
        <w:t>market</w:t>
      </w:r>
      <w:r>
        <w:t xml:space="preserve"> conditions.</w:t>
      </w:r>
      <w:r>
        <w:rPr>
          <w:spacing w:val="-6"/>
        </w:rPr>
        <w:t xml:space="preserve"> </w:t>
      </w:r>
      <w:r>
        <w:t xml:space="preserve">In the </w:t>
      </w:r>
      <w:r>
        <w:rPr>
          <w:spacing w:val="-1"/>
        </w:rPr>
        <w:t>presence</w:t>
      </w:r>
      <w:r>
        <w:t xml:space="preserve"> of</w:t>
      </w:r>
      <w:r>
        <w:rPr>
          <w:spacing w:val="4"/>
        </w:rPr>
        <w:t xml:space="preserve"> </w:t>
      </w:r>
      <w:r>
        <w:t xml:space="preserve">high </w:t>
      </w:r>
      <w:r>
        <w:rPr>
          <w:spacing w:val="-1"/>
        </w:rPr>
        <w:t>volatility</w:t>
      </w:r>
      <w:r>
        <w:rPr>
          <w:spacing w:val="53"/>
        </w:rPr>
        <w:t xml:space="preserve"> </w:t>
      </w:r>
      <w:r>
        <w:rPr>
          <w:rFonts w:cs="Avenir Next"/>
        </w:rPr>
        <w:t xml:space="preserve">and </w:t>
      </w:r>
      <w:r>
        <w:rPr>
          <w:rFonts w:cs="Avenir Next"/>
          <w:spacing w:val="-1"/>
        </w:rPr>
        <w:t>uncertainty</w:t>
      </w:r>
      <w:r>
        <w:rPr>
          <w:rFonts w:cs="Avenir Next"/>
        </w:rPr>
        <w:t xml:space="preserve"> in the </w:t>
      </w:r>
      <w:r>
        <w:rPr>
          <w:rFonts w:cs="Avenir Next"/>
          <w:spacing w:val="-1"/>
        </w:rPr>
        <w:t>market,</w:t>
      </w:r>
      <w:r>
        <w:rPr>
          <w:rFonts w:cs="Avenir Next"/>
          <w:spacing w:val="-6"/>
        </w:rPr>
        <w:t xml:space="preserve"> </w:t>
      </w:r>
      <w:r>
        <w:rPr>
          <w:rFonts w:cs="Avenir Next"/>
        </w:rPr>
        <w:t xml:space="preserve">investors can be </w:t>
      </w:r>
      <w:r>
        <w:rPr>
          <w:rFonts w:cs="Avenir Next"/>
          <w:spacing w:val="-1"/>
        </w:rPr>
        <w:t>expected</w:t>
      </w:r>
      <w:r>
        <w:rPr>
          <w:rFonts w:cs="Avenir Next"/>
        </w:rPr>
        <w:t xml:space="preserve"> to demand a higher risk </w:t>
      </w:r>
      <w:r>
        <w:rPr>
          <w:rFonts w:cs="Avenir Next"/>
          <w:spacing w:val="-1"/>
        </w:rPr>
        <w:t>premium</w:t>
      </w:r>
      <w:r>
        <w:rPr>
          <w:rFonts w:cs="Avenir Next"/>
        </w:rPr>
        <w:t xml:space="preserve"> as</w:t>
      </w:r>
      <w:r>
        <w:rPr>
          <w:rFonts w:cs="Avenir Next"/>
          <w:spacing w:val="41"/>
        </w:rPr>
        <w:t xml:space="preserve"> </w:t>
      </w:r>
      <w:r>
        <w:rPr>
          <w:spacing w:val="-1"/>
        </w:rPr>
        <w:t xml:space="preserve">compensation </w:t>
      </w:r>
      <w:r>
        <w:t xml:space="preserve">for </w:t>
      </w:r>
      <w:r>
        <w:rPr>
          <w:spacing w:val="-1"/>
        </w:rPr>
        <w:t>bearing</w:t>
      </w:r>
      <w:r>
        <w:t xml:space="preserve"> </w:t>
      </w:r>
      <w:r>
        <w:rPr>
          <w:spacing w:val="-2"/>
        </w:rPr>
        <w:t>greater</w:t>
      </w:r>
      <w:r>
        <w:rPr>
          <w:spacing w:val="-1"/>
        </w:rPr>
        <w:t xml:space="preserve"> risks.</w:t>
      </w:r>
      <w:r>
        <w:rPr>
          <w:spacing w:val="-10"/>
        </w:rPr>
        <w:t xml:space="preserve"> </w:t>
      </w:r>
      <w:r>
        <w:rPr>
          <w:spacing w:val="-1"/>
        </w:rPr>
        <w:t>Also,</w:t>
      </w:r>
      <w:r>
        <w:rPr>
          <w:spacing w:val="-6"/>
        </w:rPr>
        <w:t xml:space="preserve"> </w:t>
      </w:r>
      <w:r>
        <w:rPr>
          <w:spacing w:val="-1"/>
        </w:rPr>
        <w:t>there</w:t>
      </w:r>
      <w:r>
        <w:t xml:space="preserve"> is</w:t>
      </w:r>
      <w:r>
        <w:rPr>
          <w:spacing w:val="-1"/>
        </w:rPr>
        <w:t xml:space="preserve"> likely</w:t>
      </w:r>
      <w:r>
        <w:t xml:space="preserve"> to be</w:t>
      </w:r>
      <w:r>
        <w:rPr>
          <w:spacing w:val="-1"/>
        </w:rPr>
        <w:t xml:space="preserve"> </w:t>
      </w:r>
      <w:r>
        <w:t>a flight to</w:t>
      </w:r>
      <w:r>
        <w:rPr>
          <w:spacing w:val="-1"/>
        </w:rPr>
        <w:t xml:space="preserve"> </w:t>
      </w:r>
      <w:r>
        <w:t xml:space="preserve">quality </w:t>
      </w:r>
      <w:r>
        <w:rPr>
          <w:spacing w:val="-1"/>
        </w:rPr>
        <w:t>whereby</w:t>
      </w:r>
      <w:r>
        <w:t xml:space="preserve"> investors</w:t>
      </w:r>
      <w:r>
        <w:rPr>
          <w:spacing w:val="67"/>
        </w:rPr>
        <w:t xml:space="preserve"> </w:t>
      </w:r>
      <w:r>
        <w:rPr>
          <w:rFonts w:cs="Avenir Next"/>
          <w:spacing w:val="-2"/>
        </w:rPr>
        <w:t>are</w:t>
      </w:r>
      <w:r>
        <w:rPr>
          <w:rFonts w:cs="Avenir Next"/>
        </w:rPr>
        <w:t xml:space="preserve"> willing to pay high prices for securities with very low </w:t>
      </w:r>
      <w:r>
        <w:rPr>
          <w:rFonts w:cs="Avenir Next"/>
          <w:spacing w:val="-1"/>
        </w:rPr>
        <w:t>risks,</w:t>
      </w:r>
      <w:r>
        <w:rPr>
          <w:rFonts w:cs="Avenir Next"/>
          <w:spacing w:val="-6"/>
        </w:rPr>
        <w:t xml:space="preserve"> </w:t>
      </w:r>
      <w:r>
        <w:rPr>
          <w:rFonts w:cs="Avenir Next"/>
          <w:spacing w:val="-1"/>
        </w:rPr>
        <w:t>reducing</w:t>
      </w:r>
      <w:r>
        <w:rPr>
          <w:rFonts w:cs="Avenir Next"/>
        </w:rPr>
        <w:t xml:space="preserve"> the yields on government</w:t>
      </w:r>
      <w:r>
        <w:rPr>
          <w:rFonts w:cs="Avenir Next"/>
          <w:spacing w:val="21"/>
        </w:rPr>
        <w:t xml:space="preserve"> </w:t>
      </w:r>
      <w:r>
        <w:t>bonds.</w:t>
      </w:r>
      <w:r>
        <w:rPr>
          <w:position w:val="7"/>
          <w:sz w:val="11"/>
          <w:szCs w:val="11"/>
        </w:rPr>
        <w:t>266</w:t>
      </w:r>
    </w:p>
    <w:p w:rsidR="00D96B91" w:rsidRDefault="00C2656B">
      <w:pPr>
        <w:pStyle w:val="BodyText"/>
        <w:spacing w:before="170" w:line="260" w:lineRule="exact"/>
        <w:ind w:right="1309"/>
        <w:rPr>
          <w:rFonts w:cs="Avenir Next"/>
        </w:rPr>
      </w:pPr>
      <w:r>
        <w:t xml:space="preserve">While the </w:t>
      </w:r>
      <w:r>
        <w:rPr>
          <w:spacing w:val="-3"/>
        </w:rPr>
        <w:t>Panel</w:t>
      </w:r>
      <w:r>
        <w:t xml:space="preserve"> </w:t>
      </w:r>
      <w:r>
        <w:rPr>
          <w:spacing w:val="-1"/>
        </w:rPr>
        <w:t>recognises</w:t>
      </w:r>
      <w:r>
        <w:t xml:space="preserve"> </w:t>
      </w:r>
      <w:r>
        <w:rPr>
          <w:spacing w:val="-1"/>
        </w:rPr>
        <w:t>that</w:t>
      </w:r>
      <w:r>
        <w:t xml:space="preserve"> the implied MRP </w:t>
      </w:r>
      <w:r>
        <w:rPr>
          <w:spacing w:val="-1"/>
        </w:rPr>
        <w:t>approach</w:t>
      </w:r>
      <w:r>
        <w:t xml:space="preserve"> </w:t>
      </w:r>
      <w:r>
        <w:rPr>
          <w:spacing w:val="-1"/>
        </w:rPr>
        <w:t>differs</w:t>
      </w:r>
      <w:r>
        <w:t xml:space="preserve"> </w:t>
      </w:r>
      <w:r>
        <w:rPr>
          <w:spacing w:val="-1"/>
        </w:rPr>
        <w:t>from</w:t>
      </w:r>
      <w:r>
        <w:t xml:space="preserve"> the historical MRP </w:t>
      </w:r>
      <w:r>
        <w:rPr>
          <w:spacing w:val="-1"/>
        </w:rPr>
        <w:t>approach</w:t>
      </w:r>
      <w:r>
        <w:rPr>
          <w:spacing w:val="41"/>
        </w:rPr>
        <w:t xml:space="preserve"> </w:t>
      </w:r>
      <w:r>
        <w:rPr>
          <w:spacing w:val="-1"/>
        </w:rPr>
        <w:t>that</w:t>
      </w:r>
      <w:r>
        <w:t xml:space="preserve"> most other </w:t>
      </w:r>
      <w:r>
        <w:rPr>
          <w:spacing w:val="-1"/>
        </w:rPr>
        <w:t>regulators</w:t>
      </w:r>
      <w:r>
        <w:t xml:space="preserve"> have used to </w:t>
      </w:r>
      <w:r>
        <w:rPr>
          <w:spacing w:val="-1"/>
        </w:rPr>
        <w:t>date,</w:t>
      </w:r>
      <w:r>
        <w:rPr>
          <w:spacing w:val="-6"/>
        </w:rPr>
        <w:t xml:space="preserve"> </w:t>
      </w:r>
      <w:r>
        <w:t xml:space="preserve">it is also </w:t>
      </w:r>
      <w:r>
        <w:rPr>
          <w:spacing w:val="-1"/>
        </w:rPr>
        <w:t>aware</w:t>
      </w:r>
      <w:r>
        <w:t xml:space="preserve"> </w:t>
      </w:r>
      <w:r>
        <w:rPr>
          <w:spacing w:val="-1"/>
        </w:rPr>
        <w:t>that</w:t>
      </w:r>
      <w:r>
        <w:t xml:space="preserve"> some </w:t>
      </w:r>
      <w:r>
        <w:rPr>
          <w:spacing w:val="-1"/>
        </w:rPr>
        <w:t>regulators</w:t>
      </w:r>
      <w:r>
        <w:t xml:space="preserve"> </w:t>
      </w:r>
      <w:r>
        <w:rPr>
          <w:spacing w:val="-2"/>
        </w:rPr>
        <w:t>are</w:t>
      </w:r>
      <w:r>
        <w:t xml:space="preserve"> </w:t>
      </w:r>
      <w:r>
        <w:rPr>
          <w:spacing w:val="-1"/>
        </w:rPr>
        <w:t>starting</w:t>
      </w:r>
      <w:r>
        <w:t xml:space="preserve"> to</w:t>
      </w:r>
      <w:r>
        <w:rPr>
          <w:spacing w:val="43"/>
        </w:rPr>
        <w:t xml:space="preserve"> </w:t>
      </w:r>
      <w:r>
        <w:t>question whether continuing with a constant MRP of</w:t>
      </w:r>
      <w:r>
        <w:rPr>
          <w:spacing w:val="4"/>
        </w:rPr>
        <w:t xml:space="preserve"> </w:t>
      </w:r>
      <w:r>
        <w:t xml:space="preserve">6% is </w:t>
      </w:r>
      <w:r>
        <w:rPr>
          <w:spacing w:val="-1"/>
        </w:rPr>
        <w:t>appropriate.</w:t>
      </w:r>
      <w:r>
        <w:rPr>
          <w:spacing w:val="-6"/>
        </w:rPr>
        <w:t xml:space="preserve"> </w:t>
      </w:r>
      <w:r>
        <w:rPr>
          <w:spacing w:val="-4"/>
        </w:rPr>
        <w:t>For</w:t>
      </w:r>
      <w:r>
        <w:t xml:space="preserve"> </w:t>
      </w:r>
      <w:r>
        <w:rPr>
          <w:spacing w:val="-1"/>
        </w:rPr>
        <w:t>example,</w:t>
      </w:r>
      <w:r>
        <w:rPr>
          <w:spacing w:val="-6"/>
        </w:rPr>
        <w:t xml:space="preserve"> </w:t>
      </w:r>
      <w:r>
        <w:rPr>
          <w:spacing w:val="-3"/>
        </w:rPr>
        <w:t>IPART</w:t>
      </w:r>
      <w:r>
        <w:rPr>
          <w:spacing w:val="-5"/>
        </w:rPr>
        <w:t xml:space="preserve"> </w:t>
      </w:r>
      <w:r>
        <w:t>conducted</w:t>
      </w:r>
      <w:r>
        <w:rPr>
          <w:spacing w:val="29"/>
        </w:rPr>
        <w:t xml:space="preserve"> </w:t>
      </w:r>
      <w:r>
        <w:t xml:space="preserve">an </w:t>
      </w:r>
      <w:r>
        <w:rPr>
          <w:spacing w:val="-1"/>
        </w:rPr>
        <w:t>extensive</w:t>
      </w:r>
      <w:r>
        <w:t xml:space="preserve"> </w:t>
      </w:r>
      <w:r>
        <w:rPr>
          <w:spacing w:val="-1"/>
        </w:rPr>
        <w:t>review</w:t>
      </w:r>
      <w:r>
        <w:t xml:space="preserve"> of</w:t>
      </w:r>
      <w:r>
        <w:rPr>
          <w:spacing w:val="4"/>
        </w:rPr>
        <w:t xml:space="preserve"> </w:t>
      </w:r>
      <w:r>
        <w:rPr>
          <w:spacing w:val="-3"/>
        </w:rPr>
        <w:t>MRPs</w:t>
      </w:r>
      <w:r>
        <w:t xml:space="preserve"> and developed </w:t>
      </w:r>
      <w:r>
        <w:rPr>
          <w:spacing w:val="-1"/>
        </w:rPr>
        <w:t>several</w:t>
      </w:r>
      <w:r>
        <w:t xml:space="preserve"> </w:t>
      </w:r>
      <w:r>
        <w:rPr>
          <w:spacing w:val="-1"/>
        </w:rPr>
        <w:t>different</w:t>
      </w:r>
      <w:r>
        <w:t xml:space="preserve"> methodologies to </w:t>
      </w:r>
      <w:r>
        <w:rPr>
          <w:spacing w:val="-1"/>
        </w:rPr>
        <w:t>estimate</w:t>
      </w:r>
      <w:r>
        <w:t xml:space="preserve"> implied </w:t>
      </w:r>
      <w:r>
        <w:rPr>
          <w:spacing w:val="-2"/>
        </w:rPr>
        <w:t>MRPs.</w:t>
      </w:r>
      <w:r>
        <w:rPr>
          <w:spacing w:val="43"/>
        </w:rPr>
        <w:t xml:space="preserve"> </w:t>
      </w:r>
      <w:r>
        <w:rPr>
          <w:spacing w:val="-2"/>
        </w:rPr>
        <w:t>The</w:t>
      </w:r>
      <w:r>
        <w:rPr>
          <w:spacing w:val="-4"/>
        </w:rPr>
        <w:t xml:space="preserve"> </w:t>
      </w:r>
      <w:r>
        <w:t xml:space="preserve">AER has also </w:t>
      </w:r>
      <w:r>
        <w:rPr>
          <w:spacing w:val="-1"/>
        </w:rPr>
        <w:t>recently</w:t>
      </w:r>
      <w:r>
        <w:t xml:space="preserve"> </w:t>
      </w:r>
      <w:r>
        <w:rPr>
          <w:spacing w:val="-1"/>
        </w:rPr>
        <w:t>considered</w:t>
      </w:r>
      <w:r>
        <w:t xml:space="preserve"> this issue in the </w:t>
      </w:r>
      <w:r>
        <w:rPr>
          <w:spacing w:val="-1"/>
        </w:rPr>
        <w:t>context</w:t>
      </w:r>
      <w:r>
        <w:t xml:space="preserve"> of</w:t>
      </w:r>
      <w:r>
        <w:rPr>
          <w:spacing w:val="4"/>
        </w:rPr>
        <w:t xml:space="preserve"> </w:t>
      </w:r>
      <w:r>
        <w:t xml:space="preserve">its </w:t>
      </w:r>
      <w:r>
        <w:rPr>
          <w:spacing w:val="-1"/>
        </w:rPr>
        <w:t>Better</w:t>
      </w:r>
      <w:r>
        <w:t xml:space="preserve"> </w:t>
      </w:r>
      <w:r>
        <w:rPr>
          <w:spacing w:val="-1"/>
        </w:rPr>
        <w:t>Regulation</w:t>
      </w:r>
      <w:r>
        <w:t xml:space="preserve"> </w:t>
      </w:r>
      <w:r>
        <w:rPr>
          <w:spacing w:val="-1"/>
        </w:rPr>
        <w:t>Review</w:t>
      </w:r>
      <w:r>
        <w:t xml:space="preserve"> and</w:t>
      </w:r>
    </w:p>
    <w:p w:rsidR="00D96B91" w:rsidRDefault="00D96B91">
      <w:pPr>
        <w:spacing w:before="8"/>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307" style="width:72.5pt;height:.5pt;mso-position-horizontal-relative:char;mso-position-vertical-relative:line" coordsize="1450,10">
            <v:group id="_x0000_s1308" style="position:absolute;left:5;top:5;width:1440;height:2" coordorigin="5,5" coordsize="1440,2">
              <v:shape id="_x0000_s1309"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525" w:hanging="510"/>
        <w:rPr>
          <w:rFonts w:ascii="Avenir Next" w:eastAsia="Avenir Next" w:hAnsi="Avenir Next" w:cs="Avenir Next"/>
          <w:sz w:val="16"/>
          <w:szCs w:val="16"/>
        </w:rPr>
      </w:pPr>
      <w:r>
        <w:rPr>
          <w:rFonts w:ascii="Avenir Next" w:eastAsia="Avenir Next" w:hAnsi="Avenir Next" w:cs="Avenir Next"/>
          <w:spacing w:val="-3"/>
          <w:sz w:val="16"/>
          <w:szCs w:val="16"/>
        </w:rPr>
        <w:t>For</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example,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during the GFC period when </w:t>
      </w:r>
      <w:r>
        <w:rPr>
          <w:rFonts w:ascii="Avenir Next" w:eastAsia="Avenir Next" w:hAnsi="Avenir Next" w:cs="Avenir Next"/>
          <w:spacing w:val="-1"/>
          <w:sz w:val="16"/>
          <w:szCs w:val="16"/>
        </w:rPr>
        <w:t>there</w:t>
      </w:r>
      <w:r>
        <w:rPr>
          <w:rFonts w:ascii="Avenir Next" w:eastAsia="Avenir Next" w:hAnsi="Avenir Next" w:cs="Avenir Next"/>
          <w:sz w:val="16"/>
          <w:szCs w:val="16"/>
        </w:rPr>
        <w:t xml:space="preserve"> was a very high level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uncertainty</w:t>
      </w:r>
      <w:r>
        <w:rPr>
          <w:rFonts w:ascii="Avenir Next" w:eastAsia="Avenir Next" w:hAnsi="Avenir Next" w:cs="Avenir Next"/>
          <w:sz w:val="16"/>
          <w:szCs w:val="16"/>
        </w:rPr>
        <w:t xml:space="preserve"> in the </w:t>
      </w:r>
      <w:r>
        <w:rPr>
          <w:rFonts w:ascii="Avenir Next" w:eastAsia="Avenir Next" w:hAnsi="Avenir Next" w:cs="Avenir Next"/>
          <w:spacing w:val="-1"/>
          <w:sz w:val="16"/>
          <w:szCs w:val="16"/>
        </w:rPr>
        <w:t>market,</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government bond</w:t>
      </w:r>
      <w:r>
        <w:rPr>
          <w:rFonts w:ascii="Avenir Next" w:eastAsia="Avenir Next" w:hAnsi="Avenir Next" w:cs="Avenir Next"/>
          <w:spacing w:val="47"/>
          <w:sz w:val="16"/>
          <w:szCs w:val="16"/>
        </w:rPr>
        <w:t xml:space="preserve"> </w:t>
      </w:r>
      <w:r>
        <w:rPr>
          <w:rFonts w:ascii="Avenir Next" w:eastAsia="Avenir Next" w:hAnsi="Avenir Next" w:cs="Avenir Next"/>
          <w:sz w:val="16"/>
          <w:szCs w:val="16"/>
        </w:rPr>
        <w:t>yields</w:t>
      </w:r>
      <w:r>
        <w:rPr>
          <w:rFonts w:ascii="Avenir Next" w:eastAsia="Avenir Next" w:hAnsi="Avenir Next" w:cs="Avenir Next"/>
          <w:spacing w:val="-1"/>
          <w:sz w:val="16"/>
          <w:szCs w:val="16"/>
        </w:rPr>
        <w:t xml:space="preserve"> remained at</w:t>
      </w:r>
      <w:r>
        <w:rPr>
          <w:rFonts w:ascii="Avenir Next" w:eastAsia="Avenir Next" w:hAnsi="Avenir Next" w:cs="Avenir Next"/>
          <w:sz w:val="16"/>
          <w:szCs w:val="16"/>
        </w:rPr>
        <w:t xml:space="preserve"> a</w:t>
      </w:r>
      <w:r>
        <w:rPr>
          <w:rFonts w:ascii="Avenir Next" w:eastAsia="Avenir Next" w:hAnsi="Avenir Next" w:cs="Avenir Next"/>
          <w:spacing w:val="-1"/>
          <w:sz w:val="16"/>
          <w:szCs w:val="16"/>
        </w:rPr>
        <w:t xml:space="preserve"> record</w:t>
      </w:r>
      <w:r>
        <w:rPr>
          <w:rFonts w:ascii="Avenir Next" w:eastAsia="Avenir Next" w:hAnsi="Avenir Next" w:cs="Avenir Next"/>
          <w:sz w:val="16"/>
          <w:szCs w:val="16"/>
        </w:rPr>
        <w:t xml:space="preserve"> low</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level.</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Liquidity</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condition worsened</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significantly with</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the Bills-OIS</w:t>
      </w:r>
      <w:r>
        <w:rPr>
          <w:rFonts w:ascii="Avenir Next" w:eastAsia="Avenir Next" w:hAnsi="Avenir Next" w:cs="Avenir Next"/>
          <w:spacing w:val="-1"/>
          <w:sz w:val="16"/>
          <w:szCs w:val="16"/>
        </w:rPr>
        <w:t xml:space="preserve"> spread reaching</w:t>
      </w:r>
      <w:r>
        <w:rPr>
          <w:rFonts w:ascii="Avenir Next" w:eastAsia="Avenir Next" w:hAnsi="Avenir Next" w:cs="Avenir Next"/>
          <w:sz w:val="16"/>
          <w:szCs w:val="16"/>
        </w:rPr>
        <w:t xml:space="preserve"> over</w:t>
      </w:r>
      <w:r>
        <w:rPr>
          <w:rFonts w:ascii="Avenir Next" w:eastAsia="Avenir Next" w:hAnsi="Avenir Next" w:cs="Avenir Next"/>
          <w:spacing w:val="23"/>
          <w:sz w:val="16"/>
          <w:szCs w:val="16"/>
        </w:rPr>
        <w:t xml:space="preserve"> </w:t>
      </w:r>
      <w:r>
        <w:rPr>
          <w:rFonts w:ascii="Avenir Next" w:eastAsia="Avenir Next" w:hAnsi="Avenir Next" w:cs="Avenir Next"/>
          <w:sz w:val="16"/>
          <w:szCs w:val="16"/>
        </w:rPr>
        <w:t xml:space="preserve">76 basis points and </w:t>
      </w:r>
      <w:r>
        <w:rPr>
          <w:rFonts w:ascii="Avenir Next" w:eastAsia="Avenir Next" w:hAnsi="Avenir Next" w:cs="Avenir Next"/>
          <w:spacing w:val="-1"/>
          <w:sz w:val="16"/>
          <w:szCs w:val="16"/>
        </w:rPr>
        <w:t>Bloomberg’s</w:t>
      </w:r>
      <w:r>
        <w:rPr>
          <w:rFonts w:ascii="Avenir Next" w:eastAsia="Avenir Next" w:hAnsi="Avenir Next" w:cs="Avenir Next"/>
          <w:sz w:val="16"/>
          <w:szCs w:val="16"/>
        </w:rPr>
        <w:t xml:space="preserve"> implied MRP </w:t>
      </w:r>
      <w:r>
        <w:rPr>
          <w:rFonts w:ascii="Avenir Next" w:eastAsia="Avenir Next" w:hAnsi="Avenir Next" w:cs="Avenir Next"/>
          <w:spacing w:val="-1"/>
          <w:sz w:val="16"/>
          <w:szCs w:val="16"/>
        </w:rPr>
        <w:t>estimates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reaching</w:t>
      </w:r>
      <w:r>
        <w:rPr>
          <w:rFonts w:ascii="Avenir Next" w:eastAsia="Avenir Next" w:hAnsi="Avenir Next" w:cs="Avenir Next"/>
          <w:sz w:val="16"/>
          <w:szCs w:val="16"/>
        </w:rPr>
        <w:t xml:space="preserve"> as high as 12%.</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z w:val="16"/>
          <w:szCs w:val="16"/>
        </w:rPr>
        <w:t xml:space="preserve"> Bills-OIS </w:t>
      </w:r>
      <w:r>
        <w:rPr>
          <w:rFonts w:ascii="Avenir Next" w:eastAsia="Avenir Next" w:hAnsi="Avenir Next" w:cs="Avenir Next"/>
          <w:spacing w:val="-1"/>
          <w:sz w:val="16"/>
          <w:szCs w:val="16"/>
        </w:rPr>
        <w:t>spread</w:t>
      </w:r>
      <w:r>
        <w:rPr>
          <w:rFonts w:ascii="Avenir Next" w:eastAsia="Avenir Next" w:hAnsi="Avenir Next" w:cs="Avenir Next"/>
          <w:sz w:val="16"/>
          <w:szCs w:val="16"/>
        </w:rPr>
        <w:t xml:space="preserve"> is the </w:t>
      </w:r>
      <w:r>
        <w:rPr>
          <w:rFonts w:ascii="Avenir Next" w:eastAsia="Avenir Next" w:hAnsi="Avenir Next" w:cs="Avenir Next"/>
          <w:spacing w:val="-1"/>
          <w:sz w:val="16"/>
          <w:szCs w:val="16"/>
        </w:rPr>
        <w:t>difference</w:t>
      </w:r>
      <w:r>
        <w:rPr>
          <w:rFonts w:ascii="Avenir Next" w:eastAsia="Avenir Next" w:hAnsi="Avenir Next" w:cs="Avenir Next"/>
          <w:spacing w:val="35"/>
          <w:sz w:val="16"/>
          <w:szCs w:val="16"/>
        </w:rPr>
        <w:t xml:space="preserve"> </w:t>
      </w:r>
      <w:r>
        <w:rPr>
          <w:rFonts w:ascii="Avenir Next" w:eastAsia="Avenir Next" w:hAnsi="Avenir Next" w:cs="Avenir Next"/>
          <w:sz w:val="16"/>
          <w:szCs w:val="16"/>
        </w:rPr>
        <w:t>between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the 3-month Bank</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bills and the</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 xml:space="preserve">3-month overnight </w:t>
      </w:r>
      <w:r>
        <w:rPr>
          <w:rFonts w:ascii="Avenir Next" w:eastAsia="Avenir Next" w:hAnsi="Avenir Next" w:cs="Avenir Next"/>
          <w:spacing w:val="-1"/>
          <w:sz w:val="16"/>
          <w:szCs w:val="16"/>
        </w:rPr>
        <w:t>index</w:t>
      </w:r>
      <w:r>
        <w:rPr>
          <w:rFonts w:ascii="Avenir Next" w:eastAsia="Avenir Next" w:hAnsi="Avenir Next" w:cs="Avenir Next"/>
          <w:sz w:val="16"/>
          <w:szCs w:val="16"/>
        </w:rPr>
        <w:t xml:space="preserve"> swap</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(OIS).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It </w:t>
      </w:r>
      <w:r>
        <w:rPr>
          <w:rFonts w:ascii="Avenir Next" w:eastAsia="Avenir Next" w:hAnsi="Avenir Next" w:cs="Avenir Next"/>
          <w:spacing w:val="-1"/>
          <w:sz w:val="16"/>
          <w:szCs w:val="16"/>
        </w:rPr>
        <w:t xml:space="preserve">reflects </w:t>
      </w:r>
      <w:r>
        <w:rPr>
          <w:rFonts w:ascii="Avenir Next" w:eastAsia="Avenir Next" w:hAnsi="Avenir Next" w:cs="Avenir Next"/>
          <w:sz w:val="16"/>
          <w:szCs w:val="16"/>
        </w:rPr>
        <w:t>changing liquidity conditions</w:t>
      </w:r>
    </w:p>
    <w:p w:rsidR="00D96B91" w:rsidRDefault="00C2656B">
      <w:pPr>
        <w:spacing w:line="192" w:lineRule="exact"/>
        <w:ind w:left="1757" w:right="1283"/>
        <w:rPr>
          <w:rFonts w:ascii="Avenir Next" w:eastAsia="Avenir Next" w:hAnsi="Avenir Next" w:cs="Avenir Next"/>
          <w:sz w:val="16"/>
          <w:szCs w:val="16"/>
        </w:rPr>
      </w:pPr>
      <w:r>
        <w:rPr>
          <w:rFonts w:ascii="Avenir Next"/>
          <w:sz w:val="16"/>
        </w:rPr>
        <w:t xml:space="preserve">or </w:t>
      </w:r>
      <w:r>
        <w:rPr>
          <w:rFonts w:ascii="Avenir Next"/>
          <w:spacing w:val="-1"/>
          <w:sz w:val="16"/>
        </w:rPr>
        <w:t>credit</w:t>
      </w:r>
      <w:r>
        <w:rPr>
          <w:rFonts w:ascii="Avenir Next"/>
          <w:sz w:val="16"/>
        </w:rPr>
        <w:t xml:space="preserve"> </w:t>
      </w:r>
      <w:r>
        <w:rPr>
          <w:rFonts w:ascii="Avenir Next"/>
          <w:spacing w:val="-1"/>
          <w:sz w:val="16"/>
        </w:rPr>
        <w:t>worthiness</w:t>
      </w:r>
      <w:r>
        <w:rPr>
          <w:rFonts w:ascii="Avenir Next"/>
          <w:sz w:val="16"/>
        </w:rPr>
        <w:t xml:space="preserve"> of</w:t>
      </w:r>
      <w:r>
        <w:rPr>
          <w:rFonts w:ascii="Avenir Next"/>
          <w:spacing w:val="3"/>
          <w:sz w:val="16"/>
        </w:rPr>
        <w:t xml:space="preserve"> </w:t>
      </w:r>
      <w:r>
        <w:rPr>
          <w:rFonts w:ascii="Avenir Next"/>
          <w:sz w:val="16"/>
        </w:rPr>
        <w:t xml:space="preserve">the </w:t>
      </w:r>
      <w:r>
        <w:rPr>
          <w:rFonts w:ascii="Avenir Next"/>
          <w:spacing w:val="-1"/>
          <w:sz w:val="16"/>
        </w:rPr>
        <w:t>market.</w:t>
      </w:r>
      <w:r>
        <w:rPr>
          <w:rFonts w:ascii="Avenir Next"/>
          <w:spacing w:val="-8"/>
          <w:sz w:val="16"/>
        </w:rPr>
        <w:t xml:space="preserve"> </w:t>
      </w:r>
      <w:r>
        <w:rPr>
          <w:rFonts w:ascii="Avenir Next"/>
          <w:sz w:val="16"/>
        </w:rPr>
        <w:t xml:space="preserve">An </w:t>
      </w:r>
      <w:r>
        <w:rPr>
          <w:rFonts w:ascii="Avenir Next"/>
          <w:spacing w:val="-1"/>
          <w:sz w:val="16"/>
        </w:rPr>
        <w:t>increase</w:t>
      </w:r>
      <w:r>
        <w:rPr>
          <w:rFonts w:ascii="Avenir Next"/>
          <w:sz w:val="16"/>
        </w:rPr>
        <w:t xml:space="preserve"> in the Bills-OIS </w:t>
      </w:r>
      <w:r>
        <w:rPr>
          <w:rFonts w:ascii="Avenir Next"/>
          <w:spacing w:val="-1"/>
          <w:sz w:val="16"/>
        </w:rPr>
        <w:t>spread</w:t>
      </w:r>
      <w:r>
        <w:rPr>
          <w:rFonts w:ascii="Avenir Next"/>
          <w:sz w:val="16"/>
        </w:rPr>
        <w:t xml:space="preserve"> would signal worsening liquidity as </w:t>
      </w:r>
      <w:r>
        <w:rPr>
          <w:rFonts w:ascii="Avenir Next"/>
          <w:spacing w:val="-1"/>
          <w:sz w:val="16"/>
        </w:rPr>
        <w:t>banks</w:t>
      </w:r>
      <w:r>
        <w:rPr>
          <w:rFonts w:ascii="Avenir Next"/>
          <w:sz w:val="16"/>
        </w:rPr>
        <w:t xml:space="preserve"> </w:t>
      </w:r>
      <w:r>
        <w:rPr>
          <w:rFonts w:ascii="Avenir Next"/>
          <w:spacing w:val="-1"/>
          <w:sz w:val="16"/>
        </w:rPr>
        <w:t>are</w:t>
      </w:r>
      <w:r>
        <w:rPr>
          <w:rFonts w:ascii="Avenir Next"/>
          <w:spacing w:val="51"/>
          <w:sz w:val="16"/>
        </w:rPr>
        <w:t xml:space="preserve"> </w:t>
      </w:r>
      <w:r>
        <w:rPr>
          <w:rFonts w:ascii="Avenir Next"/>
          <w:sz w:val="16"/>
        </w:rPr>
        <w:t>becoming less willing to lend.</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BodyText"/>
        <w:spacing w:before="21" w:line="260" w:lineRule="exact"/>
        <w:ind w:right="1256"/>
      </w:pPr>
      <w:r>
        <w:t xml:space="preserve">noted </w:t>
      </w:r>
      <w:r>
        <w:rPr>
          <w:spacing w:val="-1"/>
        </w:rPr>
        <w:t>that</w:t>
      </w:r>
      <w:r>
        <w:t xml:space="preserve"> going </w:t>
      </w:r>
      <w:r>
        <w:rPr>
          <w:spacing w:val="-1"/>
        </w:rPr>
        <w:t>forward</w:t>
      </w:r>
      <w:r>
        <w:t xml:space="preserve"> it will have </w:t>
      </w:r>
      <w:r>
        <w:rPr>
          <w:spacing w:val="-2"/>
        </w:rPr>
        <w:t>regard</w:t>
      </w:r>
      <w:r>
        <w:t xml:space="preserve"> to historical </w:t>
      </w:r>
      <w:r>
        <w:rPr>
          <w:spacing w:val="-2"/>
        </w:rPr>
        <w:t>MRPs,</w:t>
      </w:r>
      <w:r>
        <w:rPr>
          <w:spacing w:val="-6"/>
        </w:rPr>
        <w:t xml:space="preserve"> </w:t>
      </w:r>
      <w:r>
        <w:t xml:space="preserve">implied </w:t>
      </w:r>
      <w:r>
        <w:rPr>
          <w:spacing w:val="-2"/>
        </w:rPr>
        <w:t>MRPs,</w:t>
      </w:r>
      <w:r>
        <w:rPr>
          <w:spacing w:val="-6"/>
        </w:rPr>
        <w:t xml:space="preserve"> </w:t>
      </w:r>
      <w:r>
        <w:t xml:space="preserve">survey </w:t>
      </w:r>
      <w:r>
        <w:rPr>
          <w:spacing w:val="-3"/>
        </w:rPr>
        <w:t>MRPs</w:t>
      </w:r>
      <w:r>
        <w:t xml:space="preserve"> and </w:t>
      </w:r>
      <w:r>
        <w:rPr>
          <w:spacing w:val="-1"/>
        </w:rPr>
        <w:t>recent</w:t>
      </w:r>
      <w:r>
        <w:rPr>
          <w:spacing w:val="25"/>
        </w:rPr>
        <w:t xml:space="preserve"> </w:t>
      </w:r>
      <w:r>
        <w:rPr>
          <w:spacing w:val="-1"/>
        </w:rPr>
        <w:t>regulatory</w:t>
      </w:r>
      <w:r>
        <w:t xml:space="preserve"> decisions.</w:t>
      </w:r>
    </w:p>
    <w:p w:rsidR="00D96B91" w:rsidRDefault="00C2656B">
      <w:pPr>
        <w:pStyle w:val="BodyText"/>
        <w:spacing w:before="170" w:line="260" w:lineRule="exact"/>
        <w:ind w:right="1283"/>
      </w:pPr>
      <w:r>
        <w:t xml:space="preserve">Although </w:t>
      </w:r>
      <w:r>
        <w:rPr>
          <w:spacing w:val="-1"/>
        </w:rPr>
        <w:t>market</w:t>
      </w:r>
      <w:r>
        <w:t xml:space="preserve"> conditions have stabilised since the GFC,</w:t>
      </w:r>
      <w:r>
        <w:rPr>
          <w:spacing w:val="-7"/>
        </w:rPr>
        <w:t xml:space="preserve"> </w:t>
      </w:r>
      <w:r>
        <w:rPr>
          <w:spacing w:val="-1"/>
        </w:rPr>
        <w:t>there</w:t>
      </w:r>
      <w:r>
        <w:t xml:space="preserve"> is still a </w:t>
      </w:r>
      <w:r>
        <w:rPr>
          <w:spacing w:val="-1"/>
        </w:rPr>
        <w:t>large</w:t>
      </w:r>
      <w:r>
        <w:t xml:space="preserve"> </w:t>
      </w:r>
      <w:r>
        <w:rPr>
          <w:spacing w:val="-1"/>
        </w:rPr>
        <w:t>discrepancy</w:t>
      </w:r>
      <w:r>
        <w:t xml:space="preserve"> between</w:t>
      </w:r>
      <w:r>
        <w:rPr>
          <w:spacing w:val="23"/>
        </w:rPr>
        <w:t xml:space="preserve"> </w:t>
      </w:r>
      <w:r>
        <w:t xml:space="preserve">historical </w:t>
      </w:r>
      <w:r>
        <w:rPr>
          <w:spacing w:val="-1"/>
        </w:rPr>
        <w:t>average</w:t>
      </w:r>
      <w:r>
        <w:t xml:space="preserve"> </w:t>
      </w:r>
      <w:r>
        <w:rPr>
          <w:spacing w:val="-1"/>
        </w:rPr>
        <w:t>risk-free</w:t>
      </w:r>
      <w:r>
        <w:t xml:space="preserve"> </w:t>
      </w:r>
      <w:r>
        <w:rPr>
          <w:spacing w:val="-1"/>
        </w:rPr>
        <w:t>rates</w:t>
      </w:r>
      <w:r>
        <w:t xml:space="preserve"> and the </w:t>
      </w:r>
      <w:r>
        <w:rPr>
          <w:spacing w:val="-1"/>
        </w:rPr>
        <w:t>prevailing</w:t>
      </w:r>
      <w:r>
        <w:t xml:space="preserve"> </w:t>
      </w:r>
      <w:r>
        <w:rPr>
          <w:spacing w:val="-1"/>
        </w:rPr>
        <w:t>rates.</w:t>
      </w:r>
      <w:r>
        <w:rPr>
          <w:spacing w:val="-6"/>
        </w:rPr>
        <w:t xml:space="preserve"> </w:t>
      </w:r>
      <w:r>
        <w:t>Use of</w:t>
      </w:r>
      <w:r>
        <w:rPr>
          <w:spacing w:val="4"/>
        </w:rPr>
        <w:t xml:space="preserve"> </w:t>
      </w:r>
      <w:r>
        <w:t>a constant MRP of</w:t>
      </w:r>
      <w:r>
        <w:rPr>
          <w:spacing w:val="4"/>
        </w:rPr>
        <w:t xml:space="preserve"> </w:t>
      </w:r>
      <w:r>
        <w:t>6% could</w:t>
      </w:r>
      <w:r>
        <w:rPr>
          <w:spacing w:val="23"/>
        </w:rPr>
        <w:t xml:space="preserve"> </w:t>
      </w:r>
      <w:r>
        <w:rPr>
          <w:spacing w:val="-1"/>
        </w:rPr>
        <w:t>underestimate</w:t>
      </w:r>
      <w:r>
        <w:t xml:space="preserve"> the true cost of</w:t>
      </w:r>
      <w:r>
        <w:rPr>
          <w:spacing w:val="4"/>
        </w:rPr>
        <w:t xml:space="preserve"> </w:t>
      </w:r>
      <w:r>
        <w:rPr>
          <w:spacing w:val="-2"/>
        </w:rPr>
        <w:t>equity.</w:t>
      </w:r>
    </w:p>
    <w:p w:rsidR="00D96B91" w:rsidRDefault="00C2656B">
      <w:pPr>
        <w:pStyle w:val="BodyText"/>
        <w:spacing w:before="170" w:line="260" w:lineRule="exact"/>
        <w:ind w:right="1283"/>
        <w:rPr>
          <w:rFonts w:cs="Avenir Next"/>
        </w:rPr>
      </w:pPr>
      <w:r>
        <w:t>In addition,</w:t>
      </w:r>
      <w:r>
        <w:rPr>
          <w:spacing w:val="-7"/>
        </w:rPr>
        <w:t xml:space="preserve"> </w:t>
      </w:r>
      <w:r>
        <w:t xml:space="preserve">the </w:t>
      </w:r>
      <w:r>
        <w:rPr>
          <w:spacing w:val="-3"/>
        </w:rPr>
        <w:t>Panel</w:t>
      </w:r>
      <w:r>
        <w:t xml:space="preserve"> considers it </w:t>
      </w:r>
      <w:r>
        <w:rPr>
          <w:spacing w:val="-1"/>
        </w:rPr>
        <w:t>important</w:t>
      </w:r>
      <w:r>
        <w:t xml:space="preserve"> to </w:t>
      </w:r>
      <w:r>
        <w:rPr>
          <w:spacing w:val="-1"/>
        </w:rPr>
        <w:t>ensure</w:t>
      </w:r>
      <w:r>
        <w:t xml:space="preserve"> internal consistency within the</w:t>
      </w:r>
      <w:r>
        <w:rPr>
          <w:spacing w:val="-3"/>
        </w:rPr>
        <w:t xml:space="preserve"> WACC</w:t>
      </w:r>
      <w:r>
        <w:t xml:space="preserve"> model as</w:t>
      </w:r>
      <w:r>
        <w:rPr>
          <w:spacing w:val="27"/>
        </w:rPr>
        <w:t xml:space="preserve"> </w:t>
      </w:r>
      <w:r>
        <w:t>follows:</w:t>
      </w:r>
    </w:p>
    <w:p w:rsidR="00D96B91" w:rsidRDefault="00C2656B">
      <w:pPr>
        <w:pStyle w:val="BodyText"/>
        <w:numPr>
          <w:ilvl w:val="0"/>
          <w:numId w:val="131"/>
        </w:numPr>
        <w:tabs>
          <w:tab w:val="left" w:pos="1531"/>
        </w:tabs>
        <w:spacing w:before="170" w:line="260" w:lineRule="exact"/>
        <w:ind w:right="1303" w:hanging="283"/>
      </w:pPr>
      <w:r>
        <w:rPr>
          <w:spacing w:val="-2"/>
        </w:rPr>
        <w:t>The</w:t>
      </w:r>
      <w:r>
        <w:t xml:space="preserve"> </w:t>
      </w:r>
      <w:r>
        <w:rPr>
          <w:spacing w:val="-1"/>
        </w:rPr>
        <w:t>average</w:t>
      </w:r>
      <w:r>
        <w:t xml:space="preserve"> </w:t>
      </w:r>
      <w:r>
        <w:rPr>
          <w:spacing w:val="-1"/>
        </w:rPr>
        <w:t>risk-free</w:t>
      </w:r>
      <w:r>
        <w:t xml:space="preserve"> </w:t>
      </w:r>
      <w:r>
        <w:rPr>
          <w:spacing w:val="-2"/>
        </w:rPr>
        <w:t>rate</w:t>
      </w:r>
      <w:r>
        <w:t xml:space="preserve"> and debt </w:t>
      </w:r>
      <w:r>
        <w:rPr>
          <w:spacing w:val="-1"/>
        </w:rPr>
        <w:t>margin</w:t>
      </w:r>
      <w:r>
        <w:t xml:space="preserve"> should be </w:t>
      </w:r>
      <w:r>
        <w:rPr>
          <w:spacing w:val="-1"/>
        </w:rPr>
        <w:t>calculated</w:t>
      </w:r>
      <w:r>
        <w:t xml:space="preserve"> over a </w:t>
      </w:r>
      <w:r>
        <w:rPr>
          <w:spacing w:val="-1"/>
        </w:rPr>
        <w:t>short</w:t>
      </w:r>
      <w:r>
        <w:t xml:space="preserve"> term and use implied</w:t>
      </w:r>
      <w:r>
        <w:rPr>
          <w:spacing w:val="43"/>
        </w:rPr>
        <w:t xml:space="preserve"> </w:t>
      </w:r>
      <w:r>
        <w:rPr>
          <w:spacing w:val="-3"/>
        </w:rPr>
        <w:t>MRPs</w:t>
      </w:r>
      <w:r>
        <w:rPr>
          <w:spacing w:val="-1"/>
        </w:rPr>
        <w:t xml:space="preserve"> </w:t>
      </w:r>
      <w:r>
        <w:t>if</w:t>
      </w:r>
      <w:r>
        <w:rPr>
          <w:spacing w:val="4"/>
        </w:rPr>
        <w:t xml:space="preserve"> </w:t>
      </w:r>
      <w:r>
        <w:t>a</w:t>
      </w:r>
      <w:r>
        <w:rPr>
          <w:spacing w:val="-1"/>
        </w:rPr>
        <w:t xml:space="preserve"> regulator</w:t>
      </w:r>
      <w:r>
        <w:t xml:space="preserve"> believes </w:t>
      </w:r>
      <w:r>
        <w:rPr>
          <w:spacing w:val="-1"/>
        </w:rPr>
        <w:t>that current</w:t>
      </w:r>
      <w:r>
        <w:t xml:space="preserve"> prices in</w:t>
      </w:r>
      <w:r>
        <w:rPr>
          <w:spacing w:val="-1"/>
        </w:rPr>
        <w:t xml:space="preserve"> </w:t>
      </w:r>
      <w:r>
        <w:t xml:space="preserve">the </w:t>
      </w:r>
      <w:r>
        <w:rPr>
          <w:spacing w:val="-1"/>
        </w:rPr>
        <w:t>market</w:t>
      </w:r>
      <w:r>
        <w:t xml:space="preserve"> </w:t>
      </w:r>
      <w:r>
        <w:rPr>
          <w:spacing w:val="-1"/>
        </w:rPr>
        <w:t>reflect</w:t>
      </w:r>
      <w:r>
        <w:t xml:space="preserve"> all</w:t>
      </w:r>
      <w:r>
        <w:rPr>
          <w:spacing w:val="-1"/>
        </w:rPr>
        <w:t xml:space="preserve"> </w:t>
      </w:r>
      <w:r>
        <w:t xml:space="preserve">available </w:t>
      </w:r>
      <w:r>
        <w:rPr>
          <w:spacing w:val="-1"/>
        </w:rPr>
        <w:t>relevant</w:t>
      </w:r>
      <w:r>
        <w:t xml:space="preserve"> </w:t>
      </w:r>
      <w:r>
        <w:rPr>
          <w:spacing w:val="-1"/>
        </w:rPr>
        <w:t>information</w:t>
      </w:r>
      <w:r>
        <w:rPr>
          <w:spacing w:val="57"/>
        </w:rPr>
        <w:t xml:space="preserve"> </w:t>
      </w:r>
      <w:r>
        <w:t xml:space="preserve">and hence </w:t>
      </w:r>
      <w:r>
        <w:rPr>
          <w:spacing w:val="-2"/>
        </w:rPr>
        <w:t>today’s</w:t>
      </w:r>
      <w:r>
        <w:t xml:space="preserve"> prices </w:t>
      </w:r>
      <w:r>
        <w:rPr>
          <w:spacing w:val="-2"/>
        </w:rPr>
        <w:t>are</w:t>
      </w:r>
      <w:r>
        <w:t xml:space="preserve"> the best </w:t>
      </w:r>
      <w:r>
        <w:rPr>
          <w:spacing w:val="-1"/>
        </w:rPr>
        <w:t>predictor</w:t>
      </w:r>
      <w:r>
        <w:t xml:space="preserve"> of</w:t>
      </w:r>
      <w:r>
        <w:rPr>
          <w:spacing w:val="4"/>
        </w:rPr>
        <w:t xml:space="preserve"> </w:t>
      </w:r>
      <w:r>
        <w:t xml:space="preserve">the </w:t>
      </w:r>
      <w:r>
        <w:rPr>
          <w:spacing w:val="-1"/>
        </w:rPr>
        <w:t>future.</w:t>
      </w:r>
    </w:p>
    <w:p w:rsidR="00D96B91" w:rsidRDefault="00C2656B">
      <w:pPr>
        <w:pStyle w:val="BodyText"/>
        <w:numPr>
          <w:ilvl w:val="0"/>
          <w:numId w:val="131"/>
        </w:numPr>
        <w:tabs>
          <w:tab w:val="left" w:pos="1531"/>
        </w:tabs>
        <w:spacing w:before="85" w:line="260" w:lineRule="exact"/>
        <w:ind w:right="1673" w:hanging="283"/>
      </w:pPr>
      <w:r>
        <w:rPr>
          <w:spacing w:val="-2"/>
        </w:rPr>
        <w:t>The</w:t>
      </w:r>
      <w:r>
        <w:t xml:space="preserve"> </w:t>
      </w:r>
      <w:r>
        <w:rPr>
          <w:spacing w:val="-1"/>
        </w:rPr>
        <w:t>average</w:t>
      </w:r>
      <w:r>
        <w:t xml:space="preserve"> </w:t>
      </w:r>
      <w:r>
        <w:rPr>
          <w:spacing w:val="-1"/>
        </w:rPr>
        <w:t>risk-free</w:t>
      </w:r>
      <w:r>
        <w:t xml:space="preserve"> </w:t>
      </w:r>
      <w:r>
        <w:rPr>
          <w:spacing w:val="-2"/>
        </w:rPr>
        <w:t>rate</w:t>
      </w:r>
      <w:r>
        <w:t xml:space="preserve"> and debt </w:t>
      </w:r>
      <w:r>
        <w:rPr>
          <w:spacing w:val="-1"/>
        </w:rPr>
        <w:t>margin</w:t>
      </w:r>
      <w:r>
        <w:t xml:space="preserve"> should be </w:t>
      </w:r>
      <w:r>
        <w:rPr>
          <w:spacing w:val="-1"/>
        </w:rPr>
        <w:t>calculated</w:t>
      </w:r>
      <w:r>
        <w:t xml:space="preserve"> over a long-term and use long-</w:t>
      </w:r>
      <w:r>
        <w:rPr>
          <w:spacing w:val="39"/>
        </w:rPr>
        <w:t xml:space="preserve"> </w:t>
      </w:r>
      <w:r>
        <w:t xml:space="preserve">term historical </w:t>
      </w:r>
      <w:r>
        <w:rPr>
          <w:spacing w:val="-3"/>
        </w:rPr>
        <w:t>MRPs</w:t>
      </w:r>
      <w:r>
        <w:t xml:space="preserve"> if</w:t>
      </w:r>
      <w:r>
        <w:rPr>
          <w:spacing w:val="4"/>
        </w:rPr>
        <w:t xml:space="preserve"> </w:t>
      </w:r>
      <w:r>
        <w:t xml:space="preserve">a </w:t>
      </w:r>
      <w:r>
        <w:rPr>
          <w:spacing w:val="-1"/>
        </w:rPr>
        <w:t>regulator</w:t>
      </w:r>
      <w:r>
        <w:t xml:space="preserve"> believes </w:t>
      </w:r>
      <w:r>
        <w:rPr>
          <w:spacing w:val="-1"/>
        </w:rPr>
        <w:t>that</w:t>
      </w:r>
      <w:r>
        <w:t xml:space="preserve"> the </w:t>
      </w:r>
      <w:r>
        <w:rPr>
          <w:spacing w:val="-1"/>
        </w:rPr>
        <w:t>market</w:t>
      </w:r>
      <w:r>
        <w:t xml:space="preserve"> will </w:t>
      </w:r>
      <w:r>
        <w:rPr>
          <w:spacing w:val="-2"/>
        </w:rPr>
        <w:t>revert</w:t>
      </w:r>
      <w:r>
        <w:t xml:space="preserve"> to a long-term </w:t>
      </w:r>
      <w:r>
        <w:rPr>
          <w:spacing w:val="-1"/>
        </w:rPr>
        <w:t>average.</w:t>
      </w:r>
      <w:r>
        <w:rPr>
          <w:spacing w:val="39"/>
        </w:rPr>
        <w:t xml:space="preserve"> </w:t>
      </w:r>
      <w:r>
        <w:rPr>
          <w:spacing w:val="-1"/>
        </w:rPr>
        <w:t>This</w:t>
      </w:r>
      <w:r>
        <w:t xml:space="preserve"> </w:t>
      </w:r>
      <w:r>
        <w:rPr>
          <w:spacing w:val="-1"/>
        </w:rPr>
        <w:t>approach</w:t>
      </w:r>
      <w:r>
        <w:t xml:space="preserve"> implies </w:t>
      </w:r>
      <w:r>
        <w:rPr>
          <w:spacing w:val="-1"/>
        </w:rPr>
        <w:t>that</w:t>
      </w:r>
      <w:r>
        <w:t xml:space="preserve"> in </w:t>
      </w:r>
      <w:r>
        <w:rPr>
          <w:spacing w:val="-1"/>
        </w:rPr>
        <w:t>estimating</w:t>
      </w:r>
      <w:r>
        <w:t xml:space="preserve"> the</w:t>
      </w:r>
      <w:r>
        <w:rPr>
          <w:spacing w:val="-3"/>
        </w:rPr>
        <w:t xml:space="preserve"> </w:t>
      </w:r>
      <w:r>
        <w:rPr>
          <w:spacing w:val="-2"/>
        </w:rPr>
        <w:t>WACC,</w:t>
      </w:r>
      <w:r>
        <w:rPr>
          <w:spacing w:val="-6"/>
        </w:rPr>
        <w:t xml:space="preserve"> </w:t>
      </w:r>
      <w:r>
        <w:t xml:space="preserve">long-term </w:t>
      </w:r>
      <w:r>
        <w:rPr>
          <w:spacing w:val="-1"/>
        </w:rPr>
        <w:t>averages</w:t>
      </w:r>
      <w:r>
        <w:t xml:space="preserve"> </w:t>
      </w:r>
      <w:r>
        <w:rPr>
          <w:spacing w:val="-2"/>
        </w:rPr>
        <w:t>are</w:t>
      </w:r>
      <w:r>
        <w:t xml:space="preserve"> </w:t>
      </w:r>
      <w:r>
        <w:rPr>
          <w:spacing w:val="-1"/>
        </w:rPr>
        <w:t>considered</w:t>
      </w:r>
      <w:r>
        <w:t xml:space="preserve"> the best</w:t>
      </w:r>
      <w:r>
        <w:rPr>
          <w:spacing w:val="55"/>
        </w:rPr>
        <w:t xml:space="preserve"> </w:t>
      </w:r>
      <w:r>
        <w:rPr>
          <w:spacing w:val="-1"/>
        </w:rPr>
        <w:t>predictor</w:t>
      </w:r>
      <w:r>
        <w:t xml:space="preserve"> of</w:t>
      </w:r>
      <w:r>
        <w:rPr>
          <w:spacing w:val="4"/>
        </w:rPr>
        <w:t xml:space="preserve"> </w:t>
      </w:r>
      <w:r>
        <w:t xml:space="preserve">the </w:t>
      </w:r>
      <w:r>
        <w:rPr>
          <w:spacing w:val="-1"/>
        </w:rPr>
        <w:t>future,</w:t>
      </w:r>
      <w:r>
        <w:rPr>
          <w:spacing w:val="-6"/>
        </w:rPr>
        <w:t xml:space="preserve"> </w:t>
      </w:r>
      <w:r>
        <w:t xml:space="preserve">and </w:t>
      </w:r>
      <w:r>
        <w:rPr>
          <w:spacing w:val="-1"/>
        </w:rPr>
        <w:t>that</w:t>
      </w:r>
      <w:r>
        <w:t xml:space="preserve"> any </w:t>
      </w:r>
      <w:r>
        <w:rPr>
          <w:spacing w:val="-1"/>
        </w:rPr>
        <w:t>discrepancy</w:t>
      </w:r>
      <w:r>
        <w:t xml:space="preserve"> between </w:t>
      </w:r>
      <w:r>
        <w:rPr>
          <w:spacing w:val="-1"/>
        </w:rPr>
        <w:t>short-term</w:t>
      </w:r>
      <w:r>
        <w:t xml:space="preserve"> and long-term </w:t>
      </w:r>
      <w:r>
        <w:rPr>
          <w:spacing w:val="-1"/>
        </w:rPr>
        <w:t>averages</w:t>
      </w:r>
      <w:r>
        <w:t xml:space="preserve"> is</w:t>
      </w:r>
      <w:r>
        <w:rPr>
          <w:spacing w:val="59"/>
        </w:rPr>
        <w:t xml:space="preserve"> </w:t>
      </w:r>
      <w:r>
        <w:rPr>
          <w:spacing w:val="-1"/>
        </w:rPr>
        <w:t>considered</w:t>
      </w:r>
      <w:r>
        <w:t xml:space="preserve"> </w:t>
      </w:r>
      <w:r>
        <w:rPr>
          <w:spacing w:val="-2"/>
        </w:rPr>
        <w:t>temporary.</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rFonts w:cs="Avenir Next"/>
        </w:rPr>
        <w:t xml:space="preserve">Given the </w:t>
      </w:r>
      <w:r>
        <w:rPr>
          <w:rFonts w:cs="Avenir Next"/>
          <w:spacing w:val="-4"/>
        </w:rPr>
        <w:t>Panel’s</w:t>
      </w:r>
      <w:r>
        <w:rPr>
          <w:rFonts w:cs="Avenir Next"/>
        </w:rPr>
        <w:t xml:space="preserve"> decision to </w:t>
      </w:r>
      <w:r>
        <w:rPr>
          <w:rFonts w:cs="Avenir Next"/>
          <w:spacing w:val="-1"/>
        </w:rPr>
        <w:t>estimate</w:t>
      </w:r>
      <w:r>
        <w:rPr>
          <w:rFonts w:cs="Avenir Next"/>
        </w:rPr>
        <w:t xml:space="preserve"> </w:t>
      </w:r>
      <w:r>
        <w:rPr>
          <w:rFonts w:cs="Avenir Next"/>
          <w:spacing w:val="-1"/>
        </w:rPr>
        <w:t>market</w:t>
      </w:r>
      <w:r>
        <w:rPr>
          <w:rFonts w:cs="Avenir Next"/>
        </w:rPr>
        <w:t xml:space="preserve"> based </w:t>
      </w:r>
      <w:r>
        <w:rPr>
          <w:rFonts w:cs="Avenir Next"/>
          <w:spacing w:val="-1"/>
        </w:rPr>
        <w:t>parameters</w:t>
      </w:r>
      <w:r>
        <w:rPr>
          <w:rFonts w:cs="Avenir Next"/>
        </w:rPr>
        <w:t xml:space="preserve"> using </w:t>
      </w:r>
      <w:r>
        <w:rPr>
          <w:rFonts w:cs="Avenir Next"/>
          <w:spacing w:val="-1"/>
        </w:rPr>
        <w:t>prevailing</w:t>
      </w:r>
      <w:r>
        <w:rPr>
          <w:rFonts w:cs="Avenir Next"/>
        </w:rPr>
        <w:t xml:space="preserve"> </w:t>
      </w:r>
      <w:r>
        <w:rPr>
          <w:rFonts w:cs="Avenir Next"/>
          <w:spacing w:val="-1"/>
        </w:rPr>
        <w:t>rates,</w:t>
      </w:r>
      <w:r>
        <w:rPr>
          <w:rFonts w:cs="Avenir Next"/>
          <w:spacing w:val="-7"/>
        </w:rPr>
        <w:t xml:space="preserve"> </w:t>
      </w:r>
      <w:r>
        <w:rPr>
          <w:rFonts w:cs="Avenir Next"/>
        </w:rPr>
        <w:t>its decision to</w:t>
      </w:r>
      <w:r>
        <w:rPr>
          <w:rFonts w:cs="Avenir Next"/>
          <w:spacing w:val="55"/>
        </w:rPr>
        <w:t xml:space="preserve"> </w:t>
      </w:r>
      <w:r>
        <w:t>use an implied MRP can be seen as being internally consistent.</w:t>
      </w:r>
    </w:p>
    <w:p w:rsidR="00D96B91" w:rsidRDefault="00C2656B">
      <w:pPr>
        <w:pStyle w:val="BodyText"/>
        <w:spacing w:before="170" w:line="260" w:lineRule="exact"/>
        <w:ind w:right="1246"/>
      </w:pPr>
      <w:r>
        <w:rPr>
          <w:spacing w:val="-10"/>
        </w:rPr>
        <w:t>To</w:t>
      </w:r>
      <w:r>
        <w:rPr>
          <w:spacing w:val="-1"/>
        </w:rPr>
        <w:t xml:space="preserve"> calculate </w:t>
      </w:r>
      <w:r>
        <w:t>the</w:t>
      </w:r>
      <w:r>
        <w:rPr>
          <w:spacing w:val="-1"/>
        </w:rPr>
        <w:t xml:space="preserve"> </w:t>
      </w:r>
      <w:r>
        <w:t>implied</w:t>
      </w:r>
      <w:r>
        <w:rPr>
          <w:spacing w:val="-1"/>
        </w:rPr>
        <w:t xml:space="preserve"> </w:t>
      </w:r>
      <w:r>
        <w:t>MRP</w:t>
      </w:r>
      <w:r>
        <w:rPr>
          <w:spacing w:val="-1"/>
        </w:rPr>
        <w:t xml:space="preserve"> </w:t>
      </w:r>
      <w:r>
        <w:t>as</w:t>
      </w:r>
      <w:r>
        <w:rPr>
          <w:spacing w:val="-1"/>
        </w:rPr>
        <w:t xml:space="preserve"> at </w:t>
      </w:r>
      <w:r>
        <w:t>31</w:t>
      </w:r>
      <w:r>
        <w:rPr>
          <w:spacing w:val="-1"/>
        </w:rPr>
        <w:t xml:space="preserve"> </w:t>
      </w:r>
      <w:r>
        <w:t>May</w:t>
      </w:r>
      <w:r>
        <w:rPr>
          <w:spacing w:val="-1"/>
        </w:rPr>
        <w:t xml:space="preserve"> </w:t>
      </w:r>
      <w:r>
        <w:t>2013,</w:t>
      </w:r>
      <w:r>
        <w:rPr>
          <w:spacing w:val="-7"/>
        </w:rPr>
        <w:t xml:space="preserve"> </w:t>
      </w:r>
      <w:r>
        <w:t>the</w:t>
      </w:r>
      <w:r>
        <w:rPr>
          <w:spacing w:val="-1"/>
        </w:rPr>
        <w:t xml:space="preserve"> </w:t>
      </w:r>
      <w:r>
        <w:rPr>
          <w:spacing w:val="-3"/>
        </w:rPr>
        <w:t>Panel</w:t>
      </w:r>
      <w:r>
        <w:rPr>
          <w:spacing w:val="-1"/>
        </w:rPr>
        <w:t xml:space="preserve"> </w:t>
      </w:r>
      <w:r>
        <w:t>has</w:t>
      </w:r>
      <w:r>
        <w:rPr>
          <w:spacing w:val="-1"/>
        </w:rPr>
        <w:t xml:space="preserve"> taken </w:t>
      </w:r>
      <w:r>
        <w:t>the</w:t>
      </w:r>
      <w:r>
        <w:rPr>
          <w:spacing w:val="-1"/>
        </w:rPr>
        <w:t xml:space="preserve"> </w:t>
      </w:r>
      <w:r>
        <w:t>40-day</w:t>
      </w:r>
      <w:r>
        <w:rPr>
          <w:spacing w:val="-1"/>
        </w:rPr>
        <w:t xml:space="preserve"> average </w:t>
      </w:r>
      <w:r>
        <w:t>of</w:t>
      </w:r>
      <w:r>
        <w:rPr>
          <w:spacing w:val="4"/>
        </w:rPr>
        <w:t xml:space="preserve"> </w:t>
      </w:r>
      <w:r>
        <w:rPr>
          <w:spacing w:val="-2"/>
        </w:rPr>
        <w:t>Bloomberg’s</w:t>
      </w:r>
      <w:r>
        <w:rPr>
          <w:spacing w:val="47"/>
        </w:rPr>
        <w:t xml:space="preserve"> </w:t>
      </w:r>
      <w:r>
        <w:t xml:space="preserve">daily implied MRP </w:t>
      </w:r>
      <w:r>
        <w:rPr>
          <w:spacing w:val="-1"/>
        </w:rPr>
        <w:t>estimates.</w:t>
      </w:r>
      <w:r>
        <w:rPr>
          <w:spacing w:val="-6"/>
        </w:rPr>
        <w:t xml:space="preserve"> </w:t>
      </w:r>
      <w:r>
        <w:t xml:space="preserve">Using this </w:t>
      </w:r>
      <w:r>
        <w:rPr>
          <w:spacing w:val="-1"/>
        </w:rPr>
        <w:t>methodology,</w:t>
      </w:r>
      <w:r>
        <w:rPr>
          <w:spacing w:val="-6"/>
        </w:rPr>
        <w:t xml:space="preserve"> </w:t>
      </w:r>
      <w:r>
        <w:t xml:space="preserve">the </w:t>
      </w:r>
      <w:r>
        <w:rPr>
          <w:spacing w:val="-3"/>
        </w:rPr>
        <w:t>Panel</w:t>
      </w:r>
      <w:r>
        <w:t xml:space="preserve"> has </w:t>
      </w:r>
      <w:r>
        <w:rPr>
          <w:spacing w:val="-1"/>
        </w:rPr>
        <w:t>estimated</w:t>
      </w:r>
      <w:r>
        <w:t xml:space="preserve"> </w:t>
      </w:r>
      <w:r>
        <w:rPr>
          <w:spacing w:val="-1"/>
        </w:rPr>
        <w:t>that</w:t>
      </w:r>
      <w:r>
        <w:t xml:space="preserve"> the MRP as </w:t>
      </w:r>
      <w:r>
        <w:rPr>
          <w:spacing w:val="-1"/>
        </w:rPr>
        <w:t>at</w:t>
      </w:r>
      <w:r>
        <w:t xml:space="preserve"> 31</w:t>
      </w:r>
    </w:p>
    <w:p w:rsidR="00D96B91" w:rsidRDefault="00C2656B">
      <w:pPr>
        <w:pStyle w:val="BodyText"/>
        <w:spacing w:before="8"/>
      </w:pPr>
      <w:r>
        <w:t>May 2013 was 7.23%.</w:t>
      </w:r>
    </w:p>
    <w:p w:rsidR="00D96B91" w:rsidRDefault="00D96B91">
      <w:pPr>
        <w:spacing w:before="13"/>
        <w:rPr>
          <w:rFonts w:ascii="Avenir Next" w:eastAsia="Avenir Next" w:hAnsi="Avenir Next" w:cs="Avenir Next"/>
          <w:sz w:val="18"/>
          <w:szCs w:val="18"/>
        </w:rPr>
      </w:pPr>
    </w:p>
    <w:p w:rsidR="00D96B91" w:rsidRDefault="00C2656B">
      <w:pPr>
        <w:pStyle w:val="Heading6"/>
        <w:ind w:left="1247" w:firstLine="0"/>
      </w:pPr>
      <w:r>
        <w:rPr>
          <w:color w:val="0778BE"/>
        </w:rPr>
        <w:t xml:space="preserve">A8.2.2 </w:t>
      </w:r>
      <w:r>
        <w:rPr>
          <w:color w:val="0778BE"/>
          <w:spacing w:val="6"/>
        </w:rPr>
        <w:t xml:space="preserve"> </w:t>
      </w:r>
      <w:r>
        <w:rPr>
          <w:color w:val="0778BE"/>
        </w:rPr>
        <w:t>Equity beta</w:t>
      </w:r>
    </w:p>
    <w:p w:rsidR="00D96B91" w:rsidRDefault="00C2656B">
      <w:pPr>
        <w:pStyle w:val="BodyText"/>
        <w:spacing w:before="21" w:line="260" w:lineRule="exact"/>
        <w:ind w:right="1376"/>
      </w:pPr>
      <w:r>
        <w:t>Another fundamental determinant of</w:t>
      </w:r>
      <w:r>
        <w:rPr>
          <w:spacing w:val="4"/>
        </w:rPr>
        <w:t xml:space="preserve"> </w:t>
      </w:r>
      <w:r>
        <w:t>the cost of</w:t>
      </w:r>
      <w:r>
        <w:rPr>
          <w:spacing w:val="4"/>
        </w:rPr>
        <w:t xml:space="preserve"> </w:t>
      </w:r>
      <w:r>
        <w:t>equity is the equity beta.</w:t>
      </w:r>
      <w:r>
        <w:rPr>
          <w:spacing w:val="-11"/>
        </w:rPr>
        <w:t xml:space="preserve"> </w:t>
      </w:r>
      <w:r>
        <w:rPr>
          <w:spacing w:val="-2"/>
        </w:rPr>
        <w:t>The</w:t>
      </w:r>
      <w:r>
        <w:t xml:space="preserve"> equity beta </w:t>
      </w:r>
      <w:r>
        <w:rPr>
          <w:spacing w:val="-1"/>
        </w:rPr>
        <w:t>measures</w:t>
      </w:r>
      <w:r>
        <w:rPr>
          <w:spacing w:val="25"/>
        </w:rPr>
        <w:t xml:space="preserve"> </w:t>
      </w:r>
      <w:r>
        <w:t xml:space="preserve">the </w:t>
      </w:r>
      <w:r>
        <w:rPr>
          <w:spacing w:val="-1"/>
        </w:rPr>
        <w:t>extent</w:t>
      </w:r>
      <w:r>
        <w:t xml:space="preserve"> to which the </w:t>
      </w:r>
      <w:r>
        <w:rPr>
          <w:spacing w:val="-1"/>
        </w:rPr>
        <w:t>returns</w:t>
      </w:r>
      <w:r>
        <w:t xml:space="preserve"> of</w:t>
      </w:r>
      <w:r>
        <w:rPr>
          <w:spacing w:val="4"/>
        </w:rPr>
        <w:t xml:space="preserve"> </w:t>
      </w:r>
      <w:r>
        <w:t xml:space="preserve">a stock vary in line with the </w:t>
      </w:r>
      <w:r>
        <w:rPr>
          <w:spacing w:val="-1"/>
        </w:rPr>
        <w:t>overall</w:t>
      </w:r>
      <w:r>
        <w:t xml:space="preserve"> </w:t>
      </w:r>
      <w:r>
        <w:rPr>
          <w:spacing w:val="-1"/>
        </w:rPr>
        <w:t>returns</w:t>
      </w:r>
      <w:r>
        <w:t xml:space="preserve"> of</w:t>
      </w:r>
      <w:r>
        <w:rPr>
          <w:spacing w:val="4"/>
        </w:rPr>
        <w:t xml:space="preserve"> </w:t>
      </w:r>
      <w:r>
        <w:t xml:space="preserve">the </w:t>
      </w:r>
      <w:r>
        <w:rPr>
          <w:spacing w:val="-1"/>
        </w:rPr>
        <w:t>market.</w:t>
      </w:r>
      <w:r>
        <w:rPr>
          <w:spacing w:val="-6"/>
        </w:rPr>
        <w:t xml:space="preserve"> </w:t>
      </w:r>
      <w:r>
        <w:t xml:space="preserve">It </w:t>
      </w:r>
      <w:r>
        <w:rPr>
          <w:spacing w:val="-1"/>
        </w:rPr>
        <w:t>therefore</w:t>
      </w:r>
      <w:r>
        <w:rPr>
          <w:spacing w:val="37"/>
        </w:rPr>
        <w:t xml:space="preserve"> </w:t>
      </w:r>
      <w:r>
        <w:rPr>
          <w:spacing w:val="-1"/>
        </w:rPr>
        <w:t>represents</w:t>
      </w:r>
      <w:r>
        <w:t xml:space="preserve"> the </w:t>
      </w:r>
      <w:r>
        <w:rPr>
          <w:spacing w:val="-1"/>
        </w:rPr>
        <w:t>systematic</w:t>
      </w:r>
      <w:r>
        <w:t xml:space="preserve"> or </w:t>
      </w:r>
      <w:r>
        <w:rPr>
          <w:spacing w:val="-1"/>
        </w:rPr>
        <w:t>market-related</w:t>
      </w:r>
      <w:r>
        <w:t xml:space="preserve"> risk of</w:t>
      </w:r>
      <w:r>
        <w:rPr>
          <w:spacing w:val="4"/>
        </w:rPr>
        <w:t xml:space="preserve"> </w:t>
      </w:r>
      <w:r>
        <w:t xml:space="preserve">a security </w:t>
      </w:r>
      <w:r>
        <w:rPr>
          <w:spacing w:val="-1"/>
        </w:rPr>
        <w:t>that</w:t>
      </w:r>
      <w:r>
        <w:t xml:space="preserve"> cannot be avoided by holding it as</w:t>
      </w:r>
      <w:r>
        <w:rPr>
          <w:spacing w:val="31"/>
        </w:rPr>
        <w:t xml:space="preserve"> </w:t>
      </w:r>
      <w:r>
        <w:rPr>
          <w:spacing w:val="-1"/>
        </w:rPr>
        <w:t>part</w:t>
      </w:r>
      <w:r>
        <w:rPr>
          <w:spacing w:val="-3"/>
        </w:rPr>
        <w:t xml:space="preserve"> </w:t>
      </w:r>
      <w:r>
        <w:t>of</w:t>
      </w:r>
      <w:r>
        <w:rPr>
          <w:spacing w:val="1"/>
        </w:rPr>
        <w:t xml:space="preserve"> </w:t>
      </w:r>
      <w:r>
        <w:t>a</w:t>
      </w:r>
      <w:r>
        <w:rPr>
          <w:spacing w:val="-3"/>
        </w:rPr>
        <w:t xml:space="preserve"> </w:t>
      </w:r>
      <w:r>
        <w:t>diversified</w:t>
      </w:r>
      <w:r>
        <w:rPr>
          <w:spacing w:val="-3"/>
        </w:rPr>
        <w:t xml:space="preserve"> </w:t>
      </w:r>
      <w:r>
        <w:rPr>
          <w:spacing w:val="-1"/>
        </w:rPr>
        <w:t>portfolio.</w:t>
      </w:r>
      <w:r>
        <w:rPr>
          <w:spacing w:val="-8"/>
        </w:rPr>
        <w:t xml:space="preserve"> </w:t>
      </w:r>
      <w:r>
        <w:t>In</w:t>
      </w:r>
      <w:r>
        <w:rPr>
          <w:spacing w:val="-3"/>
        </w:rPr>
        <w:t xml:space="preserve"> </w:t>
      </w:r>
      <w:r>
        <w:t>other</w:t>
      </w:r>
      <w:r>
        <w:rPr>
          <w:spacing w:val="-3"/>
        </w:rPr>
        <w:t xml:space="preserve"> </w:t>
      </w:r>
      <w:r>
        <w:rPr>
          <w:spacing w:val="-1"/>
        </w:rPr>
        <w:t>words,</w:t>
      </w:r>
      <w:r>
        <w:rPr>
          <w:spacing w:val="-8"/>
        </w:rPr>
        <w:t xml:space="preserve"> </w:t>
      </w:r>
      <w:r>
        <w:t>it</w:t>
      </w:r>
      <w:r>
        <w:rPr>
          <w:spacing w:val="-3"/>
        </w:rPr>
        <w:t xml:space="preserve"> </w:t>
      </w:r>
      <w:r>
        <w:t>does</w:t>
      </w:r>
      <w:r>
        <w:rPr>
          <w:spacing w:val="-3"/>
        </w:rPr>
        <w:t xml:space="preserve"> </w:t>
      </w:r>
      <w:r>
        <w:rPr>
          <w:i/>
        </w:rPr>
        <w:t>not</w:t>
      </w:r>
      <w:r>
        <w:rPr>
          <w:i/>
          <w:spacing w:val="-2"/>
        </w:rPr>
        <w:t xml:space="preserve"> </w:t>
      </w:r>
      <w:r>
        <w:rPr>
          <w:spacing w:val="-1"/>
        </w:rPr>
        <w:t>reflect</w:t>
      </w:r>
      <w:r>
        <w:rPr>
          <w:spacing w:val="-3"/>
        </w:rPr>
        <w:t xml:space="preserve"> </w:t>
      </w:r>
      <w:r>
        <w:t>any</w:t>
      </w:r>
      <w:r>
        <w:rPr>
          <w:spacing w:val="-3"/>
        </w:rPr>
        <w:t xml:space="preserve"> </w:t>
      </w:r>
      <w:r>
        <w:t>firm-specific</w:t>
      </w:r>
      <w:r>
        <w:rPr>
          <w:spacing w:val="-3"/>
        </w:rPr>
        <w:t xml:space="preserve"> </w:t>
      </w:r>
      <w:r>
        <w:t>or</w:t>
      </w:r>
      <w:r>
        <w:rPr>
          <w:spacing w:val="-2"/>
        </w:rPr>
        <w:t xml:space="preserve"> </w:t>
      </w:r>
      <w:r>
        <w:t>non-diversifiable</w:t>
      </w:r>
      <w:r>
        <w:rPr>
          <w:spacing w:val="21"/>
          <w:w w:val="99"/>
        </w:rPr>
        <w:t xml:space="preserve"> </w:t>
      </w:r>
      <w:r>
        <w:rPr>
          <w:spacing w:val="-1"/>
        </w:rPr>
        <w:t>risks.</w:t>
      </w:r>
    </w:p>
    <w:p w:rsidR="00D96B91" w:rsidRDefault="00C2656B">
      <w:pPr>
        <w:pStyle w:val="BodyText"/>
        <w:spacing w:before="170" w:line="260" w:lineRule="exact"/>
        <w:ind w:right="1283"/>
      </w:pPr>
      <w:r>
        <w:t xml:space="preserve">An equity beta </w:t>
      </w:r>
      <w:r>
        <w:rPr>
          <w:spacing w:val="-2"/>
        </w:rPr>
        <w:t>greater</w:t>
      </w:r>
      <w:r>
        <w:t xml:space="preserve"> than one is </w:t>
      </w:r>
      <w:r>
        <w:rPr>
          <w:spacing w:val="-1"/>
        </w:rPr>
        <w:t>indicative</w:t>
      </w:r>
      <w:r>
        <w:t xml:space="preserve"> of</w:t>
      </w:r>
      <w:r>
        <w:rPr>
          <w:spacing w:val="4"/>
        </w:rPr>
        <w:t xml:space="preserve"> </w:t>
      </w:r>
      <w:r>
        <w:t xml:space="preserve">an entity </w:t>
      </w:r>
      <w:r>
        <w:rPr>
          <w:spacing w:val="-1"/>
        </w:rPr>
        <w:t>that</w:t>
      </w:r>
      <w:r>
        <w:t xml:space="preserve"> has </w:t>
      </w:r>
      <w:r>
        <w:rPr>
          <w:spacing w:val="-1"/>
        </w:rPr>
        <w:t>returns</w:t>
      </w:r>
      <w:r>
        <w:t xml:space="preserve"> </w:t>
      </w:r>
      <w:r>
        <w:rPr>
          <w:spacing w:val="-1"/>
        </w:rPr>
        <w:t>that</w:t>
      </w:r>
      <w:r>
        <w:t xml:space="preserve"> </w:t>
      </w:r>
      <w:r>
        <w:rPr>
          <w:spacing w:val="-2"/>
        </w:rPr>
        <w:t>are</w:t>
      </w:r>
      <w:r>
        <w:t xml:space="preserve"> </w:t>
      </w:r>
      <w:r>
        <w:rPr>
          <w:spacing w:val="-1"/>
        </w:rPr>
        <w:t>expected</w:t>
      </w:r>
      <w:r>
        <w:t xml:space="preserve"> to be </w:t>
      </w:r>
      <w:r>
        <w:rPr>
          <w:spacing w:val="-1"/>
        </w:rPr>
        <w:t>more</w:t>
      </w:r>
      <w:r>
        <w:rPr>
          <w:spacing w:val="53"/>
        </w:rPr>
        <w:t xml:space="preserve"> </w:t>
      </w:r>
      <w:r>
        <w:t>sensitive</w:t>
      </w:r>
      <w:r>
        <w:rPr>
          <w:spacing w:val="-2"/>
        </w:rPr>
        <w:t xml:space="preserve"> </w:t>
      </w:r>
      <w:r>
        <w:t>to</w:t>
      </w:r>
      <w:r>
        <w:rPr>
          <w:spacing w:val="-1"/>
        </w:rPr>
        <w:t xml:space="preserve"> systematic </w:t>
      </w:r>
      <w:r>
        <w:t>influences</w:t>
      </w:r>
      <w:r>
        <w:rPr>
          <w:spacing w:val="-2"/>
        </w:rPr>
        <w:t xml:space="preserve"> </w:t>
      </w:r>
      <w:r>
        <w:t>than</w:t>
      </w:r>
      <w:r>
        <w:rPr>
          <w:spacing w:val="-1"/>
        </w:rPr>
        <w:t xml:space="preserve"> </w:t>
      </w:r>
      <w:r>
        <w:t>the</w:t>
      </w:r>
      <w:r>
        <w:rPr>
          <w:spacing w:val="-1"/>
        </w:rPr>
        <w:t xml:space="preserve"> market average</w:t>
      </w:r>
      <w:r>
        <w:rPr>
          <w:spacing w:val="-2"/>
        </w:rPr>
        <w:t xml:space="preserve"> </w:t>
      </w:r>
      <w:r>
        <w:t>(which</w:t>
      </w:r>
      <w:r>
        <w:rPr>
          <w:spacing w:val="-1"/>
        </w:rPr>
        <w:t xml:space="preserve"> </w:t>
      </w:r>
      <w:r>
        <w:t>by</w:t>
      </w:r>
      <w:r>
        <w:rPr>
          <w:spacing w:val="-1"/>
        </w:rPr>
        <w:t xml:space="preserve"> </w:t>
      </w:r>
      <w:r>
        <w:t>definition</w:t>
      </w:r>
      <w:r>
        <w:rPr>
          <w:spacing w:val="-2"/>
        </w:rPr>
        <w:t xml:space="preserve"> </w:t>
      </w:r>
      <w:r>
        <w:t>has</w:t>
      </w:r>
      <w:r>
        <w:rPr>
          <w:spacing w:val="-1"/>
        </w:rPr>
        <w:t xml:space="preserve"> </w:t>
      </w:r>
      <w:r>
        <w:t>an</w:t>
      </w:r>
      <w:r>
        <w:rPr>
          <w:spacing w:val="-1"/>
        </w:rPr>
        <w:t xml:space="preserve"> </w:t>
      </w:r>
      <w:r>
        <w:t>equity</w:t>
      </w:r>
      <w:r>
        <w:rPr>
          <w:spacing w:val="-1"/>
        </w:rPr>
        <w:t xml:space="preserve"> </w:t>
      </w:r>
      <w:r>
        <w:t>beta</w:t>
      </w:r>
    </w:p>
    <w:p w:rsidR="00D96B91" w:rsidRDefault="00C2656B">
      <w:pPr>
        <w:pStyle w:val="BodyText"/>
        <w:spacing w:line="260" w:lineRule="exact"/>
        <w:ind w:right="1283"/>
      </w:pPr>
      <w:r>
        <w:t>of</w:t>
      </w:r>
      <w:r>
        <w:rPr>
          <w:spacing w:val="4"/>
        </w:rPr>
        <w:t xml:space="preserve"> </w:t>
      </w:r>
      <w:r>
        <w:t>one).</w:t>
      </w:r>
      <w:r>
        <w:rPr>
          <w:spacing w:val="-6"/>
        </w:rPr>
        <w:t xml:space="preserve"> </w:t>
      </w:r>
      <w:r>
        <w:rPr>
          <w:spacing w:val="-1"/>
        </w:rPr>
        <w:t>Conversely,</w:t>
      </w:r>
      <w:r>
        <w:rPr>
          <w:spacing w:val="-6"/>
        </w:rPr>
        <w:t xml:space="preserve"> </w:t>
      </w:r>
      <w:r>
        <w:t xml:space="preserve">an equity beta less than one is </w:t>
      </w:r>
      <w:r>
        <w:rPr>
          <w:spacing w:val="-1"/>
        </w:rPr>
        <w:t>indicative</w:t>
      </w:r>
      <w:r>
        <w:t xml:space="preserve"> of</w:t>
      </w:r>
      <w:r>
        <w:rPr>
          <w:spacing w:val="4"/>
        </w:rPr>
        <w:t xml:space="preserve"> </w:t>
      </w:r>
      <w:r>
        <w:t xml:space="preserve">an entity </w:t>
      </w:r>
      <w:r>
        <w:rPr>
          <w:spacing w:val="-1"/>
        </w:rPr>
        <w:t>that</w:t>
      </w:r>
      <w:r>
        <w:t xml:space="preserve"> has </w:t>
      </w:r>
      <w:r>
        <w:rPr>
          <w:spacing w:val="-1"/>
        </w:rPr>
        <w:t>returns</w:t>
      </w:r>
      <w:r>
        <w:t xml:space="preserve"> which </w:t>
      </w:r>
      <w:r>
        <w:rPr>
          <w:spacing w:val="-2"/>
        </w:rPr>
        <w:t>are</w:t>
      </w:r>
      <w:r>
        <w:rPr>
          <w:spacing w:val="29"/>
        </w:rPr>
        <w:t xml:space="preserve"> </w:t>
      </w:r>
      <w:r>
        <w:rPr>
          <w:spacing w:val="-1"/>
        </w:rPr>
        <w:t>expected</w:t>
      </w:r>
      <w:r>
        <w:t xml:space="preserve"> to be less sensitive than the </w:t>
      </w:r>
      <w:r>
        <w:rPr>
          <w:spacing w:val="-1"/>
        </w:rPr>
        <w:t>market</w:t>
      </w:r>
      <w:r>
        <w:t xml:space="preserve"> </w:t>
      </w:r>
      <w:r>
        <w:rPr>
          <w:spacing w:val="-1"/>
        </w:rPr>
        <w:t>average.</w:t>
      </w:r>
    </w:p>
    <w:p w:rsidR="00D96B91" w:rsidRDefault="00C2656B">
      <w:pPr>
        <w:pStyle w:val="BodyText"/>
        <w:spacing w:before="170" w:line="260" w:lineRule="exact"/>
        <w:ind w:right="1548"/>
        <w:rPr>
          <w:rFonts w:cs="Avenir Next"/>
        </w:rPr>
      </w:pPr>
      <w:r>
        <w:rPr>
          <w:spacing w:val="-10"/>
        </w:rPr>
        <w:t>To</w:t>
      </w:r>
      <w:r>
        <w:t xml:space="preserve"> determine </w:t>
      </w:r>
      <w:r>
        <w:rPr>
          <w:spacing w:val="-1"/>
        </w:rPr>
        <w:t>what</w:t>
      </w:r>
      <w:r>
        <w:t xml:space="preserve"> equity beta to apply in this case,</w:t>
      </w:r>
      <w:r>
        <w:rPr>
          <w:spacing w:val="-7"/>
        </w:rPr>
        <w:t xml:space="preserve"> </w:t>
      </w:r>
      <w:r>
        <w:t xml:space="preserve">the </w:t>
      </w:r>
      <w:r>
        <w:rPr>
          <w:spacing w:val="-3"/>
        </w:rPr>
        <w:t>Panel</w:t>
      </w:r>
      <w:r>
        <w:t xml:space="preserve"> has had </w:t>
      </w:r>
      <w:r>
        <w:rPr>
          <w:spacing w:val="-2"/>
        </w:rPr>
        <w:t>regard</w:t>
      </w:r>
      <w:r>
        <w:t xml:space="preserve"> to a </w:t>
      </w:r>
      <w:r>
        <w:rPr>
          <w:spacing w:val="-1"/>
        </w:rPr>
        <w:t>range</w:t>
      </w:r>
      <w:r>
        <w:t xml:space="preserve"> of</w:t>
      </w:r>
      <w:r>
        <w:rPr>
          <w:spacing w:val="4"/>
        </w:rPr>
        <w:t xml:space="preserve"> </w:t>
      </w:r>
      <w:r>
        <w:rPr>
          <w:spacing w:val="-1"/>
        </w:rPr>
        <w:t>matters,</w:t>
      </w:r>
      <w:r>
        <w:rPr>
          <w:spacing w:val="25"/>
        </w:rPr>
        <w:t xml:space="preserve"> </w:t>
      </w:r>
      <w:r>
        <w:t>including:</w:t>
      </w:r>
    </w:p>
    <w:p w:rsidR="00D96B91" w:rsidRDefault="00C2656B">
      <w:pPr>
        <w:pStyle w:val="BodyText"/>
        <w:numPr>
          <w:ilvl w:val="0"/>
          <w:numId w:val="131"/>
        </w:numPr>
        <w:tabs>
          <w:tab w:val="left" w:pos="1531"/>
        </w:tabs>
        <w:spacing w:before="170" w:line="260" w:lineRule="exact"/>
        <w:ind w:right="1341" w:hanging="283"/>
      </w:pPr>
      <w:r>
        <w:t xml:space="preserve">An empirical </w:t>
      </w:r>
      <w:r>
        <w:rPr>
          <w:spacing w:val="-1"/>
        </w:rPr>
        <w:t>estimate</w:t>
      </w:r>
      <w:r>
        <w:t xml:space="preserve"> of</w:t>
      </w:r>
      <w:r>
        <w:rPr>
          <w:spacing w:val="4"/>
        </w:rPr>
        <w:t xml:space="preserve"> </w:t>
      </w:r>
      <w:r>
        <w:t xml:space="preserve">the equity beta </w:t>
      </w:r>
      <w:r>
        <w:rPr>
          <w:spacing w:val="-1"/>
        </w:rPr>
        <w:t>that</w:t>
      </w:r>
      <w:r>
        <w:t xml:space="preserve"> a typical </w:t>
      </w:r>
      <w:r>
        <w:rPr>
          <w:spacing w:val="-1"/>
        </w:rPr>
        <w:t>water</w:t>
      </w:r>
      <w:r>
        <w:t xml:space="preserve"> business would </w:t>
      </w:r>
      <w:r>
        <w:rPr>
          <w:spacing w:val="-1"/>
        </w:rPr>
        <w:t>exhibit,</w:t>
      </w:r>
      <w:r>
        <w:rPr>
          <w:spacing w:val="-6"/>
        </w:rPr>
        <w:t xml:space="preserve"> </w:t>
      </w:r>
      <w:r>
        <w:t xml:space="preserve">which the </w:t>
      </w:r>
      <w:r>
        <w:rPr>
          <w:spacing w:val="-3"/>
        </w:rPr>
        <w:t>Panel</w:t>
      </w:r>
      <w:r>
        <w:rPr>
          <w:spacing w:val="37"/>
        </w:rPr>
        <w:t xml:space="preserve"> </w:t>
      </w:r>
      <w:r>
        <w:t xml:space="preserve">has </w:t>
      </w:r>
      <w:r>
        <w:rPr>
          <w:spacing w:val="-1"/>
        </w:rPr>
        <w:t>estimated</w:t>
      </w:r>
      <w:r>
        <w:t xml:space="preserve"> using </w:t>
      </w:r>
      <w:r>
        <w:rPr>
          <w:spacing w:val="-1"/>
        </w:rPr>
        <w:t>market</w:t>
      </w:r>
      <w:r>
        <w:t xml:space="preserve"> </w:t>
      </w:r>
      <w:r>
        <w:rPr>
          <w:spacing w:val="-1"/>
        </w:rPr>
        <w:t>data</w:t>
      </w:r>
      <w:r>
        <w:t xml:space="preserve"> </w:t>
      </w:r>
      <w:r>
        <w:rPr>
          <w:spacing w:val="-1"/>
        </w:rPr>
        <w:t>from</w:t>
      </w:r>
      <w:r>
        <w:t xml:space="preserve"> 16 listed </w:t>
      </w:r>
      <w:r>
        <w:rPr>
          <w:spacing w:val="-1"/>
        </w:rPr>
        <w:t>international</w:t>
      </w:r>
      <w:r>
        <w:t xml:space="preserve"> </w:t>
      </w:r>
      <w:r>
        <w:rPr>
          <w:spacing w:val="-1"/>
        </w:rPr>
        <w:t>water</w:t>
      </w:r>
      <w:r>
        <w:t xml:space="preserve"> utility companies in the UK</w:t>
      </w:r>
      <w:r>
        <w:rPr>
          <w:spacing w:val="-3"/>
        </w:rPr>
        <w:t xml:space="preserve"> </w:t>
      </w:r>
      <w:r>
        <w:t>and</w:t>
      </w:r>
      <w:r>
        <w:rPr>
          <w:spacing w:val="51"/>
        </w:rPr>
        <w:t xml:space="preserve"> </w:t>
      </w:r>
      <w:r>
        <w:t>the US.</w:t>
      </w:r>
      <w:r>
        <w:rPr>
          <w:spacing w:val="-11"/>
        </w:rPr>
        <w:t xml:space="preserve"> </w:t>
      </w:r>
      <w:r>
        <w:rPr>
          <w:spacing w:val="-2"/>
        </w:rPr>
        <w:t>The</w:t>
      </w:r>
      <w:r>
        <w:t xml:space="preserve"> manner in which the </w:t>
      </w:r>
      <w:r>
        <w:rPr>
          <w:spacing w:val="-3"/>
        </w:rPr>
        <w:t>Panel</w:t>
      </w:r>
      <w:r>
        <w:t xml:space="preserve"> has carried out this empirical analysis and the </w:t>
      </w:r>
      <w:r>
        <w:rPr>
          <w:spacing w:val="-1"/>
        </w:rPr>
        <w:t>data</w:t>
      </w:r>
      <w:r>
        <w:t xml:space="preserve"> </w:t>
      </w:r>
      <w:r>
        <w:rPr>
          <w:spacing w:val="-1"/>
        </w:rPr>
        <w:t>that</w:t>
      </w:r>
      <w:r>
        <w:t xml:space="preserve"> it</w:t>
      </w:r>
    </w:p>
    <w:p w:rsidR="00D96B91" w:rsidRDefault="00C2656B">
      <w:pPr>
        <w:pStyle w:val="BodyText"/>
        <w:spacing w:line="260" w:lineRule="exact"/>
        <w:ind w:left="1530" w:right="1283"/>
      </w:pPr>
      <w:r>
        <w:t>has used is set out in</w:t>
      </w:r>
      <w:r>
        <w:rPr>
          <w:spacing w:val="-4"/>
        </w:rPr>
        <w:t xml:space="preserve"> </w:t>
      </w:r>
      <w:r>
        <w:t>Appendix 9.</w:t>
      </w:r>
      <w:r>
        <w:rPr>
          <w:spacing w:val="-6"/>
        </w:rPr>
        <w:t xml:space="preserve"> </w:t>
      </w:r>
      <w:r>
        <w:t xml:space="preserve">In </w:t>
      </w:r>
      <w:r>
        <w:rPr>
          <w:spacing w:val="-1"/>
        </w:rPr>
        <w:t>short,</w:t>
      </w:r>
      <w:r>
        <w:rPr>
          <w:spacing w:val="-6"/>
        </w:rPr>
        <w:t xml:space="preserve"> </w:t>
      </w:r>
      <w:r>
        <w:t xml:space="preserve">this analysis </w:t>
      </w:r>
      <w:r>
        <w:rPr>
          <w:spacing w:val="-1"/>
        </w:rPr>
        <w:t>indicates</w:t>
      </w:r>
      <w:r>
        <w:t xml:space="preserve"> </w:t>
      </w:r>
      <w:r>
        <w:rPr>
          <w:spacing w:val="-1"/>
        </w:rPr>
        <w:t>that</w:t>
      </w:r>
      <w:r>
        <w:t xml:space="preserve"> a typical </w:t>
      </w:r>
      <w:r>
        <w:rPr>
          <w:spacing w:val="-1"/>
        </w:rPr>
        <w:t>water</w:t>
      </w:r>
      <w:r>
        <w:t xml:space="preserve"> utility with a</w:t>
      </w:r>
      <w:r>
        <w:rPr>
          <w:spacing w:val="31"/>
        </w:rPr>
        <w:t xml:space="preserve"> </w:t>
      </w:r>
      <w:r>
        <w:t>benchmark</w:t>
      </w:r>
      <w:r>
        <w:rPr>
          <w:spacing w:val="-1"/>
        </w:rPr>
        <w:t xml:space="preserve"> efficient</w:t>
      </w:r>
      <w:r>
        <w:t xml:space="preserve"> </w:t>
      </w:r>
      <w:r>
        <w:rPr>
          <w:spacing w:val="-1"/>
        </w:rPr>
        <w:t>gearing ratio</w:t>
      </w:r>
      <w:r>
        <w:t xml:space="preserve"> of</w:t>
      </w:r>
      <w:r>
        <w:rPr>
          <w:spacing w:val="4"/>
        </w:rPr>
        <w:t xml:space="preserve"> </w:t>
      </w:r>
      <w:r>
        <w:t>60%</w:t>
      </w:r>
      <w:r>
        <w:rPr>
          <w:spacing w:val="-1"/>
        </w:rPr>
        <w:t xml:space="preserve"> </w:t>
      </w:r>
      <w:r>
        <w:t>would have an</w:t>
      </w:r>
      <w:r>
        <w:rPr>
          <w:spacing w:val="-1"/>
        </w:rPr>
        <w:t xml:space="preserve"> </w:t>
      </w:r>
      <w:r>
        <w:t>equity beta</w:t>
      </w:r>
      <w:r>
        <w:rPr>
          <w:spacing w:val="-1"/>
        </w:rPr>
        <w:t xml:space="preserve"> ranging</w:t>
      </w:r>
      <w:r>
        <w:t xml:space="preserve"> </w:t>
      </w:r>
      <w:r>
        <w:rPr>
          <w:spacing w:val="-1"/>
        </w:rPr>
        <w:t>from</w:t>
      </w:r>
      <w:r>
        <w:t xml:space="preserve"> 0.53</w:t>
      </w:r>
      <w:r>
        <w:rPr>
          <w:spacing w:val="-1"/>
        </w:rPr>
        <w:t xml:space="preserve"> </w:t>
      </w:r>
      <w:r>
        <w:t>to 0.77.</w:t>
      </w:r>
    </w:p>
    <w:p w:rsidR="00D96B91" w:rsidRDefault="00C2656B">
      <w:pPr>
        <w:pStyle w:val="BodyText"/>
        <w:numPr>
          <w:ilvl w:val="0"/>
          <w:numId w:val="131"/>
        </w:numPr>
        <w:tabs>
          <w:tab w:val="left" w:pos="1531"/>
        </w:tabs>
        <w:spacing w:before="85" w:line="260" w:lineRule="exact"/>
        <w:ind w:right="1310" w:hanging="283"/>
      </w:pPr>
      <w:r>
        <w:rPr>
          <w:spacing w:val="-2"/>
        </w:rPr>
        <w:t>The</w:t>
      </w:r>
      <w:r>
        <w:t xml:space="preserve"> equity beta values </w:t>
      </w:r>
      <w:r>
        <w:rPr>
          <w:spacing w:val="-1"/>
        </w:rPr>
        <w:t>that</w:t>
      </w:r>
      <w:r>
        <w:t xml:space="preserve"> other </w:t>
      </w:r>
      <w:r>
        <w:rPr>
          <w:spacing w:val="-1"/>
        </w:rPr>
        <w:t>regulators</w:t>
      </w:r>
      <w:r>
        <w:t xml:space="preserve"> have applied to </w:t>
      </w:r>
      <w:r>
        <w:rPr>
          <w:spacing w:val="-1"/>
        </w:rPr>
        <w:t>regulated</w:t>
      </w:r>
      <w:r>
        <w:t xml:space="preserve"> </w:t>
      </w:r>
      <w:r>
        <w:rPr>
          <w:spacing w:val="-1"/>
        </w:rPr>
        <w:t>water</w:t>
      </w:r>
      <w:r>
        <w:t xml:space="preserve"> businesses in </w:t>
      </w:r>
      <w:r>
        <w:rPr>
          <w:spacing w:val="-1"/>
        </w:rPr>
        <w:t>recent</w:t>
      </w:r>
      <w:r>
        <w:rPr>
          <w:spacing w:val="29"/>
        </w:rPr>
        <w:t xml:space="preserve"> </w:t>
      </w:r>
      <w:r>
        <w:t xml:space="preserve">price </w:t>
      </w:r>
      <w:r>
        <w:rPr>
          <w:spacing w:val="-1"/>
        </w:rPr>
        <w:t>reviews.</w:t>
      </w:r>
      <w:r>
        <w:rPr>
          <w:spacing w:val="-11"/>
        </w:rPr>
        <w:t xml:space="preserve"> </w:t>
      </w:r>
      <w:r>
        <w:rPr>
          <w:spacing w:val="-1"/>
        </w:rPr>
        <w:t>These</w:t>
      </w:r>
      <w:r>
        <w:t xml:space="preserve"> values </w:t>
      </w:r>
      <w:r>
        <w:rPr>
          <w:spacing w:val="-2"/>
        </w:rPr>
        <w:t>are</w:t>
      </w:r>
      <w:r>
        <w:t xml:space="preserve"> set out in</w:t>
      </w:r>
      <w:r>
        <w:rPr>
          <w:spacing w:val="-5"/>
        </w:rPr>
        <w:t xml:space="preserve"> </w:t>
      </w:r>
      <w:r>
        <w:rPr>
          <w:spacing w:val="-4"/>
        </w:rPr>
        <w:t xml:space="preserve">Table </w:t>
      </w:r>
      <w:r>
        <w:t>A8.8.</w:t>
      </w:r>
      <w:r>
        <w:rPr>
          <w:spacing w:val="-10"/>
        </w:rPr>
        <w:t xml:space="preserve"> </w:t>
      </w:r>
      <w:r>
        <w:t xml:space="preserve">As the </w:t>
      </w:r>
      <w:r>
        <w:rPr>
          <w:spacing w:val="-1"/>
        </w:rPr>
        <w:t>information</w:t>
      </w:r>
      <w:r>
        <w:t xml:space="preserve"> in this table </w:t>
      </w:r>
      <w:r>
        <w:rPr>
          <w:spacing w:val="-1"/>
        </w:rPr>
        <w:t>indicates,</w:t>
      </w:r>
      <w:r>
        <w:rPr>
          <w:spacing w:val="49"/>
        </w:rPr>
        <w:t xml:space="preserve"> </w:t>
      </w:r>
      <w:r>
        <w:rPr>
          <w:spacing w:val="-1"/>
        </w:rPr>
        <w:t>regulators</w:t>
      </w:r>
      <w:r>
        <w:t xml:space="preserve"> have adopted equity betas in the </w:t>
      </w:r>
      <w:r>
        <w:rPr>
          <w:spacing w:val="-1"/>
        </w:rPr>
        <w:t>range</w:t>
      </w:r>
      <w:r>
        <w:t xml:space="preserve"> of</w:t>
      </w:r>
      <w:r>
        <w:rPr>
          <w:spacing w:val="4"/>
        </w:rPr>
        <w:t xml:space="preserve"> </w:t>
      </w:r>
      <w:r>
        <w:t xml:space="preserve">0.55 to 0.80 in </w:t>
      </w:r>
      <w:r>
        <w:rPr>
          <w:spacing w:val="-1"/>
        </w:rPr>
        <w:t>water</w:t>
      </w:r>
      <w:r>
        <w:t xml:space="preserve"> price </w:t>
      </w:r>
      <w:r>
        <w:rPr>
          <w:spacing w:val="-1"/>
        </w:rPr>
        <w:t>reviews</w:t>
      </w:r>
      <w:r>
        <w:t xml:space="preserve"> conducted</w:t>
      </w:r>
      <w:r>
        <w:rPr>
          <w:spacing w:val="23"/>
        </w:rPr>
        <w:t xml:space="preserve"> </w:t>
      </w:r>
      <w:r>
        <w:t>since 2010.</w:t>
      </w:r>
      <w:r>
        <w:rPr>
          <w:spacing w:val="-6"/>
        </w:rPr>
        <w:t xml:space="preserve"> </w:t>
      </w:r>
      <w:r>
        <w:t>Of</w:t>
      </w:r>
      <w:r>
        <w:rPr>
          <w:spacing w:val="4"/>
        </w:rPr>
        <w:t xml:space="preserve"> </w:t>
      </w:r>
      <w:r>
        <w:t xml:space="preserve">the 15 decisions </w:t>
      </w:r>
      <w:r>
        <w:rPr>
          <w:spacing w:val="-1"/>
        </w:rPr>
        <w:t>that</w:t>
      </w:r>
      <w:r>
        <w:t xml:space="preserve"> have been conducted in this period,</w:t>
      </w:r>
      <w:r>
        <w:rPr>
          <w:spacing w:val="-7"/>
        </w:rPr>
        <w:t xml:space="preserve"> </w:t>
      </w:r>
      <w:r>
        <w:t>six adopted an equity beta</w:t>
      </w:r>
      <w:r>
        <w:rPr>
          <w:spacing w:val="22"/>
        </w:rPr>
        <w:t xml:space="preserve"> </w:t>
      </w:r>
      <w:r>
        <w:t>of</w:t>
      </w:r>
      <w:r>
        <w:rPr>
          <w:spacing w:val="3"/>
        </w:rPr>
        <w:t xml:space="preserve"> </w:t>
      </w:r>
      <w:r>
        <w:t>0.65 and</w:t>
      </w:r>
      <w:r>
        <w:rPr>
          <w:spacing w:val="-1"/>
        </w:rPr>
        <w:t xml:space="preserve"> </w:t>
      </w:r>
      <w:r>
        <w:t>five adopted an</w:t>
      </w:r>
      <w:r>
        <w:rPr>
          <w:spacing w:val="-1"/>
        </w:rPr>
        <w:t xml:space="preserve"> </w:t>
      </w:r>
      <w:r>
        <w:t>equity beta of</w:t>
      </w:r>
      <w:r>
        <w:rPr>
          <w:spacing w:val="3"/>
        </w:rPr>
        <w:t xml:space="preserve"> </w:t>
      </w:r>
      <w:r>
        <w:t>0.70.</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A8.8: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equity beta</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676"/>
        <w:gridCol w:w="3402"/>
        <w:gridCol w:w="1559"/>
        <w:gridCol w:w="2764"/>
      </w:tblGrid>
      <w:tr w:rsidR="00D96B91">
        <w:trPr>
          <w:trHeight w:hRule="exact" w:val="407"/>
        </w:trPr>
        <w:tc>
          <w:tcPr>
            <w:tcW w:w="167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340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55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276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Equity beta</w:t>
            </w:r>
          </w:p>
        </w:tc>
      </w:tr>
      <w:tr w:rsidR="00D96B91">
        <w:trPr>
          <w:trHeight w:hRule="exact" w:val="407"/>
        </w:trPr>
        <w:tc>
          <w:tcPr>
            <w:tcW w:w="167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340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55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76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0.90</w:t>
            </w:r>
          </w:p>
        </w:tc>
      </w:tr>
      <w:tr w:rsidR="00D96B91">
        <w:trPr>
          <w:trHeight w:hRule="exact" w:val="62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4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w:t>
            </w:r>
            <w:r>
              <w:rPr>
                <w:rFonts w:ascii="Avenir Next Condensed" w:eastAsia="Avenir Next Condensed" w:hAnsi="Avenir Next Condensed" w:cs="Avenir Next Condensed"/>
                <w:spacing w:val="45"/>
                <w:sz w:val="18"/>
                <w:szCs w:val="18"/>
              </w:rPr>
              <w:t xml:space="preserve">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0.60 – 0.80 (the midpoint was used)</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0.70</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0.65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0.65</w:t>
            </w:r>
          </w:p>
        </w:tc>
      </w:tr>
      <w:tr w:rsidR="00D96B91">
        <w:trPr>
          <w:trHeight w:hRule="exact" w:val="84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76"/>
              <w:rPr>
                <w:rFonts w:ascii="Avenir Next Condensed" w:eastAsia="Avenir Next Condensed" w:hAnsi="Avenir Next Condensed" w:cs="Avenir Next Condensed"/>
                <w:sz w:val="18"/>
                <w:szCs w:val="18"/>
              </w:rPr>
            </w:pPr>
            <w:r>
              <w:rPr>
                <w:rFonts w:ascii="Avenir Next Condensed"/>
                <w:sz w:val="18"/>
              </w:rPr>
              <w:t xml:space="preserve">0.65 for Southern </w:t>
            </w:r>
            <w:r>
              <w:rPr>
                <w:rFonts w:ascii="Avenir Next Condensed"/>
                <w:spacing w:val="-1"/>
                <w:sz w:val="18"/>
              </w:rPr>
              <w:t>rural</w:t>
            </w:r>
            <w:r>
              <w:rPr>
                <w:rFonts w:ascii="Avenir Next Condensed"/>
                <w:sz w:val="18"/>
              </w:rPr>
              <w:t xml:space="preserve"> water; and 0.70</w:t>
            </w:r>
            <w:r>
              <w:rPr>
                <w:rFonts w:ascii="Avenir Next Condensed"/>
                <w:spacing w:val="23"/>
                <w:sz w:val="18"/>
              </w:rPr>
              <w:t xml:space="preserve"> </w:t>
            </w:r>
            <w:r>
              <w:rPr>
                <w:rFonts w:ascii="Avenir Next Condensed"/>
                <w:sz w:val="18"/>
              </w:rPr>
              <w:t xml:space="preserve">for </w:t>
            </w:r>
            <w:r>
              <w:rPr>
                <w:rFonts w:ascii="Avenir Next Condensed"/>
                <w:spacing w:val="-1"/>
                <w:sz w:val="18"/>
              </w:rPr>
              <w:t>Goulburn-Murray</w:t>
            </w:r>
            <w:r>
              <w:rPr>
                <w:rFonts w:ascii="Avenir Next Condensed"/>
                <w:spacing w:val="-3"/>
                <w:sz w:val="18"/>
              </w:rPr>
              <w:t xml:space="preserve"> </w:t>
            </w:r>
            <w:r>
              <w:rPr>
                <w:rFonts w:ascii="Avenir Next Condensed"/>
                <w:spacing w:val="-1"/>
                <w:sz w:val="18"/>
              </w:rPr>
              <w:t>Water</w:t>
            </w:r>
            <w:r>
              <w:rPr>
                <w:rFonts w:ascii="Avenir Next Condensed"/>
                <w:sz w:val="18"/>
              </w:rPr>
              <w:t xml:space="preserve"> and </w:t>
            </w:r>
            <w:r>
              <w:rPr>
                <w:rFonts w:ascii="Avenir Next Condensed"/>
                <w:spacing w:val="-1"/>
                <w:sz w:val="18"/>
              </w:rPr>
              <w:t>Lower</w:t>
            </w:r>
            <w:r>
              <w:rPr>
                <w:rFonts w:ascii="Avenir Next Condensed"/>
                <w:spacing w:val="37"/>
                <w:sz w:val="18"/>
              </w:rPr>
              <w:t xml:space="preserve"> </w:t>
            </w:r>
            <w:r>
              <w:rPr>
                <w:rFonts w:ascii="Avenir Next Condensed"/>
                <w:spacing w:val="-1"/>
                <w:sz w:val="18"/>
              </w:rPr>
              <w:t>Murray</w:t>
            </w:r>
            <w:r>
              <w:rPr>
                <w:rFonts w:ascii="Avenir Next Condensed"/>
                <w:spacing w:val="-3"/>
                <w:sz w:val="18"/>
              </w:rPr>
              <w:t xml:space="preserve"> </w:t>
            </w:r>
            <w:r>
              <w:rPr>
                <w:rFonts w:ascii="Avenir Next Condensed"/>
                <w:spacing w:val="-1"/>
                <w:sz w:val="18"/>
              </w:rPr>
              <w:t>Water</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0.60 – 0.80 (the midpoint was used)</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0.60 – 0.80 (the midpoint was used)</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0.80</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0.55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0.65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0.65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0.60 – 0.80 (the upper bound was used)</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0.55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2010</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0.65</w:t>
            </w:r>
          </w:p>
        </w:tc>
      </w:tr>
      <w:tr w:rsidR="00D96B91">
        <w:trPr>
          <w:trHeight w:hRule="exact" w:val="407"/>
        </w:trPr>
        <w:tc>
          <w:tcPr>
            <w:tcW w:w="167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340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5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2008</w:t>
            </w:r>
          </w:p>
        </w:tc>
        <w:tc>
          <w:tcPr>
            <w:tcW w:w="276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0.90</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Sources:</w:t>
      </w:r>
      <w:r>
        <w:rPr>
          <w:rFonts w:ascii="Avenir Next"/>
          <w:b/>
          <w:sz w:val="16"/>
        </w:rPr>
        <w:t xml:space="preserve"> </w:t>
      </w:r>
      <w:r>
        <w:rPr>
          <w:rFonts w:ascii="Avenir Next"/>
          <w:sz w:val="16"/>
        </w:rPr>
        <w:t>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D96B91">
      <w:pPr>
        <w:rPr>
          <w:rFonts w:ascii="Avenir Next" w:eastAsia="Avenir Next" w:hAnsi="Avenir Next" w:cs="Avenir Next"/>
          <w:sz w:val="16"/>
          <w:szCs w:val="16"/>
        </w:rPr>
      </w:pPr>
    </w:p>
    <w:p w:rsidR="00D96B91" w:rsidRDefault="00C2656B">
      <w:pPr>
        <w:pStyle w:val="BodyText"/>
        <w:spacing w:before="123"/>
      </w:pPr>
      <w:r>
        <w:rPr>
          <w:spacing w:val="-2"/>
        </w:rPr>
        <w:t>The</w:t>
      </w:r>
      <w:r>
        <w:t xml:space="preserve"> weight of</w:t>
      </w:r>
      <w:r>
        <w:rPr>
          <w:spacing w:val="4"/>
        </w:rPr>
        <w:t xml:space="preserve"> </w:t>
      </w:r>
      <w:r>
        <w:t xml:space="preserve">this </w:t>
      </w:r>
      <w:r>
        <w:rPr>
          <w:spacing w:val="-1"/>
        </w:rPr>
        <w:t>material</w:t>
      </w:r>
      <w:r>
        <w:t xml:space="preserve"> suggests </w:t>
      </w:r>
      <w:r>
        <w:rPr>
          <w:spacing w:val="-1"/>
        </w:rPr>
        <w:t>that</w:t>
      </w:r>
      <w:r>
        <w:t xml:space="preserve"> the equity beta should fall in the </w:t>
      </w:r>
      <w:r>
        <w:rPr>
          <w:spacing w:val="-1"/>
        </w:rPr>
        <w:t>range</w:t>
      </w:r>
      <w:r>
        <w:t xml:space="preserve"> of</w:t>
      </w:r>
      <w:r>
        <w:rPr>
          <w:spacing w:val="4"/>
        </w:rPr>
        <w:t xml:space="preserve"> </w:t>
      </w:r>
      <w:r>
        <w:t>0.53 to 0.77.</w:t>
      </w:r>
    </w:p>
    <w:p w:rsidR="00D96B91" w:rsidRDefault="00C2656B">
      <w:pPr>
        <w:pStyle w:val="BodyText"/>
        <w:spacing w:before="149" w:line="260" w:lineRule="exact"/>
        <w:ind w:right="1356"/>
      </w:pPr>
      <w:r>
        <w:rPr>
          <w:spacing w:val="-2"/>
        </w:rPr>
        <w:t>The</w:t>
      </w:r>
      <w:r>
        <w:rPr>
          <w:spacing w:val="-1"/>
        </w:rPr>
        <w:t xml:space="preserve"> </w:t>
      </w:r>
      <w:r>
        <w:rPr>
          <w:spacing w:val="-3"/>
        </w:rPr>
        <w:t>Panel</w:t>
      </w:r>
      <w:r>
        <w:t xml:space="preserve"> is</w:t>
      </w:r>
      <w:r>
        <w:rPr>
          <w:spacing w:val="-1"/>
        </w:rPr>
        <w:t xml:space="preserve"> aware</w:t>
      </w:r>
      <w:r>
        <w:t xml:space="preserve"> </w:t>
      </w:r>
      <w:r>
        <w:rPr>
          <w:spacing w:val="-1"/>
        </w:rPr>
        <w:t xml:space="preserve">that </w:t>
      </w:r>
      <w:r>
        <w:t>studies in the</w:t>
      </w:r>
      <w:r>
        <w:rPr>
          <w:spacing w:val="-1"/>
        </w:rPr>
        <w:t xml:space="preserve"> </w:t>
      </w:r>
      <w:r>
        <w:t xml:space="preserve">finance </w:t>
      </w:r>
      <w:r>
        <w:rPr>
          <w:spacing w:val="-1"/>
        </w:rPr>
        <w:t xml:space="preserve">literature </w:t>
      </w:r>
      <w:r>
        <w:t xml:space="preserve">have </w:t>
      </w:r>
      <w:r>
        <w:rPr>
          <w:spacing w:val="-1"/>
        </w:rPr>
        <w:t>demonstrated</w:t>
      </w:r>
      <w:r>
        <w:t xml:space="preserve"> </w:t>
      </w:r>
      <w:r>
        <w:rPr>
          <w:spacing w:val="-1"/>
        </w:rPr>
        <w:t xml:space="preserve">that </w:t>
      </w:r>
      <w:r>
        <w:t xml:space="preserve">the </w:t>
      </w:r>
      <w:r>
        <w:rPr>
          <w:spacing w:val="-1"/>
        </w:rPr>
        <w:t>expected return</w:t>
      </w:r>
      <w:r>
        <w:t xml:space="preserve"> for</w:t>
      </w:r>
      <w:r>
        <w:rPr>
          <w:spacing w:val="53"/>
        </w:rPr>
        <w:t xml:space="preserve"> </w:t>
      </w:r>
      <w:r>
        <w:t>a stock (ie,</w:t>
      </w:r>
      <w:r>
        <w:rPr>
          <w:spacing w:val="-6"/>
        </w:rPr>
        <w:t xml:space="preserve"> </w:t>
      </w:r>
      <w:r>
        <w:t>the cost of</w:t>
      </w:r>
      <w:r>
        <w:rPr>
          <w:spacing w:val="4"/>
        </w:rPr>
        <w:t xml:space="preserve"> </w:t>
      </w:r>
      <w:r>
        <w:t xml:space="preserve">equity) with beta less than one is </w:t>
      </w:r>
      <w:r>
        <w:rPr>
          <w:spacing w:val="-1"/>
        </w:rPr>
        <w:t>likely</w:t>
      </w:r>
      <w:r>
        <w:t xml:space="preserve"> to be higher than </w:t>
      </w:r>
      <w:r>
        <w:rPr>
          <w:spacing w:val="-1"/>
        </w:rPr>
        <w:t>that</w:t>
      </w:r>
      <w:r>
        <w:t xml:space="preserve"> </w:t>
      </w:r>
      <w:r>
        <w:rPr>
          <w:spacing w:val="-1"/>
        </w:rPr>
        <w:t>predicted</w:t>
      </w:r>
      <w:r>
        <w:t xml:space="preserve"> by the</w:t>
      </w:r>
    </w:p>
    <w:p w:rsidR="00D96B91" w:rsidRDefault="00C2656B">
      <w:pPr>
        <w:pStyle w:val="BodyText"/>
        <w:spacing w:line="260" w:lineRule="exact"/>
        <w:ind w:right="1283"/>
        <w:rPr>
          <w:rFonts w:cs="Avenir Next"/>
        </w:rPr>
      </w:pPr>
      <w:r>
        <w:t>S-L</w:t>
      </w:r>
      <w:r>
        <w:rPr>
          <w:spacing w:val="-5"/>
        </w:rPr>
        <w:t xml:space="preserve"> </w:t>
      </w:r>
      <w:r>
        <w:rPr>
          <w:spacing w:val="-1"/>
        </w:rPr>
        <w:t>CAPM</w:t>
      </w:r>
      <w:r>
        <w:t xml:space="preserve"> and the </w:t>
      </w:r>
      <w:r>
        <w:rPr>
          <w:spacing w:val="-1"/>
        </w:rPr>
        <w:t>expected</w:t>
      </w:r>
      <w:r>
        <w:t xml:space="preserve"> </w:t>
      </w:r>
      <w:r>
        <w:rPr>
          <w:spacing w:val="-1"/>
        </w:rPr>
        <w:t>return</w:t>
      </w:r>
      <w:r>
        <w:t xml:space="preserve"> for a stock with a beta </w:t>
      </w:r>
      <w:r>
        <w:rPr>
          <w:spacing w:val="-2"/>
        </w:rPr>
        <w:t>greater</w:t>
      </w:r>
      <w:r>
        <w:t xml:space="preserve"> than one is </w:t>
      </w:r>
      <w:r>
        <w:rPr>
          <w:spacing w:val="-1"/>
        </w:rPr>
        <w:t>likely</w:t>
      </w:r>
      <w:r>
        <w:t xml:space="preserve"> to be lower than</w:t>
      </w:r>
      <w:r>
        <w:rPr>
          <w:spacing w:val="35"/>
        </w:rPr>
        <w:t xml:space="preserve"> </w:t>
      </w:r>
      <w:r>
        <w:rPr>
          <w:spacing w:val="-1"/>
        </w:rPr>
        <w:t>predicted</w:t>
      </w:r>
      <w:r>
        <w:t xml:space="preserve"> by the S-L</w:t>
      </w:r>
      <w:r>
        <w:rPr>
          <w:spacing w:val="-5"/>
        </w:rPr>
        <w:t xml:space="preserve"> </w:t>
      </w:r>
      <w:r>
        <w:rPr>
          <w:spacing w:val="-1"/>
        </w:rPr>
        <w:t>CAPM.</w:t>
      </w:r>
      <w:r>
        <w:rPr>
          <w:spacing w:val="-6"/>
        </w:rPr>
        <w:t xml:space="preserve"> </w:t>
      </w:r>
      <w:r>
        <w:t xml:space="preserve">Since the beta </w:t>
      </w:r>
      <w:r>
        <w:rPr>
          <w:spacing w:val="-1"/>
        </w:rPr>
        <w:t>range</w:t>
      </w:r>
      <w:r>
        <w:t xml:space="preserve"> of</w:t>
      </w:r>
      <w:r>
        <w:rPr>
          <w:spacing w:val="4"/>
        </w:rPr>
        <w:t xml:space="preserve"> </w:t>
      </w:r>
      <w:r>
        <w:t>0.53 to 0.77 is below one,</w:t>
      </w:r>
      <w:r>
        <w:rPr>
          <w:spacing w:val="-7"/>
        </w:rPr>
        <w:t xml:space="preserve"> </w:t>
      </w:r>
      <w:r>
        <w:t xml:space="preserve">the </w:t>
      </w:r>
      <w:r>
        <w:rPr>
          <w:spacing w:val="-3"/>
        </w:rPr>
        <w:t>Panel</w:t>
      </w:r>
      <w:r>
        <w:t xml:space="preserve"> considers it</w:t>
      </w:r>
      <w:r>
        <w:rPr>
          <w:spacing w:val="25"/>
        </w:rPr>
        <w:t xml:space="preserve"> </w:t>
      </w:r>
      <w:r>
        <w:rPr>
          <w:spacing w:val="-1"/>
        </w:rPr>
        <w:t>appropriate</w:t>
      </w:r>
      <w:r>
        <w:t xml:space="preserve"> to account for the potential </w:t>
      </w:r>
      <w:r>
        <w:rPr>
          <w:spacing w:val="-1"/>
        </w:rPr>
        <w:t>underestimation</w:t>
      </w:r>
      <w:r>
        <w:t xml:space="preserve"> of</w:t>
      </w:r>
      <w:r>
        <w:rPr>
          <w:spacing w:val="4"/>
        </w:rPr>
        <w:t xml:space="preserve"> </w:t>
      </w:r>
      <w:r>
        <w:t>the true cost of</w:t>
      </w:r>
      <w:r>
        <w:rPr>
          <w:spacing w:val="4"/>
        </w:rPr>
        <w:t xml:space="preserve"> </w:t>
      </w:r>
      <w:r>
        <w:t>equity under the S-L</w:t>
      </w:r>
      <w:r>
        <w:rPr>
          <w:spacing w:val="-5"/>
        </w:rPr>
        <w:t xml:space="preserve"> </w:t>
      </w:r>
      <w:r>
        <w:rPr>
          <w:spacing w:val="-1"/>
        </w:rPr>
        <w:t>CAPM,</w:t>
      </w:r>
      <w:r>
        <w:rPr>
          <w:spacing w:val="33"/>
        </w:rPr>
        <w:t xml:space="preserve"> </w:t>
      </w:r>
      <w:r>
        <w:t xml:space="preserve">by adopting an equity beta </w:t>
      </w:r>
      <w:r>
        <w:rPr>
          <w:spacing w:val="-1"/>
        </w:rPr>
        <w:t>that</w:t>
      </w:r>
      <w:r>
        <w:t xml:space="preserve"> is:</w:t>
      </w:r>
    </w:p>
    <w:p w:rsidR="00D96B91" w:rsidRDefault="00C2656B">
      <w:pPr>
        <w:pStyle w:val="BodyText"/>
        <w:numPr>
          <w:ilvl w:val="0"/>
          <w:numId w:val="131"/>
        </w:numPr>
        <w:tabs>
          <w:tab w:val="left" w:pos="1531"/>
        </w:tabs>
        <w:spacing w:before="178"/>
        <w:ind w:hanging="283"/>
      </w:pPr>
      <w:r>
        <w:t>higher than the midpoint of</w:t>
      </w:r>
      <w:r>
        <w:rPr>
          <w:spacing w:val="4"/>
        </w:rPr>
        <w:t xml:space="preserve"> </w:t>
      </w:r>
      <w:r>
        <w:t xml:space="preserve">the </w:t>
      </w:r>
      <w:r>
        <w:rPr>
          <w:spacing w:val="-1"/>
        </w:rPr>
        <w:t>range</w:t>
      </w:r>
      <w:r>
        <w:t xml:space="preserve"> for the empirical beta </w:t>
      </w:r>
      <w:r>
        <w:rPr>
          <w:spacing w:val="-1"/>
        </w:rPr>
        <w:t>estimates</w:t>
      </w:r>
      <w:r>
        <w:t xml:space="preserve"> (ie,</w:t>
      </w:r>
      <w:r>
        <w:rPr>
          <w:spacing w:val="-6"/>
        </w:rPr>
        <w:t xml:space="preserve"> </w:t>
      </w:r>
      <w:r>
        <w:t>0.53 to 0.77) and</w:t>
      </w:r>
    </w:p>
    <w:p w:rsidR="00D96B91" w:rsidRDefault="00C2656B">
      <w:pPr>
        <w:pStyle w:val="BodyText"/>
        <w:numPr>
          <w:ilvl w:val="0"/>
          <w:numId w:val="131"/>
        </w:numPr>
        <w:tabs>
          <w:tab w:val="left" w:pos="1531"/>
        </w:tabs>
        <w:spacing w:before="64" w:line="260" w:lineRule="exact"/>
        <w:ind w:right="1643" w:hanging="283"/>
      </w:pPr>
      <w:r>
        <w:rPr>
          <w:spacing w:val="-1"/>
        </w:rPr>
        <w:t>toward</w:t>
      </w:r>
      <w:r>
        <w:t xml:space="preserve"> the upper bound of</w:t>
      </w:r>
      <w:r>
        <w:rPr>
          <w:spacing w:val="4"/>
        </w:rPr>
        <w:t xml:space="preserve"> </w:t>
      </w:r>
      <w:r>
        <w:t xml:space="preserve">the equity beta </w:t>
      </w:r>
      <w:r>
        <w:rPr>
          <w:spacing w:val="-1"/>
        </w:rPr>
        <w:t>range</w:t>
      </w:r>
      <w:r>
        <w:t xml:space="preserve"> based on past </w:t>
      </w:r>
      <w:r>
        <w:rPr>
          <w:spacing w:val="-1"/>
        </w:rPr>
        <w:t>regulatory</w:t>
      </w:r>
      <w:r>
        <w:t xml:space="preserve"> decisions (ie,</w:t>
      </w:r>
      <w:r>
        <w:rPr>
          <w:spacing w:val="-7"/>
        </w:rPr>
        <w:t xml:space="preserve"> </w:t>
      </w:r>
      <w:r>
        <w:t>0.55 to</w:t>
      </w:r>
      <w:r>
        <w:rPr>
          <w:spacing w:val="29"/>
        </w:rPr>
        <w:t xml:space="preserve"> </w:t>
      </w:r>
      <w:r>
        <w:t>0.80).</w:t>
      </w:r>
    </w:p>
    <w:p w:rsidR="00D96B91" w:rsidRDefault="00C2656B">
      <w:pPr>
        <w:pStyle w:val="BodyText"/>
        <w:numPr>
          <w:ilvl w:val="0"/>
          <w:numId w:val="131"/>
        </w:numPr>
        <w:tabs>
          <w:tab w:val="left" w:pos="1531"/>
        </w:tabs>
        <w:spacing w:before="93"/>
        <w:ind w:hanging="283"/>
      </w:pPr>
      <w:r>
        <w:rPr>
          <w:spacing w:val="-2"/>
        </w:rPr>
        <w:t>The</w:t>
      </w:r>
      <w:r>
        <w:rPr>
          <w:spacing w:val="-1"/>
        </w:rPr>
        <w:t xml:space="preserve"> </w:t>
      </w:r>
      <w:r>
        <w:t>specific</w:t>
      </w:r>
      <w:r>
        <w:rPr>
          <w:spacing w:val="-1"/>
        </w:rPr>
        <w:t xml:space="preserve"> </w:t>
      </w:r>
      <w:r>
        <w:t>equity beta</w:t>
      </w:r>
      <w:r>
        <w:rPr>
          <w:spacing w:val="-1"/>
        </w:rPr>
        <w:t xml:space="preserve"> </w:t>
      </w:r>
      <w:r>
        <w:t xml:space="preserve">value </w:t>
      </w:r>
      <w:r>
        <w:rPr>
          <w:spacing w:val="-1"/>
        </w:rPr>
        <w:t xml:space="preserve">that </w:t>
      </w:r>
      <w:r>
        <w:t xml:space="preserve">the </w:t>
      </w:r>
      <w:r>
        <w:rPr>
          <w:spacing w:val="-3"/>
        </w:rPr>
        <w:t>Panel</w:t>
      </w:r>
      <w:r>
        <w:rPr>
          <w:spacing w:val="-1"/>
        </w:rPr>
        <w:t xml:space="preserve"> </w:t>
      </w:r>
      <w:r>
        <w:t>has decided</w:t>
      </w:r>
      <w:r>
        <w:rPr>
          <w:spacing w:val="-1"/>
        </w:rPr>
        <w:t xml:space="preserve"> </w:t>
      </w:r>
      <w:r>
        <w:t>to adopt</w:t>
      </w:r>
      <w:r>
        <w:rPr>
          <w:spacing w:val="-1"/>
        </w:rPr>
        <w:t xml:space="preserve"> </w:t>
      </w:r>
      <w:r>
        <w:t>is 0.70.</w:t>
      </w:r>
    </w:p>
    <w:p w:rsidR="00D96B91" w:rsidRDefault="00D96B91">
      <w:pPr>
        <w:spacing w:before="1"/>
        <w:rPr>
          <w:rFonts w:ascii="Avenir Next" w:eastAsia="Avenir Next" w:hAnsi="Avenir Next" w:cs="Avenir Next"/>
          <w:sz w:val="15"/>
          <w:szCs w:val="15"/>
        </w:rPr>
      </w:pPr>
    </w:p>
    <w:p w:rsidR="00D96B91" w:rsidRDefault="00C2656B">
      <w:pPr>
        <w:pStyle w:val="BodyText"/>
        <w:spacing w:line="260" w:lineRule="exact"/>
        <w:ind w:right="1513"/>
      </w:pPr>
      <w:r>
        <w:t>An equity beta of</w:t>
      </w:r>
      <w:r>
        <w:rPr>
          <w:spacing w:val="4"/>
        </w:rPr>
        <w:t xml:space="preserve"> </w:t>
      </w:r>
      <w:r>
        <w:t>0.7 is lower than</w:t>
      </w:r>
      <w:r>
        <w:rPr>
          <w:spacing w:val="-4"/>
        </w:rPr>
        <w:t xml:space="preserve"> </w:t>
      </w:r>
      <w:r>
        <w:rPr>
          <w:spacing w:val="-2"/>
        </w:rPr>
        <w:t>ACTEW’s</w:t>
      </w:r>
      <w:r>
        <w:t xml:space="preserve"> </w:t>
      </w:r>
      <w:r>
        <w:rPr>
          <w:spacing w:val="-1"/>
        </w:rPr>
        <w:t>proposal</w:t>
      </w:r>
      <w:r>
        <w:t xml:space="preserve"> of</w:t>
      </w:r>
      <w:r>
        <w:rPr>
          <w:spacing w:val="4"/>
        </w:rPr>
        <w:t xml:space="preserve"> </w:t>
      </w:r>
      <w:r>
        <w:t>0.9,</w:t>
      </w:r>
      <w:r>
        <w:rPr>
          <w:spacing w:val="-6"/>
        </w:rPr>
        <w:t xml:space="preserve"> </w:t>
      </w:r>
      <w:r>
        <w:t xml:space="preserve">which the </w:t>
      </w:r>
      <w:r>
        <w:rPr>
          <w:spacing w:val="-3"/>
        </w:rPr>
        <w:t>Panel</w:t>
      </w:r>
      <w:r>
        <w:t xml:space="preserve"> understands was based</w:t>
      </w:r>
      <w:r>
        <w:rPr>
          <w:spacing w:val="29"/>
        </w:rPr>
        <w:t xml:space="preserve"> </w:t>
      </w:r>
      <w:r>
        <w:t xml:space="preserve">on advice </w:t>
      </w:r>
      <w:r>
        <w:rPr>
          <w:spacing w:val="-1"/>
        </w:rPr>
        <w:t>from</w:t>
      </w:r>
      <w:r>
        <w:t xml:space="preserve"> SFG </w:t>
      </w:r>
      <w:r>
        <w:rPr>
          <w:spacing w:val="-1"/>
        </w:rPr>
        <w:t>Consulting</w:t>
      </w:r>
      <w:r>
        <w:t xml:space="preserve"> (SFG),</w:t>
      </w:r>
      <w:r>
        <w:rPr>
          <w:spacing w:val="-6"/>
        </w:rPr>
        <w:t xml:space="preserve"> </w:t>
      </w:r>
      <w:r>
        <w:t>which can be summarised as follows:</w:t>
      </w:r>
    </w:p>
    <w:p w:rsidR="00D96B91" w:rsidRDefault="00C2656B">
      <w:pPr>
        <w:pStyle w:val="BodyText"/>
        <w:numPr>
          <w:ilvl w:val="0"/>
          <w:numId w:val="131"/>
        </w:numPr>
        <w:tabs>
          <w:tab w:val="left" w:pos="1531"/>
        </w:tabs>
        <w:spacing w:before="170" w:line="260" w:lineRule="exact"/>
        <w:ind w:right="2239" w:hanging="283"/>
      </w:pPr>
      <w:r>
        <w:t xml:space="preserve">SFG </w:t>
      </w:r>
      <w:r>
        <w:rPr>
          <w:spacing w:val="-1"/>
        </w:rPr>
        <w:t>estimated</w:t>
      </w:r>
      <w:r>
        <w:t xml:space="preserve"> </w:t>
      </w:r>
      <w:r>
        <w:rPr>
          <w:spacing w:val="-1"/>
        </w:rPr>
        <w:t>that</w:t>
      </w:r>
      <w:r>
        <w:t xml:space="preserve"> the beta of</w:t>
      </w:r>
      <w:r>
        <w:rPr>
          <w:spacing w:val="4"/>
        </w:rPr>
        <w:t xml:space="preserve"> </w:t>
      </w:r>
      <w:r>
        <w:t xml:space="preserve">a typical </w:t>
      </w:r>
      <w:r>
        <w:rPr>
          <w:spacing w:val="-1"/>
        </w:rPr>
        <w:t>water</w:t>
      </w:r>
      <w:r>
        <w:t xml:space="preserve"> business </w:t>
      </w:r>
      <w:r>
        <w:rPr>
          <w:spacing w:val="-1"/>
        </w:rPr>
        <w:t>ranges</w:t>
      </w:r>
      <w:r>
        <w:t xml:space="preserve"> </w:t>
      </w:r>
      <w:r>
        <w:rPr>
          <w:spacing w:val="-1"/>
        </w:rPr>
        <w:t>from</w:t>
      </w:r>
      <w:r>
        <w:t xml:space="preserve"> 0.58 to 0.71 with 90%</w:t>
      </w:r>
      <w:r>
        <w:rPr>
          <w:spacing w:val="31"/>
        </w:rPr>
        <w:t xml:space="preserve"> </w:t>
      </w:r>
      <w:r>
        <w:t>confidence.</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BodyText"/>
        <w:numPr>
          <w:ilvl w:val="0"/>
          <w:numId w:val="131"/>
        </w:numPr>
        <w:tabs>
          <w:tab w:val="left" w:pos="1531"/>
        </w:tabs>
        <w:spacing w:before="21" w:line="260" w:lineRule="exact"/>
        <w:ind w:right="1291" w:hanging="283"/>
      </w:pPr>
      <w:r>
        <w:t xml:space="preserve">SFG </w:t>
      </w:r>
      <w:r>
        <w:rPr>
          <w:spacing w:val="-1"/>
        </w:rPr>
        <w:t>considered</w:t>
      </w:r>
      <w:r>
        <w:t xml:space="preserve"> </w:t>
      </w:r>
      <w:r>
        <w:rPr>
          <w:spacing w:val="-1"/>
        </w:rPr>
        <w:t>that</w:t>
      </w:r>
      <w:r>
        <w:t xml:space="preserve"> sensitivities of</w:t>
      </w:r>
      <w:r>
        <w:rPr>
          <w:spacing w:val="4"/>
        </w:rPr>
        <w:t xml:space="preserve"> </w:t>
      </w:r>
      <w:r>
        <w:t xml:space="preserve">stock </w:t>
      </w:r>
      <w:r>
        <w:rPr>
          <w:spacing w:val="-1"/>
        </w:rPr>
        <w:t>returns</w:t>
      </w:r>
      <w:r>
        <w:t xml:space="preserve"> to </w:t>
      </w:r>
      <w:r>
        <w:rPr>
          <w:spacing w:val="-1"/>
        </w:rPr>
        <w:t>market</w:t>
      </w:r>
      <w:r>
        <w:t xml:space="preserve"> </w:t>
      </w:r>
      <w:r>
        <w:rPr>
          <w:spacing w:val="-1"/>
        </w:rPr>
        <w:t>returns</w:t>
      </w:r>
      <w:r>
        <w:t xml:space="preserve"> would vary depending on </w:t>
      </w:r>
      <w:r>
        <w:rPr>
          <w:spacing w:val="-1"/>
        </w:rPr>
        <w:t>market</w:t>
      </w:r>
      <w:r>
        <w:rPr>
          <w:spacing w:val="37"/>
        </w:rPr>
        <w:t xml:space="preserve"> </w:t>
      </w:r>
      <w:r>
        <w:rPr>
          <w:rFonts w:cs="Avenir Next"/>
        </w:rPr>
        <w:t xml:space="preserve">conditions and so developed </w:t>
      </w:r>
      <w:r>
        <w:rPr>
          <w:rFonts w:cs="Avenir Next"/>
          <w:spacing w:val="-1"/>
        </w:rPr>
        <w:t>separate</w:t>
      </w:r>
      <w:r>
        <w:rPr>
          <w:rFonts w:cs="Avenir Next"/>
        </w:rPr>
        <w:t xml:space="preserve"> beta </w:t>
      </w:r>
      <w:r>
        <w:rPr>
          <w:rFonts w:cs="Avenir Next"/>
          <w:spacing w:val="-1"/>
        </w:rPr>
        <w:t>range</w:t>
      </w:r>
      <w:r>
        <w:rPr>
          <w:rFonts w:cs="Avenir Next"/>
        </w:rPr>
        <w:t xml:space="preserve"> </w:t>
      </w:r>
      <w:r>
        <w:rPr>
          <w:rFonts w:cs="Avenir Next"/>
          <w:spacing w:val="-1"/>
        </w:rPr>
        <w:t>estimates</w:t>
      </w:r>
      <w:r>
        <w:rPr>
          <w:rFonts w:cs="Avenir Next"/>
        </w:rPr>
        <w:t xml:space="preserve"> for ‘up’ and </w:t>
      </w:r>
      <w:r>
        <w:rPr>
          <w:rFonts w:cs="Avenir Next"/>
          <w:spacing w:val="-2"/>
        </w:rPr>
        <w:t>‘down’</w:t>
      </w:r>
      <w:r>
        <w:rPr>
          <w:rFonts w:cs="Avenir Next"/>
        </w:rPr>
        <w:t xml:space="preserve"> </w:t>
      </w:r>
      <w:r>
        <w:rPr>
          <w:rFonts w:cs="Avenir Next"/>
          <w:spacing w:val="-1"/>
        </w:rPr>
        <w:t>markets,</w:t>
      </w:r>
      <w:r>
        <w:rPr>
          <w:rFonts w:cs="Avenir Next"/>
          <w:spacing w:val="-6"/>
        </w:rPr>
        <w:t xml:space="preserve"> </w:t>
      </w:r>
      <w:r>
        <w:rPr>
          <w:rFonts w:cs="Avenir Next"/>
        </w:rPr>
        <w:t>with the</w:t>
      </w:r>
      <w:r>
        <w:rPr>
          <w:rFonts w:cs="Avenir Next"/>
          <w:spacing w:val="39"/>
        </w:rPr>
        <w:t xml:space="preserve"> </w:t>
      </w:r>
      <w:r>
        <w:t xml:space="preserve">‘up’ </w:t>
      </w:r>
      <w:r>
        <w:rPr>
          <w:spacing w:val="-1"/>
        </w:rPr>
        <w:t>market</w:t>
      </w:r>
      <w:r>
        <w:t xml:space="preserve"> </w:t>
      </w:r>
      <w:r>
        <w:rPr>
          <w:spacing w:val="-1"/>
        </w:rPr>
        <w:t>estimates</w:t>
      </w:r>
      <w:r>
        <w:t xml:space="preserve"> </w:t>
      </w:r>
      <w:r>
        <w:rPr>
          <w:spacing w:val="-1"/>
        </w:rPr>
        <w:t>ranging</w:t>
      </w:r>
      <w:r>
        <w:t xml:space="preserve"> </w:t>
      </w:r>
      <w:r>
        <w:rPr>
          <w:spacing w:val="-1"/>
        </w:rPr>
        <w:t>from</w:t>
      </w:r>
      <w:r>
        <w:t xml:space="preserve"> 0.39 to 0.62 and the </w:t>
      </w:r>
      <w:r>
        <w:rPr>
          <w:spacing w:val="-2"/>
        </w:rPr>
        <w:t>‘down’</w:t>
      </w:r>
      <w:r>
        <w:t xml:space="preserve"> </w:t>
      </w:r>
      <w:r>
        <w:rPr>
          <w:spacing w:val="-1"/>
        </w:rPr>
        <w:t>market</w:t>
      </w:r>
      <w:r>
        <w:t xml:space="preserve"> </w:t>
      </w:r>
      <w:r>
        <w:rPr>
          <w:spacing w:val="-1"/>
        </w:rPr>
        <w:t>estimates</w:t>
      </w:r>
      <w:r>
        <w:t xml:space="preserve"> </w:t>
      </w:r>
      <w:r>
        <w:rPr>
          <w:spacing w:val="-1"/>
        </w:rPr>
        <w:t>ranging</w:t>
      </w:r>
      <w:r>
        <w:t xml:space="preserve"> </w:t>
      </w:r>
      <w:r>
        <w:rPr>
          <w:spacing w:val="-1"/>
        </w:rPr>
        <w:t>from</w:t>
      </w:r>
      <w:r>
        <w:t xml:space="preserve"> 0.67</w:t>
      </w:r>
      <w:r>
        <w:rPr>
          <w:spacing w:val="59"/>
        </w:rPr>
        <w:t xml:space="preserve"> </w:t>
      </w:r>
      <w:r>
        <w:t>to 0.88.</w:t>
      </w:r>
    </w:p>
    <w:p w:rsidR="00D96B91" w:rsidRDefault="00C2656B">
      <w:pPr>
        <w:pStyle w:val="BodyText"/>
        <w:numPr>
          <w:ilvl w:val="0"/>
          <w:numId w:val="131"/>
        </w:numPr>
        <w:tabs>
          <w:tab w:val="left" w:pos="1531"/>
        </w:tabs>
        <w:spacing w:before="85" w:line="260" w:lineRule="exact"/>
        <w:ind w:right="1246" w:hanging="283"/>
      </w:pPr>
      <w:r>
        <w:t xml:space="preserve">SFG </w:t>
      </w:r>
      <w:r>
        <w:rPr>
          <w:spacing w:val="-1"/>
        </w:rPr>
        <w:t>argued</w:t>
      </w:r>
      <w:r>
        <w:t xml:space="preserve"> </w:t>
      </w:r>
      <w:r>
        <w:rPr>
          <w:spacing w:val="-1"/>
        </w:rPr>
        <w:t>that</w:t>
      </w:r>
      <w:r>
        <w:t xml:space="preserve"> investors would factor in </w:t>
      </w:r>
      <w:r>
        <w:rPr>
          <w:spacing w:val="-2"/>
        </w:rPr>
        <w:t>greater</w:t>
      </w:r>
      <w:r>
        <w:t xml:space="preserve"> sensitivities of</w:t>
      </w:r>
      <w:r>
        <w:rPr>
          <w:spacing w:val="4"/>
        </w:rPr>
        <w:t xml:space="preserve"> </w:t>
      </w:r>
      <w:r>
        <w:t xml:space="preserve">stock </w:t>
      </w:r>
      <w:r>
        <w:rPr>
          <w:spacing w:val="-1"/>
        </w:rPr>
        <w:t>returns</w:t>
      </w:r>
      <w:r>
        <w:t xml:space="preserve"> to falling </w:t>
      </w:r>
      <w:r>
        <w:rPr>
          <w:spacing w:val="-1"/>
        </w:rPr>
        <w:t>markets</w:t>
      </w:r>
      <w:r>
        <w:t xml:space="preserve"> and</w:t>
      </w:r>
      <w:r>
        <w:rPr>
          <w:spacing w:val="33"/>
        </w:rPr>
        <w:t xml:space="preserve"> </w:t>
      </w:r>
      <w:r>
        <w:t xml:space="preserve">lower sensitivities to rising </w:t>
      </w:r>
      <w:r>
        <w:rPr>
          <w:spacing w:val="-1"/>
        </w:rPr>
        <w:t>market</w:t>
      </w:r>
      <w:r>
        <w:t xml:space="preserve"> in forming </w:t>
      </w:r>
      <w:r>
        <w:rPr>
          <w:spacing w:val="-1"/>
        </w:rPr>
        <w:t>expectations.</w:t>
      </w:r>
      <w:r>
        <w:rPr>
          <w:spacing w:val="-6"/>
        </w:rPr>
        <w:t xml:space="preserve"> </w:t>
      </w:r>
      <w:r>
        <w:t xml:space="preserve">It </w:t>
      </w:r>
      <w:r>
        <w:rPr>
          <w:spacing w:val="-1"/>
        </w:rPr>
        <w:t>therefore</w:t>
      </w:r>
      <w:r>
        <w:t xml:space="preserve"> </w:t>
      </w:r>
      <w:r>
        <w:rPr>
          <w:spacing w:val="-1"/>
        </w:rPr>
        <w:t>recommended</w:t>
      </w:r>
      <w:r>
        <w:t xml:space="preserve"> an equity beta</w:t>
      </w:r>
      <w:r>
        <w:rPr>
          <w:spacing w:val="39"/>
        </w:rPr>
        <w:t xml:space="preserve"> </w:t>
      </w:r>
      <w:r>
        <w:t>of</w:t>
      </w:r>
      <w:r>
        <w:rPr>
          <w:spacing w:val="4"/>
        </w:rPr>
        <w:t xml:space="preserve"> </w:t>
      </w:r>
      <w:r>
        <w:t>0.90,</w:t>
      </w:r>
      <w:r>
        <w:rPr>
          <w:spacing w:val="-6"/>
        </w:rPr>
        <w:t xml:space="preserve"> </w:t>
      </w:r>
      <w:r>
        <w:t xml:space="preserve">which is </w:t>
      </w:r>
      <w:r>
        <w:rPr>
          <w:spacing w:val="-1"/>
        </w:rPr>
        <w:t>at</w:t>
      </w:r>
      <w:r>
        <w:t xml:space="preserve"> the upper bound of</w:t>
      </w:r>
      <w:r>
        <w:rPr>
          <w:spacing w:val="4"/>
        </w:rPr>
        <w:t xml:space="preserve"> </w:t>
      </w:r>
      <w:r>
        <w:t xml:space="preserve">the </w:t>
      </w:r>
      <w:r>
        <w:rPr>
          <w:spacing w:val="-2"/>
        </w:rPr>
        <w:t>‘down’</w:t>
      </w:r>
      <w:r>
        <w:t xml:space="preserve"> </w:t>
      </w:r>
      <w:r>
        <w:rPr>
          <w:spacing w:val="-1"/>
        </w:rPr>
        <w:t>market</w:t>
      </w:r>
      <w:r>
        <w:t xml:space="preserve"> beta </w:t>
      </w:r>
      <w:r>
        <w:rPr>
          <w:spacing w:val="-1"/>
        </w:rPr>
        <w:t>range.</w:t>
      </w:r>
    </w:p>
    <w:p w:rsidR="00D96B91" w:rsidRDefault="00D96B91">
      <w:pPr>
        <w:spacing w:before="3"/>
        <w:rPr>
          <w:rFonts w:ascii="Avenir Next" w:eastAsia="Avenir Next" w:hAnsi="Avenir Next" w:cs="Avenir Next"/>
          <w:sz w:val="17"/>
          <w:szCs w:val="17"/>
        </w:rPr>
      </w:pPr>
    </w:p>
    <w:p w:rsidR="00D96B91" w:rsidRDefault="00C2656B">
      <w:pPr>
        <w:pStyle w:val="BodyText"/>
        <w:rPr>
          <w:rFonts w:cs="Avenir Next"/>
        </w:rPr>
      </w:pPr>
      <w:r>
        <w:rPr>
          <w:spacing w:val="-2"/>
        </w:rPr>
        <w:t>The</w:t>
      </w:r>
      <w:r>
        <w:t xml:space="preserve"> two </w:t>
      </w:r>
      <w:r>
        <w:rPr>
          <w:spacing w:val="-1"/>
        </w:rPr>
        <w:t>observations</w:t>
      </w:r>
      <w:r>
        <w:t xml:space="preserve"> </w:t>
      </w:r>
      <w:r>
        <w:rPr>
          <w:spacing w:val="-1"/>
        </w:rPr>
        <w:t>that</w:t>
      </w:r>
      <w:r>
        <w:t xml:space="preserve"> the </w:t>
      </w:r>
      <w:r>
        <w:rPr>
          <w:spacing w:val="-3"/>
        </w:rPr>
        <w:t>Panel</w:t>
      </w:r>
      <w:r>
        <w:t xml:space="preserve"> would </w:t>
      </w:r>
      <w:r>
        <w:rPr>
          <w:spacing w:val="-1"/>
        </w:rPr>
        <w:t>make</w:t>
      </w:r>
      <w:r>
        <w:t xml:space="preserve"> about this advice </w:t>
      </w:r>
      <w:r>
        <w:rPr>
          <w:spacing w:val="-2"/>
        </w:rPr>
        <w:t>are</w:t>
      </w:r>
      <w:r>
        <w:t xml:space="preserve"> as follows:</w:t>
      </w:r>
    </w:p>
    <w:p w:rsidR="00D96B91" w:rsidRDefault="00C2656B">
      <w:pPr>
        <w:pStyle w:val="BodyText"/>
        <w:numPr>
          <w:ilvl w:val="0"/>
          <w:numId w:val="131"/>
        </w:numPr>
        <w:tabs>
          <w:tab w:val="left" w:pos="1531"/>
        </w:tabs>
        <w:spacing w:before="149" w:line="260" w:lineRule="exact"/>
        <w:ind w:right="1692" w:hanging="283"/>
      </w:pPr>
      <w:r>
        <w:rPr>
          <w:spacing w:val="-2"/>
        </w:rPr>
        <w:t>The</w:t>
      </w:r>
      <w:r>
        <w:t xml:space="preserve"> equity beta </w:t>
      </w:r>
      <w:r>
        <w:rPr>
          <w:spacing w:val="-1"/>
        </w:rPr>
        <w:t>range</w:t>
      </w:r>
      <w:r>
        <w:t xml:space="preserve"> </w:t>
      </w:r>
      <w:r>
        <w:rPr>
          <w:spacing w:val="-1"/>
        </w:rPr>
        <w:t>estimated</w:t>
      </w:r>
      <w:r>
        <w:t xml:space="preserve"> by the </w:t>
      </w:r>
      <w:r>
        <w:rPr>
          <w:spacing w:val="-3"/>
        </w:rPr>
        <w:t>Panel</w:t>
      </w:r>
      <w:r>
        <w:t xml:space="preserve"> (0.53 to 0.77) is </w:t>
      </w:r>
      <w:r>
        <w:rPr>
          <w:spacing w:val="-1"/>
        </w:rPr>
        <w:t>broadly</w:t>
      </w:r>
      <w:r>
        <w:t xml:space="preserve"> consistent with the equity</w:t>
      </w:r>
      <w:r>
        <w:rPr>
          <w:spacing w:val="35"/>
        </w:rPr>
        <w:t xml:space="preserve"> </w:t>
      </w:r>
      <w:r>
        <w:t xml:space="preserve">beta </w:t>
      </w:r>
      <w:r>
        <w:rPr>
          <w:spacing w:val="-1"/>
        </w:rPr>
        <w:t>range</w:t>
      </w:r>
      <w:r>
        <w:t xml:space="preserve"> SFG </w:t>
      </w:r>
      <w:r>
        <w:rPr>
          <w:spacing w:val="-1"/>
        </w:rPr>
        <w:t>estimated</w:t>
      </w:r>
      <w:r>
        <w:t xml:space="preserve"> for the whole sample (ie,</w:t>
      </w:r>
      <w:r>
        <w:rPr>
          <w:spacing w:val="-7"/>
        </w:rPr>
        <w:t xml:space="preserve"> </w:t>
      </w:r>
      <w:r>
        <w:t>0.58 to 0.71).</w:t>
      </w:r>
    </w:p>
    <w:p w:rsidR="00D96B91" w:rsidRDefault="00C2656B">
      <w:pPr>
        <w:pStyle w:val="BodyText"/>
        <w:numPr>
          <w:ilvl w:val="0"/>
          <w:numId w:val="131"/>
        </w:numPr>
        <w:tabs>
          <w:tab w:val="left" w:pos="1531"/>
        </w:tabs>
        <w:spacing w:before="85" w:line="260" w:lineRule="exact"/>
        <w:ind w:right="1391" w:hanging="283"/>
      </w:pPr>
      <w:r>
        <w:t xml:space="preserve">SFG has accounted for asymmetric </w:t>
      </w:r>
      <w:r>
        <w:rPr>
          <w:spacing w:val="-1"/>
        </w:rPr>
        <w:t>exposure</w:t>
      </w:r>
      <w:r>
        <w:t xml:space="preserve"> to </w:t>
      </w:r>
      <w:r>
        <w:rPr>
          <w:spacing w:val="-1"/>
        </w:rPr>
        <w:t>market</w:t>
      </w:r>
      <w:r>
        <w:t xml:space="preserve"> conditions in </w:t>
      </w:r>
      <w:r>
        <w:rPr>
          <w:spacing w:val="-1"/>
        </w:rPr>
        <w:t>recommending</w:t>
      </w:r>
      <w:r>
        <w:t xml:space="preserve"> the beta of</w:t>
      </w:r>
      <w:r>
        <w:rPr>
          <w:spacing w:val="25"/>
        </w:rPr>
        <w:t xml:space="preserve"> </w:t>
      </w:r>
      <w:r>
        <w:t>0.90,</w:t>
      </w:r>
      <w:r>
        <w:rPr>
          <w:spacing w:val="-6"/>
        </w:rPr>
        <w:t xml:space="preserve"> </w:t>
      </w:r>
      <w:r>
        <w:t>especially the sensitivities of</w:t>
      </w:r>
      <w:r>
        <w:rPr>
          <w:spacing w:val="4"/>
        </w:rPr>
        <w:t xml:space="preserve"> </w:t>
      </w:r>
      <w:r>
        <w:t xml:space="preserve">stock </w:t>
      </w:r>
      <w:r>
        <w:rPr>
          <w:spacing w:val="-1"/>
        </w:rPr>
        <w:t>returns</w:t>
      </w:r>
      <w:r>
        <w:t xml:space="preserve"> to falling </w:t>
      </w:r>
      <w:r>
        <w:rPr>
          <w:spacing w:val="-1"/>
        </w:rPr>
        <w:t>markets.</w:t>
      </w:r>
      <w:r>
        <w:rPr>
          <w:spacing w:val="-11"/>
        </w:rPr>
        <w:t xml:space="preserve"> </w:t>
      </w:r>
      <w:r>
        <w:rPr>
          <w:spacing w:val="-2"/>
        </w:rPr>
        <w:t>The</w:t>
      </w:r>
      <w:r>
        <w:t xml:space="preserve"> </w:t>
      </w:r>
      <w:r>
        <w:rPr>
          <w:spacing w:val="-3"/>
        </w:rPr>
        <w:t>Panel</w:t>
      </w:r>
      <w:r>
        <w:t xml:space="preserve"> has </w:t>
      </w:r>
      <w:r>
        <w:rPr>
          <w:spacing w:val="-1"/>
        </w:rPr>
        <w:t>taken</w:t>
      </w:r>
      <w:r>
        <w:t xml:space="preserve"> into account</w:t>
      </w:r>
      <w:r>
        <w:rPr>
          <w:spacing w:val="27"/>
        </w:rPr>
        <w:t xml:space="preserve"> </w:t>
      </w:r>
      <w:r>
        <w:rPr>
          <w:rFonts w:cs="Avenir Next"/>
        </w:rPr>
        <w:t>the impact of</w:t>
      </w:r>
      <w:r>
        <w:rPr>
          <w:rFonts w:cs="Avenir Next"/>
          <w:spacing w:val="4"/>
        </w:rPr>
        <w:t xml:space="preserve"> </w:t>
      </w:r>
      <w:r>
        <w:rPr>
          <w:rFonts w:cs="Avenir Next"/>
          <w:spacing w:val="-1"/>
        </w:rPr>
        <w:t>overall</w:t>
      </w:r>
      <w:r>
        <w:rPr>
          <w:rFonts w:cs="Avenir Next"/>
        </w:rPr>
        <w:t xml:space="preserve"> </w:t>
      </w:r>
      <w:r>
        <w:rPr>
          <w:rFonts w:cs="Avenir Next"/>
          <w:spacing w:val="-1"/>
        </w:rPr>
        <w:t>market</w:t>
      </w:r>
      <w:r>
        <w:rPr>
          <w:rFonts w:cs="Avenir Next"/>
        </w:rPr>
        <w:t xml:space="preserve"> conditions on investors’ </w:t>
      </w:r>
      <w:r>
        <w:rPr>
          <w:rFonts w:cs="Avenir Next"/>
          <w:spacing w:val="-1"/>
        </w:rPr>
        <w:t>expectations</w:t>
      </w:r>
      <w:r>
        <w:rPr>
          <w:rFonts w:cs="Avenir Next"/>
        </w:rPr>
        <w:t xml:space="preserve"> on the </w:t>
      </w:r>
      <w:r>
        <w:rPr>
          <w:rFonts w:cs="Avenir Next"/>
          <w:spacing w:val="-1"/>
        </w:rPr>
        <w:t>required</w:t>
      </w:r>
      <w:r>
        <w:rPr>
          <w:rFonts w:cs="Avenir Next"/>
        </w:rPr>
        <w:t xml:space="preserve"> cost of</w:t>
      </w:r>
      <w:r>
        <w:rPr>
          <w:rFonts w:cs="Avenir Next"/>
          <w:spacing w:val="4"/>
        </w:rPr>
        <w:t xml:space="preserve"> </w:t>
      </w:r>
      <w:r>
        <w:rPr>
          <w:rFonts w:cs="Avenir Next"/>
        </w:rPr>
        <w:t>equity by</w:t>
      </w:r>
      <w:r>
        <w:rPr>
          <w:rFonts w:cs="Avenir Next"/>
          <w:spacing w:val="29"/>
        </w:rPr>
        <w:t xml:space="preserve"> </w:t>
      </w:r>
      <w:r>
        <w:t>adopting</w:t>
      </w:r>
      <w:r>
        <w:rPr>
          <w:spacing w:val="-1"/>
        </w:rPr>
        <w:t xml:space="preserve"> </w:t>
      </w:r>
      <w:r>
        <w:t>implied</w:t>
      </w:r>
      <w:r>
        <w:rPr>
          <w:spacing w:val="-1"/>
        </w:rPr>
        <w:t xml:space="preserve"> </w:t>
      </w:r>
      <w:r>
        <w:rPr>
          <w:spacing w:val="-2"/>
        </w:rPr>
        <w:t>MRPs,</w:t>
      </w:r>
      <w:r>
        <w:rPr>
          <w:spacing w:val="-7"/>
        </w:rPr>
        <w:t xml:space="preserve"> </w:t>
      </w:r>
      <w:r>
        <w:t>which</w:t>
      </w:r>
      <w:r>
        <w:rPr>
          <w:spacing w:val="-1"/>
        </w:rPr>
        <w:t xml:space="preserve"> </w:t>
      </w:r>
      <w:r>
        <w:rPr>
          <w:spacing w:val="-2"/>
        </w:rPr>
        <w:t>are</w:t>
      </w:r>
      <w:r>
        <w:rPr>
          <w:spacing w:val="-1"/>
        </w:rPr>
        <w:t xml:space="preserve"> </w:t>
      </w:r>
      <w:r>
        <w:t>influenced</w:t>
      </w:r>
      <w:r>
        <w:rPr>
          <w:spacing w:val="-1"/>
        </w:rPr>
        <w:t xml:space="preserve"> </w:t>
      </w:r>
      <w:r>
        <w:t>by</w:t>
      </w:r>
      <w:r>
        <w:rPr>
          <w:spacing w:val="-1"/>
        </w:rPr>
        <w:t xml:space="preserve"> </w:t>
      </w:r>
      <w:r>
        <w:t>changing investors’</w:t>
      </w:r>
      <w:r>
        <w:rPr>
          <w:spacing w:val="-1"/>
        </w:rPr>
        <w:t xml:space="preserve"> expectations </w:t>
      </w:r>
      <w:r>
        <w:t>(risk</w:t>
      </w:r>
      <w:r>
        <w:rPr>
          <w:spacing w:val="-1"/>
        </w:rPr>
        <w:t xml:space="preserve"> </w:t>
      </w:r>
      <w:r>
        <w:t>aversion)</w:t>
      </w:r>
    </w:p>
    <w:p w:rsidR="00D96B91" w:rsidRDefault="00C2656B">
      <w:pPr>
        <w:pStyle w:val="BodyText"/>
        <w:spacing w:line="260" w:lineRule="exact"/>
        <w:ind w:left="1530" w:right="1283"/>
      </w:pPr>
      <w:r>
        <w:t xml:space="preserve">in all </w:t>
      </w:r>
      <w:r>
        <w:rPr>
          <w:spacing w:val="-1"/>
        </w:rPr>
        <w:t>market</w:t>
      </w:r>
      <w:r>
        <w:t xml:space="preserve"> conditions.</w:t>
      </w:r>
      <w:r>
        <w:rPr>
          <w:spacing w:val="-11"/>
        </w:rPr>
        <w:t xml:space="preserve"> </w:t>
      </w:r>
      <w:r>
        <w:rPr>
          <w:spacing w:val="-2"/>
        </w:rPr>
        <w:t>The</w:t>
      </w:r>
      <w:r>
        <w:t xml:space="preserve"> </w:t>
      </w:r>
      <w:r>
        <w:rPr>
          <w:spacing w:val="-3"/>
        </w:rPr>
        <w:t>Panel</w:t>
      </w:r>
      <w:r>
        <w:t xml:space="preserve"> does not </w:t>
      </w:r>
      <w:r>
        <w:rPr>
          <w:spacing w:val="-1"/>
        </w:rPr>
        <w:t>therefore</w:t>
      </w:r>
      <w:r>
        <w:t xml:space="preserve"> think it is </w:t>
      </w:r>
      <w:r>
        <w:rPr>
          <w:spacing w:val="-1"/>
        </w:rPr>
        <w:t>appropriate</w:t>
      </w:r>
      <w:r>
        <w:t xml:space="preserve"> to </w:t>
      </w:r>
      <w:r>
        <w:rPr>
          <w:spacing w:val="-1"/>
        </w:rPr>
        <w:t>make</w:t>
      </w:r>
      <w:r>
        <w:t xml:space="preserve"> another</w:t>
      </w:r>
      <w:r>
        <w:rPr>
          <w:spacing w:val="27"/>
        </w:rPr>
        <w:t xml:space="preserve"> </w:t>
      </w:r>
      <w:r>
        <w:rPr>
          <w:spacing w:val="-1"/>
        </w:rPr>
        <w:t>compensatory</w:t>
      </w:r>
      <w:r>
        <w:t xml:space="preserve"> adjustment to the equity beta.</w:t>
      </w:r>
    </w:p>
    <w:p w:rsidR="00D96B91" w:rsidRDefault="00D96B91">
      <w:pPr>
        <w:spacing w:before="8"/>
        <w:rPr>
          <w:rFonts w:ascii="Avenir Next" w:eastAsia="Avenir Next" w:hAnsi="Avenir Next" w:cs="Avenir Next"/>
          <w:sz w:val="24"/>
          <w:szCs w:val="24"/>
        </w:rPr>
      </w:pPr>
    </w:p>
    <w:p w:rsidR="00D96B91" w:rsidRDefault="00C2656B">
      <w:pPr>
        <w:pStyle w:val="Heading6"/>
        <w:ind w:left="1247" w:firstLine="0"/>
      </w:pPr>
      <w:r>
        <w:rPr>
          <w:color w:val="0778BE"/>
        </w:rPr>
        <w:t xml:space="preserve">A8.2.3 </w:t>
      </w:r>
      <w:r>
        <w:rPr>
          <w:color w:val="0778BE"/>
          <w:spacing w:val="6"/>
        </w:rPr>
        <w:t xml:space="preserve"> </w:t>
      </w:r>
      <w:r>
        <w:rPr>
          <w:color w:val="0778BE"/>
          <w:spacing w:val="-1"/>
        </w:rPr>
        <w:t>Cost</w:t>
      </w:r>
      <w:r>
        <w:rPr>
          <w:color w:val="0778BE"/>
        </w:rPr>
        <w:t xml:space="preserve"> of</w:t>
      </w:r>
      <w:r>
        <w:rPr>
          <w:color w:val="0778BE"/>
          <w:spacing w:val="5"/>
        </w:rPr>
        <w:t xml:space="preserve"> </w:t>
      </w:r>
      <w:r>
        <w:rPr>
          <w:color w:val="0778BE"/>
        </w:rPr>
        <w:t>equity</w:t>
      </w:r>
    </w:p>
    <w:p w:rsidR="00D96B91" w:rsidRDefault="00D96B91">
      <w:pPr>
        <w:pStyle w:val="BodyText"/>
        <w:tabs>
          <w:tab w:val="left" w:pos="4116"/>
        </w:tabs>
        <w:spacing w:before="21" w:line="260" w:lineRule="exact"/>
        <w:ind w:right="1533"/>
      </w:pPr>
      <w:r w:rsidRPr="00D96B91">
        <w:pict>
          <v:group id="_x0000_s1298" style="position:absolute;left:0;text-align:left;margin-left:192.25pt;margin-top:16.15pt;width:9.35pt;height:9.5pt;z-index:-251713024;mso-position-horizontal-relative:page" coordorigin="3845,323" coordsize="187,190">
            <v:group id="_x0000_s1303" style="position:absolute;left:3845;top:323;width:116;height:190" coordorigin="3845,323" coordsize="116,190">
              <v:shape id="_x0000_s1306" style="position:absolute;left:3845;top:323;width:116;height:190" coordorigin="3845,323" coordsize="116,190" path="m3938,323r-20,l3910,325r-65,188l3861,513r11,-49l3925,464r3,-2l3894,462r-3,l3876,451r1,-4l3891,381r27,-50l3953,331r-7,-6l3938,323xe" fillcolor="black" stroked="f">
                <v:path arrowok="t"/>
              </v:shape>
              <v:shape id="_x0000_s1305" style="position:absolute;left:3845;top:323;width:116;height:190" coordorigin="3845,323" coordsize="116,190" path="m3925,464r-53,l3877,467r4,1l3890,470r5,l3910,470r8,-2l3925,464xe" fillcolor="black" stroked="f">
                <v:path arrowok="t"/>
              </v:shape>
              <v:shape id="_x0000_s1304" style="position:absolute;left:3845;top:323;width:116;height:190" coordorigin="3845,323" coordsize="116,190" path="m3953,331r-21,l3936,332r6,6l3943,343r,13l3942,362r-37,27l3903,396r8,1l3917,399r9,9l3928,414r,15l3904,462r24,l3932,460r5,-5l3944,441r2,-8l3946,425r-6,-20l3922,393r,-1l3960,353r,-12l3958,335r-5,-4xe" fillcolor="black" stroked="f">
                <v:path arrowok="t"/>
              </v:shape>
            </v:group>
            <v:group id="_x0000_s1299" style="position:absolute;left:3967;top:437;width:65;height:76" coordorigin="3967,437" coordsize="65,76">
              <v:shape id="_x0000_s1302" style="position:absolute;left:3967;top:437;width:65;height:76" coordorigin="3967,437" coordsize="65,76" path="m4019,437r-13,l4000,438r-12,6l3983,448r-4,5l3977,455r-10,37l3968,494r19,18l3997,512r6,-2l4014,505r3,-3l3990,502r-4,-1l3982,496r-1,-3l3981,484r,-1l3982,480r24,-4l4017,471r-34,l3985,467r22,-23l4030,444r,-1l4023,438r-4,-1xe" fillcolor="black" stroked="f">
                <v:path arrowok="t"/>
              </v:shape>
              <v:shape id="_x0000_s1301" style="position:absolute;left:3967;top:437;width:65;height:76" coordorigin="3967,437" coordsize="65,76" path="m4020,489r-23,13l4017,502r3,-1l4025,495r-5,-6xe" fillcolor="black" stroked="f">
                <v:path arrowok="t"/>
              </v:shape>
              <v:shape id="_x0000_s1300" style="position:absolute;left:3967;top:437;width:65;height:76" coordorigin="3967,437" coordsize="65,76" path="m4030,444r-18,l4014,445r3,3l4018,450r,7l4018,458r-35,13l4017,471r8,-3l4031,453r,-6l4030,444xe" fillcolor="black" stroked="f">
                <v:path arrowok="t"/>
              </v:shape>
            </v:group>
            <w10:wrap anchorx="page"/>
          </v:group>
        </w:pict>
      </w:r>
      <w:r w:rsidR="00C2656B">
        <w:rPr>
          <w:spacing w:val="-4"/>
        </w:rPr>
        <w:t>For</w:t>
      </w:r>
      <w:r w:rsidR="00C2656B">
        <w:t xml:space="preserve"> the </w:t>
      </w:r>
      <w:r w:rsidR="00C2656B">
        <w:rPr>
          <w:spacing w:val="-1"/>
        </w:rPr>
        <w:t>reasons</w:t>
      </w:r>
      <w:r w:rsidR="00C2656B">
        <w:t xml:space="preserve"> set out above,</w:t>
      </w:r>
      <w:r w:rsidR="00C2656B">
        <w:rPr>
          <w:spacing w:val="-6"/>
        </w:rPr>
        <w:t xml:space="preserve"> </w:t>
      </w:r>
      <w:r w:rsidR="00C2656B">
        <w:t xml:space="preserve">the </w:t>
      </w:r>
      <w:r w:rsidR="00C2656B">
        <w:rPr>
          <w:spacing w:val="-3"/>
        </w:rPr>
        <w:t>Panel</w:t>
      </w:r>
      <w:r w:rsidR="00C2656B">
        <w:t xml:space="preserve"> has made a </w:t>
      </w:r>
      <w:r w:rsidR="00C2656B">
        <w:rPr>
          <w:spacing w:val="-2"/>
        </w:rPr>
        <w:t>draft</w:t>
      </w:r>
      <w:r w:rsidR="00C2656B">
        <w:t xml:space="preserve"> decision to adopt a cost of</w:t>
      </w:r>
      <w:r w:rsidR="00C2656B">
        <w:rPr>
          <w:spacing w:val="4"/>
        </w:rPr>
        <w:t xml:space="preserve"> </w:t>
      </w:r>
      <w:r w:rsidR="00C2656B">
        <w:t>equity of</w:t>
      </w:r>
      <w:r w:rsidR="00C2656B">
        <w:rPr>
          <w:spacing w:val="4"/>
        </w:rPr>
        <w:t xml:space="preserve"> </w:t>
      </w:r>
      <w:r w:rsidR="00C2656B">
        <w:t>8.28%</w:t>
      </w:r>
      <w:r w:rsidR="00C2656B">
        <w:rPr>
          <w:spacing w:val="21"/>
        </w:rPr>
        <w:t xml:space="preserve"> </w:t>
      </w:r>
      <w:r w:rsidR="00C2656B">
        <w:rPr>
          <w:rFonts w:cs="Avenir Next"/>
        </w:rPr>
        <w:t>(R</w:t>
      </w:r>
      <w:r w:rsidR="00C2656B">
        <w:rPr>
          <w:rFonts w:cs="Avenir Next"/>
          <w:position w:val="-6"/>
          <w:sz w:val="11"/>
          <w:szCs w:val="11"/>
        </w:rPr>
        <w:t>f</w:t>
      </w:r>
      <w:r w:rsidR="00C2656B">
        <w:t>=3.22%,</w:t>
      </w:r>
      <w:r w:rsidR="00C2656B">
        <w:rPr>
          <w:spacing w:val="-6"/>
        </w:rPr>
        <w:t xml:space="preserve"> </w:t>
      </w:r>
      <w:r w:rsidR="00C2656B">
        <w:t>MRP=7.23%</w:t>
      </w:r>
      <w:r w:rsidR="00C2656B">
        <w:rPr>
          <w:spacing w:val="1"/>
        </w:rPr>
        <w:t xml:space="preserve"> </w:t>
      </w:r>
      <w:r w:rsidR="00C2656B">
        <w:t>and</w:t>
      </w:r>
      <w:r w:rsidR="00C2656B">
        <w:tab/>
        <w:t>=</w:t>
      </w:r>
      <w:r w:rsidR="00C2656B">
        <w:rPr>
          <w:spacing w:val="-1"/>
        </w:rPr>
        <w:t xml:space="preserve"> </w:t>
      </w:r>
      <w:r w:rsidR="00C2656B">
        <w:t>0.70).</w:t>
      </w:r>
      <w:r w:rsidR="00C2656B">
        <w:rPr>
          <w:spacing w:val="-12"/>
        </w:rPr>
        <w:t xml:space="preserve"> </w:t>
      </w:r>
      <w:r w:rsidR="00C2656B">
        <w:rPr>
          <w:spacing w:val="-1"/>
        </w:rPr>
        <w:t>This</w:t>
      </w:r>
      <w:r w:rsidR="00C2656B">
        <w:t xml:space="preserve"> is </w:t>
      </w:r>
      <w:r w:rsidR="00C2656B">
        <w:rPr>
          <w:spacing w:val="-1"/>
        </w:rPr>
        <w:t xml:space="preserve">approximately </w:t>
      </w:r>
      <w:r w:rsidR="00C2656B">
        <w:t>5.48% higher</w:t>
      </w:r>
      <w:r w:rsidR="00C2656B">
        <w:rPr>
          <w:spacing w:val="-1"/>
        </w:rPr>
        <w:t xml:space="preserve"> </w:t>
      </w:r>
      <w:r w:rsidR="00C2656B">
        <w:t xml:space="preserve">than the </w:t>
      </w:r>
      <w:r w:rsidR="00C2656B">
        <w:rPr>
          <w:spacing w:val="-2"/>
        </w:rPr>
        <w:t>ICRC’s</w:t>
      </w:r>
      <w:r w:rsidR="00C2656B">
        <w:rPr>
          <w:spacing w:val="-1"/>
        </w:rPr>
        <w:t xml:space="preserve"> </w:t>
      </w:r>
      <w:r w:rsidR="00C2656B">
        <w:t>final</w:t>
      </w:r>
      <w:r w:rsidR="00C2656B">
        <w:rPr>
          <w:spacing w:val="28"/>
          <w:w w:val="99"/>
        </w:rPr>
        <w:t xml:space="preserve"> </w:t>
      </w:r>
      <w:r w:rsidR="00C2656B">
        <w:t>decision for 2013-14 and 2014-15 and 2.36% lower than</w:t>
      </w:r>
      <w:r w:rsidR="00C2656B">
        <w:rPr>
          <w:spacing w:val="-4"/>
        </w:rPr>
        <w:t xml:space="preserve"> </w:t>
      </w:r>
      <w:r w:rsidR="00C2656B">
        <w:rPr>
          <w:spacing w:val="-2"/>
        </w:rPr>
        <w:t>ACTEW’s</w:t>
      </w:r>
      <w:r w:rsidR="00C2656B">
        <w:t xml:space="preserve"> </w:t>
      </w:r>
      <w:r w:rsidR="00C2656B">
        <w:rPr>
          <w:spacing w:val="-1"/>
        </w:rPr>
        <w:t>proposal.</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pPr>
      <w:r>
        <w:rPr>
          <w:color w:val="0778BE"/>
        </w:rPr>
        <w:t>A8.</w:t>
      </w:r>
      <w:r>
        <w:rPr>
          <w:color w:val="0778BE"/>
          <w:spacing w:val="-9"/>
        </w:rPr>
        <w:t xml:space="preserve"> </w:t>
      </w:r>
      <w:r>
        <w:rPr>
          <w:color w:val="0778BE"/>
        </w:rPr>
        <w:t>3</w:t>
      </w:r>
      <w:r>
        <w:rPr>
          <w:color w:val="0778BE"/>
        </w:rPr>
        <w:tab/>
      </w:r>
      <w:r>
        <w:rPr>
          <w:color w:val="0778BE"/>
          <w:spacing w:val="-1"/>
        </w:rPr>
        <w:t>Gearing</w:t>
      </w:r>
      <w:r>
        <w:rPr>
          <w:color w:val="0778BE"/>
        </w:rPr>
        <w:t xml:space="preserve"> </w:t>
      </w:r>
      <w:r>
        <w:rPr>
          <w:color w:val="0778BE"/>
          <w:spacing w:val="-2"/>
        </w:rPr>
        <w:t>ratio</w:t>
      </w:r>
    </w:p>
    <w:p w:rsidR="00D96B91" w:rsidRDefault="00C2656B">
      <w:pPr>
        <w:pStyle w:val="BodyText"/>
        <w:spacing w:before="55" w:line="260" w:lineRule="exact"/>
        <w:ind w:right="1256"/>
      </w:pPr>
      <w:r>
        <w:rPr>
          <w:spacing w:val="-2"/>
        </w:rPr>
        <w:t>The</w:t>
      </w:r>
      <w:r>
        <w:rPr>
          <w:spacing w:val="-1"/>
        </w:rPr>
        <w:t xml:space="preserve"> </w:t>
      </w:r>
      <w:r>
        <w:t>value of</w:t>
      </w:r>
      <w:r>
        <w:rPr>
          <w:spacing w:val="4"/>
        </w:rPr>
        <w:t xml:space="preserve"> </w:t>
      </w:r>
      <w:r>
        <w:t>debt and equity</w:t>
      </w:r>
      <w:r>
        <w:rPr>
          <w:spacing w:val="-1"/>
        </w:rPr>
        <w:t xml:space="preserve"> </w:t>
      </w:r>
      <w:r>
        <w:t xml:space="preserve">as a </w:t>
      </w:r>
      <w:r>
        <w:rPr>
          <w:spacing w:val="-1"/>
        </w:rPr>
        <w:t>proportion</w:t>
      </w:r>
      <w:r>
        <w:t xml:space="preserve"> of</w:t>
      </w:r>
      <w:r>
        <w:rPr>
          <w:spacing w:val="3"/>
        </w:rPr>
        <w:t xml:space="preserve"> </w:t>
      </w:r>
      <w:r>
        <w:t xml:space="preserve">the </w:t>
      </w:r>
      <w:r>
        <w:rPr>
          <w:spacing w:val="-1"/>
        </w:rPr>
        <w:t>overall</w:t>
      </w:r>
      <w:r>
        <w:t xml:space="preserve"> asset value is</w:t>
      </w:r>
      <w:r>
        <w:rPr>
          <w:spacing w:val="-1"/>
        </w:rPr>
        <w:t xml:space="preserve"> </w:t>
      </w:r>
      <w:r>
        <w:t xml:space="preserve">the final </w:t>
      </w:r>
      <w:r>
        <w:rPr>
          <w:spacing w:val="-1"/>
        </w:rPr>
        <w:t>parameter</w:t>
      </w:r>
      <w:r>
        <w:t xml:space="preserve"> </w:t>
      </w:r>
      <w:r>
        <w:rPr>
          <w:spacing w:val="-1"/>
        </w:rPr>
        <w:t>required</w:t>
      </w:r>
      <w:r>
        <w:t xml:space="preserve"> to</w:t>
      </w:r>
      <w:r>
        <w:rPr>
          <w:spacing w:val="31"/>
        </w:rPr>
        <w:t xml:space="preserve"> </w:t>
      </w:r>
      <w:r>
        <w:rPr>
          <w:spacing w:val="-1"/>
        </w:rPr>
        <w:t>calculate</w:t>
      </w:r>
      <w:r>
        <w:t xml:space="preserve"> the</w:t>
      </w:r>
      <w:r>
        <w:rPr>
          <w:spacing w:val="-3"/>
        </w:rPr>
        <w:t xml:space="preserve"> </w:t>
      </w:r>
      <w:r>
        <w:rPr>
          <w:spacing w:val="-2"/>
        </w:rPr>
        <w:t>WACC.</w:t>
      </w:r>
    </w:p>
    <w:p w:rsidR="00D96B91" w:rsidRDefault="00C2656B">
      <w:pPr>
        <w:pStyle w:val="BodyText"/>
        <w:spacing w:before="170" w:line="260" w:lineRule="exact"/>
        <w:ind w:right="1275"/>
      </w:pPr>
      <w:r>
        <w:t xml:space="preserve">Under the benchmark </w:t>
      </w:r>
      <w:r>
        <w:rPr>
          <w:spacing w:val="-1"/>
        </w:rPr>
        <w:t>approach</w:t>
      </w:r>
      <w:r>
        <w:t xml:space="preserve"> to </w:t>
      </w:r>
      <w:r>
        <w:rPr>
          <w:spacing w:val="-1"/>
        </w:rPr>
        <w:t>calculating</w:t>
      </w:r>
      <w:r>
        <w:t xml:space="preserve"> the</w:t>
      </w:r>
      <w:r>
        <w:rPr>
          <w:spacing w:val="-3"/>
        </w:rPr>
        <w:t xml:space="preserve"> </w:t>
      </w:r>
      <w:r>
        <w:rPr>
          <w:spacing w:val="-2"/>
        </w:rPr>
        <w:t>WACC,</w:t>
      </w:r>
      <w:r>
        <w:rPr>
          <w:spacing w:val="-6"/>
        </w:rPr>
        <w:t xml:space="preserve"> </w:t>
      </w:r>
      <w:r>
        <w:rPr>
          <w:spacing w:val="-1"/>
        </w:rPr>
        <w:t>regulators</w:t>
      </w:r>
      <w:r>
        <w:t xml:space="preserve"> usually apply a benchmark</w:t>
      </w:r>
      <w:r>
        <w:rPr>
          <w:spacing w:val="35"/>
        </w:rPr>
        <w:t xml:space="preserve"> </w:t>
      </w:r>
      <w:r>
        <w:rPr>
          <w:spacing w:val="-1"/>
        </w:rPr>
        <w:t>gearing ratio rather</w:t>
      </w:r>
      <w:r>
        <w:t xml:space="preserve"> than</w:t>
      </w:r>
      <w:r>
        <w:rPr>
          <w:spacing w:val="-1"/>
        </w:rPr>
        <w:t xml:space="preserve"> </w:t>
      </w:r>
      <w:r>
        <w:t>the actual</w:t>
      </w:r>
      <w:r>
        <w:rPr>
          <w:spacing w:val="-1"/>
        </w:rPr>
        <w:t xml:space="preserve"> </w:t>
      </w:r>
      <w:r>
        <w:t xml:space="preserve">financial </w:t>
      </w:r>
      <w:r>
        <w:rPr>
          <w:spacing w:val="-1"/>
        </w:rPr>
        <w:t xml:space="preserve">structure </w:t>
      </w:r>
      <w:r>
        <w:t>of</w:t>
      </w:r>
      <w:r>
        <w:rPr>
          <w:spacing w:val="4"/>
        </w:rPr>
        <w:t xml:space="preserve"> </w:t>
      </w:r>
      <w:r>
        <w:t>the</w:t>
      </w:r>
      <w:r>
        <w:rPr>
          <w:spacing w:val="-1"/>
        </w:rPr>
        <w:t xml:space="preserve"> regulated </w:t>
      </w:r>
      <w:r>
        <w:t>business.</w:t>
      </w:r>
      <w:r>
        <w:rPr>
          <w:spacing w:val="-11"/>
        </w:rPr>
        <w:t xml:space="preserve"> </w:t>
      </w:r>
      <w:r>
        <w:rPr>
          <w:spacing w:val="-1"/>
        </w:rPr>
        <w:t>This</w:t>
      </w:r>
      <w:r>
        <w:t xml:space="preserve"> </w:t>
      </w:r>
      <w:r>
        <w:rPr>
          <w:spacing w:val="-1"/>
        </w:rPr>
        <w:t>approach provides</w:t>
      </w:r>
      <w:r>
        <w:rPr>
          <w:spacing w:val="45"/>
        </w:rPr>
        <w:t xml:space="preserve"> </w:t>
      </w:r>
      <w:r>
        <w:rPr>
          <w:spacing w:val="-1"/>
        </w:rPr>
        <w:t xml:space="preserve">regulated </w:t>
      </w:r>
      <w:r>
        <w:t>businesses with</w:t>
      </w:r>
      <w:r>
        <w:rPr>
          <w:spacing w:val="-1"/>
        </w:rPr>
        <w:t xml:space="preserve"> </w:t>
      </w:r>
      <w:r>
        <w:t>an incentive</w:t>
      </w:r>
      <w:r>
        <w:rPr>
          <w:spacing w:val="-1"/>
        </w:rPr>
        <w:t xml:space="preserve"> </w:t>
      </w:r>
      <w:r>
        <w:t xml:space="preserve">to adopt </w:t>
      </w:r>
      <w:r>
        <w:rPr>
          <w:spacing w:val="-1"/>
        </w:rPr>
        <w:t xml:space="preserve">efficient </w:t>
      </w:r>
      <w:r>
        <w:t xml:space="preserve">capital </w:t>
      </w:r>
      <w:r>
        <w:rPr>
          <w:spacing w:val="-1"/>
        </w:rPr>
        <w:t>structures,</w:t>
      </w:r>
      <w:r>
        <w:rPr>
          <w:spacing w:val="-7"/>
        </w:rPr>
        <w:t xml:space="preserve"> </w:t>
      </w:r>
      <w:r>
        <w:t xml:space="preserve">and </w:t>
      </w:r>
      <w:r>
        <w:rPr>
          <w:spacing w:val="-1"/>
        </w:rPr>
        <w:t>ensures that</w:t>
      </w:r>
      <w:r>
        <w:t xml:space="preserve"> customers</w:t>
      </w:r>
      <w:r>
        <w:rPr>
          <w:spacing w:val="41"/>
        </w:rPr>
        <w:t xml:space="preserve"> </w:t>
      </w:r>
      <w:r>
        <w:t xml:space="preserve">do not </w:t>
      </w:r>
      <w:r>
        <w:rPr>
          <w:spacing w:val="-1"/>
        </w:rPr>
        <w:t>bear</w:t>
      </w:r>
      <w:r>
        <w:t xml:space="preserve"> the costs </w:t>
      </w:r>
      <w:r>
        <w:rPr>
          <w:spacing w:val="-1"/>
        </w:rPr>
        <w:t>associated</w:t>
      </w:r>
      <w:r>
        <w:t xml:space="preserve"> with sub-optimal capital </w:t>
      </w:r>
      <w:r>
        <w:rPr>
          <w:spacing w:val="-1"/>
        </w:rPr>
        <w:t>structure.</w:t>
      </w:r>
    </w:p>
    <w:p w:rsidR="00D96B91" w:rsidRDefault="00C2656B">
      <w:pPr>
        <w:pStyle w:val="BodyText"/>
        <w:spacing w:before="178"/>
        <w:rPr>
          <w:rFonts w:cs="Avenir Next"/>
        </w:rPr>
      </w:pPr>
      <w:r>
        <w:t xml:space="preserve">In forming its view on the </w:t>
      </w:r>
      <w:r>
        <w:rPr>
          <w:spacing w:val="-1"/>
        </w:rPr>
        <w:t>appropriate</w:t>
      </w:r>
      <w:r>
        <w:t xml:space="preserve"> </w:t>
      </w:r>
      <w:r>
        <w:rPr>
          <w:spacing w:val="-1"/>
        </w:rPr>
        <w:t>gearing</w:t>
      </w:r>
      <w:r>
        <w:t xml:space="preserve"> </w:t>
      </w:r>
      <w:r>
        <w:rPr>
          <w:spacing w:val="-2"/>
        </w:rPr>
        <w:t>ratio,</w:t>
      </w:r>
      <w:r>
        <w:rPr>
          <w:spacing w:val="-6"/>
        </w:rPr>
        <w:t xml:space="preserve"> </w:t>
      </w:r>
      <w:r>
        <w:t xml:space="preserve">the </w:t>
      </w:r>
      <w:r>
        <w:rPr>
          <w:spacing w:val="-3"/>
        </w:rPr>
        <w:t>Panel</w:t>
      </w:r>
      <w:r>
        <w:t xml:space="preserve"> has </w:t>
      </w:r>
      <w:r>
        <w:rPr>
          <w:spacing w:val="-1"/>
        </w:rPr>
        <w:t>examined</w:t>
      </w:r>
      <w:r>
        <w:t xml:space="preserve"> both:</w:t>
      </w:r>
    </w:p>
    <w:p w:rsidR="00D96B91" w:rsidRDefault="00C2656B">
      <w:pPr>
        <w:pStyle w:val="BodyText"/>
        <w:numPr>
          <w:ilvl w:val="0"/>
          <w:numId w:val="131"/>
        </w:numPr>
        <w:tabs>
          <w:tab w:val="left" w:pos="1531"/>
        </w:tabs>
        <w:spacing w:before="149" w:line="260" w:lineRule="exact"/>
        <w:ind w:right="1346" w:hanging="283"/>
        <w:rPr>
          <w:rFonts w:cs="Avenir Next"/>
        </w:rPr>
      </w:pPr>
      <w:r>
        <w:t xml:space="preserve">the </w:t>
      </w:r>
      <w:r>
        <w:rPr>
          <w:spacing w:val="-1"/>
        </w:rPr>
        <w:t>gearing</w:t>
      </w:r>
      <w:r>
        <w:t xml:space="preserve"> </w:t>
      </w:r>
      <w:r>
        <w:rPr>
          <w:spacing w:val="-1"/>
        </w:rPr>
        <w:t>ratios</w:t>
      </w:r>
      <w:r>
        <w:t xml:space="preserve"> of</w:t>
      </w:r>
      <w:r>
        <w:rPr>
          <w:spacing w:val="4"/>
        </w:rPr>
        <w:t xml:space="preserve"> </w:t>
      </w:r>
      <w:r>
        <w:t xml:space="preserve">16 listed </w:t>
      </w:r>
      <w:r>
        <w:rPr>
          <w:spacing w:val="-1"/>
        </w:rPr>
        <w:t>water</w:t>
      </w:r>
      <w:r>
        <w:t xml:space="preserve"> utilities in the US and UK,</w:t>
      </w:r>
      <w:r>
        <w:rPr>
          <w:spacing w:val="-7"/>
        </w:rPr>
        <w:t xml:space="preserve"> </w:t>
      </w:r>
      <w:r>
        <w:t xml:space="preserve">which </w:t>
      </w:r>
      <w:r>
        <w:rPr>
          <w:spacing w:val="-2"/>
        </w:rPr>
        <w:t>are</w:t>
      </w:r>
      <w:r>
        <w:t xml:space="preserve"> set out in</w:t>
      </w:r>
      <w:r>
        <w:rPr>
          <w:spacing w:val="-5"/>
        </w:rPr>
        <w:t xml:space="preserve"> </w:t>
      </w:r>
      <w:r>
        <w:rPr>
          <w:spacing w:val="-4"/>
        </w:rPr>
        <w:t xml:space="preserve">Table </w:t>
      </w:r>
      <w:r>
        <w:t>A8.9.</w:t>
      </w:r>
      <w:r>
        <w:rPr>
          <w:spacing w:val="-10"/>
        </w:rPr>
        <w:t xml:space="preserve"> </w:t>
      </w:r>
      <w:r>
        <w:t>As the</w:t>
      </w:r>
      <w:r>
        <w:rPr>
          <w:spacing w:val="23"/>
        </w:rPr>
        <w:t xml:space="preserve"> </w:t>
      </w:r>
      <w:r>
        <w:rPr>
          <w:spacing w:val="-1"/>
        </w:rPr>
        <w:t>bottom</w:t>
      </w:r>
      <w:r>
        <w:t xml:space="preserve"> of</w:t>
      </w:r>
      <w:r>
        <w:rPr>
          <w:spacing w:val="4"/>
        </w:rPr>
        <w:t xml:space="preserve"> </w:t>
      </w:r>
      <w:r>
        <w:t xml:space="preserve">this table </w:t>
      </w:r>
      <w:r>
        <w:rPr>
          <w:spacing w:val="-1"/>
        </w:rPr>
        <w:t>indicates,</w:t>
      </w:r>
      <w:r>
        <w:rPr>
          <w:spacing w:val="-6"/>
        </w:rPr>
        <w:t xml:space="preserve"> </w:t>
      </w:r>
      <w:r>
        <w:t xml:space="preserve">the median </w:t>
      </w:r>
      <w:r>
        <w:rPr>
          <w:spacing w:val="-1"/>
        </w:rPr>
        <w:t>gearing</w:t>
      </w:r>
      <w:r>
        <w:t xml:space="preserve"> </w:t>
      </w:r>
      <w:r>
        <w:rPr>
          <w:spacing w:val="-1"/>
        </w:rPr>
        <w:t>ratio</w:t>
      </w:r>
      <w:r>
        <w:t xml:space="preserve"> of</w:t>
      </w:r>
      <w:r>
        <w:rPr>
          <w:spacing w:val="4"/>
        </w:rPr>
        <w:t xml:space="preserve"> </w:t>
      </w:r>
      <w:r>
        <w:t xml:space="preserve">listed </w:t>
      </w:r>
      <w:r>
        <w:rPr>
          <w:spacing w:val="-1"/>
        </w:rPr>
        <w:t>water</w:t>
      </w:r>
      <w:r>
        <w:t xml:space="preserve"> utilities in the US and UK</w:t>
      </w:r>
      <w:r>
        <w:rPr>
          <w:spacing w:val="-3"/>
        </w:rPr>
        <w:t xml:space="preserve"> </w:t>
      </w:r>
      <w:r>
        <w:t>is</w:t>
      </w:r>
      <w:r>
        <w:rPr>
          <w:spacing w:val="39"/>
        </w:rPr>
        <w:t xml:space="preserve"> </w:t>
      </w:r>
      <w:r>
        <w:rPr>
          <w:spacing w:val="-1"/>
        </w:rPr>
        <w:t>around</w:t>
      </w:r>
      <w:r>
        <w:rPr>
          <w:spacing w:val="5"/>
        </w:rPr>
        <w:t xml:space="preserve"> </w:t>
      </w:r>
      <w:r>
        <w:t>45%;</w:t>
      </w:r>
      <w:r>
        <w:rPr>
          <w:position w:val="7"/>
          <w:sz w:val="11"/>
        </w:rPr>
        <w:t xml:space="preserve">267 </w:t>
      </w:r>
      <w:r>
        <w:rPr>
          <w:spacing w:val="1"/>
          <w:position w:val="7"/>
          <w:sz w:val="11"/>
        </w:rPr>
        <w:t xml:space="preserve"> </w:t>
      </w:r>
      <w:r>
        <w:t>and</w:t>
      </w:r>
    </w:p>
    <w:p w:rsidR="00D96B91" w:rsidRDefault="00C2656B">
      <w:pPr>
        <w:pStyle w:val="BodyText"/>
        <w:numPr>
          <w:ilvl w:val="0"/>
          <w:numId w:val="131"/>
        </w:numPr>
        <w:tabs>
          <w:tab w:val="left" w:pos="1531"/>
        </w:tabs>
        <w:spacing w:before="85" w:line="260" w:lineRule="exact"/>
        <w:ind w:right="1390" w:hanging="283"/>
      </w:pPr>
      <w:r>
        <w:t xml:space="preserve">the </w:t>
      </w:r>
      <w:r>
        <w:rPr>
          <w:spacing w:val="-1"/>
        </w:rPr>
        <w:t>gearing</w:t>
      </w:r>
      <w:r>
        <w:t xml:space="preserve"> </w:t>
      </w:r>
      <w:r>
        <w:rPr>
          <w:spacing w:val="-1"/>
        </w:rPr>
        <w:t>ratios</w:t>
      </w:r>
      <w:r>
        <w:t xml:space="preserve"> adopted by</w:t>
      </w:r>
      <w:r>
        <w:rPr>
          <w:spacing w:val="-4"/>
        </w:rPr>
        <w:t xml:space="preserve"> </w:t>
      </w:r>
      <w:r>
        <w:rPr>
          <w:spacing w:val="-1"/>
        </w:rPr>
        <w:t>Australian</w:t>
      </w:r>
      <w:r>
        <w:t xml:space="preserve"> </w:t>
      </w:r>
      <w:r>
        <w:rPr>
          <w:spacing w:val="-1"/>
        </w:rPr>
        <w:t>regulators</w:t>
      </w:r>
      <w:r>
        <w:t xml:space="preserve"> in </w:t>
      </w:r>
      <w:r>
        <w:rPr>
          <w:spacing w:val="-1"/>
        </w:rPr>
        <w:t>recent</w:t>
      </w:r>
      <w:r>
        <w:t xml:space="preserve"> </w:t>
      </w:r>
      <w:r>
        <w:rPr>
          <w:spacing w:val="-1"/>
        </w:rPr>
        <w:t>water</w:t>
      </w:r>
      <w:r>
        <w:t xml:space="preserve"> price </w:t>
      </w:r>
      <w:r>
        <w:rPr>
          <w:spacing w:val="-1"/>
        </w:rPr>
        <w:t>determinations</w:t>
      </w:r>
      <w:r>
        <w:t xml:space="preserve"> in other</w:t>
      </w:r>
      <w:r>
        <w:rPr>
          <w:spacing w:val="67"/>
        </w:rPr>
        <w:t xml:space="preserve"> </w:t>
      </w:r>
      <w:r>
        <w:t>jurisdictions,</w:t>
      </w:r>
      <w:r>
        <w:rPr>
          <w:spacing w:val="-6"/>
        </w:rPr>
        <w:t xml:space="preserve"> </w:t>
      </w:r>
      <w:r>
        <w:t xml:space="preserve">which </w:t>
      </w:r>
      <w:r>
        <w:rPr>
          <w:spacing w:val="-2"/>
        </w:rPr>
        <w:t>are</w:t>
      </w:r>
      <w:r>
        <w:t xml:space="preserve"> set out in</w:t>
      </w:r>
      <w:r>
        <w:rPr>
          <w:spacing w:val="-5"/>
        </w:rPr>
        <w:t xml:space="preserve"> </w:t>
      </w:r>
      <w:r>
        <w:rPr>
          <w:spacing w:val="-4"/>
        </w:rPr>
        <w:t xml:space="preserve">Table </w:t>
      </w:r>
      <w:r>
        <w:t>A8.10.</w:t>
      </w:r>
      <w:r>
        <w:rPr>
          <w:spacing w:val="-10"/>
        </w:rPr>
        <w:t xml:space="preserve"> </w:t>
      </w:r>
      <w:r>
        <w:t xml:space="preserve">As the </w:t>
      </w:r>
      <w:r>
        <w:rPr>
          <w:spacing w:val="-1"/>
        </w:rPr>
        <w:t>information</w:t>
      </w:r>
      <w:r>
        <w:t xml:space="preserve"> in this table </w:t>
      </w:r>
      <w:r>
        <w:rPr>
          <w:spacing w:val="-1"/>
        </w:rPr>
        <w:t>indicates,</w:t>
      </w:r>
      <w:r>
        <w:rPr>
          <w:spacing w:val="-6"/>
        </w:rPr>
        <w:t xml:space="preserve"> </w:t>
      </w:r>
      <w:r>
        <w:t>the majority</w:t>
      </w:r>
      <w:r>
        <w:rPr>
          <w:spacing w:val="37"/>
        </w:rPr>
        <w:t xml:space="preserve"> </w:t>
      </w:r>
      <w:r>
        <w:t>of</w:t>
      </w:r>
      <w:r>
        <w:rPr>
          <w:spacing w:val="4"/>
        </w:rPr>
        <w:t xml:space="preserve"> </w:t>
      </w:r>
      <w:r>
        <w:rPr>
          <w:spacing w:val="-1"/>
        </w:rPr>
        <w:t>regulatory</w:t>
      </w:r>
      <w:r>
        <w:t xml:space="preserve"> decisions have used a 60% </w:t>
      </w:r>
      <w:r>
        <w:rPr>
          <w:spacing w:val="-1"/>
        </w:rPr>
        <w:t>gearing</w:t>
      </w:r>
      <w:r>
        <w:t xml:space="preserve"> </w:t>
      </w:r>
      <w:r>
        <w:rPr>
          <w:spacing w:val="-2"/>
        </w:rPr>
        <w:t>ratio.</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513"/>
      </w:pPr>
      <w:r>
        <w:rPr>
          <w:rFonts w:cs="Avenir Next"/>
        </w:rPr>
        <w:t xml:space="preserve">In the </w:t>
      </w:r>
      <w:r>
        <w:rPr>
          <w:rFonts w:cs="Avenir Next"/>
          <w:spacing w:val="-4"/>
        </w:rPr>
        <w:t>Panel’s</w:t>
      </w:r>
      <w:r>
        <w:rPr>
          <w:rFonts w:cs="Avenir Next"/>
        </w:rPr>
        <w:t xml:space="preserve"> </w:t>
      </w:r>
      <w:r>
        <w:rPr>
          <w:rFonts w:cs="Avenir Next"/>
          <w:spacing w:val="-2"/>
        </w:rPr>
        <w:t>view,</w:t>
      </w:r>
      <w:r>
        <w:rPr>
          <w:rFonts w:cs="Avenir Next"/>
          <w:spacing w:val="-6"/>
        </w:rPr>
        <w:t xml:space="preserve"> </w:t>
      </w:r>
      <w:r>
        <w:rPr>
          <w:rFonts w:cs="Avenir Next"/>
        </w:rPr>
        <w:t xml:space="preserve">the </w:t>
      </w:r>
      <w:r>
        <w:rPr>
          <w:rFonts w:cs="Avenir Next"/>
          <w:spacing w:val="-1"/>
        </w:rPr>
        <w:t>difference</w:t>
      </w:r>
      <w:r>
        <w:rPr>
          <w:rFonts w:cs="Avenir Next"/>
        </w:rPr>
        <w:t xml:space="preserve"> between the </w:t>
      </w:r>
      <w:r>
        <w:rPr>
          <w:rFonts w:cs="Avenir Next"/>
          <w:spacing w:val="-1"/>
        </w:rPr>
        <w:t>gearing</w:t>
      </w:r>
      <w:r>
        <w:rPr>
          <w:rFonts w:cs="Avenir Next"/>
        </w:rPr>
        <w:t xml:space="preserve"> </w:t>
      </w:r>
      <w:r>
        <w:rPr>
          <w:rFonts w:cs="Avenir Next"/>
          <w:spacing w:val="-1"/>
        </w:rPr>
        <w:t>ratio</w:t>
      </w:r>
      <w:r>
        <w:rPr>
          <w:rFonts w:cs="Avenir Next"/>
        </w:rPr>
        <w:t xml:space="preserve"> based on the empirical evidence </w:t>
      </w:r>
      <w:r>
        <w:rPr>
          <w:rFonts w:cs="Avenir Next"/>
          <w:spacing w:val="-1"/>
        </w:rPr>
        <w:t>from</w:t>
      </w:r>
      <w:r>
        <w:rPr>
          <w:rFonts w:cs="Avenir Next"/>
          <w:spacing w:val="31"/>
        </w:rPr>
        <w:t xml:space="preserve"> </w:t>
      </w:r>
      <w:r>
        <w:t>the US and the UK</w:t>
      </w:r>
      <w:r>
        <w:rPr>
          <w:spacing w:val="-3"/>
        </w:rPr>
        <w:t xml:space="preserve"> </w:t>
      </w:r>
      <w:r>
        <w:t xml:space="preserve">and </w:t>
      </w:r>
      <w:r>
        <w:rPr>
          <w:spacing w:val="-1"/>
        </w:rPr>
        <w:t>that</w:t>
      </w:r>
      <w:r>
        <w:t xml:space="preserve"> based on the </w:t>
      </w:r>
      <w:r>
        <w:rPr>
          <w:spacing w:val="-1"/>
        </w:rPr>
        <w:t>regulatory</w:t>
      </w:r>
      <w:r>
        <w:t xml:space="preserve"> </w:t>
      </w:r>
      <w:r>
        <w:rPr>
          <w:spacing w:val="-1"/>
        </w:rPr>
        <w:t>practice</w:t>
      </w:r>
      <w:r>
        <w:t xml:space="preserve"> is not </w:t>
      </w:r>
      <w:r>
        <w:rPr>
          <w:spacing w:val="-1"/>
        </w:rPr>
        <w:t>material.</w:t>
      </w:r>
      <w:r>
        <w:rPr>
          <w:spacing w:val="-11"/>
        </w:rPr>
        <w:t xml:space="preserve"> </w:t>
      </w:r>
      <w:r>
        <w:rPr>
          <w:spacing w:val="-2"/>
        </w:rPr>
        <w:t>The</w:t>
      </w:r>
      <w:r>
        <w:t xml:space="preserve"> </w:t>
      </w:r>
      <w:r>
        <w:rPr>
          <w:spacing w:val="-3"/>
        </w:rPr>
        <w:t>Panel</w:t>
      </w:r>
      <w:r>
        <w:t xml:space="preserve"> has </w:t>
      </w:r>
      <w:r>
        <w:rPr>
          <w:spacing w:val="-1"/>
        </w:rPr>
        <w:t>therefore</w:t>
      </w:r>
      <w:r>
        <w:rPr>
          <w:spacing w:val="49"/>
        </w:rPr>
        <w:t xml:space="preserve"> </w:t>
      </w:r>
      <w:r>
        <w:t xml:space="preserve">decided to adopt a </w:t>
      </w:r>
      <w:r>
        <w:rPr>
          <w:spacing w:val="-1"/>
        </w:rPr>
        <w:t>gearing</w:t>
      </w:r>
      <w:r>
        <w:t xml:space="preserve"> </w:t>
      </w:r>
      <w:r>
        <w:rPr>
          <w:spacing w:val="-1"/>
        </w:rPr>
        <w:t>ratio</w:t>
      </w:r>
      <w:r>
        <w:t xml:space="preserve"> of</w:t>
      </w:r>
      <w:r>
        <w:rPr>
          <w:spacing w:val="4"/>
        </w:rPr>
        <w:t xml:space="preserve"> </w:t>
      </w:r>
      <w:r>
        <w:t>60%,</w:t>
      </w:r>
      <w:r>
        <w:rPr>
          <w:spacing w:val="-6"/>
        </w:rPr>
        <w:t xml:space="preserve"> </w:t>
      </w:r>
      <w:r>
        <w:t>which is consistent with</w:t>
      </w:r>
      <w:r>
        <w:rPr>
          <w:spacing w:val="-4"/>
        </w:rPr>
        <w:t xml:space="preserve"> </w:t>
      </w:r>
      <w:r>
        <w:rPr>
          <w:spacing w:val="-2"/>
        </w:rPr>
        <w:t>ACTEW’s</w:t>
      </w:r>
      <w:r>
        <w:t xml:space="preserve"> </w:t>
      </w:r>
      <w:r>
        <w:rPr>
          <w:spacing w:val="-1"/>
        </w:rPr>
        <w:t>proposal</w:t>
      </w:r>
      <w:r>
        <w:t xml:space="preserve"> and the </w:t>
      </w:r>
      <w:r>
        <w:rPr>
          <w:spacing w:val="-1"/>
        </w:rPr>
        <w:t>ratio</w:t>
      </w:r>
      <w:r>
        <w:rPr>
          <w:spacing w:val="21"/>
        </w:rPr>
        <w:t xml:space="preserve"> </w:t>
      </w:r>
      <w:r>
        <w:t>assumed</w:t>
      </w:r>
      <w:r>
        <w:rPr>
          <w:spacing w:val="-1"/>
        </w:rPr>
        <w:t xml:space="preserve"> </w:t>
      </w:r>
      <w:r>
        <w:t>by</w:t>
      </w:r>
      <w:r>
        <w:rPr>
          <w:spacing w:val="-1"/>
        </w:rPr>
        <w:t xml:space="preserve"> </w:t>
      </w:r>
      <w:r>
        <w:t>the ICRC</w:t>
      </w:r>
      <w:r>
        <w:rPr>
          <w:spacing w:val="-1"/>
        </w:rPr>
        <w:t xml:space="preserve"> </w:t>
      </w:r>
      <w:r>
        <w:t>in its</w:t>
      </w:r>
      <w:r>
        <w:rPr>
          <w:spacing w:val="-1"/>
        </w:rPr>
        <w:t xml:space="preserve"> </w:t>
      </w:r>
      <w:r>
        <w:t>final decision.</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5"/>
        <w:rPr>
          <w:rFonts w:ascii="Avenir Next" w:eastAsia="Avenir Next" w:hAnsi="Avenir Next" w:cs="Avenir Next"/>
          <w:sz w:val="26"/>
          <w:szCs w:val="2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295" style="width:72.5pt;height:.5pt;mso-position-horizontal-relative:char;mso-position-vertical-relative:line" coordsize="1450,10">
            <v:group id="_x0000_s1296" style="position:absolute;left:5;top:5;width:1440;height:2" coordorigin="5,5" coordsize="1440,2">
              <v:shape id="_x0000_s1297"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492" w:hanging="510"/>
        <w:rPr>
          <w:rFonts w:ascii="Avenir Next" w:eastAsia="Avenir Next" w:hAnsi="Avenir Next" w:cs="Avenir Next"/>
          <w:sz w:val="16"/>
          <w:szCs w:val="16"/>
        </w:rPr>
      </w:pPr>
      <w:r>
        <w:rPr>
          <w:rFonts w:ascii="Avenir Next"/>
          <w:spacing w:val="-1"/>
          <w:sz w:val="16"/>
        </w:rPr>
        <w:t>This estimate</w:t>
      </w:r>
      <w:r>
        <w:rPr>
          <w:rFonts w:ascii="Avenir Next"/>
          <w:sz w:val="16"/>
        </w:rPr>
        <w:t xml:space="preserve"> is based</w:t>
      </w:r>
      <w:r>
        <w:rPr>
          <w:rFonts w:ascii="Avenir Next"/>
          <w:spacing w:val="-1"/>
          <w:sz w:val="16"/>
        </w:rPr>
        <w:t xml:space="preserve"> </w:t>
      </w:r>
      <w:r>
        <w:rPr>
          <w:rFonts w:ascii="Avenir Next"/>
          <w:sz w:val="16"/>
        </w:rPr>
        <w:t>on the observed</w:t>
      </w:r>
      <w:r>
        <w:rPr>
          <w:rFonts w:ascii="Avenir Next"/>
          <w:spacing w:val="-1"/>
          <w:sz w:val="16"/>
        </w:rPr>
        <w:t xml:space="preserve"> gearing</w:t>
      </w:r>
      <w:r>
        <w:rPr>
          <w:rFonts w:ascii="Avenir Next"/>
          <w:sz w:val="16"/>
        </w:rPr>
        <w:t xml:space="preserve"> </w:t>
      </w:r>
      <w:r>
        <w:rPr>
          <w:rFonts w:ascii="Avenir Next"/>
          <w:spacing w:val="-1"/>
          <w:sz w:val="16"/>
        </w:rPr>
        <w:t xml:space="preserve">ratios </w:t>
      </w:r>
      <w:r>
        <w:rPr>
          <w:rFonts w:ascii="Avenir Next"/>
          <w:sz w:val="16"/>
        </w:rPr>
        <w:t>of</w:t>
      </w:r>
      <w:r>
        <w:rPr>
          <w:rFonts w:ascii="Avenir Next"/>
          <w:spacing w:val="3"/>
          <w:sz w:val="16"/>
        </w:rPr>
        <w:t xml:space="preserve"> </w:t>
      </w:r>
      <w:r>
        <w:rPr>
          <w:rFonts w:ascii="Avenir Next"/>
          <w:sz w:val="16"/>
        </w:rPr>
        <w:t>16 US</w:t>
      </w:r>
      <w:r>
        <w:rPr>
          <w:rFonts w:ascii="Avenir Next"/>
          <w:spacing w:val="-1"/>
          <w:sz w:val="16"/>
        </w:rPr>
        <w:t xml:space="preserve"> </w:t>
      </w:r>
      <w:r>
        <w:rPr>
          <w:rFonts w:ascii="Avenir Next"/>
          <w:sz w:val="16"/>
        </w:rPr>
        <w:t>and UK</w:t>
      </w:r>
      <w:r>
        <w:rPr>
          <w:rFonts w:ascii="Avenir Next"/>
          <w:spacing w:val="-2"/>
          <w:sz w:val="16"/>
        </w:rPr>
        <w:t xml:space="preserve"> </w:t>
      </w:r>
      <w:r>
        <w:rPr>
          <w:rFonts w:ascii="Avenir Next"/>
          <w:spacing w:val="-1"/>
          <w:sz w:val="16"/>
        </w:rPr>
        <w:t xml:space="preserve">water </w:t>
      </w:r>
      <w:r>
        <w:rPr>
          <w:rFonts w:ascii="Avenir Next"/>
          <w:sz w:val="16"/>
        </w:rPr>
        <w:t>utility businesses,</w:t>
      </w:r>
      <w:r>
        <w:rPr>
          <w:rFonts w:ascii="Avenir Next"/>
          <w:spacing w:val="-5"/>
          <w:sz w:val="16"/>
        </w:rPr>
        <w:t xml:space="preserve"> </w:t>
      </w:r>
      <w:r>
        <w:rPr>
          <w:rFonts w:ascii="Avenir Next"/>
          <w:sz w:val="16"/>
        </w:rPr>
        <w:t xml:space="preserve">which </w:t>
      </w:r>
      <w:r>
        <w:rPr>
          <w:rFonts w:ascii="Avenir Next"/>
          <w:spacing w:val="-1"/>
          <w:sz w:val="16"/>
        </w:rPr>
        <w:t xml:space="preserve">are </w:t>
      </w:r>
      <w:r>
        <w:rPr>
          <w:rFonts w:ascii="Avenir Next"/>
          <w:sz w:val="16"/>
        </w:rPr>
        <w:t>classified as</w:t>
      </w:r>
      <w:r>
        <w:rPr>
          <w:rFonts w:ascii="Avenir Next"/>
          <w:spacing w:val="37"/>
          <w:sz w:val="16"/>
        </w:rPr>
        <w:t xml:space="preserve"> </w:t>
      </w:r>
      <w:r>
        <w:rPr>
          <w:rFonts w:ascii="Avenir Next"/>
          <w:spacing w:val="-2"/>
          <w:sz w:val="16"/>
        </w:rPr>
        <w:t>Water</w:t>
      </w:r>
      <w:r>
        <w:rPr>
          <w:rFonts w:ascii="Avenir Next"/>
          <w:sz w:val="16"/>
        </w:rPr>
        <w:t xml:space="preserve"> Utilities by ICB Subsector and listed on the New</w:t>
      </w:r>
      <w:r>
        <w:rPr>
          <w:rFonts w:ascii="Avenir Next"/>
          <w:spacing w:val="-4"/>
          <w:sz w:val="16"/>
        </w:rPr>
        <w:t xml:space="preserve"> York</w:t>
      </w:r>
      <w:r>
        <w:rPr>
          <w:rFonts w:ascii="Avenir Next"/>
          <w:sz w:val="16"/>
        </w:rPr>
        <w:t xml:space="preserve"> </w:t>
      </w:r>
      <w:r>
        <w:rPr>
          <w:rFonts w:ascii="Avenir Next"/>
          <w:spacing w:val="-1"/>
          <w:sz w:val="16"/>
        </w:rPr>
        <w:t>Stock</w:t>
      </w:r>
      <w:r>
        <w:rPr>
          <w:rFonts w:ascii="Avenir Next"/>
          <w:sz w:val="16"/>
        </w:rPr>
        <w:t xml:space="preserve"> </w:t>
      </w:r>
      <w:r>
        <w:rPr>
          <w:rFonts w:ascii="Avenir Next"/>
          <w:spacing w:val="-1"/>
          <w:sz w:val="16"/>
        </w:rPr>
        <w:t>Exchange</w:t>
      </w:r>
      <w:r>
        <w:rPr>
          <w:rFonts w:ascii="Avenir Next"/>
          <w:sz w:val="16"/>
        </w:rPr>
        <w:t xml:space="preserve"> (NYSE),</w:t>
      </w:r>
      <w:r>
        <w:rPr>
          <w:rFonts w:ascii="Avenir Next"/>
          <w:spacing w:val="-5"/>
          <w:sz w:val="16"/>
        </w:rPr>
        <w:t xml:space="preserve"> </w:t>
      </w:r>
      <w:r>
        <w:rPr>
          <w:rFonts w:ascii="Avenir Next"/>
          <w:spacing w:val="-2"/>
          <w:sz w:val="16"/>
        </w:rPr>
        <w:t>NASDAQ</w:t>
      </w:r>
      <w:r>
        <w:rPr>
          <w:rFonts w:ascii="Avenir Next"/>
          <w:sz w:val="16"/>
        </w:rPr>
        <w:t xml:space="preserve"> or the </w:t>
      </w:r>
      <w:r>
        <w:rPr>
          <w:rFonts w:ascii="Avenir Next"/>
          <w:spacing w:val="-1"/>
          <w:sz w:val="16"/>
        </w:rPr>
        <w:t>London</w:t>
      </w:r>
      <w:r>
        <w:rPr>
          <w:rFonts w:ascii="Avenir Next"/>
          <w:sz w:val="16"/>
        </w:rPr>
        <w:t xml:space="preserve"> </w:t>
      </w:r>
      <w:r>
        <w:rPr>
          <w:rFonts w:ascii="Avenir Next"/>
          <w:spacing w:val="-1"/>
          <w:sz w:val="16"/>
        </w:rPr>
        <w:t>exchange.</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A8.9: </w:t>
      </w:r>
      <w:r>
        <w:rPr>
          <w:rFonts w:ascii="Avenir Next"/>
          <w:b/>
          <w:spacing w:val="-1"/>
          <w:sz w:val="20"/>
        </w:rPr>
        <w:t>Gearing</w:t>
      </w:r>
      <w:r>
        <w:rPr>
          <w:rFonts w:ascii="Avenir Next"/>
          <w:b/>
          <w:sz w:val="20"/>
        </w:rPr>
        <w:t xml:space="preserve"> </w:t>
      </w:r>
      <w:r>
        <w:rPr>
          <w:rFonts w:ascii="Avenir Next"/>
          <w:b/>
          <w:spacing w:val="-1"/>
          <w:sz w:val="20"/>
        </w:rPr>
        <w:t>ratios</w:t>
      </w:r>
      <w:r>
        <w:rPr>
          <w:rFonts w:ascii="Avenir Next"/>
          <w:b/>
          <w:sz w:val="20"/>
        </w:rPr>
        <w:t xml:space="preserve"> of</w:t>
      </w:r>
      <w:r>
        <w:rPr>
          <w:rFonts w:ascii="Avenir Next"/>
          <w:b/>
          <w:spacing w:val="4"/>
          <w:sz w:val="20"/>
        </w:rPr>
        <w:t xml:space="preserve"> </w:t>
      </w:r>
      <w:r>
        <w:rPr>
          <w:rFonts w:ascii="Avenir Next"/>
          <w:b/>
          <w:sz w:val="20"/>
        </w:rPr>
        <w:t xml:space="preserve">listed </w:t>
      </w:r>
      <w:r>
        <w:rPr>
          <w:rFonts w:ascii="Avenir Next"/>
          <w:b/>
          <w:spacing w:val="-1"/>
          <w:sz w:val="20"/>
        </w:rPr>
        <w:t>water</w:t>
      </w:r>
      <w:r>
        <w:rPr>
          <w:rFonts w:ascii="Avenir Next"/>
          <w:b/>
          <w:sz w:val="20"/>
        </w:rPr>
        <w:t xml:space="preserve"> utilities in the US and UK</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390"/>
        <w:gridCol w:w="1984"/>
        <w:gridCol w:w="2018"/>
        <w:gridCol w:w="2018"/>
      </w:tblGrid>
      <w:tr w:rsidR="00D96B91">
        <w:trPr>
          <w:trHeight w:hRule="exact" w:val="407"/>
        </w:trPr>
        <w:tc>
          <w:tcPr>
            <w:tcW w:w="3390"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Company</w:t>
            </w:r>
          </w:p>
        </w:tc>
        <w:tc>
          <w:tcPr>
            <w:tcW w:w="198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Country</w:t>
            </w:r>
            <w:r>
              <w:rPr>
                <w:rFonts w:ascii="Avenir Next Condensed"/>
                <w:b/>
                <w:color w:val="FFFFFF"/>
                <w:sz w:val="18"/>
              </w:rPr>
              <w:t xml:space="preserve"> of</w:t>
            </w:r>
            <w:r>
              <w:rPr>
                <w:rFonts w:ascii="Avenir Next Condensed"/>
                <w:b/>
                <w:color w:val="FFFFFF"/>
                <w:spacing w:val="4"/>
                <w:sz w:val="18"/>
              </w:rPr>
              <w:t xml:space="preserve"> </w:t>
            </w:r>
            <w:r>
              <w:rPr>
                <w:rFonts w:ascii="Avenir Next Condensed"/>
                <w:b/>
                <w:color w:val="FFFFFF"/>
                <w:sz w:val="18"/>
              </w:rPr>
              <w:t>origin</w:t>
            </w:r>
          </w:p>
        </w:tc>
        <w:tc>
          <w:tcPr>
            <w:tcW w:w="20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3"/>
              <w:rPr>
                <w:rFonts w:ascii="Avenir Next Condensed" w:eastAsia="Avenir Next Condensed" w:hAnsi="Avenir Next Condensed" w:cs="Avenir Next Condensed"/>
                <w:sz w:val="18"/>
                <w:szCs w:val="18"/>
              </w:rPr>
            </w:pPr>
            <w:r>
              <w:rPr>
                <w:rFonts w:ascii="Avenir Next Condensed"/>
                <w:b/>
                <w:color w:val="FFFFFF"/>
                <w:spacing w:val="-1"/>
                <w:sz w:val="18"/>
              </w:rPr>
              <w:t>Market</w:t>
            </w:r>
            <w:r>
              <w:rPr>
                <w:rFonts w:ascii="Avenir Next Condensed"/>
                <w:b/>
                <w:color w:val="FFFFFF"/>
                <w:sz w:val="18"/>
              </w:rPr>
              <w:t xml:space="preserve"> value (US $m)</w:t>
            </w:r>
          </w:p>
        </w:tc>
        <w:tc>
          <w:tcPr>
            <w:tcW w:w="20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610"/>
              <w:rPr>
                <w:rFonts w:ascii="Avenir Next Condensed" w:eastAsia="Avenir Next Condensed" w:hAnsi="Avenir Next Condensed" w:cs="Avenir Next Condensed"/>
                <w:sz w:val="18"/>
                <w:szCs w:val="18"/>
              </w:rPr>
            </w:pPr>
            <w:r>
              <w:rPr>
                <w:rFonts w:ascii="Avenir Next Condensed"/>
                <w:b/>
                <w:color w:val="FFFFFF"/>
                <w:spacing w:val="-1"/>
                <w:sz w:val="18"/>
              </w:rPr>
              <w:t>Gearing</w:t>
            </w:r>
            <w:r>
              <w:rPr>
                <w:rFonts w:ascii="Avenir Next Condensed"/>
                <w:b/>
                <w:color w:val="FFFFFF"/>
                <w:sz w:val="18"/>
              </w:rPr>
              <w:t xml:space="preserve"> (%)</w:t>
            </w:r>
          </w:p>
        </w:tc>
      </w:tr>
      <w:tr w:rsidR="00D96B91">
        <w:trPr>
          <w:trHeight w:hRule="exact" w:val="407"/>
        </w:trPr>
        <w:tc>
          <w:tcPr>
            <w:tcW w:w="3390"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American </w:t>
            </w:r>
            <w:r>
              <w:rPr>
                <w:rFonts w:ascii="Avenir Next Condensed"/>
                <w:spacing w:val="-1"/>
                <w:sz w:val="18"/>
              </w:rPr>
              <w:t>States</w:t>
            </w:r>
            <w:r>
              <w:rPr>
                <w:rFonts w:ascii="Avenir Next Condensed"/>
                <w:spacing w:val="-3"/>
                <w:sz w:val="18"/>
              </w:rPr>
              <w:t xml:space="preserve"> </w:t>
            </w:r>
            <w:r>
              <w:rPr>
                <w:rFonts w:ascii="Avenir Next Condensed"/>
                <w:spacing w:val="-1"/>
                <w:sz w:val="18"/>
              </w:rPr>
              <w:t>Water</w:t>
            </w:r>
          </w:p>
        </w:tc>
        <w:tc>
          <w:tcPr>
            <w:tcW w:w="198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233</w:t>
            </w:r>
          </w:p>
        </w:tc>
        <w:tc>
          <w:tcPr>
            <w:tcW w:w="20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46.0</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American</w:t>
            </w:r>
            <w:r>
              <w:rPr>
                <w:rFonts w:ascii="Avenir Next Condensed"/>
                <w:spacing w:val="-3"/>
                <w:sz w:val="18"/>
              </w:rPr>
              <w:t xml:space="preserve"> </w:t>
            </w:r>
            <w:r>
              <w:rPr>
                <w:rFonts w:ascii="Avenir Next Condensed"/>
                <w:spacing w:val="-1"/>
                <w:sz w:val="18"/>
              </w:rPr>
              <w:t>Water</w:t>
            </w:r>
            <w:r>
              <w:rPr>
                <w:rFonts w:ascii="Avenir Next Condensed"/>
                <w:spacing w:val="-3"/>
                <w:sz w:val="18"/>
              </w:rPr>
              <w:t xml:space="preserve"> </w:t>
            </w:r>
            <w:r>
              <w:rPr>
                <w:rFonts w:ascii="Avenir Next Condensed"/>
                <w:spacing w:val="-1"/>
                <w:sz w:val="18"/>
              </w:rPr>
              <w:t>Works</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7"/>
              <w:jc w:val="center"/>
              <w:rPr>
                <w:rFonts w:ascii="Avenir Next Condensed" w:eastAsia="Avenir Next Condensed" w:hAnsi="Avenir Next Condensed" w:cs="Avenir Next Condensed"/>
                <w:sz w:val="18"/>
                <w:szCs w:val="18"/>
              </w:rPr>
            </w:pPr>
            <w:r>
              <w:rPr>
                <w:rFonts w:ascii="Avenir Next Condensed"/>
                <w:sz w:val="18"/>
              </w:rPr>
              <w:t>4,868</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54.8</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Aqua</w:t>
            </w:r>
            <w:r>
              <w:rPr>
                <w:rFonts w:ascii="Avenir Next Condensed"/>
                <w:spacing w:val="-4"/>
                <w:sz w:val="18"/>
              </w:rPr>
              <w:t xml:space="preserve"> </w:t>
            </w:r>
            <w:r>
              <w:rPr>
                <w:rFonts w:ascii="Avenir Next Condensed"/>
                <w:sz w:val="18"/>
              </w:rPr>
              <w:t>America</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938</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43.7</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Artesian </w:t>
            </w:r>
            <w:r>
              <w:rPr>
                <w:rFonts w:ascii="Avenir Next Condensed"/>
                <w:spacing w:val="-1"/>
                <w:sz w:val="18"/>
              </w:rPr>
              <w:t>Resources</w:t>
            </w:r>
            <w:r>
              <w:rPr>
                <w:rFonts w:ascii="Avenir Next Condensed"/>
                <w:spacing w:val="-4"/>
                <w:sz w:val="18"/>
              </w:rPr>
              <w:t xml:space="preserve"> </w:t>
            </w:r>
            <w:r>
              <w:rPr>
                <w:rFonts w:ascii="Avenir Next Condensed"/>
                <w:sz w:val="18"/>
              </w:rPr>
              <w:t>A</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8"/>
              <w:jc w:val="center"/>
              <w:rPr>
                <w:rFonts w:ascii="Avenir Next Condensed" w:eastAsia="Avenir Next Condensed" w:hAnsi="Avenir Next Condensed" w:cs="Avenir Next Condensed"/>
                <w:sz w:val="18"/>
                <w:szCs w:val="18"/>
              </w:rPr>
            </w:pPr>
            <w:r>
              <w:rPr>
                <w:rFonts w:ascii="Avenir Next Condensed"/>
                <w:sz w:val="18"/>
              </w:rPr>
              <w:t>95</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52.2</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Cadiz</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130</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36.8</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California</w:t>
            </w:r>
            <w:r>
              <w:rPr>
                <w:rFonts w:ascii="Avenir Next Condensed"/>
                <w:spacing w:val="-3"/>
                <w:sz w:val="18"/>
              </w:rPr>
              <w:t xml:space="preserve"> </w:t>
            </w:r>
            <w:r>
              <w:rPr>
                <w:rFonts w:ascii="Avenir Next Condensed"/>
                <w:spacing w:val="-1"/>
                <w:sz w:val="18"/>
              </w:rPr>
              <w:t>Water</w:t>
            </w:r>
            <w:r>
              <w:rPr>
                <w:rFonts w:ascii="Avenir Next Condensed"/>
                <w:sz w:val="18"/>
              </w:rPr>
              <w:t xml:space="preserve"> Service</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301</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37.5</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Connecticut</w:t>
            </w:r>
            <w:r>
              <w:rPr>
                <w:rFonts w:ascii="Avenir Next Condensed"/>
                <w:spacing w:val="-3"/>
                <w:sz w:val="18"/>
              </w:rPr>
              <w:t xml:space="preserve"> </w:t>
            </w:r>
            <w:r>
              <w:rPr>
                <w:rFonts w:ascii="Avenir Next Condensed"/>
                <w:spacing w:val="-1"/>
                <w:sz w:val="18"/>
              </w:rPr>
              <w:t>Water</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104</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45.3</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Consolidated</w:t>
            </w:r>
            <w:r>
              <w:rPr>
                <w:rFonts w:ascii="Avenir Next Condensed"/>
                <w:spacing w:val="-3"/>
                <w:sz w:val="18"/>
              </w:rPr>
              <w:t xml:space="preserve"> </w:t>
            </w:r>
            <w:r>
              <w:rPr>
                <w:rFonts w:ascii="Avenir Next Condensed"/>
                <w:spacing w:val="-1"/>
                <w:sz w:val="18"/>
              </w:rPr>
              <w:t>Water</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121</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9"/>
              <w:jc w:val="center"/>
              <w:rPr>
                <w:rFonts w:ascii="Avenir Next Condensed" w:eastAsia="Avenir Next Condensed" w:hAnsi="Avenir Next Condensed" w:cs="Avenir Next Condensed"/>
                <w:sz w:val="18"/>
                <w:szCs w:val="18"/>
              </w:rPr>
            </w:pPr>
            <w:r>
              <w:rPr>
                <w:rFonts w:ascii="Avenir Next Condensed"/>
                <w:sz w:val="18"/>
              </w:rPr>
              <w:t>9.9</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Middlesex</w:t>
            </w:r>
            <w:r>
              <w:rPr>
                <w:rFonts w:ascii="Avenir Next Condensed"/>
                <w:spacing w:val="-3"/>
                <w:sz w:val="18"/>
              </w:rPr>
              <w:t xml:space="preserve"> </w:t>
            </w:r>
            <w:r>
              <w:rPr>
                <w:rFonts w:ascii="Avenir Next Condensed"/>
                <w:spacing w:val="-1"/>
                <w:sz w:val="18"/>
              </w:rPr>
              <w:t>Water</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100</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46.5</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Northumbrian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Group</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UK</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7"/>
              <w:jc w:val="center"/>
              <w:rPr>
                <w:rFonts w:ascii="Avenir Next Condensed" w:eastAsia="Avenir Next Condensed" w:hAnsi="Avenir Next Condensed" w:cs="Avenir Next Condensed"/>
                <w:sz w:val="18"/>
                <w:szCs w:val="18"/>
              </w:rPr>
            </w:pPr>
            <w:r>
              <w:rPr>
                <w:rFonts w:ascii="Avenir Next Condensed"/>
                <w:sz w:val="18"/>
              </w:rPr>
              <w:t>2,568</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63.9</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Pennichuck</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48"/>
              <w:jc w:val="center"/>
              <w:rPr>
                <w:rFonts w:ascii="Avenir Next Condensed" w:eastAsia="Avenir Next Condensed" w:hAnsi="Avenir Next Condensed" w:cs="Avenir Next Condensed"/>
                <w:sz w:val="18"/>
                <w:szCs w:val="18"/>
              </w:rPr>
            </w:pPr>
            <w:r>
              <w:rPr>
                <w:rFonts w:ascii="Avenir Next Condensed"/>
                <w:sz w:val="18"/>
              </w:rPr>
              <w:t>65</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45.3</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Pennon</w:t>
            </w:r>
            <w:r>
              <w:rPr>
                <w:rFonts w:ascii="Avenir Next Condensed"/>
                <w:sz w:val="18"/>
              </w:rPr>
              <w:t xml:space="preserve"> </w:t>
            </w:r>
            <w:r>
              <w:rPr>
                <w:rFonts w:ascii="Avenir Next Condensed"/>
                <w:spacing w:val="-1"/>
                <w:sz w:val="18"/>
              </w:rPr>
              <w:t>Group</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UK</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7"/>
              <w:jc w:val="center"/>
              <w:rPr>
                <w:rFonts w:ascii="Avenir Next Condensed" w:eastAsia="Avenir Next Condensed" w:hAnsi="Avenir Next Condensed" w:cs="Avenir Next Condensed"/>
                <w:sz w:val="18"/>
                <w:szCs w:val="18"/>
              </w:rPr>
            </w:pPr>
            <w:r>
              <w:rPr>
                <w:rFonts w:ascii="Avenir Next Condensed"/>
                <w:sz w:val="18"/>
              </w:rPr>
              <w:t>2,011</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46.3</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Severn</w:t>
            </w:r>
            <w:r>
              <w:rPr>
                <w:rFonts w:ascii="Avenir Next Condensed"/>
                <w:spacing w:val="-5"/>
                <w:sz w:val="18"/>
              </w:rPr>
              <w:t xml:space="preserve"> </w:t>
            </w:r>
            <w:r>
              <w:rPr>
                <w:rFonts w:ascii="Avenir Next Condensed"/>
                <w:spacing w:val="-2"/>
                <w:sz w:val="18"/>
              </w:rPr>
              <w:t>Trent</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UK</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right="57"/>
              <w:jc w:val="center"/>
              <w:rPr>
                <w:rFonts w:ascii="Avenir Next Condensed" w:eastAsia="Avenir Next Condensed" w:hAnsi="Avenir Next Condensed" w:cs="Avenir Next Condensed"/>
                <w:sz w:val="18"/>
                <w:szCs w:val="18"/>
              </w:rPr>
            </w:pPr>
            <w:r>
              <w:rPr>
                <w:rFonts w:ascii="Avenir Next Condensed"/>
                <w:sz w:val="18"/>
              </w:rPr>
              <w:t>4,271</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41.1</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SJW</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63"/>
              <w:jc w:val="center"/>
              <w:rPr>
                <w:rFonts w:ascii="Avenir Next Condensed" w:eastAsia="Avenir Next Condensed" w:hAnsi="Avenir Next Condensed" w:cs="Avenir Next Condensed"/>
                <w:sz w:val="18"/>
                <w:szCs w:val="18"/>
              </w:rPr>
            </w:pPr>
            <w:r>
              <w:rPr>
                <w:rFonts w:ascii="Avenir Next Condensed"/>
                <w:sz w:val="18"/>
              </w:rPr>
              <w:t>189</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4"/>
              <w:jc w:val="center"/>
              <w:rPr>
                <w:rFonts w:ascii="Avenir Next Condensed" w:eastAsia="Avenir Next Condensed" w:hAnsi="Avenir Next Condensed" w:cs="Avenir Next Condensed"/>
                <w:sz w:val="18"/>
                <w:szCs w:val="18"/>
              </w:rPr>
            </w:pPr>
            <w:r>
              <w:rPr>
                <w:rFonts w:ascii="Avenir Next Condensed"/>
                <w:sz w:val="18"/>
              </w:rPr>
              <w:t>37.9</w:t>
            </w:r>
          </w:p>
        </w:tc>
      </w:tr>
      <w:tr w:rsidR="00D96B91">
        <w:trPr>
          <w:trHeight w:hRule="exact" w:val="407"/>
        </w:trPr>
        <w:tc>
          <w:tcPr>
            <w:tcW w:w="3390"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 xml:space="preserve">United Utilities </w:t>
            </w:r>
            <w:r>
              <w:rPr>
                <w:rFonts w:ascii="Avenir Next Condensed"/>
                <w:spacing w:val="-1"/>
                <w:sz w:val="18"/>
              </w:rPr>
              <w:t>Group</w:t>
            </w:r>
          </w:p>
        </w:tc>
        <w:tc>
          <w:tcPr>
            <w:tcW w:w="198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right="57"/>
              <w:jc w:val="center"/>
              <w:rPr>
                <w:rFonts w:ascii="Avenir Next Condensed" w:eastAsia="Avenir Next Condensed" w:hAnsi="Avenir Next Condensed" w:cs="Avenir Next Condensed"/>
                <w:sz w:val="18"/>
                <w:szCs w:val="18"/>
              </w:rPr>
            </w:pPr>
            <w:r>
              <w:rPr>
                <w:rFonts w:ascii="Avenir Next Condensed"/>
                <w:sz w:val="18"/>
              </w:rPr>
              <w:t>5,784</w:t>
            </w:r>
          </w:p>
        </w:tc>
        <w:tc>
          <w:tcPr>
            <w:tcW w:w="20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9"/>
              <w:ind w:left="24"/>
              <w:jc w:val="center"/>
              <w:rPr>
                <w:rFonts w:ascii="Avenir Next Condensed" w:eastAsia="Avenir Next Condensed" w:hAnsi="Avenir Next Condensed" w:cs="Avenir Next Condensed"/>
                <w:sz w:val="18"/>
                <w:szCs w:val="18"/>
              </w:rPr>
            </w:pPr>
            <w:r>
              <w:rPr>
                <w:rFonts w:ascii="Avenir Next Condensed"/>
                <w:sz w:val="18"/>
              </w:rPr>
              <w:t>44.1</w:t>
            </w:r>
          </w:p>
        </w:tc>
      </w:tr>
      <w:tr w:rsidR="00D96B91">
        <w:trPr>
          <w:trHeight w:hRule="exact" w:val="417"/>
        </w:trPr>
        <w:tc>
          <w:tcPr>
            <w:tcW w:w="3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pacing w:val="-3"/>
                <w:sz w:val="18"/>
              </w:rPr>
              <w:t xml:space="preserve">York </w:t>
            </w:r>
            <w:r>
              <w:rPr>
                <w:rFonts w:ascii="Avenir Next Condensed"/>
                <w:spacing w:val="-1"/>
                <w:sz w:val="18"/>
              </w:rPr>
              <w:t>Water</w:t>
            </w:r>
          </w:p>
        </w:tc>
        <w:tc>
          <w:tcPr>
            <w:tcW w:w="198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US</w:t>
            </w:r>
          </w:p>
        </w:tc>
        <w:tc>
          <w:tcPr>
            <w:tcW w:w="201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63"/>
              <w:jc w:val="center"/>
              <w:rPr>
                <w:rFonts w:ascii="Avenir Next Condensed" w:eastAsia="Avenir Next Condensed" w:hAnsi="Avenir Next Condensed" w:cs="Avenir Next Condensed"/>
                <w:sz w:val="18"/>
                <w:szCs w:val="18"/>
              </w:rPr>
            </w:pPr>
            <w:r>
              <w:rPr>
                <w:rFonts w:ascii="Avenir Next Condensed"/>
                <w:sz w:val="18"/>
              </w:rPr>
              <w:t>133</w:t>
            </w:r>
          </w:p>
        </w:tc>
        <w:tc>
          <w:tcPr>
            <w:tcW w:w="201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24"/>
              <w:jc w:val="center"/>
              <w:rPr>
                <w:rFonts w:ascii="Avenir Next Condensed" w:eastAsia="Avenir Next Condensed" w:hAnsi="Avenir Next Condensed" w:cs="Avenir Next Condensed"/>
                <w:sz w:val="18"/>
                <w:szCs w:val="18"/>
              </w:rPr>
            </w:pPr>
            <w:r>
              <w:rPr>
                <w:rFonts w:ascii="Avenir Next Condensed"/>
                <w:sz w:val="18"/>
              </w:rPr>
              <w:t>32.2</w:t>
            </w:r>
          </w:p>
        </w:tc>
      </w:tr>
      <w:tr w:rsidR="00D96B91">
        <w:trPr>
          <w:trHeight w:hRule="exact" w:val="407"/>
        </w:trPr>
        <w:tc>
          <w:tcPr>
            <w:tcW w:w="3390"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9"/>
              <w:ind w:left="108"/>
              <w:rPr>
                <w:rFonts w:ascii="Avenir Next Condensed" w:eastAsia="Avenir Next Condensed" w:hAnsi="Avenir Next Condensed" w:cs="Avenir Next Condensed"/>
                <w:sz w:val="18"/>
                <w:szCs w:val="18"/>
              </w:rPr>
            </w:pPr>
            <w:r>
              <w:rPr>
                <w:rFonts w:ascii="Avenir Next Condensed"/>
                <w:b/>
                <w:spacing w:val="-1"/>
                <w:sz w:val="18"/>
              </w:rPr>
              <w:t>Mean</w:t>
            </w:r>
          </w:p>
        </w:tc>
        <w:tc>
          <w:tcPr>
            <w:tcW w:w="1984"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D96B91"/>
        </w:tc>
        <w:tc>
          <w:tcPr>
            <w:tcW w:w="20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D96B91"/>
        </w:tc>
        <w:tc>
          <w:tcPr>
            <w:tcW w:w="2018" w:type="dxa"/>
            <w:tcBorders>
              <w:top w:val="single" w:sz="12" w:space="0" w:color="1A9EDA"/>
              <w:left w:val="single" w:sz="4" w:space="0" w:color="17A7E0"/>
              <w:bottom w:val="single" w:sz="12" w:space="0" w:color="1A9EDA"/>
              <w:right w:val="single" w:sz="4" w:space="0" w:color="17A7E0"/>
            </w:tcBorders>
            <w:shd w:val="clear" w:color="auto" w:fill="F0F9FE"/>
          </w:tcPr>
          <w:p w:rsidR="00D96B91" w:rsidRDefault="00C2656B">
            <w:pPr>
              <w:pStyle w:val="TableParagraph"/>
              <w:spacing w:before="99"/>
              <w:ind w:left="17"/>
              <w:jc w:val="center"/>
              <w:rPr>
                <w:rFonts w:ascii="Avenir Next Condensed" w:eastAsia="Avenir Next Condensed" w:hAnsi="Avenir Next Condensed" w:cs="Avenir Next Condensed"/>
                <w:sz w:val="18"/>
                <w:szCs w:val="18"/>
              </w:rPr>
            </w:pPr>
            <w:r>
              <w:rPr>
                <w:rFonts w:ascii="Avenir Next Condensed"/>
                <w:b/>
                <w:sz w:val="18"/>
              </w:rPr>
              <w:t>43%</w:t>
            </w:r>
          </w:p>
        </w:tc>
      </w:tr>
      <w:tr w:rsidR="00D96B91">
        <w:trPr>
          <w:trHeight w:hRule="exact" w:val="397"/>
        </w:trPr>
        <w:tc>
          <w:tcPr>
            <w:tcW w:w="3390" w:type="dxa"/>
            <w:tcBorders>
              <w:top w:val="single" w:sz="12"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99"/>
              <w:ind w:left="108"/>
              <w:rPr>
                <w:rFonts w:ascii="Avenir Next Condensed" w:eastAsia="Avenir Next Condensed" w:hAnsi="Avenir Next Condensed" w:cs="Avenir Next Condensed"/>
                <w:sz w:val="18"/>
                <w:szCs w:val="18"/>
              </w:rPr>
            </w:pPr>
            <w:r>
              <w:rPr>
                <w:rFonts w:ascii="Avenir Next Condensed"/>
                <w:b/>
                <w:sz w:val="18"/>
              </w:rPr>
              <w:t>Median</w:t>
            </w:r>
          </w:p>
        </w:tc>
        <w:tc>
          <w:tcPr>
            <w:tcW w:w="1984" w:type="dxa"/>
            <w:tcBorders>
              <w:top w:val="single" w:sz="12" w:space="0" w:color="1A9EDA"/>
              <w:left w:val="single" w:sz="4" w:space="0" w:color="17A7E0"/>
              <w:bottom w:val="single" w:sz="4" w:space="0" w:color="17A7E0"/>
              <w:right w:val="single" w:sz="4" w:space="0" w:color="17A7E0"/>
            </w:tcBorders>
            <w:shd w:val="clear" w:color="auto" w:fill="F0F9FE"/>
          </w:tcPr>
          <w:p w:rsidR="00D96B91" w:rsidRDefault="00D96B91"/>
        </w:tc>
        <w:tc>
          <w:tcPr>
            <w:tcW w:w="2018" w:type="dxa"/>
            <w:tcBorders>
              <w:top w:val="single" w:sz="12" w:space="0" w:color="1A9EDA"/>
              <w:left w:val="single" w:sz="4" w:space="0" w:color="17A7E0"/>
              <w:bottom w:val="single" w:sz="4" w:space="0" w:color="17A7E0"/>
              <w:right w:val="single" w:sz="4" w:space="0" w:color="17A7E0"/>
            </w:tcBorders>
            <w:shd w:val="clear" w:color="auto" w:fill="F0F9FE"/>
          </w:tcPr>
          <w:p w:rsidR="00D96B91" w:rsidRDefault="00D96B91"/>
        </w:tc>
        <w:tc>
          <w:tcPr>
            <w:tcW w:w="2018" w:type="dxa"/>
            <w:tcBorders>
              <w:top w:val="single" w:sz="12"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99"/>
              <w:ind w:left="17"/>
              <w:jc w:val="center"/>
              <w:rPr>
                <w:rFonts w:ascii="Avenir Next Condensed" w:eastAsia="Avenir Next Condensed" w:hAnsi="Avenir Next Condensed" w:cs="Avenir Next Condensed"/>
                <w:sz w:val="18"/>
                <w:szCs w:val="18"/>
              </w:rPr>
            </w:pPr>
            <w:r>
              <w:rPr>
                <w:rFonts w:ascii="Avenir Next Condensed"/>
                <w:b/>
                <w:sz w:val="18"/>
              </w:rPr>
              <w:t>45%</w:t>
            </w:r>
          </w:p>
        </w:tc>
      </w:tr>
      <w:tr w:rsidR="00D96B91">
        <w:trPr>
          <w:trHeight w:hRule="exact" w:val="417"/>
        </w:trPr>
        <w:tc>
          <w:tcPr>
            <w:tcW w:w="3390"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b/>
                <w:sz w:val="18"/>
              </w:rPr>
              <w:t>Min - Max</w:t>
            </w:r>
          </w:p>
        </w:tc>
        <w:tc>
          <w:tcPr>
            <w:tcW w:w="1984"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c>
          <w:tcPr>
            <w:tcW w:w="201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D96B91"/>
        </w:tc>
        <w:tc>
          <w:tcPr>
            <w:tcW w:w="2018" w:type="dxa"/>
            <w:tcBorders>
              <w:top w:val="single" w:sz="4" w:space="0" w:color="17A7E0"/>
              <w:left w:val="single" w:sz="4" w:space="0" w:color="17A7E0"/>
              <w:bottom w:val="single" w:sz="12" w:space="0" w:color="1A9EDA"/>
              <w:right w:val="single" w:sz="4" w:space="0" w:color="17A7E0"/>
            </w:tcBorders>
            <w:shd w:val="clear" w:color="auto" w:fill="F0F9FE"/>
          </w:tcPr>
          <w:p w:rsidR="00D96B91" w:rsidRDefault="00C2656B">
            <w:pPr>
              <w:pStyle w:val="TableParagraph"/>
              <w:spacing w:before="109"/>
              <w:ind w:left="640"/>
              <w:rPr>
                <w:rFonts w:ascii="Avenir Next Condensed" w:eastAsia="Avenir Next Condensed" w:hAnsi="Avenir Next Condensed" w:cs="Avenir Next Condensed"/>
                <w:sz w:val="18"/>
                <w:szCs w:val="18"/>
              </w:rPr>
            </w:pPr>
            <w:r>
              <w:rPr>
                <w:rFonts w:ascii="Avenir Next Condensed"/>
                <w:b/>
                <w:sz w:val="18"/>
              </w:rPr>
              <w:t>10%-64</w:t>
            </w:r>
          </w:p>
        </w:tc>
      </w:tr>
    </w:tbl>
    <w:p w:rsidR="00D96B91" w:rsidRDefault="00D96B91">
      <w:pPr>
        <w:spacing w:before="10"/>
        <w:rPr>
          <w:rFonts w:ascii="Avenir Next" w:eastAsia="Avenir Next" w:hAnsi="Avenir Next" w:cs="Avenir Next"/>
          <w:b/>
          <w:bCs/>
          <w:sz w:val="5"/>
          <w:szCs w:val="5"/>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w:t>
      </w:r>
      <w:r>
        <w:rPr>
          <w:rFonts w:ascii="Avenir Next"/>
          <w:b/>
          <w:spacing w:val="-4"/>
          <w:sz w:val="16"/>
        </w:rPr>
        <w:t xml:space="preserve"> </w:t>
      </w:r>
      <w:r>
        <w:rPr>
          <w:rFonts w:ascii="Avenir Next"/>
          <w:spacing w:val="-1"/>
          <w:sz w:val="16"/>
        </w:rPr>
        <w:t>Thomson</w:t>
      </w:r>
      <w:r>
        <w:rPr>
          <w:rFonts w:ascii="Avenir Next"/>
          <w:sz w:val="16"/>
        </w:rPr>
        <w:t xml:space="preserve"> </w:t>
      </w:r>
      <w:r>
        <w:rPr>
          <w:rFonts w:ascii="Avenir Next"/>
          <w:spacing w:val="-1"/>
          <w:sz w:val="16"/>
        </w:rPr>
        <w:t>Reuters</w:t>
      </w:r>
      <w:r>
        <w:rPr>
          <w:rFonts w:ascii="Avenir Next"/>
          <w:sz w:val="16"/>
        </w:rPr>
        <w:t xml:space="preserve"> </w:t>
      </w:r>
      <w:r>
        <w:rPr>
          <w:rFonts w:ascii="Avenir Next"/>
          <w:spacing w:val="-1"/>
          <w:sz w:val="16"/>
        </w:rPr>
        <w:t>Datastream.</w:t>
      </w:r>
    </w:p>
    <w:p w:rsidR="00D96B91" w:rsidRDefault="00C2656B">
      <w:pPr>
        <w:spacing w:before="58"/>
        <w:ind w:left="1247" w:right="1548"/>
        <w:rPr>
          <w:rFonts w:ascii="Avenir Next" w:eastAsia="Avenir Next" w:hAnsi="Avenir Next" w:cs="Avenir Next"/>
          <w:sz w:val="16"/>
          <w:szCs w:val="16"/>
        </w:rPr>
      </w:pPr>
      <w:r>
        <w:rPr>
          <w:rFonts w:ascii="Avenir Next"/>
          <w:b/>
          <w:sz w:val="16"/>
        </w:rPr>
        <w:t>Note:</w:t>
      </w:r>
      <w:r>
        <w:rPr>
          <w:rFonts w:ascii="Avenir Next"/>
          <w:b/>
          <w:spacing w:val="-4"/>
          <w:sz w:val="16"/>
        </w:rPr>
        <w:t xml:space="preserve"> </w:t>
      </w:r>
      <w:r>
        <w:rPr>
          <w:rFonts w:ascii="Avenir Next"/>
          <w:spacing w:val="-1"/>
          <w:sz w:val="16"/>
        </w:rPr>
        <w:t>The</w:t>
      </w:r>
      <w:r>
        <w:rPr>
          <w:rFonts w:ascii="Avenir Next"/>
          <w:sz w:val="16"/>
        </w:rPr>
        <w:t xml:space="preserve"> sample period used to </w:t>
      </w:r>
      <w:r>
        <w:rPr>
          <w:rFonts w:ascii="Avenir Next"/>
          <w:spacing w:val="-1"/>
          <w:sz w:val="16"/>
        </w:rPr>
        <w:t>calculate</w:t>
      </w:r>
      <w:r>
        <w:rPr>
          <w:rFonts w:ascii="Avenir Next"/>
          <w:sz w:val="16"/>
        </w:rPr>
        <w:t xml:space="preserve"> the </w:t>
      </w:r>
      <w:r>
        <w:rPr>
          <w:rFonts w:ascii="Avenir Next"/>
          <w:spacing w:val="-1"/>
          <w:sz w:val="16"/>
        </w:rPr>
        <w:t>gearing</w:t>
      </w:r>
      <w:r>
        <w:rPr>
          <w:rFonts w:ascii="Avenir Next"/>
          <w:sz w:val="16"/>
        </w:rPr>
        <w:t xml:space="preserve"> </w:t>
      </w:r>
      <w:r>
        <w:rPr>
          <w:rFonts w:ascii="Avenir Next"/>
          <w:spacing w:val="-1"/>
          <w:sz w:val="16"/>
        </w:rPr>
        <w:t>ratios</w:t>
      </w:r>
      <w:r>
        <w:rPr>
          <w:rFonts w:ascii="Avenir Next"/>
          <w:sz w:val="16"/>
        </w:rPr>
        <w:t xml:space="preserve"> is 1980 to 2013.</w:t>
      </w:r>
      <w:r>
        <w:rPr>
          <w:rFonts w:ascii="Avenir Next"/>
          <w:spacing w:val="-9"/>
          <w:sz w:val="16"/>
        </w:rPr>
        <w:t xml:space="preserve"> </w:t>
      </w:r>
      <w:r>
        <w:rPr>
          <w:rFonts w:ascii="Avenir Next"/>
          <w:spacing w:val="-1"/>
          <w:sz w:val="16"/>
        </w:rPr>
        <w:t>The</w:t>
      </w:r>
      <w:r>
        <w:rPr>
          <w:rFonts w:ascii="Avenir Next"/>
          <w:sz w:val="16"/>
        </w:rPr>
        <w:t xml:space="preserve"> </w:t>
      </w:r>
      <w:r>
        <w:rPr>
          <w:rFonts w:ascii="Avenir Next"/>
          <w:spacing w:val="-1"/>
          <w:sz w:val="16"/>
        </w:rPr>
        <w:t>gearing</w:t>
      </w:r>
      <w:r>
        <w:rPr>
          <w:rFonts w:ascii="Avenir Next"/>
          <w:sz w:val="16"/>
        </w:rPr>
        <w:t xml:space="preserve"> </w:t>
      </w:r>
      <w:r>
        <w:rPr>
          <w:rFonts w:ascii="Avenir Next"/>
          <w:spacing w:val="-1"/>
          <w:sz w:val="16"/>
        </w:rPr>
        <w:t>ratio</w:t>
      </w:r>
      <w:r>
        <w:rPr>
          <w:rFonts w:ascii="Avenir Next"/>
          <w:sz w:val="16"/>
        </w:rPr>
        <w:t xml:space="preserve"> is </w:t>
      </w:r>
      <w:r>
        <w:rPr>
          <w:rFonts w:ascii="Avenir Next"/>
          <w:spacing w:val="-1"/>
          <w:sz w:val="16"/>
        </w:rPr>
        <w:t>calculated</w:t>
      </w:r>
      <w:r>
        <w:rPr>
          <w:rFonts w:ascii="Avenir Next"/>
          <w:sz w:val="16"/>
        </w:rPr>
        <w:t xml:space="preserve"> as</w:t>
      </w:r>
      <w:r>
        <w:rPr>
          <w:rFonts w:ascii="Avenir Next"/>
          <w:spacing w:val="-4"/>
          <w:sz w:val="16"/>
        </w:rPr>
        <w:t xml:space="preserve"> Total</w:t>
      </w:r>
      <w:r>
        <w:rPr>
          <w:rFonts w:ascii="Avenir Next"/>
          <w:sz w:val="16"/>
        </w:rPr>
        <w:t xml:space="preserve"> Debt</w:t>
      </w:r>
      <w:r>
        <w:rPr>
          <w:rFonts w:ascii="Avenir Next"/>
          <w:spacing w:val="69"/>
          <w:sz w:val="16"/>
        </w:rPr>
        <w:t xml:space="preserve"> </w:t>
      </w:r>
      <w:r>
        <w:rPr>
          <w:rFonts w:ascii="Avenir Next"/>
          <w:sz w:val="16"/>
        </w:rPr>
        <w:t xml:space="preserve">divided by the sum of </w:t>
      </w:r>
      <w:r>
        <w:rPr>
          <w:rFonts w:ascii="Avenir Next"/>
          <w:spacing w:val="-4"/>
          <w:sz w:val="16"/>
        </w:rPr>
        <w:t>Total</w:t>
      </w:r>
      <w:r>
        <w:rPr>
          <w:rFonts w:ascii="Avenir Next"/>
          <w:sz w:val="16"/>
        </w:rPr>
        <w:t xml:space="preserve"> Debt and </w:t>
      </w:r>
      <w:r>
        <w:rPr>
          <w:rFonts w:ascii="Avenir Next"/>
          <w:spacing w:val="-1"/>
          <w:sz w:val="16"/>
        </w:rPr>
        <w:t>Market</w:t>
      </w:r>
      <w:r>
        <w:rPr>
          <w:rFonts w:ascii="Avenir Next"/>
          <w:sz w:val="16"/>
        </w:rPr>
        <w:t xml:space="preserve"> </w:t>
      </w:r>
      <w:r>
        <w:rPr>
          <w:rFonts w:ascii="Avenir Next"/>
          <w:spacing w:val="-1"/>
          <w:sz w:val="16"/>
        </w:rPr>
        <w:t>Capitalisation</w:t>
      </w:r>
      <w:r>
        <w:rPr>
          <w:rFonts w:ascii="Avenir Next"/>
          <w:sz w:val="16"/>
        </w:rPr>
        <w:t xml:space="preserve"> </w:t>
      </w:r>
      <w:r>
        <w:rPr>
          <w:rFonts w:ascii="Avenir Next"/>
          <w:spacing w:val="-1"/>
          <w:sz w:val="16"/>
        </w:rPr>
        <w:t>from</w:t>
      </w:r>
      <w:r>
        <w:rPr>
          <w:rFonts w:ascii="Avenir Next"/>
          <w:spacing w:val="-4"/>
          <w:sz w:val="16"/>
        </w:rPr>
        <w:t xml:space="preserve"> </w:t>
      </w:r>
      <w:r>
        <w:rPr>
          <w:rFonts w:ascii="Avenir Next"/>
          <w:spacing w:val="-1"/>
          <w:sz w:val="16"/>
        </w:rPr>
        <w:t>Thomson</w:t>
      </w:r>
      <w:r>
        <w:rPr>
          <w:rFonts w:ascii="Avenir Next"/>
          <w:sz w:val="16"/>
        </w:rPr>
        <w:t xml:space="preserve"> </w:t>
      </w:r>
      <w:r>
        <w:rPr>
          <w:rFonts w:ascii="Avenir Next"/>
          <w:spacing w:val="-1"/>
          <w:sz w:val="16"/>
        </w:rPr>
        <w:t>Reuters</w:t>
      </w:r>
      <w:r>
        <w:rPr>
          <w:rFonts w:ascii="Avenir Next"/>
          <w:sz w:val="16"/>
        </w:rPr>
        <w:t xml:space="preserve"> </w:t>
      </w:r>
      <w:r>
        <w:rPr>
          <w:rFonts w:ascii="Avenir Next"/>
          <w:spacing w:val="-1"/>
          <w:sz w:val="16"/>
        </w:rPr>
        <w:t>Datastream</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A8.10: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w:t>
      </w:r>
      <w:r>
        <w:rPr>
          <w:rFonts w:ascii="Avenir Next"/>
          <w:b/>
          <w:spacing w:val="-1"/>
          <w:sz w:val="20"/>
        </w:rPr>
        <w:t>gearing</w:t>
      </w:r>
      <w:r>
        <w:rPr>
          <w:rFonts w:ascii="Avenir Next"/>
          <w:b/>
          <w:sz w:val="20"/>
        </w:rPr>
        <w:t xml:space="preserve"> </w:t>
      </w:r>
      <w:r>
        <w:rPr>
          <w:rFonts w:ascii="Avenir Next"/>
          <w:b/>
          <w:spacing w:val="-1"/>
          <w:sz w:val="20"/>
        </w:rPr>
        <w:t>ratio</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718"/>
        <w:gridCol w:w="4229"/>
        <w:gridCol w:w="1985"/>
        <w:gridCol w:w="1468"/>
      </w:tblGrid>
      <w:tr w:rsidR="00D96B91">
        <w:trPr>
          <w:trHeight w:hRule="exact" w:val="407"/>
        </w:trPr>
        <w:tc>
          <w:tcPr>
            <w:tcW w:w="171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85"/>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22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31"/>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146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60"/>
              <w:rPr>
                <w:rFonts w:ascii="Avenir Next Condensed" w:eastAsia="Avenir Next Condensed" w:hAnsi="Avenir Next Condensed" w:cs="Avenir Next Condensed"/>
                <w:sz w:val="18"/>
                <w:szCs w:val="18"/>
              </w:rPr>
            </w:pPr>
            <w:r>
              <w:rPr>
                <w:rFonts w:ascii="Avenir Next Condensed"/>
                <w:b/>
                <w:color w:val="FFFFFF"/>
                <w:spacing w:val="-1"/>
                <w:sz w:val="18"/>
              </w:rPr>
              <w:t>Gearing</w:t>
            </w:r>
          </w:p>
        </w:tc>
      </w:tr>
      <w:tr w:rsidR="00D96B91">
        <w:trPr>
          <w:trHeight w:hRule="exact" w:val="407"/>
        </w:trPr>
        <w:tc>
          <w:tcPr>
            <w:tcW w:w="171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22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9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46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0"/>
                <w:szCs w:val="10"/>
              </w:rPr>
            </w:pPr>
            <w:r>
              <w:rPr>
                <w:rFonts w:ascii="Avenir Next Condensed"/>
                <w:sz w:val="18"/>
              </w:rPr>
              <w:t>55%</w:t>
            </w:r>
            <w:r>
              <w:rPr>
                <w:rFonts w:ascii="Avenir Next Condensed"/>
                <w:position w:val="6"/>
                <w:sz w:val="10"/>
              </w:rPr>
              <w:t>^</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2010</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50%</w:t>
            </w:r>
          </w:p>
        </w:tc>
      </w:tr>
      <w:tr w:rsidR="00D96B91">
        <w:trPr>
          <w:trHeight w:hRule="exact" w:val="407"/>
        </w:trPr>
        <w:tc>
          <w:tcPr>
            <w:tcW w:w="171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22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2008</w:t>
            </w:r>
          </w:p>
        </w:tc>
        <w:tc>
          <w:tcPr>
            <w:tcW w:w="146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60%</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Sources:</w:t>
      </w:r>
      <w:r>
        <w:rPr>
          <w:rFonts w:ascii="Avenir Next"/>
          <w:b/>
          <w:sz w:val="16"/>
        </w:rPr>
        <w:t xml:space="preserve"> </w:t>
      </w:r>
      <w:r>
        <w:rPr>
          <w:rFonts w:ascii="Avenir Next"/>
          <w:sz w:val="16"/>
        </w:rPr>
        <w:t>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C2656B">
      <w:pPr>
        <w:spacing w:before="58"/>
        <w:ind w:left="1247" w:right="1283"/>
        <w:rPr>
          <w:rFonts w:ascii="Avenir Next" w:eastAsia="Avenir Next" w:hAnsi="Avenir Next" w:cs="Avenir Next"/>
          <w:sz w:val="16"/>
          <w:szCs w:val="16"/>
        </w:rPr>
      </w:pPr>
      <w:r>
        <w:rPr>
          <w:rFonts w:ascii="Avenir Next" w:eastAsia="Avenir Next" w:hAnsi="Avenir Next" w:cs="Avenir Next"/>
          <w:b/>
          <w:bCs/>
          <w:sz w:val="16"/>
          <w:szCs w:val="16"/>
        </w:rPr>
        <w:t xml:space="preserve">Note: </w:t>
      </w:r>
      <w:r>
        <w:rPr>
          <w:rFonts w:ascii="Avenir Next" w:eastAsia="Avenir Next" w:hAnsi="Avenir Next" w:cs="Avenir Next"/>
          <w:spacing w:val="-3"/>
          <w:sz w:val="16"/>
          <w:szCs w:val="16"/>
        </w:rPr>
        <w:t>IPART</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 xml:space="preserve">adopted a </w:t>
      </w:r>
      <w:r>
        <w:rPr>
          <w:rFonts w:ascii="Avenir Next" w:eastAsia="Avenir Next" w:hAnsi="Avenir Next" w:cs="Avenir Next"/>
          <w:spacing w:val="-1"/>
          <w:sz w:val="16"/>
          <w:szCs w:val="16"/>
        </w:rPr>
        <w:t>gearing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ratio</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55% in this case having </w:t>
      </w:r>
      <w:r>
        <w:rPr>
          <w:rFonts w:ascii="Avenir Next" w:eastAsia="Avenir Next" w:hAnsi="Avenir Next" w:cs="Avenir Next"/>
          <w:spacing w:val="-1"/>
          <w:sz w:val="16"/>
          <w:szCs w:val="16"/>
        </w:rPr>
        <w:t>regard</w:t>
      </w:r>
      <w:r>
        <w:rPr>
          <w:rFonts w:ascii="Avenir Next" w:eastAsia="Avenir Next" w:hAnsi="Avenir Next" w:cs="Avenir Next"/>
          <w:sz w:val="16"/>
          <w:szCs w:val="16"/>
        </w:rPr>
        <w:t xml:space="preserve"> to the </w:t>
      </w:r>
      <w:r>
        <w:rPr>
          <w:rFonts w:ascii="Avenir Next" w:eastAsia="Avenir Next" w:hAnsi="Avenir Next" w:cs="Avenir Next"/>
          <w:spacing w:val="-1"/>
          <w:sz w:val="16"/>
          <w:szCs w:val="16"/>
        </w:rPr>
        <w:t>risks</w:t>
      </w:r>
      <w:r>
        <w:rPr>
          <w:rFonts w:ascii="Avenir Next" w:eastAsia="Avenir Next" w:hAnsi="Avenir Next" w:cs="Avenir Next"/>
          <w:sz w:val="16"/>
          <w:szCs w:val="16"/>
        </w:rPr>
        <w:t xml:space="preserve"> the Essential </w:t>
      </w:r>
      <w:r>
        <w:rPr>
          <w:rFonts w:ascii="Avenir Next" w:eastAsia="Avenir Next" w:hAnsi="Avenir Next" w:cs="Avenir Next"/>
          <w:spacing w:val="-2"/>
          <w:sz w:val="16"/>
          <w:szCs w:val="16"/>
        </w:rPr>
        <w:t>Energy’s Water</w:t>
      </w:r>
      <w:r>
        <w:rPr>
          <w:rFonts w:ascii="Avenir Next" w:eastAsia="Avenir Next" w:hAnsi="Avenir Next" w:cs="Avenir Next"/>
          <w:sz w:val="16"/>
          <w:szCs w:val="16"/>
        </w:rPr>
        <w:t xml:space="preserve"> (EEW) faces</w:t>
      </w:r>
      <w:r>
        <w:rPr>
          <w:rFonts w:ascii="Avenir Next" w:eastAsia="Avenir Next" w:hAnsi="Avenir Next" w:cs="Avenir Next"/>
          <w:spacing w:val="43"/>
          <w:sz w:val="16"/>
          <w:szCs w:val="16"/>
        </w:rPr>
        <w:t xml:space="preserve"> </w:t>
      </w:r>
      <w:r>
        <w:rPr>
          <w:rFonts w:ascii="Avenir Next" w:eastAsia="Avenir Next" w:hAnsi="Avenir Next" w:cs="Avenir Next"/>
          <w:spacing w:val="-1"/>
          <w:sz w:val="16"/>
          <w:szCs w:val="16"/>
        </w:rPr>
        <w:t>compared</w:t>
      </w:r>
      <w:r>
        <w:rPr>
          <w:rFonts w:ascii="Avenir Next" w:eastAsia="Avenir Next" w:hAnsi="Avenir Next" w:cs="Avenir Next"/>
          <w:sz w:val="16"/>
          <w:szCs w:val="16"/>
        </w:rPr>
        <w:t xml:space="preserve"> to other </w:t>
      </w:r>
      <w:r>
        <w:rPr>
          <w:rFonts w:ascii="Avenir Next" w:eastAsia="Avenir Next" w:hAnsi="Avenir Next" w:cs="Avenir Next"/>
          <w:spacing w:val="-1"/>
          <w:sz w:val="16"/>
          <w:szCs w:val="16"/>
        </w:rPr>
        <w:t>water</w:t>
      </w:r>
      <w:r>
        <w:rPr>
          <w:rFonts w:ascii="Avenir Next" w:eastAsia="Avenir Next" w:hAnsi="Avenir Next" w:cs="Avenir Next"/>
          <w:sz w:val="16"/>
          <w:szCs w:val="16"/>
        </w:rPr>
        <w:t xml:space="preserve"> utilities.</w:t>
      </w:r>
      <w:r>
        <w:rPr>
          <w:rFonts w:ascii="Avenir Next" w:eastAsia="Avenir Next" w:hAnsi="Avenir Next" w:cs="Avenir Next"/>
          <w:spacing w:val="-5"/>
          <w:sz w:val="16"/>
          <w:szCs w:val="16"/>
        </w:rPr>
        <w:t xml:space="preserve"> </w:t>
      </w:r>
      <w:r>
        <w:rPr>
          <w:rFonts w:ascii="Avenir Next" w:eastAsia="Avenir Next" w:hAnsi="Avenir Next" w:cs="Avenir Next"/>
          <w:spacing w:val="-3"/>
          <w:sz w:val="16"/>
          <w:szCs w:val="16"/>
        </w:rPr>
        <w:t>IPART</w:t>
      </w:r>
      <w:r>
        <w:rPr>
          <w:rFonts w:ascii="Avenir Next" w:eastAsia="Avenir Next" w:hAnsi="Avenir Next" w:cs="Avenir Next"/>
          <w:spacing w:val="-4"/>
          <w:sz w:val="16"/>
          <w:szCs w:val="16"/>
        </w:rPr>
        <w:t xml:space="preserve"> </w:t>
      </w:r>
      <w:r>
        <w:rPr>
          <w:rFonts w:ascii="Avenir Next" w:eastAsia="Avenir Next" w:hAnsi="Avenir Next" w:cs="Avenir Next"/>
          <w:spacing w:val="-1"/>
          <w:sz w:val="16"/>
          <w:szCs w:val="16"/>
        </w:rPr>
        <w:t>considered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EEW</w:t>
      </w:r>
      <w:r>
        <w:rPr>
          <w:rFonts w:ascii="Avenir Next" w:eastAsia="Avenir Next" w:hAnsi="Avenir Next" w:cs="Avenir Next"/>
          <w:spacing w:val="-2"/>
          <w:sz w:val="16"/>
          <w:szCs w:val="16"/>
        </w:rPr>
        <w:t xml:space="preserve"> </w:t>
      </w:r>
      <w:r>
        <w:rPr>
          <w:rFonts w:ascii="Avenir Next" w:eastAsia="Avenir Next" w:hAnsi="Avenir Next" w:cs="Avenir Next"/>
          <w:sz w:val="16"/>
          <w:szCs w:val="16"/>
        </w:rPr>
        <w:t xml:space="preserve">is </w:t>
      </w:r>
      <w:r>
        <w:rPr>
          <w:rFonts w:ascii="Avenir Next" w:eastAsia="Avenir Next" w:hAnsi="Avenir Next" w:cs="Avenir Next"/>
          <w:spacing w:val="-1"/>
          <w:sz w:val="16"/>
          <w:szCs w:val="16"/>
        </w:rPr>
        <w:t>exposed</w:t>
      </w:r>
      <w:r>
        <w:rPr>
          <w:rFonts w:ascii="Avenir Next" w:eastAsia="Avenir Next" w:hAnsi="Avenir Next" w:cs="Avenir Next"/>
          <w:sz w:val="16"/>
          <w:szCs w:val="16"/>
        </w:rPr>
        <w:t xml:space="preserve"> to a higher level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risk because it faces falling </w:t>
      </w:r>
      <w:r>
        <w:rPr>
          <w:rFonts w:ascii="Avenir Next" w:eastAsia="Avenir Next" w:hAnsi="Avenir Next" w:cs="Avenir Next"/>
          <w:spacing w:val="-1"/>
          <w:sz w:val="16"/>
          <w:szCs w:val="16"/>
        </w:rPr>
        <w:t>water</w:t>
      </w:r>
      <w:r>
        <w:rPr>
          <w:rFonts w:ascii="Avenir Next" w:eastAsia="Avenir Next" w:hAnsi="Avenir Next" w:cs="Avenir Next"/>
          <w:spacing w:val="59"/>
          <w:sz w:val="16"/>
          <w:szCs w:val="16"/>
        </w:rPr>
        <w:t xml:space="preserve"> </w:t>
      </w:r>
      <w:r>
        <w:rPr>
          <w:rFonts w:ascii="Avenir Next" w:eastAsia="Avenir Next" w:hAnsi="Avenir Next" w:cs="Avenir Next"/>
          <w:sz w:val="16"/>
          <w:szCs w:val="16"/>
        </w:rPr>
        <w:t xml:space="preserve">demand due to a declining </w:t>
      </w:r>
      <w:r>
        <w:rPr>
          <w:rFonts w:ascii="Avenir Next" w:eastAsia="Avenir Next" w:hAnsi="Avenir Next" w:cs="Avenir Next"/>
          <w:spacing w:val="-1"/>
          <w:sz w:val="16"/>
          <w:szCs w:val="16"/>
        </w:rPr>
        <w:t>population</w:t>
      </w:r>
      <w:r>
        <w:rPr>
          <w:rFonts w:ascii="Avenir Next" w:eastAsia="Avenir Next" w:hAnsi="Avenir Next" w:cs="Avenir Next"/>
          <w:sz w:val="16"/>
          <w:szCs w:val="16"/>
        </w:rPr>
        <w:t xml:space="preserve"> in its </w:t>
      </w:r>
      <w:r>
        <w:rPr>
          <w:rFonts w:ascii="Avenir Next" w:eastAsia="Avenir Next" w:hAnsi="Avenir Next" w:cs="Avenir Next"/>
          <w:spacing w:val="-1"/>
          <w:sz w:val="16"/>
          <w:szCs w:val="16"/>
        </w:rPr>
        <w:t>operating</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region,</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 xml:space="preserve">and it </w:t>
      </w:r>
      <w:r>
        <w:rPr>
          <w:rFonts w:ascii="Avenir Next" w:eastAsia="Avenir Next" w:hAnsi="Avenir Next" w:cs="Avenir Next"/>
          <w:spacing w:val="-1"/>
          <w:sz w:val="16"/>
          <w:szCs w:val="16"/>
        </w:rPr>
        <w:t>operates</w:t>
      </w:r>
      <w:r>
        <w:rPr>
          <w:rFonts w:ascii="Avenir Next" w:eastAsia="Avenir Next" w:hAnsi="Avenir Next" w:cs="Avenir Next"/>
          <w:sz w:val="16"/>
          <w:szCs w:val="16"/>
        </w:rPr>
        <w:t xml:space="preserve"> in a </w:t>
      </w:r>
      <w:r>
        <w:rPr>
          <w:rFonts w:ascii="Avenir Next" w:eastAsia="Avenir Next" w:hAnsi="Avenir Next" w:cs="Avenir Next"/>
          <w:spacing w:val="-1"/>
          <w:sz w:val="16"/>
          <w:szCs w:val="16"/>
        </w:rPr>
        <w:t>geographically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isolated</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market.</w:t>
      </w:r>
    </w:p>
    <w:p w:rsidR="00D96B91" w:rsidRDefault="00D96B91">
      <w:pPr>
        <w:rPr>
          <w:rFonts w:ascii="Avenir Next" w:eastAsia="Avenir Next" w:hAnsi="Avenir Next" w:cs="Avenir Next"/>
          <w:sz w:val="16"/>
          <w:szCs w:val="16"/>
        </w:rPr>
      </w:pPr>
    </w:p>
    <w:p w:rsidR="00D96B91" w:rsidRDefault="00D96B91">
      <w:pPr>
        <w:rPr>
          <w:rFonts w:ascii="Avenir Next" w:eastAsia="Avenir Next" w:hAnsi="Avenir Next" w:cs="Avenir Next"/>
          <w:sz w:val="16"/>
          <w:szCs w:val="16"/>
        </w:rPr>
      </w:pPr>
    </w:p>
    <w:p w:rsidR="00D96B91" w:rsidRDefault="00C2656B">
      <w:pPr>
        <w:pStyle w:val="Heading4"/>
        <w:tabs>
          <w:tab w:val="left" w:pos="2267"/>
        </w:tabs>
        <w:spacing w:before="131"/>
      </w:pPr>
      <w:r>
        <w:rPr>
          <w:color w:val="0778BE"/>
        </w:rPr>
        <w:t>A8.</w:t>
      </w:r>
      <w:r>
        <w:rPr>
          <w:color w:val="0778BE"/>
          <w:spacing w:val="-9"/>
        </w:rPr>
        <w:t xml:space="preserve"> </w:t>
      </w:r>
      <w:r>
        <w:rPr>
          <w:color w:val="0778BE"/>
        </w:rPr>
        <w:t>4</w:t>
      </w:r>
      <w:r>
        <w:rPr>
          <w:color w:val="0778BE"/>
        </w:rPr>
        <w:tab/>
        <w:t>Net tax liabilities</w:t>
      </w:r>
    </w:p>
    <w:p w:rsidR="00D96B91" w:rsidRDefault="00C2656B">
      <w:pPr>
        <w:pStyle w:val="BodyText"/>
        <w:spacing w:before="55" w:line="260" w:lineRule="exact"/>
        <w:ind w:right="1376"/>
      </w:pPr>
      <w:r>
        <w:rPr>
          <w:rFonts w:cs="Avenir Next"/>
        </w:rPr>
        <w:t>As</w:t>
      </w:r>
      <w:r>
        <w:rPr>
          <w:rFonts w:cs="Avenir Next"/>
          <w:spacing w:val="-1"/>
        </w:rPr>
        <w:t xml:space="preserve"> </w:t>
      </w:r>
      <w:r>
        <w:rPr>
          <w:rFonts w:cs="Avenir Next"/>
        </w:rPr>
        <w:t>set</w:t>
      </w:r>
      <w:r>
        <w:rPr>
          <w:rFonts w:cs="Avenir Next"/>
          <w:spacing w:val="-1"/>
        </w:rPr>
        <w:t xml:space="preserve"> </w:t>
      </w:r>
      <w:r>
        <w:rPr>
          <w:rFonts w:cs="Avenir Next"/>
        </w:rPr>
        <w:t>out in</w:t>
      </w:r>
      <w:r>
        <w:rPr>
          <w:rFonts w:cs="Avenir Next"/>
          <w:spacing w:val="-1"/>
        </w:rPr>
        <w:t xml:space="preserve"> </w:t>
      </w:r>
      <w:r>
        <w:rPr>
          <w:rFonts w:cs="Avenir Next"/>
        </w:rPr>
        <w:t>Chapter</w:t>
      </w:r>
      <w:r>
        <w:rPr>
          <w:rFonts w:cs="Avenir Next"/>
          <w:spacing w:val="-1"/>
        </w:rPr>
        <w:t xml:space="preserve"> </w:t>
      </w:r>
      <w:hyperlink w:anchor="_bookmark84" w:history="1">
        <w:r>
          <w:t>10</w:t>
        </w:r>
      </w:hyperlink>
      <w:r>
        <w:t>,</w:t>
      </w:r>
      <w:r>
        <w:rPr>
          <w:spacing w:val="-6"/>
        </w:rPr>
        <w:t xml:space="preserve"> </w:t>
      </w:r>
      <w:r>
        <w:t>the</w:t>
      </w:r>
      <w:r>
        <w:rPr>
          <w:spacing w:val="-1"/>
        </w:rPr>
        <w:t xml:space="preserve"> </w:t>
      </w:r>
      <w:r>
        <w:rPr>
          <w:spacing w:val="-2"/>
        </w:rPr>
        <w:t>ICRC’s</w:t>
      </w:r>
      <w:r>
        <w:rPr>
          <w:spacing w:val="-1"/>
        </w:rPr>
        <w:t xml:space="preserve"> application</w:t>
      </w:r>
      <w:r>
        <w:t xml:space="preserve"> of</w:t>
      </w:r>
      <w:r>
        <w:rPr>
          <w:spacing w:val="3"/>
        </w:rPr>
        <w:t xml:space="preserve"> </w:t>
      </w:r>
      <w:r>
        <w:t>a</w:t>
      </w:r>
      <w:r>
        <w:rPr>
          <w:spacing w:val="-1"/>
        </w:rPr>
        <w:t xml:space="preserve"> </w:t>
      </w:r>
      <w:r>
        <w:t xml:space="preserve">firm-specific </w:t>
      </w:r>
      <w:r>
        <w:rPr>
          <w:spacing w:val="-1"/>
        </w:rPr>
        <w:t xml:space="preserve">approach </w:t>
      </w:r>
      <w:r>
        <w:t>to</w:t>
      </w:r>
      <w:r>
        <w:rPr>
          <w:spacing w:val="-4"/>
        </w:rPr>
        <w:t xml:space="preserve"> </w:t>
      </w:r>
      <w:r>
        <w:rPr>
          <w:spacing w:val="-3"/>
        </w:rPr>
        <w:t>WACC</w:t>
      </w:r>
      <w:r>
        <w:t xml:space="preserve"> </w:t>
      </w:r>
      <w:r>
        <w:rPr>
          <w:spacing w:val="-1"/>
        </w:rPr>
        <w:t xml:space="preserve">resulted </w:t>
      </w:r>
      <w:r>
        <w:t>in</w:t>
      </w:r>
      <w:r>
        <w:rPr>
          <w:spacing w:val="-1"/>
        </w:rPr>
        <w:t xml:space="preserve"> </w:t>
      </w:r>
      <w:r>
        <w:t>no</w:t>
      </w:r>
      <w:r>
        <w:rPr>
          <w:spacing w:val="43"/>
        </w:rPr>
        <w:t xml:space="preserve"> </w:t>
      </w:r>
      <w:r>
        <w:rPr>
          <w:rFonts w:cs="Avenir Next"/>
          <w:spacing w:val="-1"/>
        </w:rPr>
        <w:t>explicit</w:t>
      </w:r>
      <w:r>
        <w:rPr>
          <w:rFonts w:cs="Avenir Next"/>
        </w:rPr>
        <w:t xml:space="preserve"> </w:t>
      </w:r>
      <w:r>
        <w:rPr>
          <w:rFonts w:cs="Avenir Next"/>
          <w:spacing w:val="-1"/>
        </w:rPr>
        <w:t>revenue</w:t>
      </w:r>
      <w:r>
        <w:rPr>
          <w:rFonts w:cs="Avenir Next"/>
          <w:spacing w:val="1"/>
        </w:rPr>
        <w:t xml:space="preserve"> </w:t>
      </w:r>
      <w:r>
        <w:rPr>
          <w:rFonts w:cs="Avenir Next"/>
        </w:rPr>
        <w:t>allowance</w:t>
      </w:r>
      <w:r>
        <w:rPr>
          <w:rFonts w:cs="Avenir Next"/>
          <w:spacing w:val="1"/>
        </w:rPr>
        <w:t xml:space="preserve"> </w:t>
      </w:r>
      <w:r>
        <w:rPr>
          <w:rFonts w:cs="Avenir Next"/>
        </w:rPr>
        <w:t>for</w:t>
      </w:r>
      <w:r>
        <w:rPr>
          <w:rFonts w:cs="Avenir Next"/>
          <w:spacing w:val="-3"/>
        </w:rPr>
        <w:t xml:space="preserve"> </w:t>
      </w:r>
      <w:r>
        <w:rPr>
          <w:rFonts w:cs="Avenir Next"/>
          <w:spacing w:val="-2"/>
        </w:rPr>
        <w:t>ACTEW</w:t>
      </w:r>
      <w:r>
        <w:rPr>
          <w:rFonts w:cs="Avenir Next"/>
          <w:spacing w:val="-3"/>
        </w:rPr>
        <w:t xml:space="preserve"> </w:t>
      </w:r>
      <w:r>
        <w:rPr>
          <w:rFonts w:cs="Avenir Next"/>
        </w:rPr>
        <w:t>to</w:t>
      </w:r>
      <w:r>
        <w:rPr>
          <w:rFonts w:cs="Avenir Next"/>
          <w:spacing w:val="1"/>
        </w:rPr>
        <w:t xml:space="preserve"> </w:t>
      </w:r>
      <w:r>
        <w:rPr>
          <w:rFonts w:cs="Avenir Next"/>
        </w:rPr>
        <w:t>cover</w:t>
      </w:r>
      <w:r>
        <w:rPr>
          <w:rFonts w:cs="Avenir Next"/>
          <w:spacing w:val="1"/>
        </w:rPr>
        <w:t xml:space="preserve"> </w:t>
      </w:r>
      <w:r>
        <w:rPr>
          <w:rFonts w:cs="Avenir Next"/>
        </w:rPr>
        <w:t>net</w:t>
      </w:r>
      <w:r>
        <w:rPr>
          <w:rFonts w:cs="Avenir Next"/>
          <w:spacing w:val="1"/>
        </w:rPr>
        <w:t xml:space="preserve"> </w:t>
      </w:r>
      <w:r>
        <w:rPr>
          <w:rFonts w:cs="Avenir Next"/>
        </w:rPr>
        <w:t xml:space="preserve">tax </w:t>
      </w:r>
      <w:r>
        <w:rPr>
          <w:rFonts w:cs="Avenir Next"/>
          <w:spacing w:val="-1"/>
        </w:rPr>
        <w:t>liabilities,</w:t>
      </w:r>
      <w:r>
        <w:rPr>
          <w:spacing w:val="-1"/>
          <w:position w:val="7"/>
          <w:sz w:val="11"/>
          <w:szCs w:val="11"/>
        </w:rPr>
        <w:t>268</w:t>
      </w:r>
      <w:r>
        <w:rPr>
          <w:spacing w:val="24"/>
          <w:position w:val="7"/>
          <w:sz w:val="11"/>
          <w:szCs w:val="11"/>
        </w:rPr>
        <w:t xml:space="preserve"> </w:t>
      </w:r>
      <w:r>
        <w:rPr>
          <w:rFonts w:cs="Avenir Next"/>
        </w:rPr>
        <w:t>even though</w:t>
      </w:r>
      <w:r>
        <w:rPr>
          <w:rFonts w:cs="Avenir Next"/>
          <w:spacing w:val="-3"/>
        </w:rPr>
        <w:t xml:space="preserve"> </w:t>
      </w:r>
      <w:r>
        <w:rPr>
          <w:rFonts w:cs="Avenir Next"/>
          <w:spacing w:val="-2"/>
        </w:rPr>
        <w:t xml:space="preserve">ACTEW </w:t>
      </w:r>
      <w:r>
        <w:rPr>
          <w:rFonts w:cs="Avenir Next"/>
        </w:rPr>
        <w:t>is</w:t>
      </w:r>
      <w:r>
        <w:rPr>
          <w:rFonts w:cs="Avenir Next"/>
          <w:spacing w:val="1"/>
        </w:rPr>
        <w:t xml:space="preserve"> </w:t>
      </w:r>
      <w:r>
        <w:rPr>
          <w:rFonts w:cs="Avenir Next"/>
          <w:spacing w:val="-1"/>
        </w:rPr>
        <w:t>required</w:t>
      </w:r>
      <w:r>
        <w:rPr>
          <w:rFonts w:cs="Avenir Next"/>
          <w:spacing w:val="1"/>
        </w:rPr>
        <w:t xml:space="preserve"> </w:t>
      </w:r>
      <w:r>
        <w:rPr>
          <w:rFonts w:cs="Avenir Next"/>
        </w:rPr>
        <w:t>to</w:t>
      </w:r>
      <w:r>
        <w:rPr>
          <w:rFonts w:cs="Avenir Next"/>
          <w:spacing w:val="63"/>
        </w:rPr>
        <w:t xml:space="preserve"> </w:t>
      </w:r>
      <w:r>
        <w:rPr>
          <w:spacing w:val="-1"/>
        </w:rPr>
        <w:t>make</w:t>
      </w:r>
      <w:r>
        <w:t xml:space="preserve"> </w:t>
      </w:r>
      <w:r>
        <w:rPr>
          <w:spacing w:val="-1"/>
        </w:rPr>
        <w:t>tax-equivalent</w:t>
      </w:r>
      <w:r>
        <w:t xml:space="preserve"> </w:t>
      </w:r>
      <w:r>
        <w:rPr>
          <w:spacing w:val="-1"/>
        </w:rPr>
        <w:t>payments.</w:t>
      </w:r>
      <w:r>
        <w:rPr>
          <w:spacing w:val="-1"/>
          <w:position w:val="7"/>
          <w:sz w:val="11"/>
          <w:szCs w:val="11"/>
        </w:rPr>
        <w:t>269</w:t>
      </w:r>
      <w:r>
        <w:rPr>
          <w:spacing w:val="22"/>
          <w:position w:val="7"/>
          <w:sz w:val="11"/>
          <w:szCs w:val="11"/>
        </w:rPr>
        <w:t xml:space="preserve"> </w:t>
      </w:r>
      <w:r>
        <w:rPr>
          <w:spacing w:val="-1"/>
        </w:rPr>
        <w:t>Even</w:t>
      </w:r>
      <w:r>
        <w:t xml:space="preserve"> under a firm-specific </w:t>
      </w:r>
      <w:r>
        <w:rPr>
          <w:spacing w:val="-1"/>
        </w:rPr>
        <w:t>approach</w:t>
      </w:r>
      <w:r>
        <w:t xml:space="preserve"> to </w:t>
      </w:r>
      <w:r>
        <w:rPr>
          <w:spacing w:val="-1"/>
        </w:rPr>
        <w:t>calculating</w:t>
      </w:r>
      <w:r>
        <w:t xml:space="preserve"> the </w:t>
      </w:r>
      <w:r>
        <w:rPr>
          <w:spacing w:val="-2"/>
        </w:rPr>
        <w:t>rate</w:t>
      </w:r>
      <w:r>
        <w:t xml:space="preserve"> of</w:t>
      </w:r>
      <w:r>
        <w:rPr>
          <w:spacing w:val="4"/>
        </w:rPr>
        <w:t xml:space="preserve"> </w:t>
      </w:r>
      <w:r>
        <w:rPr>
          <w:spacing w:val="-1"/>
        </w:rPr>
        <w:t>return,</w:t>
      </w:r>
      <w:r>
        <w:rPr>
          <w:spacing w:val="85"/>
        </w:rPr>
        <w:t xml:space="preserve"> </w:t>
      </w:r>
      <w:r>
        <w:t xml:space="preserve">the </w:t>
      </w:r>
      <w:r>
        <w:rPr>
          <w:spacing w:val="-1"/>
        </w:rPr>
        <w:t>implication</w:t>
      </w:r>
      <w:r>
        <w:t xml:space="preserve"> for</w:t>
      </w:r>
      <w:r>
        <w:rPr>
          <w:spacing w:val="-4"/>
        </w:rPr>
        <w:t xml:space="preserve"> </w:t>
      </w:r>
      <w:r>
        <w:rPr>
          <w:spacing w:val="-2"/>
        </w:rPr>
        <w:t>ACTEW’s</w:t>
      </w:r>
      <w:r>
        <w:t xml:space="preserve"> cash position is </w:t>
      </w:r>
      <w:r>
        <w:rPr>
          <w:spacing w:val="-1"/>
        </w:rPr>
        <w:t>that</w:t>
      </w:r>
      <w:r>
        <w:t xml:space="preserve"> </w:t>
      </w:r>
      <w:r>
        <w:rPr>
          <w:spacing w:val="-1"/>
        </w:rPr>
        <w:t>provision</w:t>
      </w:r>
      <w:r>
        <w:t xml:space="preserve"> should be made for net tax liabilities.</w:t>
      </w:r>
      <w:r>
        <w:rPr>
          <w:spacing w:val="-11"/>
        </w:rPr>
        <w:t xml:space="preserve"> </w:t>
      </w:r>
      <w:r>
        <w:rPr>
          <w:spacing w:val="-2"/>
        </w:rPr>
        <w:t>The</w:t>
      </w:r>
      <w:r>
        <w:rPr>
          <w:spacing w:val="37"/>
        </w:rPr>
        <w:t xml:space="preserve"> </w:t>
      </w:r>
      <w:r>
        <w:rPr>
          <w:spacing w:val="-4"/>
        </w:rPr>
        <w:t>Panel’s</w:t>
      </w:r>
      <w:r>
        <w:t xml:space="preserve"> </w:t>
      </w:r>
      <w:r>
        <w:rPr>
          <w:spacing w:val="-2"/>
        </w:rPr>
        <w:t>draft</w:t>
      </w:r>
      <w:r>
        <w:rPr>
          <w:spacing w:val="1"/>
        </w:rPr>
        <w:t xml:space="preserve"> </w:t>
      </w:r>
      <w:r>
        <w:t>decision</w:t>
      </w:r>
      <w:r>
        <w:rPr>
          <w:spacing w:val="1"/>
        </w:rPr>
        <w:t xml:space="preserve"> </w:t>
      </w:r>
      <w:r>
        <w:t>is</w:t>
      </w:r>
      <w:r>
        <w:rPr>
          <w:spacing w:val="1"/>
        </w:rPr>
        <w:t xml:space="preserve"> </w:t>
      </w:r>
      <w:r>
        <w:t>to adopt</w:t>
      </w:r>
      <w:r>
        <w:rPr>
          <w:spacing w:val="1"/>
        </w:rPr>
        <w:t xml:space="preserve"> </w:t>
      </w:r>
      <w:r>
        <w:t>a</w:t>
      </w:r>
      <w:r>
        <w:rPr>
          <w:spacing w:val="1"/>
        </w:rPr>
        <w:t xml:space="preserve"> </w:t>
      </w:r>
      <w:r>
        <w:t>benchmark</w:t>
      </w:r>
      <w:r>
        <w:rPr>
          <w:spacing w:val="1"/>
        </w:rPr>
        <w:t xml:space="preserve"> </w:t>
      </w:r>
      <w:r>
        <w:rPr>
          <w:spacing w:val="-1"/>
        </w:rPr>
        <w:t>approach</w:t>
      </w:r>
      <w:r>
        <w:t xml:space="preserve"> to</w:t>
      </w:r>
      <w:r>
        <w:rPr>
          <w:spacing w:val="-2"/>
        </w:rPr>
        <w:t xml:space="preserve"> </w:t>
      </w:r>
      <w:r>
        <w:rPr>
          <w:spacing w:val="-3"/>
        </w:rPr>
        <w:t>WACC</w:t>
      </w:r>
      <w:r>
        <w:rPr>
          <w:spacing w:val="1"/>
        </w:rPr>
        <w:t xml:space="preserve"> </w:t>
      </w:r>
      <w:r>
        <w:t>and</w:t>
      </w:r>
      <w:r>
        <w:rPr>
          <w:spacing w:val="1"/>
        </w:rPr>
        <w:t xml:space="preserve"> </w:t>
      </w:r>
      <w:r>
        <w:t>a post-tax</w:t>
      </w:r>
      <w:r>
        <w:rPr>
          <w:spacing w:val="1"/>
        </w:rPr>
        <w:t xml:space="preserve"> </w:t>
      </w:r>
      <w:r>
        <w:rPr>
          <w:spacing w:val="-1"/>
        </w:rPr>
        <w:t>regulatory</w:t>
      </w:r>
      <w:r>
        <w:rPr>
          <w:spacing w:val="1"/>
        </w:rPr>
        <w:t xml:space="preserve"> </w:t>
      </w:r>
      <w:r>
        <w:rPr>
          <w:spacing w:val="-1"/>
        </w:rPr>
        <w:t>model,</w:t>
      </w:r>
      <w:r>
        <w:rPr>
          <w:spacing w:val="-1"/>
          <w:position w:val="7"/>
          <w:sz w:val="11"/>
          <w:szCs w:val="11"/>
        </w:rPr>
        <w:t>270</w:t>
      </w:r>
      <w:r>
        <w:rPr>
          <w:spacing w:val="57"/>
          <w:w w:val="106"/>
          <w:position w:val="7"/>
          <w:sz w:val="11"/>
          <w:szCs w:val="11"/>
        </w:rPr>
        <w:t xml:space="preserve"> </w:t>
      </w:r>
      <w:r>
        <w:t xml:space="preserve">so </w:t>
      </w:r>
      <w:r>
        <w:rPr>
          <w:spacing w:val="-1"/>
        </w:rPr>
        <w:t>that</w:t>
      </w:r>
      <w:r>
        <w:t xml:space="preserve"> </w:t>
      </w:r>
      <w:r>
        <w:rPr>
          <w:spacing w:val="-1"/>
        </w:rPr>
        <w:t>appropriate</w:t>
      </w:r>
      <w:r>
        <w:t xml:space="preserve"> tax allowances will be </w:t>
      </w:r>
      <w:r>
        <w:rPr>
          <w:spacing w:val="-1"/>
        </w:rPr>
        <w:t>calculated</w:t>
      </w:r>
      <w:r>
        <w:t xml:space="preserve"> for</w:t>
      </w:r>
      <w:r>
        <w:rPr>
          <w:spacing w:val="-4"/>
        </w:rPr>
        <w:t xml:space="preserve"> </w:t>
      </w:r>
      <w:r>
        <w:rPr>
          <w:spacing w:val="-2"/>
        </w:rPr>
        <w:t>ACTEW</w:t>
      </w:r>
      <w:r>
        <w:rPr>
          <w:spacing w:val="-3"/>
        </w:rPr>
        <w:t xml:space="preserve"> </w:t>
      </w:r>
      <w:r>
        <w:t>(taking account of</w:t>
      </w:r>
      <w:r>
        <w:rPr>
          <w:spacing w:val="4"/>
        </w:rPr>
        <w:t xml:space="preserve"> </w:t>
      </w:r>
      <w:r>
        <w:rPr>
          <w:spacing w:val="-1"/>
        </w:rPr>
        <w:t>imputation</w:t>
      </w:r>
      <w:r>
        <w:t xml:space="preserve"> </w:t>
      </w:r>
      <w:r>
        <w:rPr>
          <w:spacing w:val="-1"/>
        </w:rPr>
        <w:t>credits),</w:t>
      </w:r>
      <w:r>
        <w:rPr>
          <w:spacing w:val="63"/>
        </w:rPr>
        <w:t xml:space="preserve"> </w:t>
      </w:r>
      <w:r>
        <w:t xml:space="preserve">as </w:t>
      </w:r>
      <w:r>
        <w:rPr>
          <w:spacing w:val="-1"/>
        </w:rPr>
        <w:t>part</w:t>
      </w:r>
      <w:r>
        <w:t xml:space="preserve"> of</w:t>
      </w:r>
      <w:r>
        <w:rPr>
          <w:spacing w:val="4"/>
        </w:rPr>
        <w:t xml:space="preserve"> </w:t>
      </w:r>
      <w:r>
        <w:t xml:space="preserve">its </w:t>
      </w:r>
      <w:r>
        <w:rPr>
          <w:spacing w:val="-1"/>
        </w:rPr>
        <w:t>revenue</w:t>
      </w:r>
      <w:r>
        <w:t xml:space="preserve"> </w:t>
      </w:r>
      <w:r>
        <w:rPr>
          <w:spacing w:val="-1"/>
        </w:rPr>
        <w:t>requirement.</w:t>
      </w:r>
      <w:r>
        <w:rPr>
          <w:spacing w:val="-11"/>
        </w:rPr>
        <w:t xml:space="preserve"> </w:t>
      </w:r>
      <w:r>
        <w:rPr>
          <w:spacing w:val="-1"/>
        </w:rPr>
        <w:t>This</w:t>
      </w:r>
      <w:r>
        <w:t xml:space="preserve"> is consistent with the building block model and </w:t>
      </w:r>
      <w:r>
        <w:rPr>
          <w:spacing w:val="-1"/>
        </w:rPr>
        <w:t>provides</w:t>
      </w:r>
      <w:r>
        <w:rPr>
          <w:spacing w:val="25"/>
        </w:rPr>
        <w:t xml:space="preserve"> </w:t>
      </w:r>
      <w:r>
        <w:rPr>
          <w:spacing w:val="-2"/>
        </w:rPr>
        <w:t>ACTEW</w:t>
      </w:r>
      <w:r>
        <w:rPr>
          <w:spacing w:val="-4"/>
        </w:rPr>
        <w:t xml:space="preserve"> </w:t>
      </w:r>
      <w:r>
        <w:t>with the</w:t>
      </w:r>
      <w:r>
        <w:rPr>
          <w:spacing w:val="-1"/>
        </w:rPr>
        <w:t xml:space="preserve"> </w:t>
      </w:r>
      <w:r>
        <w:t>cash flow needed</w:t>
      </w:r>
      <w:r>
        <w:rPr>
          <w:spacing w:val="-1"/>
        </w:rPr>
        <w:t xml:space="preserve"> </w:t>
      </w:r>
      <w:r>
        <w:t xml:space="preserve">to </w:t>
      </w:r>
      <w:r>
        <w:rPr>
          <w:spacing w:val="-1"/>
        </w:rPr>
        <w:t>make</w:t>
      </w:r>
      <w:r>
        <w:t xml:space="preserve"> the</w:t>
      </w:r>
      <w:r>
        <w:rPr>
          <w:spacing w:val="-1"/>
        </w:rPr>
        <w:t xml:space="preserve"> requisite</w:t>
      </w:r>
      <w:r>
        <w:t xml:space="preserve"> tax payments.</w:t>
      </w:r>
    </w:p>
    <w:p w:rsidR="00D96B91" w:rsidRDefault="00C2656B">
      <w:pPr>
        <w:pStyle w:val="BodyText"/>
        <w:spacing w:before="170" w:line="260" w:lineRule="exact"/>
        <w:ind w:right="1246"/>
      </w:pPr>
      <w:r>
        <w:rPr>
          <w:spacing w:val="-4"/>
        </w:rPr>
        <w:t>For</w:t>
      </w:r>
      <w:r>
        <w:t xml:space="preserve"> the purpose of</w:t>
      </w:r>
      <w:r>
        <w:rPr>
          <w:spacing w:val="4"/>
        </w:rPr>
        <w:t xml:space="preserve"> </w:t>
      </w:r>
      <w:r>
        <w:rPr>
          <w:spacing w:val="-1"/>
        </w:rPr>
        <w:t>calculating</w:t>
      </w:r>
      <w:r>
        <w:rPr>
          <w:spacing w:val="-4"/>
        </w:rPr>
        <w:t xml:space="preserve"> </w:t>
      </w:r>
      <w:r>
        <w:rPr>
          <w:spacing w:val="-2"/>
        </w:rPr>
        <w:t>ACTEW’s</w:t>
      </w:r>
      <w:r>
        <w:t xml:space="preserve"> tax allowance in the </w:t>
      </w:r>
      <w:r>
        <w:rPr>
          <w:spacing w:val="-1"/>
        </w:rPr>
        <w:t>regulatory</w:t>
      </w:r>
      <w:r>
        <w:t xml:space="preserve"> model,</w:t>
      </w:r>
      <w:r>
        <w:rPr>
          <w:spacing w:val="-6"/>
        </w:rPr>
        <w:t xml:space="preserve"> </w:t>
      </w:r>
      <w:r>
        <w:t xml:space="preserve">the </w:t>
      </w:r>
      <w:r>
        <w:rPr>
          <w:spacing w:val="-3"/>
        </w:rPr>
        <w:t>Panel</w:t>
      </w:r>
      <w:r>
        <w:t xml:space="preserve"> needs to </w:t>
      </w:r>
      <w:r>
        <w:rPr>
          <w:spacing w:val="-1"/>
        </w:rPr>
        <w:t>make</w:t>
      </w:r>
      <w:r>
        <w:rPr>
          <w:spacing w:val="39"/>
        </w:rPr>
        <w:t xml:space="preserve"> </w:t>
      </w:r>
      <w:r>
        <w:t xml:space="preserve">a </w:t>
      </w:r>
      <w:r>
        <w:rPr>
          <w:spacing w:val="-2"/>
        </w:rPr>
        <w:t>draft</w:t>
      </w:r>
      <w:r>
        <w:t xml:space="preserve"> decision on the value of</w:t>
      </w:r>
      <w:r>
        <w:rPr>
          <w:spacing w:val="4"/>
        </w:rPr>
        <w:t xml:space="preserve"> </w:t>
      </w:r>
      <w:r>
        <w:rPr>
          <w:spacing w:val="-1"/>
        </w:rPr>
        <w:t>imputation</w:t>
      </w:r>
      <w:r>
        <w:t xml:space="preserve"> </w:t>
      </w:r>
      <w:r>
        <w:rPr>
          <w:spacing w:val="-1"/>
        </w:rPr>
        <w:t>credits</w:t>
      </w:r>
      <w:r>
        <w:t xml:space="preserve"> (gamma).</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3"/>
        <w:rPr>
          <w:rFonts w:ascii="Avenir Next" w:eastAsia="Avenir Next" w:hAnsi="Avenir Next" w:cs="Avenir Next"/>
          <w:sz w:val="27"/>
          <w:szCs w:val="27"/>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292" style="width:72.5pt;height:.5pt;mso-position-horizontal-relative:char;mso-position-vertical-relative:line" coordsize="1450,10">
            <v:group id="_x0000_s1293" style="position:absolute;left:5;top:5;width:1440;height:2" coordorigin="5,5" coordsize="1440,2">
              <v:shape id="_x0000_s1294"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pacing w:val="-2"/>
          <w:sz w:val="16"/>
        </w:rPr>
        <w:t>That</w:t>
      </w:r>
      <w:r>
        <w:rPr>
          <w:rFonts w:ascii="Avenir Next"/>
          <w:sz w:val="16"/>
        </w:rPr>
        <w:t xml:space="preserve"> is,</w:t>
      </w:r>
      <w:r>
        <w:rPr>
          <w:rFonts w:ascii="Avenir Next"/>
          <w:spacing w:val="-5"/>
          <w:sz w:val="16"/>
        </w:rPr>
        <w:t xml:space="preserve"> </w:t>
      </w:r>
      <w:r>
        <w:rPr>
          <w:rFonts w:ascii="Avenir Next"/>
          <w:sz w:val="16"/>
        </w:rPr>
        <w:t xml:space="preserve">tax liabilities taking into account (or net </w:t>
      </w:r>
      <w:r>
        <w:rPr>
          <w:rFonts w:ascii="Avenir Next"/>
          <w:spacing w:val="2"/>
          <w:sz w:val="16"/>
        </w:rPr>
        <w:t>of)</w:t>
      </w:r>
      <w:r>
        <w:rPr>
          <w:rFonts w:ascii="Avenir Next"/>
          <w:sz w:val="16"/>
        </w:rPr>
        <w:t xml:space="preserve"> dividend </w:t>
      </w:r>
      <w:r>
        <w:rPr>
          <w:rFonts w:ascii="Avenir Next"/>
          <w:spacing w:val="-1"/>
          <w:sz w:val="16"/>
        </w:rPr>
        <w:t>imputation</w:t>
      </w:r>
      <w:r>
        <w:rPr>
          <w:rFonts w:ascii="Avenir Next"/>
          <w:sz w:val="16"/>
        </w:rPr>
        <w:t xml:space="preserve"> </w:t>
      </w:r>
      <w:r>
        <w:rPr>
          <w:rFonts w:ascii="Avenir Next"/>
          <w:spacing w:val="-1"/>
          <w:sz w:val="16"/>
        </w:rPr>
        <w:t>credits.</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pacing w:val="-2"/>
          <w:sz w:val="16"/>
        </w:rPr>
        <w:t>That</w:t>
      </w:r>
      <w:r>
        <w:rPr>
          <w:rFonts w:ascii="Avenir Next"/>
          <w:sz w:val="16"/>
        </w:rPr>
        <w:t xml:space="preserve"> is,</w:t>
      </w:r>
      <w:r>
        <w:rPr>
          <w:rFonts w:ascii="Avenir Next"/>
          <w:spacing w:val="-5"/>
          <w:sz w:val="16"/>
        </w:rPr>
        <w:t xml:space="preserve"> </w:t>
      </w:r>
      <w:r>
        <w:rPr>
          <w:rFonts w:ascii="Avenir Next"/>
          <w:sz w:val="16"/>
        </w:rPr>
        <w:t xml:space="preserve">tax payments </w:t>
      </w:r>
      <w:r>
        <w:rPr>
          <w:rFonts w:ascii="Avenir Next"/>
          <w:spacing w:val="-1"/>
          <w:sz w:val="16"/>
        </w:rPr>
        <w:t>that</w:t>
      </w:r>
      <w:r>
        <w:rPr>
          <w:rFonts w:ascii="Avenir Next"/>
          <w:sz w:val="16"/>
        </w:rPr>
        <w:t xml:space="preserve"> </w:t>
      </w:r>
      <w:r>
        <w:rPr>
          <w:rFonts w:ascii="Avenir Next"/>
          <w:spacing w:val="-1"/>
          <w:sz w:val="16"/>
        </w:rPr>
        <w:t>are</w:t>
      </w:r>
      <w:r>
        <w:rPr>
          <w:rFonts w:ascii="Avenir Next"/>
          <w:sz w:val="16"/>
        </w:rPr>
        <w:t xml:space="preserve"> the equivalent of</w:t>
      </w:r>
      <w:r>
        <w:rPr>
          <w:rFonts w:ascii="Avenir Next"/>
          <w:spacing w:val="3"/>
          <w:sz w:val="16"/>
        </w:rPr>
        <w:t xml:space="preserve"> </w:t>
      </w:r>
      <w:r>
        <w:rPr>
          <w:rFonts w:ascii="Avenir Next"/>
          <w:sz w:val="16"/>
        </w:rPr>
        <w:t>company income tax.</w:t>
      </w:r>
    </w:p>
    <w:p w:rsidR="00D96B91" w:rsidRDefault="00C2656B">
      <w:pPr>
        <w:numPr>
          <w:ilvl w:val="0"/>
          <w:numId w:val="24"/>
        </w:numPr>
        <w:tabs>
          <w:tab w:val="left" w:pos="1758"/>
        </w:tabs>
        <w:spacing w:before="128" w:line="192" w:lineRule="exact"/>
        <w:ind w:right="1447" w:hanging="510"/>
        <w:rPr>
          <w:rFonts w:ascii="Avenir Next" w:eastAsia="Avenir Next" w:hAnsi="Avenir Next" w:cs="Avenir Next"/>
          <w:sz w:val="16"/>
          <w:szCs w:val="16"/>
        </w:rPr>
      </w:pPr>
      <w:r>
        <w:rPr>
          <w:rFonts w:ascii="Avenir Next"/>
          <w:spacing w:val="-2"/>
          <w:sz w:val="16"/>
        </w:rPr>
        <w:t>Post-tax</w:t>
      </w:r>
      <w:r>
        <w:rPr>
          <w:rFonts w:ascii="Avenir Next"/>
          <w:sz w:val="16"/>
        </w:rPr>
        <w:t xml:space="preserve"> models </w:t>
      </w:r>
      <w:r>
        <w:rPr>
          <w:rFonts w:ascii="Avenir Next"/>
          <w:spacing w:val="-1"/>
          <w:sz w:val="16"/>
        </w:rPr>
        <w:t>are</w:t>
      </w:r>
      <w:r>
        <w:rPr>
          <w:rFonts w:ascii="Avenir Next"/>
          <w:sz w:val="16"/>
        </w:rPr>
        <w:t xml:space="preserve"> commonly used by </w:t>
      </w:r>
      <w:r>
        <w:rPr>
          <w:rFonts w:ascii="Avenir Next"/>
          <w:spacing w:val="-1"/>
          <w:sz w:val="16"/>
        </w:rPr>
        <w:t>regulators,</w:t>
      </w:r>
      <w:r>
        <w:rPr>
          <w:rFonts w:ascii="Avenir Next"/>
          <w:spacing w:val="-5"/>
          <w:sz w:val="16"/>
        </w:rPr>
        <w:t xml:space="preserve"> </w:t>
      </w:r>
      <w:r>
        <w:rPr>
          <w:rFonts w:ascii="Avenir Next"/>
          <w:sz w:val="16"/>
        </w:rPr>
        <w:t xml:space="preserve">for </w:t>
      </w:r>
      <w:r>
        <w:rPr>
          <w:rFonts w:ascii="Avenir Next"/>
          <w:spacing w:val="-1"/>
          <w:sz w:val="16"/>
        </w:rPr>
        <w:t>example</w:t>
      </w:r>
      <w:r>
        <w:rPr>
          <w:rFonts w:ascii="Avenir Next"/>
          <w:sz w:val="16"/>
        </w:rPr>
        <w:t xml:space="preserve"> the Essential Services </w:t>
      </w:r>
      <w:r>
        <w:rPr>
          <w:rFonts w:ascii="Avenir Next"/>
          <w:spacing w:val="-1"/>
          <w:sz w:val="16"/>
        </w:rPr>
        <w:t>Commission</w:t>
      </w:r>
      <w:r>
        <w:rPr>
          <w:rFonts w:ascii="Avenir Next"/>
          <w:sz w:val="16"/>
        </w:rPr>
        <w:t xml:space="preserve"> of </w:t>
      </w:r>
      <w:r>
        <w:rPr>
          <w:rFonts w:ascii="Avenir Next"/>
          <w:spacing w:val="-1"/>
          <w:sz w:val="16"/>
        </w:rPr>
        <w:t>Victoria,</w:t>
      </w:r>
      <w:r>
        <w:rPr>
          <w:rFonts w:ascii="Avenir Next"/>
          <w:spacing w:val="-5"/>
          <w:sz w:val="16"/>
        </w:rPr>
        <w:t xml:space="preserve"> </w:t>
      </w:r>
      <w:r>
        <w:rPr>
          <w:rFonts w:ascii="Avenir Next"/>
          <w:spacing w:val="-3"/>
          <w:sz w:val="16"/>
        </w:rPr>
        <w:t>IPART</w:t>
      </w:r>
      <w:r>
        <w:rPr>
          <w:rFonts w:ascii="Avenir Next"/>
          <w:spacing w:val="-4"/>
          <w:sz w:val="16"/>
        </w:rPr>
        <w:t xml:space="preserve"> </w:t>
      </w:r>
      <w:r>
        <w:rPr>
          <w:rFonts w:ascii="Avenir Next"/>
          <w:sz w:val="16"/>
        </w:rPr>
        <w:t>and</w:t>
      </w:r>
      <w:r>
        <w:rPr>
          <w:rFonts w:ascii="Avenir Next"/>
          <w:spacing w:val="67"/>
          <w:sz w:val="16"/>
        </w:rPr>
        <w:t xml:space="preserve"> </w:t>
      </w:r>
      <w:r>
        <w:rPr>
          <w:rFonts w:ascii="Avenir Next"/>
          <w:sz w:val="16"/>
        </w:rPr>
        <w:t>the</w:t>
      </w:r>
      <w:r>
        <w:rPr>
          <w:rFonts w:ascii="Avenir Next"/>
          <w:spacing w:val="-3"/>
          <w:sz w:val="16"/>
        </w:rPr>
        <w:t xml:space="preserve"> </w:t>
      </w:r>
      <w:r>
        <w:rPr>
          <w:rFonts w:ascii="Avenir Next"/>
          <w:sz w:val="16"/>
        </w:rPr>
        <w:t>AER.</w:t>
      </w:r>
    </w:p>
    <w:p w:rsidR="00D96B91" w:rsidRDefault="00D96B91">
      <w:pPr>
        <w:spacing w:line="192" w:lineRule="exact"/>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pStyle w:val="Heading6"/>
        <w:spacing w:before="9"/>
        <w:ind w:left="1247" w:firstLine="0"/>
      </w:pPr>
      <w:r>
        <w:rPr>
          <w:color w:val="0778BE"/>
        </w:rPr>
        <w:t xml:space="preserve">A8.4.1 </w:t>
      </w:r>
      <w:r>
        <w:rPr>
          <w:color w:val="0778BE"/>
          <w:spacing w:val="6"/>
        </w:rPr>
        <w:t xml:space="preserve"> </w:t>
      </w:r>
      <w:r>
        <w:rPr>
          <w:color w:val="0778BE"/>
          <w:spacing w:val="-3"/>
        </w:rPr>
        <w:t>Value</w:t>
      </w:r>
      <w:r>
        <w:rPr>
          <w:color w:val="0778BE"/>
        </w:rPr>
        <w:t xml:space="preserve"> of</w:t>
      </w:r>
      <w:r>
        <w:rPr>
          <w:color w:val="0778BE"/>
          <w:spacing w:val="5"/>
        </w:rPr>
        <w:t xml:space="preserve"> </w:t>
      </w:r>
      <w:r>
        <w:rPr>
          <w:color w:val="0778BE"/>
          <w:spacing w:val="-1"/>
        </w:rPr>
        <w:t>imputation</w:t>
      </w:r>
      <w:r>
        <w:rPr>
          <w:color w:val="0778BE"/>
        </w:rPr>
        <w:t xml:space="preserve"> </w:t>
      </w:r>
      <w:r>
        <w:rPr>
          <w:color w:val="0778BE"/>
          <w:spacing w:val="-1"/>
        </w:rPr>
        <w:t>credits</w:t>
      </w:r>
      <w:r>
        <w:rPr>
          <w:color w:val="0778BE"/>
        </w:rPr>
        <w:t xml:space="preserve"> (gamma)</w:t>
      </w:r>
    </w:p>
    <w:p w:rsidR="00D96B91" w:rsidRDefault="00C2656B">
      <w:pPr>
        <w:pStyle w:val="BodyText"/>
        <w:spacing w:before="21" w:line="260" w:lineRule="exact"/>
        <w:ind w:right="1258"/>
      </w:pPr>
      <w:r>
        <w:t>Under the</w:t>
      </w:r>
      <w:r>
        <w:rPr>
          <w:spacing w:val="-4"/>
        </w:rPr>
        <w:t xml:space="preserve"> </w:t>
      </w:r>
      <w:r>
        <w:rPr>
          <w:spacing w:val="-1"/>
        </w:rPr>
        <w:t>Australian</w:t>
      </w:r>
      <w:r>
        <w:t xml:space="preserve"> </w:t>
      </w:r>
      <w:r>
        <w:rPr>
          <w:spacing w:val="-1"/>
        </w:rPr>
        <w:t>imputation</w:t>
      </w:r>
      <w:r>
        <w:t xml:space="preserve"> tax system,</w:t>
      </w:r>
      <w:r>
        <w:rPr>
          <w:spacing w:val="-7"/>
        </w:rPr>
        <w:t xml:space="preserve"> </w:t>
      </w:r>
      <w:r>
        <w:t xml:space="preserve">dividends distributed by a company </w:t>
      </w:r>
      <w:r>
        <w:rPr>
          <w:spacing w:val="-1"/>
        </w:rPr>
        <w:t>from</w:t>
      </w:r>
      <w:r>
        <w:t xml:space="preserve"> post-tax </w:t>
      </w:r>
      <w:r>
        <w:rPr>
          <w:spacing w:val="-1"/>
        </w:rPr>
        <w:t>earnings</w:t>
      </w:r>
      <w:r>
        <w:rPr>
          <w:spacing w:val="43"/>
        </w:rPr>
        <w:t xml:space="preserve"> </w:t>
      </w:r>
      <w:r>
        <w:t xml:space="preserve">carry </w:t>
      </w:r>
      <w:r>
        <w:rPr>
          <w:spacing w:val="-1"/>
        </w:rPr>
        <w:t>imputation</w:t>
      </w:r>
      <w:r>
        <w:t xml:space="preserve"> </w:t>
      </w:r>
      <w:r>
        <w:rPr>
          <w:spacing w:val="-1"/>
        </w:rPr>
        <w:t>credits</w:t>
      </w:r>
      <w:r>
        <w:t xml:space="preserve"> </w:t>
      </w:r>
      <w:r>
        <w:rPr>
          <w:spacing w:val="-1"/>
        </w:rPr>
        <w:t>that</w:t>
      </w:r>
      <w:r>
        <w:t xml:space="preserve"> can be used by local </w:t>
      </w:r>
      <w:r>
        <w:rPr>
          <w:spacing w:val="-1"/>
        </w:rPr>
        <w:t>residents</w:t>
      </w:r>
      <w:r>
        <w:t xml:space="preserve"> to </w:t>
      </w:r>
      <w:r>
        <w:rPr>
          <w:spacing w:val="-1"/>
        </w:rPr>
        <w:t>offset</w:t>
      </w:r>
      <w:r>
        <w:t xml:space="preserve"> their personal tax liabilities.</w:t>
      </w:r>
    </w:p>
    <w:p w:rsidR="00D96B91" w:rsidRDefault="00C2656B">
      <w:pPr>
        <w:pStyle w:val="BodyText"/>
        <w:spacing w:line="260" w:lineRule="exact"/>
        <w:ind w:right="1318"/>
        <w:rPr>
          <w:sz w:val="11"/>
          <w:szCs w:val="11"/>
        </w:rPr>
      </w:pPr>
      <w:r>
        <w:rPr>
          <w:spacing w:val="-1"/>
        </w:rPr>
        <w:t>These credits reflect</w:t>
      </w:r>
      <w:r>
        <w:t xml:space="preserve"> the</w:t>
      </w:r>
      <w:r>
        <w:rPr>
          <w:spacing w:val="-1"/>
        </w:rPr>
        <w:t xml:space="preserve"> </w:t>
      </w:r>
      <w:r>
        <w:t>tax</w:t>
      </w:r>
      <w:r>
        <w:rPr>
          <w:spacing w:val="-1"/>
        </w:rPr>
        <w:t xml:space="preserve"> that</w:t>
      </w:r>
      <w:r>
        <w:t xml:space="preserve"> has</w:t>
      </w:r>
      <w:r>
        <w:rPr>
          <w:spacing w:val="-1"/>
        </w:rPr>
        <w:t xml:space="preserve"> already </w:t>
      </w:r>
      <w:r>
        <w:t>been paid</w:t>
      </w:r>
      <w:r>
        <w:rPr>
          <w:spacing w:val="-1"/>
        </w:rPr>
        <w:t xml:space="preserve"> </w:t>
      </w:r>
      <w:r>
        <w:t>by the</w:t>
      </w:r>
      <w:r>
        <w:rPr>
          <w:spacing w:val="-1"/>
        </w:rPr>
        <w:t xml:space="preserve"> </w:t>
      </w:r>
      <w:r>
        <w:t>company</w:t>
      </w:r>
      <w:r>
        <w:rPr>
          <w:spacing w:val="-1"/>
        </w:rPr>
        <w:t xml:space="preserve"> </w:t>
      </w:r>
      <w:r>
        <w:t xml:space="preserve">and </w:t>
      </w:r>
      <w:r>
        <w:rPr>
          <w:spacing w:val="-1"/>
        </w:rPr>
        <w:t xml:space="preserve">represent </w:t>
      </w:r>
      <w:r>
        <w:t>a</w:t>
      </w:r>
      <w:r>
        <w:rPr>
          <w:spacing w:val="-1"/>
        </w:rPr>
        <w:t xml:space="preserve"> </w:t>
      </w:r>
      <w:r>
        <w:t>benefit of</w:t>
      </w:r>
      <w:r>
        <w:rPr>
          <w:spacing w:val="3"/>
        </w:rPr>
        <w:t xml:space="preserve"> </w:t>
      </w:r>
      <w:r>
        <w:t>the</w:t>
      </w:r>
      <w:r>
        <w:rPr>
          <w:spacing w:val="23"/>
        </w:rPr>
        <w:t xml:space="preserve"> </w:t>
      </w:r>
      <w:r>
        <w:t>investment in</w:t>
      </w:r>
      <w:r>
        <w:rPr>
          <w:spacing w:val="1"/>
        </w:rPr>
        <w:t xml:space="preserve"> </w:t>
      </w:r>
      <w:r>
        <w:t>addition</w:t>
      </w:r>
      <w:r>
        <w:rPr>
          <w:spacing w:val="1"/>
        </w:rPr>
        <w:t xml:space="preserve"> </w:t>
      </w:r>
      <w:r>
        <w:t>to</w:t>
      </w:r>
      <w:r>
        <w:rPr>
          <w:spacing w:val="1"/>
        </w:rPr>
        <w:t xml:space="preserve"> </w:t>
      </w:r>
      <w:r>
        <w:t>dividends</w:t>
      </w:r>
      <w:r>
        <w:rPr>
          <w:spacing w:val="1"/>
        </w:rPr>
        <w:t xml:space="preserve"> </w:t>
      </w:r>
      <w:r>
        <w:t>or</w:t>
      </w:r>
      <w:r>
        <w:rPr>
          <w:spacing w:val="1"/>
        </w:rPr>
        <w:t xml:space="preserve"> </w:t>
      </w:r>
      <w:r>
        <w:t xml:space="preserve">capital </w:t>
      </w:r>
      <w:r>
        <w:rPr>
          <w:spacing w:val="-1"/>
        </w:rPr>
        <w:t>gains.</w:t>
      </w:r>
      <w:r>
        <w:rPr>
          <w:spacing w:val="-1"/>
          <w:position w:val="7"/>
          <w:sz w:val="11"/>
        </w:rPr>
        <w:t>271</w:t>
      </w:r>
      <w:r>
        <w:rPr>
          <w:spacing w:val="19"/>
          <w:position w:val="7"/>
          <w:sz w:val="11"/>
        </w:rPr>
        <w:t xml:space="preserve"> </w:t>
      </w:r>
      <w:r>
        <w:rPr>
          <w:spacing w:val="-2"/>
        </w:rPr>
        <w:t>Therefore,</w:t>
      </w:r>
      <w:r>
        <w:rPr>
          <w:spacing w:val="-6"/>
        </w:rPr>
        <w:t xml:space="preserve"> </w:t>
      </w:r>
      <w:r>
        <w:t>investors</w:t>
      </w:r>
      <w:r>
        <w:rPr>
          <w:spacing w:val="1"/>
        </w:rPr>
        <w:t xml:space="preserve"> </w:t>
      </w:r>
      <w:r>
        <w:t>would</w:t>
      </w:r>
      <w:r>
        <w:rPr>
          <w:spacing w:val="1"/>
        </w:rPr>
        <w:t xml:space="preserve"> </w:t>
      </w:r>
      <w:r>
        <w:t>accept</w:t>
      </w:r>
      <w:r>
        <w:rPr>
          <w:spacing w:val="1"/>
        </w:rPr>
        <w:t xml:space="preserve"> </w:t>
      </w:r>
      <w:r>
        <w:t>a</w:t>
      </w:r>
      <w:r>
        <w:rPr>
          <w:spacing w:val="1"/>
        </w:rPr>
        <w:t xml:space="preserve"> </w:t>
      </w:r>
      <w:r>
        <w:t>lower</w:t>
      </w:r>
      <w:r>
        <w:rPr>
          <w:spacing w:val="1"/>
        </w:rPr>
        <w:t xml:space="preserve"> </w:t>
      </w:r>
      <w:r>
        <w:rPr>
          <w:spacing w:val="-2"/>
        </w:rPr>
        <w:t>rate</w:t>
      </w:r>
      <w:r>
        <w:rPr>
          <w:spacing w:val="39"/>
        </w:rPr>
        <w:t xml:space="preserve"> </w:t>
      </w:r>
      <w:r>
        <w:t>of</w:t>
      </w:r>
      <w:r>
        <w:rPr>
          <w:spacing w:val="4"/>
        </w:rPr>
        <w:t xml:space="preserve"> </w:t>
      </w:r>
      <w:r>
        <w:rPr>
          <w:spacing w:val="-1"/>
        </w:rPr>
        <w:t>return</w:t>
      </w:r>
      <w:r>
        <w:t xml:space="preserve"> for an investment with </w:t>
      </w:r>
      <w:r>
        <w:rPr>
          <w:spacing w:val="-1"/>
        </w:rPr>
        <w:t>imputation</w:t>
      </w:r>
      <w:r>
        <w:t xml:space="preserve"> </w:t>
      </w:r>
      <w:r>
        <w:rPr>
          <w:spacing w:val="-1"/>
        </w:rPr>
        <w:t>credits</w:t>
      </w:r>
      <w:r>
        <w:t xml:space="preserve"> </w:t>
      </w:r>
      <w:r>
        <w:rPr>
          <w:spacing w:val="-1"/>
        </w:rPr>
        <w:t>attached</w:t>
      </w:r>
      <w:r>
        <w:t xml:space="preserve"> than if</w:t>
      </w:r>
      <w:r>
        <w:rPr>
          <w:spacing w:val="4"/>
        </w:rPr>
        <w:t xml:space="preserve"> </w:t>
      </w:r>
      <w:r>
        <w:rPr>
          <w:spacing w:val="-1"/>
        </w:rPr>
        <w:t>there</w:t>
      </w:r>
      <w:r>
        <w:t xml:space="preserve"> </w:t>
      </w:r>
      <w:r>
        <w:rPr>
          <w:spacing w:val="-1"/>
        </w:rPr>
        <w:t>were</w:t>
      </w:r>
      <w:r>
        <w:t xml:space="preserve"> no </w:t>
      </w:r>
      <w:r>
        <w:rPr>
          <w:spacing w:val="-1"/>
        </w:rPr>
        <w:t>imputation</w:t>
      </w:r>
      <w:r>
        <w:t xml:space="preserve"> tax </w:t>
      </w:r>
      <w:r>
        <w:rPr>
          <w:spacing w:val="-1"/>
        </w:rPr>
        <w:t>credits</w:t>
      </w:r>
      <w:r>
        <w:rPr>
          <w:spacing w:val="55"/>
        </w:rPr>
        <w:t xml:space="preserve"> </w:t>
      </w:r>
      <w:r>
        <w:rPr>
          <w:spacing w:val="-1"/>
        </w:rPr>
        <w:t>attached.</w:t>
      </w:r>
      <w:r>
        <w:rPr>
          <w:spacing w:val="-6"/>
        </w:rPr>
        <w:t xml:space="preserve"> </w:t>
      </w:r>
      <w:r>
        <w:t xml:space="preserve">In a post-tax </w:t>
      </w:r>
      <w:r>
        <w:rPr>
          <w:spacing w:val="-1"/>
        </w:rPr>
        <w:t>regulatory</w:t>
      </w:r>
      <w:r>
        <w:t xml:space="preserve"> model,</w:t>
      </w:r>
      <w:r>
        <w:rPr>
          <w:spacing w:val="-6"/>
        </w:rPr>
        <w:t xml:space="preserve"> </w:t>
      </w:r>
      <w:r>
        <w:t>the value of</w:t>
      </w:r>
      <w:r>
        <w:rPr>
          <w:spacing w:val="4"/>
        </w:rPr>
        <w:t xml:space="preserve"> </w:t>
      </w:r>
      <w:r>
        <w:rPr>
          <w:spacing w:val="-1"/>
        </w:rPr>
        <w:t>imputation</w:t>
      </w:r>
      <w:r>
        <w:t xml:space="preserve"> </w:t>
      </w:r>
      <w:r>
        <w:rPr>
          <w:spacing w:val="-1"/>
        </w:rPr>
        <w:t>credits</w:t>
      </w:r>
      <w:r>
        <w:t xml:space="preserve"> is accounted </w:t>
      </w:r>
      <w:r>
        <w:rPr>
          <w:spacing w:val="-3"/>
        </w:rPr>
        <w:t>for,</w:t>
      </w:r>
      <w:r>
        <w:rPr>
          <w:spacing w:val="-6"/>
        </w:rPr>
        <w:t xml:space="preserve"> </w:t>
      </w:r>
      <w:r>
        <w:rPr>
          <w:spacing w:val="-1"/>
        </w:rPr>
        <w:t>separately</w:t>
      </w:r>
      <w:r>
        <w:rPr>
          <w:spacing w:val="53"/>
        </w:rPr>
        <w:t xml:space="preserve"> </w:t>
      </w:r>
      <w:r>
        <w:rPr>
          <w:spacing w:val="-1"/>
        </w:rPr>
        <w:t>from</w:t>
      </w:r>
      <w:r>
        <w:t xml:space="preserve"> the</w:t>
      </w:r>
      <w:r>
        <w:rPr>
          <w:spacing w:val="-2"/>
        </w:rPr>
        <w:t xml:space="preserve"> WACC,</w:t>
      </w:r>
      <w:r>
        <w:rPr>
          <w:spacing w:val="-5"/>
        </w:rPr>
        <w:t xml:space="preserve"> </w:t>
      </w:r>
      <w:r>
        <w:t>in</w:t>
      </w:r>
      <w:r>
        <w:rPr>
          <w:spacing w:val="1"/>
        </w:rPr>
        <w:t xml:space="preserve"> </w:t>
      </w:r>
      <w:r>
        <w:t>the</w:t>
      </w:r>
      <w:r>
        <w:rPr>
          <w:spacing w:val="1"/>
        </w:rPr>
        <w:t xml:space="preserve"> </w:t>
      </w:r>
      <w:r>
        <w:rPr>
          <w:spacing w:val="-1"/>
        </w:rPr>
        <w:t>calculation</w:t>
      </w:r>
      <w:r>
        <w:rPr>
          <w:spacing w:val="1"/>
        </w:rPr>
        <w:t xml:space="preserve"> </w:t>
      </w:r>
      <w:r>
        <w:t>of</w:t>
      </w:r>
      <w:r>
        <w:rPr>
          <w:spacing w:val="5"/>
        </w:rPr>
        <w:t xml:space="preserve"> </w:t>
      </w:r>
      <w:r>
        <w:t>tax</w:t>
      </w:r>
      <w:r>
        <w:rPr>
          <w:spacing w:val="1"/>
        </w:rPr>
        <w:t xml:space="preserve"> </w:t>
      </w:r>
      <w:r>
        <w:t>liabilities and</w:t>
      </w:r>
      <w:r>
        <w:rPr>
          <w:spacing w:val="1"/>
        </w:rPr>
        <w:t xml:space="preserve"> </w:t>
      </w:r>
      <w:r>
        <w:t>the</w:t>
      </w:r>
      <w:r>
        <w:rPr>
          <w:spacing w:val="1"/>
        </w:rPr>
        <w:t xml:space="preserve"> </w:t>
      </w:r>
      <w:r>
        <w:t>notional</w:t>
      </w:r>
      <w:r>
        <w:rPr>
          <w:spacing w:val="1"/>
        </w:rPr>
        <w:t xml:space="preserve"> </w:t>
      </w:r>
      <w:r>
        <w:rPr>
          <w:spacing w:val="-1"/>
        </w:rPr>
        <w:t>revenue</w:t>
      </w:r>
      <w:r>
        <w:rPr>
          <w:spacing w:val="1"/>
        </w:rPr>
        <w:t xml:space="preserve"> </w:t>
      </w:r>
      <w:r>
        <w:rPr>
          <w:spacing w:val="-1"/>
        </w:rPr>
        <w:t>required.</w:t>
      </w:r>
      <w:r>
        <w:rPr>
          <w:spacing w:val="-1"/>
          <w:position w:val="7"/>
          <w:sz w:val="11"/>
        </w:rPr>
        <w:t>272</w:t>
      </w:r>
    </w:p>
    <w:p w:rsidR="00D96B91" w:rsidRDefault="00C2656B">
      <w:pPr>
        <w:pStyle w:val="BodyText"/>
        <w:spacing w:before="170" w:line="260" w:lineRule="exact"/>
        <w:ind w:right="1356"/>
      </w:pPr>
      <w:r>
        <w:rPr>
          <w:rFonts w:cs="Avenir Next"/>
          <w:spacing w:val="-3"/>
        </w:rPr>
        <w:t>The</w:t>
      </w:r>
      <w:r>
        <w:rPr>
          <w:rFonts w:cs="Avenir Next"/>
          <w:spacing w:val="-4"/>
        </w:rPr>
        <w:t xml:space="preserve"> </w:t>
      </w:r>
      <w:r>
        <w:rPr>
          <w:rFonts w:cs="Avenir Next"/>
          <w:spacing w:val="-2"/>
        </w:rPr>
        <w:t>actual</w:t>
      </w:r>
      <w:r>
        <w:rPr>
          <w:rFonts w:cs="Avenir Next"/>
          <w:spacing w:val="-4"/>
        </w:rPr>
        <w:t xml:space="preserve"> </w:t>
      </w:r>
      <w:r>
        <w:rPr>
          <w:rFonts w:cs="Avenir Next"/>
          <w:spacing w:val="-2"/>
        </w:rPr>
        <w:t>value</w:t>
      </w:r>
      <w:r>
        <w:rPr>
          <w:rFonts w:cs="Avenir Next"/>
          <w:spacing w:val="-4"/>
        </w:rPr>
        <w:t xml:space="preserve"> </w:t>
      </w:r>
      <w:r>
        <w:rPr>
          <w:rFonts w:cs="Avenir Next"/>
          <w:spacing w:val="-1"/>
        </w:rPr>
        <w:t>of</w:t>
      </w:r>
      <w:r>
        <w:rPr>
          <w:rFonts w:cs="Avenir Next"/>
        </w:rPr>
        <w:t xml:space="preserve"> </w:t>
      </w:r>
      <w:r>
        <w:rPr>
          <w:rFonts w:cs="Avenir Next"/>
          <w:spacing w:val="-2"/>
        </w:rPr>
        <w:t>imputation</w:t>
      </w:r>
      <w:r>
        <w:rPr>
          <w:rFonts w:cs="Avenir Next"/>
          <w:spacing w:val="-4"/>
        </w:rPr>
        <w:t xml:space="preserve"> </w:t>
      </w:r>
      <w:r>
        <w:rPr>
          <w:rFonts w:cs="Avenir Next"/>
          <w:spacing w:val="-3"/>
        </w:rPr>
        <w:t>credits,</w:t>
      </w:r>
      <w:r>
        <w:rPr>
          <w:rFonts w:cs="Avenir Next"/>
          <w:spacing w:val="-10"/>
        </w:rPr>
        <w:t xml:space="preserve"> </w:t>
      </w:r>
      <w:r>
        <w:rPr>
          <w:rFonts w:cs="Avenir Next"/>
          <w:spacing w:val="-3"/>
        </w:rPr>
        <w:t>represented</w:t>
      </w:r>
      <w:r>
        <w:rPr>
          <w:rFonts w:cs="Avenir Next"/>
          <w:spacing w:val="-4"/>
        </w:rPr>
        <w:t xml:space="preserve"> </w:t>
      </w:r>
      <w:r>
        <w:rPr>
          <w:rFonts w:cs="Avenir Next"/>
          <w:spacing w:val="-1"/>
        </w:rPr>
        <w:t>by</w:t>
      </w:r>
      <w:r>
        <w:rPr>
          <w:rFonts w:cs="Avenir Next"/>
          <w:spacing w:val="-4"/>
        </w:rPr>
        <w:t xml:space="preserve"> </w:t>
      </w:r>
      <w:r>
        <w:rPr>
          <w:rFonts w:cs="Avenir Next"/>
          <w:spacing w:val="-2"/>
        </w:rPr>
        <w:t>the</w:t>
      </w:r>
      <w:r>
        <w:rPr>
          <w:rFonts w:cs="Avenir Next"/>
          <w:spacing w:val="-4"/>
        </w:rPr>
        <w:t xml:space="preserve"> </w:t>
      </w:r>
      <w:r>
        <w:rPr>
          <w:rFonts w:cs="Avenir Next"/>
          <w:spacing w:val="-3"/>
        </w:rPr>
        <w:t>parameter</w:t>
      </w:r>
      <w:r>
        <w:rPr>
          <w:rFonts w:cs="Avenir Next"/>
          <w:spacing w:val="-4"/>
        </w:rPr>
        <w:t xml:space="preserve"> </w:t>
      </w:r>
      <w:r>
        <w:rPr>
          <w:rFonts w:cs="Avenir Next"/>
          <w:spacing w:val="-6"/>
        </w:rPr>
        <w:t>‘gamma’,</w:t>
      </w:r>
      <w:r>
        <w:rPr>
          <w:rFonts w:cs="Avenir Next"/>
          <w:spacing w:val="-10"/>
        </w:rPr>
        <w:t xml:space="preserve"> </w:t>
      </w:r>
      <w:r>
        <w:rPr>
          <w:rFonts w:cs="Avenir Next"/>
          <w:spacing w:val="-2"/>
        </w:rPr>
        <w:t>depends</w:t>
      </w:r>
      <w:r>
        <w:rPr>
          <w:rFonts w:cs="Avenir Next"/>
          <w:spacing w:val="-4"/>
        </w:rPr>
        <w:t xml:space="preserve"> </w:t>
      </w:r>
      <w:r>
        <w:rPr>
          <w:rFonts w:cs="Avenir Next"/>
          <w:spacing w:val="-1"/>
        </w:rPr>
        <w:t>on</w:t>
      </w:r>
      <w:r>
        <w:rPr>
          <w:rFonts w:cs="Avenir Next"/>
          <w:spacing w:val="-4"/>
        </w:rPr>
        <w:t xml:space="preserve"> </w:t>
      </w:r>
      <w:r>
        <w:rPr>
          <w:rFonts w:cs="Avenir Next"/>
          <w:spacing w:val="-2"/>
        </w:rPr>
        <w:t>the</w:t>
      </w:r>
      <w:r>
        <w:rPr>
          <w:rFonts w:cs="Avenir Next"/>
          <w:spacing w:val="57"/>
        </w:rPr>
        <w:t xml:space="preserve"> </w:t>
      </w:r>
      <w:r>
        <w:rPr>
          <w:rFonts w:cs="Avenir Next"/>
          <w:spacing w:val="-3"/>
        </w:rPr>
        <w:t>proportion</w:t>
      </w:r>
      <w:r>
        <w:rPr>
          <w:rFonts w:cs="Avenir Next"/>
          <w:spacing w:val="-4"/>
        </w:rPr>
        <w:t xml:space="preserve"> </w:t>
      </w:r>
      <w:r>
        <w:rPr>
          <w:rFonts w:cs="Avenir Next"/>
          <w:spacing w:val="-1"/>
        </w:rPr>
        <w:t>of</w:t>
      </w:r>
      <w:r>
        <w:rPr>
          <w:rFonts w:cs="Avenir Next"/>
        </w:rPr>
        <w:t xml:space="preserve"> </w:t>
      </w:r>
      <w:r>
        <w:rPr>
          <w:rFonts w:cs="Avenir Next"/>
          <w:spacing w:val="-2"/>
        </w:rPr>
        <w:t>the</w:t>
      </w:r>
      <w:r>
        <w:rPr>
          <w:rFonts w:cs="Avenir Next"/>
          <w:spacing w:val="-4"/>
        </w:rPr>
        <w:t xml:space="preserve"> </w:t>
      </w:r>
      <w:r>
        <w:rPr>
          <w:rFonts w:cs="Avenir Next"/>
          <w:spacing w:val="-3"/>
        </w:rPr>
        <w:t>credits</w:t>
      </w:r>
      <w:r>
        <w:rPr>
          <w:rFonts w:cs="Avenir Next"/>
          <w:spacing w:val="-4"/>
        </w:rPr>
        <w:t xml:space="preserve"> </w:t>
      </w:r>
      <w:r>
        <w:rPr>
          <w:rFonts w:cs="Avenir Next"/>
          <w:spacing w:val="-2"/>
        </w:rPr>
        <w:t>that</w:t>
      </w:r>
      <w:r>
        <w:rPr>
          <w:rFonts w:cs="Avenir Next"/>
          <w:spacing w:val="-4"/>
        </w:rPr>
        <w:t xml:space="preserve"> </w:t>
      </w:r>
      <w:r>
        <w:rPr>
          <w:rFonts w:cs="Avenir Next"/>
          <w:spacing w:val="-3"/>
        </w:rPr>
        <w:t>are</w:t>
      </w:r>
      <w:r>
        <w:rPr>
          <w:rFonts w:cs="Avenir Next"/>
          <w:spacing w:val="-4"/>
        </w:rPr>
        <w:t xml:space="preserve"> </w:t>
      </w:r>
      <w:r>
        <w:rPr>
          <w:rFonts w:cs="Avenir Next"/>
          <w:spacing w:val="-3"/>
        </w:rPr>
        <w:t>created</w:t>
      </w:r>
      <w:r>
        <w:rPr>
          <w:rFonts w:cs="Avenir Next"/>
          <w:spacing w:val="-4"/>
        </w:rPr>
        <w:t xml:space="preserve"> </w:t>
      </w:r>
      <w:r>
        <w:rPr>
          <w:rFonts w:cs="Avenir Next"/>
          <w:spacing w:val="-1"/>
        </w:rPr>
        <w:t>by</w:t>
      </w:r>
      <w:r>
        <w:rPr>
          <w:rFonts w:cs="Avenir Next"/>
          <w:spacing w:val="-4"/>
        </w:rPr>
        <w:t xml:space="preserve"> </w:t>
      </w:r>
      <w:r>
        <w:rPr>
          <w:rFonts w:cs="Avenir Next"/>
          <w:spacing w:val="-2"/>
        </w:rPr>
        <w:t>the</w:t>
      </w:r>
      <w:r>
        <w:rPr>
          <w:rFonts w:cs="Avenir Next"/>
          <w:spacing w:val="-4"/>
        </w:rPr>
        <w:t xml:space="preserve"> </w:t>
      </w:r>
      <w:r>
        <w:rPr>
          <w:rFonts w:cs="Avenir Next"/>
          <w:spacing w:val="-2"/>
        </w:rPr>
        <w:t>company</w:t>
      </w:r>
      <w:r>
        <w:rPr>
          <w:rFonts w:cs="Avenir Next"/>
          <w:spacing w:val="-4"/>
        </w:rPr>
        <w:t xml:space="preserve"> </w:t>
      </w:r>
      <w:r>
        <w:rPr>
          <w:rFonts w:cs="Avenir Next"/>
          <w:spacing w:val="-2"/>
        </w:rPr>
        <w:t>and</w:t>
      </w:r>
      <w:r>
        <w:rPr>
          <w:rFonts w:cs="Avenir Next"/>
          <w:spacing w:val="-4"/>
        </w:rPr>
        <w:t xml:space="preserve"> </w:t>
      </w:r>
      <w:r>
        <w:rPr>
          <w:rFonts w:cs="Avenir Next"/>
          <w:spacing w:val="-2"/>
        </w:rPr>
        <w:t>that</w:t>
      </w:r>
      <w:r>
        <w:rPr>
          <w:rFonts w:cs="Avenir Next"/>
          <w:spacing w:val="-4"/>
        </w:rPr>
        <w:t xml:space="preserve"> </w:t>
      </w:r>
      <w:r>
        <w:rPr>
          <w:rFonts w:cs="Avenir Next"/>
          <w:spacing w:val="-3"/>
        </w:rPr>
        <w:t>are</w:t>
      </w:r>
      <w:r>
        <w:rPr>
          <w:rFonts w:cs="Avenir Next"/>
          <w:spacing w:val="-4"/>
        </w:rPr>
        <w:t xml:space="preserve"> </w:t>
      </w:r>
      <w:r>
        <w:rPr>
          <w:rFonts w:cs="Avenir Next"/>
          <w:spacing w:val="-2"/>
        </w:rPr>
        <w:t>distributed,</w:t>
      </w:r>
      <w:r>
        <w:rPr>
          <w:rFonts w:cs="Avenir Next"/>
          <w:spacing w:val="-10"/>
        </w:rPr>
        <w:t xml:space="preserve"> </w:t>
      </w:r>
      <w:r>
        <w:rPr>
          <w:rFonts w:cs="Avenir Next"/>
          <w:spacing w:val="-2"/>
        </w:rPr>
        <w:t>and</w:t>
      </w:r>
      <w:r>
        <w:rPr>
          <w:rFonts w:cs="Avenir Next"/>
          <w:spacing w:val="-4"/>
        </w:rPr>
        <w:t xml:space="preserve"> </w:t>
      </w:r>
      <w:r>
        <w:rPr>
          <w:rFonts w:cs="Avenir Next"/>
          <w:spacing w:val="-2"/>
        </w:rPr>
        <w:t>the</w:t>
      </w:r>
      <w:r>
        <w:rPr>
          <w:rFonts w:cs="Avenir Next"/>
          <w:spacing w:val="-4"/>
        </w:rPr>
        <w:t xml:space="preserve"> </w:t>
      </w:r>
      <w:r>
        <w:rPr>
          <w:rFonts w:cs="Avenir Next"/>
          <w:spacing w:val="-2"/>
        </w:rPr>
        <w:t>value</w:t>
      </w:r>
      <w:r>
        <w:rPr>
          <w:rFonts w:cs="Avenir Next"/>
          <w:spacing w:val="-4"/>
        </w:rPr>
        <w:t xml:space="preserve"> </w:t>
      </w:r>
      <w:r>
        <w:rPr>
          <w:rFonts w:cs="Avenir Next"/>
          <w:spacing w:val="-2"/>
        </w:rPr>
        <w:t>that</w:t>
      </w:r>
      <w:r>
        <w:rPr>
          <w:rFonts w:cs="Avenir Next"/>
          <w:spacing w:val="-4"/>
        </w:rPr>
        <w:t xml:space="preserve"> </w:t>
      </w:r>
      <w:r>
        <w:rPr>
          <w:rFonts w:cs="Avenir Next"/>
          <w:spacing w:val="-2"/>
        </w:rPr>
        <w:t>the</w:t>
      </w:r>
      <w:r>
        <w:rPr>
          <w:rFonts w:cs="Avenir Next"/>
          <w:spacing w:val="58"/>
        </w:rPr>
        <w:t xml:space="preserve"> </w:t>
      </w:r>
      <w:r>
        <w:rPr>
          <w:rFonts w:cs="Avenir Next"/>
          <w:spacing w:val="-2"/>
        </w:rPr>
        <w:t>investor</w:t>
      </w:r>
      <w:r>
        <w:rPr>
          <w:rFonts w:cs="Avenir Next"/>
          <w:spacing w:val="-4"/>
        </w:rPr>
        <w:t xml:space="preserve"> </w:t>
      </w:r>
      <w:r>
        <w:rPr>
          <w:rFonts w:cs="Avenir Next"/>
          <w:spacing w:val="-3"/>
        </w:rPr>
        <w:t>attaches</w:t>
      </w:r>
      <w:r>
        <w:rPr>
          <w:rFonts w:cs="Avenir Next"/>
          <w:spacing w:val="-4"/>
        </w:rPr>
        <w:t xml:space="preserve"> </w:t>
      </w:r>
      <w:r>
        <w:rPr>
          <w:rFonts w:cs="Avenir Next"/>
          <w:spacing w:val="-1"/>
        </w:rPr>
        <w:t>to</w:t>
      </w:r>
      <w:r>
        <w:rPr>
          <w:rFonts w:cs="Avenir Next"/>
          <w:spacing w:val="-4"/>
        </w:rPr>
        <w:t xml:space="preserve"> </w:t>
      </w:r>
      <w:r>
        <w:rPr>
          <w:rFonts w:cs="Avenir Next"/>
          <w:spacing w:val="-2"/>
        </w:rPr>
        <w:t>the</w:t>
      </w:r>
      <w:r>
        <w:rPr>
          <w:rFonts w:cs="Avenir Next"/>
          <w:spacing w:val="-4"/>
        </w:rPr>
        <w:t xml:space="preserve"> </w:t>
      </w:r>
      <w:r>
        <w:rPr>
          <w:rFonts w:cs="Avenir Next"/>
          <w:spacing w:val="-3"/>
        </w:rPr>
        <w:t>credit,</w:t>
      </w:r>
      <w:r>
        <w:rPr>
          <w:rFonts w:cs="Avenir Next"/>
          <w:spacing w:val="-10"/>
        </w:rPr>
        <w:t xml:space="preserve"> </w:t>
      </w:r>
      <w:r>
        <w:rPr>
          <w:rFonts w:cs="Avenir Next"/>
          <w:spacing w:val="-2"/>
        </w:rPr>
        <w:t>which</w:t>
      </w:r>
      <w:r>
        <w:rPr>
          <w:rFonts w:cs="Avenir Next"/>
          <w:spacing w:val="-4"/>
        </w:rPr>
        <w:t xml:space="preserve"> </w:t>
      </w:r>
      <w:r>
        <w:rPr>
          <w:rFonts w:cs="Avenir Next"/>
          <w:spacing w:val="-2"/>
        </w:rPr>
        <w:t>depends</w:t>
      </w:r>
      <w:r>
        <w:rPr>
          <w:rFonts w:cs="Avenir Next"/>
          <w:spacing w:val="-4"/>
        </w:rPr>
        <w:t xml:space="preserve"> </w:t>
      </w:r>
      <w:r>
        <w:rPr>
          <w:rFonts w:cs="Avenir Next"/>
          <w:spacing w:val="-1"/>
        </w:rPr>
        <w:t>on</w:t>
      </w:r>
      <w:r>
        <w:rPr>
          <w:rFonts w:cs="Avenir Next"/>
          <w:spacing w:val="-4"/>
        </w:rPr>
        <w:t xml:space="preserve"> </w:t>
      </w:r>
      <w:r>
        <w:rPr>
          <w:rFonts w:cs="Avenir Next"/>
          <w:spacing w:val="-2"/>
        </w:rPr>
        <w:t>the</w:t>
      </w:r>
      <w:r>
        <w:rPr>
          <w:rFonts w:cs="Avenir Next"/>
          <w:spacing w:val="-4"/>
        </w:rPr>
        <w:t xml:space="preserve"> </w:t>
      </w:r>
      <w:r>
        <w:rPr>
          <w:rFonts w:cs="Avenir Next"/>
          <w:spacing w:val="-3"/>
        </w:rPr>
        <w:t>investor’s</w:t>
      </w:r>
      <w:r>
        <w:rPr>
          <w:rFonts w:cs="Avenir Next"/>
          <w:spacing w:val="-4"/>
        </w:rPr>
        <w:t xml:space="preserve"> </w:t>
      </w:r>
      <w:r>
        <w:rPr>
          <w:rFonts w:cs="Avenir Next"/>
          <w:spacing w:val="-2"/>
        </w:rPr>
        <w:t>tax</w:t>
      </w:r>
      <w:r>
        <w:rPr>
          <w:rFonts w:cs="Avenir Next"/>
          <w:spacing w:val="-4"/>
        </w:rPr>
        <w:t xml:space="preserve"> </w:t>
      </w:r>
      <w:r>
        <w:rPr>
          <w:rFonts w:cs="Avenir Next"/>
          <w:spacing w:val="-3"/>
        </w:rPr>
        <w:t>circumstances</w:t>
      </w:r>
      <w:r>
        <w:rPr>
          <w:rFonts w:cs="Avenir Next"/>
          <w:spacing w:val="-4"/>
        </w:rPr>
        <w:t xml:space="preserve"> </w:t>
      </w:r>
      <w:r>
        <w:rPr>
          <w:rFonts w:cs="Avenir Next"/>
          <w:spacing w:val="-2"/>
        </w:rPr>
        <w:t>(ie,</w:t>
      </w:r>
      <w:r>
        <w:rPr>
          <w:rFonts w:cs="Avenir Next"/>
          <w:spacing w:val="-10"/>
        </w:rPr>
        <w:t xml:space="preserve"> </w:t>
      </w:r>
      <w:r>
        <w:rPr>
          <w:rFonts w:cs="Avenir Next"/>
          <w:spacing w:val="-2"/>
        </w:rPr>
        <w:t>their</w:t>
      </w:r>
      <w:r>
        <w:rPr>
          <w:rFonts w:cs="Avenir Next"/>
          <w:spacing w:val="-4"/>
        </w:rPr>
        <w:t xml:space="preserve"> </w:t>
      </w:r>
      <w:r>
        <w:rPr>
          <w:rFonts w:cs="Avenir Next"/>
          <w:spacing w:val="-3"/>
        </w:rPr>
        <w:t>marginal</w:t>
      </w:r>
      <w:r>
        <w:rPr>
          <w:rFonts w:cs="Avenir Next"/>
          <w:spacing w:val="-4"/>
        </w:rPr>
        <w:t xml:space="preserve"> </w:t>
      </w:r>
      <w:r>
        <w:rPr>
          <w:rFonts w:cs="Avenir Next"/>
          <w:spacing w:val="-2"/>
        </w:rPr>
        <w:t>tax</w:t>
      </w:r>
      <w:r>
        <w:rPr>
          <w:rFonts w:cs="Avenir Next"/>
          <w:spacing w:val="98"/>
        </w:rPr>
        <w:t xml:space="preserve"> </w:t>
      </w:r>
      <w:r>
        <w:rPr>
          <w:spacing w:val="-3"/>
        </w:rPr>
        <w:t>rate).</w:t>
      </w:r>
      <w:r>
        <w:rPr>
          <w:spacing w:val="-14"/>
        </w:rPr>
        <w:t xml:space="preserve"> </w:t>
      </w:r>
      <w:r>
        <w:rPr>
          <w:spacing w:val="-1"/>
        </w:rPr>
        <w:t>As</w:t>
      </w:r>
      <w:r>
        <w:rPr>
          <w:spacing w:val="-4"/>
        </w:rPr>
        <w:t xml:space="preserve"> </w:t>
      </w:r>
      <w:r>
        <w:rPr>
          <w:spacing w:val="-2"/>
        </w:rPr>
        <w:t>these</w:t>
      </w:r>
      <w:r>
        <w:rPr>
          <w:spacing w:val="-4"/>
        </w:rPr>
        <w:t xml:space="preserve"> </w:t>
      </w:r>
      <w:r>
        <w:rPr>
          <w:spacing w:val="-2"/>
        </w:rPr>
        <w:t>will</w:t>
      </w:r>
      <w:r>
        <w:rPr>
          <w:spacing w:val="-4"/>
        </w:rPr>
        <w:t xml:space="preserve"> </w:t>
      </w:r>
      <w:r>
        <w:rPr>
          <w:spacing w:val="-3"/>
        </w:rPr>
        <w:t>differ</w:t>
      </w:r>
      <w:r>
        <w:rPr>
          <w:spacing w:val="-4"/>
        </w:rPr>
        <w:t xml:space="preserve"> </w:t>
      </w:r>
      <w:r>
        <w:rPr>
          <w:spacing w:val="-3"/>
        </w:rPr>
        <w:t>across</w:t>
      </w:r>
      <w:r>
        <w:rPr>
          <w:spacing w:val="-4"/>
        </w:rPr>
        <w:t xml:space="preserve"> </w:t>
      </w:r>
      <w:r>
        <w:rPr>
          <w:spacing w:val="-2"/>
        </w:rPr>
        <w:t>investors,</w:t>
      </w:r>
      <w:r>
        <w:rPr>
          <w:spacing w:val="-10"/>
        </w:rPr>
        <w:t xml:space="preserve"> </w:t>
      </w:r>
      <w:r>
        <w:rPr>
          <w:spacing w:val="-2"/>
        </w:rPr>
        <w:t>the</w:t>
      </w:r>
      <w:r>
        <w:rPr>
          <w:spacing w:val="-4"/>
        </w:rPr>
        <w:t xml:space="preserve"> </w:t>
      </w:r>
      <w:r>
        <w:rPr>
          <w:spacing w:val="-2"/>
        </w:rPr>
        <w:t>value</w:t>
      </w:r>
      <w:r>
        <w:rPr>
          <w:spacing w:val="-4"/>
        </w:rPr>
        <w:t xml:space="preserve"> </w:t>
      </w:r>
      <w:r>
        <w:rPr>
          <w:spacing w:val="-1"/>
        </w:rPr>
        <w:t>of</w:t>
      </w:r>
      <w:r>
        <w:t xml:space="preserve"> </w:t>
      </w:r>
      <w:r>
        <w:rPr>
          <w:spacing w:val="-3"/>
        </w:rPr>
        <w:t>franking</w:t>
      </w:r>
      <w:r>
        <w:rPr>
          <w:spacing w:val="-4"/>
        </w:rPr>
        <w:t xml:space="preserve"> </w:t>
      </w:r>
      <w:r>
        <w:rPr>
          <w:spacing w:val="-3"/>
        </w:rPr>
        <w:t>credits</w:t>
      </w:r>
      <w:r>
        <w:rPr>
          <w:spacing w:val="-4"/>
        </w:rPr>
        <w:t xml:space="preserve"> </w:t>
      </w:r>
      <w:r>
        <w:rPr>
          <w:spacing w:val="-2"/>
        </w:rPr>
        <w:t>may</w:t>
      </w:r>
      <w:r>
        <w:rPr>
          <w:spacing w:val="-4"/>
        </w:rPr>
        <w:t xml:space="preserve"> </w:t>
      </w:r>
      <w:r>
        <w:rPr>
          <w:spacing w:val="-1"/>
        </w:rPr>
        <w:t>be</w:t>
      </w:r>
      <w:r>
        <w:rPr>
          <w:spacing w:val="-4"/>
        </w:rPr>
        <w:t xml:space="preserve"> </w:t>
      </w:r>
      <w:r>
        <w:rPr>
          <w:spacing w:val="-2"/>
        </w:rPr>
        <w:t>between</w:t>
      </w:r>
      <w:r>
        <w:rPr>
          <w:spacing w:val="-4"/>
        </w:rPr>
        <w:t xml:space="preserve"> </w:t>
      </w:r>
      <w:r>
        <w:rPr>
          <w:spacing w:val="-2"/>
        </w:rPr>
        <w:t>nil</w:t>
      </w:r>
      <w:r>
        <w:rPr>
          <w:spacing w:val="-4"/>
        </w:rPr>
        <w:t xml:space="preserve"> </w:t>
      </w:r>
      <w:r>
        <w:rPr>
          <w:spacing w:val="-2"/>
        </w:rPr>
        <w:t>and</w:t>
      </w:r>
      <w:r>
        <w:rPr>
          <w:spacing w:val="-4"/>
        </w:rPr>
        <w:t xml:space="preserve"> </w:t>
      </w:r>
      <w:r>
        <w:rPr>
          <w:spacing w:val="-2"/>
        </w:rPr>
        <w:t>full</w:t>
      </w:r>
      <w:r>
        <w:rPr>
          <w:spacing w:val="-4"/>
        </w:rPr>
        <w:t xml:space="preserve"> </w:t>
      </w:r>
      <w:r>
        <w:rPr>
          <w:spacing w:val="-2"/>
        </w:rPr>
        <w:t>value.</w:t>
      </w:r>
    </w:p>
    <w:p w:rsidR="00D96B91" w:rsidRDefault="00C2656B">
      <w:pPr>
        <w:pStyle w:val="BodyText"/>
        <w:spacing w:before="178"/>
      </w:pPr>
      <w:r>
        <w:rPr>
          <w:spacing w:val="-2"/>
        </w:rPr>
        <w:t>Theoretically,</w:t>
      </w:r>
      <w:r>
        <w:rPr>
          <w:spacing w:val="-6"/>
        </w:rPr>
        <w:t xml:space="preserve"> </w:t>
      </w:r>
      <w:r>
        <w:t xml:space="preserve">gamma can </w:t>
      </w:r>
      <w:r>
        <w:rPr>
          <w:spacing w:val="-1"/>
        </w:rPr>
        <w:t>take</w:t>
      </w:r>
      <w:r>
        <w:t xml:space="preserve"> on any value between 1 and 0 depending on whether:</w:t>
      </w:r>
    </w:p>
    <w:p w:rsidR="00D96B91" w:rsidRDefault="00C2656B">
      <w:pPr>
        <w:pStyle w:val="BodyText"/>
        <w:numPr>
          <w:ilvl w:val="0"/>
          <w:numId w:val="131"/>
        </w:numPr>
        <w:tabs>
          <w:tab w:val="left" w:pos="1531"/>
        </w:tabs>
        <w:spacing w:before="149" w:line="260" w:lineRule="exact"/>
        <w:ind w:right="1380" w:hanging="283"/>
        <w:rPr>
          <w:rFonts w:cs="Avenir Next"/>
        </w:rPr>
      </w:pPr>
      <w:r>
        <w:t xml:space="preserve">dividends </w:t>
      </w:r>
      <w:r>
        <w:rPr>
          <w:spacing w:val="-2"/>
        </w:rPr>
        <w:t>are</w:t>
      </w:r>
      <w:r>
        <w:t xml:space="preserve"> fully </w:t>
      </w:r>
      <w:r>
        <w:rPr>
          <w:spacing w:val="-1"/>
        </w:rPr>
        <w:t>franked</w:t>
      </w:r>
      <w:r>
        <w:t xml:space="preserve"> and all investors can use all </w:t>
      </w:r>
      <w:r>
        <w:rPr>
          <w:spacing w:val="-1"/>
        </w:rPr>
        <w:t>imputation</w:t>
      </w:r>
      <w:r>
        <w:t xml:space="preserve"> tax </w:t>
      </w:r>
      <w:r>
        <w:rPr>
          <w:spacing w:val="-1"/>
        </w:rPr>
        <w:t>credits,</w:t>
      </w:r>
      <w:r>
        <w:rPr>
          <w:spacing w:val="-6"/>
        </w:rPr>
        <w:t xml:space="preserve"> </w:t>
      </w:r>
      <w:r>
        <w:t>in which case gamma</w:t>
      </w:r>
      <w:r>
        <w:rPr>
          <w:spacing w:val="27"/>
        </w:rPr>
        <w:t xml:space="preserve"> </w:t>
      </w:r>
      <w:r>
        <w:t>would</w:t>
      </w:r>
      <w:r>
        <w:rPr>
          <w:spacing w:val="1"/>
        </w:rPr>
        <w:t xml:space="preserve"> </w:t>
      </w:r>
      <w:r>
        <w:t>be</w:t>
      </w:r>
      <w:r>
        <w:rPr>
          <w:spacing w:val="2"/>
        </w:rPr>
        <w:t xml:space="preserve"> </w:t>
      </w:r>
      <w:r>
        <w:t>equal</w:t>
      </w:r>
      <w:r>
        <w:rPr>
          <w:spacing w:val="2"/>
        </w:rPr>
        <w:t xml:space="preserve"> </w:t>
      </w:r>
      <w:r>
        <w:t>to</w:t>
      </w:r>
      <w:r>
        <w:rPr>
          <w:spacing w:val="2"/>
        </w:rPr>
        <w:t xml:space="preserve"> </w:t>
      </w:r>
      <w:r>
        <w:t>1;</w:t>
      </w:r>
      <w:r>
        <w:rPr>
          <w:position w:val="7"/>
          <w:sz w:val="11"/>
        </w:rPr>
        <w:t>273</w:t>
      </w:r>
      <w:r>
        <w:rPr>
          <w:spacing w:val="25"/>
          <w:position w:val="7"/>
          <w:sz w:val="11"/>
        </w:rPr>
        <w:t xml:space="preserve"> </w:t>
      </w:r>
      <w:r>
        <w:t>or</w:t>
      </w:r>
    </w:p>
    <w:p w:rsidR="00D96B91" w:rsidRDefault="00C2656B">
      <w:pPr>
        <w:pStyle w:val="BodyText"/>
        <w:numPr>
          <w:ilvl w:val="0"/>
          <w:numId w:val="131"/>
        </w:numPr>
        <w:tabs>
          <w:tab w:val="left" w:pos="1531"/>
        </w:tabs>
        <w:spacing w:before="85" w:line="260" w:lineRule="exact"/>
        <w:ind w:right="1707" w:hanging="283"/>
        <w:rPr>
          <w:sz w:val="11"/>
          <w:szCs w:val="11"/>
        </w:rPr>
      </w:pPr>
      <w:r>
        <w:t xml:space="preserve">dividends </w:t>
      </w:r>
      <w:r>
        <w:rPr>
          <w:spacing w:val="-2"/>
        </w:rPr>
        <w:t>are</w:t>
      </w:r>
      <w:r>
        <w:t xml:space="preserve"> not fully </w:t>
      </w:r>
      <w:r>
        <w:rPr>
          <w:spacing w:val="-1"/>
        </w:rPr>
        <w:t>franked</w:t>
      </w:r>
      <w:r>
        <w:t xml:space="preserve"> and/or investors cannot utilise all of</w:t>
      </w:r>
      <w:r>
        <w:rPr>
          <w:spacing w:val="4"/>
        </w:rPr>
        <w:t xml:space="preserve"> </w:t>
      </w:r>
      <w:r>
        <w:t xml:space="preserve">the </w:t>
      </w:r>
      <w:r>
        <w:rPr>
          <w:spacing w:val="-1"/>
        </w:rPr>
        <w:t>imputation</w:t>
      </w:r>
      <w:r>
        <w:t xml:space="preserve"> tax </w:t>
      </w:r>
      <w:r>
        <w:rPr>
          <w:spacing w:val="-1"/>
        </w:rPr>
        <w:t>credits,</w:t>
      </w:r>
      <w:r>
        <w:rPr>
          <w:spacing w:val="-6"/>
        </w:rPr>
        <w:t xml:space="preserve"> </w:t>
      </w:r>
      <w:r>
        <w:t>in</w:t>
      </w:r>
      <w:r>
        <w:rPr>
          <w:spacing w:val="27"/>
        </w:rPr>
        <w:t xml:space="preserve"> </w:t>
      </w:r>
      <w:r>
        <w:t>which</w:t>
      </w:r>
      <w:r>
        <w:rPr>
          <w:spacing w:val="1"/>
        </w:rPr>
        <w:t xml:space="preserve"> </w:t>
      </w:r>
      <w:r>
        <w:t>case</w:t>
      </w:r>
      <w:r>
        <w:rPr>
          <w:spacing w:val="1"/>
        </w:rPr>
        <w:t xml:space="preserve"> </w:t>
      </w:r>
      <w:r>
        <w:t>gamma</w:t>
      </w:r>
      <w:r>
        <w:rPr>
          <w:spacing w:val="1"/>
        </w:rPr>
        <w:t xml:space="preserve"> </w:t>
      </w:r>
      <w:r>
        <w:t>would</w:t>
      </w:r>
      <w:r>
        <w:rPr>
          <w:spacing w:val="1"/>
        </w:rPr>
        <w:t xml:space="preserve"> </w:t>
      </w:r>
      <w:r>
        <w:t>be</w:t>
      </w:r>
      <w:r>
        <w:rPr>
          <w:spacing w:val="2"/>
        </w:rPr>
        <w:t xml:space="preserve"> </w:t>
      </w:r>
      <w:r>
        <w:t>between</w:t>
      </w:r>
      <w:r>
        <w:rPr>
          <w:spacing w:val="1"/>
        </w:rPr>
        <w:t xml:space="preserve"> </w:t>
      </w:r>
      <w:r>
        <w:t>1</w:t>
      </w:r>
      <w:r>
        <w:rPr>
          <w:spacing w:val="1"/>
        </w:rPr>
        <w:t xml:space="preserve"> </w:t>
      </w:r>
      <w:r>
        <w:t>and</w:t>
      </w:r>
      <w:r>
        <w:rPr>
          <w:spacing w:val="1"/>
        </w:rPr>
        <w:t xml:space="preserve"> </w:t>
      </w:r>
      <w:r>
        <w:t>0.</w:t>
      </w:r>
      <w:r>
        <w:rPr>
          <w:position w:val="7"/>
          <w:sz w:val="11"/>
        </w:rPr>
        <w:t>274</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t>A</w:t>
      </w:r>
      <w:r>
        <w:rPr>
          <w:spacing w:val="-4"/>
        </w:rPr>
        <w:t xml:space="preserve"> </w:t>
      </w:r>
      <w:r>
        <w:t>low value of</w:t>
      </w:r>
      <w:r>
        <w:rPr>
          <w:spacing w:val="4"/>
        </w:rPr>
        <w:t xml:space="preserve"> </w:t>
      </w:r>
      <w:r>
        <w:t xml:space="preserve">gamma implies </w:t>
      </w:r>
      <w:r>
        <w:rPr>
          <w:spacing w:val="-1"/>
        </w:rPr>
        <w:t>that</w:t>
      </w:r>
      <w:r>
        <w:t xml:space="preserve"> investors do not obtain much </w:t>
      </w:r>
      <w:r>
        <w:rPr>
          <w:spacing w:val="-1"/>
        </w:rPr>
        <w:t>relief</w:t>
      </w:r>
      <w:r>
        <w:rPr>
          <w:spacing w:val="4"/>
        </w:rPr>
        <w:t xml:space="preserve"> </w:t>
      </w:r>
      <w:r>
        <w:rPr>
          <w:spacing w:val="-1"/>
        </w:rPr>
        <w:t>from</w:t>
      </w:r>
      <w:r>
        <w:t xml:space="preserve"> </w:t>
      </w:r>
      <w:r>
        <w:rPr>
          <w:spacing w:val="-1"/>
        </w:rPr>
        <w:t>corporate</w:t>
      </w:r>
      <w:r>
        <w:t xml:space="preserve"> </w:t>
      </w:r>
      <w:r>
        <w:rPr>
          <w:spacing w:val="-1"/>
        </w:rPr>
        <w:t>taxation</w:t>
      </w:r>
      <w:r>
        <w:t xml:space="preserve"> </w:t>
      </w:r>
      <w:r>
        <w:rPr>
          <w:spacing w:val="-1"/>
        </w:rPr>
        <w:t>through</w:t>
      </w:r>
      <w:r>
        <w:rPr>
          <w:spacing w:val="33"/>
        </w:rPr>
        <w:t xml:space="preserve"> </w:t>
      </w:r>
      <w:r>
        <w:rPr>
          <w:spacing w:val="-1"/>
        </w:rPr>
        <w:t>imputation</w:t>
      </w:r>
      <w:r>
        <w:t xml:space="preserve"> and </w:t>
      </w:r>
      <w:r>
        <w:rPr>
          <w:spacing w:val="-1"/>
        </w:rPr>
        <w:t>therefore</w:t>
      </w:r>
      <w:r>
        <w:t xml:space="preserve"> </w:t>
      </w:r>
      <w:r>
        <w:rPr>
          <w:spacing w:val="-2"/>
        </w:rPr>
        <w:t>require</w:t>
      </w:r>
      <w:r>
        <w:t xml:space="preserve"> a higher </w:t>
      </w:r>
      <w:r>
        <w:rPr>
          <w:spacing w:val="-1"/>
        </w:rPr>
        <w:t>pre-tax</w:t>
      </w:r>
      <w:r>
        <w:t xml:space="preserve"> income in </w:t>
      </w:r>
      <w:r>
        <w:rPr>
          <w:spacing w:val="-1"/>
        </w:rPr>
        <w:t>order</w:t>
      </w:r>
      <w:r>
        <w:t xml:space="preserve"> to justify investment.</w:t>
      </w:r>
    </w:p>
    <w:p w:rsidR="00D96B91" w:rsidRDefault="00C2656B">
      <w:pPr>
        <w:pStyle w:val="BodyText"/>
        <w:spacing w:before="170" w:line="260" w:lineRule="exact"/>
        <w:ind w:right="1548"/>
      </w:pPr>
      <w:r>
        <w:t xml:space="preserve">In </w:t>
      </w:r>
      <w:r>
        <w:rPr>
          <w:spacing w:val="-1"/>
        </w:rPr>
        <w:t>practice,</w:t>
      </w:r>
      <w:r>
        <w:rPr>
          <w:spacing w:val="-6"/>
        </w:rPr>
        <w:t xml:space="preserve"> </w:t>
      </w:r>
      <w:r>
        <w:t xml:space="preserve">a lower gamma value </w:t>
      </w:r>
      <w:r>
        <w:rPr>
          <w:spacing w:val="-1"/>
        </w:rPr>
        <w:t>corresponds</w:t>
      </w:r>
      <w:r>
        <w:t xml:space="preserve"> to a higher </w:t>
      </w:r>
      <w:r>
        <w:rPr>
          <w:spacing w:val="-1"/>
        </w:rPr>
        <w:t>revenue</w:t>
      </w:r>
      <w:r>
        <w:t xml:space="preserve"> </w:t>
      </w:r>
      <w:r>
        <w:rPr>
          <w:spacing w:val="-1"/>
        </w:rPr>
        <w:t>requirement</w:t>
      </w:r>
      <w:r>
        <w:t xml:space="preserve"> and higher prices,</w:t>
      </w:r>
      <w:r>
        <w:rPr>
          <w:spacing w:val="39"/>
        </w:rPr>
        <w:t xml:space="preserve"> </w:t>
      </w:r>
      <w:r>
        <w:t xml:space="preserve">while a higher gamma </w:t>
      </w:r>
      <w:r>
        <w:rPr>
          <w:spacing w:val="-1"/>
        </w:rPr>
        <w:t>corresponds</w:t>
      </w:r>
      <w:r>
        <w:t xml:space="preserve"> to a lower </w:t>
      </w:r>
      <w:r>
        <w:rPr>
          <w:spacing w:val="-1"/>
        </w:rPr>
        <w:t>revenue</w:t>
      </w:r>
      <w:r>
        <w:t xml:space="preserve"> </w:t>
      </w:r>
      <w:r>
        <w:rPr>
          <w:spacing w:val="-1"/>
        </w:rPr>
        <w:t>requirement</w:t>
      </w:r>
      <w:r>
        <w:t xml:space="preserve"> and lower prices.</w:t>
      </w:r>
    </w:p>
    <w:p w:rsidR="00D96B91" w:rsidRDefault="00C2656B">
      <w:pPr>
        <w:pStyle w:val="BodyText"/>
        <w:spacing w:before="170" w:line="260" w:lineRule="exact"/>
        <w:ind w:right="1283"/>
      </w:pPr>
      <w:r>
        <w:t>In the post-tax building block model,</w:t>
      </w:r>
      <w:r>
        <w:rPr>
          <w:spacing w:val="-7"/>
        </w:rPr>
        <w:t xml:space="preserve"> </w:t>
      </w:r>
      <w:r>
        <w:rPr>
          <w:spacing w:val="-1"/>
        </w:rPr>
        <w:t>there</w:t>
      </w:r>
      <w:r>
        <w:t xml:space="preserve"> is an inverse </w:t>
      </w:r>
      <w:r>
        <w:rPr>
          <w:spacing w:val="-1"/>
        </w:rPr>
        <w:t>relationship</w:t>
      </w:r>
      <w:r>
        <w:t xml:space="preserve"> between gamma and the tax</w:t>
      </w:r>
      <w:r>
        <w:rPr>
          <w:spacing w:val="28"/>
        </w:rPr>
        <w:t xml:space="preserve"> </w:t>
      </w:r>
      <w:r>
        <w:t>liability of</w:t>
      </w:r>
      <w:r>
        <w:rPr>
          <w:spacing w:val="4"/>
        </w:rPr>
        <w:t xml:space="preserve"> </w:t>
      </w:r>
      <w:r>
        <w:t xml:space="preserve">a </w:t>
      </w:r>
      <w:r>
        <w:rPr>
          <w:spacing w:val="-1"/>
        </w:rPr>
        <w:t>regulated</w:t>
      </w:r>
      <w:r>
        <w:t xml:space="preserve"> service </w:t>
      </w:r>
      <w:r>
        <w:rPr>
          <w:spacing w:val="-2"/>
        </w:rPr>
        <w:t>provider.</w:t>
      </w:r>
      <w:r>
        <w:rPr>
          <w:spacing w:val="-11"/>
        </w:rPr>
        <w:t xml:space="preserve"> </w:t>
      </w:r>
      <w:r>
        <w:rPr>
          <w:spacing w:val="-2"/>
        </w:rPr>
        <w:t>That</w:t>
      </w:r>
      <w:r>
        <w:t xml:space="preserve"> is,</w:t>
      </w:r>
      <w:r>
        <w:rPr>
          <w:spacing w:val="-6"/>
        </w:rPr>
        <w:t xml:space="preserve"> </w:t>
      </w:r>
      <w:r>
        <w:t xml:space="preserve">a lower gamma </w:t>
      </w:r>
      <w:r>
        <w:rPr>
          <w:spacing w:val="-1"/>
        </w:rPr>
        <w:t>results</w:t>
      </w:r>
      <w:r>
        <w:t xml:space="preserve"> in a higher net tax liability (ie,</w:t>
      </w:r>
      <w:r>
        <w:rPr>
          <w:spacing w:val="25"/>
        </w:rPr>
        <w:t xml:space="preserve"> </w:t>
      </w:r>
      <w:r>
        <w:t>because a</w:t>
      </w:r>
      <w:r>
        <w:rPr>
          <w:spacing w:val="1"/>
        </w:rPr>
        <w:t xml:space="preserve"> </w:t>
      </w:r>
      <w:r>
        <w:t>lower</w:t>
      </w:r>
      <w:r>
        <w:rPr>
          <w:spacing w:val="1"/>
        </w:rPr>
        <w:t xml:space="preserve"> </w:t>
      </w:r>
      <w:r>
        <w:t>level of</w:t>
      </w:r>
      <w:r>
        <w:rPr>
          <w:spacing w:val="5"/>
        </w:rPr>
        <w:t xml:space="preserve"> </w:t>
      </w:r>
      <w:r>
        <w:rPr>
          <w:spacing w:val="-1"/>
        </w:rPr>
        <w:t>imputation</w:t>
      </w:r>
      <w:r>
        <w:rPr>
          <w:spacing w:val="1"/>
        </w:rPr>
        <w:t xml:space="preserve"> </w:t>
      </w:r>
      <w:r>
        <w:rPr>
          <w:spacing w:val="-1"/>
        </w:rPr>
        <w:t>credits</w:t>
      </w:r>
      <w:r>
        <w:rPr>
          <w:spacing w:val="1"/>
        </w:rPr>
        <w:t xml:space="preserve"> </w:t>
      </w:r>
      <w:r>
        <w:rPr>
          <w:spacing w:val="-2"/>
        </w:rPr>
        <w:t>are</w:t>
      </w:r>
      <w:r>
        <w:t xml:space="preserve"> available</w:t>
      </w:r>
      <w:r>
        <w:rPr>
          <w:spacing w:val="1"/>
        </w:rPr>
        <w:t xml:space="preserve"> </w:t>
      </w:r>
      <w:r>
        <w:t>to</w:t>
      </w:r>
      <w:r>
        <w:rPr>
          <w:spacing w:val="1"/>
        </w:rPr>
        <w:t xml:space="preserve"> </w:t>
      </w:r>
      <w:r>
        <w:rPr>
          <w:spacing w:val="-1"/>
        </w:rPr>
        <w:t>offset</w:t>
      </w:r>
      <w:r>
        <w:t xml:space="preserve"> the</w:t>
      </w:r>
      <w:r>
        <w:rPr>
          <w:spacing w:val="1"/>
        </w:rPr>
        <w:t xml:space="preserve"> </w:t>
      </w:r>
      <w:r>
        <w:t>investors</w:t>
      </w:r>
      <w:r>
        <w:rPr>
          <w:spacing w:val="1"/>
        </w:rPr>
        <w:t xml:space="preserve"> </w:t>
      </w:r>
      <w:r>
        <w:t>tax</w:t>
      </w:r>
      <w:r>
        <w:rPr>
          <w:spacing w:val="1"/>
        </w:rPr>
        <w:t xml:space="preserve"> </w:t>
      </w:r>
      <w:r>
        <w:rPr>
          <w:spacing w:val="-1"/>
        </w:rPr>
        <w:t>liability)</w:t>
      </w:r>
      <w:r>
        <w:rPr>
          <w:spacing w:val="-1"/>
          <w:position w:val="7"/>
          <w:sz w:val="11"/>
        </w:rPr>
        <w:t>275</w:t>
      </w:r>
      <w:r>
        <w:rPr>
          <w:spacing w:val="23"/>
          <w:position w:val="7"/>
          <w:sz w:val="11"/>
        </w:rPr>
        <w:t xml:space="preserve"> </w:t>
      </w:r>
      <w:r>
        <w:t>and,</w:t>
      </w:r>
      <w:r>
        <w:rPr>
          <w:spacing w:val="-5"/>
        </w:rPr>
        <w:t xml:space="preserve"> </w:t>
      </w:r>
      <w:r>
        <w:t>by</w:t>
      </w:r>
      <w:r>
        <w:rPr>
          <w:spacing w:val="55"/>
        </w:rPr>
        <w:t xml:space="preserve"> </w:t>
      </w:r>
      <w:r>
        <w:rPr>
          <w:spacing w:val="-1"/>
        </w:rPr>
        <w:t>extension,</w:t>
      </w:r>
      <w:r>
        <w:rPr>
          <w:spacing w:val="-6"/>
        </w:rPr>
        <w:t xml:space="preserve"> </w:t>
      </w:r>
      <w:r>
        <w:t xml:space="preserve">a higher </w:t>
      </w:r>
      <w:r>
        <w:rPr>
          <w:spacing w:val="-1"/>
        </w:rPr>
        <w:t>revenue</w:t>
      </w:r>
      <w:r>
        <w:t xml:space="preserve"> </w:t>
      </w:r>
      <w:r>
        <w:rPr>
          <w:spacing w:val="-1"/>
        </w:rPr>
        <w:t>requirement</w:t>
      </w:r>
      <w:r>
        <w:t xml:space="preserve"> and prices.</w:t>
      </w:r>
      <w:r>
        <w:rPr>
          <w:spacing w:val="-10"/>
        </w:rPr>
        <w:t xml:space="preserve"> </w:t>
      </w:r>
      <w:r>
        <w:t>A</w:t>
      </w:r>
      <w:r>
        <w:rPr>
          <w:spacing w:val="-4"/>
        </w:rPr>
        <w:t xml:space="preserve"> </w:t>
      </w:r>
      <w:r>
        <w:t>higher gamma,</w:t>
      </w:r>
      <w:r>
        <w:rPr>
          <w:spacing w:val="-6"/>
        </w:rPr>
        <w:t xml:space="preserve"> </w:t>
      </w:r>
      <w:r>
        <w:t>on the other hand,</w:t>
      </w:r>
      <w:r>
        <w:rPr>
          <w:spacing w:val="-6"/>
        </w:rPr>
        <w:t xml:space="preserve"> </w:t>
      </w:r>
      <w:r>
        <w:rPr>
          <w:spacing w:val="-1"/>
        </w:rPr>
        <w:t>results</w:t>
      </w:r>
      <w:r>
        <w:t xml:space="preserve"> in a</w:t>
      </w:r>
      <w:r>
        <w:rPr>
          <w:spacing w:val="35"/>
        </w:rPr>
        <w:t xml:space="preserve"> </w:t>
      </w:r>
      <w:r>
        <w:t xml:space="preserve">lower net tax </w:t>
      </w:r>
      <w:r>
        <w:rPr>
          <w:spacing w:val="-1"/>
        </w:rPr>
        <w:t>liability,</w:t>
      </w:r>
      <w:r>
        <w:rPr>
          <w:spacing w:val="-6"/>
        </w:rPr>
        <w:t xml:space="preserve"> </w:t>
      </w:r>
      <w:r>
        <w:t>and,</w:t>
      </w:r>
      <w:r>
        <w:rPr>
          <w:spacing w:val="-6"/>
        </w:rPr>
        <w:t xml:space="preserve"> </w:t>
      </w:r>
      <w:r>
        <w:t>in turn,</w:t>
      </w:r>
      <w:r>
        <w:rPr>
          <w:spacing w:val="-6"/>
        </w:rPr>
        <w:t xml:space="preserve"> </w:t>
      </w:r>
      <w:r>
        <w:t xml:space="preserve">a lower </w:t>
      </w:r>
      <w:r>
        <w:rPr>
          <w:spacing w:val="-1"/>
        </w:rPr>
        <w:t>revenue</w:t>
      </w:r>
      <w:r>
        <w:t xml:space="preserve"> </w:t>
      </w:r>
      <w:r>
        <w:rPr>
          <w:spacing w:val="-1"/>
        </w:rPr>
        <w:t>requirement</w:t>
      </w:r>
      <w:r>
        <w:t xml:space="preserve"> and prices.</w:t>
      </w:r>
    </w:p>
    <w:p w:rsidR="00D96B91" w:rsidRDefault="00C2656B">
      <w:pPr>
        <w:pStyle w:val="BodyText"/>
        <w:spacing w:before="170" w:line="260" w:lineRule="exact"/>
        <w:ind w:right="1548"/>
      </w:pPr>
      <w:r>
        <w:t xml:space="preserve">In the case </w:t>
      </w:r>
      <w:r>
        <w:rPr>
          <w:spacing w:val="-1"/>
        </w:rPr>
        <w:t>where</w:t>
      </w:r>
      <w:r>
        <w:t xml:space="preserve"> </w:t>
      </w:r>
      <w:r>
        <w:rPr>
          <w:spacing w:val="-1"/>
        </w:rPr>
        <w:t>shareholders</w:t>
      </w:r>
      <w:r>
        <w:t xml:space="preserve"> place no value on </w:t>
      </w:r>
      <w:r>
        <w:rPr>
          <w:spacing w:val="-1"/>
        </w:rPr>
        <w:t>imputation</w:t>
      </w:r>
      <w:r>
        <w:t xml:space="preserve"> </w:t>
      </w:r>
      <w:r>
        <w:rPr>
          <w:spacing w:val="-1"/>
        </w:rPr>
        <w:t>credits</w:t>
      </w:r>
      <w:r>
        <w:t xml:space="preserve"> (gamma is equal to </w:t>
      </w:r>
      <w:r>
        <w:rPr>
          <w:spacing w:val="-1"/>
        </w:rPr>
        <w:t>zero),</w:t>
      </w:r>
      <w:r>
        <w:rPr>
          <w:spacing w:val="-6"/>
        </w:rPr>
        <w:t xml:space="preserve"> </w:t>
      </w:r>
      <w:r>
        <w:t>then</w:t>
      </w:r>
      <w:r>
        <w:rPr>
          <w:spacing w:val="43"/>
        </w:rPr>
        <w:t xml:space="preserve"> </w:t>
      </w:r>
      <w:r>
        <w:t>the allowed tax component of</w:t>
      </w:r>
      <w:r>
        <w:rPr>
          <w:spacing w:val="4"/>
        </w:rPr>
        <w:t xml:space="preserve"> </w:t>
      </w:r>
      <w:r>
        <w:t xml:space="preserve">notional </w:t>
      </w:r>
      <w:r>
        <w:rPr>
          <w:spacing w:val="-1"/>
        </w:rPr>
        <w:t>revenue</w:t>
      </w:r>
      <w:r>
        <w:t xml:space="preserve"> is equal to the </w:t>
      </w:r>
      <w:r>
        <w:rPr>
          <w:spacing w:val="-1"/>
        </w:rPr>
        <w:t>expected</w:t>
      </w:r>
      <w:r>
        <w:t xml:space="preserve"> tax liability of</w:t>
      </w:r>
      <w:r>
        <w:rPr>
          <w:spacing w:val="4"/>
        </w:rPr>
        <w:t xml:space="preserve"> </w:t>
      </w:r>
      <w:r>
        <w:t>the business.</w:t>
      </w:r>
      <w:r>
        <w:rPr>
          <w:spacing w:val="30"/>
        </w:rPr>
        <w:t xml:space="preserve"> </w:t>
      </w:r>
      <w:r>
        <w:rPr>
          <w:spacing w:val="-1"/>
        </w:rPr>
        <w:t>Conversely,</w:t>
      </w:r>
      <w:r>
        <w:rPr>
          <w:spacing w:val="-6"/>
        </w:rPr>
        <w:t xml:space="preserve"> </w:t>
      </w:r>
      <w:r>
        <w:t>if</w:t>
      </w:r>
      <w:r>
        <w:rPr>
          <w:spacing w:val="4"/>
        </w:rPr>
        <w:t xml:space="preserve"> </w:t>
      </w:r>
      <w:r>
        <w:rPr>
          <w:spacing w:val="-1"/>
        </w:rPr>
        <w:t>imputation</w:t>
      </w:r>
      <w:r>
        <w:t xml:space="preserve"> </w:t>
      </w:r>
      <w:r>
        <w:rPr>
          <w:spacing w:val="-1"/>
        </w:rPr>
        <w:t>credits</w:t>
      </w:r>
      <w:r>
        <w:t xml:space="preserve"> have full value (gamma is equal to 1) then </w:t>
      </w:r>
      <w:r>
        <w:rPr>
          <w:spacing w:val="-1"/>
        </w:rPr>
        <w:t>there</w:t>
      </w:r>
      <w:r>
        <w:t xml:space="preserve"> is no allowed tax</w:t>
      </w:r>
      <w:r>
        <w:rPr>
          <w:spacing w:val="25"/>
        </w:rPr>
        <w:t xml:space="preserve"> </w:t>
      </w:r>
      <w:r>
        <w:t xml:space="preserve">component as </w:t>
      </w:r>
      <w:r>
        <w:rPr>
          <w:spacing w:val="-1"/>
        </w:rPr>
        <w:t>shareholders</w:t>
      </w:r>
      <w:r>
        <w:t xml:space="preserve"> fully utilise any tax paid by the company </w:t>
      </w:r>
      <w:r>
        <w:rPr>
          <w:spacing w:val="-1"/>
        </w:rPr>
        <w:t>through</w:t>
      </w:r>
      <w:r>
        <w:t xml:space="preserve"> </w:t>
      </w:r>
      <w:r>
        <w:rPr>
          <w:spacing w:val="-1"/>
        </w:rPr>
        <w:t>imputation</w:t>
      </w:r>
      <w:r>
        <w:t xml:space="preserve"> </w:t>
      </w:r>
      <w:r>
        <w:rPr>
          <w:spacing w:val="-1"/>
        </w:rPr>
        <w:t>credits.</w:t>
      </w:r>
    </w:p>
    <w:p w:rsidR="00D96B91" w:rsidRDefault="00D96B91">
      <w:pPr>
        <w:spacing w:before="6"/>
        <w:rPr>
          <w:rFonts w:ascii="Avenir Next" w:eastAsia="Avenir Next" w:hAnsi="Avenir Next" w:cs="Avenir Next"/>
          <w:sz w:val="20"/>
          <w:szCs w:val="20"/>
        </w:rPr>
      </w:pPr>
    </w:p>
    <w:p w:rsidR="00D96B91" w:rsidRDefault="00C2656B">
      <w:pPr>
        <w:pStyle w:val="Heading6"/>
        <w:ind w:left="1247" w:firstLine="0"/>
      </w:pPr>
      <w:r>
        <w:rPr>
          <w:rFonts w:cs="Avenir Next Medium"/>
          <w:color w:val="0778BE"/>
        </w:rPr>
        <w:t xml:space="preserve">A8.4.2 </w:t>
      </w:r>
      <w:r>
        <w:rPr>
          <w:rFonts w:cs="Avenir Next Medium"/>
          <w:color w:val="0778BE"/>
          <w:spacing w:val="6"/>
        </w:rPr>
        <w:t xml:space="preserve"> </w:t>
      </w:r>
      <w:r>
        <w:rPr>
          <w:color w:val="0778BE"/>
          <w:spacing w:val="-4"/>
        </w:rPr>
        <w:t>Panel’s</w:t>
      </w:r>
      <w:r>
        <w:rPr>
          <w:color w:val="0778BE"/>
        </w:rPr>
        <w:t xml:space="preserve"> </w:t>
      </w:r>
      <w:r>
        <w:rPr>
          <w:color w:val="0778BE"/>
          <w:spacing w:val="-2"/>
        </w:rPr>
        <w:t>draft</w:t>
      </w:r>
      <w:r>
        <w:rPr>
          <w:color w:val="0778BE"/>
        </w:rPr>
        <w:t xml:space="preserve"> decision</w:t>
      </w:r>
    </w:p>
    <w:p w:rsidR="00D96B91" w:rsidRDefault="00C2656B">
      <w:pPr>
        <w:pStyle w:val="BodyText"/>
        <w:spacing w:before="21" w:line="260" w:lineRule="exact"/>
        <w:ind w:right="1548"/>
      </w:pPr>
      <w:r>
        <w:t xml:space="preserve">While </w:t>
      </w:r>
      <w:r>
        <w:rPr>
          <w:spacing w:val="-1"/>
        </w:rPr>
        <w:t>franked</w:t>
      </w:r>
      <w:r>
        <w:t xml:space="preserve"> dividends </w:t>
      </w:r>
      <w:r>
        <w:rPr>
          <w:spacing w:val="-2"/>
        </w:rPr>
        <w:t>are</w:t>
      </w:r>
      <w:r>
        <w:t xml:space="preserve"> not </w:t>
      </w:r>
      <w:r>
        <w:rPr>
          <w:spacing w:val="-1"/>
        </w:rPr>
        <w:t>generally</w:t>
      </w:r>
      <w:r>
        <w:t xml:space="preserve"> paid by government businesses,</w:t>
      </w:r>
      <w:r>
        <w:rPr>
          <w:spacing w:val="-7"/>
        </w:rPr>
        <w:t xml:space="preserve"> </w:t>
      </w:r>
      <w:r>
        <w:t xml:space="preserve">in </w:t>
      </w:r>
      <w:r>
        <w:rPr>
          <w:spacing w:val="-1"/>
        </w:rPr>
        <w:t>order</w:t>
      </w:r>
      <w:r>
        <w:t xml:space="preserve"> to maintain</w:t>
      </w:r>
      <w:r>
        <w:rPr>
          <w:spacing w:val="30"/>
        </w:rPr>
        <w:t xml:space="preserve"> </w:t>
      </w:r>
      <w:r>
        <w:t xml:space="preserve">competitive </w:t>
      </w:r>
      <w:r>
        <w:rPr>
          <w:spacing w:val="-1"/>
        </w:rPr>
        <w:t>neutrality,</w:t>
      </w:r>
      <w:r>
        <w:rPr>
          <w:spacing w:val="-6"/>
        </w:rPr>
        <w:t xml:space="preserve"> </w:t>
      </w:r>
      <w:r>
        <w:t xml:space="preserve">it is necessary to </w:t>
      </w:r>
      <w:r>
        <w:rPr>
          <w:spacing w:val="-1"/>
        </w:rPr>
        <w:t>make</w:t>
      </w:r>
      <w:r>
        <w:t xml:space="preserve"> an assumption of</w:t>
      </w:r>
      <w:r>
        <w:rPr>
          <w:spacing w:val="4"/>
        </w:rPr>
        <w:t xml:space="preserve"> </w:t>
      </w:r>
      <w:r>
        <w:t>the value of</w:t>
      </w:r>
      <w:r>
        <w:rPr>
          <w:spacing w:val="4"/>
        </w:rPr>
        <w:t xml:space="preserve"> </w:t>
      </w:r>
      <w:r>
        <w:rPr>
          <w:spacing w:val="-1"/>
        </w:rPr>
        <w:t>imputation</w:t>
      </w:r>
      <w:r>
        <w:t xml:space="preserve"> </w:t>
      </w:r>
      <w:r>
        <w:rPr>
          <w:spacing w:val="-1"/>
        </w:rPr>
        <w:t>credits</w:t>
      </w:r>
      <w:r>
        <w:t xml:space="preserve"> for a</w:t>
      </w:r>
      <w:r>
        <w:rPr>
          <w:spacing w:val="23"/>
        </w:rPr>
        <w:t xml:space="preserve"> </w:t>
      </w:r>
      <w:r>
        <w:t xml:space="preserve">hypothetical </w:t>
      </w:r>
      <w:r>
        <w:rPr>
          <w:spacing w:val="-1"/>
        </w:rPr>
        <w:t>private</w:t>
      </w:r>
      <w:r>
        <w:t xml:space="preserve"> investor in the business.</w:t>
      </w:r>
    </w:p>
    <w:p w:rsidR="00D96B91" w:rsidRDefault="00C2656B">
      <w:pPr>
        <w:pStyle w:val="BodyText"/>
        <w:spacing w:before="170" w:line="260" w:lineRule="exact"/>
        <w:ind w:right="1655"/>
      </w:pPr>
      <w:r>
        <w:rPr>
          <w:spacing w:val="-1"/>
        </w:rPr>
        <w:t>Regulators</w:t>
      </w:r>
      <w:r>
        <w:t xml:space="preserve"> have used various </w:t>
      </w:r>
      <w:r>
        <w:rPr>
          <w:spacing w:val="-1"/>
        </w:rPr>
        <w:t>sources</w:t>
      </w:r>
      <w:r>
        <w:t xml:space="preserve"> of</w:t>
      </w:r>
      <w:r>
        <w:rPr>
          <w:spacing w:val="4"/>
        </w:rPr>
        <w:t xml:space="preserve"> </w:t>
      </w:r>
      <w:r>
        <w:rPr>
          <w:spacing w:val="-1"/>
        </w:rPr>
        <w:t>information</w:t>
      </w:r>
      <w:r>
        <w:t xml:space="preserve"> to </w:t>
      </w:r>
      <w:r>
        <w:rPr>
          <w:spacing w:val="-1"/>
        </w:rPr>
        <w:t>estimate</w:t>
      </w:r>
      <w:r>
        <w:t xml:space="preserve"> the most </w:t>
      </w:r>
      <w:r>
        <w:rPr>
          <w:spacing w:val="-1"/>
        </w:rPr>
        <w:t>likely</w:t>
      </w:r>
      <w:r>
        <w:t xml:space="preserve"> value of</w:t>
      </w:r>
      <w:r>
        <w:rPr>
          <w:spacing w:val="4"/>
        </w:rPr>
        <w:t xml:space="preserve"> </w:t>
      </w:r>
      <w:r>
        <w:t>gamma,</w:t>
      </w:r>
      <w:r>
        <w:rPr>
          <w:spacing w:val="51"/>
        </w:rPr>
        <w:t xml:space="preserve"> </w:t>
      </w:r>
      <w:r>
        <w:t>such</w:t>
      </w:r>
      <w:r>
        <w:rPr>
          <w:spacing w:val="-1"/>
        </w:rPr>
        <w:t xml:space="preserve"> </w:t>
      </w:r>
      <w:r>
        <w:t>as</w:t>
      </w:r>
      <w:r>
        <w:rPr>
          <w:spacing w:val="-1"/>
        </w:rPr>
        <w:t xml:space="preserve"> </w:t>
      </w:r>
      <w:r>
        <w:t>academic studies</w:t>
      </w:r>
      <w:r>
        <w:rPr>
          <w:spacing w:val="-1"/>
        </w:rPr>
        <w:t xml:space="preserve"> </w:t>
      </w:r>
      <w:r>
        <w:t>and evidence</w:t>
      </w:r>
      <w:r>
        <w:rPr>
          <w:spacing w:val="-1"/>
        </w:rPr>
        <w:t xml:space="preserve"> from</w:t>
      </w:r>
      <w:r>
        <w:t xml:space="preserve"> financial</w:t>
      </w:r>
      <w:r>
        <w:rPr>
          <w:spacing w:val="-1"/>
        </w:rPr>
        <w:t xml:space="preserve"> markets.</w:t>
      </w:r>
      <w:r>
        <w:rPr>
          <w:spacing w:val="-11"/>
        </w:rPr>
        <w:t xml:space="preserve"> </w:t>
      </w:r>
      <w:r>
        <w:rPr>
          <w:spacing w:val="-4"/>
        </w:rPr>
        <w:t>Table</w:t>
      </w:r>
      <w:r>
        <w:rPr>
          <w:spacing w:val="-5"/>
        </w:rPr>
        <w:t xml:space="preserve"> </w:t>
      </w:r>
      <w:r>
        <w:t>A8.11 sets</w:t>
      </w:r>
      <w:r>
        <w:rPr>
          <w:spacing w:val="-1"/>
        </w:rPr>
        <w:t xml:space="preserve"> </w:t>
      </w:r>
      <w:r>
        <w:t>out past</w:t>
      </w:r>
      <w:r>
        <w:rPr>
          <w:spacing w:val="-1"/>
        </w:rPr>
        <w:t xml:space="preserve"> regulatory</w:t>
      </w:r>
      <w:r>
        <w:rPr>
          <w:spacing w:val="29"/>
        </w:rPr>
        <w:t xml:space="preserve"> </w:t>
      </w:r>
      <w:r>
        <w:t>decisions on the value of</w:t>
      </w:r>
      <w:r>
        <w:rPr>
          <w:spacing w:val="4"/>
        </w:rPr>
        <w:t xml:space="preserve"> </w:t>
      </w:r>
      <w:r>
        <w:rPr>
          <w:spacing w:val="-1"/>
        </w:rPr>
        <w:t>imputation</w:t>
      </w:r>
      <w:r>
        <w:t xml:space="preserve"> </w:t>
      </w:r>
      <w:r>
        <w:rPr>
          <w:spacing w:val="-1"/>
        </w:rPr>
        <w:t>credits</w:t>
      </w:r>
      <w:r>
        <w:t xml:space="preserve"> (gamma).</w:t>
      </w:r>
    </w:p>
    <w:p w:rsidR="00D96B91" w:rsidRDefault="00D96B91">
      <w:pPr>
        <w:rPr>
          <w:rFonts w:ascii="Avenir Next" w:eastAsia="Avenir Next" w:hAnsi="Avenir Next" w:cs="Avenir Next"/>
          <w:sz w:val="20"/>
          <w:szCs w:val="20"/>
        </w:rPr>
      </w:pPr>
    </w:p>
    <w:p w:rsidR="00D96B91" w:rsidRDefault="00D96B91">
      <w:pPr>
        <w:spacing w:before="2"/>
        <w:rPr>
          <w:rFonts w:ascii="Avenir Next" w:eastAsia="Avenir Next" w:hAnsi="Avenir Next" w:cs="Avenir Next"/>
          <w:sz w:val="11"/>
          <w:szCs w:val="11"/>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289" style="width:72.5pt;height:.5pt;mso-position-horizontal-relative:char;mso-position-vertical-relative:line" coordsize="1450,10">
            <v:group id="_x0000_s1290" style="position:absolute;left:5;top:5;width:1440;height:2" coordorigin="5,5" coordsize="1440,2">
              <v:shape id="_x0000_s1291"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38"/>
        <w:ind w:hanging="510"/>
        <w:rPr>
          <w:rFonts w:ascii="Avenir Next" w:eastAsia="Avenir Next" w:hAnsi="Avenir Next" w:cs="Avenir Next"/>
          <w:sz w:val="16"/>
          <w:szCs w:val="16"/>
        </w:rPr>
      </w:pPr>
      <w:r>
        <w:rPr>
          <w:rFonts w:ascii="Avenir Next"/>
          <w:spacing w:val="-1"/>
          <w:sz w:val="16"/>
        </w:rPr>
        <w:t>This</w:t>
      </w:r>
      <w:r>
        <w:rPr>
          <w:rFonts w:ascii="Avenir Next"/>
          <w:sz w:val="16"/>
        </w:rPr>
        <w:t xml:space="preserve"> system avoids double </w:t>
      </w:r>
      <w:r>
        <w:rPr>
          <w:rFonts w:ascii="Avenir Next"/>
          <w:spacing w:val="-1"/>
          <w:sz w:val="16"/>
        </w:rPr>
        <w:t>taxation</w:t>
      </w:r>
      <w:r>
        <w:rPr>
          <w:rFonts w:ascii="Avenir Next"/>
          <w:sz w:val="16"/>
        </w:rPr>
        <w:t xml:space="preserve"> on dividends for income tax </w:t>
      </w:r>
      <w:r>
        <w:rPr>
          <w:rFonts w:ascii="Avenir Next"/>
          <w:spacing w:val="-1"/>
          <w:sz w:val="16"/>
        </w:rPr>
        <w:t>already</w:t>
      </w:r>
      <w:r>
        <w:rPr>
          <w:rFonts w:ascii="Avenir Next"/>
          <w:sz w:val="16"/>
        </w:rPr>
        <w:t xml:space="preserve"> paid by the </w:t>
      </w:r>
      <w:r>
        <w:rPr>
          <w:rFonts w:ascii="Avenir Next"/>
          <w:spacing w:val="-1"/>
          <w:sz w:val="16"/>
        </w:rPr>
        <w:t>company.</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z w:val="16"/>
        </w:rPr>
        <w:t xml:space="preserve">Under a </w:t>
      </w:r>
      <w:r>
        <w:rPr>
          <w:rFonts w:ascii="Avenir Next"/>
          <w:spacing w:val="-1"/>
          <w:sz w:val="16"/>
        </w:rPr>
        <w:t>pre-tax</w:t>
      </w:r>
      <w:r>
        <w:rPr>
          <w:rFonts w:ascii="Avenir Next"/>
          <w:spacing w:val="-2"/>
          <w:sz w:val="16"/>
        </w:rPr>
        <w:t xml:space="preserve"> WACC</w:t>
      </w:r>
      <w:r>
        <w:rPr>
          <w:rFonts w:ascii="Avenir Next"/>
          <w:sz w:val="16"/>
        </w:rPr>
        <w:t xml:space="preserve"> </w:t>
      </w:r>
      <w:r>
        <w:rPr>
          <w:rFonts w:ascii="Avenir Next"/>
          <w:spacing w:val="-1"/>
          <w:sz w:val="16"/>
        </w:rPr>
        <w:t>framework,</w:t>
      </w:r>
      <w:r>
        <w:rPr>
          <w:rFonts w:ascii="Avenir Next"/>
          <w:spacing w:val="-5"/>
          <w:sz w:val="16"/>
        </w:rPr>
        <w:t xml:space="preserve"> </w:t>
      </w:r>
      <w:r>
        <w:rPr>
          <w:rFonts w:ascii="Avenir Next"/>
          <w:sz w:val="16"/>
        </w:rPr>
        <w:t>the value of</w:t>
      </w:r>
      <w:r>
        <w:rPr>
          <w:rFonts w:ascii="Avenir Next"/>
          <w:spacing w:val="3"/>
          <w:sz w:val="16"/>
        </w:rPr>
        <w:t xml:space="preserve"> </w:t>
      </w:r>
      <w:r>
        <w:rPr>
          <w:rFonts w:ascii="Avenir Next"/>
          <w:spacing w:val="-1"/>
          <w:sz w:val="16"/>
        </w:rPr>
        <w:t>imputation</w:t>
      </w:r>
      <w:r>
        <w:rPr>
          <w:rFonts w:ascii="Avenir Next"/>
          <w:sz w:val="16"/>
        </w:rPr>
        <w:t xml:space="preserve"> </w:t>
      </w:r>
      <w:r>
        <w:rPr>
          <w:rFonts w:ascii="Avenir Next"/>
          <w:spacing w:val="-1"/>
          <w:sz w:val="16"/>
        </w:rPr>
        <w:t>credits</w:t>
      </w:r>
      <w:r>
        <w:rPr>
          <w:rFonts w:ascii="Avenir Next"/>
          <w:sz w:val="16"/>
        </w:rPr>
        <w:t xml:space="preserve"> is a</w:t>
      </w:r>
      <w:r>
        <w:rPr>
          <w:rFonts w:ascii="Avenir Next"/>
          <w:spacing w:val="-2"/>
          <w:sz w:val="16"/>
        </w:rPr>
        <w:t xml:space="preserve"> WACC</w:t>
      </w:r>
      <w:r>
        <w:rPr>
          <w:rFonts w:ascii="Avenir Next"/>
          <w:sz w:val="16"/>
        </w:rPr>
        <w:t xml:space="preserve"> </w:t>
      </w:r>
      <w:r>
        <w:rPr>
          <w:rFonts w:ascii="Avenir Next"/>
          <w:spacing w:val="-1"/>
          <w:sz w:val="16"/>
        </w:rPr>
        <w:t>parameter.</w:t>
      </w:r>
    </w:p>
    <w:p w:rsidR="00D96B91" w:rsidRDefault="00C2656B">
      <w:pPr>
        <w:numPr>
          <w:ilvl w:val="0"/>
          <w:numId w:val="24"/>
        </w:numPr>
        <w:tabs>
          <w:tab w:val="left" w:pos="1758"/>
        </w:tabs>
        <w:spacing w:before="128" w:line="192" w:lineRule="exact"/>
        <w:ind w:right="1367" w:hanging="510"/>
        <w:rPr>
          <w:rFonts w:ascii="Avenir Next" w:eastAsia="Avenir Next" w:hAnsi="Avenir Next" w:cs="Avenir Next"/>
          <w:sz w:val="16"/>
          <w:szCs w:val="16"/>
        </w:rPr>
      </w:pPr>
      <w:r>
        <w:rPr>
          <w:rFonts w:ascii="Avenir Next"/>
          <w:sz w:val="16"/>
        </w:rPr>
        <w:t>A</w:t>
      </w:r>
      <w:r>
        <w:rPr>
          <w:rFonts w:ascii="Avenir Next"/>
          <w:spacing w:val="-3"/>
          <w:sz w:val="16"/>
        </w:rPr>
        <w:t xml:space="preserve"> </w:t>
      </w:r>
      <w:r>
        <w:rPr>
          <w:rFonts w:ascii="Avenir Next"/>
          <w:sz w:val="16"/>
        </w:rPr>
        <w:t>gamma of</w:t>
      </w:r>
      <w:r>
        <w:rPr>
          <w:rFonts w:ascii="Avenir Next"/>
          <w:spacing w:val="3"/>
          <w:sz w:val="16"/>
        </w:rPr>
        <w:t xml:space="preserve"> </w:t>
      </w:r>
      <w:r>
        <w:rPr>
          <w:rFonts w:ascii="Avenir Next"/>
          <w:sz w:val="16"/>
        </w:rPr>
        <w:t xml:space="preserve">one </w:t>
      </w:r>
      <w:r>
        <w:rPr>
          <w:rFonts w:ascii="Avenir Next"/>
          <w:spacing w:val="-1"/>
          <w:sz w:val="16"/>
        </w:rPr>
        <w:t>means</w:t>
      </w:r>
      <w:r>
        <w:rPr>
          <w:rFonts w:ascii="Avenir Next"/>
          <w:sz w:val="16"/>
        </w:rPr>
        <w:t xml:space="preserve"> </w:t>
      </w:r>
      <w:r>
        <w:rPr>
          <w:rFonts w:ascii="Avenir Next"/>
          <w:spacing w:val="-1"/>
          <w:sz w:val="16"/>
        </w:rPr>
        <w:t>that</w:t>
      </w:r>
      <w:r>
        <w:rPr>
          <w:rFonts w:ascii="Avenir Next"/>
          <w:sz w:val="16"/>
        </w:rPr>
        <w:t xml:space="preserve"> investors </w:t>
      </w:r>
      <w:r>
        <w:rPr>
          <w:rFonts w:ascii="Avenir Next"/>
          <w:spacing w:val="-1"/>
          <w:sz w:val="16"/>
        </w:rPr>
        <w:t>receive</w:t>
      </w:r>
      <w:r>
        <w:rPr>
          <w:rFonts w:ascii="Avenir Next"/>
          <w:sz w:val="16"/>
        </w:rPr>
        <w:t xml:space="preserve"> income tax </w:t>
      </w:r>
      <w:r>
        <w:rPr>
          <w:rFonts w:ascii="Avenir Next"/>
          <w:spacing w:val="-1"/>
          <w:sz w:val="16"/>
        </w:rPr>
        <w:t>credits</w:t>
      </w:r>
      <w:r>
        <w:rPr>
          <w:rFonts w:ascii="Avenir Next"/>
          <w:sz w:val="16"/>
        </w:rPr>
        <w:t xml:space="preserve"> equivalent to the value of</w:t>
      </w:r>
      <w:r>
        <w:rPr>
          <w:rFonts w:ascii="Avenir Next"/>
          <w:spacing w:val="3"/>
          <w:sz w:val="16"/>
        </w:rPr>
        <w:t xml:space="preserve"> </w:t>
      </w:r>
      <w:r>
        <w:rPr>
          <w:rFonts w:ascii="Avenir Next"/>
          <w:sz w:val="16"/>
        </w:rPr>
        <w:t xml:space="preserve">tax paid </w:t>
      </w:r>
      <w:r>
        <w:rPr>
          <w:rFonts w:ascii="Avenir Next"/>
          <w:spacing w:val="-1"/>
          <w:sz w:val="16"/>
        </w:rPr>
        <w:t>at</w:t>
      </w:r>
      <w:r>
        <w:rPr>
          <w:rFonts w:ascii="Avenir Next"/>
          <w:sz w:val="16"/>
        </w:rPr>
        <w:t xml:space="preserve"> the company level.</w:t>
      </w:r>
      <w:r>
        <w:rPr>
          <w:rFonts w:ascii="Avenir Next"/>
          <w:spacing w:val="29"/>
          <w:sz w:val="16"/>
        </w:rPr>
        <w:t xml:space="preserve"> </w:t>
      </w:r>
      <w:r>
        <w:rPr>
          <w:rFonts w:ascii="Avenir Next"/>
          <w:sz w:val="16"/>
        </w:rPr>
        <w:t xml:space="preserve">Gamma would be equal to one </w:t>
      </w:r>
      <w:r>
        <w:rPr>
          <w:rFonts w:ascii="Avenir Next"/>
          <w:spacing w:val="-1"/>
          <w:sz w:val="16"/>
        </w:rPr>
        <w:t>where</w:t>
      </w:r>
      <w:r>
        <w:rPr>
          <w:rFonts w:ascii="Avenir Next"/>
          <w:sz w:val="16"/>
        </w:rPr>
        <w:t xml:space="preserve"> </w:t>
      </w:r>
      <w:r>
        <w:rPr>
          <w:rFonts w:ascii="Avenir Next"/>
          <w:spacing w:val="-1"/>
          <w:sz w:val="16"/>
        </w:rPr>
        <w:t>imputation</w:t>
      </w:r>
      <w:r>
        <w:rPr>
          <w:rFonts w:ascii="Avenir Next"/>
          <w:sz w:val="16"/>
        </w:rPr>
        <w:t xml:space="preserve"> </w:t>
      </w:r>
      <w:r>
        <w:rPr>
          <w:rFonts w:ascii="Avenir Next"/>
          <w:spacing w:val="-1"/>
          <w:sz w:val="16"/>
        </w:rPr>
        <w:t>credits</w:t>
      </w:r>
      <w:r>
        <w:rPr>
          <w:rFonts w:ascii="Avenir Next"/>
          <w:sz w:val="16"/>
        </w:rPr>
        <w:t xml:space="preserve"> </w:t>
      </w:r>
      <w:r>
        <w:rPr>
          <w:rFonts w:ascii="Avenir Next"/>
          <w:spacing w:val="-1"/>
          <w:sz w:val="16"/>
        </w:rPr>
        <w:t>are</w:t>
      </w:r>
      <w:r>
        <w:rPr>
          <w:rFonts w:ascii="Avenir Next"/>
          <w:sz w:val="16"/>
        </w:rPr>
        <w:t xml:space="preserve"> fully distributed and fully valued by investors.</w:t>
      </w:r>
    </w:p>
    <w:p w:rsidR="00D96B91" w:rsidRDefault="00D96B91">
      <w:pPr>
        <w:spacing w:before="12"/>
        <w:rPr>
          <w:rFonts w:ascii="Avenir Next" w:eastAsia="Avenir Next" w:hAnsi="Avenir Next" w:cs="Avenir Next"/>
          <w:sz w:val="10"/>
          <w:szCs w:val="10"/>
        </w:rPr>
      </w:pPr>
    </w:p>
    <w:p w:rsidR="00D96B91" w:rsidRDefault="00C2656B">
      <w:pPr>
        <w:numPr>
          <w:ilvl w:val="0"/>
          <w:numId w:val="24"/>
        </w:numPr>
        <w:tabs>
          <w:tab w:val="left" w:pos="1758"/>
        </w:tabs>
        <w:spacing w:line="192" w:lineRule="exact"/>
        <w:ind w:right="1436" w:hanging="510"/>
        <w:rPr>
          <w:rFonts w:ascii="Avenir Next" w:eastAsia="Avenir Next" w:hAnsi="Avenir Next" w:cs="Avenir Next"/>
          <w:sz w:val="16"/>
          <w:szCs w:val="16"/>
        </w:rPr>
      </w:pPr>
      <w:r>
        <w:rPr>
          <w:rFonts w:ascii="Avenir Next"/>
          <w:sz w:val="16"/>
        </w:rPr>
        <w:t>A</w:t>
      </w:r>
      <w:r>
        <w:rPr>
          <w:rFonts w:ascii="Avenir Next"/>
          <w:spacing w:val="-3"/>
          <w:sz w:val="16"/>
        </w:rPr>
        <w:t xml:space="preserve"> </w:t>
      </w:r>
      <w:r>
        <w:rPr>
          <w:rFonts w:ascii="Avenir Next"/>
          <w:sz w:val="16"/>
        </w:rPr>
        <w:t>gamma of</w:t>
      </w:r>
      <w:r>
        <w:rPr>
          <w:rFonts w:ascii="Avenir Next"/>
          <w:spacing w:val="3"/>
          <w:sz w:val="16"/>
        </w:rPr>
        <w:t xml:space="preserve"> </w:t>
      </w:r>
      <w:r>
        <w:rPr>
          <w:rFonts w:ascii="Avenir Next"/>
          <w:spacing w:val="-1"/>
          <w:sz w:val="16"/>
        </w:rPr>
        <w:t>zero</w:t>
      </w:r>
      <w:r>
        <w:rPr>
          <w:rFonts w:ascii="Avenir Next"/>
          <w:sz w:val="16"/>
        </w:rPr>
        <w:t xml:space="preserve"> </w:t>
      </w:r>
      <w:r>
        <w:rPr>
          <w:rFonts w:ascii="Avenir Next"/>
          <w:spacing w:val="-1"/>
          <w:sz w:val="16"/>
        </w:rPr>
        <w:t>means</w:t>
      </w:r>
      <w:r>
        <w:rPr>
          <w:rFonts w:ascii="Avenir Next"/>
          <w:sz w:val="16"/>
        </w:rPr>
        <w:t xml:space="preserve"> </w:t>
      </w:r>
      <w:r>
        <w:rPr>
          <w:rFonts w:ascii="Avenir Next"/>
          <w:spacing w:val="-1"/>
          <w:sz w:val="16"/>
        </w:rPr>
        <w:t>that</w:t>
      </w:r>
      <w:r>
        <w:rPr>
          <w:rFonts w:ascii="Avenir Next"/>
          <w:sz w:val="16"/>
        </w:rPr>
        <w:t xml:space="preserve"> </w:t>
      </w:r>
      <w:r>
        <w:rPr>
          <w:rFonts w:ascii="Avenir Next"/>
          <w:spacing w:val="-1"/>
          <w:sz w:val="16"/>
        </w:rPr>
        <w:t>shareholders</w:t>
      </w:r>
      <w:r>
        <w:rPr>
          <w:rFonts w:ascii="Avenir Next"/>
          <w:sz w:val="16"/>
        </w:rPr>
        <w:t xml:space="preserve"> </w:t>
      </w:r>
      <w:r>
        <w:rPr>
          <w:rFonts w:ascii="Avenir Next"/>
          <w:spacing w:val="-1"/>
          <w:sz w:val="16"/>
        </w:rPr>
        <w:t>receive</w:t>
      </w:r>
      <w:r>
        <w:rPr>
          <w:rFonts w:ascii="Avenir Next"/>
          <w:sz w:val="16"/>
        </w:rPr>
        <w:t xml:space="preserve"> no value </w:t>
      </w:r>
      <w:r>
        <w:rPr>
          <w:rFonts w:ascii="Avenir Next"/>
          <w:spacing w:val="-1"/>
          <w:sz w:val="16"/>
        </w:rPr>
        <w:t>from</w:t>
      </w:r>
      <w:r>
        <w:rPr>
          <w:rFonts w:ascii="Avenir Next"/>
          <w:sz w:val="16"/>
        </w:rPr>
        <w:t xml:space="preserve"> the </w:t>
      </w:r>
      <w:r>
        <w:rPr>
          <w:rFonts w:ascii="Avenir Next"/>
          <w:spacing w:val="-1"/>
          <w:sz w:val="16"/>
        </w:rPr>
        <w:t>imputation</w:t>
      </w:r>
      <w:r>
        <w:rPr>
          <w:rFonts w:ascii="Avenir Next"/>
          <w:sz w:val="16"/>
        </w:rPr>
        <w:t xml:space="preserve"> </w:t>
      </w:r>
      <w:r>
        <w:rPr>
          <w:rFonts w:ascii="Avenir Next"/>
          <w:spacing w:val="-1"/>
          <w:sz w:val="16"/>
        </w:rPr>
        <w:t>credits.</w:t>
      </w:r>
      <w:r>
        <w:rPr>
          <w:rFonts w:ascii="Avenir Next"/>
          <w:spacing w:val="-7"/>
          <w:sz w:val="16"/>
        </w:rPr>
        <w:t xml:space="preserve"> </w:t>
      </w:r>
      <w:r>
        <w:rPr>
          <w:rFonts w:ascii="Avenir Next"/>
          <w:spacing w:val="-1"/>
          <w:sz w:val="16"/>
        </w:rPr>
        <w:t>Where</w:t>
      </w:r>
      <w:r>
        <w:rPr>
          <w:rFonts w:ascii="Avenir Next"/>
          <w:sz w:val="16"/>
        </w:rPr>
        <w:t xml:space="preserve"> the investor is not a local</w:t>
      </w:r>
      <w:r>
        <w:rPr>
          <w:rFonts w:ascii="Avenir Next"/>
          <w:spacing w:val="73"/>
          <w:sz w:val="16"/>
        </w:rPr>
        <w:t xml:space="preserve"> </w:t>
      </w:r>
      <w:r>
        <w:rPr>
          <w:rFonts w:ascii="Avenir Next"/>
          <w:spacing w:val="-1"/>
          <w:sz w:val="16"/>
        </w:rPr>
        <w:t>resident</w:t>
      </w:r>
      <w:r>
        <w:rPr>
          <w:rFonts w:ascii="Avenir Next"/>
          <w:sz w:val="16"/>
        </w:rPr>
        <w:t xml:space="preserve"> and pays no</w:t>
      </w:r>
      <w:r>
        <w:rPr>
          <w:rFonts w:ascii="Avenir Next"/>
          <w:spacing w:val="-3"/>
          <w:sz w:val="16"/>
        </w:rPr>
        <w:t xml:space="preserve"> </w:t>
      </w:r>
      <w:r>
        <w:rPr>
          <w:rFonts w:ascii="Avenir Next"/>
          <w:spacing w:val="-1"/>
          <w:sz w:val="16"/>
        </w:rPr>
        <w:t>Australian</w:t>
      </w:r>
      <w:r>
        <w:rPr>
          <w:rFonts w:ascii="Avenir Next"/>
          <w:sz w:val="16"/>
        </w:rPr>
        <w:t xml:space="preserve"> </w:t>
      </w:r>
      <w:r>
        <w:rPr>
          <w:rFonts w:ascii="Avenir Next"/>
          <w:spacing w:val="-1"/>
          <w:sz w:val="16"/>
        </w:rPr>
        <w:t>taxes,</w:t>
      </w:r>
      <w:r>
        <w:rPr>
          <w:rFonts w:ascii="Avenir Next"/>
          <w:spacing w:val="-5"/>
          <w:sz w:val="16"/>
        </w:rPr>
        <w:t xml:space="preserve"> </w:t>
      </w:r>
      <w:r>
        <w:rPr>
          <w:rFonts w:ascii="Avenir Next"/>
          <w:sz w:val="16"/>
        </w:rPr>
        <w:t>the value of</w:t>
      </w:r>
      <w:r>
        <w:rPr>
          <w:rFonts w:ascii="Avenir Next"/>
          <w:spacing w:val="3"/>
          <w:sz w:val="16"/>
        </w:rPr>
        <w:t xml:space="preserve"> </w:t>
      </w:r>
      <w:r>
        <w:rPr>
          <w:rFonts w:ascii="Avenir Next"/>
          <w:spacing w:val="-1"/>
          <w:sz w:val="16"/>
        </w:rPr>
        <w:t>imputation</w:t>
      </w:r>
      <w:r>
        <w:rPr>
          <w:rFonts w:ascii="Avenir Next"/>
          <w:sz w:val="16"/>
        </w:rPr>
        <w:t xml:space="preserve"> </w:t>
      </w:r>
      <w:r>
        <w:rPr>
          <w:rFonts w:ascii="Avenir Next"/>
          <w:spacing w:val="-1"/>
          <w:sz w:val="16"/>
        </w:rPr>
        <w:t>credits</w:t>
      </w:r>
      <w:r>
        <w:rPr>
          <w:rFonts w:ascii="Avenir Next"/>
          <w:sz w:val="16"/>
        </w:rPr>
        <w:t xml:space="preserve"> to such an investor would </w:t>
      </w:r>
      <w:r>
        <w:rPr>
          <w:rFonts w:ascii="Avenir Next"/>
          <w:spacing w:val="-1"/>
          <w:sz w:val="16"/>
        </w:rPr>
        <w:t>equate</w:t>
      </w:r>
      <w:r>
        <w:rPr>
          <w:rFonts w:ascii="Avenir Next"/>
          <w:sz w:val="16"/>
        </w:rPr>
        <w:t xml:space="preserve"> to </w:t>
      </w:r>
      <w:r>
        <w:rPr>
          <w:rFonts w:ascii="Avenir Next"/>
          <w:spacing w:val="-1"/>
          <w:sz w:val="16"/>
        </w:rPr>
        <w:t>zero.</w:t>
      </w:r>
    </w:p>
    <w:p w:rsidR="00D96B91" w:rsidRDefault="00D96B91">
      <w:pPr>
        <w:spacing w:before="12"/>
        <w:rPr>
          <w:rFonts w:ascii="Avenir Next" w:eastAsia="Avenir Next" w:hAnsi="Avenir Next" w:cs="Avenir Next"/>
          <w:sz w:val="10"/>
          <w:szCs w:val="10"/>
        </w:rPr>
      </w:pPr>
    </w:p>
    <w:p w:rsidR="00D96B91" w:rsidRDefault="00C2656B">
      <w:pPr>
        <w:numPr>
          <w:ilvl w:val="0"/>
          <w:numId w:val="24"/>
        </w:numPr>
        <w:tabs>
          <w:tab w:val="left" w:pos="1758"/>
        </w:tabs>
        <w:spacing w:line="192" w:lineRule="exact"/>
        <w:ind w:right="1288" w:hanging="510"/>
        <w:rPr>
          <w:rFonts w:ascii="Avenir Next" w:eastAsia="Avenir Next" w:hAnsi="Avenir Next" w:cs="Avenir Next"/>
          <w:sz w:val="16"/>
          <w:szCs w:val="16"/>
        </w:rPr>
      </w:pPr>
      <w:r>
        <w:rPr>
          <w:rFonts w:ascii="Avenir Next" w:eastAsia="Avenir Next" w:hAnsi="Avenir Next" w:cs="Avenir Next"/>
          <w:sz w:val="16"/>
          <w:szCs w:val="16"/>
        </w:rPr>
        <w:t xml:space="preserve">In other </w:t>
      </w:r>
      <w:r>
        <w:rPr>
          <w:rFonts w:ascii="Avenir Next" w:eastAsia="Avenir Next" w:hAnsi="Avenir Next" w:cs="Avenir Next"/>
          <w:spacing w:val="-1"/>
          <w:sz w:val="16"/>
          <w:szCs w:val="16"/>
        </w:rPr>
        <w:t>words,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gamma is </w:t>
      </w:r>
      <w:r>
        <w:rPr>
          <w:rFonts w:ascii="Avenir Next" w:eastAsia="Avenir Next" w:hAnsi="Avenir Next" w:cs="Avenir Next"/>
          <w:spacing w:val="-2"/>
          <w:sz w:val="16"/>
          <w:szCs w:val="16"/>
        </w:rPr>
        <w:t>lower,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shareholders</w:t>
      </w:r>
      <w:r>
        <w:rPr>
          <w:rFonts w:ascii="Avenir Next" w:eastAsia="Avenir Next" w:hAnsi="Avenir Next" w:cs="Avenir Next"/>
          <w:sz w:val="16"/>
          <w:szCs w:val="16"/>
        </w:rPr>
        <w:t xml:space="preserve"> place less value on </w:t>
      </w:r>
      <w:r>
        <w:rPr>
          <w:rFonts w:ascii="Avenir Next" w:eastAsia="Avenir Next" w:hAnsi="Avenir Next" w:cs="Avenir Next"/>
          <w:spacing w:val="-1"/>
          <w:sz w:val="16"/>
          <w:szCs w:val="16"/>
        </w:rPr>
        <w:t>imputation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credits</w:t>
      </w:r>
      <w:r>
        <w:rPr>
          <w:rFonts w:ascii="Avenir Next" w:eastAsia="Avenir Next" w:hAnsi="Avenir Next" w:cs="Avenir Next"/>
          <w:sz w:val="16"/>
          <w:szCs w:val="16"/>
        </w:rPr>
        <w:t xml:space="preserve"> and will </w:t>
      </w:r>
      <w:r>
        <w:rPr>
          <w:rFonts w:ascii="Avenir Next" w:eastAsia="Avenir Next" w:hAnsi="Avenir Next" w:cs="Avenir Next"/>
          <w:spacing w:val="-1"/>
          <w:sz w:val="16"/>
          <w:szCs w:val="16"/>
        </w:rPr>
        <w:t>require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more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compensation</w:t>
      </w:r>
      <w:r>
        <w:rPr>
          <w:rFonts w:ascii="Avenir Next" w:eastAsia="Avenir Next" w:hAnsi="Avenir Next" w:cs="Avenir Next"/>
          <w:spacing w:val="81"/>
          <w:sz w:val="16"/>
          <w:szCs w:val="16"/>
        </w:rPr>
        <w:t xml:space="preserve"> </w:t>
      </w:r>
      <w:r>
        <w:rPr>
          <w:rFonts w:ascii="Avenir Next" w:eastAsia="Avenir Next" w:hAnsi="Avenir Next" w:cs="Avenir Next"/>
          <w:sz w:val="16"/>
          <w:szCs w:val="16"/>
        </w:rPr>
        <w:t xml:space="preserve">for the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on investment – the </w:t>
      </w:r>
      <w:r>
        <w:rPr>
          <w:rFonts w:ascii="Avenir Next" w:eastAsia="Avenir Next" w:hAnsi="Avenir Next" w:cs="Avenir Next"/>
          <w:spacing w:val="-1"/>
          <w:sz w:val="16"/>
          <w:szCs w:val="16"/>
        </w:rPr>
        <w:t>regulated</w:t>
      </w:r>
      <w:r>
        <w:rPr>
          <w:rFonts w:ascii="Avenir Next" w:eastAsia="Avenir Next" w:hAnsi="Avenir Next" w:cs="Avenir Next"/>
          <w:sz w:val="16"/>
          <w:szCs w:val="16"/>
        </w:rPr>
        <w:t xml:space="preserve"> business will </w:t>
      </w:r>
      <w:r>
        <w:rPr>
          <w:rFonts w:ascii="Avenir Next" w:eastAsia="Avenir Next" w:hAnsi="Avenir Next" w:cs="Avenir Next"/>
          <w:spacing w:val="-1"/>
          <w:sz w:val="16"/>
          <w:szCs w:val="16"/>
        </w:rPr>
        <w:t>require</w:t>
      </w:r>
      <w:r>
        <w:rPr>
          <w:rFonts w:ascii="Avenir Next" w:eastAsia="Avenir Next" w:hAnsi="Avenir Next" w:cs="Avenir Next"/>
          <w:sz w:val="16"/>
          <w:szCs w:val="16"/>
        </w:rPr>
        <w:t xml:space="preserve"> higher post-tax </w:t>
      </w:r>
      <w:r>
        <w:rPr>
          <w:rFonts w:ascii="Avenir Next" w:eastAsia="Avenir Next" w:hAnsi="Avenir Next" w:cs="Avenir Next"/>
          <w:spacing w:val="-1"/>
          <w:sz w:val="16"/>
          <w:szCs w:val="16"/>
        </w:rPr>
        <w:t>revenue</w:t>
      </w:r>
      <w:r>
        <w:rPr>
          <w:rFonts w:ascii="Avenir Next" w:eastAsia="Avenir Next" w:hAnsi="Avenir Next" w:cs="Avenir Next"/>
          <w:sz w:val="16"/>
          <w:szCs w:val="16"/>
        </w:rPr>
        <w:t xml:space="preserve"> (and </w:t>
      </w:r>
      <w:r>
        <w:rPr>
          <w:rFonts w:ascii="Avenir Next" w:eastAsia="Avenir Next" w:hAnsi="Avenir Next" w:cs="Avenir Next"/>
          <w:spacing w:val="-1"/>
          <w:sz w:val="16"/>
          <w:szCs w:val="16"/>
        </w:rPr>
        <w:t>therefore</w:t>
      </w:r>
      <w:r>
        <w:rPr>
          <w:rFonts w:ascii="Avenir Next" w:eastAsia="Avenir Next" w:hAnsi="Avenir Next" w:cs="Avenir Next"/>
          <w:sz w:val="16"/>
          <w:szCs w:val="16"/>
        </w:rPr>
        <w:t xml:space="preserve"> higher prices).</w:t>
      </w:r>
    </w:p>
    <w:p w:rsidR="00D96B91" w:rsidRDefault="00D96B91">
      <w:pPr>
        <w:spacing w:line="192" w:lineRule="exact"/>
        <w:rPr>
          <w:rFonts w:ascii="Avenir Next" w:eastAsia="Avenir Next" w:hAnsi="Avenir Next" w:cs="Avenir Next"/>
          <w:sz w:val="16"/>
          <w:szCs w:val="16"/>
        </w:rPr>
        <w:sectPr w:rsidR="00D96B91">
          <w:pgSz w:w="11910" w:h="16840"/>
          <w:pgMar w:top="1220" w:right="0" w:bottom="1020" w:left="0" w:header="0" w:footer="829" w:gutter="0"/>
          <w:cols w:space="720"/>
        </w:sectPr>
      </w:pPr>
    </w:p>
    <w:p w:rsidR="00D96B91" w:rsidRDefault="00C2656B">
      <w:pPr>
        <w:pStyle w:val="BodyText"/>
        <w:spacing w:before="21" w:line="260" w:lineRule="exact"/>
        <w:ind w:right="1394"/>
        <w:jc w:val="both"/>
      </w:pPr>
      <w:r>
        <w:t>In the past,</w:t>
      </w:r>
      <w:r>
        <w:rPr>
          <w:spacing w:val="-10"/>
        </w:rPr>
        <w:t xml:space="preserve"> </w:t>
      </w:r>
      <w:r>
        <w:rPr>
          <w:spacing w:val="-1"/>
        </w:rPr>
        <w:t>Australian</w:t>
      </w:r>
      <w:r>
        <w:t xml:space="preserve"> </w:t>
      </w:r>
      <w:r>
        <w:rPr>
          <w:spacing w:val="-1"/>
        </w:rPr>
        <w:t>regulators</w:t>
      </w:r>
      <w:r>
        <w:t xml:space="preserve"> have </w:t>
      </w:r>
      <w:r>
        <w:rPr>
          <w:spacing w:val="-1"/>
        </w:rPr>
        <w:t>generally</w:t>
      </w:r>
      <w:r>
        <w:t xml:space="preserve"> adopted a gamma value of</w:t>
      </w:r>
      <w:r>
        <w:rPr>
          <w:spacing w:val="4"/>
        </w:rPr>
        <w:t xml:space="preserve"> </w:t>
      </w:r>
      <w:r>
        <w:t xml:space="preserve">0.5 in </w:t>
      </w:r>
      <w:r>
        <w:rPr>
          <w:spacing w:val="-1"/>
        </w:rPr>
        <w:t>regulatory</w:t>
      </w:r>
      <w:r>
        <w:t xml:space="preserve"> decisions</w:t>
      </w:r>
      <w:r>
        <w:rPr>
          <w:spacing w:val="43"/>
        </w:rPr>
        <w:t xml:space="preserve"> </w:t>
      </w:r>
      <w:r>
        <w:t xml:space="preserve">(including the ICRC in the 2008 price </w:t>
      </w:r>
      <w:r>
        <w:rPr>
          <w:spacing w:val="-1"/>
        </w:rPr>
        <w:t>direction</w:t>
      </w:r>
      <w:r>
        <w:t xml:space="preserve"> for</w:t>
      </w:r>
      <w:r>
        <w:rPr>
          <w:spacing w:val="-4"/>
        </w:rPr>
        <w:t xml:space="preserve"> </w:t>
      </w:r>
      <w:r>
        <w:rPr>
          <w:spacing w:val="-1"/>
        </w:rPr>
        <w:t>ACTEW).</w:t>
      </w:r>
      <w:r>
        <w:rPr>
          <w:spacing w:val="-6"/>
        </w:rPr>
        <w:t xml:space="preserve"> </w:t>
      </w:r>
      <w:r>
        <w:rPr>
          <w:spacing w:val="-2"/>
        </w:rPr>
        <w:t>However,</w:t>
      </w:r>
      <w:r>
        <w:rPr>
          <w:spacing w:val="-6"/>
        </w:rPr>
        <w:t xml:space="preserve"> </w:t>
      </w:r>
      <w:r>
        <w:rPr>
          <w:spacing w:val="-1"/>
        </w:rPr>
        <w:t>several</w:t>
      </w:r>
      <w:r>
        <w:t xml:space="preserve"> </w:t>
      </w:r>
      <w:r>
        <w:rPr>
          <w:spacing w:val="-1"/>
        </w:rPr>
        <w:t>regulators</w:t>
      </w:r>
      <w:r>
        <w:t xml:space="preserve"> </w:t>
      </w:r>
      <w:r>
        <w:rPr>
          <w:spacing w:val="-1"/>
        </w:rPr>
        <w:t>lowered</w:t>
      </w:r>
      <w:r>
        <w:t xml:space="preserve"> their</w:t>
      </w:r>
      <w:r>
        <w:rPr>
          <w:spacing w:val="47"/>
        </w:rPr>
        <w:t xml:space="preserve"> </w:t>
      </w:r>
      <w:r>
        <w:rPr>
          <w:spacing w:val="-1"/>
        </w:rPr>
        <w:t>previous</w:t>
      </w:r>
      <w:r>
        <w:t xml:space="preserve"> </w:t>
      </w:r>
      <w:r>
        <w:rPr>
          <w:spacing w:val="-1"/>
        </w:rPr>
        <w:t>estimates</w:t>
      </w:r>
      <w:r>
        <w:t xml:space="preserve"> of</w:t>
      </w:r>
      <w:r>
        <w:rPr>
          <w:spacing w:val="4"/>
        </w:rPr>
        <w:t xml:space="preserve"> </w:t>
      </w:r>
      <w:r>
        <w:t>gamma to 0.25 following an</w:t>
      </w:r>
      <w:r>
        <w:rPr>
          <w:spacing w:val="-4"/>
        </w:rPr>
        <w:t xml:space="preserve"> </w:t>
      </w:r>
      <w:r>
        <w:rPr>
          <w:spacing w:val="-1"/>
        </w:rPr>
        <w:t>Australian</w:t>
      </w:r>
      <w:r>
        <w:t xml:space="preserve"> </w:t>
      </w:r>
      <w:r>
        <w:rPr>
          <w:spacing w:val="-1"/>
        </w:rPr>
        <w:t>Competition</w:t>
      </w:r>
      <w:r>
        <w:rPr>
          <w:spacing w:val="-5"/>
        </w:rPr>
        <w:t xml:space="preserve"> </w:t>
      </w:r>
      <w:r>
        <w:rPr>
          <w:spacing w:val="-3"/>
        </w:rPr>
        <w:t>Tribunal</w:t>
      </w:r>
      <w:r>
        <w:t xml:space="preserve"> decision in May</w:t>
      </w:r>
    </w:p>
    <w:p w:rsidR="00D96B91" w:rsidRDefault="00C2656B">
      <w:pPr>
        <w:pStyle w:val="BodyText"/>
        <w:spacing w:before="8"/>
        <w:rPr>
          <w:sz w:val="11"/>
          <w:szCs w:val="11"/>
        </w:rPr>
      </w:pPr>
      <w:r>
        <w:t>2011.</w:t>
      </w:r>
      <w:r>
        <w:rPr>
          <w:position w:val="7"/>
          <w:sz w:val="11"/>
        </w:rPr>
        <w:t>276</w:t>
      </w:r>
      <w:r>
        <w:rPr>
          <w:spacing w:val="19"/>
          <w:position w:val="7"/>
          <w:sz w:val="11"/>
        </w:rPr>
        <w:t xml:space="preserve"> </w:t>
      </w:r>
      <w:r>
        <w:rPr>
          <w:spacing w:val="-2"/>
        </w:rPr>
        <w:t>ACTEW</w:t>
      </w:r>
      <w:r>
        <w:rPr>
          <w:spacing w:val="-1"/>
        </w:rPr>
        <w:t xml:space="preserve"> </w:t>
      </w:r>
      <w:r>
        <w:t>has</w:t>
      </w:r>
      <w:r>
        <w:rPr>
          <w:spacing w:val="1"/>
        </w:rPr>
        <w:t xml:space="preserve"> </w:t>
      </w:r>
      <w:r>
        <w:rPr>
          <w:spacing w:val="-1"/>
        </w:rPr>
        <w:t>proposed</w:t>
      </w:r>
      <w:r>
        <w:rPr>
          <w:spacing w:val="1"/>
        </w:rPr>
        <w:t xml:space="preserve"> </w:t>
      </w:r>
      <w:r>
        <w:t>a</w:t>
      </w:r>
      <w:r>
        <w:rPr>
          <w:spacing w:val="2"/>
        </w:rPr>
        <w:t xml:space="preserve"> </w:t>
      </w:r>
      <w:r>
        <w:t>gamma</w:t>
      </w:r>
      <w:r>
        <w:rPr>
          <w:spacing w:val="1"/>
        </w:rPr>
        <w:t xml:space="preserve"> </w:t>
      </w:r>
      <w:r>
        <w:t>of</w:t>
      </w:r>
      <w:r>
        <w:rPr>
          <w:spacing w:val="5"/>
        </w:rPr>
        <w:t xml:space="preserve"> </w:t>
      </w:r>
      <w:r>
        <w:t>0.25</w:t>
      </w:r>
      <w:r>
        <w:rPr>
          <w:spacing w:val="2"/>
        </w:rPr>
        <w:t xml:space="preserve"> </w:t>
      </w:r>
      <w:r>
        <w:t>in</w:t>
      </w:r>
      <w:r>
        <w:rPr>
          <w:spacing w:val="1"/>
        </w:rPr>
        <w:t xml:space="preserve"> </w:t>
      </w:r>
      <w:r>
        <w:t>its</w:t>
      </w:r>
      <w:r>
        <w:rPr>
          <w:spacing w:val="2"/>
        </w:rPr>
        <w:t xml:space="preserve"> </w:t>
      </w:r>
      <w:r>
        <w:rPr>
          <w:spacing w:val="-1"/>
        </w:rPr>
        <w:t>Statement</w:t>
      </w:r>
      <w:r>
        <w:rPr>
          <w:spacing w:val="1"/>
        </w:rPr>
        <w:t xml:space="preserve"> </w:t>
      </w:r>
      <w:r>
        <w:t>of</w:t>
      </w:r>
      <w:r>
        <w:rPr>
          <w:spacing w:val="5"/>
        </w:rPr>
        <w:t xml:space="preserve"> </w:t>
      </w:r>
      <w:r>
        <w:rPr>
          <w:spacing w:val="-2"/>
        </w:rPr>
        <w:t>Facts</w:t>
      </w:r>
      <w:r>
        <w:rPr>
          <w:spacing w:val="2"/>
        </w:rPr>
        <w:t xml:space="preserve"> </w:t>
      </w:r>
      <w:r>
        <w:t>and</w:t>
      </w:r>
      <w:r>
        <w:rPr>
          <w:spacing w:val="1"/>
        </w:rPr>
        <w:t xml:space="preserve"> </w:t>
      </w:r>
      <w:r>
        <w:rPr>
          <w:spacing w:val="-1"/>
        </w:rPr>
        <w:t>Contentions.</w:t>
      </w:r>
      <w:r>
        <w:rPr>
          <w:spacing w:val="-1"/>
          <w:position w:val="7"/>
          <w:sz w:val="11"/>
        </w:rPr>
        <w:t>277</w:t>
      </w:r>
    </w:p>
    <w:p w:rsidR="00D96B91" w:rsidRDefault="00C2656B">
      <w:pPr>
        <w:pStyle w:val="BodyText"/>
        <w:spacing w:before="149" w:line="260" w:lineRule="exact"/>
        <w:ind w:right="1245"/>
      </w:pPr>
      <w:r>
        <w:rPr>
          <w:rFonts w:cs="Avenir Next"/>
        </w:rPr>
        <w:t xml:space="preserve">As </w:t>
      </w:r>
      <w:r>
        <w:rPr>
          <w:rFonts w:cs="Avenir Next"/>
          <w:spacing w:val="-1"/>
        </w:rPr>
        <w:t>part</w:t>
      </w:r>
      <w:r>
        <w:rPr>
          <w:rFonts w:cs="Avenir Next"/>
        </w:rPr>
        <w:t xml:space="preserve"> of</w:t>
      </w:r>
      <w:r>
        <w:rPr>
          <w:rFonts w:cs="Avenir Next"/>
          <w:spacing w:val="4"/>
        </w:rPr>
        <w:t xml:space="preserve"> </w:t>
      </w:r>
      <w:r>
        <w:rPr>
          <w:rFonts w:cs="Avenir Next"/>
        </w:rPr>
        <w:t xml:space="preserve">its </w:t>
      </w:r>
      <w:r>
        <w:rPr>
          <w:rFonts w:cs="Avenir Next"/>
          <w:spacing w:val="-1"/>
        </w:rPr>
        <w:t>Better</w:t>
      </w:r>
      <w:r>
        <w:rPr>
          <w:rFonts w:cs="Avenir Next"/>
        </w:rPr>
        <w:t xml:space="preserve"> </w:t>
      </w:r>
      <w:r>
        <w:rPr>
          <w:rFonts w:cs="Avenir Next"/>
          <w:spacing w:val="-1"/>
        </w:rPr>
        <w:t>Regulation</w:t>
      </w:r>
      <w:r>
        <w:rPr>
          <w:rFonts w:cs="Avenir Next"/>
        </w:rPr>
        <w:t xml:space="preserve"> </w:t>
      </w:r>
      <w:r>
        <w:rPr>
          <w:rFonts w:cs="Avenir Next"/>
          <w:spacing w:val="-1"/>
        </w:rPr>
        <w:t>program,</w:t>
      </w:r>
      <w:r>
        <w:rPr>
          <w:rFonts w:cs="Avenir Next"/>
          <w:spacing w:val="-7"/>
        </w:rPr>
        <w:t xml:space="preserve"> </w:t>
      </w:r>
      <w:r>
        <w:rPr>
          <w:rFonts w:cs="Avenir Next"/>
        </w:rPr>
        <w:t>the</w:t>
      </w:r>
      <w:r>
        <w:rPr>
          <w:rFonts w:cs="Avenir Next"/>
          <w:spacing w:val="-4"/>
        </w:rPr>
        <w:t xml:space="preserve"> </w:t>
      </w:r>
      <w:r>
        <w:rPr>
          <w:rFonts w:cs="Avenir Next"/>
        </w:rPr>
        <w:t xml:space="preserve">AER </w:t>
      </w:r>
      <w:r>
        <w:rPr>
          <w:rFonts w:cs="Avenir Next"/>
          <w:spacing w:val="-1"/>
        </w:rPr>
        <w:t>released</w:t>
      </w:r>
      <w:r>
        <w:rPr>
          <w:rFonts w:cs="Avenir Next"/>
        </w:rPr>
        <w:t xml:space="preserve"> its </w:t>
      </w:r>
      <w:r>
        <w:rPr>
          <w:rFonts w:cs="Avenir Next"/>
          <w:spacing w:val="-2"/>
        </w:rPr>
        <w:t>draft</w:t>
      </w:r>
      <w:r>
        <w:rPr>
          <w:rFonts w:cs="Avenir Next"/>
        </w:rPr>
        <w:t xml:space="preserve"> </w:t>
      </w:r>
      <w:r>
        <w:rPr>
          <w:rFonts w:cs="Avenir Next"/>
          <w:spacing w:val="-2"/>
        </w:rPr>
        <w:t>rate</w:t>
      </w:r>
      <w:r>
        <w:rPr>
          <w:rFonts w:cs="Avenir Next"/>
        </w:rPr>
        <w:t xml:space="preserve"> of</w:t>
      </w:r>
      <w:r>
        <w:rPr>
          <w:rFonts w:cs="Avenir Next"/>
          <w:spacing w:val="4"/>
        </w:rPr>
        <w:t xml:space="preserve"> </w:t>
      </w:r>
      <w:r>
        <w:rPr>
          <w:rFonts w:cs="Avenir Next"/>
          <w:spacing w:val="-1"/>
        </w:rPr>
        <w:t>return</w:t>
      </w:r>
      <w:r>
        <w:rPr>
          <w:rFonts w:cs="Avenir Next"/>
        </w:rPr>
        <w:t xml:space="preserve"> guideline in</w:t>
      </w:r>
      <w:r>
        <w:rPr>
          <w:rFonts w:cs="Avenir Next"/>
          <w:spacing w:val="-4"/>
        </w:rPr>
        <w:t xml:space="preserve"> </w:t>
      </w:r>
      <w:r>
        <w:rPr>
          <w:rFonts w:cs="Avenir Next"/>
        </w:rPr>
        <w:t>August</w:t>
      </w:r>
      <w:r>
        <w:rPr>
          <w:rFonts w:cs="Avenir Next"/>
          <w:spacing w:val="43"/>
        </w:rPr>
        <w:t xml:space="preserve"> </w:t>
      </w:r>
      <w:r>
        <w:t>2013.</w:t>
      </w:r>
      <w:r>
        <w:rPr>
          <w:spacing w:val="-11"/>
        </w:rPr>
        <w:t xml:space="preserve"> </w:t>
      </w:r>
      <w:r>
        <w:rPr>
          <w:spacing w:val="-2"/>
        </w:rPr>
        <w:t>The</w:t>
      </w:r>
      <w:r>
        <w:rPr>
          <w:spacing w:val="-3"/>
        </w:rPr>
        <w:t xml:space="preserve"> </w:t>
      </w:r>
      <w:r>
        <w:t xml:space="preserve">AER </w:t>
      </w:r>
      <w:r>
        <w:rPr>
          <w:spacing w:val="-1"/>
        </w:rPr>
        <w:t>considered</w:t>
      </w:r>
      <w:r>
        <w:rPr>
          <w:spacing w:val="1"/>
        </w:rPr>
        <w:t xml:space="preserve"> </w:t>
      </w:r>
      <w:r>
        <w:rPr>
          <w:spacing w:val="-1"/>
        </w:rPr>
        <w:t>that</w:t>
      </w:r>
      <w:r>
        <w:rPr>
          <w:spacing w:val="1"/>
        </w:rPr>
        <w:t xml:space="preserve"> </w:t>
      </w:r>
      <w:r>
        <w:t xml:space="preserve">the </w:t>
      </w:r>
      <w:r>
        <w:rPr>
          <w:spacing w:val="-1"/>
        </w:rPr>
        <w:t>current</w:t>
      </w:r>
      <w:r>
        <w:rPr>
          <w:spacing w:val="1"/>
        </w:rPr>
        <w:t xml:space="preserve"> </w:t>
      </w:r>
      <w:r>
        <w:t>evidence</w:t>
      </w:r>
      <w:r>
        <w:rPr>
          <w:spacing w:val="1"/>
        </w:rPr>
        <w:t xml:space="preserve"> </w:t>
      </w:r>
      <w:r>
        <w:rPr>
          <w:spacing w:val="-1"/>
        </w:rPr>
        <w:t>leads</w:t>
      </w:r>
      <w:r>
        <w:rPr>
          <w:spacing w:val="1"/>
        </w:rPr>
        <w:t xml:space="preserve"> </w:t>
      </w:r>
      <w:r>
        <w:t>to a</w:t>
      </w:r>
      <w:r>
        <w:rPr>
          <w:spacing w:val="1"/>
        </w:rPr>
        <w:t xml:space="preserve"> </w:t>
      </w:r>
      <w:r>
        <w:t>value</w:t>
      </w:r>
      <w:r>
        <w:rPr>
          <w:spacing w:val="1"/>
        </w:rPr>
        <w:t xml:space="preserve"> </w:t>
      </w:r>
      <w:r>
        <w:t>of</w:t>
      </w:r>
      <w:r>
        <w:rPr>
          <w:spacing w:val="4"/>
        </w:rPr>
        <w:t xml:space="preserve"> </w:t>
      </w:r>
      <w:r>
        <w:t>0.5</w:t>
      </w:r>
      <w:r>
        <w:rPr>
          <w:spacing w:val="1"/>
        </w:rPr>
        <w:t xml:space="preserve"> </w:t>
      </w:r>
      <w:r>
        <w:t>for</w:t>
      </w:r>
      <w:r>
        <w:rPr>
          <w:spacing w:val="1"/>
        </w:rPr>
        <w:t xml:space="preserve"> </w:t>
      </w:r>
      <w:r>
        <w:t>gamma.</w:t>
      </w:r>
      <w:r>
        <w:rPr>
          <w:position w:val="7"/>
          <w:sz w:val="11"/>
          <w:szCs w:val="11"/>
        </w:rPr>
        <w:t>278</w:t>
      </w:r>
      <w:r>
        <w:rPr>
          <w:spacing w:val="18"/>
          <w:position w:val="7"/>
          <w:sz w:val="11"/>
          <w:szCs w:val="11"/>
        </w:rPr>
        <w:t xml:space="preserve"> </w:t>
      </w:r>
      <w:r>
        <w:rPr>
          <w:rFonts w:cs="Avenir Next"/>
          <w:spacing w:val="-1"/>
        </w:rPr>
        <w:t>This</w:t>
      </w:r>
      <w:r>
        <w:rPr>
          <w:rFonts w:cs="Avenir Next"/>
          <w:spacing w:val="1"/>
        </w:rPr>
        <w:t xml:space="preserve"> </w:t>
      </w:r>
      <w:r>
        <w:rPr>
          <w:rFonts w:cs="Avenir Next"/>
        </w:rPr>
        <w:t>position</w:t>
      </w:r>
      <w:r>
        <w:rPr>
          <w:rFonts w:cs="Avenir Next"/>
          <w:spacing w:val="33"/>
        </w:rPr>
        <w:t xml:space="preserve"> </w:t>
      </w:r>
      <w:r>
        <w:t>was maintained</w:t>
      </w:r>
      <w:r>
        <w:rPr>
          <w:spacing w:val="1"/>
        </w:rPr>
        <w:t xml:space="preserve"> </w:t>
      </w:r>
      <w:r>
        <w:t>in the</w:t>
      </w:r>
      <w:r>
        <w:rPr>
          <w:spacing w:val="-3"/>
        </w:rPr>
        <w:t xml:space="preserve"> </w:t>
      </w:r>
      <w:r>
        <w:rPr>
          <w:spacing w:val="-2"/>
        </w:rPr>
        <w:t>AER’s</w:t>
      </w:r>
      <w:r>
        <w:t xml:space="preserve"> final</w:t>
      </w:r>
      <w:r>
        <w:rPr>
          <w:spacing w:val="1"/>
        </w:rPr>
        <w:t xml:space="preserve"> </w:t>
      </w:r>
      <w:r>
        <w:rPr>
          <w:spacing w:val="-2"/>
        </w:rPr>
        <w:t>rate</w:t>
      </w:r>
      <w:r>
        <w:t xml:space="preserve"> of</w:t>
      </w:r>
      <w:r>
        <w:rPr>
          <w:spacing w:val="5"/>
        </w:rPr>
        <w:t xml:space="preserve"> </w:t>
      </w:r>
      <w:r>
        <w:rPr>
          <w:spacing w:val="-1"/>
        </w:rPr>
        <w:t>return</w:t>
      </w:r>
      <w:r>
        <w:t xml:space="preserve"> guideline.</w:t>
      </w:r>
      <w:r>
        <w:rPr>
          <w:position w:val="7"/>
          <w:sz w:val="11"/>
          <w:szCs w:val="11"/>
        </w:rPr>
        <w:t>279</w:t>
      </w:r>
      <w:r>
        <w:rPr>
          <w:spacing w:val="23"/>
          <w:position w:val="7"/>
          <w:sz w:val="11"/>
          <w:szCs w:val="11"/>
        </w:rPr>
        <w:t xml:space="preserve"> </w:t>
      </w:r>
      <w:r>
        <w:rPr>
          <w:rFonts w:cs="Avenir Next"/>
        </w:rPr>
        <w:t>Given</w:t>
      </w:r>
      <w:r>
        <w:rPr>
          <w:rFonts w:cs="Avenir Next"/>
          <w:spacing w:val="1"/>
        </w:rPr>
        <w:t xml:space="preserve"> </w:t>
      </w:r>
      <w:r>
        <w:rPr>
          <w:rFonts w:cs="Avenir Next"/>
        </w:rPr>
        <w:t>the</w:t>
      </w:r>
      <w:r>
        <w:rPr>
          <w:rFonts w:cs="Avenir Next"/>
          <w:spacing w:val="1"/>
        </w:rPr>
        <w:t xml:space="preserve"> </w:t>
      </w:r>
      <w:r>
        <w:rPr>
          <w:rFonts w:cs="Avenir Next"/>
          <w:spacing w:val="-1"/>
        </w:rPr>
        <w:t>regulatory</w:t>
      </w:r>
      <w:r>
        <w:rPr>
          <w:rFonts w:cs="Avenir Next"/>
        </w:rPr>
        <w:t xml:space="preserve"> decisions</w:t>
      </w:r>
      <w:r>
        <w:rPr>
          <w:rFonts w:cs="Avenir Next"/>
          <w:spacing w:val="1"/>
        </w:rPr>
        <w:t xml:space="preserve"> </w:t>
      </w:r>
      <w:r>
        <w:rPr>
          <w:rFonts w:cs="Avenir Next"/>
        </w:rPr>
        <w:t>made</w:t>
      </w:r>
      <w:r>
        <w:rPr>
          <w:rFonts w:cs="Avenir Next"/>
          <w:spacing w:val="30"/>
        </w:rPr>
        <w:t xml:space="preserve"> </w:t>
      </w:r>
      <w:r>
        <w:rPr>
          <w:spacing w:val="-1"/>
        </w:rPr>
        <w:t xml:space="preserve">around </w:t>
      </w:r>
      <w:r>
        <w:t>the same time as the</w:t>
      </w:r>
      <w:r>
        <w:rPr>
          <w:spacing w:val="-1"/>
        </w:rPr>
        <w:t xml:space="preserve"> </w:t>
      </w:r>
      <w:r>
        <w:rPr>
          <w:spacing w:val="-2"/>
        </w:rPr>
        <w:t>ICRC’s</w:t>
      </w:r>
      <w:r>
        <w:t xml:space="preserve"> final decision,</w:t>
      </w:r>
      <w:r>
        <w:rPr>
          <w:spacing w:val="-6"/>
        </w:rPr>
        <w:t xml:space="preserve"> </w:t>
      </w:r>
      <w:r>
        <w:t xml:space="preserve">the </w:t>
      </w:r>
      <w:r>
        <w:rPr>
          <w:spacing w:val="-3"/>
        </w:rPr>
        <w:t>Panel</w:t>
      </w:r>
      <w:r>
        <w:rPr>
          <w:spacing w:val="-1"/>
        </w:rPr>
        <w:t xml:space="preserve"> </w:t>
      </w:r>
      <w:r>
        <w:t>has decided to adopt a</w:t>
      </w:r>
      <w:r>
        <w:rPr>
          <w:spacing w:val="-1"/>
        </w:rPr>
        <w:t xml:space="preserve"> </w:t>
      </w:r>
      <w:r>
        <w:t>gamma value of</w:t>
      </w:r>
      <w:r>
        <w:rPr>
          <w:spacing w:val="4"/>
        </w:rPr>
        <w:t xml:space="preserve"> </w:t>
      </w:r>
      <w:r>
        <w:t>0.5</w:t>
      </w:r>
      <w:r>
        <w:rPr>
          <w:spacing w:val="28"/>
        </w:rPr>
        <w:t xml:space="preserve"> </w:t>
      </w:r>
      <w:r>
        <w:t>for the purposes of</w:t>
      </w:r>
      <w:r>
        <w:rPr>
          <w:spacing w:val="4"/>
        </w:rPr>
        <w:t xml:space="preserve"> </w:t>
      </w:r>
      <w:r>
        <w:rPr>
          <w:spacing w:val="-1"/>
        </w:rPr>
        <w:t>calculating</w:t>
      </w:r>
      <w:r>
        <w:rPr>
          <w:spacing w:val="-4"/>
        </w:rPr>
        <w:t xml:space="preserve"> </w:t>
      </w:r>
      <w:r>
        <w:rPr>
          <w:spacing w:val="-2"/>
        </w:rPr>
        <w:t>ACTEW’s</w:t>
      </w:r>
      <w:r>
        <w:t xml:space="preserve"> tax allowance in this </w:t>
      </w:r>
      <w:r>
        <w:rPr>
          <w:spacing w:val="-2"/>
        </w:rPr>
        <w:t>draft</w:t>
      </w:r>
      <w:r>
        <w:t xml:space="preserve"> decision.</w:t>
      </w:r>
    </w:p>
    <w:p w:rsidR="00D96B91" w:rsidRDefault="00C2656B">
      <w:pPr>
        <w:spacing w:before="158"/>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A8.11: </w:t>
      </w:r>
      <w:r>
        <w:rPr>
          <w:rFonts w:ascii="Avenir Next"/>
          <w:b/>
          <w:spacing w:val="-3"/>
          <w:sz w:val="20"/>
        </w:rPr>
        <w:t>Past</w:t>
      </w:r>
      <w:r>
        <w:rPr>
          <w:rFonts w:ascii="Avenir Next"/>
          <w:b/>
          <w:sz w:val="20"/>
        </w:rPr>
        <w:t xml:space="preserve"> </w:t>
      </w:r>
      <w:r>
        <w:rPr>
          <w:rFonts w:ascii="Avenir Next"/>
          <w:b/>
          <w:spacing w:val="-1"/>
          <w:sz w:val="20"/>
        </w:rPr>
        <w:t>regulatory</w:t>
      </w:r>
      <w:r>
        <w:rPr>
          <w:rFonts w:ascii="Avenir Next"/>
          <w:b/>
          <w:sz w:val="20"/>
        </w:rPr>
        <w:t xml:space="preserve"> decisions on the value of</w:t>
      </w:r>
      <w:r>
        <w:rPr>
          <w:rFonts w:ascii="Avenir Next"/>
          <w:b/>
          <w:spacing w:val="4"/>
          <w:sz w:val="20"/>
        </w:rPr>
        <w:t xml:space="preserve"> </w:t>
      </w:r>
      <w:r>
        <w:rPr>
          <w:rFonts w:ascii="Avenir Next"/>
          <w:b/>
          <w:spacing w:val="-1"/>
          <w:sz w:val="20"/>
        </w:rPr>
        <w:t>imputation</w:t>
      </w:r>
      <w:r>
        <w:rPr>
          <w:rFonts w:ascii="Avenir Next"/>
          <w:b/>
          <w:sz w:val="20"/>
        </w:rPr>
        <w:t xml:space="preserve"> </w:t>
      </w:r>
      <w:r>
        <w:rPr>
          <w:rFonts w:ascii="Avenir Next"/>
          <w:b/>
          <w:spacing w:val="-1"/>
          <w:sz w:val="20"/>
        </w:rPr>
        <w:t>credits</w:t>
      </w:r>
      <w:r>
        <w:rPr>
          <w:rFonts w:ascii="Avenir Next"/>
          <w:b/>
          <w:sz w:val="20"/>
        </w:rPr>
        <w:t xml:space="preserve"> (gamma)</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1959"/>
        <w:gridCol w:w="4606"/>
        <w:gridCol w:w="1985"/>
        <w:gridCol w:w="851"/>
      </w:tblGrid>
      <w:tr w:rsidR="00D96B91">
        <w:trPr>
          <w:trHeight w:hRule="exact" w:val="407"/>
        </w:trPr>
        <w:tc>
          <w:tcPr>
            <w:tcW w:w="1959"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Regulator</w:t>
            </w:r>
            <w:r>
              <w:rPr>
                <w:rFonts w:ascii="Avenir Next Condensed"/>
                <w:b/>
                <w:color w:val="FFFFFF"/>
                <w:sz w:val="18"/>
              </w:rPr>
              <w:t xml:space="preserve"> </w:t>
            </w:r>
            <w:r>
              <w:rPr>
                <w:rFonts w:ascii="Avenir Next Condensed"/>
                <w:b/>
                <w:color w:val="FFFFFF"/>
                <w:spacing w:val="-1"/>
                <w:sz w:val="18"/>
              </w:rPr>
              <w:t>(State)</w:t>
            </w:r>
          </w:p>
        </w:tc>
        <w:tc>
          <w:tcPr>
            <w:tcW w:w="4606"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1"/>
                <w:sz w:val="18"/>
              </w:rPr>
              <w:t>Regulated</w:t>
            </w:r>
            <w:r>
              <w:rPr>
                <w:rFonts w:ascii="Avenir Next Condensed"/>
                <w:b/>
                <w:color w:val="FFFFFF"/>
                <w:sz w:val="18"/>
              </w:rPr>
              <w:t xml:space="preserve"> entity</w:t>
            </w:r>
          </w:p>
        </w:tc>
        <w:tc>
          <w:tcPr>
            <w:tcW w:w="198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z w:val="18"/>
              </w:rPr>
              <w:t>Decision date</w:t>
            </w:r>
          </w:p>
        </w:tc>
        <w:tc>
          <w:tcPr>
            <w:tcW w:w="8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61"/>
              <w:rPr>
                <w:rFonts w:ascii="Avenir Next Condensed" w:eastAsia="Avenir Next Condensed" w:hAnsi="Avenir Next Condensed" w:cs="Avenir Next Condensed"/>
                <w:sz w:val="18"/>
                <w:szCs w:val="18"/>
              </w:rPr>
            </w:pPr>
            <w:r>
              <w:rPr>
                <w:rFonts w:ascii="Avenir Next Condensed"/>
                <w:b/>
                <w:color w:val="FFFFFF"/>
                <w:sz w:val="18"/>
              </w:rPr>
              <w:t>gamma</w:t>
            </w:r>
          </w:p>
        </w:tc>
      </w:tr>
      <w:tr w:rsidR="00D96B91">
        <w:trPr>
          <w:trHeight w:hRule="exact" w:val="407"/>
        </w:trPr>
        <w:tc>
          <w:tcPr>
            <w:tcW w:w="1959"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SOFC</w:t>
            </w:r>
          </w:p>
        </w:tc>
        <w:tc>
          <w:tcPr>
            <w:tcW w:w="4606"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D96B91"/>
        </w:tc>
        <w:tc>
          <w:tcPr>
            <w:tcW w:w="198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8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0.25</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Essential</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2"/>
                <w:sz w:val="18"/>
                <w:szCs w:val="18"/>
              </w:rPr>
              <w:t>Energy’s</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Water</w:t>
            </w:r>
            <w:r>
              <w:rPr>
                <w:rFonts w:ascii="Avenir Next Condensed" w:eastAsia="Avenir Next Condensed" w:hAnsi="Avenir Next Condensed" w:cs="Avenir Next Condensed"/>
                <w:sz w:val="18"/>
                <w:szCs w:val="18"/>
              </w:rPr>
              <w:t xml:space="preserve">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Services in </w:t>
            </w:r>
            <w:r>
              <w:rPr>
                <w:rFonts w:ascii="Avenir Next Condensed" w:eastAsia="Avenir Next Condensed" w:hAnsi="Avenir Next Condensed" w:cs="Avenir Next Condensed"/>
                <w:spacing w:val="-1"/>
                <w:sz w:val="18"/>
                <w:szCs w:val="18"/>
              </w:rPr>
              <w:t>Broken</w:t>
            </w:r>
            <w:r>
              <w:rPr>
                <w:rFonts w:ascii="Avenir Next Condensed" w:eastAsia="Avenir Next Condensed" w:hAnsi="Avenir Next Condensed" w:cs="Avenir Next Condensed"/>
                <w:sz w:val="18"/>
                <w:szCs w:val="18"/>
              </w:rPr>
              <w:t xml:space="preserve"> Hill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6"/>
              <w:rPr>
                <w:rFonts w:ascii="Avenir Next Condensed" w:eastAsia="Avenir Next Condensed" w:hAnsi="Avenir Next Condensed" w:cs="Avenir Next Condensed"/>
                <w:sz w:val="10"/>
                <w:szCs w:val="10"/>
              </w:rPr>
            </w:pPr>
            <w:r>
              <w:rPr>
                <w:rFonts w:ascii="Avenir Next Condensed"/>
                <w:sz w:val="18"/>
              </w:rPr>
              <w:t>0.25</w:t>
            </w:r>
            <w:r>
              <w:rPr>
                <w:rFonts w:ascii="Avenir Next Condensed"/>
                <w:position w:val="6"/>
                <w:sz w:val="10"/>
              </w:rPr>
              <w:t>a</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ACCC</w:t>
            </w:r>
            <w:r>
              <w:rPr>
                <w:rFonts w:ascii="Avenir Next Condensed"/>
                <w:sz w:val="18"/>
              </w:rPr>
              <w:t xml:space="preserve"> </w:t>
            </w:r>
            <w:r>
              <w:rPr>
                <w:rFonts w:ascii="Avenir Next Condensed"/>
                <w:spacing w:val="-1"/>
                <w:sz w:val="18"/>
              </w:rPr>
              <w:t>(Federal)</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State</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2014</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56"/>
              <w:rPr>
                <w:rFonts w:ascii="Avenir Next Condensed" w:eastAsia="Avenir Next Condensed" w:hAnsi="Avenir Next Condensed" w:cs="Avenir Next Condensed"/>
                <w:sz w:val="10"/>
                <w:szCs w:val="10"/>
              </w:rPr>
            </w:pPr>
            <w:r>
              <w:rPr>
                <w:rFonts w:ascii="Avenir Next Condensed"/>
                <w:sz w:val="18"/>
              </w:rPr>
              <w:t>na</w:t>
            </w:r>
            <w:r>
              <w:rPr>
                <w:rFonts w:ascii="Avenir Next Condensed"/>
                <w:position w:val="6"/>
                <w:sz w:val="10"/>
              </w:rPr>
              <w:t>b</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Greater</w:t>
            </w:r>
            <w:r>
              <w:rPr>
                <w:rFonts w:ascii="Avenir Next Condensed"/>
                <w:sz w:val="18"/>
              </w:rPr>
              <w:t xml:space="preserve"> </w:t>
            </w:r>
            <w:r>
              <w:rPr>
                <w:rFonts w:ascii="Avenir Next Condensed"/>
                <w:spacing w:val="-1"/>
                <w:sz w:val="18"/>
              </w:rPr>
              <w:t>Metropolitan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Regional</w:t>
            </w:r>
            <w:r>
              <w:rPr>
                <w:rFonts w:ascii="Avenir Next Condensed"/>
                <w:sz w:val="18"/>
              </w:rPr>
              <w:t xml:space="preserve"> Urban</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ESC (VIC)</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Rural</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Businesses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Hunter</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7"/>
              <w:rPr>
                <w:rFonts w:ascii="Avenir Next Condensed" w:eastAsia="Avenir Next Condensed" w:hAnsi="Avenir Next Condensed" w:cs="Avenir Next Condensed"/>
                <w:sz w:val="10"/>
                <w:szCs w:val="10"/>
              </w:rPr>
            </w:pPr>
            <w:r>
              <w:rPr>
                <w:rFonts w:ascii="Avenir Next Condensed"/>
                <w:sz w:val="18"/>
              </w:rPr>
              <w:t>0.25</w:t>
            </w:r>
            <w:r>
              <w:rPr>
                <w:rFonts w:ascii="Avenir Next Condensed"/>
                <w:position w:val="6"/>
                <w:sz w:val="10"/>
              </w:rPr>
              <w:t>a</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Gosford</w:t>
            </w:r>
            <w:r>
              <w:rPr>
                <w:rFonts w:ascii="Avenir Next Condensed"/>
                <w:sz w:val="18"/>
              </w:rPr>
              <w:t xml:space="preserve"> City </w:t>
            </w:r>
            <w:r>
              <w:rPr>
                <w:rFonts w:ascii="Avenir Next Condensed"/>
                <w:spacing w:val="-1"/>
                <w:sz w:val="18"/>
              </w:rPr>
              <w:t>Council</w:t>
            </w:r>
            <w:r>
              <w:rPr>
                <w:rFonts w:ascii="Avenir Next Condensed"/>
                <w:sz w:val="18"/>
              </w:rPr>
              <w:t xml:space="preserve"> and</w:t>
            </w:r>
            <w:r>
              <w:rPr>
                <w:rFonts w:ascii="Avenir Next Condensed"/>
                <w:spacing w:val="-3"/>
                <w:sz w:val="18"/>
              </w:rPr>
              <w:t xml:space="preserve"> </w:t>
            </w:r>
            <w:r>
              <w:rPr>
                <w:rFonts w:ascii="Avenir Next Condensed"/>
                <w:spacing w:val="-1"/>
                <w:sz w:val="18"/>
              </w:rPr>
              <w:t>Wyong</w:t>
            </w:r>
            <w:r>
              <w:rPr>
                <w:rFonts w:ascii="Avenir Next Condensed"/>
                <w:sz w:val="18"/>
              </w:rPr>
              <w:t xml:space="preserve"> </w:t>
            </w:r>
            <w:r>
              <w:rPr>
                <w:rFonts w:ascii="Avenir Next Condensed"/>
                <w:spacing w:val="-1"/>
                <w:sz w:val="18"/>
              </w:rPr>
              <w:t>Shire</w:t>
            </w:r>
            <w:r>
              <w:rPr>
                <w:rFonts w:ascii="Avenir Next Condensed"/>
                <w:sz w:val="18"/>
              </w:rPr>
              <w:t xml:space="preserve"> </w:t>
            </w:r>
            <w:r>
              <w:rPr>
                <w:rFonts w:ascii="Avenir Next Condensed"/>
                <w:spacing w:val="-1"/>
                <w:sz w:val="18"/>
              </w:rPr>
              <w:t>Council</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7"/>
              <w:rPr>
                <w:rFonts w:ascii="Avenir Next Condensed" w:eastAsia="Avenir Next Condensed" w:hAnsi="Avenir Next Condensed" w:cs="Avenir Next Condensed"/>
                <w:sz w:val="10"/>
                <w:szCs w:val="10"/>
              </w:rPr>
            </w:pPr>
            <w:r>
              <w:rPr>
                <w:rFonts w:ascii="Avenir Next Condensed"/>
                <w:sz w:val="18"/>
              </w:rPr>
              <w:t>0.25</w:t>
            </w:r>
            <w:r>
              <w:rPr>
                <w:rFonts w:ascii="Avenir Next Condensed"/>
                <w:position w:val="6"/>
                <w:sz w:val="10"/>
              </w:rPr>
              <w:t>a</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ESCOSA</w:t>
            </w:r>
            <w:r>
              <w:rPr>
                <w:rFonts w:ascii="Avenir Next Condensed"/>
                <w:spacing w:val="-4"/>
                <w:sz w:val="18"/>
              </w:rPr>
              <w:t xml:space="preserve"> </w:t>
            </w:r>
            <w:r>
              <w:rPr>
                <w:rFonts w:ascii="Avenir Next Condensed"/>
                <w:sz w:val="18"/>
              </w:rPr>
              <w:t>(SA)</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SA</w:t>
            </w:r>
            <w:r>
              <w:rPr>
                <w:rFonts w:ascii="Avenir Next Condensed"/>
                <w:spacing w:val="-6"/>
                <w:sz w:val="18"/>
              </w:rPr>
              <w:t xml:space="preserve"> </w:t>
            </w:r>
            <w:r>
              <w:rPr>
                <w:rFonts w:ascii="Avenir Next Condensed"/>
                <w:spacing w:val="-1"/>
                <w:sz w:val="18"/>
              </w:rPr>
              <w:t>Water</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Seqwater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0.25</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ERA</w:t>
            </w:r>
            <w:r>
              <w:rPr>
                <w:rFonts w:ascii="Avenir Next Condensed"/>
                <w:spacing w:val="-4"/>
                <w:sz w:val="18"/>
              </w:rPr>
              <w:t xml:space="preserve"> </w:t>
            </w:r>
            <w:r>
              <w:rPr>
                <w:rFonts w:ascii="Avenir Next Condensed"/>
                <w:spacing w:val="-2"/>
                <w:sz w:val="18"/>
              </w:rPr>
              <w:t>(WA)</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Water</w:t>
            </w:r>
            <w:r>
              <w:rPr>
                <w:rFonts w:ascii="Avenir Next Condensed"/>
                <w:sz w:val="18"/>
              </w:rPr>
              <w:t xml:space="preserve"> </w:t>
            </w:r>
            <w:r>
              <w:rPr>
                <w:rFonts w:ascii="Avenir Next Condensed"/>
                <w:spacing w:val="-1"/>
                <w:sz w:val="18"/>
              </w:rPr>
              <w:t>Boards</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March</w:t>
            </w:r>
            <w:r>
              <w:rPr>
                <w:rFonts w:ascii="Avenir Next Condensed"/>
                <w:sz w:val="18"/>
              </w:rPr>
              <w:t xml:space="preserve"> 2013</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0.25</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IPART</w:t>
            </w:r>
            <w:r>
              <w:rPr>
                <w:rFonts w:ascii="Avenir Next Condensed"/>
                <w:spacing w:val="-5"/>
                <w:sz w:val="18"/>
              </w:rPr>
              <w:t xml:space="preserve"> </w:t>
            </w:r>
            <w:r>
              <w:rPr>
                <w:rFonts w:ascii="Avenir Next Condensed"/>
                <w:sz w:val="18"/>
              </w:rPr>
              <w:t>(NSW)</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Sydney</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Corporation</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2012</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27"/>
              <w:rPr>
                <w:rFonts w:ascii="Avenir Next Condensed" w:eastAsia="Avenir Next Condensed" w:hAnsi="Avenir Next Condensed" w:cs="Avenir Next Condensed"/>
                <w:sz w:val="10"/>
                <w:szCs w:val="10"/>
              </w:rPr>
            </w:pPr>
            <w:r>
              <w:rPr>
                <w:rFonts w:ascii="Avenir Next Condensed"/>
                <w:sz w:val="18"/>
              </w:rPr>
              <w:t>0.25</w:t>
            </w:r>
            <w:r>
              <w:rPr>
                <w:rFonts w:ascii="Avenir Next Condensed"/>
                <w:position w:val="6"/>
                <w:sz w:val="10"/>
              </w:rPr>
              <w:t>a</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SunWater</w:t>
            </w:r>
            <w:r>
              <w:rPr>
                <w:rFonts w:ascii="Avenir Next Condensed"/>
                <w:sz w:val="18"/>
              </w:rPr>
              <w:t xml:space="preserve"> Irrigation </w:t>
            </w:r>
            <w:r>
              <w:rPr>
                <w:rFonts w:ascii="Avenir Next Condensed"/>
                <w:spacing w:val="-1"/>
                <w:sz w:val="18"/>
              </w:rPr>
              <w:t>Price</w:t>
            </w:r>
            <w:r>
              <w:rPr>
                <w:rFonts w:ascii="Avenir Next Condensed"/>
                <w:sz w:val="18"/>
              </w:rPr>
              <w:t xml:space="preserve"> </w:t>
            </w:r>
            <w:r>
              <w:rPr>
                <w:rFonts w:ascii="Avenir Next Condensed"/>
                <w:spacing w:val="-1"/>
                <w:sz w:val="18"/>
              </w:rPr>
              <w:t>Review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May 2012</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QCA</w:t>
            </w:r>
            <w:r>
              <w:rPr>
                <w:rFonts w:ascii="Avenir Next Condensed"/>
                <w:spacing w:val="-4"/>
                <w:sz w:val="18"/>
              </w:rPr>
              <w:t xml:space="preserve"> </w:t>
            </w:r>
            <w:r>
              <w:rPr>
                <w:rFonts w:ascii="Avenir Next Condensed"/>
                <w:sz w:val="18"/>
              </w:rPr>
              <w:t>(QLD)</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Gladstone</w:t>
            </w:r>
            <w:r>
              <w:rPr>
                <w:rFonts w:ascii="Avenir Next Condensed"/>
                <w:spacing w:val="-4"/>
                <w:sz w:val="18"/>
              </w:rPr>
              <w:t xml:space="preserve"> </w:t>
            </w:r>
            <w:r>
              <w:rPr>
                <w:rFonts w:ascii="Avenir Next Condensed"/>
                <w:spacing w:val="-1"/>
                <w:sz w:val="18"/>
              </w:rPr>
              <w:t>Area</w:t>
            </w:r>
            <w:r>
              <w:rPr>
                <w:rFonts w:ascii="Avenir Next Condensed"/>
                <w:spacing w:val="-3"/>
                <w:sz w:val="18"/>
              </w:rPr>
              <w:t xml:space="preserve"> </w:t>
            </w:r>
            <w:r>
              <w:rPr>
                <w:rFonts w:ascii="Avenir Next Condensed"/>
                <w:spacing w:val="-1"/>
                <w:sz w:val="18"/>
              </w:rPr>
              <w:t>Water</w:t>
            </w:r>
            <w:r>
              <w:rPr>
                <w:rFonts w:ascii="Avenir Next Condensed"/>
                <w:sz w:val="18"/>
              </w:rPr>
              <w:t xml:space="preserve"> </w:t>
            </w:r>
            <w:r>
              <w:rPr>
                <w:rFonts w:ascii="Avenir Next Condensed"/>
                <w:spacing w:val="-1"/>
                <w:sz w:val="18"/>
              </w:rPr>
              <w:t>Board</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June 2010</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r w:rsidR="00D96B91">
        <w:trPr>
          <w:trHeight w:hRule="exact" w:val="407"/>
        </w:trPr>
        <w:tc>
          <w:tcPr>
            <w:tcW w:w="1959"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ICRC </w:t>
            </w:r>
            <w:r>
              <w:rPr>
                <w:rFonts w:ascii="Avenir Next Condensed"/>
                <w:spacing w:val="-1"/>
                <w:sz w:val="18"/>
              </w:rPr>
              <w:t>(ACT)</w:t>
            </w:r>
          </w:p>
        </w:tc>
        <w:tc>
          <w:tcPr>
            <w:tcW w:w="4606"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ACTEW</w:t>
            </w:r>
          </w:p>
        </w:tc>
        <w:tc>
          <w:tcPr>
            <w:tcW w:w="198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April 2008</w:t>
            </w:r>
          </w:p>
        </w:tc>
        <w:tc>
          <w:tcPr>
            <w:tcW w:w="8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269"/>
              <w:rPr>
                <w:rFonts w:ascii="Avenir Next Condensed" w:eastAsia="Avenir Next Condensed" w:hAnsi="Avenir Next Condensed" w:cs="Avenir Next Condensed"/>
                <w:sz w:val="18"/>
                <w:szCs w:val="18"/>
              </w:rPr>
            </w:pPr>
            <w:r>
              <w:rPr>
                <w:rFonts w:ascii="Avenir Next Condensed"/>
                <w:sz w:val="18"/>
              </w:rPr>
              <w:t>0.50</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pacing w:val="-1"/>
          <w:sz w:val="16"/>
        </w:rPr>
        <w:t>Sources:</w:t>
      </w:r>
      <w:r>
        <w:rPr>
          <w:rFonts w:ascii="Avenir Next"/>
          <w:b/>
          <w:sz w:val="16"/>
        </w:rPr>
        <w:t xml:space="preserve"> </w:t>
      </w:r>
      <w:r>
        <w:rPr>
          <w:rFonts w:ascii="Avenir Next"/>
          <w:sz w:val="16"/>
        </w:rPr>
        <w:t>See listing in</w:t>
      </w:r>
      <w:r>
        <w:rPr>
          <w:rFonts w:ascii="Avenir Next"/>
          <w:spacing w:val="-4"/>
          <w:sz w:val="16"/>
        </w:rPr>
        <w:t xml:space="preserve"> Table</w:t>
      </w:r>
      <w:r>
        <w:rPr>
          <w:rFonts w:ascii="Avenir Next"/>
          <w:spacing w:val="-3"/>
          <w:sz w:val="16"/>
        </w:rPr>
        <w:t xml:space="preserve"> </w:t>
      </w:r>
      <w:r>
        <w:rPr>
          <w:rFonts w:ascii="Avenir Next"/>
          <w:sz w:val="16"/>
        </w:rPr>
        <w:t>A8.3.</w:t>
      </w:r>
    </w:p>
    <w:p w:rsidR="00D96B91" w:rsidRDefault="00C2656B">
      <w:pPr>
        <w:spacing w:before="58"/>
        <w:ind w:left="1247"/>
        <w:rPr>
          <w:rFonts w:ascii="Avenir Next" w:eastAsia="Avenir Next" w:hAnsi="Avenir Next" w:cs="Avenir Next"/>
          <w:sz w:val="16"/>
          <w:szCs w:val="16"/>
        </w:rPr>
      </w:pPr>
      <w:r>
        <w:rPr>
          <w:rFonts w:ascii="Avenir Next"/>
          <w:b/>
          <w:sz w:val="16"/>
        </w:rPr>
        <w:t xml:space="preserve">a </w:t>
      </w:r>
      <w:r>
        <w:rPr>
          <w:rFonts w:ascii="Avenir Next"/>
          <w:spacing w:val="-3"/>
          <w:sz w:val="16"/>
        </w:rPr>
        <w:t>IPART</w:t>
      </w:r>
      <w:r>
        <w:rPr>
          <w:rFonts w:ascii="Avenir Next"/>
          <w:spacing w:val="-4"/>
          <w:sz w:val="16"/>
        </w:rPr>
        <w:t xml:space="preserve"> </w:t>
      </w:r>
      <w:r>
        <w:rPr>
          <w:rFonts w:ascii="Avenir Next"/>
          <w:sz w:val="16"/>
        </w:rPr>
        <w:t>adopted a gamma of</w:t>
      </w:r>
      <w:r>
        <w:rPr>
          <w:rFonts w:ascii="Avenir Next"/>
          <w:spacing w:val="3"/>
          <w:sz w:val="16"/>
        </w:rPr>
        <w:t xml:space="preserve"> </w:t>
      </w:r>
      <w:r>
        <w:rPr>
          <w:rFonts w:ascii="Avenir Next"/>
          <w:sz w:val="16"/>
        </w:rPr>
        <w:t xml:space="preserve">0.25 in </w:t>
      </w:r>
      <w:r>
        <w:rPr>
          <w:rFonts w:ascii="Avenir Next"/>
          <w:spacing w:val="-1"/>
          <w:sz w:val="16"/>
        </w:rPr>
        <w:t>March</w:t>
      </w:r>
      <w:r>
        <w:rPr>
          <w:rFonts w:ascii="Avenir Next"/>
          <w:sz w:val="16"/>
        </w:rPr>
        <w:t xml:space="preserve"> 2012 and </w:t>
      </w:r>
      <w:r>
        <w:rPr>
          <w:rFonts w:ascii="Avenir Next"/>
          <w:spacing w:val="-1"/>
          <w:sz w:val="16"/>
        </w:rPr>
        <w:t>retained</w:t>
      </w:r>
      <w:r>
        <w:rPr>
          <w:rFonts w:ascii="Avenir Next"/>
          <w:sz w:val="16"/>
        </w:rPr>
        <w:t xml:space="preserve"> this value in subsequent decisions.</w:t>
      </w:r>
    </w:p>
    <w:p w:rsidR="00D96B91" w:rsidRDefault="00C2656B">
      <w:pPr>
        <w:spacing w:before="58"/>
        <w:ind w:left="1385" w:right="1283" w:hanging="138"/>
        <w:rPr>
          <w:rFonts w:ascii="Avenir Next" w:eastAsia="Avenir Next" w:hAnsi="Avenir Next" w:cs="Avenir Next"/>
          <w:sz w:val="16"/>
          <w:szCs w:val="16"/>
        </w:rPr>
      </w:pPr>
      <w:r>
        <w:rPr>
          <w:rFonts w:ascii="Avenir Next" w:eastAsia="Avenir Next" w:hAnsi="Avenir Next" w:cs="Avenir Next"/>
          <w:b/>
          <w:bCs/>
          <w:sz w:val="16"/>
          <w:szCs w:val="16"/>
        </w:rPr>
        <w:t>b</w:t>
      </w:r>
      <w:r>
        <w:rPr>
          <w:rFonts w:ascii="Avenir Next" w:eastAsia="Avenir Next" w:hAnsi="Avenir Next" w:cs="Avenir Next"/>
          <w:b/>
          <w:bCs/>
          <w:spacing w:val="-4"/>
          <w:sz w:val="16"/>
          <w:szCs w:val="16"/>
        </w:rPr>
        <w:t xml:space="preserve"> </w:t>
      </w:r>
      <w:r>
        <w:rPr>
          <w:rFonts w:ascii="Avenir Next" w:eastAsia="Avenir Next" w:hAnsi="Avenir Next" w:cs="Avenir Next"/>
          <w:spacing w:val="-1"/>
          <w:sz w:val="16"/>
          <w:szCs w:val="16"/>
        </w:rPr>
        <w:t>This</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particular</w:t>
      </w:r>
      <w:r>
        <w:rPr>
          <w:rFonts w:ascii="Avenir Next" w:eastAsia="Avenir Next" w:hAnsi="Avenir Next" w:cs="Avenir Next"/>
          <w:sz w:val="16"/>
          <w:szCs w:val="16"/>
        </w:rPr>
        <w:t xml:space="preserve"> decision did not </w:t>
      </w:r>
      <w:r>
        <w:rPr>
          <w:rFonts w:ascii="Avenir Next" w:eastAsia="Avenir Next" w:hAnsi="Avenir Next" w:cs="Avenir Next"/>
          <w:spacing w:val="-1"/>
          <w:sz w:val="16"/>
          <w:szCs w:val="16"/>
        </w:rPr>
        <w:t>address</w:t>
      </w:r>
      <w:r>
        <w:rPr>
          <w:rFonts w:ascii="Avenir Next" w:eastAsia="Avenir Next" w:hAnsi="Avenir Next" w:cs="Avenir Next"/>
          <w:sz w:val="16"/>
          <w:szCs w:val="16"/>
        </w:rPr>
        <w:t xml:space="preserve"> gamma because </w:t>
      </w:r>
      <w:r>
        <w:rPr>
          <w:rFonts w:ascii="Avenir Next" w:eastAsia="Avenir Next" w:hAnsi="Avenir Next" w:cs="Avenir Next"/>
          <w:spacing w:val="-1"/>
          <w:sz w:val="16"/>
          <w:szCs w:val="16"/>
        </w:rPr>
        <w:t>State</w:t>
      </w:r>
      <w:r>
        <w:rPr>
          <w:rFonts w:ascii="Avenir Next" w:eastAsia="Avenir Next" w:hAnsi="Avenir Next" w:cs="Avenir Next"/>
          <w:spacing w:val="-2"/>
          <w:sz w:val="16"/>
          <w:szCs w:val="16"/>
        </w:rPr>
        <w:t xml:space="preserve"> Water</w:t>
      </w:r>
      <w:r>
        <w:rPr>
          <w:rFonts w:ascii="Avenir Next" w:eastAsia="Avenir Next" w:hAnsi="Avenir Next" w:cs="Avenir Next"/>
          <w:sz w:val="16"/>
          <w:szCs w:val="16"/>
        </w:rPr>
        <w:t xml:space="preserve"> did not </w:t>
      </w:r>
      <w:r>
        <w:rPr>
          <w:rFonts w:ascii="Avenir Next" w:eastAsia="Avenir Next" w:hAnsi="Avenir Next" w:cs="Avenir Next"/>
          <w:spacing w:val="-1"/>
          <w:sz w:val="16"/>
          <w:szCs w:val="16"/>
        </w:rPr>
        <w:t>propose</w:t>
      </w:r>
      <w:r>
        <w:rPr>
          <w:rFonts w:ascii="Avenir Next" w:eastAsia="Avenir Next" w:hAnsi="Avenir Next" w:cs="Avenir Next"/>
          <w:sz w:val="16"/>
          <w:szCs w:val="16"/>
        </w:rPr>
        <w:t xml:space="preserve"> a tax building block.</w:t>
      </w:r>
      <w:r>
        <w:rPr>
          <w:rFonts w:ascii="Avenir Next" w:eastAsia="Avenir Next" w:hAnsi="Avenir Next" w:cs="Avenir Next"/>
          <w:spacing w:val="-9"/>
          <w:sz w:val="16"/>
          <w:szCs w:val="16"/>
        </w:rPr>
        <w:t xml:space="preserve"> </w:t>
      </w:r>
      <w:r>
        <w:rPr>
          <w:rFonts w:ascii="Avenir Next" w:eastAsia="Avenir Next" w:hAnsi="Avenir Next" w:cs="Avenir Next"/>
          <w:spacing w:val="-1"/>
          <w:sz w:val="16"/>
          <w:szCs w:val="16"/>
        </w:rPr>
        <w:t>The</w:t>
      </w:r>
      <w:r>
        <w:rPr>
          <w:rFonts w:ascii="Avenir Next" w:eastAsia="Avenir Next" w:hAnsi="Avenir Next" w:cs="Avenir Next"/>
          <w:spacing w:val="-3"/>
          <w:sz w:val="16"/>
          <w:szCs w:val="16"/>
        </w:rPr>
        <w:t xml:space="preserve"> ACCC’s</w:t>
      </w:r>
      <w:r>
        <w:rPr>
          <w:rFonts w:ascii="Avenir Next" w:eastAsia="Avenir Next" w:hAnsi="Avenir Next" w:cs="Avenir Next"/>
          <w:sz w:val="16"/>
          <w:szCs w:val="16"/>
        </w:rPr>
        <w:t xml:space="preserve"> pricing</w:t>
      </w:r>
      <w:r>
        <w:rPr>
          <w:rFonts w:ascii="Avenir Next" w:eastAsia="Avenir Next" w:hAnsi="Avenir Next" w:cs="Avenir Next"/>
          <w:spacing w:val="49"/>
          <w:sz w:val="16"/>
          <w:szCs w:val="16"/>
        </w:rPr>
        <w:t xml:space="preserve"> </w:t>
      </w:r>
      <w:r>
        <w:rPr>
          <w:rFonts w:ascii="Avenir Next" w:eastAsia="Avenir Next" w:hAnsi="Avenir Next" w:cs="Avenir Next"/>
          <w:sz w:val="16"/>
          <w:szCs w:val="16"/>
        </w:rPr>
        <w:t>principles do not specify a gamma value</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9"/>
        <w:rPr>
          <w:rFonts w:ascii="Avenir Next" w:eastAsia="Avenir Next" w:hAnsi="Avenir Next" w:cs="Avenir Next"/>
          <w:sz w:val="25"/>
          <w:szCs w:val="25"/>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286" style="width:72.5pt;height:.5pt;mso-position-horizontal-relative:char;mso-position-vertical-relative:line" coordsize="1450,10">
            <v:group id="_x0000_s1287" style="position:absolute;left:5;top:5;width:1440;height:2" coordorigin="5,5" coordsize="1440,2">
              <v:shape id="_x0000_s1288"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4" w:line="192" w:lineRule="exact"/>
        <w:ind w:right="1262" w:hanging="510"/>
        <w:rPr>
          <w:rFonts w:ascii="Avenir Next" w:eastAsia="Avenir Next" w:hAnsi="Avenir Next" w:cs="Avenir Next"/>
          <w:sz w:val="16"/>
          <w:szCs w:val="16"/>
        </w:rPr>
      </w:pPr>
      <w:r>
        <w:rPr>
          <w:rFonts w:ascii="Avenir Next" w:eastAsia="Avenir Next" w:hAnsi="Avenir Next" w:cs="Avenir Next"/>
          <w:spacing w:val="-1"/>
          <w:sz w:val="16"/>
          <w:szCs w:val="16"/>
        </w:rPr>
        <w:t xml:space="preserve">Following </w:t>
      </w:r>
      <w:r>
        <w:rPr>
          <w:rFonts w:ascii="Avenir Next" w:eastAsia="Avenir Next" w:hAnsi="Avenir Next" w:cs="Avenir Next"/>
          <w:sz w:val="16"/>
          <w:szCs w:val="16"/>
        </w:rPr>
        <w:t xml:space="preserve">an </w:t>
      </w:r>
      <w:r>
        <w:rPr>
          <w:rFonts w:ascii="Avenir Next" w:eastAsia="Avenir Next" w:hAnsi="Avenir Next" w:cs="Avenir Next"/>
          <w:spacing w:val="-1"/>
          <w:sz w:val="16"/>
          <w:szCs w:val="16"/>
        </w:rPr>
        <w:t>appeal</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AER’s</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May 2010 final decision on the</w:t>
      </w:r>
      <w:r>
        <w:rPr>
          <w:rFonts w:ascii="Avenir Next" w:eastAsia="Avenir Next" w:hAnsi="Avenir Next" w:cs="Avenir Next"/>
          <w:spacing w:val="-3"/>
          <w:sz w:val="16"/>
          <w:szCs w:val="16"/>
        </w:rPr>
        <w:t xml:space="preserve"> </w:t>
      </w:r>
      <w:r>
        <w:rPr>
          <w:rFonts w:ascii="Avenir Next" w:eastAsia="Avenir Next" w:hAnsi="Avenir Next" w:cs="Avenir Next"/>
          <w:spacing w:val="-2"/>
          <w:sz w:val="16"/>
          <w:szCs w:val="16"/>
        </w:rPr>
        <w:t>WACC</w:t>
      </w:r>
      <w:r>
        <w:rPr>
          <w:rFonts w:ascii="Avenir Next" w:eastAsia="Avenir Next" w:hAnsi="Avenir Next" w:cs="Avenir Next"/>
          <w:sz w:val="16"/>
          <w:szCs w:val="16"/>
        </w:rPr>
        <w:t xml:space="preserve"> for electricity distribution </w:t>
      </w:r>
      <w:r>
        <w:rPr>
          <w:rFonts w:ascii="Avenir Next" w:eastAsia="Avenir Next" w:hAnsi="Avenir Next" w:cs="Avenir Next"/>
          <w:spacing w:val="-1"/>
          <w:sz w:val="16"/>
          <w:szCs w:val="16"/>
        </w:rPr>
        <w:t>networks</w:t>
      </w:r>
      <w:r>
        <w:rPr>
          <w:rFonts w:ascii="Avenir Next" w:eastAsia="Avenir Next" w:hAnsi="Avenir Next" w:cs="Avenir Next"/>
          <w:sz w:val="16"/>
          <w:szCs w:val="16"/>
        </w:rPr>
        <w:t xml:space="preserve"> in</w:t>
      </w:r>
      <w:r>
        <w:rPr>
          <w:rFonts w:ascii="Avenir Next" w:eastAsia="Avenir Next" w:hAnsi="Avenir Next" w:cs="Avenir Next"/>
          <w:spacing w:val="-1"/>
          <w:sz w:val="16"/>
          <w:szCs w:val="16"/>
        </w:rPr>
        <w:t xml:space="preserve"> </w:t>
      </w:r>
      <w:r>
        <w:rPr>
          <w:rFonts w:ascii="Avenir Next" w:eastAsia="Avenir Next" w:hAnsi="Avenir Next" w:cs="Avenir Next"/>
          <w:sz w:val="16"/>
          <w:szCs w:val="16"/>
        </w:rPr>
        <w:t>Queensland,</w:t>
      </w:r>
      <w:r>
        <w:rPr>
          <w:rFonts w:ascii="Avenir Next" w:eastAsia="Avenir Next" w:hAnsi="Avenir Next" w:cs="Avenir Next"/>
          <w:spacing w:val="33"/>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Australian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Competition</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Tribunal</w:t>
      </w:r>
      <w:r>
        <w:rPr>
          <w:rFonts w:ascii="Avenir Next" w:eastAsia="Avenir Next" w:hAnsi="Avenir Next" w:cs="Avenir Next"/>
          <w:sz w:val="16"/>
          <w:szCs w:val="16"/>
        </w:rPr>
        <w:t xml:space="preserve"> </w:t>
      </w:r>
      <w:r>
        <w:rPr>
          <w:rFonts w:ascii="Avenir Next" w:eastAsia="Avenir Next" w:hAnsi="Avenir Next" w:cs="Avenir Next"/>
          <w:spacing w:val="-2"/>
          <w:sz w:val="16"/>
          <w:szCs w:val="16"/>
        </w:rPr>
        <w:t>(Tribunal)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reviewed</w:t>
      </w:r>
      <w:r>
        <w:rPr>
          <w:rFonts w:ascii="Avenir Next" w:eastAsia="Avenir Next" w:hAnsi="Avenir Next" w:cs="Avenir Next"/>
          <w:sz w:val="16"/>
          <w:szCs w:val="16"/>
        </w:rPr>
        <w:t xml:space="preserve"> the decision </w:t>
      </w:r>
      <w:r>
        <w:rPr>
          <w:rFonts w:ascii="Avenir Next" w:eastAsia="Avenir Next" w:hAnsi="Avenir Next" w:cs="Avenir Next"/>
          <w:spacing w:val="-1"/>
          <w:sz w:val="16"/>
          <w:szCs w:val="16"/>
        </w:rPr>
        <w:t>regarding</w:t>
      </w:r>
      <w:r>
        <w:rPr>
          <w:rFonts w:ascii="Avenir Next" w:eastAsia="Avenir Next" w:hAnsi="Avenir Next" w:cs="Avenir Next"/>
          <w:sz w:val="16"/>
          <w:szCs w:val="16"/>
        </w:rPr>
        <w:t xml:space="preserve"> the value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imputation</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credits.</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In October</w:t>
      </w:r>
      <w:r>
        <w:rPr>
          <w:rFonts w:ascii="Avenir Next" w:eastAsia="Avenir Next" w:hAnsi="Avenir Next" w:cs="Avenir Next"/>
          <w:spacing w:val="89"/>
          <w:sz w:val="16"/>
          <w:szCs w:val="16"/>
        </w:rPr>
        <w:t xml:space="preserve"> </w:t>
      </w:r>
      <w:r>
        <w:rPr>
          <w:rFonts w:ascii="Avenir Next" w:eastAsia="Avenir Next" w:hAnsi="Avenir Next" w:cs="Avenir Next"/>
          <w:sz w:val="16"/>
          <w:szCs w:val="16"/>
        </w:rPr>
        <w:t>2010,</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Tribunal</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directed</w:t>
      </w:r>
      <w:r>
        <w:rPr>
          <w:rFonts w:ascii="Avenir Next" w:eastAsia="Avenir Next" w:hAnsi="Avenir Next" w:cs="Avenir Next"/>
          <w:sz w:val="16"/>
          <w:szCs w:val="16"/>
        </w:rPr>
        <w:t xml:space="preserve"> the</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 xml:space="preserve">AER to engage </w:t>
      </w:r>
      <w:r>
        <w:rPr>
          <w:rFonts w:ascii="Avenir Next" w:eastAsia="Avenir Next" w:hAnsi="Avenir Next" w:cs="Avenir Next"/>
          <w:spacing w:val="-1"/>
          <w:sz w:val="16"/>
          <w:szCs w:val="16"/>
        </w:rPr>
        <w:t>Strategic</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Finance</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Group</w:t>
      </w:r>
      <w:r>
        <w:rPr>
          <w:rFonts w:ascii="Avenir Next" w:eastAsia="Avenir Next" w:hAnsi="Avenir Next" w:cs="Avenir Next"/>
          <w:sz w:val="16"/>
          <w:szCs w:val="16"/>
        </w:rPr>
        <w:t xml:space="preserve"> (SFG) to </w:t>
      </w:r>
      <w:r>
        <w:rPr>
          <w:rFonts w:ascii="Avenir Next" w:eastAsia="Avenir Next" w:hAnsi="Avenir Next" w:cs="Avenir Next"/>
          <w:spacing w:val="-1"/>
          <w:sz w:val="16"/>
          <w:szCs w:val="16"/>
        </w:rPr>
        <w:t>undertake</w:t>
      </w:r>
      <w:r>
        <w:rPr>
          <w:rFonts w:ascii="Avenir Next" w:eastAsia="Avenir Next" w:hAnsi="Avenir Next" w:cs="Avenir Next"/>
          <w:sz w:val="16"/>
          <w:szCs w:val="16"/>
        </w:rPr>
        <w:t xml:space="preserve"> a study to assist them in</w:t>
      </w:r>
      <w:r>
        <w:rPr>
          <w:rFonts w:ascii="Avenir Next" w:eastAsia="Avenir Next" w:hAnsi="Avenir Next" w:cs="Avenir Next"/>
          <w:spacing w:val="41"/>
          <w:sz w:val="16"/>
          <w:szCs w:val="16"/>
        </w:rPr>
        <w:t xml:space="preserve"> </w:t>
      </w:r>
      <w:r>
        <w:rPr>
          <w:rFonts w:ascii="Avenir Next" w:eastAsia="Avenir Next" w:hAnsi="Avenir Next" w:cs="Avenir Next"/>
          <w:sz w:val="16"/>
          <w:szCs w:val="16"/>
        </w:rPr>
        <w:t xml:space="preserve">determining the </w:t>
      </w:r>
      <w:r>
        <w:rPr>
          <w:rFonts w:ascii="Avenir Next" w:eastAsia="Avenir Next" w:hAnsi="Avenir Next" w:cs="Avenir Next"/>
          <w:spacing w:val="-1"/>
          <w:sz w:val="16"/>
          <w:szCs w:val="16"/>
        </w:rPr>
        <w:t>correct</w:t>
      </w:r>
      <w:r>
        <w:rPr>
          <w:rFonts w:ascii="Avenir Next" w:eastAsia="Avenir Next" w:hAnsi="Avenir Next" w:cs="Avenir Next"/>
          <w:sz w:val="16"/>
          <w:szCs w:val="16"/>
        </w:rPr>
        <w:t xml:space="preserve"> gamma value.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In May 2011,</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the</w:t>
      </w:r>
      <w:r>
        <w:rPr>
          <w:rFonts w:ascii="Avenir Next" w:eastAsia="Avenir Next" w:hAnsi="Avenir Next" w:cs="Avenir Next"/>
          <w:spacing w:val="-4"/>
          <w:sz w:val="16"/>
          <w:szCs w:val="16"/>
        </w:rPr>
        <w:t xml:space="preserve"> </w:t>
      </w:r>
      <w:r>
        <w:rPr>
          <w:rFonts w:ascii="Avenir Next" w:eastAsia="Avenir Next" w:hAnsi="Avenir Next" w:cs="Avenir Next"/>
          <w:spacing w:val="-2"/>
          <w:sz w:val="16"/>
          <w:szCs w:val="16"/>
        </w:rPr>
        <w:t>Tribunal</w:t>
      </w:r>
      <w:r>
        <w:rPr>
          <w:rFonts w:ascii="Avenir Next" w:eastAsia="Avenir Next" w:hAnsi="Avenir Next" w:cs="Avenir Next"/>
          <w:sz w:val="16"/>
          <w:szCs w:val="16"/>
        </w:rPr>
        <w:t xml:space="preserve"> determined </w:t>
      </w:r>
      <w:r>
        <w:rPr>
          <w:rFonts w:ascii="Avenir Next" w:eastAsia="Avenir Next" w:hAnsi="Avenir Next" w:cs="Avenir Next"/>
          <w:spacing w:val="-1"/>
          <w:sz w:val="16"/>
          <w:szCs w:val="16"/>
        </w:rPr>
        <w:t>that</w:t>
      </w:r>
      <w:r>
        <w:rPr>
          <w:rFonts w:ascii="Avenir Next" w:eastAsia="Avenir Next" w:hAnsi="Avenir Next" w:cs="Avenir Next"/>
          <w:sz w:val="16"/>
          <w:szCs w:val="16"/>
        </w:rPr>
        <w:t xml:space="preserve"> the value of</w:t>
      </w:r>
      <w:r>
        <w:rPr>
          <w:rFonts w:ascii="Avenir Next" w:eastAsia="Avenir Next" w:hAnsi="Avenir Next" w:cs="Avenir Next"/>
          <w:spacing w:val="3"/>
          <w:sz w:val="16"/>
          <w:szCs w:val="16"/>
        </w:rPr>
        <w:t xml:space="preserve"> </w:t>
      </w:r>
      <w:r>
        <w:rPr>
          <w:rFonts w:ascii="Avenir Next" w:eastAsia="Avenir Next" w:hAnsi="Avenir Next" w:cs="Avenir Next"/>
          <w:sz w:val="16"/>
          <w:szCs w:val="16"/>
        </w:rPr>
        <w:t>gamma is 0.25.</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w:t>
      </w:r>
      <w:r>
        <w:rPr>
          <w:rFonts w:ascii="Avenir Next" w:eastAsia="Avenir Next" w:hAnsi="Avenir Next" w:cs="Avenir Next"/>
          <w:i/>
          <w:spacing w:val="-1"/>
          <w:sz w:val="16"/>
          <w:szCs w:val="16"/>
        </w:rPr>
        <w:t>Australian</w:t>
      </w:r>
      <w:r>
        <w:rPr>
          <w:rFonts w:ascii="Avenir Next" w:eastAsia="Avenir Next" w:hAnsi="Avenir Next" w:cs="Avenir Next"/>
          <w:i/>
          <w:spacing w:val="33"/>
          <w:sz w:val="16"/>
          <w:szCs w:val="16"/>
        </w:rPr>
        <w:t xml:space="preserve"> </w:t>
      </w:r>
      <w:r>
        <w:rPr>
          <w:rFonts w:ascii="Avenir Next" w:eastAsia="Avenir Next" w:hAnsi="Avenir Next" w:cs="Avenir Next"/>
          <w:i/>
          <w:spacing w:val="-1"/>
          <w:sz w:val="16"/>
          <w:szCs w:val="16"/>
        </w:rPr>
        <w:t>Competition</w:t>
      </w:r>
      <w:r>
        <w:rPr>
          <w:rFonts w:ascii="Avenir Next" w:eastAsia="Avenir Next" w:hAnsi="Avenir Next" w:cs="Avenir Next"/>
          <w:i/>
          <w:spacing w:val="-4"/>
          <w:sz w:val="16"/>
          <w:szCs w:val="16"/>
        </w:rPr>
        <w:t xml:space="preserve"> </w:t>
      </w:r>
      <w:r>
        <w:rPr>
          <w:rFonts w:ascii="Avenir Next" w:eastAsia="Avenir Next" w:hAnsi="Avenir Next" w:cs="Avenir Next"/>
          <w:i/>
          <w:spacing w:val="-2"/>
          <w:sz w:val="16"/>
          <w:szCs w:val="16"/>
        </w:rPr>
        <w:t>Tribunal,</w:t>
      </w:r>
      <w:r>
        <w:rPr>
          <w:rFonts w:ascii="Avenir Next" w:eastAsia="Avenir Next" w:hAnsi="Avenir Next" w:cs="Avenir Next"/>
          <w:i/>
          <w:spacing w:val="-8"/>
          <w:sz w:val="16"/>
          <w:szCs w:val="16"/>
        </w:rPr>
        <w:t xml:space="preserve"> </w:t>
      </w:r>
      <w:r>
        <w:rPr>
          <w:rFonts w:ascii="Avenir Next" w:eastAsia="Avenir Next" w:hAnsi="Avenir Next" w:cs="Avenir Next"/>
          <w:i/>
          <w:spacing w:val="-1"/>
          <w:sz w:val="16"/>
          <w:szCs w:val="16"/>
        </w:rPr>
        <w:t>Application</w:t>
      </w:r>
      <w:r>
        <w:rPr>
          <w:rFonts w:ascii="Avenir Next" w:eastAsia="Avenir Next" w:hAnsi="Avenir Next" w:cs="Avenir Next"/>
          <w:i/>
          <w:sz w:val="16"/>
          <w:szCs w:val="16"/>
        </w:rPr>
        <w:t xml:space="preserve"> by ENERGEX</w:t>
      </w:r>
      <w:r>
        <w:rPr>
          <w:rFonts w:ascii="Avenir Next" w:eastAsia="Avenir Next" w:hAnsi="Avenir Next" w:cs="Avenir Next"/>
          <w:i/>
          <w:spacing w:val="-2"/>
          <w:sz w:val="16"/>
          <w:szCs w:val="16"/>
        </w:rPr>
        <w:t xml:space="preserve"> </w:t>
      </w:r>
      <w:r>
        <w:rPr>
          <w:rFonts w:ascii="Avenir Next" w:eastAsia="Avenir Next" w:hAnsi="Avenir Next" w:cs="Avenir Next"/>
          <w:i/>
          <w:sz w:val="16"/>
          <w:szCs w:val="16"/>
        </w:rPr>
        <w:t xml:space="preserve">Limited (Gamma) (No 5) </w:t>
      </w:r>
      <w:r>
        <w:rPr>
          <w:rFonts w:ascii="Avenir Next" w:eastAsia="Avenir Next" w:hAnsi="Avenir Next" w:cs="Avenir Next"/>
          <w:sz w:val="16"/>
          <w:szCs w:val="16"/>
        </w:rPr>
        <w:t>[2011]</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ACompT</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 xml:space="preserve">9.) </w:t>
      </w:r>
      <w:r>
        <w:rPr>
          <w:rFonts w:ascii="Avenir Next" w:eastAsia="Avenir Next" w:hAnsi="Avenir Next" w:cs="Avenir Next"/>
          <w:spacing w:val="-3"/>
          <w:sz w:val="16"/>
          <w:szCs w:val="16"/>
        </w:rPr>
        <w:t>IPART</w:t>
      </w:r>
      <w:r>
        <w:rPr>
          <w:rFonts w:ascii="Avenir Next" w:eastAsia="Avenir Next" w:hAnsi="Avenir Next" w:cs="Avenir Next"/>
          <w:spacing w:val="-4"/>
          <w:sz w:val="16"/>
          <w:szCs w:val="16"/>
        </w:rPr>
        <w:t xml:space="preserve"> </w:t>
      </w:r>
      <w:r>
        <w:rPr>
          <w:rFonts w:ascii="Avenir Next" w:eastAsia="Avenir Next" w:hAnsi="Avenir Next" w:cs="Avenir Next"/>
          <w:sz w:val="16"/>
          <w:szCs w:val="16"/>
        </w:rPr>
        <w:t>adopted a gamma of</w:t>
      </w:r>
    </w:p>
    <w:p w:rsidR="00D96B91" w:rsidRDefault="00C2656B">
      <w:pPr>
        <w:spacing w:line="212" w:lineRule="exact"/>
        <w:ind w:left="1757"/>
        <w:rPr>
          <w:rFonts w:ascii="Avenir Next" w:eastAsia="Avenir Next" w:hAnsi="Avenir Next" w:cs="Avenir Next"/>
          <w:sz w:val="16"/>
          <w:szCs w:val="16"/>
        </w:rPr>
      </w:pPr>
      <w:r>
        <w:rPr>
          <w:rFonts w:ascii="Avenir Next"/>
          <w:sz w:val="16"/>
        </w:rPr>
        <w:t xml:space="preserve">0.25 in </w:t>
      </w:r>
      <w:r>
        <w:rPr>
          <w:rFonts w:ascii="Avenir Next"/>
          <w:spacing w:val="-1"/>
          <w:sz w:val="16"/>
        </w:rPr>
        <w:t>March</w:t>
      </w:r>
      <w:r>
        <w:rPr>
          <w:rFonts w:ascii="Avenir Next"/>
          <w:sz w:val="16"/>
        </w:rPr>
        <w:t xml:space="preserve"> 2012 </w:t>
      </w:r>
      <w:r>
        <w:rPr>
          <w:rFonts w:ascii="Avenir Next"/>
          <w:spacing w:val="-1"/>
          <w:sz w:val="16"/>
        </w:rPr>
        <w:t>after</w:t>
      </w:r>
      <w:r>
        <w:rPr>
          <w:rFonts w:ascii="Avenir Next"/>
          <w:sz w:val="16"/>
        </w:rPr>
        <w:t xml:space="preserve"> </w:t>
      </w:r>
      <w:r>
        <w:rPr>
          <w:rFonts w:ascii="Avenir Next"/>
          <w:spacing w:val="-1"/>
          <w:sz w:val="16"/>
        </w:rPr>
        <w:t>stakeholder</w:t>
      </w:r>
      <w:r>
        <w:rPr>
          <w:rFonts w:ascii="Avenir Next"/>
          <w:sz w:val="16"/>
        </w:rPr>
        <w:t xml:space="preserve"> </w:t>
      </w:r>
      <w:r>
        <w:rPr>
          <w:rFonts w:ascii="Avenir Next"/>
          <w:spacing w:val="-1"/>
          <w:sz w:val="16"/>
        </w:rPr>
        <w:t>consultation</w:t>
      </w:r>
      <w:r>
        <w:rPr>
          <w:rFonts w:ascii="Avenir Next"/>
          <w:sz w:val="16"/>
        </w:rPr>
        <w:t xml:space="preserve"> and </w:t>
      </w:r>
      <w:r>
        <w:rPr>
          <w:rFonts w:ascii="Avenir Next"/>
          <w:spacing w:val="-1"/>
          <w:sz w:val="16"/>
        </w:rPr>
        <w:t>consideration</w:t>
      </w:r>
      <w:r>
        <w:rPr>
          <w:rFonts w:ascii="Avenir Next"/>
          <w:sz w:val="16"/>
        </w:rPr>
        <w:t xml:space="preserve"> of</w:t>
      </w:r>
      <w:r>
        <w:rPr>
          <w:rFonts w:ascii="Avenir Next"/>
          <w:spacing w:val="3"/>
          <w:sz w:val="16"/>
        </w:rPr>
        <w:t xml:space="preserve"> </w:t>
      </w:r>
      <w:r>
        <w:rPr>
          <w:rFonts w:ascii="Avenir Next"/>
          <w:sz w:val="16"/>
        </w:rPr>
        <w:t>the</w:t>
      </w:r>
      <w:r>
        <w:rPr>
          <w:rFonts w:ascii="Avenir Next"/>
          <w:spacing w:val="-3"/>
          <w:sz w:val="16"/>
        </w:rPr>
        <w:t xml:space="preserve"> </w:t>
      </w:r>
      <w:r>
        <w:rPr>
          <w:rFonts w:ascii="Avenir Next"/>
          <w:spacing w:val="-2"/>
          <w:sz w:val="16"/>
        </w:rPr>
        <w:t>ACT</w:t>
      </w:r>
      <w:r>
        <w:rPr>
          <w:rFonts w:ascii="Avenir Next"/>
          <w:spacing w:val="-4"/>
          <w:sz w:val="16"/>
        </w:rPr>
        <w:t xml:space="preserve"> </w:t>
      </w:r>
      <w:r>
        <w:rPr>
          <w:rFonts w:ascii="Avenir Next"/>
          <w:sz w:val="16"/>
        </w:rPr>
        <w:t>decision on gamma.</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pacing w:val="-3"/>
          <w:sz w:val="16"/>
        </w:rPr>
        <w:t>ACTEW,</w:t>
      </w:r>
      <w:r>
        <w:rPr>
          <w:rFonts w:ascii="Avenir Next"/>
          <w:spacing w:val="-5"/>
          <w:sz w:val="16"/>
        </w:rPr>
        <w:t xml:space="preserve"> </w:t>
      </w:r>
      <w:r>
        <w:rPr>
          <w:rFonts w:ascii="Avenir Next"/>
          <w:spacing w:val="-1"/>
          <w:sz w:val="16"/>
        </w:rPr>
        <w:t>Statement</w:t>
      </w:r>
      <w:r>
        <w:rPr>
          <w:rFonts w:ascii="Avenir Next"/>
          <w:sz w:val="16"/>
        </w:rPr>
        <w:t xml:space="preserve"> of</w:t>
      </w:r>
      <w:r>
        <w:rPr>
          <w:rFonts w:ascii="Avenir Next"/>
          <w:spacing w:val="3"/>
          <w:sz w:val="16"/>
        </w:rPr>
        <w:t xml:space="preserve"> </w:t>
      </w:r>
      <w:r>
        <w:rPr>
          <w:rFonts w:ascii="Avenir Next"/>
          <w:spacing w:val="-2"/>
          <w:sz w:val="16"/>
        </w:rPr>
        <w:t>Facts</w:t>
      </w:r>
      <w:r>
        <w:rPr>
          <w:rFonts w:ascii="Avenir Next"/>
          <w:sz w:val="16"/>
        </w:rPr>
        <w:t xml:space="preserve"> and </w:t>
      </w:r>
      <w:r>
        <w:rPr>
          <w:rFonts w:ascii="Avenir Next"/>
          <w:spacing w:val="-1"/>
          <w:sz w:val="16"/>
        </w:rPr>
        <w:t>Contentions,</w:t>
      </w:r>
      <w:r>
        <w:rPr>
          <w:rFonts w:ascii="Avenir Next"/>
          <w:spacing w:val="-5"/>
          <w:sz w:val="16"/>
        </w:rPr>
        <w:t xml:space="preserve"> </w:t>
      </w:r>
      <w:r>
        <w:rPr>
          <w:rFonts w:ascii="Avenir Next"/>
          <w:sz w:val="16"/>
        </w:rPr>
        <w:t>31</w:t>
      </w:r>
      <w:r>
        <w:rPr>
          <w:rFonts w:ascii="Avenir Next"/>
          <w:spacing w:val="-2"/>
          <w:sz w:val="16"/>
        </w:rPr>
        <w:t xml:space="preserve"> </w:t>
      </w:r>
      <w:r>
        <w:rPr>
          <w:rFonts w:ascii="Avenir Next"/>
          <w:sz w:val="16"/>
        </w:rPr>
        <w:t>July 2014,</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27.</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sz w:val="16"/>
        </w:rPr>
        <w:t>AER,</w:t>
      </w:r>
      <w:r>
        <w:rPr>
          <w:rFonts w:ascii="Avenir Next"/>
          <w:spacing w:val="-5"/>
          <w:sz w:val="16"/>
        </w:rPr>
        <w:t xml:space="preserve"> </w:t>
      </w:r>
      <w:r>
        <w:rPr>
          <w:rFonts w:ascii="Avenir Next"/>
          <w:spacing w:val="-1"/>
          <w:sz w:val="16"/>
        </w:rPr>
        <w:t>Draft</w:t>
      </w:r>
      <w:r>
        <w:rPr>
          <w:rFonts w:ascii="Avenir Next"/>
          <w:sz w:val="16"/>
        </w:rPr>
        <w:t xml:space="preserve"> </w:t>
      </w:r>
      <w:r>
        <w:rPr>
          <w:rFonts w:ascii="Avenir Next"/>
          <w:spacing w:val="-1"/>
          <w:sz w:val="16"/>
        </w:rPr>
        <w:t>rate</w:t>
      </w:r>
      <w:r>
        <w:rPr>
          <w:rFonts w:ascii="Avenir Next"/>
          <w:sz w:val="16"/>
        </w:rPr>
        <w:t xml:space="preserve"> of</w:t>
      </w:r>
      <w:r>
        <w:rPr>
          <w:rFonts w:ascii="Avenir Next"/>
          <w:spacing w:val="3"/>
          <w:sz w:val="16"/>
        </w:rPr>
        <w:t xml:space="preserve"> </w:t>
      </w:r>
      <w:r>
        <w:rPr>
          <w:rFonts w:ascii="Avenir Next"/>
          <w:spacing w:val="-1"/>
          <w:sz w:val="16"/>
        </w:rPr>
        <w:t>return</w:t>
      </w:r>
      <w:r>
        <w:rPr>
          <w:rFonts w:ascii="Avenir Next"/>
          <w:sz w:val="16"/>
        </w:rPr>
        <w:t xml:space="preserve"> guideline,</w:t>
      </w:r>
      <w:r>
        <w:rPr>
          <w:rFonts w:ascii="Avenir Next"/>
          <w:spacing w:val="-8"/>
          <w:sz w:val="16"/>
        </w:rPr>
        <w:t xml:space="preserve"> </w:t>
      </w:r>
      <w:r>
        <w:rPr>
          <w:rFonts w:ascii="Avenir Next"/>
          <w:sz w:val="16"/>
        </w:rPr>
        <w:t>August 2013,</w:t>
      </w:r>
      <w:r>
        <w:rPr>
          <w:rFonts w:ascii="Avenir Next"/>
          <w:spacing w:val="-5"/>
          <w:sz w:val="16"/>
        </w:rPr>
        <w:t xml:space="preserve"> </w:t>
      </w:r>
      <w:r>
        <w:rPr>
          <w:rFonts w:ascii="Avenir Next"/>
          <w:spacing w:val="-1"/>
          <w:sz w:val="16"/>
        </w:rPr>
        <w:t>p.</w:t>
      </w:r>
      <w:r>
        <w:rPr>
          <w:rFonts w:ascii="Avenir Next"/>
          <w:spacing w:val="-5"/>
          <w:sz w:val="16"/>
        </w:rPr>
        <w:t xml:space="preserve"> </w:t>
      </w:r>
      <w:r>
        <w:rPr>
          <w:rFonts w:ascii="Avenir Next"/>
          <w:sz w:val="16"/>
        </w:rPr>
        <w:t>24.</w:t>
      </w:r>
    </w:p>
    <w:p w:rsidR="00D96B91" w:rsidRDefault="00C2656B">
      <w:pPr>
        <w:numPr>
          <w:ilvl w:val="0"/>
          <w:numId w:val="24"/>
        </w:numPr>
        <w:tabs>
          <w:tab w:val="left" w:pos="1758"/>
        </w:tabs>
        <w:spacing w:before="121"/>
        <w:ind w:hanging="510"/>
        <w:rPr>
          <w:rFonts w:ascii="Avenir Next" w:eastAsia="Avenir Next" w:hAnsi="Avenir Next" w:cs="Avenir Next"/>
          <w:sz w:val="16"/>
          <w:szCs w:val="16"/>
        </w:rPr>
      </w:pPr>
      <w:r>
        <w:rPr>
          <w:rFonts w:ascii="Avenir Next" w:eastAsia="Avenir Next" w:hAnsi="Avenir Next" w:cs="Avenir Next"/>
          <w:sz w:val="16"/>
          <w:szCs w:val="16"/>
        </w:rPr>
        <w:t>AER,</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Explanatory</w:t>
      </w:r>
      <w:r>
        <w:rPr>
          <w:rFonts w:ascii="Avenir Next" w:eastAsia="Avenir Next" w:hAnsi="Avenir Next" w:cs="Avenir Next"/>
          <w:sz w:val="16"/>
          <w:szCs w:val="16"/>
        </w:rPr>
        <w:t xml:space="preserve"> </w:t>
      </w:r>
      <w:r>
        <w:rPr>
          <w:rFonts w:ascii="Avenir Next" w:eastAsia="Avenir Next" w:hAnsi="Avenir Next" w:cs="Avenir Next"/>
          <w:spacing w:val="-1"/>
          <w:sz w:val="16"/>
          <w:szCs w:val="16"/>
        </w:rPr>
        <w:t>Statement</w:t>
      </w:r>
      <w:r>
        <w:rPr>
          <w:rFonts w:ascii="Avenir Next" w:eastAsia="Avenir Next" w:hAnsi="Avenir Next" w:cs="Avenir Next"/>
          <w:sz w:val="16"/>
          <w:szCs w:val="16"/>
        </w:rPr>
        <w:t xml:space="preserve"> – </w:t>
      </w:r>
      <w:r>
        <w:rPr>
          <w:rFonts w:ascii="Avenir Next" w:eastAsia="Avenir Next" w:hAnsi="Avenir Next" w:cs="Avenir Next"/>
          <w:spacing w:val="-1"/>
          <w:sz w:val="16"/>
          <w:szCs w:val="16"/>
        </w:rPr>
        <w:t>Rate</w:t>
      </w:r>
      <w:r>
        <w:rPr>
          <w:rFonts w:ascii="Avenir Next" w:eastAsia="Avenir Next" w:hAnsi="Avenir Next" w:cs="Avenir Next"/>
          <w:sz w:val="16"/>
          <w:szCs w:val="16"/>
        </w:rPr>
        <w:t xml:space="preserve"> of</w:t>
      </w:r>
      <w:r>
        <w:rPr>
          <w:rFonts w:ascii="Avenir Next" w:eastAsia="Avenir Next" w:hAnsi="Avenir Next" w:cs="Avenir Next"/>
          <w:spacing w:val="3"/>
          <w:sz w:val="16"/>
          <w:szCs w:val="16"/>
        </w:rPr>
        <w:t xml:space="preserve"> </w:t>
      </w:r>
      <w:r>
        <w:rPr>
          <w:rFonts w:ascii="Avenir Next" w:eastAsia="Avenir Next" w:hAnsi="Avenir Next" w:cs="Avenir Next"/>
          <w:spacing w:val="-1"/>
          <w:sz w:val="16"/>
          <w:szCs w:val="16"/>
        </w:rPr>
        <w:t>return</w:t>
      </w:r>
      <w:r>
        <w:rPr>
          <w:rFonts w:ascii="Avenir Next" w:eastAsia="Avenir Next" w:hAnsi="Avenir Next" w:cs="Avenir Next"/>
          <w:sz w:val="16"/>
          <w:szCs w:val="16"/>
        </w:rPr>
        <w:t xml:space="preserve"> guideline,</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December 2013,</w:t>
      </w:r>
      <w:r>
        <w:rPr>
          <w:rFonts w:ascii="Avenir Next" w:eastAsia="Avenir Next" w:hAnsi="Avenir Next" w:cs="Avenir Next"/>
          <w:spacing w:val="-5"/>
          <w:sz w:val="16"/>
          <w:szCs w:val="16"/>
        </w:rPr>
        <w:t xml:space="preserve"> </w:t>
      </w:r>
      <w:r>
        <w:rPr>
          <w:rFonts w:ascii="Avenir Next" w:eastAsia="Avenir Next" w:hAnsi="Avenir Next" w:cs="Avenir Next"/>
          <w:spacing w:val="-1"/>
          <w:sz w:val="16"/>
          <w:szCs w:val="16"/>
        </w:rPr>
        <w:t>p.</w:t>
      </w:r>
      <w:r>
        <w:rPr>
          <w:rFonts w:ascii="Avenir Next" w:eastAsia="Avenir Next" w:hAnsi="Avenir Next" w:cs="Avenir Next"/>
          <w:spacing w:val="-5"/>
          <w:sz w:val="16"/>
          <w:szCs w:val="16"/>
        </w:rPr>
        <w:t xml:space="preserve"> </w:t>
      </w:r>
      <w:r>
        <w:rPr>
          <w:rFonts w:ascii="Avenir Next" w:eastAsia="Avenir Next" w:hAnsi="Avenir Next" w:cs="Avenir Next"/>
          <w:sz w:val="16"/>
          <w:szCs w:val="16"/>
        </w:rPr>
        <w:t>12.</w:t>
      </w:r>
    </w:p>
    <w:p w:rsidR="00D96B91" w:rsidRDefault="00D96B91">
      <w:pPr>
        <w:rPr>
          <w:rFonts w:ascii="Avenir Next" w:eastAsia="Avenir Next" w:hAnsi="Avenir Next" w:cs="Avenir Next"/>
          <w:sz w:val="16"/>
          <w:szCs w:val="16"/>
        </w:rPr>
        <w:sectPr w:rsidR="00D96B91">
          <w:pgSz w:w="11910" w:h="16840"/>
          <w:pgMar w:top="1200" w:right="0" w:bottom="1020" w:left="0" w:header="0" w:footer="829" w:gutter="0"/>
          <w:cols w:space="720"/>
        </w:sectPr>
      </w:pPr>
    </w:p>
    <w:p w:rsidR="00D96B91" w:rsidRDefault="00C2656B">
      <w:pPr>
        <w:tabs>
          <w:tab w:val="left" w:pos="3628"/>
        </w:tabs>
        <w:spacing w:line="516" w:lineRule="exact"/>
        <w:ind w:left="1247"/>
        <w:rPr>
          <w:rFonts w:ascii="Avenir Next Medium" w:eastAsia="Avenir Next Medium" w:hAnsi="Avenir Next Medium" w:cs="Avenir Next Medium"/>
          <w:sz w:val="40"/>
          <w:szCs w:val="40"/>
        </w:rPr>
      </w:pPr>
      <w:bookmarkStart w:id="239" w:name="Appendix_9_Equity_beta_empirical_analysi"/>
      <w:bookmarkStart w:id="240" w:name="_bookmark153"/>
      <w:bookmarkEnd w:id="239"/>
      <w:bookmarkEnd w:id="240"/>
      <w:r>
        <w:rPr>
          <w:rFonts w:ascii="Avenir Next Medium"/>
          <w:color w:val="0778BE"/>
          <w:sz w:val="40"/>
        </w:rPr>
        <w:t>Appendix 9</w:t>
      </w:r>
      <w:r>
        <w:rPr>
          <w:rFonts w:ascii="Avenir Next Medium"/>
          <w:color w:val="0778BE"/>
          <w:sz w:val="40"/>
        </w:rPr>
        <w:tab/>
        <w:t>Equity beta empirical analysis</w:t>
      </w:r>
    </w:p>
    <w:p w:rsidR="00D96B91" w:rsidRDefault="00C2656B">
      <w:pPr>
        <w:pStyle w:val="BodyText"/>
        <w:spacing w:before="359" w:line="260" w:lineRule="exact"/>
        <w:ind w:right="1356"/>
      </w:pPr>
      <w:r>
        <w:rPr>
          <w:spacing w:val="-1"/>
        </w:rPr>
        <w:t>This</w:t>
      </w:r>
      <w:r>
        <w:t xml:space="preserve"> appendix </w:t>
      </w:r>
      <w:r>
        <w:rPr>
          <w:spacing w:val="-1"/>
        </w:rPr>
        <w:t>provides</w:t>
      </w:r>
      <w:r>
        <w:t xml:space="preserve"> an overview of</w:t>
      </w:r>
      <w:r>
        <w:rPr>
          <w:spacing w:val="4"/>
        </w:rPr>
        <w:t xml:space="preserve"> </w:t>
      </w:r>
      <w:r>
        <w:t xml:space="preserve">the way in which the empirical </w:t>
      </w:r>
      <w:r>
        <w:rPr>
          <w:spacing w:val="-1"/>
        </w:rPr>
        <w:t>estimates</w:t>
      </w:r>
      <w:r>
        <w:t xml:space="preserve"> of</w:t>
      </w:r>
      <w:r>
        <w:rPr>
          <w:spacing w:val="4"/>
        </w:rPr>
        <w:t xml:space="preserve"> </w:t>
      </w:r>
      <w:r>
        <w:t>the equity betas of</w:t>
      </w:r>
      <w:r>
        <w:rPr>
          <w:spacing w:val="21"/>
        </w:rPr>
        <w:t xml:space="preserve"> </w:t>
      </w:r>
      <w:r>
        <w:t xml:space="preserve">16 listed </w:t>
      </w:r>
      <w:r>
        <w:rPr>
          <w:spacing w:val="-1"/>
        </w:rPr>
        <w:t>water</w:t>
      </w:r>
      <w:r>
        <w:t xml:space="preserve"> utilities in the US and UK</w:t>
      </w:r>
      <w:r>
        <w:rPr>
          <w:spacing w:val="-3"/>
        </w:rPr>
        <w:t xml:space="preserve"> </w:t>
      </w:r>
      <w:r>
        <w:rPr>
          <w:spacing w:val="-1"/>
        </w:rPr>
        <w:t>were</w:t>
      </w:r>
      <w:r>
        <w:t xml:space="preserve"> derived.</w:t>
      </w:r>
    </w:p>
    <w:p w:rsidR="00D96B91" w:rsidRDefault="00D96B91">
      <w:pPr>
        <w:spacing w:before="9"/>
        <w:rPr>
          <w:rFonts w:ascii="Avenir Next" w:eastAsia="Avenir Next" w:hAnsi="Avenir Next" w:cs="Avenir Next"/>
          <w:sz w:val="29"/>
          <w:szCs w:val="29"/>
        </w:rPr>
      </w:pPr>
    </w:p>
    <w:p w:rsidR="00D96B91" w:rsidRDefault="00C2656B">
      <w:pPr>
        <w:pStyle w:val="Heading4"/>
        <w:tabs>
          <w:tab w:val="left" w:pos="2267"/>
        </w:tabs>
      </w:pPr>
      <w:r>
        <w:rPr>
          <w:color w:val="0778BE"/>
        </w:rPr>
        <w:t>A9.</w:t>
      </w:r>
      <w:r>
        <w:rPr>
          <w:color w:val="0778BE"/>
          <w:spacing w:val="-9"/>
        </w:rPr>
        <w:t xml:space="preserve"> </w:t>
      </w:r>
      <w:r>
        <w:rPr>
          <w:color w:val="0778BE"/>
        </w:rPr>
        <w:t>1</w:t>
      </w:r>
      <w:r>
        <w:rPr>
          <w:color w:val="0778BE"/>
        </w:rPr>
        <w:tab/>
        <w:t xml:space="preserve">Empirical </w:t>
      </w:r>
      <w:r>
        <w:rPr>
          <w:color w:val="0778BE"/>
          <w:spacing w:val="-1"/>
        </w:rPr>
        <w:t>estimates</w:t>
      </w:r>
    </w:p>
    <w:p w:rsidR="00D96B91" w:rsidRDefault="00C2656B">
      <w:pPr>
        <w:pStyle w:val="BodyText"/>
        <w:spacing w:before="55" w:line="260" w:lineRule="exact"/>
        <w:ind w:right="1256"/>
      </w:pPr>
      <w:r>
        <w:rPr>
          <w:spacing w:val="-10"/>
        </w:rPr>
        <w:t>To</w:t>
      </w:r>
      <w:r>
        <w:rPr>
          <w:spacing w:val="-1"/>
        </w:rPr>
        <w:t xml:space="preserve"> estimate</w:t>
      </w:r>
      <w:r>
        <w:t xml:space="preserve"> empirically the</w:t>
      </w:r>
      <w:r>
        <w:rPr>
          <w:spacing w:val="-1"/>
        </w:rPr>
        <w:t xml:space="preserve"> likely</w:t>
      </w:r>
      <w:r>
        <w:t xml:space="preserve"> equity beta of</w:t>
      </w:r>
      <w:r>
        <w:rPr>
          <w:spacing w:val="3"/>
        </w:rPr>
        <w:t xml:space="preserve"> </w:t>
      </w:r>
      <w:r>
        <w:t xml:space="preserve">a typical </w:t>
      </w:r>
      <w:r>
        <w:rPr>
          <w:spacing w:val="-1"/>
        </w:rPr>
        <w:t>water</w:t>
      </w:r>
      <w:r>
        <w:t xml:space="preserve"> </w:t>
      </w:r>
      <w:r>
        <w:rPr>
          <w:spacing w:val="-1"/>
        </w:rPr>
        <w:t>utility,</w:t>
      </w:r>
      <w:r>
        <w:rPr>
          <w:spacing w:val="-7"/>
        </w:rPr>
        <w:t xml:space="preserve"> </w:t>
      </w:r>
      <w:r>
        <w:t>the same set of</w:t>
      </w:r>
      <w:r>
        <w:rPr>
          <w:spacing w:val="3"/>
        </w:rPr>
        <w:t xml:space="preserve"> </w:t>
      </w:r>
      <w:r>
        <w:rPr>
          <w:spacing w:val="-1"/>
        </w:rPr>
        <w:t>comparable</w:t>
      </w:r>
      <w:r>
        <w:t xml:space="preserve"> firms</w:t>
      </w:r>
      <w:r>
        <w:rPr>
          <w:spacing w:val="37"/>
          <w:w w:val="99"/>
        </w:rPr>
        <w:t xml:space="preserve"> </w:t>
      </w:r>
      <w:r>
        <w:rPr>
          <w:spacing w:val="-1"/>
        </w:rPr>
        <w:t>that</w:t>
      </w:r>
      <w:r>
        <w:t xml:space="preserve"> </w:t>
      </w:r>
      <w:r>
        <w:rPr>
          <w:spacing w:val="-1"/>
        </w:rPr>
        <w:t>were</w:t>
      </w:r>
      <w:r>
        <w:t xml:space="preserve"> used in the </w:t>
      </w:r>
      <w:r>
        <w:rPr>
          <w:spacing w:val="-1"/>
        </w:rPr>
        <w:t>gearing</w:t>
      </w:r>
      <w:r>
        <w:t xml:space="preserve"> analysis was used.</w:t>
      </w:r>
      <w:r>
        <w:rPr>
          <w:spacing w:val="-6"/>
        </w:rPr>
        <w:t xml:space="preserve"> </w:t>
      </w:r>
      <w:r>
        <w:t xml:space="preserve">Monthly stock </w:t>
      </w:r>
      <w:r>
        <w:rPr>
          <w:spacing w:val="-1"/>
        </w:rPr>
        <w:t>returns</w:t>
      </w:r>
      <w:r>
        <w:t xml:space="preserve"> of</w:t>
      </w:r>
      <w:r>
        <w:rPr>
          <w:spacing w:val="4"/>
        </w:rPr>
        <w:t xml:space="preserve"> </w:t>
      </w:r>
      <w:r>
        <w:t>the 16 US and UK</w:t>
      </w:r>
      <w:r>
        <w:rPr>
          <w:spacing w:val="-3"/>
        </w:rPr>
        <w:t xml:space="preserve"> </w:t>
      </w:r>
      <w:r>
        <w:rPr>
          <w:spacing w:val="-1"/>
        </w:rPr>
        <w:t>water</w:t>
      </w:r>
      <w:r>
        <w:rPr>
          <w:spacing w:val="27"/>
        </w:rPr>
        <w:t xml:space="preserve"> </w:t>
      </w:r>
      <w:r>
        <w:t>utilities shown in</w:t>
      </w:r>
      <w:r>
        <w:rPr>
          <w:spacing w:val="-5"/>
        </w:rPr>
        <w:t xml:space="preserve"> </w:t>
      </w:r>
      <w:r>
        <w:rPr>
          <w:spacing w:val="-4"/>
        </w:rPr>
        <w:t xml:space="preserve">Table </w:t>
      </w:r>
      <w:r>
        <w:t xml:space="preserve">A8.9 have been downloaded </w:t>
      </w:r>
      <w:r>
        <w:rPr>
          <w:spacing w:val="-1"/>
        </w:rPr>
        <w:t>from</w:t>
      </w:r>
      <w:r>
        <w:rPr>
          <w:spacing w:val="-5"/>
        </w:rPr>
        <w:t xml:space="preserve"> </w:t>
      </w:r>
      <w:r>
        <w:rPr>
          <w:spacing w:val="-1"/>
        </w:rPr>
        <w:t>Thomson</w:t>
      </w:r>
      <w:r>
        <w:t xml:space="preserve"> </w:t>
      </w:r>
      <w:r>
        <w:rPr>
          <w:spacing w:val="-1"/>
        </w:rPr>
        <w:t>Reuters</w:t>
      </w:r>
      <w:r>
        <w:t xml:space="preserve"> </w:t>
      </w:r>
      <w:r>
        <w:rPr>
          <w:spacing w:val="-1"/>
        </w:rPr>
        <w:t>Datastream.</w:t>
      </w:r>
      <w:r>
        <w:rPr>
          <w:spacing w:val="-6"/>
        </w:rPr>
        <w:t xml:space="preserve"> </w:t>
      </w:r>
      <w:r>
        <w:t>Equity betas</w:t>
      </w:r>
      <w:r>
        <w:rPr>
          <w:spacing w:val="21"/>
        </w:rPr>
        <w:t xml:space="preserve"> </w:t>
      </w:r>
      <w:r>
        <w:t>have</w:t>
      </w:r>
      <w:r>
        <w:rPr>
          <w:spacing w:val="-1"/>
        </w:rPr>
        <w:t xml:space="preserve"> </w:t>
      </w:r>
      <w:r>
        <w:t xml:space="preserve">been </w:t>
      </w:r>
      <w:r>
        <w:rPr>
          <w:spacing w:val="-1"/>
        </w:rPr>
        <w:t>estimated</w:t>
      </w:r>
      <w:r>
        <w:t xml:space="preserve"> using monthly</w:t>
      </w:r>
      <w:r>
        <w:rPr>
          <w:spacing w:val="-1"/>
        </w:rPr>
        <w:t xml:space="preserve"> </w:t>
      </w:r>
      <w:r>
        <w:t xml:space="preserve">stock </w:t>
      </w:r>
      <w:r>
        <w:rPr>
          <w:spacing w:val="-1"/>
        </w:rPr>
        <w:t>returns</w:t>
      </w:r>
      <w:r>
        <w:t xml:space="preserve"> over the</w:t>
      </w:r>
      <w:r>
        <w:rPr>
          <w:spacing w:val="-1"/>
        </w:rPr>
        <w:t xml:space="preserve"> </w:t>
      </w:r>
      <w:r>
        <w:t xml:space="preserve">five </w:t>
      </w:r>
      <w:r>
        <w:rPr>
          <w:spacing w:val="-1"/>
        </w:rPr>
        <w:t>years</w:t>
      </w:r>
      <w:r>
        <w:t xml:space="preserve"> to 31 May</w:t>
      </w:r>
      <w:r>
        <w:rPr>
          <w:spacing w:val="-1"/>
        </w:rPr>
        <w:t xml:space="preserve"> </w:t>
      </w:r>
      <w:r>
        <w:t>2013.</w:t>
      </w:r>
    </w:p>
    <w:p w:rsidR="00D96B91" w:rsidRDefault="00C2656B">
      <w:pPr>
        <w:pStyle w:val="BodyText"/>
        <w:spacing w:before="170" w:line="260" w:lineRule="exact"/>
        <w:ind w:right="1642"/>
        <w:jc w:val="both"/>
      </w:pPr>
      <w:r>
        <w:rPr>
          <w:spacing w:val="-2"/>
        </w:rPr>
        <w:t>Formulaically,</w:t>
      </w:r>
      <w:r>
        <w:rPr>
          <w:spacing w:val="-7"/>
        </w:rPr>
        <w:t xml:space="preserve"> </w:t>
      </w:r>
      <w:r>
        <w:t>a beta</w:t>
      </w:r>
      <w:r>
        <w:rPr>
          <w:spacing w:val="-1"/>
        </w:rPr>
        <w:t xml:space="preserve"> </w:t>
      </w:r>
      <w:r>
        <w:t>is defined</w:t>
      </w:r>
      <w:r>
        <w:rPr>
          <w:spacing w:val="-1"/>
        </w:rPr>
        <w:t xml:space="preserve"> </w:t>
      </w:r>
      <w:r>
        <w:t>as the</w:t>
      </w:r>
      <w:r>
        <w:rPr>
          <w:spacing w:val="-1"/>
        </w:rPr>
        <w:t xml:space="preserve"> </w:t>
      </w:r>
      <w:r>
        <w:t>covariance between</w:t>
      </w:r>
      <w:r>
        <w:rPr>
          <w:spacing w:val="-1"/>
        </w:rPr>
        <w:t xml:space="preserve"> </w:t>
      </w:r>
      <w:r>
        <w:t xml:space="preserve">stock </w:t>
      </w:r>
      <w:r>
        <w:rPr>
          <w:spacing w:val="-1"/>
        </w:rPr>
        <w:t xml:space="preserve">returns </w:t>
      </w:r>
      <w:r>
        <w:t xml:space="preserve">and </w:t>
      </w:r>
      <w:r>
        <w:rPr>
          <w:spacing w:val="-1"/>
        </w:rPr>
        <w:t>market returns</w:t>
      </w:r>
      <w:r>
        <w:t xml:space="preserve"> divided</w:t>
      </w:r>
      <w:r>
        <w:rPr>
          <w:spacing w:val="37"/>
        </w:rPr>
        <w:t xml:space="preserve"> </w:t>
      </w:r>
      <w:r>
        <w:rPr>
          <w:rFonts w:cs="Avenir Next"/>
        </w:rPr>
        <w:t>by the variance of</w:t>
      </w:r>
      <w:r>
        <w:rPr>
          <w:rFonts w:cs="Avenir Next"/>
          <w:spacing w:val="4"/>
        </w:rPr>
        <w:t xml:space="preserve"> </w:t>
      </w:r>
      <w:r>
        <w:rPr>
          <w:rFonts w:cs="Avenir Next"/>
        </w:rPr>
        <w:t xml:space="preserve">the </w:t>
      </w:r>
      <w:r>
        <w:rPr>
          <w:rFonts w:cs="Avenir Next"/>
          <w:spacing w:val="-1"/>
        </w:rPr>
        <w:t>market</w:t>
      </w:r>
      <w:r>
        <w:rPr>
          <w:rFonts w:cs="Avenir Next"/>
        </w:rPr>
        <w:t xml:space="preserve"> </w:t>
      </w:r>
      <w:r>
        <w:rPr>
          <w:rFonts w:cs="Avenir Next"/>
          <w:spacing w:val="-1"/>
        </w:rPr>
        <w:t>returns</w:t>
      </w:r>
      <w:r>
        <w:rPr>
          <w:rFonts w:cs="Avenir Next"/>
        </w:rPr>
        <w:t xml:space="preserve"> and is usually </w:t>
      </w:r>
      <w:r>
        <w:rPr>
          <w:rFonts w:cs="Avenir Next"/>
          <w:spacing w:val="-1"/>
        </w:rPr>
        <w:t>estimated</w:t>
      </w:r>
      <w:r>
        <w:rPr>
          <w:rFonts w:cs="Avenir Next"/>
        </w:rPr>
        <w:t xml:space="preserve"> based on the following </w:t>
      </w:r>
      <w:r>
        <w:rPr>
          <w:rFonts w:cs="Avenir Next"/>
          <w:spacing w:val="-1"/>
        </w:rPr>
        <w:t>ordinary</w:t>
      </w:r>
      <w:r>
        <w:rPr>
          <w:rFonts w:cs="Avenir Next"/>
        </w:rPr>
        <w:t xml:space="preserve"> </w:t>
      </w:r>
      <w:r>
        <w:rPr>
          <w:rFonts w:cs="Avenir Next"/>
          <w:spacing w:val="-1"/>
        </w:rPr>
        <w:t>least</w:t>
      </w:r>
      <w:r>
        <w:rPr>
          <w:rFonts w:cs="Avenir Next"/>
          <w:spacing w:val="37"/>
        </w:rPr>
        <w:t xml:space="preserve"> </w:t>
      </w:r>
      <w:r>
        <w:rPr>
          <w:spacing w:val="-1"/>
        </w:rPr>
        <w:t>squares</w:t>
      </w:r>
      <w:r>
        <w:t xml:space="preserve"> (OLS) </w:t>
      </w:r>
      <w:r>
        <w:rPr>
          <w:spacing w:val="-1"/>
        </w:rPr>
        <w:t>regression</w:t>
      </w:r>
      <w:r>
        <w:t xml:space="preserve"> using </w:t>
      </w:r>
      <w:r>
        <w:rPr>
          <w:spacing w:val="-2"/>
        </w:rPr>
        <w:t>“excess</w:t>
      </w:r>
      <w:r>
        <w:t xml:space="preserve"> </w:t>
      </w:r>
      <w:r>
        <w:rPr>
          <w:spacing w:val="-4"/>
        </w:rPr>
        <w:t>returns”.</w:t>
      </w:r>
    </w:p>
    <w:p w:rsidR="00D96B91" w:rsidRDefault="00D96B91">
      <w:pPr>
        <w:spacing w:before="11"/>
        <w:rPr>
          <w:rFonts w:ascii="Avenir Next" w:eastAsia="Avenir Next" w:hAnsi="Avenir Next" w:cs="Avenir Next"/>
          <w:sz w:val="20"/>
          <w:szCs w:val="20"/>
        </w:rPr>
      </w:pPr>
    </w:p>
    <w:p w:rsidR="00D96B91" w:rsidRDefault="00D96B91">
      <w:pPr>
        <w:spacing w:line="180" w:lineRule="atLeast"/>
        <w:ind w:left="4139"/>
        <w:rPr>
          <w:rFonts w:ascii="Avenir Next" w:eastAsia="Avenir Next" w:hAnsi="Avenir Next" w:cs="Avenir Next"/>
          <w:sz w:val="18"/>
          <w:szCs w:val="18"/>
        </w:rPr>
      </w:pPr>
      <w:r w:rsidRPr="00D96B91">
        <w:rPr>
          <w:rFonts w:ascii="Avenir Next"/>
          <w:position w:val="1"/>
          <w:sz w:val="18"/>
        </w:rPr>
      </w:r>
      <w:r w:rsidRPr="00D96B91">
        <w:rPr>
          <w:rFonts w:ascii="Avenir Next"/>
          <w:position w:val="1"/>
          <w:sz w:val="18"/>
        </w:rPr>
        <w:pict>
          <v:group id="_x0000_s1269" style="width:13pt;height:9.25pt;mso-position-horizontal-relative:char;mso-position-vertical-relative:line" coordsize="260,185">
            <v:group id="_x0000_s1281" style="position:absolute;width:108;height:114" coordsize="108,114">
              <v:shape id="_x0000_s1285" style="position:absolute;width:108;height:114" coordsize="108,114" path="m50,13r-22,l29,14r2,3l32,18r,7l31,28r,3l30,35r-1,5l12,114r20,l44,63r1,-7l47,50,52,40r4,-5l60,30r-11,l48,30r1,-4l50,22r,-9xe" fillcolor="black" stroked="f">
                <v:path arrowok="t"/>
              </v:shape>
              <v:shape id="_x0000_s1284" style="position:absolute;width:108;height:114" coordsize="108,114" path="m99,l86,,79,3,64,12r-7,8l49,30r11,l64,25r4,-4l74,16r3,-1l104,15,107,1r-4,l99,xe" fillcolor="black" stroked="f">
                <v:path arrowok="t"/>
              </v:shape>
              <v:shape id="_x0000_s1283" style="position:absolute;width:108;height:114" coordsize="108,114" path="m104,15r-22,l83,16r3,1l87,18r1,4l89,24r1,4l102,28r2,-13xe" fillcolor="black" stroked="f">
                <v:path arrowok="t"/>
              </v:shape>
              <v:shape id="_x0000_s1282" style="position:absolute;width:108;height:114" coordsize="108,114" path="m39,l28,,23,2,13,8,7,13,,21r7,6l11,22r4,-4l20,14r3,-1l50,13r,-1l49,8,43,2,39,xe" fillcolor="black" stroked="f">
                <v:path arrowok="t"/>
              </v:shape>
            </v:group>
            <v:group id="_x0000_s1278" style="position:absolute;left:100;top:78;width:41;height:86" coordorigin="100,78" coordsize="41,86">
              <v:shape id="_x0000_s1280" style="position:absolute;left:100;top:78;width:41;height:86" coordorigin="100,78" coordsize="41,86" path="m130,78r-4,l102,79r-1,5l105,85r2,l110,87r1,2l111,93r-7,33l103,129r-1,7l101,139r-1,4l100,151r,1l112,164r4,l136,152r-17,l118,152r-2,-2l116,149r,-7l117,139r,-2l118,133,130,78xe" fillcolor="black" stroked="f">
                <v:path arrowok="t"/>
              </v:shape>
              <v:shape id="_x0000_s1279" style="position:absolute;left:100;top:78;width:41;height:86" coordorigin="100,78" coordsize="41,86" path="m135,142r-13,10l136,152r2,-2l141,148r-6,-6xe" fillcolor="black" stroked="f">
                <v:path arrowok="t"/>
              </v:shape>
            </v:group>
            <v:group id="_x0000_s1274" style="position:absolute;left:199;top:58;width:61;height:106" coordorigin="199,58" coordsize="61,106">
              <v:shape id="_x0000_s1277" style="position:absolute;left:199;top:58;width:61;height:106" coordorigin="199,58" coordsize="61,106" path="m229,88r-16,l203,133r-1,3l202,140r-1,11l203,156r6,6l214,164r10,l245,152r-21,l221,151r-3,-3l218,145r,-7l218,136r1,-3l220,127r1,-4l229,88xe" fillcolor="black" stroked="f">
                <v:path arrowok="t"/>
              </v:shape>
              <v:shape id="_x0000_s1276" style="position:absolute;left:199;top:58;width:61;height:106" coordorigin="199,58" coordsize="61,106" path="m245,140r-3,4l238,147r-6,4l229,152r16,l246,152r2,-3l251,146r-6,-6xe" fillcolor="black" stroked="f">
                <v:path arrowok="t"/>
              </v:shape>
              <v:shape id="_x0000_s1275" style="position:absolute;left:199;top:58;width:61;height:106" coordorigin="199,58" coordsize="61,106" path="m236,58r-13,l221,63r-2,5l204,82r-4,l199,88r58,l259,79r-28,l236,58xe" fillcolor="black" stroked="f">
                <v:path arrowok="t"/>
              </v:shape>
            </v:group>
            <v:group id="_x0000_s1272" style="position:absolute;left:117;top:44;width:21;height:18" coordorigin="117,44" coordsize="21,18">
              <v:shape id="_x0000_s1273" style="position:absolute;left:117;top:44;width:21;height:18" coordorigin="117,44" coordsize="21,18" path="m138,44r-17,l117,62r17,l138,44xe" fillcolor="black" stroked="f">
                <v:path arrowok="t"/>
              </v:shape>
            </v:group>
            <v:group id="_x0000_s1270" style="position:absolute;left:153;top:143;width:25;height:43" coordorigin="153,143" coordsize="25,43">
              <v:shape id="_x0000_s1271" style="position:absolute;left:153;top:143;width:25;height:43" coordorigin="153,143" coordsize="25,43" path="m177,143r-15,l162,147r,15l153,180r4,5l178,158r,-8l177,147r,-4xe" fillcolor="black" stroked="f">
                <v:path arrowok="t"/>
              </v:shape>
            </v:group>
            <w10:wrap type="none"/>
            <w10:anchorlock/>
          </v:group>
        </w:pict>
      </w:r>
      <w:r w:rsidR="00C2656B">
        <w:rPr>
          <w:rFonts w:ascii="Times New Roman"/>
          <w:spacing w:val="32"/>
          <w:position w:val="1"/>
          <w:sz w:val="18"/>
        </w:rPr>
        <w:t xml:space="preserve"> </w:t>
      </w:r>
      <w:r w:rsidR="00C2656B">
        <w:rPr>
          <w:rFonts w:ascii="Avenir Next"/>
          <w:noProof/>
          <w:spacing w:val="32"/>
          <w:sz w:val="20"/>
          <w:lang w:val="en-AU" w:eastAsia="en-AU"/>
        </w:rPr>
        <w:drawing>
          <wp:inline distT="0" distB="0" distL="0" distR="0">
            <wp:extent cx="1282965" cy="165163"/>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122" cstate="print"/>
                    <a:stretch>
                      <a:fillRect/>
                    </a:stretch>
                  </pic:blipFill>
                  <pic:spPr>
                    <a:xfrm>
                      <a:off x="0" y="0"/>
                      <a:ext cx="1282965" cy="165163"/>
                    </a:xfrm>
                    <a:prstGeom prst="rect">
                      <a:avLst/>
                    </a:prstGeom>
                  </pic:spPr>
                </pic:pic>
              </a:graphicData>
            </a:graphic>
          </wp:inline>
        </w:drawing>
      </w:r>
      <w:r w:rsidR="00C2656B">
        <w:rPr>
          <w:rFonts w:ascii="Times New Roman"/>
          <w:spacing w:val="30"/>
          <w:sz w:val="18"/>
        </w:rPr>
        <w:t xml:space="preserve"> </w:t>
      </w:r>
      <w:r w:rsidRPr="00D96B91">
        <w:rPr>
          <w:rFonts w:ascii="Avenir Next"/>
          <w:spacing w:val="30"/>
          <w:sz w:val="20"/>
        </w:rPr>
      </w:r>
      <w:r w:rsidRPr="00D96B91">
        <w:rPr>
          <w:rFonts w:ascii="Avenir Next"/>
          <w:spacing w:val="30"/>
          <w:sz w:val="20"/>
        </w:rPr>
        <w:pict>
          <v:group id="_x0000_s1249" style="width:30.4pt;height:12.55pt;mso-position-horizontal-relative:char;mso-position-vertical-relative:line" coordsize="608,251">
            <v:group id="_x0000_s1265" style="position:absolute;left:452;top:113;width:61;height:106" coordorigin="452,113" coordsize="61,106">
              <v:shape id="_x0000_s1268" style="position:absolute;left:452;top:113;width:61;height:106" coordorigin="452,113" coordsize="61,106" path="m482,143r-16,l456,186r,3l455,191r,4l455,207r1,4l463,217r5,2l477,219r21,-11l477,208r-3,-1l472,203r-1,-3l471,194r,-3l472,186r1,-3l473,181r9,-38xe" fillcolor="black" stroked="f">
                <v:path arrowok="t"/>
              </v:shape>
              <v:shape id="_x0000_s1267" style="position:absolute;left:452;top:113;width:61;height:106" coordorigin="452,113" coordsize="61,106" path="m499,195r-4,5l491,203r-6,4l483,208r15,l499,207r3,-3l504,201r-5,-6xe" fillcolor="black" stroked="f">
                <v:path arrowok="t"/>
              </v:shape>
              <v:shape id="_x0000_s1266" style="position:absolute;left:452;top:113;width:61;height:106" coordorigin="452,113" coordsize="61,106" path="m489,113r-13,l474,118r-2,5l457,137r-3,l452,143r59,l512,134r-28,l489,113xe" fillcolor="black" stroked="f">
                <v:path arrowok="t"/>
              </v:shape>
            </v:group>
            <v:group id="_x0000_s1263" style="position:absolute;left:534;width:74;height:217" coordorigin="534" coordsize="74,217">
              <v:shape id="_x0000_s1264" style="position:absolute;left:534;width:74;height:217" coordorigin="534" coordsize="74,217" path="m537,r13,17l564,30r13,20l583,68r3,20l587,110r,3l566,190r-32,23l552,217r44,-46l607,110,606,91,586,34,556,7,537,xe" fillcolor="black" stroked="f">
                <v:path arrowok="t"/>
              </v:shape>
            </v:group>
            <v:group id="_x0000_s1261" style="position:absolute;left:9;top:101;width:145;height:2" coordorigin="9,101" coordsize="145,2">
              <v:shape id="_x0000_s1262" style="position:absolute;left:9;top:101;width:145;height:2" coordorigin="9,101" coordsize="145,0" path="m9,101r144,e" filled="f" strokeweight=".31008mm">
                <v:path arrowok="t"/>
              </v:shape>
            </v:group>
            <v:group id="_x0000_s1256" style="position:absolute;left:227;top:55;width:108;height:114" coordorigin="227,55" coordsize="108,114">
              <v:shape id="_x0000_s1260" style="position:absolute;left:227;top:55;width:108;height:114" coordorigin="227,55" coordsize="108,114" path="m277,69r-23,l256,69r2,3l258,74r,6l258,83r,4l257,91r-18,78l259,169r15,-64l286,86r-10,l275,85r1,-4l277,77r,-8xe" fillcolor="black" stroked="f">
                <v:path arrowok="t"/>
              </v:shape>
              <v:shape id="_x0000_s1259" style="position:absolute;left:227;top:55;width:108;height:114" coordorigin="227,55" coordsize="108,114" path="m325,55r-13,l305,58,291,68r-7,7l276,86r10,l291,80r3,-3l301,72r3,-1l331,71r3,-14l330,56r-5,-1xe" fillcolor="black" stroked="f">
                <v:path arrowok="t"/>
              </v:shape>
              <v:shape id="_x0000_s1258" style="position:absolute;left:227;top:55;width:108;height:114" coordorigin="227,55" coordsize="108,114" path="m331,71r-22,l310,71r2,1l314,74r1,3l316,80r,3l328,83r3,-12xe" fillcolor="black" stroked="f">
                <v:path arrowok="t"/>
              </v:shape>
              <v:shape id="_x0000_s1257" style="position:absolute;left:227;top:55;width:108;height:114" coordorigin="227,55" coordsize="108,114" path="m266,55r-11,l250,57r-10,6l234,69r-7,7l234,83r4,-6l242,74r5,-4l250,69r27,l277,68r-2,-5l270,57r-4,-2xe" fillcolor="black" stroked="f">
                <v:path arrowok="t"/>
              </v:shape>
            </v:group>
            <v:group id="_x0000_s1252" style="position:absolute;left:300;top:101;width:98;height:150" coordorigin="300,101" coordsize="98,150">
              <v:shape id="_x0000_s1255" style="position:absolute;left:300;top:101;width:98;height:150" coordorigin="300,101" coordsize="98,150" path="m356,143r-15,l323,222r-1,4l308,242r-7,l301,243r,1l300,249r,1l301,250r14,l323,248r6,-6l308,242r-6,-1l329,241r5,-5l339,227r2,-12l356,143xe" fillcolor="black" stroked="f">
                <v:path arrowok="t"/>
              </v:shape>
              <v:shape id="_x0000_s1254" style="position:absolute;left:300;top:101;width:98;height:150" coordorigin="300,101" coordsize="98,150" path="m372,101r-8,2l351,113r-5,8l342,132r,1l328,137r-2,6l379,143r2,-9l358,134r1,-2l374,109r22,l397,103r-2,-1l393,102r-5,-1l372,101xe" fillcolor="black" stroked="f">
                <v:path arrowok="t"/>
              </v:shape>
              <v:shape id="_x0000_s1253" style="position:absolute;left:300;top:101;width:98;height:150" coordorigin="300,101" coordsize="98,150" path="m396,109r-17,l381,110r3,3l385,115r,3l394,118r2,-9xe" fillcolor="black" stroked="f">
                <v:path arrowok="t"/>
              </v:shape>
            </v:group>
            <v:group id="_x0000_s1250" style="position:absolute;left:406;top:198;width:25;height:43" coordorigin="406,198" coordsize="25,43">
              <v:shape id="_x0000_s1251" style="position:absolute;left:406;top:198;width:25;height:43" coordorigin="406,198" coordsize="25,43" path="m430,198r-15,l416,202r,15l406,235r5,5l431,213r,-7l431,202r-1,-4xe" fillcolor="black" stroked="f">
                <v:path arrowok="t"/>
              </v:shape>
            </v:group>
            <w10:wrap type="none"/>
            <w10:anchorlock/>
          </v:group>
        </w:pict>
      </w:r>
      <w:r w:rsidR="00C2656B">
        <w:rPr>
          <w:rFonts w:ascii="Times New Roman"/>
          <w:spacing w:val="46"/>
          <w:sz w:val="18"/>
        </w:rPr>
        <w:t xml:space="preserve"> </w:t>
      </w:r>
      <w:r w:rsidRPr="00D96B91">
        <w:rPr>
          <w:rFonts w:ascii="Avenir Next"/>
          <w:spacing w:val="46"/>
          <w:position w:val="4"/>
          <w:sz w:val="20"/>
        </w:rPr>
      </w:r>
      <w:r w:rsidRPr="00D96B91">
        <w:rPr>
          <w:rFonts w:ascii="Avenir Next"/>
          <w:spacing w:val="46"/>
          <w:position w:val="4"/>
          <w:sz w:val="20"/>
        </w:rPr>
        <w:pict>
          <v:group id="_x0000_s1242" style="width:8.1pt;height:11.05pt;mso-position-horizontal-relative:char;mso-position-vertical-relative:line" coordsize="162,221">
            <v:group id="_x0000_s1247" style="position:absolute;left:73;top:118;width:17;height:68" coordorigin="73,118" coordsize="17,68">
              <v:shape id="_x0000_s1248" style="position:absolute;left:73;top:118;width:17;height:68" coordorigin="73,118" coordsize="17,68" path="m73,152r16,e" filled="f" strokeweight="1.2259mm">
                <v:path arrowok="t"/>
              </v:shape>
            </v:group>
            <v:group id="_x0000_s1245" style="position:absolute;left:9;top:110;width:145;height:2" coordorigin="9,110" coordsize="145,2">
              <v:shape id="_x0000_s1246" style="position:absolute;left:9;top:110;width:145;height:2" coordorigin="9,110" coordsize="145,0" path="m9,110r144,e" filled="f" strokeweight=".31008mm">
                <v:path arrowok="t"/>
              </v:shape>
            </v:group>
            <v:group id="_x0000_s1243" style="position:absolute;left:73;top:35;width:17;height:68" coordorigin="73,35" coordsize="17,68">
              <v:shape id="_x0000_s1244" style="position:absolute;left:73;top:35;width:17;height:68" coordorigin="73,35" coordsize="17,68" path="m73,68r16,e" filled="f" strokeweight="1.2259mm">
                <v:path arrowok="t"/>
              </v:shape>
            </v:group>
            <w10:wrap type="none"/>
            <w10:anchorlock/>
          </v:group>
        </w:pict>
      </w:r>
      <w:r w:rsidR="00C2656B">
        <w:rPr>
          <w:rFonts w:ascii="Times New Roman"/>
          <w:spacing w:val="27"/>
          <w:position w:val="4"/>
          <w:sz w:val="18"/>
        </w:rPr>
        <w:t xml:space="preserve"> </w:t>
      </w:r>
      <w:r w:rsidRPr="00D96B91">
        <w:rPr>
          <w:rFonts w:ascii="Avenir Next"/>
          <w:spacing w:val="27"/>
          <w:position w:val="1"/>
          <w:sz w:val="18"/>
        </w:rPr>
      </w:r>
      <w:r w:rsidRPr="00D96B91">
        <w:rPr>
          <w:rFonts w:ascii="Avenir Next"/>
          <w:spacing w:val="27"/>
          <w:position w:val="1"/>
          <w:sz w:val="18"/>
        </w:rPr>
        <w:pict>
          <v:group id="_x0000_s1226" style="width:13.45pt;height:9.25pt;mso-position-horizontal-relative:char;mso-position-vertical-relative:line" coordsize="269,185">
            <v:group id="_x0000_s1238" style="position:absolute;width:96;height:116" coordsize="96,116">
              <v:shape id="_x0000_s1241" style="position:absolute;width:96;height:116" coordsize="96,116" path="m71,l50,,42,1,29,7r-5,4l18,20r-2,5l16,41r7,8l37,53r-1,1l25,57r-9,4l3,72,,79,,92r29,24l45,116r9,-1l69,110r8,-4l80,103r-45,l30,102,22,96,21,92r,-9l21,81,54,61r17,l74,49r-24,l45,47,37,41,35,37r,-12l37,19r9,-8l52,9r42,l95,6,83,2,71,xe" fillcolor="black" stroked="f">
                <v:path arrowok="t"/>
              </v:shape>
              <v:shape id="_x0000_s1240" style="position:absolute;width:96;height:116" coordsize="96,116" path="m80,91r-8,5l66,99r-12,4l48,103r32,l85,100,80,91xe" fillcolor="black" stroked="f">
                <v:path arrowok="t"/>
              </v:shape>
              <v:shape id="_x0000_s1239" style="position:absolute;width:96;height:116" coordsize="96,116" path="m94,9l71,9r7,6l80,27r11,l94,9xe" fillcolor="black" stroked="f">
                <v:path arrowok="t"/>
              </v:shape>
            </v:group>
            <v:group id="_x0000_s1236" style="position:absolute;left:126;top:44;width:21;height:18" coordorigin="126,44" coordsize="21,18">
              <v:shape id="_x0000_s1237" style="position:absolute;left:126;top:44;width:21;height:18" coordorigin="126,44" coordsize="21,18" path="m147,44r-17,l126,62r17,l147,44xe" fillcolor="black" stroked="f">
                <v:path arrowok="t"/>
              </v:shape>
            </v:group>
            <v:group id="_x0000_s1233" style="position:absolute;left:109;top:78;width:41;height:86" coordorigin="109,78" coordsize="41,86">
              <v:shape id="_x0000_s1235" style="position:absolute;left:109;top:78;width:41;height:86" coordorigin="109,78" coordsize="41,86" path="m139,78r-4,l111,79r-1,5l113,85r3,l119,87r1,2l120,93r-7,33l111,136r-1,3l109,143r,8l109,152r12,12l125,164r20,-12l128,152r-1,l125,150r,-1l125,142r,-3l126,137r1,-4l139,78xe" fillcolor="black" stroked="f">
                <v:path arrowok="t"/>
              </v:shape>
              <v:shape id="_x0000_s1234" style="position:absolute;left:109;top:78;width:41;height:86" coordorigin="109,78" coordsize="41,86" path="m144,142r-13,10l145,152r2,-2l150,148r-6,-6xe" fillcolor="black" stroked="f">
                <v:path arrowok="t"/>
              </v:shape>
            </v:group>
            <v:group id="_x0000_s1229" style="position:absolute;left:208;top:58;width:61;height:106" coordorigin="208,58" coordsize="61,106">
              <v:shape id="_x0000_s1232" style="position:absolute;left:208;top:58;width:61;height:106" coordorigin="208,58" coordsize="61,106" path="m238,88r-16,l212,131r,2l211,136r,4l210,151r2,5l218,162r5,2l232,164r22,-12l232,152r-2,-1l227,148r,-3l227,138r,-2l228,131r1,-4l229,125r9,-37xe" fillcolor="black" stroked="f">
                <v:path arrowok="t"/>
              </v:shape>
              <v:shape id="_x0000_s1231" style="position:absolute;left:208;top:58;width:61;height:106" coordorigin="208,58" coordsize="61,106" path="m254,140r-3,4l247,147r-6,4l238,152r16,l255,152r2,-3l260,146r-6,-6xe" fillcolor="black" stroked="f">
                <v:path arrowok="t"/>
              </v:shape>
              <v:shape id="_x0000_s1230" style="position:absolute;left:208;top:58;width:61;height:106" coordorigin="208,58" coordsize="61,106" path="m245,58r-13,l230,63r-2,5l213,82r-4,l208,88r58,l268,79r-28,l245,58xe" fillcolor="black" stroked="f">
                <v:path arrowok="t"/>
              </v:shape>
            </v:group>
            <v:group id="_x0000_s1227" style="position:absolute;left:162;top:143;width:25;height:43" coordorigin="162,143" coordsize="25,43">
              <v:shape id="_x0000_s1228" style="position:absolute;left:162;top:143;width:25;height:43" coordorigin="162,143" coordsize="25,43" path="m186,143r-15,l171,147r,15l162,180r4,5l187,158r,-8l186,147r,-4xe" fillcolor="black" stroked="f">
                <v:path arrowok="t"/>
              </v:shape>
            </v:group>
            <w10:wrap type="none"/>
            <w10:anchorlock/>
          </v:group>
        </w:pict>
      </w:r>
    </w:p>
    <w:p w:rsidR="00D96B91" w:rsidRDefault="00D96B91">
      <w:pPr>
        <w:spacing w:before="1"/>
        <w:rPr>
          <w:rFonts w:ascii="Avenir Next" w:eastAsia="Avenir Next" w:hAnsi="Avenir Next" w:cs="Avenir Next"/>
          <w:sz w:val="24"/>
          <w:szCs w:val="24"/>
        </w:rPr>
      </w:pPr>
    </w:p>
    <w:p w:rsidR="00D96B91" w:rsidRDefault="00C2656B">
      <w:pPr>
        <w:pStyle w:val="BodyText"/>
        <w:rPr>
          <w:rFonts w:cs="Avenir Next"/>
        </w:rPr>
      </w:pPr>
      <w:r>
        <w:rPr>
          <w:spacing w:val="-1"/>
        </w:rPr>
        <w:t>Where:</w:t>
      </w:r>
    </w:p>
    <w:p w:rsidR="00D96B91" w:rsidRDefault="00D96B91">
      <w:pPr>
        <w:pStyle w:val="BodyText"/>
        <w:spacing w:before="157" w:line="377" w:lineRule="auto"/>
        <w:ind w:left="1683" w:right="8156" w:hanging="55"/>
        <w:rPr>
          <w:rFonts w:cs="Avenir Next"/>
        </w:rPr>
      </w:pPr>
      <w:r w:rsidRPr="00D96B91">
        <w:pict>
          <v:group id="_x0000_s1209" style="position:absolute;left:0;text-align:left;margin-left:63.2pt;margin-top:10.3pt;width:13pt;height:9.25pt;z-index:251561472;mso-position-horizontal-relative:page" coordorigin="1264,206" coordsize="260,185">
            <v:group id="_x0000_s1224" style="position:absolute;left:1381;top:250;width:21;height:18" coordorigin="1381,250" coordsize="21,18">
              <v:shape id="_x0000_s1225" style="position:absolute;left:1381;top:250;width:21;height:18" coordorigin="1381,250" coordsize="21,18" path="m1401,250r-16,l1381,268r16,l1401,250xe" fillcolor="black" stroked="f">
                <v:path arrowok="t"/>
              </v:shape>
            </v:group>
            <v:group id="_x0000_s1222" style="position:absolute;left:1417;top:348;width:25;height:43" coordorigin="1417,348" coordsize="25,43">
              <v:shape id="_x0000_s1223" style="position:absolute;left:1417;top:348;width:25;height:43" coordorigin="1417,348" coordsize="25,43" path="m1440,348r-14,l1426,352r,15l1417,386r4,5l1441,364r,-8l1441,352r-1,-4xe" fillcolor="black" stroked="f">
                <v:path arrowok="t"/>
              </v:shape>
            </v:group>
            <v:group id="_x0000_s1217" style="position:absolute;left:1264;top:206;width:108;height:115" coordorigin="1264,206" coordsize="108,115">
              <v:shape id="_x0000_s1221" style="position:absolute;left:1264;top:206;width:108;height:115" coordorigin="1264,206" coordsize="108,115" path="m1314,219r-23,l1293,220r2,3l1295,224r,7l1295,233r,4l1294,241r-1,5l1276,320r20,l1307,269r2,-7l1311,256r5,-10l1319,241r4,-5l1313,236r-2,-1l1313,231r1,-3l1314,219xe" fillcolor="black" stroked="f">
                <v:path arrowok="t"/>
              </v:shape>
              <v:shape id="_x0000_s1220" style="position:absolute;left:1264;top:206;width:108;height:115" coordorigin="1264,206" coordsize="108,115" path="m1362,206r-13,l1342,208r-14,10l1321,226r-8,10l1323,236r4,-5l1331,227r7,-5l1341,221r27,l1371,207r-4,-1l1362,206xe" fillcolor="black" stroked="f">
                <v:path arrowok="t"/>
              </v:shape>
              <v:shape id="_x0000_s1219" style="position:absolute;left:1264;top:206;width:108;height:115" coordorigin="1264,206" coordsize="108,115" path="m1368,221r-23,l1347,221r2,2l1350,224r2,4l1353,230r,3l1365,233r3,-12xe" fillcolor="black" stroked="f">
                <v:path arrowok="t"/>
              </v:shape>
              <v:shape id="_x0000_s1218" style="position:absolute;left:1264;top:206;width:108;height:115" coordorigin="1264,206" coordsize="108,115" path="m1303,206r-11,l1287,207r-10,7l1271,219r-7,7l1270,233r5,-5l1279,224r5,-4l1287,219r27,l1314,218r-2,-4l1307,207r-4,-1xe" fillcolor="black" stroked="f">
                <v:path arrowok="t"/>
              </v:shape>
            </v:group>
            <v:group id="_x0000_s1214" style="position:absolute;left:1364;top:284;width:41;height:86" coordorigin="1364,284" coordsize="41,86">
              <v:shape id="_x0000_s1216" style="position:absolute;left:1364;top:284;width:41;height:86" coordorigin="1364,284" coordsize="41,86" path="m1394,284r-4,l1366,285r-1,5l1368,290r3,1l1373,293r1,1l1374,299r-7,33l1367,335r-2,6l1365,345r-1,4l1364,357r,1l1375,369r5,l1400,358r-17,l1381,358r-1,-2l1380,355r,-7l1380,345r1,-3l1381,339r13,-55xe" fillcolor="black" stroked="f">
                <v:path arrowok="t"/>
              </v:shape>
              <v:shape id="_x0000_s1215" style="position:absolute;left:1364;top:284;width:41;height:86" coordorigin="1364,284" coordsize="41,86" path="m1399,348r-14,10l1400,358r2,-2l1405,353r-6,-5xe" fillcolor="black" stroked="f">
                <v:path arrowok="t"/>
              </v:shape>
            </v:group>
            <v:group id="_x0000_s1210" style="position:absolute;left:1462;top:263;width:61;height:106" coordorigin="1462,263" coordsize="61,106">
              <v:shape id="_x0000_s1213" style="position:absolute;left:1462;top:263;width:61;height:106" coordorigin="1462,263" coordsize="61,106" path="m1493,294r-16,l1466,339r,3l1465,346r,11l1467,361r6,7l1478,369r9,l1509,358r-22,l1485,357r-3,-4l1481,351r1,-7l1482,341r,-3l1483,333r1,-4l1493,294xe" fillcolor="black" stroked="f">
                <v:path arrowok="t"/>
              </v:shape>
              <v:shape id="_x0000_s1212" style="position:absolute;left:1462;top:263;width:61;height:106" coordorigin="1462,263" coordsize="61,106" path="m1509,346r-4,4l1502,353r-6,4l1493,358r16,l1509,358r3,-3l1515,352r-6,-6xe" fillcolor="black" stroked="f">
                <v:path arrowok="t"/>
              </v:shape>
              <v:shape id="_x0000_s1211" style="position:absolute;left:1462;top:263;width:61;height:106" coordorigin="1462,263" coordsize="61,106" path="m1499,263r-13,l1484,269r-1,4l1467,287r-3,l1462,294r59,l1523,285r-28,l1499,263xe" fillcolor="black" stroked="f">
                <v:path arrowok="t"/>
              </v:shape>
            </v:group>
            <w10:wrap anchorx="page"/>
          </v:group>
        </w:pict>
      </w:r>
      <w:r w:rsidRPr="00D96B91">
        <w:pict>
          <v:group id="_x0000_s1193" style="position:absolute;left:0;text-align:left;margin-left:63.75pt;margin-top:30.8pt;width:14.3pt;height:9.8pt;z-index:251562496;mso-position-horizontal-relative:page" coordorigin="1275,616" coordsize="286,196">
            <v:group id="_x0000_s1207" style="position:absolute;left:1455;top:758;width:25;height:43" coordorigin="1455,758" coordsize="25,43">
              <v:shape id="_x0000_s1208" style="position:absolute;left:1455;top:758;width:25;height:43" coordorigin="1455,758" coordsize="25,43" path="m1478,758r-14,l1464,762r,15l1455,795r4,6l1479,774r,-8l1479,762r-1,-4xe" fillcolor="black" stroked="f">
                <v:path arrowok="t"/>
              </v:shape>
            </v:group>
            <v:group id="_x0000_s1202" style="position:absolute;left:1275;top:616;width:108;height:115" coordorigin="1275,616" coordsize="108,115">
              <v:shape id="_x0000_s1206" style="position:absolute;left:1275;top:616;width:108;height:115" coordorigin="1275,616" coordsize="108,115" path="m1325,629r-22,l1304,630r3,3l1307,634r,7l1307,643r-1,4l1305,651r-1,5l1287,730r21,l1319,679r2,-8l1323,665r4,-9l1331,651r4,-5l1325,646r-2,-1l1325,641r,-3l1325,629xe" fillcolor="black" stroked="f">
                <v:path arrowok="t"/>
              </v:shape>
              <v:shape id="_x0000_s1205" style="position:absolute;left:1275;top:616;width:108;height:115" coordorigin="1275,616" coordsize="108,115" path="m1374,616r-13,l1354,618r-14,10l1332,635r-7,11l1335,646r4,-5l1343,637r6,-5l1353,631r27,l1383,617r-4,-1l1374,616xe" fillcolor="black" stroked="f">
                <v:path arrowok="t"/>
              </v:shape>
              <v:shape id="_x0000_s1204" style="position:absolute;left:1275;top:616;width:108;height:115" coordorigin="1275,616" coordsize="108,115" path="m1380,631r-23,l1359,631r2,2l1362,634r2,3l1364,640r1,3l1377,643r3,-12xe" fillcolor="black" stroked="f">
                <v:path arrowok="t"/>
              </v:shape>
              <v:shape id="_x0000_s1203" style="position:absolute;left:1275;top:616;width:108;height:115" coordorigin="1275,616" coordsize="108,115" path="m1314,616r-10,l1298,617r-10,6l1282,629r-7,7l1282,643r5,-5l1290,634r6,-4l1298,629r27,l1325,628r-1,-4l1318,617r-4,-1xe" fillcolor="black" stroked="f">
                <v:path arrowok="t"/>
              </v:shape>
            </v:group>
            <v:group id="_x0000_s1198" style="position:absolute;left:1348;top:661;width:98;height:150" coordorigin="1348,661" coordsize="98,150">
              <v:shape id="_x0000_s1201" style="position:absolute;left:1348;top:661;width:98;height:150" coordorigin="1348,661" coordsize="98,150" path="m1405,704r-16,l1371,782r-1,4l1356,802r-6,l1350,803r-1,1l1349,808r-1,2l1349,811r14,l1371,808r6,-6l1356,802r-6,l1377,802r6,-6l1387,787r3,-12l1405,704xe" fillcolor="black" stroked="f">
                <v:path arrowok="t"/>
              </v:shape>
              <v:shape id="_x0000_s1200" style="position:absolute;left:1348;top:661;width:98;height:150" coordorigin="1348,661" coordsize="98,150" path="m1420,661r-8,3l1399,674r-5,7l1391,692r-1,1l1376,697r-1,7l1428,704r2,-10l1407,694r,-2l1422,669r22,l1446,663r-3,-1l1441,662r-4,-1l1420,661xe" fillcolor="black" stroked="f">
                <v:path arrowok="t"/>
              </v:shape>
              <v:shape id="_x0000_s1199" style="position:absolute;left:1348;top:661;width:98;height:150" coordorigin="1348,661" coordsize="98,150" path="m1444,669r-16,l1430,670r3,3l1434,675r,3l1442,678r2,-9xe" fillcolor="black" stroked="f">
                <v:path arrowok="t"/>
              </v:shape>
            </v:group>
            <v:group id="_x0000_s1194" style="position:absolute;left:1500;top:673;width:61;height:106" coordorigin="1500,673" coordsize="61,106">
              <v:shape id="_x0000_s1197" style="position:absolute;left:1500;top:673;width:61;height:106" coordorigin="1500,673" coordsize="61,106" path="m1531,704r-16,l1504,749r,2l1503,756r,11l1505,771r6,6l1516,779r9,l1547,768r-22,l1523,767r-3,-4l1519,761r1,-7l1520,751r,-3l1521,747r1,-6l1531,704xe" fillcolor="black" stroked="f">
                <v:path arrowok="t"/>
              </v:shape>
              <v:shape id="_x0000_s1196" style="position:absolute;left:1500;top:673;width:61;height:106" coordorigin="1500,673" coordsize="61,106" path="m1547,756r-4,4l1540,763r-6,4l1531,768r16,l1547,767r3,-2l1553,761r-6,-5xe" fillcolor="black" stroked="f">
                <v:path arrowok="t"/>
              </v:shape>
              <v:shape id="_x0000_s1195" style="position:absolute;left:1500;top:673;width:61;height:106" coordorigin="1500,673" coordsize="61,106" path="m1537,673r-13,l1522,679r-1,4l1505,697r-3,l1500,704r59,l1561,694r-28,l1537,673xe" fillcolor="black" stroked="f">
                <v:path arrowok="t"/>
              </v:shape>
            </v:group>
            <w10:wrap anchorx="page"/>
          </v:group>
        </w:pict>
      </w:r>
      <w:r w:rsidRPr="00D96B91">
        <w:pict>
          <v:group id="_x0000_s1186" style="position:absolute;left:0;text-align:left;margin-left:185.35pt;margin-top:9.6pt;width:2.8pt;height:7.8pt;z-index:251564544;mso-position-horizontal-relative:page" coordorigin="3707,192" coordsize="56,156">
            <v:group id="_x0000_s1191" style="position:absolute;left:3739;top:192;width:24;height:24" coordorigin="3739,192" coordsize="24,24">
              <v:shape id="_x0000_s1192" style="position:absolute;left:3739;top:192;width:24;height:24" coordorigin="3739,192" coordsize="24,24" path="m3754,192r-6,l3745,193r-5,5l3739,201r,6l3740,210r5,4l3748,216r6,l3757,214r4,-4l3763,207r,-6l3761,198r-4,-5l3754,192xe" fillcolor="black" stroked="f">
                <v:path arrowok="t"/>
              </v:shape>
            </v:group>
            <v:group id="_x0000_s1187" style="position:absolute;left:3707;top:239;width:45;height:109" coordorigin="3707,239" coordsize="45,109">
              <v:shape id="_x0000_s1190" style="position:absolute;left:3707;top:239;width:45;height:109" coordorigin="3707,239" coordsize="45,109" path="m3750,249r-25,l3726,249r3,2l3729,253r,4l3728,262r-20,68l3708,334r-1,6l3708,343r5,4l3715,348r8,l3728,345r13,-9l3741,335r-11,l3729,335r-2,-2l3727,332r,-3l3728,326r22,-77xe" fillcolor="black" stroked="f">
                <v:path arrowok="t"/>
              </v:shape>
              <v:shape id="_x0000_s1189" style="position:absolute;left:3707;top:239;width:45;height:109" coordorigin="3707,239" coordsize="45,109" path="m3748,318r-16,17l3741,335r6,-6l3752,321r-4,-3xe" fillcolor="black" stroked="f">
                <v:path arrowok="t"/>
              </v:shape>
              <v:shape id="_x0000_s1188" style="position:absolute;left:3707;top:239;width:45;height:109" coordorigin="3707,239" coordsize="45,109" path="m3752,239r-40,6l3712,250r5,-1l3721,249r29,l3752,239xe" fillcolor="black" stroked="f">
                <v:path arrowok="t"/>
              </v:shape>
            </v:group>
            <w10:wrap anchorx="page"/>
          </v:group>
        </w:pict>
      </w:r>
      <w:r w:rsidR="00C2656B">
        <w:t xml:space="preserve">is the </w:t>
      </w:r>
      <w:r w:rsidR="00C2656B">
        <w:rPr>
          <w:spacing w:val="-1"/>
        </w:rPr>
        <w:t>return</w:t>
      </w:r>
      <w:r w:rsidR="00C2656B">
        <w:t xml:space="preserve"> of</w:t>
      </w:r>
      <w:r w:rsidR="00C2656B">
        <w:rPr>
          <w:spacing w:val="4"/>
        </w:rPr>
        <w:t xml:space="preserve"> </w:t>
      </w:r>
      <w:r w:rsidR="00C2656B">
        <w:t>a stock</w:t>
      </w:r>
      <w:r w:rsidR="00C2656B">
        <w:rPr>
          <w:spacing w:val="22"/>
        </w:rPr>
        <w:t xml:space="preserve"> </w:t>
      </w:r>
      <w:r w:rsidR="00C2656B">
        <w:t xml:space="preserve">is the risk </w:t>
      </w:r>
      <w:r w:rsidR="00C2656B">
        <w:rPr>
          <w:spacing w:val="-1"/>
        </w:rPr>
        <w:t>free</w:t>
      </w:r>
      <w:r w:rsidR="00C2656B">
        <w:t xml:space="preserve"> </w:t>
      </w:r>
      <w:r w:rsidR="00C2656B">
        <w:rPr>
          <w:spacing w:val="-2"/>
        </w:rPr>
        <w:t>rate</w:t>
      </w:r>
    </w:p>
    <w:p w:rsidR="00D96B91" w:rsidRDefault="00D96B91">
      <w:pPr>
        <w:pStyle w:val="BodyText"/>
        <w:ind w:left="1740"/>
        <w:rPr>
          <w:rFonts w:cs="Avenir Next"/>
        </w:rPr>
      </w:pPr>
      <w:r w:rsidRPr="00D96B91">
        <w:pict>
          <v:group id="_x0000_s1182" style="position:absolute;left:0;text-align:left;margin-left:285.6pt;margin-top:2.9pt;width:3.05pt;height:5.3pt;z-index:251563520;mso-position-horizontal-relative:page" coordorigin="5712,58" coordsize="61,106">
            <v:shape id="_x0000_s1185" style="position:absolute;left:5712;top:58;width:61;height:106" coordorigin="5712,58" coordsize="61,106" path="m5742,89r-16,l5716,132r,2l5715,137r,4l5715,152r1,5l5723,163r5,1l5737,164r21,-11l5737,153r-3,-1l5732,148r-1,-2l5731,139r,-3l5732,132r1,-6l5742,89xe" fillcolor="black" stroked="f">
              <v:path arrowok="t"/>
            </v:shape>
            <v:shape id="_x0000_s1184" style="position:absolute;left:5712;top:58;width:61;height:106" coordorigin="5712,58" coordsize="61,106" path="m5759,141r-4,4l5751,148r-6,4l5743,153r15,l5759,153r3,-3l5764,147r-5,-6xe" fillcolor="black" stroked="f">
              <v:path arrowok="t"/>
            </v:shape>
            <v:shape id="_x0000_s1183" style="position:absolute;left:5712;top:58;width:61;height:106" coordorigin="5712,58" coordsize="61,106" path="m5749,58r-13,l5734,64r-2,4l5717,82r-3,l5712,89r59,l5772,80r-28,l5749,58xe" fillcolor="black" stroked="f">
              <v:path arrowok="t"/>
            </v:shape>
            <w10:wrap anchorx="page"/>
          </v:group>
        </w:pict>
      </w:r>
      <w:r w:rsidRPr="00D96B91">
        <w:pict>
          <v:group id="_x0000_s1162" style="position:absolute;left:0;text-align:left;margin-left:63.75pt;margin-top:2.05pt;width:17.8pt;height:9.25pt;z-index:251565568;mso-position-horizontal-relative:page" coordorigin="1275,41" coordsize="356,185">
            <v:group id="_x0000_s1177" style="position:absolute;left:1275;top:41;width:108;height:115" coordorigin="1275,41" coordsize="108,115">
              <v:shape id="_x0000_s1181" style="position:absolute;left:1275;top:41;width:108;height:115" coordorigin="1275,41" coordsize="108,115" path="m1325,54r-22,l1304,55r3,3l1307,59r,7l1307,68r-1,4l1305,76r-1,5l1287,155r21,l1319,104r2,-7l1323,91r4,-10l1331,76r4,-5l1325,71r-2,-1l1325,66r,-3l1325,54xe" fillcolor="black" stroked="f">
                <v:path arrowok="t"/>
              </v:shape>
              <v:shape id="_x0000_s1180" style="position:absolute;left:1275;top:41;width:108;height:115" coordorigin="1275,41" coordsize="108,115" path="m1374,41r-13,l1354,43r-14,10l1332,61r-7,10l1335,71r4,-5l1343,62r6,-5l1353,56r27,l1383,42r-4,-1l1374,41xe" fillcolor="black" stroked="f">
                <v:path arrowok="t"/>
              </v:shape>
              <v:shape id="_x0000_s1179" style="position:absolute;left:1275;top:41;width:108;height:115" coordorigin="1275,41" coordsize="108,115" path="m1380,56r-23,l1359,56r2,2l1362,59r2,4l1364,65r1,3l1377,68r3,-12xe" fillcolor="black" stroked="f">
                <v:path arrowok="t"/>
              </v:shape>
              <v:shape id="_x0000_s1178" style="position:absolute;left:1275;top:41;width:108;height:115" coordorigin="1275,41" coordsize="108,115" path="m1314,41r-10,l1298,42r-10,7l1282,54r-7,7l1282,68r5,-5l1290,59r6,-4l1298,54r27,l1325,53r-1,-4l1318,42r-4,-1xe" fillcolor="black" stroked="f">
                <v:path arrowok="t"/>
              </v:shape>
            </v:group>
            <v:group id="_x0000_s1169" style="position:absolute;left:1365;top:118;width:153;height:87" coordorigin="1365,118" coordsize="153,87">
              <v:shape id="_x0000_s1176" style="position:absolute;left:1365;top:118;width:153;height:87" coordorigin="1365,118" coordsize="153,87" path="m1503,129r-22,l1483,130r3,3l1487,136r,4l1486,143r-6,28l1478,179r-1,5l1477,192r,1l1488,204r5,l1513,193r-17,l1495,193r-2,-2l1493,190r,-6l1493,181r2,-7l1500,155r1,-6l1502,146r1,-6l1503,138r,-9l1503,129xe" fillcolor="black" stroked="f">
                <v:path arrowok="t"/>
              </v:shape>
              <v:shape id="_x0000_s1175" style="position:absolute;left:1365;top:118;width:153;height:87" coordorigin="1365,118" coordsize="153,87" path="m1405,129r-17,l1390,131r,8l1389,143r,3l1375,203r17,l1409,143r3,-3l1404,140r-1,-1l1404,138r,l1404,137r,-5l1405,129xe" fillcolor="black" stroked="f">
                <v:path arrowok="t"/>
              </v:shape>
              <v:shape id="_x0000_s1174" style="position:absolute;left:1365;top:118;width:153;height:87" coordorigin="1365,118" coordsize="153,87" path="m1454,129r-22,l1435,130r2,3l1437,134r1,2l1438,142r-12,53l1425,203r16,l1449,163r1,-3l1462,139r-8,l1454,129xe" fillcolor="black" stroked="f">
                <v:path arrowok="t"/>
              </v:shape>
              <v:shape id="_x0000_s1173" style="position:absolute;left:1365;top:118;width:153;height:87" coordorigin="1365,118" coordsize="153,87" path="m1512,183r-16,10l1513,193r2,-2l1518,188r-6,-5xe" fillcolor="black" stroked="f">
                <v:path arrowok="t"/>
              </v:shape>
              <v:shape id="_x0000_s1172" style="position:absolute;left:1365;top:118;width:153;height:87" coordorigin="1365,118" coordsize="153,87" path="m1442,118r-11,l1425,120r-10,7l1410,132r-6,8l1412,140r3,-3l1418,134r6,-4l1427,129r27,l1453,125r-6,-6l1442,118xe" fillcolor="black" stroked="f">
                <v:path arrowok="t"/>
              </v:shape>
              <v:shape id="_x0000_s1171" style="position:absolute;left:1365;top:118;width:153;height:87" coordorigin="1365,118" coordsize="153,87" path="m1396,118r-7,l1387,118r-22,16l1371,139r3,-3l1376,134r8,-5l1405,129r,-1l1403,125r-4,-6l1396,118xe" fillcolor="black" stroked="f">
                <v:path arrowok="t"/>
              </v:shape>
              <v:shape id="_x0000_s1170" style="position:absolute;left:1365;top:118;width:153;height:87" coordorigin="1365,118" coordsize="153,87" path="m1491,118r-11,l1475,120r-11,6l1459,132r-5,7l1462,139r1,-2l1465,136r4,-4l1471,131r4,-2l1477,129r26,l1502,126r-6,-7l1491,118xe" fillcolor="black" stroked="f">
                <v:path arrowok="t"/>
              </v:shape>
            </v:group>
            <v:group id="_x0000_s1167" style="position:absolute;left:1524;top:183;width:25;height:43" coordorigin="1524,183" coordsize="25,43">
              <v:shape id="_x0000_s1168" style="position:absolute;left:1524;top:183;width:25;height:43" coordorigin="1524,183" coordsize="25,43" path="m1548,183r-15,l1534,187r,15l1524,221r5,5l1549,199r,-8l1549,187r-1,-4xe" fillcolor="black" stroked="f">
                <v:path arrowok="t"/>
              </v:shape>
            </v:group>
            <v:group id="_x0000_s1163" style="position:absolute;left:1570;top:98;width:61;height:106" coordorigin="1570,98" coordsize="61,106">
              <v:shape id="_x0000_s1166" style="position:absolute;left:1570;top:98;width:61;height:106" coordorigin="1570,98" coordsize="61,106" path="m1600,129r-16,l1574,172r,2l1573,177r,4l1573,192r1,5l1581,203r5,1l1595,204r21,-11l1595,193r-3,-1l1590,188r-1,-2l1589,179r,-3l1590,172r1,-6l1600,129xe" fillcolor="black" stroked="f">
                <v:path arrowok="t"/>
              </v:shape>
              <v:shape id="_x0000_s1165" style="position:absolute;left:1570;top:98;width:61;height:106" coordorigin="1570,98" coordsize="61,106" path="m1617,181r-4,4l1609,188r-6,4l1601,193r15,l1617,193r3,-3l1622,187r-5,-6xe" fillcolor="black" stroked="f">
                <v:path arrowok="t"/>
              </v:shape>
              <v:shape id="_x0000_s1164" style="position:absolute;left:1570;top:98;width:61;height:106" coordorigin="1570,98" coordsize="61,106" path="m1607,98r-13,l1592,104r-2,4l1575,122r-3,l1570,129r59,l1630,120r-28,l1607,98xe" fillcolor="black" stroked="f">
                <v:path arrowok="t"/>
              </v:shape>
            </v:group>
            <w10:wrap anchorx="page"/>
          </v:group>
        </w:pict>
      </w:r>
      <w:r w:rsidR="00C2656B">
        <w:t xml:space="preserve">is the </w:t>
      </w:r>
      <w:r w:rsidR="00C2656B">
        <w:rPr>
          <w:spacing w:val="-1"/>
        </w:rPr>
        <w:t>return</w:t>
      </w:r>
      <w:r w:rsidR="00C2656B">
        <w:t xml:space="preserve"> on a </w:t>
      </w:r>
      <w:r w:rsidR="00C2656B">
        <w:rPr>
          <w:spacing w:val="-1"/>
        </w:rPr>
        <w:t>market</w:t>
      </w:r>
      <w:r w:rsidR="00C2656B">
        <w:t xml:space="preserve"> </w:t>
      </w:r>
      <w:r w:rsidR="00C2656B">
        <w:rPr>
          <w:spacing w:val="-1"/>
        </w:rPr>
        <w:t>portfolio</w:t>
      </w:r>
      <w:r w:rsidR="00C2656B">
        <w:t xml:space="preserve"> in month</w:t>
      </w:r>
    </w:p>
    <w:p w:rsidR="00D96B91" w:rsidRDefault="00D96B91">
      <w:pPr>
        <w:pStyle w:val="BodyText"/>
        <w:spacing w:before="157" w:line="378" w:lineRule="auto"/>
        <w:ind w:left="1261" w:right="5139" w:firstLine="984"/>
      </w:pPr>
      <w:r w:rsidRPr="00D96B91">
        <w:pict>
          <v:group id="_x0000_s1145" style="position:absolute;left:0;text-align:left;margin-left:63.1pt;margin-top:10.2pt;width:13pt;height:9.25pt;z-index:-251712000;mso-position-horizontal-relative:page" coordorigin="1262,204" coordsize="260,185">
            <v:group id="_x0000_s1160" style="position:absolute;left:1415;top:347;width:25;height:43" coordorigin="1415,347" coordsize="25,43">
              <v:shape id="_x0000_s1161" style="position:absolute;left:1415;top:347;width:25;height:43" coordorigin="1415,347" coordsize="25,43" path="m1439,347r-15,l1424,351r,15l1415,384r4,5l1440,362r,-7l1439,351r,-4xe" fillcolor="black" stroked="f">
                <v:path arrowok="t"/>
              </v:shape>
            </v:group>
            <v:group id="_x0000_s1155" style="position:absolute;left:1262;top:204;width:108;height:115" coordorigin="1262,204" coordsize="108,115">
              <v:shape id="_x0000_s1159" style="position:absolute;left:1262;top:204;width:108;height:115" coordorigin="1262,204" coordsize="108,115" path="m1312,218r-22,l1291,218r2,3l1293,222r1,7l1293,232r,4l1292,240r-1,5l1274,318r20,l1306,267r1,-7l1309,254r5,-9l1317,240r5,-6l1311,234r-1,l1311,230r1,-4l1312,218xe" fillcolor="black" stroked="f">
                <v:path arrowok="t"/>
              </v:shape>
              <v:shape id="_x0000_s1158" style="position:absolute;left:1262;top:204;width:108;height:115" coordorigin="1262,204" coordsize="108,115" path="m1361,204r-13,l1340,207r-14,9l1319,224r-8,10l1322,234r4,-5l1329,226r7,-5l1339,219r27,l1369,206r-4,-1l1361,204xe" fillcolor="black" stroked="f">
                <v:path arrowok="t"/>
              </v:shape>
              <v:shape id="_x0000_s1157" style="position:absolute;left:1262;top:204;width:108;height:115" coordorigin="1262,204" coordsize="108,115" path="m1366,219r-22,l1345,220r3,1l1349,222r1,4l1351,229r,3l1364,232r2,-13xe" fillcolor="black" stroked="f">
                <v:path arrowok="t"/>
              </v:shape>
              <v:shape id="_x0000_s1156" style="position:absolute;left:1262;top:204;width:108;height:115" coordorigin="1262,204" coordsize="108,115" path="m1301,204r-11,l1285,206r-10,6l1269,217r-7,8l1269,232r4,-6l1277,223r5,-4l1285,218r27,l1312,216r-1,-4l1305,206r-4,-2xe" fillcolor="black" stroked="f">
                <v:path arrowok="t"/>
              </v:shape>
            </v:group>
            <v:group id="_x0000_s1153" style="position:absolute;left:1379;top:249;width:21;height:18" coordorigin="1379,249" coordsize="21,18">
              <v:shape id="_x0000_s1154" style="position:absolute;left:1379;top:249;width:21;height:18" coordorigin="1379,249" coordsize="21,18" path="m1400,249r-17,l1379,266r17,l1400,249xe" fillcolor="black" stroked="f">
                <v:path arrowok="t"/>
              </v:shape>
            </v:group>
            <v:group id="_x0000_s1150" style="position:absolute;left:1362;top:282;width:41;height:86" coordorigin="1362,282" coordsize="41,86">
              <v:shape id="_x0000_s1152" style="position:absolute;left:1362;top:282;width:41;height:86" coordorigin="1362,282" coordsize="41,86" path="m1392,282r-4,l1364,283r-1,6l1366,289r3,l1372,291r1,2l1373,298r-7,32l1365,333r-1,7l1363,343r-1,4l1362,356r,1l1374,368r4,l1398,357r-17,l1380,356r-2,-2l1378,353r,-7l1378,343r1,-2l1380,338r12,-56xe" fillcolor="black" stroked="f">
                <v:path arrowok="t"/>
              </v:shape>
              <v:shape id="_x0000_s1151" style="position:absolute;left:1362;top:282;width:41;height:86" coordorigin="1362,282" coordsize="41,86" path="m1397,346r-13,11l1398,357r2,-2l1403,352r-6,-6xe" fillcolor="black" stroked="f">
                <v:path arrowok="t"/>
              </v:shape>
            </v:group>
            <v:group id="_x0000_s1146" style="position:absolute;left:1461;top:262;width:61;height:106" coordorigin="1461,262" coordsize="61,106">
              <v:shape id="_x0000_s1149" style="position:absolute;left:1461;top:262;width:61;height:106" coordorigin="1461,262" coordsize="61,106" path="m1491,292r-16,l1465,338r-1,2l1464,344r-1,12l1465,360r6,6l1476,368r9,l1507,357r-22,l1483,356r-3,-4l1480,349r,-6l1480,340r1,-3l1482,332r1,-5l1491,292xe" fillcolor="black" stroked="f">
                <v:path arrowok="t"/>
              </v:shape>
              <v:shape id="_x0000_s1148" style="position:absolute;left:1461;top:262;width:61;height:106" coordorigin="1461,262" coordsize="61,106" path="m1507,344r-3,5l1500,352r-6,4l1491,357r16,l1508,356r2,-3l1513,350r-6,-6xe" fillcolor="black" stroked="f">
                <v:path arrowok="t"/>
              </v:shape>
              <v:shape id="_x0000_s1147" style="position:absolute;left:1461;top:262;width:61;height:106" coordorigin="1461,262" coordsize="61,106" path="m1498,262r-13,l1483,267r-2,5l1466,286r-4,l1461,292r58,l1521,283r-28,l1498,262xe" fillcolor="black" stroked="f">
                <v:path arrowok="t"/>
              </v:shape>
            </v:group>
            <w10:wrap anchorx="page"/>
          </v:group>
        </w:pict>
      </w:r>
      <w:r w:rsidRPr="00D96B91">
        <w:pict>
          <v:group id="_x0000_s1127" style="position:absolute;left:0;text-align:left;margin-left:79.95pt;margin-top:10.2pt;width:25.65pt;height:9.8pt;z-index:-251710976;mso-position-horizontal-relative:page" coordorigin="1599,204" coordsize="513,196">
            <v:group id="_x0000_s1143" style="position:absolute;left:2005;top:347;width:25;height:43" coordorigin="2005,347" coordsize="25,43">
              <v:shape id="_x0000_s1144" style="position:absolute;left:2005;top:347;width:25;height:43" coordorigin="2005,347" coordsize="25,43" path="m2029,347r-15,l2015,351r,15l2005,384r5,5l2030,362r,-7l2030,351r-1,-4xe" fillcolor="black" stroked="f">
                <v:path arrowok="t"/>
              </v:shape>
            </v:group>
            <v:group id="_x0000_s1141" style="position:absolute;left:1608;top:250;width:145;height:2" coordorigin="1608,250" coordsize="145,2">
              <v:shape id="_x0000_s1142" style="position:absolute;left:1608;top:250;width:145;height:2" coordorigin="1608,250" coordsize="145,0" path="m1608,250r144,e" filled="f" strokeweight=".31008mm">
                <v:path arrowok="t"/>
              </v:shape>
            </v:group>
            <v:group id="_x0000_s1136" style="position:absolute;left:1826;top:204;width:108;height:115" coordorigin="1826,204" coordsize="108,115">
              <v:shape id="_x0000_s1140" style="position:absolute;left:1826;top:204;width:108;height:115" coordorigin="1826,204" coordsize="108,115" path="m1876,218r-23,l1855,218r2,3l1857,222r,7l1857,232r,4l1856,240r-1,5l1838,318r20,l1869,267r2,-7l1873,254r5,-9l1881,240r5,-6l1875,234r-1,l1875,230r1,-4l1876,218xe" fillcolor="black" stroked="f">
                <v:path arrowok="t"/>
              </v:shape>
              <v:shape id="_x0000_s1139" style="position:absolute;left:1826;top:204;width:108;height:115" coordorigin="1826,204" coordsize="108,115" path="m1925,204r-13,l1904,207r-14,9l1883,224r-8,10l1886,234r4,-5l1893,226r7,-5l1903,219r27,l1933,206r-4,-1l1925,204xe" fillcolor="black" stroked="f">
                <v:path arrowok="t"/>
              </v:shape>
              <v:shape id="_x0000_s1138" style="position:absolute;left:1826;top:204;width:108;height:115" coordorigin="1826,204" coordsize="108,115" path="m1930,219r-22,l1909,220r3,1l1913,222r1,4l1915,229r,3l1927,232r3,-13xe" fillcolor="black" stroked="f">
                <v:path arrowok="t"/>
              </v:shape>
              <v:shape id="_x0000_s1137" style="position:absolute;left:1826;top:204;width:108;height:115" coordorigin="1826,204" coordsize="108,115" path="m1865,204r-11,l1849,206r-10,6l1833,217r-7,8l1833,232r4,-6l1841,223r5,-4l1849,218r27,l1876,216r-2,-4l1869,206r-4,-2xe" fillcolor="black" stroked="f">
                <v:path arrowok="t"/>
              </v:shape>
            </v:group>
            <v:group id="_x0000_s1132" style="position:absolute;left:1899;top:250;width:98;height:150" coordorigin="1899,250" coordsize="98,150">
              <v:shape id="_x0000_s1135" style="position:absolute;left:1899;top:250;width:98;height:150" coordorigin="1899,250" coordsize="98,150" path="m1955,292r-15,l1922,371r-1,4l1907,390r-6,l1900,392r,1l1899,396r,3l1900,399r14,l1922,396r6,-6l1907,390r-6,l1928,390r6,-5l1938,376r2,-12l1955,292xe" fillcolor="black" stroked="f">
                <v:path arrowok="t"/>
              </v:shape>
              <v:shape id="_x0000_s1134" style="position:absolute;left:1899;top:250;width:98;height:150" coordorigin="1899,250" coordsize="98,150" path="m1971,250r-8,2l1950,262r-5,8l1941,281r,1l1927,286r-2,6l1979,292r1,-9l1957,283r1,-2l1973,258r22,l1996,252r-2,-1l1992,251r-5,-1l1971,250xe" fillcolor="black" stroked="f">
                <v:path arrowok="t"/>
              </v:shape>
              <v:shape id="_x0000_s1133" style="position:absolute;left:1899;top:250;width:98;height:150" coordorigin="1899,250" coordsize="98,150" path="m1995,258r-17,l1980,259r3,3l1984,264r1,3l1993,267r2,-9xe" fillcolor="black" stroked="f">
                <v:path arrowok="t"/>
              </v:shape>
            </v:group>
            <v:group id="_x0000_s1128" style="position:absolute;left:2051;top:262;width:61;height:106" coordorigin="2051,262" coordsize="61,106">
              <v:shape id="_x0000_s1131" style="position:absolute;left:2051;top:262;width:61;height:106" coordorigin="2051,262" coordsize="61,106" path="m2081,292r-16,l2055,338r-1,2l2054,344r,12l2055,360r7,6l2067,368r9,l2097,357r-21,l2074,356r-3,-4l2070,349r,-6l2070,340r1,-3l2071,335r1,-6l2081,292xe" fillcolor="black" stroked="f">
                <v:path arrowok="t"/>
              </v:shape>
              <v:shape id="_x0000_s1130" style="position:absolute;left:2051;top:262;width:61;height:106" coordorigin="2051,262" coordsize="61,106" path="m2098,344r-4,5l2090,352r-6,4l2082,357r15,l2098,356r3,-3l2103,350r-5,-6xe" fillcolor="black" stroked="f">
                <v:path arrowok="t"/>
              </v:shape>
              <v:shape id="_x0000_s1129" style="position:absolute;left:2051;top:262;width:61;height:106" coordorigin="2051,262" coordsize="61,106" path="m2088,262r-13,l2073,267r-2,5l2056,286r-3,l2051,292r59,l2111,283r-28,l2088,262xe" fillcolor="black" stroked="f">
                <v:path arrowok="t"/>
              </v:shape>
            </v:group>
            <w10:wrap anchorx="page"/>
          </v:group>
        </w:pict>
      </w:r>
      <w:r w:rsidR="00C2656B">
        <w:t xml:space="preserve">is the stock </w:t>
      </w:r>
      <w:r w:rsidR="00C2656B">
        <w:rPr>
          <w:spacing w:val="-1"/>
        </w:rPr>
        <w:t>return</w:t>
      </w:r>
      <w:r w:rsidR="00C2656B">
        <w:t xml:space="preserve"> in </w:t>
      </w:r>
      <w:r w:rsidR="00C2656B">
        <w:rPr>
          <w:spacing w:val="-1"/>
        </w:rPr>
        <w:t>excess</w:t>
      </w:r>
      <w:r w:rsidR="00C2656B">
        <w:t xml:space="preserve"> of</w:t>
      </w:r>
      <w:r w:rsidR="00C2656B">
        <w:rPr>
          <w:spacing w:val="4"/>
        </w:rPr>
        <w:t xml:space="preserve"> </w:t>
      </w:r>
      <w:r w:rsidR="00C2656B">
        <w:t xml:space="preserve">the risk </w:t>
      </w:r>
      <w:r w:rsidR="00C2656B">
        <w:rPr>
          <w:spacing w:val="-1"/>
        </w:rPr>
        <w:t>free</w:t>
      </w:r>
      <w:r w:rsidR="00C2656B">
        <w:t xml:space="preserve"> </w:t>
      </w:r>
      <w:r w:rsidR="00C2656B">
        <w:rPr>
          <w:spacing w:val="-2"/>
        </w:rPr>
        <w:t>rate</w:t>
      </w:r>
      <w:r w:rsidR="00C2656B">
        <w:t xml:space="preserve"> </w:t>
      </w:r>
      <w:r w:rsidR="00C2656B">
        <w:rPr>
          <w:noProof/>
          <w:position w:val="-3"/>
          <w:lang w:val="en-AU" w:eastAsia="en-AU"/>
        </w:rPr>
        <w:drawing>
          <wp:inline distT="0" distB="0" distL="0" distR="0">
            <wp:extent cx="600417" cy="123918"/>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123" cstate="print"/>
                    <a:stretch>
                      <a:fillRect/>
                    </a:stretch>
                  </pic:blipFill>
                  <pic:spPr>
                    <a:xfrm>
                      <a:off x="0" y="0"/>
                      <a:ext cx="600417" cy="123918"/>
                    </a:xfrm>
                    <a:prstGeom prst="rect">
                      <a:avLst/>
                    </a:prstGeom>
                  </pic:spPr>
                </pic:pic>
              </a:graphicData>
            </a:graphic>
          </wp:inline>
        </w:drawing>
      </w:r>
      <w:r w:rsidR="00C2656B">
        <w:rPr>
          <w:rFonts w:ascii="Times New Roman"/>
          <w:spacing w:val="14"/>
        </w:rPr>
        <w:t xml:space="preserve">  </w:t>
      </w:r>
      <w:r w:rsidR="00C2656B">
        <w:t xml:space="preserve">is the </w:t>
      </w:r>
      <w:r w:rsidR="00C2656B">
        <w:rPr>
          <w:spacing w:val="-1"/>
        </w:rPr>
        <w:t>market</w:t>
      </w:r>
      <w:r w:rsidR="00C2656B">
        <w:t xml:space="preserve"> </w:t>
      </w:r>
      <w:r w:rsidR="00C2656B">
        <w:rPr>
          <w:spacing w:val="-1"/>
        </w:rPr>
        <w:t>return</w:t>
      </w:r>
      <w:r w:rsidR="00C2656B">
        <w:t xml:space="preserve"> in </w:t>
      </w:r>
      <w:r w:rsidR="00C2656B">
        <w:rPr>
          <w:spacing w:val="-1"/>
        </w:rPr>
        <w:t>excess</w:t>
      </w:r>
      <w:r w:rsidR="00C2656B">
        <w:t xml:space="preserve"> of</w:t>
      </w:r>
      <w:r w:rsidR="00C2656B">
        <w:rPr>
          <w:spacing w:val="4"/>
        </w:rPr>
        <w:t xml:space="preserve"> </w:t>
      </w:r>
      <w:r w:rsidR="00C2656B">
        <w:t xml:space="preserve">the </w:t>
      </w:r>
      <w:r w:rsidR="00C2656B">
        <w:rPr>
          <w:spacing w:val="-1"/>
        </w:rPr>
        <w:t>risk-free</w:t>
      </w:r>
      <w:r w:rsidR="00C2656B">
        <w:t xml:space="preserve"> </w:t>
      </w:r>
      <w:r w:rsidR="00C2656B">
        <w:rPr>
          <w:spacing w:val="-1"/>
        </w:rPr>
        <w:t>rate.</w:t>
      </w:r>
    </w:p>
    <w:p w:rsidR="00D96B91" w:rsidRDefault="00C2656B">
      <w:pPr>
        <w:pStyle w:val="BodyText"/>
        <w:spacing w:before="9" w:line="228" w:lineRule="auto"/>
        <w:ind w:right="1548"/>
      </w:pPr>
      <w:r>
        <w:rPr>
          <w:spacing w:val="-1"/>
        </w:rPr>
        <w:t>Regressing</w:t>
      </w:r>
      <w:r>
        <w:t xml:space="preserve"> the </w:t>
      </w:r>
      <w:r>
        <w:rPr>
          <w:spacing w:val="-1"/>
        </w:rPr>
        <w:t>excess</w:t>
      </w:r>
      <w:r>
        <w:t xml:space="preserve"> stock </w:t>
      </w:r>
      <w:r>
        <w:rPr>
          <w:spacing w:val="-1"/>
        </w:rPr>
        <w:t>returns</w:t>
      </w:r>
      <w:r>
        <w:t xml:space="preserve"> on the </w:t>
      </w:r>
      <w:r>
        <w:rPr>
          <w:spacing w:val="-1"/>
        </w:rPr>
        <w:t>excess</w:t>
      </w:r>
      <w:r>
        <w:t xml:space="preserve"> </w:t>
      </w:r>
      <w:r>
        <w:rPr>
          <w:spacing w:val="-1"/>
        </w:rPr>
        <w:t>market</w:t>
      </w:r>
      <w:r>
        <w:t xml:space="preserve"> </w:t>
      </w:r>
      <w:r>
        <w:rPr>
          <w:spacing w:val="-1"/>
        </w:rPr>
        <w:t>returns</w:t>
      </w:r>
      <w:r>
        <w:t xml:space="preserve"> </w:t>
      </w:r>
      <w:r>
        <w:rPr>
          <w:spacing w:val="-1"/>
        </w:rPr>
        <w:t>produces</w:t>
      </w:r>
      <w:r>
        <w:t xml:space="preserve"> equity beta,</w:t>
      </w:r>
      <w:r>
        <w:rPr>
          <w:spacing w:val="-6"/>
        </w:rPr>
        <w:t xml:space="preserve"> </w:t>
      </w:r>
      <w:r>
        <w:t>and the</w:t>
      </w:r>
      <w:r>
        <w:rPr>
          <w:spacing w:val="39"/>
        </w:rPr>
        <w:t xml:space="preserve"> </w:t>
      </w:r>
      <w:r>
        <w:t>constant term,</w:t>
      </w:r>
      <w:r>
        <w:rPr>
          <w:spacing w:val="-6"/>
        </w:rPr>
        <w:t xml:space="preserve"> </w:t>
      </w:r>
      <w:r>
        <w:t>of</w:t>
      </w:r>
      <w:r>
        <w:rPr>
          <w:spacing w:val="4"/>
        </w:rPr>
        <w:t xml:space="preserve"> </w:t>
      </w:r>
      <w:r>
        <w:t xml:space="preserve">the above </w:t>
      </w:r>
      <w:r>
        <w:rPr>
          <w:spacing w:val="-1"/>
        </w:rPr>
        <w:t>regression.</w:t>
      </w:r>
    </w:p>
    <w:p w:rsidR="00D96B91" w:rsidRDefault="00C2656B">
      <w:pPr>
        <w:pStyle w:val="BodyText"/>
        <w:spacing w:before="152" w:line="260" w:lineRule="exact"/>
        <w:ind w:right="1283"/>
        <w:rPr>
          <w:sz w:val="11"/>
          <w:szCs w:val="11"/>
        </w:rPr>
      </w:pPr>
      <w:r>
        <w:rPr>
          <w:spacing w:val="-1"/>
        </w:rPr>
        <w:t xml:space="preserve">Several </w:t>
      </w:r>
      <w:r>
        <w:t>studies in</w:t>
      </w:r>
      <w:r>
        <w:rPr>
          <w:spacing w:val="-1"/>
        </w:rPr>
        <w:t xml:space="preserve"> </w:t>
      </w:r>
      <w:r>
        <w:t>the finance</w:t>
      </w:r>
      <w:r>
        <w:rPr>
          <w:spacing w:val="-1"/>
        </w:rPr>
        <w:t xml:space="preserve"> literature</w:t>
      </w:r>
      <w:r>
        <w:t xml:space="preserve"> have</w:t>
      </w:r>
      <w:r>
        <w:rPr>
          <w:spacing w:val="-1"/>
        </w:rPr>
        <w:t xml:space="preserve"> </w:t>
      </w:r>
      <w:r>
        <w:t xml:space="preserve">found </w:t>
      </w:r>
      <w:r>
        <w:rPr>
          <w:spacing w:val="-1"/>
        </w:rPr>
        <w:t>that</w:t>
      </w:r>
      <w:r>
        <w:t xml:space="preserve"> equity</w:t>
      </w:r>
      <w:r>
        <w:rPr>
          <w:spacing w:val="-1"/>
        </w:rPr>
        <w:t xml:space="preserve"> </w:t>
      </w:r>
      <w:r>
        <w:t>betas obtained</w:t>
      </w:r>
      <w:r>
        <w:rPr>
          <w:spacing w:val="-1"/>
        </w:rPr>
        <w:t xml:space="preserve"> from</w:t>
      </w:r>
      <w:r>
        <w:t xml:space="preserve"> the</w:t>
      </w:r>
      <w:r>
        <w:rPr>
          <w:spacing w:val="-1"/>
        </w:rPr>
        <w:t xml:space="preserve"> </w:t>
      </w:r>
      <w:r>
        <w:t xml:space="preserve">OLS </w:t>
      </w:r>
      <w:r>
        <w:rPr>
          <w:spacing w:val="-1"/>
        </w:rPr>
        <w:t>regression</w:t>
      </w:r>
      <w:r>
        <w:rPr>
          <w:spacing w:val="30"/>
        </w:rPr>
        <w:t xml:space="preserve"> </w:t>
      </w:r>
      <w:r>
        <w:rPr>
          <w:spacing w:val="-2"/>
        </w:rPr>
        <w:t>are</w:t>
      </w:r>
      <w:r>
        <w:t xml:space="preserve"> </w:t>
      </w:r>
      <w:r>
        <w:rPr>
          <w:spacing w:val="-1"/>
        </w:rPr>
        <w:t>likely</w:t>
      </w:r>
      <w:r>
        <w:t xml:space="preserve"> to be subject to a high </w:t>
      </w:r>
      <w:r>
        <w:rPr>
          <w:spacing w:val="-1"/>
        </w:rPr>
        <w:t>degree</w:t>
      </w:r>
      <w:r>
        <w:t xml:space="preserve"> of</w:t>
      </w:r>
      <w:r>
        <w:rPr>
          <w:spacing w:val="4"/>
        </w:rPr>
        <w:t xml:space="preserve"> </w:t>
      </w:r>
      <w:r>
        <w:rPr>
          <w:spacing w:val="-1"/>
        </w:rPr>
        <w:t>estimation</w:t>
      </w:r>
      <w:r>
        <w:t xml:space="preserve"> bias due to sampling </w:t>
      </w:r>
      <w:r>
        <w:rPr>
          <w:spacing w:val="-3"/>
        </w:rPr>
        <w:t>error.</w:t>
      </w:r>
      <w:r>
        <w:rPr>
          <w:spacing w:val="-11"/>
        </w:rPr>
        <w:t xml:space="preserve"> </w:t>
      </w:r>
      <w:r>
        <w:rPr>
          <w:spacing w:val="-10"/>
        </w:rPr>
        <w:t>To</w:t>
      </w:r>
      <w:r>
        <w:t xml:space="preserve"> </w:t>
      </w:r>
      <w:r>
        <w:rPr>
          <w:spacing w:val="-1"/>
        </w:rPr>
        <w:t>mitigate</w:t>
      </w:r>
      <w:r>
        <w:t xml:space="preserve"> these</w:t>
      </w:r>
      <w:r>
        <w:rPr>
          <w:spacing w:val="49"/>
        </w:rPr>
        <w:t xml:space="preserve"> </w:t>
      </w:r>
      <w:r>
        <w:t xml:space="preserve">potential </w:t>
      </w:r>
      <w:r>
        <w:rPr>
          <w:spacing w:val="-1"/>
        </w:rPr>
        <w:t>estimation</w:t>
      </w:r>
      <w:r>
        <w:t xml:space="preserve"> </w:t>
      </w:r>
      <w:r>
        <w:rPr>
          <w:spacing w:val="-1"/>
        </w:rPr>
        <w:t>errors,</w:t>
      </w:r>
      <w:r>
        <w:rPr>
          <w:spacing w:val="-6"/>
        </w:rPr>
        <w:t xml:space="preserve"> </w:t>
      </w:r>
      <w:r>
        <w:t>the OLS betas of</w:t>
      </w:r>
      <w:r>
        <w:rPr>
          <w:spacing w:val="4"/>
        </w:rPr>
        <w:t xml:space="preserve"> </w:t>
      </w:r>
      <w:r>
        <w:t xml:space="preserve">the individual </w:t>
      </w:r>
      <w:r>
        <w:rPr>
          <w:spacing w:val="-1"/>
        </w:rPr>
        <w:t>stocks</w:t>
      </w:r>
      <w:r>
        <w:t xml:space="preserve"> in the sample have been adjusted</w:t>
      </w:r>
      <w:r>
        <w:rPr>
          <w:spacing w:val="31"/>
        </w:rPr>
        <w:t xml:space="preserve"> </w:t>
      </w:r>
      <w:r>
        <w:t>using</w:t>
      </w:r>
      <w:r>
        <w:rPr>
          <w:spacing w:val="1"/>
        </w:rPr>
        <w:t xml:space="preserve"> </w:t>
      </w:r>
      <w:r>
        <w:t>the</w:t>
      </w:r>
      <w:r>
        <w:rPr>
          <w:spacing w:val="1"/>
        </w:rPr>
        <w:t xml:space="preserve"> </w:t>
      </w:r>
      <w:r>
        <w:t>Blume</w:t>
      </w:r>
      <w:r>
        <w:rPr>
          <w:spacing w:val="1"/>
        </w:rPr>
        <w:t xml:space="preserve"> </w:t>
      </w:r>
      <w:r>
        <w:t>(1975)</w:t>
      </w:r>
      <w:r>
        <w:rPr>
          <w:spacing w:val="1"/>
        </w:rPr>
        <w:t xml:space="preserve"> </w:t>
      </w:r>
      <w:r>
        <w:t>and</w:t>
      </w:r>
      <w:r>
        <w:rPr>
          <w:spacing w:val="-3"/>
        </w:rPr>
        <w:t xml:space="preserve"> </w:t>
      </w:r>
      <w:r>
        <w:rPr>
          <w:spacing w:val="-2"/>
        </w:rPr>
        <w:t>Vasicek</w:t>
      </w:r>
      <w:r>
        <w:rPr>
          <w:spacing w:val="1"/>
        </w:rPr>
        <w:t xml:space="preserve"> </w:t>
      </w:r>
      <w:r>
        <w:t>(1973)</w:t>
      </w:r>
      <w:r>
        <w:rPr>
          <w:spacing w:val="2"/>
        </w:rPr>
        <w:t xml:space="preserve"> </w:t>
      </w:r>
      <w:r>
        <w:t>techniques</w:t>
      </w:r>
      <w:r>
        <w:rPr>
          <w:spacing w:val="1"/>
        </w:rPr>
        <w:t xml:space="preserve"> </w:t>
      </w:r>
      <w:r>
        <w:t>(see</w:t>
      </w:r>
      <w:r>
        <w:rPr>
          <w:spacing w:val="1"/>
        </w:rPr>
        <w:t xml:space="preserve"> </w:t>
      </w:r>
      <w:r>
        <w:rPr>
          <w:spacing w:val="-1"/>
        </w:rPr>
        <w:t>Box</w:t>
      </w:r>
      <w:r>
        <w:rPr>
          <w:spacing w:val="-3"/>
        </w:rPr>
        <w:t xml:space="preserve"> </w:t>
      </w:r>
      <w:r>
        <w:rPr>
          <w:spacing w:val="-1"/>
        </w:rPr>
        <w:t>A9.1).</w:t>
      </w:r>
      <w:r>
        <w:rPr>
          <w:spacing w:val="-1"/>
          <w:position w:val="7"/>
          <w:sz w:val="11"/>
        </w:rPr>
        <w:t>280</w:t>
      </w: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rPr>
          <w:rFonts w:ascii="Avenir Next" w:eastAsia="Avenir Next" w:hAnsi="Avenir Next" w:cs="Avenir Next"/>
          <w:sz w:val="20"/>
          <w:szCs w:val="20"/>
        </w:rPr>
      </w:pPr>
    </w:p>
    <w:p w:rsidR="00D96B91" w:rsidRDefault="00D96B91">
      <w:pPr>
        <w:spacing w:before="8"/>
        <w:rPr>
          <w:rFonts w:ascii="Avenir Next" w:eastAsia="Avenir Next" w:hAnsi="Avenir Next" w:cs="Avenir Next"/>
          <w:sz w:val="12"/>
          <w:szCs w:val="12"/>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124" style="width:72.5pt;height:.5pt;mso-position-horizontal-relative:char;mso-position-vertical-relative:line" coordsize="1450,10">
            <v:group id="_x0000_s1125" style="position:absolute;left:5;top:5;width:1440;height:2" coordorigin="5,5" coordsize="1440,2">
              <v:shape id="_x0000_s1126"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5" w:line="192" w:lineRule="exact"/>
        <w:ind w:right="1372" w:hanging="510"/>
        <w:rPr>
          <w:rFonts w:ascii="Avenir Next" w:eastAsia="Avenir Next" w:hAnsi="Avenir Next" w:cs="Avenir Next"/>
          <w:sz w:val="16"/>
          <w:szCs w:val="16"/>
        </w:rPr>
      </w:pPr>
      <w:r>
        <w:rPr>
          <w:rFonts w:ascii="Avenir Next"/>
          <w:sz w:val="16"/>
        </w:rPr>
        <w:t>Blume,</w:t>
      </w:r>
      <w:r>
        <w:rPr>
          <w:rFonts w:ascii="Avenir Next"/>
          <w:spacing w:val="-5"/>
          <w:sz w:val="16"/>
        </w:rPr>
        <w:t xml:space="preserve"> </w:t>
      </w:r>
      <w:r>
        <w:rPr>
          <w:rFonts w:ascii="Avenir Next"/>
          <w:sz w:val="16"/>
        </w:rPr>
        <w:t>M.E.,</w:t>
      </w:r>
      <w:r>
        <w:rPr>
          <w:rFonts w:ascii="Avenir Next"/>
          <w:spacing w:val="-5"/>
          <w:sz w:val="16"/>
        </w:rPr>
        <w:t xml:space="preserve"> </w:t>
      </w:r>
      <w:r>
        <w:rPr>
          <w:rFonts w:ascii="Avenir Next"/>
          <w:sz w:val="16"/>
        </w:rPr>
        <w:t>1975,</w:t>
      </w:r>
      <w:r>
        <w:rPr>
          <w:rFonts w:ascii="Avenir Next"/>
          <w:spacing w:val="-5"/>
          <w:sz w:val="16"/>
        </w:rPr>
        <w:t xml:space="preserve"> </w:t>
      </w:r>
      <w:r>
        <w:rPr>
          <w:rFonts w:ascii="Avenir Next"/>
          <w:sz w:val="16"/>
        </w:rPr>
        <w:t xml:space="preserve">Betas and their </w:t>
      </w:r>
      <w:r>
        <w:rPr>
          <w:rFonts w:ascii="Avenir Next"/>
          <w:spacing w:val="-1"/>
          <w:sz w:val="16"/>
        </w:rPr>
        <w:t>regression</w:t>
      </w:r>
      <w:r>
        <w:rPr>
          <w:rFonts w:ascii="Avenir Next"/>
          <w:sz w:val="16"/>
        </w:rPr>
        <w:t xml:space="preserve"> tendencies,</w:t>
      </w:r>
      <w:r>
        <w:rPr>
          <w:rFonts w:ascii="Avenir Next"/>
          <w:spacing w:val="-5"/>
          <w:sz w:val="16"/>
        </w:rPr>
        <w:t xml:space="preserve"> </w:t>
      </w:r>
      <w:r>
        <w:rPr>
          <w:rFonts w:ascii="Avenir Next"/>
          <w:i/>
          <w:sz w:val="16"/>
        </w:rPr>
        <w:t>Journal of</w:t>
      </w:r>
      <w:r>
        <w:rPr>
          <w:rFonts w:ascii="Avenir Next"/>
          <w:i/>
          <w:spacing w:val="3"/>
          <w:sz w:val="16"/>
        </w:rPr>
        <w:t xml:space="preserve"> </w:t>
      </w:r>
      <w:r>
        <w:rPr>
          <w:rFonts w:ascii="Avenir Next"/>
          <w:i/>
          <w:spacing w:val="-1"/>
          <w:sz w:val="16"/>
        </w:rPr>
        <w:t>Finance</w:t>
      </w:r>
      <w:r>
        <w:rPr>
          <w:rFonts w:ascii="Avenir Next"/>
          <w:i/>
          <w:sz w:val="16"/>
        </w:rPr>
        <w:t xml:space="preserve"> 30 (3),</w:t>
      </w:r>
      <w:r>
        <w:rPr>
          <w:rFonts w:ascii="Avenir Next"/>
          <w:i/>
          <w:spacing w:val="-5"/>
          <w:sz w:val="16"/>
        </w:rPr>
        <w:t xml:space="preserve"> </w:t>
      </w:r>
      <w:r>
        <w:rPr>
          <w:rFonts w:ascii="Avenir Next"/>
          <w:spacing w:val="-1"/>
          <w:sz w:val="16"/>
        </w:rPr>
        <w:t>pp.</w:t>
      </w:r>
      <w:r>
        <w:rPr>
          <w:rFonts w:ascii="Avenir Next"/>
          <w:spacing w:val="-5"/>
          <w:sz w:val="16"/>
        </w:rPr>
        <w:t xml:space="preserve"> </w:t>
      </w:r>
      <w:r>
        <w:rPr>
          <w:rFonts w:ascii="Avenir Next"/>
          <w:sz w:val="16"/>
        </w:rPr>
        <w:t>785-795;</w:t>
      </w:r>
      <w:r>
        <w:rPr>
          <w:rFonts w:ascii="Avenir Next"/>
          <w:spacing w:val="-3"/>
          <w:sz w:val="16"/>
        </w:rPr>
        <w:t xml:space="preserve"> </w:t>
      </w:r>
      <w:r>
        <w:rPr>
          <w:rFonts w:ascii="Avenir Next"/>
          <w:spacing w:val="-1"/>
          <w:sz w:val="16"/>
        </w:rPr>
        <w:t>Vasicek,</w:t>
      </w:r>
      <w:r>
        <w:rPr>
          <w:rFonts w:ascii="Avenir Next"/>
          <w:spacing w:val="-5"/>
          <w:sz w:val="16"/>
        </w:rPr>
        <w:t xml:space="preserve"> </w:t>
      </w:r>
      <w:r>
        <w:rPr>
          <w:rFonts w:ascii="Avenir Next"/>
          <w:spacing w:val="-2"/>
          <w:sz w:val="16"/>
        </w:rPr>
        <w:t>O.A.,</w:t>
      </w:r>
      <w:r>
        <w:rPr>
          <w:rFonts w:ascii="Avenir Next"/>
          <w:spacing w:val="-8"/>
          <w:sz w:val="16"/>
        </w:rPr>
        <w:t xml:space="preserve"> </w:t>
      </w:r>
      <w:r>
        <w:rPr>
          <w:rFonts w:ascii="Avenir Next"/>
          <w:sz w:val="16"/>
        </w:rPr>
        <w:t>A</w:t>
      </w:r>
      <w:r>
        <w:rPr>
          <w:rFonts w:ascii="Avenir Next"/>
          <w:spacing w:val="-3"/>
          <w:sz w:val="16"/>
        </w:rPr>
        <w:t xml:space="preserve"> </w:t>
      </w:r>
      <w:r>
        <w:rPr>
          <w:rFonts w:ascii="Avenir Next"/>
          <w:sz w:val="16"/>
        </w:rPr>
        <w:t>note on</w:t>
      </w:r>
      <w:r>
        <w:rPr>
          <w:rFonts w:ascii="Avenir Next"/>
          <w:spacing w:val="25"/>
          <w:sz w:val="16"/>
        </w:rPr>
        <w:t xml:space="preserve"> </w:t>
      </w:r>
      <w:r>
        <w:rPr>
          <w:rFonts w:ascii="Avenir Next"/>
          <w:sz w:val="16"/>
        </w:rPr>
        <w:t xml:space="preserve">using </w:t>
      </w:r>
      <w:r>
        <w:rPr>
          <w:rFonts w:ascii="Avenir Next"/>
          <w:spacing w:val="-1"/>
          <w:sz w:val="16"/>
        </w:rPr>
        <w:t>cross-sectional</w:t>
      </w:r>
      <w:r>
        <w:rPr>
          <w:rFonts w:ascii="Avenir Next"/>
          <w:sz w:val="16"/>
        </w:rPr>
        <w:t xml:space="preserve"> </w:t>
      </w:r>
      <w:r>
        <w:rPr>
          <w:rFonts w:ascii="Avenir Next"/>
          <w:spacing w:val="-1"/>
          <w:sz w:val="16"/>
        </w:rPr>
        <w:t>information</w:t>
      </w:r>
      <w:r>
        <w:rPr>
          <w:rFonts w:ascii="Avenir Next"/>
          <w:sz w:val="16"/>
        </w:rPr>
        <w:t xml:space="preserve"> in Bayesian </w:t>
      </w:r>
      <w:r>
        <w:rPr>
          <w:rFonts w:ascii="Avenir Next"/>
          <w:spacing w:val="-1"/>
          <w:sz w:val="16"/>
        </w:rPr>
        <w:t>estimation</w:t>
      </w:r>
      <w:r>
        <w:rPr>
          <w:rFonts w:ascii="Avenir Next"/>
          <w:sz w:val="16"/>
        </w:rPr>
        <w:t xml:space="preserve"> of</w:t>
      </w:r>
      <w:r>
        <w:rPr>
          <w:rFonts w:ascii="Avenir Next"/>
          <w:spacing w:val="3"/>
          <w:sz w:val="16"/>
        </w:rPr>
        <w:t xml:space="preserve"> </w:t>
      </w:r>
      <w:r>
        <w:rPr>
          <w:rFonts w:ascii="Avenir Next"/>
          <w:sz w:val="16"/>
        </w:rPr>
        <w:t>security betas,</w:t>
      </w:r>
      <w:r>
        <w:rPr>
          <w:rFonts w:ascii="Avenir Next"/>
          <w:spacing w:val="-5"/>
          <w:sz w:val="16"/>
        </w:rPr>
        <w:t xml:space="preserve"> </w:t>
      </w:r>
      <w:r>
        <w:rPr>
          <w:rFonts w:ascii="Avenir Next"/>
          <w:i/>
          <w:sz w:val="16"/>
        </w:rPr>
        <w:t>Journal of</w:t>
      </w:r>
      <w:r>
        <w:rPr>
          <w:rFonts w:ascii="Avenir Next"/>
          <w:i/>
          <w:spacing w:val="3"/>
          <w:sz w:val="16"/>
        </w:rPr>
        <w:t xml:space="preserve"> </w:t>
      </w:r>
      <w:r>
        <w:rPr>
          <w:rFonts w:ascii="Avenir Next"/>
          <w:i/>
          <w:spacing w:val="-1"/>
          <w:sz w:val="16"/>
        </w:rPr>
        <w:t>Finance</w:t>
      </w:r>
      <w:r>
        <w:rPr>
          <w:rFonts w:ascii="Avenir Next"/>
          <w:i/>
          <w:sz w:val="16"/>
        </w:rPr>
        <w:t xml:space="preserve"> 28 (5),</w:t>
      </w:r>
      <w:r>
        <w:rPr>
          <w:rFonts w:ascii="Avenir Next"/>
          <w:i/>
          <w:spacing w:val="-5"/>
          <w:sz w:val="16"/>
        </w:rPr>
        <w:t xml:space="preserve"> </w:t>
      </w:r>
      <w:r>
        <w:rPr>
          <w:rFonts w:ascii="Avenir Next"/>
          <w:spacing w:val="-1"/>
          <w:sz w:val="16"/>
        </w:rPr>
        <w:t>pp.</w:t>
      </w:r>
      <w:r>
        <w:rPr>
          <w:rFonts w:ascii="Avenir Next"/>
          <w:spacing w:val="-5"/>
          <w:sz w:val="16"/>
        </w:rPr>
        <w:t xml:space="preserve"> </w:t>
      </w:r>
      <w:r>
        <w:rPr>
          <w:rFonts w:ascii="Avenir Next"/>
          <w:sz w:val="16"/>
        </w:rPr>
        <w:t>1233-1239.</w:t>
      </w:r>
    </w:p>
    <w:p w:rsidR="00D96B91" w:rsidRDefault="00D96B91">
      <w:pPr>
        <w:spacing w:line="192" w:lineRule="exact"/>
        <w:rPr>
          <w:rFonts w:ascii="Avenir Next" w:eastAsia="Avenir Next" w:hAnsi="Avenir Next" w:cs="Avenir Next"/>
          <w:sz w:val="16"/>
          <w:szCs w:val="16"/>
        </w:rPr>
        <w:sectPr w:rsidR="00D96B91">
          <w:pgSz w:w="11910" w:h="16840"/>
          <w:pgMar w:top="1260" w:right="0" w:bottom="1020" w:left="0" w:header="0" w:footer="829" w:gutter="0"/>
          <w:cols w:space="720"/>
        </w:sectPr>
      </w:pPr>
    </w:p>
    <w:p w:rsidR="00D96B91" w:rsidRDefault="00C2656B">
      <w:pPr>
        <w:spacing w:before="29"/>
        <w:ind w:left="1247"/>
        <w:rPr>
          <w:rFonts w:ascii="Avenir Next" w:eastAsia="Avenir Next" w:hAnsi="Avenir Next" w:cs="Avenir Next"/>
          <w:sz w:val="20"/>
          <w:szCs w:val="20"/>
        </w:rPr>
      </w:pPr>
      <w:r>
        <w:rPr>
          <w:rFonts w:ascii="Avenir Next"/>
          <w:b/>
          <w:spacing w:val="-1"/>
          <w:sz w:val="20"/>
        </w:rPr>
        <w:t>Box</w:t>
      </w:r>
      <w:r>
        <w:rPr>
          <w:rFonts w:ascii="Avenir Next"/>
          <w:b/>
          <w:spacing w:val="-4"/>
          <w:sz w:val="20"/>
        </w:rPr>
        <w:t xml:space="preserve"> </w:t>
      </w:r>
      <w:r>
        <w:rPr>
          <w:rFonts w:ascii="Avenir Next"/>
          <w:b/>
          <w:sz w:val="20"/>
        </w:rPr>
        <w:t>A9.1: Blume and</w:t>
      </w:r>
      <w:r>
        <w:rPr>
          <w:rFonts w:ascii="Avenir Next"/>
          <w:b/>
          <w:spacing w:val="-4"/>
          <w:sz w:val="20"/>
        </w:rPr>
        <w:t xml:space="preserve"> </w:t>
      </w:r>
      <w:r>
        <w:rPr>
          <w:rFonts w:ascii="Avenir Next"/>
          <w:b/>
          <w:spacing w:val="-2"/>
          <w:sz w:val="20"/>
        </w:rPr>
        <w:t>Vasicek</w:t>
      </w:r>
      <w:r>
        <w:rPr>
          <w:rFonts w:ascii="Avenir Next"/>
          <w:b/>
          <w:sz w:val="20"/>
        </w:rPr>
        <w:t xml:space="preserve"> adjustments</w:t>
      </w:r>
    </w:p>
    <w:p w:rsidR="00D96B91" w:rsidRDefault="00D96B91">
      <w:pPr>
        <w:spacing w:line="200" w:lineRule="atLeast"/>
        <w:ind w:left="1247"/>
        <w:rPr>
          <w:rFonts w:ascii="Avenir Next" w:eastAsia="Avenir Next" w:hAnsi="Avenir Next" w:cs="Avenir Next"/>
          <w:sz w:val="20"/>
          <w:szCs w:val="20"/>
        </w:rPr>
      </w:pPr>
      <w:r w:rsidRPr="00D96B91">
        <w:rPr>
          <w:rFonts w:ascii="Avenir Next" w:eastAsia="Avenir Next" w:hAnsi="Avenir Next" w:cs="Avenir Next"/>
          <w:sz w:val="20"/>
          <w:szCs w:val="20"/>
        </w:rPr>
      </w:r>
      <w:r>
        <w:rPr>
          <w:rFonts w:ascii="Avenir Next" w:eastAsia="Avenir Next" w:hAnsi="Avenir Next" w:cs="Avenir Next"/>
          <w:sz w:val="20"/>
          <w:szCs w:val="20"/>
        </w:rPr>
        <w:pict>
          <v:group id="_x0000_s1062" style="width:470.55pt;height:267.8pt;mso-position-horizontal-relative:char;mso-position-vertical-relative:line" coordsize="9411,5356">
            <v:group id="_x0000_s1119" style="position:absolute;width:9411;height:5356" coordsize="9411,5356">
              <v:shape id="_x0000_s1123" style="position:absolute;width:9411;height:5356" coordsize="9411,5356" path="m,5355r9411,l9411,,,,,5355xe" fillcolor="#dff3fd" stroked="f">
                <v:path arrowok="t"/>
              </v:shape>
              <v:shape id="_x0000_s1122" type="#_x0000_t75" style="position:absolute;left:272;top:802;width:540;height:181">
                <v:imagedata r:id="rId124" o:title=""/>
              </v:shape>
              <v:shape id="_x0000_s1121" type="#_x0000_t75" style="position:absolute;left:897;top:730;width:2300;height:313">
                <v:imagedata r:id="rId125" o:title=""/>
              </v:shape>
              <v:shape id="_x0000_s1120" type="#_x0000_t75" style="position:absolute;left:272;top:1975;width:645;height:261">
                <v:imagedata r:id="rId126" o:title=""/>
              </v:shape>
            </v:group>
            <v:group id="_x0000_s1117" style="position:absolute;left:1007;top:2116;width:120;height:2" coordorigin="1007,2116" coordsize="120,2">
              <v:shape id="_x0000_s1118" style="position:absolute;left:1007;top:2116;width:120;height:2" coordorigin="1007,2116" coordsize="120,0" path="m1007,2116r120,e" filled="f" strokeweight=".26317mm">
                <v:path arrowok="t"/>
              </v:shape>
            </v:group>
            <v:group id="_x0000_s1115" style="position:absolute;left:1007;top:2075;width:120;height:2" coordorigin="1007,2075" coordsize="120,2">
              <v:shape id="_x0000_s1116" style="position:absolute;left:1007;top:2075;width:120;height:2" coordorigin="1007,2075" coordsize="120,0" path="m1007,2075r120,e" filled="f" strokeweight=".26353mm">
                <v:path arrowok="t"/>
              </v:shape>
            </v:group>
            <v:group id="_x0000_s1110" style="position:absolute;left:1202;top:2059;width:139;height:95" coordorigin="1202,2059" coordsize="139,95">
              <v:shape id="_x0000_s1114" style="position:absolute;left:1202;top:2059;width:139;height:95" coordorigin="1202,2059" coordsize="139,95" path="m1229,2059r-26,l1202,2064r3,l1208,2065r13,89l1235,2151r10,-15l1235,2136r-6,-77xe" fillcolor="black" stroked="f">
                <v:path arrowok="t"/>
              </v:shape>
              <v:shape id="_x0000_s1113" style="position:absolute;left:1202;top:2059;width:139;height:95" coordorigin="1202,2059" coordsize="139,95" path="m1286,2089r-16,l1271,2089r1,8l1273,2107r,4l1277,2154r12,l1294,2146r5,-7l1301,2136r-11,l1286,2089xe" fillcolor="black" stroked="f">
                <v:path arrowok="t"/>
              </v:shape>
              <v:shape id="_x0000_s1112" style="position:absolute;left:1202;top:2059;width:139;height:95" coordorigin="1202,2059" coordsize="139,95" path="m1339,2059r-25,l1313,2064r3,l1318,2065r2,2l1321,2069r,10l1318,2088r-6,13l1302,2118r-12,18l1301,2136r32,-52l1341,2064r-2,-5xe" fillcolor="black" stroked="f">
                <v:path arrowok="t"/>
              </v:shape>
              <v:shape id="_x0000_s1111" style="position:absolute;left:1202;top:2059;width:139;height:95" coordorigin="1202,2059" coordsize="139,95" path="m1283,2059r-14,l1268,2064r-1,6l1265,2076r-30,60l1245,2136r25,-47l1286,2089r-3,-30xe" fillcolor="black" stroked="f">
                <v:path arrowok="t"/>
              </v:shape>
            </v:group>
            <v:group id="_x0000_s1106" style="position:absolute;left:1333;top:2124;width:80;height:97" coordorigin="1333,2124" coordsize="80,97">
              <v:shape id="_x0000_s1109" style="position:absolute;left:1333;top:2124;width:80;height:97" coordorigin="1333,2124" coordsize="80,97" path="m1365,2133r-17,l1349,2133r1,l1355,2192r-3,5l1350,2201r-3,8l1346,2213r-1,3l1346,2218r1,2l1358,2220r6,-27l1375,2177r-9,l1366,2172r,-3l1367,2165r,-10l1367,2146r,-4l1366,2135r,-1l1365,2133xe" fillcolor="black" stroked="f">
                <v:path arrowok="t"/>
              </v:shape>
              <v:shape id="_x0000_s1108" style="position:absolute;left:1333;top:2124;width:80;height:97" coordorigin="1333,2124" coordsize="80,97" path="m1412,2125r-16,l1394,2129r-7,13l1367,2177r8,l1411,2130r1,-5xe" fillcolor="black" stroked="f">
                <v:path arrowok="t"/>
              </v:shape>
              <v:shape id="_x0000_s1107" style="position:absolute;left:1333;top:2124;width:80;height:97" coordorigin="1333,2124" coordsize="80,97" path="m1355,2124r-22,10l1337,2138r,1l1339,2137r2,-2l1344,2133r2,l1365,2133r,-1l1362,2127r-1,-1l1357,2124r-2,xe" fillcolor="black" stroked="f">
                <v:path arrowok="t"/>
              </v:shape>
            </v:group>
            <v:group id="_x0000_s1102" style="position:absolute;left:1490;top:2042;width:108;height:108" coordorigin="1490,2042" coordsize="108,108">
              <v:shape id="_x0000_s1105" style="position:absolute;left:1490;top:2042;width:108;height:108" coordorigin="1490,2042" coordsize="108,108" path="m1563,2105r-19,l1588,2149r10,-9l1563,2105xe" fillcolor="black" stroked="f">
                <v:path arrowok="t"/>
              </v:shape>
              <v:shape id="_x0000_s1104" style="position:absolute;left:1490;top:2042;width:108;height:108" coordorigin="1490,2042" coordsize="108,108" path="m1500,2042r-9,10l1535,2095r-45,45l1499,2149r45,-44l1563,2105r-9,-10l1563,2086r-19,l1500,2042xe" fillcolor="black" stroked="f">
                <v:path arrowok="t"/>
              </v:shape>
              <v:shape id="_x0000_s1103" style="position:absolute;left:1490;top:2042;width:108;height:108" coordorigin="1490,2042" coordsize="108,108" path="m1588,2042r-44,44l1563,2086r35,-35l1588,2042xe" fillcolor="black" stroked="f">
                <v:path arrowok="t"/>
              </v:shape>
            </v:group>
            <v:group id="_x0000_s1098" style="position:absolute;left:1662;top:2013;width:111;height:181" coordorigin="1662,2013" coordsize="111,181">
              <v:shape id="_x0000_s1101" style="position:absolute;left:1662;top:2013;width:111;height:181" coordorigin="1662,2013" coordsize="111,181" path="m1751,2013r-19,l1724,2015r-62,179l1677,2194r11,-46l1738,2148r3,-2l1709,2146r-4,l1692,2135r,-4l1709,2053r5,-12l1725,2025r7,-4l1765,2021r-7,-6l1751,2013xe" fillcolor="black" stroked="f">
                <v:path arrowok="t"/>
              </v:shape>
              <v:shape id="_x0000_s1100" style="position:absolute;left:1662;top:2013;width:111;height:181" coordorigin="1662,2013" coordsize="111,181" path="m1738,2148r-50,l1692,2150r5,2l1705,2153r5,1l1724,2154r7,-2l1738,2148xe" fillcolor="black" stroked="f">
                <v:path arrowok="t"/>
              </v:shape>
              <v:shape id="_x0000_s1099" style="position:absolute;left:1662;top:2013;width:111;height:181" coordorigin="1662,2013" coordsize="111,181" path="m1765,2021r-20,l1749,2022r5,6l1756,2032r,12l1754,2050r-35,26l1717,2083r8,l1731,2086r8,8l1741,2100r,15l1718,2146r23,l1745,2144r5,-5l1756,2125r2,-7l1758,2096r-8,-11l1735,2080r,-1l1772,2042r,-12l1769,2024r-4,-3xe" fillcolor="black" stroked="f">
                <v:path arrowok="t"/>
              </v:shape>
            </v:group>
            <v:group id="_x0000_s1096" style="position:absolute;left:1794;top:2097;width:17;height:15" coordorigin="1794,2097" coordsize="17,15">
              <v:shape id="_x0000_s1097" style="position:absolute;left:1794;top:2097;width:17;height:15" coordorigin="1794,2097" coordsize="17,15" path="m1810,2097r-13,l1794,2112r13,l1810,2097xe" fillcolor="black" stroked="f">
                <v:path arrowok="t"/>
              </v:shape>
            </v:group>
            <v:group id="_x0000_s1093" style="position:absolute;left:1779;top:2124;width:34;height:70" coordorigin="1779,2124" coordsize="34,70">
              <v:shape id="_x0000_s1095" style="position:absolute;left:1779;top:2124;width:34;height:70" coordorigin="1779,2124" coordsize="34,70" path="m1804,2124r-3,l1781,2125r-1,5l1783,2130r2,l1787,2132r1,1l1788,2137r-6,26l1781,2171r-1,3l1780,2178r-1,6l1780,2185r9,9l1793,2194r16,-9l1795,2185r-1,l1793,2183r-1,-1l1793,2177r,-3l1793,2172r1,-2l1804,2124xe" fillcolor="black" stroked="f">
                <v:path arrowok="t"/>
              </v:shape>
              <v:shape id="_x0000_s1094" style="position:absolute;left:1779;top:2124;width:34;height:70" coordorigin="1779,2124" coordsize="34,70" path="m1808,2177r-13,8l1809,2185r2,-2l1813,2181r-5,-4xe" fillcolor="black" stroked="f">
                <v:path arrowok="t"/>
              </v:shape>
            </v:group>
            <v:group id="_x0000_s1089" style="position:absolute;left:1888;top:2033;width:120;height:125" coordorigin="1888,2033" coordsize="120,125">
              <v:shape id="_x0000_s1092" style="position:absolute;left:1888;top:2033;width:120;height:125" coordorigin="1888,2033" coordsize="120,125" path="m1955,2102r-14,l1941,2158r14,l1955,2102xe" fillcolor="black" stroked="f">
                <v:path arrowok="t"/>
              </v:shape>
              <v:shape id="_x0000_s1091" style="position:absolute;left:1888;top:2033;width:120;height:125" coordorigin="1888,2033" coordsize="120,125" path="m2008,2089r-120,l1888,2102r120,l2008,2089xe" fillcolor="black" stroked="f">
                <v:path arrowok="t"/>
              </v:shape>
              <v:shape id="_x0000_s1090" style="position:absolute;left:1888;top:2033;width:120;height:125" coordorigin="1888,2033" coordsize="120,125" path="m1955,2033r-14,l1941,2089r14,l1955,2033xe" fillcolor="black" stroked="f">
                <v:path arrowok="t"/>
              </v:shape>
            </v:group>
            <v:group id="_x0000_s1087" style="position:absolute;left:2086;top:2013;width:61;height:184" coordorigin="2086,2013" coordsize="61,184">
              <v:shape id="_x0000_s1088" style="position:absolute;left:2086;top:2013;width:61;height:184" coordorigin="2086,2013" coordsize="61,184" path="m2140,2013r-45,42l2086,2118r4,18l2097,2155r13,21l2125,2188r19,8l2133,2182r-12,-14l2108,2145r-4,-20l2102,2103r,l2129,2029r18,-10l2140,2013xe" fillcolor="black" stroked="f">
                <v:path arrowok="t"/>
              </v:shape>
            </v:group>
            <v:group id="_x0000_s1081" style="position:absolute;left:2169;top:2018;width:78;height:135" coordorigin="2169,2018" coordsize="78,135">
              <v:shape id="_x0000_s1086" style="position:absolute;left:2169;top:2018;width:78;height:135" coordorigin="2169,2018" coordsize="78,135" path="m2220,2040r-22,l2200,2041r2,2l2202,2045r,86l2202,2135r-27,10l2175,2152r72,l2247,2145r-5,l2238,2145r-18,-14l2220,2040xe" fillcolor="black" stroked="f">
                <v:path arrowok="t"/>
              </v:shape>
              <v:shape id="_x0000_s1085" style="position:absolute;left:2169;top:2018;width:78;height:135" coordorigin="2169,2018" coordsize="78,135" path="m2220,2018r-5,l2169,2045r5,8l2179,2049r5,-3l2192,2042r3,-2l2220,2040r,-7l2220,2024r,-6xe" fillcolor="black" stroked="f">
                <v:path arrowok="t"/>
              </v:shape>
              <v:shape id="_x0000_s1084" type="#_x0000_t75" style="position:absolute;left:2313;top:2012;width:1404;height:209">
                <v:imagedata r:id="rId127" o:title=""/>
              </v:shape>
              <v:shape id="_x0000_s1083" type="#_x0000_t75" style="position:absolute;left:758;top:2810;width:751;height:206">
                <v:imagedata r:id="rId128" o:title=""/>
              </v:shape>
              <v:shape id="_x0000_s1082" type="#_x0000_t75" style="position:absolute;left:1587;top:2685;width:1913;height:443">
                <v:imagedata r:id="rId129" o:title=""/>
              </v:shape>
            </v:group>
            <v:group id="_x0000_s1063" style="position:absolute;left:1595;top:2871;width:120;height:2" coordorigin="1595,2871" coordsize="120,2">
              <v:shape id="_x0000_s1080" style="position:absolute;left:1595;top:2871;width:120;height:2" coordorigin="1595,2871" coordsize="120,0" path="m1595,2871r120,e" filled="f" strokeweight=".26353mm">
                <v:path arrowok="t"/>
              </v:shape>
              <v:shape id="_x0000_s1079" type="#_x0000_t75" style="position:absolute;left:6358;top:3531;width:820;height:207">
                <v:imagedata r:id="rId130" o:title=""/>
              </v:shape>
              <v:shape id="_x0000_s1078" type="#_x0000_t75" style="position:absolute;left:4774;top:3793;width:671;height:257">
                <v:imagedata r:id="rId131" o:title=""/>
              </v:shape>
              <v:shape id="_x0000_s1077" type="#_x0000_t75" style="position:absolute;left:7530;top:3782;width:533;height:220">
                <v:imagedata r:id="rId132" o:title=""/>
              </v:shape>
              <v:shape id="_x0000_s1076" type="#_x0000_t75" style="position:absolute;left:8076;top:3817;width:814;height:185">
                <v:imagedata r:id="rId133" o:title=""/>
              </v:shape>
              <v:shape id="_x0000_s1075" type="#_x0000_t75" style="position:absolute;left:6012;top:4168;width:575;height:257">
                <v:imagedata r:id="rId134" o:title=""/>
              </v:shape>
              <v:shape id="_x0000_s1074" type="#_x0000_t75" style="position:absolute;left:6704;top:4201;width:669;height:207">
                <v:imagedata r:id="rId135" o:title=""/>
              </v:shape>
              <v:shape id="_x0000_s1073" type="#_x0000_t75" style="position:absolute;left:651;top:4757;width:1214;height:220">
                <v:imagedata r:id="rId136" o:title=""/>
              </v:shape>
              <v:shape id="_x0000_s1072" type="#_x0000_t202" style="position:absolute;left:170;top:224;width:8579;height:200" filled="f" stroked="f">
                <v:textbox style="mso-next-textbox:#_x0000_s1072"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5"/>
                          <w:sz w:val="20"/>
                        </w:rPr>
                        <w:t>To</w:t>
                      </w:r>
                      <w:r>
                        <w:rPr>
                          <w:rFonts w:ascii="Avenir Next Condensed"/>
                          <w:spacing w:val="-4"/>
                          <w:sz w:val="20"/>
                        </w:rPr>
                        <w:t xml:space="preserve"> </w:t>
                      </w:r>
                      <w:r>
                        <w:rPr>
                          <w:rFonts w:ascii="Avenir Next Condensed"/>
                          <w:spacing w:val="-2"/>
                          <w:sz w:val="20"/>
                        </w:rPr>
                        <w:t>implement</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Blume</w:t>
                      </w:r>
                      <w:r>
                        <w:rPr>
                          <w:rFonts w:ascii="Avenir Next Condensed"/>
                          <w:spacing w:val="-4"/>
                          <w:sz w:val="20"/>
                        </w:rPr>
                        <w:t xml:space="preserve"> </w:t>
                      </w:r>
                      <w:r>
                        <w:rPr>
                          <w:rFonts w:ascii="Avenir Next Condensed"/>
                          <w:spacing w:val="-2"/>
                          <w:sz w:val="20"/>
                        </w:rPr>
                        <w:t>adjustment,</w:t>
                      </w:r>
                      <w:r>
                        <w:rPr>
                          <w:rFonts w:ascii="Avenir Next Condensed"/>
                          <w:spacing w:val="-10"/>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3"/>
                          <w:sz w:val="20"/>
                        </w:rPr>
                        <w:t>regression-based</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betas</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2"/>
                          <w:sz w:val="20"/>
                        </w:rPr>
                        <w:t>been</w:t>
                      </w:r>
                      <w:r>
                        <w:rPr>
                          <w:rFonts w:ascii="Avenir Next Condensed"/>
                          <w:spacing w:val="-4"/>
                          <w:sz w:val="20"/>
                        </w:rPr>
                        <w:t xml:space="preserve"> </w:t>
                      </w:r>
                      <w:r>
                        <w:rPr>
                          <w:rFonts w:ascii="Avenir Next Condensed"/>
                          <w:spacing w:val="-2"/>
                          <w:sz w:val="20"/>
                        </w:rPr>
                        <w:t>adjusted</w:t>
                      </w:r>
                      <w:r>
                        <w:rPr>
                          <w:rFonts w:ascii="Avenir Next Condensed"/>
                          <w:spacing w:val="-4"/>
                          <w:sz w:val="20"/>
                        </w:rPr>
                        <w:t xml:space="preserve"> </w:t>
                      </w:r>
                      <w:r>
                        <w:rPr>
                          <w:rFonts w:ascii="Avenir Next Condensed"/>
                          <w:spacing w:val="-2"/>
                          <w:sz w:val="20"/>
                        </w:rPr>
                        <w:t>using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r>
                        <w:rPr>
                          <w:rFonts w:ascii="Avenir Next Condensed"/>
                          <w:spacing w:val="-4"/>
                          <w:sz w:val="20"/>
                        </w:rPr>
                        <w:t xml:space="preserve"> </w:t>
                      </w:r>
                      <w:r>
                        <w:rPr>
                          <w:rFonts w:ascii="Avenir Next Condensed"/>
                          <w:spacing w:val="-2"/>
                          <w:sz w:val="20"/>
                        </w:rPr>
                        <w:t>equation:</w:t>
                      </w:r>
                    </w:p>
                  </w:txbxContent>
                </v:textbox>
              </v:shape>
              <v:shape id="_x0000_s1071" type="#_x0000_t202" style="position:absolute;left:170;top:1407;width:5271;height:200" filled="f" stroked="f">
                <v:textbox style="mso-next-textbox:#_x0000_s1071"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8"/>
                          <w:sz w:val="20"/>
                        </w:rPr>
                        <w:t xml:space="preserve"> </w:t>
                      </w:r>
                      <w:r>
                        <w:rPr>
                          <w:rFonts w:ascii="Avenir Next Condensed"/>
                          <w:spacing w:val="-3"/>
                          <w:sz w:val="20"/>
                        </w:rPr>
                        <w:t>Vasicek</w:t>
                      </w:r>
                      <w:r>
                        <w:rPr>
                          <w:rFonts w:ascii="Avenir Next Condensed"/>
                          <w:spacing w:val="-4"/>
                          <w:sz w:val="20"/>
                        </w:rPr>
                        <w:t xml:space="preserve"> </w:t>
                      </w:r>
                      <w:r>
                        <w:rPr>
                          <w:rFonts w:ascii="Avenir Next Condensed"/>
                          <w:spacing w:val="-2"/>
                          <w:sz w:val="20"/>
                        </w:rPr>
                        <w:t>adjustment</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2"/>
                          <w:sz w:val="20"/>
                        </w:rPr>
                        <w:t>been</w:t>
                      </w:r>
                      <w:r>
                        <w:rPr>
                          <w:rFonts w:ascii="Avenir Next Condensed"/>
                          <w:spacing w:val="-4"/>
                          <w:sz w:val="20"/>
                        </w:rPr>
                        <w:t xml:space="preserve"> </w:t>
                      </w:r>
                      <w:r>
                        <w:rPr>
                          <w:rFonts w:ascii="Avenir Next Condensed"/>
                          <w:spacing w:val="-2"/>
                          <w:sz w:val="20"/>
                        </w:rPr>
                        <w:t>implemented</w:t>
                      </w:r>
                      <w:r>
                        <w:rPr>
                          <w:rFonts w:ascii="Avenir Next Condensed"/>
                          <w:spacing w:val="-4"/>
                          <w:sz w:val="20"/>
                        </w:rPr>
                        <w:t xml:space="preserve"> </w:t>
                      </w:r>
                      <w:r>
                        <w:rPr>
                          <w:rFonts w:ascii="Avenir Next Condensed"/>
                          <w:spacing w:val="-2"/>
                          <w:sz w:val="20"/>
                        </w:rPr>
                        <w:t>using</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following</w:t>
                      </w:r>
                      <w:r>
                        <w:rPr>
                          <w:rFonts w:ascii="Avenir Next Condensed"/>
                          <w:spacing w:val="-4"/>
                          <w:sz w:val="20"/>
                        </w:rPr>
                        <w:t xml:space="preserve"> </w:t>
                      </w:r>
                      <w:r>
                        <w:rPr>
                          <w:rFonts w:ascii="Avenir Next Condensed"/>
                          <w:spacing w:val="-2"/>
                          <w:sz w:val="20"/>
                        </w:rPr>
                        <w:t>formula:</w:t>
                      </w:r>
                    </w:p>
                  </w:txbxContent>
                </v:textbox>
              </v:shape>
              <v:shape id="_x0000_s1070" type="#_x0000_t202" style="position:absolute;left:170;top:2817;width:500;height:200" filled="f" stroked="f">
                <v:textbox style="mso-next-textbox:#_x0000_s1070"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2"/>
                          <w:sz w:val="20"/>
                        </w:rPr>
                        <w:t>where</w:t>
                      </w:r>
                      <w:r>
                        <w:rPr>
                          <w:rFonts w:ascii="Avenir Next Condensed"/>
                          <w:spacing w:val="-4"/>
                          <w:sz w:val="20"/>
                        </w:rPr>
                        <w:t xml:space="preserve"> </w:t>
                      </w:r>
                      <w:r>
                        <w:rPr>
                          <w:rFonts w:ascii="Avenir Next Condensed"/>
                          <w:sz w:val="20"/>
                        </w:rPr>
                        <w:t>.</w:t>
                      </w:r>
                    </w:p>
                  </w:txbxContent>
                </v:textbox>
              </v:shape>
              <v:shape id="_x0000_s1069" type="#_x0000_t202" style="position:absolute;left:170;top:3514;width:6094;height:200" filled="f" stroked="f">
                <v:textbox style="mso-next-textbox:#_x0000_s1069"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2"/>
                          <w:sz w:val="20"/>
                        </w:rPr>
                        <w:t>This</w:t>
                      </w:r>
                      <w:r>
                        <w:rPr>
                          <w:rFonts w:ascii="Avenir Next Condensed"/>
                          <w:spacing w:val="-4"/>
                          <w:sz w:val="20"/>
                        </w:rPr>
                        <w:t xml:space="preserve"> </w:t>
                      </w:r>
                      <w:r>
                        <w:rPr>
                          <w:rFonts w:ascii="Avenir Next Condensed"/>
                          <w:spacing w:val="-3"/>
                          <w:sz w:val="20"/>
                        </w:rPr>
                        <w:t>process</w:t>
                      </w:r>
                      <w:r>
                        <w:rPr>
                          <w:rFonts w:ascii="Avenir Next Condensed"/>
                          <w:spacing w:val="-4"/>
                          <w:sz w:val="20"/>
                        </w:rPr>
                        <w:t xml:space="preserve"> </w:t>
                      </w:r>
                      <w:r>
                        <w:rPr>
                          <w:rFonts w:ascii="Avenir Next Condensed"/>
                          <w:spacing w:val="-2"/>
                          <w:sz w:val="20"/>
                        </w:rPr>
                        <w:t>adjusts</w:t>
                      </w:r>
                      <w:r>
                        <w:rPr>
                          <w:rFonts w:ascii="Avenir Next Condensed"/>
                          <w:spacing w:val="-4"/>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3"/>
                          <w:sz w:val="20"/>
                        </w:rPr>
                        <w:t>regression-based</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betas</w:t>
                      </w:r>
                      <w:r>
                        <w:rPr>
                          <w:rFonts w:ascii="Avenir Next Condensed"/>
                          <w:spacing w:val="-4"/>
                          <w:sz w:val="20"/>
                        </w:rPr>
                        <w:t xml:space="preserve"> </w:t>
                      </w:r>
                      <w:r>
                        <w:rPr>
                          <w:rFonts w:ascii="Avenir Next Condensed"/>
                          <w:spacing w:val="-2"/>
                          <w:sz w:val="20"/>
                        </w:rPr>
                        <w:t>toward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best</w:t>
                      </w:r>
                      <w:r>
                        <w:rPr>
                          <w:rFonts w:ascii="Avenir Next Condensed"/>
                          <w:spacing w:val="-4"/>
                          <w:sz w:val="20"/>
                        </w:rPr>
                        <w:t xml:space="preserve"> </w:t>
                      </w:r>
                      <w:r>
                        <w:rPr>
                          <w:rFonts w:ascii="Avenir Next Condensed"/>
                          <w:spacing w:val="-2"/>
                          <w:sz w:val="20"/>
                        </w:rPr>
                        <w:t>prior</w:t>
                      </w:r>
                      <w:r>
                        <w:rPr>
                          <w:rFonts w:ascii="Avenir Next Condensed"/>
                          <w:spacing w:val="-4"/>
                          <w:sz w:val="20"/>
                        </w:rPr>
                        <w:t xml:space="preserve"> </w:t>
                      </w:r>
                      <w:r>
                        <w:rPr>
                          <w:rFonts w:ascii="Avenir Next Condensed"/>
                          <w:spacing w:val="-2"/>
                          <w:sz w:val="20"/>
                        </w:rPr>
                        <w:t>beta</w:t>
                      </w:r>
                      <w:r>
                        <w:rPr>
                          <w:rFonts w:ascii="Avenir Next Condensed"/>
                          <w:spacing w:val="-4"/>
                          <w:sz w:val="20"/>
                        </w:rPr>
                        <w:t xml:space="preserve"> </w:t>
                      </w:r>
                      <w:r>
                        <w:rPr>
                          <w:rFonts w:ascii="Avenir Next Condensed"/>
                          <w:spacing w:val="-2"/>
                          <w:sz w:val="20"/>
                        </w:rPr>
                        <w:t>estimate</w:t>
                      </w:r>
                    </w:p>
                  </w:txbxContent>
                </v:textbox>
              </v:shape>
              <v:shape id="_x0000_s1068" type="#_x0000_t202" style="position:absolute;left:7209;top:3514;width:1305;height:200" filled="f" stroked="f">
                <v:textbox style="mso-next-textbox:#_x0000_s1068"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z w:val="20"/>
                        </w:rPr>
                        <w:t>,</w:t>
                      </w:r>
                      <w:r>
                        <w:rPr>
                          <w:rFonts w:ascii="Avenir Next Condensed"/>
                          <w:spacing w:val="-10"/>
                          <w:sz w:val="20"/>
                        </w:rPr>
                        <w:t xml:space="preserve"> </w:t>
                      </w:r>
                      <w:r>
                        <w:rPr>
                          <w:rFonts w:ascii="Avenir Next Condensed"/>
                          <w:spacing w:val="-2"/>
                          <w:sz w:val="20"/>
                        </w:rPr>
                        <w:t>with</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degree</w:t>
                      </w:r>
                      <w:r>
                        <w:rPr>
                          <w:rFonts w:ascii="Avenir Next Condensed"/>
                          <w:spacing w:val="-4"/>
                          <w:sz w:val="20"/>
                        </w:rPr>
                        <w:t xml:space="preserve"> </w:t>
                      </w:r>
                      <w:r>
                        <w:rPr>
                          <w:rFonts w:ascii="Avenir Next Condensed"/>
                          <w:spacing w:val="-2"/>
                          <w:sz w:val="20"/>
                        </w:rPr>
                        <w:t>of</w:t>
                      </w:r>
                    </w:p>
                  </w:txbxContent>
                </v:textbox>
              </v:shape>
              <v:shape id="_x0000_s1067" type="#_x0000_t202" style="position:absolute;left:170;top:3814;width:8856;height:200" filled="f" stroked="f">
                <v:textbox style="mso-next-textbox:#_x0000_s1067" inset="0,0,0,0">
                  <w:txbxContent>
                    <w:p w:rsidR="008A79D5" w:rsidRDefault="008A79D5">
                      <w:pPr>
                        <w:tabs>
                          <w:tab w:val="left" w:pos="5368"/>
                          <w:tab w:val="left" w:pos="8811"/>
                        </w:tabs>
                        <w:spacing w:line="200" w:lineRule="exact"/>
                        <w:rPr>
                          <w:rFonts w:ascii="Avenir Next Condensed" w:eastAsia="Avenir Next Condensed" w:hAnsi="Avenir Next Condensed" w:cs="Avenir Next Condensed"/>
                          <w:sz w:val="20"/>
                          <w:szCs w:val="20"/>
                        </w:rPr>
                      </w:pPr>
                      <w:r>
                        <w:rPr>
                          <w:rFonts w:ascii="Avenir Next Condensed"/>
                          <w:spacing w:val="-2"/>
                          <w:sz w:val="20"/>
                        </w:rPr>
                        <w:t>adjustment</w:t>
                      </w:r>
                      <w:r>
                        <w:rPr>
                          <w:rFonts w:ascii="Avenir Next Condensed"/>
                          <w:spacing w:val="-4"/>
                          <w:sz w:val="20"/>
                        </w:rPr>
                        <w:t xml:space="preserve"> </w:t>
                      </w:r>
                      <w:r>
                        <w:rPr>
                          <w:rFonts w:ascii="Avenir Next Condensed"/>
                          <w:spacing w:val="-2"/>
                          <w:sz w:val="20"/>
                        </w:rPr>
                        <w:t>determined</w:t>
                      </w:r>
                      <w:r>
                        <w:rPr>
                          <w:rFonts w:ascii="Avenir Next Condensed"/>
                          <w:spacing w:val="-4"/>
                          <w:sz w:val="20"/>
                        </w:rPr>
                        <w:t xml:space="preserve"> </w:t>
                      </w:r>
                      <w:r>
                        <w:rPr>
                          <w:rFonts w:ascii="Avenir Next Condensed"/>
                          <w:spacing w:val="-1"/>
                          <w:sz w:val="20"/>
                        </w:rPr>
                        <w:t>by</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precision</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2"/>
                          <w:sz w:val="20"/>
                        </w:rPr>
                        <w:t>beta</w:t>
                      </w:r>
                      <w:r>
                        <w:rPr>
                          <w:rFonts w:ascii="Avenir Next Condensed"/>
                          <w:spacing w:val="-4"/>
                          <w:sz w:val="20"/>
                        </w:rPr>
                        <w:t xml:space="preserve"> </w:t>
                      </w:r>
                      <w:r>
                        <w:rPr>
                          <w:rFonts w:ascii="Avenir Next Condensed"/>
                          <w:spacing w:val="-2"/>
                          <w:sz w:val="20"/>
                        </w:rPr>
                        <w:t>estimates</w:t>
                      </w:r>
                      <w:r>
                        <w:rPr>
                          <w:rFonts w:ascii="Avenir Next Condensed"/>
                          <w:spacing w:val="-2"/>
                          <w:sz w:val="20"/>
                        </w:rPr>
                        <w:tab/>
                        <w:t>and</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prior</w:t>
                      </w:r>
                      <w:r>
                        <w:rPr>
                          <w:rFonts w:ascii="Avenir Next Condensed"/>
                          <w:spacing w:val="-4"/>
                          <w:sz w:val="20"/>
                        </w:rPr>
                        <w:t xml:space="preserve"> </w:t>
                      </w:r>
                      <w:r>
                        <w:rPr>
                          <w:rFonts w:ascii="Avenir Next Condensed"/>
                          <w:spacing w:val="-2"/>
                          <w:sz w:val="20"/>
                        </w:rPr>
                        <w:t>distribution</w:t>
                      </w:r>
                      <w:r>
                        <w:rPr>
                          <w:rFonts w:ascii="Avenir Next Condensed"/>
                          <w:spacing w:val="-2"/>
                          <w:sz w:val="20"/>
                        </w:rPr>
                        <w:tab/>
                      </w:r>
                      <w:r>
                        <w:rPr>
                          <w:rFonts w:ascii="Avenir Next Condensed"/>
                          <w:sz w:val="20"/>
                        </w:rPr>
                        <w:t>.</w:t>
                      </w:r>
                    </w:p>
                  </w:txbxContent>
                </v:textbox>
              </v:shape>
              <v:shape id="_x0000_s1066" type="#_x0000_t202" style="position:absolute;left:170;top:4228;width:5745;height:200" filled="f" stroked="f">
                <v:textbox style="mso-next-textbox:#_x0000_s1066"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2"/>
                          <w:sz w:val="20"/>
                        </w:rPr>
                        <w:t>The</w:t>
                      </w:r>
                      <w:r>
                        <w:rPr>
                          <w:rFonts w:ascii="Avenir Next Condensed"/>
                          <w:spacing w:val="-4"/>
                          <w:sz w:val="20"/>
                        </w:rPr>
                        <w:t xml:space="preserve"> </w:t>
                      </w:r>
                      <w:r>
                        <w:rPr>
                          <w:rFonts w:ascii="Avenir Next Condensed"/>
                          <w:spacing w:val="-2"/>
                          <w:sz w:val="20"/>
                        </w:rPr>
                        <w:t>standard</w:t>
                      </w:r>
                      <w:r>
                        <w:rPr>
                          <w:rFonts w:ascii="Avenir Next Condensed"/>
                          <w:spacing w:val="-4"/>
                          <w:sz w:val="20"/>
                        </w:rPr>
                        <w:t xml:space="preserve"> </w:t>
                      </w:r>
                      <w:r>
                        <w:rPr>
                          <w:rFonts w:ascii="Avenir Next Condensed"/>
                          <w:spacing w:val="-2"/>
                          <w:sz w:val="20"/>
                        </w:rPr>
                        <w:t>errors</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3"/>
                          <w:sz w:val="20"/>
                        </w:rPr>
                        <w:t>regression-based</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betas</w:t>
                      </w:r>
                      <w:r>
                        <w:rPr>
                          <w:rFonts w:ascii="Avenir Next Condensed"/>
                          <w:spacing w:val="-4"/>
                          <w:sz w:val="20"/>
                        </w:rPr>
                        <w:t xml:space="preserve"> </w:t>
                      </w:r>
                      <w:r>
                        <w:rPr>
                          <w:rFonts w:ascii="Avenir Next Condensed"/>
                          <w:spacing w:val="-2"/>
                          <w:sz w:val="20"/>
                        </w:rPr>
                        <w:t>have</w:t>
                      </w:r>
                      <w:r>
                        <w:rPr>
                          <w:rFonts w:ascii="Avenir Next Condensed"/>
                          <w:spacing w:val="-4"/>
                          <w:sz w:val="20"/>
                        </w:rPr>
                        <w:t xml:space="preserve"> </w:t>
                      </w:r>
                      <w:r>
                        <w:rPr>
                          <w:rFonts w:ascii="Avenir Next Condensed"/>
                          <w:spacing w:val="-2"/>
                          <w:sz w:val="20"/>
                        </w:rPr>
                        <w:t>been</w:t>
                      </w:r>
                      <w:r>
                        <w:rPr>
                          <w:rFonts w:ascii="Avenir Next Condensed"/>
                          <w:spacing w:val="-4"/>
                          <w:sz w:val="20"/>
                        </w:rPr>
                        <w:t xml:space="preserve"> </w:t>
                      </w:r>
                      <w:r>
                        <w:rPr>
                          <w:rFonts w:ascii="Avenir Next Condensed"/>
                          <w:spacing w:val="-2"/>
                          <w:sz w:val="20"/>
                        </w:rPr>
                        <w:t>used</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2"/>
                          <w:sz w:val="20"/>
                        </w:rPr>
                        <w:t>calculate</w:t>
                      </w:r>
                    </w:p>
                  </w:txbxContent>
                </v:textbox>
              </v:shape>
              <v:shape id="_x0000_s1065" type="#_x0000_t202" style="position:absolute;left:7428;top:4228;width:1778;height:200" filled="f" stroked="f">
                <v:textbox style="mso-next-textbox:#_x0000_s1065" inset="0,0,0,0">
                  <w:txbxContent>
                    <w:p w:rsidR="008A79D5" w:rsidRDefault="008A79D5">
                      <w:pPr>
                        <w:spacing w:line="200" w:lineRule="exact"/>
                        <w:rPr>
                          <w:rFonts w:ascii="Avenir Next Condensed" w:eastAsia="Avenir Next Condensed" w:hAnsi="Avenir Next Condensed" w:cs="Avenir Next Condensed"/>
                          <w:sz w:val="20"/>
                          <w:szCs w:val="20"/>
                        </w:rPr>
                      </w:pPr>
                      <w:r>
                        <w:rPr>
                          <w:rFonts w:ascii="Avenir Next Condensed"/>
                          <w:spacing w:val="-2"/>
                          <w:sz w:val="20"/>
                        </w:rPr>
                        <w:t>has</w:t>
                      </w:r>
                      <w:r>
                        <w:rPr>
                          <w:rFonts w:ascii="Avenir Next Condensed"/>
                          <w:spacing w:val="-4"/>
                          <w:sz w:val="20"/>
                        </w:rPr>
                        <w:t xml:space="preserve"> </w:t>
                      </w:r>
                      <w:r>
                        <w:rPr>
                          <w:rFonts w:ascii="Avenir Next Condensed"/>
                          <w:spacing w:val="-2"/>
                          <w:sz w:val="20"/>
                        </w:rPr>
                        <w:t>been</w:t>
                      </w:r>
                      <w:r>
                        <w:rPr>
                          <w:rFonts w:ascii="Avenir Next Condensed"/>
                          <w:spacing w:val="-4"/>
                          <w:sz w:val="20"/>
                        </w:rPr>
                        <w:t xml:space="preserve"> </w:t>
                      </w:r>
                      <w:r>
                        <w:rPr>
                          <w:rFonts w:ascii="Avenir Next Condensed"/>
                          <w:spacing w:val="-2"/>
                          <w:sz w:val="20"/>
                        </w:rPr>
                        <w:t>calculated</w:t>
                      </w:r>
                      <w:r>
                        <w:rPr>
                          <w:rFonts w:ascii="Avenir Next Condensed"/>
                          <w:spacing w:val="-4"/>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2"/>
                          <w:sz w:val="20"/>
                        </w:rPr>
                        <w:t>the</w:t>
                      </w:r>
                    </w:p>
                  </w:txbxContent>
                </v:textbox>
              </v:shape>
              <v:shape id="_x0000_s1064" type="#_x0000_t202" style="position:absolute;left:170;top:4528;width:9032;height:500" filled="f" stroked="f">
                <v:textbox style="mso-next-textbox:#_x0000_s1064" inset="0,0,0,0">
                  <w:txbxContent>
                    <w:p w:rsidR="008A79D5" w:rsidRDefault="008A79D5">
                      <w:pPr>
                        <w:spacing w:line="220" w:lineRule="exact"/>
                        <w:rPr>
                          <w:rFonts w:ascii="Avenir Next Condensed" w:eastAsia="Avenir Next Condensed" w:hAnsi="Avenir Next Condensed" w:cs="Avenir Next Condensed"/>
                          <w:sz w:val="20"/>
                          <w:szCs w:val="20"/>
                        </w:rPr>
                      </w:pPr>
                      <w:r>
                        <w:rPr>
                          <w:rFonts w:ascii="Avenir Next Condensed"/>
                          <w:spacing w:val="-2"/>
                          <w:sz w:val="20"/>
                        </w:rPr>
                        <w:t>average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3"/>
                          <w:sz w:val="20"/>
                        </w:rPr>
                        <w:t>regression-based</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betas</w:t>
                      </w:r>
                      <w:r>
                        <w:rPr>
                          <w:rFonts w:ascii="Avenir Next Condensed"/>
                          <w:spacing w:val="-4"/>
                          <w:sz w:val="20"/>
                        </w:rPr>
                        <w:t xml:space="preserve"> </w:t>
                      </w:r>
                      <w:r>
                        <w:rPr>
                          <w:rFonts w:ascii="Avenir Next Condensed"/>
                          <w:spacing w:val="-2"/>
                          <w:sz w:val="20"/>
                        </w:rPr>
                        <w:t>estimated</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z w:val="20"/>
                        </w:rPr>
                        <w:t>a</w:t>
                      </w:r>
                      <w:r>
                        <w:rPr>
                          <w:rFonts w:ascii="Avenir Next Condensed"/>
                          <w:spacing w:val="-4"/>
                          <w:sz w:val="20"/>
                        </w:rPr>
                        <w:t xml:space="preserve"> </w:t>
                      </w:r>
                      <w:r>
                        <w:rPr>
                          <w:rFonts w:ascii="Avenir Next Condensed"/>
                          <w:spacing w:val="-2"/>
                          <w:sz w:val="20"/>
                        </w:rPr>
                        <w:t>period</w:t>
                      </w:r>
                      <w:r>
                        <w:rPr>
                          <w:rFonts w:ascii="Avenir Next Condensed"/>
                          <w:spacing w:val="-4"/>
                          <w:sz w:val="20"/>
                        </w:rPr>
                        <w:t xml:space="preserve"> </w:t>
                      </w:r>
                      <w:r>
                        <w:rPr>
                          <w:rFonts w:ascii="Avenir Next Condensed"/>
                          <w:spacing w:val="-2"/>
                          <w:sz w:val="20"/>
                        </w:rPr>
                        <w:t>from</w:t>
                      </w:r>
                      <w:r>
                        <w:rPr>
                          <w:rFonts w:ascii="Avenir Next Condensed"/>
                          <w:spacing w:val="-4"/>
                          <w:sz w:val="20"/>
                        </w:rPr>
                        <w:t xml:space="preserve"> </w:t>
                      </w:r>
                      <w:r>
                        <w:rPr>
                          <w:rFonts w:ascii="Avenir Next Condensed"/>
                          <w:spacing w:val="-1"/>
                          <w:sz w:val="20"/>
                        </w:rPr>
                        <w:t>30</w:t>
                      </w:r>
                      <w:r>
                        <w:rPr>
                          <w:rFonts w:ascii="Avenir Next Condensed"/>
                          <w:spacing w:val="-8"/>
                          <w:sz w:val="20"/>
                        </w:rPr>
                        <w:t xml:space="preserve"> </w:t>
                      </w:r>
                      <w:r>
                        <w:rPr>
                          <w:rFonts w:ascii="Avenir Next Condensed"/>
                          <w:spacing w:val="-2"/>
                          <w:sz w:val="20"/>
                        </w:rPr>
                        <w:t>April</w:t>
                      </w:r>
                      <w:r>
                        <w:rPr>
                          <w:rFonts w:ascii="Avenir Next Condensed"/>
                          <w:spacing w:val="-4"/>
                          <w:sz w:val="20"/>
                        </w:rPr>
                        <w:t xml:space="preserve"> </w:t>
                      </w:r>
                      <w:r>
                        <w:rPr>
                          <w:rFonts w:ascii="Avenir Next Condensed"/>
                          <w:spacing w:val="-2"/>
                          <w:sz w:val="20"/>
                        </w:rPr>
                        <w:t>2003</w:t>
                      </w:r>
                      <w:r>
                        <w:rPr>
                          <w:rFonts w:ascii="Avenir Next Condensed"/>
                          <w:spacing w:val="-4"/>
                          <w:sz w:val="20"/>
                        </w:rPr>
                        <w:t xml:space="preserve"> </w:t>
                      </w:r>
                      <w:r>
                        <w:rPr>
                          <w:rFonts w:ascii="Avenir Next Condensed"/>
                          <w:spacing w:val="-1"/>
                          <w:sz w:val="20"/>
                        </w:rPr>
                        <w:t>to</w:t>
                      </w:r>
                      <w:r>
                        <w:rPr>
                          <w:rFonts w:ascii="Avenir Next Condensed"/>
                          <w:spacing w:val="-4"/>
                          <w:sz w:val="20"/>
                        </w:rPr>
                        <w:t xml:space="preserve"> </w:t>
                      </w:r>
                      <w:r>
                        <w:rPr>
                          <w:rFonts w:ascii="Avenir Next Condensed"/>
                          <w:spacing w:val="-1"/>
                          <w:sz w:val="20"/>
                        </w:rPr>
                        <w:t>30</w:t>
                      </w:r>
                      <w:r>
                        <w:rPr>
                          <w:rFonts w:ascii="Avenir Next Condensed"/>
                          <w:spacing w:val="-8"/>
                          <w:sz w:val="20"/>
                        </w:rPr>
                        <w:t xml:space="preserve"> </w:t>
                      </w:r>
                      <w:r>
                        <w:rPr>
                          <w:rFonts w:ascii="Avenir Next Condensed"/>
                          <w:spacing w:val="-2"/>
                          <w:sz w:val="20"/>
                        </w:rPr>
                        <w:t>April</w:t>
                      </w:r>
                      <w:r>
                        <w:rPr>
                          <w:rFonts w:ascii="Avenir Next Condensed"/>
                          <w:spacing w:val="-4"/>
                          <w:sz w:val="20"/>
                        </w:rPr>
                        <w:t xml:space="preserve"> </w:t>
                      </w:r>
                      <w:r>
                        <w:rPr>
                          <w:rFonts w:ascii="Avenir Next Condensed"/>
                          <w:spacing w:val="-2"/>
                          <w:sz w:val="20"/>
                        </w:rPr>
                        <w:t>2008</w:t>
                      </w:r>
                      <w:r>
                        <w:rPr>
                          <w:rFonts w:ascii="Avenir Next Condensed"/>
                          <w:spacing w:val="-4"/>
                          <w:sz w:val="20"/>
                        </w:rPr>
                        <w:t xml:space="preserve"> </w:t>
                      </w:r>
                      <w:r>
                        <w:rPr>
                          <w:rFonts w:ascii="Avenir Next Condensed"/>
                          <w:spacing w:val="-1"/>
                          <w:sz w:val="20"/>
                        </w:rPr>
                        <w:t>as</w:t>
                      </w:r>
                      <w:r>
                        <w:rPr>
                          <w:rFonts w:ascii="Avenir Next Condensed"/>
                          <w:spacing w:val="-4"/>
                          <w:sz w:val="20"/>
                        </w:rPr>
                        <w:t xml:space="preserve"> </w:t>
                      </w:r>
                      <w:r>
                        <w:rPr>
                          <w:rFonts w:ascii="Avenir Next Condensed"/>
                          <w:spacing w:val="-1"/>
                          <w:sz w:val="20"/>
                        </w:rPr>
                        <w:t>an</w:t>
                      </w:r>
                      <w:r>
                        <w:rPr>
                          <w:rFonts w:ascii="Avenir Next Condensed"/>
                          <w:spacing w:val="-4"/>
                          <w:sz w:val="20"/>
                        </w:rPr>
                        <w:t xml:space="preserve"> </w:t>
                      </w:r>
                      <w:r>
                        <w:rPr>
                          <w:rFonts w:ascii="Avenir Next Condensed"/>
                          <w:spacing w:val="-2"/>
                          <w:sz w:val="20"/>
                        </w:rPr>
                        <w:t>out-of-sample</w:t>
                      </w:r>
                      <w:r>
                        <w:rPr>
                          <w:rFonts w:ascii="Avenir Next Condensed"/>
                          <w:spacing w:val="-4"/>
                          <w:sz w:val="20"/>
                        </w:rPr>
                        <w:t xml:space="preserve"> </w:t>
                      </w:r>
                      <w:r>
                        <w:rPr>
                          <w:rFonts w:ascii="Avenir Next Condensed"/>
                          <w:spacing w:val="-2"/>
                          <w:sz w:val="20"/>
                        </w:rPr>
                        <w:t>period</w:t>
                      </w:r>
                    </w:p>
                    <w:p w:rsidR="008A79D5" w:rsidRDefault="008A79D5">
                      <w:pPr>
                        <w:tabs>
                          <w:tab w:val="left" w:pos="1815"/>
                        </w:tabs>
                        <w:spacing w:before="27" w:line="254" w:lineRule="exact"/>
                        <w:rPr>
                          <w:rFonts w:ascii="Avenir Next Condensed" w:eastAsia="Avenir Next Condensed" w:hAnsi="Avenir Next Condensed" w:cs="Avenir Next Condensed"/>
                          <w:sz w:val="20"/>
                          <w:szCs w:val="20"/>
                        </w:rPr>
                      </w:pPr>
                      <w:r>
                        <w:rPr>
                          <w:rFonts w:ascii="Avenir Next Condensed"/>
                          <w:spacing w:val="-2"/>
                          <w:sz w:val="20"/>
                        </w:rPr>
                        <w:t>and</w:t>
                      </w:r>
                      <w:r>
                        <w:rPr>
                          <w:rFonts w:ascii="Avenir Next Condensed"/>
                          <w:spacing w:val="-2"/>
                          <w:sz w:val="20"/>
                        </w:rPr>
                        <w:tab/>
                      </w:r>
                      <w:r>
                        <w:rPr>
                          <w:rFonts w:ascii="Avenir Next Condensed"/>
                          <w:spacing w:val="-1"/>
                          <w:sz w:val="20"/>
                        </w:rPr>
                        <w:t>as</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variance</w:t>
                      </w:r>
                      <w:r>
                        <w:rPr>
                          <w:rFonts w:ascii="Avenir Next Condensed"/>
                          <w:spacing w:val="-4"/>
                          <w:sz w:val="20"/>
                        </w:rPr>
                        <w:t xml:space="preserve"> </w:t>
                      </w:r>
                      <w:r>
                        <w:rPr>
                          <w:rFonts w:ascii="Avenir Next Condensed"/>
                          <w:spacing w:val="-1"/>
                          <w:sz w:val="20"/>
                        </w:rPr>
                        <w:t>of</w:t>
                      </w:r>
                      <w:r>
                        <w:rPr>
                          <w:rFonts w:ascii="Avenir Next Condensed"/>
                          <w:sz w:val="20"/>
                        </w:rPr>
                        <w:t xml:space="preserve"> </w:t>
                      </w:r>
                      <w:r>
                        <w:rPr>
                          <w:rFonts w:ascii="Avenir Next Condensed"/>
                          <w:spacing w:val="-2"/>
                          <w:sz w:val="20"/>
                        </w:rPr>
                        <w:t>OLS</w:t>
                      </w:r>
                      <w:r>
                        <w:rPr>
                          <w:rFonts w:ascii="Avenir Next Condensed"/>
                          <w:spacing w:val="-4"/>
                          <w:sz w:val="20"/>
                        </w:rPr>
                        <w:t xml:space="preserve"> </w:t>
                      </w:r>
                      <w:r>
                        <w:rPr>
                          <w:rFonts w:ascii="Avenir Next Condensed"/>
                          <w:spacing w:val="-3"/>
                          <w:sz w:val="20"/>
                        </w:rPr>
                        <w:t>regression-based</w:t>
                      </w:r>
                      <w:r>
                        <w:rPr>
                          <w:rFonts w:ascii="Avenir Next Condensed"/>
                          <w:spacing w:val="-4"/>
                          <w:sz w:val="20"/>
                        </w:rPr>
                        <w:t xml:space="preserve"> </w:t>
                      </w:r>
                      <w:r>
                        <w:rPr>
                          <w:rFonts w:ascii="Avenir Next Condensed"/>
                          <w:spacing w:val="-2"/>
                          <w:sz w:val="20"/>
                        </w:rPr>
                        <w:t>equity</w:t>
                      </w:r>
                      <w:r>
                        <w:rPr>
                          <w:rFonts w:ascii="Avenir Next Condensed"/>
                          <w:spacing w:val="-4"/>
                          <w:sz w:val="20"/>
                        </w:rPr>
                        <w:t xml:space="preserve"> </w:t>
                      </w:r>
                      <w:r>
                        <w:rPr>
                          <w:rFonts w:ascii="Avenir Next Condensed"/>
                          <w:spacing w:val="-2"/>
                          <w:sz w:val="20"/>
                        </w:rPr>
                        <w:t>betas</w:t>
                      </w:r>
                      <w:r>
                        <w:rPr>
                          <w:rFonts w:ascii="Avenir Next Condensed"/>
                          <w:spacing w:val="-4"/>
                          <w:sz w:val="20"/>
                        </w:rPr>
                        <w:t xml:space="preserve"> </w:t>
                      </w:r>
                      <w:r>
                        <w:rPr>
                          <w:rFonts w:ascii="Avenir Next Condensed"/>
                          <w:spacing w:val="-2"/>
                          <w:sz w:val="20"/>
                        </w:rPr>
                        <w:t>estimated</w:t>
                      </w:r>
                      <w:r>
                        <w:rPr>
                          <w:rFonts w:ascii="Avenir Next Condensed"/>
                          <w:spacing w:val="-4"/>
                          <w:sz w:val="20"/>
                        </w:rPr>
                        <w:t xml:space="preserve"> </w:t>
                      </w:r>
                      <w:r>
                        <w:rPr>
                          <w:rFonts w:ascii="Avenir Next Condensed"/>
                          <w:spacing w:val="-2"/>
                          <w:sz w:val="20"/>
                        </w:rPr>
                        <w:t>over</w:t>
                      </w:r>
                      <w:r>
                        <w:rPr>
                          <w:rFonts w:ascii="Avenir Next Condensed"/>
                          <w:spacing w:val="-4"/>
                          <w:sz w:val="20"/>
                        </w:rPr>
                        <w:t xml:space="preserve"> </w:t>
                      </w:r>
                      <w:r>
                        <w:rPr>
                          <w:rFonts w:ascii="Avenir Next Condensed"/>
                          <w:spacing w:val="-2"/>
                          <w:sz w:val="20"/>
                        </w:rPr>
                        <w:t>the</w:t>
                      </w:r>
                      <w:r>
                        <w:rPr>
                          <w:rFonts w:ascii="Avenir Next Condensed"/>
                          <w:spacing w:val="-4"/>
                          <w:sz w:val="20"/>
                        </w:rPr>
                        <w:t xml:space="preserve"> </w:t>
                      </w:r>
                      <w:r>
                        <w:rPr>
                          <w:rFonts w:ascii="Avenir Next Condensed"/>
                          <w:spacing w:val="-2"/>
                          <w:sz w:val="20"/>
                        </w:rPr>
                        <w:t>same</w:t>
                      </w:r>
                      <w:r>
                        <w:rPr>
                          <w:rFonts w:ascii="Avenir Next Condensed"/>
                          <w:spacing w:val="-4"/>
                          <w:sz w:val="20"/>
                        </w:rPr>
                        <w:t xml:space="preserve"> </w:t>
                      </w:r>
                      <w:r>
                        <w:rPr>
                          <w:rFonts w:ascii="Avenir Next Condensed"/>
                          <w:spacing w:val="-2"/>
                          <w:sz w:val="20"/>
                        </w:rPr>
                        <w:t>out-of-sample</w:t>
                      </w:r>
                      <w:r>
                        <w:rPr>
                          <w:rFonts w:ascii="Avenir Next Condensed"/>
                          <w:spacing w:val="-4"/>
                          <w:sz w:val="20"/>
                        </w:rPr>
                        <w:t xml:space="preserve"> </w:t>
                      </w:r>
                      <w:r>
                        <w:rPr>
                          <w:rFonts w:ascii="Avenir Next Condensed"/>
                          <w:spacing w:val="-2"/>
                          <w:sz w:val="20"/>
                        </w:rPr>
                        <w:t>period.</w:t>
                      </w:r>
                    </w:p>
                  </w:txbxContent>
                </v:textbox>
              </v:shape>
            </v:group>
            <w10:wrap type="none"/>
            <w10:anchorlock/>
          </v:group>
        </w:pict>
      </w:r>
    </w:p>
    <w:p w:rsidR="00D96B91" w:rsidRDefault="00D96B91">
      <w:pPr>
        <w:spacing w:before="5"/>
        <w:rPr>
          <w:rFonts w:ascii="Avenir Next" w:eastAsia="Avenir Next" w:hAnsi="Avenir Next" w:cs="Avenir Next"/>
          <w:b/>
          <w:bCs/>
          <w:sz w:val="10"/>
          <w:szCs w:val="10"/>
        </w:rPr>
      </w:pPr>
    </w:p>
    <w:p w:rsidR="00D96B91" w:rsidRDefault="00C2656B">
      <w:pPr>
        <w:pStyle w:val="BodyText"/>
        <w:spacing w:before="38" w:line="260" w:lineRule="exact"/>
        <w:ind w:right="1328"/>
      </w:pPr>
      <w:r>
        <w:rPr>
          <w:spacing w:val="-4"/>
        </w:rPr>
        <w:t xml:space="preserve">Table </w:t>
      </w:r>
      <w:r>
        <w:t xml:space="preserve">A9.1 sets out equity beta </w:t>
      </w:r>
      <w:r>
        <w:rPr>
          <w:spacing w:val="-1"/>
        </w:rPr>
        <w:t>estimates</w:t>
      </w:r>
      <w:r>
        <w:t xml:space="preserve"> derived </w:t>
      </w:r>
      <w:r>
        <w:rPr>
          <w:spacing w:val="-1"/>
        </w:rPr>
        <w:t>from</w:t>
      </w:r>
      <w:r>
        <w:t xml:space="preserve"> the OLS </w:t>
      </w:r>
      <w:r>
        <w:rPr>
          <w:spacing w:val="-1"/>
        </w:rPr>
        <w:t>regression,</w:t>
      </w:r>
      <w:r>
        <w:rPr>
          <w:spacing w:val="-6"/>
        </w:rPr>
        <w:t xml:space="preserve"> </w:t>
      </w:r>
      <w:r>
        <w:t>and the Blume and</w:t>
      </w:r>
      <w:r>
        <w:rPr>
          <w:spacing w:val="-4"/>
        </w:rPr>
        <w:t xml:space="preserve"> </w:t>
      </w:r>
      <w:r>
        <w:rPr>
          <w:spacing w:val="-2"/>
        </w:rPr>
        <w:t>Vasicek</w:t>
      </w:r>
      <w:r>
        <w:rPr>
          <w:spacing w:val="29"/>
        </w:rPr>
        <w:t xml:space="preserve"> </w:t>
      </w:r>
      <w:r>
        <w:t xml:space="preserve">adjusted </w:t>
      </w:r>
      <w:r>
        <w:rPr>
          <w:spacing w:val="-1"/>
        </w:rPr>
        <w:t>estimates.</w:t>
      </w:r>
      <w:r>
        <w:rPr>
          <w:spacing w:val="-6"/>
        </w:rPr>
        <w:t xml:space="preserve"> </w:t>
      </w:r>
      <w:r>
        <w:rPr>
          <w:spacing w:val="-1"/>
        </w:rPr>
        <w:t>Before</w:t>
      </w:r>
      <w:r>
        <w:t xml:space="preserve"> looking </w:t>
      </w:r>
      <w:r>
        <w:rPr>
          <w:spacing w:val="-1"/>
        </w:rPr>
        <w:t>at</w:t>
      </w:r>
      <w:r>
        <w:t xml:space="preserve"> this table,</w:t>
      </w:r>
      <w:r>
        <w:rPr>
          <w:spacing w:val="-6"/>
        </w:rPr>
        <w:t xml:space="preserve"> </w:t>
      </w:r>
      <w:r>
        <w:t xml:space="preserve">it is </w:t>
      </w:r>
      <w:r>
        <w:rPr>
          <w:spacing w:val="-1"/>
        </w:rPr>
        <w:t>worth</w:t>
      </w:r>
      <w:r>
        <w:t xml:space="preserve"> noting </w:t>
      </w:r>
      <w:r>
        <w:rPr>
          <w:spacing w:val="-1"/>
        </w:rPr>
        <w:t>that</w:t>
      </w:r>
      <w:r>
        <w:t xml:space="preserve"> the </w:t>
      </w:r>
      <w:r>
        <w:rPr>
          <w:spacing w:val="-1"/>
        </w:rPr>
        <w:t>raw</w:t>
      </w:r>
      <w:r>
        <w:t xml:space="preserve"> equity beta </w:t>
      </w:r>
      <w:r>
        <w:rPr>
          <w:spacing w:val="-1"/>
        </w:rPr>
        <w:t>estimates</w:t>
      </w:r>
      <w:r>
        <w:rPr>
          <w:spacing w:val="41"/>
        </w:rPr>
        <w:t xml:space="preserve"> </w:t>
      </w:r>
      <w:r>
        <w:t>obtained</w:t>
      </w:r>
      <w:r>
        <w:rPr>
          <w:spacing w:val="-1"/>
        </w:rPr>
        <w:t xml:space="preserve"> from</w:t>
      </w:r>
      <w:r>
        <w:t xml:space="preserve"> the</w:t>
      </w:r>
      <w:r>
        <w:rPr>
          <w:spacing w:val="-1"/>
        </w:rPr>
        <w:t xml:space="preserve"> </w:t>
      </w:r>
      <w:r>
        <w:t xml:space="preserve">OLS </w:t>
      </w:r>
      <w:r>
        <w:rPr>
          <w:spacing w:val="-1"/>
        </w:rPr>
        <w:t>regression</w:t>
      </w:r>
      <w:r>
        <w:t xml:space="preserve"> </w:t>
      </w:r>
      <w:r>
        <w:rPr>
          <w:spacing w:val="-1"/>
        </w:rPr>
        <w:t xml:space="preserve">reflect </w:t>
      </w:r>
      <w:r>
        <w:t xml:space="preserve">the </w:t>
      </w:r>
      <w:r>
        <w:rPr>
          <w:spacing w:val="-1"/>
        </w:rPr>
        <w:t>risks</w:t>
      </w:r>
      <w:r>
        <w:t xml:space="preserve"> </w:t>
      </w:r>
      <w:r>
        <w:rPr>
          <w:spacing w:val="-1"/>
        </w:rPr>
        <w:t xml:space="preserve">associated </w:t>
      </w:r>
      <w:r>
        <w:t xml:space="preserve">with a </w:t>
      </w:r>
      <w:r>
        <w:rPr>
          <w:spacing w:val="-2"/>
        </w:rPr>
        <w:t>company’s</w:t>
      </w:r>
      <w:r>
        <w:rPr>
          <w:spacing w:val="-1"/>
        </w:rPr>
        <w:t xml:space="preserve"> </w:t>
      </w:r>
      <w:r>
        <w:t xml:space="preserve">business </w:t>
      </w:r>
      <w:r>
        <w:rPr>
          <w:spacing w:val="-1"/>
        </w:rPr>
        <w:t>operations</w:t>
      </w:r>
      <w:r>
        <w:t xml:space="preserve"> (ie,</w:t>
      </w:r>
      <w:r>
        <w:rPr>
          <w:spacing w:val="59"/>
        </w:rPr>
        <w:t xml:space="preserve"> </w:t>
      </w:r>
      <w:r>
        <w:t>risk</w:t>
      </w:r>
      <w:r>
        <w:rPr>
          <w:spacing w:val="-1"/>
        </w:rPr>
        <w:t xml:space="preserve"> </w:t>
      </w:r>
      <w:r>
        <w:t>due</w:t>
      </w:r>
      <w:r>
        <w:rPr>
          <w:spacing w:val="-1"/>
        </w:rPr>
        <w:t xml:space="preserve"> </w:t>
      </w:r>
      <w:r>
        <w:t>to</w:t>
      </w:r>
      <w:r>
        <w:rPr>
          <w:spacing w:val="-1"/>
        </w:rPr>
        <w:t xml:space="preserve"> </w:t>
      </w:r>
      <w:r>
        <w:t>the</w:t>
      </w:r>
      <w:r>
        <w:rPr>
          <w:spacing w:val="-1"/>
        </w:rPr>
        <w:t xml:space="preserve"> </w:t>
      </w:r>
      <w:r>
        <w:t>type</w:t>
      </w:r>
      <w:r>
        <w:rPr>
          <w:spacing w:val="-1"/>
        </w:rPr>
        <w:t xml:space="preserve"> </w:t>
      </w:r>
      <w:r>
        <w:t>of</w:t>
      </w:r>
      <w:r>
        <w:rPr>
          <w:spacing w:val="3"/>
        </w:rPr>
        <w:t xml:space="preserve"> </w:t>
      </w:r>
      <w:r>
        <w:t>business)</w:t>
      </w:r>
      <w:r>
        <w:rPr>
          <w:spacing w:val="-1"/>
        </w:rPr>
        <w:t xml:space="preserve"> </w:t>
      </w:r>
      <w:r>
        <w:t>and</w:t>
      </w:r>
      <w:r>
        <w:rPr>
          <w:spacing w:val="-1"/>
        </w:rPr>
        <w:t xml:space="preserve"> </w:t>
      </w:r>
      <w:r>
        <w:t>financial</w:t>
      </w:r>
      <w:r>
        <w:rPr>
          <w:spacing w:val="-1"/>
        </w:rPr>
        <w:t xml:space="preserve"> leverage </w:t>
      </w:r>
      <w:r>
        <w:t>(ie,</w:t>
      </w:r>
      <w:r>
        <w:rPr>
          <w:spacing w:val="-6"/>
        </w:rPr>
        <w:t xml:space="preserve"> </w:t>
      </w:r>
      <w:r>
        <w:t>risk</w:t>
      </w:r>
      <w:r>
        <w:rPr>
          <w:spacing w:val="-1"/>
        </w:rPr>
        <w:t xml:space="preserve"> </w:t>
      </w:r>
      <w:r>
        <w:t>due</w:t>
      </w:r>
      <w:r>
        <w:rPr>
          <w:spacing w:val="-1"/>
        </w:rPr>
        <w:t xml:space="preserve"> </w:t>
      </w:r>
      <w:r>
        <w:t>to</w:t>
      </w:r>
      <w:r>
        <w:rPr>
          <w:spacing w:val="-1"/>
        </w:rPr>
        <w:t xml:space="preserve"> </w:t>
      </w:r>
      <w:r>
        <w:t>the</w:t>
      </w:r>
      <w:r>
        <w:rPr>
          <w:spacing w:val="-1"/>
        </w:rPr>
        <w:t xml:space="preserve"> </w:t>
      </w:r>
      <w:r>
        <w:t>level</w:t>
      </w:r>
      <w:r>
        <w:rPr>
          <w:spacing w:val="-1"/>
        </w:rPr>
        <w:t xml:space="preserve"> </w:t>
      </w:r>
      <w:r>
        <w:t>of</w:t>
      </w:r>
      <w:r>
        <w:rPr>
          <w:spacing w:val="3"/>
        </w:rPr>
        <w:t xml:space="preserve"> </w:t>
      </w:r>
      <w:r>
        <w:t>debt</w:t>
      </w:r>
      <w:r>
        <w:rPr>
          <w:spacing w:val="-1"/>
        </w:rPr>
        <w:t xml:space="preserve"> </w:t>
      </w:r>
      <w:r>
        <w:t>financing).</w:t>
      </w:r>
      <w:r>
        <w:rPr>
          <w:spacing w:val="-12"/>
        </w:rPr>
        <w:t xml:space="preserve"> </w:t>
      </w:r>
      <w:r>
        <w:rPr>
          <w:spacing w:val="-2"/>
        </w:rPr>
        <w:t>The</w:t>
      </w:r>
      <w:r>
        <w:rPr>
          <w:spacing w:val="28"/>
        </w:rPr>
        <w:t xml:space="preserve"> </w:t>
      </w:r>
      <w:r>
        <w:rPr>
          <w:rFonts w:cs="Avenir Next"/>
          <w:spacing w:val="-1"/>
        </w:rPr>
        <w:t>systematic</w:t>
      </w:r>
      <w:r>
        <w:rPr>
          <w:rFonts w:cs="Avenir Next"/>
        </w:rPr>
        <w:t xml:space="preserve"> risk </w:t>
      </w:r>
      <w:r>
        <w:rPr>
          <w:rFonts w:cs="Avenir Next"/>
          <w:spacing w:val="-1"/>
        </w:rPr>
        <w:t>attributable</w:t>
      </w:r>
      <w:r>
        <w:rPr>
          <w:rFonts w:cs="Avenir Next"/>
        </w:rPr>
        <w:t xml:space="preserve"> to the business </w:t>
      </w:r>
      <w:r>
        <w:rPr>
          <w:rFonts w:cs="Avenir Next"/>
          <w:spacing w:val="-1"/>
        </w:rPr>
        <w:t>operations</w:t>
      </w:r>
      <w:r>
        <w:rPr>
          <w:rFonts w:cs="Avenir Next"/>
        </w:rPr>
        <w:t xml:space="preserve"> is </w:t>
      </w:r>
      <w:r>
        <w:rPr>
          <w:rFonts w:cs="Avenir Next"/>
          <w:spacing w:val="-1"/>
        </w:rPr>
        <w:t>controlled</w:t>
      </w:r>
      <w:r>
        <w:rPr>
          <w:rFonts w:cs="Avenir Next"/>
        </w:rPr>
        <w:t xml:space="preserve"> for in the sample by only including</w:t>
      </w:r>
      <w:r>
        <w:rPr>
          <w:rFonts w:cs="Avenir Next"/>
          <w:spacing w:val="51"/>
        </w:rPr>
        <w:t xml:space="preserve"> </w:t>
      </w:r>
      <w:r>
        <w:rPr>
          <w:spacing w:val="-1"/>
        </w:rPr>
        <w:t>stocks that</w:t>
      </w:r>
      <w:r>
        <w:rPr>
          <w:spacing w:val="-2"/>
        </w:rPr>
        <w:t xml:space="preserve"> are</w:t>
      </w:r>
      <w:r>
        <w:rPr>
          <w:spacing w:val="-1"/>
        </w:rPr>
        <w:t xml:space="preserve"> </w:t>
      </w:r>
      <w:r>
        <w:t>classified</w:t>
      </w:r>
      <w:r>
        <w:rPr>
          <w:spacing w:val="-1"/>
        </w:rPr>
        <w:t xml:space="preserve"> </w:t>
      </w:r>
      <w:r>
        <w:t>as</w:t>
      </w:r>
      <w:r>
        <w:rPr>
          <w:spacing w:val="-1"/>
        </w:rPr>
        <w:t xml:space="preserve"> </w:t>
      </w:r>
      <w:r>
        <w:rPr>
          <w:spacing w:val="-2"/>
        </w:rPr>
        <w:t>‘Water</w:t>
      </w:r>
      <w:r>
        <w:rPr>
          <w:spacing w:val="-1"/>
        </w:rPr>
        <w:t xml:space="preserve"> </w:t>
      </w:r>
      <w:r>
        <w:rPr>
          <w:spacing w:val="-2"/>
        </w:rPr>
        <w:t>utilities’.</w:t>
      </w:r>
      <w:r>
        <w:rPr>
          <w:spacing w:val="-11"/>
        </w:rPr>
        <w:t xml:space="preserve"> </w:t>
      </w:r>
      <w:r>
        <w:rPr>
          <w:spacing w:val="-10"/>
        </w:rPr>
        <w:t>To</w:t>
      </w:r>
      <w:r>
        <w:rPr>
          <w:spacing w:val="-1"/>
        </w:rPr>
        <w:t xml:space="preserve"> eliminate </w:t>
      </w:r>
      <w:r>
        <w:t>the</w:t>
      </w:r>
      <w:r>
        <w:rPr>
          <w:spacing w:val="-1"/>
        </w:rPr>
        <w:t xml:space="preserve"> effect </w:t>
      </w:r>
      <w:r>
        <w:t>of</w:t>
      </w:r>
      <w:r>
        <w:rPr>
          <w:spacing w:val="3"/>
        </w:rPr>
        <w:t xml:space="preserve"> </w:t>
      </w:r>
      <w:r>
        <w:t>financial</w:t>
      </w:r>
      <w:r>
        <w:rPr>
          <w:spacing w:val="-1"/>
        </w:rPr>
        <w:t xml:space="preserve"> leverage,</w:t>
      </w:r>
      <w:r>
        <w:rPr>
          <w:spacing w:val="-7"/>
        </w:rPr>
        <w:t xml:space="preserve"> </w:t>
      </w:r>
      <w:r>
        <w:t>for</w:t>
      </w:r>
      <w:r>
        <w:rPr>
          <w:spacing w:val="-1"/>
        </w:rPr>
        <w:t xml:space="preserve"> each </w:t>
      </w:r>
      <w:r>
        <w:t>stock</w:t>
      </w:r>
      <w:r>
        <w:rPr>
          <w:spacing w:val="67"/>
        </w:rPr>
        <w:t xml:space="preserve"> </w:t>
      </w:r>
      <w:r>
        <w:t xml:space="preserve">the </w:t>
      </w:r>
      <w:r>
        <w:rPr>
          <w:spacing w:val="-1"/>
        </w:rPr>
        <w:t>regression-based</w:t>
      </w:r>
      <w:r>
        <w:t xml:space="preserve"> beta has been </w:t>
      </w:r>
      <w:r>
        <w:rPr>
          <w:spacing w:val="-1"/>
        </w:rPr>
        <w:t>de-levered</w:t>
      </w:r>
      <w:r>
        <w:t xml:space="preserve"> using the actual </w:t>
      </w:r>
      <w:r>
        <w:rPr>
          <w:spacing w:val="-1"/>
        </w:rPr>
        <w:t>gearing</w:t>
      </w:r>
      <w:r>
        <w:t xml:space="preserve"> </w:t>
      </w:r>
      <w:r>
        <w:rPr>
          <w:spacing w:val="-1"/>
        </w:rPr>
        <w:t>ratio</w:t>
      </w:r>
      <w:r>
        <w:t xml:space="preserve"> of</w:t>
      </w:r>
      <w:r>
        <w:rPr>
          <w:spacing w:val="4"/>
        </w:rPr>
        <w:t xml:space="preserve"> </w:t>
      </w:r>
      <w:r>
        <w:t>the utility and then</w:t>
      </w:r>
    </w:p>
    <w:p w:rsidR="00D96B91" w:rsidRDefault="00C2656B">
      <w:pPr>
        <w:pStyle w:val="BodyText"/>
        <w:spacing w:line="260" w:lineRule="exact"/>
        <w:ind w:right="1438"/>
        <w:rPr>
          <w:sz w:val="11"/>
          <w:szCs w:val="11"/>
        </w:rPr>
      </w:pPr>
      <w:r>
        <w:rPr>
          <w:spacing w:val="-1"/>
        </w:rPr>
        <w:t xml:space="preserve">re-levered </w:t>
      </w:r>
      <w:r>
        <w:t>using the</w:t>
      </w:r>
      <w:r>
        <w:rPr>
          <w:spacing w:val="-1"/>
        </w:rPr>
        <w:t xml:space="preserve"> </w:t>
      </w:r>
      <w:r>
        <w:t xml:space="preserve">60% </w:t>
      </w:r>
      <w:r>
        <w:rPr>
          <w:spacing w:val="-1"/>
        </w:rPr>
        <w:t>efficient</w:t>
      </w:r>
      <w:r>
        <w:t xml:space="preserve"> </w:t>
      </w:r>
      <w:r>
        <w:rPr>
          <w:spacing w:val="-1"/>
        </w:rPr>
        <w:t>gearing ratio</w:t>
      </w:r>
      <w:r>
        <w:t xml:space="preserve"> adopted by</w:t>
      </w:r>
      <w:r>
        <w:rPr>
          <w:spacing w:val="-1"/>
        </w:rPr>
        <w:t xml:space="preserve"> </w:t>
      </w:r>
      <w:r>
        <w:t xml:space="preserve">the </w:t>
      </w:r>
      <w:r>
        <w:rPr>
          <w:spacing w:val="-2"/>
        </w:rPr>
        <w:t>Panel.</w:t>
      </w:r>
      <w:r>
        <w:rPr>
          <w:spacing w:val="-11"/>
        </w:rPr>
        <w:t xml:space="preserve"> </w:t>
      </w:r>
      <w:r>
        <w:rPr>
          <w:spacing w:val="-1"/>
        </w:rPr>
        <w:t>This process</w:t>
      </w:r>
      <w:r>
        <w:t xml:space="preserve"> of</w:t>
      </w:r>
      <w:r>
        <w:rPr>
          <w:spacing w:val="3"/>
        </w:rPr>
        <w:t xml:space="preserve"> </w:t>
      </w:r>
      <w:r>
        <w:t>de-levering and</w:t>
      </w:r>
      <w:r>
        <w:rPr>
          <w:spacing w:val="31"/>
        </w:rPr>
        <w:t xml:space="preserve"> </w:t>
      </w:r>
      <w:r>
        <w:rPr>
          <w:spacing w:val="-1"/>
        </w:rPr>
        <w:t>re-levering</w:t>
      </w:r>
      <w:r>
        <w:t xml:space="preserve"> </w:t>
      </w:r>
      <w:r>
        <w:rPr>
          <w:spacing w:val="-1"/>
        </w:rPr>
        <w:t>produces</w:t>
      </w:r>
      <w:r>
        <w:t xml:space="preserve"> an equity beta a</w:t>
      </w:r>
      <w:r>
        <w:rPr>
          <w:spacing w:val="1"/>
        </w:rPr>
        <w:t xml:space="preserve"> </w:t>
      </w:r>
      <w:r>
        <w:rPr>
          <w:spacing w:val="-1"/>
        </w:rPr>
        <w:t>water</w:t>
      </w:r>
      <w:r>
        <w:t xml:space="preserve"> utility would have if</w:t>
      </w:r>
      <w:r>
        <w:rPr>
          <w:spacing w:val="5"/>
        </w:rPr>
        <w:t xml:space="preserve"> </w:t>
      </w:r>
      <w:r>
        <w:t xml:space="preserve">it was </w:t>
      </w:r>
      <w:r>
        <w:rPr>
          <w:spacing w:val="-1"/>
        </w:rPr>
        <w:t>geared</w:t>
      </w:r>
      <w:r>
        <w:t xml:space="preserve"> </w:t>
      </w:r>
      <w:r>
        <w:rPr>
          <w:spacing w:val="-1"/>
        </w:rPr>
        <w:t>efficiently.</w:t>
      </w:r>
      <w:r>
        <w:rPr>
          <w:spacing w:val="-1"/>
          <w:position w:val="7"/>
          <w:sz w:val="11"/>
        </w:rPr>
        <w:t>281</w:t>
      </w:r>
    </w:p>
    <w:p w:rsidR="00D96B91" w:rsidRDefault="00C2656B">
      <w:pPr>
        <w:pStyle w:val="BodyText"/>
        <w:spacing w:before="170" w:line="260" w:lineRule="exact"/>
        <w:ind w:right="1270"/>
      </w:pPr>
      <w:r>
        <w:t xml:space="preserve">As the OLS </w:t>
      </w:r>
      <w:r>
        <w:rPr>
          <w:spacing w:val="-1"/>
        </w:rPr>
        <w:t>estimates</w:t>
      </w:r>
      <w:r>
        <w:t xml:space="preserve"> in this table </w:t>
      </w:r>
      <w:r>
        <w:rPr>
          <w:spacing w:val="-1"/>
        </w:rPr>
        <w:t>reveal,</w:t>
      </w:r>
      <w:r>
        <w:rPr>
          <w:spacing w:val="-6"/>
        </w:rPr>
        <w:t xml:space="preserve"> </w:t>
      </w:r>
      <w:r>
        <w:t xml:space="preserve">a typical </w:t>
      </w:r>
      <w:r>
        <w:rPr>
          <w:spacing w:val="-1"/>
        </w:rPr>
        <w:t>water</w:t>
      </w:r>
      <w:r>
        <w:t xml:space="preserve"> business with a 60% </w:t>
      </w:r>
      <w:r>
        <w:rPr>
          <w:spacing w:val="-1"/>
        </w:rPr>
        <w:t>gearing</w:t>
      </w:r>
      <w:r>
        <w:t xml:space="preserve"> </w:t>
      </w:r>
      <w:r>
        <w:rPr>
          <w:spacing w:val="-1"/>
        </w:rPr>
        <w:t>ratio</w:t>
      </w:r>
      <w:r>
        <w:t xml:space="preserve"> has a median</w:t>
      </w:r>
      <w:r>
        <w:rPr>
          <w:spacing w:val="33"/>
        </w:rPr>
        <w:t xml:space="preserve"> </w:t>
      </w:r>
      <w:r>
        <w:t>equity beta of</w:t>
      </w:r>
      <w:r>
        <w:rPr>
          <w:spacing w:val="4"/>
        </w:rPr>
        <w:t xml:space="preserve"> </w:t>
      </w:r>
      <w:r>
        <w:t>0.50,</w:t>
      </w:r>
      <w:r>
        <w:rPr>
          <w:spacing w:val="-6"/>
        </w:rPr>
        <w:t xml:space="preserve"> </w:t>
      </w:r>
      <w:r>
        <w:t xml:space="preserve">and an </w:t>
      </w:r>
      <w:r>
        <w:rPr>
          <w:spacing w:val="-1"/>
        </w:rPr>
        <w:t>average</w:t>
      </w:r>
      <w:r>
        <w:t xml:space="preserve"> equity beta of</w:t>
      </w:r>
      <w:r>
        <w:rPr>
          <w:spacing w:val="4"/>
        </w:rPr>
        <w:t xml:space="preserve"> </w:t>
      </w:r>
      <w:r>
        <w:t>0.68.</w:t>
      </w:r>
      <w:r>
        <w:rPr>
          <w:spacing w:val="-10"/>
        </w:rPr>
        <w:t xml:space="preserve"> </w:t>
      </w:r>
      <w:r>
        <w:t xml:space="preserve">Accounting for potential </w:t>
      </w:r>
      <w:r>
        <w:rPr>
          <w:spacing w:val="-1"/>
        </w:rPr>
        <w:t>estimation</w:t>
      </w:r>
      <w:r>
        <w:t xml:space="preserve"> </w:t>
      </w:r>
      <w:r>
        <w:rPr>
          <w:spacing w:val="-1"/>
        </w:rPr>
        <w:t>errors</w:t>
      </w:r>
      <w:r>
        <w:rPr>
          <w:spacing w:val="27"/>
        </w:rPr>
        <w:t xml:space="preserve"> </w:t>
      </w:r>
      <w:r>
        <w:t>based on the Blume adjustment (1975),</w:t>
      </w:r>
      <w:r>
        <w:rPr>
          <w:spacing w:val="-7"/>
        </w:rPr>
        <w:t xml:space="preserve"> </w:t>
      </w:r>
      <w:r>
        <w:t xml:space="preserve">the median equity beta for a typical </w:t>
      </w:r>
      <w:r>
        <w:rPr>
          <w:spacing w:val="-1"/>
        </w:rPr>
        <w:t>water</w:t>
      </w:r>
      <w:r>
        <w:t xml:space="preserve"> business with a</w:t>
      </w:r>
      <w:r>
        <w:rPr>
          <w:spacing w:val="22"/>
        </w:rPr>
        <w:t xml:space="preserve"> </w:t>
      </w:r>
      <w:r>
        <w:rPr>
          <w:spacing w:val="-1"/>
        </w:rPr>
        <w:t>gearing</w:t>
      </w:r>
      <w:r>
        <w:t xml:space="preserve"> </w:t>
      </w:r>
      <w:r>
        <w:rPr>
          <w:spacing w:val="-1"/>
        </w:rPr>
        <w:t>ratio</w:t>
      </w:r>
      <w:r>
        <w:t xml:space="preserve"> of</w:t>
      </w:r>
      <w:r>
        <w:rPr>
          <w:spacing w:val="4"/>
        </w:rPr>
        <w:t xml:space="preserve"> </w:t>
      </w:r>
      <w:r>
        <w:t>60% is 0.77,</w:t>
      </w:r>
      <w:r>
        <w:rPr>
          <w:spacing w:val="-6"/>
        </w:rPr>
        <w:t xml:space="preserve"> </w:t>
      </w:r>
      <w:r>
        <w:t xml:space="preserve">and the </w:t>
      </w:r>
      <w:r>
        <w:rPr>
          <w:spacing w:val="-1"/>
        </w:rPr>
        <w:t>average</w:t>
      </w:r>
      <w:r>
        <w:t xml:space="preserve"> is 0.92.</w:t>
      </w:r>
      <w:r>
        <w:rPr>
          <w:spacing w:val="-9"/>
        </w:rPr>
        <w:t xml:space="preserve"> </w:t>
      </w:r>
      <w:r>
        <w:t>When the</w:t>
      </w:r>
      <w:r>
        <w:rPr>
          <w:spacing w:val="-4"/>
        </w:rPr>
        <w:t xml:space="preserve"> </w:t>
      </w:r>
      <w:r>
        <w:rPr>
          <w:spacing w:val="-2"/>
        </w:rPr>
        <w:t>Vasicek</w:t>
      </w:r>
      <w:r>
        <w:t xml:space="preserve"> adjustment is used to </w:t>
      </w:r>
      <w:r>
        <w:rPr>
          <w:spacing w:val="-1"/>
        </w:rPr>
        <w:t>address</w:t>
      </w:r>
      <w:r>
        <w:rPr>
          <w:spacing w:val="35"/>
        </w:rPr>
        <w:t xml:space="preserve"> </w:t>
      </w:r>
      <w:r>
        <w:t xml:space="preserve">potential </w:t>
      </w:r>
      <w:r>
        <w:rPr>
          <w:spacing w:val="-1"/>
        </w:rPr>
        <w:t>estimation</w:t>
      </w:r>
      <w:r>
        <w:t xml:space="preserve"> </w:t>
      </w:r>
      <w:r>
        <w:rPr>
          <w:spacing w:val="-1"/>
        </w:rPr>
        <w:t>errors,</w:t>
      </w:r>
      <w:r>
        <w:rPr>
          <w:spacing w:val="-6"/>
        </w:rPr>
        <w:t xml:space="preserve"> </w:t>
      </w:r>
      <w:r>
        <w:t>the median equity beta is 0.53,</w:t>
      </w:r>
      <w:r>
        <w:rPr>
          <w:spacing w:val="-7"/>
        </w:rPr>
        <w:t xml:space="preserve"> </w:t>
      </w:r>
      <w:r>
        <w:t xml:space="preserve">and the </w:t>
      </w:r>
      <w:r>
        <w:rPr>
          <w:spacing w:val="-1"/>
        </w:rPr>
        <w:t>average</w:t>
      </w:r>
      <w:r>
        <w:t xml:space="preserve"> equity is 0.69.</w:t>
      </w:r>
    </w:p>
    <w:p w:rsidR="00D96B91" w:rsidRDefault="00C2656B">
      <w:pPr>
        <w:spacing w:before="166" w:line="240" w:lineRule="exact"/>
        <w:ind w:left="1247" w:right="1283"/>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A9.1: </w:t>
      </w:r>
      <w:r>
        <w:rPr>
          <w:rFonts w:ascii="Avenir Next"/>
          <w:b/>
          <w:spacing w:val="-1"/>
          <w:sz w:val="20"/>
        </w:rPr>
        <w:t>Regression-based</w:t>
      </w:r>
      <w:r>
        <w:rPr>
          <w:rFonts w:ascii="Avenir Next"/>
          <w:b/>
          <w:sz w:val="20"/>
        </w:rPr>
        <w:t xml:space="preserve"> equity betas and equity betas adjusted for potential </w:t>
      </w:r>
      <w:r>
        <w:rPr>
          <w:rFonts w:ascii="Avenir Next"/>
          <w:b/>
          <w:spacing w:val="-1"/>
          <w:sz w:val="20"/>
        </w:rPr>
        <w:t>estimation</w:t>
      </w:r>
      <w:r>
        <w:rPr>
          <w:rFonts w:ascii="Avenir Next"/>
          <w:b/>
          <w:sz w:val="20"/>
        </w:rPr>
        <w:t xml:space="preserve"> </w:t>
      </w:r>
      <w:r>
        <w:rPr>
          <w:rFonts w:ascii="Avenir Next"/>
          <w:b/>
          <w:spacing w:val="-1"/>
          <w:sz w:val="20"/>
        </w:rPr>
        <w:t>errors</w:t>
      </w:r>
      <w:r>
        <w:rPr>
          <w:rFonts w:ascii="Avenir Next"/>
          <w:b/>
          <w:spacing w:val="37"/>
          <w:sz w:val="20"/>
        </w:rPr>
        <w:t xml:space="preserve"> </w:t>
      </w:r>
      <w:r>
        <w:rPr>
          <w:rFonts w:ascii="Avenir Next"/>
          <w:b/>
          <w:sz w:val="20"/>
        </w:rPr>
        <w:t>based on Blume (1975) and</w:t>
      </w:r>
      <w:r>
        <w:rPr>
          <w:rFonts w:ascii="Avenir Next"/>
          <w:b/>
          <w:spacing w:val="-4"/>
          <w:sz w:val="20"/>
        </w:rPr>
        <w:t xml:space="preserve"> </w:t>
      </w:r>
      <w:r>
        <w:rPr>
          <w:rFonts w:ascii="Avenir Next"/>
          <w:b/>
          <w:spacing w:val="-2"/>
          <w:sz w:val="20"/>
        </w:rPr>
        <w:t>Vasicek</w:t>
      </w:r>
      <w:r>
        <w:rPr>
          <w:rFonts w:ascii="Avenir Next"/>
          <w:b/>
          <w:sz w:val="20"/>
        </w:rPr>
        <w:t xml:space="preserve"> (1973)</w:t>
      </w:r>
    </w:p>
    <w:p w:rsidR="00D96B91" w:rsidRDefault="00D96B91">
      <w:pPr>
        <w:spacing w:before="12"/>
        <w:rPr>
          <w:rFonts w:ascii="Avenir Next" w:eastAsia="Avenir Next" w:hAnsi="Avenir Next" w:cs="Avenir Next"/>
          <w:b/>
          <w:bCs/>
          <w:sz w:val="6"/>
          <w:szCs w:val="6"/>
        </w:rPr>
      </w:pPr>
    </w:p>
    <w:tbl>
      <w:tblPr>
        <w:tblW w:w="0" w:type="auto"/>
        <w:tblInd w:w="1247" w:type="dxa"/>
        <w:tblLayout w:type="fixed"/>
        <w:tblCellMar>
          <w:left w:w="0" w:type="dxa"/>
          <w:right w:w="0" w:type="dxa"/>
        </w:tblCellMar>
        <w:tblLook w:val="01E0"/>
      </w:tblPr>
      <w:tblGrid>
        <w:gridCol w:w="2315"/>
        <w:gridCol w:w="2362"/>
        <w:gridCol w:w="2362"/>
        <w:gridCol w:w="2362"/>
      </w:tblGrid>
      <w:tr w:rsidR="00D96B91">
        <w:trPr>
          <w:trHeight w:hRule="exact" w:val="378"/>
        </w:trPr>
        <w:tc>
          <w:tcPr>
            <w:tcW w:w="231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b/>
                <w:color w:val="FFFFFF"/>
                <w:spacing w:val="-1"/>
                <w:sz w:val="18"/>
              </w:rPr>
              <w:t>Parameter</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674"/>
              <w:rPr>
                <w:rFonts w:ascii="Avenir Next Condensed" w:eastAsia="Avenir Next Condensed" w:hAnsi="Avenir Next Condensed" w:cs="Avenir Next Condensed"/>
                <w:sz w:val="18"/>
                <w:szCs w:val="18"/>
              </w:rPr>
            </w:pPr>
            <w:r>
              <w:rPr>
                <w:rFonts w:ascii="Avenir Next Condensed"/>
                <w:b/>
                <w:color w:val="FFFFFF"/>
                <w:sz w:val="18"/>
              </w:rPr>
              <w:t xml:space="preserve">OLS </w:t>
            </w:r>
            <w:r>
              <w:rPr>
                <w:rFonts w:ascii="Avenir Next Condensed"/>
                <w:b/>
                <w:color w:val="FFFFFF"/>
                <w:spacing w:val="-1"/>
                <w:sz w:val="18"/>
              </w:rPr>
              <w:t>regression</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545"/>
              <w:rPr>
                <w:rFonts w:ascii="Avenir Next Condensed" w:eastAsia="Avenir Next Condensed" w:hAnsi="Avenir Next Condensed" w:cs="Avenir Next Condensed"/>
                <w:sz w:val="18"/>
                <w:szCs w:val="18"/>
              </w:rPr>
            </w:pPr>
            <w:r>
              <w:rPr>
                <w:rFonts w:ascii="Avenir Next Condensed"/>
                <w:b/>
                <w:color w:val="FFFFFF"/>
                <w:sz w:val="18"/>
              </w:rPr>
              <w:t>Blume adjustment</w:t>
            </w:r>
          </w:p>
        </w:tc>
        <w:tc>
          <w:tcPr>
            <w:tcW w:w="2362"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80"/>
              <w:ind w:left="517"/>
              <w:rPr>
                <w:rFonts w:ascii="Avenir Next Condensed" w:eastAsia="Avenir Next Condensed" w:hAnsi="Avenir Next Condensed" w:cs="Avenir Next Condensed"/>
                <w:sz w:val="18"/>
                <w:szCs w:val="18"/>
              </w:rPr>
            </w:pPr>
            <w:r>
              <w:rPr>
                <w:rFonts w:ascii="Avenir Next Condensed"/>
                <w:b/>
                <w:color w:val="FFFFFF"/>
                <w:spacing w:val="-1"/>
                <w:sz w:val="18"/>
              </w:rPr>
              <w:t>Vasicek</w:t>
            </w:r>
            <w:r>
              <w:rPr>
                <w:rFonts w:ascii="Avenir Next Condensed"/>
                <w:b/>
                <w:color w:val="FFFFFF"/>
                <w:sz w:val="18"/>
              </w:rPr>
              <w:t xml:space="preserve"> adjustment</w:t>
            </w:r>
          </w:p>
        </w:tc>
      </w:tr>
      <w:tr w:rsidR="00D96B91">
        <w:trPr>
          <w:trHeight w:hRule="exact" w:val="378"/>
        </w:trPr>
        <w:tc>
          <w:tcPr>
            <w:tcW w:w="231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pacing w:val="-1"/>
                <w:sz w:val="18"/>
              </w:rPr>
              <w:t>Mean</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1"/>
              <w:jc w:val="center"/>
              <w:rPr>
                <w:rFonts w:ascii="Avenir Next Condensed" w:eastAsia="Avenir Next Condensed" w:hAnsi="Avenir Next Condensed" w:cs="Avenir Next Condensed"/>
                <w:sz w:val="18"/>
                <w:szCs w:val="18"/>
              </w:rPr>
            </w:pPr>
            <w:r>
              <w:rPr>
                <w:rFonts w:ascii="Avenir Next Condensed"/>
                <w:sz w:val="18"/>
              </w:rPr>
              <w:t>0.68</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1"/>
              <w:jc w:val="center"/>
              <w:rPr>
                <w:rFonts w:ascii="Avenir Next Condensed" w:eastAsia="Avenir Next Condensed" w:hAnsi="Avenir Next Condensed" w:cs="Avenir Next Condensed"/>
                <w:sz w:val="18"/>
                <w:szCs w:val="18"/>
              </w:rPr>
            </w:pPr>
            <w:r>
              <w:rPr>
                <w:rFonts w:ascii="Avenir Next Condensed"/>
                <w:sz w:val="18"/>
              </w:rPr>
              <w:t>0.92</w:t>
            </w:r>
          </w:p>
        </w:tc>
        <w:tc>
          <w:tcPr>
            <w:tcW w:w="2362"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1"/>
              <w:jc w:val="center"/>
              <w:rPr>
                <w:rFonts w:ascii="Avenir Next Condensed" w:eastAsia="Avenir Next Condensed" w:hAnsi="Avenir Next Condensed" w:cs="Avenir Next Condensed"/>
                <w:sz w:val="18"/>
                <w:szCs w:val="18"/>
              </w:rPr>
            </w:pPr>
            <w:r>
              <w:rPr>
                <w:rFonts w:ascii="Avenir Next Condensed"/>
                <w:sz w:val="18"/>
              </w:rPr>
              <w:t>0.69</w:t>
            </w:r>
          </w:p>
        </w:tc>
      </w:tr>
      <w:tr w:rsidR="00D96B91">
        <w:trPr>
          <w:trHeight w:hRule="exact" w:val="378"/>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z w:val="18"/>
              </w:rPr>
              <w:t>Median</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19"/>
              <w:jc w:val="center"/>
              <w:rPr>
                <w:rFonts w:ascii="Avenir Next Condensed" w:eastAsia="Avenir Next Condensed" w:hAnsi="Avenir Next Condensed" w:cs="Avenir Next Condensed"/>
                <w:sz w:val="18"/>
                <w:szCs w:val="18"/>
              </w:rPr>
            </w:pPr>
            <w:r>
              <w:rPr>
                <w:rFonts w:ascii="Avenir Next Condensed"/>
                <w:b/>
                <w:sz w:val="18"/>
              </w:rPr>
              <w:t>0.50</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19"/>
              <w:jc w:val="center"/>
              <w:rPr>
                <w:rFonts w:ascii="Avenir Next Condensed" w:eastAsia="Avenir Next Condensed" w:hAnsi="Avenir Next Condensed" w:cs="Avenir Next Condensed"/>
                <w:sz w:val="18"/>
                <w:szCs w:val="18"/>
              </w:rPr>
            </w:pPr>
            <w:r>
              <w:rPr>
                <w:rFonts w:ascii="Avenir Next Condensed"/>
                <w:b/>
                <w:sz w:val="18"/>
              </w:rPr>
              <w:t>0.77</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19"/>
              <w:jc w:val="center"/>
              <w:rPr>
                <w:rFonts w:ascii="Avenir Next Condensed" w:eastAsia="Avenir Next Condensed" w:hAnsi="Avenir Next Condensed" w:cs="Avenir Next Condensed"/>
                <w:sz w:val="18"/>
                <w:szCs w:val="18"/>
              </w:rPr>
            </w:pPr>
            <w:r>
              <w:rPr>
                <w:rFonts w:ascii="Avenir Next Condensed"/>
                <w:b/>
                <w:sz w:val="18"/>
              </w:rPr>
              <w:t>0.53</w:t>
            </w:r>
          </w:p>
        </w:tc>
      </w:tr>
      <w:tr w:rsidR="00D96B91">
        <w:trPr>
          <w:trHeight w:hRule="exact" w:val="378"/>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08"/>
              <w:rPr>
                <w:rFonts w:ascii="Avenir Next Condensed" w:eastAsia="Avenir Next Condensed" w:hAnsi="Avenir Next Condensed" w:cs="Avenir Next Condensed"/>
                <w:sz w:val="18"/>
                <w:szCs w:val="18"/>
              </w:rPr>
            </w:pPr>
            <w:r>
              <w:rPr>
                <w:rFonts w:ascii="Avenir Next Condensed"/>
                <w:sz w:val="18"/>
              </w:rPr>
              <w:t>SD</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0"/>
              <w:jc w:val="center"/>
              <w:rPr>
                <w:rFonts w:ascii="Avenir Next Condensed" w:eastAsia="Avenir Next Condensed" w:hAnsi="Avenir Next Condensed" w:cs="Avenir Next Condensed"/>
                <w:sz w:val="18"/>
                <w:szCs w:val="18"/>
              </w:rPr>
            </w:pPr>
            <w:r>
              <w:rPr>
                <w:rFonts w:ascii="Avenir Next Condensed"/>
                <w:sz w:val="18"/>
              </w:rPr>
              <w:t>0.64</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0"/>
              <w:jc w:val="center"/>
              <w:rPr>
                <w:rFonts w:ascii="Avenir Next Condensed" w:eastAsia="Avenir Next Condensed" w:hAnsi="Avenir Next Condensed" w:cs="Avenir Next Condensed"/>
                <w:sz w:val="18"/>
                <w:szCs w:val="18"/>
              </w:rPr>
            </w:pPr>
            <w:r>
              <w:rPr>
                <w:rFonts w:ascii="Avenir Next Condensed"/>
                <w:sz w:val="18"/>
              </w:rPr>
              <w:t>0.48</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80"/>
              <w:ind w:left="140"/>
              <w:jc w:val="center"/>
              <w:rPr>
                <w:rFonts w:ascii="Avenir Next Condensed" w:eastAsia="Avenir Next Condensed" w:hAnsi="Avenir Next Condensed" w:cs="Avenir Next Condensed"/>
                <w:sz w:val="18"/>
                <w:szCs w:val="18"/>
              </w:rPr>
            </w:pPr>
            <w:r>
              <w:rPr>
                <w:rFonts w:ascii="Avenir Next Condensed"/>
                <w:sz w:val="18"/>
              </w:rPr>
              <w:t>0.51</w:t>
            </w:r>
          </w:p>
        </w:tc>
      </w:tr>
      <w:tr w:rsidR="00D96B91">
        <w:trPr>
          <w:trHeight w:hRule="exact" w:val="378"/>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07"/>
              <w:rPr>
                <w:rFonts w:ascii="Avenir Next Condensed" w:eastAsia="Avenir Next Condensed" w:hAnsi="Avenir Next Condensed" w:cs="Avenir Next Condensed"/>
                <w:sz w:val="18"/>
                <w:szCs w:val="18"/>
              </w:rPr>
            </w:pPr>
            <w:r>
              <w:rPr>
                <w:rFonts w:ascii="Avenir Next Condensed"/>
                <w:sz w:val="18"/>
              </w:rPr>
              <w:t>Max</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40"/>
              <w:jc w:val="center"/>
              <w:rPr>
                <w:rFonts w:ascii="Avenir Next Condensed" w:eastAsia="Avenir Next Condensed" w:hAnsi="Avenir Next Condensed" w:cs="Avenir Next Condensed"/>
                <w:sz w:val="18"/>
                <w:szCs w:val="18"/>
              </w:rPr>
            </w:pPr>
            <w:r>
              <w:rPr>
                <w:rFonts w:ascii="Avenir Next Condensed"/>
                <w:sz w:val="18"/>
              </w:rPr>
              <w:t>2.72</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40"/>
              <w:jc w:val="center"/>
              <w:rPr>
                <w:rFonts w:ascii="Avenir Next Condensed" w:eastAsia="Avenir Next Condensed" w:hAnsi="Avenir Next Condensed" w:cs="Avenir Next Condensed"/>
                <w:sz w:val="18"/>
                <w:szCs w:val="18"/>
              </w:rPr>
            </w:pPr>
            <w:r>
              <w:rPr>
                <w:rFonts w:ascii="Avenir Next Condensed"/>
                <w:sz w:val="18"/>
              </w:rPr>
              <w:t>2.45</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40"/>
              <w:jc w:val="center"/>
              <w:rPr>
                <w:rFonts w:ascii="Avenir Next Condensed" w:eastAsia="Avenir Next Condensed" w:hAnsi="Avenir Next Condensed" w:cs="Avenir Next Condensed"/>
                <w:sz w:val="18"/>
                <w:szCs w:val="18"/>
              </w:rPr>
            </w:pPr>
            <w:r>
              <w:rPr>
                <w:rFonts w:ascii="Avenir Next Condensed"/>
                <w:sz w:val="18"/>
              </w:rPr>
              <w:t>2.32</w:t>
            </w:r>
          </w:p>
        </w:tc>
      </w:tr>
      <w:tr w:rsidR="00D96B91">
        <w:trPr>
          <w:trHeight w:hRule="exact" w:val="378"/>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07"/>
              <w:rPr>
                <w:rFonts w:ascii="Avenir Next Condensed" w:eastAsia="Avenir Next Condensed" w:hAnsi="Avenir Next Condensed" w:cs="Avenir Next Condensed"/>
                <w:sz w:val="18"/>
                <w:szCs w:val="18"/>
              </w:rPr>
            </w:pPr>
            <w:r>
              <w:rPr>
                <w:rFonts w:ascii="Avenir Next Condensed"/>
                <w:sz w:val="18"/>
              </w:rPr>
              <w:t>Min</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40"/>
              <w:jc w:val="center"/>
              <w:rPr>
                <w:rFonts w:ascii="Avenir Next Condensed" w:eastAsia="Avenir Next Condensed" w:hAnsi="Avenir Next Condensed" w:cs="Avenir Next Condensed"/>
                <w:sz w:val="18"/>
                <w:szCs w:val="18"/>
              </w:rPr>
            </w:pPr>
            <w:r>
              <w:rPr>
                <w:rFonts w:ascii="Avenir Next Condensed"/>
                <w:sz w:val="18"/>
              </w:rPr>
              <w:t>0.19</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40"/>
              <w:jc w:val="center"/>
              <w:rPr>
                <w:rFonts w:ascii="Avenir Next Condensed" w:eastAsia="Avenir Next Condensed" w:hAnsi="Avenir Next Condensed" w:cs="Avenir Next Condensed"/>
                <w:sz w:val="18"/>
                <w:szCs w:val="18"/>
              </w:rPr>
            </w:pPr>
            <w:r>
              <w:rPr>
                <w:rFonts w:ascii="Avenir Next Condensed"/>
                <w:sz w:val="18"/>
              </w:rPr>
              <w:t>0.42</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39"/>
              <w:jc w:val="center"/>
              <w:rPr>
                <w:rFonts w:ascii="Avenir Next Condensed" w:eastAsia="Avenir Next Condensed" w:hAnsi="Avenir Next Condensed" w:cs="Avenir Next Condensed"/>
                <w:sz w:val="18"/>
                <w:szCs w:val="18"/>
              </w:rPr>
            </w:pPr>
            <w:r>
              <w:rPr>
                <w:rFonts w:ascii="Avenir Next Condensed"/>
                <w:sz w:val="18"/>
              </w:rPr>
              <w:t>0.28</w:t>
            </w:r>
          </w:p>
        </w:tc>
      </w:tr>
      <w:tr w:rsidR="00D96B91">
        <w:trPr>
          <w:trHeight w:hRule="exact" w:val="378"/>
        </w:trPr>
        <w:tc>
          <w:tcPr>
            <w:tcW w:w="231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107"/>
              <w:rPr>
                <w:rFonts w:ascii="Avenir Next Condensed" w:eastAsia="Avenir Next Condensed" w:hAnsi="Avenir Next Condensed" w:cs="Avenir Next Condensed"/>
                <w:sz w:val="18"/>
                <w:szCs w:val="18"/>
              </w:rPr>
            </w:pPr>
            <w:r>
              <w:rPr>
                <w:rFonts w:ascii="Avenir Next Condensed"/>
                <w:sz w:val="18"/>
              </w:rPr>
              <w:t>N</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63"/>
              <w:jc w:val="center"/>
              <w:rPr>
                <w:rFonts w:ascii="Avenir Next Condensed" w:eastAsia="Avenir Next Condensed" w:hAnsi="Avenir Next Condensed" w:cs="Avenir Next Condensed"/>
                <w:sz w:val="18"/>
                <w:szCs w:val="18"/>
              </w:rPr>
            </w:pPr>
            <w:r>
              <w:rPr>
                <w:rFonts w:ascii="Avenir Next Condensed"/>
                <w:sz w:val="18"/>
              </w:rPr>
              <w:t>16</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63"/>
              <w:jc w:val="center"/>
              <w:rPr>
                <w:rFonts w:ascii="Avenir Next Condensed" w:eastAsia="Avenir Next Condensed" w:hAnsi="Avenir Next Condensed" w:cs="Avenir Next Condensed"/>
                <w:sz w:val="18"/>
                <w:szCs w:val="18"/>
              </w:rPr>
            </w:pPr>
            <w:r>
              <w:rPr>
                <w:rFonts w:ascii="Avenir Next Condensed"/>
                <w:sz w:val="18"/>
              </w:rPr>
              <w:t>16</w:t>
            </w:r>
          </w:p>
        </w:tc>
        <w:tc>
          <w:tcPr>
            <w:tcW w:w="2362"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79"/>
              <w:ind w:left="263"/>
              <w:jc w:val="center"/>
              <w:rPr>
                <w:rFonts w:ascii="Avenir Next Condensed" w:eastAsia="Avenir Next Condensed" w:hAnsi="Avenir Next Condensed" w:cs="Avenir Next Condensed"/>
                <w:sz w:val="18"/>
                <w:szCs w:val="18"/>
              </w:rPr>
            </w:pPr>
            <w:r>
              <w:rPr>
                <w:rFonts w:ascii="Avenir Next Condensed"/>
                <w:sz w:val="18"/>
              </w:rPr>
              <w:t>16</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b/>
          <w:sz w:val="16"/>
        </w:rPr>
        <w:t>Note</w:t>
      </w:r>
      <w:r>
        <w:rPr>
          <w:rFonts w:ascii="Avenir Next"/>
          <w:sz w:val="16"/>
        </w:rPr>
        <w:t>:</w:t>
      </w:r>
      <w:r>
        <w:rPr>
          <w:rFonts w:ascii="Avenir Next"/>
          <w:spacing w:val="-1"/>
          <w:sz w:val="16"/>
        </w:rPr>
        <w:t xml:space="preserve"> </w:t>
      </w:r>
      <w:r>
        <w:rPr>
          <w:rFonts w:ascii="Avenir Next"/>
          <w:sz w:val="16"/>
        </w:rPr>
        <w:t>Equity betas shown in</w:t>
      </w:r>
      <w:r>
        <w:rPr>
          <w:rFonts w:ascii="Avenir Next"/>
          <w:spacing w:val="-1"/>
          <w:sz w:val="16"/>
        </w:rPr>
        <w:t xml:space="preserve"> </w:t>
      </w:r>
      <w:r>
        <w:rPr>
          <w:rFonts w:ascii="Avenir Next"/>
          <w:sz w:val="16"/>
        </w:rPr>
        <w:t xml:space="preserve">this table </w:t>
      </w:r>
      <w:r>
        <w:rPr>
          <w:rFonts w:ascii="Avenir Next"/>
          <w:spacing w:val="-1"/>
          <w:sz w:val="16"/>
        </w:rPr>
        <w:t>are</w:t>
      </w:r>
      <w:r>
        <w:rPr>
          <w:rFonts w:ascii="Avenir Next"/>
          <w:sz w:val="16"/>
        </w:rPr>
        <w:t xml:space="preserve"> </w:t>
      </w:r>
      <w:r>
        <w:rPr>
          <w:rFonts w:ascii="Avenir Next"/>
          <w:spacing w:val="-1"/>
          <w:sz w:val="16"/>
        </w:rPr>
        <w:t>re-levered</w:t>
      </w:r>
      <w:r>
        <w:rPr>
          <w:rFonts w:ascii="Avenir Next"/>
          <w:sz w:val="16"/>
        </w:rPr>
        <w:t xml:space="preserve"> equity</w:t>
      </w:r>
      <w:r>
        <w:rPr>
          <w:rFonts w:ascii="Avenir Next"/>
          <w:spacing w:val="-1"/>
          <w:sz w:val="16"/>
        </w:rPr>
        <w:t xml:space="preserve"> </w:t>
      </w:r>
      <w:r>
        <w:rPr>
          <w:rFonts w:ascii="Avenir Next"/>
          <w:sz w:val="16"/>
        </w:rPr>
        <w:t xml:space="preserve">betas </w:t>
      </w:r>
      <w:r>
        <w:rPr>
          <w:rFonts w:ascii="Avenir Next"/>
          <w:spacing w:val="-1"/>
          <w:sz w:val="16"/>
        </w:rPr>
        <w:t>at</w:t>
      </w:r>
      <w:r>
        <w:rPr>
          <w:rFonts w:ascii="Avenir Next"/>
          <w:sz w:val="16"/>
        </w:rPr>
        <w:t xml:space="preserve"> the 60%</w:t>
      </w:r>
      <w:r>
        <w:rPr>
          <w:rFonts w:ascii="Avenir Next"/>
          <w:spacing w:val="-1"/>
          <w:sz w:val="16"/>
        </w:rPr>
        <w:t xml:space="preserve"> efficient</w:t>
      </w:r>
      <w:r>
        <w:rPr>
          <w:rFonts w:ascii="Avenir Next"/>
          <w:sz w:val="16"/>
        </w:rPr>
        <w:t xml:space="preserve"> </w:t>
      </w:r>
      <w:r>
        <w:rPr>
          <w:rFonts w:ascii="Avenir Next"/>
          <w:spacing w:val="-1"/>
          <w:sz w:val="16"/>
        </w:rPr>
        <w:t>gearing</w:t>
      </w:r>
      <w:r>
        <w:rPr>
          <w:rFonts w:ascii="Avenir Next"/>
          <w:sz w:val="16"/>
        </w:rPr>
        <w:t xml:space="preserve"> </w:t>
      </w:r>
      <w:r>
        <w:rPr>
          <w:rFonts w:ascii="Avenir Next"/>
          <w:spacing w:val="-1"/>
          <w:sz w:val="16"/>
        </w:rPr>
        <w:t>ratio</w:t>
      </w:r>
      <w:r>
        <w:rPr>
          <w:rFonts w:ascii="Avenir Next"/>
          <w:sz w:val="16"/>
        </w:rPr>
        <w:t xml:space="preserve"> determined by</w:t>
      </w:r>
      <w:r>
        <w:rPr>
          <w:rFonts w:ascii="Avenir Next"/>
          <w:spacing w:val="-1"/>
          <w:sz w:val="16"/>
        </w:rPr>
        <w:t xml:space="preserve"> </w:t>
      </w:r>
      <w:r>
        <w:rPr>
          <w:rFonts w:ascii="Avenir Next"/>
          <w:sz w:val="16"/>
        </w:rPr>
        <w:t xml:space="preserve">the </w:t>
      </w:r>
      <w:r>
        <w:rPr>
          <w:rFonts w:ascii="Avenir Next"/>
          <w:spacing w:val="-2"/>
          <w:sz w:val="16"/>
        </w:rPr>
        <w:t>Panel.</w:t>
      </w:r>
    </w:p>
    <w:p w:rsidR="00D96B91" w:rsidRDefault="00D96B91">
      <w:pPr>
        <w:spacing w:before="13"/>
        <w:rPr>
          <w:rFonts w:ascii="Avenir Next" w:eastAsia="Avenir Next" w:hAnsi="Avenir Next" w:cs="Avenir Next"/>
          <w:sz w:val="26"/>
          <w:szCs w:val="26"/>
        </w:rPr>
      </w:pPr>
    </w:p>
    <w:p w:rsidR="00D96B91" w:rsidRDefault="00D96B91">
      <w:pPr>
        <w:spacing w:line="20" w:lineRule="atLeast"/>
        <w:ind w:left="1242"/>
        <w:rPr>
          <w:rFonts w:ascii="Avenir Next" w:eastAsia="Avenir Next" w:hAnsi="Avenir Next" w:cs="Avenir Next"/>
          <w:sz w:val="2"/>
          <w:szCs w:val="2"/>
        </w:rPr>
      </w:pPr>
      <w:r w:rsidRPr="00D96B91">
        <w:rPr>
          <w:rFonts w:ascii="Avenir Next" w:eastAsia="Avenir Next" w:hAnsi="Avenir Next" w:cs="Avenir Next"/>
          <w:sz w:val="2"/>
          <w:szCs w:val="2"/>
        </w:rPr>
      </w:r>
      <w:r>
        <w:rPr>
          <w:rFonts w:ascii="Avenir Next" w:eastAsia="Avenir Next" w:hAnsi="Avenir Next" w:cs="Avenir Next"/>
          <w:sz w:val="2"/>
          <w:szCs w:val="2"/>
        </w:rPr>
        <w:pict>
          <v:group id="_x0000_s1059" style="width:72.5pt;height:.5pt;mso-position-horizontal-relative:char;mso-position-vertical-relative:line" coordsize="1450,10">
            <v:group id="_x0000_s1060" style="position:absolute;left:5;top:5;width:1440;height:2" coordorigin="5,5" coordsize="1440,2">
              <v:shape id="_x0000_s1061" style="position:absolute;left:5;top:5;width:1440;height:2" coordorigin="5,5" coordsize="1440,0" path="m5,5r1440,e" filled="f" strokeweight=".5pt">
                <v:path arrowok="t"/>
              </v:shape>
            </v:group>
            <w10:wrap type="none"/>
            <w10:anchorlock/>
          </v:group>
        </w:pict>
      </w:r>
    </w:p>
    <w:p w:rsidR="00D96B91" w:rsidRDefault="00C2656B">
      <w:pPr>
        <w:numPr>
          <w:ilvl w:val="0"/>
          <w:numId w:val="24"/>
        </w:numPr>
        <w:tabs>
          <w:tab w:val="left" w:pos="1758"/>
        </w:tabs>
        <w:spacing w:before="44" w:line="192" w:lineRule="exact"/>
        <w:ind w:right="1273" w:hanging="510"/>
        <w:rPr>
          <w:rFonts w:ascii="Avenir Next" w:eastAsia="Avenir Next" w:hAnsi="Avenir Next" w:cs="Avenir Next"/>
          <w:sz w:val="16"/>
          <w:szCs w:val="16"/>
        </w:rPr>
      </w:pPr>
      <w:r>
        <w:rPr>
          <w:rFonts w:ascii="Avenir Next"/>
          <w:spacing w:val="-1"/>
          <w:sz w:val="16"/>
        </w:rPr>
        <w:t xml:space="preserve">The </w:t>
      </w:r>
      <w:r>
        <w:rPr>
          <w:rFonts w:ascii="Avenir Next"/>
          <w:spacing w:val="-2"/>
          <w:sz w:val="16"/>
        </w:rPr>
        <w:t>Panel</w:t>
      </w:r>
      <w:r>
        <w:rPr>
          <w:rFonts w:ascii="Avenir Next"/>
          <w:sz w:val="16"/>
        </w:rPr>
        <w:t xml:space="preserve"> has </w:t>
      </w:r>
      <w:r>
        <w:rPr>
          <w:rFonts w:ascii="Avenir Next"/>
          <w:spacing w:val="-1"/>
          <w:sz w:val="16"/>
        </w:rPr>
        <w:t>de-levered</w:t>
      </w:r>
      <w:r>
        <w:rPr>
          <w:rFonts w:ascii="Avenir Next"/>
          <w:sz w:val="16"/>
        </w:rPr>
        <w:t xml:space="preserve"> OLS </w:t>
      </w:r>
      <w:r>
        <w:rPr>
          <w:rFonts w:ascii="Avenir Next"/>
          <w:spacing w:val="-1"/>
          <w:sz w:val="16"/>
        </w:rPr>
        <w:t>regression-based</w:t>
      </w:r>
      <w:r>
        <w:rPr>
          <w:rFonts w:ascii="Avenir Next"/>
          <w:sz w:val="16"/>
        </w:rPr>
        <w:t xml:space="preserve"> equity</w:t>
      </w:r>
      <w:r>
        <w:rPr>
          <w:rFonts w:ascii="Avenir Next"/>
          <w:spacing w:val="-1"/>
          <w:sz w:val="16"/>
        </w:rPr>
        <w:t xml:space="preserve"> </w:t>
      </w:r>
      <w:r>
        <w:rPr>
          <w:rFonts w:ascii="Avenir Next"/>
          <w:sz w:val="16"/>
        </w:rPr>
        <w:t xml:space="preserve">betas using the </w:t>
      </w:r>
      <w:r>
        <w:rPr>
          <w:rFonts w:ascii="Avenir Next"/>
          <w:spacing w:val="-1"/>
          <w:sz w:val="16"/>
        </w:rPr>
        <w:t>corporate</w:t>
      </w:r>
      <w:r>
        <w:rPr>
          <w:rFonts w:ascii="Avenir Next"/>
          <w:sz w:val="16"/>
        </w:rPr>
        <w:t xml:space="preserve"> tax </w:t>
      </w:r>
      <w:r>
        <w:rPr>
          <w:rFonts w:ascii="Avenir Next"/>
          <w:spacing w:val="-1"/>
          <w:sz w:val="16"/>
        </w:rPr>
        <w:t>rate</w:t>
      </w:r>
      <w:r>
        <w:rPr>
          <w:rFonts w:ascii="Avenir Next"/>
          <w:sz w:val="16"/>
        </w:rPr>
        <w:t xml:space="preserve"> of</w:t>
      </w:r>
      <w:r>
        <w:rPr>
          <w:rFonts w:ascii="Avenir Next"/>
          <w:spacing w:val="2"/>
          <w:sz w:val="16"/>
        </w:rPr>
        <w:t xml:space="preserve"> </w:t>
      </w:r>
      <w:r>
        <w:rPr>
          <w:rFonts w:ascii="Avenir Next"/>
          <w:sz w:val="16"/>
        </w:rPr>
        <w:t xml:space="preserve">the country in which </w:t>
      </w:r>
      <w:r>
        <w:rPr>
          <w:rFonts w:ascii="Avenir Next"/>
          <w:spacing w:val="-1"/>
          <w:sz w:val="16"/>
        </w:rPr>
        <w:t>each</w:t>
      </w:r>
      <w:r>
        <w:rPr>
          <w:rFonts w:ascii="Avenir Next"/>
          <w:sz w:val="16"/>
        </w:rPr>
        <w:t xml:space="preserve"> firm</w:t>
      </w:r>
      <w:r>
        <w:rPr>
          <w:rFonts w:ascii="Avenir Next"/>
          <w:spacing w:val="51"/>
          <w:w w:val="99"/>
          <w:sz w:val="16"/>
        </w:rPr>
        <w:t xml:space="preserve"> </w:t>
      </w:r>
      <w:r>
        <w:rPr>
          <w:rFonts w:ascii="Avenir Next"/>
          <w:sz w:val="16"/>
        </w:rPr>
        <w:t>is domiciled,</w:t>
      </w:r>
      <w:r>
        <w:rPr>
          <w:rFonts w:ascii="Avenir Next"/>
          <w:spacing w:val="-5"/>
          <w:sz w:val="16"/>
        </w:rPr>
        <w:t xml:space="preserve"> </w:t>
      </w:r>
      <w:r>
        <w:rPr>
          <w:rFonts w:ascii="Avenir Next"/>
          <w:sz w:val="16"/>
        </w:rPr>
        <w:t xml:space="preserve">and </w:t>
      </w:r>
      <w:r>
        <w:rPr>
          <w:rFonts w:ascii="Avenir Next"/>
          <w:spacing w:val="-1"/>
          <w:sz w:val="16"/>
        </w:rPr>
        <w:t>re-levered</w:t>
      </w:r>
      <w:r>
        <w:rPr>
          <w:rFonts w:ascii="Avenir Next"/>
          <w:sz w:val="16"/>
        </w:rPr>
        <w:t xml:space="preserve"> these </w:t>
      </w:r>
      <w:r>
        <w:rPr>
          <w:rFonts w:ascii="Avenir Next"/>
          <w:spacing w:val="-1"/>
          <w:sz w:val="16"/>
        </w:rPr>
        <w:t>de-levered</w:t>
      </w:r>
      <w:r>
        <w:rPr>
          <w:rFonts w:ascii="Avenir Next"/>
          <w:sz w:val="16"/>
        </w:rPr>
        <w:t xml:space="preserve"> equity betas (ie,</w:t>
      </w:r>
      <w:r>
        <w:rPr>
          <w:rFonts w:ascii="Avenir Next"/>
          <w:spacing w:val="-5"/>
          <w:sz w:val="16"/>
        </w:rPr>
        <w:t xml:space="preserve"> </w:t>
      </w:r>
      <w:r>
        <w:rPr>
          <w:rFonts w:ascii="Avenir Next"/>
          <w:sz w:val="16"/>
        </w:rPr>
        <w:t>asset betas) using the</w:t>
      </w:r>
      <w:r>
        <w:rPr>
          <w:rFonts w:ascii="Avenir Next"/>
          <w:spacing w:val="-3"/>
          <w:sz w:val="16"/>
        </w:rPr>
        <w:t xml:space="preserve"> </w:t>
      </w:r>
      <w:r>
        <w:rPr>
          <w:rFonts w:ascii="Avenir Next"/>
          <w:spacing w:val="-1"/>
          <w:sz w:val="16"/>
        </w:rPr>
        <w:t>Australian</w:t>
      </w:r>
      <w:r>
        <w:rPr>
          <w:rFonts w:ascii="Avenir Next"/>
          <w:sz w:val="16"/>
        </w:rPr>
        <w:t xml:space="preserve"> </w:t>
      </w:r>
      <w:r>
        <w:rPr>
          <w:rFonts w:ascii="Avenir Next"/>
          <w:spacing w:val="-1"/>
          <w:sz w:val="16"/>
        </w:rPr>
        <w:t>corporate</w:t>
      </w:r>
      <w:r>
        <w:rPr>
          <w:rFonts w:ascii="Avenir Next"/>
          <w:sz w:val="16"/>
        </w:rPr>
        <w:t xml:space="preserve"> tax </w:t>
      </w:r>
      <w:r>
        <w:rPr>
          <w:rFonts w:ascii="Avenir Next"/>
          <w:spacing w:val="-1"/>
          <w:sz w:val="16"/>
        </w:rPr>
        <w:t>rate.</w:t>
      </w:r>
    </w:p>
    <w:p w:rsidR="00D96B91" w:rsidRDefault="00D96B91">
      <w:pPr>
        <w:spacing w:line="192" w:lineRule="exact"/>
        <w:rPr>
          <w:rFonts w:ascii="Avenir Next" w:eastAsia="Avenir Next" w:hAnsi="Avenir Next" w:cs="Avenir Next"/>
          <w:sz w:val="16"/>
          <w:szCs w:val="16"/>
        </w:rPr>
        <w:sectPr w:rsidR="00D96B91">
          <w:footerReference w:type="even" r:id="rId137"/>
          <w:footerReference w:type="default" r:id="rId138"/>
          <w:pgSz w:w="11910" w:h="16840"/>
          <w:pgMar w:top="1200" w:right="0" w:bottom="1020" w:left="0" w:header="0" w:footer="829" w:gutter="0"/>
          <w:pgNumType w:start="183"/>
          <w:cols w:space="720"/>
        </w:sectPr>
      </w:pPr>
    </w:p>
    <w:p w:rsidR="00D96B91" w:rsidRDefault="00C2656B">
      <w:pPr>
        <w:pStyle w:val="BodyText"/>
        <w:spacing w:before="21" w:line="260" w:lineRule="exact"/>
        <w:ind w:right="1256"/>
      </w:pPr>
      <w:r>
        <w:rPr>
          <w:spacing w:val="-2"/>
        </w:rPr>
        <w:t>The</w:t>
      </w:r>
      <w:r>
        <w:t xml:space="preserve"> </w:t>
      </w:r>
      <w:r>
        <w:rPr>
          <w:spacing w:val="-3"/>
        </w:rPr>
        <w:t>Panel</w:t>
      </w:r>
      <w:r>
        <w:t xml:space="preserve"> considers </w:t>
      </w:r>
      <w:r>
        <w:rPr>
          <w:spacing w:val="-1"/>
        </w:rPr>
        <w:t>that</w:t>
      </w:r>
      <w:r>
        <w:t xml:space="preserve"> it </w:t>
      </w:r>
      <w:r>
        <w:rPr>
          <w:spacing w:val="-1"/>
        </w:rPr>
        <w:t>important</w:t>
      </w:r>
      <w:r>
        <w:t xml:space="preserve"> to </w:t>
      </w:r>
      <w:r>
        <w:rPr>
          <w:spacing w:val="-1"/>
        </w:rPr>
        <w:t>address</w:t>
      </w:r>
      <w:r>
        <w:t xml:space="preserve"> potential </w:t>
      </w:r>
      <w:r>
        <w:rPr>
          <w:spacing w:val="-1"/>
        </w:rPr>
        <w:t>estimation</w:t>
      </w:r>
      <w:r>
        <w:t xml:space="preserve"> </w:t>
      </w:r>
      <w:r>
        <w:rPr>
          <w:spacing w:val="-1"/>
        </w:rPr>
        <w:t>errors</w:t>
      </w:r>
      <w:r>
        <w:t xml:space="preserve"> when equity betas </w:t>
      </w:r>
      <w:r>
        <w:rPr>
          <w:spacing w:val="-2"/>
        </w:rPr>
        <w:t>are</w:t>
      </w:r>
      <w:r>
        <w:rPr>
          <w:spacing w:val="55"/>
        </w:rPr>
        <w:t xml:space="preserve"> </w:t>
      </w:r>
      <w:r>
        <w:rPr>
          <w:spacing w:val="-1"/>
        </w:rPr>
        <w:t>estimated</w:t>
      </w:r>
      <w:r>
        <w:t xml:space="preserve"> using an OLS </w:t>
      </w:r>
      <w:r>
        <w:rPr>
          <w:spacing w:val="-1"/>
        </w:rPr>
        <w:t>regression</w:t>
      </w:r>
      <w:r>
        <w:t xml:space="preserve"> and </w:t>
      </w:r>
      <w:r>
        <w:rPr>
          <w:spacing w:val="-1"/>
        </w:rPr>
        <w:t>that,</w:t>
      </w:r>
      <w:r>
        <w:rPr>
          <w:spacing w:val="-6"/>
        </w:rPr>
        <w:t xml:space="preserve"> </w:t>
      </w:r>
      <w:r>
        <w:t xml:space="preserve">given the sample size and wide </w:t>
      </w:r>
      <w:r>
        <w:rPr>
          <w:spacing w:val="-1"/>
        </w:rPr>
        <w:t>range</w:t>
      </w:r>
      <w:r>
        <w:t xml:space="preserve"> in </w:t>
      </w:r>
      <w:r>
        <w:rPr>
          <w:spacing w:val="-1"/>
        </w:rPr>
        <w:t>estimated</w:t>
      </w:r>
      <w:r>
        <w:t xml:space="preserve"> equity</w:t>
      </w:r>
      <w:r>
        <w:rPr>
          <w:spacing w:val="43"/>
        </w:rPr>
        <w:t xml:space="preserve"> </w:t>
      </w:r>
      <w:r>
        <w:t>betas,</w:t>
      </w:r>
      <w:r>
        <w:rPr>
          <w:spacing w:val="-6"/>
        </w:rPr>
        <w:t xml:space="preserve"> </w:t>
      </w:r>
      <w:r>
        <w:t xml:space="preserve">median equity betas </w:t>
      </w:r>
      <w:r>
        <w:rPr>
          <w:spacing w:val="-1"/>
        </w:rPr>
        <w:t>provide</w:t>
      </w:r>
      <w:r>
        <w:t xml:space="preserve"> </w:t>
      </w:r>
      <w:r>
        <w:rPr>
          <w:spacing w:val="-1"/>
        </w:rPr>
        <w:t>more</w:t>
      </w:r>
      <w:r>
        <w:t xml:space="preserve"> useful </w:t>
      </w:r>
      <w:r>
        <w:rPr>
          <w:spacing w:val="-1"/>
        </w:rPr>
        <w:t>information.</w:t>
      </w:r>
      <w:r>
        <w:rPr>
          <w:spacing w:val="-6"/>
        </w:rPr>
        <w:t xml:space="preserve"> </w:t>
      </w:r>
      <w:r>
        <w:t xml:space="preserve">It has </w:t>
      </w:r>
      <w:r>
        <w:rPr>
          <w:spacing w:val="-1"/>
        </w:rPr>
        <w:t>therefore</w:t>
      </w:r>
      <w:r>
        <w:t xml:space="preserve"> placed </w:t>
      </w:r>
      <w:r>
        <w:rPr>
          <w:spacing w:val="-2"/>
        </w:rPr>
        <w:t>greater</w:t>
      </w:r>
      <w:r>
        <w:t xml:space="preserve"> weight</w:t>
      </w:r>
    </w:p>
    <w:p w:rsidR="00D96B91" w:rsidRDefault="00C2656B">
      <w:pPr>
        <w:pStyle w:val="BodyText"/>
        <w:spacing w:line="260" w:lineRule="exact"/>
        <w:ind w:right="1356"/>
      </w:pPr>
      <w:r>
        <w:t xml:space="preserve">on the </w:t>
      </w:r>
      <w:r>
        <w:rPr>
          <w:spacing w:val="-1"/>
        </w:rPr>
        <w:t>results</w:t>
      </w:r>
      <w:r>
        <w:t xml:space="preserve"> based on the Blume and</w:t>
      </w:r>
      <w:r>
        <w:rPr>
          <w:spacing w:val="-4"/>
        </w:rPr>
        <w:t xml:space="preserve"> </w:t>
      </w:r>
      <w:r>
        <w:rPr>
          <w:spacing w:val="-2"/>
        </w:rPr>
        <w:t>Vasicek</w:t>
      </w:r>
      <w:r>
        <w:t xml:space="preserve"> adjustments,</w:t>
      </w:r>
      <w:r>
        <w:rPr>
          <w:spacing w:val="-7"/>
        </w:rPr>
        <w:t xml:space="preserve"> </w:t>
      </w:r>
      <w:r>
        <w:t xml:space="preserve">and concluded </w:t>
      </w:r>
      <w:r>
        <w:rPr>
          <w:spacing w:val="-1"/>
        </w:rPr>
        <w:t>that</w:t>
      </w:r>
      <w:r>
        <w:t xml:space="preserve"> based on the median</w:t>
      </w:r>
      <w:r>
        <w:rPr>
          <w:spacing w:val="30"/>
        </w:rPr>
        <w:t xml:space="preserve"> </w:t>
      </w:r>
      <w:r>
        <w:t>equity</w:t>
      </w:r>
      <w:r>
        <w:rPr>
          <w:spacing w:val="-1"/>
        </w:rPr>
        <w:t xml:space="preserve"> </w:t>
      </w:r>
      <w:r>
        <w:t>betas adjusted</w:t>
      </w:r>
      <w:r>
        <w:rPr>
          <w:spacing w:val="-1"/>
        </w:rPr>
        <w:t xml:space="preserve"> </w:t>
      </w:r>
      <w:r>
        <w:t xml:space="preserve">for potential </w:t>
      </w:r>
      <w:r>
        <w:rPr>
          <w:spacing w:val="-1"/>
        </w:rPr>
        <w:t>estimation errors,</w:t>
      </w:r>
      <w:r>
        <w:rPr>
          <w:spacing w:val="-6"/>
        </w:rPr>
        <w:t xml:space="preserve"> </w:t>
      </w:r>
      <w:r>
        <w:t>a</w:t>
      </w:r>
      <w:r>
        <w:rPr>
          <w:spacing w:val="-1"/>
        </w:rPr>
        <w:t xml:space="preserve"> </w:t>
      </w:r>
      <w:r>
        <w:t xml:space="preserve">typical </w:t>
      </w:r>
      <w:r>
        <w:rPr>
          <w:spacing w:val="-1"/>
        </w:rPr>
        <w:t>water</w:t>
      </w:r>
      <w:r>
        <w:t xml:space="preserve"> utility</w:t>
      </w:r>
      <w:r>
        <w:rPr>
          <w:spacing w:val="-1"/>
        </w:rPr>
        <w:t xml:space="preserve"> </w:t>
      </w:r>
      <w:r>
        <w:t>with the</w:t>
      </w:r>
      <w:r>
        <w:rPr>
          <w:spacing w:val="-1"/>
        </w:rPr>
        <w:t xml:space="preserve"> efficient</w:t>
      </w:r>
      <w:r>
        <w:t xml:space="preserve"> </w:t>
      </w:r>
      <w:r>
        <w:rPr>
          <w:spacing w:val="-1"/>
        </w:rPr>
        <w:t>gearing</w:t>
      </w:r>
      <w:r>
        <w:rPr>
          <w:spacing w:val="47"/>
        </w:rPr>
        <w:t xml:space="preserve"> </w:t>
      </w:r>
      <w:r>
        <w:rPr>
          <w:spacing w:val="-1"/>
        </w:rPr>
        <w:t>ratio</w:t>
      </w:r>
      <w:r>
        <w:t xml:space="preserve"> of</w:t>
      </w:r>
      <w:r>
        <w:rPr>
          <w:spacing w:val="4"/>
        </w:rPr>
        <w:t xml:space="preserve"> </w:t>
      </w:r>
      <w:r>
        <w:t xml:space="preserve">60% would have an equity beta </w:t>
      </w:r>
      <w:r>
        <w:rPr>
          <w:spacing w:val="-1"/>
        </w:rPr>
        <w:t>ranging</w:t>
      </w:r>
      <w:r>
        <w:t xml:space="preserve"> </w:t>
      </w:r>
      <w:r>
        <w:rPr>
          <w:spacing w:val="-1"/>
        </w:rPr>
        <w:t>from</w:t>
      </w:r>
      <w:r>
        <w:t xml:space="preserve"> 0.53 to 0.77.</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tabs>
          <w:tab w:val="left" w:pos="4127"/>
        </w:tabs>
        <w:spacing w:line="516" w:lineRule="exact"/>
        <w:ind w:left="1247"/>
        <w:rPr>
          <w:rFonts w:ascii="Avenir Next Medium" w:eastAsia="Avenir Next Medium" w:hAnsi="Avenir Next Medium" w:cs="Avenir Next Medium"/>
          <w:sz w:val="40"/>
          <w:szCs w:val="40"/>
        </w:rPr>
      </w:pPr>
      <w:bookmarkStart w:id="241" w:name="Appendix_10_Suggested_changes_to_the_ICR"/>
      <w:bookmarkStart w:id="242" w:name="_bookmark154"/>
      <w:bookmarkEnd w:id="241"/>
      <w:bookmarkEnd w:id="242"/>
      <w:r>
        <w:rPr>
          <w:rFonts w:ascii="Avenir Next Medium"/>
          <w:color w:val="0778BE"/>
          <w:sz w:val="40"/>
        </w:rPr>
        <w:t>Appendix 10</w:t>
      </w:r>
      <w:r>
        <w:rPr>
          <w:rFonts w:ascii="Avenir Next Medium"/>
          <w:color w:val="0778BE"/>
          <w:sz w:val="40"/>
        </w:rPr>
        <w:tab/>
        <w:t>Suggested actions for the ICRC</w:t>
      </w:r>
    </w:p>
    <w:p w:rsidR="00D96B91" w:rsidRDefault="00D96B91">
      <w:pPr>
        <w:spacing w:before="12"/>
        <w:rPr>
          <w:rFonts w:ascii="Avenir Next Medium" w:eastAsia="Avenir Next Medium" w:hAnsi="Avenir Next Medium" w:cs="Avenir Next Medium"/>
          <w:sz w:val="26"/>
          <w:szCs w:val="26"/>
        </w:rPr>
      </w:pPr>
    </w:p>
    <w:p w:rsidR="00D96B91" w:rsidRDefault="00C2656B">
      <w:pPr>
        <w:pStyle w:val="BodyText"/>
        <w:rPr>
          <w:rFonts w:cs="Avenir Next"/>
        </w:rPr>
      </w:pPr>
      <w:r>
        <w:t xml:space="preserve">As noted in Chapter </w:t>
      </w:r>
      <w:hyperlink w:anchor="_bookmark45" w:history="1">
        <w:r>
          <w:t>7</w:t>
        </w:r>
      </w:hyperlink>
      <w:r>
        <w:t>,</w:t>
      </w:r>
      <w:r>
        <w:rPr>
          <w:spacing w:val="-6"/>
        </w:rPr>
        <w:t xml:space="preserve"> </w:t>
      </w:r>
      <w:r>
        <w:t xml:space="preserve">the </w:t>
      </w:r>
      <w:r>
        <w:rPr>
          <w:spacing w:val="-3"/>
        </w:rPr>
        <w:t>Panel</w:t>
      </w:r>
      <w:r>
        <w:t xml:space="preserve"> intends to suggest to the ICRC </w:t>
      </w:r>
      <w:r>
        <w:rPr>
          <w:spacing w:val="-1"/>
        </w:rPr>
        <w:t>that</w:t>
      </w:r>
      <w:r>
        <w:t xml:space="preserve"> it consider:</w:t>
      </w:r>
    </w:p>
    <w:p w:rsidR="00D96B91" w:rsidRDefault="00C2656B">
      <w:pPr>
        <w:pStyle w:val="BodyText"/>
        <w:numPr>
          <w:ilvl w:val="0"/>
          <w:numId w:val="131"/>
        </w:numPr>
        <w:tabs>
          <w:tab w:val="left" w:pos="1531"/>
        </w:tabs>
        <w:spacing w:before="149" w:line="260" w:lineRule="exact"/>
        <w:ind w:right="1328" w:hanging="283"/>
      </w:pPr>
      <w:r>
        <w:t xml:space="preserve">implementing an </w:t>
      </w:r>
      <w:r>
        <w:rPr>
          <w:spacing w:val="-1"/>
        </w:rPr>
        <w:t>operating</w:t>
      </w:r>
      <w:r>
        <w:t xml:space="preserve"> and capital </w:t>
      </w:r>
      <w:r>
        <w:rPr>
          <w:spacing w:val="-1"/>
        </w:rPr>
        <w:t>expenditure</w:t>
      </w:r>
      <w:r>
        <w:t xml:space="preserve"> incentive scheme in the </w:t>
      </w:r>
      <w:r>
        <w:rPr>
          <w:spacing w:val="-1"/>
        </w:rPr>
        <w:t>next</w:t>
      </w:r>
      <w:r>
        <w:t xml:space="preserve"> </w:t>
      </w:r>
      <w:r>
        <w:rPr>
          <w:spacing w:val="-1"/>
        </w:rPr>
        <w:t>regulatory</w:t>
      </w:r>
      <w:r>
        <w:t xml:space="preserve"> period,</w:t>
      </w:r>
      <w:r>
        <w:rPr>
          <w:spacing w:val="29"/>
        </w:rPr>
        <w:t xml:space="preserve"> </w:t>
      </w:r>
      <w:r>
        <w:t xml:space="preserve">and also consider whether a service-level incentive scheme should be </w:t>
      </w:r>
      <w:r>
        <w:rPr>
          <w:spacing w:val="-1"/>
        </w:rPr>
        <w:t>introduced,</w:t>
      </w:r>
      <w:r>
        <w:rPr>
          <w:spacing w:val="-6"/>
        </w:rPr>
        <w:t xml:space="preserve"> </w:t>
      </w:r>
      <w:r>
        <w:t>and</w:t>
      </w:r>
    </w:p>
    <w:p w:rsidR="00D96B91" w:rsidRDefault="00C2656B">
      <w:pPr>
        <w:pStyle w:val="BodyText"/>
        <w:numPr>
          <w:ilvl w:val="0"/>
          <w:numId w:val="131"/>
        </w:numPr>
        <w:tabs>
          <w:tab w:val="left" w:pos="1531"/>
        </w:tabs>
        <w:spacing w:before="93"/>
        <w:ind w:hanging="283"/>
        <w:rPr>
          <w:rFonts w:cs="Avenir Next"/>
        </w:rPr>
      </w:pPr>
      <w:r>
        <w:rPr>
          <w:spacing w:val="-1"/>
        </w:rPr>
        <w:t>requiring</w:t>
      </w:r>
      <w:r>
        <w:rPr>
          <w:spacing w:val="-4"/>
        </w:rPr>
        <w:t xml:space="preserve"> </w:t>
      </w:r>
      <w:r>
        <w:rPr>
          <w:spacing w:val="-2"/>
        </w:rPr>
        <w:t>ACTEW</w:t>
      </w:r>
      <w:r>
        <w:rPr>
          <w:spacing w:val="-3"/>
        </w:rPr>
        <w:t xml:space="preserve"> </w:t>
      </w:r>
      <w:r>
        <w:t xml:space="preserve">to submit a </w:t>
      </w:r>
      <w:r>
        <w:rPr>
          <w:spacing w:val="-2"/>
        </w:rPr>
        <w:t>report</w:t>
      </w:r>
      <w:r>
        <w:t xml:space="preserve"> </w:t>
      </w:r>
      <w:r>
        <w:rPr>
          <w:spacing w:val="-1"/>
        </w:rPr>
        <w:t>each</w:t>
      </w:r>
      <w:r>
        <w:t xml:space="preserve"> </w:t>
      </w:r>
      <w:r>
        <w:rPr>
          <w:spacing w:val="-3"/>
        </w:rPr>
        <w:t>year,</w:t>
      </w:r>
      <w:r>
        <w:rPr>
          <w:spacing w:val="-6"/>
        </w:rPr>
        <w:t xml:space="preserve"> </w:t>
      </w:r>
      <w:r>
        <w:t>which sets out:</w:t>
      </w:r>
    </w:p>
    <w:p w:rsidR="00D96B91" w:rsidRDefault="00C2656B">
      <w:pPr>
        <w:pStyle w:val="BodyText"/>
        <w:numPr>
          <w:ilvl w:val="1"/>
          <w:numId w:val="131"/>
        </w:numPr>
        <w:tabs>
          <w:tab w:val="left" w:pos="1815"/>
        </w:tabs>
        <w:spacing w:before="64" w:line="260" w:lineRule="exact"/>
        <w:ind w:right="1725"/>
        <w:rPr>
          <w:rFonts w:cs="Avenir Next"/>
        </w:rPr>
      </w:pPr>
      <w:r>
        <w:t>the</w:t>
      </w:r>
      <w:r>
        <w:rPr>
          <w:spacing w:val="-1"/>
        </w:rPr>
        <w:t xml:space="preserve"> </w:t>
      </w:r>
      <w:r>
        <w:t>actual</w:t>
      </w:r>
      <w:r>
        <w:rPr>
          <w:spacing w:val="-1"/>
        </w:rPr>
        <w:t xml:space="preserve"> operating</w:t>
      </w:r>
      <w:r>
        <w:t xml:space="preserve"> and</w:t>
      </w:r>
      <w:r>
        <w:rPr>
          <w:spacing w:val="-1"/>
        </w:rPr>
        <w:t xml:space="preserve"> </w:t>
      </w:r>
      <w:r>
        <w:t xml:space="preserve">capital </w:t>
      </w:r>
      <w:r>
        <w:rPr>
          <w:spacing w:val="-1"/>
        </w:rPr>
        <w:t xml:space="preserve">expenditure </w:t>
      </w:r>
      <w:r>
        <w:t xml:space="preserve">it </w:t>
      </w:r>
      <w:r>
        <w:rPr>
          <w:spacing w:val="-1"/>
        </w:rPr>
        <w:t xml:space="preserve">incurred </w:t>
      </w:r>
      <w:r>
        <w:t>in the</w:t>
      </w:r>
      <w:r>
        <w:rPr>
          <w:spacing w:val="-1"/>
        </w:rPr>
        <w:t xml:space="preserve"> previous</w:t>
      </w:r>
      <w:r>
        <w:t xml:space="preserve"> financial</w:t>
      </w:r>
      <w:r>
        <w:rPr>
          <w:spacing w:val="-1"/>
        </w:rPr>
        <w:t xml:space="preserve"> </w:t>
      </w:r>
      <w:r>
        <w:rPr>
          <w:spacing w:val="-3"/>
        </w:rPr>
        <w:t>year,</w:t>
      </w:r>
      <w:r>
        <w:rPr>
          <w:spacing w:val="-6"/>
        </w:rPr>
        <w:t xml:space="preserve"> </w:t>
      </w:r>
      <w:r>
        <w:t>and</w:t>
      </w:r>
      <w:r>
        <w:rPr>
          <w:spacing w:val="-1"/>
        </w:rPr>
        <w:t xml:space="preserve"> </w:t>
      </w:r>
      <w:r>
        <w:t>an</w:t>
      </w:r>
      <w:r>
        <w:rPr>
          <w:spacing w:val="41"/>
        </w:rPr>
        <w:t xml:space="preserve"> </w:t>
      </w:r>
      <w:r>
        <w:rPr>
          <w:spacing w:val="-1"/>
        </w:rPr>
        <w:t>explanation</w:t>
      </w:r>
      <w:r>
        <w:t xml:space="preserve"> for any major </w:t>
      </w:r>
      <w:r>
        <w:rPr>
          <w:spacing w:val="-1"/>
        </w:rPr>
        <w:t>deviation</w:t>
      </w:r>
      <w:r>
        <w:t xml:space="preserve"> </w:t>
      </w:r>
      <w:r>
        <w:rPr>
          <w:spacing w:val="-1"/>
        </w:rPr>
        <w:t>from</w:t>
      </w:r>
      <w:r>
        <w:t xml:space="preserve"> the </w:t>
      </w:r>
      <w:r>
        <w:rPr>
          <w:spacing w:val="-1"/>
        </w:rPr>
        <w:t>expenditure</w:t>
      </w:r>
      <w:r>
        <w:t xml:space="preserve"> allowances </w:t>
      </w:r>
      <w:r>
        <w:rPr>
          <w:spacing w:val="-1"/>
        </w:rPr>
        <w:t>approved</w:t>
      </w:r>
      <w:r>
        <w:t xml:space="preserve"> in the price</w:t>
      </w:r>
      <w:r>
        <w:rPr>
          <w:spacing w:val="45"/>
        </w:rPr>
        <w:t xml:space="preserve"> </w:t>
      </w:r>
      <w:r>
        <w:rPr>
          <w:spacing w:val="-1"/>
        </w:rPr>
        <w:t>direction</w:t>
      </w:r>
    </w:p>
    <w:p w:rsidR="00D96B91" w:rsidRDefault="00C2656B">
      <w:pPr>
        <w:pStyle w:val="BodyText"/>
        <w:numPr>
          <w:ilvl w:val="1"/>
          <w:numId w:val="131"/>
        </w:numPr>
        <w:tabs>
          <w:tab w:val="left" w:pos="1815"/>
        </w:tabs>
        <w:spacing w:before="85" w:line="260" w:lineRule="exact"/>
        <w:ind w:right="1995"/>
      </w:pPr>
      <w:r>
        <w:t xml:space="preserve">the </w:t>
      </w:r>
      <w:r>
        <w:rPr>
          <w:spacing w:val="-1"/>
        </w:rPr>
        <w:t>revenue</w:t>
      </w:r>
      <w:r>
        <w:t xml:space="preserve"> it </w:t>
      </w:r>
      <w:r>
        <w:rPr>
          <w:spacing w:val="-1"/>
        </w:rPr>
        <w:t>received</w:t>
      </w:r>
      <w:r>
        <w:t xml:space="preserve"> </w:t>
      </w:r>
      <w:r>
        <w:rPr>
          <w:spacing w:val="-1"/>
        </w:rPr>
        <w:t>from</w:t>
      </w:r>
      <w:r>
        <w:t xml:space="preserve"> the </w:t>
      </w:r>
      <w:r>
        <w:rPr>
          <w:spacing w:val="-1"/>
        </w:rPr>
        <w:t>provision</w:t>
      </w:r>
      <w:r>
        <w:t xml:space="preserve"> of</w:t>
      </w:r>
      <w:r>
        <w:rPr>
          <w:spacing w:val="4"/>
        </w:rPr>
        <w:t xml:space="preserve"> </w:t>
      </w:r>
      <w:r>
        <w:rPr>
          <w:spacing w:val="-1"/>
        </w:rPr>
        <w:t>water</w:t>
      </w:r>
      <w:r>
        <w:t xml:space="preserve"> and </w:t>
      </w:r>
      <w:r>
        <w:rPr>
          <w:spacing w:val="-1"/>
        </w:rPr>
        <w:t>sewerage</w:t>
      </w:r>
      <w:r>
        <w:t xml:space="preserve"> services in the </w:t>
      </w:r>
      <w:r>
        <w:rPr>
          <w:spacing w:val="-1"/>
        </w:rPr>
        <w:t>previous</w:t>
      </w:r>
      <w:r>
        <w:rPr>
          <w:spacing w:val="49"/>
        </w:rPr>
        <w:t xml:space="preserve"> </w:t>
      </w:r>
      <w:r>
        <w:t>financial</w:t>
      </w:r>
      <w:r>
        <w:rPr>
          <w:spacing w:val="-1"/>
        </w:rPr>
        <w:t xml:space="preserve"> year </w:t>
      </w:r>
      <w:r>
        <w:t>and</w:t>
      </w:r>
      <w:r>
        <w:rPr>
          <w:spacing w:val="-1"/>
        </w:rPr>
        <w:t xml:space="preserve"> revenue received from </w:t>
      </w:r>
      <w:r>
        <w:t>other</w:t>
      </w:r>
      <w:r>
        <w:rPr>
          <w:spacing w:val="-1"/>
        </w:rPr>
        <w:t xml:space="preserve"> sources,</w:t>
      </w:r>
      <w:r>
        <w:rPr>
          <w:spacing w:val="-7"/>
        </w:rPr>
        <w:t xml:space="preserve"> </w:t>
      </w:r>
      <w:r>
        <w:t>and</w:t>
      </w:r>
    </w:p>
    <w:p w:rsidR="00D96B91" w:rsidRDefault="00C2656B">
      <w:pPr>
        <w:pStyle w:val="BodyText"/>
        <w:numPr>
          <w:ilvl w:val="1"/>
          <w:numId w:val="131"/>
        </w:numPr>
        <w:tabs>
          <w:tab w:val="left" w:pos="1815"/>
        </w:tabs>
        <w:spacing w:before="85" w:line="260" w:lineRule="exact"/>
        <w:ind w:right="1313"/>
      </w:pPr>
      <w:r>
        <w:t>its</w:t>
      </w:r>
      <w:r>
        <w:rPr>
          <w:spacing w:val="-1"/>
        </w:rPr>
        <w:t xml:space="preserve"> </w:t>
      </w:r>
      <w:r>
        <w:t xml:space="preserve">actual </w:t>
      </w:r>
      <w:r>
        <w:rPr>
          <w:spacing w:val="-1"/>
        </w:rPr>
        <w:t xml:space="preserve">water </w:t>
      </w:r>
      <w:r>
        <w:t>sales,</w:t>
      </w:r>
      <w:r>
        <w:rPr>
          <w:spacing w:val="-6"/>
        </w:rPr>
        <w:t xml:space="preserve"> </w:t>
      </w:r>
      <w:r>
        <w:rPr>
          <w:spacing w:val="-1"/>
        </w:rPr>
        <w:t>water</w:t>
      </w:r>
      <w:r>
        <w:t xml:space="preserve"> and</w:t>
      </w:r>
      <w:r>
        <w:rPr>
          <w:spacing w:val="-1"/>
        </w:rPr>
        <w:t xml:space="preserve"> sewerage</w:t>
      </w:r>
      <w:r>
        <w:t xml:space="preserve"> customer numbers,</w:t>
      </w:r>
      <w:r>
        <w:rPr>
          <w:spacing w:val="-7"/>
        </w:rPr>
        <w:t xml:space="preserve"> </w:t>
      </w:r>
      <w:r>
        <w:rPr>
          <w:spacing w:val="-1"/>
        </w:rPr>
        <w:t>fixture</w:t>
      </w:r>
      <w:r>
        <w:t xml:space="preserve"> numbers,</w:t>
      </w:r>
      <w:r>
        <w:rPr>
          <w:spacing w:val="-6"/>
        </w:rPr>
        <w:t xml:space="preserve"> </w:t>
      </w:r>
      <w:r>
        <w:t>dam</w:t>
      </w:r>
      <w:r>
        <w:rPr>
          <w:spacing w:val="-1"/>
        </w:rPr>
        <w:t xml:space="preserve"> releases</w:t>
      </w:r>
      <w:r>
        <w:t xml:space="preserve"> and</w:t>
      </w:r>
      <w:r>
        <w:rPr>
          <w:spacing w:val="33"/>
        </w:rPr>
        <w:t xml:space="preserve"> </w:t>
      </w:r>
      <w:r>
        <w:rPr>
          <w:spacing w:val="-1"/>
        </w:rPr>
        <w:t>sewerage</w:t>
      </w:r>
      <w:r>
        <w:rPr>
          <w:spacing w:val="-2"/>
        </w:rPr>
        <w:t xml:space="preserve"> </w:t>
      </w:r>
      <w:r>
        <w:t>volumes</w:t>
      </w:r>
      <w:r>
        <w:rPr>
          <w:spacing w:val="-1"/>
        </w:rPr>
        <w:t xml:space="preserve"> </w:t>
      </w:r>
      <w:r>
        <w:t>in</w:t>
      </w:r>
      <w:r>
        <w:rPr>
          <w:spacing w:val="-1"/>
        </w:rPr>
        <w:t xml:space="preserve"> </w:t>
      </w:r>
      <w:r>
        <w:t>the</w:t>
      </w:r>
      <w:r>
        <w:rPr>
          <w:spacing w:val="-2"/>
        </w:rPr>
        <w:t xml:space="preserve"> </w:t>
      </w:r>
      <w:r>
        <w:rPr>
          <w:spacing w:val="-1"/>
        </w:rPr>
        <w:t xml:space="preserve">previous </w:t>
      </w:r>
      <w:r>
        <w:t>financial</w:t>
      </w:r>
      <w:r>
        <w:rPr>
          <w:spacing w:val="-1"/>
        </w:rPr>
        <w:t xml:space="preserve"> </w:t>
      </w:r>
      <w:r>
        <w:rPr>
          <w:spacing w:val="-3"/>
        </w:rPr>
        <w:t>year.</w:t>
      </w:r>
    </w:p>
    <w:p w:rsidR="00D96B91" w:rsidRDefault="00C2656B">
      <w:pPr>
        <w:pStyle w:val="BodyText"/>
        <w:spacing w:before="85" w:line="260" w:lineRule="exact"/>
        <w:ind w:right="1283"/>
      </w:pPr>
      <w:r>
        <w:t xml:space="preserve">On the </w:t>
      </w:r>
      <w:r>
        <w:rPr>
          <w:spacing w:val="-1"/>
        </w:rPr>
        <w:t>latter</w:t>
      </w:r>
      <w:r>
        <w:t xml:space="preserve"> of</w:t>
      </w:r>
      <w:r>
        <w:rPr>
          <w:spacing w:val="4"/>
        </w:rPr>
        <w:t xml:space="preserve"> </w:t>
      </w:r>
      <w:r>
        <w:t>these suggestions,</w:t>
      </w:r>
      <w:r>
        <w:rPr>
          <w:spacing w:val="-7"/>
        </w:rPr>
        <w:t xml:space="preserve"> </w:t>
      </w:r>
      <w:r>
        <w:t xml:space="preserve">the </w:t>
      </w:r>
      <w:r>
        <w:rPr>
          <w:spacing w:val="-3"/>
        </w:rPr>
        <w:t>Panel</w:t>
      </w:r>
      <w:r>
        <w:t xml:space="preserve"> is seeking feedback </w:t>
      </w:r>
      <w:r>
        <w:rPr>
          <w:spacing w:val="-1"/>
        </w:rPr>
        <w:t>from</w:t>
      </w:r>
      <w:r>
        <w:t xml:space="preserve"> </w:t>
      </w:r>
      <w:r>
        <w:rPr>
          <w:spacing w:val="-1"/>
        </w:rPr>
        <w:t>stakeholders</w:t>
      </w:r>
      <w:r>
        <w:t xml:space="preserve"> on whether the</w:t>
      </w:r>
      <w:r>
        <w:rPr>
          <w:spacing w:val="25"/>
        </w:rPr>
        <w:t xml:space="preserve"> </w:t>
      </w:r>
      <w:r>
        <w:rPr>
          <w:spacing w:val="-1"/>
        </w:rPr>
        <w:t>reporting</w:t>
      </w:r>
      <w:r>
        <w:t xml:space="preserve"> </w:t>
      </w:r>
      <w:r>
        <w:rPr>
          <w:spacing w:val="-1"/>
        </w:rPr>
        <w:t>requirement</w:t>
      </w:r>
      <w:r>
        <w:t xml:space="preserve"> needs to sit within the price </w:t>
      </w:r>
      <w:r>
        <w:rPr>
          <w:spacing w:val="-1"/>
        </w:rPr>
        <w:t>direction,</w:t>
      </w:r>
      <w:r>
        <w:rPr>
          <w:spacing w:val="-6"/>
        </w:rPr>
        <w:t xml:space="preserve"> </w:t>
      </w:r>
      <w:r>
        <w:t>or if</w:t>
      </w:r>
      <w:r>
        <w:rPr>
          <w:spacing w:val="4"/>
        </w:rPr>
        <w:t xml:space="preserve"> </w:t>
      </w:r>
      <w:r>
        <w:t>the ICRC can otherwise obtain this</w:t>
      </w:r>
      <w:r>
        <w:rPr>
          <w:spacing w:val="23"/>
        </w:rPr>
        <w:t xml:space="preserve"> </w:t>
      </w:r>
      <w:r>
        <w:rPr>
          <w:spacing w:val="-1"/>
        </w:rPr>
        <w:t>information</w:t>
      </w:r>
      <w:r>
        <w:t xml:space="preserve"> </w:t>
      </w:r>
      <w:r>
        <w:rPr>
          <w:spacing w:val="-1"/>
        </w:rPr>
        <w:t>from</w:t>
      </w:r>
      <w:r>
        <w:rPr>
          <w:spacing w:val="-4"/>
        </w:rPr>
        <w:t xml:space="preserve"> </w:t>
      </w:r>
      <w:r>
        <w:rPr>
          <w:spacing w:val="-2"/>
        </w:rPr>
        <w:t>ACTEW</w:t>
      </w:r>
      <w:r>
        <w:rPr>
          <w:spacing w:val="-3"/>
        </w:rPr>
        <w:t xml:space="preserve"> </w:t>
      </w:r>
      <w:r>
        <w:rPr>
          <w:spacing w:val="-1"/>
        </w:rPr>
        <w:t>through</w:t>
      </w:r>
      <w:r>
        <w:t xml:space="preserve"> its </w:t>
      </w:r>
      <w:r>
        <w:rPr>
          <w:spacing w:val="-1"/>
        </w:rPr>
        <w:t>information</w:t>
      </w:r>
      <w:r>
        <w:t xml:space="preserve"> </w:t>
      </w:r>
      <w:r>
        <w:rPr>
          <w:spacing w:val="-1"/>
        </w:rPr>
        <w:t>gathering</w:t>
      </w:r>
      <w:r>
        <w:t xml:space="preserve"> powers.</w:t>
      </w:r>
    </w:p>
    <w:p w:rsidR="00D96B91" w:rsidRDefault="00D96B91">
      <w:pPr>
        <w:spacing w:line="260" w:lineRule="exact"/>
        <w:sectPr w:rsidR="00D96B91">
          <w:footerReference w:type="even" r:id="rId139"/>
          <w:footerReference w:type="default" r:id="rId140"/>
          <w:pgSz w:w="11910" w:h="16840"/>
          <w:pgMar w:top="1260" w:right="0" w:bottom="1020" w:left="0" w:header="0" w:footer="829" w:gutter="0"/>
          <w:pgNumType w:start="185"/>
          <w:cols w:space="720"/>
        </w:sectPr>
      </w:pPr>
    </w:p>
    <w:p w:rsidR="00D96B91" w:rsidRDefault="00C2656B">
      <w:pPr>
        <w:tabs>
          <w:tab w:val="left" w:pos="4127"/>
        </w:tabs>
        <w:spacing w:line="516" w:lineRule="exact"/>
        <w:ind w:left="1247"/>
        <w:rPr>
          <w:rFonts w:ascii="Avenir Next Medium" w:eastAsia="Avenir Next Medium" w:hAnsi="Avenir Next Medium" w:cs="Avenir Next Medium"/>
          <w:sz w:val="40"/>
          <w:szCs w:val="40"/>
        </w:rPr>
      </w:pPr>
      <w:bookmarkStart w:id="243" w:name="Appendix_11_References"/>
      <w:bookmarkStart w:id="244" w:name="_bookmark155"/>
      <w:bookmarkEnd w:id="243"/>
      <w:bookmarkEnd w:id="244"/>
      <w:r>
        <w:rPr>
          <w:rFonts w:ascii="Avenir Next Medium"/>
          <w:color w:val="0778BE"/>
          <w:sz w:val="40"/>
        </w:rPr>
        <w:t>Appendix 11</w:t>
      </w:r>
      <w:r>
        <w:rPr>
          <w:rFonts w:ascii="Avenir Next Medium"/>
          <w:color w:val="0778BE"/>
          <w:sz w:val="40"/>
        </w:rPr>
        <w:tab/>
      </w:r>
      <w:r>
        <w:rPr>
          <w:rFonts w:ascii="Avenir Next Medium"/>
          <w:color w:val="0778BE"/>
          <w:spacing w:val="-2"/>
          <w:sz w:val="40"/>
        </w:rPr>
        <w:t>References</w:t>
      </w:r>
    </w:p>
    <w:p w:rsidR="00D96B91" w:rsidRDefault="00D96B91">
      <w:pPr>
        <w:spacing w:before="12"/>
        <w:rPr>
          <w:rFonts w:ascii="Avenir Next Medium" w:eastAsia="Avenir Next Medium" w:hAnsi="Avenir Next Medium" w:cs="Avenir Next Medium"/>
          <w:sz w:val="26"/>
          <w:szCs w:val="26"/>
        </w:rPr>
      </w:pPr>
    </w:p>
    <w:p w:rsidR="00D96B91" w:rsidRDefault="00C2656B">
      <w:pPr>
        <w:ind w:left="1247"/>
        <w:rPr>
          <w:rFonts w:ascii="Avenir Next" w:eastAsia="Avenir Next" w:hAnsi="Avenir Next" w:cs="Avenir Next"/>
          <w:sz w:val="20"/>
          <w:szCs w:val="20"/>
        </w:rPr>
      </w:pPr>
      <w:r>
        <w:rPr>
          <w:rFonts w:ascii="Avenir Next"/>
          <w:spacing w:val="-7"/>
          <w:sz w:val="20"/>
        </w:rPr>
        <w:t>ACAT,</w:t>
      </w:r>
      <w:r>
        <w:rPr>
          <w:rFonts w:ascii="Avenir Next"/>
          <w:spacing w:val="-6"/>
          <w:sz w:val="20"/>
        </w:rPr>
        <w:t xml:space="preserve"> </w:t>
      </w:r>
      <w:r>
        <w:rPr>
          <w:rFonts w:ascii="Avenir Next"/>
          <w:i/>
          <w:spacing w:val="-1"/>
          <w:sz w:val="20"/>
        </w:rPr>
        <w:t>Hardship</w:t>
      </w:r>
      <w:r>
        <w:rPr>
          <w:rFonts w:ascii="Avenir Next"/>
          <w:i/>
          <w:sz w:val="20"/>
        </w:rPr>
        <w:t xml:space="preserve"> </w:t>
      </w:r>
      <w:r>
        <w:rPr>
          <w:rFonts w:ascii="Avenir Next"/>
          <w:i/>
          <w:spacing w:val="-1"/>
          <w:sz w:val="20"/>
        </w:rPr>
        <w:t>applications</w:t>
      </w:r>
      <w:r>
        <w:rPr>
          <w:rFonts w:ascii="Avenir Next"/>
          <w:spacing w:val="-1"/>
          <w:sz w:val="20"/>
        </w:rPr>
        <w:t>,</w:t>
      </w:r>
      <w:r>
        <w:rPr>
          <w:rFonts w:ascii="Avenir Next"/>
          <w:spacing w:val="-6"/>
          <w:sz w:val="20"/>
        </w:rPr>
        <w:t xml:space="preserve"> </w:t>
      </w:r>
      <w:r>
        <w:rPr>
          <w:rFonts w:ascii="Avenir Next"/>
          <w:sz w:val="20"/>
        </w:rPr>
        <w:t>17 September 2014.</w:t>
      </w:r>
    </w:p>
    <w:p w:rsidR="00D96B91" w:rsidRDefault="00C2656B">
      <w:pPr>
        <w:spacing w:before="157" w:line="377" w:lineRule="auto"/>
        <w:ind w:left="1247" w:right="2545"/>
        <w:rPr>
          <w:rFonts w:ascii="Avenir Next" w:eastAsia="Avenir Next" w:hAnsi="Avenir Next" w:cs="Avenir Next"/>
          <w:sz w:val="20"/>
          <w:szCs w:val="20"/>
        </w:rPr>
      </w:pPr>
      <w:r>
        <w:rPr>
          <w:rFonts w:ascii="Avenir Next" w:eastAsia="Avenir Next" w:hAnsi="Avenir Next" w:cs="Avenir Next"/>
          <w:spacing w:val="-2"/>
          <w:sz w:val="20"/>
          <w:szCs w:val="20"/>
        </w:rPr>
        <w:t>ACCC,</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decision on </w:t>
      </w:r>
      <w:r>
        <w:rPr>
          <w:rFonts w:ascii="Avenir Next" w:eastAsia="Avenir Next" w:hAnsi="Avenir Next" w:cs="Avenir Next"/>
          <w:i/>
          <w:spacing w:val="-1"/>
          <w:sz w:val="20"/>
          <w:szCs w:val="20"/>
        </w:rPr>
        <w:t>State</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pricing </w:t>
      </w:r>
      <w:r>
        <w:rPr>
          <w:rFonts w:ascii="Avenir Next" w:eastAsia="Avenir Next" w:hAnsi="Avenir Next" w:cs="Avenir Next"/>
          <w:i/>
          <w:spacing w:val="-1"/>
          <w:sz w:val="20"/>
          <w:szCs w:val="20"/>
        </w:rPr>
        <w:t>application:</w:t>
      </w:r>
      <w:r>
        <w:rPr>
          <w:rFonts w:ascii="Avenir Next" w:eastAsia="Avenir Next" w:hAnsi="Avenir Next" w:cs="Avenir Next"/>
          <w:i/>
          <w:sz w:val="20"/>
          <w:szCs w:val="20"/>
        </w:rPr>
        <w:t xml:space="preserve"> 2014-15 – 2016-17</w:t>
      </w:r>
      <w:r>
        <w:rPr>
          <w:rFonts w:ascii="Avenir Next" w:eastAsia="Avenir Next" w:hAnsi="Avenir Next" w:cs="Avenir Next"/>
          <w:sz w:val="20"/>
          <w:szCs w:val="20"/>
        </w:rPr>
        <w:t>,</w:t>
      </w:r>
      <w:r>
        <w:rPr>
          <w:rFonts w:ascii="Avenir Next" w:eastAsia="Avenir Next" w:hAnsi="Avenir Next" w:cs="Avenir Next"/>
          <w:spacing w:val="-9"/>
          <w:sz w:val="20"/>
          <w:szCs w:val="20"/>
        </w:rPr>
        <w:t xml:space="preserve"> </w:t>
      </w:r>
      <w:r>
        <w:rPr>
          <w:rFonts w:ascii="Avenir Next" w:eastAsia="Avenir Next" w:hAnsi="Avenir Next" w:cs="Avenir Next"/>
          <w:sz w:val="20"/>
          <w:szCs w:val="20"/>
        </w:rPr>
        <w:t>June 2014.</w:t>
      </w:r>
      <w:r>
        <w:rPr>
          <w:rFonts w:ascii="Avenir Next" w:eastAsia="Avenir Next" w:hAnsi="Avenir Next" w:cs="Avenir Next"/>
          <w:spacing w:val="33"/>
          <w:sz w:val="20"/>
          <w:szCs w:val="20"/>
        </w:rPr>
        <w:t xml:space="preserve"> </w:t>
      </w:r>
      <w:r>
        <w:rPr>
          <w:rFonts w:ascii="Avenir Next" w:eastAsia="Avenir Next" w:hAnsi="Avenir Next" w:cs="Avenir Next"/>
          <w:spacing w:val="-2"/>
          <w:sz w:val="20"/>
          <w:szCs w:val="20"/>
        </w:rPr>
        <w:t>ACT</w:t>
      </w:r>
      <w:r>
        <w:rPr>
          <w:rFonts w:ascii="Avenir Next" w:eastAsia="Avenir Next" w:hAnsi="Avenir Next" w:cs="Avenir Next"/>
          <w:spacing w:val="-5"/>
          <w:sz w:val="20"/>
          <w:szCs w:val="20"/>
        </w:rPr>
        <w:t xml:space="preserve"> </w:t>
      </w:r>
      <w:r>
        <w:rPr>
          <w:rFonts w:ascii="Avenir Next" w:eastAsia="Avenir Next" w:hAnsi="Avenir Next" w:cs="Avenir Next"/>
          <w:sz w:val="20"/>
          <w:szCs w:val="20"/>
        </w:rPr>
        <w:t>Government,</w:t>
      </w:r>
      <w:r>
        <w:rPr>
          <w:rFonts w:ascii="Avenir Next" w:eastAsia="Avenir Next" w:hAnsi="Avenir Next" w:cs="Avenir Next"/>
          <w:spacing w:val="-6"/>
          <w:sz w:val="20"/>
          <w:szCs w:val="20"/>
        </w:rPr>
        <w:t xml:space="preserve"> </w:t>
      </w:r>
      <w:r>
        <w:rPr>
          <w:rFonts w:ascii="Avenir Next" w:eastAsia="Avenir Next" w:hAnsi="Avenir Next" w:cs="Avenir Next"/>
          <w:i/>
          <w:spacing w:val="-2"/>
          <w:sz w:val="20"/>
          <w:szCs w:val="20"/>
        </w:rPr>
        <w:t>ACT</w:t>
      </w:r>
      <w:r>
        <w:rPr>
          <w:rFonts w:ascii="Avenir Next" w:eastAsia="Avenir Next" w:hAnsi="Avenir Next" w:cs="Avenir Next"/>
          <w:i/>
          <w:spacing w:val="-8"/>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Strategy</w:t>
      </w:r>
      <w:r>
        <w:rPr>
          <w:rFonts w:ascii="Avenir Next" w:eastAsia="Avenir Next" w:hAnsi="Avenir Next" w:cs="Avenir Next"/>
          <w:i/>
          <w:sz w:val="20"/>
          <w:szCs w:val="20"/>
        </w:rPr>
        <w:t xml:space="preserve"> 2014-44,</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Striking</w:t>
      </w:r>
      <w:r>
        <w:rPr>
          <w:rFonts w:ascii="Avenir Next" w:eastAsia="Avenir Next" w:hAnsi="Avenir Next" w:cs="Avenir Next"/>
          <w:i/>
          <w:sz w:val="20"/>
          <w:szCs w:val="20"/>
        </w:rPr>
        <w:t xml:space="preserve"> the Balance</w:t>
      </w:r>
      <w:r>
        <w:rPr>
          <w:rFonts w:ascii="Avenir Next" w:eastAsia="Avenir Next" w:hAnsi="Avenir Next" w:cs="Avenir Next"/>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z w:val="20"/>
          <w:szCs w:val="20"/>
        </w:rPr>
        <w:t>August 2014.</w:t>
      </w:r>
    </w:p>
    <w:p w:rsidR="00D96B91" w:rsidRDefault="00C2656B">
      <w:pPr>
        <w:spacing w:line="377" w:lineRule="auto"/>
        <w:ind w:left="1247" w:right="5191"/>
        <w:rPr>
          <w:rFonts w:ascii="Avenir Next" w:eastAsia="Avenir Next" w:hAnsi="Avenir Next" w:cs="Avenir Next"/>
          <w:sz w:val="20"/>
          <w:szCs w:val="20"/>
        </w:rPr>
      </w:pPr>
      <w:r>
        <w:rPr>
          <w:rFonts w:ascii="Avenir Next"/>
          <w:spacing w:val="-2"/>
          <w:sz w:val="20"/>
        </w:rPr>
        <w:t>ACT</w:t>
      </w:r>
      <w:r>
        <w:rPr>
          <w:rFonts w:ascii="Avenir Next"/>
          <w:spacing w:val="-10"/>
          <w:sz w:val="20"/>
        </w:rPr>
        <w:t xml:space="preserve"> </w:t>
      </w:r>
      <w:r>
        <w:rPr>
          <w:rFonts w:ascii="Avenir Next"/>
          <w:spacing w:val="-4"/>
          <w:sz w:val="20"/>
        </w:rPr>
        <w:t>Treasurer,</w:t>
      </w:r>
      <w:r>
        <w:rPr>
          <w:rFonts w:ascii="Avenir Next"/>
          <w:spacing w:val="-6"/>
          <w:sz w:val="20"/>
        </w:rPr>
        <w:t xml:space="preserve"> </w:t>
      </w:r>
      <w:r>
        <w:rPr>
          <w:rFonts w:ascii="Avenir Next"/>
          <w:i/>
          <w:spacing w:val="-4"/>
          <w:sz w:val="20"/>
        </w:rPr>
        <w:t>Terms</w:t>
      </w:r>
      <w:r>
        <w:rPr>
          <w:rFonts w:ascii="Avenir Next"/>
          <w:i/>
          <w:sz w:val="20"/>
        </w:rPr>
        <w:t xml:space="preserve"> of</w:t>
      </w:r>
      <w:r>
        <w:rPr>
          <w:rFonts w:ascii="Avenir Next"/>
          <w:i/>
          <w:spacing w:val="4"/>
          <w:sz w:val="20"/>
        </w:rPr>
        <w:t xml:space="preserve"> </w:t>
      </w:r>
      <w:r>
        <w:rPr>
          <w:rFonts w:ascii="Avenir Next"/>
          <w:i/>
          <w:spacing w:val="-1"/>
          <w:sz w:val="20"/>
        </w:rPr>
        <w:t>reference</w:t>
      </w:r>
      <w:r>
        <w:rPr>
          <w:rFonts w:ascii="Avenir Next"/>
          <w:spacing w:val="-1"/>
          <w:sz w:val="20"/>
        </w:rPr>
        <w:t>,</w:t>
      </w:r>
      <w:r>
        <w:rPr>
          <w:rFonts w:ascii="Avenir Next"/>
          <w:spacing w:val="-6"/>
          <w:sz w:val="20"/>
        </w:rPr>
        <w:t xml:space="preserve"> </w:t>
      </w:r>
      <w:r>
        <w:rPr>
          <w:rFonts w:ascii="Avenir Next"/>
          <w:sz w:val="20"/>
        </w:rPr>
        <w:t>13 October 2011.</w:t>
      </w:r>
      <w:r>
        <w:rPr>
          <w:rFonts w:ascii="Avenir Next"/>
          <w:spacing w:val="27"/>
          <w:sz w:val="20"/>
        </w:rPr>
        <w:t xml:space="preserve"> </w:t>
      </w:r>
      <w:r>
        <w:rPr>
          <w:rFonts w:ascii="Avenir Next"/>
          <w:spacing w:val="-4"/>
          <w:sz w:val="20"/>
        </w:rPr>
        <w:t>ACTEW,</w:t>
      </w:r>
      <w:r>
        <w:rPr>
          <w:rFonts w:ascii="Avenir Next"/>
          <w:spacing w:val="-6"/>
          <w:sz w:val="20"/>
        </w:rPr>
        <w:t xml:space="preserve"> </w:t>
      </w:r>
      <w:r>
        <w:rPr>
          <w:rFonts w:ascii="Avenir Next"/>
          <w:i/>
          <w:spacing w:val="-2"/>
          <w:sz w:val="20"/>
        </w:rPr>
        <w:t>Future</w:t>
      </w:r>
      <w:r>
        <w:rPr>
          <w:rFonts w:ascii="Avenir Next"/>
          <w:i/>
          <w:spacing w:val="-3"/>
          <w:sz w:val="20"/>
        </w:rPr>
        <w:t xml:space="preserve"> </w:t>
      </w:r>
      <w:r>
        <w:rPr>
          <w:rFonts w:ascii="Avenir Next"/>
          <w:i/>
          <w:spacing w:val="-2"/>
          <w:sz w:val="20"/>
        </w:rPr>
        <w:t>Water</w:t>
      </w:r>
      <w:r>
        <w:rPr>
          <w:rFonts w:ascii="Avenir Next"/>
          <w:i/>
          <w:sz w:val="20"/>
        </w:rPr>
        <w:t xml:space="preserve"> Options</w:t>
      </w:r>
      <w:r>
        <w:rPr>
          <w:rFonts w:ascii="Avenir Next"/>
          <w:sz w:val="20"/>
        </w:rPr>
        <w:t>,</w:t>
      </w:r>
      <w:r>
        <w:rPr>
          <w:rFonts w:ascii="Avenir Next"/>
          <w:spacing w:val="-9"/>
          <w:sz w:val="20"/>
        </w:rPr>
        <w:t xml:space="preserve"> </w:t>
      </w:r>
      <w:r>
        <w:rPr>
          <w:rFonts w:ascii="Avenir Next"/>
          <w:sz w:val="20"/>
        </w:rPr>
        <w:t>July 2007.</w:t>
      </w:r>
    </w:p>
    <w:p w:rsidR="00D96B91" w:rsidRDefault="00C2656B">
      <w:pPr>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2"/>
          <w:sz w:val="20"/>
        </w:rPr>
        <w:t>Water</w:t>
      </w:r>
      <w:r>
        <w:rPr>
          <w:rFonts w:ascii="Avenir Next"/>
          <w:i/>
          <w:sz w:val="20"/>
        </w:rPr>
        <w:t xml:space="preserve"> Security for the</w:t>
      </w:r>
      <w:r>
        <w:rPr>
          <w:rFonts w:ascii="Avenir Next"/>
          <w:i/>
          <w:spacing w:val="-4"/>
          <w:sz w:val="20"/>
        </w:rPr>
        <w:t xml:space="preserve"> </w:t>
      </w:r>
      <w:r>
        <w:rPr>
          <w:rFonts w:ascii="Avenir Next"/>
          <w:i/>
          <w:spacing w:val="-2"/>
          <w:sz w:val="20"/>
        </w:rPr>
        <w:t>ACT</w:t>
      </w:r>
      <w:r>
        <w:rPr>
          <w:rFonts w:ascii="Avenir Next"/>
          <w:i/>
          <w:spacing w:val="-5"/>
          <w:sz w:val="20"/>
        </w:rPr>
        <w:t xml:space="preserve"> </w:t>
      </w:r>
      <w:r>
        <w:rPr>
          <w:rFonts w:ascii="Avenir Next"/>
          <w:i/>
          <w:sz w:val="20"/>
        </w:rPr>
        <w:t xml:space="preserve">and </w:t>
      </w:r>
      <w:r>
        <w:rPr>
          <w:rFonts w:ascii="Avenir Next"/>
          <w:i/>
          <w:spacing w:val="-1"/>
          <w:sz w:val="20"/>
        </w:rPr>
        <w:t>Region</w:t>
      </w:r>
      <w:r>
        <w:rPr>
          <w:rFonts w:ascii="Avenir Next"/>
          <w:spacing w:val="-1"/>
          <w:sz w:val="20"/>
        </w:rPr>
        <w:t>,</w:t>
      </w:r>
      <w:r>
        <w:rPr>
          <w:rFonts w:ascii="Avenir Next"/>
          <w:spacing w:val="-9"/>
          <w:sz w:val="20"/>
        </w:rPr>
        <w:t xml:space="preserve"> </w:t>
      </w:r>
      <w:r>
        <w:rPr>
          <w:rFonts w:ascii="Avenir Next"/>
          <w:spacing w:val="-2"/>
          <w:sz w:val="20"/>
        </w:rPr>
        <w:t>July,</w:t>
      </w:r>
      <w:r>
        <w:rPr>
          <w:rFonts w:ascii="Avenir Next"/>
          <w:spacing w:val="-6"/>
          <w:sz w:val="20"/>
        </w:rPr>
        <w:t xml:space="preserve"> </w:t>
      </w:r>
      <w:r>
        <w:rPr>
          <w:rFonts w:ascii="Avenir Next"/>
          <w:sz w:val="20"/>
        </w:rPr>
        <w:t>2007.</w:t>
      </w:r>
    </w:p>
    <w:p w:rsidR="00D96B91" w:rsidRDefault="00C2656B">
      <w:pPr>
        <w:spacing w:before="157" w:line="377" w:lineRule="auto"/>
        <w:ind w:left="1247" w:right="1548"/>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z w:val="20"/>
        </w:rPr>
        <w:t xml:space="preserve">Main submission to the Independent </w:t>
      </w:r>
      <w:r>
        <w:rPr>
          <w:rFonts w:ascii="Avenir Next"/>
          <w:i/>
          <w:spacing w:val="-1"/>
          <w:sz w:val="20"/>
        </w:rPr>
        <w:t>Competition</w:t>
      </w:r>
      <w:r>
        <w:rPr>
          <w:rFonts w:ascii="Avenir Next"/>
          <w:i/>
          <w:sz w:val="20"/>
        </w:rPr>
        <w:t xml:space="preserve"> and </w:t>
      </w:r>
      <w:r>
        <w:rPr>
          <w:rFonts w:ascii="Avenir Next"/>
          <w:i/>
          <w:spacing w:val="-1"/>
          <w:sz w:val="20"/>
        </w:rPr>
        <w:t>Regulatory</w:t>
      </w:r>
      <w:r>
        <w:rPr>
          <w:rFonts w:ascii="Avenir Next"/>
          <w:i/>
          <w:sz w:val="20"/>
        </w:rPr>
        <w:t xml:space="preserve"> </w:t>
      </w:r>
      <w:r>
        <w:rPr>
          <w:rFonts w:ascii="Avenir Next"/>
          <w:i/>
          <w:spacing w:val="-1"/>
          <w:sz w:val="20"/>
        </w:rPr>
        <w:t>Commission</w:t>
      </w:r>
      <w:r>
        <w:rPr>
          <w:rFonts w:ascii="Avenir Next"/>
          <w:spacing w:val="-1"/>
          <w:sz w:val="20"/>
        </w:rPr>
        <w:t>,</w:t>
      </w:r>
      <w:r>
        <w:rPr>
          <w:rFonts w:ascii="Avenir Next"/>
          <w:spacing w:val="-9"/>
          <w:sz w:val="20"/>
        </w:rPr>
        <w:t xml:space="preserve"> </w:t>
      </w:r>
      <w:r>
        <w:rPr>
          <w:rFonts w:ascii="Avenir Next"/>
          <w:sz w:val="20"/>
        </w:rPr>
        <w:t>July 2012.</w:t>
      </w:r>
      <w:r>
        <w:rPr>
          <w:rFonts w:ascii="Avenir Next"/>
          <w:spacing w:val="51"/>
          <w:sz w:val="20"/>
        </w:rPr>
        <w:t xml:space="preserve"> </w:t>
      </w:r>
      <w:r>
        <w:rPr>
          <w:rFonts w:ascii="Avenir Next"/>
          <w:spacing w:val="-4"/>
          <w:sz w:val="20"/>
        </w:rPr>
        <w:t>ACTEW,</w:t>
      </w:r>
      <w:r>
        <w:rPr>
          <w:rFonts w:ascii="Avenir Next"/>
          <w:spacing w:val="-6"/>
          <w:sz w:val="20"/>
        </w:rPr>
        <w:t xml:space="preserve"> </w:t>
      </w:r>
      <w:r>
        <w:rPr>
          <w:rFonts w:ascii="Avenir Next"/>
          <w:i/>
          <w:spacing w:val="-1"/>
          <w:sz w:val="20"/>
        </w:rPr>
        <w:t>Response</w:t>
      </w:r>
      <w:r>
        <w:rPr>
          <w:rFonts w:ascii="Avenir Next"/>
          <w:i/>
          <w:sz w:val="20"/>
        </w:rPr>
        <w:t xml:space="preserve"> to the </w:t>
      </w:r>
      <w:r>
        <w:rPr>
          <w:rFonts w:ascii="Avenir Next"/>
          <w:i/>
          <w:spacing w:val="-2"/>
          <w:sz w:val="20"/>
        </w:rPr>
        <w:t>Draft</w:t>
      </w:r>
      <w:r>
        <w:rPr>
          <w:rFonts w:ascii="Avenir Next"/>
          <w:i/>
          <w:sz w:val="20"/>
        </w:rPr>
        <w:t xml:space="preserve"> </w:t>
      </w:r>
      <w:r>
        <w:rPr>
          <w:rFonts w:ascii="Avenir Next"/>
          <w:i/>
          <w:spacing w:val="-1"/>
          <w:sz w:val="20"/>
        </w:rPr>
        <w:t>Report</w:t>
      </w:r>
      <w:r>
        <w:rPr>
          <w:rFonts w:ascii="Avenir Next"/>
          <w:i/>
          <w:sz w:val="20"/>
        </w:rPr>
        <w:t xml:space="preserve"> </w:t>
      </w:r>
      <w:r>
        <w:rPr>
          <w:rFonts w:ascii="Avenir Next"/>
          <w:i/>
          <w:spacing w:val="-1"/>
          <w:sz w:val="20"/>
        </w:rPr>
        <w:t>Regulated</w:t>
      </w:r>
      <w:r>
        <w:rPr>
          <w:rFonts w:ascii="Avenir Next"/>
          <w:i/>
          <w:spacing w:val="-3"/>
          <w:sz w:val="20"/>
        </w:rPr>
        <w:t xml:space="preserve"> </w:t>
      </w:r>
      <w:r>
        <w:rPr>
          <w:rFonts w:ascii="Avenir Next"/>
          <w:i/>
          <w:spacing w:val="-2"/>
          <w:sz w:val="20"/>
        </w:rPr>
        <w:t>Water</w:t>
      </w:r>
      <w:r>
        <w:rPr>
          <w:rFonts w:ascii="Avenir Next"/>
          <w:i/>
          <w:sz w:val="20"/>
        </w:rPr>
        <w:t xml:space="preserve"> and </w:t>
      </w:r>
      <w:r>
        <w:rPr>
          <w:rFonts w:ascii="Avenir Next"/>
          <w:i/>
          <w:spacing w:val="-1"/>
          <w:sz w:val="20"/>
        </w:rPr>
        <w:t>Sewerage</w:t>
      </w:r>
      <w:r>
        <w:rPr>
          <w:rFonts w:ascii="Avenir Next"/>
          <w:i/>
          <w:sz w:val="20"/>
        </w:rPr>
        <w:t xml:space="preserve"> Services</w:t>
      </w:r>
      <w:r>
        <w:rPr>
          <w:rFonts w:ascii="Avenir Next"/>
          <w:sz w:val="20"/>
        </w:rPr>
        <w:t>,</w:t>
      </w:r>
      <w:r>
        <w:rPr>
          <w:rFonts w:ascii="Avenir Next"/>
          <w:spacing w:val="-6"/>
          <w:sz w:val="20"/>
        </w:rPr>
        <w:t xml:space="preserve"> </w:t>
      </w:r>
      <w:r>
        <w:rPr>
          <w:rFonts w:ascii="Avenir Next"/>
          <w:sz w:val="20"/>
        </w:rPr>
        <w:t>12</w:t>
      </w:r>
      <w:r>
        <w:rPr>
          <w:rFonts w:ascii="Avenir Next"/>
          <w:spacing w:val="-4"/>
          <w:sz w:val="20"/>
        </w:rPr>
        <w:t xml:space="preserve"> </w:t>
      </w:r>
      <w:r>
        <w:rPr>
          <w:rFonts w:ascii="Avenir Next"/>
          <w:sz w:val="20"/>
        </w:rPr>
        <w:t>April 2013.</w:t>
      </w:r>
    </w:p>
    <w:p w:rsidR="00D96B91" w:rsidRDefault="00C2656B">
      <w:pPr>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1"/>
          <w:sz w:val="20"/>
        </w:rPr>
        <w:t>Application</w:t>
      </w:r>
      <w:r>
        <w:rPr>
          <w:rFonts w:ascii="Avenir Next"/>
          <w:i/>
          <w:sz w:val="20"/>
        </w:rPr>
        <w:t xml:space="preserve"> for </w:t>
      </w:r>
      <w:r>
        <w:rPr>
          <w:rFonts w:ascii="Avenir Next"/>
          <w:i/>
          <w:spacing w:val="-1"/>
          <w:sz w:val="20"/>
        </w:rPr>
        <w:t>Review</w:t>
      </w:r>
      <w:r>
        <w:rPr>
          <w:rFonts w:ascii="Avenir Next"/>
          <w:spacing w:val="-1"/>
          <w:sz w:val="20"/>
        </w:rPr>
        <w:t>,</w:t>
      </w:r>
      <w:r>
        <w:rPr>
          <w:rFonts w:ascii="Avenir Next"/>
          <w:spacing w:val="-6"/>
          <w:sz w:val="20"/>
        </w:rPr>
        <w:t xml:space="preserve"> </w:t>
      </w:r>
      <w:r>
        <w:rPr>
          <w:rFonts w:ascii="Avenir Next"/>
          <w:sz w:val="20"/>
        </w:rPr>
        <w:t>26 September 2013.</w:t>
      </w:r>
    </w:p>
    <w:p w:rsidR="00D96B91" w:rsidRDefault="00C2656B">
      <w:pPr>
        <w:spacing w:before="157" w:line="377" w:lineRule="auto"/>
        <w:ind w:left="1247" w:right="2010"/>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1"/>
          <w:sz w:val="20"/>
        </w:rPr>
        <w:t>Statement</w:t>
      </w:r>
      <w:r>
        <w:rPr>
          <w:rFonts w:ascii="Avenir Next"/>
          <w:i/>
          <w:sz w:val="20"/>
        </w:rPr>
        <w:t xml:space="preserve"> of</w:t>
      </w:r>
      <w:r>
        <w:rPr>
          <w:rFonts w:ascii="Avenir Next"/>
          <w:i/>
          <w:spacing w:val="4"/>
          <w:sz w:val="20"/>
        </w:rPr>
        <w:t xml:space="preserve"> </w:t>
      </w:r>
      <w:r>
        <w:rPr>
          <w:rFonts w:ascii="Avenir Next"/>
          <w:i/>
          <w:spacing w:val="-2"/>
          <w:sz w:val="20"/>
        </w:rPr>
        <w:t>Facts</w:t>
      </w:r>
      <w:r>
        <w:rPr>
          <w:rFonts w:ascii="Avenir Next"/>
          <w:i/>
          <w:sz w:val="20"/>
        </w:rPr>
        <w:t xml:space="preserve"> and </w:t>
      </w:r>
      <w:r>
        <w:rPr>
          <w:rFonts w:ascii="Avenir Next"/>
          <w:i/>
          <w:spacing w:val="-1"/>
          <w:sz w:val="20"/>
        </w:rPr>
        <w:t>Contentions</w:t>
      </w:r>
      <w:r>
        <w:rPr>
          <w:rFonts w:ascii="Avenir Next"/>
          <w:i/>
          <w:sz w:val="20"/>
        </w:rPr>
        <w:t xml:space="preserve"> and </w:t>
      </w:r>
      <w:r>
        <w:rPr>
          <w:rFonts w:ascii="Avenir Next"/>
          <w:i/>
          <w:spacing w:val="-1"/>
          <w:sz w:val="20"/>
        </w:rPr>
        <w:t>spreadsheet</w:t>
      </w:r>
      <w:r>
        <w:rPr>
          <w:rFonts w:ascii="Avenir Next"/>
          <w:i/>
          <w:sz w:val="20"/>
        </w:rPr>
        <w:t xml:space="preserve"> </w:t>
      </w:r>
      <w:r>
        <w:rPr>
          <w:rFonts w:ascii="Avenir Next"/>
          <w:i/>
          <w:spacing w:val="-1"/>
          <w:sz w:val="20"/>
        </w:rPr>
        <w:t>attachments</w:t>
      </w:r>
      <w:r>
        <w:rPr>
          <w:rFonts w:ascii="Avenir Next"/>
          <w:spacing w:val="-1"/>
          <w:sz w:val="20"/>
        </w:rPr>
        <w:t>,</w:t>
      </w:r>
      <w:r>
        <w:rPr>
          <w:rFonts w:ascii="Avenir Next"/>
          <w:spacing w:val="-6"/>
          <w:sz w:val="20"/>
        </w:rPr>
        <w:t xml:space="preserve"> </w:t>
      </w:r>
      <w:r>
        <w:rPr>
          <w:rFonts w:ascii="Avenir Next"/>
          <w:sz w:val="20"/>
        </w:rPr>
        <w:t>31</w:t>
      </w:r>
      <w:r>
        <w:rPr>
          <w:rFonts w:ascii="Avenir Next"/>
          <w:spacing w:val="-3"/>
          <w:sz w:val="20"/>
        </w:rPr>
        <w:t xml:space="preserve"> </w:t>
      </w:r>
      <w:r>
        <w:rPr>
          <w:rFonts w:ascii="Avenir Next"/>
          <w:sz w:val="20"/>
        </w:rPr>
        <w:t>July 2014.</w:t>
      </w:r>
      <w:r>
        <w:rPr>
          <w:rFonts w:ascii="Avenir Next"/>
          <w:spacing w:val="57"/>
          <w:sz w:val="20"/>
        </w:rPr>
        <w:t xml:space="preserve"> </w:t>
      </w:r>
      <w:r>
        <w:rPr>
          <w:rFonts w:ascii="Avenir Next"/>
          <w:spacing w:val="-4"/>
          <w:sz w:val="20"/>
        </w:rPr>
        <w:t>ACTEW,</w:t>
      </w:r>
      <w:r>
        <w:rPr>
          <w:rFonts w:ascii="Avenir Next"/>
          <w:spacing w:val="-6"/>
          <w:sz w:val="20"/>
        </w:rPr>
        <w:t xml:space="preserve"> </w:t>
      </w:r>
      <w:r>
        <w:rPr>
          <w:rFonts w:ascii="Avenir Next"/>
          <w:i/>
          <w:spacing w:val="-1"/>
          <w:sz w:val="20"/>
        </w:rPr>
        <w:t>Information</w:t>
      </w:r>
      <w:r>
        <w:rPr>
          <w:rFonts w:ascii="Avenir Next"/>
          <w:i/>
          <w:sz w:val="20"/>
        </w:rPr>
        <w:t xml:space="preserve"> </w:t>
      </w:r>
      <w:r>
        <w:rPr>
          <w:rFonts w:ascii="Avenir Next"/>
          <w:i/>
          <w:spacing w:val="-1"/>
          <w:sz w:val="20"/>
        </w:rPr>
        <w:t>return:</w:t>
      </w:r>
      <w:r>
        <w:rPr>
          <w:rFonts w:ascii="Avenir Next"/>
          <w:i/>
          <w:sz w:val="20"/>
        </w:rPr>
        <w:t xml:space="preserve"> demand </w:t>
      </w:r>
      <w:r>
        <w:rPr>
          <w:rFonts w:ascii="Avenir Next"/>
          <w:i/>
          <w:spacing w:val="-1"/>
          <w:sz w:val="20"/>
        </w:rPr>
        <w:t>forecasts</w:t>
      </w:r>
      <w:r>
        <w:rPr>
          <w:rFonts w:ascii="Avenir Next"/>
          <w:spacing w:val="-1"/>
          <w:sz w:val="20"/>
        </w:rPr>
        <w:t>,</w:t>
      </w:r>
      <w:r>
        <w:rPr>
          <w:rFonts w:ascii="Avenir Next"/>
          <w:spacing w:val="-6"/>
          <w:sz w:val="20"/>
        </w:rPr>
        <w:t xml:space="preserve"> </w:t>
      </w:r>
      <w:r>
        <w:rPr>
          <w:rFonts w:ascii="Avenir Next"/>
          <w:sz w:val="20"/>
        </w:rPr>
        <w:t>15</w:t>
      </w:r>
      <w:r>
        <w:rPr>
          <w:rFonts w:ascii="Avenir Next"/>
          <w:spacing w:val="-4"/>
          <w:sz w:val="20"/>
        </w:rPr>
        <w:t xml:space="preserve"> </w:t>
      </w:r>
      <w:r>
        <w:rPr>
          <w:rFonts w:ascii="Avenir Next"/>
          <w:sz w:val="20"/>
        </w:rPr>
        <w:t>August 2014.</w:t>
      </w:r>
    </w:p>
    <w:p w:rsidR="00D96B91" w:rsidRDefault="00C2656B">
      <w:pPr>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1"/>
          <w:sz w:val="20"/>
        </w:rPr>
        <w:t>Information</w:t>
      </w:r>
      <w:r>
        <w:rPr>
          <w:rFonts w:ascii="Avenir Next"/>
          <w:i/>
          <w:sz w:val="20"/>
        </w:rPr>
        <w:t xml:space="preserve"> </w:t>
      </w:r>
      <w:r>
        <w:rPr>
          <w:rFonts w:ascii="Avenir Next"/>
          <w:i/>
          <w:spacing w:val="-1"/>
          <w:sz w:val="20"/>
        </w:rPr>
        <w:t>return:</w:t>
      </w:r>
      <w:r>
        <w:rPr>
          <w:rFonts w:ascii="Avenir Next"/>
          <w:i/>
          <w:sz w:val="20"/>
        </w:rPr>
        <w:t xml:space="preserve"> </w:t>
      </w:r>
      <w:r>
        <w:rPr>
          <w:rFonts w:ascii="Avenir Next"/>
          <w:i/>
          <w:spacing w:val="-1"/>
          <w:sz w:val="20"/>
        </w:rPr>
        <w:t>linkages</w:t>
      </w:r>
      <w:r>
        <w:rPr>
          <w:rFonts w:ascii="Avenir Next"/>
          <w:i/>
          <w:sz w:val="20"/>
        </w:rPr>
        <w:t xml:space="preserve"> between demand and cost</w:t>
      </w:r>
      <w:r>
        <w:rPr>
          <w:rFonts w:ascii="Avenir Next"/>
          <w:sz w:val="20"/>
        </w:rPr>
        <w:t>,</w:t>
      </w:r>
      <w:r>
        <w:rPr>
          <w:rFonts w:ascii="Avenir Next"/>
          <w:spacing w:val="-6"/>
          <w:sz w:val="20"/>
        </w:rPr>
        <w:t xml:space="preserve"> </w:t>
      </w:r>
      <w:r>
        <w:rPr>
          <w:rFonts w:ascii="Avenir Next"/>
          <w:sz w:val="20"/>
        </w:rPr>
        <w:t>22</w:t>
      </w:r>
      <w:r>
        <w:rPr>
          <w:rFonts w:ascii="Avenir Next"/>
          <w:spacing w:val="-4"/>
          <w:sz w:val="20"/>
        </w:rPr>
        <w:t xml:space="preserve"> </w:t>
      </w:r>
      <w:r>
        <w:rPr>
          <w:rFonts w:ascii="Avenir Next"/>
          <w:sz w:val="20"/>
        </w:rPr>
        <w:t>August 2014.</w:t>
      </w:r>
    </w:p>
    <w:p w:rsidR="00D96B91" w:rsidRDefault="00C2656B">
      <w:pPr>
        <w:spacing w:line="430" w:lineRule="atLeast"/>
        <w:ind w:left="1247" w:right="1283"/>
        <w:rPr>
          <w:rFonts w:ascii="Avenir Next" w:eastAsia="Avenir Next" w:hAnsi="Avenir Next" w:cs="Avenir Next"/>
          <w:sz w:val="20"/>
          <w:szCs w:val="20"/>
        </w:rPr>
      </w:pPr>
      <w:r>
        <w:rPr>
          <w:rFonts w:ascii="Avenir Next" w:eastAsia="Avenir Next" w:hAnsi="Avenir Next" w:cs="Avenir Next"/>
          <w:spacing w:val="-5"/>
          <w:sz w:val="20"/>
          <w:szCs w:val="20"/>
        </w:rPr>
        <w:t>ACTEW,</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Response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Industry</w:t>
      </w:r>
      <w:r>
        <w:rPr>
          <w:rFonts w:ascii="Avenir Next" w:eastAsia="Avenir Next" w:hAnsi="Avenir Next" w:cs="Avenir Next"/>
          <w:i/>
          <w:spacing w:val="-4"/>
          <w:sz w:val="20"/>
          <w:szCs w:val="20"/>
        </w:rPr>
        <w:t xml:space="preserve"> </w:t>
      </w:r>
      <w:r>
        <w:rPr>
          <w:rFonts w:ascii="Avenir Next" w:eastAsia="Avenir Next" w:hAnsi="Avenir Next" w:cs="Avenir Next"/>
          <w:i/>
          <w:spacing w:val="-5"/>
          <w:sz w:val="20"/>
          <w:szCs w:val="20"/>
        </w:rPr>
        <w:t>Panel’s</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request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for</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further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information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Question</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1</w:t>
      </w:r>
      <w:r>
        <w:rPr>
          <w:rFonts w:ascii="Avenir Next" w:eastAsia="Avenir Next" w:hAnsi="Avenir Next" w:cs="Avenir Next"/>
          <w:spacing w:val="-1"/>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z w:val="20"/>
          <w:szCs w:val="20"/>
        </w:rPr>
        <w:t>9</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September</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2014.</w:t>
      </w:r>
      <w:r>
        <w:rPr>
          <w:rFonts w:ascii="Avenir Next" w:eastAsia="Avenir Next" w:hAnsi="Avenir Next" w:cs="Avenir Next"/>
          <w:spacing w:val="60"/>
          <w:sz w:val="20"/>
          <w:szCs w:val="20"/>
        </w:rPr>
        <w:t xml:space="preserve"> </w:t>
      </w:r>
      <w:r>
        <w:rPr>
          <w:rFonts w:ascii="Avenir Next" w:eastAsia="Avenir Next" w:hAnsi="Avenir Next" w:cs="Avenir Next"/>
          <w:spacing w:val="-5"/>
          <w:sz w:val="20"/>
          <w:szCs w:val="20"/>
        </w:rPr>
        <w:t>ACTEW,</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Response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Industry</w:t>
      </w:r>
      <w:r>
        <w:rPr>
          <w:rFonts w:ascii="Avenir Next" w:eastAsia="Avenir Next" w:hAnsi="Avenir Next" w:cs="Avenir Next"/>
          <w:i/>
          <w:spacing w:val="-4"/>
          <w:sz w:val="20"/>
          <w:szCs w:val="20"/>
        </w:rPr>
        <w:t xml:space="preserve"> </w:t>
      </w:r>
      <w:r>
        <w:rPr>
          <w:rFonts w:ascii="Avenir Next" w:eastAsia="Avenir Next" w:hAnsi="Avenir Next" w:cs="Avenir Next"/>
          <w:i/>
          <w:spacing w:val="-5"/>
          <w:sz w:val="20"/>
          <w:szCs w:val="20"/>
        </w:rPr>
        <w:t>Panel’s</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request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for</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further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information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Question</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2</w:t>
      </w:r>
      <w:r>
        <w:rPr>
          <w:rFonts w:ascii="Avenir Next" w:eastAsia="Avenir Next" w:hAnsi="Avenir Next" w:cs="Avenir Next"/>
          <w:spacing w:val="-1"/>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pacing w:val="-1"/>
          <w:sz w:val="20"/>
          <w:szCs w:val="20"/>
        </w:rPr>
        <w:t>19</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September</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2014.</w:t>
      </w:r>
      <w:r>
        <w:rPr>
          <w:rFonts w:ascii="Avenir Next" w:eastAsia="Avenir Next" w:hAnsi="Avenir Next" w:cs="Avenir Next"/>
          <w:spacing w:val="60"/>
          <w:sz w:val="20"/>
          <w:szCs w:val="20"/>
        </w:rPr>
        <w:t xml:space="preserve"> </w:t>
      </w:r>
      <w:r>
        <w:rPr>
          <w:rFonts w:ascii="Avenir Next" w:eastAsia="Avenir Next" w:hAnsi="Avenir Next" w:cs="Avenir Next"/>
          <w:spacing w:val="-4"/>
          <w:sz w:val="20"/>
          <w:szCs w:val="20"/>
        </w:rPr>
        <w:t>ACTEW,</w:t>
      </w:r>
      <w:r>
        <w:rPr>
          <w:rFonts w:ascii="Avenir Next" w:eastAsia="Avenir Next" w:hAnsi="Avenir Next" w:cs="Avenir Next"/>
          <w:spacing w:val="-7"/>
          <w:sz w:val="20"/>
          <w:szCs w:val="20"/>
        </w:rPr>
        <w:t xml:space="preserve"> </w:t>
      </w:r>
      <w:r>
        <w:rPr>
          <w:rFonts w:ascii="Avenir Next" w:eastAsia="Avenir Next" w:hAnsi="Avenir Next" w:cs="Avenir Next"/>
          <w:i/>
          <w:spacing w:val="-1"/>
          <w:sz w:val="20"/>
          <w:szCs w:val="20"/>
        </w:rPr>
        <w:t xml:space="preserve">Confidential Response </w:t>
      </w:r>
      <w:r>
        <w:rPr>
          <w:rFonts w:ascii="Avenir Next" w:eastAsia="Avenir Next" w:hAnsi="Avenir Next" w:cs="Avenir Next"/>
          <w:i/>
          <w:sz w:val="20"/>
          <w:szCs w:val="20"/>
        </w:rPr>
        <w:t>to the</w:t>
      </w:r>
      <w:r>
        <w:rPr>
          <w:rFonts w:ascii="Avenir Next" w:eastAsia="Avenir Next" w:hAnsi="Avenir Next" w:cs="Avenir Next"/>
          <w:i/>
          <w:spacing w:val="-1"/>
          <w:sz w:val="20"/>
          <w:szCs w:val="20"/>
        </w:rPr>
        <w:t xml:space="preserve"> </w:t>
      </w:r>
      <w:r>
        <w:rPr>
          <w:rFonts w:ascii="Avenir Next" w:eastAsia="Avenir Next" w:hAnsi="Avenir Next" w:cs="Avenir Next"/>
          <w:i/>
          <w:sz w:val="20"/>
          <w:szCs w:val="20"/>
        </w:rPr>
        <w:t>Industry</w:t>
      </w:r>
      <w:r>
        <w:rPr>
          <w:rFonts w:ascii="Avenir Next" w:eastAsia="Avenir Next" w:hAnsi="Avenir Next" w:cs="Avenir Next"/>
          <w:i/>
          <w:spacing w:val="-1"/>
          <w:sz w:val="20"/>
          <w:szCs w:val="20"/>
        </w:rPr>
        <w:t xml:space="preserve"> </w:t>
      </w:r>
      <w:r>
        <w:rPr>
          <w:rFonts w:ascii="Avenir Next" w:eastAsia="Avenir Next" w:hAnsi="Avenir Next" w:cs="Avenir Next"/>
          <w:i/>
          <w:spacing w:val="-4"/>
          <w:sz w:val="20"/>
          <w:szCs w:val="20"/>
        </w:rPr>
        <w:t>Panel’s</w:t>
      </w:r>
      <w:r>
        <w:rPr>
          <w:rFonts w:ascii="Avenir Next" w:eastAsia="Avenir Next" w:hAnsi="Avenir Next" w:cs="Avenir Next"/>
          <w:i/>
          <w:spacing w:val="-1"/>
          <w:sz w:val="20"/>
          <w:szCs w:val="20"/>
        </w:rPr>
        <w:t xml:space="preserve"> request</w:t>
      </w:r>
      <w:r>
        <w:rPr>
          <w:rFonts w:ascii="Avenir Next" w:eastAsia="Avenir Next" w:hAnsi="Avenir Next" w:cs="Avenir Next"/>
          <w:i/>
          <w:sz w:val="20"/>
          <w:szCs w:val="20"/>
        </w:rPr>
        <w:t xml:space="preserve"> for</w:t>
      </w:r>
      <w:r>
        <w:rPr>
          <w:rFonts w:ascii="Avenir Next" w:eastAsia="Avenir Next" w:hAnsi="Avenir Next" w:cs="Avenir Next"/>
          <w:i/>
          <w:spacing w:val="-1"/>
          <w:sz w:val="20"/>
          <w:szCs w:val="20"/>
        </w:rPr>
        <w:t xml:space="preserve"> further information </w:t>
      </w:r>
      <w:r>
        <w:rPr>
          <w:rFonts w:ascii="Avenir Next" w:eastAsia="Avenir Next" w:hAnsi="Avenir Next" w:cs="Avenir Next"/>
          <w:i/>
          <w:sz w:val="20"/>
          <w:szCs w:val="20"/>
        </w:rPr>
        <w:t>– Question</w:t>
      </w:r>
      <w:r>
        <w:rPr>
          <w:rFonts w:ascii="Avenir Next" w:eastAsia="Avenir Next" w:hAnsi="Avenir Next" w:cs="Avenir Next"/>
          <w:i/>
          <w:spacing w:val="-1"/>
          <w:sz w:val="20"/>
          <w:szCs w:val="20"/>
        </w:rPr>
        <w:t xml:space="preserve"> </w:t>
      </w:r>
      <w:r>
        <w:rPr>
          <w:rFonts w:ascii="Avenir Next" w:eastAsia="Avenir Next" w:hAnsi="Avenir Next" w:cs="Avenir Next"/>
          <w:i/>
          <w:sz w:val="20"/>
          <w:szCs w:val="20"/>
        </w:rPr>
        <w:t>3</w:t>
      </w:r>
      <w:r>
        <w:rPr>
          <w:rFonts w:ascii="Avenir Next" w:eastAsia="Avenir Next" w:hAnsi="Avenir Next" w:cs="Avenir Next"/>
          <w:sz w:val="20"/>
          <w:szCs w:val="20"/>
        </w:rPr>
        <w:t>,</w:t>
      </w:r>
    </w:p>
    <w:p w:rsidR="00D96B91" w:rsidRDefault="00C2656B">
      <w:pPr>
        <w:pStyle w:val="BodyText"/>
        <w:spacing w:line="260" w:lineRule="exact"/>
      </w:pPr>
      <w:r>
        <w:t>28</w:t>
      </w:r>
      <w:r>
        <w:rPr>
          <w:spacing w:val="-4"/>
        </w:rPr>
        <w:t xml:space="preserve"> </w:t>
      </w:r>
      <w:r>
        <w:t>August 2014.</w:t>
      </w:r>
    </w:p>
    <w:p w:rsidR="00D96B91" w:rsidRDefault="00C2656B">
      <w:pPr>
        <w:spacing w:before="149" w:line="260" w:lineRule="exact"/>
        <w:ind w:left="1247" w:right="1845"/>
        <w:rPr>
          <w:rFonts w:ascii="Avenir Next" w:eastAsia="Avenir Next" w:hAnsi="Avenir Next" w:cs="Avenir Next"/>
          <w:sz w:val="20"/>
          <w:szCs w:val="20"/>
        </w:rPr>
      </w:pPr>
      <w:r>
        <w:rPr>
          <w:rFonts w:ascii="Avenir Next" w:eastAsia="Avenir Next" w:hAnsi="Avenir Next" w:cs="Avenir Next"/>
          <w:spacing w:val="-4"/>
          <w:sz w:val="20"/>
          <w:szCs w:val="20"/>
        </w:rPr>
        <w:t>ACTEW,</w:t>
      </w:r>
      <w:r>
        <w:rPr>
          <w:rFonts w:ascii="Avenir Next" w:eastAsia="Avenir Next" w:hAnsi="Avenir Next" w:cs="Avenir Next"/>
          <w:spacing w:val="-7"/>
          <w:sz w:val="20"/>
          <w:szCs w:val="20"/>
        </w:rPr>
        <w:t xml:space="preserve"> </w:t>
      </w:r>
      <w:r>
        <w:rPr>
          <w:rFonts w:ascii="Avenir Next" w:eastAsia="Avenir Next" w:hAnsi="Avenir Next" w:cs="Avenir Next"/>
          <w:i/>
          <w:spacing w:val="-1"/>
          <w:sz w:val="20"/>
          <w:szCs w:val="20"/>
        </w:rPr>
        <w:t xml:space="preserve">Confidential Response </w:t>
      </w:r>
      <w:r>
        <w:rPr>
          <w:rFonts w:ascii="Avenir Next" w:eastAsia="Avenir Next" w:hAnsi="Avenir Next" w:cs="Avenir Next"/>
          <w:i/>
          <w:sz w:val="20"/>
          <w:szCs w:val="20"/>
        </w:rPr>
        <w:t>to the</w:t>
      </w:r>
      <w:r>
        <w:rPr>
          <w:rFonts w:ascii="Avenir Next" w:eastAsia="Avenir Next" w:hAnsi="Avenir Next" w:cs="Avenir Next"/>
          <w:i/>
          <w:spacing w:val="-1"/>
          <w:sz w:val="20"/>
          <w:szCs w:val="20"/>
        </w:rPr>
        <w:t xml:space="preserve"> </w:t>
      </w:r>
      <w:r>
        <w:rPr>
          <w:rFonts w:ascii="Avenir Next" w:eastAsia="Avenir Next" w:hAnsi="Avenir Next" w:cs="Avenir Next"/>
          <w:i/>
          <w:sz w:val="20"/>
          <w:szCs w:val="20"/>
        </w:rPr>
        <w:t>Industry</w:t>
      </w:r>
      <w:r>
        <w:rPr>
          <w:rFonts w:ascii="Avenir Next" w:eastAsia="Avenir Next" w:hAnsi="Avenir Next" w:cs="Avenir Next"/>
          <w:i/>
          <w:spacing w:val="-1"/>
          <w:sz w:val="20"/>
          <w:szCs w:val="20"/>
        </w:rPr>
        <w:t xml:space="preserve"> </w:t>
      </w:r>
      <w:r>
        <w:rPr>
          <w:rFonts w:ascii="Avenir Next" w:eastAsia="Avenir Next" w:hAnsi="Avenir Next" w:cs="Avenir Next"/>
          <w:i/>
          <w:spacing w:val="-4"/>
          <w:sz w:val="20"/>
          <w:szCs w:val="20"/>
        </w:rPr>
        <w:t>Panel’s</w:t>
      </w:r>
      <w:r>
        <w:rPr>
          <w:rFonts w:ascii="Avenir Next" w:eastAsia="Avenir Next" w:hAnsi="Avenir Next" w:cs="Avenir Next"/>
          <w:i/>
          <w:spacing w:val="-1"/>
          <w:sz w:val="20"/>
          <w:szCs w:val="20"/>
        </w:rPr>
        <w:t xml:space="preserve"> request</w:t>
      </w:r>
      <w:r>
        <w:rPr>
          <w:rFonts w:ascii="Avenir Next" w:eastAsia="Avenir Next" w:hAnsi="Avenir Next" w:cs="Avenir Next"/>
          <w:i/>
          <w:sz w:val="20"/>
          <w:szCs w:val="20"/>
        </w:rPr>
        <w:t xml:space="preserve"> for</w:t>
      </w:r>
      <w:r>
        <w:rPr>
          <w:rFonts w:ascii="Avenir Next" w:eastAsia="Avenir Next" w:hAnsi="Avenir Next" w:cs="Avenir Next"/>
          <w:i/>
          <w:spacing w:val="-1"/>
          <w:sz w:val="20"/>
          <w:szCs w:val="20"/>
        </w:rPr>
        <w:t xml:space="preserve"> further information </w:t>
      </w:r>
      <w:r>
        <w:rPr>
          <w:rFonts w:ascii="Avenir Next" w:eastAsia="Avenir Next" w:hAnsi="Avenir Next" w:cs="Avenir Next"/>
          <w:i/>
          <w:sz w:val="20"/>
          <w:szCs w:val="20"/>
        </w:rPr>
        <w:t>– Question</w:t>
      </w:r>
      <w:r>
        <w:rPr>
          <w:rFonts w:ascii="Avenir Next" w:eastAsia="Avenir Next" w:hAnsi="Avenir Next" w:cs="Avenir Next"/>
          <w:i/>
          <w:spacing w:val="-1"/>
          <w:sz w:val="20"/>
          <w:szCs w:val="20"/>
        </w:rPr>
        <w:t xml:space="preserve"> </w:t>
      </w:r>
      <w:r>
        <w:rPr>
          <w:rFonts w:ascii="Avenir Next" w:eastAsia="Avenir Next" w:hAnsi="Avenir Next" w:cs="Avenir Next"/>
          <w:i/>
          <w:sz w:val="20"/>
          <w:szCs w:val="20"/>
        </w:rPr>
        <w:t>4</w:t>
      </w:r>
      <w:r>
        <w:rPr>
          <w:rFonts w:ascii="Avenir Next" w:eastAsia="Avenir Next" w:hAnsi="Avenir Next" w:cs="Avenir Next"/>
          <w:sz w:val="20"/>
          <w:szCs w:val="20"/>
        </w:rPr>
        <w:t>,</w:t>
      </w:r>
      <w:r>
        <w:rPr>
          <w:rFonts w:ascii="Avenir Next" w:eastAsia="Avenir Next" w:hAnsi="Avenir Next" w:cs="Avenir Next"/>
          <w:spacing w:val="81"/>
          <w:sz w:val="20"/>
          <w:szCs w:val="20"/>
        </w:rPr>
        <w:t xml:space="preserve"> </w:t>
      </w:r>
      <w:r>
        <w:rPr>
          <w:rFonts w:ascii="Avenir Next" w:eastAsia="Avenir Next" w:hAnsi="Avenir Next" w:cs="Avenir Next"/>
          <w:sz w:val="20"/>
          <w:szCs w:val="20"/>
        </w:rPr>
        <w:t>16 September 2014.</w:t>
      </w:r>
    </w:p>
    <w:p w:rsidR="00D96B91" w:rsidRDefault="00C2656B">
      <w:pPr>
        <w:spacing w:before="178" w:line="377" w:lineRule="auto"/>
        <w:ind w:left="1247" w:right="1283"/>
        <w:rPr>
          <w:rFonts w:ascii="Avenir Next" w:eastAsia="Avenir Next" w:hAnsi="Avenir Next" w:cs="Avenir Next"/>
          <w:sz w:val="20"/>
          <w:szCs w:val="20"/>
        </w:rPr>
      </w:pPr>
      <w:r>
        <w:rPr>
          <w:rFonts w:ascii="Avenir Next" w:eastAsia="Avenir Next" w:hAnsi="Avenir Next" w:cs="Avenir Next"/>
          <w:spacing w:val="-5"/>
          <w:sz w:val="20"/>
          <w:szCs w:val="20"/>
        </w:rPr>
        <w:t>ACTEW,</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Response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Industry</w:t>
      </w:r>
      <w:r>
        <w:rPr>
          <w:rFonts w:ascii="Avenir Next" w:eastAsia="Avenir Next" w:hAnsi="Avenir Next" w:cs="Avenir Next"/>
          <w:i/>
          <w:spacing w:val="-4"/>
          <w:sz w:val="20"/>
          <w:szCs w:val="20"/>
        </w:rPr>
        <w:t xml:space="preserve"> </w:t>
      </w:r>
      <w:r>
        <w:rPr>
          <w:rFonts w:ascii="Avenir Next" w:eastAsia="Avenir Next" w:hAnsi="Avenir Next" w:cs="Avenir Next"/>
          <w:i/>
          <w:spacing w:val="-5"/>
          <w:sz w:val="20"/>
          <w:szCs w:val="20"/>
        </w:rPr>
        <w:t>Panel’s</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request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for</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further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information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Question</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5</w:t>
      </w:r>
      <w:r>
        <w:rPr>
          <w:rFonts w:ascii="Avenir Next" w:eastAsia="Avenir Next" w:hAnsi="Avenir Next" w:cs="Avenir Next"/>
          <w:spacing w:val="-1"/>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pacing w:val="-1"/>
          <w:sz w:val="20"/>
          <w:szCs w:val="20"/>
        </w:rPr>
        <w:t>15</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September</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2014.</w:t>
      </w:r>
      <w:r>
        <w:rPr>
          <w:rFonts w:ascii="Avenir Next" w:eastAsia="Avenir Next" w:hAnsi="Avenir Next" w:cs="Avenir Next"/>
          <w:spacing w:val="60"/>
          <w:sz w:val="20"/>
          <w:szCs w:val="20"/>
        </w:rPr>
        <w:t xml:space="preserve"> </w:t>
      </w:r>
      <w:r>
        <w:rPr>
          <w:rFonts w:ascii="Avenir Next" w:eastAsia="Avenir Next" w:hAnsi="Avenir Next" w:cs="Avenir Next"/>
          <w:spacing w:val="-5"/>
          <w:sz w:val="20"/>
          <w:szCs w:val="20"/>
        </w:rPr>
        <w:t>ACTEW,</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Response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Industry</w:t>
      </w:r>
      <w:r>
        <w:rPr>
          <w:rFonts w:ascii="Avenir Next" w:eastAsia="Avenir Next" w:hAnsi="Avenir Next" w:cs="Avenir Next"/>
          <w:i/>
          <w:spacing w:val="-4"/>
          <w:sz w:val="20"/>
          <w:szCs w:val="20"/>
        </w:rPr>
        <w:t xml:space="preserve"> </w:t>
      </w:r>
      <w:r>
        <w:rPr>
          <w:rFonts w:ascii="Avenir Next" w:eastAsia="Avenir Next" w:hAnsi="Avenir Next" w:cs="Avenir Next"/>
          <w:i/>
          <w:spacing w:val="-5"/>
          <w:sz w:val="20"/>
          <w:szCs w:val="20"/>
        </w:rPr>
        <w:t>Panel’s</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request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for</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further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information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Question</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6</w:t>
      </w:r>
      <w:r>
        <w:rPr>
          <w:rFonts w:ascii="Avenir Next" w:eastAsia="Avenir Next" w:hAnsi="Avenir Next" w:cs="Avenir Next"/>
          <w:spacing w:val="-1"/>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z w:val="20"/>
          <w:szCs w:val="20"/>
        </w:rPr>
        <w:t>9</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September</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2014.</w:t>
      </w:r>
      <w:r>
        <w:rPr>
          <w:rFonts w:ascii="Avenir Next" w:eastAsia="Avenir Next" w:hAnsi="Avenir Next" w:cs="Avenir Next"/>
          <w:spacing w:val="60"/>
          <w:sz w:val="20"/>
          <w:szCs w:val="20"/>
        </w:rPr>
        <w:t xml:space="preserve"> </w:t>
      </w:r>
      <w:r>
        <w:rPr>
          <w:rFonts w:ascii="Avenir Next" w:eastAsia="Avenir Next" w:hAnsi="Avenir Next" w:cs="Avenir Next"/>
          <w:spacing w:val="-5"/>
          <w:sz w:val="20"/>
          <w:szCs w:val="20"/>
        </w:rPr>
        <w:t>ACTEW,</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Response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Industry</w:t>
      </w:r>
      <w:r>
        <w:rPr>
          <w:rFonts w:ascii="Avenir Next" w:eastAsia="Avenir Next" w:hAnsi="Avenir Next" w:cs="Avenir Next"/>
          <w:i/>
          <w:spacing w:val="-4"/>
          <w:sz w:val="20"/>
          <w:szCs w:val="20"/>
        </w:rPr>
        <w:t xml:space="preserve"> </w:t>
      </w:r>
      <w:r>
        <w:rPr>
          <w:rFonts w:ascii="Avenir Next" w:eastAsia="Avenir Next" w:hAnsi="Avenir Next" w:cs="Avenir Next"/>
          <w:i/>
          <w:spacing w:val="-5"/>
          <w:sz w:val="20"/>
          <w:szCs w:val="20"/>
        </w:rPr>
        <w:t>Panel’s</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request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for</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further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information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Question</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7</w:t>
      </w:r>
      <w:r>
        <w:rPr>
          <w:rFonts w:ascii="Avenir Next" w:eastAsia="Avenir Next" w:hAnsi="Avenir Next" w:cs="Avenir Next"/>
          <w:spacing w:val="-1"/>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z w:val="20"/>
          <w:szCs w:val="20"/>
        </w:rPr>
        <w:t>9</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September</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2014.</w:t>
      </w:r>
      <w:r>
        <w:rPr>
          <w:rFonts w:ascii="Avenir Next" w:eastAsia="Avenir Next" w:hAnsi="Avenir Next" w:cs="Avenir Next"/>
          <w:spacing w:val="60"/>
          <w:sz w:val="20"/>
          <w:szCs w:val="20"/>
        </w:rPr>
        <w:t xml:space="preserve"> </w:t>
      </w:r>
      <w:r>
        <w:rPr>
          <w:rFonts w:ascii="Avenir Next" w:eastAsia="Avenir Next" w:hAnsi="Avenir Next" w:cs="Avenir Next"/>
          <w:spacing w:val="-4"/>
          <w:sz w:val="20"/>
          <w:szCs w:val="20"/>
        </w:rPr>
        <w:t>ACTEW,</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Response</w:t>
      </w:r>
      <w:r>
        <w:rPr>
          <w:rFonts w:ascii="Avenir Next" w:eastAsia="Avenir Next" w:hAnsi="Avenir Next" w:cs="Avenir Next"/>
          <w:i/>
          <w:sz w:val="20"/>
          <w:szCs w:val="20"/>
        </w:rPr>
        <w:t xml:space="preserve"> to </w:t>
      </w:r>
      <w:r>
        <w:rPr>
          <w:rFonts w:ascii="Avenir Next" w:eastAsia="Avenir Next" w:hAnsi="Avenir Next" w:cs="Avenir Next"/>
          <w:i/>
          <w:spacing w:val="-4"/>
          <w:sz w:val="20"/>
          <w:szCs w:val="20"/>
        </w:rPr>
        <w:t xml:space="preserve">Part </w:t>
      </w:r>
      <w:r>
        <w:rPr>
          <w:rFonts w:ascii="Avenir Next" w:eastAsia="Avenir Next" w:hAnsi="Avenir Next" w:cs="Avenir Next"/>
          <w:i/>
          <w:sz w:val="20"/>
          <w:szCs w:val="20"/>
        </w:rPr>
        <w:t>A</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Question 2</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10 September 2014.</w:t>
      </w:r>
    </w:p>
    <w:p w:rsidR="00D96B91" w:rsidRDefault="00C2656B">
      <w:pPr>
        <w:ind w:left="1247"/>
        <w:rPr>
          <w:rFonts w:ascii="Avenir Next" w:eastAsia="Avenir Next" w:hAnsi="Avenir Next" w:cs="Avenir Next"/>
          <w:sz w:val="20"/>
          <w:szCs w:val="20"/>
        </w:rPr>
      </w:pPr>
      <w:r>
        <w:rPr>
          <w:rFonts w:ascii="Avenir Next" w:eastAsia="Avenir Next" w:hAnsi="Avenir Next" w:cs="Avenir Next"/>
          <w:spacing w:val="-4"/>
          <w:sz w:val="20"/>
          <w:szCs w:val="20"/>
        </w:rPr>
        <w:t>ACTEW,</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Response</w:t>
      </w:r>
      <w:r>
        <w:rPr>
          <w:rFonts w:ascii="Avenir Next" w:eastAsia="Avenir Next" w:hAnsi="Avenir Next" w:cs="Avenir Next"/>
          <w:i/>
          <w:sz w:val="20"/>
          <w:szCs w:val="20"/>
        </w:rPr>
        <w:t xml:space="preserve"> to </w:t>
      </w:r>
      <w:r>
        <w:rPr>
          <w:rFonts w:ascii="Avenir Next" w:eastAsia="Avenir Next" w:hAnsi="Avenir Next" w:cs="Avenir Next"/>
          <w:i/>
          <w:spacing w:val="-4"/>
          <w:sz w:val="20"/>
          <w:szCs w:val="20"/>
        </w:rPr>
        <w:t xml:space="preserve">Part </w:t>
      </w:r>
      <w:r>
        <w:rPr>
          <w:rFonts w:ascii="Avenir Next" w:eastAsia="Avenir Next" w:hAnsi="Avenir Next" w:cs="Avenir Next"/>
          <w:i/>
          <w:sz w:val="20"/>
          <w:szCs w:val="20"/>
        </w:rPr>
        <w:t>A</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Question 3</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5 September 2014.</w:t>
      </w:r>
    </w:p>
    <w:p w:rsidR="00D96B91" w:rsidRDefault="00C2656B">
      <w:pPr>
        <w:spacing w:before="157"/>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1"/>
          <w:sz w:val="20"/>
        </w:rPr>
        <w:t>Attachment</w:t>
      </w:r>
      <w:r>
        <w:rPr>
          <w:rFonts w:ascii="Avenir Next"/>
          <w:i/>
          <w:spacing w:val="-4"/>
          <w:sz w:val="20"/>
        </w:rPr>
        <w:t xml:space="preserve"> </w:t>
      </w:r>
      <w:r>
        <w:rPr>
          <w:rFonts w:ascii="Avenir Next"/>
          <w:i/>
          <w:sz w:val="20"/>
        </w:rPr>
        <w:t xml:space="preserve">A3 </w:t>
      </w:r>
      <w:r>
        <w:rPr>
          <w:rFonts w:ascii="Avenir Next"/>
          <w:i/>
          <w:spacing w:val="-1"/>
          <w:sz w:val="20"/>
        </w:rPr>
        <w:t>Roll</w:t>
      </w:r>
      <w:r>
        <w:rPr>
          <w:rFonts w:ascii="Avenir Next"/>
          <w:i/>
          <w:sz w:val="20"/>
        </w:rPr>
        <w:t xml:space="preserve"> </w:t>
      </w:r>
      <w:r>
        <w:rPr>
          <w:rFonts w:ascii="Avenir Next"/>
          <w:i/>
          <w:spacing w:val="-2"/>
          <w:sz w:val="20"/>
        </w:rPr>
        <w:t>Forward</w:t>
      </w:r>
      <w:r>
        <w:rPr>
          <w:rFonts w:ascii="Avenir Next"/>
          <w:i/>
          <w:sz w:val="20"/>
        </w:rPr>
        <w:t xml:space="preserve"> Model_amended 29aug2014.xls</w:t>
      </w:r>
      <w:r>
        <w:rPr>
          <w:rFonts w:ascii="Avenir Next"/>
          <w:sz w:val="20"/>
        </w:rPr>
        <w:t>,</w:t>
      </w:r>
      <w:r>
        <w:rPr>
          <w:rFonts w:ascii="Avenir Next"/>
          <w:spacing w:val="-6"/>
          <w:sz w:val="20"/>
        </w:rPr>
        <w:t xml:space="preserve"> </w:t>
      </w:r>
      <w:r>
        <w:rPr>
          <w:rFonts w:ascii="Avenir Next"/>
          <w:sz w:val="20"/>
        </w:rPr>
        <w:t>2 September 2014.</w:t>
      </w:r>
    </w:p>
    <w:p w:rsidR="00D96B91" w:rsidRDefault="00C2656B">
      <w:pPr>
        <w:spacing w:before="149" w:line="260" w:lineRule="exact"/>
        <w:ind w:left="1247" w:right="1548"/>
        <w:rPr>
          <w:rFonts w:ascii="Avenir Next" w:eastAsia="Avenir Next" w:hAnsi="Avenir Next" w:cs="Avenir Next"/>
          <w:sz w:val="20"/>
          <w:szCs w:val="20"/>
        </w:rPr>
      </w:pPr>
      <w:r>
        <w:rPr>
          <w:rFonts w:ascii="Avenir Next"/>
          <w:spacing w:val="-4"/>
          <w:sz w:val="20"/>
        </w:rPr>
        <w:t>ACTEW,</w:t>
      </w:r>
      <w:r>
        <w:rPr>
          <w:rFonts w:ascii="Avenir Next"/>
          <w:spacing w:val="-7"/>
          <w:sz w:val="20"/>
        </w:rPr>
        <w:t xml:space="preserve"> </w:t>
      </w:r>
      <w:r>
        <w:rPr>
          <w:rFonts w:ascii="Avenir Next"/>
          <w:i/>
          <w:spacing w:val="-2"/>
          <w:sz w:val="20"/>
        </w:rPr>
        <w:t>Capex</w:t>
      </w:r>
      <w:r>
        <w:rPr>
          <w:rFonts w:ascii="Avenir Next"/>
          <w:i/>
          <w:spacing w:val="-1"/>
          <w:sz w:val="20"/>
        </w:rPr>
        <w:t xml:space="preserve"> </w:t>
      </w:r>
      <w:r>
        <w:rPr>
          <w:rFonts w:ascii="Avenir Next"/>
          <w:i/>
          <w:sz w:val="20"/>
        </w:rPr>
        <w:t>individual</w:t>
      </w:r>
      <w:r>
        <w:rPr>
          <w:rFonts w:ascii="Avenir Next"/>
          <w:i/>
          <w:spacing w:val="-1"/>
          <w:sz w:val="20"/>
        </w:rPr>
        <w:t xml:space="preserve"> projects </w:t>
      </w:r>
      <w:r>
        <w:rPr>
          <w:rFonts w:ascii="Avenir Next"/>
          <w:i/>
          <w:sz w:val="20"/>
        </w:rPr>
        <w:t>2013-18</w:t>
      </w:r>
      <w:r>
        <w:rPr>
          <w:rFonts w:ascii="Avenir Next"/>
          <w:i/>
          <w:spacing w:val="-1"/>
          <w:sz w:val="20"/>
        </w:rPr>
        <w:t xml:space="preserve"> </w:t>
      </w:r>
      <w:r>
        <w:rPr>
          <w:rFonts w:ascii="Avenir Next"/>
          <w:i/>
          <w:sz w:val="20"/>
        </w:rPr>
        <w:t>(w</w:t>
      </w:r>
      <w:r>
        <w:rPr>
          <w:rFonts w:ascii="Avenir Next"/>
          <w:i/>
          <w:spacing w:val="-1"/>
          <w:sz w:val="20"/>
        </w:rPr>
        <w:t xml:space="preserve"> escalation_including</w:t>
      </w:r>
      <w:r>
        <w:rPr>
          <w:rFonts w:ascii="Avenir Next"/>
          <w:i/>
          <w:sz w:val="20"/>
        </w:rPr>
        <w:t xml:space="preserve"> </w:t>
      </w:r>
      <w:r>
        <w:rPr>
          <w:rFonts w:ascii="Avenir Next"/>
          <w:i/>
          <w:spacing w:val="-1"/>
          <w:sz w:val="20"/>
        </w:rPr>
        <w:t xml:space="preserve">continuing_efficiency </w:t>
      </w:r>
      <w:r>
        <w:rPr>
          <w:rFonts w:ascii="Avenir Next"/>
          <w:i/>
          <w:sz w:val="20"/>
        </w:rPr>
        <w:t>factors.xlsx</w:t>
      </w:r>
      <w:r>
        <w:rPr>
          <w:rFonts w:ascii="Avenir Next"/>
          <w:sz w:val="20"/>
        </w:rPr>
        <w:t>,</w:t>
      </w:r>
      <w:r>
        <w:rPr>
          <w:rFonts w:ascii="Avenir Next"/>
          <w:spacing w:val="97"/>
          <w:sz w:val="20"/>
        </w:rPr>
        <w:t xml:space="preserve"> </w:t>
      </w:r>
      <w:r>
        <w:rPr>
          <w:rFonts w:ascii="Avenir Next"/>
          <w:sz w:val="20"/>
        </w:rPr>
        <w:t>15 September 2014.</w:t>
      </w:r>
    </w:p>
    <w:p w:rsidR="00D96B91" w:rsidRDefault="00C2656B">
      <w:pPr>
        <w:spacing w:before="170" w:line="260" w:lineRule="exact"/>
        <w:ind w:left="1247" w:right="1548"/>
        <w:rPr>
          <w:rFonts w:ascii="Avenir Next" w:eastAsia="Avenir Next" w:hAnsi="Avenir Next" w:cs="Avenir Next"/>
          <w:sz w:val="20"/>
          <w:szCs w:val="20"/>
        </w:rPr>
      </w:pPr>
      <w:r>
        <w:rPr>
          <w:rFonts w:ascii="Avenir Next" w:eastAsia="Avenir Next" w:hAnsi="Avenir Next" w:cs="Avenir Next"/>
          <w:spacing w:val="-4"/>
          <w:sz w:val="20"/>
          <w:szCs w:val="20"/>
        </w:rPr>
        <w:t>ACTEW,</w:t>
      </w:r>
      <w:r>
        <w:rPr>
          <w:rFonts w:ascii="Avenir Next" w:eastAsia="Avenir Next" w:hAnsi="Avenir Next" w:cs="Avenir Next"/>
          <w:spacing w:val="-8"/>
          <w:sz w:val="20"/>
          <w:szCs w:val="20"/>
        </w:rPr>
        <w:t xml:space="preserve"> </w:t>
      </w:r>
      <w:r>
        <w:rPr>
          <w:rFonts w:ascii="Avenir Next" w:eastAsia="Avenir Next" w:hAnsi="Avenir Next" w:cs="Avenir Next"/>
          <w:i/>
          <w:spacing w:val="-1"/>
          <w:sz w:val="20"/>
          <w:szCs w:val="20"/>
        </w:rPr>
        <w:t>Confidential</w:t>
      </w:r>
      <w:r>
        <w:rPr>
          <w:rFonts w:ascii="Avenir Next" w:eastAsia="Avenir Next" w:hAnsi="Avenir Next" w:cs="Avenir Next"/>
          <w:i/>
          <w:spacing w:val="-2"/>
          <w:sz w:val="20"/>
          <w:szCs w:val="20"/>
        </w:rPr>
        <w:t xml:space="preserve"> </w:t>
      </w:r>
      <w:r>
        <w:rPr>
          <w:rFonts w:ascii="Avenir Next" w:eastAsia="Avenir Next" w:hAnsi="Avenir Next" w:cs="Avenir Next"/>
          <w:i/>
          <w:spacing w:val="-1"/>
          <w:sz w:val="20"/>
          <w:szCs w:val="20"/>
        </w:rPr>
        <w:t>Response</w:t>
      </w:r>
      <w:r>
        <w:rPr>
          <w:rFonts w:ascii="Avenir Next" w:eastAsia="Avenir Next" w:hAnsi="Avenir Next" w:cs="Avenir Next"/>
          <w:i/>
          <w:spacing w:val="-3"/>
          <w:sz w:val="20"/>
          <w:szCs w:val="20"/>
        </w:rPr>
        <w:t xml:space="preserve"> </w:t>
      </w:r>
      <w:r>
        <w:rPr>
          <w:rFonts w:ascii="Avenir Next" w:eastAsia="Avenir Next" w:hAnsi="Avenir Next" w:cs="Avenir Next"/>
          <w:i/>
          <w:sz w:val="20"/>
          <w:szCs w:val="20"/>
        </w:rPr>
        <w:t>to</w:t>
      </w:r>
      <w:r>
        <w:rPr>
          <w:rFonts w:ascii="Avenir Next" w:eastAsia="Avenir Next" w:hAnsi="Avenir Next" w:cs="Avenir Next"/>
          <w:i/>
          <w:spacing w:val="-2"/>
          <w:sz w:val="20"/>
          <w:szCs w:val="20"/>
        </w:rPr>
        <w:t xml:space="preserve"> </w:t>
      </w:r>
      <w:r>
        <w:rPr>
          <w:rFonts w:ascii="Avenir Next" w:eastAsia="Avenir Next" w:hAnsi="Avenir Next" w:cs="Avenir Next"/>
          <w:i/>
          <w:spacing w:val="-4"/>
          <w:sz w:val="20"/>
          <w:szCs w:val="20"/>
        </w:rPr>
        <w:t>Part</w:t>
      </w:r>
      <w:r>
        <w:rPr>
          <w:rFonts w:ascii="Avenir Next" w:eastAsia="Avenir Next" w:hAnsi="Avenir Next" w:cs="Avenir Next"/>
          <w:i/>
          <w:spacing w:val="-2"/>
          <w:sz w:val="20"/>
          <w:szCs w:val="20"/>
        </w:rPr>
        <w:t xml:space="preserve"> </w:t>
      </w:r>
      <w:r>
        <w:rPr>
          <w:rFonts w:ascii="Avenir Next" w:eastAsia="Avenir Next" w:hAnsi="Avenir Next" w:cs="Avenir Next"/>
          <w:i/>
          <w:sz w:val="20"/>
          <w:szCs w:val="20"/>
        </w:rPr>
        <w:t>B</w:t>
      </w:r>
      <w:r>
        <w:rPr>
          <w:rFonts w:ascii="Avenir Next" w:eastAsia="Avenir Next" w:hAnsi="Avenir Next" w:cs="Avenir Next"/>
          <w:i/>
          <w:spacing w:val="-2"/>
          <w:sz w:val="20"/>
          <w:szCs w:val="20"/>
        </w:rPr>
        <w:t xml:space="preserve"> </w:t>
      </w:r>
      <w:r>
        <w:rPr>
          <w:rFonts w:ascii="Avenir Next" w:eastAsia="Avenir Next" w:hAnsi="Avenir Next" w:cs="Avenir Next"/>
          <w:i/>
          <w:sz w:val="20"/>
          <w:szCs w:val="20"/>
        </w:rPr>
        <w:t>–</w:t>
      </w:r>
      <w:r>
        <w:rPr>
          <w:rFonts w:ascii="Avenir Next" w:eastAsia="Avenir Next" w:hAnsi="Avenir Next" w:cs="Avenir Next"/>
          <w:i/>
          <w:spacing w:val="-6"/>
          <w:sz w:val="20"/>
          <w:szCs w:val="20"/>
        </w:rPr>
        <w:t xml:space="preserve"> </w:t>
      </w:r>
      <w:r>
        <w:rPr>
          <w:rFonts w:ascii="Avenir Next" w:eastAsia="Avenir Next" w:hAnsi="Avenir Next" w:cs="Avenir Next"/>
          <w:i/>
          <w:sz w:val="20"/>
          <w:szCs w:val="20"/>
        </w:rPr>
        <w:t>Actew</w:t>
      </w:r>
      <w:r>
        <w:rPr>
          <w:rFonts w:ascii="Avenir Next" w:eastAsia="Avenir Next" w:hAnsi="Avenir Next" w:cs="Avenir Next"/>
          <w:i/>
          <w:spacing w:val="-6"/>
          <w:sz w:val="20"/>
          <w:szCs w:val="20"/>
        </w:rPr>
        <w:t xml:space="preserve"> </w:t>
      </w:r>
      <w:r>
        <w:rPr>
          <w:rFonts w:ascii="Avenir Next" w:eastAsia="Avenir Next" w:hAnsi="Avenir Next" w:cs="Avenir Next"/>
          <w:i/>
          <w:sz w:val="20"/>
          <w:szCs w:val="20"/>
        </w:rPr>
        <w:t>Asset</w:t>
      </w:r>
      <w:r>
        <w:rPr>
          <w:rFonts w:ascii="Avenir Next" w:eastAsia="Avenir Next" w:hAnsi="Avenir Next" w:cs="Avenir Next"/>
          <w:i/>
          <w:spacing w:val="-2"/>
          <w:sz w:val="20"/>
          <w:szCs w:val="20"/>
        </w:rPr>
        <w:t xml:space="preserve"> </w:t>
      </w:r>
      <w:r>
        <w:rPr>
          <w:rFonts w:ascii="Avenir Next" w:eastAsia="Avenir Next" w:hAnsi="Avenir Next" w:cs="Avenir Next"/>
          <w:i/>
          <w:sz w:val="20"/>
          <w:szCs w:val="20"/>
        </w:rPr>
        <w:t>Listing</w:t>
      </w:r>
      <w:r>
        <w:rPr>
          <w:rFonts w:ascii="Avenir Next" w:eastAsia="Avenir Next" w:hAnsi="Avenir Next" w:cs="Avenir Next"/>
          <w:i/>
          <w:spacing w:val="-5"/>
          <w:sz w:val="20"/>
          <w:szCs w:val="20"/>
        </w:rPr>
        <w:t xml:space="preserve"> </w:t>
      </w:r>
      <w:r>
        <w:rPr>
          <w:rFonts w:ascii="Avenir Next" w:eastAsia="Avenir Next" w:hAnsi="Avenir Next" w:cs="Avenir Next"/>
          <w:i/>
          <w:sz w:val="20"/>
          <w:szCs w:val="20"/>
        </w:rPr>
        <w:t>Jun</w:t>
      </w:r>
      <w:r>
        <w:rPr>
          <w:rFonts w:ascii="Avenir Next" w:eastAsia="Avenir Next" w:hAnsi="Avenir Next" w:cs="Avenir Next"/>
          <w:i/>
          <w:spacing w:val="-2"/>
          <w:sz w:val="20"/>
          <w:szCs w:val="20"/>
        </w:rPr>
        <w:t xml:space="preserve"> </w:t>
      </w:r>
      <w:r>
        <w:rPr>
          <w:rFonts w:ascii="Avenir Next" w:eastAsia="Avenir Next" w:hAnsi="Avenir Next" w:cs="Avenir Next"/>
          <w:i/>
          <w:spacing w:val="-1"/>
          <w:sz w:val="20"/>
          <w:szCs w:val="20"/>
        </w:rPr>
        <w:t>13_Confidential_ECD</w:t>
      </w:r>
      <w:r>
        <w:rPr>
          <w:rFonts w:ascii="Avenir Next" w:eastAsia="Avenir Next" w:hAnsi="Avenir Next" w:cs="Avenir Next"/>
          <w:i/>
          <w:spacing w:val="-2"/>
          <w:sz w:val="20"/>
          <w:szCs w:val="20"/>
        </w:rPr>
        <w:t xml:space="preserve"> </w:t>
      </w:r>
      <w:r>
        <w:rPr>
          <w:rFonts w:ascii="Avenir Next" w:eastAsia="Avenir Next" w:hAnsi="Avenir Next" w:cs="Avenir Next"/>
          <w:i/>
          <w:sz w:val="20"/>
          <w:szCs w:val="20"/>
        </w:rPr>
        <w:t>analysis.xls</w:t>
      </w:r>
      <w:r>
        <w:rPr>
          <w:rFonts w:ascii="Avenir Next" w:eastAsia="Avenir Next" w:hAnsi="Avenir Next" w:cs="Avenir Next"/>
          <w:sz w:val="20"/>
          <w:szCs w:val="20"/>
        </w:rPr>
        <w:t>,</w:t>
      </w:r>
      <w:r>
        <w:rPr>
          <w:rFonts w:ascii="Avenir Next" w:eastAsia="Avenir Next" w:hAnsi="Avenir Next" w:cs="Avenir Next"/>
          <w:spacing w:val="71"/>
          <w:sz w:val="20"/>
          <w:szCs w:val="20"/>
        </w:rPr>
        <w:t xml:space="preserve"> </w:t>
      </w:r>
      <w:r>
        <w:rPr>
          <w:rFonts w:ascii="Avenir Next" w:eastAsia="Avenir Next" w:hAnsi="Avenir Next" w:cs="Avenir Next"/>
          <w:sz w:val="20"/>
          <w:szCs w:val="20"/>
        </w:rPr>
        <w:t>24 September 2014.</w:t>
      </w:r>
    </w:p>
    <w:p w:rsidR="00D96B91" w:rsidRDefault="00C2656B">
      <w:pPr>
        <w:spacing w:before="170" w:line="260" w:lineRule="exact"/>
        <w:ind w:left="1247" w:right="1868"/>
        <w:rPr>
          <w:rFonts w:ascii="Avenir Next" w:eastAsia="Avenir Next" w:hAnsi="Avenir Next" w:cs="Avenir Next"/>
          <w:sz w:val="20"/>
          <w:szCs w:val="20"/>
        </w:rPr>
      </w:pPr>
      <w:r>
        <w:rPr>
          <w:rFonts w:ascii="Avenir Next" w:eastAsia="Avenir Next" w:hAnsi="Avenir Next" w:cs="Avenir Next"/>
          <w:spacing w:val="-4"/>
          <w:sz w:val="20"/>
          <w:szCs w:val="20"/>
        </w:rPr>
        <w:t>ACTEW,</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Response</w:t>
      </w:r>
      <w:r>
        <w:rPr>
          <w:rFonts w:ascii="Avenir Next" w:eastAsia="Avenir Next" w:hAnsi="Avenir Next" w:cs="Avenir Next"/>
          <w:i/>
          <w:sz w:val="20"/>
          <w:szCs w:val="20"/>
        </w:rPr>
        <w:t xml:space="preserve"> to </w:t>
      </w:r>
      <w:r>
        <w:rPr>
          <w:rFonts w:ascii="Avenir Next" w:eastAsia="Avenir Next" w:hAnsi="Avenir Next" w:cs="Avenir Next"/>
          <w:i/>
          <w:spacing w:val="-1"/>
          <w:sz w:val="20"/>
          <w:szCs w:val="20"/>
        </w:rPr>
        <w:t>letter</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regarding</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ACTEW’s</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proposed</w:t>
      </w:r>
      <w:r>
        <w:rPr>
          <w:rFonts w:ascii="Avenir Next" w:eastAsia="Avenir Next" w:hAnsi="Avenir Next" w:cs="Avenir Next"/>
          <w:i/>
          <w:sz w:val="20"/>
          <w:szCs w:val="20"/>
        </w:rPr>
        <w:t xml:space="preserve"> prices for </w:t>
      </w:r>
      <w:r>
        <w:rPr>
          <w:rFonts w:ascii="Avenir Next" w:eastAsia="Avenir Next" w:hAnsi="Avenir Next" w:cs="Avenir Next"/>
          <w:i/>
          <w:spacing w:val="-1"/>
          <w:sz w:val="20"/>
          <w:szCs w:val="20"/>
        </w:rPr>
        <w:t>water</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sewerage</w:t>
      </w:r>
      <w:r>
        <w:rPr>
          <w:rFonts w:ascii="Avenir Next" w:eastAsia="Avenir Next" w:hAnsi="Avenir Next" w:cs="Avenir Next"/>
          <w:i/>
          <w:sz w:val="20"/>
          <w:szCs w:val="20"/>
        </w:rPr>
        <w:t xml:space="preserve"> services</w:t>
      </w:r>
      <w:r>
        <w:rPr>
          <w:rFonts w:ascii="Avenir Next" w:eastAsia="Avenir Next" w:hAnsi="Avenir Next" w:cs="Avenir Next"/>
          <w:sz w:val="20"/>
          <w:szCs w:val="20"/>
        </w:rPr>
        <w:t>,</w:t>
      </w:r>
      <w:r>
        <w:rPr>
          <w:rFonts w:ascii="Avenir Next" w:eastAsia="Avenir Next" w:hAnsi="Avenir Next" w:cs="Avenir Next"/>
          <w:spacing w:val="57"/>
          <w:sz w:val="20"/>
          <w:szCs w:val="20"/>
        </w:rPr>
        <w:t xml:space="preserve"> </w:t>
      </w:r>
      <w:r>
        <w:rPr>
          <w:rFonts w:ascii="Avenir Next" w:eastAsia="Avenir Next" w:hAnsi="Avenir Next" w:cs="Avenir Next"/>
          <w:sz w:val="20"/>
          <w:szCs w:val="20"/>
        </w:rPr>
        <w:t>13 October 2014.</w:t>
      </w:r>
    </w:p>
    <w:p w:rsidR="00D96B91" w:rsidRDefault="00C2656B">
      <w:pPr>
        <w:spacing w:before="178"/>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pacing w:val="-2"/>
          <w:sz w:val="20"/>
        </w:rPr>
        <w:t>Prices</w:t>
      </w:r>
      <w:r>
        <w:rPr>
          <w:rFonts w:ascii="Avenir Next"/>
          <w:i/>
          <w:sz w:val="20"/>
        </w:rPr>
        <w:t xml:space="preserve"> Implied 14.10.14.xlsx</w:t>
      </w:r>
      <w:r>
        <w:rPr>
          <w:rFonts w:ascii="Avenir Next"/>
          <w:sz w:val="20"/>
        </w:rPr>
        <w:t>,</w:t>
      </w:r>
      <w:r>
        <w:rPr>
          <w:rFonts w:ascii="Avenir Next"/>
          <w:spacing w:val="-6"/>
          <w:sz w:val="20"/>
        </w:rPr>
        <w:t xml:space="preserve"> </w:t>
      </w:r>
      <w:r>
        <w:rPr>
          <w:rFonts w:ascii="Avenir Next"/>
          <w:sz w:val="20"/>
        </w:rPr>
        <w:t>14 October 2014.</w:t>
      </w:r>
    </w:p>
    <w:p w:rsidR="00D96B91" w:rsidRDefault="00C2656B">
      <w:pPr>
        <w:spacing w:before="157"/>
        <w:ind w:left="1247"/>
        <w:rPr>
          <w:rFonts w:ascii="Avenir Next" w:eastAsia="Avenir Next" w:hAnsi="Avenir Next" w:cs="Avenir Next"/>
          <w:sz w:val="20"/>
          <w:szCs w:val="20"/>
        </w:rPr>
      </w:pPr>
      <w:r>
        <w:rPr>
          <w:rFonts w:ascii="Avenir Next"/>
          <w:spacing w:val="-4"/>
          <w:sz w:val="20"/>
        </w:rPr>
        <w:t>ACTEW,</w:t>
      </w:r>
      <w:r>
        <w:rPr>
          <w:rFonts w:ascii="Avenir Next"/>
          <w:spacing w:val="-6"/>
          <w:sz w:val="20"/>
        </w:rPr>
        <w:t xml:space="preserve"> </w:t>
      </w:r>
      <w:r>
        <w:rPr>
          <w:rFonts w:ascii="Avenir Next"/>
          <w:i/>
          <w:sz w:val="20"/>
        </w:rPr>
        <w:t xml:space="preserve">Email </w:t>
      </w:r>
      <w:r>
        <w:rPr>
          <w:rFonts w:ascii="Avenir Next"/>
          <w:i/>
          <w:spacing w:val="-1"/>
          <w:sz w:val="20"/>
        </w:rPr>
        <w:t>responses</w:t>
      </w:r>
      <w:r>
        <w:rPr>
          <w:rFonts w:ascii="Avenir Next"/>
          <w:i/>
          <w:sz w:val="20"/>
        </w:rPr>
        <w:t xml:space="preserve"> to questions</w:t>
      </w:r>
      <w:r>
        <w:rPr>
          <w:rFonts w:ascii="Avenir Next"/>
          <w:sz w:val="20"/>
        </w:rPr>
        <w:t>,</w:t>
      </w:r>
      <w:r>
        <w:rPr>
          <w:rFonts w:ascii="Avenir Next"/>
          <w:spacing w:val="-6"/>
          <w:sz w:val="20"/>
        </w:rPr>
        <w:t xml:space="preserve"> </w:t>
      </w:r>
      <w:r>
        <w:rPr>
          <w:rFonts w:ascii="Avenir Next"/>
          <w:sz w:val="20"/>
        </w:rPr>
        <w:t>1,</w:t>
      </w:r>
      <w:r>
        <w:rPr>
          <w:rFonts w:ascii="Avenir Next"/>
          <w:spacing w:val="-6"/>
          <w:sz w:val="20"/>
        </w:rPr>
        <w:t xml:space="preserve"> </w:t>
      </w:r>
      <w:r>
        <w:rPr>
          <w:rFonts w:ascii="Avenir Next"/>
          <w:sz w:val="20"/>
        </w:rPr>
        <w:t>2 and 9 September 2014.</w:t>
      </w:r>
    </w:p>
    <w:p w:rsidR="00D96B91" w:rsidRDefault="00D96B91">
      <w:pPr>
        <w:rPr>
          <w:rFonts w:ascii="Avenir Next" w:eastAsia="Avenir Next" w:hAnsi="Avenir Next" w:cs="Avenir Next"/>
          <w:sz w:val="20"/>
          <w:szCs w:val="20"/>
        </w:rPr>
        <w:sectPr w:rsidR="00D96B91">
          <w:pgSz w:w="11910" w:h="16840"/>
          <w:pgMar w:top="1260" w:right="0" w:bottom="1020" w:left="0" w:header="0" w:footer="829" w:gutter="0"/>
          <w:cols w:space="720"/>
        </w:sectPr>
      </w:pPr>
    </w:p>
    <w:p w:rsidR="00D96B91" w:rsidRDefault="00C2656B">
      <w:pPr>
        <w:spacing w:before="19" w:line="260" w:lineRule="exact"/>
        <w:ind w:left="1247" w:right="1283"/>
        <w:rPr>
          <w:rFonts w:ascii="Avenir Next" w:eastAsia="Avenir Next" w:hAnsi="Avenir Next" w:cs="Avenir Next"/>
          <w:sz w:val="20"/>
          <w:szCs w:val="20"/>
        </w:rPr>
      </w:pPr>
      <w:r>
        <w:rPr>
          <w:rFonts w:ascii="Avenir Next"/>
          <w:sz w:val="20"/>
        </w:rPr>
        <w:t>AEMC,</w:t>
      </w:r>
      <w:r>
        <w:rPr>
          <w:rFonts w:ascii="Avenir Next"/>
          <w:spacing w:val="-6"/>
          <w:sz w:val="20"/>
        </w:rPr>
        <w:t xml:space="preserve"> </w:t>
      </w:r>
      <w:r>
        <w:rPr>
          <w:rFonts w:ascii="Avenir Next"/>
          <w:i/>
          <w:spacing w:val="-1"/>
          <w:sz w:val="20"/>
        </w:rPr>
        <w:t>National</w:t>
      </w:r>
      <w:r>
        <w:rPr>
          <w:rFonts w:ascii="Avenir Next"/>
          <w:i/>
          <w:sz w:val="20"/>
        </w:rPr>
        <w:t xml:space="preserve"> Electricity</w:t>
      </w:r>
      <w:r>
        <w:rPr>
          <w:rFonts w:ascii="Avenir Next"/>
          <w:i/>
          <w:spacing w:val="-4"/>
          <w:sz w:val="20"/>
        </w:rPr>
        <w:t xml:space="preserve"> </w:t>
      </w:r>
      <w:r>
        <w:rPr>
          <w:rFonts w:ascii="Avenir Next"/>
          <w:i/>
          <w:sz w:val="20"/>
        </w:rPr>
        <w:t xml:space="preserve">Amendment (Economic </w:t>
      </w:r>
      <w:r>
        <w:rPr>
          <w:rFonts w:ascii="Avenir Next"/>
          <w:i/>
          <w:spacing w:val="-1"/>
          <w:sz w:val="20"/>
        </w:rPr>
        <w:t>Regulation</w:t>
      </w:r>
      <w:r>
        <w:rPr>
          <w:rFonts w:ascii="Avenir Next"/>
          <w:i/>
          <w:sz w:val="20"/>
        </w:rPr>
        <w:t xml:space="preserve"> of</w:t>
      </w:r>
      <w:r>
        <w:rPr>
          <w:rFonts w:ascii="Avenir Next"/>
          <w:i/>
          <w:spacing w:val="4"/>
          <w:sz w:val="20"/>
        </w:rPr>
        <w:t xml:space="preserve"> </w:t>
      </w:r>
      <w:r>
        <w:rPr>
          <w:rFonts w:ascii="Avenir Next"/>
          <w:i/>
          <w:sz w:val="20"/>
        </w:rPr>
        <w:t xml:space="preserve">Network Service </w:t>
      </w:r>
      <w:r>
        <w:rPr>
          <w:rFonts w:ascii="Avenir Next"/>
          <w:i/>
          <w:spacing w:val="-2"/>
          <w:sz w:val="20"/>
        </w:rPr>
        <w:t>Providers)</w:t>
      </w:r>
      <w:r>
        <w:rPr>
          <w:rFonts w:ascii="Avenir Next"/>
          <w:i/>
          <w:sz w:val="20"/>
        </w:rPr>
        <w:t xml:space="preserve"> </w:t>
      </w:r>
      <w:r>
        <w:rPr>
          <w:rFonts w:ascii="Avenir Next"/>
          <w:i/>
          <w:spacing w:val="-1"/>
          <w:sz w:val="20"/>
        </w:rPr>
        <w:t>Rule</w:t>
      </w:r>
      <w:r>
        <w:rPr>
          <w:rFonts w:ascii="Avenir Next"/>
          <w:i/>
          <w:sz w:val="20"/>
        </w:rPr>
        <w:t xml:space="preserve"> 2012,</w:t>
      </w:r>
      <w:r>
        <w:rPr>
          <w:rFonts w:ascii="Avenir Next"/>
          <w:i/>
          <w:spacing w:val="39"/>
          <w:sz w:val="20"/>
        </w:rPr>
        <w:t xml:space="preserve"> </w:t>
      </w:r>
      <w:r>
        <w:rPr>
          <w:rFonts w:ascii="Avenir Next"/>
          <w:i/>
          <w:sz w:val="20"/>
        </w:rPr>
        <w:t xml:space="preserve">and </w:t>
      </w:r>
      <w:r>
        <w:rPr>
          <w:rFonts w:ascii="Avenir Next"/>
          <w:i/>
          <w:spacing w:val="-1"/>
          <w:sz w:val="20"/>
        </w:rPr>
        <w:t>National</w:t>
      </w:r>
      <w:r>
        <w:rPr>
          <w:rFonts w:ascii="Avenir Next"/>
          <w:i/>
          <w:sz w:val="20"/>
        </w:rPr>
        <w:t xml:space="preserve"> Gas</w:t>
      </w:r>
      <w:r>
        <w:rPr>
          <w:rFonts w:ascii="Avenir Next"/>
          <w:i/>
          <w:spacing w:val="-4"/>
          <w:sz w:val="20"/>
        </w:rPr>
        <w:t xml:space="preserve"> </w:t>
      </w:r>
      <w:r>
        <w:rPr>
          <w:rFonts w:ascii="Avenir Next"/>
          <w:i/>
          <w:sz w:val="20"/>
        </w:rPr>
        <w:t xml:space="preserve">Amendment </w:t>
      </w:r>
      <w:r>
        <w:rPr>
          <w:rFonts w:ascii="Avenir Next"/>
          <w:i/>
          <w:spacing w:val="-2"/>
          <w:sz w:val="20"/>
        </w:rPr>
        <w:t>(Price</w:t>
      </w:r>
      <w:r>
        <w:rPr>
          <w:rFonts w:ascii="Avenir Next"/>
          <w:i/>
          <w:sz w:val="20"/>
        </w:rPr>
        <w:t xml:space="preserve"> and </w:t>
      </w:r>
      <w:r>
        <w:rPr>
          <w:rFonts w:ascii="Avenir Next"/>
          <w:i/>
          <w:spacing w:val="-1"/>
          <w:sz w:val="20"/>
        </w:rPr>
        <w:t>Revenue</w:t>
      </w:r>
      <w:r>
        <w:rPr>
          <w:rFonts w:ascii="Avenir Next"/>
          <w:i/>
          <w:sz w:val="20"/>
        </w:rPr>
        <w:t xml:space="preserve"> </w:t>
      </w:r>
      <w:r>
        <w:rPr>
          <w:rFonts w:ascii="Avenir Next"/>
          <w:i/>
          <w:spacing w:val="-1"/>
          <w:sz w:val="20"/>
        </w:rPr>
        <w:t>Regulation</w:t>
      </w:r>
      <w:r>
        <w:rPr>
          <w:rFonts w:ascii="Avenir Next"/>
          <w:i/>
          <w:sz w:val="20"/>
        </w:rPr>
        <w:t xml:space="preserve"> of</w:t>
      </w:r>
      <w:r>
        <w:rPr>
          <w:rFonts w:ascii="Avenir Next"/>
          <w:i/>
          <w:spacing w:val="4"/>
          <w:sz w:val="20"/>
        </w:rPr>
        <w:t xml:space="preserve"> </w:t>
      </w:r>
      <w:r>
        <w:rPr>
          <w:rFonts w:ascii="Avenir Next"/>
          <w:i/>
          <w:sz w:val="20"/>
        </w:rPr>
        <w:t xml:space="preserve">Gas Services) </w:t>
      </w:r>
      <w:r>
        <w:rPr>
          <w:rFonts w:ascii="Avenir Next"/>
          <w:i/>
          <w:spacing w:val="-1"/>
          <w:sz w:val="20"/>
        </w:rPr>
        <w:t>Rule</w:t>
      </w:r>
      <w:r>
        <w:rPr>
          <w:rFonts w:ascii="Avenir Next"/>
          <w:i/>
          <w:sz w:val="20"/>
        </w:rPr>
        <w:t xml:space="preserve"> 2012,</w:t>
      </w:r>
      <w:r>
        <w:rPr>
          <w:rFonts w:ascii="Avenir Next"/>
          <w:i/>
          <w:spacing w:val="-6"/>
          <w:sz w:val="20"/>
        </w:rPr>
        <w:t xml:space="preserve"> </w:t>
      </w:r>
      <w:r>
        <w:rPr>
          <w:rFonts w:ascii="Avenir Next"/>
          <w:i/>
          <w:spacing w:val="-1"/>
          <w:sz w:val="20"/>
        </w:rPr>
        <w:t>Directions</w:t>
      </w:r>
      <w:r>
        <w:rPr>
          <w:rFonts w:ascii="Avenir Next"/>
          <w:i/>
          <w:spacing w:val="51"/>
          <w:sz w:val="20"/>
        </w:rPr>
        <w:t xml:space="preserve"> </w:t>
      </w:r>
      <w:r>
        <w:rPr>
          <w:rFonts w:ascii="Avenir Next"/>
          <w:i/>
          <w:spacing w:val="-2"/>
          <w:sz w:val="20"/>
        </w:rPr>
        <w:t>Paper</w:t>
      </w:r>
      <w:r>
        <w:rPr>
          <w:rFonts w:ascii="Avenir Next"/>
          <w:spacing w:val="-2"/>
          <w:sz w:val="20"/>
        </w:rPr>
        <w:t>,</w:t>
      </w:r>
      <w:r>
        <w:rPr>
          <w:rFonts w:ascii="Avenir Next"/>
          <w:spacing w:val="-6"/>
          <w:sz w:val="20"/>
        </w:rPr>
        <w:t xml:space="preserve"> </w:t>
      </w:r>
      <w:r>
        <w:rPr>
          <w:rFonts w:ascii="Avenir Next"/>
          <w:sz w:val="20"/>
        </w:rPr>
        <w:t xml:space="preserve">2 </w:t>
      </w:r>
      <w:r>
        <w:rPr>
          <w:rFonts w:ascii="Avenir Next"/>
          <w:spacing w:val="-1"/>
          <w:sz w:val="20"/>
        </w:rPr>
        <w:t>March</w:t>
      </w:r>
      <w:r>
        <w:rPr>
          <w:rFonts w:ascii="Avenir Next"/>
          <w:sz w:val="20"/>
        </w:rPr>
        <w:t xml:space="preserve"> 2012.</w:t>
      </w:r>
    </w:p>
    <w:p w:rsidR="00D96B91" w:rsidRDefault="00C2656B">
      <w:pPr>
        <w:spacing w:before="178" w:line="377" w:lineRule="auto"/>
        <w:ind w:left="1247" w:right="2362"/>
        <w:rPr>
          <w:rFonts w:ascii="Avenir Next" w:eastAsia="Avenir Next" w:hAnsi="Avenir Next" w:cs="Avenir Next"/>
          <w:sz w:val="20"/>
          <w:szCs w:val="20"/>
        </w:rPr>
      </w:pPr>
      <w:r>
        <w:rPr>
          <w:rFonts w:ascii="Avenir Next" w:eastAsia="Avenir Next" w:hAnsi="Avenir Next" w:cs="Avenir Next"/>
          <w:sz w:val="20"/>
          <w:szCs w:val="20"/>
        </w:rPr>
        <w:t>AER,</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Capital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Expenditure</w:t>
      </w:r>
      <w:r>
        <w:rPr>
          <w:rFonts w:ascii="Avenir Next" w:eastAsia="Avenir Next" w:hAnsi="Avenir Next" w:cs="Avenir Next"/>
          <w:i/>
          <w:sz w:val="20"/>
          <w:szCs w:val="20"/>
        </w:rPr>
        <w:t xml:space="preserve"> Incentive Guideline – </w:t>
      </w:r>
      <w:r>
        <w:rPr>
          <w:rFonts w:ascii="Avenir Next" w:eastAsia="Avenir Next" w:hAnsi="Avenir Next" w:cs="Avenir Next"/>
          <w:i/>
          <w:spacing w:val="-1"/>
          <w:sz w:val="20"/>
          <w:szCs w:val="20"/>
        </w:rPr>
        <w:t>Explanatory</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Statement</w:t>
      </w:r>
      <w:r>
        <w:rPr>
          <w:rFonts w:ascii="Avenir Next" w:eastAsia="Avenir Next" w:hAnsi="Avenir Next" w:cs="Avenir Next"/>
          <w:spacing w:val="-1"/>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November 2013.</w:t>
      </w:r>
      <w:r>
        <w:rPr>
          <w:rFonts w:ascii="Avenir Next" w:eastAsia="Avenir Next" w:hAnsi="Avenir Next" w:cs="Avenir Next"/>
          <w:spacing w:val="53"/>
          <w:sz w:val="20"/>
          <w:szCs w:val="20"/>
        </w:rPr>
        <w:t xml:space="preserve"> </w:t>
      </w:r>
      <w:r>
        <w:rPr>
          <w:rFonts w:ascii="Avenir Next" w:eastAsia="Avenir Next" w:hAnsi="Avenir Next" w:cs="Avenir Next"/>
          <w:sz w:val="20"/>
          <w:szCs w:val="20"/>
        </w:rPr>
        <w:t>AER,</w:t>
      </w:r>
      <w:r>
        <w:rPr>
          <w:rFonts w:ascii="Avenir Next" w:eastAsia="Avenir Next" w:hAnsi="Avenir Next" w:cs="Avenir Next"/>
          <w:spacing w:val="-6"/>
          <w:sz w:val="20"/>
          <w:szCs w:val="20"/>
        </w:rPr>
        <w:t xml:space="preserve"> </w:t>
      </w:r>
      <w:r>
        <w:rPr>
          <w:rFonts w:ascii="Avenir Next" w:eastAsia="Avenir Next" w:hAnsi="Avenir Next" w:cs="Avenir Next"/>
          <w:i/>
          <w:spacing w:val="-2"/>
          <w:sz w:val="20"/>
          <w:szCs w:val="20"/>
        </w:rPr>
        <w:t>Draft</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rate</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return</w:t>
      </w:r>
      <w:r>
        <w:rPr>
          <w:rFonts w:ascii="Avenir Next" w:eastAsia="Avenir Next" w:hAnsi="Avenir Next" w:cs="Avenir Next"/>
          <w:i/>
          <w:sz w:val="20"/>
          <w:szCs w:val="20"/>
        </w:rPr>
        <w:t xml:space="preserve"> guideline</w:t>
      </w:r>
      <w:r>
        <w:rPr>
          <w:rFonts w:ascii="Avenir Next" w:eastAsia="Avenir Next" w:hAnsi="Avenir Next" w:cs="Avenir Next"/>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z w:val="20"/>
          <w:szCs w:val="20"/>
        </w:rPr>
        <w:t>August 2013.</w:t>
      </w:r>
    </w:p>
    <w:p w:rsidR="00D96B91" w:rsidRDefault="00C2656B">
      <w:pPr>
        <w:ind w:left="1247"/>
        <w:rPr>
          <w:rFonts w:ascii="Avenir Next" w:eastAsia="Avenir Next" w:hAnsi="Avenir Next" w:cs="Avenir Next"/>
          <w:sz w:val="20"/>
          <w:szCs w:val="20"/>
        </w:rPr>
      </w:pPr>
      <w:r>
        <w:rPr>
          <w:rFonts w:ascii="Avenir Next"/>
          <w:sz w:val="20"/>
        </w:rPr>
        <w:t>AER,</w:t>
      </w:r>
      <w:r>
        <w:rPr>
          <w:rFonts w:ascii="Avenir Next"/>
          <w:spacing w:val="-6"/>
          <w:sz w:val="20"/>
        </w:rPr>
        <w:t xml:space="preserve"> </w:t>
      </w:r>
      <w:r>
        <w:rPr>
          <w:rFonts w:ascii="Avenir Next"/>
          <w:i/>
          <w:spacing w:val="-2"/>
          <w:sz w:val="20"/>
        </w:rPr>
        <w:t>Rate</w:t>
      </w:r>
      <w:r>
        <w:rPr>
          <w:rFonts w:ascii="Avenir Next"/>
          <w:i/>
          <w:sz w:val="20"/>
        </w:rPr>
        <w:t xml:space="preserve"> of</w:t>
      </w:r>
      <w:r>
        <w:rPr>
          <w:rFonts w:ascii="Avenir Next"/>
          <w:i/>
          <w:spacing w:val="4"/>
          <w:sz w:val="20"/>
        </w:rPr>
        <w:t xml:space="preserve"> </w:t>
      </w:r>
      <w:r>
        <w:rPr>
          <w:rFonts w:ascii="Avenir Next"/>
          <w:i/>
          <w:spacing w:val="-1"/>
          <w:sz w:val="20"/>
        </w:rPr>
        <w:t>return</w:t>
      </w:r>
      <w:r>
        <w:rPr>
          <w:rFonts w:ascii="Avenir Next"/>
          <w:i/>
          <w:sz w:val="20"/>
        </w:rPr>
        <w:t xml:space="preserve"> guideline</w:t>
      </w:r>
      <w:r>
        <w:rPr>
          <w:rFonts w:ascii="Avenir Next"/>
          <w:sz w:val="20"/>
        </w:rPr>
        <w:t>,</w:t>
      </w:r>
      <w:r>
        <w:rPr>
          <w:rFonts w:ascii="Avenir Next"/>
          <w:spacing w:val="-6"/>
          <w:sz w:val="20"/>
        </w:rPr>
        <w:t xml:space="preserve"> </w:t>
      </w:r>
      <w:r>
        <w:rPr>
          <w:rFonts w:ascii="Avenir Next"/>
          <w:sz w:val="20"/>
        </w:rPr>
        <w:t>December 2013.</w:t>
      </w:r>
    </w:p>
    <w:p w:rsidR="00D96B91" w:rsidRDefault="00C2656B">
      <w:pPr>
        <w:spacing w:before="157"/>
        <w:ind w:left="1247"/>
        <w:rPr>
          <w:rFonts w:ascii="Avenir Next" w:eastAsia="Avenir Next" w:hAnsi="Avenir Next" w:cs="Avenir Next"/>
          <w:sz w:val="20"/>
          <w:szCs w:val="20"/>
        </w:rPr>
      </w:pPr>
      <w:r>
        <w:rPr>
          <w:rFonts w:ascii="Avenir Next" w:eastAsia="Avenir Next" w:hAnsi="Avenir Next" w:cs="Avenir Next"/>
          <w:sz w:val="20"/>
          <w:szCs w:val="20"/>
        </w:rPr>
        <w:t>AER,</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Explanatory</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Statement</w:t>
      </w:r>
      <w:r>
        <w:rPr>
          <w:rFonts w:ascii="Avenir Next" w:eastAsia="Avenir Next" w:hAnsi="Avenir Next" w:cs="Avenir Next"/>
          <w:i/>
          <w:sz w:val="20"/>
          <w:szCs w:val="20"/>
        </w:rPr>
        <w:t xml:space="preserve"> – </w:t>
      </w:r>
      <w:r>
        <w:rPr>
          <w:rFonts w:ascii="Avenir Next" w:eastAsia="Avenir Next" w:hAnsi="Avenir Next" w:cs="Avenir Next"/>
          <w:i/>
          <w:spacing w:val="-2"/>
          <w:sz w:val="20"/>
          <w:szCs w:val="20"/>
        </w:rPr>
        <w:t>Rate</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return</w:t>
      </w:r>
      <w:r>
        <w:rPr>
          <w:rFonts w:ascii="Avenir Next" w:eastAsia="Avenir Next" w:hAnsi="Avenir Next" w:cs="Avenir Next"/>
          <w:i/>
          <w:sz w:val="20"/>
          <w:szCs w:val="20"/>
        </w:rPr>
        <w:t xml:space="preserve"> guideline</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December 2013</w:t>
      </w:r>
    </w:p>
    <w:p w:rsidR="00D96B91" w:rsidRDefault="00C2656B">
      <w:pPr>
        <w:spacing w:before="157" w:line="377" w:lineRule="auto"/>
        <w:ind w:left="1247" w:right="2611"/>
        <w:rPr>
          <w:rFonts w:ascii="Avenir Next" w:eastAsia="Avenir Next" w:hAnsi="Avenir Next" w:cs="Avenir Next"/>
          <w:sz w:val="20"/>
          <w:szCs w:val="20"/>
        </w:rPr>
      </w:pPr>
      <w:r>
        <w:rPr>
          <w:rFonts w:ascii="Avenir Next" w:eastAsia="Avenir Next" w:hAnsi="Avenir Next" w:cs="Avenir Next"/>
          <w:spacing w:val="-2"/>
          <w:sz w:val="20"/>
          <w:szCs w:val="20"/>
        </w:rPr>
        <w:t>Cardno,</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1"/>
          <w:sz w:val="20"/>
          <w:szCs w:val="20"/>
        </w:rPr>
        <w:t xml:space="preserve"> </w:t>
      </w:r>
      <w:r>
        <w:rPr>
          <w:rFonts w:ascii="Avenir Next" w:eastAsia="Avenir Next" w:hAnsi="Avenir Next" w:cs="Avenir Next"/>
          <w:i/>
          <w:spacing w:val="-2"/>
          <w:sz w:val="20"/>
          <w:szCs w:val="20"/>
        </w:rPr>
        <w:t>ACTEW’s</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Capital</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Operating</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Expenditure</w:t>
      </w:r>
      <w:r>
        <w:rPr>
          <w:rFonts w:ascii="Avenir Next" w:eastAsia="Avenir Next" w:hAnsi="Avenir Next" w:cs="Avenir Next"/>
          <w:spacing w:val="-1"/>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November 2012.</w:t>
      </w:r>
      <w:r>
        <w:rPr>
          <w:rFonts w:ascii="Avenir Next" w:eastAsia="Avenir Next" w:hAnsi="Avenir Next" w:cs="Avenir Next"/>
          <w:spacing w:val="47"/>
          <w:sz w:val="20"/>
          <w:szCs w:val="20"/>
        </w:rPr>
        <w:t xml:space="preserve"> </w:t>
      </w:r>
      <w:r>
        <w:rPr>
          <w:rFonts w:ascii="Avenir Next" w:eastAsia="Avenir Next" w:hAnsi="Avenir Next" w:cs="Avenir Next"/>
          <w:spacing w:val="-2"/>
          <w:sz w:val="20"/>
          <w:szCs w:val="20"/>
        </w:rPr>
        <w:t>Cardno,</w:t>
      </w:r>
      <w:r>
        <w:rPr>
          <w:rFonts w:ascii="Avenir Next" w:eastAsia="Avenir Next" w:hAnsi="Avenir Next" w:cs="Avenir Next"/>
          <w:spacing w:val="-6"/>
          <w:sz w:val="20"/>
          <w:szCs w:val="20"/>
        </w:rPr>
        <w:t xml:space="preserve"> </w:t>
      </w:r>
      <w:r>
        <w:rPr>
          <w:rFonts w:ascii="Avenir Next" w:eastAsia="Avenir Next" w:hAnsi="Avenir Next" w:cs="Avenir Next"/>
          <w:i/>
          <w:sz w:val="20"/>
          <w:szCs w:val="20"/>
        </w:rPr>
        <w:t xml:space="preserve">Independent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ICRC price decision,</w:t>
      </w:r>
      <w:r>
        <w:rPr>
          <w:rFonts w:ascii="Avenir Next" w:eastAsia="Avenir Next" w:hAnsi="Avenir Next" w:cs="Avenir Next"/>
          <w:i/>
          <w:spacing w:val="-11"/>
          <w:sz w:val="20"/>
          <w:szCs w:val="20"/>
        </w:rPr>
        <w:t xml:space="preserve"> </w:t>
      </w:r>
      <w:r>
        <w:rPr>
          <w:rFonts w:ascii="Avenir Next" w:eastAsia="Avenir Next" w:hAnsi="Avenir Next" w:cs="Avenir Next"/>
          <w:i/>
          <w:spacing w:val="-3"/>
          <w:sz w:val="20"/>
          <w:szCs w:val="20"/>
        </w:rPr>
        <w:t>Technical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spacing w:val="-1"/>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6 November 2014.</w:t>
      </w:r>
      <w:r>
        <w:rPr>
          <w:rFonts w:ascii="Avenir Next" w:eastAsia="Avenir Next" w:hAnsi="Avenir Next" w:cs="Avenir Next"/>
          <w:spacing w:val="29"/>
          <w:sz w:val="20"/>
          <w:szCs w:val="20"/>
        </w:rPr>
        <w:t xml:space="preserve"> </w:t>
      </w:r>
      <w:r>
        <w:rPr>
          <w:rFonts w:ascii="Avenir Next" w:eastAsia="Avenir Next" w:hAnsi="Avenir Next" w:cs="Avenir Next"/>
          <w:spacing w:val="-1"/>
          <w:sz w:val="20"/>
          <w:szCs w:val="20"/>
        </w:rPr>
        <w:t>Council</w:t>
      </w:r>
      <w:r>
        <w:rPr>
          <w:rFonts w:ascii="Avenir Next" w:eastAsia="Avenir Next" w:hAnsi="Avenir Next" w:cs="Avenir Next"/>
          <w:sz w:val="20"/>
          <w:szCs w:val="20"/>
        </w:rPr>
        <w:t xml:space="preserve"> of</w:t>
      </w:r>
      <w:r>
        <w:rPr>
          <w:rFonts w:ascii="Avenir Next" w:eastAsia="Avenir Next" w:hAnsi="Avenir Next" w:cs="Avenir Next"/>
          <w:spacing w:val="1"/>
          <w:sz w:val="20"/>
          <w:szCs w:val="20"/>
        </w:rPr>
        <w:t xml:space="preserve"> </w:t>
      </w:r>
      <w:r>
        <w:rPr>
          <w:rFonts w:ascii="Avenir Next" w:eastAsia="Avenir Next" w:hAnsi="Avenir Next" w:cs="Avenir Next"/>
          <w:spacing w:val="-1"/>
          <w:sz w:val="20"/>
          <w:szCs w:val="20"/>
        </w:rPr>
        <w:t>Australian</w:t>
      </w:r>
      <w:r>
        <w:rPr>
          <w:rFonts w:ascii="Avenir Next" w:eastAsia="Avenir Next" w:hAnsi="Avenir Next" w:cs="Avenir Next"/>
          <w:sz w:val="20"/>
          <w:szCs w:val="20"/>
        </w:rPr>
        <w:t xml:space="preserve"> Governments,</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Competition</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Principles</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Agreement</w:t>
      </w:r>
      <w:r>
        <w:rPr>
          <w:rFonts w:ascii="Avenir Next" w:eastAsia="Avenir Next" w:hAnsi="Avenir Next" w:cs="Avenir Next"/>
          <w:spacing w:val="-1"/>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11</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April 1995.</w:t>
      </w:r>
    </w:p>
    <w:p w:rsidR="00D96B91" w:rsidRDefault="00C2656B">
      <w:pPr>
        <w:ind w:left="1247"/>
        <w:rPr>
          <w:rFonts w:ascii="Avenir Next" w:eastAsia="Avenir Next" w:hAnsi="Avenir Next" w:cs="Avenir Next"/>
          <w:sz w:val="20"/>
          <w:szCs w:val="20"/>
        </w:rPr>
      </w:pPr>
      <w:r>
        <w:rPr>
          <w:rFonts w:ascii="Avenir Next"/>
          <w:sz w:val="20"/>
        </w:rPr>
        <w:t>UK</w:t>
      </w:r>
      <w:r>
        <w:rPr>
          <w:rFonts w:ascii="Avenir Next"/>
          <w:spacing w:val="-3"/>
          <w:sz w:val="20"/>
        </w:rPr>
        <w:t xml:space="preserve"> </w:t>
      </w:r>
      <w:r>
        <w:rPr>
          <w:rFonts w:ascii="Avenir Next"/>
          <w:spacing w:val="-1"/>
          <w:sz w:val="20"/>
        </w:rPr>
        <w:t>Department</w:t>
      </w:r>
      <w:r>
        <w:rPr>
          <w:rFonts w:ascii="Avenir Next"/>
          <w:sz w:val="20"/>
        </w:rPr>
        <w:t xml:space="preserve"> for Business,</w:t>
      </w:r>
      <w:r>
        <w:rPr>
          <w:rFonts w:ascii="Avenir Next"/>
          <w:spacing w:val="-6"/>
          <w:sz w:val="20"/>
        </w:rPr>
        <w:t xml:space="preserve"> </w:t>
      </w:r>
      <w:r>
        <w:rPr>
          <w:rFonts w:ascii="Avenir Next"/>
          <w:spacing w:val="-1"/>
          <w:sz w:val="20"/>
        </w:rPr>
        <w:t>Innovation</w:t>
      </w:r>
      <w:r>
        <w:rPr>
          <w:rFonts w:ascii="Avenir Next"/>
          <w:sz w:val="20"/>
        </w:rPr>
        <w:t xml:space="preserve"> and Skills,</w:t>
      </w:r>
      <w:r>
        <w:rPr>
          <w:rFonts w:ascii="Avenir Next"/>
          <w:spacing w:val="-6"/>
          <w:sz w:val="20"/>
        </w:rPr>
        <w:t xml:space="preserve"> </w:t>
      </w:r>
      <w:r>
        <w:rPr>
          <w:rFonts w:ascii="Avenir Next"/>
          <w:i/>
          <w:spacing w:val="-1"/>
          <w:sz w:val="20"/>
        </w:rPr>
        <w:t>Principles</w:t>
      </w:r>
      <w:r>
        <w:rPr>
          <w:rFonts w:ascii="Avenir Next"/>
          <w:i/>
          <w:sz w:val="20"/>
        </w:rPr>
        <w:t xml:space="preserve"> for Economic </w:t>
      </w:r>
      <w:r>
        <w:rPr>
          <w:rFonts w:ascii="Avenir Next"/>
          <w:i/>
          <w:spacing w:val="-1"/>
          <w:sz w:val="20"/>
        </w:rPr>
        <w:t>Regulation</w:t>
      </w:r>
      <w:r>
        <w:rPr>
          <w:rFonts w:ascii="Avenir Next"/>
          <w:spacing w:val="-1"/>
          <w:sz w:val="20"/>
        </w:rPr>
        <w:t>,</w:t>
      </w:r>
      <w:r>
        <w:rPr>
          <w:rFonts w:ascii="Avenir Next"/>
          <w:spacing w:val="-10"/>
          <w:sz w:val="20"/>
        </w:rPr>
        <w:t xml:space="preserve"> </w:t>
      </w:r>
      <w:r>
        <w:rPr>
          <w:rFonts w:ascii="Avenir Next"/>
          <w:sz w:val="20"/>
        </w:rPr>
        <w:t>April 2011</w:t>
      </w:r>
    </w:p>
    <w:p w:rsidR="00D96B91" w:rsidRDefault="00C2656B">
      <w:pPr>
        <w:spacing w:before="149" w:line="260" w:lineRule="exact"/>
        <w:ind w:left="1247" w:right="1283"/>
        <w:rPr>
          <w:rFonts w:ascii="Avenir Next" w:eastAsia="Avenir Next" w:hAnsi="Avenir Next" w:cs="Avenir Next"/>
          <w:sz w:val="20"/>
          <w:szCs w:val="20"/>
        </w:rPr>
      </w:pPr>
      <w:r>
        <w:rPr>
          <w:rFonts w:ascii="Avenir Next"/>
          <w:sz w:val="20"/>
        </w:rPr>
        <w:t>ERA,</w:t>
      </w:r>
      <w:r>
        <w:rPr>
          <w:rFonts w:ascii="Avenir Next"/>
          <w:spacing w:val="-7"/>
          <w:sz w:val="20"/>
        </w:rPr>
        <w:t xml:space="preserve"> </w:t>
      </w:r>
      <w:r>
        <w:rPr>
          <w:rFonts w:ascii="Avenir Next"/>
          <w:i/>
          <w:sz w:val="20"/>
        </w:rPr>
        <w:t>Inquiry into the</w:t>
      </w:r>
      <w:r>
        <w:rPr>
          <w:rFonts w:ascii="Avenir Next"/>
          <w:i/>
          <w:spacing w:val="-1"/>
          <w:sz w:val="20"/>
        </w:rPr>
        <w:t xml:space="preserve"> efficient</w:t>
      </w:r>
      <w:r>
        <w:rPr>
          <w:rFonts w:ascii="Avenir Next"/>
          <w:i/>
          <w:sz w:val="20"/>
        </w:rPr>
        <w:t xml:space="preserve"> costs</w:t>
      </w:r>
      <w:r>
        <w:rPr>
          <w:rFonts w:ascii="Avenir Next"/>
          <w:i/>
          <w:spacing w:val="-1"/>
          <w:sz w:val="20"/>
        </w:rPr>
        <w:t xml:space="preserve"> </w:t>
      </w:r>
      <w:r>
        <w:rPr>
          <w:rFonts w:ascii="Avenir Next"/>
          <w:i/>
          <w:sz w:val="20"/>
        </w:rPr>
        <w:t xml:space="preserve">and </w:t>
      </w:r>
      <w:r>
        <w:rPr>
          <w:rFonts w:ascii="Avenir Next"/>
          <w:i/>
          <w:spacing w:val="-1"/>
          <w:sz w:val="20"/>
        </w:rPr>
        <w:t>tariffs</w:t>
      </w:r>
      <w:r>
        <w:rPr>
          <w:rFonts w:ascii="Avenir Next"/>
          <w:i/>
          <w:sz w:val="20"/>
        </w:rPr>
        <w:t xml:space="preserve"> of</w:t>
      </w:r>
      <w:r>
        <w:rPr>
          <w:rFonts w:ascii="Avenir Next"/>
          <w:i/>
          <w:spacing w:val="3"/>
          <w:sz w:val="20"/>
        </w:rPr>
        <w:t xml:space="preserve"> </w:t>
      </w:r>
      <w:r>
        <w:rPr>
          <w:rFonts w:ascii="Avenir Next"/>
          <w:i/>
          <w:sz w:val="20"/>
        </w:rPr>
        <w:t>the</w:t>
      </w:r>
      <w:r>
        <w:rPr>
          <w:rFonts w:ascii="Avenir Next"/>
          <w:i/>
          <w:spacing w:val="-3"/>
          <w:sz w:val="20"/>
        </w:rPr>
        <w:t xml:space="preserve"> </w:t>
      </w:r>
      <w:r>
        <w:rPr>
          <w:rFonts w:ascii="Avenir Next"/>
          <w:i/>
          <w:spacing w:val="-2"/>
          <w:sz w:val="20"/>
        </w:rPr>
        <w:t>Water</w:t>
      </w:r>
      <w:r>
        <w:rPr>
          <w:rFonts w:ascii="Avenir Next"/>
          <w:i/>
          <w:sz w:val="20"/>
        </w:rPr>
        <w:t xml:space="preserve"> </w:t>
      </w:r>
      <w:r>
        <w:rPr>
          <w:rFonts w:ascii="Avenir Next"/>
          <w:i/>
          <w:spacing w:val="-1"/>
          <w:sz w:val="20"/>
        </w:rPr>
        <w:t>Corporation,</w:t>
      </w:r>
      <w:r>
        <w:rPr>
          <w:rFonts w:ascii="Avenir Next"/>
          <w:i/>
          <w:spacing w:val="-11"/>
          <w:sz w:val="20"/>
        </w:rPr>
        <w:t xml:space="preserve"> </w:t>
      </w:r>
      <w:r>
        <w:rPr>
          <w:rFonts w:ascii="Avenir Next"/>
          <w:i/>
          <w:sz w:val="20"/>
        </w:rPr>
        <w:t>Aqwest and the</w:t>
      </w:r>
      <w:r>
        <w:rPr>
          <w:rFonts w:ascii="Avenir Next"/>
          <w:i/>
          <w:spacing w:val="-1"/>
          <w:sz w:val="20"/>
        </w:rPr>
        <w:t xml:space="preserve"> </w:t>
      </w:r>
      <w:r>
        <w:rPr>
          <w:rFonts w:ascii="Avenir Next"/>
          <w:i/>
          <w:sz w:val="20"/>
        </w:rPr>
        <w:t>Busselton</w:t>
      </w:r>
      <w:r>
        <w:rPr>
          <w:rFonts w:ascii="Avenir Next"/>
          <w:i/>
          <w:spacing w:val="-3"/>
          <w:sz w:val="20"/>
        </w:rPr>
        <w:t xml:space="preserve"> </w:t>
      </w:r>
      <w:r>
        <w:rPr>
          <w:rFonts w:ascii="Avenir Next"/>
          <w:i/>
          <w:spacing w:val="-2"/>
          <w:sz w:val="20"/>
        </w:rPr>
        <w:t>Water</w:t>
      </w:r>
      <w:r>
        <w:rPr>
          <w:rFonts w:ascii="Avenir Next"/>
          <w:i/>
          <w:spacing w:val="41"/>
          <w:sz w:val="20"/>
        </w:rPr>
        <w:t xml:space="preserve"> </w:t>
      </w:r>
      <w:r>
        <w:rPr>
          <w:rFonts w:ascii="Avenir Next"/>
          <w:i/>
          <w:spacing w:val="-1"/>
          <w:sz w:val="20"/>
        </w:rPr>
        <w:t xml:space="preserve">Board: Revised </w:t>
      </w:r>
      <w:r>
        <w:rPr>
          <w:rFonts w:ascii="Avenir Next"/>
          <w:i/>
          <w:sz w:val="20"/>
        </w:rPr>
        <w:t>final</w:t>
      </w:r>
      <w:r>
        <w:rPr>
          <w:rFonts w:ascii="Avenir Next"/>
          <w:i/>
          <w:spacing w:val="-1"/>
          <w:sz w:val="20"/>
        </w:rPr>
        <w:t xml:space="preserve"> report</w:t>
      </w:r>
      <w:r>
        <w:rPr>
          <w:rFonts w:ascii="Avenir Next"/>
          <w:spacing w:val="-1"/>
          <w:sz w:val="20"/>
        </w:rPr>
        <w:t>,</w:t>
      </w:r>
      <w:r>
        <w:rPr>
          <w:rFonts w:ascii="Avenir Next"/>
          <w:spacing w:val="-7"/>
          <w:sz w:val="20"/>
        </w:rPr>
        <w:t xml:space="preserve"> </w:t>
      </w:r>
      <w:r>
        <w:rPr>
          <w:rFonts w:ascii="Avenir Next"/>
          <w:spacing w:val="-1"/>
          <w:sz w:val="20"/>
        </w:rPr>
        <w:t>March</w:t>
      </w:r>
      <w:r>
        <w:rPr>
          <w:rFonts w:ascii="Avenir Next"/>
          <w:sz w:val="20"/>
        </w:rPr>
        <w:t xml:space="preserve"> 2013;</w:t>
      </w:r>
    </w:p>
    <w:p w:rsidR="00D96B91" w:rsidRDefault="00C2656B">
      <w:pPr>
        <w:spacing w:before="170" w:line="260" w:lineRule="exact"/>
        <w:ind w:left="1247" w:right="1548"/>
        <w:rPr>
          <w:rFonts w:ascii="Avenir Next" w:eastAsia="Avenir Next" w:hAnsi="Avenir Next" w:cs="Avenir Next"/>
          <w:sz w:val="20"/>
          <w:szCs w:val="20"/>
        </w:rPr>
      </w:pPr>
      <w:r>
        <w:rPr>
          <w:rFonts w:ascii="Avenir Next"/>
          <w:sz w:val="20"/>
        </w:rPr>
        <w:t>ESC,</w:t>
      </w:r>
      <w:r>
        <w:rPr>
          <w:rFonts w:ascii="Avenir Next"/>
          <w:spacing w:val="-6"/>
          <w:sz w:val="20"/>
        </w:rPr>
        <w:t xml:space="preserve"> </w:t>
      </w:r>
      <w:r>
        <w:rPr>
          <w:rFonts w:ascii="Avenir Next"/>
          <w:i/>
          <w:sz w:val="20"/>
        </w:rPr>
        <w:t xml:space="preserve">Assessing the </w:t>
      </w:r>
      <w:r>
        <w:rPr>
          <w:rFonts w:ascii="Avenir Next"/>
          <w:i/>
          <w:spacing w:val="-1"/>
          <w:sz w:val="20"/>
        </w:rPr>
        <w:t>Financial</w:t>
      </w:r>
      <w:r>
        <w:rPr>
          <w:rFonts w:ascii="Avenir Next"/>
          <w:i/>
          <w:spacing w:val="-4"/>
          <w:sz w:val="20"/>
        </w:rPr>
        <w:t xml:space="preserve"> </w:t>
      </w:r>
      <w:r>
        <w:rPr>
          <w:rFonts w:ascii="Avenir Next"/>
          <w:i/>
          <w:sz w:val="20"/>
        </w:rPr>
        <w:t>Viability of</w:t>
      </w:r>
      <w:r>
        <w:rPr>
          <w:rFonts w:ascii="Avenir Next"/>
          <w:i/>
          <w:spacing w:val="1"/>
          <w:sz w:val="20"/>
        </w:rPr>
        <w:t xml:space="preserve"> </w:t>
      </w:r>
      <w:r>
        <w:rPr>
          <w:rFonts w:ascii="Avenir Next"/>
          <w:i/>
          <w:sz w:val="20"/>
        </w:rPr>
        <w:t>Victorian</w:t>
      </w:r>
      <w:r>
        <w:rPr>
          <w:rFonts w:ascii="Avenir Next"/>
          <w:i/>
          <w:spacing w:val="-3"/>
          <w:sz w:val="20"/>
        </w:rPr>
        <w:t xml:space="preserve"> </w:t>
      </w:r>
      <w:r>
        <w:rPr>
          <w:rFonts w:ascii="Avenir Next"/>
          <w:i/>
          <w:spacing w:val="-2"/>
          <w:sz w:val="20"/>
        </w:rPr>
        <w:t>Water</w:t>
      </w:r>
      <w:r>
        <w:rPr>
          <w:rFonts w:ascii="Avenir Next"/>
          <w:i/>
          <w:sz w:val="20"/>
        </w:rPr>
        <w:t xml:space="preserve"> Businesses,</w:t>
      </w:r>
      <w:r>
        <w:rPr>
          <w:rFonts w:ascii="Avenir Next"/>
          <w:i/>
          <w:spacing w:val="-6"/>
          <w:sz w:val="20"/>
        </w:rPr>
        <w:t xml:space="preserve"> </w:t>
      </w:r>
      <w:r>
        <w:rPr>
          <w:rFonts w:ascii="Avenir Next"/>
          <w:i/>
          <w:sz w:val="20"/>
        </w:rPr>
        <w:t>Summary of</w:t>
      </w:r>
      <w:r>
        <w:rPr>
          <w:rFonts w:ascii="Avenir Next"/>
          <w:i/>
          <w:spacing w:val="4"/>
          <w:sz w:val="20"/>
        </w:rPr>
        <w:t xml:space="preserve"> </w:t>
      </w:r>
      <w:r>
        <w:rPr>
          <w:rFonts w:ascii="Avenir Next"/>
          <w:i/>
          <w:sz w:val="20"/>
        </w:rPr>
        <w:t xml:space="preserve">views and </w:t>
      </w:r>
      <w:r>
        <w:rPr>
          <w:rFonts w:ascii="Avenir Next"/>
          <w:i/>
          <w:spacing w:val="-1"/>
          <w:sz w:val="20"/>
        </w:rPr>
        <w:t>proposed</w:t>
      </w:r>
      <w:r>
        <w:rPr>
          <w:rFonts w:ascii="Avenir Next"/>
          <w:i/>
          <w:spacing w:val="29"/>
          <w:sz w:val="20"/>
        </w:rPr>
        <w:t xml:space="preserve"> </w:t>
      </w:r>
      <w:r>
        <w:rPr>
          <w:rFonts w:ascii="Avenir Next"/>
          <w:i/>
          <w:sz w:val="20"/>
        </w:rPr>
        <w:t xml:space="preserve">new </w:t>
      </w:r>
      <w:r>
        <w:rPr>
          <w:rFonts w:ascii="Avenir Next"/>
          <w:i/>
          <w:spacing w:val="-1"/>
          <w:sz w:val="20"/>
        </w:rPr>
        <w:t>indicator</w:t>
      </w:r>
      <w:r>
        <w:rPr>
          <w:rFonts w:ascii="Avenir Next"/>
          <w:spacing w:val="-1"/>
          <w:sz w:val="20"/>
        </w:rPr>
        <w:t>,</w:t>
      </w:r>
      <w:r>
        <w:rPr>
          <w:rFonts w:ascii="Avenir Next"/>
          <w:spacing w:val="-9"/>
          <w:sz w:val="20"/>
        </w:rPr>
        <w:t xml:space="preserve"> </w:t>
      </w:r>
      <w:r>
        <w:rPr>
          <w:rFonts w:ascii="Avenir Next"/>
          <w:sz w:val="20"/>
        </w:rPr>
        <w:t>June 2014.</w:t>
      </w:r>
    </w:p>
    <w:p w:rsidR="00D96B91" w:rsidRDefault="00C2656B">
      <w:pPr>
        <w:spacing w:before="178" w:line="377" w:lineRule="auto"/>
        <w:ind w:left="1247" w:right="2933"/>
        <w:rPr>
          <w:rFonts w:ascii="Avenir Next" w:eastAsia="Avenir Next" w:hAnsi="Avenir Next" w:cs="Avenir Next"/>
          <w:sz w:val="20"/>
          <w:szCs w:val="20"/>
        </w:rPr>
      </w:pPr>
      <w:r>
        <w:rPr>
          <w:rFonts w:ascii="Avenir Next"/>
          <w:sz w:val="20"/>
        </w:rPr>
        <w:t>ESC,</w:t>
      </w:r>
      <w:r>
        <w:rPr>
          <w:rFonts w:ascii="Avenir Next"/>
          <w:spacing w:val="-6"/>
          <w:sz w:val="20"/>
        </w:rPr>
        <w:t xml:space="preserve"> </w:t>
      </w:r>
      <w:r>
        <w:rPr>
          <w:rFonts w:ascii="Avenir Next"/>
          <w:i/>
          <w:spacing w:val="-1"/>
          <w:sz w:val="20"/>
        </w:rPr>
        <w:t>Final</w:t>
      </w:r>
      <w:r>
        <w:rPr>
          <w:rFonts w:ascii="Avenir Next"/>
          <w:i/>
          <w:sz w:val="20"/>
        </w:rPr>
        <w:t xml:space="preserve"> decision,</w:t>
      </w:r>
      <w:r>
        <w:rPr>
          <w:rFonts w:ascii="Avenir Next"/>
          <w:i/>
          <w:spacing w:val="-6"/>
          <w:sz w:val="20"/>
        </w:rPr>
        <w:t xml:space="preserve"> </w:t>
      </w:r>
      <w:r>
        <w:rPr>
          <w:rFonts w:ascii="Avenir Next"/>
          <w:i/>
          <w:spacing w:val="-2"/>
          <w:sz w:val="20"/>
        </w:rPr>
        <w:t>Price</w:t>
      </w:r>
      <w:r>
        <w:rPr>
          <w:rFonts w:ascii="Avenir Next"/>
          <w:i/>
          <w:sz w:val="20"/>
        </w:rPr>
        <w:t xml:space="preserve"> </w:t>
      </w:r>
      <w:r>
        <w:rPr>
          <w:rFonts w:ascii="Avenir Next"/>
          <w:i/>
          <w:spacing w:val="-1"/>
          <w:sz w:val="20"/>
        </w:rPr>
        <w:t>review:</w:t>
      </w:r>
      <w:r>
        <w:rPr>
          <w:rFonts w:ascii="Avenir Next"/>
          <w:i/>
          <w:sz w:val="20"/>
        </w:rPr>
        <w:t xml:space="preserve"> </w:t>
      </w:r>
      <w:r>
        <w:rPr>
          <w:rFonts w:ascii="Avenir Next"/>
          <w:i/>
          <w:spacing w:val="-1"/>
          <w:sz w:val="20"/>
        </w:rPr>
        <w:t>Greater</w:t>
      </w:r>
      <w:r>
        <w:rPr>
          <w:rFonts w:ascii="Avenir Next"/>
          <w:i/>
          <w:sz w:val="20"/>
        </w:rPr>
        <w:t xml:space="preserve"> </w:t>
      </w:r>
      <w:r>
        <w:rPr>
          <w:rFonts w:ascii="Avenir Next"/>
          <w:i/>
          <w:spacing w:val="-1"/>
          <w:sz w:val="20"/>
        </w:rPr>
        <w:t>Metropolitan</w:t>
      </w:r>
      <w:r>
        <w:rPr>
          <w:rFonts w:ascii="Avenir Next"/>
          <w:i/>
          <w:spacing w:val="-3"/>
          <w:sz w:val="20"/>
        </w:rPr>
        <w:t xml:space="preserve"> </w:t>
      </w:r>
      <w:r>
        <w:rPr>
          <w:rFonts w:ascii="Avenir Next"/>
          <w:i/>
          <w:spacing w:val="-2"/>
          <w:sz w:val="20"/>
        </w:rPr>
        <w:t>Water</w:t>
      </w:r>
      <w:r>
        <w:rPr>
          <w:rFonts w:ascii="Avenir Next"/>
          <w:i/>
          <w:sz w:val="20"/>
        </w:rPr>
        <w:t xml:space="preserve"> Businesses</w:t>
      </w:r>
      <w:r>
        <w:rPr>
          <w:rFonts w:ascii="Avenir Next"/>
          <w:sz w:val="20"/>
        </w:rPr>
        <w:t>,</w:t>
      </w:r>
      <w:r>
        <w:rPr>
          <w:rFonts w:ascii="Avenir Next"/>
          <w:spacing w:val="-9"/>
          <w:sz w:val="20"/>
        </w:rPr>
        <w:t xml:space="preserve"> </w:t>
      </w:r>
      <w:r>
        <w:rPr>
          <w:rFonts w:ascii="Avenir Next"/>
          <w:sz w:val="20"/>
        </w:rPr>
        <w:t>June 2013.</w:t>
      </w:r>
      <w:r>
        <w:rPr>
          <w:rFonts w:ascii="Avenir Next"/>
          <w:spacing w:val="37"/>
          <w:sz w:val="20"/>
        </w:rPr>
        <w:t xml:space="preserve"> </w:t>
      </w:r>
      <w:r>
        <w:rPr>
          <w:rFonts w:ascii="Avenir Next"/>
          <w:sz w:val="20"/>
        </w:rPr>
        <w:t xml:space="preserve">ESC; </w:t>
      </w:r>
      <w:r>
        <w:rPr>
          <w:rFonts w:ascii="Avenir Next"/>
          <w:i/>
          <w:spacing w:val="-1"/>
          <w:sz w:val="20"/>
        </w:rPr>
        <w:t>Final</w:t>
      </w:r>
      <w:r>
        <w:rPr>
          <w:rFonts w:ascii="Avenir Next"/>
          <w:i/>
          <w:sz w:val="20"/>
        </w:rPr>
        <w:t xml:space="preserve"> decision,</w:t>
      </w:r>
      <w:r>
        <w:rPr>
          <w:rFonts w:ascii="Avenir Next"/>
          <w:i/>
          <w:spacing w:val="-6"/>
          <w:sz w:val="20"/>
        </w:rPr>
        <w:t xml:space="preserve"> </w:t>
      </w:r>
      <w:r>
        <w:rPr>
          <w:rFonts w:ascii="Avenir Next"/>
          <w:i/>
          <w:spacing w:val="-2"/>
          <w:sz w:val="20"/>
        </w:rPr>
        <w:t>Price</w:t>
      </w:r>
      <w:r>
        <w:rPr>
          <w:rFonts w:ascii="Avenir Next"/>
          <w:i/>
          <w:sz w:val="20"/>
        </w:rPr>
        <w:t xml:space="preserve"> </w:t>
      </w:r>
      <w:r>
        <w:rPr>
          <w:rFonts w:ascii="Avenir Next"/>
          <w:i/>
          <w:spacing w:val="-1"/>
          <w:sz w:val="20"/>
        </w:rPr>
        <w:t>review:</w:t>
      </w:r>
      <w:r>
        <w:rPr>
          <w:rFonts w:ascii="Avenir Next"/>
          <w:i/>
          <w:sz w:val="20"/>
        </w:rPr>
        <w:t xml:space="preserve"> </w:t>
      </w:r>
      <w:r>
        <w:rPr>
          <w:rFonts w:ascii="Avenir Next"/>
          <w:i/>
          <w:spacing w:val="-1"/>
          <w:sz w:val="20"/>
        </w:rPr>
        <w:t>Regional</w:t>
      </w:r>
      <w:r>
        <w:rPr>
          <w:rFonts w:ascii="Avenir Next"/>
          <w:i/>
          <w:sz w:val="20"/>
        </w:rPr>
        <w:t xml:space="preserve"> urban </w:t>
      </w:r>
      <w:r>
        <w:rPr>
          <w:rFonts w:ascii="Avenir Next"/>
          <w:i/>
          <w:spacing w:val="-1"/>
          <w:sz w:val="20"/>
        </w:rPr>
        <w:t>water</w:t>
      </w:r>
      <w:r>
        <w:rPr>
          <w:rFonts w:ascii="Avenir Next"/>
          <w:i/>
          <w:sz w:val="20"/>
        </w:rPr>
        <w:t xml:space="preserve"> business</w:t>
      </w:r>
      <w:r>
        <w:rPr>
          <w:rFonts w:ascii="Avenir Next"/>
          <w:sz w:val="20"/>
        </w:rPr>
        <w:t>,</w:t>
      </w:r>
      <w:r>
        <w:rPr>
          <w:rFonts w:ascii="Avenir Next"/>
          <w:spacing w:val="-9"/>
          <w:sz w:val="20"/>
        </w:rPr>
        <w:t xml:space="preserve"> </w:t>
      </w:r>
      <w:r>
        <w:rPr>
          <w:rFonts w:ascii="Avenir Next"/>
          <w:sz w:val="20"/>
        </w:rPr>
        <w:t>June 2013.</w:t>
      </w:r>
    </w:p>
    <w:p w:rsidR="00D96B91" w:rsidRDefault="00C2656B">
      <w:pPr>
        <w:ind w:left="1247"/>
        <w:rPr>
          <w:rFonts w:ascii="Avenir Next" w:eastAsia="Avenir Next" w:hAnsi="Avenir Next" w:cs="Avenir Next"/>
          <w:sz w:val="20"/>
          <w:szCs w:val="20"/>
        </w:rPr>
      </w:pPr>
      <w:r>
        <w:rPr>
          <w:rFonts w:ascii="Avenir Next"/>
          <w:sz w:val="20"/>
        </w:rPr>
        <w:t>ESC,</w:t>
      </w:r>
      <w:r>
        <w:rPr>
          <w:rFonts w:ascii="Avenir Next"/>
          <w:spacing w:val="-6"/>
          <w:sz w:val="20"/>
        </w:rPr>
        <w:t xml:space="preserve"> </w:t>
      </w:r>
      <w:r>
        <w:rPr>
          <w:rFonts w:ascii="Avenir Next"/>
          <w:i/>
          <w:spacing w:val="-1"/>
          <w:sz w:val="20"/>
        </w:rPr>
        <w:t>Final</w:t>
      </w:r>
      <w:r>
        <w:rPr>
          <w:rFonts w:ascii="Avenir Next"/>
          <w:i/>
          <w:sz w:val="20"/>
        </w:rPr>
        <w:t xml:space="preserve"> decision,</w:t>
      </w:r>
      <w:r>
        <w:rPr>
          <w:rFonts w:ascii="Avenir Next"/>
          <w:i/>
          <w:spacing w:val="-6"/>
          <w:sz w:val="20"/>
        </w:rPr>
        <w:t xml:space="preserve"> </w:t>
      </w:r>
      <w:r>
        <w:rPr>
          <w:rFonts w:ascii="Avenir Next"/>
          <w:i/>
          <w:spacing w:val="-2"/>
          <w:sz w:val="20"/>
        </w:rPr>
        <w:t>Price</w:t>
      </w:r>
      <w:r>
        <w:rPr>
          <w:rFonts w:ascii="Avenir Next"/>
          <w:i/>
          <w:sz w:val="20"/>
        </w:rPr>
        <w:t xml:space="preserve"> </w:t>
      </w:r>
      <w:r>
        <w:rPr>
          <w:rFonts w:ascii="Avenir Next"/>
          <w:i/>
          <w:spacing w:val="-1"/>
          <w:sz w:val="20"/>
        </w:rPr>
        <w:t>review:</w:t>
      </w:r>
      <w:r>
        <w:rPr>
          <w:rFonts w:ascii="Avenir Next"/>
          <w:i/>
          <w:sz w:val="20"/>
        </w:rPr>
        <w:t xml:space="preserve"> </w:t>
      </w:r>
      <w:r>
        <w:rPr>
          <w:rFonts w:ascii="Avenir Next"/>
          <w:i/>
          <w:spacing w:val="-2"/>
          <w:sz w:val="20"/>
        </w:rPr>
        <w:t>Rural</w:t>
      </w:r>
      <w:r>
        <w:rPr>
          <w:rFonts w:ascii="Avenir Next"/>
          <w:i/>
          <w:sz w:val="20"/>
        </w:rPr>
        <w:t xml:space="preserve"> </w:t>
      </w:r>
      <w:r>
        <w:rPr>
          <w:rFonts w:ascii="Avenir Next"/>
          <w:i/>
          <w:spacing w:val="-1"/>
          <w:sz w:val="20"/>
        </w:rPr>
        <w:t>water</w:t>
      </w:r>
      <w:r>
        <w:rPr>
          <w:rFonts w:ascii="Avenir Next"/>
          <w:i/>
          <w:sz w:val="20"/>
        </w:rPr>
        <w:t xml:space="preserve"> businesses</w:t>
      </w:r>
      <w:r>
        <w:rPr>
          <w:rFonts w:ascii="Avenir Next"/>
          <w:sz w:val="20"/>
        </w:rPr>
        <w:t>,</w:t>
      </w:r>
      <w:r>
        <w:rPr>
          <w:rFonts w:ascii="Avenir Next"/>
          <w:spacing w:val="-9"/>
          <w:sz w:val="20"/>
        </w:rPr>
        <w:t xml:space="preserve"> </w:t>
      </w:r>
      <w:r>
        <w:rPr>
          <w:rFonts w:ascii="Avenir Next"/>
          <w:sz w:val="20"/>
        </w:rPr>
        <w:t>June 2013.</w:t>
      </w:r>
    </w:p>
    <w:p w:rsidR="00D96B91" w:rsidRDefault="00C2656B">
      <w:pPr>
        <w:spacing w:before="157"/>
        <w:ind w:left="1247"/>
        <w:rPr>
          <w:rFonts w:ascii="Avenir Next" w:eastAsia="Avenir Next" w:hAnsi="Avenir Next" w:cs="Avenir Next"/>
          <w:sz w:val="20"/>
          <w:szCs w:val="20"/>
        </w:rPr>
      </w:pPr>
      <w:r>
        <w:rPr>
          <w:rFonts w:ascii="Avenir Next" w:eastAsia="Avenir Next" w:hAnsi="Avenir Next" w:cs="Avenir Next"/>
          <w:spacing w:val="-3"/>
          <w:sz w:val="20"/>
          <w:szCs w:val="20"/>
        </w:rPr>
        <w:t>ESCOSA,</w:t>
      </w:r>
      <w:r>
        <w:rPr>
          <w:rFonts w:ascii="Avenir Next" w:eastAsia="Avenir Next" w:hAnsi="Avenir Next" w:cs="Avenir Next"/>
          <w:spacing w:val="-10"/>
          <w:sz w:val="20"/>
          <w:szCs w:val="20"/>
        </w:rPr>
        <w:t xml:space="preserve"> </w:t>
      </w:r>
      <w:r>
        <w:rPr>
          <w:rFonts w:ascii="Avenir Next" w:eastAsia="Avenir Next" w:hAnsi="Avenir Next" w:cs="Avenir Next"/>
          <w:i/>
          <w:spacing w:val="-3"/>
          <w:sz w:val="20"/>
          <w:szCs w:val="20"/>
        </w:rPr>
        <w:t>Final</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determination,</w:t>
      </w:r>
      <w:r>
        <w:rPr>
          <w:rFonts w:ascii="Avenir Next" w:eastAsia="Avenir Next" w:hAnsi="Avenir Next" w:cs="Avenir Next"/>
          <w:i/>
          <w:spacing w:val="-10"/>
          <w:sz w:val="20"/>
          <w:szCs w:val="20"/>
        </w:rPr>
        <w:t xml:space="preserve"> </w:t>
      </w:r>
      <w:r>
        <w:rPr>
          <w:rFonts w:ascii="Avenir Next" w:eastAsia="Avenir Next" w:hAnsi="Avenir Next" w:cs="Avenir Next"/>
          <w:i/>
          <w:spacing w:val="-1"/>
          <w:sz w:val="20"/>
          <w:szCs w:val="20"/>
        </w:rPr>
        <w:t>SA</w:t>
      </w:r>
      <w:r>
        <w:rPr>
          <w:rFonts w:ascii="Avenir Next" w:eastAsia="Avenir Next" w:hAnsi="Avenir Next" w:cs="Avenir Next"/>
          <w:i/>
          <w:spacing w:val="-10"/>
          <w:sz w:val="20"/>
          <w:szCs w:val="20"/>
        </w:rPr>
        <w:t xml:space="preserve"> </w:t>
      </w:r>
      <w:r>
        <w:rPr>
          <w:rFonts w:ascii="Avenir Next" w:eastAsia="Avenir Next" w:hAnsi="Avenir Next" w:cs="Avenir Next"/>
          <w:i/>
          <w:spacing w:val="-4"/>
          <w:sz w:val="20"/>
          <w:szCs w:val="20"/>
        </w:rPr>
        <w:t>Water’s</w:t>
      </w:r>
      <w:r>
        <w:rPr>
          <w:rFonts w:ascii="Avenir Next" w:eastAsia="Avenir Next" w:hAnsi="Avenir Next" w:cs="Avenir Next"/>
          <w:i/>
          <w:spacing w:val="-7"/>
          <w:sz w:val="20"/>
          <w:szCs w:val="20"/>
        </w:rPr>
        <w:t xml:space="preserve"> </w:t>
      </w:r>
      <w:r>
        <w:rPr>
          <w:rFonts w:ascii="Avenir Next" w:eastAsia="Avenir Next" w:hAnsi="Avenir Next" w:cs="Avenir Next"/>
          <w:i/>
          <w:spacing w:val="-3"/>
          <w:sz w:val="20"/>
          <w:szCs w:val="20"/>
        </w:rPr>
        <w:t>Water</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and</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Sewerage</w:t>
      </w:r>
      <w:r>
        <w:rPr>
          <w:rFonts w:ascii="Avenir Next" w:eastAsia="Avenir Next" w:hAnsi="Avenir Next" w:cs="Avenir Next"/>
          <w:i/>
          <w:spacing w:val="-4"/>
          <w:sz w:val="20"/>
          <w:szCs w:val="20"/>
        </w:rPr>
        <w:t xml:space="preserve"> </w:t>
      </w:r>
      <w:r>
        <w:rPr>
          <w:rFonts w:ascii="Avenir Next" w:eastAsia="Avenir Next" w:hAnsi="Avenir Next" w:cs="Avenir Next"/>
          <w:i/>
          <w:spacing w:val="-3"/>
          <w:sz w:val="20"/>
          <w:szCs w:val="20"/>
        </w:rPr>
        <w:t>Revenues</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2013-14</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to</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2015-16</w:t>
      </w:r>
      <w:r>
        <w:rPr>
          <w:rFonts w:ascii="Avenir Next" w:eastAsia="Avenir Next" w:hAnsi="Avenir Next" w:cs="Avenir Next"/>
          <w:spacing w:val="-2"/>
          <w:sz w:val="20"/>
          <w:szCs w:val="20"/>
        </w:rPr>
        <w:t>,</w:t>
      </w:r>
      <w:r>
        <w:rPr>
          <w:rFonts w:ascii="Avenir Next" w:eastAsia="Avenir Next" w:hAnsi="Avenir Next" w:cs="Avenir Next"/>
          <w:spacing w:val="-10"/>
          <w:sz w:val="20"/>
          <w:szCs w:val="20"/>
        </w:rPr>
        <w:t xml:space="preserve"> </w:t>
      </w:r>
      <w:r>
        <w:rPr>
          <w:rFonts w:ascii="Avenir Next" w:eastAsia="Avenir Next" w:hAnsi="Avenir Next" w:cs="Avenir Next"/>
          <w:spacing w:val="-2"/>
          <w:sz w:val="20"/>
          <w:szCs w:val="20"/>
        </w:rPr>
        <w:t>May</w:t>
      </w:r>
      <w:r>
        <w:rPr>
          <w:rFonts w:ascii="Avenir Next" w:eastAsia="Avenir Next" w:hAnsi="Avenir Next" w:cs="Avenir Next"/>
          <w:spacing w:val="-4"/>
          <w:sz w:val="20"/>
          <w:szCs w:val="20"/>
        </w:rPr>
        <w:t xml:space="preserve"> </w:t>
      </w:r>
      <w:r>
        <w:rPr>
          <w:rFonts w:ascii="Avenir Next" w:eastAsia="Avenir Next" w:hAnsi="Avenir Next" w:cs="Avenir Next"/>
          <w:spacing w:val="-2"/>
          <w:sz w:val="20"/>
          <w:szCs w:val="20"/>
        </w:rPr>
        <w:t>2013.</w:t>
      </w:r>
    </w:p>
    <w:p w:rsidR="00D96B91" w:rsidRDefault="00C2656B">
      <w:pPr>
        <w:spacing w:before="149" w:line="260" w:lineRule="exact"/>
        <w:ind w:left="1247" w:right="1548"/>
        <w:rPr>
          <w:rFonts w:ascii="Avenir Next" w:eastAsia="Avenir Next" w:hAnsi="Avenir Next" w:cs="Avenir Next"/>
          <w:sz w:val="20"/>
          <w:szCs w:val="20"/>
        </w:rPr>
      </w:pPr>
      <w:r>
        <w:rPr>
          <w:rFonts w:ascii="Avenir Next"/>
          <w:spacing w:val="-1"/>
          <w:sz w:val="20"/>
        </w:rPr>
        <w:t>Evans,</w:t>
      </w:r>
      <w:r>
        <w:rPr>
          <w:rFonts w:ascii="Avenir Next"/>
          <w:spacing w:val="-6"/>
          <w:sz w:val="20"/>
        </w:rPr>
        <w:t xml:space="preserve"> </w:t>
      </w:r>
      <w:r>
        <w:rPr>
          <w:rFonts w:ascii="Avenir Next"/>
          <w:sz w:val="20"/>
        </w:rPr>
        <w:t>L.</w:t>
      </w:r>
      <w:r>
        <w:rPr>
          <w:rFonts w:ascii="Avenir Next"/>
          <w:spacing w:val="-6"/>
          <w:sz w:val="20"/>
        </w:rPr>
        <w:t xml:space="preserve"> </w:t>
      </w:r>
      <w:r>
        <w:rPr>
          <w:rFonts w:ascii="Avenir Next"/>
          <w:i/>
          <w:spacing w:val="-1"/>
          <w:sz w:val="20"/>
        </w:rPr>
        <w:t>Competition</w:t>
      </w:r>
      <w:r>
        <w:rPr>
          <w:rFonts w:ascii="Avenir Next"/>
          <w:i/>
          <w:sz w:val="20"/>
        </w:rPr>
        <w:t xml:space="preserve"> </w:t>
      </w:r>
      <w:r>
        <w:rPr>
          <w:rFonts w:ascii="Avenir Next"/>
          <w:i/>
          <w:spacing w:val="-3"/>
          <w:sz w:val="20"/>
        </w:rPr>
        <w:t>Policy</w:t>
      </w:r>
      <w:r>
        <w:rPr>
          <w:rFonts w:ascii="Avenir Next"/>
          <w:i/>
          <w:sz w:val="20"/>
        </w:rPr>
        <w:t xml:space="preserve"> and Urban</w:t>
      </w:r>
      <w:r>
        <w:rPr>
          <w:rFonts w:ascii="Avenir Next"/>
          <w:i/>
          <w:spacing w:val="-3"/>
          <w:sz w:val="20"/>
        </w:rPr>
        <w:t xml:space="preserve"> </w:t>
      </w:r>
      <w:r>
        <w:rPr>
          <w:rFonts w:ascii="Avenir Next"/>
          <w:i/>
          <w:spacing w:val="-2"/>
          <w:sz w:val="20"/>
        </w:rPr>
        <w:t>Water</w:t>
      </w:r>
      <w:r>
        <w:rPr>
          <w:rFonts w:ascii="Avenir Next"/>
          <w:i/>
          <w:sz w:val="20"/>
        </w:rPr>
        <w:t xml:space="preserve"> </w:t>
      </w:r>
      <w:r>
        <w:rPr>
          <w:rFonts w:ascii="Avenir Next"/>
          <w:i/>
          <w:spacing w:val="-2"/>
          <w:sz w:val="20"/>
        </w:rPr>
        <w:t>Price</w:t>
      </w:r>
      <w:r>
        <w:rPr>
          <w:rFonts w:ascii="Avenir Next"/>
          <w:i/>
          <w:sz w:val="20"/>
        </w:rPr>
        <w:t xml:space="preserve"> </w:t>
      </w:r>
      <w:r>
        <w:rPr>
          <w:rFonts w:ascii="Avenir Next"/>
          <w:i/>
          <w:spacing w:val="-1"/>
          <w:sz w:val="20"/>
        </w:rPr>
        <w:t>Regulation:</w:t>
      </w:r>
      <w:r>
        <w:rPr>
          <w:rFonts w:ascii="Avenir Next"/>
          <w:i/>
          <w:spacing w:val="-4"/>
          <w:sz w:val="20"/>
        </w:rPr>
        <w:t xml:space="preserve"> </w:t>
      </w:r>
      <w:r>
        <w:rPr>
          <w:rFonts w:ascii="Avenir Next"/>
          <w:i/>
          <w:sz w:val="20"/>
        </w:rPr>
        <w:t>A</w:t>
      </w:r>
      <w:r>
        <w:rPr>
          <w:rFonts w:ascii="Avenir Next"/>
          <w:i/>
          <w:spacing w:val="-4"/>
          <w:sz w:val="20"/>
        </w:rPr>
        <w:t xml:space="preserve"> </w:t>
      </w:r>
      <w:r>
        <w:rPr>
          <w:rFonts w:ascii="Avenir Next"/>
          <w:i/>
          <w:spacing w:val="-1"/>
          <w:sz w:val="20"/>
        </w:rPr>
        <w:t>Report</w:t>
      </w:r>
      <w:r>
        <w:rPr>
          <w:rFonts w:ascii="Avenir Next"/>
          <w:i/>
          <w:sz w:val="20"/>
        </w:rPr>
        <w:t xml:space="preserve"> for</w:t>
      </w:r>
      <w:r>
        <w:rPr>
          <w:rFonts w:ascii="Avenir Next"/>
          <w:i/>
          <w:spacing w:val="-4"/>
          <w:sz w:val="20"/>
        </w:rPr>
        <w:t xml:space="preserve"> </w:t>
      </w:r>
      <w:r>
        <w:rPr>
          <w:rFonts w:ascii="Avenir Next"/>
          <w:i/>
          <w:spacing w:val="-1"/>
          <w:sz w:val="20"/>
        </w:rPr>
        <w:t>ACTEW</w:t>
      </w:r>
      <w:r>
        <w:rPr>
          <w:rFonts w:ascii="Avenir Next"/>
          <w:spacing w:val="-1"/>
          <w:sz w:val="20"/>
        </w:rPr>
        <w:t>,</w:t>
      </w:r>
      <w:r>
        <w:rPr>
          <w:rFonts w:ascii="Avenir Next"/>
          <w:spacing w:val="-6"/>
          <w:sz w:val="20"/>
        </w:rPr>
        <w:t xml:space="preserve"> </w:t>
      </w:r>
      <w:r>
        <w:rPr>
          <w:rFonts w:ascii="Avenir Next"/>
          <w:sz w:val="20"/>
        </w:rPr>
        <w:t>School of</w:t>
      </w:r>
      <w:r>
        <w:rPr>
          <w:rFonts w:ascii="Avenir Next"/>
          <w:spacing w:val="49"/>
          <w:sz w:val="20"/>
        </w:rPr>
        <w:t xml:space="preserve"> </w:t>
      </w:r>
      <w:r>
        <w:rPr>
          <w:rFonts w:ascii="Avenir Next"/>
          <w:sz w:val="20"/>
        </w:rPr>
        <w:t xml:space="preserve">Economics and </w:t>
      </w:r>
      <w:r>
        <w:rPr>
          <w:rFonts w:ascii="Avenir Next"/>
          <w:spacing w:val="-1"/>
          <w:sz w:val="20"/>
        </w:rPr>
        <w:t>Finance,</w:t>
      </w:r>
      <w:r>
        <w:rPr>
          <w:rFonts w:ascii="Avenir Next"/>
          <w:spacing w:val="-10"/>
          <w:sz w:val="20"/>
        </w:rPr>
        <w:t xml:space="preserve"> </w:t>
      </w:r>
      <w:r>
        <w:rPr>
          <w:rFonts w:ascii="Avenir Next"/>
          <w:spacing w:val="-1"/>
          <w:sz w:val="20"/>
        </w:rPr>
        <w:t>Victoria</w:t>
      </w:r>
      <w:r>
        <w:rPr>
          <w:rFonts w:ascii="Avenir Next"/>
          <w:sz w:val="20"/>
        </w:rPr>
        <w:t xml:space="preserve"> University of</w:t>
      </w:r>
      <w:r>
        <w:rPr>
          <w:rFonts w:ascii="Avenir Next"/>
          <w:spacing w:val="2"/>
          <w:sz w:val="20"/>
        </w:rPr>
        <w:t xml:space="preserve"> </w:t>
      </w:r>
      <w:r>
        <w:rPr>
          <w:rFonts w:ascii="Avenir Next"/>
          <w:spacing w:val="-1"/>
          <w:sz w:val="20"/>
        </w:rPr>
        <w:t>Wellington,</w:t>
      </w:r>
      <w:r>
        <w:rPr>
          <w:rFonts w:ascii="Avenir Next"/>
          <w:spacing w:val="-6"/>
          <w:sz w:val="20"/>
        </w:rPr>
        <w:t xml:space="preserve"> </w:t>
      </w:r>
      <w:r>
        <w:rPr>
          <w:rFonts w:ascii="Avenir Next"/>
          <w:sz w:val="20"/>
        </w:rPr>
        <w:t xml:space="preserve">New </w:t>
      </w:r>
      <w:r>
        <w:rPr>
          <w:rFonts w:ascii="Avenir Next"/>
          <w:spacing w:val="-1"/>
          <w:sz w:val="20"/>
        </w:rPr>
        <w:t>Zealand,</w:t>
      </w:r>
      <w:r>
        <w:rPr>
          <w:rFonts w:ascii="Avenir Next"/>
          <w:spacing w:val="-6"/>
          <w:sz w:val="20"/>
        </w:rPr>
        <w:t xml:space="preserve"> </w:t>
      </w:r>
      <w:r>
        <w:rPr>
          <w:rFonts w:ascii="Avenir Next"/>
          <w:sz w:val="20"/>
        </w:rPr>
        <w:t>10</w:t>
      </w:r>
      <w:r>
        <w:rPr>
          <w:rFonts w:ascii="Avenir Next"/>
          <w:spacing w:val="-4"/>
          <w:sz w:val="20"/>
        </w:rPr>
        <w:t xml:space="preserve"> </w:t>
      </w:r>
      <w:r>
        <w:rPr>
          <w:rFonts w:ascii="Avenir Next"/>
          <w:sz w:val="20"/>
        </w:rPr>
        <w:t>April 2013.</w:t>
      </w:r>
    </w:p>
    <w:p w:rsidR="00D96B91" w:rsidRDefault="00C2656B">
      <w:pPr>
        <w:spacing w:before="170" w:line="260" w:lineRule="exact"/>
        <w:ind w:left="1247" w:right="1270"/>
        <w:rPr>
          <w:rFonts w:ascii="Avenir Next" w:eastAsia="Avenir Next" w:hAnsi="Avenir Next" w:cs="Avenir Next"/>
          <w:sz w:val="20"/>
          <w:szCs w:val="20"/>
        </w:rPr>
      </w:pPr>
      <w:r>
        <w:rPr>
          <w:rFonts w:ascii="Avenir Next"/>
          <w:sz w:val="20"/>
        </w:rPr>
        <w:t>ICRC,</w:t>
      </w:r>
      <w:r>
        <w:rPr>
          <w:rFonts w:ascii="Avenir Next"/>
          <w:spacing w:val="-6"/>
          <w:sz w:val="20"/>
        </w:rPr>
        <w:t xml:space="preserve"> </w:t>
      </w:r>
      <w:r>
        <w:rPr>
          <w:rFonts w:ascii="Avenir Next"/>
          <w:i/>
          <w:spacing w:val="-1"/>
          <w:sz w:val="20"/>
        </w:rPr>
        <w:t>Final</w:t>
      </w:r>
      <w:r>
        <w:rPr>
          <w:rFonts w:ascii="Avenir Next"/>
          <w:i/>
          <w:sz w:val="20"/>
        </w:rPr>
        <w:t xml:space="preserve"> </w:t>
      </w:r>
      <w:r>
        <w:rPr>
          <w:rFonts w:ascii="Avenir Next"/>
          <w:i/>
          <w:spacing w:val="-1"/>
          <w:sz w:val="20"/>
        </w:rPr>
        <w:t>Report</w:t>
      </w:r>
      <w:r>
        <w:rPr>
          <w:rFonts w:ascii="Avenir Next"/>
          <w:i/>
          <w:sz w:val="20"/>
        </w:rPr>
        <w:t xml:space="preserve"> and </w:t>
      </w:r>
      <w:r>
        <w:rPr>
          <w:rFonts w:ascii="Avenir Next"/>
          <w:i/>
          <w:spacing w:val="-2"/>
          <w:sz w:val="20"/>
        </w:rPr>
        <w:t>Price</w:t>
      </w:r>
      <w:r>
        <w:rPr>
          <w:rFonts w:ascii="Avenir Next"/>
          <w:i/>
          <w:sz w:val="20"/>
        </w:rPr>
        <w:t xml:space="preserve"> </w:t>
      </w:r>
      <w:r>
        <w:rPr>
          <w:rFonts w:ascii="Avenir Next"/>
          <w:i/>
          <w:spacing w:val="-1"/>
          <w:sz w:val="20"/>
        </w:rPr>
        <w:t>Determination,</w:t>
      </w:r>
      <w:r>
        <w:rPr>
          <w:rFonts w:ascii="Avenir Next"/>
          <w:i/>
          <w:spacing w:val="-6"/>
          <w:sz w:val="20"/>
        </w:rPr>
        <w:t xml:space="preserve"> </w:t>
      </w:r>
      <w:r>
        <w:rPr>
          <w:rFonts w:ascii="Avenir Next"/>
          <w:i/>
          <w:spacing w:val="-1"/>
          <w:sz w:val="20"/>
        </w:rPr>
        <w:t>Investigation</w:t>
      </w:r>
      <w:r>
        <w:rPr>
          <w:rFonts w:ascii="Avenir Next"/>
          <w:i/>
          <w:sz w:val="20"/>
        </w:rPr>
        <w:t xml:space="preserve"> into prices for </w:t>
      </w:r>
      <w:r>
        <w:rPr>
          <w:rFonts w:ascii="Avenir Next"/>
          <w:i/>
          <w:spacing w:val="-1"/>
          <w:sz w:val="20"/>
        </w:rPr>
        <w:t>water</w:t>
      </w:r>
      <w:r>
        <w:rPr>
          <w:rFonts w:ascii="Avenir Next"/>
          <w:i/>
          <w:sz w:val="20"/>
        </w:rPr>
        <w:t xml:space="preserve"> and </w:t>
      </w:r>
      <w:r>
        <w:rPr>
          <w:rFonts w:ascii="Avenir Next"/>
          <w:i/>
          <w:spacing w:val="-1"/>
          <w:sz w:val="20"/>
        </w:rPr>
        <w:t>wastewater</w:t>
      </w:r>
      <w:r>
        <w:rPr>
          <w:rFonts w:ascii="Avenir Next"/>
          <w:i/>
          <w:sz w:val="20"/>
        </w:rPr>
        <w:t xml:space="preserve"> services in</w:t>
      </w:r>
      <w:r>
        <w:rPr>
          <w:rFonts w:ascii="Avenir Next"/>
          <w:i/>
          <w:spacing w:val="71"/>
          <w:sz w:val="20"/>
        </w:rPr>
        <w:t xml:space="preserve"> </w:t>
      </w:r>
      <w:r>
        <w:rPr>
          <w:rFonts w:ascii="Avenir Next"/>
          <w:i/>
          <w:sz w:val="20"/>
        </w:rPr>
        <w:t>the</w:t>
      </w:r>
      <w:r>
        <w:rPr>
          <w:rFonts w:ascii="Avenir Next"/>
          <w:i/>
          <w:spacing w:val="-4"/>
          <w:sz w:val="20"/>
        </w:rPr>
        <w:t xml:space="preserve"> </w:t>
      </w:r>
      <w:r>
        <w:rPr>
          <w:rFonts w:ascii="Avenir Next"/>
          <w:i/>
          <w:spacing w:val="-2"/>
          <w:sz w:val="20"/>
        </w:rPr>
        <w:t>ACT</w:t>
      </w:r>
      <w:r>
        <w:rPr>
          <w:rFonts w:ascii="Avenir Next"/>
          <w:spacing w:val="-2"/>
          <w:sz w:val="20"/>
        </w:rPr>
        <w:t>,</w:t>
      </w:r>
      <w:r>
        <w:rPr>
          <w:rFonts w:ascii="Avenir Next"/>
          <w:spacing w:val="-6"/>
          <w:sz w:val="20"/>
        </w:rPr>
        <w:t xml:space="preserve"> </w:t>
      </w:r>
      <w:r>
        <w:rPr>
          <w:rFonts w:ascii="Avenir Next"/>
          <w:spacing w:val="-1"/>
          <w:sz w:val="20"/>
        </w:rPr>
        <w:t>March</w:t>
      </w:r>
      <w:r>
        <w:rPr>
          <w:rFonts w:ascii="Avenir Next"/>
          <w:sz w:val="20"/>
        </w:rPr>
        <w:t xml:space="preserve"> 2004.</w:t>
      </w:r>
    </w:p>
    <w:p w:rsidR="00D96B91" w:rsidRDefault="00C2656B">
      <w:pPr>
        <w:spacing w:before="178" w:line="377" w:lineRule="auto"/>
        <w:ind w:left="1247" w:right="1513"/>
        <w:rPr>
          <w:rFonts w:ascii="Avenir Next" w:eastAsia="Avenir Next" w:hAnsi="Avenir Next" w:cs="Avenir Next"/>
          <w:sz w:val="20"/>
          <w:szCs w:val="20"/>
        </w:rPr>
      </w:pPr>
      <w:r>
        <w:rPr>
          <w:rFonts w:ascii="Avenir Next"/>
          <w:sz w:val="20"/>
        </w:rPr>
        <w:t>ICRC,</w:t>
      </w:r>
      <w:r>
        <w:rPr>
          <w:rFonts w:ascii="Avenir Next"/>
          <w:spacing w:val="-6"/>
          <w:sz w:val="20"/>
        </w:rPr>
        <w:t xml:space="preserve"> </w:t>
      </w:r>
      <w:r>
        <w:rPr>
          <w:rFonts w:ascii="Avenir Next"/>
          <w:i/>
          <w:spacing w:val="-2"/>
          <w:sz w:val="20"/>
        </w:rPr>
        <w:t>Draft</w:t>
      </w:r>
      <w:r>
        <w:rPr>
          <w:rFonts w:ascii="Avenir Next"/>
          <w:i/>
          <w:sz w:val="20"/>
        </w:rPr>
        <w:t xml:space="preserve"> </w:t>
      </w:r>
      <w:r>
        <w:rPr>
          <w:rFonts w:ascii="Avenir Next"/>
          <w:i/>
          <w:spacing w:val="-1"/>
          <w:sz w:val="20"/>
        </w:rPr>
        <w:t>Report</w:t>
      </w:r>
      <w:r>
        <w:rPr>
          <w:rFonts w:ascii="Avenir Next"/>
          <w:i/>
          <w:sz w:val="20"/>
        </w:rPr>
        <w:t xml:space="preserve"> and </w:t>
      </w:r>
      <w:r>
        <w:rPr>
          <w:rFonts w:ascii="Avenir Next"/>
          <w:i/>
          <w:spacing w:val="-2"/>
          <w:sz w:val="20"/>
        </w:rPr>
        <w:t>Price</w:t>
      </w:r>
      <w:r>
        <w:rPr>
          <w:rFonts w:ascii="Avenir Next"/>
          <w:i/>
          <w:sz w:val="20"/>
        </w:rPr>
        <w:t xml:space="preserve"> </w:t>
      </w:r>
      <w:r>
        <w:rPr>
          <w:rFonts w:ascii="Avenir Next"/>
          <w:i/>
          <w:spacing w:val="-1"/>
          <w:sz w:val="20"/>
        </w:rPr>
        <w:t>Determination,</w:t>
      </w:r>
      <w:r>
        <w:rPr>
          <w:rFonts w:ascii="Avenir Next"/>
          <w:i/>
          <w:spacing w:val="-9"/>
          <w:sz w:val="20"/>
        </w:rPr>
        <w:t xml:space="preserve"> </w:t>
      </w:r>
      <w:r>
        <w:rPr>
          <w:rFonts w:ascii="Avenir Next"/>
          <w:i/>
          <w:spacing w:val="-2"/>
          <w:sz w:val="20"/>
        </w:rPr>
        <w:t>Water</w:t>
      </w:r>
      <w:r>
        <w:rPr>
          <w:rFonts w:ascii="Avenir Next"/>
          <w:i/>
          <w:sz w:val="20"/>
        </w:rPr>
        <w:t xml:space="preserve"> and</w:t>
      </w:r>
      <w:r>
        <w:rPr>
          <w:rFonts w:ascii="Avenir Next"/>
          <w:i/>
          <w:spacing w:val="-3"/>
          <w:sz w:val="20"/>
        </w:rPr>
        <w:t xml:space="preserve"> </w:t>
      </w:r>
      <w:r>
        <w:rPr>
          <w:rFonts w:ascii="Avenir Next"/>
          <w:i/>
          <w:spacing w:val="-1"/>
          <w:sz w:val="20"/>
        </w:rPr>
        <w:t>Wastewater</w:t>
      </w:r>
      <w:r>
        <w:rPr>
          <w:rFonts w:ascii="Avenir Next"/>
          <w:i/>
          <w:sz w:val="20"/>
        </w:rPr>
        <w:t xml:space="preserve"> </w:t>
      </w:r>
      <w:r>
        <w:rPr>
          <w:rFonts w:ascii="Avenir Next"/>
          <w:i/>
          <w:spacing w:val="-2"/>
          <w:sz w:val="20"/>
        </w:rPr>
        <w:t>Price</w:t>
      </w:r>
      <w:r>
        <w:rPr>
          <w:rFonts w:ascii="Avenir Next"/>
          <w:i/>
          <w:sz w:val="20"/>
        </w:rPr>
        <w:t xml:space="preserve"> </w:t>
      </w:r>
      <w:r>
        <w:rPr>
          <w:rFonts w:ascii="Avenir Next"/>
          <w:i/>
          <w:spacing w:val="-1"/>
          <w:sz w:val="20"/>
        </w:rPr>
        <w:t>Review</w:t>
      </w:r>
      <w:r>
        <w:rPr>
          <w:rFonts w:ascii="Avenir Next"/>
          <w:spacing w:val="-1"/>
          <w:sz w:val="20"/>
        </w:rPr>
        <w:t>,</w:t>
      </w:r>
      <w:r>
        <w:rPr>
          <w:rFonts w:ascii="Avenir Next"/>
          <w:spacing w:val="-6"/>
          <w:sz w:val="20"/>
        </w:rPr>
        <w:t xml:space="preserve"> </w:t>
      </w:r>
      <w:r>
        <w:rPr>
          <w:rFonts w:ascii="Avenir Next"/>
          <w:sz w:val="20"/>
        </w:rPr>
        <w:t>December 2007.</w:t>
      </w:r>
      <w:r>
        <w:rPr>
          <w:rFonts w:ascii="Avenir Next"/>
          <w:spacing w:val="57"/>
          <w:sz w:val="20"/>
        </w:rPr>
        <w:t xml:space="preserve"> </w:t>
      </w:r>
      <w:r>
        <w:rPr>
          <w:rFonts w:ascii="Avenir Next"/>
          <w:sz w:val="20"/>
        </w:rPr>
        <w:t>ICRC,</w:t>
      </w:r>
      <w:r>
        <w:rPr>
          <w:rFonts w:ascii="Avenir Next"/>
          <w:spacing w:val="-6"/>
          <w:sz w:val="20"/>
        </w:rPr>
        <w:t xml:space="preserve"> </w:t>
      </w:r>
      <w:r>
        <w:rPr>
          <w:rFonts w:ascii="Avenir Next"/>
          <w:i/>
          <w:spacing w:val="-1"/>
          <w:sz w:val="20"/>
        </w:rPr>
        <w:t>Final</w:t>
      </w:r>
      <w:r>
        <w:rPr>
          <w:rFonts w:ascii="Avenir Next"/>
          <w:i/>
          <w:sz w:val="20"/>
        </w:rPr>
        <w:t xml:space="preserve"> </w:t>
      </w:r>
      <w:r>
        <w:rPr>
          <w:rFonts w:ascii="Avenir Next"/>
          <w:i/>
          <w:spacing w:val="-1"/>
          <w:sz w:val="20"/>
        </w:rPr>
        <w:t>Report</w:t>
      </w:r>
      <w:r>
        <w:rPr>
          <w:rFonts w:ascii="Avenir Next"/>
          <w:i/>
          <w:sz w:val="20"/>
        </w:rPr>
        <w:t xml:space="preserve"> and </w:t>
      </w:r>
      <w:r>
        <w:rPr>
          <w:rFonts w:ascii="Avenir Next"/>
          <w:i/>
          <w:spacing w:val="-2"/>
          <w:sz w:val="20"/>
        </w:rPr>
        <w:t>Price</w:t>
      </w:r>
      <w:r>
        <w:rPr>
          <w:rFonts w:ascii="Avenir Next"/>
          <w:i/>
          <w:sz w:val="20"/>
        </w:rPr>
        <w:t xml:space="preserve"> </w:t>
      </w:r>
      <w:r>
        <w:rPr>
          <w:rFonts w:ascii="Avenir Next"/>
          <w:i/>
          <w:spacing w:val="-1"/>
          <w:sz w:val="20"/>
        </w:rPr>
        <w:t>Determination,</w:t>
      </w:r>
      <w:r>
        <w:rPr>
          <w:rFonts w:ascii="Avenir Next"/>
          <w:i/>
          <w:spacing w:val="-9"/>
          <w:sz w:val="20"/>
        </w:rPr>
        <w:t xml:space="preserve"> </w:t>
      </w:r>
      <w:r>
        <w:rPr>
          <w:rFonts w:ascii="Avenir Next"/>
          <w:i/>
          <w:spacing w:val="-2"/>
          <w:sz w:val="20"/>
        </w:rPr>
        <w:t>Water</w:t>
      </w:r>
      <w:r>
        <w:rPr>
          <w:rFonts w:ascii="Avenir Next"/>
          <w:i/>
          <w:sz w:val="20"/>
        </w:rPr>
        <w:t xml:space="preserve"> and</w:t>
      </w:r>
      <w:r>
        <w:rPr>
          <w:rFonts w:ascii="Avenir Next"/>
          <w:i/>
          <w:spacing w:val="-3"/>
          <w:sz w:val="20"/>
        </w:rPr>
        <w:t xml:space="preserve"> </w:t>
      </w:r>
      <w:r>
        <w:rPr>
          <w:rFonts w:ascii="Avenir Next"/>
          <w:i/>
          <w:spacing w:val="-1"/>
          <w:sz w:val="20"/>
        </w:rPr>
        <w:t>Wastewater</w:t>
      </w:r>
      <w:r>
        <w:rPr>
          <w:rFonts w:ascii="Avenir Next"/>
          <w:i/>
          <w:sz w:val="20"/>
        </w:rPr>
        <w:t xml:space="preserve"> </w:t>
      </w:r>
      <w:r>
        <w:rPr>
          <w:rFonts w:ascii="Avenir Next"/>
          <w:i/>
          <w:spacing w:val="-2"/>
          <w:sz w:val="20"/>
        </w:rPr>
        <w:t>Price</w:t>
      </w:r>
      <w:r>
        <w:rPr>
          <w:rFonts w:ascii="Avenir Next"/>
          <w:i/>
          <w:sz w:val="20"/>
        </w:rPr>
        <w:t xml:space="preserve"> </w:t>
      </w:r>
      <w:r>
        <w:rPr>
          <w:rFonts w:ascii="Avenir Next"/>
          <w:i/>
          <w:spacing w:val="-1"/>
          <w:sz w:val="20"/>
        </w:rPr>
        <w:t>Review</w:t>
      </w:r>
      <w:r>
        <w:rPr>
          <w:rFonts w:ascii="Avenir Next"/>
          <w:spacing w:val="-1"/>
          <w:sz w:val="20"/>
        </w:rPr>
        <w:t>,</w:t>
      </w:r>
      <w:r>
        <w:rPr>
          <w:rFonts w:ascii="Avenir Next"/>
          <w:spacing w:val="-10"/>
          <w:sz w:val="20"/>
        </w:rPr>
        <w:t xml:space="preserve"> </w:t>
      </w:r>
      <w:r>
        <w:rPr>
          <w:rFonts w:ascii="Avenir Next"/>
          <w:sz w:val="20"/>
        </w:rPr>
        <w:t>April 2008.</w:t>
      </w:r>
    </w:p>
    <w:p w:rsidR="00D96B91" w:rsidRDefault="00C2656B">
      <w:pPr>
        <w:spacing w:line="377" w:lineRule="auto"/>
        <w:ind w:left="1247" w:right="3047"/>
        <w:rPr>
          <w:rFonts w:ascii="Avenir Next" w:eastAsia="Avenir Next" w:hAnsi="Avenir Next" w:cs="Avenir Next"/>
          <w:sz w:val="20"/>
          <w:szCs w:val="20"/>
        </w:rPr>
      </w:pPr>
      <w:r>
        <w:rPr>
          <w:rFonts w:ascii="Avenir Next"/>
          <w:sz w:val="20"/>
        </w:rPr>
        <w:t>ICRC,</w:t>
      </w:r>
      <w:r>
        <w:rPr>
          <w:rFonts w:ascii="Avenir Next"/>
          <w:spacing w:val="-6"/>
          <w:sz w:val="20"/>
        </w:rPr>
        <w:t xml:space="preserve"> </w:t>
      </w:r>
      <w:r>
        <w:rPr>
          <w:rFonts w:ascii="Avenir Next"/>
          <w:i/>
          <w:sz w:val="20"/>
        </w:rPr>
        <w:t xml:space="preserve">Issues </w:t>
      </w:r>
      <w:r>
        <w:rPr>
          <w:rFonts w:ascii="Avenir Next"/>
          <w:i/>
          <w:spacing w:val="-4"/>
          <w:sz w:val="20"/>
        </w:rPr>
        <w:t>Paper,</w:t>
      </w:r>
      <w:r>
        <w:rPr>
          <w:rFonts w:ascii="Avenir Next"/>
          <w:i/>
          <w:spacing w:val="-6"/>
          <w:sz w:val="20"/>
        </w:rPr>
        <w:t xml:space="preserve"> </w:t>
      </w:r>
      <w:r>
        <w:rPr>
          <w:rFonts w:ascii="Avenir Next"/>
          <w:i/>
          <w:spacing w:val="-1"/>
          <w:sz w:val="20"/>
        </w:rPr>
        <w:t>Regulated</w:t>
      </w:r>
      <w:r>
        <w:rPr>
          <w:rFonts w:ascii="Avenir Next"/>
          <w:i/>
          <w:sz w:val="20"/>
        </w:rPr>
        <w:t xml:space="preserve"> </w:t>
      </w:r>
      <w:r>
        <w:rPr>
          <w:rFonts w:ascii="Avenir Next"/>
          <w:i/>
          <w:spacing w:val="-1"/>
          <w:sz w:val="20"/>
        </w:rPr>
        <w:t>water</w:t>
      </w:r>
      <w:r>
        <w:rPr>
          <w:rFonts w:ascii="Avenir Next"/>
          <w:i/>
          <w:sz w:val="20"/>
        </w:rPr>
        <w:t xml:space="preserve"> and </w:t>
      </w:r>
      <w:r>
        <w:rPr>
          <w:rFonts w:ascii="Avenir Next"/>
          <w:i/>
          <w:spacing w:val="-1"/>
          <w:sz w:val="20"/>
        </w:rPr>
        <w:t>sewerage</w:t>
      </w:r>
      <w:r>
        <w:rPr>
          <w:rFonts w:ascii="Avenir Next"/>
          <w:i/>
          <w:sz w:val="20"/>
        </w:rPr>
        <w:t xml:space="preserve"> services 2013-18</w:t>
      </w:r>
      <w:r>
        <w:rPr>
          <w:rFonts w:ascii="Avenir Next"/>
          <w:sz w:val="20"/>
        </w:rPr>
        <w:t>,</w:t>
      </w:r>
      <w:r>
        <w:rPr>
          <w:rFonts w:ascii="Avenir Next"/>
          <w:spacing w:val="-6"/>
          <w:sz w:val="20"/>
        </w:rPr>
        <w:t xml:space="preserve"> </w:t>
      </w:r>
      <w:r>
        <w:rPr>
          <w:rFonts w:ascii="Avenir Next"/>
          <w:spacing w:val="-2"/>
          <w:sz w:val="20"/>
        </w:rPr>
        <w:t>February</w:t>
      </w:r>
      <w:r>
        <w:rPr>
          <w:rFonts w:ascii="Avenir Next"/>
          <w:sz w:val="20"/>
        </w:rPr>
        <w:t xml:space="preserve"> 2012.</w:t>
      </w:r>
      <w:r>
        <w:rPr>
          <w:rFonts w:ascii="Avenir Next"/>
          <w:spacing w:val="45"/>
          <w:sz w:val="20"/>
        </w:rPr>
        <w:t xml:space="preserve"> </w:t>
      </w:r>
      <w:r>
        <w:rPr>
          <w:rFonts w:ascii="Avenir Next"/>
          <w:sz w:val="20"/>
        </w:rPr>
        <w:t>ICRC,</w:t>
      </w:r>
      <w:r>
        <w:rPr>
          <w:rFonts w:ascii="Avenir Next"/>
          <w:spacing w:val="-6"/>
          <w:sz w:val="20"/>
        </w:rPr>
        <w:t xml:space="preserve"> </w:t>
      </w:r>
      <w:r>
        <w:rPr>
          <w:rFonts w:ascii="Avenir Next"/>
          <w:i/>
          <w:spacing w:val="-2"/>
          <w:sz w:val="20"/>
        </w:rPr>
        <w:t>Draft</w:t>
      </w:r>
      <w:r>
        <w:rPr>
          <w:rFonts w:ascii="Avenir Next"/>
          <w:i/>
          <w:sz w:val="20"/>
        </w:rPr>
        <w:t xml:space="preserve"> </w:t>
      </w:r>
      <w:r>
        <w:rPr>
          <w:rFonts w:ascii="Avenir Next"/>
          <w:i/>
          <w:spacing w:val="-1"/>
          <w:sz w:val="20"/>
        </w:rPr>
        <w:t>Report,</w:t>
      </w:r>
      <w:r>
        <w:rPr>
          <w:rFonts w:ascii="Avenir Next"/>
          <w:i/>
          <w:spacing w:val="-6"/>
          <w:sz w:val="20"/>
        </w:rPr>
        <w:t xml:space="preserve"> </w:t>
      </w:r>
      <w:r>
        <w:rPr>
          <w:rFonts w:ascii="Avenir Next"/>
          <w:i/>
          <w:spacing w:val="-1"/>
          <w:sz w:val="20"/>
        </w:rPr>
        <w:t>Regulated</w:t>
      </w:r>
      <w:r>
        <w:rPr>
          <w:rFonts w:ascii="Avenir Next"/>
          <w:i/>
          <w:spacing w:val="-3"/>
          <w:sz w:val="20"/>
        </w:rPr>
        <w:t xml:space="preserve"> </w:t>
      </w:r>
      <w:r>
        <w:rPr>
          <w:rFonts w:ascii="Avenir Next"/>
          <w:i/>
          <w:spacing w:val="-2"/>
          <w:sz w:val="20"/>
        </w:rPr>
        <w:t>Water</w:t>
      </w:r>
      <w:r>
        <w:rPr>
          <w:rFonts w:ascii="Avenir Next"/>
          <w:i/>
          <w:sz w:val="20"/>
        </w:rPr>
        <w:t xml:space="preserve"> and </w:t>
      </w:r>
      <w:r>
        <w:rPr>
          <w:rFonts w:ascii="Avenir Next"/>
          <w:i/>
          <w:spacing w:val="-1"/>
          <w:sz w:val="20"/>
        </w:rPr>
        <w:t>Sewerage</w:t>
      </w:r>
      <w:r>
        <w:rPr>
          <w:rFonts w:ascii="Avenir Next"/>
          <w:i/>
          <w:sz w:val="20"/>
        </w:rPr>
        <w:t xml:space="preserve"> Services</w:t>
      </w:r>
      <w:r>
        <w:rPr>
          <w:rFonts w:ascii="Avenir Next"/>
          <w:sz w:val="20"/>
        </w:rPr>
        <w:t>,</w:t>
      </w:r>
      <w:r>
        <w:rPr>
          <w:rFonts w:ascii="Avenir Next"/>
          <w:spacing w:val="-6"/>
          <w:sz w:val="20"/>
        </w:rPr>
        <w:t xml:space="preserve"> </w:t>
      </w:r>
      <w:r>
        <w:rPr>
          <w:rFonts w:ascii="Avenir Next"/>
          <w:spacing w:val="-2"/>
          <w:sz w:val="20"/>
        </w:rPr>
        <w:t>February</w:t>
      </w:r>
      <w:r>
        <w:rPr>
          <w:rFonts w:ascii="Avenir Next"/>
          <w:sz w:val="20"/>
        </w:rPr>
        <w:t xml:space="preserve"> 2013.</w:t>
      </w:r>
    </w:p>
    <w:p w:rsidR="00D96B91" w:rsidRDefault="00C2656B">
      <w:pPr>
        <w:spacing w:line="377" w:lineRule="auto"/>
        <w:ind w:left="1247" w:right="3696"/>
        <w:rPr>
          <w:rFonts w:ascii="Avenir Next" w:eastAsia="Avenir Next" w:hAnsi="Avenir Next" w:cs="Avenir Next"/>
          <w:sz w:val="20"/>
          <w:szCs w:val="20"/>
        </w:rPr>
      </w:pPr>
      <w:r>
        <w:rPr>
          <w:rFonts w:ascii="Avenir Next"/>
          <w:sz w:val="20"/>
        </w:rPr>
        <w:t>ICRC,</w:t>
      </w:r>
      <w:r>
        <w:rPr>
          <w:rFonts w:ascii="Avenir Next"/>
          <w:spacing w:val="-6"/>
          <w:sz w:val="20"/>
        </w:rPr>
        <w:t xml:space="preserve"> </w:t>
      </w:r>
      <w:r>
        <w:rPr>
          <w:rFonts w:ascii="Avenir Next"/>
          <w:i/>
          <w:spacing w:val="-1"/>
          <w:sz w:val="20"/>
        </w:rPr>
        <w:t>Final</w:t>
      </w:r>
      <w:r>
        <w:rPr>
          <w:rFonts w:ascii="Avenir Next"/>
          <w:i/>
          <w:sz w:val="20"/>
        </w:rPr>
        <w:t xml:space="preserve"> </w:t>
      </w:r>
      <w:r>
        <w:rPr>
          <w:rFonts w:ascii="Avenir Next"/>
          <w:i/>
          <w:spacing w:val="-1"/>
          <w:sz w:val="20"/>
        </w:rPr>
        <w:t>Report,</w:t>
      </w:r>
      <w:r>
        <w:rPr>
          <w:rFonts w:ascii="Avenir Next"/>
          <w:i/>
          <w:spacing w:val="-6"/>
          <w:sz w:val="20"/>
        </w:rPr>
        <w:t xml:space="preserve"> </w:t>
      </w:r>
      <w:r>
        <w:rPr>
          <w:rFonts w:ascii="Avenir Next"/>
          <w:i/>
          <w:spacing w:val="-1"/>
          <w:sz w:val="20"/>
        </w:rPr>
        <w:t>Regulated</w:t>
      </w:r>
      <w:r>
        <w:rPr>
          <w:rFonts w:ascii="Avenir Next"/>
          <w:i/>
          <w:spacing w:val="-3"/>
          <w:sz w:val="20"/>
        </w:rPr>
        <w:t xml:space="preserve"> </w:t>
      </w:r>
      <w:r>
        <w:rPr>
          <w:rFonts w:ascii="Avenir Next"/>
          <w:i/>
          <w:spacing w:val="-2"/>
          <w:sz w:val="20"/>
        </w:rPr>
        <w:t>Water</w:t>
      </w:r>
      <w:r>
        <w:rPr>
          <w:rFonts w:ascii="Avenir Next"/>
          <w:i/>
          <w:sz w:val="20"/>
        </w:rPr>
        <w:t xml:space="preserve"> and </w:t>
      </w:r>
      <w:r>
        <w:rPr>
          <w:rFonts w:ascii="Avenir Next"/>
          <w:i/>
          <w:spacing w:val="-1"/>
          <w:sz w:val="20"/>
        </w:rPr>
        <w:t>Sewerage</w:t>
      </w:r>
      <w:r>
        <w:rPr>
          <w:rFonts w:ascii="Avenir Next"/>
          <w:i/>
          <w:sz w:val="20"/>
        </w:rPr>
        <w:t xml:space="preserve"> Services</w:t>
      </w:r>
      <w:r>
        <w:rPr>
          <w:rFonts w:ascii="Avenir Next"/>
          <w:sz w:val="20"/>
        </w:rPr>
        <w:t>,</w:t>
      </w:r>
      <w:r>
        <w:rPr>
          <w:rFonts w:ascii="Avenir Next"/>
          <w:spacing w:val="-9"/>
          <w:sz w:val="20"/>
        </w:rPr>
        <w:t xml:space="preserve"> </w:t>
      </w:r>
      <w:r>
        <w:rPr>
          <w:rFonts w:ascii="Avenir Next"/>
          <w:sz w:val="20"/>
        </w:rPr>
        <w:t>June 2013.</w:t>
      </w:r>
      <w:r>
        <w:rPr>
          <w:rFonts w:ascii="Avenir Next"/>
          <w:spacing w:val="31"/>
          <w:sz w:val="20"/>
        </w:rPr>
        <w:t xml:space="preserve"> </w:t>
      </w:r>
      <w:r>
        <w:rPr>
          <w:rFonts w:ascii="Avenir Next"/>
          <w:sz w:val="20"/>
        </w:rPr>
        <w:t>ICRC,</w:t>
      </w:r>
      <w:r>
        <w:rPr>
          <w:rFonts w:ascii="Avenir Next"/>
          <w:spacing w:val="-6"/>
          <w:sz w:val="20"/>
        </w:rPr>
        <w:t xml:space="preserve"> </w:t>
      </w:r>
      <w:r>
        <w:rPr>
          <w:rFonts w:ascii="Avenir Next"/>
          <w:i/>
          <w:spacing w:val="-1"/>
          <w:sz w:val="20"/>
        </w:rPr>
        <w:t>Final</w:t>
      </w:r>
      <w:r>
        <w:rPr>
          <w:rFonts w:ascii="Avenir Next"/>
          <w:i/>
          <w:sz w:val="20"/>
        </w:rPr>
        <w:t xml:space="preserve"> Decision </w:t>
      </w:r>
      <w:r>
        <w:rPr>
          <w:rFonts w:ascii="Avenir Next"/>
          <w:i/>
          <w:spacing w:val="-2"/>
          <w:sz w:val="20"/>
        </w:rPr>
        <w:t>Pricing</w:t>
      </w:r>
      <w:r>
        <w:rPr>
          <w:rFonts w:ascii="Avenir Next"/>
          <w:i/>
          <w:sz w:val="20"/>
        </w:rPr>
        <w:t xml:space="preserve"> Model </w:t>
      </w:r>
      <w:r>
        <w:rPr>
          <w:rFonts w:ascii="Avenir Next"/>
          <w:i/>
          <w:spacing w:val="-1"/>
          <w:sz w:val="20"/>
        </w:rPr>
        <w:t>(Attachment</w:t>
      </w:r>
      <w:r>
        <w:rPr>
          <w:rFonts w:ascii="Avenir Next"/>
          <w:i/>
          <w:sz w:val="20"/>
        </w:rPr>
        <w:t xml:space="preserve"> 2)</w:t>
      </w:r>
      <w:r>
        <w:rPr>
          <w:rFonts w:ascii="Avenir Next"/>
          <w:sz w:val="20"/>
        </w:rPr>
        <w:t>,</w:t>
      </w:r>
      <w:r>
        <w:rPr>
          <w:rFonts w:ascii="Avenir Next"/>
          <w:spacing w:val="-9"/>
          <w:sz w:val="20"/>
        </w:rPr>
        <w:t xml:space="preserve"> </w:t>
      </w:r>
      <w:r>
        <w:rPr>
          <w:rFonts w:ascii="Avenir Next"/>
          <w:sz w:val="20"/>
        </w:rPr>
        <w:t>June 2013.</w:t>
      </w:r>
    </w:p>
    <w:p w:rsidR="00D96B91" w:rsidRDefault="00C2656B">
      <w:pPr>
        <w:ind w:left="1247"/>
        <w:rPr>
          <w:rFonts w:ascii="Avenir Next" w:eastAsia="Avenir Next" w:hAnsi="Avenir Next" w:cs="Avenir Next"/>
          <w:sz w:val="20"/>
          <w:szCs w:val="20"/>
        </w:rPr>
      </w:pPr>
      <w:r>
        <w:rPr>
          <w:rFonts w:ascii="Avenir Next"/>
          <w:sz w:val="20"/>
        </w:rPr>
        <w:t>ICRC,</w:t>
      </w:r>
      <w:r>
        <w:rPr>
          <w:rFonts w:ascii="Avenir Next"/>
          <w:spacing w:val="-6"/>
          <w:sz w:val="20"/>
        </w:rPr>
        <w:t xml:space="preserve"> </w:t>
      </w:r>
      <w:r>
        <w:rPr>
          <w:rFonts w:ascii="Avenir Next"/>
          <w:i/>
          <w:spacing w:val="-2"/>
          <w:sz w:val="20"/>
        </w:rPr>
        <w:t>Price</w:t>
      </w:r>
      <w:r>
        <w:rPr>
          <w:rFonts w:ascii="Avenir Next"/>
          <w:i/>
          <w:sz w:val="20"/>
        </w:rPr>
        <w:t xml:space="preserve"> </w:t>
      </w:r>
      <w:r>
        <w:rPr>
          <w:rFonts w:ascii="Avenir Next"/>
          <w:i/>
          <w:spacing w:val="-1"/>
          <w:sz w:val="20"/>
        </w:rPr>
        <w:t>Direction,</w:t>
      </w:r>
      <w:r>
        <w:rPr>
          <w:rFonts w:ascii="Avenir Next"/>
          <w:i/>
          <w:spacing w:val="-6"/>
          <w:sz w:val="20"/>
        </w:rPr>
        <w:t xml:space="preserve"> </w:t>
      </w:r>
      <w:r>
        <w:rPr>
          <w:rFonts w:ascii="Avenir Next"/>
          <w:i/>
          <w:spacing w:val="-1"/>
          <w:sz w:val="20"/>
        </w:rPr>
        <w:t>Regulated</w:t>
      </w:r>
      <w:r>
        <w:rPr>
          <w:rFonts w:ascii="Avenir Next"/>
          <w:i/>
          <w:spacing w:val="-3"/>
          <w:sz w:val="20"/>
        </w:rPr>
        <w:t xml:space="preserve"> </w:t>
      </w:r>
      <w:r>
        <w:rPr>
          <w:rFonts w:ascii="Avenir Next"/>
          <w:i/>
          <w:spacing w:val="-2"/>
          <w:sz w:val="20"/>
        </w:rPr>
        <w:t>Water</w:t>
      </w:r>
      <w:r>
        <w:rPr>
          <w:rFonts w:ascii="Avenir Next"/>
          <w:i/>
          <w:sz w:val="20"/>
        </w:rPr>
        <w:t xml:space="preserve"> and </w:t>
      </w:r>
      <w:r>
        <w:rPr>
          <w:rFonts w:ascii="Avenir Next"/>
          <w:i/>
          <w:spacing w:val="-1"/>
          <w:sz w:val="20"/>
        </w:rPr>
        <w:t>Sewerage</w:t>
      </w:r>
      <w:r>
        <w:rPr>
          <w:rFonts w:ascii="Avenir Next"/>
          <w:i/>
          <w:sz w:val="20"/>
        </w:rPr>
        <w:t xml:space="preserve"> Services</w:t>
      </w:r>
      <w:r>
        <w:rPr>
          <w:rFonts w:ascii="Avenir Next"/>
          <w:sz w:val="20"/>
        </w:rPr>
        <w:t>,</w:t>
      </w:r>
      <w:r>
        <w:rPr>
          <w:rFonts w:ascii="Avenir Next"/>
          <w:spacing w:val="-9"/>
          <w:sz w:val="20"/>
        </w:rPr>
        <w:t xml:space="preserve"> </w:t>
      </w:r>
      <w:r>
        <w:rPr>
          <w:rFonts w:ascii="Avenir Next"/>
          <w:sz w:val="20"/>
        </w:rPr>
        <w:t>June 2013.</w:t>
      </w:r>
    </w:p>
    <w:p w:rsidR="00D96B91" w:rsidRDefault="00C2656B">
      <w:pPr>
        <w:spacing w:before="149" w:line="260" w:lineRule="exact"/>
        <w:ind w:left="1247" w:right="1293"/>
        <w:rPr>
          <w:rFonts w:ascii="Avenir Next" w:eastAsia="Avenir Next" w:hAnsi="Avenir Next" w:cs="Avenir Next"/>
          <w:sz w:val="20"/>
          <w:szCs w:val="20"/>
        </w:rPr>
      </w:pPr>
      <w:r>
        <w:rPr>
          <w:rFonts w:ascii="Avenir Next" w:eastAsia="Avenir Next" w:hAnsi="Avenir Next" w:cs="Avenir Next"/>
          <w:sz w:val="20"/>
          <w:szCs w:val="20"/>
        </w:rPr>
        <w:t>ICRC,</w:t>
      </w:r>
      <w:r>
        <w:rPr>
          <w:rFonts w:ascii="Avenir Next" w:eastAsia="Avenir Next" w:hAnsi="Avenir Next" w:cs="Avenir Next"/>
          <w:spacing w:val="-6"/>
          <w:sz w:val="20"/>
          <w:szCs w:val="20"/>
        </w:rPr>
        <w:t xml:space="preserve"> </w:t>
      </w:r>
      <w:r>
        <w:rPr>
          <w:rFonts w:ascii="Avenir Next" w:eastAsia="Avenir Next" w:hAnsi="Avenir Next" w:cs="Avenir Next"/>
          <w:i/>
          <w:sz w:val="20"/>
          <w:szCs w:val="20"/>
        </w:rPr>
        <w:t xml:space="preserve">Media </w:t>
      </w:r>
      <w:r>
        <w:rPr>
          <w:rFonts w:ascii="Avenir Next" w:eastAsia="Avenir Next" w:hAnsi="Avenir Next" w:cs="Avenir Next"/>
          <w:i/>
          <w:spacing w:val="-1"/>
          <w:sz w:val="20"/>
          <w:szCs w:val="20"/>
        </w:rPr>
        <w:t>Release</w:t>
      </w:r>
      <w:r>
        <w:rPr>
          <w:rFonts w:ascii="Avenir Next" w:eastAsia="Avenir Next" w:hAnsi="Avenir Next" w:cs="Avenir Next"/>
          <w:i/>
          <w:sz w:val="20"/>
          <w:szCs w:val="20"/>
        </w:rPr>
        <w:t xml:space="preserve"> – </w:t>
      </w:r>
      <w:r>
        <w:rPr>
          <w:rFonts w:ascii="Avenir Next" w:eastAsia="Avenir Next" w:hAnsi="Avenir Next" w:cs="Avenir Next"/>
          <w:i/>
          <w:spacing w:val="-1"/>
          <w:sz w:val="20"/>
          <w:szCs w:val="20"/>
        </w:rPr>
        <w:t>Commission</w:t>
      </w:r>
      <w:r>
        <w:rPr>
          <w:rFonts w:ascii="Avenir Next" w:eastAsia="Avenir Next" w:hAnsi="Avenir Next" w:cs="Avenir Next"/>
          <w:i/>
          <w:sz w:val="20"/>
          <w:szCs w:val="20"/>
        </w:rPr>
        <w:t xml:space="preserve"> determines</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ACTEW</w:t>
      </w:r>
      <w:r>
        <w:rPr>
          <w:rFonts w:ascii="Avenir Next" w:eastAsia="Avenir Next" w:hAnsi="Avenir Next" w:cs="Avenir Next"/>
          <w:i/>
          <w:spacing w:val="-3"/>
          <w:sz w:val="20"/>
          <w:szCs w:val="20"/>
        </w:rPr>
        <w:t xml:space="preserve"> </w:t>
      </w:r>
      <w:r>
        <w:rPr>
          <w:rFonts w:ascii="Avenir Next" w:eastAsia="Avenir Next" w:hAnsi="Avenir Next" w:cs="Avenir Next"/>
          <w:i/>
          <w:spacing w:val="-1"/>
          <w:sz w:val="20"/>
          <w:szCs w:val="20"/>
        </w:rPr>
        <w:t>regulated</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water</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sewerage</w:t>
      </w:r>
      <w:r>
        <w:rPr>
          <w:rFonts w:ascii="Avenir Next" w:eastAsia="Avenir Next" w:hAnsi="Avenir Next" w:cs="Avenir Next"/>
          <w:i/>
          <w:sz w:val="20"/>
          <w:szCs w:val="20"/>
        </w:rPr>
        <w:t xml:space="preserve"> service prices for</w:t>
      </w:r>
      <w:r>
        <w:rPr>
          <w:rFonts w:ascii="Avenir Next" w:eastAsia="Avenir Next" w:hAnsi="Avenir Next" w:cs="Avenir Next"/>
          <w:i/>
          <w:spacing w:val="51"/>
          <w:sz w:val="20"/>
          <w:szCs w:val="20"/>
        </w:rPr>
        <w:t xml:space="preserve"> </w:t>
      </w:r>
      <w:r>
        <w:rPr>
          <w:rFonts w:ascii="Avenir Next" w:eastAsia="Avenir Next" w:hAnsi="Avenir Next" w:cs="Avenir Next"/>
          <w:i/>
          <w:sz w:val="20"/>
          <w:szCs w:val="20"/>
        </w:rPr>
        <w:t>2014-15</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24</w:t>
      </w:r>
      <w:r>
        <w:rPr>
          <w:rFonts w:ascii="Avenir Next" w:eastAsia="Avenir Next" w:hAnsi="Avenir Next" w:cs="Avenir Next"/>
          <w:spacing w:val="-3"/>
          <w:sz w:val="20"/>
          <w:szCs w:val="20"/>
        </w:rPr>
        <w:t xml:space="preserve"> </w:t>
      </w:r>
      <w:r>
        <w:rPr>
          <w:rFonts w:ascii="Avenir Next" w:eastAsia="Avenir Next" w:hAnsi="Avenir Next" w:cs="Avenir Next"/>
          <w:sz w:val="20"/>
          <w:szCs w:val="20"/>
        </w:rPr>
        <w:t>June 2014.</w:t>
      </w:r>
    </w:p>
    <w:p w:rsidR="00D96B91" w:rsidRDefault="00C2656B">
      <w:pPr>
        <w:spacing w:before="170" w:line="260" w:lineRule="exact"/>
        <w:ind w:left="1246" w:right="1256"/>
        <w:rPr>
          <w:rFonts w:ascii="Avenir Next" w:eastAsia="Avenir Next" w:hAnsi="Avenir Next" w:cs="Avenir Next"/>
          <w:sz w:val="20"/>
          <w:szCs w:val="20"/>
        </w:rPr>
      </w:pPr>
      <w:r>
        <w:rPr>
          <w:rFonts w:ascii="Avenir Next"/>
          <w:spacing w:val="-6"/>
          <w:sz w:val="20"/>
        </w:rPr>
        <w:t>IPART,</w:t>
      </w:r>
      <w:r>
        <w:rPr>
          <w:rFonts w:ascii="Avenir Next"/>
          <w:spacing w:val="-7"/>
          <w:sz w:val="20"/>
        </w:rPr>
        <w:t xml:space="preserve"> </w:t>
      </w:r>
      <w:r>
        <w:rPr>
          <w:rFonts w:ascii="Avenir Next"/>
          <w:i/>
          <w:spacing w:val="-1"/>
          <w:sz w:val="20"/>
        </w:rPr>
        <w:t xml:space="preserve">Review </w:t>
      </w:r>
      <w:r>
        <w:rPr>
          <w:rFonts w:ascii="Avenir Next"/>
          <w:i/>
          <w:sz w:val="20"/>
        </w:rPr>
        <w:t>of</w:t>
      </w:r>
      <w:r>
        <w:rPr>
          <w:rFonts w:ascii="Avenir Next"/>
          <w:i/>
          <w:spacing w:val="4"/>
          <w:sz w:val="20"/>
        </w:rPr>
        <w:t xml:space="preserve"> </w:t>
      </w:r>
      <w:r>
        <w:rPr>
          <w:rFonts w:ascii="Avenir Next"/>
          <w:i/>
          <w:sz w:val="20"/>
        </w:rPr>
        <w:t>prices</w:t>
      </w:r>
      <w:r>
        <w:rPr>
          <w:rFonts w:ascii="Avenir Next"/>
          <w:i/>
          <w:spacing w:val="-1"/>
          <w:sz w:val="20"/>
        </w:rPr>
        <w:t xml:space="preserve"> </w:t>
      </w:r>
      <w:r>
        <w:rPr>
          <w:rFonts w:ascii="Avenir Next"/>
          <w:i/>
          <w:sz w:val="20"/>
        </w:rPr>
        <w:t>for</w:t>
      </w:r>
      <w:r>
        <w:rPr>
          <w:rFonts w:ascii="Avenir Next"/>
          <w:i/>
          <w:spacing w:val="-1"/>
          <w:sz w:val="20"/>
        </w:rPr>
        <w:t xml:space="preserve"> </w:t>
      </w:r>
      <w:r>
        <w:rPr>
          <w:rFonts w:ascii="Avenir Next"/>
          <w:i/>
          <w:spacing w:val="-2"/>
          <w:sz w:val="20"/>
        </w:rPr>
        <w:t>water,</w:t>
      </w:r>
      <w:r>
        <w:rPr>
          <w:rFonts w:ascii="Avenir Next"/>
          <w:i/>
          <w:spacing w:val="-7"/>
          <w:sz w:val="20"/>
        </w:rPr>
        <w:t xml:space="preserve"> </w:t>
      </w:r>
      <w:r>
        <w:rPr>
          <w:rFonts w:ascii="Avenir Next"/>
          <w:i/>
          <w:spacing w:val="-1"/>
          <w:sz w:val="20"/>
        </w:rPr>
        <w:t>sewerage,</w:t>
      </w:r>
      <w:r>
        <w:rPr>
          <w:rFonts w:ascii="Avenir Next"/>
          <w:i/>
          <w:spacing w:val="-7"/>
          <w:sz w:val="20"/>
        </w:rPr>
        <w:t xml:space="preserve"> </w:t>
      </w:r>
      <w:r>
        <w:rPr>
          <w:rFonts w:ascii="Avenir Next"/>
          <w:i/>
          <w:spacing w:val="-1"/>
          <w:sz w:val="20"/>
        </w:rPr>
        <w:t xml:space="preserve">stormwater </w:t>
      </w:r>
      <w:r>
        <w:rPr>
          <w:rFonts w:ascii="Avenir Next"/>
          <w:i/>
          <w:sz w:val="20"/>
        </w:rPr>
        <w:t>and</w:t>
      </w:r>
      <w:r>
        <w:rPr>
          <w:rFonts w:ascii="Avenir Next"/>
          <w:i/>
          <w:spacing w:val="-1"/>
          <w:sz w:val="20"/>
        </w:rPr>
        <w:t xml:space="preserve"> </w:t>
      </w:r>
      <w:r>
        <w:rPr>
          <w:rFonts w:ascii="Avenir Next"/>
          <w:i/>
          <w:sz w:val="20"/>
        </w:rPr>
        <w:t>other</w:t>
      </w:r>
      <w:r>
        <w:rPr>
          <w:rFonts w:ascii="Avenir Next"/>
          <w:i/>
          <w:spacing w:val="-1"/>
          <w:sz w:val="20"/>
        </w:rPr>
        <w:t xml:space="preserve"> </w:t>
      </w:r>
      <w:r>
        <w:rPr>
          <w:rFonts w:ascii="Avenir Next"/>
          <w:i/>
          <w:sz w:val="20"/>
        </w:rPr>
        <w:t>services</w:t>
      </w:r>
      <w:r>
        <w:rPr>
          <w:rFonts w:ascii="Avenir Next"/>
          <w:i/>
          <w:spacing w:val="-1"/>
          <w:sz w:val="20"/>
        </w:rPr>
        <w:t xml:space="preserve"> </w:t>
      </w:r>
      <w:r>
        <w:rPr>
          <w:rFonts w:ascii="Avenir Next"/>
          <w:i/>
          <w:sz w:val="20"/>
        </w:rPr>
        <w:t>for</w:t>
      </w:r>
      <w:r>
        <w:rPr>
          <w:rFonts w:ascii="Avenir Next"/>
          <w:i/>
          <w:spacing w:val="-1"/>
          <w:sz w:val="20"/>
        </w:rPr>
        <w:t xml:space="preserve"> </w:t>
      </w:r>
      <w:r>
        <w:rPr>
          <w:rFonts w:ascii="Avenir Next"/>
          <w:i/>
          <w:sz w:val="20"/>
        </w:rPr>
        <w:t>Hunter</w:t>
      </w:r>
      <w:r>
        <w:rPr>
          <w:rFonts w:ascii="Avenir Next"/>
          <w:i/>
          <w:spacing w:val="-3"/>
          <w:sz w:val="20"/>
        </w:rPr>
        <w:t xml:space="preserve"> </w:t>
      </w:r>
      <w:r>
        <w:rPr>
          <w:rFonts w:ascii="Avenir Next"/>
          <w:i/>
          <w:spacing w:val="-2"/>
          <w:sz w:val="20"/>
        </w:rPr>
        <w:t>Water</w:t>
      </w:r>
      <w:r>
        <w:rPr>
          <w:rFonts w:ascii="Avenir Next"/>
          <w:i/>
          <w:spacing w:val="-1"/>
          <w:sz w:val="20"/>
        </w:rPr>
        <w:t xml:space="preserve"> Corporation</w:t>
      </w:r>
      <w:r>
        <w:rPr>
          <w:rFonts w:ascii="Avenir Next"/>
          <w:spacing w:val="-1"/>
          <w:sz w:val="20"/>
        </w:rPr>
        <w:t>,</w:t>
      </w:r>
      <w:r>
        <w:rPr>
          <w:rFonts w:ascii="Avenir Next"/>
          <w:spacing w:val="65"/>
          <w:sz w:val="20"/>
        </w:rPr>
        <w:t xml:space="preserve"> </w:t>
      </w:r>
      <w:r>
        <w:rPr>
          <w:rFonts w:ascii="Avenir Next"/>
          <w:sz w:val="20"/>
        </w:rPr>
        <w:t>2009.</w:t>
      </w:r>
    </w:p>
    <w:p w:rsidR="00D96B91" w:rsidRDefault="00C2656B">
      <w:pPr>
        <w:spacing w:before="178" w:line="377" w:lineRule="auto"/>
        <w:ind w:left="1246" w:right="1256"/>
        <w:rPr>
          <w:rFonts w:ascii="Avenir Next" w:eastAsia="Avenir Next" w:hAnsi="Avenir Next" w:cs="Avenir Next"/>
          <w:sz w:val="20"/>
          <w:szCs w:val="20"/>
        </w:rPr>
      </w:pPr>
      <w:r>
        <w:rPr>
          <w:rFonts w:ascii="Avenir Next" w:eastAsia="Avenir Next" w:hAnsi="Avenir Next" w:cs="Avenir Next"/>
          <w:spacing w:val="-6"/>
          <w:sz w:val="20"/>
          <w:szCs w:val="20"/>
        </w:rPr>
        <w:t xml:space="preserve">IPART,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z w:val="20"/>
          <w:szCs w:val="20"/>
        </w:rPr>
        <w:t xml:space="preserve"> –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regulated</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retail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tariffs</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charges</w:t>
      </w:r>
      <w:r>
        <w:rPr>
          <w:rFonts w:ascii="Avenir Next" w:eastAsia="Avenir Next" w:hAnsi="Avenir Next" w:cs="Avenir Next"/>
          <w:i/>
          <w:sz w:val="20"/>
          <w:szCs w:val="20"/>
        </w:rPr>
        <w:t xml:space="preserve"> for electricity 2010-2013</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pacing w:val="-1"/>
          <w:sz w:val="20"/>
          <w:szCs w:val="20"/>
        </w:rPr>
        <w:t>March</w:t>
      </w:r>
      <w:r>
        <w:rPr>
          <w:rFonts w:ascii="Avenir Next" w:eastAsia="Avenir Next" w:hAnsi="Avenir Next" w:cs="Avenir Next"/>
          <w:sz w:val="20"/>
          <w:szCs w:val="20"/>
        </w:rPr>
        <w:t xml:space="preserve"> 2010</w:t>
      </w:r>
      <w:r>
        <w:rPr>
          <w:rFonts w:ascii="Avenir Next" w:eastAsia="Avenir Next" w:hAnsi="Avenir Next" w:cs="Avenir Next"/>
          <w:spacing w:val="49"/>
          <w:sz w:val="20"/>
          <w:szCs w:val="20"/>
        </w:rPr>
        <w:t xml:space="preserve"> </w:t>
      </w:r>
      <w:r>
        <w:rPr>
          <w:rFonts w:ascii="Avenir Next" w:eastAsia="Avenir Next" w:hAnsi="Avenir Next" w:cs="Avenir Next"/>
          <w:spacing w:val="-6"/>
          <w:sz w:val="20"/>
          <w:szCs w:val="20"/>
        </w:rPr>
        <w:t xml:space="preserve">IPART, </w:t>
      </w:r>
      <w:r>
        <w:rPr>
          <w:rFonts w:ascii="Avenir Next" w:eastAsia="Avenir Next" w:hAnsi="Avenir Next" w:cs="Avenir Next"/>
          <w:i/>
          <w:spacing w:val="-2"/>
          <w:sz w:val="20"/>
          <w:szCs w:val="20"/>
        </w:rPr>
        <w:t>The</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incorporation</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company tax in pricing </w:t>
      </w:r>
      <w:r>
        <w:rPr>
          <w:rFonts w:ascii="Avenir Next" w:eastAsia="Avenir Next" w:hAnsi="Avenir Next" w:cs="Avenir Next"/>
          <w:i/>
          <w:spacing w:val="-1"/>
          <w:sz w:val="20"/>
          <w:szCs w:val="20"/>
        </w:rPr>
        <w:t>determinations</w:t>
      </w:r>
      <w:r>
        <w:rPr>
          <w:rFonts w:ascii="Avenir Next" w:eastAsia="Avenir Next" w:hAnsi="Avenir Next" w:cs="Avenir Next"/>
          <w:i/>
          <w:sz w:val="20"/>
          <w:szCs w:val="20"/>
        </w:rPr>
        <w:t xml:space="preserve"> –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decision</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December 2011.</w:t>
      </w:r>
    </w:p>
    <w:p w:rsidR="00D96B91" w:rsidRDefault="00D96B91">
      <w:pPr>
        <w:spacing w:line="377" w:lineRule="auto"/>
        <w:rPr>
          <w:rFonts w:ascii="Avenir Next" w:eastAsia="Avenir Next" w:hAnsi="Avenir Next" w:cs="Avenir Next"/>
          <w:sz w:val="20"/>
          <w:szCs w:val="20"/>
        </w:rPr>
        <w:sectPr w:rsidR="00D96B91">
          <w:footerReference w:type="even" r:id="rId141"/>
          <w:footerReference w:type="default" r:id="rId142"/>
          <w:pgSz w:w="11910" w:h="16840"/>
          <w:pgMar w:top="1200" w:right="0" w:bottom="1020" w:left="0" w:header="0" w:footer="829" w:gutter="0"/>
          <w:pgNumType w:start="187"/>
          <w:cols w:space="720"/>
        </w:sectPr>
      </w:pPr>
    </w:p>
    <w:p w:rsidR="00733490" w:rsidRDefault="00C2656B">
      <w:pPr>
        <w:spacing w:before="28" w:line="377" w:lineRule="auto"/>
        <w:ind w:left="1247" w:right="4261"/>
        <w:rPr>
          <w:rFonts w:ascii="Avenir Next"/>
          <w:spacing w:val="30"/>
          <w:sz w:val="20"/>
        </w:rPr>
      </w:pPr>
      <w:r>
        <w:rPr>
          <w:rFonts w:ascii="Avenir Next"/>
          <w:spacing w:val="-6"/>
          <w:sz w:val="20"/>
        </w:rPr>
        <w:t xml:space="preserve">IPART, </w:t>
      </w:r>
      <w:r>
        <w:rPr>
          <w:rFonts w:ascii="Avenir Next"/>
          <w:i/>
          <w:spacing w:val="-1"/>
          <w:sz w:val="20"/>
        </w:rPr>
        <w:t>Review</w:t>
      </w:r>
      <w:r>
        <w:rPr>
          <w:rFonts w:ascii="Avenir Next"/>
          <w:i/>
          <w:sz w:val="20"/>
        </w:rPr>
        <w:t xml:space="preserve"> of</w:t>
      </w:r>
      <w:r>
        <w:rPr>
          <w:rFonts w:ascii="Avenir Next"/>
          <w:i/>
          <w:spacing w:val="4"/>
          <w:sz w:val="20"/>
        </w:rPr>
        <w:t xml:space="preserve"> </w:t>
      </w:r>
      <w:r>
        <w:rPr>
          <w:rFonts w:ascii="Avenir Next"/>
          <w:i/>
          <w:sz w:val="20"/>
        </w:rPr>
        <w:t>method for determining the</w:t>
      </w:r>
      <w:r>
        <w:rPr>
          <w:rFonts w:ascii="Avenir Next"/>
          <w:i/>
          <w:spacing w:val="-3"/>
          <w:sz w:val="20"/>
        </w:rPr>
        <w:t xml:space="preserve"> </w:t>
      </w:r>
      <w:r>
        <w:rPr>
          <w:rFonts w:ascii="Avenir Next"/>
          <w:i/>
          <w:spacing w:val="-2"/>
          <w:sz w:val="20"/>
        </w:rPr>
        <w:t>WACC</w:t>
      </w:r>
      <w:r>
        <w:rPr>
          <w:rFonts w:ascii="Avenir Next"/>
          <w:spacing w:val="-2"/>
          <w:sz w:val="20"/>
        </w:rPr>
        <w:t>,</w:t>
      </w:r>
      <w:r>
        <w:rPr>
          <w:rFonts w:ascii="Avenir Next"/>
          <w:spacing w:val="-6"/>
          <w:sz w:val="20"/>
        </w:rPr>
        <w:t xml:space="preserve"> </w:t>
      </w:r>
      <w:r>
        <w:rPr>
          <w:rFonts w:ascii="Avenir Next"/>
          <w:sz w:val="20"/>
        </w:rPr>
        <w:t>December 2012.</w:t>
      </w:r>
      <w:r>
        <w:rPr>
          <w:rFonts w:ascii="Avenir Next"/>
          <w:spacing w:val="30"/>
          <w:sz w:val="20"/>
        </w:rPr>
        <w:t xml:space="preserve"> </w:t>
      </w:r>
    </w:p>
    <w:p w:rsidR="00D96B91" w:rsidRDefault="00C2656B">
      <w:pPr>
        <w:spacing w:before="28" w:line="377" w:lineRule="auto"/>
        <w:ind w:left="1247" w:right="4261"/>
        <w:rPr>
          <w:rFonts w:ascii="Avenir Next" w:eastAsia="Avenir Next" w:hAnsi="Avenir Next" w:cs="Avenir Next"/>
          <w:sz w:val="20"/>
          <w:szCs w:val="20"/>
        </w:rPr>
      </w:pPr>
      <w:r>
        <w:rPr>
          <w:rFonts w:ascii="Avenir Next"/>
          <w:spacing w:val="-6"/>
          <w:sz w:val="20"/>
        </w:rPr>
        <w:t xml:space="preserve">IPART, </w:t>
      </w:r>
      <w:r>
        <w:rPr>
          <w:rFonts w:ascii="Avenir Next"/>
          <w:i/>
          <w:spacing w:val="-1"/>
          <w:sz w:val="20"/>
        </w:rPr>
        <w:t>Final</w:t>
      </w:r>
      <w:r>
        <w:rPr>
          <w:rFonts w:ascii="Avenir Next"/>
          <w:i/>
          <w:sz w:val="20"/>
        </w:rPr>
        <w:t xml:space="preserve"> </w:t>
      </w:r>
      <w:r>
        <w:rPr>
          <w:rFonts w:ascii="Avenir Next"/>
          <w:i/>
          <w:spacing w:val="-1"/>
          <w:sz w:val="20"/>
        </w:rPr>
        <w:t>Report,</w:t>
      </w:r>
      <w:r>
        <w:rPr>
          <w:rFonts w:ascii="Avenir Next"/>
          <w:i/>
          <w:spacing w:val="-6"/>
          <w:sz w:val="20"/>
        </w:rPr>
        <w:t xml:space="preserve"> </w:t>
      </w:r>
      <w:r>
        <w:rPr>
          <w:rFonts w:ascii="Avenir Next"/>
          <w:i/>
          <w:spacing w:val="-1"/>
          <w:sz w:val="20"/>
        </w:rPr>
        <w:t>Review</w:t>
      </w:r>
      <w:r>
        <w:rPr>
          <w:rFonts w:ascii="Avenir Next"/>
          <w:i/>
          <w:sz w:val="20"/>
        </w:rPr>
        <w:t xml:space="preserve"> of</w:t>
      </w:r>
      <w:r>
        <w:rPr>
          <w:rFonts w:ascii="Avenir Next"/>
          <w:i/>
          <w:spacing w:val="2"/>
          <w:sz w:val="20"/>
        </w:rPr>
        <w:t xml:space="preserve"> </w:t>
      </w:r>
      <w:r>
        <w:rPr>
          <w:rFonts w:ascii="Avenir Next"/>
          <w:i/>
          <w:spacing w:val="-3"/>
          <w:sz w:val="20"/>
        </w:rPr>
        <w:t>WACC</w:t>
      </w:r>
      <w:r>
        <w:rPr>
          <w:rFonts w:ascii="Avenir Next"/>
          <w:i/>
          <w:sz w:val="20"/>
        </w:rPr>
        <w:t xml:space="preserve"> methodology</w:t>
      </w:r>
      <w:r>
        <w:rPr>
          <w:rFonts w:ascii="Avenir Next"/>
          <w:sz w:val="20"/>
        </w:rPr>
        <w:t>,</w:t>
      </w:r>
      <w:r>
        <w:rPr>
          <w:rFonts w:ascii="Avenir Next"/>
          <w:spacing w:val="-6"/>
          <w:sz w:val="20"/>
        </w:rPr>
        <w:t xml:space="preserve"> </w:t>
      </w:r>
      <w:r>
        <w:rPr>
          <w:rFonts w:ascii="Avenir Next"/>
          <w:sz w:val="20"/>
        </w:rPr>
        <w:t>December 2013.</w:t>
      </w:r>
    </w:p>
    <w:p w:rsidR="00D96B91" w:rsidRDefault="00C2656B">
      <w:pPr>
        <w:spacing w:before="9" w:line="228" w:lineRule="auto"/>
        <w:ind w:left="1247" w:right="1548"/>
        <w:rPr>
          <w:rFonts w:ascii="Avenir Next" w:eastAsia="Avenir Next" w:hAnsi="Avenir Next" w:cs="Avenir Next"/>
          <w:sz w:val="20"/>
          <w:szCs w:val="20"/>
        </w:rPr>
      </w:pPr>
      <w:r>
        <w:rPr>
          <w:rFonts w:ascii="Avenir Next" w:eastAsia="Avenir Next" w:hAnsi="Avenir Next" w:cs="Avenir Next"/>
          <w:spacing w:val="-6"/>
          <w:sz w:val="20"/>
          <w:szCs w:val="20"/>
        </w:rPr>
        <w:t xml:space="preserve">IPART,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prices for </w:t>
      </w:r>
      <w:r>
        <w:rPr>
          <w:rFonts w:ascii="Avenir Next" w:eastAsia="Avenir Next" w:hAnsi="Avenir Next" w:cs="Avenir Next"/>
          <w:i/>
          <w:spacing w:val="-1"/>
          <w:sz w:val="20"/>
          <w:szCs w:val="20"/>
        </w:rPr>
        <w:t>Sydney</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Corporation’s</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sewerage,</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stormwater</w:t>
      </w:r>
      <w:r>
        <w:rPr>
          <w:rFonts w:ascii="Avenir Next" w:eastAsia="Avenir Next" w:hAnsi="Avenir Next" w:cs="Avenir Next"/>
          <w:i/>
          <w:spacing w:val="83"/>
          <w:sz w:val="20"/>
          <w:szCs w:val="20"/>
        </w:rPr>
        <w:t xml:space="preserve"> </w:t>
      </w:r>
      <w:r>
        <w:rPr>
          <w:rFonts w:ascii="Avenir Next" w:eastAsia="Avenir Next" w:hAnsi="Avenir Next" w:cs="Avenir Next"/>
          <w:i/>
          <w:spacing w:val="-1"/>
          <w:sz w:val="20"/>
          <w:szCs w:val="20"/>
        </w:rPr>
        <w:t>drainage</w:t>
      </w:r>
      <w:r>
        <w:rPr>
          <w:rFonts w:ascii="Avenir Next" w:eastAsia="Avenir Next" w:hAnsi="Avenir Next" w:cs="Avenir Next"/>
          <w:i/>
          <w:sz w:val="20"/>
          <w:szCs w:val="20"/>
        </w:rPr>
        <w:t xml:space="preserve"> and other services</w:t>
      </w:r>
      <w:r>
        <w:rPr>
          <w:rFonts w:ascii="Avenir Next" w:eastAsia="Avenir Next" w:hAnsi="Avenir Next" w:cs="Avenir Next"/>
          <w:sz w:val="20"/>
          <w:szCs w:val="20"/>
        </w:rPr>
        <w:t>,</w:t>
      </w:r>
      <w:r>
        <w:rPr>
          <w:rFonts w:ascii="Avenir Next" w:eastAsia="Avenir Next" w:hAnsi="Avenir Next" w:cs="Avenir Next"/>
          <w:spacing w:val="-9"/>
          <w:sz w:val="20"/>
          <w:szCs w:val="20"/>
        </w:rPr>
        <w:t xml:space="preserve"> </w:t>
      </w:r>
      <w:r>
        <w:rPr>
          <w:rFonts w:ascii="Avenir Next" w:eastAsia="Avenir Next" w:hAnsi="Avenir Next" w:cs="Avenir Next"/>
          <w:sz w:val="20"/>
          <w:szCs w:val="20"/>
        </w:rPr>
        <w:t>June 2012.</w:t>
      </w:r>
    </w:p>
    <w:p w:rsidR="00D96B91" w:rsidRDefault="00C2656B">
      <w:pPr>
        <w:spacing w:before="152" w:line="260" w:lineRule="exact"/>
        <w:ind w:left="1247" w:right="1256"/>
        <w:rPr>
          <w:rFonts w:ascii="Avenir Next" w:eastAsia="Avenir Next" w:hAnsi="Avenir Next" w:cs="Avenir Next"/>
          <w:sz w:val="20"/>
          <w:szCs w:val="20"/>
        </w:rPr>
      </w:pPr>
      <w:r>
        <w:rPr>
          <w:rFonts w:ascii="Avenir Next"/>
          <w:spacing w:val="-6"/>
          <w:sz w:val="20"/>
        </w:rPr>
        <w:t xml:space="preserve">IPART, </w:t>
      </w:r>
      <w:r>
        <w:rPr>
          <w:rFonts w:ascii="Avenir Next"/>
          <w:i/>
          <w:spacing w:val="-1"/>
          <w:sz w:val="20"/>
        </w:rPr>
        <w:t>Final</w:t>
      </w:r>
      <w:r>
        <w:rPr>
          <w:rFonts w:ascii="Avenir Next"/>
          <w:i/>
          <w:sz w:val="20"/>
        </w:rPr>
        <w:t xml:space="preserve"> </w:t>
      </w:r>
      <w:r>
        <w:rPr>
          <w:rFonts w:ascii="Avenir Next"/>
          <w:i/>
          <w:spacing w:val="-1"/>
          <w:sz w:val="20"/>
        </w:rPr>
        <w:t>Report,</w:t>
      </w:r>
      <w:r>
        <w:rPr>
          <w:rFonts w:ascii="Avenir Next"/>
          <w:i/>
          <w:spacing w:val="-6"/>
          <w:sz w:val="20"/>
        </w:rPr>
        <w:t xml:space="preserve"> </w:t>
      </w:r>
      <w:r>
        <w:rPr>
          <w:rFonts w:ascii="Avenir Next"/>
          <w:i/>
          <w:spacing w:val="-1"/>
          <w:sz w:val="20"/>
        </w:rPr>
        <w:t>Review</w:t>
      </w:r>
      <w:r>
        <w:rPr>
          <w:rFonts w:ascii="Avenir Next"/>
          <w:i/>
          <w:sz w:val="20"/>
        </w:rPr>
        <w:t xml:space="preserve"> of</w:t>
      </w:r>
      <w:r>
        <w:rPr>
          <w:rFonts w:ascii="Avenir Next"/>
          <w:i/>
          <w:spacing w:val="4"/>
          <w:sz w:val="20"/>
        </w:rPr>
        <w:t xml:space="preserve"> </w:t>
      </w:r>
      <w:r>
        <w:rPr>
          <w:rFonts w:ascii="Avenir Next"/>
          <w:i/>
          <w:sz w:val="20"/>
        </w:rPr>
        <w:t xml:space="preserve">prices for </w:t>
      </w:r>
      <w:r>
        <w:rPr>
          <w:rFonts w:ascii="Avenir Next"/>
          <w:i/>
          <w:spacing w:val="-1"/>
          <w:sz w:val="20"/>
        </w:rPr>
        <w:t>Gosford</w:t>
      </w:r>
      <w:r>
        <w:rPr>
          <w:rFonts w:ascii="Avenir Next"/>
          <w:i/>
          <w:sz w:val="20"/>
        </w:rPr>
        <w:t xml:space="preserve"> City </w:t>
      </w:r>
      <w:r>
        <w:rPr>
          <w:rFonts w:ascii="Avenir Next"/>
          <w:i/>
          <w:spacing w:val="-1"/>
          <w:sz w:val="20"/>
        </w:rPr>
        <w:t>Council</w:t>
      </w:r>
      <w:r>
        <w:rPr>
          <w:rFonts w:ascii="Avenir Next"/>
          <w:i/>
          <w:sz w:val="20"/>
        </w:rPr>
        <w:t xml:space="preserve"> and</w:t>
      </w:r>
      <w:r>
        <w:rPr>
          <w:rFonts w:ascii="Avenir Next"/>
          <w:i/>
          <w:spacing w:val="-3"/>
          <w:sz w:val="20"/>
        </w:rPr>
        <w:t xml:space="preserve"> </w:t>
      </w:r>
      <w:r>
        <w:rPr>
          <w:rFonts w:ascii="Avenir Next"/>
          <w:i/>
          <w:spacing w:val="-1"/>
          <w:sz w:val="20"/>
        </w:rPr>
        <w:t>Wyong</w:t>
      </w:r>
      <w:r>
        <w:rPr>
          <w:rFonts w:ascii="Avenir Next"/>
          <w:i/>
          <w:sz w:val="20"/>
        </w:rPr>
        <w:t xml:space="preserve"> </w:t>
      </w:r>
      <w:r>
        <w:rPr>
          <w:rFonts w:ascii="Avenir Next"/>
          <w:i/>
          <w:spacing w:val="-1"/>
          <w:sz w:val="20"/>
        </w:rPr>
        <w:t>Shire</w:t>
      </w:r>
      <w:r>
        <w:rPr>
          <w:rFonts w:ascii="Avenir Next"/>
          <w:i/>
          <w:sz w:val="20"/>
        </w:rPr>
        <w:t xml:space="preserve"> </w:t>
      </w:r>
      <w:r>
        <w:rPr>
          <w:rFonts w:ascii="Avenir Next"/>
          <w:i/>
          <w:spacing w:val="-1"/>
          <w:sz w:val="20"/>
        </w:rPr>
        <w:t>Council:</w:t>
      </w:r>
      <w:r>
        <w:rPr>
          <w:rFonts w:ascii="Avenir Next"/>
          <w:i/>
          <w:sz w:val="20"/>
        </w:rPr>
        <w:t xml:space="preserve"> </w:t>
      </w:r>
      <w:r>
        <w:rPr>
          <w:rFonts w:ascii="Avenir Next"/>
          <w:i/>
          <w:spacing w:val="-2"/>
          <w:sz w:val="20"/>
        </w:rPr>
        <w:t>Prices</w:t>
      </w:r>
      <w:r>
        <w:rPr>
          <w:rFonts w:ascii="Avenir Next"/>
          <w:i/>
          <w:sz w:val="20"/>
        </w:rPr>
        <w:t xml:space="preserve"> for </w:t>
      </w:r>
      <w:r>
        <w:rPr>
          <w:rFonts w:ascii="Avenir Next"/>
          <w:i/>
          <w:spacing w:val="-2"/>
          <w:sz w:val="20"/>
        </w:rPr>
        <w:t>water,</w:t>
      </w:r>
      <w:r>
        <w:rPr>
          <w:rFonts w:ascii="Avenir Next"/>
          <w:i/>
          <w:spacing w:val="61"/>
          <w:sz w:val="20"/>
        </w:rPr>
        <w:t xml:space="preserve"> </w:t>
      </w:r>
      <w:r>
        <w:rPr>
          <w:rFonts w:ascii="Avenir Next"/>
          <w:i/>
          <w:spacing w:val="-1"/>
          <w:sz w:val="20"/>
        </w:rPr>
        <w:t>sewerage</w:t>
      </w:r>
      <w:r>
        <w:rPr>
          <w:rFonts w:ascii="Avenir Next"/>
          <w:i/>
          <w:sz w:val="20"/>
        </w:rPr>
        <w:t xml:space="preserve"> and </w:t>
      </w:r>
      <w:r>
        <w:rPr>
          <w:rFonts w:ascii="Avenir Next"/>
          <w:i/>
          <w:spacing w:val="-1"/>
          <w:sz w:val="20"/>
        </w:rPr>
        <w:t>stormwater</w:t>
      </w:r>
      <w:r>
        <w:rPr>
          <w:rFonts w:ascii="Avenir Next"/>
          <w:i/>
          <w:sz w:val="20"/>
        </w:rPr>
        <w:t xml:space="preserve"> </w:t>
      </w:r>
      <w:r>
        <w:rPr>
          <w:rFonts w:ascii="Avenir Next"/>
          <w:i/>
          <w:spacing w:val="-1"/>
          <w:sz w:val="20"/>
        </w:rPr>
        <w:t>drainage</w:t>
      </w:r>
      <w:r>
        <w:rPr>
          <w:rFonts w:ascii="Avenir Next"/>
          <w:i/>
          <w:sz w:val="20"/>
        </w:rPr>
        <w:t xml:space="preserve"> services</w:t>
      </w:r>
      <w:r>
        <w:rPr>
          <w:rFonts w:ascii="Avenir Next"/>
          <w:sz w:val="20"/>
        </w:rPr>
        <w:t>,</w:t>
      </w:r>
      <w:r>
        <w:rPr>
          <w:rFonts w:ascii="Avenir Next"/>
          <w:spacing w:val="-6"/>
          <w:sz w:val="20"/>
        </w:rPr>
        <w:t xml:space="preserve"> </w:t>
      </w:r>
      <w:r>
        <w:rPr>
          <w:rFonts w:ascii="Avenir Next"/>
          <w:sz w:val="20"/>
        </w:rPr>
        <w:t>May 2013.</w:t>
      </w:r>
    </w:p>
    <w:p w:rsidR="00D96B91" w:rsidRDefault="00C2656B">
      <w:pPr>
        <w:spacing w:before="170" w:line="260" w:lineRule="exact"/>
        <w:ind w:left="1247" w:right="1548"/>
        <w:rPr>
          <w:rFonts w:ascii="Avenir Next" w:eastAsia="Avenir Next" w:hAnsi="Avenir Next" w:cs="Avenir Next"/>
          <w:sz w:val="20"/>
          <w:szCs w:val="20"/>
        </w:rPr>
      </w:pPr>
      <w:r>
        <w:rPr>
          <w:rFonts w:ascii="Avenir Next" w:eastAsia="Avenir Next" w:hAnsi="Avenir Next" w:cs="Avenir Next"/>
          <w:spacing w:val="-6"/>
          <w:sz w:val="20"/>
          <w:szCs w:val="20"/>
        </w:rPr>
        <w:t xml:space="preserve">IPART,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prices for Hunter</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Corporation’s</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sewerage,</w:t>
      </w:r>
      <w:r>
        <w:rPr>
          <w:rFonts w:ascii="Avenir Next" w:eastAsia="Avenir Next" w:hAnsi="Avenir Next" w:cs="Avenir Next"/>
          <w:i/>
          <w:spacing w:val="-6"/>
          <w:sz w:val="20"/>
          <w:szCs w:val="20"/>
        </w:rPr>
        <w:t xml:space="preserve"> </w:t>
      </w:r>
      <w:r>
        <w:rPr>
          <w:rFonts w:ascii="Avenir Next" w:eastAsia="Avenir Next" w:hAnsi="Avenir Next" w:cs="Avenir Next"/>
          <w:i/>
          <w:spacing w:val="-1"/>
          <w:sz w:val="20"/>
          <w:szCs w:val="20"/>
        </w:rPr>
        <w:t>stormwater</w:t>
      </w:r>
      <w:r>
        <w:rPr>
          <w:rFonts w:ascii="Avenir Next" w:eastAsia="Avenir Next" w:hAnsi="Avenir Next" w:cs="Avenir Next"/>
          <w:i/>
          <w:spacing w:val="77"/>
          <w:sz w:val="20"/>
          <w:szCs w:val="20"/>
        </w:rPr>
        <w:t xml:space="preserve"> </w:t>
      </w:r>
      <w:r>
        <w:rPr>
          <w:rFonts w:ascii="Avenir Next" w:eastAsia="Avenir Next" w:hAnsi="Avenir Next" w:cs="Avenir Next"/>
          <w:i/>
          <w:spacing w:val="-1"/>
          <w:sz w:val="20"/>
          <w:szCs w:val="20"/>
        </w:rPr>
        <w:t>drainage</w:t>
      </w:r>
      <w:r>
        <w:rPr>
          <w:rFonts w:ascii="Avenir Next" w:eastAsia="Avenir Next" w:hAnsi="Avenir Next" w:cs="Avenir Next"/>
          <w:i/>
          <w:sz w:val="20"/>
          <w:szCs w:val="20"/>
        </w:rPr>
        <w:t xml:space="preserve"> and other services</w:t>
      </w:r>
      <w:r>
        <w:rPr>
          <w:rFonts w:ascii="Avenir Next" w:eastAsia="Avenir Next" w:hAnsi="Avenir Next" w:cs="Avenir Next"/>
          <w:sz w:val="20"/>
          <w:szCs w:val="20"/>
        </w:rPr>
        <w:t>,</w:t>
      </w:r>
      <w:r>
        <w:rPr>
          <w:rFonts w:ascii="Avenir Next" w:eastAsia="Avenir Next" w:hAnsi="Avenir Next" w:cs="Avenir Next"/>
          <w:spacing w:val="-9"/>
          <w:sz w:val="20"/>
          <w:szCs w:val="20"/>
        </w:rPr>
        <w:t xml:space="preserve"> </w:t>
      </w:r>
      <w:r>
        <w:rPr>
          <w:rFonts w:ascii="Avenir Next" w:eastAsia="Avenir Next" w:hAnsi="Avenir Next" w:cs="Avenir Next"/>
          <w:sz w:val="20"/>
          <w:szCs w:val="20"/>
        </w:rPr>
        <w:t>June 2013.</w:t>
      </w:r>
    </w:p>
    <w:p w:rsidR="00D96B91" w:rsidRDefault="00C2656B">
      <w:pPr>
        <w:spacing w:before="178" w:line="377" w:lineRule="auto"/>
        <w:ind w:left="1247" w:right="2152"/>
        <w:rPr>
          <w:rFonts w:ascii="Avenir Next" w:eastAsia="Avenir Next" w:hAnsi="Avenir Next" w:cs="Avenir Next"/>
          <w:sz w:val="20"/>
          <w:szCs w:val="20"/>
        </w:rPr>
      </w:pPr>
      <w:r>
        <w:rPr>
          <w:rFonts w:ascii="Avenir Next" w:eastAsia="Avenir Next" w:hAnsi="Avenir Next" w:cs="Avenir Next"/>
          <w:spacing w:val="-6"/>
          <w:sz w:val="20"/>
          <w:szCs w:val="20"/>
        </w:rPr>
        <w:t xml:space="preserve">IPART, </w:t>
      </w:r>
      <w:r>
        <w:rPr>
          <w:rFonts w:ascii="Avenir Next" w:eastAsia="Avenir Next" w:hAnsi="Avenir Next" w:cs="Avenir Next"/>
          <w:i/>
          <w:spacing w:val="-1"/>
          <w:sz w:val="20"/>
          <w:szCs w:val="20"/>
        </w:rPr>
        <w:t>Financeability</w:t>
      </w:r>
      <w:r>
        <w:rPr>
          <w:rFonts w:ascii="Avenir Next" w:eastAsia="Avenir Next" w:hAnsi="Avenir Next" w:cs="Avenir Next"/>
          <w:i/>
          <w:sz w:val="20"/>
          <w:szCs w:val="20"/>
        </w:rPr>
        <w:t xml:space="preserve"> tests in price </w:t>
      </w:r>
      <w:r>
        <w:rPr>
          <w:rFonts w:ascii="Avenir Next" w:eastAsia="Avenir Next" w:hAnsi="Avenir Next" w:cs="Avenir Next"/>
          <w:i/>
          <w:spacing w:val="-1"/>
          <w:sz w:val="20"/>
          <w:szCs w:val="20"/>
        </w:rPr>
        <w:t>regulation,</w:t>
      </w:r>
      <w:r>
        <w:rPr>
          <w:rFonts w:ascii="Avenir Next" w:eastAsia="Avenir Next" w:hAnsi="Avenir Next" w:cs="Avenir Next"/>
          <w:i/>
          <w:spacing w:val="-7"/>
          <w:sz w:val="20"/>
          <w:szCs w:val="20"/>
        </w:rPr>
        <w:t xml:space="preserve"> </w:t>
      </w:r>
      <w:r>
        <w:rPr>
          <w:rFonts w:ascii="Avenir Next" w:eastAsia="Avenir Next" w:hAnsi="Avenir Next" w:cs="Avenir Next"/>
          <w:i/>
          <w:spacing w:val="-1"/>
          <w:sz w:val="20"/>
          <w:szCs w:val="20"/>
        </w:rPr>
        <w:t>Research</w:t>
      </w:r>
      <w:r>
        <w:rPr>
          <w:rFonts w:ascii="Avenir Next" w:eastAsia="Avenir Next" w:hAnsi="Avenir Next" w:cs="Avenir Next"/>
          <w:i/>
          <w:sz w:val="20"/>
          <w:szCs w:val="20"/>
        </w:rPr>
        <w:t xml:space="preserve"> -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Decision</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December 2013.</w:t>
      </w:r>
      <w:r>
        <w:rPr>
          <w:rFonts w:ascii="Avenir Next" w:eastAsia="Avenir Next" w:hAnsi="Avenir Next" w:cs="Avenir Next"/>
          <w:spacing w:val="41"/>
          <w:sz w:val="20"/>
          <w:szCs w:val="20"/>
        </w:rPr>
        <w:t xml:space="preserve"> </w:t>
      </w:r>
      <w:r>
        <w:rPr>
          <w:rFonts w:ascii="Avenir Next" w:eastAsia="Avenir Next" w:hAnsi="Avenir Next" w:cs="Avenir Next"/>
          <w:spacing w:val="-6"/>
          <w:sz w:val="20"/>
          <w:szCs w:val="20"/>
        </w:rPr>
        <w:t xml:space="preserve">IPART, </w:t>
      </w:r>
      <w:r>
        <w:rPr>
          <w:rFonts w:ascii="Avenir Next" w:eastAsia="Avenir Next" w:hAnsi="Avenir Next" w:cs="Avenir Next"/>
          <w:i/>
          <w:spacing w:val="-1"/>
          <w:sz w:val="20"/>
          <w:szCs w:val="20"/>
        </w:rPr>
        <w:t>Final</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pacing w:val="-6"/>
          <w:sz w:val="20"/>
          <w:szCs w:val="20"/>
        </w:rPr>
        <w:t xml:space="preserve"> </w:t>
      </w:r>
      <w:r>
        <w:rPr>
          <w:rFonts w:ascii="Avenir Next" w:eastAsia="Avenir Next" w:hAnsi="Avenir Next" w:cs="Avenir Next"/>
          <w:i/>
          <w:sz w:val="20"/>
          <w:szCs w:val="20"/>
        </w:rPr>
        <w:t xml:space="preserve">Essential </w:t>
      </w:r>
      <w:r>
        <w:rPr>
          <w:rFonts w:ascii="Avenir Next" w:eastAsia="Avenir Next" w:hAnsi="Avenir Next" w:cs="Avenir Next"/>
          <w:i/>
          <w:spacing w:val="-2"/>
          <w:sz w:val="20"/>
          <w:szCs w:val="20"/>
        </w:rPr>
        <w:t>Energy’s</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water</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sewerage</w:t>
      </w:r>
      <w:r>
        <w:rPr>
          <w:rFonts w:ascii="Avenir Next" w:eastAsia="Avenir Next" w:hAnsi="Avenir Next" w:cs="Avenir Next"/>
          <w:i/>
          <w:sz w:val="20"/>
          <w:szCs w:val="20"/>
        </w:rPr>
        <w:t xml:space="preserve"> services in </w:t>
      </w:r>
      <w:r>
        <w:rPr>
          <w:rFonts w:ascii="Avenir Next" w:eastAsia="Avenir Next" w:hAnsi="Avenir Next" w:cs="Avenir Next"/>
          <w:i/>
          <w:spacing w:val="-2"/>
          <w:sz w:val="20"/>
          <w:szCs w:val="20"/>
        </w:rPr>
        <w:t>Broken</w:t>
      </w:r>
      <w:r>
        <w:rPr>
          <w:rFonts w:ascii="Avenir Next" w:eastAsia="Avenir Next" w:hAnsi="Avenir Next" w:cs="Avenir Next"/>
          <w:i/>
          <w:sz w:val="20"/>
          <w:szCs w:val="20"/>
        </w:rPr>
        <w:t xml:space="preserve"> Hill</w:t>
      </w:r>
      <w:r>
        <w:rPr>
          <w:rFonts w:ascii="Avenir Next" w:eastAsia="Avenir Next" w:hAnsi="Avenir Next" w:cs="Avenir Next"/>
          <w:sz w:val="20"/>
          <w:szCs w:val="20"/>
        </w:rPr>
        <w:t>,</w:t>
      </w:r>
      <w:r>
        <w:rPr>
          <w:rFonts w:ascii="Avenir Next" w:eastAsia="Avenir Next" w:hAnsi="Avenir Next" w:cs="Avenir Next"/>
          <w:spacing w:val="-9"/>
          <w:sz w:val="20"/>
          <w:szCs w:val="20"/>
        </w:rPr>
        <w:t xml:space="preserve"> </w:t>
      </w:r>
      <w:r>
        <w:rPr>
          <w:rFonts w:ascii="Avenir Next" w:eastAsia="Avenir Next" w:hAnsi="Avenir Next" w:cs="Avenir Next"/>
          <w:sz w:val="20"/>
          <w:szCs w:val="20"/>
        </w:rPr>
        <w:t>June 2014.</w:t>
      </w:r>
      <w:r>
        <w:rPr>
          <w:rFonts w:ascii="Avenir Next" w:eastAsia="Avenir Next" w:hAnsi="Avenir Next" w:cs="Avenir Next"/>
          <w:spacing w:val="47"/>
          <w:sz w:val="20"/>
          <w:szCs w:val="20"/>
        </w:rPr>
        <w:t xml:space="preserve"> </w:t>
      </w:r>
      <w:r>
        <w:rPr>
          <w:rFonts w:ascii="Avenir Next" w:eastAsia="Avenir Next" w:hAnsi="Avenir Next" w:cs="Avenir Next"/>
          <w:sz w:val="20"/>
          <w:szCs w:val="20"/>
        </w:rPr>
        <w:t>NWC,</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Pricing</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Reform</w:t>
      </w:r>
      <w:r>
        <w:rPr>
          <w:rFonts w:ascii="Avenir Next" w:eastAsia="Avenir Next" w:hAnsi="Avenir Next" w:cs="Avenir Next"/>
          <w:i/>
          <w:sz w:val="20"/>
          <w:szCs w:val="20"/>
        </w:rPr>
        <w:t xml:space="preserve"> in the</w:t>
      </w:r>
      <w:r>
        <w:rPr>
          <w:rFonts w:ascii="Avenir Next" w:eastAsia="Avenir Next" w:hAnsi="Avenir Next" w:cs="Avenir Next"/>
          <w:i/>
          <w:spacing w:val="-4"/>
          <w:sz w:val="20"/>
          <w:szCs w:val="20"/>
        </w:rPr>
        <w:t xml:space="preserve"> </w:t>
      </w:r>
      <w:r>
        <w:rPr>
          <w:rFonts w:ascii="Avenir Next" w:eastAsia="Avenir Next" w:hAnsi="Avenir Next" w:cs="Avenir Next"/>
          <w:i/>
          <w:spacing w:val="-1"/>
          <w:sz w:val="20"/>
          <w:szCs w:val="20"/>
        </w:rPr>
        <w:t>Australian</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Sector</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2011.</w:t>
      </w:r>
    </w:p>
    <w:p w:rsidR="00D96B91" w:rsidRDefault="00C2656B">
      <w:pPr>
        <w:spacing w:line="377" w:lineRule="auto"/>
        <w:ind w:left="1247" w:right="2010"/>
        <w:rPr>
          <w:rFonts w:ascii="Avenir Next" w:eastAsia="Avenir Next" w:hAnsi="Avenir Next" w:cs="Avenir Next"/>
          <w:sz w:val="20"/>
          <w:szCs w:val="20"/>
        </w:rPr>
      </w:pPr>
      <w:r>
        <w:rPr>
          <w:rFonts w:ascii="Avenir Next" w:eastAsia="Avenir Next" w:hAnsi="Avenir Next" w:cs="Avenir Next"/>
          <w:sz w:val="20"/>
          <w:szCs w:val="20"/>
        </w:rPr>
        <w:t>NWC,</w:t>
      </w:r>
      <w:r>
        <w:rPr>
          <w:rFonts w:ascii="Avenir Next" w:eastAsia="Avenir Next" w:hAnsi="Avenir Next" w:cs="Avenir Next"/>
          <w:spacing w:val="-6"/>
          <w:sz w:val="20"/>
          <w:szCs w:val="20"/>
        </w:rPr>
        <w:t xml:space="preserve"> </w:t>
      </w:r>
      <w:r>
        <w:rPr>
          <w:rFonts w:ascii="Avenir Next" w:eastAsia="Avenir Next" w:hAnsi="Avenir Next" w:cs="Avenir Next"/>
          <w:i/>
          <w:spacing w:val="-2"/>
          <w:sz w:val="20"/>
          <w:szCs w:val="20"/>
        </w:rPr>
        <w:t>The</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National</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Initiative</w:t>
      </w:r>
      <w:r>
        <w:rPr>
          <w:rFonts w:ascii="Avenir Next" w:eastAsia="Avenir Next" w:hAnsi="Avenir Next" w:cs="Avenir Next"/>
          <w:i/>
          <w:sz w:val="20"/>
          <w:szCs w:val="20"/>
        </w:rPr>
        <w:t xml:space="preserve"> – Securing</w:t>
      </w:r>
      <w:r>
        <w:rPr>
          <w:rFonts w:ascii="Avenir Next" w:eastAsia="Avenir Next" w:hAnsi="Avenir Next" w:cs="Avenir Next"/>
          <w:i/>
          <w:spacing w:val="-4"/>
          <w:sz w:val="20"/>
          <w:szCs w:val="20"/>
        </w:rPr>
        <w:t xml:space="preserve"> </w:t>
      </w:r>
      <w:r>
        <w:rPr>
          <w:rFonts w:ascii="Avenir Next" w:eastAsia="Avenir Next" w:hAnsi="Avenir Next" w:cs="Avenir Next"/>
          <w:i/>
          <w:spacing w:val="-2"/>
          <w:sz w:val="20"/>
          <w:szCs w:val="20"/>
        </w:rPr>
        <w:t>Australia’s</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water</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future:</w:t>
      </w:r>
      <w:r>
        <w:rPr>
          <w:rFonts w:ascii="Avenir Next" w:eastAsia="Avenir Next" w:hAnsi="Avenir Next" w:cs="Avenir Next"/>
          <w:i/>
          <w:sz w:val="20"/>
          <w:szCs w:val="20"/>
        </w:rPr>
        <w:t xml:space="preserve"> 2011 assessment</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2011.</w:t>
      </w:r>
      <w:r>
        <w:rPr>
          <w:rFonts w:ascii="Avenir Next" w:eastAsia="Avenir Next" w:hAnsi="Avenir Next" w:cs="Avenir Next"/>
          <w:spacing w:val="63"/>
          <w:sz w:val="20"/>
          <w:szCs w:val="20"/>
        </w:rPr>
        <w:t xml:space="preserve"> </w:t>
      </w:r>
      <w:r>
        <w:rPr>
          <w:rFonts w:ascii="Avenir Next" w:eastAsia="Avenir Next" w:hAnsi="Avenir Next" w:cs="Avenir Next"/>
          <w:sz w:val="20"/>
          <w:szCs w:val="20"/>
        </w:rPr>
        <w:t>NWC,</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National</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Performance</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z w:val="20"/>
          <w:szCs w:val="20"/>
        </w:rPr>
        <w:t xml:space="preserve"> 2012–13: Urban</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Utilities</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24</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April 2014.</w:t>
      </w:r>
    </w:p>
    <w:p w:rsidR="00D96B91" w:rsidRDefault="00C2656B">
      <w:pPr>
        <w:spacing w:before="9" w:line="228" w:lineRule="auto"/>
        <w:ind w:left="1247" w:right="1548"/>
        <w:rPr>
          <w:rFonts w:ascii="Avenir Next" w:eastAsia="Avenir Next" w:hAnsi="Avenir Next" w:cs="Avenir Next"/>
          <w:sz w:val="20"/>
          <w:szCs w:val="20"/>
        </w:rPr>
      </w:pPr>
      <w:r>
        <w:rPr>
          <w:rFonts w:ascii="Avenir Next"/>
          <w:sz w:val="20"/>
        </w:rPr>
        <w:t>NERA,</w:t>
      </w:r>
      <w:r>
        <w:rPr>
          <w:rFonts w:ascii="Avenir Next"/>
          <w:spacing w:val="-6"/>
          <w:sz w:val="20"/>
        </w:rPr>
        <w:t xml:space="preserve"> </w:t>
      </w:r>
      <w:r>
        <w:rPr>
          <w:rFonts w:ascii="Avenir Next"/>
          <w:i/>
          <w:sz w:val="20"/>
        </w:rPr>
        <w:t xml:space="preserve">Assessing the </w:t>
      </w:r>
      <w:r>
        <w:rPr>
          <w:rFonts w:ascii="Avenir Next"/>
          <w:i/>
          <w:spacing w:val="-1"/>
          <w:sz w:val="20"/>
        </w:rPr>
        <w:t>Financeability</w:t>
      </w:r>
      <w:r>
        <w:rPr>
          <w:rFonts w:ascii="Avenir Next"/>
          <w:i/>
          <w:sz w:val="20"/>
        </w:rPr>
        <w:t xml:space="preserve"> of</w:t>
      </w:r>
      <w:r>
        <w:rPr>
          <w:rFonts w:ascii="Avenir Next"/>
          <w:i/>
          <w:spacing w:val="4"/>
          <w:sz w:val="20"/>
        </w:rPr>
        <w:t xml:space="preserve"> </w:t>
      </w:r>
      <w:r>
        <w:rPr>
          <w:rFonts w:ascii="Avenir Next"/>
          <w:i/>
          <w:spacing w:val="-1"/>
          <w:sz w:val="20"/>
        </w:rPr>
        <w:t>Regulated</w:t>
      </w:r>
      <w:r>
        <w:rPr>
          <w:rFonts w:ascii="Avenir Next"/>
          <w:i/>
          <w:spacing w:val="-3"/>
          <w:sz w:val="20"/>
        </w:rPr>
        <w:t xml:space="preserve"> </w:t>
      </w:r>
      <w:r>
        <w:rPr>
          <w:rFonts w:ascii="Avenir Next"/>
          <w:i/>
          <w:spacing w:val="-2"/>
          <w:sz w:val="20"/>
        </w:rPr>
        <w:t>Water</w:t>
      </w:r>
      <w:r>
        <w:rPr>
          <w:rFonts w:ascii="Avenir Next"/>
          <w:i/>
          <w:sz w:val="20"/>
        </w:rPr>
        <w:t xml:space="preserve"> Service </w:t>
      </w:r>
      <w:r>
        <w:rPr>
          <w:rFonts w:ascii="Avenir Next"/>
          <w:i/>
          <w:spacing w:val="-2"/>
          <w:sz w:val="20"/>
        </w:rPr>
        <w:t>Providers,</w:t>
      </w:r>
      <w:r>
        <w:rPr>
          <w:rFonts w:ascii="Avenir Next"/>
          <w:i/>
          <w:spacing w:val="-10"/>
          <w:sz w:val="20"/>
        </w:rPr>
        <w:t xml:space="preserve"> </w:t>
      </w:r>
      <w:r>
        <w:rPr>
          <w:rFonts w:ascii="Avenir Next"/>
          <w:i/>
          <w:sz w:val="20"/>
        </w:rPr>
        <w:t>A</w:t>
      </w:r>
      <w:r>
        <w:rPr>
          <w:rFonts w:ascii="Avenir Next"/>
          <w:i/>
          <w:spacing w:val="-4"/>
          <w:sz w:val="20"/>
        </w:rPr>
        <w:t xml:space="preserve"> </w:t>
      </w:r>
      <w:r>
        <w:rPr>
          <w:rFonts w:ascii="Avenir Next"/>
          <w:i/>
          <w:spacing w:val="-1"/>
          <w:sz w:val="20"/>
        </w:rPr>
        <w:t>report</w:t>
      </w:r>
      <w:r>
        <w:rPr>
          <w:rFonts w:ascii="Avenir Next"/>
          <w:i/>
          <w:sz w:val="20"/>
        </w:rPr>
        <w:t xml:space="preserve"> for the Essential</w:t>
      </w:r>
      <w:r>
        <w:rPr>
          <w:rFonts w:ascii="Avenir Next"/>
          <w:i/>
          <w:spacing w:val="47"/>
          <w:sz w:val="20"/>
        </w:rPr>
        <w:t xml:space="preserve"> </w:t>
      </w:r>
      <w:r>
        <w:rPr>
          <w:rFonts w:ascii="Avenir Next"/>
          <w:i/>
          <w:sz w:val="20"/>
        </w:rPr>
        <w:t xml:space="preserve">Services </w:t>
      </w:r>
      <w:r>
        <w:rPr>
          <w:rFonts w:ascii="Avenir Next"/>
          <w:i/>
          <w:spacing w:val="-1"/>
          <w:sz w:val="20"/>
        </w:rPr>
        <w:t>Commission</w:t>
      </w:r>
      <w:r>
        <w:rPr>
          <w:rFonts w:ascii="Avenir Next"/>
          <w:spacing w:val="-1"/>
          <w:sz w:val="20"/>
        </w:rPr>
        <w:t>,</w:t>
      </w:r>
      <w:r>
        <w:rPr>
          <w:rFonts w:ascii="Avenir Next"/>
          <w:spacing w:val="-6"/>
          <w:sz w:val="20"/>
        </w:rPr>
        <w:t xml:space="preserve"> </w:t>
      </w:r>
      <w:r>
        <w:rPr>
          <w:rFonts w:ascii="Avenir Next"/>
          <w:sz w:val="20"/>
        </w:rPr>
        <w:t>30 October 2013.</w:t>
      </w:r>
    </w:p>
    <w:p w:rsidR="00D96B91" w:rsidRDefault="00C2656B">
      <w:pPr>
        <w:spacing w:before="160" w:line="377" w:lineRule="auto"/>
        <w:ind w:left="1247" w:right="2010"/>
        <w:rPr>
          <w:rFonts w:ascii="Avenir Next" w:eastAsia="Avenir Next" w:hAnsi="Avenir Next" w:cs="Avenir Next"/>
          <w:sz w:val="20"/>
          <w:szCs w:val="20"/>
        </w:rPr>
      </w:pPr>
      <w:r>
        <w:rPr>
          <w:rFonts w:ascii="Avenir Next" w:eastAsia="Avenir Next" w:hAnsi="Avenir Next" w:cs="Avenir Next"/>
          <w:spacing w:val="-1"/>
          <w:sz w:val="20"/>
          <w:szCs w:val="20"/>
        </w:rPr>
        <w:t>Ofwat,</w:t>
      </w:r>
      <w:r>
        <w:rPr>
          <w:rFonts w:ascii="Avenir Next" w:eastAsia="Avenir Next" w:hAnsi="Avenir Next" w:cs="Avenir Next"/>
          <w:spacing w:val="-6"/>
          <w:sz w:val="20"/>
          <w:szCs w:val="20"/>
        </w:rPr>
        <w:t xml:space="preserve"> </w:t>
      </w:r>
      <w:r>
        <w:rPr>
          <w:rFonts w:ascii="Avenir Next" w:eastAsia="Avenir Next" w:hAnsi="Avenir Next" w:cs="Avenir Next"/>
          <w:i/>
          <w:spacing w:val="-1"/>
          <w:sz w:val="20"/>
          <w:szCs w:val="20"/>
        </w:rPr>
        <w:t>Financeability</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Financing</w:t>
      </w:r>
      <w:r>
        <w:rPr>
          <w:rFonts w:ascii="Avenir Next" w:eastAsia="Avenir Next" w:hAnsi="Avenir Next" w:cs="Avenir Next"/>
          <w:i/>
          <w:sz w:val="20"/>
          <w:szCs w:val="20"/>
        </w:rPr>
        <w:t xml:space="preserve"> the</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Asset Base:</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A</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Discussion </w:t>
      </w:r>
      <w:r>
        <w:rPr>
          <w:rFonts w:ascii="Avenir Next" w:eastAsia="Avenir Next" w:hAnsi="Avenir Next" w:cs="Avenir Next"/>
          <w:i/>
          <w:spacing w:val="-3"/>
          <w:sz w:val="20"/>
          <w:szCs w:val="20"/>
        </w:rPr>
        <w:t>Paper</w:t>
      </w:r>
      <w:r>
        <w:rPr>
          <w:rFonts w:ascii="Avenir Next" w:eastAsia="Avenir Next" w:hAnsi="Avenir Next" w:cs="Avenir Next"/>
          <w:spacing w:val="-3"/>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pacing w:val="-1"/>
          <w:sz w:val="20"/>
          <w:szCs w:val="20"/>
        </w:rPr>
        <w:t>March</w:t>
      </w:r>
      <w:r>
        <w:rPr>
          <w:rFonts w:ascii="Avenir Next" w:eastAsia="Avenir Next" w:hAnsi="Avenir Next" w:cs="Avenir Next"/>
          <w:sz w:val="20"/>
          <w:szCs w:val="20"/>
        </w:rPr>
        <w:t xml:space="preserve"> 2011.</w:t>
      </w:r>
      <w:r>
        <w:rPr>
          <w:rFonts w:ascii="Avenir Next" w:eastAsia="Avenir Next" w:hAnsi="Avenir Next" w:cs="Avenir Next"/>
          <w:spacing w:val="47"/>
          <w:sz w:val="20"/>
          <w:szCs w:val="20"/>
        </w:rPr>
        <w:t xml:space="preserve"> </w:t>
      </w:r>
      <w:r>
        <w:rPr>
          <w:rFonts w:ascii="Avenir Next" w:eastAsia="Avenir Next" w:hAnsi="Avenir Next" w:cs="Avenir Next"/>
          <w:spacing w:val="-2"/>
          <w:sz w:val="20"/>
          <w:szCs w:val="20"/>
        </w:rPr>
        <w:t>Productivity</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Commission,</w:t>
      </w:r>
      <w:r>
        <w:rPr>
          <w:rFonts w:ascii="Avenir Next" w:eastAsia="Avenir Next" w:hAnsi="Avenir Next" w:cs="Avenir Next"/>
          <w:spacing w:val="-6"/>
          <w:sz w:val="20"/>
          <w:szCs w:val="20"/>
        </w:rPr>
        <w:t xml:space="preserve"> </w:t>
      </w:r>
      <w:r>
        <w:rPr>
          <w:rFonts w:ascii="Avenir Next" w:eastAsia="Avenir Next" w:hAnsi="Avenir Next" w:cs="Avenir Next"/>
          <w:i/>
          <w:spacing w:val="-2"/>
          <w:sz w:val="20"/>
          <w:szCs w:val="20"/>
        </w:rPr>
        <w:t>Australia’s</w:t>
      </w:r>
      <w:r>
        <w:rPr>
          <w:rFonts w:ascii="Avenir Next" w:eastAsia="Avenir Next" w:hAnsi="Avenir Next" w:cs="Avenir Next"/>
          <w:i/>
          <w:sz w:val="20"/>
          <w:szCs w:val="20"/>
        </w:rPr>
        <w:t xml:space="preserve"> Urban</w:t>
      </w:r>
      <w:r>
        <w:rPr>
          <w:rFonts w:ascii="Avenir Next" w:eastAsia="Avenir Next" w:hAnsi="Avenir Next" w:cs="Avenir Next"/>
          <w:i/>
          <w:spacing w:val="-3"/>
          <w:sz w:val="20"/>
          <w:szCs w:val="20"/>
        </w:rPr>
        <w:t xml:space="preserve"> </w:t>
      </w:r>
      <w:r>
        <w:rPr>
          <w:rFonts w:ascii="Avenir Next" w:eastAsia="Avenir Next" w:hAnsi="Avenir Next" w:cs="Avenir Next"/>
          <w:i/>
          <w:spacing w:val="-2"/>
          <w:sz w:val="20"/>
          <w:szCs w:val="20"/>
        </w:rPr>
        <w:t>Water</w:t>
      </w:r>
      <w:r>
        <w:rPr>
          <w:rFonts w:ascii="Avenir Next" w:eastAsia="Avenir Next" w:hAnsi="Avenir Next" w:cs="Avenir Next"/>
          <w:i/>
          <w:sz w:val="20"/>
          <w:szCs w:val="20"/>
        </w:rPr>
        <w:t xml:space="preserve"> Sector</w:t>
      </w:r>
      <w:r>
        <w:rPr>
          <w:rFonts w:ascii="Avenir Next" w:eastAsia="Avenir Next" w:hAnsi="Avenir Next" w:cs="Avenir Next"/>
          <w:sz w:val="20"/>
          <w:szCs w:val="20"/>
        </w:rPr>
        <w:t>,</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31</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August 2011.</w:t>
      </w:r>
    </w:p>
    <w:p w:rsidR="00D96B91" w:rsidRDefault="00C2656B">
      <w:pPr>
        <w:spacing w:line="377" w:lineRule="auto"/>
        <w:ind w:left="1247" w:right="2933"/>
        <w:rPr>
          <w:rFonts w:ascii="Avenir Next" w:eastAsia="Avenir Next" w:hAnsi="Avenir Next" w:cs="Avenir Next"/>
          <w:sz w:val="20"/>
          <w:szCs w:val="20"/>
        </w:rPr>
      </w:pPr>
      <w:r>
        <w:rPr>
          <w:rFonts w:ascii="Avenir Next"/>
          <w:spacing w:val="-1"/>
          <w:sz w:val="20"/>
        </w:rPr>
        <w:t>QCA,</w:t>
      </w:r>
      <w:r>
        <w:rPr>
          <w:rFonts w:ascii="Avenir Next"/>
          <w:spacing w:val="-6"/>
          <w:sz w:val="20"/>
        </w:rPr>
        <w:t xml:space="preserve"> </w:t>
      </w:r>
      <w:r>
        <w:rPr>
          <w:rFonts w:ascii="Avenir Next"/>
          <w:spacing w:val="-1"/>
          <w:sz w:val="20"/>
        </w:rPr>
        <w:t>Final</w:t>
      </w:r>
      <w:r>
        <w:rPr>
          <w:rFonts w:ascii="Avenir Next"/>
          <w:sz w:val="20"/>
        </w:rPr>
        <w:t xml:space="preserve"> </w:t>
      </w:r>
      <w:r>
        <w:rPr>
          <w:rFonts w:ascii="Avenir Next"/>
          <w:spacing w:val="-1"/>
          <w:sz w:val="20"/>
        </w:rPr>
        <w:t>Report,</w:t>
      </w:r>
      <w:r>
        <w:rPr>
          <w:rFonts w:ascii="Avenir Next"/>
          <w:spacing w:val="-6"/>
          <w:sz w:val="20"/>
        </w:rPr>
        <w:t xml:space="preserve"> </w:t>
      </w:r>
      <w:r>
        <w:rPr>
          <w:rFonts w:ascii="Avenir Next"/>
          <w:i/>
          <w:spacing w:val="-1"/>
          <w:sz w:val="20"/>
        </w:rPr>
        <w:t>Seqwater</w:t>
      </w:r>
      <w:r>
        <w:rPr>
          <w:rFonts w:ascii="Avenir Next"/>
          <w:i/>
          <w:sz w:val="20"/>
        </w:rPr>
        <w:t xml:space="preserve"> </w:t>
      </w:r>
      <w:r>
        <w:rPr>
          <w:rFonts w:ascii="Avenir Next"/>
          <w:i/>
          <w:spacing w:val="-1"/>
          <w:sz w:val="20"/>
        </w:rPr>
        <w:t>irrigation</w:t>
      </w:r>
      <w:r>
        <w:rPr>
          <w:rFonts w:ascii="Avenir Next"/>
          <w:i/>
          <w:sz w:val="20"/>
        </w:rPr>
        <w:t xml:space="preserve"> price </w:t>
      </w:r>
      <w:r>
        <w:rPr>
          <w:rFonts w:ascii="Avenir Next"/>
          <w:i/>
          <w:spacing w:val="-1"/>
          <w:sz w:val="20"/>
        </w:rPr>
        <w:t>review</w:t>
      </w:r>
      <w:r>
        <w:rPr>
          <w:rFonts w:ascii="Avenir Next"/>
          <w:i/>
          <w:sz w:val="20"/>
        </w:rPr>
        <w:t xml:space="preserve"> 2013-17</w:t>
      </w:r>
      <w:r>
        <w:rPr>
          <w:rFonts w:ascii="Avenir Next"/>
          <w:i/>
          <w:spacing w:val="-4"/>
          <w:sz w:val="20"/>
        </w:rPr>
        <w:t xml:space="preserve"> </w:t>
      </w:r>
      <w:r>
        <w:rPr>
          <w:rFonts w:ascii="Avenir Next"/>
          <w:i/>
          <w:spacing w:val="-1"/>
          <w:sz w:val="20"/>
        </w:rPr>
        <w:t>Volume</w:t>
      </w:r>
      <w:r>
        <w:rPr>
          <w:rFonts w:ascii="Avenir Next"/>
          <w:i/>
          <w:sz w:val="20"/>
        </w:rPr>
        <w:t xml:space="preserve"> 1</w:t>
      </w:r>
      <w:r>
        <w:rPr>
          <w:rFonts w:ascii="Avenir Next"/>
          <w:sz w:val="20"/>
        </w:rPr>
        <w:t>,</w:t>
      </w:r>
      <w:r>
        <w:rPr>
          <w:rFonts w:ascii="Avenir Next"/>
          <w:spacing w:val="-10"/>
          <w:sz w:val="20"/>
        </w:rPr>
        <w:t xml:space="preserve"> </w:t>
      </w:r>
      <w:r>
        <w:rPr>
          <w:rFonts w:ascii="Avenir Next"/>
          <w:sz w:val="20"/>
        </w:rPr>
        <w:t>April 2013.</w:t>
      </w:r>
      <w:r>
        <w:rPr>
          <w:rFonts w:ascii="Avenir Next"/>
          <w:spacing w:val="41"/>
          <w:sz w:val="20"/>
        </w:rPr>
        <w:t xml:space="preserve"> </w:t>
      </w:r>
      <w:r>
        <w:rPr>
          <w:rFonts w:ascii="Avenir Next"/>
          <w:spacing w:val="-1"/>
          <w:sz w:val="20"/>
        </w:rPr>
        <w:t>QCA,</w:t>
      </w:r>
      <w:r>
        <w:rPr>
          <w:rFonts w:ascii="Avenir Next"/>
          <w:spacing w:val="-6"/>
          <w:sz w:val="20"/>
        </w:rPr>
        <w:t xml:space="preserve"> </w:t>
      </w:r>
      <w:r>
        <w:rPr>
          <w:rFonts w:ascii="Avenir Next"/>
          <w:i/>
          <w:sz w:val="20"/>
        </w:rPr>
        <w:t>Gladstone</w:t>
      </w:r>
      <w:r>
        <w:rPr>
          <w:rFonts w:ascii="Avenir Next"/>
          <w:i/>
          <w:spacing w:val="-4"/>
          <w:sz w:val="20"/>
        </w:rPr>
        <w:t xml:space="preserve"> </w:t>
      </w:r>
      <w:r>
        <w:rPr>
          <w:rFonts w:ascii="Avenir Next"/>
          <w:i/>
          <w:spacing w:val="-2"/>
          <w:sz w:val="20"/>
        </w:rPr>
        <w:t>Area</w:t>
      </w:r>
      <w:r>
        <w:rPr>
          <w:rFonts w:ascii="Avenir Next"/>
          <w:i/>
          <w:spacing w:val="-3"/>
          <w:sz w:val="20"/>
        </w:rPr>
        <w:t xml:space="preserve"> </w:t>
      </w:r>
      <w:r>
        <w:rPr>
          <w:rFonts w:ascii="Avenir Next"/>
          <w:i/>
          <w:spacing w:val="-2"/>
          <w:sz w:val="20"/>
        </w:rPr>
        <w:t>Water</w:t>
      </w:r>
      <w:r>
        <w:rPr>
          <w:rFonts w:ascii="Avenir Next"/>
          <w:i/>
          <w:sz w:val="20"/>
        </w:rPr>
        <w:t xml:space="preserve"> </w:t>
      </w:r>
      <w:r>
        <w:rPr>
          <w:rFonts w:ascii="Avenir Next"/>
          <w:i/>
          <w:spacing w:val="-1"/>
          <w:sz w:val="20"/>
        </w:rPr>
        <w:t>Board:</w:t>
      </w:r>
      <w:r>
        <w:rPr>
          <w:rFonts w:ascii="Avenir Next"/>
          <w:i/>
          <w:sz w:val="20"/>
        </w:rPr>
        <w:t xml:space="preserve"> </w:t>
      </w:r>
      <w:r>
        <w:rPr>
          <w:rFonts w:ascii="Avenir Next"/>
          <w:i/>
          <w:spacing w:val="-1"/>
          <w:sz w:val="20"/>
        </w:rPr>
        <w:t>Investigation</w:t>
      </w:r>
      <w:r>
        <w:rPr>
          <w:rFonts w:ascii="Avenir Next"/>
          <w:i/>
          <w:sz w:val="20"/>
        </w:rPr>
        <w:t xml:space="preserve"> of</w:t>
      </w:r>
      <w:r>
        <w:rPr>
          <w:rFonts w:ascii="Avenir Next"/>
          <w:i/>
          <w:spacing w:val="4"/>
          <w:sz w:val="20"/>
        </w:rPr>
        <w:t xml:space="preserve"> </w:t>
      </w:r>
      <w:r>
        <w:rPr>
          <w:rFonts w:ascii="Avenir Next"/>
          <w:i/>
          <w:sz w:val="20"/>
        </w:rPr>
        <w:t xml:space="preserve">pricing </w:t>
      </w:r>
      <w:r>
        <w:rPr>
          <w:rFonts w:ascii="Avenir Next"/>
          <w:i/>
          <w:spacing w:val="-1"/>
          <w:sz w:val="20"/>
        </w:rPr>
        <w:t>practices</w:t>
      </w:r>
      <w:r>
        <w:rPr>
          <w:rFonts w:ascii="Avenir Next"/>
          <w:spacing w:val="-1"/>
          <w:sz w:val="20"/>
        </w:rPr>
        <w:t>,</w:t>
      </w:r>
      <w:r>
        <w:rPr>
          <w:rFonts w:ascii="Avenir Next"/>
          <w:spacing w:val="-9"/>
          <w:sz w:val="20"/>
        </w:rPr>
        <w:t xml:space="preserve"> </w:t>
      </w:r>
      <w:r>
        <w:rPr>
          <w:rFonts w:ascii="Avenir Next"/>
          <w:sz w:val="20"/>
        </w:rPr>
        <w:t>June 2010.</w:t>
      </w:r>
      <w:r>
        <w:rPr>
          <w:rFonts w:ascii="Avenir Next"/>
          <w:spacing w:val="57"/>
          <w:sz w:val="20"/>
        </w:rPr>
        <w:t xml:space="preserve"> </w:t>
      </w:r>
      <w:r>
        <w:rPr>
          <w:rFonts w:ascii="Avenir Next"/>
          <w:spacing w:val="-1"/>
          <w:sz w:val="20"/>
        </w:rPr>
        <w:t>QCA,</w:t>
      </w:r>
      <w:r>
        <w:rPr>
          <w:rFonts w:ascii="Avenir Next"/>
          <w:spacing w:val="-6"/>
          <w:sz w:val="20"/>
        </w:rPr>
        <w:t xml:space="preserve"> </w:t>
      </w:r>
      <w:r>
        <w:rPr>
          <w:rFonts w:ascii="Avenir Next"/>
          <w:i/>
          <w:spacing w:val="-1"/>
          <w:sz w:val="20"/>
        </w:rPr>
        <w:t>SunWater</w:t>
      </w:r>
      <w:r>
        <w:rPr>
          <w:rFonts w:ascii="Avenir Next"/>
          <w:i/>
          <w:sz w:val="20"/>
        </w:rPr>
        <w:t xml:space="preserve"> </w:t>
      </w:r>
      <w:r>
        <w:rPr>
          <w:rFonts w:ascii="Avenir Next"/>
          <w:i/>
          <w:spacing w:val="-1"/>
          <w:sz w:val="20"/>
        </w:rPr>
        <w:t>irrigation</w:t>
      </w:r>
      <w:r>
        <w:rPr>
          <w:rFonts w:ascii="Avenir Next"/>
          <w:i/>
          <w:sz w:val="20"/>
        </w:rPr>
        <w:t xml:space="preserve"> price </w:t>
      </w:r>
      <w:r>
        <w:rPr>
          <w:rFonts w:ascii="Avenir Next"/>
          <w:i/>
          <w:spacing w:val="-1"/>
          <w:sz w:val="20"/>
        </w:rPr>
        <w:t>review:</w:t>
      </w:r>
      <w:r>
        <w:rPr>
          <w:rFonts w:ascii="Avenir Next"/>
          <w:i/>
          <w:sz w:val="20"/>
        </w:rPr>
        <w:t xml:space="preserve"> 2012-17</w:t>
      </w:r>
      <w:r>
        <w:rPr>
          <w:rFonts w:ascii="Avenir Next"/>
          <w:i/>
          <w:spacing w:val="-4"/>
          <w:sz w:val="20"/>
        </w:rPr>
        <w:t xml:space="preserve"> </w:t>
      </w:r>
      <w:r>
        <w:rPr>
          <w:rFonts w:ascii="Avenir Next"/>
          <w:i/>
          <w:spacing w:val="-1"/>
          <w:sz w:val="20"/>
        </w:rPr>
        <w:t>Volume</w:t>
      </w:r>
      <w:r>
        <w:rPr>
          <w:rFonts w:ascii="Avenir Next"/>
          <w:i/>
          <w:sz w:val="20"/>
        </w:rPr>
        <w:t xml:space="preserve"> 1</w:t>
      </w:r>
      <w:r>
        <w:rPr>
          <w:rFonts w:ascii="Avenir Next"/>
          <w:sz w:val="20"/>
        </w:rPr>
        <w:t>,</w:t>
      </w:r>
      <w:r>
        <w:rPr>
          <w:rFonts w:ascii="Avenir Next"/>
          <w:spacing w:val="-6"/>
          <w:sz w:val="20"/>
        </w:rPr>
        <w:t xml:space="preserve"> </w:t>
      </w:r>
      <w:r>
        <w:rPr>
          <w:rFonts w:ascii="Avenir Next"/>
          <w:sz w:val="20"/>
        </w:rPr>
        <w:t>May 2012.</w:t>
      </w:r>
    </w:p>
    <w:p w:rsidR="00D96B91" w:rsidRDefault="00D96B91">
      <w:pPr>
        <w:spacing w:line="377" w:lineRule="auto"/>
        <w:rPr>
          <w:rFonts w:ascii="Avenir Next" w:eastAsia="Avenir Next" w:hAnsi="Avenir Next" w:cs="Avenir Next"/>
          <w:sz w:val="20"/>
          <w:szCs w:val="20"/>
        </w:rPr>
        <w:sectPr w:rsidR="00D96B91">
          <w:pgSz w:w="11910" w:h="16840"/>
          <w:pgMar w:top="1200" w:right="0" w:bottom="1020" w:left="0" w:header="0" w:footer="829" w:gutter="0"/>
          <w:cols w:space="720"/>
        </w:sectPr>
      </w:pPr>
    </w:p>
    <w:p w:rsidR="00D96B91" w:rsidRDefault="00C2656B">
      <w:pPr>
        <w:tabs>
          <w:tab w:val="left" w:pos="4127"/>
        </w:tabs>
        <w:spacing w:line="516" w:lineRule="exact"/>
        <w:ind w:left="1247"/>
        <w:rPr>
          <w:rFonts w:ascii="Avenir Next Medium" w:eastAsia="Avenir Next Medium" w:hAnsi="Avenir Next Medium" w:cs="Avenir Next Medium"/>
          <w:sz w:val="40"/>
          <w:szCs w:val="40"/>
        </w:rPr>
      </w:pPr>
      <w:bookmarkStart w:id="245" w:name="Appendix_12_Draft_substituted_price_dire"/>
      <w:bookmarkStart w:id="246" w:name="_bookmark156"/>
      <w:bookmarkEnd w:id="245"/>
      <w:bookmarkEnd w:id="246"/>
      <w:r>
        <w:rPr>
          <w:rFonts w:ascii="Avenir Next Medium"/>
          <w:color w:val="0778BE"/>
          <w:sz w:val="40"/>
        </w:rPr>
        <w:t>Appendix 12</w:t>
      </w:r>
      <w:r>
        <w:rPr>
          <w:rFonts w:ascii="Avenir Next Medium"/>
          <w:color w:val="0778BE"/>
          <w:sz w:val="40"/>
        </w:rPr>
        <w:tab/>
      </w:r>
      <w:r>
        <w:rPr>
          <w:rFonts w:ascii="Avenir Next Medium"/>
          <w:color w:val="0778BE"/>
          <w:spacing w:val="-3"/>
          <w:sz w:val="40"/>
        </w:rPr>
        <w:t>Draft</w:t>
      </w:r>
      <w:r>
        <w:rPr>
          <w:rFonts w:ascii="Avenir Next Medium"/>
          <w:color w:val="0778BE"/>
          <w:sz w:val="40"/>
        </w:rPr>
        <w:t xml:space="preserve"> substituted price </w:t>
      </w:r>
      <w:r>
        <w:rPr>
          <w:rFonts w:ascii="Avenir Next Medium"/>
          <w:color w:val="0778BE"/>
          <w:spacing w:val="-1"/>
          <w:sz w:val="40"/>
        </w:rPr>
        <w:t>direction</w:t>
      </w:r>
    </w:p>
    <w:p w:rsidR="00D96B91" w:rsidRDefault="00D96B91">
      <w:pPr>
        <w:spacing w:before="12"/>
        <w:rPr>
          <w:rFonts w:ascii="Avenir Next Medium" w:eastAsia="Avenir Next Medium" w:hAnsi="Avenir Next Medium" w:cs="Avenir Next Medium"/>
          <w:sz w:val="26"/>
          <w:szCs w:val="26"/>
        </w:rPr>
      </w:pPr>
    </w:p>
    <w:p w:rsidR="00D96B91" w:rsidRDefault="00C2656B">
      <w:pPr>
        <w:pStyle w:val="BodyText"/>
      </w:pPr>
      <w:r>
        <w:rPr>
          <w:spacing w:val="-2"/>
        </w:rPr>
        <w:t>The</w:t>
      </w:r>
      <w:r>
        <w:t xml:space="preserve"> </w:t>
      </w:r>
      <w:r>
        <w:rPr>
          <w:spacing w:val="-2"/>
        </w:rPr>
        <w:t>draft</w:t>
      </w:r>
      <w:r>
        <w:t xml:space="preserve"> substituted price </w:t>
      </w:r>
      <w:r>
        <w:rPr>
          <w:spacing w:val="-1"/>
        </w:rPr>
        <w:t>direction</w:t>
      </w:r>
      <w:r>
        <w:t xml:space="preserve"> is set out on the following pages.</w:t>
      </w:r>
    </w:p>
    <w:p w:rsidR="00D96B91" w:rsidRDefault="00D96B91">
      <w:pPr>
        <w:sectPr w:rsidR="00D96B91">
          <w:footerReference w:type="default" r:id="rId143"/>
          <w:pgSz w:w="11910" w:h="16840"/>
          <w:pgMar w:top="1260" w:right="0" w:bottom="1020" w:left="0" w:header="0" w:footer="829" w:gutter="0"/>
          <w:pgNumType w:start="189"/>
          <w:cols w:space="720"/>
        </w:sectPr>
      </w:pPr>
    </w:p>
    <w:p w:rsidR="00D96B91" w:rsidRDefault="00D96B91">
      <w:pPr>
        <w:spacing w:before="5"/>
        <w:rPr>
          <w:rFonts w:ascii="Times New Roman" w:eastAsia="Times New Roman" w:hAnsi="Times New Roman" w:cs="Times New Roman"/>
          <w:sz w:val="17"/>
          <w:szCs w:val="17"/>
        </w:rPr>
      </w:pPr>
      <w:r w:rsidRPr="00D96B91">
        <w:pict>
          <v:group id="_x0000_s1054" style="position:absolute;margin-left:0;margin-top:789.45pt;width:595.3pt;height:52.45pt;z-index:251566592;mso-position-horizontal-relative:page;mso-position-vertical-relative:page" coordorigin=",15789" coordsize="11906,1049">
            <v:group id="_x0000_s1055" style="position:absolute;top:15789;width:11906;height:1049" coordorigin=",15789" coordsize="11906,1049">
              <v:shape id="_x0000_s1058" style="position:absolute;top:15789;width:11906;height:1049" coordorigin=",15789" coordsize="11906,1049" path="m,16838r11906,l11906,15789,,15789r,1049xe" fillcolor="#0778be" stroked="f">
                <v:path arrowok="t"/>
              </v:shape>
              <v:shape id="_x0000_s1057" type="#_x0000_t75" style="position:absolute;top:15789;width:11906;height:1049">
                <v:imagedata r:id="rId20" o:title=""/>
              </v:shape>
              <v:shape id="_x0000_s1056" type="#_x0000_t202" style="position:absolute;top:15789;width:11906;height:1049" filled="f" stroked="f">
                <v:textbox style="mso-next-textbox:#_x0000_s1056" inset="0,0,0,0">
                  <w:txbxContent>
                    <w:p w:rsidR="008A79D5" w:rsidRDefault="008A79D5">
                      <w:pPr>
                        <w:spacing w:before="6"/>
                        <w:rPr>
                          <w:rFonts w:ascii="Times New Roman" w:eastAsia="Times New Roman" w:hAnsi="Times New Roman" w:cs="Times New Roman"/>
                          <w:sz w:val="18"/>
                          <w:szCs w:val="18"/>
                        </w:rPr>
                      </w:pPr>
                    </w:p>
                    <w:p w:rsidR="008A79D5" w:rsidRDefault="008A79D5">
                      <w:pPr>
                        <w:ind w:left="692"/>
                        <w:rPr>
                          <w:rFonts w:ascii="Avenir Next" w:eastAsia="Avenir Next" w:hAnsi="Avenir Next" w:cs="Avenir Next"/>
                          <w:sz w:val="20"/>
                          <w:szCs w:val="20"/>
                        </w:rPr>
                      </w:pPr>
                      <w:r>
                        <w:rPr>
                          <w:rFonts w:ascii="Avenir Next" w:eastAsia="Avenir Next" w:hAnsi="Avenir Next" w:cs="Avenir Next"/>
                          <w:color w:val="EEF8FE"/>
                          <w:sz w:val="20"/>
                          <w:szCs w:val="20"/>
                        </w:rPr>
                        <w:t xml:space="preserve">190    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144"/>
          <w:pgSz w:w="11910" w:h="16840"/>
          <w:pgMar w:top="1580" w:right="0" w:bottom="0" w:left="0" w:header="0" w:footer="0" w:gutter="0"/>
          <w:cols w:space="720"/>
        </w:sect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rPr>
          <w:rFonts w:ascii="Times New Roman" w:eastAsia="Times New Roman" w:hAnsi="Times New Roman" w:cs="Times New Roman"/>
          <w:sz w:val="20"/>
          <w:szCs w:val="20"/>
        </w:rPr>
      </w:pPr>
    </w:p>
    <w:p w:rsidR="00D96B91" w:rsidRDefault="00D96B91">
      <w:pPr>
        <w:spacing w:before="6"/>
        <w:rPr>
          <w:rFonts w:ascii="Times New Roman" w:eastAsia="Times New Roman" w:hAnsi="Times New Roman" w:cs="Times New Roman"/>
          <w:sz w:val="16"/>
          <w:szCs w:val="16"/>
        </w:rPr>
      </w:pPr>
    </w:p>
    <w:p w:rsidR="00D96B91" w:rsidRDefault="00C2656B">
      <w:pPr>
        <w:spacing w:line="561" w:lineRule="exact"/>
        <w:ind w:left="1476" w:right="1476"/>
        <w:jc w:val="center"/>
        <w:rPr>
          <w:rFonts w:ascii="Avenir Next" w:eastAsia="Avenir Next" w:hAnsi="Avenir Next" w:cs="Avenir Next"/>
          <w:sz w:val="42"/>
          <w:szCs w:val="42"/>
        </w:rPr>
      </w:pPr>
      <w:r>
        <w:rPr>
          <w:rFonts w:ascii="Avenir Next"/>
          <w:b/>
          <w:sz w:val="42"/>
        </w:rPr>
        <w:t xml:space="preserve">Industry </w:t>
      </w:r>
      <w:r>
        <w:rPr>
          <w:rFonts w:ascii="Avenir Next"/>
          <w:b/>
          <w:spacing w:val="-5"/>
          <w:sz w:val="42"/>
        </w:rPr>
        <w:t>Panel</w:t>
      </w:r>
    </w:p>
    <w:p w:rsidR="00D96B91" w:rsidRDefault="00D96B91">
      <w:pPr>
        <w:spacing w:before="6"/>
        <w:rPr>
          <w:rFonts w:ascii="Avenir Next" w:eastAsia="Avenir Next" w:hAnsi="Avenir Next" w:cs="Avenir Next"/>
          <w:b/>
          <w:bCs/>
          <w:sz w:val="36"/>
          <w:szCs w:val="36"/>
        </w:rPr>
      </w:pPr>
    </w:p>
    <w:p w:rsidR="00D96B91" w:rsidRDefault="00C2656B">
      <w:pPr>
        <w:ind w:left="3894" w:hanging="1066"/>
        <w:rPr>
          <w:rFonts w:ascii="Avenir Next" w:eastAsia="Avenir Next" w:hAnsi="Avenir Next" w:cs="Avenir Next"/>
          <w:sz w:val="42"/>
          <w:szCs w:val="42"/>
        </w:rPr>
      </w:pPr>
      <w:r>
        <w:rPr>
          <w:rFonts w:ascii="Avenir Next"/>
          <w:b/>
          <w:spacing w:val="-3"/>
          <w:sz w:val="42"/>
        </w:rPr>
        <w:t>Draft</w:t>
      </w:r>
      <w:r>
        <w:rPr>
          <w:rFonts w:ascii="Avenir Next"/>
          <w:b/>
          <w:sz w:val="42"/>
        </w:rPr>
        <w:t xml:space="preserve"> Substituted </w:t>
      </w:r>
      <w:r>
        <w:rPr>
          <w:rFonts w:ascii="Avenir Next"/>
          <w:b/>
          <w:spacing w:val="-4"/>
          <w:sz w:val="42"/>
        </w:rPr>
        <w:t>Price</w:t>
      </w:r>
      <w:r>
        <w:rPr>
          <w:rFonts w:ascii="Avenir Next"/>
          <w:b/>
          <w:sz w:val="42"/>
        </w:rPr>
        <w:t xml:space="preserve"> </w:t>
      </w:r>
      <w:r>
        <w:rPr>
          <w:rFonts w:ascii="Avenir Next"/>
          <w:b/>
          <w:spacing w:val="-1"/>
          <w:sz w:val="42"/>
        </w:rPr>
        <w:t>Direction</w:t>
      </w:r>
    </w:p>
    <w:p w:rsidR="00D96B91" w:rsidRDefault="00D96B91">
      <w:pPr>
        <w:spacing w:before="9"/>
        <w:rPr>
          <w:rFonts w:ascii="Avenir Next" w:eastAsia="Avenir Next" w:hAnsi="Avenir Next" w:cs="Avenir Next"/>
          <w:b/>
          <w:bCs/>
          <w:sz w:val="37"/>
          <w:szCs w:val="37"/>
        </w:rPr>
      </w:pPr>
    </w:p>
    <w:p w:rsidR="00D96B91" w:rsidRDefault="00C2656B">
      <w:pPr>
        <w:spacing w:line="504" w:lineRule="exact"/>
        <w:ind w:left="3894" w:right="3892"/>
        <w:jc w:val="center"/>
        <w:rPr>
          <w:rFonts w:ascii="Avenir Next" w:eastAsia="Avenir Next" w:hAnsi="Avenir Next" w:cs="Avenir Next"/>
          <w:sz w:val="42"/>
          <w:szCs w:val="42"/>
        </w:rPr>
      </w:pPr>
      <w:r>
        <w:rPr>
          <w:rFonts w:ascii="Avenir Next"/>
          <w:b/>
          <w:spacing w:val="-2"/>
          <w:sz w:val="42"/>
        </w:rPr>
        <w:t>Regulated</w:t>
      </w:r>
      <w:r>
        <w:rPr>
          <w:rFonts w:ascii="Avenir Next"/>
          <w:b/>
          <w:spacing w:val="-6"/>
          <w:sz w:val="42"/>
        </w:rPr>
        <w:t xml:space="preserve"> </w:t>
      </w:r>
      <w:r>
        <w:rPr>
          <w:rFonts w:ascii="Avenir Next"/>
          <w:b/>
          <w:spacing w:val="-5"/>
          <w:sz w:val="42"/>
        </w:rPr>
        <w:t>Water</w:t>
      </w:r>
      <w:r>
        <w:rPr>
          <w:rFonts w:ascii="Avenir Next"/>
          <w:b/>
          <w:sz w:val="42"/>
        </w:rPr>
        <w:t xml:space="preserve"> and</w:t>
      </w:r>
      <w:r>
        <w:rPr>
          <w:rFonts w:ascii="Avenir Next"/>
          <w:b/>
          <w:spacing w:val="22"/>
          <w:sz w:val="42"/>
        </w:rPr>
        <w:t xml:space="preserve"> </w:t>
      </w:r>
      <w:r>
        <w:rPr>
          <w:rFonts w:ascii="Avenir Next"/>
          <w:b/>
          <w:spacing w:val="-1"/>
          <w:sz w:val="42"/>
        </w:rPr>
        <w:t>Sewerage</w:t>
      </w:r>
      <w:r>
        <w:rPr>
          <w:rFonts w:ascii="Avenir Next"/>
          <w:b/>
          <w:sz w:val="42"/>
        </w:rPr>
        <w:t xml:space="preserve"> Services</w:t>
      </w:r>
    </w:p>
    <w:p w:rsidR="00D96B91" w:rsidRDefault="00C2656B">
      <w:pPr>
        <w:spacing w:line="557" w:lineRule="exact"/>
        <w:ind w:left="1476" w:right="1476"/>
        <w:jc w:val="center"/>
        <w:rPr>
          <w:rFonts w:ascii="Avenir Next" w:eastAsia="Avenir Next" w:hAnsi="Avenir Next" w:cs="Avenir Next"/>
          <w:sz w:val="42"/>
          <w:szCs w:val="42"/>
        </w:rPr>
      </w:pPr>
      <w:r>
        <w:rPr>
          <w:rFonts w:ascii="Avenir Next"/>
          <w:b/>
          <w:sz w:val="42"/>
        </w:rPr>
        <w:t>1</w:t>
      </w:r>
      <w:r>
        <w:rPr>
          <w:rFonts w:ascii="Avenir Next"/>
          <w:b/>
          <w:spacing w:val="-6"/>
          <w:sz w:val="42"/>
        </w:rPr>
        <w:t xml:space="preserve"> </w:t>
      </w:r>
      <w:r>
        <w:rPr>
          <w:rFonts w:ascii="Avenir Next"/>
          <w:b/>
          <w:sz w:val="42"/>
        </w:rPr>
        <w:t>July 2013 to 30</w:t>
      </w:r>
      <w:r>
        <w:rPr>
          <w:rFonts w:ascii="Avenir Next"/>
          <w:b/>
          <w:spacing w:val="-6"/>
          <w:sz w:val="42"/>
        </w:rPr>
        <w:t xml:space="preserve"> </w:t>
      </w:r>
      <w:r>
        <w:rPr>
          <w:rFonts w:ascii="Avenir Next"/>
          <w:b/>
          <w:sz w:val="42"/>
        </w:rPr>
        <w:t>June 2018</w:t>
      </w:r>
    </w:p>
    <w:p w:rsidR="00D96B91" w:rsidRDefault="00D96B91">
      <w:pPr>
        <w:rPr>
          <w:rFonts w:ascii="Avenir Next" w:eastAsia="Avenir Next" w:hAnsi="Avenir Next" w:cs="Avenir Next"/>
          <w:b/>
          <w:bCs/>
          <w:sz w:val="42"/>
          <w:szCs w:val="42"/>
        </w:rPr>
      </w:pPr>
    </w:p>
    <w:p w:rsidR="00D96B91" w:rsidRDefault="00D96B91">
      <w:pPr>
        <w:spacing w:before="4"/>
        <w:rPr>
          <w:rFonts w:ascii="Avenir Next" w:eastAsia="Avenir Next" w:hAnsi="Avenir Next" w:cs="Avenir Next"/>
          <w:b/>
          <w:bCs/>
          <w:sz w:val="38"/>
          <w:szCs w:val="38"/>
        </w:rPr>
      </w:pPr>
    </w:p>
    <w:p w:rsidR="00D96B91" w:rsidRDefault="00C2656B">
      <w:pPr>
        <w:pStyle w:val="Heading4"/>
        <w:ind w:left="1476" w:right="1476"/>
        <w:jc w:val="center"/>
      </w:pPr>
      <w:r>
        <w:t>December 2014</w:t>
      </w:r>
    </w:p>
    <w:p w:rsidR="00D96B91" w:rsidRDefault="00D96B91">
      <w:pPr>
        <w:jc w:val="center"/>
        <w:sectPr w:rsidR="00D96B91">
          <w:footerReference w:type="default" r:id="rId145"/>
          <w:pgSz w:w="11910" w:h="16840"/>
          <w:pgMar w:top="1580" w:right="0" w:bottom="1020" w:left="0" w:header="0" w:footer="829" w:gutter="0"/>
          <w:cols w:space="720"/>
        </w:sectPr>
      </w:pPr>
    </w:p>
    <w:p w:rsidR="00D96B91" w:rsidRDefault="00D96B91">
      <w:pPr>
        <w:rPr>
          <w:rFonts w:ascii="Avenir Next Medium" w:eastAsia="Avenir Next Medium" w:hAnsi="Avenir Next Medium" w:cs="Avenir Next Medium"/>
          <w:sz w:val="20"/>
          <w:szCs w:val="20"/>
        </w:rPr>
      </w:pPr>
      <w:r w:rsidRPr="00D96B91">
        <w:pict>
          <v:group id="_x0000_s1048" style="position:absolute;margin-left:0;margin-top:789.45pt;width:595.3pt;height:52.45pt;z-index:251567616;mso-position-horizontal-relative:page;mso-position-vertical-relative:page" coordorigin=",15789" coordsize="11906,1049">
            <v:group id="_x0000_s1049" style="position:absolute;top:15789;width:11906;height:1049" coordorigin=",15789" coordsize="11906,1049">
              <v:shape id="_x0000_s1053" style="position:absolute;top:15789;width:11906;height:1049" coordorigin=",15789" coordsize="11906,1049" path="m,16838r11906,l11906,15789,,15789r,1049xe" fillcolor="#0778be" stroked="f">
                <v:path arrowok="t"/>
              </v:shape>
              <v:shape id="_x0000_s1052" type="#_x0000_t75" style="position:absolute;top:15789;width:11906;height:1049">
                <v:imagedata r:id="rId20" o:title=""/>
              </v:shape>
              <v:shape id="_x0000_s1051" type="#_x0000_t202" style="position:absolute;left:693;top:16055;width:100;height:200" filled="f" stroked="f">
                <v:textbox style="mso-next-textbox:#_x0000_s1051" inset="0,0,0,0">
                  <w:txbxContent>
                    <w:p w:rsidR="008A79D5" w:rsidRDefault="008A79D5">
                      <w:pPr>
                        <w:spacing w:line="200" w:lineRule="exact"/>
                        <w:rPr>
                          <w:rFonts w:ascii="Avenir Next" w:eastAsia="Avenir Next" w:hAnsi="Avenir Next" w:cs="Avenir Next"/>
                          <w:sz w:val="20"/>
                          <w:szCs w:val="20"/>
                        </w:rPr>
                      </w:pPr>
                      <w:r>
                        <w:rPr>
                          <w:rFonts w:ascii="Avenir Next"/>
                          <w:color w:val="EEF8FE"/>
                          <w:sz w:val="20"/>
                        </w:rPr>
                        <w:t>iii</w:t>
                      </w:r>
                    </w:p>
                  </w:txbxContent>
                </v:textbox>
              </v:shape>
              <v:shape id="_x0000_s1050" type="#_x0000_t202" style="position:absolute;left:1241;top:16055;width:6297;height:200" filled="f" stroked="f">
                <v:textbox style="mso-next-textbox:#_x0000_s1050" inset="0,0,0,0">
                  <w:txbxContent>
                    <w:p w:rsidR="008A79D5" w:rsidRDefault="008A79D5">
                      <w:pPr>
                        <w:spacing w:line="200" w:lineRule="exact"/>
                        <w:rPr>
                          <w:rFonts w:ascii="Avenir Next" w:eastAsia="Avenir Next" w:hAnsi="Avenir Next" w:cs="Avenir Next"/>
                          <w:sz w:val="20"/>
                          <w:szCs w:val="20"/>
                        </w:rPr>
                      </w:pPr>
                      <w:r>
                        <w:rPr>
                          <w:rFonts w:ascii="Avenir Next" w:eastAsia="Avenir Next" w:hAnsi="Avenir Next" w:cs="Avenir Next"/>
                          <w:color w:val="EEF8FE"/>
                          <w:sz w:val="20"/>
                          <w:szCs w:val="20"/>
                        </w:rPr>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rPr>
          <w:rFonts w:ascii="Avenir Next Medium" w:eastAsia="Avenir Next Medium" w:hAnsi="Avenir Next Medium" w:cs="Avenir Next Medium"/>
          <w:sz w:val="20"/>
          <w:szCs w:val="20"/>
        </w:rPr>
      </w:pPr>
    </w:p>
    <w:p w:rsidR="00D96B91" w:rsidRDefault="00D96B91">
      <w:pPr>
        <w:spacing w:before="10"/>
        <w:rPr>
          <w:rFonts w:ascii="Avenir Next Medium" w:eastAsia="Avenir Next Medium" w:hAnsi="Avenir Next Medium" w:cs="Avenir Next Medium"/>
          <w:sz w:val="29"/>
          <w:szCs w:val="29"/>
        </w:rPr>
      </w:pPr>
    </w:p>
    <w:p w:rsidR="00D96B91" w:rsidRDefault="00C2656B">
      <w:pPr>
        <w:pStyle w:val="BodyText"/>
        <w:spacing w:before="46" w:line="267" w:lineRule="exact"/>
        <w:jc w:val="both"/>
        <w:rPr>
          <w:rFonts w:cs="Avenir Next"/>
        </w:rPr>
      </w:pPr>
      <w:r>
        <w:rPr>
          <w:spacing w:val="-2"/>
        </w:rPr>
        <w:t>The</w:t>
      </w:r>
      <w:r>
        <w:t xml:space="preserve"> Industry </w:t>
      </w:r>
      <w:r>
        <w:rPr>
          <w:spacing w:val="-3"/>
        </w:rPr>
        <w:t>Panel</w:t>
      </w:r>
      <w:r>
        <w:t xml:space="preserve"> is established under the Independent </w:t>
      </w:r>
      <w:r>
        <w:rPr>
          <w:spacing w:val="-1"/>
        </w:rPr>
        <w:t>Competition</w:t>
      </w:r>
      <w:r>
        <w:t xml:space="preserve"> and </w:t>
      </w:r>
      <w:r>
        <w:rPr>
          <w:spacing w:val="-1"/>
        </w:rPr>
        <w:t>Regulatory</w:t>
      </w:r>
      <w:r>
        <w:t xml:space="preserve"> </w:t>
      </w:r>
      <w:r>
        <w:rPr>
          <w:spacing w:val="-1"/>
        </w:rPr>
        <w:t>Commission</w:t>
      </w:r>
    </w:p>
    <w:p w:rsidR="00D96B91" w:rsidRDefault="00C2656B">
      <w:pPr>
        <w:pStyle w:val="BodyText"/>
        <w:spacing w:before="3" w:line="228" w:lineRule="auto"/>
        <w:ind w:right="1296"/>
        <w:jc w:val="both"/>
      </w:pPr>
      <w:r>
        <w:t>Act 1997 (Act),</w:t>
      </w:r>
      <w:r>
        <w:rPr>
          <w:spacing w:val="-6"/>
        </w:rPr>
        <w:t xml:space="preserve"> </w:t>
      </w:r>
      <w:r>
        <w:t xml:space="preserve">following an </w:t>
      </w:r>
      <w:r>
        <w:rPr>
          <w:spacing w:val="-1"/>
        </w:rPr>
        <w:t>application</w:t>
      </w:r>
      <w:r>
        <w:t xml:space="preserve"> by</w:t>
      </w:r>
      <w:r>
        <w:rPr>
          <w:spacing w:val="-4"/>
        </w:rPr>
        <w:t xml:space="preserve"> </w:t>
      </w:r>
      <w:r>
        <w:rPr>
          <w:spacing w:val="-2"/>
        </w:rPr>
        <w:t>ACTEW</w:t>
      </w:r>
      <w:r>
        <w:rPr>
          <w:spacing w:val="-3"/>
        </w:rPr>
        <w:t xml:space="preserve"> </w:t>
      </w:r>
      <w:r>
        <w:t xml:space="preserve">for the </w:t>
      </w:r>
      <w:r>
        <w:rPr>
          <w:spacing w:val="-1"/>
        </w:rPr>
        <w:t>review</w:t>
      </w:r>
      <w:r>
        <w:t xml:space="preserve"> of</w:t>
      </w:r>
      <w:r>
        <w:rPr>
          <w:spacing w:val="4"/>
        </w:rPr>
        <w:t xml:space="preserve"> </w:t>
      </w:r>
      <w:r>
        <w:t xml:space="preserve">the Independent </w:t>
      </w:r>
      <w:r>
        <w:rPr>
          <w:spacing w:val="-1"/>
        </w:rPr>
        <w:t>Competition</w:t>
      </w:r>
      <w:r>
        <w:t xml:space="preserve"> and</w:t>
      </w:r>
      <w:r>
        <w:rPr>
          <w:spacing w:val="47"/>
        </w:rPr>
        <w:t xml:space="preserve"> </w:t>
      </w:r>
      <w:r>
        <w:rPr>
          <w:spacing w:val="-1"/>
        </w:rPr>
        <w:t>Regulatory</w:t>
      </w:r>
      <w:r>
        <w:t xml:space="preserve"> </w:t>
      </w:r>
      <w:r>
        <w:rPr>
          <w:spacing w:val="-2"/>
        </w:rPr>
        <w:t>Commission’s</w:t>
      </w:r>
      <w:r>
        <w:t xml:space="preserve"> </w:t>
      </w:r>
      <w:r>
        <w:rPr>
          <w:spacing w:val="-2"/>
        </w:rPr>
        <w:t>Price</w:t>
      </w:r>
      <w:r>
        <w:t xml:space="preserve"> </w:t>
      </w:r>
      <w:r>
        <w:rPr>
          <w:spacing w:val="-1"/>
        </w:rPr>
        <w:t>Direction</w:t>
      </w:r>
      <w:r>
        <w:t xml:space="preserve"> for </w:t>
      </w:r>
      <w:r>
        <w:rPr>
          <w:spacing w:val="-1"/>
        </w:rPr>
        <w:t>Regulated</w:t>
      </w:r>
      <w:r>
        <w:rPr>
          <w:spacing w:val="-3"/>
        </w:rPr>
        <w:t xml:space="preserve"> </w:t>
      </w:r>
      <w:r>
        <w:rPr>
          <w:spacing w:val="-2"/>
        </w:rPr>
        <w:t>Water</w:t>
      </w:r>
      <w:r>
        <w:t xml:space="preserve"> and </w:t>
      </w:r>
      <w:r>
        <w:rPr>
          <w:spacing w:val="-1"/>
        </w:rPr>
        <w:t>Sewerage</w:t>
      </w:r>
      <w:r>
        <w:t xml:space="preserve"> Services,</w:t>
      </w:r>
      <w:r>
        <w:rPr>
          <w:spacing w:val="-6"/>
        </w:rPr>
        <w:t xml:space="preserve"> </w:t>
      </w:r>
      <w:r>
        <w:t>1</w:t>
      </w:r>
      <w:r>
        <w:rPr>
          <w:spacing w:val="-3"/>
        </w:rPr>
        <w:t xml:space="preserve"> </w:t>
      </w:r>
      <w:r>
        <w:t>July 2013 to 30</w:t>
      </w:r>
      <w:r>
        <w:rPr>
          <w:spacing w:val="61"/>
        </w:rPr>
        <w:t xml:space="preserve"> </w:t>
      </w:r>
      <w:r>
        <w:t>June 2019.</w:t>
      </w:r>
    </w:p>
    <w:p w:rsidR="00D96B91" w:rsidRDefault="00C2656B">
      <w:pPr>
        <w:pStyle w:val="BodyText"/>
        <w:spacing w:before="160"/>
        <w:jc w:val="both"/>
      </w:pPr>
      <w:r>
        <w:rPr>
          <w:spacing w:val="-2"/>
        </w:rPr>
        <w:t>The</w:t>
      </w:r>
      <w:r>
        <w:t xml:space="preserve"> Industry </w:t>
      </w:r>
      <w:r>
        <w:rPr>
          <w:spacing w:val="-3"/>
        </w:rPr>
        <w:t>Panel</w:t>
      </w:r>
      <w:r>
        <w:t xml:space="preserve"> is constituted under the</w:t>
      </w:r>
      <w:r>
        <w:rPr>
          <w:spacing w:val="-4"/>
        </w:rPr>
        <w:t xml:space="preserve"> </w:t>
      </w:r>
      <w:r>
        <w:t xml:space="preserve">Act as one </w:t>
      </w:r>
      <w:r>
        <w:rPr>
          <w:spacing w:val="-2"/>
        </w:rPr>
        <w:t>President</w:t>
      </w:r>
      <w:r>
        <w:t xml:space="preserve"> and two members.</w:t>
      </w:r>
    </w:p>
    <w:p w:rsidR="00D96B91" w:rsidRDefault="00C2656B">
      <w:pPr>
        <w:pStyle w:val="BodyText"/>
        <w:spacing w:before="149" w:line="260" w:lineRule="exact"/>
        <w:ind w:right="1548"/>
      </w:pPr>
      <w:r>
        <w:rPr>
          <w:spacing w:val="-2"/>
        </w:rPr>
        <w:t>The</w:t>
      </w:r>
      <w:r>
        <w:t xml:space="preserve"> </w:t>
      </w:r>
      <w:r>
        <w:rPr>
          <w:spacing w:val="-3"/>
        </w:rPr>
        <w:t>Panel</w:t>
      </w:r>
      <w:r>
        <w:t xml:space="preserve"> Members </w:t>
      </w:r>
      <w:r>
        <w:rPr>
          <w:spacing w:val="-2"/>
        </w:rPr>
        <w:t>are</w:t>
      </w:r>
      <w:r>
        <w:t xml:space="preserve"> </w:t>
      </w:r>
      <w:r>
        <w:rPr>
          <w:spacing w:val="-2"/>
        </w:rPr>
        <w:t>President</w:t>
      </w:r>
      <w:r>
        <w:t xml:space="preserve"> Ms Mary</w:t>
      </w:r>
      <w:r>
        <w:rPr>
          <w:spacing w:val="-4"/>
        </w:rPr>
        <w:t xml:space="preserve"> </w:t>
      </w:r>
      <w:r>
        <w:t xml:space="preserve">Anne </w:t>
      </w:r>
      <w:r>
        <w:rPr>
          <w:spacing w:val="-1"/>
        </w:rPr>
        <w:t>Hartley</w:t>
      </w:r>
      <w:r>
        <w:t xml:space="preserve"> QC,</w:t>
      </w:r>
      <w:r>
        <w:rPr>
          <w:spacing w:val="-6"/>
        </w:rPr>
        <w:t xml:space="preserve"> </w:t>
      </w:r>
      <w:r>
        <w:t xml:space="preserve">and Members Ms Sally </w:t>
      </w:r>
      <w:r>
        <w:rPr>
          <w:spacing w:val="-2"/>
        </w:rPr>
        <w:t>Farrier</w:t>
      </w:r>
      <w:r>
        <w:t xml:space="preserve"> and Ms</w:t>
      </w:r>
      <w:r w:rsidR="00733490">
        <w:rPr>
          <w:rFonts w:hint="cs"/>
          <w:spacing w:val="39"/>
        </w:rPr>
        <w:t> </w:t>
      </w:r>
      <w:r>
        <w:rPr>
          <w:spacing w:val="-1"/>
        </w:rPr>
        <w:t>Claire</w:t>
      </w:r>
      <w:r w:rsidR="00733490">
        <w:rPr>
          <w:rFonts w:hint="cs"/>
          <w:spacing w:val="-5"/>
        </w:rPr>
        <w:t> </w:t>
      </w:r>
      <w:r>
        <w:rPr>
          <w:spacing w:val="-1"/>
        </w:rPr>
        <w:t>Thomas</w:t>
      </w:r>
      <w:r>
        <w:t xml:space="preserve"> PSM.</w:t>
      </w:r>
    </w:p>
    <w:p w:rsidR="00D96B91" w:rsidRDefault="00D96B91">
      <w:pPr>
        <w:rPr>
          <w:rFonts w:ascii="Avenir Next" w:eastAsia="Avenir Next" w:hAnsi="Avenir Next" w:cs="Avenir Next"/>
          <w:sz w:val="20"/>
          <w:szCs w:val="20"/>
        </w:rPr>
      </w:pPr>
    </w:p>
    <w:p w:rsidR="00D96B91" w:rsidRDefault="00C2656B">
      <w:pPr>
        <w:pStyle w:val="BodyText"/>
        <w:spacing w:before="178" w:line="430" w:lineRule="atLeast"/>
        <w:ind w:right="1548"/>
        <w:rPr>
          <w:rFonts w:cs="Avenir Next"/>
        </w:rPr>
      </w:pPr>
      <w:r>
        <w:rPr>
          <w:spacing w:val="-1"/>
        </w:rPr>
        <w:t>Correspondence</w:t>
      </w:r>
      <w:r>
        <w:t xml:space="preserve"> or other inquiries may be </w:t>
      </w:r>
      <w:r>
        <w:rPr>
          <w:spacing w:val="-1"/>
        </w:rPr>
        <w:t>directed</w:t>
      </w:r>
      <w:r>
        <w:t xml:space="preserve"> to the Industry </w:t>
      </w:r>
      <w:r>
        <w:rPr>
          <w:spacing w:val="-3"/>
        </w:rPr>
        <w:t>Panel</w:t>
      </w:r>
      <w:r>
        <w:t xml:space="preserve"> </w:t>
      </w:r>
      <w:r>
        <w:rPr>
          <w:spacing w:val="-1"/>
        </w:rPr>
        <w:t>at</w:t>
      </w:r>
      <w:r>
        <w:t xml:space="preserve"> the </w:t>
      </w:r>
      <w:r>
        <w:rPr>
          <w:spacing w:val="-1"/>
        </w:rPr>
        <w:t>addresses</w:t>
      </w:r>
      <w:r>
        <w:t xml:space="preserve"> below:</w:t>
      </w:r>
      <w:r>
        <w:rPr>
          <w:spacing w:val="37"/>
        </w:rPr>
        <w:t xml:space="preserve"> </w:t>
      </w:r>
      <w:r>
        <w:t xml:space="preserve">Industry </w:t>
      </w:r>
      <w:r>
        <w:rPr>
          <w:spacing w:val="-3"/>
        </w:rPr>
        <w:t>Panel</w:t>
      </w:r>
    </w:p>
    <w:p w:rsidR="00D96B91" w:rsidRDefault="00C2656B">
      <w:pPr>
        <w:pStyle w:val="BodyText"/>
        <w:spacing w:line="253" w:lineRule="exact"/>
        <w:jc w:val="both"/>
      </w:pPr>
      <w:r>
        <w:t xml:space="preserve">GPO </w:t>
      </w:r>
      <w:r>
        <w:rPr>
          <w:spacing w:val="-1"/>
        </w:rPr>
        <w:t>Box</w:t>
      </w:r>
      <w:r>
        <w:t xml:space="preserve"> 158</w:t>
      </w:r>
    </w:p>
    <w:p w:rsidR="00D96B91" w:rsidRDefault="00C2656B">
      <w:pPr>
        <w:pStyle w:val="BodyText"/>
        <w:spacing w:line="267" w:lineRule="exact"/>
        <w:jc w:val="both"/>
      </w:pPr>
      <w:r>
        <w:rPr>
          <w:spacing w:val="-1"/>
        </w:rPr>
        <w:t>Canberra</w:t>
      </w:r>
      <w:r>
        <w:rPr>
          <w:spacing w:val="-4"/>
        </w:rPr>
        <w:t xml:space="preserve"> </w:t>
      </w:r>
      <w:r>
        <w:rPr>
          <w:spacing w:val="-2"/>
        </w:rPr>
        <w:t>ACT</w:t>
      </w:r>
      <w:r>
        <w:rPr>
          <w:spacing w:val="-5"/>
        </w:rPr>
        <w:t xml:space="preserve"> </w:t>
      </w:r>
      <w:r>
        <w:t>2601</w:t>
      </w:r>
    </w:p>
    <w:p w:rsidR="00D96B91" w:rsidRDefault="00C2656B">
      <w:pPr>
        <w:pStyle w:val="BodyText"/>
        <w:spacing w:before="157" w:line="267" w:lineRule="exact"/>
        <w:jc w:val="both"/>
      </w:pPr>
      <w:r>
        <w:rPr>
          <w:spacing w:val="-2"/>
        </w:rPr>
        <w:t>The</w:t>
      </w:r>
      <w:r>
        <w:t xml:space="preserve"> </w:t>
      </w:r>
      <w:r>
        <w:rPr>
          <w:spacing w:val="-1"/>
        </w:rPr>
        <w:t>Secretariat</w:t>
      </w:r>
      <w:r>
        <w:t xml:space="preserve"> of</w:t>
      </w:r>
      <w:r>
        <w:rPr>
          <w:spacing w:val="4"/>
        </w:rPr>
        <w:t xml:space="preserve"> </w:t>
      </w:r>
      <w:r>
        <w:t xml:space="preserve">the Industry </w:t>
      </w:r>
      <w:r>
        <w:rPr>
          <w:spacing w:val="-3"/>
        </w:rPr>
        <w:t>Panel</w:t>
      </w:r>
      <w:r>
        <w:t xml:space="preserve"> can be contacted by telephone on (02) 6207 6128,</w:t>
      </w:r>
      <w:r>
        <w:rPr>
          <w:spacing w:val="-7"/>
        </w:rPr>
        <w:t xml:space="preserve"> </w:t>
      </w:r>
      <w:r>
        <w:t>or by fax on</w:t>
      </w:r>
    </w:p>
    <w:p w:rsidR="00D96B91" w:rsidRDefault="00C2656B">
      <w:pPr>
        <w:pStyle w:val="BodyText"/>
        <w:numPr>
          <w:ilvl w:val="0"/>
          <w:numId w:val="21"/>
        </w:numPr>
        <w:tabs>
          <w:tab w:val="left" w:pos="1650"/>
        </w:tabs>
        <w:spacing w:line="267" w:lineRule="exact"/>
        <w:jc w:val="both"/>
      </w:pPr>
      <w:r>
        <w:t xml:space="preserve">6207 0267 or via email </w:t>
      </w:r>
      <w:r>
        <w:rPr>
          <w:spacing w:val="-2"/>
        </w:rPr>
        <w:t>at</w:t>
      </w:r>
      <w:r>
        <w:t xml:space="preserve"> </w:t>
      </w:r>
      <w:hyperlink r:id="rId146">
        <w:r>
          <w:rPr>
            <w:color w:val="0778BE"/>
            <w:spacing w:val="-1"/>
          </w:rPr>
          <w:t>industrypanel@act.gov.au</w:t>
        </w:r>
      </w:hyperlink>
    </w:p>
    <w:p w:rsidR="00D96B91" w:rsidRDefault="00C2656B">
      <w:pPr>
        <w:pStyle w:val="BodyText"/>
        <w:spacing w:before="149" w:line="260" w:lineRule="exact"/>
        <w:ind w:right="1283"/>
      </w:pPr>
      <w:r>
        <w:rPr>
          <w:spacing w:val="-2"/>
        </w:rPr>
        <w:t>Further</w:t>
      </w:r>
      <w:r>
        <w:t xml:space="preserve"> details of</w:t>
      </w:r>
      <w:r>
        <w:rPr>
          <w:spacing w:val="4"/>
        </w:rPr>
        <w:t xml:space="preserve"> </w:t>
      </w:r>
      <w:r>
        <w:t xml:space="preserve">the Industry </w:t>
      </w:r>
      <w:r>
        <w:rPr>
          <w:spacing w:val="-3"/>
        </w:rPr>
        <w:t>Panel</w:t>
      </w:r>
      <w:r>
        <w:t xml:space="preserve"> </w:t>
      </w:r>
      <w:r>
        <w:rPr>
          <w:spacing w:val="-1"/>
        </w:rPr>
        <w:t>process</w:t>
      </w:r>
      <w:r>
        <w:t xml:space="preserve"> can be found </w:t>
      </w:r>
      <w:r>
        <w:rPr>
          <w:spacing w:val="-1"/>
        </w:rPr>
        <w:t>a</w:t>
      </w:r>
      <w:hyperlink r:id="rId147">
        <w:r>
          <w:rPr>
            <w:spacing w:val="-1"/>
          </w:rPr>
          <w:t>t:</w:t>
        </w:r>
        <w:r>
          <w:t xml:space="preserve"> </w:t>
        </w:r>
        <w:r>
          <w:rPr>
            <w:spacing w:val="-1"/>
          </w:rPr>
          <w:t>http://apps.treasury.act.gov.au/</w:t>
        </w:r>
      </w:hyperlink>
      <w:r>
        <w:t>industrypanel.</w:t>
      </w:r>
    </w:p>
    <w:p w:rsidR="00D96B91" w:rsidRDefault="00D96B91">
      <w:pPr>
        <w:spacing w:line="260" w:lineRule="exact"/>
        <w:sectPr w:rsidR="00D96B91">
          <w:footerReference w:type="even" r:id="rId148"/>
          <w:pgSz w:w="11910" w:h="16840"/>
          <w:pgMar w:top="1580" w:right="0" w:bottom="0" w:left="0" w:header="0" w:footer="0" w:gutter="0"/>
          <w:cols w:space="720"/>
        </w:sectPr>
      </w:pPr>
    </w:p>
    <w:p w:rsidR="00D96B91" w:rsidRDefault="00C2656B">
      <w:pPr>
        <w:spacing w:line="516" w:lineRule="exact"/>
        <w:ind w:left="1247"/>
        <w:rPr>
          <w:rFonts w:ascii="Avenir Next" w:eastAsia="Avenir Next" w:hAnsi="Avenir Next" w:cs="Avenir Next"/>
          <w:sz w:val="40"/>
          <w:szCs w:val="40"/>
        </w:rPr>
      </w:pPr>
      <w:r>
        <w:rPr>
          <w:rFonts w:ascii="Avenir Next"/>
          <w:b/>
          <w:color w:val="0778BE"/>
          <w:spacing w:val="-1"/>
          <w:sz w:val="40"/>
        </w:rPr>
        <w:t>Contents</w:t>
      </w:r>
    </w:p>
    <w:sdt>
      <w:sdtPr>
        <w:rPr>
          <w:b/>
          <w:bCs/>
        </w:rPr>
        <w:id w:val="336215995"/>
        <w:docPartObj>
          <w:docPartGallery w:val="Table of Contents"/>
          <w:docPartUnique/>
        </w:docPartObj>
      </w:sdtPr>
      <w:sdtContent>
        <w:p w:rsidR="00D96B91" w:rsidRDefault="00D96B91">
          <w:pPr>
            <w:pStyle w:val="TOC2"/>
            <w:numPr>
              <w:ilvl w:val="1"/>
              <w:numId w:val="21"/>
            </w:numPr>
            <w:tabs>
              <w:tab w:val="left" w:pos="2382"/>
              <w:tab w:val="right" w:pos="10467"/>
            </w:tabs>
            <w:spacing w:before="367"/>
          </w:pPr>
          <w:hyperlink w:anchor="_bookmark157" w:history="1">
            <w:r w:rsidR="00C2656B">
              <w:rPr>
                <w:spacing w:val="-1"/>
              </w:rPr>
              <w:t>Introduction</w:t>
            </w:r>
            <w:r w:rsidR="00C2656B">
              <w:rPr>
                <w:spacing w:val="-1"/>
              </w:rPr>
              <w:tab/>
            </w:r>
            <w:r w:rsidR="00C2656B">
              <w:t>1</w:t>
            </w:r>
          </w:hyperlink>
        </w:p>
        <w:p w:rsidR="00D96B91" w:rsidRDefault="00D96B91">
          <w:pPr>
            <w:pStyle w:val="TOC1"/>
            <w:tabs>
              <w:tab w:val="right" w:pos="10467"/>
            </w:tabs>
            <w:rPr>
              <w:b w:val="0"/>
              <w:bCs w:val="0"/>
            </w:rPr>
          </w:pPr>
          <w:hyperlink w:anchor="_bookmark158" w:history="1">
            <w:r w:rsidR="00C2656B">
              <w:rPr>
                <w:spacing w:val="-4"/>
              </w:rPr>
              <w:t xml:space="preserve">Part </w:t>
            </w:r>
            <w:r w:rsidR="00C2656B">
              <w:t>A</w:t>
            </w:r>
            <w:r w:rsidR="00C2656B">
              <w:rPr>
                <w:spacing w:val="46"/>
              </w:rPr>
              <w:t xml:space="preserve"> </w:t>
            </w:r>
            <w:r w:rsidR="00C2656B">
              <w:rPr>
                <w:spacing w:val="-2"/>
              </w:rPr>
              <w:t>Preliminary</w:t>
            </w:r>
            <w:r w:rsidR="00C2656B">
              <w:rPr>
                <w:spacing w:val="-2"/>
              </w:rPr>
              <w:tab/>
            </w:r>
            <w:r w:rsidR="00C2656B">
              <w:t>2</w:t>
            </w:r>
          </w:hyperlink>
        </w:p>
        <w:p w:rsidR="00D96B91" w:rsidRDefault="00D96B91">
          <w:pPr>
            <w:pStyle w:val="TOC2"/>
            <w:numPr>
              <w:ilvl w:val="1"/>
              <w:numId w:val="21"/>
            </w:numPr>
            <w:tabs>
              <w:tab w:val="left" w:pos="2382"/>
              <w:tab w:val="right" w:pos="10467"/>
            </w:tabs>
          </w:pPr>
          <w:hyperlink w:anchor="_bookmark158" w:history="1">
            <w:r w:rsidR="00C2656B">
              <w:rPr>
                <w:spacing w:val="-2"/>
              </w:rPr>
              <w:t>The</w:t>
            </w:r>
            <w:r w:rsidR="00C2656B">
              <w:t xml:space="preserve"> </w:t>
            </w:r>
            <w:r w:rsidR="00C2656B">
              <w:rPr>
                <w:spacing w:val="-1"/>
              </w:rPr>
              <w:t>regulatory</w:t>
            </w:r>
            <w:r w:rsidR="00C2656B">
              <w:t xml:space="preserve"> period</w:t>
            </w:r>
            <w:r w:rsidR="00C2656B">
              <w:tab/>
              <w:t>2</w:t>
            </w:r>
          </w:hyperlink>
        </w:p>
        <w:p w:rsidR="00D96B91" w:rsidRDefault="00D96B91">
          <w:pPr>
            <w:pStyle w:val="TOC2"/>
            <w:numPr>
              <w:ilvl w:val="1"/>
              <w:numId w:val="21"/>
            </w:numPr>
            <w:tabs>
              <w:tab w:val="left" w:pos="2382"/>
              <w:tab w:val="right" w:pos="10467"/>
            </w:tabs>
          </w:pPr>
          <w:hyperlink w:anchor="_bookmark158" w:history="1">
            <w:r w:rsidR="00C2656B">
              <w:t>Section 20(2) of</w:t>
            </w:r>
            <w:r w:rsidR="00C2656B">
              <w:rPr>
                <w:spacing w:val="4"/>
              </w:rPr>
              <w:t xml:space="preserve"> </w:t>
            </w:r>
            <w:r w:rsidR="00C2656B">
              <w:t>the</w:t>
            </w:r>
            <w:r w:rsidR="00C2656B">
              <w:rPr>
                <w:spacing w:val="-4"/>
              </w:rPr>
              <w:t xml:space="preserve"> </w:t>
            </w:r>
            <w:r w:rsidR="00C2656B">
              <w:t>Act</w:t>
            </w:r>
            <w:r w:rsidR="00C2656B">
              <w:tab/>
              <w:t>2</w:t>
            </w:r>
          </w:hyperlink>
        </w:p>
        <w:p w:rsidR="00D96B91" w:rsidRDefault="00D96B91">
          <w:pPr>
            <w:pStyle w:val="TOC2"/>
            <w:numPr>
              <w:ilvl w:val="1"/>
              <w:numId w:val="21"/>
            </w:numPr>
            <w:tabs>
              <w:tab w:val="left" w:pos="2382"/>
              <w:tab w:val="right" w:pos="10467"/>
            </w:tabs>
          </w:pPr>
          <w:hyperlink w:anchor="_bookmark158" w:history="1">
            <w:r w:rsidR="00C2656B">
              <w:t>Notes</w:t>
            </w:r>
            <w:r w:rsidR="00C2656B">
              <w:tab/>
              <w:t>2</w:t>
            </w:r>
          </w:hyperlink>
        </w:p>
        <w:p w:rsidR="00D96B91" w:rsidRDefault="00D96B91">
          <w:pPr>
            <w:pStyle w:val="TOC1"/>
            <w:tabs>
              <w:tab w:val="right" w:pos="10467"/>
            </w:tabs>
            <w:rPr>
              <w:b w:val="0"/>
              <w:bCs w:val="0"/>
            </w:rPr>
          </w:pPr>
          <w:hyperlink w:anchor="_bookmark160" w:history="1">
            <w:r w:rsidR="00C2656B">
              <w:rPr>
                <w:spacing w:val="-4"/>
              </w:rPr>
              <w:t>Part</w:t>
            </w:r>
            <w:r w:rsidR="00C2656B">
              <w:t xml:space="preserve"> B  </w:t>
            </w:r>
            <w:r w:rsidR="00C2656B">
              <w:rPr>
                <w:spacing w:val="-1"/>
              </w:rPr>
              <w:t>Regulated</w:t>
            </w:r>
            <w:r w:rsidR="00C2656B">
              <w:t xml:space="preserve"> Services and </w:t>
            </w:r>
            <w:r w:rsidR="00C2656B">
              <w:rPr>
                <w:spacing w:val="-2"/>
              </w:rPr>
              <w:t>Prices</w:t>
            </w:r>
            <w:r w:rsidR="00C2656B">
              <w:rPr>
                <w:spacing w:val="-2"/>
              </w:rPr>
              <w:tab/>
            </w:r>
            <w:r w:rsidR="00C2656B">
              <w:t>4</w:t>
            </w:r>
          </w:hyperlink>
        </w:p>
        <w:p w:rsidR="00D96B91" w:rsidRDefault="00D96B91">
          <w:pPr>
            <w:pStyle w:val="TOC2"/>
            <w:numPr>
              <w:ilvl w:val="1"/>
              <w:numId w:val="21"/>
            </w:numPr>
            <w:tabs>
              <w:tab w:val="left" w:pos="2382"/>
              <w:tab w:val="right" w:pos="10467"/>
            </w:tabs>
          </w:pPr>
          <w:hyperlink w:anchor="_bookmark160" w:history="1">
            <w:r w:rsidR="00C2656B">
              <w:rPr>
                <w:spacing w:val="-1"/>
              </w:rPr>
              <w:t>Regulated</w:t>
            </w:r>
            <w:r w:rsidR="00C2656B">
              <w:t xml:space="preserve"> services</w:t>
            </w:r>
            <w:r w:rsidR="00C2656B">
              <w:tab/>
              <w:t>4</w:t>
            </w:r>
          </w:hyperlink>
        </w:p>
        <w:p w:rsidR="00D96B91" w:rsidRDefault="00D96B91">
          <w:pPr>
            <w:pStyle w:val="TOC2"/>
            <w:numPr>
              <w:ilvl w:val="1"/>
              <w:numId w:val="21"/>
            </w:numPr>
            <w:tabs>
              <w:tab w:val="left" w:pos="2382"/>
              <w:tab w:val="right" w:pos="10467"/>
            </w:tabs>
          </w:pPr>
          <w:hyperlink w:anchor="_bookmark160" w:history="1">
            <w:r w:rsidR="00C2656B">
              <w:rPr>
                <w:spacing w:val="-2"/>
              </w:rPr>
              <w:t>Pricing</w:t>
            </w:r>
            <w:r w:rsidR="00C2656B">
              <w:t xml:space="preserve"> for </w:t>
            </w:r>
            <w:r w:rsidR="00C2656B">
              <w:rPr>
                <w:spacing w:val="-1"/>
              </w:rPr>
              <w:t>regulated</w:t>
            </w:r>
            <w:r w:rsidR="00C2656B">
              <w:t xml:space="preserve"> </w:t>
            </w:r>
            <w:r w:rsidR="00C2656B">
              <w:rPr>
                <w:spacing w:val="-1"/>
              </w:rPr>
              <w:t>water</w:t>
            </w:r>
            <w:r w:rsidR="00C2656B">
              <w:t xml:space="preserve"> and </w:t>
            </w:r>
            <w:r w:rsidR="00C2656B">
              <w:rPr>
                <w:spacing w:val="-1"/>
              </w:rPr>
              <w:t>sewerage</w:t>
            </w:r>
            <w:r w:rsidR="00C2656B">
              <w:t xml:space="preserve"> services</w:t>
            </w:r>
            <w:r w:rsidR="00C2656B">
              <w:tab/>
              <w:t>4</w:t>
            </w:r>
          </w:hyperlink>
        </w:p>
        <w:p w:rsidR="00D96B91" w:rsidRDefault="00D96B91">
          <w:pPr>
            <w:pStyle w:val="TOC3"/>
            <w:tabs>
              <w:tab w:val="right" w:pos="10467"/>
            </w:tabs>
          </w:pPr>
          <w:hyperlink w:anchor="_bookmark160" w:history="1">
            <w:r w:rsidR="00C2656B">
              <w:t>6.</w:t>
            </w:r>
            <w:r w:rsidR="00C2656B">
              <w:rPr>
                <w:spacing w:val="-6"/>
              </w:rPr>
              <w:t xml:space="preserve"> </w:t>
            </w:r>
            <w:r w:rsidR="00C2656B">
              <w:t xml:space="preserve">1.  </w:t>
            </w:r>
            <w:r w:rsidR="00C2656B">
              <w:rPr>
                <w:spacing w:val="37"/>
              </w:rPr>
              <w:t xml:space="preserve"> </w:t>
            </w:r>
            <w:r w:rsidR="00C2656B">
              <w:rPr>
                <w:spacing w:val="-2"/>
              </w:rPr>
              <w:t>Water</w:t>
            </w:r>
            <w:r w:rsidR="00C2656B">
              <w:t xml:space="preserve"> services</w:t>
            </w:r>
            <w:r w:rsidR="00C2656B">
              <w:tab/>
              <w:t>4</w:t>
            </w:r>
          </w:hyperlink>
        </w:p>
        <w:p w:rsidR="00D96B91" w:rsidRDefault="00D96B91">
          <w:pPr>
            <w:pStyle w:val="TOC3"/>
            <w:numPr>
              <w:ilvl w:val="0"/>
              <w:numId w:val="20"/>
            </w:numPr>
            <w:tabs>
              <w:tab w:val="left" w:pos="2594"/>
              <w:tab w:val="right" w:pos="10467"/>
            </w:tabs>
            <w:jc w:val="left"/>
          </w:pPr>
          <w:hyperlink w:anchor="_bookmark164" w:history="1">
            <w:r w:rsidR="00C2656B">
              <w:t xml:space="preserve">2.  </w:t>
            </w:r>
            <w:r w:rsidR="00C2656B">
              <w:rPr>
                <w:spacing w:val="37"/>
              </w:rPr>
              <w:t xml:space="preserve"> </w:t>
            </w:r>
            <w:r w:rsidR="00C2656B">
              <w:rPr>
                <w:spacing w:val="-1"/>
              </w:rPr>
              <w:t>Sewerage</w:t>
            </w:r>
            <w:r w:rsidR="00C2656B">
              <w:t xml:space="preserve"> services</w:t>
            </w:r>
            <w:r w:rsidR="00C2656B">
              <w:tab/>
              <w:t>5</w:t>
            </w:r>
          </w:hyperlink>
        </w:p>
        <w:p w:rsidR="00D96B91" w:rsidRDefault="00D96B91">
          <w:pPr>
            <w:pStyle w:val="TOC2"/>
            <w:numPr>
              <w:ilvl w:val="0"/>
              <w:numId w:val="20"/>
            </w:numPr>
            <w:tabs>
              <w:tab w:val="left" w:pos="2382"/>
              <w:tab w:val="right" w:pos="10467"/>
            </w:tabs>
            <w:ind w:left="2381" w:hanging="567"/>
            <w:jc w:val="left"/>
          </w:pPr>
          <w:hyperlink w:anchor="_bookmark166" w:history="1">
            <w:r w:rsidR="00C2656B">
              <w:rPr>
                <w:spacing w:val="-2"/>
              </w:rPr>
              <w:t>Pricing</w:t>
            </w:r>
            <w:r w:rsidR="00C2656B">
              <w:t xml:space="preserve"> for miscellaneous services</w:t>
            </w:r>
            <w:r w:rsidR="00C2656B">
              <w:tab/>
              <w:t>6</w:t>
            </w:r>
          </w:hyperlink>
        </w:p>
        <w:p w:rsidR="00D96B91" w:rsidRDefault="00D96B91">
          <w:pPr>
            <w:pStyle w:val="TOC3"/>
            <w:tabs>
              <w:tab w:val="right" w:pos="10467"/>
            </w:tabs>
          </w:pPr>
          <w:hyperlink w:anchor="_bookmark166" w:history="1">
            <w:r w:rsidR="00C2656B">
              <w:t>7.</w:t>
            </w:r>
            <w:r w:rsidR="00C2656B">
              <w:rPr>
                <w:spacing w:val="-6"/>
              </w:rPr>
              <w:t xml:space="preserve"> </w:t>
            </w:r>
            <w:r w:rsidR="00C2656B">
              <w:t xml:space="preserve">1.  </w:t>
            </w:r>
            <w:r w:rsidR="00C2656B">
              <w:rPr>
                <w:spacing w:val="37"/>
              </w:rPr>
              <w:t xml:space="preserve"> </w:t>
            </w:r>
            <w:r w:rsidR="00C2656B">
              <w:t>New miscellaneous services</w:t>
            </w:r>
            <w:r w:rsidR="00C2656B">
              <w:tab/>
              <w:t>6</w:t>
            </w:r>
          </w:hyperlink>
        </w:p>
        <w:p w:rsidR="00D96B91" w:rsidRDefault="00D96B91">
          <w:pPr>
            <w:pStyle w:val="TOC3"/>
            <w:tabs>
              <w:tab w:val="right" w:pos="10467"/>
            </w:tabs>
          </w:pPr>
          <w:hyperlink w:anchor="_bookmark166" w:history="1">
            <w:r w:rsidR="00C2656B">
              <w:t>7.</w:t>
            </w:r>
            <w:r w:rsidR="00C2656B">
              <w:rPr>
                <w:spacing w:val="-6"/>
              </w:rPr>
              <w:t xml:space="preserve"> </w:t>
            </w:r>
            <w:r w:rsidR="00C2656B">
              <w:t xml:space="preserve">2.  </w:t>
            </w:r>
            <w:r w:rsidR="00C2656B">
              <w:rPr>
                <w:spacing w:val="37"/>
              </w:rPr>
              <w:t xml:space="preserve"> </w:t>
            </w:r>
            <w:r w:rsidR="00C2656B">
              <w:t>Submission by</w:t>
            </w:r>
            <w:r w:rsidR="00C2656B">
              <w:rPr>
                <w:spacing w:val="-4"/>
              </w:rPr>
              <w:t xml:space="preserve"> </w:t>
            </w:r>
            <w:r w:rsidR="00C2656B">
              <w:rPr>
                <w:spacing w:val="-2"/>
              </w:rPr>
              <w:t>ACTEW</w:t>
            </w:r>
            <w:r w:rsidR="00C2656B">
              <w:rPr>
                <w:spacing w:val="-2"/>
              </w:rPr>
              <w:tab/>
            </w:r>
            <w:r w:rsidR="00C2656B">
              <w:t>6</w:t>
            </w:r>
          </w:hyperlink>
        </w:p>
        <w:p w:rsidR="00D96B91" w:rsidRDefault="00D96B91">
          <w:pPr>
            <w:pStyle w:val="TOC3"/>
            <w:tabs>
              <w:tab w:val="right" w:pos="10467"/>
            </w:tabs>
          </w:pPr>
          <w:hyperlink w:anchor="_bookmark166" w:history="1">
            <w:r w:rsidR="00C2656B">
              <w:t>7.</w:t>
            </w:r>
            <w:r w:rsidR="00C2656B">
              <w:rPr>
                <w:spacing w:val="-6"/>
              </w:rPr>
              <w:t xml:space="preserve"> </w:t>
            </w:r>
            <w:r w:rsidR="00C2656B">
              <w:t xml:space="preserve">3.  </w:t>
            </w:r>
            <w:r w:rsidR="00C2656B">
              <w:rPr>
                <w:spacing w:val="37"/>
              </w:rPr>
              <w:t xml:space="preserve"> </w:t>
            </w:r>
            <w:r w:rsidR="00C2656B">
              <w:rPr>
                <w:spacing w:val="-1"/>
              </w:rPr>
              <w:t>Commission</w:t>
            </w:r>
            <w:r w:rsidR="00C2656B">
              <w:t xml:space="preserve"> may </w:t>
            </w:r>
            <w:r w:rsidR="00C2656B">
              <w:rPr>
                <w:spacing w:val="-1"/>
              </w:rPr>
              <w:t>request</w:t>
            </w:r>
            <w:r w:rsidR="00C2656B">
              <w:t xml:space="preserve"> </w:t>
            </w:r>
            <w:r w:rsidR="00C2656B">
              <w:rPr>
                <w:spacing w:val="-1"/>
              </w:rPr>
              <w:t>further</w:t>
            </w:r>
            <w:r w:rsidR="00C2656B">
              <w:t xml:space="preserve"> </w:t>
            </w:r>
            <w:r w:rsidR="00C2656B">
              <w:rPr>
                <w:spacing w:val="-1"/>
              </w:rPr>
              <w:t>information</w:t>
            </w:r>
            <w:r w:rsidR="00C2656B">
              <w:rPr>
                <w:spacing w:val="-1"/>
              </w:rPr>
              <w:tab/>
            </w:r>
            <w:r w:rsidR="00C2656B">
              <w:t>6</w:t>
            </w:r>
          </w:hyperlink>
        </w:p>
        <w:p w:rsidR="00D96B91" w:rsidRDefault="00D96B91">
          <w:pPr>
            <w:pStyle w:val="TOC3"/>
            <w:numPr>
              <w:ilvl w:val="0"/>
              <w:numId w:val="19"/>
            </w:numPr>
            <w:tabs>
              <w:tab w:val="left" w:pos="2594"/>
              <w:tab w:val="right" w:pos="10467"/>
            </w:tabs>
            <w:jc w:val="left"/>
          </w:pPr>
          <w:hyperlink w:anchor="_bookmark166" w:history="1">
            <w:r w:rsidR="00C2656B">
              <w:t xml:space="preserve">4.  </w:t>
            </w:r>
            <w:r w:rsidR="00C2656B">
              <w:rPr>
                <w:spacing w:val="36"/>
              </w:rPr>
              <w:t xml:space="preserve"> </w:t>
            </w:r>
            <w:r w:rsidR="00C2656B">
              <w:rPr>
                <w:spacing w:val="-1"/>
              </w:rPr>
              <w:t>Notification</w:t>
            </w:r>
            <w:r w:rsidR="00C2656B">
              <w:t xml:space="preserve"> of</w:t>
            </w:r>
            <w:r w:rsidR="00C2656B">
              <w:rPr>
                <w:spacing w:val="4"/>
              </w:rPr>
              <w:t xml:space="preserve"> </w:t>
            </w:r>
            <w:r w:rsidR="00C2656B">
              <w:t>decision</w:t>
            </w:r>
            <w:r w:rsidR="00C2656B">
              <w:tab/>
              <w:t>6</w:t>
            </w:r>
          </w:hyperlink>
        </w:p>
        <w:p w:rsidR="00D96B91" w:rsidRDefault="00D96B91">
          <w:pPr>
            <w:pStyle w:val="TOC1"/>
            <w:tabs>
              <w:tab w:val="right" w:pos="10467"/>
            </w:tabs>
            <w:rPr>
              <w:b w:val="0"/>
              <w:bCs w:val="0"/>
            </w:rPr>
          </w:pPr>
          <w:hyperlink w:anchor="_bookmark168" w:history="1">
            <w:r w:rsidR="00C2656B">
              <w:rPr>
                <w:spacing w:val="-4"/>
              </w:rPr>
              <w:t>Part</w:t>
            </w:r>
            <w:r w:rsidR="00C2656B">
              <w:t xml:space="preserve"> C  </w:t>
            </w:r>
            <w:r w:rsidR="00C2656B">
              <w:rPr>
                <w:spacing w:val="-1"/>
              </w:rPr>
              <w:t>Regulatory</w:t>
            </w:r>
            <w:r w:rsidR="00C2656B">
              <w:t xml:space="preserve"> Method</w:t>
            </w:r>
            <w:r w:rsidR="00C2656B">
              <w:tab/>
              <w:t>7</w:t>
            </w:r>
          </w:hyperlink>
        </w:p>
        <w:p w:rsidR="00D96B91" w:rsidRDefault="00D96B91">
          <w:pPr>
            <w:pStyle w:val="TOC2"/>
            <w:numPr>
              <w:ilvl w:val="0"/>
              <w:numId w:val="19"/>
            </w:numPr>
            <w:tabs>
              <w:tab w:val="left" w:pos="2382"/>
              <w:tab w:val="right" w:pos="10467"/>
            </w:tabs>
            <w:ind w:left="2381" w:hanging="567"/>
            <w:jc w:val="left"/>
          </w:pPr>
          <w:hyperlink w:anchor="_bookmark168" w:history="1">
            <w:r w:rsidR="00C2656B">
              <w:rPr>
                <w:spacing w:val="-2"/>
              </w:rPr>
              <w:t>Pass-through</w:t>
            </w:r>
            <w:r w:rsidR="00C2656B">
              <w:t xml:space="preserve"> events</w:t>
            </w:r>
            <w:r w:rsidR="00C2656B">
              <w:tab/>
              <w:t>7</w:t>
            </w:r>
          </w:hyperlink>
        </w:p>
        <w:p w:rsidR="00D96B91" w:rsidRDefault="00D96B91">
          <w:pPr>
            <w:pStyle w:val="TOC3"/>
            <w:tabs>
              <w:tab w:val="right" w:pos="10467"/>
            </w:tabs>
          </w:pPr>
          <w:hyperlink w:anchor="_bookmark168" w:history="1">
            <w:r w:rsidR="00C2656B">
              <w:t>8.</w:t>
            </w:r>
            <w:r w:rsidR="00C2656B">
              <w:rPr>
                <w:spacing w:val="-6"/>
              </w:rPr>
              <w:t xml:space="preserve"> </w:t>
            </w:r>
            <w:r w:rsidR="00C2656B">
              <w:t xml:space="preserve">1.  </w:t>
            </w:r>
            <w:r w:rsidR="00C2656B">
              <w:rPr>
                <w:spacing w:val="37"/>
              </w:rPr>
              <w:t xml:space="preserve"> </w:t>
            </w:r>
            <w:r w:rsidR="00C2656B">
              <w:rPr>
                <w:spacing w:val="-1"/>
              </w:rPr>
              <w:t>Events</w:t>
            </w:r>
            <w:r w:rsidR="00C2656B">
              <w:rPr>
                <w:spacing w:val="-1"/>
              </w:rPr>
              <w:tab/>
            </w:r>
            <w:r w:rsidR="00C2656B">
              <w:t>7</w:t>
            </w:r>
          </w:hyperlink>
        </w:p>
        <w:p w:rsidR="00D96B91" w:rsidRDefault="00D96B91">
          <w:pPr>
            <w:pStyle w:val="TOC3"/>
            <w:tabs>
              <w:tab w:val="right" w:pos="10467"/>
            </w:tabs>
          </w:pPr>
          <w:hyperlink w:anchor="_bookmark168" w:history="1">
            <w:r w:rsidR="00C2656B">
              <w:t>8.</w:t>
            </w:r>
            <w:r w:rsidR="00C2656B">
              <w:rPr>
                <w:spacing w:val="-6"/>
              </w:rPr>
              <w:t xml:space="preserve"> </w:t>
            </w:r>
            <w:r w:rsidR="00C2656B">
              <w:t xml:space="preserve">2.  </w:t>
            </w:r>
            <w:r w:rsidR="00C2656B">
              <w:rPr>
                <w:spacing w:val="37"/>
              </w:rPr>
              <w:t xml:space="preserve"> </w:t>
            </w:r>
            <w:r w:rsidR="00C2656B">
              <w:rPr>
                <w:spacing w:val="-3"/>
              </w:rPr>
              <w:t>WAC</w:t>
            </w:r>
            <w:r w:rsidR="00C2656B">
              <w:t xml:space="preserve"> event</w:t>
            </w:r>
            <w:r w:rsidR="00C2656B">
              <w:tab/>
              <w:t>7</w:t>
            </w:r>
          </w:hyperlink>
        </w:p>
        <w:p w:rsidR="00D96B91" w:rsidRDefault="00D96B91">
          <w:pPr>
            <w:pStyle w:val="TOC3"/>
            <w:tabs>
              <w:tab w:val="right" w:pos="10467"/>
            </w:tabs>
          </w:pPr>
          <w:hyperlink w:anchor="_bookmark168" w:history="1">
            <w:r w:rsidR="00C2656B">
              <w:t>8.</w:t>
            </w:r>
            <w:r w:rsidR="00C2656B">
              <w:rPr>
                <w:spacing w:val="-6"/>
              </w:rPr>
              <w:t xml:space="preserve"> </w:t>
            </w:r>
            <w:r w:rsidR="00C2656B">
              <w:t xml:space="preserve">3.  </w:t>
            </w:r>
            <w:r w:rsidR="00C2656B">
              <w:rPr>
                <w:spacing w:val="37"/>
              </w:rPr>
              <w:t xml:space="preserve"> </w:t>
            </w:r>
            <w:r w:rsidR="00C2656B">
              <w:t>UNFT</w:t>
            </w:r>
            <w:r w:rsidR="00C2656B">
              <w:rPr>
                <w:spacing w:val="-5"/>
              </w:rPr>
              <w:t xml:space="preserve"> </w:t>
            </w:r>
            <w:r w:rsidR="00C2656B">
              <w:t>event</w:t>
            </w:r>
            <w:r w:rsidR="00C2656B">
              <w:tab/>
              <w:t>7</w:t>
            </w:r>
          </w:hyperlink>
        </w:p>
        <w:p w:rsidR="00D96B91" w:rsidRDefault="00D96B91">
          <w:pPr>
            <w:pStyle w:val="TOC3"/>
            <w:tabs>
              <w:tab w:val="right" w:pos="10467"/>
            </w:tabs>
          </w:pPr>
          <w:hyperlink w:anchor="_bookmark173" w:history="1">
            <w:r w:rsidR="00C2656B">
              <w:t>8.</w:t>
            </w:r>
            <w:r w:rsidR="00C2656B">
              <w:rPr>
                <w:spacing w:val="-6"/>
              </w:rPr>
              <w:t xml:space="preserve"> </w:t>
            </w:r>
            <w:r w:rsidR="00C2656B">
              <w:t xml:space="preserve">4.  </w:t>
            </w:r>
            <w:r w:rsidR="00C2656B">
              <w:rPr>
                <w:spacing w:val="37"/>
              </w:rPr>
              <w:t xml:space="preserve"> </w:t>
            </w:r>
            <w:r w:rsidR="00C2656B">
              <w:t>Subvention payment event</w:t>
            </w:r>
            <w:r w:rsidR="00C2656B">
              <w:tab/>
              <w:t>8</w:t>
            </w:r>
          </w:hyperlink>
        </w:p>
        <w:p w:rsidR="00D96B91" w:rsidRDefault="00D96B91">
          <w:pPr>
            <w:pStyle w:val="TOC3"/>
            <w:tabs>
              <w:tab w:val="right" w:pos="10467"/>
            </w:tabs>
          </w:pPr>
          <w:hyperlink w:anchor="_bookmark173" w:history="1">
            <w:r w:rsidR="00C2656B">
              <w:t>8.</w:t>
            </w:r>
            <w:r w:rsidR="00C2656B">
              <w:rPr>
                <w:spacing w:val="-6"/>
              </w:rPr>
              <w:t xml:space="preserve"> </w:t>
            </w:r>
            <w:r w:rsidR="00C2656B">
              <w:t xml:space="preserve">5.  </w:t>
            </w:r>
            <w:r w:rsidR="00C2656B">
              <w:rPr>
                <w:spacing w:val="37"/>
              </w:rPr>
              <w:t xml:space="preserve"> </w:t>
            </w:r>
            <w:r w:rsidR="00C2656B">
              <w:t xml:space="preserve">Change in other </w:t>
            </w:r>
            <w:r w:rsidR="00C2656B">
              <w:rPr>
                <w:spacing w:val="-1"/>
              </w:rPr>
              <w:t>taxes</w:t>
            </w:r>
            <w:r w:rsidR="00C2656B">
              <w:t xml:space="preserve"> event</w:t>
            </w:r>
            <w:r w:rsidR="00C2656B">
              <w:tab/>
              <w:t>8</w:t>
            </w:r>
          </w:hyperlink>
        </w:p>
        <w:p w:rsidR="00D96B91" w:rsidRDefault="00D96B91">
          <w:pPr>
            <w:pStyle w:val="TOC3"/>
            <w:tabs>
              <w:tab w:val="right" w:pos="10467"/>
            </w:tabs>
          </w:pPr>
          <w:hyperlink w:anchor="_bookmark173" w:history="1">
            <w:r w:rsidR="00C2656B">
              <w:t>8.</w:t>
            </w:r>
            <w:r w:rsidR="00C2656B">
              <w:rPr>
                <w:spacing w:val="-6"/>
              </w:rPr>
              <w:t xml:space="preserve"> </w:t>
            </w:r>
            <w:r w:rsidR="00C2656B">
              <w:t xml:space="preserve">6.  </w:t>
            </w:r>
            <w:r w:rsidR="00C2656B">
              <w:rPr>
                <w:spacing w:val="37"/>
              </w:rPr>
              <w:t xml:space="preserve"> </w:t>
            </w:r>
            <w:r w:rsidR="00C2656B">
              <w:t xml:space="preserve">Service </w:t>
            </w:r>
            <w:r w:rsidR="00C2656B">
              <w:rPr>
                <w:spacing w:val="-1"/>
              </w:rPr>
              <w:t>standards</w:t>
            </w:r>
            <w:r w:rsidR="00C2656B">
              <w:t xml:space="preserve"> event</w:t>
            </w:r>
            <w:r w:rsidR="00C2656B">
              <w:tab/>
              <w:t>8</w:t>
            </w:r>
          </w:hyperlink>
        </w:p>
        <w:p w:rsidR="00D96B91" w:rsidRDefault="00D96B91">
          <w:pPr>
            <w:pStyle w:val="TOC3"/>
            <w:tabs>
              <w:tab w:val="right" w:pos="10467"/>
            </w:tabs>
          </w:pPr>
          <w:hyperlink w:anchor="_bookmark175" w:history="1">
            <w:r w:rsidR="00C2656B">
              <w:t>8.</w:t>
            </w:r>
            <w:r w:rsidR="00C2656B">
              <w:rPr>
                <w:spacing w:val="-6"/>
              </w:rPr>
              <w:t xml:space="preserve"> </w:t>
            </w:r>
            <w:r w:rsidR="00C2656B">
              <w:t xml:space="preserve">7.  </w:t>
            </w:r>
            <w:r w:rsidR="00C2656B">
              <w:rPr>
                <w:spacing w:val="37"/>
              </w:rPr>
              <w:t xml:space="preserve"> </w:t>
            </w:r>
            <w:r w:rsidR="00C2656B">
              <w:rPr>
                <w:spacing w:val="-1"/>
              </w:rPr>
              <w:t>Regulatory</w:t>
            </w:r>
            <w:r w:rsidR="00C2656B">
              <w:t xml:space="preserve"> </w:t>
            </w:r>
            <w:r w:rsidR="00C2656B">
              <w:rPr>
                <w:spacing w:val="-1"/>
              </w:rPr>
              <w:t>obligations</w:t>
            </w:r>
            <w:r w:rsidR="00C2656B">
              <w:t xml:space="preserve"> event</w:t>
            </w:r>
            <w:r w:rsidR="00C2656B">
              <w:tab/>
              <w:t>9</w:t>
            </w:r>
          </w:hyperlink>
        </w:p>
        <w:p w:rsidR="00D96B91" w:rsidRDefault="00D96B91">
          <w:pPr>
            <w:pStyle w:val="TOC3"/>
            <w:numPr>
              <w:ilvl w:val="0"/>
              <w:numId w:val="18"/>
            </w:numPr>
            <w:tabs>
              <w:tab w:val="left" w:pos="2594"/>
              <w:tab w:val="right" w:pos="10467"/>
            </w:tabs>
            <w:jc w:val="left"/>
          </w:pPr>
          <w:hyperlink w:anchor="_bookmark175" w:history="1">
            <w:r w:rsidR="00C2656B">
              <w:t xml:space="preserve">8.  </w:t>
            </w:r>
            <w:r w:rsidR="00C2656B">
              <w:rPr>
                <w:spacing w:val="37"/>
              </w:rPr>
              <w:t xml:space="preserve"> </w:t>
            </w:r>
            <w:r w:rsidR="00C2656B">
              <w:rPr>
                <w:spacing w:val="-3"/>
              </w:rPr>
              <w:t>Tantangara</w:t>
            </w:r>
            <w:r w:rsidR="00C2656B">
              <w:rPr>
                <w:spacing w:val="-5"/>
              </w:rPr>
              <w:t xml:space="preserve"> </w:t>
            </w:r>
            <w:r w:rsidR="00C2656B">
              <w:rPr>
                <w:spacing w:val="-3"/>
              </w:rPr>
              <w:t>Transfer</w:t>
            </w:r>
            <w:r w:rsidR="00C2656B">
              <w:t xml:space="preserve"> </w:t>
            </w:r>
            <w:r w:rsidR="00C2656B">
              <w:rPr>
                <w:spacing w:val="-2"/>
              </w:rPr>
              <w:t>Payment</w:t>
            </w:r>
            <w:r w:rsidR="00C2656B">
              <w:t xml:space="preserve"> event</w:t>
            </w:r>
            <w:r w:rsidR="00C2656B">
              <w:tab/>
              <w:t>9</w:t>
            </w:r>
          </w:hyperlink>
        </w:p>
        <w:p w:rsidR="00D96B91" w:rsidRDefault="00D96B91">
          <w:pPr>
            <w:pStyle w:val="TOC2"/>
            <w:numPr>
              <w:ilvl w:val="0"/>
              <w:numId w:val="18"/>
            </w:numPr>
            <w:tabs>
              <w:tab w:val="left" w:pos="2382"/>
              <w:tab w:val="right" w:pos="10467"/>
            </w:tabs>
            <w:ind w:left="2381" w:hanging="567"/>
            <w:jc w:val="left"/>
          </w:pPr>
          <w:hyperlink w:anchor="_bookmark175" w:history="1">
            <w:r w:rsidR="00C2656B">
              <w:rPr>
                <w:spacing w:val="-2"/>
              </w:rPr>
              <w:t>Price</w:t>
            </w:r>
            <w:r w:rsidR="00C2656B">
              <w:t xml:space="preserve"> adjustment </w:t>
            </w:r>
            <w:r w:rsidR="00C2656B">
              <w:rPr>
                <w:spacing w:val="-1"/>
              </w:rPr>
              <w:t>process</w:t>
            </w:r>
            <w:r w:rsidR="00C2656B">
              <w:rPr>
                <w:spacing w:val="-1"/>
              </w:rPr>
              <w:tab/>
            </w:r>
            <w:r w:rsidR="00C2656B">
              <w:t>9</w:t>
            </w:r>
          </w:hyperlink>
        </w:p>
        <w:p w:rsidR="00D96B91" w:rsidRDefault="00D96B91">
          <w:pPr>
            <w:pStyle w:val="TOC3"/>
            <w:tabs>
              <w:tab w:val="right" w:pos="10467"/>
            </w:tabs>
          </w:pPr>
          <w:hyperlink w:anchor="_bookmark175" w:history="1">
            <w:r w:rsidR="00C2656B">
              <w:t>9.</w:t>
            </w:r>
            <w:r w:rsidR="00C2656B">
              <w:rPr>
                <w:spacing w:val="-6"/>
              </w:rPr>
              <w:t xml:space="preserve"> </w:t>
            </w:r>
            <w:r w:rsidR="00C2656B">
              <w:t xml:space="preserve">1.  </w:t>
            </w:r>
            <w:r w:rsidR="00C2656B">
              <w:rPr>
                <w:spacing w:val="37"/>
              </w:rPr>
              <w:t xml:space="preserve"> </w:t>
            </w:r>
            <w:r w:rsidR="00C2656B">
              <w:t>CPI adjustment</w:t>
            </w:r>
            <w:r w:rsidR="00C2656B">
              <w:tab/>
              <w:t>9</w:t>
            </w:r>
          </w:hyperlink>
        </w:p>
        <w:p w:rsidR="00D96B91" w:rsidRDefault="00D96B91">
          <w:pPr>
            <w:pStyle w:val="TOC3"/>
            <w:tabs>
              <w:tab w:val="right" w:pos="10467"/>
            </w:tabs>
          </w:pPr>
          <w:hyperlink w:anchor="_bookmark177" w:history="1">
            <w:r w:rsidR="00C2656B">
              <w:t>9.</w:t>
            </w:r>
            <w:r w:rsidR="00C2656B">
              <w:rPr>
                <w:spacing w:val="-6"/>
              </w:rPr>
              <w:t xml:space="preserve"> </w:t>
            </w:r>
            <w:r w:rsidR="00C2656B">
              <w:t xml:space="preserve">2.  </w:t>
            </w:r>
            <w:r w:rsidR="00C2656B">
              <w:rPr>
                <w:spacing w:val="37"/>
              </w:rPr>
              <w:t xml:space="preserve"> </w:t>
            </w:r>
            <w:r w:rsidR="00C2656B">
              <w:rPr>
                <w:spacing w:val="-1"/>
              </w:rPr>
              <w:t>Recovery</w:t>
            </w:r>
            <w:r w:rsidR="00C2656B">
              <w:t xml:space="preserve"> of</w:t>
            </w:r>
            <w:r w:rsidR="00C2656B">
              <w:rPr>
                <w:spacing w:val="4"/>
              </w:rPr>
              <w:t xml:space="preserve"> </w:t>
            </w:r>
            <w:r w:rsidR="00C2656B">
              <w:rPr>
                <w:spacing w:val="-1"/>
              </w:rPr>
              <w:t>pass-through</w:t>
            </w:r>
            <w:r w:rsidR="00C2656B">
              <w:t xml:space="preserve"> amounts</w:t>
            </w:r>
            <w:r w:rsidR="00C2656B">
              <w:tab/>
              <w:t>10</w:t>
            </w:r>
          </w:hyperlink>
        </w:p>
        <w:p w:rsidR="00D96B91" w:rsidRDefault="00D96B91">
          <w:pPr>
            <w:pStyle w:val="TOC3"/>
            <w:tabs>
              <w:tab w:val="right" w:pos="10467"/>
            </w:tabs>
          </w:pPr>
          <w:hyperlink w:anchor="_bookmark177" w:history="1">
            <w:r w:rsidR="00C2656B">
              <w:t>9.</w:t>
            </w:r>
            <w:r w:rsidR="00C2656B">
              <w:rPr>
                <w:spacing w:val="-6"/>
              </w:rPr>
              <w:t xml:space="preserve"> </w:t>
            </w:r>
            <w:r w:rsidR="00C2656B">
              <w:t xml:space="preserve">3.  </w:t>
            </w:r>
            <w:r w:rsidR="00C2656B">
              <w:rPr>
                <w:spacing w:val="37"/>
              </w:rPr>
              <w:t xml:space="preserve"> </w:t>
            </w:r>
            <w:r w:rsidR="00C2656B">
              <w:rPr>
                <w:spacing w:val="-1"/>
              </w:rPr>
              <w:t>Commission</w:t>
            </w:r>
            <w:r w:rsidR="00C2656B">
              <w:t xml:space="preserve"> </w:t>
            </w:r>
            <w:r w:rsidR="00C2656B">
              <w:rPr>
                <w:spacing w:val="-1"/>
              </w:rPr>
              <w:t>consideration</w:t>
            </w:r>
            <w:r w:rsidR="00C2656B">
              <w:rPr>
                <w:spacing w:val="-1"/>
              </w:rPr>
              <w:tab/>
            </w:r>
            <w:r w:rsidR="00C2656B">
              <w:t>10</w:t>
            </w:r>
          </w:hyperlink>
        </w:p>
        <w:p w:rsidR="00D96B91" w:rsidRDefault="00D96B91">
          <w:pPr>
            <w:pStyle w:val="TOC3"/>
            <w:tabs>
              <w:tab w:val="right" w:pos="10467"/>
            </w:tabs>
          </w:pPr>
          <w:hyperlink w:anchor="_bookmark177" w:history="1">
            <w:r w:rsidR="00C2656B">
              <w:t>9.</w:t>
            </w:r>
            <w:r w:rsidR="00C2656B">
              <w:rPr>
                <w:spacing w:val="-6"/>
              </w:rPr>
              <w:t xml:space="preserve"> </w:t>
            </w:r>
            <w:r w:rsidR="00C2656B">
              <w:t xml:space="preserve">4.  </w:t>
            </w:r>
            <w:r w:rsidR="00C2656B">
              <w:rPr>
                <w:spacing w:val="37"/>
              </w:rPr>
              <w:t xml:space="preserve"> </w:t>
            </w:r>
            <w:r w:rsidR="00C2656B">
              <w:rPr>
                <w:spacing w:val="-2"/>
              </w:rPr>
              <w:t>ACTEW</w:t>
            </w:r>
            <w:r w:rsidR="00C2656B">
              <w:rPr>
                <w:spacing w:val="-3"/>
              </w:rPr>
              <w:t xml:space="preserve"> </w:t>
            </w:r>
            <w:r w:rsidR="00C2656B">
              <w:rPr>
                <w:spacing w:val="-1"/>
              </w:rPr>
              <w:t>resubmission</w:t>
            </w:r>
            <w:r w:rsidR="00C2656B">
              <w:rPr>
                <w:spacing w:val="-1"/>
              </w:rPr>
              <w:tab/>
            </w:r>
            <w:r w:rsidR="00C2656B">
              <w:t>10</w:t>
            </w:r>
          </w:hyperlink>
        </w:p>
        <w:p w:rsidR="00D96B91" w:rsidRDefault="00D96B91">
          <w:pPr>
            <w:pStyle w:val="TOC3"/>
            <w:tabs>
              <w:tab w:val="right" w:pos="10467"/>
            </w:tabs>
          </w:pPr>
          <w:hyperlink w:anchor="_bookmark177" w:history="1">
            <w:r w:rsidR="00C2656B">
              <w:t>9.</w:t>
            </w:r>
            <w:r w:rsidR="00C2656B">
              <w:rPr>
                <w:spacing w:val="-6"/>
              </w:rPr>
              <w:t xml:space="preserve"> </w:t>
            </w:r>
            <w:r w:rsidR="00C2656B">
              <w:t xml:space="preserve">5.  </w:t>
            </w:r>
            <w:r w:rsidR="00C2656B">
              <w:rPr>
                <w:spacing w:val="37"/>
              </w:rPr>
              <w:t xml:space="preserve"> </w:t>
            </w:r>
            <w:r w:rsidR="00C2656B">
              <w:rPr>
                <w:spacing w:val="-1"/>
              </w:rPr>
              <w:t>Commission</w:t>
            </w:r>
            <w:r w:rsidR="00C2656B">
              <w:t xml:space="preserve"> may </w:t>
            </w:r>
            <w:r w:rsidR="00C2656B">
              <w:rPr>
                <w:spacing w:val="-1"/>
              </w:rPr>
              <w:t>initiate</w:t>
            </w:r>
            <w:r w:rsidR="00C2656B">
              <w:t xml:space="preserve"> </w:t>
            </w:r>
            <w:r w:rsidR="00C2656B">
              <w:rPr>
                <w:spacing w:val="-1"/>
              </w:rPr>
              <w:t>pass-through</w:t>
            </w:r>
            <w:r w:rsidR="00C2656B">
              <w:t xml:space="preserve"> amount</w:t>
            </w:r>
            <w:r w:rsidR="00C2656B">
              <w:tab/>
              <w:t>10</w:t>
            </w:r>
          </w:hyperlink>
        </w:p>
        <w:p w:rsidR="00D96B91" w:rsidRDefault="00D96B91">
          <w:pPr>
            <w:pStyle w:val="TOC3"/>
            <w:tabs>
              <w:tab w:val="right" w:pos="10467"/>
            </w:tabs>
          </w:pPr>
          <w:hyperlink w:anchor="_bookmark181" w:history="1">
            <w:r w:rsidR="00C2656B">
              <w:t>9.</w:t>
            </w:r>
            <w:r w:rsidR="00C2656B">
              <w:rPr>
                <w:spacing w:val="-6"/>
              </w:rPr>
              <w:t xml:space="preserve"> </w:t>
            </w:r>
            <w:r w:rsidR="00C2656B">
              <w:t xml:space="preserve">6.  </w:t>
            </w:r>
            <w:r w:rsidR="00C2656B">
              <w:rPr>
                <w:spacing w:val="37"/>
              </w:rPr>
              <w:t xml:space="preserve"> </w:t>
            </w:r>
            <w:r w:rsidR="00C2656B">
              <w:rPr>
                <w:spacing w:val="-3"/>
              </w:rPr>
              <w:t>Partial</w:t>
            </w:r>
            <w:r w:rsidR="00C2656B">
              <w:t xml:space="preserve"> adjustment</w:t>
            </w:r>
            <w:r w:rsidR="00C2656B">
              <w:tab/>
              <w:t>11</w:t>
            </w:r>
          </w:hyperlink>
        </w:p>
        <w:p w:rsidR="00D96B91" w:rsidRDefault="00D96B91">
          <w:pPr>
            <w:pStyle w:val="TOC3"/>
            <w:numPr>
              <w:ilvl w:val="0"/>
              <w:numId w:val="17"/>
            </w:numPr>
            <w:tabs>
              <w:tab w:val="left" w:pos="2594"/>
              <w:tab w:val="right" w:pos="10467"/>
            </w:tabs>
            <w:jc w:val="left"/>
          </w:pPr>
          <w:hyperlink w:anchor="_bookmark181" w:history="1">
            <w:r w:rsidR="00C2656B">
              <w:t xml:space="preserve">7.  </w:t>
            </w:r>
            <w:r w:rsidR="00C2656B">
              <w:rPr>
                <w:spacing w:val="37"/>
              </w:rPr>
              <w:t xml:space="preserve"> </w:t>
            </w:r>
            <w:r w:rsidR="00C2656B">
              <w:t>Unavailability of</w:t>
            </w:r>
            <w:r w:rsidR="00C2656B">
              <w:rPr>
                <w:spacing w:val="4"/>
              </w:rPr>
              <w:t xml:space="preserve"> </w:t>
            </w:r>
            <w:r w:rsidR="00C2656B">
              <w:rPr>
                <w:spacing w:val="-1"/>
              </w:rPr>
              <w:t>information</w:t>
            </w:r>
            <w:r w:rsidR="00C2656B">
              <w:rPr>
                <w:spacing w:val="-1"/>
              </w:rPr>
              <w:tab/>
            </w:r>
            <w:r w:rsidR="00C2656B">
              <w:t>11</w:t>
            </w:r>
          </w:hyperlink>
        </w:p>
        <w:p w:rsidR="00D96B91" w:rsidRDefault="00D96B91">
          <w:pPr>
            <w:pStyle w:val="TOC1"/>
            <w:tabs>
              <w:tab w:val="right" w:pos="10467"/>
            </w:tabs>
            <w:rPr>
              <w:b w:val="0"/>
              <w:bCs w:val="0"/>
            </w:rPr>
          </w:pPr>
          <w:hyperlink w:anchor="_bookmark182" w:history="1">
            <w:r w:rsidR="00C2656B">
              <w:rPr>
                <w:spacing w:val="-4"/>
              </w:rPr>
              <w:t>Part</w:t>
            </w:r>
            <w:r w:rsidR="00C2656B">
              <w:t xml:space="preserve"> D  </w:t>
            </w:r>
            <w:r w:rsidR="00C2656B">
              <w:rPr>
                <w:spacing w:val="-1"/>
              </w:rPr>
              <w:t>Legislative</w:t>
            </w:r>
            <w:r w:rsidR="00C2656B">
              <w:t xml:space="preserve"> </w:t>
            </w:r>
            <w:r w:rsidR="00C2656B">
              <w:rPr>
                <w:spacing w:val="-2"/>
              </w:rPr>
              <w:t>Provisions</w:t>
            </w:r>
            <w:r w:rsidR="00C2656B">
              <w:rPr>
                <w:spacing w:val="-2"/>
              </w:rPr>
              <w:tab/>
            </w:r>
            <w:r w:rsidR="00C2656B">
              <w:t>12</w:t>
            </w:r>
          </w:hyperlink>
        </w:p>
        <w:p w:rsidR="00D96B91" w:rsidRDefault="00D96B91">
          <w:pPr>
            <w:pStyle w:val="TOC2"/>
            <w:numPr>
              <w:ilvl w:val="0"/>
              <w:numId w:val="17"/>
            </w:numPr>
            <w:tabs>
              <w:tab w:val="left" w:pos="2382"/>
              <w:tab w:val="right" w:pos="10467"/>
            </w:tabs>
            <w:ind w:left="2381" w:hanging="567"/>
            <w:jc w:val="left"/>
          </w:pPr>
          <w:hyperlink w:anchor="_bookmark182" w:history="1">
            <w:r w:rsidR="00C2656B">
              <w:rPr>
                <w:spacing w:val="-2"/>
              </w:rPr>
              <w:t>Price</w:t>
            </w:r>
            <w:r w:rsidR="00C2656B">
              <w:t xml:space="preserve"> </w:t>
            </w:r>
            <w:r w:rsidR="00C2656B">
              <w:rPr>
                <w:spacing w:val="-1"/>
              </w:rPr>
              <w:t>Direction</w:t>
            </w:r>
            <w:r w:rsidR="00C2656B">
              <w:t xml:space="preserve"> </w:t>
            </w:r>
            <w:r w:rsidR="00C2656B">
              <w:rPr>
                <w:spacing w:val="-1"/>
              </w:rPr>
              <w:t>variation</w:t>
            </w:r>
            <w:r w:rsidR="00C2656B">
              <w:t xml:space="preserve"> trigger events</w:t>
            </w:r>
            <w:r w:rsidR="00C2656B">
              <w:tab/>
              <w:t>12</w:t>
            </w:r>
          </w:hyperlink>
        </w:p>
        <w:p w:rsidR="00D96B91" w:rsidRDefault="00D96B91">
          <w:pPr>
            <w:pStyle w:val="TOC2"/>
            <w:numPr>
              <w:ilvl w:val="0"/>
              <w:numId w:val="17"/>
            </w:numPr>
            <w:tabs>
              <w:tab w:val="left" w:pos="2382"/>
              <w:tab w:val="right" w:pos="10467"/>
            </w:tabs>
            <w:ind w:left="2381" w:hanging="567"/>
            <w:jc w:val="left"/>
          </w:pPr>
          <w:hyperlink w:anchor="_bookmark182" w:history="1">
            <w:r w:rsidR="00C2656B">
              <w:rPr>
                <w:spacing w:val="-3"/>
              </w:rPr>
              <w:t>Future</w:t>
            </w:r>
            <w:r w:rsidR="00C2656B">
              <w:t xml:space="preserve"> </w:t>
            </w:r>
            <w:r w:rsidR="00C2656B">
              <w:rPr>
                <w:spacing w:val="-1"/>
              </w:rPr>
              <w:t>reset</w:t>
            </w:r>
            <w:r w:rsidR="00C2656B">
              <w:t xml:space="preserve"> principles</w:t>
            </w:r>
            <w:r w:rsidR="00C2656B">
              <w:tab/>
              <w:t>12</w:t>
            </w:r>
          </w:hyperlink>
        </w:p>
        <w:p w:rsidR="00D96B91" w:rsidRDefault="00D96B91">
          <w:pPr>
            <w:pStyle w:val="TOC1"/>
            <w:tabs>
              <w:tab w:val="right" w:pos="10467"/>
            </w:tabs>
            <w:rPr>
              <w:b w:val="0"/>
              <w:bCs w:val="0"/>
            </w:rPr>
          </w:pPr>
          <w:hyperlink w:anchor="_bookmark185" w:history="1">
            <w:r w:rsidR="00C2656B">
              <w:rPr>
                <w:spacing w:val="-1"/>
              </w:rPr>
              <w:t>Compliance</w:t>
            </w:r>
            <w:r w:rsidR="00C2656B">
              <w:t xml:space="preserve"> with section 20(2)</w:t>
            </w:r>
            <w:r w:rsidR="00C2656B">
              <w:tab/>
              <w:t>14</w:t>
            </w:r>
          </w:hyperlink>
        </w:p>
      </w:sdtContent>
    </w:sdt>
    <w:p w:rsidR="00D96B91" w:rsidRDefault="00D96B91">
      <w:pPr>
        <w:sectPr w:rsidR="00D96B91">
          <w:footerReference w:type="default" r:id="rId149"/>
          <w:pgSz w:w="11910" w:h="16840"/>
          <w:pgMar w:top="1260" w:right="0" w:bottom="1020" w:left="0" w:header="0" w:footer="829"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1042" style="position:absolute;margin-left:0;margin-top:789.45pt;width:595.3pt;height:52.45pt;z-index:251568640;mso-position-horizontal-relative:page;mso-position-vertical-relative:page" coordorigin=",15789" coordsize="11906,1049">
            <v:group id="_x0000_s1043" style="position:absolute;top:15789;width:11906;height:1049" coordorigin=",15789" coordsize="11906,1049">
              <v:shape id="_x0000_s1047" style="position:absolute;top:15789;width:11906;height:1049" coordorigin=",15789" coordsize="11906,1049" path="m,16838r11906,l11906,15789,,15789r,1049xe" fillcolor="#0778be" stroked="f">
                <v:path arrowok="t"/>
              </v:shape>
              <v:shape id="_x0000_s1046" type="#_x0000_t75" style="position:absolute;top:15789;width:11906;height:1049">
                <v:imagedata r:id="rId20" o:title=""/>
              </v:shape>
              <v:shape id="_x0000_s1045" type="#_x0000_t202" style="position:absolute;left:693;top:16055;width:148;height:200" filled="f" stroked="f">
                <v:textbox style="mso-next-textbox:#_x0000_s1045" inset="0,0,0,0">
                  <w:txbxContent>
                    <w:p w:rsidR="008A79D5" w:rsidRDefault="008A79D5">
                      <w:pPr>
                        <w:spacing w:line="200" w:lineRule="exact"/>
                        <w:rPr>
                          <w:rFonts w:ascii="Avenir Next" w:eastAsia="Avenir Next" w:hAnsi="Avenir Next" w:cs="Avenir Next"/>
                          <w:sz w:val="20"/>
                          <w:szCs w:val="20"/>
                        </w:rPr>
                      </w:pPr>
                      <w:r>
                        <w:rPr>
                          <w:rFonts w:ascii="Avenir Next"/>
                          <w:color w:val="EEF8FE"/>
                          <w:sz w:val="20"/>
                        </w:rPr>
                        <w:t>iv</w:t>
                      </w:r>
                    </w:p>
                  </w:txbxContent>
                </v:textbox>
              </v:shape>
              <v:shape id="_x0000_s1044" type="#_x0000_t202" style="position:absolute;left:1241;top:16055;width:6297;height:200" filled="f" stroked="f">
                <v:textbox style="mso-next-textbox:#_x0000_s1044" inset="0,0,0,0">
                  <w:txbxContent>
                    <w:p w:rsidR="008A79D5" w:rsidRDefault="008A79D5">
                      <w:pPr>
                        <w:spacing w:line="200" w:lineRule="exact"/>
                        <w:rPr>
                          <w:rFonts w:ascii="Avenir Next" w:eastAsia="Avenir Next" w:hAnsi="Avenir Next" w:cs="Avenir Next"/>
                          <w:sz w:val="20"/>
                          <w:szCs w:val="20"/>
                        </w:rPr>
                      </w:pPr>
                      <w:r>
                        <w:rPr>
                          <w:rFonts w:ascii="Avenir Next" w:eastAsia="Avenir Next" w:hAnsi="Avenir Next" w:cs="Avenir Next"/>
                          <w:color w:val="EEF8FE"/>
                          <w:sz w:val="20"/>
                          <w:szCs w:val="20"/>
                        </w:rPr>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p w:rsidR="00D96B91" w:rsidRDefault="00D96B91">
      <w:pPr>
        <w:rPr>
          <w:rFonts w:ascii="Times New Roman" w:eastAsia="Times New Roman" w:hAnsi="Times New Roman" w:cs="Times New Roman"/>
          <w:sz w:val="17"/>
          <w:szCs w:val="17"/>
        </w:rPr>
        <w:sectPr w:rsidR="00D96B91">
          <w:footerReference w:type="even" r:id="rId150"/>
          <w:pgSz w:w="11910" w:h="16840"/>
          <w:pgMar w:top="1580" w:right="0" w:bottom="0" w:left="0" w:header="0" w:footer="0" w:gutter="0"/>
          <w:cols w:space="720"/>
        </w:sectPr>
      </w:pPr>
    </w:p>
    <w:p w:rsidR="00D96B91" w:rsidRDefault="00C2656B">
      <w:pPr>
        <w:pStyle w:val="Heading2"/>
        <w:numPr>
          <w:ilvl w:val="0"/>
          <w:numId w:val="16"/>
        </w:numPr>
        <w:tabs>
          <w:tab w:val="left" w:pos="1815"/>
        </w:tabs>
        <w:spacing w:line="454" w:lineRule="exact"/>
        <w:rPr>
          <w:b w:val="0"/>
          <w:bCs w:val="0"/>
        </w:rPr>
      </w:pPr>
      <w:bookmarkStart w:id="247" w:name="1._Introduction_"/>
      <w:bookmarkStart w:id="248" w:name="_bookmark157"/>
      <w:bookmarkEnd w:id="247"/>
      <w:bookmarkEnd w:id="248"/>
      <w:r>
        <w:rPr>
          <w:color w:val="0778BE"/>
          <w:spacing w:val="-1"/>
        </w:rPr>
        <w:t>Introduction</w:t>
      </w:r>
    </w:p>
    <w:p w:rsidR="00D96B91" w:rsidRDefault="00C2656B">
      <w:pPr>
        <w:spacing w:before="154" w:line="260" w:lineRule="exact"/>
        <w:ind w:left="1247" w:right="1283"/>
        <w:rPr>
          <w:rFonts w:ascii="Avenir Next" w:eastAsia="Avenir Next" w:hAnsi="Avenir Next" w:cs="Avenir Next"/>
          <w:sz w:val="20"/>
          <w:szCs w:val="20"/>
        </w:rPr>
      </w:pPr>
      <w:r>
        <w:rPr>
          <w:rFonts w:ascii="Avenir Next" w:eastAsia="Avenir Next" w:hAnsi="Avenir Next" w:cs="Avenir Next"/>
          <w:spacing w:val="-1"/>
          <w:sz w:val="20"/>
          <w:szCs w:val="20"/>
        </w:rPr>
        <w:t>This</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proposed</w:t>
      </w:r>
      <w:r>
        <w:rPr>
          <w:rFonts w:ascii="Avenir Next" w:eastAsia="Avenir Next" w:hAnsi="Avenir Next" w:cs="Avenir Next"/>
          <w:sz w:val="20"/>
          <w:szCs w:val="20"/>
        </w:rPr>
        <w:t xml:space="preserve"> substituted price </w:t>
      </w:r>
      <w:r>
        <w:rPr>
          <w:rFonts w:ascii="Avenir Next" w:eastAsia="Avenir Next" w:hAnsi="Avenir Next" w:cs="Avenir Next"/>
          <w:spacing w:val="-1"/>
          <w:sz w:val="20"/>
          <w:szCs w:val="20"/>
        </w:rPr>
        <w:t>direction</w:t>
      </w:r>
      <w:r>
        <w:rPr>
          <w:rFonts w:ascii="Avenir Next" w:eastAsia="Avenir Next" w:hAnsi="Avenir Next" w:cs="Avenir Next"/>
          <w:sz w:val="20"/>
          <w:szCs w:val="20"/>
        </w:rPr>
        <w:t xml:space="preserve"> (the </w:t>
      </w:r>
      <w:r>
        <w:rPr>
          <w:rFonts w:ascii="Avenir Next" w:eastAsia="Avenir Next" w:hAnsi="Avenir Next" w:cs="Avenir Next"/>
          <w:spacing w:val="-2"/>
          <w:sz w:val="20"/>
          <w:szCs w:val="20"/>
        </w:rPr>
        <w:t>Price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Direction)</w:t>
      </w:r>
      <w:r>
        <w:rPr>
          <w:rFonts w:ascii="Avenir Next" w:eastAsia="Avenir Next" w:hAnsi="Avenir Next" w:cs="Avenir Next"/>
          <w:sz w:val="20"/>
          <w:szCs w:val="20"/>
        </w:rPr>
        <w:t xml:space="preserve"> is made by the Industry </w:t>
      </w:r>
      <w:r>
        <w:rPr>
          <w:rFonts w:ascii="Avenir Next" w:eastAsia="Avenir Next" w:hAnsi="Avenir Next" w:cs="Avenir Next"/>
          <w:spacing w:val="-3"/>
          <w:sz w:val="20"/>
          <w:szCs w:val="20"/>
        </w:rPr>
        <w:t>Panel</w:t>
      </w:r>
      <w:r>
        <w:rPr>
          <w:rFonts w:ascii="Avenir Next" w:eastAsia="Avenir Next" w:hAnsi="Avenir Next" w:cs="Avenir Next"/>
          <w:sz w:val="20"/>
          <w:szCs w:val="20"/>
        </w:rPr>
        <w:t xml:space="preserve"> </w:t>
      </w:r>
      <w:r>
        <w:rPr>
          <w:rFonts w:ascii="Avenir Next" w:eastAsia="Avenir Next" w:hAnsi="Avenir Next" w:cs="Avenir Next"/>
          <w:spacing w:val="-2"/>
          <w:sz w:val="20"/>
          <w:szCs w:val="20"/>
        </w:rPr>
        <w:t>(Panel)</w:t>
      </w:r>
      <w:r>
        <w:rPr>
          <w:rFonts w:ascii="Avenir Next" w:eastAsia="Avenir Next" w:hAnsi="Avenir Next" w:cs="Avenir Next"/>
          <w:sz w:val="20"/>
          <w:szCs w:val="20"/>
        </w:rPr>
        <w:t xml:space="preserve"> in</w:t>
      </w:r>
      <w:r>
        <w:rPr>
          <w:rFonts w:ascii="Avenir Next" w:eastAsia="Avenir Next" w:hAnsi="Avenir Next" w:cs="Avenir Next"/>
          <w:spacing w:val="39"/>
          <w:sz w:val="20"/>
          <w:szCs w:val="20"/>
        </w:rPr>
        <w:t xml:space="preserve"> </w:t>
      </w:r>
      <w:r>
        <w:rPr>
          <w:rFonts w:ascii="Avenir Next" w:eastAsia="Avenir Next" w:hAnsi="Avenir Next" w:cs="Avenir Next"/>
          <w:spacing w:val="-1"/>
          <w:sz w:val="20"/>
          <w:szCs w:val="20"/>
        </w:rPr>
        <w:t>accordance</w:t>
      </w:r>
      <w:r>
        <w:rPr>
          <w:rFonts w:ascii="Avenir Next" w:eastAsia="Avenir Next" w:hAnsi="Avenir Next" w:cs="Avenir Next"/>
          <w:sz w:val="20"/>
          <w:szCs w:val="20"/>
        </w:rPr>
        <w:t xml:space="preserve"> with </w:t>
      </w:r>
      <w:r>
        <w:rPr>
          <w:rFonts w:ascii="Avenir Next" w:eastAsia="Avenir Next" w:hAnsi="Avenir Next" w:cs="Avenir Next"/>
          <w:spacing w:val="-4"/>
          <w:sz w:val="20"/>
          <w:szCs w:val="20"/>
        </w:rPr>
        <w:t>Part</w:t>
      </w:r>
      <w:r>
        <w:rPr>
          <w:rFonts w:ascii="Avenir Next" w:eastAsia="Avenir Next" w:hAnsi="Avenir Next" w:cs="Avenir Next"/>
          <w:sz w:val="20"/>
          <w:szCs w:val="20"/>
        </w:rPr>
        <w:t xml:space="preserve"> 4C of</w:t>
      </w:r>
      <w:r>
        <w:rPr>
          <w:rFonts w:ascii="Avenir Next" w:eastAsia="Avenir Next" w:hAnsi="Avenir Next" w:cs="Avenir Next"/>
          <w:spacing w:val="4"/>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i/>
          <w:sz w:val="20"/>
          <w:szCs w:val="20"/>
        </w:rPr>
        <w:t xml:space="preserve">Independent </w:t>
      </w:r>
      <w:r>
        <w:rPr>
          <w:rFonts w:ascii="Avenir Next" w:eastAsia="Avenir Next" w:hAnsi="Avenir Next" w:cs="Avenir Next"/>
          <w:i/>
          <w:spacing w:val="-1"/>
          <w:sz w:val="20"/>
          <w:szCs w:val="20"/>
        </w:rPr>
        <w:t>Competition</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Regulatory</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Commission</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Act 1997 </w:t>
      </w:r>
      <w:r>
        <w:rPr>
          <w:rFonts w:ascii="Avenir Next" w:eastAsia="Avenir Next" w:hAnsi="Avenir Next" w:cs="Avenir Next"/>
          <w:sz w:val="20"/>
          <w:szCs w:val="20"/>
        </w:rPr>
        <w:t>(the</w:t>
      </w:r>
      <w:r>
        <w:rPr>
          <w:rFonts w:ascii="Avenir Next" w:eastAsia="Avenir Next" w:hAnsi="Avenir Next" w:cs="Avenir Next"/>
          <w:spacing w:val="53"/>
          <w:sz w:val="20"/>
          <w:szCs w:val="20"/>
        </w:rPr>
        <w:t xml:space="preserve"> </w:t>
      </w:r>
      <w:r>
        <w:rPr>
          <w:rFonts w:ascii="Avenir Next" w:eastAsia="Avenir Next" w:hAnsi="Avenir Next" w:cs="Avenir Next"/>
          <w:sz w:val="20"/>
          <w:szCs w:val="20"/>
        </w:rPr>
        <w:t>Act).</w:t>
      </w:r>
      <w:r>
        <w:rPr>
          <w:rFonts w:ascii="Avenir Next" w:eastAsia="Avenir Next" w:hAnsi="Avenir Next" w:cs="Avenir Next"/>
          <w:spacing w:val="-11"/>
          <w:sz w:val="20"/>
          <w:szCs w:val="20"/>
        </w:rPr>
        <w:t xml:space="preserve"> </w:t>
      </w:r>
      <w:r>
        <w:rPr>
          <w:rFonts w:ascii="Avenir Next" w:eastAsia="Avenir Next" w:hAnsi="Avenir Next" w:cs="Avenir Next"/>
          <w:spacing w:val="-2"/>
          <w:sz w:val="20"/>
          <w:szCs w:val="20"/>
        </w:rPr>
        <w:t>The</w:t>
      </w:r>
      <w:r>
        <w:rPr>
          <w:rFonts w:ascii="Avenir Next" w:eastAsia="Avenir Next" w:hAnsi="Avenir Next" w:cs="Avenir Next"/>
          <w:sz w:val="20"/>
          <w:szCs w:val="20"/>
        </w:rPr>
        <w:t xml:space="preserve"> </w:t>
      </w:r>
      <w:r>
        <w:rPr>
          <w:rFonts w:ascii="Avenir Next" w:eastAsia="Avenir Next" w:hAnsi="Avenir Next" w:cs="Avenir Next"/>
          <w:spacing w:val="-4"/>
          <w:sz w:val="20"/>
          <w:szCs w:val="20"/>
        </w:rPr>
        <w:t>Panel’s</w:t>
      </w:r>
      <w:r>
        <w:rPr>
          <w:rFonts w:ascii="Avenir Next" w:eastAsia="Avenir Next" w:hAnsi="Avenir Next" w:cs="Avenir Next"/>
          <w:sz w:val="20"/>
          <w:szCs w:val="20"/>
        </w:rPr>
        <w:t xml:space="preserve"> </w:t>
      </w:r>
      <w:r>
        <w:rPr>
          <w:rFonts w:ascii="Avenir Next" w:eastAsia="Avenir Next" w:hAnsi="Avenir Next" w:cs="Avenir Next"/>
          <w:i/>
          <w:spacing w:val="-2"/>
          <w:sz w:val="20"/>
          <w:szCs w:val="20"/>
        </w:rPr>
        <w:t>Draft</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Report</w:t>
      </w:r>
      <w:r>
        <w:rPr>
          <w:rFonts w:ascii="Avenir Next" w:eastAsia="Avenir Next" w:hAnsi="Avenir Next" w:cs="Avenir Next"/>
          <w:i/>
          <w:sz w:val="20"/>
          <w:szCs w:val="20"/>
        </w:rPr>
        <w:t xml:space="preserve"> – </w:t>
      </w:r>
      <w:r>
        <w:rPr>
          <w:rFonts w:ascii="Avenir Next" w:eastAsia="Avenir Next" w:hAnsi="Avenir Next" w:cs="Avenir Next"/>
          <w:i/>
          <w:spacing w:val="-1"/>
          <w:sz w:val="20"/>
          <w:szCs w:val="20"/>
        </w:rPr>
        <w:t>Review</w:t>
      </w:r>
      <w:r>
        <w:rPr>
          <w:rFonts w:ascii="Avenir Next" w:eastAsia="Avenir Next" w:hAnsi="Avenir Next" w:cs="Avenir Next"/>
          <w:i/>
          <w:sz w:val="20"/>
          <w:szCs w:val="20"/>
        </w:rPr>
        <w:t xml:space="preserve"> of</w:t>
      </w:r>
      <w:r>
        <w:rPr>
          <w:rFonts w:ascii="Avenir Next" w:eastAsia="Avenir Next" w:hAnsi="Avenir Next" w:cs="Avenir Next"/>
          <w:i/>
          <w:spacing w:val="4"/>
          <w:sz w:val="20"/>
          <w:szCs w:val="20"/>
        </w:rPr>
        <w:t xml:space="preserve"> </w:t>
      </w:r>
      <w:r>
        <w:rPr>
          <w:rFonts w:ascii="Avenir Next" w:eastAsia="Avenir Next" w:hAnsi="Avenir Next" w:cs="Avenir Next"/>
          <w:i/>
          <w:sz w:val="20"/>
          <w:szCs w:val="20"/>
        </w:rPr>
        <w:t xml:space="preserve">the Independent </w:t>
      </w:r>
      <w:r>
        <w:rPr>
          <w:rFonts w:ascii="Avenir Next" w:eastAsia="Avenir Next" w:hAnsi="Avenir Next" w:cs="Avenir Next"/>
          <w:i/>
          <w:spacing w:val="-1"/>
          <w:sz w:val="20"/>
          <w:szCs w:val="20"/>
        </w:rPr>
        <w:t>Competition</w:t>
      </w:r>
      <w:r>
        <w:rPr>
          <w:rFonts w:ascii="Avenir Next" w:eastAsia="Avenir Next" w:hAnsi="Avenir Next" w:cs="Avenir Next"/>
          <w:i/>
          <w:sz w:val="20"/>
          <w:szCs w:val="20"/>
        </w:rPr>
        <w:t xml:space="preserve"> and </w:t>
      </w:r>
      <w:r>
        <w:rPr>
          <w:rFonts w:ascii="Avenir Next" w:eastAsia="Avenir Next" w:hAnsi="Avenir Next" w:cs="Avenir Next"/>
          <w:i/>
          <w:spacing w:val="-1"/>
          <w:sz w:val="20"/>
          <w:szCs w:val="20"/>
        </w:rPr>
        <w:t>Regulatory</w:t>
      </w:r>
      <w:r>
        <w:rPr>
          <w:rFonts w:ascii="Avenir Next" w:eastAsia="Avenir Next" w:hAnsi="Avenir Next" w:cs="Avenir Next"/>
          <w:i/>
          <w:sz w:val="20"/>
          <w:szCs w:val="20"/>
        </w:rPr>
        <w:t xml:space="preserve"> </w:t>
      </w:r>
      <w:r>
        <w:rPr>
          <w:rFonts w:ascii="Avenir Next" w:eastAsia="Avenir Next" w:hAnsi="Avenir Next" w:cs="Avenir Next"/>
          <w:i/>
          <w:spacing w:val="-2"/>
          <w:sz w:val="20"/>
          <w:szCs w:val="20"/>
        </w:rPr>
        <w:t>Commission’s</w:t>
      </w:r>
      <w:r>
        <w:rPr>
          <w:rFonts w:ascii="Avenir Next" w:eastAsia="Avenir Next" w:hAnsi="Avenir Next" w:cs="Avenir Next"/>
          <w:i/>
          <w:spacing w:val="79"/>
          <w:sz w:val="20"/>
          <w:szCs w:val="20"/>
        </w:rPr>
        <w:t xml:space="preserve"> </w:t>
      </w:r>
      <w:r>
        <w:rPr>
          <w:rFonts w:ascii="Avenir Next" w:eastAsia="Avenir Next" w:hAnsi="Avenir Next" w:cs="Avenir Next"/>
          <w:i/>
          <w:sz w:val="20"/>
          <w:szCs w:val="20"/>
        </w:rPr>
        <w:t xml:space="preserve">2013 </w:t>
      </w:r>
      <w:r>
        <w:rPr>
          <w:rFonts w:ascii="Avenir Next" w:eastAsia="Avenir Next" w:hAnsi="Avenir Next" w:cs="Avenir Next"/>
          <w:i/>
          <w:spacing w:val="-2"/>
          <w:sz w:val="20"/>
          <w:szCs w:val="20"/>
        </w:rPr>
        <w:t>Price</w:t>
      </w:r>
      <w:r>
        <w:rPr>
          <w:rFonts w:ascii="Avenir Next" w:eastAsia="Avenir Next" w:hAnsi="Avenir Next" w:cs="Avenir Next"/>
          <w:i/>
          <w:sz w:val="20"/>
          <w:szCs w:val="20"/>
        </w:rPr>
        <w:t xml:space="preserve"> </w:t>
      </w:r>
      <w:r>
        <w:rPr>
          <w:rFonts w:ascii="Avenir Next" w:eastAsia="Avenir Next" w:hAnsi="Avenir Next" w:cs="Avenir Next"/>
          <w:i/>
          <w:spacing w:val="-1"/>
          <w:sz w:val="20"/>
          <w:szCs w:val="20"/>
        </w:rPr>
        <w:t>Direction</w:t>
      </w:r>
      <w:r>
        <w:rPr>
          <w:rFonts w:ascii="Avenir Next" w:eastAsia="Avenir Next" w:hAnsi="Avenir Next" w:cs="Avenir Next"/>
          <w:i/>
          <w:sz w:val="20"/>
          <w:szCs w:val="20"/>
        </w:rPr>
        <w:t xml:space="preserve"> </w:t>
      </w:r>
      <w:r>
        <w:rPr>
          <w:rFonts w:ascii="Avenir Next" w:eastAsia="Avenir Next" w:hAnsi="Avenir Next" w:cs="Avenir Next"/>
          <w:spacing w:val="-1"/>
          <w:sz w:val="20"/>
          <w:szCs w:val="20"/>
        </w:rPr>
        <w:t>(Draft</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Report)</w:t>
      </w:r>
      <w:r>
        <w:rPr>
          <w:rFonts w:ascii="Avenir Next" w:eastAsia="Avenir Next" w:hAnsi="Avenir Next" w:cs="Avenir Next"/>
          <w:sz w:val="20"/>
          <w:szCs w:val="20"/>
        </w:rPr>
        <w:t xml:space="preserve"> forms the basis for the </w:t>
      </w:r>
      <w:r>
        <w:rPr>
          <w:rFonts w:ascii="Avenir Next" w:eastAsia="Avenir Next" w:hAnsi="Avenir Next" w:cs="Avenir Next"/>
          <w:spacing w:val="-4"/>
          <w:sz w:val="20"/>
          <w:szCs w:val="20"/>
        </w:rPr>
        <w:t>Panel’s</w:t>
      </w:r>
      <w:r>
        <w:rPr>
          <w:rFonts w:ascii="Avenir Next" w:eastAsia="Avenir Next" w:hAnsi="Avenir Next" w:cs="Avenir Next"/>
          <w:sz w:val="20"/>
          <w:szCs w:val="20"/>
        </w:rPr>
        <w:t xml:space="preserve"> decisions as outlined in the </w:t>
      </w:r>
      <w:r>
        <w:rPr>
          <w:rFonts w:ascii="Avenir Next" w:eastAsia="Avenir Next" w:hAnsi="Avenir Next" w:cs="Avenir Next"/>
          <w:spacing w:val="-2"/>
          <w:sz w:val="20"/>
          <w:szCs w:val="20"/>
        </w:rPr>
        <w:t>Price</w:t>
      </w:r>
      <w:r>
        <w:rPr>
          <w:rFonts w:ascii="Avenir Next" w:eastAsia="Avenir Next" w:hAnsi="Avenir Next" w:cs="Avenir Next"/>
          <w:spacing w:val="25"/>
          <w:sz w:val="20"/>
          <w:szCs w:val="20"/>
        </w:rPr>
        <w:t xml:space="preserve"> </w:t>
      </w:r>
      <w:r>
        <w:rPr>
          <w:rFonts w:ascii="Avenir Next" w:eastAsia="Avenir Next" w:hAnsi="Avenir Next" w:cs="Avenir Next"/>
          <w:spacing w:val="-1"/>
          <w:sz w:val="20"/>
          <w:szCs w:val="20"/>
        </w:rPr>
        <w:t>Direction.</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If</w:t>
      </w:r>
      <w:r>
        <w:rPr>
          <w:rFonts w:ascii="Avenir Next" w:eastAsia="Avenir Next" w:hAnsi="Avenir Next" w:cs="Avenir Next"/>
          <w:spacing w:val="4"/>
          <w:sz w:val="20"/>
          <w:szCs w:val="20"/>
        </w:rPr>
        <w:t xml:space="preserve"> </w:t>
      </w:r>
      <w:r>
        <w:rPr>
          <w:rFonts w:ascii="Avenir Next" w:eastAsia="Avenir Next" w:hAnsi="Avenir Next" w:cs="Avenir Next"/>
          <w:spacing w:val="-1"/>
          <w:sz w:val="20"/>
          <w:szCs w:val="20"/>
        </w:rPr>
        <w:t>there</w:t>
      </w:r>
      <w:r>
        <w:rPr>
          <w:rFonts w:ascii="Avenir Next" w:eastAsia="Avenir Next" w:hAnsi="Avenir Next" w:cs="Avenir Next"/>
          <w:sz w:val="20"/>
          <w:szCs w:val="20"/>
        </w:rPr>
        <w:t xml:space="preserve"> is any inconsistency between the </w:t>
      </w:r>
      <w:r>
        <w:rPr>
          <w:rFonts w:ascii="Avenir Next" w:eastAsia="Avenir Next" w:hAnsi="Avenir Next" w:cs="Avenir Next"/>
          <w:spacing w:val="-2"/>
          <w:sz w:val="20"/>
          <w:szCs w:val="20"/>
        </w:rPr>
        <w:t>Draft</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Report</w:t>
      </w:r>
      <w:r>
        <w:rPr>
          <w:rFonts w:ascii="Avenir Next" w:eastAsia="Avenir Next" w:hAnsi="Avenir Next" w:cs="Avenir Next"/>
          <w:sz w:val="20"/>
          <w:szCs w:val="20"/>
        </w:rPr>
        <w:t xml:space="preserve"> and the </w:t>
      </w:r>
      <w:r>
        <w:rPr>
          <w:rFonts w:ascii="Avenir Next" w:eastAsia="Avenir Next" w:hAnsi="Avenir Next" w:cs="Avenir Next"/>
          <w:spacing w:val="-2"/>
          <w:sz w:val="20"/>
          <w:szCs w:val="20"/>
        </w:rPr>
        <w:t>Price</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Direction,</w:t>
      </w:r>
      <w:r>
        <w:rPr>
          <w:rFonts w:ascii="Avenir Next" w:eastAsia="Avenir Next" w:hAnsi="Avenir Next" w:cs="Avenir Next"/>
          <w:spacing w:val="-6"/>
          <w:sz w:val="20"/>
          <w:szCs w:val="20"/>
        </w:rPr>
        <w:t xml:space="preserve"> </w:t>
      </w:r>
      <w:r>
        <w:rPr>
          <w:rFonts w:ascii="Avenir Next" w:eastAsia="Avenir Next" w:hAnsi="Avenir Next" w:cs="Avenir Next"/>
          <w:sz w:val="20"/>
          <w:szCs w:val="20"/>
        </w:rPr>
        <w:t xml:space="preserve">the </w:t>
      </w:r>
      <w:r>
        <w:rPr>
          <w:rFonts w:ascii="Avenir Next" w:eastAsia="Avenir Next" w:hAnsi="Avenir Next" w:cs="Avenir Next"/>
          <w:spacing w:val="-2"/>
          <w:sz w:val="20"/>
          <w:szCs w:val="20"/>
        </w:rPr>
        <w:t>Price</w:t>
      </w:r>
      <w:r>
        <w:rPr>
          <w:rFonts w:ascii="Avenir Next" w:eastAsia="Avenir Next" w:hAnsi="Avenir Next" w:cs="Avenir Next"/>
          <w:spacing w:val="35"/>
          <w:sz w:val="20"/>
          <w:szCs w:val="20"/>
        </w:rPr>
        <w:t xml:space="preserve"> </w:t>
      </w:r>
      <w:r>
        <w:rPr>
          <w:rFonts w:ascii="Avenir Next" w:eastAsia="Avenir Next" w:hAnsi="Avenir Next" w:cs="Avenir Next"/>
          <w:spacing w:val="-1"/>
          <w:sz w:val="20"/>
          <w:szCs w:val="20"/>
        </w:rPr>
        <w:t>Direction</w:t>
      </w:r>
      <w:r>
        <w:rPr>
          <w:rFonts w:ascii="Avenir Next" w:eastAsia="Avenir Next" w:hAnsi="Avenir Next" w:cs="Avenir Next"/>
          <w:sz w:val="20"/>
          <w:szCs w:val="20"/>
        </w:rPr>
        <w:t xml:space="preserve"> </w:t>
      </w:r>
      <w:r>
        <w:rPr>
          <w:rFonts w:ascii="Avenir Next" w:eastAsia="Avenir Next" w:hAnsi="Avenir Next" w:cs="Avenir Next"/>
          <w:spacing w:val="-1"/>
          <w:sz w:val="20"/>
          <w:szCs w:val="20"/>
        </w:rPr>
        <w:t>prevails.</w:t>
      </w:r>
    </w:p>
    <w:p w:rsidR="00D96B91" w:rsidRDefault="00C2656B">
      <w:pPr>
        <w:pStyle w:val="BodyText"/>
        <w:spacing w:before="170" w:line="260" w:lineRule="exact"/>
        <w:ind w:right="1522"/>
      </w:pPr>
      <w:r>
        <w:rPr>
          <w:spacing w:val="-1"/>
        </w:rPr>
        <w:t>This</w:t>
      </w:r>
      <w:r>
        <w:t xml:space="preserve"> </w:t>
      </w:r>
      <w:r>
        <w:rPr>
          <w:spacing w:val="-2"/>
        </w:rPr>
        <w:t>Price</w:t>
      </w:r>
      <w:r>
        <w:t xml:space="preserve"> </w:t>
      </w:r>
      <w:r>
        <w:rPr>
          <w:spacing w:val="-1"/>
        </w:rPr>
        <w:t>Direction</w:t>
      </w:r>
      <w:r>
        <w:t xml:space="preserve"> will </w:t>
      </w:r>
      <w:r>
        <w:rPr>
          <w:spacing w:val="-1"/>
        </w:rPr>
        <w:t>take</w:t>
      </w:r>
      <w:r>
        <w:t xml:space="preserve"> </w:t>
      </w:r>
      <w:r>
        <w:rPr>
          <w:spacing w:val="-1"/>
        </w:rPr>
        <w:t>effect</w:t>
      </w:r>
      <w:r>
        <w:t xml:space="preserve"> in </w:t>
      </w:r>
      <w:r>
        <w:rPr>
          <w:spacing w:val="-1"/>
        </w:rPr>
        <w:t>accordance</w:t>
      </w:r>
      <w:r>
        <w:t xml:space="preserve"> with section 24T</w:t>
      </w:r>
      <w:r>
        <w:rPr>
          <w:spacing w:val="-5"/>
        </w:rPr>
        <w:t xml:space="preserve"> </w:t>
      </w:r>
      <w:r>
        <w:t>of</w:t>
      </w:r>
      <w:r>
        <w:rPr>
          <w:spacing w:val="4"/>
        </w:rPr>
        <w:t xml:space="preserve"> </w:t>
      </w:r>
      <w:r>
        <w:t>the</w:t>
      </w:r>
      <w:r>
        <w:rPr>
          <w:spacing w:val="-4"/>
        </w:rPr>
        <w:t xml:space="preserve"> </w:t>
      </w:r>
      <w:r>
        <w:t>Act.</w:t>
      </w:r>
      <w:r>
        <w:rPr>
          <w:spacing w:val="-9"/>
        </w:rPr>
        <w:t xml:space="preserve"> </w:t>
      </w:r>
      <w:r>
        <w:t xml:space="preserve">When the </w:t>
      </w:r>
      <w:r>
        <w:rPr>
          <w:spacing w:val="-2"/>
        </w:rPr>
        <w:t>Price</w:t>
      </w:r>
      <w:r>
        <w:rPr>
          <w:spacing w:val="27"/>
        </w:rPr>
        <w:t xml:space="preserve"> </w:t>
      </w:r>
      <w:r>
        <w:rPr>
          <w:spacing w:val="-1"/>
        </w:rPr>
        <w:t>Direction</w:t>
      </w:r>
      <w:r>
        <w:t xml:space="preserve"> </w:t>
      </w:r>
      <w:r>
        <w:rPr>
          <w:spacing w:val="-1"/>
        </w:rPr>
        <w:t>takes</w:t>
      </w:r>
      <w:r>
        <w:t xml:space="preserve"> </w:t>
      </w:r>
      <w:r>
        <w:rPr>
          <w:spacing w:val="-1"/>
        </w:rPr>
        <w:t>effect</w:t>
      </w:r>
      <w:r>
        <w:t xml:space="preserve"> it will </w:t>
      </w:r>
      <w:r>
        <w:rPr>
          <w:spacing w:val="-1"/>
        </w:rPr>
        <w:t>take</w:t>
      </w:r>
      <w:r>
        <w:t xml:space="preserve"> the place of</w:t>
      </w:r>
      <w:r>
        <w:rPr>
          <w:spacing w:val="4"/>
        </w:rPr>
        <w:t xml:space="preserve"> </w:t>
      </w:r>
      <w:r>
        <w:t xml:space="preserve">the price </w:t>
      </w:r>
      <w:r>
        <w:rPr>
          <w:spacing w:val="-1"/>
        </w:rPr>
        <w:t>direction</w:t>
      </w:r>
      <w:r>
        <w:t xml:space="preserve"> which was made by the Independent</w:t>
      </w:r>
      <w:r>
        <w:rPr>
          <w:spacing w:val="27"/>
        </w:rPr>
        <w:t xml:space="preserve"> </w:t>
      </w:r>
      <w:r>
        <w:rPr>
          <w:spacing w:val="-1"/>
        </w:rPr>
        <w:t>Competition</w:t>
      </w:r>
      <w:r>
        <w:t xml:space="preserve"> and </w:t>
      </w:r>
      <w:r>
        <w:rPr>
          <w:spacing w:val="-1"/>
        </w:rPr>
        <w:t>Regulatory</w:t>
      </w:r>
      <w:r>
        <w:t xml:space="preserve"> </w:t>
      </w:r>
      <w:r>
        <w:rPr>
          <w:spacing w:val="-1"/>
        </w:rPr>
        <w:t>Commission</w:t>
      </w:r>
      <w:r>
        <w:t xml:space="preserve"> </w:t>
      </w:r>
      <w:r>
        <w:rPr>
          <w:spacing w:val="-1"/>
        </w:rPr>
        <w:t>(Commission)</w:t>
      </w:r>
      <w:r>
        <w:t xml:space="preserve"> on 26</w:t>
      </w:r>
      <w:r>
        <w:rPr>
          <w:spacing w:val="-3"/>
        </w:rPr>
        <w:t xml:space="preserve"> </w:t>
      </w:r>
      <w:r>
        <w:t>June 2013 and published by the</w:t>
      </w:r>
      <w:r>
        <w:rPr>
          <w:spacing w:val="59"/>
        </w:rPr>
        <w:t xml:space="preserve"> </w:t>
      </w:r>
      <w:r>
        <w:rPr>
          <w:spacing w:val="-1"/>
        </w:rPr>
        <w:t>Commission</w:t>
      </w:r>
      <w:r>
        <w:t xml:space="preserve"> as </w:t>
      </w:r>
      <w:r>
        <w:rPr>
          <w:spacing w:val="-1"/>
        </w:rPr>
        <w:t>Report</w:t>
      </w:r>
      <w:r>
        <w:t xml:space="preserve"> 6 of</w:t>
      </w:r>
      <w:r>
        <w:rPr>
          <w:spacing w:val="4"/>
        </w:rPr>
        <w:t xml:space="preserve"> </w:t>
      </w:r>
      <w:r>
        <w:t>2013.</w:t>
      </w:r>
      <w:r>
        <w:rPr>
          <w:spacing w:val="-11"/>
        </w:rPr>
        <w:t xml:space="preserve"> </w:t>
      </w:r>
      <w:r>
        <w:rPr>
          <w:spacing w:val="-2"/>
        </w:rPr>
        <w:t>The</w:t>
      </w:r>
      <w:r>
        <w:t xml:space="preserve"> </w:t>
      </w:r>
      <w:r>
        <w:rPr>
          <w:spacing w:val="-2"/>
        </w:rPr>
        <w:t>Price</w:t>
      </w:r>
      <w:r>
        <w:t xml:space="preserve"> </w:t>
      </w:r>
      <w:r>
        <w:rPr>
          <w:spacing w:val="-1"/>
        </w:rPr>
        <w:t>Direction</w:t>
      </w:r>
      <w:r>
        <w:t xml:space="preserve"> establishes a maximum price for </w:t>
      </w:r>
      <w:r>
        <w:rPr>
          <w:spacing w:val="-1"/>
        </w:rPr>
        <w:t>regulated</w:t>
      </w:r>
    </w:p>
    <w:p w:rsidR="00D96B91" w:rsidRDefault="00C2656B">
      <w:pPr>
        <w:pStyle w:val="BodyText"/>
        <w:spacing w:line="260" w:lineRule="exact"/>
        <w:ind w:right="1283"/>
      </w:pPr>
      <w:r>
        <w:rPr>
          <w:spacing w:val="-2"/>
        </w:rPr>
        <w:t>water,</w:t>
      </w:r>
      <w:r>
        <w:rPr>
          <w:spacing w:val="-6"/>
        </w:rPr>
        <w:t xml:space="preserve"> </w:t>
      </w:r>
      <w:r>
        <w:rPr>
          <w:spacing w:val="-1"/>
        </w:rPr>
        <w:t>sewerage</w:t>
      </w:r>
      <w:r>
        <w:t xml:space="preserve"> and miscellaneous services </w:t>
      </w:r>
      <w:r>
        <w:rPr>
          <w:spacing w:val="-1"/>
        </w:rPr>
        <w:t>provided</w:t>
      </w:r>
      <w:r>
        <w:t xml:space="preserve"> by</w:t>
      </w:r>
      <w:r>
        <w:rPr>
          <w:spacing w:val="-4"/>
        </w:rPr>
        <w:t xml:space="preserve"> </w:t>
      </w:r>
      <w:r>
        <w:rPr>
          <w:spacing w:val="-2"/>
        </w:rPr>
        <w:t>ACTEW</w:t>
      </w:r>
      <w:r>
        <w:rPr>
          <w:spacing w:val="-3"/>
        </w:rPr>
        <w:t xml:space="preserve"> </w:t>
      </w:r>
      <w:r>
        <w:t>in the</w:t>
      </w:r>
      <w:r>
        <w:rPr>
          <w:spacing w:val="-4"/>
        </w:rPr>
        <w:t xml:space="preserve"> </w:t>
      </w:r>
      <w:r>
        <w:rPr>
          <w:spacing w:val="-2"/>
        </w:rPr>
        <w:t>ACT</w:t>
      </w:r>
      <w:r>
        <w:rPr>
          <w:spacing w:val="-5"/>
        </w:rPr>
        <w:t xml:space="preserve"> </w:t>
      </w:r>
      <w:r>
        <w:t xml:space="preserve">for the </w:t>
      </w:r>
      <w:r>
        <w:rPr>
          <w:spacing w:val="-1"/>
        </w:rPr>
        <w:t>regulatory</w:t>
      </w:r>
      <w:r>
        <w:t xml:space="preserve"> period</w:t>
      </w:r>
      <w:r>
        <w:rPr>
          <w:spacing w:val="35"/>
        </w:rPr>
        <w:t xml:space="preserve"> </w:t>
      </w:r>
      <w:r>
        <w:t>specified</w:t>
      </w:r>
      <w:r>
        <w:rPr>
          <w:spacing w:val="-3"/>
        </w:rPr>
        <w:t xml:space="preserve"> </w:t>
      </w:r>
      <w:hyperlink w:anchor="_bookmark159" w:history="1">
        <w:r>
          <w:t>in</w:t>
        </w:r>
        <w:r>
          <w:rPr>
            <w:spacing w:val="-3"/>
          </w:rPr>
          <w:t xml:space="preserve"> </w:t>
        </w:r>
        <w:r>
          <w:t>clause</w:t>
        </w:r>
        <w:r>
          <w:rPr>
            <w:spacing w:val="-3"/>
          </w:rPr>
          <w:t xml:space="preserve"> </w:t>
        </w:r>
        <w:r>
          <w:t>2</w:t>
        </w:r>
      </w:hyperlink>
      <w:r>
        <w:t>.</w:t>
      </w:r>
    </w:p>
    <w:p w:rsidR="00D96B91" w:rsidRDefault="00C2656B">
      <w:pPr>
        <w:pStyle w:val="BodyText"/>
        <w:spacing w:before="178"/>
        <w:rPr>
          <w:rFonts w:cs="Avenir Next"/>
        </w:rPr>
      </w:pPr>
      <w:r>
        <w:rPr>
          <w:spacing w:val="-2"/>
        </w:rPr>
        <w:t>The</w:t>
      </w:r>
      <w:r>
        <w:t xml:space="preserve"> </w:t>
      </w:r>
      <w:r>
        <w:rPr>
          <w:spacing w:val="-2"/>
        </w:rPr>
        <w:t>Price</w:t>
      </w:r>
      <w:r>
        <w:t xml:space="preserve"> </w:t>
      </w:r>
      <w:r>
        <w:rPr>
          <w:spacing w:val="-1"/>
        </w:rPr>
        <w:t>Direction</w:t>
      </w:r>
      <w:r>
        <w:t xml:space="preserve"> is set out as follows:</w:t>
      </w:r>
    </w:p>
    <w:p w:rsidR="00D96B91" w:rsidRDefault="00C2656B">
      <w:pPr>
        <w:pStyle w:val="BodyText"/>
        <w:numPr>
          <w:ilvl w:val="0"/>
          <w:numId w:val="131"/>
        </w:numPr>
        <w:tabs>
          <w:tab w:val="left" w:pos="1531"/>
        </w:tabs>
        <w:spacing w:before="157"/>
        <w:ind w:hanging="283"/>
      </w:pPr>
      <w:r>
        <w:rPr>
          <w:spacing w:val="-4"/>
        </w:rPr>
        <w:t xml:space="preserve">Part </w:t>
      </w:r>
      <w:r>
        <w:t>A</w:t>
      </w:r>
      <w:r>
        <w:rPr>
          <w:spacing w:val="-4"/>
        </w:rPr>
        <w:t xml:space="preserve"> </w:t>
      </w:r>
      <w:r>
        <w:t xml:space="preserve">– </w:t>
      </w:r>
      <w:r>
        <w:rPr>
          <w:spacing w:val="-2"/>
        </w:rPr>
        <w:t>Preliminary</w:t>
      </w:r>
    </w:p>
    <w:p w:rsidR="00D96B91" w:rsidRDefault="00C2656B">
      <w:pPr>
        <w:pStyle w:val="BodyText"/>
        <w:numPr>
          <w:ilvl w:val="0"/>
          <w:numId w:val="131"/>
        </w:numPr>
        <w:tabs>
          <w:tab w:val="left" w:pos="1531"/>
        </w:tabs>
        <w:spacing w:before="72"/>
        <w:ind w:hanging="283"/>
      </w:pPr>
      <w:r>
        <w:rPr>
          <w:spacing w:val="-4"/>
        </w:rPr>
        <w:t>Part</w:t>
      </w:r>
      <w:r>
        <w:t xml:space="preserve"> B – </w:t>
      </w:r>
      <w:r>
        <w:rPr>
          <w:spacing w:val="-1"/>
        </w:rPr>
        <w:t>Regulated</w:t>
      </w:r>
      <w:r>
        <w:t xml:space="preserve"> services and prices</w:t>
      </w:r>
    </w:p>
    <w:p w:rsidR="00D96B91" w:rsidRDefault="00C2656B">
      <w:pPr>
        <w:pStyle w:val="BodyText"/>
        <w:numPr>
          <w:ilvl w:val="0"/>
          <w:numId w:val="131"/>
        </w:numPr>
        <w:tabs>
          <w:tab w:val="left" w:pos="1531"/>
        </w:tabs>
        <w:spacing w:before="72"/>
        <w:ind w:hanging="283"/>
      </w:pPr>
      <w:r>
        <w:rPr>
          <w:spacing w:val="-4"/>
        </w:rPr>
        <w:t>Part</w:t>
      </w:r>
      <w:r>
        <w:t xml:space="preserve"> C – </w:t>
      </w:r>
      <w:r>
        <w:rPr>
          <w:spacing w:val="-1"/>
        </w:rPr>
        <w:t>Regulatory</w:t>
      </w:r>
      <w:r>
        <w:t xml:space="preserve"> method</w:t>
      </w:r>
    </w:p>
    <w:p w:rsidR="00D96B91" w:rsidRDefault="00C2656B">
      <w:pPr>
        <w:pStyle w:val="BodyText"/>
        <w:numPr>
          <w:ilvl w:val="0"/>
          <w:numId w:val="131"/>
        </w:numPr>
        <w:tabs>
          <w:tab w:val="left" w:pos="1531"/>
        </w:tabs>
        <w:spacing w:before="72"/>
        <w:ind w:hanging="283"/>
      </w:pPr>
      <w:r>
        <w:rPr>
          <w:spacing w:val="-4"/>
        </w:rPr>
        <w:t>Part</w:t>
      </w:r>
      <w:r>
        <w:t xml:space="preserve"> D – </w:t>
      </w:r>
      <w:r>
        <w:rPr>
          <w:spacing w:val="-1"/>
        </w:rPr>
        <w:t>Legislative</w:t>
      </w:r>
      <w:r>
        <w:t xml:space="preserve"> </w:t>
      </w:r>
      <w:r>
        <w:rPr>
          <w:spacing w:val="-1"/>
        </w:rPr>
        <w:t>provisions</w:t>
      </w:r>
    </w:p>
    <w:p w:rsidR="00D96B91" w:rsidRDefault="00D96B91">
      <w:pPr>
        <w:spacing w:before="9"/>
        <w:rPr>
          <w:rFonts w:ascii="Avenir Next" w:eastAsia="Avenir Next" w:hAnsi="Avenir Next" w:cs="Avenir Next"/>
          <w:sz w:val="15"/>
          <w:szCs w:val="15"/>
        </w:rPr>
      </w:pPr>
    </w:p>
    <w:p w:rsidR="00D96B91" w:rsidRDefault="00C2656B">
      <w:pPr>
        <w:pStyle w:val="BodyText"/>
      </w:pPr>
      <w:r>
        <w:rPr>
          <w:spacing w:val="-4"/>
        </w:rPr>
        <w:t xml:space="preserve">Part </w:t>
      </w:r>
      <w:r>
        <w:t>A</w:t>
      </w:r>
      <w:r>
        <w:rPr>
          <w:spacing w:val="-4"/>
        </w:rPr>
        <w:t xml:space="preserve"> </w:t>
      </w:r>
      <w:r>
        <w:t xml:space="preserve">sets out the </w:t>
      </w:r>
      <w:r>
        <w:rPr>
          <w:spacing w:val="-1"/>
        </w:rPr>
        <w:t>preliminary</w:t>
      </w:r>
      <w:r>
        <w:t xml:space="preserve"> </w:t>
      </w:r>
      <w:r>
        <w:rPr>
          <w:spacing w:val="-1"/>
        </w:rPr>
        <w:t>information</w:t>
      </w:r>
      <w:r>
        <w:t xml:space="preserve"> to the </w:t>
      </w:r>
      <w:r>
        <w:rPr>
          <w:spacing w:val="-2"/>
        </w:rPr>
        <w:t>Price</w:t>
      </w:r>
      <w:r>
        <w:t xml:space="preserve"> </w:t>
      </w:r>
      <w:r>
        <w:rPr>
          <w:spacing w:val="-1"/>
        </w:rPr>
        <w:t>Direction.</w:t>
      </w:r>
    </w:p>
    <w:p w:rsidR="00D96B91" w:rsidRDefault="00C2656B">
      <w:pPr>
        <w:pStyle w:val="BodyText"/>
        <w:spacing w:before="149" w:line="260" w:lineRule="exact"/>
        <w:ind w:right="1283"/>
      </w:pPr>
      <w:r>
        <w:rPr>
          <w:rFonts w:cs="Avenir Next"/>
          <w:spacing w:val="-4"/>
        </w:rPr>
        <w:t>Part</w:t>
      </w:r>
      <w:r>
        <w:rPr>
          <w:rFonts w:cs="Avenir Next"/>
        </w:rPr>
        <w:t xml:space="preserve"> B sets out the </w:t>
      </w:r>
      <w:r>
        <w:rPr>
          <w:rFonts w:cs="Avenir Next"/>
          <w:spacing w:val="-1"/>
        </w:rPr>
        <w:t>regulated</w:t>
      </w:r>
      <w:r>
        <w:rPr>
          <w:rFonts w:cs="Avenir Next"/>
        </w:rPr>
        <w:t xml:space="preserve"> services,</w:t>
      </w:r>
      <w:r>
        <w:rPr>
          <w:rFonts w:cs="Avenir Next"/>
          <w:spacing w:val="-7"/>
        </w:rPr>
        <w:t xml:space="preserve"> </w:t>
      </w:r>
      <w:r>
        <w:rPr>
          <w:rFonts w:cs="Avenir Next"/>
          <w:spacing w:val="-1"/>
        </w:rPr>
        <w:t>associated</w:t>
      </w:r>
      <w:r>
        <w:rPr>
          <w:rFonts w:cs="Avenir Next"/>
        </w:rPr>
        <w:t xml:space="preserve"> price </w:t>
      </w:r>
      <w:r>
        <w:rPr>
          <w:rFonts w:cs="Avenir Next"/>
          <w:spacing w:val="-1"/>
        </w:rPr>
        <w:t>controls</w:t>
      </w:r>
      <w:r>
        <w:rPr>
          <w:rFonts w:cs="Avenir Next"/>
        </w:rPr>
        <w:t xml:space="preserve"> and the maximum prices to be </w:t>
      </w:r>
      <w:r>
        <w:rPr>
          <w:rFonts w:cs="Avenir Next"/>
          <w:spacing w:val="-1"/>
        </w:rPr>
        <w:t>charged</w:t>
      </w:r>
      <w:r>
        <w:rPr>
          <w:rFonts w:cs="Avenir Next"/>
          <w:spacing w:val="39"/>
        </w:rPr>
        <w:t xml:space="preserve"> </w:t>
      </w:r>
      <w:r>
        <w:t>for</w:t>
      </w:r>
      <w:r>
        <w:rPr>
          <w:spacing w:val="-4"/>
        </w:rPr>
        <w:t xml:space="preserve"> </w:t>
      </w:r>
      <w:r>
        <w:rPr>
          <w:spacing w:val="-2"/>
        </w:rPr>
        <w:t>ACTEW’s</w:t>
      </w:r>
      <w:r>
        <w:t xml:space="preserve"> </w:t>
      </w:r>
      <w:r>
        <w:rPr>
          <w:spacing w:val="-1"/>
        </w:rPr>
        <w:t>water</w:t>
      </w:r>
      <w:r>
        <w:t xml:space="preserve"> and </w:t>
      </w:r>
      <w:r>
        <w:rPr>
          <w:spacing w:val="-1"/>
        </w:rPr>
        <w:t>sewerage</w:t>
      </w:r>
      <w:r>
        <w:t xml:space="preserve"> services and miscellaneous services.</w:t>
      </w:r>
    </w:p>
    <w:p w:rsidR="00D96B91" w:rsidRDefault="00C2656B">
      <w:pPr>
        <w:pStyle w:val="BodyText"/>
        <w:spacing w:before="170" w:line="260" w:lineRule="exact"/>
        <w:ind w:right="1548"/>
      </w:pPr>
      <w:r>
        <w:rPr>
          <w:spacing w:val="-4"/>
        </w:rPr>
        <w:t>Part</w:t>
      </w:r>
      <w:r>
        <w:t xml:space="preserve"> C sets out how the maximum prices will change over the </w:t>
      </w:r>
      <w:r>
        <w:rPr>
          <w:spacing w:val="-1"/>
        </w:rPr>
        <w:t>regulatory</w:t>
      </w:r>
      <w:r>
        <w:t xml:space="preserve"> period and the </w:t>
      </w:r>
      <w:r>
        <w:rPr>
          <w:spacing w:val="-1"/>
        </w:rPr>
        <w:t>process</w:t>
      </w:r>
      <w:r>
        <w:t xml:space="preserve"> for</w:t>
      </w:r>
      <w:r>
        <w:rPr>
          <w:spacing w:val="29"/>
        </w:rPr>
        <w:t xml:space="preserve"> </w:t>
      </w:r>
      <w:r>
        <w:rPr>
          <w:spacing w:val="-1"/>
        </w:rPr>
        <w:t>approving</w:t>
      </w:r>
      <w:r>
        <w:t xml:space="preserve"> those changes.</w:t>
      </w:r>
    </w:p>
    <w:p w:rsidR="00D96B91" w:rsidRDefault="00C2656B">
      <w:pPr>
        <w:pStyle w:val="BodyText"/>
        <w:spacing w:before="170" w:line="260" w:lineRule="exact"/>
        <w:ind w:right="1283"/>
      </w:pPr>
      <w:r>
        <w:rPr>
          <w:spacing w:val="-4"/>
        </w:rPr>
        <w:t>Part</w:t>
      </w:r>
      <w:r>
        <w:t xml:space="preserve"> D sets out additional </w:t>
      </w:r>
      <w:r>
        <w:rPr>
          <w:spacing w:val="-1"/>
        </w:rPr>
        <w:t>provisions</w:t>
      </w:r>
      <w:r>
        <w:t xml:space="preserve"> </w:t>
      </w:r>
      <w:r>
        <w:rPr>
          <w:spacing w:val="-1"/>
        </w:rPr>
        <w:t>that</w:t>
      </w:r>
      <w:r>
        <w:t xml:space="preserve"> the</w:t>
      </w:r>
      <w:r>
        <w:rPr>
          <w:spacing w:val="-4"/>
        </w:rPr>
        <w:t xml:space="preserve"> </w:t>
      </w:r>
      <w:r>
        <w:t xml:space="preserve">Act </w:t>
      </w:r>
      <w:r>
        <w:rPr>
          <w:spacing w:val="-1"/>
        </w:rPr>
        <w:t>requires</w:t>
      </w:r>
      <w:r>
        <w:t xml:space="preserve"> or permits the </w:t>
      </w:r>
      <w:r>
        <w:rPr>
          <w:spacing w:val="-3"/>
        </w:rPr>
        <w:t>Panel</w:t>
      </w:r>
      <w:r>
        <w:t xml:space="preserve"> to </w:t>
      </w:r>
      <w:r>
        <w:rPr>
          <w:spacing w:val="-1"/>
        </w:rPr>
        <w:t>provide</w:t>
      </w:r>
      <w:r>
        <w:t xml:space="preserve"> for in the </w:t>
      </w:r>
      <w:r>
        <w:rPr>
          <w:spacing w:val="-2"/>
        </w:rPr>
        <w:t>Price</w:t>
      </w:r>
      <w:r>
        <w:rPr>
          <w:spacing w:val="27"/>
        </w:rPr>
        <w:t xml:space="preserve"> </w:t>
      </w:r>
      <w:r>
        <w:rPr>
          <w:spacing w:val="-1"/>
        </w:rPr>
        <w:t>Direction.</w:t>
      </w:r>
    </w:p>
    <w:p w:rsidR="00D96B91" w:rsidRDefault="00D96B91">
      <w:pPr>
        <w:spacing w:line="260" w:lineRule="exact"/>
        <w:sectPr w:rsidR="00D96B91">
          <w:footerReference w:type="even" r:id="rId151"/>
          <w:footerReference w:type="default" r:id="rId152"/>
          <w:pgSz w:w="11910" w:h="16840"/>
          <w:pgMar w:top="1240" w:right="0" w:bottom="1020" w:left="0" w:header="0" w:footer="829" w:gutter="0"/>
          <w:pgNumType w:start="1"/>
          <w:cols w:space="720"/>
        </w:sectPr>
      </w:pPr>
    </w:p>
    <w:p w:rsidR="00D96B91" w:rsidRDefault="00C2656B">
      <w:pPr>
        <w:pStyle w:val="Heading1"/>
        <w:tabs>
          <w:tab w:val="left" w:pos="2687"/>
        </w:tabs>
        <w:spacing w:line="516" w:lineRule="exact"/>
      </w:pPr>
      <w:bookmarkStart w:id="249" w:name="Part_A_Preliminary"/>
      <w:bookmarkStart w:id="250" w:name="2._The_regulatory_period_"/>
      <w:bookmarkStart w:id="251" w:name="3._Section_20(2)_of_the_Act"/>
      <w:bookmarkStart w:id="252" w:name="4._Notes_"/>
      <w:bookmarkStart w:id="253" w:name="_bookmark158"/>
      <w:bookmarkEnd w:id="249"/>
      <w:bookmarkEnd w:id="250"/>
      <w:bookmarkEnd w:id="251"/>
      <w:bookmarkEnd w:id="252"/>
      <w:bookmarkEnd w:id="253"/>
      <w:r>
        <w:rPr>
          <w:color w:val="0778BE"/>
          <w:spacing w:val="-7"/>
        </w:rPr>
        <w:t>Part</w:t>
      </w:r>
      <w:r>
        <w:rPr>
          <w:color w:val="0778BE"/>
          <w:spacing w:val="-8"/>
        </w:rPr>
        <w:t xml:space="preserve"> </w:t>
      </w:r>
      <w:r>
        <w:rPr>
          <w:color w:val="0778BE"/>
        </w:rPr>
        <w:t>A</w:t>
      </w:r>
      <w:r>
        <w:rPr>
          <w:color w:val="0778BE"/>
        </w:rPr>
        <w:tab/>
      </w:r>
      <w:r>
        <w:rPr>
          <w:color w:val="0778BE"/>
          <w:spacing w:val="-3"/>
        </w:rPr>
        <w:t>Preliminary</w:t>
      </w:r>
    </w:p>
    <w:p w:rsidR="00D96B91" w:rsidRDefault="00D96B91">
      <w:pPr>
        <w:spacing w:before="10"/>
        <w:rPr>
          <w:rFonts w:ascii="Avenir Next Medium" w:eastAsia="Avenir Next Medium" w:hAnsi="Avenir Next Medium" w:cs="Avenir Next Medium"/>
          <w:sz w:val="35"/>
          <w:szCs w:val="35"/>
        </w:rPr>
      </w:pPr>
    </w:p>
    <w:p w:rsidR="00D96B91" w:rsidRDefault="00C2656B">
      <w:pPr>
        <w:pStyle w:val="Heading2"/>
        <w:numPr>
          <w:ilvl w:val="0"/>
          <w:numId w:val="16"/>
        </w:numPr>
        <w:tabs>
          <w:tab w:val="left" w:pos="1815"/>
        </w:tabs>
        <w:rPr>
          <w:b w:val="0"/>
          <w:bCs w:val="0"/>
        </w:rPr>
      </w:pPr>
      <w:r>
        <w:rPr>
          <w:color w:val="0778BE"/>
          <w:spacing w:val="-3"/>
        </w:rPr>
        <w:t>T</w:t>
      </w:r>
      <w:bookmarkStart w:id="254" w:name="_bookmark159"/>
      <w:bookmarkEnd w:id="254"/>
      <w:r>
        <w:rPr>
          <w:color w:val="0778BE"/>
          <w:spacing w:val="-3"/>
        </w:rPr>
        <w:t>he</w:t>
      </w:r>
      <w:r>
        <w:rPr>
          <w:color w:val="0778BE"/>
        </w:rPr>
        <w:t xml:space="preserve"> </w:t>
      </w:r>
      <w:r>
        <w:rPr>
          <w:color w:val="0778BE"/>
          <w:spacing w:val="-2"/>
        </w:rPr>
        <w:t>regulatory</w:t>
      </w:r>
      <w:r>
        <w:rPr>
          <w:color w:val="0778BE"/>
        </w:rPr>
        <w:t xml:space="preserve"> period</w:t>
      </w:r>
    </w:p>
    <w:p w:rsidR="00D96B91" w:rsidRDefault="00C2656B">
      <w:pPr>
        <w:pStyle w:val="BodyText"/>
        <w:spacing w:before="154" w:line="260" w:lineRule="exact"/>
        <w:ind w:right="1548"/>
      </w:pPr>
      <w:r>
        <w:rPr>
          <w:spacing w:val="-2"/>
        </w:rPr>
        <w:t>The</w:t>
      </w:r>
      <w:r>
        <w:t xml:space="preserve"> </w:t>
      </w:r>
      <w:r>
        <w:rPr>
          <w:spacing w:val="-2"/>
        </w:rPr>
        <w:t>Price</w:t>
      </w:r>
      <w:r>
        <w:t xml:space="preserve"> </w:t>
      </w:r>
      <w:r>
        <w:rPr>
          <w:spacing w:val="-1"/>
        </w:rPr>
        <w:t>Direction</w:t>
      </w:r>
      <w:r>
        <w:t xml:space="preserve"> determines,</w:t>
      </w:r>
      <w:r>
        <w:rPr>
          <w:spacing w:val="-6"/>
        </w:rPr>
        <w:t xml:space="preserve"> </w:t>
      </w:r>
      <w:r>
        <w:t xml:space="preserve">within the </w:t>
      </w:r>
      <w:r>
        <w:rPr>
          <w:spacing w:val="-1"/>
        </w:rPr>
        <w:t>meaning</w:t>
      </w:r>
      <w:r>
        <w:t xml:space="preserve"> of</w:t>
      </w:r>
      <w:r>
        <w:rPr>
          <w:spacing w:val="4"/>
        </w:rPr>
        <w:t xml:space="preserve"> </w:t>
      </w:r>
      <w:r>
        <w:t>the</w:t>
      </w:r>
      <w:r>
        <w:rPr>
          <w:spacing w:val="-4"/>
        </w:rPr>
        <w:t xml:space="preserve"> </w:t>
      </w:r>
      <w:r>
        <w:t>Act,</w:t>
      </w:r>
      <w:r>
        <w:rPr>
          <w:spacing w:val="-6"/>
        </w:rPr>
        <w:t xml:space="preserve"> </w:t>
      </w:r>
      <w:r>
        <w:t>maximum prices for the period 1</w:t>
      </w:r>
      <w:r>
        <w:rPr>
          <w:spacing w:val="-3"/>
        </w:rPr>
        <w:t xml:space="preserve"> </w:t>
      </w:r>
      <w:r>
        <w:t>July</w:t>
      </w:r>
      <w:r>
        <w:rPr>
          <w:spacing w:val="25"/>
        </w:rPr>
        <w:t xml:space="preserve"> </w:t>
      </w:r>
      <w:r>
        <w:t>2013 to 30</w:t>
      </w:r>
      <w:r>
        <w:rPr>
          <w:spacing w:val="-3"/>
        </w:rPr>
        <w:t xml:space="preserve"> </w:t>
      </w:r>
      <w:r>
        <w:t>June 2018.</w:t>
      </w:r>
    </w:p>
    <w:p w:rsidR="00D96B91" w:rsidRDefault="00D96B91">
      <w:pPr>
        <w:spacing w:before="13"/>
        <w:rPr>
          <w:rFonts w:ascii="Avenir Next" w:eastAsia="Avenir Next" w:hAnsi="Avenir Next" w:cs="Avenir Next"/>
          <w:sz w:val="21"/>
          <w:szCs w:val="21"/>
        </w:rPr>
      </w:pPr>
    </w:p>
    <w:p w:rsidR="00D96B91" w:rsidRDefault="00C2656B">
      <w:pPr>
        <w:pStyle w:val="Heading2"/>
        <w:numPr>
          <w:ilvl w:val="0"/>
          <w:numId w:val="16"/>
        </w:numPr>
        <w:tabs>
          <w:tab w:val="left" w:pos="1815"/>
        </w:tabs>
        <w:rPr>
          <w:b w:val="0"/>
          <w:bCs w:val="0"/>
        </w:rPr>
      </w:pPr>
      <w:r>
        <w:rPr>
          <w:color w:val="0778BE"/>
        </w:rPr>
        <w:t>Section 20(2) of</w:t>
      </w:r>
      <w:r>
        <w:rPr>
          <w:color w:val="0778BE"/>
          <w:spacing w:val="8"/>
        </w:rPr>
        <w:t xml:space="preserve"> </w:t>
      </w:r>
      <w:r>
        <w:rPr>
          <w:color w:val="0778BE"/>
        </w:rPr>
        <w:t>the</w:t>
      </w:r>
      <w:r>
        <w:rPr>
          <w:color w:val="0778BE"/>
          <w:spacing w:val="-7"/>
        </w:rPr>
        <w:t xml:space="preserve"> </w:t>
      </w:r>
      <w:r>
        <w:rPr>
          <w:color w:val="0778BE"/>
        </w:rPr>
        <w:t>Act</w:t>
      </w:r>
    </w:p>
    <w:p w:rsidR="00D96B91" w:rsidRDefault="00C2656B">
      <w:pPr>
        <w:pStyle w:val="BodyText"/>
        <w:spacing w:before="154" w:line="260" w:lineRule="exact"/>
        <w:ind w:right="1283"/>
      </w:pPr>
      <w:r>
        <w:t>By section 20(4) of</w:t>
      </w:r>
      <w:r>
        <w:rPr>
          <w:spacing w:val="4"/>
        </w:rPr>
        <w:t xml:space="preserve"> </w:t>
      </w:r>
      <w:r>
        <w:t>the</w:t>
      </w:r>
      <w:r>
        <w:rPr>
          <w:spacing w:val="-4"/>
        </w:rPr>
        <w:t xml:space="preserve"> </w:t>
      </w:r>
      <w:r>
        <w:t xml:space="preserve">Act the </w:t>
      </w:r>
      <w:r>
        <w:rPr>
          <w:spacing w:val="-3"/>
        </w:rPr>
        <w:t>Panel</w:t>
      </w:r>
      <w:r>
        <w:t xml:space="preserve"> is obliged to </w:t>
      </w:r>
      <w:r>
        <w:rPr>
          <w:spacing w:val="-1"/>
        </w:rPr>
        <w:t>indicate</w:t>
      </w:r>
      <w:r>
        <w:t xml:space="preserve"> the </w:t>
      </w:r>
      <w:r>
        <w:rPr>
          <w:spacing w:val="-1"/>
        </w:rPr>
        <w:t>extent</w:t>
      </w:r>
      <w:r>
        <w:t xml:space="preserve"> to which it has had </w:t>
      </w:r>
      <w:r>
        <w:rPr>
          <w:spacing w:val="-2"/>
        </w:rPr>
        <w:t>regard</w:t>
      </w:r>
      <w:r>
        <w:t xml:space="preserve"> to the</w:t>
      </w:r>
      <w:r>
        <w:rPr>
          <w:spacing w:val="35"/>
        </w:rPr>
        <w:t xml:space="preserve"> </w:t>
      </w:r>
      <w:r>
        <w:rPr>
          <w:spacing w:val="-1"/>
        </w:rPr>
        <w:t>matters</w:t>
      </w:r>
      <w:r>
        <w:t xml:space="preserve"> </w:t>
      </w:r>
      <w:r>
        <w:rPr>
          <w:spacing w:val="-1"/>
        </w:rPr>
        <w:t>referred</w:t>
      </w:r>
      <w:r>
        <w:t xml:space="preserve"> to in Section 20(2) of</w:t>
      </w:r>
      <w:r>
        <w:rPr>
          <w:spacing w:val="4"/>
        </w:rPr>
        <w:t xml:space="preserve"> </w:t>
      </w:r>
      <w:r>
        <w:t>the</w:t>
      </w:r>
      <w:r>
        <w:rPr>
          <w:spacing w:val="-4"/>
        </w:rPr>
        <w:t xml:space="preserve"> </w:t>
      </w:r>
      <w:r>
        <w:t>Act.</w:t>
      </w:r>
      <w:r>
        <w:rPr>
          <w:spacing w:val="-10"/>
        </w:rPr>
        <w:t xml:space="preserve"> </w:t>
      </w:r>
      <w:r>
        <w:rPr>
          <w:spacing w:val="-1"/>
        </w:rPr>
        <w:t>Attachment</w:t>
      </w:r>
      <w:r>
        <w:t xml:space="preserve"> 1 is </w:t>
      </w:r>
      <w:r>
        <w:rPr>
          <w:spacing w:val="-1"/>
        </w:rPr>
        <w:t>provided</w:t>
      </w:r>
      <w:r>
        <w:t xml:space="preserve"> in compliance with section</w:t>
      </w:r>
      <w:r>
        <w:rPr>
          <w:spacing w:val="27"/>
        </w:rPr>
        <w:t xml:space="preserve"> </w:t>
      </w:r>
      <w:r>
        <w:t>20(4) of</w:t>
      </w:r>
      <w:r>
        <w:rPr>
          <w:spacing w:val="4"/>
        </w:rPr>
        <w:t xml:space="preserve"> </w:t>
      </w:r>
      <w:r>
        <w:t>the</w:t>
      </w:r>
      <w:r>
        <w:rPr>
          <w:spacing w:val="-4"/>
        </w:rPr>
        <w:t xml:space="preserve"> </w:t>
      </w:r>
      <w:r>
        <w:t>Act.</w:t>
      </w:r>
    </w:p>
    <w:p w:rsidR="00D96B91" w:rsidRDefault="00D96B91">
      <w:pPr>
        <w:spacing w:before="13"/>
        <w:rPr>
          <w:rFonts w:ascii="Avenir Next" w:eastAsia="Avenir Next" w:hAnsi="Avenir Next" w:cs="Avenir Next"/>
          <w:sz w:val="21"/>
          <w:szCs w:val="21"/>
        </w:rPr>
      </w:pPr>
    </w:p>
    <w:p w:rsidR="00D96B91" w:rsidRDefault="00C2656B">
      <w:pPr>
        <w:pStyle w:val="Heading2"/>
        <w:numPr>
          <w:ilvl w:val="0"/>
          <w:numId w:val="16"/>
        </w:numPr>
        <w:tabs>
          <w:tab w:val="left" w:pos="1815"/>
        </w:tabs>
        <w:rPr>
          <w:b w:val="0"/>
          <w:bCs w:val="0"/>
        </w:rPr>
      </w:pPr>
      <w:r>
        <w:rPr>
          <w:color w:val="0778BE"/>
        </w:rPr>
        <w:t>Notes</w:t>
      </w:r>
    </w:p>
    <w:p w:rsidR="00D96B91" w:rsidRDefault="00C2656B">
      <w:pPr>
        <w:spacing w:before="275"/>
        <w:ind w:left="1247"/>
        <w:rPr>
          <w:rFonts w:ascii="Avenir Next" w:eastAsia="Avenir Next" w:hAnsi="Avenir Next" w:cs="Avenir Next"/>
          <w:sz w:val="20"/>
          <w:szCs w:val="20"/>
        </w:rPr>
      </w:pPr>
      <w:r>
        <w:rPr>
          <w:rFonts w:ascii="Avenir Next"/>
          <w:b/>
          <w:i/>
          <w:sz w:val="20"/>
        </w:rPr>
        <w:t>Annualised cost</w:t>
      </w:r>
    </w:p>
    <w:p w:rsidR="00D96B91" w:rsidRDefault="00C2656B">
      <w:pPr>
        <w:pStyle w:val="BodyText"/>
        <w:spacing w:before="92" w:line="260" w:lineRule="exact"/>
        <w:ind w:right="1256"/>
      </w:pPr>
      <w:r>
        <w:rPr>
          <w:spacing w:val="-1"/>
        </w:rPr>
        <w:t>Where</w:t>
      </w:r>
      <w:r>
        <w:t xml:space="preserve"> the </w:t>
      </w:r>
      <w:r>
        <w:rPr>
          <w:spacing w:val="-2"/>
        </w:rPr>
        <w:t>Price</w:t>
      </w:r>
      <w:r>
        <w:t xml:space="preserve"> </w:t>
      </w:r>
      <w:r>
        <w:rPr>
          <w:spacing w:val="-1"/>
        </w:rPr>
        <w:t>Direction</w:t>
      </w:r>
      <w:r>
        <w:t xml:space="preserve"> </w:t>
      </w:r>
      <w:r>
        <w:rPr>
          <w:spacing w:val="-1"/>
        </w:rPr>
        <w:t>refers</w:t>
      </w:r>
      <w:r>
        <w:t xml:space="preserve"> to an annualised cost,</w:t>
      </w:r>
      <w:r>
        <w:rPr>
          <w:spacing w:val="-7"/>
        </w:rPr>
        <w:t xml:space="preserve"> </w:t>
      </w:r>
      <w:r>
        <w:t xml:space="preserve">the annualised cost in any one </w:t>
      </w:r>
      <w:r>
        <w:rPr>
          <w:spacing w:val="-1"/>
        </w:rPr>
        <w:t>year</w:t>
      </w:r>
      <w:r>
        <w:t xml:space="preserve"> is equal to</w:t>
      </w:r>
      <w:r>
        <w:rPr>
          <w:spacing w:val="21"/>
        </w:rPr>
        <w:t xml:space="preserve"> </w:t>
      </w:r>
      <w:r>
        <w:t>the amount of</w:t>
      </w:r>
      <w:r>
        <w:rPr>
          <w:spacing w:val="4"/>
        </w:rPr>
        <w:t xml:space="preserve"> </w:t>
      </w:r>
      <w:r>
        <w:t xml:space="preserve">additional </w:t>
      </w:r>
      <w:r>
        <w:rPr>
          <w:spacing w:val="-1"/>
        </w:rPr>
        <w:t>operating</w:t>
      </w:r>
      <w:r>
        <w:t xml:space="preserve"> </w:t>
      </w:r>
      <w:r>
        <w:rPr>
          <w:spacing w:val="-1"/>
        </w:rPr>
        <w:t>expenditure</w:t>
      </w:r>
      <w:r>
        <w:t xml:space="preserve"> </w:t>
      </w:r>
      <w:r>
        <w:rPr>
          <w:spacing w:val="-1"/>
        </w:rPr>
        <w:t>incurred</w:t>
      </w:r>
      <w:r>
        <w:t xml:space="preserve"> in </w:t>
      </w:r>
      <w:r>
        <w:rPr>
          <w:spacing w:val="-1"/>
        </w:rPr>
        <w:t>that</w:t>
      </w:r>
      <w:r>
        <w:t xml:space="preserve"> </w:t>
      </w:r>
      <w:r>
        <w:rPr>
          <w:spacing w:val="-1"/>
        </w:rPr>
        <w:t>year</w:t>
      </w:r>
      <w:r>
        <w:t xml:space="preserve"> plus 15% of</w:t>
      </w:r>
      <w:r>
        <w:rPr>
          <w:spacing w:val="4"/>
        </w:rPr>
        <w:t xml:space="preserve"> </w:t>
      </w:r>
      <w:r>
        <w:t>the additional capital</w:t>
      </w:r>
      <w:r>
        <w:rPr>
          <w:spacing w:val="35"/>
        </w:rPr>
        <w:t xml:space="preserve"> </w:t>
      </w:r>
      <w:r>
        <w:rPr>
          <w:spacing w:val="-1"/>
        </w:rPr>
        <w:t>expenditure</w:t>
      </w:r>
      <w:r>
        <w:t xml:space="preserve"> </w:t>
      </w:r>
      <w:r>
        <w:rPr>
          <w:spacing w:val="-1"/>
        </w:rPr>
        <w:t>incurred</w:t>
      </w:r>
      <w:r>
        <w:t xml:space="preserve"> in </w:t>
      </w:r>
      <w:r>
        <w:rPr>
          <w:spacing w:val="-1"/>
        </w:rPr>
        <w:t>that</w:t>
      </w:r>
      <w:r>
        <w:t xml:space="preserve"> </w:t>
      </w:r>
      <w:r>
        <w:rPr>
          <w:spacing w:val="-3"/>
        </w:rPr>
        <w:t>year.</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z w:val="20"/>
        </w:rPr>
        <w:t>Business days</w:t>
      </w:r>
    </w:p>
    <w:p w:rsidR="00D96B91" w:rsidRDefault="00C2656B">
      <w:pPr>
        <w:pStyle w:val="BodyText"/>
        <w:spacing w:before="100"/>
      </w:pPr>
      <w:r>
        <w:t xml:space="preserve">Business days </w:t>
      </w:r>
      <w:r>
        <w:rPr>
          <w:spacing w:val="-2"/>
        </w:rPr>
        <w:t>are</w:t>
      </w:r>
      <w:r>
        <w:t xml:space="preserve"> all days other than </w:t>
      </w:r>
      <w:r>
        <w:rPr>
          <w:spacing w:val="-2"/>
        </w:rPr>
        <w:t>Saturday,</w:t>
      </w:r>
      <w:r>
        <w:rPr>
          <w:spacing w:val="-6"/>
        </w:rPr>
        <w:t xml:space="preserve"> </w:t>
      </w:r>
      <w:r>
        <w:t>Sunday and</w:t>
      </w:r>
      <w:r>
        <w:rPr>
          <w:spacing w:val="-4"/>
        </w:rPr>
        <w:t xml:space="preserve"> </w:t>
      </w:r>
      <w:r>
        <w:rPr>
          <w:spacing w:val="-2"/>
        </w:rPr>
        <w:t>ACT</w:t>
      </w:r>
      <w:r>
        <w:rPr>
          <w:spacing w:val="-5"/>
        </w:rPr>
        <w:t xml:space="preserve"> </w:t>
      </w:r>
      <w:r>
        <w:t>public holidays.</w:t>
      </w:r>
    </w:p>
    <w:p w:rsidR="00D96B91" w:rsidRDefault="00C2656B">
      <w:pPr>
        <w:pStyle w:val="BodyText"/>
        <w:spacing w:before="149" w:line="260" w:lineRule="exact"/>
        <w:ind w:right="1408"/>
        <w:jc w:val="both"/>
      </w:pPr>
      <w:r>
        <w:rPr>
          <w:spacing w:val="-1"/>
        </w:rPr>
        <w:t xml:space="preserve">Dates </w:t>
      </w:r>
      <w:r>
        <w:t>in</w:t>
      </w:r>
      <w:r>
        <w:rPr>
          <w:spacing w:val="-1"/>
        </w:rPr>
        <w:t xml:space="preserve"> </w:t>
      </w:r>
      <w:r>
        <w:t xml:space="preserve">the </w:t>
      </w:r>
      <w:r>
        <w:rPr>
          <w:spacing w:val="-2"/>
        </w:rPr>
        <w:t>Price</w:t>
      </w:r>
      <w:r>
        <w:rPr>
          <w:spacing w:val="-1"/>
        </w:rPr>
        <w:t xml:space="preserve"> Direction</w:t>
      </w:r>
      <w:r>
        <w:t xml:space="preserve"> </w:t>
      </w:r>
      <w:r>
        <w:rPr>
          <w:spacing w:val="-1"/>
        </w:rPr>
        <w:t xml:space="preserve">that </w:t>
      </w:r>
      <w:r>
        <w:rPr>
          <w:spacing w:val="-2"/>
        </w:rPr>
        <w:t>require</w:t>
      </w:r>
      <w:r>
        <w:t xml:space="preserve"> a</w:t>
      </w:r>
      <w:r>
        <w:rPr>
          <w:spacing w:val="-1"/>
        </w:rPr>
        <w:t xml:space="preserve"> </w:t>
      </w:r>
      <w:r>
        <w:t>specified</w:t>
      </w:r>
      <w:r>
        <w:rPr>
          <w:spacing w:val="-1"/>
        </w:rPr>
        <w:t xml:space="preserve"> </w:t>
      </w:r>
      <w:r>
        <w:t>action (for</w:t>
      </w:r>
      <w:r>
        <w:rPr>
          <w:spacing w:val="-1"/>
        </w:rPr>
        <w:t xml:space="preserve"> example,</w:t>
      </w:r>
      <w:r>
        <w:rPr>
          <w:spacing w:val="-10"/>
        </w:rPr>
        <w:t xml:space="preserve"> </w:t>
      </w:r>
      <w:r>
        <w:rPr>
          <w:spacing w:val="-2"/>
        </w:rPr>
        <w:t>ACTEW</w:t>
      </w:r>
      <w:r>
        <w:rPr>
          <w:spacing w:val="-4"/>
        </w:rPr>
        <w:t xml:space="preserve"> </w:t>
      </w:r>
      <w:r>
        <w:rPr>
          <w:spacing w:val="-1"/>
        </w:rPr>
        <w:t>providing</w:t>
      </w:r>
      <w:r>
        <w:t xml:space="preserve"> </w:t>
      </w:r>
      <w:r>
        <w:rPr>
          <w:spacing w:val="-1"/>
        </w:rPr>
        <w:t>information</w:t>
      </w:r>
      <w:r>
        <w:rPr>
          <w:spacing w:val="81"/>
        </w:rPr>
        <w:t xml:space="preserve"> </w:t>
      </w:r>
      <w:r>
        <w:t>to</w:t>
      </w:r>
      <w:r>
        <w:rPr>
          <w:spacing w:val="-1"/>
        </w:rPr>
        <w:t xml:space="preserve"> </w:t>
      </w:r>
      <w:r>
        <w:t xml:space="preserve">the </w:t>
      </w:r>
      <w:r>
        <w:rPr>
          <w:spacing w:val="-1"/>
        </w:rPr>
        <w:t>Commission</w:t>
      </w:r>
      <w:r>
        <w:t xml:space="preserve"> on 30 November) </w:t>
      </w:r>
      <w:r>
        <w:rPr>
          <w:spacing w:val="-1"/>
        </w:rPr>
        <w:t xml:space="preserve">that </w:t>
      </w:r>
      <w:r>
        <w:t>fall on a non-business day will</w:t>
      </w:r>
      <w:r>
        <w:rPr>
          <w:spacing w:val="-1"/>
        </w:rPr>
        <w:t xml:space="preserve"> </w:t>
      </w:r>
      <w:r>
        <w:t>be deemed to fall on the</w:t>
      </w:r>
      <w:r>
        <w:rPr>
          <w:spacing w:val="-1"/>
        </w:rPr>
        <w:t xml:space="preserve"> </w:t>
      </w:r>
      <w:r>
        <w:t>first</w:t>
      </w:r>
      <w:r>
        <w:rPr>
          <w:spacing w:val="29"/>
          <w:w w:val="99"/>
        </w:rPr>
        <w:t xml:space="preserve"> </w:t>
      </w:r>
      <w:r>
        <w:t xml:space="preserve">business day following the non-business </w:t>
      </w:r>
      <w:r>
        <w:rPr>
          <w:spacing w:val="-2"/>
        </w:rPr>
        <w:t>day.</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pacing w:val="-1"/>
          <w:sz w:val="20"/>
        </w:rPr>
        <w:t>Commission</w:t>
      </w:r>
    </w:p>
    <w:p w:rsidR="00D96B91" w:rsidRDefault="00C2656B">
      <w:pPr>
        <w:pStyle w:val="BodyText"/>
        <w:spacing w:before="92" w:line="260" w:lineRule="exact"/>
        <w:ind w:right="1256"/>
      </w:pPr>
      <w:r>
        <w:rPr>
          <w:spacing w:val="-1"/>
        </w:rPr>
        <w:t>References</w:t>
      </w:r>
      <w:r>
        <w:t xml:space="preserve"> to the </w:t>
      </w:r>
      <w:r>
        <w:rPr>
          <w:spacing w:val="-1"/>
        </w:rPr>
        <w:t>Commission</w:t>
      </w:r>
      <w:r>
        <w:t xml:space="preserve"> </w:t>
      </w:r>
      <w:r>
        <w:rPr>
          <w:spacing w:val="-2"/>
        </w:rPr>
        <w:t>are</w:t>
      </w:r>
      <w:r>
        <w:t xml:space="preserve"> to the Independent </w:t>
      </w:r>
      <w:r>
        <w:rPr>
          <w:spacing w:val="-1"/>
        </w:rPr>
        <w:t>Competition</w:t>
      </w:r>
      <w:r>
        <w:t xml:space="preserve"> and </w:t>
      </w:r>
      <w:r>
        <w:rPr>
          <w:spacing w:val="-1"/>
        </w:rPr>
        <w:t>Regulatory</w:t>
      </w:r>
      <w:r>
        <w:t xml:space="preserve"> </w:t>
      </w:r>
      <w:r>
        <w:rPr>
          <w:spacing w:val="-1"/>
        </w:rPr>
        <w:t>Commission</w:t>
      </w:r>
      <w:r>
        <w:t xml:space="preserve"> of</w:t>
      </w:r>
      <w:r>
        <w:rPr>
          <w:spacing w:val="4"/>
        </w:rPr>
        <w:t xml:space="preserve"> </w:t>
      </w:r>
      <w:r>
        <w:t>the</w:t>
      </w:r>
      <w:r>
        <w:rPr>
          <w:spacing w:val="65"/>
        </w:rPr>
        <w:t xml:space="preserve"> </w:t>
      </w:r>
      <w:r>
        <w:rPr>
          <w:spacing w:val="-10"/>
        </w:rPr>
        <w:t>ACT.</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z w:val="20"/>
        </w:rPr>
        <w:t>Maximum price</w:t>
      </w:r>
    </w:p>
    <w:p w:rsidR="00D96B91" w:rsidRDefault="00C2656B">
      <w:pPr>
        <w:pStyle w:val="BodyText"/>
        <w:spacing w:before="92" w:line="260" w:lineRule="exact"/>
        <w:ind w:right="1513"/>
      </w:pPr>
      <w:r>
        <w:rPr>
          <w:spacing w:val="-2"/>
        </w:rPr>
        <w:t>The</w:t>
      </w:r>
      <w:r>
        <w:t xml:space="preserve"> term maximum price </w:t>
      </w:r>
      <w:r>
        <w:rPr>
          <w:spacing w:val="-1"/>
        </w:rPr>
        <w:t>refers</w:t>
      </w:r>
      <w:r>
        <w:t xml:space="preserve"> to the highest price which</w:t>
      </w:r>
      <w:r>
        <w:rPr>
          <w:spacing w:val="-4"/>
        </w:rPr>
        <w:t xml:space="preserve"> </w:t>
      </w:r>
      <w:r>
        <w:rPr>
          <w:spacing w:val="-2"/>
        </w:rPr>
        <w:t>ACTEW</w:t>
      </w:r>
      <w:r>
        <w:rPr>
          <w:spacing w:val="-3"/>
        </w:rPr>
        <w:t xml:space="preserve"> </w:t>
      </w:r>
      <w:r>
        <w:t xml:space="preserve">may </w:t>
      </w:r>
      <w:r>
        <w:rPr>
          <w:spacing w:val="-1"/>
        </w:rPr>
        <w:t>charge.</w:t>
      </w:r>
      <w:r>
        <w:rPr>
          <w:spacing w:val="-10"/>
        </w:rPr>
        <w:t xml:space="preserve"> </w:t>
      </w:r>
      <w:r>
        <w:rPr>
          <w:spacing w:val="-2"/>
        </w:rPr>
        <w:t>ACTEW</w:t>
      </w:r>
      <w:r>
        <w:rPr>
          <w:spacing w:val="-3"/>
        </w:rPr>
        <w:t xml:space="preserve"> </w:t>
      </w:r>
      <w:r>
        <w:t xml:space="preserve">may </w:t>
      </w:r>
      <w:r>
        <w:rPr>
          <w:spacing w:val="-1"/>
        </w:rPr>
        <w:t>charge</w:t>
      </w:r>
      <w:r>
        <w:rPr>
          <w:spacing w:val="35"/>
        </w:rPr>
        <w:t xml:space="preserve"> </w:t>
      </w:r>
      <w:r>
        <w:t>less</w:t>
      </w:r>
      <w:r>
        <w:rPr>
          <w:spacing w:val="-2"/>
        </w:rPr>
        <w:t xml:space="preserve"> </w:t>
      </w:r>
      <w:r>
        <w:t>than</w:t>
      </w:r>
      <w:r>
        <w:rPr>
          <w:spacing w:val="-2"/>
        </w:rPr>
        <w:t xml:space="preserve"> </w:t>
      </w:r>
      <w:r>
        <w:t>the</w:t>
      </w:r>
      <w:r>
        <w:rPr>
          <w:spacing w:val="-1"/>
        </w:rPr>
        <w:t xml:space="preserve"> </w:t>
      </w:r>
      <w:r>
        <w:t>specified</w:t>
      </w:r>
      <w:r>
        <w:rPr>
          <w:spacing w:val="-2"/>
        </w:rPr>
        <w:t xml:space="preserve"> </w:t>
      </w:r>
      <w:r>
        <w:t>maximum</w:t>
      </w:r>
      <w:r>
        <w:rPr>
          <w:spacing w:val="-2"/>
        </w:rPr>
        <w:t xml:space="preserve"> </w:t>
      </w:r>
      <w:r>
        <w:t>price.</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z w:val="20"/>
        </w:rPr>
        <w:t>Monetary values</w:t>
      </w:r>
    </w:p>
    <w:p w:rsidR="00D96B91" w:rsidRDefault="00C2656B">
      <w:pPr>
        <w:pStyle w:val="BodyText"/>
        <w:spacing w:before="100"/>
      </w:pPr>
      <w:r>
        <w:t xml:space="preserve">All monetary values in the </w:t>
      </w:r>
      <w:r>
        <w:rPr>
          <w:spacing w:val="-2"/>
        </w:rPr>
        <w:t>Price</w:t>
      </w:r>
      <w:r>
        <w:t xml:space="preserve"> </w:t>
      </w:r>
      <w:r>
        <w:rPr>
          <w:spacing w:val="-1"/>
        </w:rPr>
        <w:t>Direction</w:t>
      </w:r>
      <w:r>
        <w:t xml:space="preserve"> </w:t>
      </w:r>
      <w:r>
        <w:rPr>
          <w:spacing w:val="-2"/>
        </w:rPr>
        <w:t>are</w:t>
      </w:r>
      <w:r>
        <w:t xml:space="preserve"> in</w:t>
      </w:r>
      <w:r>
        <w:rPr>
          <w:spacing w:val="-4"/>
        </w:rPr>
        <w:t xml:space="preserve"> </w:t>
      </w:r>
      <w:r>
        <w:rPr>
          <w:spacing w:val="-1"/>
        </w:rPr>
        <w:t>Australian</w:t>
      </w:r>
      <w:r>
        <w:t xml:space="preserve"> dollars.</w:t>
      </w:r>
    </w:p>
    <w:p w:rsidR="00D96B91" w:rsidRDefault="00C2656B">
      <w:pPr>
        <w:pStyle w:val="BodyText"/>
        <w:spacing w:before="149" w:line="260" w:lineRule="exact"/>
        <w:ind w:right="1283"/>
        <w:rPr>
          <w:rFonts w:cs="Avenir Next"/>
        </w:rPr>
      </w:pPr>
      <w:r>
        <w:rPr>
          <w:spacing w:val="-1"/>
        </w:rPr>
        <w:t>Where</w:t>
      </w:r>
      <w:r>
        <w:t xml:space="preserve"> a monetary value is followed by the term </w:t>
      </w:r>
      <w:r>
        <w:rPr>
          <w:spacing w:val="-2"/>
        </w:rPr>
        <w:t>‘($2012-13)’,</w:t>
      </w:r>
      <w:r>
        <w:rPr>
          <w:spacing w:val="-6"/>
        </w:rPr>
        <w:t xml:space="preserve"> </w:t>
      </w:r>
      <w:r>
        <w:t xml:space="preserve">the value is to be </w:t>
      </w:r>
      <w:r>
        <w:rPr>
          <w:spacing w:val="-1"/>
        </w:rPr>
        <w:t>escalated</w:t>
      </w:r>
      <w:r>
        <w:t xml:space="preserve"> in </w:t>
      </w:r>
      <w:r>
        <w:rPr>
          <w:spacing w:val="-1"/>
        </w:rPr>
        <w:t>accordance</w:t>
      </w:r>
      <w:r>
        <w:rPr>
          <w:spacing w:val="41"/>
        </w:rPr>
        <w:t xml:space="preserve"> </w:t>
      </w:r>
      <w:r>
        <w:rPr>
          <w:rFonts w:cs="Avenir Next"/>
        </w:rPr>
        <w:t>with the following formula:</w:t>
      </w:r>
    </w:p>
    <w:p w:rsidR="00D96B91" w:rsidRDefault="00C2656B">
      <w:pPr>
        <w:pStyle w:val="BodyText"/>
        <w:spacing w:before="178"/>
        <w:rPr>
          <w:rFonts w:cs="Avenir Next"/>
          <w:sz w:val="11"/>
          <w:szCs w:val="11"/>
        </w:rPr>
      </w:pPr>
      <w:r>
        <w:t>EV</w:t>
      </w:r>
      <w:r>
        <w:rPr>
          <w:spacing w:val="-4"/>
        </w:rPr>
        <w:t xml:space="preserve"> </w:t>
      </w:r>
      <w:r>
        <w:t>=</w:t>
      </w:r>
      <w:r>
        <w:rPr>
          <w:spacing w:val="-3"/>
        </w:rPr>
        <w:t xml:space="preserve"> </w:t>
      </w:r>
      <w:r>
        <w:t>V</w:t>
      </w:r>
      <w:r>
        <w:rPr>
          <w:spacing w:val="-3"/>
        </w:rPr>
        <w:t xml:space="preserve"> </w:t>
      </w:r>
      <w:r>
        <w:t>x</w:t>
      </w:r>
      <w:r>
        <w:rPr>
          <w:spacing w:val="1"/>
        </w:rPr>
        <w:t xml:space="preserve"> </w:t>
      </w:r>
      <w:r>
        <w:t>CPI</w:t>
      </w:r>
      <w:r>
        <w:rPr>
          <w:position w:val="-6"/>
          <w:sz w:val="11"/>
        </w:rPr>
        <w:t>e</w:t>
      </w:r>
    </w:p>
    <w:p w:rsidR="00D96B91" w:rsidRDefault="00C2656B">
      <w:pPr>
        <w:pStyle w:val="BodyText"/>
        <w:spacing w:before="120"/>
        <w:rPr>
          <w:rFonts w:cs="Avenir Next"/>
        </w:rPr>
      </w:pPr>
      <w:r>
        <w:rPr>
          <w:spacing w:val="-1"/>
        </w:rPr>
        <w:t>Where:</w:t>
      </w:r>
    </w:p>
    <w:p w:rsidR="00D96B91" w:rsidRDefault="00C2656B">
      <w:pPr>
        <w:pStyle w:val="BodyText"/>
        <w:tabs>
          <w:tab w:val="left" w:pos="1967"/>
        </w:tabs>
        <w:spacing w:before="157"/>
      </w:pPr>
      <w:r>
        <w:t>EV</w:t>
      </w:r>
      <w:r>
        <w:tab/>
        <w:t xml:space="preserve">is the monetary value as </w:t>
      </w:r>
      <w:r>
        <w:rPr>
          <w:spacing w:val="-1"/>
        </w:rPr>
        <w:t>escalated;</w:t>
      </w:r>
    </w:p>
    <w:p w:rsidR="00D96B91" w:rsidRDefault="00D96B91">
      <w:pPr>
        <w:spacing w:before="1"/>
        <w:rPr>
          <w:rFonts w:ascii="Avenir Next" w:eastAsia="Avenir Next" w:hAnsi="Avenir Next" w:cs="Avenir Next"/>
          <w:sz w:val="8"/>
          <w:szCs w:val="8"/>
        </w:rPr>
      </w:pPr>
    </w:p>
    <w:p w:rsidR="00D96B91" w:rsidRDefault="00C2656B">
      <w:pPr>
        <w:pStyle w:val="BodyText"/>
        <w:tabs>
          <w:tab w:val="left" w:pos="1967"/>
        </w:tabs>
        <w:spacing w:before="46"/>
      </w:pPr>
      <w:r>
        <w:t>V</w:t>
      </w:r>
      <w:r>
        <w:tab/>
        <w:t>is</w:t>
      </w:r>
      <w:r>
        <w:rPr>
          <w:spacing w:val="-2"/>
        </w:rPr>
        <w:t xml:space="preserve"> </w:t>
      </w:r>
      <w:r>
        <w:t>the</w:t>
      </w:r>
      <w:r>
        <w:rPr>
          <w:spacing w:val="-1"/>
        </w:rPr>
        <w:t xml:space="preserve"> </w:t>
      </w:r>
      <w:r>
        <w:t>monetary</w:t>
      </w:r>
      <w:r>
        <w:rPr>
          <w:spacing w:val="-1"/>
        </w:rPr>
        <w:t xml:space="preserve"> </w:t>
      </w:r>
      <w:r>
        <w:t>value</w:t>
      </w:r>
      <w:r>
        <w:rPr>
          <w:spacing w:val="-1"/>
        </w:rPr>
        <w:t xml:space="preserve"> </w:t>
      </w:r>
      <w:r>
        <w:t>specified</w:t>
      </w:r>
      <w:r>
        <w:rPr>
          <w:spacing w:val="-1"/>
        </w:rPr>
        <w:t xml:space="preserve"> </w:t>
      </w:r>
      <w:r>
        <w:t>in</w:t>
      </w:r>
      <w:r>
        <w:rPr>
          <w:spacing w:val="-1"/>
        </w:rPr>
        <w:t xml:space="preserve"> </w:t>
      </w:r>
      <w:r>
        <w:t>the</w:t>
      </w:r>
      <w:r>
        <w:rPr>
          <w:spacing w:val="-1"/>
        </w:rPr>
        <w:t xml:space="preserve"> </w:t>
      </w:r>
      <w:r>
        <w:rPr>
          <w:spacing w:val="-2"/>
        </w:rPr>
        <w:t>Price</w:t>
      </w:r>
      <w:r>
        <w:rPr>
          <w:spacing w:val="-1"/>
        </w:rPr>
        <w:t xml:space="preserve"> Direction;</w:t>
      </w:r>
    </w:p>
    <w:p w:rsidR="00D96B91" w:rsidRDefault="00D96B91">
      <w:pPr>
        <w:spacing w:before="1"/>
        <w:rPr>
          <w:rFonts w:ascii="Avenir Next" w:eastAsia="Avenir Next" w:hAnsi="Avenir Next" w:cs="Avenir Next"/>
          <w:sz w:val="8"/>
          <w:szCs w:val="8"/>
        </w:rPr>
      </w:pPr>
    </w:p>
    <w:p w:rsidR="00D96B91" w:rsidRDefault="00C2656B">
      <w:pPr>
        <w:pStyle w:val="BodyText"/>
        <w:tabs>
          <w:tab w:val="left" w:pos="1967"/>
        </w:tabs>
        <w:spacing w:before="46"/>
      </w:pPr>
      <w:r>
        <w:t>CPI</w:t>
      </w:r>
      <w:r>
        <w:rPr>
          <w:position w:val="-6"/>
          <w:sz w:val="11"/>
        </w:rPr>
        <w:t>e</w:t>
      </w:r>
      <w:r>
        <w:rPr>
          <w:position w:val="-6"/>
          <w:sz w:val="11"/>
        </w:rPr>
        <w:tab/>
      </w:r>
      <w:r>
        <w:t xml:space="preserve">is determined in </w:t>
      </w:r>
      <w:r>
        <w:rPr>
          <w:spacing w:val="-1"/>
        </w:rPr>
        <w:t>accordance</w:t>
      </w:r>
      <w:r>
        <w:t xml:space="preserve"> with the following formula:</w:t>
      </w:r>
    </w:p>
    <w:p w:rsidR="00BA391C" w:rsidRDefault="00BA391C">
      <w:pPr>
        <w:pStyle w:val="BodyText"/>
        <w:tabs>
          <w:tab w:val="left" w:pos="1967"/>
        </w:tabs>
        <w:spacing w:before="46"/>
      </w:pPr>
    </w:p>
    <w:p w:rsidR="00BA391C" w:rsidRDefault="00BA391C">
      <w:pPr>
        <w:pStyle w:val="BodyText"/>
        <w:tabs>
          <w:tab w:val="left" w:pos="1967"/>
        </w:tabs>
        <w:spacing w:before="46"/>
      </w:pPr>
    </w:p>
    <w:p w:rsidR="00BA391C" w:rsidRDefault="00BA391C">
      <w:pPr>
        <w:pStyle w:val="BodyText"/>
        <w:tabs>
          <w:tab w:val="left" w:pos="1967"/>
        </w:tabs>
        <w:spacing w:before="46"/>
      </w:pPr>
    </w:p>
    <w:p w:rsidR="00BA391C" w:rsidRDefault="00BA391C">
      <w:pPr>
        <w:pStyle w:val="BodyText"/>
        <w:tabs>
          <w:tab w:val="left" w:pos="1967"/>
        </w:tabs>
        <w:spacing w:before="46"/>
      </w:pPr>
    </w:p>
    <w:p w:rsidR="00BA391C" w:rsidRDefault="00BA391C">
      <w:pPr>
        <w:pStyle w:val="BodyText"/>
        <w:tabs>
          <w:tab w:val="left" w:pos="1967"/>
        </w:tabs>
        <w:spacing w:before="46"/>
        <w:rPr>
          <w:rFonts w:cs="Avenir Next"/>
        </w:rPr>
      </w:pPr>
    </w:p>
    <w:p w:rsidR="00D96B91" w:rsidRDefault="00D96B91">
      <w:pPr>
        <w:rPr>
          <w:rFonts w:ascii="Avenir Next" w:eastAsia="Avenir Next" w:hAnsi="Avenir Next" w:cs="Avenir Next"/>
        </w:rPr>
      </w:pPr>
    </w:p>
    <w:p w:rsidR="00D96B91" w:rsidRDefault="00BA391C" w:rsidP="00BA391C">
      <w:pPr>
        <w:rPr>
          <w:rFonts w:ascii="Cambria" w:eastAsia="Cambria" w:hAnsi="Cambria" w:cs="Cambria"/>
          <w:sz w:val="17"/>
          <w:szCs w:val="17"/>
        </w:rPr>
        <w:sectPr w:rsidR="00D96B91">
          <w:pgSz w:w="11910" w:h="16840"/>
          <w:pgMar w:top="1220" w:right="0" w:bottom="1020" w:left="0" w:header="0" w:footer="829" w:gutter="0"/>
          <w:cols w:space="720"/>
        </w:sectPr>
      </w:pPr>
      <m:oMathPara>
        <m:oMath>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e</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June</m:t>
                  </m:r>
                  <m:d>
                    <m:dPr>
                      <m:ctrlPr>
                        <w:rPr>
                          <w:rFonts w:ascii="Cambria Math" w:hAnsi="Cambria Math"/>
                          <w:i/>
                          <w:vertAlign w:val="subscript"/>
                        </w:rPr>
                      </m:ctrlPr>
                    </m:dPr>
                    <m:e>
                      <m:r>
                        <w:rPr>
                          <w:rFonts w:ascii="Cambria Math" w:hAnsi="Cambria Math"/>
                          <w:vertAlign w:val="subscript"/>
                        </w:rPr>
                        <m:t>e-2</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Sep</m:t>
                  </m:r>
                  <m:d>
                    <m:dPr>
                      <m:ctrlPr>
                        <w:rPr>
                          <w:rFonts w:ascii="Cambria Math" w:hAnsi="Cambria Math"/>
                          <w:i/>
                          <w:vertAlign w:val="subscript"/>
                        </w:rPr>
                      </m:ctrlPr>
                    </m:dPr>
                    <m:e>
                      <m:r>
                        <w:rPr>
                          <w:rFonts w:ascii="Cambria Math" w:hAnsi="Cambria Math"/>
                          <w:vertAlign w:val="subscript"/>
                        </w:rPr>
                        <m:t>e-1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Dec</m:t>
                  </m:r>
                  <m:d>
                    <m:dPr>
                      <m:ctrlPr>
                        <w:rPr>
                          <w:rFonts w:ascii="Cambria Math" w:hAnsi="Cambria Math"/>
                          <w:i/>
                          <w:vertAlign w:val="subscript"/>
                        </w:rPr>
                      </m:ctrlPr>
                    </m:dPr>
                    <m:e>
                      <m:r>
                        <w:rPr>
                          <w:rFonts w:ascii="Cambria Math" w:hAnsi="Cambria Math"/>
                          <w:vertAlign w:val="subscript"/>
                        </w:rPr>
                        <m:t>e-1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Mar</m:t>
                  </m:r>
                  <m:d>
                    <m:dPr>
                      <m:ctrlPr>
                        <w:rPr>
                          <w:rFonts w:ascii="Cambria Math" w:hAnsi="Cambria Math"/>
                          <w:i/>
                          <w:vertAlign w:val="subscript"/>
                        </w:rPr>
                      </m:ctrlPr>
                    </m:dPr>
                    <m:e>
                      <m:r>
                        <w:rPr>
                          <w:rFonts w:ascii="Cambria Math" w:hAnsi="Cambria Math"/>
                          <w:vertAlign w:val="subscript"/>
                        </w:rPr>
                        <m:t>e-1</m:t>
                      </m:r>
                    </m:e>
                  </m:d>
                </m:sub>
              </m:sSub>
            </m:num>
            <m:den>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June</m:t>
                  </m:r>
                  <m:d>
                    <m:dPr>
                      <m:ctrlPr>
                        <w:rPr>
                          <w:rFonts w:ascii="Cambria Math" w:hAnsi="Cambria Math"/>
                          <w:i/>
                          <w:vertAlign w:val="subscript"/>
                        </w:rPr>
                      </m:ctrlPr>
                    </m:dPr>
                    <m:e>
                      <m:r>
                        <w:rPr>
                          <w:rFonts w:ascii="Cambria Math" w:hAnsi="Cambria Math"/>
                          <w:vertAlign w:val="subscript"/>
                        </w:rPr>
                        <m:t>2011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Sep</m:t>
                  </m:r>
                  <m:d>
                    <m:dPr>
                      <m:ctrlPr>
                        <w:rPr>
                          <w:rFonts w:ascii="Cambria Math" w:hAnsi="Cambria Math"/>
                          <w:i/>
                          <w:vertAlign w:val="subscript"/>
                        </w:rPr>
                      </m:ctrlPr>
                    </m:dPr>
                    <m:e>
                      <m:r>
                        <w:rPr>
                          <w:rFonts w:ascii="Cambria Math" w:hAnsi="Cambria Math"/>
                          <w:vertAlign w:val="subscript"/>
                        </w:rPr>
                        <m:t>2011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Dec</m:t>
                  </m:r>
                  <m:d>
                    <m:dPr>
                      <m:ctrlPr>
                        <w:rPr>
                          <w:rFonts w:ascii="Cambria Math" w:hAnsi="Cambria Math"/>
                          <w:i/>
                          <w:vertAlign w:val="subscript"/>
                        </w:rPr>
                      </m:ctrlPr>
                    </m:dPr>
                    <m:e>
                      <m:r>
                        <w:rPr>
                          <w:rFonts w:ascii="Cambria Math" w:hAnsi="Cambria Math"/>
                          <w:vertAlign w:val="subscript"/>
                        </w:rPr>
                        <m:t>2011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Mar</m:t>
                  </m:r>
                  <m:d>
                    <m:dPr>
                      <m:ctrlPr>
                        <w:rPr>
                          <w:rFonts w:ascii="Cambria Math" w:hAnsi="Cambria Math"/>
                          <w:i/>
                          <w:vertAlign w:val="subscript"/>
                        </w:rPr>
                      </m:ctrlPr>
                    </m:dPr>
                    <m:e>
                      <m:r>
                        <w:rPr>
                          <w:rFonts w:ascii="Cambria Math" w:hAnsi="Cambria Math"/>
                          <w:vertAlign w:val="subscript"/>
                        </w:rPr>
                        <m:t>2012</m:t>
                      </m:r>
                    </m:e>
                  </m:d>
                </m:sub>
              </m:sSub>
            </m:den>
          </m:f>
        </m:oMath>
      </m:oMathPara>
    </w:p>
    <w:p w:rsidR="00D96B91" w:rsidRDefault="00C2656B">
      <w:pPr>
        <w:pStyle w:val="BodyText"/>
        <w:tabs>
          <w:tab w:val="left" w:pos="1967"/>
        </w:tabs>
        <w:spacing w:before="166"/>
      </w:pPr>
      <w:r>
        <w:t>CPI</w:t>
      </w:r>
      <w:r>
        <w:tab/>
        <w:t>is</w:t>
      </w:r>
      <w:r>
        <w:rPr>
          <w:spacing w:val="-1"/>
        </w:rPr>
        <w:t xml:space="preserve"> </w:t>
      </w:r>
      <w:r>
        <w:t>as</w:t>
      </w:r>
      <w:r>
        <w:rPr>
          <w:spacing w:val="-1"/>
        </w:rPr>
        <w:t xml:space="preserve"> </w:t>
      </w:r>
      <w:r>
        <w:t>it</w:t>
      </w:r>
      <w:r>
        <w:rPr>
          <w:spacing w:val="-1"/>
        </w:rPr>
        <w:t xml:space="preserve"> </w:t>
      </w:r>
      <w:r>
        <w:t>is</w:t>
      </w:r>
      <w:r>
        <w:rPr>
          <w:spacing w:val="-1"/>
        </w:rPr>
        <w:t xml:space="preserve"> </w:t>
      </w:r>
      <w:r>
        <w:t>defined</w:t>
      </w:r>
      <w:r>
        <w:rPr>
          <w:spacing w:val="-1"/>
        </w:rPr>
        <w:t xml:space="preserve"> </w:t>
      </w:r>
      <w:hyperlink w:anchor="_bookmark162" w:history="1">
        <w:r>
          <w:t>in</w:t>
        </w:r>
        <w:r>
          <w:rPr>
            <w:spacing w:val="-1"/>
          </w:rPr>
          <w:t xml:space="preserve"> </w:t>
        </w:r>
        <w:r>
          <w:t>clause</w:t>
        </w:r>
        <w:r>
          <w:rPr>
            <w:spacing w:val="-1"/>
          </w:rPr>
          <w:t xml:space="preserve"> </w:t>
        </w:r>
        <w:r>
          <w:t>6.1;</w:t>
        </w:r>
      </w:hyperlink>
      <w:r>
        <w:rPr>
          <w:spacing w:val="-1"/>
        </w:rPr>
        <w:t xml:space="preserve"> </w:t>
      </w:r>
      <w:r>
        <w:t>and</w:t>
      </w:r>
    </w:p>
    <w:p w:rsidR="00D96B91" w:rsidRDefault="00C2656B">
      <w:pPr>
        <w:pStyle w:val="BodyText"/>
        <w:tabs>
          <w:tab w:val="left" w:pos="1967"/>
        </w:tabs>
        <w:spacing w:before="149" w:line="260" w:lineRule="exact"/>
        <w:ind w:left="1967" w:right="1259" w:hanging="720"/>
      </w:pPr>
      <w:r>
        <w:t>e</w:t>
      </w:r>
      <w:r>
        <w:tab/>
        <w:t xml:space="preserve">can </w:t>
      </w:r>
      <w:r>
        <w:rPr>
          <w:spacing w:val="-1"/>
        </w:rPr>
        <w:t>take</w:t>
      </w:r>
      <w:r>
        <w:t xml:space="preserve"> on the value of</w:t>
      </w:r>
      <w:r>
        <w:rPr>
          <w:spacing w:val="4"/>
        </w:rPr>
        <w:t xml:space="preserve"> </w:t>
      </w:r>
      <w:r>
        <w:t>2014-15,</w:t>
      </w:r>
      <w:r>
        <w:rPr>
          <w:spacing w:val="-6"/>
        </w:rPr>
        <w:t xml:space="preserve"> </w:t>
      </w:r>
      <w:r>
        <w:t>2015-16,</w:t>
      </w:r>
      <w:r>
        <w:rPr>
          <w:spacing w:val="-6"/>
        </w:rPr>
        <w:t xml:space="preserve"> </w:t>
      </w:r>
      <w:r>
        <w:t xml:space="preserve">2016-17 or 2017-18 depending on the </w:t>
      </w:r>
      <w:r>
        <w:rPr>
          <w:spacing w:val="-1"/>
        </w:rPr>
        <w:t>year</w:t>
      </w:r>
      <w:r>
        <w:t xml:space="preserve"> in which</w:t>
      </w:r>
      <w:r>
        <w:rPr>
          <w:spacing w:val="23"/>
        </w:rPr>
        <w:t xml:space="preserve"> </w:t>
      </w:r>
      <w:r>
        <w:t>the value of</w:t>
      </w:r>
      <w:r>
        <w:rPr>
          <w:spacing w:val="4"/>
        </w:rPr>
        <w:t xml:space="preserve"> </w:t>
      </w:r>
      <w:r>
        <w:t>EV</w:t>
      </w:r>
      <w:r>
        <w:rPr>
          <w:spacing w:val="-4"/>
        </w:rPr>
        <w:t xml:space="preserve"> </w:t>
      </w:r>
      <w:r>
        <w:t xml:space="preserve">is </w:t>
      </w:r>
      <w:r>
        <w:rPr>
          <w:spacing w:val="-1"/>
        </w:rPr>
        <w:t>required</w:t>
      </w:r>
      <w:r>
        <w:t xml:space="preserve"> for the purposes of</w:t>
      </w:r>
      <w:r>
        <w:rPr>
          <w:spacing w:val="4"/>
        </w:rPr>
        <w:t xml:space="preserve"> </w:t>
      </w:r>
      <w:r>
        <w:t xml:space="preserve">the </w:t>
      </w:r>
      <w:r>
        <w:rPr>
          <w:spacing w:val="-2"/>
        </w:rPr>
        <w:t>Price</w:t>
      </w:r>
      <w:r>
        <w:t xml:space="preserve"> </w:t>
      </w:r>
      <w:r>
        <w:rPr>
          <w:spacing w:val="-1"/>
        </w:rPr>
        <w:t>Direction.</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pacing w:val="-1"/>
          <w:sz w:val="20"/>
        </w:rPr>
        <w:t>Reference</w:t>
      </w:r>
      <w:r>
        <w:rPr>
          <w:rFonts w:ascii="Avenir Next"/>
          <w:b/>
          <w:i/>
          <w:sz w:val="20"/>
        </w:rPr>
        <w:t xml:space="preserve"> to </w:t>
      </w:r>
      <w:r>
        <w:rPr>
          <w:rFonts w:ascii="Avenir Next"/>
          <w:b/>
          <w:i/>
          <w:spacing w:val="-1"/>
          <w:sz w:val="20"/>
        </w:rPr>
        <w:t>years</w:t>
      </w:r>
    </w:p>
    <w:p w:rsidR="00D96B91" w:rsidRDefault="00C2656B">
      <w:pPr>
        <w:pStyle w:val="BodyText"/>
        <w:spacing w:before="92" w:line="260" w:lineRule="exact"/>
        <w:ind w:right="1256"/>
      </w:pPr>
      <w:r>
        <w:t>Unless</w:t>
      </w:r>
      <w:r>
        <w:rPr>
          <w:spacing w:val="-1"/>
        </w:rPr>
        <w:t xml:space="preserve"> </w:t>
      </w:r>
      <w:r>
        <w:t xml:space="preserve">otherwise </w:t>
      </w:r>
      <w:r>
        <w:rPr>
          <w:spacing w:val="-1"/>
        </w:rPr>
        <w:t>stated,</w:t>
      </w:r>
      <w:r>
        <w:rPr>
          <w:spacing w:val="-7"/>
        </w:rPr>
        <w:t xml:space="preserve"> </w:t>
      </w:r>
      <w:r>
        <w:t xml:space="preserve">a </w:t>
      </w:r>
      <w:r>
        <w:rPr>
          <w:spacing w:val="-1"/>
        </w:rPr>
        <w:t xml:space="preserve">reference </w:t>
      </w:r>
      <w:r>
        <w:t>to a</w:t>
      </w:r>
      <w:r>
        <w:rPr>
          <w:spacing w:val="-1"/>
        </w:rPr>
        <w:t xml:space="preserve"> year</w:t>
      </w:r>
      <w:r>
        <w:t xml:space="preserve"> in the</w:t>
      </w:r>
      <w:r>
        <w:rPr>
          <w:spacing w:val="-1"/>
        </w:rPr>
        <w:t xml:space="preserve"> </w:t>
      </w:r>
      <w:r>
        <w:t>form 2013-14</w:t>
      </w:r>
      <w:r>
        <w:rPr>
          <w:spacing w:val="-1"/>
        </w:rPr>
        <w:t xml:space="preserve"> </w:t>
      </w:r>
      <w:r>
        <w:t>(as an</w:t>
      </w:r>
      <w:r>
        <w:rPr>
          <w:spacing w:val="-1"/>
        </w:rPr>
        <w:t xml:space="preserve"> example)</w:t>
      </w:r>
      <w:r>
        <w:t xml:space="preserve"> </w:t>
      </w:r>
      <w:r>
        <w:rPr>
          <w:spacing w:val="-1"/>
        </w:rPr>
        <w:t xml:space="preserve">means </w:t>
      </w:r>
      <w:r>
        <w:t>the financial</w:t>
      </w:r>
      <w:r>
        <w:rPr>
          <w:spacing w:val="33"/>
          <w:w w:val="99"/>
        </w:rPr>
        <w:t xml:space="preserve"> </w:t>
      </w:r>
      <w:r>
        <w:rPr>
          <w:spacing w:val="-1"/>
        </w:rPr>
        <w:t>year</w:t>
      </w:r>
      <w:r>
        <w:t xml:space="preserve"> </w:t>
      </w:r>
      <w:r>
        <w:rPr>
          <w:spacing w:val="-1"/>
        </w:rPr>
        <w:t>from</w:t>
      </w:r>
      <w:r>
        <w:t xml:space="preserve"> 1</w:t>
      </w:r>
      <w:r>
        <w:rPr>
          <w:spacing w:val="-3"/>
        </w:rPr>
        <w:t xml:space="preserve"> </w:t>
      </w:r>
      <w:r>
        <w:t>July to 30</w:t>
      </w:r>
      <w:r>
        <w:rPr>
          <w:spacing w:val="-3"/>
        </w:rPr>
        <w:t xml:space="preserve"> </w:t>
      </w:r>
      <w:r>
        <w:t>June.</w:t>
      </w:r>
      <w:r>
        <w:rPr>
          <w:spacing w:val="-10"/>
        </w:rPr>
        <w:t xml:space="preserve"> </w:t>
      </w:r>
      <w:r>
        <w:t>A</w:t>
      </w:r>
      <w:r>
        <w:rPr>
          <w:spacing w:val="-4"/>
        </w:rPr>
        <w:t xml:space="preserve"> </w:t>
      </w:r>
      <w:r>
        <w:rPr>
          <w:spacing w:val="-1"/>
        </w:rPr>
        <w:t>reference</w:t>
      </w:r>
      <w:r>
        <w:t xml:space="preserve"> to a </w:t>
      </w:r>
      <w:r>
        <w:rPr>
          <w:spacing w:val="-1"/>
        </w:rPr>
        <w:t>two-year</w:t>
      </w:r>
      <w:r>
        <w:t xml:space="preserve"> period (or </w:t>
      </w:r>
      <w:r>
        <w:rPr>
          <w:spacing w:val="-1"/>
        </w:rPr>
        <w:t>greater)</w:t>
      </w:r>
      <w:r>
        <w:t xml:space="preserve"> such as 2015-17 </w:t>
      </w:r>
      <w:r>
        <w:rPr>
          <w:spacing w:val="-1"/>
        </w:rPr>
        <w:t>means</w:t>
      </w:r>
      <w:r>
        <w:t xml:space="preserve"> for the</w:t>
      </w:r>
      <w:r>
        <w:rPr>
          <w:spacing w:val="25"/>
        </w:rPr>
        <w:t xml:space="preserve"> </w:t>
      </w:r>
      <w:r>
        <w:t>period 1</w:t>
      </w:r>
      <w:r>
        <w:rPr>
          <w:spacing w:val="-3"/>
        </w:rPr>
        <w:t xml:space="preserve"> </w:t>
      </w:r>
      <w:r>
        <w:t>July 2015 to 30</w:t>
      </w:r>
      <w:r>
        <w:rPr>
          <w:spacing w:val="-3"/>
        </w:rPr>
        <w:t xml:space="preserve"> </w:t>
      </w:r>
      <w:r>
        <w:t>June 2017,</w:t>
      </w:r>
      <w:r>
        <w:rPr>
          <w:spacing w:val="-6"/>
        </w:rPr>
        <w:t xml:space="preserve"> </w:t>
      </w:r>
      <w:r>
        <w:t>and so on.</w:t>
      </w:r>
    </w:p>
    <w:p w:rsidR="00D96B91" w:rsidRDefault="00D96B91">
      <w:pPr>
        <w:spacing w:before="5"/>
        <w:rPr>
          <w:rFonts w:ascii="Avenir Next" w:eastAsia="Avenir Next" w:hAnsi="Avenir Next" w:cs="Avenir Next"/>
          <w:sz w:val="21"/>
          <w:szCs w:val="21"/>
        </w:rPr>
      </w:pPr>
    </w:p>
    <w:p w:rsidR="00D96B91" w:rsidRDefault="00C2656B">
      <w:pPr>
        <w:ind w:left="1247"/>
        <w:rPr>
          <w:rFonts w:ascii="Avenir Next" w:eastAsia="Avenir Next" w:hAnsi="Avenir Next" w:cs="Avenir Next"/>
          <w:sz w:val="20"/>
          <w:szCs w:val="20"/>
        </w:rPr>
      </w:pPr>
      <w:r>
        <w:rPr>
          <w:rFonts w:ascii="Avenir Next"/>
          <w:b/>
          <w:i/>
          <w:spacing w:val="-1"/>
          <w:sz w:val="20"/>
        </w:rPr>
        <w:t>Regulatory</w:t>
      </w:r>
      <w:r>
        <w:rPr>
          <w:rFonts w:ascii="Avenir Next"/>
          <w:b/>
          <w:i/>
          <w:sz w:val="20"/>
        </w:rPr>
        <w:t xml:space="preserve"> period</w:t>
      </w:r>
    </w:p>
    <w:p w:rsidR="00D96B91" w:rsidRDefault="00C2656B">
      <w:pPr>
        <w:pStyle w:val="BodyText"/>
        <w:spacing w:before="100"/>
      </w:pPr>
      <w:r>
        <w:rPr>
          <w:spacing w:val="-2"/>
        </w:rPr>
        <w:t>The</w:t>
      </w:r>
      <w:r>
        <w:rPr>
          <w:spacing w:val="-1"/>
        </w:rPr>
        <w:t xml:space="preserve"> </w:t>
      </w:r>
      <w:r>
        <w:t>period</w:t>
      </w:r>
      <w:r>
        <w:rPr>
          <w:spacing w:val="-1"/>
        </w:rPr>
        <w:t xml:space="preserve"> </w:t>
      </w:r>
      <w:r>
        <w:t xml:space="preserve">in </w:t>
      </w:r>
      <w:r>
        <w:rPr>
          <w:spacing w:val="-1"/>
        </w:rPr>
        <w:t xml:space="preserve">respect </w:t>
      </w:r>
      <w:r>
        <w:t>of</w:t>
      </w:r>
      <w:r>
        <w:rPr>
          <w:spacing w:val="4"/>
        </w:rPr>
        <w:t xml:space="preserve"> </w:t>
      </w:r>
      <w:r>
        <w:t>which</w:t>
      </w:r>
      <w:r>
        <w:rPr>
          <w:spacing w:val="-1"/>
        </w:rPr>
        <w:t xml:space="preserve"> </w:t>
      </w:r>
      <w:r>
        <w:t xml:space="preserve">the </w:t>
      </w:r>
      <w:r>
        <w:rPr>
          <w:spacing w:val="-2"/>
        </w:rPr>
        <w:t>Price</w:t>
      </w:r>
      <w:r>
        <w:rPr>
          <w:spacing w:val="-1"/>
        </w:rPr>
        <w:t xml:space="preserve"> Direction regulates</w:t>
      </w:r>
      <w:r>
        <w:t xml:space="preserve"> prices,</w:t>
      </w:r>
      <w:r>
        <w:rPr>
          <w:spacing w:val="-7"/>
        </w:rPr>
        <w:t xml:space="preserve"> </w:t>
      </w:r>
      <w:r>
        <w:t>as specified</w:t>
      </w:r>
      <w:r>
        <w:rPr>
          <w:spacing w:val="-1"/>
        </w:rPr>
        <w:t xml:space="preserve"> </w:t>
      </w:r>
      <w:hyperlink w:anchor="_bookmark159" w:history="1">
        <w:r>
          <w:t>in clause</w:t>
        </w:r>
        <w:r>
          <w:rPr>
            <w:spacing w:val="-1"/>
          </w:rPr>
          <w:t xml:space="preserve"> </w:t>
        </w:r>
        <w:r>
          <w:t>2.</w:t>
        </w:r>
      </w:hyperlink>
    </w:p>
    <w:p w:rsidR="00D96B91" w:rsidRDefault="00D96B91">
      <w:pPr>
        <w:sectPr w:rsidR="00D96B91">
          <w:type w:val="continuous"/>
          <w:pgSz w:w="11910" w:h="16840"/>
          <w:pgMar w:top="0" w:right="0" w:bottom="0" w:left="0" w:header="720" w:footer="720" w:gutter="0"/>
          <w:cols w:space="720"/>
        </w:sectPr>
      </w:pPr>
    </w:p>
    <w:p w:rsidR="00D96B91" w:rsidRDefault="00C2656B">
      <w:pPr>
        <w:pStyle w:val="Heading1"/>
        <w:tabs>
          <w:tab w:val="left" w:pos="2687"/>
        </w:tabs>
        <w:spacing w:line="516" w:lineRule="exact"/>
      </w:pPr>
      <w:bookmarkStart w:id="255" w:name="Part_B_Regulated_Services_and_Prices"/>
      <w:bookmarkStart w:id="256" w:name="5._Regulated_services"/>
      <w:bookmarkStart w:id="257" w:name="6._Pricing_for_regulated_water_and_sewer"/>
      <w:bookmarkStart w:id="258" w:name="6._1._Water_services"/>
      <w:bookmarkStart w:id="259" w:name="_bookmark160"/>
      <w:bookmarkEnd w:id="255"/>
      <w:bookmarkEnd w:id="256"/>
      <w:bookmarkEnd w:id="257"/>
      <w:bookmarkEnd w:id="258"/>
      <w:bookmarkEnd w:id="259"/>
      <w:r>
        <w:rPr>
          <w:color w:val="0778BE"/>
          <w:spacing w:val="-7"/>
        </w:rPr>
        <w:t>Part</w:t>
      </w:r>
      <w:r>
        <w:rPr>
          <w:color w:val="0778BE"/>
        </w:rPr>
        <w:t xml:space="preserve"> B</w:t>
      </w:r>
      <w:r>
        <w:rPr>
          <w:color w:val="0778BE"/>
        </w:rPr>
        <w:tab/>
      </w:r>
      <w:r>
        <w:rPr>
          <w:color w:val="0778BE"/>
          <w:spacing w:val="-1"/>
        </w:rPr>
        <w:t>Regulated</w:t>
      </w:r>
      <w:r>
        <w:rPr>
          <w:color w:val="0778BE"/>
        </w:rPr>
        <w:t xml:space="preserve"> Services and </w:t>
      </w:r>
      <w:r>
        <w:rPr>
          <w:color w:val="0778BE"/>
          <w:spacing w:val="-4"/>
        </w:rPr>
        <w:t>Prices</w:t>
      </w:r>
    </w:p>
    <w:p w:rsidR="00D96B91" w:rsidRDefault="00D96B91">
      <w:pPr>
        <w:spacing w:before="10"/>
        <w:rPr>
          <w:rFonts w:ascii="Avenir Next Medium" w:eastAsia="Avenir Next Medium" w:hAnsi="Avenir Next Medium" w:cs="Avenir Next Medium"/>
          <w:sz w:val="35"/>
          <w:szCs w:val="35"/>
        </w:rPr>
      </w:pPr>
    </w:p>
    <w:p w:rsidR="00D96B91" w:rsidRDefault="00C2656B">
      <w:pPr>
        <w:pStyle w:val="Heading2"/>
        <w:numPr>
          <w:ilvl w:val="0"/>
          <w:numId w:val="16"/>
        </w:numPr>
        <w:tabs>
          <w:tab w:val="left" w:pos="1815"/>
        </w:tabs>
        <w:rPr>
          <w:b w:val="0"/>
          <w:bCs w:val="0"/>
        </w:rPr>
      </w:pPr>
      <w:r>
        <w:rPr>
          <w:color w:val="0778BE"/>
          <w:spacing w:val="-1"/>
        </w:rPr>
        <w:t>Regulated</w:t>
      </w:r>
      <w:r>
        <w:rPr>
          <w:color w:val="0778BE"/>
        </w:rPr>
        <w:t xml:space="preserve"> services</w:t>
      </w:r>
    </w:p>
    <w:p w:rsidR="00D96B91" w:rsidRDefault="00C2656B">
      <w:pPr>
        <w:pStyle w:val="BodyText"/>
        <w:spacing w:before="154" w:line="260" w:lineRule="exact"/>
        <w:ind w:right="1283"/>
      </w:pPr>
      <w:r>
        <w:rPr>
          <w:spacing w:val="-2"/>
        </w:rPr>
        <w:t>The</w:t>
      </w:r>
      <w:r>
        <w:t xml:space="preserve"> following services </w:t>
      </w:r>
      <w:r>
        <w:rPr>
          <w:spacing w:val="-2"/>
        </w:rPr>
        <w:t>are</w:t>
      </w:r>
      <w:r>
        <w:t xml:space="preserve"> </w:t>
      </w:r>
      <w:r>
        <w:rPr>
          <w:spacing w:val="-1"/>
        </w:rPr>
        <w:t>regulated</w:t>
      </w:r>
      <w:r>
        <w:t xml:space="preserve"> by the </w:t>
      </w:r>
      <w:r>
        <w:rPr>
          <w:spacing w:val="-1"/>
        </w:rPr>
        <w:t>Commission.</w:t>
      </w:r>
      <w:r>
        <w:rPr>
          <w:spacing w:val="-6"/>
        </w:rPr>
        <w:t xml:space="preserve"> </w:t>
      </w:r>
      <w:r>
        <w:t xml:space="preserve">Methods for </w:t>
      </w:r>
      <w:r>
        <w:rPr>
          <w:spacing w:val="-1"/>
        </w:rPr>
        <w:t>ascertaining</w:t>
      </w:r>
      <w:r>
        <w:t xml:space="preserve"> the maximum prices</w:t>
      </w:r>
      <w:r>
        <w:rPr>
          <w:spacing w:val="49"/>
        </w:rPr>
        <w:t xml:space="preserve"> </w:t>
      </w:r>
      <w:r>
        <w:t xml:space="preserve">for these services </w:t>
      </w:r>
      <w:r>
        <w:rPr>
          <w:spacing w:val="-2"/>
        </w:rPr>
        <w:t>are</w:t>
      </w:r>
      <w:r>
        <w:t xml:space="preserve"> set out in this </w:t>
      </w:r>
      <w:r>
        <w:rPr>
          <w:spacing w:val="-4"/>
        </w:rPr>
        <w:t>Part</w:t>
      </w:r>
      <w:r>
        <w:t xml:space="preserve"> and in </w:t>
      </w:r>
      <w:r>
        <w:rPr>
          <w:spacing w:val="-4"/>
        </w:rPr>
        <w:t>Part</w:t>
      </w:r>
      <w:r>
        <w:t xml:space="preserve"> C.</w:t>
      </w:r>
    </w:p>
    <w:p w:rsidR="00D96B91" w:rsidRDefault="00C2656B">
      <w:pPr>
        <w:pStyle w:val="BodyText"/>
        <w:spacing w:before="178"/>
        <w:rPr>
          <w:rFonts w:cs="Avenir Next"/>
        </w:rPr>
      </w:pPr>
      <w:r>
        <w:rPr>
          <w:spacing w:val="-1"/>
        </w:rPr>
        <w:t>Regulated</w:t>
      </w:r>
      <w:r>
        <w:t xml:space="preserve"> services include:</w:t>
      </w:r>
    </w:p>
    <w:p w:rsidR="00D96B91" w:rsidRDefault="00C2656B">
      <w:pPr>
        <w:pStyle w:val="BodyText"/>
        <w:numPr>
          <w:ilvl w:val="0"/>
          <w:numId w:val="15"/>
        </w:numPr>
        <w:tabs>
          <w:tab w:val="left" w:pos="1588"/>
        </w:tabs>
        <w:spacing w:before="149" w:line="260" w:lineRule="exact"/>
        <w:ind w:right="1983" w:hanging="340"/>
      </w:pPr>
      <w:r>
        <w:t xml:space="preserve">the </w:t>
      </w:r>
      <w:r>
        <w:rPr>
          <w:spacing w:val="-1"/>
        </w:rPr>
        <w:t>provision</w:t>
      </w:r>
      <w:r>
        <w:t xml:space="preserve"> of</w:t>
      </w:r>
      <w:r>
        <w:rPr>
          <w:spacing w:val="4"/>
        </w:rPr>
        <w:t xml:space="preserve"> </w:t>
      </w:r>
      <w:r>
        <w:rPr>
          <w:spacing w:val="-1"/>
        </w:rPr>
        <w:t>water</w:t>
      </w:r>
      <w:r>
        <w:t xml:space="preserve"> services by</w:t>
      </w:r>
      <w:r>
        <w:rPr>
          <w:spacing w:val="-4"/>
        </w:rPr>
        <w:t xml:space="preserve"> </w:t>
      </w:r>
      <w:r>
        <w:rPr>
          <w:spacing w:val="-2"/>
        </w:rPr>
        <w:t>ACTEW</w:t>
      </w:r>
      <w:r>
        <w:rPr>
          <w:spacing w:val="-3"/>
        </w:rPr>
        <w:t xml:space="preserve"> </w:t>
      </w:r>
      <w:r>
        <w:t>(including the availability of</w:t>
      </w:r>
      <w:r>
        <w:rPr>
          <w:spacing w:val="4"/>
        </w:rPr>
        <w:t xml:space="preserve"> </w:t>
      </w:r>
      <w:r>
        <w:t xml:space="preserve">supply) to </w:t>
      </w:r>
      <w:r>
        <w:rPr>
          <w:spacing w:val="-1"/>
        </w:rPr>
        <w:t>residential,</w:t>
      </w:r>
      <w:r>
        <w:rPr>
          <w:spacing w:val="41"/>
        </w:rPr>
        <w:t xml:space="preserve"> </w:t>
      </w:r>
      <w:r>
        <w:rPr>
          <w:spacing w:val="-1"/>
        </w:rPr>
        <w:t>commercial</w:t>
      </w:r>
      <w:r>
        <w:t xml:space="preserve"> and industrial </w:t>
      </w:r>
      <w:r>
        <w:rPr>
          <w:spacing w:val="-1"/>
        </w:rPr>
        <w:t>premises;</w:t>
      </w:r>
    </w:p>
    <w:p w:rsidR="00D96B91" w:rsidRDefault="00C2656B">
      <w:pPr>
        <w:pStyle w:val="BodyText"/>
        <w:numPr>
          <w:ilvl w:val="0"/>
          <w:numId w:val="15"/>
        </w:numPr>
        <w:tabs>
          <w:tab w:val="left" w:pos="1588"/>
        </w:tabs>
        <w:spacing w:before="85" w:line="260" w:lineRule="exact"/>
        <w:ind w:right="1605" w:hanging="340"/>
      </w:pPr>
      <w:r>
        <w:t xml:space="preserve">the </w:t>
      </w:r>
      <w:r>
        <w:rPr>
          <w:spacing w:val="-1"/>
        </w:rPr>
        <w:t>provision</w:t>
      </w:r>
      <w:r>
        <w:t xml:space="preserve"> of</w:t>
      </w:r>
      <w:r>
        <w:rPr>
          <w:spacing w:val="4"/>
        </w:rPr>
        <w:t xml:space="preserve"> </w:t>
      </w:r>
      <w:r>
        <w:rPr>
          <w:spacing w:val="-1"/>
        </w:rPr>
        <w:t>sewerage</w:t>
      </w:r>
      <w:r>
        <w:t xml:space="preserve"> services by</w:t>
      </w:r>
      <w:r>
        <w:rPr>
          <w:spacing w:val="-4"/>
        </w:rPr>
        <w:t xml:space="preserve"> </w:t>
      </w:r>
      <w:r>
        <w:rPr>
          <w:spacing w:val="-2"/>
        </w:rPr>
        <w:t>ACTEW</w:t>
      </w:r>
      <w:r>
        <w:rPr>
          <w:spacing w:val="-3"/>
        </w:rPr>
        <w:t xml:space="preserve"> </w:t>
      </w:r>
      <w:r>
        <w:t>(including the availability of</w:t>
      </w:r>
      <w:r>
        <w:rPr>
          <w:spacing w:val="4"/>
        </w:rPr>
        <w:t xml:space="preserve"> </w:t>
      </w:r>
      <w:r>
        <w:t xml:space="preserve">supply) to </w:t>
      </w:r>
      <w:r>
        <w:rPr>
          <w:spacing w:val="-1"/>
        </w:rPr>
        <w:t>residential,</w:t>
      </w:r>
      <w:r>
        <w:rPr>
          <w:spacing w:val="45"/>
        </w:rPr>
        <w:t xml:space="preserve"> </w:t>
      </w:r>
      <w:r>
        <w:rPr>
          <w:spacing w:val="-1"/>
        </w:rPr>
        <w:t>commercial</w:t>
      </w:r>
      <w:r>
        <w:t xml:space="preserve"> and industrial </w:t>
      </w:r>
      <w:r>
        <w:rPr>
          <w:spacing w:val="-1"/>
        </w:rPr>
        <w:t>premises;</w:t>
      </w:r>
      <w:r>
        <w:t xml:space="preserve"> and</w:t>
      </w:r>
    </w:p>
    <w:p w:rsidR="00D96B91" w:rsidRDefault="00C2656B">
      <w:pPr>
        <w:pStyle w:val="BodyText"/>
        <w:numPr>
          <w:ilvl w:val="0"/>
          <w:numId w:val="15"/>
        </w:numPr>
        <w:tabs>
          <w:tab w:val="left" w:pos="1588"/>
        </w:tabs>
        <w:spacing w:before="93"/>
        <w:ind w:hanging="340"/>
        <w:rPr>
          <w:rFonts w:cs="Avenir Next"/>
        </w:rPr>
      </w:pPr>
      <w:r>
        <w:t xml:space="preserve">miscellaneous services </w:t>
      </w:r>
      <w:r>
        <w:rPr>
          <w:spacing w:val="-1"/>
        </w:rPr>
        <w:t>provided</w:t>
      </w:r>
      <w:r>
        <w:t xml:space="preserve"> by</w:t>
      </w:r>
      <w:r>
        <w:rPr>
          <w:spacing w:val="-4"/>
        </w:rPr>
        <w:t xml:space="preserve"> </w:t>
      </w:r>
      <w:r>
        <w:rPr>
          <w:spacing w:val="-2"/>
        </w:rPr>
        <w:t>ACTEW:</w:t>
      </w:r>
    </w:p>
    <w:p w:rsidR="00D96B91" w:rsidRDefault="00C2656B">
      <w:pPr>
        <w:pStyle w:val="BodyText"/>
        <w:numPr>
          <w:ilvl w:val="1"/>
          <w:numId w:val="15"/>
        </w:numPr>
        <w:tabs>
          <w:tab w:val="left" w:pos="1872"/>
        </w:tabs>
        <w:spacing w:before="72"/>
      </w:pPr>
      <w:r>
        <w:t xml:space="preserve">special meter </w:t>
      </w:r>
      <w:r>
        <w:rPr>
          <w:spacing w:val="-1"/>
        </w:rPr>
        <w:t>readings;</w:t>
      </w:r>
    </w:p>
    <w:p w:rsidR="00D96B91" w:rsidRDefault="00C2656B">
      <w:pPr>
        <w:pStyle w:val="BodyText"/>
        <w:numPr>
          <w:ilvl w:val="1"/>
          <w:numId w:val="15"/>
        </w:numPr>
        <w:tabs>
          <w:tab w:val="left" w:pos="1872"/>
        </w:tabs>
        <w:spacing w:before="72"/>
      </w:pPr>
      <w:r>
        <w:t>testing of</w:t>
      </w:r>
      <w:r>
        <w:rPr>
          <w:spacing w:val="4"/>
        </w:rPr>
        <w:t xml:space="preserve"> </w:t>
      </w:r>
      <w:r>
        <w:rPr>
          <w:spacing w:val="-1"/>
        </w:rPr>
        <w:t>water</w:t>
      </w:r>
      <w:r>
        <w:t xml:space="preserve"> meters;</w:t>
      </w:r>
    </w:p>
    <w:p w:rsidR="00D96B91" w:rsidRDefault="00C2656B">
      <w:pPr>
        <w:pStyle w:val="BodyText"/>
        <w:numPr>
          <w:ilvl w:val="1"/>
          <w:numId w:val="15"/>
        </w:numPr>
        <w:tabs>
          <w:tab w:val="left" w:pos="1872"/>
        </w:tabs>
        <w:spacing w:before="72"/>
      </w:pPr>
      <w:r>
        <w:t>the</w:t>
      </w:r>
      <w:r>
        <w:rPr>
          <w:spacing w:val="-2"/>
        </w:rPr>
        <w:t xml:space="preserve"> </w:t>
      </w:r>
      <w:r>
        <w:rPr>
          <w:spacing w:val="-1"/>
        </w:rPr>
        <w:t xml:space="preserve">provision </w:t>
      </w:r>
      <w:r>
        <w:t>of</w:t>
      </w:r>
      <w:r>
        <w:rPr>
          <w:spacing w:val="3"/>
        </w:rPr>
        <w:t xml:space="preserve"> </w:t>
      </w:r>
      <w:r>
        <w:rPr>
          <w:spacing w:val="-2"/>
        </w:rPr>
        <w:t>rate</w:t>
      </w:r>
      <w:r>
        <w:rPr>
          <w:spacing w:val="-1"/>
        </w:rPr>
        <w:t xml:space="preserve"> certificates;</w:t>
      </w:r>
    </w:p>
    <w:p w:rsidR="00D96B91" w:rsidRDefault="00C2656B">
      <w:pPr>
        <w:pStyle w:val="BodyText"/>
        <w:numPr>
          <w:ilvl w:val="1"/>
          <w:numId w:val="15"/>
        </w:numPr>
        <w:tabs>
          <w:tab w:val="left" w:pos="1872"/>
        </w:tabs>
        <w:spacing w:before="72"/>
      </w:pPr>
      <w:r>
        <w:t xml:space="preserve">tapping into </w:t>
      </w:r>
      <w:r>
        <w:rPr>
          <w:spacing w:val="-1"/>
        </w:rPr>
        <w:t>water</w:t>
      </w:r>
      <w:r>
        <w:t xml:space="preserve"> mains;</w:t>
      </w:r>
    </w:p>
    <w:p w:rsidR="00D96B91" w:rsidRDefault="00C2656B">
      <w:pPr>
        <w:pStyle w:val="BodyText"/>
        <w:numPr>
          <w:ilvl w:val="1"/>
          <w:numId w:val="15"/>
        </w:numPr>
        <w:tabs>
          <w:tab w:val="left" w:pos="1872"/>
        </w:tabs>
        <w:spacing w:before="72"/>
      </w:pPr>
      <w:r>
        <w:rPr>
          <w:spacing w:val="-1"/>
        </w:rPr>
        <w:t xml:space="preserve">installation </w:t>
      </w:r>
      <w:r>
        <w:t>of</w:t>
      </w:r>
      <w:r>
        <w:rPr>
          <w:spacing w:val="3"/>
        </w:rPr>
        <w:t xml:space="preserve"> </w:t>
      </w:r>
      <w:r>
        <w:rPr>
          <w:spacing w:val="-1"/>
        </w:rPr>
        <w:t>fire</w:t>
      </w:r>
      <w:r>
        <w:t xml:space="preserve"> </w:t>
      </w:r>
      <w:r>
        <w:rPr>
          <w:spacing w:val="-1"/>
        </w:rPr>
        <w:t>hydrants;</w:t>
      </w:r>
    </w:p>
    <w:p w:rsidR="00D96B91" w:rsidRDefault="00C2656B">
      <w:pPr>
        <w:pStyle w:val="BodyText"/>
        <w:numPr>
          <w:ilvl w:val="1"/>
          <w:numId w:val="15"/>
        </w:numPr>
        <w:tabs>
          <w:tab w:val="left" w:pos="1872"/>
        </w:tabs>
        <w:spacing w:before="72"/>
      </w:pPr>
      <w:r>
        <w:t>disconnection;</w:t>
      </w:r>
    </w:p>
    <w:p w:rsidR="00D96B91" w:rsidRDefault="00C2656B">
      <w:pPr>
        <w:pStyle w:val="BodyText"/>
        <w:spacing w:before="72"/>
        <w:ind w:left="1530"/>
      </w:pPr>
      <w:r>
        <w:t>(vii)</w:t>
      </w:r>
      <w:r>
        <w:rPr>
          <w:spacing w:val="-28"/>
        </w:rPr>
        <w:t xml:space="preserve"> </w:t>
      </w:r>
      <w:r>
        <w:rPr>
          <w:spacing w:val="-1"/>
        </w:rPr>
        <w:t>installation</w:t>
      </w:r>
      <w:r>
        <w:t xml:space="preserve"> and </w:t>
      </w:r>
      <w:r>
        <w:rPr>
          <w:spacing w:val="-1"/>
        </w:rPr>
        <w:t>removal</w:t>
      </w:r>
      <w:r>
        <w:t xml:space="preserve"> of</w:t>
      </w:r>
      <w:r>
        <w:rPr>
          <w:spacing w:val="4"/>
        </w:rPr>
        <w:t xml:space="preserve"> </w:t>
      </w:r>
      <w:r>
        <w:t>stop valve locking cover; and</w:t>
      </w:r>
    </w:p>
    <w:p w:rsidR="00D96B91" w:rsidRDefault="00C2656B">
      <w:pPr>
        <w:pStyle w:val="BodyText"/>
        <w:spacing w:before="72"/>
        <w:ind w:left="1530"/>
      </w:pPr>
      <w:r>
        <w:t>(viii)</w:t>
      </w:r>
      <w:r>
        <w:rPr>
          <w:spacing w:val="19"/>
        </w:rPr>
        <w:t xml:space="preserve"> </w:t>
      </w:r>
      <w:r>
        <w:t xml:space="preserve">meter </w:t>
      </w:r>
      <w:r>
        <w:rPr>
          <w:spacing w:val="-1"/>
        </w:rPr>
        <w:t>relocation.</w:t>
      </w:r>
    </w:p>
    <w:p w:rsidR="00D96B91" w:rsidRDefault="00D96B91">
      <w:pPr>
        <w:spacing w:before="6"/>
        <w:rPr>
          <w:rFonts w:ascii="Avenir Next" w:eastAsia="Avenir Next" w:hAnsi="Avenir Next" w:cs="Avenir Next"/>
          <w:sz w:val="20"/>
          <w:szCs w:val="20"/>
        </w:rPr>
      </w:pPr>
    </w:p>
    <w:p w:rsidR="00D96B91" w:rsidRDefault="00C2656B">
      <w:pPr>
        <w:pStyle w:val="Heading2"/>
        <w:numPr>
          <w:ilvl w:val="0"/>
          <w:numId w:val="16"/>
        </w:numPr>
        <w:tabs>
          <w:tab w:val="left" w:pos="1815"/>
        </w:tabs>
        <w:rPr>
          <w:b w:val="0"/>
          <w:bCs w:val="0"/>
        </w:rPr>
      </w:pPr>
      <w:r>
        <w:rPr>
          <w:color w:val="0778BE"/>
          <w:spacing w:val="-3"/>
        </w:rPr>
        <w:t>P</w:t>
      </w:r>
      <w:bookmarkStart w:id="260" w:name="_bookmark161"/>
      <w:bookmarkEnd w:id="260"/>
      <w:r>
        <w:rPr>
          <w:color w:val="0778BE"/>
          <w:spacing w:val="-3"/>
        </w:rPr>
        <w:t>ricing</w:t>
      </w:r>
      <w:r>
        <w:rPr>
          <w:color w:val="0778BE"/>
        </w:rPr>
        <w:t xml:space="preserve"> for </w:t>
      </w:r>
      <w:r>
        <w:rPr>
          <w:color w:val="0778BE"/>
          <w:spacing w:val="-2"/>
        </w:rPr>
        <w:t>regulated</w:t>
      </w:r>
      <w:r>
        <w:rPr>
          <w:color w:val="0778BE"/>
        </w:rPr>
        <w:t xml:space="preserve"> </w:t>
      </w:r>
      <w:r>
        <w:rPr>
          <w:color w:val="0778BE"/>
          <w:spacing w:val="-1"/>
        </w:rPr>
        <w:t>water</w:t>
      </w:r>
      <w:r>
        <w:rPr>
          <w:color w:val="0778BE"/>
        </w:rPr>
        <w:t xml:space="preserve"> and </w:t>
      </w:r>
      <w:r>
        <w:rPr>
          <w:color w:val="0778BE"/>
          <w:spacing w:val="-1"/>
        </w:rPr>
        <w:t>sewerage</w:t>
      </w:r>
      <w:r>
        <w:rPr>
          <w:color w:val="0778BE"/>
        </w:rPr>
        <w:t xml:space="preserve"> services</w:t>
      </w:r>
    </w:p>
    <w:p w:rsidR="00D96B91" w:rsidRDefault="00C2656B">
      <w:pPr>
        <w:pStyle w:val="BodyText"/>
        <w:spacing w:before="154" w:line="260" w:lineRule="exact"/>
        <w:ind w:right="1256"/>
      </w:pPr>
      <w:r>
        <w:t xml:space="preserve">In </w:t>
      </w:r>
      <w:r>
        <w:rPr>
          <w:spacing w:val="-1"/>
        </w:rPr>
        <w:t>accordance</w:t>
      </w:r>
      <w:r>
        <w:t xml:space="preserve"> with sections 20A</w:t>
      </w:r>
      <w:r>
        <w:rPr>
          <w:spacing w:val="-4"/>
        </w:rPr>
        <w:t xml:space="preserve"> </w:t>
      </w:r>
      <w:r>
        <w:t>and 24N of</w:t>
      </w:r>
      <w:r>
        <w:rPr>
          <w:spacing w:val="4"/>
        </w:rPr>
        <w:t xml:space="preserve"> </w:t>
      </w:r>
      <w:r>
        <w:t>the</w:t>
      </w:r>
      <w:r>
        <w:rPr>
          <w:spacing w:val="-4"/>
        </w:rPr>
        <w:t xml:space="preserve"> </w:t>
      </w:r>
      <w:r>
        <w:t>Act,</w:t>
      </w:r>
      <w:r>
        <w:rPr>
          <w:spacing w:val="-6"/>
        </w:rPr>
        <w:t xml:space="preserve"> </w:t>
      </w:r>
      <w:r>
        <w:t xml:space="preserve">the </w:t>
      </w:r>
      <w:r>
        <w:rPr>
          <w:spacing w:val="-3"/>
        </w:rPr>
        <w:t>Panel</w:t>
      </w:r>
      <w:r>
        <w:t xml:space="preserve"> determines the pricing for </w:t>
      </w:r>
      <w:r>
        <w:rPr>
          <w:spacing w:val="-1"/>
        </w:rPr>
        <w:t>regulated</w:t>
      </w:r>
      <w:r>
        <w:rPr>
          <w:spacing w:val="25"/>
        </w:rPr>
        <w:t xml:space="preserve"> </w:t>
      </w:r>
      <w:r>
        <w:rPr>
          <w:spacing w:val="-1"/>
        </w:rPr>
        <w:t>water</w:t>
      </w:r>
      <w:r>
        <w:t xml:space="preserve"> services and </w:t>
      </w:r>
      <w:r>
        <w:rPr>
          <w:spacing w:val="-1"/>
        </w:rPr>
        <w:t>regulated</w:t>
      </w:r>
      <w:r>
        <w:t xml:space="preserve"> </w:t>
      </w:r>
      <w:r>
        <w:rPr>
          <w:spacing w:val="-1"/>
        </w:rPr>
        <w:t>sewerage</w:t>
      </w:r>
      <w:r>
        <w:t xml:space="preserve"> services in the form of</w:t>
      </w:r>
      <w:r>
        <w:rPr>
          <w:spacing w:val="4"/>
        </w:rPr>
        <w:t xml:space="preserve"> </w:t>
      </w:r>
      <w:r>
        <w:t xml:space="preserve">maximum prices for </w:t>
      </w:r>
      <w:r>
        <w:rPr>
          <w:spacing w:val="-1"/>
        </w:rPr>
        <w:t>each</w:t>
      </w:r>
      <w:r>
        <w:t xml:space="preserve"> </w:t>
      </w:r>
      <w:r>
        <w:rPr>
          <w:spacing w:val="-1"/>
        </w:rPr>
        <w:t>year</w:t>
      </w:r>
      <w:r>
        <w:t xml:space="preserve"> of</w:t>
      </w:r>
      <w:r>
        <w:rPr>
          <w:spacing w:val="4"/>
        </w:rPr>
        <w:t xml:space="preserve"> </w:t>
      </w:r>
      <w:r>
        <w:t>the</w:t>
      </w:r>
      <w:r>
        <w:rPr>
          <w:spacing w:val="29"/>
        </w:rPr>
        <w:t xml:space="preserve"> </w:t>
      </w:r>
      <w:r>
        <w:rPr>
          <w:spacing w:val="-1"/>
        </w:rPr>
        <w:t xml:space="preserve">regulatory </w:t>
      </w:r>
      <w:r>
        <w:t>period.</w:t>
      </w:r>
      <w:r>
        <w:rPr>
          <w:spacing w:val="-11"/>
        </w:rPr>
        <w:t xml:space="preserve"> </w:t>
      </w:r>
      <w:r>
        <w:rPr>
          <w:spacing w:val="-2"/>
        </w:rPr>
        <w:t>The</w:t>
      </w:r>
      <w:r>
        <w:rPr>
          <w:spacing w:val="-1"/>
        </w:rPr>
        <w:t xml:space="preserve"> </w:t>
      </w:r>
      <w:r>
        <w:t>maximum prices</w:t>
      </w:r>
      <w:r>
        <w:rPr>
          <w:spacing w:val="-1"/>
        </w:rPr>
        <w:t xml:space="preserve"> </w:t>
      </w:r>
      <w:r>
        <w:t xml:space="preserve">for </w:t>
      </w:r>
      <w:r>
        <w:rPr>
          <w:spacing w:val="-1"/>
        </w:rPr>
        <w:t xml:space="preserve">each </w:t>
      </w:r>
      <w:r>
        <w:t xml:space="preserve">such </w:t>
      </w:r>
      <w:r>
        <w:rPr>
          <w:spacing w:val="-1"/>
        </w:rPr>
        <w:t xml:space="preserve">year </w:t>
      </w:r>
      <w:r>
        <w:rPr>
          <w:spacing w:val="-2"/>
        </w:rPr>
        <w:t>are</w:t>
      </w:r>
      <w:r>
        <w:t xml:space="preserve"> specified</w:t>
      </w:r>
      <w:r>
        <w:rPr>
          <w:spacing w:val="-1"/>
        </w:rPr>
        <w:t xml:space="preserve"> </w:t>
      </w:r>
      <w:r>
        <w:t>in,</w:t>
      </w:r>
      <w:r>
        <w:rPr>
          <w:spacing w:val="-6"/>
        </w:rPr>
        <w:t xml:space="preserve"> </w:t>
      </w:r>
      <w:r>
        <w:t>or</w:t>
      </w:r>
      <w:r>
        <w:rPr>
          <w:spacing w:val="-1"/>
        </w:rPr>
        <w:t xml:space="preserve"> </w:t>
      </w:r>
      <w:r>
        <w:rPr>
          <w:spacing w:val="-2"/>
        </w:rPr>
        <w:t>are</w:t>
      </w:r>
      <w:r>
        <w:t xml:space="preserve"> to</w:t>
      </w:r>
      <w:r>
        <w:rPr>
          <w:spacing w:val="-1"/>
        </w:rPr>
        <w:t xml:space="preserve"> </w:t>
      </w:r>
      <w:r>
        <w:t>be determined</w:t>
      </w:r>
      <w:r>
        <w:rPr>
          <w:spacing w:val="-1"/>
        </w:rPr>
        <w:t xml:space="preserve"> </w:t>
      </w:r>
      <w:r>
        <w:t>in</w:t>
      </w:r>
      <w:r>
        <w:rPr>
          <w:spacing w:val="29"/>
        </w:rPr>
        <w:t xml:space="preserve"> </w:t>
      </w:r>
      <w:r>
        <w:rPr>
          <w:spacing w:val="-1"/>
        </w:rPr>
        <w:t>accordance</w:t>
      </w:r>
      <w:r>
        <w:t xml:space="preserve"> with,</w:t>
      </w:r>
      <w:r>
        <w:rPr>
          <w:spacing w:val="-6"/>
        </w:rPr>
        <w:t xml:space="preserve"> </w:t>
      </w:r>
      <w:r>
        <w:t xml:space="preserve">clauses </w:t>
      </w:r>
      <w:hyperlink w:anchor="_bookmark162" w:history="1">
        <w:r>
          <w:t>6.1</w:t>
        </w:r>
      </w:hyperlink>
      <w:r>
        <w:t xml:space="preserve"> and 6.2.</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6.</w:t>
      </w:r>
      <w:r>
        <w:rPr>
          <w:color w:val="0778BE"/>
          <w:spacing w:val="-9"/>
        </w:rPr>
        <w:t xml:space="preserve"> </w:t>
      </w:r>
      <w:r>
        <w:rPr>
          <w:color w:val="0778BE"/>
        </w:rPr>
        <w:t>1.</w:t>
      </w:r>
      <w:r>
        <w:rPr>
          <w:color w:val="0778BE"/>
          <w:spacing w:val="74"/>
        </w:rPr>
        <w:t xml:space="preserve"> </w:t>
      </w:r>
      <w:r>
        <w:rPr>
          <w:color w:val="0778BE"/>
          <w:spacing w:val="-3"/>
        </w:rPr>
        <w:t>Wa</w:t>
      </w:r>
      <w:bookmarkStart w:id="261" w:name="_bookmark162"/>
      <w:bookmarkEnd w:id="261"/>
      <w:r>
        <w:rPr>
          <w:color w:val="0778BE"/>
          <w:spacing w:val="-3"/>
        </w:rPr>
        <w:t>ter</w:t>
      </w:r>
      <w:r>
        <w:rPr>
          <w:color w:val="0778BE"/>
        </w:rPr>
        <w:t xml:space="preserve"> services</w:t>
      </w:r>
    </w:p>
    <w:p w:rsidR="00D96B91" w:rsidRDefault="00D96B91">
      <w:pPr>
        <w:pStyle w:val="BodyText"/>
        <w:spacing w:before="55" w:line="260" w:lineRule="exact"/>
        <w:ind w:right="1372"/>
      </w:pPr>
      <w:hyperlink w:anchor="_bookmark163" w:history="1">
        <w:r w:rsidR="00C2656B">
          <w:rPr>
            <w:spacing w:val="-4"/>
          </w:rPr>
          <w:t>Table</w:t>
        </w:r>
        <w:r w:rsidR="00C2656B">
          <w:t xml:space="preserve"> 15.6</w:t>
        </w:r>
      </w:hyperlink>
      <w:r w:rsidR="00C2656B">
        <w:t xml:space="preserve"> sets out a maximum price for </w:t>
      </w:r>
      <w:r w:rsidR="00C2656B">
        <w:rPr>
          <w:spacing w:val="-1"/>
        </w:rPr>
        <w:t>regulated</w:t>
      </w:r>
      <w:r w:rsidR="00C2656B">
        <w:t xml:space="preserve"> </w:t>
      </w:r>
      <w:r w:rsidR="00C2656B">
        <w:rPr>
          <w:spacing w:val="-1"/>
        </w:rPr>
        <w:t>water</w:t>
      </w:r>
      <w:r w:rsidR="00C2656B">
        <w:t xml:space="preserve"> services for 2013-14 and 2014-15 and a</w:t>
      </w:r>
      <w:r w:rsidR="00C2656B">
        <w:rPr>
          <w:spacing w:val="27"/>
        </w:rPr>
        <w:t xml:space="preserve"> </w:t>
      </w:r>
      <w:r w:rsidR="00C2656B">
        <w:t xml:space="preserve">formula for determining the maximum price for </w:t>
      </w:r>
      <w:r w:rsidR="00C2656B">
        <w:rPr>
          <w:spacing w:val="-1"/>
        </w:rPr>
        <w:t>regulated</w:t>
      </w:r>
      <w:r w:rsidR="00C2656B">
        <w:t xml:space="preserve"> </w:t>
      </w:r>
      <w:r w:rsidR="00C2656B">
        <w:rPr>
          <w:spacing w:val="-1"/>
        </w:rPr>
        <w:t>water</w:t>
      </w:r>
      <w:r w:rsidR="00C2656B">
        <w:t xml:space="preserve"> services for 2015-16,</w:t>
      </w:r>
      <w:r w:rsidR="00C2656B">
        <w:rPr>
          <w:spacing w:val="-7"/>
        </w:rPr>
        <w:t xml:space="preserve"> </w:t>
      </w:r>
      <w:r w:rsidR="00C2656B">
        <w:t>2016-17 and</w:t>
      </w:r>
      <w:r w:rsidR="00C2656B">
        <w:rPr>
          <w:spacing w:val="27"/>
        </w:rPr>
        <w:t xml:space="preserve"> </w:t>
      </w:r>
      <w:r w:rsidR="00C2656B">
        <w:t>2017-18.</w:t>
      </w:r>
      <w:r w:rsidR="00C2656B">
        <w:rPr>
          <w:spacing w:val="-11"/>
        </w:rPr>
        <w:t xml:space="preserve"> </w:t>
      </w:r>
      <w:r w:rsidR="00C2656B">
        <w:rPr>
          <w:spacing w:val="-2"/>
        </w:rPr>
        <w:t>The</w:t>
      </w:r>
      <w:r w:rsidR="00C2656B">
        <w:t xml:space="preserve"> maximum prices derived </w:t>
      </w:r>
      <w:r w:rsidR="00C2656B">
        <w:rPr>
          <w:spacing w:val="-1"/>
        </w:rPr>
        <w:t>from</w:t>
      </w:r>
      <w:r w:rsidR="00C2656B">
        <w:rPr>
          <w:spacing w:val="-5"/>
        </w:rPr>
        <w:t xml:space="preserve"> </w:t>
      </w:r>
      <w:hyperlink w:anchor="_bookmark163" w:history="1">
        <w:r w:rsidR="00C2656B">
          <w:rPr>
            <w:spacing w:val="-4"/>
          </w:rPr>
          <w:t>Table</w:t>
        </w:r>
        <w:r w:rsidR="00C2656B">
          <w:t xml:space="preserve"> 15.6</w:t>
        </w:r>
      </w:hyperlink>
      <w:r w:rsidR="00C2656B">
        <w:t xml:space="preserve"> for 2015-16,</w:t>
      </w:r>
      <w:r w:rsidR="00C2656B">
        <w:rPr>
          <w:spacing w:val="-6"/>
        </w:rPr>
        <w:t xml:space="preserve"> </w:t>
      </w:r>
      <w:r w:rsidR="00C2656B">
        <w:t>2016-17 and 2017-18 may also be</w:t>
      </w:r>
      <w:r w:rsidR="00C2656B">
        <w:rPr>
          <w:spacing w:val="23"/>
        </w:rPr>
        <w:t xml:space="preserve"> </w:t>
      </w:r>
      <w:r w:rsidR="00C2656B">
        <w:t xml:space="preserve">subject to a </w:t>
      </w:r>
      <w:r w:rsidR="00C2656B">
        <w:rPr>
          <w:spacing w:val="-1"/>
        </w:rPr>
        <w:t>pass-through</w:t>
      </w:r>
      <w:r w:rsidR="00C2656B">
        <w:t xml:space="preserve"> event set out in clause 8.</w:t>
      </w:r>
    </w:p>
    <w:p w:rsidR="00D96B91" w:rsidRDefault="00C2656B">
      <w:pPr>
        <w:spacing w:before="158"/>
        <w:ind w:left="1247"/>
        <w:rPr>
          <w:rFonts w:ascii="Avenir Next" w:eastAsia="Avenir Next" w:hAnsi="Avenir Next" w:cs="Avenir Next"/>
          <w:sz w:val="20"/>
          <w:szCs w:val="20"/>
        </w:rPr>
      </w:pPr>
      <w:bookmarkStart w:id="262" w:name="_bookmark163"/>
      <w:bookmarkEnd w:id="262"/>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15.6: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direction</w:t>
      </w:r>
      <w:r>
        <w:rPr>
          <w:rFonts w:ascii="Avenir Next" w:eastAsia="Avenir Next" w:hAnsi="Avenir Next" w:cs="Avenir Next"/>
          <w:b/>
          <w:bCs/>
          <w:sz w:val="20"/>
          <w:szCs w:val="20"/>
        </w:rPr>
        <w:t xml:space="preserve"> on </w:t>
      </w:r>
      <w:r>
        <w:rPr>
          <w:rFonts w:ascii="Avenir Next" w:eastAsia="Avenir Next" w:hAnsi="Avenir Next" w:cs="Avenir Next"/>
          <w:b/>
          <w:bCs/>
          <w:spacing w:val="-1"/>
          <w:sz w:val="20"/>
          <w:szCs w:val="20"/>
        </w:rPr>
        <w:t>water</w:t>
      </w:r>
      <w:r>
        <w:rPr>
          <w:rFonts w:ascii="Avenir Next" w:eastAsia="Avenir Next" w:hAnsi="Avenir Next" w:cs="Avenir Next"/>
          <w:b/>
          <w:bCs/>
          <w:sz w:val="20"/>
          <w:szCs w:val="20"/>
        </w:rPr>
        <w:t xml:space="preserve"> prices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991"/>
        <w:gridCol w:w="1143"/>
        <w:gridCol w:w="1143"/>
        <w:gridCol w:w="4134"/>
      </w:tblGrid>
      <w:tr w:rsidR="00D96B91">
        <w:trPr>
          <w:trHeight w:hRule="exact" w:val="407"/>
        </w:trPr>
        <w:tc>
          <w:tcPr>
            <w:tcW w:w="299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1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5"/>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14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275"/>
              <w:rPr>
                <w:rFonts w:ascii="Avenir Next Condensed" w:eastAsia="Avenir Next Condensed" w:hAnsi="Avenir Next Condensed" w:cs="Avenir Next Condensed"/>
                <w:sz w:val="18"/>
                <w:szCs w:val="18"/>
              </w:rPr>
            </w:pPr>
            <w:r>
              <w:rPr>
                <w:rFonts w:ascii="Avenir Next Condensed"/>
                <w:b/>
                <w:color w:val="FFFFFF"/>
                <w:sz w:val="18"/>
              </w:rPr>
              <w:t>2014-15</w:t>
            </w:r>
          </w:p>
        </w:tc>
        <w:tc>
          <w:tcPr>
            <w:tcW w:w="4134"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z w:val="18"/>
              </w:rPr>
              <w:t>2015-16 to 2017-18</w:t>
            </w:r>
          </w:p>
        </w:tc>
      </w:tr>
      <w:tr w:rsidR="00D96B91">
        <w:trPr>
          <w:trHeight w:hRule="exact" w:val="407"/>
        </w:trPr>
        <w:tc>
          <w:tcPr>
            <w:tcW w:w="299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2"/>
                <w:sz w:val="18"/>
              </w:rPr>
              <w:t>Fixed</w:t>
            </w:r>
            <w:r>
              <w:rPr>
                <w:rFonts w:ascii="Avenir Next Condensed"/>
                <w:sz w:val="18"/>
              </w:rPr>
              <w:t xml:space="preserve"> ($ pa)</w:t>
            </w:r>
          </w:p>
        </w:tc>
        <w:tc>
          <w:tcPr>
            <w:tcW w:w="11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44"/>
              <w:rPr>
                <w:rFonts w:ascii="Avenir Next Condensed" w:eastAsia="Avenir Next Condensed" w:hAnsi="Avenir Next Condensed" w:cs="Avenir Next Condensed"/>
                <w:sz w:val="18"/>
                <w:szCs w:val="18"/>
              </w:rPr>
            </w:pPr>
            <w:r>
              <w:rPr>
                <w:rFonts w:ascii="Avenir Next Condensed"/>
                <w:sz w:val="18"/>
              </w:rPr>
              <w:t>100</w:t>
            </w:r>
          </w:p>
        </w:tc>
        <w:tc>
          <w:tcPr>
            <w:tcW w:w="114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35"/>
              <w:rPr>
                <w:rFonts w:ascii="Avenir Next Condensed" w:eastAsia="Avenir Next Condensed" w:hAnsi="Avenir Next Condensed" w:cs="Avenir Next Condensed"/>
                <w:sz w:val="18"/>
                <w:szCs w:val="18"/>
              </w:rPr>
            </w:pPr>
            <w:r>
              <w:rPr>
                <w:rFonts w:ascii="Avenir Next Condensed"/>
                <w:sz w:val="18"/>
              </w:rPr>
              <w:t>102.56</w:t>
            </w:r>
          </w:p>
        </w:tc>
        <w:tc>
          <w:tcPr>
            <w:tcW w:w="4134"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3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P</w:t>
            </w:r>
            <w:r>
              <w:rPr>
                <w:rFonts w:ascii="Avenir Next Condensed" w:eastAsia="Avenir Next Condensed" w:hAnsi="Avenir Next Condensed" w:cs="Avenir Next Condensed"/>
                <w:spacing w:val="-1"/>
                <w:position w:val="-5"/>
                <w:sz w:val="10"/>
                <w:szCs w:val="10"/>
              </w:rPr>
              <w:t>t</w:t>
            </w:r>
            <w:r>
              <w:rPr>
                <w:rFonts w:ascii="Avenir Next Condensed" w:eastAsia="Avenir Next Condensed" w:hAnsi="Avenir Next Condensed" w:cs="Avenir Next Condensed"/>
                <w:spacing w:val="-1"/>
                <w:sz w:val="18"/>
                <w:szCs w:val="18"/>
              </w:rPr>
              <w:t>=P</w:t>
            </w:r>
            <w:r>
              <w:rPr>
                <w:rFonts w:ascii="Avenir Next Condensed" w:eastAsia="Avenir Next Condensed" w:hAnsi="Avenir Next Condensed" w:cs="Avenir Next Condensed"/>
                <w:spacing w:val="-1"/>
                <w:position w:val="-5"/>
                <w:sz w:val="10"/>
                <w:szCs w:val="10"/>
              </w:rPr>
              <w:t>t-1</w:t>
            </w:r>
            <w:r>
              <w:rPr>
                <w:rFonts w:ascii="Avenir Next Condensed" w:eastAsia="Avenir Next Condensed" w:hAnsi="Avenir Next Condensed" w:cs="Avenir Next Condensed"/>
                <w:spacing w:val="-1"/>
                <w:sz w:val="18"/>
                <w:szCs w:val="18"/>
              </w:rPr>
              <w:t>×(1+CPI</w:t>
            </w:r>
            <w:r>
              <w:rPr>
                <w:rFonts w:ascii="Avenir Next Condensed" w:eastAsia="Avenir Next Condensed" w:hAnsi="Avenir Next Condensed" w:cs="Avenir Next Condensed"/>
                <w:spacing w:val="-1"/>
                <w:position w:val="-5"/>
                <w:sz w:val="10"/>
                <w:szCs w:val="10"/>
              </w:rPr>
              <w:t>t</w:t>
            </w:r>
            <w:r>
              <w:rPr>
                <w:rFonts w:ascii="Avenir Next Condensed" w:eastAsia="Avenir Next Condensed" w:hAnsi="Avenir Next Condensed" w:cs="Avenir Next Condensed"/>
                <w:spacing w:val="-1"/>
                <w:sz w:val="18"/>
                <w:szCs w:val="18"/>
              </w:rPr>
              <w:t>)</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(1-X%)</w:t>
            </w:r>
          </w:p>
        </w:tc>
      </w:tr>
      <w:tr w:rsidR="00D96B91">
        <w:trPr>
          <w:trHeight w:hRule="exact" w:val="407"/>
        </w:trPr>
        <w:tc>
          <w:tcPr>
            <w:tcW w:w="29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1 (0-200 kL</w:t>
            </w:r>
            <w:r>
              <w:rPr>
                <w:rFonts w:ascii="Avenir Next Condensed"/>
                <w:spacing w:val="-5"/>
                <w:sz w:val="18"/>
              </w:rPr>
              <w:t xml:space="preserve"> </w:t>
            </w:r>
            <w:r>
              <w:rPr>
                <w:rFonts w:ascii="Avenir Next Condensed"/>
                <w:sz w:val="18"/>
              </w:rPr>
              <w:t>pa) ($/kL)</w:t>
            </w:r>
          </w:p>
        </w:tc>
        <w:tc>
          <w:tcPr>
            <w:tcW w:w="11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rPr>
                <w:rFonts w:ascii="Avenir Next Condensed" w:eastAsia="Avenir Next Condensed" w:hAnsi="Avenir Next Condensed" w:cs="Avenir Next Condensed"/>
                <w:sz w:val="18"/>
                <w:szCs w:val="18"/>
              </w:rPr>
            </w:pPr>
            <w:r>
              <w:rPr>
                <w:rFonts w:ascii="Avenir Next Condensed"/>
                <w:sz w:val="18"/>
              </w:rPr>
              <w:t>2.55</w:t>
            </w:r>
          </w:p>
        </w:tc>
        <w:tc>
          <w:tcPr>
            <w:tcW w:w="11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rPr>
                <w:rFonts w:ascii="Avenir Next Condensed" w:eastAsia="Avenir Next Condensed" w:hAnsi="Avenir Next Condensed" w:cs="Avenir Next Condensed"/>
                <w:sz w:val="18"/>
                <w:szCs w:val="18"/>
              </w:rPr>
            </w:pPr>
            <w:r>
              <w:rPr>
                <w:rFonts w:ascii="Avenir Next Condensed"/>
                <w:sz w:val="18"/>
              </w:rPr>
              <w:t>2.64</w:t>
            </w:r>
          </w:p>
        </w:tc>
        <w:tc>
          <w:tcPr>
            <w:tcW w:w="413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3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t-1</w:t>
            </w:r>
            <w:r>
              <w:rPr>
                <w:rFonts w:ascii="Avenir Next Condensed" w:eastAsia="Avenir Next Condensed" w:hAnsi="Avenir Next Condensed" w:cs="Avenir Next Condensed"/>
                <w:sz w:val="18"/>
                <w:szCs w:val="18"/>
              </w:rPr>
              <w:t>×(1+CPI</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(1-X%)</w:t>
            </w:r>
          </w:p>
        </w:tc>
      </w:tr>
      <w:tr w:rsidR="00D96B91">
        <w:trPr>
          <w:trHeight w:hRule="exact" w:val="407"/>
        </w:trPr>
        <w:tc>
          <w:tcPr>
            <w:tcW w:w="299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Tier</w:t>
            </w:r>
            <w:r>
              <w:rPr>
                <w:rFonts w:ascii="Avenir Next Condensed"/>
                <w:sz w:val="18"/>
              </w:rPr>
              <w:t xml:space="preserve"> 2 (0-200 kL</w:t>
            </w:r>
            <w:r>
              <w:rPr>
                <w:rFonts w:ascii="Avenir Next Condensed"/>
                <w:spacing w:val="-5"/>
                <w:sz w:val="18"/>
              </w:rPr>
              <w:t xml:space="preserve"> </w:t>
            </w:r>
            <w:r>
              <w:rPr>
                <w:rFonts w:ascii="Avenir Next Condensed"/>
                <w:sz w:val="18"/>
              </w:rPr>
              <w:t>pa) ($/kL)</w:t>
            </w:r>
          </w:p>
        </w:tc>
        <w:tc>
          <w:tcPr>
            <w:tcW w:w="11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rPr>
                <w:rFonts w:ascii="Avenir Next Condensed" w:eastAsia="Avenir Next Condensed" w:hAnsi="Avenir Next Condensed" w:cs="Avenir Next Condensed"/>
                <w:sz w:val="18"/>
                <w:szCs w:val="18"/>
              </w:rPr>
            </w:pPr>
            <w:r>
              <w:rPr>
                <w:rFonts w:ascii="Avenir Next Condensed"/>
                <w:sz w:val="18"/>
              </w:rPr>
              <w:t>5.10</w:t>
            </w:r>
          </w:p>
        </w:tc>
        <w:tc>
          <w:tcPr>
            <w:tcW w:w="114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505"/>
              <w:rPr>
                <w:rFonts w:ascii="Avenir Next Condensed" w:eastAsia="Avenir Next Condensed" w:hAnsi="Avenir Next Condensed" w:cs="Avenir Next Condensed"/>
                <w:sz w:val="18"/>
                <w:szCs w:val="18"/>
              </w:rPr>
            </w:pPr>
            <w:r>
              <w:rPr>
                <w:rFonts w:ascii="Avenir Next Condensed"/>
                <w:sz w:val="18"/>
              </w:rPr>
              <w:t>5.29</w:t>
            </w:r>
          </w:p>
        </w:tc>
        <w:tc>
          <w:tcPr>
            <w:tcW w:w="4134"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234"/>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t-1</w:t>
            </w:r>
            <w:r>
              <w:rPr>
                <w:rFonts w:ascii="Avenir Next Condensed" w:eastAsia="Avenir Next Condensed" w:hAnsi="Avenir Next Condensed" w:cs="Avenir Next Condensed"/>
                <w:sz w:val="18"/>
                <w:szCs w:val="18"/>
              </w:rPr>
              <w:t>×(1+CPI</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(1-X%)</w:t>
            </w:r>
          </w:p>
        </w:tc>
      </w:tr>
    </w:tbl>
    <w:p w:rsidR="00D96B91" w:rsidRDefault="00D96B91">
      <w:pPr>
        <w:rPr>
          <w:rFonts w:ascii="Avenir Next Condensed" w:eastAsia="Avenir Next Condensed" w:hAnsi="Avenir Next Condensed" w:cs="Avenir Next Condensed"/>
          <w:sz w:val="18"/>
          <w:szCs w:val="18"/>
        </w:rPr>
        <w:sectPr w:rsidR="00D96B91">
          <w:pgSz w:w="11910" w:h="16840"/>
          <w:pgMar w:top="1260" w:right="0" w:bottom="1020" w:left="0" w:header="0" w:footer="829" w:gutter="0"/>
          <w:cols w:space="720"/>
        </w:sectPr>
      </w:pPr>
    </w:p>
    <w:p w:rsidR="00D96B91" w:rsidRDefault="00C2656B">
      <w:pPr>
        <w:pStyle w:val="BodyText"/>
        <w:spacing w:before="29"/>
        <w:rPr>
          <w:rFonts w:cs="Avenir Next"/>
        </w:rPr>
      </w:pPr>
      <w:bookmarkStart w:id="263" w:name="6._2._Sewerage_services"/>
      <w:bookmarkStart w:id="264" w:name="_bookmark164"/>
      <w:bookmarkEnd w:id="263"/>
      <w:bookmarkEnd w:id="264"/>
      <w:r>
        <w:rPr>
          <w:spacing w:val="-1"/>
        </w:rPr>
        <w:t>Where:</w:t>
      </w:r>
    </w:p>
    <w:p w:rsidR="00D96B91" w:rsidRDefault="00D96B91">
      <w:pPr>
        <w:rPr>
          <w:rFonts w:ascii="Avenir Next" w:eastAsia="Avenir Next" w:hAnsi="Avenir Next" w:cs="Avenir Next"/>
          <w:sz w:val="11"/>
          <w:szCs w:val="11"/>
        </w:rPr>
      </w:pPr>
    </w:p>
    <w:tbl>
      <w:tblPr>
        <w:tblW w:w="0" w:type="auto"/>
        <w:tblInd w:w="1017" w:type="dxa"/>
        <w:tblLayout w:type="fixed"/>
        <w:tblCellMar>
          <w:left w:w="0" w:type="dxa"/>
          <w:right w:w="0" w:type="dxa"/>
        </w:tblCellMar>
        <w:tblLook w:val="01E0"/>
      </w:tblPr>
      <w:tblGrid>
        <w:gridCol w:w="719"/>
        <w:gridCol w:w="7424"/>
      </w:tblGrid>
      <w:tr w:rsidR="00D96B91">
        <w:trPr>
          <w:trHeight w:hRule="exact" w:val="397"/>
        </w:trPr>
        <w:tc>
          <w:tcPr>
            <w:tcW w:w="719" w:type="dxa"/>
            <w:tcBorders>
              <w:top w:val="nil"/>
              <w:left w:val="nil"/>
              <w:bottom w:val="nil"/>
              <w:right w:val="nil"/>
            </w:tcBorders>
          </w:tcPr>
          <w:p w:rsidR="00D96B91" w:rsidRDefault="00C2656B">
            <w:pPr>
              <w:pStyle w:val="TableParagraph"/>
              <w:spacing w:before="6"/>
              <w:ind w:left="230"/>
              <w:rPr>
                <w:rFonts w:ascii="Avenir Next" w:eastAsia="Avenir Next" w:hAnsi="Avenir Next" w:cs="Avenir Next"/>
                <w:sz w:val="11"/>
                <w:szCs w:val="11"/>
              </w:rPr>
            </w:pPr>
            <w:r>
              <w:rPr>
                <w:rFonts w:ascii="Avenir Next"/>
                <w:sz w:val="20"/>
              </w:rPr>
              <w:t>P</w:t>
            </w:r>
            <w:r>
              <w:rPr>
                <w:rFonts w:ascii="Avenir Next"/>
                <w:position w:val="-6"/>
                <w:sz w:val="11"/>
              </w:rPr>
              <w:t>t</w:t>
            </w:r>
          </w:p>
        </w:tc>
        <w:tc>
          <w:tcPr>
            <w:tcW w:w="7424" w:type="dxa"/>
            <w:tcBorders>
              <w:top w:val="nil"/>
              <w:left w:val="nil"/>
              <w:bottom w:val="nil"/>
              <w:right w:val="nil"/>
            </w:tcBorders>
          </w:tcPr>
          <w:p w:rsidR="00D96B91" w:rsidRDefault="00C2656B">
            <w:pPr>
              <w:pStyle w:val="TableParagraph"/>
              <w:spacing w:before="6"/>
              <w:ind w:left="231"/>
              <w:rPr>
                <w:rFonts w:ascii="Avenir Next" w:eastAsia="Avenir Next" w:hAnsi="Avenir Next" w:cs="Avenir Next"/>
                <w:sz w:val="20"/>
                <w:szCs w:val="20"/>
              </w:rPr>
            </w:pPr>
            <w:r>
              <w:rPr>
                <w:rFonts w:ascii="Avenir Next"/>
                <w:sz w:val="20"/>
              </w:rPr>
              <w:t xml:space="preserve">is the price to be </w:t>
            </w:r>
            <w:r>
              <w:rPr>
                <w:rFonts w:ascii="Avenir Next"/>
                <w:spacing w:val="-1"/>
                <w:sz w:val="20"/>
              </w:rPr>
              <w:t>charged</w:t>
            </w:r>
            <w:r>
              <w:rPr>
                <w:rFonts w:ascii="Avenir Next"/>
                <w:sz w:val="20"/>
              </w:rPr>
              <w:t xml:space="preserve"> for the </w:t>
            </w:r>
            <w:r>
              <w:rPr>
                <w:rFonts w:ascii="Avenir Next"/>
                <w:spacing w:val="-1"/>
                <w:sz w:val="20"/>
              </w:rPr>
              <w:t>relevant</w:t>
            </w:r>
            <w:r>
              <w:rPr>
                <w:rFonts w:ascii="Avenir Next"/>
                <w:sz w:val="20"/>
              </w:rPr>
              <w:t xml:space="preserve"> service in the </w:t>
            </w:r>
            <w:r>
              <w:rPr>
                <w:rFonts w:ascii="Avenir Next"/>
                <w:spacing w:val="-1"/>
                <w:sz w:val="20"/>
              </w:rPr>
              <w:t>regulatory</w:t>
            </w:r>
            <w:r>
              <w:rPr>
                <w:rFonts w:ascii="Avenir Next"/>
                <w:sz w:val="20"/>
              </w:rPr>
              <w:t xml:space="preserve"> </w:t>
            </w:r>
            <w:r>
              <w:rPr>
                <w:rFonts w:ascii="Avenir Next"/>
                <w:spacing w:val="-1"/>
                <w:sz w:val="20"/>
              </w:rPr>
              <w:t>year</w:t>
            </w:r>
            <w:r>
              <w:rPr>
                <w:rFonts w:ascii="Avenir Next"/>
                <w:sz w:val="20"/>
              </w:rPr>
              <w:t xml:space="preserve"> t;</w:t>
            </w:r>
          </w:p>
        </w:tc>
      </w:tr>
      <w:tr w:rsidR="00D96B91">
        <w:trPr>
          <w:trHeight w:hRule="exact" w:val="430"/>
        </w:trPr>
        <w:tc>
          <w:tcPr>
            <w:tcW w:w="719" w:type="dxa"/>
            <w:tcBorders>
              <w:top w:val="nil"/>
              <w:left w:val="nil"/>
              <w:bottom w:val="nil"/>
              <w:right w:val="nil"/>
            </w:tcBorders>
          </w:tcPr>
          <w:p w:rsidR="00D96B91" w:rsidRDefault="00C2656B">
            <w:pPr>
              <w:pStyle w:val="TableParagraph"/>
              <w:spacing w:before="36"/>
              <w:ind w:left="230"/>
              <w:rPr>
                <w:rFonts w:ascii="Avenir Next" w:eastAsia="Avenir Next" w:hAnsi="Avenir Next" w:cs="Avenir Next"/>
                <w:sz w:val="11"/>
                <w:szCs w:val="11"/>
              </w:rPr>
            </w:pPr>
            <w:r>
              <w:rPr>
                <w:rFonts w:ascii="Avenir Next"/>
                <w:w w:val="105"/>
                <w:position w:val="7"/>
                <w:sz w:val="20"/>
              </w:rPr>
              <w:t>P</w:t>
            </w:r>
            <w:r>
              <w:rPr>
                <w:rFonts w:ascii="Avenir Next"/>
                <w:w w:val="105"/>
                <w:sz w:val="11"/>
              </w:rPr>
              <w:t>t-1</w:t>
            </w:r>
          </w:p>
        </w:tc>
        <w:tc>
          <w:tcPr>
            <w:tcW w:w="7424" w:type="dxa"/>
            <w:tcBorders>
              <w:top w:val="nil"/>
              <w:left w:val="nil"/>
              <w:bottom w:val="nil"/>
              <w:right w:val="nil"/>
            </w:tcBorders>
          </w:tcPr>
          <w:p w:rsidR="00D96B91" w:rsidRDefault="00C2656B">
            <w:pPr>
              <w:pStyle w:val="TableParagraph"/>
              <w:spacing w:before="39"/>
              <w:ind w:left="231"/>
              <w:rPr>
                <w:rFonts w:ascii="Avenir Next" w:eastAsia="Avenir Next" w:hAnsi="Avenir Next" w:cs="Avenir Next"/>
                <w:sz w:val="20"/>
                <w:szCs w:val="20"/>
              </w:rPr>
            </w:pPr>
            <w:r>
              <w:rPr>
                <w:rFonts w:ascii="Avenir Next"/>
                <w:sz w:val="20"/>
              </w:rPr>
              <w:t xml:space="preserve">is the price </w:t>
            </w:r>
            <w:r>
              <w:rPr>
                <w:rFonts w:ascii="Avenir Next"/>
                <w:spacing w:val="-1"/>
                <w:sz w:val="20"/>
              </w:rPr>
              <w:t>charged</w:t>
            </w:r>
            <w:r>
              <w:rPr>
                <w:rFonts w:ascii="Avenir Next"/>
                <w:sz w:val="20"/>
              </w:rPr>
              <w:t xml:space="preserve"> for the </w:t>
            </w:r>
            <w:r>
              <w:rPr>
                <w:rFonts w:ascii="Avenir Next"/>
                <w:spacing w:val="-1"/>
                <w:sz w:val="20"/>
              </w:rPr>
              <w:t>relevant</w:t>
            </w:r>
            <w:r>
              <w:rPr>
                <w:rFonts w:ascii="Avenir Next"/>
                <w:sz w:val="20"/>
              </w:rPr>
              <w:t xml:space="preserve"> service in the </w:t>
            </w:r>
            <w:r>
              <w:rPr>
                <w:rFonts w:ascii="Avenir Next"/>
                <w:spacing w:val="-1"/>
                <w:sz w:val="20"/>
              </w:rPr>
              <w:t>preceding</w:t>
            </w:r>
            <w:r>
              <w:rPr>
                <w:rFonts w:ascii="Avenir Next"/>
                <w:sz w:val="20"/>
              </w:rPr>
              <w:t xml:space="preserve"> </w:t>
            </w:r>
            <w:r>
              <w:rPr>
                <w:rFonts w:ascii="Avenir Next"/>
                <w:spacing w:val="-1"/>
                <w:sz w:val="20"/>
              </w:rPr>
              <w:t>regulatory</w:t>
            </w:r>
            <w:r>
              <w:rPr>
                <w:rFonts w:ascii="Avenir Next"/>
                <w:sz w:val="20"/>
              </w:rPr>
              <w:t xml:space="preserve"> </w:t>
            </w:r>
            <w:r>
              <w:rPr>
                <w:rFonts w:ascii="Avenir Next"/>
                <w:spacing w:val="-1"/>
                <w:sz w:val="20"/>
              </w:rPr>
              <w:t>year;</w:t>
            </w:r>
          </w:p>
        </w:tc>
      </w:tr>
      <w:tr w:rsidR="00D96B91">
        <w:trPr>
          <w:trHeight w:hRule="exact" w:val="353"/>
        </w:trPr>
        <w:tc>
          <w:tcPr>
            <w:tcW w:w="719" w:type="dxa"/>
            <w:tcBorders>
              <w:top w:val="nil"/>
              <w:left w:val="nil"/>
              <w:bottom w:val="nil"/>
              <w:right w:val="nil"/>
            </w:tcBorders>
          </w:tcPr>
          <w:p w:rsidR="00D96B91" w:rsidRDefault="00C2656B">
            <w:pPr>
              <w:pStyle w:val="TableParagraph"/>
              <w:spacing w:before="39"/>
              <w:ind w:left="230"/>
              <w:rPr>
                <w:rFonts w:ascii="Avenir Next" w:eastAsia="Avenir Next" w:hAnsi="Avenir Next" w:cs="Avenir Next"/>
                <w:sz w:val="20"/>
                <w:szCs w:val="20"/>
              </w:rPr>
            </w:pPr>
            <w:r>
              <w:rPr>
                <w:rFonts w:ascii="Avenir Next"/>
                <w:sz w:val="20"/>
              </w:rPr>
              <w:t>X</w:t>
            </w:r>
          </w:p>
        </w:tc>
        <w:tc>
          <w:tcPr>
            <w:tcW w:w="7424" w:type="dxa"/>
            <w:tcBorders>
              <w:top w:val="nil"/>
              <w:left w:val="nil"/>
              <w:bottom w:val="nil"/>
              <w:right w:val="nil"/>
            </w:tcBorders>
          </w:tcPr>
          <w:p w:rsidR="00D96B91" w:rsidRDefault="00C2656B">
            <w:pPr>
              <w:pStyle w:val="TableParagraph"/>
              <w:spacing w:before="39"/>
              <w:ind w:left="231"/>
              <w:rPr>
                <w:rFonts w:ascii="Avenir Next"/>
                <w:sz w:val="20"/>
              </w:rPr>
            </w:pPr>
            <w:r>
              <w:rPr>
                <w:rFonts w:ascii="Avenir Next"/>
                <w:sz w:val="20"/>
              </w:rPr>
              <w:t>is 7.5% in 2015-16 and 2.4% in 2016-17 and 2017-18;</w:t>
            </w:r>
          </w:p>
          <w:p w:rsidR="00BA391C" w:rsidRDefault="00BA391C">
            <w:pPr>
              <w:pStyle w:val="TableParagraph"/>
              <w:spacing w:before="39"/>
              <w:ind w:left="231"/>
              <w:rPr>
                <w:rFonts w:ascii="Avenir Next"/>
                <w:sz w:val="20"/>
              </w:rPr>
            </w:pPr>
          </w:p>
          <w:p w:rsidR="00BA391C" w:rsidRDefault="00BA391C">
            <w:pPr>
              <w:pStyle w:val="TableParagraph"/>
              <w:spacing w:before="39"/>
              <w:ind w:left="231"/>
              <w:rPr>
                <w:rFonts w:ascii="Avenir Next"/>
                <w:sz w:val="20"/>
              </w:rPr>
            </w:pPr>
          </w:p>
          <w:p w:rsidR="00BA391C" w:rsidRDefault="00BA391C">
            <w:pPr>
              <w:pStyle w:val="TableParagraph"/>
              <w:spacing w:before="39"/>
              <w:ind w:left="231"/>
              <w:rPr>
                <w:rFonts w:ascii="Avenir Next"/>
                <w:sz w:val="20"/>
              </w:rPr>
            </w:pPr>
          </w:p>
          <w:p w:rsidR="00BA391C" w:rsidRDefault="00BA391C">
            <w:pPr>
              <w:pStyle w:val="TableParagraph"/>
              <w:spacing w:before="39"/>
              <w:ind w:left="231"/>
              <w:rPr>
                <w:rFonts w:ascii="Avenir Next" w:eastAsia="Avenir Next" w:hAnsi="Avenir Next" w:cs="Avenir Next"/>
                <w:sz w:val="20"/>
                <w:szCs w:val="20"/>
              </w:rPr>
            </w:pPr>
          </w:p>
        </w:tc>
      </w:tr>
    </w:tbl>
    <w:p w:rsidR="00BA391C" w:rsidRDefault="00BA391C" w:rsidP="00BA391C">
      <w:pPr>
        <w:spacing w:before="1"/>
        <w:ind w:left="1276"/>
        <w:rPr>
          <w:rFonts w:ascii="Avenir Next" w:eastAsia="Avenir Next" w:hAnsi="Avenir Next" w:cs="Avenir Next"/>
          <w:sz w:val="28"/>
          <w:szCs w:val="28"/>
        </w:rPr>
      </w:pPr>
      <m:oMathPara>
        <m:oMathParaPr>
          <m:jc m:val="left"/>
        </m:oMathParaPr>
        <m:oMath>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t</m:t>
              </m:r>
            </m:sub>
          </m:sSub>
          <m:r>
            <w:rPr>
              <w:rFonts w:ascii="Cambria Math" w:hAnsi="Cambria Math"/>
              <w:vertAlign w:val="subscript"/>
            </w:rPr>
            <m:t>=</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June</m:t>
                  </m:r>
                  <m:d>
                    <m:dPr>
                      <m:ctrlPr>
                        <w:rPr>
                          <w:rFonts w:ascii="Cambria Math" w:hAnsi="Cambria Math"/>
                          <w:i/>
                          <w:vertAlign w:val="subscript"/>
                        </w:rPr>
                      </m:ctrlPr>
                    </m:dPr>
                    <m:e>
                      <m:r>
                        <w:rPr>
                          <w:rFonts w:ascii="Cambria Math" w:hAnsi="Cambria Math"/>
                          <w:vertAlign w:val="subscript"/>
                        </w:rPr>
                        <m:t>t-2</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Sep</m:t>
                  </m:r>
                  <m:d>
                    <m:dPr>
                      <m:ctrlPr>
                        <w:rPr>
                          <w:rFonts w:ascii="Cambria Math" w:hAnsi="Cambria Math"/>
                          <w:i/>
                          <w:vertAlign w:val="subscript"/>
                        </w:rPr>
                      </m:ctrlPr>
                    </m:dPr>
                    <m:e>
                      <m:r>
                        <w:rPr>
                          <w:rFonts w:ascii="Cambria Math" w:hAnsi="Cambria Math"/>
                          <w:vertAlign w:val="subscript"/>
                        </w:rPr>
                        <m:t>t-1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Dec</m:t>
                  </m:r>
                  <m:d>
                    <m:dPr>
                      <m:ctrlPr>
                        <w:rPr>
                          <w:rFonts w:ascii="Cambria Math" w:hAnsi="Cambria Math"/>
                          <w:i/>
                          <w:vertAlign w:val="subscript"/>
                        </w:rPr>
                      </m:ctrlPr>
                    </m:dPr>
                    <m:e>
                      <m:r>
                        <w:rPr>
                          <w:rFonts w:ascii="Cambria Math" w:hAnsi="Cambria Math"/>
                          <w:vertAlign w:val="subscript"/>
                        </w:rPr>
                        <m:t>t-1</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Mar</m:t>
                  </m:r>
                  <m:d>
                    <m:dPr>
                      <m:ctrlPr>
                        <w:rPr>
                          <w:rFonts w:ascii="Cambria Math" w:hAnsi="Cambria Math"/>
                          <w:i/>
                          <w:vertAlign w:val="subscript"/>
                        </w:rPr>
                      </m:ctrlPr>
                    </m:dPr>
                    <m:e>
                      <m:r>
                        <w:rPr>
                          <w:rFonts w:ascii="Cambria Math" w:hAnsi="Cambria Math"/>
                          <w:vertAlign w:val="subscript"/>
                        </w:rPr>
                        <m:t>t-1</m:t>
                      </m:r>
                    </m:e>
                  </m:d>
                </m:sub>
              </m:sSub>
            </m:num>
            <m:den>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June</m:t>
                  </m:r>
                  <m:d>
                    <m:dPr>
                      <m:ctrlPr>
                        <w:rPr>
                          <w:rFonts w:ascii="Cambria Math" w:hAnsi="Cambria Math"/>
                          <w:i/>
                          <w:vertAlign w:val="subscript"/>
                        </w:rPr>
                      </m:ctrlPr>
                    </m:dPr>
                    <m:e>
                      <m:r>
                        <w:rPr>
                          <w:rFonts w:ascii="Cambria Math" w:hAnsi="Cambria Math"/>
                          <w:vertAlign w:val="subscript"/>
                        </w:rPr>
                        <m:t>t-3</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Sep</m:t>
                  </m:r>
                  <m:d>
                    <m:dPr>
                      <m:ctrlPr>
                        <w:rPr>
                          <w:rFonts w:ascii="Cambria Math" w:hAnsi="Cambria Math"/>
                          <w:i/>
                          <w:vertAlign w:val="subscript"/>
                        </w:rPr>
                      </m:ctrlPr>
                    </m:dPr>
                    <m:e>
                      <m:r>
                        <w:rPr>
                          <w:rFonts w:ascii="Cambria Math" w:hAnsi="Cambria Math"/>
                          <w:vertAlign w:val="subscript"/>
                        </w:rPr>
                        <m:t>t-2</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Dec</m:t>
                  </m:r>
                  <m:d>
                    <m:dPr>
                      <m:ctrlPr>
                        <w:rPr>
                          <w:rFonts w:ascii="Cambria Math" w:hAnsi="Cambria Math"/>
                          <w:i/>
                          <w:vertAlign w:val="subscript"/>
                        </w:rPr>
                      </m:ctrlPr>
                    </m:dPr>
                    <m:e>
                      <m:r>
                        <w:rPr>
                          <w:rFonts w:ascii="Cambria Math" w:hAnsi="Cambria Math"/>
                          <w:vertAlign w:val="subscript"/>
                        </w:rPr>
                        <m:t>t-2</m:t>
                      </m:r>
                    </m:e>
                  </m:d>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CPI</m:t>
                  </m:r>
                </m:e>
                <m:sub>
                  <m:r>
                    <w:rPr>
                      <w:rFonts w:ascii="Cambria Math" w:hAnsi="Cambria Math"/>
                      <w:vertAlign w:val="subscript"/>
                    </w:rPr>
                    <m:t>Mar</m:t>
                  </m:r>
                  <m:d>
                    <m:dPr>
                      <m:ctrlPr>
                        <w:rPr>
                          <w:rFonts w:ascii="Cambria Math" w:hAnsi="Cambria Math"/>
                          <w:i/>
                          <w:vertAlign w:val="subscript"/>
                        </w:rPr>
                      </m:ctrlPr>
                    </m:dPr>
                    <m:e>
                      <m:r>
                        <w:rPr>
                          <w:rFonts w:ascii="Cambria Math" w:hAnsi="Cambria Math"/>
                          <w:vertAlign w:val="subscript"/>
                        </w:rPr>
                        <m:t>t-2</m:t>
                      </m:r>
                    </m:e>
                  </m:d>
                </m:sub>
              </m:sSub>
            </m:den>
          </m:f>
        </m:oMath>
      </m:oMathPara>
    </w:p>
    <w:p w:rsidR="00D96B91" w:rsidRDefault="00D96B91">
      <w:pPr>
        <w:spacing w:line="225" w:lineRule="exact"/>
        <w:rPr>
          <w:rFonts w:ascii="Cambria" w:eastAsia="Cambria" w:hAnsi="Cambria" w:cs="Cambria"/>
          <w:sz w:val="17"/>
          <w:szCs w:val="17"/>
        </w:rPr>
        <w:sectPr w:rsidR="00D96B91">
          <w:pgSz w:w="11910" w:h="16840"/>
          <w:pgMar w:top="1200" w:right="0" w:bottom="1020" w:left="0" w:header="0" w:footer="829" w:gutter="0"/>
          <w:cols w:space="720"/>
        </w:sectPr>
      </w:pPr>
    </w:p>
    <w:p w:rsidR="00D96B91" w:rsidRDefault="00D96B91">
      <w:pPr>
        <w:rPr>
          <w:rFonts w:ascii="Cambria" w:eastAsia="Cambria" w:hAnsi="Cambria" w:cs="Cambria"/>
          <w:sz w:val="20"/>
          <w:szCs w:val="20"/>
        </w:rPr>
      </w:pPr>
    </w:p>
    <w:p w:rsidR="00D96B91" w:rsidRDefault="00C2656B">
      <w:pPr>
        <w:pStyle w:val="BodyText"/>
        <w:spacing w:before="38" w:line="260" w:lineRule="exact"/>
        <w:ind w:left="1967" w:right="1256"/>
      </w:pPr>
      <w:r>
        <w:rPr>
          <w:rFonts w:cs="Avenir Next"/>
          <w:i/>
        </w:rPr>
        <w:t xml:space="preserve">CPI </w:t>
      </w:r>
      <w:r>
        <w:rPr>
          <w:rFonts w:cs="Avenir Next"/>
          <w:spacing w:val="-1"/>
        </w:rPr>
        <w:t>means</w:t>
      </w:r>
      <w:r>
        <w:rPr>
          <w:rFonts w:cs="Avenir Next"/>
        </w:rPr>
        <w:t xml:space="preserve"> the</w:t>
      </w:r>
      <w:r>
        <w:rPr>
          <w:rFonts w:cs="Avenir Next"/>
          <w:spacing w:val="-4"/>
        </w:rPr>
        <w:t xml:space="preserve"> </w:t>
      </w:r>
      <w:r>
        <w:rPr>
          <w:rFonts w:cs="Avenir Next"/>
        </w:rPr>
        <w:t xml:space="preserve">All </w:t>
      </w:r>
      <w:r>
        <w:rPr>
          <w:rFonts w:cs="Avenir Next"/>
          <w:spacing w:val="-1"/>
        </w:rPr>
        <w:t>Groups</w:t>
      </w:r>
      <w:r>
        <w:rPr>
          <w:rFonts w:cs="Avenir Next"/>
        </w:rPr>
        <w:t xml:space="preserve"> consumer price </w:t>
      </w:r>
      <w:r>
        <w:rPr>
          <w:rFonts w:cs="Avenir Next"/>
          <w:spacing w:val="-1"/>
        </w:rPr>
        <w:t>index</w:t>
      </w:r>
      <w:r>
        <w:rPr>
          <w:rFonts w:cs="Avenir Next"/>
        </w:rPr>
        <w:t xml:space="preserve"> as published by the</w:t>
      </w:r>
      <w:r>
        <w:rPr>
          <w:rFonts w:cs="Avenir Next"/>
          <w:spacing w:val="-4"/>
        </w:rPr>
        <w:t xml:space="preserve"> </w:t>
      </w:r>
      <w:r>
        <w:rPr>
          <w:rFonts w:cs="Avenir Next"/>
          <w:spacing w:val="-1"/>
        </w:rPr>
        <w:t>Australian</w:t>
      </w:r>
      <w:r>
        <w:rPr>
          <w:rFonts w:cs="Avenir Next"/>
        </w:rPr>
        <w:t xml:space="preserve"> </w:t>
      </w:r>
      <w:r>
        <w:rPr>
          <w:rFonts w:cs="Avenir Next"/>
          <w:spacing w:val="-1"/>
        </w:rPr>
        <w:t>Bureau</w:t>
      </w:r>
      <w:r>
        <w:rPr>
          <w:rFonts w:cs="Avenir Next"/>
        </w:rPr>
        <w:t xml:space="preserve"> of</w:t>
      </w:r>
      <w:r>
        <w:rPr>
          <w:rFonts w:cs="Avenir Next"/>
          <w:spacing w:val="31"/>
        </w:rPr>
        <w:t xml:space="preserve"> </w:t>
      </w:r>
      <w:r>
        <w:rPr>
          <w:spacing w:val="-1"/>
        </w:rPr>
        <w:t>Statistics.</w:t>
      </w:r>
      <w:r>
        <w:rPr>
          <w:spacing w:val="-9"/>
        </w:rPr>
        <w:t xml:space="preserve"> </w:t>
      </w:r>
      <w:r>
        <w:rPr>
          <w:spacing w:val="-1"/>
        </w:rPr>
        <w:t>Where</w:t>
      </w:r>
      <w:r>
        <w:t xml:space="preserve"> the</w:t>
      </w:r>
      <w:r>
        <w:rPr>
          <w:spacing w:val="-4"/>
        </w:rPr>
        <w:t xml:space="preserve"> </w:t>
      </w:r>
      <w:r>
        <w:rPr>
          <w:spacing w:val="-1"/>
        </w:rPr>
        <w:t>Australian</w:t>
      </w:r>
      <w:r>
        <w:t xml:space="preserve"> </w:t>
      </w:r>
      <w:r>
        <w:rPr>
          <w:spacing w:val="-1"/>
        </w:rPr>
        <w:t>Bureau</w:t>
      </w:r>
      <w:r>
        <w:t xml:space="preserve"> of</w:t>
      </w:r>
      <w:r>
        <w:rPr>
          <w:spacing w:val="4"/>
        </w:rPr>
        <w:t xml:space="preserve"> </w:t>
      </w:r>
      <w:r>
        <w:rPr>
          <w:spacing w:val="-1"/>
        </w:rPr>
        <w:t>Statistics</w:t>
      </w:r>
      <w:r>
        <w:t xml:space="preserve"> does not or </w:t>
      </w:r>
      <w:r>
        <w:rPr>
          <w:spacing w:val="-1"/>
        </w:rPr>
        <w:t>ceases</w:t>
      </w:r>
      <w:r>
        <w:t xml:space="preserve"> to publish the </w:t>
      </w:r>
      <w:r>
        <w:rPr>
          <w:spacing w:val="-1"/>
        </w:rPr>
        <w:t>index,</w:t>
      </w:r>
      <w:r>
        <w:rPr>
          <w:spacing w:val="-6"/>
        </w:rPr>
        <w:t xml:space="preserve"> </w:t>
      </w:r>
      <w:r>
        <w:t>then</w:t>
      </w:r>
      <w:r>
        <w:rPr>
          <w:spacing w:val="59"/>
        </w:rPr>
        <w:t xml:space="preserve"> </w:t>
      </w:r>
      <w:r>
        <w:t xml:space="preserve">CPI will </w:t>
      </w:r>
      <w:r>
        <w:rPr>
          <w:spacing w:val="-1"/>
        </w:rPr>
        <w:t>mean</w:t>
      </w:r>
      <w:r>
        <w:t xml:space="preserve"> the </w:t>
      </w:r>
      <w:r>
        <w:rPr>
          <w:spacing w:val="-2"/>
        </w:rPr>
        <w:t>Commission’s</w:t>
      </w:r>
      <w:r>
        <w:t xml:space="preserve"> </w:t>
      </w:r>
      <w:r>
        <w:rPr>
          <w:spacing w:val="-1"/>
        </w:rPr>
        <w:t>estimate</w:t>
      </w:r>
      <w:r>
        <w:t xml:space="preserve"> of</w:t>
      </w:r>
      <w:r>
        <w:rPr>
          <w:spacing w:val="4"/>
        </w:rPr>
        <w:t xml:space="preserve"> </w:t>
      </w:r>
      <w:r>
        <w:t>the level of</w:t>
      </w:r>
      <w:r>
        <w:rPr>
          <w:spacing w:val="4"/>
        </w:rPr>
        <w:t xml:space="preserve"> </w:t>
      </w:r>
      <w:r>
        <w:t>consumer prices; and</w:t>
      </w:r>
    </w:p>
    <w:p w:rsidR="00D96B91" w:rsidRDefault="00C2656B">
      <w:pPr>
        <w:pStyle w:val="BodyText"/>
        <w:tabs>
          <w:tab w:val="left" w:pos="1967"/>
        </w:tabs>
        <w:spacing w:before="170" w:line="260" w:lineRule="exact"/>
        <w:ind w:left="1967" w:right="1317" w:hanging="720"/>
      </w:pPr>
      <w:r>
        <w:rPr>
          <w:i/>
        </w:rPr>
        <w:t>t</w:t>
      </w:r>
      <w:r>
        <w:rPr>
          <w:i/>
        </w:rPr>
        <w:tab/>
      </w:r>
      <w:r>
        <w:t xml:space="preserve">can </w:t>
      </w:r>
      <w:r>
        <w:rPr>
          <w:spacing w:val="-1"/>
        </w:rPr>
        <w:t>take</w:t>
      </w:r>
      <w:r>
        <w:t xml:space="preserve"> on the value of</w:t>
      </w:r>
      <w:r>
        <w:rPr>
          <w:spacing w:val="4"/>
        </w:rPr>
        <w:t xml:space="preserve"> </w:t>
      </w:r>
      <w:r>
        <w:t>2015-16,</w:t>
      </w:r>
      <w:r>
        <w:rPr>
          <w:spacing w:val="-6"/>
        </w:rPr>
        <w:t xml:space="preserve"> </w:t>
      </w:r>
      <w:r>
        <w:t xml:space="preserve">2016-17 or 2017-18 for the </w:t>
      </w:r>
      <w:r>
        <w:rPr>
          <w:spacing w:val="-1"/>
        </w:rPr>
        <w:t>relevant</w:t>
      </w:r>
      <w:r>
        <w:t xml:space="preserve"> </w:t>
      </w:r>
      <w:r>
        <w:rPr>
          <w:spacing w:val="-1"/>
        </w:rPr>
        <w:t>year</w:t>
      </w:r>
      <w:r>
        <w:t xml:space="preserve"> of</w:t>
      </w:r>
      <w:r>
        <w:rPr>
          <w:spacing w:val="4"/>
        </w:rPr>
        <w:t xml:space="preserve"> </w:t>
      </w:r>
      <w:r>
        <w:t>the adjustment in</w:t>
      </w:r>
      <w:hyperlink w:anchor="_bookmark163" w:history="1">
        <w:r>
          <w:rPr>
            <w:spacing w:val="27"/>
          </w:rPr>
          <w:t xml:space="preserve"> </w:t>
        </w:r>
        <w:r>
          <w:rPr>
            <w:spacing w:val="-4"/>
          </w:rPr>
          <w:t>Table</w:t>
        </w:r>
        <w:r>
          <w:t xml:space="preserve"> 15.6</w:t>
        </w:r>
      </w:hyperlink>
      <w:r>
        <w:t>.</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6.</w:t>
      </w:r>
      <w:r>
        <w:rPr>
          <w:color w:val="0778BE"/>
          <w:spacing w:val="-9"/>
        </w:rPr>
        <w:t xml:space="preserve"> </w:t>
      </w:r>
      <w:r>
        <w:rPr>
          <w:color w:val="0778BE"/>
        </w:rPr>
        <w:t>2.</w:t>
      </w:r>
      <w:r>
        <w:rPr>
          <w:color w:val="0778BE"/>
          <w:spacing w:val="74"/>
        </w:rPr>
        <w:t xml:space="preserve"> </w:t>
      </w:r>
      <w:r>
        <w:rPr>
          <w:color w:val="0778BE"/>
          <w:spacing w:val="-1"/>
        </w:rPr>
        <w:t>Sewerage</w:t>
      </w:r>
      <w:r>
        <w:rPr>
          <w:color w:val="0778BE"/>
        </w:rPr>
        <w:t xml:space="preserve"> services</w:t>
      </w:r>
    </w:p>
    <w:p w:rsidR="00D96B91" w:rsidRDefault="00D96B91">
      <w:pPr>
        <w:pStyle w:val="BodyText"/>
        <w:spacing w:before="55" w:line="260" w:lineRule="exact"/>
        <w:ind w:right="1348"/>
      </w:pPr>
      <w:hyperlink w:anchor="_bookmark165" w:history="1">
        <w:r w:rsidR="00C2656B">
          <w:rPr>
            <w:spacing w:val="-4"/>
          </w:rPr>
          <w:t>Table</w:t>
        </w:r>
        <w:r w:rsidR="00C2656B">
          <w:t xml:space="preserve"> 15.7</w:t>
        </w:r>
      </w:hyperlink>
      <w:r w:rsidR="00C2656B">
        <w:t xml:space="preserve"> sets out a maximum price for </w:t>
      </w:r>
      <w:r w:rsidR="00C2656B">
        <w:rPr>
          <w:spacing w:val="-1"/>
        </w:rPr>
        <w:t>regulated</w:t>
      </w:r>
      <w:r w:rsidR="00C2656B">
        <w:t xml:space="preserve"> </w:t>
      </w:r>
      <w:r w:rsidR="00C2656B">
        <w:rPr>
          <w:spacing w:val="-1"/>
        </w:rPr>
        <w:t>sewerage</w:t>
      </w:r>
      <w:r w:rsidR="00C2656B">
        <w:t xml:space="preserve"> services for 2013-14 and 2014-15 and a</w:t>
      </w:r>
      <w:r w:rsidR="00C2656B">
        <w:rPr>
          <w:spacing w:val="29"/>
        </w:rPr>
        <w:t xml:space="preserve"> </w:t>
      </w:r>
      <w:r w:rsidR="00C2656B">
        <w:t xml:space="preserve">formula for determining the maximum price for </w:t>
      </w:r>
      <w:r w:rsidR="00C2656B">
        <w:rPr>
          <w:spacing w:val="-1"/>
        </w:rPr>
        <w:t>regulated</w:t>
      </w:r>
      <w:r w:rsidR="00C2656B">
        <w:t xml:space="preserve"> </w:t>
      </w:r>
      <w:r w:rsidR="00C2656B">
        <w:rPr>
          <w:spacing w:val="-1"/>
        </w:rPr>
        <w:t>sewerage</w:t>
      </w:r>
      <w:r w:rsidR="00C2656B">
        <w:t xml:space="preserve"> services for 2015-16,</w:t>
      </w:r>
      <w:r w:rsidR="00C2656B">
        <w:rPr>
          <w:spacing w:val="-7"/>
        </w:rPr>
        <w:t xml:space="preserve"> </w:t>
      </w:r>
      <w:r w:rsidR="00C2656B">
        <w:t>2016-17 and</w:t>
      </w:r>
      <w:r w:rsidR="00C2656B">
        <w:rPr>
          <w:spacing w:val="29"/>
        </w:rPr>
        <w:t xml:space="preserve"> </w:t>
      </w:r>
      <w:r w:rsidR="00C2656B">
        <w:t>2017-18.</w:t>
      </w:r>
      <w:r w:rsidR="00C2656B">
        <w:rPr>
          <w:spacing w:val="-11"/>
        </w:rPr>
        <w:t xml:space="preserve"> </w:t>
      </w:r>
      <w:r w:rsidR="00C2656B">
        <w:rPr>
          <w:spacing w:val="-2"/>
        </w:rPr>
        <w:t>The</w:t>
      </w:r>
      <w:r w:rsidR="00C2656B">
        <w:t xml:space="preserve"> maximum prices derived </w:t>
      </w:r>
      <w:r w:rsidR="00C2656B">
        <w:rPr>
          <w:spacing w:val="-1"/>
        </w:rPr>
        <w:t>from</w:t>
      </w:r>
      <w:r w:rsidR="00C2656B">
        <w:rPr>
          <w:spacing w:val="-5"/>
        </w:rPr>
        <w:t xml:space="preserve"> </w:t>
      </w:r>
      <w:hyperlink w:anchor="_bookmark165" w:history="1">
        <w:r w:rsidR="00C2656B">
          <w:rPr>
            <w:spacing w:val="-4"/>
          </w:rPr>
          <w:t>Table</w:t>
        </w:r>
        <w:r w:rsidR="00C2656B">
          <w:t xml:space="preserve"> 15.7</w:t>
        </w:r>
      </w:hyperlink>
      <w:r w:rsidR="00C2656B">
        <w:t xml:space="preserve"> for 2015-16,</w:t>
      </w:r>
      <w:r w:rsidR="00C2656B">
        <w:rPr>
          <w:spacing w:val="-6"/>
        </w:rPr>
        <w:t xml:space="preserve"> </w:t>
      </w:r>
      <w:r w:rsidR="00C2656B">
        <w:t>2016-17 and 2017-18 may also be</w:t>
      </w:r>
      <w:r w:rsidR="00C2656B">
        <w:rPr>
          <w:spacing w:val="23"/>
        </w:rPr>
        <w:t xml:space="preserve"> </w:t>
      </w:r>
      <w:r w:rsidR="00C2656B">
        <w:t xml:space="preserve">subject to a </w:t>
      </w:r>
      <w:r w:rsidR="00C2656B">
        <w:rPr>
          <w:spacing w:val="-1"/>
        </w:rPr>
        <w:t>pass-through</w:t>
      </w:r>
      <w:r w:rsidR="00C2656B">
        <w:t xml:space="preserve"> event set out in clause 8.</w:t>
      </w:r>
    </w:p>
    <w:p w:rsidR="00D96B91" w:rsidRDefault="00C2656B">
      <w:pPr>
        <w:spacing w:before="158"/>
        <w:ind w:left="1247"/>
        <w:rPr>
          <w:rFonts w:ascii="Avenir Next" w:eastAsia="Avenir Next" w:hAnsi="Avenir Next" w:cs="Avenir Next"/>
          <w:sz w:val="20"/>
          <w:szCs w:val="20"/>
        </w:rPr>
      </w:pPr>
      <w:bookmarkStart w:id="265" w:name="_bookmark165"/>
      <w:bookmarkEnd w:id="265"/>
      <w:r>
        <w:rPr>
          <w:rFonts w:ascii="Avenir Next" w:eastAsia="Avenir Next" w:hAnsi="Avenir Next" w:cs="Avenir Next"/>
          <w:b/>
          <w:bCs/>
          <w:spacing w:val="-4"/>
          <w:sz w:val="20"/>
          <w:szCs w:val="20"/>
        </w:rPr>
        <w:t>Table</w:t>
      </w:r>
      <w:r>
        <w:rPr>
          <w:rFonts w:ascii="Avenir Next" w:eastAsia="Avenir Next" w:hAnsi="Avenir Next" w:cs="Avenir Next"/>
          <w:b/>
          <w:bCs/>
          <w:sz w:val="20"/>
          <w:szCs w:val="20"/>
        </w:rPr>
        <w:t xml:space="preserve"> 15.7: </w:t>
      </w:r>
      <w:r>
        <w:rPr>
          <w:rFonts w:ascii="Avenir Next" w:eastAsia="Avenir Next" w:hAnsi="Avenir Next" w:cs="Avenir Next"/>
          <w:b/>
          <w:bCs/>
          <w:spacing w:val="-4"/>
          <w:sz w:val="20"/>
          <w:szCs w:val="20"/>
        </w:rPr>
        <w:t>Panel’s</w:t>
      </w:r>
      <w:r>
        <w:rPr>
          <w:rFonts w:ascii="Avenir Next" w:eastAsia="Avenir Next" w:hAnsi="Avenir Next" w:cs="Avenir Next"/>
          <w:b/>
          <w:bCs/>
          <w:sz w:val="20"/>
          <w:szCs w:val="20"/>
        </w:rPr>
        <w:t xml:space="preserve"> </w:t>
      </w:r>
      <w:r>
        <w:rPr>
          <w:rFonts w:ascii="Avenir Next" w:eastAsia="Avenir Next" w:hAnsi="Avenir Next" w:cs="Avenir Next"/>
          <w:b/>
          <w:bCs/>
          <w:spacing w:val="-2"/>
          <w:sz w:val="20"/>
          <w:szCs w:val="20"/>
        </w:rPr>
        <w:t>draft</w:t>
      </w:r>
      <w:r>
        <w:rPr>
          <w:rFonts w:ascii="Avenir Next" w:eastAsia="Avenir Next" w:hAnsi="Avenir Next" w:cs="Avenir Next"/>
          <w:b/>
          <w:bCs/>
          <w:sz w:val="20"/>
          <w:szCs w:val="20"/>
        </w:rPr>
        <w:t xml:space="preserve"> </w:t>
      </w:r>
      <w:r>
        <w:rPr>
          <w:rFonts w:ascii="Avenir Next" w:eastAsia="Avenir Next" w:hAnsi="Avenir Next" w:cs="Avenir Next"/>
          <w:b/>
          <w:bCs/>
          <w:spacing w:val="-1"/>
          <w:sz w:val="20"/>
          <w:szCs w:val="20"/>
        </w:rPr>
        <w:t>direction</w:t>
      </w:r>
      <w:r>
        <w:rPr>
          <w:rFonts w:ascii="Avenir Next" w:eastAsia="Avenir Next" w:hAnsi="Avenir Next" w:cs="Avenir Next"/>
          <w:b/>
          <w:bCs/>
          <w:sz w:val="20"/>
          <w:szCs w:val="20"/>
        </w:rPr>
        <w:t xml:space="preserve"> on </w:t>
      </w:r>
      <w:r>
        <w:rPr>
          <w:rFonts w:ascii="Avenir Next" w:eastAsia="Avenir Next" w:hAnsi="Avenir Next" w:cs="Avenir Next"/>
          <w:b/>
          <w:bCs/>
          <w:spacing w:val="-1"/>
          <w:sz w:val="20"/>
          <w:szCs w:val="20"/>
        </w:rPr>
        <w:t>sewerage</w:t>
      </w:r>
      <w:r>
        <w:rPr>
          <w:rFonts w:ascii="Avenir Next" w:eastAsia="Avenir Next" w:hAnsi="Avenir Next" w:cs="Avenir Next"/>
          <w:b/>
          <w:bCs/>
          <w:sz w:val="20"/>
          <w:szCs w:val="20"/>
        </w:rPr>
        <w:t xml:space="preserve"> prices</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3823"/>
        <w:gridCol w:w="1205"/>
        <w:gridCol w:w="1205"/>
        <w:gridCol w:w="3178"/>
      </w:tblGrid>
      <w:tr w:rsidR="00D96B91">
        <w:trPr>
          <w:trHeight w:hRule="exact" w:val="407"/>
        </w:trPr>
        <w:tc>
          <w:tcPr>
            <w:tcW w:w="38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tc>
        <w:tc>
          <w:tcPr>
            <w:tcW w:w="120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06"/>
              <w:rPr>
                <w:rFonts w:ascii="Avenir Next Condensed" w:eastAsia="Avenir Next Condensed" w:hAnsi="Avenir Next Condensed" w:cs="Avenir Next Condensed"/>
                <w:sz w:val="18"/>
                <w:szCs w:val="18"/>
              </w:rPr>
            </w:pPr>
            <w:r>
              <w:rPr>
                <w:rFonts w:ascii="Avenir Next Condensed"/>
                <w:b/>
                <w:color w:val="FFFFFF"/>
                <w:sz w:val="18"/>
              </w:rPr>
              <w:t>2013-14</w:t>
            </w:r>
          </w:p>
        </w:tc>
        <w:tc>
          <w:tcPr>
            <w:tcW w:w="120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306"/>
              <w:rPr>
                <w:rFonts w:ascii="Avenir Next Condensed" w:eastAsia="Avenir Next Condensed" w:hAnsi="Avenir Next Condensed" w:cs="Avenir Next Condensed"/>
                <w:sz w:val="18"/>
                <w:szCs w:val="18"/>
              </w:rPr>
            </w:pPr>
            <w:r>
              <w:rPr>
                <w:rFonts w:ascii="Avenir Next Condensed"/>
                <w:b/>
                <w:color w:val="FFFFFF"/>
                <w:sz w:val="18"/>
              </w:rPr>
              <w:t>2014-15</w:t>
            </w:r>
          </w:p>
        </w:tc>
        <w:tc>
          <w:tcPr>
            <w:tcW w:w="3178"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898"/>
              <w:rPr>
                <w:rFonts w:ascii="Avenir Next Condensed" w:eastAsia="Avenir Next Condensed" w:hAnsi="Avenir Next Condensed" w:cs="Avenir Next Condensed"/>
                <w:sz w:val="18"/>
                <w:szCs w:val="18"/>
              </w:rPr>
            </w:pPr>
            <w:r>
              <w:rPr>
                <w:rFonts w:ascii="Avenir Next Condensed"/>
                <w:b/>
                <w:color w:val="FFFFFF"/>
                <w:sz w:val="18"/>
              </w:rPr>
              <w:t>2015-16 to 2017-18</w:t>
            </w:r>
          </w:p>
        </w:tc>
      </w:tr>
      <w:tr w:rsidR="00D96B91">
        <w:trPr>
          <w:trHeight w:hRule="exact" w:val="407"/>
        </w:trPr>
        <w:tc>
          <w:tcPr>
            <w:tcW w:w="38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 xml:space="preserve">Supply </w:t>
            </w:r>
            <w:r>
              <w:rPr>
                <w:rFonts w:ascii="Avenir Next Condensed"/>
                <w:spacing w:val="-1"/>
                <w:sz w:val="18"/>
              </w:rPr>
              <w:t>charge</w:t>
            </w:r>
            <w:r>
              <w:rPr>
                <w:rFonts w:ascii="Avenir Next Condensed"/>
                <w:sz w:val="18"/>
              </w:rPr>
              <w:t xml:space="preserve"> ($ pa)</w:t>
            </w:r>
          </w:p>
        </w:tc>
        <w:tc>
          <w:tcPr>
            <w:tcW w:w="120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sz w:val="18"/>
              </w:rPr>
              <w:t>492.02</w:t>
            </w:r>
          </w:p>
        </w:tc>
        <w:tc>
          <w:tcPr>
            <w:tcW w:w="120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sz w:val="18"/>
              </w:rPr>
              <w:t>505.41</w:t>
            </w:r>
          </w:p>
        </w:tc>
        <w:tc>
          <w:tcPr>
            <w:tcW w:w="3178"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t-1</w:t>
            </w:r>
            <w:r>
              <w:rPr>
                <w:rFonts w:ascii="Avenir Next Condensed" w:eastAsia="Avenir Next Condensed" w:hAnsi="Avenir Next Condensed" w:cs="Avenir Next Condensed"/>
                <w:sz w:val="18"/>
                <w:szCs w:val="18"/>
              </w:rPr>
              <w:t>×(1+CPI</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(1-X%)</w:t>
            </w:r>
          </w:p>
        </w:tc>
      </w:tr>
      <w:tr w:rsidR="00D96B91">
        <w:trPr>
          <w:trHeight w:hRule="exact" w:val="407"/>
        </w:trPr>
        <w:tc>
          <w:tcPr>
            <w:tcW w:w="38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Fixtures</w:t>
            </w:r>
            <w:r>
              <w:rPr>
                <w:rFonts w:ascii="Avenir Next Condensed"/>
                <w:sz w:val="18"/>
              </w:rPr>
              <w:t xml:space="preserve"> </w:t>
            </w:r>
            <w:r>
              <w:rPr>
                <w:rFonts w:ascii="Avenir Next Condensed"/>
                <w:spacing w:val="-1"/>
                <w:sz w:val="18"/>
              </w:rPr>
              <w:t>charge</w:t>
            </w:r>
            <w:r>
              <w:rPr>
                <w:rFonts w:ascii="Avenir Next Condensed"/>
                <w:spacing w:val="-1"/>
                <w:position w:val="6"/>
                <w:sz w:val="10"/>
              </w:rPr>
              <w:t>a</w:t>
            </w:r>
            <w:r>
              <w:rPr>
                <w:rFonts w:ascii="Avenir Next Condensed"/>
                <w:spacing w:val="15"/>
                <w:position w:val="6"/>
                <w:sz w:val="10"/>
              </w:rPr>
              <w:t xml:space="preserve"> </w:t>
            </w:r>
            <w:r>
              <w:rPr>
                <w:rFonts w:ascii="Avenir Next Condensed"/>
                <w:sz w:val="18"/>
              </w:rPr>
              <w:t>($</w:t>
            </w:r>
            <w:r>
              <w:rPr>
                <w:rFonts w:ascii="Avenir Next Condensed"/>
                <w:spacing w:val="1"/>
                <w:sz w:val="18"/>
              </w:rPr>
              <w:t xml:space="preserve"> </w:t>
            </w:r>
            <w:r>
              <w:rPr>
                <w:rFonts w:ascii="Avenir Next Condensed"/>
                <w:sz w:val="18"/>
              </w:rPr>
              <w:t>pa)</w:t>
            </w:r>
          </w:p>
        </w:tc>
        <w:tc>
          <w:tcPr>
            <w:tcW w:w="12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sz w:val="18"/>
              </w:rPr>
              <w:t>481.18</w:t>
            </w:r>
          </w:p>
        </w:tc>
        <w:tc>
          <w:tcPr>
            <w:tcW w:w="120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397"/>
              <w:rPr>
                <w:rFonts w:ascii="Avenir Next Condensed" w:eastAsia="Avenir Next Condensed" w:hAnsi="Avenir Next Condensed" w:cs="Avenir Next Condensed"/>
                <w:sz w:val="18"/>
                <w:szCs w:val="18"/>
              </w:rPr>
            </w:pPr>
            <w:r>
              <w:rPr>
                <w:rFonts w:ascii="Avenir Next Condensed"/>
                <w:sz w:val="18"/>
              </w:rPr>
              <w:t>494.28</w:t>
            </w:r>
          </w:p>
        </w:tc>
        <w:tc>
          <w:tcPr>
            <w:tcW w:w="3178"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56"/>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=P</w:t>
            </w:r>
            <w:r>
              <w:rPr>
                <w:rFonts w:ascii="Avenir Next Condensed" w:eastAsia="Avenir Next Condensed" w:hAnsi="Avenir Next Condensed" w:cs="Avenir Next Condensed"/>
                <w:position w:val="-5"/>
                <w:sz w:val="10"/>
                <w:szCs w:val="10"/>
              </w:rPr>
              <w:t>t-1</w:t>
            </w:r>
            <w:r>
              <w:rPr>
                <w:rFonts w:ascii="Avenir Next Condensed" w:eastAsia="Avenir Next Condensed" w:hAnsi="Avenir Next Condensed" w:cs="Avenir Next Condensed"/>
                <w:sz w:val="18"/>
                <w:szCs w:val="18"/>
              </w:rPr>
              <w:t>×(1+CPI</w:t>
            </w:r>
            <w:r>
              <w:rPr>
                <w:rFonts w:ascii="Avenir Next Condensed" w:eastAsia="Avenir Next Condensed" w:hAnsi="Avenir Next Condensed" w:cs="Avenir Next Condensed"/>
                <w:position w:val="-5"/>
                <w:sz w:val="10"/>
                <w:szCs w:val="10"/>
              </w:rPr>
              <w:t>t</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2"/>
                <w:sz w:val="18"/>
                <w:szCs w:val="18"/>
              </w:rPr>
              <w:t xml:space="preserve"> </w:t>
            </w:r>
            <w:r>
              <w:rPr>
                <w:rFonts w:ascii="Avenir Next Condensed" w:eastAsia="Avenir Next Condensed" w:hAnsi="Avenir Next Condensed" w:cs="Avenir Next Condensed"/>
                <w:sz w:val="18"/>
                <w:szCs w:val="18"/>
              </w:rPr>
              <w:t>×</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pacing w:val="-1"/>
                <w:sz w:val="18"/>
                <w:szCs w:val="18"/>
              </w:rPr>
              <w:t>(1-X%)</w:t>
            </w:r>
          </w:p>
        </w:tc>
      </w:tr>
    </w:tbl>
    <w:p w:rsidR="00D96B91" w:rsidRDefault="00D96B91">
      <w:pPr>
        <w:spacing w:before="6"/>
        <w:rPr>
          <w:rFonts w:ascii="Avenir Next" w:eastAsia="Avenir Next" w:hAnsi="Avenir Next" w:cs="Avenir Next"/>
          <w:b/>
          <w:bCs/>
          <w:sz w:val="6"/>
          <w:szCs w:val="6"/>
        </w:rPr>
      </w:pPr>
    </w:p>
    <w:p w:rsidR="00D96B91" w:rsidRDefault="00C2656B">
      <w:pPr>
        <w:spacing w:before="57"/>
        <w:ind w:left="1247"/>
        <w:rPr>
          <w:rFonts w:ascii="Avenir Next" w:eastAsia="Avenir Next" w:hAnsi="Avenir Next" w:cs="Avenir Next"/>
          <w:sz w:val="16"/>
          <w:szCs w:val="16"/>
        </w:rPr>
      </w:pPr>
      <w:r>
        <w:rPr>
          <w:rFonts w:ascii="Avenir Next"/>
          <w:sz w:val="16"/>
        </w:rPr>
        <w:t>a</w:t>
      </w:r>
      <w:r>
        <w:rPr>
          <w:rFonts w:ascii="Avenir Next"/>
          <w:spacing w:val="-2"/>
          <w:sz w:val="16"/>
        </w:rPr>
        <w:t xml:space="preserve"> </w:t>
      </w:r>
      <w:r>
        <w:rPr>
          <w:rFonts w:ascii="Avenir Next"/>
          <w:spacing w:val="-3"/>
          <w:sz w:val="16"/>
        </w:rPr>
        <w:t>For</w:t>
      </w:r>
      <w:r>
        <w:rPr>
          <w:rFonts w:ascii="Avenir Next"/>
          <w:spacing w:val="-1"/>
          <w:sz w:val="16"/>
        </w:rPr>
        <w:t xml:space="preserve"> </w:t>
      </w:r>
      <w:r>
        <w:rPr>
          <w:rFonts w:ascii="Avenir Next"/>
          <w:sz w:val="16"/>
        </w:rPr>
        <w:t>every</w:t>
      </w:r>
      <w:r>
        <w:rPr>
          <w:rFonts w:ascii="Avenir Next"/>
          <w:spacing w:val="-1"/>
          <w:sz w:val="16"/>
        </w:rPr>
        <w:t xml:space="preserve"> </w:t>
      </w:r>
      <w:r>
        <w:rPr>
          <w:rFonts w:ascii="Avenir Next"/>
          <w:sz w:val="16"/>
        </w:rPr>
        <w:t>additional</w:t>
      </w:r>
      <w:r>
        <w:rPr>
          <w:rFonts w:ascii="Avenir Next"/>
          <w:spacing w:val="-1"/>
          <w:sz w:val="16"/>
        </w:rPr>
        <w:t xml:space="preserve"> </w:t>
      </w:r>
      <w:r>
        <w:rPr>
          <w:rFonts w:ascii="Avenir Next"/>
          <w:sz w:val="16"/>
        </w:rPr>
        <w:t>flushing</w:t>
      </w:r>
      <w:r>
        <w:rPr>
          <w:rFonts w:ascii="Avenir Next"/>
          <w:spacing w:val="-1"/>
          <w:sz w:val="16"/>
        </w:rPr>
        <w:t xml:space="preserve"> fixture</w:t>
      </w:r>
      <w:r>
        <w:rPr>
          <w:rFonts w:ascii="Avenir Next"/>
          <w:spacing w:val="-2"/>
          <w:sz w:val="16"/>
        </w:rPr>
        <w:t xml:space="preserve"> </w:t>
      </w:r>
      <w:r>
        <w:rPr>
          <w:rFonts w:ascii="Avenir Next"/>
          <w:spacing w:val="-1"/>
          <w:sz w:val="16"/>
        </w:rPr>
        <w:t xml:space="preserve">greater </w:t>
      </w:r>
      <w:r>
        <w:rPr>
          <w:rFonts w:ascii="Avenir Next"/>
          <w:sz w:val="16"/>
        </w:rPr>
        <w:t>than</w:t>
      </w:r>
      <w:r>
        <w:rPr>
          <w:rFonts w:ascii="Avenir Next"/>
          <w:spacing w:val="-1"/>
          <w:sz w:val="16"/>
        </w:rPr>
        <w:t xml:space="preserve"> two.</w:t>
      </w:r>
    </w:p>
    <w:p w:rsidR="00D96B91" w:rsidRDefault="00D96B91">
      <w:pPr>
        <w:rPr>
          <w:rFonts w:ascii="Avenir Next" w:eastAsia="Avenir Next" w:hAnsi="Avenir Next" w:cs="Avenir Next"/>
          <w:sz w:val="16"/>
          <w:szCs w:val="16"/>
        </w:rPr>
      </w:pPr>
    </w:p>
    <w:p w:rsidR="00D96B91" w:rsidRDefault="00C2656B">
      <w:pPr>
        <w:pStyle w:val="BodyText"/>
        <w:spacing w:before="123"/>
        <w:rPr>
          <w:rFonts w:cs="Avenir Next"/>
        </w:rPr>
      </w:pPr>
      <w:r>
        <w:rPr>
          <w:spacing w:val="-1"/>
        </w:rPr>
        <w:t>Where:</w:t>
      </w:r>
    </w:p>
    <w:p w:rsidR="00D96B91" w:rsidRDefault="00D96B91">
      <w:pPr>
        <w:rPr>
          <w:rFonts w:ascii="Avenir Next" w:eastAsia="Avenir Next" w:hAnsi="Avenir Next" w:cs="Avenir Next"/>
          <w:sz w:val="11"/>
          <w:szCs w:val="11"/>
        </w:rPr>
      </w:pPr>
    </w:p>
    <w:tbl>
      <w:tblPr>
        <w:tblW w:w="0" w:type="auto"/>
        <w:tblInd w:w="1017" w:type="dxa"/>
        <w:tblLayout w:type="fixed"/>
        <w:tblCellMar>
          <w:left w:w="0" w:type="dxa"/>
          <w:right w:w="0" w:type="dxa"/>
        </w:tblCellMar>
        <w:tblLook w:val="01E0"/>
      </w:tblPr>
      <w:tblGrid>
        <w:gridCol w:w="765"/>
        <w:gridCol w:w="9035"/>
      </w:tblGrid>
      <w:tr w:rsidR="00D96B91">
        <w:trPr>
          <w:trHeight w:hRule="exact" w:val="397"/>
        </w:trPr>
        <w:tc>
          <w:tcPr>
            <w:tcW w:w="765" w:type="dxa"/>
            <w:tcBorders>
              <w:top w:val="nil"/>
              <w:left w:val="nil"/>
              <w:bottom w:val="nil"/>
              <w:right w:val="nil"/>
            </w:tcBorders>
          </w:tcPr>
          <w:p w:rsidR="00D96B91" w:rsidRDefault="00C2656B">
            <w:pPr>
              <w:pStyle w:val="TableParagraph"/>
              <w:spacing w:before="6"/>
              <w:ind w:left="230"/>
              <w:rPr>
                <w:rFonts w:ascii="Avenir Next" w:eastAsia="Avenir Next" w:hAnsi="Avenir Next" w:cs="Avenir Next"/>
                <w:sz w:val="11"/>
                <w:szCs w:val="11"/>
              </w:rPr>
            </w:pPr>
            <w:r>
              <w:rPr>
                <w:rFonts w:ascii="Avenir Next"/>
                <w:sz w:val="20"/>
              </w:rPr>
              <w:t>P</w:t>
            </w:r>
            <w:r>
              <w:rPr>
                <w:rFonts w:ascii="Avenir Next"/>
                <w:position w:val="-6"/>
                <w:sz w:val="11"/>
              </w:rPr>
              <w:t>t</w:t>
            </w:r>
          </w:p>
        </w:tc>
        <w:tc>
          <w:tcPr>
            <w:tcW w:w="9035" w:type="dxa"/>
            <w:tcBorders>
              <w:top w:val="nil"/>
              <w:left w:val="nil"/>
              <w:bottom w:val="nil"/>
              <w:right w:val="nil"/>
            </w:tcBorders>
          </w:tcPr>
          <w:p w:rsidR="00D96B91" w:rsidRDefault="00C2656B">
            <w:pPr>
              <w:pStyle w:val="TableParagraph"/>
              <w:spacing w:before="6"/>
              <w:ind w:left="185"/>
              <w:rPr>
                <w:rFonts w:ascii="Avenir Next" w:eastAsia="Avenir Next" w:hAnsi="Avenir Next" w:cs="Avenir Next"/>
                <w:sz w:val="20"/>
                <w:szCs w:val="20"/>
              </w:rPr>
            </w:pPr>
            <w:r>
              <w:rPr>
                <w:rFonts w:ascii="Avenir Next"/>
                <w:sz w:val="20"/>
              </w:rPr>
              <w:t xml:space="preserve">is the price to be </w:t>
            </w:r>
            <w:r>
              <w:rPr>
                <w:rFonts w:ascii="Avenir Next"/>
                <w:spacing w:val="-1"/>
                <w:sz w:val="20"/>
              </w:rPr>
              <w:t>charged</w:t>
            </w:r>
            <w:r>
              <w:rPr>
                <w:rFonts w:ascii="Avenir Next"/>
                <w:sz w:val="20"/>
              </w:rPr>
              <w:t xml:space="preserve"> for the </w:t>
            </w:r>
            <w:r>
              <w:rPr>
                <w:rFonts w:ascii="Avenir Next"/>
                <w:spacing w:val="-1"/>
                <w:sz w:val="20"/>
              </w:rPr>
              <w:t>relevant</w:t>
            </w:r>
            <w:r>
              <w:rPr>
                <w:rFonts w:ascii="Avenir Next"/>
                <w:sz w:val="20"/>
              </w:rPr>
              <w:t xml:space="preserve"> service in the </w:t>
            </w:r>
            <w:r>
              <w:rPr>
                <w:rFonts w:ascii="Avenir Next"/>
                <w:spacing w:val="-1"/>
                <w:sz w:val="20"/>
              </w:rPr>
              <w:t>regulatory</w:t>
            </w:r>
            <w:r>
              <w:rPr>
                <w:rFonts w:ascii="Avenir Next"/>
                <w:sz w:val="20"/>
              </w:rPr>
              <w:t xml:space="preserve"> </w:t>
            </w:r>
            <w:r>
              <w:rPr>
                <w:rFonts w:ascii="Avenir Next"/>
                <w:spacing w:val="-1"/>
                <w:sz w:val="20"/>
              </w:rPr>
              <w:t>year</w:t>
            </w:r>
            <w:r>
              <w:rPr>
                <w:rFonts w:ascii="Avenir Next"/>
                <w:sz w:val="20"/>
              </w:rPr>
              <w:t xml:space="preserve"> t;</w:t>
            </w:r>
          </w:p>
        </w:tc>
      </w:tr>
      <w:tr w:rsidR="00D96B91">
        <w:trPr>
          <w:trHeight w:hRule="exact" w:val="430"/>
        </w:trPr>
        <w:tc>
          <w:tcPr>
            <w:tcW w:w="765" w:type="dxa"/>
            <w:tcBorders>
              <w:top w:val="nil"/>
              <w:left w:val="nil"/>
              <w:bottom w:val="nil"/>
              <w:right w:val="nil"/>
            </w:tcBorders>
          </w:tcPr>
          <w:p w:rsidR="00D96B91" w:rsidRDefault="00C2656B">
            <w:pPr>
              <w:pStyle w:val="TableParagraph"/>
              <w:spacing w:before="36"/>
              <w:ind w:left="230"/>
              <w:rPr>
                <w:rFonts w:ascii="Avenir Next" w:eastAsia="Avenir Next" w:hAnsi="Avenir Next" w:cs="Avenir Next"/>
                <w:sz w:val="11"/>
                <w:szCs w:val="11"/>
              </w:rPr>
            </w:pPr>
            <w:r>
              <w:rPr>
                <w:rFonts w:ascii="Avenir Next"/>
                <w:w w:val="105"/>
                <w:position w:val="7"/>
                <w:sz w:val="20"/>
              </w:rPr>
              <w:t>P</w:t>
            </w:r>
            <w:r>
              <w:rPr>
                <w:rFonts w:ascii="Avenir Next"/>
                <w:w w:val="105"/>
                <w:sz w:val="11"/>
              </w:rPr>
              <w:t>t-1</w:t>
            </w:r>
          </w:p>
        </w:tc>
        <w:tc>
          <w:tcPr>
            <w:tcW w:w="9035" w:type="dxa"/>
            <w:tcBorders>
              <w:top w:val="nil"/>
              <w:left w:val="nil"/>
              <w:bottom w:val="nil"/>
              <w:right w:val="nil"/>
            </w:tcBorders>
          </w:tcPr>
          <w:p w:rsidR="00D96B91" w:rsidRDefault="00C2656B">
            <w:pPr>
              <w:pStyle w:val="TableParagraph"/>
              <w:spacing w:before="39"/>
              <w:ind w:left="185"/>
              <w:rPr>
                <w:rFonts w:ascii="Avenir Next" w:eastAsia="Avenir Next" w:hAnsi="Avenir Next" w:cs="Avenir Next"/>
                <w:sz w:val="20"/>
                <w:szCs w:val="20"/>
              </w:rPr>
            </w:pPr>
            <w:r>
              <w:rPr>
                <w:rFonts w:ascii="Avenir Next"/>
                <w:sz w:val="20"/>
              </w:rPr>
              <w:t xml:space="preserve">is the price </w:t>
            </w:r>
            <w:r>
              <w:rPr>
                <w:rFonts w:ascii="Avenir Next"/>
                <w:spacing w:val="-1"/>
                <w:sz w:val="20"/>
              </w:rPr>
              <w:t>charged</w:t>
            </w:r>
            <w:r>
              <w:rPr>
                <w:rFonts w:ascii="Avenir Next"/>
                <w:sz w:val="20"/>
              </w:rPr>
              <w:t xml:space="preserve"> for the </w:t>
            </w:r>
            <w:r>
              <w:rPr>
                <w:rFonts w:ascii="Avenir Next"/>
                <w:spacing w:val="-1"/>
                <w:sz w:val="20"/>
              </w:rPr>
              <w:t>relevant</w:t>
            </w:r>
            <w:r>
              <w:rPr>
                <w:rFonts w:ascii="Avenir Next"/>
                <w:sz w:val="20"/>
              </w:rPr>
              <w:t xml:space="preserve"> service in the </w:t>
            </w:r>
            <w:r>
              <w:rPr>
                <w:rFonts w:ascii="Avenir Next"/>
                <w:spacing w:val="-1"/>
                <w:sz w:val="20"/>
              </w:rPr>
              <w:t>preceding</w:t>
            </w:r>
            <w:r>
              <w:rPr>
                <w:rFonts w:ascii="Avenir Next"/>
                <w:sz w:val="20"/>
              </w:rPr>
              <w:t xml:space="preserve"> </w:t>
            </w:r>
            <w:r>
              <w:rPr>
                <w:rFonts w:ascii="Avenir Next"/>
                <w:spacing w:val="-1"/>
                <w:sz w:val="20"/>
              </w:rPr>
              <w:t>regulatory</w:t>
            </w:r>
            <w:r>
              <w:rPr>
                <w:rFonts w:ascii="Avenir Next"/>
                <w:sz w:val="20"/>
              </w:rPr>
              <w:t xml:space="preserve"> </w:t>
            </w:r>
            <w:r>
              <w:rPr>
                <w:rFonts w:ascii="Avenir Next"/>
                <w:spacing w:val="-1"/>
                <w:sz w:val="20"/>
              </w:rPr>
              <w:t>year;</w:t>
            </w:r>
          </w:p>
        </w:tc>
      </w:tr>
      <w:tr w:rsidR="00D96B91">
        <w:trPr>
          <w:trHeight w:hRule="exact" w:val="408"/>
        </w:trPr>
        <w:tc>
          <w:tcPr>
            <w:tcW w:w="765" w:type="dxa"/>
            <w:tcBorders>
              <w:top w:val="nil"/>
              <w:left w:val="nil"/>
              <w:bottom w:val="nil"/>
              <w:right w:val="nil"/>
            </w:tcBorders>
          </w:tcPr>
          <w:p w:rsidR="00D96B91" w:rsidRDefault="00C2656B">
            <w:pPr>
              <w:pStyle w:val="TableParagraph"/>
              <w:spacing w:before="39"/>
              <w:ind w:left="230"/>
              <w:rPr>
                <w:rFonts w:ascii="Avenir Next" w:eastAsia="Avenir Next" w:hAnsi="Avenir Next" w:cs="Avenir Next"/>
                <w:sz w:val="20"/>
                <w:szCs w:val="20"/>
              </w:rPr>
            </w:pPr>
            <w:r>
              <w:rPr>
                <w:rFonts w:ascii="Avenir Next"/>
                <w:sz w:val="20"/>
              </w:rPr>
              <w:t>X</w:t>
            </w:r>
          </w:p>
        </w:tc>
        <w:tc>
          <w:tcPr>
            <w:tcW w:w="9035" w:type="dxa"/>
            <w:tcBorders>
              <w:top w:val="nil"/>
              <w:left w:val="nil"/>
              <w:bottom w:val="nil"/>
              <w:right w:val="nil"/>
            </w:tcBorders>
          </w:tcPr>
          <w:p w:rsidR="00D96B91" w:rsidRDefault="00C2656B">
            <w:pPr>
              <w:pStyle w:val="TableParagraph"/>
              <w:spacing w:before="39"/>
              <w:ind w:left="185"/>
              <w:rPr>
                <w:rFonts w:ascii="Avenir Next" w:eastAsia="Avenir Next" w:hAnsi="Avenir Next" w:cs="Avenir Next"/>
                <w:sz w:val="20"/>
                <w:szCs w:val="20"/>
              </w:rPr>
            </w:pPr>
            <w:r>
              <w:rPr>
                <w:rFonts w:ascii="Avenir Next"/>
                <w:sz w:val="20"/>
              </w:rPr>
              <w:t>is -2.4% in 2015-16 and 0 in 2016-17 and 2017-18;</w:t>
            </w:r>
          </w:p>
        </w:tc>
      </w:tr>
      <w:tr w:rsidR="00D96B91">
        <w:trPr>
          <w:trHeight w:hRule="exact" w:val="452"/>
        </w:trPr>
        <w:tc>
          <w:tcPr>
            <w:tcW w:w="765" w:type="dxa"/>
            <w:tcBorders>
              <w:top w:val="nil"/>
              <w:left w:val="nil"/>
              <w:bottom w:val="nil"/>
              <w:right w:val="nil"/>
            </w:tcBorders>
          </w:tcPr>
          <w:p w:rsidR="00D96B91" w:rsidRDefault="00C2656B">
            <w:pPr>
              <w:pStyle w:val="TableParagraph"/>
              <w:spacing w:before="61"/>
              <w:ind w:left="230"/>
              <w:rPr>
                <w:rFonts w:ascii="Avenir Next" w:eastAsia="Avenir Next" w:hAnsi="Avenir Next" w:cs="Avenir Next"/>
                <w:sz w:val="11"/>
                <w:szCs w:val="11"/>
              </w:rPr>
            </w:pPr>
            <w:r>
              <w:rPr>
                <w:rFonts w:ascii="Avenir Next"/>
                <w:spacing w:val="-1"/>
                <w:sz w:val="20"/>
              </w:rPr>
              <w:t>CPI</w:t>
            </w:r>
            <w:r>
              <w:rPr>
                <w:rFonts w:ascii="Avenir Next"/>
                <w:spacing w:val="-1"/>
                <w:position w:val="-6"/>
                <w:sz w:val="11"/>
              </w:rPr>
              <w:t>t</w:t>
            </w:r>
          </w:p>
        </w:tc>
        <w:tc>
          <w:tcPr>
            <w:tcW w:w="9035" w:type="dxa"/>
            <w:tcBorders>
              <w:top w:val="nil"/>
              <w:left w:val="nil"/>
              <w:bottom w:val="nil"/>
              <w:right w:val="nil"/>
            </w:tcBorders>
          </w:tcPr>
          <w:p w:rsidR="00D96B91" w:rsidRDefault="00C2656B">
            <w:pPr>
              <w:pStyle w:val="TableParagraph"/>
              <w:spacing w:before="61"/>
              <w:ind w:left="185"/>
              <w:rPr>
                <w:rFonts w:ascii="Avenir Next" w:eastAsia="Avenir Next" w:hAnsi="Avenir Next" w:cs="Avenir Next"/>
                <w:sz w:val="20"/>
                <w:szCs w:val="20"/>
              </w:rPr>
            </w:pPr>
            <w:r>
              <w:rPr>
                <w:rFonts w:ascii="Avenir Next"/>
                <w:sz w:val="20"/>
              </w:rPr>
              <w:t>is</w:t>
            </w:r>
            <w:r>
              <w:rPr>
                <w:rFonts w:ascii="Avenir Next"/>
                <w:spacing w:val="-1"/>
                <w:sz w:val="20"/>
              </w:rPr>
              <w:t xml:space="preserve"> </w:t>
            </w:r>
            <w:r>
              <w:rPr>
                <w:rFonts w:ascii="Avenir Next"/>
                <w:sz w:val="20"/>
              </w:rPr>
              <w:t>as</w:t>
            </w:r>
            <w:r>
              <w:rPr>
                <w:rFonts w:ascii="Avenir Next"/>
                <w:spacing w:val="-1"/>
                <w:sz w:val="20"/>
              </w:rPr>
              <w:t xml:space="preserve"> </w:t>
            </w:r>
            <w:r>
              <w:rPr>
                <w:rFonts w:ascii="Avenir Next"/>
                <w:sz w:val="20"/>
              </w:rPr>
              <w:t>it</w:t>
            </w:r>
            <w:r>
              <w:rPr>
                <w:rFonts w:ascii="Avenir Next"/>
                <w:spacing w:val="-1"/>
                <w:sz w:val="20"/>
              </w:rPr>
              <w:t xml:space="preserve"> </w:t>
            </w:r>
            <w:r>
              <w:rPr>
                <w:rFonts w:ascii="Avenir Next"/>
                <w:sz w:val="20"/>
              </w:rPr>
              <w:t>is</w:t>
            </w:r>
            <w:r>
              <w:rPr>
                <w:rFonts w:ascii="Avenir Next"/>
                <w:spacing w:val="-1"/>
                <w:sz w:val="20"/>
              </w:rPr>
              <w:t xml:space="preserve"> </w:t>
            </w:r>
            <w:r>
              <w:rPr>
                <w:rFonts w:ascii="Avenir Next"/>
                <w:sz w:val="20"/>
              </w:rPr>
              <w:t>defined</w:t>
            </w:r>
            <w:r>
              <w:rPr>
                <w:rFonts w:ascii="Avenir Next"/>
                <w:spacing w:val="-1"/>
                <w:sz w:val="20"/>
              </w:rPr>
              <w:t xml:space="preserve"> </w:t>
            </w:r>
            <w:hyperlink w:anchor="_bookmark162" w:history="1">
              <w:r>
                <w:rPr>
                  <w:rFonts w:ascii="Avenir Next"/>
                  <w:sz w:val="20"/>
                </w:rPr>
                <w:t>in</w:t>
              </w:r>
              <w:r>
                <w:rPr>
                  <w:rFonts w:ascii="Avenir Next"/>
                  <w:spacing w:val="-1"/>
                  <w:sz w:val="20"/>
                </w:rPr>
                <w:t xml:space="preserve"> </w:t>
              </w:r>
              <w:r>
                <w:rPr>
                  <w:rFonts w:ascii="Avenir Next"/>
                  <w:sz w:val="20"/>
                </w:rPr>
                <w:t>clause</w:t>
              </w:r>
              <w:r>
                <w:rPr>
                  <w:rFonts w:ascii="Avenir Next"/>
                  <w:spacing w:val="-1"/>
                  <w:sz w:val="20"/>
                </w:rPr>
                <w:t xml:space="preserve"> </w:t>
              </w:r>
              <w:r>
                <w:rPr>
                  <w:rFonts w:ascii="Avenir Next"/>
                  <w:sz w:val="20"/>
                </w:rPr>
                <w:t>6.1;</w:t>
              </w:r>
            </w:hyperlink>
            <w:r>
              <w:rPr>
                <w:rFonts w:ascii="Avenir Next"/>
                <w:spacing w:val="-1"/>
                <w:sz w:val="20"/>
              </w:rPr>
              <w:t xml:space="preserve"> </w:t>
            </w:r>
            <w:r>
              <w:rPr>
                <w:rFonts w:ascii="Avenir Next"/>
                <w:sz w:val="20"/>
              </w:rPr>
              <w:t>and</w:t>
            </w:r>
          </w:p>
        </w:tc>
      </w:tr>
      <w:tr w:rsidR="00D96B91">
        <w:trPr>
          <w:trHeight w:hRule="exact" w:val="613"/>
        </w:trPr>
        <w:tc>
          <w:tcPr>
            <w:tcW w:w="765" w:type="dxa"/>
            <w:tcBorders>
              <w:top w:val="nil"/>
              <w:left w:val="nil"/>
              <w:bottom w:val="nil"/>
              <w:right w:val="nil"/>
            </w:tcBorders>
          </w:tcPr>
          <w:p w:rsidR="00D96B91" w:rsidRDefault="00C2656B">
            <w:pPr>
              <w:pStyle w:val="TableParagraph"/>
              <w:spacing w:before="39"/>
              <w:ind w:left="230"/>
              <w:rPr>
                <w:rFonts w:ascii="Avenir Next" w:eastAsia="Avenir Next" w:hAnsi="Avenir Next" w:cs="Avenir Next"/>
                <w:sz w:val="20"/>
                <w:szCs w:val="20"/>
              </w:rPr>
            </w:pPr>
            <w:r>
              <w:rPr>
                <w:rFonts w:ascii="Avenir Next"/>
                <w:i/>
                <w:sz w:val="20"/>
              </w:rPr>
              <w:t>t</w:t>
            </w:r>
          </w:p>
        </w:tc>
        <w:tc>
          <w:tcPr>
            <w:tcW w:w="9035" w:type="dxa"/>
            <w:tcBorders>
              <w:top w:val="nil"/>
              <w:left w:val="nil"/>
              <w:bottom w:val="nil"/>
              <w:right w:val="nil"/>
            </w:tcBorders>
          </w:tcPr>
          <w:p w:rsidR="00D96B91" w:rsidRDefault="00C2656B">
            <w:pPr>
              <w:pStyle w:val="TableParagraph"/>
              <w:spacing w:before="31" w:line="260" w:lineRule="exact"/>
              <w:ind w:left="185" w:right="228"/>
              <w:rPr>
                <w:rFonts w:ascii="Avenir Next" w:eastAsia="Avenir Next" w:hAnsi="Avenir Next" w:cs="Avenir Next"/>
                <w:sz w:val="20"/>
                <w:szCs w:val="20"/>
              </w:rPr>
            </w:pPr>
            <w:r>
              <w:rPr>
                <w:rFonts w:ascii="Avenir Next"/>
                <w:sz w:val="20"/>
              </w:rPr>
              <w:t xml:space="preserve">can </w:t>
            </w:r>
            <w:r>
              <w:rPr>
                <w:rFonts w:ascii="Avenir Next"/>
                <w:spacing w:val="-1"/>
                <w:sz w:val="20"/>
              </w:rPr>
              <w:t>take</w:t>
            </w:r>
            <w:r>
              <w:rPr>
                <w:rFonts w:ascii="Avenir Next"/>
                <w:sz w:val="20"/>
              </w:rPr>
              <w:t xml:space="preserve"> on the value of</w:t>
            </w:r>
            <w:r>
              <w:rPr>
                <w:rFonts w:ascii="Avenir Next"/>
                <w:spacing w:val="4"/>
                <w:sz w:val="20"/>
              </w:rPr>
              <w:t xml:space="preserve"> </w:t>
            </w:r>
            <w:r>
              <w:rPr>
                <w:rFonts w:ascii="Avenir Next"/>
                <w:sz w:val="20"/>
              </w:rPr>
              <w:t>2015-17,</w:t>
            </w:r>
            <w:r>
              <w:rPr>
                <w:rFonts w:ascii="Avenir Next"/>
                <w:spacing w:val="-6"/>
                <w:sz w:val="20"/>
              </w:rPr>
              <w:t xml:space="preserve"> </w:t>
            </w:r>
            <w:r>
              <w:rPr>
                <w:rFonts w:ascii="Avenir Next"/>
                <w:sz w:val="20"/>
              </w:rPr>
              <w:t xml:space="preserve">2016-17 or 2017-18 for the </w:t>
            </w:r>
            <w:r>
              <w:rPr>
                <w:rFonts w:ascii="Avenir Next"/>
                <w:spacing w:val="-1"/>
                <w:sz w:val="20"/>
              </w:rPr>
              <w:t>relevant</w:t>
            </w:r>
            <w:r>
              <w:rPr>
                <w:rFonts w:ascii="Avenir Next"/>
                <w:sz w:val="20"/>
              </w:rPr>
              <w:t xml:space="preserve"> </w:t>
            </w:r>
            <w:r>
              <w:rPr>
                <w:rFonts w:ascii="Avenir Next"/>
                <w:spacing w:val="-1"/>
                <w:sz w:val="20"/>
              </w:rPr>
              <w:t>year</w:t>
            </w:r>
            <w:r>
              <w:rPr>
                <w:rFonts w:ascii="Avenir Next"/>
                <w:sz w:val="20"/>
              </w:rPr>
              <w:t xml:space="preserve"> of</w:t>
            </w:r>
            <w:r>
              <w:rPr>
                <w:rFonts w:ascii="Avenir Next"/>
                <w:spacing w:val="4"/>
                <w:sz w:val="20"/>
              </w:rPr>
              <w:t xml:space="preserve"> </w:t>
            </w:r>
            <w:r>
              <w:rPr>
                <w:rFonts w:ascii="Avenir Next"/>
                <w:sz w:val="20"/>
              </w:rPr>
              <w:t>the adjustment in</w:t>
            </w:r>
            <w:hyperlink w:anchor="_bookmark165" w:history="1">
              <w:r>
                <w:rPr>
                  <w:rFonts w:ascii="Avenir Next"/>
                  <w:spacing w:val="27"/>
                  <w:sz w:val="20"/>
                </w:rPr>
                <w:t xml:space="preserve"> </w:t>
              </w:r>
              <w:r>
                <w:rPr>
                  <w:rFonts w:ascii="Avenir Next"/>
                  <w:spacing w:val="-4"/>
                  <w:sz w:val="20"/>
                </w:rPr>
                <w:t>Table</w:t>
              </w:r>
              <w:r>
                <w:rPr>
                  <w:rFonts w:ascii="Avenir Next"/>
                  <w:sz w:val="20"/>
                </w:rPr>
                <w:t xml:space="preserve"> 15.7</w:t>
              </w:r>
            </w:hyperlink>
            <w:r>
              <w:rPr>
                <w:rFonts w:ascii="Avenir Next"/>
                <w:sz w:val="20"/>
              </w:rPr>
              <w:t>.</w:t>
            </w:r>
          </w:p>
        </w:tc>
      </w:tr>
    </w:tbl>
    <w:p w:rsidR="00D96B91" w:rsidRDefault="00D96B91">
      <w:pPr>
        <w:spacing w:line="260" w:lineRule="exact"/>
        <w:rPr>
          <w:rFonts w:ascii="Avenir Next" w:eastAsia="Avenir Next" w:hAnsi="Avenir Next" w:cs="Avenir Next"/>
          <w:sz w:val="20"/>
          <w:szCs w:val="20"/>
        </w:rPr>
        <w:sectPr w:rsidR="00D96B91">
          <w:type w:val="continuous"/>
          <w:pgSz w:w="11910" w:h="16840"/>
          <w:pgMar w:top="0" w:right="0" w:bottom="0" w:left="0" w:header="720" w:footer="720" w:gutter="0"/>
          <w:cols w:space="720"/>
        </w:sectPr>
      </w:pPr>
    </w:p>
    <w:p w:rsidR="00D96B91" w:rsidRDefault="00C2656B">
      <w:pPr>
        <w:pStyle w:val="Heading2"/>
        <w:tabs>
          <w:tab w:val="left" w:pos="1813"/>
        </w:tabs>
        <w:spacing w:line="454" w:lineRule="exact"/>
        <w:ind w:left="1247" w:firstLine="0"/>
        <w:rPr>
          <w:b w:val="0"/>
          <w:bCs w:val="0"/>
        </w:rPr>
      </w:pPr>
      <w:bookmarkStart w:id="266" w:name="7._Pricing_for_miscellaneous_services"/>
      <w:bookmarkStart w:id="267" w:name="7._1._New_miscellaneous_services_"/>
      <w:bookmarkStart w:id="268" w:name="7._2._Submission_by_ACTEW_"/>
      <w:bookmarkStart w:id="269" w:name="7._3._Commission_may_request_further_inf"/>
      <w:bookmarkStart w:id="270" w:name="7._4._Notification_of_decision_"/>
      <w:bookmarkStart w:id="271" w:name="_bookmark166"/>
      <w:bookmarkEnd w:id="266"/>
      <w:bookmarkEnd w:id="267"/>
      <w:bookmarkEnd w:id="268"/>
      <w:bookmarkEnd w:id="269"/>
      <w:bookmarkEnd w:id="270"/>
      <w:bookmarkEnd w:id="271"/>
      <w:r>
        <w:rPr>
          <w:color w:val="0778BE"/>
        </w:rPr>
        <w:t>7.</w:t>
      </w:r>
      <w:r>
        <w:rPr>
          <w:color w:val="0778BE"/>
        </w:rPr>
        <w:tab/>
      </w:r>
      <w:r>
        <w:rPr>
          <w:color w:val="0778BE"/>
          <w:spacing w:val="-3"/>
        </w:rPr>
        <w:t>P</w:t>
      </w:r>
      <w:bookmarkStart w:id="272" w:name="_bookmark167"/>
      <w:bookmarkEnd w:id="272"/>
      <w:r>
        <w:rPr>
          <w:color w:val="0778BE"/>
          <w:spacing w:val="-3"/>
        </w:rPr>
        <w:t>ricing</w:t>
      </w:r>
      <w:r>
        <w:rPr>
          <w:color w:val="0778BE"/>
        </w:rPr>
        <w:t xml:space="preserve"> for miscellaneous services</w:t>
      </w:r>
    </w:p>
    <w:p w:rsidR="00D96B91" w:rsidRDefault="00C2656B">
      <w:pPr>
        <w:pStyle w:val="BodyText"/>
        <w:spacing w:before="154" w:line="260" w:lineRule="exact"/>
        <w:ind w:right="1321"/>
        <w:rPr>
          <w:rFonts w:cs="Avenir Next"/>
        </w:rPr>
      </w:pPr>
      <w:r>
        <w:rPr>
          <w:spacing w:val="-2"/>
        </w:rPr>
        <w:t>The</w:t>
      </w:r>
      <w:r>
        <w:t xml:space="preserve"> price to be </w:t>
      </w:r>
      <w:r>
        <w:rPr>
          <w:spacing w:val="-1"/>
        </w:rPr>
        <w:t>charged</w:t>
      </w:r>
      <w:r>
        <w:t xml:space="preserve"> for </w:t>
      </w:r>
      <w:r>
        <w:rPr>
          <w:spacing w:val="-1"/>
        </w:rPr>
        <w:t>each</w:t>
      </w:r>
      <w:r>
        <w:t xml:space="preserve"> miscellaneous service in </w:t>
      </w:r>
      <w:r>
        <w:rPr>
          <w:spacing w:val="-1"/>
        </w:rPr>
        <w:t>each</w:t>
      </w:r>
      <w:r>
        <w:t xml:space="preserve"> </w:t>
      </w:r>
      <w:r>
        <w:rPr>
          <w:spacing w:val="-1"/>
        </w:rPr>
        <w:t>year</w:t>
      </w:r>
      <w:r>
        <w:t xml:space="preserve"> of</w:t>
      </w:r>
      <w:r>
        <w:rPr>
          <w:spacing w:val="4"/>
        </w:rPr>
        <w:t xml:space="preserve"> </w:t>
      </w:r>
      <w:r>
        <w:t xml:space="preserve">the </w:t>
      </w:r>
      <w:r>
        <w:rPr>
          <w:spacing w:val="-1"/>
        </w:rPr>
        <w:t>regulatory</w:t>
      </w:r>
      <w:r>
        <w:t xml:space="preserve"> period,</w:t>
      </w:r>
      <w:r>
        <w:rPr>
          <w:spacing w:val="-6"/>
        </w:rPr>
        <w:t xml:space="preserve"> </w:t>
      </w:r>
      <w:r>
        <w:t>including</w:t>
      </w:r>
      <w:r>
        <w:rPr>
          <w:spacing w:val="31"/>
        </w:rPr>
        <w:t xml:space="preserve"> </w:t>
      </w:r>
      <w:r>
        <w:t>2013-14,</w:t>
      </w:r>
      <w:r>
        <w:rPr>
          <w:spacing w:val="-6"/>
        </w:rPr>
        <w:t xml:space="preserve"> </w:t>
      </w:r>
      <w:r>
        <w:t xml:space="preserve">is to be </w:t>
      </w:r>
      <w:r>
        <w:rPr>
          <w:spacing w:val="-1"/>
        </w:rPr>
        <w:t>calculated</w:t>
      </w:r>
      <w:r>
        <w:t xml:space="preserve"> </w:t>
      </w:r>
      <w:r>
        <w:rPr>
          <w:spacing w:val="-1"/>
        </w:rPr>
        <w:t>according</w:t>
      </w:r>
      <w:r>
        <w:t xml:space="preserve"> to the following formula,</w:t>
      </w:r>
      <w:r>
        <w:rPr>
          <w:spacing w:val="-7"/>
        </w:rPr>
        <w:t xml:space="preserve"> </w:t>
      </w:r>
      <w:r>
        <w:t xml:space="preserve">and </w:t>
      </w:r>
      <w:r>
        <w:rPr>
          <w:spacing w:val="-1"/>
        </w:rPr>
        <w:t>rounded</w:t>
      </w:r>
      <w:r>
        <w:t xml:space="preserve"> to the </w:t>
      </w:r>
      <w:r>
        <w:rPr>
          <w:spacing w:val="-1"/>
        </w:rPr>
        <w:t>nearest</w:t>
      </w:r>
      <w:r>
        <w:t xml:space="preserve"> dollar for</w:t>
      </w:r>
      <w:r>
        <w:rPr>
          <w:spacing w:val="35"/>
        </w:rPr>
        <w:t xml:space="preserve"> </w:t>
      </w:r>
      <w:r>
        <w:t xml:space="preserve">the </w:t>
      </w:r>
      <w:r>
        <w:rPr>
          <w:spacing w:val="-2"/>
        </w:rPr>
        <w:t>GST</w:t>
      </w:r>
      <w:r>
        <w:rPr>
          <w:spacing w:val="-5"/>
        </w:rPr>
        <w:t xml:space="preserve"> </w:t>
      </w:r>
      <w:r>
        <w:t>inclusive price:</w:t>
      </w:r>
    </w:p>
    <w:p w:rsidR="00D96B91" w:rsidRDefault="00C2656B">
      <w:pPr>
        <w:spacing w:before="178" w:line="332" w:lineRule="auto"/>
        <w:ind w:left="1247" w:right="8866"/>
        <w:rPr>
          <w:rFonts w:ascii="Avenir Next" w:eastAsia="Avenir Next" w:hAnsi="Avenir Next" w:cs="Avenir Next"/>
          <w:sz w:val="20"/>
          <w:szCs w:val="20"/>
        </w:rPr>
      </w:pPr>
      <w:r>
        <w:rPr>
          <w:rFonts w:ascii="Avenir Next"/>
          <w:sz w:val="20"/>
        </w:rPr>
        <w:t>P</w:t>
      </w:r>
      <w:r>
        <w:rPr>
          <w:rFonts w:ascii="Avenir Next"/>
          <w:position w:val="-6"/>
          <w:sz w:val="11"/>
        </w:rPr>
        <w:t>t</w:t>
      </w:r>
      <w:r>
        <w:rPr>
          <w:rFonts w:ascii="Avenir Next"/>
          <w:spacing w:val="25"/>
          <w:position w:val="-6"/>
          <w:sz w:val="11"/>
        </w:rPr>
        <w:t xml:space="preserve"> </w:t>
      </w:r>
      <w:r>
        <w:rPr>
          <w:rFonts w:ascii="Avenir Next"/>
          <w:sz w:val="20"/>
        </w:rPr>
        <w:t>=</w:t>
      </w:r>
      <w:r>
        <w:rPr>
          <w:rFonts w:ascii="Avenir Next"/>
          <w:spacing w:val="3"/>
          <w:sz w:val="20"/>
        </w:rPr>
        <w:t xml:space="preserve"> </w:t>
      </w:r>
      <w:r>
        <w:rPr>
          <w:rFonts w:ascii="Avenir Next"/>
          <w:sz w:val="20"/>
        </w:rPr>
        <w:t>P</w:t>
      </w:r>
      <w:r>
        <w:rPr>
          <w:rFonts w:ascii="Avenir Next"/>
          <w:position w:val="-6"/>
          <w:sz w:val="11"/>
        </w:rPr>
        <w:t>t-1</w:t>
      </w:r>
      <w:r>
        <w:rPr>
          <w:rFonts w:ascii="Avenir Next"/>
          <w:spacing w:val="26"/>
          <w:position w:val="-6"/>
          <w:sz w:val="11"/>
        </w:rPr>
        <w:t xml:space="preserve"> </w:t>
      </w:r>
      <w:r>
        <w:rPr>
          <w:rFonts w:ascii="Avenir Next"/>
          <w:sz w:val="20"/>
        </w:rPr>
        <w:t>x</w:t>
      </w:r>
      <w:r>
        <w:rPr>
          <w:rFonts w:ascii="Avenir Next"/>
          <w:spacing w:val="3"/>
          <w:sz w:val="20"/>
        </w:rPr>
        <w:t xml:space="preserve"> </w:t>
      </w:r>
      <w:r>
        <w:rPr>
          <w:rFonts w:ascii="Avenir Next"/>
          <w:sz w:val="20"/>
        </w:rPr>
        <w:t>CPI</w:t>
      </w:r>
      <w:r>
        <w:rPr>
          <w:rFonts w:ascii="Avenir Next"/>
          <w:position w:val="-6"/>
          <w:sz w:val="11"/>
        </w:rPr>
        <w:t>t</w:t>
      </w:r>
      <w:r>
        <w:rPr>
          <w:rFonts w:ascii="Avenir Next"/>
          <w:w w:val="106"/>
          <w:position w:val="-6"/>
          <w:sz w:val="11"/>
        </w:rPr>
        <w:t xml:space="preserve"> </w:t>
      </w:r>
      <w:r>
        <w:rPr>
          <w:rFonts w:ascii="Avenir Next"/>
          <w:spacing w:val="-1"/>
          <w:sz w:val="20"/>
        </w:rPr>
        <w:t>where:</w:t>
      </w:r>
    </w:p>
    <w:p w:rsidR="00D96B91" w:rsidRDefault="00C2656B">
      <w:pPr>
        <w:pStyle w:val="BodyText"/>
        <w:tabs>
          <w:tab w:val="left" w:pos="1967"/>
        </w:tabs>
        <w:spacing w:before="51"/>
      </w:pPr>
      <w:r>
        <w:t>P</w:t>
      </w:r>
      <w:r>
        <w:rPr>
          <w:position w:val="-6"/>
          <w:sz w:val="11"/>
        </w:rPr>
        <w:t>t</w:t>
      </w:r>
      <w:r>
        <w:rPr>
          <w:position w:val="-6"/>
          <w:sz w:val="11"/>
        </w:rPr>
        <w:tab/>
      </w:r>
      <w:r>
        <w:t xml:space="preserve">is the price to be </w:t>
      </w:r>
      <w:r>
        <w:rPr>
          <w:spacing w:val="-1"/>
        </w:rPr>
        <w:t>charged</w:t>
      </w:r>
      <w:r>
        <w:t xml:space="preserve"> for the </w:t>
      </w:r>
      <w:r>
        <w:rPr>
          <w:spacing w:val="-1"/>
        </w:rPr>
        <w:t>relevant</w:t>
      </w:r>
      <w:r>
        <w:t xml:space="preserve"> miscellaneous service in the </w:t>
      </w:r>
      <w:r>
        <w:rPr>
          <w:spacing w:val="-1"/>
        </w:rPr>
        <w:t>regulatory</w:t>
      </w:r>
      <w:r>
        <w:t xml:space="preserve"> </w:t>
      </w:r>
      <w:r>
        <w:rPr>
          <w:spacing w:val="-1"/>
        </w:rPr>
        <w:t>year</w:t>
      </w:r>
      <w:r>
        <w:t xml:space="preserve"> t;</w:t>
      </w:r>
    </w:p>
    <w:p w:rsidR="00D96B91" w:rsidRDefault="00C2656B">
      <w:pPr>
        <w:pStyle w:val="BodyText"/>
        <w:tabs>
          <w:tab w:val="left" w:pos="1967"/>
        </w:tabs>
        <w:spacing w:before="120" w:line="332" w:lineRule="auto"/>
        <w:ind w:right="1627" w:hanging="1"/>
      </w:pPr>
      <w:r>
        <w:t>P</w:t>
      </w:r>
      <w:r>
        <w:rPr>
          <w:position w:val="-6"/>
          <w:sz w:val="11"/>
        </w:rPr>
        <w:t>t-1</w:t>
      </w:r>
      <w:r>
        <w:rPr>
          <w:position w:val="-6"/>
          <w:sz w:val="11"/>
        </w:rPr>
        <w:tab/>
      </w:r>
      <w:r>
        <w:t xml:space="preserve">is the price </w:t>
      </w:r>
      <w:r>
        <w:rPr>
          <w:spacing w:val="-1"/>
        </w:rPr>
        <w:t>charged</w:t>
      </w:r>
      <w:r>
        <w:t xml:space="preserve"> for the </w:t>
      </w:r>
      <w:r>
        <w:rPr>
          <w:spacing w:val="-1"/>
        </w:rPr>
        <w:t>relevant</w:t>
      </w:r>
      <w:r>
        <w:t xml:space="preserve"> miscellaneous service in the </w:t>
      </w:r>
      <w:r>
        <w:rPr>
          <w:spacing w:val="-1"/>
        </w:rPr>
        <w:t>preceding</w:t>
      </w:r>
      <w:r>
        <w:t xml:space="preserve"> </w:t>
      </w:r>
      <w:r>
        <w:rPr>
          <w:spacing w:val="-1"/>
        </w:rPr>
        <w:t>regulatory</w:t>
      </w:r>
      <w:r>
        <w:t xml:space="preserve"> </w:t>
      </w:r>
      <w:r>
        <w:rPr>
          <w:spacing w:val="-1"/>
        </w:rPr>
        <w:t>year;</w:t>
      </w:r>
      <w:r>
        <w:rPr>
          <w:spacing w:val="39"/>
        </w:rPr>
        <w:t xml:space="preserve"> </w:t>
      </w:r>
      <w:r>
        <w:t>t</w:t>
      </w:r>
      <w:r>
        <w:tab/>
        <w:t xml:space="preserve">is the </w:t>
      </w:r>
      <w:r>
        <w:rPr>
          <w:spacing w:val="-1"/>
        </w:rPr>
        <w:t>relevant</w:t>
      </w:r>
      <w:r>
        <w:t xml:space="preserve"> </w:t>
      </w:r>
      <w:r>
        <w:rPr>
          <w:spacing w:val="-1"/>
        </w:rPr>
        <w:t>year</w:t>
      </w:r>
      <w:r>
        <w:t xml:space="preserve"> in the </w:t>
      </w:r>
      <w:r>
        <w:rPr>
          <w:spacing w:val="-1"/>
        </w:rPr>
        <w:t>regulatory</w:t>
      </w:r>
      <w:r>
        <w:t xml:space="preserve"> period; and</w:t>
      </w:r>
    </w:p>
    <w:p w:rsidR="00D96B91" w:rsidRDefault="00C2656B">
      <w:pPr>
        <w:pStyle w:val="BodyText"/>
        <w:tabs>
          <w:tab w:val="left" w:pos="1967"/>
        </w:tabs>
        <w:spacing w:before="51"/>
      </w:pPr>
      <w:r>
        <w:rPr>
          <w:spacing w:val="-1"/>
        </w:rPr>
        <w:t>CPI</w:t>
      </w:r>
      <w:r>
        <w:rPr>
          <w:spacing w:val="-1"/>
          <w:position w:val="-6"/>
          <w:sz w:val="11"/>
        </w:rPr>
        <w:t>t</w:t>
      </w:r>
      <w:r>
        <w:rPr>
          <w:spacing w:val="-1"/>
          <w:position w:val="-6"/>
          <w:sz w:val="11"/>
        </w:rPr>
        <w:tab/>
      </w:r>
      <w:r>
        <w:t>is</w:t>
      </w:r>
      <w:r>
        <w:rPr>
          <w:spacing w:val="-1"/>
        </w:rPr>
        <w:t xml:space="preserve"> </w:t>
      </w:r>
      <w:r>
        <w:t>as</w:t>
      </w:r>
      <w:r>
        <w:rPr>
          <w:spacing w:val="-2"/>
        </w:rPr>
        <w:t xml:space="preserve"> </w:t>
      </w:r>
      <w:r>
        <w:t>it</w:t>
      </w:r>
      <w:r>
        <w:rPr>
          <w:spacing w:val="-1"/>
        </w:rPr>
        <w:t xml:space="preserve"> </w:t>
      </w:r>
      <w:r>
        <w:t>is</w:t>
      </w:r>
      <w:r>
        <w:rPr>
          <w:spacing w:val="-1"/>
        </w:rPr>
        <w:t xml:space="preserve"> </w:t>
      </w:r>
      <w:r>
        <w:t>defined</w:t>
      </w:r>
      <w:r>
        <w:rPr>
          <w:spacing w:val="-1"/>
        </w:rPr>
        <w:t xml:space="preserve"> </w:t>
      </w:r>
      <w:hyperlink w:anchor="_bookmark162" w:history="1">
        <w:r>
          <w:t>in</w:t>
        </w:r>
        <w:r>
          <w:rPr>
            <w:spacing w:val="-1"/>
          </w:rPr>
          <w:t xml:space="preserve"> </w:t>
        </w:r>
        <w:r>
          <w:t>clause</w:t>
        </w:r>
        <w:r>
          <w:rPr>
            <w:spacing w:val="-1"/>
          </w:rPr>
          <w:t xml:space="preserve"> </w:t>
        </w:r>
        <w:r>
          <w:t>6.1.</w:t>
        </w:r>
      </w:hyperlink>
    </w:p>
    <w:p w:rsidR="00D96B91" w:rsidRDefault="00D96B91">
      <w:pPr>
        <w:spacing w:before="5"/>
        <w:rPr>
          <w:rFonts w:ascii="Avenir Next" w:eastAsia="Avenir Next" w:hAnsi="Avenir Next" w:cs="Avenir Next"/>
          <w:sz w:val="25"/>
          <w:szCs w:val="25"/>
        </w:rPr>
      </w:pPr>
    </w:p>
    <w:p w:rsidR="00D96B91" w:rsidRDefault="00C2656B">
      <w:pPr>
        <w:pStyle w:val="Heading3"/>
        <w:rPr>
          <w:b w:val="0"/>
          <w:bCs w:val="0"/>
        </w:rPr>
      </w:pPr>
      <w:r>
        <w:rPr>
          <w:color w:val="0778BE"/>
        </w:rPr>
        <w:t>7.</w:t>
      </w:r>
      <w:r>
        <w:rPr>
          <w:color w:val="0778BE"/>
          <w:spacing w:val="-9"/>
        </w:rPr>
        <w:t xml:space="preserve"> </w:t>
      </w:r>
      <w:r>
        <w:rPr>
          <w:color w:val="0778BE"/>
        </w:rPr>
        <w:t>1.</w:t>
      </w:r>
      <w:r>
        <w:rPr>
          <w:color w:val="0778BE"/>
          <w:spacing w:val="74"/>
        </w:rPr>
        <w:t xml:space="preserve"> </w:t>
      </w:r>
      <w:r>
        <w:rPr>
          <w:color w:val="0778BE"/>
        </w:rPr>
        <w:t>New miscellaneous services</w:t>
      </w:r>
    </w:p>
    <w:p w:rsidR="00D96B91" w:rsidRDefault="00C2656B">
      <w:pPr>
        <w:pStyle w:val="BodyText"/>
        <w:spacing w:before="55" w:line="260" w:lineRule="exact"/>
        <w:ind w:right="1548"/>
        <w:rPr>
          <w:rFonts w:cs="Avenir Next"/>
        </w:rPr>
      </w:pPr>
      <w:r>
        <w:t>Should</w:t>
      </w:r>
      <w:r>
        <w:rPr>
          <w:spacing w:val="-4"/>
        </w:rPr>
        <w:t xml:space="preserve"> </w:t>
      </w:r>
      <w:r>
        <w:rPr>
          <w:spacing w:val="-2"/>
        </w:rPr>
        <w:t>ACTEW</w:t>
      </w:r>
      <w:r>
        <w:rPr>
          <w:spacing w:val="-3"/>
        </w:rPr>
        <w:t xml:space="preserve"> </w:t>
      </w:r>
      <w:r>
        <w:t xml:space="preserve">wish to </w:t>
      </w:r>
      <w:r>
        <w:rPr>
          <w:spacing w:val="-1"/>
        </w:rPr>
        <w:t>introduce</w:t>
      </w:r>
      <w:r>
        <w:t xml:space="preserve"> a new miscellaneous service during the </w:t>
      </w:r>
      <w:r>
        <w:rPr>
          <w:spacing w:val="-1"/>
        </w:rPr>
        <w:t>regulatory</w:t>
      </w:r>
      <w:r>
        <w:t xml:space="preserve"> period,</w:t>
      </w:r>
      <w:r>
        <w:rPr>
          <w:spacing w:val="-10"/>
        </w:rPr>
        <w:t xml:space="preserve"> </w:t>
      </w:r>
      <w:r>
        <w:rPr>
          <w:spacing w:val="-2"/>
        </w:rPr>
        <w:t>ACTEW</w:t>
      </w:r>
      <w:r>
        <w:rPr>
          <w:spacing w:val="35"/>
        </w:rPr>
        <w:t xml:space="preserve"> </w:t>
      </w:r>
      <w:r>
        <w:t xml:space="preserve">must </w:t>
      </w:r>
      <w:r>
        <w:rPr>
          <w:spacing w:val="-1"/>
        </w:rPr>
        <w:t>make</w:t>
      </w:r>
      <w:r>
        <w:t xml:space="preserve"> an </w:t>
      </w:r>
      <w:r>
        <w:rPr>
          <w:spacing w:val="-1"/>
        </w:rPr>
        <w:t>application</w:t>
      </w:r>
      <w:r>
        <w:t xml:space="preserve"> to the </w:t>
      </w:r>
      <w:r>
        <w:rPr>
          <w:spacing w:val="-1"/>
        </w:rPr>
        <w:t>Commission</w:t>
      </w:r>
      <w:r>
        <w:t xml:space="preserve"> and </w:t>
      </w:r>
      <w:r>
        <w:rPr>
          <w:spacing w:val="-1"/>
        </w:rPr>
        <w:t>provide</w:t>
      </w:r>
      <w:r>
        <w:t xml:space="preserve"> the following </w:t>
      </w:r>
      <w:r>
        <w:rPr>
          <w:spacing w:val="-1"/>
        </w:rPr>
        <w:t>information:</w:t>
      </w:r>
    </w:p>
    <w:p w:rsidR="00D96B91" w:rsidRDefault="00C2656B">
      <w:pPr>
        <w:pStyle w:val="BodyText"/>
        <w:numPr>
          <w:ilvl w:val="0"/>
          <w:numId w:val="14"/>
        </w:numPr>
        <w:tabs>
          <w:tab w:val="left" w:pos="1588"/>
        </w:tabs>
        <w:spacing w:before="178"/>
        <w:ind w:hanging="340"/>
      </w:pPr>
      <w:r>
        <w:t>a description of</w:t>
      </w:r>
      <w:r>
        <w:rPr>
          <w:spacing w:val="4"/>
        </w:rPr>
        <w:t xml:space="preserve"> </w:t>
      </w:r>
      <w:r>
        <w:t>the new miscellaneous service;</w:t>
      </w:r>
    </w:p>
    <w:p w:rsidR="00D96B91" w:rsidRDefault="00C2656B">
      <w:pPr>
        <w:pStyle w:val="BodyText"/>
        <w:numPr>
          <w:ilvl w:val="0"/>
          <w:numId w:val="14"/>
        </w:numPr>
        <w:tabs>
          <w:tab w:val="left" w:pos="1588"/>
        </w:tabs>
        <w:spacing w:before="72"/>
        <w:ind w:hanging="340"/>
      </w:pPr>
      <w:r>
        <w:t xml:space="preserve">the </w:t>
      </w:r>
      <w:r>
        <w:rPr>
          <w:spacing w:val="-1"/>
        </w:rPr>
        <w:t>reasons</w:t>
      </w:r>
      <w:r>
        <w:t xml:space="preserve"> for the </w:t>
      </w:r>
      <w:r>
        <w:rPr>
          <w:spacing w:val="-1"/>
        </w:rPr>
        <w:t>introduction</w:t>
      </w:r>
      <w:r>
        <w:t xml:space="preserve"> of</w:t>
      </w:r>
      <w:r>
        <w:rPr>
          <w:spacing w:val="4"/>
        </w:rPr>
        <w:t xml:space="preserve"> </w:t>
      </w:r>
      <w:r>
        <w:t>the new miscellaneous service;</w:t>
      </w:r>
    </w:p>
    <w:p w:rsidR="00D96B91" w:rsidRDefault="00C2656B">
      <w:pPr>
        <w:pStyle w:val="BodyText"/>
        <w:numPr>
          <w:ilvl w:val="0"/>
          <w:numId w:val="14"/>
        </w:numPr>
        <w:tabs>
          <w:tab w:val="left" w:pos="1588"/>
        </w:tabs>
        <w:spacing w:before="72"/>
        <w:ind w:hanging="340"/>
      </w:pPr>
      <w:r>
        <w:t xml:space="preserve">the terms and conditions which will apply to the </w:t>
      </w:r>
      <w:r>
        <w:rPr>
          <w:spacing w:val="-1"/>
        </w:rPr>
        <w:t>provision</w:t>
      </w:r>
      <w:r>
        <w:t xml:space="preserve"> of</w:t>
      </w:r>
      <w:r>
        <w:rPr>
          <w:spacing w:val="4"/>
        </w:rPr>
        <w:t xml:space="preserve"> </w:t>
      </w:r>
      <w:r>
        <w:t>the new miscellaneous service;</w:t>
      </w:r>
    </w:p>
    <w:p w:rsidR="00D96B91" w:rsidRDefault="00C2656B">
      <w:pPr>
        <w:pStyle w:val="BodyText"/>
        <w:numPr>
          <w:ilvl w:val="0"/>
          <w:numId w:val="14"/>
        </w:numPr>
        <w:tabs>
          <w:tab w:val="left" w:pos="1588"/>
        </w:tabs>
        <w:spacing w:before="72"/>
        <w:ind w:hanging="340"/>
      </w:pPr>
      <w:r>
        <w:t>the</w:t>
      </w:r>
      <w:r>
        <w:rPr>
          <w:spacing w:val="-1"/>
        </w:rPr>
        <w:t xml:space="preserve"> direct efficient</w:t>
      </w:r>
      <w:r>
        <w:t xml:space="preserve"> costs</w:t>
      </w:r>
      <w:r>
        <w:rPr>
          <w:spacing w:val="-1"/>
        </w:rPr>
        <w:t xml:space="preserve"> </w:t>
      </w:r>
      <w:r>
        <w:t>of</w:t>
      </w:r>
      <w:r>
        <w:rPr>
          <w:spacing w:val="3"/>
        </w:rPr>
        <w:t xml:space="preserve"> </w:t>
      </w:r>
      <w:r>
        <w:rPr>
          <w:spacing w:val="-1"/>
        </w:rPr>
        <w:t>providing</w:t>
      </w:r>
      <w:r>
        <w:t xml:space="preserve"> the</w:t>
      </w:r>
      <w:r>
        <w:rPr>
          <w:spacing w:val="-1"/>
        </w:rPr>
        <w:t xml:space="preserve"> </w:t>
      </w:r>
      <w:r>
        <w:t>new miscellaneous</w:t>
      </w:r>
      <w:r>
        <w:rPr>
          <w:spacing w:val="-1"/>
        </w:rPr>
        <w:t xml:space="preserve"> </w:t>
      </w:r>
      <w:r>
        <w:t>service;</w:t>
      </w:r>
    </w:p>
    <w:p w:rsidR="00D96B91" w:rsidRDefault="00C2656B">
      <w:pPr>
        <w:pStyle w:val="BodyText"/>
        <w:numPr>
          <w:ilvl w:val="0"/>
          <w:numId w:val="14"/>
        </w:numPr>
        <w:tabs>
          <w:tab w:val="left" w:pos="1588"/>
        </w:tabs>
        <w:spacing w:before="72"/>
        <w:ind w:hanging="340"/>
      </w:pPr>
      <w:r>
        <w:t xml:space="preserve">a </w:t>
      </w:r>
      <w:r>
        <w:rPr>
          <w:spacing w:val="-1"/>
        </w:rPr>
        <w:t>forecast</w:t>
      </w:r>
      <w:r>
        <w:t xml:space="preserve"> of</w:t>
      </w:r>
      <w:r>
        <w:rPr>
          <w:spacing w:val="4"/>
        </w:rPr>
        <w:t xml:space="preserve"> </w:t>
      </w:r>
      <w:r>
        <w:t>the annual volume of</w:t>
      </w:r>
      <w:r>
        <w:rPr>
          <w:spacing w:val="4"/>
        </w:rPr>
        <w:t xml:space="preserve"> </w:t>
      </w:r>
      <w:r>
        <w:t>sales of</w:t>
      </w:r>
      <w:r>
        <w:rPr>
          <w:spacing w:val="4"/>
        </w:rPr>
        <w:t xml:space="preserve"> </w:t>
      </w:r>
      <w:r>
        <w:t>the new miscellaneous service; and</w:t>
      </w:r>
    </w:p>
    <w:p w:rsidR="00D96B91" w:rsidRDefault="00C2656B">
      <w:pPr>
        <w:pStyle w:val="BodyText"/>
        <w:numPr>
          <w:ilvl w:val="0"/>
          <w:numId w:val="14"/>
        </w:numPr>
        <w:tabs>
          <w:tab w:val="left" w:pos="1588"/>
        </w:tabs>
        <w:spacing w:before="72"/>
        <w:ind w:hanging="340"/>
      </w:pPr>
      <w:r>
        <w:t>the</w:t>
      </w:r>
      <w:r>
        <w:rPr>
          <w:spacing w:val="-1"/>
        </w:rPr>
        <w:t xml:space="preserve"> proposed</w:t>
      </w:r>
      <w:r>
        <w:t xml:space="preserve"> price for the</w:t>
      </w:r>
      <w:r>
        <w:rPr>
          <w:spacing w:val="-1"/>
        </w:rPr>
        <w:t xml:space="preserve"> </w:t>
      </w:r>
      <w:r>
        <w:t>new miscellaneous service for the</w:t>
      </w:r>
      <w:r>
        <w:rPr>
          <w:spacing w:val="-1"/>
        </w:rPr>
        <w:t xml:space="preserve"> </w:t>
      </w:r>
      <w:r>
        <w:t xml:space="preserve">first </w:t>
      </w:r>
      <w:r>
        <w:rPr>
          <w:spacing w:val="-1"/>
        </w:rPr>
        <w:t>year</w:t>
      </w:r>
      <w:r>
        <w:t xml:space="preserve"> it is</w:t>
      </w:r>
      <w:r>
        <w:rPr>
          <w:spacing w:val="-1"/>
        </w:rPr>
        <w:t xml:space="preserve"> </w:t>
      </w:r>
      <w:r>
        <w:t>in place.</w:t>
      </w:r>
    </w:p>
    <w:p w:rsidR="00D96B91" w:rsidRDefault="00D96B91">
      <w:pPr>
        <w:spacing w:before="12"/>
        <w:rPr>
          <w:rFonts w:ascii="Avenir Next" w:eastAsia="Avenir Next" w:hAnsi="Avenir Next" w:cs="Avenir Next"/>
          <w:sz w:val="21"/>
          <w:szCs w:val="21"/>
        </w:rPr>
      </w:pPr>
    </w:p>
    <w:p w:rsidR="00D96B91" w:rsidRDefault="00C2656B">
      <w:pPr>
        <w:pStyle w:val="Heading3"/>
        <w:rPr>
          <w:b w:val="0"/>
          <w:bCs w:val="0"/>
        </w:rPr>
      </w:pPr>
      <w:r>
        <w:rPr>
          <w:color w:val="0778BE"/>
        </w:rPr>
        <w:t>7.</w:t>
      </w:r>
      <w:r>
        <w:rPr>
          <w:color w:val="0778BE"/>
          <w:spacing w:val="-9"/>
        </w:rPr>
        <w:t xml:space="preserve"> </w:t>
      </w:r>
      <w:r>
        <w:rPr>
          <w:color w:val="0778BE"/>
        </w:rPr>
        <w:t>2.</w:t>
      </w:r>
      <w:r>
        <w:rPr>
          <w:color w:val="0778BE"/>
          <w:spacing w:val="74"/>
        </w:rPr>
        <w:t xml:space="preserve"> </w:t>
      </w:r>
      <w:r>
        <w:rPr>
          <w:color w:val="0778BE"/>
        </w:rPr>
        <w:t>Submission</w:t>
      </w:r>
      <w:r>
        <w:rPr>
          <w:color w:val="0778BE"/>
          <w:spacing w:val="-1"/>
        </w:rPr>
        <w:t xml:space="preserve"> </w:t>
      </w:r>
      <w:r>
        <w:rPr>
          <w:color w:val="0778BE"/>
        </w:rPr>
        <w:t>by</w:t>
      </w:r>
      <w:r>
        <w:rPr>
          <w:color w:val="0778BE"/>
          <w:spacing w:val="-6"/>
        </w:rPr>
        <w:t xml:space="preserve"> </w:t>
      </w:r>
      <w:r>
        <w:rPr>
          <w:color w:val="0778BE"/>
          <w:spacing w:val="-2"/>
        </w:rPr>
        <w:t>ACTEW</w:t>
      </w:r>
    </w:p>
    <w:p w:rsidR="00D96B91" w:rsidRDefault="00C2656B">
      <w:pPr>
        <w:pStyle w:val="BodyText"/>
        <w:spacing w:before="55" w:line="260" w:lineRule="exact"/>
        <w:ind w:right="1283"/>
        <w:rPr>
          <w:rFonts w:cs="Avenir Next"/>
        </w:rPr>
      </w:pPr>
      <w:r>
        <w:rPr>
          <w:spacing w:val="-2"/>
        </w:rPr>
        <w:t>The</w:t>
      </w:r>
      <w:r>
        <w:t xml:space="preserve"> </w:t>
      </w:r>
      <w:r>
        <w:rPr>
          <w:spacing w:val="-1"/>
        </w:rPr>
        <w:t>Commission</w:t>
      </w:r>
      <w:r>
        <w:t xml:space="preserve"> will consider any submission </w:t>
      </w:r>
      <w:r>
        <w:rPr>
          <w:spacing w:val="-1"/>
        </w:rPr>
        <w:t>relating</w:t>
      </w:r>
      <w:r>
        <w:t xml:space="preserve"> to the miscellaneous service </w:t>
      </w:r>
      <w:r>
        <w:rPr>
          <w:spacing w:val="-1"/>
        </w:rPr>
        <w:t>from</w:t>
      </w:r>
      <w:r>
        <w:rPr>
          <w:spacing w:val="-4"/>
        </w:rPr>
        <w:t xml:space="preserve"> </w:t>
      </w:r>
      <w:r>
        <w:rPr>
          <w:spacing w:val="-2"/>
        </w:rPr>
        <w:t>ACTEW</w:t>
      </w:r>
      <w:r>
        <w:rPr>
          <w:spacing w:val="-3"/>
        </w:rPr>
        <w:t xml:space="preserve"> </w:t>
      </w:r>
      <w:r>
        <w:t>and</w:t>
      </w:r>
      <w:r>
        <w:rPr>
          <w:spacing w:val="31"/>
        </w:rPr>
        <w:t xml:space="preserve"> </w:t>
      </w:r>
      <w:r>
        <w:t xml:space="preserve">have </w:t>
      </w:r>
      <w:r>
        <w:rPr>
          <w:spacing w:val="-2"/>
        </w:rPr>
        <w:t>regard</w:t>
      </w:r>
      <w:r>
        <w:t xml:space="preserve"> to:</w:t>
      </w:r>
    </w:p>
    <w:p w:rsidR="00D96B91" w:rsidRDefault="00C2656B">
      <w:pPr>
        <w:pStyle w:val="BodyText"/>
        <w:numPr>
          <w:ilvl w:val="0"/>
          <w:numId w:val="13"/>
        </w:numPr>
        <w:tabs>
          <w:tab w:val="left" w:pos="1588"/>
        </w:tabs>
        <w:spacing w:before="170" w:line="260" w:lineRule="exact"/>
        <w:ind w:right="1604" w:hanging="340"/>
      </w:pPr>
      <w:r>
        <w:t xml:space="preserve">whether the </w:t>
      </w:r>
      <w:r>
        <w:rPr>
          <w:spacing w:val="-1"/>
        </w:rPr>
        <w:t>expenditure</w:t>
      </w:r>
      <w:r>
        <w:t xml:space="preserve"> or </w:t>
      </w:r>
      <w:r>
        <w:rPr>
          <w:spacing w:val="-1"/>
        </w:rPr>
        <w:t>revenue</w:t>
      </w:r>
      <w:r>
        <w:t xml:space="preserve"> </w:t>
      </w:r>
      <w:r>
        <w:rPr>
          <w:spacing w:val="-1"/>
        </w:rPr>
        <w:t>associated</w:t>
      </w:r>
      <w:r>
        <w:t xml:space="preserve"> with the miscellaneous service has </w:t>
      </w:r>
      <w:r>
        <w:rPr>
          <w:spacing w:val="-1"/>
        </w:rPr>
        <w:t>already</w:t>
      </w:r>
      <w:r>
        <w:t xml:space="preserve"> been</w:t>
      </w:r>
      <w:r>
        <w:rPr>
          <w:spacing w:val="33"/>
        </w:rPr>
        <w:t xml:space="preserve"> </w:t>
      </w:r>
      <w:r>
        <w:rPr>
          <w:spacing w:val="-1"/>
        </w:rPr>
        <w:t>taken</w:t>
      </w:r>
      <w:r>
        <w:t xml:space="preserve"> into account in specifying the price to apply under this </w:t>
      </w:r>
      <w:r>
        <w:rPr>
          <w:spacing w:val="-1"/>
        </w:rPr>
        <w:t>determination;</w:t>
      </w:r>
    </w:p>
    <w:p w:rsidR="00D96B91" w:rsidRDefault="00C2656B">
      <w:pPr>
        <w:pStyle w:val="BodyText"/>
        <w:numPr>
          <w:ilvl w:val="0"/>
          <w:numId w:val="13"/>
        </w:numPr>
        <w:tabs>
          <w:tab w:val="left" w:pos="1588"/>
        </w:tabs>
        <w:spacing w:before="93"/>
        <w:ind w:hanging="340"/>
      </w:pPr>
      <w:r>
        <w:t>whether</w:t>
      </w:r>
      <w:r>
        <w:rPr>
          <w:spacing w:val="-1"/>
        </w:rPr>
        <w:t xml:space="preserve"> </w:t>
      </w:r>
      <w:r>
        <w:t xml:space="preserve">the </w:t>
      </w:r>
      <w:r>
        <w:rPr>
          <w:spacing w:val="-1"/>
        </w:rPr>
        <w:t xml:space="preserve">proposed </w:t>
      </w:r>
      <w:r>
        <w:t xml:space="preserve">price </w:t>
      </w:r>
      <w:r>
        <w:rPr>
          <w:spacing w:val="-1"/>
        </w:rPr>
        <w:t xml:space="preserve">recovers </w:t>
      </w:r>
      <w:r>
        <w:t xml:space="preserve">the </w:t>
      </w:r>
      <w:r>
        <w:rPr>
          <w:spacing w:val="-1"/>
        </w:rPr>
        <w:t xml:space="preserve">efficient </w:t>
      </w:r>
      <w:r>
        <w:t>cost of</w:t>
      </w:r>
      <w:r>
        <w:rPr>
          <w:spacing w:val="3"/>
        </w:rPr>
        <w:t xml:space="preserve"> </w:t>
      </w:r>
      <w:r>
        <w:rPr>
          <w:spacing w:val="-1"/>
        </w:rPr>
        <w:t>providing</w:t>
      </w:r>
      <w:r>
        <w:t xml:space="preserve"> the</w:t>
      </w:r>
      <w:r>
        <w:rPr>
          <w:spacing w:val="-1"/>
        </w:rPr>
        <w:t xml:space="preserve"> </w:t>
      </w:r>
      <w:r>
        <w:t>service; and</w:t>
      </w:r>
    </w:p>
    <w:p w:rsidR="00D96B91" w:rsidRDefault="00C2656B">
      <w:pPr>
        <w:pStyle w:val="BodyText"/>
        <w:numPr>
          <w:ilvl w:val="0"/>
          <w:numId w:val="13"/>
        </w:numPr>
        <w:tabs>
          <w:tab w:val="left" w:pos="1588"/>
        </w:tabs>
        <w:spacing w:before="72"/>
        <w:ind w:hanging="340"/>
      </w:pPr>
      <w:r>
        <w:t xml:space="preserve">any other </w:t>
      </w:r>
      <w:r>
        <w:rPr>
          <w:spacing w:val="-1"/>
        </w:rPr>
        <w:t>relevant</w:t>
      </w:r>
      <w:r>
        <w:t xml:space="preserve"> </w:t>
      </w:r>
      <w:r>
        <w:rPr>
          <w:spacing w:val="-3"/>
        </w:rPr>
        <w:t>matter.</w:t>
      </w:r>
    </w:p>
    <w:p w:rsidR="00D96B91" w:rsidRDefault="00D96B91">
      <w:pPr>
        <w:spacing w:before="12"/>
        <w:rPr>
          <w:rFonts w:ascii="Avenir Next" w:eastAsia="Avenir Next" w:hAnsi="Avenir Next" w:cs="Avenir Next"/>
          <w:sz w:val="21"/>
          <w:szCs w:val="21"/>
        </w:rPr>
      </w:pPr>
    </w:p>
    <w:p w:rsidR="00D96B91" w:rsidRDefault="00C2656B">
      <w:pPr>
        <w:pStyle w:val="Heading3"/>
        <w:rPr>
          <w:b w:val="0"/>
          <w:bCs w:val="0"/>
        </w:rPr>
      </w:pPr>
      <w:r>
        <w:rPr>
          <w:color w:val="0778BE"/>
        </w:rPr>
        <w:t>7.</w:t>
      </w:r>
      <w:r>
        <w:rPr>
          <w:color w:val="0778BE"/>
          <w:spacing w:val="-9"/>
        </w:rPr>
        <w:t xml:space="preserve"> </w:t>
      </w:r>
      <w:r>
        <w:rPr>
          <w:color w:val="0778BE"/>
        </w:rPr>
        <w:t>3.</w:t>
      </w:r>
      <w:r>
        <w:rPr>
          <w:color w:val="0778BE"/>
          <w:spacing w:val="74"/>
        </w:rPr>
        <w:t xml:space="preserve"> </w:t>
      </w:r>
      <w:r>
        <w:rPr>
          <w:color w:val="0778BE"/>
          <w:spacing w:val="-1"/>
        </w:rPr>
        <w:t>Commission</w:t>
      </w:r>
      <w:r>
        <w:rPr>
          <w:color w:val="0778BE"/>
        </w:rPr>
        <w:t xml:space="preserve"> may </w:t>
      </w:r>
      <w:r>
        <w:rPr>
          <w:color w:val="0778BE"/>
          <w:spacing w:val="-1"/>
        </w:rPr>
        <w:t>request</w:t>
      </w:r>
      <w:r>
        <w:rPr>
          <w:color w:val="0778BE"/>
        </w:rPr>
        <w:t xml:space="preserve"> </w:t>
      </w:r>
      <w:r>
        <w:rPr>
          <w:color w:val="0778BE"/>
          <w:spacing w:val="-1"/>
        </w:rPr>
        <w:t>further</w:t>
      </w:r>
      <w:r>
        <w:rPr>
          <w:color w:val="0778BE"/>
        </w:rPr>
        <w:t xml:space="preserve"> </w:t>
      </w:r>
      <w:r>
        <w:rPr>
          <w:color w:val="0778BE"/>
          <w:spacing w:val="-1"/>
        </w:rPr>
        <w:t>information</w:t>
      </w:r>
    </w:p>
    <w:p w:rsidR="00D96B91" w:rsidRDefault="00C2656B">
      <w:pPr>
        <w:pStyle w:val="BodyText"/>
        <w:spacing w:before="55" w:line="260" w:lineRule="exact"/>
        <w:ind w:right="1283"/>
      </w:pPr>
      <w:r>
        <w:rPr>
          <w:spacing w:val="-2"/>
        </w:rPr>
        <w:t>The</w:t>
      </w:r>
      <w:r>
        <w:rPr>
          <w:spacing w:val="-1"/>
        </w:rPr>
        <w:t xml:space="preserve"> Commission </w:t>
      </w:r>
      <w:r>
        <w:t>may</w:t>
      </w:r>
      <w:r>
        <w:rPr>
          <w:spacing w:val="-1"/>
        </w:rPr>
        <w:t xml:space="preserve"> request</w:t>
      </w:r>
      <w:r>
        <w:t xml:space="preserve"> </w:t>
      </w:r>
      <w:r>
        <w:rPr>
          <w:spacing w:val="-1"/>
        </w:rPr>
        <w:t>that</w:t>
      </w:r>
      <w:r>
        <w:rPr>
          <w:spacing w:val="-5"/>
        </w:rPr>
        <w:t xml:space="preserve"> </w:t>
      </w:r>
      <w:r>
        <w:rPr>
          <w:spacing w:val="-2"/>
        </w:rPr>
        <w:t>ACTEW</w:t>
      </w:r>
      <w:r>
        <w:rPr>
          <w:spacing w:val="-4"/>
        </w:rPr>
        <w:t xml:space="preserve"> </w:t>
      </w:r>
      <w:r>
        <w:rPr>
          <w:spacing w:val="-1"/>
        </w:rPr>
        <w:t>provide</w:t>
      </w:r>
      <w:r>
        <w:t xml:space="preserve"> any</w:t>
      </w:r>
      <w:r>
        <w:rPr>
          <w:spacing w:val="-1"/>
        </w:rPr>
        <w:t xml:space="preserve"> </w:t>
      </w:r>
      <w:r>
        <w:t>additional</w:t>
      </w:r>
      <w:r>
        <w:rPr>
          <w:spacing w:val="-1"/>
        </w:rPr>
        <w:t xml:space="preserve"> information</w:t>
      </w:r>
      <w:r>
        <w:t xml:space="preserve"> specified</w:t>
      </w:r>
      <w:r>
        <w:rPr>
          <w:spacing w:val="-1"/>
        </w:rPr>
        <w:t xml:space="preserve"> </w:t>
      </w:r>
      <w:r>
        <w:t>by</w:t>
      </w:r>
      <w:r>
        <w:rPr>
          <w:spacing w:val="-1"/>
        </w:rPr>
        <w:t xml:space="preserve"> </w:t>
      </w:r>
      <w:r>
        <w:t>the</w:t>
      </w:r>
      <w:r>
        <w:rPr>
          <w:spacing w:val="61"/>
        </w:rPr>
        <w:t xml:space="preserve"> </w:t>
      </w:r>
      <w:r>
        <w:rPr>
          <w:spacing w:val="-1"/>
        </w:rPr>
        <w:t>Commission.</w:t>
      </w:r>
    </w:p>
    <w:p w:rsidR="00D96B91" w:rsidRDefault="00C2656B">
      <w:pPr>
        <w:pStyle w:val="BodyText"/>
        <w:spacing w:before="178"/>
      </w:pPr>
      <w:r>
        <w:rPr>
          <w:spacing w:val="-2"/>
        </w:rPr>
        <w:t>The</w:t>
      </w:r>
      <w:r>
        <w:t xml:space="preserve"> </w:t>
      </w:r>
      <w:r>
        <w:rPr>
          <w:spacing w:val="-1"/>
        </w:rPr>
        <w:t>Commission</w:t>
      </w:r>
      <w:r>
        <w:t xml:space="preserve"> may </w:t>
      </w:r>
      <w:r>
        <w:rPr>
          <w:spacing w:val="-1"/>
        </w:rPr>
        <w:t>request</w:t>
      </w:r>
      <w:r>
        <w:t xml:space="preserve"> </w:t>
      </w:r>
      <w:r>
        <w:rPr>
          <w:spacing w:val="-1"/>
        </w:rPr>
        <w:t>information</w:t>
      </w:r>
      <w:r>
        <w:t xml:space="preserve"> </w:t>
      </w:r>
      <w:r>
        <w:rPr>
          <w:spacing w:val="-1"/>
        </w:rPr>
        <w:t>from</w:t>
      </w:r>
      <w:r>
        <w:t xml:space="preserve"> </w:t>
      </w:r>
      <w:r>
        <w:rPr>
          <w:spacing w:val="-1"/>
        </w:rPr>
        <w:t>parties</w:t>
      </w:r>
      <w:r>
        <w:t xml:space="preserve"> other than</w:t>
      </w:r>
      <w:r>
        <w:rPr>
          <w:spacing w:val="-4"/>
        </w:rPr>
        <w:t xml:space="preserve"> ACTEW.</w:t>
      </w:r>
    </w:p>
    <w:p w:rsidR="00D96B91" w:rsidRDefault="00D96B91">
      <w:pPr>
        <w:spacing w:before="1"/>
        <w:rPr>
          <w:rFonts w:ascii="Avenir Next" w:eastAsia="Avenir Next" w:hAnsi="Avenir Next" w:cs="Avenir Next"/>
          <w:sz w:val="28"/>
          <w:szCs w:val="28"/>
        </w:rPr>
      </w:pPr>
    </w:p>
    <w:p w:rsidR="00D96B91" w:rsidRDefault="00C2656B">
      <w:pPr>
        <w:pStyle w:val="Heading3"/>
        <w:rPr>
          <w:rFonts w:cs="Avenir Next"/>
          <w:b w:val="0"/>
          <w:bCs w:val="0"/>
        </w:rPr>
      </w:pPr>
      <w:r>
        <w:rPr>
          <w:color w:val="0778BE"/>
        </w:rPr>
        <w:t>7.</w:t>
      </w:r>
      <w:r>
        <w:rPr>
          <w:color w:val="0778BE"/>
          <w:spacing w:val="-9"/>
        </w:rPr>
        <w:t xml:space="preserve"> </w:t>
      </w:r>
      <w:r>
        <w:rPr>
          <w:color w:val="0778BE"/>
        </w:rPr>
        <w:t>4.</w:t>
      </w:r>
      <w:r>
        <w:rPr>
          <w:color w:val="0778BE"/>
          <w:spacing w:val="74"/>
        </w:rPr>
        <w:t xml:space="preserve"> </w:t>
      </w:r>
      <w:r>
        <w:rPr>
          <w:color w:val="0778BE"/>
          <w:spacing w:val="-1"/>
        </w:rPr>
        <w:t>Notification</w:t>
      </w:r>
      <w:r>
        <w:rPr>
          <w:color w:val="0778BE"/>
        </w:rPr>
        <w:t xml:space="preserve"> of</w:t>
      </w:r>
      <w:r>
        <w:rPr>
          <w:color w:val="0778BE"/>
          <w:spacing w:val="7"/>
        </w:rPr>
        <w:t xml:space="preserve"> </w:t>
      </w:r>
      <w:r>
        <w:rPr>
          <w:color w:val="0778BE"/>
        </w:rPr>
        <w:t>decision</w:t>
      </w:r>
    </w:p>
    <w:p w:rsidR="00D96B91" w:rsidRDefault="00C2656B">
      <w:pPr>
        <w:pStyle w:val="BodyText"/>
        <w:spacing w:before="55" w:line="260" w:lineRule="exact"/>
        <w:ind w:right="1655"/>
      </w:pPr>
      <w:r>
        <w:rPr>
          <w:spacing w:val="-2"/>
        </w:rPr>
        <w:t>The</w:t>
      </w:r>
      <w:r>
        <w:t xml:space="preserve"> </w:t>
      </w:r>
      <w:r>
        <w:rPr>
          <w:spacing w:val="-1"/>
        </w:rPr>
        <w:t>Commission</w:t>
      </w:r>
      <w:r>
        <w:t xml:space="preserve"> will notify</w:t>
      </w:r>
      <w:r>
        <w:rPr>
          <w:spacing w:val="-4"/>
        </w:rPr>
        <w:t xml:space="preserve"> </w:t>
      </w:r>
      <w:r>
        <w:rPr>
          <w:spacing w:val="-2"/>
        </w:rPr>
        <w:t>ACTEW</w:t>
      </w:r>
      <w:r>
        <w:rPr>
          <w:spacing w:val="-3"/>
        </w:rPr>
        <w:t xml:space="preserve"> </w:t>
      </w:r>
      <w:r>
        <w:t>of</w:t>
      </w:r>
      <w:r>
        <w:rPr>
          <w:spacing w:val="4"/>
        </w:rPr>
        <w:t xml:space="preserve"> </w:t>
      </w:r>
      <w:r>
        <w:t xml:space="preserve">its decision whether or not to </w:t>
      </w:r>
      <w:r>
        <w:rPr>
          <w:spacing w:val="-1"/>
        </w:rPr>
        <w:t>approve</w:t>
      </w:r>
      <w:r>
        <w:t xml:space="preserve"> the </w:t>
      </w:r>
      <w:r>
        <w:rPr>
          <w:spacing w:val="-1"/>
        </w:rPr>
        <w:t>proposed</w:t>
      </w:r>
      <w:r>
        <w:t xml:space="preserve"> price</w:t>
      </w:r>
      <w:r>
        <w:rPr>
          <w:spacing w:val="41"/>
        </w:rPr>
        <w:t xml:space="preserve"> </w:t>
      </w:r>
      <w:r>
        <w:rPr>
          <w:spacing w:val="-1"/>
        </w:rPr>
        <w:t>submitted</w:t>
      </w:r>
      <w:r>
        <w:t xml:space="preserve"> for the new miscellaneous service,</w:t>
      </w:r>
      <w:r>
        <w:rPr>
          <w:spacing w:val="-7"/>
        </w:rPr>
        <w:t xml:space="preserve"> </w:t>
      </w:r>
      <w:r>
        <w:t>together with details of</w:t>
      </w:r>
      <w:r>
        <w:rPr>
          <w:spacing w:val="4"/>
        </w:rPr>
        <w:t xml:space="preserve"> </w:t>
      </w:r>
      <w:r>
        <w:t>the timing of</w:t>
      </w:r>
      <w:r>
        <w:rPr>
          <w:spacing w:val="4"/>
        </w:rPr>
        <w:t xml:space="preserve"> </w:t>
      </w:r>
      <w:r>
        <w:t xml:space="preserve">the </w:t>
      </w:r>
      <w:r>
        <w:rPr>
          <w:spacing w:val="-1"/>
        </w:rPr>
        <w:t>introduction</w:t>
      </w:r>
      <w:r>
        <w:rPr>
          <w:spacing w:val="29"/>
        </w:rPr>
        <w:t xml:space="preserve"> </w:t>
      </w:r>
      <w:r>
        <w:t>of</w:t>
      </w:r>
      <w:r>
        <w:rPr>
          <w:spacing w:val="4"/>
        </w:rPr>
        <w:t xml:space="preserve"> </w:t>
      </w:r>
      <w:r>
        <w:t>the price for the new miscellaneous service and any terms and conditions,</w:t>
      </w:r>
      <w:r>
        <w:rPr>
          <w:spacing w:val="-7"/>
        </w:rPr>
        <w:t xml:space="preserve"> </w:t>
      </w:r>
      <w:r>
        <w:t xml:space="preserve">which will apply to its </w:t>
      </w:r>
      <w:r>
        <w:rPr>
          <w:spacing w:val="-1"/>
        </w:rPr>
        <w:t>introduction</w:t>
      </w:r>
      <w:r>
        <w:t xml:space="preserve"> or </w:t>
      </w:r>
      <w:r>
        <w:rPr>
          <w:spacing w:val="-1"/>
        </w:rPr>
        <w:t>provision.</w:t>
      </w:r>
    </w:p>
    <w:p w:rsidR="00D96B91" w:rsidRDefault="00D96B91">
      <w:pPr>
        <w:spacing w:line="260" w:lineRule="exact"/>
        <w:sectPr w:rsidR="00D96B91">
          <w:pgSz w:w="11910" w:h="16840"/>
          <w:pgMar w:top="1240" w:right="0" w:bottom="1020" w:left="0" w:header="0" w:footer="829" w:gutter="0"/>
          <w:cols w:space="720"/>
        </w:sectPr>
      </w:pPr>
    </w:p>
    <w:p w:rsidR="00D96B91" w:rsidRDefault="00C2656B">
      <w:pPr>
        <w:pStyle w:val="Heading1"/>
        <w:tabs>
          <w:tab w:val="left" w:pos="2687"/>
        </w:tabs>
        <w:spacing w:line="516" w:lineRule="exact"/>
      </w:pPr>
      <w:bookmarkStart w:id="273" w:name="Part_C_Regulatory_Method"/>
      <w:bookmarkStart w:id="274" w:name="8._Pass-through_events"/>
      <w:bookmarkStart w:id="275" w:name="8._1._Events"/>
      <w:bookmarkStart w:id="276" w:name="8._2._WAC_event"/>
      <w:bookmarkStart w:id="277" w:name="8._3._UNFT_event"/>
      <w:bookmarkStart w:id="278" w:name="_bookmark168"/>
      <w:bookmarkEnd w:id="273"/>
      <w:bookmarkEnd w:id="274"/>
      <w:bookmarkEnd w:id="275"/>
      <w:bookmarkEnd w:id="276"/>
      <w:bookmarkEnd w:id="277"/>
      <w:bookmarkEnd w:id="278"/>
      <w:r>
        <w:rPr>
          <w:color w:val="0778BE"/>
          <w:spacing w:val="-7"/>
        </w:rPr>
        <w:t>Part</w:t>
      </w:r>
      <w:r>
        <w:rPr>
          <w:color w:val="0778BE"/>
        </w:rPr>
        <w:t xml:space="preserve"> C</w:t>
      </w:r>
      <w:r>
        <w:rPr>
          <w:color w:val="0778BE"/>
        </w:rPr>
        <w:tab/>
      </w:r>
      <w:r>
        <w:rPr>
          <w:color w:val="0778BE"/>
          <w:spacing w:val="-1"/>
        </w:rPr>
        <w:t>Regulatory</w:t>
      </w:r>
      <w:r>
        <w:rPr>
          <w:color w:val="0778BE"/>
        </w:rPr>
        <w:t xml:space="preserve"> Method</w:t>
      </w:r>
    </w:p>
    <w:p w:rsidR="00D96B91" w:rsidRDefault="00D96B91">
      <w:pPr>
        <w:spacing w:before="10"/>
        <w:rPr>
          <w:rFonts w:ascii="Avenir Next Medium" w:eastAsia="Avenir Next Medium" w:hAnsi="Avenir Next Medium" w:cs="Avenir Next Medium"/>
          <w:sz w:val="35"/>
          <w:szCs w:val="35"/>
        </w:rPr>
      </w:pPr>
    </w:p>
    <w:p w:rsidR="00D96B91" w:rsidRDefault="00C2656B">
      <w:pPr>
        <w:pStyle w:val="Heading2"/>
        <w:tabs>
          <w:tab w:val="left" w:pos="1813"/>
        </w:tabs>
        <w:ind w:left="1247" w:firstLine="0"/>
        <w:rPr>
          <w:b w:val="0"/>
          <w:bCs w:val="0"/>
        </w:rPr>
      </w:pPr>
      <w:r>
        <w:rPr>
          <w:color w:val="0778BE"/>
        </w:rPr>
        <w:t>8.</w:t>
      </w:r>
      <w:r>
        <w:rPr>
          <w:color w:val="0778BE"/>
        </w:rPr>
        <w:tab/>
      </w:r>
      <w:r>
        <w:rPr>
          <w:color w:val="0778BE"/>
          <w:spacing w:val="-3"/>
        </w:rPr>
        <w:t>P</w:t>
      </w:r>
      <w:bookmarkStart w:id="279" w:name="_bookmark169"/>
      <w:bookmarkEnd w:id="279"/>
      <w:r>
        <w:rPr>
          <w:color w:val="0778BE"/>
          <w:spacing w:val="-3"/>
        </w:rPr>
        <w:t>ass-through</w:t>
      </w:r>
      <w:r>
        <w:rPr>
          <w:color w:val="0778BE"/>
        </w:rPr>
        <w:t xml:space="preserve"> events</w:t>
      </w:r>
    </w:p>
    <w:p w:rsidR="00D96B91" w:rsidRDefault="00D96B91">
      <w:pPr>
        <w:spacing w:before="7"/>
        <w:rPr>
          <w:rFonts w:ascii="Avenir Next" w:eastAsia="Avenir Next" w:hAnsi="Avenir Next" w:cs="Avenir Next"/>
          <w:b/>
          <w:bCs/>
          <w:sz w:val="28"/>
          <w:szCs w:val="28"/>
        </w:rPr>
      </w:pPr>
    </w:p>
    <w:p w:rsidR="00D96B91" w:rsidRDefault="00C2656B">
      <w:pPr>
        <w:pStyle w:val="Heading3"/>
        <w:rPr>
          <w:b w:val="0"/>
          <w:bCs w:val="0"/>
        </w:rPr>
      </w:pPr>
      <w:r>
        <w:rPr>
          <w:color w:val="0778BE"/>
        </w:rPr>
        <w:t>8.</w:t>
      </w:r>
      <w:r>
        <w:rPr>
          <w:color w:val="0778BE"/>
          <w:spacing w:val="-9"/>
        </w:rPr>
        <w:t xml:space="preserve"> </w:t>
      </w:r>
      <w:r>
        <w:rPr>
          <w:color w:val="0778BE"/>
        </w:rPr>
        <w:t>1.</w:t>
      </w:r>
      <w:r>
        <w:rPr>
          <w:color w:val="0778BE"/>
          <w:spacing w:val="74"/>
        </w:rPr>
        <w:t xml:space="preserve"> </w:t>
      </w:r>
      <w:r>
        <w:rPr>
          <w:color w:val="0778BE"/>
          <w:spacing w:val="-1"/>
        </w:rPr>
        <w:t>Events</w:t>
      </w:r>
    </w:p>
    <w:p w:rsidR="00D96B91" w:rsidRDefault="00C2656B">
      <w:pPr>
        <w:pStyle w:val="BodyText"/>
        <w:spacing w:before="63"/>
      </w:pPr>
      <w:r>
        <w:t>A</w:t>
      </w:r>
      <w:r>
        <w:rPr>
          <w:spacing w:val="-4"/>
        </w:rPr>
        <w:t xml:space="preserve"> </w:t>
      </w:r>
      <w:r>
        <w:rPr>
          <w:spacing w:val="-1"/>
        </w:rPr>
        <w:t>pass-through</w:t>
      </w:r>
      <w:r>
        <w:t xml:space="preserve"> event is one of</w:t>
      </w:r>
      <w:r>
        <w:rPr>
          <w:spacing w:val="4"/>
        </w:rPr>
        <w:t xml:space="preserve"> </w:t>
      </w:r>
      <w:r>
        <w:t>the following:</w:t>
      </w:r>
    </w:p>
    <w:p w:rsidR="00D96B91" w:rsidRDefault="00C2656B">
      <w:pPr>
        <w:pStyle w:val="BodyText"/>
        <w:numPr>
          <w:ilvl w:val="0"/>
          <w:numId w:val="131"/>
        </w:numPr>
        <w:tabs>
          <w:tab w:val="left" w:pos="1531"/>
        </w:tabs>
        <w:spacing w:before="157"/>
        <w:ind w:hanging="283"/>
      </w:pPr>
      <w:r>
        <w:t>A</w:t>
      </w:r>
      <w:r>
        <w:rPr>
          <w:spacing w:val="-6"/>
        </w:rPr>
        <w:t xml:space="preserve"> </w:t>
      </w:r>
      <w:r>
        <w:rPr>
          <w:spacing w:val="-2"/>
        </w:rPr>
        <w:t>Water</w:t>
      </w:r>
      <w:r>
        <w:rPr>
          <w:spacing w:val="-4"/>
        </w:rPr>
        <w:t xml:space="preserve"> </w:t>
      </w:r>
      <w:r>
        <w:rPr>
          <w:spacing w:val="-1"/>
        </w:rPr>
        <w:t>Abstraction</w:t>
      </w:r>
      <w:r>
        <w:t xml:space="preserve"> </w:t>
      </w:r>
      <w:r>
        <w:rPr>
          <w:spacing w:val="-1"/>
        </w:rPr>
        <w:t>Charge</w:t>
      </w:r>
      <w:r>
        <w:t xml:space="preserve"> </w:t>
      </w:r>
      <w:r>
        <w:rPr>
          <w:spacing w:val="-2"/>
        </w:rPr>
        <w:t>(WA</w:t>
      </w:r>
      <w:hyperlink w:anchor="_bookmark170" w:history="1">
        <w:r>
          <w:rPr>
            <w:spacing w:val="-2"/>
          </w:rPr>
          <w:t>C)</w:t>
        </w:r>
        <w:r>
          <w:t xml:space="preserve"> event (see clause 8.2).</w:t>
        </w:r>
      </w:hyperlink>
    </w:p>
    <w:p w:rsidR="00D96B91" w:rsidRDefault="00C2656B">
      <w:pPr>
        <w:pStyle w:val="BodyText"/>
        <w:numPr>
          <w:ilvl w:val="0"/>
          <w:numId w:val="131"/>
        </w:numPr>
        <w:tabs>
          <w:tab w:val="left" w:pos="1531"/>
        </w:tabs>
        <w:spacing w:before="72"/>
        <w:ind w:hanging="283"/>
      </w:pPr>
      <w:r>
        <w:t>A</w:t>
      </w:r>
      <w:r>
        <w:rPr>
          <w:spacing w:val="-4"/>
        </w:rPr>
        <w:t xml:space="preserve"> </w:t>
      </w:r>
      <w:r>
        <w:t xml:space="preserve">Utilities Network </w:t>
      </w:r>
      <w:r>
        <w:rPr>
          <w:spacing w:val="-1"/>
        </w:rPr>
        <w:t>Facilities</w:t>
      </w:r>
      <w:r>
        <w:rPr>
          <w:spacing w:val="-5"/>
        </w:rPr>
        <w:t xml:space="preserve"> </w:t>
      </w:r>
      <w:r>
        <w:rPr>
          <w:spacing w:val="-7"/>
        </w:rPr>
        <w:t>Tax</w:t>
      </w:r>
      <w:r>
        <w:t xml:space="preserve"> (UNFT) event (see clause 8.3).</w:t>
      </w:r>
    </w:p>
    <w:p w:rsidR="00D96B91" w:rsidRDefault="00C2656B">
      <w:pPr>
        <w:pStyle w:val="BodyText"/>
        <w:numPr>
          <w:ilvl w:val="0"/>
          <w:numId w:val="131"/>
        </w:numPr>
        <w:tabs>
          <w:tab w:val="left" w:pos="1531"/>
        </w:tabs>
        <w:spacing w:before="72"/>
        <w:ind w:hanging="283"/>
      </w:pPr>
      <w:r>
        <w:t>A</w:t>
      </w:r>
      <w:r>
        <w:rPr>
          <w:spacing w:val="-4"/>
        </w:rPr>
        <w:t xml:space="preserve"> </w:t>
      </w:r>
      <w:r>
        <w:t>subvention payment event (see clause 8.4).</w:t>
      </w:r>
    </w:p>
    <w:p w:rsidR="00D96B91" w:rsidRDefault="00C2656B">
      <w:pPr>
        <w:pStyle w:val="BodyText"/>
        <w:numPr>
          <w:ilvl w:val="0"/>
          <w:numId w:val="131"/>
        </w:numPr>
        <w:tabs>
          <w:tab w:val="left" w:pos="1531"/>
        </w:tabs>
        <w:spacing w:before="72"/>
        <w:ind w:hanging="283"/>
      </w:pPr>
      <w:r>
        <w:t>A</w:t>
      </w:r>
      <w:r>
        <w:rPr>
          <w:spacing w:val="-4"/>
        </w:rPr>
        <w:t xml:space="preserve"> </w:t>
      </w:r>
      <w:r>
        <w:t xml:space="preserve">change in other </w:t>
      </w:r>
      <w:r>
        <w:rPr>
          <w:spacing w:val="-1"/>
        </w:rPr>
        <w:t>taxes</w:t>
      </w:r>
      <w:r>
        <w:t xml:space="preserve"> event (see clause 8.5).</w:t>
      </w:r>
    </w:p>
    <w:p w:rsidR="00D96B91" w:rsidRDefault="00C2656B">
      <w:pPr>
        <w:pStyle w:val="BodyText"/>
        <w:numPr>
          <w:ilvl w:val="0"/>
          <w:numId w:val="131"/>
        </w:numPr>
        <w:tabs>
          <w:tab w:val="left" w:pos="1531"/>
        </w:tabs>
        <w:spacing w:before="72"/>
        <w:ind w:hanging="283"/>
      </w:pPr>
      <w:r>
        <w:t>A</w:t>
      </w:r>
      <w:r>
        <w:rPr>
          <w:spacing w:val="-4"/>
        </w:rPr>
        <w:t xml:space="preserve"> </w:t>
      </w:r>
      <w:r>
        <w:t xml:space="preserve">service </w:t>
      </w:r>
      <w:r>
        <w:rPr>
          <w:spacing w:val="-1"/>
        </w:rPr>
        <w:t>standard</w:t>
      </w:r>
      <w:r>
        <w:t xml:space="preserve"> event (see clause 8.6).</w:t>
      </w:r>
    </w:p>
    <w:p w:rsidR="00D96B91" w:rsidRDefault="00C2656B">
      <w:pPr>
        <w:pStyle w:val="BodyText"/>
        <w:numPr>
          <w:ilvl w:val="0"/>
          <w:numId w:val="131"/>
        </w:numPr>
        <w:tabs>
          <w:tab w:val="left" w:pos="1531"/>
        </w:tabs>
        <w:spacing w:before="72"/>
        <w:ind w:hanging="283"/>
      </w:pPr>
      <w:r>
        <w:t>A</w:t>
      </w:r>
      <w:r>
        <w:rPr>
          <w:spacing w:val="-4"/>
        </w:rPr>
        <w:t xml:space="preserve"> </w:t>
      </w:r>
      <w:r>
        <w:rPr>
          <w:spacing w:val="-1"/>
        </w:rPr>
        <w:t>regulatory</w:t>
      </w:r>
      <w:r>
        <w:t xml:space="preserve"> </w:t>
      </w:r>
      <w:r>
        <w:rPr>
          <w:spacing w:val="-1"/>
        </w:rPr>
        <w:t>obligations</w:t>
      </w:r>
      <w:r>
        <w:t xml:space="preserve"> event (see clause 8.7).</w:t>
      </w:r>
    </w:p>
    <w:p w:rsidR="00D96B91" w:rsidRDefault="00C2656B">
      <w:pPr>
        <w:pStyle w:val="BodyText"/>
        <w:numPr>
          <w:ilvl w:val="0"/>
          <w:numId w:val="131"/>
        </w:numPr>
        <w:tabs>
          <w:tab w:val="left" w:pos="1531"/>
        </w:tabs>
        <w:spacing w:before="72"/>
        <w:ind w:hanging="283"/>
      </w:pPr>
      <w:r>
        <w:t>A</w:t>
      </w:r>
      <w:r>
        <w:rPr>
          <w:spacing w:val="-9"/>
        </w:rPr>
        <w:t xml:space="preserve"> </w:t>
      </w:r>
      <w:r>
        <w:rPr>
          <w:spacing w:val="-3"/>
        </w:rPr>
        <w:t>Tantangara</w:t>
      </w:r>
      <w:r>
        <w:rPr>
          <w:spacing w:val="-5"/>
        </w:rPr>
        <w:t xml:space="preserve"> </w:t>
      </w:r>
      <w:r>
        <w:rPr>
          <w:spacing w:val="-3"/>
        </w:rPr>
        <w:t>Transfer</w:t>
      </w:r>
      <w:r>
        <w:t xml:space="preserve"> </w:t>
      </w:r>
      <w:r>
        <w:rPr>
          <w:spacing w:val="-2"/>
        </w:rPr>
        <w:t>Payment</w:t>
      </w:r>
      <w:r>
        <w:t xml:space="preserve"> event (see clause 8.8).</w:t>
      </w:r>
    </w:p>
    <w:p w:rsidR="00D96B91" w:rsidRDefault="00D96B91">
      <w:pPr>
        <w:rPr>
          <w:rFonts w:ascii="Avenir Next" w:eastAsia="Avenir Next" w:hAnsi="Avenir Next" w:cs="Avenir Next"/>
          <w:sz w:val="20"/>
          <w:szCs w:val="20"/>
        </w:rPr>
      </w:pPr>
    </w:p>
    <w:p w:rsidR="00D96B91" w:rsidRDefault="00C2656B">
      <w:pPr>
        <w:pStyle w:val="Heading3"/>
        <w:spacing w:before="167"/>
        <w:rPr>
          <w:b w:val="0"/>
          <w:bCs w:val="0"/>
        </w:rPr>
      </w:pPr>
      <w:r>
        <w:rPr>
          <w:color w:val="0778BE"/>
        </w:rPr>
        <w:t>8.</w:t>
      </w:r>
      <w:r>
        <w:rPr>
          <w:color w:val="0778BE"/>
          <w:spacing w:val="-9"/>
        </w:rPr>
        <w:t xml:space="preserve"> </w:t>
      </w:r>
      <w:r>
        <w:rPr>
          <w:color w:val="0778BE"/>
        </w:rPr>
        <w:t>2.</w:t>
      </w:r>
      <w:r>
        <w:rPr>
          <w:color w:val="0778BE"/>
          <w:spacing w:val="74"/>
        </w:rPr>
        <w:t xml:space="preserve"> </w:t>
      </w:r>
      <w:r>
        <w:rPr>
          <w:color w:val="0778BE"/>
          <w:spacing w:val="-4"/>
        </w:rPr>
        <w:t>WAC</w:t>
      </w:r>
      <w:r>
        <w:rPr>
          <w:color w:val="0778BE"/>
        </w:rPr>
        <w:t xml:space="preserve"> </w:t>
      </w:r>
      <w:bookmarkStart w:id="280" w:name="_bookmark170"/>
      <w:bookmarkEnd w:id="280"/>
      <w:r>
        <w:rPr>
          <w:color w:val="0778BE"/>
        </w:rPr>
        <w:t>event</w:t>
      </w:r>
    </w:p>
    <w:p w:rsidR="00D96B91" w:rsidRDefault="00C2656B">
      <w:pPr>
        <w:pStyle w:val="BodyText"/>
        <w:spacing w:before="55" w:line="260" w:lineRule="exact"/>
        <w:ind w:right="1548"/>
      </w:pPr>
      <w:r>
        <w:t>A</w:t>
      </w:r>
      <w:r>
        <w:rPr>
          <w:spacing w:val="-6"/>
        </w:rPr>
        <w:t xml:space="preserve"> </w:t>
      </w:r>
      <w:r>
        <w:rPr>
          <w:spacing w:val="-3"/>
        </w:rPr>
        <w:t>WAC</w:t>
      </w:r>
      <w:r>
        <w:t xml:space="preserve"> event occurs </w:t>
      </w:r>
      <w:r>
        <w:rPr>
          <w:spacing w:val="-1"/>
        </w:rPr>
        <w:t>where</w:t>
      </w:r>
      <w:r>
        <w:t xml:space="preserve"> for a </w:t>
      </w:r>
      <w:r>
        <w:rPr>
          <w:spacing w:val="-1"/>
        </w:rPr>
        <w:t>particular</w:t>
      </w:r>
      <w:r>
        <w:t xml:space="preserve"> </w:t>
      </w:r>
      <w:r>
        <w:rPr>
          <w:spacing w:val="-1"/>
        </w:rPr>
        <w:t>year</w:t>
      </w:r>
      <w:r>
        <w:t xml:space="preserve"> the total amount payable by</w:t>
      </w:r>
      <w:r>
        <w:rPr>
          <w:spacing w:val="-4"/>
        </w:rPr>
        <w:t xml:space="preserve"> </w:t>
      </w:r>
      <w:r>
        <w:rPr>
          <w:spacing w:val="-2"/>
        </w:rPr>
        <w:t>ACTEW</w:t>
      </w:r>
      <w:r>
        <w:rPr>
          <w:spacing w:val="-3"/>
        </w:rPr>
        <w:t xml:space="preserve"> </w:t>
      </w:r>
      <w:r>
        <w:t>to the</w:t>
      </w:r>
      <w:r>
        <w:rPr>
          <w:spacing w:val="-4"/>
        </w:rPr>
        <w:t xml:space="preserve"> </w:t>
      </w:r>
      <w:r>
        <w:rPr>
          <w:spacing w:val="-2"/>
        </w:rPr>
        <w:t>ACT</w:t>
      </w:r>
      <w:r>
        <w:rPr>
          <w:spacing w:val="33"/>
        </w:rPr>
        <w:t xml:space="preserve"> </w:t>
      </w:r>
      <w:r>
        <w:t>Government for the</w:t>
      </w:r>
      <w:r>
        <w:rPr>
          <w:spacing w:val="-3"/>
        </w:rPr>
        <w:t xml:space="preserve"> WAC</w:t>
      </w:r>
      <w:r>
        <w:t xml:space="preserve"> </w:t>
      </w:r>
      <w:r>
        <w:rPr>
          <w:spacing w:val="-1"/>
        </w:rPr>
        <w:t>differs</w:t>
      </w:r>
      <w:r>
        <w:t xml:space="preserve"> </w:t>
      </w:r>
      <w:r>
        <w:rPr>
          <w:spacing w:val="-1"/>
        </w:rPr>
        <w:t>from</w:t>
      </w:r>
      <w:r>
        <w:t xml:space="preserve"> the amount </w:t>
      </w:r>
      <w:r>
        <w:rPr>
          <w:spacing w:val="-1"/>
        </w:rPr>
        <w:t>incorporated</w:t>
      </w:r>
      <w:r>
        <w:t xml:space="preserve"> in the </w:t>
      </w:r>
      <w:r>
        <w:rPr>
          <w:spacing w:val="-2"/>
        </w:rPr>
        <w:t>Price</w:t>
      </w:r>
      <w:r>
        <w:t xml:space="preserve"> </w:t>
      </w:r>
      <w:r>
        <w:rPr>
          <w:spacing w:val="-1"/>
        </w:rPr>
        <w:t>Direction.</w:t>
      </w:r>
      <w:r>
        <w:rPr>
          <w:spacing w:val="-11"/>
        </w:rPr>
        <w:t xml:space="preserve"> </w:t>
      </w:r>
      <w:r>
        <w:rPr>
          <w:spacing w:val="-2"/>
        </w:rPr>
        <w:t>The</w:t>
      </w:r>
      <w:r>
        <w:t xml:space="preserve"> amounts</w:t>
      </w:r>
      <w:r>
        <w:rPr>
          <w:spacing w:val="41"/>
        </w:rPr>
        <w:t xml:space="preserve"> </w:t>
      </w:r>
      <w:r>
        <w:rPr>
          <w:spacing w:val="-1"/>
        </w:rPr>
        <w:t>incorporated</w:t>
      </w:r>
      <w:r>
        <w:t xml:space="preserve"> in the </w:t>
      </w:r>
      <w:r>
        <w:rPr>
          <w:spacing w:val="-2"/>
        </w:rPr>
        <w:t>Price</w:t>
      </w:r>
      <w:r>
        <w:t xml:space="preserve"> </w:t>
      </w:r>
      <w:r>
        <w:rPr>
          <w:spacing w:val="-1"/>
        </w:rPr>
        <w:t>Direction</w:t>
      </w:r>
      <w:r>
        <w:t xml:space="preserve"> </w:t>
      </w:r>
      <w:r>
        <w:rPr>
          <w:spacing w:val="-2"/>
        </w:rPr>
        <w:t>are</w:t>
      </w:r>
      <w:r>
        <w:t xml:space="preserve"> set out in</w:t>
      </w:r>
      <w:r>
        <w:rPr>
          <w:spacing w:val="-5"/>
        </w:rPr>
        <w:t xml:space="preserve"> </w:t>
      </w:r>
      <w:hyperlink w:anchor="_bookmark171" w:history="1">
        <w:r>
          <w:rPr>
            <w:spacing w:val="-4"/>
          </w:rPr>
          <w:t>Table</w:t>
        </w:r>
        <w:r>
          <w:t xml:space="preserve"> 15.8</w:t>
        </w:r>
      </w:hyperlink>
      <w:r>
        <w:t>.</w:t>
      </w:r>
    </w:p>
    <w:p w:rsidR="00D96B91" w:rsidRDefault="00C2656B">
      <w:pPr>
        <w:spacing w:before="158"/>
        <w:ind w:left="1247"/>
        <w:rPr>
          <w:rFonts w:ascii="Avenir Next" w:eastAsia="Avenir Next" w:hAnsi="Avenir Next" w:cs="Avenir Next"/>
          <w:sz w:val="20"/>
          <w:szCs w:val="20"/>
        </w:rPr>
      </w:pPr>
      <w:bookmarkStart w:id="281" w:name="_bookmark171"/>
      <w:bookmarkEnd w:id="281"/>
      <w:r>
        <w:rPr>
          <w:rFonts w:ascii="Avenir Next"/>
          <w:b/>
          <w:spacing w:val="-4"/>
          <w:sz w:val="20"/>
        </w:rPr>
        <w:t>Table</w:t>
      </w:r>
      <w:r>
        <w:rPr>
          <w:rFonts w:ascii="Avenir Next"/>
          <w:b/>
          <w:sz w:val="20"/>
        </w:rPr>
        <w:t xml:space="preserve"> 15.8:</w:t>
      </w:r>
      <w:r>
        <w:rPr>
          <w:rFonts w:ascii="Avenir Next"/>
          <w:b/>
          <w:spacing w:val="-3"/>
          <w:sz w:val="20"/>
        </w:rPr>
        <w:t xml:space="preserve"> WAC</w:t>
      </w:r>
      <w:r>
        <w:rPr>
          <w:rFonts w:ascii="Avenir Next"/>
          <w:b/>
          <w:sz w:val="20"/>
        </w:rPr>
        <w:t xml:space="preserve"> ($million) ($2012-13)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951"/>
        <w:gridCol w:w="2551"/>
      </w:tblGrid>
      <w:tr w:rsidR="00D96B91">
        <w:trPr>
          <w:trHeight w:hRule="exact" w:val="407"/>
        </w:trPr>
        <w:tc>
          <w:tcPr>
            <w:tcW w:w="29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3"/>
                <w:sz w:val="18"/>
              </w:rPr>
              <w:t>Year</w:t>
            </w:r>
          </w:p>
        </w:tc>
        <w:tc>
          <w:tcPr>
            <w:tcW w:w="25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jc w:val="center"/>
              <w:rPr>
                <w:rFonts w:ascii="Avenir Next Condensed" w:eastAsia="Avenir Next Condensed" w:hAnsi="Avenir Next Condensed" w:cs="Avenir Next Condensed"/>
                <w:sz w:val="18"/>
                <w:szCs w:val="18"/>
              </w:rPr>
            </w:pPr>
            <w:r>
              <w:rPr>
                <w:rFonts w:ascii="Avenir Next Condensed"/>
                <w:b/>
                <w:color w:val="FFFFFF"/>
                <w:spacing w:val="-3"/>
                <w:sz w:val="18"/>
              </w:rPr>
              <w:t>WAC</w:t>
            </w:r>
          </w:p>
        </w:tc>
      </w:tr>
      <w:tr w:rsidR="00D96B91">
        <w:trPr>
          <w:trHeight w:hRule="exact" w:val="407"/>
        </w:trPr>
        <w:tc>
          <w:tcPr>
            <w:tcW w:w="29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2014-15</w:t>
            </w:r>
          </w:p>
        </w:tc>
        <w:tc>
          <w:tcPr>
            <w:tcW w:w="25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$26.47</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2015-16</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$26.15</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2016-17</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$25.84</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2017-18</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48"/>
              <w:jc w:val="center"/>
              <w:rPr>
                <w:rFonts w:ascii="Avenir Next Condensed" w:eastAsia="Avenir Next Condensed" w:hAnsi="Avenir Next Condensed" w:cs="Avenir Next Condensed"/>
                <w:sz w:val="18"/>
                <w:szCs w:val="18"/>
              </w:rPr>
            </w:pPr>
            <w:r>
              <w:rPr>
                <w:rFonts w:ascii="Avenir Next Condensed"/>
                <w:sz w:val="18"/>
              </w:rPr>
              <w:t>$25.54</w:t>
            </w:r>
          </w:p>
        </w:tc>
      </w:tr>
    </w:tbl>
    <w:p w:rsidR="00D96B91" w:rsidRDefault="00D96B91">
      <w:pPr>
        <w:spacing w:before="11"/>
        <w:rPr>
          <w:rFonts w:ascii="Avenir Next" w:eastAsia="Avenir Next" w:hAnsi="Avenir Next" w:cs="Avenir Next"/>
          <w:b/>
          <w:bCs/>
          <w:sz w:val="25"/>
          <w:szCs w:val="25"/>
        </w:rPr>
      </w:pPr>
    </w:p>
    <w:p w:rsidR="00D96B91" w:rsidRDefault="00C2656B">
      <w:pPr>
        <w:pStyle w:val="Heading3"/>
        <w:spacing w:before="19"/>
        <w:rPr>
          <w:b w:val="0"/>
          <w:bCs w:val="0"/>
        </w:rPr>
      </w:pPr>
      <w:r>
        <w:rPr>
          <w:color w:val="0778BE"/>
        </w:rPr>
        <w:t>8.</w:t>
      </w:r>
      <w:r>
        <w:rPr>
          <w:color w:val="0778BE"/>
          <w:spacing w:val="-9"/>
        </w:rPr>
        <w:t xml:space="preserve"> </w:t>
      </w:r>
      <w:r>
        <w:rPr>
          <w:color w:val="0778BE"/>
        </w:rPr>
        <w:t>3.</w:t>
      </w:r>
      <w:r>
        <w:rPr>
          <w:color w:val="0778BE"/>
          <w:spacing w:val="74"/>
        </w:rPr>
        <w:t xml:space="preserve"> </w:t>
      </w:r>
      <w:r>
        <w:rPr>
          <w:color w:val="0778BE"/>
        </w:rPr>
        <w:t>UNFT</w:t>
      </w:r>
      <w:r>
        <w:rPr>
          <w:color w:val="0778BE"/>
          <w:spacing w:val="-8"/>
        </w:rPr>
        <w:t xml:space="preserve"> </w:t>
      </w:r>
      <w:r>
        <w:rPr>
          <w:color w:val="0778BE"/>
        </w:rPr>
        <w:t>event</w:t>
      </w:r>
    </w:p>
    <w:p w:rsidR="00D96B91" w:rsidRDefault="00C2656B">
      <w:pPr>
        <w:pStyle w:val="BodyText"/>
        <w:spacing w:before="55" w:line="260" w:lineRule="exact"/>
        <w:ind w:right="1283"/>
      </w:pPr>
      <w:r>
        <w:t>A</w:t>
      </w:r>
      <w:r>
        <w:rPr>
          <w:spacing w:val="-4"/>
        </w:rPr>
        <w:t xml:space="preserve"> </w:t>
      </w:r>
      <w:r>
        <w:t>UNFT</w:t>
      </w:r>
      <w:r>
        <w:rPr>
          <w:spacing w:val="-5"/>
        </w:rPr>
        <w:t xml:space="preserve"> </w:t>
      </w:r>
      <w:r>
        <w:t xml:space="preserve">event occurs </w:t>
      </w:r>
      <w:r>
        <w:rPr>
          <w:spacing w:val="-1"/>
        </w:rPr>
        <w:t>where</w:t>
      </w:r>
      <w:r>
        <w:t xml:space="preserve"> for a </w:t>
      </w:r>
      <w:r>
        <w:rPr>
          <w:spacing w:val="-1"/>
        </w:rPr>
        <w:t>particular</w:t>
      </w:r>
      <w:r>
        <w:t xml:space="preserve"> </w:t>
      </w:r>
      <w:r>
        <w:rPr>
          <w:spacing w:val="-1"/>
        </w:rPr>
        <w:t>year</w:t>
      </w:r>
      <w:r>
        <w:t xml:space="preserve"> the total amount payable by</w:t>
      </w:r>
      <w:r>
        <w:rPr>
          <w:spacing w:val="-4"/>
        </w:rPr>
        <w:t xml:space="preserve"> </w:t>
      </w:r>
      <w:r>
        <w:rPr>
          <w:spacing w:val="-2"/>
        </w:rPr>
        <w:t>ACTEW</w:t>
      </w:r>
      <w:r>
        <w:rPr>
          <w:spacing w:val="-3"/>
        </w:rPr>
        <w:t xml:space="preserve"> </w:t>
      </w:r>
      <w:r>
        <w:t>to the</w:t>
      </w:r>
      <w:r>
        <w:rPr>
          <w:spacing w:val="-4"/>
        </w:rPr>
        <w:t xml:space="preserve"> </w:t>
      </w:r>
      <w:r>
        <w:rPr>
          <w:spacing w:val="-2"/>
        </w:rPr>
        <w:t>ACT</w:t>
      </w:r>
      <w:r>
        <w:rPr>
          <w:spacing w:val="29"/>
        </w:rPr>
        <w:t xml:space="preserve"> </w:t>
      </w:r>
      <w:r>
        <w:t>Government for the UNFT</w:t>
      </w:r>
      <w:r>
        <w:rPr>
          <w:spacing w:val="-5"/>
        </w:rPr>
        <w:t xml:space="preserve"> </w:t>
      </w:r>
      <w:r>
        <w:rPr>
          <w:spacing w:val="-1"/>
        </w:rPr>
        <w:t>differs</w:t>
      </w:r>
      <w:r>
        <w:t xml:space="preserve"> </w:t>
      </w:r>
      <w:r>
        <w:rPr>
          <w:spacing w:val="-1"/>
        </w:rPr>
        <w:t>from</w:t>
      </w:r>
      <w:r>
        <w:t xml:space="preserve"> the amount </w:t>
      </w:r>
      <w:r>
        <w:rPr>
          <w:spacing w:val="-1"/>
        </w:rPr>
        <w:t>incorporated</w:t>
      </w:r>
      <w:r>
        <w:t xml:space="preserve"> in the </w:t>
      </w:r>
      <w:r>
        <w:rPr>
          <w:spacing w:val="-2"/>
        </w:rPr>
        <w:t>Price</w:t>
      </w:r>
      <w:r>
        <w:t xml:space="preserve"> </w:t>
      </w:r>
      <w:r>
        <w:rPr>
          <w:spacing w:val="-1"/>
        </w:rPr>
        <w:t>Direction.</w:t>
      </w:r>
      <w:r>
        <w:rPr>
          <w:spacing w:val="-11"/>
        </w:rPr>
        <w:t xml:space="preserve"> </w:t>
      </w:r>
      <w:r>
        <w:rPr>
          <w:spacing w:val="-2"/>
        </w:rPr>
        <w:t>The</w:t>
      </w:r>
      <w:r>
        <w:t xml:space="preserve"> amounts</w:t>
      </w:r>
      <w:r>
        <w:rPr>
          <w:spacing w:val="37"/>
        </w:rPr>
        <w:t xml:space="preserve"> </w:t>
      </w:r>
      <w:r>
        <w:rPr>
          <w:spacing w:val="-1"/>
        </w:rPr>
        <w:t>incorporated</w:t>
      </w:r>
      <w:r>
        <w:t xml:space="preserve"> in the </w:t>
      </w:r>
      <w:r>
        <w:rPr>
          <w:spacing w:val="-2"/>
        </w:rPr>
        <w:t>Price</w:t>
      </w:r>
      <w:r>
        <w:t xml:space="preserve"> </w:t>
      </w:r>
      <w:r>
        <w:rPr>
          <w:spacing w:val="-1"/>
        </w:rPr>
        <w:t>Direction</w:t>
      </w:r>
      <w:r>
        <w:t xml:space="preserve"> </w:t>
      </w:r>
      <w:r>
        <w:rPr>
          <w:spacing w:val="-2"/>
        </w:rPr>
        <w:t>are</w:t>
      </w:r>
      <w:r>
        <w:t xml:space="preserve"> set out in</w:t>
      </w:r>
      <w:r>
        <w:rPr>
          <w:spacing w:val="-5"/>
        </w:rPr>
        <w:t xml:space="preserve"> </w:t>
      </w:r>
      <w:hyperlink w:anchor="_bookmark172" w:history="1">
        <w:r>
          <w:rPr>
            <w:spacing w:val="-4"/>
          </w:rPr>
          <w:t>Table</w:t>
        </w:r>
        <w:r>
          <w:t xml:space="preserve"> 15.9</w:t>
        </w:r>
      </w:hyperlink>
      <w:r>
        <w:t>.</w:t>
      </w:r>
    </w:p>
    <w:p w:rsidR="00D96B91" w:rsidRDefault="00C2656B">
      <w:pPr>
        <w:spacing w:before="158"/>
        <w:ind w:left="1247"/>
        <w:rPr>
          <w:rFonts w:ascii="Avenir Next" w:eastAsia="Avenir Next" w:hAnsi="Avenir Next" w:cs="Avenir Next"/>
          <w:sz w:val="20"/>
          <w:szCs w:val="20"/>
        </w:rPr>
      </w:pPr>
      <w:bookmarkStart w:id="282" w:name="_bookmark172"/>
      <w:bookmarkEnd w:id="282"/>
      <w:r>
        <w:rPr>
          <w:rFonts w:ascii="Avenir Next"/>
          <w:b/>
          <w:spacing w:val="-4"/>
          <w:sz w:val="20"/>
        </w:rPr>
        <w:t>Table</w:t>
      </w:r>
      <w:r>
        <w:rPr>
          <w:rFonts w:ascii="Avenir Next"/>
          <w:b/>
          <w:sz w:val="20"/>
        </w:rPr>
        <w:t xml:space="preserve"> 15.9: UNFT</w:t>
      </w:r>
      <w:r>
        <w:rPr>
          <w:rFonts w:ascii="Avenir Next"/>
          <w:b/>
          <w:spacing w:val="-5"/>
          <w:sz w:val="20"/>
        </w:rPr>
        <w:t xml:space="preserve"> </w:t>
      </w:r>
      <w:r>
        <w:rPr>
          <w:rFonts w:ascii="Avenir Next"/>
          <w:b/>
          <w:sz w:val="20"/>
        </w:rPr>
        <w:t>($million) ($2012-13)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951"/>
        <w:gridCol w:w="2551"/>
      </w:tblGrid>
      <w:tr w:rsidR="00D96B91">
        <w:trPr>
          <w:trHeight w:hRule="exact" w:val="407"/>
        </w:trPr>
        <w:tc>
          <w:tcPr>
            <w:tcW w:w="29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3"/>
                <w:sz w:val="18"/>
              </w:rPr>
              <w:t>Year</w:t>
            </w:r>
          </w:p>
        </w:tc>
        <w:tc>
          <w:tcPr>
            <w:tcW w:w="25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4"/>
              <w:jc w:val="center"/>
              <w:rPr>
                <w:rFonts w:ascii="Avenir Next Condensed" w:eastAsia="Avenir Next Condensed" w:hAnsi="Avenir Next Condensed" w:cs="Avenir Next Condensed"/>
                <w:sz w:val="18"/>
                <w:szCs w:val="18"/>
              </w:rPr>
            </w:pPr>
            <w:r>
              <w:rPr>
                <w:rFonts w:ascii="Avenir Next Condensed"/>
                <w:b/>
                <w:color w:val="FFFFFF"/>
                <w:sz w:val="18"/>
              </w:rPr>
              <w:t>UNFT</w:t>
            </w:r>
          </w:p>
        </w:tc>
      </w:tr>
      <w:tr w:rsidR="00D96B91">
        <w:trPr>
          <w:trHeight w:hRule="exact" w:val="407"/>
        </w:trPr>
        <w:tc>
          <w:tcPr>
            <w:tcW w:w="29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2014-15</w:t>
            </w:r>
          </w:p>
        </w:tc>
        <w:tc>
          <w:tcPr>
            <w:tcW w:w="25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2"/>
              <w:jc w:val="center"/>
              <w:rPr>
                <w:rFonts w:ascii="Avenir Next Condensed" w:eastAsia="Avenir Next Condensed" w:hAnsi="Avenir Next Condensed" w:cs="Avenir Next Condensed"/>
                <w:sz w:val="18"/>
                <w:szCs w:val="18"/>
              </w:rPr>
            </w:pPr>
            <w:r>
              <w:rPr>
                <w:rFonts w:ascii="Avenir Next Condensed"/>
                <w:sz w:val="18"/>
              </w:rPr>
              <w:t>$7.84</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2015-16</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2"/>
              <w:jc w:val="center"/>
              <w:rPr>
                <w:rFonts w:ascii="Avenir Next Condensed" w:eastAsia="Avenir Next Condensed" w:hAnsi="Avenir Next Condensed" w:cs="Avenir Next Condensed"/>
                <w:sz w:val="18"/>
                <w:szCs w:val="18"/>
              </w:rPr>
            </w:pPr>
            <w:r>
              <w:rPr>
                <w:rFonts w:ascii="Avenir Next Condensed"/>
                <w:sz w:val="18"/>
              </w:rPr>
              <w:t>$8.01</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2016-17</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2"/>
              <w:jc w:val="center"/>
              <w:rPr>
                <w:rFonts w:ascii="Avenir Next Condensed" w:eastAsia="Avenir Next Condensed" w:hAnsi="Avenir Next Condensed" w:cs="Avenir Next Condensed"/>
                <w:sz w:val="18"/>
                <w:szCs w:val="18"/>
              </w:rPr>
            </w:pPr>
            <w:r>
              <w:rPr>
                <w:rFonts w:ascii="Avenir Next Condensed"/>
                <w:sz w:val="18"/>
              </w:rPr>
              <w:t>$8.19</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2017-18</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32"/>
              <w:jc w:val="center"/>
              <w:rPr>
                <w:rFonts w:ascii="Avenir Next Condensed" w:eastAsia="Avenir Next Condensed" w:hAnsi="Avenir Next Condensed" w:cs="Avenir Next Condensed"/>
                <w:sz w:val="18"/>
                <w:szCs w:val="18"/>
              </w:rPr>
            </w:pPr>
            <w:r>
              <w:rPr>
                <w:rFonts w:ascii="Avenir Next Condensed"/>
                <w:sz w:val="18"/>
              </w:rPr>
              <w:t>$8.26</w:t>
            </w:r>
          </w:p>
        </w:tc>
      </w:tr>
    </w:tbl>
    <w:p w:rsidR="00D96B91" w:rsidRDefault="00D96B91">
      <w:pPr>
        <w:jc w:val="center"/>
        <w:rPr>
          <w:rFonts w:ascii="Avenir Next Condensed" w:eastAsia="Avenir Next Condensed" w:hAnsi="Avenir Next Condensed" w:cs="Avenir Next Condensed"/>
          <w:sz w:val="18"/>
          <w:szCs w:val="18"/>
        </w:rPr>
        <w:sectPr w:rsidR="00D96B91">
          <w:pgSz w:w="11910" w:h="16840"/>
          <w:pgMar w:top="1260" w:right="0" w:bottom="1020" w:left="0" w:header="0" w:footer="829" w:gutter="0"/>
          <w:cols w:space="720"/>
        </w:sectPr>
      </w:pPr>
    </w:p>
    <w:p w:rsidR="00D96B91" w:rsidRDefault="00C2656B">
      <w:pPr>
        <w:pStyle w:val="Heading3"/>
        <w:spacing w:before="9"/>
        <w:rPr>
          <w:b w:val="0"/>
          <w:bCs w:val="0"/>
        </w:rPr>
      </w:pPr>
      <w:bookmarkStart w:id="283" w:name="8._4._Subvention_payment_event"/>
      <w:bookmarkStart w:id="284" w:name="8._5._Change_in_other_taxes_event_"/>
      <w:bookmarkStart w:id="285" w:name="8._6._Service_standards_event_"/>
      <w:bookmarkStart w:id="286" w:name="_bookmark173"/>
      <w:bookmarkEnd w:id="283"/>
      <w:bookmarkEnd w:id="284"/>
      <w:bookmarkEnd w:id="285"/>
      <w:bookmarkEnd w:id="286"/>
      <w:r>
        <w:rPr>
          <w:color w:val="0778BE"/>
        </w:rPr>
        <w:t>8.</w:t>
      </w:r>
      <w:r>
        <w:rPr>
          <w:color w:val="0778BE"/>
          <w:spacing w:val="-9"/>
        </w:rPr>
        <w:t xml:space="preserve"> </w:t>
      </w:r>
      <w:r>
        <w:rPr>
          <w:color w:val="0778BE"/>
        </w:rPr>
        <w:t>4.</w:t>
      </w:r>
      <w:r>
        <w:rPr>
          <w:color w:val="0778BE"/>
          <w:spacing w:val="74"/>
        </w:rPr>
        <w:t xml:space="preserve"> </w:t>
      </w:r>
      <w:r>
        <w:rPr>
          <w:color w:val="0778BE"/>
        </w:rPr>
        <w:t>Subvention payment event</w:t>
      </w:r>
    </w:p>
    <w:p w:rsidR="00D96B91" w:rsidRDefault="00C2656B">
      <w:pPr>
        <w:pStyle w:val="BodyText"/>
        <w:spacing w:before="55" w:line="260" w:lineRule="exact"/>
        <w:ind w:right="1513"/>
      </w:pPr>
      <w:r>
        <w:t>A</w:t>
      </w:r>
      <w:r>
        <w:rPr>
          <w:spacing w:val="-4"/>
        </w:rPr>
        <w:t xml:space="preserve"> </w:t>
      </w:r>
      <w:r>
        <w:t xml:space="preserve">subvention payment event occurs </w:t>
      </w:r>
      <w:r>
        <w:rPr>
          <w:spacing w:val="-1"/>
        </w:rPr>
        <w:t>where</w:t>
      </w:r>
      <w:r>
        <w:t xml:space="preserve"> for a </w:t>
      </w:r>
      <w:r>
        <w:rPr>
          <w:spacing w:val="-1"/>
        </w:rPr>
        <w:t>particular</w:t>
      </w:r>
      <w:r>
        <w:t xml:space="preserve"> </w:t>
      </w:r>
      <w:r>
        <w:rPr>
          <w:spacing w:val="-1"/>
        </w:rPr>
        <w:t>year</w:t>
      </w:r>
      <w:r>
        <w:t xml:space="preserve"> the subvention payment </w:t>
      </w:r>
      <w:r>
        <w:rPr>
          <w:spacing w:val="-1"/>
        </w:rPr>
        <w:t>from</w:t>
      </w:r>
      <w:r>
        <w:t xml:space="preserve"> the</w:t>
      </w:r>
      <w:r>
        <w:rPr>
          <w:spacing w:val="21"/>
        </w:rPr>
        <w:t xml:space="preserve"> </w:t>
      </w:r>
      <w:r>
        <w:rPr>
          <w:spacing w:val="-1"/>
        </w:rPr>
        <w:t>Commonwealth</w:t>
      </w:r>
      <w:r>
        <w:t xml:space="preserve"> Government to</w:t>
      </w:r>
      <w:r>
        <w:rPr>
          <w:spacing w:val="-4"/>
        </w:rPr>
        <w:t xml:space="preserve"> </w:t>
      </w:r>
      <w:r>
        <w:rPr>
          <w:spacing w:val="-2"/>
        </w:rPr>
        <w:t>ACTEW</w:t>
      </w:r>
      <w:r>
        <w:rPr>
          <w:spacing w:val="-3"/>
        </w:rPr>
        <w:t xml:space="preserve"> </w:t>
      </w:r>
      <w:r>
        <w:rPr>
          <w:spacing w:val="-1"/>
        </w:rPr>
        <w:t>differs</w:t>
      </w:r>
      <w:r>
        <w:t xml:space="preserve"> </w:t>
      </w:r>
      <w:r>
        <w:rPr>
          <w:spacing w:val="-1"/>
        </w:rPr>
        <w:t>from</w:t>
      </w:r>
      <w:r>
        <w:t xml:space="preserve"> the amount </w:t>
      </w:r>
      <w:r>
        <w:rPr>
          <w:spacing w:val="-1"/>
        </w:rPr>
        <w:t>incorporated</w:t>
      </w:r>
      <w:r>
        <w:t xml:space="preserve"> in the </w:t>
      </w:r>
      <w:r>
        <w:rPr>
          <w:spacing w:val="-2"/>
        </w:rPr>
        <w:t>Price</w:t>
      </w:r>
      <w:r>
        <w:t xml:space="preserve"> </w:t>
      </w:r>
      <w:r>
        <w:rPr>
          <w:spacing w:val="-1"/>
        </w:rPr>
        <w:t>Direction.</w:t>
      </w:r>
      <w:r>
        <w:rPr>
          <w:spacing w:val="55"/>
        </w:rPr>
        <w:t xml:space="preserve"> </w:t>
      </w:r>
      <w:r>
        <w:rPr>
          <w:spacing w:val="-2"/>
        </w:rPr>
        <w:t>The</w:t>
      </w:r>
      <w:r>
        <w:t xml:space="preserve"> amounts </w:t>
      </w:r>
      <w:r>
        <w:rPr>
          <w:spacing w:val="-1"/>
        </w:rPr>
        <w:t>incorporated</w:t>
      </w:r>
      <w:r>
        <w:t xml:space="preserve"> in the </w:t>
      </w:r>
      <w:r>
        <w:rPr>
          <w:spacing w:val="-2"/>
        </w:rPr>
        <w:t>Price</w:t>
      </w:r>
      <w:r>
        <w:t xml:space="preserve"> </w:t>
      </w:r>
      <w:r>
        <w:rPr>
          <w:spacing w:val="-1"/>
        </w:rPr>
        <w:t>Direction</w:t>
      </w:r>
      <w:r>
        <w:t xml:space="preserve"> </w:t>
      </w:r>
      <w:r>
        <w:rPr>
          <w:spacing w:val="-2"/>
        </w:rPr>
        <w:t>are</w:t>
      </w:r>
      <w:r>
        <w:t xml:space="preserve"> set out in</w:t>
      </w:r>
      <w:r>
        <w:rPr>
          <w:spacing w:val="-5"/>
        </w:rPr>
        <w:t xml:space="preserve"> </w:t>
      </w:r>
      <w:hyperlink w:anchor="_bookmark174" w:history="1">
        <w:r>
          <w:rPr>
            <w:spacing w:val="-4"/>
          </w:rPr>
          <w:t>Table</w:t>
        </w:r>
        <w:r>
          <w:t xml:space="preserve"> 15.10</w:t>
        </w:r>
      </w:hyperlink>
      <w:r>
        <w:t>.</w:t>
      </w:r>
    </w:p>
    <w:p w:rsidR="00D96B91" w:rsidRDefault="00C2656B">
      <w:pPr>
        <w:spacing w:before="158"/>
        <w:ind w:left="1247"/>
        <w:rPr>
          <w:rFonts w:ascii="Avenir Next" w:eastAsia="Avenir Next" w:hAnsi="Avenir Next" w:cs="Avenir Next"/>
          <w:sz w:val="20"/>
          <w:szCs w:val="20"/>
        </w:rPr>
      </w:pPr>
      <w:bookmarkStart w:id="287" w:name="_bookmark174"/>
      <w:bookmarkEnd w:id="287"/>
      <w:r>
        <w:rPr>
          <w:rFonts w:ascii="Avenir Next"/>
          <w:b/>
          <w:spacing w:val="-4"/>
          <w:sz w:val="20"/>
        </w:rPr>
        <w:t>Table</w:t>
      </w:r>
      <w:r>
        <w:rPr>
          <w:rFonts w:ascii="Avenir Next"/>
          <w:b/>
          <w:sz w:val="20"/>
        </w:rPr>
        <w:t xml:space="preserve"> 15.10: Subvention payment ($million) ($2012-13)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951"/>
        <w:gridCol w:w="2551"/>
      </w:tblGrid>
      <w:tr w:rsidR="00D96B91">
        <w:trPr>
          <w:trHeight w:hRule="exact" w:val="407"/>
        </w:trPr>
        <w:tc>
          <w:tcPr>
            <w:tcW w:w="29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3"/>
                <w:sz w:val="18"/>
              </w:rPr>
              <w:t>Year</w:t>
            </w:r>
          </w:p>
        </w:tc>
        <w:tc>
          <w:tcPr>
            <w:tcW w:w="25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61"/>
              <w:rPr>
                <w:rFonts w:ascii="Avenir Next Condensed" w:eastAsia="Avenir Next Condensed" w:hAnsi="Avenir Next Condensed" w:cs="Avenir Next Condensed"/>
                <w:sz w:val="18"/>
                <w:szCs w:val="18"/>
              </w:rPr>
            </w:pPr>
            <w:r>
              <w:rPr>
                <w:rFonts w:ascii="Avenir Next Condensed"/>
                <w:b/>
                <w:color w:val="FFFFFF"/>
                <w:sz w:val="18"/>
              </w:rPr>
              <w:t>Subvention payment</w:t>
            </w:r>
          </w:p>
        </w:tc>
      </w:tr>
      <w:tr w:rsidR="00D96B91">
        <w:trPr>
          <w:trHeight w:hRule="exact" w:val="407"/>
        </w:trPr>
        <w:tc>
          <w:tcPr>
            <w:tcW w:w="29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2014-15</w:t>
            </w:r>
          </w:p>
        </w:tc>
        <w:tc>
          <w:tcPr>
            <w:tcW w:w="25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1"/>
              <w:jc w:val="center"/>
              <w:rPr>
                <w:rFonts w:ascii="Avenir Next Condensed" w:eastAsia="Avenir Next Condensed" w:hAnsi="Avenir Next Condensed" w:cs="Avenir Next Condensed"/>
                <w:sz w:val="18"/>
                <w:szCs w:val="18"/>
              </w:rPr>
            </w:pPr>
            <w:r>
              <w:rPr>
                <w:rFonts w:ascii="Avenir Next Condensed"/>
                <w:sz w:val="18"/>
              </w:rPr>
              <w:t>$10.59</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2015-16</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1"/>
              <w:jc w:val="center"/>
              <w:rPr>
                <w:rFonts w:ascii="Avenir Next Condensed" w:eastAsia="Avenir Next Condensed" w:hAnsi="Avenir Next Condensed" w:cs="Avenir Next Condensed"/>
                <w:sz w:val="18"/>
                <w:szCs w:val="18"/>
              </w:rPr>
            </w:pPr>
            <w:r>
              <w:rPr>
                <w:rFonts w:ascii="Avenir Next Condensed"/>
                <w:sz w:val="18"/>
              </w:rPr>
              <w:t>$10.59</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2016-17</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1"/>
              <w:jc w:val="center"/>
              <w:rPr>
                <w:rFonts w:ascii="Avenir Next Condensed" w:eastAsia="Avenir Next Condensed" w:hAnsi="Avenir Next Condensed" w:cs="Avenir Next Condensed"/>
                <w:sz w:val="18"/>
                <w:szCs w:val="18"/>
              </w:rPr>
            </w:pPr>
            <w:r>
              <w:rPr>
                <w:rFonts w:ascii="Avenir Next Condensed"/>
                <w:sz w:val="18"/>
              </w:rPr>
              <w:t>$10.59</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2017-18</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61"/>
              <w:jc w:val="center"/>
              <w:rPr>
                <w:rFonts w:ascii="Avenir Next Condensed" w:eastAsia="Avenir Next Condensed" w:hAnsi="Avenir Next Condensed" w:cs="Avenir Next Condensed"/>
                <w:sz w:val="18"/>
                <w:szCs w:val="18"/>
              </w:rPr>
            </w:pPr>
            <w:r>
              <w:rPr>
                <w:rFonts w:ascii="Avenir Next Condensed"/>
                <w:sz w:val="18"/>
              </w:rPr>
              <w:t>$10.59</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spacing w:before="38" w:line="260" w:lineRule="exact"/>
        <w:ind w:right="1397"/>
        <w:jc w:val="both"/>
      </w:pPr>
      <w:r>
        <w:t xml:space="preserve">No change in the subvention payment will be deemed to have </w:t>
      </w:r>
      <w:r>
        <w:rPr>
          <w:spacing w:val="-1"/>
        </w:rPr>
        <w:t>occurred</w:t>
      </w:r>
      <w:r>
        <w:t xml:space="preserve"> if</w:t>
      </w:r>
      <w:r>
        <w:rPr>
          <w:spacing w:val="1"/>
        </w:rPr>
        <w:t xml:space="preserve"> </w:t>
      </w:r>
      <w:r>
        <w:rPr>
          <w:spacing w:val="-2"/>
        </w:rPr>
        <w:t>ACTEW</w:t>
      </w:r>
      <w:r>
        <w:rPr>
          <w:spacing w:val="-3"/>
        </w:rPr>
        <w:t xml:space="preserve"> </w:t>
      </w:r>
      <w:r>
        <w:rPr>
          <w:spacing w:val="-1"/>
        </w:rPr>
        <w:t>receives</w:t>
      </w:r>
      <w:r>
        <w:t xml:space="preserve"> a payment</w:t>
      </w:r>
      <w:r>
        <w:rPr>
          <w:spacing w:val="25"/>
        </w:rPr>
        <w:t xml:space="preserve"> </w:t>
      </w:r>
      <w:r>
        <w:rPr>
          <w:spacing w:val="-1"/>
        </w:rPr>
        <w:t>from</w:t>
      </w:r>
      <w:r>
        <w:t xml:space="preserve"> the</w:t>
      </w:r>
      <w:r>
        <w:rPr>
          <w:spacing w:val="-4"/>
        </w:rPr>
        <w:t xml:space="preserve"> </w:t>
      </w:r>
      <w:r>
        <w:rPr>
          <w:spacing w:val="-2"/>
        </w:rPr>
        <w:t>ACT</w:t>
      </w:r>
      <w:r>
        <w:rPr>
          <w:spacing w:val="-5"/>
        </w:rPr>
        <w:t xml:space="preserve"> </w:t>
      </w:r>
      <w:r>
        <w:t xml:space="preserve">Government </w:t>
      </w:r>
      <w:r>
        <w:rPr>
          <w:spacing w:val="-1"/>
        </w:rPr>
        <w:t>that</w:t>
      </w:r>
      <w:r>
        <w:t xml:space="preserve"> </w:t>
      </w:r>
      <w:r>
        <w:rPr>
          <w:spacing w:val="-1"/>
        </w:rPr>
        <w:t>explicitly</w:t>
      </w:r>
      <w:r>
        <w:t xml:space="preserve"> or implicitly </w:t>
      </w:r>
      <w:r>
        <w:rPr>
          <w:spacing w:val="-1"/>
        </w:rPr>
        <w:t>replaces</w:t>
      </w:r>
      <w:r>
        <w:t xml:space="preserve"> the subvention payment (or the change</w:t>
      </w:r>
      <w:r>
        <w:rPr>
          <w:spacing w:val="27"/>
        </w:rPr>
        <w:t xml:space="preserve"> </w:t>
      </w:r>
      <w:r>
        <w:t>in the subvention payment).</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8.</w:t>
      </w:r>
      <w:r>
        <w:rPr>
          <w:color w:val="0778BE"/>
          <w:spacing w:val="-9"/>
        </w:rPr>
        <w:t xml:space="preserve"> </w:t>
      </w:r>
      <w:r>
        <w:rPr>
          <w:color w:val="0778BE"/>
        </w:rPr>
        <w:t>5.</w:t>
      </w:r>
      <w:r>
        <w:rPr>
          <w:color w:val="0778BE"/>
          <w:spacing w:val="74"/>
        </w:rPr>
        <w:t xml:space="preserve"> </w:t>
      </w:r>
      <w:r>
        <w:rPr>
          <w:color w:val="0778BE"/>
        </w:rPr>
        <w:t xml:space="preserve">Change in other </w:t>
      </w:r>
      <w:r>
        <w:rPr>
          <w:color w:val="0778BE"/>
          <w:spacing w:val="-1"/>
        </w:rPr>
        <w:t>taxes</w:t>
      </w:r>
      <w:r>
        <w:rPr>
          <w:color w:val="0778BE"/>
        </w:rPr>
        <w:t xml:space="preserve"> event</w:t>
      </w:r>
    </w:p>
    <w:p w:rsidR="00D96B91" w:rsidRDefault="00C2656B">
      <w:pPr>
        <w:pStyle w:val="BodyText"/>
        <w:spacing w:before="63"/>
        <w:rPr>
          <w:rFonts w:cs="Avenir Next"/>
        </w:rPr>
      </w:pPr>
      <w:r>
        <w:t>A</w:t>
      </w:r>
      <w:r>
        <w:rPr>
          <w:spacing w:val="-4"/>
        </w:rPr>
        <w:t xml:space="preserve"> </w:t>
      </w:r>
      <w:r>
        <w:t xml:space="preserve">change in other </w:t>
      </w:r>
      <w:r>
        <w:rPr>
          <w:spacing w:val="-1"/>
        </w:rPr>
        <w:t>taxes</w:t>
      </w:r>
      <w:r>
        <w:t xml:space="preserve"> event is:</w:t>
      </w:r>
    </w:p>
    <w:p w:rsidR="00D96B91" w:rsidRDefault="00C2656B">
      <w:pPr>
        <w:pStyle w:val="BodyText"/>
        <w:numPr>
          <w:ilvl w:val="0"/>
          <w:numId w:val="12"/>
        </w:numPr>
        <w:tabs>
          <w:tab w:val="left" w:pos="1588"/>
        </w:tabs>
        <w:spacing w:before="149" w:line="260" w:lineRule="exact"/>
        <w:ind w:right="1942" w:hanging="340"/>
      </w:pPr>
      <w:r>
        <w:t xml:space="preserve">a change in the way or </w:t>
      </w:r>
      <w:r>
        <w:rPr>
          <w:spacing w:val="-2"/>
        </w:rPr>
        <w:t>rate</w:t>
      </w:r>
      <w:r>
        <w:t xml:space="preserve"> </w:t>
      </w:r>
      <w:r>
        <w:rPr>
          <w:spacing w:val="-1"/>
        </w:rPr>
        <w:t>at</w:t>
      </w:r>
      <w:r>
        <w:t xml:space="preserve"> which a </w:t>
      </w:r>
      <w:r>
        <w:rPr>
          <w:spacing w:val="-1"/>
        </w:rPr>
        <w:t>relevant</w:t>
      </w:r>
      <w:r>
        <w:t xml:space="preserve"> tax is </w:t>
      </w:r>
      <w:r>
        <w:rPr>
          <w:spacing w:val="-1"/>
        </w:rPr>
        <w:t>calculated</w:t>
      </w:r>
      <w:r>
        <w:t xml:space="preserve"> (including a change in the</w:t>
      </w:r>
      <w:r>
        <w:rPr>
          <w:spacing w:val="29"/>
        </w:rPr>
        <w:t xml:space="preserve"> </w:t>
      </w:r>
      <w:r>
        <w:rPr>
          <w:spacing w:val="-1"/>
        </w:rPr>
        <w:t xml:space="preserve">application </w:t>
      </w:r>
      <w:r>
        <w:t xml:space="preserve">or </w:t>
      </w:r>
      <w:r>
        <w:rPr>
          <w:spacing w:val="-1"/>
        </w:rPr>
        <w:t>official</w:t>
      </w:r>
      <w:r>
        <w:t xml:space="preserve"> </w:t>
      </w:r>
      <w:r>
        <w:rPr>
          <w:spacing w:val="-1"/>
        </w:rPr>
        <w:t xml:space="preserve">interpretation </w:t>
      </w:r>
      <w:r>
        <w:t>of</w:t>
      </w:r>
      <w:r>
        <w:rPr>
          <w:spacing w:val="4"/>
        </w:rPr>
        <w:t xml:space="preserve"> </w:t>
      </w:r>
      <w:r>
        <w:t xml:space="preserve">a </w:t>
      </w:r>
      <w:r>
        <w:rPr>
          <w:spacing w:val="-1"/>
        </w:rPr>
        <w:t>relevant</w:t>
      </w:r>
      <w:r>
        <w:t xml:space="preserve"> tax)</w:t>
      </w:r>
      <w:r>
        <w:rPr>
          <w:spacing w:val="-1"/>
        </w:rPr>
        <w:t xml:space="preserve"> that</w:t>
      </w:r>
      <w:r>
        <w:t xml:space="preserve"> occurs on or</w:t>
      </w:r>
      <w:r>
        <w:rPr>
          <w:spacing w:val="-1"/>
        </w:rPr>
        <w:t xml:space="preserve"> after</w:t>
      </w:r>
      <w:r>
        <w:t xml:space="preserve"> 30</w:t>
      </w:r>
      <w:r>
        <w:rPr>
          <w:spacing w:val="-3"/>
        </w:rPr>
        <w:t xml:space="preserve"> </w:t>
      </w:r>
      <w:r>
        <w:t>June 2013;</w:t>
      </w:r>
      <w:r>
        <w:rPr>
          <w:spacing w:val="-1"/>
        </w:rPr>
        <w:t xml:space="preserve"> </w:t>
      </w:r>
      <w:r>
        <w:t>or</w:t>
      </w:r>
    </w:p>
    <w:p w:rsidR="00D96B91" w:rsidRDefault="00C2656B">
      <w:pPr>
        <w:pStyle w:val="BodyText"/>
        <w:numPr>
          <w:ilvl w:val="0"/>
          <w:numId w:val="12"/>
        </w:numPr>
        <w:tabs>
          <w:tab w:val="left" w:pos="1588"/>
        </w:tabs>
        <w:spacing w:before="85" w:line="260" w:lineRule="exact"/>
        <w:ind w:right="1744" w:hanging="340"/>
      </w:pPr>
      <w:r>
        <w:t xml:space="preserve">the </w:t>
      </w:r>
      <w:r>
        <w:rPr>
          <w:spacing w:val="-1"/>
        </w:rPr>
        <w:t>removal</w:t>
      </w:r>
      <w:r>
        <w:t xml:space="preserve"> of</w:t>
      </w:r>
      <w:r>
        <w:rPr>
          <w:spacing w:val="4"/>
        </w:rPr>
        <w:t xml:space="preserve"> </w:t>
      </w:r>
      <w:r>
        <w:t xml:space="preserve">a </w:t>
      </w:r>
      <w:r>
        <w:rPr>
          <w:spacing w:val="-1"/>
        </w:rPr>
        <w:t>relevant</w:t>
      </w:r>
      <w:r>
        <w:t xml:space="preserve"> tax or imposition of</w:t>
      </w:r>
      <w:r>
        <w:rPr>
          <w:spacing w:val="4"/>
        </w:rPr>
        <w:t xml:space="preserve"> </w:t>
      </w:r>
      <w:r>
        <w:t xml:space="preserve">a new </w:t>
      </w:r>
      <w:r>
        <w:rPr>
          <w:spacing w:val="-1"/>
        </w:rPr>
        <w:t>relevant</w:t>
      </w:r>
      <w:r>
        <w:t xml:space="preserve"> tax </w:t>
      </w:r>
      <w:r>
        <w:rPr>
          <w:spacing w:val="-1"/>
        </w:rPr>
        <w:t>that</w:t>
      </w:r>
      <w:r>
        <w:t xml:space="preserve"> occurs on or </w:t>
      </w:r>
      <w:r>
        <w:rPr>
          <w:spacing w:val="-1"/>
        </w:rPr>
        <w:t>after</w:t>
      </w:r>
      <w:r>
        <w:t xml:space="preserve"> 30</w:t>
      </w:r>
      <w:r>
        <w:rPr>
          <w:spacing w:val="-3"/>
        </w:rPr>
        <w:t xml:space="preserve"> </w:t>
      </w:r>
      <w:r>
        <w:t>June</w:t>
      </w:r>
      <w:r>
        <w:rPr>
          <w:spacing w:val="31"/>
        </w:rPr>
        <w:t xml:space="preserve"> </w:t>
      </w:r>
      <w:r>
        <w:t>2013.</w:t>
      </w:r>
    </w:p>
    <w:p w:rsidR="00D96B91" w:rsidRDefault="00C2656B">
      <w:pPr>
        <w:pStyle w:val="BodyText"/>
        <w:spacing w:before="85" w:line="260" w:lineRule="exact"/>
        <w:ind w:right="1314"/>
        <w:rPr>
          <w:rFonts w:cs="Avenir Next"/>
        </w:rPr>
      </w:pPr>
      <w:r>
        <w:rPr>
          <w:spacing w:val="-1"/>
        </w:rPr>
        <w:t>Relevant</w:t>
      </w:r>
      <w:r>
        <w:t xml:space="preserve"> </w:t>
      </w:r>
      <w:r>
        <w:rPr>
          <w:spacing w:val="-1"/>
        </w:rPr>
        <w:t>taxes</w:t>
      </w:r>
      <w:r>
        <w:t xml:space="preserve"> </w:t>
      </w:r>
      <w:r>
        <w:rPr>
          <w:spacing w:val="-2"/>
        </w:rPr>
        <w:t>are</w:t>
      </w:r>
      <w:r>
        <w:t xml:space="preserve"> any tax,</w:t>
      </w:r>
      <w:r>
        <w:rPr>
          <w:spacing w:val="-7"/>
        </w:rPr>
        <w:t xml:space="preserve"> </w:t>
      </w:r>
      <w:r>
        <w:rPr>
          <w:spacing w:val="-1"/>
        </w:rPr>
        <w:t>rate,</w:t>
      </w:r>
      <w:r>
        <w:rPr>
          <w:spacing w:val="-6"/>
        </w:rPr>
        <w:t xml:space="preserve"> </w:t>
      </w:r>
      <w:r>
        <w:rPr>
          <w:spacing w:val="-2"/>
        </w:rPr>
        <w:t>duty,</w:t>
      </w:r>
      <w:r>
        <w:rPr>
          <w:spacing w:val="-6"/>
        </w:rPr>
        <w:t xml:space="preserve"> </w:t>
      </w:r>
      <w:r>
        <w:rPr>
          <w:spacing w:val="-1"/>
        </w:rPr>
        <w:t>charge</w:t>
      </w:r>
      <w:r>
        <w:t xml:space="preserve"> or levy or other </w:t>
      </w:r>
      <w:r>
        <w:rPr>
          <w:spacing w:val="-1"/>
        </w:rPr>
        <w:t>like</w:t>
      </w:r>
      <w:r>
        <w:t xml:space="preserve"> or analogous impost </w:t>
      </w:r>
      <w:r>
        <w:rPr>
          <w:spacing w:val="-1"/>
        </w:rPr>
        <w:t>that</w:t>
      </w:r>
      <w:r>
        <w:t xml:space="preserve"> is imposed</w:t>
      </w:r>
      <w:r>
        <w:rPr>
          <w:spacing w:val="31"/>
        </w:rPr>
        <w:t xml:space="preserve"> </w:t>
      </w:r>
      <w:r>
        <w:t xml:space="preserve">on or payable </w:t>
      </w:r>
      <w:r>
        <w:rPr>
          <w:spacing w:val="-1"/>
        </w:rPr>
        <w:t>directly</w:t>
      </w:r>
      <w:r>
        <w:t xml:space="preserve"> or </w:t>
      </w:r>
      <w:r>
        <w:rPr>
          <w:spacing w:val="-1"/>
        </w:rPr>
        <w:t>indirectly</w:t>
      </w:r>
      <w:r>
        <w:t xml:space="preserve"> by</w:t>
      </w:r>
      <w:r>
        <w:rPr>
          <w:spacing w:val="-4"/>
        </w:rPr>
        <w:t xml:space="preserve"> </w:t>
      </w:r>
      <w:r>
        <w:rPr>
          <w:spacing w:val="-2"/>
        </w:rPr>
        <w:t>ACTEW</w:t>
      </w:r>
      <w:r>
        <w:rPr>
          <w:spacing w:val="-3"/>
        </w:rPr>
        <w:t xml:space="preserve"> </w:t>
      </w:r>
      <w:r>
        <w:t>to any authority of</w:t>
      </w:r>
      <w:r>
        <w:rPr>
          <w:spacing w:val="4"/>
        </w:rPr>
        <w:t xml:space="preserve"> </w:t>
      </w:r>
      <w:r>
        <w:t xml:space="preserve">the </w:t>
      </w:r>
      <w:r>
        <w:rPr>
          <w:spacing w:val="-1"/>
        </w:rPr>
        <w:t>Commonwealth</w:t>
      </w:r>
      <w:r>
        <w:t xml:space="preserve"> of</w:t>
      </w:r>
      <w:r>
        <w:rPr>
          <w:spacing w:val="1"/>
        </w:rPr>
        <w:t xml:space="preserve"> </w:t>
      </w:r>
      <w:r>
        <w:rPr>
          <w:spacing w:val="-1"/>
        </w:rPr>
        <w:t>Australia</w:t>
      </w:r>
      <w:r>
        <w:t xml:space="preserve"> or the</w:t>
      </w:r>
      <w:r>
        <w:rPr>
          <w:spacing w:val="55"/>
        </w:rPr>
        <w:t xml:space="preserve"> </w:t>
      </w:r>
      <w:r>
        <w:t>government of</w:t>
      </w:r>
      <w:r>
        <w:rPr>
          <w:spacing w:val="4"/>
        </w:rPr>
        <w:t xml:space="preserve"> </w:t>
      </w:r>
      <w:r>
        <w:t>the</w:t>
      </w:r>
      <w:r>
        <w:rPr>
          <w:spacing w:val="-4"/>
        </w:rPr>
        <w:t xml:space="preserve"> </w:t>
      </w:r>
      <w:r>
        <w:rPr>
          <w:spacing w:val="-6"/>
        </w:rPr>
        <w:t xml:space="preserve">ACT, </w:t>
      </w:r>
      <w:r>
        <w:t xml:space="preserve">including a goods and services tax but </w:t>
      </w:r>
      <w:r>
        <w:rPr>
          <w:spacing w:val="-1"/>
        </w:rPr>
        <w:t>excluding:</w:t>
      </w:r>
    </w:p>
    <w:p w:rsidR="00D96B91" w:rsidRDefault="00C2656B">
      <w:pPr>
        <w:pStyle w:val="BodyText"/>
        <w:numPr>
          <w:ilvl w:val="0"/>
          <w:numId w:val="131"/>
        </w:numPr>
        <w:tabs>
          <w:tab w:val="left" w:pos="1531"/>
        </w:tabs>
        <w:spacing w:before="178"/>
        <w:ind w:hanging="283"/>
      </w:pPr>
      <w:r>
        <w:t>the</w:t>
      </w:r>
      <w:r>
        <w:rPr>
          <w:spacing w:val="-3"/>
        </w:rPr>
        <w:t xml:space="preserve"> </w:t>
      </w:r>
      <w:r>
        <w:rPr>
          <w:spacing w:val="-2"/>
        </w:rPr>
        <w:t>WAC;</w:t>
      </w:r>
    </w:p>
    <w:p w:rsidR="00D96B91" w:rsidRDefault="00C2656B">
      <w:pPr>
        <w:pStyle w:val="BodyText"/>
        <w:numPr>
          <w:ilvl w:val="0"/>
          <w:numId w:val="131"/>
        </w:numPr>
        <w:tabs>
          <w:tab w:val="left" w:pos="1531"/>
        </w:tabs>
        <w:spacing w:before="72"/>
        <w:ind w:hanging="283"/>
      </w:pPr>
      <w:r>
        <w:t xml:space="preserve">the </w:t>
      </w:r>
      <w:r>
        <w:rPr>
          <w:spacing w:val="-3"/>
        </w:rPr>
        <w:t>UNFT;</w:t>
      </w:r>
    </w:p>
    <w:p w:rsidR="00D96B91" w:rsidRDefault="00C2656B">
      <w:pPr>
        <w:pStyle w:val="BodyText"/>
        <w:numPr>
          <w:ilvl w:val="0"/>
          <w:numId w:val="131"/>
        </w:numPr>
        <w:tabs>
          <w:tab w:val="left" w:pos="1531"/>
        </w:tabs>
        <w:spacing w:before="72"/>
        <w:ind w:hanging="283"/>
      </w:pPr>
      <w:r>
        <w:t>income tax (or</w:t>
      </w:r>
      <w:r>
        <w:rPr>
          <w:spacing w:val="-4"/>
        </w:rPr>
        <w:t xml:space="preserve"> </w:t>
      </w:r>
      <w:r>
        <w:rPr>
          <w:spacing w:val="-2"/>
        </w:rPr>
        <w:t>ACT-equivalent</w:t>
      </w:r>
      <w:r>
        <w:t xml:space="preserve"> income tax) or capital gains tax;</w:t>
      </w:r>
    </w:p>
    <w:p w:rsidR="00D96B91" w:rsidRDefault="00C2656B">
      <w:pPr>
        <w:pStyle w:val="BodyText"/>
        <w:numPr>
          <w:ilvl w:val="0"/>
          <w:numId w:val="131"/>
        </w:numPr>
        <w:tabs>
          <w:tab w:val="left" w:pos="1531"/>
        </w:tabs>
        <w:spacing w:before="72"/>
        <w:ind w:hanging="283"/>
      </w:pPr>
      <w:r>
        <w:t>stamp</w:t>
      </w:r>
      <w:r>
        <w:rPr>
          <w:spacing w:val="-1"/>
        </w:rPr>
        <w:t xml:space="preserve"> </w:t>
      </w:r>
      <w:r>
        <w:rPr>
          <w:spacing w:val="-2"/>
        </w:rPr>
        <w:t>duty,</w:t>
      </w:r>
      <w:r>
        <w:rPr>
          <w:spacing w:val="-7"/>
        </w:rPr>
        <w:t xml:space="preserve"> </w:t>
      </w:r>
      <w:r>
        <w:t>financial institutions</w:t>
      </w:r>
      <w:r>
        <w:rPr>
          <w:spacing w:val="-1"/>
        </w:rPr>
        <w:t xml:space="preserve"> </w:t>
      </w:r>
      <w:r>
        <w:rPr>
          <w:spacing w:val="-2"/>
        </w:rPr>
        <w:t>duty,</w:t>
      </w:r>
      <w:r>
        <w:rPr>
          <w:spacing w:val="-6"/>
        </w:rPr>
        <w:t xml:space="preserve"> </w:t>
      </w:r>
      <w:r>
        <w:t>bank</w:t>
      </w:r>
      <w:r>
        <w:rPr>
          <w:spacing w:val="-1"/>
        </w:rPr>
        <w:t xml:space="preserve"> </w:t>
      </w:r>
      <w:r>
        <w:t>account debits</w:t>
      </w:r>
      <w:r>
        <w:rPr>
          <w:spacing w:val="-1"/>
        </w:rPr>
        <w:t xml:space="preserve"> </w:t>
      </w:r>
      <w:r>
        <w:t>tax</w:t>
      </w:r>
      <w:r>
        <w:rPr>
          <w:spacing w:val="-1"/>
        </w:rPr>
        <w:t xml:space="preserve"> </w:t>
      </w:r>
      <w:r>
        <w:t>or similar</w:t>
      </w:r>
      <w:r>
        <w:rPr>
          <w:spacing w:val="-1"/>
        </w:rPr>
        <w:t xml:space="preserve"> taxes</w:t>
      </w:r>
      <w:r>
        <w:t xml:space="preserve"> or</w:t>
      </w:r>
      <w:r>
        <w:rPr>
          <w:spacing w:val="-1"/>
        </w:rPr>
        <w:t xml:space="preserve"> </w:t>
      </w:r>
      <w:r>
        <w:t>duties;</w:t>
      </w:r>
    </w:p>
    <w:p w:rsidR="00D96B91" w:rsidRDefault="00C2656B">
      <w:pPr>
        <w:pStyle w:val="BodyText"/>
        <w:numPr>
          <w:ilvl w:val="0"/>
          <w:numId w:val="131"/>
        </w:numPr>
        <w:tabs>
          <w:tab w:val="left" w:pos="1531"/>
        </w:tabs>
        <w:spacing w:before="72"/>
        <w:ind w:hanging="283"/>
      </w:pPr>
      <w:r>
        <w:t>any form of</w:t>
      </w:r>
      <w:r>
        <w:rPr>
          <w:spacing w:val="4"/>
        </w:rPr>
        <w:t xml:space="preserve"> </w:t>
      </w:r>
      <w:r>
        <w:t xml:space="preserve">debt service </w:t>
      </w:r>
      <w:r>
        <w:rPr>
          <w:spacing w:val="-1"/>
        </w:rPr>
        <w:t>charge;</w:t>
      </w:r>
    </w:p>
    <w:p w:rsidR="00D96B91" w:rsidRDefault="00C2656B">
      <w:pPr>
        <w:pStyle w:val="BodyText"/>
        <w:numPr>
          <w:ilvl w:val="0"/>
          <w:numId w:val="131"/>
        </w:numPr>
        <w:tabs>
          <w:tab w:val="left" w:pos="1531"/>
        </w:tabs>
        <w:spacing w:before="72"/>
        <w:ind w:hanging="283"/>
      </w:pPr>
      <w:r>
        <w:t xml:space="preserve">penalties and </w:t>
      </w:r>
      <w:r>
        <w:rPr>
          <w:spacing w:val="-1"/>
        </w:rPr>
        <w:t>interest</w:t>
      </w:r>
      <w:r>
        <w:t xml:space="preserve"> for </w:t>
      </w:r>
      <w:r>
        <w:rPr>
          <w:spacing w:val="-1"/>
        </w:rPr>
        <w:t>late</w:t>
      </w:r>
      <w:r>
        <w:t xml:space="preserve"> payment </w:t>
      </w:r>
      <w:r>
        <w:rPr>
          <w:spacing w:val="-1"/>
        </w:rPr>
        <w:t>relating</w:t>
      </w:r>
      <w:r>
        <w:t xml:space="preserve"> to any tax; and</w:t>
      </w:r>
    </w:p>
    <w:p w:rsidR="00D96B91" w:rsidRDefault="00C2656B">
      <w:pPr>
        <w:pStyle w:val="BodyText"/>
        <w:numPr>
          <w:ilvl w:val="0"/>
          <w:numId w:val="131"/>
        </w:numPr>
        <w:tabs>
          <w:tab w:val="left" w:pos="1531"/>
        </w:tabs>
        <w:spacing w:before="64" w:line="260" w:lineRule="exact"/>
        <w:ind w:right="1299" w:hanging="283"/>
      </w:pPr>
      <w:r>
        <w:rPr>
          <w:rFonts w:cs="Avenir Next"/>
        </w:rPr>
        <w:t xml:space="preserve">any tax which </w:t>
      </w:r>
      <w:r>
        <w:rPr>
          <w:rFonts w:cs="Avenir Next"/>
          <w:spacing w:val="-1"/>
        </w:rPr>
        <w:t>replaces</w:t>
      </w:r>
      <w:r>
        <w:rPr>
          <w:rFonts w:cs="Avenir Next"/>
        </w:rPr>
        <w:t xml:space="preserve"> the </w:t>
      </w:r>
      <w:r>
        <w:rPr>
          <w:rFonts w:cs="Avenir Next"/>
          <w:spacing w:val="-1"/>
        </w:rPr>
        <w:t>taxes</w:t>
      </w:r>
      <w:r>
        <w:rPr>
          <w:rFonts w:cs="Avenir Next"/>
        </w:rPr>
        <w:t xml:space="preserve"> </w:t>
      </w:r>
      <w:r>
        <w:rPr>
          <w:rFonts w:cs="Avenir Next"/>
          <w:spacing w:val="-1"/>
        </w:rPr>
        <w:t>referred</w:t>
      </w:r>
      <w:r>
        <w:rPr>
          <w:rFonts w:cs="Avenir Next"/>
        </w:rPr>
        <w:t xml:space="preserve"> to above,</w:t>
      </w:r>
      <w:r>
        <w:rPr>
          <w:rFonts w:cs="Avenir Next"/>
          <w:spacing w:val="-7"/>
        </w:rPr>
        <w:t xml:space="preserve"> </w:t>
      </w:r>
      <w:r>
        <w:rPr>
          <w:rFonts w:cs="Avenir Next"/>
          <w:spacing w:val="-1"/>
        </w:rPr>
        <w:t>where</w:t>
      </w:r>
      <w:r>
        <w:rPr>
          <w:rFonts w:cs="Avenir Next"/>
        </w:rPr>
        <w:t xml:space="preserve"> ‘tax’ includes any </w:t>
      </w:r>
      <w:r>
        <w:rPr>
          <w:rFonts w:cs="Avenir Next"/>
          <w:spacing w:val="-1"/>
        </w:rPr>
        <w:t>rate,</w:t>
      </w:r>
      <w:r>
        <w:rPr>
          <w:rFonts w:cs="Avenir Next"/>
          <w:spacing w:val="-6"/>
        </w:rPr>
        <w:t xml:space="preserve"> </w:t>
      </w:r>
      <w:r>
        <w:rPr>
          <w:rFonts w:cs="Avenir Next"/>
          <w:spacing w:val="-2"/>
        </w:rPr>
        <w:t>duty,</w:t>
      </w:r>
      <w:r>
        <w:rPr>
          <w:rFonts w:cs="Avenir Next"/>
          <w:spacing w:val="-6"/>
        </w:rPr>
        <w:t xml:space="preserve"> </w:t>
      </w:r>
      <w:r>
        <w:rPr>
          <w:rFonts w:cs="Avenir Next"/>
          <w:spacing w:val="-1"/>
        </w:rPr>
        <w:t>charge</w:t>
      </w:r>
      <w:r>
        <w:rPr>
          <w:rFonts w:cs="Avenir Next"/>
        </w:rPr>
        <w:t xml:space="preserve"> or levy</w:t>
      </w:r>
      <w:r>
        <w:rPr>
          <w:rFonts w:cs="Avenir Next"/>
          <w:spacing w:val="25"/>
        </w:rPr>
        <w:t xml:space="preserve"> </w:t>
      </w:r>
      <w:r>
        <w:t xml:space="preserve">or other </w:t>
      </w:r>
      <w:r>
        <w:rPr>
          <w:spacing w:val="-1"/>
        </w:rPr>
        <w:t>like</w:t>
      </w:r>
      <w:r>
        <w:t xml:space="preserve"> or analogous impost.</w:t>
      </w:r>
    </w:p>
    <w:p w:rsidR="00D96B91" w:rsidRDefault="00D96B91">
      <w:pPr>
        <w:spacing w:before="8"/>
        <w:rPr>
          <w:rFonts w:ascii="Avenir Next" w:eastAsia="Avenir Next" w:hAnsi="Avenir Next" w:cs="Avenir Next"/>
          <w:sz w:val="16"/>
          <w:szCs w:val="16"/>
        </w:rPr>
      </w:pPr>
    </w:p>
    <w:p w:rsidR="00D96B91" w:rsidRDefault="00C2656B">
      <w:pPr>
        <w:pStyle w:val="BodyText"/>
        <w:spacing w:line="260" w:lineRule="exact"/>
        <w:ind w:right="1283"/>
      </w:pPr>
      <w:r>
        <w:rPr>
          <w:spacing w:val="-1"/>
        </w:rPr>
        <w:t>If</w:t>
      </w:r>
      <w:r>
        <w:t xml:space="preserve"> a</w:t>
      </w:r>
      <w:r>
        <w:rPr>
          <w:spacing w:val="-4"/>
        </w:rPr>
        <w:t xml:space="preserve"> </w:t>
      </w:r>
      <w:r>
        <w:rPr>
          <w:spacing w:val="-2"/>
        </w:rPr>
        <w:t>change</w:t>
      </w:r>
      <w:r>
        <w:rPr>
          <w:spacing w:val="-4"/>
        </w:rPr>
        <w:t xml:space="preserve"> </w:t>
      </w:r>
      <w:r>
        <w:rPr>
          <w:spacing w:val="-1"/>
        </w:rPr>
        <w:t>in</w:t>
      </w:r>
      <w:r>
        <w:rPr>
          <w:spacing w:val="-4"/>
        </w:rPr>
        <w:t xml:space="preserve"> </w:t>
      </w:r>
      <w:r>
        <w:rPr>
          <w:spacing w:val="-2"/>
        </w:rPr>
        <w:t>other</w:t>
      </w:r>
      <w:r>
        <w:rPr>
          <w:spacing w:val="-4"/>
        </w:rPr>
        <w:t xml:space="preserve"> </w:t>
      </w:r>
      <w:r>
        <w:rPr>
          <w:spacing w:val="-2"/>
        </w:rPr>
        <w:t>taxes</w:t>
      </w:r>
      <w:r>
        <w:rPr>
          <w:spacing w:val="-4"/>
        </w:rPr>
        <w:t xml:space="preserve"> </w:t>
      </w:r>
      <w:r>
        <w:rPr>
          <w:spacing w:val="-2"/>
        </w:rPr>
        <w:t>event</w:t>
      </w:r>
      <w:r>
        <w:rPr>
          <w:spacing w:val="-4"/>
        </w:rPr>
        <w:t xml:space="preserve"> </w:t>
      </w:r>
      <w:r>
        <w:rPr>
          <w:spacing w:val="-2"/>
        </w:rPr>
        <w:t>occurs,</w:t>
      </w:r>
      <w:r>
        <w:rPr>
          <w:spacing w:val="-10"/>
        </w:rPr>
        <w:t xml:space="preserve"> </w:t>
      </w:r>
      <w:r>
        <w:rPr>
          <w:spacing w:val="-2"/>
        </w:rPr>
        <w:t>the</w:t>
      </w:r>
      <w:r>
        <w:rPr>
          <w:spacing w:val="-4"/>
        </w:rPr>
        <w:t xml:space="preserve"> </w:t>
      </w:r>
      <w:r>
        <w:rPr>
          <w:spacing w:val="-2"/>
        </w:rPr>
        <w:t>change</w:t>
      </w:r>
      <w:r>
        <w:rPr>
          <w:spacing w:val="-4"/>
        </w:rPr>
        <w:t xml:space="preserve"> </w:t>
      </w:r>
      <w:r>
        <w:rPr>
          <w:spacing w:val="-1"/>
        </w:rPr>
        <w:t>in</w:t>
      </w:r>
      <w:r>
        <w:rPr>
          <w:spacing w:val="-4"/>
        </w:rPr>
        <w:t xml:space="preserve"> </w:t>
      </w:r>
      <w:r>
        <w:rPr>
          <w:spacing w:val="-2"/>
        </w:rPr>
        <w:t>costs</w:t>
      </w:r>
      <w:r>
        <w:rPr>
          <w:spacing w:val="-4"/>
        </w:rPr>
        <w:t xml:space="preserve"> </w:t>
      </w:r>
      <w:r>
        <w:rPr>
          <w:spacing w:val="-2"/>
        </w:rPr>
        <w:t>(positive</w:t>
      </w:r>
      <w:r>
        <w:rPr>
          <w:spacing w:val="-4"/>
        </w:rPr>
        <w:t xml:space="preserve"> </w:t>
      </w:r>
      <w:r>
        <w:rPr>
          <w:spacing w:val="-1"/>
        </w:rPr>
        <w:t>or</w:t>
      </w:r>
      <w:r>
        <w:rPr>
          <w:spacing w:val="-4"/>
        </w:rPr>
        <w:t xml:space="preserve"> </w:t>
      </w:r>
      <w:r>
        <w:rPr>
          <w:spacing w:val="-2"/>
        </w:rPr>
        <w:t>negative)</w:t>
      </w:r>
      <w:r>
        <w:rPr>
          <w:spacing w:val="-4"/>
        </w:rPr>
        <w:t xml:space="preserve"> </w:t>
      </w:r>
      <w:r>
        <w:rPr>
          <w:spacing w:val="-2"/>
        </w:rPr>
        <w:t>may</w:t>
      </w:r>
      <w:r>
        <w:rPr>
          <w:spacing w:val="-4"/>
        </w:rPr>
        <w:t xml:space="preserve"> </w:t>
      </w:r>
      <w:r>
        <w:rPr>
          <w:spacing w:val="-1"/>
        </w:rPr>
        <w:t>be</w:t>
      </w:r>
      <w:r>
        <w:rPr>
          <w:spacing w:val="-4"/>
        </w:rPr>
        <w:t xml:space="preserve"> </w:t>
      </w:r>
      <w:r>
        <w:rPr>
          <w:spacing w:val="-2"/>
        </w:rPr>
        <w:t>passed</w:t>
      </w:r>
      <w:r>
        <w:rPr>
          <w:spacing w:val="-4"/>
        </w:rPr>
        <w:t xml:space="preserve"> </w:t>
      </w:r>
      <w:r>
        <w:rPr>
          <w:spacing w:val="-3"/>
        </w:rPr>
        <w:t>through</w:t>
      </w:r>
      <w:r>
        <w:rPr>
          <w:spacing w:val="46"/>
        </w:rPr>
        <w:t xml:space="preserve"> </w:t>
      </w:r>
      <w:r>
        <w:rPr>
          <w:spacing w:val="-1"/>
        </w:rPr>
        <w:t>to</w:t>
      </w:r>
      <w:r>
        <w:rPr>
          <w:spacing w:val="-4"/>
        </w:rPr>
        <w:t xml:space="preserve"> </w:t>
      </w:r>
      <w:r>
        <w:rPr>
          <w:spacing w:val="-2"/>
        </w:rPr>
        <w:t>customers</w:t>
      </w:r>
      <w:r>
        <w:rPr>
          <w:spacing w:val="-4"/>
        </w:rPr>
        <w:t xml:space="preserve"> </w:t>
      </w:r>
      <w:r>
        <w:rPr>
          <w:spacing w:val="-1"/>
        </w:rPr>
        <w:t>if</w:t>
      </w:r>
      <w:r>
        <w:t xml:space="preserve"> </w:t>
      </w:r>
      <w:r>
        <w:rPr>
          <w:spacing w:val="-2"/>
        </w:rPr>
        <w:t>the</w:t>
      </w:r>
      <w:r>
        <w:rPr>
          <w:spacing w:val="-4"/>
        </w:rPr>
        <w:t xml:space="preserve"> </w:t>
      </w:r>
      <w:r>
        <w:rPr>
          <w:spacing w:val="-2"/>
        </w:rPr>
        <w:t>total</w:t>
      </w:r>
      <w:r>
        <w:rPr>
          <w:spacing w:val="-4"/>
        </w:rPr>
        <w:t xml:space="preserve"> </w:t>
      </w:r>
      <w:r>
        <w:rPr>
          <w:spacing w:val="-2"/>
        </w:rPr>
        <w:t>annualised</w:t>
      </w:r>
      <w:r>
        <w:rPr>
          <w:spacing w:val="-4"/>
        </w:rPr>
        <w:t xml:space="preserve"> </w:t>
      </w:r>
      <w:r>
        <w:rPr>
          <w:spacing w:val="-2"/>
        </w:rPr>
        <w:t>cost</w:t>
      </w:r>
      <w:r>
        <w:rPr>
          <w:spacing w:val="-4"/>
        </w:rPr>
        <w:t xml:space="preserve"> </w:t>
      </w:r>
      <w:r>
        <w:rPr>
          <w:spacing w:val="-2"/>
        </w:rPr>
        <w:t>associated</w:t>
      </w:r>
      <w:r>
        <w:rPr>
          <w:spacing w:val="-4"/>
        </w:rPr>
        <w:t xml:space="preserve"> </w:t>
      </w:r>
      <w:r>
        <w:rPr>
          <w:spacing w:val="-2"/>
        </w:rPr>
        <w:t>with</w:t>
      </w:r>
      <w:r>
        <w:rPr>
          <w:spacing w:val="-4"/>
        </w:rPr>
        <w:t xml:space="preserve"> </w:t>
      </w:r>
      <w:r>
        <w:rPr>
          <w:spacing w:val="-2"/>
        </w:rPr>
        <w:t>the</w:t>
      </w:r>
      <w:r>
        <w:rPr>
          <w:spacing w:val="-4"/>
        </w:rPr>
        <w:t xml:space="preserve"> </w:t>
      </w:r>
      <w:r>
        <w:rPr>
          <w:spacing w:val="-2"/>
        </w:rPr>
        <w:t>event</w:t>
      </w:r>
      <w:r>
        <w:rPr>
          <w:spacing w:val="-4"/>
        </w:rPr>
        <w:t xml:space="preserve"> </w:t>
      </w:r>
      <w:r>
        <w:rPr>
          <w:spacing w:val="-3"/>
        </w:rPr>
        <w:t>exceeds</w:t>
      </w:r>
      <w:r>
        <w:rPr>
          <w:spacing w:val="-4"/>
        </w:rPr>
        <w:t xml:space="preserve"> </w:t>
      </w:r>
      <w:r>
        <w:rPr>
          <w:spacing w:val="-1"/>
        </w:rPr>
        <w:t>$2</w:t>
      </w:r>
      <w:r>
        <w:rPr>
          <w:spacing w:val="-4"/>
        </w:rPr>
        <w:t xml:space="preserve"> </w:t>
      </w:r>
      <w:r>
        <w:rPr>
          <w:spacing w:val="-2"/>
        </w:rPr>
        <w:t>million</w:t>
      </w:r>
      <w:r>
        <w:rPr>
          <w:spacing w:val="-4"/>
        </w:rPr>
        <w:t xml:space="preserve"> </w:t>
      </w:r>
      <w:r>
        <w:rPr>
          <w:spacing w:val="-2"/>
        </w:rPr>
        <w:t>($2012-13)</w:t>
      </w:r>
      <w:r>
        <w:rPr>
          <w:spacing w:val="-4"/>
        </w:rPr>
        <w:t xml:space="preserve"> </w:t>
      </w:r>
      <w:r>
        <w:rPr>
          <w:spacing w:val="-1"/>
        </w:rPr>
        <w:t>in</w:t>
      </w:r>
      <w:r>
        <w:rPr>
          <w:spacing w:val="-4"/>
        </w:rPr>
        <w:t xml:space="preserve"> </w:t>
      </w:r>
      <w:r>
        <w:rPr>
          <w:spacing w:val="-2"/>
        </w:rPr>
        <w:t>the</w:t>
      </w:r>
      <w:r>
        <w:rPr>
          <w:spacing w:val="50"/>
        </w:rPr>
        <w:t xml:space="preserve"> </w:t>
      </w:r>
      <w:r>
        <w:rPr>
          <w:spacing w:val="-2"/>
        </w:rPr>
        <w:t>year</w:t>
      </w:r>
      <w:r>
        <w:rPr>
          <w:spacing w:val="-4"/>
        </w:rPr>
        <w:t xml:space="preserve"> </w:t>
      </w:r>
      <w:r>
        <w:rPr>
          <w:spacing w:val="-2"/>
        </w:rPr>
        <w:t>for</w:t>
      </w:r>
      <w:r>
        <w:rPr>
          <w:spacing w:val="-4"/>
        </w:rPr>
        <w:t xml:space="preserve"> </w:t>
      </w:r>
      <w:r>
        <w:rPr>
          <w:spacing w:val="-2"/>
        </w:rPr>
        <w:t>which</w:t>
      </w:r>
      <w:r>
        <w:rPr>
          <w:spacing w:val="-4"/>
        </w:rPr>
        <w:t xml:space="preserve"> </w:t>
      </w:r>
      <w:r>
        <w:rPr>
          <w:spacing w:val="-2"/>
        </w:rPr>
        <w:t>the</w:t>
      </w:r>
      <w:r>
        <w:rPr>
          <w:spacing w:val="-4"/>
        </w:rPr>
        <w:t xml:space="preserve"> </w:t>
      </w:r>
      <w:r>
        <w:rPr>
          <w:spacing w:val="-3"/>
        </w:rPr>
        <w:t>pass-through</w:t>
      </w:r>
      <w:r>
        <w:rPr>
          <w:spacing w:val="-4"/>
        </w:rPr>
        <w:t xml:space="preserve"> </w:t>
      </w:r>
      <w:r>
        <w:rPr>
          <w:spacing w:val="-1"/>
        </w:rPr>
        <w:t>is</w:t>
      </w:r>
      <w:r>
        <w:rPr>
          <w:spacing w:val="-4"/>
        </w:rPr>
        <w:t xml:space="preserve"> </w:t>
      </w:r>
      <w:r>
        <w:rPr>
          <w:spacing w:val="-2"/>
        </w:rPr>
        <w:t>sought.</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8.</w:t>
      </w:r>
      <w:r>
        <w:rPr>
          <w:color w:val="0778BE"/>
          <w:spacing w:val="-9"/>
        </w:rPr>
        <w:t xml:space="preserve"> </w:t>
      </w:r>
      <w:r>
        <w:rPr>
          <w:color w:val="0778BE"/>
        </w:rPr>
        <w:t>6.</w:t>
      </w:r>
      <w:r>
        <w:rPr>
          <w:color w:val="0778BE"/>
          <w:spacing w:val="74"/>
        </w:rPr>
        <w:t xml:space="preserve"> </w:t>
      </w:r>
      <w:r>
        <w:rPr>
          <w:color w:val="0778BE"/>
        </w:rPr>
        <w:t xml:space="preserve">Service </w:t>
      </w:r>
      <w:r>
        <w:rPr>
          <w:color w:val="0778BE"/>
          <w:spacing w:val="-1"/>
        </w:rPr>
        <w:t>standards</w:t>
      </w:r>
      <w:r>
        <w:rPr>
          <w:color w:val="0778BE"/>
        </w:rPr>
        <w:t xml:space="preserve"> event</w:t>
      </w:r>
    </w:p>
    <w:p w:rsidR="00D96B91" w:rsidRDefault="00C2656B">
      <w:pPr>
        <w:pStyle w:val="BodyText"/>
        <w:spacing w:before="63"/>
        <w:rPr>
          <w:rFonts w:cs="Avenir Next"/>
        </w:rPr>
      </w:pPr>
      <w:r>
        <w:t>A</w:t>
      </w:r>
      <w:r>
        <w:rPr>
          <w:spacing w:val="-4"/>
        </w:rPr>
        <w:t xml:space="preserve"> </w:t>
      </w:r>
      <w:r>
        <w:t xml:space="preserve">service </w:t>
      </w:r>
      <w:r>
        <w:rPr>
          <w:spacing w:val="-1"/>
        </w:rPr>
        <w:t>standards</w:t>
      </w:r>
      <w:r>
        <w:t xml:space="preserve"> event </w:t>
      </w:r>
      <w:r>
        <w:rPr>
          <w:spacing w:val="-1"/>
        </w:rPr>
        <w:t>means</w:t>
      </w:r>
      <w:r>
        <w:t xml:space="preserve"> a </w:t>
      </w:r>
      <w:r>
        <w:rPr>
          <w:spacing w:val="-1"/>
        </w:rPr>
        <w:t>legislative</w:t>
      </w:r>
      <w:r>
        <w:t xml:space="preserve"> or </w:t>
      </w:r>
      <w:r>
        <w:rPr>
          <w:spacing w:val="-1"/>
        </w:rPr>
        <w:t>administrative</w:t>
      </w:r>
      <w:r>
        <w:t xml:space="preserve"> act or decision </w:t>
      </w:r>
      <w:r>
        <w:rPr>
          <w:spacing w:val="-1"/>
        </w:rPr>
        <w:t>that:</w:t>
      </w:r>
    </w:p>
    <w:p w:rsidR="00D96B91" w:rsidRDefault="00C2656B">
      <w:pPr>
        <w:pStyle w:val="BodyText"/>
        <w:numPr>
          <w:ilvl w:val="0"/>
          <w:numId w:val="11"/>
        </w:numPr>
        <w:tabs>
          <w:tab w:val="left" w:pos="1588"/>
        </w:tabs>
        <w:spacing w:before="157"/>
        <w:ind w:hanging="340"/>
        <w:rPr>
          <w:rFonts w:cs="Avenir Next"/>
        </w:rPr>
      </w:pPr>
      <w:r>
        <w:t xml:space="preserve">has the </w:t>
      </w:r>
      <w:r>
        <w:rPr>
          <w:spacing w:val="-1"/>
        </w:rPr>
        <w:t>effect</w:t>
      </w:r>
      <w:r>
        <w:t xml:space="preserve"> of:</w:t>
      </w:r>
    </w:p>
    <w:p w:rsidR="00D96B91" w:rsidRDefault="00C2656B">
      <w:pPr>
        <w:pStyle w:val="BodyText"/>
        <w:numPr>
          <w:ilvl w:val="1"/>
          <w:numId w:val="11"/>
        </w:numPr>
        <w:tabs>
          <w:tab w:val="left" w:pos="1872"/>
        </w:tabs>
        <w:spacing w:before="64" w:line="260" w:lineRule="exact"/>
        <w:ind w:right="1368"/>
      </w:pPr>
      <w:r>
        <w:t>substantially varying,</w:t>
      </w:r>
      <w:r>
        <w:rPr>
          <w:spacing w:val="-7"/>
        </w:rPr>
        <w:t xml:space="preserve"> </w:t>
      </w:r>
      <w:r>
        <w:t>during the course of</w:t>
      </w:r>
      <w:r>
        <w:rPr>
          <w:spacing w:val="4"/>
        </w:rPr>
        <w:t xml:space="preserve"> </w:t>
      </w:r>
      <w:r>
        <w:t xml:space="preserve">the </w:t>
      </w:r>
      <w:r>
        <w:rPr>
          <w:spacing w:val="-1"/>
        </w:rPr>
        <w:t>regulatory</w:t>
      </w:r>
      <w:r>
        <w:t xml:space="preserve"> period,</w:t>
      </w:r>
      <w:r>
        <w:rPr>
          <w:spacing w:val="-6"/>
        </w:rPr>
        <w:t xml:space="preserve"> </w:t>
      </w:r>
      <w:r>
        <w:t>the manner in which</w:t>
      </w:r>
      <w:r>
        <w:rPr>
          <w:spacing w:val="-4"/>
        </w:rPr>
        <w:t xml:space="preserve"> </w:t>
      </w:r>
      <w:r>
        <w:rPr>
          <w:spacing w:val="-2"/>
        </w:rPr>
        <w:t>ACTEW</w:t>
      </w:r>
      <w:r>
        <w:rPr>
          <w:spacing w:val="-3"/>
        </w:rPr>
        <w:t xml:space="preserve"> </w:t>
      </w:r>
      <w:r>
        <w:t>is</w:t>
      </w:r>
      <w:r>
        <w:rPr>
          <w:spacing w:val="28"/>
        </w:rPr>
        <w:t xml:space="preserve"> </w:t>
      </w:r>
      <w:r>
        <w:rPr>
          <w:spacing w:val="-1"/>
        </w:rPr>
        <w:t>required</w:t>
      </w:r>
      <w:r>
        <w:t xml:space="preserve"> to </w:t>
      </w:r>
      <w:r>
        <w:rPr>
          <w:spacing w:val="-1"/>
        </w:rPr>
        <w:t>provide</w:t>
      </w:r>
      <w:r>
        <w:t xml:space="preserve"> a </w:t>
      </w:r>
      <w:r>
        <w:rPr>
          <w:spacing w:val="-1"/>
        </w:rPr>
        <w:t>regulated</w:t>
      </w:r>
      <w:r>
        <w:t xml:space="preserve"> </w:t>
      </w:r>
      <w:r>
        <w:rPr>
          <w:spacing w:val="-1"/>
        </w:rPr>
        <w:t>water</w:t>
      </w:r>
      <w:r>
        <w:t xml:space="preserve"> or </w:t>
      </w:r>
      <w:r>
        <w:rPr>
          <w:spacing w:val="-1"/>
        </w:rPr>
        <w:t>sewerage</w:t>
      </w:r>
      <w:r>
        <w:t xml:space="preserve"> service;</w:t>
      </w:r>
    </w:p>
    <w:p w:rsidR="00D96B91" w:rsidRDefault="00D96B91">
      <w:pPr>
        <w:spacing w:line="260" w:lineRule="exact"/>
        <w:sectPr w:rsidR="00D96B91">
          <w:pgSz w:w="11910" w:h="16840"/>
          <w:pgMar w:top="1220" w:right="0" w:bottom="1020" w:left="0" w:header="0" w:footer="829" w:gutter="0"/>
          <w:cols w:space="720"/>
        </w:sectPr>
      </w:pPr>
    </w:p>
    <w:p w:rsidR="00D96B91" w:rsidRDefault="00C2656B">
      <w:pPr>
        <w:pStyle w:val="BodyText"/>
        <w:numPr>
          <w:ilvl w:val="1"/>
          <w:numId w:val="11"/>
        </w:numPr>
        <w:tabs>
          <w:tab w:val="left" w:pos="1871"/>
        </w:tabs>
        <w:spacing w:before="21" w:line="260" w:lineRule="exact"/>
        <w:ind w:right="1660"/>
      </w:pPr>
      <w:bookmarkStart w:id="288" w:name="8._7._Regulatory_obligations_event_"/>
      <w:bookmarkStart w:id="289" w:name="8._8._Tantangara_Transfer_Payment_event_"/>
      <w:bookmarkStart w:id="290" w:name="9._Price_adjustment_process"/>
      <w:bookmarkStart w:id="291" w:name="9._1._CPI_adjustment"/>
      <w:bookmarkStart w:id="292" w:name="_bookmark175"/>
      <w:bookmarkEnd w:id="288"/>
      <w:bookmarkEnd w:id="289"/>
      <w:bookmarkEnd w:id="290"/>
      <w:bookmarkEnd w:id="291"/>
      <w:bookmarkEnd w:id="292"/>
      <w:r>
        <w:t>imposing,</w:t>
      </w:r>
      <w:r>
        <w:rPr>
          <w:spacing w:val="-7"/>
        </w:rPr>
        <w:t xml:space="preserve"> </w:t>
      </w:r>
      <w:r>
        <w:rPr>
          <w:spacing w:val="-1"/>
        </w:rPr>
        <w:t>removing</w:t>
      </w:r>
      <w:r>
        <w:t xml:space="preserve"> or varying,</w:t>
      </w:r>
      <w:r>
        <w:rPr>
          <w:spacing w:val="-6"/>
        </w:rPr>
        <w:t xml:space="preserve"> </w:t>
      </w:r>
      <w:r>
        <w:t>during the course of</w:t>
      </w:r>
      <w:r>
        <w:rPr>
          <w:spacing w:val="4"/>
        </w:rPr>
        <w:t xml:space="preserve"> </w:t>
      </w:r>
      <w:r>
        <w:t xml:space="preserve">the </w:t>
      </w:r>
      <w:r>
        <w:rPr>
          <w:spacing w:val="-1"/>
        </w:rPr>
        <w:t>regulatory</w:t>
      </w:r>
      <w:r>
        <w:t xml:space="preserve"> period,</w:t>
      </w:r>
      <w:r>
        <w:rPr>
          <w:spacing w:val="-6"/>
        </w:rPr>
        <w:t xml:space="preserve"> </w:t>
      </w:r>
      <w:r>
        <w:t>minimum service</w:t>
      </w:r>
      <w:r>
        <w:rPr>
          <w:spacing w:val="29"/>
        </w:rPr>
        <w:t xml:space="preserve"> </w:t>
      </w:r>
      <w:r>
        <w:rPr>
          <w:spacing w:val="-1"/>
        </w:rPr>
        <w:t>standards</w:t>
      </w:r>
      <w:r>
        <w:t xml:space="preserve"> applicable to </w:t>
      </w:r>
      <w:r>
        <w:rPr>
          <w:spacing w:val="-1"/>
        </w:rPr>
        <w:t>regulated</w:t>
      </w:r>
      <w:r>
        <w:t xml:space="preserve"> </w:t>
      </w:r>
      <w:r>
        <w:rPr>
          <w:spacing w:val="-1"/>
        </w:rPr>
        <w:t>water</w:t>
      </w:r>
      <w:r>
        <w:t xml:space="preserve"> and </w:t>
      </w:r>
      <w:r>
        <w:rPr>
          <w:spacing w:val="-1"/>
        </w:rPr>
        <w:t>sewerage</w:t>
      </w:r>
      <w:r>
        <w:t xml:space="preserve"> services; or</w:t>
      </w:r>
    </w:p>
    <w:p w:rsidR="00D96B91" w:rsidRDefault="00C2656B">
      <w:pPr>
        <w:pStyle w:val="BodyText"/>
        <w:numPr>
          <w:ilvl w:val="1"/>
          <w:numId w:val="11"/>
        </w:numPr>
        <w:tabs>
          <w:tab w:val="left" w:pos="1871"/>
        </w:tabs>
        <w:spacing w:before="85" w:line="260" w:lineRule="exact"/>
        <w:ind w:right="1451"/>
      </w:pPr>
      <w:r>
        <w:t>altering,</w:t>
      </w:r>
      <w:r>
        <w:rPr>
          <w:spacing w:val="-6"/>
        </w:rPr>
        <w:t xml:space="preserve"> </w:t>
      </w:r>
      <w:r>
        <w:t>during the course of</w:t>
      </w:r>
      <w:r>
        <w:rPr>
          <w:spacing w:val="4"/>
        </w:rPr>
        <w:t xml:space="preserve"> </w:t>
      </w:r>
      <w:r>
        <w:t xml:space="preserve">the </w:t>
      </w:r>
      <w:r>
        <w:rPr>
          <w:spacing w:val="-1"/>
        </w:rPr>
        <w:t>regulatory</w:t>
      </w:r>
      <w:r>
        <w:t xml:space="preserve"> period,</w:t>
      </w:r>
      <w:r>
        <w:rPr>
          <w:spacing w:val="-6"/>
        </w:rPr>
        <w:t xml:space="preserve"> </w:t>
      </w:r>
      <w:r>
        <w:t xml:space="preserve">the </w:t>
      </w:r>
      <w:r>
        <w:rPr>
          <w:spacing w:val="-1"/>
        </w:rPr>
        <w:t>nature</w:t>
      </w:r>
      <w:r>
        <w:t xml:space="preserve"> or scope of</w:t>
      </w:r>
      <w:r>
        <w:rPr>
          <w:spacing w:val="4"/>
        </w:rPr>
        <w:t xml:space="preserve"> </w:t>
      </w:r>
      <w:r>
        <w:t xml:space="preserve">the </w:t>
      </w:r>
      <w:r>
        <w:rPr>
          <w:spacing w:val="-1"/>
        </w:rPr>
        <w:t>regulated</w:t>
      </w:r>
      <w:r>
        <w:t xml:space="preserve"> </w:t>
      </w:r>
      <w:r>
        <w:rPr>
          <w:spacing w:val="-1"/>
        </w:rPr>
        <w:t>water</w:t>
      </w:r>
      <w:r>
        <w:rPr>
          <w:spacing w:val="21"/>
        </w:rPr>
        <w:t xml:space="preserve"> </w:t>
      </w:r>
      <w:r>
        <w:t xml:space="preserve">or </w:t>
      </w:r>
      <w:r>
        <w:rPr>
          <w:spacing w:val="-1"/>
        </w:rPr>
        <w:t>sewerage</w:t>
      </w:r>
      <w:r>
        <w:t xml:space="preserve"> services </w:t>
      </w:r>
      <w:r>
        <w:rPr>
          <w:spacing w:val="-1"/>
        </w:rPr>
        <w:t>provided</w:t>
      </w:r>
      <w:r>
        <w:t xml:space="preserve"> by</w:t>
      </w:r>
      <w:r>
        <w:rPr>
          <w:spacing w:val="-4"/>
        </w:rPr>
        <w:t xml:space="preserve"> </w:t>
      </w:r>
      <w:r>
        <w:rPr>
          <w:spacing w:val="-2"/>
        </w:rPr>
        <w:t>ACTEW;</w:t>
      </w:r>
      <w:r>
        <w:t xml:space="preserve"> and</w:t>
      </w:r>
    </w:p>
    <w:p w:rsidR="00D96B91" w:rsidRDefault="00C2656B">
      <w:pPr>
        <w:pStyle w:val="BodyText"/>
        <w:numPr>
          <w:ilvl w:val="0"/>
          <w:numId w:val="11"/>
        </w:numPr>
        <w:tabs>
          <w:tab w:val="left" w:pos="1588"/>
        </w:tabs>
        <w:spacing w:before="85" w:line="260" w:lineRule="exact"/>
        <w:ind w:right="1655" w:hanging="340"/>
      </w:pPr>
      <w:r>
        <w:rPr>
          <w:spacing w:val="-1"/>
        </w:rPr>
        <w:t>materially</w:t>
      </w:r>
      <w:r>
        <w:t xml:space="preserve"> </w:t>
      </w:r>
      <w:r>
        <w:rPr>
          <w:spacing w:val="-1"/>
        </w:rPr>
        <w:t>increases</w:t>
      </w:r>
      <w:r>
        <w:t xml:space="preserve"> or </w:t>
      </w:r>
      <w:r>
        <w:rPr>
          <w:spacing w:val="-1"/>
        </w:rPr>
        <w:t>materially</w:t>
      </w:r>
      <w:r>
        <w:t xml:space="preserve"> </w:t>
      </w:r>
      <w:r>
        <w:rPr>
          <w:spacing w:val="-1"/>
        </w:rPr>
        <w:t>decreases</w:t>
      </w:r>
      <w:r>
        <w:t xml:space="preserve"> the costs to</w:t>
      </w:r>
      <w:r>
        <w:rPr>
          <w:spacing w:val="-4"/>
        </w:rPr>
        <w:t xml:space="preserve"> </w:t>
      </w:r>
      <w:r>
        <w:rPr>
          <w:spacing w:val="-2"/>
        </w:rPr>
        <w:t>ACTEW</w:t>
      </w:r>
      <w:r>
        <w:rPr>
          <w:spacing w:val="-3"/>
        </w:rPr>
        <w:t xml:space="preserve"> </w:t>
      </w:r>
      <w:r>
        <w:t>of</w:t>
      </w:r>
      <w:r>
        <w:rPr>
          <w:spacing w:val="4"/>
        </w:rPr>
        <w:t xml:space="preserve"> </w:t>
      </w:r>
      <w:r>
        <w:rPr>
          <w:spacing w:val="-1"/>
        </w:rPr>
        <w:t>providing</w:t>
      </w:r>
      <w:r>
        <w:t xml:space="preserve"> </w:t>
      </w:r>
      <w:r>
        <w:rPr>
          <w:spacing w:val="-1"/>
        </w:rPr>
        <w:t>regulated</w:t>
      </w:r>
      <w:r>
        <w:t xml:space="preserve"> </w:t>
      </w:r>
      <w:r>
        <w:rPr>
          <w:spacing w:val="-1"/>
        </w:rPr>
        <w:t>water</w:t>
      </w:r>
      <w:r>
        <w:t xml:space="preserve"> or</w:t>
      </w:r>
      <w:r>
        <w:rPr>
          <w:spacing w:val="73"/>
        </w:rPr>
        <w:t xml:space="preserve"> </w:t>
      </w:r>
      <w:r>
        <w:rPr>
          <w:spacing w:val="-1"/>
        </w:rPr>
        <w:t>sewerage</w:t>
      </w:r>
      <w:r>
        <w:t xml:space="preserve"> services.</w:t>
      </w:r>
    </w:p>
    <w:p w:rsidR="00D96B91" w:rsidRDefault="00C2656B">
      <w:pPr>
        <w:pStyle w:val="BodyText"/>
        <w:spacing w:before="170" w:line="260" w:lineRule="exact"/>
        <w:ind w:right="1283"/>
      </w:pPr>
      <w:r>
        <w:t>If</w:t>
      </w:r>
      <w:r>
        <w:rPr>
          <w:spacing w:val="4"/>
        </w:rPr>
        <w:t xml:space="preserve"> </w:t>
      </w:r>
      <w:r>
        <w:t xml:space="preserve">a service </w:t>
      </w:r>
      <w:r>
        <w:rPr>
          <w:spacing w:val="-1"/>
        </w:rPr>
        <w:t>standard</w:t>
      </w:r>
      <w:r>
        <w:t xml:space="preserve"> event occurs on or </w:t>
      </w:r>
      <w:r>
        <w:rPr>
          <w:spacing w:val="-1"/>
        </w:rPr>
        <w:t>after</w:t>
      </w:r>
      <w:r>
        <w:t xml:space="preserve"> 30</w:t>
      </w:r>
      <w:r>
        <w:rPr>
          <w:spacing w:val="-3"/>
        </w:rPr>
        <w:t xml:space="preserve"> </w:t>
      </w:r>
      <w:r>
        <w:t>June 2013,</w:t>
      </w:r>
      <w:r>
        <w:rPr>
          <w:spacing w:val="-6"/>
        </w:rPr>
        <w:t xml:space="preserve"> </w:t>
      </w:r>
      <w:r>
        <w:t xml:space="preserve">the change in costs (positive or </w:t>
      </w:r>
      <w:r>
        <w:rPr>
          <w:spacing w:val="-1"/>
        </w:rPr>
        <w:t>negative)</w:t>
      </w:r>
      <w:r>
        <w:rPr>
          <w:spacing w:val="25"/>
        </w:rPr>
        <w:t xml:space="preserve"> </w:t>
      </w:r>
      <w:r>
        <w:t xml:space="preserve">may be passed </w:t>
      </w:r>
      <w:r>
        <w:rPr>
          <w:spacing w:val="-1"/>
        </w:rPr>
        <w:t>through</w:t>
      </w:r>
      <w:r>
        <w:t xml:space="preserve"> to customers if</w:t>
      </w:r>
      <w:r>
        <w:rPr>
          <w:spacing w:val="4"/>
        </w:rPr>
        <w:t xml:space="preserve"> </w:t>
      </w:r>
      <w:r>
        <w:t xml:space="preserve">the total annualised cost </w:t>
      </w:r>
      <w:r>
        <w:rPr>
          <w:spacing w:val="-1"/>
        </w:rPr>
        <w:t>associated</w:t>
      </w:r>
      <w:r>
        <w:t xml:space="preserve"> with the event </w:t>
      </w:r>
      <w:r>
        <w:rPr>
          <w:spacing w:val="-1"/>
        </w:rPr>
        <w:t>exceeds</w:t>
      </w:r>
      <w:r>
        <w:t xml:space="preserve"> $2</w:t>
      </w:r>
      <w:r>
        <w:rPr>
          <w:spacing w:val="27"/>
        </w:rPr>
        <w:t xml:space="preserve"> </w:t>
      </w:r>
      <w:r>
        <w:t xml:space="preserve">million ($2012-13) in the </w:t>
      </w:r>
      <w:r>
        <w:rPr>
          <w:spacing w:val="-1"/>
        </w:rPr>
        <w:t>year</w:t>
      </w:r>
      <w:r>
        <w:t xml:space="preserve"> for which the </w:t>
      </w:r>
      <w:r>
        <w:rPr>
          <w:spacing w:val="-1"/>
        </w:rPr>
        <w:t>pass-through</w:t>
      </w:r>
      <w:r>
        <w:t xml:space="preserve"> is sought.</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8.</w:t>
      </w:r>
      <w:r>
        <w:rPr>
          <w:color w:val="0778BE"/>
          <w:spacing w:val="-9"/>
        </w:rPr>
        <w:t xml:space="preserve"> </w:t>
      </w:r>
      <w:r>
        <w:rPr>
          <w:color w:val="0778BE"/>
        </w:rPr>
        <w:t>7.</w:t>
      </w:r>
      <w:r>
        <w:rPr>
          <w:color w:val="0778BE"/>
          <w:spacing w:val="74"/>
        </w:rPr>
        <w:t xml:space="preserve"> </w:t>
      </w:r>
      <w:r>
        <w:rPr>
          <w:color w:val="0778BE"/>
          <w:spacing w:val="-1"/>
        </w:rPr>
        <w:t>Regulatory</w:t>
      </w:r>
      <w:r>
        <w:rPr>
          <w:color w:val="0778BE"/>
        </w:rPr>
        <w:t xml:space="preserve"> </w:t>
      </w:r>
      <w:r>
        <w:rPr>
          <w:color w:val="0778BE"/>
          <w:spacing w:val="-1"/>
        </w:rPr>
        <w:t>obligations</w:t>
      </w:r>
      <w:r>
        <w:rPr>
          <w:color w:val="0778BE"/>
        </w:rPr>
        <w:t xml:space="preserve"> event</w:t>
      </w:r>
    </w:p>
    <w:p w:rsidR="00D96B91" w:rsidRDefault="00C2656B">
      <w:pPr>
        <w:pStyle w:val="BodyText"/>
        <w:spacing w:before="63"/>
        <w:rPr>
          <w:rFonts w:cs="Avenir Next"/>
        </w:rPr>
      </w:pPr>
      <w:r>
        <w:t>A</w:t>
      </w:r>
      <w:r>
        <w:rPr>
          <w:spacing w:val="-4"/>
        </w:rPr>
        <w:t xml:space="preserve"> </w:t>
      </w:r>
      <w:r>
        <w:t xml:space="preserve">change in a </w:t>
      </w:r>
      <w:r>
        <w:rPr>
          <w:spacing w:val="-1"/>
        </w:rPr>
        <w:t>regulatory</w:t>
      </w:r>
      <w:r>
        <w:t xml:space="preserve"> </w:t>
      </w:r>
      <w:r>
        <w:rPr>
          <w:spacing w:val="-1"/>
        </w:rPr>
        <w:t>obligations</w:t>
      </w:r>
      <w:r>
        <w:t xml:space="preserve"> event is a change in a </w:t>
      </w:r>
      <w:r>
        <w:rPr>
          <w:spacing w:val="-1"/>
        </w:rPr>
        <w:t>regulatory</w:t>
      </w:r>
      <w:r>
        <w:t xml:space="preserve"> </w:t>
      </w:r>
      <w:r>
        <w:rPr>
          <w:spacing w:val="-1"/>
        </w:rPr>
        <w:t>obligation</w:t>
      </w:r>
      <w:r>
        <w:t xml:space="preserve"> or </w:t>
      </w:r>
      <w:r>
        <w:rPr>
          <w:spacing w:val="-1"/>
        </w:rPr>
        <w:t>requirement</w:t>
      </w:r>
      <w:r>
        <w:t xml:space="preserve"> </w:t>
      </w:r>
      <w:r>
        <w:rPr>
          <w:spacing w:val="-1"/>
        </w:rPr>
        <w:t>that:</w:t>
      </w:r>
    </w:p>
    <w:p w:rsidR="00D96B91" w:rsidRDefault="00C2656B">
      <w:pPr>
        <w:pStyle w:val="BodyText"/>
        <w:numPr>
          <w:ilvl w:val="0"/>
          <w:numId w:val="10"/>
        </w:numPr>
        <w:tabs>
          <w:tab w:val="left" w:pos="1588"/>
        </w:tabs>
        <w:spacing w:before="157"/>
        <w:ind w:hanging="340"/>
      </w:pPr>
      <w:r>
        <w:t xml:space="preserve">falls within no other </w:t>
      </w:r>
      <w:r>
        <w:rPr>
          <w:spacing w:val="-1"/>
        </w:rPr>
        <w:t>category</w:t>
      </w:r>
      <w:r>
        <w:t xml:space="preserve"> of</w:t>
      </w:r>
      <w:r>
        <w:rPr>
          <w:spacing w:val="4"/>
        </w:rPr>
        <w:t xml:space="preserve"> </w:t>
      </w:r>
      <w:r>
        <w:rPr>
          <w:spacing w:val="-1"/>
        </w:rPr>
        <w:t>pass-through</w:t>
      </w:r>
      <w:r>
        <w:t xml:space="preserve"> event; and</w:t>
      </w:r>
    </w:p>
    <w:p w:rsidR="00D96B91" w:rsidRDefault="00C2656B">
      <w:pPr>
        <w:pStyle w:val="BodyText"/>
        <w:numPr>
          <w:ilvl w:val="0"/>
          <w:numId w:val="10"/>
        </w:numPr>
        <w:tabs>
          <w:tab w:val="left" w:pos="1588"/>
        </w:tabs>
        <w:spacing w:before="72"/>
        <w:ind w:hanging="340"/>
      </w:pPr>
      <w:r>
        <w:t>occurs during the course of</w:t>
      </w:r>
      <w:r>
        <w:rPr>
          <w:spacing w:val="4"/>
        </w:rPr>
        <w:t xml:space="preserve"> </w:t>
      </w:r>
      <w:r>
        <w:t xml:space="preserve">the </w:t>
      </w:r>
      <w:r>
        <w:rPr>
          <w:spacing w:val="-1"/>
        </w:rPr>
        <w:t>regulatory</w:t>
      </w:r>
      <w:r>
        <w:t xml:space="preserve"> period; and</w:t>
      </w:r>
    </w:p>
    <w:p w:rsidR="00D96B91" w:rsidRDefault="00C2656B">
      <w:pPr>
        <w:pStyle w:val="BodyText"/>
        <w:numPr>
          <w:ilvl w:val="0"/>
          <w:numId w:val="10"/>
        </w:numPr>
        <w:tabs>
          <w:tab w:val="left" w:pos="1588"/>
        </w:tabs>
        <w:spacing w:before="72"/>
        <w:ind w:hanging="340"/>
      </w:pPr>
      <w:r>
        <w:t xml:space="preserve">substantially </w:t>
      </w:r>
      <w:r>
        <w:rPr>
          <w:spacing w:val="-1"/>
        </w:rPr>
        <w:t>affects</w:t>
      </w:r>
      <w:r>
        <w:t xml:space="preserve"> the manner in which</w:t>
      </w:r>
      <w:r>
        <w:rPr>
          <w:spacing w:val="-4"/>
        </w:rPr>
        <w:t xml:space="preserve"> </w:t>
      </w:r>
      <w:r>
        <w:rPr>
          <w:spacing w:val="-2"/>
        </w:rPr>
        <w:t>ACTEW</w:t>
      </w:r>
      <w:r>
        <w:rPr>
          <w:spacing w:val="-3"/>
        </w:rPr>
        <w:t xml:space="preserve"> </w:t>
      </w:r>
      <w:r>
        <w:rPr>
          <w:spacing w:val="-1"/>
        </w:rPr>
        <w:t>provides</w:t>
      </w:r>
      <w:r>
        <w:t xml:space="preserve"> </w:t>
      </w:r>
      <w:r>
        <w:rPr>
          <w:spacing w:val="-1"/>
        </w:rPr>
        <w:t>regulated</w:t>
      </w:r>
      <w:r>
        <w:t xml:space="preserve"> </w:t>
      </w:r>
      <w:r>
        <w:rPr>
          <w:spacing w:val="-1"/>
        </w:rPr>
        <w:t>water</w:t>
      </w:r>
      <w:r>
        <w:t xml:space="preserve"> or </w:t>
      </w:r>
      <w:r>
        <w:rPr>
          <w:spacing w:val="-1"/>
        </w:rPr>
        <w:t>sewerage</w:t>
      </w:r>
      <w:r>
        <w:t xml:space="preserve"> services.</w:t>
      </w:r>
    </w:p>
    <w:p w:rsidR="00D96B91" w:rsidRDefault="00C2656B">
      <w:pPr>
        <w:pStyle w:val="BodyText"/>
        <w:spacing w:before="149" w:line="260" w:lineRule="exact"/>
        <w:ind w:right="1283"/>
      </w:pPr>
      <w:r>
        <w:t>If</w:t>
      </w:r>
      <w:r>
        <w:rPr>
          <w:spacing w:val="4"/>
        </w:rPr>
        <w:t xml:space="preserve"> </w:t>
      </w:r>
      <w:r>
        <w:t xml:space="preserve">a </w:t>
      </w:r>
      <w:r>
        <w:rPr>
          <w:spacing w:val="-1"/>
        </w:rPr>
        <w:t>regulatory</w:t>
      </w:r>
      <w:r>
        <w:t xml:space="preserve"> </w:t>
      </w:r>
      <w:r>
        <w:rPr>
          <w:spacing w:val="-1"/>
        </w:rPr>
        <w:t>obligations</w:t>
      </w:r>
      <w:r>
        <w:t xml:space="preserve"> event occurs on or </w:t>
      </w:r>
      <w:r>
        <w:rPr>
          <w:spacing w:val="-1"/>
        </w:rPr>
        <w:t>after</w:t>
      </w:r>
      <w:r>
        <w:t xml:space="preserve"> 30</w:t>
      </w:r>
      <w:r>
        <w:rPr>
          <w:spacing w:val="-3"/>
        </w:rPr>
        <w:t xml:space="preserve"> </w:t>
      </w:r>
      <w:r>
        <w:t>June 2013,</w:t>
      </w:r>
      <w:r>
        <w:rPr>
          <w:spacing w:val="-6"/>
        </w:rPr>
        <w:t xml:space="preserve"> </w:t>
      </w:r>
      <w:r>
        <w:t>the change in costs (positive or</w:t>
      </w:r>
      <w:r>
        <w:rPr>
          <w:spacing w:val="31"/>
        </w:rPr>
        <w:t xml:space="preserve"> </w:t>
      </w:r>
      <w:r>
        <w:rPr>
          <w:spacing w:val="-1"/>
        </w:rPr>
        <w:t>negative)</w:t>
      </w:r>
      <w:r>
        <w:t xml:space="preserve"> may be passed </w:t>
      </w:r>
      <w:r>
        <w:rPr>
          <w:spacing w:val="-1"/>
        </w:rPr>
        <w:t>through</w:t>
      </w:r>
      <w:r>
        <w:t xml:space="preserve"> to customers if</w:t>
      </w:r>
      <w:r>
        <w:rPr>
          <w:spacing w:val="4"/>
        </w:rPr>
        <w:t xml:space="preserve"> </w:t>
      </w:r>
      <w:r>
        <w:t xml:space="preserve">the total annualised cost </w:t>
      </w:r>
      <w:r>
        <w:rPr>
          <w:spacing w:val="-1"/>
        </w:rPr>
        <w:t>associated</w:t>
      </w:r>
      <w:r>
        <w:t xml:space="preserve"> with the event</w:t>
      </w:r>
      <w:r>
        <w:rPr>
          <w:spacing w:val="35"/>
        </w:rPr>
        <w:t xml:space="preserve"> </w:t>
      </w:r>
      <w:r>
        <w:rPr>
          <w:spacing w:val="-1"/>
        </w:rPr>
        <w:t>exceeds</w:t>
      </w:r>
      <w:r>
        <w:t xml:space="preserve"> $2 million ($2012-13) in the </w:t>
      </w:r>
      <w:r>
        <w:rPr>
          <w:spacing w:val="-1"/>
        </w:rPr>
        <w:t>year</w:t>
      </w:r>
      <w:r>
        <w:t xml:space="preserve"> for which the </w:t>
      </w:r>
      <w:r>
        <w:rPr>
          <w:spacing w:val="-1"/>
        </w:rPr>
        <w:t>pass-through</w:t>
      </w:r>
      <w:r>
        <w:t xml:space="preserve"> is sought.</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8.</w:t>
      </w:r>
      <w:r>
        <w:rPr>
          <w:color w:val="0778BE"/>
          <w:spacing w:val="-9"/>
        </w:rPr>
        <w:t xml:space="preserve"> </w:t>
      </w:r>
      <w:r>
        <w:rPr>
          <w:color w:val="0778BE"/>
        </w:rPr>
        <w:t>8.</w:t>
      </w:r>
      <w:r>
        <w:rPr>
          <w:color w:val="0778BE"/>
          <w:spacing w:val="74"/>
        </w:rPr>
        <w:t xml:space="preserve"> </w:t>
      </w:r>
      <w:r>
        <w:rPr>
          <w:color w:val="0778BE"/>
          <w:spacing w:val="-29"/>
        </w:rPr>
        <w:t>T</w:t>
      </w:r>
      <w:r>
        <w:rPr>
          <w:color w:val="0778BE"/>
        </w:rPr>
        <w:t>antanga</w:t>
      </w:r>
      <w:r>
        <w:rPr>
          <w:color w:val="0778BE"/>
          <w:spacing w:val="-4"/>
        </w:rPr>
        <w:t>r</w:t>
      </w:r>
      <w:r>
        <w:rPr>
          <w:color w:val="0778BE"/>
        </w:rPr>
        <w:t>a</w:t>
      </w:r>
      <w:r>
        <w:rPr>
          <w:color w:val="0778BE"/>
          <w:spacing w:val="-8"/>
        </w:rPr>
        <w:t xml:space="preserve"> </w:t>
      </w:r>
      <w:r>
        <w:rPr>
          <w:color w:val="0778BE"/>
          <w:spacing w:val="-27"/>
        </w:rPr>
        <w:t>T</w:t>
      </w:r>
      <w:r>
        <w:rPr>
          <w:color w:val="0778BE"/>
          <w:spacing w:val="-4"/>
        </w:rPr>
        <w:t>r</w:t>
      </w:r>
      <w:r>
        <w:rPr>
          <w:color w:val="0778BE"/>
        </w:rPr>
        <w:t xml:space="preserve">ansfer </w:t>
      </w:r>
      <w:r>
        <w:rPr>
          <w:color w:val="0778BE"/>
          <w:spacing w:val="-17"/>
        </w:rPr>
        <w:t>P</w:t>
      </w:r>
      <w:r>
        <w:rPr>
          <w:color w:val="0778BE"/>
        </w:rPr>
        <w:t>ayment event</w:t>
      </w:r>
    </w:p>
    <w:p w:rsidR="00D96B91" w:rsidRDefault="00C2656B">
      <w:pPr>
        <w:pStyle w:val="BodyText"/>
        <w:spacing w:before="55" w:line="260" w:lineRule="exact"/>
        <w:ind w:right="1256"/>
      </w:pPr>
      <w:r>
        <w:t>A</w:t>
      </w:r>
      <w:r>
        <w:rPr>
          <w:spacing w:val="-9"/>
        </w:rPr>
        <w:t xml:space="preserve"> </w:t>
      </w:r>
      <w:r>
        <w:rPr>
          <w:spacing w:val="-3"/>
        </w:rPr>
        <w:t>Tantangara</w:t>
      </w:r>
      <w:r>
        <w:rPr>
          <w:spacing w:val="-5"/>
        </w:rPr>
        <w:t xml:space="preserve"> </w:t>
      </w:r>
      <w:r>
        <w:rPr>
          <w:spacing w:val="-3"/>
        </w:rPr>
        <w:t>Transfer</w:t>
      </w:r>
      <w:r>
        <w:t xml:space="preserve"> </w:t>
      </w:r>
      <w:r>
        <w:rPr>
          <w:spacing w:val="-2"/>
        </w:rPr>
        <w:t>Payment</w:t>
      </w:r>
      <w:r>
        <w:t xml:space="preserve"> event occurs if</w:t>
      </w:r>
      <w:r>
        <w:rPr>
          <w:spacing w:val="1"/>
        </w:rPr>
        <w:t xml:space="preserve"> </w:t>
      </w:r>
      <w:r>
        <w:rPr>
          <w:spacing w:val="-2"/>
        </w:rPr>
        <w:t>ACTEW</w:t>
      </w:r>
      <w:r>
        <w:rPr>
          <w:spacing w:val="-3"/>
        </w:rPr>
        <w:t xml:space="preserve"> </w:t>
      </w:r>
      <w:r>
        <w:t xml:space="preserve">is </w:t>
      </w:r>
      <w:r>
        <w:rPr>
          <w:spacing w:val="-1"/>
        </w:rPr>
        <w:t>required</w:t>
      </w:r>
      <w:r>
        <w:t xml:space="preserve"> to </w:t>
      </w:r>
      <w:r>
        <w:rPr>
          <w:spacing w:val="-1"/>
        </w:rPr>
        <w:t>exercise</w:t>
      </w:r>
      <w:r>
        <w:t xml:space="preserve"> its option to </w:t>
      </w:r>
      <w:r>
        <w:rPr>
          <w:spacing w:val="-1"/>
        </w:rPr>
        <w:t>transfer</w:t>
      </w:r>
      <w:r>
        <w:t xml:space="preserve"> </w:t>
      </w:r>
      <w:r>
        <w:rPr>
          <w:spacing w:val="-1"/>
        </w:rPr>
        <w:t>water</w:t>
      </w:r>
      <w:r>
        <w:rPr>
          <w:spacing w:val="45"/>
        </w:rPr>
        <w:t xml:space="preserve"> </w:t>
      </w:r>
      <w:r>
        <w:rPr>
          <w:spacing w:val="-1"/>
        </w:rPr>
        <w:t>from</w:t>
      </w:r>
      <w:r>
        <w:t xml:space="preserve"> the </w:t>
      </w:r>
      <w:r>
        <w:rPr>
          <w:spacing w:val="-1"/>
        </w:rPr>
        <w:t>regulated</w:t>
      </w:r>
      <w:r>
        <w:t xml:space="preserve"> Murrumbidgee River to the</w:t>
      </w:r>
      <w:r>
        <w:rPr>
          <w:spacing w:val="-4"/>
        </w:rPr>
        <w:t xml:space="preserve"> </w:t>
      </w:r>
      <w:r>
        <w:rPr>
          <w:spacing w:val="-2"/>
        </w:rPr>
        <w:t>ACT</w:t>
      </w:r>
      <w:r>
        <w:rPr>
          <w:spacing w:val="-5"/>
        </w:rPr>
        <w:t xml:space="preserve"> </w:t>
      </w:r>
      <w:r>
        <w:t>via the Snowy Mountains Scheme.</w:t>
      </w:r>
    </w:p>
    <w:p w:rsidR="00D96B91" w:rsidRDefault="00C2656B">
      <w:pPr>
        <w:pStyle w:val="BodyText"/>
        <w:spacing w:before="170" w:line="260" w:lineRule="exact"/>
        <w:ind w:right="1354"/>
        <w:jc w:val="both"/>
      </w:pPr>
      <w:r>
        <w:t>If</w:t>
      </w:r>
      <w:r>
        <w:rPr>
          <w:spacing w:val="4"/>
        </w:rPr>
        <w:t xml:space="preserve"> </w:t>
      </w:r>
      <w:r>
        <w:t>the</w:t>
      </w:r>
      <w:r>
        <w:rPr>
          <w:spacing w:val="-5"/>
        </w:rPr>
        <w:t xml:space="preserve"> </w:t>
      </w:r>
      <w:r>
        <w:rPr>
          <w:spacing w:val="-3"/>
        </w:rPr>
        <w:t>Tantangara</w:t>
      </w:r>
      <w:r>
        <w:rPr>
          <w:spacing w:val="-5"/>
        </w:rPr>
        <w:t xml:space="preserve"> </w:t>
      </w:r>
      <w:r>
        <w:rPr>
          <w:spacing w:val="-3"/>
        </w:rPr>
        <w:t>Transfer</w:t>
      </w:r>
      <w:r>
        <w:t xml:space="preserve"> </w:t>
      </w:r>
      <w:r>
        <w:rPr>
          <w:spacing w:val="-2"/>
        </w:rPr>
        <w:t>Payment</w:t>
      </w:r>
      <w:r>
        <w:t xml:space="preserve"> event occurs on or </w:t>
      </w:r>
      <w:r>
        <w:rPr>
          <w:spacing w:val="-1"/>
        </w:rPr>
        <w:t>after</w:t>
      </w:r>
      <w:r>
        <w:t xml:space="preserve"> 30</w:t>
      </w:r>
      <w:r>
        <w:rPr>
          <w:spacing w:val="-3"/>
        </w:rPr>
        <w:t xml:space="preserve"> </w:t>
      </w:r>
      <w:r>
        <w:t>June 2013,</w:t>
      </w:r>
      <w:r>
        <w:rPr>
          <w:spacing w:val="-6"/>
        </w:rPr>
        <w:t xml:space="preserve"> </w:t>
      </w:r>
      <w:r>
        <w:t>the change in costs (positive</w:t>
      </w:r>
      <w:r>
        <w:rPr>
          <w:spacing w:val="29"/>
        </w:rPr>
        <w:t xml:space="preserve"> </w:t>
      </w:r>
      <w:r>
        <w:t xml:space="preserve">or </w:t>
      </w:r>
      <w:r>
        <w:rPr>
          <w:spacing w:val="-1"/>
        </w:rPr>
        <w:t>negative)</w:t>
      </w:r>
      <w:r>
        <w:t xml:space="preserve"> may be passed </w:t>
      </w:r>
      <w:r>
        <w:rPr>
          <w:spacing w:val="-1"/>
        </w:rPr>
        <w:t>through</w:t>
      </w:r>
      <w:r>
        <w:t xml:space="preserve"> to customers if</w:t>
      </w:r>
      <w:r>
        <w:rPr>
          <w:spacing w:val="4"/>
        </w:rPr>
        <w:t xml:space="preserve"> </w:t>
      </w:r>
      <w:r>
        <w:t xml:space="preserve">the total annualised cost </w:t>
      </w:r>
      <w:r>
        <w:rPr>
          <w:spacing w:val="-1"/>
        </w:rPr>
        <w:t>associated</w:t>
      </w:r>
      <w:r>
        <w:t xml:space="preserve"> with the event</w:t>
      </w:r>
      <w:r>
        <w:rPr>
          <w:spacing w:val="35"/>
        </w:rPr>
        <w:t xml:space="preserve"> </w:t>
      </w:r>
      <w:r>
        <w:rPr>
          <w:spacing w:val="-1"/>
        </w:rPr>
        <w:t>exceeds</w:t>
      </w:r>
      <w:r>
        <w:t xml:space="preserve"> $2 million ($2012-13) in the </w:t>
      </w:r>
      <w:r>
        <w:rPr>
          <w:spacing w:val="-1"/>
        </w:rPr>
        <w:t>year</w:t>
      </w:r>
      <w:r>
        <w:t xml:space="preserve"> for which the </w:t>
      </w:r>
      <w:r>
        <w:rPr>
          <w:spacing w:val="-1"/>
        </w:rPr>
        <w:t>pass-through</w:t>
      </w:r>
      <w:r>
        <w:t xml:space="preserve"> is sought.</w:t>
      </w:r>
    </w:p>
    <w:p w:rsidR="00D96B91" w:rsidRDefault="00D96B91">
      <w:pPr>
        <w:spacing w:before="9"/>
        <w:rPr>
          <w:rFonts w:ascii="Avenir Next" w:eastAsia="Avenir Next" w:hAnsi="Avenir Next" w:cs="Avenir Next"/>
          <w:sz w:val="29"/>
          <w:szCs w:val="29"/>
        </w:rPr>
      </w:pPr>
    </w:p>
    <w:p w:rsidR="00D96B91" w:rsidRDefault="00C2656B">
      <w:pPr>
        <w:ind w:left="1247"/>
        <w:rPr>
          <w:rFonts w:ascii="Avenir Next" w:eastAsia="Avenir Next" w:hAnsi="Avenir Next" w:cs="Avenir Next"/>
          <w:sz w:val="30"/>
          <w:szCs w:val="30"/>
        </w:rPr>
      </w:pPr>
      <w:r>
        <w:rPr>
          <w:rFonts w:ascii="Avenir Next Medium"/>
          <w:color w:val="0778BE"/>
          <w:sz w:val="30"/>
        </w:rPr>
        <w:t>A12.</w:t>
      </w:r>
      <w:r>
        <w:rPr>
          <w:rFonts w:ascii="Avenir Next Medium"/>
          <w:color w:val="0778BE"/>
          <w:spacing w:val="-9"/>
          <w:sz w:val="30"/>
        </w:rPr>
        <w:t xml:space="preserve"> </w:t>
      </w:r>
      <w:r>
        <w:rPr>
          <w:rFonts w:ascii="Avenir Next Medium"/>
          <w:color w:val="0778BE"/>
          <w:sz w:val="30"/>
        </w:rPr>
        <w:t>1</w:t>
      </w:r>
      <w:r>
        <w:rPr>
          <w:rFonts w:ascii="Avenir Next Medium"/>
          <w:color w:val="0778BE"/>
          <w:spacing w:val="52"/>
          <w:sz w:val="30"/>
        </w:rPr>
        <w:t xml:space="preserve"> </w:t>
      </w:r>
      <w:r>
        <w:rPr>
          <w:rFonts w:ascii="Avenir Next"/>
          <w:b/>
          <w:color w:val="0778BE"/>
          <w:sz w:val="30"/>
        </w:rPr>
        <w:t xml:space="preserve">Eligible </w:t>
      </w:r>
      <w:r>
        <w:rPr>
          <w:rFonts w:ascii="Avenir Next"/>
          <w:b/>
          <w:color w:val="0778BE"/>
          <w:spacing w:val="-1"/>
          <w:sz w:val="30"/>
        </w:rPr>
        <w:t>pass-through</w:t>
      </w:r>
      <w:r>
        <w:rPr>
          <w:rFonts w:ascii="Avenir Next"/>
          <w:b/>
          <w:color w:val="0778BE"/>
          <w:sz w:val="30"/>
        </w:rPr>
        <w:t xml:space="preserve"> amount</w:t>
      </w:r>
    </w:p>
    <w:p w:rsidR="00D96B91" w:rsidRDefault="00C2656B">
      <w:pPr>
        <w:pStyle w:val="BodyText"/>
        <w:spacing w:before="55" w:line="260" w:lineRule="exact"/>
        <w:ind w:right="1283"/>
        <w:rPr>
          <w:rFonts w:cs="Avenir Next"/>
        </w:rPr>
      </w:pPr>
      <w:r>
        <w:rPr>
          <w:spacing w:val="-2"/>
        </w:rPr>
        <w:t>The</w:t>
      </w:r>
      <w:r>
        <w:t xml:space="preserve"> amount in </w:t>
      </w:r>
      <w:r>
        <w:rPr>
          <w:spacing w:val="-1"/>
        </w:rPr>
        <w:t>respect</w:t>
      </w:r>
      <w:r>
        <w:t xml:space="preserve"> of</w:t>
      </w:r>
      <w:r>
        <w:rPr>
          <w:spacing w:val="4"/>
        </w:rPr>
        <w:t xml:space="preserve"> </w:t>
      </w:r>
      <w:r>
        <w:t xml:space="preserve">a </w:t>
      </w:r>
      <w:r>
        <w:rPr>
          <w:spacing w:val="-1"/>
        </w:rPr>
        <w:t>pass-through</w:t>
      </w:r>
      <w:r>
        <w:t xml:space="preserve"> event which</w:t>
      </w:r>
      <w:r>
        <w:rPr>
          <w:spacing w:val="-4"/>
        </w:rPr>
        <w:t xml:space="preserve"> </w:t>
      </w:r>
      <w:r>
        <w:rPr>
          <w:spacing w:val="-2"/>
        </w:rPr>
        <w:t>ACTEW</w:t>
      </w:r>
      <w:r>
        <w:rPr>
          <w:spacing w:val="-3"/>
        </w:rPr>
        <w:t xml:space="preserve"> </w:t>
      </w:r>
      <w:r>
        <w:t xml:space="preserve">is allowed or </w:t>
      </w:r>
      <w:r>
        <w:rPr>
          <w:spacing w:val="-1"/>
        </w:rPr>
        <w:t>required</w:t>
      </w:r>
      <w:r>
        <w:t xml:space="preserve"> to </w:t>
      </w:r>
      <w:r>
        <w:rPr>
          <w:spacing w:val="-1"/>
        </w:rPr>
        <w:t>pass-through</w:t>
      </w:r>
      <w:r>
        <w:t xml:space="preserve"> to</w:t>
      </w:r>
      <w:r>
        <w:rPr>
          <w:spacing w:val="51"/>
        </w:rPr>
        <w:t xml:space="preserve"> </w:t>
      </w:r>
      <w:r>
        <w:t xml:space="preserve">customers in a </w:t>
      </w:r>
      <w:r>
        <w:rPr>
          <w:spacing w:val="-1"/>
        </w:rPr>
        <w:t>regulatory</w:t>
      </w:r>
      <w:r>
        <w:t xml:space="preserve"> </w:t>
      </w:r>
      <w:r>
        <w:rPr>
          <w:spacing w:val="-1"/>
        </w:rPr>
        <w:t>year</w:t>
      </w:r>
      <w:r>
        <w:t xml:space="preserve"> must:</w:t>
      </w:r>
    </w:p>
    <w:p w:rsidR="00D96B91" w:rsidRDefault="00C2656B">
      <w:pPr>
        <w:pStyle w:val="BodyText"/>
        <w:numPr>
          <w:ilvl w:val="0"/>
          <w:numId w:val="9"/>
        </w:numPr>
        <w:tabs>
          <w:tab w:val="left" w:pos="1588"/>
        </w:tabs>
        <w:spacing w:before="170" w:line="260" w:lineRule="exact"/>
        <w:ind w:right="1345" w:hanging="340"/>
      </w:pPr>
      <w:r>
        <w:t xml:space="preserve">be equal to the </w:t>
      </w:r>
      <w:r>
        <w:rPr>
          <w:spacing w:val="-1"/>
        </w:rPr>
        <w:t>increase</w:t>
      </w:r>
      <w:r>
        <w:t xml:space="preserve"> (or </w:t>
      </w:r>
      <w:r>
        <w:rPr>
          <w:spacing w:val="-1"/>
        </w:rPr>
        <w:t>decrease)</w:t>
      </w:r>
      <w:r>
        <w:t xml:space="preserve"> in costs in the </w:t>
      </w:r>
      <w:r>
        <w:rPr>
          <w:spacing w:val="-1"/>
        </w:rPr>
        <w:t>provision</w:t>
      </w:r>
      <w:r>
        <w:t xml:space="preserve"> of</w:t>
      </w:r>
      <w:r>
        <w:rPr>
          <w:spacing w:val="4"/>
        </w:rPr>
        <w:t xml:space="preserve"> </w:t>
      </w:r>
      <w:r>
        <w:rPr>
          <w:spacing w:val="-1"/>
        </w:rPr>
        <w:t>regulated</w:t>
      </w:r>
      <w:r>
        <w:t xml:space="preserve"> services </w:t>
      </w:r>
      <w:r>
        <w:rPr>
          <w:spacing w:val="-1"/>
        </w:rPr>
        <w:t>that,</w:t>
      </w:r>
      <w:r>
        <w:rPr>
          <w:spacing w:val="-6"/>
        </w:rPr>
        <w:t xml:space="preserve"> </w:t>
      </w:r>
      <w:r>
        <w:t xml:space="preserve">as a </w:t>
      </w:r>
      <w:r>
        <w:rPr>
          <w:spacing w:val="-1"/>
        </w:rPr>
        <w:t>result</w:t>
      </w:r>
      <w:r>
        <w:rPr>
          <w:spacing w:val="35"/>
        </w:rPr>
        <w:t xml:space="preserve"> </w:t>
      </w:r>
      <w:r>
        <w:t>of</w:t>
      </w:r>
      <w:r>
        <w:rPr>
          <w:spacing w:val="4"/>
        </w:rPr>
        <w:t xml:space="preserve"> </w:t>
      </w:r>
      <w:r>
        <w:rPr>
          <w:spacing w:val="-1"/>
        </w:rPr>
        <w:t>that</w:t>
      </w:r>
      <w:r>
        <w:t xml:space="preserve"> </w:t>
      </w:r>
      <w:r>
        <w:rPr>
          <w:spacing w:val="-1"/>
        </w:rPr>
        <w:t>pass-through</w:t>
      </w:r>
      <w:r>
        <w:t xml:space="preserve"> event,</w:t>
      </w:r>
      <w:r>
        <w:rPr>
          <w:spacing w:val="-10"/>
        </w:rPr>
        <w:t xml:space="preserve"> </w:t>
      </w:r>
      <w:r>
        <w:rPr>
          <w:spacing w:val="-2"/>
        </w:rPr>
        <w:t>ACTEW</w:t>
      </w:r>
      <w:r>
        <w:rPr>
          <w:spacing w:val="-3"/>
        </w:rPr>
        <w:t xml:space="preserve"> </w:t>
      </w:r>
      <w:r>
        <w:t xml:space="preserve">has </w:t>
      </w:r>
      <w:r>
        <w:rPr>
          <w:spacing w:val="-1"/>
        </w:rPr>
        <w:t>incurred</w:t>
      </w:r>
      <w:r>
        <w:t xml:space="preserve"> or is </w:t>
      </w:r>
      <w:r>
        <w:rPr>
          <w:spacing w:val="-1"/>
        </w:rPr>
        <w:t>likely</w:t>
      </w:r>
      <w:r>
        <w:t xml:space="preserve"> to incur until the end of</w:t>
      </w:r>
      <w:r>
        <w:rPr>
          <w:spacing w:val="4"/>
        </w:rPr>
        <w:t xml:space="preserve"> </w:t>
      </w:r>
      <w:r>
        <w:t xml:space="preserve">the </w:t>
      </w:r>
      <w:r>
        <w:rPr>
          <w:spacing w:val="-1"/>
        </w:rPr>
        <w:t>regulatory</w:t>
      </w:r>
      <w:r>
        <w:rPr>
          <w:spacing w:val="49"/>
        </w:rPr>
        <w:t xml:space="preserve"> </w:t>
      </w:r>
      <w:r>
        <w:rPr>
          <w:spacing w:val="-1"/>
        </w:rPr>
        <w:t>year</w:t>
      </w:r>
      <w:r>
        <w:t xml:space="preserve"> for which the </w:t>
      </w:r>
      <w:r>
        <w:rPr>
          <w:spacing w:val="-1"/>
        </w:rPr>
        <w:t>pass-through</w:t>
      </w:r>
      <w:r>
        <w:t xml:space="preserve"> is sought;</w:t>
      </w:r>
    </w:p>
    <w:p w:rsidR="00D96B91" w:rsidRDefault="00C2656B">
      <w:pPr>
        <w:pStyle w:val="BodyText"/>
        <w:numPr>
          <w:ilvl w:val="0"/>
          <w:numId w:val="9"/>
        </w:numPr>
        <w:tabs>
          <w:tab w:val="left" w:pos="1588"/>
        </w:tabs>
        <w:spacing w:before="85" w:line="260" w:lineRule="exact"/>
        <w:ind w:right="1947" w:hanging="340"/>
      </w:pPr>
      <w:r>
        <w:rPr>
          <w:spacing w:val="-1"/>
        </w:rPr>
        <w:t>exclude</w:t>
      </w:r>
      <w:r>
        <w:t xml:space="preserve"> any amount in </w:t>
      </w:r>
      <w:r>
        <w:rPr>
          <w:spacing w:val="-1"/>
        </w:rPr>
        <w:t>respect</w:t>
      </w:r>
      <w:r>
        <w:t xml:space="preserve"> of</w:t>
      </w:r>
      <w:r>
        <w:rPr>
          <w:spacing w:val="4"/>
        </w:rPr>
        <w:t xml:space="preserve"> </w:t>
      </w:r>
      <w:r>
        <w:t xml:space="preserve">the </w:t>
      </w:r>
      <w:r>
        <w:rPr>
          <w:spacing w:val="-1"/>
        </w:rPr>
        <w:t>pass-through</w:t>
      </w:r>
      <w:r>
        <w:t xml:space="preserve"> event which has been </w:t>
      </w:r>
      <w:r>
        <w:rPr>
          <w:spacing w:val="-1"/>
        </w:rPr>
        <w:t>passed-through</w:t>
      </w:r>
      <w:r>
        <w:t xml:space="preserve"> to</w:t>
      </w:r>
      <w:r>
        <w:rPr>
          <w:spacing w:val="49"/>
        </w:rPr>
        <w:t xml:space="preserve"> </w:t>
      </w:r>
      <w:r>
        <w:t xml:space="preserve">customers in a </w:t>
      </w:r>
      <w:r>
        <w:rPr>
          <w:spacing w:val="-1"/>
        </w:rPr>
        <w:t>previous</w:t>
      </w:r>
      <w:r>
        <w:t xml:space="preserve"> </w:t>
      </w:r>
      <w:r>
        <w:rPr>
          <w:spacing w:val="-1"/>
        </w:rPr>
        <w:t>regulatory</w:t>
      </w:r>
      <w:r>
        <w:t xml:space="preserve"> </w:t>
      </w:r>
      <w:r>
        <w:rPr>
          <w:spacing w:val="-1"/>
        </w:rPr>
        <w:t>year</w:t>
      </w:r>
      <w:r>
        <w:t xml:space="preserve"> within this </w:t>
      </w:r>
      <w:r>
        <w:rPr>
          <w:spacing w:val="-1"/>
        </w:rPr>
        <w:t>regulatory</w:t>
      </w:r>
      <w:r>
        <w:t xml:space="preserve"> period;</w:t>
      </w:r>
    </w:p>
    <w:p w:rsidR="00D96B91" w:rsidRDefault="00C2656B">
      <w:pPr>
        <w:pStyle w:val="BodyText"/>
        <w:numPr>
          <w:ilvl w:val="0"/>
          <w:numId w:val="9"/>
        </w:numPr>
        <w:tabs>
          <w:tab w:val="left" w:pos="1588"/>
        </w:tabs>
        <w:spacing w:before="85" w:line="260" w:lineRule="exact"/>
        <w:ind w:right="1732" w:hanging="340"/>
      </w:pPr>
      <w:r>
        <w:rPr>
          <w:spacing w:val="-1"/>
        </w:rPr>
        <w:t>exclude</w:t>
      </w:r>
      <w:r>
        <w:t xml:space="preserve"> any amount in </w:t>
      </w:r>
      <w:r>
        <w:rPr>
          <w:spacing w:val="-1"/>
        </w:rPr>
        <w:t>respect</w:t>
      </w:r>
      <w:r>
        <w:t xml:space="preserve"> of</w:t>
      </w:r>
      <w:r>
        <w:rPr>
          <w:spacing w:val="4"/>
        </w:rPr>
        <w:t xml:space="preserve"> </w:t>
      </w:r>
      <w:r>
        <w:t xml:space="preserve">the </w:t>
      </w:r>
      <w:r>
        <w:rPr>
          <w:spacing w:val="-1"/>
        </w:rPr>
        <w:t>pass-through</w:t>
      </w:r>
      <w:r>
        <w:t xml:space="preserve"> event which</w:t>
      </w:r>
      <w:r>
        <w:rPr>
          <w:spacing w:val="-4"/>
        </w:rPr>
        <w:t xml:space="preserve"> </w:t>
      </w:r>
      <w:r>
        <w:rPr>
          <w:spacing w:val="-2"/>
        </w:rPr>
        <w:t>ACTEW</w:t>
      </w:r>
      <w:r>
        <w:rPr>
          <w:spacing w:val="-3"/>
        </w:rPr>
        <w:t xml:space="preserve"> </w:t>
      </w:r>
      <w:r>
        <w:rPr>
          <w:spacing w:val="-1"/>
        </w:rPr>
        <w:t>incurred</w:t>
      </w:r>
      <w:r>
        <w:t xml:space="preserve"> </w:t>
      </w:r>
      <w:r>
        <w:rPr>
          <w:spacing w:val="-1"/>
        </w:rPr>
        <w:t>more</w:t>
      </w:r>
      <w:r>
        <w:t xml:space="preserve"> than 12</w:t>
      </w:r>
      <w:r>
        <w:rPr>
          <w:spacing w:val="45"/>
        </w:rPr>
        <w:t xml:space="preserve"> </w:t>
      </w:r>
      <w:r>
        <w:t xml:space="preserve">months </w:t>
      </w:r>
      <w:r>
        <w:rPr>
          <w:spacing w:val="-1"/>
        </w:rPr>
        <w:t>before</w:t>
      </w:r>
      <w:r>
        <w:t xml:space="preserve"> the commencement of</w:t>
      </w:r>
      <w:r>
        <w:rPr>
          <w:spacing w:val="4"/>
        </w:rPr>
        <w:t xml:space="preserve"> </w:t>
      </w:r>
      <w:r>
        <w:t xml:space="preserve">the </w:t>
      </w:r>
      <w:r>
        <w:rPr>
          <w:spacing w:val="-1"/>
        </w:rPr>
        <w:t>year</w:t>
      </w:r>
      <w:r>
        <w:t xml:space="preserve"> for which the </w:t>
      </w:r>
      <w:r>
        <w:rPr>
          <w:spacing w:val="-1"/>
        </w:rPr>
        <w:t>pass-through</w:t>
      </w:r>
      <w:r>
        <w:t xml:space="preserve"> is sought.</w:t>
      </w:r>
    </w:p>
    <w:p w:rsidR="00D96B91" w:rsidRDefault="00D96B91">
      <w:pPr>
        <w:spacing w:before="10"/>
        <w:rPr>
          <w:rFonts w:ascii="Avenir Next" w:eastAsia="Avenir Next" w:hAnsi="Avenir Next" w:cs="Avenir Next"/>
          <w:sz w:val="15"/>
          <w:szCs w:val="15"/>
        </w:rPr>
      </w:pPr>
    </w:p>
    <w:p w:rsidR="00D96B91" w:rsidRDefault="00C2656B">
      <w:pPr>
        <w:pStyle w:val="Heading2"/>
        <w:tabs>
          <w:tab w:val="left" w:pos="1813"/>
        </w:tabs>
        <w:ind w:left="1247" w:firstLine="0"/>
        <w:rPr>
          <w:b w:val="0"/>
          <w:bCs w:val="0"/>
        </w:rPr>
      </w:pPr>
      <w:r>
        <w:rPr>
          <w:color w:val="0778BE"/>
        </w:rPr>
        <w:t>9.</w:t>
      </w:r>
      <w:r>
        <w:rPr>
          <w:color w:val="0778BE"/>
        </w:rPr>
        <w:tab/>
      </w:r>
      <w:r>
        <w:rPr>
          <w:color w:val="0778BE"/>
          <w:spacing w:val="-4"/>
        </w:rPr>
        <w:t>Price</w:t>
      </w:r>
      <w:r>
        <w:rPr>
          <w:color w:val="0778BE"/>
        </w:rPr>
        <w:t xml:space="preserve"> adjustment </w:t>
      </w:r>
      <w:r>
        <w:rPr>
          <w:color w:val="0778BE"/>
          <w:spacing w:val="-1"/>
        </w:rPr>
        <w:t>process</w:t>
      </w:r>
    </w:p>
    <w:p w:rsidR="00D96B91" w:rsidRDefault="00D96B91">
      <w:pPr>
        <w:spacing w:before="7"/>
        <w:rPr>
          <w:rFonts w:ascii="Avenir Next" w:eastAsia="Avenir Next" w:hAnsi="Avenir Next" w:cs="Avenir Next"/>
          <w:b/>
          <w:bCs/>
          <w:sz w:val="28"/>
          <w:szCs w:val="28"/>
        </w:rPr>
      </w:pPr>
    </w:p>
    <w:p w:rsidR="00D96B91" w:rsidRDefault="00C2656B">
      <w:pPr>
        <w:pStyle w:val="Heading3"/>
        <w:rPr>
          <w:b w:val="0"/>
          <w:bCs w:val="0"/>
        </w:rPr>
      </w:pPr>
      <w:r>
        <w:rPr>
          <w:color w:val="0778BE"/>
        </w:rPr>
        <w:t>9.</w:t>
      </w:r>
      <w:r>
        <w:rPr>
          <w:color w:val="0778BE"/>
          <w:spacing w:val="-9"/>
        </w:rPr>
        <w:t xml:space="preserve"> </w:t>
      </w:r>
      <w:r>
        <w:rPr>
          <w:color w:val="0778BE"/>
        </w:rPr>
        <w:t>1.</w:t>
      </w:r>
      <w:r>
        <w:rPr>
          <w:color w:val="0778BE"/>
          <w:spacing w:val="74"/>
        </w:rPr>
        <w:t xml:space="preserve"> </w:t>
      </w:r>
      <w:r>
        <w:rPr>
          <w:color w:val="0778BE"/>
        </w:rPr>
        <w:t xml:space="preserve">CPI </w:t>
      </w:r>
      <w:bookmarkStart w:id="293" w:name="_bookmark176"/>
      <w:bookmarkEnd w:id="293"/>
      <w:r>
        <w:rPr>
          <w:color w:val="0778BE"/>
        </w:rPr>
        <w:t>adjustment</w:t>
      </w:r>
    </w:p>
    <w:p w:rsidR="00D96B91" w:rsidRDefault="00C2656B">
      <w:pPr>
        <w:pStyle w:val="BodyText"/>
        <w:spacing w:before="55" w:line="260" w:lineRule="exact"/>
        <w:ind w:right="1283"/>
      </w:pPr>
      <w:r>
        <w:rPr>
          <w:spacing w:val="-2"/>
        </w:rPr>
        <w:t>The</w:t>
      </w:r>
      <w:r>
        <w:t xml:space="preserve"> </w:t>
      </w:r>
      <w:r>
        <w:rPr>
          <w:spacing w:val="-1"/>
        </w:rPr>
        <w:t>Commission</w:t>
      </w:r>
      <w:r>
        <w:t xml:space="preserve"> will adjust the maximum prices for </w:t>
      </w:r>
      <w:r>
        <w:rPr>
          <w:spacing w:val="-1"/>
        </w:rPr>
        <w:t>regulated</w:t>
      </w:r>
      <w:r>
        <w:t xml:space="preserve"> </w:t>
      </w:r>
      <w:r>
        <w:rPr>
          <w:spacing w:val="-2"/>
        </w:rPr>
        <w:t>water,</w:t>
      </w:r>
      <w:r>
        <w:rPr>
          <w:spacing w:val="-6"/>
        </w:rPr>
        <w:t xml:space="preserve"> </w:t>
      </w:r>
      <w:r>
        <w:rPr>
          <w:spacing w:val="-1"/>
        </w:rPr>
        <w:t>sewerage</w:t>
      </w:r>
      <w:r>
        <w:t xml:space="preserve"> and miscellaneous</w:t>
      </w:r>
      <w:r>
        <w:rPr>
          <w:spacing w:val="35"/>
        </w:rPr>
        <w:t xml:space="preserve"> </w:t>
      </w:r>
      <w:r>
        <w:t xml:space="preserve">services for </w:t>
      </w:r>
      <w:r>
        <w:rPr>
          <w:spacing w:val="-1"/>
        </w:rPr>
        <w:t>each</w:t>
      </w:r>
      <w:r>
        <w:t xml:space="preserve"> </w:t>
      </w:r>
      <w:r>
        <w:rPr>
          <w:spacing w:val="-1"/>
        </w:rPr>
        <w:t>regulatory</w:t>
      </w:r>
      <w:r>
        <w:t xml:space="preserve"> </w:t>
      </w:r>
      <w:r>
        <w:rPr>
          <w:spacing w:val="-1"/>
        </w:rPr>
        <w:t>year</w:t>
      </w:r>
      <w:r>
        <w:t xml:space="preserve"> on the basis set out in clauses </w:t>
      </w:r>
      <w:hyperlink w:anchor="_bookmark161" w:history="1">
        <w:r>
          <w:t>6</w:t>
        </w:r>
      </w:hyperlink>
      <w:r>
        <w:t xml:space="preserve"> and </w:t>
      </w:r>
      <w:hyperlink w:anchor="_bookmark167" w:history="1">
        <w:r>
          <w:t>7</w:t>
        </w:r>
      </w:hyperlink>
      <w:r>
        <w:t xml:space="preserve"> and </w:t>
      </w:r>
      <w:r>
        <w:rPr>
          <w:spacing w:val="-1"/>
        </w:rPr>
        <w:t>provide</w:t>
      </w:r>
      <w:r>
        <w:rPr>
          <w:spacing w:val="-4"/>
        </w:rPr>
        <w:t xml:space="preserve"> </w:t>
      </w:r>
      <w:r>
        <w:rPr>
          <w:spacing w:val="-2"/>
        </w:rPr>
        <w:t>ACTEW</w:t>
      </w:r>
      <w:r>
        <w:rPr>
          <w:spacing w:val="-3"/>
        </w:rPr>
        <w:t xml:space="preserve"> </w:t>
      </w:r>
      <w:r>
        <w:t>with notice</w:t>
      </w:r>
      <w:r>
        <w:rPr>
          <w:spacing w:val="31"/>
        </w:rPr>
        <w:t xml:space="preserve"> </w:t>
      </w:r>
      <w:r>
        <w:t>of</w:t>
      </w:r>
      <w:r>
        <w:rPr>
          <w:spacing w:val="4"/>
        </w:rPr>
        <w:t xml:space="preserve"> </w:t>
      </w:r>
      <w:r>
        <w:t xml:space="preserve">the adjusted prices on or </w:t>
      </w:r>
      <w:r>
        <w:rPr>
          <w:spacing w:val="-1"/>
        </w:rPr>
        <w:t>before</w:t>
      </w:r>
      <w:r>
        <w:t xml:space="preserve"> 1</w:t>
      </w:r>
      <w:r>
        <w:rPr>
          <w:spacing w:val="-3"/>
        </w:rPr>
        <w:t xml:space="preserve"> </w:t>
      </w:r>
      <w:r>
        <w:t xml:space="preserve">June </w:t>
      </w:r>
      <w:r>
        <w:rPr>
          <w:spacing w:val="-1"/>
        </w:rPr>
        <w:t>each</w:t>
      </w:r>
      <w:r>
        <w:t xml:space="preserve"> </w:t>
      </w:r>
      <w:r>
        <w:rPr>
          <w:spacing w:val="-3"/>
        </w:rPr>
        <w:t>year.</w:t>
      </w:r>
    </w:p>
    <w:p w:rsidR="00D96B91" w:rsidRDefault="00D96B91">
      <w:pPr>
        <w:spacing w:line="260" w:lineRule="exact"/>
        <w:sectPr w:rsidR="00D96B91">
          <w:pgSz w:w="11910" w:h="16840"/>
          <w:pgMar w:top="1200" w:right="0" w:bottom="1020" w:left="0" w:header="0" w:footer="829" w:gutter="0"/>
          <w:cols w:space="720"/>
        </w:sectPr>
      </w:pPr>
    </w:p>
    <w:p w:rsidR="00D96B91" w:rsidRDefault="00C2656B">
      <w:pPr>
        <w:pStyle w:val="BodyText"/>
        <w:spacing w:before="21" w:line="260" w:lineRule="exact"/>
        <w:ind w:right="1256"/>
      </w:pPr>
      <w:bookmarkStart w:id="294" w:name="9._2._Recovery_of_pass-through_amounts"/>
      <w:bookmarkStart w:id="295" w:name="9._3._Commission_consideration_"/>
      <w:bookmarkStart w:id="296" w:name="9._4._ACTEW_resubmission_"/>
      <w:bookmarkStart w:id="297" w:name="9._5._Commission_may_initiate_pass-throu"/>
      <w:bookmarkStart w:id="298" w:name="_bookmark177"/>
      <w:bookmarkEnd w:id="294"/>
      <w:bookmarkEnd w:id="295"/>
      <w:bookmarkEnd w:id="296"/>
      <w:bookmarkEnd w:id="297"/>
      <w:bookmarkEnd w:id="298"/>
      <w:r>
        <w:rPr>
          <w:spacing w:val="-2"/>
        </w:rPr>
        <w:t>The</w:t>
      </w:r>
      <w:r>
        <w:t xml:space="preserve"> </w:t>
      </w:r>
      <w:r>
        <w:rPr>
          <w:spacing w:val="-1"/>
        </w:rPr>
        <w:t>Commission</w:t>
      </w:r>
      <w:r>
        <w:t xml:space="preserve"> will </w:t>
      </w:r>
      <w:r>
        <w:rPr>
          <w:spacing w:val="-1"/>
        </w:rPr>
        <w:t>provide</w:t>
      </w:r>
      <w:r>
        <w:rPr>
          <w:spacing w:val="-4"/>
        </w:rPr>
        <w:t xml:space="preserve"> </w:t>
      </w:r>
      <w:r>
        <w:rPr>
          <w:spacing w:val="-2"/>
        </w:rPr>
        <w:t>ACTEW</w:t>
      </w:r>
      <w:r>
        <w:rPr>
          <w:spacing w:val="-3"/>
        </w:rPr>
        <w:t xml:space="preserve"> </w:t>
      </w:r>
      <w:r>
        <w:t>with details of</w:t>
      </w:r>
      <w:r>
        <w:rPr>
          <w:spacing w:val="4"/>
        </w:rPr>
        <w:t xml:space="preserve"> </w:t>
      </w:r>
      <w:r>
        <w:t xml:space="preserve">its </w:t>
      </w:r>
      <w:r>
        <w:rPr>
          <w:spacing w:val="-1"/>
        </w:rPr>
        <w:t>calculations</w:t>
      </w:r>
      <w:r>
        <w:t xml:space="preserve"> of</w:t>
      </w:r>
      <w:r>
        <w:rPr>
          <w:spacing w:val="4"/>
        </w:rPr>
        <w:t xml:space="preserve"> </w:t>
      </w:r>
      <w:r>
        <w:t>the adjusted prices,</w:t>
      </w:r>
      <w:r>
        <w:rPr>
          <w:spacing w:val="-6"/>
        </w:rPr>
        <w:t xml:space="preserve"> </w:t>
      </w:r>
      <w:r>
        <w:t>including the</w:t>
      </w:r>
      <w:r>
        <w:rPr>
          <w:spacing w:val="53"/>
        </w:rPr>
        <w:t xml:space="preserve"> </w:t>
      </w:r>
      <w:r>
        <w:t>values of</w:t>
      </w:r>
      <w:r>
        <w:rPr>
          <w:spacing w:val="4"/>
        </w:rPr>
        <w:t xml:space="preserve"> </w:t>
      </w:r>
      <w:r>
        <w:t xml:space="preserve">CPI used in the </w:t>
      </w:r>
      <w:r>
        <w:rPr>
          <w:spacing w:val="-1"/>
        </w:rPr>
        <w:t>calculations.</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2.</w:t>
      </w:r>
      <w:r>
        <w:rPr>
          <w:color w:val="0778BE"/>
          <w:spacing w:val="74"/>
        </w:rPr>
        <w:t xml:space="preserve"> </w:t>
      </w:r>
      <w:r>
        <w:rPr>
          <w:color w:val="0778BE"/>
          <w:spacing w:val="-1"/>
        </w:rPr>
        <w:t>R</w:t>
      </w:r>
      <w:bookmarkStart w:id="299" w:name="_bookmark178"/>
      <w:bookmarkEnd w:id="299"/>
      <w:r>
        <w:rPr>
          <w:color w:val="0778BE"/>
          <w:spacing w:val="-1"/>
        </w:rPr>
        <w:t>ecovery</w:t>
      </w:r>
      <w:r>
        <w:rPr>
          <w:color w:val="0778BE"/>
        </w:rPr>
        <w:t xml:space="preserve"> of</w:t>
      </w:r>
      <w:r>
        <w:rPr>
          <w:color w:val="0778BE"/>
          <w:spacing w:val="7"/>
        </w:rPr>
        <w:t xml:space="preserve"> </w:t>
      </w:r>
      <w:r>
        <w:rPr>
          <w:color w:val="0778BE"/>
          <w:spacing w:val="-1"/>
        </w:rPr>
        <w:t>pass-through</w:t>
      </w:r>
      <w:r>
        <w:rPr>
          <w:color w:val="0778BE"/>
        </w:rPr>
        <w:t xml:space="preserve"> amounts</w:t>
      </w:r>
    </w:p>
    <w:p w:rsidR="00D96B91" w:rsidRDefault="00C2656B">
      <w:pPr>
        <w:pStyle w:val="BodyText"/>
        <w:spacing w:before="55" w:line="260" w:lineRule="exact"/>
        <w:ind w:right="1326"/>
      </w:pPr>
      <w:r>
        <w:t>If</w:t>
      </w:r>
      <w:r>
        <w:rPr>
          <w:spacing w:val="4"/>
        </w:rPr>
        <w:t xml:space="preserve"> </w:t>
      </w:r>
      <w:r>
        <w:t xml:space="preserve">a </w:t>
      </w:r>
      <w:r>
        <w:rPr>
          <w:spacing w:val="-1"/>
        </w:rPr>
        <w:t>pass-through</w:t>
      </w:r>
      <w:r>
        <w:t xml:space="preserve"> event occurs in a </w:t>
      </w:r>
      <w:r>
        <w:rPr>
          <w:spacing w:val="-1"/>
        </w:rPr>
        <w:t>regulatory</w:t>
      </w:r>
      <w:r>
        <w:t xml:space="preserve"> </w:t>
      </w:r>
      <w:r>
        <w:rPr>
          <w:spacing w:val="-1"/>
        </w:rPr>
        <w:t>year</w:t>
      </w:r>
      <w:r>
        <w:rPr>
          <w:spacing w:val="-4"/>
        </w:rPr>
        <w:t xml:space="preserve"> </w:t>
      </w:r>
      <w:r>
        <w:rPr>
          <w:spacing w:val="-2"/>
        </w:rPr>
        <w:t>ACTEW</w:t>
      </w:r>
      <w:r>
        <w:rPr>
          <w:spacing w:val="-3"/>
        </w:rPr>
        <w:t xml:space="preserve"> </w:t>
      </w:r>
      <w:r>
        <w:t xml:space="preserve">may seek to </w:t>
      </w:r>
      <w:r>
        <w:rPr>
          <w:spacing w:val="-1"/>
        </w:rPr>
        <w:t>incorporate</w:t>
      </w:r>
      <w:r>
        <w:t xml:space="preserve"> the </w:t>
      </w:r>
      <w:r>
        <w:rPr>
          <w:spacing w:val="-1"/>
        </w:rPr>
        <w:t>effect</w:t>
      </w:r>
      <w:r>
        <w:t xml:space="preserve"> of</w:t>
      </w:r>
      <w:r>
        <w:rPr>
          <w:spacing w:val="4"/>
        </w:rPr>
        <w:t xml:space="preserve"> </w:t>
      </w:r>
      <w:r>
        <w:t>the</w:t>
      </w:r>
      <w:r>
        <w:rPr>
          <w:spacing w:val="53"/>
        </w:rPr>
        <w:t xml:space="preserve"> </w:t>
      </w:r>
      <w:r>
        <w:rPr>
          <w:spacing w:val="-1"/>
        </w:rPr>
        <w:t>pass-through</w:t>
      </w:r>
      <w:r>
        <w:t xml:space="preserve"> event on</w:t>
      </w:r>
      <w:r>
        <w:rPr>
          <w:spacing w:val="-4"/>
        </w:rPr>
        <w:t xml:space="preserve"> </w:t>
      </w:r>
      <w:r>
        <w:rPr>
          <w:spacing w:val="-2"/>
        </w:rPr>
        <w:t>ACTEW’s</w:t>
      </w:r>
      <w:r>
        <w:t xml:space="preserve"> costs in its adjusted prices for the following </w:t>
      </w:r>
      <w:r>
        <w:rPr>
          <w:spacing w:val="-1"/>
        </w:rPr>
        <w:t>regulatory</w:t>
      </w:r>
      <w:r>
        <w:t xml:space="preserve"> </w:t>
      </w:r>
      <w:r>
        <w:rPr>
          <w:spacing w:val="-1"/>
        </w:rPr>
        <w:t>year</w:t>
      </w:r>
      <w:r>
        <w:t xml:space="preserve"> by making</w:t>
      </w:r>
      <w:r>
        <w:rPr>
          <w:spacing w:val="31"/>
        </w:rPr>
        <w:t xml:space="preserve"> </w:t>
      </w:r>
      <w:r>
        <w:t xml:space="preserve">a submission to the </w:t>
      </w:r>
      <w:r>
        <w:rPr>
          <w:spacing w:val="-1"/>
        </w:rPr>
        <w:t>Commission</w:t>
      </w:r>
      <w:r>
        <w:t xml:space="preserve"> on or </w:t>
      </w:r>
      <w:r>
        <w:rPr>
          <w:spacing w:val="-1"/>
        </w:rPr>
        <w:t>before</w:t>
      </w:r>
      <w:r>
        <w:t xml:space="preserve"> 1 </w:t>
      </w:r>
      <w:r>
        <w:rPr>
          <w:spacing w:val="-2"/>
        </w:rPr>
        <w:t>May.</w:t>
      </w:r>
      <w:r>
        <w:rPr>
          <w:spacing w:val="-10"/>
        </w:rPr>
        <w:t xml:space="preserve"> </w:t>
      </w:r>
      <w:r>
        <w:t>A</w:t>
      </w:r>
      <w:r>
        <w:rPr>
          <w:spacing w:val="-4"/>
        </w:rPr>
        <w:t xml:space="preserve"> </w:t>
      </w:r>
      <w:r>
        <w:t>submission must include:</w:t>
      </w:r>
    </w:p>
    <w:p w:rsidR="00D96B91" w:rsidRDefault="00C2656B">
      <w:pPr>
        <w:pStyle w:val="BodyText"/>
        <w:numPr>
          <w:ilvl w:val="0"/>
          <w:numId w:val="8"/>
        </w:numPr>
        <w:tabs>
          <w:tab w:val="left" w:pos="1588"/>
        </w:tabs>
        <w:spacing w:before="178"/>
        <w:ind w:hanging="340"/>
      </w:pPr>
      <w:r>
        <w:t>details of</w:t>
      </w:r>
      <w:r>
        <w:rPr>
          <w:spacing w:val="4"/>
        </w:rPr>
        <w:t xml:space="preserve"> </w:t>
      </w:r>
      <w:r>
        <w:t xml:space="preserve">the </w:t>
      </w:r>
      <w:r>
        <w:rPr>
          <w:spacing w:val="-1"/>
        </w:rPr>
        <w:t>pass-through</w:t>
      </w:r>
      <w:r>
        <w:t xml:space="preserve"> event;</w:t>
      </w:r>
    </w:p>
    <w:p w:rsidR="00D96B91" w:rsidRDefault="00C2656B">
      <w:pPr>
        <w:pStyle w:val="BodyText"/>
        <w:numPr>
          <w:ilvl w:val="0"/>
          <w:numId w:val="8"/>
        </w:numPr>
        <w:tabs>
          <w:tab w:val="left" w:pos="1588"/>
        </w:tabs>
        <w:spacing w:before="72"/>
        <w:ind w:hanging="340"/>
      </w:pPr>
      <w:r>
        <w:t xml:space="preserve">the </w:t>
      </w:r>
      <w:r>
        <w:rPr>
          <w:spacing w:val="-1"/>
        </w:rPr>
        <w:t>date</w:t>
      </w:r>
      <w:r>
        <w:t xml:space="preserve"> the </w:t>
      </w:r>
      <w:r>
        <w:rPr>
          <w:spacing w:val="-1"/>
        </w:rPr>
        <w:t>pass-through</w:t>
      </w:r>
      <w:r>
        <w:t xml:space="preserve"> event </w:t>
      </w:r>
      <w:r>
        <w:rPr>
          <w:spacing w:val="-1"/>
        </w:rPr>
        <w:t>occurred;</w:t>
      </w:r>
    </w:p>
    <w:p w:rsidR="00D96B91" w:rsidRDefault="00C2656B">
      <w:pPr>
        <w:pStyle w:val="BodyText"/>
        <w:numPr>
          <w:ilvl w:val="0"/>
          <w:numId w:val="8"/>
        </w:numPr>
        <w:tabs>
          <w:tab w:val="left" w:pos="1588"/>
        </w:tabs>
        <w:spacing w:before="64" w:line="260" w:lineRule="exact"/>
        <w:ind w:right="1693" w:hanging="340"/>
      </w:pPr>
      <w:r>
        <w:t>the</w:t>
      </w:r>
      <w:r>
        <w:rPr>
          <w:spacing w:val="-1"/>
        </w:rPr>
        <w:t xml:space="preserve"> estimated</w:t>
      </w:r>
      <w:r>
        <w:t xml:space="preserve"> financial</w:t>
      </w:r>
      <w:r>
        <w:rPr>
          <w:spacing w:val="-1"/>
        </w:rPr>
        <w:t xml:space="preserve"> </w:t>
      </w:r>
      <w:r>
        <w:t>impact</w:t>
      </w:r>
      <w:r>
        <w:rPr>
          <w:spacing w:val="-1"/>
        </w:rPr>
        <w:t xml:space="preserve"> </w:t>
      </w:r>
      <w:r>
        <w:t>of</w:t>
      </w:r>
      <w:r>
        <w:rPr>
          <w:spacing w:val="4"/>
        </w:rPr>
        <w:t xml:space="preserve"> </w:t>
      </w:r>
      <w:r>
        <w:t>the</w:t>
      </w:r>
      <w:r>
        <w:rPr>
          <w:spacing w:val="-1"/>
        </w:rPr>
        <w:t xml:space="preserve"> pass-through</w:t>
      </w:r>
      <w:r>
        <w:t xml:space="preserve"> event</w:t>
      </w:r>
      <w:r>
        <w:rPr>
          <w:spacing w:val="-1"/>
        </w:rPr>
        <w:t xml:space="preserve"> </w:t>
      </w:r>
      <w:r>
        <w:t>on</w:t>
      </w:r>
      <w:r>
        <w:rPr>
          <w:spacing w:val="-4"/>
        </w:rPr>
        <w:t xml:space="preserve"> </w:t>
      </w:r>
      <w:r>
        <w:rPr>
          <w:spacing w:val="-2"/>
        </w:rPr>
        <w:t>ACTEW</w:t>
      </w:r>
      <w:r>
        <w:rPr>
          <w:spacing w:val="-4"/>
        </w:rPr>
        <w:t xml:space="preserve"> </w:t>
      </w:r>
      <w:r>
        <w:t>and the</w:t>
      </w:r>
      <w:r>
        <w:rPr>
          <w:spacing w:val="-1"/>
        </w:rPr>
        <w:t xml:space="preserve"> </w:t>
      </w:r>
      <w:r>
        <w:t>basis on</w:t>
      </w:r>
      <w:r>
        <w:rPr>
          <w:spacing w:val="-1"/>
        </w:rPr>
        <w:t xml:space="preserve"> </w:t>
      </w:r>
      <w:r>
        <w:t>which the</w:t>
      </w:r>
      <w:r>
        <w:rPr>
          <w:spacing w:val="39"/>
        </w:rPr>
        <w:t xml:space="preserve"> </w:t>
      </w:r>
      <w:r>
        <w:t xml:space="preserve">impact has been </w:t>
      </w:r>
      <w:r>
        <w:rPr>
          <w:spacing w:val="-1"/>
        </w:rPr>
        <w:t>calculated;</w:t>
      </w:r>
      <w:r>
        <w:t xml:space="preserve"> and</w:t>
      </w:r>
    </w:p>
    <w:p w:rsidR="00D96B91" w:rsidRDefault="00C2656B">
      <w:pPr>
        <w:pStyle w:val="BodyText"/>
        <w:numPr>
          <w:ilvl w:val="0"/>
          <w:numId w:val="8"/>
        </w:numPr>
        <w:tabs>
          <w:tab w:val="left" w:pos="1588"/>
        </w:tabs>
        <w:spacing w:before="85" w:line="260" w:lineRule="exact"/>
        <w:ind w:right="1551" w:hanging="340"/>
      </w:pPr>
      <w:r>
        <w:t xml:space="preserve">the </w:t>
      </w:r>
      <w:r>
        <w:rPr>
          <w:spacing w:val="-1"/>
        </w:rPr>
        <w:t>pass-through</w:t>
      </w:r>
      <w:r>
        <w:t xml:space="preserve"> amount </w:t>
      </w:r>
      <w:r>
        <w:rPr>
          <w:spacing w:val="-1"/>
        </w:rPr>
        <w:t>proposed</w:t>
      </w:r>
      <w:r>
        <w:t xml:space="preserve"> by</w:t>
      </w:r>
      <w:r>
        <w:rPr>
          <w:spacing w:val="-4"/>
        </w:rPr>
        <w:t xml:space="preserve"> </w:t>
      </w:r>
      <w:r>
        <w:rPr>
          <w:spacing w:val="-2"/>
        </w:rPr>
        <w:t>ACTEW</w:t>
      </w:r>
      <w:r>
        <w:rPr>
          <w:spacing w:val="-3"/>
        </w:rPr>
        <w:t xml:space="preserve"> </w:t>
      </w:r>
      <w:r>
        <w:t xml:space="preserve">in </w:t>
      </w:r>
      <w:r>
        <w:rPr>
          <w:spacing w:val="-1"/>
        </w:rPr>
        <w:t>relation</w:t>
      </w:r>
      <w:r>
        <w:t xml:space="preserve"> to the </w:t>
      </w:r>
      <w:r>
        <w:rPr>
          <w:spacing w:val="-1"/>
        </w:rPr>
        <w:t>pass-through</w:t>
      </w:r>
      <w:r>
        <w:t xml:space="preserve"> event and which it</w:t>
      </w:r>
      <w:r>
        <w:rPr>
          <w:spacing w:val="53"/>
        </w:rPr>
        <w:t xml:space="preserve"> </w:t>
      </w:r>
      <w:r>
        <w:rPr>
          <w:spacing w:val="-1"/>
        </w:rPr>
        <w:t>proposes</w:t>
      </w:r>
      <w:r>
        <w:t xml:space="preserve"> be included in its adjusted prices for the </w:t>
      </w:r>
      <w:r>
        <w:rPr>
          <w:spacing w:val="-1"/>
        </w:rPr>
        <w:t>relevant</w:t>
      </w:r>
      <w:r>
        <w:t xml:space="preserve"> </w:t>
      </w:r>
      <w:r>
        <w:rPr>
          <w:spacing w:val="-1"/>
        </w:rPr>
        <w:t>regulatory</w:t>
      </w:r>
      <w:r>
        <w:t xml:space="preserve"> </w:t>
      </w:r>
      <w:r>
        <w:rPr>
          <w:spacing w:val="-3"/>
        </w:rPr>
        <w:t>year.</w:t>
      </w:r>
    </w:p>
    <w:p w:rsidR="00D96B91" w:rsidRDefault="00C2656B">
      <w:pPr>
        <w:pStyle w:val="BodyText"/>
        <w:spacing w:before="170" w:line="260" w:lineRule="exact"/>
        <w:ind w:right="1548"/>
      </w:pPr>
      <w:r>
        <w:rPr>
          <w:spacing w:val="-2"/>
        </w:rPr>
        <w:t>The</w:t>
      </w:r>
      <w:r>
        <w:rPr>
          <w:spacing w:val="-1"/>
        </w:rPr>
        <w:t xml:space="preserve"> Commission </w:t>
      </w:r>
      <w:r>
        <w:t>must</w:t>
      </w:r>
      <w:r>
        <w:rPr>
          <w:spacing w:val="-1"/>
        </w:rPr>
        <w:t xml:space="preserve"> </w:t>
      </w:r>
      <w:r>
        <w:t>decide whether</w:t>
      </w:r>
      <w:r>
        <w:rPr>
          <w:spacing w:val="-1"/>
        </w:rPr>
        <w:t xml:space="preserve"> </w:t>
      </w:r>
      <w:r>
        <w:t>the</w:t>
      </w:r>
      <w:r>
        <w:rPr>
          <w:spacing w:val="-1"/>
        </w:rPr>
        <w:t xml:space="preserve"> pass-through</w:t>
      </w:r>
      <w:r>
        <w:t xml:space="preserve"> event</w:t>
      </w:r>
      <w:r>
        <w:rPr>
          <w:spacing w:val="-1"/>
        </w:rPr>
        <w:t xml:space="preserve"> </w:t>
      </w:r>
      <w:r>
        <w:t>specified</w:t>
      </w:r>
      <w:r>
        <w:rPr>
          <w:spacing w:val="-1"/>
        </w:rPr>
        <w:t xml:space="preserve"> </w:t>
      </w:r>
      <w:r>
        <w:t>in the</w:t>
      </w:r>
      <w:r>
        <w:rPr>
          <w:spacing w:val="-1"/>
        </w:rPr>
        <w:t xml:space="preserve"> </w:t>
      </w:r>
      <w:r>
        <w:t>submission</w:t>
      </w:r>
      <w:r>
        <w:rPr>
          <w:spacing w:val="-1"/>
        </w:rPr>
        <w:t xml:space="preserve"> occurred</w:t>
      </w:r>
      <w:r>
        <w:rPr>
          <w:spacing w:val="43"/>
        </w:rPr>
        <w:t xml:space="preserve"> </w:t>
      </w:r>
      <w:r>
        <w:t xml:space="preserve">and complies with clause </w:t>
      </w:r>
      <w:hyperlink w:anchor="_bookmark169" w:history="1">
        <w:r>
          <w:t>8</w:t>
        </w:r>
      </w:hyperlink>
      <w:r>
        <w:t xml:space="preserve"> and whether it </w:t>
      </w:r>
      <w:r>
        <w:rPr>
          <w:spacing w:val="-1"/>
        </w:rPr>
        <w:t>approves</w:t>
      </w:r>
      <w:r>
        <w:t xml:space="preserve"> the </w:t>
      </w:r>
      <w:r>
        <w:rPr>
          <w:spacing w:val="-1"/>
        </w:rPr>
        <w:t>pass-through</w:t>
      </w:r>
      <w:r>
        <w:t xml:space="preserve"> amount </w:t>
      </w:r>
      <w:r>
        <w:rPr>
          <w:spacing w:val="-1"/>
        </w:rPr>
        <w:t>proposed</w:t>
      </w:r>
      <w:r>
        <w:t xml:space="preserve"> by</w:t>
      </w:r>
      <w:r>
        <w:rPr>
          <w:spacing w:val="-4"/>
        </w:rPr>
        <w:t xml:space="preserve"> ACTEW.</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3.</w:t>
      </w:r>
      <w:r>
        <w:rPr>
          <w:color w:val="0778BE"/>
          <w:spacing w:val="74"/>
        </w:rPr>
        <w:t xml:space="preserve"> </w:t>
      </w:r>
      <w:r>
        <w:rPr>
          <w:color w:val="0778BE"/>
          <w:spacing w:val="-1"/>
        </w:rPr>
        <w:t>C</w:t>
      </w:r>
      <w:bookmarkStart w:id="300" w:name="_bookmark179"/>
      <w:bookmarkEnd w:id="300"/>
      <w:r>
        <w:rPr>
          <w:color w:val="0778BE"/>
          <w:spacing w:val="-1"/>
        </w:rPr>
        <w:t>ommission</w:t>
      </w:r>
      <w:r>
        <w:rPr>
          <w:color w:val="0778BE"/>
        </w:rPr>
        <w:t xml:space="preserve"> </w:t>
      </w:r>
      <w:r>
        <w:rPr>
          <w:color w:val="0778BE"/>
          <w:spacing w:val="-1"/>
        </w:rPr>
        <w:t>consideration</w:t>
      </w:r>
    </w:p>
    <w:p w:rsidR="00D96B91" w:rsidRDefault="00C2656B">
      <w:pPr>
        <w:pStyle w:val="BodyText"/>
        <w:spacing w:before="63"/>
      </w:pPr>
      <w:r>
        <w:rPr>
          <w:spacing w:val="-2"/>
        </w:rPr>
        <w:t>The</w:t>
      </w:r>
      <w:r>
        <w:t xml:space="preserve"> </w:t>
      </w:r>
      <w:r>
        <w:rPr>
          <w:spacing w:val="-1"/>
        </w:rPr>
        <w:t>Commission</w:t>
      </w:r>
      <w:r>
        <w:t xml:space="preserve"> will advise</w:t>
      </w:r>
      <w:r>
        <w:rPr>
          <w:spacing w:val="-4"/>
        </w:rPr>
        <w:t xml:space="preserve"> </w:t>
      </w:r>
      <w:r>
        <w:rPr>
          <w:spacing w:val="-2"/>
        </w:rPr>
        <w:t>ACTEW</w:t>
      </w:r>
      <w:r>
        <w:rPr>
          <w:spacing w:val="-3"/>
        </w:rPr>
        <w:t xml:space="preserve"> </w:t>
      </w:r>
      <w:r>
        <w:t xml:space="preserve">no </w:t>
      </w:r>
      <w:r>
        <w:rPr>
          <w:spacing w:val="-1"/>
        </w:rPr>
        <w:t>later</w:t>
      </w:r>
      <w:r>
        <w:t xml:space="preserve"> than 30 May:</w:t>
      </w:r>
    </w:p>
    <w:p w:rsidR="00D96B91" w:rsidRDefault="00C2656B">
      <w:pPr>
        <w:pStyle w:val="BodyText"/>
        <w:numPr>
          <w:ilvl w:val="0"/>
          <w:numId w:val="7"/>
        </w:numPr>
        <w:tabs>
          <w:tab w:val="left" w:pos="1588"/>
        </w:tabs>
        <w:spacing w:before="149" w:line="260" w:lineRule="exact"/>
        <w:ind w:right="1682" w:hanging="340"/>
      </w:pPr>
      <w:r>
        <w:t xml:space="preserve">whether the </w:t>
      </w:r>
      <w:r>
        <w:rPr>
          <w:spacing w:val="-1"/>
        </w:rPr>
        <w:t>pass-through</w:t>
      </w:r>
      <w:r>
        <w:t xml:space="preserve"> amount </w:t>
      </w:r>
      <w:r>
        <w:rPr>
          <w:spacing w:val="-1"/>
        </w:rPr>
        <w:t>pr</w:t>
      </w:r>
      <w:hyperlink w:anchor="_bookmark178" w:history="1">
        <w:r>
          <w:rPr>
            <w:spacing w:val="-1"/>
          </w:rPr>
          <w:t>oposed</w:t>
        </w:r>
        <w:r>
          <w:t xml:space="preserve"> under clause 9.2</w:t>
        </w:r>
      </w:hyperlink>
      <w:r>
        <w:t xml:space="preserve"> complies with the </w:t>
      </w:r>
      <w:r>
        <w:rPr>
          <w:spacing w:val="-2"/>
        </w:rPr>
        <w:t>Price</w:t>
      </w:r>
      <w:r>
        <w:t xml:space="preserve"> </w:t>
      </w:r>
      <w:r>
        <w:rPr>
          <w:spacing w:val="-1"/>
        </w:rPr>
        <w:t>Direction</w:t>
      </w:r>
      <w:r>
        <w:rPr>
          <w:spacing w:val="35"/>
        </w:rPr>
        <w:t xml:space="preserve"> </w:t>
      </w:r>
      <w:r>
        <w:t>and,</w:t>
      </w:r>
      <w:r>
        <w:rPr>
          <w:spacing w:val="-6"/>
        </w:rPr>
        <w:t xml:space="preserve"> </w:t>
      </w:r>
      <w:r>
        <w:t>if</w:t>
      </w:r>
      <w:r>
        <w:rPr>
          <w:spacing w:val="4"/>
        </w:rPr>
        <w:t xml:space="preserve"> </w:t>
      </w:r>
      <w:r>
        <w:t xml:space="preserve">it does not </w:t>
      </w:r>
      <w:r>
        <w:rPr>
          <w:spacing w:val="-2"/>
        </w:rPr>
        <w:t>comply,</w:t>
      </w:r>
      <w:r>
        <w:rPr>
          <w:spacing w:val="-6"/>
        </w:rPr>
        <w:t xml:space="preserve"> </w:t>
      </w:r>
      <w:r>
        <w:t xml:space="preserve">the </w:t>
      </w:r>
      <w:r>
        <w:rPr>
          <w:spacing w:val="-1"/>
        </w:rPr>
        <w:t>reasons</w:t>
      </w:r>
      <w:r>
        <w:t xml:space="preserve"> why it does not comply; or</w:t>
      </w:r>
    </w:p>
    <w:p w:rsidR="00D96B91" w:rsidRDefault="00C2656B">
      <w:pPr>
        <w:pStyle w:val="BodyText"/>
        <w:numPr>
          <w:ilvl w:val="0"/>
          <w:numId w:val="7"/>
        </w:numPr>
        <w:tabs>
          <w:tab w:val="left" w:pos="1588"/>
        </w:tabs>
        <w:spacing w:before="85" w:line="260" w:lineRule="exact"/>
        <w:ind w:right="1389" w:hanging="340"/>
        <w:jc w:val="both"/>
      </w:pPr>
      <w:r>
        <w:rPr>
          <w:spacing w:val="-1"/>
        </w:rPr>
        <w:t>that</w:t>
      </w:r>
      <w:r>
        <w:t xml:space="preserve"> the </w:t>
      </w:r>
      <w:r>
        <w:rPr>
          <w:spacing w:val="-1"/>
        </w:rPr>
        <w:t>Commission</w:t>
      </w:r>
      <w:r>
        <w:t xml:space="preserve"> </w:t>
      </w:r>
      <w:r>
        <w:rPr>
          <w:spacing w:val="-1"/>
        </w:rPr>
        <w:t>requires</w:t>
      </w:r>
      <w:r>
        <w:t xml:space="preserve"> additional </w:t>
      </w:r>
      <w:r>
        <w:rPr>
          <w:spacing w:val="-1"/>
        </w:rPr>
        <w:t>information</w:t>
      </w:r>
      <w:r>
        <w:t xml:space="preserve"> </w:t>
      </w:r>
      <w:r>
        <w:rPr>
          <w:spacing w:val="-1"/>
        </w:rPr>
        <w:t>from</w:t>
      </w:r>
      <w:r>
        <w:rPr>
          <w:spacing w:val="-4"/>
        </w:rPr>
        <w:t xml:space="preserve"> </w:t>
      </w:r>
      <w:r>
        <w:rPr>
          <w:spacing w:val="-2"/>
        </w:rPr>
        <w:t>ACTEW</w:t>
      </w:r>
      <w:r>
        <w:rPr>
          <w:spacing w:val="-3"/>
        </w:rPr>
        <w:t xml:space="preserve"> </w:t>
      </w:r>
      <w:r>
        <w:t xml:space="preserve">to assess whether the </w:t>
      </w:r>
      <w:r>
        <w:rPr>
          <w:spacing w:val="-1"/>
        </w:rPr>
        <w:t>proposed</w:t>
      </w:r>
      <w:r>
        <w:rPr>
          <w:spacing w:val="51"/>
        </w:rPr>
        <w:t xml:space="preserve"> </w:t>
      </w:r>
      <w:r>
        <w:rPr>
          <w:spacing w:val="-1"/>
        </w:rPr>
        <w:t>pass-through</w:t>
      </w:r>
      <w:r>
        <w:t xml:space="preserve"> amount complies with the </w:t>
      </w:r>
      <w:r>
        <w:rPr>
          <w:spacing w:val="-2"/>
        </w:rPr>
        <w:t>Price</w:t>
      </w:r>
      <w:r>
        <w:t xml:space="preserve"> </w:t>
      </w:r>
      <w:r>
        <w:rPr>
          <w:spacing w:val="-1"/>
        </w:rPr>
        <w:t>Direction</w:t>
      </w:r>
      <w:r>
        <w:t xml:space="preserve"> and the </w:t>
      </w:r>
      <w:r>
        <w:rPr>
          <w:spacing w:val="-1"/>
        </w:rPr>
        <w:t>date</w:t>
      </w:r>
      <w:r>
        <w:t xml:space="preserve"> such additional </w:t>
      </w:r>
      <w:r>
        <w:rPr>
          <w:spacing w:val="-1"/>
        </w:rPr>
        <w:t>information</w:t>
      </w:r>
      <w:r>
        <w:t xml:space="preserve"> is</w:t>
      </w:r>
      <w:r>
        <w:rPr>
          <w:spacing w:val="49"/>
        </w:rPr>
        <w:t xml:space="preserve"> </w:t>
      </w:r>
      <w:r>
        <w:t xml:space="preserve">to be </w:t>
      </w:r>
      <w:r>
        <w:rPr>
          <w:spacing w:val="-1"/>
        </w:rPr>
        <w:t>provided</w:t>
      </w:r>
      <w:r>
        <w:t xml:space="preserve"> to the </w:t>
      </w:r>
      <w:r>
        <w:rPr>
          <w:spacing w:val="-1"/>
        </w:rPr>
        <w:t>Commission.</w:t>
      </w:r>
    </w:p>
    <w:p w:rsidR="00D96B91" w:rsidRDefault="00C2656B">
      <w:pPr>
        <w:pStyle w:val="BodyText"/>
        <w:spacing w:before="170" w:line="260" w:lineRule="exact"/>
        <w:ind w:right="1256"/>
      </w:pPr>
      <w:r>
        <w:t>If</w:t>
      </w:r>
      <w:r>
        <w:rPr>
          <w:spacing w:val="4"/>
        </w:rPr>
        <w:t xml:space="preserve"> </w:t>
      </w:r>
      <w:r>
        <w:t xml:space="preserve">the </w:t>
      </w:r>
      <w:r>
        <w:rPr>
          <w:spacing w:val="-1"/>
        </w:rPr>
        <w:t>Commission</w:t>
      </w:r>
      <w:r>
        <w:t xml:space="preserve"> does not </w:t>
      </w:r>
      <w:r>
        <w:rPr>
          <w:spacing w:val="-1"/>
        </w:rPr>
        <w:t>provide</w:t>
      </w:r>
      <w:r>
        <w:t xml:space="preserve"> advice to</w:t>
      </w:r>
      <w:r>
        <w:rPr>
          <w:spacing w:val="-4"/>
        </w:rPr>
        <w:t xml:space="preserve"> </w:t>
      </w:r>
      <w:r>
        <w:rPr>
          <w:spacing w:val="-2"/>
        </w:rPr>
        <w:t>ACTEW</w:t>
      </w:r>
      <w:r>
        <w:rPr>
          <w:spacing w:val="-3"/>
        </w:rPr>
        <w:t xml:space="preserve"> </w:t>
      </w:r>
      <w:r>
        <w:t xml:space="preserve">by 30 May in </w:t>
      </w:r>
      <w:r>
        <w:rPr>
          <w:spacing w:val="-1"/>
        </w:rPr>
        <w:t>accor</w:t>
      </w:r>
      <w:hyperlink w:anchor="_bookmark179" w:history="1">
        <w:r>
          <w:rPr>
            <w:spacing w:val="-1"/>
          </w:rPr>
          <w:t>dance</w:t>
        </w:r>
        <w:r>
          <w:t xml:space="preserve"> with this clause 9.3</w:t>
        </w:r>
      </w:hyperlink>
      <w:r>
        <w:t xml:space="preserve"> the</w:t>
      </w:r>
      <w:r>
        <w:rPr>
          <w:spacing w:val="41"/>
        </w:rPr>
        <w:t xml:space="preserve"> </w:t>
      </w:r>
      <w:r>
        <w:rPr>
          <w:spacing w:val="-1"/>
        </w:rPr>
        <w:t>proposed</w:t>
      </w:r>
      <w:r>
        <w:t xml:space="preserve"> </w:t>
      </w:r>
      <w:r>
        <w:rPr>
          <w:spacing w:val="-1"/>
        </w:rPr>
        <w:t>pass-through</w:t>
      </w:r>
      <w:r>
        <w:t xml:space="preserve"> amount will be deemed to comply with the </w:t>
      </w:r>
      <w:r>
        <w:rPr>
          <w:spacing w:val="-2"/>
        </w:rPr>
        <w:t>Price</w:t>
      </w:r>
      <w:r>
        <w:t xml:space="preserve"> </w:t>
      </w:r>
      <w:r>
        <w:rPr>
          <w:spacing w:val="-1"/>
        </w:rPr>
        <w:t>Direction.</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4.</w:t>
      </w:r>
      <w:r>
        <w:rPr>
          <w:color w:val="0778BE"/>
          <w:spacing w:val="74"/>
        </w:rPr>
        <w:t xml:space="preserve"> </w:t>
      </w:r>
      <w:r>
        <w:rPr>
          <w:color w:val="0778BE"/>
          <w:spacing w:val="-2"/>
        </w:rPr>
        <w:t>AC</w:t>
      </w:r>
      <w:bookmarkStart w:id="301" w:name="_bookmark180"/>
      <w:bookmarkEnd w:id="301"/>
      <w:r>
        <w:rPr>
          <w:color w:val="0778BE"/>
          <w:spacing w:val="-2"/>
        </w:rPr>
        <w:t>TEW</w:t>
      </w:r>
      <w:r>
        <w:rPr>
          <w:color w:val="0778BE"/>
          <w:spacing w:val="-4"/>
        </w:rPr>
        <w:t xml:space="preserve"> </w:t>
      </w:r>
      <w:r>
        <w:rPr>
          <w:color w:val="0778BE"/>
          <w:spacing w:val="-1"/>
        </w:rPr>
        <w:t>resubmission</w:t>
      </w:r>
    </w:p>
    <w:p w:rsidR="00D96B91" w:rsidRDefault="00C2656B">
      <w:pPr>
        <w:pStyle w:val="BodyText"/>
        <w:spacing w:before="55" w:line="260" w:lineRule="exact"/>
        <w:ind w:right="1256"/>
      </w:pPr>
      <w:r>
        <w:t>If</w:t>
      </w:r>
      <w:r>
        <w:rPr>
          <w:spacing w:val="4"/>
        </w:rPr>
        <w:t xml:space="preserve"> </w:t>
      </w:r>
      <w:r>
        <w:t xml:space="preserve">the </w:t>
      </w:r>
      <w:r>
        <w:rPr>
          <w:spacing w:val="-1"/>
        </w:rPr>
        <w:t>Commission</w:t>
      </w:r>
      <w:r>
        <w:t xml:space="preserve"> advises</w:t>
      </w:r>
      <w:r>
        <w:rPr>
          <w:spacing w:val="-4"/>
        </w:rPr>
        <w:t xml:space="preserve"> </w:t>
      </w:r>
      <w:r>
        <w:rPr>
          <w:spacing w:val="-2"/>
        </w:rPr>
        <w:t>ACTEW</w:t>
      </w:r>
      <w:r>
        <w:rPr>
          <w:spacing w:val="-3"/>
        </w:rPr>
        <w:t xml:space="preserve"> </w:t>
      </w:r>
      <w:r>
        <w:rPr>
          <w:spacing w:val="-1"/>
        </w:rPr>
        <w:t>that</w:t>
      </w:r>
      <w:r>
        <w:t xml:space="preserve"> the </w:t>
      </w:r>
      <w:r>
        <w:rPr>
          <w:spacing w:val="-1"/>
        </w:rPr>
        <w:t>pass-through</w:t>
      </w:r>
      <w:r>
        <w:t xml:space="preserve"> amount does not comply with the </w:t>
      </w:r>
      <w:r>
        <w:rPr>
          <w:spacing w:val="-2"/>
        </w:rPr>
        <w:t>Price</w:t>
      </w:r>
      <w:r>
        <w:rPr>
          <w:spacing w:val="43"/>
        </w:rPr>
        <w:t xml:space="preserve"> </w:t>
      </w:r>
      <w:r>
        <w:rPr>
          <w:spacing w:val="-1"/>
        </w:rPr>
        <w:t>Direction</w:t>
      </w:r>
      <w:r>
        <w:t xml:space="preserve"> or </w:t>
      </w:r>
      <w:r>
        <w:rPr>
          <w:spacing w:val="-1"/>
        </w:rPr>
        <w:t>that</w:t>
      </w:r>
      <w:r>
        <w:t xml:space="preserve"> it </w:t>
      </w:r>
      <w:r>
        <w:rPr>
          <w:spacing w:val="-1"/>
        </w:rPr>
        <w:t>requires</w:t>
      </w:r>
      <w:r>
        <w:t xml:space="preserve"> additional </w:t>
      </w:r>
      <w:r>
        <w:rPr>
          <w:spacing w:val="-1"/>
        </w:rPr>
        <w:t>information</w:t>
      </w:r>
      <w:r>
        <w:t xml:space="preserve"> </w:t>
      </w:r>
      <w:r>
        <w:rPr>
          <w:spacing w:val="-1"/>
        </w:rPr>
        <w:t>from</w:t>
      </w:r>
      <w:r>
        <w:rPr>
          <w:spacing w:val="-4"/>
        </w:rPr>
        <w:t xml:space="preserve"> ACTEW,</w:t>
      </w:r>
      <w:r>
        <w:rPr>
          <w:spacing w:val="-10"/>
        </w:rPr>
        <w:t xml:space="preserve"> </w:t>
      </w:r>
      <w:r>
        <w:rPr>
          <w:spacing w:val="-2"/>
        </w:rPr>
        <w:t>ACTEW</w:t>
      </w:r>
      <w:r>
        <w:rPr>
          <w:spacing w:val="-3"/>
        </w:rPr>
        <w:t xml:space="preserve"> </w:t>
      </w:r>
      <w:r>
        <w:t xml:space="preserve">must </w:t>
      </w:r>
      <w:r>
        <w:rPr>
          <w:spacing w:val="-1"/>
        </w:rPr>
        <w:t>resubmit</w:t>
      </w:r>
      <w:r>
        <w:t xml:space="preserve"> the pass-</w:t>
      </w:r>
      <w:r>
        <w:rPr>
          <w:spacing w:val="57"/>
        </w:rPr>
        <w:t xml:space="preserve"> </w:t>
      </w:r>
      <w:r>
        <w:rPr>
          <w:spacing w:val="-1"/>
        </w:rPr>
        <w:t xml:space="preserve">through </w:t>
      </w:r>
      <w:r>
        <w:t>amount</w:t>
      </w:r>
      <w:r>
        <w:rPr>
          <w:spacing w:val="-1"/>
        </w:rPr>
        <w:t xml:space="preserve"> </w:t>
      </w:r>
      <w:r>
        <w:t xml:space="preserve">or </w:t>
      </w:r>
      <w:r>
        <w:rPr>
          <w:spacing w:val="-1"/>
        </w:rPr>
        <w:t xml:space="preserve">provide </w:t>
      </w:r>
      <w:r>
        <w:t>the additional</w:t>
      </w:r>
      <w:r>
        <w:rPr>
          <w:spacing w:val="-1"/>
        </w:rPr>
        <w:t xml:space="preserve"> information</w:t>
      </w:r>
      <w:r>
        <w:t xml:space="preserve"> to</w:t>
      </w:r>
      <w:r>
        <w:rPr>
          <w:spacing w:val="-1"/>
        </w:rPr>
        <w:t xml:space="preserve"> </w:t>
      </w:r>
      <w:r>
        <w:t xml:space="preserve">the </w:t>
      </w:r>
      <w:r>
        <w:rPr>
          <w:spacing w:val="-1"/>
        </w:rPr>
        <w:t xml:space="preserve">Commission </w:t>
      </w:r>
      <w:r>
        <w:t>by</w:t>
      </w:r>
      <w:r>
        <w:rPr>
          <w:spacing w:val="-1"/>
        </w:rPr>
        <w:t xml:space="preserve"> </w:t>
      </w:r>
      <w:r>
        <w:t xml:space="preserve">the </w:t>
      </w:r>
      <w:r>
        <w:rPr>
          <w:spacing w:val="-1"/>
        </w:rPr>
        <w:t xml:space="preserve">date </w:t>
      </w:r>
      <w:r>
        <w:t>specified by</w:t>
      </w:r>
      <w:r>
        <w:rPr>
          <w:spacing w:val="-1"/>
        </w:rPr>
        <w:t xml:space="preserve"> </w:t>
      </w:r>
      <w:r>
        <w:t>the</w:t>
      </w:r>
      <w:r>
        <w:rPr>
          <w:spacing w:val="47"/>
        </w:rPr>
        <w:t xml:space="preserve"> </w:t>
      </w:r>
      <w:r>
        <w:rPr>
          <w:spacing w:val="-1"/>
        </w:rPr>
        <w:t>Commission.</w:t>
      </w:r>
    </w:p>
    <w:p w:rsidR="00D96B91" w:rsidRDefault="00C2656B">
      <w:pPr>
        <w:pStyle w:val="BodyText"/>
        <w:spacing w:before="170" w:line="260" w:lineRule="exact"/>
        <w:ind w:right="1283"/>
      </w:pPr>
      <w:r>
        <w:t>Within 20 business days of</w:t>
      </w:r>
      <w:r>
        <w:rPr>
          <w:spacing w:val="4"/>
        </w:rPr>
        <w:t xml:space="preserve"> </w:t>
      </w:r>
      <w:r>
        <w:rPr>
          <w:spacing w:val="-1"/>
        </w:rPr>
        <w:t>receiving</w:t>
      </w:r>
      <w:r>
        <w:t xml:space="preserve"> the </w:t>
      </w:r>
      <w:r>
        <w:rPr>
          <w:spacing w:val="-1"/>
        </w:rPr>
        <w:t>revised</w:t>
      </w:r>
      <w:r>
        <w:t xml:space="preserve"> </w:t>
      </w:r>
      <w:r>
        <w:rPr>
          <w:spacing w:val="-1"/>
        </w:rPr>
        <w:t>pass-through</w:t>
      </w:r>
      <w:r>
        <w:t xml:space="preserve"> amount or additional </w:t>
      </w:r>
      <w:r>
        <w:rPr>
          <w:spacing w:val="-1"/>
        </w:rPr>
        <w:t>information</w:t>
      </w:r>
      <w:r>
        <w:t xml:space="preserve"> </w:t>
      </w:r>
      <w:r>
        <w:rPr>
          <w:spacing w:val="-1"/>
        </w:rPr>
        <w:t>from</w:t>
      </w:r>
      <w:r>
        <w:rPr>
          <w:spacing w:val="49"/>
        </w:rPr>
        <w:t xml:space="preserve"> </w:t>
      </w:r>
      <w:r>
        <w:rPr>
          <w:spacing w:val="-2"/>
        </w:rPr>
        <w:t>ACTEW</w:t>
      </w:r>
      <w:r>
        <w:rPr>
          <w:spacing w:val="-3"/>
        </w:rPr>
        <w:t xml:space="preserve"> </w:t>
      </w:r>
      <w:r>
        <w:t xml:space="preserve">the </w:t>
      </w:r>
      <w:r>
        <w:rPr>
          <w:spacing w:val="-1"/>
        </w:rPr>
        <w:t>Commission</w:t>
      </w:r>
      <w:r>
        <w:t xml:space="preserve"> will advise</w:t>
      </w:r>
      <w:r>
        <w:rPr>
          <w:spacing w:val="-4"/>
        </w:rPr>
        <w:t xml:space="preserve"> </w:t>
      </w:r>
      <w:r>
        <w:rPr>
          <w:spacing w:val="-2"/>
        </w:rPr>
        <w:t>ACTEW</w:t>
      </w:r>
      <w:r>
        <w:rPr>
          <w:spacing w:val="-3"/>
        </w:rPr>
        <w:t xml:space="preserve"> </w:t>
      </w:r>
      <w:r>
        <w:t xml:space="preserve">whether the </w:t>
      </w:r>
      <w:r>
        <w:rPr>
          <w:spacing w:val="-1"/>
        </w:rPr>
        <w:t>pass-through</w:t>
      </w:r>
      <w:r>
        <w:t xml:space="preserve"> amount complies with the </w:t>
      </w:r>
      <w:r>
        <w:rPr>
          <w:spacing w:val="-2"/>
        </w:rPr>
        <w:t>Price</w:t>
      </w:r>
      <w:r>
        <w:rPr>
          <w:spacing w:val="47"/>
        </w:rPr>
        <w:t xml:space="preserve"> </w:t>
      </w:r>
      <w:r>
        <w:rPr>
          <w:spacing w:val="-1"/>
        </w:rPr>
        <w:t>Direction</w:t>
      </w:r>
      <w:r>
        <w:t xml:space="preserve"> or will </w:t>
      </w:r>
      <w:r>
        <w:rPr>
          <w:spacing w:val="-1"/>
        </w:rPr>
        <w:t>indicate</w:t>
      </w:r>
      <w:r>
        <w:t xml:space="preserve"> the additional </w:t>
      </w:r>
      <w:r>
        <w:rPr>
          <w:spacing w:val="-1"/>
        </w:rPr>
        <w:t>information</w:t>
      </w:r>
      <w:r>
        <w:t xml:space="preserve"> the </w:t>
      </w:r>
      <w:r>
        <w:rPr>
          <w:spacing w:val="-1"/>
        </w:rPr>
        <w:t>Commission</w:t>
      </w:r>
      <w:r>
        <w:t xml:space="preserve"> </w:t>
      </w:r>
      <w:r>
        <w:rPr>
          <w:spacing w:val="-1"/>
        </w:rPr>
        <w:t>requires</w:t>
      </w:r>
      <w:r>
        <w:t xml:space="preserve"> </w:t>
      </w:r>
      <w:r>
        <w:rPr>
          <w:spacing w:val="-1"/>
        </w:rPr>
        <w:t>from</w:t>
      </w:r>
      <w:r>
        <w:rPr>
          <w:spacing w:val="-4"/>
        </w:rPr>
        <w:t xml:space="preserve"> </w:t>
      </w:r>
      <w:r>
        <w:rPr>
          <w:spacing w:val="-2"/>
        </w:rPr>
        <w:t>ACTEW</w:t>
      </w:r>
      <w:r>
        <w:rPr>
          <w:spacing w:val="-3"/>
        </w:rPr>
        <w:t xml:space="preserve"> </w:t>
      </w:r>
      <w:r>
        <w:t xml:space="preserve">in </w:t>
      </w:r>
      <w:r>
        <w:rPr>
          <w:spacing w:val="-1"/>
        </w:rPr>
        <w:t>order</w:t>
      </w:r>
      <w:r>
        <w:t xml:space="preserve"> to</w:t>
      </w:r>
      <w:r>
        <w:rPr>
          <w:spacing w:val="61"/>
        </w:rPr>
        <w:t xml:space="preserve"> </w:t>
      </w:r>
      <w:r>
        <w:t>form an opinion as to whether it complies or not.</w:t>
      </w:r>
      <w:r>
        <w:rPr>
          <w:spacing w:val="-7"/>
        </w:rPr>
        <w:t xml:space="preserve"> </w:t>
      </w:r>
      <w:r>
        <w:t>If</w:t>
      </w:r>
      <w:r>
        <w:rPr>
          <w:spacing w:val="4"/>
        </w:rPr>
        <w:t xml:space="preserve"> </w:t>
      </w:r>
      <w:r>
        <w:t xml:space="preserve">the </w:t>
      </w:r>
      <w:r>
        <w:rPr>
          <w:spacing w:val="-1"/>
        </w:rPr>
        <w:t>Commission</w:t>
      </w:r>
      <w:r>
        <w:t xml:space="preserve"> does not </w:t>
      </w:r>
      <w:r>
        <w:rPr>
          <w:spacing w:val="-1"/>
        </w:rPr>
        <w:t>provide</w:t>
      </w:r>
      <w:r>
        <w:t xml:space="preserve"> advice to</w:t>
      </w:r>
      <w:r>
        <w:rPr>
          <w:spacing w:val="-4"/>
        </w:rPr>
        <w:t xml:space="preserve"> </w:t>
      </w:r>
      <w:r>
        <w:rPr>
          <w:spacing w:val="-2"/>
        </w:rPr>
        <w:t>ACTEW</w:t>
      </w:r>
      <w:r>
        <w:rPr>
          <w:spacing w:val="29"/>
        </w:rPr>
        <w:t xml:space="preserve"> </w:t>
      </w:r>
      <w:r>
        <w:t xml:space="preserve">within 20 business days in </w:t>
      </w:r>
      <w:r>
        <w:rPr>
          <w:spacing w:val="-1"/>
        </w:rPr>
        <w:t>accordance</w:t>
      </w:r>
      <w:r>
        <w:t xml:space="preserve"> with this clause the </w:t>
      </w:r>
      <w:r>
        <w:rPr>
          <w:spacing w:val="-1"/>
        </w:rPr>
        <w:t>proposed</w:t>
      </w:r>
      <w:r>
        <w:t xml:space="preserve"> </w:t>
      </w:r>
      <w:r>
        <w:rPr>
          <w:spacing w:val="-1"/>
        </w:rPr>
        <w:t>pass-through</w:t>
      </w:r>
      <w:r>
        <w:t xml:space="preserve"> amount will be</w:t>
      </w:r>
      <w:r>
        <w:rPr>
          <w:spacing w:val="37"/>
        </w:rPr>
        <w:t xml:space="preserve"> </w:t>
      </w:r>
      <w:r>
        <w:t xml:space="preserve">deemed to comply with the </w:t>
      </w:r>
      <w:r>
        <w:rPr>
          <w:spacing w:val="-2"/>
        </w:rPr>
        <w:t>Price</w:t>
      </w:r>
      <w:r>
        <w:t xml:space="preserve"> </w:t>
      </w:r>
      <w:r>
        <w:rPr>
          <w:spacing w:val="-1"/>
        </w:rPr>
        <w:t>Direction.</w:t>
      </w:r>
    </w:p>
    <w:p w:rsidR="00D96B91" w:rsidRDefault="00C2656B">
      <w:pPr>
        <w:pStyle w:val="BodyText"/>
        <w:spacing w:before="170" w:line="260" w:lineRule="exact"/>
        <w:ind w:right="1283"/>
      </w:pPr>
      <w:r>
        <w:t>If</w:t>
      </w:r>
      <w:r>
        <w:rPr>
          <w:spacing w:val="4"/>
        </w:rPr>
        <w:t xml:space="preserve"> </w:t>
      </w:r>
      <w:r>
        <w:t xml:space="preserve">the </w:t>
      </w:r>
      <w:r>
        <w:rPr>
          <w:spacing w:val="-1"/>
        </w:rPr>
        <w:t>Commission</w:t>
      </w:r>
      <w:r>
        <w:t xml:space="preserve"> has advised</w:t>
      </w:r>
      <w:r>
        <w:rPr>
          <w:spacing w:val="-4"/>
        </w:rPr>
        <w:t xml:space="preserve"> </w:t>
      </w:r>
      <w:r>
        <w:rPr>
          <w:spacing w:val="-2"/>
        </w:rPr>
        <w:t>ACTEW</w:t>
      </w:r>
      <w:r>
        <w:rPr>
          <w:spacing w:val="-3"/>
        </w:rPr>
        <w:t xml:space="preserve"> </w:t>
      </w:r>
      <w:r>
        <w:rPr>
          <w:spacing w:val="-1"/>
        </w:rPr>
        <w:t>that</w:t>
      </w:r>
      <w:r>
        <w:t xml:space="preserve"> the </w:t>
      </w:r>
      <w:r>
        <w:rPr>
          <w:spacing w:val="-1"/>
        </w:rPr>
        <w:t>pass-through</w:t>
      </w:r>
      <w:r>
        <w:t xml:space="preserve"> amount does not comply or </w:t>
      </w:r>
      <w:r>
        <w:rPr>
          <w:spacing w:val="-1"/>
        </w:rPr>
        <w:t>requires</w:t>
      </w:r>
      <w:r>
        <w:rPr>
          <w:spacing w:val="43"/>
        </w:rPr>
        <w:t xml:space="preserve"> </w:t>
      </w:r>
      <w:r>
        <w:rPr>
          <w:spacing w:val="-1"/>
        </w:rPr>
        <w:t>further</w:t>
      </w:r>
      <w:r>
        <w:t xml:space="preserve"> additional </w:t>
      </w:r>
      <w:r>
        <w:rPr>
          <w:spacing w:val="-1"/>
        </w:rPr>
        <w:t>information,</w:t>
      </w:r>
      <w:r>
        <w:rPr>
          <w:spacing w:val="-7"/>
        </w:rPr>
        <w:t xml:space="preserve"> </w:t>
      </w:r>
      <w:r>
        <w:t xml:space="preserve">the </w:t>
      </w:r>
      <w:r>
        <w:rPr>
          <w:spacing w:val="-1"/>
        </w:rPr>
        <w:t>provisions</w:t>
      </w:r>
      <w:r>
        <w:t xml:space="preserve"> of</w:t>
      </w:r>
      <w:r>
        <w:rPr>
          <w:spacing w:val="4"/>
        </w:rPr>
        <w:t xml:space="preserve"> </w:t>
      </w:r>
      <w:r>
        <w:t xml:space="preserve">this clause </w:t>
      </w:r>
      <w:hyperlink w:anchor="_bookmark180" w:history="1">
        <w:r>
          <w:t>9.4</w:t>
        </w:r>
      </w:hyperlink>
      <w:r>
        <w:t xml:space="preserve"> will continue to apply until the</w:t>
      </w:r>
      <w:r>
        <w:rPr>
          <w:spacing w:val="39"/>
        </w:rPr>
        <w:t xml:space="preserve"> </w:t>
      </w:r>
      <w:r>
        <w:rPr>
          <w:spacing w:val="-1"/>
        </w:rPr>
        <w:t>Commission</w:t>
      </w:r>
      <w:r>
        <w:t xml:space="preserve"> </w:t>
      </w:r>
      <w:r>
        <w:rPr>
          <w:spacing w:val="-1"/>
        </w:rPr>
        <w:t>approves</w:t>
      </w:r>
      <w:r>
        <w:t xml:space="preserve"> the </w:t>
      </w:r>
      <w:r>
        <w:rPr>
          <w:spacing w:val="-1"/>
        </w:rPr>
        <w:t>pass-through</w:t>
      </w:r>
      <w:r>
        <w:t xml:space="preserve"> amount as complying with the </w:t>
      </w:r>
      <w:r>
        <w:rPr>
          <w:spacing w:val="-2"/>
        </w:rPr>
        <w:t>Price</w:t>
      </w:r>
      <w:r>
        <w:t xml:space="preserve"> </w:t>
      </w:r>
      <w:r>
        <w:rPr>
          <w:spacing w:val="-1"/>
        </w:rPr>
        <w:t>Direction.</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5.</w:t>
      </w:r>
      <w:r>
        <w:rPr>
          <w:color w:val="0778BE"/>
          <w:spacing w:val="74"/>
        </w:rPr>
        <w:t xml:space="preserve"> </w:t>
      </w:r>
      <w:r>
        <w:rPr>
          <w:color w:val="0778BE"/>
          <w:spacing w:val="-1"/>
        </w:rPr>
        <w:t>Commission</w:t>
      </w:r>
      <w:r>
        <w:rPr>
          <w:color w:val="0778BE"/>
        </w:rPr>
        <w:t xml:space="preserve"> may </w:t>
      </w:r>
      <w:r>
        <w:rPr>
          <w:color w:val="0778BE"/>
          <w:spacing w:val="-1"/>
        </w:rPr>
        <w:t>initiate</w:t>
      </w:r>
      <w:r>
        <w:rPr>
          <w:color w:val="0778BE"/>
        </w:rPr>
        <w:t xml:space="preserve"> </w:t>
      </w:r>
      <w:r>
        <w:rPr>
          <w:color w:val="0778BE"/>
          <w:spacing w:val="-1"/>
        </w:rPr>
        <w:t>pass-through</w:t>
      </w:r>
      <w:r>
        <w:rPr>
          <w:color w:val="0778BE"/>
        </w:rPr>
        <w:t xml:space="preserve"> amount</w:t>
      </w:r>
    </w:p>
    <w:p w:rsidR="00D96B91" w:rsidRDefault="00C2656B">
      <w:pPr>
        <w:pStyle w:val="BodyText"/>
        <w:spacing w:before="55" w:line="260" w:lineRule="exact"/>
        <w:ind w:right="1283"/>
        <w:rPr>
          <w:rFonts w:cs="Avenir Next"/>
        </w:rPr>
      </w:pPr>
      <w:r>
        <w:t>If</w:t>
      </w:r>
      <w:r>
        <w:rPr>
          <w:spacing w:val="4"/>
        </w:rPr>
        <w:t xml:space="preserve"> </w:t>
      </w:r>
      <w:r>
        <w:t xml:space="preserve">a </w:t>
      </w:r>
      <w:r>
        <w:rPr>
          <w:spacing w:val="-1"/>
        </w:rPr>
        <w:t>pass-through</w:t>
      </w:r>
      <w:r>
        <w:t xml:space="preserve"> event occurs in a </w:t>
      </w:r>
      <w:r>
        <w:rPr>
          <w:spacing w:val="-1"/>
        </w:rPr>
        <w:t>regulatory</w:t>
      </w:r>
      <w:r>
        <w:t xml:space="preserve"> </w:t>
      </w:r>
      <w:r>
        <w:rPr>
          <w:spacing w:val="-1"/>
        </w:rPr>
        <w:t>year</w:t>
      </w:r>
      <w:r>
        <w:t xml:space="preserve"> and</w:t>
      </w:r>
      <w:r>
        <w:rPr>
          <w:spacing w:val="-4"/>
        </w:rPr>
        <w:t xml:space="preserve"> </w:t>
      </w:r>
      <w:r>
        <w:rPr>
          <w:spacing w:val="-2"/>
        </w:rPr>
        <w:t>ACTEW’s</w:t>
      </w:r>
      <w:r>
        <w:t xml:space="preserve"> costs </w:t>
      </w:r>
      <w:r>
        <w:rPr>
          <w:spacing w:val="-2"/>
        </w:rPr>
        <w:t>are</w:t>
      </w:r>
      <w:r>
        <w:t xml:space="preserve"> </w:t>
      </w:r>
      <w:r>
        <w:rPr>
          <w:spacing w:val="-1"/>
        </w:rPr>
        <w:t>likely</w:t>
      </w:r>
      <w:r>
        <w:t xml:space="preserve"> to be </w:t>
      </w:r>
      <w:r>
        <w:rPr>
          <w:spacing w:val="-1"/>
        </w:rPr>
        <w:t>affected</w:t>
      </w:r>
      <w:r>
        <w:t xml:space="preserve"> by the</w:t>
      </w:r>
      <w:r>
        <w:rPr>
          <w:spacing w:val="47"/>
        </w:rPr>
        <w:t xml:space="preserve"> </w:t>
      </w:r>
      <w:r>
        <w:rPr>
          <w:rFonts w:cs="Avenir Next"/>
        </w:rPr>
        <w:t>event but</w:t>
      </w:r>
      <w:r>
        <w:rPr>
          <w:rFonts w:cs="Avenir Next"/>
          <w:spacing w:val="-4"/>
        </w:rPr>
        <w:t xml:space="preserve"> </w:t>
      </w:r>
      <w:r>
        <w:rPr>
          <w:rFonts w:cs="Avenir Next"/>
          <w:spacing w:val="-2"/>
        </w:rPr>
        <w:t>ACTEW</w:t>
      </w:r>
      <w:r>
        <w:rPr>
          <w:rFonts w:cs="Avenir Next"/>
          <w:spacing w:val="-3"/>
        </w:rPr>
        <w:t xml:space="preserve"> </w:t>
      </w:r>
      <w:r>
        <w:rPr>
          <w:rFonts w:cs="Avenir Next"/>
        </w:rPr>
        <w:t xml:space="preserve">does not </w:t>
      </w:r>
      <w:r>
        <w:rPr>
          <w:rFonts w:cs="Avenir Next"/>
          <w:spacing w:val="-1"/>
        </w:rPr>
        <w:t>make</w:t>
      </w:r>
      <w:r>
        <w:rPr>
          <w:rFonts w:cs="Avenir Next"/>
        </w:rPr>
        <w:t xml:space="preserve"> a submission to the </w:t>
      </w:r>
      <w:r>
        <w:rPr>
          <w:rFonts w:cs="Avenir Next"/>
          <w:spacing w:val="-1"/>
        </w:rPr>
        <w:t>Commission</w:t>
      </w:r>
      <w:r>
        <w:rPr>
          <w:rFonts w:cs="Avenir Next"/>
        </w:rPr>
        <w:t xml:space="preserve"> in </w:t>
      </w:r>
      <w:r>
        <w:rPr>
          <w:rFonts w:cs="Avenir Next"/>
          <w:spacing w:val="-1"/>
        </w:rPr>
        <w:t>accordance</w:t>
      </w:r>
      <w:r>
        <w:rPr>
          <w:rFonts w:cs="Avenir Next"/>
        </w:rPr>
        <w:t xml:space="preserve"> with clause </w:t>
      </w:r>
      <w:hyperlink w:anchor="_bookmark178" w:history="1">
        <w:r>
          <w:t>9.2</w:t>
        </w:r>
      </w:hyperlink>
      <w:r>
        <w:rPr>
          <w:rFonts w:cs="Avenir Next"/>
        </w:rPr>
        <w:t>,</w:t>
      </w:r>
      <w:r>
        <w:rPr>
          <w:rFonts w:cs="Avenir Next"/>
          <w:spacing w:val="-6"/>
        </w:rPr>
        <w:t xml:space="preserve"> </w:t>
      </w:r>
      <w:r>
        <w:rPr>
          <w:rFonts w:cs="Avenir Next"/>
        </w:rPr>
        <w:t>the</w:t>
      </w:r>
    </w:p>
    <w:p w:rsidR="00D96B91" w:rsidRDefault="00D96B91">
      <w:pPr>
        <w:spacing w:line="260" w:lineRule="exact"/>
        <w:rPr>
          <w:rFonts w:ascii="Avenir Next" w:eastAsia="Avenir Next" w:hAnsi="Avenir Next" w:cs="Avenir Next"/>
        </w:rPr>
        <w:sectPr w:rsidR="00D96B91">
          <w:pgSz w:w="11910" w:h="16840"/>
          <w:pgMar w:top="1200" w:right="0" w:bottom="1020" w:left="0" w:header="0" w:footer="829" w:gutter="0"/>
          <w:cols w:space="720"/>
        </w:sectPr>
      </w:pPr>
    </w:p>
    <w:p w:rsidR="00D96B91" w:rsidRDefault="00C2656B">
      <w:pPr>
        <w:pStyle w:val="BodyText"/>
        <w:spacing w:before="21" w:line="260" w:lineRule="exact"/>
        <w:ind w:right="1356"/>
      </w:pPr>
      <w:bookmarkStart w:id="302" w:name="9._6._Partial_adjustment_"/>
      <w:bookmarkStart w:id="303" w:name="9._7._Unavailability_of_information_"/>
      <w:bookmarkStart w:id="304" w:name="_bookmark181"/>
      <w:bookmarkEnd w:id="302"/>
      <w:bookmarkEnd w:id="303"/>
      <w:bookmarkEnd w:id="304"/>
      <w:r>
        <w:rPr>
          <w:spacing w:val="-1"/>
        </w:rPr>
        <w:t>Commission</w:t>
      </w:r>
      <w:r>
        <w:t xml:space="preserve"> may decide on a </w:t>
      </w:r>
      <w:r>
        <w:rPr>
          <w:spacing w:val="-1"/>
        </w:rPr>
        <w:t>pass-through</w:t>
      </w:r>
      <w:r>
        <w:t xml:space="preserve"> amount (which may be a </w:t>
      </w:r>
      <w:r>
        <w:rPr>
          <w:spacing w:val="-1"/>
        </w:rPr>
        <w:t>negative</w:t>
      </w:r>
      <w:r>
        <w:t xml:space="preserve"> amount) and the basis</w:t>
      </w:r>
      <w:r>
        <w:rPr>
          <w:spacing w:val="41"/>
        </w:rPr>
        <w:t xml:space="preserve"> </w:t>
      </w:r>
      <w:r>
        <w:t xml:space="preserve">on which the </w:t>
      </w:r>
      <w:r>
        <w:rPr>
          <w:spacing w:val="-1"/>
        </w:rPr>
        <w:t>pass-through</w:t>
      </w:r>
      <w:r>
        <w:t xml:space="preserve"> amount is to </w:t>
      </w:r>
      <w:r>
        <w:rPr>
          <w:spacing w:val="-2"/>
        </w:rPr>
        <w:t>apply.</w:t>
      </w:r>
      <w:r>
        <w:rPr>
          <w:spacing w:val="-6"/>
        </w:rPr>
        <w:t xml:space="preserve"> </w:t>
      </w:r>
      <w:r>
        <w:t xml:space="preserve">In doing </w:t>
      </w:r>
      <w:r>
        <w:rPr>
          <w:spacing w:val="-1"/>
        </w:rPr>
        <w:t>so,</w:t>
      </w:r>
      <w:r>
        <w:rPr>
          <w:spacing w:val="-6"/>
        </w:rPr>
        <w:t xml:space="preserve"> </w:t>
      </w:r>
      <w:r>
        <w:t xml:space="preserve">the </w:t>
      </w:r>
      <w:r>
        <w:rPr>
          <w:spacing w:val="-1"/>
        </w:rPr>
        <w:t>Commission:</w:t>
      </w:r>
    </w:p>
    <w:p w:rsidR="00D96B91" w:rsidRDefault="00C2656B">
      <w:pPr>
        <w:pStyle w:val="BodyText"/>
        <w:numPr>
          <w:ilvl w:val="0"/>
          <w:numId w:val="6"/>
        </w:numPr>
        <w:tabs>
          <w:tab w:val="left" w:pos="1588"/>
        </w:tabs>
        <w:spacing w:before="170" w:line="260" w:lineRule="exact"/>
        <w:ind w:right="1260" w:hanging="340"/>
        <w:rPr>
          <w:rFonts w:cs="Avenir Next"/>
        </w:rPr>
      </w:pPr>
      <w:r>
        <w:t xml:space="preserve">may seek </w:t>
      </w:r>
      <w:r>
        <w:rPr>
          <w:spacing w:val="-1"/>
        </w:rPr>
        <w:t>information</w:t>
      </w:r>
      <w:r>
        <w:t xml:space="preserve"> </w:t>
      </w:r>
      <w:r>
        <w:rPr>
          <w:spacing w:val="-1"/>
        </w:rPr>
        <w:t>from</w:t>
      </w:r>
      <w:r>
        <w:rPr>
          <w:spacing w:val="-4"/>
        </w:rPr>
        <w:t xml:space="preserve"> </w:t>
      </w:r>
      <w:r>
        <w:rPr>
          <w:spacing w:val="-2"/>
        </w:rPr>
        <w:t>ACTEW</w:t>
      </w:r>
      <w:r>
        <w:rPr>
          <w:spacing w:val="-3"/>
        </w:rPr>
        <w:t xml:space="preserve"> </w:t>
      </w:r>
      <w:r>
        <w:t xml:space="preserve">in </w:t>
      </w:r>
      <w:r>
        <w:rPr>
          <w:spacing w:val="-1"/>
        </w:rPr>
        <w:t>relation</w:t>
      </w:r>
      <w:r>
        <w:t xml:space="preserve"> to the </w:t>
      </w:r>
      <w:r>
        <w:rPr>
          <w:spacing w:val="-1"/>
        </w:rPr>
        <w:t>pass-through</w:t>
      </w:r>
      <w:r>
        <w:t xml:space="preserve"> event and </w:t>
      </w:r>
      <w:r>
        <w:rPr>
          <w:spacing w:val="-1"/>
        </w:rPr>
        <w:t>pass-through</w:t>
      </w:r>
      <w:r>
        <w:t xml:space="preserve"> amount,</w:t>
      </w:r>
      <w:r>
        <w:rPr>
          <w:spacing w:val="63"/>
        </w:rPr>
        <w:t xml:space="preserve"> </w:t>
      </w:r>
      <w:r>
        <w:t>in</w:t>
      </w:r>
      <w:r>
        <w:rPr>
          <w:spacing w:val="-1"/>
        </w:rPr>
        <w:t xml:space="preserve"> </w:t>
      </w:r>
      <w:r>
        <w:t>which</w:t>
      </w:r>
      <w:r>
        <w:rPr>
          <w:spacing w:val="-1"/>
        </w:rPr>
        <w:t xml:space="preserve"> </w:t>
      </w:r>
      <w:r>
        <w:t>case</w:t>
      </w:r>
      <w:r>
        <w:rPr>
          <w:spacing w:val="-4"/>
        </w:rPr>
        <w:t xml:space="preserve"> </w:t>
      </w:r>
      <w:r>
        <w:rPr>
          <w:spacing w:val="-2"/>
        </w:rPr>
        <w:t>ACTEW</w:t>
      </w:r>
      <w:r>
        <w:rPr>
          <w:spacing w:val="-4"/>
        </w:rPr>
        <w:t xml:space="preserve"> </w:t>
      </w:r>
      <w:r>
        <w:t xml:space="preserve">must </w:t>
      </w:r>
      <w:r>
        <w:rPr>
          <w:spacing w:val="-1"/>
        </w:rPr>
        <w:t>provide that information</w:t>
      </w:r>
      <w:r>
        <w:t xml:space="preserve"> within</w:t>
      </w:r>
      <w:r>
        <w:rPr>
          <w:spacing w:val="-1"/>
        </w:rPr>
        <w:t xml:space="preserve"> </w:t>
      </w:r>
      <w:r>
        <w:t>the period</w:t>
      </w:r>
      <w:r>
        <w:rPr>
          <w:spacing w:val="-1"/>
        </w:rPr>
        <w:t xml:space="preserve"> </w:t>
      </w:r>
      <w:r>
        <w:t>specified</w:t>
      </w:r>
      <w:r>
        <w:rPr>
          <w:spacing w:val="-1"/>
        </w:rPr>
        <w:t xml:space="preserve"> </w:t>
      </w:r>
      <w:r>
        <w:t>by the</w:t>
      </w:r>
      <w:r>
        <w:rPr>
          <w:spacing w:val="-1"/>
        </w:rPr>
        <w:t xml:space="preserve"> Commission;</w:t>
      </w:r>
      <w:r>
        <w:rPr>
          <w:spacing w:val="53"/>
        </w:rPr>
        <w:t xml:space="preserve"> </w:t>
      </w:r>
      <w:r>
        <w:t>and</w:t>
      </w:r>
    </w:p>
    <w:p w:rsidR="00D96B91" w:rsidRDefault="00C2656B">
      <w:pPr>
        <w:pStyle w:val="BodyText"/>
        <w:numPr>
          <w:ilvl w:val="0"/>
          <w:numId w:val="6"/>
        </w:numPr>
        <w:tabs>
          <w:tab w:val="left" w:pos="1588"/>
        </w:tabs>
        <w:spacing w:before="85" w:line="260" w:lineRule="exact"/>
        <w:ind w:right="1709" w:hanging="340"/>
      </w:pPr>
      <w:r>
        <w:t>must notify</w:t>
      </w:r>
      <w:r>
        <w:rPr>
          <w:spacing w:val="-4"/>
        </w:rPr>
        <w:t xml:space="preserve"> </w:t>
      </w:r>
      <w:r>
        <w:rPr>
          <w:spacing w:val="-2"/>
        </w:rPr>
        <w:t>ACTEW</w:t>
      </w:r>
      <w:r>
        <w:rPr>
          <w:spacing w:val="-3"/>
        </w:rPr>
        <w:t xml:space="preserve"> </w:t>
      </w:r>
      <w:r>
        <w:t>in writing of</w:t>
      </w:r>
      <w:r>
        <w:rPr>
          <w:spacing w:val="4"/>
        </w:rPr>
        <w:t xml:space="preserve"> </w:t>
      </w:r>
      <w:r>
        <w:t xml:space="preserve">the </w:t>
      </w:r>
      <w:r>
        <w:rPr>
          <w:spacing w:val="-1"/>
        </w:rPr>
        <w:t>pass-through</w:t>
      </w:r>
      <w:r>
        <w:t xml:space="preserve"> amount,</w:t>
      </w:r>
      <w:r>
        <w:rPr>
          <w:spacing w:val="-6"/>
        </w:rPr>
        <w:t xml:space="preserve"> </w:t>
      </w:r>
      <w:r>
        <w:t xml:space="preserve">the basis on which the </w:t>
      </w:r>
      <w:r>
        <w:rPr>
          <w:spacing w:val="-1"/>
        </w:rPr>
        <w:t>pass-through</w:t>
      </w:r>
      <w:r>
        <w:rPr>
          <w:spacing w:val="41"/>
        </w:rPr>
        <w:t xml:space="preserve"> </w:t>
      </w:r>
      <w:r>
        <w:t xml:space="preserve">amount is to </w:t>
      </w:r>
      <w:r>
        <w:rPr>
          <w:spacing w:val="-2"/>
        </w:rPr>
        <w:t>apply,</w:t>
      </w:r>
      <w:r>
        <w:rPr>
          <w:spacing w:val="-6"/>
        </w:rPr>
        <w:t xml:space="preserve"> </w:t>
      </w:r>
      <w:r>
        <w:t xml:space="preserve">and the </w:t>
      </w:r>
      <w:r>
        <w:rPr>
          <w:spacing w:val="-1"/>
        </w:rPr>
        <w:t>reason</w:t>
      </w:r>
      <w:r>
        <w:t xml:space="preserve"> for the </w:t>
      </w:r>
      <w:r>
        <w:rPr>
          <w:spacing w:val="-2"/>
        </w:rPr>
        <w:t>Commission’s</w:t>
      </w:r>
      <w:r>
        <w:t xml:space="preserve"> decision.</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6.</w:t>
      </w:r>
      <w:r>
        <w:rPr>
          <w:color w:val="0778BE"/>
          <w:spacing w:val="74"/>
        </w:rPr>
        <w:t xml:space="preserve"> </w:t>
      </w:r>
      <w:r>
        <w:rPr>
          <w:color w:val="0778BE"/>
          <w:spacing w:val="-3"/>
        </w:rPr>
        <w:t>Partial</w:t>
      </w:r>
      <w:r>
        <w:rPr>
          <w:color w:val="0778BE"/>
        </w:rPr>
        <w:t xml:space="preserve"> adjustment</w:t>
      </w:r>
    </w:p>
    <w:p w:rsidR="00D96B91" w:rsidRDefault="00C2656B">
      <w:pPr>
        <w:pStyle w:val="BodyText"/>
        <w:spacing w:before="55" w:line="260" w:lineRule="exact"/>
        <w:ind w:right="1246"/>
      </w:pPr>
      <w:r>
        <w:t>If</w:t>
      </w:r>
      <w:r>
        <w:rPr>
          <w:spacing w:val="4"/>
        </w:rPr>
        <w:t xml:space="preserve"> </w:t>
      </w:r>
      <w:r>
        <w:t>by 11</w:t>
      </w:r>
      <w:r>
        <w:rPr>
          <w:spacing w:val="-3"/>
        </w:rPr>
        <w:t xml:space="preserve"> </w:t>
      </w:r>
      <w:r>
        <w:t xml:space="preserve">June the </w:t>
      </w:r>
      <w:r>
        <w:rPr>
          <w:spacing w:val="-1"/>
        </w:rPr>
        <w:t>Commission</w:t>
      </w:r>
      <w:r>
        <w:t xml:space="preserve"> has not </w:t>
      </w:r>
      <w:r>
        <w:rPr>
          <w:spacing w:val="-1"/>
        </w:rPr>
        <w:t>approved</w:t>
      </w:r>
      <w:r>
        <w:t xml:space="preserve"> a </w:t>
      </w:r>
      <w:r>
        <w:rPr>
          <w:spacing w:val="-1"/>
        </w:rPr>
        <w:t>proposed</w:t>
      </w:r>
      <w:r>
        <w:t xml:space="preserve"> </w:t>
      </w:r>
      <w:r>
        <w:rPr>
          <w:spacing w:val="-1"/>
        </w:rPr>
        <w:t>pass-through</w:t>
      </w:r>
      <w:r>
        <w:t xml:space="preserve"> amount in </w:t>
      </w:r>
      <w:r>
        <w:rPr>
          <w:spacing w:val="-1"/>
        </w:rPr>
        <w:t>respect</w:t>
      </w:r>
      <w:r>
        <w:t xml:space="preserve"> of</w:t>
      </w:r>
      <w:r>
        <w:rPr>
          <w:spacing w:val="4"/>
        </w:rPr>
        <w:t xml:space="preserve"> </w:t>
      </w:r>
      <w:r>
        <w:t>a pass-</w:t>
      </w:r>
      <w:r>
        <w:rPr>
          <w:spacing w:val="53"/>
        </w:rPr>
        <w:t xml:space="preserve"> </w:t>
      </w:r>
      <w:r>
        <w:rPr>
          <w:spacing w:val="-1"/>
        </w:rPr>
        <w:t xml:space="preserve">through </w:t>
      </w:r>
      <w:r>
        <w:t>event,</w:t>
      </w:r>
      <w:r>
        <w:rPr>
          <w:spacing w:val="-6"/>
        </w:rPr>
        <w:t xml:space="preserve"> </w:t>
      </w:r>
      <w:r>
        <w:t>then</w:t>
      </w:r>
      <w:r>
        <w:rPr>
          <w:spacing w:val="-1"/>
        </w:rPr>
        <w:t xml:space="preserve"> </w:t>
      </w:r>
      <w:r>
        <w:t>the prices</w:t>
      </w:r>
      <w:r>
        <w:rPr>
          <w:spacing w:val="-1"/>
        </w:rPr>
        <w:t xml:space="preserve"> </w:t>
      </w:r>
      <w:r>
        <w:t>notified by</w:t>
      </w:r>
      <w:r>
        <w:rPr>
          <w:spacing w:val="-1"/>
        </w:rPr>
        <w:t xml:space="preserve"> </w:t>
      </w:r>
      <w:r>
        <w:t xml:space="preserve">the </w:t>
      </w:r>
      <w:r>
        <w:rPr>
          <w:spacing w:val="-1"/>
        </w:rPr>
        <w:t>C</w:t>
      </w:r>
      <w:hyperlink w:anchor="_bookmark176" w:history="1">
        <w:r>
          <w:rPr>
            <w:spacing w:val="-1"/>
          </w:rPr>
          <w:t xml:space="preserve">ommission </w:t>
        </w:r>
        <w:r>
          <w:t>under clause</w:t>
        </w:r>
        <w:r>
          <w:rPr>
            <w:spacing w:val="-1"/>
          </w:rPr>
          <w:t xml:space="preserve"> </w:t>
        </w:r>
        <w:r>
          <w:t>9.1,</w:t>
        </w:r>
      </w:hyperlink>
      <w:r>
        <w:rPr>
          <w:spacing w:val="-6"/>
        </w:rPr>
        <w:t xml:space="preserve"> </w:t>
      </w:r>
      <w:r>
        <w:t>together</w:t>
      </w:r>
      <w:r>
        <w:rPr>
          <w:spacing w:val="-1"/>
        </w:rPr>
        <w:t xml:space="preserve"> </w:t>
      </w:r>
      <w:r>
        <w:t>with any</w:t>
      </w:r>
      <w:r>
        <w:rPr>
          <w:spacing w:val="-1"/>
        </w:rPr>
        <w:t xml:space="preserve"> </w:t>
      </w:r>
      <w:r>
        <w:t>pass-</w:t>
      </w:r>
      <w:r>
        <w:rPr>
          <w:spacing w:val="21"/>
        </w:rPr>
        <w:t xml:space="preserve"> </w:t>
      </w:r>
      <w:r>
        <w:rPr>
          <w:spacing w:val="-1"/>
        </w:rPr>
        <w:t>through</w:t>
      </w:r>
      <w:r>
        <w:t xml:space="preserve"> amount in </w:t>
      </w:r>
      <w:r>
        <w:rPr>
          <w:spacing w:val="-1"/>
        </w:rPr>
        <w:t>respect</w:t>
      </w:r>
      <w:r>
        <w:t xml:space="preserve"> of</w:t>
      </w:r>
      <w:r>
        <w:rPr>
          <w:spacing w:val="4"/>
        </w:rPr>
        <w:t xml:space="preserve"> </w:t>
      </w:r>
      <w:r>
        <w:t xml:space="preserve">another </w:t>
      </w:r>
      <w:r>
        <w:rPr>
          <w:spacing w:val="-1"/>
        </w:rPr>
        <w:t>pass-through</w:t>
      </w:r>
      <w:r>
        <w:t xml:space="preserve"> event </w:t>
      </w:r>
      <w:r>
        <w:rPr>
          <w:spacing w:val="-1"/>
        </w:rPr>
        <w:t>that</w:t>
      </w:r>
      <w:r>
        <w:t xml:space="preserve"> has been </w:t>
      </w:r>
      <w:r>
        <w:rPr>
          <w:spacing w:val="-1"/>
        </w:rPr>
        <w:t>approved</w:t>
      </w:r>
      <w:r>
        <w:t xml:space="preserve"> by the </w:t>
      </w:r>
      <w:r>
        <w:rPr>
          <w:spacing w:val="-1"/>
        </w:rPr>
        <w:t>Commission</w:t>
      </w:r>
      <w:r>
        <w:rPr>
          <w:spacing w:val="55"/>
        </w:rPr>
        <w:t xml:space="preserve"> </w:t>
      </w:r>
      <w:r>
        <w:t xml:space="preserve">by </w:t>
      </w:r>
      <w:r>
        <w:rPr>
          <w:spacing w:val="-1"/>
        </w:rPr>
        <w:t>that</w:t>
      </w:r>
      <w:r>
        <w:t xml:space="preserve"> </w:t>
      </w:r>
      <w:r>
        <w:rPr>
          <w:spacing w:val="-1"/>
        </w:rPr>
        <w:t>date,</w:t>
      </w:r>
      <w:r>
        <w:rPr>
          <w:spacing w:val="-6"/>
        </w:rPr>
        <w:t xml:space="preserve"> </w:t>
      </w:r>
      <w:r>
        <w:t xml:space="preserve">will </w:t>
      </w:r>
      <w:r>
        <w:rPr>
          <w:spacing w:val="-1"/>
        </w:rPr>
        <w:t>take</w:t>
      </w:r>
      <w:r>
        <w:t xml:space="preserve"> </w:t>
      </w:r>
      <w:r>
        <w:rPr>
          <w:spacing w:val="-1"/>
        </w:rPr>
        <w:t>effect</w:t>
      </w:r>
      <w:r>
        <w:t xml:space="preserve"> as </w:t>
      </w:r>
      <w:r>
        <w:rPr>
          <w:spacing w:val="-1"/>
        </w:rPr>
        <w:t>from</w:t>
      </w:r>
      <w:r>
        <w:t xml:space="preserve"> 1</w:t>
      </w:r>
      <w:r>
        <w:rPr>
          <w:spacing w:val="-3"/>
        </w:rPr>
        <w:t xml:space="preserve"> </w:t>
      </w:r>
      <w:r>
        <w:t>July of</w:t>
      </w:r>
      <w:r>
        <w:rPr>
          <w:spacing w:val="4"/>
        </w:rPr>
        <w:t xml:space="preserve"> </w:t>
      </w:r>
      <w:r>
        <w:t xml:space="preserve">the following </w:t>
      </w:r>
      <w:r>
        <w:rPr>
          <w:spacing w:val="-1"/>
        </w:rPr>
        <w:t>regulatory</w:t>
      </w:r>
      <w:r>
        <w:t xml:space="preserve"> </w:t>
      </w:r>
      <w:r>
        <w:rPr>
          <w:spacing w:val="-1"/>
        </w:rPr>
        <w:t>year</w:t>
      </w:r>
      <w:r>
        <w:t xml:space="preserve"> and</w:t>
      </w:r>
      <w:r>
        <w:rPr>
          <w:spacing w:val="-4"/>
        </w:rPr>
        <w:t xml:space="preserve"> </w:t>
      </w:r>
      <w:r>
        <w:rPr>
          <w:spacing w:val="-2"/>
        </w:rPr>
        <w:t>ACTEW</w:t>
      </w:r>
      <w:r>
        <w:rPr>
          <w:spacing w:val="-3"/>
        </w:rPr>
        <w:t xml:space="preserve"> </w:t>
      </w:r>
      <w:r>
        <w:t>will amend its</w:t>
      </w:r>
      <w:r>
        <w:rPr>
          <w:spacing w:val="35"/>
        </w:rPr>
        <w:t xml:space="preserve"> </w:t>
      </w:r>
      <w:r>
        <w:rPr>
          <w:spacing w:val="-1"/>
        </w:rPr>
        <w:t>standard</w:t>
      </w:r>
      <w:r>
        <w:t xml:space="preserve"> customer </w:t>
      </w:r>
      <w:r>
        <w:rPr>
          <w:spacing w:val="-1"/>
        </w:rPr>
        <w:t>contract</w:t>
      </w:r>
      <w:r>
        <w:t xml:space="preserve"> to </w:t>
      </w:r>
      <w:r>
        <w:rPr>
          <w:spacing w:val="-1"/>
        </w:rPr>
        <w:t>take</w:t>
      </w:r>
      <w:r>
        <w:t xml:space="preserve"> account of</w:t>
      </w:r>
      <w:r>
        <w:rPr>
          <w:spacing w:val="4"/>
        </w:rPr>
        <w:t xml:space="preserve"> </w:t>
      </w:r>
      <w:r>
        <w:t xml:space="preserve">the prices as adjusted and </w:t>
      </w:r>
      <w:r>
        <w:rPr>
          <w:spacing w:val="-1"/>
        </w:rPr>
        <w:t>approved</w:t>
      </w:r>
      <w:r>
        <w:t xml:space="preserve"> by the </w:t>
      </w:r>
      <w:r>
        <w:rPr>
          <w:spacing w:val="-1"/>
        </w:rPr>
        <w:t>Commission.</w:t>
      </w:r>
    </w:p>
    <w:p w:rsidR="00D96B91" w:rsidRDefault="00C2656B">
      <w:pPr>
        <w:pStyle w:val="BodyText"/>
        <w:spacing w:before="170" w:line="260" w:lineRule="exact"/>
        <w:ind w:right="1256"/>
      </w:pPr>
      <w:r>
        <w:rPr>
          <w:spacing w:val="-1"/>
        </w:rPr>
        <w:t>These</w:t>
      </w:r>
      <w:r>
        <w:t xml:space="preserve"> prices will </w:t>
      </w:r>
      <w:r>
        <w:rPr>
          <w:spacing w:val="-1"/>
        </w:rPr>
        <w:t>remain</w:t>
      </w:r>
      <w:r>
        <w:t xml:space="preserve"> in place until the </w:t>
      </w:r>
      <w:r>
        <w:rPr>
          <w:spacing w:val="-1"/>
        </w:rPr>
        <w:t>Commission</w:t>
      </w:r>
      <w:r>
        <w:t xml:space="preserve"> </w:t>
      </w:r>
      <w:r>
        <w:rPr>
          <w:spacing w:val="-1"/>
        </w:rPr>
        <w:t>approves</w:t>
      </w:r>
      <w:r>
        <w:t xml:space="preserve"> a </w:t>
      </w:r>
      <w:r>
        <w:rPr>
          <w:spacing w:val="-1"/>
        </w:rPr>
        <w:t>pass-through</w:t>
      </w:r>
      <w:r>
        <w:t xml:space="preserve"> amount </w:t>
      </w:r>
      <w:r>
        <w:rPr>
          <w:spacing w:val="-1"/>
        </w:rPr>
        <w:t>proposed</w:t>
      </w:r>
      <w:r>
        <w:t xml:space="preserve"> by</w:t>
      </w:r>
      <w:r>
        <w:rPr>
          <w:spacing w:val="53"/>
        </w:rPr>
        <w:t xml:space="preserve"> </w:t>
      </w:r>
      <w:r>
        <w:rPr>
          <w:spacing w:val="-2"/>
        </w:rPr>
        <w:t>ACTEW</w:t>
      </w:r>
      <w:r>
        <w:rPr>
          <w:spacing w:val="-3"/>
        </w:rPr>
        <w:t xml:space="preserve"> </w:t>
      </w:r>
      <w:r>
        <w:t xml:space="preserve">consistent with the </w:t>
      </w:r>
      <w:r>
        <w:rPr>
          <w:spacing w:val="-1"/>
        </w:rPr>
        <w:t>provisions</w:t>
      </w:r>
      <w:r>
        <w:t xml:space="preserve"> of</w:t>
      </w:r>
      <w:r>
        <w:rPr>
          <w:spacing w:val="4"/>
        </w:rPr>
        <w:t xml:space="preserve"> </w:t>
      </w:r>
      <w:r>
        <w:t xml:space="preserve">the </w:t>
      </w:r>
      <w:r>
        <w:rPr>
          <w:spacing w:val="-2"/>
        </w:rPr>
        <w:t>Price</w:t>
      </w:r>
      <w:r>
        <w:t xml:space="preserve"> </w:t>
      </w:r>
      <w:r>
        <w:rPr>
          <w:spacing w:val="-1"/>
        </w:rPr>
        <w:t>Direction.</w:t>
      </w:r>
    </w:p>
    <w:p w:rsidR="00D96B91" w:rsidRDefault="00D96B91">
      <w:pPr>
        <w:spacing w:before="9"/>
        <w:rPr>
          <w:rFonts w:ascii="Avenir Next" w:eastAsia="Avenir Next" w:hAnsi="Avenir Next" w:cs="Avenir Next"/>
          <w:sz w:val="29"/>
          <w:szCs w:val="29"/>
        </w:rPr>
      </w:pPr>
    </w:p>
    <w:p w:rsidR="00D96B91" w:rsidRDefault="00C2656B">
      <w:pPr>
        <w:pStyle w:val="Heading3"/>
        <w:rPr>
          <w:b w:val="0"/>
          <w:bCs w:val="0"/>
        </w:rPr>
      </w:pPr>
      <w:r>
        <w:rPr>
          <w:color w:val="0778BE"/>
        </w:rPr>
        <w:t>9.</w:t>
      </w:r>
      <w:r>
        <w:rPr>
          <w:color w:val="0778BE"/>
          <w:spacing w:val="-9"/>
        </w:rPr>
        <w:t xml:space="preserve"> </w:t>
      </w:r>
      <w:r>
        <w:rPr>
          <w:color w:val="0778BE"/>
        </w:rPr>
        <w:t>7.</w:t>
      </w:r>
      <w:r>
        <w:rPr>
          <w:color w:val="0778BE"/>
          <w:spacing w:val="74"/>
        </w:rPr>
        <w:t xml:space="preserve"> </w:t>
      </w:r>
      <w:r>
        <w:rPr>
          <w:color w:val="0778BE"/>
        </w:rPr>
        <w:t>Unavailability of</w:t>
      </w:r>
      <w:r>
        <w:rPr>
          <w:color w:val="0778BE"/>
          <w:spacing w:val="7"/>
        </w:rPr>
        <w:t xml:space="preserve"> </w:t>
      </w:r>
      <w:r>
        <w:rPr>
          <w:color w:val="0778BE"/>
          <w:spacing w:val="-1"/>
        </w:rPr>
        <w:t>information</w:t>
      </w:r>
    </w:p>
    <w:p w:rsidR="00D96B91" w:rsidRDefault="00C2656B">
      <w:pPr>
        <w:pStyle w:val="BodyText"/>
        <w:spacing w:before="55" w:line="260" w:lineRule="exact"/>
        <w:ind w:right="1513"/>
        <w:rPr>
          <w:rFonts w:cs="Avenir Next"/>
        </w:rPr>
      </w:pPr>
      <w:r>
        <w:t>If</w:t>
      </w:r>
      <w:r>
        <w:rPr>
          <w:spacing w:val="4"/>
        </w:rPr>
        <w:t xml:space="preserve"> </w:t>
      </w:r>
      <w:r>
        <w:t xml:space="preserve">any </w:t>
      </w:r>
      <w:r>
        <w:rPr>
          <w:spacing w:val="-1"/>
        </w:rPr>
        <w:t>information</w:t>
      </w:r>
      <w:r>
        <w:t xml:space="preserve"> </w:t>
      </w:r>
      <w:r>
        <w:rPr>
          <w:spacing w:val="-1"/>
        </w:rPr>
        <w:t>required</w:t>
      </w:r>
      <w:r>
        <w:t xml:space="preserve"> by</w:t>
      </w:r>
      <w:r>
        <w:rPr>
          <w:spacing w:val="-4"/>
        </w:rPr>
        <w:t xml:space="preserve"> </w:t>
      </w:r>
      <w:r>
        <w:rPr>
          <w:spacing w:val="-2"/>
        </w:rPr>
        <w:t>ACTEW</w:t>
      </w:r>
      <w:r>
        <w:rPr>
          <w:spacing w:val="-3"/>
        </w:rPr>
        <w:t xml:space="preserve"> </w:t>
      </w:r>
      <w:r>
        <w:t xml:space="preserve">in </w:t>
      </w:r>
      <w:r>
        <w:rPr>
          <w:spacing w:val="-1"/>
        </w:rPr>
        <w:t>order</w:t>
      </w:r>
      <w:r>
        <w:t xml:space="preserve"> to </w:t>
      </w:r>
      <w:r>
        <w:rPr>
          <w:spacing w:val="-1"/>
        </w:rPr>
        <w:t>make</w:t>
      </w:r>
      <w:r>
        <w:t xml:space="preserve"> a </w:t>
      </w:r>
      <w:r>
        <w:rPr>
          <w:spacing w:val="-1"/>
        </w:rPr>
        <w:t>pass-through</w:t>
      </w:r>
      <w:r>
        <w:t xml:space="preserve"> submission in </w:t>
      </w:r>
      <w:r>
        <w:rPr>
          <w:spacing w:val="-1"/>
        </w:rPr>
        <w:t>accordance</w:t>
      </w:r>
      <w:r>
        <w:rPr>
          <w:spacing w:val="57"/>
        </w:rPr>
        <w:t xml:space="preserve"> </w:t>
      </w:r>
      <w:r>
        <w:t xml:space="preserve">with clause </w:t>
      </w:r>
      <w:hyperlink w:anchor="_bookmark178" w:history="1">
        <w:r>
          <w:t>9.2</w:t>
        </w:r>
      </w:hyperlink>
      <w:r>
        <w:t xml:space="preserve"> is not available by 1 </w:t>
      </w:r>
      <w:r>
        <w:rPr>
          <w:spacing w:val="-2"/>
        </w:rPr>
        <w:t>May,</w:t>
      </w:r>
      <w:r>
        <w:rPr>
          <w:spacing w:val="-10"/>
        </w:rPr>
        <w:t xml:space="preserve"> </w:t>
      </w:r>
      <w:r>
        <w:rPr>
          <w:spacing w:val="-2"/>
        </w:rPr>
        <w:t>ACTEW</w:t>
      </w:r>
      <w:r>
        <w:rPr>
          <w:spacing w:val="-3"/>
        </w:rPr>
        <w:t xml:space="preserve"> </w:t>
      </w:r>
      <w:r>
        <w:t xml:space="preserve">may </w:t>
      </w:r>
      <w:r>
        <w:rPr>
          <w:spacing w:val="-1"/>
        </w:rPr>
        <w:t>make</w:t>
      </w:r>
      <w:r>
        <w:t xml:space="preserve"> the </w:t>
      </w:r>
      <w:r>
        <w:rPr>
          <w:spacing w:val="-1"/>
        </w:rPr>
        <w:t>pass-through</w:t>
      </w:r>
      <w:r>
        <w:t xml:space="preserve"> submission as soon as</w:t>
      </w:r>
      <w:r>
        <w:rPr>
          <w:spacing w:val="25"/>
        </w:rPr>
        <w:t xml:space="preserve"> </w:t>
      </w:r>
      <w:r>
        <w:rPr>
          <w:spacing w:val="-1"/>
        </w:rPr>
        <w:t>practicable</w:t>
      </w:r>
      <w:r>
        <w:t xml:space="preserve"> </w:t>
      </w:r>
      <w:r>
        <w:rPr>
          <w:spacing w:val="-1"/>
        </w:rPr>
        <w:t>after</w:t>
      </w:r>
      <w:r>
        <w:t xml:space="preserve"> the </w:t>
      </w:r>
      <w:r>
        <w:rPr>
          <w:spacing w:val="-1"/>
        </w:rPr>
        <w:t>relevant</w:t>
      </w:r>
      <w:r>
        <w:t xml:space="preserve"> </w:t>
      </w:r>
      <w:r>
        <w:rPr>
          <w:spacing w:val="-1"/>
        </w:rPr>
        <w:t>information</w:t>
      </w:r>
      <w:r>
        <w:t xml:space="preserve"> becomes available and </w:t>
      </w:r>
      <w:r>
        <w:rPr>
          <w:spacing w:val="-1"/>
        </w:rPr>
        <w:t>each</w:t>
      </w:r>
      <w:r>
        <w:t xml:space="preserve"> of</w:t>
      </w:r>
      <w:r>
        <w:rPr>
          <w:spacing w:val="4"/>
        </w:rPr>
        <w:t xml:space="preserve"> </w:t>
      </w:r>
      <w:r>
        <w:t xml:space="preserve">the </w:t>
      </w:r>
      <w:r>
        <w:rPr>
          <w:spacing w:val="-1"/>
        </w:rPr>
        <w:t>dates</w:t>
      </w:r>
      <w:r>
        <w:t xml:space="preserve"> in clauses </w:t>
      </w:r>
      <w:hyperlink w:anchor="_bookmark178" w:history="1">
        <w:r>
          <w:t>9.2</w:t>
        </w:r>
      </w:hyperlink>
      <w:r>
        <w:t xml:space="preserve"> and</w:t>
      </w:r>
    </w:p>
    <w:p w:rsidR="00D96B91" w:rsidRDefault="00D96B91">
      <w:pPr>
        <w:pStyle w:val="BodyText"/>
        <w:spacing w:before="8"/>
      </w:pPr>
      <w:hyperlink w:anchor="_bookmark179" w:history="1">
        <w:r w:rsidR="00C2656B">
          <w:t>9.3</w:t>
        </w:r>
      </w:hyperlink>
      <w:r w:rsidR="00C2656B">
        <w:t xml:space="preserve"> will be </w:t>
      </w:r>
      <w:r w:rsidR="00C2656B">
        <w:rPr>
          <w:spacing w:val="-1"/>
        </w:rPr>
        <w:t>extended</w:t>
      </w:r>
      <w:r w:rsidR="00C2656B">
        <w:t xml:space="preserve"> </w:t>
      </w:r>
      <w:r w:rsidR="00C2656B">
        <w:rPr>
          <w:spacing w:val="-1"/>
        </w:rPr>
        <w:t>accordingly.</w:t>
      </w:r>
    </w:p>
    <w:p w:rsidR="00D96B91" w:rsidRDefault="00D96B91">
      <w:pPr>
        <w:sectPr w:rsidR="00D96B91">
          <w:footerReference w:type="even" r:id="rId153"/>
          <w:footerReference w:type="default" r:id="rId154"/>
          <w:pgSz w:w="11910" w:h="16840"/>
          <w:pgMar w:top="1200" w:right="0" w:bottom="1020" w:left="0" w:header="0" w:footer="829" w:gutter="0"/>
          <w:cols w:space="720"/>
        </w:sectPr>
      </w:pPr>
    </w:p>
    <w:p w:rsidR="00D96B91" w:rsidRDefault="00C2656B">
      <w:pPr>
        <w:pStyle w:val="Heading1"/>
        <w:tabs>
          <w:tab w:val="left" w:pos="2687"/>
        </w:tabs>
        <w:spacing w:line="516" w:lineRule="exact"/>
      </w:pPr>
      <w:bookmarkStart w:id="305" w:name="Part_D_Legislative_Provisions"/>
      <w:bookmarkStart w:id="306" w:name="10._Price_Direction_variation_trigger_ev"/>
      <w:bookmarkStart w:id="307" w:name="11._Future_reset_principles"/>
      <w:bookmarkStart w:id="308" w:name="_bookmark182"/>
      <w:bookmarkEnd w:id="305"/>
      <w:bookmarkEnd w:id="306"/>
      <w:bookmarkEnd w:id="307"/>
      <w:bookmarkEnd w:id="308"/>
      <w:r>
        <w:rPr>
          <w:color w:val="0778BE"/>
          <w:spacing w:val="-7"/>
        </w:rPr>
        <w:t>Part</w:t>
      </w:r>
      <w:r>
        <w:rPr>
          <w:color w:val="0778BE"/>
        </w:rPr>
        <w:t xml:space="preserve"> D</w:t>
      </w:r>
      <w:r>
        <w:rPr>
          <w:color w:val="0778BE"/>
        </w:rPr>
        <w:tab/>
      </w:r>
      <w:r>
        <w:rPr>
          <w:color w:val="0778BE"/>
          <w:spacing w:val="-2"/>
        </w:rPr>
        <w:t>Legislative</w:t>
      </w:r>
      <w:r>
        <w:rPr>
          <w:color w:val="0778BE"/>
        </w:rPr>
        <w:t xml:space="preserve"> </w:t>
      </w:r>
      <w:r>
        <w:rPr>
          <w:color w:val="0778BE"/>
          <w:spacing w:val="-3"/>
        </w:rPr>
        <w:t>Provisions</w:t>
      </w:r>
    </w:p>
    <w:p w:rsidR="00D96B91" w:rsidRDefault="00D96B91">
      <w:pPr>
        <w:spacing w:before="12"/>
        <w:rPr>
          <w:rFonts w:ascii="Avenir Next Medium" w:eastAsia="Avenir Next Medium" w:hAnsi="Avenir Next Medium" w:cs="Avenir Next Medium"/>
          <w:sz w:val="26"/>
          <w:szCs w:val="26"/>
        </w:rPr>
      </w:pPr>
    </w:p>
    <w:p w:rsidR="00D96B91" w:rsidRDefault="00C2656B">
      <w:pPr>
        <w:pStyle w:val="BodyText"/>
      </w:pPr>
      <w:r>
        <w:t xml:space="preserve">Nothing in this </w:t>
      </w:r>
      <w:r>
        <w:rPr>
          <w:spacing w:val="-4"/>
        </w:rPr>
        <w:t>Part</w:t>
      </w:r>
      <w:r>
        <w:t xml:space="preserve"> D limits the </w:t>
      </w:r>
      <w:r>
        <w:rPr>
          <w:spacing w:val="-1"/>
        </w:rPr>
        <w:t>provisions</w:t>
      </w:r>
      <w:r>
        <w:t xml:space="preserve"> of</w:t>
      </w:r>
      <w:r>
        <w:rPr>
          <w:spacing w:val="4"/>
        </w:rPr>
        <w:t xml:space="preserve"> </w:t>
      </w:r>
      <w:r>
        <w:t>the</w:t>
      </w:r>
      <w:r>
        <w:rPr>
          <w:spacing w:val="-4"/>
        </w:rPr>
        <w:t xml:space="preserve"> </w:t>
      </w:r>
      <w:r>
        <w:t>Act.</w:t>
      </w:r>
    </w:p>
    <w:p w:rsidR="00D96B91" w:rsidRDefault="00D96B91">
      <w:pPr>
        <w:spacing w:before="5"/>
        <w:rPr>
          <w:rFonts w:ascii="Avenir Next" w:eastAsia="Avenir Next" w:hAnsi="Avenir Next" w:cs="Avenir Next"/>
          <w:sz w:val="20"/>
          <w:szCs w:val="20"/>
        </w:rPr>
      </w:pPr>
    </w:p>
    <w:p w:rsidR="00D96B91" w:rsidRDefault="00C2656B">
      <w:pPr>
        <w:pStyle w:val="Heading2"/>
        <w:numPr>
          <w:ilvl w:val="0"/>
          <w:numId w:val="5"/>
        </w:numPr>
        <w:tabs>
          <w:tab w:val="left" w:pos="1815"/>
        </w:tabs>
        <w:rPr>
          <w:b w:val="0"/>
          <w:bCs w:val="0"/>
        </w:rPr>
      </w:pPr>
      <w:r>
        <w:rPr>
          <w:color w:val="0778BE"/>
          <w:spacing w:val="-4"/>
        </w:rPr>
        <w:t>Price</w:t>
      </w:r>
      <w:r>
        <w:rPr>
          <w:color w:val="0778BE"/>
        </w:rPr>
        <w:t xml:space="preserve"> </w:t>
      </w:r>
      <w:r>
        <w:rPr>
          <w:color w:val="0778BE"/>
          <w:spacing w:val="-1"/>
        </w:rPr>
        <w:t>Direction</w:t>
      </w:r>
      <w:r>
        <w:rPr>
          <w:color w:val="0778BE"/>
        </w:rPr>
        <w:t xml:space="preserve"> </w:t>
      </w:r>
      <w:r>
        <w:rPr>
          <w:color w:val="0778BE"/>
          <w:spacing w:val="-1"/>
        </w:rPr>
        <w:t>variation</w:t>
      </w:r>
      <w:r>
        <w:rPr>
          <w:color w:val="0778BE"/>
        </w:rPr>
        <w:t xml:space="preserve"> trigger events</w:t>
      </w:r>
    </w:p>
    <w:p w:rsidR="00D96B91" w:rsidRDefault="00C2656B">
      <w:pPr>
        <w:pStyle w:val="BodyText"/>
        <w:spacing w:before="154" w:line="260" w:lineRule="exact"/>
        <w:ind w:right="1548"/>
        <w:rPr>
          <w:rFonts w:cs="Avenir Next"/>
        </w:rPr>
      </w:pPr>
      <w:r>
        <w:rPr>
          <w:spacing w:val="-2"/>
        </w:rPr>
        <w:t>Pursuant</w:t>
      </w:r>
      <w:r>
        <w:t xml:space="preserve"> to sections 20A(3)(c) and 24F(2) of</w:t>
      </w:r>
      <w:r>
        <w:rPr>
          <w:spacing w:val="4"/>
        </w:rPr>
        <w:t xml:space="preserve"> </w:t>
      </w:r>
      <w:r>
        <w:t>the</w:t>
      </w:r>
      <w:r>
        <w:rPr>
          <w:spacing w:val="-4"/>
        </w:rPr>
        <w:t xml:space="preserve"> </w:t>
      </w:r>
      <w:r>
        <w:t>Act,</w:t>
      </w:r>
      <w:r>
        <w:rPr>
          <w:spacing w:val="-6"/>
        </w:rPr>
        <w:t xml:space="preserve"> </w:t>
      </w:r>
      <w:r>
        <w:t xml:space="preserve">the following events </w:t>
      </w:r>
      <w:r>
        <w:rPr>
          <w:spacing w:val="-2"/>
        </w:rPr>
        <w:t>are</w:t>
      </w:r>
      <w:r>
        <w:t xml:space="preserve"> price </w:t>
      </w:r>
      <w:r>
        <w:rPr>
          <w:spacing w:val="-1"/>
        </w:rPr>
        <w:t>variation</w:t>
      </w:r>
      <w:r>
        <w:t xml:space="preserve"> trigger</w:t>
      </w:r>
      <w:r>
        <w:rPr>
          <w:spacing w:val="31"/>
        </w:rPr>
        <w:t xml:space="preserve"> </w:t>
      </w:r>
      <w:r>
        <w:t>events,</w:t>
      </w:r>
      <w:r>
        <w:rPr>
          <w:spacing w:val="-6"/>
        </w:rPr>
        <w:t xml:space="preserve"> </w:t>
      </w:r>
      <w:r>
        <w:t xml:space="preserve">the </w:t>
      </w:r>
      <w:r>
        <w:rPr>
          <w:spacing w:val="-1"/>
        </w:rPr>
        <w:t>occurrence</w:t>
      </w:r>
      <w:r>
        <w:t xml:space="preserve"> of</w:t>
      </w:r>
      <w:r>
        <w:rPr>
          <w:spacing w:val="4"/>
        </w:rPr>
        <w:t xml:space="preserve"> </w:t>
      </w:r>
      <w:r>
        <w:t xml:space="preserve">which allows the </w:t>
      </w:r>
      <w:r>
        <w:rPr>
          <w:spacing w:val="-1"/>
        </w:rPr>
        <w:t>Commission</w:t>
      </w:r>
      <w:r>
        <w:t xml:space="preserve"> to </w:t>
      </w:r>
      <w:r>
        <w:rPr>
          <w:spacing w:val="-1"/>
        </w:rPr>
        <w:t>initiate</w:t>
      </w:r>
      <w:r>
        <w:t xml:space="preserve"> a </w:t>
      </w:r>
      <w:r>
        <w:rPr>
          <w:spacing w:val="-1"/>
        </w:rPr>
        <w:t>reference</w:t>
      </w:r>
      <w:r>
        <w:t xml:space="preserve"> for the </w:t>
      </w:r>
      <w:r>
        <w:rPr>
          <w:spacing w:val="-1"/>
        </w:rPr>
        <w:t>variation</w:t>
      </w:r>
      <w:r>
        <w:t xml:space="preserve"> of</w:t>
      </w:r>
      <w:r>
        <w:rPr>
          <w:spacing w:val="4"/>
        </w:rPr>
        <w:t xml:space="preserve"> </w:t>
      </w:r>
      <w:r>
        <w:t>the</w:t>
      </w:r>
      <w:r>
        <w:rPr>
          <w:spacing w:val="53"/>
        </w:rPr>
        <w:t xml:space="preserve"> </w:t>
      </w:r>
      <w:r>
        <w:rPr>
          <w:spacing w:val="-2"/>
        </w:rPr>
        <w:t>Price</w:t>
      </w:r>
      <w:r>
        <w:t xml:space="preserve"> </w:t>
      </w:r>
      <w:r>
        <w:rPr>
          <w:spacing w:val="-1"/>
        </w:rPr>
        <w:t>Direction:</w:t>
      </w:r>
    </w:p>
    <w:p w:rsidR="00D96B91" w:rsidRDefault="00C2656B">
      <w:pPr>
        <w:pStyle w:val="BodyText"/>
        <w:numPr>
          <w:ilvl w:val="0"/>
          <w:numId w:val="4"/>
        </w:numPr>
        <w:tabs>
          <w:tab w:val="left" w:pos="1588"/>
        </w:tabs>
        <w:spacing w:before="178"/>
        <w:ind w:hanging="340"/>
      </w:pPr>
      <w:r>
        <w:t>an act of</w:t>
      </w:r>
      <w:r>
        <w:rPr>
          <w:spacing w:val="4"/>
        </w:rPr>
        <w:t xml:space="preserve"> </w:t>
      </w:r>
      <w:r>
        <w:rPr>
          <w:spacing w:val="-1"/>
        </w:rPr>
        <w:t>terrorism;</w:t>
      </w:r>
    </w:p>
    <w:p w:rsidR="00D96B91" w:rsidRDefault="00C2656B">
      <w:pPr>
        <w:pStyle w:val="BodyText"/>
        <w:numPr>
          <w:ilvl w:val="0"/>
          <w:numId w:val="4"/>
        </w:numPr>
        <w:tabs>
          <w:tab w:val="left" w:pos="1588"/>
        </w:tabs>
        <w:spacing w:before="72"/>
        <w:ind w:hanging="340"/>
      </w:pPr>
      <w:r>
        <w:t xml:space="preserve">a major </w:t>
      </w:r>
      <w:r>
        <w:rPr>
          <w:spacing w:val="-1"/>
        </w:rPr>
        <w:t>natural</w:t>
      </w:r>
      <w:r>
        <w:t xml:space="preserve"> disaster;</w:t>
      </w:r>
    </w:p>
    <w:p w:rsidR="00D96B91" w:rsidRDefault="00C2656B">
      <w:pPr>
        <w:pStyle w:val="BodyText"/>
        <w:numPr>
          <w:ilvl w:val="0"/>
          <w:numId w:val="4"/>
        </w:numPr>
        <w:tabs>
          <w:tab w:val="left" w:pos="1588"/>
        </w:tabs>
        <w:spacing w:before="72"/>
        <w:ind w:hanging="340"/>
      </w:pPr>
      <w:r>
        <w:t>major damage to</w:t>
      </w:r>
      <w:r>
        <w:rPr>
          <w:spacing w:val="-4"/>
        </w:rPr>
        <w:t xml:space="preserve"> </w:t>
      </w:r>
      <w:r>
        <w:rPr>
          <w:spacing w:val="-2"/>
        </w:rPr>
        <w:t>ACTEW’s</w:t>
      </w:r>
      <w:r>
        <w:t xml:space="preserve"> </w:t>
      </w:r>
      <w:r>
        <w:rPr>
          <w:spacing w:val="-1"/>
        </w:rPr>
        <w:t>infrastructure;</w:t>
      </w:r>
    </w:p>
    <w:p w:rsidR="00D96B91" w:rsidRDefault="00C2656B">
      <w:pPr>
        <w:pStyle w:val="BodyText"/>
        <w:numPr>
          <w:ilvl w:val="0"/>
          <w:numId w:val="4"/>
        </w:numPr>
        <w:tabs>
          <w:tab w:val="left" w:pos="1588"/>
        </w:tabs>
        <w:spacing w:before="72"/>
        <w:ind w:hanging="340"/>
      </w:pPr>
      <w:r>
        <w:t>a</w:t>
      </w:r>
      <w:r>
        <w:rPr>
          <w:spacing w:val="-3"/>
        </w:rPr>
        <w:t xml:space="preserve"> </w:t>
      </w:r>
      <w:r>
        <w:t>significant</w:t>
      </w:r>
      <w:r>
        <w:rPr>
          <w:spacing w:val="-2"/>
        </w:rPr>
        <w:t xml:space="preserve"> </w:t>
      </w:r>
      <w:r>
        <w:t>change</w:t>
      </w:r>
      <w:r>
        <w:rPr>
          <w:spacing w:val="-2"/>
        </w:rPr>
        <w:t xml:space="preserve"> </w:t>
      </w:r>
      <w:r>
        <w:t>to</w:t>
      </w:r>
      <w:r>
        <w:rPr>
          <w:spacing w:val="-6"/>
        </w:rPr>
        <w:t xml:space="preserve"> </w:t>
      </w:r>
      <w:r>
        <w:rPr>
          <w:spacing w:val="-2"/>
        </w:rPr>
        <w:t xml:space="preserve">ACTEW’s </w:t>
      </w:r>
      <w:r>
        <w:t>financial</w:t>
      </w:r>
      <w:r>
        <w:rPr>
          <w:spacing w:val="-2"/>
        </w:rPr>
        <w:t xml:space="preserve"> </w:t>
      </w:r>
      <w:r>
        <w:t>or</w:t>
      </w:r>
      <w:r>
        <w:rPr>
          <w:spacing w:val="-2"/>
        </w:rPr>
        <w:t xml:space="preserve"> </w:t>
      </w:r>
      <w:r>
        <w:rPr>
          <w:spacing w:val="-1"/>
        </w:rPr>
        <w:t>corporate</w:t>
      </w:r>
      <w:r>
        <w:rPr>
          <w:spacing w:val="-2"/>
        </w:rPr>
        <w:t xml:space="preserve"> </w:t>
      </w:r>
      <w:r>
        <w:rPr>
          <w:spacing w:val="-1"/>
        </w:rPr>
        <w:t>structure;</w:t>
      </w:r>
    </w:p>
    <w:p w:rsidR="00D96B91" w:rsidRDefault="00C2656B">
      <w:pPr>
        <w:pStyle w:val="BodyText"/>
        <w:numPr>
          <w:ilvl w:val="0"/>
          <w:numId w:val="4"/>
        </w:numPr>
        <w:tabs>
          <w:tab w:val="left" w:pos="1588"/>
        </w:tabs>
        <w:spacing w:before="72"/>
        <w:ind w:hanging="340"/>
      </w:pPr>
      <w:r>
        <w:rPr>
          <w:rFonts w:cs="Avenir Next"/>
        </w:rPr>
        <w:t xml:space="preserve">an </w:t>
      </w:r>
      <w:r>
        <w:rPr>
          <w:rFonts w:cs="Avenir Next"/>
          <w:spacing w:val="-1"/>
        </w:rPr>
        <w:t>unforeseen</w:t>
      </w:r>
      <w:r>
        <w:rPr>
          <w:rFonts w:cs="Avenir Next"/>
        </w:rPr>
        <w:t xml:space="preserve"> or </w:t>
      </w:r>
      <w:r>
        <w:rPr>
          <w:rFonts w:cs="Avenir Next"/>
          <w:i/>
          <w:spacing w:val="-1"/>
        </w:rPr>
        <w:t>force</w:t>
      </w:r>
      <w:r>
        <w:rPr>
          <w:rFonts w:cs="Avenir Next"/>
          <w:i/>
        </w:rPr>
        <w:t xml:space="preserve"> </w:t>
      </w:r>
      <w:r>
        <w:rPr>
          <w:rFonts w:cs="Avenir Next"/>
          <w:i/>
          <w:spacing w:val="-1"/>
        </w:rPr>
        <w:t>majeure</w:t>
      </w:r>
      <w:r>
        <w:rPr>
          <w:rFonts w:cs="Avenir Next"/>
          <w:i/>
        </w:rPr>
        <w:t xml:space="preserve"> </w:t>
      </w:r>
      <w:r>
        <w:t xml:space="preserve">event </w:t>
      </w:r>
      <w:r>
        <w:rPr>
          <w:spacing w:val="-1"/>
        </w:rPr>
        <w:t>that</w:t>
      </w:r>
      <w:r>
        <w:t xml:space="preserve"> </w:t>
      </w:r>
      <w:r>
        <w:rPr>
          <w:spacing w:val="-1"/>
        </w:rPr>
        <w:t>severely</w:t>
      </w:r>
      <w:r>
        <w:t xml:space="preserve"> </w:t>
      </w:r>
      <w:r>
        <w:rPr>
          <w:spacing w:val="-1"/>
        </w:rPr>
        <w:t>restricts</w:t>
      </w:r>
      <w:r>
        <w:rPr>
          <w:spacing w:val="-4"/>
        </w:rPr>
        <w:t xml:space="preserve"> </w:t>
      </w:r>
      <w:r>
        <w:rPr>
          <w:spacing w:val="-2"/>
        </w:rPr>
        <w:t>ACTEW’s</w:t>
      </w:r>
      <w:r>
        <w:t xml:space="preserve"> ability to </w:t>
      </w:r>
      <w:r>
        <w:rPr>
          <w:spacing w:val="-1"/>
        </w:rPr>
        <w:t>provide</w:t>
      </w:r>
      <w:r>
        <w:t xml:space="preserve"> services; or</w:t>
      </w:r>
    </w:p>
    <w:p w:rsidR="00D96B91" w:rsidRDefault="00C2656B">
      <w:pPr>
        <w:pStyle w:val="BodyText"/>
        <w:numPr>
          <w:ilvl w:val="0"/>
          <w:numId w:val="4"/>
        </w:numPr>
        <w:tabs>
          <w:tab w:val="left" w:pos="1588"/>
        </w:tabs>
        <w:spacing w:before="64" w:line="260" w:lineRule="exact"/>
        <w:ind w:right="1400" w:hanging="340"/>
      </w:pPr>
      <w:r>
        <w:t xml:space="preserve">a decision by the </w:t>
      </w:r>
      <w:r>
        <w:rPr>
          <w:spacing w:val="-1"/>
        </w:rPr>
        <w:t>C</w:t>
      </w:r>
      <w:hyperlink w:anchor="_bookmark183" w:history="1">
        <w:r>
          <w:rPr>
            <w:spacing w:val="-1"/>
          </w:rPr>
          <w:t>ommission</w:t>
        </w:r>
        <w:r>
          <w:t xml:space="preserve"> under clause 11</w:t>
        </w:r>
      </w:hyperlink>
      <w:hyperlink w:anchor="_bookmark184" w:history="1">
        <w:r>
          <w:t>(b)</w:t>
        </w:r>
      </w:hyperlink>
      <w:r>
        <w:t xml:space="preserve"> </w:t>
      </w:r>
      <w:r>
        <w:rPr>
          <w:spacing w:val="-1"/>
        </w:rPr>
        <w:t>that</w:t>
      </w:r>
      <w:r>
        <w:t xml:space="preserve"> the </w:t>
      </w:r>
      <w:r>
        <w:rPr>
          <w:spacing w:val="-1"/>
        </w:rPr>
        <w:t>tariff</w:t>
      </w:r>
      <w:r>
        <w:rPr>
          <w:spacing w:val="4"/>
        </w:rPr>
        <w:t xml:space="preserve"> </w:t>
      </w:r>
      <w:r>
        <w:rPr>
          <w:spacing w:val="-1"/>
        </w:rPr>
        <w:t>structure</w:t>
      </w:r>
      <w:r>
        <w:t xml:space="preserve"> must be amended during</w:t>
      </w:r>
      <w:r>
        <w:rPr>
          <w:spacing w:val="33"/>
        </w:rPr>
        <w:t xml:space="preserve"> </w:t>
      </w:r>
      <w:r>
        <w:t xml:space="preserve">the </w:t>
      </w:r>
      <w:r>
        <w:rPr>
          <w:spacing w:val="-1"/>
        </w:rPr>
        <w:t>regulatory</w:t>
      </w:r>
      <w:r>
        <w:t xml:space="preserve"> period.</w:t>
      </w:r>
    </w:p>
    <w:p w:rsidR="00D96B91" w:rsidRDefault="00C2656B">
      <w:pPr>
        <w:pStyle w:val="BodyText"/>
        <w:spacing w:before="170" w:line="260" w:lineRule="exact"/>
        <w:ind w:right="1283"/>
      </w:pPr>
      <w:r>
        <w:rPr>
          <w:spacing w:val="-2"/>
        </w:rPr>
        <w:t>The</w:t>
      </w:r>
      <w:r>
        <w:rPr>
          <w:spacing w:val="-1"/>
        </w:rPr>
        <w:t xml:space="preserve"> </w:t>
      </w:r>
      <w:r>
        <w:t>events specified</w:t>
      </w:r>
      <w:r>
        <w:rPr>
          <w:spacing w:val="-1"/>
        </w:rPr>
        <w:t xml:space="preserve"> </w:t>
      </w:r>
      <w:r>
        <w:t xml:space="preserve">in </w:t>
      </w:r>
      <w:r>
        <w:rPr>
          <w:spacing w:val="-1"/>
        </w:rPr>
        <w:t xml:space="preserve">paragraphs </w:t>
      </w:r>
      <w:r>
        <w:t>(a) –</w:t>
      </w:r>
      <w:r>
        <w:rPr>
          <w:spacing w:val="-1"/>
        </w:rPr>
        <w:t xml:space="preserve"> </w:t>
      </w:r>
      <w:r>
        <w:t>(e) will</w:t>
      </w:r>
      <w:r>
        <w:rPr>
          <w:spacing w:val="-1"/>
        </w:rPr>
        <w:t xml:space="preserve"> </w:t>
      </w:r>
      <w:r>
        <w:t>be price</w:t>
      </w:r>
      <w:r>
        <w:rPr>
          <w:spacing w:val="-1"/>
        </w:rPr>
        <w:t xml:space="preserve"> variation</w:t>
      </w:r>
      <w:r>
        <w:t xml:space="preserve"> triggers</w:t>
      </w:r>
      <w:r>
        <w:rPr>
          <w:spacing w:val="-1"/>
        </w:rPr>
        <w:t xml:space="preserve"> </w:t>
      </w:r>
      <w:r>
        <w:t>only if</w:t>
      </w:r>
      <w:r>
        <w:rPr>
          <w:spacing w:val="3"/>
        </w:rPr>
        <w:t xml:space="preserve"> </w:t>
      </w:r>
      <w:r>
        <w:t xml:space="preserve">they </w:t>
      </w:r>
      <w:r>
        <w:rPr>
          <w:spacing w:val="-1"/>
        </w:rPr>
        <w:t>severely restrict</w:t>
      </w:r>
      <w:r>
        <w:rPr>
          <w:spacing w:val="41"/>
        </w:rPr>
        <w:t xml:space="preserve"> </w:t>
      </w:r>
      <w:r>
        <w:rPr>
          <w:rFonts w:cs="Avenir Next"/>
          <w:spacing w:val="-2"/>
        </w:rPr>
        <w:t>ACTEW’s</w:t>
      </w:r>
      <w:r>
        <w:rPr>
          <w:rFonts w:cs="Avenir Next"/>
        </w:rPr>
        <w:t xml:space="preserve"> ability to </w:t>
      </w:r>
      <w:r>
        <w:rPr>
          <w:rFonts w:cs="Avenir Next"/>
          <w:spacing w:val="-1"/>
        </w:rPr>
        <w:t>provide</w:t>
      </w:r>
      <w:r>
        <w:rPr>
          <w:rFonts w:cs="Avenir Next"/>
        </w:rPr>
        <w:t xml:space="preserve"> </w:t>
      </w:r>
      <w:r>
        <w:rPr>
          <w:rFonts w:cs="Avenir Next"/>
          <w:spacing w:val="-1"/>
        </w:rPr>
        <w:t>water</w:t>
      </w:r>
      <w:r>
        <w:rPr>
          <w:rFonts w:cs="Avenir Next"/>
        </w:rPr>
        <w:t xml:space="preserve"> and/or </w:t>
      </w:r>
      <w:r>
        <w:rPr>
          <w:rFonts w:cs="Avenir Next"/>
          <w:spacing w:val="-1"/>
        </w:rPr>
        <w:t>sewerage</w:t>
      </w:r>
      <w:r>
        <w:rPr>
          <w:rFonts w:cs="Avenir Next"/>
        </w:rPr>
        <w:t xml:space="preserve"> services and impose a total annualised cost on</w:t>
      </w:r>
      <w:r>
        <w:rPr>
          <w:rFonts w:cs="Avenir Next"/>
          <w:spacing w:val="23"/>
        </w:rPr>
        <w:t xml:space="preserve"> </w:t>
      </w:r>
      <w:r>
        <w:rPr>
          <w:spacing w:val="-2"/>
        </w:rPr>
        <w:t>ACTEW</w:t>
      </w:r>
      <w:r>
        <w:rPr>
          <w:spacing w:val="-3"/>
        </w:rPr>
        <w:t xml:space="preserve"> </w:t>
      </w:r>
      <w:r>
        <w:t xml:space="preserve">for the </w:t>
      </w:r>
      <w:r>
        <w:rPr>
          <w:spacing w:val="-1"/>
        </w:rPr>
        <w:t>remainder</w:t>
      </w:r>
      <w:r>
        <w:t xml:space="preserve"> of</w:t>
      </w:r>
      <w:r>
        <w:rPr>
          <w:spacing w:val="4"/>
        </w:rPr>
        <w:t xml:space="preserve"> </w:t>
      </w:r>
      <w:r>
        <w:t xml:space="preserve">the </w:t>
      </w:r>
      <w:r>
        <w:rPr>
          <w:spacing w:val="-1"/>
        </w:rPr>
        <w:t>regulatory</w:t>
      </w:r>
      <w:r>
        <w:t xml:space="preserve"> period of</w:t>
      </w:r>
      <w:r>
        <w:rPr>
          <w:spacing w:val="4"/>
        </w:rPr>
        <w:t xml:space="preserve"> </w:t>
      </w:r>
      <w:r>
        <w:rPr>
          <w:spacing w:val="-1"/>
        </w:rPr>
        <w:t>more</w:t>
      </w:r>
      <w:r>
        <w:t xml:space="preserve"> than $12 million ($2012-13).</w:t>
      </w:r>
    </w:p>
    <w:p w:rsidR="00D96B91" w:rsidRDefault="00D96B91">
      <w:pPr>
        <w:spacing w:before="13"/>
        <w:rPr>
          <w:rFonts w:ascii="Avenir Next" w:eastAsia="Avenir Next" w:hAnsi="Avenir Next" w:cs="Avenir Next"/>
          <w:sz w:val="21"/>
          <w:szCs w:val="21"/>
        </w:rPr>
      </w:pPr>
    </w:p>
    <w:p w:rsidR="00D96B91" w:rsidRDefault="00C2656B">
      <w:pPr>
        <w:pStyle w:val="Heading2"/>
        <w:numPr>
          <w:ilvl w:val="0"/>
          <w:numId w:val="5"/>
        </w:numPr>
        <w:tabs>
          <w:tab w:val="left" w:pos="1815"/>
        </w:tabs>
        <w:rPr>
          <w:b w:val="0"/>
          <w:bCs w:val="0"/>
        </w:rPr>
      </w:pPr>
      <w:r>
        <w:rPr>
          <w:color w:val="0778BE"/>
          <w:spacing w:val="-4"/>
        </w:rPr>
        <w:t>F</w:t>
      </w:r>
      <w:bookmarkStart w:id="309" w:name="_bookmark183"/>
      <w:bookmarkEnd w:id="309"/>
      <w:r>
        <w:rPr>
          <w:color w:val="0778BE"/>
          <w:spacing w:val="-4"/>
        </w:rPr>
        <w:t>uture</w:t>
      </w:r>
      <w:r>
        <w:rPr>
          <w:color w:val="0778BE"/>
        </w:rPr>
        <w:t xml:space="preserve"> </w:t>
      </w:r>
      <w:r>
        <w:rPr>
          <w:color w:val="0778BE"/>
          <w:spacing w:val="-2"/>
        </w:rPr>
        <w:t>reset</w:t>
      </w:r>
      <w:r>
        <w:rPr>
          <w:color w:val="0778BE"/>
        </w:rPr>
        <w:t xml:space="preserve"> principles</w:t>
      </w:r>
    </w:p>
    <w:p w:rsidR="00D96B91" w:rsidRDefault="00C2656B">
      <w:pPr>
        <w:pStyle w:val="BodyText"/>
        <w:spacing w:before="162"/>
      </w:pPr>
      <w:r>
        <w:rPr>
          <w:spacing w:val="-2"/>
        </w:rPr>
        <w:t>Pursuant</w:t>
      </w:r>
      <w:r>
        <w:t xml:space="preserve"> to section 20B of</w:t>
      </w:r>
      <w:r>
        <w:rPr>
          <w:spacing w:val="4"/>
        </w:rPr>
        <w:t xml:space="preserve"> </w:t>
      </w:r>
      <w:r>
        <w:t>the</w:t>
      </w:r>
      <w:r>
        <w:rPr>
          <w:spacing w:val="-4"/>
        </w:rPr>
        <w:t xml:space="preserve"> </w:t>
      </w:r>
      <w:r>
        <w:t>Act,</w:t>
      </w:r>
      <w:r>
        <w:rPr>
          <w:spacing w:val="-6"/>
        </w:rPr>
        <w:t xml:space="preserve"> </w:t>
      </w:r>
      <w:r>
        <w:t xml:space="preserve">the </w:t>
      </w:r>
      <w:r>
        <w:rPr>
          <w:spacing w:val="-1"/>
        </w:rPr>
        <w:t>future</w:t>
      </w:r>
      <w:r>
        <w:t xml:space="preserve"> </w:t>
      </w:r>
      <w:r>
        <w:rPr>
          <w:spacing w:val="-1"/>
        </w:rPr>
        <w:t>reset</w:t>
      </w:r>
      <w:r>
        <w:t xml:space="preserve"> principles </w:t>
      </w:r>
      <w:r>
        <w:rPr>
          <w:spacing w:val="-2"/>
        </w:rPr>
        <w:t>are</w:t>
      </w:r>
      <w:r>
        <w:t xml:space="preserve"> as follows:</w:t>
      </w:r>
    </w:p>
    <w:p w:rsidR="00D96B91" w:rsidRDefault="00C2656B">
      <w:pPr>
        <w:pStyle w:val="BodyText"/>
        <w:numPr>
          <w:ilvl w:val="0"/>
          <w:numId w:val="3"/>
        </w:numPr>
        <w:tabs>
          <w:tab w:val="left" w:pos="1588"/>
        </w:tabs>
        <w:spacing w:before="147" w:line="250" w:lineRule="exact"/>
        <w:ind w:right="1367" w:hanging="340"/>
      </w:pPr>
      <w:r>
        <w:rPr>
          <w:spacing w:val="-2"/>
        </w:rPr>
        <w:t>The</w:t>
      </w:r>
      <w:r>
        <w:t xml:space="preserve"> </w:t>
      </w:r>
      <w:r>
        <w:rPr>
          <w:spacing w:val="-1"/>
        </w:rPr>
        <w:t>Commission</w:t>
      </w:r>
      <w:r>
        <w:t xml:space="preserve"> will seek a </w:t>
      </w:r>
      <w:r>
        <w:rPr>
          <w:spacing w:val="-1"/>
        </w:rPr>
        <w:t>reference</w:t>
      </w:r>
      <w:r>
        <w:t xml:space="preserve"> </w:t>
      </w:r>
      <w:r>
        <w:rPr>
          <w:spacing w:val="-1"/>
        </w:rPr>
        <w:t>from</w:t>
      </w:r>
      <w:r>
        <w:t xml:space="preserve"> the </w:t>
      </w:r>
      <w:r>
        <w:rPr>
          <w:spacing w:val="-1"/>
        </w:rPr>
        <w:t>relevant</w:t>
      </w:r>
      <w:r>
        <w:t xml:space="preserve"> minister </w:t>
      </w:r>
      <w:r>
        <w:rPr>
          <w:spacing w:val="-1"/>
        </w:rPr>
        <w:t>regarding</w:t>
      </w:r>
      <w:r>
        <w:t xml:space="preserve"> services </w:t>
      </w:r>
      <w:r>
        <w:rPr>
          <w:spacing w:val="-1"/>
        </w:rPr>
        <w:t>covered</w:t>
      </w:r>
      <w:r>
        <w:t xml:space="preserve"> by the</w:t>
      </w:r>
      <w:r>
        <w:rPr>
          <w:spacing w:val="37"/>
        </w:rPr>
        <w:t xml:space="preserve"> </w:t>
      </w:r>
      <w:r>
        <w:rPr>
          <w:spacing w:val="-2"/>
        </w:rPr>
        <w:t>Price</w:t>
      </w:r>
      <w:r>
        <w:t xml:space="preserve"> </w:t>
      </w:r>
      <w:r>
        <w:rPr>
          <w:spacing w:val="-1"/>
        </w:rPr>
        <w:t>Direction</w:t>
      </w:r>
      <w:r>
        <w:t xml:space="preserve"> 18 months prior to the </w:t>
      </w:r>
      <w:r>
        <w:rPr>
          <w:spacing w:val="-1"/>
        </w:rPr>
        <w:t>expiry</w:t>
      </w:r>
      <w:r>
        <w:t xml:space="preserve"> of</w:t>
      </w:r>
      <w:r>
        <w:rPr>
          <w:spacing w:val="4"/>
        </w:rPr>
        <w:t xml:space="preserve"> </w:t>
      </w:r>
      <w:r>
        <w:t xml:space="preserve">the </w:t>
      </w:r>
      <w:r>
        <w:rPr>
          <w:spacing w:val="-1"/>
        </w:rPr>
        <w:t>regulatory</w:t>
      </w:r>
      <w:r>
        <w:t xml:space="preserve"> period.</w:t>
      </w:r>
    </w:p>
    <w:p w:rsidR="00D96B91" w:rsidRDefault="00C2656B">
      <w:pPr>
        <w:pStyle w:val="BodyText"/>
        <w:numPr>
          <w:ilvl w:val="0"/>
          <w:numId w:val="3"/>
        </w:numPr>
        <w:tabs>
          <w:tab w:val="left" w:pos="1588"/>
        </w:tabs>
        <w:spacing w:before="85" w:line="250" w:lineRule="exact"/>
        <w:ind w:right="1286" w:hanging="340"/>
      </w:pPr>
      <w:bookmarkStart w:id="310" w:name="_bookmark184"/>
      <w:bookmarkEnd w:id="310"/>
      <w:r>
        <w:t xml:space="preserve">During the </w:t>
      </w:r>
      <w:r>
        <w:rPr>
          <w:spacing w:val="-1"/>
        </w:rPr>
        <w:t>regulatory</w:t>
      </w:r>
      <w:r>
        <w:t xml:space="preserve"> period,</w:t>
      </w:r>
      <w:r>
        <w:rPr>
          <w:spacing w:val="-6"/>
        </w:rPr>
        <w:t xml:space="preserve"> </w:t>
      </w:r>
      <w:r>
        <w:t xml:space="preserve">the </w:t>
      </w:r>
      <w:r>
        <w:rPr>
          <w:spacing w:val="-1"/>
        </w:rPr>
        <w:t>Commission</w:t>
      </w:r>
      <w:r>
        <w:t xml:space="preserve"> must conduct a </w:t>
      </w:r>
      <w:r>
        <w:rPr>
          <w:spacing w:val="-1"/>
        </w:rPr>
        <w:t>review</w:t>
      </w:r>
      <w:r>
        <w:t xml:space="preserve"> of</w:t>
      </w:r>
      <w:r>
        <w:rPr>
          <w:spacing w:val="4"/>
        </w:rPr>
        <w:t xml:space="preserve"> </w:t>
      </w:r>
      <w:r>
        <w:t xml:space="preserve">the </w:t>
      </w:r>
      <w:r>
        <w:rPr>
          <w:spacing w:val="-1"/>
        </w:rPr>
        <w:t>tariff</w:t>
      </w:r>
      <w:r>
        <w:rPr>
          <w:spacing w:val="4"/>
        </w:rPr>
        <w:t xml:space="preserve"> </w:t>
      </w:r>
      <w:r>
        <w:rPr>
          <w:spacing w:val="-1"/>
        </w:rPr>
        <w:t>structures</w:t>
      </w:r>
      <w:r>
        <w:t xml:space="preserve"> for the</w:t>
      </w:r>
      <w:r>
        <w:rPr>
          <w:spacing w:val="43"/>
        </w:rPr>
        <w:t xml:space="preserve"> </w:t>
      </w:r>
      <w:r>
        <w:rPr>
          <w:spacing w:val="-1"/>
        </w:rPr>
        <w:t>regulated</w:t>
      </w:r>
      <w:r>
        <w:t xml:space="preserve"> </w:t>
      </w:r>
      <w:r>
        <w:rPr>
          <w:spacing w:val="-1"/>
        </w:rPr>
        <w:t>water</w:t>
      </w:r>
      <w:r>
        <w:t xml:space="preserve"> and </w:t>
      </w:r>
      <w:r>
        <w:rPr>
          <w:spacing w:val="-1"/>
        </w:rPr>
        <w:t>sewerage</w:t>
      </w:r>
      <w:r>
        <w:t xml:space="preserve"> services of</w:t>
      </w:r>
      <w:r>
        <w:rPr>
          <w:spacing w:val="1"/>
        </w:rPr>
        <w:t xml:space="preserve"> </w:t>
      </w:r>
      <w:r>
        <w:rPr>
          <w:spacing w:val="-4"/>
        </w:rPr>
        <w:t>ACTEW.</w:t>
      </w:r>
      <w:r>
        <w:rPr>
          <w:spacing w:val="-10"/>
        </w:rPr>
        <w:t xml:space="preserve"> </w:t>
      </w:r>
      <w:r>
        <w:t>At the conclusion of</w:t>
      </w:r>
      <w:r>
        <w:rPr>
          <w:spacing w:val="4"/>
        </w:rPr>
        <w:t xml:space="preserve"> </w:t>
      </w:r>
      <w:r>
        <w:t xml:space="preserve">the </w:t>
      </w:r>
      <w:r>
        <w:rPr>
          <w:spacing w:val="-2"/>
        </w:rPr>
        <w:t>review,</w:t>
      </w:r>
      <w:r>
        <w:rPr>
          <w:spacing w:val="-6"/>
        </w:rPr>
        <w:t xml:space="preserve"> </w:t>
      </w:r>
      <w:r>
        <w:t xml:space="preserve">the </w:t>
      </w:r>
      <w:r>
        <w:rPr>
          <w:spacing w:val="-1"/>
        </w:rPr>
        <w:t>Commission</w:t>
      </w:r>
      <w:r>
        <w:rPr>
          <w:spacing w:val="49"/>
        </w:rPr>
        <w:t xml:space="preserve"> </w:t>
      </w:r>
      <w:r>
        <w:t xml:space="preserve">must set out in a </w:t>
      </w:r>
      <w:r>
        <w:rPr>
          <w:spacing w:val="-2"/>
        </w:rPr>
        <w:t>report</w:t>
      </w:r>
      <w:r>
        <w:t xml:space="preserve"> its decision on whether amendments should be made to the </w:t>
      </w:r>
      <w:r>
        <w:rPr>
          <w:spacing w:val="-1"/>
        </w:rPr>
        <w:t>tariff</w:t>
      </w:r>
      <w:r>
        <w:rPr>
          <w:spacing w:val="4"/>
        </w:rPr>
        <w:t xml:space="preserve"> </w:t>
      </w:r>
      <w:r>
        <w:rPr>
          <w:spacing w:val="-1"/>
        </w:rPr>
        <w:t>structures</w:t>
      </w:r>
      <w:r>
        <w:rPr>
          <w:spacing w:val="27"/>
        </w:rPr>
        <w:t xml:space="preserve"> </w:t>
      </w:r>
      <w:r>
        <w:t>in place.</w:t>
      </w:r>
      <w:r>
        <w:rPr>
          <w:spacing w:val="-11"/>
        </w:rPr>
        <w:t xml:space="preserve"> </w:t>
      </w:r>
      <w:r>
        <w:rPr>
          <w:spacing w:val="-2"/>
        </w:rPr>
        <w:t>The</w:t>
      </w:r>
      <w:r>
        <w:t xml:space="preserve"> </w:t>
      </w:r>
      <w:r>
        <w:rPr>
          <w:spacing w:val="-1"/>
        </w:rPr>
        <w:t>Commission</w:t>
      </w:r>
      <w:r>
        <w:t xml:space="preserve"> may </w:t>
      </w:r>
      <w:r>
        <w:rPr>
          <w:spacing w:val="-1"/>
        </w:rPr>
        <w:t>recommend</w:t>
      </w:r>
      <w:r>
        <w:t xml:space="preserve"> </w:t>
      </w:r>
      <w:r>
        <w:rPr>
          <w:spacing w:val="-1"/>
        </w:rPr>
        <w:t>that</w:t>
      </w:r>
      <w:r>
        <w:t xml:space="preserve"> amendments either be made during the </w:t>
      </w:r>
      <w:r>
        <w:rPr>
          <w:spacing w:val="-1"/>
        </w:rPr>
        <w:t>regulatory</w:t>
      </w:r>
      <w:r>
        <w:rPr>
          <w:spacing w:val="41"/>
        </w:rPr>
        <w:t xml:space="preserve"> </w:t>
      </w:r>
      <w:r>
        <w:t xml:space="preserve">period set out in clause </w:t>
      </w:r>
      <w:hyperlink w:anchor="_bookmark159" w:history="1">
        <w:r>
          <w:t>2</w:t>
        </w:r>
      </w:hyperlink>
      <w:r>
        <w:t xml:space="preserve"> or be </w:t>
      </w:r>
      <w:r>
        <w:rPr>
          <w:spacing w:val="-1"/>
        </w:rPr>
        <w:t>considered</w:t>
      </w:r>
      <w:r>
        <w:t xml:space="preserve"> as </w:t>
      </w:r>
      <w:r>
        <w:rPr>
          <w:spacing w:val="-1"/>
        </w:rPr>
        <w:t>part</w:t>
      </w:r>
      <w:r>
        <w:t xml:space="preserve"> of</w:t>
      </w:r>
      <w:r>
        <w:rPr>
          <w:spacing w:val="4"/>
        </w:rPr>
        <w:t xml:space="preserve"> </w:t>
      </w:r>
      <w:r>
        <w:t xml:space="preserve">the </w:t>
      </w:r>
      <w:r>
        <w:rPr>
          <w:spacing w:val="-1"/>
        </w:rPr>
        <w:t>investigation</w:t>
      </w:r>
      <w:r>
        <w:t xml:space="preserve"> for the </w:t>
      </w:r>
      <w:r>
        <w:rPr>
          <w:spacing w:val="-1"/>
        </w:rPr>
        <w:t>next</w:t>
      </w:r>
      <w:r>
        <w:t xml:space="preserve"> </w:t>
      </w:r>
      <w:r>
        <w:rPr>
          <w:spacing w:val="-1"/>
        </w:rPr>
        <w:t>regulatory</w:t>
      </w:r>
      <w:r>
        <w:rPr>
          <w:spacing w:val="47"/>
        </w:rPr>
        <w:t xml:space="preserve"> </w:t>
      </w:r>
      <w:r>
        <w:t>period beginning 1</w:t>
      </w:r>
      <w:r>
        <w:rPr>
          <w:spacing w:val="-3"/>
        </w:rPr>
        <w:t xml:space="preserve"> </w:t>
      </w:r>
      <w:r>
        <w:t>July 2018.</w:t>
      </w:r>
      <w:r>
        <w:rPr>
          <w:spacing w:val="-11"/>
        </w:rPr>
        <w:t xml:space="preserve"> </w:t>
      </w:r>
      <w:r>
        <w:rPr>
          <w:spacing w:val="-2"/>
        </w:rPr>
        <w:t>The</w:t>
      </w:r>
      <w:r>
        <w:t xml:space="preserve"> </w:t>
      </w:r>
      <w:r>
        <w:rPr>
          <w:spacing w:val="-1"/>
        </w:rPr>
        <w:t>Commission</w:t>
      </w:r>
      <w:r>
        <w:t xml:space="preserve"> may also </w:t>
      </w:r>
      <w:r>
        <w:rPr>
          <w:spacing w:val="-1"/>
        </w:rPr>
        <w:t>recommend</w:t>
      </w:r>
      <w:r>
        <w:t xml:space="preserve"> </w:t>
      </w:r>
      <w:r>
        <w:rPr>
          <w:spacing w:val="-1"/>
        </w:rPr>
        <w:t>that</w:t>
      </w:r>
      <w:r>
        <w:t xml:space="preserve"> no changes be made</w:t>
      </w:r>
    </w:p>
    <w:p w:rsidR="00D96B91" w:rsidRDefault="00C2656B">
      <w:pPr>
        <w:pStyle w:val="BodyText"/>
        <w:spacing w:line="250" w:lineRule="exact"/>
        <w:ind w:left="1587" w:right="1256"/>
      </w:pPr>
      <w:r>
        <w:t xml:space="preserve">to the </w:t>
      </w:r>
      <w:r>
        <w:rPr>
          <w:spacing w:val="-1"/>
        </w:rPr>
        <w:t>tariff</w:t>
      </w:r>
      <w:r>
        <w:rPr>
          <w:spacing w:val="4"/>
        </w:rPr>
        <w:t xml:space="preserve"> </w:t>
      </w:r>
      <w:r>
        <w:rPr>
          <w:spacing w:val="-1"/>
        </w:rPr>
        <w:t>structure</w:t>
      </w:r>
      <w:r>
        <w:t xml:space="preserve"> in place.</w:t>
      </w:r>
      <w:r>
        <w:rPr>
          <w:spacing w:val="-10"/>
        </w:rPr>
        <w:t xml:space="preserve"> </w:t>
      </w:r>
      <w:r>
        <w:t xml:space="preserve">As </w:t>
      </w:r>
      <w:r>
        <w:rPr>
          <w:spacing w:val="-1"/>
        </w:rPr>
        <w:t>part</w:t>
      </w:r>
      <w:r>
        <w:t xml:space="preserve"> of</w:t>
      </w:r>
      <w:r>
        <w:rPr>
          <w:spacing w:val="4"/>
        </w:rPr>
        <w:t xml:space="preserve"> </w:t>
      </w:r>
      <w:r>
        <w:t xml:space="preserve">the </w:t>
      </w:r>
      <w:r>
        <w:rPr>
          <w:spacing w:val="-2"/>
        </w:rPr>
        <w:t>review,</w:t>
      </w:r>
      <w:r>
        <w:rPr>
          <w:spacing w:val="-6"/>
        </w:rPr>
        <w:t xml:space="preserve"> </w:t>
      </w:r>
      <w:r>
        <w:t xml:space="preserve">the </w:t>
      </w:r>
      <w:r>
        <w:rPr>
          <w:spacing w:val="-1"/>
        </w:rPr>
        <w:t>Commission</w:t>
      </w:r>
      <w:r>
        <w:t xml:space="preserve"> must call for submissions </w:t>
      </w:r>
      <w:r>
        <w:rPr>
          <w:spacing w:val="-1"/>
        </w:rPr>
        <w:t>from</w:t>
      </w:r>
      <w:r>
        <w:rPr>
          <w:spacing w:val="35"/>
        </w:rPr>
        <w:t xml:space="preserve"> </w:t>
      </w:r>
      <w:r>
        <w:rPr>
          <w:spacing w:val="-1"/>
        </w:rPr>
        <w:t>interested parties</w:t>
      </w:r>
      <w:r>
        <w:t xml:space="preserve"> and post</w:t>
      </w:r>
      <w:r>
        <w:rPr>
          <w:spacing w:val="-1"/>
        </w:rPr>
        <w:t xml:space="preserve"> </w:t>
      </w:r>
      <w:r>
        <w:t xml:space="preserve">its final </w:t>
      </w:r>
      <w:r>
        <w:rPr>
          <w:spacing w:val="-2"/>
        </w:rPr>
        <w:t>report</w:t>
      </w:r>
      <w:r>
        <w:rPr>
          <w:spacing w:val="-1"/>
        </w:rPr>
        <w:t xml:space="preserve"> </w:t>
      </w:r>
      <w:r>
        <w:t>and decision on</w:t>
      </w:r>
      <w:r>
        <w:rPr>
          <w:spacing w:val="-1"/>
        </w:rPr>
        <w:t xml:space="preserve"> </w:t>
      </w:r>
      <w:r>
        <w:t xml:space="preserve">the </w:t>
      </w:r>
      <w:r>
        <w:rPr>
          <w:spacing w:val="-2"/>
        </w:rPr>
        <w:t>Commission’s</w:t>
      </w:r>
      <w:r>
        <w:t xml:space="preserve"> website.</w:t>
      </w:r>
    </w:p>
    <w:p w:rsidR="00D96B91" w:rsidRDefault="00C2656B">
      <w:pPr>
        <w:pStyle w:val="BodyText"/>
        <w:numPr>
          <w:ilvl w:val="0"/>
          <w:numId w:val="3"/>
        </w:numPr>
        <w:tabs>
          <w:tab w:val="left" w:pos="1588"/>
        </w:tabs>
        <w:spacing w:before="85" w:line="250" w:lineRule="exact"/>
        <w:ind w:right="1248" w:hanging="340"/>
      </w:pPr>
      <w:r>
        <w:rPr>
          <w:rFonts w:cs="Avenir Next"/>
          <w:spacing w:val="-2"/>
        </w:rPr>
        <w:t>The</w:t>
      </w:r>
      <w:r>
        <w:rPr>
          <w:rFonts w:cs="Avenir Next"/>
          <w:spacing w:val="-4"/>
        </w:rPr>
        <w:t xml:space="preserve"> </w:t>
      </w:r>
      <w:r>
        <w:rPr>
          <w:rFonts w:cs="Avenir Next"/>
          <w:spacing w:val="-2"/>
        </w:rPr>
        <w:t>ACTEW</w:t>
      </w:r>
      <w:r>
        <w:rPr>
          <w:rFonts w:cs="Avenir Next"/>
          <w:spacing w:val="-3"/>
        </w:rPr>
        <w:t xml:space="preserve"> </w:t>
      </w:r>
      <w:r>
        <w:rPr>
          <w:rFonts w:cs="Avenir Next"/>
          <w:spacing w:val="-1"/>
        </w:rPr>
        <w:t>Board</w:t>
      </w:r>
      <w:r>
        <w:rPr>
          <w:rFonts w:cs="Avenir Next"/>
        </w:rPr>
        <w:t xml:space="preserve"> must endorse the </w:t>
      </w:r>
      <w:r>
        <w:rPr>
          <w:rFonts w:cs="Avenir Next"/>
          <w:spacing w:val="-1"/>
        </w:rPr>
        <w:t>accuracy</w:t>
      </w:r>
      <w:r>
        <w:rPr>
          <w:rFonts w:cs="Avenir Next"/>
        </w:rPr>
        <w:t xml:space="preserve"> of</w:t>
      </w:r>
      <w:r>
        <w:rPr>
          <w:rFonts w:cs="Avenir Next"/>
          <w:spacing w:val="1"/>
        </w:rPr>
        <w:t xml:space="preserve"> </w:t>
      </w:r>
      <w:r>
        <w:rPr>
          <w:rFonts w:cs="Avenir Next"/>
          <w:spacing w:val="-2"/>
        </w:rPr>
        <w:t>ACTEW’s</w:t>
      </w:r>
      <w:r>
        <w:rPr>
          <w:rFonts w:cs="Avenir Next"/>
        </w:rPr>
        <w:t xml:space="preserve"> main submission to the </w:t>
      </w:r>
      <w:r>
        <w:rPr>
          <w:rFonts w:cs="Avenir Next"/>
          <w:spacing w:val="-1"/>
        </w:rPr>
        <w:t>investigation</w:t>
      </w:r>
      <w:r>
        <w:rPr>
          <w:rFonts w:cs="Avenir Next"/>
        </w:rPr>
        <w:t xml:space="preserve"> into</w:t>
      </w:r>
      <w:r>
        <w:rPr>
          <w:rFonts w:cs="Avenir Next"/>
          <w:spacing w:val="47"/>
        </w:rPr>
        <w:t xml:space="preserve"> </w:t>
      </w:r>
      <w:r>
        <w:rPr>
          <w:spacing w:val="-1"/>
        </w:rPr>
        <w:t>water</w:t>
      </w:r>
      <w:r>
        <w:t xml:space="preserve"> and </w:t>
      </w:r>
      <w:r>
        <w:rPr>
          <w:spacing w:val="-1"/>
        </w:rPr>
        <w:t>sewerage</w:t>
      </w:r>
      <w:r>
        <w:t xml:space="preserve"> service prices for the </w:t>
      </w:r>
      <w:r>
        <w:rPr>
          <w:spacing w:val="-1"/>
        </w:rPr>
        <w:t>next</w:t>
      </w:r>
      <w:r>
        <w:t xml:space="preserve"> </w:t>
      </w:r>
      <w:r>
        <w:rPr>
          <w:spacing w:val="-1"/>
        </w:rPr>
        <w:t>regulatory</w:t>
      </w:r>
      <w:r>
        <w:t xml:space="preserve"> period.</w:t>
      </w:r>
    </w:p>
    <w:p w:rsidR="00D96B91" w:rsidRDefault="00C2656B">
      <w:pPr>
        <w:pStyle w:val="BodyText"/>
        <w:numPr>
          <w:ilvl w:val="0"/>
          <w:numId w:val="3"/>
        </w:numPr>
        <w:tabs>
          <w:tab w:val="left" w:pos="1588"/>
        </w:tabs>
        <w:spacing w:before="85" w:line="250" w:lineRule="exact"/>
        <w:ind w:right="1266" w:hanging="340"/>
      </w:pPr>
      <w:r>
        <w:t>If,</w:t>
      </w:r>
      <w:r>
        <w:rPr>
          <w:spacing w:val="-6"/>
        </w:rPr>
        <w:t xml:space="preserve"> </w:t>
      </w:r>
      <w:r>
        <w:t>as of</w:t>
      </w:r>
      <w:r>
        <w:rPr>
          <w:spacing w:val="4"/>
        </w:rPr>
        <w:t xml:space="preserve"> </w:t>
      </w:r>
      <w:r>
        <w:t>30</w:t>
      </w:r>
      <w:r>
        <w:rPr>
          <w:spacing w:val="-3"/>
        </w:rPr>
        <w:t xml:space="preserve"> </w:t>
      </w:r>
      <w:r>
        <w:t>June 2018,</w:t>
      </w:r>
      <w:r>
        <w:rPr>
          <w:spacing w:val="-6"/>
        </w:rPr>
        <w:t xml:space="preserve"> </w:t>
      </w:r>
      <w:r>
        <w:t xml:space="preserve">a new </w:t>
      </w:r>
      <w:r>
        <w:rPr>
          <w:spacing w:val="-2"/>
        </w:rPr>
        <w:t>Price</w:t>
      </w:r>
      <w:r>
        <w:t xml:space="preserve"> </w:t>
      </w:r>
      <w:r>
        <w:rPr>
          <w:spacing w:val="-1"/>
        </w:rPr>
        <w:t>Direction</w:t>
      </w:r>
      <w:r>
        <w:t xml:space="preserve"> for the </w:t>
      </w:r>
      <w:r>
        <w:rPr>
          <w:spacing w:val="-1"/>
        </w:rPr>
        <w:t>regulated</w:t>
      </w:r>
      <w:r>
        <w:t xml:space="preserve"> services of</w:t>
      </w:r>
      <w:r>
        <w:rPr>
          <w:spacing w:val="1"/>
        </w:rPr>
        <w:t xml:space="preserve"> </w:t>
      </w:r>
      <w:r>
        <w:rPr>
          <w:spacing w:val="-2"/>
        </w:rPr>
        <w:t>ACTEW</w:t>
      </w:r>
      <w:r>
        <w:rPr>
          <w:spacing w:val="-3"/>
        </w:rPr>
        <w:t xml:space="preserve"> </w:t>
      </w:r>
      <w:r>
        <w:t xml:space="preserve">is not set to </w:t>
      </w:r>
      <w:r>
        <w:rPr>
          <w:spacing w:val="-1"/>
        </w:rPr>
        <w:t>take</w:t>
      </w:r>
      <w:r>
        <w:rPr>
          <w:spacing w:val="25"/>
        </w:rPr>
        <w:t xml:space="preserve"> </w:t>
      </w:r>
      <w:r>
        <w:rPr>
          <w:spacing w:val="-1"/>
        </w:rPr>
        <w:t>effect</w:t>
      </w:r>
      <w:r>
        <w:t xml:space="preserve"> </w:t>
      </w:r>
      <w:r>
        <w:rPr>
          <w:spacing w:val="-1"/>
        </w:rPr>
        <w:t>from</w:t>
      </w:r>
      <w:r>
        <w:t xml:space="preserve"> 1</w:t>
      </w:r>
      <w:r>
        <w:rPr>
          <w:spacing w:val="-3"/>
        </w:rPr>
        <w:t xml:space="preserve"> </w:t>
      </w:r>
      <w:r>
        <w:t>July 2018,</w:t>
      </w:r>
      <w:r>
        <w:rPr>
          <w:spacing w:val="-6"/>
        </w:rPr>
        <w:t xml:space="preserve"> </w:t>
      </w:r>
      <w:r>
        <w:t>then the prices as of</w:t>
      </w:r>
      <w:r>
        <w:rPr>
          <w:spacing w:val="4"/>
        </w:rPr>
        <w:t xml:space="preserve"> </w:t>
      </w:r>
      <w:r>
        <w:t>30</w:t>
      </w:r>
      <w:r>
        <w:rPr>
          <w:spacing w:val="-3"/>
        </w:rPr>
        <w:t xml:space="preserve"> </w:t>
      </w:r>
      <w:r>
        <w:t xml:space="preserve">June 2018 will </w:t>
      </w:r>
      <w:r>
        <w:rPr>
          <w:spacing w:val="-1"/>
        </w:rPr>
        <w:t>remain</w:t>
      </w:r>
      <w:r>
        <w:t xml:space="preserve"> in place </w:t>
      </w:r>
      <w:r>
        <w:rPr>
          <w:spacing w:val="-1"/>
        </w:rPr>
        <w:t>from</w:t>
      </w:r>
      <w:r>
        <w:t xml:space="preserve"> 1</w:t>
      </w:r>
      <w:r>
        <w:rPr>
          <w:spacing w:val="-3"/>
        </w:rPr>
        <w:t xml:space="preserve"> </w:t>
      </w:r>
      <w:r>
        <w:t>July 2018</w:t>
      </w:r>
      <w:r>
        <w:rPr>
          <w:spacing w:val="25"/>
        </w:rPr>
        <w:t xml:space="preserve"> </w:t>
      </w:r>
      <w:r>
        <w:rPr>
          <w:spacing w:val="-1"/>
        </w:rPr>
        <w:t>onwards</w:t>
      </w:r>
      <w:r>
        <w:t xml:space="preserve"> until a new </w:t>
      </w:r>
      <w:r>
        <w:rPr>
          <w:spacing w:val="-2"/>
        </w:rPr>
        <w:t>Price</w:t>
      </w:r>
      <w:r>
        <w:t xml:space="preserve"> </w:t>
      </w:r>
      <w:r>
        <w:rPr>
          <w:spacing w:val="-1"/>
        </w:rPr>
        <w:t>Direction</w:t>
      </w:r>
      <w:r>
        <w:t xml:space="preserve"> is made by the </w:t>
      </w:r>
      <w:r>
        <w:rPr>
          <w:spacing w:val="-1"/>
        </w:rPr>
        <w:t>Commission.</w:t>
      </w:r>
      <w:r>
        <w:rPr>
          <w:spacing w:val="-11"/>
        </w:rPr>
        <w:t xml:space="preserve"> </w:t>
      </w:r>
      <w:r>
        <w:rPr>
          <w:spacing w:val="-10"/>
        </w:rPr>
        <w:t>To</w:t>
      </w:r>
      <w:r>
        <w:t xml:space="preserve"> avoid all doubt,</w:t>
      </w:r>
      <w:r>
        <w:rPr>
          <w:spacing w:val="-6"/>
        </w:rPr>
        <w:t xml:space="preserve"> </w:t>
      </w:r>
      <w:r>
        <w:rPr>
          <w:spacing w:val="-1"/>
        </w:rPr>
        <w:t>apart</w:t>
      </w:r>
      <w:r>
        <w:t xml:space="preserve"> </w:t>
      </w:r>
      <w:r>
        <w:rPr>
          <w:spacing w:val="-1"/>
        </w:rPr>
        <w:t>from</w:t>
      </w:r>
      <w:r>
        <w:rPr>
          <w:spacing w:val="37"/>
        </w:rPr>
        <w:t xml:space="preserve"> </w:t>
      </w:r>
      <w:r>
        <w:rPr>
          <w:spacing w:val="-1"/>
        </w:rPr>
        <w:t>providing</w:t>
      </w:r>
      <w:r>
        <w:t xml:space="preserve"> for interim prices </w:t>
      </w:r>
      <w:r>
        <w:rPr>
          <w:spacing w:val="-1"/>
        </w:rPr>
        <w:t>from</w:t>
      </w:r>
      <w:r>
        <w:t xml:space="preserve"> 1</w:t>
      </w:r>
      <w:r>
        <w:rPr>
          <w:spacing w:val="-3"/>
        </w:rPr>
        <w:t xml:space="preserve"> </w:t>
      </w:r>
      <w:r>
        <w:t xml:space="preserve">July 2018 in the event no prices </w:t>
      </w:r>
      <w:r>
        <w:rPr>
          <w:spacing w:val="-2"/>
        </w:rPr>
        <w:t>are</w:t>
      </w:r>
      <w:r>
        <w:t xml:space="preserve"> set,</w:t>
      </w:r>
      <w:r>
        <w:rPr>
          <w:spacing w:val="-6"/>
        </w:rPr>
        <w:t xml:space="preserve"> </w:t>
      </w:r>
      <w:r>
        <w:t>this clause does not limit</w:t>
      </w:r>
      <w:r>
        <w:rPr>
          <w:spacing w:val="28"/>
        </w:rPr>
        <w:t xml:space="preserve"> </w:t>
      </w:r>
      <w:r>
        <w:t>the functions and decisions of</w:t>
      </w:r>
      <w:r>
        <w:rPr>
          <w:spacing w:val="4"/>
        </w:rPr>
        <w:t xml:space="preserve"> </w:t>
      </w:r>
      <w:r>
        <w:t xml:space="preserve">the </w:t>
      </w:r>
      <w:r>
        <w:rPr>
          <w:spacing w:val="-1"/>
        </w:rPr>
        <w:t>Commission</w:t>
      </w:r>
      <w:r>
        <w:t xml:space="preserve"> under the</w:t>
      </w:r>
      <w:r>
        <w:rPr>
          <w:spacing w:val="-4"/>
        </w:rPr>
        <w:t xml:space="preserve"> </w:t>
      </w:r>
      <w:r>
        <w:t xml:space="preserve">Act as to the applicable </w:t>
      </w:r>
      <w:r>
        <w:rPr>
          <w:spacing w:val="-1"/>
        </w:rPr>
        <w:t>regulatory</w:t>
      </w:r>
      <w:r>
        <w:t xml:space="preserve"> model</w:t>
      </w:r>
      <w:r>
        <w:rPr>
          <w:spacing w:val="23"/>
        </w:rPr>
        <w:t xml:space="preserve"> </w:t>
      </w:r>
      <w:r>
        <w:t xml:space="preserve">and prices which </w:t>
      </w:r>
      <w:r>
        <w:rPr>
          <w:spacing w:val="-1"/>
        </w:rPr>
        <w:t>take</w:t>
      </w:r>
      <w:r>
        <w:t xml:space="preserve"> </w:t>
      </w:r>
      <w:r>
        <w:rPr>
          <w:spacing w:val="-1"/>
        </w:rPr>
        <w:t>effect</w:t>
      </w:r>
      <w:r>
        <w:t xml:space="preserve"> </w:t>
      </w:r>
      <w:r>
        <w:rPr>
          <w:spacing w:val="-1"/>
        </w:rPr>
        <w:t>from</w:t>
      </w:r>
      <w:r>
        <w:t xml:space="preserve"> 1</w:t>
      </w:r>
      <w:r>
        <w:rPr>
          <w:spacing w:val="-3"/>
        </w:rPr>
        <w:t xml:space="preserve"> </w:t>
      </w:r>
      <w:r>
        <w:t>July 2018.</w:t>
      </w:r>
    </w:p>
    <w:p w:rsidR="00D96B91" w:rsidRDefault="00C2656B">
      <w:pPr>
        <w:pStyle w:val="BodyText"/>
        <w:numPr>
          <w:ilvl w:val="0"/>
          <w:numId w:val="3"/>
        </w:numPr>
        <w:tabs>
          <w:tab w:val="left" w:pos="1588"/>
        </w:tabs>
        <w:spacing w:before="85" w:line="250" w:lineRule="exact"/>
        <w:ind w:right="1451" w:hanging="340"/>
        <w:rPr>
          <w:rFonts w:cs="Avenir Next"/>
        </w:rPr>
      </w:pPr>
      <w:r>
        <w:rPr>
          <w:spacing w:val="-2"/>
        </w:rPr>
        <w:t>The</w:t>
      </w:r>
      <w:r>
        <w:t xml:space="preserve"> </w:t>
      </w:r>
      <w:r>
        <w:rPr>
          <w:spacing w:val="-1"/>
        </w:rPr>
        <w:t>Commission</w:t>
      </w:r>
      <w:r>
        <w:t xml:space="preserve"> will </w:t>
      </w:r>
      <w:r>
        <w:rPr>
          <w:spacing w:val="-1"/>
        </w:rPr>
        <w:t>make</w:t>
      </w:r>
      <w:r>
        <w:t xml:space="preserve"> </w:t>
      </w:r>
      <w:r>
        <w:rPr>
          <w:spacing w:val="-1"/>
        </w:rPr>
        <w:t>provision</w:t>
      </w:r>
      <w:r>
        <w:t xml:space="preserve"> for a demand </w:t>
      </w:r>
      <w:r>
        <w:rPr>
          <w:spacing w:val="-1"/>
        </w:rPr>
        <w:t>volatility</w:t>
      </w:r>
      <w:r>
        <w:t xml:space="preserve"> adjustment in the </w:t>
      </w:r>
      <w:r>
        <w:rPr>
          <w:spacing w:val="-1"/>
        </w:rPr>
        <w:t>next</w:t>
      </w:r>
      <w:r>
        <w:t xml:space="preserve"> price</w:t>
      </w:r>
      <w:r>
        <w:rPr>
          <w:spacing w:val="47"/>
        </w:rPr>
        <w:t xml:space="preserve"> </w:t>
      </w:r>
      <w:r>
        <w:rPr>
          <w:spacing w:val="-1"/>
        </w:rPr>
        <w:t>determination</w:t>
      </w:r>
      <w:r>
        <w:t xml:space="preserve"> if</w:t>
      </w:r>
      <w:r>
        <w:rPr>
          <w:spacing w:val="4"/>
        </w:rPr>
        <w:t xml:space="preserve"> </w:t>
      </w:r>
      <w:r>
        <w:t xml:space="preserve">the net </w:t>
      </w:r>
      <w:r>
        <w:rPr>
          <w:spacing w:val="-1"/>
        </w:rPr>
        <w:t>present</w:t>
      </w:r>
      <w:r>
        <w:t xml:space="preserve"> value of</w:t>
      </w:r>
      <w:r>
        <w:rPr>
          <w:spacing w:val="4"/>
        </w:rPr>
        <w:t xml:space="preserve"> </w:t>
      </w:r>
      <w:r>
        <w:rPr>
          <w:spacing w:val="-1"/>
        </w:rPr>
        <w:t>water</w:t>
      </w:r>
      <w:r>
        <w:t xml:space="preserve"> sales </w:t>
      </w:r>
      <w:r>
        <w:rPr>
          <w:spacing w:val="-1"/>
        </w:rPr>
        <w:t>revenue</w:t>
      </w:r>
      <w:r>
        <w:t xml:space="preserve"> </w:t>
      </w:r>
      <w:r>
        <w:rPr>
          <w:spacing w:val="-1"/>
        </w:rPr>
        <w:t>earned</w:t>
      </w:r>
      <w:r>
        <w:t xml:space="preserve"> over the period 1</w:t>
      </w:r>
      <w:r>
        <w:rPr>
          <w:spacing w:val="-3"/>
        </w:rPr>
        <w:t xml:space="preserve"> </w:t>
      </w:r>
      <w:r>
        <w:t>July 2013</w:t>
      </w:r>
      <w:r>
        <w:rPr>
          <w:spacing w:val="49"/>
        </w:rPr>
        <w:t xml:space="preserve"> </w:t>
      </w:r>
      <w:r>
        <w:t>to 30</w:t>
      </w:r>
      <w:r>
        <w:rPr>
          <w:spacing w:val="-3"/>
        </w:rPr>
        <w:t xml:space="preserve"> </w:t>
      </w:r>
      <w:r>
        <w:t xml:space="preserve">June 2018 </w:t>
      </w:r>
      <w:r>
        <w:rPr>
          <w:spacing w:val="-1"/>
        </w:rPr>
        <w:t>differs</w:t>
      </w:r>
      <w:r>
        <w:t xml:space="preserve"> by </w:t>
      </w:r>
      <w:r>
        <w:rPr>
          <w:spacing w:val="-1"/>
        </w:rPr>
        <w:t>more</w:t>
      </w:r>
      <w:r>
        <w:t xml:space="preserve"> than 7% of</w:t>
      </w:r>
      <w:r>
        <w:rPr>
          <w:spacing w:val="4"/>
        </w:rPr>
        <w:t xml:space="preserve"> </w:t>
      </w:r>
      <w:r>
        <w:t xml:space="preserve">the </w:t>
      </w:r>
      <w:r>
        <w:rPr>
          <w:spacing w:val="-1"/>
        </w:rPr>
        <w:t>revenue</w:t>
      </w:r>
      <w:r>
        <w:t xml:space="preserve"> set out in</w:t>
      </w:r>
      <w:r>
        <w:rPr>
          <w:spacing w:val="-5"/>
        </w:rPr>
        <w:t xml:space="preserve"> </w:t>
      </w:r>
      <w:r>
        <w:rPr>
          <w:spacing w:val="-4"/>
        </w:rPr>
        <w:t>Table</w:t>
      </w:r>
      <w:r>
        <w:t xml:space="preserve"> 8.3.</w:t>
      </w:r>
      <w:r>
        <w:rPr>
          <w:spacing w:val="-11"/>
        </w:rPr>
        <w:t xml:space="preserve"> </w:t>
      </w:r>
      <w:r>
        <w:rPr>
          <w:spacing w:val="-2"/>
        </w:rPr>
        <w:t>The</w:t>
      </w:r>
      <w:r>
        <w:t xml:space="preserve"> demand </w:t>
      </w:r>
      <w:r>
        <w:rPr>
          <w:spacing w:val="-1"/>
        </w:rPr>
        <w:t>volatility</w:t>
      </w:r>
      <w:r>
        <w:rPr>
          <w:spacing w:val="33"/>
        </w:rPr>
        <w:t xml:space="preserve"> </w:t>
      </w:r>
      <w:r>
        <w:t xml:space="preserve">adjustment will be determined as the </w:t>
      </w:r>
      <w:r>
        <w:rPr>
          <w:spacing w:val="-1"/>
        </w:rPr>
        <w:t>difference</w:t>
      </w:r>
      <w:r>
        <w:t xml:space="preserve"> between:</w:t>
      </w:r>
    </w:p>
    <w:p w:rsidR="00D96B91" w:rsidRDefault="00C2656B">
      <w:pPr>
        <w:pStyle w:val="BodyText"/>
        <w:numPr>
          <w:ilvl w:val="1"/>
          <w:numId w:val="3"/>
        </w:numPr>
        <w:tabs>
          <w:tab w:val="left" w:pos="1815"/>
        </w:tabs>
        <w:spacing w:before="85" w:line="250" w:lineRule="exact"/>
        <w:ind w:right="1764"/>
      </w:pPr>
      <w:r>
        <w:t xml:space="preserve">the net </w:t>
      </w:r>
      <w:r>
        <w:rPr>
          <w:spacing w:val="-1"/>
        </w:rPr>
        <w:t>present</w:t>
      </w:r>
      <w:r>
        <w:t xml:space="preserve"> value of</w:t>
      </w:r>
      <w:r>
        <w:rPr>
          <w:spacing w:val="4"/>
        </w:rPr>
        <w:t xml:space="preserve"> </w:t>
      </w:r>
      <w:r>
        <w:t xml:space="preserve">the </w:t>
      </w:r>
      <w:r>
        <w:rPr>
          <w:spacing w:val="-1"/>
        </w:rPr>
        <w:t>revenue</w:t>
      </w:r>
      <w:r>
        <w:t xml:space="preserve"> </w:t>
      </w:r>
      <w:r>
        <w:rPr>
          <w:spacing w:val="-1"/>
        </w:rPr>
        <w:t>earned</w:t>
      </w:r>
      <w:r>
        <w:t xml:space="preserve"> </w:t>
      </w:r>
      <w:r>
        <w:rPr>
          <w:spacing w:val="-1"/>
        </w:rPr>
        <w:t>through</w:t>
      </w:r>
      <w:r>
        <w:t xml:space="preserve"> tier 1 and tier 2 </w:t>
      </w:r>
      <w:r>
        <w:rPr>
          <w:spacing w:val="-1"/>
        </w:rPr>
        <w:t>water</w:t>
      </w:r>
      <w:r>
        <w:t xml:space="preserve"> </w:t>
      </w:r>
      <w:r>
        <w:rPr>
          <w:spacing w:val="-1"/>
        </w:rPr>
        <w:t>charges</w:t>
      </w:r>
      <w:r>
        <w:t xml:space="preserve"> over the</w:t>
      </w:r>
      <w:r>
        <w:rPr>
          <w:spacing w:val="37"/>
        </w:rPr>
        <w:t xml:space="preserve"> </w:t>
      </w:r>
      <w:r>
        <w:t>period 1</w:t>
      </w:r>
      <w:r>
        <w:rPr>
          <w:spacing w:val="-3"/>
        </w:rPr>
        <w:t xml:space="preserve"> </w:t>
      </w:r>
      <w:r>
        <w:t>July 2013 to 30</w:t>
      </w:r>
      <w:r>
        <w:rPr>
          <w:spacing w:val="-3"/>
        </w:rPr>
        <w:t xml:space="preserve"> </w:t>
      </w:r>
      <w:r>
        <w:t>June 2018; and</w:t>
      </w:r>
    </w:p>
    <w:p w:rsidR="00D96B91" w:rsidRDefault="00D96B91">
      <w:pPr>
        <w:spacing w:line="250" w:lineRule="exact"/>
        <w:sectPr w:rsidR="00D96B91">
          <w:pgSz w:w="11910" w:h="16840"/>
          <w:pgMar w:top="1260" w:right="0" w:bottom="1020" w:left="0" w:header="0" w:footer="829" w:gutter="0"/>
          <w:cols w:space="720"/>
        </w:sectPr>
      </w:pPr>
    </w:p>
    <w:p w:rsidR="00D96B91" w:rsidRDefault="00C2656B">
      <w:pPr>
        <w:pStyle w:val="BodyText"/>
        <w:numPr>
          <w:ilvl w:val="1"/>
          <w:numId w:val="3"/>
        </w:numPr>
        <w:tabs>
          <w:tab w:val="left" w:pos="1815"/>
        </w:tabs>
        <w:spacing w:before="21" w:line="260" w:lineRule="exact"/>
        <w:ind w:right="1246"/>
      </w:pPr>
      <w:r>
        <w:t xml:space="preserve">the net </w:t>
      </w:r>
      <w:r>
        <w:rPr>
          <w:spacing w:val="-1"/>
        </w:rPr>
        <w:t>present</w:t>
      </w:r>
      <w:r>
        <w:t xml:space="preserve"> value of</w:t>
      </w:r>
      <w:r>
        <w:rPr>
          <w:spacing w:val="4"/>
        </w:rPr>
        <w:t xml:space="preserve"> </w:t>
      </w:r>
      <w:r>
        <w:t xml:space="preserve">the volumetric </w:t>
      </w:r>
      <w:r>
        <w:rPr>
          <w:spacing w:val="-1"/>
        </w:rPr>
        <w:t>water</w:t>
      </w:r>
      <w:r>
        <w:t xml:space="preserve"> sales </w:t>
      </w:r>
      <w:r>
        <w:rPr>
          <w:spacing w:val="-1"/>
        </w:rPr>
        <w:t>revenue</w:t>
      </w:r>
      <w:r>
        <w:t xml:space="preserve"> (i.e.</w:t>
      </w:r>
      <w:r>
        <w:rPr>
          <w:spacing w:val="-6"/>
        </w:rPr>
        <w:t xml:space="preserve"> </w:t>
      </w:r>
      <w:r>
        <w:t xml:space="preserve">the </w:t>
      </w:r>
      <w:r>
        <w:rPr>
          <w:spacing w:val="-1"/>
        </w:rPr>
        <w:t>revenue</w:t>
      </w:r>
      <w:r>
        <w:t xml:space="preserve"> to be </w:t>
      </w:r>
      <w:r>
        <w:rPr>
          <w:spacing w:val="-1"/>
        </w:rPr>
        <w:t>recovered</w:t>
      </w:r>
      <w:r>
        <w:t xml:space="preserve"> </w:t>
      </w:r>
      <w:r>
        <w:rPr>
          <w:spacing w:val="-1"/>
        </w:rPr>
        <w:t>from</w:t>
      </w:r>
      <w:r>
        <w:rPr>
          <w:spacing w:val="27"/>
        </w:rPr>
        <w:t xml:space="preserve"> </w:t>
      </w:r>
      <w:r>
        <w:t xml:space="preserve">tier 1 and tier 2 </w:t>
      </w:r>
      <w:r>
        <w:rPr>
          <w:spacing w:val="-1"/>
        </w:rPr>
        <w:t>charges)</w:t>
      </w:r>
      <w:r>
        <w:t xml:space="preserve"> allowed in the </w:t>
      </w:r>
      <w:r>
        <w:rPr>
          <w:spacing w:val="-2"/>
        </w:rPr>
        <w:t>Draft</w:t>
      </w:r>
      <w:r>
        <w:t xml:space="preserve"> </w:t>
      </w:r>
      <w:r>
        <w:rPr>
          <w:spacing w:val="-1"/>
        </w:rPr>
        <w:t>Report</w:t>
      </w:r>
      <w:r>
        <w:t xml:space="preserve"> plus or minus 7% depending on whether</w:t>
      </w:r>
      <w:r>
        <w:rPr>
          <w:spacing w:val="29"/>
        </w:rPr>
        <w:t xml:space="preserve"> </w:t>
      </w:r>
      <w:r>
        <w:rPr>
          <w:spacing w:val="-1"/>
        </w:rPr>
        <w:t>there</w:t>
      </w:r>
      <w:r>
        <w:t xml:space="preserve"> has been an over collection or an under collection of</w:t>
      </w:r>
      <w:r>
        <w:rPr>
          <w:spacing w:val="4"/>
        </w:rPr>
        <w:t xml:space="preserve"> </w:t>
      </w:r>
      <w:r>
        <w:rPr>
          <w:spacing w:val="-1"/>
        </w:rPr>
        <w:t>revenue.</w:t>
      </w:r>
    </w:p>
    <w:p w:rsidR="00D96B91" w:rsidRDefault="00C2656B">
      <w:pPr>
        <w:pStyle w:val="BodyText"/>
        <w:spacing w:before="85" w:line="260" w:lineRule="exact"/>
        <w:ind w:right="1256"/>
      </w:pPr>
      <w:r>
        <w:rPr>
          <w:spacing w:val="-2"/>
        </w:rPr>
        <w:t>Forecast</w:t>
      </w:r>
      <w:r>
        <w:rPr>
          <w:spacing w:val="-1"/>
        </w:rPr>
        <w:t xml:space="preserve"> revenue</w:t>
      </w:r>
      <w:r>
        <w:t xml:space="preserve"> will</w:t>
      </w:r>
      <w:r>
        <w:rPr>
          <w:spacing w:val="-1"/>
        </w:rPr>
        <w:t xml:space="preserve"> </w:t>
      </w:r>
      <w:r>
        <w:t>be used</w:t>
      </w:r>
      <w:r>
        <w:rPr>
          <w:spacing w:val="-1"/>
        </w:rPr>
        <w:t xml:space="preserve"> </w:t>
      </w:r>
      <w:r>
        <w:t>for those</w:t>
      </w:r>
      <w:r>
        <w:rPr>
          <w:spacing w:val="-1"/>
        </w:rPr>
        <w:t xml:space="preserve"> quarters</w:t>
      </w:r>
      <w:r>
        <w:t xml:space="preserve"> of</w:t>
      </w:r>
      <w:r>
        <w:rPr>
          <w:spacing w:val="3"/>
        </w:rPr>
        <w:t xml:space="preserve"> </w:t>
      </w:r>
      <w:r>
        <w:t>the financial</w:t>
      </w:r>
      <w:r>
        <w:rPr>
          <w:spacing w:val="-1"/>
        </w:rPr>
        <w:t xml:space="preserve"> year</w:t>
      </w:r>
      <w:r>
        <w:t xml:space="preserve"> 2017-18</w:t>
      </w:r>
      <w:r>
        <w:rPr>
          <w:spacing w:val="-1"/>
        </w:rPr>
        <w:t xml:space="preserve"> </w:t>
      </w:r>
      <w:r>
        <w:t>for which</w:t>
      </w:r>
      <w:r>
        <w:rPr>
          <w:spacing w:val="-1"/>
        </w:rPr>
        <w:t xml:space="preserve"> </w:t>
      </w:r>
      <w:r>
        <w:t xml:space="preserve">actual </w:t>
      </w:r>
      <w:r>
        <w:rPr>
          <w:spacing w:val="-1"/>
        </w:rPr>
        <w:t>revenue</w:t>
      </w:r>
      <w:r>
        <w:rPr>
          <w:spacing w:val="31"/>
        </w:rPr>
        <w:t xml:space="preserve"> </w:t>
      </w:r>
      <w:r>
        <w:rPr>
          <w:spacing w:val="-1"/>
        </w:rPr>
        <w:t>data</w:t>
      </w:r>
      <w:r>
        <w:t xml:space="preserve"> is unavailable.</w:t>
      </w:r>
      <w:r>
        <w:rPr>
          <w:spacing w:val="-11"/>
        </w:rPr>
        <w:t xml:space="preserve"> </w:t>
      </w:r>
      <w:r>
        <w:rPr>
          <w:spacing w:val="-2"/>
        </w:rPr>
        <w:t>The</w:t>
      </w:r>
      <w:r>
        <w:t xml:space="preserve"> </w:t>
      </w:r>
      <w:r>
        <w:rPr>
          <w:spacing w:val="-2"/>
        </w:rPr>
        <w:t>rate</w:t>
      </w:r>
      <w:r>
        <w:t xml:space="preserve"> of</w:t>
      </w:r>
      <w:r>
        <w:rPr>
          <w:spacing w:val="4"/>
        </w:rPr>
        <w:t xml:space="preserve"> </w:t>
      </w:r>
      <w:r>
        <w:rPr>
          <w:spacing w:val="-1"/>
        </w:rPr>
        <w:t>return</w:t>
      </w:r>
      <w:r>
        <w:t xml:space="preserve"> to be used in the </w:t>
      </w:r>
      <w:r>
        <w:rPr>
          <w:spacing w:val="-1"/>
        </w:rPr>
        <w:t>calculation</w:t>
      </w:r>
      <w:r>
        <w:t xml:space="preserve"> of</w:t>
      </w:r>
      <w:r>
        <w:rPr>
          <w:spacing w:val="4"/>
        </w:rPr>
        <w:t xml:space="preserve"> </w:t>
      </w:r>
      <w:r>
        <w:t xml:space="preserve">the net </w:t>
      </w:r>
      <w:r>
        <w:rPr>
          <w:spacing w:val="-1"/>
        </w:rPr>
        <w:t>present</w:t>
      </w:r>
      <w:r>
        <w:t xml:space="preserve"> value is 7.2%,</w:t>
      </w:r>
      <w:r>
        <w:rPr>
          <w:spacing w:val="43"/>
        </w:rPr>
        <w:t xml:space="preserve"> </w:t>
      </w:r>
      <w:r>
        <w:t>being the post-tax nominal</w:t>
      </w:r>
      <w:r>
        <w:rPr>
          <w:spacing w:val="-3"/>
        </w:rPr>
        <w:t xml:space="preserve"> WACC</w:t>
      </w:r>
      <w:r>
        <w:t xml:space="preserve"> set out in the </w:t>
      </w:r>
      <w:r>
        <w:rPr>
          <w:spacing w:val="-4"/>
        </w:rPr>
        <w:t>Panel’s</w:t>
      </w:r>
      <w:r>
        <w:t xml:space="preserve"> </w:t>
      </w:r>
      <w:r>
        <w:rPr>
          <w:spacing w:val="-2"/>
        </w:rPr>
        <w:t>Draft</w:t>
      </w:r>
      <w:r>
        <w:t xml:space="preserve"> </w:t>
      </w:r>
      <w:r>
        <w:rPr>
          <w:spacing w:val="-1"/>
        </w:rPr>
        <w:t>Report.</w:t>
      </w:r>
    </w:p>
    <w:p w:rsidR="00D96B91" w:rsidRDefault="00C2656B">
      <w:pPr>
        <w:spacing w:before="158"/>
        <w:ind w:left="1247"/>
        <w:rPr>
          <w:rFonts w:ascii="Avenir Next" w:eastAsia="Avenir Next" w:hAnsi="Avenir Next" w:cs="Avenir Next"/>
          <w:sz w:val="20"/>
          <w:szCs w:val="20"/>
        </w:rPr>
      </w:pPr>
      <w:r>
        <w:rPr>
          <w:rFonts w:ascii="Avenir Next"/>
          <w:b/>
          <w:spacing w:val="-4"/>
          <w:sz w:val="20"/>
        </w:rPr>
        <w:t>Table</w:t>
      </w:r>
      <w:r>
        <w:rPr>
          <w:rFonts w:ascii="Avenir Next"/>
          <w:b/>
          <w:sz w:val="20"/>
        </w:rPr>
        <w:t xml:space="preserve"> 8.3:</w:t>
      </w:r>
      <w:r>
        <w:rPr>
          <w:rFonts w:ascii="Avenir Next"/>
          <w:b/>
          <w:spacing w:val="-3"/>
          <w:sz w:val="20"/>
        </w:rPr>
        <w:t xml:space="preserve"> </w:t>
      </w:r>
      <w:r>
        <w:rPr>
          <w:rFonts w:ascii="Avenir Next"/>
          <w:b/>
          <w:spacing w:val="-2"/>
          <w:sz w:val="20"/>
        </w:rPr>
        <w:t>Water</w:t>
      </w:r>
      <w:r>
        <w:rPr>
          <w:rFonts w:ascii="Avenir Next"/>
          <w:b/>
          <w:sz w:val="20"/>
        </w:rPr>
        <w:t xml:space="preserve"> sales </w:t>
      </w:r>
      <w:r>
        <w:rPr>
          <w:rFonts w:ascii="Avenir Next"/>
          <w:b/>
          <w:spacing w:val="-1"/>
          <w:sz w:val="20"/>
        </w:rPr>
        <w:t>revenue</w:t>
      </w:r>
      <w:r>
        <w:rPr>
          <w:rFonts w:ascii="Avenir Next"/>
          <w:b/>
          <w:sz w:val="20"/>
        </w:rPr>
        <w:t xml:space="preserve"> ($million,</w:t>
      </w:r>
      <w:r>
        <w:rPr>
          <w:rFonts w:ascii="Avenir Next"/>
          <w:b/>
          <w:spacing w:val="-7"/>
          <w:sz w:val="20"/>
        </w:rPr>
        <w:t xml:space="preserve"> </w:t>
      </w:r>
      <w:r>
        <w:rPr>
          <w:rFonts w:ascii="Avenir Next"/>
          <w:b/>
          <w:sz w:val="20"/>
        </w:rPr>
        <w:t>$2012-13)</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951"/>
        <w:gridCol w:w="2551"/>
      </w:tblGrid>
      <w:tr w:rsidR="00D96B91">
        <w:trPr>
          <w:trHeight w:hRule="exact" w:val="407"/>
        </w:trPr>
        <w:tc>
          <w:tcPr>
            <w:tcW w:w="29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b/>
                <w:color w:val="FFFFFF"/>
                <w:spacing w:val="-3"/>
                <w:sz w:val="18"/>
              </w:rPr>
              <w:t>Year</w:t>
            </w:r>
          </w:p>
        </w:tc>
        <w:tc>
          <w:tcPr>
            <w:tcW w:w="2551"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08"/>
              <w:ind w:left="563"/>
              <w:rPr>
                <w:rFonts w:ascii="Avenir Next Condensed" w:eastAsia="Avenir Next Condensed" w:hAnsi="Avenir Next Condensed" w:cs="Avenir Next Condensed"/>
                <w:sz w:val="18"/>
                <w:szCs w:val="18"/>
              </w:rPr>
            </w:pPr>
            <w:r>
              <w:rPr>
                <w:rFonts w:ascii="Avenir Next Condensed"/>
                <w:b/>
                <w:color w:val="FFFFFF"/>
                <w:spacing w:val="-1"/>
                <w:sz w:val="18"/>
              </w:rPr>
              <w:t>Water</w:t>
            </w:r>
            <w:r>
              <w:rPr>
                <w:rFonts w:ascii="Avenir Next Condensed"/>
                <w:b/>
                <w:color w:val="FFFFFF"/>
                <w:sz w:val="18"/>
              </w:rPr>
              <w:t xml:space="preserve"> Sales </w:t>
            </w:r>
            <w:r>
              <w:rPr>
                <w:rFonts w:ascii="Avenir Next Condensed"/>
                <w:b/>
                <w:color w:val="FFFFFF"/>
                <w:spacing w:val="-1"/>
                <w:sz w:val="18"/>
              </w:rPr>
              <w:t>Revenue</w:t>
            </w:r>
          </w:p>
        </w:tc>
      </w:tr>
      <w:tr w:rsidR="00D96B91">
        <w:trPr>
          <w:trHeight w:hRule="exact" w:val="407"/>
        </w:trPr>
        <w:tc>
          <w:tcPr>
            <w:tcW w:w="29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2013-14</w:t>
            </w:r>
          </w:p>
        </w:tc>
        <w:tc>
          <w:tcPr>
            <w:tcW w:w="2551"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sz w:val="18"/>
              </w:rPr>
              <w:t>$153.26</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2014-15</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sz w:val="18"/>
              </w:rPr>
              <w:t>$169.18</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2015-16</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sz w:val="18"/>
              </w:rPr>
              <w:t>$160.88</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2016-17</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sz w:val="18"/>
              </w:rPr>
              <w:t>$161.66</w:t>
            </w:r>
          </w:p>
        </w:tc>
      </w:tr>
      <w:tr w:rsidR="00D96B91">
        <w:trPr>
          <w:trHeight w:hRule="exact" w:val="407"/>
        </w:trPr>
        <w:tc>
          <w:tcPr>
            <w:tcW w:w="29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2017-18</w:t>
            </w:r>
          </w:p>
        </w:tc>
        <w:tc>
          <w:tcPr>
            <w:tcW w:w="2551"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76"/>
              <w:jc w:val="center"/>
              <w:rPr>
                <w:rFonts w:ascii="Avenir Next Condensed" w:eastAsia="Avenir Next Condensed" w:hAnsi="Avenir Next Condensed" w:cs="Avenir Next Condensed"/>
                <w:sz w:val="18"/>
                <w:szCs w:val="18"/>
              </w:rPr>
            </w:pPr>
            <w:r>
              <w:rPr>
                <w:rFonts w:ascii="Avenir Next Condensed"/>
                <w:sz w:val="18"/>
              </w:rPr>
              <w:t>$162.65</w:t>
            </w:r>
          </w:p>
        </w:tc>
      </w:tr>
    </w:tbl>
    <w:p w:rsidR="00D96B91" w:rsidRDefault="00D96B91">
      <w:pPr>
        <w:spacing w:before="3"/>
        <w:rPr>
          <w:rFonts w:ascii="Avenir Next" w:eastAsia="Avenir Next" w:hAnsi="Avenir Next" w:cs="Avenir Next"/>
          <w:b/>
          <w:bCs/>
          <w:sz w:val="7"/>
          <w:szCs w:val="7"/>
        </w:rPr>
      </w:pPr>
    </w:p>
    <w:p w:rsidR="00D96B91" w:rsidRDefault="00C2656B">
      <w:pPr>
        <w:pStyle w:val="BodyText"/>
        <w:numPr>
          <w:ilvl w:val="0"/>
          <w:numId w:val="3"/>
        </w:numPr>
        <w:tabs>
          <w:tab w:val="left" w:pos="1588"/>
        </w:tabs>
        <w:spacing w:before="38" w:line="260" w:lineRule="exact"/>
        <w:ind w:right="1815" w:hanging="340"/>
      </w:pPr>
      <w:r>
        <w:rPr>
          <w:spacing w:val="-2"/>
        </w:rPr>
        <w:t>The</w:t>
      </w:r>
      <w:r>
        <w:rPr>
          <w:spacing w:val="-1"/>
        </w:rPr>
        <w:t xml:space="preserve"> Commission</w:t>
      </w:r>
      <w:r>
        <w:t xml:space="preserve"> will</w:t>
      </w:r>
      <w:r>
        <w:rPr>
          <w:spacing w:val="-1"/>
        </w:rPr>
        <w:t xml:space="preserve"> </w:t>
      </w:r>
      <w:r>
        <w:t>carry out</w:t>
      </w:r>
      <w:r>
        <w:rPr>
          <w:spacing w:val="-1"/>
        </w:rPr>
        <w:t xml:space="preserve"> </w:t>
      </w:r>
      <w:r>
        <w:t xml:space="preserve">an </w:t>
      </w:r>
      <w:r>
        <w:rPr>
          <w:i/>
          <w:spacing w:val="-1"/>
        </w:rPr>
        <w:t>ex</w:t>
      </w:r>
      <w:r>
        <w:rPr>
          <w:i/>
        </w:rPr>
        <w:t xml:space="preserve"> post</w:t>
      </w:r>
      <w:r>
        <w:rPr>
          <w:i/>
          <w:spacing w:val="-1"/>
        </w:rPr>
        <w:t xml:space="preserve"> </w:t>
      </w:r>
      <w:r>
        <w:rPr>
          <w:spacing w:val="-1"/>
        </w:rPr>
        <w:t>review</w:t>
      </w:r>
      <w:r>
        <w:t xml:space="preserve"> of</w:t>
      </w:r>
      <w:r>
        <w:rPr>
          <w:spacing w:val="3"/>
        </w:rPr>
        <w:t xml:space="preserve"> </w:t>
      </w:r>
      <w:r>
        <w:t>the prudence</w:t>
      </w:r>
      <w:r>
        <w:rPr>
          <w:spacing w:val="-1"/>
        </w:rPr>
        <w:t xml:space="preserve"> </w:t>
      </w:r>
      <w:r>
        <w:t xml:space="preserve">and </w:t>
      </w:r>
      <w:r>
        <w:rPr>
          <w:spacing w:val="-1"/>
        </w:rPr>
        <w:t>efficiency</w:t>
      </w:r>
      <w:r>
        <w:t xml:space="preserve"> of</w:t>
      </w:r>
      <w:r>
        <w:rPr>
          <w:spacing w:val="3"/>
        </w:rPr>
        <w:t xml:space="preserve"> </w:t>
      </w:r>
      <w:r>
        <w:t>the amount</w:t>
      </w:r>
      <w:r>
        <w:rPr>
          <w:spacing w:val="35"/>
        </w:rPr>
        <w:t xml:space="preserve"> </w:t>
      </w:r>
      <w:r>
        <w:rPr>
          <w:spacing w:val="-2"/>
        </w:rPr>
        <w:t>ACTEW</w:t>
      </w:r>
      <w:r>
        <w:rPr>
          <w:spacing w:val="-3"/>
        </w:rPr>
        <w:t xml:space="preserve"> </w:t>
      </w:r>
      <w:r>
        <w:t xml:space="preserve">spent on capital </w:t>
      </w:r>
      <w:r>
        <w:rPr>
          <w:spacing w:val="-1"/>
        </w:rPr>
        <w:t>expenditure</w:t>
      </w:r>
      <w:r>
        <w:t xml:space="preserve"> in this </w:t>
      </w:r>
      <w:r>
        <w:rPr>
          <w:spacing w:val="-1"/>
        </w:rPr>
        <w:t>regulatory</w:t>
      </w:r>
      <w:r>
        <w:t xml:space="preserve"> period as </w:t>
      </w:r>
      <w:r>
        <w:rPr>
          <w:spacing w:val="-1"/>
        </w:rPr>
        <w:t>part</w:t>
      </w:r>
      <w:r>
        <w:t xml:space="preserve"> of</w:t>
      </w:r>
      <w:r>
        <w:rPr>
          <w:spacing w:val="4"/>
        </w:rPr>
        <w:t xml:space="preserve"> </w:t>
      </w:r>
      <w:r>
        <w:t xml:space="preserve">the </w:t>
      </w:r>
      <w:r>
        <w:rPr>
          <w:spacing w:val="-1"/>
        </w:rPr>
        <w:t>next</w:t>
      </w:r>
      <w:r>
        <w:t xml:space="preserve"> price</w:t>
      </w:r>
      <w:r>
        <w:rPr>
          <w:spacing w:val="31"/>
        </w:rPr>
        <w:t xml:space="preserve"> </w:t>
      </w:r>
      <w:r>
        <w:rPr>
          <w:spacing w:val="-1"/>
        </w:rPr>
        <w:t>determination.</w:t>
      </w:r>
    </w:p>
    <w:p w:rsidR="00D96B91" w:rsidRDefault="00C2656B">
      <w:pPr>
        <w:pStyle w:val="BodyText"/>
        <w:numPr>
          <w:ilvl w:val="0"/>
          <w:numId w:val="3"/>
        </w:numPr>
        <w:tabs>
          <w:tab w:val="left" w:pos="1588"/>
        </w:tabs>
        <w:spacing w:before="85" w:line="260" w:lineRule="exact"/>
        <w:ind w:right="1516" w:hanging="340"/>
      </w:pPr>
      <w:r>
        <w:rPr>
          <w:spacing w:val="-2"/>
        </w:rPr>
        <w:t>The</w:t>
      </w:r>
      <w:r>
        <w:t xml:space="preserve"> </w:t>
      </w:r>
      <w:r>
        <w:rPr>
          <w:spacing w:val="-1"/>
        </w:rPr>
        <w:t>Commission</w:t>
      </w:r>
      <w:r>
        <w:t xml:space="preserve"> will </w:t>
      </w:r>
      <w:r>
        <w:rPr>
          <w:spacing w:val="-1"/>
        </w:rPr>
        <w:t>roll</w:t>
      </w:r>
      <w:r>
        <w:t xml:space="preserve"> </w:t>
      </w:r>
      <w:r>
        <w:rPr>
          <w:spacing w:val="-1"/>
        </w:rPr>
        <w:t>forward</w:t>
      </w:r>
      <w:r>
        <w:t xml:space="preserve"> the </w:t>
      </w:r>
      <w:r>
        <w:rPr>
          <w:spacing w:val="-1"/>
        </w:rPr>
        <w:t>regulatory</w:t>
      </w:r>
      <w:r>
        <w:t xml:space="preserve"> asset base to determine the opening value </w:t>
      </w:r>
      <w:r>
        <w:rPr>
          <w:spacing w:val="-2"/>
        </w:rPr>
        <w:t>at</w:t>
      </w:r>
      <w:r>
        <w:t xml:space="preserve"> the</w:t>
      </w:r>
      <w:r>
        <w:rPr>
          <w:spacing w:val="35"/>
        </w:rPr>
        <w:t xml:space="preserve"> </w:t>
      </w:r>
      <w:r>
        <w:rPr>
          <w:spacing w:val="-1"/>
        </w:rPr>
        <w:t>start</w:t>
      </w:r>
      <w:r>
        <w:t xml:space="preserve"> of</w:t>
      </w:r>
      <w:r>
        <w:rPr>
          <w:spacing w:val="4"/>
        </w:rPr>
        <w:t xml:space="preserve"> </w:t>
      </w:r>
      <w:r>
        <w:t xml:space="preserve">the </w:t>
      </w:r>
      <w:r>
        <w:rPr>
          <w:spacing w:val="-1"/>
        </w:rPr>
        <w:t>next</w:t>
      </w:r>
      <w:r>
        <w:t xml:space="preserve"> </w:t>
      </w:r>
      <w:r>
        <w:rPr>
          <w:spacing w:val="-1"/>
        </w:rPr>
        <w:t>regulatory</w:t>
      </w:r>
      <w:r>
        <w:t xml:space="preserve"> period using the same </w:t>
      </w:r>
      <w:r>
        <w:rPr>
          <w:spacing w:val="-1"/>
        </w:rPr>
        <w:t>approach</w:t>
      </w:r>
      <w:r>
        <w:t xml:space="preserve"> as </w:t>
      </w:r>
      <w:r>
        <w:rPr>
          <w:spacing w:val="-1"/>
        </w:rPr>
        <w:t>that</w:t>
      </w:r>
      <w:r>
        <w:t xml:space="preserve"> outlined in section 8.3 of</w:t>
      </w:r>
      <w:r>
        <w:rPr>
          <w:spacing w:val="4"/>
        </w:rPr>
        <w:t xml:space="preserve"> </w:t>
      </w:r>
      <w:r>
        <w:t>the</w:t>
      </w:r>
      <w:r>
        <w:rPr>
          <w:spacing w:val="29"/>
        </w:rPr>
        <w:t xml:space="preserve"> </w:t>
      </w:r>
      <w:r>
        <w:rPr>
          <w:spacing w:val="-2"/>
        </w:rPr>
        <w:t>Draft</w:t>
      </w:r>
      <w:r>
        <w:t xml:space="preserve"> </w:t>
      </w:r>
      <w:r>
        <w:rPr>
          <w:spacing w:val="-1"/>
        </w:rPr>
        <w:t>Report.</w:t>
      </w:r>
    </w:p>
    <w:p w:rsidR="00D96B91" w:rsidRDefault="00C2656B">
      <w:pPr>
        <w:pStyle w:val="BodyText"/>
        <w:numPr>
          <w:ilvl w:val="0"/>
          <w:numId w:val="3"/>
        </w:numPr>
        <w:tabs>
          <w:tab w:val="left" w:pos="1588"/>
        </w:tabs>
        <w:spacing w:before="85" w:line="260" w:lineRule="exact"/>
        <w:ind w:right="1355" w:hanging="340"/>
      </w:pPr>
      <w:r>
        <w:rPr>
          <w:spacing w:val="-2"/>
        </w:rPr>
        <w:t>The</w:t>
      </w:r>
      <w:r>
        <w:t xml:space="preserve"> </w:t>
      </w:r>
      <w:r>
        <w:rPr>
          <w:spacing w:val="-1"/>
        </w:rPr>
        <w:t>Commission</w:t>
      </w:r>
      <w:r>
        <w:t xml:space="preserve"> will allow any cost </w:t>
      </w:r>
      <w:r>
        <w:rPr>
          <w:spacing w:val="-1"/>
        </w:rPr>
        <w:t>pass-through</w:t>
      </w:r>
      <w:r>
        <w:t xml:space="preserve"> or costs </w:t>
      </w:r>
      <w:r>
        <w:rPr>
          <w:spacing w:val="-1"/>
        </w:rPr>
        <w:t>associated</w:t>
      </w:r>
      <w:r>
        <w:t xml:space="preserve"> with an </w:t>
      </w:r>
      <w:r>
        <w:rPr>
          <w:spacing w:val="-1"/>
        </w:rPr>
        <w:t>unforeseen</w:t>
      </w:r>
      <w:r>
        <w:t xml:space="preserve"> event </w:t>
      </w:r>
      <w:r>
        <w:rPr>
          <w:spacing w:val="-1"/>
        </w:rPr>
        <w:t>that</w:t>
      </w:r>
      <w:r>
        <w:rPr>
          <w:spacing w:val="67"/>
        </w:rPr>
        <w:t xml:space="preserve"> </w:t>
      </w:r>
      <w:r>
        <w:t>occur</w:t>
      </w:r>
      <w:r>
        <w:rPr>
          <w:spacing w:val="-1"/>
        </w:rPr>
        <w:t xml:space="preserve"> </w:t>
      </w:r>
      <w:r>
        <w:t xml:space="preserve">in the final </w:t>
      </w:r>
      <w:r>
        <w:rPr>
          <w:spacing w:val="-1"/>
        </w:rPr>
        <w:t xml:space="preserve">year </w:t>
      </w:r>
      <w:r>
        <w:t>of</w:t>
      </w:r>
      <w:r>
        <w:rPr>
          <w:spacing w:val="4"/>
        </w:rPr>
        <w:t xml:space="preserve"> </w:t>
      </w:r>
      <w:r>
        <w:t xml:space="preserve">this </w:t>
      </w:r>
      <w:r>
        <w:rPr>
          <w:spacing w:val="-1"/>
        </w:rPr>
        <w:t>regulatory</w:t>
      </w:r>
      <w:r>
        <w:t xml:space="preserve"> period</w:t>
      </w:r>
      <w:r>
        <w:rPr>
          <w:spacing w:val="-1"/>
        </w:rPr>
        <w:t xml:space="preserve"> </w:t>
      </w:r>
      <w:r>
        <w:t xml:space="preserve">(2017-18) to be </w:t>
      </w:r>
      <w:r>
        <w:rPr>
          <w:spacing w:val="-1"/>
        </w:rPr>
        <w:t xml:space="preserve">recovered </w:t>
      </w:r>
      <w:r>
        <w:t xml:space="preserve">in the </w:t>
      </w:r>
      <w:r>
        <w:rPr>
          <w:spacing w:val="-1"/>
        </w:rPr>
        <w:t>next</w:t>
      </w:r>
      <w:r>
        <w:t xml:space="preserve"> </w:t>
      </w:r>
      <w:r>
        <w:rPr>
          <w:spacing w:val="-1"/>
        </w:rPr>
        <w:t>regulatory</w:t>
      </w:r>
      <w:r>
        <w:rPr>
          <w:spacing w:val="27"/>
        </w:rPr>
        <w:t xml:space="preserve"> </w:t>
      </w:r>
      <w:r>
        <w:t>period (commencing on 1</w:t>
      </w:r>
      <w:r>
        <w:rPr>
          <w:spacing w:val="-3"/>
        </w:rPr>
        <w:t xml:space="preserve"> </w:t>
      </w:r>
      <w:r>
        <w:t>July 2018) if</w:t>
      </w:r>
      <w:r>
        <w:rPr>
          <w:spacing w:val="4"/>
        </w:rPr>
        <w:t xml:space="preserve"> </w:t>
      </w:r>
      <w:r>
        <w:t xml:space="preserve">it is </w:t>
      </w:r>
      <w:r>
        <w:rPr>
          <w:spacing w:val="-1"/>
        </w:rPr>
        <w:t>appropriate</w:t>
      </w:r>
      <w:r>
        <w:t xml:space="preserve"> to do </w:t>
      </w:r>
      <w:r>
        <w:rPr>
          <w:spacing w:val="-1"/>
        </w:rPr>
        <w:t>so.</w:t>
      </w:r>
    </w:p>
    <w:p w:rsidR="00D96B91" w:rsidRDefault="00D96B91">
      <w:pPr>
        <w:spacing w:line="260" w:lineRule="exact"/>
        <w:sectPr w:rsidR="00D96B91">
          <w:footerReference w:type="even" r:id="rId155"/>
          <w:footerReference w:type="default" r:id="rId156"/>
          <w:pgSz w:w="11910" w:h="16840"/>
          <w:pgMar w:top="1200" w:right="0" w:bottom="1020" w:left="0" w:header="0" w:footer="829" w:gutter="0"/>
          <w:cols w:space="720"/>
        </w:sectPr>
      </w:pPr>
    </w:p>
    <w:p w:rsidR="00D96B91" w:rsidRDefault="00C2656B">
      <w:pPr>
        <w:spacing w:line="516" w:lineRule="exact"/>
        <w:ind w:left="1247"/>
        <w:rPr>
          <w:rFonts w:ascii="Avenir Next" w:eastAsia="Avenir Next" w:hAnsi="Avenir Next" w:cs="Avenir Next"/>
          <w:sz w:val="40"/>
          <w:szCs w:val="40"/>
        </w:rPr>
      </w:pPr>
      <w:bookmarkStart w:id="311" w:name="Compliance_with_section_20(2)_"/>
      <w:bookmarkStart w:id="312" w:name="_bookmark185"/>
      <w:bookmarkEnd w:id="311"/>
      <w:bookmarkEnd w:id="312"/>
      <w:r>
        <w:rPr>
          <w:rFonts w:ascii="Avenir Next"/>
          <w:b/>
          <w:color w:val="0778BE"/>
          <w:spacing w:val="-1"/>
          <w:sz w:val="40"/>
        </w:rPr>
        <w:t>Compliance</w:t>
      </w:r>
      <w:r>
        <w:rPr>
          <w:rFonts w:ascii="Avenir Next"/>
          <w:b/>
          <w:color w:val="0778BE"/>
          <w:sz w:val="40"/>
        </w:rPr>
        <w:t xml:space="preserve"> with section 20(2)</w:t>
      </w:r>
    </w:p>
    <w:p w:rsidR="00D96B91" w:rsidRDefault="00C2656B">
      <w:pPr>
        <w:pStyle w:val="BodyText"/>
        <w:spacing w:before="359" w:line="260" w:lineRule="exact"/>
        <w:ind w:right="1256"/>
      </w:pPr>
      <w:r>
        <w:rPr>
          <w:spacing w:val="-2"/>
        </w:rPr>
        <w:t>The</w:t>
      </w:r>
      <w:r>
        <w:t xml:space="preserve"> table below </w:t>
      </w:r>
      <w:r>
        <w:rPr>
          <w:spacing w:val="-1"/>
        </w:rPr>
        <w:t>provides</w:t>
      </w:r>
      <w:r>
        <w:t xml:space="preserve"> an overview of</w:t>
      </w:r>
      <w:r>
        <w:rPr>
          <w:spacing w:val="4"/>
        </w:rPr>
        <w:t xml:space="preserve"> </w:t>
      </w:r>
      <w:r>
        <w:rPr>
          <w:spacing w:val="-1"/>
        </w:rPr>
        <w:t>where</w:t>
      </w:r>
      <w:r>
        <w:t xml:space="preserve"> in the </w:t>
      </w:r>
      <w:r>
        <w:rPr>
          <w:spacing w:val="-2"/>
        </w:rPr>
        <w:t>Draft</w:t>
      </w:r>
      <w:r>
        <w:t xml:space="preserve"> </w:t>
      </w:r>
      <w:r>
        <w:rPr>
          <w:spacing w:val="-1"/>
        </w:rPr>
        <w:t>Report,</w:t>
      </w:r>
      <w:r>
        <w:rPr>
          <w:spacing w:val="-6"/>
        </w:rPr>
        <w:t xml:space="preserve"> </w:t>
      </w:r>
      <w:r>
        <w:t xml:space="preserve">and </w:t>
      </w:r>
      <w:r>
        <w:rPr>
          <w:spacing w:val="-2"/>
        </w:rPr>
        <w:t>how,</w:t>
      </w:r>
      <w:r>
        <w:rPr>
          <w:spacing w:val="-6"/>
        </w:rPr>
        <w:t xml:space="preserve"> </w:t>
      </w:r>
      <w:r>
        <w:t xml:space="preserve">the </w:t>
      </w:r>
      <w:r>
        <w:rPr>
          <w:spacing w:val="-3"/>
        </w:rPr>
        <w:t>Panel</w:t>
      </w:r>
      <w:r>
        <w:t xml:space="preserve"> has </w:t>
      </w:r>
      <w:r>
        <w:rPr>
          <w:spacing w:val="-1"/>
        </w:rPr>
        <w:t>taken</w:t>
      </w:r>
      <w:r>
        <w:t xml:space="preserve"> into</w:t>
      </w:r>
      <w:r>
        <w:rPr>
          <w:spacing w:val="31"/>
        </w:rPr>
        <w:t xml:space="preserve"> </w:t>
      </w:r>
      <w:r>
        <w:t xml:space="preserve">account the </w:t>
      </w:r>
      <w:r>
        <w:rPr>
          <w:spacing w:val="-1"/>
        </w:rPr>
        <w:t>matters</w:t>
      </w:r>
      <w:r>
        <w:t xml:space="preserve"> set out in Section 20(2) and the terms of</w:t>
      </w:r>
      <w:r>
        <w:rPr>
          <w:spacing w:val="4"/>
        </w:rPr>
        <w:t xml:space="preserve"> </w:t>
      </w:r>
      <w:r>
        <w:rPr>
          <w:spacing w:val="-1"/>
        </w:rPr>
        <w:t>reference.</w:t>
      </w:r>
    </w:p>
    <w:p w:rsidR="00D96B91" w:rsidRDefault="00C2656B">
      <w:pPr>
        <w:spacing w:before="158"/>
        <w:ind w:left="1247"/>
        <w:rPr>
          <w:rFonts w:ascii="Avenir Next" w:eastAsia="Avenir Next" w:hAnsi="Avenir Next" w:cs="Avenir Next"/>
          <w:sz w:val="20"/>
          <w:szCs w:val="20"/>
        </w:rPr>
      </w:pPr>
      <w:r>
        <w:rPr>
          <w:rFonts w:ascii="Avenir Next"/>
          <w:b/>
          <w:spacing w:val="-4"/>
          <w:sz w:val="20"/>
        </w:rPr>
        <w:t xml:space="preserve">Table </w:t>
      </w:r>
      <w:r>
        <w:rPr>
          <w:rFonts w:ascii="Avenir Next"/>
          <w:b/>
          <w:sz w:val="20"/>
        </w:rPr>
        <w:t xml:space="preserve">A1.1: </w:t>
      </w:r>
      <w:r>
        <w:rPr>
          <w:rFonts w:ascii="Avenir Next"/>
          <w:b/>
          <w:spacing w:val="-1"/>
          <w:sz w:val="20"/>
        </w:rPr>
        <w:t>Compliance</w:t>
      </w:r>
      <w:r>
        <w:rPr>
          <w:rFonts w:ascii="Avenir Next"/>
          <w:b/>
          <w:sz w:val="20"/>
        </w:rPr>
        <w:t xml:space="preserve"> with Section 20(2) and the terms of</w:t>
      </w:r>
      <w:r>
        <w:rPr>
          <w:rFonts w:ascii="Avenir Next"/>
          <w:b/>
          <w:spacing w:val="4"/>
          <w:sz w:val="20"/>
        </w:rPr>
        <w:t xml:space="preserve"> </w:t>
      </w:r>
      <w:r>
        <w:rPr>
          <w:rFonts w:ascii="Avenir Next"/>
          <w:b/>
          <w:spacing w:val="-1"/>
          <w:sz w:val="20"/>
        </w:rPr>
        <w:t>reference</w:t>
      </w:r>
    </w:p>
    <w:p w:rsidR="00D96B91" w:rsidRDefault="00D96B91">
      <w:pPr>
        <w:rPr>
          <w:rFonts w:ascii="Avenir Next" w:eastAsia="Avenir Next" w:hAnsi="Avenir Next" w:cs="Avenir Next"/>
          <w:b/>
          <w:bCs/>
          <w:sz w:val="5"/>
          <w:szCs w:val="5"/>
        </w:rPr>
      </w:pPr>
    </w:p>
    <w:tbl>
      <w:tblPr>
        <w:tblW w:w="0" w:type="auto"/>
        <w:tblInd w:w="1247" w:type="dxa"/>
        <w:tblLayout w:type="fixed"/>
        <w:tblCellMar>
          <w:left w:w="0" w:type="dxa"/>
          <w:right w:w="0" w:type="dxa"/>
        </w:tblCellMar>
        <w:tblLook w:val="01E0"/>
      </w:tblPr>
      <w:tblGrid>
        <w:gridCol w:w="2623"/>
        <w:gridCol w:w="1023"/>
        <w:gridCol w:w="5755"/>
      </w:tblGrid>
      <w:tr w:rsidR="00D96B91">
        <w:trPr>
          <w:trHeight w:hRule="exact" w:val="627"/>
        </w:trPr>
        <w:tc>
          <w:tcPr>
            <w:tcW w:w="26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z w:val="18"/>
              </w:rPr>
              <w:t>Section 20(2)</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7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spacing w:before="1"/>
              <w:rPr>
                <w:rFonts w:ascii="Avenir Next" w:eastAsia="Avenir Next" w:hAnsi="Avenir Next" w:cs="Avenir Next"/>
                <w:b/>
                <w:bCs/>
                <w:sz w:val="24"/>
                <w:szCs w:val="24"/>
              </w:rPr>
            </w:pPr>
          </w:p>
          <w:p w:rsidR="00D96B91" w:rsidRDefault="00C2656B">
            <w:pPr>
              <w:pStyle w:val="TableParagraph"/>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1067"/>
        </w:trPr>
        <w:tc>
          <w:tcPr>
            <w:tcW w:w="2623" w:type="dxa"/>
            <w:vMerge w:val="restart"/>
            <w:tcBorders>
              <w:top w:val="single" w:sz="4" w:space="0" w:color="1A9EDA"/>
              <w:left w:val="single" w:sz="4" w:space="0" w:color="17A7E0"/>
              <w:right w:val="single" w:sz="4" w:space="0" w:color="17A7E0"/>
            </w:tcBorders>
            <w:shd w:val="clear" w:color="auto" w:fill="F0F9FE"/>
          </w:tcPr>
          <w:p w:rsidR="00D96B91" w:rsidRDefault="00C2656B">
            <w:pPr>
              <w:pStyle w:val="TableParagraph"/>
              <w:spacing w:before="112" w:line="220" w:lineRule="exact"/>
              <w:ind w:left="391" w:right="166" w:hanging="284"/>
              <w:rPr>
                <w:rFonts w:ascii="Avenir Next Condensed" w:eastAsia="Avenir Next Condensed" w:hAnsi="Avenir Next Condensed" w:cs="Avenir Next Condensed"/>
                <w:sz w:val="18"/>
                <w:szCs w:val="18"/>
              </w:rPr>
            </w:pPr>
            <w:r>
              <w:rPr>
                <w:rFonts w:ascii="Avenir Next Condensed"/>
                <w:b/>
                <w:sz w:val="18"/>
              </w:rPr>
              <w:t xml:space="preserve">(a)  </w:t>
            </w:r>
            <w:r>
              <w:rPr>
                <w:rFonts w:ascii="Avenir Next Condensed"/>
                <w:b/>
                <w:spacing w:val="3"/>
                <w:sz w:val="18"/>
              </w:rPr>
              <w:t xml:space="preserve"> </w:t>
            </w:r>
            <w:r>
              <w:rPr>
                <w:rFonts w:ascii="Avenir Next Condensed"/>
                <w:b/>
                <w:sz w:val="18"/>
              </w:rPr>
              <w:t xml:space="preserve">the </w:t>
            </w:r>
            <w:r>
              <w:rPr>
                <w:rFonts w:ascii="Avenir Next Condensed"/>
                <w:b/>
                <w:spacing w:val="-1"/>
                <w:sz w:val="18"/>
              </w:rPr>
              <w:t>protection</w:t>
            </w:r>
            <w:r>
              <w:rPr>
                <w:rFonts w:ascii="Avenir Next Condensed"/>
                <w:b/>
                <w:sz w:val="18"/>
              </w:rPr>
              <w:t xml:space="preserve"> of</w:t>
            </w:r>
            <w:r>
              <w:rPr>
                <w:rFonts w:ascii="Avenir Next Condensed"/>
                <w:b/>
                <w:spacing w:val="4"/>
                <w:sz w:val="18"/>
              </w:rPr>
              <w:t xml:space="preserve"> </w:t>
            </w:r>
            <w:r>
              <w:rPr>
                <w:rFonts w:ascii="Avenir Next Condensed"/>
                <w:b/>
                <w:sz w:val="18"/>
              </w:rPr>
              <w:t>consumers</w:t>
            </w:r>
            <w:r>
              <w:rPr>
                <w:rFonts w:ascii="Avenir Next Condensed"/>
                <w:b/>
                <w:spacing w:val="28"/>
                <w:sz w:val="18"/>
              </w:rPr>
              <w:t xml:space="preserve"> </w:t>
            </w:r>
            <w:r>
              <w:rPr>
                <w:rFonts w:ascii="Avenir Next Condensed"/>
                <w:b/>
                <w:spacing w:val="-1"/>
                <w:sz w:val="18"/>
              </w:rPr>
              <w:t>from</w:t>
            </w:r>
            <w:r>
              <w:rPr>
                <w:rFonts w:ascii="Avenir Next Condensed"/>
                <w:b/>
                <w:sz w:val="18"/>
              </w:rPr>
              <w:t xml:space="preserve"> abuses of</w:t>
            </w:r>
            <w:r>
              <w:rPr>
                <w:rFonts w:ascii="Avenir Next Condensed"/>
                <w:b/>
                <w:spacing w:val="4"/>
                <w:sz w:val="18"/>
              </w:rPr>
              <w:t xml:space="preserve"> </w:t>
            </w:r>
            <w:r>
              <w:rPr>
                <w:rFonts w:ascii="Avenir Next Condensed"/>
                <w:b/>
                <w:sz w:val="18"/>
              </w:rPr>
              <w:t>monopoly</w:t>
            </w:r>
            <w:r>
              <w:rPr>
                <w:rFonts w:ascii="Avenir Next Condensed"/>
                <w:b/>
                <w:spacing w:val="22"/>
                <w:sz w:val="18"/>
              </w:rPr>
              <w:t xml:space="preserve"> </w:t>
            </w:r>
            <w:r>
              <w:rPr>
                <w:rFonts w:ascii="Avenir Next Condensed"/>
                <w:b/>
                <w:sz w:val="18"/>
              </w:rPr>
              <w:t>power in terms of</w:t>
            </w:r>
            <w:r>
              <w:rPr>
                <w:rFonts w:ascii="Avenir Next Condensed"/>
                <w:b/>
                <w:spacing w:val="4"/>
                <w:sz w:val="18"/>
              </w:rPr>
              <w:t xml:space="preserve"> </w:t>
            </w:r>
            <w:r>
              <w:rPr>
                <w:rFonts w:ascii="Avenir Next Condensed"/>
                <w:b/>
                <w:sz w:val="18"/>
              </w:rPr>
              <w:t xml:space="preserve">prices, pricing policies (including policies </w:t>
            </w:r>
            <w:r>
              <w:rPr>
                <w:rFonts w:ascii="Avenir Next Condensed"/>
                <w:b/>
                <w:spacing w:val="-1"/>
                <w:sz w:val="18"/>
              </w:rPr>
              <w:t>relating</w:t>
            </w:r>
            <w:r>
              <w:rPr>
                <w:rFonts w:ascii="Avenir Next Condensed"/>
                <w:b/>
                <w:sz w:val="18"/>
              </w:rPr>
              <w:t xml:space="preserve"> to the level or</w:t>
            </w:r>
            <w:r>
              <w:rPr>
                <w:rFonts w:ascii="Avenir Next Condensed"/>
                <w:b/>
                <w:spacing w:val="26"/>
                <w:sz w:val="18"/>
              </w:rPr>
              <w:t xml:space="preserve"> </w:t>
            </w:r>
            <w:r>
              <w:rPr>
                <w:rFonts w:ascii="Avenir Next Condensed"/>
                <w:b/>
                <w:spacing w:val="-1"/>
                <w:sz w:val="18"/>
              </w:rPr>
              <w:t>structure</w:t>
            </w:r>
            <w:r>
              <w:rPr>
                <w:rFonts w:ascii="Avenir Next Condensed"/>
                <w:b/>
                <w:sz w:val="18"/>
              </w:rPr>
              <w:t xml:space="preserve"> of</w:t>
            </w:r>
            <w:r>
              <w:rPr>
                <w:rFonts w:ascii="Avenir Next Condensed"/>
                <w:b/>
                <w:spacing w:val="4"/>
                <w:sz w:val="18"/>
              </w:rPr>
              <w:t xml:space="preserve"> </w:t>
            </w:r>
            <w:r>
              <w:rPr>
                <w:rFonts w:ascii="Avenir Next Condensed"/>
                <w:b/>
                <w:sz w:val="18"/>
              </w:rPr>
              <w:t>prices for services)</w:t>
            </w:r>
            <w:r>
              <w:rPr>
                <w:rFonts w:ascii="Avenir Next Condensed"/>
                <w:b/>
                <w:spacing w:val="27"/>
                <w:sz w:val="18"/>
              </w:rPr>
              <w:t xml:space="preserve"> </w:t>
            </w:r>
            <w:r>
              <w:rPr>
                <w:rFonts w:ascii="Avenir Next Condensed"/>
                <w:b/>
                <w:sz w:val="18"/>
              </w:rPr>
              <w:t xml:space="preserve">and </w:t>
            </w:r>
            <w:r>
              <w:rPr>
                <w:rFonts w:ascii="Avenir Next Condensed"/>
                <w:b/>
                <w:spacing w:val="-1"/>
                <w:sz w:val="18"/>
              </w:rPr>
              <w:t>standard</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regulated</w:t>
            </w:r>
            <w:r>
              <w:rPr>
                <w:rFonts w:ascii="Avenir Next Condensed"/>
                <w:b/>
                <w:spacing w:val="27"/>
                <w:sz w:val="18"/>
              </w:rPr>
              <w:t xml:space="preserve"> </w:t>
            </w:r>
            <w:r>
              <w:rPr>
                <w:rFonts w:ascii="Avenir Next Condensed"/>
                <w:b/>
                <w:sz w:val="18"/>
              </w:rPr>
              <w:t>services</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7</w:t>
            </w:r>
          </w:p>
        </w:tc>
        <w:tc>
          <w:tcPr>
            <w:tcW w:w="575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262"/>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method to be used to determine prices,</w:t>
            </w:r>
            <w:r>
              <w:rPr>
                <w:rFonts w:ascii="Avenir Next Condensed"/>
                <w:spacing w:val="-6"/>
                <w:sz w:val="18"/>
              </w:rPr>
              <w:t xml:space="preserve"> </w:t>
            </w:r>
            <w:r>
              <w:rPr>
                <w:rFonts w:ascii="Avenir Next Condensed"/>
                <w:sz w:val="18"/>
              </w:rPr>
              <w:t>use of</w:t>
            </w:r>
            <w:r>
              <w:rPr>
                <w:rFonts w:ascii="Avenir Next Condensed"/>
                <w:spacing w:val="4"/>
                <w:sz w:val="18"/>
              </w:rPr>
              <w:t xml:space="preserve"> </w:t>
            </w:r>
            <w:r>
              <w:rPr>
                <w:rFonts w:ascii="Avenir Next Condensed"/>
                <w:sz w:val="18"/>
              </w:rPr>
              <w:t>the</w:t>
            </w:r>
            <w:r>
              <w:rPr>
                <w:rFonts w:ascii="Avenir Next Condensed"/>
                <w:spacing w:val="35"/>
                <w:sz w:val="18"/>
              </w:rPr>
              <w:t xml:space="preserve"> </w:t>
            </w:r>
            <w:r>
              <w:rPr>
                <w:rFonts w:ascii="Avenir Next Condensed"/>
                <w:sz w:val="18"/>
              </w:rPr>
              <w:t xml:space="preserve">building block methodology and similar principles to other </w:t>
            </w:r>
            <w:r>
              <w:rPr>
                <w:rFonts w:ascii="Avenir Next Condensed"/>
                <w:spacing w:val="-1"/>
                <w:sz w:val="18"/>
              </w:rPr>
              <w:t>regulators,</w:t>
            </w:r>
            <w:r>
              <w:rPr>
                <w:rFonts w:ascii="Avenir Next Condensed"/>
                <w:spacing w:val="-6"/>
                <w:sz w:val="18"/>
              </w:rPr>
              <w:t xml:space="preserve"> </w:t>
            </w:r>
            <w:r>
              <w:rPr>
                <w:rFonts w:ascii="Avenir Next Condensed"/>
                <w:sz w:val="18"/>
              </w:rPr>
              <w:t xml:space="preserve">which in </w:t>
            </w:r>
            <w:r>
              <w:rPr>
                <w:rFonts w:ascii="Avenir Next Condensed"/>
                <w:spacing w:val="-1"/>
                <w:sz w:val="18"/>
              </w:rPr>
              <w:t>broad</w:t>
            </w:r>
            <w:r>
              <w:rPr>
                <w:rFonts w:ascii="Avenir Next Condensed"/>
                <w:spacing w:val="25"/>
                <w:sz w:val="18"/>
              </w:rPr>
              <w:t xml:space="preserve"> </w:t>
            </w:r>
            <w:r>
              <w:rPr>
                <w:rFonts w:ascii="Avenir Next Condensed"/>
                <w:sz w:val="18"/>
              </w:rPr>
              <w:t xml:space="preserve">terms </w:t>
            </w:r>
            <w:r>
              <w:rPr>
                <w:rFonts w:ascii="Avenir Next Condensed"/>
                <w:spacing w:val="-1"/>
                <w:sz w:val="18"/>
              </w:rPr>
              <w:t>are</w:t>
            </w:r>
            <w:r>
              <w:rPr>
                <w:rFonts w:ascii="Avenir Next Condensed"/>
                <w:sz w:val="18"/>
              </w:rPr>
              <w:t xml:space="preserve"> designed to mimic the price and service outcomes </w:t>
            </w:r>
            <w:r>
              <w:rPr>
                <w:rFonts w:ascii="Avenir Next Condensed"/>
                <w:spacing w:val="-1"/>
                <w:sz w:val="18"/>
              </w:rPr>
              <w:t>expected</w:t>
            </w:r>
            <w:r>
              <w:rPr>
                <w:rFonts w:ascii="Avenir Next Condensed"/>
                <w:sz w:val="18"/>
              </w:rPr>
              <w:t xml:space="preserve"> in a </w:t>
            </w:r>
            <w:r>
              <w:rPr>
                <w:rFonts w:ascii="Avenir Next Condensed"/>
                <w:spacing w:val="-1"/>
                <w:sz w:val="18"/>
              </w:rPr>
              <w:t>workably</w:t>
            </w:r>
            <w:r>
              <w:rPr>
                <w:rFonts w:ascii="Avenir Next Condensed"/>
                <w:spacing w:val="27"/>
                <w:sz w:val="18"/>
              </w:rPr>
              <w:t xml:space="preserve"> </w:t>
            </w:r>
            <w:r>
              <w:rPr>
                <w:rFonts w:ascii="Avenir Next Condensed"/>
                <w:sz w:val="18"/>
              </w:rPr>
              <w:t xml:space="preserve">competitive </w:t>
            </w:r>
            <w:r>
              <w:rPr>
                <w:rFonts w:ascii="Avenir Next Condensed"/>
                <w:spacing w:val="-1"/>
                <w:sz w:val="18"/>
              </w:rPr>
              <w:t>market.</w:t>
            </w:r>
          </w:p>
        </w:tc>
      </w:tr>
      <w:tr w:rsidR="00D96B91">
        <w:trPr>
          <w:trHeight w:hRule="exact" w:val="2180"/>
        </w:trPr>
        <w:tc>
          <w:tcPr>
            <w:tcW w:w="2623" w:type="dxa"/>
            <w:vMerge/>
            <w:tcBorders>
              <w:left w:val="single" w:sz="4" w:space="0" w:color="17A7E0"/>
              <w:bottom w:val="nil"/>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 and 10</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efficient</w:t>
            </w:r>
            <w:r>
              <w:rPr>
                <w:rFonts w:ascii="Avenir Next Condensed"/>
                <w:sz w:val="18"/>
              </w:rPr>
              <w:t xml:space="preserve"> costs of</w:t>
            </w:r>
            <w:r>
              <w:rPr>
                <w:rFonts w:ascii="Avenir Next Condensed"/>
                <w:spacing w:val="4"/>
                <w:sz w:val="18"/>
              </w:rPr>
              <w:t xml:space="preserve"> </w:t>
            </w:r>
            <w:r>
              <w:rPr>
                <w:rFonts w:ascii="Avenir Next Condensed"/>
                <w:sz w:val="18"/>
              </w:rPr>
              <w:t xml:space="preserve">service </w:t>
            </w:r>
            <w:r>
              <w:rPr>
                <w:rFonts w:ascii="Avenir Next Condensed"/>
                <w:spacing w:val="-1"/>
                <w:sz w:val="18"/>
              </w:rPr>
              <w:t>provision,</w:t>
            </w:r>
            <w:r>
              <w:rPr>
                <w:rFonts w:ascii="Avenir Next Condensed"/>
                <w:spacing w:val="-6"/>
                <w:sz w:val="18"/>
              </w:rPr>
              <w:t xml:space="preserve"> </w:t>
            </w:r>
            <w:r>
              <w:rPr>
                <w:rFonts w:ascii="Avenir Next Condensed"/>
                <w:sz w:val="18"/>
              </w:rPr>
              <w:t xml:space="preserve">including </w:t>
            </w:r>
            <w:r>
              <w:rPr>
                <w:rFonts w:ascii="Avenir Next Condensed"/>
                <w:spacing w:val="-1"/>
                <w:sz w:val="18"/>
              </w:rPr>
              <w:t>assessment</w:t>
            </w:r>
            <w:r>
              <w:rPr>
                <w:rFonts w:ascii="Avenir Next Condensed"/>
                <w:sz w:val="18"/>
              </w:rPr>
              <w:t xml:space="preserve"> of:</w:t>
            </w:r>
          </w:p>
          <w:p w:rsidR="00D96B91" w:rsidRDefault="00C2656B">
            <w:pPr>
              <w:pStyle w:val="ListParagraph"/>
              <w:numPr>
                <w:ilvl w:val="0"/>
                <w:numId w:val="2"/>
              </w:numPr>
              <w:tabs>
                <w:tab w:val="left" w:pos="335"/>
              </w:tabs>
              <w:spacing w:before="87"/>
              <w:ind w:hanging="226"/>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in the </w:t>
            </w:r>
            <w:r>
              <w:rPr>
                <w:rFonts w:ascii="Avenir Next Condensed"/>
                <w:spacing w:val="-1"/>
                <w:sz w:val="18"/>
              </w:rPr>
              <w:t>previous</w:t>
            </w:r>
            <w:r>
              <w:rPr>
                <w:rFonts w:ascii="Avenir Next Condensed"/>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2"/>
              </w:numPr>
              <w:tabs>
                <w:tab w:val="left" w:pos="335"/>
              </w:tabs>
              <w:spacing w:before="91" w:line="220" w:lineRule="exact"/>
              <w:ind w:right="635" w:hanging="226"/>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reasonableness</w:t>
            </w:r>
            <w:r>
              <w:rPr>
                <w:rFonts w:ascii="Avenir Next Condensed"/>
                <w:sz w:val="18"/>
              </w:rPr>
              <w:t xml:space="preserve"> and </w:t>
            </w:r>
            <w:r>
              <w:rPr>
                <w:rFonts w:ascii="Avenir Next Condensed"/>
                <w:spacing w:val="-1"/>
                <w:sz w:val="18"/>
              </w:rPr>
              <w:t>sufficiency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governance in this</w:t>
            </w:r>
            <w:r>
              <w:rPr>
                <w:rFonts w:ascii="Avenir Next Condensed"/>
                <w:spacing w:val="47"/>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2"/>
              </w:numPr>
              <w:tabs>
                <w:tab w:val="left" w:pos="335"/>
              </w:tabs>
              <w:spacing w:before="113" w:line="220" w:lineRule="exact"/>
              <w:ind w:right="409" w:hanging="226"/>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in this</w:t>
            </w:r>
            <w:r>
              <w:rPr>
                <w:rFonts w:ascii="Avenir Next Condensed"/>
                <w:spacing w:val="55"/>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TableParagraph"/>
              <w:spacing w:before="109"/>
              <w:ind w:left="108"/>
              <w:rPr>
                <w:rFonts w:ascii="Avenir Next Condensed" w:eastAsia="Avenir Next Condensed" w:hAnsi="Avenir Next Condensed" w:cs="Avenir Next Condensed"/>
                <w:sz w:val="18"/>
                <w:szCs w:val="18"/>
              </w:rPr>
            </w:pP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trPr>
          <w:trHeight w:hRule="exact" w:val="407"/>
        </w:trPr>
        <w:tc>
          <w:tcPr>
            <w:tcW w:w="2623" w:type="dxa"/>
            <w:tcBorders>
              <w:top w:val="nil"/>
              <w:left w:val="single" w:sz="4" w:space="0" w:color="17A7E0"/>
              <w:bottom w:val="nil"/>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w:t>
            </w:r>
            <w:r>
              <w:rPr>
                <w:rFonts w:ascii="Avenir Next Condensed"/>
                <w:spacing w:val="-1"/>
                <w:sz w:val="18"/>
              </w:rPr>
              <w:t>approach</w:t>
            </w:r>
            <w:r>
              <w:rPr>
                <w:rFonts w:ascii="Avenir Next Condensed"/>
                <w:sz w:val="18"/>
              </w:rPr>
              <w:t xml:space="preserve"> for </w:t>
            </w:r>
            <w:r>
              <w:rPr>
                <w:rFonts w:ascii="Avenir Next Condensed"/>
                <w:spacing w:val="-1"/>
                <w:sz w:val="18"/>
              </w:rPr>
              <w:t>setting</w:t>
            </w:r>
            <w:r>
              <w:rPr>
                <w:rFonts w:ascii="Avenir Next Condensed"/>
                <w:sz w:val="18"/>
              </w:rPr>
              <w:t xml:space="preserve"> the </w:t>
            </w:r>
            <w:r>
              <w:rPr>
                <w:rFonts w:ascii="Avenir Next Condensed"/>
                <w:spacing w:val="-1"/>
                <w:sz w:val="18"/>
              </w:rPr>
              <w:t>rate</w:t>
            </w:r>
            <w:r>
              <w:rPr>
                <w:rFonts w:ascii="Avenir Next Condensed"/>
                <w:sz w:val="18"/>
              </w:rPr>
              <w:t xml:space="preserve"> of</w:t>
            </w:r>
            <w:r>
              <w:rPr>
                <w:rFonts w:ascii="Avenir Next Condensed"/>
                <w:spacing w:val="4"/>
                <w:sz w:val="18"/>
              </w:rPr>
              <w:t xml:space="preserve"> </w:t>
            </w:r>
            <w:r>
              <w:rPr>
                <w:rFonts w:ascii="Avenir Next Condensed"/>
                <w:spacing w:val="-1"/>
                <w:sz w:val="18"/>
              </w:rPr>
              <w:t>return</w:t>
            </w:r>
            <w:r>
              <w:rPr>
                <w:rFonts w:ascii="Avenir Next Condensed"/>
                <w:sz w:val="18"/>
              </w:rPr>
              <w:t xml:space="preserve"> on capital.</w:t>
            </w:r>
          </w:p>
        </w:tc>
      </w:tr>
      <w:tr w:rsidR="00D96B91">
        <w:trPr>
          <w:trHeight w:hRule="exact" w:val="1067"/>
        </w:trPr>
        <w:tc>
          <w:tcPr>
            <w:tcW w:w="2623" w:type="dxa"/>
            <w:tcBorders>
              <w:top w:val="nil"/>
              <w:left w:val="single" w:sz="4" w:space="0" w:color="17A7E0"/>
              <w:bottom w:val="nil"/>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13</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150"/>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Consideration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extent</w:t>
            </w:r>
            <w:r>
              <w:rPr>
                <w:rFonts w:ascii="Avenir Next Condensed" w:eastAsia="Avenir Next Condensed" w:hAnsi="Avenir Next Condensed" w:cs="Avenir Next Condensed"/>
                <w:sz w:val="18"/>
                <w:szCs w:val="18"/>
              </w:rPr>
              <w:t xml:space="preserve"> to which </w:t>
            </w:r>
            <w:r>
              <w:rPr>
                <w:rFonts w:ascii="Avenir Next Condensed" w:eastAsia="Avenir Next Condensed" w:hAnsi="Avenir Next Condensed" w:cs="Avenir Next Condensed"/>
                <w:spacing w:val="-1"/>
                <w:sz w:val="18"/>
                <w:szCs w:val="18"/>
              </w:rPr>
              <w:t>there</w:t>
            </w:r>
            <w:r>
              <w:rPr>
                <w:rFonts w:ascii="Avenir Next Condensed" w:eastAsia="Avenir Next Condensed" w:hAnsi="Avenir Next Condensed" w:cs="Avenir Next Condensed"/>
                <w:sz w:val="18"/>
                <w:szCs w:val="18"/>
              </w:rPr>
              <w:t xml:space="preserve"> has been an over or under </w:t>
            </w:r>
            <w:r>
              <w:rPr>
                <w:rFonts w:ascii="Avenir Next Condensed" w:eastAsia="Avenir Next Condensed" w:hAnsi="Avenir Next Condensed" w:cs="Avenir Next Condensed"/>
                <w:spacing w:val="-1"/>
                <w:sz w:val="18"/>
                <w:szCs w:val="18"/>
              </w:rPr>
              <w:t>recovery</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3"/>
                <w:sz w:val="18"/>
                <w:szCs w:val="18"/>
              </w:rPr>
              <w:t xml:space="preserve">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in the first two </w:t>
            </w:r>
            <w:r>
              <w:rPr>
                <w:rFonts w:ascii="Avenir Next Condensed" w:eastAsia="Avenir Next Condensed" w:hAnsi="Avenir Next Condensed" w:cs="Avenir Next Condensed"/>
                <w:spacing w:val="-1"/>
                <w:sz w:val="18"/>
                <w:szCs w:val="18"/>
              </w:rPr>
              <w:t>years</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t>
            </w:r>
            <w:r>
              <w:rPr>
                <w:rFonts w:ascii="Avenir Next Condensed" w:eastAsia="Avenir Next Condensed" w:hAnsi="Avenir Next Condensed" w:cs="Avenir Next Condensed"/>
                <w:spacing w:val="-1"/>
                <w:sz w:val="18"/>
                <w:szCs w:val="18"/>
              </w:rPr>
              <w:t>regulatory</w:t>
            </w:r>
            <w:r>
              <w:rPr>
                <w:rFonts w:ascii="Avenir Next Condensed" w:eastAsia="Avenir Next Condensed" w:hAnsi="Avenir Next Condensed" w:cs="Avenir Next Condensed"/>
                <w:sz w:val="18"/>
                <w:szCs w:val="18"/>
              </w:rPr>
              <w:t xml:space="preserve"> period (the ‘true-up’ adjustment) and the</w:t>
            </w:r>
            <w:r>
              <w:rPr>
                <w:rFonts w:ascii="Avenir Next Condensed" w:eastAsia="Avenir Next Condensed" w:hAnsi="Avenir Next Condensed" w:cs="Avenir Next Condensed"/>
                <w:spacing w:val="33"/>
                <w:sz w:val="18"/>
                <w:szCs w:val="18"/>
              </w:rPr>
              <w:t xml:space="preserve"> </w:t>
            </w:r>
            <w:r>
              <w:rPr>
                <w:rFonts w:ascii="Avenir Next Condensed" w:eastAsia="Avenir Next Condensed" w:hAnsi="Avenir Next Condensed" w:cs="Avenir Next Condensed"/>
                <w:spacing w:val="-1"/>
                <w:sz w:val="18"/>
                <w:szCs w:val="18"/>
              </w:rPr>
              <w:t>removal</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income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other </w:t>
            </w:r>
            <w:r>
              <w:rPr>
                <w:rFonts w:ascii="Avenir Next Condensed" w:eastAsia="Avenir Next Condensed" w:hAnsi="Avenir Next Condensed" w:cs="Avenir Next Condensed"/>
                <w:spacing w:val="-1"/>
                <w:sz w:val="18"/>
                <w:szCs w:val="18"/>
              </w:rPr>
              <w:t>sources</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from</w:t>
            </w:r>
            <w:r>
              <w:rPr>
                <w:rFonts w:ascii="Avenir Next Condensed" w:eastAsia="Avenir Next Condensed" w:hAnsi="Avenir Next Condensed" w:cs="Avenir Next Condensed"/>
                <w:sz w:val="18"/>
                <w:szCs w:val="18"/>
              </w:rPr>
              <w:t xml:space="preserve"> the total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requirement,</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to calculate</w:t>
            </w:r>
            <w:r>
              <w:rPr>
                <w:rFonts w:ascii="Avenir Next Condensed" w:eastAsia="Avenir Next Condensed" w:hAnsi="Avenir Next Condensed" w:cs="Avenir Next Condensed"/>
                <w:spacing w:val="55"/>
                <w:sz w:val="18"/>
                <w:szCs w:val="18"/>
              </w:rPr>
              <w:t xml:space="preserve"> </w:t>
            </w:r>
            <w:r>
              <w:rPr>
                <w:rFonts w:ascii="Avenir Next Condensed" w:eastAsia="Avenir Next Condensed" w:hAnsi="Avenir Next Condensed" w:cs="Avenir Next Condensed"/>
                <w:sz w:val="18"/>
                <w:szCs w:val="18"/>
              </w:rPr>
              <w:t xml:space="preserve">the net </w:t>
            </w:r>
            <w:r>
              <w:rPr>
                <w:rFonts w:ascii="Avenir Next Condensed" w:eastAsia="Avenir Next Condensed" w:hAnsi="Avenir Next Condensed" w:cs="Avenir Next Condensed"/>
                <w:spacing w:val="-1"/>
                <w:sz w:val="18"/>
                <w:szCs w:val="18"/>
              </w:rPr>
              <w:t>revenue</w:t>
            </w:r>
            <w:r>
              <w:rPr>
                <w:rFonts w:ascii="Avenir Next Condensed" w:eastAsia="Avenir Next Condensed" w:hAnsi="Avenir Next Condensed" w:cs="Avenir Next Condensed"/>
                <w:sz w:val="18"/>
                <w:szCs w:val="18"/>
              </w:rPr>
              <w:t xml:space="preserve"> to be </w:t>
            </w:r>
            <w:r>
              <w:rPr>
                <w:rFonts w:ascii="Avenir Next Condensed" w:eastAsia="Avenir Next Condensed" w:hAnsi="Avenir Next Condensed" w:cs="Avenir Next Condensed"/>
                <w:spacing w:val="-1"/>
                <w:sz w:val="18"/>
                <w:szCs w:val="18"/>
              </w:rPr>
              <w:t>recovered</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through</w:t>
            </w:r>
            <w:r>
              <w:rPr>
                <w:rFonts w:ascii="Avenir Next Condensed" w:eastAsia="Avenir Next Condensed" w:hAnsi="Avenir Next Condensed" w:cs="Avenir Next Condensed"/>
                <w:sz w:val="18"/>
                <w:szCs w:val="18"/>
              </w:rPr>
              <w:t xml:space="preserve"> 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charges.</w:t>
            </w:r>
          </w:p>
        </w:tc>
      </w:tr>
      <w:tr w:rsidR="00D96B91">
        <w:trPr>
          <w:trHeight w:hRule="exact" w:val="407"/>
        </w:trPr>
        <w:tc>
          <w:tcPr>
            <w:tcW w:w="2623" w:type="dxa"/>
            <w:tcBorders>
              <w:top w:val="nil"/>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z w:val="18"/>
              </w:rPr>
              <w:t>15</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customer bill impact analysis.</w:t>
            </w:r>
          </w:p>
        </w:tc>
      </w:tr>
      <w:tr w:rsidR="00D96B91">
        <w:trPr>
          <w:trHeight w:hRule="exact" w:val="84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149" w:hanging="284"/>
              <w:rPr>
                <w:rFonts w:ascii="Avenir Next Condensed" w:eastAsia="Avenir Next Condensed" w:hAnsi="Avenir Next Condensed" w:cs="Avenir Next Condensed"/>
                <w:sz w:val="18"/>
                <w:szCs w:val="18"/>
              </w:rPr>
            </w:pPr>
            <w:r>
              <w:rPr>
                <w:rFonts w:ascii="Avenir Next Condensed"/>
                <w:b/>
                <w:sz w:val="18"/>
              </w:rPr>
              <w:t xml:space="preserve">(b) </w:t>
            </w:r>
            <w:r>
              <w:rPr>
                <w:rFonts w:ascii="Avenir Next Condensed"/>
                <w:b/>
                <w:spacing w:val="26"/>
                <w:sz w:val="18"/>
              </w:rPr>
              <w:t xml:space="preserve"> </w:t>
            </w:r>
            <w:r>
              <w:rPr>
                <w:rFonts w:ascii="Avenir Next Condensed"/>
                <w:b/>
                <w:spacing w:val="-1"/>
                <w:sz w:val="18"/>
              </w:rPr>
              <w:t>standards</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quality,</w:t>
            </w:r>
            <w:r>
              <w:rPr>
                <w:rFonts w:ascii="Avenir Next Condensed"/>
                <w:b/>
                <w:spacing w:val="-6"/>
                <w:sz w:val="18"/>
              </w:rPr>
              <w:t xml:space="preserve"> </w:t>
            </w:r>
            <w:r>
              <w:rPr>
                <w:rFonts w:ascii="Avenir Next Condensed"/>
                <w:b/>
                <w:spacing w:val="-1"/>
                <w:sz w:val="18"/>
              </w:rPr>
              <w:t>reliability</w:t>
            </w:r>
            <w:r>
              <w:rPr>
                <w:rFonts w:ascii="Avenir Next Condensed"/>
                <w:b/>
                <w:spacing w:val="35"/>
                <w:sz w:val="18"/>
              </w:rPr>
              <w:t xml:space="preserve"> </w:t>
            </w:r>
            <w:r>
              <w:rPr>
                <w:rFonts w:ascii="Avenir Next Condensed"/>
                <w:b/>
                <w:sz w:val="18"/>
              </w:rPr>
              <w:t>and safety of</w:t>
            </w:r>
            <w:r>
              <w:rPr>
                <w:rFonts w:ascii="Avenir Next Condensed"/>
                <w:b/>
                <w:spacing w:val="4"/>
                <w:sz w:val="18"/>
              </w:rPr>
              <w:t xml:space="preserve"> </w:t>
            </w:r>
            <w:r>
              <w:rPr>
                <w:rFonts w:ascii="Avenir Next Condensed"/>
                <w:b/>
                <w:sz w:val="18"/>
              </w:rPr>
              <w:t xml:space="preserve">the </w:t>
            </w:r>
            <w:r>
              <w:rPr>
                <w:rFonts w:ascii="Avenir Next Condensed"/>
                <w:b/>
                <w:spacing w:val="-1"/>
                <w:sz w:val="18"/>
              </w:rPr>
              <w:t>regulated</w:t>
            </w:r>
            <w:r>
              <w:rPr>
                <w:rFonts w:ascii="Avenir Next Condensed"/>
                <w:b/>
                <w:spacing w:val="27"/>
                <w:sz w:val="18"/>
              </w:rPr>
              <w:t xml:space="preserve"> </w:t>
            </w:r>
            <w:r>
              <w:rPr>
                <w:rFonts w:ascii="Avenir Next Condensed"/>
                <w:b/>
                <w:sz w:val="18"/>
              </w:rPr>
              <w:t>services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9 and 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127"/>
              <w:rPr>
                <w:rFonts w:ascii="Avenir Next Condensed" w:eastAsia="Avenir Next Condensed" w:hAnsi="Avenir Next Condensed" w:cs="Avenir Next Condensed"/>
                <w:sz w:val="18"/>
                <w:szCs w:val="18"/>
              </w:rPr>
            </w:pPr>
            <w:r>
              <w:rPr>
                <w:rFonts w:ascii="Avenir Next Condensed"/>
                <w:spacing w:val="-1"/>
                <w:sz w:val="18"/>
              </w:rPr>
              <w:t>Assessment</w:t>
            </w:r>
            <w:r>
              <w:rPr>
                <w:rFonts w:ascii="Avenir Next Condensed"/>
                <w:sz w:val="18"/>
              </w:rPr>
              <w:t xml:space="preserve"> of</w:t>
            </w:r>
            <w:r>
              <w:rPr>
                <w:rFonts w:ascii="Avenir Next Condensed"/>
                <w:spacing w:val="4"/>
                <w:sz w:val="18"/>
              </w:rPr>
              <w:t xml:space="preserve"> </w:t>
            </w: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pacing w:val="67"/>
                <w:sz w:val="18"/>
              </w:rPr>
              <w:t xml:space="preserve"> </w:t>
            </w:r>
            <w:r>
              <w:rPr>
                <w:rFonts w:ascii="Avenir Next Condensed"/>
                <w:sz w:val="18"/>
              </w:rPr>
              <w:t xml:space="preserve">in this </w:t>
            </w:r>
            <w:r>
              <w:rPr>
                <w:rFonts w:ascii="Avenir Next Condensed"/>
                <w:spacing w:val="-1"/>
                <w:sz w:val="18"/>
              </w:rPr>
              <w:t>regulatory</w:t>
            </w:r>
            <w:r>
              <w:rPr>
                <w:rFonts w:ascii="Avenir Next Condensed"/>
                <w:sz w:val="18"/>
              </w:rPr>
              <w:t xml:space="preserve"> period,</w:t>
            </w:r>
            <w:r>
              <w:rPr>
                <w:rFonts w:ascii="Avenir Next Condensed"/>
                <w:spacing w:val="-6"/>
                <w:sz w:val="18"/>
              </w:rPr>
              <w:t xml:space="preserve"> </w:t>
            </w:r>
            <w:r>
              <w:rPr>
                <w:rFonts w:ascii="Avenir Next Condensed"/>
                <w:sz w:val="18"/>
              </w:rPr>
              <w:t xml:space="preserve">given </w:t>
            </w:r>
            <w:r>
              <w:rPr>
                <w:rFonts w:ascii="Avenir Next Condensed"/>
                <w:spacing w:val="-1"/>
                <w:sz w:val="18"/>
              </w:rPr>
              <w:t>current</w:t>
            </w:r>
            <w:r>
              <w:rPr>
                <w:rFonts w:ascii="Avenir Next Condensed"/>
                <w:sz w:val="18"/>
              </w:rPr>
              <w:t xml:space="preserve"> service obligations.</w:t>
            </w:r>
            <w:r>
              <w:rPr>
                <w:rFonts w:ascii="Avenir Next Condensed"/>
                <w:spacing w:val="-6"/>
                <w:sz w:val="18"/>
              </w:rPr>
              <w:t xml:space="preserve"> </w:t>
            </w:r>
            <w:r>
              <w:rPr>
                <w:rFonts w:ascii="Avenir Next Condensed"/>
                <w:sz w:val="18"/>
              </w:rPr>
              <w:t>Informed by independent</w:t>
            </w:r>
            <w:r>
              <w:rPr>
                <w:rFonts w:ascii="Avenir Next Condensed"/>
                <w:spacing w:val="27"/>
                <w:sz w:val="18"/>
              </w:rPr>
              <w:t xml:space="preserve"> </w:t>
            </w:r>
            <w:r>
              <w:rPr>
                <w:rFonts w:ascii="Avenir Next Condensed"/>
                <w:spacing w:val="-1"/>
                <w:sz w:val="18"/>
              </w:rPr>
              <w:t>expert</w:t>
            </w:r>
            <w:r>
              <w:rPr>
                <w:rFonts w:ascii="Avenir Next Condensed"/>
                <w:sz w:val="18"/>
              </w:rPr>
              <w:t xml:space="preserve"> advice.</w:t>
            </w:r>
          </w:p>
        </w:tc>
      </w:tr>
      <w:tr w:rsidR="00D96B91">
        <w:trPr>
          <w:trHeight w:hRule="exact" w:val="1620"/>
        </w:trPr>
        <w:tc>
          <w:tcPr>
            <w:tcW w:w="2623"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11" w:line="220" w:lineRule="exact"/>
              <w:ind w:left="391" w:right="200" w:hanging="284"/>
              <w:rPr>
                <w:rFonts w:ascii="Avenir Next Condensed" w:eastAsia="Avenir Next Condensed" w:hAnsi="Avenir Next Condensed" w:cs="Avenir Next Condensed"/>
                <w:sz w:val="18"/>
                <w:szCs w:val="18"/>
              </w:rPr>
            </w:pPr>
            <w:r>
              <w:rPr>
                <w:rFonts w:ascii="Avenir Next Condensed"/>
                <w:b/>
                <w:sz w:val="18"/>
              </w:rPr>
              <w:t xml:space="preserve">(c)  </w:t>
            </w:r>
            <w:r>
              <w:rPr>
                <w:rFonts w:ascii="Avenir Next Condensed"/>
                <w:b/>
                <w:spacing w:val="18"/>
                <w:sz w:val="18"/>
              </w:rPr>
              <w:t xml:space="preserve"> </w:t>
            </w:r>
            <w:r>
              <w:rPr>
                <w:rFonts w:ascii="Avenir Next Condensed"/>
                <w:b/>
                <w:sz w:val="18"/>
              </w:rPr>
              <w:t xml:space="preserve">the need for </w:t>
            </w:r>
            <w:r>
              <w:rPr>
                <w:rFonts w:ascii="Avenir Next Condensed"/>
                <w:b/>
                <w:spacing w:val="-1"/>
                <w:sz w:val="18"/>
              </w:rPr>
              <w:t>greater</w:t>
            </w:r>
            <w:r>
              <w:rPr>
                <w:rFonts w:ascii="Avenir Next Condensed"/>
                <w:b/>
                <w:sz w:val="18"/>
              </w:rPr>
              <w:t xml:space="preserve"> </w:t>
            </w:r>
            <w:r>
              <w:rPr>
                <w:rFonts w:ascii="Avenir Next Condensed"/>
                <w:b/>
                <w:spacing w:val="-1"/>
                <w:sz w:val="18"/>
              </w:rPr>
              <w:t>efficiency</w:t>
            </w:r>
            <w:r>
              <w:rPr>
                <w:rFonts w:ascii="Avenir Next Condensed"/>
                <w:b/>
                <w:spacing w:val="21"/>
                <w:sz w:val="18"/>
              </w:rPr>
              <w:t xml:space="preserve"> </w:t>
            </w:r>
            <w:r>
              <w:rPr>
                <w:rFonts w:ascii="Avenir Next Condensed"/>
                <w:b/>
                <w:sz w:val="18"/>
              </w:rPr>
              <w:t xml:space="preserve">in the </w:t>
            </w:r>
            <w:r>
              <w:rPr>
                <w:rFonts w:ascii="Avenir Next Condensed"/>
                <w:b/>
                <w:spacing w:val="-1"/>
                <w:sz w:val="18"/>
              </w:rPr>
              <w:t>provision</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regulated</w:t>
            </w:r>
            <w:r>
              <w:rPr>
                <w:rFonts w:ascii="Avenir Next Condensed"/>
                <w:b/>
                <w:spacing w:val="29"/>
                <w:sz w:val="18"/>
              </w:rPr>
              <w:t xml:space="preserve"> </w:t>
            </w:r>
            <w:r>
              <w:rPr>
                <w:rFonts w:ascii="Avenir Next Condensed"/>
                <w:b/>
                <w:sz w:val="18"/>
              </w:rPr>
              <w:t xml:space="preserve">services to </w:t>
            </w:r>
            <w:r>
              <w:rPr>
                <w:rFonts w:ascii="Avenir Next Condensed"/>
                <w:b/>
                <w:spacing w:val="-1"/>
                <w:sz w:val="18"/>
              </w:rPr>
              <w:t>reduce</w:t>
            </w:r>
            <w:r>
              <w:rPr>
                <w:rFonts w:ascii="Avenir Next Condensed"/>
                <w:b/>
                <w:sz w:val="18"/>
              </w:rPr>
              <w:t xml:space="preserve"> costs to</w:t>
            </w:r>
            <w:r>
              <w:rPr>
                <w:rFonts w:ascii="Avenir Next Condensed"/>
                <w:b/>
                <w:spacing w:val="24"/>
                <w:sz w:val="18"/>
              </w:rPr>
              <w:t xml:space="preserve"> </w:t>
            </w:r>
            <w:r>
              <w:rPr>
                <w:rFonts w:ascii="Avenir Next Condensed"/>
                <w:b/>
                <w:sz w:val="18"/>
              </w:rPr>
              <w:t>consumers and taxpayers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6 and 7</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330"/>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method to be used to determine prices,</w:t>
            </w:r>
            <w:r>
              <w:rPr>
                <w:rFonts w:ascii="Avenir Next Condensed"/>
                <w:spacing w:val="-6"/>
                <w:sz w:val="18"/>
              </w:rPr>
              <w:t xml:space="preserve"> </w:t>
            </w:r>
            <w:r>
              <w:rPr>
                <w:rFonts w:ascii="Avenir Next Condensed"/>
                <w:sz w:val="18"/>
              </w:rPr>
              <w:t>including</w:t>
            </w:r>
            <w:r>
              <w:rPr>
                <w:rFonts w:ascii="Avenir Next Condensed"/>
                <w:spacing w:val="35"/>
                <w:sz w:val="18"/>
              </w:rPr>
              <w:t xml:space="preserve"> </w:t>
            </w:r>
            <w:r>
              <w:rPr>
                <w:rFonts w:ascii="Avenir Next Condensed"/>
                <w:sz w:val="18"/>
              </w:rPr>
              <w:t xml:space="preserve">the potential for incentive schemes to be used in conjunction with the building </w:t>
            </w:r>
            <w:r>
              <w:rPr>
                <w:rFonts w:ascii="Avenir Next Condensed"/>
                <w:spacing w:val="-1"/>
                <w:sz w:val="18"/>
              </w:rPr>
              <w:t>block</w:t>
            </w:r>
            <w:r>
              <w:rPr>
                <w:rFonts w:ascii="Avenir Next Condensed"/>
                <w:spacing w:val="24"/>
                <w:sz w:val="18"/>
              </w:rPr>
              <w:t xml:space="preserve"> </w:t>
            </w:r>
            <w:r>
              <w:rPr>
                <w:rFonts w:ascii="Avenir Next Condensed"/>
                <w:sz w:val="18"/>
              </w:rPr>
              <w:t xml:space="preserve">methodology in the </w:t>
            </w:r>
            <w:r>
              <w:rPr>
                <w:rFonts w:ascii="Avenir Next Condensed"/>
                <w:spacing w:val="-1"/>
                <w:sz w:val="18"/>
              </w:rPr>
              <w:t>future.</w:t>
            </w:r>
          </w:p>
          <w:p w:rsidR="00D96B91" w:rsidRDefault="00C2656B">
            <w:pPr>
              <w:pStyle w:val="TableParagraph"/>
              <w:spacing w:before="113" w:line="220" w:lineRule="exact"/>
              <w:ind w:left="107" w:right="212"/>
              <w:jc w:val="both"/>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form of</w:t>
            </w:r>
            <w:r>
              <w:rPr>
                <w:rFonts w:ascii="Avenir Next Condensed"/>
                <w:spacing w:val="4"/>
                <w:sz w:val="18"/>
              </w:rPr>
              <w:t xml:space="preserve"> </w:t>
            </w:r>
            <w:r>
              <w:rPr>
                <w:rFonts w:ascii="Avenir Next Condensed"/>
                <w:sz w:val="18"/>
              </w:rPr>
              <w:t xml:space="preserve">price </w:t>
            </w:r>
            <w:r>
              <w:rPr>
                <w:rFonts w:ascii="Avenir Next Condensed"/>
                <w:spacing w:val="-1"/>
                <w:sz w:val="18"/>
              </w:rPr>
              <w:t>control,</w:t>
            </w:r>
            <w:r>
              <w:rPr>
                <w:rFonts w:ascii="Avenir Next Condensed"/>
                <w:spacing w:val="-6"/>
                <w:sz w:val="18"/>
              </w:rPr>
              <w:t xml:space="preserve"> </w:t>
            </w:r>
            <w:r>
              <w:rPr>
                <w:rFonts w:ascii="Avenir Next Condensed"/>
                <w:sz w:val="18"/>
              </w:rPr>
              <w:t>length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period and</w:t>
            </w:r>
            <w:r>
              <w:rPr>
                <w:rFonts w:ascii="Avenir Next Condensed"/>
                <w:spacing w:val="63"/>
                <w:sz w:val="18"/>
              </w:rPr>
              <w:t xml:space="preserve"> </w:t>
            </w:r>
            <w:r>
              <w:rPr>
                <w:rFonts w:ascii="Avenir Next Condensed"/>
                <w:sz w:val="18"/>
              </w:rPr>
              <w:t xml:space="preserve">other risk allocation </w:t>
            </w:r>
            <w:r>
              <w:rPr>
                <w:rFonts w:ascii="Avenir Next Condensed"/>
                <w:spacing w:val="-1"/>
                <w:sz w:val="18"/>
              </w:rPr>
              <w:t>measures</w:t>
            </w:r>
            <w:r>
              <w:rPr>
                <w:rFonts w:ascii="Avenir Next Condensed"/>
                <w:sz w:val="18"/>
              </w:rPr>
              <w:t xml:space="preserve"> </w:t>
            </w:r>
            <w:r>
              <w:rPr>
                <w:rFonts w:ascii="Avenir Next Condensed"/>
                <w:spacing w:val="-1"/>
                <w:sz w:val="18"/>
              </w:rPr>
              <w:t>from</w:t>
            </w:r>
            <w:r>
              <w:rPr>
                <w:rFonts w:ascii="Avenir Next Condensed"/>
                <w:sz w:val="18"/>
              </w:rPr>
              <w:t xml:space="preserve"> the perspective of</w:t>
            </w:r>
            <w:r>
              <w:rPr>
                <w:rFonts w:ascii="Avenir Next Condensed"/>
                <w:spacing w:val="4"/>
                <w:sz w:val="18"/>
              </w:rPr>
              <w:t xml:space="preserve"> </w:t>
            </w:r>
            <w:r>
              <w:rPr>
                <w:rFonts w:ascii="Avenir Next Condensed"/>
                <w:spacing w:val="-1"/>
                <w:sz w:val="18"/>
              </w:rPr>
              <w:t>according</w:t>
            </w:r>
            <w:r>
              <w:rPr>
                <w:rFonts w:ascii="Avenir Next Condensed"/>
                <w:spacing w:val="-4"/>
                <w:sz w:val="18"/>
              </w:rPr>
              <w:t xml:space="preserve"> </w:t>
            </w:r>
            <w:r>
              <w:rPr>
                <w:rFonts w:ascii="Avenir Next Condensed"/>
                <w:spacing w:val="-1"/>
                <w:sz w:val="18"/>
              </w:rPr>
              <w:t>ACTEW</w:t>
            </w:r>
            <w:r>
              <w:rPr>
                <w:rFonts w:ascii="Avenir Next Condensed"/>
                <w:spacing w:val="-3"/>
                <w:sz w:val="18"/>
              </w:rPr>
              <w:t xml:space="preserve"> </w:t>
            </w:r>
            <w:r>
              <w:rPr>
                <w:rFonts w:ascii="Avenir Next Condensed"/>
                <w:sz w:val="18"/>
              </w:rPr>
              <w:t>an incentive to</w:t>
            </w:r>
            <w:r>
              <w:rPr>
                <w:rFonts w:ascii="Avenir Next Condensed"/>
                <w:spacing w:val="29"/>
                <w:sz w:val="18"/>
              </w:rPr>
              <w:t xml:space="preserve"> </w:t>
            </w:r>
            <w:r>
              <w:rPr>
                <w:rFonts w:ascii="Avenir Next Condensed"/>
                <w:sz w:val="18"/>
              </w:rPr>
              <w:t xml:space="preserve">seek out </w:t>
            </w:r>
            <w:r>
              <w:rPr>
                <w:rFonts w:ascii="Avenir Next Condensed"/>
                <w:spacing w:val="-1"/>
                <w:sz w:val="18"/>
              </w:rPr>
              <w:t>efficiencies.</w:t>
            </w:r>
          </w:p>
        </w:tc>
      </w:tr>
      <w:tr w:rsidR="00D96B91">
        <w:trPr>
          <w:trHeight w:hRule="exact" w:val="1960"/>
        </w:trPr>
        <w:tc>
          <w:tcPr>
            <w:tcW w:w="2623" w:type="dxa"/>
            <w:tcBorders>
              <w:top w:val="nil"/>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9 and 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efficient</w:t>
            </w:r>
            <w:r>
              <w:rPr>
                <w:rFonts w:ascii="Avenir Next Condensed"/>
                <w:sz w:val="18"/>
              </w:rPr>
              <w:t xml:space="preserve"> costs of</w:t>
            </w:r>
            <w:r>
              <w:rPr>
                <w:rFonts w:ascii="Avenir Next Condensed"/>
                <w:spacing w:val="4"/>
                <w:sz w:val="18"/>
              </w:rPr>
              <w:t xml:space="preserve"> </w:t>
            </w:r>
            <w:r>
              <w:rPr>
                <w:rFonts w:ascii="Avenir Next Condensed"/>
                <w:sz w:val="18"/>
              </w:rPr>
              <w:t xml:space="preserve">service </w:t>
            </w:r>
            <w:r>
              <w:rPr>
                <w:rFonts w:ascii="Avenir Next Condensed"/>
                <w:spacing w:val="-1"/>
                <w:sz w:val="18"/>
              </w:rPr>
              <w:t>provision,</w:t>
            </w:r>
            <w:r>
              <w:rPr>
                <w:rFonts w:ascii="Avenir Next Condensed"/>
                <w:spacing w:val="-6"/>
                <w:sz w:val="18"/>
              </w:rPr>
              <w:t xml:space="preserve"> </w:t>
            </w:r>
            <w:r>
              <w:rPr>
                <w:rFonts w:ascii="Avenir Next Condensed"/>
                <w:sz w:val="18"/>
              </w:rPr>
              <w:t xml:space="preserve">including </w:t>
            </w:r>
            <w:r>
              <w:rPr>
                <w:rFonts w:ascii="Avenir Next Condensed"/>
                <w:spacing w:val="-1"/>
                <w:sz w:val="18"/>
              </w:rPr>
              <w:t>assessment</w:t>
            </w:r>
            <w:r>
              <w:rPr>
                <w:rFonts w:ascii="Avenir Next Condensed"/>
                <w:sz w:val="18"/>
              </w:rPr>
              <w:t xml:space="preserve"> of:</w:t>
            </w:r>
          </w:p>
          <w:p w:rsidR="00D96B91" w:rsidRDefault="00C2656B">
            <w:pPr>
              <w:pStyle w:val="ListParagraph"/>
              <w:numPr>
                <w:ilvl w:val="0"/>
                <w:numId w:val="1"/>
              </w:numPr>
              <w:tabs>
                <w:tab w:val="left" w:pos="335"/>
              </w:tabs>
              <w:spacing w:before="87"/>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in the </w:t>
            </w:r>
            <w:r>
              <w:rPr>
                <w:rFonts w:ascii="Avenir Next Condensed"/>
                <w:spacing w:val="-1"/>
                <w:sz w:val="18"/>
              </w:rPr>
              <w:t>previous</w:t>
            </w:r>
            <w:r>
              <w:rPr>
                <w:rFonts w:ascii="Avenir Next Condensed"/>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ListParagraph"/>
              <w:numPr>
                <w:ilvl w:val="0"/>
                <w:numId w:val="1"/>
              </w:numPr>
              <w:tabs>
                <w:tab w:val="left" w:pos="335"/>
              </w:tabs>
              <w:spacing w:before="87"/>
              <w:rPr>
                <w:rFonts w:ascii="Avenir Next Condensed" w:eastAsia="Avenir Next Condensed" w:hAnsi="Avenir Next Condensed" w:cs="Avenir Next Condensed"/>
                <w:sz w:val="18"/>
                <w:szCs w:val="18"/>
              </w:rPr>
            </w:pPr>
            <w:r>
              <w:rPr>
                <w:rFonts w:ascii="Avenir Next Condensed"/>
                <w:sz w:val="18"/>
              </w:rPr>
              <w:t xml:space="preserve">the </w:t>
            </w:r>
            <w:r>
              <w:rPr>
                <w:rFonts w:ascii="Avenir Next Condensed"/>
                <w:spacing w:val="-1"/>
                <w:sz w:val="18"/>
              </w:rPr>
              <w:t>reasonableness</w:t>
            </w:r>
            <w:r>
              <w:rPr>
                <w:rFonts w:ascii="Avenir Next Condensed"/>
                <w:sz w:val="18"/>
              </w:rPr>
              <w:t xml:space="preserve"> and </w:t>
            </w:r>
            <w:r>
              <w:rPr>
                <w:rFonts w:ascii="Avenir Next Condensed"/>
                <w:spacing w:val="-1"/>
                <w:sz w:val="18"/>
              </w:rPr>
              <w:t>sufficiency</w:t>
            </w:r>
            <w:r>
              <w:rPr>
                <w:rFonts w:ascii="Avenir Next Condensed"/>
                <w:sz w:val="18"/>
              </w:rPr>
              <w:t xml:space="preserve"> of</w:t>
            </w:r>
            <w:r>
              <w:rPr>
                <w:rFonts w:ascii="Avenir Next Condensed"/>
                <w:spacing w:val="4"/>
                <w:sz w:val="18"/>
              </w:rPr>
              <w:t xml:space="preserve"> </w:t>
            </w:r>
            <w:r>
              <w:rPr>
                <w:rFonts w:ascii="Avenir Next Condensed"/>
                <w:sz w:val="18"/>
              </w:rPr>
              <w:t xml:space="preserve">capital </w:t>
            </w:r>
            <w:r>
              <w:rPr>
                <w:rFonts w:ascii="Avenir Next Condensed"/>
                <w:spacing w:val="-1"/>
                <w:sz w:val="18"/>
              </w:rPr>
              <w:t>expenditure</w:t>
            </w:r>
            <w:r>
              <w:rPr>
                <w:rFonts w:ascii="Avenir Next Condensed"/>
                <w:sz w:val="18"/>
              </w:rPr>
              <w:t xml:space="preserve"> governance</w:t>
            </w:r>
          </w:p>
          <w:p w:rsidR="00D96B91" w:rsidRDefault="00C2656B">
            <w:pPr>
              <w:pStyle w:val="ListParagraph"/>
              <w:numPr>
                <w:ilvl w:val="0"/>
                <w:numId w:val="1"/>
              </w:numPr>
              <w:tabs>
                <w:tab w:val="left" w:pos="335"/>
              </w:tabs>
              <w:spacing w:before="91" w:line="220" w:lineRule="exact"/>
              <w:ind w:right="409"/>
              <w:rPr>
                <w:rFonts w:ascii="Avenir Next Condensed" w:eastAsia="Avenir Next Condensed" w:hAnsi="Avenir Next Condensed" w:cs="Avenir Next Condensed"/>
                <w:sz w:val="18"/>
                <w:szCs w:val="18"/>
              </w:rPr>
            </w:pPr>
            <w:r>
              <w:rPr>
                <w:rFonts w:ascii="Avenir Next Condensed"/>
                <w:sz w:val="18"/>
              </w:rPr>
              <w:t xml:space="preserve">the prudence and </w:t>
            </w:r>
            <w:r>
              <w:rPr>
                <w:rFonts w:ascii="Avenir Next Condensed"/>
                <w:spacing w:val="-1"/>
                <w:sz w:val="18"/>
              </w:rPr>
              <w:t>efficiency</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in this</w:t>
            </w:r>
            <w:r>
              <w:rPr>
                <w:rFonts w:ascii="Avenir Next Condensed"/>
                <w:spacing w:val="55"/>
                <w:sz w:val="18"/>
              </w:rPr>
              <w:t xml:space="preserve"> </w:t>
            </w:r>
            <w:r>
              <w:rPr>
                <w:rFonts w:ascii="Avenir Next Condensed"/>
                <w:spacing w:val="-1"/>
                <w:sz w:val="18"/>
              </w:rPr>
              <w:t>regulatory</w:t>
            </w:r>
            <w:r>
              <w:rPr>
                <w:rFonts w:ascii="Avenir Next Condensed"/>
                <w:sz w:val="18"/>
              </w:rPr>
              <w:t xml:space="preserve"> period.</w:t>
            </w:r>
          </w:p>
          <w:p w:rsidR="00D96B91" w:rsidRDefault="00C2656B">
            <w:pPr>
              <w:pStyle w:val="TableParagraph"/>
              <w:spacing w:before="109"/>
              <w:ind w:left="107"/>
              <w:rPr>
                <w:rFonts w:ascii="Avenir Next Condensed" w:eastAsia="Avenir Next Condensed" w:hAnsi="Avenir Next Condensed" w:cs="Avenir Next Condensed"/>
                <w:sz w:val="18"/>
                <w:szCs w:val="18"/>
              </w:rPr>
            </w:pP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trPr>
          <w:trHeight w:hRule="exact" w:val="128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1" w:right="291" w:hanging="284"/>
              <w:rPr>
                <w:rFonts w:ascii="Avenir Next Condensed" w:eastAsia="Avenir Next Condensed" w:hAnsi="Avenir Next Condensed" w:cs="Avenir Next Condensed"/>
                <w:sz w:val="18"/>
                <w:szCs w:val="18"/>
              </w:rPr>
            </w:pPr>
            <w:r>
              <w:rPr>
                <w:rFonts w:ascii="Avenir Next Condensed"/>
                <w:b/>
                <w:sz w:val="18"/>
              </w:rPr>
              <w:t xml:space="preserve">(d) </w:t>
            </w:r>
            <w:r>
              <w:rPr>
                <w:rFonts w:ascii="Avenir Next Condensed"/>
                <w:b/>
                <w:spacing w:val="27"/>
                <w:sz w:val="18"/>
              </w:rPr>
              <w:t xml:space="preserve"> </w:t>
            </w:r>
            <w:r>
              <w:rPr>
                <w:rFonts w:ascii="Avenir Next Condensed"/>
                <w:b/>
                <w:sz w:val="18"/>
              </w:rPr>
              <w:t xml:space="preserve">an </w:t>
            </w:r>
            <w:r>
              <w:rPr>
                <w:rFonts w:ascii="Avenir Next Condensed"/>
                <w:b/>
                <w:spacing w:val="-1"/>
                <w:sz w:val="18"/>
              </w:rPr>
              <w:t>appropriate</w:t>
            </w:r>
            <w:r>
              <w:rPr>
                <w:rFonts w:ascii="Avenir Next Condensed"/>
                <w:b/>
                <w:sz w:val="18"/>
              </w:rPr>
              <w:t xml:space="preserve"> </w:t>
            </w:r>
            <w:r>
              <w:rPr>
                <w:rFonts w:ascii="Avenir Next Condensed"/>
                <w:b/>
                <w:spacing w:val="-1"/>
                <w:sz w:val="18"/>
              </w:rPr>
              <w:t>rate</w:t>
            </w:r>
            <w:r>
              <w:rPr>
                <w:rFonts w:ascii="Avenir Next Condensed"/>
                <w:b/>
                <w:sz w:val="18"/>
              </w:rPr>
              <w:t xml:space="preserve"> of</w:t>
            </w:r>
            <w:r>
              <w:rPr>
                <w:rFonts w:ascii="Avenir Next Condensed"/>
                <w:b/>
                <w:spacing w:val="4"/>
                <w:sz w:val="18"/>
              </w:rPr>
              <w:t xml:space="preserve"> </w:t>
            </w:r>
            <w:r>
              <w:rPr>
                <w:rFonts w:ascii="Avenir Next Condensed"/>
                <w:b/>
                <w:spacing w:val="-1"/>
                <w:sz w:val="18"/>
              </w:rPr>
              <w:t>return</w:t>
            </w:r>
            <w:r>
              <w:rPr>
                <w:rFonts w:ascii="Avenir Next Condensed"/>
                <w:b/>
                <w:spacing w:val="31"/>
                <w:sz w:val="18"/>
              </w:rPr>
              <w:t xml:space="preserve"> </w:t>
            </w:r>
            <w:r>
              <w:rPr>
                <w:rFonts w:ascii="Avenir Next Condensed"/>
                <w:b/>
                <w:sz w:val="18"/>
              </w:rPr>
              <w:t xml:space="preserve">on any investment in the </w:t>
            </w:r>
            <w:r>
              <w:rPr>
                <w:rFonts w:ascii="Avenir Next Condensed"/>
                <w:b/>
                <w:spacing w:val="-1"/>
                <w:sz w:val="18"/>
              </w:rPr>
              <w:t>regulated</w:t>
            </w:r>
            <w:r>
              <w:rPr>
                <w:rFonts w:ascii="Avenir Next Condensed"/>
                <w:b/>
                <w:sz w:val="18"/>
              </w:rPr>
              <w:t xml:space="preserve"> industry</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10</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251"/>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appropriate</w:t>
            </w:r>
            <w:r>
              <w:rPr>
                <w:rFonts w:ascii="Avenir Next Condensed"/>
                <w:sz w:val="18"/>
              </w:rPr>
              <w:t xml:space="preserve"> </w:t>
            </w:r>
            <w:r>
              <w:rPr>
                <w:rFonts w:ascii="Avenir Next Condensed"/>
                <w:spacing w:val="-1"/>
                <w:sz w:val="18"/>
              </w:rPr>
              <w:t>approach</w:t>
            </w:r>
            <w:r>
              <w:rPr>
                <w:rFonts w:ascii="Avenir Next Condensed"/>
                <w:sz w:val="18"/>
              </w:rPr>
              <w:t xml:space="preserve"> for </w:t>
            </w:r>
            <w:r>
              <w:rPr>
                <w:rFonts w:ascii="Avenir Next Condensed"/>
                <w:spacing w:val="-1"/>
                <w:sz w:val="18"/>
              </w:rPr>
              <w:t>setting</w:t>
            </w:r>
            <w:r>
              <w:rPr>
                <w:rFonts w:ascii="Avenir Next Condensed"/>
                <w:sz w:val="18"/>
              </w:rPr>
              <w:t xml:space="preserve"> the </w:t>
            </w:r>
            <w:r>
              <w:rPr>
                <w:rFonts w:ascii="Avenir Next Condensed"/>
                <w:spacing w:val="-1"/>
                <w:sz w:val="18"/>
              </w:rPr>
              <w:t>return</w:t>
            </w:r>
            <w:r>
              <w:rPr>
                <w:rFonts w:ascii="Avenir Next Condensed"/>
                <w:sz w:val="18"/>
              </w:rPr>
              <w:t xml:space="preserve"> on capital,</w:t>
            </w:r>
            <w:r>
              <w:rPr>
                <w:rFonts w:ascii="Avenir Next Condensed"/>
                <w:spacing w:val="-6"/>
                <w:sz w:val="18"/>
              </w:rPr>
              <w:t xml:space="preserve"> </w:t>
            </w:r>
            <w:r>
              <w:rPr>
                <w:rFonts w:ascii="Avenir Next Condensed"/>
                <w:sz w:val="18"/>
              </w:rPr>
              <w:t>taking into</w:t>
            </w:r>
            <w:r>
              <w:rPr>
                <w:rFonts w:ascii="Avenir Next Condensed"/>
                <w:spacing w:val="63"/>
                <w:sz w:val="18"/>
              </w:rPr>
              <w:t xml:space="preserve"> </w:t>
            </w:r>
            <w:r>
              <w:rPr>
                <w:rFonts w:ascii="Avenir Next Condensed"/>
                <w:sz w:val="18"/>
              </w:rPr>
              <w:t xml:space="preserve">account the </w:t>
            </w:r>
            <w:r>
              <w:rPr>
                <w:rFonts w:ascii="Avenir Next Condensed"/>
                <w:spacing w:val="-1"/>
                <w:sz w:val="18"/>
              </w:rPr>
              <w:t>requirements</w:t>
            </w:r>
            <w:r>
              <w:rPr>
                <w:rFonts w:ascii="Avenir Next Condensed"/>
                <w:sz w:val="18"/>
              </w:rPr>
              <w:t xml:space="preserve"> of</w:t>
            </w:r>
            <w:r>
              <w:rPr>
                <w:rFonts w:ascii="Avenir Next Condensed"/>
                <w:spacing w:val="4"/>
                <w:sz w:val="18"/>
              </w:rPr>
              <w:t xml:space="preserve"> </w:t>
            </w:r>
            <w:r>
              <w:rPr>
                <w:rFonts w:ascii="Avenir Next Condensed"/>
                <w:sz w:val="18"/>
              </w:rPr>
              <w:t>the</w:t>
            </w:r>
            <w:r>
              <w:rPr>
                <w:rFonts w:ascii="Avenir Next Condensed"/>
                <w:spacing w:val="-4"/>
                <w:sz w:val="18"/>
              </w:rPr>
              <w:t xml:space="preserve"> </w:t>
            </w:r>
            <w:r>
              <w:rPr>
                <w:rFonts w:ascii="Avenir Next Condensed"/>
                <w:sz w:val="18"/>
              </w:rPr>
              <w:t>Act,</w:t>
            </w:r>
            <w:r>
              <w:rPr>
                <w:rFonts w:ascii="Avenir Next Condensed"/>
                <w:spacing w:val="-6"/>
                <w:sz w:val="18"/>
              </w:rPr>
              <w:t xml:space="preserve"> </w:t>
            </w:r>
            <w:r>
              <w:rPr>
                <w:rFonts w:ascii="Avenir Next Condensed"/>
                <w:sz w:val="18"/>
              </w:rPr>
              <w:t xml:space="preserve">the </w:t>
            </w:r>
            <w:r>
              <w:rPr>
                <w:rFonts w:ascii="Avenir Next Condensed"/>
                <w:spacing w:val="-1"/>
                <w:sz w:val="18"/>
              </w:rPr>
              <w:t>approach</w:t>
            </w:r>
            <w:r>
              <w:rPr>
                <w:rFonts w:ascii="Avenir Next Condensed"/>
                <w:sz w:val="18"/>
              </w:rPr>
              <w:t xml:space="preserve"> most commonly used by</w:t>
            </w:r>
            <w:r>
              <w:rPr>
                <w:rFonts w:ascii="Avenir Next Condensed"/>
                <w:spacing w:val="-4"/>
                <w:sz w:val="18"/>
              </w:rPr>
              <w:t xml:space="preserve"> </w:t>
            </w:r>
            <w:r>
              <w:rPr>
                <w:rFonts w:ascii="Avenir Next Condensed"/>
                <w:spacing w:val="-1"/>
                <w:sz w:val="18"/>
              </w:rPr>
              <w:t>Australian</w:t>
            </w:r>
            <w:r>
              <w:rPr>
                <w:rFonts w:ascii="Avenir Next Condensed"/>
                <w:spacing w:val="45"/>
                <w:sz w:val="18"/>
              </w:rPr>
              <w:t xml:space="preserve"> </w:t>
            </w:r>
            <w:r>
              <w:rPr>
                <w:rFonts w:ascii="Avenir Next Condensed"/>
                <w:spacing w:val="-1"/>
                <w:sz w:val="18"/>
              </w:rPr>
              <w:t>regulators</w:t>
            </w:r>
            <w:r>
              <w:rPr>
                <w:rFonts w:ascii="Avenir Next Condensed"/>
                <w:sz w:val="18"/>
              </w:rPr>
              <w:t xml:space="preserve"> in applying the building block method (ie the benchmark entity </w:t>
            </w:r>
            <w:r>
              <w:rPr>
                <w:rFonts w:ascii="Avenir Next Condensed"/>
                <w:spacing w:val="-1"/>
                <w:sz w:val="18"/>
              </w:rPr>
              <w:t>approach),</w:t>
            </w:r>
            <w:r>
              <w:rPr>
                <w:rFonts w:ascii="Avenir Next Condensed"/>
                <w:spacing w:val="33"/>
                <w:sz w:val="18"/>
              </w:rPr>
              <w:t xml:space="preserve"> </w:t>
            </w:r>
            <w:r>
              <w:rPr>
                <w:rFonts w:ascii="Avenir Next Condensed"/>
                <w:sz w:val="18"/>
              </w:rPr>
              <w:t xml:space="preserve">the </w:t>
            </w:r>
            <w:r>
              <w:rPr>
                <w:rFonts w:ascii="Avenir Next Condensed"/>
                <w:spacing w:val="-1"/>
                <w:sz w:val="18"/>
              </w:rPr>
              <w:t>requirement</w:t>
            </w:r>
            <w:r>
              <w:rPr>
                <w:rFonts w:ascii="Avenir Next Condensed"/>
                <w:sz w:val="18"/>
              </w:rPr>
              <w:t xml:space="preserve"> to comply with competitive </w:t>
            </w:r>
            <w:r>
              <w:rPr>
                <w:rFonts w:ascii="Avenir Next Condensed"/>
                <w:spacing w:val="-1"/>
                <w:sz w:val="18"/>
              </w:rPr>
              <w:t>neutrality</w:t>
            </w:r>
            <w:r>
              <w:rPr>
                <w:rFonts w:ascii="Avenir Next Condensed"/>
                <w:sz w:val="18"/>
              </w:rPr>
              <w:t xml:space="preserve"> principles and the conditions</w:t>
            </w:r>
            <w:r>
              <w:rPr>
                <w:rFonts w:ascii="Avenir Next Condensed"/>
                <w:spacing w:val="31"/>
                <w:sz w:val="18"/>
              </w:rPr>
              <w:t xml:space="preserve"> </w:t>
            </w:r>
            <w:r>
              <w:rPr>
                <w:rFonts w:ascii="Avenir Next Condensed"/>
                <w:spacing w:val="-1"/>
                <w:sz w:val="18"/>
              </w:rPr>
              <w:t>prevailing</w:t>
            </w:r>
            <w:r>
              <w:rPr>
                <w:rFonts w:ascii="Avenir Next Condensed"/>
                <w:sz w:val="18"/>
              </w:rPr>
              <w:t xml:space="preserve"> in financial </w:t>
            </w:r>
            <w:r>
              <w:rPr>
                <w:rFonts w:ascii="Avenir Next Condensed"/>
                <w:spacing w:val="-1"/>
                <w:sz w:val="18"/>
              </w:rPr>
              <w:t>markets</w:t>
            </w:r>
            <w:r>
              <w:rPr>
                <w:rFonts w:ascii="Avenir Next Condensed"/>
                <w:sz w:val="18"/>
              </w:rPr>
              <w:t xml:space="preserve"> at the time of</w:t>
            </w:r>
            <w:r>
              <w:rPr>
                <w:rFonts w:ascii="Avenir Next Condensed"/>
                <w:spacing w:val="4"/>
                <w:sz w:val="18"/>
              </w:rPr>
              <w:t xml:space="preserve"> </w:t>
            </w:r>
            <w:r>
              <w:rPr>
                <w:rFonts w:ascii="Avenir Next Condensed"/>
                <w:sz w:val="18"/>
              </w:rPr>
              <w:t>the original price determination.</w:t>
            </w:r>
          </w:p>
        </w:tc>
      </w:tr>
      <w:tr w:rsidR="00D96B91">
        <w:trPr>
          <w:trHeight w:hRule="exact" w:val="62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0" w:right="570" w:hanging="284"/>
              <w:rPr>
                <w:rFonts w:ascii="Avenir Next Condensed" w:eastAsia="Avenir Next Condensed" w:hAnsi="Avenir Next Condensed" w:cs="Avenir Next Condensed"/>
                <w:sz w:val="18"/>
                <w:szCs w:val="18"/>
              </w:rPr>
            </w:pPr>
            <w:r>
              <w:rPr>
                <w:rFonts w:ascii="Avenir Next Condensed"/>
                <w:b/>
                <w:sz w:val="18"/>
              </w:rPr>
              <w:t xml:space="preserve">(e)  </w:t>
            </w:r>
            <w:r>
              <w:rPr>
                <w:rFonts w:ascii="Avenir Next Condensed"/>
                <w:b/>
                <w:spacing w:val="1"/>
                <w:sz w:val="18"/>
              </w:rPr>
              <w:t xml:space="preserve"> </w:t>
            </w:r>
            <w:r>
              <w:rPr>
                <w:rFonts w:ascii="Avenir Next Condensed"/>
                <w:b/>
                <w:sz w:val="18"/>
              </w:rPr>
              <w:t>the cost of</w:t>
            </w:r>
            <w:r>
              <w:rPr>
                <w:rFonts w:ascii="Avenir Next Condensed"/>
                <w:b/>
                <w:spacing w:val="4"/>
                <w:sz w:val="18"/>
              </w:rPr>
              <w:t xml:space="preserve"> </w:t>
            </w:r>
            <w:r>
              <w:rPr>
                <w:rFonts w:ascii="Avenir Next Condensed"/>
                <w:b/>
                <w:spacing w:val="-1"/>
                <w:sz w:val="18"/>
              </w:rPr>
              <w:t>providing</w:t>
            </w:r>
            <w:r>
              <w:rPr>
                <w:rFonts w:ascii="Avenir Next Condensed"/>
                <w:b/>
                <w:sz w:val="18"/>
              </w:rPr>
              <w:t xml:space="preserve"> the</w:t>
            </w:r>
            <w:r>
              <w:rPr>
                <w:rFonts w:ascii="Avenir Next Condensed"/>
                <w:b/>
                <w:spacing w:val="27"/>
                <w:sz w:val="18"/>
              </w:rPr>
              <w:t xml:space="preserve"> </w:t>
            </w:r>
            <w:r>
              <w:rPr>
                <w:rFonts w:ascii="Avenir Next Condensed"/>
                <w:b/>
                <w:spacing w:val="-1"/>
                <w:sz w:val="18"/>
              </w:rPr>
              <w:t>regulated</w:t>
            </w:r>
            <w:r>
              <w:rPr>
                <w:rFonts w:ascii="Avenir Next Condensed"/>
                <w:b/>
                <w:sz w:val="18"/>
              </w:rPr>
              <w:t xml:space="preserve"> services</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9,</w:t>
            </w:r>
            <w:r>
              <w:rPr>
                <w:rFonts w:ascii="Avenir Next Condensed"/>
                <w:spacing w:val="-6"/>
                <w:sz w:val="18"/>
              </w:rPr>
              <w:t xml:space="preserve"> </w:t>
            </w:r>
            <w:r>
              <w:rPr>
                <w:rFonts w:ascii="Avenir Next Condensed"/>
                <w:sz w:val="18"/>
              </w:rPr>
              <w:t>10</w:t>
            </w:r>
            <w:r>
              <w:rPr>
                <w:rFonts w:ascii="Avenir Next Condensed"/>
                <w:spacing w:val="-1"/>
                <w:sz w:val="18"/>
              </w:rPr>
              <w:t xml:space="preserve"> </w:t>
            </w:r>
            <w:r>
              <w:rPr>
                <w:rFonts w:ascii="Avenir Next Condensed"/>
                <w:sz w:val="18"/>
              </w:rPr>
              <w:t>and</w:t>
            </w:r>
            <w:r>
              <w:rPr>
                <w:rFonts w:ascii="Avenir Next Condensed"/>
                <w:spacing w:val="-1"/>
                <w:sz w:val="18"/>
              </w:rPr>
              <w:t xml:space="preserve"> </w:t>
            </w:r>
            <w:r>
              <w:rPr>
                <w:rFonts w:ascii="Avenir Next Condensed"/>
                <w:sz w:val="18"/>
              </w:rPr>
              <w:t>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14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best </w:t>
            </w:r>
            <w:r>
              <w:rPr>
                <w:rFonts w:ascii="Avenir Next Condensed"/>
                <w:spacing w:val="-1"/>
                <w:sz w:val="18"/>
              </w:rPr>
              <w:t>practice</w:t>
            </w:r>
            <w:r>
              <w:rPr>
                <w:rFonts w:ascii="Avenir Next Condensed"/>
                <w:sz w:val="18"/>
              </w:rPr>
              <w:t xml:space="preserve"> with </w:t>
            </w:r>
            <w:r>
              <w:rPr>
                <w:rFonts w:ascii="Avenir Next Condensed"/>
                <w:spacing w:val="-1"/>
                <w:sz w:val="18"/>
              </w:rPr>
              <w:t>respect</w:t>
            </w:r>
            <w:r>
              <w:rPr>
                <w:rFonts w:ascii="Avenir Next Condensed"/>
                <w:sz w:val="18"/>
              </w:rPr>
              <w:t xml:space="preserve"> to determining the building block</w:t>
            </w:r>
            <w:r>
              <w:rPr>
                <w:rFonts w:ascii="Avenir Next Condensed"/>
                <w:spacing w:val="55"/>
                <w:sz w:val="18"/>
              </w:rPr>
              <w:t xml:space="preserve"> </w:t>
            </w:r>
            <w:r>
              <w:rPr>
                <w:rFonts w:ascii="Avenir Next Condensed"/>
                <w:sz w:val="18"/>
              </w:rPr>
              <w:t>methodology inputs.</w:t>
            </w:r>
          </w:p>
        </w:tc>
      </w:tr>
    </w:tbl>
    <w:p w:rsidR="00D96B91" w:rsidRDefault="00D96B91">
      <w:pPr>
        <w:spacing w:line="220" w:lineRule="exact"/>
        <w:rPr>
          <w:rFonts w:ascii="Avenir Next Condensed" w:eastAsia="Avenir Next Condensed" w:hAnsi="Avenir Next Condensed" w:cs="Avenir Next Condensed"/>
          <w:sz w:val="18"/>
          <w:szCs w:val="18"/>
        </w:rPr>
        <w:sectPr w:rsidR="00D96B91">
          <w:pgSz w:w="11910" w:h="16840"/>
          <w:pgMar w:top="1260" w:right="0" w:bottom="1020" w:left="0" w:header="0" w:footer="829" w:gutter="0"/>
          <w:cols w:space="720"/>
        </w:sectPr>
      </w:pPr>
    </w:p>
    <w:p w:rsidR="00D96B91" w:rsidRDefault="00D96B91">
      <w:pPr>
        <w:spacing w:before="5"/>
        <w:rPr>
          <w:rFonts w:ascii="Times New Roman" w:eastAsia="Times New Roman" w:hAnsi="Times New Roman" w:cs="Times New Roman"/>
          <w:sz w:val="6"/>
          <w:szCs w:val="6"/>
        </w:rPr>
      </w:pPr>
      <w:r w:rsidRPr="00D96B91">
        <w:pict>
          <v:group id="_x0000_s1031" style="position:absolute;margin-left:.15pt;margin-top:789.45pt;width:595.15pt;height:52.45pt;z-index:251569664;mso-position-horizontal-relative:page;mso-position-vertical-relative:page" coordorigin="3,15789" coordsize="11903,1049">
            <v:group id="_x0000_s1032" style="position:absolute;left:3;top:15789;width:11903;height:1049" coordorigin="3,15789" coordsize="11903,1049">
              <v:shape id="_x0000_s1035" style="position:absolute;left:3;top:15789;width:11903;height:1049" coordorigin="3,15789" coordsize="11903,1049" path="m11906,15789l3,15789r,1049l11906,16838r,-1049xe" fillcolor="#0778be" stroked="f">
                <v:path arrowok="t"/>
              </v:shape>
              <v:shape id="_x0000_s1034" type="#_x0000_t75" style="position:absolute;left:3;top:15789;width:11903;height:1049">
                <v:imagedata r:id="rId97" o:title=""/>
              </v:shape>
              <v:shape id="_x0000_s1033" type="#_x0000_t202" style="position:absolute;left:3;top:15789;width:11903;height:1049" filled="f" stroked="f">
                <v:textbox style="mso-next-textbox:#_x0000_s1033"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0953"/>
                        </w:tabs>
                        <w:ind w:left="7744"/>
                        <w:rPr>
                          <w:rFonts w:ascii="Avenir Next" w:eastAsia="Avenir Next" w:hAnsi="Avenir Next" w:cs="Avenir Next"/>
                          <w:sz w:val="20"/>
                          <w:szCs w:val="20"/>
                        </w:rPr>
                      </w:pPr>
                      <w:r>
                        <w:rPr>
                          <w:rFonts w:ascii="Avenir Next"/>
                          <w:color w:val="EEF8FE"/>
                          <w:spacing w:val="-2"/>
                          <w:sz w:val="20"/>
                        </w:rPr>
                        <w:t>Draft</w:t>
                      </w:r>
                      <w:r>
                        <w:rPr>
                          <w:rFonts w:ascii="Avenir Next"/>
                          <w:color w:val="EEF8FE"/>
                          <w:sz w:val="20"/>
                        </w:rPr>
                        <w:t xml:space="preserve"> substituted price </w:t>
                      </w:r>
                      <w:r>
                        <w:rPr>
                          <w:rFonts w:ascii="Avenir Next"/>
                          <w:color w:val="EEF8FE"/>
                          <w:spacing w:val="-1"/>
                          <w:sz w:val="20"/>
                        </w:rPr>
                        <w:t>direction</w:t>
                      </w:r>
                      <w:r>
                        <w:rPr>
                          <w:rFonts w:ascii="Avenir Next"/>
                          <w:color w:val="EEF8FE"/>
                          <w:spacing w:val="-1"/>
                          <w:sz w:val="20"/>
                        </w:rPr>
                        <w:tab/>
                      </w:r>
                      <w:r>
                        <w:rPr>
                          <w:rFonts w:ascii="Avenir Next"/>
                          <w:color w:val="EEF8FE"/>
                          <w:sz w:val="20"/>
                        </w:rPr>
                        <w:t>15</w:t>
                      </w:r>
                    </w:p>
                  </w:txbxContent>
                </v:textbox>
              </v:shape>
            </v:group>
            <w10:wrap anchorx="page" anchory="page"/>
          </v:group>
        </w:pict>
      </w:r>
    </w:p>
    <w:tbl>
      <w:tblPr>
        <w:tblW w:w="0" w:type="auto"/>
        <w:tblInd w:w="1247" w:type="dxa"/>
        <w:tblLayout w:type="fixed"/>
        <w:tblCellMar>
          <w:left w:w="0" w:type="dxa"/>
          <w:right w:w="0" w:type="dxa"/>
        </w:tblCellMar>
        <w:tblLook w:val="01E0"/>
      </w:tblPr>
      <w:tblGrid>
        <w:gridCol w:w="2623"/>
        <w:gridCol w:w="1023"/>
        <w:gridCol w:w="5755"/>
      </w:tblGrid>
      <w:tr w:rsidR="00D96B91">
        <w:trPr>
          <w:trHeight w:hRule="exact" w:val="627"/>
        </w:trPr>
        <w:tc>
          <w:tcPr>
            <w:tcW w:w="26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z w:val="18"/>
              </w:rPr>
              <w:t>Section 20(2)</w:t>
            </w:r>
          </w:p>
        </w:tc>
        <w:tc>
          <w:tcPr>
            <w:tcW w:w="1023"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C2656B">
            <w:pPr>
              <w:pStyle w:val="TableParagraph"/>
              <w:spacing w:before="112" w:line="220" w:lineRule="exact"/>
              <w:ind w:left="108" w:right="120"/>
              <w:rPr>
                <w:rFonts w:ascii="Avenir Next Condensed" w:eastAsia="Avenir Next Condensed" w:hAnsi="Avenir Next Condensed" w:cs="Avenir Next Condensed"/>
                <w:sz w:val="18"/>
                <w:szCs w:val="18"/>
              </w:rPr>
            </w:pPr>
            <w:r>
              <w:rPr>
                <w:rFonts w:ascii="Avenir Next Condensed"/>
                <w:b/>
                <w:color w:val="FFFFFF"/>
                <w:spacing w:val="-1"/>
                <w:sz w:val="18"/>
              </w:rPr>
              <w:t>Draft</w:t>
            </w:r>
            <w:r>
              <w:rPr>
                <w:rFonts w:ascii="Avenir Next Condensed"/>
                <w:b/>
                <w:color w:val="FFFFFF"/>
                <w:sz w:val="18"/>
              </w:rPr>
              <w:t xml:space="preserve"> </w:t>
            </w:r>
            <w:r>
              <w:rPr>
                <w:rFonts w:ascii="Avenir Next Condensed"/>
                <w:b/>
                <w:color w:val="FFFFFF"/>
                <w:spacing w:val="-1"/>
                <w:sz w:val="18"/>
              </w:rPr>
              <w:t>report</w:t>
            </w:r>
            <w:r>
              <w:rPr>
                <w:rFonts w:ascii="Avenir Next Condensed"/>
                <w:b/>
                <w:color w:val="FFFFFF"/>
                <w:spacing w:val="25"/>
                <w:sz w:val="18"/>
              </w:rPr>
              <w:t xml:space="preserve"> </w:t>
            </w:r>
            <w:r>
              <w:rPr>
                <w:rFonts w:ascii="Avenir Next Condensed"/>
                <w:b/>
                <w:color w:val="FFFFFF"/>
                <w:sz w:val="18"/>
              </w:rPr>
              <w:t>chapter(s)</w:t>
            </w:r>
          </w:p>
        </w:tc>
        <w:tc>
          <w:tcPr>
            <w:tcW w:w="5755" w:type="dxa"/>
            <w:tcBorders>
              <w:top w:val="single" w:sz="4" w:space="0" w:color="1A9EDA"/>
              <w:left w:val="single" w:sz="4" w:space="0" w:color="1A9EDA"/>
              <w:bottom w:val="single" w:sz="4" w:space="0" w:color="1A9EDA"/>
              <w:right w:val="single" w:sz="4" w:space="0" w:color="1A9EDA"/>
            </w:tcBorders>
            <w:shd w:val="clear" w:color="auto" w:fill="0778BE"/>
          </w:tcPr>
          <w:p w:rsidR="00D96B91" w:rsidRDefault="00D96B91">
            <w:pPr>
              <w:pStyle w:val="TableParagraph"/>
              <w:rPr>
                <w:rFonts w:ascii="Times New Roman" w:eastAsia="Times New Roman" w:hAnsi="Times New Roman" w:cs="Times New Roman"/>
                <w:sz w:val="18"/>
                <w:szCs w:val="18"/>
              </w:rPr>
            </w:pPr>
          </w:p>
          <w:p w:rsidR="00D96B91" w:rsidRDefault="00C2656B">
            <w:pPr>
              <w:pStyle w:val="TableParagraph"/>
              <w:spacing w:before="121"/>
              <w:ind w:left="108"/>
              <w:rPr>
                <w:rFonts w:ascii="Avenir Next Condensed" w:eastAsia="Avenir Next Condensed" w:hAnsi="Avenir Next Condensed" w:cs="Avenir Next Condensed"/>
                <w:sz w:val="18"/>
                <w:szCs w:val="18"/>
              </w:rPr>
            </w:pPr>
            <w:r>
              <w:rPr>
                <w:rFonts w:ascii="Avenir Next Condensed"/>
                <w:b/>
                <w:color w:val="FFFFFF"/>
                <w:sz w:val="18"/>
              </w:rPr>
              <w:t xml:space="preserve">How the </w:t>
            </w:r>
            <w:r>
              <w:rPr>
                <w:rFonts w:ascii="Avenir Next Condensed"/>
                <w:b/>
                <w:color w:val="FFFFFF"/>
                <w:spacing w:val="-2"/>
                <w:sz w:val="18"/>
              </w:rPr>
              <w:t>Panel</w:t>
            </w:r>
            <w:r>
              <w:rPr>
                <w:rFonts w:ascii="Avenir Next Condensed"/>
                <w:b/>
                <w:color w:val="FFFFFF"/>
                <w:sz w:val="18"/>
              </w:rPr>
              <w:t xml:space="preserve"> has </w:t>
            </w:r>
            <w:r>
              <w:rPr>
                <w:rFonts w:ascii="Avenir Next Condensed"/>
                <w:b/>
                <w:color w:val="FFFFFF"/>
                <w:spacing w:val="-1"/>
                <w:sz w:val="18"/>
              </w:rPr>
              <w:t>taken</w:t>
            </w:r>
            <w:r>
              <w:rPr>
                <w:rFonts w:ascii="Avenir Next Condensed"/>
                <w:b/>
                <w:color w:val="FFFFFF"/>
                <w:sz w:val="18"/>
              </w:rPr>
              <w:t xml:space="preserve"> the </w:t>
            </w:r>
            <w:r>
              <w:rPr>
                <w:rFonts w:ascii="Avenir Next Condensed"/>
                <w:b/>
                <w:color w:val="FFFFFF"/>
                <w:spacing w:val="-1"/>
                <w:sz w:val="18"/>
              </w:rPr>
              <w:t>matter</w:t>
            </w:r>
            <w:r>
              <w:rPr>
                <w:rFonts w:ascii="Avenir Next Condensed"/>
                <w:b/>
                <w:color w:val="FFFFFF"/>
                <w:sz w:val="18"/>
              </w:rPr>
              <w:t xml:space="preserve"> into account</w:t>
            </w:r>
          </w:p>
        </w:tc>
      </w:tr>
      <w:tr w:rsidR="00D96B91">
        <w:trPr>
          <w:trHeight w:hRule="exact" w:val="1067"/>
        </w:trPr>
        <w:tc>
          <w:tcPr>
            <w:tcW w:w="26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286" w:hanging="284"/>
              <w:rPr>
                <w:rFonts w:ascii="Avenir Next Condensed" w:eastAsia="Avenir Next Condensed" w:hAnsi="Avenir Next Condensed" w:cs="Avenir Next Condensed"/>
                <w:sz w:val="18"/>
                <w:szCs w:val="18"/>
              </w:rPr>
            </w:pPr>
            <w:r>
              <w:rPr>
                <w:rFonts w:ascii="Avenir Next Condensed"/>
                <w:b/>
                <w:spacing w:val="2"/>
                <w:sz w:val="18"/>
              </w:rPr>
              <w:t>(f)</w:t>
            </w:r>
            <w:r>
              <w:rPr>
                <w:rFonts w:ascii="Avenir Next Condensed"/>
                <w:b/>
                <w:sz w:val="18"/>
              </w:rPr>
              <w:t xml:space="preserve">  </w:t>
            </w:r>
            <w:r>
              <w:rPr>
                <w:rFonts w:ascii="Avenir Next Condensed"/>
                <w:b/>
                <w:spacing w:val="24"/>
                <w:sz w:val="18"/>
              </w:rPr>
              <w:t xml:space="preserve"> </w:t>
            </w:r>
            <w:r>
              <w:rPr>
                <w:rFonts w:ascii="Avenir Next Condensed"/>
                <w:b/>
                <w:sz w:val="18"/>
              </w:rPr>
              <w:t>the principles of</w:t>
            </w:r>
            <w:r>
              <w:rPr>
                <w:rFonts w:ascii="Avenir Next Condensed"/>
                <w:b/>
                <w:spacing w:val="4"/>
                <w:sz w:val="18"/>
              </w:rPr>
              <w:t xml:space="preserve"> </w:t>
            </w:r>
            <w:r>
              <w:rPr>
                <w:rFonts w:ascii="Avenir Next Condensed"/>
                <w:b/>
                <w:sz w:val="18"/>
              </w:rPr>
              <w:t>ecologically</w:t>
            </w:r>
            <w:r>
              <w:rPr>
                <w:rFonts w:ascii="Avenir Next Condensed"/>
                <w:b/>
                <w:spacing w:val="22"/>
                <w:sz w:val="18"/>
              </w:rPr>
              <w:t xml:space="preserve"> </w:t>
            </w:r>
            <w:r>
              <w:rPr>
                <w:rFonts w:ascii="Avenir Next Condensed"/>
                <w:b/>
                <w:sz w:val="18"/>
              </w:rPr>
              <w:t>sustainable development mentioned in subsection (5) of</w:t>
            </w:r>
            <w:r>
              <w:rPr>
                <w:rFonts w:ascii="Avenir Next Condensed"/>
                <w:b/>
                <w:spacing w:val="4"/>
                <w:sz w:val="18"/>
              </w:rPr>
              <w:t xml:space="preserve"> </w:t>
            </w:r>
            <w:r>
              <w:rPr>
                <w:rFonts w:ascii="Avenir Next Condensed"/>
                <w:b/>
                <w:sz w:val="18"/>
              </w:rPr>
              <w:t>the</w:t>
            </w:r>
            <w:r>
              <w:rPr>
                <w:rFonts w:ascii="Avenir Next Condensed"/>
                <w:b/>
                <w:spacing w:val="-4"/>
                <w:sz w:val="18"/>
              </w:rPr>
              <w:t xml:space="preserve"> </w:t>
            </w:r>
            <w:r>
              <w:rPr>
                <w:rFonts w:ascii="Avenir Next Condensed"/>
                <w:b/>
                <w:sz w:val="18"/>
              </w:rPr>
              <w:t>Act</w:t>
            </w:r>
          </w:p>
        </w:tc>
        <w:tc>
          <w:tcPr>
            <w:tcW w:w="1023"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8"/>
              <w:rPr>
                <w:rFonts w:ascii="Avenir Next Condensed" w:eastAsia="Avenir Next Condensed" w:hAnsi="Avenir Next Condensed" w:cs="Avenir Next Condensed"/>
                <w:sz w:val="18"/>
                <w:szCs w:val="18"/>
              </w:rPr>
            </w:pPr>
            <w:r>
              <w:rPr>
                <w:rFonts w:ascii="Avenir Next Condensed"/>
                <w:sz w:val="18"/>
              </w:rPr>
              <w:t>9 and 11</w:t>
            </w:r>
          </w:p>
        </w:tc>
        <w:tc>
          <w:tcPr>
            <w:tcW w:w="5755" w:type="dxa"/>
            <w:tcBorders>
              <w:top w:val="single" w:sz="4" w:space="0" w:color="1A9EDA"/>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8" w:right="400"/>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environmental</w:t>
            </w:r>
            <w:r>
              <w:rPr>
                <w:rFonts w:ascii="Avenir Next Condensed"/>
                <w:sz w:val="18"/>
              </w:rPr>
              <w:t xml:space="preserve"> costs in capital and </w:t>
            </w:r>
            <w:r>
              <w:rPr>
                <w:rFonts w:ascii="Avenir Next Condensed"/>
                <w:spacing w:val="-1"/>
                <w:sz w:val="18"/>
              </w:rPr>
              <w:t>operating</w:t>
            </w:r>
            <w:r>
              <w:rPr>
                <w:rFonts w:ascii="Avenir Next Condensed"/>
                <w:sz w:val="18"/>
              </w:rPr>
              <w:t xml:space="preserve"> </w:t>
            </w:r>
            <w:r>
              <w:rPr>
                <w:rFonts w:ascii="Avenir Next Condensed"/>
                <w:spacing w:val="-1"/>
                <w:sz w:val="18"/>
              </w:rPr>
              <w:t>expenditure</w:t>
            </w:r>
            <w:r>
              <w:rPr>
                <w:rFonts w:ascii="Avenir Next Condensed"/>
                <w:sz w:val="18"/>
              </w:rPr>
              <w:t xml:space="preserve"> building</w:t>
            </w:r>
            <w:r>
              <w:rPr>
                <w:rFonts w:ascii="Avenir Next Condensed"/>
                <w:spacing w:val="67"/>
                <w:sz w:val="18"/>
              </w:rPr>
              <w:t xml:space="preserve"> </w:t>
            </w:r>
            <w:r>
              <w:rPr>
                <w:rFonts w:ascii="Avenir Next Condensed"/>
                <w:spacing w:val="-1"/>
                <w:sz w:val="18"/>
              </w:rPr>
              <w:t>blocks.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trPr>
          <w:trHeight w:hRule="exact" w:val="627"/>
        </w:trPr>
        <w:tc>
          <w:tcPr>
            <w:tcW w:w="2623" w:type="dxa"/>
            <w:tcBorders>
              <w:top w:val="single" w:sz="4" w:space="0" w:color="17A7E0"/>
              <w:left w:val="single" w:sz="4" w:space="0" w:color="17A7E0"/>
              <w:bottom w:val="nil"/>
              <w:right w:val="single" w:sz="4" w:space="0" w:color="17A7E0"/>
            </w:tcBorders>
            <w:shd w:val="clear" w:color="auto" w:fill="F0F9FE"/>
          </w:tcPr>
          <w:p w:rsidR="00D96B91" w:rsidRDefault="00C2656B">
            <w:pPr>
              <w:pStyle w:val="TableParagraph"/>
              <w:spacing w:before="112" w:line="220" w:lineRule="exact"/>
              <w:ind w:left="391" w:right="585" w:hanging="284"/>
              <w:rPr>
                <w:rFonts w:ascii="Avenir Next Condensed" w:eastAsia="Avenir Next Condensed" w:hAnsi="Avenir Next Condensed" w:cs="Avenir Next Condensed"/>
                <w:sz w:val="18"/>
                <w:szCs w:val="18"/>
              </w:rPr>
            </w:pPr>
            <w:r>
              <w:rPr>
                <w:rFonts w:ascii="Avenir Next Condensed"/>
                <w:b/>
                <w:sz w:val="18"/>
              </w:rPr>
              <w:t xml:space="preserve">(g) </w:t>
            </w:r>
            <w:r>
              <w:rPr>
                <w:rFonts w:ascii="Avenir Next Condensed"/>
                <w:b/>
                <w:spacing w:val="27"/>
                <w:sz w:val="18"/>
              </w:rPr>
              <w:t xml:space="preserve"> </w:t>
            </w:r>
            <w:r>
              <w:rPr>
                <w:rFonts w:ascii="Avenir Next Condensed"/>
                <w:b/>
                <w:sz w:val="18"/>
              </w:rPr>
              <w:t>the social impacts of</w:t>
            </w:r>
            <w:r>
              <w:rPr>
                <w:rFonts w:ascii="Avenir Next Condensed"/>
                <w:b/>
                <w:spacing w:val="4"/>
                <w:sz w:val="18"/>
              </w:rPr>
              <w:t xml:space="preserve"> </w:t>
            </w:r>
            <w:r>
              <w:rPr>
                <w:rFonts w:ascii="Avenir Next Condensed"/>
                <w:b/>
                <w:sz w:val="18"/>
              </w:rPr>
              <w:t>the decision</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8</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645"/>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intergenerational</w:t>
            </w:r>
            <w:r>
              <w:rPr>
                <w:rFonts w:ascii="Avenir Next Condensed"/>
                <w:sz w:val="18"/>
              </w:rPr>
              <w:t xml:space="preserve"> equity </w:t>
            </w:r>
            <w:r>
              <w:rPr>
                <w:rFonts w:ascii="Avenir Next Condensed"/>
                <w:spacing w:val="-1"/>
                <w:sz w:val="18"/>
              </w:rPr>
              <w:t>issues</w:t>
            </w:r>
            <w:r>
              <w:rPr>
                <w:rFonts w:ascii="Avenir Next Condensed"/>
                <w:sz w:val="18"/>
              </w:rPr>
              <w:t xml:space="preserve"> posed by the water security</w:t>
            </w:r>
            <w:r>
              <w:rPr>
                <w:rFonts w:ascii="Avenir Next Condensed"/>
                <w:spacing w:val="51"/>
                <w:sz w:val="18"/>
              </w:rPr>
              <w:t xml:space="preserve"> </w:t>
            </w:r>
            <w:r>
              <w:rPr>
                <w:rFonts w:ascii="Avenir Next Condensed"/>
                <w:spacing w:val="-1"/>
                <w:sz w:val="18"/>
              </w:rPr>
              <w:t>projects.</w:t>
            </w:r>
          </w:p>
        </w:tc>
      </w:tr>
      <w:tr w:rsidR="00D96B91">
        <w:trPr>
          <w:trHeight w:hRule="exact" w:val="407"/>
        </w:trPr>
        <w:tc>
          <w:tcPr>
            <w:tcW w:w="2623" w:type="dxa"/>
            <w:tcBorders>
              <w:top w:val="nil"/>
              <w:left w:val="single" w:sz="4" w:space="0" w:color="17A7E0"/>
              <w:bottom w:val="nil"/>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9 and 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regulatory</w:t>
            </w:r>
            <w:r>
              <w:rPr>
                <w:rFonts w:ascii="Avenir Next Condensed"/>
                <w:sz w:val="18"/>
              </w:rPr>
              <w:t xml:space="preserve"> </w:t>
            </w:r>
            <w:r>
              <w:rPr>
                <w:rFonts w:ascii="Avenir Next Condensed"/>
                <w:spacing w:val="-1"/>
                <w:sz w:val="18"/>
              </w:rPr>
              <w:t>treatment</w:t>
            </w:r>
            <w:r>
              <w:rPr>
                <w:rFonts w:ascii="Avenir Next Condensed"/>
                <w:sz w:val="18"/>
              </w:rPr>
              <w:t xml:space="preserve"> of</w:t>
            </w:r>
            <w:r>
              <w:rPr>
                <w:rFonts w:ascii="Avenir Next Condensed"/>
                <w:spacing w:val="4"/>
                <w:sz w:val="18"/>
              </w:rPr>
              <w:t xml:space="preserve"> </w:t>
            </w:r>
            <w:r>
              <w:rPr>
                <w:rFonts w:ascii="Avenir Next Condensed"/>
                <w:sz w:val="18"/>
              </w:rPr>
              <w:t>CSOs identified by the ICRC</w:t>
            </w:r>
          </w:p>
        </w:tc>
      </w:tr>
      <w:tr w:rsidR="00D96B91">
        <w:trPr>
          <w:trHeight w:hRule="exact" w:val="521"/>
        </w:trPr>
        <w:tc>
          <w:tcPr>
            <w:tcW w:w="2623" w:type="dxa"/>
            <w:tcBorders>
              <w:top w:val="nil"/>
              <w:left w:val="single" w:sz="4" w:space="0" w:color="17A7E0"/>
              <w:bottom w:val="single" w:sz="4" w:space="0" w:color="17A7E0"/>
              <w:right w:val="single" w:sz="4" w:space="0" w:color="17A7E0"/>
            </w:tcBorders>
            <w:shd w:val="clear" w:color="auto" w:fill="F0F9FE"/>
          </w:tcPr>
          <w:p w:rsidR="00D96B91" w:rsidRDefault="00D96B91"/>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15</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customer bill impact analysis.</w:t>
            </w:r>
          </w:p>
        </w:tc>
      </w:tr>
      <w:tr w:rsidR="00D96B91">
        <w:trPr>
          <w:trHeight w:hRule="exact" w:val="84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357" w:hanging="284"/>
              <w:rPr>
                <w:rFonts w:ascii="Avenir Next Condensed" w:eastAsia="Avenir Next Condensed" w:hAnsi="Avenir Next Condensed" w:cs="Avenir Next Condensed"/>
                <w:sz w:val="18"/>
                <w:szCs w:val="18"/>
              </w:rPr>
            </w:pPr>
            <w:r>
              <w:rPr>
                <w:rFonts w:ascii="Avenir Next Condensed"/>
                <w:b/>
                <w:sz w:val="18"/>
              </w:rPr>
              <w:t xml:space="preserve">(h) </w:t>
            </w:r>
            <w:r>
              <w:rPr>
                <w:rFonts w:ascii="Avenir Next Condensed"/>
                <w:b/>
                <w:spacing w:val="26"/>
                <w:sz w:val="18"/>
              </w:rPr>
              <w:t xml:space="preserve"> </w:t>
            </w:r>
            <w:r>
              <w:rPr>
                <w:rFonts w:ascii="Avenir Next Condensed"/>
                <w:b/>
                <w:spacing w:val="-1"/>
                <w:sz w:val="18"/>
              </w:rPr>
              <w:t>considerations</w:t>
            </w:r>
            <w:r>
              <w:rPr>
                <w:rFonts w:ascii="Avenir Next Condensed"/>
                <w:b/>
                <w:sz w:val="18"/>
              </w:rPr>
              <w:t xml:space="preserve"> of</w:t>
            </w:r>
            <w:r>
              <w:rPr>
                <w:rFonts w:ascii="Avenir Next Condensed"/>
                <w:b/>
                <w:spacing w:val="4"/>
                <w:sz w:val="18"/>
              </w:rPr>
              <w:t xml:space="preserve"> </w:t>
            </w:r>
            <w:r>
              <w:rPr>
                <w:rFonts w:ascii="Avenir Next Condensed"/>
                <w:b/>
                <w:sz w:val="18"/>
              </w:rPr>
              <w:t>demand</w:t>
            </w:r>
            <w:r>
              <w:rPr>
                <w:rFonts w:ascii="Avenir Next Condensed"/>
                <w:b/>
                <w:spacing w:val="24"/>
                <w:sz w:val="18"/>
              </w:rPr>
              <w:t xml:space="preserve"> </w:t>
            </w:r>
            <w:r>
              <w:rPr>
                <w:rFonts w:ascii="Avenir Next Condensed"/>
                <w:b/>
                <w:sz w:val="18"/>
              </w:rPr>
              <w:t xml:space="preserve">management and </w:t>
            </w:r>
            <w:r>
              <w:rPr>
                <w:rFonts w:ascii="Avenir Next Condensed"/>
                <w:b/>
                <w:spacing w:val="-1"/>
                <w:sz w:val="18"/>
              </w:rPr>
              <w:t>least</w:t>
            </w:r>
            <w:r>
              <w:rPr>
                <w:rFonts w:ascii="Avenir Next Condensed"/>
                <w:b/>
                <w:sz w:val="18"/>
              </w:rPr>
              <w:t xml:space="preserve"> cost</w:t>
            </w:r>
            <w:r>
              <w:rPr>
                <w:rFonts w:ascii="Avenir Next Condensed"/>
                <w:b/>
                <w:spacing w:val="23"/>
                <w:sz w:val="18"/>
              </w:rPr>
              <w:t xml:space="preserve"> </w:t>
            </w:r>
            <w:r>
              <w:rPr>
                <w:rFonts w:ascii="Avenir Next Condensed"/>
                <w:b/>
                <w:sz w:val="18"/>
              </w:rPr>
              <w:t>planning</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9</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138"/>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pacing w:val="-1"/>
                <w:sz w:val="18"/>
              </w:rPr>
              <w:t>forecast</w:t>
            </w:r>
            <w:r>
              <w:rPr>
                <w:rFonts w:ascii="Avenir Next Condensed"/>
                <w:sz w:val="18"/>
              </w:rPr>
              <w:t xml:space="preserve"> water demand over the </w:t>
            </w:r>
            <w:r>
              <w:rPr>
                <w:rFonts w:ascii="Avenir Next Condensed"/>
                <w:spacing w:val="-1"/>
                <w:sz w:val="18"/>
              </w:rPr>
              <w:t>regulatory</w:t>
            </w:r>
            <w:r>
              <w:rPr>
                <w:rFonts w:ascii="Avenir Next Condensed"/>
                <w:sz w:val="18"/>
              </w:rPr>
              <w:t xml:space="preserve"> period and capital planning</w:t>
            </w:r>
            <w:r>
              <w:rPr>
                <w:rFonts w:ascii="Avenir Next Condensed"/>
                <w:spacing w:val="45"/>
                <w:sz w:val="18"/>
              </w:rPr>
              <w:t xml:space="preserve"> </w:t>
            </w:r>
            <w:r>
              <w:rPr>
                <w:rFonts w:ascii="Avenir Next Condensed"/>
                <w:spacing w:val="-1"/>
                <w:sz w:val="18"/>
              </w:rPr>
              <w:t>processes.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r w:rsidR="00D96B91">
        <w:trPr>
          <w:trHeight w:hRule="exact" w:val="150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391" w:right="107" w:hanging="284"/>
              <w:rPr>
                <w:rFonts w:ascii="Avenir Next Condensed" w:eastAsia="Avenir Next Condensed" w:hAnsi="Avenir Next Condensed" w:cs="Avenir Next Condensed"/>
                <w:sz w:val="18"/>
                <w:szCs w:val="18"/>
              </w:rPr>
            </w:pPr>
            <w:r>
              <w:rPr>
                <w:rFonts w:ascii="Avenir Next Condensed"/>
                <w:b/>
                <w:sz w:val="18"/>
              </w:rPr>
              <w:t xml:space="preserve">(i)   </w:t>
            </w:r>
            <w:r>
              <w:rPr>
                <w:rFonts w:ascii="Avenir Next Condensed"/>
                <w:b/>
                <w:spacing w:val="1"/>
                <w:sz w:val="18"/>
              </w:rPr>
              <w:t xml:space="preserve"> </w:t>
            </w:r>
            <w:r>
              <w:rPr>
                <w:rFonts w:ascii="Avenir Next Condensed"/>
                <w:b/>
                <w:sz w:val="18"/>
              </w:rPr>
              <w:t>the</w:t>
            </w:r>
            <w:r>
              <w:rPr>
                <w:rFonts w:ascii="Avenir Next Condensed"/>
                <w:b/>
                <w:spacing w:val="-1"/>
                <w:sz w:val="18"/>
              </w:rPr>
              <w:t xml:space="preserve"> borrowing,</w:t>
            </w:r>
            <w:r>
              <w:rPr>
                <w:rFonts w:ascii="Avenir Next Condensed"/>
                <w:b/>
                <w:spacing w:val="-6"/>
                <w:sz w:val="18"/>
              </w:rPr>
              <w:t xml:space="preserve"> </w:t>
            </w:r>
            <w:r>
              <w:rPr>
                <w:rFonts w:ascii="Avenir Next Condensed"/>
                <w:b/>
                <w:sz w:val="18"/>
              </w:rPr>
              <w:t>capital</w:t>
            </w:r>
            <w:r>
              <w:rPr>
                <w:rFonts w:ascii="Avenir Next Condensed"/>
                <w:b/>
                <w:spacing w:val="-1"/>
                <w:sz w:val="18"/>
              </w:rPr>
              <w:t xml:space="preserve"> </w:t>
            </w:r>
            <w:r>
              <w:rPr>
                <w:rFonts w:ascii="Avenir Next Condensed"/>
                <w:b/>
                <w:sz w:val="18"/>
              </w:rPr>
              <w:t>and</w:t>
            </w:r>
            <w:r>
              <w:rPr>
                <w:rFonts w:ascii="Avenir Next Condensed"/>
                <w:b/>
                <w:spacing w:val="-1"/>
                <w:sz w:val="18"/>
              </w:rPr>
              <w:t xml:space="preserve"> </w:t>
            </w:r>
            <w:r>
              <w:rPr>
                <w:rFonts w:ascii="Avenir Next Condensed"/>
                <w:b/>
                <w:sz w:val="18"/>
              </w:rPr>
              <w:t>cash</w:t>
            </w:r>
            <w:r>
              <w:rPr>
                <w:rFonts w:ascii="Avenir Next Condensed"/>
                <w:b/>
                <w:spacing w:val="28"/>
                <w:sz w:val="18"/>
              </w:rPr>
              <w:t xml:space="preserve"> </w:t>
            </w:r>
            <w:r>
              <w:rPr>
                <w:rFonts w:ascii="Avenir Next Condensed"/>
                <w:b/>
                <w:sz w:val="18"/>
              </w:rPr>
              <w:t xml:space="preserve">flow </w:t>
            </w:r>
            <w:r>
              <w:rPr>
                <w:rFonts w:ascii="Avenir Next Condensed"/>
                <w:b/>
                <w:spacing w:val="-1"/>
                <w:sz w:val="18"/>
              </w:rPr>
              <w:t>requirements</w:t>
            </w:r>
            <w:r>
              <w:rPr>
                <w:rFonts w:ascii="Avenir Next Condensed"/>
                <w:b/>
                <w:sz w:val="18"/>
              </w:rPr>
              <w:t xml:space="preserve"> of</w:t>
            </w:r>
            <w:r>
              <w:rPr>
                <w:rFonts w:ascii="Avenir Next Condensed"/>
                <w:b/>
                <w:spacing w:val="4"/>
                <w:sz w:val="18"/>
              </w:rPr>
              <w:t xml:space="preserve"> </w:t>
            </w:r>
            <w:r>
              <w:rPr>
                <w:rFonts w:ascii="Avenir Next Condensed"/>
                <w:b/>
                <w:sz w:val="18"/>
              </w:rPr>
              <w:t>people</w:t>
            </w:r>
            <w:r>
              <w:rPr>
                <w:rFonts w:ascii="Avenir Next Condensed"/>
                <w:b/>
                <w:spacing w:val="28"/>
                <w:sz w:val="18"/>
              </w:rPr>
              <w:t xml:space="preserve"> </w:t>
            </w:r>
            <w:r>
              <w:rPr>
                <w:rFonts w:ascii="Avenir Next Condensed"/>
                <w:b/>
                <w:spacing w:val="-1"/>
                <w:sz w:val="18"/>
              </w:rPr>
              <w:t>providing</w:t>
            </w:r>
            <w:r>
              <w:rPr>
                <w:rFonts w:ascii="Avenir Next Condensed"/>
                <w:b/>
                <w:sz w:val="18"/>
              </w:rPr>
              <w:t xml:space="preserve"> </w:t>
            </w:r>
            <w:r>
              <w:rPr>
                <w:rFonts w:ascii="Avenir Next Condensed"/>
                <w:b/>
                <w:spacing w:val="-1"/>
                <w:sz w:val="18"/>
              </w:rPr>
              <w:t>regulated</w:t>
            </w:r>
            <w:r>
              <w:rPr>
                <w:rFonts w:ascii="Avenir Next Condensed"/>
                <w:b/>
                <w:sz w:val="18"/>
              </w:rPr>
              <w:t xml:space="preserve"> services</w:t>
            </w:r>
            <w:r>
              <w:rPr>
                <w:rFonts w:ascii="Avenir Next Condensed"/>
                <w:b/>
                <w:spacing w:val="29"/>
                <w:sz w:val="18"/>
              </w:rPr>
              <w:t xml:space="preserve"> </w:t>
            </w:r>
            <w:r>
              <w:rPr>
                <w:rFonts w:ascii="Avenir Next Condensed"/>
                <w:b/>
                <w:sz w:val="18"/>
              </w:rPr>
              <w:t xml:space="preserve">and the need to </w:t>
            </w:r>
            <w:r>
              <w:rPr>
                <w:rFonts w:ascii="Avenir Next Condensed"/>
                <w:b/>
                <w:spacing w:val="-1"/>
                <w:sz w:val="18"/>
              </w:rPr>
              <w:t>renew</w:t>
            </w:r>
            <w:r>
              <w:rPr>
                <w:rFonts w:ascii="Avenir Next Condensed"/>
                <w:b/>
                <w:sz w:val="18"/>
              </w:rPr>
              <w:t xml:space="preserve"> or</w:t>
            </w:r>
            <w:r>
              <w:rPr>
                <w:rFonts w:ascii="Avenir Next Condensed"/>
                <w:b/>
                <w:spacing w:val="23"/>
                <w:sz w:val="18"/>
              </w:rPr>
              <w:t xml:space="preserve"> </w:t>
            </w:r>
            <w:r>
              <w:rPr>
                <w:rFonts w:ascii="Avenir Next Condensed"/>
                <w:b/>
                <w:spacing w:val="-1"/>
                <w:sz w:val="18"/>
              </w:rPr>
              <w:t>increase</w:t>
            </w:r>
            <w:r>
              <w:rPr>
                <w:rFonts w:ascii="Avenir Next Condensed"/>
                <w:b/>
                <w:sz w:val="18"/>
              </w:rPr>
              <w:t xml:space="preserve"> </w:t>
            </w:r>
            <w:r>
              <w:rPr>
                <w:rFonts w:ascii="Avenir Next Condensed"/>
                <w:b/>
                <w:spacing w:val="-1"/>
                <w:sz w:val="18"/>
              </w:rPr>
              <w:t>relevant</w:t>
            </w:r>
            <w:r>
              <w:rPr>
                <w:rFonts w:ascii="Avenir Next Condensed"/>
                <w:b/>
                <w:sz w:val="18"/>
              </w:rPr>
              <w:t xml:space="preserve"> </w:t>
            </w:r>
            <w:r>
              <w:rPr>
                <w:rFonts w:ascii="Avenir Next Condensed"/>
                <w:b/>
                <w:spacing w:val="-1"/>
                <w:sz w:val="18"/>
              </w:rPr>
              <w:t>assets</w:t>
            </w:r>
            <w:r>
              <w:rPr>
                <w:rFonts w:ascii="Avenir Next Condensed"/>
                <w:b/>
                <w:sz w:val="18"/>
              </w:rPr>
              <w:t xml:space="preserve"> in the</w:t>
            </w:r>
            <w:r>
              <w:rPr>
                <w:rFonts w:ascii="Avenir Next Condensed"/>
                <w:b/>
                <w:spacing w:val="29"/>
                <w:sz w:val="18"/>
              </w:rPr>
              <w:t xml:space="preserve"> </w:t>
            </w:r>
            <w:r>
              <w:rPr>
                <w:rFonts w:ascii="Avenir Next Condensed"/>
                <w:b/>
                <w:spacing w:val="-1"/>
                <w:sz w:val="18"/>
              </w:rPr>
              <w:t>regulated</w:t>
            </w:r>
            <w:r>
              <w:rPr>
                <w:rFonts w:ascii="Avenir Next Condensed"/>
                <w:b/>
                <w:sz w:val="18"/>
              </w:rPr>
              <w:t xml:space="preserve"> industry</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8"/>
              <w:ind w:left="107"/>
              <w:rPr>
                <w:rFonts w:ascii="Avenir Next Condensed" w:eastAsia="Avenir Next Condensed" w:hAnsi="Avenir Next Condensed" w:cs="Avenir Next Condensed"/>
                <w:sz w:val="18"/>
                <w:szCs w:val="18"/>
              </w:rPr>
            </w:pPr>
            <w:r>
              <w:rPr>
                <w:rFonts w:ascii="Avenir Next Condensed"/>
                <w:sz w:val="18"/>
              </w:rPr>
              <w:t>6,</w:t>
            </w:r>
            <w:r>
              <w:rPr>
                <w:rFonts w:ascii="Avenir Next Condensed"/>
                <w:spacing w:val="-6"/>
                <w:sz w:val="18"/>
              </w:rPr>
              <w:t xml:space="preserve"> </w:t>
            </w:r>
            <w:r>
              <w:rPr>
                <w:rFonts w:ascii="Avenir Next Condensed"/>
                <w:sz w:val="18"/>
              </w:rPr>
              <w:t>8 and 15</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2" w:line="220" w:lineRule="exact"/>
              <w:ind w:left="107" w:right="107"/>
              <w:rPr>
                <w:rFonts w:ascii="Avenir Next Condensed" w:eastAsia="Avenir Next Condensed" w:hAnsi="Avenir Next Condensed" w:cs="Avenir Next Condensed"/>
                <w:sz w:val="18"/>
                <w:szCs w:val="18"/>
              </w:rPr>
            </w:pPr>
            <w:r>
              <w:rPr>
                <w:rFonts w:ascii="Avenir Next Condensed" w:eastAsia="Avenir Next Condensed" w:hAnsi="Avenir Next Condensed" w:cs="Avenir Next Condensed"/>
                <w:spacing w:val="-1"/>
                <w:sz w:val="18"/>
                <w:szCs w:val="18"/>
              </w:rPr>
              <w:t>Consideration</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 impact on</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2"/>
                <w:sz w:val="18"/>
                <w:szCs w:val="18"/>
              </w:rPr>
              <w:t>ACTEW’s</w:t>
            </w:r>
            <w:r>
              <w:rPr>
                <w:rFonts w:ascii="Avenir Next Condensed" w:eastAsia="Avenir Next Condensed" w:hAnsi="Avenir Next Condensed" w:cs="Avenir Next Condensed"/>
                <w:sz w:val="18"/>
                <w:szCs w:val="18"/>
              </w:rPr>
              <w:t xml:space="preserve"> short-term financial </w:t>
            </w:r>
            <w:r>
              <w:rPr>
                <w:rFonts w:ascii="Avenir Next Condensed" w:eastAsia="Avenir Next Condensed" w:hAnsi="Avenir Next Condensed" w:cs="Avenir Next Condensed"/>
                <w:spacing w:val="-1"/>
                <w:sz w:val="18"/>
                <w:szCs w:val="18"/>
              </w:rPr>
              <w:t>viability,</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 xml:space="preserve">ie </w:t>
            </w:r>
            <w:r>
              <w:rPr>
                <w:rFonts w:ascii="Avenir Next Condensed" w:eastAsia="Avenir Next Condensed" w:hAnsi="Avenir Next Condensed" w:cs="Avenir Next Condensed"/>
                <w:spacing w:val="-1"/>
                <w:sz w:val="18"/>
                <w:szCs w:val="18"/>
              </w:rPr>
              <w:t>assessment</w:t>
            </w:r>
            <w:r>
              <w:rPr>
                <w:rFonts w:ascii="Avenir Next Condensed" w:eastAsia="Avenir Next Condensed" w:hAnsi="Avenir Next Condensed" w:cs="Avenir Next Condensed"/>
                <w:sz w:val="18"/>
                <w:szCs w:val="18"/>
              </w:rPr>
              <w:t xml:space="preserve"> of</w:t>
            </w:r>
            <w:r>
              <w:rPr>
                <w:rFonts w:ascii="Avenir Next Condensed" w:eastAsia="Avenir Next Condensed" w:hAnsi="Avenir Next Condensed" w:cs="Avenir Next Condensed"/>
                <w:spacing w:val="47"/>
                <w:sz w:val="18"/>
                <w:szCs w:val="18"/>
              </w:rPr>
              <w:t xml:space="preserve"> </w:t>
            </w:r>
            <w:r>
              <w:rPr>
                <w:rFonts w:ascii="Avenir Next Condensed" w:eastAsia="Avenir Next Condensed" w:hAnsi="Avenir Next Condensed" w:cs="Avenir Next Condensed"/>
                <w:sz w:val="18"/>
                <w:szCs w:val="18"/>
              </w:rPr>
              <w:t>whether</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pacing w:val="-1"/>
                <w:sz w:val="18"/>
                <w:szCs w:val="18"/>
              </w:rPr>
              <w:t>ACTEW</w:t>
            </w:r>
            <w:r>
              <w:rPr>
                <w:rFonts w:ascii="Avenir Next Condensed" w:eastAsia="Avenir Next Condensed" w:hAnsi="Avenir Next Condensed" w:cs="Avenir Next Condensed"/>
                <w:spacing w:val="-3"/>
                <w:sz w:val="18"/>
                <w:szCs w:val="18"/>
              </w:rPr>
              <w:t xml:space="preserve"> </w:t>
            </w:r>
            <w:r>
              <w:rPr>
                <w:rFonts w:ascii="Avenir Next Condensed" w:eastAsia="Avenir Next Condensed" w:hAnsi="Avenir Next Condensed" w:cs="Avenir Next Condensed"/>
                <w:sz w:val="18"/>
                <w:szCs w:val="18"/>
              </w:rPr>
              <w:t xml:space="preserve">will be able to maintain an investment </w:t>
            </w:r>
            <w:r>
              <w:rPr>
                <w:rFonts w:ascii="Avenir Next Condensed" w:eastAsia="Avenir Next Condensed" w:hAnsi="Avenir Next Condensed" w:cs="Avenir Next Condensed"/>
                <w:spacing w:val="-1"/>
                <w:sz w:val="18"/>
                <w:szCs w:val="18"/>
              </w:rPr>
              <w:t>grade</w:t>
            </w:r>
            <w:r>
              <w:rPr>
                <w:rFonts w:ascii="Avenir Next Condensed" w:eastAsia="Avenir Next Condensed" w:hAnsi="Avenir Next Condensed" w:cs="Avenir Next Condensed"/>
                <w:sz w:val="18"/>
                <w:szCs w:val="18"/>
              </w:rPr>
              <w:t xml:space="preserve"> BBB </w:t>
            </w:r>
            <w:r>
              <w:rPr>
                <w:rFonts w:ascii="Avenir Next Condensed" w:eastAsia="Avenir Next Condensed" w:hAnsi="Avenir Next Condensed" w:cs="Avenir Next Condensed"/>
                <w:spacing w:val="-1"/>
                <w:sz w:val="18"/>
                <w:szCs w:val="18"/>
              </w:rPr>
              <w:t>rating,</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during the</w:t>
            </w:r>
            <w:r>
              <w:rPr>
                <w:rFonts w:ascii="Avenir Next Condensed" w:eastAsia="Avenir Next Condensed" w:hAnsi="Avenir Next Condensed" w:cs="Avenir Next Condensed"/>
                <w:spacing w:val="30"/>
                <w:sz w:val="18"/>
                <w:szCs w:val="18"/>
              </w:rPr>
              <w:t xml:space="preserve"> </w:t>
            </w:r>
            <w:r>
              <w:rPr>
                <w:rFonts w:ascii="Avenir Next Condensed" w:eastAsia="Avenir Next Condensed" w:hAnsi="Avenir Next Condensed" w:cs="Avenir Next Condensed"/>
                <w:spacing w:val="-1"/>
                <w:sz w:val="18"/>
                <w:szCs w:val="18"/>
              </w:rPr>
              <w:t xml:space="preserve">regulatory </w:t>
            </w:r>
            <w:r>
              <w:rPr>
                <w:rFonts w:ascii="Avenir Next Condensed" w:eastAsia="Avenir Next Condensed" w:hAnsi="Avenir Next Condensed" w:cs="Avenir Next Condensed"/>
                <w:sz w:val="18"/>
                <w:szCs w:val="18"/>
              </w:rPr>
              <w:t>period</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in</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1"/>
                <w:sz w:val="18"/>
                <w:szCs w:val="18"/>
              </w:rPr>
              <w:t xml:space="preserve"> context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determining</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level</w:t>
            </w:r>
            <w:r>
              <w:rPr>
                <w:rFonts w:ascii="Avenir Next Condensed" w:eastAsia="Avenir Next Condensed" w:hAnsi="Avenir Next Condensed" w:cs="Avenir Next Condensed"/>
                <w:spacing w:val="-1"/>
                <w:sz w:val="18"/>
                <w:szCs w:val="18"/>
              </w:rPr>
              <w:t xml:space="preserve">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1"/>
                <w:sz w:val="18"/>
                <w:szCs w:val="18"/>
              </w:rPr>
              <w:t xml:space="preserve"> deadband,</w:t>
            </w:r>
            <w:r>
              <w:rPr>
                <w:rFonts w:ascii="Avenir Next Condensed" w:eastAsia="Avenir Next Condensed" w:hAnsi="Avenir Next Condensed" w:cs="Avenir Next Condensed"/>
                <w:spacing w:val="-6"/>
                <w:sz w:val="18"/>
                <w:szCs w:val="18"/>
              </w:rPr>
              <w:t xml:space="preserve"> </w:t>
            </w:r>
            <w:r>
              <w:rPr>
                <w:rFonts w:ascii="Avenir Next Condensed" w:eastAsia="Avenir Next Condensed" w:hAnsi="Avenir Next Condensed" w:cs="Avenir Next Condensed"/>
                <w:sz w:val="18"/>
                <w:szCs w:val="18"/>
              </w:rPr>
              <w:t>the</w:t>
            </w:r>
            <w:r>
              <w:rPr>
                <w:rFonts w:ascii="Avenir Next Condensed" w:eastAsia="Avenir Next Condensed" w:hAnsi="Avenir Next Condensed" w:cs="Avenir Next Condensed"/>
                <w:spacing w:val="-1"/>
                <w:sz w:val="18"/>
                <w:szCs w:val="18"/>
              </w:rPr>
              <w:t xml:space="preserve"> treatment</w:t>
            </w:r>
            <w:r>
              <w:rPr>
                <w:rFonts w:ascii="Avenir Next Condensed" w:eastAsia="Avenir Next Condensed" w:hAnsi="Avenir Next Condensed" w:cs="Avenir Next Condensed"/>
                <w:spacing w:val="51"/>
                <w:sz w:val="18"/>
                <w:szCs w:val="18"/>
              </w:rPr>
              <w:t xml:space="preserve"> </w:t>
            </w:r>
            <w:r>
              <w:rPr>
                <w:rFonts w:ascii="Avenir Next Condensed" w:eastAsia="Avenir Next Condensed" w:hAnsi="Avenir Next Condensed" w:cs="Avenir Next Condensed"/>
                <w:sz w:val="18"/>
                <w:szCs w:val="18"/>
              </w:rPr>
              <w:t>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the water security </w:t>
            </w:r>
            <w:r>
              <w:rPr>
                <w:rFonts w:ascii="Avenir Next Condensed" w:eastAsia="Avenir Next Condensed" w:hAnsi="Avenir Next Condensed" w:cs="Avenir Next Condensed"/>
                <w:spacing w:val="-1"/>
                <w:sz w:val="18"/>
                <w:szCs w:val="18"/>
              </w:rPr>
              <w:t>projects</w:t>
            </w:r>
            <w:r>
              <w:rPr>
                <w:rFonts w:ascii="Avenir Next Condensed" w:eastAsia="Avenir Next Condensed" w:hAnsi="Avenir Next Condensed" w:cs="Avenir Next Condensed"/>
                <w:sz w:val="18"/>
                <w:szCs w:val="18"/>
              </w:rPr>
              <w:t xml:space="preserve"> and the impact of</w:t>
            </w:r>
            <w:r>
              <w:rPr>
                <w:rFonts w:ascii="Avenir Next Condensed" w:eastAsia="Avenir Next Condensed" w:hAnsi="Avenir Next Condensed" w:cs="Avenir Next Condensed"/>
                <w:spacing w:val="4"/>
                <w:sz w:val="18"/>
                <w:szCs w:val="18"/>
              </w:rPr>
              <w:t xml:space="preserve"> </w:t>
            </w:r>
            <w:r>
              <w:rPr>
                <w:rFonts w:ascii="Avenir Next Condensed" w:eastAsia="Avenir Next Condensed" w:hAnsi="Avenir Next Condensed" w:cs="Avenir Next Condensed"/>
                <w:sz w:val="18"/>
                <w:szCs w:val="18"/>
              </w:rPr>
              <w:t xml:space="preserve">water and </w:t>
            </w:r>
            <w:r>
              <w:rPr>
                <w:rFonts w:ascii="Avenir Next Condensed" w:eastAsia="Avenir Next Condensed" w:hAnsi="Avenir Next Condensed" w:cs="Avenir Next Condensed"/>
                <w:spacing w:val="-1"/>
                <w:sz w:val="18"/>
                <w:szCs w:val="18"/>
              </w:rPr>
              <w:t>sewerage</w:t>
            </w:r>
            <w:r>
              <w:rPr>
                <w:rFonts w:ascii="Avenir Next Condensed" w:eastAsia="Avenir Next Condensed" w:hAnsi="Avenir Next Condensed" w:cs="Avenir Next Condensed"/>
                <w:sz w:val="18"/>
                <w:szCs w:val="18"/>
              </w:rPr>
              <w:t xml:space="preserve"> </w:t>
            </w:r>
            <w:r>
              <w:rPr>
                <w:rFonts w:ascii="Avenir Next Condensed" w:eastAsia="Avenir Next Condensed" w:hAnsi="Avenir Next Condensed" w:cs="Avenir Next Condensed"/>
                <w:spacing w:val="-1"/>
                <w:sz w:val="18"/>
                <w:szCs w:val="18"/>
              </w:rPr>
              <w:t>charges.</w:t>
            </w:r>
          </w:p>
        </w:tc>
      </w:tr>
      <w:tr w:rsidR="00D96B91">
        <w:trPr>
          <w:trHeight w:hRule="exact" w:val="84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0" w:right="439" w:hanging="284"/>
              <w:jc w:val="both"/>
              <w:rPr>
                <w:rFonts w:ascii="Avenir Next Condensed" w:eastAsia="Avenir Next Condensed" w:hAnsi="Avenir Next Condensed" w:cs="Avenir Next Condensed"/>
                <w:sz w:val="18"/>
                <w:szCs w:val="18"/>
              </w:rPr>
            </w:pPr>
            <w:r>
              <w:rPr>
                <w:rFonts w:ascii="Avenir Next Condensed"/>
                <w:b/>
                <w:spacing w:val="3"/>
                <w:sz w:val="18"/>
              </w:rPr>
              <w:t>(j)</w:t>
            </w:r>
            <w:r>
              <w:rPr>
                <w:rFonts w:ascii="Avenir Next Condensed"/>
                <w:b/>
                <w:spacing w:val="26"/>
                <w:sz w:val="18"/>
              </w:rPr>
              <w:t xml:space="preserve"> </w:t>
            </w:r>
            <w:r>
              <w:rPr>
                <w:rFonts w:ascii="Avenir Next Condensed"/>
                <w:b/>
                <w:sz w:val="18"/>
              </w:rPr>
              <w:t xml:space="preserve">the </w:t>
            </w:r>
            <w:r>
              <w:rPr>
                <w:rFonts w:ascii="Avenir Next Condensed"/>
                <w:b/>
                <w:spacing w:val="-1"/>
                <w:sz w:val="18"/>
              </w:rPr>
              <w:t>effect</w:t>
            </w:r>
            <w:r>
              <w:rPr>
                <w:rFonts w:ascii="Avenir Next Condensed"/>
                <w:b/>
                <w:sz w:val="18"/>
              </w:rPr>
              <w:t xml:space="preserve"> on </w:t>
            </w:r>
            <w:r>
              <w:rPr>
                <w:rFonts w:ascii="Avenir Next Condensed"/>
                <w:b/>
                <w:spacing w:val="-1"/>
                <w:sz w:val="18"/>
              </w:rPr>
              <w:t>general</w:t>
            </w:r>
            <w:r>
              <w:rPr>
                <w:rFonts w:ascii="Avenir Next Condensed"/>
                <w:b/>
                <w:sz w:val="18"/>
              </w:rPr>
              <w:t xml:space="preserve"> price</w:t>
            </w:r>
            <w:r>
              <w:rPr>
                <w:rFonts w:ascii="Avenir Next Condensed"/>
                <w:b/>
                <w:spacing w:val="29"/>
                <w:sz w:val="18"/>
              </w:rPr>
              <w:t xml:space="preserve"> </w:t>
            </w:r>
            <w:r>
              <w:rPr>
                <w:rFonts w:ascii="Avenir Next Condensed"/>
                <w:b/>
                <w:sz w:val="18"/>
              </w:rPr>
              <w:t>inflation over the medium term</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15</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674"/>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the estimated impact of</w:t>
            </w:r>
            <w:r>
              <w:rPr>
                <w:rFonts w:ascii="Avenir Next Condensed"/>
                <w:spacing w:val="4"/>
                <w:sz w:val="18"/>
              </w:rPr>
              <w:t xml:space="preserve"> </w:t>
            </w:r>
            <w:r>
              <w:rPr>
                <w:rFonts w:ascii="Avenir Next Condensed"/>
                <w:sz w:val="18"/>
              </w:rPr>
              <w:t xml:space="preserve">water and </w:t>
            </w:r>
            <w:r>
              <w:rPr>
                <w:rFonts w:ascii="Avenir Next Condensed"/>
                <w:spacing w:val="-1"/>
                <w:sz w:val="18"/>
              </w:rPr>
              <w:t>sewerage</w:t>
            </w:r>
            <w:r>
              <w:rPr>
                <w:rFonts w:ascii="Avenir Next Condensed"/>
                <w:sz w:val="18"/>
              </w:rPr>
              <w:t xml:space="preserve"> prices on </w:t>
            </w:r>
            <w:r>
              <w:rPr>
                <w:rFonts w:ascii="Avenir Next Condensed"/>
                <w:spacing w:val="-1"/>
                <w:sz w:val="18"/>
              </w:rPr>
              <w:t>general</w:t>
            </w:r>
            <w:r>
              <w:rPr>
                <w:rFonts w:ascii="Avenir Next Condensed"/>
                <w:spacing w:val="39"/>
                <w:sz w:val="18"/>
              </w:rPr>
              <w:t xml:space="preserve"> </w:t>
            </w:r>
            <w:r>
              <w:rPr>
                <w:rFonts w:ascii="Avenir Next Condensed"/>
                <w:sz w:val="18"/>
              </w:rPr>
              <w:t>inflation.</w:t>
            </w:r>
          </w:p>
        </w:tc>
      </w:tr>
      <w:tr w:rsidR="00D96B91">
        <w:trPr>
          <w:trHeight w:hRule="exact" w:val="1287"/>
        </w:trPr>
        <w:tc>
          <w:tcPr>
            <w:tcW w:w="26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390" w:right="180" w:hanging="284"/>
              <w:rPr>
                <w:rFonts w:ascii="Avenir Next Condensed" w:eastAsia="Avenir Next Condensed" w:hAnsi="Avenir Next Condensed" w:cs="Avenir Next Condensed"/>
                <w:sz w:val="18"/>
                <w:szCs w:val="18"/>
              </w:rPr>
            </w:pPr>
            <w:r>
              <w:rPr>
                <w:rFonts w:ascii="Avenir Next Condensed"/>
                <w:b/>
                <w:sz w:val="18"/>
              </w:rPr>
              <w:t xml:space="preserve">(k)   any </w:t>
            </w:r>
            <w:r>
              <w:rPr>
                <w:rFonts w:ascii="Avenir Next Condensed"/>
                <w:b/>
                <w:spacing w:val="-1"/>
                <w:sz w:val="18"/>
              </w:rPr>
              <w:t>arrangements</w:t>
            </w:r>
            <w:r>
              <w:rPr>
                <w:rFonts w:ascii="Avenir Next Condensed"/>
                <w:b/>
                <w:sz w:val="18"/>
              </w:rPr>
              <w:t xml:space="preserve"> that a</w:t>
            </w:r>
            <w:r>
              <w:rPr>
                <w:rFonts w:ascii="Avenir Next Condensed"/>
                <w:b/>
                <w:spacing w:val="20"/>
                <w:sz w:val="18"/>
              </w:rPr>
              <w:t xml:space="preserve"> </w:t>
            </w:r>
            <w:r>
              <w:rPr>
                <w:rFonts w:ascii="Avenir Next Condensed"/>
                <w:b/>
                <w:sz w:val="18"/>
              </w:rPr>
              <w:t xml:space="preserve">person </w:t>
            </w:r>
            <w:r>
              <w:rPr>
                <w:rFonts w:ascii="Avenir Next Condensed"/>
                <w:b/>
                <w:spacing w:val="-1"/>
                <w:sz w:val="18"/>
              </w:rPr>
              <w:t>providing</w:t>
            </w:r>
            <w:r>
              <w:rPr>
                <w:rFonts w:ascii="Avenir Next Condensed"/>
                <w:b/>
                <w:sz w:val="18"/>
              </w:rPr>
              <w:t xml:space="preserve"> </w:t>
            </w:r>
            <w:r>
              <w:rPr>
                <w:rFonts w:ascii="Avenir Next Condensed"/>
                <w:b/>
                <w:spacing w:val="-1"/>
                <w:sz w:val="18"/>
              </w:rPr>
              <w:t>regulated</w:t>
            </w:r>
            <w:r>
              <w:rPr>
                <w:rFonts w:ascii="Avenir Next Condensed"/>
                <w:b/>
                <w:spacing w:val="29"/>
                <w:sz w:val="18"/>
              </w:rPr>
              <w:t xml:space="preserve"> </w:t>
            </w:r>
            <w:r>
              <w:rPr>
                <w:rFonts w:ascii="Avenir Next Condensed"/>
                <w:b/>
                <w:sz w:val="18"/>
              </w:rPr>
              <w:t xml:space="preserve">services has </w:t>
            </w:r>
            <w:r>
              <w:rPr>
                <w:rFonts w:ascii="Avenir Next Condensed"/>
                <w:b/>
                <w:spacing w:val="-1"/>
                <w:sz w:val="18"/>
              </w:rPr>
              <w:t>entered</w:t>
            </w:r>
            <w:r>
              <w:rPr>
                <w:rFonts w:ascii="Avenir Next Condensed"/>
                <w:b/>
                <w:sz w:val="18"/>
              </w:rPr>
              <w:t xml:space="preserve"> into for</w:t>
            </w:r>
            <w:r>
              <w:rPr>
                <w:rFonts w:ascii="Avenir Next Condensed"/>
                <w:b/>
                <w:spacing w:val="25"/>
                <w:sz w:val="18"/>
              </w:rPr>
              <w:t xml:space="preserve"> </w:t>
            </w:r>
            <w:r>
              <w:rPr>
                <w:rFonts w:ascii="Avenir Next Condensed"/>
                <w:b/>
                <w:sz w:val="18"/>
              </w:rPr>
              <w:t xml:space="preserve">the </w:t>
            </w:r>
            <w:r>
              <w:rPr>
                <w:rFonts w:ascii="Avenir Next Condensed"/>
                <w:b/>
                <w:spacing w:val="-1"/>
                <w:sz w:val="18"/>
              </w:rPr>
              <w:t>exercise</w:t>
            </w:r>
            <w:r>
              <w:rPr>
                <w:rFonts w:ascii="Avenir Next Condensed"/>
                <w:b/>
                <w:sz w:val="18"/>
              </w:rPr>
              <w:t xml:space="preserve"> of</w:t>
            </w:r>
            <w:r>
              <w:rPr>
                <w:rFonts w:ascii="Avenir Next Condensed"/>
                <w:b/>
                <w:spacing w:val="4"/>
                <w:sz w:val="18"/>
              </w:rPr>
              <w:t xml:space="preserve"> </w:t>
            </w:r>
            <w:r>
              <w:rPr>
                <w:rFonts w:ascii="Avenir Next Condensed"/>
                <w:b/>
                <w:sz w:val="18"/>
              </w:rPr>
              <w:t>its functions by</w:t>
            </w:r>
            <w:r>
              <w:rPr>
                <w:rFonts w:ascii="Avenir Next Condensed"/>
                <w:b/>
                <w:spacing w:val="23"/>
                <w:sz w:val="18"/>
              </w:rPr>
              <w:t xml:space="preserve"> </w:t>
            </w:r>
            <w:r>
              <w:rPr>
                <w:rFonts w:ascii="Avenir Next Condensed"/>
                <w:b/>
                <w:sz w:val="18"/>
              </w:rPr>
              <w:t>some other person</w:t>
            </w:r>
          </w:p>
        </w:tc>
        <w:tc>
          <w:tcPr>
            <w:tcW w:w="1023"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07"/>
              <w:ind w:left="107"/>
              <w:rPr>
                <w:rFonts w:ascii="Avenir Next Condensed" w:eastAsia="Avenir Next Condensed" w:hAnsi="Avenir Next Condensed" w:cs="Avenir Next Condensed"/>
                <w:sz w:val="18"/>
                <w:szCs w:val="18"/>
              </w:rPr>
            </w:pPr>
            <w:r>
              <w:rPr>
                <w:rFonts w:ascii="Avenir Next Condensed"/>
                <w:sz w:val="18"/>
              </w:rPr>
              <w:t>11</w:t>
            </w:r>
          </w:p>
        </w:tc>
        <w:tc>
          <w:tcPr>
            <w:tcW w:w="5755" w:type="dxa"/>
            <w:tcBorders>
              <w:top w:val="single" w:sz="4" w:space="0" w:color="17A7E0"/>
              <w:left w:val="single" w:sz="4" w:space="0" w:color="17A7E0"/>
              <w:bottom w:val="single" w:sz="4" w:space="0" w:color="17A7E0"/>
              <w:right w:val="single" w:sz="4" w:space="0" w:color="17A7E0"/>
            </w:tcBorders>
            <w:shd w:val="clear" w:color="auto" w:fill="F0F9FE"/>
          </w:tcPr>
          <w:p w:rsidR="00D96B91" w:rsidRDefault="00C2656B">
            <w:pPr>
              <w:pStyle w:val="TableParagraph"/>
              <w:spacing w:before="111" w:line="220" w:lineRule="exact"/>
              <w:ind w:left="107" w:right="116"/>
              <w:rPr>
                <w:rFonts w:ascii="Avenir Next Condensed" w:eastAsia="Avenir Next Condensed" w:hAnsi="Avenir Next Condensed" w:cs="Avenir Next Condensed"/>
                <w:sz w:val="18"/>
                <w:szCs w:val="18"/>
              </w:rPr>
            </w:pPr>
            <w:r>
              <w:rPr>
                <w:rFonts w:ascii="Avenir Next Condensed"/>
                <w:spacing w:val="-1"/>
                <w:sz w:val="18"/>
              </w:rPr>
              <w:t>Consideration</w:t>
            </w:r>
            <w:r>
              <w:rPr>
                <w:rFonts w:ascii="Avenir Next Condensed"/>
                <w:sz w:val="18"/>
              </w:rPr>
              <w:t xml:space="preserve"> of</w:t>
            </w:r>
            <w:r>
              <w:rPr>
                <w:rFonts w:ascii="Avenir Next Condensed"/>
                <w:spacing w:val="4"/>
                <w:sz w:val="18"/>
              </w:rPr>
              <w:t xml:space="preserve"> </w:t>
            </w:r>
            <w:r>
              <w:rPr>
                <w:rFonts w:ascii="Avenir Next Condensed"/>
                <w:sz w:val="18"/>
              </w:rPr>
              <w:t xml:space="preserve">the </w:t>
            </w:r>
            <w:r>
              <w:rPr>
                <w:rFonts w:ascii="Avenir Next Condensed"/>
                <w:spacing w:val="-1"/>
                <w:sz w:val="18"/>
              </w:rPr>
              <w:t>cessation</w:t>
            </w:r>
            <w:r>
              <w:rPr>
                <w:rFonts w:ascii="Avenir Next Condensed"/>
                <w:sz w:val="18"/>
              </w:rPr>
              <w:t xml:space="preserve"> of</w:t>
            </w:r>
            <w:r>
              <w:rPr>
                <w:rFonts w:ascii="Avenir Next Condensed"/>
                <w:spacing w:val="4"/>
                <w:sz w:val="18"/>
              </w:rPr>
              <w:t xml:space="preserve"> </w:t>
            </w:r>
            <w:r>
              <w:rPr>
                <w:rFonts w:ascii="Avenir Next Condensed"/>
                <w:sz w:val="18"/>
              </w:rPr>
              <w:t>the Utilities Management</w:t>
            </w:r>
            <w:r>
              <w:rPr>
                <w:rFonts w:ascii="Avenir Next Condensed"/>
                <w:spacing w:val="-4"/>
                <w:sz w:val="18"/>
              </w:rPr>
              <w:t xml:space="preserve"> </w:t>
            </w:r>
            <w:r>
              <w:rPr>
                <w:rFonts w:ascii="Avenir Next Condensed"/>
                <w:spacing w:val="-1"/>
                <w:sz w:val="18"/>
              </w:rPr>
              <w:t>Agreement</w:t>
            </w:r>
            <w:r>
              <w:rPr>
                <w:rFonts w:ascii="Avenir Next Condensed"/>
                <w:sz w:val="18"/>
              </w:rPr>
              <w:t xml:space="preserve"> and the</w:t>
            </w:r>
            <w:r>
              <w:rPr>
                <w:rFonts w:ascii="Avenir Next Condensed"/>
                <w:spacing w:val="45"/>
                <w:sz w:val="18"/>
              </w:rPr>
              <w:t xml:space="preserve"> </w:t>
            </w:r>
            <w:r>
              <w:rPr>
                <w:rFonts w:ascii="Avenir Next Condensed"/>
                <w:sz w:val="18"/>
              </w:rPr>
              <w:t xml:space="preserve">subsequent impact on </w:t>
            </w:r>
            <w:r>
              <w:rPr>
                <w:rFonts w:ascii="Avenir Next Condensed"/>
                <w:spacing w:val="-1"/>
                <w:sz w:val="18"/>
              </w:rPr>
              <w:t>efficient</w:t>
            </w:r>
            <w:r>
              <w:rPr>
                <w:rFonts w:ascii="Avenir Next Condensed"/>
                <w:sz w:val="18"/>
              </w:rPr>
              <w:t xml:space="preserve"> </w:t>
            </w:r>
            <w:r>
              <w:rPr>
                <w:rFonts w:ascii="Avenir Next Condensed"/>
                <w:spacing w:val="-1"/>
                <w:sz w:val="18"/>
              </w:rPr>
              <w:t>operating</w:t>
            </w:r>
            <w:r>
              <w:rPr>
                <w:rFonts w:ascii="Avenir Next Condensed"/>
                <w:sz w:val="18"/>
              </w:rPr>
              <w:t xml:space="preserve"> costs.</w:t>
            </w:r>
            <w:r>
              <w:rPr>
                <w:rFonts w:ascii="Avenir Next Condensed"/>
                <w:spacing w:val="-6"/>
                <w:sz w:val="18"/>
              </w:rPr>
              <w:t xml:space="preserve"> </w:t>
            </w:r>
            <w:r>
              <w:rPr>
                <w:rFonts w:ascii="Avenir Next Condensed"/>
                <w:sz w:val="18"/>
              </w:rPr>
              <w:t xml:space="preserve">Informed by independent </w:t>
            </w:r>
            <w:r>
              <w:rPr>
                <w:rFonts w:ascii="Avenir Next Condensed"/>
                <w:spacing w:val="-1"/>
                <w:sz w:val="18"/>
              </w:rPr>
              <w:t>expert</w:t>
            </w:r>
            <w:r>
              <w:rPr>
                <w:rFonts w:ascii="Avenir Next Condensed"/>
                <w:sz w:val="18"/>
              </w:rPr>
              <w:t xml:space="preserve"> advice.</w:t>
            </w:r>
          </w:p>
        </w:tc>
      </w:tr>
    </w:tbl>
    <w:p w:rsidR="00D96B91" w:rsidRDefault="00D96B91">
      <w:pPr>
        <w:spacing w:line="220" w:lineRule="exact"/>
        <w:rPr>
          <w:rFonts w:ascii="Avenir Next Condensed" w:eastAsia="Avenir Next Condensed" w:hAnsi="Avenir Next Condensed" w:cs="Avenir Next Condensed"/>
          <w:sz w:val="18"/>
          <w:szCs w:val="18"/>
        </w:rPr>
        <w:sectPr w:rsidR="00D96B91">
          <w:footerReference w:type="default" r:id="rId157"/>
          <w:pgSz w:w="11910" w:h="16840"/>
          <w:pgMar w:top="1160" w:right="0" w:bottom="0" w:left="0" w:header="0" w:footer="0" w:gutter="0"/>
          <w:cols w:space="720"/>
        </w:sectPr>
      </w:pPr>
    </w:p>
    <w:p w:rsidR="00D96B91" w:rsidRDefault="00D96B91">
      <w:pPr>
        <w:spacing w:before="5"/>
        <w:rPr>
          <w:rFonts w:ascii="Times New Roman" w:eastAsia="Times New Roman" w:hAnsi="Times New Roman" w:cs="Times New Roman"/>
          <w:sz w:val="17"/>
          <w:szCs w:val="17"/>
        </w:rPr>
      </w:pPr>
      <w:r w:rsidRPr="00D96B91">
        <w:pict>
          <v:group id="_x0000_s1026" style="position:absolute;margin-left:0;margin-top:789.45pt;width:595.3pt;height:52.45pt;z-index:251570688;mso-position-horizontal-relative:page;mso-position-vertical-relative:page" coordorigin=",15789" coordsize="11906,1049">
            <v:group id="_x0000_s1027" style="position:absolute;top:15789;width:11906;height:1049" coordorigin=",15789" coordsize="11906,1049">
              <v:shape id="_x0000_s1030" style="position:absolute;top:15789;width:11906;height:1049" coordorigin=",15789" coordsize="11906,1049" path="m,16838r11906,l11906,15789,,15789r,1049xe" fillcolor="#0778be" stroked="f">
                <v:path arrowok="t"/>
              </v:shape>
              <v:shape id="_x0000_s1029" type="#_x0000_t75" style="position:absolute;top:15789;width:11906;height:1049">
                <v:imagedata r:id="rId20" o:title=""/>
              </v:shape>
              <v:shape id="_x0000_s1028" type="#_x0000_t202" style="position:absolute;top:15789;width:11906;height:1049" filled="f" stroked="f">
                <v:textbox style="mso-next-textbox:#_x0000_s1028" inset="0,0,0,0">
                  <w:txbxContent>
                    <w:p w:rsidR="008A79D5" w:rsidRDefault="008A79D5">
                      <w:pPr>
                        <w:spacing w:before="6"/>
                        <w:rPr>
                          <w:rFonts w:ascii="Times New Roman" w:eastAsia="Times New Roman" w:hAnsi="Times New Roman" w:cs="Times New Roman"/>
                          <w:sz w:val="18"/>
                          <w:szCs w:val="18"/>
                        </w:rPr>
                      </w:pPr>
                    </w:p>
                    <w:p w:rsidR="008A79D5" w:rsidRDefault="008A79D5">
                      <w:pPr>
                        <w:tabs>
                          <w:tab w:val="left" w:pos="1240"/>
                        </w:tabs>
                        <w:ind w:left="692"/>
                        <w:rPr>
                          <w:rFonts w:ascii="Avenir Next" w:eastAsia="Avenir Next" w:hAnsi="Avenir Next" w:cs="Avenir Next"/>
                          <w:sz w:val="20"/>
                          <w:szCs w:val="20"/>
                        </w:rPr>
                      </w:pPr>
                      <w:r>
                        <w:rPr>
                          <w:rFonts w:ascii="Avenir Next" w:eastAsia="Avenir Next" w:hAnsi="Avenir Next" w:cs="Avenir Next"/>
                          <w:color w:val="EEF8FE"/>
                          <w:sz w:val="20"/>
                          <w:szCs w:val="20"/>
                        </w:rPr>
                        <w:t>16</w:t>
                      </w:r>
                      <w:r>
                        <w:rPr>
                          <w:rFonts w:ascii="Avenir Next" w:eastAsia="Avenir Next" w:hAnsi="Avenir Next" w:cs="Avenir Next"/>
                          <w:color w:val="EEF8FE"/>
                          <w:sz w:val="20"/>
                          <w:szCs w:val="20"/>
                        </w:rPr>
                        <w:tab/>
                        <w:t xml:space="preserve">Industry </w:t>
                      </w:r>
                      <w:r>
                        <w:rPr>
                          <w:rFonts w:ascii="Avenir Next" w:eastAsia="Avenir Next" w:hAnsi="Avenir Next" w:cs="Avenir Next"/>
                          <w:color w:val="EEF8FE"/>
                          <w:spacing w:val="-3"/>
                          <w:sz w:val="20"/>
                          <w:szCs w:val="20"/>
                        </w:rPr>
                        <w:t>Panel</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Review</w:t>
                      </w:r>
                      <w:r>
                        <w:rPr>
                          <w:rFonts w:ascii="Avenir Next" w:eastAsia="Avenir Next" w:hAnsi="Avenir Next" w:cs="Avenir Next"/>
                          <w:color w:val="EEF8FE"/>
                          <w:sz w:val="20"/>
                          <w:szCs w:val="20"/>
                        </w:rPr>
                        <w:t xml:space="preserve"> of</w:t>
                      </w:r>
                      <w:r>
                        <w:rPr>
                          <w:rFonts w:ascii="Avenir Next" w:eastAsia="Avenir Next" w:hAnsi="Avenir Next" w:cs="Avenir Next"/>
                          <w:color w:val="EEF8FE"/>
                          <w:spacing w:val="4"/>
                          <w:sz w:val="20"/>
                          <w:szCs w:val="20"/>
                        </w:rPr>
                        <w:t xml:space="preserve"> </w:t>
                      </w:r>
                      <w:r>
                        <w:rPr>
                          <w:rFonts w:ascii="Avenir Next" w:eastAsia="Avenir Next" w:hAnsi="Avenir Next" w:cs="Avenir Next"/>
                          <w:color w:val="EEF8FE"/>
                          <w:sz w:val="20"/>
                          <w:szCs w:val="20"/>
                        </w:rPr>
                        <w:t xml:space="preserve">the </w:t>
                      </w:r>
                      <w:r>
                        <w:rPr>
                          <w:rFonts w:ascii="Avenir Next" w:eastAsia="Avenir Next" w:hAnsi="Avenir Next" w:cs="Avenir Next"/>
                          <w:color w:val="EEF8FE"/>
                          <w:spacing w:val="-2"/>
                          <w:sz w:val="20"/>
                          <w:szCs w:val="20"/>
                        </w:rPr>
                        <w:t>ICRC’s</w:t>
                      </w:r>
                      <w:r>
                        <w:rPr>
                          <w:rFonts w:ascii="Avenir Next" w:eastAsia="Avenir Next" w:hAnsi="Avenir Next" w:cs="Avenir Next"/>
                          <w:color w:val="EEF8FE"/>
                          <w:sz w:val="20"/>
                          <w:szCs w:val="20"/>
                        </w:rPr>
                        <w:t xml:space="preserve"> 2013 </w:t>
                      </w:r>
                      <w:r>
                        <w:rPr>
                          <w:rFonts w:ascii="Avenir Next" w:eastAsia="Avenir Next" w:hAnsi="Avenir Next" w:cs="Avenir Next"/>
                          <w:color w:val="EEF8FE"/>
                          <w:spacing w:val="-2"/>
                          <w:sz w:val="20"/>
                          <w:szCs w:val="20"/>
                        </w:rPr>
                        <w:t>Price</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Direction:</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2"/>
                          <w:sz w:val="20"/>
                          <w:szCs w:val="20"/>
                        </w:rPr>
                        <w:t>Draft</w:t>
                      </w:r>
                      <w:r>
                        <w:rPr>
                          <w:rFonts w:ascii="Avenir Next" w:eastAsia="Avenir Next" w:hAnsi="Avenir Next" w:cs="Avenir Next"/>
                          <w:color w:val="EEF8FE"/>
                          <w:sz w:val="20"/>
                          <w:szCs w:val="20"/>
                        </w:rPr>
                        <w:t xml:space="preserve"> </w:t>
                      </w:r>
                      <w:r>
                        <w:rPr>
                          <w:rFonts w:ascii="Avenir Next" w:eastAsia="Avenir Next" w:hAnsi="Avenir Next" w:cs="Avenir Next"/>
                          <w:color w:val="EEF8FE"/>
                          <w:spacing w:val="-1"/>
                          <w:sz w:val="20"/>
                          <w:szCs w:val="20"/>
                        </w:rPr>
                        <w:t>Report</w:t>
                      </w:r>
                    </w:p>
                  </w:txbxContent>
                </v:textbox>
              </v:shape>
            </v:group>
            <w10:wrap anchorx="page" anchory="page"/>
          </v:group>
        </w:pict>
      </w:r>
    </w:p>
    <w:sectPr w:rsidR="00D96B91" w:rsidSect="00D96B91">
      <w:footerReference w:type="even" r:id="rId158"/>
      <w:pgSz w:w="11910" w:h="16840"/>
      <w:pgMar w:top="158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9D5" w:rsidRDefault="008A79D5" w:rsidP="00D96B91">
      <w:r>
        <w:separator/>
      </w:r>
    </w:p>
  </w:endnote>
  <w:endnote w:type="continuationSeparator" w:id="0">
    <w:p w:rsidR="008A79D5" w:rsidRDefault="008A79D5" w:rsidP="00D96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venir Next Medium">
    <w:altName w:val="Times New Roman"/>
    <w:charset w:val="00"/>
    <w:family w:val="auto"/>
    <w:pitch w:val="default"/>
    <w:sig w:usb0="00000000" w:usb1="00000000" w:usb2="00000000" w:usb3="00000000" w:csb0="00000000" w:csb1="00000000"/>
  </w:font>
  <w:font w:name="Avenir Next">
    <w:altName w:val="Times New Roman"/>
    <w:charset w:val="00"/>
    <w:family w:val="auto"/>
    <w:pitch w:val="default"/>
    <w:sig w:usb0="00000000" w:usb1="00000000" w:usb2="00000000" w:usb3="00000000" w:csb0="00000000" w:csb1="00000000"/>
  </w:font>
  <w:font w:name="Avenir Next Condensed">
    <w:altName w:val="Avenir Next Condensed"/>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Hebrew">
    <w:altName w:val="Times New Roman"/>
    <w:charset w:val="00"/>
    <w:family w:val="roman"/>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96" style="position:absolute;margin-left:0;margin-top:789.45pt;width:595.3pt;height:52.45pt;z-index:-508936;mso-position-horizontal-relative:page;mso-position-vertical-relative:page" coordorigin=",15789" coordsize="11906,1049">
          <v:group id="_x0000_s2397" style="position:absolute;top:15789;width:11906;height:1049" coordorigin=",15789" coordsize="11906,1049">
            <v:shape id="_x0000_s2399"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8"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95" type="#_x0000_t202" style="position:absolute;margin-left:32.65pt;margin-top:801.75pt;width:11.4pt;height:12pt;z-index:-508912;mso-position-horizontal-relative:page;mso-position-vertical-relative:page" filled="f" stroked="f">
          <v:textbox style="mso-next-textbox:#_x0000_s2395"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4</w:t>
                </w:r>
                <w:r>
                  <w:fldChar w:fldCharType="end"/>
                </w:r>
              </w:p>
            </w:txbxContent>
          </v:textbox>
          <w10:wrap anchorx="page" anchory="page"/>
        </v:shape>
      </w:pict>
    </w:r>
    <w:r w:rsidRPr="00D96B91">
      <w:pict>
        <v:shape id="_x0000_s2394" type="#_x0000_t202" style="position:absolute;margin-left:61.05pt;margin-top:801.75pt;width:316.85pt;height:12pt;z-index:-508888;mso-position-horizontal-relative:page;mso-position-vertical-relative:page" filled="f" stroked="f">
          <v:textbox style="mso-next-textbox:#_x0000_s2394"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68" style="position:absolute;margin-left:.15pt;margin-top:789.45pt;width:595.15pt;height:52.45pt;z-index:-508624;mso-position-horizontal-relative:page;mso-position-vertical-relative:page" coordorigin="3,15789" coordsize="11903,1049">
          <v:group id="_x0000_s2369" style="position:absolute;left:3;top:15789;width:11903;height:1049" coordorigin="3,15789" coordsize="11903,1049">
            <v:shape id="_x0000_s237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67" type="#_x0000_t202" style="position:absolute;margin-left:365.15pt;margin-top:801.75pt;width:167.9pt;height:12pt;z-index:-508600;mso-position-horizontal-relative:page;mso-position-vertical-relative:page" filled="f" stroked="f">
          <v:textbox style="mso-next-textbox:#_x0000_s2367" inset="0,0,0,0">
            <w:txbxContent>
              <w:p w:rsidR="008A79D5" w:rsidRDefault="008A79D5">
                <w:pPr>
                  <w:pStyle w:val="BodyText"/>
                  <w:spacing w:line="240" w:lineRule="exact"/>
                  <w:ind w:left="20"/>
                  <w:rPr>
                    <w:rFonts w:cs="Avenir Next"/>
                  </w:rPr>
                </w:pPr>
                <w:r>
                  <w:rPr>
                    <w:color w:val="EEF8FE"/>
                    <w:spacing w:val="-1"/>
                  </w:rPr>
                  <w:t>Introduction</w:t>
                </w:r>
                <w:r>
                  <w:rPr>
                    <w:color w:val="EEF8FE"/>
                  </w:rPr>
                  <w:t xml:space="preserve"> and </w:t>
                </w:r>
                <w:r>
                  <w:rPr>
                    <w:color w:val="EEF8FE"/>
                    <w:spacing w:val="-1"/>
                  </w:rPr>
                  <w:t>executive</w:t>
                </w:r>
                <w:r>
                  <w:rPr>
                    <w:color w:val="EEF8FE"/>
                  </w:rPr>
                  <w:t xml:space="preserve"> summary</w:t>
                </w:r>
              </w:p>
            </w:txbxContent>
          </v:textbox>
          <w10:wrap anchorx="page" anchory="page"/>
        </v:shape>
      </w:pict>
    </w:r>
    <w:r w:rsidRPr="00D96B91">
      <w:pict>
        <v:shape id="_x0000_s2366" type="#_x0000_t202" style="position:absolute;margin-left:551.6pt;margin-top:801.75pt;width:9.85pt;height:12.05pt;z-index:-508576;mso-position-horizontal-relative:page;mso-position-vertical-relative:page" filled="f" stroked="f">
          <v:textbox style="mso-next-textbox:#_x0000_s2366"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50" style="position:absolute;margin-left:0;margin-top:789.45pt;width:595.3pt;height:52.45pt;z-index:-508408;mso-position-horizontal-relative:page;mso-position-vertical-relative:page" coordorigin=",15789" coordsize="11906,1049">
          <v:group id="_x0000_s2351" style="position:absolute;top:15789;width:11906;height:1049" coordorigin=",15789" coordsize="11906,1049">
            <v:shape id="_x0000_s2353"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2"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49" type="#_x0000_t202" style="position:absolute;margin-left:32.65pt;margin-top:801.75pt;width:15.6pt;height:12pt;z-index:-508384;mso-position-horizontal-relative:page;mso-position-vertical-relative:page" filled="f" stroked="f">
          <v:textbox style="mso-next-textbox:#_x0000_s2349"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12</w:t>
                </w:r>
                <w:r>
                  <w:fldChar w:fldCharType="end"/>
                </w:r>
              </w:p>
            </w:txbxContent>
          </v:textbox>
          <w10:wrap anchorx="page" anchory="page"/>
        </v:shape>
      </w:pict>
    </w:r>
    <w:r w:rsidRPr="00D96B91">
      <w:pict>
        <v:shape id="_x0000_s2348" type="#_x0000_t202" style="position:absolute;margin-left:61.05pt;margin-top:801.75pt;width:316.85pt;height:12pt;z-index:-508360;mso-position-horizontal-relative:page;mso-position-vertical-relative:page" filled="f" stroked="f">
          <v:textbox style="mso-next-textbox:#_x0000_s2348"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56" style="position:absolute;margin-left:.15pt;margin-top:789.45pt;width:595.15pt;height:52.45pt;z-index:-508480;mso-position-horizontal-relative:page;mso-position-vertical-relative:page" coordorigin="3,15789" coordsize="11903,1049">
          <v:group id="_x0000_s2357" style="position:absolute;left:3;top:15789;width:11903;height:1049" coordorigin="3,15789" coordsize="11903,1049">
            <v:shape id="_x0000_s2359"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8"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55" type="#_x0000_t202" style="position:absolute;margin-left:365.15pt;margin-top:801.75pt;width:167.9pt;height:12pt;z-index:-508456;mso-position-horizontal-relative:page;mso-position-vertical-relative:page" filled="f" stroked="f">
          <v:textbox style="mso-next-textbox:#_x0000_s2355" inset="0,0,0,0">
            <w:txbxContent>
              <w:p w:rsidR="008A79D5" w:rsidRDefault="008A79D5">
                <w:pPr>
                  <w:pStyle w:val="BodyText"/>
                  <w:spacing w:line="240" w:lineRule="exact"/>
                  <w:ind w:left="20"/>
                  <w:rPr>
                    <w:rFonts w:cs="Avenir Next"/>
                  </w:rPr>
                </w:pPr>
                <w:r>
                  <w:rPr>
                    <w:color w:val="EEF8FE"/>
                    <w:spacing w:val="-1"/>
                  </w:rPr>
                  <w:t>Introduction</w:t>
                </w:r>
                <w:r>
                  <w:rPr>
                    <w:color w:val="EEF8FE"/>
                  </w:rPr>
                  <w:t xml:space="preserve"> and </w:t>
                </w:r>
                <w:r>
                  <w:rPr>
                    <w:color w:val="EEF8FE"/>
                    <w:spacing w:val="-1"/>
                  </w:rPr>
                  <w:t>executive</w:t>
                </w:r>
                <w:r>
                  <w:rPr>
                    <w:color w:val="EEF8FE"/>
                  </w:rPr>
                  <w:t xml:space="preserve"> summary</w:t>
                </w:r>
              </w:p>
            </w:txbxContent>
          </v:textbox>
          <w10:wrap anchorx="page" anchory="page"/>
        </v:shape>
      </w:pict>
    </w:r>
    <w:r w:rsidRPr="00D96B91">
      <w:pict>
        <v:shape id="_x0000_s2354" type="#_x0000_t202" style="position:absolute;margin-left:546.8pt;margin-top:801.75pt;width:13.6pt;height:12pt;z-index:-508432;mso-position-horizontal-relative:page;mso-position-vertical-relative:page" filled="f" stroked="f">
          <v:textbox style="mso-next-textbox:#_x0000_s2354" inset="0,0,0,0">
            <w:txbxContent>
              <w:p w:rsidR="008A79D5" w:rsidRDefault="008A79D5">
                <w:pPr>
                  <w:pStyle w:val="BodyText"/>
                  <w:spacing w:line="240" w:lineRule="exact"/>
                  <w:ind w:left="20"/>
                  <w:rPr>
                    <w:rFonts w:cs="Avenir Next"/>
                  </w:rPr>
                </w:pPr>
                <w:r>
                  <w:rPr>
                    <w:color w:val="EEF8FE"/>
                  </w:rPr>
                  <w:t>11</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44" style="position:absolute;margin-left:.15pt;margin-top:789.45pt;width:595.15pt;height:52.45pt;z-index:-508336;mso-position-horizontal-relative:page;mso-position-vertical-relative:page" coordorigin="3,15789" coordsize="11903,1049">
          <v:group id="_x0000_s2345" style="position:absolute;left:3;top:15789;width:11903;height:1049" coordorigin="3,15789" coordsize="11903,1049">
            <v:shape id="_x0000_s2347"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6"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43" type="#_x0000_t202" style="position:absolute;margin-left:365.15pt;margin-top:801.75pt;width:167.9pt;height:12pt;z-index:-508312;mso-position-horizontal-relative:page;mso-position-vertical-relative:page" filled="f" stroked="f">
          <v:textbox style="mso-next-textbox:#_x0000_s2343" inset="0,0,0,0">
            <w:txbxContent>
              <w:p w:rsidR="008A79D5" w:rsidRDefault="008A79D5">
                <w:pPr>
                  <w:pStyle w:val="BodyText"/>
                  <w:spacing w:line="240" w:lineRule="exact"/>
                  <w:ind w:left="20"/>
                  <w:rPr>
                    <w:rFonts w:cs="Avenir Next"/>
                  </w:rPr>
                </w:pPr>
                <w:r>
                  <w:rPr>
                    <w:color w:val="EEF8FE"/>
                    <w:spacing w:val="-1"/>
                  </w:rPr>
                  <w:t>Introduction</w:t>
                </w:r>
                <w:r>
                  <w:rPr>
                    <w:color w:val="EEF8FE"/>
                  </w:rPr>
                  <w:t xml:space="preserve"> and </w:t>
                </w:r>
                <w:r>
                  <w:rPr>
                    <w:color w:val="EEF8FE"/>
                    <w:spacing w:val="-1"/>
                  </w:rPr>
                  <w:t>executive</w:t>
                </w:r>
                <w:r>
                  <w:rPr>
                    <w:color w:val="EEF8FE"/>
                  </w:rPr>
                  <w:t xml:space="preserve"> summary</w:t>
                </w:r>
              </w:p>
            </w:txbxContent>
          </v:textbox>
          <w10:wrap anchorx="page" anchory="page"/>
        </v:shape>
      </w:pict>
    </w:r>
    <w:r w:rsidRPr="00D96B91">
      <w:pict>
        <v:shape id="_x0000_s2342" type="#_x0000_t202" style="position:absolute;margin-left:546.8pt;margin-top:801.75pt;width:13.6pt;height:12pt;z-index:-508288;mso-position-horizontal-relative:page;mso-position-vertical-relative:page" filled="f" stroked="f">
          <v:textbox style="mso-next-textbox:#_x0000_s2342" inset="0,0,0,0">
            <w:txbxContent>
              <w:p w:rsidR="008A79D5" w:rsidRDefault="008A79D5">
                <w:pPr>
                  <w:pStyle w:val="BodyText"/>
                  <w:spacing w:line="240" w:lineRule="exact"/>
                  <w:ind w:left="20"/>
                </w:pPr>
                <w:r>
                  <w:rPr>
                    <w:color w:val="EEF8FE"/>
                  </w:rPr>
                  <w:t>13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32" style="position:absolute;margin-left:0;margin-top:789.45pt;width:595.3pt;height:52.45pt;z-index:-508192;mso-position-horizontal-relative:page;mso-position-vertical-relative:page" coordorigin=",15789" coordsize="11906,1049">
          <v:group id="_x0000_s2333" style="position:absolute;top:15789;width:11906;height:1049" coordorigin=",15789" coordsize="11906,1049">
            <v:shape id="_x0000_s2335"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4"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31" type="#_x0000_t202" style="position:absolute;margin-left:32.65pt;margin-top:801.75pt;width:15.6pt;height:12pt;z-index:-508168;mso-position-horizontal-relative:page;mso-position-vertical-relative:page" filled="f" stroked="f">
          <v:textbox style="mso-next-textbox:#_x0000_s2331"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18</w:t>
                </w:r>
                <w:r>
                  <w:fldChar w:fldCharType="end"/>
                </w:r>
              </w:p>
            </w:txbxContent>
          </v:textbox>
          <w10:wrap anchorx="page" anchory="page"/>
        </v:shape>
      </w:pict>
    </w:r>
    <w:r w:rsidRPr="00D96B91">
      <w:pict>
        <v:shape id="_x0000_s2330" type="#_x0000_t202" style="position:absolute;margin-left:61.05pt;margin-top:801.75pt;width:316.85pt;height:12pt;z-index:-508144;mso-position-horizontal-relative:page;mso-position-vertical-relative:page" filled="f" stroked="f">
          <v:textbox style="mso-next-textbox:#_x0000_s2330"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38" style="position:absolute;margin-left:.15pt;margin-top:789.45pt;width:595.15pt;height:52.45pt;z-index:-508264;mso-position-horizontal-relative:page;mso-position-vertical-relative:page" coordorigin="3,15789" coordsize="11903,1049">
          <v:group id="_x0000_s2339" style="position:absolute;left:3;top:15789;width:11903;height:1049" coordorigin="3,15789" coordsize="11903,1049">
            <v:shape id="_x0000_s234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37" type="#_x0000_t202" style="position:absolute;margin-left:318.9pt;margin-top:801.75pt;width:214.15pt;height:12pt;z-index:-508240;mso-position-horizontal-relative:page;mso-position-vertical-relative:page" filled="f" stroked="f">
          <v:textbox style="mso-next-textbox:#_x0000_s2337" inset="0,0,0,0">
            <w:txbxContent>
              <w:p w:rsidR="008A79D5" w:rsidRDefault="008A79D5">
                <w:pPr>
                  <w:pStyle w:val="BodyText"/>
                  <w:spacing w:line="240" w:lineRule="exact"/>
                  <w:ind w:left="20"/>
                  <w:rPr>
                    <w:rFonts w:cs="Avenir Next"/>
                  </w:rPr>
                </w:pPr>
                <w:r>
                  <w:rPr>
                    <w:rFonts w:cs="Avenir Next"/>
                    <w:color w:val="EEF8FE"/>
                    <w:spacing w:val="-4"/>
                  </w:rPr>
                  <w:t>Panel’s</w:t>
                </w:r>
                <w:r>
                  <w:rPr>
                    <w:rFonts w:cs="Avenir Next"/>
                    <w:color w:val="EEF8FE"/>
                  </w:rPr>
                  <w:t xml:space="preserve"> </w:t>
                </w:r>
                <w:r>
                  <w:rPr>
                    <w:rFonts w:cs="Avenir Next"/>
                    <w:color w:val="EEF8FE"/>
                    <w:spacing w:val="-1"/>
                  </w:rPr>
                  <w:t>review</w:t>
                </w:r>
                <w:r>
                  <w:rPr>
                    <w:rFonts w:cs="Avenir Next"/>
                    <w:color w:val="EEF8FE"/>
                  </w:rPr>
                  <w:t xml:space="preserve"> </w:t>
                </w:r>
                <w:r>
                  <w:rPr>
                    <w:rFonts w:cs="Avenir Next"/>
                    <w:color w:val="EEF8FE"/>
                    <w:spacing w:val="-1"/>
                  </w:rPr>
                  <w:t>process</w:t>
                </w:r>
                <w:r>
                  <w:rPr>
                    <w:rFonts w:cs="Avenir Next"/>
                    <w:color w:val="EEF8FE"/>
                  </w:rPr>
                  <w:t xml:space="preserve"> and analytical </w:t>
                </w:r>
                <w:r>
                  <w:rPr>
                    <w:rFonts w:cs="Avenir Next"/>
                    <w:color w:val="EEF8FE"/>
                    <w:spacing w:val="-1"/>
                  </w:rPr>
                  <w:t>approach</w:t>
                </w:r>
              </w:p>
            </w:txbxContent>
          </v:textbox>
          <w10:wrap anchorx="page" anchory="page"/>
        </v:shape>
      </w:pict>
    </w:r>
    <w:r w:rsidRPr="00D96B91">
      <w:pict>
        <v:shape id="_x0000_s2336" type="#_x0000_t202" style="position:absolute;margin-left:545.8pt;margin-top:801.75pt;width:15.6pt;height:12pt;z-index:-508216;mso-position-horizontal-relative:page;mso-position-vertical-relative:page" filled="f" stroked="f">
          <v:textbox style="mso-next-textbox:#_x0000_s2336"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19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20" style="position:absolute;margin-left:0;margin-top:789.45pt;width:595.3pt;height:52.45pt;z-index:-508048;mso-position-horizontal-relative:page;mso-position-vertical-relative:page" coordorigin=",15789" coordsize="11906,1049">
          <v:group id="_x0000_s2321" style="position:absolute;top:15789;width:11906;height:1049" coordorigin=",15789" coordsize="11906,1049">
            <v:shape id="_x0000_s2323"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2"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19" type="#_x0000_t202" style="position:absolute;margin-left:32.65pt;margin-top:801.75pt;width:15.65pt;height:12.05pt;z-index:-508024;mso-position-horizontal-relative:page;mso-position-vertical-relative:page" filled="f" stroked="f">
          <v:textbox style="mso-next-textbox:#_x0000_s2319"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28</w:t>
                </w:r>
                <w:r>
                  <w:fldChar w:fldCharType="end"/>
                </w:r>
              </w:p>
            </w:txbxContent>
          </v:textbox>
          <w10:wrap anchorx="page" anchory="page"/>
        </v:shape>
      </w:pict>
    </w:r>
    <w:r w:rsidRPr="00D96B91">
      <w:pict>
        <v:shape id="_x0000_s2318" type="#_x0000_t202" style="position:absolute;margin-left:61.05pt;margin-top:801.75pt;width:316.85pt;height:12pt;z-index:-508000;mso-position-horizontal-relative:page;mso-position-vertical-relative:page" filled="f" stroked="f">
          <v:textbox style="mso-next-textbox:#_x0000_s2318"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26" style="position:absolute;margin-left:.15pt;margin-top:789.45pt;width:595.15pt;height:52.45pt;z-index:-508120;mso-position-horizontal-relative:page;mso-position-vertical-relative:page" coordorigin="3,15789" coordsize="11903,1049">
          <v:group id="_x0000_s2327" style="position:absolute;left:3;top:15789;width:11903;height:1049" coordorigin="3,15789" coordsize="11903,1049">
            <v:shape id="_x0000_s2329"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8"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25" type="#_x0000_t202" style="position:absolute;margin-left:430.6pt;margin-top:801.75pt;width:102.45pt;height:12pt;z-index:-508096;mso-position-horizontal-relative:page;mso-position-vertical-relative:page" filled="f" stroked="f">
          <v:textbox style="mso-next-textbox:#_x0000_s2325" inset="0,0,0,0">
            <w:txbxContent>
              <w:p w:rsidR="008A79D5" w:rsidRDefault="008A79D5">
                <w:pPr>
                  <w:pStyle w:val="BodyText"/>
                  <w:spacing w:line="240" w:lineRule="exact"/>
                  <w:ind w:left="20"/>
                  <w:rPr>
                    <w:rFonts w:cs="Avenir Next"/>
                  </w:rPr>
                </w:pPr>
                <w:r>
                  <w:rPr>
                    <w:color w:val="EEF8FE"/>
                    <w:spacing w:val="-1"/>
                  </w:rPr>
                  <w:t>Context</w:t>
                </w:r>
                <w:r>
                  <w:rPr>
                    <w:color w:val="EEF8FE"/>
                  </w:rPr>
                  <w:t xml:space="preserve"> for the </w:t>
                </w:r>
                <w:r>
                  <w:rPr>
                    <w:color w:val="EEF8FE"/>
                    <w:spacing w:val="-1"/>
                  </w:rPr>
                  <w:t>review</w:t>
                </w:r>
              </w:p>
            </w:txbxContent>
          </v:textbox>
          <w10:wrap anchorx="page" anchory="page"/>
        </v:shape>
      </w:pict>
    </w:r>
    <w:r w:rsidRPr="00D96B91">
      <w:pict>
        <v:shape id="_x0000_s2324" type="#_x0000_t202" style="position:absolute;margin-left:545.8pt;margin-top:801.75pt;width:15.6pt;height:12pt;z-index:-508072;mso-position-horizontal-relative:page;mso-position-vertical-relative:page" filled="f" stroked="f">
          <v:textbox style="mso-next-textbox:#_x0000_s2324"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27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401" style="position:absolute;margin-left:.15pt;margin-top:789.45pt;width:595.15pt;height:52.45pt;z-index:-508984;mso-position-horizontal-relative:page;mso-position-vertical-relative:page" coordorigin="3,15789" coordsize="11903,1049">
          <v:group id="_x0000_s2402" style="position:absolute;left:3;top:15789;width:11903;height:1049" coordorigin="3,15789" coordsize="11903,1049">
            <v:shape id="_x0000_s2404"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03"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400" type="#_x0000_t202" style="position:absolute;margin-left:555.9pt;margin-top:801.75pt;width:4.5pt;height:12pt;z-index:-508960;mso-position-horizontal-relative:page;mso-position-vertical-relative:page" filled="f" stroked="f">
          <v:textbox style="mso-next-textbox:#_x0000_s2400" inset="0,0,0,0">
            <w:txbxContent>
              <w:p w:rsidR="008A79D5" w:rsidRDefault="008A79D5">
                <w:pPr>
                  <w:pStyle w:val="BodyText"/>
                  <w:spacing w:line="240" w:lineRule="exact"/>
                  <w:ind w:left="20"/>
                  <w:rPr>
                    <w:rFonts w:cs="Avenir Next"/>
                  </w:rPr>
                </w:pPr>
                <w:r>
                  <w:rPr>
                    <w:color w:val="EEF8FE"/>
                  </w:rPr>
                  <w:t>i</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08" style="position:absolute;margin-left:0;margin-top:789.45pt;width:595.3pt;height:52.45pt;z-index:-507904;mso-position-horizontal-relative:page;mso-position-vertical-relative:page" coordorigin=",15789" coordsize="11906,1049">
          <v:group id="_x0000_s2309" style="position:absolute;top:15789;width:11906;height:1049" coordorigin=",15789" coordsize="11906,1049">
            <v:shape id="_x0000_s231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07" type="#_x0000_t202" style="position:absolute;margin-left:32.65pt;margin-top:801.75pt;width:15.6pt;height:12pt;z-index:-507880;mso-position-horizontal-relative:page;mso-position-vertical-relative:page" filled="f" stroked="f">
          <v:textbox style="mso-next-textbox:#_x0000_s2307"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32</w:t>
                </w:r>
                <w:r>
                  <w:fldChar w:fldCharType="end"/>
                </w:r>
              </w:p>
            </w:txbxContent>
          </v:textbox>
          <w10:wrap anchorx="page" anchory="page"/>
        </v:shape>
      </w:pict>
    </w:r>
    <w:r w:rsidRPr="00D96B91">
      <w:pict>
        <v:shape id="_x0000_s2306" type="#_x0000_t202" style="position:absolute;margin-left:61.05pt;margin-top:801.75pt;width:316.85pt;height:12pt;z-index:-507856;mso-position-horizontal-relative:page;mso-position-vertical-relative:page" filled="f" stroked="f">
          <v:textbox style="mso-next-textbox:#_x0000_s2306"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14" style="position:absolute;margin-left:.15pt;margin-top:789.45pt;width:595.15pt;height:52.45pt;z-index:-507976;mso-position-horizontal-relative:page;mso-position-vertical-relative:page" coordorigin="3,15789" coordsize="11903,1049">
          <v:group id="_x0000_s2315" style="position:absolute;left:3;top:15789;width:11903;height:1049" coordorigin="3,15789" coordsize="11903,1049">
            <v:shape id="_x0000_s2317"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6"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13" type="#_x0000_t202" style="position:absolute;margin-left:167.2pt;margin-top:801.75pt;width:365.85pt;height:12pt;z-index:-507952;mso-position-horizontal-relative:page;mso-position-vertical-relative:page" filled="f" stroked="f">
          <v:textbox style="mso-next-textbox:#_x0000_s2313" inset="0,0,0,0">
            <w:txbxContent>
              <w:p w:rsidR="008A79D5" w:rsidRDefault="008A79D5">
                <w:pPr>
                  <w:pStyle w:val="BodyText"/>
                  <w:spacing w:line="240" w:lineRule="exact"/>
                  <w:ind w:left="20"/>
                  <w:rPr>
                    <w:rFonts w:cs="Avenir Next"/>
                  </w:rPr>
                </w:pPr>
                <w:r>
                  <w:rPr>
                    <w:color w:val="EEF8FE"/>
                  </w:rPr>
                  <w:t xml:space="preserve">Understanding the </w:t>
                </w:r>
                <w:r>
                  <w:rPr>
                    <w:color w:val="EEF8FE"/>
                    <w:spacing w:val="-1"/>
                  </w:rPr>
                  <w:t>regulatory</w:t>
                </w:r>
                <w:r>
                  <w:rPr>
                    <w:color w:val="EEF8FE"/>
                  </w:rPr>
                  <w:t xml:space="preserve"> </w:t>
                </w:r>
                <w:r>
                  <w:rPr>
                    <w:color w:val="EEF8FE"/>
                    <w:spacing w:val="-1"/>
                  </w:rPr>
                  <w:t>framework</w:t>
                </w:r>
                <w:r>
                  <w:rPr>
                    <w:color w:val="EEF8FE"/>
                  </w:rPr>
                  <w:t xml:space="preserve"> and best </w:t>
                </w:r>
                <w:r>
                  <w:rPr>
                    <w:color w:val="EEF8FE"/>
                    <w:spacing w:val="-1"/>
                  </w:rPr>
                  <w:t>practice</w:t>
                </w:r>
                <w:r>
                  <w:rPr>
                    <w:color w:val="EEF8FE"/>
                  </w:rPr>
                  <w:t xml:space="preserve"> </w:t>
                </w:r>
                <w:r>
                  <w:rPr>
                    <w:color w:val="EEF8FE"/>
                    <w:spacing w:val="-1"/>
                  </w:rPr>
                  <w:t>regulatory</w:t>
                </w:r>
                <w:r>
                  <w:rPr>
                    <w:color w:val="EEF8FE"/>
                  </w:rPr>
                  <w:t xml:space="preserve"> principles</w:t>
                </w:r>
              </w:p>
            </w:txbxContent>
          </v:textbox>
          <w10:wrap anchorx="page" anchory="page"/>
        </v:shape>
      </w:pict>
    </w:r>
    <w:r w:rsidRPr="00D96B91">
      <w:pict>
        <v:shape id="_x0000_s2312" type="#_x0000_t202" style="position:absolute;margin-left:545.8pt;margin-top:801.75pt;width:15.6pt;height:12pt;z-index:-507928;mso-position-horizontal-relative:page;mso-position-vertical-relative:page" filled="f" stroked="f">
          <v:textbox style="mso-next-textbox:#_x0000_s2312"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33</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96" style="position:absolute;margin-left:0;margin-top:789.45pt;width:595.3pt;height:52.45pt;z-index:-507760;mso-position-horizontal-relative:page;mso-position-vertical-relative:page" coordorigin=",15789" coordsize="11906,1049">
          <v:group id="_x0000_s2297" style="position:absolute;top:15789;width:11906;height:1049" coordorigin=",15789" coordsize="11906,1049">
            <v:shape id="_x0000_s2299"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8"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95" type="#_x0000_t202" style="position:absolute;margin-left:32.65pt;margin-top:801.75pt;width:15.65pt;height:12.05pt;z-index:-507736;mso-position-horizontal-relative:page;mso-position-vertical-relative:page" filled="f" stroked="f">
          <v:textbox style="mso-next-textbox:#_x0000_s2295"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40</w:t>
                </w:r>
                <w:r>
                  <w:fldChar w:fldCharType="end"/>
                </w:r>
              </w:p>
            </w:txbxContent>
          </v:textbox>
          <w10:wrap anchorx="page" anchory="page"/>
        </v:shape>
      </w:pict>
    </w:r>
    <w:r w:rsidRPr="00D96B91">
      <w:pict>
        <v:shape id="_x0000_s2294" type="#_x0000_t202" style="position:absolute;margin-left:61.05pt;margin-top:801.75pt;width:316.85pt;height:12pt;z-index:-507712;mso-position-horizontal-relative:page;mso-position-vertical-relative:page" filled="f" stroked="f">
          <v:textbox style="mso-next-textbox:#_x0000_s2294"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02" style="position:absolute;margin-left:.15pt;margin-top:789.45pt;width:595.15pt;height:52.45pt;z-index:-507832;mso-position-horizontal-relative:page;mso-position-vertical-relative:page" coordorigin="3,15789" coordsize="11903,1049">
          <v:group id="_x0000_s2303" style="position:absolute;left:3;top:15789;width:11903;height:1049" coordorigin="3,15789" coordsize="11903,1049">
            <v:shape id="_x0000_s2305"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4"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01" type="#_x0000_t202" style="position:absolute;margin-left:364.9pt;margin-top:801.75pt;width:168.15pt;height:12pt;z-index:-507808;mso-position-horizontal-relative:page;mso-position-vertical-relative:page" filled="f" stroked="f">
          <v:textbox style="mso-next-textbox:#_x0000_s2301" inset="0,0,0,0">
            <w:txbxContent>
              <w:p w:rsidR="008A79D5" w:rsidRDefault="008A79D5">
                <w:pPr>
                  <w:pStyle w:val="BodyText"/>
                  <w:spacing w:line="240" w:lineRule="exact"/>
                  <w:ind w:left="20"/>
                  <w:rPr>
                    <w:rFonts w:cs="Avenir Next"/>
                  </w:rPr>
                </w:pPr>
                <w:r>
                  <w:rPr>
                    <w:color w:val="EEF8FE"/>
                  </w:rPr>
                  <w:t>Determining the scope of</w:t>
                </w:r>
                <w:r>
                  <w:rPr>
                    <w:color w:val="EEF8FE"/>
                    <w:spacing w:val="4"/>
                  </w:rPr>
                  <w:t xml:space="preserve"> </w:t>
                </w:r>
                <w:r>
                  <w:rPr>
                    <w:color w:val="EEF8FE"/>
                  </w:rPr>
                  <w:t xml:space="preserve">the </w:t>
                </w:r>
                <w:r>
                  <w:rPr>
                    <w:color w:val="EEF8FE"/>
                    <w:spacing w:val="-1"/>
                  </w:rPr>
                  <w:t>review</w:t>
                </w:r>
              </w:p>
            </w:txbxContent>
          </v:textbox>
          <w10:wrap anchorx="page" anchory="page"/>
        </v:shape>
      </w:pict>
    </w:r>
    <w:r w:rsidRPr="00D96B91">
      <w:pict>
        <v:shape id="_x0000_s2300" type="#_x0000_t202" style="position:absolute;margin-left:545.8pt;margin-top:801.75pt;width:15.6pt;height:12pt;z-index:-507784;mso-position-horizontal-relative:page;mso-position-vertical-relative:page" filled="f" stroked="f">
          <v:textbox style="mso-next-textbox:#_x0000_s2300"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39</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84" style="position:absolute;margin-left:0;margin-top:789.45pt;width:595.3pt;height:52.45pt;z-index:-507616;mso-position-horizontal-relative:page;mso-position-vertical-relative:page" coordorigin=",15789" coordsize="11906,1049">
          <v:group id="_x0000_s2285" style="position:absolute;top:15789;width:11906;height:1049" coordorigin=",15789" coordsize="11906,1049">
            <v:shape id="_x0000_s2287"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6"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83" type="#_x0000_t202" style="position:absolute;margin-left:32.65pt;margin-top:801.75pt;width:15.6pt;height:12pt;z-index:-507592;mso-position-horizontal-relative:page;mso-position-vertical-relative:page" filled="f" stroked="f">
          <v:textbox style="mso-next-textbox:#_x0000_s2283"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60</w:t>
                </w:r>
                <w:r>
                  <w:fldChar w:fldCharType="end"/>
                </w:r>
              </w:p>
            </w:txbxContent>
          </v:textbox>
          <w10:wrap anchorx="page" anchory="page"/>
        </v:shape>
      </w:pict>
    </w:r>
    <w:r w:rsidRPr="00D96B91">
      <w:pict>
        <v:shape id="_x0000_s2282" type="#_x0000_t202" style="position:absolute;margin-left:61.05pt;margin-top:801.75pt;width:316.85pt;height:12pt;z-index:-507568;mso-position-horizontal-relative:page;mso-position-vertical-relative:page" filled="f" stroked="f">
          <v:textbox style="mso-next-textbox:#_x0000_s2282"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90" style="position:absolute;margin-left:.15pt;margin-top:789.45pt;width:595.15pt;height:52.45pt;z-index:-507688;mso-position-horizontal-relative:page;mso-position-vertical-relative:page" coordorigin="3,15789" coordsize="11903,1049">
          <v:group id="_x0000_s2291" style="position:absolute;left:3;top:15789;width:11903;height:1049" coordorigin="3,15789" coordsize="11903,1049">
            <v:shape id="_x0000_s2293"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89" type="#_x0000_t202" style="position:absolute;margin-left:217.85pt;margin-top:801.75pt;width:315.2pt;height:12pt;z-index:-507664;mso-position-horizontal-relative:page;mso-position-vertical-relative:page" filled="f" stroked="f">
          <v:textbox style="mso-next-textbox:#_x0000_s2289" inset="0,0,0,0">
            <w:txbxContent>
              <w:p w:rsidR="008A79D5" w:rsidRDefault="008A79D5">
                <w:pPr>
                  <w:pStyle w:val="BodyText"/>
                  <w:spacing w:line="240" w:lineRule="exact"/>
                  <w:ind w:left="20"/>
                  <w:rPr>
                    <w:rFonts w:cs="Avenir Next"/>
                  </w:rPr>
                </w:pPr>
                <w:r>
                  <w:rPr>
                    <w:color w:val="EEF8FE"/>
                    <w:spacing w:val="-1"/>
                  </w:rPr>
                  <w:t>Regulatory</w:t>
                </w:r>
                <w:r>
                  <w:rPr>
                    <w:color w:val="EEF8FE"/>
                  </w:rPr>
                  <w:t xml:space="preserve"> period,</w:t>
                </w:r>
                <w:r>
                  <w:rPr>
                    <w:color w:val="EEF8FE"/>
                    <w:spacing w:val="-6"/>
                  </w:rPr>
                  <w:t xml:space="preserve"> </w:t>
                </w:r>
                <w:r>
                  <w:rPr>
                    <w:color w:val="EEF8FE"/>
                  </w:rPr>
                  <w:t>form of</w:t>
                </w:r>
                <w:r>
                  <w:rPr>
                    <w:color w:val="EEF8FE"/>
                    <w:spacing w:val="4"/>
                  </w:rPr>
                  <w:t xml:space="preserve"> </w:t>
                </w:r>
                <w:r>
                  <w:rPr>
                    <w:color w:val="EEF8FE"/>
                    <w:spacing w:val="-1"/>
                  </w:rPr>
                  <w:t>control</w:t>
                </w:r>
                <w:r>
                  <w:rPr>
                    <w:color w:val="EEF8FE"/>
                  </w:rPr>
                  <w:t xml:space="preserve"> and other risk </w:t>
                </w:r>
                <w:r>
                  <w:rPr>
                    <w:color w:val="EEF8FE"/>
                    <w:spacing w:val="-1"/>
                  </w:rPr>
                  <w:t>allocation</w:t>
                </w:r>
                <w:r>
                  <w:rPr>
                    <w:color w:val="EEF8FE"/>
                  </w:rPr>
                  <w:t xml:space="preserve"> </w:t>
                </w:r>
                <w:r>
                  <w:rPr>
                    <w:color w:val="EEF8FE"/>
                    <w:spacing w:val="-1"/>
                  </w:rPr>
                  <w:t>measures</w:t>
                </w:r>
              </w:p>
            </w:txbxContent>
          </v:textbox>
          <w10:wrap anchorx="page" anchory="page"/>
        </v:shape>
      </w:pict>
    </w:r>
    <w:r w:rsidRPr="00D96B91">
      <w:pict>
        <v:shape id="_x0000_s2288" type="#_x0000_t202" style="position:absolute;margin-left:545.8pt;margin-top:801.75pt;width:15.65pt;height:12pt;z-index:-507640;mso-position-horizontal-relative:page;mso-position-vertical-relative:page" filled="f" stroked="f">
          <v:textbox style="mso-next-textbox:#_x0000_s2288"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61</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72" style="position:absolute;margin-left:0;margin-top:789.45pt;width:595.3pt;height:52.45pt;z-index:-507472;mso-position-horizontal-relative:page;mso-position-vertical-relative:page" coordorigin=",15789" coordsize="11906,1049">
          <v:group id="_x0000_s2273" style="position:absolute;top:15789;width:11906;height:1049" coordorigin=",15789" coordsize="11906,1049">
            <v:shape id="_x0000_s2275"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4"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71" type="#_x0000_t202" style="position:absolute;margin-left:32.65pt;margin-top:801.75pt;width:15.6pt;height:12pt;z-index:-507448;mso-position-horizontal-relative:page;mso-position-vertical-relative:page" filled="f" stroked="f">
          <v:textbox style="mso-next-textbox:#_x0000_s2271"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64</w:t>
                </w:r>
                <w:r>
                  <w:fldChar w:fldCharType="end"/>
                </w:r>
              </w:p>
            </w:txbxContent>
          </v:textbox>
          <w10:wrap anchorx="page" anchory="page"/>
        </v:shape>
      </w:pict>
    </w:r>
    <w:r w:rsidRPr="00D96B91">
      <w:pict>
        <v:shape id="_x0000_s2270" type="#_x0000_t202" style="position:absolute;margin-left:61.05pt;margin-top:801.75pt;width:316.85pt;height:12pt;z-index:-507424;mso-position-horizontal-relative:page;mso-position-vertical-relative:page" filled="f" stroked="f">
          <v:textbox style="mso-next-textbox:#_x0000_s2270"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78" style="position:absolute;margin-left:.15pt;margin-top:789.45pt;width:595.15pt;height:52.45pt;z-index:-507544;mso-position-horizontal-relative:page;mso-position-vertical-relative:page" coordorigin="3,15789" coordsize="11903,1049">
          <v:group id="_x0000_s2279" style="position:absolute;left:3;top:15789;width:11903;height:1049" coordorigin="3,15789" coordsize="11903,1049">
            <v:shape id="_x0000_s228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8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77" type="#_x0000_t202" style="position:absolute;margin-left:378.3pt;margin-top:801.75pt;width:154.75pt;height:12pt;z-index:-507520;mso-position-horizontal-relative:page;mso-position-vertical-relative:page" filled="f" stroked="f">
          <v:textbox style="mso-next-textbox:#_x0000_s2277" inset="0,0,0,0">
            <w:txbxContent>
              <w:p w:rsidR="008A79D5" w:rsidRDefault="008A79D5">
                <w:pPr>
                  <w:pStyle w:val="BodyText"/>
                  <w:spacing w:line="240" w:lineRule="exact"/>
                  <w:ind w:left="20"/>
                  <w:rPr>
                    <w:rFonts w:cs="Avenir Next"/>
                  </w:rPr>
                </w:pPr>
                <w:r>
                  <w:rPr>
                    <w:color w:val="EEF8FE"/>
                  </w:rPr>
                  <w:t>Method used to determine prices</w:t>
                </w:r>
              </w:p>
            </w:txbxContent>
          </v:textbox>
          <w10:wrap anchorx="page" anchory="page"/>
        </v:shape>
      </w:pict>
    </w:r>
    <w:r w:rsidRPr="00D96B91">
      <w:pict>
        <v:shape id="_x0000_s2276" type="#_x0000_t202" style="position:absolute;margin-left:545.8pt;margin-top:801.75pt;width:15.6pt;height:12pt;z-index:-507496;mso-position-horizontal-relative:page;mso-position-vertical-relative:page" filled="f" stroked="f">
          <v:textbox style="mso-next-textbox:#_x0000_s2276"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65</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85" style="position:absolute;margin-left:0;margin-top:789.45pt;width:595.3pt;height:52.45pt;z-index:-508816;mso-position-horizontal-relative:page;mso-position-vertical-relative:page" coordorigin=",15789" coordsize="11906,1049">
          <v:group id="_x0000_s2386" style="position:absolute;top:15789;width:11906;height:1049" coordorigin=",15789" coordsize="11906,1049">
            <v:shape id="_x0000_s2388"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7"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84" type="#_x0000_t202" style="position:absolute;margin-left:32.65pt;margin-top:801.75pt;width:11.4pt;height:12pt;z-index:-508792;mso-position-horizontal-relative:page;mso-position-vertical-relative:page" filled="f" stroked="f">
          <v:textbox style="mso-next-textbox:#_x0000_s2384"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4</w:t>
                </w:r>
                <w:r>
                  <w:fldChar w:fldCharType="end"/>
                </w:r>
              </w:p>
            </w:txbxContent>
          </v:textbox>
          <w10:wrap anchorx="page" anchory="page"/>
        </v:shape>
      </w:pict>
    </w:r>
    <w:r w:rsidRPr="00D96B91">
      <w:pict>
        <v:shape id="_x0000_s2383" type="#_x0000_t202" style="position:absolute;margin-left:61.05pt;margin-top:801.75pt;width:316.85pt;height:12pt;z-index:-508768;mso-position-horizontal-relative:page;mso-position-vertical-relative:page" filled="f" stroked="f">
          <v:textbox style="mso-next-textbox:#_x0000_s2383"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60" style="position:absolute;margin-left:0;margin-top:789.45pt;width:595.3pt;height:52.45pt;z-index:-507328;mso-position-horizontal-relative:page;mso-position-vertical-relative:page" coordorigin=",15789" coordsize="11906,1049">
          <v:group id="_x0000_s2261" style="position:absolute;top:15789;width:11906;height:1049" coordorigin=",15789" coordsize="11906,1049">
            <v:shape id="_x0000_s2263"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2"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59" type="#_x0000_t202" style="position:absolute;margin-left:32.65pt;margin-top:801.75pt;width:345.25pt;height:12.05pt;z-index:-507304;mso-position-horizontal-relative:page;mso-position-vertical-relative:page" filled="f" stroked="f">
          <v:textbox style="mso-next-textbox:#_x0000_s2259"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76</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66" style="position:absolute;margin-left:.15pt;margin-top:789.45pt;width:595.15pt;height:52.45pt;z-index:-507400;mso-position-horizontal-relative:page;mso-position-vertical-relative:page" coordorigin="3,15789" coordsize="11903,1049">
          <v:group id="_x0000_s2267" style="position:absolute;left:3;top:15789;width:11903;height:1049" coordorigin="3,15789" coordsize="11903,1049">
            <v:shape id="_x0000_s2269"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8"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65" type="#_x0000_t202" style="position:absolute;margin-left:351.65pt;margin-top:801.75pt;width:181.4pt;height:12pt;z-index:-507376;mso-position-horizontal-relative:page;mso-position-vertical-relative:page" filled="f" stroked="f">
          <v:textbox style="mso-next-textbox:#_x0000_s2265" inset="0,0,0,0">
            <w:txbxContent>
              <w:p w:rsidR="008A79D5" w:rsidRDefault="008A79D5">
                <w:pPr>
                  <w:pStyle w:val="BodyText"/>
                  <w:spacing w:line="240" w:lineRule="exact"/>
                  <w:ind w:left="20"/>
                  <w:rPr>
                    <w:rFonts w:cs="Avenir Next"/>
                  </w:rPr>
                </w:pPr>
                <w:r>
                  <w:rPr>
                    <w:color w:val="EEF8FE"/>
                    <w:spacing w:val="-3"/>
                  </w:rPr>
                  <w:t>Treatment</w:t>
                </w:r>
                <w:r>
                  <w:rPr>
                    <w:color w:val="EEF8FE"/>
                  </w:rPr>
                  <w:t xml:space="preserve"> of</w:t>
                </w:r>
                <w:r>
                  <w:rPr>
                    <w:color w:val="EEF8FE"/>
                    <w:spacing w:val="4"/>
                  </w:rPr>
                  <w:t xml:space="preserve"> </w:t>
                </w:r>
                <w:r>
                  <w:rPr>
                    <w:color w:val="EEF8FE"/>
                  </w:rPr>
                  <w:t xml:space="preserve">the </w:t>
                </w:r>
                <w:r>
                  <w:rPr>
                    <w:color w:val="EEF8FE"/>
                    <w:spacing w:val="-1"/>
                  </w:rPr>
                  <w:t>water</w:t>
                </w:r>
                <w:r>
                  <w:rPr>
                    <w:color w:val="EEF8FE"/>
                  </w:rPr>
                  <w:t xml:space="preserve"> security </w:t>
                </w:r>
                <w:r>
                  <w:rPr>
                    <w:color w:val="EEF8FE"/>
                    <w:spacing w:val="-1"/>
                  </w:rPr>
                  <w:t>projects</w:t>
                </w:r>
              </w:p>
            </w:txbxContent>
          </v:textbox>
          <w10:wrap anchorx="page" anchory="page"/>
        </v:shape>
      </w:pict>
    </w:r>
    <w:r w:rsidRPr="00D96B91">
      <w:pict>
        <v:shape id="_x0000_s2264" type="#_x0000_t202" style="position:absolute;margin-left:545.8pt;margin-top:801.75pt;width:15.6pt;height:12pt;z-index:-507352;mso-position-horizontal-relative:page;mso-position-vertical-relative:page" filled="f" stroked="f">
          <v:textbox style="mso-next-textbox:#_x0000_s2264"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75</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49" style="position:absolute;margin-left:0;margin-top:789.45pt;width:595.3pt;height:52.45pt;z-index:-507208;mso-position-horizontal-relative:page;mso-position-vertical-relative:page" coordorigin=",15789" coordsize="11906,1049">
          <v:group id="_x0000_s2250" style="position:absolute;top:15789;width:11906;height:1049" coordorigin=",15789" coordsize="11906,1049">
            <v:shape id="_x0000_s2252"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1"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48" type="#_x0000_t202" style="position:absolute;margin-left:32.65pt;margin-top:801.75pt;width:15.6pt;height:12pt;z-index:-507184;mso-position-horizontal-relative:page;mso-position-vertical-relative:page" filled="f" stroked="f">
          <v:textbox style="mso-next-textbox:#_x0000_s2248"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98</w:t>
                </w:r>
                <w:r>
                  <w:fldChar w:fldCharType="end"/>
                </w:r>
              </w:p>
            </w:txbxContent>
          </v:textbox>
          <w10:wrap anchorx="page" anchory="page"/>
        </v:shape>
      </w:pict>
    </w:r>
    <w:r w:rsidRPr="00D96B91">
      <w:pict>
        <v:shape id="_x0000_s2247" type="#_x0000_t202" style="position:absolute;margin-left:61.05pt;margin-top:801.75pt;width:316.85pt;height:12pt;z-index:-507160;mso-position-horizontal-relative:page;mso-position-vertical-relative:page" filled="f" stroked="f">
          <v:textbox style="mso-next-textbox:#_x0000_s2247"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55" style="position:absolute;margin-left:.15pt;margin-top:789.45pt;width:595.15pt;height:52.45pt;z-index:-507280;mso-position-horizontal-relative:page;mso-position-vertical-relative:page" coordorigin="3,15789" coordsize="11903,1049">
          <v:group id="_x0000_s2256" style="position:absolute;left:3;top:15789;width:11903;height:1049" coordorigin="3,15789" coordsize="11903,1049">
            <v:shape id="_x0000_s2258"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7"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54" type="#_x0000_t202" style="position:absolute;margin-left:380.05pt;margin-top:801.75pt;width:153pt;height:12pt;z-index:-507256;mso-position-horizontal-relative:page;mso-position-vertical-relative:page" filled="f" stroked="f">
          <v:textbox style="mso-next-textbox:#_x0000_s2254" inset="0,0,0,0">
            <w:txbxContent>
              <w:p w:rsidR="008A79D5" w:rsidRDefault="008A79D5">
                <w:pPr>
                  <w:pStyle w:val="BodyText"/>
                  <w:spacing w:line="240" w:lineRule="exact"/>
                  <w:ind w:left="20"/>
                  <w:rPr>
                    <w:rFonts w:cs="Avenir Next"/>
                  </w:rPr>
                </w:pPr>
                <w:r>
                  <w:rPr>
                    <w:color w:val="EEF8FE"/>
                    <w:spacing w:val="-2"/>
                  </w:rPr>
                  <w:t>Value</w:t>
                </w:r>
                <w:r>
                  <w:rPr>
                    <w:color w:val="EEF8FE"/>
                  </w:rPr>
                  <w:t xml:space="preserve"> of</w:t>
                </w:r>
                <w:r>
                  <w:rPr>
                    <w:color w:val="EEF8FE"/>
                    <w:spacing w:val="4"/>
                  </w:rPr>
                  <w:t xml:space="preserve"> </w:t>
                </w:r>
                <w:r>
                  <w:rPr>
                    <w:color w:val="EEF8FE"/>
                  </w:rPr>
                  <w:t xml:space="preserve">the </w:t>
                </w:r>
                <w:r>
                  <w:rPr>
                    <w:color w:val="EEF8FE"/>
                    <w:spacing w:val="-1"/>
                  </w:rPr>
                  <w:t>regulated</w:t>
                </w:r>
                <w:r>
                  <w:rPr>
                    <w:color w:val="EEF8FE"/>
                  </w:rPr>
                  <w:t xml:space="preserve"> asset base</w:t>
                </w:r>
              </w:p>
            </w:txbxContent>
          </v:textbox>
          <w10:wrap anchorx="page" anchory="page"/>
        </v:shape>
      </w:pict>
    </w:r>
    <w:r w:rsidRPr="00D96B91">
      <w:pict>
        <v:shape id="_x0000_s2253" type="#_x0000_t202" style="position:absolute;margin-left:545.8pt;margin-top:801.75pt;width:15.6pt;height:12pt;z-index:-507232;mso-position-horizontal-relative:page;mso-position-vertical-relative:page" filled="f" stroked="f">
          <v:textbox style="mso-next-textbox:#_x0000_s2253"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97</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38" style="position:absolute;margin-left:0;margin-top:789.45pt;width:595.3pt;height:52.45pt;z-index:-507088;mso-position-horizontal-relative:page;mso-position-vertical-relative:page" coordorigin=",15789" coordsize="11906,1049">
          <v:group id="_x0000_s2239" style="position:absolute;top:15789;width:11906;height:1049" coordorigin=",15789" coordsize="11906,1049">
            <v:shape id="_x0000_s224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37" type="#_x0000_t202" style="position:absolute;margin-left:32.65pt;margin-top:801.75pt;width:345.25pt;height:12pt;z-index:-507064;mso-position-horizontal-relative:page;mso-position-vertical-relative:page" filled="f" stroked="f">
          <v:textbox style="mso-next-textbox:#_x0000_s223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108</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43" style="position:absolute;margin-left:.15pt;margin-top:789.45pt;width:595.15pt;height:52.45pt;z-index:-507136;mso-position-horizontal-relative:page;mso-position-vertical-relative:page" coordorigin="3,15789" coordsize="11903,1049">
          <v:group id="_x0000_s2244" style="position:absolute;left:3;top:15789;width:11903;height:1049" coordorigin="3,15789" coordsize="11903,1049">
            <v:shape id="_x0000_s224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42" type="#_x0000_t202" style="position:absolute;margin-left:373.55pt;margin-top:801.75pt;width:187.9pt;height:12pt;z-index:-507112;mso-position-horizontal-relative:page;mso-position-vertical-relative:page" filled="f" stroked="f">
          <v:textbox style="mso-next-textbox:#_x0000_s2242" inset="0,0,0,0">
            <w:txbxContent>
              <w:p w:rsidR="008A79D5" w:rsidRDefault="008A79D5">
                <w:pPr>
                  <w:pStyle w:val="BodyText"/>
                  <w:spacing w:line="240" w:lineRule="exact"/>
                  <w:ind w:left="20"/>
                </w:pPr>
                <w:r>
                  <w:rPr>
                    <w:color w:val="EEF8FE"/>
                    <w:spacing w:val="-2"/>
                  </w:rPr>
                  <w:t>Rate</w:t>
                </w:r>
                <w:r>
                  <w:rPr>
                    <w:color w:val="EEF8FE"/>
                  </w:rPr>
                  <w:t xml:space="preserve"> of</w:t>
                </w:r>
                <w:r>
                  <w:rPr>
                    <w:color w:val="EEF8FE"/>
                    <w:spacing w:val="4"/>
                  </w:rPr>
                  <w:t xml:space="preserve"> </w:t>
                </w:r>
                <w:r>
                  <w:rPr>
                    <w:color w:val="EEF8FE"/>
                    <w:spacing w:val="-1"/>
                  </w:rPr>
                  <w:t>return</w:t>
                </w:r>
                <w:r>
                  <w:rPr>
                    <w:color w:val="EEF8FE"/>
                  </w:rPr>
                  <w:t xml:space="preserve"> and net tax liabilities  </w:t>
                </w:r>
                <w:r>
                  <w:rPr>
                    <w:color w:val="EEF8FE"/>
                    <w:spacing w:val="50"/>
                  </w:rPr>
                  <w:t xml:space="preserve"> </w:t>
                </w:r>
                <w:r>
                  <w:fldChar w:fldCharType="begin"/>
                </w:r>
                <w:r>
                  <w:rPr>
                    <w:color w:val="EEF8FE"/>
                  </w:rPr>
                  <w:instrText xml:space="preserve"> PAGE </w:instrText>
                </w:r>
                <w:r>
                  <w:fldChar w:fldCharType="separate"/>
                </w:r>
                <w:r w:rsidR="00EB16D5">
                  <w:rPr>
                    <w:noProof/>
                    <w:color w:val="EEF8FE"/>
                  </w:rPr>
                  <w:t>107</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28" style="position:absolute;margin-left:0;margin-top:789.45pt;width:595.3pt;height:52.45pt;z-index:-506992;mso-position-horizontal-relative:page;mso-position-vertical-relative:page" coordorigin=",15789" coordsize="11906,1049">
          <v:group id="_x0000_s2229" style="position:absolute;top:15789;width:11906;height:1049" coordorigin=",15789" coordsize="11906,1049">
            <v:shape id="_x0000_s223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27" type="#_x0000_t202" style="position:absolute;margin-left:32.65pt;margin-top:801.75pt;width:345.25pt;height:12pt;z-index:-506968;mso-position-horizontal-relative:page;mso-position-vertical-relative:page" filled="f" stroked="f">
          <v:textbox style="mso-next-textbox:#_x0000_s222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110</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33" style="position:absolute;margin-left:.15pt;margin-top:789.45pt;width:595.15pt;height:52.45pt;z-index:-507040;mso-position-horizontal-relative:page;mso-position-vertical-relative:page" coordorigin="3,15789" coordsize="11903,1049">
          <v:group id="_x0000_s2234" style="position:absolute;left:3;top:15789;width:11903;height:1049" coordorigin="3,15789" coordsize="11903,1049">
            <v:shape id="_x0000_s223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32" type="#_x0000_t202" style="position:absolute;margin-left:387.6pt;margin-top:801.75pt;width:172.85pt;height:12pt;z-index:-507016;mso-position-horizontal-relative:page;mso-position-vertical-relative:page" filled="f" stroked="f">
          <v:textbox style="mso-next-textbox:#_x0000_s2232" inset="0,0,0,0">
            <w:txbxContent>
              <w:p w:rsidR="008A79D5" w:rsidRDefault="008A79D5">
                <w:pPr>
                  <w:pStyle w:val="BodyText"/>
                  <w:spacing w:line="240" w:lineRule="exact"/>
                  <w:ind w:left="20"/>
                </w:pPr>
                <w:r>
                  <w:rPr>
                    <w:color w:val="EEF8FE"/>
                    <w:spacing w:val="-2"/>
                  </w:rPr>
                  <w:t>Forecast</w:t>
                </w:r>
                <w:r>
                  <w:rPr>
                    <w:color w:val="EEF8FE"/>
                  </w:rPr>
                  <w:t xml:space="preserve"> </w:t>
                </w:r>
                <w:r>
                  <w:rPr>
                    <w:color w:val="EEF8FE"/>
                    <w:spacing w:val="-1"/>
                  </w:rPr>
                  <w:t>operating</w:t>
                </w:r>
                <w:r>
                  <w:rPr>
                    <w:color w:val="EEF8FE"/>
                  </w:rPr>
                  <w:t xml:space="preserve"> </w:t>
                </w:r>
                <w:r>
                  <w:rPr>
                    <w:color w:val="EEF8FE"/>
                    <w:spacing w:val="-1"/>
                  </w:rPr>
                  <w:t>expenditure</w:t>
                </w:r>
                <w:r>
                  <w:rPr>
                    <w:color w:val="EEF8FE"/>
                  </w:rPr>
                  <w:t xml:space="preserve">    109</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18" style="position:absolute;margin-left:0;margin-top:789.45pt;width:595.3pt;height:52.45pt;z-index:-506896;mso-position-horizontal-relative:page;mso-position-vertical-relative:page" coordorigin=",15789" coordsize="11906,1049">
          <v:group id="_x0000_s2219" style="position:absolute;top:15789;width:11906;height:1049" coordorigin=",15789" coordsize="11906,1049">
            <v:shape id="_x0000_s222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17" type="#_x0000_t202" style="position:absolute;margin-left:32.65pt;margin-top:801.75pt;width:345.25pt;height:12pt;z-index:-506872;mso-position-horizontal-relative:page;mso-position-vertical-relative:page" filled="f" stroked="f">
          <v:textbox style="mso-next-textbox:#_x0000_s221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112</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23" style="position:absolute;margin-left:.15pt;margin-top:789.45pt;width:595.15pt;height:52.45pt;z-index:-506944;mso-position-horizontal-relative:page;mso-position-vertical-relative:page" coordorigin="3,15789" coordsize="11903,1049">
          <v:group id="_x0000_s2224" style="position:absolute;left:3;top:15789;width:11903;height:1049" coordorigin="3,15789" coordsize="11903,1049">
            <v:shape id="_x0000_s222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22" type="#_x0000_t202" style="position:absolute;margin-left:387.6pt;margin-top:801.75pt;width:172.85pt;height:12pt;z-index:-506920;mso-position-horizontal-relative:page;mso-position-vertical-relative:page" filled="f" stroked="f">
          <v:textbox style="mso-next-textbox:#_x0000_s2222" inset="0,0,0,0">
            <w:txbxContent>
              <w:p w:rsidR="008A79D5" w:rsidRDefault="008A79D5">
                <w:pPr>
                  <w:pStyle w:val="BodyText"/>
                  <w:spacing w:line="240" w:lineRule="exact"/>
                  <w:ind w:left="20"/>
                  <w:rPr>
                    <w:rFonts w:cs="Avenir Next"/>
                  </w:rPr>
                </w:pPr>
                <w:r>
                  <w:rPr>
                    <w:color w:val="EEF8FE"/>
                    <w:spacing w:val="-2"/>
                  </w:rPr>
                  <w:t>Forecast</w:t>
                </w:r>
                <w:r>
                  <w:rPr>
                    <w:color w:val="EEF8FE"/>
                  </w:rPr>
                  <w:t xml:space="preserve"> </w:t>
                </w:r>
                <w:r>
                  <w:rPr>
                    <w:color w:val="EEF8FE"/>
                    <w:spacing w:val="-1"/>
                  </w:rPr>
                  <w:t>operating</w:t>
                </w:r>
                <w:r>
                  <w:rPr>
                    <w:color w:val="EEF8FE"/>
                  </w:rPr>
                  <w:t xml:space="preserve"> </w:t>
                </w:r>
                <w:r>
                  <w:rPr>
                    <w:color w:val="EEF8FE"/>
                    <w:spacing w:val="-1"/>
                  </w:rPr>
                  <w:t>expenditure</w:t>
                </w:r>
                <w:r>
                  <w:rPr>
                    <w:color w:val="EEF8FE"/>
                  </w:rPr>
                  <w:t xml:space="preserve">    111</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90" style="position:absolute;margin-left:.15pt;margin-top:789.45pt;width:595.15pt;height:52.45pt;z-index:-508864;mso-position-horizontal-relative:page;mso-position-vertical-relative:page" coordorigin="3,15789" coordsize="11903,1049">
          <v:group id="_x0000_s2391" style="position:absolute;left:3;top:15789;width:11903;height:1049" coordorigin="3,15789" coordsize="11903,1049">
            <v:shape id="_x0000_s2393"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2"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89" type="#_x0000_t202" style="position:absolute;margin-left:547.55pt;margin-top:801.7pt;width:13.9pt;height:12.1pt;z-index:-508840;mso-position-horizontal-relative:page;mso-position-vertical-relative:page" filled="f" stroked="f">
          <v:textbox style="mso-next-textbox:#_x0000_s2389" inset="0,0,0,0">
            <w:txbxContent>
              <w:p w:rsidR="008A79D5" w:rsidRDefault="008A79D5">
                <w:pPr>
                  <w:pStyle w:val="BodyText"/>
                  <w:spacing w:line="241" w:lineRule="exact"/>
                  <w:ind w:left="40"/>
                  <w:rPr>
                    <w:rFonts w:cs="Avenir Next"/>
                  </w:rPr>
                </w:pPr>
                <w:r>
                  <w:fldChar w:fldCharType="begin"/>
                </w:r>
                <w:r>
                  <w:rPr>
                    <w:color w:val="EEF8FE"/>
                  </w:rPr>
                  <w:instrText xml:space="preserve"> PAGE </w:instrText>
                </w:r>
                <w:r>
                  <w:fldChar w:fldCharType="separate"/>
                </w:r>
                <w:r w:rsidR="00EB16D5">
                  <w:rPr>
                    <w:noProof/>
                    <w:color w:val="EEF8FE"/>
                  </w:rPr>
                  <w:t>5</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08" style="position:absolute;margin-left:0;margin-top:789.45pt;width:595.3pt;height:52.45pt;z-index:-506800;mso-position-horizontal-relative:page;mso-position-vertical-relative:page" coordorigin=",15789" coordsize="11906,1049">
          <v:group id="_x0000_s2209" style="position:absolute;top:15789;width:11906;height:1049" coordorigin=",15789" coordsize="11906,1049">
            <v:shape id="_x0000_s221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07" type="#_x0000_t202" style="position:absolute;margin-left:32.65pt;margin-top:801.75pt;width:345.25pt;height:12pt;z-index:-506776;mso-position-horizontal-relative:page;mso-position-vertical-relative:page" filled="f" stroked="f">
          <v:textbox style="mso-next-textbox:#_x0000_s2207" inset="0,0,0,0">
            <w:txbxContent>
              <w:p w:rsidR="008A79D5" w:rsidRDefault="008A79D5">
                <w:pPr>
                  <w:pStyle w:val="BodyText"/>
                  <w:spacing w:line="240" w:lineRule="exact"/>
                  <w:ind w:left="40"/>
                  <w:rPr>
                    <w:rFonts w:cs="Avenir Next"/>
                  </w:rPr>
                </w:pPr>
                <w:r>
                  <w:fldChar w:fldCharType="begin"/>
                </w:r>
                <w:r>
                  <w:rPr>
                    <w:rFonts w:cs="Avenir Next"/>
                    <w:color w:val="EEF8FE"/>
                  </w:rPr>
                  <w:instrText xml:space="preserve"> PAGE </w:instrText>
                </w:r>
                <w:r>
                  <w:fldChar w:fldCharType="separate"/>
                </w:r>
                <w:r w:rsidR="00EB16D5">
                  <w:rPr>
                    <w:rFonts w:cs="Avenir Next"/>
                    <w:noProof/>
                    <w:color w:val="EEF8FE"/>
                  </w:rPr>
                  <w:t>116</w:t>
                </w:r>
                <w:r>
                  <w:fldChar w:fldCharType="end"/>
                </w:r>
                <w:r>
                  <w:rPr>
                    <w:rFonts w:cs="Avenir Next"/>
                    <w:color w:val="EEF8FE"/>
                  </w:rPr>
                  <w:t xml:space="preserve">    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13" style="position:absolute;margin-left:.15pt;margin-top:789.45pt;width:595.15pt;height:52.45pt;z-index:-506848;mso-position-horizontal-relative:page;mso-position-vertical-relative:page" coordorigin="3,15789" coordsize="11903,1049">
          <v:group id="_x0000_s2214" style="position:absolute;left:3;top:15789;width:11903;height:1049" coordorigin="3,15789" coordsize="11903,1049">
            <v:shape id="_x0000_s221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12" type="#_x0000_t202" style="position:absolute;margin-left:387.6pt;margin-top:801.75pt;width:173.85pt;height:12pt;z-index:-506824;mso-position-horizontal-relative:page;mso-position-vertical-relative:page" filled="f" stroked="f">
          <v:textbox style="mso-next-textbox:#_x0000_s2212" inset="0,0,0,0">
            <w:txbxContent>
              <w:p w:rsidR="008A79D5" w:rsidRDefault="008A79D5">
                <w:pPr>
                  <w:pStyle w:val="BodyText"/>
                  <w:spacing w:line="240" w:lineRule="exact"/>
                  <w:ind w:left="20"/>
                </w:pPr>
                <w:r>
                  <w:rPr>
                    <w:color w:val="EEF8FE"/>
                    <w:spacing w:val="-2"/>
                  </w:rPr>
                  <w:t>Forecast</w:t>
                </w:r>
                <w:r>
                  <w:rPr>
                    <w:color w:val="EEF8FE"/>
                  </w:rPr>
                  <w:t xml:space="preserve"> </w:t>
                </w:r>
                <w:r>
                  <w:rPr>
                    <w:color w:val="EEF8FE"/>
                    <w:spacing w:val="-1"/>
                  </w:rPr>
                  <w:t>operating</w:t>
                </w:r>
                <w:r>
                  <w:rPr>
                    <w:color w:val="EEF8FE"/>
                  </w:rPr>
                  <w:t xml:space="preserve"> </w:t>
                </w:r>
                <w:r>
                  <w:rPr>
                    <w:color w:val="EEF8FE"/>
                    <w:spacing w:val="-1"/>
                  </w:rPr>
                  <w:t>expenditure</w:t>
                </w:r>
                <w:r>
                  <w:rPr>
                    <w:color w:val="EEF8FE"/>
                  </w:rPr>
                  <w:t xml:space="preserve">    </w:t>
                </w:r>
                <w:r>
                  <w:fldChar w:fldCharType="begin"/>
                </w:r>
                <w:r>
                  <w:rPr>
                    <w:color w:val="EEF8FE"/>
                  </w:rPr>
                  <w:instrText xml:space="preserve"> PAGE </w:instrText>
                </w:r>
                <w:r>
                  <w:fldChar w:fldCharType="separate"/>
                </w:r>
                <w:r w:rsidR="00EB16D5">
                  <w:rPr>
                    <w:noProof/>
                    <w:color w:val="EEF8FE"/>
                  </w:rPr>
                  <w:t>115</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98" style="position:absolute;margin-left:0;margin-top:789.45pt;width:595.3pt;height:52.45pt;z-index:-506704;mso-position-horizontal-relative:page;mso-position-vertical-relative:page" coordorigin=",15789" coordsize="11906,1049">
          <v:group id="_x0000_s2199" style="position:absolute;top:15789;width:11906;height:1049" coordorigin=",15789" coordsize="11906,1049">
            <v:shape id="_x0000_s220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97" type="#_x0000_t202" style="position:absolute;margin-left:32.65pt;margin-top:801.75pt;width:345.25pt;height:12pt;z-index:-506680;mso-position-horizontal-relative:page;mso-position-vertical-relative:page" filled="f" stroked="f">
          <v:textbox style="mso-next-textbox:#_x0000_s219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122</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203" style="position:absolute;margin-left:.15pt;margin-top:789.45pt;width:595.15pt;height:52.45pt;z-index:-506752;mso-position-horizontal-relative:page;mso-position-vertical-relative:page" coordorigin="3,15789" coordsize="11903,1049">
          <v:group id="_x0000_s2204" style="position:absolute;left:3;top:15789;width:11903;height:1049" coordorigin="3,15789" coordsize="11903,1049">
            <v:shape id="_x0000_s220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202" type="#_x0000_t202" style="position:absolute;margin-left:451.75pt;margin-top:801.75pt;width:109.7pt;height:12pt;z-index:-506728;mso-position-horizontal-relative:page;mso-position-vertical-relative:page" filled="f" stroked="f">
          <v:textbox style="mso-next-textbox:#_x0000_s2202" inset="0,0,0,0">
            <w:txbxContent>
              <w:p w:rsidR="008A79D5" w:rsidRDefault="008A79D5">
                <w:pPr>
                  <w:pStyle w:val="BodyText"/>
                  <w:spacing w:line="240" w:lineRule="exact"/>
                  <w:ind w:left="20"/>
                </w:pPr>
                <w:r>
                  <w:rPr>
                    <w:color w:val="EEF8FE"/>
                    <w:spacing w:val="-2"/>
                  </w:rPr>
                  <w:t>Forecast</w:t>
                </w:r>
                <w:r>
                  <w:rPr>
                    <w:color w:val="EEF8FE"/>
                  </w:rPr>
                  <w:t xml:space="preserve"> demand    </w:t>
                </w:r>
                <w:r>
                  <w:fldChar w:fldCharType="begin"/>
                </w:r>
                <w:r>
                  <w:rPr>
                    <w:color w:val="EEF8FE"/>
                  </w:rPr>
                  <w:instrText xml:space="preserve"> PAGE </w:instrText>
                </w:r>
                <w:r>
                  <w:fldChar w:fldCharType="separate"/>
                </w:r>
                <w:r w:rsidR="005D7DEE">
                  <w:rPr>
                    <w:noProof/>
                    <w:color w:val="EEF8FE"/>
                  </w:rPr>
                  <w:t>123</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88" style="position:absolute;margin-left:0;margin-top:789.45pt;width:595.3pt;height:52.45pt;z-index:-506608;mso-position-horizontal-relative:page;mso-position-vertical-relative:page" coordorigin=",15789" coordsize="11906,1049">
          <v:group id="_x0000_s2189" style="position:absolute;top:15789;width:11906;height:1049" coordorigin=",15789" coordsize="11906,1049">
            <v:shape id="_x0000_s219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87" type="#_x0000_t202" style="position:absolute;margin-left:32.65pt;margin-top:801.75pt;width:345.25pt;height:12pt;z-index:-506584;mso-position-horizontal-relative:page;mso-position-vertical-relative:page" filled="f" stroked="f">
          <v:textbox style="mso-next-textbox:#_x0000_s218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126</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93" style="position:absolute;margin-left:.15pt;margin-top:789.45pt;width:595.15pt;height:52.45pt;z-index:-506656;mso-position-horizontal-relative:page;mso-position-vertical-relative:page" coordorigin="3,15789" coordsize="11903,1049">
          <v:group id="_x0000_s2194" style="position:absolute;left:3;top:15789;width:11903;height:1049" coordorigin="3,15789" coordsize="11903,1049">
            <v:shape id="_x0000_s219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92" type="#_x0000_t202" style="position:absolute;margin-left:302.35pt;margin-top:801.75pt;width:259.1pt;height:12pt;z-index:-506632;mso-position-horizontal-relative:page;mso-position-vertical-relative:page" filled="f" stroked="f">
          <v:textbox style="mso-next-textbox:#_x0000_s2192" inset="0,0,0,0">
            <w:txbxContent>
              <w:p w:rsidR="008A79D5" w:rsidRDefault="008A79D5">
                <w:pPr>
                  <w:pStyle w:val="BodyText"/>
                  <w:spacing w:line="240" w:lineRule="exact"/>
                  <w:ind w:left="20"/>
                </w:pPr>
                <w:r>
                  <w:rPr>
                    <w:rFonts w:cs="Avenir Next"/>
                    <w:color w:val="EEF8FE"/>
                  </w:rPr>
                  <w:t xml:space="preserve">Net </w:t>
                </w:r>
                <w:r>
                  <w:rPr>
                    <w:rFonts w:cs="Avenir Next"/>
                    <w:color w:val="EEF8FE"/>
                    <w:spacing w:val="-1"/>
                  </w:rPr>
                  <w:t>revenue</w:t>
                </w:r>
                <w:r>
                  <w:rPr>
                    <w:rFonts w:cs="Avenir Next"/>
                    <w:color w:val="EEF8FE"/>
                  </w:rPr>
                  <w:t xml:space="preserve"> </w:t>
                </w:r>
                <w:r>
                  <w:rPr>
                    <w:rFonts w:cs="Avenir Next"/>
                    <w:color w:val="EEF8FE"/>
                    <w:spacing w:val="-1"/>
                  </w:rPr>
                  <w:t>requirement</w:t>
                </w:r>
                <w:r>
                  <w:rPr>
                    <w:rFonts w:cs="Avenir Next"/>
                    <w:color w:val="EEF8FE"/>
                  </w:rPr>
                  <w:t xml:space="preserve"> and ‘true up’ adjustment    </w:t>
                </w:r>
                <w:r>
                  <w:fldChar w:fldCharType="begin"/>
                </w:r>
                <w:r>
                  <w:rPr>
                    <w:color w:val="EEF8FE"/>
                  </w:rPr>
                  <w:instrText xml:space="preserve"> PAGE </w:instrText>
                </w:r>
                <w:r>
                  <w:fldChar w:fldCharType="separate"/>
                </w:r>
                <w:r w:rsidR="005D7DEE">
                  <w:rPr>
                    <w:noProof/>
                    <w:color w:val="EEF8FE"/>
                  </w:rPr>
                  <w:t>125</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78" style="position:absolute;margin-left:0;margin-top:789.45pt;width:595.3pt;height:52.45pt;z-index:-506512;mso-position-horizontal-relative:page;mso-position-vertical-relative:page" coordorigin=",15789" coordsize="11906,1049">
          <v:group id="_x0000_s2179" style="position:absolute;top:15789;width:11906;height:1049" coordorigin=",15789" coordsize="11906,1049">
            <v:shape id="_x0000_s218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77" type="#_x0000_t202" style="position:absolute;margin-left:32.65pt;margin-top:801.75pt;width:345.25pt;height:12pt;z-index:-506488;mso-position-horizontal-relative:page;mso-position-vertical-relative:page" filled="f" stroked="f">
          <v:textbox style="mso-next-textbox:#_x0000_s217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138</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83" style="position:absolute;margin-left:.15pt;margin-top:789.45pt;width:595.15pt;height:52.45pt;z-index:-506560;mso-position-horizontal-relative:page;mso-position-vertical-relative:page" coordorigin="3,15789" coordsize="11903,1049">
          <v:group id="_x0000_s2184" style="position:absolute;left:3;top:15789;width:11903;height:1049" coordorigin="3,15789" coordsize="11903,1049">
            <v:shape id="_x0000_s218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82" type="#_x0000_t202" style="position:absolute;margin-left:356.05pt;margin-top:801.75pt;width:205.4pt;height:12.05pt;z-index:-506536;mso-position-horizontal-relative:page;mso-position-vertical-relative:page" filled="f" stroked="f">
          <v:textbox style="mso-next-textbox:#_x0000_s2182" inset="0,0,0,0">
            <w:txbxContent>
              <w:p w:rsidR="008A79D5" w:rsidRDefault="008A79D5">
                <w:pPr>
                  <w:pStyle w:val="BodyText"/>
                  <w:spacing w:line="240" w:lineRule="exact"/>
                  <w:ind w:left="20"/>
                </w:pPr>
                <w:r>
                  <w:rPr>
                    <w:color w:val="EEF8FE"/>
                    <w:spacing w:val="-2"/>
                  </w:rPr>
                  <w:t>Prices</w:t>
                </w:r>
                <w:r>
                  <w:rPr>
                    <w:color w:val="EEF8FE"/>
                  </w:rPr>
                  <w:t xml:space="preserve"> for </w:t>
                </w:r>
                <w:r>
                  <w:rPr>
                    <w:color w:val="EEF8FE"/>
                    <w:spacing w:val="-1"/>
                  </w:rPr>
                  <w:t>water</w:t>
                </w:r>
                <w:r>
                  <w:rPr>
                    <w:color w:val="EEF8FE"/>
                  </w:rPr>
                  <w:t xml:space="preserve"> and </w:t>
                </w:r>
                <w:r>
                  <w:rPr>
                    <w:color w:val="EEF8FE"/>
                    <w:spacing w:val="-1"/>
                  </w:rPr>
                  <w:t>sewerage</w:t>
                </w:r>
                <w:r>
                  <w:rPr>
                    <w:color w:val="EEF8FE"/>
                  </w:rPr>
                  <w:t xml:space="preserve"> services    </w:t>
                </w:r>
                <w:r>
                  <w:fldChar w:fldCharType="begin"/>
                </w:r>
                <w:r>
                  <w:rPr>
                    <w:color w:val="EEF8FE"/>
                  </w:rPr>
                  <w:instrText xml:space="preserve"> PAGE </w:instrText>
                </w:r>
                <w:r>
                  <w:fldChar w:fldCharType="separate"/>
                </w:r>
                <w:r w:rsidR="005D7DEE">
                  <w:rPr>
                    <w:noProof/>
                    <w:color w:val="EEF8FE"/>
                  </w:rPr>
                  <w:t>139</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68" style="position:absolute;margin-left:0;margin-top:789.45pt;width:595.3pt;height:52.45pt;z-index:-506416;mso-position-horizontal-relative:page;mso-position-vertical-relative:page" coordorigin=",15789" coordsize="11906,1049">
          <v:group id="_x0000_s2169" style="position:absolute;top:15789;width:11906;height:1049" coordorigin=",15789" coordsize="11906,1049">
            <v:shape id="_x0000_s217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67" type="#_x0000_t202" style="position:absolute;margin-left:32.65pt;margin-top:801.75pt;width:345.25pt;height:12pt;z-index:-506392;mso-position-horizontal-relative:page;mso-position-vertical-relative:page" filled="f" stroked="f">
          <v:textbox style="mso-next-textbox:#_x0000_s216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146</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73" style="position:absolute;margin-left:.15pt;margin-top:789.45pt;width:595.15pt;height:52.45pt;z-index:-506464;mso-position-horizontal-relative:page;mso-position-vertical-relative:page" coordorigin="3,15789" coordsize="11903,1049">
          <v:group id="_x0000_s2174" style="position:absolute;left:3;top:15789;width:11903;height:1049" coordorigin="3,15789" coordsize="11903,1049">
            <v:shape id="_x0000_s217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72" type="#_x0000_t202" style="position:absolute;margin-left:258.65pt;margin-top:801.75pt;width:302.8pt;height:12pt;z-index:-506440;mso-position-horizontal-relative:page;mso-position-vertical-relative:page" filled="f" stroked="f">
          <v:textbox style="mso-next-textbox:#_x0000_s2172" inset="0,0,0,0">
            <w:txbxContent>
              <w:p w:rsidR="008A79D5" w:rsidRDefault="008A79D5">
                <w:pPr>
                  <w:pStyle w:val="BodyText"/>
                  <w:spacing w:line="240" w:lineRule="exact"/>
                  <w:ind w:left="20"/>
                </w:pPr>
                <w:r>
                  <w:rPr>
                    <w:color w:val="EEF8FE"/>
                    <w:spacing w:val="-1"/>
                  </w:rPr>
                  <w:t>Effect</w:t>
                </w:r>
                <w:r>
                  <w:rPr>
                    <w:color w:val="EEF8FE"/>
                    <w:spacing w:val="-2"/>
                  </w:rPr>
                  <w:t xml:space="preserve"> </w:t>
                </w:r>
                <w:r>
                  <w:rPr>
                    <w:color w:val="EEF8FE"/>
                  </w:rPr>
                  <w:t>on</w:t>
                </w:r>
                <w:r>
                  <w:rPr>
                    <w:color w:val="EEF8FE"/>
                    <w:spacing w:val="-1"/>
                  </w:rPr>
                  <w:t xml:space="preserve"> </w:t>
                </w:r>
                <w:r>
                  <w:rPr>
                    <w:color w:val="EEF8FE"/>
                  </w:rPr>
                  <w:t>customers,</w:t>
                </w:r>
                <w:r>
                  <w:rPr>
                    <w:color w:val="EEF8FE"/>
                    <w:spacing w:val="-7"/>
                  </w:rPr>
                  <w:t xml:space="preserve"> </w:t>
                </w:r>
                <w:r>
                  <w:rPr>
                    <w:color w:val="EEF8FE"/>
                    <w:spacing w:val="-1"/>
                  </w:rPr>
                  <w:t xml:space="preserve">inflation </w:t>
                </w:r>
                <w:r>
                  <w:rPr>
                    <w:color w:val="EEF8FE"/>
                  </w:rPr>
                  <w:t>and</w:t>
                </w:r>
                <w:r>
                  <w:rPr>
                    <w:color w:val="EEF8FE"/>
                    <w:spacing w:val="-5"/>
                  </w:rPr>
                  <w:t xml:space="preserve"> </w:t>
                </w:r>
                <w:r>
                  <w:rPr>
                    <w:color w:val="EEF8FE"/>
                    <w:spacing w:val="-2"/>
                  </w:rPr>
                  <w:t>ACTEW’s</w:t>
                </w:r>
                <w:r>
                  <w:rPr>
                    <w:color w:val="EEF8FE"/>
                    <w:spacing w:val="-1"/>
                  </w:rPr>
                  <w:t xml:space="preserve"> </w:t>
                </w:r>
                <w:r>
                  <w:rPr>
                    <w:color w:val="EEF8FE"/>
                  </w:rPr>
                  <w:t>financial</w:t>
                </w:r>
                <w:r>
                  <w:rPr>
                    <w:color w:val="EEF8FE"/>
                    <w:spacing w:val="-1"/>
                  </w:rPr>
                  <w:t xml:space="preserve"> </w:t>
                </w:r>
                <w:r>
                  <w:rPr>
                    <w:color w:val="EEF8FE"/>
                  </w:rPr>
                  <w:t xml:space="preserve">viability  </w:t>
                </w:r>
                <w:r>
                  <w:rPr>
                    <w:color w:val="EEF8FE"/>
                    <w:spacing w:val="46"/>
                  </w:rPr>
                  <w:t xml:space="preserve"> </w:t>
                </w:r>
                <w:r>
                  <w:fldChar w:fldCharType="begin"/>
                </w:r>
                <w:r>
                  <w:rPr>
                    <w:color w:val="EEF8FE"/>
                  </w:rPr>
                  <w:instrText xml:space="preserve"> PAGE </w:instrText>
                </w:r>
                <w:r>
                  <w:fldChar w:fldCharType="separate"/>
                </w:r>
                <w:r w:rsidR="005D7DEE">
                  <w:rPr>
                    <w:noProof/>
                    <w:color w:val="EEF8FE"/>
                  </w:rPr>
                  <w:t>147</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63" style="position:absolute;margin-left:0;margin-top:789.45pt;width:595.3pt;height:52.45pt;z-index:-506368;mso-position-horizontal-relative:page;mso-position-vertical-relative:page" coordorigin=",15789" coordsize="11906,1049">
          <v:group id="_x0000_s2164" style="position:absolute;top:15789;width:11906;height:1049" coordorigin=",15789" coordsize="11906,1049">
            <v:shape id="_x0000_s216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62" type="#_x0000_t202" style="position:absolute;margin-left:32.65pt;margin-top:801.75pt;width:345.25pt;height:12pt;z-index:-506344;mso-position-horizontal-relative:page;mso-position-vertical-relative:page" filled="f" stroked="f">
          <v:textbox style="mso-next-textbox:#_x0000_s2162"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154</w:t>
                </w:r>
                <w:r>
                  <w:fldChar w:fldCharType="end"/>
                </w:r>
                <w:r>
                  <w:rPr>
                    <w:color w:val="EEF8FE"/>
                  </w:rPr>
                  <w:t xml:space="preserve">  </w:t>
                </w:r>
                <w:r>
                  <w:rPr>
                    <w:color w:val="EEF8FE"/>
                    <w:spacing w:val="49"/>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58" style="position:absolute;margin-left:.15pt;margin-top:789.45pt;width:595.15pt;height:52.45pt;z-index:-506320;mso-position-horizontal-relative:page;mso-position-vertical-relative:page" coordorigin="3,15789" coordsize="11903,1049">
          <v:group id="_x0000_s2159" style="position:absolute;left:3;top:15789;width:11903;height:1049" coordorigin="3,15789" coordsize="11903,1049">
            <v:shape id="_x0000_s216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57" type="#_x0000_t202" style="position:absolute;margin-left:445.8pt;margin-top:801.75pt;width:114.6pt;height:12pt;z-index:-506296;mso-position-horizontal-relative:page;mso-position-vertical-relative:page" filled="f" stroked="f">
          <v:textbox style="mso-next-textbox:#_x0000_s2157" inset="0,0,0,0">
            <w:txbxContent>
              <w:p w:rsidR="008A79D5" w:rsidRDefault="008A79D5">
                <w:pPr>
                  <w:pStyle w:val="BodyText"/>
                  <w:spacing w:line="240" w:lineRule="exact"/>
                  <w:ind w:left="20"/>
                </w:pPr>
                <w:r>
                  <w:rPr>
                    <w:color w:val="EEF8FE"/>
                  </w:rPr>
                  <w:t>List of</w:t>
                </w:r>
                <w:r>
                  <w:rPr>
                    <w:color w:val="EEF8FE"/>
                    <w:spacing w:val="4"/>
                  </w:rPr>
                  <w:t xml:space="preserve"> </w:t>
                </w:r>
                <w:r>
                  <w:rPr>
                    <w:color w:val="EEF8FE"/>
                  </w:rPr>
                  <w:t>submissions    153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53" style="position:absolute;margin-left:.15pt;margin-top:789.45pt;width:595.15pt;height:52.45pt;z-index:-506272;mso-position-horizontal-relative:page;mso-position-vertical-relative:page" coordorigin="3,15789" coordsize="11903,1049">
          <v:group id="_x0000_s2154" style="position:absolute;left:3;top:15789;width:11903;height:1049" coordorigin="3,15789" coordsize="11903,1049">
            <v:shape id="_x0000_s215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52" type="#_x0000_t202" style="position:absolute;margin-left:447.35pt;margin-top:801.75pt;width:113.1pt;height:12pt;z-index:-506248;mso-position-horizontal-relative:page;mso-position-vertical-relative:page" filled="f" stroked="f">
          <v:textbox style="mso-next-textbox:#_x0000_s2152" inset="0,0,0,0">
            <w:txbxContent>
              <w:p w:rsidR="008A79D5" w:rsidRDefault="008A79D5">
                <w:pPr>
                  <w:pStyle w:val="BodyText"/>
                  <w:spacing w:line="240" w:lineRule="exact"/>
                  <w:ind w:left="20"/>
                </w:pPr>
                <w:r>
                  <w:rPr>
                    <w:color w:val="EEF8FE"/>
                  </w:rPr>
                  <w:t>Incentive schemes    155</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48" style="position:absolute;margin-left:0;margin-top:789.45pt;width:595.3pt;height:52.45pt;z-index:-506224;mso-position-horizontal-relative:page;mso-position-vertical-relative:page" coordorigin=",15789" coordsize="11906,1049">
          <v:group id="_x0000_s2149" style="position:absolute;top:15789;width:11906;height:1049" coordorigin=",15789" coordsize="11906,1049">
            <v:shape id="_x0000_s2151"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47" type="#_x0000_t202" style="position:absolute;margin-left:32.65pt;margin-top:801.75pt;width:345.25pt;height:12.05pt;z-index:-506200;mso-position-horizontal-relative:page;mso-position-vertical-relative:page" filled="f" stroked="f">
          <v:textbox style="mso-next-textbox:#_x0000_s2147"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158</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43" style="position:absolute;margin-left:.15pt;margin-top:789.45pt;width:595.15pt;height:52.45pt;z-index:-506176;mso-position-horizontal-relative:page;mso-position-vertical-relative:page" coordorigin="3,15789" coordsize="11903,1049">
          <v:group id="_x0000_s2144" style="position:absolute;left:3;top:15789;width:11903;height:1049" coordorigin="3,15789" coordsize="11903,1049">
            <v:shape id="_x0000_s214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42" type="#_x0000_t202" style="position:absolute;margin-left:281.85pt;margin-top:801.75pt;width:279.6pt;height:12pt;z-index:-506152;mso-position-horizontal-relative:page;mso-position-vertical-relative:page" filled="f" stroked="f">
          <v:textbox style="mso-next-textbox:#_x0000_s2142" inset="0,0,0,0">
            <w:txbxContent>
              <w:p w:rsidR="008A79D5" w:rsidRDefault="008A79D5">
                <w:pPr>
                  <w:pStyle w:val="BodyText"/>
                  <w:spacing w:line="240" w:lineRule="exact"/>
                  <w:ind w:left="20"/>
                </w:pPr>
                <w:r>
                  <w:rPr>
                    <w:color w:val="EEF8FE"/>
                    <w:spacing w:val="-2"/>
                  </w:rPr>
                  <w:t>Techniques</w:t>
                </w:r>
                <w:r>
                  <w:rPr>
                    <w:color w:val="EEF8FE"/>
                  </w:rPr>
                  <w:t xml:space="preserve"> to </w:t>
                </w:r>
                <w:r>
                  <w:rPr>
                    <w:color w:val="EEF8FE"/>
                    <w:spacing w:val="-1"/>
                  </w:rPr>
                  <w:t>deal</w:t>
                </w:r>
                <w:r>
                  <w:rPr>
                    <w:color w:val="EEF8FE"/>
                  </w:rPr>
                  <w:t xml:space="preserve"> with </w:t>
                </w:r>
                <w:r>
                  <w:rPr>
                    <w:color w:val="EEF8FE"/>
                    <w:spacing w:val="-1"/>
                  </w:rPr>
                  <w:t>intergenerational</w:t>
                </w:r>
                <w:r>
                  <w:rPr>
                    <w:color w:val="EEF8FE"/>
                  </w:rPr>
                  <w:t xml:space="preserve"> equity issues    </w:t>
                </w:r>
                <w:r>
                  <w:fldChar w:fldCharType="begin"/>
                </w:r>
                <w:r>
                  <w:rPr>
                    <w:color w:val="EEF8FE"/>
                  </w:rPr>
                  <w:instrText xml:space="preserve"> PAGE </w:instrText>
                </w:r>
                <w:r>
                  <w:fldChar w:fldCharType="separate"/>
                </w:r>
                <w:r w:rsidR="00EB16D5">
                  <w:rPr>
                    <w:noProof/>
                    <w:color w:val="EEF8FE"/>
                  </w:rPr>
                  <w:t>161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74" style="position:absolute;margin-left:0;margin-top:789.45pt;width:595.3pt;height:52.45pt;z-index:-508696;mso-position-horizontal-relative:page;mso-position-vertical-relative:page" coordorigin=",15789" coordsize="11906,1049">
          <v:group id="_x0000_s2375" style="position:absolute;top:15789;width:11906;height:1049" coordorigin=",15789" coordsize="11906,1049">
            <v:shape id="_x0000_s2377"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6"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73" type="#_x0000_t202" style="position:absolute;margin-left:32.65pt;margin-top:801.75pt;width:16.4pt;height:12pt;z-index:-508672;mso-position-horizontal-relative:page;mso-position-vertical-relative:page" filled="f" stroked="f">
          <v:textbox style="mso-next-textbox:#_x0000_s2373"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10</w:t>
                </w:r>
                <w:r>
                  <w:fldChar w:fldCharType="end"/>
                </w:r>
              </w:p>
            </w:txbxContent>
          </v:textbox>
          <w10:wrap anchorx="page" anchory="page"/>
        </v:shape>
      </w:pict>
    </w:r>
    <w:r w:rsidRPr="00D96B91">
      <w:pict>
        <v:shape id="_x0000_s2372" type="#_x0000_t202" style="position:absolute;margin-left:61.05pt;margin-top:801.75pt;width:316.85pt;height:12pt;z-index:-508648;mso-position-horizontal-relative:page;mso-position-vertical-relative:page" filled="f" stroked="f">
          <v:textbox style="mso-next-textbox:#_x0000_s2372"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33" style="position:absolute;margin-left:0;margin-top:789.45pt;width:595.3pt;height:52.45pt;z-index:-506080;mso-position-horizontal-relative:page;mso-position-vertical-relative:page" coordorigin=",15789" coordsize="11906,1049">
          <v:group id="_x0000_s2134" style="position:absolute;top:15789;width:11906;height:1049" coordorigin=",15789" coordsize="11906,1049">
            <v:shape id="_x0000_s213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32" type="#_x0000_t202" style="position:absolute;margin-left:32.65pt;margin-top:801.75pt;width:345.25pt;height:12.05pt;z-index:-506056;mso-position-horizontal-relative:page;mso-position-vertical-relative:page" filled="f" stroked="f">
          <v:textbox style="mso-next-textbox:#_x0000_s2132"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178</w:t>
                </w:r>
                <w:r>
                  <w:fldChar w:fldCharType="end"/>
                </w:r>
                <w:r>
                  <w:rPr>
                    <w:color w:val="EEF8FE"/>
                  </w:rPr>
                  <w:t xml:space="preserve">  </w:t>
                </w:r>
                <w:r>
                  <w:rPr>
                    <w:color w:val="EEF8FE"/>
                    <w:spacing w:val="49"/>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38" style="position:absolute;margin-left:.15pt;margin-top:789.45pt;width:595.15pt;height:52.45pt;z-index:-506128;mso-position-horizontal-relative:page;mso-position-vertical-relative:page" coordorigin="3,15789" coordsize="11903,1049">
          <v:group id="_x0000_s2139" style="position:absolute;left:3;top:15789;width:11903;height:1049" coordorigin="3,15789" coordsize="11903,1049">
            <v:shape id="_x0000_s214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37" type="#_x0000_t202" style="position:absolute;margin-left:438.45pt;margin-top:801.75pt;width:123pt;height:12.05pt;z-index:-506104;mso-position-horizontal-relative:page;mso-position-vertical-relative:page" filled="f" stroked="f">
          <v:textbox style="mso-next-textbox:#_x0000_s2137" inset="0,0,0,0">
            <w:txbxContent>
              <w:p w:rsidR="008A79D5" w:rsidRDefault="008A79D5">
                <w:pPr>
                  <w:pStyle w:val="BodyText"/>
                  <w:spacing w:line="240" w:lineRule="exact"/>
                  <w:ind w:left="20"/>
                </w:pPr>
                <w:r>
                  <w:rPr>
                    <w:color w:val="EEF8FE"/>
                    <w:spacing w:val="-1"/>
                  </w:rPr>
                  <w:t>Estimation</w:t>
                </w:r>
                <w:r>
                  <w:rPr>
                    <w:color w:val="EEF8FE"/>
                  </w:rPr>
                  <w:t xml:space="preserve"> of</w:t>
                </w:r>
                <w:r>
                  <w:rPr>
                    <w:color w:val="EEF8FE"/>
                    <w:spacing w:val="2"/>
                  </w:rPr>
                  <w:t xml:space="preserve"> </w:t>
                </w:r>
                <w:r>
                  <w:rPr>
                    <w:color w:val="EEF8FE"/>
                    <w:spacing w:val="-3"/>
                  </w:rPr>
                  <w:t>WACC</w:t>
                </w:r>
                <w:r>
                  <w:rPr>
                    <w:color w:val="EEF8FE"/>
                  </w:rPr>
                  <w:t xml:space="preserve">    </w:t>
                </w:r>
                <w:r>
                  <w:fldChar w:fldCharType="begin"/>
                </w:r>
                <w:r>
                  <w:rPr>
                    <w:color w:val="EEF8FE"/>
                  </w:rPr>
                  <w:instrText xml:space="preserve"> PAGE </w:instrText>
                </w:r>
                <w:r>
                  <w:fldChar w:fldCharType="separate"/>
                </w:r>
                <w:r w:rsidR="005D7DEE">
                  <w:rPr>
                    <w:noProof/>
                    <w:color w:val="EEF8FE"/>
                  </w:rPr>
                  <w:t>179</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23" style="position:absolute;margin-left:0;margin-top:789.45pt;width:595.3pt;height:52.45pt;z-index:-505984;mso-position-horizontal-relative:page;mso-position-vertical-relative:page" coordorigin=",15789" coordsize="11906,1049">
          <v:group id="_x0000_s2124" style="position:absolute;top:15789;width:11906;height:1049" coordorigin=",15789" coordsize="11906,1049">
            <v:shape id="_x0000_s212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22" type="#_x0000_t202" style="position:absolute;margin-left:32.65pt;margin-top:801.75pt;width:345.25pt;height:12pt;z-index:-505960;mso-position-horizontal-relative:page;mso-position-vertical-relative:page" filled="f" stroked="f">
          <v:textbox style="mso-next-textbox:#_x0000_s2122"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184</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28" style="position:absolute;margin-left:.15pt;margin-top:789.45pt;width:595.15pt;height:52.45pt;z-index:-506032;mso-position-horizontal-relative:page;mso-position-vertical-relative:page" coordorigin="3,15789" coordsize="11903,1049">
          <v:group id="_x0000_s2129" style="position:absolute;left:3;top:15789;width:11903;height:1049" coordorigin="3,15789" coordsize="11903,1049">
            <v:shape id="_x0000_s213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27" type="#_x0000_t202" style="position:absolute;margin-left:396.65pt;margin-top:801.75pt;width:164.8pt;height:12pt;z-index:-506008;mso-position-horizontal-relative:page;mso-position-vertical-relative:page" filled="f" stroked="f">
          <v:textbox style="mso-next-textbox:#_x0000_s2127" inset="0,0,0,0">
            <w:txbxContent>
              <w:p w:rsidR="008A79D5" w:rsidRDefault="008A79D5">
                <w:pPr>
                  <w:pStyle w:val="BodyText"/>
                  <w:spacing w:line="240" w:lineRule="exact"/>
                  <w:ind w:left="20"/>
                </w:pPr>
                <w:r>
                  <w:rPr>
                    <w:color w:val="EEF8FE"/>
                  </w:rPr>
                  <w:t xml:space="preserve">Equity beta empirical analysis    </w:t>
                </w:r>
                <w:r>
                  <w:fldChar w:fldCharType="begin"/>
                </w:r>
                <w:r>
                  <w:rPr>
                    <w:color w:val="EEF8FE"/>
                  </w:rPr>
                  <w:instrText xml:space="preserve"> PAGE </w:instrText>
                </w:r>
                <w:r>
                  <w:fldChar w:fldCharType="separate"/>
                </w:r>
                <w:r w:rsidR="00EB16D5">
                  <w:rPr>
                    <w:noProof/>
                    <w:color w:val="EEF8FE"/>
                  </w:rPr>
                  <w:t>183</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13" style="position:absolute;margin-left:0;margin-top:789.45pt;width:595.3pt;height:52.45pt;z-index:-505888;mso-position-horizontal-relative:page;mso-position-vertical-relative:page" coordorigin=",15789" coordsize="11906,1049">
          <v:group id="_x0000_s2114" style="position:absolute;top:15789;width:11906;height:1049" coordorigin=",15789" coordsize="11906,1049">
            <v:shape id="_x0000_s211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12" type="#_x0000_t202" style="position:absolute;margin-left:32.65pt;margin-top:801.75pt;width:345.25pt;height:12pt;z-index:-505864;mso-position-horizontal-relative:page;mso-position-vertical-relative:page" filled="f" stroked="f">
          <v:textbox style="mso-next-textbox:#_x0000_s2112"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186</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18" style="position:absolute;margin-left:.15pt;margin-top:789.45pt;width:595.15pt;height:52.45pt;z-index:-505936;mso-position-horizontal-relative:page;mso-position-vertical-relative:page" coordorigin="3,15789" coordsize="11903,1049">
          <v:group id="_x0000_s2119" style="position:absolute;left:3;top:15789;width:11903;height:1049" coordorigin="3,15789" coordsize="11903,1049">
            <v:shape id="_x0000_s212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17" type="#_x0000_t202" style="position:absolute;margin-left:388.75pt;margin-top:801.75pt;width:172.65pt;height:12pt;z-index:-505912;mso-position-horizontal-relative:page;mso-position-vertical-relative:page" filled="f" stroked="f">
          <v:textbox style="mso-next-textbox:#_x0000_s2117" inset="0,0,0,0">
            <w:txbxContent>
              <w:p w:rsidR="008A79D5" w:rsidRDefault="008A79D5">
                <w:pPr>
                  <w:pStyle w:val="BodyText"/>
                  <w:spacing w:line="240" w:lineRule="exact"/>
                  <w:ind w:left="20"/>
                </w:pPr>
                <w:r>
                  <w:rPr>
                    <w:color w:val="EEF8FE"/>
                  </w:rPr>
                  <w:t xml:space="preserve">Suggested actions for the ICRC    </w:t>
                </w:r>
                <w:r>
                  <w:fldChar w:fldCharType="begin"/>
                </w:r>
                <w:r>
                  <w:rPr>
                    <w:color w:val="EEF8FE"/>
                  </w:rPr>
                  <w:instrText xml:space="preserve"> PAGE </w:instrText>
                </w:r>
                <w:r>
                  <w:fldChar w:fldCharType="separate"/>
                </w:r>
                <w:r w:rsidR="00EB16D5">
                  <w:rPr>
                    <w:noProof/>
                    <w:color w:val="EEF8FE"/>
                  </w:rPr>
                  <w:t>185</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03" style="position:absolute;margin-left:0;margin-top:789.45pt;width:595.3pt;height:52.45pt;z-index:-505792;mso-position-horizontal-relative:page;mso-position-vertical-relative:page" coordorigin=",15789" coordsize="11906,1049">
          <v:group id="_x0000_s2104" style="position:absolute;top:15789;width:11906;height:1049" coordorigin=",15789" coordsize="11906,1049">
            <v:shape id="_x0000_s210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02" type="#_x0000_t202" style="position:absolute;margin-left:32.65pt;margin-top:801.75pt;width:345.25pt;height:12pt;z-index:-505768;mso-position-horizontal-relative:page;mso-position-vertical-relative:page" filled="f" stroked="f">
          <v:textbox style="mso-next-textbox:#_x0000_s2102"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188</w:t>
                </w:r>
                <w:r>
                  <w:fldChar w:fldCharType="end"/>
                </w:r>
                <w:r>
                  <w:rPr>
                    <w:color w:val="EEF8FE"/>
                  </w:rPr>
                  <w:t xml:space="preserve">    </w:t>
                </w: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108" style="position:absolute;margin-left:.15pt;margin-top:789.45pt;width:595.15pt;height:52.45pt;z-index:-505840;mso-position-horizontal-relative:page;mso-position-vertical-relative:page" coordorigin="3,15789" coordsize="11903,1049">
          <v:group id="_x0000_s2109" style="position:absolute;left:3;top:15789;width:11903;height:1049" coordorigin="3,15789" coordsize="11903,1049">
            <v:shape id="_x0000_s211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107" type="#_x0000_t202" style="position:absolute;margin-left:480.65pt;margin-top:801.75pt;width:80.8pt;height:12pt;z-index:-505816;mso-position-horizontal-relative:page;mso-position-vertical-relative:page" filled="f" stroked="f">
          <v:textbox style="mso-next-textbox:#_x0000_s2107" inset="0,0,0,0">
            <w:txbxContent>
              <w:p w:rsidR="008A79D5" w:rsidRDefault="008A79D5">
                <w:pPr>
                  <w:pStyle w:val="BodyText"/>
                  <w:spacing w:line="240" w:lineRule="exact"/>
                  <w:ind w:left="20"/>
                </w:pPr>
                <w:r>
                  <w:rPr>
                    <w:color w:val="EEF8FE"/>
                    <w:spacing w:val="-1"/>
                  </w:rPr>
                  <w:t>References</w:t>
                </w:r>
                <w:r>
                  <w:rPr>
                    <w:color w:val="EEF8FE"/>
                  </w:rPr>
                  <w:t xml:space="preserve">    </w:t>
                </w:r>
                <w:r>
                  <w:fldChar w:fldCharType="begin"/>
                </w:r>
                <w:r>
                  <w:rPr>
                    <w:color w:val="EEF8FE"/>
                  </w:rPr>
                  <w:instrText xml:space="preserve"> PAGE </w:instrText>
                </w:r>
                <w:r>
                  <w:fldChar w:fldCharType="separate"/>
                </w:r>
                <w:r w:rsidR="005D7DEE">
                  <w:rPr>
                    <w:noProof/>
                    <w:color w:val="EEF8FE"/>
                  </w:rPr>
                  <w:t>187</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98" style="position:absolute;margin-left:.15pt;margin-top:789.45pt;width:595.15pt;height:52.45pt;z-index:-505744;mso-position-horizontal-relative:page;mso-position-vertical-relative:page" coordorigin="3,15789" coordsize="11903,1049">
          <v:group id="_x0000_s2099" style="position:absolute;left:3;top:15789;width:11903;height:1049" coordorigin="3,15789" coordsize="11903,1049">
            <v:shape id="_x0000_s2101"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97" type="#_x0000_t202" style="position:absolute;margin-left:386.4pt;margin-top:801.75pt;width:175.05pt;height:12pt;z-index:-505720;mso-position-horizontal-relative:page;mso-position-vertical-relative:page" filled="f" stroked="f">
          <v:textbox style="mso-next-textbox:#_x0000_s2097" inset="0,0,0,0">
            <w:txbxContent>
              <w:p w:rsidR="008A79D5" w:rsidRDefault="008A79D5">
                <w:pPr>
                  <w:pStyle w:val="BodyText"/>
                  <w:spacing w:line="240" w:lineRule="exact"/>
                  <w:ind w:left="20"/>
                </w:pPr>
                <w:r>
                  <w:rPr>
                    <w:color w:val="EEF8FE"/>
                    <w:spacing w:val="-2"/>
                  </w:rPr>
                  <w:t>Draft</w:t>
                </w:r>
                <w:r>
                  <w:rPr>
                    <w:color w:val="EEF8FE"/>
                  </w:rPr>
                  <w:t xml:space="preserve"> substituted price </w:t>
                </w:r>
                <w:r>
                  <w:rPr>
                    <w:color w:val="EEF8FE"/>
                    <w:spacing w:val="-1"/>
                  </w:rPr>
                  <w:t>direction</w:t>
                </w:r>
                <w:r>
                  <w:rPr>
                    <w:color w:val="EEF8FE"/>
                  </w:rPr>
                  <w:t xml:space="preserve">    </w:t>
                </w:r>
                <w:r>
                  <w:fldChar w:fldCharType="begin"/>
                </w:r>
                <w:r>
                  <w:rPr>
                    <w:color w:val="EEF8FE"/>
                  </w:rPr>
                  <w:instrText xml:space="preserve"> PAGE </w:instrText>
                </w:r>
                <w:r>
                  <w:fldChar w:fldCharType="separate"/>
                </w:r>
                <w:r w:rsidR="005D7DEE">
                  <w:rPr>
                    <w:noProof/>
                    <w:color w:val="EEF8FE"/>
                  </w:rPr>
                  <w:t>189</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79" style="position:absolute;margin-left:.15pt;margin-top:789.45pt;width:595.15pt;height:52.45pt;z-index:-508744;mso-position-horizontal-relative:page;mso-position-vertical-relative:page" coordorigin="3,15789" coordsize="11903,1049">
          <v:group id="_x0000_s2380" style="position:absolute;left:3;top:15789;width:11903;height:1049" coordorigin="3,15789" coordsize="11903,1049">
            <v:shape id="_x0000_s2382"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1"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78" type="#_x0000_t202" style="position:absolute;margin-left:547.55pt;margin-top:801.75pt;width:13.9pt;height:12pt;z-index:-508720;mso-position-horizontal-relative:page;mso-position-vertical-relative:page" filled="f" stroked="f">
          <v:textbox style="mso-next-textbox:#_x0000_s2378"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EB16D5">
                  <w:rPr>
                    <w:noProof/>
                    <w:color w:val="EEF8FE"/>
                  </w:rPr>
                  <w:t>11</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93" style="position:absolute;margin-left:.15pt;margin-top:789.45pt;width:595.15pt;height:52.45pt;z-index:-505696;mso-position-horizontal-relative:page;mso-position-vertical-relative:page" coordorigin="3,15789" coordsize="11903,1049">
          <v:group id="_x0000_s2094" style="position:absolute;left:3;top:15789;width:11903;height:1049" coordorigin="3,15789" coordsize="11903,1049">
            <v:shape id="_x0000_s2096"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92" type="#_x0000_t202" style="position:absolute;margin-left:386.4pt;margin-top:801.75pt;width:146.65pt;height:12pt;z-index:-505672;mso-position-horizontal-relative:page;mso-position-vertical-relative:page" filled="f" stroked="f">
          <v:textbox style="mso-next-textbox:#_x0000_s2092" inset="0,0,0,0">
            <w:txbxContent>
              <w:p w:rsidR="008A79D5" w:rsidRDefault="008A79D5">
                <w:pPr>
                  <w:pStyle w:val="BodyText"/>
                  <w:spacing w:line="240" w:lineRule="exact"/>
                  <w:ind w:left="20"/>
                  <w:rPr>
                    <w:rFonts w:cs="Avenir Next"/>
                  </w:rPr>
                </w:pPr>
                <w:r>
                  <w:rPr>
                    <w:color w:val="EEF8FE"/>
                    <w:spacing w:val="-2"/>
                  </w:rPr>
                  <w:t>Draft</w:t>
                </w:r>
                <w:r>
                  <w:rPr>
                    <w:color w:val="EEF8FE"/>
                  </w:rPr>
                  <w:t xml:space="preserve"> substituted price </w:t>
                </w:r>
                <w:r>
                  <w:rPr>
                    <w:color w:val="EEF8FE"/>
                    <w:spacing w:val="-1"/>
                  </w:rPr>
                  <w:t>direction</w:t>
                </w:r>
              </w:p>
            </w:txbxContent>
          </v:textbox>
          <w10:wrap anchorx="page" anchory="page"/>
        </v:shape>
      </w:pict>
    </w:r>
    <w:r w:rsidRPr="00D96B91">
      <w:pict>
        <v:shape id="_x0000_s2091" type="#_x0000_t202" style="position:absolute;margin-left:555.9pt;margin-top:801.75pt;width:4.5pt;height:12pt;z-index:-505648;mso-position-horizontal-relative:page;mso-position-vertical-relative:page" filled="f" stroked="f">
          <v:textbox style="mso-next-textbox:#_x0000_s2091" inset="0,0,0,0">
            <w:txbxContent>
              <w:p w:rsidR="008A79D5" w:rsidRDefault="008A79D5">
                <w:pPr>
                  <w:pStyle w:val="BodyText"/>
                  <w:spacing w:line="240" w:lineRule="exact"/>
                  <w:ind w:left="20"/>
                  <w:rPr>
                    <w:rFonts w:cs="Avenir Next"/>
                  </w:rPr>
                </w:pPr>
                <w:r>
                  <w:rPr>
                    <w:color w:val="EEF8FE"/>
                  </w:rPr>
                  <w:t>i</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87" style="position:absolute;margin-left:.15pt;margin-top:789.45pt;width:595.15pt;height:52.45pt;z-index:-505624;mso-position-horizontal-relative:page;mso-position-vertical-relative:page" coordorigin="3,15789" coordsize="11903,1049">
          <v:group id="_x0000_s2088" style="position:absolute;left:3;top:15789;width:11903;height:1049" coordorigin="3,15789" coordsize="11903,1049">
            <v:shape id="_x0000_s2090"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86" type="#_x0000_t202" style="position:absolute;margin-left:386.4pt;margin-top:801.75pt;width:146.65pt;height:12pt;z-index:-505600;mso-position-horizontal-relative:page;mso-position-vertical-relative:page" filled="f" stroked="f">
          <v:textbox style="mso-next-textbox:#_x0000_s2086" inset="0,0,0,0">
            <w:txbxContent>
              <w:p w:rsidR="008A79D5" w:rsidRDefault="008A79D5">
                <w:pPr>
                  <w:pStyle w:val="BodyText"/>
                  <w:spacing w:line="240" w:lineRule="exact"/>
                  <w:ind w:left="20"/>
                  <w:rPr>
                    <w:rFonts w:cs="Avenir Next"/>
                  </w:rPr>
                </w:pPr>
                <w:r>
                  <w:rPr>
                    <w:color w:val="EEF8FE"/>
                    <w:spacing w:val="-2"/>
                  </w:rPr>
                  <w:t>Draft</w:t>
                </w:r>
                <w:r>
                  <w:rPr>
                    <w:color w:val="EEF8FE"/>
                  </w:rPr>
                  <w:t xml:space="preserve"> substituted price </w:t>
                </w:r>
                <w:r>
                  <w:rPr>
                    <w:color w:val="EEF8FE"/>
                    <w:spacing w:val="-1"/>
                  </w:rPr>
                  <w:t>direction</w:t>
                </w:r>
              </w:p>
            </w:txbxContent>
          </v:textbox>
          <w10:wrap anchorx="page" anchory="page"/>
        </v:shape>
      </w:pict>
    </w:r>
    <w:r w:rsidRPr="00D96B91">
      <w:pict>
        <v:shape id="_x0000_s2085" type="#_x0000_t202" style="position:absolute;margin-left:550.9pt;margin-top:801.75pt;width:9.5pt;height:12pt;z-index:-505576;mso-position-horizontal-relative:page;mso-position-vertical-relative:page" filled="f" stroked="f">
          <v:textbox style="mso-next-textbox:#_x0000_s2085" inset="0,0,0,0">
            <w:txbxContent>
              <w:p w:rsidR="008A79D5" w:rsidRDefault="008A79D5">
                <w:pPr>
                  <w:pStyle w:val="BodyText"/>
                  <w:spacing w:line="240" w:lineRule="exact"/>
                  <w:ind w:left="20"/>
                  <w:rPr>
                    <w:rFonts w:cs="Avenir Next"/>
                  </w:rPr>
                </w:pPr>
                <w:r>
                  <w:rPr>
                    <w:color w:val="EEF8FE"/>
                  </w:rPr>
                  <w:t>iii</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75" style="position:absolute;margin-left:0;margin-top:789.45pt;width:595.3pt;height:52.45pt;z-index:-505480;mso-position-horizontal-relative:page;mso-position-vertical-relative:page" coordorigin=",15789" coordsize="11906,1049">
          <v:group id="_x0000_s2076" style="position:absolute;top:15789;width:11906;height:1049" coordorigin=",15789" coordsize="11906,1049">
            <v:shape id="_x0000_s2078"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74" type="#_x0000_t202" style="position:absolute;margin-left:32.65pt;margin-top:801.75pt;width:15.6pt;height:12.05pt;z-index:-505456;mso-position-horizontal-relative:page;mso-position-vertical-relative:page" filled="f" stroked="f">
          <v:textbox style="mso-next-textbox:#_x0000_s2074"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5D7DEE">
                  <w:rPr>
                    <w:noProof/>
                    <w:color w:val="EEF8FE"/>
                  </w:rPr>
                  <w:t>2</w:t>
                </w:r>
                <w:r>
                  <w:fldChar w:fldCharType="end"/>
                </w:r>
              </w:p>
            </w:txbxContent>
          </v:textbox>
          <w10:wrap anchorx="page" anchory="page"/>
        </v:shape>
      </w:pict>
    </w:r>
    <w:r w:rsidRPr="00D96B91">
      <w:pict>
        <v:shape id="_x0000_s2073" type="#_x0000_t202" style="position:absolute;margin-left:61.05pt;margin-top:801.75pt;width:316.85pt;height:12pt;z-index:-505432;mso-position-horizontal-relative:page;mso-position-vertical-relative:page" filled="f" stroked="f">
          <v:textbox style="mso-next-textbox:#_x0000_s2073"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81" style="position:absolute;margin-left:.15pt;margin-top:789.45pt;width:595.15pt;height:52.45pt;z-index:-505552;mso-position-horizontal-relative:page;mso-position-vertical-relative:page" coordorigin="3,15789" coordsize="11903,1049">
          <v:group id="_x0000_s2082" style="position:absolute;left:3;top:15789;width:11903;height:1049" coordorigin="3,15789" coordsize="11903,1049">
            <v:shape id="_x0000_s2084"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80" type="#_x0000_t202" style="position:absolute;margin-left:386.4pt;margin-top:801.75pt;width:146.65pt;height:12pt;z-index:-505528;mso-position-horizontal-relative:page;mso-position-vertical-relative:page" filled="f" stroked="f">
          <v:textbox style="mso-next-textbox:#_x0000_s2080" inset="0,0,0,0">
            <w:txbxContent>
              <w:p w:rsidR="008A79D5" w:rsidRDefault="008A79D5">
                <w:pPr>
                  <w:pStyle w:val="BodyText"/>
                  <w:spacing w:line="240" w:lineRule="exact"/>
                  <w:ind w:left="20"/>
                  <w:rPr>
                    <w:rFonts w:cs="Avenir Next"/>
                  </w:rPr>
                </w:pPr>
                <w:r>
                  <w:rPr>
                    <w:color w:val="EEF8FE"/>
                    <w:spacing w:val="-2"/>
                  </w:rPr>
                  <w:t>Draft</w:t>
                </w:r>
                <w:r>
                  <w:rPr>
                    <w:color w:val="EEF8FE"/>
                  </w:rPr>
                  <w:t xml:space="preserve"> substituted price </w:t>
                </w:r>
                <w:r>
                  <w:rPr>
                    <w:color w:val="EEF8FE"/>
                    <w:spacing w:val="-1"/>
                  </w:rPr>
                  <w:t>direction</w:t>
                </w:r>
              </w:p>
            </w:txbxContent>
          </v:textbox>
          <w10:wrap anchorx="page" anchory="page"/>
        </v:shape>
      </w:pict>
    </w:r>
    <w:r w:rsidRPr="00D96B91">
      <w:pict>
        <v:shape id="_x0000_s2079" type="#_x0000_t202" style="position:absolute;margin-left:551.6pt;margin-top:801.75pt;width:9.85pt;height:12.05pt;z-index:-505504;mso-position-horizontal-relative:page;mso-position-vertical-relative:page" filled="f" stroked="f">
          <v:textbox style="mso-next-textbox:#_x0000_s2079"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63" style="position:absolute;margin-left:0;margin-top:789.45pt;width:595.3pt;height:52.45pt;z-index:-505336;mso-position-horizontal-relative:page;mso-position-vertical-relative:page" coordorigin=",15789" coordsize="11906,1049">
          <v:group id="_x0000_s2064" style="position:absolute;top:15789;width:11906;height:1049" coordorigin=",15789" coordsize="11906,1049">
            <v:shape id="_x0000_s2066"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62" type="#_x0000_t202" style="position:absolute;margin-left:32.65pt;margin-top:801.75pt;width:15.6pt;height:12pt;z-index:-505312;mso-position-horizontal-relative:page;mso-position-vertical-relative:page" filled="f" stroked="f">
          <v:textbox style="mso-next-textbox:#_x0000_s2062"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5D7DEE">
                  <w:rPr>
                    <w:noProof/>
                    <w:color w:val="EEF8FE"/>
                  </w:rPr>
                  <w:t>12</w:t>
                </w:r>
                <w:r>
                  <w:fldChar w:fldCharType="end"/>
                </w:r>
              </w:p>
            </w:txbxContent>
          </v:textbox>
          <w10:wrap anchorx="page" anchory="page"/>
        </v:shape>
      </w:pict>
    </w:r>
    <w:r w:rsidRPr="00D96B91">
      <w:pict>
        <v:shape id="_x0000_s2061" type="#_x0000_t202" style="position:absolute;margin-left:61.05pt;margin-top:801.75pt;width:316.85pt;height:12pt;z-index:-505288;mso-position-horizontal-relative:page;mso-position-vertical-relative:page" filled="f" stroked="f">
          <v:textbox style="mso-next-textbox:#_x0000_s2061"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69" style="position:absolute;margin-left:.15pt;margin-top:789.45pt;width:595.15pt;height:52.45pt;z-index:-505408;mso-position-horizontal-relative:page;mso-position-vertical-relative:page" coordorigin="3,15789" coordsize="11903,1049">
          <v:group id="_x0000_s2070" style="position:absolute;left:3;top:15789;width:11903;height:1049" coordorigin="3,15789" coordsize="11903,1049">
            <v:shape id="_x0000_s2072"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68" type="#_x0000_t202" style="position:absolute;margin-left:386.4pt;margin-top:801.75pt;width:146.65pt;height:12pt;z-index:-505384;mso-position-horizontal-relative:page;mso-position-vertical-relative:page" filled="f" stroked="f">
          <v:textbox style="mso-next-textbox:#_x0000_s2068" inset="0,0,0,0">
            <w:txbxContent>
              <w:p w:rsidR="008A79D5" w:rsidRDefault="008A79D5">
                <w:pPr>
                  <w:pStyle w:val="BodyText"/>
                  <w:spacing w:line="240" w:lineRule="exact"/>
                  <w:ind w:left="20"/>
                  <w:rPr>
                    <w:rFonts w:cs="Avenir Next"/>
                  </w:rPr>
                </w:pPr>
                <w:r>
                  <w:rPr>
                    <w:color w:val="EEF8FE"/>
                    <w:spacing w:val="-2"/>
                  </w:rPr>
                  <w:t>Draft</w:t>
                </w:r>
                <w:r>
                  <w:rPr>
                    <w:color w:val="EEF8FE"/>
                  </w:rPr>
                  <w:t xml:space="preserve"> substituted price </w:t>
                </w:r>
                <w:r>
                  <w:rPr>
                    <w:color w:val="EEF8FE"/>
                    <w:spacing w:val="-1"/>
                  </w:rPr>
                  <w:t>direction</w:t>
                </w:r>
              </w:p>
            </w:txbxContent>
          </v:textbox>
          <w10:wrap anchorx="page" anchory="page"/>
        </v:shape>
      </w:pict>
    </w:r>
    <w:r w:rsidRPr="00D96B91">
      <w:pict>
        <v:shape id="_x0000_s2067" type="#_x0000_t202" style="position:absolute;margin-left:546.8pt;margin-top:801.75pt;width:13.6pt;height:12pt;z-index:-505360;mso-position-horizontal-relative:page;mso-position-vertical-relative:page" filled="f" stroked="f">
          <v:textbox style="mso-next-textbox:#_x0000_s2067" inset="0,0,0,0">
            <w:txbxContent>
              <w:p w:rsidR="008A79D5" w:rsidRDefault="008A79D5">
                <w:pPr>
                  <w:pStyle w:val="BodyText"/>
                  <w:spacing w:line="240" w:lineRule="exact"/>
                  <w:ind w:left="20"/>
                  <w:rPr>
                    <w:rFonts w:cs="Avenir Next"/>
                  </w:rPr>
                </w:pPr>
                <w:r>
                  <w:rPr>
                    <w:color w:val="EEF8FE"/>
                  </w:rPr>
                  <w:t>11</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51" style="position:absolute;margin-left:0;margin-top:789.45pt;width:595.3pt;height:52.45pt;z-index:-505192;mso-position-horizontal-relative:page;mso-position-vertical-relative:page" coordorigin=",15789" coordsize="11906,1049">
          <v:group id="_x0000_s2052" style="position:absolute;top:15789;width:11906;height:1049" coordorigin=",15789" coordsize="11906,1049">
            <v:shape id="_x0000_s2054"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50" type="#_x0000_t202" style="position:absolute;margin-left:32.65pt;margin-top:801.75pt;width:15.6pt;height:12pt;z-index:-505168;mso-position-horizontal-relative:page;mso-position-vertical-relative:page" filled="f" stroked="f">
          <v:textbox style="mso-next-textbox:#_x0000_s2050" inset="0,0,0,0">
            <w:txbxContent>
              <w:p w:rsidR="008A79D5" w:rsidRDefault="008A79D5">
                <w:pPr>
                  <w:pStyle w:val="BodyText"/>
                  <w:spacing w:line="240" w:lineRule="exact"/>
                  <w:ind w:left="40"/>
                  <w:rPr>
                    <w:rFonts w:cs="Avenir Next"/>
                  </w:rPr>
                </w:pPr>
                <w:r>
                  <w:fldChar w:fldCharType="begin"/>
                </w:r>
                <w:r>
                  <w:rPr>
                    <w:color w:val="EEF8FE"/>
                  </w:rPr>
                  <w:instrText xml:space="preserve"> PAGE </w:instrText>
                </w:r>
                <w:r>
                  <w:fldChar w:fldCharType="separate"/>
                </w:r>
                <w:r w:rsidR="005D7DEE">
                  <w:rPr>
                    <w:noProof/>
                    <w:color w:val="EEF8FE"/>
                  </w:rPr>
                  <w:t>14</w:t>
                </w:r>
                <w:r>
                  <w:fldChar w:fldCharType="end"/>
                </w:r>
              </w:p>
            </w:txbxContent>
          </v:textbox>
          <w10:wrap anchorx="page" anchory="page"/>
        </v:shape>
      </w:pict>
    </w:r>
    <w:r w:rsidRPr="00D96B91">
      <w:pict>
        <v:shape id="_x0000_s2049" type="#_x0000_t202" style="position:absolute;margin-left:61.05pt;margin-top:801.75pt;width:316.85pt;height:12pt;z-index:-505144;mso-position-horizontal-relative:page;mso-position-vertical-relative:page" filled="f" stroked="f">
          <v:textbox style="mso-next-textbox:#_x0000_s2049"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057" style="position:absolute;margin-left:.15pt;margin-top:789.45pt;width:595.15pt;height:52.45pt;z-index:-505264;mso-position-horizontal-relative:page;mso-position-vertical-relative:page" coordorigin="3,15789" coordsize="11903,1049">
          <v:group id="_x0000_s2058" style="position:absolute;left:3;top:15789;width:11903;height:1049" coordorigin="3,15789" coordsize="11903,1049">
            <v:shape id="_x0000_s2060" style="position:absolute;left:3;top:15789;width:11903;height:1049" coordorigin="3,15789" coordsize="11903,1049" path="m11906,15789l3,15789r,1049l11906,16838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3;top:15789;width:11903;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056" type="#_x0000_t202" style="position:absolute;margin-left:386.4pt;margin-top:801.75pt;width:146.65pt;height:12pt;z-index:-505240;mso-position-horizontal-relative:page;mso-position-vertical-relative:page" filled="f" stroked="f">
          <v:textbox style="mso-next-textbox:#_x0000_s2056" inset="0,0,0,0">
            <w:txbxContent>
              <w:p w:rsidR="008A79D5" w:rsidRDefault="008A79D5">
                <w:pPr>
                  <w:pStyle w:val="BodyText"/>
                  <w:spacing w:line="240" w:lineRule="exact"/>
                  <w:ind w:left="20"/>
                  <w:rPr>
                    <w:rFonts w:cs="Avenir Next"/>
                  </w:rPr>
                </w:pPr>
                <w:r>
                  <w:rPr>
                    <w:color w:val="EEF8FE"/>
                    <w:spacing w:val="-2"/>
                  </w:rPr>
                  <w:t>Draft</w:t>
                </w:r>
                <w:r>
                  <w:rPr>
                    <w:color w:val="EEF8FE"/>
                  </w:rPr>
                  <w:t xml:space="preserve"> substituted price </w:t>
                </w:r>
                <w:r>
                  <w:rPr>
                    <w:color w:val="EEF8FE"/>
                    <w:spacing w:val="-1"/>
                  </w:rPr>
                  <w:t>direction</w:t>
                </w:r>
              </w:p>
            </w:txbxContent>
          </v:textbox>
          <w10:wrap anchorx="page" anchory="page"/>
        </v:shape>
      </w:pict>
    </w:r>
    <w:r w:rsidRPr="00D96B91">
      <w:pict>
        <v:shape id="_x0000_s2055" type="#_x0000_t202" style="position:absolute;margin-left:546.8pt;margin-top:801.75pt;width:13.6pt;height:12pt;z-index:-505216;mso-position-horizontal-relative:page;mso-position-vertical-relative:page" filled="f" stroked="f">
          <v:textbox style="mso-next-textbox:#_x0000_s2055" inset="0,0,0,0">
            <w:txbxContent>
              <w:p w:rsidR="008A79D5" w:rsidRDefault="008A79D5">
                <w:pPr>
                  <w:pStyle w:val="BodyText"/>
                  <w:spacing w:line="240" w:lineRule="exact"/>
                  <w:ind w:left="20"/>
                </w:pPr>
                <w:r>
                  <w:rPr>
                    <w:color w:val="EEF8FE"/>
                  </w:rPr>
                  <w:t>13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D5" w:rsidRDefault="008A79D5">
    <w:pPr>
      <w:spacing w:line="14" w:lineRule="auto"/>
      <w:rPr>
        <w:sz w:val="20"/>
        <w:szCs w:val="20"/>
      </w:rPr>
    </w:pPr>
    <w:r w:rsidRPr="00D96B91">
      <w:pict>
        <v:group id="_x0000_s2362" style="position:absolute;margin-left:0;margin-top:789.45pt;width:595.3pt;height:52.45pt;z-index:-508552;mso-position-horizontal-relative:page;mso-position-vertical-relative:page" coordorigin=",15789" coordsize="11906,1049">
          <v:group id="_x0000_s2363" style="position:absolute;top:15789;width:11906;height:1049" coordorigin=",15789" coordsize="11906,1049">
            <v:shape id="_x0000_s2365" style="position:absolute;top:15789;width:11906;height:1049" coordorigin=",15789" coordsize="11906,1049" path="m,16838r11906,l11906,15789,,15789r,1049xe" fillcolor="#0778b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4" type="#_x0000_t75" style="position:absolute;top:15789;width:11906;height:1049">
              <v:imagedata r:id="rId1" o:title=""/>
            </v:shape>
          </v:group>
          <w10:wrap anchorx="page" anchory="page"/>
        </v:group>
      </w:pict>
    </w:r>
    <w:r w:rsidRPr="00D96B91">
      <w:pict>
        <v:shapetype id="_x0000_t202" coordsize="21600,21600" o:spt="202" path="m,l,21600r21600,l21600,xe">
          <v:stroke joinstyle="miter"/>
          <v:path gradientshapeok="t" o:connecttype="rect"/>
        </v:shapetype>
        <v:shape id="_x0000_s2361" type="#_x0000_t202" style="position:absolute;margin-left:32.65pt;margin-top:801.75pt;width:15.6pt;height:12.05pt;z-index:-508528;mso-position-horizontal-relative:page;mso-position-vertical-relative:page" filled="f" stroked="f">
          <v:textbox style="mso-next-textbox:#_x0000_s2361" inset="0,0,0,0">
            <w:txbxContent>
              <w:p w:rsidR="008A79D5" w:rsidRDefault="008A79D5">
                <w:pPr>
                  <w:pStyle w:val="BodyText"/>
                  <w:spacing w:line="240" w:lineRule="exact"/>
                  <w:ind w:left="40"/>
                </w:pPr>
                <w:r>
                  <w:fldChar w:fldCharType="begin"/>
                </w:r>
                <w:r>
                  <w:rPr>
                    <w:color w:val="EEF8FE"/>
                  </w:rPr>
                  <w:instrText xml:space="preserve"> PAGE </w:instrText>
                </w:r>
                <w:r>
                  <w:fldChar w:fldCharType="separate"/>
                </w:r>
                <w:r w:rsidR="00EB16D5">
                  <w:rPr>
                    <w:noProof/>
                    <w:color w:val="EEF8FE"/>
                  </w:rPr>
                  <w:t>10</w:t>
                </w:r>
                <w:r>
                  <w:fldChar w:fldCharType="end"/>
                </w:r>
              </w:p>
            </w:txbxContent>
          </v:textbox>
          <w10:wrap anchorx="page" anchory="page"/>
        </v:shape>
      </w:pict>
    </w:r>
    <w:r w:rsidRPr="00D96B91">
      <w:pict>
        <v:shape id="_x0000_s2360" type="#_x0000_t202" style="position:absolute;margin-left:61.05pt;margin-top:801.75pt;width:316.85pt;height:12pt;z-index:-508504;mso-position-horizontal-relative:page;mso-position-vertical-relative:page" filled="f" stroked="f">
          <v:textbox style="mso-next-textbox:#_x0000_s2360" inset="0,0,0,0">
            <w:txbxContent>
              <w:p w:rsidR="008A79D5" w:rsidRDefault="008A79D5">
                <w:pPr>
                  <w:pStyle w:val="BodyText"/>
                  <w:spacing w:line="240" w:lineRule="exact"/>
                  <w:ind w:left="20"/>
                  <w:rPr>
                    <w:rFonts w:cs="Avenir Next"/>
                  </w:rPr>
                </w:pPr>
                <w:r>
                  <w:rPr>
                    <w:rFonts w:cs="Avenir Next"/>
                    <w:color w:val="EEF8FE"/>
                  </w:rPr>
                  <w:t xml:space="preserve">Industry </w:t>
                </w:r>
                <w:r>
                  <w:rPr>
                    <w:rFonts w:cs="Avenir Next"/>
                    <w:color w:val="EEF8FE"/>
                    <w:spacing w:val="-3"/>
                  </w:rPr>
                  <w:t>Panel</w:t>
                </w:r>
                <w:r>
                  <w:rPr>
                    <w:rFonts w:cs="Avenir Next"/>
                    <w:color w:val="EEF8FE"/>
                  </w:rPr>
                  <w:t xml:space="preserve"> </w:t>
                </w:r>
                <w:r>
                  <w:rPr>
                    <w:rFonts w:cs="Avenir Next"/>
                    <w:color w:val="EEF8FE"/>
                    <w:spacing w:val="-1"/>
                  </w:rPr>
                  <w:t>Review</w:t>
                </w:r>
                <w:r>
                  <w:rPr>
                    <w:rFonts w:cs="Avenir Next"/>
                    <w:color w:val="EEF8FE"/>
                  </w:rPr>
                  <w:t xml:space="preserve"> of</w:t>
                </w:r>
                <w:r>
                  <w:rPr>
                    <w:rFonts w:cs="Avenir Next"/>
                    <w:color w:val="EEF8FE"/>
                    <w:spacing w:val="4"/>
                  </w:rPr>
                  <w:t xml:space="preserve"> </w:t>
                </w:r>
                <w:r>
                  <w:rPr>
                    <w:rFonts w:cs="Avenir Next"/>
                    <w:color w:val="EEF8FE"/>
                  </w:rPr>
                  <w:t xml:space="preserve">the </w:t>
                </w:r>
                <w:r>
                  <w:rPr>
                    <w:rFonts w:cs="Avenir Next"/>
                    <w:color w:val="EEF8FE"/>
                    <w:spacing w:val="-2"/>
                  </w:rPr>
                  <w:t>ICRC’s</w:t>
                </w:r>
                <w:r>
                  <w:rPr>
                    <w:rFonts w:cs="Avenir Next"/>
                    <w:color w:val="EEF8FE"/>
                  </w:rPr>
                  <w:t xml:space="preserve"> 2013 </w:t>
                </w:r>
                <w:r>
                  <w:rPr>
                    <w:rFonts w:cs="Avenir Next"/>
                    <w:color w:val="EEF8FE"/>
                    <w:spacing w:val="-2"/>
                  </w:rPr>
                  <w:t>Price</w:t>
                </w:r>
                <w:r>
                  <w:rPr>
                    <w:rFonts w:cs="Avenir Next"/>
                    <w:color w:val="EEF8FE"/>
                  </w:rPr>
                  <w:t xml:space="preserve"> </w:t>
                </w:r>
                <w:r>
                  <w:rPr>
                    <w:rFonts w:cs="Avenir Next"/>
                    <w:color w:val="EEF8FE"/>
                    <w:spacing w:val="-1"/>
                  </w:rPr>
                  <w:t>Direction:</w:t>
                </w:r>
                <w:r>
                  <w:rPr>
                    <w:rFonts w:cs="Avenir Next"/>
                    <w:color w:val="EEF8FE"/>
                  </w:rPr>
                  <w:t xml:space="preserve"> </w:t>
                </w:r>
                <w:r>
                  <w:rPr>
                    <w:rFonts w:cs="Avenir Next"/>
                    <w:color w:val="EEF8FE"/>
                    <w:spacing w:val="-2"/>
                  </w:rPr>
                  <w:t>Draft</w:t>
                </w:r>
                <w:r>
                  <w:rPr>
                    <w:rFonts w:cs="Avenir Next"/>
                    <w:color w:val="EEF8FE"/>
                  </w:rPr>
                  <w:t xml:space="preserve"> </w:t>
                </w:r>
                <w:r>
                  <w:rPr>
                    <w:rFonts w:cs="Avenir Next"/>
                    <w:color w:val="EEF8FE"/>
                    <w:spacing w:val="-1"/>
                  </w:rPr>
                  <w:t>Report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9D5" w:rsidRDefault="008A79D5" w:rsidP="00D96B91">
      <w:r>
        <w:separator/>
      </w:r>
    </w:p>
  </w:footnote>
  <w:footnote w:type="continuationSeparator" w:id="0">
    <w:p w:rsidR="008A79D5" w:rsidRDefault="008A79D5" w:rsidP="00D96B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C36"/>
    <w:multiLevelType w:val="multilevel"/>
    <w:tmpl w:val="E2184E08"/>
    <w:lvl w:ilvl="0">
      <w:start w:val="12"/>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1">
    <w:nsid w:val="0426615C"/>
    <w:multiLevelType w:val="hybridMultilevel"/>
    <w:tmpl w:val="C75E00E0"/>
    <w:lvl w:ilvl="0" w:tplc="1382E0E0">
      <w:start w:val="121"/>
      <w:numFmt w:val="decimal"/>
      <w:lvlText w:val="%1"/>
      <w:lvlJc w:val="left"/>
      <w:pPr>
        <w:ind w:left="1757" w:hanging="511"/>
      </w:pPr>
      <w:rPr>
        <w:rFonts w:ascii="Avenir Next" w:eastAsia="Avenir Next" w:hAnsi="Avenir Next" w:hint="default"/>
        <w:spacing w:val="-4"/>
        <w:sz w:val="16"/>
        <w:szCs w:val="16"/>
      </w:rPr>
    </w:lvl>
    <w:lvl w:ilvl="1" w:tplc="AB601F66">
      <w:start w:val="1"/>
      <w:numFmt w:val="bullet"/>
      <w:lvlText w:val="•"/>
      <w:lvlJc w:val="left"/>
      <w:pPr>
        <w:ind w:left="1984" w:hanging="227"/>
      </w:pPr>
      <w:rPr>
        <w:rFonts w:ascii="Avenir Next" w:eastAsia="Avenir Next" w:hAnsi="Avenir Next" w:hint="default"/>
        <w:sz w:val="16"/>
        <w:szCs w:val="16"/>
      </w:rPr>
    </w:lvl>
    <w:lvl w:ilvl="2" w:tplc="E820BF4E">
      <w:start w:val="1"/>
      <w:numFmt w:val="bullet"/>
      <w:lvlText w:val="•"/>
      <w:lvlJc w:val="left"/>
      <w:pPr>
        <w:ind w:left="2097" w:hanging="227"/>
      </w:pPr>
      <w:rPr>
        <w:rFonts w:hint="default"/>
      </w:rPr>
    </w:lvl>
    <w:lvl w:ilvl="3" w:tplc="83667C2A">
      <w:start w:val="1"/>
      <w:numFmt w:val="bullet"/>
      <w:lvlText w:val="•"/>
      <w:lvlJc w:val="left"/>
      <w:pPr>
        <w:ind w:left="3323" w:hanging="227"/>
      </w:pPr>
      <w:rPr>
        <w:rFonts w:hint="default"/>
      </w:rPr>
    </w:lvl>
    <w:lvl w:ilvl="4" w:tplc="D31430A6">
      <w:start w:val="1"/>
      <w:numFmt w:val="bullet"/>
      <w:lvlText w:val="•"/>
      <w:lvlJc w:val="left"/>
      <w:pPr>
        <w:ind w:left="4549" w:hanging="227"/>
      </w:pPr>
      <w:rPr>
        <w:rFonts w:hint="default"/>
      </w:rPr>
    </w:lvl>
    <w:lvl w:ilvl="5" w:tplc="A7C0EFBE">
      <w:start w:val="1"/>
      <w:numFmt w:val="bullet"/>
      <w:lvlText w:val="•"/>
      <w:lvlJc w:val="left"/>
      <w:pPr>
        <w:ind w:left="5775" w:hanging="227"/>
      </w:pPr>
      <w:rPr>
        <w:rFonts w:hint="default"/>
      </w:rPr>
    </w:lvl>
    <w:lvl w:ilvl="6" w:tplc="02A23B9C">
      <w:start w:val="1"/>
      <w:numFmt w:val="bullet"/>
      <w:lvlText w:val="•"/>
      <w:lvlJc w:val="left"/>
      <w:pPr>
        <w:ind w:left="7001" w:hanging="227"/>
      </w:pPr>
      <w:rPr>
        <w:rFonts w:hint="default"/>
      </w:rPr>
    </w:lvl>
    <w:lvl w:ilvl="7" w:tplc="34AE4944">
      <w:start w:val="1"/>
      <w:numFmt w:val="bullet"/>
      <w:lvlText w:val="•"/>
      <w:lvlJc w:val="left"/>
      <w:pPr>
        <w:ind w:left="8227" w:hanging="227"/>
      </w:pPr>
      <w:rPr>
        <w:rFonts w:hint="default"/>
      </w:rPr>
    </w:lvl>
    <w:lvl w:ilvl="8" w:tplc="4DDAF5CA">
      <w:start w:val="1"/>
      <w:numFmt w:val="bullet"/>
      <w:lvlText w:val="•"/>
      <w:lvlJc w:val="left"/>
      <w:pPr>
        <w:ind w:left="9453" w:hanging="227"/>
      </w:pPr>
      <w:rPr>
        <w:rFonts w:hint="default"/>
      </w:rPr>
    </w:lvl>
  </w:abstractNum>
  <w:abstractNum w:abstractNumId="2">
    <w:nsid w:val="042F29C4"/>
    <w:multiLevelType w:val="multilevel"/>
    <w:tmpl w:val="F0405C2C"/>
    <w:lvl w:ilvl="0">
      <w:start w:val="3"/>
      <w:numFmt w:val="decimal"/>
      <w:lvlText w:val="%1"/>
      <w:lvlJc w:val="left"/>
      <w:pPr>
        <w:ind w:left="2097" w:hanging="851"/>
      </w:pPr>
      <w:rPr>
        <w:rFonts w:hint="default"/>
      </w:rPr>
    </w:lvl>
    <w:lvl w:ilvl="1">
      <w:start w:val="1"/>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3">
    <w:nsid w:val="056C25B0"/>
    <w:multiLevelType w:val="hybridMultilevel"/>
    <w:tmpl w:val="23C45C36"/>
    <w:lvl w:ilvl="0" w:tplc="0FFA6692">
      <w:start w:val="10"/>
      <w:numFmt w:val="decimal"/>
      <w:lvlText w:val="%1."/>
      <w:lvlJc w:val="left"/>
      <w:pPr>
        <w:ind w:left="2142" w:hanging="328"/>
      </w:pPr>
      <w:rPr>
        <w:rFonts w:ascii="Avenir Next" w:eastAsia="Avenir Next" w:hAnsi="Avenir Next" w:hint="default"/>
        <w:sz w:val="20"/>
        <w:szCs w:val="20"/>
      </w:rPr>
    </w:lvl>
    <w:lvl w:ilvl="1" w:tplc="6338EADE">
      <w:start w:val="1"/>
      <w:numFmt w:val="bullet"/>
      <w:lvlText w:val="•"/>
      <w:lvlJc w:val="left"/>
      <w:pPr>
        <w:ind w:left="3118" w:hanging="328"/>
      </w:pPr>
      <w:rPr>
        <w:rFonts w:hint="default"/>
      </w:rPr>
    </w:lvl>
    <w:lvl w:ilvl="2" w:tplc="D08E4FAE">
      <w:start w:val="1"/>
      <w:numFmt w:val="bullet"/>
      <w:lvlText w:val="•"/>
      <w:lvlJc w:val="left"/>
      <w:pPr>
        <w:ind w:left="4095" w:hanging="328"/>
      </w:pPr>
      <w:rPr>
        <w:rFonts w:hint="default"/>
      </w:rPr>
    </w:lvl>
    <w:lvl w:ilvl="3" w:tplc="1938FAA0">
      <w:start w:val="1"/>
      <w:numFmt w:val="bullet"/>
      <w:lvlText w:val="•"/>
      <w:lvlJc w:val="left"/>
      <w:pPr>
        <w:ind w:left="5071" w:hanging="328"/>
      </w:pPr>
      <w:rPr>
        <w:rFonts w:hint="default"/>
      </w:rPr>
    </w:lvl>
    <w:lvl w:ilvl="4" w:tplc="9136659C">
      <w:start w:val="1"/>
      <w:numFmt w:val="bullet"/>
      <w:lvlText w:val="•"/>
      <w:lvlJc w:val="left"/>
      <w:pPr>
        <w:ind w:left="6047" w:hanging="328"/>
      </w:pPr>
      <w:rPr>
        <w:rFonts w:hint="default"/>
      </w:rPr>
    </w:lvl>
    <w:lvl w:ilvl="5" w:tplc="8E1E94D6">
      <w:start w:val="1"/>
      <w:numFmt w:val="bullet"/>
      <w:lvlText w:val="•"/>
      <w:lvlJc w:val="left"/>
      <w:pPr>
        <w:ind w:left="7024" w:hanging="328"/>
      </w:pPr>
      <w:rPr>
        <w:rFonts w:hint="default"/>
      </w:rPr>
    </w:lvl>
    <w:lvl w:ilvl="6" w:tplc="42B21616">
      <w:start w:val="1"/>
      <w:numFmt w:val="bullet"/>
      <w:lvlText w:val="•"/>
      <w:lvlJc w:val="left"/>
      <w:pPr>
        <w:ind w:left="8000" w:hanging="328"/>
      </w:pPr>
      <w:rPr>
        <w:rFonts w:hint="default"/>
      </w:rPr>
    </w:lvl>
    <w:lvl w:ilvl="7" w:tplc="A552A294">
      <w:start w:val="1"/>
      <w:numFmt w:val="bullet"/>
      <w:lvlText w:val="•"/>
      <w:lvlJc w:val="left"/>
      <w:pPr>
        <w:ind w:left="8976" w:hanging="328"/>
      </w:pPr>
      <w:rPr>
        <w:rFonts w:hint="default"/>
      </w:rPr>
    </w:lvl>
    <w:lvl w:ilvl="8" w:tplc="9DF09F7E">
      <w:start w:val="1"/>
      <w:numFmt w:val="bullet"/>
      <w:lvlText w:val="•"/>
      <w:lvlJc w:val="left"/>
      <w:pPr>
        <w:ind w:left="9952" w:hanging="328"/>
      </w:pPr>
      <w:rPr>
        <w:rFonts w:hint="default"/>
      </w:rPr>
    </w:lvl>
  </w:abstractNum>
  <w:abstractNum w:abstractNumId="4">
    <w:nsid w:val="06230EBE"/>
    <w:multiLevelType w:val="hybridMultilevel"/>
    <w:tmpl w:val="66EC068E"/>
    <w:lvl w:ilvl="0" w:tplc="B79A29CA">
      <w:start w:val="1"/>
      <w:numFmt w:val="lowerLetter"/>
      <w:lvlText w:val="(%1)"/>
      <w:lvlJc w:val="left"/>
      <w:pPr>
        <w:ind w:left="1587" w:hanging="341"/>
      </w:pPr>
      <w:rPr>
        <w:rFonts w:ascii="Avenir Next" w:eastAsia="Avenir Next" w:hAnsi="Avenir Next" w:hint="default"/>
        <w:sz w:val="20"/>
        <w:szCs w:val="20"/>
      </w:rPr>
    </w:lvl>
    <w:lvl w:ilvl="1" w:tplc="79B45856">
      <w:start w:val="1"/>
      <w:numFmt w:val="bullet"/>
      <w:lvlText w:val="–"/>
      <w:lvlJc w:val="left"/>
      <w:pPr>
        <w:ind w:left="1814" w:hanging="284"/>
      </w:pPr>
      <w:rPr>
        <w:rFonts w:ascii="Avenir Next" w:eastAsia="Avenir Next" w:hAnsi="Avenir Next" w:hint="default"/>
        <w:sz w:val="20"/>
        <w:szCs w:val="20"/>
      </w:rPr>
    </w:lvl>
    <w:lvl w:ilvl="2" w:tplc="329E2352">
      <w:start w:val="1"/>
      <w:numFmt w:val="bullet"/>
      <w:lvlText w:val="•"/>
      <w:lvlJc w:val="left"/>
      <w:pPr>
        <w:ind w:left="2935" w:hanging="284"/>
      </w:pPr>
      <w:rPr>
        <w:rFonts w:hint="default"/>
      </w:rPr>
    </w:lvl>
    <w:lvl w:ilvl="3" w:tplc="52588976">
      <w:start w:val="1"/>
      <w:numFmt w:val="bullet"/>
      <w:lvlText w:val="•"/>
      <w:lvlJc w:val="left"/>
      <w:pPr>
        <w:ind w:left="4056" w:hanging="284"/>
      </w:pPr>
      <w:rPr>
        <w:rFonts w:hint="default"/>
      </w:rPr>
    </w:lvl>
    <w:lvl w:ilvl="4" w:tplc="198A3D7A">
      <w:start w:val="1"/>
      <w:numFmt w:val="bullet"/>
      <w:lvlText w:val="•"/>
      <w:lvlJc w:val="left"/>
      <w:pPr>
        <w:ind w:left="5178" w:hanging="284"/>
      </w:pPr>
      <w:rPr>
        <w:rFonts w:hint="default"/>
      </w:rPr>
    </w:lvl>
    <w:lvl w:ilvl="5" w:tplc="EB945382">
      <w:start w:val="1"/>
      <w:numFmt w:val="bullet"/>
      <w:lvlText w:val="•"/>
      <w:lvlJc w:val="left"/>
      <w:pPr>
        <w:ind w:left="6299" w:hanging="284"/>
      </w:pPr>
      <w:rPr>
        <w:rFonts w:hint="default"/>
      </w:rPr>
    </w:lvl>
    <w:lvl w:ilvl="6" w:tplc="3A3682F2">
      <w:start w:val="1"/>
      <w:numFmt w:val="bullet"/>
      <w:lvlText w:val="•"/>
      <w:lvlJc w:val="left"/>
      <w:pPr>
        <w:ind w:left="7420" w:hanging="284"/>
      </w:pPr>
      <w:rPr>
        <w:rFonts w:hint="default"/>
      </w:rPr>
    </w:lvl>
    <w:lvl w:ilvl="7" w:tplc="F34E9142">
      <w:start w:val="1"/>
      <w:numFmt w:val="bullet"/>
      <w:lvlText w:val="•"/>
      <w:lvlJc w:val="left"/>
      <w:pPr>
        <w:ind w:left="8541" w:hanging="284"/>
      </w:pPr>
      <w:rPr>
        <w:rFonts w:hint="default"/>
      </w:rPr>
    </w:lvl>
    <w:lvl w:ilvl="8" w:tplc="06B2383E">
      <w:start w:val="1"/>
      <w:numFmt w:val="bullet"/>
      <w:lvlText w:val="•"/>
      <w:lvlJc w:val="left"/>
      <w:pPr>
        <w:ind w:left="9663" w:hanging="284"/>
      </w:pPr>
      <w:rPr>
        <w:rFonts w:hint="default"/>
      </w:rPr>
    </w:lvl>
  </w:abstractNum>
  <w:abstractNum w:abstractNumId="5">
    <w:nsid w:val="066B62B2"/>
    <w:multiLevelType w:val="hybridMultilevel"/>
    <w:tmpl w:val="128E5702"/>
    <w:lvl w:ilvl="0" w:tplc="535EAD02">
      <w:start w:val="1"/>
      <w:numFmt w:val="decimal"/>
      <w:lvlText w:val="%1."/>
      <w:lvlJc w:val="left"/>
      <w:pPr>
        <w:ind w:left="1587" w:hanging="341"/>
      </w:pPr>
      <w:rPr>
        <w:rFonts w:ascii="Avenir Next" w:eastAsia="Avenir Next" w:hAnsi="Avenir Next" w:hint="default"/>
        <w:sz w:val="20"/>
        <w:szCs w:val="20"/>
      </w:rPr>
    </w:lvl>
    <w:lvl w:ilvl="1" w:tplc="D414BF90">
      <w:start w:val="1"/>
      <w:numFmt w:val="bullet"/>
      <w:lvlText w:val="•"/>
      <w:lvlJc w:val="left"/>
      <w:pPr>
        <w:ind w:left="2619" w:hanging="341"/>
      </w:pPr>
      <w:rPr>
        <w:rFonts w:hint="default"/>
      </w:rPr>
    </w:lvl>
    <w:lvl w:ilvl="2" w:tplc="92FE8C4E">
      <w:start w:val="1"/>
      <w:numFmt w:val="bullet"/>
      <w:lvlText w:val="•"/>
      <w:lvlJc w:val="left"/>
      <w:pPr>
        <w:ind w:left="3651" w:hanging="341"/>
      </w:pPr>
      <w:rPr>
        <w:rFonts w:hint="default"/>
      </w:rPr>
    </w:lvl>
    <w:lvl w:ilvl="3" w:tplc="057498D2">
      <w:start w:val="1"/>
      <w:numFmt w:val="bullet"/>
      <w:lvlText w:val="•"/>
      <w:lvlJc w:val="left"/>
      <w:pPr>
        <w:ind w:left="4682" w:hanging="341"/>
      </w:pPr>
      <w:rPr>
        <w:rFonts w:hint="default"/>
      </w:rPr>
    </w:lvl>
    <w:lvl w:ilvl="4" w:tplc="1C74E78A">
      <w:start w:val="1"/>
      <w:numFmt w:val="bullet"/>
      <w:lvlText w:val="•"/>
      <w:lvlJc w:val="left"/>
      <w:pPr>
        <w:ind w:left="5714" w:hanging="341"/>
      </w:pPr>
      <w:rPr>
        <w:rFonts w:hint="default"/>
      </w:rPr>
    </w:lvl>
    <w:lvl w:ilvl="5" w:tplc="43EC1FDA">
      <w:start w:val="1"/>
      <w:numFmt w:val="bullet"/>
      <w:lvlText w:val="•"/>
      <w:lvlJc w:val="left"/>
      <w:pPr>
        <w:ind w:left="6746" w:hanging="341"/>
      </w:pPr>
      <w:rPr>
        <w:rFonts w:hint="default"/>
      </w:rPr>
    </w:lvl>
    <w:lvl w:ilvl="6" w:tplc="3D8CA21E">
      <w:start w:val="1"/>
      <w:numFmt w:val="bullet"/>
      <w:lvlText w:val="•"/>
      <w:lvlJc w:val="left"/>
      <w:pPr>
        <w:ind w:left="7778" w:hanging="341"/>
      </w:pPr>
      <w:rPr>
        <w:rFonts w:hint="default"/>
      </w:rPr>
    </w:lvl>
    <w:lvl w:ilvl="7" w:tplc="C486E792">
      <w:start w:val="1"/>
      <w:numFmt w:val="bullet"/>
      <w:lvlText w:val="•"/>
      <w:lvlJc w:val="left"/>
      <w:pPr>
        <w:ind w:left="8810" w:hanging="341"/>
      </w:pPr>
      <w:rPr>
        <w:rFonts w:hint="default"/>
      </w:rPr>
    </w:lvl>
    <w:lvl w:ilvl="8" w:tplc="68AE3A0C">
      <w:start w:val="1"/>
      <w:numFmt w:val="bullet"/>
      <w:lvlText w:val="•"/>
      <w:lvlJc w:val="left"/>
      <w:pPr>
        <w:ind w:left="9841" w:hanging="341"/>
      </w:pPr>
      <w:rPr>
        <w:rFonts w:hint="default"/>
      </w:rPr>
    </w:lvl>
  </w:abstractNum>
  <w:abstractNum w:abstractNumId="6">
    <w:nsid w:val="08775D17"/>
    <w:multiLevelType w:val="hybridMultilevel"/>
    <w:tmpl w:val="1A9887B6"/>
    <w:lvl w:ilvl="0" w:tplc="F0EC27C4">
      <w:start w:val="1"/>
      <w:numFmt w:val="lowerLetter"/>
      <w:lvlText w:val="(%1)"/>
      <w:lvlJc w:val="left"/>
      <w:pPr>
        <w:ind w:left="1587" w:hanging="341"/>
      </w:pPr>
      <w:rPr>
        <w:rFonts w:ascii="Avenir Next" w:eastAsia="Avenir Next" w:hAnsi="Avenir Next" w:hint="default"/>
        <w:sz w:val="20"/>
        <w:szCs w:val="20"/>
      </w:rPr>
    </w:lvl>
    <w:lvl w:ilvl="1" w:tplc="DEDADB42">
      <w:start w:val="1"/>
      <w:numFmt w:val="bullet"/>
      <w:lvlText w:val="•"/>
      <w:lvlJc w:val="left"/>
      <w:pPr>
        <w:ind w:left="2619" w:hanging="341"/>
      </w:pPr>
      <w:rPr>
        <w:rFonts w:hint="default"/>
      </w:rPr>
    </w:lvl>
    <w:lvl w:ilvl="2" w:tplc="2278C428">
      <w:start w:val="1"/>
      <w:numFmt w:val="bullet"/>
      <w:lvlText w:val="•"/>
      <w:lvlJc w:val="left"/>
      <w:pPr>
        <w:ind w:left="3651" w:hanging="341"/>
      </w:pPr>
      <w:rPr>
        <w:rFonts w:hint="default"/>
      </w:rPr>
    </w:lvl>
    <w:lvl w:ilvl="3" w:tplc="A8229CBC">
      <w:start w:val="1"/>
      <w:numFmt w:val="bullet"/>
      <w:lvlText w:val="•"/>
      <w:lvlJc w:val="left"/>
      <w:pPr>
        <w:ind w:left="4682" w:hanging="341"/>
      </w:pPr>
      <w:rPr>
        <w:rFonts w:hint="default"/>
      </w:rPr>
    </w:lvl>
    <w:lvl w:ilvl="4" w:tplc="6F96335C">
      <w:start w:val="1"/>
      <w:numFmt w:val="bullet"/>
      <w:lvlText w:val="•"/>
      <w:lvlJc w:val="left"/>
      <w:pPr>
        <w:ind w:left="5714" w:hanging="341"/>
      </w:pPr>
      <w:rPr>
        <w:rFonts w:hint="default"/>
      </w:rPr>
    </w:lvl>
    <w:lvl w:ilvl="5" w:tplc="D5A81850">
      <w:start w:val="1"/>
      <w:numFmt w:val="bullet"/>
      <w:lvlText w:val="•"/>
      <w:lvlJc w:val="left"/>
      <w:pPr>
        <w:ind w:left="6746" w:hanging="341"/>
      </w:pPr>
      <w:rPr>
        <w:rFonts w:hint="default"/>
      </w:rPr>
    </w:lvl>
    <w:lvl w:ilvl="6" w:tplc="23C0D87C">
      <w:start w:val="1"/>
      <w:numFmt w:val="bullet"/>
      <w:lvlText w:val="•"/>
      <w:lvlJc w:val="left"/>
      <w:pPr>
        <w:ind w:left="7778" w:hanging="341"/>
      </w:pPr>
      <w:rPr>
        <w:rFonts w:hint="default"/>
      </w:rPr>
    </w:lvl>
    <w:lvl w:ilvl="7" w:tplc="C05AE9D8">
      <w:start w:val="1"/>
      <w:numFmt w:val="bullet"/>
      <w:lvlText w:val="•"/>
      <w:lvlJc w:val="left"/>
      <w:pPr>
        <w:ind w:left="8810" w:hanging="341"/>
      </w:pPr>
      <w:rPr>
        <w:rFonts w:hint="default"/>
      </w:rPr>
    </w:lvl>
    <w:lvl w:ilvl="8" w:tplc="9092D588">
      <w:start w:val="1"/>
      <w:numFmt w:val="bullet"/>
      <w:lvlText w:val="•"/>
      <w:lvlJc w:val="left"/>
      <w:pPr>
        <w:ind w:left="9841" w:hanging="341"/>
      </w:pPr>
      <w:rPr>
        <w:rFonts w:hint="default"/>
      </w:rPr>
    </w:lvl>
  </w:abstractNum>
  <w:abstractNum w:abstractNumId="7">
    <w:nsid w:val="09E42268"/>
    <w:multiLevelType w:val="hybridMultilevel"/>
    <w:tmpl w:val="60B45300"/>
    <w:lvl w:ilvl="0" w:tplc="8FAA17D6">
      <w:start w:val="6"/>
      <w:numFmt w:val="decimal"/>
      <w:lvlText w:val="%1."/>
      <w:lvlJc w:val="left"/>
      <w:pPr>
        <w:ind w:left="2593" w:hanging="212"/>
        <w:jc w:val="right"/>
      </w:pPr>
      <w:rPr>
        <w:rFonts w:ascii="Avenir Next" w:eastAsia="Avenir Next" w:hAnsi="Avenir Next" w:hint="default"/>
        <w:sz w:val="20"/>
        <w:szCs w:val="20"/>
      </w:rPr>
    </w:lvl>
    <w:lvl w:ilvl="1" w:tplc="E342DACA">
      <w:start w:val="1"/>
      <w:numFmt w:val="bullet"/>
      <w:lvlText w:val="•"/>
      <w:lvlJc w:val="left"/>
      <w:pPr>
        <w:ind w:left="3524" w:hanging="212"/>
      </w:pPr>
      <w:rPr>
        <w:rFonts w:hint="default"/>
      </w:rPr>
    </w:lvl>
    <w:lvl w:ilvl="2" w:tplc="16D660DA">
      <w:start w:val="1"/>
      <w:numFmt w:val="bullet"/>
      <w:lvlText w:val="•"/>
      <w:lvlJc w:val="left"/>
      <w:pPr>
        <w:ind w:left="4455" w:hanging="212"/>
      </w:pPr>
      <w:rPr>
        <w:rFonts w:hint="default"/>
      </w:rPr>
    </w:lvl>
    <w:lvl w:ilvl="3" w:tplc="0AD86BB2">
      <w:start w:val="1"/>
      <w:numFmt w:val="bullet"/>
      <w:lvlText w:val="•"/>
      <w:lvlJc w:val="left"/>
      <w:pPr>
        <w:ind w:left="5386" w:hanging="212"/>
      </w:pPr>
      <w:rPr>
        <w:rFonts w:hint="default"/>
      </w:rPr>
    </w:lvl>
    <w:lvl w:ilvl="4" w:tplc="103C1D2C">
      <w:start w:val="1"/>
      <w:numFmt w:val="bullet"/>
      <w:lvlText w:val="•"/>
      <w:lvlJc w:val="left"/>
      <w:pPr>
        <w:ind w:left="6318" w:hanging="212"/>
      </w:pPr>
      <w:rPr>
        <w:rFonts w:hint="default"/>
      </w:rPr>
    </w:lvl>
    <w:lvl w:ilvl="5" w:tplc="A5820284">
      <w:start w:val="1"/>
      <w:numFmt w:val="bullet"/>
      <w:lvlText w:val="•"/>
      <w:lvlJc w:val="left"/>
      <w:pPr>
        <w:ind w:left="7249" w:hanging="212"/>
      </w:pPr>
      <w:rPr>
        <w:rFonts w:hint="default"/>
      </w:rPr>
    </w:lvl>
    <w:lvl w:ilvl="6" w:tplc="E0F225DC">
      <w:start w:val="1"/>
      <w:numFmt w:val="bullet"/>
      <w:lvlText w:val="•"/>
      <w:lvlJc w:val="left"/>
      <w:pPr>
        <w:ind w:left="8180" w:hanging="212"/>
      </w:pPr>
      <w:rPr>
        <w:rFonts w:hint="default"/>
      </w:rPr>
    </w:lvl>
    <w:lvl w:ilvl="7" w:tplc="BF689F6E">
      <w:start w:val="1"/>
      <w:numFmt w:val="bullet"/>
      <w:lvlText w:val="•"/>
      <w:lvlJc w:val="left"/>
      <w:pPr>
        <w:ind w:left="9111" w:hanging="212"/>
      </w:pPr>
      <w:rPr>
        <w:rFonts w:hint="default"/>
      </w:rPr>
    </w:lvl>
    <w:lvl w:ilvl="8" w:tplc="EE4C884E">
      <w:start w:val="1"/>
      <w:numFmt w:val="bullet"/>
      <w:lvlText w:val="•"/>
      <w:lvlJc w:val="left"/>
      <w:pPr>
        <w:ind w:left="10043" w:hanging="212"/>
      </w:pPr>
      <w:rPr>
        <w:rFonts w:hint="default"/>
      </w:rPr>
    </w:lvl>
  </w:abstractNum>
  <w:abstractNum w:abstractNumId="8">
    <w:nsid w:val="0B2F4745"/>
    <w:multiLevelType w:val="hybridMultilevel"/>
    <w:tmpl w:val="AE14CCE8"/>
    <w:lvl w:ilvl="0" w:tplc="69E62D60">
      <w:start w:val="234"/>
      <w:numFmt w:val="decimal"/>
      <w:lvlText w:val="%1"/>
      <w:lvlJc w:val="left"/>
      <w:pPr>
        <w:ind w:left="1757" w:hanging="511"/>
      </w:pPr>
      <w:rPr>
        <w:rFonts w:ascii="Avenir Next" w:eastAsia="Avenir Next" w:hAnsi="Avenir Next" w:hint="default"/>
        <w:sz w:val="16"/>
        <w:szCs w:val="16"/>
      </w:rPr>
    </w:lvl>
    <w:lvl w:ilvl="1" w:tplc="2FE6D0F0">
      <w:start w:val="1"/>
      <w:numFmt w:val="bullet"/>
      <w:lvlText w:val="•"/>
      <w:lvlJc w:val="left"/>
      <w:pPr>
        <w:ind w:left="2772" w:hanging="511"/>
      </w:pPr>
      <w:rPr>
        <w:rFonts w:hint="default"/>
      </w:rPr>
    </w:lvl>
    <w:lvl w:ilvl="2" w:tplc="0102E8AA">
      <w:start w:val="1"/>
      <w:numFmt w:val="bullet"/>
      <w:lvlText w:val="•"/>
      <w:lvlJc w:val="left"/>
      <w:pPr>
        <w:ind w:left="3787" w:hanging="511"/>
      </w:pPr>
      <w:rPr>
        <w:rFonts w:hint="default"/>
      </w:rPr>
    </w:lvl>
    <w:lvl w:ilvl="3" w:tplc="4D24AE8A">
      <w:start w:val="1"/>
      <w:numFmt w:val="bullet"/>
      <w:lvlText w:val="•"/>
      <w:lvlJc w:val="left"/>
      <w:pPr>
        <w:ind w:left="4801" w:hanging="511"/>
      </w:pPr>
      <w:rPr>
        <w:rFonts w:hint="default"/>
      </w:rPr>
    </w:lvl>
    <w:lvl w:ilvl="4" w:tplc="8B64EF7E">
      <w:start w:val="1"/>
      <w:numFmt w:val="bullet"/>
      <w:lvlText w:val="•"/>
      <w:lvlJc w:val="left"/>
      <w:pPr>
        <w:ind w:left="5816" w:hanging="511"/>
      </w:pPr>
      <w:rPr>
        <w:rFonts w:hint="default"/>
      </w:rPr>
    </w:lvl>
    <w:lvl w:ilvl="5" w:tplc="73145BA6">
      <w:start w:val="1"/>
      <w:numFmt w:val="bullet"/>
      <w:lvlText w:val="•"/>
      <w:lvlJc w:val="left"/>
      <w:pPr>
        <w:ind w:left="6831" w:hanging="511"/>
      </w:pPr>
      <w:rPr>
        <w:rFonts w:hint="default"/>
      </w:rPr>
    </w:lvl>
    <w:lvl w:ilvl="6" w:tplc="793A27FE">
      <w:start w:val="1"/>
      <w:numFmt w:val="bullet"/>
      <w:lvlText w:val="•"/>
      <w:lvlJc w:val="left"/>
      <w:pPr>
        <w:ind w:left="7846" w:hanging="511"/>
      </w:pPr>
      <w:rPr>
        <w:rFonts w:hint="default"/>
      </w:rPr>
    </w:lvl>
    <w:lvl w:ilvl="7" w:tplc="B0EC0252">
      <w:start w:val="1"/>
      <w:numFmt w:val="bullet"/>
      <w:lvlText w:val="•"/>
      <w:lvlJc w:val="left"/>
      <w:pPr>
        <w:ind w:left="8861" w:hanging="511"/>
      </w:pPr>
      <w:rPr>
        <w:rFonts w:hint="default"/>
      </w:rPr>
    </w:lvl>
    <w:lvl w:ilvl="8" w:tplc="58507CCE">
      <w:start w:val="1"/>
      <w:numFmt w:val="bullet"/>
      <w:lvlText w:val="•"/>
      <w:lvlJc w:val="left"/>
      <w:pPr>
        <w:ind w:left="9875" w:hanging="511"/>
      </w:pPr>
      <w:rPr>
        <w:rFonts w:hint="default"/>
      </w:rPr>
    </w:lvl>
  </w:abstractNum>
  <w:abstractNum w:abstractNumId="9">
    <w:nsid w:val="0B446635"/>
    <w:multiLevelType w:val="hybridMultilevel"/>
    <w:tmpl w:val="A0AC7D62"/>
    <w:lvl w:ilvl="0" w:tplc="98F8E3C4">
      <w:start w:val="206"/>
      <w:numFmt w:val="decimal"/>
      <w:lvlText w:val="%1"/>
      <w:lvlJc w:val="left"/>
      <w:pPr>
        <w:ind w:left="1757" w:hanging="511"/>
      </w:pPr>
      <w:rPr>
        <w:rFonts w:ascii="Avenir Next" w:eastAsia="Avenir Next" w:hAnsi="Avenir Next" w:hint="default"/>
        <w:sz w:val="16"/>
        <w:szCs w:val="16"/>
      </w:rPr>
    </w:lvl>
    <w:lvl w:ilvl="1" w:tplc="9A54F766">
      <w:start w:val="1"/>
      <w:numFmt w:val="bullet"/>
      <w:lvlText w:val="•"/>
      <w:lvlJc w:val="left"/>
      <w:pPr>
        <w:ind w:left="2772" w:hanging="511"/>
      </w:pPr>
      <w:rPr>
        <w:rFonts w:hint="default"/>
      </w:rPr>
    </w:lvl>
    <w:lvl w:ilvl="2" w:tplc="AAB0A864">
      <w:start w:val="1"/>
      <w:numFmt w:val="bullet"/>
      <w:lvlText w:val="•"/>
      <w:lvlJc w:val="left"/>
      <w:pPr>
        <w:ind w:left="3787" w:hanging="511"/>
      </w:pPr>
      <w:rPr>
        <w:rFonts w:hint="default"/>
      </w:rPr>
    </w:lvl>
    <w:lvl w:ilvl="3" w:tplc="6FB2602C">
      <w:start w:val="1"/>
      <w:numFmt w:val="bullet"/>
      <w:lvlText w:val="•"/>
      <w:lvlJc w:val="left"/>
      <w:pPr>
        <w:ind w:left="4801" w:hanging="511"/>
      </w:pPr>
      <w:rPr>
        <w:rFonts w:hint="default"/>
      </w:rPr>
    </w:lvl>
    <w:lvl w:ilvl="4" w:tplc="D070D2DE">
      <w:start w:val="1"/>
      <w:numFmt w:val="bullet"/>
      <w:lvlText w:val="•"/>
      <w:lvlJc w:val="left"/>
      <w:pPr>
        <w:ind w:left="5816" w:hanging="511"/>
      </w:pPr>
      <w:rPr>
        <w:rFonts w:hint="default"/>
      </w:rPr>
    </w:lvl>
    <w:lvl w:ilvl="5" w:tplc="2506BD24">
      <w:start w:val="1"/>
      <w:numFmt w:val="bullet"/>
      <w:lvlText w:val="•"/>
      <w:lvlJc w:val="left"/>
      <w:pPr>
        <w:ind w:left="6831" w:hanging="511"/>
      </w:pPr>
      <w:rPr>
        <w:rFonts w:hint="default"/>
      </w:rPr>
    </w:lvl>
    <w:lvl w:ilvl="6" w:tplc="A1D6293C">
      <w:start w:val="1"/>
      <w:numFmt w:val="bullet"/>
      <w:lvlText w:val="•"/>
      <w:lvlJc w:val="left"/>
      <w:pPr>
        <w:ind w:left="7846" w:hanging="511"/>
      </w:pPr>
      <w:rPr>
        <w:rFonts w:hint="default"/>
      </w:rPr>
    </w:lvl>
    <w:lvl w:ilvl="7" w:tplc="656EA460">
      <w:start w:val="1"/>
      <w:numFmt w:val="bullet"/>
      <w:lvlText w:val="•"/>
      <w:lvlJc w:val="left"/>
      <w:pPr>
        <w:ind w:left="8861" w:hanging="511"/>
      </w:pPr>
      <w:rPr>
        <w:rFonts w:hint="default"/>
      </w:rPr>
    </w:lvl>
    <w:lvl w:ilvl="8" w:tplc="7370E8D6">
      <w:start w:val="1"/>
      <w:numFmt w:val="bullet"/>
      <w:lvlText w:val="•"/>
      <w:lvlJc w:val="left"/>
      <w:pPr>
        <w:ind w:left="9875" w:hanging="511"/>
      </w:pPr>
      <w:rPr>
        <w:rFonts w:hint="default"/>
      </w:rPr>
    </w:lvl>
  </w:abstractNum>
  <w:abstractNum w:abstractNumId="10">
    <w:nsid w:val="0B82202F"/>
    <w:multiLevelType w:val="hybridMultilevel"/>
    <w:tmpl w:val="E42CF12E"/>
    <w:lvl w:ilvl="0" w:tplc="F32A1A32">
      <w:start w:val="1"/>
      <w:numFmt w:val="bullet"/>
      <w:lvlText w:val="•"/>
      <w:lvlJc w:val="left"/>
      <w:pPr>
        <w:ind w:left="226" w:hanging="227"/>
      </w:pPr>
      <w:rPr>
        <w:rFonts w:ascii="Avenir Next Condensed" w:eastAsia="Avenir Next Condensed" w:hAnsi="Avenir Next Condensed" w:hint="default"/>
        <w:sz w:val="20"/>
        <w:szCs w:val="20"/>
      </w:rPr>
    </w:lvl>
    <w:lvl w:ilvl="1" w:tplc="50424646">
      <w:start w:val="1"/>
      <w:numFmt w:val="bullet"/>
      <w:lvlText w:val="–"/>
      <w:lvlJc w:val="left"/>
      <w:pPr>
        <w:ind w:left="567" w:hanging="227"/>
      </w:pPr>
      <w:rPr>
        <w:rFonts w:ascii="Avenir Next" w:eastAsia="Avenir Next" w:hAnsi="Avenir Next" w:hint="default"/>
        <w:sz w:val="20"/>
        <w:szCs w:val="20"/>
      </w:rPr>
    </w:lvl>
    <w:lvl w:ilvl="2" w:tplc="5B5A00B4">
      <w:start w:val="1"/>
      <w:numFmt w:val="bullet"/>
      <w:lvlText w:val="•"/>
      <w:lvlJc w:val="left"/>
      <w:pPr>
        <w:ind w:left="1505" w:hanging="227"/>
      </w:pPr>
      <w:rPr>
        <w:rFonts w:hint="default"/>
      </w:rPr>
    </w:lvl>
    <w:lvl w:ilvl="3" w:tplc="7130B194">
      <w:start w:val="1"/>
      <w:numFmt w:val="bullet"/>
      <w:lvlText w:val="•"/>
      <w:lvlJc w:val="left"/>
      <w:pPr>
        <w:ind w:left="2443" w:hanging="227"/>
      </w:pPr>
      <w:rPr>
        <w:rFonts w:hint="default"/>
      </w:rPr>
    </w:lvl>
    <w:lvl w:ilvl="4" w:tplc="F1B2C6C6">
      <w:start w:val="1"/>
      <w:numFmt w:val="bullet"/>
      <w:lvlText w:val="•"/>
      <w:lvlJc w:val="left"/>
      <w:pPr>
        <w:ind w:left="3381" w:hanging="227"/>
      </w:pPr>
      <w:rPr>
        <w:rFonts w:hint="default"/>
      </w:rPr>
    </w:lvl>
    <w:lvl w:ilvl="5" w:tplc="4A805F60">
      <w:start w:val="1"/>
      <w:numFmt w:val="bullet"/>
      <w:lvlText w:val="•"/>
      <w:lvlJc w:val="left"/>
      <w:pPr>
        <w:ind w:left="4319" w:hanging="227"/>
      </w:pPr>
      <w:rPr>
        <w:rFonts w:hint="default"/>
      </w:rPr>
    </w:lvl>
    <w:lvl w:ilvl="6" w:tplc="83C46784">
      <w:start w:val="1"/>
      <w:numFmt w:val="bullet"/>
      <w:lvlText w:val="•"/>
      <w:lvlJc w:val="left"/>
      <w:pPr>
        <w:ind w:left="5258" w:hanging="227"/>
      </w:pPr>
      <w:rPr>
        <w:rFonts w:hint="default"/>
      </w:rPr>
    </w:lvl>
    <w:lvl w:ilvl="7" w:tplc="C3CE68D0">
      <w:start w:val="1"/>
      <w:numFmt w:val="bullet"/>
      <w:lvlText w:val="•"/>
      <w:lvlJc w:val="left"/>
      <w:pPr>
        <w:ind w:left="6196" w:hanging="227"/>
      </w:pPr>
      <w:rPr>
        <w:rFonts w:hint="default"/>
      </w:rPr>
    </w:lvl>
    <w:lvl w:ilvl="8" w:tplc="81460060">
      <w:start w:val="1"/>
      <w:numFmt w:val="bullet"/>
      <w:lvlText w:val="•"/>
      <w:lvlJc w:val="left"/>
      <w:pPr>
        <w:ind w:left="7134" w:hanging="227"/>
      </w:pPr>
      <w:rPr>
        <w:rFonts w:hint="default"/>
      </w:rPr>
    </w:lvl>
  </w:abstractNum>
  <w:abstractNum w:abstractNumId="11">
    <w:nsid w:val="0C096AE6"/>
    <w:multiLevelType w:val="multilevel"/>
    <w:tmpl w:val="8934F072"/>
    <w:lvl w:ilvl="0">
      <w:start w:val="6"/>
      <w:numFmt w:val="decimal"/>
      <w:lvlText w:val="%1"/>
      <w:lvlJc w:val="left"/>
      <w:pPr>
        <w:ind w:left="2097" w:hanging="851"/>
      </w:pPr>
      <w:rPr>
        <w:rFonts w:hint="default"/>
      </w:rPr>
    </w:lvl>
    <w:lvl w:ilvl="1">
      <w:start w:val="6"/>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12">
    <w:nsid w:val="0CED206C"/>
    <w:multiLevelType w:val="hybridMultilevel"/>
    <w:tmpl w:val="13DA0138"/>
    <w:lvl w:ilvl="0" w:tplc="15C48912">
      <w:start w:val="9"/>
      <w:numFmt w:val="decimal"/>
      <w:lvlText w:val="%1."/>
      <w:lvlJc w:val="left"/>
      <w:pPr>
        <w:ind w:left="2593" w:hanging="212"/>
        <w:jc w:val="right"/>
      </w:pPr>
      <w:rPr>
        <w:rFonts w:ascii="Avenir Next" w:eastAsia="Avenir Next" w:hAnsi="Avenir Next" w:hint="default"/>
        <w:sz w:val="20"/>
        <w:szCs w:val="20"/>
      </w:rPr>
    </w:lvl>
    <w:lvl w:ilvl="1" w:tplc="D6ECA136">
      <w:start w:val="1"/>
      <w:numFmt w:val="bullet"/>
      <w:lvlText w:val="•"/>
      <w:lvlJc w:val="left"/>
      <w:pPr>
        <w:ind w:left="3524" w:hanging="212"/>
      </w:pPr>
      <w:rPr>
        <w:rFonts w:hint="default"/>
      </w:rPr>
    </w:lvl>
    <w:lvl w:ilvl="2" w:tplc="1F8464F2">
      <w:start w:val="1"/>
      <w:numFmt w:val="bullet"/>
      <w:lvlText w:val="•"/>
      <w:lvlJc w:val="left"/>
      <w:pPr>
        <w:ind w:left="4455" w:hanging="212"/>
      </w:pPr>
      <w:rPr>
        <w:rFonts w:hint="default"/>
      </w:rPr>
    </w:lvl>
    <w:lvl w:ilvl="3" w:tplc="0F661BEE">
      <w:start w:val="1"/>
      <w:numFmt w:val="bullet"/>
      <w:lvlText w:val="•"/>
      <w:lvlJc w:val="left"/>
      <w:pPr>
        <w:ind w:left="5387" w:hanging="212"/>
      </w:pPr>
      <w:rPr>
        <w:rFonts w:hint="default"/>
      </w:rPr>
    </w:lvl>
    <w:lvl w:ilvl="4" w:tplc="DB2818CE">
      <w:start w:val="1"/>
      <w:numFmt w:val="bullet"/>
      <w:lvlText w:val="•"/>
      <w:lvlJc w:val="left"/>
      <w:pPr>
        <w:ind w:left="6318" w:hanging="212"/>
      </w:pPr>
      <w:rPr>
        <w:rFonts w:hint="default"/>
      </w:rPr>
    </w:lvl>
    <w:lvl w:ilvl="5" w:tplc="D7E64A5E">
      <w:start w:val="1"/>
      <w:numFmt w:val="bullet"/>
      <w:lvlText w:val="•"/>
      <w:lvlJc w:val="left"/>
      <w:pPr>
        <w:ind w:left="7249" w:hanging="212"/>
      </w:pPr>
      <w:rPr>
        <w:rFonts w:hint="default"/>
      </w:rPr>
    </w:lvl>
    <w:lvl w:ilvl="6" w:tplc="847020C4">
      <w:start w:val="1"/>
      <w:numFmt w:val="bullet"/>
      <w:lvlText w:val="•"/>
      <w:lvlJc w:val="left"/>
      <w:pPr>
        <w:ind w:left="8180" w:hanging="212"/>
      </w:pPr>
      <w:rPr>
        <w:rFonts w:hint="default"/>
      </w:rPr>
    </w:lvl>
    <w:lvl w:ilvl="7" w:tplc="7A36D5D2">
      <w:start w:val="1"/>
      <w:numFmt w:val="bullet"/>
      <w:lvlText w:val="•"/>
      <w:lvlJc w:val="left"/>
      <w:pPr>
        <w:ind w:left="9111" w:hanging="212"/>
      </w:pPr>
      <w:rPr>
        <w:rFonts w:hint="default"/>
      </w:rPr>
    </w:lvl>
    <w:lvl w:ilvl="8" w:tplc="78442DAE">
      <w:start w:val="1"/>
      <w:numFmt w:val="bullet"/>
      <w:lvlText w:val="•"/>
      <w:lvlJc w:val="left"/>
      <w:pPr>
        <w:ind w:left="10043" w:hanging="212"/>
      </w:pPr>
      <w:rPr>
        <w:rFonts w:hint="default"/>
      </w:rPr>
    </w:lvl>
  </w:abstractNum>
  <w:abstractNum w:abstractNumId="13">
    <w:nsid w:val="0D5A5659"/>
    <w:multiLevelType w:val="hybridMultilevel"/>
    <w:tmpl w:val="DA32506E"/>
    <w:lvl w:ilvl="0" w:tplc="0CD49114">
      <w:start w:val="1"/>
      <w:numFmt w:val="bullet"/>
      <w:lvlText w:val="•"/>
      <w:lvlJc w:val="left"/>
      <w:pPr>
        <w:ind w:left="335" w:hanging="227"/>
      </w:pPr>
      <w:rPr>
        <w:rFonts w:ascii="Avenir Next Condensed" w:eastAsia="Avenir Next Condensed" w:hAnsi="Avenir Next Condensed" w:hint="default"/>
        <w:sz w:val="18"/>
        <w:szCs w:val="18"/>
      </w:rPr>
    </w:lvl>
    <w:lvl w:ilvl="1" w:tplc="31AC068A">
      <w:start w:val="1"/>
      <w:numFmt w:val="bullet"/>
      <w:lvlText w:val="•"/>
      <w:lvlJc w:val="left"/>
      <w:pPr>
        <w:ind w:left="1148" w:hanging="227"/>
      </w:pPr>
      <w:rPr>
        <w:rFonts w:hint="default"/>
      </w:rPr>
    </w:lvl>
    <w:lvl w:ilvl="2" w:tplc="584A7A68">
      <w:start w:val="1"/>
      <w:numFmt w:val="bullet"/>
      <w:lvlText w:val="•"/>
      <w:lvlJc w:val="left"/>
      <w:pPr>
        <w:ind w:left="1962" w:hanging="227"/>
      </w:pPr>
      <w:rPr>
        <w:rFonts w:hint="default"/>
      </w:rPr>
    </w:lvl>
    <w:lvl w:ilvl="3" w:tplc="8A20999E">
      <w:start w:val="1"/>
      <w:numFmt w:val="bullet"/>
      <w:lvlText w:val="•"/>
      <w:lvlJc w:val="left"/>
      <w:pPr>
        <w:ind w:left="2775" w:hanging="227"/>
      </w:pPr>
      <w:rPr>
        <w:rFonts w:hint="default"/>
      </w:rPr>
    </w:lvl>
    <w:lvl w:ilvl="4" w:tplc="ABF41A60">
      <w:start w:val="1"/>
      <w:numFmt w:val="bullet"/>
      <w:lvlText w:val="•"/>
      <w:lvlJc w:val="left"/>
      <w:pPr>
        <w:ind w:left="3589" w:hanging="227"/>
      </w:pPr>
      <w:rPr>
        <w:rFonts w:hint="default"/>
      </w:rPr>
    </w:lvl>
    <w:lvl w:ilvl="5" w:tplc="16620FE0">
      <w:start w:val="1"/>
      <w:numFmt w:val="bullet"/>
      <w:lvlText w:val="•"/>
      <w:lvlJc w:val="left"/>
      <w:pPr>
        <w:ind w:left="4402" w:hanging="227"/>
      </w:pPr>
      <w:rPr>
        <w:rFonts w:hint="default"/>
      </w:rPr>
    </w:lvl>
    <w:lvl w:ilvl="6" w:tplc="63FAE918">
      <w:start w:val="1"/>
      <w:numFmt w:val="bullet"/>
      <w:lvlText w:val="•"/>
      <w:lvlJc w:val="left"/>
      <w:pPr>
        <w:ind w:left="5216" w:hanging="227"/>
      </w:pPr>
      <w:rPr>
        <w:rFonts w:hint="default"/>
      </w:rPr>
    </w:lvl>
    <w:lvl w:ilvl="7" w:tplc="CF767EAC">
      <w:start w:val="1"/>
      <w:numFmt w:val="bullet"/>
      <w:lvlText w:val="•"/>
      <w:lvlJc w:val="left"/>
      <w:pPr>
        <w:ind w:left="6029" w:hanging="227"/>
      </w:pPr>
      <w:rPr>
        <w:rFonts w:hint="default"/>
      </w:rPr>
    </w:lvl>
    <w:lvl w:ilvl="8" w:tplc="FC4CB5F0">
      <w:start w:val="1"/>
      <w:numFmt w:val="bullet"/>
      <w:lvlText w:val="•"/>
      <w:lvlJc w:val="left"/>
      <w:pPr>
        <w:ind w:left="6843" w:hanging="227"/>
      </w:pPr>
      <w:rPr>
        <w:rFonts w:hint="default"/>
      </w:rPr>
    </w:lvl>
  </w:abstractNum>
  <w:abstractNum w:abstractNumId="14">
    <w:nsid w:val="0D8275A7"/>
    <w:multiLevelType w:val="hybridMultilevel"/>
    <w:tmpl w:val="937C9630"/>
    <w:lvl w:ilvl="0" w:tplc="526ECC16">
      <w:start w:val="11"/>
      <w:numFmt w:val="decimal"/>
      <w:lvlText w:val="%1."/>
      <w:lvlJc w:val="left"/>
      <w:pPr>
        <w:ind w:left="1748" w:hanging="501"/>
      </w:pPr>
      <w:rPr>
        <w:rFonts w:ascii="Avenir Next Medium" w:eastAsia="Avenir Next Medium" w:hAnsi="Avenir Next Medium" w:hint="default"/>
        <w:color w:val="0778BE"/>
        <w:sz w:val="30"/>
        <w:szCs w:val="30"/>
      </w:rPr>
    </w:lvl>
    <w:lvl w:ilvl="1" w:tplc="257E97FC">
      <w:start w:val="1"/>
      <w:numFmt w:val="bullet"/>
      <w:lvlText w:val="•"/>
      <w:lvlJc w:val="left"/>
      <w:pPr>
        <w:ind w:left="2763" w:hanging="501"/>
      </w:pPr>
      <w:rPr>
        <w:rFonts w:hint="default"/>
      </w:rPr>
    </w:lvl>
    <w:lvl w:ilvl="2" w:tplc="084A3EAA">
      <w:start w:val="1"/>
      <w:numFmt w:val="bullet"/>
      <w:lvlText w:val="•"/>
      <w:lvlJc w:val="left"/>
      <w:pPr>
        <w:ind w:left="3779" w:hanging="501"/>
      </w:pPr>
      <w:rPr>
        <w:rFonts w:hint="default"/>
      </w:rPr>
    </w:lvl>
    <w:lvl w:ilvl="3" w:tplc="7E0C13B2">
      <w:start w:val="1"/>
      <w:numFmt w:val="bullet"/>
      <w:lvlText w:val="•"/>
      <w:lvlJc w:val="left"/>
      <w:pPr>
        <w:ind w:left="4795" w:hanging="501"/>
      </w:pPr>
      <w:rPr>
        <w:rFonts w:hint="default"/>
      </w:rPr>
    </w:lvl>
    <w:lvl w:ilvl="4" w:tplc="0AE06E54">
      <w:start w:val="1"/>
      <w:numFmt w:val="bullet"/>
      <w:lvlText w:val="•"/>
      <w:lvlJc w:val="left"/>
      <w:pPr>
        <w:ind w:left="5811" w:hanging="501"/>
      </w:pPr>
      <w:rPr>
        <w:rFonts w:hint="default"/>
      </w:rPr>
    </w:lvl>
    <w:lvl w:ilvl="5" w:tplc="0A407B7E">
      <w:start w:val="1"/>
      <w:numFmt w:val="bullet"/>
      <w:lvlText w:val="•"/>
      <w:lvlJc w:val="left"/>
      <w:pPr>
        <w:ind w:left="6826" w:hanging="501"/>
      </w:pPr>
      <w:rPr>
        <w:rFonts w:hint="default"/>
      </w:rPr>
    </w:lvl>
    <w:lvl w:ilvl="6" w:tplc="2BA6FA60">
      <w:start w:val="1"/>
      <w:numFmt w:val="bullet"/>
      <w:lvlText w:val="•"/>
      <w:lvlJc w:val="left"/>
      <w:pPr>
        <w:ind w:left="7842" w:hanging="501"/>
      </w:pPr>
      <w:rPr>
        <w:rFonts w:hint="default"/>
      </w:rPr>
    </w:lvl>
    <w:lvl w:ilvl="7" w:tplc="F6CCB67E">
      <w:start w:val="1"/>
      <w:numFmt w:val="bullet"/>
      <w:lvlText w:val="•"/>
      <w:lvlJc w:val="left"/>
      <w:pPr>
        <w:ind w:left="8858" w:hanging="501"/>
      </w:pPr>
      <w:rPr>
        <w:rFonts w:hint="default"/>
      </w:rPr>
    </w:lvl>
    <w:lvl w:ilvl="8" w:tplc="9DC8B20C">
      <w:start w:val="1"/>
      <w:numFmt w:val="bullet"/>
      <w:lvlText w:val="•"/>
      <w:lvlJc w:val="left"/>
      <w:pPr>
        <w:ind w:left="9874" w:hanging="501"/>
      </w:pPr>
      <w:rPr>
        <w:rFonts w:hint="default"/>
      </w:rPr>
    </w:lvl>
  </w:abstractNum>
  <w:abstractNum w:abstractNumId="15">
    <w:nsid w:val="0D924049"/>
    <w:multiLevelType w:val="hybridMultilevel"/>
    <w:tmpl w:val="CD24797A"/>
    <w:lvl w:ilvl="0" w:tplc="C07A8B12">
      <w:start w:val="4"/>
      <w:numFmt w:val="decimal"/>
      <w:lvlText w:val="(%1)"/>
      <w:lvlJc w:val="left"/>
      <w:pPr>
        <w:ind w:left="510" w:hanging="341"/>
      </w:pPr>
      <w:rPr>
        <w:rFonts w:ascii="Avenir Next Condensed" w:eastAsia="Avenir Next Condensed" w:hAnsi="Avenir Next Condensed" w:hint="default"/>
        <w:spacing w:val="-2"/>
        <w:sz w:val="20"/>
        <w:szCs w:val="20"/>
      </w:rPr>
    </w:lvl>
    <w:lvl w:ilvl="1" w:tplc="AC6E9D52">
      <w:start w:val="1"/>
      <w:numFmt w:val="lowerLetter"/>
      <w:lvlText w:val="(%2)"/>
      <w:lvlJc w:val="left"/>
      <w:pPr>
        <w:ind w:left="850" w:hanging="341"/>
      </w:pPr>
      <w:rPr>
        <w:rFonts w:ascii="Avenir Next Condensed" w:eastAsia="Avenir Next Condensed" w:hAnsi="Avenir Next Condensed" w:hint="default"/>
        <w:spacing w:val="-2"/>
        <w:sz w:val="20"/>
        <w:szCs w:val="20"/>
      </w:rPr>
    </w:lvl>
    <w:lvl w:ilvl="2" w:tplc="D3666C26">
      <w:start w:val="1"/>
      <w:numFmt w:val="bullet"/>
      <w:lvlText w:val="•"/>
      <w:lvlJc w:val="left"/>
      <w:pPr>
        <w:ind w:left="1801" w:hanging="341"/>
      </w:pPr>
      <w:rPr>
        <w:rFonts w:hint="default"/>
      </w:rPr>
    </w:lvl>
    <w:lvl w:ilvl="3" w:tplc="81923C28">
      <w:start w:val="1"/>
      <w:numFmt w:val="bullet"/>
      <w:lvlText w:val="•"/>
      <w:lvlJc w:val="left"/>
      <w:pPr>
        <w:ind w:left="2752" w:hanging="341"/>
      </w:pPr>
      <w:rPr>
        <w:rFonts w:hint="default"/>
      </w:rPr>
    </w:lvl>
    <w:lvl w:ilvl="4" w:tplc="3CDACC9E">
      <w:start w:val="1"/>
      <w:numFmt w:val="bullet"/>
      <w:lvlText w:val="•"/>
      <w:lvlJc w:val="left"/>
      <w:pPr>
        <w:ind w:left="3704" w:hanging="341"/>
      </w:pPr>
      <w:rPr>
        <w:rFonts w:hint="default"/>
      </w:rPr>
    </w:lvl>
    <w:lvl w:ilvl="5" w:tplc="6DB0681A">
      <w:start w:val="1"/>
      <w:numFmt w:val="bullet"/>
      <w:lvlText w:val="•"/>
      <w:lvlJc w:val="left"/>
      <w:pPr>
        <w:ind w:left="4655" w:hanging="341"/>
      </w:pPr>
      <w:rPr>
        <w:rFonts w:hint="default"/>
      </w:rPr>
    </w:lvl>
    <w:lvl w:ilvl="6" w:tplc="3B187EEC">
      <w:start w:val="1"/>
      <w:numFmt w:val="bullet"/>
      <w:lvlText w:val="•"/>
      <w:lvlJc w:val="left"/>
      <w:pPr>
        <w:ind w:left="5606" w:hanging="341"/>
      </w:pPr>
      <w:rPr>
        <w:rFonts w:hint="default"/>
      </w:rPr>
    </w:lvl>
    <w:lvl w:ilvl="7" w:tplc="8B4C8496">
      <w:start w:val="1"/>
      <w:numFmt w:val="bullet"/>
      <w:lvlText w:val="•"/>
      <w:lvlJc w:val="left"/>
      <w:pPr>
        <w:ind w:left="6557" w:hanging="341"/>
      </w:pPr>
      <w:rPr>
        <w:rFonts w:hint="default"/>
      </w:rPr>
    </w:lvl>
    <w:lvl w:ilvl="8" w:tplc="D734802E">
      <w:start w:val="1"/>
      <w:numFmt w:val="bullet"/>
      <w:lvlText w:val="•"/>
      <w:lvlJc w:val="left"/>
      <w:pPr>
        <w:ind w:left="7508" w:hanging="341"/>
      </w:pPr>
      <w:rPr>
        <w:rFonts w:hint="default"/>
      </w:rPr>
    </w:lvl>
  </w:abstractNum>
  <w:abstractNum w:abstractNumId="16">
    <w:nsid w:val="111D4913"/>
    <w:multiLevelType w:val="multilevel"/>
    <w:tmpl w:val="EED4EABA"/>
    <w:lvl w:ilvl="0">
      <w:start w:val="9"/>
      <w:numFmt w:val="decimal"/>
      <w:lvlText w:val="%1"/>
      <w:lvlJc w:val="left"/>
      <w:pPr>
        <w:ind w:left="2211" w:hanging="964"/>
      </w:pPr>
      <w:rPr>
        <w:rFonts w:hint="default"/>
      </w:rPr>
    </w:lvl>
    <w:lvl w:ilvl="1">
      <w:start w:val="3"/>
      <w:numFmt w:val="decimal"/>
      <w:lvlText w:val="%1.%2"/>
      <w:lvlJc w:val="left"/>
      <w:pPr>
        <w:ind w:left="2211" w:hanging="964"/>
      </w:pPr>
      <w:rPr>
        <w:rFonts w:hint="default"/>
      </w:rPr>
    </w:lvl>
    <w:lvl w:ilvl="2">
      <w:start w:val="4"/>
      <w:numFmt w:val="decimal"/>
      <w:lvlText w:val="%1.%2.%3"/>
      <w:lvlJc w:val="left"/>
      <w:pPr>
        <w:ind w:left="2211" w:hanging="964"/>
      </w:pPr>
      <w:rPr>
        <w:rFonts w:hint="default"/>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6088" w:hanging="964"/>
      </w:pPr>
      <w:rPr>
        <w:rFonts w:hint="default"/>
      </w:rPr>
    </w:lvl>
    <w:lvl w:ilvl="5">
      <w:start w:val="1"/>
      <w:numFmt w:val="bullet"/>
      <w:lvlText w:val="•"/>
      <w:lvlJc w:val="left"/>
      <w:pPr>
        <w:ind w:left="7058" w:hanging="964"/>
      </w:pPr>
      <w:rPr>
        <w:rFonts w:hint="default"/>
      </w:rPr>
    </w:lvl>
    <w:lvl w:ilvl="6">
      <w:start w:val="1"/>
      <w:numFmt w:val="bullet"/>
      <w:lvlText w:val="•"/>
      <w:lvlJc w:val="left"/>
      <w:pPr>
        <w:ind w:left="8027" w:hanging="964"/>
      </w:pPr>
      <w:rPr>
        <w:rFonts w:hint="default"/>
      </w:rPr>
    </w:lvl>
    <w:lvl w:ilvl="7">
      <w:start w:val="1"/>
      <w:numFmt w:val="bullet"/>
      <w:lvlText w:val="•"/>
      <w:lvlJc w:val="left"/>
      <w:pPr>
        <w:ind w:left="8997" w:hanging="964"/>
      </w:pPr>
      <w:rPr>
        <w:rFonts w:hint="default"/>
      </w:rPr>
    </w:lvl>
    <w:lvl w:ilvl="8">
      <w:start w:val="1"/>
      <w:numFmt w:val="bullet"/>
      <w:lvlText w:val="•"/>
      <w:lvlJc w:val="left"/>
      <w:pPr>
        <w:ind w:left="9966" w:hanging="964"/>
      </w:pPr>
      <w:rPr>
        <w:rFonts w:hint="default"/>
      </w:rPr>
    </w:lvl>
  </w:abstractNum>
  <w:abstractNum w:abstractNumId="17">
    <w:nsid w:val="11CF7617"/>
    <w:multiLevelType w:val="hybridMultilevel"/>
    <w:tmpl w:val="6A42E9EE"/>
    <w:lvl w:ilvl="0" w:tplc="0DEC7358">
      <w:start w:val="1"/>
      <w:numFmt w:val="decimal"/>
      <w:lvlText w:val="%1."/>
      <w:lvlJc w:val="left"/>
      <w:pPr>
        <w:ind w:left="1587" w:hanging="341"/>
      </w:pPr>
      <w:rPr>
        <w:rFonts w:ascii="Avenir Next" w:eastAsia="Avenir Next" w:hAnsi="Avenir Next" w:hint="default"/>
        <w:sz w:val="20"/>
        <w:szCs w:val="20"/>
      </w:rPr>
    </w:lvl>
    <w:lvl w:ilvl="1" w:tplc="94A0359E">
      <w:start w:val="1"/>
      <w:numFmt w:val="bullet"/>
      <w:lvlText w:val="–"/>
      <w:lvlJc w:val="left"/>
      <w:pPr>
        <w:ind w:left="1814" w:hanging="284"/>
      </w:pPr>
      <w:rPr>
        <w:rFonts w:ascii="Avenir Next" w:eastAsia="Avenir Next" w:hAnsi="Avenir Next" w:hint="default"/>
        <w:sz w:val="20"/>
        <w:szCs w:val="20"/>
      </w:rPr>
    </w:lvl>
    <w:lvl w:ilvl="2" w:tplc="5A1E932C">
      <w:start w:val="1"/>
      <w:numFmt w:val="bullet"/>
      <w:lvlText w:val="•"/>
      <w:lvlJc w:val="left"/>
      <w:pPr>
        <w:ind w:left="2935" w:hanging="284"/>
      </w:pPr>
      <w:rPr>
        <w:rFonts w:hint="default"/>
      </w:rPr>
    </w:lvl>
    <w:lvl w:ilvl="3" w:tplc="A742FFE8">
      <w:start w:val="1"/>
      <w:numFmt w:val="bullet"/>
      <w:lvlText w:val="•"/>
      <w:lvlJc w:val="left"/>
      <w:pPr>
        <w:ind w:left="4056" w:hanging="284"/>
      </w:pPr>
      <w:rPr>
        <w:rFonts w:hint="default"/>
      </w:rPr>
    </w:lvl>
    <w:lvl w:ilvl="4" w:tplc="2140D5FC">
      <w:start w:val="1"/>
      <w:numFmt w:val="bullet"/>
      <w:lvlText w:val="•"/>
      <w:lvlJc w:val="left"/>
      <w:pPr>
        <w:ind w:left="5178" w:hanging="284"/>
      </w:pPr>
      <w:rPr>
        <w:rFonts w:hint="default"/>
      </w:rPr>
    </w:lvl>
    <w:lvl w:ilvl="5" w:tplc="B2F4ECF6">
      <w:start w:val="1"/>
      <w:numFmt w:val="bullet"/>
      <w:lvlText w:val="•"/>
      <w:lvlJc w:val="left"/>
      <w:pPr>
        <w:ind w:left="6299" w:hanging="284"/>
      </w:pPr>
      <w:rPr>
        <w:rFonts w:hint="default"/>
      </w:rPr>
    </w:lvl>
    <w:lvl w:ilvl="6" w:tplc="43FEF6D2">
      <w:start w:val="1"/>
      <w:numFmt w:val="bullet"/>
      <w:lvlText w:val="•"/>
      <w:lvlJc w:val="left"/>
      <w:pPr>
        <w:ind w:left="7420" w:hanging="284"/>
      </w:pPr>
      <w:rPr>
        <w:rFonts w:hint="default"/>
      </w:rPr>
    </w:lvl>
    <w:lvl w:ilvl="7" w:tplc="7FEE5770">
      <w:start w:val="1"/>
      <w:numFmt w:val="bullet"/>
      <w:lvlText w:val="•"/>
      <w:lvlJc w:val="left"/>
      <w:pPr>
        <w:ind w:left="8541" w:hanging="284"/>
      </w:pPr>
      <w:rPr>
        <w:rFonts w:hint="default"/>
      </w:rPr>
    </w:lvl>
    <w:lvl w:ilvl="8" w:tplc="C85649E4">
      <w:start w:val="1"/>
      <w:numFmt w:val="bullet"/>
      <w:lvlText w:val="•"/>
      <w:lvlJc w:val="left"/>
      <w:pPr>
        <w:ind w:left="9663" w:hanging="284"/>
      </w:pPr>
      <w:rPr>
        <w:rFonts w:hint="default"/>
      </w:rPr>
    </w:lvl>
  </w:abstractNum>
  <w:abstractNum w:abstractNumId="18">
    <w:nsid w:val="14466B7B"/>
    <w:multiLevelType w:val="hybridMultilevel"/>
    <w:tmpl w:val="456A7126"/>
    <w:lvl w:ilvl="0" w:tplc="3892A120">
      <w:start w:val="177"/>
      <w:numFmt w:val="decimal"/>
      <w:lvlText w:val="%1"/>
      <w:lvlJc w:val="left"/>
      <w:pPr>
        <w:ind w:left="1757" w:hanging="511"/>
      </w:pPr>
      <w:rPr>
        <w:rFonts w:ascii="Avenir Next" w:eastAsia="Avenir Next" w:hAnsi="Avenir Next" w:hint="default"/>
        <w:sz w:val="16"/>
        <w:szCs w:val="16"/>
      </w:rPr>
    </w:lvl>
    <w:lvl w:ilvl="1" w:tplc="B9A22E34">
      <w:start w:val="1"/>
      <w:numFmt w:val="bullet"/>
      <w:lvlText w:val="•"/>
      <w:lvlJc w:val="left"/>
      <w:pPr>
        <w:ind w:left="2772" w:hanging="511"/>
      </w:pPr>
      <w:rPr>
        <w:rFonts w:hint="default"/>
      </w:rPr>
    </w:lvl>
    <w:lvl w:ilvl="2" w:tplc="EBC69CC6">
      <w:start w:val="1"/>
      <w:numFmt w:val="bullet"/>
      <w:lvlText w:val="•"/>
      <w:lvlJc w:val="left"/>
      <w:pPr>
        <w:ind w:left="3787" w:hanging="511"/>
      </w:pPr>
      <w:rPr>
        <w:rFonts w:hint="default"/>
      </w:rPr>
    </w:lvl>
    <w:lvl w:ilvl="3" w:tplc="F5904B9C">
      <w:start w:val="1"/>
      <w:numFmt w:val="bullet"/>
      <w:lvlText w:val="•"/>
      <w:lvlJc w:val="left"/>
      <w:pPr>
        <w:ind w:left="4801" w:hanging="511"/>
      </w:pPr>
      <w:rPr>
        <w:rFonts w:hint="default"/>
      </w:rPr>
    </w:lvl>
    <w:lvl w:ilvl="4" w:tplc="29529E84">
      <w:start w:val="1"/>
      <w:numFmt w:val="bullet"/>
      <w:lvlText w:val="•"/>
      <w:lvlJc w:val="left"/>
      <w:pPr>
        <w:ind w:left="5816" w:hanging="511"/>
      </w:pPr>
      <w:rPr>
        <w:rFonts w:hint="default"/>
      </w:rPr>
    </w:lvl>
    <w:lvl w:ilvl="5" w:tplc="D8DAD954">
      <w:start w:val="1"/>
      <w:numFmt w:val="bullet"/>
      <w:lvlText w:val="•"/>
      <w:lvlJc w:val="left"/>
      <w:pPr>
        <w:ind w:left="6831" w:hanging="511"/>
      </w:pPr>
      <w:rPr>
        <w:rFonts w:hint="default"/>
      </w:rPr>
    </w:lvl>
    <w:lvl w:ilvl="6" w:tplc="E3082570">
      <w:start w:val="1"/>
      <w:numFmt w:val="bullet"/>
      <w:lvlText w:val="•"/>
      <w:lvlJc w:val="left"/>
      <w:pPr>
        <w:ind w:left="7846" w:hanging="511"/>
      </w:pPr>
      <w:rPr>
        <w:rFonts w:hint="default"/>
      </w:rPr>
    </w:lvl>
    <w:lvl w:ilvl="7" w:tplc="AC944588">
      <w:start w:val="1"/>
      <w:numFmt w:val="bullet"/>
      <w:lvlText w:val="•"/>
      <w:lvlJc w:val="left"/>
      <w:pPr>
        <w:ind w:left="8861" w:hanging="511"/>
      </w:pPr>
      <w:rPr>
        <w:rFonts w:hint="default"/>
      </w:rPr>
    </w:lvl>
    <w:lvl w:ilvl="8" w:tplc="EA30FA02">
      <w:start w:val="1"/>
      <w:numFmt w:val="bullet"/>
      <w:lvlText w:val="•"/>
      <w:lvlJc w:val="left"/>
      <w:pPr>
        <w:ind w:left="9875" w:hanging="511"/>
      </w:pPr>
      <w:rPr>
        <w:rFonts w:hint="default"/>
      </w:rPr>
    </w:lvl>
  </w:abstractNum>
  <w:abstractNum w:abstractNumId="19">
    <w:nsid w:val="14873DC7"/>
    <w:multiLevelType w:val="hybridMultilevel"/>
    <w:tmpl w:val="7FDA3626"/>
    <w:lvl w:ilvl="0" w:tplc="9AB6C9CA">
      <w:start w:val="185"/>
      <w:numFmt w:val="decimal"/>
      <w:lvlText w:val="%1"/>
      <w:lvlJc w:val="left"/>
      <w:pPr>
        <w:ind w:left="1757" w:hanging="511"/>
      </w:pPr>
      <w:rPr>
        <w:rFonts w:ascii="Avenir Next" w:eastAsia="Avenir Next" w:hAnsi="Avenir Next" w:hint="default"/>
        <w:sz w:val="16"/>
        <w:szCs w:val="16"/>
      </w:rPr>
    </w:lvl>
    <w:lvl w:ilvl="1" w:tplc="CB76E9C8">
      <w:start w:val="1"/>
      <w:numFmt w:val="bullet"/>
      <w:lvlText w:val="•"/>
      <w:lvlJc w:val="left"/>
      <w:pPr>
        <w:ind w:left="2772" w:hanging="511"/>
      </w:pPr>
      <w:rPr>
        <w:rFonts w:hint="default"/>
      </w:rPr>
    </w:lvl>
    <w:lvl w:ilvl="2" w:tplc="2D289F7A">
      <w:start w:val="1"/>
      <w:numFmt w:val="bullet"/>
      <w:lvlText w:val="•"/>
      <w:lvlJc w:val="left"/>
      <w:pPr>
        <w:ind w:left="3787" w:hanging="511"/>
      </w:pPr>
      <w:rPr>
        <w:rFonts w:hint="default"/>
      </w:rPr>
    </w:lvl>
    <w:lvl w:ilvl="3" w:tplc="8642F940">
      <w:start w:val="1"/>
      <w:numFmt w:val="bullet"/>
      <w:lvlText w:val="•"/>
      <w:lvlJc w:val="left"/>
      <w:pPr>
        <w:ind w:left="4801" w:hanging="511"/>
      </w:pPr>
      <w:rPr>
        <w:rFonts w:hint="default"/>
      </w:rPr>
    </w:lvl>
    <w:lvl w:ilvl="4" w:tplc="9992E49E">
      <w:start w:val="1"/>
      <w:numFmt w:val="bullet"/>
      <w:lvlText w:val="•"/>
      <w:lvlJc w:val="left"/>
      <w:pPr>
        <w:ind w:left="5816" w:hanging="511"/>
      </w:pPr>
      <w:rPr>
        <w:rFonts w:hint="default"/>
      </w:rPr>
    </w:lvl>
    <w:lvl w:ilvl="5" w:tplc="2736BC32">
      <w:start w:val="1"/>
      <w:numFmt w:val="bullet"/>
      <w:lvlText w:val="•"/>
      <w:lvlJc w:val="left"/>
      <w:pPr>
        <w:ind w:left="6831" w:hanging="511"/>
      </w:pPr>
      <w:rPr>
        <w:rFonts w:hint="default"/>
      </w:rPr>
    </w:lvl>
    <w:lvl w:ilvl="6" w:tplc="83B64B8E">
      <w:start w:val="1"/>
      <w:numFmt w:val="bullet"/>
      <w:lvlText w:val="•"/>
      <w:lvlJc w:val="left"/>
      <w:pPr>
        <w:ind w:left="7846" w:hanging="511"/>
      </w:pPr>
      <w:rPr>
        <w:rFonts w:hint="default"/>
      </w:rPr>
    </w:lvl>
    <w:lvl w:ilvl="7" w:tplc="EAA8E5BC">
      <w:start w:val="1"/>
      <w:numFmt w:val="bullet"/>
      <w:lvlText w:val="•"/>
      <w:lvlJc w:val="left"/>
      <w:pPr>
        <w:ind w:left="8861" w:hanging="511"/>
      </w:pPr>
      <w:rPr>
        <w:rFonts w:hint="default"/>
      </w:rPr>
    </w:lvl>
    <w:lvl w:ilvl="8" w:tplc="206E91DC">
      <w:start w:val="1"/>
      <w:numFmt w:val="bullet"/>
      <w:lvlText w:val="•"/>
      <w:lvlJc w:val="left"/>
      <w:pPr>
        <w:ind w:left="9875" w:hanging="511"/>
      </w:pPr>
      <w:rPr>
        <w:rFonts w:hint="default"/>
      </w:rPr>
    </w:lvl>
  </w:abstractNum>
  <w:abstractNum w:abstractNumId="20">
    <w:nsid w:val="14FA6E62"/>
    <w:multiLevelType w:val="hybridMultilevel"/>
    <w:tmpl w:val="CC22CC2A"/>
    <w:lvl w:ilvl="0" w:tplc="0D26CCFC">
      <w:start w:val="1"/>
      <w:numFmt w:val="bullet"/>
      <w:lvlText w:val="•"/>
      <w:lvlJc w:val="left"/>
      <w:pPr>
        <w:ind w:left="335" w:hanging="227"/>
      </w:pPr>
      <w:rPr>
        <w:rFonts w:ascii="Avenir Next Condensed" w:eastAsia="Avenir Next Condensed" w:hAnsi="Avenir Next Condensed" w:hint="default"/>
        <w:sz w:val="18"/>
        <w:szCs w:val="18"/>
      </w:rPr>
    </w:lvl>
    <w:lvl w:ilvl="1" w:tplc="87206C32">
      <w:start w:val="1"/>
      <w:numFmt w:val="bullet"/>
      <w:lvlText w:val="•"/>
      <w:lvlJc w:val="left"/>
      <w:pPr>
        <w:ind w:left="770" w:hanging="227"/>
      </w:pPr>
      <w:rPr>
        <w:rFonts w:hint="default"/>
      </w:rPr>
    </w:lvl>
    <w:lvl w:ilvl="2" w:tplc="50CAC738">
      <w:start w:val="1"/>
      <w:numFmt w:val="bullet"/>
      <w:lvlText w:val="•"/>
      <w:lvlJc w:val="left"/>
      <w:pPr>
        <w:ind w:left="1206" w:hanging="227"/>
      </w:pPr>
      <w:rPr>
        <w:rFonts w:hint="default"/>
      </w:rPr>
    </w:lvl>
    <w:lvl w:ilvl="3" w:tplc="4330D514">
      <w:start w:val="1"/>
      <w:numFmt w:val="bullet"/>
      <w:lvlText w:val="•"/>
      <w:lvlJc w:val="left"/>
      <w:pPr>
        <w:ind w:left="1641" w:hanging="227"/>
      </w:pPr>
      <w:rPr>
        <w:rFonts w:hint="default"/>
      </w:rPr>
    </w:lvl>
    <w:lvl w:ilvl="4" w:tplc="F740F694">
      <w:start w:val="1"/>
      <w:numFmt w:val="bullet"/>
      <w:lvlText w:val="•"/>
      <w:lvlJc w:val="left"/>
      <w:pPr>
        <w:ind w:left="2077" w:hanging="227"/>
      </w:pPr>
      <w:rPr>
        <w:rFonts w:hint="default"/>
      </w:rPr>
    </w:lvl>
    <w:lvl w:ilvl="5" w:tplc="1D2EDCA8">
      <w:start w:val="1"/>
      <w:numFmt w:val="bullet"/>
      <w:lvlText w:val="•"/>
      <w:lvlJc w:val="left"/>
      <w:pPr>
        <w:ind w:left="2512" w:hanging="227"/>
      </w:pPr>
      <w:rPr>
        <w:rFonts w:hint="default"/>
      </w:rPr>
    </w:lvl>
    <w:lvl w:ilvl="6" w:tplc="CDCA74BA">
      <w:start w:val="1"/>
      <w:numFmt w:val="bullet"/>
      <w:lvlText w:val="•"/>
      <w:lvlJc w:val="left"/>
      <w:pPr>
        <w:ind w:left="2948" w:hanging="227"/>
      </w:pPr>
      <w:rPr>
        <w:rFonts w:hint="default"/>
      </w:rPr>
    </w:lvl>
    <w:lvl w:ilvl="7" w:tplc="7480DB2A">
      <w:start w:val="1"/>
      <w:numFmt w:val="bullet"/>
      <w:lvlText w:val="•"/>
      <w:lvlJc w:val="left"/>
      <w:pPr>
        <w:ind w:left="3383" w:hanging="227"/>
      </w:pPr>
      <w:rPr>
        <w:rFonts w:hint="default"/>
      </w:rPr>
    </w:lvl>
    <w:lvl w:ilvl="8" w:tplc="8DD82B46">
      <w:start w:val="1"/>
      <w:numFmt w:val="bullet"/>
      <w:lvlText w:val="•"/>
      <w:lvlJc w:val="left"/>
      <w:pPr>
        <w:ind w:left="3819" w:hanging="227"/>
      </w:pPr>
      <w:rPr>
        <w:rFonts w:hint="default"/>
      </w:rPr>
    </w:lvl>
  </w:abstractNum>
  <w:abstractNum w:abstractNumId="21">
    <w:nsid w:val="16585E9D"/>
    <w:multiLevelType w:val="hybridMultilevel"/>
    <w:tmpl w:val="E0D4A78C"/>
    <w:lvl w:ilvl="0" w:tplc="1C9E5BF0">
      <w:start w:val="3"/>
      <w:numFmt w:val="decimal"/>
      <w:lvlText w:val="%1."/>
      <w:lvlJc w:val="left"/>
      <w:pPr>
        <w:ind w:left="2026" w:hanging="212"/>
      </w:pPr>
      <w:rPr>
        <w:rFonts w:ascii="Avenir Next" w:eastAsia="Avenir Next" w:hAnsi="Avenir Next" w:hint="default"/>
        <w:sz w:val="20"/>
        <w:szCs w:val="20"/>
      </w:rPr>
    </w:lvl>
    <w:lvl w:ilvl="1" w:tplc="A07A18DA">
      <w:start w:val="1"/>
      <w:numFmt w:val="bullet"/>
      <w:lvlText w:val="•"/>
      <w:lvlJc w:val="left"/>
      <w:pPr>
        <w:ind w:left="3014" w:hanging="212"/>
      </w:pPr>
      <w:rPr>
        <w:rFonts w:hint="default"/>
      </w:rPr>
    </w:lvl>
    <w:lvl w:ilvl="2" w:tplc="A83CA1DC">
      <w:start w:val="1"/>
      <w:numFmt w:val="bullet"/>
      <w:lvlText w:val="•"/>
      <w:lvlJc w:val="left"/>
      <w:pPr>
        <w:ind w:left="4002" w:hanging="212"/>
      </w:pPr>
      <w:rPr>
        <w:rFonts w:hint="default"/>
      </w:rPr>
    </w:lvl>
    <w:lvl w:ilvl="3" w:tplc="1B7E330C">
      <w:start w:val="1"/>
      <w:numFmt w:val="bullet"/>
      <w:lvlText w:val="•"/>
      <w:lvlJc w:val="left"/>
      <w:pPr>
        <w:ind w:left="4990" w:hanging="212"/>
      </w:pPr>
      <w:rPr>
        <w:rFonts w:hint="default"/>
      </w:rPr>
    </w:lvl>
    <w:lvl w:ilvl="4" w:tplc="AD923AA4">
      <w:start w:val="1"/>
      <w:numFmt w:val="bullet"/>
      <w:lvlText w:val="•"/>
      <w:lvlJc w:val="left"/>
      <w:pPr>
        <w:ind w:left="5977" w:hanging="212"/>
      </w:pPr>
      <w:rPr>
        <w:rFonts w:hint="default"/>
      </w:rPr>
    </w:lvl>
    <w:lvl w:ilvl="5" w:tplc="32DEEC7C">
      <w:start w:val="1"/>
      <w:numFmt w:val="bullet"/>
      <w:lvlText w:val="•"/>
      <w:lvlJc w:val="left"/>
      <w:pPr>
        <w:ind w:left="6965" w:hanging="212"/>
      </w:pPr>
      <w:rPr>
        <w:rFonts w:hint="default"/>
      </w:rPr>
    </w:lvl>
    <w:lvl w:ilvl="6" w:tplc="F1E200EE">
      <w:start w:val="1"/>
      <w:numFmt w:val="bullet"/>
      <w:lvlText w:val="•"/>
      <w:lvlJc w:val="left"/>
      <w:pPr>
        <w:ind w:left="7953" w:hanging="212"/>
      </w:pPr>
      <w:rPr>
        <w:rFonts w:hint="default"/>
      </w:rPr>
    </w:lvl>
    <w:lvl w:ilvl="7" w:tplc="ECF63FBE">
      <w:start w:val="1"/>
      <w:numFmt w:val="bullet"/>
      <w:lvlText w:val="•"/>
      <w:lvlJc w:val="left"/>
      <w:pPr>
        <w:ind w:left="8941" w:hanging="212"/>
      </w:pPr>
      <w:rPr>
        <w:rFonts w:hint="default"/>
      </w:rPr>
    </w:lvl>
    <w:lvl w:ilvl="8" w:tplc="ECD8ADA8">
      <w:start w:val="1"/>
      <w:numFmt w:val="bullet"/>
      <w:lvlText w:val="•"/>
      <w:lvlJc w:val="left"/>
      <w:pPr>
        <w:ind w:left="9929" w:hanging="212"/>
      </w:pPr>
      <w:rPr>
        <w:rFonts w:hint="default"/>
      </w:rPr>
    </w:lvl>
  </w:abstractNum>
  <w:abstractNum w:abstractNumId="22">
    <w:nsid w:val="16600683"/>
    <w:multiLevelType w:val="hybridMultilevel"/>
    <w:tmpl w:val="15AEFAF2"/>
    <w:lvl w:ilvl="0" w:tplc="97844DB0">
      <w:start w:val="81"/>
      <w:numFmt w:val="decimal"/>
      <w:lvlText w:val="%1"/>
      <w:lvlJc w:val="left"/>
      <w:pPr>
        <w:ind w:left="1757" w:hanging="511"/>
      </w:pPr>
      <w:rPr>
        <w:rFonts w:ascii="Avenir Next" w:eastAsia="Avenir Next" w:hAnsi="Avenir Next" w:hint="default"/>
        <w:sz w:val="16"/>
        <w:szCs w:val="16"/>
      </w:rPr>
    </w:lvl>
    <w:lvl w:ilvl="1" w:tplc="CFE2CEFC">
      <w:start w:val="1"/>
      <w:numFmt w:val="bullet"/>
      <w:lvlText w:val="•"/>
      <w:lvlJc w:val="left"/>
      <w:pPr>
        <w:ind w:left="2772" w:hanging="511"/>
      </w:pPr>
      <w:rPr>
        <w:rFonts w:hint="default"/>
      </w:rPr>
    </w:lvl>
    <w:lvl w:ilvl="2" w:tplc="3CC01D00">
      <w:start w:val="1"/>
      <w:numFmt w:val="bullet"/>
      <w:lvlText w:val="•"/>
      <w:lvlJc w:val="left"/>
      <w:pPr>
        <w:ind w:left="3787" w:hanging="511"/>
      </w:pPr>
      <w:rPr>
        <w:rFonts w:hint="default"/>
      </w:rPr>
    </w:lvl>
    <w:lvl w:ilvl="3" w:tplc="E91ED07E">
      <w:start w:val="1"/>
      <w:numFmt w:val="bullet"/>
      <w:lvlText w:val="•"/>
      <w:lvlJc w:val="left"/>
      <w:pPr>
        <w:ind w:left="4801" w:hanging="511"/>
      </w:pPr>
      <w:rPr>
        <w:rFonts w:hint="default"/>
      </w:rPr>
    </w:lvl>
    <w:lvl w:ilvl="4" w:tplc="27F2E33C">
      <w:start w:val="1"/>
      <w:numFmt w:val="bullet"/>
      <w:lvlText w:val="•"/>
      <w:lvlJc w:val="left"/>
      <w:pPr>
        <w:ind w:left="5816" w:hanging="511"/>
      </w:pPr>
      <w:rPr>
        <w:rFonts w:hint="default"/>
      </w:rPr>
    </w:lvl>
    <w:lvl w:ilvl="5" w:tplc="2F0057A2">
      <w:start w:val="1"/>
      <w:numFmt w:val="bullet"/>
      <w:lvlText w:val="•"/>
      <w:lvlJc w:val="left"/>
      <w:pPr>
        <w:ind w:left="6831" w:hanging="511"/>
      </w:pPr>
      <w:rPr>
        <w:rFonts w:hint="default"/>
      </w:rPr>
    </w:lvl>
    <w:lvl w:ilvl="6" w:tplc="5F688110">
      <w:start w:val="1"/>
      <w:numFmt w:val="bullet"/>
      <w:lvlText w:val="•"/>
      <w:lvlJc w:val="left"/>
      <w:pPr>
        <w:ind w:left="7846" w:hanging="511"/>
      </w:pPr>
      <w:rPr>
        <w:rFonts w:hint="default"/>
      </w:rPr>
    </w:lvl>
    <w:lvl w:ilvl="7" w:tplc="D194B49E">
      <w:start w:val="1"/>
      <w:numFmt w:val="bullet"/>
      <w:lvlText w:val="•"/>
      <w:lvlJc w:val="left"/>
      <w:pPr>
        <w:ind w:left="8861" w:hanging="511"/>
      </w:pPr>
      <w:rPr>
        <w:rFonts w:hint="default"/>
      </w:rPr>
    </w:lvl>
    <w:lvl w:ilvl="8" w:tplc="B4AA6C00">
      <w:start w:val="1"/>
      <w:numFmt w:val="bullet"/>
      <w:lvlText w:val="•"/>
      <w:lvlJc w:val="left"/>
      <w:pPr>
        <w:ind w:left="9875" w:hanging="511"/>
      </w:pPr>
      <w:rPr>
        <w:rFonts w:hint="default"/>
      </w:rPr>
    </w:lvl>
  </w:abstractNum>
  <w:abstractNum w:abstractNumId="23">
    <w:nsid w:val="17F971B7"/>
    <w:multiLevelType w:val="hybridMultilevel"/>
    <w:tmpl w:val="7F1E0D26"/>
    <w:lvl w:ilvl="0" w:tplc="C3B8E3B8">
      <w:start w:val="230"/>
      <w:numFmt w:val="decimal"/>
      <w:lvlText w:val="%1"/>
      <w:lvlJc w:val="left"/>
      <w:pPr>
        <w:ind w:left="1757" w:hanging="511"/>
      </w:pPr>
      <w:rPr>
        <w:rFonts w:ascii="Avenir Next" w:eastAsia="Avenir Next" w:hAnsi="Avenir Next" w:hint="default"/>
        <w:sz w:val="16"/>
        <w:szCs w:val="16"/>
      </w:rPr>
    </w:lvl>
    <w:lvl w:ilvl="1" w:tplc="C0AC2C6A">
      <w:start w:val="1"/>
      <w:numFmt w:val="bullet"/>
      <w:lvlText w:val="•"/>
      <w:lvlJc w:val="left"/>
      <w:pPr>
        <w:ind w:left="2772" w:hanging="511"/>
      </w:pPr>
      <w:rPr>
        <w:rFonts w:hint="default"/>
      </w:rPr>
    </w:lvl>
    <w:lvl w:ilvl="2" w:tplc="2796181E">
      <w:start w:val="1"/>
      <w:numFmt w:val="bullet"/>
      <w:lvlText w:val="•"/>
      <w:lvlJc w:val="left"/>
      <w:pPr>
        <w:ind w:left="3787" w:hanging="511"/>
      </w:pPr>
      <w:rPr>
        <w:rFonts w:hint="default"/>
      </w:rPr>
    </w:lvl>
    <w:lvl w:ilvl="3" w:tplc="B4A0DE52">
      <w:start w:val="1"/>
      <w:numFmt w:val="bullet"/>
      <w:lvlText w:val="•"/>
      <w:lvlJc w:val="left"/>
      <w:pPr>
        <w:ind w:left="4801" w:hanging="511"/>
      </w:pPr>
      <w:rPr>
        <w:rFonts w:hint="default"/>
      </w:rPr>
    </w:lvl>
    <w:lvl w:ilvl="4" w:tplc="6AA0E9FE">
      <w:start w:val="1"/>
      <w:numFmt w:val="bullet"/>
      <w:lvlText w:val="•"/>
      <w:lvlJc w:val="left"/>
      <w:pPr>
        <w:ind w:left="5816" w:hanging="511"/>
      </w:pPr>
      <w:rPr>
        <w:rFonts w:hint="default"/>
      </w:rPr>
    </w:lvl>
    <w:lvl w:ilvl="5" w:tplc="6C08F6A2">
      <w:start w:val="1"/>
      <w:numFmt w:val="bullet"/>
      <w:lvlText w:val="•"/>
      <w:lvlJc w:val="left"/>
      <w:pPr>
        <w:ind w:left="6831" w:hanging="511"/>
      </w:pPr>
      <w:rPr>
        <w:rFonts w:hint="default"/>
      </w:rPr>
    </w:lvl>
    <w:lvl w:ilvl="6" w:tplc="37E22800">
      <w:start w:val="1"/>
      <w:numFmt w:val="bullet"/>
      <w:lvlText w:val="•"/>
      <w:lvlJc w:val="left"/>
      <w:pPr>
        <w:ind w:left="7846" w:hanging="511"/>
      </w:pPr>
      <w:rPr>
        <w:rFonts w:hint="default"/>
      </w:rPr>
    </w:lvl>
    <w:lvl w:ilvl="7" w:tplc="083C2656">
      <w:start w:val="1"/>
      <w:numFmt w:val="bullet"/>
      <w:lvlText w:val="•"/>
      <w:lvlJc w:val="left"/>
      <w:pPr>
        <w:ind w:left="8861" w:hanging="511"/>
      </w:pPr>
      <w:rPr>
        <w:rFonts w:hint="default"/>
      </w:rPr>
    </w:lvl>
    <w:lvl w:ilvl="8" w:tplc="1044847A">
      <w:start w:val="1"/>
      <w:numFmt w:val="bullet"/>
      <w:lvlText w:val="•"/>
      <w:lvlJc w:val="left"/>
      <w:pPr>
        <w:ind w:left="9875" w:hanging="511"/>
      </w:pPr>
      <w:rPr>
        <w:rFonts w:hint="default"/>
      </w:rPr>
    </w:lvl>
  </w:abstractNum>
  <w:abstractNum w:abstractNumId="24">
    <w:nsid w:val="181F1121"/>
    <w:multiLevelType w:val="hybridMultilevel"/>
    <w:tmpl w:val="A39AE46C"/>
    <w:lvl w:ilvl="0" w:tplc="C15467AC">
      <w:start w:val="10"/>
      <w:numFmt w:val="decimal"/>
      <w:lvlText w:val="%1."/>
      <w:lvlJc w:val="left"/>
      <w:pPr>
        <w:ind w:left="1814" w:hanging="567"/>
      </w:pPr>
      <w:rPr>
        <w:rFonts w:ascii="Avenir Next" w:eastAsia="Avenir Next" w:hAnsi="Avenir Next" w:hint="default"/>
        <w:b/>
        <w:bCs/>
        <w:color w:val="0778BE"/>
        <w:sz w:val="34"/>
        <w:szCs w:val="34"/>
      </w:rPr>
    </w:lvl>
    <w:lvl w:ilvl="1" w:tplc="A1408DF4">
      <w:start w:val="1"/>
      <w:numFmt w:val="bullet"/>
      <w:lvlText w:val="•"/>
      <w:lvlJc w:val="left"/>
      <w:pPr>
        <w:ind w:left="2823" w:hanging="567"/>
      </w:pPr>
      <w:rPr>
        <w:rFonts w:hint="default"/>
      </w:rPr>
    </w:lvl>
    <w:lvl w:ilvl="2" w:tplc="3146B714">
      <w:start w:val="1"/>
      <w:numFmt w:val="bullet"/>
      <w:lvlText w:val="•"/>
      <w:lvlJc w:val="left"/>
      <w:pPr>
        <w:ind w:left="3832" w:hanging="567"/>
      </w:pPr>
      <w:rPr>
        <w:rFonts w:hint="default"/>
      </w:rPr>
    </w:lvl>
    <w:lvl w:ilvl="3" w:tplc="1FA41CD2">
      <w:start w:val="1"/>
      <w:numFmt w:val="bullet"/>
      <w:lvlText w:val="•"/>
      <w:lvlJc w:val="left"/>
      <w:pPr>
        <w:ind w:left="4841" w:hanging="567"/>
      </w:pPr>
      <w:rPr>
        <w:rFonts w:hint="default"/>
      </w:rPr>
    </w:lvl>
    <w:lvl w:ilvl="4" w:tplc="028C1566">
      <w:start w:val="1"/>
      <w:numFmt w:val="bullet"/>
      <w:lvlText w:val="•"/>
      <w:lvlJc w:val="left"/>
      <w:pPr>
        <w:ind w:left="5850" w:hanging="567"/>
      </w:pPr>
      <w:rPr>
        <w:rFonts w:hint="default"/>
      </w:rPr>
    </w:lvl>
    <w:lvl w:ilvl="5" w:tplc="402AFDAC">
      <w:start w:val="1"/>
      <w:numFmt w:val="bullet"/>
      <w:lvlText w:val="•"/>
      <w:lvlJc w:val="left"/>
      <w:pPr>
        <w:ind w:left="6859" w:hanging="567"/>
      </w:pPr>
      <w:rPr>
        <w:rFonts w:hint="default"/>
      </w:rPr>
    </w:lvl>
    <w:lvl w:ilvl="6" w:tplc="3414510A">
      <w:start w:val="1"/>
      <w:numFmt w:val="bullet"/>
      <w:lvlText w:val="•"/>
      <w:lvlJc w:val="left"/>
      <w:pPr>
        <w:ind w:left="7868" w:hanging="567"/>
      </w:pPr>
      <w:rPr>
        <w:rFonts w:hint="default"/>
      </w:rPr>
    </w:lvl>
    <w:lvl w:ilvl="7" w:tplc="8090AEDE">
      <w:start w:val="1"/>
      <w:numFmt w:val="bullet"/>
      <w:lvlText w:val="•"/>
      <w:lvlJc w:val="left"/>
      <w:pPr>
        <w:ind w:left="8878" w:hanging="567"/>
      </w:pPr>
      <w:rPr>
        <w:rFonts w:hint="default"/>
      </w:rPr>
    </w:lvl>
    <w:lvl w:ilvl="8" w:tplc="FF52BC20">
      <w:start w:val="1"/>
      <w:numFmt w:val="bullet"/>
      <w:lvlText w:val="•"/>
      <w:lvlJc w:val="left"/>
      <w:pPr>
        <w:ind w:left="9887" w:hanging="567"/>
      </w:pPr>
      <w:rPr>
        <w:rFonts w:hint="default"/>
      </w:rPr>
    </w:lvl>
  </w:abstractNum>
  <w:abstractNum w:abstractNumId="25">
    <w:nsid w:val="184410D7"/>
    <w:multiLevelType w:val="hybridMultilevel"/>
    <w:tmpl w:val="80804228"/>
    <w:lvl w:ilvl="0" w:tplc="753866B4">
      <w:start w:val="1"/>
      <w:numFmt w:val="lowerLetter"/>
      <w:lvlText w:val="(%1)"/>
      <w:lvlJc w:val="left"/>
      <w:pPr>
        <w:ind w:left="1587" w:hanging="341"/>
      </w:pPr>
      <w:rPr>
        <w:rFonts w:ascii="Avenir Next" w:eastAsia="Avenir Next" w:hAnsi="Avenir Next" w:hint="default"/>
        <w:sz w:val="20"/>
        <w:szCs w:val="20"/>
      </w:rPr>
    </w:lvl>
    <w:lvl w:ilvl="1" w:tplc="849E2436">
      <w:start w:val="1"/>
      <w:numFmt w:val="bullet"/>
      <w:lvlText w:val="•"/>
      <w:lvlJc w:val="left"/>
      <w:pPr>
        <w:ind w:left="2619" w:hanging="341"/>
      </w:pPr>
      <w:rPr>
        <w:rFonts w:hint="default"/>
      </w:rPr>
    </w:lvl>
    <w:lvl w:ilvl="2" w:tplc="8BF847DC">
      <w:start w:val="1"/>
      <w:numFmt w:val="bullet"/>
      <w:lvlText w:val="•"/>
      <w:lvlJc w:val="left"/>
      <w:pPr>
        <w:ind w:left="3651" w:hanging="341"/>
      </w:pPr>
      <w:rPr>
        <w:rFonts w:hint="default"/>
      </w:rPr>
    </w:lvl>
    <w:lvl w:ilvl="3" w:tplc="41F4A21C">
      <w:start w:val="1"/>
      <w:numFmt w:val="bullet"/>
      <w:lvlText w:val="•"/>
      <w:lvlJc w:val="left"/>
      <w:pPr>
        <w:ind w:left="4682" w:hanging="341"/>
      </w:pPr>
      <w:rPr>
        <w:rFonts w:hint="default"/>
      </w:rPr>
    </w:lvl>
    <w:lvl w:ilvl="4" w:tplc="7590788E">
      <w:start w:val="1"/>
      <w:numFmt w:val="bullet"/>
      <w:lvlText w:val="•"/>
      <w:lvlJc w:val="left"/>
      <w:pPr>
        <w:ind w:left="5714" w:hanging="341"/>
      </w:pPr>
      <w:rPr>
        <w:rFonts w:hint="default"/>
      </w:rPr>
    </w:lvl>
    <w:lvl w:ilvl="5" w:tplc="541065A0">
      <w:start w:val="1"/>
      <w:numFmt w:val="bullet"/>
      <w:lvlText w:val="•"/>
      <w:lvlJc w:val="left"/>
      <w:pPr>
        <w:ind w:left="6746" w:hanging="341"/>
      </w:pPr>
      <w:rPr>
        <w:rFonts w:hint="default"/>
      </w:rPr>
    </w:lvl>
    <w:lvl w:ilvl="6" w:tplc="205E09E2">
      <w:start w:val="1"/>
      <w:numFmt w:val="bullet"/>
      <w:lvlText w:val="•"/>
      <w:lvlJc w:val="left"/>
      <w:pPr>
        <w:ind w:left="7778" w:hanging="341"/>
      </w:pPr>
      <w:rPr>
        <w:rFonts w:hint="default"/>
      </w:rPr>
    </w:lvl>
    <w:lvl w:ilvl="7" w:tplc="724A1E6A">
      <w:start w:val="1"/>
      <w:numFmt w:val="bullet"/>
      <w:lvlText w:val="•"/>
      <w:lvlJc w:val="left"/>
      <w:pPr>
        <w:ind w:left="8810" w:hanging="341"/>
      </w:pPr>
      <w:rPr>
        <w:rFonts w:hint="default"/>
      </w:rPr>
    </w:lvl>
    <w:lvl w:ilvl="8" w:tplc="37645E06">
      <w:start w:val="1"/>
      <w:numFmt w:val="bullet"/>
      <w:lvlText w:val="•"/>
      <w:lvlJc w:val="left"/>
      <w:pPr>
        <w:ind w:left="9841" w:hanging="341"/>
      </w:pPr>
      <w:rPr>
        <w:rFonts w:hint="default"/>
      </w:rPr>
    </w:lvl>
  </w:abstractNum>
  <w:abstractNum w:abstractNumId="26">
    <w:nsid w:val="184A0C14"/>
    <w:multiLevelType w:val="hybridMultilevel"/>
    <w:tmpl w:val="0D1A013A"/>
    <w:lvl w:ilvl="0" w:tplc="4D7868F2">
      <w:start w:val="6"/>
      <w:numFmt w:val="decimal"/>
      <w:lvlText w:val="%1."/>
      <w:lvlJc w:val="left"/>
      <w:pPr>
        <w:ind w:left="1569" w:hanging="323"/>
      </w:pPr>
      <w:rPr>
        <w:rFonts w:ascii="Avenir Next Medium" w:eastAsia="Avenir Next Medium" w:hAnsi="Avenir Next Medium" w:hint="default"/>
        <w:color w:val="0778BE"/>
        <w:sz w:val="30"/>
        <w:szCs w:val="30"/>
      </w:rPr>
    </w:lvl>
    <w:lvl w:ilvl="1" w:tplc="7DB4CEE8">
      <w:start w:val="1"/>
      <w:numFmt w:val="bullet"/>
      <w:lvlText w:val="•"/>
      <w:lvlJc w:val="left"/>
      <w:pPr>
        <w:ind w:left="2603" w:hanging="323"/>
      </w:pPr>
      <w:rPr>
        <w:rFonts w:hint="default"/>
      </w:rPr>
    </w:lvl>
    <w:lvl w:ilvl="2" w:tplc="37B8F734">
      <w:start w:val="1"/>
      <w:numFmt w:val="bullet"/>
      <w:lvlText w:val="•"/>
      <w:lvlJc w:val="left"/>
      <w:pPr>
        <w:ind w:left="3636" w:hanging="323"/>
      </w:pPr>
      <w:rPr>
        <w:rFonts w:hint="default"/>
      </w:rPr>
    </w:lvl>
    <w:lvl w:ilvl="3" w:tplc="0FF81D7E">
      <w:start w:val="1"/>
      <w:numFmt w:val="bullet"/>
      <w:lvlText w:val="•"/>
      <w:lvlJc w:val="left"/>
      <w:pPr>
        <w:ind w:left="4670" w:hanging="323"/>
      </w:pPr>
      <w:rPr>
        <w:rFonts w:hint="default"/>
      </w:rPr>
    </w:lvl>
    <w:lvl w:ilvl="4" w:tplc="BB38C72E">
      <w:start w:val="1"/>
      <w:numFmt w:val="bullet"/>
      <w:lvlText w:val="•"/>
      <w:lvlJc w:val="left"/>
      <w:pPr>
        <w:ind w:left="5704" w:hanging="323"/>
      </w:pPr>
      <w:rPr>
        <w:rFonts w:hint="default"/>
      </w:rPr>
    </w:lvl>
    <w:lvl w:ilvl="5" w:tplc="A2A2B172">
      <w:start w:val="1"/>
      <w:numFmt w:val="bullet"/>
      <w:lvlText w:val="•"/>
      <w:lvlJc w:val="left"/>
      <w:pPr>
        <w:ind w:left="6737" w:hanging="323"/>
      </w:pPr>
      <w:rPr>
        <w:rFonts w:hint="default"/>
      </w:rPr>
    </w:lvl>
    <w:lvl w:ilvl="6" w:tplc="EB42C974">
      <w:start w:val="1"/>
      <w:numFmt w:val="bullet"/>
      <w:lvlText w:val="•"/>
      <w:lvlJc w:val="left"/>
      <w:pPr>
        <w:ind w:left="7771" w:hanging="323"/>
      </w:pPr>
      <w:rPr>
        <w:rFonts w:hint="default"/>
      </w:rPr>
    </w:lvl>
    <w:lvl w:ilvl="7" w:tplc="E34EBD1C">
      <w:start w:val="1"/>
      <w:numFmt w:val="bullet"/>
      <w:lvlText w:val="•"/>
      <w:lvlJc w:val="left"/>
      <w:pPr>
        <w:ind w:left="8804" w:hanging="323"/>
      </w:pPr>
      <w:rPr>
        <w:rFonts w:hint="default"/>
      </w:rPr>
    </w:lvl>
    <w:lvl w:ilvl="8" w:tplc="832A5C6A">
      <w:start w:val="1"/>
      <w:numFmt w:val="bullet"/>
      <w:lvlText w:val="•"/>
      <w:lvlJc w:val="left"/>
      <w:pPr>
        <w:ind w:left="9838" w:hanging="323"/>
      </w:pPr>
      <w:rPr>
        <w:rFonts w:hint="default"/>
      </w:rPr>
    </w:lvl>
  </w:abstractNum>
  <w:abstractNum w:abstractNumId="27">
    <w:nsid w:val="18EE1BC9"/>
    <w:multiLevelType w:val="hybridMultilevel"/>
    <w:tmpl w:val="68420F1A"/>
    <w:lvl w:ilvl="0" w:tplc="B158032A">
      <w:start w:val="1"/>
      <w:numFmt w:val="lowerLetter"/>
      <w:lvlText w:val="(%1)"/>
      <w:lvlJc w:val="left"/>
      <w:pPr>
        <w:ind w:left="1587" w:hanging="341"/>
      </w:pPr>
      <w:rPr>
        <w:rFonts w:ascii="Avenir Next" w:eastAsia="Avenir Next" w:hAnsi="Avenir Next" w:hint="default"/>
        <w:sz w:val="20"/>
        <w:szCs w:val="20"/>
      </w:rPr>
    </w:lvl>
    <w:lvl w:ilvl="1" w:tplc="BD06FF82">
      <w:start w:val="1"/>
      <w:numFmt w:val="lowerRoman"/>
      <w:lvlText w:val="(%2)"/>
      <w:lvlJc w:val="left"/>
      <w:pPr>
        <w:ind w:left="1871" w:hanging="341"/>
      </w:pPr>
      <w:rPr>
        <w:rFonts w:ascii="Avenir Next" w:eastAsia="Avenir Next" w:hAnsi="Avenir Next" w:hint="default"/>
        <w:sz w:val="20"/>
        <w:szCs w:val="20"/>
      </w:rPr>
    </w:lvl>
    <w:lvl w:ilvl="2" w:tplc="B0EA9F30">
      <w:start w:val="1"/>
      <w:numFmt w:val="bullet"/>
      <w:lvlText w:val="•"/>
      <w:lvlJc w:val="left"/>
      <w:pPr>
        <w:ind w:left="2986" w:hanging="341"/>
      </w:pPr>
      <w:rPr>
        <w:rFonts w:hint="default"/>
      </w:rPr>
    </w:lvl>
    <w:lvl w:ilvl="3" w:tplc="80F60368">
      <w:start w:val="1"/>
      <w:numFmt w:val="bullet"/>
      <w:lvlText w:val="•"/>
      <w:lvlJc w:val="left"/>
      <w:pPr>
        <w:ind w:left="4100" w:hanging="341"/>
      </w:pPr>
      <w:rPr>
        <w:rFonts w:hint="default"/>
      </w:rPr>
    </w:lvl>
    <w:lvl w:ilvl="4" w:tplc="F6CA415E">
      <w:start w:val="1"/>
      <w:numFmt w:val="bullet"/>
      <w:lvlText w:val="•"/>
      <w:lvlJc w:val="left"/>
      <w:pPr>
        <w:ind w:left="5215" w:hanging="341"/>
      </w:pPr>
      <w:rPr>
        <w:rFonts w:hint="default"/>
      </w:rPr>
    </w:lvl>
    <w:lvl w:ilvl="5" w:tplc="016856E0">
      <w:start w:val="1"/>
      <w:numFmt w:val="bullet"/>
      <w:lvlText w:val="•"/>
      <w:lvlJc w:val="left"/>
      <w:pPr>
        <w:ind w:left="6330" w:hanging="341"/>
      </w:pPr>
      <w:rPr>
        <w:rFonts w:hint="default"/>
      </w:rPr>
    </w:lvl>
    <w:lvl w:ilvl="6" w:tplc="5614AC26">
      <w:start w:val="1"/>
      <w:numFmt w:val="bullet"/>
      <w:lvlText w:val="•"/>
      <w:lvlJc w:val="left"/>
      <w:pPr>
        <w:ind w:left="7445" w:hanging="341"/>
      </w:pPr>
      <w:rPr>
        <w:rFonts w:hint="default"/>
      </w:rPr>
    </w:lvl>
    <w:lvl w:ilvl="7" w:tplc="C69E0E8E">
      <w:start w:val="1"/>
      <w:numFmt w:val="bullet"/>
      <w:lvlText w:val="•"/>
      <w:lvlJc w:val="left"/>
      <w:pPr>
        <w:ind w:left="8560" w:hanging="341"/>
      </w:pPr>
      <w:rPr>
        <w:rFonts w:hint="default"/>
      </w:rPr>
    </w:lvl>
    <w:lvl w:ilvl="8" w:tplc="9B7206AC">
      <w:start w:val="1"/>
      <w:numFmt w:val="bullet"/>
      <w:lvlText w:val="•"/>
      <w:lvlJc w:val="left"/>
      <w:pPr>
        <w:ind w:left="9675" w:hanging="341"/>
      </w:pPr>
      <w:rPr>
        <w:rFonts w:hint="default"/>
      </w:rPr>
    </w:lvl>
  </w:abstractNum>
  <w:abstractNum w:abstractNumId="28">
    <w:nsid w:val="19BF7A38"/>
    <w:multiLevelType w:val="hybridMultilevel"/>
    <w:tmpl w:val="FD46FAA0"/>
    <w:lvl w:ilvl="0" w:tplc="6D1E8CFA">
      <w:start w:val="11"/>
      <w:numFmt w:val="decimal"/>
      <w:lvlText w:val="%1."/>
      <w:lvlJc w:val="left"/>
      <w:pPr>
        <w:ind w:left="2142" w:hanging="328"/>
      </w:pPr>
      <w:rPr>
        <w:rFonts w:ascii="Avenir Next" w:eastAsia="Avenir Next" w:hAnsi="Avenir Next" w:hint="default"/>
        <w:sz w:val="20"/>
        <w:szCs w:val="20"/>
      </w:rPr>
    </w:lvl>
    <w:lvl w:ilvl="1" w:tplc="DF7E613C">
      <w:start w:val="1"/>
      <w:numFmt w:val="bullet"/>
      <w:lvlText w:val="•"/>
      <w:lvlJc w:val="left"/>
      <w:pPr>
        <w:ind w:left="3118" w:hanging="328"/>
      </w:pPr>
      <w:rPr>
        <w:rFonts w:hint="default"/>
      </w:rPr>
    </w:lvl>
    <w:lvl w:ilvl="2" w:tplc="8FA897E8">
      <w:start w:val="1"/>
      <w:numFmt w:val="bullet"/>
      <w:lvlText w:val="•"/>
      <w:lvlJc w:val="left"/>
      <w:pPr>
        <w:ind w:left="4095" w:hanging="328"/>
      </w:pPr>
      <w:rPr>
        <w:rFonts w:hint="default"/>
      </w:rPr>
    </w:lvl>
    <w:lvl w:ilvl="3" w:tplc="0674FE30">
      <w:start w:val="1"/>
      <w:numFmt w:val="bullet"/>
      <w:lvlText w:val="•"/>
      <w:lvlJc w:val="left"/>
      <w:pPr>
        <w:ind w:left="5071" w:hanging="328"/>
      </w:pPr>
      <w:rPr>
        <w:rFonts w:hint="default"/>
      </w:rPr>
    </w:lvl>
    <w:lvl w:ilvl="4" w:tplc="3D960B12">
      <w:start w:val="1"/>
      <w:numFmt w:val="bullet"/>
      <w:lvlText w:val="•"/>
      <w:lvlJc w:val="left"/>
      <w:pPr>
        <w:ind w:left="6047" w:hanging="328"/>
      </w:pPr>
      <w:rPr>
        <w:rFonts w:hint="default"/>
      </w:rPr>
    </w:lvl>
    <w:lvl w:ilvl="5" w:tplc="2F9A97C8">
      <w:start w:val="1"/>
      <w:numFmt w:val="bullet"/>
      <w:lvlText w:val="•"/>
      <w:lvlJc w:val="left"/>
      <w:pPr>
        <w:ind w:left="7024" w:hanging="328"/>
      </w:pPr>
      <w:rPr>
        <w:rFonts w:hint="default"/>
      </w:rPr>
    </w:lvl>
    <w:lvl w:ilvl="6" w:tplc="6B78412E">
      <w:start w:val="1"/>
      <w:numFmt w:val="bullet"/>
      <w:lvlText w:val="•"/>
      <w:lvlJc w:val="left"/>
      <w:pPr>
        <w:ind w:left="8000" w:hanging="328"/>
      </w:pPr>
      <w:rPr>
        <w:rFonts w:hint="default"/>
      </w:rPr>
    </w:lvl>
    <w:lvl w:ilvl="7" w:tplc="D47AF0F8">
      <w:start w:val="1"/>
      <w:numFmt w:val="bullet"/>
      <w:lvlText w:val="•"/>
      <w:lvlJc w:val="left"/>
      <w:pPr>
        <w:ind w:left="8976" w:hanging="328"/>
      </w:pPr>
      <w:rPr>
        <w:rFonts w:hint="default"/>
      </w:rPr>
    </w:lvl>
    <w:lvl w:ilvl="8" w:tplc="E29897DA">
      <w:start w:val="1"/>
      <w:numFmt w:val="bullet"/>
      <w:lvlText w:val="•"/>
      <w:lvlJc w:val="left"/>
      <w:pPr>
        <w:ind w:left="9952" w:hanging="328"/>
      </w:pPr>
      <w:rPr>
        <w:rFonts w:hint="default"/>
      </w:rPr>
    </w:lvl>
  </w:abstractNum>
  <w:abstractNum w:abstractNumId="29">
    <w:nsid w:val="1B0427E7"/>
    <w:multiLevelType w:val="multilevel"/>
    <w:tmpl w:val="5F86ECBE"/>
    <w:lvl w:ilvl="0">
      <w:start w:val="10"/>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30">
    <w:nsid w:val="1B4258D4"/>
    <w:multiLevelType w:val="hybridMultilevel"/>
    <w:tmpl w:val="F6B2BF38"/>
    <w:lvl w:ilvl="0" w:tplc="59C4500A">
      <w:start w:val="1"/>
      <w:numFmt w:val="bullet"/>
      <w:lvlText w:val="•"/>
      <w:lvlJc w:val="left"/>
      <w:pPr>
        <w:ind w:left="396" w:hanging="227"/>
      </w:pPr>
      <w:rPr>
        <w:rFonts w:ascii="Avenir Next Condensed" w:eastAsia="Avenir Next Condensed" w:hAnsi="Avenir Next Condensed" w:hint="default"/>
        <w:sz w:val="20"/>
        <w:szCs w:val="20"/>
      </w:rPr>
    </w:lvl>
    <w:lvl w:ilvl="1" w:tplc="EB223298">
      <w:start w:val="1"/>
      <w:numFmt w:val="bullet"/>
      <w:lvlText w:val="–"/>
      <w:lvlJc w:val="left"/>
      <w:pPr>
        <w:ind w:left="737" w:hanging="227"/>
      </w:pPr>
      <w:rPr>
        <w:rFonts w:ascii="Avenir Next" w:eastAsia="Avenir Next" w:hAnsi="Avenir Next" w:hint="default"/>
        <w:sz w:val="20"/>
        <w:szCs w:val="20"/>
      </w:rPr>
    </w:lvl>
    <w:lvl w:ilvl="2" w:tplc="3CAA9668">
      <w:start w:val="1"/>
      <w:numFmt w:val="bullet"/>
      <w:lvlText w:val="•"/>
      <w:lvlJc w:val="left"/>
      <w:pPr>
        <w:ind w:left="1700" w:hanging="227"/>
      </w:pPr>
      <w:rPr>
        <w:rFonts w:hint="default"/>
      </w:rPr>
    </w:lvl>
    <w:lvl w:ilvl="3" w:tplc="9DFE9576">
      <w:start w:val="1"/>
      <w:numFmt w:val="bullet"/>
      <w:lvlText w:val="•"/>
      <w:lvlJc w:val="left"/>
      <w:pPr>
        <w:ind w:left="2664" w:hanging="227"/>
      </w:pPr>
      <w:rPr>
        <w:rFonts w:hint="default"/>
      </w:rPr>
    </w:lvl>
    <w:lvl w:ilvl="4" w:tplc="639CB264">
      <w:start w:val="1"/>
      <w:numFmt w:val="bullet"/>
      <w:lvlText w:val="•"/>
      <w:lvlJc w:val="left"/>
      <w:pPr>
        <w:ind w:left="3628" w:hanging="227"/>
      </w:pPr>
      <w:rPr>
        <w:rFonts w:hint="default"/>
      </w:rPr>
    </w:lvl>
    <w:lvl w:ilvl="5" w:tplc="29DA004E">
      <w:start w:val="1"/>
      <w:numFmt w:val="bullet"/>
      <w:lvlText w:val="•"/>
      <w:lvlJc w:val="left"/>
      <w:pPr>
        <w:ind w:left="4592" w:hanging="227"/>
      </w:pPr>
      <w:rPr>
        <w:rFonts w:hint="default"/>
      </w:rPr>
    </w:lvl>
    <w:lvl w:ilvl="6" w:tplc="088668EC">
      <w:start w:val="1"/>
      <w:numFmt w:val="bullet"/>
      <w:lvlText w:val="•"/>
      <w:lvlJc w:val="left"/>
      <w:pPr>
        <w:ind w:left="5555" w:hanging="227"/>
      </w:pPr>
      <w:rPr>
        <w:rFonts w:hint="default"/>
      </w:rPr>
    </w:lvl>
    <w:lvl w:ilvl="7" w:tplc="C57E0A46">
      <w:start w:val="1"/>
      <w:numFmt w:val="bullet"/>
      <w:lvlText w:val="•"/>
      <w:lvlJc w:val="left"/>
      <w:pPr>
        <w:ind w:left="6519" w:hanging="227"/>
      </w:pPr>
      <w:rPr>
        <w:rFonts w:hint="default"/>
      </w:rPr>
    </w:lvl>
    <w:lvl w:ilvl="8" w:tplc="90C2DA82">
      <w:start w:val="1"/>
      <w:numFmt w:val="bullet"/>
      <w:lvlText w:val="•"/>
      <w:lvlJc w:val="left"/>
      <w:pPr>
        <w:ind w:left="7483" w:hanging="227"/>
      </w:pPr>
      <w:rPr>
        <w:rFonts w:hint="default"/>
      </w:rPr>
    </w:lvl>
  </w:abstractNum>
  <w:abstractNum w:abstractNumId="31">
    <w:nsid w:val="1B827404"/>
    <w:multiLevelType w:val="multilevel"/>
    <w:tmpl w:val="EC96F90E"/>
    <w:lvl w:ilvl="0">
      <w:start w:val="6"/>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5442" w:hanging="964"/>
      </w:pPr>
      <w:rPr>
        <w:rFonts w:hint="default"/>
      </w:rPr>
    </w:lvl>
    <w:lvl w:ilvl="5">
      <w:start w:val="1"/>
      <w:numFmt w:val="bullet"/>
      <w:lvlText w:val="•"/>
      <w:lvlJc w:val="left"/>
      <w:pPr>
        <w:ind w:left="6519" w:hanging="964"/>
      </w:pPr>
      <w:rPr>
        <w:rFonts w:hint="default"/>
      </w:rPr>
    </w:lvl>
    <w:lvl w:ilvl="6">
      <w:start w:val="1"/>
      <w:numFmt w:val="bullet"/>
      <w:lvlText w:val="•"/>
      <w:lvlJc w:val="left"/>
      <w:pPr>
        <w:ind w:left="7596" w:hanging="964"/>
      </w:pPr>
      <w:rPr>
        <w:rFonts w:hint="default"/>
      </w:rPr>
    </w:lvl>
    <w:lvl w:ilvl="7">
      <w:start w:val="1"/>
      <w:numFmt w:val="bullet"/>
      <w:lvlText w:val="•"/>
      <w:lvlJc w:val="left"/>
      <w:pPr>
        <w:ind w:left="8674" w:hanging="964"/>
      </w:pPr>
      <w:rPr>
        <w:rFonts w:hint="default"/>
      </w:rPr>
    </w:lvl>
    <w:lvl w:ilvl="8">
      <w:start w:val="1"/>
      <w:numFmt w:val="bullet"/>
      <w:lvlText w:val="•"/>
      <w:lvlJc w:val="left"/>
      <w:pPr>
        <w:ind w:left="9751" w:hanging="964"/>
      </w:pPr>
      <w:rPr>
        <w:rFonts w:hint="default"/>
      </w:rPr>
    </w:lvl>
  </w:abstractNum>
  <w:abstractNum w:abstractNumId="32">
    <w:nsid w:val="1C3C5C7F"/>
    <w:multiLevelType w:val="hybridMultilevel"/>
    <w:tmpl w:val="94D43138"/>
    <w:lvl w:ilvl="0" w:tplc="AAF4F6A2">
      <w:start w:val="1"/>
      <w:numFmt w:val="lowerLetter"/>
      <w:lvlText w:val="(%1)"/>
      <w:lvlJc w:val="left"/>
      <w:pPr>
        <w:ind w:left="1247" w:hanging="341"/>
      </w:pPr>
      <w:rPr>
        <w:rFonts w:ascii="Avenir Next" w:eastAsia="Avenir Next" w:hAnsi="Avenir Next" w:hint="default"/>
        <w:sz w:val="20"/>
        <w:szCs w:val="20"/>
      </w:rPr>
    </w:lvl>
    <w:lvl w:ilvl="1" w:tplc="6FCC4E2E">
      <w:start w:val="1"/>
      <w:numFmt w:val="bullet"/>
      <w:lvlText w:val="•"/>
      <w:lvlJc w:val="left"/>
      <w:pPr>
        <w:ind w:left="2313" w:hanging="341"/>
      </w:pPr>
      <w:rPr>
        <w:rFonts w:hint="default"/>
      </w:rPr>
    </w:lvl>
    <w:lvl w:ilvl="2" w:tplc="A4DC1276">
      <w:start w:val="1"/>
      <w:numFmt w:val="bullet"/>
      <w:lvlText w:val="•"/>
      <w:lvlJc w:val="left"/>
      <w:pPr>
        <w:ind w:left="3378" w:hanging="341"/>
      </w:pPr>
      <w:rPr>
        <w:rFonts w:hint="default"/>
      </w:rPr>
    </w:lvl>
    <w:lvl w:ilvl="3" w:tplc="AFFCDD62">
      <w:start w:val="1"/>
      <w:numFmt w:val="bullet"/>
      <w:lvlText w:val="•"/>
      <w:lvlJc w:val="left"/>
      <w:pPr>
        <w:ind w:left="4444" w:hanging="341"/>
      </w:pPr>
      <w:rPr>
        <w:rFonts w:hint="default"/>
      </w:rPr>
    </w:lvl>
    <w:lvl w:ilvl="4" w:tplc="9D100090">
      <w:start w:val="1"/>
      <w:numFmt w:val="bullet"/>
      <w:lvlText w:val="•"/>
      <w:lvlJc w:val="left"/>
      <w:pPr>
        <w:ind w:left="5510" w:hanging="341"/>
      </w:pPr>
      <w:rPr>
        <w:rFonts w:hint="default"/>
      </w:rPr>
    </w:lvl>
    <w:lvl w:ilvl="5" w:tplc="DEE22D60">
      <w:start w:val="1"/>
      <w:numFmt w:val="bullet"/>
      <w:lvlText w:val="•"/>
      <w:lvlJc w:val="left"/>
      <w:pPr>
        <w:ind w:left="6576" w:hanging="341"/>
      </w:pPr>
      <w:rPr>
        <w:rFonts w:hint="default"/>
      </w:rPr>
    </w:lvl>
    <w:lvl w:ilvl="6" w:tplc="1B58777C">
      <w:start w:val="1"/>
      <w:numFmt w:val="bullet"/>
      <w:lvlText w:val="•"/>
      <w:lvlJc w:val="left"/>
      <w:pPr>
        <w:ind w:left="7642" w:hanging="341"/>
      </w:pPr>
      <w:rPr>
        <w:rFonts w:hint="default"/>
      </w:rPr>
    </w:lvl>
    <w:lvl w:ilvl="7" w:tplc="6404587E">
      <w:start w:val="1"/>
      <w:numFmt w:val="bullet"/>
      <w:lvlText w:val="•"/>
      <w:lvlJc w:val="left"/>
      <w:pPr>
        <w:ind w:left="8708" w:hanging="341"/>
      </w:pPr>
      <w:rPr>
        <w:rFonts w:hint="default"/>
      </w:rPr>
    </w:lvl>
    <w:lvl w:ilvl="8" w:tplc="3D00A27C">
      <w:start w:val="1"/>
      <w:numFmt w:val="bullet"/>
      <w:lvlText w:val="•"/>
      <w:lvlJc w:val="left"/>
      <w:pPr>
        <w:ind w:left="9773" w:hanging="341"/>
      </w:pPr>
      <w:rPr>
        <w:rFonts w:hint="default"/>
      </w:rPr>
    </w:lvl>
  </w:abstractNum>
  <w:abstractNum w:abstractNumId="33">
    <w:nsid w:val="1C6F15D4"/>
    <w:multiLevelType w:val="hybridMultilevel"/>
    <w:tmpl w:val="184A1B0E"/>
    <w:lvl w:ilvl="0" w:tplc="5CFCB362">
      <w:start w:val="20"/>
      <w:numFmt w:val="decimal"/>
      <w:lvlText w:val="%1"/>
      <w:lvlJc w:val="left"/>
      <w:pPr>
        <w:ind w:left="1757" w:hanging="511"/>
      </w:pPr>
      <w:rPr>
        <w:rFonts w:ascii="Avenir Next" w:eastAsia="Avenir Next" w:hAnsi="Avenir Next" w:hint="default"/>
        <w:sz w:val="16"/>
        <w:szCs w:val="16"/>
      </w:rPr>
    </w:lvl>
    <w:lvl w:ilvl="1" w:tplc="6E4239E4">
      <w:start w:val="1"/>
      <w:numFmt w:val="bullet"/>
      <w:lvlText w:val="•"/>
      <w:lvlJc w:val="left"/>
      <w:pPr>
        <w:ind w:left="2772" w:hanging="511"/>
      </w:pPr>
      <w:rPr>
        <w:rFonts w:hint="default"/>
      </w:rPr>
    </w:lvl>
    <w:lvl w:ilvl="2" w:tplc="45423FE2">
      <w:start w:val="1"/>
      <w:numFmt w:val="bullet"/>
      <w:lvlText w:val="•"/>
      <w:lvlJc w:val="left"/>
      <w:pPr>
        <w:ind w:left="3787" w:hanging="511"/>
      </w:pPr>
      <w:rPr>
        <w:rFonts w:hint="default"/>
      </w:rPr>
    </w:lvl>
    <w:lvl w:ilvl="3" w:tplc="3F54E29C">
      <w:start w:val="1"/>
      <w:numFmt w:val="bullet"/>
      <w:lvlText w:val="•"/>
      <w:lvlJc w:val="left"/>
      <w:pPr>
        <w:ind w:left="4801" w:hanging="511"/>
      </w:pPr>
      <w:rPr>
        <w:rFonts w:hint="default"/>
      </w:rPr>
    </w:lvl>
    <w:lvl w:ilvl="4" w:tplc="3356E1E0">
      <w:start w:val="1"/>
      <w:numFmt w:val="bullet"/>
      <w:lvlText w:val="•"/>
      <w:lvlJc w:val="left"/>
      <w:pPr>
        <w:ind w:left="5816" w:hanging="511"/>
      </w:pPr>
      <w:rPr>
        <w:rFonts w:hint="default"/>
      </w:rPr>
    </w:lvl>
    <w:lvl w:ilvl="5" w:tplc="055AAF24">
      <w:start w:val="1"/>
      <w:numFmt w:val="bullet"/>
      <w:lvlText w:val="•"/>
      <w:lvlJc w:val="left"/>
      <w:pPr>
        <w:ind w:left="6831" w:hanging="511"/>
      </w:pPr>
      <w:rPr>
        <w:rFonts w:hint="default"/>
      </w:rPr>
    </w:lvl>
    <w:lvl w:ilvl="6" w:tplc="674E783C">
      <w:start w:val="1"/>
      <w:numFmt w:val="bullet"/>
      <w:lvlText w:val="•"/>
      <w:lvlJc w:val="left"/>
      <w:pPr>
        <w:ind w:left="7846" w:hanging="511"/>
      </w:pPr>
      <w:rPr>
        <w:rFonts w:hint="default"/>
      </w:rPr>
    </w:lvl>
    <w:lvl w:ilvl="7" w:tplc="16DC7968">
      <w:start w:val="1"/>
      <w:numFmt w:val="bullet"/>
      <w:lvlText w:val="•"/>
      <w:lvlJc w:val="left"/>
      <w:pPr>
        <w:ind w:left="8861" w:hanging="511"/>
      </w:pPr>
      <w:rPr>
        <w:rFonts w:hint="default"/>
      </w:rPr>
    </w:lvl>
    <w:lvl w:ilvl="8" w:tplc="2FE487A6">
      <w:start w:val="1"/>
      <w:numFmt w:val="bullet"/>
      <w:lvlText w:val="•"/>
      <w:lvlJc w:val="left"/>
      <w:pPr>
        <w:ind w:left="9875" w:hanging="511"/>
      </w:pPr>
      <w:rPr>
        <w:rFonts w:hint="default"/>
      </w:rPr>
    </w:lvl>
  </w:abstractNum>
  <w:abstractNum w:abstractNumId="34">
    <w:nsid w:val="1F7D29DA"/>
    <w:multiLevelType w:val="hybridMultilevel"/>
    <w:tmpl w:val="872AC53E"/>
    <w:lvl w:ilvl="0" w:tplc="8542CE04">
      <w:start w:val="1"/>
      <w:numFmt w:val="bullet"/>
      <w:lvlText w:val="•"/>
      <w:lvlJc w:val="left"/>
      <w:pPr>
        <w:ind w:left="335" w:hanging="227"/>
      </w:pPr>
      <w:rPr>
        <w:rFonts w:ascii="Avenir Next Condensed" w:eastAsia="Avenir Next Condensed" w:hAnsi="Avenir Next Condensed" w:hint="default"/>
        <w:sz w:val="18"/>
        <w:szCs w:val="18"/>
      </w:rPr>
    </w:lvl>
    <w:lvl w:ilvl="1" w:tplc="E3583A86">
      <w:start w:val="1"/>
      <w:numFmt w:val="bullet"/>
      <w:lvlText w:val="•"/>
      <w:lvlJc w:val="left"/>
      <w:pPr>
        <w:ind w:left="770" w:hanging="227"/>
      </w:pPr>
      <w:rPr>
        <w:rFonts w:hint="default"/>
      </w:rPr>
    </w:lvl>
    <w:lvl w:ilvl="2" w:tplc="6F1602C4">
      <w:start w:val="1"/>
      <w:numFmt w:val="bullet"/>
      <w:lvlText w:val="•"/>
      <w:lvlJc w:val="left"/>
      <w:pPr>
        <w:ind w:left="1206" w:hanging="227"/>
      </w:pPr>
      <w:rPr>
        <w:rFonts w:hint="default"/>
      </w:rPr>
    </w:lvl>
    <w:lvl w:ilvl="3" w:tplc="8EDABB8C">
      <w:start w:val="1"/>
      <w:numFmt w:val="bullet"/>
      <w:lvlText w:val="•"/>
      <w:lvlJc w:val="left"/>
      <w:pPr>
        <w:ind w:left="1641" w:hanging="227"/>
      </w:pPr>
      <w:rPr>
        <w:rFonts w:hint="default"/>
      </w:rPr>
    </w:lvl>
    <w:lvl w:ilvl="4" w:tplc="5FC2F5F2">
      <w:start w:val="1"/>
      <w:numFmt w:val="bullet"/>
      <w:lvlText w:val="•"/>
      <w:lvlJc w:val="left"/>
      <w:pPr>
        <w:ind w:left="2077" w:hanging="227"/>
      </w:pPr>
      <w:rPr>
        <w:rFonts w:hint="default"/>
      </w:rPr>
    </w:lvl>
    <w:lvl w:ilvl="5" w:tplc="05A4A7DA">
      <w:start w:val="1"/>
      <w:numFmt w:val="bullet"/>
      <w:lvlText w:val="•"/>
      <w:lvlJc w:val="left"/>
      <w:pPr>
        <w:ind w:left="2512" w:hanging="227"/>
      </w:pPr>
      <w:rPr>
        <w:rFonts w:hint="default"/>
      </w:rPr>
    </w:lvl>
    <w:lvl w:ilvl="6" w:tplc="09648C32">
      <w:start w:val="1"/>
      <w:numFmt w:val="bullet"/>
      <w:lvlText w:val="•"/>
      <w:lvlJc w:val="left"/>
      <w:pPr>
        <w:ind w:left="2948" w:hanging="227"/>
      </w:pPr>
      <w:rPr>
        <w:rFonts w:hint="default"/>
      </w:rPr>
    </w:lvl>
    <w:lvl w:ilvl="7" w:tplc="C7C456BC">
      <w:start w:val="1"/>
      <w:numFmt w:val="bullet"/>
      <w:lvlText w:val="•"/>
      <w:lvlJc w:val="left"/>
      <w:pPr>
        <w:ind w:left="3383" w:hanging="227"/>
      </w:pPr>
      <w:rPr>
        <w:rFonts w:hint="default"/>
      </w:rPr>
    </w:lvl>
    <w:lvl w:ilvl="8" w:tplc="C5107D76">
      <w:start w:val="1"/>
      <w:numFmt w:val="bullet"/>
      <w:lvlText w:val="•"/>
      <w:lvlJc w:val="left"/>
      <w:pPr>
        <w:ind w:left="3819" w:hanging="227"/>
      </w:pPr>
      <w:rPr>
        <w:rFonts w:hint="default"/>
      </w:rPr>
    </w:lvl>
  </w:abstractNum>
  <w:abstractNum w:abstractNumId="35">
    <w:nsid w:val="207564EC"/>
    <w:multiLevelType w:val="multilevel"/>
    <w:tmpl w:val="52DAE39A"/>
    <w:lvl w:ilvl="0">
      <w:start w:val="9"/>
      <w:numFmt w:val="decimal"/>
      <w:lvlText w:val="%1"/>
      <w:lvlJc w:val="left"/>
      <w:pPr>
        <w:ind w:left="2097" w:hanging="851"/>
      </w:pPr>
      <w:rPr>
        <w:rFonts w:hint="default"/>
      </w:rPr>
    </w:lvl>
    <w:lvl w:ilvl="1">
      <w:start w:val="4"/>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5442" w:hanging="964"/>
      </w:pPr>
      <w:rPr>
        <w:rFonts w:hint="default"/>
      </w:rPr>
    </w:lvl>
    <w:lvl w:ilvl="5">
      <w:start w:val="1"/>
      <w:numFmt w:val="bullet"/>
      <w:lvlText w:val="•"/>
      <w:lvlJc w:val="left"/>
      <w:pPr>
        <w:ind w:left="6519" w:hanging="964"/>
      </w:pPr>
      <w:rPr>
        <w:rFonts w:hint="default"/>
      </w:rPr>
    </w:lvl>
    <w:lvl w:ilvl="6">
      <w:start w:val="1"/>
      <w:numFmt w:val="bullet"/>
      <w:lvlText w:val="•"/>
      <w:lvlJc w:val="left"/>
      <w:pPr>
        <w:ind w:left="7596" w:hanging="964"/>
      </w:pPr>
      <w:rPr>
        <w:rFonts w:hint="default"/>
      </w:rPr>
    </w:lvl>
    <w:lvl w:ilvl="7">
      <w:start w:val="1"/>
      <w:numFmt w:val="bullet"/>
      <w:lvlText w:val="•"/>
      <w:lvlJc w:val="left"/>
      <w:pPr>
        <w:ind w:left="8674" w:hanging="964"/>
      </w:pPr>
      <w:rPr>
        <w:rFonts w:hint="default"/>
      </w:rPr>
    </w:lvl>
    <w:lvl w:ilvl="8">
      <w:start w:val="1"/>
      <w:numFmt w:val="bullet"/>
      <w:lvlText w:val="•"/>
      <w:lvlJc w:val="left"/>
      <w:pPr>
        <w:ind w:left="9751" w:hanging="964"/>
      </w:pPr>
      <w:rPr>
        <w:rFonts w:hint="default"/>
      </w:rPr>
    </w:lvl>
  </w:abstractNum>
  <w:abstractNum w:abstractNumId="36">
    <w:nsid w:val="216C6E6E"/>
    <w:multiLevelType w:val="hybridMultilevel"/>
    <w:tmpl w:val="8ECEFA76"/>
    <w:lvl w:ilvl="0" w:tplc="2BA4BBAC">
      <w:start w:val="1"/>
      <w:numFmt w:val="decimal"/>
      <w:lvlText w:val="%1."/>
      <w:lvlJc w:val="left"/>
      <w:pPr>
        <w:ind w:left="1587" w:hanging="341"/>
      </w:pPr>
      <w:rPr>
        <w:rFonts w:ascii="Avenir Next" w:eastAsia="Avenir Next" w:hAnsi="Avenir Next" w:hint="default"/>
        <w:sz w:val="20"/>
        <w:szCs w:val="20"/>
      </w:rPr>
    </w:lvl>
    <w:lvl w:ilvl="1" w:tplc="53B817FE">
      <w:start w:val="1"/>
      <w:numFmt w:val="bullet"/>
      <w:lvlText w:val="•"/>
      <w:lvlJc w:val="left"/>
      <w:pPr>
        <w:ind w:left="2619" w:hanging="341"/>
      </w:pPr>
      <w:rPr>
        <w:rFonts w:hint="default"/>
      </w:rPr>
    </w:lvl>
    <w:lvl w:ilvl="2" w:tplc="F190D2B0">
      <w:start w:val="1"/>
      <w:numFmt w:val="bullet"/>
      <w:lvlText w:val="•"/>
      <w:lvlJc w:val="left"/>
      <w:pPr>
        <w:ind w:left="3651" w:hanging="341"/>
      </w:pPr>
      <w:rPr>
        <w:rFonts w:hint="default"/>
      </w:rPr>
    </w:lvl>
    <w:lvl w:ilvl="3" w:tplc="34560F82">
      <w:start w:val="1"/>
      <w:numFmt w:val="bullet"/>
      <w:lvlText w:val="•"/>
      <w:lvlJc w:val="left"/>
      <w:pPr>
        <w:ind w:left="4682" w:hanging="341"/>
      </w:pPr>
      <w:rPr>
        <w:rFonts w:hint="default"/>
      </w:rPr>
    </w:lvl>
    <w:lvl w:ilvl="4" w:tplc="34CE19C6">
      <w:start w:val="1"/>
      <w:numFmt w:val="bullet"/>
      <w:lvlText w:val="•"/>
      <w:lvlJc w:val="left"/>
      <w:pPr>
        <w:ind w:left="5714" w:hanging="341"/>
      </w:pPr>
      <w:rPr>
        <w:rFonts w:hint="default"/>
      </w:rPr>
    </w:lvl>
    <w:lvl w:ilvl="5" w:tplc="43C071D2">
      <w:start w:val="1"/>
      <w:numFmt w:val="bullet"/>
      <w:lvlText w:val="•"/>
      <w:lvlJc w:val="left"/>
      <w:pPr>
        <w:ind w:left="6746" w:hanging="341"/>
      </w:pPr>
      <w:rPr>
        <w:rFonts w:hint="default"/>
      </w:rPr>
    </w:lvl>
    <w:lvl w:ilvl="6" w:tplc="ECA634EE">
      <w:start w:val="1"/>
      <w:numFmt w:val="bullet"/>
      <w:lvlText w:val="•"/>
      <w:lvlJc w:val="left"/>
      <w:pPr>
        <w:ind w:left="7778" w:hanging="341"/>
      </w:pPr>
      <w:rPr>
        <w:rFonts w:hint="default"/>
      </w:rPr>
    </w:lvl>
    <w:lvl w:ilvl="7" w:tplc="FDCABE82">
      <w:start w:val="1"/>
      <w:numFmt w:val="bullet"/>
      <w:lvlText w:val="•"/>
      <w:lvlJc w:val="left"/>
      <w:pPr>
        <w:ind w:left="8810" w:hanging="341"/>
      </w:pPr>
      <w:rPr>
        <w:rFonts w:hint="default"/>
      </w:rPr>
    </w:lvl>
    <w:lvl w:ilvl="8" w:tplc="113EB320">
      <w:start w:val="1"/>
      <w:numFmt w:val="bullet"/>
      <w:lvlText w:val="•"/>
      <w:lvlJc w:val="left"/>
      <w:pPr>
        <w:ind w:left="9841" w:hanging="341"/>
      </w:pPr>
      <w:rPr>
        <w:rFonts w:hint="default"/>
      </w:rPr>
    </w:lvl>
  </w:abstractNum>
  <w:abstractNum w:abstractNumId="37">
    <w:nsid w:val="22887089"/>
    <w:multiLevelType w:val="hybridMultilevel"/>
    <w:tmpl w:val="FDAE8994"/>
    <w:lvl w:ilvl="0" w:tplc="8B549AAC">
      <w:start w:val="1"/>
      <w:numFmt w:val="lowerLetter"/>
      <w:lvlText w:val="(%1)"/>
      <w:lvlJc w:val="left"/>
      <w:pPr>
        <w:ind w:left="1587" w:hanging="341"/>
      </w:pPr>
      <w:rPr>
        <w:rFonts w:ascii="Avenir Next" w:eastAsia="Avenir Next" w:hAnsi="Avenir Next" w:hint="default"/>
        <w:sz w:val="20"/>
        <w:szCs w:val="20"/>
      </w:rPr>
    </w:lvl>
    <w:lvl w:ilvl="1" w:tplc="1DCEB72C">
      <w:start w:val="1"/>
      <w:numFmt w:val="lowerRoman"/>
      <w:lvlText w:val="(%2)"/>
      <w:lvlJc w:val="left"/>
      <w:pPr>
        <w:ind w:left="1870" w:hanging="341"/>
      </w:pPr>
      <w:rPr>
        <w:rFonts w:ascii="Avenir Next" w:eastAsia="Avenir Next" w:hAnsi="Avenir Next" w:hint="default"/>
        <w:sz w:val="20"/>
        <w:szCs w:val="20"/>
      </w:rPr>
    </w:lvl>
    <w:lvl w:ilvl="2" w:tplc="B2E8FC06">
      <w:start w:val="1"/>
      <w:numFmt w:val="bullet"/>
      <w:lvlText w:val="•"/>
      <w:lvlJc w:val="left"/>
      <w:pPr>
        <w:ind w:left="2985" w:hanging="341"/>
      </w:pPr>
      <w:rPr>
        <w:rFonts w:hint="default"/>
      </w:rPr>
    </w:lvl>
    <w:lvl w:ilvl="3" w:tplc="F7A87D02">
      <w:start w:val="1"/>
      <w:numFmt w:val="bullet"/>
      <w:lvlText w:val="•"/>
      <w:lvlJc w:val="left"/>
      <w:pPr>
        <w:ind w:left="4100" w:hanging="341"/>
      </w:pPr>
      <w:rPr>
        <w:rFonts w:hint="default"/>
      </w:rPr>
    </w:lvl>
    <w:lvl w:ilvl="4" w:tplc="417A3DE4">
      <w:start w:val="1"/>
      <w:numFmt w:val="bullet"/>
      <w:lvlText w:val="•"/>
      <w:lvlJc w:val="left"/>
      <w:pPr>
        <w:ind w:left="5215" w:hanging="341"/>
      </w:pPr>
      <w:rPr>
        <w:rFonts w:hint="default"/>
      </w:rPr>
    </w:lvl>
    <w:lvl w:ilvl="5" w:tplc="B058A542">
      <w:start w:val="1"/>
      <w:numFmt w:val="bullet"/>
      <w:lvlText w:val="•"/>
      <w:lvlJc w:val="left"/>
      <w:pPr>
        <w:ind w:left="6330" w:hanging="341"/>
      </w:pPr>
      <w:rPr>
        <w:rFonts w:hint="default"/>
      </w:rPr>
    </w:lvl>
    <w:lvl w:ilvl="6" w:tplc="86C6F134">
      <w:start w:val="1"/>
      <w:numFmt w:val="bullet"/>
      <w:lvlText w:val="•"/>
      <w:lvlJc w:val="left"/>
      <w:pPr>
        <w:ind w:left="7445" w:hanging="341"/>
      </w:pPr>
      <w:rPr>
        <w:rFonts w:hint="default"/>
      </w:rPr>
    </w:lvl>
    <w:lvl w:ilvl="7" w:tplc="DA2A40DC">
      <w:start w:val="1"/>
      <w:numFmt w:val="bullet"/>
      <w:lvlText w:val="•"/>
      <w:lvlJc w:val="left"/>
      <w:pPr>
        <w:ind w:left="8560" w:hanging="341"/>
      </w:pPr>
      <w:rPr>
        <w:rFonts w:hint="default"/>
      </w:rPr>
    </w:lvl>
    <w:lvl w:ilvl="8" w:tplc="B8DEAEFA">
      <w:start w:val="1"/>
      <w:numFmt w:val="bullet"/>
      <w:lvlText w:val="•"/>
      <w:lvlJc w:val="left"/>
      <w:pPr>
        <w:ind w:left="9675" w:hanging="341"/>
      </w:pPr>
      <w:rPr>
        <w:rFonts w:hint="default"/>
      </w:rPr>
    </w:lvl>
  </w:abstractNum>
  <w:abstractNum w:abstractNumId="38">
    <w:nsid w:val="2312157E"/>
    <w:multiLevelType w:val="hybridMultilevel"/>
    <w:tmpl w:val="923C8706"/>
    <w:lvl w:ilvl="0" w:tplc="668223F4">
      <w:start w:val="1"/>
      <w:numFmt w:val="bullet"/>
      <w:lvlText w:val="•"/>
      <w:lvlJc w:val="left"/>
      <w:pPr>
        <w:ind w:left="335" w:hanging="227"/>
      </w:pPr>
      <w:rPr>
        <w:rFonts w:ascii="Avenir Next Condensed" w:eastAsia="Avenir Next Condensed" w:hAnsi="Avenir Next Condensed" w:hint="default"/>
        <w:sz w:val="18"/>
        <w:szCs w:val="18"/>
      </w:rPr>
    </w:lvl>
    <w:lvl w:ilvl="1" w:tplc="B6D2402A">
      <w:start w:val="1"/>
      <w:numFmt w:val="bullet"/>
      <w:lvlText w:val="•"/>
      <w:lvlJc w:val="left"/>
      <w:pPr>
        <w:ind w:left="1121" w:hanging="227"/>
      </w:pPr>
      <w:rPr>
        <w:rFonts w:hint="default"/>
      </w:rPr>
    </w:lvl>
    <w:lvl w:ilvl="2" w:tplc="E89C280E">
      <w:start w:val="1"/>
      <w:numFmt w:val="bullet"/>
      <w:lvlText w:val="•"/>
      <w:lvlJc w:val="left"/>
      <w:pPr>
        <w:ind w:left="1906" w:hanging="227"/>
      </w:pPr>
      <w:rPr>
        <w:rFonts w:hint="default"/>
      </w:rPr>
    </w:lvl>
    <w:lvl w:ilvl="3" w:tplc="1F36C31A">
      <w:start w:val="1"/>
      <w:numFmt w:val="bullet"/>
      <w:lvlText w:val="•"/>
      <w:lvlJc w:val="left"/>
      <w:pPr>
        <w:ind w:left="2692" w:hanging="227"/>
      </w:pPr>
      <w:rPr>
        <w:rFonts w:hint="default"/>
      </w:rPr>
    </w:lvl>
    <w:lvl w:ilvl="4" w:tplc="67D0FEFE">
      <w:start w:val="1"/>
      <w:numFmt w:val="bullet"/>
      <w:lvlText w:val="•"/>
      <w:lvlJc w:val="left"/>
      <w:pPr>
        <w:ind w:left="3477" w:hanging="227"/>
      </w:pPr>
      <w:rPr>
        <w:rFonts w:hint="default"/>
      </w:rPr>
    </w:lvl>
    <w:lvl w:ilvl="5" w:tplc="DC3A392E">
      <w:start w:val="1"/>
      <w:numFmt w:val="bullet"/>
      <w:lvlText w:val="•"/>
      <w:lvlJc w:val="left"/>
      <w:pPr>
        <w:ind w:left="4263" w:hanging="227"/>
      </w:pPr>
      <w:rPr>
        <w:rFonts w:hint="default"/>
      </w:rPr>
    </w:lvl>
    <w:lvl w:ilvl="6" w:tplc="F00CAAAE">
      <w:start w:val="1"/>
      <w:numFmt w:val="bullet"/>
      <w:lvlText w:val="•"/>
      <w:lvlJc w:val="left"/>
      <w:pPr>
        <w:ind w:left="5048" w:hanging="227"/>
      </w:pPr>
      <w:rPr>
        <w:rFonts w:hint="default"/>
      </w:rPr>
    </w:lvl>
    <w:lvl w:ilvl="7" w:tplc="54547570">
      <w:start w:val="1"/>
      <w:numFmt w:val="bullet"/>
      <w:lvlText w:val="•"/>
      <w:lvlJc w:val="left"/>
      <w:pPr>
        <w:ind w:left="5834" w:hanging="227"/>
      </w:pPr>
      <w:rPr>
        <w:rFonts w:hint="default"/>
      </w:rPr>
    </w:lvl>
    <w:lvl w:ilvl="8" w:tplc="B04AB26C">
      <w:start w:val="1"/>
      <w:numFmt w:val="bullet"/>
      <w:lvlText w:val="•"/>
      <w:lvlJc w:val="left"/>
      <w:pPr>
        <w:ind w:left="6619" w:hanging="227"/>
      </w:pPr>
      <w:rPr>
        <w:rFonts w:hint="default"/>
      </w:rPr>
    </w:lvl>
  </w:abstractNum>
  <w:abstractNum w:abstractNumId="39">
    <w:nsid w:val="23652337"/>
    <w:multiLevelType w:val="hybridMultilevel"/>
    <w:tmpl w:val="51AC9FB6"/>
    <w:lvl w:ilvl="0" w:tplc="7E82A6C6">
      <w:start w:val="1"/>
      <w:numFmt w:val="bullet"/>
      <w:lvlText w:val="•"/>
      <w:lvlJc w:val="left"/>
      <w:pPr>
        <w:ind w:left="334" w:hanging="227"/>
      </w:pPr>
      <w:rPr>
        <w:rFonts w:ascii="Avenir Next Condensed" w:eastAsia="Avenir Next Condensed" w:hAnsi="Avenir Next Condensed" w:hint="default"/>
        <w:sz w:val="18"/>
        <w:szCs w:val="18"/>
      </w:rPr>
    </w:lvl>
    <w:lvl w:ilvl="1" w:tplc="A3AC79EC">
      <w:start w:val="1"/>
      <w:numFmt w:val="bullet"/>
      <w:lvlText w:val="•"/>
      <w:lvlJc w:val="left"/>
      <w:pPr>
        <w:ind w:left="875" w:hanging="227"/>
      </w:pPr>
      <w:rPr>
        <w:rFonts w:hint="default"/>
      </w:rPr>
    </w:lvl>
    <w:lvl w:ilvl="2" w:tplc="C9E04A34">
      <w:start w:val="1"/>
      <w:numFmt w:val="bullet"/>
      <w:lvlText w:val="•"/>
      <w:lvlJc w:val="left"/>
      <w:pPr>
        <w:ind w:left="1416" w:hanging="227"/>
      </w:pPr>
      <w:rPr>
        <w:rFonts w:hint="default"/>
      </w:rPr>
    </w:lvl>
    <w:lvl w:ilvl="3" w:tplc="12D4A91A">
      <w:start w:val="1"/>
      <w:numFmt w:val="bullet"/>
      <w:lvlText w:val="•"/>
      <w:lvlJc w:val="left"/>
      <w:pPr>
        <w:ind w:left="1957" w:hanging="227"/>
      </w:pPr>
      <w:rPr>
        <w:rFonts w:hint="default"/>
      </w:rPr>
    </w:lvl>
    <w:lvl w:ilvl="4" w:tplc="CFDEFBEC">
      <w:start w:val="1"/>
      <w:numFmt w:val="bullet"/>
      <w:lvlText w:val="•"/>
      <w:lvlJc w:val="left"/>
      <w:pPr>
        <w:ind w:left="2498" w:hanging="227"/>
      </w:pPr>
      <w:rPr>
        <w:rFonts w:hint="default"/>
      </w:rPr>
    </w:lvl>
    <w:lvl w:ilvl="5" w:tplc="1538546A">
      <w:start w:val="1"/>
      <w:numFmt w:val="bullet"/>
      <w:lvlText w:val="•"/>
      <w:lvlJc w:val="left"/>
      <w:pPr>
        <w:ind w:left="3039" w:hanging="227"/>
      </w:pPr>
      <w:rPr>
        <w:rFonts w:hint="default"/>
      </w:rPr>
    </w:lvl>
    <w:lvl w:ilvl="6" w:tplc="BDA85FA0">
      <w:start w:val="1"/>
      <w:numFmt w:val="bullet"/>
      <w:lvlText w:val="•"/>
      <w:lvlJc w:val="left"/>
      <w:pPr>
        <w:ind w:left="3580" w:hanging="227"/>
      </w:pPr>
      <w:rPr>
        <w:rFonts w:hint="default"/>
      </w:rPr>
    </w:lvl>
    <w:lvl w:ilvl="7" w:tplc="F8382D1A">
      <w:start w:val="1"/>
      <w:numFmt w:val="bullet"/>
      <w:lvlText w:val="•"/>
      <w:lvlJc w:val="left"/>
      <w:pPr>
        <w:ind w:left="4121" w:hanging="227"/>
      </w:pPr>
      <w:rPr>
        <w:rFonts w:hint="default"/>
      </w:rPr>
    </w:lvl>
    <w:lvl w:ilvl="8" w:tplc="982407CE">
      <w:start w:val="1"/>
      <w:numFmt w:val="bullet"/>
      <w:lvlText w:val="•"/>
      <w:lvlJc w:val="left"/>
      <w:pPr>
        <w:ind w:left="4662" w:hanging="227"/>
      </w:pPr>
      <w:rPr>
        <w:rFonts w:hint="default"/>
      </w:rPr>
    </w:lvl>
  </w:abstractNum>
  <w:abstractNum w:abstractNumId="40">
    <w:nsid w:val="24225C54"/>
    <w:multiLevelType w:val="hybridMultilevel"/>
    <w:tmpl w:val="7BD64D2C"/>
    <w:lvl w:ilvl="0" w:tplc="2542E114">
      <w:start w:val="1"/>
      <w:numFmt w:val="bullet"/>
      <w:lvlText w:val="•"/>
      <w:lvlJc w:val="left"/>
      <w:pPr>
        <w:ind w:left="335" w:hanging="227"/>
      </w:pPr>
      <w:rPr>
        <w:rFonts w:ascii="Avenir Next Condensed" w:eastAsia="Avenir Next Condensed" w:hAnsi="Avenir Next Condensed" w:hint="default"/>
        <w:sz w:val="18"/>
        <w:szCs w:val="18"/>
      </w:rPr>
    </w:lvl>
    <w:lvl w:ilvl="1" w:tplc="67CA26EC">
      <w:start w:val="1"/>
      <w:numFmt w:val="bullet"/>
      <w:lvlText w:val="•"/>
      <w:lvlJc w:val="left"/>
      <w:pPr>
        <w:ind w:left="1120" w:hanging="227"/>
      </w:pPr>
      <w:rPr>
        <w:rFonts w:hint="default"/>
      </w:rPr>
    </w:lvl>
    <w:lvl w:ilvl="2" w:tplc="717CFE9C">
      <w:start w:val="1"/>
      <w:numFmt w:val="bullet"/>
      <w:lvlText w:val="•"/>
      <w:lvlJc w:val="left"/>
      <w:pPr>
        <w:ind w:left="1906" w:hanging="227"/>
      </w:pPr>
      <w:rPr>
        <w:rFonts w:hint="default"/>
      </w:rPr>
    </w:lvl>
    <w:lvl w:ilvl="3" w:tplc="4C501E16">
      <w:start w:val="1"/>
      <w:numFmt w:val="bullet"/>
      <w:lvlText w:val="•"/>
      <w:lvlJc w:val="left"/>
      <w:pPr>
        <w:ind w:left="2691" w:hanging="227"/>
      </w:pPr>
      <w:rPr>
        <w:rFonts w:hint="default"/>
      </w:rPr>
    </w:lvl>
    <w:lvl w:ilvl="4" w:tplc="88EA1832">
      <w:start w:val="1"/>
      <w:numFmt w:val="bullet"/>
      <w:lvlText w:val="•"/>
      <w:lvlJc w:val="left"/>
      <w:pPr>
        <w:ind w:left="3477" w:hanging="227"/>
      </w:pPr>
      <w:rPr>
        <w:rFonts w:hint="default"/>
      </w:rPr>
    </w:lvl>
    <w:lvl w:ilvl="5" w:tplc="9022D39C">
      <w:start w:val="1"/>
      <w:numFmt w:val="bullet"/>
      <w:lvlText w:val="•"/>
      <w:lvlJc w:val="left"/>
      <w:pPr>
        <w:ind w:left="4263" w:hanging="227"/>
      </w:pPr>
      <w:rPr>
        <w:rFonts w:hint="default"/>
      </w:rPr>
    </w:lvl>
    <w:lvl w:ilvl="6" w:tplc="9D7AC3DA">
      <w:start w:val="1"/>
      <w:numFmt w:val="bullet"/>
      <w:lvlText w:val="•"/>
      <w:lvlJc w:val="left"/>
      <w:pPr>
        <w:ind w:left="5048" w:hanging="227"/>
      </w:pPr>
      <w:rPr>
        <w:rFonts w:hint="default"/>
      </w:rPr>
    </w:lvl>
    <w:lvl w:ilvl="7" w:tplc="26723164">
      <w:start w:val="1"/>
      <w:numFmt w:val="bullet"/>
      <w:lvlText w:val="•"/>
      <w:lvlJc w:val="left"/>
      <w:pPr>
        <w:ind w:left="5834" w:hanging="227"/>
      </w:pPr>
      <w:rPr>
        <w:rFonts w:hint="default"/>
      </w:rPr>
    </w:lvl>
    <w:lvl w:ilvl="8" w:tplc="30BE3AE2">
      <w:start w:val="1"/>
      <w:numFmt w:val="bullet"/>
      <w:lvlText w:val="•"/>
      <w:lvlJc w:val="left"/>
      <w:pPr>
        <w:ind w:left="6619" w:hanging="227"/>
      </w:pPr>
      <w:rPr>
        <w:rFonts w:hint="default"/>
      </w:rPr>
    </w:lvl>
  </w:abstractNum>
  <w:abstractNum w:abstractNumId="41">
    <w:nsid w:val="286E4345"/>
    <w:multiLevelType w:val="hybridMultilevel"/>
    <w:tmpl w:val="00AE6B0C"/>
    <w:lvl w:ilvl="0" w:tplc="348E933A">
      <w:start w:val="13"/>
      <w:numFmt w:val="decimal"/>
      <w:lvlText w:val="%1"/>
      <w:lvlJc w:val="left"/>
      <w:pPr>
        <w:ind w:left="1757" w:hanging="511"/>
      </w:pPr>
      <w:rPr>
        <w:rFonts w:ascii="Avenir Next" w:eastAsia="Avenir Next" w:hAnsi="Avenir Next" w:hint="default"/>
        <w:sz w:val="16"/>
        <w:szCs w:val="16"/>
      </w:rPr>
    </w:lvl>
    <w:lvl w:ilvl="1" w:tplc="AD8EC472">
      <w:start w:val="1"/>
      <w:numFmt w:val="bullet"/>
      <w:lvlText w:val="•"/>
      <w:lvlJc w:val="left"/>
      <w:pPr>
        <w:ind w:left="2772" w:hanging="511"/>
      </w:pPr>
      <w:rPr>
        <w:rFonts w:hint="default"/>
      </w:rPr>
    </w:lvl>
    <w:lvl w:ilvl="2" w:tplc="F9A26D46">
      <w:start w:val="1"/>
      <w:numFmt w:val="bullet"/>
      <w:lvlText w:val="•"/>
      <w:lvlJc w:val="left"/>
      <w:pPr>
        <w:ind w:left="3787" w:hanging="511"/>
      </w:pPr>
      <w:rPr>
        <w:rFonts w:hint="default"/>
      </w:rPr>
    </w:lvl>
    <w:lvl w:ilvl="3" w:tplc="80C4437C">
      <w:start w:val="1"/>
      <w:numFmt w:val="bullet"/>
      <w:lvlText w:val="•"/>
      <w:lvlJc w:val="left"/>
      <w:pPr>
        <w:ind w:left="4801" w:hanging="511"/>
      </w:pPr>
      <w:rPr>
        <w:rFonts w:hint="default"/>
      </w:rPr>
    </w:lvl>
    <w:lvl w:ilvl="4" w:tplc="742E67CA">
      <w:start w:val="1"/>
      <w:numFmt w:val="bullet"/>
      <w:lvlText w:val="•"/>
      <w:lvlJc w:val="left"/>
      <w:pPr>
        <w:ind w:left="5816" w:hanging="511"/>
      </w:pPr>
      <w:rPr>
        <w:rFonts w:hint="default"/>
      </w:rPr>
    </w:lvl>
    <w:lvl w:ilvl="5" w:tplc="3272BD22">
      <w:start w:val="1"/>
      <w:numFmt w:val="bullet"/>
      <w:lvlText w:val="•"/>
      <w:lvlJc w:val="left"/>
      <w:pPr>
        <w:ind w:left="6831" w:hanging="511"/>
      </w:pPr>
      <w:rPr>
        <w:rFonts w:hint="default"/>
      </w:rPr>
    </w:lvl>
    <w:lvl w:ilvl="6" w:tplc="4F9EE776">
      <w:start w:val="1"/>
      <w:numFmt w:val="bullet"/>
      <w:lvlText w:val="•"/>
      <w:lvlJc w:val="left"/>
      <w:pPr>
        <w:ind w:left="7846" w:hanging="511"/>
      </w:pPr>
      <w:rPr>
        <w:rFonts w:hint="default"/>
      </w:rPr>
    </w:lvl>
    <w:lvl w:ilvl="7" w:tplc="513001EC">
      <w:start w:val="1"/>
      <w:numFmt w:val="bullet"/>
      <w:lvlText w:val="•"/>
      <w:lvlJc w:val="left"/>
      <w:pPr>
        <w:ind w:left="8861" w:hanging="511"/>
      </w:pPr>
      <w:rPr>
        <w:rFonts w:hint="default"/>
      </w:rPr>
    </w:lvl>
    <w:lvl w:ilvl="8" w:tplc="FAC853C8">
      <w:start w:val="1"/>
      <w:numFmt w:val="bullet"/>
      <w:lvlText w:val="•"/>
      <w:lvlJc w:val="left"/>
      <w:pPr>
        <w:ind w:left="9875" w:hanging="511"/>
      </w:pPr>
      <w:rPr>
        <w:rFonts w:hint="default"/>
      </w:rPr>
    </w:lvl>
  </w:abstractNum>
  <w:abstractNum w:abstractNumId="42">
    <w:nsid w:val="2927720A"/>
    <w:multiLevelType w:val="hybridMultilevel"/>
    <w:tmpl w:val="925A2C34"/>
    <w:lvl w:ilvl="0" w:tplc="407C504A">
      <w:start w:val="10"/>
      <w:numFmt w:val="decimal"/>
      <w:lvlText w:val="%1"/>
      <w:lvlJc w:val="left"/>
      <w:pPr>
        <w:ind w:left="1814" w:hanging="567"/>
      </w:pPr>
      <w:rPr>
        <w:rFonts w:ascii="Avenir Next" w:eastAsia="Avenir Next" w:hAnsi="Avenir Next" w:hint="default"/>
        <w:b/>
        <w:bCs/>
        <w:sz w:val="20"/>
        <w:szCs w:val="20"/>
      </w:rPr>
    </w:lvl>
    <w:lvl w:ilvl="1" w:tplc="C164C5FE">
      <w:start w:val="1"/>
      <w:numFmt w:val="bullet"/>
      <w:lvlText w:val="•"/>
      <w:lvlJc w:val="left"/>
      <w:pPr>
        <w:ind w:left="2823" w:hanging="567"/>
      </w:pPr>
      <w:rPr>
        <w:rFonts w:hint="default"/>
      </w:rPr>
    </w:lvl>
    <w:lvl w:ilvl="2" w:tplc="3D52D808">
      <w:start w:val="1"/>
      <w:numFmt w:val="bullet"/>
      <w:lvlText w:val="•"/>
      <w:lvlJc w:val="left"/>
      <w:pPr>
        <w:ind w:left="3832" w:hanging="567"/>
      </w:pPr>
      <w:rPr>
        <w:rFonts w:hint="default"/>
      </w:rPr>
    </w:lvl>
    <w:lvl w:ilvl="3" w:tplc="60B202CC">
      <w:start w:val="1"/>
      <w:numFmt w:val="bullet"/>
      <w:lvlText w:val="•"/>
      <w:lvlJc w:val="left"/>
      <w:pPr>
        <w:ind w:left="4841" w:hanging="567"/>
      </w:pPr>
      <w:rPr>
        <w:rFonts w:hint="default"/>
      </w:rPr>
    </w:lvl>
    <w:lvl w:ilvl="4" w:tplc="C5B673C4">
      <w:start w:val="1"/>
      <w:numFmt w:val="bullet"/>
      <w:lvlText w:val="•"/>
      <w:lvlJc w:val="left"/>
      <w:pPr>
        <w:ind w:left="5851" w:hanging="567"/>
      </w:pPr>
      <w:rPr>
        <w:rFonts w:hint="default"/>
      </w:rPr>
    </w:lvl>
    <w:lvl w:ilvl="5" w:tplc="9C167F48">
      <w:start w:val="1"/>
      <w:numFmt w:val="bullet"/>
      <w:lvlText w:val="•"/>
      <w:lvlJc w:val="left"/>
      <w:pPr>
        <w:ind w:left="6860" w:hanging="567"/>
      </w:pPr>
      <w:rPr>
        <w:rFonts w:hint="default"/>
      </w:rPr>
    </w:lvl>
    <w:lvl w:ilvl="6" w:tplc="4A700BFE">
      <w:start w:val="1"/>
      <w:numFmt w:val="bullet"/>
      <w:lvlText w:val="•"/>
      <w:lvlJc w:val="left"/>
      <w:pPr>
        <w:ind w:left="7869" w:hanging="567"/>
      </w:pPr>
      <w:rPr>
        <w:rFonts w:hint="default"/>
      </w:rPr>
    </w:lvl>
    <w:lvl w:ilvl="7" w:tplc="5A6E8B30">
      <w:start w:val="1"/>
      <w:numFmt w:val="bullet"/>
      <w:lvlText w:val="•"/>
      <w:lvlJc w:val="left"/>
      <w:pPr>
        <w:ind w:left="8878" w:hanging="567"/>
      </w:pPr>
      <w:rPr>
        <w:rFonts w:hint="default"/>
      </w:rPr>
    </w:lvl>
    <w:lvl w:ilvl="8" w:tplc="53E04DE2">
      <w:start w:val="1"/>
      <w:numFmt w:val="bullet"/>
      <w:lvlText w:val="•"/>
      <w:lvlJc w:val="left"/>
      <w:pPr>
        <w:ind w:left="9887" w:hanging="567"/>
      </w:pPr>
      <w:rPr>
        <w:rFonts w:hint="default"/>
      </w:rPr>
    </w:lvl>
  </w:abstractNum>
  <w:abstractNum w:abstractNumId="43">
    <w:nsid w:val="29EB49B5"/>
    <w:multiLevelType w:val="hybridMultilevel"/>
    <w:tmpl w:val="D8D4ED9A"/>
    <w:lvl w:ilvl="0" w:tplc="D56C13E4">
      <w:start w:val="1"/>
      <w:numFmt w:val="decimal"/>
      <w:lvlText w:val="(%1)"/>
      <w:lvlJc w:val="left"/>
      <w:pPr>
        <w:ind w:left="510" w:hanging="341"/>
      </w:pPr>
      <w:rPr>
        <w:rFonts w:ascii="Avenir Next Condensed" w:eastAsia="Avenir Next Condensed" w:hAnsi="Avenir Next Condensed" w:hint="default"/>
        <w:spacing w:val="-2"/>
        <w:sz w:val="20"/>
        <w:szCs w:val="20"/>
      </w:rPr>
    </w:lvl>
    <w:lvl w:ilvl="1" w:tplc="5EB82066">
      <w:start w:val="1"/>
      <w:numFmt w:val="lowerLetter"/>
      <w:lvlText w:val="(%2)"/>
      <w:lvlJc w:val="left"/>
      <w:pPr>
        <w:ind w:left="850" w:hanging="341"/>
      </w:pPr>
      <w:rPr>
        <w:rFonts w:ascii="Avenir Next Condensed" w:eastAsia="Avenir Next Condensed" w:hAnsi="Avenir Next Condensed" w:hint="default"/>
        <w:spacing w:val="-2"/>
        <w:sz w:val="20"/>
        <w:szCs w:val="20"/>
      </w:rPr>
    </w:lvl>
    <w:lvl w:ilvl="2" w:tplc="63F891D8">
      <w:start w:val="1"/>
      <w:numFmt w:val="bullet"/>
      <w:lvlText w:val="•"/>
      <w:lvlJc w:val="left"/>
      <w:pPr>
        <w:ind w:left="1801" w:hanging="341"/>
      </w:pPr>
      <w:rPr>
        <w:rFonts w:hint="default"/>
      </w:rPr>
    </w:lvl>
    <w:lvl w:ilvl="3" w:tplc="6FBCDDDC">
      <w:start w:val="1"/>
      <w:numFmt w:val="bullet"/>
      <w:lvlText w:val="•"/>
      <w:lvlJc w:val="left"/>
      <w:pPr>
        <w:ind w:left="2752" w:hanging="341"/>
      </w:pPr>
      <w:rPr>
        <w:rFonts w:hint="default"/>
      </w:rPr>
    </w:lvl>
    <w:lvl w:ilvl="4" w:tplc="E40E6E64">
      <w:start w:val="1"/>
      <w:numFmt w:val="bullet"/>
      <w:lvlText w:val="•"/>
      <w:lvlJc w:val="left"/>
      <w:pPr>
        <w:ind w:left="3704" w:hanging="341"/>
      </w:pPr>
      <w:rPr>
        <w:rFonts w:hint="default"/>
      </w:rPr>
    </w:lvl>
    <w:lvl w:ilvl="5" w:tplc="8C9260CC">
      <w:start w:val="1"/>
      <w:numFmt w:val="bullet"/>
      <w:lvlText w:val="•"/>
      <w:lvlJc w:val="left"/>
      <w:pPr>
        <w:ind w:left="4655" w:hanging="341"/>
      </w:pPr>
      <w:rPr>
        <w:rFonts w:hint="default"/>
      </w:rPr>
    </w:lvl>
    <w:lvl w:ilvl="6" w:tplc="0EDC85E0">
      <w:start w:val="1"/>
      <w:numFmt w:val="bullet"/>
      <w:lvlText w:val="•"/>
      <w:lvlJc w:val="left"/>
      <w:pPr>
        <w:ind w:left="5606" w:hanging="341"/>
      </w:pPr>
      <w:rPr>
        <w:rFonts w:hint="default"/>
      </w:rPr>
    </w:lvl>
    <w:lvl w:ilvl="7" w:tplc="676AC0CA">
      <w:start w:val="1"/>
      <w:numFmt w:val="bullet"/>
      <w:lvlText w:val="•"/>
      <w:lvlJc w:val="left"/>
      <w:pPr>
        <w:ind w:left="6557" w:hanging="341"/>
      </w:pPr>
      <w:rPr>
        <w:rFonts w:hint="default"/>
      </w:rPr>
    </w:lvl>
    <w:lvl w:ilvl="8" w:tplc="9DAA1984">
      <w:start w:val="1"/>
      <w:numFmt w:val="bullet"/>
      <w:lvlText w:val="•"/>
      <w:lvlJc w:val="left"/>
      <w:pPr>
        <w:ind w:left="7508" w:hanging="341"/>
      </w:pPr>
      <w:rPr>
        <w:rFonts w:hint="default"/>
      </w:rPr>
    </w:lvl>
  </w:abstractNum>
  <w:abstractNum w:abstractNumId="44">
    <w:nsid w:val="2B115568"/>
    <w:multiLevelType w:val="hybridMultilevel"/>
    <w:tmpl w:val="9822DEAC"/>
    <w:lvl w:ilvl="0" w:tplc="EE8AADDC">
      <w:start w:val="6"/>
      <w:numFmt w:val="decimal"/>
      <w:lvlText w:val="%1"/>
      <w:lvlJc w:val="left"/>
      <w:pPr>
        <w:ind w:left="1757" w:hanging="511"/>
      </w:pPr>
      <w:rPr>
        <w:rFonts w:ascii="Avenir Next" w:eastAsia="Avenir Next" w:hAnsi="Avenir Next" w:hint="default"/>
        <w:sz w:val="16"/>
        <w:szCs w:val="16"/>
      </w:rPr>
    </w:lvl>
    <w:lvl w:ilvl="1" w:tplc="48A67E4E">
      <w:start w:val="1"/>
      <w:numFmt w:val="bullet"/>
      <w:lvlText w:val="•"/>
      <w:lvlJc w:val="left"/>
      <w:pPr>
        <w:ind w:left="2772" w:hanging="511"/>
      </w:pPr>
      <w:rPr>
        <w:rFonts w:hint="default"/>
      </w:rPr>
    </w:lvl>
    <w:lvl w:ilvl="2" w:tplc="FE1C335C">
      <w:start w:val="1"/>
      <w:numFmt w:val="bullet"/>
      <w:lvlText w:val="•"/>
      <w:lvlJc w:val="left"/>
      <w:pPr>
        <w:ind w:left="3787" w:hanging="511"/>
      </w:pPr>
      <w:rPr>
        <w:rFonts w:hint="default"/>
      </w:rPr>
    </w:lvl>
    <w:lvl w:ilvl="3" w:tplc="D824656E">
      <w:start w:val="1"/>
      <w:numFmt w:val="bullet"/>
      <w:lvlText w:val="•"/>
      <w:lvlJc w:val="left"/>
      <w:pPr>
        <w:ind w:left="4801" w:hanging="511"/>
      </w:pPr>
      <w:rPr>
        <w:rFonts w:hint="default"/>
      </w:rPr>
    </w:lvl>
    <w:lvl w:ilvl="4" w:tplc="9FA04768">
      <w:start w:val="1"/>
      <w:numFmt w:val="bullet"/>
      <w:lvlText w:val="•"/>
      <w:lvlJc w:val="left"/>
      <w:pPr>
        <w:ind w:left="5816" w:hanging="511"/>
      </w:pPr>
      <w:rPr>
        <w:rFonts w:hint="default"/>
      </w:rPr>
    </w:lvl>
    <w:lvl w:ilvl="5" w:tplc="D4846216">
      <w:start w:val="1"/>
      <w:numFmt w:val="bullet"/>
      <w:lvlText w:val="•"/>
      <w:lvlJc w:val="left"/>
      <w:pPr>
        <w:ind w:left="6831" w:hanging="511"/>
      </w:pPr>
      <w:rPr>
        <w:rFonts w:hint="default"/>
      </w:rPr>
    </w:lvl>
    <w:lvl w:ilvl="6" w:tplc="5B6CA492">
      <w:start w:val="1"/>
      <w:numFmt w:val="bullet"/>
      <w:lvlText w:val="•"/>
      <w:lvlJc w:val="left"/>
      <w:pPr>
        <w:ind w:left="7846" w:hanging="511"/>
      </w:pPr>
      <w:rPr>
        <w:rFonts w:hint="default"/>
      </w:rPr>
    </w:lvl>
    <w:lvl w:ilvl="7" w:tplc="0046DC00">
      <w:start w:val="1"/>
      <w:numFmt w:val="bullet"/>
      <w:lvlText w:val="•"/>
      <w:lvlJc w:val="left"/>
      <w:pPr>
        <w:ind w:left="8861" w:hanging="511"/>
      </w:pPr>
      <w:rPr>
        <w:rFonts w:hint="default"/>
      </w:rPr>
    </w:lvl>
    <w:lvl w:ilvl="8" w:tplc="AAC4916E">
      <w:start w:val="1"/>
      <w:numFmt w:val="bullet"/>
      <w:lvlText w:val="•"/>
      <w:lvlJc w:val="left"/>
      <w:pPr>
        <w:ind w:left="9875" w:hanging="511"/>
      </w:pPr>
      <w:rPr>
        <w:rFonts w:hint="default"/>
      </w:rPr>
    </w:lvl>
  </w:abstractNum>
  <w:abstractNum w:abstractNumId="45">
    <w:nsid w:val="2B1C1CEA"/>
    <w:multiLevelType w:val="hybridMultilevel"/>
    <w:tmpl w:val="F7B47818"/>
    <w:lvl w:ilvl="0" w:tplc="9754F2F4">
      <w:start w:val="250"/>
      <w:numFmt w:val="decimal"/>
      <w:lvlText w:val="%1"/>
      <w:lvlJc w:val="left"/>
      <w:pPr>
        <w:ind w:left="1757" w:hanging="511"/>
      </w:pPr>
      <w:rPr>
        <w:rFonts w:ascii="Avenir Next" w:eastAsia="Avenir Next" w:hAnsi="Avenir Next" w:hint="default"/>
        <w:sz w:val="16"/>
        <w:szCs w:val="16"/>
      </w:rPr>
    </w:lvl>
    <w:lvl w:ilvl="1" w:tplc="0DD03726">
      <w:start w:val="1"/>
      <w:numFmt w:val="bullet"/>
      <w:lvlText w:val="•"/>
      <w:lvlJc w:val="left"/>
      <w:pPr>
        <w:ind w:left="1984" w:hanging="227"/>
      </w:pPr>
      <w:rPr>
        <w:rFonts w:ascii="Avenir Next" w:eastAsia="Avenir Next" w:hAnsi="Avenir Next" w:hint="default"/>
        <w:sz w:val="16"/>
        <w:szCs w:val="16"/>
      </w:rPr>
    </w:lvl>
    <w:lvl w:ilvl="2" w:tplc="2B081C10">
      <w:start w:val="1"/>
      <w:numFmt w:val="bullet"/>
      <w:lvlText w:val="•"/>
      <w:lvlJc w:val="left"/>
      <w:pPr>
        <w:ind w:left="1984" w:hanging="227"/>
      </w:pPr>
      <w:rPr>
        <w:rFonts w:hint="default"/>
      </w:rPr>
    </w:lvl>
    <w:lvl w:ilvl="3" w:tplc="F99C9AD6">
      <w:start w:val="1"/>
      <w:numFmt w:val="bullet"/>
      <w:lvlText w:val="•"/>
      <w:lvlJc w:val="left"/>
      <w:pPr>
        <w:ind w:left="3224" w:hanging="227"/>
      </w:pPr>
      <w:rPr>
        <w:rFonts w:hint="default"/>
      </w:rPr>
    </w:lvl>
    <w:lvl w:ilvl="4" w:tplc="83BEA7E4">
      <w:start w:val="1"/>
      <w:numFmt w:val="bullet"/>
      <w:lvlText w:val="•"/>
      <w:lvlJc w:val="left"/>
      <w:pPr>
        <w:ind w:left="4464" w:hanging="227"/>
      </w:pPr>
      <w:rPr>
        <w:rFonts w:hint="default"/>
      </w:rPr>
    </w:lvl>
    <w:lvl w:ilvl="5" w:tplc="7CFE92BC">
      <w:start w:val="1"/>
      <w:numFmt w:val="bullet"/>
      <w:lvlText w:val="•"/>
      <w:lvlJc w:val="left"/>
      <w:pPr>
        <w:ind w:left="5704" w:hanging="227"/>
      </w:pPr>
      <w:rPr>
        <w:rFonts w:hint="default"/>
      </w:rPr>
    </w:lvl>
    <w:lvl w:ilvl="6" w:tplc="E4205F70">
      <w:start w:val="1"/>
      <w:numFmt w:val="bullet"/>
      <w:lvlText w:val="•"/>
      <w:lvlJc w:val="left"/>
      <w:pPr>
        <w:ind w:left="6944" w:hanging="227"/>
      </w:pPr>
      <w:rPr>
        <w:rFonts w:hint="default"/>
      </w:rPr>
    </w:lvl>
    <w:lvl w:ilvl="7" w:tplc="9F74B760">
      <w:start w:val="1"/>
      <w:numFmt w:val="bullet"/>
      <w:lvlText w:val="•"/>
      <w:lvlJc w:val="left"/>
      <w:pPr>
        <w:ind w:left="8185" w:hanging="227"/>
      </w:pPr>
      <w:rPr>
        <w:rFonts w:hint="default"/>
      </w:rPr>
    </w:lvl>
    <w:lvl w:ilvl="8" w:tplc="822402F8">
      <w:start w:val="1"/>
      <w:numFmt w:val="bullet"/>
      <w:lvlText w:val="•"/>
      <w:lvlJc w:val="left"/>
      <w:pPr>
        <w:ind w:left="9425" w:hanging="227"/>
      </w:pPr>
      <w:rPr>
        <w:rFonts w:hint="default"/>
      </w:rPr>
    </w:lvl>
  </w:abstractNum>
  <w:abstractNum w:abstractNumId="46">
    <w:nsid w:val="2B464C4E"/>
    <w:multiLevelType w:val="hybridMultilevel"/>
    <w:tmpl w:val="0A1A0A0C"/>
    <w:lvl w:ilvl="0" w:tplc="BC209190">
      <w:start w:val="4"/>
      <w:numFmt w:val="decimal"/>
      <w:lvlText w:val="%1."/>
      <w:lvlJc w:val="left"/>
      <w:pPr>
        <w:ind w:left="2026" w:hanging="212"/>
      </w:pPr>
      <w:rPr>
        <w:rFonts w:ascii="Avenir Next" w:eastAsia="Avenir Next" w:hAnsi="Avenir Next" w:hint="default"/>
        <w:sz w:val="20"/>
        <w:szCs w:val="20"/>
      </w:rPr>
    </w:lvl>
    <w:lvl w:ilvl="1" w:tplc="E47E7928">
      <w:start w:val="1"/>
      <w:numFmt w:val="bullet"/>
      <w:lvlText w:val="•"/>
      <w:lvlJc w:val="left"/>
      <w:pPr>
        <w:ind w:left="3014" w:hanging="212"/>
      </w:pPr>
      <w:rPr>
        <w:rFonts w:hint="default"/>
      </w:rPr>
    </w:lvl>
    <w:lvl w:ilvl="2" w:tplc="86B086D2">
      <w:start w:val="1"/>
      <w:numFmt w:val="bullet"/>
      <w:lvlText w:val="•"/>
      <w:lvlJc w:val="left"/>
      <w:pPr>
        <w:ind w:left="4002" w:hanging="212"/>
      </w:pPr>
      <w:rPr>
        <w:rFonts w:hint="default"/>
      </w:rPr>
    </w:lvl>
    <w:lvl w:ilvl="3" w:tplc="85129AAA">
      <w:start w:val="1"/>
      <w:numFmt w:val="bullet"/>
      <w:lvlText w:val="•"/>
      <w:lvlJc w:val="left"/>
      <w:pPr>
        <w:ind w:left="4990" w:hanging="212"/>
      </w:pPr>
      <w:rPr>
        <w:rFonts w:hint="default"/>
      </w:rPr>
    </w:lvl>
    <w:lvl w:ilvl="4" w:tplc="D57467D0">
      <w:start w:val="1"/>
      <w:numFmt w:val="bullet"/>
      <w:lvlText w:val="•"/>
      <w:lvlJc w:val="left"/>
      <w:pPr>
        <w:ind w:left="5977" w:hanging="212"/>
      </w:pPr>
      <w:rPr>
        <w:rFonts w:hint="default"/>
      </w:rPr>
    </w:lvl>
    <w:lvl w:ilvl="5" w:tplc="11E4D46A">
      <w:start w:val="1"/>
      <w:numFmt w:val="bullet"/>
      <w:lvlText w:val="•"/>
      <w:lvlJc w:val="left"/>
      <w:pPr>
        <w:ind w:left="6965" w:hanging="212"/>
      </w:pPr>
      <w:rPr>
        <w:rFonts w:hint="default"/>
      </w:rPr>
    </w:lvl>
    <w:lvl w:ilvl="6" w:tplc="68002D10">
      <w:start w:val="1"/>
      <w:numFmt w:val="bullet"/>
      <w:lvlText w:val="•"/>
      <w:lvlJc w:val="left"/>
      <w:pPr>
        <w:ind w:left="7953" w:hanging="212"/>
      </w:pPr>
      <w:rPr>
        <w:rFonts w:hint="default"/>
      </w:rPr>
    </w:lvl>
    <w:lvl w:ilvl="7" w:tplc="179038A2">
      <w:start w:val="1"/>
      <w:numFmt w:val="bullet"/>
      <w:lvlText w:val="•"/>
      <w:lvlJc w:val="left"/>
      <w:pPr>
        <w:ind w:left="8941" w:hanging="212"/>
      </w:pPr>
      <w:rPr>
        <w:rFonts w:hint="default"/>
      </w:rPr>
    </w:lvl>
    <w:lvl w:ilvl="8" w:tplc="1954F4E2">
      <w:start w:val="1"/>
      <w:numFmt w:val="bullet"/>
      <w:lvlText w:val="•"/>
      <w:lvlJc w:val="left"/>
      <w:pPr>
        <w:ind w:left="9929" w:hanging="212"/>
      </w:pPr>
      <w:rPr>
        <w:rFonts w:hint="default"/>
      </w:rPr>
    </w:lvl>
  </w:abstractNum>
  <w:abstractNum w:abstractNumId="47">
    <w:nsid w:val="2B4D765F"/>
    <w:multiLevelType w:val="hybridMultilevel"/>
    <w:tmpl w:val="EC2025DA"/>
    <w:lvl w:ilvl="0" w:tplc="665AEE8C">
      <w:start w:val="1"/>
      <w:numFmt w:val="bullet"/>
      <w:lvlText w:val="•"/>
      <w:lvlJc w:val="left"/>
      <w:pPr>
        <w:ind w:left="335" w:hanging="227"/>
      </w:pPr>
      <w:rPr>
        <w:rFonts w:ascii="Avenir Next Condensed" w:eastAsia="Avenir Next Condensed" w:hAnsi="Avenir Next Condensed" w:hint="default"/>
        <w:sz w:val="18"/>
        <w:szCs w:val="18"/>
      </w:rPr>
    </w:lvl>
    <w:lvl w:ilvl="1" w:tplc="F01E3E42">
      <w:start w:val="1"/>
      <w:numFmt w:val="bullet"/>
      <w:lvlText w:val="•"/>
      <w:lvlJc w:val="left"/>
      <w:pPr>
        <w:ind w:left="1120" w:hanging="227"/>
      </w:pPr>
      <w:rPr>
        <w:rFonts w:hint="default"/>
      </w:rPr>
    </w:lvl>
    <w:lvl w:ilvl="2" w:tplc="F7260EEA">
      <w:start w:val="1"/>
      <w:numFmt w:val="bullet"/>
      <w:lvlText w:val="•"/>
      <w:lvlJc w:val="left"/>
      <w:pPr>
        <w:ind w:left="1906" w:hanging="227"/>
      </w:pPr>
      <w:rPr>
        <w:rFonts w:hint="default"/>
      </w:rPr>
    </w:lvl>
    <w:lvl w:ilvl="3" w:tplc="93FCA33E">
      <w:start w:val="1"/>
      <w:numFmt w:val="bullet"/>
      <w:lvlText w:val="•"/>
      <w:lvlJc w:val="left"/>
      <w:pPr>
        <w:ind w:left="2691" w:hanging="227"/>
      </w:pPr>
      <w:rPr>
        <w:rFonts w:hint="default"/>
      </w:rPr>
    </w:lvl>
    <w:lvl w:ilvl="4" w:tplc="1580182A">
      <w:start w:val="1"/>
      <w:numFmt w:val="bullet"/>
      <w:lvlText w:val="•"/>
      <w:lvlJc w:val="left"/>
      <w:pPr>
        <w:ind w:left="3477" w:hanging="227"/>
      </w:pPr>
      <w:rPr>
        <w:rFonts w:hint="default"/>
      </w:rPr>
    </w:lvl>
    <w:lvl w:ilvl="5" w:tplc="7D4A024E">
      <w:start w:val="1"/>
      <w:numFmt w:val="bullet"/>
      <w:lvlText w:val="•"/>
      <w:lvlJc w:val="left"/>
      <w:pPr>
        <w:ind w:left="4263" w:hanging="227"/>
      </w:pPr>
      <w:rPr>
        <w:rFonts w:hint="default"/>
      </w:rPr>
    </w:lvl>
    <w:lvl w:ilvl="6" w:tplc="BC907E80">
      <w:start w:val="1"/>
      <w:numFmt w:val="bullet"/>
      <w:lvlText w:val="•"/>
      <w:lvlJc w:val="left"/>
      <w:pPr>
        <w:ind w:left="5048" w:hanging="227"/>
      </w:pPr>
      <w:rPr>
        <w:rFonts w:hint="default"/>
      </w:rPr>
    </w:lvl>
    <w:lvl w:ilvl="7" w:tplc="98EE6E1C">
      <w:start w:val="1"/>
      <w:numFmt w:val="bullet"/>
      <w:lvlText w:val="•"/>
      <w:lvlJc w:val="left"/>
      <w:pPr>
        <w:ind w:left="5834" w:hanging="227"/>
      </w:pPr>
      <w:rPr>
        <w:rFonts w:hint="default"/>
      </w:rPr>
    </w:lvl>
    <w:lvl w:ilvl="8" w:tplc="890AEDF6">
      <w:start w:val="1"/>
      <w:numFmt w:val="bullet"/>
      <w:lvlText w:val="•"/>
      <w:lvlJc w:val="left"/>
      <w:pPr>
        <w:ind w:left="6619" w:hanging="227"/>
      </w:pPr>
      <w:rPr>
        <w:rFonts w:hint="default"/>
      </w:rPr>
    </w:lvl>
  </w:abstractNum>
  <w:abstractNum w:abstractNumId="48">
    <w:nsid w:val="2C1145A6"/>
    <w:multiLevelType w:val="hybridMultilevel"/>
    <w:tmpl w:val="5C60514E"/>
    <w:lvl w:ilvl="0" w:tplc="7DA80A92">
      <w:start w:val="5"/>
      <w:numFmt w:val="decimal"/>
      <w:lvlText w:val="%1."/>
      <w:lvlJc w:val="left"/>
      <w:pPr>
        <w:ind w:left="2041" w:hanging="323"/>
      </w:pPr>
      <w:rPr>
        <w:rFonts w:ascii="Avenir Next Medium" w:eastAsia="Avenir Next Medium" w:hAnsi="Avenir Next Medium" w:hint="default"/>
        <w:color w:val="0778BE"/>
        <w:sz w:val="30"/>
        <w:szCs w:val="30"/>
      </w:rPr>
    </w:lvl>
    <w:lvl w:ilvl="1" w:tplc="C6EA839E">
      <w:start w:val="1"/>
      <w:numFmt w:val="bullet"/>
      <w:lvlText w:val="•"/>
      <w:lvlJc w:val="left"/>
      <w:pPr>
        <w:ind w:left="3027" w:hanging="323"/>
      </w:pPr>
      <w:rPr>
        <w:rFonts w:hint="default"/>
      </w:rPr>
    </w:lvl>
    <w:lvl w:ilvl="2" w:tplc="C0D8AB22">
      <w:start w:val="1"/>
      <w:numFmt w:val="bullet"/>
      <w:lvlText w:val="•"/>
      <w:lvlJc w:val="left"/>
      <w:pPr>
        <w:ind w:left="4013" w:hanging="323"/>
      </w:pPr>
      <w:rPr>
        <w:rFonts w:hint="default"/>
      </w:rPr>
    </w:lvl>
    <w:lvl w:ilvl="3" w:tplc="E4A4FFC2">
      <w:start w:val="1"/>
      <w:numFmt w:val="bullet"/>
      <w:lvlText w:val="•"/>
      <w:lvlJc w:val="left"/>
      <w:pPr>
        <w:ind w:left="5000" w:hanging="323"/>
      </w:pPr>
      <w:rPr>
        <w:rFonts w:hint="default"/>
      </w:rPr>
    </w:lvl>
    <w:lvl w:ilvl="4" w:tplc="41A6E5CE">
      <w:start w:val="1"/>
      <w:numFmt w:val="bullet"/>
      <w:lvlText w:val="•"/>
      <w:lvlJc w:val="left"/>
      <w:pPr>
        <w:ind w:left="5986" w:hanging="323"/>
      </w:pPr>
      <w:rPr>
        <w:rFonts w:hint="default"/>
      </w:rPr>
    </w:lvl>
    <w:lvl w:ilvl="5" w:tplc="A12697F0">
      <w:start w:val="1"/>
      <w:numFmt w:val="bullet"/>
      <w:lvlText w:val="•"/>
      <w:lvlJc w:val="left"/>
      <w:pPr>
        <w:ind w:left="6973" w:hanging="323"/>
      </w:pPr>
      <w:rPr>
        <w:rFonts w:hint="default"/>
      </w:rPr>
    </w:lvl>
    <w:lvl w:ilvl="6" w:tplc="35F2D880">
      <w:start w:val="1"/>
      <w:numFmt w:val="bullet"/>
      <w:lvlText w:val="•"/>
      <w:lvlJc w:val="left"/>
      <w:pPr>
        <w:ind w:left="7959" w:hanging="323"/>
      </w:pPr>
      <w:rPr>
        <w:rFonts w:hint="default"/>
      </w:rPr>
    </w:lvl>
    <w:lvl w:ilvl="7" w:tplc="1E6A497C">
      <w:start w:val="1"/>
      <w:numFmt w:val="bullet"/>
      <w:lvlText w:val="•"/>
      <w:lvlJc w:val="left"/>
      <w:pPr>
        <w:ind w:left="8946" w:hanging="323"/>
      </w:pPr>
      <w:rPr>
        <w:rFonts w:hint="default"/>
      </w:rPr>
    </w:lvl>
    <w:lvl w:ilvl="8" w:tplc="77F463CE">
      <w:start w:val="1"/>
      <w:numFmt w:val="bullet"/>
      <w:lvlText w:val="•"/>
      <w:lvlJc w:val="left"/>
      <w:pPr>
        <w:ind w:left="9932" w:hanging="323"/>
      </w:pPr>
      <w:rPr>
        <w:rFonts w:hint="default"/>
      </w:rPr>
    </w:lvl>
  </w:abstractNum>
  <w:abstractNum w:abstractNumId="49">
    <w:nsid w:val="2C79618F"/>
    <w:multiLevelType w:val="multilevel"/>
    <w:tmpl w:val="2FFA029A"/>
    <w:lvl w:ilvl="0">
      <w:start w:val="4"/>
      <w:numFmt w:val="decimal"/>
      <w:lvlText w:val="%1"/>
      <w:lvlJc w:val="left"/>
      <w:pPr>
        <w:ind w:left="2097" w:hanging="851"/>
      </w:pPr>
      <w:rPr>
        <w:rFonts w:hint="default"/>
      </w:rPr>
    </w:lvl>
    <w:lvl w:ilvl="1">
      <w:start w:val="1"/>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50">
    <w:nsid w:val="2D8A4009"/>
    <w:multiLevelType w:val="multilevel"/>
    <w:tmpl w:val="1D7094F4"/>
    <w:lvl w:ilvl="0">
      <w:start w:val="5"/>
      <w:numFmt w:val="decimal"/>
      <w:lvlText w:val="%1"/>
      <w:lvlJc w:val="left"/>
      <w:pPr>
        <w:ind w:left="2097" w:hanging="851"/>
      </w:pPr>
      <w:rPr>
        <w:rFonts w:hint="default"/>
      </w:rPr>
    </w:lvl>
    <w:lvl w:ilvl="1">
      <w:start w:val="1"/>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51">
    <w:nsid w:val="2EEE2C1F"/>
    <w:multiLevelType w:val="hybridMultilevel"/>
    <w:tmpl w:val="A87E7FCA"/>
    <w:lvl w:ilvl="0" w:tplc="E40C5CFA">
      <w:start w:val="1"/>
      <w:numFmt w:val="bullet"/>
      <w:lvlText w:val="•"/>
      <w:lvlJc w:val="left"/>
      <w:pPr>
        <w:ind w:left="335" w:hanging="227"/>
      </w:pPr>
      <w:rPr>
        <w:rFonts w:ascii="Avenir Next Condensed" w:eastAsia="Avenir Next Condensed" w:hAnsi="Avenir Next Condensed" w:hint="default"/>
        <w:sz w:val="18"/>
        <w:szCs w:val="18"/>
      </w:rPr>
    </w:lvl>
    <w:lvl w:ilvl="1" w:tplc="4E963DB8">
      <w:start w:val="1"/>
      <w:numFmt w:val="bullet"/>
      <w:lvlText w:val="•"/>
      <w:lvlJc w:val="left"/>
      <w:pPr>
        <w:ind w:left="1034" w:hanging="227"/>
      </w:pPr>
      <w:rPr>
        <w:rFonts w:hint="default"/>
      </w:rPr>
    </w:lvl>
    <w:lvl w:ilvl="2" w:tplc="1924E86A">
      <w:start w:val="1"/>
      <w:numFmt w:val="bullet"/>
      <w:lvlText w:val="•"/>
      <w:lvlJc w:val="left"/>
      <w:pPr>
        <w:ind w:left="1734" w:hanging="227"/>
      </w:pPr>
      <w:rPr>
        <w:rFonts w:hint="default"/>
      </w:rPr>
    </w:lvl>
    <w:lvl w:ilvl="3" w:tplc="E91A1CD8">
      <w:start w:val="1"/>
      <w:numFmt w:val="bullet"/>
      <w:lvlText w:val="•"/>
      <w:lvlJc w:val="left"/>
      <w:pPr>
        <w:ind w:left="2434" w:hanging="227"/>
      </w:pPr>
      <w:rPr>
        <w:rFonts w:hint="default"/>
      </w:rPr>
    </w:lvl>
    <w:lvl w:ilvl="4" w:tplc="CDD04690">
      <w:start w:val="1"/>
      <w:numFmt w:val="bullet"/>
      <w:lvlText w:val="•"/>
      <w:lvlJc w:val="left"/>
      <w:pPr>
        <w:ind w:left="3134" w:hanging="227"/>
      </w:pPr>
      <w:rPr>
        <w:rFonts w:hint="default"/>
      </w:rPr>
    </w:lvl>
    <w:lvl w:ilvl="5" w:tplc="8E9A32B8">
      <w:start w:val="1"/>
      <w:numFmt w:val="bullet"/>
      <w:lvlText w:val="•"/>
      <w:lvlJc w:val="left"/>
      <w:pPr>
        <w:ind w:left="3833" w:hanging="227"/>
      </w:pPr>
      <w:rPr>
        <w:rFonts w:hint="default"/>
      </w:rPr>
    </w:lvl>
    <w:lvl w:ilvl="6" w:tplc="3210F2D4">
      <w:start w:val="1"/>
      <w:numFmt w:val="bullet"/>
      <w:lvlText w:val="•"/>
      <w:lvlJc w:val="left"/>
      <w:pPr>
        <w:ind w:left="4533" w:hanging="227"/>
      </w:pPr>
      <w:rPr>
        <w:rFonts w:hint="default"/>
      </w:rPr>
    </w:lvl>
    <w:lvl w:ilvl="7" w:tplc="47CAA7FE">
      <w:start w:val="1"/>
      <w:numFmt w:val="bullet"/>
      <w:lvlText w:val="•"/>
      <w:lvlJc w:val="left"/>
      <w:pPr>
        <w:ind w:left="5233" w:hanging="227"/>
      </w:pPr>
      <w:rPr>
        <w:rFonts w:hint="default"/>
      </w:rPr>
    </w:lvl>
    <w:lvl w:ilvl="8" w:tplc="327E5516">
      <w:start w:val="1"/>
      <w:numFmt w:val="bullet"/>
      <w:lvlText w:val="•"/>
      <w:lvlJc w:val="left"/>
      <w:pPr>
        <w:ind w:left="5932" w:hanging="227"/>
      </w:pPr>
      <w:rPr>
        <w:rFonts w:hint="default"/>
      </w:rPr>
    </w:lvl>
  </w:abstractNum>
  <w:abstractNum w:abstractNumId="52">
    <w:nsid w:val="2FCE2A50"/>
    <w:multiLevelType w:val="hybridMultilevel"/>
    <w:tmpl w:val="0F348898"/>
    <w:lvl w:ilvl="0" w:tplc="99C82BF0">
      <w:start w:val="5"/>
      <w:numFmt w:val="decimal"/>
      <w:lvlText w:val="%1."/>
      <w:lvlJc w:val="left"/>
      <w:pPr>
        <w:ind w:left="2026" w:hanging="212"/>
      </w:pPr>
      <w:rPr>
        <w:rFonts w:ascii="Avenir Next" w:eastAsia="Avenir Next" w:hAnsi="Avenir Next" w:hint="default"/>
        <w:sz w:val="20"/>
        <w:szCs w:val="20"/>
      </w:rPr>
    </w:lvl>
    <w:lvl w:ilvl="1" w:tplc="02D03792">
      <w:start w:val="1"/>
      <w:numFmt w:val="bullet"/>
      <w:lvlText w:val="•"/>
      <w:lvlJc w:val="left"/>
      <w:pPr>
        <w:ind w:left="3014" w:hanging="212"/>
      </w:pPr>
      <w:rPr>
        <w:rFonts w:hint="default"/>
      </w:rPr>
    </w:lvl>
    <w:lvl w:ilvl="2" w:tplc="398E4D3A">
      <w:start w:val="1"/>
      <w:numFmt w:val="bullet"/>
      <w:lvlText w:val="•"/>
      <w:lvlJc w:val="left"/>
      <w:pPr>
        <w:ind w:left="4002" w:hanging="212"/>
      </w:pPr>
      <w:rPr>
        <w:rFonts w:hint="default"/>
      </w:rPr>
    </w:lvl>
    <w:lvl w:ilvl="3" w:tplc="FFF4E6BA">
      <w:start w:val="1"/>
      <w:numFmt w:val="bullet"/>
      <w:lvlText w:val="•"/>
      <w:lvlJc w:val="left"/>
      <w:pPr>
        <w:ind w:left="4990" w:hanging="212"/>
      </w:pPr>
      <w:rPr>
        <w:rFonts w:hint="default"/>
      </w:rPr>
    </w:lvl>
    <w:lvl w:ilvl="4" w:tplc="04B4AE96">
      <w:start w:val="1"/>
      <w:numFmt w:val="bullet"/>
      <w:lvlText w:val="•"/>
      <w:lvlJc w:val="left"/>
      <w:pPr>
        <w:ind w:left="5977" w:hanging="212"/>
      </w:pPr>
      <w:rPr>
        <w:rFonts w:hint="default"/>
      </w:rPr>
    </w:lvl>
    <w:lvl w:ilvl="5" w:tplc="3370D042">
      <w:start w:val="1"/>
      <w:numFmt w:val="bullet"/>
      <w:lvlText w:val="•"/>
      <w:lvlJc w:val="left"/>
      <w:pPr>
        <w:ind w:left="6965" w:hanging="212"/>
      </w:pPr>
      <w:rPr>
        <w:rFonts w:hint="default"/>
      </w:rPr>
    </w:lvl>
    <w:lvl w:ilvl="6" w:tplc="314A5432">
      <w:start w:val="1"/>
      <w:numFmt w:val="bullet"/>
      <w:lvlText w:val="•"/>
      <w:lvlJc w:val="left"/>
      <w:pPr>
        <w:ind w:left="7953" w:hanging="212"/>
      </w:pPr>
      <w:rPr>
        <w:rFonts w:hint="default"/>
      </w:rPr>
    </w:lvl>
    <w:lvl w:ilvl="7" w:tplc="852A01AE">
      <w:start w:val="1"/>
      <w:numFmt w:val="bullet"/>
      <w:lvlText w:val="•"/>
      <w:lvlJc w:val="left"/>
      <w:pPr>
        <w:ind w:left="8941" w:hanging="212"/>
      </w:pPr>
      <w:rPr>
        <w:rFonts w:hint="default"/>
      </w:rPr>
    </w:lvl>
    <w:lvl w:ilvl="8" w:tplc="E5B4E388">
      <w:start w:val="1"/>
      <w:numFmt w:val="bullet"/>
      <w:lvlText w:val="•"/>
      <w:lvlJc w:val="left"/>
      <w:pPr>
        <w:ind w:left="9929" w:hanging="212"/>
      </w:pPr>
      <w:rPr>
        <w:rFonts w:hint="default"/>
      </w:rPr>
    </w:lvl>
  </w:abstractNum>
  <w:abstractNum w:abstractNumId="53">
    <w:nsid w:val="312647B1"/>
    <w:multiLevelType w:val="hybridMultilevel"/>
    <w:tmpl w:val="476A2078"/>
    <w:lvl w:ilvl="0" w:tplc="E7DEF478">
      <w:start w:val="1"/>
      <w:numFmt w:val="bullet"/>
      <w:lvlText w:val="•"/>
      <w:lvlJc w:val="left"/>
      <w:pPr>
        <w:ind w:left="396" w:hanging="227"/>
      </w:pPr>
      <w:rPr>
        <w:rFonts w:ascii="Avenir Next Condensed" w:eastAsia="Avenir Next Condensed" w:hAnsi="Avenir Next Condensed" w:hint="default"/>
        <w:sz w:val="20"/>
        <w:szCs w:val="20"/>
      </w:rPr>
    </w:lvl>
    <w:lvl w:ilvl="1" w:tplc="67A6C268">
      <w:start w:val="1"/>
      <w:numFmt w:val="bullet"/>
      <w:lvlText w:val="•"/>
      <w:lvlJc w:val="left"/>
      <w:pPr>
        <w:ind w:left="1298" w:hanging="227"/>
      </w:pPr>
      <w:rPr>
        <w:rFonts w:hint="default"/>
      </w:rPr>
    </w:lvl>
    <w:lvl w:ilvl="2" w:tplc="C11CFCEC">
      <w:start w:val="1"/>
      <w:numFmt w:val="bullet"/>
      <w:lvlText w:val="•"/>
      <w:lvlJc w:val="left"/>
      <w:pPr>
        <w:ind w:left="2199" w:hanging="227"/>
      </w:pPr>
      <w:rPr>
        <w:rFonts w:hint="default"/>
      </w:rPr>
    </w:lvl>
    <w:lvl w:ilvl="3" w:tplc="8CEE1F8E">
      <w:start w:val="1"/>
      <w:numFmt w:val="bullet"/>
      <w:lvlText w:val="•"/>
      <w:lvlJc w:val="left"/>
      <w:pPr>
        <w:ind w:left="3101" w:hanging="227"/>
      </w:pPr>
      <w:rPr>
        <w:rFonts w:hint="default"/>
      </w:rPr>
    </w:lvl>
    <w:lvl w:ilvl="4" w:tplc="0A84BC14">
      <w:start w:val="1"/>
      <w:numFmt w:val="bullet"/>
      <w:lvlText w:val="•"/>
      <w:lvlJc w:val="left"/>
      <w:pPr>
        <w:ind w:left="4002" w:hanging="227"/>
      </w:pPr>
      <w:rPr>
        <w:rFonts w:hint="default"/>
      </w:rPr>
    </w:lvl>
    <w:lvl w:ilvl="5" w:tplc="F0BAA2B0">
      <w:start w:val="1"/>
      <w:numFmt w:val="bullet"/>
      <w:lvlText w:val="•"/>
      <w:lvlJc w:val="left"/>
      <w:pPr>
        <w:ind w:left="4903" w:hanging="227"/>
      </w:pPr>
      <w:rPr>
        <w:rFonts w:hint="default"/>
      </w:rPr>
    </w:lvl>
    <w:lvl w:ilvl="6" w:tplc="C136BE18">
      <w:start w:val="1"/>
      <w:numFmt w:val="bullet"/>
      <w:lvlText w:val="•"/>
      <w:lvlJc w:val="left"/>
      <w:pPr>
        <w:ind w:left="5805" w:hanging="227"/>
      </w:pPr>
      <w:rPr>
        <w:rFonts w:hint="default"/>
      </w:rPr>
    </w:lvl>
    <w:lvl w:ilvl="7" w:tplc="2CBA59A6">
      <w:start w:val="1"/>
      <w:numFmt w:val="bullet"/>
      <w:lvlText w:val="•"/>
      <w:lvlJc w:val="left"/>
      <w:pPr>
        <w:ind w:left="6706" w:hanging="227"/>
      </w:pPr>
      <w:rPr>
        <w:rFonts w:hint="default"/>
      </w:rPr>
    </w:lvl>
    <w:lvl w:ilvl="8" w:tplc="D2885A30">
      <w:start w:val="1"/>
      <w:numFmt w:val="bullet"/>
      <w:lvlText w:val="•"/>
      <w:lvlJc w:val="left"/>
      <w:pPr>
        <w:ind w:left="7608" w:hanging="227"/>
      </w:pPr>
      <w:rPr>
        <w:rFonts w:hint="default"/>
      </w:rPr>
    </w:lvl>
  </w:abstractNum>
  <w:abstractNum w:abstractNumId="54">
    <w:nsid w:val="32411DB0"/>
    <w:multiLevelType w:val="hybridMultilevel"/>
    <w:tmpl w:val="2CECD0BE"/>
    <w:lvl w:ilvl="0" w:tplc="8F5A1806">
      <w:start w:val="1"/>
      <w:numFmt w:val="decimal"/>
      <w:lvlText w:val="%1."/>
      <w:lvlJc w:val="left"/>
      <w:pPr>
        <w:ind w:left="1587" w:hanging="341"/>
      </w:pPr>
      <w:rPr>
        <w:rFonts w:ascii="Avenir Next" w:eastAsia="Avenir Next" w:hAnsi="Avenir Next" w:hint="default"/>
        <w:sz w:val="20"/>
        <w:szCs w:val="20"/>
      </w:rPr>
    </w:lvl>
    <w:lvl w:ilvl="1" w:tplc="07DCECCE">
      <w:start w:val="1"/>
      <w:numFmt w:val="bullet"/>
      <w:lvlText w:val="•"/>
      <w:lvlJc w:val="left"/>
      <w:pPr>
        <w:ind w:left="2619" w:hanging="341"/>
      </w:pPr>
      <w:rPr>
        <w:rFonts w:hint="default"/>
      </w:rPr>
    </w:lvl>
    <w:lvl w:ilvl="2" w:tplc="21A2ABDC">
      <w:start w:val="1"/>
      <w:numFmt w:val="bullet"/>
      <w:lvlText w:val="•"/>
      <w:lvlJc w:val="left"/>
      <w:pPr>
        <w:ind w:left="3651" w:hanging="341"/>
      </w:pPr>
      <w:rPr>
        <w:rFonts w:hint="default"/>
      </w:rPr>
    </w:lvl>
    <w:lvl w:ilvl="3" w:tplc="9E4E7C7A">
      <w:start w:val="1"/>
      <w:numFmt w:val="bullet"/>
      <w:lvlText w:val="•"/>
      <w:lvlJc w:val="left"/>
      <w:pPr>
        <w:ind w:left="4682" w:hanging="341"/>
      </w:pPr>
      <w:rPr>
        <w:rFonts w:hint="default"/>
      </w:rPr>
    </w:lvl>
    <w:lvl w:ilvl="4" w:tplc="F5F67814">
      <w:start w:val="1"/>
      <w:numFmt w:val="bullet"/>
      <w:lvlText w:val="•"/>
      <w:lvlJc w:val="left"/>
      <w:pPr>
        <w:ind w:left="5714" w:hanging="341"/>
      </w:pPr>
      <w:rPr>
        <w:rFonts w:hint="default"/>
      </w:rPr>
    </w:lvl>
    <w:lvl w:ilvl="5" w:tplc="14100C9A">
      <w:start w:val="1"/>
      <w:numFmt w:val="bullet"/>
      <w:lvlText w:val="•"/>
      <w:lvlJc w:val="left"/>
      <w:pPr>
        <w:ind w:left="6746" w:hanging="341"/>
      </w:pPr>
      <w:rPr>
        <w:rFonts w:hint="default"/>
      </w:rPr>
    </w:lvl>
    <w:lvl w:ilvl="6" w:tplc="D23A81C8">
      <w:start w:val="1"/>
      <w:numFmt w:val="bullet"/>
      <w:lvlText w:val="•"/>
      <w:lvlJc w:val="left"/>
      <w:pPr>
        <w:ind w:left="7778" w:hanging="341"/>
      </w:pPr>
      <w:rPr>
        <w:rFonts w:hint="default"/>
      </w:rPr>
    </w:lvl>
    <w:lvl w:ilvl="7" w:tplc="35A44260">
      <w:start w:val="1"/>
      <w:numFmt w:val="bullet"/>
      <w:lvlText w:val="•"/>
      <w:lvlJc w:val="left"/>
      <w:pPr>
        <w:ind w:left="8810" w:hanging="341"/>
      </w:pPr>
      <w:rPr>
        <w:rFonts w:hint="default"/>
      </w:rPr>
    </w:lvl>
    <w:lvl w:ilvl="8" w:tplc="A9EA0096">
      <w:start w:val="1"/>
      <w:numFmt w:val="bullet"/>
      <w:lvlText w:val="•"/>
      <w:lvlJc w:val="left"/>
      <w:pPr>
        <w:ind w:left="9841" w:hanging="341"/>
      </w:pPr>
      <w:rPr>
        <w:rFonts w:hint="default"/>
      </w:rPr>
    </w:lvl>
  </w:abstractNum>
  <w:abstractNum w:abstractNumId="55">
    <w:nsid w:val="332D153D"/>
    <w:multiLevelType w:val="hybridMultilevel"/>
    <w:tmpl w:val="F28200C8"/>
    <w:lvl w:ilvl="0" w:tplc="532A0024">
      <w:start w:val="6"/>
      <w:numFmt w:val="decimal"/>
      <w:lvlText w:val="%1."/>
      <w:lvlJc w:val="left"/>
      <w:pPr>
        <w:ind w:left="2026" w:hanging="212"/>
      </w:pPr>
      <w:rPr>
        <w:rFonts w:ascii="Avenir Next" w:eastAsia="Avenir Next" w:hAnsi="Avenir Next" w:hint="default"/>
        <w:sz w:val="20"/>
        <w:szCs w:val="20"/>
      </w:rPr>
    </w:lvl>
    <w:lvl w:ilvl="1" w:tplc="C1880C92">
      <w:start w:val="1"/>
      <w:numFmt w:val="bullet"/>
      <w:lvlText w:val="•"/>
      <w:lvlJc w:val="left"/>
      <w:pPr>
        <w:ind w:left="3014" w:hanging="212"/>
      </w:pPr>
      <w:rPr>
        <w:rFonts w:hint="default"/>
      </w:rPr>
    </w:lvl>
    <w:lvl w:ilvl="2" w:tplc="9742332C">
      <w:start w:val="1"/>
      <w:numFmt w:val="bullet"/>
      <w:lvlText w:val="•"/>
      <w:lvlJc w:val="left"/>
      <w:pPr>
        <w:ind w:left="4002" w:hanging="212"/>
      </w:pPr>
      <w:rPr>
        <w:rFonts w:hint="default"/>
      </w:rPr>
    </w:lvl>
    <w:lvl w:ilvl="3" w:tplc="89FE3866">
      <w:start w:val="1"/>
      <w:numFmt w:val="bullet"/>
      <w:lvlText w:val="•"/>
      <w:lvlJc w:val="left"/>
      <w:pPr>
        <w:ind w:left="4990" w:hanging="212"/>
      </w:pPr>
      <w:rPr>
        <w:rFonts w:hint="default"/>
      </w:rPr>
    </w:lvl>
    <w:lvl w:ilvl="4" w:tplc="09C40F1C">
      <w:start w:val="1"/>
      <w:numFmt w:val="bullet"/>
      <w:lvlText w:val="•"/>
      <w:lvlJc w:val="left"/>
      <w:pPr>
        <w:ind w:left="5977" w:hanging="212"/>
      </w:pPr>
      <w:rPr>
        <w:rFonts w:hint="default"/>
      </w:rPr>
    </w:lvl>
    <w:lvl w:ilvl="5" w:tplc="0F3CBF2E">
      <w:start w:val="1"/>
      <w:numFmt w:val="bullet"/>
      <w:lvlText w:val="•"/>
      <w:lvlJc w:val="left"/>
      <w:pPr>
        <w:ind w:left="6965" w:hanging="212"/>
      </w:pPr>
      <w:rPr>
        <w:rFonts w:hint="default"/>
      </w:rPr>
    </w:lvl>
    <w:lvl w:ilvl="6" w:tplc="EEB6564E">
      <w:start w:val="1"/>
      <w:numFmt w:val="bullet"/>
      <w:lvlText w:val="•"/>
      <w:lvlJc w:val="left"/>
      <w:pPr>
        <w:ind w:left="7953" w:hanging="212"/>
      </w:pPr>
      <w:rPr>
        <w:rFonts w:hint="default"/>
      </w:rPr>
    </w:lvl>
    <w:lvl w:ilvl="7" w:tplc="5E3470D2">
      <w:start w:val="1"/>
      <w:numFmt w:val="bullet"/>
      <w:lvlText w:val="•"/>
      <w:lvlJc w:val="left"/>
      <w:pPr>
        <w:ind w:left="8941" w:hanging="212"/>
      </w:pPr>
      <w:rPr>
        <w:rFonts w:hint="default"/>
      </w:rPr>
    </w:lvl>
    <w:lvl w:ilvl="8" w:tplc="80584B34">
      <w:start w:val="1"/>
      <w:numFmt w:val="bullet"/>
      <w:lvlText w:val="•"/>
      <w:lvlJc w:val="left"/>
      <w:pPr>
        <w:ind w:left="9929" w:hanging="212"/>
      </w:pPr>
      <w:rPr>
        <w:rFonts w:hint="default"/>
      </w:rPr>
    </w:lvl>
  </w:abstractNum>
  <w:abstractNum w:abstractNumId="56">
    <w:nsid w:val="33364F31"/>
    <w:multiLevelType w:val="hybridMultilevel"/>
    <w:tmpl w:val="8658821C"/>
    <w:lvl w:ilvl="0" w:tplc="07467D92">
      <w:start w:val="1"/>
      <w:numFmt w:val="bullet"/>
      <w:lvlText w:val="•"/>
      <w:lvlJc w:val="left"/>
      <w:pPr>
        <w:ind w:left="335" w:hanging="227"/>
      </w:pPr>
      <w:rPr>
        <w:rFonts w:ascii="Avenir Next Condensed" w:eastAsia="Avenir Next Condensed" w:hAnsi="Avenir Next Condensed" w:hint="default"/>
        <w:sz w:val="18"/>
        <w:szCs w:val="18"/>
      </w:rPr>
    </w:lvl>
    <w:lvl w:ilvl="1" w:tplc="BBC4D7F2">
      <w:start w:val="1"/>
      <w:numFmt w:val="bullet"/>
      <w:lvlText w:val="•"/>
      <w:lvlJc w:val="left"/>
      <w:pPr>
        <w:ind w:left="1148" w:hanging="227"/>
      </w:pPr>
      <w:rPr>
        <w:rFonts w:hint="default"/>
      </w:rPr>
    </w:lvl>
    <w:lvl w:ilvl="2" w:tplc="DCBEF0EC">
      <w:start w:val="1"/>
      <w:numFmt w:val="bullet"/>
      <w:lvlText w:val="•"/>
      <w:lvlJc w:val="left"/>
      <w:pPr>
        <w:ind w:left="1962" w:hanging="227"/>
      </w:pPr>
      <w:rPr>
        <w:rFonts w:hint="default"/>
      </w:rPr>
    </w:lvl>
    <w:lvl w:ilvl="3" w:tplc="15EE8BFA">
      <w:start w:val="1"/>
      <w:numFmt w:val="bullet"/>
      <w:lvlText w:val="•"/>
      <w:lvlJc w:val="left"/>
      <w:pPr>
        <w:ind w:left="2775" w:hanging="227"/>
      </w:pPr>
      <w:rPr>
        <w:rFonts w:hint="default"/>
      </w:rPr>
    </w:lvl>
    <w:lvl w:ilvl="4" w:tplc="95067690">
      <w:start w:val="1"/>
      <w:numFmt w:val="bullet"/>
      <w:lvlText w:val="•"/>
      <w:lvlJc w:val="left"/>
      <w:pPr>
        <w:ind w:left="3589" w:hanging="227"/>
      </w:pPr>
      <w:rPr>
        <w:rFonts w:hint="default"/>
      </w:rPr>
    </w:lvl>
    <w:lvl w:ilvl="5" w:tplc="129C3222">
      <w:start w:val="1"/>
      <w:numFmt w:val="bullet"/>
      <w:lvlText w:val="•"/>
      <w:lvlJc w:val="left"/>
      <w:pPr>
        <w:ind w:left="4402" w:hanging="227"/>
      </w:pPr>
      <w:rPr>
        <w:rFonts w:hint="default"/>
      </w:rPr>
    </w:lvl>
    <w:lvl w:ilvl="6" w:tplc="9698F02A">
      <w:start w:val="1"/>
      <w:numFmt w:val="bullet"/>
      <w:lvlText w:val="•"/>
      <w:lvlJc w:val="left"/>
      <w:pPr>
        <w:ind w:left="5216" w:hanging="227"/>
      </w:pPr>
      <w:rPr>
        <w:rFonts w:hint="default"/>
      </w:rPr>
    </w:lvl>
    <w:lvl w:ilvl="7" w:tplc="22160970">
      <w:start w:val="1"/>
      <w:numFmt w:val="bullet"/>
      <w:lvlText w:val="•"/>
      <w:lvlJc w:val="left"/>
      <w:pPr>
        <w:ind w:left="6029" w:hanging="227"/>
      </w:pPr>
      <w:rPr>
        <w:rFonts w:hint="default"/>
      </w:rPr>
    </w:lvl>
    <w:lvl w:ilvl="8" w:tplc="5D40FEEC">
      <w:start w:val="1"/>
      <w:numFmt w:val="bullet"/>
      <w:lvlText w:val="•"/>
      <w:lvlJc w:val="left"/>
      <w:pPr>
        <w:ind w:left="6843" w:hanging="227"/>
      </w:pPr>
      <w:rPr>
        <w:rFonts w:hint="default"/>
      </w:rPr>
    </w:lvl>
  </w:abstractNum>
  <w:abstractNum w:abstractNumId="57">
    <w:nsid w:val="33627D08"/>
    <w:multiLevelType w:val="multilevel"/>
    <w:tmpl w:val="D426351E"/>
    <w:lvl w:ilvl="0">
      <w:start w:val="1"/>
      <w:numFmt w:val="decimal"/>
      <w:lvlText w:val="%1"/>
      <w:lvlJc w:val="left"/>
      <w:pPr>
        <w:ind w:left="2097" w:hanging="851"/>
      </w:pPr>
      <w:rPr>
        <w:rFonts w:hint="default"/>
      </w:rPr>
    </w:lvl>
    <w:lvl w:ilvl="1">
      <w:start w:val="4"/>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58">
    <w:nsid w:val="342F1B37"/>
    <w:multiLevelType w:val="multilevel"/>
    <w:tmpl w:val="2BCC9EDE"/>
    <w:lvl w:ilvl="0">
      <w:start w:val="6"/>
      <w:numFmt w:val="decimal"/>
      <w:lvlText w:val="%1"/>
      <w:lvlJc w:val="left"/>
      <w:pPr>
        <w:ind w:left="2097" w:hanging="851"/>
      </w:pPr>
      <w:rPr>
        <w:rFonts w:hint="default"/>
      </w:rPr>
    </w:lvl>
    <w:lvl w:ilvl="1">
      <w:start w:val="4"/>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decimal"/>
      <w:lvlText w:val="%1.%2.%3.%4"/>
      <w:lvlJc w:val="left"/>
      <w:pPr>
        <w:ind w:left="1247" w:hanging="964"/>
      </w:pPr>
      <w:rPr>
        <w:rFonts w:ascii="Avenir Next" w:eastAsia="Avenir Next" w:hAnsi="Avenir Next" w:hint="default"/>
        <w:b/>
        <w:bCs/>
        <w:color w:val="0778BE"/>
        <w:sz w:val="22"/>
        <w:szCs w:val="22"/>
      </w:rPr>
    </w:lvl>
    <w:lvl w:ilvl="4">
      <w:start w:val="1"/>
      <w:numFmt w:val="bullet"/>
      <w:lvlText w:val="•"/>
      <w:lvlJc w:val="left"/>
      <w:pPr>
        <w:ind w:left="5366" w:hanging="964"/>
      </w:pPr>
      <w:rPr>
        <w:rFonts w:hint="default"/>
      </w:rPr>
    </w:lvl>
    <w:lvl w:ilvl="5">
      <w:start w:val="1"/>
      <w:numFmt w:val="bullet"/>
      <w:lvlText w:val="•"/>
      <w:lvlJc w:val="left"/>
      <w:pPr>
        <w:ind w:left="6456" w:hanging="964"/>
      </w:pPr>
      <w:rPr>
        <w:rFonts w:hint="default"/>
      </w:rPr>
    </w:lvl>
    <w:lvl w:ilvl="6">
      <w:start w:val="1"/>
      <w:numFmt w:val="bullet"/>
      <w:lvlText w:val="•"/>
      <w:lvlJc w:val="left"/>
      <w:pPr>
        <w:ind w:left="7546" w:hanging="964"/>
      </w:pPr>
      <w:rPr>
        <w:rFonts w:hint="default"/>
      </w:rPr>
    </w:lvl>
    <w:lvl w:ilvl="7">
      <w:start w:val="1"/>
      <w:numFmt w:val="bullet"/>
      <w:lvlText w:val="•"/>
      <w:lvlJc w:val="left"/>
      <w:pPr>
        <w:ind w:left="8636" w:hanging="964"/>
      </w:pPr>
      <w:rPr>
        <w:rFonts w:hint="default"/>
      </w:rPr>
    </w:lvl>
    <w:lvl w:ilvl="8">
      <w:start w:val="1"/>
      <w:numFmt w:val="bullet"/>
      <w:lvlText w:val="•"/>
      <w:lvlJc w:val="left"/>
      <w:pPr>
        <w:ind w:left="9725" w:hanging="964"/>
      </w:pPr>
      <w:rPr>
        <w:rFonts w:hint="default"/>
      </w:rPr>
    </w:lvl>
  </w:abstractNum>
  <w:abstractNum w:abstractNumId="59">
    <w:nsid w:val="348507FE"/>
    <w:multiLevelType w:val="hybridMultilevel"/>
    <w:tmpl w:val="83560DD0"/>
    <w:lvl w:ilvl="0" w:tplc="351E1946">
      <w:start w:val="7"/>
      <w:numFmt w:val="decimal"/>
      <w:lvlText w:val="%1."/>
      <w:lvlJc w:val="left"/>
      <w:pPr>
        <w:ind w:left="1569" w:hanging="323"/>
      </w:pPr>
      <w:rPr>
        <w:rFonts w:ascii="Avenir Next Medium" w:eastAsia="Avenir Next Medium" w:hAnsi="Avenir Next Medium" w:hint="default"/>
        <w:color w:val="0778BE"/>
        <w:sz w:val="30"/>
        <w:szCs w:val="30"/>
      </w:rPr>
    </w:lvl>
    <w:lvl w:ilvl="1" w:tplc="ECE8FD64">
      <w:start w:val="1"/>
      <w:numFmt w:val="bullet"/>
      <w:lvlText w:val="•"/>
      <w:lvlJc w:val="left"/>
      <w:pPr>
        <w:ind w:left="2603" w:hanging="323"/>
      </w:pPr>
      <w:rPr>
        <w:rFonts w:hint="default"/>
      </w:rPr>
    </w:lvl>
    <w:lvl w:ilvl="2" w:tplc="874E5A26">
      <w:start w:val="1"/>
      <w:numFmt w:val="bullet"/>
      <w:lvlText w:val="•"/>
      <w:lvlJc w:val="left"/>
      <w:pPr>
        <w:ind w:left="3636" w:hanging="323"/>
      </w:pPr>
      <w:rPr>
        <w:rFonts w:hint="default"/>
      </w:rPr>
    </w:lvl>
    <w:lvl w:ilvl="3" w:tplc="E3E09946">
      <w:start w:val="1"/>
      <w:numFmt w:val="bullet"/>
      <w:lvlText w:val="•"/>
      <w:lvlJc w:val="left"/>
      <w:pPr>
        <w:ind w:left="4670" w:hanging="323"/>
      </w:pPr>
      <w:rPr>
        <w:rFonts w:hint="default"/>
      </w:rPr>
    </w:lvl>
    <w:lvl w:ilvl="4" w:tplc="A63E40BC">
      <w:start w:val="1"/>
      <w:numFmt w:val="bullet"/>
      <w:lvlText w:val="•"/>
      <w:lvlJc w:val="left"/>
      <w:pPr>
        <w:ind w:left="5704" w:hanging="323"/>
      </w:pPr>
      <w:rPr>
        <w:rFonts w:hint="default"/>
      </w:rPr>
    </w:lvl>
    <w:lvl w:ilvl="5" w:tplc="DA8E0314">
      <w:start w:val="1"/>
      <w:numFmt w:val="bullet"/>
      <w:lvlText w:val="•"/>
      <w:lvlJc w:val="left"/>
      <w:pPr>
        <w:ind w:left="6737" w:hanging="323"/>
      </w:pPr>
      <w:rPr>
        <w:rFonts w:hint="default"/>
      </w:rPr>
    </w:lvl>
    <w:lvl w:ilvl="6" w:tplc="4EDE0332">
      <w:start w:val="1"/>
      <w:numFmt w:val="bullet"/>
      <w:lvlText w:val="•"/>
      <w:lvlJc w:val="left"/>
      <w:pPr>
        <w:ind w:left="7771" w:hanging="323"/>
      </w:pPr>
      <w:rPr>
        <w:rFonts w:hint="default"/>
      </w:rPr>
    </w:lvl>
    <w:lvl w:ilvl="7" w:tplc="FDDA5B84">
      <w:start w:val="1"/>
      <w:numFmt w:val="bullet"/>
      <w:lvlText w:val="•"/>
      <w:lvlJc w:val="left"/>
      <w:pPr>
        <w:ind w:left="8804" w:hanging="323"/>
      </w:pPr>
      <w:rPr>
        <w:rFonts w:hint="default"/>
      </w:rPr>
    </w:lvl>
    <w:lvl w:ilvl="8" w:tplc="6096D6D2">
      <w:start w:val="1"/>
      <w:numFmt w:val="bullet"/>
      <w:lvlText w:val="•"/>
      <w:lvlJc w:val="left"/>
      <w:pPr>
        <w:ind w:left="9838" w:hanging="323"/>
      </w:pPr>
      <w:rPr>
        <w:rFonts w:hint="default"/>
      </w:rPr>
    </w:lvl>
  </w:abstractNum>
  <w:abstractNum w:abstractNumId="60">
    <w:nsid w:val="38861E43"/>
    <w:multiLevelType w:val="hybridMultilevel"/>
    <w:tmpl w:val="57723C38"/>
    <w:lvl w:ilvl="0" w:tplc="9FB8F7C8">
      <w:start w:val="1"/>
      <w:numFmt w:val="lowerLetter"/>
      <w:lvlText w:val="(%1)"/>
      <w:lvlJc w:val="left"/>
      <w:pPr>
        <w:ind w:left="1587" w:hanging="341"/>
      </w:pPr>
      <w:rPr>
        <w:rFonts w:ascii="Avenir Next" w:eastAsia="Avenir Next" w:hAnsi="Avenir Next" w:hint="default"/>
        <w:sz w:val="20"/>
        <w:szCs w:val="20"/>
      </w:rPr>
    </w:lvl>
    <w:lvl w:ilvl="1" w:tplc="731A1156">
      <w:start w:val="1"/>
      <w:numFmt w:val="bullet"/>
      <w:lvlText w:val="•"/>
      <w:lvlJc w:val="left"/>
      <w:pPr>
        <w:ind w:left="2619" w:hanging="341"/>
      </w:pPr>
      <w:rPr>
        <w:rFonts w:hint="default"/>
      </w:rPr>
    </w:lvl>
    <w:lvl w:ilvl="2" w:tplc="54C8F048">
      <w:start w:val="1"/>
      <w:numFmt w:val="bullet"/>
      <w:lvlText w:val="•"/>
      <w:lvlJc w:val="left"/>
      <w:pPr>
        <w:ind w:left="3651" w:hanging="341"/>
      </w:pPr>
      <w:rPr>
        <w:rFonts w:hint="default"/>
      </w:rPr>
    </w:lvl>
    <w:lvl w:ilvl="3" w:tplc="B3C66AC4">
      <w:start w:val="1"/>
      <w:numFmt w:val="bullet"/>
      <w:lvlText w:val="•"/>
      <w:lvlJc w:val="left"/>
      <w:pPr>
        <w:ind w:left="4682" w:hanging="341"/>
      </w:pPr>
      <w:rPr>
        <w:rFonts w:hint="default"/>
      </w:rPr>
    </w:lvl>
    <w:lvl w:ilvl="4" w:tplc="709ECB26">
      <w:start w:val="1"/>
      <w:numFmt w:val="bullet"/>
      <w:lvlText w:val="•"/>
      <w:lvlJc w:val="left"/>
      <w:pPr>
        <w:ind w:left="5714" w:hanging="341"/>
      </w:pPr>
      <w:rPr>
        <w:rFonts w:hint="default"/>
      </w:rPr>
    </w:lvl>
    <w:lvl w:ilvl="5" w:tplc="12E2D18A">
      <w:start w:val="1"/>
      <w:numFmt w:val="bullet"/>
      <w:lvlText w:val="•"/>
      <w:lvlJc w:val="left"/>
      <w:pPr>
        <w:ind w:left="6746" w:hanging="341"/>
      </w:pPr>
      <w:rPr>
        <w:rFonts w:hint="default"/>
      </w:rPr>
    </w:lvl>
    <w:lvl w:ilvl="6" w:tplc="1294F7A8">
      <w:start w:val="1"/>
      <w:numFmt w:val="bullet"/>
      <w:lvlText w:val="•"/>
      <w:lvlJc w:val="left"/>
      <w:pPr>
        <w:ind w:left="7778" w:hanging="341"/>
      </w:pPr>
      <w:rPr>
        <w:rFonts w:hint="default"/>
      </w:rPr>
    </w:lvl>
    <w:lvl w:ilvl="7" w:tplc="814E0D10">
      <w:start w:val="1"/>
      <w:numFmt w:val="bullet"/>
      <w:lvlText w:val="•"/>
      <w:lvlJc w:val="left"/>
      <w:pPr>
        <w:ind w:left="8810" w:hanging="341"/>
      </w:pPr>
      <w:rPr>
        <w:rFonts w:hint="default"/>
      </w:rPr>
    </w:lvl>
    <w:lvl w:ilvl="8" w:tplc="A53C739E">
      <w:start w:val="1"/>
      <w:numFmt w:val="bullet"/>
      <w:lvlText w:val="•"/>
      <w:lvlJc w:val="left"/>
      <w:pPr>
        <w:ind w:left="9841" w:hanging="341"/>
      </w:pPr>
      <w:rPr>
        <w:rFonts w:hint="default"/>
      </w:rPr>
    </w:lvl>
  </w:abstractNum>
  <w:abstractNum w:abstractNumId="61">
    <w:nsid w:val="39390B2F"/>
    <w:multiLevelType w:val="hybridMultilevel"/>
    <w:tmpl w:val="7B3ACD90"/>
    <w:lvl w:ilvl="0" w:tplc="BE50B8FE">
      <w:start w:val="1"/>
      <w:numFmt w:val="decimal"/>
      <w:lvlText w:val="%1"/>
      <w:lvlJc w:val="left"/>
      <w:pPr>
        <w:ind w:left="1814" w:hanging="567"/>
      </w:pPr>
      <w:rPr>
        <w:rFonts w:ascii="Avenir Next" w:eastAsia="Avenir Next" w:hAnsi="Avenir Next" w:hint="default"/>
        <w:b/>
        <w:bCs/>
        <w:sz w:val="20"/>
        <w:szCs w:val="20"/>
      </w:rPr>
    </w:lvl>
    <w:lvl w:ilvl="1" w:tplc="86504DAA">
      <w:start w:val="1"/>
      <w:numFmt w:val="decimal"/>
      <w:lvlText w:val="%2."/>
      <w:lvlJc w:val="left"/>
      <w:pPr>
        <w:ind w:left="2026" w:hanging="212"/>
      </w:pPr>
      <w:rPr>
        <w:rFonts w:ascii="Avenir Next" w:eastAsia="Avenir Next" w:hAnsi="Avenir Next" w:hint="default"/>
        <w:sz w:val="20"/>
        <w:szCs w:val="20"/>
      </w:rPr>
    </w:lvl>
    <w:lvl w:ilvl="2" w:tplc="D18A53A0">
      <w:start w:val="1"/>
      <w:numFmt w:val="bullet"/>
      <w:lvlText w:val="•"/>
      <w:lvlJc w:val="left"/>
      <w:pPr>
        <w:ind w:left="3123" w:hanging="212"/>
      </w:pPr>
      <w:rPr>
        <w:rFonts w:hint="default"/>
      </w:rPr>
    </w:lvl>
    <w:lvl w:ilvl="3" w:tplc="B122F01A">
      <w:start w:val="1"/>
      <w:numFmt w:val="bullet"/>
      <w:lvlText w:val="•"/>
      <w:lvlJc w:val="left"/>
      <w:pPr>
        <w:ind w:left="4221" w:hanging="212"/>
      </w:pPr>
      <w:rPr>
        <w:rFonts w:hint="default"/>
      </w:rPr>
    </w:lvl>
    <w:lvl w:ilvl="4" w:tplc="BB2042B4">
      <w:start w:val="1"/>
      <w:numFmt w:val="bullet"/>
      <w:lvlText w:val="•"/>
      <w:lvlJc w:val="left"/>
      <w:pPr>
        <w:ind w:left="5319" w:hanging="212"/>
      </w:pPr>
      <w:rPr>
        <w:rFonts w:hint="default"/>
      </w:rPr>
    </w:lvl>
    <w:lvl w:ilvl="5" w:tplc="44A4C16E">
      <w:start w:val="1"/>
      <w:numFmt w:val="bullet"/>
      <w:lvlText w:val="•"/>
      <w:lvlJc w:val="left"/>
      <w:pPr>
        <w:ind w:left="6417" w:hanging="212"/>
      </w:pPr>
      <w:rPr>
        <w:rFonts w:hint="default"/>
      </w:rPr>
    </w:lvl>
    <w:lvl w:ilvl="6" w:tplc="4C1C2836">
      <w:start w:val="1"/>
      <w:numFmt w:val="bullet"/>
      <w:lvlText w:val="•"/>
      <w:lvlJc w:val="left"/>
      <w:pPr>
        <w:ind w:left="7514" w:hanging="212"/>
      </w:pPr>
      <w:rPr>
        <w:rFonts w:hint="default"/>
      </w:rPr>
    </w:lvl>
    <w:lvl w:ilvl="7" w:tplc="07767CA8">
      <w:start w:val="1"/>
      <w:numFmt w:val="bullet"/>
      <w:lvlText w:val="•"/>
      <w:lvlJc w:val="left"/>
      <w:pPr>
        <w:ind w:left="8612" w:hanging="212"/>
      </w:pPr>
      <w:rPr>
        <w:rFonts w:hint="default"/>
      </w:rPr>
    </w:lvl>
    <w:lvl w:ilvl="8" w:tplc="ABC0796C">
      <w:start w:val="1"/>
      <w:numFmt w:val="bullet"/>
      <w:lvlText w:val="•"/>
      <w:lvlJc w:val="left"/>
      <w:pPr>
        <w:ind w:left="9710" w:hanging="212"/>
      </w:pPr>
      <w:rPr>
        <w:rFonts w:hint="default"/>
      </w:rPr>
    </w:lvl>
  </w:abstractNum>
  <w:abstractNum w:abstractNumId="62">
    <w:nsid w:val="3B8F1261"/>
    <w:multiLevelType w:val="hybridMultilevel"/>
    <w:tmpl w:val="695698D2"/>
    <w:lvl w:ilvl="0" w:tplc="3EC6BE2A">
      <w:start w:val="156"/>
      <w:numFmt w:val="decimal"/>
      <w:lvlText w:val="%1"/>
      <w:lvlJc w:val="left"/>
      <w:pPr>
        <w:ind w:left="1757" w:hanging="511"/>
      </w:pPr>
      <w:rPr>
        <w:rFonts w:ascii="Avenir Next" w:eastAsia="Avenir Next" w:hAnsi="Avenir Next" w:hint="default"/>
        <w:sz w:val="16"/>
        <w:szCs w:val="16"/>
      </w:rPr>
    </w:lvl>
    <w:lvl w:ilvl="1" w:tplc="F0160AFA">
      <w:start w:val="1"/>
      <w:numFmt w:val="bullet"/>
      <w:lvlText w:val="•"/>
      <w:lvlJc w:val="left"/>
      <w:pPr>
        <w:ind w:left="2772" w:hanging="511"/>
      </w:pPr>
      <w:rPr>
        <w:rFonts w:hint="default"/>
      </w:rPr>
    </w:lvl>
    <w:lvl w:ilvl="2" w:tplc="63B81F92">
      <w:start w:val="1"/>
      <w:numFmt w:val="bullet"/>
      <w:lvlText w:val="•"/>
      <w:lvlJc w:val="left"/>
      <w:pPr>
        <w:ind w:left="3787" w:hanging="511"/>
      </w:pPr>
      <w:rPr>
        <w:rFonts w:hint="default"/>
      </w:rPr>
    </w:lvl>
    <w:lvl w:ilvl="3" w:tplc="AF749590">
      <w:start w:val="1"/>
      <w:numFmt w:val="bullet"/>
      <w:lvlText w:val="•"/>
      <w:lvlJc w:val="left"/>
      <w:pPr>
        <w:ind w:left="4801" w:hanging="511"/>
      </w:pPr>
      <w:rPr>
        <w:rFonts w:hint="default"/>
      </w:rPr>
    </w:lvl>
    <w:lvl w:ilvl="4" w:tplc="53264EE2">
      <w:start w:val="1"/>
      <w:numFmt w:val="bullet"/>
      <w:lvlText w:val="•"/>
      <w:lvlJc w:val="left"/>
      <w:pPr>
        <w:ind w:left="5816" w:hanging="511"/>
      </w:pPr>
      <w:rPr>
        <w:rFonts w:hint="default"/>
      </w:rPr>
    </w:lvl>
    <w:lvl w:ilvl="5" w:tplc="C30631BC">
      <w:start w:val="1"/>
      <w:numFmt w:val="bullet"/>
      <w:lvlText w:val="•"/>
      <w:lvlJc w:val="left"/>
      <w:pPr>
        <w:ind w:left="6831" w:hanging="511"/>
      </w:pPr>
      <w:rPr>
        <w:rFonts w:hint="default"/>
      </w:rPr>
    </w:lvl>
    <w:lvl w:ilvl="6" w:tplc="71ECD188">
      <w:start w:val="1"/>
      <w:numFmt w:val="bullet"/>
      <w:lvlText w:val="•"/>
      <w:lvlJc w:val="left"/>
      <w:pPr>
        <w:ind w:left="7846" w:hanging="511"/>
      </w:pPr>
      <w:rPr>
        <w:rFonts w:hint="default"/>
      </w:rPr>
    </w:lvl>
    <w:lvl w:ilvl="7" w:tplc="CADE6502">
      <w:start w:val="1"/>
      <w:numFmt w:val="bullet"/>
      <w:lvlText w:val="•"/>
      <w:lvlJc w:val="left"/>
      <w:pPr>
        <w:ind w:left="8861" w:hanging="511"/>
      </w:pPr>
      <w:rPr>
        <w:rFonts w:hint="default"/>
      </w:rPr>
    </w:lvl>
    <w:lvl w:ilvl="8" w:tplc="927AD700">
      <w:start w:val="1"/>
      <w:numFmt w:val="bullet"/>
      <w:lvlText w:val="•"/>
      <w:lvlJc w:val="left"/>
      <w:pPr>
        <w:ind w:left="9875" w:hanging="511"/>
      </w:pPr>
      <w:rPr>
        <w:rFonts w:hint="default"/>
      </w:rPr>
    </w:lvl>
  </w:abstractNum>
  <w:abstractNum w:abstractNumId="63">
    <w:nsid w:val="3C48467A"/>
    <w:multiLevelType w:val="hybridMultilevel"/>
    <w:tmpl w:val="EF32D1F0"/>
    <w:lvl w:ilvl="0" w:tplc="947CC2FC">
      <w:start w:val="1"/>
      <w:numFmt w:val="decimal"/>
      <w:lvlText w:val="%1."/>
      <w:lvlJc w:val="left"/>
      <w:pPr>
        <w:ind w:left="1814" w:hanging="567"/>
      </w:pPr>
      <w:rPr>
        <w:rFonts w:ascii="Avenir Next" w:eastAsia="Avenir Next" w:hAnsi="Avenir Next" w:hint="default"/>
        <w:b/>
        <w:bCs/>
        <w:color w:val="0778BE"/>
        <w:sz w:val="34"/>
        <w:szCs w:val="34"/>
      </w:rPr>
    </w:lvl>
    <w:lvl w:ilvl="1" w:tplc="CC2C4B52">
      <w:start w:val="1"/>
      <w:numFmt w:val="bullet"/>
      <w:lvlText w:val="•"/>
      <w:lvlJc w:val="left"/>
      <w:pPr>
        <w:ind w:left="2823" w:hanging="567"/>
      </w:pPr>
      <w:rPr>
        <w:rFonts w:hint="default"/>
      </w:rPr>
    </w:lvl>
    <w:lvl w:ilvl="2" w:tplc="05AAB356">
      <w:start w:val="1"/>
      <w:numFmt w:val="bullet"/>
      <w:lvlText w:val="•"/>
      <w:lvlJc w:val="left"/>
      <w:pPr>
        <w:ind w:left="3832" w:hanging="567"/>
      </w:pPr>
      <w:rPr>
        <w:rFonts w:hint="default"/>
      </w:rPr>
    </w:lvl>
    <w:lvl w:ilvl="3" w:tplc="7B4EE4E6">
      <w:start w:val="1"/>
      <w:numFmt w:val="bullet"/>
      <w:lvlText w:val="•"/>
      <w:lvlJc w:val="left"/>
      <w:pPr>
        <w:ind w:left="4841" w:hanging="567"/>
      </w:pPr>
      <w:rPr>
        <w:rFonts w:hint="default"/>
      </w:rPr>
    </w:lvl>
    <w:lvl w:ilvl="4" w:tplc="ED2EAE38">
      <w:start w:val="1"/>
      <w:numFmt w:val="bullet"/>
      <w:lvlText w:val="•"/>
      <w:lvlJc w:val="left"/>
      <w:pPr>
        <w:ind w:left="5850" w:hanging="567"/>
      </w:pPr>
      <w:rPr>
        <w:rFonts w:hint="default"/>
      </w:rPr>
    </w:lvl>
    <w:lvl w:ilvl="5" w:tplc="25B29132">
      <w:start w:val="1"/>
      <w:numFmt w:val="bullet"/>
      <w:lvlText w:val="•"/>
      <w:lvlJc w:val="left"/>
      <w:pPr>
        <w:ind w:left="6859" w:hanging="567"/>
      </w:pPr>
      <w:rPr>
        <w:rFonts w:hint="default"/>
      </w:rPr>
    </w:lvl>
    <w:lvl w:ilvl="6" w:tplc="94AAC6BC">
      <w:start w:val="1"/>
      <w:numFmt w:val="bullet"/>
      <w:lvlText w:val="•"/>
      <w:lvlJc w:val="left"/>
      <w:pPr>
        <w:ind w:left="7868" w:hanging="567"/>
      </w:pPr>
      <w:rPr>
        <w:rFonts w:hint="default"/>
      </w:rPr>
    </w:lvl>
    <w:lvl w:ilvl="7" w:tplc="D0EA361E">
      <w:start w:val="1"/>
      <w:numFmt w:val="bullet"/>
      <w:lvlText w:val="•"/>
      <w:lvlJc w:val="left"/>
      <w:pPr>
        <w:ind w:left="8878" w:hanging="567"/>
      </w:pPr>
      <w:rPr>
        <w:rFonts w:hint="default"/>
      </w:rPr>
    </w:lvl>
    <w:lvl w:ilvl="8" w:tplc="9468D7CA">
      <w:start w:val="1"/>
      <w:numFmt w:val="bullet"/>
      <w:lvlText w:val="•"/>
      <w:lvlJc w:val="left"/>
      <w:pPr>
        <w:ind w:left="9887" w:hanging="567"/>
      </w:pPr>
      <w:rPr>
        <w:rFonts w:hint="default"/>
      </w:rPr>
    </w:lvl>
  </w:abstractNum>
  <w:abstractNum w:abstractNumId="64">
    <w:nsid w:val="3E686AA2"/>
    <w:multiLevelType w:val="hybridMultilevel"/>
    <w:tmpl w:val="162AA00E"/>
    <w:lvl w:ilvl="0" w:tplc="AA34FC20">
      <w:start w:val="1"/>
      <w:numFmt w:val="bullet"/>
      <w:lvlText w:val="•"/>
      <w:lvlJc w:val="left"/>
      <w:pPr>
        <w:ind w:left="335" w:hanging="227"/>
      </w:pPr>
      <w:rPr>
        <w:rFonts w:ascii="Avenir Next Condensed" w:eastAsia="Avenir Next Condensed" w:hAnsi="Avenir Next Condensed" w:hint="default"/>
        <w:sz w:val="18"/>
        <w:szCs w:val="18"/>
      </w:rPr>
    </w:lvl>
    <w:lvl w:ilvl="1" w:tplc="0368F6F6">
      <w:start w:val="1"/>
      <w:numFmt w:val="bullet"/>
      <w:lvlText w:val="•"/>
      <w:lvlJc w:val="left"/>
      <w:pPr>
        <w:ind w:left="886" w:hanging="227"/>
      </w:pPr>
      <w:rPr>
        <w:rFonts w:hint="default"/>
      </w:rPr>
    </w:lvl>
    <w:lvl w:ilvl="2" w:tplc="EDB0FC8E">
      <w:start w:val="1"/>
      <w:numFmt w:val="bullet"/>
      <w:lvlText w:val="•"/>
      <w:lvlJc w:val="left"/>
      <w:pPr>
        <w:ind w:left="1438" w:hanging="227"/>
      </w:pPr>
      <w:rPr>
        <w:rFonts w:hint="default"/>
      </w:rPr>
    </w:lvl>
    <w:lvl w:ilvl="3" w:tplc="6A3E6B62">
      <w:start w:val="1"/>
      <w:numFmt w:val="bullet"/>
      <w:lvlText w:val="•"/>
      <w:lvlJc w:val="left"/>
      <w:pPr>
        <w:ind w:left="1989" w:hanging="227"/>
      </w:pPr>
      <w:rPr>
        <w:rFonts w:hint="default"/>
      </w:rPr>
    </w:lvl>
    <w:lvl w:ilvl="4" w:tplc="E5B859C0">
      <w:start w:val="1"/>
      <w:numFmt w:val="bullet"/>
      <w:lvlText w:val="•"/>
      <w:lvlJc w:val="left"/>
      <w:pPr>
        <w:ind w:left="2541" w:hanging="227"/>
      </w:pPr>
      <w:rPr>
        <w:rFonts w:hint="default"/>
      </w:rPr>
    </w:lvl>
    <w:lvl w:ilvl="5" w:tplc="B2C4B4AA">
      <w:start w:val="1"/>
      <w:numFmt w:val="bullet"/>
      <w:lvlText w:val="•"/>
      <w:lvlJc w:val="left"/>
      <w:pPr>
        <w:ind w:left="3092" w:hanging="227"/>
      </w:pPr>
      <w:rPr>
        <w:rFonts w:hint="default"/>
      </w:rPr>
    </w:lvl>
    <w:lvl w:ilvl="6" w:tplc="8C90FC66">
      <w:start w:val="1"/>
      <w:numFmt w:val="bullet"/>
      <w:lvlText w:val="•"/>
      <w:lvlJc w:val="left"/>
      <w:pPr>
        <w:ind w:left="3644" w:hanging="227"/>
      </w:pPr>
      <w:rPr>
        <w:rFonts w:hint="default"/>
      </w:rPr>
    </w:lvl>
    <w:lvl w:ilvl="7" w:tplc="6EF404BC">
      <w:start w:val="1"/>
      <w:numFmt w:val="bullet"/>
      <w:lvlText w:val="•"/>
      <w:lvlJc w:val="left"/>
      <w:pPr>
        <w:ind w:left="4195" w:hanging="227"/>
      </w:pPr>
      <w:rPr>
        <w:rFonts w:hint="default"/>
      </w:rPr>
    </w:lvl>
    <w:lvl w:ilvl="8" w:tplc="E0526D42">
      <w:start w:val="1"/>
      <w:numFmt w:val="bullet"/>
      <w:lvlText w:val="•"/>
      <w:lvlJc w:val="left"/>
      <w:pPr>
        <w:ind w:left="4747" w:hanging="227"/>
      </w:pPr>
      <w:rPr>
        <w:rFonts w:hint="default"/>
      </w:rPr>
    </w:lvl>
  </w:abstractNum>
  <w:abstractNum w:abstractNumId="65">
    <w:nsid w:val="410C20B3"/>
    <w:multiLevelType w:val="hybridMultilevel"/>
    <w:tmpl w:val="542ED416"/>
    <w:lvl w:ilvl="0" w:tplc="CD34D622">
      <w:start w:val="1"/>
      <w:numFmt w:val="bullet"/>
      <w:lvlText w:val="•"/>
      <w:lvlJc w:val="left"/>
      <w:pPr>
        <w:ind w:left="335" w:hanging="227"/>
      </w:pPr>
      <w:rPr>
        <w:rFonts w:ascii="Avenir Next Condensed" w:eastAsia="Avenir Next Condensed" w:hAnsi="Avenir Next Condensed" w:hint="default"/>
        <w:sz w:val="18"/>
        <w:szCs w:val="18"/>
      </w:rPr>
    </w:lvl>
    <w:lvl w:ilvl="1" w:tplc="51EEA6A2">
      <w:start w:val="1"/>
      <w:numFmt w:val="bullet"/>
      <w:lvlText w:val="•"/>
      <w:lvlJc w:val="left"/>
      <w:pPr>
        <w:ind w:left="770" w:hanging="227"/>
      </w:pPr>
      <w:rPr>
        <w:rFonts w:hint="default"/>
      </w:rPr>
    </w:lvl>
    <w:lvl w:ilvl="2" w:tplc="3AD45BA2">
      <w:start w:val="1"/>
      <w:numFmt w:val="bullet"/>
      <w:lvlText w:val="•"/>
      <w:lvlJc w:val="left"/>
      <w:pPr>
        <w:ind w:left="1206" w:hanging="227"/>
      </w:pPr>
      <w:rPr>
        <w:rFonts w:hint="default"/>
      </w:rPr>
    </w:lvl>
    <w:lvl w:ilvl="3" w:tplc="E970F108">
      <w:start w:val="1"/>
      <w:numFmt w:val="bullet"/>
      <w:lvlText w:val="•"/>
      <w:lvlJc w:val="left"/>
      <w:pPr>
        <w:ind w:left="1641" w:hanging="227"/>
      </w:pPr>
      <w:rPr>
        <w:rFonts w:hint="default"/>
      </w:rPr>
    </w:lvl>
    <w:lvl w:ilvl="4" w:tplc="41FA6F64">
      <w:start w:val="1"/>
      <w:numFmt w:val="bullet"/>
      <w:lvlText w:val="•"/>
      <w:lvlJc w:val="left"/>
      <w:pPr>
        <w:ind w:left="2077" w:hanging="227"/>
      </w:pPr>
      <w:rPr>
        <w:rFonts w:hint="default"/>
      </w:rPr>
    </w:lvl>
    <w:lvl w:ilvl="5" w:tplc="E0DA9C06">
      <w:start w:val="1"/>
      <w:numFmt w:val="bullet"/>
      <w:lvlText w:val="•"/>
      <w:lvlJc w:val="left"/>
      <w:pPr>
        <w:ind w:left="2512" w:hanging="227"/>
      </w:pPr>
      <w:rPr>
        <w:rFonts w:hint="default"/>
      </w:rPr>
    </w:lvl>
    <w:lvl w:ilvl="6" w:tplc="1CA44100">
      <w:start w:val="1"/>
      <w:numFmt w:val="bullet"/>
      <w:lvlText w:val="•"/>
      <w:lvlJc w:val="left"/>
      <w:pPr>
        <w:ind w:left="2948" w:hanging="227"/>
      </w:pPr>
      <w:rPr>
        <w:rFonts w:hint="default"/>
      </w:rPr>
    </w:lvl>
    <w:lvl w:ilvl="7" w:tplc="EF90EC2C">
      <w:start w:val="1"/>
      <w:numFmt w:val="bullet"/>
      <w:lvlText w:val="•"/>
      <w:lvlJc w:val="left"/>
      <w:pPr>
        <w:ind w:left="3383" w:hanging="227"/>
      </w:pPr>
      <w:rPr>
        <w:rFonts w:hint="default"/>
      </w:rPr>
    </w:lvl>
    <w:lvl w:ilvl="8" w:tplc="003E994C">
      <w:start w:val="1"/>
      <w:numFmt w:val="bullet"/>
      <w:lvlText w:val="•"/>
      <w:lvlJc w:val="left"/>
      <w:pPr>
        <w:ind w:left="3819" w:hanging="227"/>
      </w:pPr>
      <w:rPr>
        <w:rFonts w:hint="default"/>
      </w:rPr>
    </w:lvl>
  </w:abstractNum>
  <w:abstractNum w:abstractNumId="66">
    <w:nsid w:val="41301887"/>
    <w:multiLevelType w:val="hybridMultilevel"/>
    <w:tmpl w:val="40D6D2DA"/>
    <w:lvl w:ilvl="0" w:tplc="7A6CFE6E">
      <w:start w:val="1"/>
      <w:numFmt w:val="decimal"/>
      <w:lvlText w:val="%1."/>
      <w:lvlJc w:val="left"/>
      <w:pPr>
        <w:ind w:left="2026" w:hanging="212"/>
      </w:pPr>
      <w:rPr>
        <w:rFonts w:ascii="Avenir Next" w:eastAsia="Avenir Next" w:hAnsi="Avenir Next" w:hint="default"/>
        <w:sz w:val="20"/>
        <w:szCs w:val="20"/>
      </w:rPr>
    </w:lvl>
    <w:lvl w:ilvl="1" w:tplc="7554B624">
      <w:start w:val="1"/>
      <w:numFmt w:val="bullet"/>
      <w:lvlText w:val="•"/>
      <w:lvlJc w:val="left"/>
      <w:pPr>
        <w:ind w:left="3014" w:hanging="212"/>
      </w:pPr>
      <w:rPr>
        <w:rFonts w:hint="default"/>
      </w:rPr>
    </w:lvl>
    <w:lvl w:ilvl="2" w:tplc="FE70C83C">
      <w:start w:val="1"/>
      <w:numFmt w:val="bullet"/>
      <w:lvlText w:val="•"/>
      <w:lvlJc w:val="left"/>
      <w:pPr>
        <w:ind w:left="4002" w:hanging="212"/>
      </w:pPr>
      <w:rPr>
        <w:rFonts w:hint="default"/>
      </w:rPr>
    </w:lvl>
    <w:lvl w:ilvl="3" w:tplc="2EF0FFF8">
      <w:start w:val="1"/>
      <w:numFmt w:val="bullet"/>
      <w:lvlText w:val="•"/>
      <w:lvlJc w:val="left"/>
      <w:pPr>
        <w:ind w:left="4990" w:hanging="212"/>
      </w:pPr>
      <w:rPr>
        <w:rFonts w:hint="default"/>
      </w:rPr>
    </w:lvl>
    <w:lvl w:ilvl="4" w:tplc="6BCA947C">
      <w:start w:val="1"/>
      <w:numFmt w:val="bullet"/>
      <w:lvlText w:val="•"/>
      <w:lvlJc w:val="left"/>
      <w:pPr>
        <w:ind w:left="5977" w:hanging="212"/>
      </w:pPr>
      <w:rPr>
        <w:rFonts w:hint="default"/>
      </w:rPr>
    </w:lvl>
    <w:lvl w:ilvl="5" w:tplc="FD149928">
      <w:start w:val="1"/>
      <w:numFmt w:val="bullet"/>
      <w:lvlText w:val="•"/>
      <w:lvlJc w:val="left"/>
      <w:pPr>
        <w:ind w:left="6965" w:hanging="212"/>
      </w:pPr>
      <w:rPr>
        <w:rFonts w:hint="default"/>
      </w:rPr>
    </w:lvl>
    <w:lvl w:ilvl="6" w:tplc="292E4C2C">
      <w:start w:val="1"/>
      <w:numFmt w:val="bullet"/>
      <w:lvlText w:val="•"/>
      <w:lvlJc w:val="left"/>
      <w:pPr>
        <w:ind w:left="7953" w:hanging="212"/>
      </w:pPr>
      <w:rPr>
        <w:rFonts w:hint="default"/>
      </w:rPr>
    </w:lvl>
    <w:lvl w:ilvl="7" w:tplc="8E526604">
      <w:start w:val="1"/>
      <w:numFmt w:val="bullet"/>
      <w:lvlText w:val="•"/>
      <w:lvlJc w:val="left"/>
      <w:pPr>
        <w:ind w:left="8941" w:hanging="212"/>
      </w:pPr>
      <w:rPr>
        <w:rFonts w:hint="default"/>
      </w:rPr>
    </w:lvl>
    <w:lvl w:ilvl="8" w:tplc="22264C66">
      <w:start w:val="1"/>
      <w:numFmt w:val="bullet"/>
      <w:lvlText w:val="•"/>
      <w:lvlJc w:val="left"/>
      <w:pPr>
        <w:ind w:left="9929" w:hanging="212"/>
      </w:pPr>
      <w:rPr>
        <w:rFonts w:hint="default"/>
      </w:rPr>
    </w:lvl>
  </w:abstractNum>
  <w:abstractNum w:abstractNumId="67">
    <w:nsid w:val="41BC1E61"/>
    <w:multiLevelType w:val="hybridMultilevel"/>
    <w:tmpl w:val="568CBB16"/>
    <w:lvl w:ilvl="0" w:tplc="E1EEE872">
      <w:start w:val="1"/>
      <w:numFmt w:val="bullet"/>
      <w:lvlText w:val="•"/>
      <w:lvlJc w:val="left"/>
      <w:pPr>
        <w:ind w:left="335" w:hanging="227"/>
      </w:pPr>
      <w:rPr>
        <w:rFonts w:ascii="Avenir Next Condensed" w:eastAsia="Avenir Next Condensed" w:hAnsi="Avenir Next Condensed" w:hint="default"/>
        <w:sz w:val="18"/>
        <w:szCs w:val="18"/>
      </w:rPr>
    </w:lvl>
    <w:lvl w:ilvl="1" w:tplc="E0744272">
      <w:start w:val="1"/>
      <w:numFmt w:val="bullet"/>
      <w:lvlText w:val="•"/>
      <w:lvlJc w:val="left"/>
      <w:pPr>
        <w:ind w:left="770" w:hanging="227"/>
      </w:pPr>
      <w:rPr>
        <w:rFonts w:hint="default"/>
      </w:rPr>
    </w:lvl>
    <w:lvl w:ilvl="2" w:tplc="72EE8AD8">
      <w:start w:val="1"/>
      <w:numFmt w:val="bullet"/>
      <w:lvlText w:val="•"/>
      <w:lvlJc w:val="left"/>
      <w:pPr>
        <w:ind w:left="1206" w:hanging="227"/>
      </w:pPr>
      <w:rPr>
        <w:rFonts w:hint="default"/>
      </w:rPr>
    </w:lvl>
    <w:lvl w:ilvl="3" w:tplc="1316AF74">
      <w:start w:val="1"/>
      <w:numFmt w:val="bullet"/>
      <w:lvlText w:val="•"/>
      <w:lvlJc w:val="left"/>
      <w:pPr>
        <w:ind w:left="1641" w:hanging="227"/>
      </w:pPr>
      <w:rPr>
        <w:rFonts w:hint="default"/>
      </w:rPr>
    </w:lvl>
    <w:lvl w:ilvl="4" w:tplc="681EA78A">
      <w:start w:val="1"/>
      <w:numFmt w:val="bullet"/>
      <w:lvlText w:val="•"/>
      <w:lvlJc w:val="left"/>
      <w:pPr>
        <w:ind w:left="2077" w:hanging="227"/>
      </w:pPr>
      <w:rPr>
        <w:rFonts w:hint="default"/>
      </w:rPr>
    </w:lvl>
    <w:lvl w:ilvl="5" w:tplc="FE7ECC60">
      <w:start w:val="1"/>
      <w:numFmt w:val="bullet"/>
      <w:lvlText w:val="•"/>
      <w:lvlJc w:val="left"/>
      <w:pPr>
        <w:ind w:left="2512" w:hanging="227"/>
      </w:pPr>
      <w:rPr>
        <w:rFonts w:hint="default"/>
      </w:rPr>
    </w:lvl>
    <w:lvl w:ilvl="6" w:tplc="3986152E">
      <w:start w:val="1"/>
      <w:numFmt w:val="bullet"/>
      <w:lvlText w:val="•"/>
      <w:lvlJc w:val="left"/>
      <w:pPr>
        <w:ind w:left="2948" w:hanging="227"/>
      </w:pPr>
      <w:rPr>
        <w:rFonts w:hint="default"/>
      </w:rPr>
    </w:lvl>
    <w:lvl w:ilvl="7" w:tplc="00784070">
      <w:start w:val="1"/>
      <w:numFmt w:val="bullet"/>
      <w:lvlText w:val="•"/>
      <w:lvlJc w:val="left"/>
      <w:pPr>
        <w:ind w:left="3383" w:hanging="227"/>
      </w:pPr>
      <w:rPr>
        <w:rFonts w:hint="default"/>
      </w:rPr>
    </w:lvl>
    <w:lvl w:ilvl="8" w:tplc="8A4C2234">
      <w:start w:val="1"/>
      <w:numFmt w:val="bullet"/>
      <w:lvlText w:val="•"/>
      <w:lvlJc w:val="left"/>
      <w:pPr>
        <w:ind w:left="3819" w:hanging="227"/>
      </w:pPr>
      <w:rPr>
        <w:rFonts w:hint="default"/>
      </w:rPr>
    </w:lvl>
  </w:abstractNum>
  <w:abstractNum w:abstractNumId="68">
    <w:nsid w:val="43FF4010"/>
    <w:multiLevelType w:val="hybridMultilevel"/>
    <w:tmpl w:val="C642787A"/>
    <w:lvl w:ilvl="0" w:tplc="655252E6">
      <w:start w:val="1"/>
      <w:numFmt w:val="bullet"/>
      <w:lvlText w:val="•"/>
      <w:lvlJc w:val="left"/>
      <w:pPr>
        <w:ind w:left="396" w:hanging="227"/>
      </w:pPr>
      <w:rPr>
        <w:rFonts w:ascii="Avenir Next Condensed" w:eastAsia="Avenir Next Condensed" w:hAnsi="Avenir Next Condensed" w:hint="default"/>
        <w:sz w:val="20"/>
        <w:szCs w:val="20"/>
      </w:rPr>
    </w:lvl>
    <w:lvl w:ilvl="1" w:tplc="CF92C6FE">
      <w:start w:val="1"/>
      <w:numFmt w:val="bullet"/>
      <w:lvlText w:val="•"/>
      <w:lvlJc w:val="left"/>
      <w:pPr>
        <w:ind w:left="1298" w:hanging="227"/>
      </w:pPr>
      <w:rPr>
        <w:rFonts w:hint="default"/>
      </w:rPr>
    </w:lvl>
    <w:lvl w:ilvl="2" w:tplc="853A6B06">
      <w:start w:val="1"/>
      <w:numFmt w:val="bullet"/>
      <w:lvlText w:val="•"/>
      <w:lvlJc w:val="left"/>
      <w:pPr>
        <w:ind w:left="2199" w:hanging="227"/>
      </w:pPr>
      <w:rPr>
        <w:rFonts w:hint="default"/>
      </w:rPr>
    </w:lvl>
    <w:lvl w:ilvl="3" w:tplc="363AAE14">
      <w:start w:val="1"/>
      <w:numFmt w:val="bullet"/>
      <w:lvlText w:val="•"/>
      <w:lvlJc w:val="left"/>
      <w:pPr>
        <w:ind w:left="3101" w:hanging="227"/>
      </w:pPr>
      <w:rPr>
        <w:rFonts w:hint="default"/>
      </w:rPr>
    </w:lvl>
    <w:lvl w:ilvl="4" w:tplc="D94A87E8">
      <w:start w:val="1"/>
      <w:numFmt w:val="bullet"/>
      <w:lvlText w:val="•"/>
      <w:lvlJc w:val="left"/>
      <w:pPr>
        <w:ind w:left="4002" w:hanging="227"/>
      </w:pPr>
      <w:rPr>
        <w:rFonts w:hint="default"/>
      </w:rPr>
    </w:lvl>
    <w:lvl w:ilvl="5" w:tplc="3A645E30">
      <w:start w:val="1"/>
      <w:numFmt w:val="bullet"/>
      <w:lvlText w:val="•"/>
      <w:lvlJc w:val="left"/>
      <w:pPr>
        <w:ind w:left="4903" w:hanging="227"/>
      </w:pPr>
      <w:rPr>
        <w:rFonts w:hint="default"/>
      </w:rPr>
    </w:lvl>
    <w:lvl w:ilvl="6" w:tplc="D2F835C4">
      <w:start w:val="1"/>
      <w:numFmt w:val="bullet"/>
      <w:lvlText w:val="•"/>
      <w:lvlJc w:val="left"/>
      <w:pPr>
        <w:ind w:left="5805" w:hanging="227"/>
      </w:pPr>
      <w:rPr>
        <w:rFonts w:hint="default"/>
      </w:rPr>
    </w:lvl>
    <w:lvl w:ilvl="7" w:tplc="271014C4">
      <w:start w:val="1"/>
      <w:numFmt w:val="bullet"/>
      <w:lvlText w:val="•"/>
      <w:lvlJc w:val="left"/>
      <w:pPr>
        <w:ind w:left="6706" w:hanging="227"/>
      </w:pPr>
      <w:rPr>
        <w:rFonts w:hint="default"/>
      </w:rPr>
    </w:lvl>
    <w:lvl w:ilvl="8" w:tplc="FF805ADA">
      <w:start w:val="1"/>
      <w:numFmt w:val="bullet"/>
      <w:lvlText w:val="•"/>
      <w:lvlJc w:val="left"/>
      <w:pPr>
        <w:ind w:left="7608" w:hanging="227"/>
      </w:pPr>
      <w:rPr>
        <w:rFonts w:hint="default"/>
      </w:rPr>
    </w:lvl>
  </w:abstractNum>
  <w:abstractNum w:abstractNumId="69">
    <w:nsid w:val="440F275F"/>
    <w:multiLevelType w:val="hybridMultilevel"/>
    <w:tmpl w:val="50DA1770"/>
    <w:lvl w:ilvl="0" w:tplc="715C34AE">
      <w:start w:val="10"/>
      <w:numFmt w:val="decimal"/>
      <w:lvlText w:val="%1."/>
      <w:lvlJc w:val="left"/>
      <w:pPr>
        <w:ind w:left="1748" w:hanging="501"/>
      </w:pPr>
      <w:rPr>
        <w:rFonts w:ascii="Avenir Next Medium" w:eastAsia="Avenir Next Medium" w:hAnsi="Avenir Next Medium" w:hint="default"/>
        <w:color w:val="0778BE"/>
        <w:sz w:val="30"/>
        <w:szCs w:val="30"/>
      </w:rPr>
    </w:lvl>
    <w:lvl w:ilvl="1" w:tplc="675A792E">
      <w:start w:val="1"/>
      <w:numFmt w:val="bullet"/>
      <w:lvlText w:val="•"/>
      <w:lvlJc w:val="left"/>
      <w:pPr>
        <w:ind w:left="2763" w:hanging="501"/>
      </w:pPr>
      <w:rPr>
        <w:rFonts w:hint="default"/>
      </w:rPr>
    </w:lvl>
    <w:lvl w:ilvl="2" w:tplc="70B2C9B4">
      <w:start w:val="1"/>
      <w:numFmt w:val="bullet"/>
      <w:lvlText w:val="•"/>
      <w:lvlJc w:val="left"/>
      <w:pPr>
        <w:ind w:left="3779" w:hanging="501"/>
      </w:pPr>
      <w:rPr>
        <w:rFonts w:hint="default"/>
      </w:rPr>
    </w:lvl>
    <w:lvl w:ilvl="3" w:tplc="8F52DC06">
      <w:start w:val="1"/>
      <w:numFmt w:val="bullet"/>
      <w:lvlText w:val="•"/>
      <w:lvlJc w:val="left"/>
      <w:pPr>
        <w:ind w:left="4795" w:hanging="501"/>
      </w:pPr>
      <w:rPr>
        <w:rFonts w:hint="default"/>
      </w:rPr>
    </w:lvl>
    <w:lvl w:ilvl="4" w:tplc="779C2930">
      <w:start w:val="1"/>
      <w:numFmt w:val="bullet"/>
      <w:lvlText w:val="•"/>
      <w:lvlJc w:val="left"/>
      <w:pPr>
        <w:ind w:left="5811" w:hanging="501"/>
      </w:pPr>
      <w:rPr>
        <w:rFonts w:hint="default"/>
      </w:rPr>
    </w:lvl>
    <w:lvl w:ilvl="5" w:tplc="79A89FF4">
      <w:start w:val="1"/>
      <w:numFmt w:val="bullet"/>
      <w:lvlText w:val="•"/>
      <w:lvlJc w:val="left"/>
      <w:pPr>
        <w:ind w:left="6826" w:hanging="501"/>
      </w:pPr>
      <w:rPr>
        <w:rFonts w:hint="default"/>
      </w:rPr>
    </w:lvl>
    <w:lvl w:ilvl="6" w:tplc="FCC0E3F6">
      <w:start w:val="1"/>
      <w:numFmt w:val="bullet"/>
      <w:lvlText w:val="•"/>
      <w:lvlJc w:val="left"/>
      <w:pPr>
        <w:ind w:left="7842" w:hanging="501"/>
      </w:pPr>
      <w:rPr>
        <w:rFonts w:hint="default"/>
      </w:rPr>
    </w:lvl>
    <w:lvl w:ilvl="7" w:tplc="DA268062">
      <w:start w:val="1"/>
      <w:numFmt w:val="bullet"/>
      <w:lvlText w:val="•"/>
      <w:lvlJc w:val="left"/>
      <w:pPr>
        <w:ind w:left="8858" w:hanging="501"/>
      </w:pPr>
      <w:rPr>
        <w:rFonts w:hint="default"/>
      </w:rPr>
    </w:lvl>
    <w:lvl w:ilvl="8" w:tplc="CFB0307A">
      <w:start w:val="1"/>
      <w:numFmt w:val="bullet"/>
      <w:lvlText w:val="•"/>
      <w:lvlJc w:val="left"/>
      <w:pPr>
        <w:ind w:left="9874" w:hanging="501"/>
      </w:pPr>
      <w:rPr>
        <w:rFonts w:hint="default"/>
      </w:rPr>
    </w:lvl>
  </w:abstractNum>
  <w:abstractNum w:abstractNumId="70">
    <w:nsid w:val="44DA20EF"/>
    <w:multiLevelType w:val="hybridMultilevel"/>
    <w:tmpl w:val="61C2C420"/>
    <w:lvl w:ilvl="0" w:tplc="8A4636C2">
      <w:start w:val="2"/>
      <w:numFmt w:val="decimal"/>
      <w:lvlText w:val="%1."/>
      <w:lvlJc w:val="left"/>
      <w:pPr>
        <w:ind w:left="2026" w:hanging="212"/>
      </w:pPr>
      <w:rPr>
        <w:rFonts w:ascii="Avenir Next" w:eastAsia="Avenir Next" w:hAnsi="Avenir Next" w:hint="default"/>
        <w:sz w:val="20"/>
        <w:szCs w:val="20"/>
      </w:rPr>
    </w:lvl>
    <w:lvl w:ilvl="1" w:tplc="1C9C104E">
      <w:start w:val="1"/>
      <w:numFmt w:val="bullet"/>
      <w:lvlText w:val="•"/>
      <w:lvlJc w:val="left"/>
      <w:pPr>
        <w:ind w:left="3014" w:hanging="212"/>
      </w:pPr>
      <w:rPr>
        <w:rFonts w:hint="default"/>
      </w:rPr>
    </w:lvl>
    <w:lvl w:ilvl="2" w:tplc="E728751E">
      <w:start w:val="1"/>
      <w:numFmt w:val="bullet"/>
      <w:lvlText w:val="•"/>
      <w:lvlJc w:val="left"/>
      <w:pPr>
        <w:ind w:left="4002" w:hanging="212"/>
      </w:pPr>
      <w:rPr>
        <w:rFonts w:hint="default"/>
      </w:rPr>
    </w:lvl>
    <w:lvl w:ilvl="3" w:tplc="79BCC0CC">
      <w:start w:val="1"/>
      <w:numFmt w:val="bullet"/>
      <w:lvlText w:val="•"/>
      <w:lvlJc w:val="left"/>
      <w:pPr>
        <w:ind w:left="4990" w:hanging="212"/>
      </w:pPr>
      <w:rPr>
        <w:rFonts w:hint="default"/>
      </w:rPr>
    </w:lvl>
    <w:lvl w:ilvl="4" w:tplc="CA5E1592">
      <w:start w:val="1"/>
      <w:numFmt w:val="bullet"/>
      <w:lvlText w:val="•"/>
      <w:lvlJc w:val="left"/>
      <w:pPr>
        <w:ind w:left="5977" w:hanging="212"/>
      </w:pPr>
      <w:rPr>
        <w:rFonts w:hint="default"/>
      </w:rPr>
    </w:lvl>
    <w:lvl w:ilvl="5" w:tplc="CFF0B99C">
      <w:start w:val="1"/>
      <w:numFmt w:val="bullet"/>
      <w:lvlText w:val="•"/>
      <w:lvlJc w:val="left"/>
      <w:pPr>
        <w:ind w:left="6965" w:hanging="212"/>
      </w:pPr>
      <w:rPr>
        <w:rFonts w:hint="default"/>
      </w:rPr>
    </w:lvl>
    <w:lvl w:ilvl="6" w:tplc="4FDC0478">
      <w:start w:val="1"/>
      <w:numFmt w:val="bullet"/>
      <w:lvlText w:val="•"/>
      <w:lvlJc w:val="left"/>
      <w:pPr>
        <w:ind w:left="7953" w:hanging="212"/>
      </w:pPr>
      <w:rPr>
        <w:rFonts w:hint="default"/>
      </w:rPr>
    </w:lvl>
    <w:lvl w:ilvl="7" w:tplc="D8863622">
      <w:start w:val="1"/>
      <w:numFmt w:val="bullet"/>
      <w:lvlText w:val="•"/>
      <w:lvlJc w:val="left"/>
      <w:pPr>
        <w:ind w:left="8941" w:hanging="212"/>
      </w:pPr>
      <w:rPr>
        <w:rFonts w:hint="default"/>
      </w:rPr>
    </w:lvl>
    <w:lvl w:ilvl="8" w:tplc="21925274">
      <w:start w:val="1"/>
      <w:numFmt w:val="bullet"/>
      <w:lvlText w:val="•"/>
      <w:lvlJc w:val="left"/>
      <w:pPr>
        <w:ind w:left="9929" w:hanging="212"/>
      </w:pPr>
      <w:rPr>
        <w:rFonts w:hint="default"/>
      </w:rPr>
    </w:lvl>
  </w:abstractNum>
  <w:abstractNum w:abstractNumId="71">
    <w:nsid w:val="453A122C"/>
    <w:multiLevelType w:val="hybridMultilevel"/>
    <w:tmpl w:val="A9AEF53A"/>
    <w:lvl w:ilvl="0" w:tplc="38E2AA8C">
      <w:start w:val="14"/>
      <w:numFmt w:val="decimal"/>
      <w:lvlText w:val="%1."/>
      <w:lvlJc w:val="left"/>
      <w:pPr>
        <w:ind w:left="1748" w:hanging="501"/>
      </w:pPr>
      <w:rPr>
        <w:rFonts w:ascii="Avenir Next Medium" w:eastAsia="Avenir Next Medium" w:hAnsi="Avenir Next Medium" w:hint="default"/>
        <w:color w:val="0778BE"/>
        <w:sz w:val="30"/>
        <w:szCs w:val="30"/>
      </w:rPr>
    </w:lvl>
    <w:lvl w:ilvl="1" w:tplc="3C120352">
      <w:start w:val="1"/>
      <w:numFmt w:val="bullet"/>
      <w:lvlText w:val="•"/>
      <w:lvlJc w:val="left"/>
      <w:pPr>
        <w:ind w:left="2763" w:hanging="501"/>
      </w:pPr>
      <w:rPr>
        <w:rFonts w:hint="default"/>
      </w:rPr>
    </w:lvl>
    <w:lvl w:ilvl="2" w:tplc="9ED8557C">
      <w:start w:val="1"/>
      <w:numFmt w:val="bullet"/>
      <w:lvlText w:val="•"/>
      <w:lvlJc w:val="left"/>
      <w:pPr>
        <w:ind w:left="3779" w:hanging="501"/>
      </w:pPr>
      <w:rPr>
        <w:rFonts w:hint="default"/>
      </w:rPr>
    </w:lvl>
    <w:lvl w:ilvl="3" w:tplc="C9404CBE">
      <w:start w:val="1"/>
      <w:numFmt w:val="bullet"/>
      <w:lvlText w:val="•"/>
      <w:lvlJc w:val="left"/>
      <w:pPr>
        <w:ind w:left="4795" w:hanging="501"/>
      </w:pPr>
      <w:rPr>
        <w:rFonts w:hint="default"/>
      </w:rPr>
    </w:lvl>
    <w:lvl w:ilvl="4" w:tplc="99E80438">
      <w:start w:val="1"/>
      <w:numFmt w:val="bullet"/>
      <w:lvlText w:val="•"/>
      <w:lvlJc w:val="left"/>
      <w:pPr>
        <w:ind w:left="5811" w:hanging="501"/>
      </w:pPr>
      <w:rPr>
        <w:rFonts w:hint="default"/>
      </w:rPr>
    </w:lvl>
    <w:lvl w:ilvl="5" w:tplc="254AF4C0">
      <w:start w:val="1"/>
      <w:numFmt w:val="bullet"/>
      <w:lvlText w:val="•"/>
      <w:lvlJc w:val="left"/>
      <w:pPr>
        <w:ind w:left="6826" w:hanging="501"/>
      </w:pPr>
      <w:rPr>
        <w:rFonts w:hint="default"/>
      </w:rPr>
    </w:lvl>
    <w:lvl w:ilvl="6" w:tplc="1856EF46">
      <w:start w:val="1"/>
      <w:numFmt w:val="bullet"/>
      <w:lvlText w:val="•"/>
      <w:lvlJc w:val="left"/>
      <w:pPr>
        <w:ind w:left="7842" w:hanging="501"/>
      </w:pPr>
      <w:rPr>
        <w:rFonts w:hint="default"/>
      </w:rPr>
    </w:lvl>
    <w:lvl w:ilvl="7" w:tplc="D460EF56">
      <w:start w:val="1"/>
      <w:numFmt w:val="bullet"/>
      <w:lvlText w:val="•"/>
      <w:lvlJc w:val="left"/>
      <w:pPr>
        <w:ind w:left="8858" w:hanging="501"/>
      </w:pPr>
      <w:rPr>
        <w:rFonts w:hint="default"/>
      </w:rPr>
    </w:lvl>
    <w:lvl w:ilvl="8" w:tplc="3E4E857A">
      <w:start w:val="1"/>
      <w:numFmt w:val="bullet"/>
      <w:lvlText w:val="•"/>
      <w:lvlJc w:val="left"/>
      <w:pPr>
        <w:ind w:left="9874" w:hanging="501"/>
      </w:pPr>
      <w:rPr>
        <w:rFonts w:hint="default"/>
      </w:rPr>
    </w:lvl>
  </w:abstractNum>
  <w:abstractNum w:abstractNumId="72">
    <w:nsid w:val="49411576"/>
    <w:multiLevelType w:val="hybridMultilevel"/>
    <w:tmpl w:val="FFF04716"/>
    <w:lvl w:ilvl="0" w:tplc="A75CEB8E">
      <w:start w:val="1"/>
      <w:numFmt w:val="bullet"/>
      <w:lvlText w:val="•"/>
      <w:lvlJc w:val="left"/>
      <w:pPr>
        <w:ind w:left="396" w:hanging="227"/>
      </w:pPr>
      <w:rPr>
        <w:rFonts w:ascii="Avenir Next Condensed" w:eastAsia="Avenir Next Condensed" w:hAnsi="Avenir Next Condensed" w:hint="default"/>
        <w:sz w:val="20"/>
        <w:szCs w:val="20"/>
      </w:rPr>
    </w:lvl>
    <w:lvl w:ilvl="1" w:tplc="3C9487C2">
      <w:start w:val="1"/>
      <w:numFmt w:val="bullet"/>
      <w:lvlText w:val="•"/>
      <w:lvlJc w:val="left"/>
      <w:pPr>
        <w:ind w:left="1298" w:hanging="227"/>
      </w:pPr>
      <w:rPr>
        <w:rFonts w:hint="default"/>
      </w:rPr>
    </w:lvl>
    <w:lvl w:ilvl="2" w:tplc="8E9A46AC">
      <w:start w:val="1"/>
      <w:numFmt w:val="bullet"/>
      <w:lvlText w:val="•"/>
      <w:lvlJc w:val="left"/>
      <w:pPr>
        <w:ind w:left="2199" w:hanging="227"/>
      </w:pPr>
      <w:rPr>
        <w:rFonts w:hint="default"/>
      </w:rPr>
    </w:lvl>
    <w:lvl w:ilvl="3" w:tplc="9398C56C">
      <w:start w:val="1"/>
      <w:numFmt w:val="bullet"/>
      <w:lvlText w:val="•"/>
      <w:lvlJc w:val="left"/>
      <w:pPr>
        <w:ind w:left="3101" w:hanging="227"/>
      </w:pPr>
      <w:rPr>
        <w:rFonts w:hint="default"/>
      </w:rPr>
    </w:lvl>
    <w:lvl w:ilvl="4" w:tplc="6D8E3FBE">
      <w:start w:val="1"/>
      <w:numFmt w:val="bullet"/>
      <w:lvlText w:val="•"/>
      <w:lvlJc w:val="left"/>
      <w:pPr>
        <w:ind w:left="4002" w:hanging="227"/>
      </w:pPr>
      <w:rPr>
        <w:rFonts w:hint="default"/>
      </w:rPr>
    </w:lvl>
    <w:lvl w:ilvl="5" w:tplc="C220D610">
      <w:start w:val="1"/>
      <w:numFmt w:val="bullet"/>
      <w:lvlText w:val="•"/>
      <w:lvlJc w:val="left"/>
      <w:pPr>
        <w:ind w:left="4903" w:hanging="227"/>
      </w:pPr>
      <w:rPr>
        <w:rFonts w:hint="default"/>
      </w:rPr>
    </w:lvl>
    <w:lvl w:ilvl="6" w:tplc="C86A08F8">
      <w:start w:val="1"/>
      <w:numFmt w:val="bullet"/>
      <w:lvlText w:val="•"/>
      <w:lvlJc w:val="left"/>
      <w:pPr>
        <w:ind w:left="5805" w:hanging="227"/>
      </w:pPr>
      <w:rPr>
        <w:rFonts w:hint="default"/>
      </w:rPr>
    </w:lvl>
    <w:lvl w:ilvl="7" w:tplc="78BEAED8">
      <w:start w:val="1"/>
      <w:numFmt w:val="bullet"/>
      <w:lvlText w:val="•"/>
      <w:lvlJc w:val="left"/>
      <w:pPr>
        <w:ind w:left="6706" w:hanging="227"/>
      </w:pPr>
      <w:rPr>
        <w:rFonts w:hint="default"/>
      </w:rPr>
    </w:lvl>
    <w:lvl w:ilvl="8" w:tplc="42FE5A76">
      <w:start w:val="1"/>
      <w:numFmt w:val="bullet"/>
      <w:lvlText w:val="•"/>
      <w:lvlJc w:val="left"/>
      <w:pPr>
        <w:ind w:left="7608" w:hanging="227"/>
      </w:pPr>
      <w:rPr>
        <w:rFonts w:hint="default"/>
      </w:rPr>
    </w:lvl>
  </w:abstractNum>
  <w:abstractNum w:abstractNumId="73">
    <w:nsid w:val="4AD0651F"/>
    <w:multiLevelType w:val="hybridMultilevel"/>
    <w:tmpl w:val="3F76134E"/>
    <w:lvl w:ilvl="0" w:tplc="DA268788">
      <w:start w:val="12"/>
      <w:numFmt w:val="decimal"/>
      <w:lvlText w:val="%1."/>
      <w:lvlJc w:val="left"/>
      <w:pPr>
        <w:ind w:left="2041" w:hanging="501"/>
      </w:pPr>
      <w:rPr>
        <w:rFonts w:ascii="Avenir Next Medium" w:eastAsia="Avenir Next Medium" w:hAnsi="Avenir Next Medium" w:hint="default"/>
        <w:color w:val="0778BE"/>
        <w:sz w:val="30"/>
        <w:szCs w:val="30"/>
      </w:rPr>
    </w:lvl>
    <w:lvl w:ilvl="1" w:tplc="EB909704">
      <w:start w:val="1"/>
      <w:numFmt w:val="bullet"/>
      <w:lvlText w:val="•"/>
      <w:lvlJc w:val="left"/>
      <w:pPr>
        <w:ind w:left="3027" w:hanging="501"/>
      </w:pPr>
      <w:rPr>
        <w:rFonts w:hint="default"/>
      </w:rPr>
    </w:lvl>
    <w:lvl w:ilvl="2" w:tplc="ECEA6390">
      <w:start w:val="1"/>
      <w:numFmt w:val="bullet"/>
      <w:lvlText w:val="•"/>
      <w:lvlJc w:val="left"/>
      <w:pPr>
        <w:ind w:left="4013" w:hanging="501"/>
      </w:pPr>
      <w:rPr>
        <w:rFonts w:hint="default"/>
      </w:rPr>
    </w:lvl>
    <w:lvl w:ilvl="3" w:tplc="01C4245E">
      <w:start w:val="1"/>
      <w:numFmt w:val="bullet"/>
      <w:lvlText w:val="•"/>
      <w:lvlJc w:val="left"/>
      <w:pPr>
        <w:ind w:left="5000" w:hanging="501"/>
      </w:pPr>
      <w:rPr>
        <w:rFonts w:hint="default"/>
      </w:rPr>
    </w:lvl>
    <w:lvl w:ilvl="4" w:tplc="AA24A20A">
      <w:start w:val="1"/>
      <w:numFmt w:val="bullet"/>
      <w:lvlText w:val="•"/>
      <w:lvlJc w:val="left"/>
      <w:pPr>
        <w:ind w:left="5986" w:hanging="501"/>
      </w:pPr>
      <w:rPr>
        <w:rFonts w:hint="default"/>
      </w:rPr>
    </w:lvl>
    <w:lvl w:ilvl="5" w:tplc="D4649CB0">
      <w:start w:val="1"/>
      <w:numFmt w:val="bullet"/>
      <w:lvlText w:val="•"/>
      <w:lvlJc w:val="left"/>
      <w:pPr>
        <w:ind w:left="6973" w:hanging="501"/>
      </w:pPr>
      <w:rPr>
        <w:rFonts w:hint="default"/>
      </w:rPr>
    </w:lvl>
    <w:lvl w:ilvl="6" w:tplc="865C0F32">
      <w:start w:val="1"/>
      <w:numFmt w:val="bullet"/>
      <w:lvlText w:val="•"/>
      <w:lvlJc w:val="left"/>
      <w:pPr>
        <w:ind w:left="7959" w:hanging="501"/>
      </w:pPr>
      <w:rPr>
        <w:rFonts w:hint="default"/>
      </w:rPr>
    </w:lvl>
    <w:lvl w:ilvl="7" w:tplc="7108C752">
      <w:start w:val="1"/>
      <w:numFmt w:val="bullet"/>
      <w:lvlText w:val="•"/>
      <w:lvlJc w:val="left"/>
      <w:pPr>
        <w:ind w:left="8946" w:hanging="501"/>
      </w:pPr>
      <w:rPr>
        <w:rFonts w:hint="default"/>
      </w:rPr>
    </w:lvl>
    <w:lvl w:ilvl="8" w:tplc="1C46227E">
      <w:start w:val="1"/>
      <w:numFmt w:val="bullet"/>
      <w:lvlText w:val="•"/>
      <w:lvlJc w:val="left"/>
      <w:pPr>
        <w:ind w:left="9932" w:hanging="501"/>
      </w:pPr>
      <w:rPr>
        <w:rFonts w:hint="default"/>
      </w:rPr>
    </w:lvl>
  </w:abstractNum>
  <w:abstractNum w:abstractNumId="74">
    <w:nsid w:val="4D712586"/>
    <w:multiLevelType w:val="hybridMultilevel"/>
    <w:tmpl w:val="7ABABC5A"/>
    <w:lvl w:ilvl="0" w:tplc="4E5EDC84">
      <w:start w:val="1"/>
      <w:numFmt w:val="bullet"/>
      <w:lvlText w:val="•"/>
      <w:lvlJc w:val="left"/>
      <w:pPr>
        <w:ind w:left="335" w:hanging="227"/>
      </w:pPr>
      <w:rPr>
        <w:rFonts w:ascii="Avenir Next Condensed" w:eastAsia="Avenir Next Condensed" w:hAnsi="Avenir Next Condensed" w:hint="default"/>
        <w:sz w:val="18"/>
        <w:szCs w:val="18"/>
      </w:rPr>
    </w:lvl>
    <w:lvl w:ilvl="1" w:tplc="69C40850">
      <w:start w:val="1"/>
      <w:numFmt w:val="bullet"/>
      <w:lvlText w:val="•"/>
      <w:lvlJc w:val="left"/>
      <w:pPr>
        <w:ind w:left="770" w:hanging="227"/>
      </w:pPr>
      <w:rPr>
        <w:rFonts w:hint="default"/>
      </w:rPr>
    </w:lvl>
    <w:lvl w:ilvl="2" w:tplc="38E622DC">
      <w:start w:val="1"/>
      <w:numFmt w:val="bullet"/>
      <w:lvlText w:val="•"/>
      <w:lvlJc w:val="left"/>
      <w:pPr>
        <w:ind w:left="1206" w:hanging="227"/>
      </w:pPr>
      <w:rPr>
        <w:rFonts w:hint="default"/>
      </w:rPr>
    </w:lvl>
    <w:lvl w:ilvl="3" w:tplc="D05619C8">
      <w:start w:val="1"/>
      <w:numFmt w:val="bullet"/>
      <w:lvlText w:val="•"/>
      <w:lvlJc w:val="left"/>
      <w:pPr>
        <w:ind w:left="1641" w:hanging="227"/>
      </w:pPr>
      <w:rPr>
        <w:rFonts w:hint="default"/>
      </w:rPr>
    </w:lvl>
    <w:lvl w:ilvl="4" w:tplc="4EF21032">
      <w:start w:val="1"/>
      <w:numFmt w:val="bullet"/>
      <w:lvlText w:val="•"/>
      <w:lvlJc w:val="left"/>
      <w:pPr>
        <w:ind w:left="2077" w:hanging="227"/>
      </w:pPr>
      <w:rPr>
        <w:rFonts w:hint="default"/>
      </w:rPr>
    </w:lvl>
    <w:lvl w:ilvl="5" w:tplc="913648F8">
      <w:start w:val="1"/>
      <w:numFmt w:val="bullet"/>
      <w:lvlText w:val="•"/>
      <w:lvlJc w:val="left"/>
      <w:pPr>
        <w:ind w:left="2512" w:hanging="227"/>
      </w:pPr>
      <w:rPr>
        <w:rFonts w:hint="default"/>
      </w:rPr>
    </w:lvl>
    <w:lvl w:ilvl="6" w:tplc="E856CB48">
      <w:start w:val="1"/>
      <w:numFmt w:val="bullet"/>
      <w:lvlText w:val="•"/>
      <w:lvlJc w:val="left"/>
      <w:pPr>
        <w:ind w:left="2948" w:hanging="227"/>
      </w:pPr>
      <w:rPr>
        <w:rFonts w:hint="default"/>
      </w:rPr>
    </w:lvl>
    <w:lvl w:ilvl="7" w:tplc="1FA41BE8">
      <w:start w:val="1"/>
      <w:numFmt w:val="bullet"/>
      <w:lvlText w:val="•"/>
      <w:lvlJc w:val="left"/>
      <w:pPr>
        <w:ind w:left="3383" w:hanging="227"/>
      </w:pPr>
      <w:rPr>
        <w:rFonts w:hint="default"/>
      </w:rPr>
    </w:lvl>
    <w:lvl w:ilvl="8" w:tplc="E94CA2D2">
      <w:start w:val="1"/>
      <w:numFmt w:val="bullet"/>
      <w:lvlText w:val="•"/>
      <w:lvlJc w:val="left"/>
      <w:pPr>
        <w:ind w:left="3819" w:hanging="227"/>
      </w:pPr>
      <w:rPr>
        <w:rFonts w:hint="default"/>
      </w:rPr>
    </w:lvl>
  </w:abstractNum>
  <w:abstractNum w:abstractNumId="75">
    <w:nsid w:val="4DD81BDD"/>
    <w:multiLevelType w:val="multilevel"/>
    <w:tmpl w:val="26560878"/>
    <w:lvl w:ilvl="0">
      <w:start w:val="7"/>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76">
    <w:nsid w:val="4E607DFA"/>
    <w:multiLevelType w:val="hybridMultilevel"/>
    <w:tmpl w:val="7390BCF8"/>
    <w:lvl w:ilvl="0" w:tplc="30D01AFA">
      <w:start w:val="1"/>
      <w:numFmt w:val="bullet"/>
      <w:lvlText w:val="•"/>
      <w:lvlJc w:val="left"/>
      <w:pPr>
        <w:ind w:left="335" w:hanging="227"/>
      </w:pPr>
      <w:rPr>
        <w:rFonts w:ascii="Avenir Next Condensed" w:eastAsia="Avenir Next Condensed" w:hAnsi="Avenir Next Condensed" w:hint="default"/>
        <w:sz w:val="18"/>
        <w:szCs w:val="18"/>
      </w:rPr>
    </w:lvl>
    <w:lvl w:ilvl="1" w:tplc="4A82B16C">
      <w:start w:val="1"/>
      <w:numFmt w:val="bullet"/>
      <w:lvlText w:val="•"/>
      <w:lvlJc w:val="left"/>
      <w:pPr>
        <w:ind w:left="1101" w:hanging="227"/>
      </w:pPr>
      <w:rPr>
        <w:rFonts w:hint="default"/>
      </w:rPr>
    </w:lvl>
    <w:lvl w:ilvl="2" w:tplc="EA901E0A">
      <w:start w:val="1"/>
      <w:numFmt w:val="bullet"/>
      <w:lvlText w:val="•"/>
      <w:lvlJc w:val="left"/>
      <w:pPr>
        <w:ind w:left="1868" w:hanging="227"/>
      </w:pPr>
      <w:rPr>
        <w:rFonts w:hint="default"/>
      </w:rPr>
    </w:lvl>
    <w:lvl w:ilvl="3" w:tplc="CE9E1AE2">
      <w:start w:val="1"/>
      <w:numFmt w:val="bullet"/>
      <w:lvlText w:val="•"/>
      <w:lvlJc w:val="left"/>
      <w:pPr>
        <w:ind w:left="2634" w:hanging="227"/>
      </w:pPr>
      <w:rPr>
        <w:rFonts w:hint="default"/>
      </w:rPr>
    </w:lvl>
    <w:lvl w:ilvl="4" w:tplc="ADAE876E">
      <w:start w:val="1"/>
      <w:numFmt w:val="bullet"/>
      <w:lvlText w:val="•"/>
      <w:lvlJc w:val="left"/>
      <w:pPr>
        <w:ind w:left="3401" w:hanging="227"/>
      </w:pPr>
      <w:rPr>
        <w:rFonts w:hint="default"/>
      </w:rPr>
    </w:lvl>
    <w:lvl w:ilvl="5" w:tplc="140A4472">
      <w:start w:val="1"/>
      <w:numFmt w:val="bullet"/>
      <w:lvlText w:val="•"/>
      <w:lvlJc w:val="left"/>
      <w:pPr>
        <w:ind w:left="4167" w:hanging="227"/>
      </w:pPr>
      <w:rPr>
        <w:rFonts w:hint="default"/>
      </w:rPr>
    </w:lvl>
    <w:lvl w:ilvl="6" w:tplc="20387880">
      <w:start w:val="1"/>
      <w:numFmt w:val="bullet"/>
      <w:lvlText w:val="•"/>
      <w:lvlJc w:val="left"/>
      <w:pPr>
        <w:ind w:left="4934" w:hanging="227"/>
      </w:pPr>
      <w:rPr>
        <w:rFonts w:hint="default"/>
      </w:rPr>
    </w:lvl>
    <w:lvl w:ilvl="7" w:tplc="458449E0">
      <w:start w:val="1"/>
      <w:numFmt w:val="bullet"/>
      <w:lvlText w:val="•"/>
      <w:lvlJc w:val="left"/>
      <w:pPr>
        <w:ind w:left="5700" w:hanging="227"/>
      </w:pPr>
      <w:rPr>
        <w:rFonts w:hint="default"/>
      </w:rPr>
    </w:lvl>
    <w:lvl w:ilvl="8" w:tplc="9EF8086E">
      <w:start w:val="1"/>
      <w:numFmt w:val="bullet"/>
      <w:lvlText w:val="•"/>
      <w:lvlJc w:val="left"/>
      <w:pPr>
        <w:ind w:left="6467" w:hanging="227"/>
      </w:pPr>
      <w:rPr>
        <w:rFonts w:hint="default"/>
      </w:rPr>
    </w:lvl>
  </w:abstractNum>
  <w:abstractNum w:abstractNumId="77">
    <w:nsid w:val="4FA07205"/>
    <w:multiLevelType w:val="hybridMultilevel"/>
    <w:tmpl w:val="F5FC5600"/>
    <w:lvl w:ilvl="0" w:tplc="CDA0F8B2">
      <w:start w:val="1"/>
      <w:numFmt w:val="bullet"/>
      <w:lvlText w:val="•"/>
      <w:lvlJc w:val="left"/>
      <w:pPr>
        <w:ind w:left="335" w:hanging="227"/>
      </w:pPr>
      <w:rPr>
        <w:rFonts w:ascii="Avenir Next Condensed" w:eastAsia="Avenir Next Condensed" w:hAnsi="Avenir Next Condensed" w:hint="default"/>
        <w:sz w:val="18"/>
        <w:szCs w:val="18"/>
      </w:rPr>
    </w:lvl>
    <w:lvl w:ilvl="1" w:tplc="78F23E20">
      <w:start w:val="1"/>
      <w:numFmt w:val="bullet"/>
      <w:lvlText w:val="•"/>
      <w:lvlJc w:val="left"/>
      <w:pPr>
        <w:ind w:left="1101" w:hanging="227"/>
      </w:pPr>
      <w:rPr>
        <w:rFonts w:hint="default"/>
      </w:rPr>
    </w:lvl>
    <w:lvl w:ilvl="2" w:tplc="C6AA0F34">
      <w:start w:val="1"/>
      <w:numFmt w:val="bullet"/>
      <w:lvlText w:val="•"/>
      <w:lvlJc w:val="left"/>
      <w:pPr>
        <w:ind w:left="1868" w:hanging="227"/>
      </w:pPr>
      <w:rPr>
        <w:rFonts w:hint="default"/>
      </w:rPr>
    </w:lvl>
    <w:lvl w:ilvl="3" w:tplc="8C868C1C">
      <w:start w:val="1"/>
      <w:numFmt w:val="bullet"/>
      <w:lvlText w:val="•"/>
      <w:lvlJc w:val="left"/>
      <w:pPr>
        <w:ind w:left="2634" w:hanging="227"/>
      </w:pPr>
      <w:rPr>
        <w:rFonts w:hint="default"/>
      </w:rPr>
    </w:lvl>
    <w:lvl w:ilvl="4" w:tplc="AA8AEB82">
      <w:start w:val="1"/>
      <w:numFmt w:val="bullet"/>
      <w:lvlText w:val="•"/>
      <w:lvlJc w:val="left"/>
      <w:pPr>
        <w:ind w:left="3401" w:hanging="227"/>
      </w:pPr>
      <w:rPr>
        <w:rFonts w:hint="default"/>
      </w:rPr>
    </w:lvl>
    <w:lvl w:ilvl="5" w:tplc="689C9680">
      <w:start w:val="1"/>
      <w:numFmt w:val="bullet"/>
      <w:lvlText w:val="•"/>
      <w:lvlJc w:val="left"/>
      <w:pPr>
        <w:ind w:left="4167" w:hanging="227"/>
      </w:pPr>
      <w:rPr>
        <w:rFonts w:hint="default"/>
      </w:rPr>
    </w:lvl>
    <w:lvl w:ilvl="6" w:tplc="1B32C1CA">
      <w:start w:val="1"/>
      <w:numFmt w:val="bullet"/>
      <w:lvlText w:val="•"/>
      <w:lvlJc w:val="left"/>
      <w:pPr>
        <w:ind w:left="4934" w:hanging="227"/>
      </w:pPr>
      <w:rPr>
        <w:rFonts w:hint="default"/>
      </w:rPr>
    </w:lvl>
    <w:lvl w:ilvl="7" w:tplc="1C88D6D2">
      <w:start w:val="1"/>
      <w:numFmt w:val="bullet"/>
      <w:lvlText w:val="•"/>
      <w:lvlJc w:val="left"/>
      <w:pPr>
        <w:ind w:left="5700" w:hanging="227"/>
      </w:pPr>
      <w:rPr>
        <w:rFonts w:hint="default"/>
      </w:rPr>
    </w:lvl>
    <w:lvl w:ilvl="8" w:tplc="F4FABAC6">
      <w:start w:val="1"/>
      <w:numFmt w:val="bullet"/>
      <w:lvlText w:val="•"/>
      <w:lvlJc w:val="left"/>
      <w:pPr>
        <w:ind w:left="6467" w:hanging="227"/>
      </w:pPr>
      <w:rPr>
        <w:rFonts w:hint="default"/>
      </w:rPr>
    </w:lvl>
  </w:abstractNum>
  <w:abstractNum w:abstractNumId="78">
    <w:nsid w:val="50161553"/>
    <w:multiLevelType w:val="hybridMultilevel"/>
    <w:tmpl w:val="70ACDE8A"/>
    <w:lvl w:ilvl="0" w:tplc="0A8C1CC8">
      <w:start w:val="1"/>
      <w:numFmt w:val="lowerLetter"/>
      <w:lvlText w:val="(%1)"/>
      <w:lvlJc w:val="left"/>
      <w:pPr>
        <w:ind w:left="1587" w:hanging="341"/>
      </w:pPr>
      <w:rPr>
        <w:rFonts w:ascii="Avenir Next" w:eastAsia="Avenir Next" w:hAnsi="Avenir Next" w:hint="default"/>
        <w:sz w:val="20"/>
        <w:szCs w:val="20"/>
      </w:rPr>
    </w:lvl>
    <w:lvl w:ilvl="1" w:tplc="AD9EFB54">
      <w:start w:val="1"/>
      <w:numFmt w:val="bullet"/>
      <w:lvlText w:val="•"/>
      <w:lvlJc w:val="left"/>
      <w:pPr>
        <w:ind w:left="2619" w:hanging="341"/>
      </w:pPr>
      <w:rPr>
        <w:rFonts w:hint="default"/>
      </w:rPr>
    </w:lvl>
    <w:lvl w:ilvl="2" w:tplc="8EC45934">
      <w:start w:val="1"/>
      <w:numFmt w:val="bullet"/>
      <w:lvlText w:val="•"/>
      <w:lvlJc w:val="left"/>
      <w:pPr>
        <w:ind w:left="3651" w:hanging="341"/>
      </w:pPr>
      <w:rPr>
        <w:rFonts w:hint="default"/>
      </w:rPr>
    </w:lvl>
    <w:lvl w:ilvl="3" w:tplc="95EE70F4">
      <w:start w:val="1"/>
      <w:numFmt w:val="bullet"/>
      <w:lvlText w:val="•"/>
      <w:lvlJc w:val="left"/>
      <w:pPr>
        <w:ind w:left="4682" w:hanging="341"/>
      </w:pPr>
      <w:rPr>
        <w:rFonts w:hint="default"/>
      </w:rPr>
    </w:lvl>
    <w:lvl w:ilvl="4" w:tplc="AB64BFAE">
      <w:start w:val="1"/>
      <w:numFmt w:val="bullet"/>
      <w:lvlText w:val="•"/>
      <w:lvlJc w:val="left"/>
      <w:pPr>
        <w:ind w:left="5714" w:hanging="341"/>
      </w:pPr>
      <w:rPr>
        <w:rFonts w:hint="default"/>
      </w:rPr>
    </w:lvl>
    <w:lvl w:ilvl="5" w:tplc="2152B542">
      <w:start w:val="1"/>
      <w:numFmt w:val="bullet"/>
      <w:lvlText w:val="•"/>
      <w:lvlJc w:val="left"/>
      <w:pPr>
        <w:ind w:left="6746" w:hanging="341"/>
      </w:pPr>
      <w:rPr>
        <w:rFonts w:hint="default"/>
      </w:rPr>
    </w:lvl>
    <w:lvl w:ilvl="6" w:tplc="13B0CC4A">
      <w:start w:val="1"/>
      <w:numFmt w:val="bullet"/>
      <w:lvlText w:val="•"/>
      <w:lvlJc w:val="left"/>
      <w:pPr>
        <w:ind w:left="7778" w:hanging="341"/>
      </w:pPr>
      <w:rPr>
        <w:rFonts w:hint="default"/>
      </w:rPr>
    </w:lvl>
    <w:lvl w:ilvl="7" w:tplc="E7044332">
      <w:start w:val="1"/>
      <w:numFmt w:val="bullet"/>
      <w:lvlText w:val="•"/>
      <w:lvlJc w:val="left"/>
      <w:pPr>
        <w:ind w:left="8810" w:hanging="341"/>
      </w:pPr>
      <w:rPr>
        <w:rFonts w:hint="default"/>
      </w:rPr>
    </w:lvl>
    <w:lvl w:ilvl="8" w:tplc="50E4A1EE">
      <w:start w:val="1"/>
      <w:numFmt w:val="bullet"/>
      <w:lvlText w:val="•"/>
      <w:lvlJc w:val="left"/>
      <w:pPr>
        <w:ind w:left="9841" w:hanging="341"/>
      </w:pPr>
      <w:rPr>
        <w:rFonts w:hint="default"/>
      </w:rPr>
    </w:lvl>
  </w:abstractNum>
  <w:abstractNum w:abstractNumId="79">
    <w:nsid w:val="512F42C7"/>
    <w:multiLevelType w:val="hybridMultilevel"/>
    <w:tmpl w:val="16E23E14"/>
    <w:lvl w:ilvl="0" w:tplc="D48816CA">
      <w:start w:val="7"/>
      <w:numFmt w:val="decimal"/>
      <w:lvlText w:val="%1."/>
      <w:lvlJc w:val="left"/>
      <w:pPr>
        <w:ind w:left="2593" w:hanging="212"/>
        <w:jc w:val="right"/>
      </w:pPr>
      <w:rPr>
        <w:rFonts w:ascii="Avenir Next" w:eastAsia="Avenir Next" w:hAnsi="Avenir Next" w:hint="default"/>
        <w:sz w:val="20"/>
        <w:szCs w:val="20"/>
      </w:rPr>
    </w:lvl>
    <w:lvl w:ilvl="1" w:tplc="B5983594">
      <w:start w:val="1"/>
      <w:numFmt w:val="bullet"/>
      <w:lvlText w:val="•"/>
      <w:lvlJc w:val="left"/>
      <w:pPr>
        <w:ind w:left="2593" w:hanging="212"/>
      </w:pPr>
      <w:rPr>
        <w:rFonts w:hint="default"/>
      </w:rPr>
    </w:lvl>
    <w:lvl w:ilvl="2" w:tplc="B7D27F26">
      <w:start w:val="1"/>
      <w:numFmt w:val="bullet"/>
      <w:lvlText w:val="•"/>
      <w:lvlJc w:val="left"/>
      <w:pPr>
        <w:ind w:left="3628" w:hanging="212"/>
      </w:pPr>
      <w:rPr>
        <w:rFonts w:hint="default"/>
      </w:rPr>
    </w:lvl>
    <w:lvl w:ilvl="3" w:tplc="6E2C1AB6">
      <w:start w:val="1"/>
      <w:numFmt w:val="bullet"/>
      <w:lvlText w:val="•"/>
      <w:lvlJc w:val="left"/>
      <w:pPr>
        <w:ind w:left="4662" w:hanging="212"/>
      </w:pPr>
      <w:rPr>
        <w:rFonts w:hint="default"/>
      </w:rPr>
    </w:lvl>
    <w:lvl w:ilvl="4" w:tplc="2B061430">
      <w:start w:val="1"/>
      <w:numFmt w:val="bullet"/>
      <w:lvlText w:val="•"/>
      <w:lvlJc w:val="left"/>
      <w:pPr>
        <w:ind w:left="5697" w:hanging="212"/>
      </w:pPr>
      <w:rPr>
        <w:rFonts w:hint="default"/>
      </w:rPr>
    </w:lvl>
    <w:lvl w:ilvl="5" w:tplc="D6FACF56">
      <w:start w:val="1"/>
      <w:numFmt w:val="bullet"/>
      <w:lvlText w:val="•"/>
      <w:lvlJc w:val="left"/>
      <w:pPr>
        <w:ind w:left="6732" w:hanging="212"/>
      </w:pPr>
      <w:rPr>
        <w:rFonts w:hint="default"/>
      </w:rPr>
    </w:lvl>
    <w:lvl w:ilvl="6" w:tplc="94D659AC">
      <w:start w:val="1"/>
      <w:numFmt w:val="bullet"/>
      <w:lvlText w:val="•"/>
      <w:lvlJc w:val="left"/>
      <w:pPr>
        <w:ind w:left="7766" w:hanging="212"/>
      </w:pPr>
      <w:rPr>
        <w:rFonts w:hint="default"/>
      </w:rPr>
    </w:lvl>
    <w:lvl w:ilvl="7" w:tplc="A6160774">
      <w:start w:val="1"/>
      <w:numFmt w:val="bullet"/>
      <w:lvlText w:val="•"/>
      <w:lvlJc w:val="left"/>
      <w:pPr>
        <w:ind w:left="8801" w:hanging="212"/>
      </w:pPr>
      <w:rPr>
        <w:rFonts w:hint="default"/>
      </w:rPr>
    </w:lvl>
    <w:lvl w:ilvl="8" w:tplc="49C43E3C">
      <w:start w:val="1"/>
      <w:numFmt w:val="bullet"/>
      <w:lvlText w:val="•"/>
      <w:lvlJc w:val="left"/>
      <w:pPr>
        <w:ind w:left="9836" w:hanging="212"/>
      </w:pPr>
      <w:rPr>
        <w:rFonts w:hint="default"/>
      </w:rPr>
    </w:lvl>
  </w:abstractNum>
  <w:abstractNum w:abstractNumId="80">
    <w:nsid w:val="52554EA8"/>
    <w:multiLevelType w:val="hybridMultilevel"/>
    <w:tmpl w:val="AC92D17E"/>
    <w:lvl w:ilvl="0" w:tplc="587611D2">
      <w:start w:val="1"/>
      <w:numFmt w:val="decimal"/>
      <w:lvlText w:val="%1."/>
      <w:lvlJc w:val="left"/>
      <w:pPr>
        <w:ind w:left="1569" w:hanging="323"/>
      </w:pPr>
      <w:rPr>
        <w:rFonts w:ascii="Avenir Next Medium" w:eastAsia="Avenir Next Medium" w:hAnsi="Avenir Next Medium" w:hint="default"/>
        <w:color w:val="0778BE"/>
        <w:sz w:val="30"/>
        <w:szCs w:val="30"/>
      </w:rPr>
    </w:lvl>
    <w:lvl w:ilvl="1" w:tplc="EE90C2B0">
      <w:start w:val="1"/>
      <w:numFmt w:val="bullet"/>
      <w:lvlText w:val="•"/>
      <w:lvlJc w:val="left"/>
      <w:pPr>
        <w:ind w:left="2603" w:hanging="323"/>
      </w:pPr>
      <w:rPr>
        <w:rFonts w:hint="default"/>
      </w:rPr>
    </w:lvl>
    <w:lvl w:ilvl="2" w:tplc="63A2DE46">
      <w:start w:val="1"/>
      <w:numFmt w:val="bullet"/>
      <w:lvlText w:val="•"/>
      <w:lvlJc w:val="left"/>
      <w:pPr>
        <w:ind w:left="3636" w:hanging="323"/>
      </w:pPr>
      <w:rPr>
        <w:rFonts w:hint="default"/>
      </w:rPr>
    </w:lvl>
    <w:lvl w:ilvl="3" w:tplc="D2102F44">
      <w:start w:val="1"/>
      <w:numFmt w:val="bullet"/>
      <w:lvlText w:val="•"/>
      <w:lvlJc w:val="left"/>
      <w:pPr>
        <w:ind w:left="4670" w:hanging="323"/>
      </w:pPr>
      <w:rPr>
        <w:rFonts w:hint="default"/>
      </w:rPr>
    </w:lvl>
    <w:lvl w:ilvl="4" w:tplc="A48E60CA">
      <w:start w:val="1"/>
      <w:numFmt w:val="bullet"/>
      <w:lvlText w:val="•"/>
      <w:lvlJc w:val="left"/>
      <w:pPr>
        <w:ind w:left="5704" w:hanging="323"/>
      </w:pPr>
      <w:rPr>
        <w:rFonts w:hint="default"/>
      </w:rPr>
    </w:lvl>
    <w:lvl w:ilvl="5" w:tplc="869819D4">
      <w:start w:val="1"/>
      <w:numFmt w:val="bullet"/>
      <w:lvlText w:val="•"/>
      <w:lvlJc w:val="left"/>
      <w:pPr>
        <w:ind w:left="6737" w:hanging="323"/>
      </w:pPr>
      <w:rPr>
        <w:rFonts w:hint="default"/>
      </w:rPr>
    </w:lvl>
    <w:lvl w:ilvl="6" w:tplc="20360482">
      <w:start w:val="1"/>
      <w:numFmt w:val="bullet"/>
      <w:lvlText w:val="•"/>
      <w:lvlJc w:val="left"/>
      <w:pPr>
        <w:ind w:left="7771" w:hanging="323"/>
      </w:pPr>
      <w:rPr>
        <w:rFonts w:hint="default"/>
      </w:rPr>
    </w:lvl>
    <w:lvl w:ilvl="7" w:tplc="45EAB070">
      <w:start w:val="1"/>
      <w:numFmt w:val="bullet"/>
      <w:lvlText w:val="•"/>
      <w:lvlJc w:val="left"/>
      <w:pPr>
        <w:ind w:left="8804" w:hanging="323"/>
      </w:pPr>
      <w:rPr>
        <w:rFonts w:hint="default"/>
      </w:rPr>
    </w:lvl>
    <w:lvl w:ilvl="8" w:tplc="450C32DA">
      <w:start w:val="1"/>
      <w:numFmt w:val="bullet"/>
      <w:lvlText w:val="•"/>
      <w:lvlJc w:val="left"/>
      <w:pPr>
        <w:ind w:left="9838" w:hanging="323"/>
      </w:pPr>
      <w:rPr>
        <w:rFonts w:hint="default"/>
      </w:rPr>
    </w:lvl>
  </w:abstractNum>
  <w:abstractNum w:abstractNumId="81">
    <w:nsid w:val="526533CF"/>
    <w:multiLevelType w:val="hybridMultilevel"/>
    <w:tmpl w:val="935E2534"/>
    <w:lvl w:ilvl="0" w:tplc="B7163BAE">
      <w:start w:val="1"/>
      <w:numFmt w:val="bullet"/>
      <w:lvlText w:val="•"/>
      <w:lvlJc w:val="left"/>
      <w:pPr>
        <w:ind w:left="335" w:hanging="227"/>
      </w:pPr>
      <w:rPr>
        <w:rFonts w:ascii="Avenir Next Condensed" w:eastAsia="Avenir Next Condensed" w:hAnsi="Avenir Next Condensed" w:hint="default"/>
        <w:sz w:val="18"/>
        <w:szCs w:val="18"/>
      </w:rPr>
    </w:lvl>
    <w:lvl w:ilvl="1" w:tplc="F206657E">
      <w:start w:val="1"/>
      <w:numFmt w:val="bullet"/>
      <w:lvlText w:val="•"/>
      <w:lvlJc w:val="left"/>
      <w:pPr>
        <w:ind w:left="770" w:hanging="227"/>
      </w:pPr>
      <w:rPr>
        <w:rFonts w:hint="default"/>
      </w:rPr>
    </w:lvl>
    <w:lvl w:ilvl="2" w:tplc="F2927B8A">
      <w:start w:val="1"/>
      <w:numFmt w:val="bullet"/>
      <w:lvlText w:val="•"/>
      <w:lvlJc w:val="left"/>
      <w:pPr>
        <w:ind w:left="1206" w:hanging="227"/>
      </w:pPr>
      <w:rPr>
        <w:rFonts w:hint="default"/>
      </w:rPr>
    </w:lvl>
    <w:lvl w:ilvl="3" w:tplc="CAA6DDE8">
      <w:start w:val="1"/>
      <w:numFmt w:val="bullet"/>
      <w:lvlText w:val="•"/>
      <w:lvlJc w:val="left"/>
      <w:pPr>
        <w:ind w:left="1641" w:hanging="227"/>
      </w:pPr>
      <w:rPr>
        <w:rFonts w:hint="default"/>
      </w:rPr>
    </w:lvl>
    <w:lvl w:ilvl="4" w:tplc="D0E6847A">
      <w:start w:val="1"/>
      <w:numFmt w:val="bullet"/>
      <w:lvlText w:val="•"/>
      <w:lvlJc w:val="left"/>
      <w:pPr>
        <w:ind w:left="2077" w:hanging="227"/>
      </w:pPr>
      <w:rPr>
        <w:rFonts w:hint="default"/>
      </w:rPr>
    </w:lvl>
    <w:lvl w:ilvl="5" w:tplc="C61A4970">
      <w:start w:val="1"/>
      <w:numFmt w:val="bullet"/>
      <w:lvlText w:val="•"/>
      <w:lvlJc w:val="left"/>
      <w:pPr>
        <w:ind w:left="2512" w:hanging="227"/>
      </w:pPr>
      <w:rPr>
        <w:rFonts w:hint="default"/>
      </w:rPr>
    </w:lvl>
    <w:lvl w:ilvl="6" w:tplc="C9F65942">
      <w:start w:val="1"/>
      <w:numFmt w:val="bullet"/>
      <w:lvlText w:val="•"/>
      <w:lvlJc w:val="left"/>
      <w:pPr>
        <w:ind w:left="2948" w:hanging="227"/>
      </w:pPr>
      <w:rPr>
        <w:rFonts w:hint="default"/>
      </w:rPr>
    </w:lvl>
    <w:lvl w:ilvl="7" w:tplc="B36244B4">
      <w:start w:val="1"/>
      <w:numFmt w:val="bullet"/>
      <w:lvlText w:val="•"/>
      <w:lvlJc w:val="left"/>
      <w:pPr>
        <w:ind w:left="3383" w:hanging="227"/>
      </w:pPr>
      <w:rPr>
        <w:rFonts w:hint="default"/>
      </w:rPr>
    </w:lvl>
    <w:lvl w:ilvl="8" w:tplc="13EA4DBE">
      <w:start w:val="1"/>
      <w:numFmt w:val="bullet"/>
      <w:lvlText w:val="•"/>
      <w:lvlJc w:val="left"/>
      <w:pPr>
        <w:ind w:left="3819" w:hanging="227"/>
      </w:pPr>
      <w:rPr>
        <w:rFonts w:hint="default"/>
      </w:rPr>
    </w:lvl>
  </w:abstractNum>
  <w:abstractNum w:abstractNumId="82">
    <w:nsid w:val="52B533C8"/>
    <w:multiLevelType w:val="hybridMultilevel"/>
    <w:tmpl w:val="8F2AC2EC"/>
    <w:lvl w:ilvl="0" w:tplc="7FDA72B2">
      <w:start w:val="1"/>
      <w:numFmt w:val="bullet"/>
      <w:lvlText w:val="•"/>
      <w:lvlJc w:val="left"/>
      <w:pPr>
        <w:ind w:left="226" w:hanging="227"/>
      </w:pPr>
      <w:rPr>
        <w:rFonts w:ascii="Avenir Next Condensed" w:eastAsia="Avenir Next Condensed" w:hAnsi="Avenir Next Condensed" w:hint="default"/>
        <w:sz w:val="20"/>
        <w:szCs w:val="20"/>
      </w:rPr>
    </w:lvl>
    <w:lvl w:ilvl="1" w:tplc="79288F3C">
      <w:start w:val="1"/>
      <w:numFmt w:val="bullet"/>
      <w:lvlText w:val="•"/>
      <w:lvlJc w:val="left"/>
      <w:pPr>
        <w:ind w:left="712" w:hanging="227"/>
      </w:pPr>
      <w:rPr>
        <w:rFonts w:hint="default"/>
      </w:rPr>
    </w:lvl>
    <w:lvl w:ilvl="2" w:tplc="54B04172">
      <w:start w:val="1"/>
      <w:numFmt w:val="bullet"/>
      <w:lvlText w:val="•"/>
      <w:lvlJc w:val="left"/>
      <w:pPr>
        <w:ind w:left="1199" w:hanging="227"/>
      </w:pPr>
      <w:rPr>
        <w:rFonts w:hint="default"/>
      </w:rPr>
    </w:lvl>
    <w:lvl w:ilvl="3" w:tplc="2556B664">
      <w:start w:val="1"/>
      <w:numFmt w:val="bullet"/>
      <w:lvlText w:val="•"/>
      <w:lvlJc w:val="left"/>
      <w:pPr>
        <w:ind w:left="1685" w:hanging="227"/>
      </w:pPr>
      <w:rPr>
        <w:rFonts w:hint="default"/>
      </w:rPr>
    </w:lvl>
    <w:lvl w:ilvl="4" w:tplc="CCF6AE08">
      <w:start w:val="1"/>
      <w:numFmt w:val="bullet"/>
      <w:lvlText w:val="•"/>
      <w:lvlJc w:val="left"/>
      <w:pPr>
        <w:ind w:left="2171" w:hanging="227"/>
      </w:pPr>
      <w:rPr>
        <w:rFonts w:hint="default"/>
      </w:rPr>
    </w:lvl>
    <w:lvl w:ilvl="5" w:tplc="EDAA3992">
      <w:start w:val="1"/>
      <w:numFmt w:val="bullet"/>
      <w:lvlText w:val="•"/>
      <w:lvlJc w:val="left"/>
      <w:pPr>
        <w:ind w:left="2657" w:hanging="227"/>
      </w:pPr>
      <w:rPr>
        <w:rFonts w:hint="default"/>
      </w:rPr>
    </w:lvl>
    <w:lvl w:ilvl="6" w:tplc="22F2E558">
      <w:start w:val="1"/>
      <w:numFmt w:val="bullet"/>
      <w:lvlText w:val="•"/>
      <w:lvlJc w:val="left"/>
      <w:pPr>
        <w:ind w:left="3143" w:hanging="227"/>
      </w:pPr>
      <w:rPr>
        <w:rFonts w:hint="default"/>
      </w:rPr>
    </w:lvl>
    <w:lvl w:ilvl="7" w:tplc="18A4D36A">
      <w:start w:val="1"/>
      <w:numFmt w:val="bullet"/>
      <w:lvlText w:val="•"/>
      <w:lvlJc w:val="left"/>
      <w:pPr>
        <w:ind w:left="3629" w:hanging="227"/>
      </w:pPr>
      <w:rPr>
        <w:rFonts w:hint="default"/>
      </w:rPr>
    </w:lvl>
    <w:lvl w:ilvl="8" w:tplc="040CC020">
      <w:start w:val="1"/>
      <w:numFmt w:val="bullet"/>
      <w:lvlText w:val="•"/>
      <w:lvlJc w:val="left"/>
      <w:pPr>
        <w:ind w:left="4115" w:hanging="227"/>
      </w:pPr>
      <w:rPr>
        <w:rFonts w:hint="default"/>
      </w:rPr>
    </w:lvl>
  </w:abstractNum>
  <w:abstractNum w:abstractNumId="83">
    <w:nsid w:val="53423F7A"/>
    <w:multiLevelType w:val="hybridMultilevel"/>
    <w:tmpl w:val="C1FC8DFC"/>
    <w:lvl w:ilvl="0" w:tplc="775219FC">
      <w:start w:val="222"/>
      <w:numFmt w:val="decimal"/>
      <w:lvlText w:val="%1"/>
      <w:lvlJc w:val="left"/>
      <w:pPr>
        <w:ind w:left="1757" w:hanging="511"/>
      </w:pPr>
      <w:rPr>
        <w:rFonts w:ascii="Avenir Next" w:eastAsia="Avenir Next" w:hAnsi="Avenir Next" w:hint="default"/>
        <w:sz w:val="16"/>
        <w:szCs w:val="16"/>
      </w:rPr>
    </w:lvl>
    <w:lvl w:ilvl="1" w:tplc="297CE564">
      <w:start w:val="1"/>
      <w:numFmt w:val="bullet"/>
      <w:lvlText w:val="•"/>
      <w:lvlJc w:val="left"/>
      <w:pPr>
        <w:ind w:left="1984" w:hanging="227"/>
      </w:pPr>
      <w:rPr>
        <w:rFonts w:ascii="Avenir Next" w:eastAsia="Avenir Next" w:hAnsi="Avenir Next" w:hint="default"/>
        <w:sz w:val="16"/>
        <w:szCs w:val="16"/>
      </w:rPr>
    </w:lvl>
    <w:lvl w:ilvl="2" w:tplc="E962E618">
      <w:start w:val="1"/>
      <w:numFmt w:val="bullet"/>
      <w:lvlText w:val="•"/>
      <w:lvlJc w:val="left"/>
      <w:pPr>
        <w:ind w:left="3086" w:hanging="227"/>
      </w:pPr>
      <w:rPr>
        <w:rFonts w:hint="default"/>
      </w:rPr>
    </w:lvl>
    <w:lvl w:ilvl="3" w:tplc="D1229F70">
      <w:start w:val="1"/>
      <w:numFmt w:val="bullet"/>
      <w:lvlText w:val="•"/>
      <w:lvlJc w:val="left"/>
      <w:pPr>
        <w:ind w:left="4188" w:hanging="227"/>
      </w:pPr>
      <w:rPr>
        <w:rFonts w:hint="default"/>
      </w:rPr>
    </w:lvl>
    <w:lvl w:ilvl="4" w:tplc="215ABD38">
      <w:start w:val="1"/>
      <w:numFmt w:val="bullet"/>
      <w:lvlText w:val="•"/>
      <w:lvlJc w:val="left"/>
      <w:pPr>
        <w:ind w:left="5291" w:hanging="227"/>
      </w:pPr>
      <w:rPr>
        <w:rFonts w:hint="default"/>
      </w:rPr>
    </w:lvl>
    <w:lvl w:ilvl="5" w:tplc="BB345C12">
      <w:start w:val="1"/>
      <w:numFmt w:val="bullet"/>
      <w:lvlText w:val="•"/>
      <w:lvlJc w:val="left"/>
      <w:pPr>
        <w:ind w:left="6393" w:hanging="227"/>
      </w:pPr>
      <w:rPr>
        <w:rFonts w:hint="default"/>
      </w:rPr>
    </w:lvl>
    <w:lvl w:ilvl="6" w:tplc="900A6DDE">
      <w:start w:val="1"/>
      <w:numFmt w:val="bullet"/>
      <w:lvlText w:val="•"/>
      <w:lvlJc w:val="left"/>
      <w:pPr>
        <w:ind w:left="7496" w:hanging="227"/>
      </w:pPr>
      <w:rPr>
        <w:rFonts w:hint="default"/>
      </w:rPr>
    </w:lvl>
    <w:lvl w:ilvl="7" w:tplc="45D6A14C">
      <w:start w:val="1"/>
      <w:numFmt w:val="bullet"/>
      <w:lvlText w:val="•"/>
      <w:lvlJc w:val="left"/>
      <w:pPr>
        <w:ind w:left="8598" w:hanging="227"/>
      </w:pPr>
      <w:rPr>
        <w:rFonts w:hint="default"/>
      </w:rPr>
    </w:lvl>
    <w:lvl w:ilvl="8" w:tplc="89EEFD0A">
      <w:start w:val="1"/>
      <w:numFmt w:val="bullet"/>
      <w:lvlText w:val="•"/>
      <w:lvlJc w:val="left"/>
      <w:pPr>
        <w:ind w:left="9700" w:hanging="227"/>
      </w:pPr>
      <w:rPr>
        <w:rFonts w:hint="default"/>
      </w:rPr>
    </w:lvl>
  </w:abstractNum>
  <w:abstractNum w:abstractNumId="84">
    <w:nsid w:val="537B51DC"/>
    <w:multiLevelType w:val="hybridMultilevel"/>
    <w:tmpl w:val="4EAA5E36"/>
    <w:lvl w:ilvl="0" w:tplc="B6929B02">
      <w:start w:val="28"/>
      <w:numFmt w:val="decimal"/>
      <w:lvlText w:val="%1"/>
      <w:lvlJc w:val="left"/>
      <w:pPr>
        <w:ind w:left="1757" w:hanging="511"/>
      </w:pPr>
      <w:rPr>
        <w:rFonts w:ascii="Avenir Next" w:eastAsia="Avenir Next" w:hAnsi="Avenir Next" w:hint="default"/>
        <w:sz w:val="16"/>
        <w:szCs w:val="16"/>
      </w:rPr>
    </w:lvl>
    <w:lvl w:ilvl="1" w:tplc="268C34FA">
      <w:start w:val="1"/>
      <w:numFmt w:val="bullet"/>
      <w:lvlText w:val="•"/>
      <w:lvlJc w:val="left"/>
      <w:pPr>
        <w:ind w:left="2772" w:hanging="511"/>
      </w:pPr>
      <w:rPr>
        <w:rFonts w:hint="default"/>
      </w:rPr>
    </w:lvl>
    <w:lvl w:ilvl="2" w:tplc="BD6094EA">
      <w:start w:val="1"/>
      <w:numFmt w:val="bullet"/>
      <w:lvlText w:val="•"/>
      <w:lvlJc w:val="left"/>
      <w:pPr>
        <w:ind w:left="3787" w:hanging="511"/>
      </w:pPr>
      <w:rPr>
        <w:rFonts w:hint="default"/>
      </w:rPr>
    </w:lvl>
    <w:lvl w:ilvl="3" w:tplc="7B04B2A6">
      <w:start w:val="1"/>
      <w:numFmt w:val="bullet"/>
      <w:lvlText w:val="•"/>
      <w:lvlJc w:val="left"/>
      <w:pPr>
        <w:ind w:left="4801" w:hanging="511"/>
      </w:pPr>
      <w:rPr>
        <w:rFonts w:hint="default"/>
      </w:rPr>
    </w:lvl>
    <w:lvl w:ilvl="4" w:tplc="3FAE4452">
      <w:start w:val="1"/>
      <w:numFmt w:val="bullet"/>
      <w:lvlText w:val="•"/>
      <w:lvlJc w:val="left"/>
      <w:pPr>
        <w:ind w:left="5816" w:hanging="511"/>
      </w:pPr>
      <w:rPr>
        <w:rFonts w:hint="default"/>
      </w:rPr>
    </w:lvl>
    <w:lvl w:ilvl="5" w:tplc="8138CEDE">
      <w:start w:val="1"/>
      <w:numFmt w:val="bullet"/>
      <w:lvlText w:val="•"/>
      <w:lvlJc w:val="left"/>
      <w:pPr>
        <w:ind w:left="6831" w:hanging="511"/>
      </w:pPr>
      <w:rPr>
        <w:rFonts w:hint="default"/>
      </w:rPr>
    </w:lvl>
    <w:lvl w:ilvl="6" w:tplc="CCFEA9BE">
      <w:start w:val="1"/>
      <w:numFmt w:val="bullet"/>
      <w:lvlText w:val="•"/>
      <w:lvlJc w:val="left"/>
      <w:pPr>
        <w:ind w:left="7846" w:hanging="511"/>
      </w:pPr>
      <w:rPr>
        <w:rFonts w:hint="default"/>
      </w:rPr>
    </w:lvl>
    <w:lvl w:ilvl="7" w:tplc="6ABAB9FE">
      <w:start w:val="1"/>
      <w:numFmt w:val="bullet"/>
      <w:lvlText w:val="•"/>
      <w:lvlJc w:val="left"/>
      <w:pPr>
        <w:ind w:left="8861" w:hanging="511"/>
      </w:pPr>
      <w:rPr>
        <w:rFonts w:hint="default"/>
      </w:rPr>
    </w:lvl>
    <w:lvl w:ilvl="8" w:tplc="F2DEBB3A">
      <w:start w:val="1"/>
      <w:numFmt w:val="bullet"/>
      <w:lvlText w:val="•"/>
      <w:lvlJc w:val="left"/>
      <w:pPr>
        <w:ind w:left="9875" w:hanging="511"/>
      </w:pPr>
      <w:rPr>
        <w:rFonts w:hint="default"/>
      </w:rPr>
    </w:lvl>
  </w:abstractNum>
  <w:abstractNum w:abstractNumId="85">
    <w:nsid w:val="551E1E4F"/>
    <w:multiLevelType w:val="multilevel"/>
    <w:tmpl w:val="60D66E36"/>
    <w:lvl w:ilvl="0">
      <w:start w:val="9"/>
      <w:numFmt w:val="decimal"/>
      <w:lvlText w:val="%1"/>
      <w:lvlJc w:val="left"/>
      <w:pPr>
        <w:ind w:left="2097" w:hanging="851"/>
      </w:pPr>
      <w:rPr>
        <w:rFonts w:hint="default"/>
      </w:rPr>
    </w:lvl>
    <w:lvl w:ilvl="1">
      <w:start w:val="5"/>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86">
    <w:nsid w:val="5555621E"/>
    <w:multiLevelType w:val="hybridMultilevel"/>
    <w:tmpl w:val="A9F836E0"/>
    <w:lvl w:ilvl="0" w:tplc="C09E1E9A">
      <w:start w:val="39"/>
      <w:numFmt w:val="decimal"/>
      <w:lvlText w:val="%1"/>
      <w:lvlJc w:val="left"/>
      <w:pPr>
        <w:ind w:left="1757" w:hanging="511"/>
      </w:pPr>
      <w:rPr>
        <w:rFonts w:ascii="Avenir Next" w:eastAsia="Avenir Next" w:hAnsi="Avenir Next" w:hint="default"/>
        <w:sz w:val="16"/>
        <w:szCs w:val="16"/>
      </w:rPr>
    </w:lvl>
    <w:lvl w:ilvl="1" w:tplc="7D50F1D0">
      <w:start w:val="1"/>
      <w:numFmt w:val="bullet"/>
      <w:lvlText w:val="•"/>
      <w:lvlJc w:val="left"/>
      <w:pPr>
        <w:ind w:left="2772" w:hanging="511"/>
      </w:pPr>
      <w:rPr>
        <w:rFonts w:hint="default"/>
      </w:rPr>
    </w:lvl>
    <w:lvl w:ilvl="2" w:tplc="38E2878E">
      <w:start w:val="1"/>
      <w:numFmt w:val="bullet"/>
      <w:lvlText w:val="•"/>
      <w:lvlJc w:val="left"/>
      <w:pPr>
        <w:ind w:left="3787" w:hanging="511"/>
      </w:pPr>
      <w:rPr>
        <w:rFonts w:hint="default"/>
      </w:rPr>
    </w:lvl>
    <w:lvl w:ilvl="3" w:tplc="E2427838">
      <w:start w:val="1"/>
      <w:numFmt w:val="bullet"/>
      <w:lvlText w:val="•"/>
      <w:lvlJc w:val="left"/>
      <w:pPr>
        <w:ind w:left="4801" w:hanging="511"/>
      </w:pPr>
      <w:rPr>
        <w:rFonts w:hint="default"/>
      </w:rPr>
    </w:lvl>
    <w:lvl w:ilvl="4" w:tplc="8C18080C">
      <w:start w:val="1"/>
      <w:numFmt w:val="bullet"/>
      <w:lvlText w:val="•"/>
      <w:lvlJc w:val="left"/>
      <w:pPr>
        <w:ind w:left="5816" w:hanging="511"/>
      </w:pPr>
      <w:rPr>
        <w:rFonts w:hint="default"/>
      </w:rPr>
    </w:lvl>
    <w:lvl w:ilvl="5" w:tplc="34D40674">
      <w:start w:val="1"/>
      <w:numFmt w:val="bullet"/>
      <w:lvlText w:val="•"/>
      <w:lvlJc w:val="left"/>
      <w:pPr>
        <w:ind w:left="6831" w:hanging="511"/>
      </w:pPr>
      <w:rPr>
        <w:rFonts w:hint="default"/>
      </w:rPr>
    </w:lvl>
    <w:lvl w:ilvl="6" w:tplc="11506CA4">
      <w:start w:val="1"/>
      <w:numFmt w:val="bullet"/>
      <w:lvlText w:val="•"/>
      <w:lvlJc w:val="left"/>
      <w:pPr>
        <w:ind w:left="7846" w:hanging="511"/>
      </w:pPr>
      <w:rPr>
        <w:rFonts w:hint="default"/>
      </w:rPr>
    </w:lvl>
    <w:lvl w:ilvl="7" w:tplc="51DE3092">
      <w:start w:val="1"/>
      <w:numFmt w:val="bullet"/>
      <w:lvlText w:val="•"/>
      <w:lvlJc w:val="left"/>
      <w:pPr>
        <w:ind w:left="8861" w:hanging="511"/>
      </w:pPr>
      <w:rPr>
        <w:rFonts w:hint="default"/>
      </w:rPr>
    </w:lvl>
    <w:lvl w:ilvl="8" w:tplc="C71CF9F4">
      <w:start w:val="1"/>
      <w:numFmt w:val="bullet"/>
      <w:lvlText w:val="•"/>
      <w:lvlJc w:val="left"/>
      <w:pPr>
        <w:ind w:left="9875" w:hanging="511"/>
      </w:pPr>
      <w:rPr>
        <w:rFonts w:hint="default"/>
      </w:rPr>
    </w:lvl>
  </w:abstractNum>
  <w:abstractNum w:abstractNumId="87">
    <w:nsid w:val="574D744C"/>
    <w:multiLevelType w:val="multilevel"/>
    <w:tmpl w:val="AC8C0092"/>
    <w:lvl w:ilvl="0">
      <w:start w:val="11"/>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88">
    <w:nsid w:val="57843C1E"/>
    <w:multiLevelType w:val="hybridMultilevel"/>
    <w:tmpl w:val="3216D368"/>
    <w:lvl w:ilvl="0" w:tplc="EC72879C">
      <w:start w:val="68"/>
      <w:numFmt w:val="decimal"/>
      <w:lvlText w:val="%1"/>
      <w:lvlJc w:val="left"/>
      <w:pPr>
        <w:ind w:left="1757" w:hanging="511"/>
      </w:pPr>
      <w:rPr>
        <w:rFonts w:ascii="Avenir Next" w:eastAsia="Avenir Next" w:hAnsi="Avenir Next" w:hint="default"/>
        <w:sz w:val="16"/>
        <w:szCs w:val="16"/>
      </w:rPr>
    </w:lvl>
    <w:lvl w:ilvl="1" w:tplc="E4728E4C">
      <w:start w:val="1"/>
      <w:numFmt w:val="bullet"/>
      <w:lvlText w:val="•"/>
      <w:lvlJc w:val="left"/>
      <w:pPr>
        <w:ind w:left="2097" w:hanging="284"/>
      </w:pPr>
      <w:rPr>
        <w:rFonts w:ascii="Avenir Next" w:eastAsia="Avenir Next" w:hAnsi="Avenir Next" w:hint="default"/>
        <w:sz w:val="16"/>
        <w:szCs w:val="16"/>
      </w:rPr>
    </w:lvl>
    <w:lvl w:ilvl="2" w:tplc="67767F8A">
      <w:start w:val="1"/>
      <w:numFmt w:val="bullet"/>
      <w:lvlText w:val="•"/>
      <w:lvlJc w:val="left"/>
      <w:pPr>
        <w:ind w:left="3187" w:hanging="284"/>
      </w:pPr>
      <w:rPr>
        <w:rFonts w:hint="default"/>
      </w:rPr>
    </w:lvl>
    <w:lvl w:ilvl="3" w:tplc="47AE7092">
      <w:start w:val="1"/>
      <w:numFmt w:val="bullet"/>
      <w:lvlText w:val="•"/>
      <w:lvlJc w:val="left"/>
      <w:pPr>
        <w:ind w:left="4277" w:hanging="284"/>
      </w:pPr>
      <w:rPr>
        <w:rFonts w:hint="default"/>
      </w:rPr>
    </w:lvl>
    <w:lvl w:ilvl="4" w:tplc="F17CDEE6">
      <w:start w:val="1"/>
      <w:numFmt w:val="bullet"/>
      <w:lvlText w:val="•"/>
      <w:lvlJc w:val="left"/>
      <w:pPr>
        <w:ind w:left="5366" w:hanging="284"/>
      </w:pPr>
      <w:rPr>
        <w:rFonts w:hint="default"/>
      </w:rPr>
    </w:lvl>
    <w:lvl w:ilvl="5" w:tplc="AEB6E9AA">
      <w:start w:val="1"/>
      <w:numFmt w:val="bullet"/>
      <w:lvlText w:val="•"/>
      <w:lvlJc w:val="left"/>
      <w:pPr>
        <w:ind w:left="6456" w:hanging="284"/>
      </w:pPr>
      <w:rPr>
        <w:rFonts w:hint="default"/>
      </w:rPr>
    </w:lvl>
    <w:lvl w:ilvl="6" w:tplc="E5E0689E">
      <w:start w:val="1"/>
      <w:numFmt w:val="bullet"/>
      <w:lvlText w:val="•"/>
      <w:lvlJc w:val="left"/>
      <w:pPr>
        <w:ind w:left="7546" w:hanging="284"/>
      </w:pPr>
      <w:rPr>
        <w:rFonts w:hint="default"/>
      </w:rPr>
    </w:lvl>
    <w:lvl w:ilvl="7" w:tplc="0E84367E">
      <w:start w:val="1"/>
      <w:numFmt w:val="bullet"/>
      <w:lvlText w:val="•"/>
      <w:lvlJc w:val="left"/>
      <w:pPr>
        <w:ind w:left="8636" w:hanging="284"/>
      </w:pPr>
      <w:rPr>
        <w:rFonts w:hint="default"/>
      </w:rPr>
    </w:lvl>
    <w:lvl w:ilvl="8" w:tplc="083A04B6">
      <w:start w:val="1"/>
      <w:numFmt w:val="bullet"/>
      <w:lvlText w:val="•"/>
      <w:lvlJc w:val="left"/>
      <w:pPr>
        <w:ind w:left="9726" w:hanging="284"/>
      </w:pPr>
      <w:rPr>
        <w:rFonts w:hint="default"/>
      </w:rPr>
    </w:lvl>
  </w:abstractNum>
  <w:abstractNum w:abstractNumId="89">
    <w:nsid w:val="57FA49D0"/>
    <w:multiLevelType w:val="multilevel"/>
    <w:tmpl w:val="30360FF4"/>
    <w:lvl w:ilvl="0">
      <w:start w:val="6"/>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90">
    <w:nsid w:val="58114E22"/>
    <w:multiLevelType w:val="hybridMultilevel"/>
    <w:tmpl w:val="6DFE00BA"/>
    <w:lvl w:ilvl="0" w:tplc="52AE2D82">
      <w:start w:val="3"/>
      <w:numFmt w:val="decimal"/>
      <w:lvlText w:val="%1."/>
      <w:lvlJc w:val="left"/>
      <w:pPr>
        <w:ind w:left="1569" w:hanging="323"/>
      </w:pPr>
      <w:rPr>
        <w:rFonts w:ascii="Avenir Next Medium" w:eastAsia="Avenir Next Medium" w:hAnsi="Avenir Next Medium" w:hint="default"/>
        <w:color w:val="0778BE"/>
        <w:sz w:val="30"/>
        <w:szCs w:val="30"/>
      </w:rPr>
    </w:lvl>
    <w:lvl w:ilvl="1" w:tplc="1BAE232A">
      <w:start w:val="1"/>
      <w:numFmt w:val="bullet"/>
      <w:lvlText w:val="•"/>
      <w:lvlJc w:val="left"/>
      <w:pPr>
        <w:ind w:left="2603" w:hanging="323"/>
      </w:pPr>
      <w:rPr>
        <w:rFonts w:hint="default"/>
      </w:rPr>
    </w:lvl>
    <w:lvl w:ilvl="2" w:tplc="46687484">
      <w:start w:val="1"/>
      <w:numFmt w:val="bullet"/>
      <w:lvlText w:val="•"/>
      <w:lvlJc w:val="left"/>
      <w:pPr>
        <w:ind w:left="3636" w:hanging="323"/>
      </w:pPr>
      <w:rPr>
        <w:rFonts w:hint="default"/>
      </w:rPr>
    </w:lvl>
    <w:lvl w:ilvl="3" w:tplc="6B424580">
      <w:start w:val="1"/>
      <w:numFmt w:val="bullet"/>
      <w:lvlText w:val="•"/>
      <w:lvlJc w:val="left"/>
      <w:pPr>
        <w:ind w:left="4670" w:hanging="323"/>
      </w:pPr>
      <w:rPr>
        <w:rFonts w:hint="default"/>
      </w:rPr>
    </w:lvl>
    <w:lvl w:ilvl="4" w:tplc="C77ED2D4">
      <w:start w:val="1"/>
      <w:numFmt w:val="bullet"/>
      <w:lvlText w:val="•"/>
      <w:lvlJc w:val="left"/>
      <w:pPr>
        <w:ind w:left="5704" w:hanging="323"/>
      </w:pPr>
      <w:rPr>
        <w:rFonts w:hint="default"/>
      </w:rPr>
    </w:lvl>
    <w:lvl w:ilvl="5" w:tplc="C868D56C">
      <w:start w:val="1"/>
      <w:numFmt w:val="bullet"/>
      <w:lvlText w:val="•"/>
      <w:lvlJc w:val="left"/>
      <w:pPr>
        <w:ind w:left="6737" w:hanging="323"/>
      </w:pPr>
      <w:rPr>
        <w:rFonts w:hint="default"/>
      </w:rPr>
    </w:lvl>
    <w:lvl w:ilvl="6" w:tplc="2B642AA6">
      <w:start w:val="1"/>
      <w:numFmt w:val="bullet"/>
      <w:lvlText w:val="•"/>
      <w:lvlJc w:val="left"/>
      <w:pPr>
        <w:ind w:left="7771" w:hanging="323"/>
      </w:pPr>
      <w:rPr>
        <w:rFonts w:hint="default"/>
      </w:rPr>
    </w:lvl>
    <w:lvl w:ilvl="7" w:tplc="9A1A5216">
      <w:start w:val="1"/>
      <w:numFmt w:val="bullet"/>
      <w:lvlText w:val="•"/>
      <w:lvlJc w:val="left"/>
      <w:pPr>
        <w:ind w:left="8804" w:hanging="323"/>
      </w:pPr>
      <w:rPr>
        <w:rFonts w:hint="default"/>
      </w:rPr>
    </w:lvl>
    <w:lvl w:ilvl="8" w:tplc="9328FA2A">
      <w:start w:val="1"/>
      <w:numFmt w:val="bullet"/>
      <w:lvlText w:val="•"/>
      <w:lvlJc w:val="left"/>
      <w:pPr>
        <w:ind w:left="9838" w:hanging="323"/>
      </w:pPr>
      <w:rPr>
        <w:rFonts w:hint="default"/>
      </w:rPr>
    </w:lvl>
  </w:abstractNum>
  <w:abstractNum w:abstractNumId="91">
    <w:nsid w:val="58673B0A"/>
    <w:multiLevelType w:val="hybridMultilevel"/>
    <w:tmpl w:val="5EF09A24"/>
    <w:lvl w:ilvl="0" w:tplc="FDA8CB2C">
      <w:start w:val="1"/>
      <w:numFmt w:val="bullet"/>
      <w:lvlText w:val="•"/>
      <w:lvlJc w:val="left"/>
      <w:pPr>
        <w:ind w:left="335" w:hanging="227"/>
      </w:pPr>
      <w:rPr>
        <w:rFonts w:ascii="Avenir Next Condensed" w:eastAsia="Avenir Next Condensed" w:hAnsi="Avenir Next Condensed" w:hint="default"/>
        <w:sz w:val="18"/>
        <w:szCs w:val="18"/>
      </w:rPr>
    </w:lvl>
    <w:lvl w:ilvl="1" w:tplc="F4AE4D04">
      <w:start w:val="1"/>
      <w:numFmt w:val="bullet"/>
      <w:lvlText w:val="•"/>
      <w:lvlJc w:val="left"/>
      <w:pPr>
        <w:ind w:left="770" w:hanging="227"/>
      </w:pPr>
      <w:rPr>
        <w:rFonts w:hint="default"/>
      </w:rPr>
    </w:lvl>
    <w:lvl w:ilvl="2" w:tplc="295E8702">
      <w:start w:val="1"/>
      <w:numFmt w:val="bullet"/>
      <w:lvlText w:val="•"/>
      <w:lvlJc w:val="left"/>
      <w:pPr>
        <w:ind w:left="1206" w:hanging="227"/>
      </w:pPr>
      <w:rPr>
        <w:rFonts w:hint="default"/>
      </w:rPr>
    </w:lvl>
    <w:lvl w:ilvl="3" w:tplc="E606F73C">
      <w:start w:val="1"/>
      <w:numFmt w:val="bullet"/>
      <w:lvlText w:val="•"/>
      <w:lvlJc w:val="left"/>
      <w:pPr>
        <w:ind w:left="1641" w:hanging="227"/>
      </w:pPr>
      <w:rPr>
        <w:rFonts w:hint="default"/>
      </w:rPr>
    </w:lvl>
    <w:lvl w:ilvl="4" w:tplc="7E667B4E">
      <w:start w:val="1"/>
      <w:numFmt w:val="bullet"/>
      <w:lvlText w:val="•"/>
      <w:lvlJc w:val="left"/>
      <w:pPr>
        <w:ind w:left="2077" w:hanging="227"/>
      </w:pPr>
      <w:rPr>
        <w:rFonts w:hint="default"/>
      </w:rPr>
    </w:lvl>
    <w:lvl w:ilvl="5" w:tplc="D3CE2274">
      <w:start w:val="1"/>
      <w:numFmt w:val="bullet"/>
      <w:lvlText w:val="•"/>
      <w:lvlJc w:val="left"/>
      <w:pPr>
        <w:ind w:left="2512" w:hanging="227"/>
      </w:pPr>
      <w:rPr>
        <w:rFonts w:hint="default"/>
      </w:rPr>
    </w:lvl>
    <w:lvl w:ilvl="6" w:tplc="0A1C2278">
      <w:start w:val="1"/>
      <w:numFmt w:val="bullet"/>
      <w:lvlText w:val="•"/>
      <w:lvlJc w:val="left"/>
      <w:pPr>
        <w:ind w:left="2948" w:hanging="227"/>
      </w:pPr>
      <w:rPr>
        <w:rFonts w:hint="default"/>
      </w:rPr>
    </w:lvl>
    <w:lvl w:ilvl="7" w:tplc="B430087C">
      <w:start w:val="1"/>
      <w:numFmt w:val="bullet"/>
      <w:lvlText w:val="•"/>
      <w:lvlJc w:val="left"/>
      <w:pPr>
        <w:ind w:left="3383" w:hanging="227"/>
      </w:pPr>
      <w:rPr>
        <w:rFonts w:hint="default"/>
      </w:rPr>
    </w:lvl>
    <w:lvl w:ilvl="8" w:tplc="DC0A113E">
      <w:start w:val="1"/>
      <w:numFmt w:val="bullet"/>
      <w:lvlText w:val="•"/>
      <w:lvlJc w:val="left"/>
      <w:pPr>
        <w:ind w:left="3819" w:hanging="227"/>
      </w:pPr>
      <w:rPr>
        <w:rFonts w:hint="default"/>
      </w:rPr>
    </w:lvl>
  </w:abstractNum>
  <w:abstractNum w:abstractNumId="92">
    <w:nsid w:val="5B423186"/>
    <w:multiLevelType w:val="hybridMultilevel"/>
    <w:tmpl w:val="50DEA998"/>
    <w:lvl w:ilvl="0" w:tplc="D41CDB64">
      <w:start w:val="1"/>
      <w:numFmt w:val="bullet"/>
      <w:lvlText w:val="•"/>
      <w:lvlJc w:val="left"/>
      <w:pPr>
        <w:ind w:left="334" w:hanging="227"/>
      </w:pPr>
      <w:rPr>
        <w:rFonts w:ascii="Avenir Next Condensed" w:eastAsia="Avenir Next Condensed" w:hAnsi="Avenir Next Condensed" w:hint="default"/>
        <w:sz w:val="18"/>
        <w:szCs w:val="18"/>
      </w:rPr>
    </w:lvl>
    <w:lvl w:ilvl="1" w:tplc="4704F2E0">
      <w:start w:val="1"/>
      <w:numFmt w:val="bullet"/>
      <w:lvlText w:val="•"/>
      <w:lvlJc w:val="left"/>
      <w:pPr>
        <w:ind w:left="875" w:hanging="227"/>
      </w:pPr>
      <w:rPr>
        <w:rFonts w:hint="default"/>
      </w:rPr>
    </w:lvl>
    <w:lvl w:ilvl="2" w:tplc="17B038E2">
      <w:start w:val="1"/>
      <w:numFmt w:val="bullet"/>
      <w:lvlText w:val="•"/>
      <w:lvlJc w:val="left"/>
      <w:pPr>
        <w:ind w:left="1416" w:hanging="227"/>
      </w:pPr>
      <w:rPr>
        <w:rFonts w:hint="default"/>
      </w:rPr>
    </w:lvl>
    <w:lvl w:ilvl="3" w:tplc="8CD8C6EA">
      <w:start w:val="1"/>
      <w:numFmt w:val="bullet"/>
      <w:lvlText w:val="•"/>
      <w:lvlJc w:val="left"/>
      <w:pPr>
        <w:ind w:left="1957" w:hanging="227"/>
      </w:pPr>
      <w:rPr>
        <w:rFonts w:hint="default"/>
      </w:rPr>
    </w:lvl>
    <w:lvl w:ilvl="4" w:tplc="AEDA8488">
      <w:start w:val="1"/>
      <w:numFmt w:val="bullet"/>
      <w:lvlText w:val="•"/>
      <w:lvlJc w:val="left"/>
      <w:pPr>
        <w:ind w:left="2498" w:hanging="227"/>
      </w:pPr>
      <w:rPr>
        <w:rFonts w:hint="default"/>
      </w:rPr>
    </w:lvl>
    <w:lvl w:ilvl="5" w:tplc="CC5ECB00">
      <w:start w:val="1"/>
      <w:numFmt w:val="bullet"/>
      <w:lvlText w:val="•"/>
      <w:lvlJc w:val="left"/>
      <w:pPr>
        <w:ind w:left="3039" w:hanging="227"/>
      </w:pPr>
      <w:rPr>
        <w:rFonts w:hint="default"/>
      </w:rPr>
    </w:lvl>
    <w:lvl w:ilvl="6" w:tplc="32BA5E08">
      <w:start w:val="1"/>
      <w:numFmt w:val="bullet"/>
      <w:lvlText w:val="•"/>
      <w:lvlJc w:val="left"/>
      <w:pPr>
        <w:ind w:left="3580" w:hanging="227"/>
      </w:pPr>
      <w:rPr>
        <w:rFonts w:hint="default"/>
      </w:rPr>
    </w:lvl>
    <w:lvl w:ilvl="7" w:tplc="C12AD92C">
      <w:start w:val="1"/>
      <w:numFmt w:val="bullet"/>
      <w:lvlText w:val="•"/>
      <w:lvlJc w:val="left"/>
      <w:pPr>
        <w:ind w:left="4122" w:hanging="227"/>
      </w:pPr>
      <w:rPr>
        <w:rFonts w:hint="default"/>
      </w:rPr>
    </w:lvl>
    <w:lvl w:ilvl="8" w:tplc="18109BEA">
      <w:start w:val="1"/>
      <w:numFmt w:val="bullet"/>
      <w:lvlText w:val="•"/>
      <w:lvlJc w:val="left"/>
      <w:pPr>
        <w:ind w:left="4663" w:hanging="227"/>
      </w:pPr>
      <w:rPr>
        <w:rFonts w:hint="default"/>
      </w:rPr>
    </w:lvl>
  </w:abstractNum>
  <w:abstractNum w:abstractNumId="93">
    <w:nsid w:val="5B69171B"/>
    <w:multiLevelType w:val="hybridMultilevel"/>
    <w:tmpl w:val="239EDA64"/>
    <w:lvl w:ilvl="0" w:tplc="BF76A7E2">
      <w:start w:val="1"/>
      <w:numFmt w:val="bullet"/>
      <w:lvlText w:val="•"/>
      <w:lvlJc w:val="left"/>
      <w:pPr>
        <w:ind w:left="335" w:hanging="227"/>
      </w:pPr>
      <w:rPr>
        <w:rFonts w:ascii="Avenir Next Condensed" w:eastAsia="Avenir Next Condensed" w:hAnsi="Avenir Next Condensed" w:hint="default"/>
        <w:sz w:val="18"/>
        <w:szCs w:val="18"/>
      </w:rPr>
    </w:lvl>
    <w:lvl w:ilvl="1" w:tplc="180ABFCE">
      <w:start w:val="1"/>
      <w:numFmt w:val="bullet"/>
      <w:lvlText w:val="•"/>
      <w:lvlJc w:val="left"/>
      <w:pPr>
        <w:ind w:left="770" w:hanging="227"/>
      </w:pPr>
      <w:rPr>
        <w:rFonts w:hint="default"/>
      </w:rPr>
    </w:lvl>
    <w:lvl w:ilvl="2" w:tplc="F2960F6E">
      <w:start w:val="1"/>
      <w:numFmt w:val="bullet"/>
      <w:lvlText w:val="•"/>
      <w:lvlJc w:val="left"/>
      <w:pPr>
        <w:ind w:left="1206" w:hanging="227"/>
      </w:pPr>
      <w:rPr>
        <w:rFonts w:hint="default"/>
      </w:rPr>
    </w:lvl>
    <w:lvl w:ilvl="3" w:tplc="4848534A">
      <w:start w:val="1"/>
      <w:numFmt w:val="bullet"/>
      <w:lvlText w:val="•"/>
      <w:lvlJc w:val="left"/>
      <w:pPr>
        <w:ind w:left="1641" w:hanging="227"/>
      </w:pPr>
      <w:rPr>
        <w:rFonts w:hint="default"/>
      </w:rPr>
    </w:lvl>
    <w:lvl w:ilvl="4" w:tplc="8F705870">
      <w:start w:val="1"/>
      <w:numFmt w:val="bullet"/>
      <w:lvlText w:val="•"/>
      <w:lvlJc w:val="left"/>
      <w:pPr>
        <w:ind w:left="2077" w:hanging="227"/>
      </w:pPr>
      <w:rPr>
        <w:rFonts w:hint="default"/>
      </w:rPr>
    </w:lvl>
    <w:lvl w:ilvl="5" w:tplc="15F262B4">
      <w:start w:val="1"/>
      <w:numFmt w:val="bullet"/>
      <w:lvlText w:val="•"/>
      <w:lvlJc w:val="left"/>
      <w:pPr>
        <w:ind w:left="2512" w:hanging="227"/>
      </w:pPr>
      <w:rPr>
        <w:rFonts w:hint="default"/>
      </w:rPr>
    </w:lvl>
    <w:lvl w:ilvl="6" w:tplc="01903A18">
      <w:start w:val="1"/>
      <w:numFmt w:val="bullet"/>
      <w:lvlText w:val="•"/>
      <w:lvlJc w:val="left"/>
      <w:pPr>
        <w:ind w:left="2948" w:hanging="227"/>
      </w:pPr>
      <w:rPr>
        <w:rFonts w:hint="default"/>
      </w:rPr>
    </w:lvl>
    <w:lvl w:ilvl="7" w:tplc="0534EA1E">
      <w:start w:val="1"/>
      <w:numFmt w:val="bullet"/>
      <w:lvlText w:val="•"/>
      <w:lvlJc w:val="left"/>
      <w:pPr>
        <w:ind w:left="3383" w:hanging="227"/>
      </w:pPr>
      <w:rPr>
        <w:rFonts w:hint="default"/>
      </w:rPr>
    </w:lvl>
    <w:lvl w:ilvl="8" w:tplc="35F4205C">
      <w:start w:val="1"/>
      <w:numFmt w:val="bullet"/>
      <w:lvlText w:val="•"/>
      <w:lvlJc w:val="left"/>
      <w:pPr>
        <w:ind w:left="3819" w:hanging="227"/>
      </w:pPr>
      <w:rPr>
        <w:rFonts w:hint="default"/>
      </w:rPr>
    </w:lvl>
  </w:abstractNum>
  <w:abstractNum w:abstractNumId="94">
    <w:nsid w:val="5C492E34"/>
    <w:multiLevelType w:val="hybridMultilevel"/>
    <w:tmpl w:val="8E4684E6"/>
    <w:lvl w:ilvl="0" w:tplc="FF54D2BE">
      <w:start w:val="99"/>
      <w:numFmt w:val="decimal"/>
      <w:lvlText w:val="%1"/>
      <w:lvlJc w:val="left"/>
      <w:pPr>
        <w:ind w:left="1757" w:hanging="511"/>
      </w:pPr>
      <w:rPr>
        <w:rFonts w:ascii="Avenir Next" w:eastAsia="Avenir Next" w:hAnsi="Avenir Next" w:hint="default"/>
        <w:sz w:val="16"/>
        <w:szCs w:val="16"/>
      </w:rPr>
    </w:lvl>
    <w:lvl w:ilvl="1" w:tplc="684A6630">
      <w:start w:val="1"/>
      <w:numFmt w:val="bullet"/>
      <w:lvlText w:val="•"/>
      <w:lvlJc w:val="left"/>
      <w:pPr>
        <w:ind w:left="2772" w:hanging="511"/>
      </w:pPr>
      <w:rPr>
        <w:rFonts w:hint="default"/>
      </w:rPr>
    </w:lvl>
    <w:lvl w:ilvl="2" w:tplc="C9D4410C">
      <w:start w:val="1"/>
      <w:numFmt w:val="bullet"/>
      <w:lvlText w:val="•"/>
      <w:lvlJc w:val="left"/>
      <w:pPr>
        <w:ind w:left="3787" w:hanging="511"/>
      </w:pPr>
      <w:rPr>
        <w:rFonts w:hint="default"/>
      </w:rPr>
    </w:lvl>
    <w:lvl w:ilvl="3" w:tplc="D074A5F2">
      <w:start w:val="1"/>
      <w:numFmt w:val="bullet"/>
      <w:lvlText w:val="•"/>
      <w:lvlJc w:val="left"/>
      <w:pPr>
        <w:ind w:left="4801" w:hanging="511"/>
      </w:pPr>
      <w:rPr>
        <w:rFonts w:hint="default"/>
      </w:rPr>
    </w:lvl>
    <w:lvl w:ilvl="4" w:tplc="BCFA4F90">
      <w:start w:val="1"/>
      <w:numFmt w:val="bullet"/>
      <w:lvlText w:val="•"/>
      <w:lvlJc w:val="left"/>
      <w:pPr>
        <w:ind w:left="5816" w:hanging="511"/>
      </w:pPr>
      <w:rPr>
        <w:rFonts w:hint="default"/>
      </w:rPr>
    </w:lvl>
    <w:lvl w:ilvl="5" w:tplc="C9E4B10E">
      <w:start w:val="1"/>
      <w:numFmt w:val="bullet"/>
      <w:lvlText w:val="•"/>
      <w:lvlJc w:val="left"/>
      <w:pPr>
        <w:ind w:left="6831" w:hanging="511"/>
      </w:pPr>
      <w:rPr>
        <w:rFonts w:hint="default"/>
      </w:rPr>
    </w:lvl>
    <w:lvl w:ilvl="6" w:tplc="1B20074C">
      <w:start w:val="1"/>
      <w:numFmt w:val="bullet"/>
      <w:lvlText w:val="•"/>
      <w:lvlJc w:val="left"/>
      <w:pPr>
        <w:ind w:left="7846" w:hanging="511"/>
      </w:pPr>
      <w:rPr>
        <w:rFonts w:hint="default"/>
      </w:rPr>
    </w:lvl>
    <w:lvl w:ilvl="7" w:tplc="5798F96E">
      <w:start w:val="1"/>
      <w:numFmt w:val="bullet"/>
      <w:lvlText w:val="•"/>
      <w:lvlJc w:val="left"/>
      <w:pPr>
        <w:ind w:left="8861" w:hanging="511"/>
      </w:pPr>
      <w:rPr>
        <w:rFonts w:hint="default"/>
      </w:rPr>
    </w:lvl>
    <w:lvl w:ilvl="8" w:tplc="755E352A">
      <w:start w:val="1"/>
      <w:numFmt w:val="bullet"/>
      <w:lvlText w:val="•"/>
      <w:lvlJc w:val="left"/>
      <w:pPr>
        <w:ind w:left="9875" w:hanging="511"/>
      </w:pPr>
      <w:rPr>
        <w:rFonts w:hint="default"/>
      </w:rPr>
    </w:lvl>
  </w:abstractNum>
  <w:abstractNum w:abstractNumId="95">
    <w:nsid w:val="5C6F6293"/>
    <w:multiLevelType w:val="hybridMultilevel"/>
    <w:tmpl w:val="B8BCB180"/>
    <w:lvl w:ilvl="0" w:tplc="EF1C9F6C">
      <w:start w:val="1"/>
      <w:numFmt w:val="lowerLetter"/>
      <w:lvlText w:val="(%1)"/>
      <w:lvlJc w:val="left"/>
      <w:pPr>
        <w:ind w:left="1587" w:hanging="341"/>
      </w:pPr>
      <w:rPr>
        <w:rFonts w:ascii="Avenir Next" w:eastAsia="Avenir Next" w:hAnsi="Avenir Next" w:hint="default"/>
        <w:sz w:val="20"/>
        <w:szCs w:val="20"/>
      </w:rPr>
    </w:lvl>
    <w:lvl w:ilvl="1" w:tplc="A2FC1C2C">
      <w:start w:val="1"/>
      <w:numFmt w:val="bullet"/>
      <w:lvlText w:val="•"/>
      <w:lvlJc w:val="left"/>
      <w:pPr>
        <w:ind w:left="2619" w:hanging="341"/>
      </w:pPr>
      <w:rPr>
        <w:rFonts w:hint="default"/>
      </w:rPr>
    </w:lvl>
    <w:lvl w:ilvl="2" w:tplc="4D029EF4">
      <w:start w:val="1"/>
      <w:numFmt w:val="bullet"/>
      <w:lvlText w:val="•"/>
      <w:lvlJc w:val="left"/>
      <w:pPr>
        <w:ind w:left="3651" w:hanging="341"/>
      </w:pPr>
      <w:rPr>
        <w:rFonts w:hint="default"/>
      </w:rPr>
    </w:lvl>
    <w:lvl w:ilvl="3" w:tplc="94F29000">
      <w:start w:val="1"/>
      <w:numFmt w:val="bullet"/>
      <w:lvlText w:val="•"/>
      <w:lvlJc w:val="left"/>
      <w:pPr>
        <w:ind w:left="4682" w:hanging="341"/>
      </w:pPr>
      <w:rPr>
        <w:rFonts w:hint="default"/>
      </w:rPr>
    </w:lvl>
    <w:lvl w:ilvl="4" w:tplc="F4CCC4A4">
      <w:start w:val="1"/>
      <w:numFmt w:val="bullet"/>
      <w:lvlText w:val="•"/>
      <w:lvlJc w:val="left"/>
      <w:pPr>
        <w:ind w:left="5714" w:hanging="341"/>
      </w:pPr>
      <w:rPr>
        <w:rFonts w:hint="default"/>
      </w:rPr>
    </w:lvl>
    <w:lvl w:ilvl="5" w:tplc="839C9BC8">
      <w:start w:val="1"/>
      <w:numFmt w:val="bullet"/>
      <w:lvlText w:val="•"/>
      <w:lvlJc w:val="left"/>
      <w:pPr>
        <w:ind w:left="6746" w:hanging="341"/>
      </w:pPr>
      <w:rPr>
        <w:rFonts w:hint="default"/>
      </w:rPr>
    </w:lvl>
    <w:lvl w:ilvl="6" w:tplc="C2D4E3E2">
      <w:start w:val="1"/>
      <w:numFmt w:val="bullet"/>
      <w:lvlText w:val="•"/>
      <w:lvlJc w:val="left"/>
      <w:pPr>
        <w:ind w:left="7778" w:hanging="341"/>
      </w:pPr>
      <w:rPr>
        <w:rFonts w:hint="default"/>
      </w:rPr>
    </w:lvl>
    <w:lvl w:ilvl="7" w:tplc="18DCF0BA">
      <w:start w:val="1"/>
      <w:numFmt w:val="bullet"/>
      <w:lvlText w:val="•"/>
      <w:lvlJc w:val="left"/>
      <w:pPr>
        <w:ind w:left="8810" w:hanging="341"/>
      </w:pPr>
      <w:rPr>
        <w:rFonts w:hint="default"/>
      </w:rPr>
    </w:lvl>
    <w:lvl w:ilvl="8" w:tplc="C2586212">
      <w:start w:val="1"/>
      <w:numFmt w:val="bullet"/>
      <w:lvlText w:val="•"/>
      <w:lvlJc w:val="left"/>
      <w:pPr>
        <w:ind w:left="9841" w:hanging="341"/>
      </w:pPr>
      <w:rPr>
        <w:rFonts w:hint="default"/>
      </w:rPr>
    </w:lvl>
  </w:abstractNum>
  <w:abstractNum w:abstractNumId="96">
    <w:nsid w:val="5CCE0831"/>
    <w:multiLevelType w:val="multilevel"/>
    <w:tmpl w:val="76A63564"/>
    <w:lvl w:ilvl="0">
      <w:start w:val="3"/>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97">
    <w:nsid w:val="5D1943C2"/>
    <w:multiLevelType w:val="hybridMultilevel"/>
    <w:tmpl w:val="7B7A85B6"/>
    <w:lvl w:ilvl="0" w:tplc="3C6698EC">
      <w:start w:val="2"/>
      <w:numFmt w:val="decimal"/>
      <w:lvlText w:val="(%1)"/>
      <w:lvlJc w:val="left"/>
      <w:pPr>
        <w:ind w:left="1649" w:hanging="402"/>
      </w:pPr>
      <w:rPr>
        <w:rFonts w:ascii="Avenir Next" w:eastAsia="Avenir Next" w:hAnsi="Avenir Next" w:hint="default"/>
        <w:sz w:val="20"/>
        <w:szCs w:val="20"/>
      </w:rPr>
    </w:lvl>
    <w:lvl w:ilvl="1" w:tplc="0362441E">
      <w:start w:val="1"/>
      <w:numFmt w:val="decimal"/>
      <w:lvlText w:val="%2."/>
      <w:lvlJc w:val="left"/>
      <w:pPr>
        <w:ind w:left="2381" w:hanging="567"/>
      </w:pPr>
      <w:rPr>
        <w:rFonts w:ascii="Avenir Next" w:eastAsia="Avenir Next" w:hAnsi="Avenir Next" w:hint="default"/>
        <w:sz w:val="20"/>
        <w:szCs w:val="20"/>
      </w:rPr>
    </w:lvl>
    <w:lvl w:ilvl="2" w:tplc="89F4F8EE">
      <w:start w:val="1"/>
      <w:numFmt w:val="bullet"/>
      <w:lvlText w:val="•"/>
      <w:lvlJc w:val="left"/>
      <w:pPr>
        <w:ind w:left="2593" w:hanging="567"/>
      </w:pPr>
      <w:rPr>
        <w:rFonts w:hint="default"/>
      </w:rPr>
    </w:lvl>
    <w:lvl w:ilvl="3" w:tplc="4524DC7A">
      <w:start w:val="1"/>
      <w:numFmt w:val="bullet"/>
      <w:lvlText w:val="•"/>
      <w:lvlJc w:val="left"/>
      <w:pPr>
        <w:ind w:left="3757" w:hanging="567"/>
      </w:pPr>
      <w:rPr>
        <w:rFonts w:hint="default"/>
      </w:rPr>
    </w:lvl>
    <w:lvl w:ilvl="4" w:tplc="C61CC54A">
      <w:start w:val="1"/>
      <w:numFmt w:val="bullet"/>
      <w:lvlText w:val="•"/>
      <w:lvlJc w:val="left"/>
      <w:pPr>
        <w:ind w:left="4921" w:hanging="567"/>
      </w:pPr>
      <w:rPr>
        <w:rFonts w:hint="default"/>
      </w:rPr>
    </w:lvl>
    <w:lvl w:ilvl="5" w:tplc="4DFC4EB2">
      <w:start w:val="1"/>
      <w:numFmt w:val="bullet"/>
      <w:lvlText w:val="•"/>
      <w:lvlJc w:val="left"/>
      <w:pPr>
        <w:ind w:left="6085" w:hanging="567"/>
      </w:pPr>
      <w:rPr>
        <w:rFonts w:hint="default"/>
      </w:rPr>
    </w:lvl>
    <w:lvl w:ilvl="6" w:tplc="76029ED6">
      <w:start w:val="1"/>
      <w:numFmt w:val="bullet"/>
      <w:lvlText w:val="•"/>
      <w:lvlJc w:val="left"/>
      <w:pPr>
        <w:ind w:left="7249" w:hanging="567"/>
      </w:pPr>
      <w:rPr>
        <w:rFonts w:hint="default"/>
      </w:rPr>
    </w:lvl>
    <w:lvl w:ilvl="7" w:tplc="FBC0A850">
      <w:start w:val="1"/>
      <w:numFmt w:val="bullet"/>
      <w:lvlText w:val="•"/>
      <w:lvlJc w:val="left"/>
      <w:pPr>
        <w:ind w:left="8413" w:hanging="567"/>
      </w:pPr>
      <w:rPr>
        <w:rFonts w:hint="default"/>
      </w:rPr>
    </w:lvl>
    <w:lvl w:ilvl="8" w:tplc="77C8C8EE">
      <w:start w:val="1"/>
      <w:numFmt w:val="bullet"/>
      <w:lvlText w:val="•"/>
      <w:lvlJc w:val="left"/>
      <w:pPr>
        <w:ind w:left="9577" w:hanging="567"/>
      </w:pPr>
      <w:rPr>
        <w:rFonts w:hint="default"/>
      </w:rPr>
    </w:lvl>
  </w:abstractNum>
  <w:abstractNum w:abstractNumId="98">
    <w:nsid w:val="5E274472"/>
    <w:multiLevelType w:val="multilevel"/>
    <w:tmpl w:val="C5B8B712"/>
    <w:lvl w:ilvl="0">
      <w:start w:val="3"/>
      <w:numFmt w:val="decimal"/>
      <w:lvlText w:val="%1"/>
      <w:lvlJc w:val="left"/>
      <w:pPr>
        <w:ind w:left="2097" w:hanging="851"/>
      </w:pPr>
      <w:rPr>
        <w:rFonts w:hint="default"/>
      </w:rPr>
    </w:lvl>
    <w:lvl w:ilvl="1">
      <w:start w:val="4"/>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99">
    <w:nsid w:val="5EB04A76"/>
    <w:multiLevelType w:val="hybridMultilevel"/>
    <w:tmpl w:val="B1CED0EA"/>
    <w:lvl w:ilvl="0" w:tplc="1E669E5C">
      <w:start w:val="13"/>
      <w:numFmt w:val="decimal"/>
      <w:lvlText w:val="%1."/>
      <w:lvlJc w:val="left"/>
      <w:pPr>
        <w:ind w:left="1748" w:hanging="501"/>
      </w:pPr>
      <w:rPr>
        <w:rFonts w:ascii="Avenir Next Medium" w:eastAsia="Avenir Next Medium" w:hAnsi="Avenir Next Medium" w:hint="default"/>
        <w:color w:val="0778BE"/>
        <w:sz w:val="30"/>
        <w:szCs w:val="30"/>
      </w:rPr>
    </w:lvl>
    <w:lvl w:ilvl="1" w:tplc="9E940A70">
      <w:start w:val="1"/>
      <w:numFmt w:val="bullet"/>
      <w:lvlText w:val="•"/>
      <w:lvlJc w:val="left"/>
      <w:pPr>
        <w:ind w:left="2763" w:hanging="501"/>
      </w:pPr>
      <w:rPr>
        <w:rFonts w:hint="default"/>
      </w:rPr>
    </w:lvl>
    <w:lvl w:ilvl="2" w:tplc="A7CE149C">
      <w:start w:val="1"/>
      <w:numFmt w:val="bullet"/>
      <w:lvlText w:val="•"/>
      <w:lvlJc w:val="left"/>
      <w:pPr>
        <w:ind w:left="3779" w:hanging="501"/>
      </w:pPr>
      <w:rPr>
        <w:rFonts w:hint="default"/>
      </w:rPr>
    </w:lvl>
    <w:lvl w:ilvl="3" w:tplc="F8A2FCCE">
      <w:start w:val="1"/>
      <w:numFmt w:val="bullet"/>
      <w:lvlText w:val="•"/>
      <w:lvlJc w:val="left"/>
      <w:pPr>
        <w:ind w:left="4795" w:hanging="501"/>
      </w:pPr>
      <w:rPr>
        <w:rFonts w:hint="default"/>
      </w:rPr>
    </w:lvl>
    <w:lvl w:ilvl="4" w:tplc="3280E956">
      <w:start w:val="1"/>
      <w:numFmt w:val="bullet"/>
      <w:lvlText w:val="•"/>
      <w:lvlJc w:val="left"/>
      <w:pPr>
        <w:ind w:left="5811" w:hanging="501"/>
      </w:pPr>
      <w:rPr>
        <w:rFonts w:hint="default"/>
      </w:rPr>
    </w:lvl>
    <w:lvl w:ilvl="5" w:tplc="4A843FF2">
      <w:start w:val="1"/>
      <w:numFmt w:val="bullet"/>
      <w:lvlText w:val="•"/>
      <w:lvlJc w:val="left"/>
      <w:pPr>
        <w:ind w:left="6826" w:hanging="501"/>
      </w:pPr>
      <w:rPr>
        <w:rFonts w:hint="default"/>
      </w:rPr>
    </w:lvl>
    <w:lvl w:ilvl="6" w:tplc="9856BDA6">
      <w:start w:val="1"/>
      <w:numFmt w:val="bullet"/>
      <w:lvlText w:val="•"/>
      <w:lvlJc w:val="left"/>
      <w:pPr>
        <w:ind w:left="7842" w:hanging="501"/>
      </w:pPr>
      <w:rPr>
        <w:rFonts w:hint="default"/>
      </w:rPr>
    </w:lvl>
    <w:lvl w:ilvl="7" w:tplc="24984062">
      <w:start w:val="1"/>
      <w:numFmt w:val="bullet"/>
      <w:lvlText w:val="•"/>
      <w:lvlJc w:val="left"/>
      <w:pPr>
        <w:ind w:left="8858" w:hanging="501"/>
      </w:pPr>
      <w:rPr>
        <w:rFonts w:hint="default"/>
      </w:rPr>
    </w:lvl>
    <w:lvl w:ilvl="8" w:tplc="65F872BA">
      <w:start w:val="1"/>
      <w:numFmt w:val="bullet"/>
      <w:lvlText w:val="•"/>
      <w:lvlJc w:val="left"/>
      <w:pPr>
        <w:ind w:left="9874" w:hanging="501"/>
      </w:pPr>
      <w:rPr>
        <w:rFonts w:hint="default"/>
      </w:rPr>
    </w:lvl>
  </w:abstractNum>
  <w:abstractNum w:abstractNumId="100">
    <w:nsid w:val="5EB467A6"/>
    <w:multiLevelType w:val="hybridMultilevel"/>
    <w:tmpl w:val="511C00AC"/>
    <w:lvl w:ilvl="0" w:tplc="0B7630A0">
      <w:start w:val="1"/>
      <w:numFmt w:val="lowerLetter"/>
      <w:lvlText w:val="(%1)"/>
      <w:lvlJc w:val="left"/>
      <w:pPr>
        <w:ind w:left="1587" w:hanging="341"/>
      </w:pPr>
      <w:rPr>
        <w:rFonts w:ascii="Avenir Next" w:eastAsia="Avenir Next" w:hAnsi="Avenir Next" w:hint="default"/>
        <w:sz w:val="20"/>
        <w:szCs w:val="20"/>
      </w:rPr>
    </w:lvl>
    <w:lvl w:ilvl="1" w:tplc="BA90A802">
      <w:start w:val="1"/>
      <w:numFmt w:val="bullet"/>
      <w:lvlText w:val="•"/>
      <w:lvlJc w:val="left"/>
      <w:pPr>
        <w:ind w:left="2619" w:hanging="341"/>
      </w:pPr>
      <w:rPr>
        <w:rFonts w:hint="default"/>
      </w:rPr>
    </w:lvl>
    <w:lvl w:ilvl="2" w:tplc="01346070">
      <w:start w:val="1"/>
      <w:numFmt w:val="bullet"/>
      <w:lvlText w:val="•"/>
      <w:lvlJc w:val="left"/>
      <w:pPr>
        <w:ind w:left="3651" w:hanging="341"/>
      </w:pPr>
      <w:rPr>
        <w:rFonts w:hint="default"/>
      </w:rPr>
    </w:lvl>
    <w:lvl w:ilvl="3" w:tplc="23F842EE">
      <w:start w:val="1"/>
      <w:numFmt w:val="bullet"/>
      <w:lvlText w:val="•"/>
      <w:lvlJc w:val="left"/>
      <w:pPr>
        <w:ind w:left="4682" w:hanging="341"/>
      </w:pPr>
      <w:rPr>
        <w:rFonts w:hint="default"/>
      </w:rPr>
    </w:lvl>
    <w:lvl w:ilvl="4" w:tplc="F634E000">
      <w:start w:val="1"/>
      <w:numFmt w:val="bullet"/>
      <w:lvlText w:val="•"/>
      <w:lvlJc w:val="left"/>
      <w:pPr>
        <w:ind w:left="5714" w:hanging="341"/>
      </w:pPr>
      <w:rPr>
        <w:rFonts w:hint="default"/>
      </w:rPr>
    </w:lvl>
    <w:lvl w:ilvl="5" w:tplc="FBE291DE">
      <w:start w:val="1"/>
      <w:numFmt w:val="bullet"/>
      <w:lvlText w:val="•"/>
      <w:lvlJc w:val="left"/>
      <w:pPr>
        <w:ind w:left="6746" w:hanging="341"/>
      </w:pPr>
      <w:rPr>
        <w:rFonts w:hint="default"/>
      </w:rPr>
    </w:lvl>
    <w:lvl w:ilvl="6" w:tplc="8D825F7C">
      <w:start w:val="1"/>
      <w:numFmt w:val="bullet"/>
      <w:lvlText w:val="•"/>
      <w:lvlJc w:val="left"/>
      <w:pPr>
        <w:ind w:left="7778" w:hanging="341"/>
      </w:pPr>
      <w:rPr>
        <w:rFonts w:hint="default"/>
      </w:rPr>
    </w:lvl>
    <w:lvl w:ilvl="7" w:tplc="7F1E1A02">
      <w:start w:val="1"/>
      <w:numFmt w:val="bullet"/>
      <w:lvlText w:val="•"/>
      <w:lvlJc w:val="left"/>
      <w:pPr>
        <w:ind w:left="8810" w:hanging="341"/>
      </w:pPr>
      <w:rPr>
        <w:rFonts w:hint="default"/>
      </w:rPr>
    </w:lvl>
    <w:lvl w:ilvl="8" w:tplc="4864A148">
      <w:start w:val="1"/>
      <w:numFmt w:val="bullet"/>
      <w:lvlText w:val="•"/>
      <w:lvlJc w:val="left"/>
      <w:pPr>
        <w:ind w:left="9841" w:hanging="341"/>
      </w:pPr>
      <w:rPr>
        <w:rFonts w:hint="default"/>
      </w:rPr>
    </w:lvl>
  </w:abstractNum>
  <w:abstractNum w:abstractNumId="101">
    <w:nsid w:val="5EC91849"/>
    <w:multiLevelType w:val="hybridMultilevel"/>
    <w:tmpl w:val="BFF25C76"/>
    <w:lvl w:ilvl="0" w:tplc="B376412A">
      <w:start w:val="1"/>
      <w:numFmt w:val="bullet"/>
      <w:lvlText w:val="•"/>
      <w:lvlJc w:val="left"/>
      <w:pPr>
        <w:ind w:left="335" w:hanging="227"/>
      </w:pPr>
      <w:rPr>
        <w:rFonts w:ascii="Avenir Next Condensed" w:eastAsia="Avenir Next Condensed" w:hAnsi="Avenir Next Condensed" w:hint="default"/>
        <w:sz w:val="18"/>
        <w:szCs w:val="18"/>
      </w:rPr>
    </w:lvl>
    <w:lvl w:ilvl="1" w:tplc="70B2FEAC">
      <w:start w:val="1"/>
      <w:numFmt w:val="bullet"/>
      <w:lvlText w:val="•"/>
      <w:lvlJc w:val="left"/>
      <w:pPr>
        <w:ind w:left="770" w:hanging="227"/>
      </w:pPr>
      <w:rPr>
        <w:rFonts w:hint="default"/>
      </w:rPr>
    </w:lvl>
    <w:lvl w:ilvl="2" w:tplc="C2C0F4FE">
      <w:start w:val="1"/>
      <w:numFmt w:val="bullet"/>
      <w:lvlText w:val="•"/>
      <w:lvlJc w:val="left"/>
      <w:pPr>
        <w:ind w:left="1206" w:hanging="227"/>
      </w:pPr>
      <w:rPr>
        <w:rFonts w:hint="default"/>
      </w:rPr>
    </w:lvl>
    <w:lvl w:ilvl="3" w:tplc="4E184CDA">
      <w:start w:val="1"/>
      <w:numFmt w:val="bullet"/>
      <w:lvlText w:val="•"/>
      <w:lvlJc w:val="left"/>
      <w:pPr>
        <w:ind w:left="1641" w:hanging="227"/>
      </w:pPr>
      <w:rPr>
        <w:rFonts w:hint="default"/>
      </w:rPr>
    </w:lvl>
    <w:lvl w:ilvl="4" w:tplc="B59465D2">
      <w:start w:val="1"/>
      <w:numFmt w:val="bullet"/>
      <w:lvlText w:val="•"/>
      <w:lvlJc w:val="left"/>
      <w:pPr>
        <w:ind w:left="2077" w:hanging="227"/>
      </w:pPr>
      <w:rPr>
        <w:rFonts w:hint="default"/>
      </w:rPr>
    </w:lvl>
    <w:lvl w:ilvl="5" w:tplc="BBF05DF2">
      <w:start w:val="1"/>
      <w:numFmt w:val="bullet"/>
      <w:lvlText w:val="•"/>
      <w:lvlJc w:val="left"/>
      <w:pPr>
        <w:ind w:left="2512" w:hanging="227"/>
      </w:pPr>
      <w:rPr>
        <w:rFonts w:hint="default"/>
      </w:rPr>
    </w:lvl>
    <w:lvl w:ilvl="6" w:tplc="85C8C0AC">
      <w:start w:val="1"/>
      <w:numFmt w:val="bullet"/>
      <w:lvlText w:val="•"/>
      <w:lvlJc w:val="left"/>
      <w:pPr>
        <w:ind w:left="2948" w:hanging="227"/>
      </w:pPr>
      <w:rPr>
        <w:rFonts w:hint="default"/>
      </w:rPr>
    </w:lvl>
    <w:lvl w:ilvl="7" w:tplc="29A4DDD0">
      <w:start w:val="1"/>
      <w:numFmt w:val="bullet"/>
      <w:lvlText w:val="•"/>
      <w:lvlJc w:val="left"/>
      <w:pPr>
        <w:ind w:left="3383" w:hanging="227"/>
      </w:pPr>
      <w:rPr>
        <w:rFonts w:hint="default"/>
      </w:rPr>
    </w:lvl>
    <w:lvl w:ilvl="8" w:tplc="3198225E">
      <w:start w:val="1"/>
      <w:numFmt w:val="bullet"/>
      <w:lvlText w:val="•"/>
      <w:lvlJc w:val="left"/>
      <w:pPr>
        <w:ind w:left="3819" w:hanging="227"/>
      </w:pPr>
      <w:rPr>
        <w:rFonts w:hint="default"/>
      </w:rPr>
    </w:lvl>
  </w:abstractNum>
  <w:abstractNum w:abstractNumId="102">
    <w:nsid w:val="5FD940B5"/>
    <w:multiLevelType w:val="hybridMultilevel"/>
    <w:tmpl w:val="34608E5C"/>
    <w:lvl w:ilvl="0" w:tplc="F19C6CC8">
      <w:start w:val="1"/>
      <w:numFmt w:val="bullet"/>
      <w:lvlText w:val="•"/>
      <w:lvlJc w:val="left"/>
      <w:pPr>
        <w:ind w:left="335" w:hanging="227"/>
      </w:pPr>
      <w:rPr>
        <w:rFonts w:ascii="Avenir Next Condensed" w:eastAsia="Avenir Next Condensed" w:hAnsi="Avenir Next Condensed" w:hint="default"/>
        <w:sz w:val="18"/>
        <w:szCs w:val="18"/>
      </w:rPr>
    </w:lvl>
    <w:lvl w:ilvl="1" w:tplc="BA70D566">
      <w:start w:val="1"/>
      <w:numFmt w:val="bullet"/>
      <w:lvlText w:val="•"/>
      <w:lvlJc w:val="left"/>
      <w:pPr>
        <w:ind w:left="770" w:hanging="227"/>
      </w:pPr>
      <w:rPr>
        <w:rFonts w:hint="default"/>
      </w:rPr>
    </w:lvl>
    <w:lvl w:ilvl="2" w:tplc="5E36AA48">
      <w:start w:val="1"/>
      <w:numFmt w:val="bullet"/>
      <w:lvlText w:val="•"/>
      <w:lvlJc w:val="left"/>
      <w:pPr>
        <w:ind w:left="1206" w:hanging="227"/>
      </w:pPr>
      <w:rPr>
        <w:rFonts w:hint="default"/>
      </w:rPr>
    </w:lvl>
    <w:lvl w:ilvl="3" w:tplc="1E6443B2">
      <w:start w:val="1"/>
      <w:numFmt w:val="bullet"/>
      <w:lvlText w:val="•"/>
      <w:lvlJc w:val="left"/>
      <w:pPr>
        <w:ind w:left="1641" w:hanging="227"/>
      </w:pPr>
      <w:rPr>
        <w:rFonts w:hint="default"/>
      </w:rPr>
    </w:lvl>
    <w:lvl w:ilvl="4" w:tplc="5E56A724">
      <w:start w:val="1"/>
      <w:numFmt w:val="bullet"/>
      <w:lvlText w:val="•"/>
      <w:lvlJc w:val="left"/>
      <w:pPr>
        <w:ind w:left="2077" w:hanging="227"/>
      </w:pPr>
      <w:rPr>
        <w:rFonts w:hint="default"/>
      </w:rPr>
    </w:lvl>
    <w:lvl w:ilvl="5" w:tplc="9DECE4F6">
      <w:start w:val="1"/>
      <w:numFmt w:val="bullet"/>
      <w:lvlText w:val="•"/>
      <w:lvlJc w:val="left"/>
      <w:pPr>
        <w:ind w:left="2512" w:hanging="227"/>
      </w:pPr>
      <w:rPr>
        <w:rFonts w:hint="default"/>
      </w:rPr>
    </w:lvl>
    <w:lvl w:ilvl="6" w:tplc="4E08E892">
      <w:start w:val="1"/>
      <w:numFmt w:val="bullet"/>
      <w:lvlText w:val="•"/>
      <w:lvlJc w:val="left"/>
      <w:pPr>
        <w:ind w:left="2948" w:hanging="227"/>
      </w:pPr>
      <w:rPr>
        <w:rFonts w:hint="default"/>
      </w:rPr>
    </w:lvl>
    <w:lvl w:ilvl="7" w:tplc="D6F02E40">
      <w:start w:val="1"/>
      <w:numFmt w:val="bullet"/>
      <w:lvlText w:val="•"/>
      <w:lvlJc w:val="left"/>
      <w:pPr>
        <w:ind w:left="3383" w:hanging="227"/>
      </w:pPr>
      <w:rPr>
        <w:rFonts w:hint="default"/>
      </w:rPr>
    </w:lvl>
    <w:lvl w:ilvl="8" w:tplc="AF060592">
      <w:start w:val="1"/>
      <w:numFmt w:val="bullet"/>
      <w:lvlText w:val="•"/>
      <w:lvlJc w:val="left"/>
      <w:pPr>
        <w:ind w:left="3819" w:hanging="227"/>
      </w:pPr>
      <w:rPr>
        <w:rFonts w:hint="default"/>
      </w:rPr>
    </w:lvl>
  </w:abstractNum>
  <w:abstractNum w:abstractNumId="103">
    <w:nsid w:val="615245FC"/>
    <w:multiLevelType w:val="hybridMultilevel"/>
    <w:tmpl w:val="357C3EF0"/>
    <w:lvl w:ilvl="0" w:tplc="E1784EDA">
      <w:start w:val="1"/>
      <w:numFmt w:val="lowerLetter"/>
      <w:lvlText w:val="(%1)"/>
      <w:lvlJc w:val="left"/>
      <w:pPr>
        <w:ind w:left="1587" w:hanging="341"/>
      </w:pPr>
      <w:rPr>
        <w:rFonts w:ascii="Avenir Next" w:eastAsia="Avenir Next" w:hAnsi="Avenir Next" w:hint="default"/>
        <w:sz w:val="20"/>
        <w:szCs w:val="20"/>
      </w:rPr>
    </w:lvl>
    <w:lvl w:ilvl="1" w:tplc="64AA5D6C">
      <w:start w:val="1"/>
      <w:numFmt w:val="lowerRoman"/>
      <w:lvlText w:val="(%2)"/>
      <w:lvlJc w:val="left"/>
      <w:pPr>
        <w:ind w:left="1871" w:hanging="341"/>
      </w:pPr>
      <w:rPr>
        <w:rFonts w:ascii="Avenir Next" w:eastAsia="Avenir Next" w:hAnsi="Avenir Next" w:hint="default"/>
        <w:sz w:val="20"/>
        <w:szCs w:val="20"/>
      </w:rPr>
    </w:lvl>
    <w:lvl w:ilvl="2" w:tplc="675A75A0">
      <w:start w:val="1"/>
      <w:numFmt w:val="bullet"/>
      <w:lvlText w:val="•"/>
      <w:lvlJc w:val="left"/>
      <w:pPr>
        <w:ind w:left="2986" w:hanging="341"/>
      </w:pPr>
      <w:rPr>
        <w:rFonts w:hint="default"/>
      </w:rPr>
    </w:lvl>
    <w:lvl w:ilvl="3" w:tplc="0390077C">
      <w:start w:val="1"/>
      <w:numFmt w:val="bullet"/>
      <w:lvlText w:val="•"/>
      <w:lvlJc w:val="left"/>
      <w:pPr>
        <w:ind w:left="4100" w:hanging="341"/>
      </w:pPr>
      <w:rPr>
        <w:rFonts w:hint="default"/>
      </w:rPr>
    </w:lvl>
    <w:lvl w:ilvl="4" w:tplc="A23A2128">
      <w:start w:val="1"/>
      <w:numFmt w:val="bullet"/>
      <w:lvlText w:val="•"/>
      <w:lvlJc w:val="left"/>
      <w:pPr>
        <w:ind w:left="5215" w:hanging="341"/>
      </w:pPr>
      <w:rPr>
        <w:rFonts w:hint="default"/>
      </w:rPr>
    </w:lvl>
    <w:lvl w:ilvl="5" w:tplc="8242BC7E">
      <w:start w:val="1"/>
      <w:numFmt w:val="bullet"/>
      <w:lvlText w:val="•"/>
      <w:lvlJc w:val="left"/>
      <w:pPr>
        <w:ind w:left="6330" w:hanging="341"/>
      </w:pPr>
      <w:rPr>
        <w:rFonts w:hint="default"/>
      </w:rPr>
    </w:lvl>
    <w:lvl w:ilvl="6" w:tplc="DFF0AE72">
      <w:start w:val="1"/>
      <w:numFmt w:val="bullet"/>
      <w:lvlText w:val="•"/>
      <w:lvlJc w:val="left"/>
      <w:pPr>
        <w:ind w:left="7445" w:hanging="341"/>
      </w:pPr>
      <w:rPr>
        <w:rFonts w:hint="default"/>
      </w:rPr>
    </w:lvl>
    <w:lvl w:ilvl="7" w:tplc="E8A231F8">
      <w:start w:val="1"/>
      <w:numFmt w:val="bullet"/>
      <w:lvlText w:val="•"/>
      <w:lvlJc w:val="left"/>
      <w:pPr>
        <w:ind w:left="8560" w:hanging="341"/>
      </w:pPr>
      <w:rPr>
        <w:rFonts w:hint="default"/>
      </w:rPr>
    </w:lvl>
    <w:lvl w:ilvl="8" w:tplc="669A7760">
      <w:start w:val="1"/>
      <w:numFmt w:val="bullet"/>
      <w:lvlText w:val="•"/>
      <w:lvlJc w:val="left"/>
      <w:pPr>
        <w:ind w:left="9675" w:hanging="341"/>
      </w:pPr>
      <w:rPr>
        <w:rFonts w:hint="default"/>
      </w:rPr>
    </w:lvl>
  </w:abstractNum>
  <w:abstractNum w:abstractNumId="104">
    <w:nsid w:val="624A6EF6"/>
    <w:multiLevelType w:val="hybridMultilevel"/>
    <w:tmpl w:val="2402AAE8"/>
    <w:lvl w:ilvl="0" w:tplc="19E25F04">
      <w:start w:val="165"/>
      <w:numFmt w:val="decimal"/>
      <w:lvlText w:val="%1"/>
      <w:lvlJc w:val="left"/>
      <w:pPr>
        <w:ind w:left="1757" w:hanging="511"/>
      </w:pPr>
      <w:rPr>
        <w:rFonts w:ascii="Avenir Next" w:eastAsia="Avenir Next" w:hAnsi="Avenir Next" w:hint="default"/>
        <w:sz w:val="16"/>
        <w:szCs w:val="16"/>
      </w:rPr>
    </w:lvl>
    <w:lvl w:ilvl="1" w:tplc="B7748180">
      <w:start w:val="1"/>
      <w:numFmt w:val="bullet"/>
      <w:lvlText w:val="•"/>
      <w:lvlJc w:val="left"/>
      <w:pPr>
        <w:ind w:left="2772" w:hanging="511"/>
      </w:pPr>
      <w:rPr>
        <w:rFonts w:hint="default"/>
      </w:rPr>
    </w:lvl>
    <w:lvl w:ilvl="2" w:tplc="A3A44872">
      <w:start w:val="1"/>
      <w:numFmt w:val="bullet"/>
      <w:lvlText w:val="•"/>
      <w:lvlJc w:val="left"/>
      <w:pPr>
        <w:ind w:left="3787" w:hanging="511"/>
      </w:pPr>
      <w:rPr>
        <w:rFonts w:hint="default"/>
      </w:rPr>
    </w:lvl>
    <w:lvl w:ilvl="3" w:tplc="A22CE702">
      <w:start w:val="1"/>
      <w:numFmt w:val="bullet"/>
      <w:lvlText w:val="•"/>
      <w:lvlJc w:val="left"/>
      <w:pPr>
        <w:ind w:left="4801" w:hanging="511"/>
      </w:pPr>
      <w:rPr>
        <w:rFonts w:hint="default"/>
      </w:rPr>
    </w:lvl>
    <w:lvl w:ilvl="4" w:tplc="DB665978">
      <w:start w:val="1"/>
      <w:numFmt w:val="bullet"/>
      <w:lvlText w:val="•"/>
      <w:lvlJc w:val="left"/>
      <w:pPr>
        <w:ind w:left="5816" w:hanging="511"/>
      </w:pPr>
      <w:rPr>
        <w:rFonts w:hint="default"/>
      </w:rPr>
    </w:lvl>
    <w:lvl w:ilvl="5" w:tplc="A9FA4982">
      <w:start w:val="1"/>
      <w:numFmt w:val="bullet"/>
      <w:lvlText w:val="•"/>
      <w:lvlJc w:val="left"/>
      <w:pPr>
        <w:ind w:left="6831" w:hanging="511"/>
      </w:pPr>
      <w:rPr>
        <w:rFonts w:hint="default"/>
      </w:rPr>
    </w:lvl>
    <w:lvl w:ilvl="6" w:tplc="71367DBE">
      <w:start w:val="1"/>
      <w:numFmt w:val="bullet"/>
      <w:lvlText w:val="•"/>
      <w:lvlJc w:val="left"/>
      <w:pPr>
        <w:ind w:left="7846" w:hanging="511"/>
      </w:pPr>
      <w:rPr>
        <w:rFonts w:hint="default"/>
      </w:rPr>
    </w:lvl>
    <w:lvl w:ilvl="7" w:tplc="51860912">
      <w:start w:val="1"/>
      <w:numFmt w:val="bullet"/>
      <w:lvlText w:val="•"/>
      <w:lvlJc w:val="left"/>
      <w:pPr>
        <w:ind w:left="8861" w:hanging="511"/>
      </w:pPr>
      <w:rPr>
        <w:rFonts w:hint="default"/>
      </w:rPr>
    </w:lvl>
    <w:lvl w:ilvl="8" w:tplc="4C108A2A">
      <w:start w:val="1"/>
      <w:numFmt w:val="bullet"/>
      <w:lvlText w:val="•"/>
      <w:lvlJc w:val="left"/>
      <w:pPr>
        <w:ind w:left="9875" w:hanging="511"/>
      </w:pPr>
      <w:rPr>
        <w:rFonts w:hint="default"/>
      </w:rPr>
    </w:lvl>
  </w:abstractNum>
  <w:abstractNum w:abstractNumId="105">
    <w:nsid w:val="63981235"/>
    <w:multiLevelType w:val="hybridMultilevel"/>
    <w:tmpl w:val="627A5EDE"/>
    <w:lvl w:ilvl="0" w:tplc="F08E3EE4">
      <w:start w:val="1"/>
      <w:numFmt w:val="bullet"/>
      <w:lvlText w:val="•"/>
      <w:lvlJc w:val="left"/>
      <w:pPr>
        <w:ind w:left="335" w:hanging="227"/>
      </w:pPr>
      <w:rPr>
        <w:rFonts w:ascii="Avenir Next Condensed" w:eastAsia="Avenir Next Condensed" w:hAnsi="Avenir Next Condensed" w:hint="default"/>
        <w:sz w:val="18"/>
        <w:szCs w:val="18"/>
      </w:rPr>
    </w:lvl>
    <w:lvl w:ilvl="1" w:tplc="24A09110">
      <w:start w:val="1"/>
      <w:numFmt w:val="bullet"/>
      <w:lvlText w:val="•"/>
      <w:lvlJc w:val="left"/>
      <w:pPr>
        <w:ind w:left="1101" w:hanging="227"/>
      </w:pPr>
      <w:rPr>
        <w:rFonts w:hint="default"/>
      </w:rPr>
    </w:lvl>
    <w:lvl w:ilvl="2" w:tplc="7E90D2EC">
      <w:start w:val="1"/>
      <w:numFmt w:val="bullet"/>
      <w:lvlText w:val="•"/>
      <w:lvlJc w:val="left"/>
      <w:pPr>
        <w:ind w:left="1868" w:hanging="227"/>
      </w:pPr>
      <w:rPr>
        <w:rFonts w:hint="default"/>
      </w:rPr>
    </w:lvl>
    <w:lvl w:ilvl="3" w:tplc="4D9848D6">
      <w:start w:val="1"/>
      <w:numFmt w:val="bullet"/>
      <w:lvlText w:val="•"/>
      <w:lvlJc w:val="left"/>
      <w:pPr>
        <w:ind w:left="2634" w:hanging="227"/>
      </w:pPr>
      <w:rPr>
        <w:rFonts w:hint="default"/>
      </w:rPr>
    </w:lvl>
    <w:lvl w:ilvl="4" w:tplc="B464F508">
      <w:start w:val="1"/>
      <w:numFmt w:val="bullet"/>
      <w:lvlText w:val="•"/>
      <w:lvlJc w:val="left"/>
      <w:pPr>
        <w:ind w:left="3401" w:hanging="227"/>
      </w:pPr>
      <w:rPr>
        <w:rFonts w:hint="default"/>
      </w:rPr>
    </w:lvl>
    <w:lvl w:ilvl="5" w:tplc="F810111E">
      <w:start w:val="1"/>
      <w:numFmt w:val="bullet"/>
      <w:lvlText w:val="•"/>
      <w:lvlJc w:val="left"/>
      <w:pPr>
        <w:ind w:left="4167" w:hanging="227"/>
      </w:pPr>
      <w:rPr>
        <w:rFonts w:hint="default"/>
      </w:rPr>
    </w:lvl>
    <w:lvl w:ilvl="6" w:tplc="1B0C079A">
      <w:start w:val="1"/>
      <w:numFmt w:val="bullet"/>
      <w:lvlText w:val="•"/>
      <w:lvlJc w:val="left"/>
      <w:pPr>
        <w:ind w:left="4934" w:hanging="227"/>
      </w:pPr>
      <w:rPr>
        <w:rFonts w:hint="default"/>
      </w:rPr>
    </w:lvl>
    <w:lvl w:ilvl="7" w:tplc="E2A0D324">
      <w:start w:val="1"/>
      <w:numFmt w:val="bullet"/>
      <w:lvlText w:val="•"/>
      <w:lvlJc w:val="left"/>
      <w:pPr>
        <w:ind w:left="5700" w:hanging="227"/>
      </w:pPr>
      <w:rPr>
        <w:rFonts w:hint="default"/>
      </w:rPr>
    </w:lvl>
    <w:lvl w:ilvl="8" w:tplc="B57AA528">
      <w:start w:val="1"/>
      <w:numFmt w:val="bullet"/>
      <w:lvlText w:val="•"/>
      <w:lvlJc w:val="left"/>
      <w:pPr>
        <w:ind w:left="6467" w:hanging="227"/>
      </w:pPr>
      <w:rPr>
        <w:rFonts w:hint="default"/>
      </w:rPr>
    </w:lvl>
  </w:abstractNum>
  <w:abstractNum w:abstractNumId="106">
    <w:nsid w:val="65275CB2"/>
    <w:multiLevelType w:val="multilevel"/>
    <w:tmpl w:val="B8BC8400"/>
    <w:lvl w:ilvl="0">
      <w:start w:val="6"/>
      <w:numFmt w:val="decimal"/>
      <w:lvlText w:val="%1"/>
      <w:lvlJc w:val="left"/>
      <w:pPr>
        <w:ind w:left="2097" w:hanging="851"/>
      </w:pPr>
      <w:rPr>
        <w:rFonts w:hint="default"/>
      </w:rPr>
    </w:lvl>
    <w:lvl w:ilvl="1">
      <w:start w:val="5"/>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107">
    <w:nsid w:val="65DE50CA"/>
    <w:multiLevelType w:val="hybridMultilevel"/>
    <w:tmpl w:val="35BE36F6"/>
    <w:lvl w:ilvl="0" w:tplc="DC22A80A">
      <w:start w:val="1"/>
      <w:numFmt w:val="lowerLetter"/>
      <w:lvlText w:val="(%1)"/>
      <w:lvlJc w:val="left"/>
      <w:pPr>
        <w:ind w:left="1587" w:hanging="341"/>
      </w:pPr>
      <w:rPr>
        <w:rFonts w:ascii="Avenir Next" w:eastAsia="Avenir Next" w:hAnsi="Avenir Next" w:hint="default"/>
        <w:sz w:val="20"/>
        <w:szCs w:val="20"/>
      </w:rPr>
    </w:lvl>
    <w:lvl w:ilvl="1" w:tplc="09789CEE">
      <w:start w:val="1"/>
      <w:numFmt w:val="bullet"/>
      <w:lvlText w:val="•"/>
      <w:lvlJc w:val="left"/>
      <w:pPr>
        <w:ind w:left="2619" w:hanging="341"/>
      </w:pPr>
      <w:rPr>
        <w:rFonts w:hint="default"/>
      </w:rPr>
    </w:lvl>
    <w:lvl w:ilvl="2" w:tplc="D5C0D550">
      <w:start w:val="1"/>
      <w:numFmt w:val="bullet"/>
      <w:lvlText w:val="•"/>
      <w:lvlJc w:val="left"/>
      <w:pPr>
        <w:ind w:left="3651" w:hanging="341"/>
      </w:pPr>
      <w:rPr>
        <w:rFonts w:hint="default"/>
      </w:rPr>
    </w:lvl>
    <w:lvl w:ilvl="3" w:tplc="0974EEB2">
      <w:start w:val="1"/>
      <w:numFmt w:val="bullet"/>
      <w:lvlText w:val="•"/>
      <w:lvlJc w:val="left"/>
      <w:pPr>
        <w:ind w:left="4682" w:hanging="341"/>
      </w:pPr>
      <w:rPr>
        <w:rFonts w:hint="default"/>
      </w:rPr>
    </w:lvl>
    <w:lvl w:ilvl="4" w:tplc="C0843374">
      <w:start w:val="1"/>
      <w:numFmt w:val="bullet"/>
      <w:lvlText w:val="•"/>
      <w:lvlJc w:val="left"/>
      <w:pPr>
        <w:ind w:left="5714" w:hanging="341"/>
      </w:pPr>
      <w:rPr>
        <w:rFonts w:hint="default"/>
      </w:rPr>
    </w:lvl>
    <w:lvl w:ilvl="5" w:tplc="6C4ADD36">
      <w:start w:val="1"/>
      <w:numFmt w:val="bullet"/>
      <w:lvlText w:val="•"/>
      <w:lvlJc w:val="left"/>
      <w:pPr>
        <w:ind w:left="6746" w:hanging="341"/>
      </w:pPr>
      <w:rPr>
        <w:rFonts w:hint="default"/>
      </w:rPr>
    </w:lvl>
    <w:lvl w:ilvl="6" w:tplc="FC88B2BA">
      <w:start w:val="1"/>
      <w:numFmt w:val="bullet"/>
      <w:lvlText w:val="•"/>
      <w:lvlJc w:val="left"/>
      <w:pPr>
        <w:ind w:left="7778" w:hanging="341"/>
      </w:pPr>
      <w:rPr>
        <w:rFonts w:hint="default"/>
      </w:rPr>
    </w:lvl>
    <w:lvl w:ilvl="7" w:tplc="26E8E2D2">
      <w:start w:val="1"/>
      <w:numFmt w:val="bullet"/>
      <w:lvlText w:val="•"/>
      <w:lvlJc w:val="left"/>
      <w:pPr>
        <w:ind w:left="8810" w:hanging="341"/>
      </w:pPr>
      <w:rPr>
        <w:rFonts w:hint="default"/>
      </w:rPr>
    </w:lvl>
    <w:lvl w:ilvl="8" w:tplc="25ACB06C">
      <w:start w:val="1"/>
      <w:numFmt w:val="bullet"/>
      <w:lvlText w:val="•"/>
      <w:lvlJc w:val="left"/>
      <w:pPr>
        <w:ind w:left="9841" w:hanging="341"/>
      </w:pPr>
      <w:rPr>
        <w:rFonts w:hint="default"/>
      </w:rPr>
    </w:lvl>
  </w:abstractNum>
  <w:abstractNum w:abstractNumId="108">
    <w:nsid w:val="660B009F"/>
    <w:multiLevelType w:val="multilevel"/>
    <w:tmpl w:val="5D34027C"/>
    <w:lvl w:ilvl="0">
      <w:start w:val="15"/>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109">
    <w:nsid w:val="67100DF9"/>
    <w:multiLevelType w:val="hybridMultilevel"/>
    <w:tmpl w:val="98569940"/>
    <w:lvl w:ilvl="0" w:tplc="B5F4CE6A">
      <w:start w:val="4"/>
      <w:numFmt w:val="decimal"/>
      <w:lvlText w:val="%1."/>
      <w:lvlJc w:val="left"/>
      <w:pPr>
        <w:ind w:left="1569" w:hanging="323"/>
      </w:pPr>
      <w:rPr>
        <w:rFonts w:ascii="Avenir Next Medium" w:eastAsia="Avenir Next Medium" w:hAnsi="Avenir Next Medium" w:hint="default"/>
        <w:color w:val="0778BE"/>
        <w:sz w:val="30"/>
        <w:szCs w:val="30"/>
      </w:rPr>
    </w:lvl>
    <w:lvl w:ilvl="1" w:tplc="3D066B46">
      <w:start w:val="1"/>
      <w:numFmt w:val="bullet"/>
      <w:lvlText w:val="•"/>
      <w:lvlJc w:val="left"/>
      <w:pPr>
        <w:ind w:left="2603" w:hanging="323"/>
      </w:pPr>
      <w:rPr>
        <w:rFonts w:hint="default"/>
      </w:rPr>
    </w:lvl>
    <w:lvl w:ilvl="2" w:tplc="BE1EFD84">
      <w:start w:val="1"/>
      <w:numFmt w:val="bullet"/>
      <w:lvlText w:val="•"/>
      <w:lvlJc w:val="left"/>
      <w:pPr>
        <w:ind w:left="3636" w:hanging="323"/>
      </w:pPr>
      <w:rPr>
        <w:rFonts w:hint="default"/>
      </w:rPr>
    </w:lvl>
    <w:lvl w:ilvl="3" w:tplc="40520B1E">
      <w:start w:val="1"/>
      <w:numFmt w:val="bullet"/>
      <w:lvlText w:val="•"/>
      <w:lvlJc w:val="left"/>
      <w:pPr>
        <w:ind w:left="4670" w:hanging="323"/>
      </w:pPr>
      <w:rPr>
        <w:rFonts w:hint="default"/>
      </w:rPr>
    </w:lvl>
    <w:lvl w:ilvl="4" w:tplc="F32EDB38">
      <w:start w:val="1"/>
      <w:numFmt w:val="bullet"/>
      <w:lvlText w:val="•"/>
      <w:lvlJc w:val="left"/>
      <w:pPr>
        <w:ind w:left="5704" w:hanging="323"/>
      </w:pPr>
      <w:rPr>
        <w:rFonts w:hint="default"/>
      </w:rPr>
    </w:lvl>
    <w:lvl w:ilvl="5" w:tplc="938265CE">
      <w:start w:val="1"/>
      <w:numFmt w:val="bullet"/>
      <w:lvlText w:val="•"/>
      <w:lvlJc w:val="left"/>
      <w:pPr>
        <w:ind w:left="6737" w:hanging="323"/>
      </w:pPr>
      <w:rPr>
        <w:rFonts w:hint="default"/>
      </w:rPr>
    </w:lvl>
    <w:lvl w:ilvl="6" w:tplc="1340FB8A">
      <w:start w:val="1"/>
      <w:numFmt w:val="bullet"/>
      <w:lvlText w:val="•"/>
      <w:lvlJc w:val="left"/>
      <w:pPr>
        <w:ind w:left="7771" w:hanging="323"/>
      </w:pPr>
      <w:rPr>
        <w:rFonts w:hint="default"/>
      </w:rPr>
    </w:lvl>
    <w:lvl w:ilvl="7" w:tplc="A7CE331C">
      <w:start w:val="1"/>
      <w:numFmt w:val="bullet"/>
      <w:lvlText w:val="•"/>
      <w:lvlJc w:val="left"/>
      <w:pPr>
        <w:ind w:left="8804" w:hanging="323"/>
      </w:pPr>
      <w:rPr>
        <w:rFonts w:hint="default"/>
      </w:rPr>
    </w:lvl>
    <w:lvl w:ilvl="8" w:tplc="33E8A396">
      <w:start w:val="1"/>
      <w:numFmt w:val="bullet"/>
      <w:lvlText w:val="•"/>
      <w:lvlJc w:val="left"/>
      <w:pPr>
        <w:ind w:left="9838" w:hanging="323"/>
      </w:pPr>
      <w:rPr>
        <w:rFonts w:hint="default"/>
      </w:rPr>
    </w:lvl>
  </w:abstractNum>
  <w:abstractNum w:abstractNumId="110">
    <w:nsid w:val="6850121B"/>
    <w:multiLevelType w:val="multilevel"/>
    <w:tmpl w:val="B3AEC4D4"/>
    <w:lvl w:ilvl="0">
      <w:start w:val="9"/>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5442" w:hanging="964"/>
      </w:pPr>
      <w:rPr>
        <w:rFonts w:hint="default"/>
      </w:rPr>
    </w:lvl>
    <w:lvl w:ilvl="5">
      <w:start w:val="1"/>
      <w:numFmt w:val="bullet"/>
      <w:lvlText w:val="•"/>
      <w:lvlJc w:val="left"/>
      <w:pPr>
        <w:ind w:left="6519" w:hanging="964"/>
      </w:pPr>
      <w:rPr>
        <w:rFonts w:hint="default"/>
      </w:rPr>
    </w:lvl>
    <w:lvl w:ilvl="6">
      <w:start w:val="1"/>
      <w:numFmt w:val="bullet"/>
      <w:lvlText w:val="•"/>
      <w:lvlJc w:val="left"/>
      <w:pPr>
        <w:ind w:left="7596" w:hanging="964"/>
      </w:pPr>
      <w:rPr>
        <w:rFonts w:hint="default"/>
      </w:rPr>
    </w:lvl>
    <w:lvl w:ilvl="7">
      <w:start w:val="1"/>
      <w:numFmt w:val="bullet"/>
      <w:lvlText w:val="•"/>
      <w:lvlJc w:val="left"/>
      <w:pPr>
        <w:ind w:left="8674" w:hanging="964"/>
      </w:pPr>
      <w:rPr>
        <w:rFonts w:hint="default"/>
      </w:rPr>
    </w:lvl>
    <w:lvl w:ilvl="8">
      <w:start w:val="1"/>
      <w:numFmt w:val="bullet"/>
      <w:lvlText w:val="•"/>
      <w:lvlJc w:val="left"/>
      <w:pPr>
        <w:ind w:left="9751" w:hanging="964"/>
      </w:pPr>
      <w:rPr>
        <w:rFonts w:hint="default"/>
      </w:rPr>
    </w:lvl>
  </w:abstractNum>
  <w:abstractNum w:abstractNumId="111">
    <w:nsid w:val="68986A60"/>
    <w:multiLevelType w:val="hybridMultilevel"/>
    <w:tmpl w:val="62CCB4E4"/>
    <w:lvl w:ilvl="0" w:tplc="434C08A0">
      <w:start w:val="33"/>
      <w:numFmt w:val="decimal"/>
      <w:lvlText w:val="%1"/>
      <w:lvlJc w:val="left"/>
      <w:pPr>
        <w:ind w:left="1757" w:hanging="511"/>
      </w:pPr>
      <w:rPr>
        <w:rFonts w:ascii="Avenir Next" w:eastAsia="Avenir Next" w:hAnsi="Avenir Next" w:hint="default"/>
        <w:sz w:val="16"/>
        <w:szCs w:val="16"/>
      </w:rPr>
    </w:lvl>
    <w:lvl w:ilvl="1" w:tplc="3CB6967E">
      <w:start w:val="1"/>
      <w:numFmt w:val="bullet"/>
      <w:lvlText w:val="•"/>
      <w:lvlJc w:val="left"/>
      <w:pPr>
        <w:ind w:left="2772" w:hanging="511"/>
      </w:pPr>
      <w:rPr>
        <w:rFonts w:hint="default"/>
      </w:rPr>
    </w:lvl>
    <w:lvl w:ilvl="2" w:tplc="0F00C718">
      <w:start w:val="1"/>
      <w:numFmt w:val="bullet"/>
      <w:lvlText w:val="•"/>
      <w:lvlJc w:val="left"/>
      <w:pPr>
        <w:ind w:left="3787" w:hanging="511"/>
      </w:pPr>
      <w:rPr>
        <w:rFonts w:hint="default"/>
      </w:rPr>
    </w:lvl>
    <w:lvl w:ilvl="3" w:tplc="65223E8E">
      <w:start w:val="1"/>
      <w:numFmt w:val="bullet"/>
      <w:lvlText w:val="•"/>
      <w:lvlJc w:val="left"/>
      <w:pPr>
        <w:ind w:left="4801" w:hanging="511"/>
      </w:pPr>
      <w:rPr>
        <w:rFonts w:hint="default"/>
      </w:rPr>
    </w:lvl>
    <w:lvl w:ilvl="4" w:tplc="618C8BAA">
      <w:start w:val="1"/>
      <w:numFmt w:val="bullet"/>
      <w:lvlText w:val="•"/>
      <w:lvlJc w:val="left"/>
      <w:pPr>
        <w:ind w:left="5816" w:hanging="511"/>
      </w:pPr>
      <w:rPr>
        <w:rFonts w:hint="default"/>
      </w:rPr>
    </w:lvl>
    <w:lvl w:ilvl="5" w:tplc="8BD4B682">
      <w:start w:val="1"/>
      <w:numFmt w:val="bullet"/>
      <w:lvlText w:val="•"/>
      <w:lvlJc w:val="left"/>
      <w:pPr>
        <w:ind w:left="6831" w:hanging="511"/>
      </w:pPr>
      <w:rPr>
        <w:rFonts w:hint="default"/>
      </w:rPr>
    </w:lvl>
    <w:lvl w:ilvl="6" w:tplc="1EBC5294">
      <w:start w:val="1"/>
      <w:numFmt w:val="bullet"/>
      <w:lvlText w:val="•"/>
      <w:lvlJc w:val="left"/>
      <w:pPr>
        <w:ind w:left="7846" w:hanging="511"/>
      </w:pPr>
      <w:rPr>
        <w:rFonts w:hint="default"/>
      </w:rPr>
    </w:lvl>
    <w:lvl w:ilvl="7" w:tplc="8D2C79EC">
      <w:start w:val="1"/>
      <w:numFmt w:val="bullet"/>
      <w:lvlText w:val="•"/>
      <w:lvlJc w:val="left"/>
      <w:pPr>
        <w:ind w:left="8861" w:hanging="511"/>
      </w:pPr>
      <w:rPr>
        <w:rFonts w:hint="default"/>
      </w:rPr>
    </w:lvl>
    <w:lvl w:ilvl="8" w:tplc="E7C658CE">
      <w:start w:val="1"/>
      <w:numFmt w:val="bullet"/>
      <w:lvlText w:val="•"/>
      <w:lvlJc w:val="left"/>
      <w:pPr>
        <w:ind w:left="9875" w:hanging="511"/>
      </w:pPr>
      <w:rPr>
        <w:rFonts w:hint="default"/>
      </w:rPr>
    </w:lvl>
  </w:abstractNum>
  <w:abstractNum w:abstractNumId="112">
    <w:nsid w:val="689C7F91"/>
    <w:multiLevelType w:val="hybridMultilevel"/>
    <w:tmpl w:val="463AB1CE"/>
    <w:lvl w:ilvl="0" w:tplc="B888BF2A">
      <w:start w:val="1"/>
      <w:numFmt w:val="bullet"/>
      <w:lvlText w:val="•"/>
      <w:lvlJc w:val="left"/>
      <w:pPr>
        <w:ind w:left="335" w:hanging="227"/>
      </w:pPr>
      <w:rPr>
        <w:rFonts w:ascii="Avenir Next Condensed" w:eastAsia="Avenir Next Condensed" w:hAnsi="Avenir Next Condensed" w:hint="default"/>
        <w:sz w:val="18"/>
        <w:szCs w:val="18"/>
      </w:rPr>
    </w:lvl>
    <w:lvl w:ilvl="1" w:tplc="3222BACE">
      <w:start w:val="1"/>
      <w:numFmt w:val="bullet"/>
      <w:lvlText w:val="•"/>
      <w:lvlJc w:val="left"/>
      <w:pPr>
        <w:ind w:left="1148" w:hanging="227"/>
      </w:pPr>
      <w:rPr>
        <w:rFonts w:hint="default"/>
      </w:rPr>
    </w:lvl>
    <w:lvl w:ilvl="2" w:tplc="2A4297F4">
      <w:start w:val="1"/>
      <w:numFmt w:val="bullet"/>
      <w:lvlText w:val="•"/>
      <w:lvlJc w:val="left"/>
      <w:pPr>
        <w:ind w:left="1962" w:hanging="227"/>
      </w:pPr>
      <w:rPr>
        <w:rFonts w:hint="default"/>
      </w:rPr>
    </w:lvl>
    <w:lvl w:ilvl="3" w:tplc="D2800D90">
      <w:start w:val="1"/>
      <w:numFmt w:val="bullet"/>
      <w:lvlText w:val="•"/>
      <w:lvlJc w:val="left"/>
      <w:pPr>
        <w:ind w:left="2775" w:hanging="227"/>
      </w:pPr>
      <w:rPr>
        <w:rFonts w:hint="default"/>
      </w:rPr>
    </w:lvl>
    <w:lvl w:ilvl="4" w:tplc="C99853B6">
      <w:start w:val="1"/>
      <w:numFmt w:val="bullet"/>
      <w:lvlText w:val="•"/>
      <w:lvlJc w:val="left"/>
      <w:pPr>
        <w:ind w:left="3589" w:hanging="227"/>
      </w:pPr>
      <w:rPr>
        <w:rFonts w:hint="default"/>
      </w:rPr>
    </w:lvl>
    <w:lvl w:ilvl="5" w:tplc="064258A0">
      <w:start w:val="1"/>
      <w:numFmt w:val="bullet"/>
      <w:lvlText w:val="•"/>
      <w:lvlJc w:val="left"/>
      <w:pPr>
        <w:ind w:left="4402" w:hanging="227"/>
      </w:pPr>
      <w:rPr>
        <w:rFonts w:hint="default"/>
      </w:rPr>
    </w:lvl>
    <w:lvl w:ilvl="6" w:tplc="5BDA2D2A">
      <w:start w:val="1"/>
      <w:numFmt w:val="bullet"/>
      <w:lvlText w:val="•"/>
      <w:lvlJc w:val="left"/>
      <w:pPr>
        <w:ind w:left="5216" w:hanging="227"/>
      </w:pPr>
      <w:rPr>
        <w:rFonts w:hint="default"/>
      </w:rPr>
    </w:lvl>
    <w:lvl w:ilvl="7" w:tplc="06F67B62">
      <w:start w:val="1"/>
      <w:numFmt w:val="bullet"/>
      <w:lvlText w:val="•"/>
      <w:lvlJc w:val="left"/>
      <w:pPr>
        <w:ind w:left="6029" w:hanging="227"/>
      </w:pPr>
      <w:rPr>
        <w:rFonts w:hint="default"/>
      </w:rPr>
    </w:lvl>
    <w:lvl w:ilvl="8" w:tplc="E94C8DD8">
      <w:start w:val="1"/>
      <w:numFmt w:val="bullet"/>
      <w:lvlText w:val="•"/>
      <w:lvlJc w:val="left"/>
      <w:pPr>
        <w:ind w:left="6843" w:hanging="227"/>
      </w:pPr>
      <w:rPr>
        <w:rFonts w:hint="default"/>
      </w:rPr>
    </w:lvl>
  </w:abstractNum>
  <w:abstractNum w:abstractNumId="113">
    <w:nsid w:val="68C76955"/>
    <w:multiLevelType w:val="hybridMultilevel"/>
    <w:tmpl w:val="6520D392"/>
    <w:lvl w:ilvl="0" w:tplc="113EF35C">
      <w:start w:val="1"/>
      <w:numFmt w:val="lowerLetter"/>
      <w:lvlText w:val="(%1)"/>
      <w:lvlJc w:val="left"/>
      <w:pPr>
        <w:ind w:left="1587" w:hanging="341"/>
      </w:pPr>
      <w:rPr>
        <w:rFonts w:ascii="Avenir Next" w:eastAsia="Avenir Next" w:hAnsi="Avenir Next" w:hint="default"/>
        <w:sz w:val="20"/>
        <w:szCs w:val="20"/>
      </w:rPr>
    </w:lvl>
    <w:lvl w:ilvl="1" w:tplc="BA20CF6A">
      <w:start w:val="1"/>
      <w:numFmt w:val="bullet"/>
      <w:lvlText w:val="•"/>
      <w:lvlJc w:val="left"/>
      <w:pPr>
        <w:ind w:left="2619" w:hanging="341"/>
      </w:pPr>
      <w:rPr>
        <w:rFonts w:hint="default"/>
      </w:rPr>
    </w:lvl>
    <w:lvl w:ilvl="2" w:tplc="B2A28252">
      <w:start w:val="1"/>
      <w:numFmt w:val="bullet"/>
      <w:lvlText w:val="•"/>
      <w:lvlJc w:val="left"/>
      <w:pPr>
        <w:ind w:left="3651" w:hanging="341"/>
      </w:pPr>
      <w:rPr>
        <w:rFonts w:hint="default"/>
      </w:rPr>
    </w:lvl>
    <w:lvl w:ilvl="3" w:tplc="053E83AE">
      <w:start w:val="1"/>
      <w:numFmt w:val="bullet"/>
      <w:lvlText w:val="•"/>
      <w:lvlJc w:val="left"/>
      <w:pPr>
        <w:ind w:left="4682" w:hanging="341"/>
      </w:pPr>
      <w:rPr>
        <w:rFonts w:hint="default"/>
      </w:rPr>
    </w:lvl>
    <w:lvl w:ilvl="4" w:tplc="3788EE78">
      <w:start w:val="1"/>
      <w:numFmt w:val="bullet"/>
      <w:lvlText w:val="•"/>
      <w:lvlJc w:val="left"/>
      <w:pPr>
        <w:ind w:left="5714" w:hanging="341"/>
      </w:pPr>
      <w:rPr>
        <w:rFonts w:hint="default"/>
      </w:rPr>
    </w:lvl>
    <w:lvl w:ilvl="5" w:tplc="07627BC8">
      <w:start w:val="1"/>
      <w:numFmt w:val="bullet"/>
      <w:lvlText w:val="•"/>
      <w:lvlJc w:val="left"/>
      <w:pPr>
        <w:ind w:left="6746" w:hanging="341"/>
      </w:pPr>
      <w:rPr>
        <w:rFonts w:hint="default"/>
      </w:rPr>
    </w:lvl>
    <w:lvl w:ilvl="6" w:tplc="20C0CD48">
      <w:start w:val="1"/>
      <w:numFmt w:val="bullet"/>
      <w:lvlText w:val="•"/>
      <w:lvlJc w:val="left"/>
      <w:pPr>
        <w:ind w:left="7778" w:hanging="341"/>
      </w:pPr>
      <w:rPr>
        <w:rFonts w:hint="default"/>
      </w:rPr>
    </w:lvl>
    <w:lvl w:ilvl="7" w:tplc="FCE6889A">
      <w:start w:val="1"/>
      <w:numFmt w:val="bullet"/>
      <w:lvlText w:val="•"/>
      <w:lvlJc w:val="left"/>
      <w:pPr>
        <w:ind w:left="8810" w:hanging="341"/>
      </w:pPr>
      <w:rPr>
        <w:rFonts w:hint="default"/>
      </w:rPr>
    </w:lvl>
    <w:lvl w:ilvl="8" w:tplc="0D667B50">
      <w:start w:val="1"/>
      <w:numFmt w:val="bullet"/>
      <w:lvlText w:val="•"/>
      <w:lvlJc w:val="left"/>
      <w:pPr>
        <w:ind w:left="9841" w:hanging="341"/>
      </w:pPr>
      <w:rPr>
        <w:rFonts w:hint="default"/>
      </w:rPr>
    </w:lvl>
  </w:abstractNum>
  <w:abstractNum w:abstractNumId="114">
    <w:nsid w:val="68D4669B"/>
    <w:multiLevelType w:val="hybridMultilevel"/>
    <w:tmpl w:val="3A147412"/>
    <w:lvl w:ilvl="0" w:tplc="54661E44">
      <w:start w:val="1"/>
      <w:numFmt w:val="bullet"/>
      <w:lvlText w:val="•"/>
      <w:lvlJc w:val="left"/>
      <w:pPr>
        <w:ind w:left="335" w:hanging="227"/>
      </w:pPr>
      <w:rPr>
        <w:rFonts w:ascii="Avenir Next Condensed" w:eastAsia="Avenir Next Condensed" w:hAnsi="Avenir Next Condensed" w:hint="default"/>
        <w:sz w:val="18"/>
        <w:szCs w:val="18"/>
      </w:rPr>
    </w:lvl>
    <w:lvl w:ilvl="1" w:tplc="8EDAD14E">
      <w:start w:val="1"/>
      <w:numFmt w:val="bullet"/>
      <w:lvlText w:val="•"/>
      <w:lvlJc w:val="left"/>
      <w:pPr>
        <w:ind w:left="770" w:hanging="227"/>
      </w:pPr>
      <w:rPr>
        <w:rFonts w:hint="default"/>
      </w:rPr>
    </w:lvl>
    <w:lvl w:ilvl="2" w:tplc="186093B6">
      <w:start w:val="1"/>
      <w:numFmt w:val="bullet"/>
      <w:lvlText w:val="•"/>
      <w:lvlJc w:val="left"/>
      <w:pPr>
        <w:ind w:left="1206" w:hanging="227"/>
      </w:pPr>
      <w:rPr>
        <w:rFonts w:hint="default"/>
      </w:rPr>
    </w:lvl>
    <w:lvl w:ilvl="3" w:tplc="5A6C75A4">
      <w:start w:val="1"/>
      <w:numFmt w:val="bullet"/>
      <w:lvlText w:val="•"/>
      <w:lvlJc w:val="left"/>
      <w:pPr>
        <w:ind w:left="1641" w:hanging="227"/>
      </w:pPr>
      <w:rPr>
        <w:rFonts w:hint="default"/>
      </w:rPr>
    </w:lvl>
    <w:lvl w:ilvl="4" w:tplc="7B000E40">
      <w:start w:val="1"/>
      <w:numFmt w:val="bullet"/>
      <w:lvlText w:val="•"/>
      <w:lvlJc w:val="left"/>
      <w:pPr>
        <w:ind w:left="2077" w:hanging="227"/>
      </w:pPr>
      <w:rPr>
        <w:rFonts w:hint="default"/>
      </w:rPr>
    </w:lvl>
    <w:lvl w:ilvl="5" w:tplc="0C1A816C">
      <w:start w:val="1"/>
      <w:numFmt w:val="bullet"/>
      <w:lvlText w:val="•"/>
      <w:lvlJc w:val="left"/>
      <w:pPr>
        <w:ind w:left="2512" w:hanging="227"/>
      </w:pPr>
      <w:rPr>
        <w:rFonts w:hint="default"/>
      </w:rPr>
    </w:lvl>
    <w:lvl w:ilvl="6" w:tplc="B36A8BDA">
      <w:start w:val="1"/>
      <w:numFmt w:val="bullet"/>
      <w:lvlText w:val="•"/>
      <w:lvlJc w:val="left"/>
      <w:pPr>
        <w:ind w:left="2948" w:hanging="227"/>
      </w:pPr>
      <w:rPr>
        <w:rFonts w:hint="default"/>
      </w:rPr>
    </w:lvl>
    <w:lvl w:ilvl="7" w:tplc="99921842">
      <w:start w:val="1"/>
      <w:numFmt w:val="bullet"/>
      <w:lvlText w:val="•"/>
      <w:lvlJc w:val="left"/>
      <w:pPr>
        <w:ind w:left="3383" w:hanging="227"/>
      </w:pPr>
      <w:rPr>
        <w:rFonts w:hint="default"/>
      </w:rPr>
    </w:lvl>
    <w:lvl w:ilvl="8" w:tplc="E7DC91BE">
      <w:start w:val="1"/>
      <w:numFmt w:val="bullet"/>
      <w:lvlText w:val="•"/>
      <w:lvlJc w:val="left"/>
      <w:pPr>
        <w:ind w:left="3819" w:hanging="227"/>
      </w:pPr>
      <w:rPr>
        <w:rFonts w:hint="default"/>
      </w:rPr>
    </w:lvl>
  </w:abstractNum>
  <w:abstractNum w:abstractNumId="115">
    <w:nsid w:val="695D5812"/>
    <w:multiLevelType w:val="hybridMultilevel"/>
    <w:tmpl w:val="0518E272"/>
    <w:lvl w:ilvl="0" w:tplc="CBB4638E">
      <w:start w:val="9"/>
      <w:numFmt w:val="decimal"/>
      <w:lvlText w:val="%1."/>
      <w:lvlJc w:val="left"/>
      <w:pPr>
        <w:ind w:left="1569" w:hanging="323"/>
      </w:pPr>
      <w:rPr>
        <w:rFonts w:ascii="Avenir Next Medium" w:eastAsia="Avenir Next Medium" w:hAnsi="Avenir Next Medium" w:hint="default"/>
        <w:color w:val="0778BE"/>
        <w:sz w:val="30"/>
        <w:szCs w:val="30"/>
      </w:rPr>
    </w:lvl>
    <w:lvl w:ilvl="1" w:tplc="CEE4852A">
      <w:start w:val="1"/>
      <w:numFmt w:val="bullet"/>
      <w:lvlText w:val="•"/>
      <w:lvlJc w:val="left"/>
      <w:pPr>
        <w:ind w:left="2603" w:hanging="323"/>
      </w:pPr>
      <w:rPr>
        <w:rFonts w:hint="default"/>
      </w:rPr>
    </w:lvl>
    <w:lvl w:ilvl="2" w:tplc="1654EE6A">
      <w:start w:val="1"/>
      <w:numFmt w:val="bullet"/>
      <w:lvlText w:val="•"/>
      <w:lvlJc w:val="left"/>
      <w:pPr>
        <w:ind w:left="3636" w:hanging="323"/>
      </w:pPr>
      <w:rPr>
        <w:rFonts w:hint="default"/>
      </w:rPr>
    </w:lvl>
    <w:lvl w:ilvl="3" w:tplc="16A62AD0">
      <w:start w:val="1"/>
      <w:numFmt w:val="bullet"/>
      <w:lvlText w:val="•"/>
      <w:lvlJc w:val="left"/>
      <w:pPr>
        <w:ind w:left="4670" w:hanging="323"/>
      </w:pPr>
      <w:rPr>
        <w:rFonts w:hint="default"/>
      </w:rPr>
    </w:lvl>
    <w:lvl w:ilvl="4" w:tplc="B51A2E52">
      <w:start w:val="1"/>
      <w:numFmt w:val="bullet"/>
      <w:lvlText w:val="•"/>
      <w:lvlJc w:val="left"/>
      <w:pPr>
        <w:ind w:left="5704" w:hanging="323"/>
      </w:pPr>
      <w:rPr>
        <w:rFonts w:hint="default"/>
      </w:rPr>
    </w:lvl>
    <w:lvl w:ilvl="5" w:tplc="80D262E2">
      <w:start w:val="1"/>
      <w:numFmt w:val="bullet"/>
      <w:lvlText w:val="•"/>
      <w:lvlJc w:val="left"/>
      <w:pPr>
        <w:ind w:left="6737" w:hanging="323"/>
      </w:pPr>
      <w:rPr>
        <w:rFonts w:hint="default"/>
      </w:rPr>
    </w:lvl>
    <w:lvl w:ilvl="6" w:tplc="EA7C56CA">
      <w:start w:val="1"/>
      <w:numFmt w:val="bullet"/>
      <w:lvlText w:val="•"/>
      <w:lvlJc w:val="left"/>
      <w:pPr>
        <w:ind w:left="7771" w:hanging="323"/>
      </w:pPr>
      <w:rPr>
        <w:rFonts w:hint="default"/>
      </w:rPr>
    </w:lvl>
    <w:lvl w:ilvl="7" w:tplc="FB941C40">
      <w:start w:val="1"/>
      <w:numFmt w:val="bullet"/>
      <w:lvlText w:val="•"/>
      <w:lvlJc w:val="left"/>
      <w:pPr>
        <w:ind w:left="8804" w:hanging="323"/>
      </w:pPr>
      <w:rPr>
        <w:rFonts w:hint="default"/>
      </w:rPr>
    </w:lvl>
    <w:lvl w:ilvl="8" w:tplc="145A308C">
      <w:start w:val="1"/>
      <w:numFmt w:val="bullet"/>
      <w:lvlText w:val="•"/>
      <w:lvlJc w:val="left"/>
      <w:pPr>
        <w:ind w:left="9838" w:hanging="323"/>
      </w:pPr>
      <w:rPr>
        <w:rFonts w:hint="default"/>
      </w:rPr>
    </w:lvl>
  </w:abstractNum>
  <w:abstractNum w:abstractNumId="116">
    <w:nsid w:val="6983016D"/>
    <w:multiLevelType w:val="multilevel"/>
    <w:tmpl w:val="B2923A74"/>
    <w:lvl w:ilvl="0">
      <w:start w:val="6"/>
      <w:numFmt w:val="decimal"/>
      <w:lvlText w:val="%1"/>
      <w:lvlJc w:val="left"/>
      <w:pPr>
        <w:ind w:left="2211" w:hanging="964"/>
      </w:pPr>
      <w:rPr>
        <w:rFonts w:hint="default"/>
      </w:rPr>
    </w:lvl>
    <w:lvl w:ilvl="1">
      <w:start w:val="5"/>
      <w:numFmt w:val="decimal"/>
      <w:lvlText w:val="%1.%2"/>
      <w:lvlJc w:val="left"/>
      <w:pPr>
        <w:ind w:left="2211" w:hanging="964"/>
      </w:pPr>
      <w:rPr>
        <w:rFonts w:hint="default"/>
      </w:rPr>
    </w:lvl>
    <w:lvl w:ilvl="2">
      <w:start w:val="3"/>
      <w:numFmt w:val="decimal"/>
      <w:lvlText w:val="%1.%2.%3"/>
      <w:lvlJc w:val="left"/>
      <w:pPr>
        <w:ind w:left="2211" w:hanging="964"/>
      </w:pPr>
      <w:rPr>
        <w:rFonts w:hint="default"/>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6088" w:hanging="964"/>
      </w:pPr>
      <w:rPr>
        <w:rFonts w:hint="default"/>
      </w:rPr>
    </w:lvl>
    <w:lvl w:ilvl="5">
      <w:start w:val="1"/>
      <w:numFmt w:val="bullet"/>
      <w:lvlText w:val="•"/>
      <w:lvlJc w:val="left"/>
      <w:pPr>
        <w:ind w:left="7058" w:hanging="964"/>
      </w:pPr>
      <w:rPr>
        <w:rFonts w:hint="default"/>
      </w:rPr>
    </w:lvl>
    <w:lvl w:ilvl="6">
      <w:start w:val="1"/>
      <w:numFmt w:val="bullet"/>
      <w:lvlText w:val="•"/>
      <w:lvlJc w:val="left"/>
      <w:pPr>
        <w:ind w:left="8027" w:hanging="964"/>
      </w:pPr>
      <w:rPr>
        <w:rFonts w:hint="default"/>
      </w:rPr>
    </w:lvl>
    <w:lvl w:ilvl="7">
      <w:start w:val="1"/>
      <w:numFmt w:val="bullet"/>
      <w:lvlText w:val="•"/>
      <w:lvlJc w:val="left"/>
      <w:pPr>
        <w:ind w:left="8997" w:hanging="964"/>
      </w:pPr>
      <w:rPr>
        <w:rFonts w:hint="default"/>
      </w:rPr>
    </w:lvl>
    <w:lvl w:ilvl="8">
      <w:start w:val="1"/>
      <w:numFmt w:val="bullet"/>
      <w:lvlText w:val="•"/>
      <w:lvlJc w:val="left"/>
      <w:pPr>
        <w:ind w:left="9966" w:hanging="964"/>
      </w:pPr>
      <w:rPr>
        <w:rFonts w:hint="default"/>
      </w:rPr>
    </w:lvl>
  </w:abstractNum>
  <w:abstractNum w:abstractNumId="117">
    <w:nsid w:val="6A0D3900"/>
    <w:multiLevelType w:val="multilevel"/>
    <w:tmpl w:val="DCFEB602"/>
    <w:lvl w:ilvl="0">
      <w:start w:val="2"/>
      <w:numFmt w:val="decimal"/>
      <w:lvlText w:val="%1"/>
      <w:lvlJc w:val="left"/>
      <w:pPr>
        <w:ind w:left="1247" w:hanging="851"/>
      </w:pPr>
      <w:rPr>
        <w:rFonts w:hint="default"/>
      </w:rPr>
    </w:lvl>
    <w:lvl w:ilvl="1">
      <w:start w:val="1"/>
      <w:numFmt w:val="decimal"/>
      <w:lvlText w:val="%1.%2"/>
      <w:lvlJc w:val="left"/>
      <w:pPr>
        <w:ind w:left="1247" w:hanging="851"/>
      </w:pPr>
      <w:rPr>
        <w:rFonts w:hint="default"/>
      </w:rPr>
    </w:lvl>
    <w:lvl w:ilvl="2">
      <w:start w:val="1"/>
      <w:numFmt w:val="decimal"/>
      <w:lvlText w:val="%1.%2.%3"/>
      <w:lvlJc w:val="left"/>
      <w:pPr>
        <w:ind w:left="1247" w:hanging="851"/>
      </w:pPr>
      <w:rPr>
        <w:rFonts w:ascii="Avenir Next Medium" w:eastAsia="Avenir Next Medium" w:hAnsi="Avenir Next Medium" w:hint="default"/>
        <w:color w:val="0778BE"/>
        <w:sz w:val="24"/>
        <w:szCs w:val="24"/>
      </w:rPr>
    </w:lvl>
    <w:lvl w:ilvl="3">
      <w:start w:val="1"/>
      <w:numFmt w:val="bullet"/>
      <w:lvlText w:val="•"/>
      <w:lvlJc w:val="left"/>
      <w:pPr>
        <w:ind w:left="4444" w:hanging="851"/>
      </w:pPr>
      <w:rPr>
        <w:rFonts w:hint="default"/>
      </w:rPr>
    </w:lvl>
    <w:lvl w:ilvl="4">
      <w:start w:val="1"/>
      <w:numFmt w:val="bullet"/>
      <w:lvlText w:val="•"/>
      <w:lvlJc w:val="left"/>
      <w:pPr>
        <w:ind w:left="5510" w:hanging="851"/>
      </w:pPr>
      <w:rPr>
        <w:rFonts w:hint="default"/>
      </w:rPr>
    </w:lvl>
    <w:lvl w:ilvl="5">
      <w:start w:val="1"/>
      <w:numFmt w:val="bullet"/>
      <w:lvlText w:val="•"/>
      <w:lvlJc w:val="left"/>
      <w:pPr>
        <w:ind w:left="6576" w:hanging="851"/>
      </w:pPr>
      <w:rPr>
        <w:rFonts w:hint="default"/>
      </w:rPr>
    </w:lvl>
    <w:lvl w:ilvl="6">
      <w:start w:val="1"/>
      <w:numFmt w:val="bullet"/>
      <w:lvlText w:val="•"/>
      <w:lvlJc w:val="left"/>
      <w:pPr>
        <w:ind w:left="7642" w:hanging="851"/>
      </w:pPr>
      <w:rPr>
        <w:rFonts w:hint="default"/>
      </w:rPr>
    </w:lvl>
    <w:lvl w:ilvl="7">
      <w:start w:val="1"/>
      <w:numFmt w:val="bullet"/>
      <w:lvlText w:val="•"/>
      <w:lvlJc w:val="left"/>
      <w:pPr>
        <w:ind w:left="8708" w:hanging="851"/>
      </w:pPr>
      <w:rPr>
        <w:rFonts w:hint="default"/>
      </w:rPr>
    </w:lvl>
    <w:lvl w:ilvl="8">
      <w:start w:val="1"/>
      <w:numFmt w:val="bullet"/>
      <w:lvlText w:val="•"/>
      <w:lvlJc w:val="left"/>
      <w:pPr>
        <w:ind w:left="9773" w:hanging="851"/>
      </w:pPr>
      <w:rPr>
        <w:rFonts w:hint="default"/>
      </w:rPr>
    </w:lvl>
  </w:abstractNum>
  <w:abstractNum w:abstractNumId="118">
    <w:nsid w:val="6CAA088B"/>
    <w:multiLevelType w:val="multilevel"/>
    <w:tmpl w:val="D7601ADA"/>
    <w:lvl w:ilvl="0">
      <w:start w:val="9"/>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abstractNum w:abstractNumId="119">
    <w:nsid w:val="6E297CB7"/>
    <w:multiLevelType w:val="hybridMultilevel"/>
    <w:tmpl w:val="9F3AF152"/>
    <w:lvl w:ilvl="0" w:tplc="7E528C9A">
      <w:start w:val="1"/>
      <w:numFmt w:val="bullet"/>
      <w:lvlText w:val="•"/>
      <w:lvlJc w:val="left"/>
      <w:pPr>
        <w:ind w:left="396" w:hanging="227"/>
      </w:pPr>
      <w:rPr>
        <w:rFonts w:ascii="Avenir Next Condensed" w:eastAsia="Avenir Next Condensed" w:hAnsi="Avenir Next Condensed" w:hint="default"/>
        <w:sz w:val="20"/>
        <w:szCs w:val="20"/>
      </w:rPr>
    </w:lvl>
    <w:lvl w:ilvl="1" w:tplc="931C297A">
      <w:start w:val="1"/>
      <w:numFmt w:val="bullet"/>
      <w:lvlText w:val="–"/>
      <w:lvlJc w:val="left"/>
      <w:pPr>
        <w:ind w:left="737" w:hanging="227"/>
      </w:pPr>
      <w:rPr>
        <w:rFonts w:ascii="Avenir Next" w:eastAsia="Avenir Next" w:hAnsi="Avenir Next" w:hint="default"/>
        <w:sz w:val="20"/>
        <w:szCs w:val="20"/>
      </w:rPr>
    </w:lvl>
    <w:lvl w:ilvl="2" w:tplc="7B82D1CA">
      <w:start w:val="1"/>
      <w:numFmt w:val="bullet"/>
      <w:lvlText w:val="•"/>
      <w:lvlJc w:val="left"/>
      <w:pPr>
        <w:ind w:left="1700" w:hanging="227"/>
      </w:pPr>
      <w:rPr>
        <w:rFonts w:hint="default"/>
      </w:rPr>
    </w:lvl>
    <w:lvl w:ilvl="3" w:tplc="C3EA8B82">
      <w:start w:val="1"/>
      <w:numFmt w:val="bullet"/>
      <w:lvlText w:val="•"/>
      <w:lvlJc w:val="left"/>
      <w:pPr>
        <w:ind w:left="2664" w:hanging="227"/>
      </w:pPr>
      <w:rPr>
        <w:rFonts w:hint="default"/>
      </w:rPr>
    </w:lvl>
    <w:lvl w:ilvl="4" w:tplc="797C14E6">
      <w:start w:val="1"/>
      <w:numFmt w:val="bullet"/>
      <w:lvlText w:val="•"/>
      <w:lvlJc w:val="left"/>
      <w:pPr>
        <w:ind w:left="3628" w:hanging="227"/>
      </w:pPr>
      <w:rPr>
        <w:rFonts w:hint="default"/>
      </w:rPr>
    </w:lvl>
    <w:lvl w:ilvl="5" w:tplc="0D5E2358">
      <w:start w:val="1"/>
      <w:numFmt w:val="bullet"/>
      <w:lvlText w:val="•"/>
      <w:lvlJc w:val="left"/>
      <w:pPr>
        <w:ind w:left="4592" w:hanging="227"/>
      </w:pPr>
      <w:rPr>
        <w:rFonts w:hint="default"/>
      </w:rPr>
    </w:lvl>
    <w:lvl w:ilvl="6" w:tplc="400212D6">
      <w:start w:val="1"/>
      <w:numFmt w:val="bullet"/>
      <w:lvlText w:val="•"/>
      <w:lvlJc w:val="left"/>
      <w:pPr>
        <w:ind w:left="5555" w:hanging="227"/>
      </w:pPr>
      <w:rPr>
        <w:rFonts w:hint="default"/>
      </w:rPr>
    </w:lvl>
    <w:lvl w:ilvl="7" w:tplc="FB08F94C">
      <w:start w:val="1"/>
      <w:numFmt w:val="bullet"/>
      <w:lvlText w:val="•"/>
      <w:lvlJc w:val="left"/>
      <w:pPr>
        <w:ind w:left="6519" w:hanging="227"/>
      </w:pPr>
      <w:rPr>
        <w:rFonts w:hint="default"/>
      </w:rPr>
    </w:lvl>
    <w:lvl w:ilvl="8" w:tplc="633ECF38">
      <w:start w:val="1"/>
      <w:numFmt w:val="bullet"/>
      <w:lvlText w:val="•"/>
      <w:lvlJc w:val="left"/>
      <w:pPr>
        <w:ind w:left="7483" w:hanging="227"/>
      </w:pPr>
      <w:rPr>
        <w:rFonts w:hint="default"/>
      </w:rPr>
    </w:lvl>
  </w:abstractNum>
  <w:abstractNum w:abstractNumId="120">
    <w:nsid w:val="6E5B6B8E"/>
    <w:multiLevelType w:val="hybridMultilevel"/>
    <w:tmpl w:val="E5B2A356"/>
    <w:lvl w:ilvl="0" w:tplc="A07673D0">
      <w:start w:val="74"/>
      <w:numFmt w:val="decimal"/>
      <w:lvlText w:val="%1"/>
      <w:lvlJc w:val="left"/>
      <w:pPr>
        <w:ind w:left="1757" w:hanging="511"/>
      </w:pPr>
      <w:rPr>
        <w:rFonts w:ascii="Avenir Next" w:eastAsia="Avenir Next" w:hAnsi="Avenir Next" w:hint="default"/>
        <w:sz w:val="16"/>
        <w:szCs w:val="16"/>
      </w:rPr>
    </w:lvl>
    <w:lvl w:ilvl="1" w:tplc="6510A98C">
      <w:start w:val="1"/>
      <w:numFmt w:val="bullet"/>
      <w:lvlText w:val="•"/>
      <w:lvlJc w:val="left"/>
      <w:pPr>
        <w:ind w:left="2772" w:hanging="511"/>
      </w:pPr>
      <w:rPr>
        <w:rFonts w:hint="default"/>
      </w:rPr>
    </w:lvl>
    <w:lvl w:ilvl="2" w:tplc="FE3A8E46">
      <w:start w:val="1"/>
      <w:numFmt w:val="bullet"/>
      <w:lvlText w:val="•"/>
      <w:lvlJc w:val="left"/>
      <w:pPr>
        <w:ind w:left="3787" w:hanging="511"/>
      </w:pPr>
      <w:rPr>
        <w:rFonts w:hint="default"/>
      </w:rPr>
    </w:lvl>
    <w:lvl w:ilvl="3" w:tplc="C00C2FDA">
      <w:start w:val="1"/>
      <w:numFmt w:val="bullet"/>
      <w:lvlText w:val="•"/>
      <w:lvlJc w:val="left"/>
      <w:pPr>
        <w:ind w:left="4801" w:hanging="511"/>
      </w:pPr>
      <w:rPr>
        <w:rFonts w:hint="default"/>
      </w:rPr>
    </w:lvl>
    <w:lvl w:ilvl="4" w:tplc="31E8EB16">
      <w:start w:val="1"/>
      <w:numFmt w:val="bullet"/>
      <w:lvlText w:val="•"/>
      <w:lvlJc w:val="left"/>
      <w:pPr>
        <w:ind w:left="5816" w:hanging="511"/>
      </w:pPr>
      <w:rPr>
        <w:rFonts w:hint="default"/>
      </w:rPr>
    </w:lvl>
    <w:lvl w:ilvl="5" w:tplc="4978F73A">
      <w:start w:val="1"/>
      <w:numFmt w:val="bullet"/>
      <w:lvlText w:val="•"/>
      <w:lvlJc w:val="left"/>
      <w:pPr>
        <w:ind w:left="6831" w:hanging="511"/>
      </w:pPr>
      <w:rPr>
        <w:rFonts w:hint="default"/>
      </w:rPr>
    </w:lvl>
    <w:lvl w:ilvl="6" w:tplc="0AD02CE8">
      <w:start w:val="1"/>
      <w:numFmt w:val="bullet"/>
      <w:lvlText w:val="•"/>
      <w:lvlJc w:val="left"/>
      <w:pPr>
        <w:ind w:left="7846" w:hanging="511"/>
      </w:pPr>
      <w:rPr>
        <w:rFonts w:hint="default"/>
      </w:rPr>
    </w:lvl>
    <w:lvl w:ilvl="7" w:tplc="0FA6D748">
      <w:start w:val="1"/>
      <w:numFmt w:val="bullet"/>
      <w:lvlText w:val="•"/>
      <w:lvlJc w:val="left"/>
      <w:pPr>
        <w:ind w:left="8861" w:hanging="511"/>
      </w:pPr>
      <w:rPr>
        <w:rFonts w:hint="default"/>
      </w:rPr>
    </w:lvl>
    <w:lvl w:ilvl="8" w:tplc="70F4D3DA">
      <w:start w:val="1"/>
      <w:numFmt w:val="bullet"/>
      <w:lvlText w:val="•"/>
      <w:lvlJc w:val="left"/>
      <w:pPr>
        <w:ind w:left="9875" w:hanging="511"/>
      </w:pPr>
      <w:rPr>
        <w:rFonts w:hint="default"/>
      </w:rPr>
    </w:lvl>
  </w:abstractNum>
  <w:abstractNum w:abstractNumId="121">
    <w:nsid w:val="6E6438B2"/>
    <w:multiLevelType w:val="hybridMultilevel"/>
    <w:tmpl w:val="7CE01066"/>
    <w:lvl w:ilvl="0" w:tplc="655837D8">
      <w:start w:val="1"/>
      <w:numFmt w:val="bullet"/>
      <w:lvlText w:val="•"/>
      <w:lvlJc w:val="left"/>
      <w:pPr>
        <w:ind w:left="335" w:hanging="227"/>
      </w:pPr>
      <w:rPr>
        <w:rFonts w:ascii="Avenir Next Condensed" w:eastAsia="Avenir Next Condensed" w:hAnsi="Avenir Next Condensed" w:hint="default"/>
        <w:sz w:val="18"/>
        <w:szCs w:val="18"/>
      </w:rPr>
    </w:lvl>
    <w:lvl w:ilvl="1" w:tplc="CCDA4E88">
      <w:start w:val="1"/>
      <w:numFmt w:val="bullet"/>
      <w:lvlText w:val="•"/>
      <w:lvlJc w:val="left"/>
      <w:pPr>
        <w:ind w:left="886" w:hanging="227"/>
      </w:pPr>
      <w:rPr>
        <w:rFonts w:hint="default"/>
      </w:rPr>
    </w:lvl>
    <w:lvl w:ilvl="2" w:tplc="19DC8386">
      <w:start w:val="1"/>
      <w:numFmt w:val="bullet"/>
      <w:lvlText w:val="•"/>
      <w:lvlJc w:val="left"/>
      <w:pPr>
        <w:ind w:left="1438" w:hanging="227"/>
      </w:pPr>
      <w:rPr>
        <w:rFonts w:hint="default"/>
      </w:rPr>
    </w:lvl>
    <w:lvl w:ilvl="3" w:tplc="299E1966">
      <w:start w:val="1"/>
      <w:numFmt w:val="bullet"/>
      <w:lvlText w:val="•"/>
      <w:lvlJc w:val="left"/>
      <w:pPr>
        <w:ind w:left="1989" w:hanging="227"/>
      </w:pPr>
      <w:rPr>
        <w:rFonts w:hint="default"/>
      </w:rPr>
    </w:lvl>
    <w:lvl w:ilvl="4" w:tplc="A8902698">
      <w:start w:val="1"/>
      <w:numFmt w:val="bullet"/>
      <w:lvlText w:val="•"/>
      <w:lvlJc w:val="left"/>
      <w:pPr>
        <w:ind w:left="2541" w:hanging="227"/>
      </w:pPr>
      <w:rPr>
        <w:rFonts w:hint="default"/>
      </w:rPr>
    </w:lvl>
    <w:lvl w:ilvl="5" w:tplc="D850FF3C">
      <w:start w:val="1"/>
      <w:numFmt w:val="bullet"/>
      <w:lvlText w:val="•"/>
      <w:lvlJc w:val="left"/>
      <w:pPr>
        <w:ind w:left="3092" w:hanging="227"/>
      </w:pPr>
      <w:rPr>
        <w:rFonts w:hint="default"/>
      </w:rPr>
    </w:lvl>
    <w:lvl w:ilvl="6" w:tplc="67FE0112">
      <w:start w:val="1"/>
      <w:numFmt w:val="bullet"/>
      <w:lvlText w:val="•"/>
      <w:lvlJc w:val="left"/>
      <w:pPr>
        <w:ind w:left="3644" w:hanging="227"/>
      </w:pPr>
      <w:rPr>
        <w:rFonts w:hint="default"/>
      </w:rPr>
    </w:lvl>
    <w:lvl w:ilvl="7" w:tplc="7660CE4C">
      <w:start w:val="1"/>
      <w:numFmt w:val="bullet"/>
      <w:lvlText w:val="•"/>
      <w:lvlJc w:val="left"/>
      <w:pPr>
        <w:ind w:left="4195" w:hanging="227"/>
      </w:pPr>
      <w:rPr>
        <w:rFonts w:hint="default"/>
      </w:rPr>
    </w:lvl>
    <w:lvl w:ilvl="8" w:tplc="BD8C5CE8">
      <w:start w:val="1"/>
      <w:numFmt w:val="bullet"/>
      <w:lvlText w:val="•"/>
      <w:lvlJc w:val="left"/>
      <w:pPr>
        <w:ind w:left="4747" w:hanging="227"/>
      </w:pPr>
      <w:rPr>
        <w:rFonts w:hint="default"/>
      </w:rPr>
    </w:lvl>
  </w:abstractNum>
  <w:abstractNum w:abstractNumId="122">
    <w:nsid w:val="6E725032"/>
    <w:multiLevelType w:val="hybridMultilevel"/>
    <w:tmpl w:val="B39E49F2"/>
    <w:lvl w:ilvl="0" w:tplc="2BD26032">
      <w:start w:val="1"/>
      <w:numFmt w:val="decimal"/>
      <w:lvlText w:val="(%1)"/>
      <w:lvlJc w:val="left"/>
      <w:pPr>
        <w:ind w:left="510" w:hanging="341"/>
      </w:pPr>
      <w:rPr>
        <w:rFonts w:ascii="Avenir Next Condensed" w:eastAsia="Avenir Next Condensed" w:hAnsi="Avenir Next Condensed" w:hint="default"/>
        <w:spacing w:val="-2"/>
        <w:sz w:val="20"/>
        <w:szCs w:val="20"/>
      </w:rPr>
    </w:lvl>
    <w:lvl w:ilvl="1" w:tplc="D5FA83FA">
      <w:start w:val="1"/>
      <w:numFmt w:val="lowerLetter"/>
      <w:lvlText w:val="(%2)"/>
      <w:lvlJc w:val="left"/>
      <w:pPr>
        <w:ind w:left="850" w:hanging="341"/>
      </w:pPr>
      <w:rPr>
        <w:rFonts w:ascii="Avenir Next Condensed" w:eastAsia="Avenir Next Condensed" w:hAnsi="Avenir Next Condensed" w:hint="default"/>
        <w:spacing w:val="-2"/>
        <w:sz w:val="20"/>
        <w:szCs w:val="20"/>
      </w:rPr>
    </w:lvl>
    <w:lvl w:ilvl="2" w:tplc="72C2E5F0">
      <w:start w:val="1"/>
      <w:numFmt w:val="bullet"/>
      <w:lvlText w:val="•"/>
      <w:lvlJc w:val="left"/>
      <w:pPr>
        <w:ind w:left="1801" w:hanging="341"/>
      </w:pPr>
      <w:rPr>
        <w:rFonts w:hint="default"/>
      </w:rPr>
    </w:lvl>
    <w:lvl w:ilvl="3" w:tplc="DA382CDC">
      <w:start w:val="1"/>
      <w:numFmt w:val="bullet"/>
      <w:lvlText w:val="•"/>
      <w:lvlJc w:val="left"/>
      <w:pPr>
        <w:ind w:left="2752" w:hanging="341"/>
      </w:pPr>
      <w:rPr>
        <w:rFonts w:hint="default"/>
      </w:rPr>
    </w:lvl>
    <w:lvl w:ilvl="4" w:tplc="3BB60E48">
      <w:start w:val="1"/>
      <w:numFmt w:val="bullet"/>
      <w:lvlText w:val="•"/>
      <w:lvlJc w:val="left"/>
      <w:pPr>
        <w:ind w:left="3704" w:hanging="341"/>
      </w:pPr>
      <w:rPr>
        <w:rFonts w:hint="default"/>
      </w:rPr>
    </w:lvl>
    <w:lvl w:ilvl="5" w:tplc="36885B78">
      <w:start w:val="1"/>
      <w:numFmt w:val="bullet"/>
      <w:lvlText w:val="•"/>
      <w:lvlJc w:val="left"/>
      <w:pPr>
        <w:ind w:left="4655" w:hanging="341"/>
      </w:pPr>
      <w:rPr>
        <w:rFonts w:hint="default"/>
      </w:rPr>
    </w:lvl>
    <w:lvl w:ilvl="6" w:tplc="7444AE96">
      <w:start w:val="1"/>
      <w:numFmt w:val="bullet"/>
      <w:lvlText w:val="•"/>
      <w:lvlJc w:val="left"/>
      <w:pPr>
        <w:ind w:left="5606" w:hanging="341"/>
      </w:pPr>
      <w:rPr>
        <w:rFonts w:hint="default"/>
      </w:rPr>
    </w:lvl>
    <w:lvl w:ilvl="7" w:tplc="4778363C">
      <w:start w:val="1"/>
      <w:numFmt w:val="bullet"/>
      <w:lvlText w:val="•"/>
      <w:lvlJc w:val="left"/>
      <w:pPr>
        <w:ind w:left="6557" w:hanging="341"/>
      </w:pPr>
      <w:rPr>
        <w:rFonts w:hint="default"/>
      </w:rPr>
    </w:lvl>
    <w:lvl w:ilvl="8" w:tplc="F6723FE4">
      <w:start w:val="1"/>
      <w:numFmt w:val="bullet"/>
      <w:lvlText w:val="•"/>
      <w:lvlJc w:val="left"/>
      <w:pPr>
        <w:ind w:left="7508" w:hanging="341"/>
      </w:pPr>
      <w:rPr>
        <w:rFonts w:hint="default"/>
      </w:rPr>
    </w:lvl>
  </w:abstractNum>
  <w:abstractNum w:abstractNumId="123">
    <w:nsid w:val="6E74216C"/>
    <w:multiLevelType w:val="hybridMultilevel"/>
    <w:tmpl w:val="DB44413C"/>
    <w:lvl w:ilvl="0" w:tplc="FC9EE410">
      <w:start w:val="1"/>
      <w:numFmt w:val="bullet"/>
      <w:lvlText w:val="•"/>
      <w:lvlJc w:val="left"/>
      <w:pPr>
        <w:ind w:left="335" w:hanging="227"/>
      </w:pPr>
      <w:rPr>
        <w:rFonts w:ascii="Avenir Next Condensed" w:eastAsia="Avenir Next Condensed" w:hAnsi="Avenir Next Condensed" w:hint="default"/>
        <w:sz w:val="18"/>
        <w:szCs w:val="18"/>
      </w:rPr>
    </w:lvl>
    <w:lvl w:ilvl="1" w:tplc="FB98B244">
      <w:start w:val="1"/>
      <w:numFmt w:val="bullet"/>
      <w:lvlText w:val="•"/>
      <w:lvlJc w:val="left"/>
      <w:pPr>
        <w:ind w:left="770" w:hanging="227"/>
      </w:pPr>
      <w:rPr>
        <w:rFonts w:hint="default"/>
      </w:rPr>
    </w:lvl>
    <w:lvl w:ilvl="2" w:tplc="8626F860">
      <w:start w:val="1"/>
      <w:numFmt w:val="bullet"/>
      <w:lvlText w:val="•"/>
      <w:lvlJc w:val="left"/>
      <w:pPr>
        <w:ind w:left="1206" w:hanging="227"/>
      </w:pPr>
      <w:rPr>
        <w:rFonts w:hint="default"/>
      </w:rPr>
    </w:lvl>
    <w:lvl w:ilvl="3" w:tplc="466CF466">
      <w:start w:val="1"/>
      <w:numFmt w:val="bullet"/>
      <w:lvlText w:val="•"/>
      <w:lvlJc w:val="left"/>
      <w:pPr>
        <w:ind w:left="1641" w:hanging="227"/>
      </w:pPr>
      <w:rPr>
        <w:rFonts w:hint="default"/>
      </w:rPr>
    </w:lvl>
    <w:lvl w:ilvl="4" w:tplc="7416D66C">
      <w:start w:val="1"/>
      <w:numFmt w:val="bullet"/>
      <w:lvlText w:val="•"/>
      <w:lvlJc w:val="left"/>
      <w:pPr>
        <w:ind w:left="2077" w:hanging="227"/>
      </w:pPr>
      <w:rPr>
        <w:rFonts w:hint="default"/>
      </w:rPr>
    </w:lvl>
    <w:lvl w:ilvl="5" w:tplc="AE940AE8">
      <w:start w:val="1"/>
      <w:numFmt w:val="bullet"/>
      <w:lvlText w:val="•"/>
      <w:lvlJc w:val="left"/>
      <w:pPr>
        <w:ind w:left="2512" w:hanging="227"/>
      </w:pPr>
      <w:rPr>
        <w:rFonts w:hint="default"/>
      </w:rPr>
    </w:lvl>
    <w:lvl w:ilvl="6" w:tplc="B1F0D678">
      <w:start w:val="1"/>
      <w:numFmt w:val="bullet"/>
      <w:lvlText w:val="•"/>
      <w:lvlJc w:val="left"/>
      <w:pPr>
        <w:ind w:left="2948" w:hanging="227"/>
      </w:pPr>
      <w:rPr>
        <w:rFonts w:hint="default"/>
      </w:rPr>
    </w:lvl>
    <w:lvl w:ilvl="7" w:tplc="6DBE957E">
      <w:start w:val="1"/>
      <w:numFmt w:val="bullet"/>
      <w:lvlText w:val="•"/>
      <w:lvlJc w:val="left"/>
      <w:pPr>
        <w:ind w:left="3383" w:hanging="227"/>
      </w:pPr>
      <w:rPr>
        <w:rFonts w:hint="default"/>
      </w:rPr>
    </w:lvl>
    <w:lvl w:ilvl="8" w:tplc="AEEE83EA">
      <w:start w:val="1"/>
      <w:numFmt w:val="bullet"/>
      <w:lvlText w:val="•"/>
      <w:lvlJc w:val="left"/>
      <w:pPr>
        <w:ind w:left="3819" w:hanging="227"/>
      </w:pPr>
      <w:rPr>
        <w:rFonts w:hint="default"/>
      </w:rPr>
    </w:lvl>
  </w:abstractNum>
  <w:abstractNum w:abstractNumId="124">
    <w:nsid w:val="6F8A5F6C"/>
    <w:multiLevelType w:val="hybridMultilevel"/>
    <w:tmpl w:val="1D4ADED0"/>
    <w:lvl w:ilvl="0" w:tplc="7F623C1A">
      <w:start w:val="8"/>
      <w:numFmt w:val="decimal"/>
      <w:lvlText w:val="%1."/>
      <w:lvlJc w:val="left"/>
      <w:pPr>
        <w:ind w:left="2041" w:hanging="323"/>
      </w:pPr>
      <w:rPr>
        <w:rFonts w:ascii="Avenir Next Medium" w:eastAsia="Avenir Next Medium" w:hAnsi="Avenir Next Medium" w:hint="default"/>
        <w:color w:val="0778BE"/>
        <w:sz w:val="30"/>
        <w:szCs w:val="30"/>
      </w:rPr>
    </w:lvl>
    <w:lvl w:ilvl="1" w:tplc="121AABDC">
      <w:start w:val="1"/>
      <w:numFmt w:val="bullet"/>
      <w:lvlText w:val="•"/>
      <w:lvlJc w:val="left"/>
      <w:pPr>
        <w:ind w:left="3027" w:hanging="323"/>
      </w:pPr>
      <w:rPr>
        <w:rFonts w:hint="default"/>
      </w:rPr>
    </w:lvl>
    <w:lvl w:ilvl="2" w:tplc="B488560A">
      <w:start w:val="1"/>
      <w:numFmt w:val="bullet"/>
      <w:lvlText w:val="•"/>
      <w:lvlJc w:val="left"/>
      <w:pPr>
        <w:ind w:left="4013" w:hanging="323"/>
      </w:pPr>
      <w:rPr>
        <w:rFonts w:hint="default"/>
      </w:rPr>
    </w:lvl>
    <w:lvl w:ilvl="3" w:tplc="3FA278A2">
      <w:start w:val="1"/>
      <w:numFmt w:val="bullet"/>
      <w:lvlText w:val="•"/>
      <w:lvlJc w:val="left"/>
      <w:pPr>
        <w:ind w:left="5000" w:hanging="323"/>
      </w:pPr>
      <w:rPr>
        <w:rFonts w:hint="default"/>
      </w:rPr>
    </w:lvl>
    <w:lvl w:ilvl="4" w:tplc="591609CC">
      <w:start w:val="1"/>
      <w:numFmt w:val="bullet"/>
      <w:lvlText w:val="•"/>
      <w:lvlJc w:val="left"/>
      <w:pPr>
        <w:ind w:left="5986" w:hanging="323"/>
      </w:pPr>
      <w:rPr>
        <w:rFonts w:hint="default"/>
      </w:rPr>
    </w:lvl>
    <w:lvl w:ilvl="5" w:tplc="424E03A4">
      <w:start w:val="1"/>
      <w:numFmt w:val="bullet"/>
      <w:lvlText w:val="•"/>
      <w:lvlJc w:val="left"/>
      <w:pPr>
        <w:ind w:left="6973" w:hanging="323"/>
      </w:pPr>
      <w:rPr>
        <w:rFonts w:hint="default"/>
      </w:rPr>
    </w:lvl>
    <w:lvl w:ilvl="6" w:tplc="FA203034">
      <w:start w:val="1"/>
      <w:numFmt w:val="bullet"/>
      <w:lvlText w:val="•"/>
      <w:lvlJc w:val="left"/>
      <w:pPr>
        <w:ind w:left="7959" w:hanging="323"/>
      </w:pPr>
      <w:rPr>
        <w:rFonts w:hint="default"/>
      </w:rPr>
    </w:lvl>
    <w:lvl w:ilvl="7" w:tplc="C4AA5428">
      <w:start w:val="1"/>
      <w:numFmt w:val="bullet"/>
      <w:lvlText w:val="•"/>
      <w:lvlJc w:val="left"/>
      <w:pPr>
        <w:ind w:left="8946" w:hanging="323"/>
      </w:pPr>
      <w:rPr>
        <w:rFonts w:hint="default"/>
      </w:rPr>
    </w:lvl>
    <w:lvl w:ilvl="8" w:tplc="12EAE44C">
      <w:start w:val="1"/>
      <w:numFmt w:val="bullet"/>
      <w:lvlText w:val="•"/>
      <w:lvlJc w:val="left"/>
      <w:pPr>
        <w:ind w:left="9932" w:hanging="323"/>
      </w:pPr>
      <w:rPr>
        <w:rFonts w:hint="default"/>
      </w:rPr>
    </w:lvl>
  </w:abstractNum>
  <w:abstractNum w:abstractNumId="125">
    <w:nsid w:val="6FBE2AC4"/>
    <w:multiLevelType w:val="hybridMultilevel"/>
    <w:tmpl w:val="D0A6FB5C"/>
    <w:lvl w:ilvl="0" w:tplc="B680F248">
      <w:start w:val="8"/>
      <w:numFmt w:val="decimal"/>
      <w:lvlText w:val="%1."/>
      <w:lvlJc w:val="left"/>
      <w:pPr>
        <w:ind w:left="2593" w:hanging="212"/>
        <w:jc w:val="right"/>
      </w:pPr>
      <w:rPr>
        <w:rFonts w:ascii="Avenir Next" w:eastAsia="Avenir Next" w:hAnsi="Avenir Next" w:hint="default"/>
        <w:sz w:val="20"/>
        <w:szCs w:val="20"/>
      </w:rPr>
    </w:lvl>
    <w:lvl w:ilvl="1" w:tplc="6904270E">
      <w:start w:val="1"/>
      <w:numFmt w:val="bullet"/>
      <w:lvlText w:val="•"/>
      <w:lvlJc w:val="left"/>
      <w:pPr>
        <w:ind w:left="3524" w:hanging="212"/>
      </w:pPr>
      <w:rPr>
        <w:rFonts w:hint="default"/>
      </w:rPr>
    </w:lvl>
    <w:lvl w:ilvl="2" w:tplc="B9BCD892">
      <w:start w:val="1"/>
      <w:numFmt w:val="bullet"/>
      <w:lvlText w:val="•"/>
      <w:lvlJc w:val="left"/>
      <w:pPr>
        <w:ind w:left="4455" w:hanging="212"/>
      </w:pPr>
      <w:rPr>
        <w:rFonts w:hint="default"/>
      </w:rPr>
    </w:lvl>
    <w:lvl w:ilvl="3" w:tplc="DDD4D140">
      <w:start w:val="1"/>
      <w:numFmt w:val="bullet"/>
      <w:lvlText w:val="•"/>
      <w:lvlJc w:val="left"/>
      <w:pPr>
        <w:ind w:left="5387" w:hanging="212"/>
      </w:pPr>
      <w:rPr>
        <w:rFonts w:hint="default"/>
      </w:rPr>
    </w:lvl>
    <w:lvl w:ilvl="4" w:tplc="0DD4E46E">
      <w:start w:val="1"/>
      <w:numFmt w:val="bullet"/>
      <w:lvlText w:val="•"/>
      <w:lvlJc w:val="left"/>
      <w:pPr>
        <w:ind w:left="6318" w:hanging="212"/>
      </w:pPr>
      <w:rPr>
        <w:rFonts w:hint="default"/>
      </w:rPr>
    </w:lvl>
    <w:lvl w:ilvl="5" w:tplc="0D8CF450">
      <w:start w:val="1"/>
      <w:numFmt w:val="bullet"/>
      <w:lvlText w:val="•"/>
      <w:lvlJc w:val="left"/>
      <w:pPr>
        <w:ind w:left="7249" w:hanging="212"/>
      </w:pPr>
      <w:rPr>
        <w:rFonts w:hint="default"/>
      </w:rPr>
    </w:lvl>
    <w:lvl w:ilvl="6" w:tplc="440E4D90">
      <w:start w:val="1"/>
      <w:numFmt w:val="bullet"/>
      <w:lvlText w:val="•"/>
      <w:lvlJc w:val="left"/>
      <w:pPr>
        <w:ind w:left="8180" w:hanging="212"/>
      </w:pPr>
      <w:rPr>
        <w:rFonts w:hint="default"/>
      </w:rPr>
    </w:lvl>
    <w:lvl w:ilvl="7" w:tplc="E17CD1DC">
      <w:start w:val="1"/>
      <w:numFmt w:val="bullet"/>
      <w:lvlText w:val="•"/>
      <w:lvlJc w:val="left"/>
      <w:pPr>
        <w:ind w:left="9111" w:hanging="212"/>
      </w:pPr>
      <w:rPr>
        <w:rFonts w:hint="default"/>
      </w:rPr>
    </w:lvl>
    <w:lvl w:ilvl="8" w:tplc="9F40E67C">
      <w:start w:val="1"/>
      <w:numFmt w:val="bullet"/>
      <w:lvlText w:val="•"/>
      <w:lvlJc w:val="left"/>
      <w:pPr>
        <w:ind w:left="10043" w:hanging="212"/>
      </w:pPr>
      <w:rPr>
        <w:rFonts w:hint="default"/>
      </w:rPr>
    </w:lvl>
  </w:abstractNum>
  <w:abstractNum w:abstractNumId="126">
    <w:nsid w:val="709F4E07"/>
    <w:multiLevelType w:val="hybridMultilevel"/>
    <w:tmpl w:val="6BDA1494"/>
    <w:lvl w:ilvl="0" w:tplc="B27CBEE8">
      <w:start w:val="9"/>
      <w:numFmt w:val="decimal"/>
      <w:lvlText w:val="%1"/>
      <w:lvlJc w:val="left"/>
      <w:pPr>
        <w:ind w:left="1757" w:hanging="511"/>
      </w:pPr>
      <w:rPr>
        <w:rFonts w:ascii="Avenir Next" w:eastAsia="Avenir Next" w:hAnsi="Avenir Next" w:hint="default"/>
        <w:sz w:val="16"/>
        <w:szCs w:val="16"/>
      </w:rPr>
    </w:lvl>
    <w:lvl w:ilvl="1" w:tplc="52ECAB42">
      <w:start w:val="1"/>
      <w:numFmt w:val="bullet"/>
      <w:lvlText w:val="•"/>
      <w:lvlJc w:val="left"/>
      <w:pPr>
        <w:ind w:left="1644" w:hanging="227"/>
      </w:pPr>
      <w:rPr>
        <w:rFonts w:ascii="Avenir Next Condensed" w:eastAsia="Avenir Next Condensed" w:hAnsi="Avenir Next Condensed" w:hint="default"/>
        <w:sz w:val="20"/>
        <w:szCs w:val="20"/>
      </w:rPr>
    </w:lvl>
    <w:lvl w:ilvl="2" w:tplc="977CF2E6">
      <w:start w:val="1"/>
      <w:numFmt w:val="bullet"/>
      <w:lvlText w:val="–"/>
      <w:lvlJc w:val="left"/>
      <w:pPr>
        <w:ind w:left="1984" w:hanging="227"/>
      </w:pPr>
      <w:rPr>
        <w:rFonts w:ascii="Avenir Next" w:eastAsia="Avenir Next" w:hAnsi="Avenir Next" w:hint="default"/>
        <w:sz w:val="20"/>
        <w:szCs w:val="20"/>
      </w:rPr>
    </w:lvl>
    <w:lvl w:ilvl="3" w:tplc="F464344E">
      <w:start w:val="1"/>
      <w:numFmt w:val="bullet"/>
      <w:lvlText w:val="•"/>
      <w:lvlJc w:val="left"/>
      <w:pPr>
        <w:ind w:left="3224" w:hanging="227"/>
      </w:pPr>
      <w:rPr>
        <w:rFonts w:hint="default"/>
      </w:rPr>
    </w:lvl>
    <w:lvl w:ilvl="4" w:tplc="12500502">
      <w:start w:val="1"/>
      <w:numFmt w:val="bullet"/>
      <w:lvlText w:val="•"/>
      <w:lvlJc w:val="left"/>
      <w:pPr>
        <w:ind w:left="4464" w:hanging="227"/>
      </w:pPr>
      <w:rPr>
        <w:rFonts w:hint="default"/>
      </w:rPr>
    </w:lvl>
    <w:lvl w:ilvl="5" w:tplc="943EBA72">
      <w:start w:val="1"/>
      <w:numFmt w:val="bullet"/>
      <w:lvlText w:val="•"/>
      <w:lvlJc w:val="left"/>
      <w:pPr>
        <w:ind w:left="5704" w:hanging="227"/>
      </w:pPr>
      <w:rPr>
        <w:rFonts w:hint="default"/>
      </w:rPr>
    </w:lvl>
    <w:lvl w:ilvl="6" w:tplc="211A579A">
      <w:start w:val="1"/>
      <w:numFmt w:val="bullet"/>
      <w:lvlText w:val="•"/>
      <w:lvlJc w:val="left"/>
      <w:pPr>
        <w:ind w:left="6944" w:hanging="227"/>
      </w:pPr>
      <w:rPr>
        <w:rFonts w:hint="default"/>
      </w:rPr>
    </w:lvl>
    <w:lvl w:ilvl="7" w:tplc="1D58428C">
      <w:start w:val="1"/>
      <w:numFmt w:val="bullet"/>
      <w:lvlText w:val="•"/>
      <w:lvlJc w:val="left"/>
      <w:pPr>
        <w:ind w:left="8185" w:hanging="227"/>
      </w:pPr>
      <w:rPr>
        <w:rFonts w:hint="default"/>
      </w:rPr>
    </w:lvl>
    <w:lvl w:ilvl="8" w:tplc="7E66B660">
      <w:start w:val="1"/>
      <w:numFmt w:val="bullet"/>
      <w:lvlText w:val="•"/>
      <w:lvlJc w:val="left"/>
      <w:pPr>
        <w:ind w:left="9425" w:hanging="227"/>
      </w:pPr>
      <w:rPr>
        <w:rFonts w:hint="default"/>
      </w:rPr>
    </w:lvl>
  </w:abstractNum>
  <w:abstractNum w:abstractNumId="127">
    <w:nsid w:val="711179DE"/>
    <w:multiLevelType w:val="hybridMultilevel"/>
    <w:tmpl w:val="F3EA0288"/>
    <w:lvl w:ilvl="0" w:tplc="9A7298D0">
      <w:start w:val="1"/>
      <w:numFmt w:val="bullet"/>
      <w:lvlText w:val="•"/>
      <w:lvlJc w:val="left"/>
      <w:pPr>
        <w:ind w:left="335" w:hanging="227"/>
      </w:pPr>
      <w:rPr>
        <w:rFonts w:ascii="Avenir Next Condensed" w:eastAsia="Avenir Next Condensed" w:hAnsi="Avenir Next Condensed" w:hint="default"/>
        <w:sz w:val="18"/>
        <w:szCs w:val="18"/>
      </w:rPr>
    </w:lvl>
    <w:lvl w:ilvl="1" w:tplc="F32A5186">
      <w:start w:val="1"/>
      <w:numFmt w:val="bullet"/>
      <w:lvlText w:val="•"/>
      <w:lvlJc w:val="left"/>
      <w:pPr>
        <w:ind w:left="770" w:hanging="227"/>
      </w:pPr>
      <w:rPr>
        <w:rFonts w:hint="default"/>
      </w:rPr>
    </w:lvl>
    <w:lvl w:ilvl="2" w:tplc="E9A29090">
      <w:start w:val="1"/>
      <w:numFmt w:val="bullet"/>
      <w:lvlText w:val="•"/>
      <w:lvlJc w:val="left"/>
      <w:pPr>
        <w:ind w:left="1206" w:hanging="227"/>
      </w:pPr>
      <w:rPr>
        <w:rFonts w:hint="default"/>
      </w:rPr>
    </w:lvl>
    <w:lvl w:ilvl="3" w:tplc="7E063714">
      <w:start w:val="1"/>
      <w:numFmt w:val="bullet"/>
      <w:lvlText w:val="•"/>
      <w:lvlJc w:val="left"/>
      <w:pPr>
        <w:ind w:left="1641" w:hanging="227"/>
      </w:pPr>
      <w:rPr>
        <w:rFonts w:hint="default"/>
      </w:rPr>
    </w:lvl>
    <w:lvl w:ilvl="4" w:tplc="6B0E51D2">
      <w:start w:val="1"/>
      <w:numFmt w:val="bullet"/>
      <w:lvlText w:val="•"/>
      <w:lvlJc w:val="left"/>
      <w:pPr>
        <w:ind w:left="2077" w:hanging="227"/>
      </w:pPr>
      <w:rPr>
        <w:rFonts w:hint="default"/>
      </w:rPr>
    </w:lvl>
    <w:lvl w:ilvl="5" w:tplc="38E29724">
      <w:start w:val="1"/>
      <w:numFmt w:val="bullet"/>
      <w:lvlText w:val="•"/>
      <w:lvlJc w:val="left"/>
      <w:pPr>
        <w:ind w:left="2512" w:hanging="227"/>
      </w:pPr>
      <w:rPr>
        <w:rFonts w:hint="default"/>
      </w:rPr>
    </w:lvl>
    <w:lvl w:ilvl="6" w:tplc="C4022384">
      <w:start w:val="1"/>
      <w:numFmt w:val="bullet"/>
      <w:lvlText w:val="•"/>
      <w:lvlJc w:val="left"/>
      <w:pPr>
        <w:ind w:left="2948" w:hanging="227"/>
      </w:pPr>
      <w:rPr>
        <w:rFonts w:hint="default"/>
      </w:rPr>
    </w:lvl>
    <w:lvl w:ilvl="7" w:tplc="DF704D8C">
      <w:start w:val="1"/>
      <w:numFmt w:val="bullet"/>
      <w:lvlText w:val="•"/>
      <w:lvlJc w:val="left"/>
      <w:pPr>
        <w:ind w:left="3383" w:hanging="227"/>
      </w:pPr>
      <w:rPr>
        <w:rFonts w:hint="default"/>
      </w:rPr>
    </w:lvl>
    <w:lvl w:ilvl="8" w:tplc="6DC6D9DE">
      <w:start w:val="1"/>
      <w:numFmt w:val="bullet"/>
      <w:lvlText w:val="•"/>
      <w:lvlJc w:val="left"/>
      <w:pPr>
        <w:ind w:left="3819" w:hanging="227"/>
      </w:pPr>
      <w:rPr>
        <w:rFonts w:hint="default"/>
      </w:rPr>
    </w:lvl>
  </w:abstractNum>
  <w:abstractNum w:abstractNumId="128">
    <w:nsid w:val="73B07D51"/>
    <w:multiLevelType w:val="hybridMultilevel"/>
    <w:tmpl w:val="DDB653DE"/>
    <w:lvl w:ilvl="0" w:tplc="04D85056">
      <w:start w:val="1"/>
      <w:numFmt w:val="decimal"/>
      <w:lvlText w:val="%1"/>
      <w:lvlJc w:val="left"/>
      <w:pPr>
        <w:ind w:left="1757" w:hanging="511"/>
      </w:pPr>
      <w:rPr>
        <w:rFonts w:ascii="Avenir Next" w:eastAsia="Avenir Next" w:hAnsi="Avenir Next" w:hint="default"/>
        <w:sz w:val="16"/>
        <w:szCs w:val="16"/>
      </w:rPr>
    </w:lvl>
    <w:lvl w:ilvl="1" w:tplc="4DB2FC86">
      <w:start w:val="1"/>
      <w:numFmt w:val="bullet"/>
      <w:lvlText w:val="•"/>
      <w:lvlJc w:val="left"/>
      <w:pPr>
        <w:ind w:left="2772" w:hanging="511"/>
      </w:pPr>
      <w:rPr>
        <w:rFonts w:hint="default"/>
      </w:rPr>
    </w:lvl>
    <w:lvl w:ilvl="2" w:tplc="56183EBA">
      <w:start w:val="1"/>
      <w:numFmt w:val="bullet"/>
      <w:lvlText w:val="•"/>
      <w:lvlJc w:val="left"/>
      <w:pPr>
        <w:ind w:left="3787" w:hanging="511"/>
      </w:pPr>
      <w:rPr>
        <w:rFonts w:hint="default"/>
      </w:rPr>
    </w:lvl>
    <w:lvl w:ilvl="3" w:tplc="B262D81A">
      <w:start w:val="1"/>
      <w:numFmt w:val="bullet"/>
      <w:lvlText w:val="•"/>
      <w:lvlJc w:val="left"/>
      <w:pPr>
        <w:ind w:left="4801" w:hanging="511"/>
      </w:pPr>
      <w:rPr>
        <w:rFonts w:hint="default"/>
      </w:rPr>
    </w:lvl>
    <w:lvl w:ilvl="4" w:tplc="116CA42E">
      <w:start w:val="1"/>
      <w:numFmt w:val="bullet"/>
      <w:lvlText w:val="•"/>
      <w:lvlJc w:val="left"/>
      <w:pPr>
        <w:ind w:left="5816" w:hanging="511"/>
      </w:pPr>
      <w:rPr>
        <w:rFonts w:hint="default"/>
      </w:rPr>
    </w:lvl>
    <w:lvl w:ilvl="5" w:tplc="F002FD76">
      <w:start w:val="1"/>
      <w:numFmt w:val="bullet"/>
      <w:lvlText w:val="•"/>
      <w:lvlJc w:val="left"/>
      <w:pPr>
        <w:ind w:left="6831" w:hanging="511"/>
      </w:pPr>
      <w:rPr>
        <w:rFonts w:hint="default"/>
      </w:rPr>
    </w:lvl>
    <w:lvl w:ilvl="6" w:tplc="2480C408">
      <w:start w:val="1"/>
      <w:numFmt w:val="bullet"/>
      <w:lvlText w:val="•"/>
      <w:lvlJc w:val="left"/>
      <w:pPr>
        <w:ind w:left="7846" w:hanging="511"/>
      </w:pPr>
      <w:rPr>
        <w:rFonts w:hint="default"/>
      </w:rPr>
    </w:lvl>
    <w:lvl w:ilvl="7" w:tplc="ECF4D590">
      <w:start w:val="1"/>
      <w:numFmt w:val="bullet"/>
      <w:lvlText w:val="•"/>
      <w:lvlJc w:val="left"/>
      <w:pPr>
        <w:ind w:left="8861" w:hanging="511"/>
      </w:pPr>
      <w:rPr>
        <w:rFonts w:hint="default"/>
      </w:rPr>
    </w:lvl>
    <w:lvl w:ilvl="8" w:tplc="794015A6">
      <w:start w:val="1"/>
      <w:numFmt w:val="bullet"/>
      <w:lvlText w:val="•"/>
      <w:lvlJc w:val="left"/>
      <w:pPr>
        <w:ind w:left="9875" w:hanging="511"/>
      </w:pPr>
      <w:rPr>
        <w:rFonts w:hint="default"/>
      </w:rPr>
    </w:lvl>
  </w:abstractNum>
  <w:abstractNum w:abstractNumId="129">
    <w:nsid w:val="748E3D97"/>
    <w:multiLevelType w:val="hybridMultilevel"/>
    <w:tmpl w:val="EEE0C1FA"/>
    <w:lvl w:ilvl="0" w:tplc="2A9C204A">
      <w:start w:val="1"/>
      <w:numFmt w:val="bullet"/>
      <w:lvlText w:val="•"/>
      <w:lvlJc w:val="left"/>
      <w:pPr>
        <w:ind w:left="1530" w:hanging="284"/>
      </w:pPr>
      <w:rPr>
        <w:rFonts w:ascii="Avenir Next" w:eastAsia="Avenir Next" w:hAnsi="Avenir Next" w:hint="default"/>
        <w:sz w:val="20"/>
        <w:szCs w:val="20"/>
      </w:rPr>
    </w:lvl>
    <w:lvl w:ilvl="1" w:tplc="19F08C5A">
      <w:start w:val="1"/>
      <w:numFmt w:val="bullet"/>
      <w:lvlText w:val="–"/>
      <w:lvlJc w:val="left"/>
      <w:pPr>
        <w:ind w:left="1814" w:hanging="284"/>
      </w:pPr>
      <w:rPr>
        <w:rFonts w:ascii="Avenir Next" w:eastAsia="Avenir Next" w:hAnsi="Avenir Next" w:hint="default"/>
        <w:sz w:val="20"/>
        <w:szCs w:val="20"/>
      </w:rPr>
    </w:lvl>
    <w:lvl w:ilvl="2" w:tplc="CDACF33A">
      <w:start w:val="1"/>
      <w:numFmt w:val="bullet"/>
      <w:lvlText w:val="•"/>
      <w:lvlJc w:val="left"/>
      <w:pPr>
        <w:ind w:left="1814" w:hanging="284"/>
      </w:pPr>
      <w:rPr>
        <w:rFonts w:hint="default"/>
      </w:rPr>
    </w:lvl>
    <w:lvl w:ilvl="3" w:tplc="790E9850">
      <w:start w:val="1"/>
      <w:numFmt w:val="bullet"/>
      <w:lvlText w:val="•"/>
      <w:lvlJc w:val="left"/>
      <w:pPr>
        <w:ind w:left="1814" w:hanging="284"/>
      </w:pPr>
      <w:rPr>
        <w:rFonts w:hint="default"/>
      </w:rPr>
    </w:lvl>
    <w:lvl w:ilvl="4" w:tplc="A8F664BC">
      <w:start w:val="1"/>
      <w:numFmt w:val="bullet"/>
      <w:lvlText w:val="•"/>
      <w:lvlJc w:val="left"/>
      <w:pPr>
        <w:ind w:left="1814" w:hanging="284"/>
      </w:pPr>
      <w:rPr>
        <w:rFonts w:hint="default"/>
      </w:rPr>
    </w:lvl>
    <w:lvl w:ilvl="5" w:tplc="13BEA004">
      <w:start w:val="1"/>
      <w:numFmt w:val="bullet"/>
      <w:lvlText w:val="•"/>
      <w:lvlJc w:val="left"/>
      <w:pPr>
        <w:ind w:left="1814" w:hanging="284"/>
      </w:pPr>
      <w:rPr>
        <w:rFonts w:hint="default"/>
      </w:rPr>
    </w:lvl>
    <w:lvl w:ilvl="6" w:tplc="2EB6720C">
      <w:start w:val="1"/>
      <w:numFmt w:val="bullet"/>
      <w:lvlText w:val="•"/>
      <w:lvlJc w:val="left"/>
      <w:pPr>
        <w:ind w:left="1814" w:hanging="284"/>
      </w:pPr>
      <w:rPr>
        <w:rFonts w:hint="default"/>
      </w:rPr>
    </w:lvl>
    <w:lvl w:ilvl="7" w:tplc="9AF053E2">
      <w:start w:val="1"/>
      <w:numFmt w:val="bullet"/>
      <w:lvlText w:val="•"/>
      <w:lvlJc w:val="left"/>
      <w:pPr>
        <w:ind w:left="1814" w:hanging="284"/>
      </w:pPr>
      <w:rPr>
        <w:rFonts w:hint="default"/>
      </w:rPr>
    </w:lvl>
    <w:lvl w:ilvl="8" w:tplc="69E2A58A">
      <w:start w:val="1"/>
      <w:numFmt w:val="bullet"/>
      <w:lvlText w:val="•"/>
      <w:lvlJc w:val="left"/>
      <w:pPr>
        <w:ind w:left="1814" w:hanging="284"/>
      </w:pPr>
      <w:rPr>
        <w:rFonts w:hint="default"/>
      </w:rPr>
    </w:lvl>
  </w:abstractNum>
  <w:abstractNum w:abstractNumId="130">
    <w:nsid w:val="76475CD4"/>
    <w:multiLevelType w:val="hybridMultilevel"/>
    <w:tmpl w:val="E7F43916"/>
    <w:lvl w:ilvl="0" w:tplc="4FF4B604">
      <w:start w:val="1"/>
      <w:numFmt w:val="lowerLetter"/>
      <w:lvlText w:val="(%1)"/>
      <w:lvlJc w:val="left"/>
      <w:pPr>
        <w:ind w:left="1587" w:hanging="341"/>
      </w:pPr>
      <w:rPr>
        <w:rFonts w:ascii="Avenir Next" w:eastAsia="Avenir Next" w:hAnsi="Avenir Next" w:hint="default"/>
        <w:sz w:val="20"/>
        <w:szCs w:val="20"/>
      </w:rPr>
    </w:lvl>
    <w:lvl w:ilvl="1" w:tplc="44FE57BC">
      <w:start w:val="1"/>
      <w:numFmt w:val="bullet"/>
      <w:lvlText w:val="•"/>
      <w:lvlJc w:val="left"/>
      <w:pPr>
        <w:ind w:left="2619" w:hanging="341"/>
      </w:pPr>
      <w:rPr>
        <w:rFonts w:hint="default"/>
      </w:rPr>
    </w:lvl>
    <w:lvl w:ilvl="2" w:tplc="44363B52">
      <w:start w:val="1"/>
      <w:numFmt w:val="bullet"/>
      <w:lvlText w:val="•"/>
      <w:lvlJc w:val="left"/>
      <w:pPr>
        <w:ind w:left="3651" w:hanging="341"/>
      </w:pPr>
      <w:rPr>
        <w:rFonts w:hint="default"/>
      </w:rPr>
    </w:lvl>
    <w:lvl w:ilvl="3" w:tplc="0D3C0348">
      <w:start w:val="1"/>
      <w:numFmt w:val="bullet"/>
      <w:lvlText w:val="•"/>
      <w:lvlJc w:val="left"/>
      <w:pPr>
        <w:ind w:left="4682" w:hanging="341"/>
      </w:pPr>
      <w:rPr>
        <w:rFonts w:hint="default"/>
      </w:rPr>
    </w:lvl>
    <w:lvl w:ilvl="4" w:tplc="44CA54D8">
      <w:start w:val="1"/>
      <w:numFmt w:val="bullet"/>
      <w:lvlText w:val="•"/>
      <w:lvlJc w:val="left"/>
      <w:pPr>
        <w:ind w:left="5714" w:hanging="341"/>
      </w:pPr>
      <w:rPr>
        <w:rFonts w:hint="default"/>
      </w:rPr>
    </w:lvl>
    <w:lvl w:ilvl="5" w:tplc="4C1AD74C">
      <w:start w:val="1"/>
      <w:numFmt w:val="bullet"/>
      <w:lvlText w:val="•"/>
      <w:lvlJc w:val="left"/>
      <w:pPr>
        <w:ind w:left="6746" w:hanging="341"/>
      </w:pPr>
      <w:rPr>
        <w:rFonts w:hint="default"/>
      </w:rPr>
    </w:lvl>
    <w:lvl w:ilvl="6" w:tplc="182222C0">
      <w:start w:val="1"/>
      <w:numFmt w:val="bullet"/>
      <w:lvlText w:val="•"/>
      <w:lvlJc w:val="left"/>
      <w:pPr>
        <w:ind w:left="7778" w:hanging="341"/>
      </w:pPr>
      <w:rPr>
        <w:rFonts w:hint="default"/>
      </w:rPr>
    </w:lvl>
    <w:lvl w:ilvl="7" w:tplc="6AC8DDC8">
      <w:start w:val="1"/>
      <w:numFmt w:val="bullet"/>
      <w:lvlText w:val="•"/>
      <w:lvlJc w:val="left"/>
      <w:pPr>
        <w:ind w:left="8810" w:hanging="341"/>
      </w:pPr>
      <w:rPr>
        <w:rFonts w:hint="default"/>
      </w:rPr>
    </w:lvl>
    <w:lvl w:ilvl="8" w:tplc="DA382B54">
      <w:start w:val="1"/>
      <w:numFmt w:val="bullet"/>
      <w:lvlText w:val="•"/>
      <w:lvlJc w:val="left"/>
      <w:pPr>
        <w:ind w:left="9841" w:hanging="341"/>
      </w:pPr>
      <w:rPr>
        <w:rFonts w:hint="default"/>
      </w:rPr>
    </w:lvl>
  </w:abstractNum>
  <w:abstractNum w:abstractNumId="131">
    <w:nsid w:val="770F4931"/>
    <w:multiLevelType w:val="hybridMultilevel"/>
    <w:tmpl w:val="339E7CDC"/>
    <w:lvl w:ilvl="0" w:tplc="7CF43D9E">
      <w:start w:val="1"/>
      <w:numFmt w:val="bullet"/>
      <w:lvlText w:val="•"/>
      <w:lvlJc w:val="left"/>
      <w:pPr>
        <w:ind w:left="226" w:hanging="227"/>
      </w:pPr>
      <w:rPr>
        <w:rFonts w:ascii="Avenir Next Condensed" w:eastAsia="Avenir Next Condensed" w:hAnsi="Avenir Next Condensed" w:hint="default"/>
        <w:sz w:val="20"/>
        <w:szCs w:val="20"/>
      </w:rPr>
    </w:lvl>
    <w:lvl w:ilvl="1" w:tplc="61661924">
      <w:start w:val="1"/>
      <w:numFmt w:val="bullet"/>
      <w:lvlText w:val="•"/>
      <w:lvlJc w:val="left"/>
      <w:pPr>
        <w:ind w:left="1093" w:hanging="227"/>
      </w:pPr>
      <w:rPr>
        <w:rFonts w:hint="default"/>
      </w:rPr>
    </w:lvl>
    <w:lvl w:ilvl="2" w:tplc="CD549514">
      <w:start w:val="1"/>
      <w:numFmt w:val="bullet"/>
      <w:lvlText w:val="•"/>
      <w:lvlJc w:val="left"/>
      <w:pPr>
        <w:ind w:left="1961" w:hanging="227"/>
      </w:pPr>
      <w:rPr>
        <w:rFonts w:hint="default"/>
      </w:rPr>
    </w:lvl>
    <w:lvl w:ilvl="3" w:tplc="AD924A7E">
      <w:start w:val="1"/>
      <w:numFmt w:val="bullet"/>
      <w:lvlText w:val="•"/>
      <w:lvlJc w:val="left"/>
      <w:pPr>
        <w:ind w:left="2828" w:hanging="227"/>
      </w:pPr>
      <w:rPr>
        <w:rFonts w:hint="default"/>
      </w:rPr>
    </w:lvl>
    <w:lvl w:ilvl="4" w:tplc="34FE526E">
      <w:start w:val="1"/>
      <w:numFmt w:val="bullet"/>
      <w:lvlText w:val="•"/>
      <w:lvlJc w:val="left"/>
      <w:pPr>
        <w:ind w:left="3695" w:hanging="227"/>
      </w:pPr>
      <w:rPr>
        <w:rFonts w:hint="default"/>
      </w:rPr>
    </w:lvl>
    <w:lvl w:ilvl="5" w:tplc="AA7C016A">
      <w:start w:val="1"/>
      <w:numFmt w:val="bullet"/>
      <w:lvlText w:val="•"/>
      <w:lvlJc w:val="left"/>
      <w:pPr>
        <w:ind w:left="4562" w:hanging="227"/>
      </w:pPr>
      <w:rPr>
        <w:rFonts w:hint="default"/>
      </w:rPr>
    </w:lvl>
    <w:lvl w:ilvl="6" w:tplc="9300151C">
      <w:start w:val="1"/>
      <w:numFmt w:val="bullet"/>
      <w:lvlText w:val="•"/>
      <w:lvlJc w:val="left"/>
      <w:pPr>
        <w:ind w:left="5429" w:hanging="227"/>
      </w:pPr>
      <w:rPr>
        <w:rFonts w:hint="default"/>
      </w:rPr>
    </w:lvl>
    <w:lvl w:ilvl="7" w:tplc="406AA77A">
      <w:start w:val="1"/>
      <w:numFmt w:val="bullet"/>
      <w:lvlText w:val="•"/>
      <w:lvlJc w:val="left"/>
      <w:pPr>
        <w:ind w:left="6296" w:hanging="227"/>
      </w:pPr>
      <w:rPr>
        <w:rFonts w:hint="default"/>
      </w:rPr>
    </w:lvl>
    <w:lvl w:ilvl="8" w:tplc="93F47DCE">
      <w:start w:val="1"/>
      <w:numFmt w:val="bullet"/>
      <w:lvlText w:val="•"/>
      <w:lvlJc w:val="left"/>
      <w:pPr>
        <w:ind w:left="7163" w:hanging="227"/>
      </w:pPr>
      <w:rPr>
        <w:rFonts w:hint="default"/>
      </w:rPr>
    </w:lvl>
  </w:abstractNum>
  <w:abstractNum w:abstractNumId="132">
    <w:nsid w:val="77874ADF"/>
    <w:multiLevelType w:val="multilevel"/>
    <w:tmpl w:val="5EC0610E"/>
    <w:lvl w:ilvl="0">
      <w:start w:val="10"/>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decimal"/>
      <w:lvlText w:val="%1.%2.%3.%4"/>
      <w:lvlJc w:val="left"/>
      <w:pPr>
        <w:ind w:left="2211" w:hanging="964"/>
      </w:pPr>
      <w:rPr>
        <w:rFonts w:ascii="Avenir Next" w:eastAsia="Avenir Next" w:hAnsi="Avenir Next" w:hint="default"/>
        <w:b/>
        <w:bCs/>
        <w:color w:val="0778BE"/>
        <w:sz w:val="22"/>
        <w:szCs w:val="22"/>
      </w:rPr>
    </w:lvl>
    <w:lvl w:ilvl="4">
      <w:start w:val="1"/>
      <w:numFmt w:val="bullet"/>
      <w:lvlText w:val="•"/>
      <w:lvlJc w:val="left"/>
      <w:pPr>
        <w:ind w:left="5442" w:hanging="964"/>
      </w:pPr>
      <w:rPr>
        <w:rFonts w:hint="default"/>
      </w:rPr>
    </w:lvl>
    <w:lvl w:ilvl="5">
      <w:start w:val="1"/>
      <w:numFmt w:val="bullet"/>
      <w:lvlText w:val="•"/>
      <w:lvlJc w:val="left"/>
      <w:pPr>
        <w:ind w:left="6519" w:hanging="964"/>
      </w:pPr>
      <w:rPr>
        <w:rFonts w:hint="default"/>
      </w:rPr>
    </w:lvl>
    <w:lvl w:ilvl="6">
      <w:start w:val="1"/>
      <w:numFmt w:val="bullet"/>
      <w:lvlText w:val="•"/>
      <w:lvlJc w:val="left"/>
      <w:pPr>
        <w:ind w:left="7596" w:hanging="964"/>
      </w:pPr>
      <w:rPr>
        <w:rFonts w:hint="default"/>
      </w:rPr>
    </w:lvl>
    <w:lvl w:ilvl="7">
      <w:start w:val="1"/>
      <w:numFmt w:val="bullet"/>
      <w:lvlText w:val="•"/>
      <w:lvlJc w:val="left"/>
      <w:pPr>
        <w:ind w:left="8674" w:hanging="964"/>
      </w:pPr>
      <w:rPr>
        <w:rFonts w:hint="default"/>
      </w:rPr>
    </w:lvl>
    <w:lvl w:ilvl="8">
      <w:start w:val="1"/>
      <w:numFmt w:val="bullet"/>
      <w:lvlText w:val="•"/>
      <w:lvlJc w:val="left"/>
      <w:pPr>
        <w:ind w:left="9751" w:hanging="964"/>
      </w:pPr>
      <w:rPr>
        <w:rFonts w:hint="default"/>
      </w:rPr>
    </w:lvl>
  </w:abstractNum>
  <w:abstractNum w:abstractNumId="133">
    <w:nsid w:val="77900F39"/>
    <w:multiLevelType w:val="multilevel"/>
    <w:tmpl w:val="A97C6BBA"/>
    <w:lvl w:ilvl="0">
      <w:start w:val="12"/>
      <w:numFmt w:val="decimal"/>
      <w:lvlText w:val="%1"/>
      <w:lvlJc w:val="left"/>
      <w:pPr>
        <w:ind w:left="2097" w:hanging="851"/>
      </w:pPr>
      <w:rPr>
        <w:rFonts w:hint="default"/>
      </w:rPr>
    </w:lvl>
    <w:lvl w:ilvl="1">
      <w:start w:val="2"/>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4365" w:hanging="851"/>
      </w:pPr>
      <w:rPr>
        <w:rFonts w:hint="default"/>
      </w:rPr>
    </w:lvl>
    <w:lvl w:ilvl="4">
      <w:start w:val="1"/>
      <w:numFmt w:val="bullet"/>
      <w:lvlText w:val="•"/>
      <w:lvlJc w:val="left"/>
      <w:pPr>
        <w:ind w:left="5442" w:hanging="851"/>
      </w:pPr>
      <w:rPr>
        <w:rFonts w:hint="default"/>
      </w:rPr>
    </w:lvl>
    <w:lvl w:ilvl="5">
      <w:start w:val="1"/>
      <w:numFmt w:val="bullet"/>
      <w:lvlText w:val="•"/>
      <w:lvlJc w:val="left"/>
      <w:pPr>
        <w:ind w:left="6519" w:hanging="851"/>
      </w:pPr>
      <w:rPr>
        <w:rFonts w:hint="default"/>
      </w:rPr>
    </w:lvl>
    <w:lvl w:ilvl="6">
      <w:start w:val="1"/>
      <w:numFmt w:val="bullet"/>
      <w:lvlText w:val="•"/>
      <w:lvlJc w:val="left"/>
      <w:pPr>
        <w:ind w:left="7596" w:hanging="851"/>
      </w:pPr>
      <w:rPr>
        <w:rFonts w:hint="default"/>
      </w:rPr>
    </w:lvl>
    <w:lvl w:ilvl="7">
      <w:start w:val="1"/>
      <w:numFmt w:val="bullet"/>
      <w:lvlText w:val="•"/>
      <w:lvlJc w:val="left"/>
      <w:pPr>
        <w:ind w:left="8674" w:hanging="851"/>
      </w:pPr>
      <w:rPr>
        <w:rFonts w:hint="default"/>
      </w:rPr>
    </w:lvl>
    <w:lvl w:ilvl="8">
      <w:start w:val="1"/>
      <w:numFmt w:val="bullet"/>
      <w:lvlText w:val="•"/>
      <w:lvlJc w:val="left"/>
      <w:pPr>
        <w:ind w:left="9751" w:hanging="851"/>
      </w:pPr>
      <w:rPr>
        <w:rFonts w:hint="default"/>
      </w:rPr>
    </w:lvl>
  </w:abstractNum>
  <w:abstractNum w:abstractNumId="134">
    <w:nsid w:val="7C5C1DA8"/>
    <w:multiLevelType w:val="hybridMultilevel"/>
    <w:tmpl w:val="D730D046"/>
    <w:lvl w:ilvl="0" w:tplc="CC603BB0">
      <w:start w:val="1"/>
      <w:numFmt w:val="bullet"/>
      <w:lvlText w:val="•"/>
      <w:lvlJc w:val="left"/>
      <w:pPr>
        <w:ind w:left="396" w:hanging="227"/>
      </w:pPr>
      <w:rPr>
        <w:rFonts w:ascii="Avenir Next Condensed" w:eastAsia="Avenir Next Condensed" w:hAnsi="Avenir Next Condensed" w:hint="default"/>
        <w:sz w:val="20"/>
        <w:szCs w:val="20"/>
      </w:rPr>
    </w:lvl>
    <w:lvl w:ilvl="1" w:tplc="55786668">
      <w:start w:val="1"/>
      <w:numFmt w:val="bullet"/>
      <w:lvlText w:val="•"/>
      <w:lvlJc w:val="left"/>
      <w:pPr>
        <w:ind w:left="1298" w:hanging="227"/>
      </w:pPr>
      <w:rPr>
        <w:rFonts w:hint="default"/>
      </w:rPr>
    </w:lvl>
    <w:lvl w:ilvl="2" w:tplc="420E7792">
      <w:start w:val="1"/>
      <w:numFmt w:val="bullet"/>
      <w:lvlText w:val="•"/>
      <w:lvlJc w:val="left"/>
      <w:pPr>
        <w:ind w:left="2199" w:hanging="227"/>
      </w:pPr>
      <w:rPr>
        <w:rFonts w:hint="default"/>
      </w:rPr>
    </w:lvl>
    <w:lvl w:ilvl="3" w:tplc="83D64926">
      <w:start w:val="1"/>
      <w:numFmt w:val="bullet"/>
      <w:lvlText w:val="•"/>
      <w:lvlJc w:val="left"/>
      <w:pPr>
        <w:ind w:left="3101" w:hanging="227"/>
      </w:pPr>
      <w:rPr>
        <w:rFonts w:hint="default"/>
      </w:rPr>
    </w:lvl>
    <w:lvl w:ilvl="4" w:tplc="8CC27D08">
      <w:start w:val="1"/>
      <w:numFmt w:val="bullet"/>
      <w:lvlText w:val="•"/>
      <w:lvlJc w:val="left"/>
      <w:pPr>
        <w:ind w:left="4002" w:hanging="227"/>
      </w:pPr>
      <w:rPr>
        <w:rFonts w:hint="default"/>
      </w:rPr>
    </w:lvl>
    <w:lvl w:ilvl="5" w:tplc="0ACA3004">
      <w:start w:val="1"/>
      <w:numFmt w:val="bullet"/>
      <w:lvlText w:val="•"/>
      <w:lvlJc w:val="left"/>
      <w:pPr>
        <w:ind w:left="4903" w:hanging="227"/>
      </w:pPr>
      <w:rPr>
        <w:rFonts w:hint="default"/>
      </w:rPr>
    </w:lvl>
    <w:lvl w:ilvl="6" w:tplc="5F2814EC">
      <w:start w:val="1"/>
      <w:numFmt w:val="bullet"/>
      <w:lvlText w:val="•"/>
      <w:lvlJc w:val="left"/>
      <w:pPr>
        <w:ind w:left="5805" w:hanging="227"/>
      </w:pPr>
      <w:rPr>
        <w:rFonts w:hint="default"/>
      </w:rPr>
    </w:lvl>
    <w:lvl w:ilvl="7" w:tplc="F3B2768E">
      <w:start w:val="1"/>
      <w:numFmt w:val="bullet"/>
      <w:lvlText w:val="•"/>
      <w:lvlJc w:val="left"/>
      <w:pPr>
        <w:ind w:left="6706" w:hanging="227"/>
      </w:pPr>
      <w:rPr>
        <w:rFonts w:hint="default"/>
      </w:rPr>
    </w:lvl>
    <w:lvl w:ilvl="8" w:tplc="BA82B9FC">
      <w:start w:val="1"/>
      <w:numFmt w:val="bullet"/>
      <w:lvlText w:val="•"/>
      <w:lvlJc w:val="left"/>
      <w:pPr>
        <w:ind w:left="7608" w:hanging="227"/>
      </w:pPr>
      <w:rPr>
        <w:rFonts w:hint="default"/>
      </w:rPr>
    </w:lvl>
  </w:abstractNum>
  <w:abstractNum w:abstractNumId="135">
    <w:nsid w:val="7D057537"/>
    <w:multiLevelType w:val="hybridMultilevel"/>
    <w:tmpl w:val="05C4A1DC"/>
    <w:lvl w:ilvl="0" w:tplc="E97E2BC0">
      <w:start w:val="1"/>
      <w:numFmt w:val="bullet"/>
      <w:lvlText w:val="•"/>
      <w:lvlJc w:val="left"/>
      <w:pPr>
        <w:ind w:left="335" w:hanging="227"/>
      </w:pPr>
      <w:rPr>
        <w:rFonts w:ascii="Avenir Next Condensed" w:eastAsia="Avenir Next Condensed" w:hAnsi="Avenir Next Condensed" w:hint="default"/>
        <w:sz w:val="18"/>
        <w:szCs w:val="18"/>
      </w:rPr>
    </w:lvl>
    <w:lvl w:ilvl="1" w:tplc="AFF241C6">
      <w:start w:val="1"/>
      <w:numFmt w:val="bullet"/>
      <w:lvlText w:val="•"/>
      <w:lvlJc w:val="left"/>
      <w:pPr>
        <w:ind w:left="1096" w:hanging="227"/>
      </w:pPr>
      <w:rPr>
        <w:rFonts w:hint="default"/>
      </w:rPr>
    </w:lvl>
    <w:lvl w:ilvl="2" w:tplc="DE0C1802">
      <w:start w:val="1"/>
      <w:numFmt w:val="bullet"/>
      <w:lvlText w:val="•"/>
      <w:lvlJc w:val="left"/>
      <w:pPr>
        <w:ind w:left="1858" w:hanging="227"/>
      </w:pPr>
      <w:rPr>
        <w:rFonts w:hint="default"/>
      </w:rPr>
    </w:lvl>
    <w:lvl w:ilvl="3" w:tplc="51BAB942">
      <w:start w:val="1"/>
      <w:numFmt w:val="bullet"/>
      <w:lvlText w:val="•"/>
      <w:lvlJc w:val="left"/>
      <w:pPr>
        <w:ind w:left="2619" w:hanging="227"/>
      </w:pPr>
      <w:rPr>
        <w:rFonts w:hint="default"/>
      </w:rPr>
    </w:lvl>
    <w:lvl w:ilvl="4" w:tplc="9B385C30">
      <w:start w:val="1"/>
      <w:numFmt w:val="bullet"/>
      <w:lvlText w:val="•"/>
      <w:lvlJc w:val="left"/>
      <w:pPr>
        <w:ind w:left="3381" w:hanging="227"/>
      </w:pPr>
      <w:rPr>
        <w:rFonts w:hint="default"/>
      </w:rPr>
    </w:lvl>
    <w:lvl w:ilvl="5" w:tplc="0BA4F188">
      <w:start w:val="1"/>
      <w:numFmt w:val="bullet"/>
      <w:lvlText w:val="•"/>
      <w:lvlJc w:val="left"/>
      <w:pPr>
        <w:ind w:left="4142" w:hanging="227"/>
      </w:pPr>
      <w:rPr>
        <w:rFonts w:hint="default"/>
      </w:rPr>
    </w:lvl>
    <w:lvl w:ilvl="6" w:tplc="89E2110A">
      <w:start w:val="1"/>
      <w:numFmt w:val="bullet"/>
      <w:lvlText w:val="•"/>
      <w:lvlJc w:val="left"/>
      <w:pPr>
        <w:ind w:left="4904" w:hanging="227"/>
      </w:pPr>
      <w:rPr>
        <w:rFonts w:hint="default"/>
      </w:rPr>
    </w:lvl>
    <w:lvl w:ilvl="7" w:tplc="102476E8">
      <w:start w:val="1"/>
      <w:numFmt w:val="bullet"/>
      <w:lvlText w:val="•"/>
      <w:lvlJc w:val="left"/>
      <w:pPr>
        <w:ind w:left="5665" w:hanging="227"/>
      </w:pPr>
      <w:rPr>
        <w:rFonts w:hint="default"/>
      </w:rPr>
    </w:lvl>
    <w:lvl w:ilvl="8" w:tplc="11182B3E">
      <w:start w:val="1"/>
      <w:numFmt w:val="bullet"/>
      <w:lvlText w:val="•"/>
      <w:lvlJc w:val="left"/>
      <w:pPr>
        <w:ind w:left="6427" w:hanging="227"/>
      </w:pPr>
      <w:rPr>
        <w:rFonts w:hint="default"/>
      </w:rPr>
    </w:lvl>
  </w:abstractNum>
  <w:abstractNum w:abstractNumId="136">
    <w:nsid w:val="7D087A78"/>
    <w:multiLevelType w:val="hybridMultilevel"/>
    <w:tmpl w:val="55702D86"/>
    <w:lvl w:ilvl="0" w:tplc="E91A18C6">
      <w:start w:val="1"/>
      <w:numFmt w:val="bullet"/>
      <w:lvlText w:val="•"/>
      <w:lvlJc w:val="left"/>
      <w:pPr>
        <w:ind w:left="335" w:hanging="227"/>
      </w:pPr>
      <w:rPr>
        <w:rFonts w:ascii="Avenir Next Condensed" w:eastAsia="Avenir Next Condensed" w:hAnsi="Avenir Next Condensed" w:hint="default"/>
        <w:sz w:val="18"/>
        <w:szCs w:val="18"/>
      </w:rPr>
    </w:lvl>
    <w:lvl w:ilvl="1" w:tplc="ACF4912A">
      <w:start w:val="1"/>
      <w:numFmt w:val="bullet"/>
      <w:lvlText w:val="•"/>
      <w:lvlJc w:val="left"/>
      <w:pPr>
        <w:ind w:left="770" w:hanging="227"/>
      </w:pPr>
      <w:rPr>
        <w:rFonts w:hint="default"/>
      </w:rPr>
    </w:lvl>
    <w:lvl w:ilvl="2" w:tplc="A08227F0">
      <w:start w:val="1"/>
      <w:numFmt w:val="bullet"/>
      <w:lvlText w:val="•"/>
      <w:lvlJc w:val="left"/>
      <w:pPr>
        <w:ind w:left="1206" w:hanging="227"/>
      </w:pPr>
      <w:rPr>
        <w:rFonts w:hint="default"/>
      </w:rPr>
    </w:lvl>
    <w:lvl w:ilvl="3" w:tplc="9D1828D4">
      <w:start w:val="1"/>
      <w:numFmt w:val="bullet"/>
      <w:lvlText w:val="•"/>
      <w:lvlJc w:val="left"/>
      <w:pPr>
        <w:ind w:left="1641" w:hanging="227"/>
      </w:pPr>
      <w:rPr>
        <w:rFonts w:hint="default"/>
      </w:rPr>
    </w:lvl>
    <w:lvl w:ilvl="4" w:tplc="A59E2A22">
      <w:start w:val="1"/>
      <w:numFmt w:val="bullet"/>
      <w:lvlText w:val="•"/>
      <w:lvlJc w:val="left"/>
      <w:pPr>
        <w:ind w:left="2077" w:hanging="227"/>
      </w:pPr>
      <w:rPr>
        <w:rFonts w:hint="default"/>
      </w:rPr>
    </w:lvl>
    <w:lvl w:ilvl="5" w:tplc="D8A6ECB0">
      <w:start w:val="1"/>
      <w:numFmt w:val="bullet"/>
      <w:lvlText w:val="•"/>
      <w:lvlJc w:val="left"/>
      <w:pPr>
        <w:ind w:left="2512" w:hanging="227"/>
      </w:pPr>
      <w:rPr>
        <w:rFonts w:hint="default"/>
      </w:rPr>
    </w:lvl>
    <w:lvl w:ilvl="6" w:tplc="CA6AD820">
      <w:start w:val="1"/>
      <w:numFmt w:val="bullet"/>
      <w:lvlText w:val="•"/>
      <w:lvlJc w:val="left"/>
      <w:pPr>
        <w:ind w:left="2948" w:hanging="227"/>
      </w:pPr>
      <w:rPr>
        <w:rFonts w:hint="default"/>
      </w:rPr>
    </w:lvl>
    <w:lvl w:ilvl="7" w:tplc="BCBE4356">
      <w:start w:val="1"/>
      <w:numFmt w:val="bullet"/>
      <w:lvlText w:val="•"/>
      <w:lvlJc w:val="left"/>
      <w:pPr>
        <w:ind w:left="3383" w:hanging="227"/>
      </w:pPr>
      <w:rPr>
        <w:rFonts w:hint="default"/>
      </w:rPr>
    </w:lvl>
    <w:lvl w:ilvl="8" w:tplc="BF10491E">
      <w:start w:val="1"/>
      <w:numFmt w:val="bullet"/>
      <w:lvlText w:val="•"/>
      <w:lvlJc w:val="left"/>
      <w:pPr>
        <w:ind w:left="3819" w:hanging="227"/>
      </w:pPr>
      <w:rPr>
        <w:rFonts w:hint="default"/>
      </w:rPr>
    </w:lvl>
  </w:abstractNum>
  <w:abstractNum w:abstractNumId="137">
    <w:nsid w:val="7D602111"/>
    <w:multiLevelType w:val="hybridMultilevel"/>
    <w:tmpl w:val="9CCCB76C"/>
    <w:lvl w:ilvl="0" w:tplc="40A66FFE">
      <w:start w:val="1"/>
      <w:numFmt w:val="lowerLetter"/>
      <w:lvlText w:val="(%1)"/>
      <w:lvlJc w:val="left"/>
      <w:pPr>
        <w:ind w:left="1587" w:hanging="341"/>
      </w:pPr>
      <w:rPr>
        <w:rFonts w:ascii="Avenir Next" w:eastAsia="Avenir Next" w:hAnsi="Avenir Next" w:hint="default"/>
        <w:sz w:val="20"/>
        <w:szCs w:val="20"/>
      </w:rPr>
    </w:lvl>
    <w:lvl w:ilvl="1" w:tplc="D0607E94">
      <w:start w:val="1"/>
      <w:numFmt w:val="bullet"/>
      <w:lvlText w:val="•"/>
      <w:lvlJc w:val="left"/>
      <w:pPr>
        <w:ind w:left="2619" w:hanging="341"/>
      </w:pPr>
      <w:rPr>
        <w:rFonts w:hint="default"/>
      </w:rPr>
    </w:lvl>
    <w:lvl w:ilvl="2" w:tplc="8466BD9C">
      <w:start w:val="1"/>
      <w:numFmt w:val="bullet"/>
      <w:lvlText w:val="•"/>
      <w:lvlJc w:val="left"/>
      <w:pPr>
        <w:ind w:left="3651" w:hanging="341"/>
      </w:pPr>
      <w:rPr>
        <w:rFonts w:hint="default"/>
      </w:rPr>
    </w:lvl>
    <w:lvl w:ilvl="3" w:tplc="A7A87ABA">
      <w:start w:val="1"/>
      <w:numFmt w:val="bullet"/>
      <w:lvlText w:val="•"/>
      <w:lvlJc w:val="left"/>
      <w:pPr>
        <w:ind w:left="4682" w:hanging="341"/>
      </w:pPr>
      <w:rPr>
        <w:rFonts w:hint="default"/>
      </w:rPr>
    </w:lvl>
    <w:lvl w:ilvl="4" w:tplc="967C8A58">
      <w:start w:val="1"/>
      <w:numFmt w:val="bullet"/>
      <w:lvlText w:val="•"/>
      <w:lvlJc w:val="left"/>
      <w:pPr>
        <w:ind w:left="5714" w:hanging="341"/>
      </w:pPr>
      <w:rPr>
        <w:rFonts w:hint="default"/>
      </w:rPr>
    </w:lvl>
    <w:lvl w:ilvl="5" w:tplc="C03EA3D6">
      <w:start w:val="1"/>
      <w:numFmt w:val="bullet"/>
      <w:lvlText w:val="•"/>
      <w:lvlJc w:val="left"/>
      <w:pPr>
        <w:ind w:left="6746" w:hanging="341"/>
      </w:pPr>
      <w:rPr>
        <w:rFonts w:hint="default"/>
      </w:rPr>
    </w:lvl>
    <w:lvl w:ilvl="6" w:tplc="C99C19B2">
      <w:start w:val="1"/>
      <w:numFmt w:val="bullet"/>
      <w:lvlText w:val="•"/>
      <w:lvlJc w:val="left"/>
      <w:pPr>
        <w:ind w:left="7778" w:hanging="341"/>
      </w:pPr>
      <w:rPr>
        <w:rFonts w:hint="default"/>
      </w:rPr>
    </w:lvl>
    <w:lvl w:ilvl="7" w:tplc="0B54EE8A">
      <w:start w:val="1"/>
      <w:numFmt w:val="bullet"/>
      <w:lvlText w:val="•"/>
      <w:lvlJc w:val="left"/>
      <w:pPr>
        <w:ind w:left="8810" w:hanging="341"/>
      </w:pPr>
      <w:rPr>
        <w:rFonts w:hint="default"/>
      </w:rPr>
    </w:lvl>
    <w:lvl w:ilvl="8" w:tplc="A1F4B116">
      <w:start w:val="1"/>
      <w:numFmt w:val="bullet"/>
      <w:lvlText w:val="•"/>
      <w:lvlJc w:val="left"/>
      <w:pPr>
        <w:ind w:left="9841" w:hanging="341"/>
      </w:pPr>
      <w:rPr>
        <w:rFonts w:hint="default"/>
      </w:rPr>
    </w:lvl>
  </w:abstractNum>
  <w:abstractNum w:abstractNumId="138">
    <w:nsid w:val="7D631B66"/>
    <w:multiLevelType w:val="hybridMultilevel"/>
    <w:tmpl w:val="82128E32"/>
    <w:lvl w:ilvl="0" w:tplc="AD88CEA6">
      <w:start w:val="1"/>
      <w:numFmt w:val="decimal"/>
      <w:lvlText w:val="(%1)"/>
      <w:lvlJc w:val="left"/>
      <w:pPr>
        <w:ind w:left="510" w:hanging="341"/>
      </w:pPr>
      <w:rPr>
        <w:rFonts w:ascii="Avenir Next Condensed" w:eastAsia="Avenir Next Condensed" w:hAnsi="Avenir Next Condensed" w:hint="default"/>
        <w:spacing w:val="-2"/>
        <w:sz w:val="20"/>
        <w:szCs w:val="20"/>
      </w:rPr>
    </w:lvl>
    <w:lvl w:ilvl="1" w:tplc="728CD2B4">
      <w:start w:val="1"/>
      <w:numFmt w:val="bullet"/>
      <w:lvlText w:val="•"/>
      <w:lvlJc w:val="left"/>
      <w:pPr>
        <w:ind w:left="1400" w:hanging="341"/>
      </w:pPr>
      <w:rPr>
        <w:rFonts w:hint="default"/>
      </w:rPr>
    </w:lvl>
    <w:lvl w:ilvl="2" w:tplc="EE0A8324">
      <w:start w:val="1"/>
      <w:numFmt w:val="bullet"/>
      <w:lvlText w:val="•"/>
      <w:lvlJc w:val="left"/>
      <w:pPr>
        <w:ind w:left="2290" w:hanging="341"/>
      </w:pPr>
      <w:rPr>
        <w:rFonts w:hint="default"/>
      </w:rPr>
    </w:lvl>
    <w:lvl w:ilvl="3" w:tplc="A520633A">
      <w:start w:val="1"/>
      <w:numFmt w:val="bullet"/>
      <w:lvlText w:val="•"/>
      <w:lvlJc w:val="left"/>
      <w:pPr>
        <w:ind w:left="3180" w:hanging="341"/>
      </w:pPr>
      <w:rPr>
        <w:rFonts w:hint="default"/>
      </w:rPr>
    </w:lvl>
    <w:lvl w:ilvl="4" w:tplc="05866A08">
      <w:start w:val="1"/>
      <w:numFmt w:val="bullet"/>
      <w:lvlText w:val="•"/>
      <w:lvlJc w:val="left"/>
      <w:pPr>
        <w:ind w:left="4070" w:hanging="341"/>
      </w:pPr>
      <w:rPr>
        <w:rFonts w:hint="default"/>
      </w:rPr>
    </w:lvl>
    <w:lvl w:ilvl="5" w:tplc="25A0F59E">
      <w:start w:val="1"/>
      <w:numFmt w:val="bullet"/>
      <w:lvlText w:val="•"/>
      <w:lvlJc w:val="left"/>
      <w:pPr>
        <w:ind w:left="4960" w:hanging="341"/>
      </w:pPr>
      <w:rPr>
        <w:rFonts w:hint="default"/>
      </w:rPr>
    </w:lvl>
    <w:lvl w:ilvl="6" w:tplc="3D987F18">
      <w:start w:val="1"/>
      <w:numFmt w:val="bullet"/>
      <w:lvlText w:val="•"/>
      <w:lvlJc w:val="left"/>
      <w:pPr>
        <w:ind w:left="5850" w:hanging="341"/>
      </w:pPr>
      <w:rPr>
        <w:rFonts w:hint="default"/>
      </w:rPr>
    </w:lvl>
    <w:lvl w:ilvl="7" w:tplc="2A9CF3A8">
      <w:start w:val="1"/>
      <w:numFmt w:val="bullet"/>
      <w:lvlText w:val="•"/>
      <w:lvlJc w:val="left"/>
      <w:pPr>
        <w:ind w:left="6740" w:hanging="341"/>
      </w:pPr>
      <w:rPr>
        <w:rFonts w:hint="default"/>
      </w:rPr>
    </w:lvl>
    <w:lvl w:ilvl="8" w:tplc="39D4D4F8">
      <w:start w:val="1"/>
      <w:numFmt w:val="bullet"/>
      <w:lvlText w:val="•"/>
      <w:lvlJc w:val="left"/>
      <w:pPr>
        <w:ind w:left="7630" w:hanging="341"/>
      </w:pPr>
      <w:rPr>
        <w:rFonts w:hint="default"/>
      </w:rPr>
    </w:lvl>
  </w:abstractNum>
  <w:abstractNum w:abstractNumId="139">
    <w:nsid w:val="7F164C6A"/>
    <w:multiLevelType w:val="hybridMultilevel"/>
    <w:tmpl w:val="963C24BE"/>
    <w:lvl w:ilvl="0" w:tplc="DC30C9E4">
      <w:start w:val="1"/>
      <w:numFmt w:val="bullet"/>
      <w:lvlText w:val="•"/>
      <w:lvlJc w:val="left"/>
      <w:pPr>
        <w:ind w:left="226" w:hanging="227"/>
      </w:pPr>
      <w:rPr>
        <w:rFonts w:ascii="Avenir Next Condensed" w:eastAsia="Avenir Next Condensed" w:hAnsi="Avenir Next Condensed" w:hint="default"/>
        <w:sz w:val="20"/>
        <w:szCs w:val="20"/>
      </w:rPr>
    </w:lvl>
    <w:lvl w:ilvl="1" w:tplc="E8EAD714">
      <w:start w:val="1"/>
      <w:numFmt w:val="bullet"/>
      <w:lvlText w:val="•"/>
      <w:lvlJc w:val="left"/>
      <w:pPr>
        <w:ind w:left="1103" w:hanging="227"/>
      </w:pPr>
      <w:rPr>
        <w:rFonts w:hint="default"/>
      </w:rPr>
    </w:lvl>
    <w:lvl w:ilvl="2" w:tplc="C016AA24">
      <w:start w:val="1"/>
      <w:numFmt w:val="bullet"/>
      <w:lvlText w:val="•"/>
      <w:lvlJc w:val="left"/>
      <w:pPr>
        <w:ind w:left="1979" w:hanging="227"/>
      </w:pPr>
      <w:rPr>
        <w:rFonts w:hint="default"/>
      </w:rPr>
    </w:lvl>
    <w:lvl w:ilvl="3" w:tplc="D346D926">
      <w:start w:val="1"/>
      <w:numFmt w:val="bullet"/>
      <w:lvlText w:val="•"/>
      <w:lvlJc w:val="left"/>
      <w:pPr>
        <w:ind w:left="2855" w:hanging="227"/>
      </w:pPr>
      <w:rPr>
        <w:rFonts w:hint="default"/>
      </w:rPr>
    </w:lvl>
    <w:lvl w:ilvl="4" w:tplc="42B8F48A">
      <w:start w:val="1"/>
      <w:numFmt w:val="bullet"/>
      <w:lvlText w:val="•"/>
      <w:lvlJc w:val="left"/>
      <w:pPr>
        <w:ind w:left="3731" w:hanging="227"/>
      </w:pPr>
      <w:rPr>
        <w:rFonts w:hint="default"/>
      </w:rPr>
    </w:lvl>
    <w:lvl w:ilvl="5" w:tplc="FD2C1FBA">
      <w:start w:val="1"/>
      <w:numFmt w:val="bullet"/>
      <w:lvlText w:val="•"/>
      <w:lvlJc w:val="left"/>
      <w:pPr>
        <w:ind w:left="4608" w:hanging="227"/>
      </w:pPr>
      <w:rPr>
        <w:rFonts w:hint="default"/>
      </w:rPr>
    </w:lvl>
    <w:lvl w:ilvl="6" w:tplc="66FC45C6">
      <w:start w:val="1"/>
      <w:numFmt w:val="bullet"/>
      <w:lvlText w:val="•"/>
      <w:lvlJc w:val="left"/>
      <w:pPr>
        <w:ind w:left="5484" w:hanging="227"/>
      </w:pPr>
      <w:rPr>
        <w:rFonts w:hint="default"/>
      </w:rPr>
    </w:lvl>
    <w:lvl w:ilvl="7" w:tplc="4E768CC4">
      <w:start w:val="1"/>
      <w:numFmt w:val="bullet"/>
      <w:lvlText w:val="•"/>
      <w:lvlJc w:val="left"/>
      <w:pPr>
        <w:ind w:left="6360" w:hanging="227"/>
      </w:pPr>
      <w:rPr>
        <w:rFonts w:hint="default"/>
      </w:rPr>
    </w:lvl>
    <w:lvl w:ilvl="8" w:tplc="CD527EE6">
      <w:start w:val="1"/>
      <w:numFmt w:val="bullet"/>
      <w:lvlText w:val="•"/>
      <w:lvlJc w:val="left"/>
      <w:pPr>
        <w:ind w:left="7236" w:hanging="227"/>
      </w:pPr>
      <w:rPr>
        <w:rFonts w:hint="default"/>
      </w:rPr>
    </w:lvl>
  </w:abstractNum>
  <w:abstractNum w:abstractNumId="140">
    <w:nsid w:val="7F721880"/>
    <w:multiLevelType w:val="multilevel"/>
    <w:tmpl w:val="4476F90E"/>
    <w:lvl w:ilvl="0">
      <w:start w:val="11"/>
      <w:numFmt w:val="decimal"/>
      <w:lvlText w:val="%1"/>
      <w:lvlJc w:val="left"/>
      <w:pPr>
        <w:ind w:left="2097" w:hanging="851"/>
      </w:pPr>
      <w:rPr>
        <w:rFonts w:hint="default"/>
      </w:rPr>
    </w:lvl>
    <w:lvl w:ilvl="1">
      <w:start w:val="3"/>
      <w:numFmt w:val="decimal"/>
      <w:lvlText w:val="%1.%2"/>
      <w:lvlJc w:val="left"/>
      <w:pPr>
        <w:ind w:left="2097" w:hanging="851"/>
      </w:pPr>
      <w:rPr>
        <w:rFonts w:hint="default"/>
      </w:rPr>
    </w:lvl>
    <w:lvl w:ilvl="2">
      <w:start w:val="1"/>
      <w:numFmt w:val="decimal"/>
      <w:lvlText w:val="%1.%2.%3"/>
      <w:lvlJc w:val="left"/>
      <w:pPr>
        <w:ind w:left="2097" w:hanging="851"/>
      </w:pPr>
      <w:rPr>
        <w:rFonts w:ascii="Avenir Next Medium" w:eastAsia="Avenir Next Medium" w:hAnsi="Avenir Next Medium" w:hint="default"/>
        <w:color w:val="0778BE"/>
        <w:sz w:val="24"/>
        <w:szCs w:val="24"/>
      </w:rPr>
    </w:lvl>
    <w:lvl w:ilvl="3">
      <w:start w:val="1"/>
      <w:numFmt w:val="bullet"/>
      <w:lvlText w:val="•"/>
      <w:lvlJc w:val="left"/>
      <w:pPr>
        <w:ind w:left="5039" w:hanging="851"/>
      </w:pPr>
      <w:rPr>
        <w:rFonts w:hint="default"/>
      </w:rPr>
    </w:lvl>
    <w:lvl w:ilvl="4">
      <w:start w:val="1"/>
      <w:numFmt w:val="bullet"/>
      <w:lvlText w:val="•"/>
      <w:lvlJc w:val="left"/>
      <w:pPr>
        <w:ind w:left="6020" w:hanging="851"/>
      </w:pPr>
      <w:rPr>
        <w:rFonts w:hint="default"/>
      </w:rPr>
    </w:lvl>
    <w:lvl w:ilvl="5">
      <w:start w:val="1"/>
      <w:numFmt w:val="bullet"/>
      <w:lvlText w:val="•"/>
      <w:lvlJc w:val="left"/>
      <w:pPr>
        <w:ind w:left="7001" w:hanging="851"/>
      </w:pPr>
      <w:rPr>
        <w:rFonts w:hint="default"/>
      </w:rPr>
    </w:lvl>
    <w:lvl w:ilvl="6">
      <w:start w:val="1"/>
      <w:numFmt w:val="bullet"/>
      <w:lvlText w:val="•"/>
      <w:lvlJc w:val="left"/>
      <w:pPr>
        <w:ind w:left="7982" w:hanging="851"/>
      </w:pPr>
      <w:rPr>
        <w:rFonts w:hint="default"/>
      </w:rPr>
    </w:lvl>
    <w:lvl w:ilvl="7">
      <w:start w:val="1"/>
      <w:numFmt w:val="bullet"/>
      <w:lvlText w:val="•"/>
      <w:lvlJc w:val="left"/>
      <w:pPr>
        <w:ind w:left="8963" w:hanging="851"/>
      </w:pPr>
      <w:rPr>
        <w:rFonts w:hint="default"/>
      </w:rPr>
    </w:lvl>
    <w:lvl w:ilvl="8">
      <w:start w:val="1"/>
      <w:numFmt w:val="bullet"/>
      <w:lvlText w:val="•"/>
      <w:lvlJc w:val="left"/>
      <w:pPr>
        <w:ind w:left="9943" w:hanging="851"/>
      </w:pPr>
      <w:rPr>
        <w:rFonts w:hint="default"/>
      </w:rPr>
    </w:lvl>
  </w:abstractNum>
  <w:num w:numId="1">
    <w:abstractNumId w:val="39"/>
  </w:num>
  <w:num w:numId="2">
    <w:abstractNumId w:val="92"/>
  </w:num>
  <w:num w:numId="3">
    <w:abstractNumId w:val="4"/>
  </w:num>
  <w:num w:numId="4">
    <w:abstractNumId w:val="137"/>
  </w:num>
  <w:num w:numId="5">
    <w:abstractNumId w:val="24"/>
  </w:num>
  <w:num w:numId="6">
    <w:abstractNumId w:val="100"/>
  </w:num>
  <w:num w:numId="7">
    <w:abstractNumId w:val="107"/>
  </w:num>
  <w:num w:numId="8">
    <w:abstractNumId w:val="78"/>
  </w:num>
  <w:num w:numId="9">
    <w:abstractNumId w:val="95"/>
  </w:num>
  <w:num w:numId="10">
    <w:abstractNumId w:val="130"/>
  </w:num>
  <w:num w:numId="11">
    <w:abstractNumId w:val="103"/>
  </w:num>
  <w:num w:numId="12">
    <w:abstractNumId w:val="6"/>
  </w:num>
  <w:num w:numId="13">
    <w:abstractNumId w:val="60"/>
  </w:num>
  <w:num w:numId="14">
    <w:abstractNumId w:val="113"/>
  </w:num>
  <w:num w:numId="15">
    <w:abstractNumId w:val="27"/>
  </w:num>
  <w:num w:numId="16">
    <w:abstractNumId w:val="63"/>
  </w:num>
  <w:num w:numId="17">
    <w:abstractNumId w:val="12"/>
  </w:num>
  <w:num w:numId="18">
    <w:abstractNumId w:val="125"/>
  </w:num>
  <w:num w:numId="19">
    <w:abstractNumId w:val="79"/>
  </w:num>
  <w:num w:numId="20">
    <w:abstractNumId w:val="7"/>
  </w:num>
  <w:num w:numId="21">
    <w:abstractNumId w:val="97"/>
  </w:num>
  <w:num w:numId="22">
    <w:abstractNumId w:val="5"/>
  </w:num>
  <w:num w:numId="23">
    <w:abstractNumId w:val="37"/>
  </w:num>
  <w:num w:numId="24">
    <w:abstractNumId w:val="45"/>
  </w:num>
  <w:num w:numId="25">
    <w:abstractNumId w:val="38"/>
  </w:num>
  <w:num w:numId="26">
    <w:abstractNumId w:val="40"/>
  </w:num>
  <w:num w:numId="27">
    <w:abstractNumId w:val="47"/>
  </w:num>
  <w:num w:numId="28">
    <w:abstractNumId w:val="64"/>
  </w:num>
  <w:num w:numId="29">
    <w:abstractNumId w:val="121"/>
  </w:num>
  <w:num w:numId="30">
    <w:abstractNumId w:val="108"/>
  </w:num>
  <w:num w:numId="31">
    <w:abstractNumId w:val="8"/>
  </w:num>
  <w:num w:numId="32">
    <w:abstractNumId w:val="71"/>
  </w:num>
  <w:num w:numId="33">
    <w:abstractNumId w:val="23"/>
  </w:num>
  <w:num w:numId="34">
    <w:abstractNumId w:val="99"/>
  </w:num>
  <w:num w:numId="35">
    <w:abstractNumId w:val="83"/>
  </w:num>
  <w:num w:numId="36">
    <w:abstractNumId w:val="0"/>
  </w:num>
  <w:num w:numId="37">
    <w:abstractNumId w:val="73"/>
  </w:num>
  <w:num w:numId="38">
    <w:abstractNumId w:val="68"/>
  </w:num>
  <w:num w:numId="39">
    <w:abstractNumId w:val="138"/>
  </w:num>
  <w:num w:numId="40">
    <w:abstractNumId w:val="114"/>
  </w:num>
  <w:num w:numId="41">
    <w:abstractNumId w:val="81"/>
  </w:num>
  <w:num w:numId="42">
    <w:abstractNumId w:val="102"/>
  </w:num>
  <w:num w:numId="43">
    <w:abstractNumId w:val="20"/>
  </w:num>
  <w:num w:numId="44">
    <w:abstractNumId w:val="74"/>
  </w:num>
  <w:num w:numId="45">
    <w:abstractNumId w:val="127"/>
  </w:num>
  <w:num w:numId="46">
    <w:abstractNumId w:val="123"/>
  </w:num>
  <w:num w:numId="47">
    <w:abstractNumId w:val="34"/>
  </w:num>
  <w:num w:numId="48">
    <w:abstractNumId w:val="101"/>
  </w:num>
  <w:num w:numId="49">
    <w:abstractNumId w:val="136"/>
  </w:num>
  <w:num w:numId="50">
    <w:abstractNumId w:val="65"/>
  </w:num>
  <w:num w:numId="51">
    <w:abstractNumId w:val="67"/>
  </w:num>
  <w:num w:numId="52">
    <w:abstractNumId w:val="91"/>
  </w:num>
  <w:num w:numId="53">
    <w:abstractNumId w:val="93"/>
  </w:num>
  <w:num w:numId="54">
    <w:abstractNumId w:val="133"/>
  </w:num>
  <w:num w:numId="55">
    <w:abstractNumId w:val="9"/>
  </w:num>
  <w:num w:numId="56">
    <w:abstractNumId w:val="140"/>
  </w:num>
  <w:num w:numId="57">
    <w:abstractNumId w:val="14"/>
  </w:num>
  <w:num w:numId="58">
    <w:abstractNumId w:val="19"/>
  </w:num>
  <w:num w:numId="59">
    <w:abstractNumId w:val="18"/>
  </w:num>
  <w:num w:numId="60">
    <w:abstractNumId w:val="87"/>
  </w:num>
  <w:num w:numId="61">
    <w:abstractNumId w:val="69"/>
  </w:num>
  <w:num w:numId="62">
    <w:abstractNumId w:val="29"/>
  </w:num>
  <w:num w:numId="63">
    <w:abstractNumId w:val="104"/>
  </w:num>
  <w:num w:numId="64">
    <w:abstractNumId w:val="132"/>
  </w:num>
  <w:num w:numId="65">
    <w:abstractNumId w:val="62"/>
  </w:num>
  <w:num w:numId="66">
    <w:abstractNumId w:val="85"/>
  </w:num>
  <w:num w:numId="67">
    <w:abstractNumId w:val="115"/>
  </w:num>
  <w:num w:numId="68">
    <w:abstractNumId w:val="119"/>
  </w:num>
  <w:num w:numId="69">
    <w:abstractNumId w:val="17"/>
  </w:num>
  <w:num w:numId="70">
    <w:abstractNumId w:val="35"/>
  </w:num>
  <w:num w:numId="71">
    <w:abstractNumId w:val="16"/>
  </w:num>
  <w:num w:numId="72">
    <w:abstractNumId w:val="1"/>
  </w:num>
  <w:num w:numId="73">
    <w:abstractNumId w:val="139"/>
  </w:num>
  <w:num w:numId="74">
    <w:abstractNumId w:val="118"/>
  </w:num>
  <w:num w:numId="75">
    <w:abstractNumId w:val="110"/>
  </w:num>
  <w:num w:numId="76">
    <w:abstractNumId w:val="94"/>
  </w:num>
  <w:num w:numId="77">
    <w:abstractNumId w:val="124"/>
  </w:num>
  <w:num w:numId="78">
    <w:abstractNumId w:val="135"/>
  </w:num>
  <w:num w:numId="79">
    <w:abstractNumId w:val="22"/>
  </w:num>
  <w:num w:numId="80">
    <w:abstractNumId w:val="72"/>
  </w:num>
  <w:num w:numId="81">
    <w:abstractNumId w:val="120"/>
  </w:num>
  <w:num w:numId="82">
    <w:abstractNumId w:val="112"/>
  </w:num>
  <w:num w:numId="83">
    <w:abstractNumId w:val="13"/>
  </w:num>
  <w:num w:numId="84">
    <w:abstractNumId w:val="56"/>
  </w:num>
  <w:num w:numId="85">
    <w:abstractNumId w:val="59"/>
  </w:num>
  <w:num w:numId="86">
    <w:abstractNumId w:val="131"/>
  </w:num>
  <w:num w:numId="87">
    <w:abstractNumId w:val="82"/>
  </w:num>
  <w:num w:numId="88">
    <w:abstractNumId w:val="10"/>
  </w:num>
  <w:num w:numId="89">
    <w:abstractNumId w:val="75"/>
  </w:num>
  <w:num w:numId="90">
    <w:abstractNumId w:val="88"/>
  </w:num>
  <w:num w:numId="91">
    <w:abstractNumId w:val="32"/>
  </w:num>
  <w:num w:numId="92">
    <w:abstractNumId w:val="11"/>
  </w:num>
  <w:num w:numId="93">
    <w:abstractNumId w:val="26"/>
  </w:num>
  <w:num w:numId="94">
    <w:abstractNumId w:val="116"/>
  </w:num>
  <w:num w:numId="95">
    <w:abstractNumId w:val="106"/>
  </w:num>
  <w:num w:numId="96">
    <w:abstractNumId w:val="30"/>
  </w:num>
  <w:num w:numId="97">
    <w:abstractNumId w:val="58"/>
  </w:num>
  <w:num w:numId="98">
    <w:abstractNumId w:val="25"/>
  </w:num>
  <w:num w:numId="99">
    <w:abstractNumId w:val="86"/>
  </w:num>
  <w:num w:numId="100">
    <w:abstractNumId w:val="111"/>
  </w:num>
  <w:num w:numId="101">
    <w:abstractNumId w:val="31"/>
  </w:num>
  <w:num w:numId="102">
    <w:abstractNumId w:val="76"/>
  </w:num>
  <w:num w:numId="103">
    <w:abstractNumId w:val="105"/>
  </w:num>
  <w:num w:numId="104">
    <w:abstractNumId w:val="77"/>
  </w:num>
  <w:num w:numId="105">
    <w:abstractNumId w:val="89"/>
  </w:num>
  <w:num w:numId="106">
    <w:abstractNumId w:val="51"/>
  </w:num>
  <w:num w:numId="107">
    <w:abstractNumId w:val="84"/>
  </w:num>
  <w:num w:numId="108">
    <w:abstractNumId w:val="48"/>
  </w:num>
  <w:num w:numId="109">
    <w:abstractNumId w:val="33"/>
  </w:num>
  <w:num w:numId="110">
    <w:abstractNumId w:val="50"/>
  </w:num>
  <w:num w:numId="111">
    <w:abstractNumId w:val="109"/>
  </w:num>
  <w:num w:numId="112">
    <w:abstractNumId w:val="53"/>
  </w:num>
  <w:num w:numId="113">
    <w:abstractNumId w:val="43"/>
  </w:num>
  <w:num w:numId="114">
    <w:abstractNumId w:val="15"/>
  </w:num>
  <w:num w:numId="115">
    <w:abstractNumId w:val="122"/>
  </w:num>
  <w:num w:numId="116">
    <w:abstractNumId w:val="49"/>
  </w:num>
  <w:num w:numId="117">
    <w:abstractNumId w:val="98"/>
  </w:num>
  <w:num w:numId="118">
    <w:abstractNumId w:val="41"/>
  </w:num>
  <w:num w:numId="119">
    <w:abstractNumId w:val="90"/>
  </w:num>
  <w:num w:numId="120">
    <w:abstractNumId w:val="96"/>
  </w:num>
  <w:num w:numId="121">
    <w:abstractNumId w:val="126"/>
  </w:num>
  <w:num w:numId="122">
    <w:abstractNumId w:val="2"/>
  </w:num>
  <w:num w:numId="123">
    <w:abstractNumId w:val="36"/>
  </w:num>
  <w:num w:numId="124">
    <w:abstractNumId w:val="44"/>
  </w:num>
  <w:num w:numId="125">
    <w:abstractNumId w:val="117"/>
  </w:num>
  <w:num w:numId="126">
    <w:abstractNumId w:val="54"/>
  </w:num>
  <w:num w:numId="127">
    <w:abstractNumId w:val="134"/>
  </w:num>
  <w:num w:numId="128">
    <w:abstractNumId w:val="80"/>
  </w:num>
  <w:num w:numId="129">
    <w:abstractNumId w:val="57"/>
  </w:num>
  <w:num w:numId="130">
    <w:abstractNumId w:val="128"/>
  </w:num>
  <w:num w:numId="131">
    <w:abstractNumId w:val="129"/>
  </w:num>
  <w:num w:numId="132">
    <w:abstractNumId w:val="28"/>
  </w:num>
  <w:num w:numId="133">
    <w:abstractNumId w:val="3"/>
  </w:num>
  <w:num w:numId="134">
    <w:abstractNumId w:val="42"/>
  </w:num>
  <w:num w:numId="135">
    <w:abstractNumId w:val="55"/>
  </w:num>
  <w:num w:numId="136">
    <w:abstractNumId w:val="52"/>
  </w:num>
  <w:num w:numId="137">
    <w:abstractNumId w:val="46"/>
  </w:num>
  <w:num w:numId="138">
    <w:abstractNumId w:val="21"/>
  </w:num>
  <w:num w:numId="139">
    <w:abstractNumId w:val="70"/>
  </w:num>
  <w:num w:numId="140">
    <w:abstractNumId w:val="66"/>
  </w:num>
  <w:num w:numId="141">
    <w:abstractNumId w:val="61"/>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3644"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ulTrailSpace/>
  </w:compat>
  <w:rsids>
    <w:rsidRoot w:val="00D96B91"/>
    <w:rsid w:val="00055D11"/>
    <w:rsid w:val="00105476"/>
    <w:rsid w:val="001C4113"/>
    <w:rsid w:val="00255AC1"/>
    <w:rsid w:val="002D353F"/>
    <w:rsid w:val="0037199C"/>
    <w:rsid w:val="003A2E62"/>
    <w:rsid w:val="00404DC2"/>
    <w:rsid w:val="0040626D"/>
    <w:rsid w:val="004C4403"/>
    <w:rsid w:val="004C7CB7"/>
    <w:rsid w:val="005D7DEE"/>
    <w:rsid w:val="006909CD"/>
    <w:rsid w:val="006B6D8F"/>
    <w:rsid w:val="006F72BE"/>
    <w:rsid w:val="00710124"/>
    <w:rsid w:val="00733490"/>
    <w:rsid w:val="007B1576"/>
    <w:rsid w:val="008766C4"/>
    <w:rsid w:val="008A79D5"/>
    <w:rsid w:val="009B14B7"/>
    <w:rsid w:val="00B45286"/>
    <w:rsid w:val="00BA391C"/>
    <w:rsid w:val="00C2656B"/>
    <w:rsid w:val="00C464B8"/>
    <w:rsid w:val="00C61167"/>
    <w:rsid w:val="00C74EAA"/>
    <w:rsid w:val="00C77ECE"/>
    <w:rsid w:val="00CD3E05"/>
    <w:rsid w:val="00D174F6"/>
    <w:rsid w:val="00D94894"/>
    <w:rsid w:val="00D96B91"/>
    <w:rsid w:val="00E53C47"/>
    <w:rsid w:val="00EB16D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44" fill="f" fillcolor="white" stroke="f">
      <v:fill color="white" on="f"/>
      <v:stroke on="f"/>
      <v:textbox inset="0,0,0,0"/>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6B91"/>
  </w:style>
  <w:style w:type="paragraph" w:styleId="Heading1">
    <w:name w:val="heading 1"/>
    <w:basedOn w:val="Normal"/>
    <w:uiPriority w:val="1"/>
    <w:qFormat/>
    <w:rsid w:val="00D96B91"/>
    <w:pPr>
      <w:ind w:left="1247"/>
      <w:outlineLvl w:val="0"/>
    </w:pPr>
    <w:rPr>
      <w:rFonts w:ascii="Avenir Next Medium" w:eastAsia="Avenir Next Medium" w:hAnsi="Avenir Next Medium"/>
      <w:sz w:val="40"/>
      <w:szCs w:val="40"/>
    </w:rPr>
  </w:style>
  <w:style w:type="paragraph" w:styleId="Heading2">
    <w:name w:val="heading 2"/>
    <w:basedOn w:val="Normal"/>
    <w:uiPriority w:val="1"/>
    <w:qFormat/>
    <w:rsid w:val="00D96B91"/>
    <w:pPr>
      <w:ind w:left="1814" w:hanging="567"/>
      <w:outlineLvl w:val="1"/>
    </w:pPr>
    <w:rPr>
      <w:rFonts w:ascii="Avenir Next" w:eastAsia="Avenir Next" w:hAnsi="Avenir Next"/>
      <w:b/>
      <w:bCs/>
      <w:sz w:val="34"/>
      <w:szCs w:val="34"/>
    </w:rPr>
  </w:style>
  <w:style w:type="paragraph" w:styleId="Heading3">
    <w:name w:val="heading 3"/>
    <w:basedOn w:val="Normal"/>
    <w:uiPriority w:val="1"/>
    <w:qFormat/>
    <w:rsid w:val="00D96B91"/>
    <w:pPr>
      <w:ind w:left="1247"/>
      <w:outlineLvl w:val="2"/>
    </w:pPr>
    <w:rPr>
      <w:rFonts w:ascii="Avenir Next" w:eastAsia="Avenir Next" w:hAnsi="Avenir Next"/>
      <w:b/>
      <w:bCs/>
      <w:sz w:val="30"/>
      <w:szCs w:val="30"/>
    </w:rPr>
  </w:style>
  <w:style w:type="paragraph" w:styleId="Heading4">
    <w:name w:val="heading 4"/>
    <w:basedOn w:val="Normal"/>
    <w:uiPriority w:val="1"/>
    <w:qFormat/>
    <w:rsid w:val="00D96B91"/>
    <w:pPr>
      <w:ind w:left="1247"/>
      <w:outlineLvl w:val="3"/>
    </w:pPr>
    <w:rPr>
      <w:rFonts w:ascii="Avenir Next Medium" w:eastAsia="Avenir Next Medium" w:hAnsi="Avenir Next Medium"/>
      <w:sz w:val="30"/>
      <w:szCs w:val="30"/>
    </w:rPr>
  </w:style>
  <w:style w:type="paragraph" w:styleId="Heading5">
    <w:name w:val="heading 5"/>
    <w:basedOn w:val="Normal"/>
    <w:uiPriority w:val="1"/>
    <w:qFormat/>
    <w:rsid w:val="00D96B91"/>
    <w:pPr>
      <w:ind w:left="1247"/>
      <w:outlineLvl w:val="4"/>
    </w:pPr>
    <w:rPr>
      <w:rFonts w:ascii="Avenir Next" w:eastAsia="Avenir Next" w:hAnsi="Avenir Next"/>
      <w:b/>
      <w:bCs/>
      <w:sz w:val="24"/>
      <w:szCs w:val="24"/>
    </w:rPr>
  </w:style>
  <w:style w:type="paragraph" w:styleId="Heading6">
    <w:name w:val="heading 6"/>
    <w:basedOn w:val="Normal"/>
    <w:uiPriority w:val="1"/>
    <w:qFormat/>
    <w:rsid w:val="00D96B91"/>
    <w:pPr>
      <w:ind w:left="2097" w:hanging="850"/>
      <w:outlineLvl w:val="5"/>
    </w:pPr>
    <w:rPr>
      <w:rFonts w:ascii="Avenir Next Medium" w:eastAsia="Avenir Next Medium" w:hAnsi="Avenir Next Medium"/>
      <w:sz w:val="24"/>
      <w:szCs w:val="24"/>
    </w:rPr>
  </w:style>
  <w:style w:type="paragraph" w:styleId="Heading7">
    <w:name w:val="heading 7"/>
    <w:basedOn w:val="Normal"/>
    <w:uiPriority w:val="1"/>
    <w:qFormat/>
    <w:rsid w:val="00D96B91"/>
    <w:pPr>
      <w:ind w:left="2211" w:hanging="964"/>
      <w:outlineLvl w:val="6"/>
    </w:pPr>
    <w:rPr>
      <w:rFonts w:ascii="Avenir Next" w:eastAsia="Avenir Next" w:hAnsi="Avenir Next"/>
      <w:b/>
      <w:bCs/>
    </w:rPr>
  </w:style>
  <w:style w:type="paragraph" w:styleId="Heading8">
    <w:name w:val="heading 8"/>
    <w:basedOn w:val="Normal"/>
    <w:uiPriority w:val="1"/>
    <w:qFormat/>
    <w:rsid w:val="00D96B91"/>
    <w:pPr>
      <w:spacing w:before="29"/>
      <w:ind w:left="1247"/>
      <w:outlineLvl w:val="7"/>
    </w:pPr>
    <w:rPr>
      <w:rFonts w:ascii="Avenir Next" w:eastAsia="Avenir Next" w:hAnsi="Avenir Next"/>
      <w:b/>
      <w:bCs/>
      <w:sz w:val="20"/>
      <w:szCs w:val="20"/>
    </w:rPr>
  </w:style>
  <w:style w:type="paragraph" w:styleId="Heading9">
    <w:name w:val="heading 9"/>
    <w:basedOn w:val="Normal"/>
    <w:uiPriority w:val="1"/>
    <w:qFormat/>
    <w:rsid w:val="00D96B91"/>
    <w:pPr>
      <w:ind w:left="1247"/>
      <w:outlineLvl w:val="8"/>
    </w:pPr>
    <w:rPr>
      <w:rFonts w:ascii="Avenir Next" w:eastAsia="Avenir Next" w:hAnsi="Avenir Next"/>
      <w:b/>
      <w:bCs/>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96B91"/>
    <w:pPr>
      <w:spacing w:before="72"/>
      <w:ind w:left="1247"/>
    </w:pPr>
    <w:rPr>
      <w:rFonts w:ascii="Avenir Next" w:eastAsia="Avenir Next" w:hAnsi="Avenir Next"/>
      <w:b/>
      <w:bCs/>
      <w:sz w:val="20"/>
      <w:szCs w:val="20"/>
    </w:rPr>
  </w:style>
  <w:style w:type="paragraph" w:styleId="TOC2">
    <w:name w:val="toc 2"/>
    <w:basedOn w:val="Normal"/>
    <w:uiPriority w:val="1"/>
    <w:qFormat/>
    <w:rsid w:val="00D96B91"/>
    <w:pPr>
      <w:spacing w:before="72"/>
      <w:ind w:left="2381" w:hanging="567"/>
    </w:pPr>
    <w:rPr>
      <w:rFonts w:ascii="Avenir Next" w:eastAsia="Avenir Next" w:hAnsi="Avenir Next"/>
      <w:sz w:val="20"/>
      <w:szCs w:val="20"/>
    </w:rPr>
  </w:style>
  <w:style w:type="paragraph" w:styleId="TOC3">
    <w:name w:val="toc 3"/>
    <w:basedOn w:val="Normal"/>
    <w:uiPriority w:val="1"/>
    <w:qFormat/>
    <w:rsid w:val="00D96B91"/>
    <w:pPr>
      <w:spacing w:before="72"/>
      <w:ind w:left="2381"/>
    </w:pPr>
    <w:rPr>
      <w:rFonts w:ascii="Avenir Next" w:eastAsia="Avenir Next" w:hAnsi="Avenir Next"/>
      <w:sz w:val="20"/>
      <w:szCs w:val="20"/>
    </w:rPr>
  </w:style>
  <w:style w:type="paragraph" w:styleId="BodyText">
    <w:name w:val="Body Text"/>
    <w:basedOn w:val="Normal"/>
    <w:uiPriority w:val="1"/>
    <w:qFormat/>
    <w:rsid w:val="00D96B91"/>
    <w:pPr>
      <w:ind w:left="1247"/>
    </w:pPr>
    <w:rPr>
      <w:rFonts w:ascii="Avenir Next" w:eastAsia="Avenir Next" w:hAnsi="Avenir Next"/>
      <w:sz w:val="20"/>
      <w:szCs w:val="20"/>
    </w:rPr>
  </w:style>
  <w:style w:type="paragraph" w:styleId="ListParagraph">
    <w:name w:val="List Paragraph"/>
    <w:basedOn w:val="Normal"/>
    <w:uiPriority w:val="1"/>
    <w:qFormat/>
    <w:rsid w:val="00D96B91"/>
  </w:style>
  <w:style w:type="paragraph" w:customStyle="1" w:styleId="TableParagraph">
    <w:name w:val="Table Paragraph"/>
    <w:basedOn w:val="Normal"/>
    <w:uiPriority w:val="1"/>
    <w:qFormat/>
    <w:rsid w:val="00D96B91"/>
  </w:style>
  <w:style w:type="paragraph" w:styleId="BalloonText">
    <w:name w:val="Balloon Text"/>
    <w:basedOn w:val="Normal"/>
    <w:link w:val="BalloonTextChar"/>
    <w:uiPriority w:val="99"/>
    <w:semiHidden/>
    <w:unhideWhenUsed/>
    <w:rsid w:val="007B1576"/>
    <w:rPr>
      <w:rFonts w:ascii="Tahoma" w:hAnsi="Tahoma" w:cs="Tahoma"/>
      <w:sz w:val="16"/>
      <w:szCs w:val="16"/>
    </w:rPr>
  </w:style>
  <w:style w:type="character" w:customStyle="1" w:styleId="BalloonTextChar">
    <w:name w:val="Balloon Text Char"/>
    <w:basedOn w:val="DefaultParagraphFont"/>
    <w:link w:val="BalloonText"/>
    <w:uiPriority w:val="99"/>
    <w:semiHidden/>
    <w:rsid w:val="007B1576"/>
    <w:rPr>
      <w:rFonts w:ascii="Tahoma" w:hAnsi="Tahoma" w:cs="Tahoma"/>
      <w:sz w:val="16"/>
      <w:szCs w:val="16"/>
    </w:rPr>
  </w:style>
  <w:style w:type="paragraph" w:styleId="Header">
    <w:name w:val="header"/>
    <w:basedOn w:val="Normal"/>
    <w:link w:val="HeaderChar"/>
    <w:uiPriority w:val="99"/>
    <w:semiHidden/>
    <w:unhideWhenUsed/>
    <w:rsid w:val="00733490"/>
    <w:pPr>
      <w:tabs>
        <w:tab w:val="center" w:pos="4513"/>
        <w:tab w:val="right" w:pos="9026"/>
      </w:tabs>
    </w:pPr>
  </w:style>
  <w:style w:type="character" w:customStyle="1" w:styleId="HeaderChar">
    <w:name w:val="Header Char"/>
    <w:basedOn w:val="DefaultParagraphFont"/>
    <w:link w:val="Header"/>
    <w:uiPriority w:val="99"/>
    <w:semiHidden/>
    <w:rsid w:val="00733490"/>
  </w:style>
  <w:style w:type="paragraph" w:styleId="Footer">
    <w:name w:val="footer"/>
    <w:basedOn w:val="Normal"/>
    <w:link w:val="FooterChar"/>
    <w:uiPriority w:val="99"/>
    <w:semiHidden/>
    <w:unhideWhenUsed/>
    <w:rsid w:val="00733490"/>
    <w:pPr>
      <w:tabs>
        <w:tab w:val="center" w:pos="4513"/>
        <w:tab w:val="right" w:pos="9026"/>
      </w:tabs>
    </w:pPr>
  </w:style>
  <w:style w:type="character" w:customStyle="1" w:styleId="FooterChar">
    <w:name w:val="Footer Char"/>
    <w:basedOn w:val="DefaultParagraphFont"/>
    <w:link w:val="Footer"/>
    <w:uiPriority w:val="99"/>
    <w:semiHidden/>
    <w:rsid w:val="0073349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36.png"/><Relationship Id="rId21" Type="http://schemas.openxmlformats.org/officeDocument/2006/relationships/footer" Target="footer5.xml"/><Relationship Id="rId42" Type="http://schemas.openxmlformats.org/officeDocument/2006/relationships/footer" Target="footer17.xml"/><Relationship Id="rId47" Type="http://schemas.openxmlformats.org/officeDocument/2006/relationships/footer" Target="footer21.xml"/><Relationship Id="rId63" Type="http://schemas.openxmlformats.org/officeDocument/2006/relationships/footer" Target="footer32.xml"/><Relationship Id="rId68" Type="http://schemas.openxmlformats.org/officeDocument/2006/relationships/hyperlink" Target="http://economics.com.au/?p=9138" TargetMode="External"/><Relationship Id="rId84" Type="http://schemas.openxmlformats.org/officeDocument/2006/relationships/footer" Target="footer44.xml"/><Relationship Id="rId89" Type="http://schemas.openxmlformats.org/officeDocument/2006/relationships/image" Target="media/image26.png"/><Relationship Id="rId112" Type="http://schemas.openxmlformats.org/officeDocument/2006/relationships/footer" Target="footer57.xml"/><Relationship Id="rId133" Type="http://schemas.openxmlformats.org/officeDocument/2006/relationships/image" Target="media/image52.png"/><Relationship Id="rId138" Type="http://schemas.openxmlformats.org/officeDocument/2006/relationships/footer" Target="footer63.xml"/><Relationship Id="rId154" Type="http://schemas.openxmlformats.org/officeDocument/2006/relationships/footer" Target="footer77.xml"/><Relationship Id="rId159" Type="http://schemas.openxmlformats.org/officeDocument/2006/relationships/fontTable" Target="fontTable.xml"/><Relationship Id="rId16" Type="http://schemas.openxmlformats.org/officeDocument/2006/relationships/hyperlink" Target="mailto:industrypanel@act.gov.au" TargetMode="External"/><Relationship Id="rId107" Type="http://schemas.openxmlformats.org/officeDocument/2006/relationships/hyperlink" Target="http://apps.treasury.act.gov.au/industrypanel" TargetMode="External"/><Relationship Id="rId11" Type="http://schemas.openxmlformats.org/officeDocument/2006/relationships/image" Target="media/image5.png"/><Relationship Id="rId32" Type="http://schemas.openxmlformats.org/officeDocument/2006/relationships/footer" Target="footer11.xml"/><Relationship Id="rId37" Type="http://schemas.openxmlformats.org/officeDocument/2006/relationships/hyperlink" Target="http://apps.treasury.act.gov.au/industrypanel/panelbiographies" TargetMode="External"/><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footer" Target="footer37.xml"/><Relationship Id="rId79" Type="http://schemas.openxmlformats.org/officeDocument/2006/relationships/hyperlink" Target="http://www.environment.act.gov.au/__data/assets/pdf_file/0008/576062/ACT_Water_Abstraction_Charge.pdf" TargetMode="External"/><Relationship Id="rId102" Type="http://schemas.openxmlformats.org/officeDocument/2006/relationships/image" Target="media/image31.jpeg"/><Relationship Id="rId123" Type="http://schemas.openxmlformats.org/officeDocument/2006/relationships/image" Target="media/image42.png"/><Relationship Id="rId128" Type="http://schemas.openxmlformats.org/officeDocument/2006/relationships/image" Target="media/image47.png"/><Relationship Id="rId144" Type="http://schemas.openxmlformats.org/officeDocument/2006/relationships/footer" Target="footer69.xml"/><Relationship Id="rId149" Type="http://schemas.openxmlformats.org/officeDocument/2006/relationships/footer" Target="footer72.xml"/><Relationship Id="rId5" Type="http://schemas.openxmlformats.org/officeDocument/2006/relationships/footnotes" Target="footnotes.xml"/><Relationship Id="rId90" Type="http://schemas.openxmlformats.org/officeDocument/2006/relationships/footer" Target="footer46.xml"/><Relationship Id="rId95" Type="http://schemas.openxmlformats.org/officeDocument/2006/relationships/image" Target="media/image27.png"/><Relationship Id="rId160"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8.png"/><Relationship Id="rId43" Type="http://schemas.openxmlformats.org/officeDocument/2006/relationships/footer" Target="footer18.xml"/><Relationship Id="rId48" Type="http://schemas.openxmlformats.org/officeDocument/2006/relationships/footer" Target="footer22.xml"/><Relationship Id="rId64" Type="http://schemas.openxmlformats.org/officeDocument/2006/relationships/footer" Target="footer33.xml"/><Relationship Id="rId69" Type="http://schemas.openxmlformats.org/officeDocument/2006/relationships/hyperlink" Target="http://economics.com.au/?p=9198" TargetMode="External"/><Relationship Id="rId113" Type="http://schemas.openxmlformats.org/officeDocument/2006/relationships/footer" Target="footer58.xml"/><Relationship Id="rId118" Type="http://schemas.openxmlformats.org/officeDocument/2006/relationships/image" Target="media/image37.png"/><Relationship Id="rId134" Type="http://schemas.openxmlformats.org/officeDocument/2006/relationships/image" Target="media/image53.png"/><Relationship Id="rId139" Type="http://schemas.openxmlformats.org/officeDocument/2006/relationships/footer" Target="footer64.xml"/><Relationship Id="rId80" Type="http://schemas.openxmlformats.org/officeDocument/2006/relationships/hyperlink" Target="http://apps.treasury.act.gov.au/budget/budget-2014-2015/budget-paper-3" TargetMode="External"/><Relationship Id="rId85" Type="http://schemas.openxmlformats.org/officeDocument/2006/relationships/footer" Target="footer45.xml"/><Relationship Id="rId150" Type="http://schemas.openxmlformats.org/officeDocument/2006/relationships/footer" Target="footer73.xml"/><Relationship Id="rId155" Type="http://schemas.openxmlformats.org/officeDocument/2006/relationships/footer" Target="footer78.xml"/><Relationship Id="rId12" Type="http://schemas.openxmlformats.org/officeDocument/2006/relationships/footer" Target="footer1.xml"/><Relationship Id="rId17" Type="http://schemas.openxmlformats.org/officeDocument/2006/relationships/hyperlink" Target="http://apps.treasury.act.gov.au/industrypanel" TargetMode="External"/><Relationship Id="rId33" Type="http://schemas.openxmlformats.org/officeDocument/2006/relationships/footer" Target="footer12.xml"/><Relationship Id="rId38" Type="http://schemas.openxmlformats.org/officeDocument/2006/relationships/footer" Target="footer15.xml"/><Relationship Id="rId59" Type="http://schemas.openxmlformats.org/officeDocument/2006/relationships/footer" Target="footer29.xml"/><Relationship Id="rId103" Type="http://schemas.openxmlformats.org/officeDocument/2006/relationships/image" Target="media/image32.jpeg"/><Relationship Id="rId108" Type="http://schemas.openxmlformats.org/officeDocument/2006/relationships/footer" Target="footer55.xml"/><Relationship Id="rId124" Type="http://schemas.openxmlformats.org/officeDocument/2006/relationships/image" Target="media/image43.png"/><Relationship Id="rId129"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15.png"/><Relationship Id="rId62" Type="http://schemas.openxmlformats.org/officeDocument/2006/relationships/image" Target="media/image18.png"/><Relationship Id="rId70" Type="http://schemas.openxmlformats.org/officeDocument/2006/relationships/image" Target="media/image20.png"/><Relationship Id="rId75" Type="http://schemas.openxmlformats.org/officeDocument/2006/relationships/footer" Target="footer38.xml"/><Relationship Id="rId83" Type="http://schemas.openxmlformats.org/officeDocument/2006/relationships/footer" Target="footer43.xml"/><Relationship Id="rId88" Type="http://schemas.openxmlformats.org/officeDocument/2006/relationships/image" Target="media/image25.png"/><Relationship Id="rId91" Type="http://schemas.openxmlformats.org/officeDocument/2006/relationships/footer" Target="footer47.xml"/><Relationship Id="rId96" Type="http://schemas.openxmlformats.org/officeDocument/2006/relationships/footer" Target="footer51.xml"/><Relationship Id="rId111" Type="http://schemas.openxmlformats.org/officeDocument/2006/relationships/image" Target="media/image35.png"/><Relationship Id="rId132" Type="http://schemas.openxmlformats.org/officeDocument/2006/relationships/image" Target="media/image51.png"/><Relationship Id="rId140" Type="http://schemas.openxmlformats.org/officeDocument/2006/relationships/footer" Target="footer65.xml"/><Relationship Id="rId145" Type="http://schemas.openxmlformats.org/officeDocument/2006/relationships/footer" Target="footer70.xml"/><Relationship Id="rId153" Type="http://schemas.openxmlformats.org/officeDocument/2006/relationships/footer" Target="footer7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s.treasury.act.gov.au/industrypanel" TargetMode="External"/><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footer" Target="footer14.xml"/><Relationship Id="rId49" Type="http://schemas.openxmlformats.org/officeDocument/2006/relationships/footer" Target="footer23.xml"/><Relationship Id="rId57" Type="http://schemas.openxmlformats.org/officeDocument/2006/relationships/image" Target="media/image16.png"/><Relationship Id="rId106" Type="http://schemas.openxmlformats.org/officeDocument/2006/relationships/footer" Target="footer54.xml"/><Relationship Id="rId114" Type="http://schemas.openxmlformats.org/officeDocument/2006/relationships/footer" Target="footer59.xml"/><Relationship Id="rId119" Type="http://schemas.openxmlformats.org/officeDocument/2006/relationships/image" Target="media/image38.png"/><Relationship Id="rId12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footer" Target="footer19.xml"/><Relationship Id="rId52" Type="http://schemas.openxmlformats.org/officeDocument/2006/relationships/footer" Target="footer26.xml"/><Relationship Id="rId60" Type="http://schemas.openxmlformats.org/officeDocument/2006/relationships/footer" Target="footer30.xml"/><Relationship Id="rId65" Type="http://schemas.openxmlformats.org/officeDocument/2006/relationships/image" Target="media/image19.png"/><Relationship Id="rId73" Type="http://schemas.openxmlformats.org/officeDocument/2006/relationships/footer" Target="footer36.xml"/><Relationship Id="rId78" Type="http://schemas.openxmlformats.org/officeDocument/2006/relationships/footer" Target="footer41.xml"/><Relationship Id="rId81" Type="http://schemas.openxmlformats.org/officeDocument/2006/relationships/hyperlink" Target="http://www.icrc.act.gov.au/water-and-sewerage/price-directions/" TargetMode="External"/><Relationship Id="rId86" Type="http://schemas.openxmlformats.org/officeDocument/2006/relationships/image" Target="media/image23.png"/><Relationship Id="rId94" Type="http://schemas.openxmlformats.org/officeDocument/2006/relationships/footer" Target="footer50.xml"/><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image" Target="media/image41.png"/><Relationship Id="rId130" Type="http://schemas.openxmlformats.org/officeDocument/2006/relationships/image" Target="media/image49.png"/><Relationship Id="rId135" Type="http://schemas.openxmlformats.org/officeDocument/2006/relationships/image" Target="media/image54.png"/><Relationship Id="rId143" Type="http://schemas.openxmlformats.org/officeDocument/2006/relationships/footer" Target="footer68.xml"/><Relationship Id="rId148" Type="http://schemas.openxmlformats.org/officeDocument/2006/relationships/footer" Target="footer71.xml"/><Relationship Id="rId151" Type="http://schemas.openxmlformats.org/officeDocument/2006/relationships/footer" Target="footer74.xml"/><Relationship Id="rId156" Type="http://schemas.openxmlformats.org/officeDocument/2006/relationships/footer" Target="footer7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footer" Target="footer16.xml"/><Relationship Id="rId109" Type="http://schemas.openxmlformats.org/officeDocument/2006/relationships/image" Target="media/image34.png"/><Relationship Id="rId34" Type="http://schemas.openxmlformats.org/officeDocument/2006/relationships/hyperlink" Target="mailto:industrypanel@act.gov.au" TargetMode="External"/><Relationship Id="rId50" Type="http://schemas.openxmlformats.org/officeDocument/2006/relationships/footer" Target="footer24.xml"/><Relationship Id="rId55" Type="http://schemas.openxmlformats.org/officeDocument/2006/relationships/footer" Target="footer27.xml"/><Relationship Id="rId76" Type="http://schemas.openxmlformats.org/officeDocument/2006/relationships/footer" Target="footer39.xml"/><Relationship Id="rId97" Type="http://schemas.openxmlformats.org/officeDocument/2006/relationships/image" Target="media/image7.png"/><Relationship Id="rId104" Type="http://schemas.openxmlformats.org/officeDocument/2006/relationships/image" Target="media/image33.jpeg"/><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footer" Target="footer66.xml"/><Relationship Id="rId146" Type="http://schemas.openxmlformats.org/officeDocument/2006/relationships/hyperlink" Target="mailto:industrypanel@act.gov.au" TargetMode="Externa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footer" Target="footer48.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footer" Target="footer8.xml"/><Relationship Id="rId40" Type="http://schemas.openxmlformats.org/officeDocument/2006/relationships/hyperlink" Target="http://apps.treasury.act.gov.au/industrypanel" TargetMode="External"/><Relationship Id="rId45" Type="http://schemas.openxmlformats.org/officeDocument/2006/relationships/hyperlink" Target="http://www.cwd.act.gov.au/__data/assets/pdf_file/0009/535572/ACTEW-Review-Report.pdf" TargetMode="External"/><Relationship Id="rId66" Type="http://schemas.openxmlformats.org/officeDocument/2006/relationships/footer" Target="footer34.xml"/><Relationship Id="rId87" Type="http://schemas.openxmlformats.org/officeDocument/2006/relationships/image" Target="media/image24.png"/><Relationship Id="rId110" Type="http://schemas.openxmlformats.org/officeDocument/2006/relationships/footer" Target="footer56.xml"/><Relationship Id="rId115" Type="http://schemas.openxmlformats.org/officeDocument/2006/relationships/footer" Target="footer60.xml"/><Relationship Id="rId131" Type="http://schemas.openxmlformats.org/officeDocument/2006/relationships/image" Target="media/image50.png"/><Relationship Id="rId136" Type="http://schemas.openxmlformats.org/officeDocument/2006/relationships/image" Target="media/image55.png"/><Relationship Id="rId157" Type="http://schemas.openxmlformats.org/officeDocument/2006/relationships/footer" Target="footer80.xml"/><Relationship Id="rId61" Type="http://schemas.openxmlformats.org/officeDocument/2006/relationships/footer" Target="footer31.xml"/><Relationship Id="rId82" Type="http://schemas.openxmlformats.org/officeDocument/2006/relationships/footer" Target="footer42.xml"/><Relationship Id="rId152" Type="http://schemas.openxmlformats.org/officeDocument/2006/relationships/footer" Target="footer75.xml"/><Relationship Id="rId19" Type="http://schemas.openxmlformats.org/officeDocument/2006/relationships/footer" Target="footer4.xml"/><Relationship Id="rId14" Type="http://schemas.openxmlformats.org/officeDocument/2006/relationships/hyperlink" Target="mailto:industrypanel@act.gov.au" TargetMode="External"/><Relationship Id="rId30" Type="http://schemas.openxmlformats.org/officeDocument/2006/relationships/image" Target="media/image11.png"/><Relationship Id="rId35" Type="http://schemas.openxmlformats.org/officeDocument/2006/relationships/footer" Target="footer13.xml"/><Relationship Id="rId56" Type="http://schemas.openxmlformats.org/officeDocument/2006/relationships/footer" Target="footer28.xml"/><Relationship Id="rId77" Type="http://schemas.openxmlformats.org/officeDocument/2006/relationships/footer" Target="footer40.xml"/><Relationship Id="rId100" Type="http://schemas.openxmlformats.org/officeDocument/2006/relationships/image" Target="media/image29.png"/><Relationship Id="rId105" Type="http://schemas.openxmlformats.org/officeDocument/2006/relationships/footer" Target="footer53.xml"/><Relationship Id="rId126" Type="http://schemas.openxmlformats.org/officeDocument/2006/relationships/image" Target="media/image45.png"/><Relationship Id="rId147" Type="http://schemas.openxmlformats.org/officeDocument/2006/relationships/hyperlink" Target="http://apps.treasury.act.gov.au/" TargetMode="External"/><Relationship Id="rId8" Type="http://schemas.openxmlformats.org/officeDocument/2006/relationships/image" Target="media/image2.png"/><Relationship Id="rId51" Type="http://schemas.openxmlformats.org/officeDocument/2006/relationships/footer" Target="footer25.xml"/><Relationship Id="rId72" Type="http://schemas.openxmlformats.org/officeDocument/2006/relationships/image" Target="media/image22.png"/><Relationship Id="rId93" Type="http://schemas.openxmlformats.org/officeDocument/2006/relationships/footer" Target="footer49.xml"/><Relationship Id="rId98" Type="http://schemas.openxmlformats.org/officeDocument/2006/relationships/footer" Target="footer52.xml"/><Relationship Id="rId121" Type="http://schemas.openxmlformats.org/officeDocument/2006/relationships/image" Target="media/image40.png"/><Relationship Id="rId142" Type="http://schemas.openxmlformats.org/officeDocument/2006/relationships/footer" Target="footer67.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5.xml"/><Relationship Id="rId116" Type="http://schemas.openxmlformats.org/officeDocument/2006/relationships/footer" Target="footer61.xml"/><Relationship Id="rId137" Type="http://schemas.openxmlformats.org/officeDocument/2006/relationships/footer" Target="footer62.xml"/><Relationship Id="rId158" Type="http://schemas.openxmlformats.org/officeDocument/2006/relationships/footer" Target="footer8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7.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7.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7.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7.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7.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7.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45.xml.rels><?xml version="1.0" encoding="UTF-8" standalone="yes"?>
<Relationships xmlns="http://schemas.openxmlformats.org/package/2006/relationships"><Relationship Id="rId1" Type="http://schemas.openxmlformats.org/officeDocument/2006/relationships/image" Target="media/image7.png"/></Relationships>
</file>

<file path=word/_rels/footer46.xml.rels><?xml version="1.0" encoding="UTF-8" standalone="yes"?>
<Relationships xmlns="http://schemas.openxmlformats.org/package/2006/relationships"><Relationship Id="rId1" Type="http://schemas.openxmlformats.org/officeDocument/2006/relationships/image" Target="media/image6.png"/></Relationships>
</file>

<file path=word/_rels/footer47.xml.rels><?xml version="1.0" encoding="UTF-8" standalone="yes"?>
<Relationships xmlns="http://schemas.openxmlformats.org/package/2006/relationships"><Relationship Id="rId1" Type="http://schemas.openxmlformats.org/officeDocument/2006/relationships/image" Target="media/image7.png"/></Relationships>
</file>

<file path=word/_rels/footer49.xml.rels><?xml version="1.0" encoding="UTF-8" standalone="yes"?>
<Relationships xmlns="http://schemas.openxmlformats.org/package/2006/relationships"><Relationship Id="rId1" Type="http://schemas.openxmlformats.org/officeDocument/2006/relationships/image" Target="media/image6.png"/></Relationships>
</file>

<file path=word/_rels/footer50.xml.rels><?xml version="1.0" encoding="UTF-8" standalone="yes"?>
<Relationships xmlns="http://schemas.openxmlformats.org/package/2006/relationships"><Relationship Id="rId1" Type="http://schemas.openxmlformats.org/officeDocument/2006/relationships/image" Target="media/image7.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4.xml.rels><?xml version="1.0" encoding="UTF-8" standalone="yes"?>
<Relationships xmlns="http://schemas.openxmlformats.org/package/2006/relationships"><Relationship Id="rId1" Type="http://schemas.openxmlformats.org/officeDocument/2006/relationships/image" Target="media/image7.png"/></Relationships>
</file>

<file path=word/_rels/footer55.xml.rels><?xml version="1.0" encoding="UTF-8" standalone="yes"?>
<Relationships xmlns="http://schemas.openxmlformats.org/package/2006/relationships"><Relationship Id="rId1" Type="http://schemas.openxmlformats.org/officeDocument/2006/relationships/image" Target="media/image7.png"/></Relationships>
</file>

<file path=word/_rels/footer58.xml.rels><?xml version="1.0" encoding="UTF-8" standalone="yes"?>
<Relationships xmlns="http://schemas.openxmlformats.org/package/2006/relationships"><Relationship Id="rId1" Type="http://schemas.openxmlformats.org/officeDocument/2006/relationships/image" Target="media/image6.png"/></Relationships>
</file>

<file path=word/_rels/footer59.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60.xml.rels><?xml version="1.0" encoding="UTF-8" standalone="yes"?>
<Relationships xmlns="http://schemas.openxmlformats.org/package/2006/relationships"><Relationship Id="rId1" Type="http://schemas.openxmlformats.org/officeDocument/2006/relationships/image" Target="media/image6.png"/></Relationships>
</file>

<file path=word/_rels/footer61.xml.rels><?xml version="1.0" encoding="UTF-8" standalone="yes"?>
<Relationships xmlns="http://schemas.openxmlformats.org/package/2006/relationships"><Relationship Id="rId1" Type="http://schemas.openxmlformats.org/officeDocument/2006/relationships/image" Target="media/image7.png"/></Relationships>
</file>

<file path=word/_rels/footer62.xml.rels><?xml version="1.0" encoding="UTF-8" standalone="yes"?>
<Relationships xmlns="http://schemas.openxmlformats.org/package/2006/relationships"><Relationship Id="rId1" Type="http://schemas.openxmlformats.org/officeDocument/2006/relationships/image" Target="media/image6.png"/></Relationships>
</file>

<file path=word/_rels/footer63.xml.rels><?xml version="1.0" encoding="UTF-8" standalone="yes"?>
<Relationships xmlns="http://schemas.openxmlformats.org/package/2006/relationships"><Relationship Id="rId1" Type="http://schemas.openxmlformats.org/officeDocument/2006/relationships/image" Target="media/image7.png"/></Relationships>
</file>

<file path=word/_rels/footer64.xml.rels><?xml version="1.0" encoding="UTF-8" standalone="yes"?>
<Relationships xmlns="http://schemas.openxmlformats.org/package/2006/relationships"><Relationship Id="rId1" Type="http://schemas.openxmlformats.org/officeDocument/2006/relationships/image" Target="media/image6.png"/></Relationships>
</file>

<file path=word/_rels/footer65.xml.rels><?xml version="1.0" encoding="UTF-8" standalone="yes"?>
<Relationships xmlns="http://schemas.openxmlformats.org/package/2006/relationships"><Relationship Id="rId1" Type="http://schemas.openxmlformats.org/officeDocument/2006/relationships/image" Target="media/image7.png"/></Relationships>
</file>

<file path=word/_rels/footer66.xml.rels><?xml version="1.0" encoding="UTF-8" standalone="yes"?>
<Relationships xmlns="http://schemas.openxmlformats.org/package/2006/relationships"><Relationship Id="rId1" Type="http://schemas.openxmlformats.org/officeDocument/2006/relationships/image" Target="media/image6.png"/></Relationships>
</file>

<file path=word/_rels/footer67.xml.rels><?xml version="1.0" encoding="UTF-8" standalone="yes"?>
<Relationships xmlns="http://schemas.openxmlformats.org/package/2006/relationships"><Relationship Id="rId1" Type="http://schemas.openxmlformats.org/officeDocument/2006/relationships/image" Target="media/image7.png"/></Relationships>
</file>

<file path=word/_rels/footer68.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70.xml.rels><?xml version="1.0" encoding="UTF-8" standalone="yes"?>
<Relationships xmlns="http://schemas.openxmlformats.org/package/2006/relationships"><Relationship Id="rId1" Type="http://schemas.openxmlformats.org/officeDocument/2006/relationships/image" Target="media/image7.png"/></Relationships>
</file>

<file path=word/_rels/footer72.xml.rels><?xml version="1.0" encoding="UTF-8" standalone="yes"?>
<Relationships xmlns="http://schemas.openxmlformats.org/package/2006/relationships"><Relationship Id="rId1" Type="http://schemas.openxmlformats.org/officeDocument/2006/relationships/image" Target="media/image7.png"/></Relationships>
</file>

<file path=word/_rels/footer74.xml.rels><?xml version="1.0" encoding="UTF-8" standalone="yes"?>
<Relationships xmlns="http://schemas.openxmlformats.org/package/2006/relationships"><Relationship Id="rId1" Type="http://schemas.openxmlformats.org/officeDocument/2006/relationships/image" Target="media/image6.png"/></Relationships>
</file>

<file path=word/_rels/footer75.xml.rels><?xml version="1.0" encoding="UTF-8" standalone="yes"?>
<Relationships xmlns="http://schemas.openxmlformats.org/package/2006/relationships"><Relationship Id="rId1" Type="http://schemas.openxmlformats.org/officeDocument/2006/relationships/image" Target="media/image7.png"/></Relationships>
</file>

<file path=word/_rels/footer76.xml.rels><?xml version="1.0" encoding="UTF-8" standalone="yes"?>
<Relationships xmlns="http://schemas.openxmlformats.org/package/2006/relationships"><Relationship Id="rId1" Type="http://schemas.openxmlformats.org/officeDocument/2006/relationships/image" Target="media/image6.png"/></Relationships>
</file>

<file path=word/_rels/footer77.xml.rels><?xml version="1.0" encoding="UTF-8" standalone="yes"?>
<Relationships xmlns="http://schemas.openxmlformats.org/package/2006/relationships"><Relationship Id="rId1" Type="http://schemas.openxmlformats.org/officeDocument/2006/relationships/image" Target="media/image7.png"/></Relationships>
</file>

<file path=word/_rels/footer78.xml.rels><?xml version="1.0" encoding="UTF-8" standalone="yes"?>
<Relationships xmlns="http://schemas.openxmlformats.org/package/2006/relationships"><Relationship Id="rId1" Type="http://schemas.openxmlformats.org/officeDocument/2006/relationships/image" Target="media/image6.png"/></Relationships>
</file>

<file path=word/_rels/footer79.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226</Pages>
  <Words>83430</Words>
  <Characters>475552</Characters>
  <Application>Microsoft Office Word</Application>
  <DocSecurity>0</DocSecurity>
  <Lines>3962</Lines>
  <Paragraphs>1115</Paragraphs>
  <ScaleCrop>false</ScaleCrop>
  <HeadingPairs>
    <vt:vector size="2" baseType="variant">
      <vt:variant>
        <vt:lpstr>Title</vt:lpstr>
      </vt:variant>
      <vt:variant>
        <vt:i4>1</vt:i4>
      </vt:variant>
    </vt:vector>
  </HeadingPairs>
  <TitlesOfParts>
    <vt:vector size="1" baseType="lpstr">
      <vt:lpstr>Review of the Independent Competition and Regulatory Commission’s 2013 Price Direction</vt:lpstr>
    </vt:vector>
  </TitlesOfParts>
  <Company>ACT Government</Company>
  <LinksUpToDate>false</LinksUpToDate>
  <CharactersWithSpaces>557867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Independent Competition and Regulatory Commission’s 2013 Price Direction</dc:title>
  <dc:subject>The Industry Panel is established under the Independent Competition and Regulatory Commission Act 1997, following an application by ACTEW for the review of the Independent Competition and Regulatory Commission’s Price Direction for Regulated Water and Sewerage Services, 1 July 2013 to 30 June 2019.</dc:subject>
  <dc:creator>Industry Panel Secretariat</dc:creator>
  <cp:lastModifiedBy>nicole wong</cp:lastModifiedBy>
  <cp:revision>2</cp:revision>
  <dcterms:created xsi:type="dcterms:W3CDTF">2014-12-02T08:03:00Z</dcterms:created>
  <dcterms:modified xsi:type="dcterms:W3CDTF">2014-12-02T08:03:00Z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2014-12-02T00:00:00Z</vt:filetime>
  </property>
  <property fmtid="{D5CDD505-2E9C-101B-9397-08002B2CF9AE}" pid="3" name="LastSaved">
    <vt:filetime>2014-12-02T00:00:00Z</vt:filetime>
  </property>
</Properties>
</file>